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2701D" w:rsidRDefault="00D40929">
      <w:pPr>
        <w:spacing w:after="87" w:line="249" w:lineRule="auto"/>
        <w:ind w:left="954" w:right="189" w:hanging="10"/>
        <w:jc w:val="center"/>
      </w:pPr>
      <w:bookmarkStart w:id="0" w:name="_GoBack"/>
      <w:bookmarkEnd w:id="0"/>
      <w:r>
        <w:rPr>
          <w:rFonts w:ascii="Times New Roman" w:eastAsia="Times New Roman" w:hAnsi="Times New Roman" w:cs="Times New Roman"/>
          <w:sz w:val="28"/>
        </w:rPr>
        <w:t xml:space="preserve">МИНИСТЕРСТВО НАУКИ И ВЫСШЕГО ОБРАЗОВАНИЯ </w:t>
      </w:r>
    </w:p>
    <w:p w:rsidR="0052701D" w:rsidRDefault="00D40929">
      <w:pPr>
        <w:spacing w:after="37" w:line="249" w:lineRule="auto"/>
        <w:ind w:left="954" w:right="185" w:hanging="10"/>
        <w:jc w:val="center"/>
      </w:pPr>
      <w:r>
        <w:rPr>
          <w:rFonts w:ascii="Times New Roman" w:eastAsia="Times New Roman" w:hAnsi="Times New Roman" w:cs="Times New Roman"/>
          <w:sz w:val="28"/>
        </w:rPr>
        <w:t xml:space="preserve">РОССИЙСКОЙ ФЕДЕРАЦИИ </w:t>
      </w:r>
    </w:p>
    <w:p w:rsidR="0052701D" w:rsidRDefault="00D40929">
      <w:pPr>
        <w:spacing w:after="76"/>
        <w:ind w:left="839"/>
        <w:jc w:val="center"/>
      </w:pPr>
      <w:r>
        <w:rPr>
          <w:rFonts w:ascii="Times New Roman" w:eastAsia="Times New Roman" w:hAnsi="Times New Roman" w:cs="Times New Roman"/>
          <w:sz w:val="28"/>
        </w:rPr>
        <w:t xml:space="preserve"> </w:t>
      </w:r>
    </w:p>
    <w:p w:rsidR="0052701D" w:rsidRDefault="00D40929">
      <w:pPr>
        <w:spacing w:after="5" w:line="271" w:lineRule="auto"/>
        <w:ind w:left="3261" w:right="64"/>
        <w:jc w:val="both"/>
      </w:pPr>
      <w:r>
        <w:rPr>
          <w:rFonts w:ascii="Times New Roman" w:eastAsia="Times New Roman" w:hAnsi="Times New Roman" w:cs="Times New Roman"/>
          <w:sz w:val="28"/>
        </w:rPr>
        <w:t xml:space="preserve">Некоммерческое акционерное общество  </w:t>
      </w:r>
    </w:p>
    <w:p w:rsidR="0052701D" w:rsidRDefault="00D40929">
      <w:pPr>
        <w:spacing w:after="85" w:line="249" w:lineRule="auto"/>
        <w:ind w:left="954" w:right="190" w:hanging="10"/>
        <w:jc w:val="center"/>
      </w:pPr>
      <w:r>
        <w:rPr>
          <w:rFonts w:ascii="Times New Roman" w:eastAsia="Times New Roman" w:hAnsi="Times New Roman" w:cs="Times New Roman"/>
          <w:sz w:val="28"/>
        </w:rPr>
        <w:t xml:space="preserve">«Алматинский университет энергетики и связи имени Гумарбека </w:t>
      </w:r>
    </w:p>
    <w:p w:rsidR="0052701D" w:rsidRDefault="00D40929">
      <w:pPr>
        <w:spacing w:after="14" w:line="249" w:lineRule="auto"/>
        <w:ind w:left="954" w:right="180" w:hanging="10"/>
        <w:jc w:val="center"/>
      </w:pPr>
      <w:r>
        <w:rPr>
          <w:rFonts w:ascii="Times New Roman" w:eastAsia="Times New Roman" w:hAnsi="Times New Roman" w:cs="Times New Roman"/>
          <w:sz w:val="28"/>
        </w:rPr>
        <w:t xml:space="preserve">Даукеева» </w:t>
      </w:r>
    </w:p>
    <w:p w:rsidR="0052701D" w:rsidRDefault="00D40929">
      <w:pPr>
        <w:spacing w:after="21"/>
        <w:ind w:left="839"/>
        <w:jc w:val="center"/>
      </w:pPr>
      <w:r>
        <w:rPr>
          <w:rFonts w:ascii="Times New Roman" w:eastAsia="Times New Roman" w:hAnsi="Times New Roman" w:cs="Times New Roman"/>
          <w:sz w:val="28"/>
        </w:rPr>
        <w:t xml:space="preserve"> </w:t>
      </w:r>
    </w:p>
    <w:p w:rsidR="0052701D" w:rsidRDefault="00D40929">
      <w:pPr>
        <w:spacing w:after="14" w:line="315" w:lineRule="auto"/>
        <w:ind w:left="954" w:right="123" w:hanging="10"/>
        <w:jc w:val="center"/>
      </w:pPr>
      <w:r>
        <w:rPr>
          <w:rFonts w:ascii="Times New Roman" w:eastAsia="Times New Roman" w:hAnsi="Times New Roman" w:cs="Times New Roman"/>
          <w:sz w:val="28"/>
        </w:rPr>
        <w:t xml:space="preserve">Федеральное государственное бюджетное образовательное учреждение высшего образования  </w:t>
      </w:r>
    </w:p>
    <w:p w:rsidR="0052701D" w:rsidRDefault="00D40929">
      <w:pPr>
        <w:spacing w:after="105" w:line="249" w:lineRule="auto"/>
        <w:ind w:left="954" w:right="189" w:hanging="10"/>
        <w:jc w:val="center"/>
      </w:pPr>
      <w:r>
        <w:rPr>
          <w:rFonts w:ascii="Times New Roman" w:eastAsia="Times New Roman" w:hAnsi="Times New Roman" w:cs="Times New Roman"/>
          <w:sz w:val="28"/>
        </w:rPr>
        <w:t xml:space="preserve">«Казанский государственный энергетический университет» </w:t>
      </w:r>
    </w:p>
    <w:p w:rsidR="0052701D" w:rsidRDefault="00D40929">
      <w:pPr>
        <w:spacing w:after="0"/>
        <w:ind w:left="859"/>
        <w:jc w:val="center"/>
      </w:pPr>
      <w:r>
        <w:rPr>
          <w:rFonts w:ascii="Times New Roman" w:eastAsia="Times New Roman" w:hAnsi="Times New Roman" w:cs="Times New Roman"/>
          <w:sz w:val="36"/>
        </w:rPr>
        <w:t xml:space="preserve"> </w:t>
      </w:r>
    </w:p>
    <w:p w:rsidR="0052701D" w:rsidRDefault="00D40929">
      <w:pPr>
        <w:spacing w:after="0"/>
        <w:ind w:left="859"/>
        <w:jc w:val="center"/>
      </w:pPr>
      <w:r>
        <w:rPr>
          <w:rFonts w:ascii="Times New Roman" w:eastAsia="Times New Roman" w:hAnsi="Times New Roman" w:cs="Times New Roman"/>
          <w:sz w:val="36"/>
        </w:rPr>
        <w:t xml:space="preserve"> </w:t>
      </w:r>
    </w:p>
    <w:p w:rsidR="0052701D" w:rsidRDefault="00D40929">
      <w:pPr>
        <w:spacing w:after="0"/>
        <w:ind w:left="859"/>
        <w:jc w:val="center"/>
      </w:pPr>
      <w:r>
        <w:rPr>
          <w:rFonts w:ascii="Times New Roman" w:eastAsia="Times New Roman" w:hAnsi="Times New Roman" w:cs="Times New Roman"/>
          <w:sz w:val="36"/>
        </w:rPr>
        <w:t xml:space="preserve"> </w:t>
      </w:r>
    </w:p>
    <w:p w:rsidR="0052701D" w:rsidRDefault="00D40929">
      <w:pPr>
        <w:spacing w:after="0"/>
        <w:ind w:left="859"/>
        <w:jc w:val="center"/>
      </w:pPr>
      <w:r>
        <w:rPr>
          <w:rFonts w:ascii="Times New Roman" w:eastAsia="Times New Roman" w:hAnsi="Times New Roman" w:cs="Times New Roman"/>
          <w:sz w:val="36"/>
        </w:rPr>
        <w:t xml:space="preserve"> </w:t>
      </w:r>
    </w:p>
    <w:p w:rsidR="0052701D" w:rsidRDefault="00D40929">
      <w:pPr>
        <w:spacing w:after="0"/>
        <w:ind w:left="859"/>
        <w:jc w:val="center"/>
      </w:pPr>
      <w:r>
        <w:rPr>
          <w:rFonts w:ascii="Times New Roman" w:eastAsia="Times New Roman" w:hAnsi="Times New Roman" w:cs="Times New Roman"/>
          <w:sz w:val="36"/>
        </w:rPr>
        <w:t xml:space="preserve"> </w:t>
      </w:r>
    </w:p>
    <w:p w:rsidR="0052701D" w:rsidRDefault="00D40929">
      <w:pPr>
        <w:spacing w:after="0"/>
        <w:ind w:left="859"/>
        <w:jc w:val="center"/>
      </w:pPr>
      <w:r>
        <w:rPr>
          <w:rFonts w:ascii="Times New Roman" w:eastAsia="Times New Roman" w:hAnsi="Times New Roman" w:cs="Times New Roman"/>
          <w:sz w:val="36"/>
        </w:rPr>
        <w:t xml:space="preserve"> </w:t>
      </w:r>
    </w:p>
    <w:p w:rsidR="0052701D" w:rsidRDefault="00D40929">
      <w:pPr>
        <w:spacing w:after="0"/>
        <w:ind w:left="850"/>
        <w:jc w:val="center"/>
      </w:pPr>
      <w:r>
        <w:rPr>
          <w:rFonts w:ascii="Times New Roman" w:eastAsia="Times New Roman" w:hAnsi="Times New Roman" w:cs="Times New Roman"/>
          <w:b/>
          <w:sz w:val="32"/>
        </w:rPr>
        <w:t xml:space="preserve"> </w:t>
      </w:r>
    </w:p>
    <w:p w:rsidR="0052701D" w:rsidRDefault="00D40929">
      <w:pPr>
        <w:spacing w:after="0"/>
        <w:ind w:left="2094" w:hanging="10"/>
      </w:pPr>
      <w:r>
        <w:rPr>
          <w:rFonts w:ascii="Times New Roman" w:eastAsia="Times New Roman" w:hAnsi="Times New Roman" w:cs="Times New Roman"/>
          <w:b/>
          <w:sz w:val="32"/>
        </w:rPr>
        <w:t xml:space="preserve">ЭНЕРГЕТИКА, ИНФОКОММУНИКАЦИОННЫЕ ТЕХНОЛОГИИ И ВЫСШЕЕ ОБРАЗОВАНИЕ </w:t>
      </w:r>
    </w:p>
    <w:p w:rsidR="0052701D" w:rsidRDefault="00D40929">
      <w:pPr>
        <w:spacing w:after="0"/>
        <w:ind w:left="850"/>
        <w:jc w:val="center"/>
      </w:pPr>
      <w:r>
        <w:rPr>
          <w:rFonts w:ascii="Times New Roman" w:eastAsia="Times New Roman" w:hAnsi="Times New Roman" w:cs="Times New Roman"/>
          <w:sz w:val="32"/>
        </w:rPr>
        <w:t xml:space="preserve"> </w:t>
      </w:r>
    </w:p>
    <w:p w:rsidR="0052701D" w:rsidRDefault="00D40929">
      <w:pPr>
        <w:spacing w:after="70"/>
        <w:ind w:left="850"/>
        <w:jc w:val="center"/>
      </w:pPr>
      <w:r>
        <w:rPr>
          <w:rFonts w:ascii="Times New Roman" w:eastAsia="Times New Roman" w:hAnsi="Times New Roman" w:cs="Times New Roman"/>
          <w:sz w:val="32"/>
        </w:rPr>
        <w:t xml:space="preserve"> </w:t>
      </w:r>
    </w:p>
    <w:p w:rsidR="0052701D" w:rsidRDefault="00D40929">
      <w:pPr>
        <w:spacing w:after="0"/>
        <w:ind w:left="776" w:hanging="10"/>
        <w:jc w:val="center"/>
      </w:pPr>
      <w:r>
        <w:rPr>
          <w:rFonts w:ascii="Times New Roman" w:eastAsia="Times New Roman" w:hAnsi="Times New Roman" w:cs="Times New Roman"/>
          <w:sz w:val="36"/>
        </w:rPr>
        <w:t>Международная научно-</w:t>
      </w:r>
      <w:r>
        <w:rPr>
          <w:rFonts w:ascii="Times New Roman" w:eastAsia="Times New Roman" w:hAnsi="Times New Roman" w:cs="Times New Roman"/>
          <w:sz w:val="36"/>
        </w:rPr>
        <w:t xml:space="preserve">техническая конференция </w:t>
      </w:r>
    </w:p>
    <w:p w:rsidR="0052701D" w:rsidRDefault="00D40929">
      <w:pPr>
        <w:spacing w:after="0"/>
        <w:ind w:left="776" w:right="2" w:hanging="10"/>
        <w:jc w:val="center"/>
      </w:pPr>
      <w:r>
        <w:rPr>
          <w:rFonts w:ascii="Times New Roman" w:eastAsia="Times New Roman" w:hAnsi="Times New Roman" w:cs="Times New Roman"/>
          <w:sz w:val="36"/>
        </w:rPr>
        <w:t xml:space="preserve">(Алматы, 20-21 октября 2022 г.) </w:t>
      </w:r>
    </w:p>
    <w:p w:rsidR="0052701D" w:rsidRDefault="00D40929">
      <w:pPr>
        <w:spacing w:after="60"/>
        <w:ind w:left="1133"/>
      </w:pPr>
      <w:r>
        <w:rPr>
          <w:rFonts w:ascii="Times New Roman" w:eastAsia="Times New Roman" w:hAnsi="Times New Roman" w:cs="Times New Roman"/>
          <w:sz w:val="24"/>
        </w:rPr>
        <w:t xml:space="preserve"> </w:t>
      </w:r>
    </w:p>
    <w:p w:rsidR="0052701D" w:rsidRDefault="00D40929">
      <w:pPr>
        <w:spacing w:after="104"/>
        <w:ind w:left="1133"/>
      </w:pPr>
      <w:r>
        <w:rPr>
          <w:rFonts w:ascii="Times New Roman" w:eastAsia="Times New Roman" w:hAnsi="Times New Roman" w:cs="Times New Roman"/>
          <w:sz w:val="24"/>
        </w:rPr>
        <w:t xml:space="preserve"> </w:t>
      </w:r>
    </w:p>
    <w:p w:rsidR="0052701D" w:rsidRDefault="00D40929">
      <w:pPr>
        <w:spacing w:after="73" w:line="249" w:lineRule="auto"/>
        <w:ind w:left="954" w:right="185" w:hanging="10"/>
        <w:jc w:val="center"/>
      </w:pPr>
      <w:r>
        <w:rPr>
          <w:rFonts w:ascii="Times New Roman" w:eastAsia="Times New Roman" w:hAnsi="Times New Roman" w:cs="Times New Roman"/>
          <w:sz w:val="28"/>
        </w:rPr>
        <w:t xml:space="preserve">Электронный сборник статей по материалам конференции </w:t>
      </w:r>
    </w:p>
    <w:p w:rsidR="0052701D" w:rsidRDefault="00D40929">
      <w:pPr>
        <w:spacing w:after="14" w:line="249" w:lineRule="auto"/>
        <w:ind w:left="954" w:right="175" w:hanging="10"/>
        <w:jc w:val="center"/>
      </w:pPr>
      <w:r>
        <w:rPr>
          <w:rFonts w:ascii="Times New Roman" w:eastAsia="Times New Roman" w:hAnsi="Times New Roman" w:cs="Times New Roman"/>
          <w:sz w:val="28"/>
        </w:rPr>
        <w:t xml:space="preserve">В трех томах </w:t>
      </w:r>
    </w:p>
    <w:p w:rsidR="0052701D" w:rsidRDefault="00D40929">
      <w:pPr>
        <w:spacing w:after="12"/>
        <w:ind w:left="839"/>
        <w:jc w:val="center"/>
      </w:pPr>
      <w:r>
        <w:rPr>
          <w:rFonts w:ascii="Times New Roman" w:eastAsia="Times New Roman" w:hAnsi="Times New Roman" w:cs="Times New Roman"/>
          <w:sz w:val="28"/>
        </w:rPr>
        <w:t xml:space="preserve"> </w:t>
      </w:r>
    </w:p>
    <w:p w:rsidR="0052701D" w:rsidRDefault="00D40929">
      <w:pPr>
        <w:spacing w:after="62"/>
        <w:ind w:left="839"/>
        <w:jc w:val="center"/>
      </w:pPr>
      <w:r>
        <w:rPr>
          <w:rFonts w:ascii="Times New Roman" w:eastAsia="Times New Roman" w:hAnsi="Times New Roman" w:cs="Times New Roman"/>
          <w:sz w:val="28"/>
        </w:rPr>
        <w:t xml:space="preserve"> </w:t>
      </w:r>
    </w:p>
    <w:p w:rsidR="0052701D" w:rsidRDefault="00D40929">
      <w:pPr>
        <w:spacing w:after="14" w:line="249" w:lineRule="auto"/>
        <w:ind w:left="954" w:right="180" w:hanging="10"/>
        <w:jc w:val="center"/>
      </w:pPr>
      <w:r>
        <w:rPr>
          <w:rFonts w:ascii="Times New Roman" w:eastAsia="Times New Roman" w:hAnsi="Times New Roman" w:cs="Times New Roman"/>
          <w:sz w:val="28"/>
        </w:rPr>
        <w:t xml:space="preserve">Том 3 </w:t>
      </w:r>
    </w:p>
    <w:p w:rsidR="0052701D" w:rsidRDefault="00D40929">
      <w:pPr>
        <w:spacing w:after="12"/>
        <w:ind w:left="839"/>
        <w:jc w:val="center"/>
      </w:pPr>
      <w:r>
        <w:rPr>
          <w:rFonts w:ascii="Times New Roman" w:eastAsia="Times New Roman" w:hAnsi="Times New Roman" w:cs="Times New Roman"/>
          <w:sz w:val="28"/>
        </w:rPr>
        <w:t xml:space="preserve"> </w:t>
      </w:r>
    </w:p>
    <w:p w:rsidR="0052701D" w:rsidRDefault="00D40929">
      <w:pPr>
        <w:spacing w:after="12"/>
        <w:ind w:left="839"/>
        <w:jc w:val="center"/>
      </w:pPr>
      <w:r>
        <w:rPr>
          <w:rFonts w:ascii="Times New Roman" w:eastAsia="Times New Roman" w:hAnsi="Times New Roman" w:cs="Times New Roman"/>
          <w:sz w:val="28"/>
        </w:rPr>
        <w:t xml:space="preserve"> </w:t>
      </w:r>
    </w:p>
    <w:p w:rsidR="0052701D" w:rsidRDefault="00D40929">
      <w:pPr>
        <w:spacing w:after="12"/>
        <w:ind w:left="839"/>
        <w:jc w:val="center"/>
      </w:pPr>
      <w:r>
        <w:rPr>
          <w:rFonts w:ascii="Times New Roman" w:eastAsia="Times New Roman" w:hAnsi="Times New Roman" w:cs="Times New Roman"/>
          <w:sz w:val="28"/>
        </w:rPr>
        <w:t xml:space="preserve"> </w:t>
      </w:r>
    </w:p>
    <w:p w:rsidR="0052701D" w:rsidRDefault="00D40929">
      <w:pPr>
        <w:spacing w:after="12"/>
        <w:ind w:left="839"/>
        <w:jc w:val="center"/>
      </w:pPr>
      <w:r>
        <w:rPr>
          <w:rFonts w:ascii="Times New Roman" w:eastAsia="Times New Roman" w:hAnsi="Times New Roman" w:cs="Times New Roman"/>
          <w:sz w:val="28"/>
        </w:rPr>
        <w:t xml:space="preserve"> </w:t>
      </w:r>
    </w:p>
    <w:p w:rsidR="0052701D" w:rsidRDefault="00D40929">
      <w:pPr>
        <w:spacing w:after="12"/>
        <w:ind w:left="839"/>
        <w:jc w:val="center"/>
      </w:pPr>
      <w:r>
        <w:rPr>
          <w:rFonts w:ascii="Times New Roman" w:eastAsia="Times New Roman" w:hAnsi="Times New Roman" w:cs="Times New Roman"/>
          <w:sz w:val="28"/>
        </w:rPr>
        <w:t xml:space="preserve"> </w:t>
      </w:r>
    </w:p>
    <w:p w:rsidR="0052701D" w:rsidRDefault="00D40929">
      <w:pPr>
        <w:spacing w:after="12"/>
        <w:ind w:left="839"/>
        <w:jc w:val="center"/>
      </w:pPr>
      <w:r>
        <w:rPr>
          <w:rFonts w:ascii="Times New Roman" w:eastAsia="Times New Roman" w:hAnsi="Times New Roman" w:cs="Times New Roman"/>
          <w:sz w:val="28"/>
        </w:rPr>
        <w:t xml:space="preserve"> </w:t>
      </w:r>
    </w:p>
    <w:p w:rsidR="0052701D" w:rsidRDefault="00D40929">
      <w:pPr>
        <w:spacing w:after="42"/>
        <w:ind w:left="839"/>
        <w:jc w:val="center"/>
      </w:pPr>
      <w:r>
        <w:rPr>
          <w:rFonts w:ascii="Times New Roman" w:eastAsia="Times New Roman" w:hAnsi="Times New Roman" w:cs="Times New Roman"/>
          <w:sz w:val="28"/>
        </w:rPr>
        <w:t xml:space="preserve"> </w:t>
      </w:r>
    </w:p>
    <w:p w:rsidR="0052701D" w:rsidRDefault="00D40929">
      <w:pPr>
        <w:spacing w:after="14" w:line="249" w:lineRule="auto"/>
        <w:ind w:left="954" w:right="184" w:hanging="10"/>
        <w:jc w:val="center"/>
      </w:pPr>
      <w:r>
        <w:rPr>
          <w:rFonts w:ascii="Times New Roman" w:eastAsia="Times New Roman" w:hAnsi="Times New Roman" w:cs="Times New Roman"/>
          <w:sz w:val="28"/>
        </w:rPr>
        <w:t xml:space="preserve">Алматы, 2022 </w:t>
      </w:r>
    </w:p>
    <w:p w:rsidR="0052701D" w:rsidRDefault="00D40929">
      <w:pPr>
        <w:spacing w:after="39" w:line="249" w:lineRule="auto"/>
        <w:ind w:left="567"/>
        <w:jc w:val="both"/>
      </w:pPr>
      <w:r>
        <w:rPr>
          <w:rFonts w:ascii="Times New Roman" w:eastAsia="Times New Roman" w:hAnsi="Times New Roman" w:cs="Times New Roman"/>
          <w:sz w:val="26"/>
        </w:rPr>
        <w:t xml:space="preserve">УДК 621.311+51+53+620.22+502+614.8+620.92  </w:t>
      </w:r>
    </w:p>
    <w:p w:rsidR="0052701D" w:rsidRDefault="00D40929">
      <w:pPr>
        <w:spacing w:after="30" w:line="249" w:lineRule="auto"/>
        <w:ind w:left="567"/>
        <w:jc w:val="both"/>
      </w:pPr>
      <w:r>
        <w:rPr>
          <w:rFonts w:ascii="Times New Roman" w:eastAsia="Times New Roman" w:hAnsi="Times New Roman" w:cs="Times New Roman"/>
          <w:sz w:val="26"/>
        </w:rPr>
        <w:t xml:space="preserve">ББК 31+32+22+68.9+38.9  </w:t>
      </w:r>
    </w:p>
    <w:p w:rsidR="0052701D" w:rsidRDefault="00D40929">
      <w:pPr>
        <w:spacing w:after="4" w:line="249" w:lineRule="auto"/>
        <w:ind w:left="567"/>
        <w:jc w:val="both"/>
      </w:pPr>
      <w:r>
        <w:rPr>
          <w:rFonts w:ascii="Times New Roman" w:eastAsia="Times New Roman" w:hAnsi="Times New Roman" w:cs="Times New Roman"/>
          <w:sz w:val="26"/>
        </w:rPr>
        <w:t xml:space="preserve">М43 </w:t>
      </w:r>
    </w:p>
    <w:p w:rsidR="0052701D" w:rsidRDefault="00D40929">
      <w:pPr>
        <w:spacing w:after="0"/>
        <w:ind w:left="567"/>
      </w:pPr>
      <w:r>
        <w:rPr>
          <w:rFonts w:ascii="Times New Roman" w:eastAsia="Times New Roman" w:hAnsi="Times New Roman" w:cs="Times New Roman"/>
          <w:sz w:val="28"/>
        </w:rPr>
        <w:t xml:space="preserve"> </w:t>
      </w:r>
    </w:p>
    <w:p w:rsidR="0052701D" w:rsidRDefault="00D40929">
      <w:pPr>
        <w:spacing w:after="0"/>
        <w:ind w:left="567"/>
      </w:pPr>
      <w:r>
        <w:rPr>
          <w:rFonts w:ascii="Times New Roman" w:eastAsia="Times New Roman" w:hAnsi="Times New Roman" w:cs="Times New Roman"/>
          <w:sz w:val="28"/>
        </w:rPr>
        <w:lastRenderedPageBreak/>
        <w:t xml:space="preserve"> </w:t>
      </w:r>
    </w:p>
    <w:p w:rsidR="0052701D" w:rsidRDefault="00D40929">
      <w:pPr>
        <w:spacing w:after="73" w:line="250" w:lineRule="auto"/>
        <w:ind w:left="723" w:right="235" w:hanging="10"/>
        <w:jc w:val="center"/>
      </w:pPr>
      <w:r>
        <w:rPr>
          <w:rFonts w:ascii="Times New Roman" w:eastAsia="Times New Roman" w:hAnsi="Times New Roman" w:cs="Times New Roman"/>
          <w:i/>
          <w:sz w:val="24"/>
        </w:rPr>
        <w:t xml:space="preserve">Рецензенты: </w:t>
      </w:r>
    </w:p>
    <w:p w:rsidR="0052701D" w:rsidRDefault="00D40929">
      <w:pPr>
        <w:spacing w:after="148" w:line="248" w:lineRule="auto"/>
        <w:ind w:left="1725" w:right="14" w:hanging="721"/>
        <w:jc w:val="both"/>
      </w:pPr>
      <w:r>
        <w:rPr>
          <w:rFonts w:ascii="Times New Roman" w:eastAsia="Times New Roman" w:hAnsi="Times New Roman" w:cs="Times New Roman"/>
          <w:sz w:val="24"/>
        </w:rPr>
        <w:t xml:space="preserve">д-р техн. наук, зав.каф. «Электроснабжения и электротехники» ФГБОУ ВО «Иркутский национальный исследовательский технический университет» К.В. Суслов </w:t>
      </w:r>
    </w:p>
    <w:p w:rsidR="0052701D" w:rsidRDefault="00D40929">
      <w:pPr>
        <w:spacing w:after="29" w:line="248" w:lineRule="auto"/>
        <w:ind w:left="3650" w:right="14" w:hanging="2867"/>
        <w:jc w:val="both"/>
      </w:pPr>
      <w:r>
        <w:rPr>
          <w:rFonts w:ascii="Times New Roman" w:eastAsia="Times New Roman" w:hAnsi="Times New Roman" w:cs="Times New Roman"/>
          <w:sz w:val="24"/>
        </w:rPr>
        <w:t>д-р экон. наук, зав. сектором «Экономика энергетики» Института энергетики Национальной академ</w:t>
      </w:r>
      <w:r>
        <w:rPr>
          <w:rFonts w:ascii="Times New Roman" w:eastAsia="Times New Roman" w:hAnsi="Times New Roman" w:cs="Times New Roman"/>
          <w:sz w:val="24"/>
        </w:rPr>
        <w:t xml:space="preserve">ии наук Беларуси Зорина Т.Г. </w:t>
      </w:r>
    </w:p>
    <w:p w:rsidR="0052701D" w:rsidRDefault="00D40929">
      <w:pPr>
        <w:spacing w:after="67"/>
        <w:ind w:left="541"/>
        <w:jc w:val="center"/>
      </w:pPr>
      <w:r>
        <w:rPr>
          <w:rFonts w:ascii="Times New Roman" w:eastAsia="Times New Roman" w:hAnsi="Times New Roman" w:cs="Times New Roman"/>
          <w:sz w:val="24"/>
        </w:rPr>
        <w:t xml:space="preserve"> </w:t>
      </w:r>
    </w:p>
    <w:p w:rsidR="0052701D" w:rsidRDefault="00D40929">
      <w:pPr>
        <w:spacing w:after="72" w:line="250" w:lineRule="auto"/>
        <w:ind w:left="723" w:right="236" w:hanging="10"/>
        <w:jc w:val="center"/>
      </w:pPr>
      <w:r>
        <w:rPr>
          <w:rFonts w:ascii="Times New Roman" w:eastAsia="Times New Roman" w:hAnsi="Times New Roman" w:cs="Times New Roman"/>
          <w:i/>
          <w:sz w:val="24"/>
        </w:rPr>
        <w:t xml:space="preserve">Редакционная коллегия: </w:t>
      </w:r>
    </w:p>
    <w:p w:rsidR="0052701D" w:rsidRDefault="00D40929">
      <w:pPr>
        <w:spacing w:after="71" w:line="248" w:lineRule="auto"/>
        <w:ind w:left="1235" w:right="14"/>
        <w:jc w:val="both"/>
      </w:pPr>
      <w:r>
        <w:rPr>
          <w:rFonts w:ascii="Times New Roman" w:eastAsia="Times New Roman" w:hAnsi="Times New Roman" w:cs="Times New Roman"/>
          <w:sz w:val="24"/>
        </w:rPr>
        <w:t xml:space="preserve">Э.Ю. Абдуллазянов (гл. редактор), И.Г. Ахметова (зам. гл. редактор), Ю.С. Валеева </w:t>
      </w:r>
    </w:p>
    <w:p w:rsidR="0052701D" w:rsidRDefault="00D40929">
      <w:pPr>
        <w:spacing w:after="0"/>
        <w:ind w:left="567"/>
      </w:pPr>
      <w:r>
        <w:rPr>
          <w:rFonts w:ascii="Times New Roman" w:eastAsia="Times New Roman" w:hAnsi="Times New Roman" w:cs="Times New Roman"/>
          <w:b/>
          <w:sz w:val="28"/>
        </w:rPr>
        <w:t xml:space="preserve"> </w:t>
      </w:r>
    </w:p>
    <w:p w:rsidR="0052701D" w:rsidRDefault="00D40929">
      <w:pPr>
        <w:spacing w:after="0"/>
        <w:ind w:left="567"/>
      </w:pPr>
      <w:r>
        <w:rPr>
          <w:rFonts w:ascii="Times New Roman" w:eastAsia="Times New Roman" w:hAnsi="Times New Roman" w:cs="Times New Roman"/>
          <w:b/>
          <w:sz w:val="28"/>
        </w:rPr>
        <w:t xml:space="preserve"> </w:t>
      </w:r>
    </w:p>
    <w:p w:rsidR="0052701D" w:rsidRDefault="00D40929">
      <w:pPr>
        <w:spacing w:after="20"/>
        <w:ind w:left="567"/>
      </w:pPr>
      <w:r>
        <w:rPr>
          <w:rFonts w:ascii="Times New Roman" w:eastAsia="Times New Roman" w:hAnsi="Times New Roman" w:cs="Times New Roman"/>
          <w:b/>
          <w:sz w:val="28"/>
        </w:rPr>
        <w:t xml:space="preserve"> </w:t>
      </w:r>
    </w:p>
    <w:p w:rsidR="0052701D" w:rsidRDefault="00D40929">
      <w:pPr>
        <w:spacing w:after="5" w:line="271" w:lineRule="auto"/>
        <w:ind w:left="576" w:right="64" w:hanging="567"/>
        <w:jc w:val="both"/>
      </w:pPr>
      <w:r>
        <w:rPr>
          <w:rFonts w:ascii="Times New Roman" w:eastAsia="Times New Roman" w:hAnsi="Times New Roman" w:cs="Times New Roman"/>
          <w:sz w:val="28"/>
        </w:rPr>
        <w:t>М43</w:t>
      </w:r>
      <w:r>
        <w:rPr>
          <w:rFonts w:ascii="Times New Roman" w:eastAsia="Times New Roman" w:hAnsi="Times New Roman" w:cs="Times New Roman"/>
          <w:b/>
          <w:sz w:val="28"/>
        </w:rPr>
        <w:t xml:space="preserve">  </w:t>
      </w:r>
      <w:r>
        <w:rPr>
          <w:rFonts w:ascii="Times New Roman" w:eastAsia="Times New Roman" w:hAnsi="Times New Roman" w:cs="Times New Roman"/>
          <w:sz w:val="28"/>
        </w:rPr>
        <w:t>Международная научно-техническая конференция «</w:t>
      </w:r>
      <w:r>
        <w:rPr>
          <w:rFonts w:ascii="Times New Roman" w:eastAsia="Times New Roman" w:hAnsi="Times New Roman" w:cs="Times New Roman"/>
          <w:sz w:val="28"/>
        </w:rPr>
        <w:t>Энергетика, инфокоммуникационные технологии и высшее образование</w:t>
      </w:r>
      <w:r>
        <w:rPr>
          <w:rFonts w:ascii="Times New Roman" w:eastAsia="Times New Roman" w:hAnsi="Times New Roman" w:cs="Times New Roman"/>
          <w:sz w:val="24"/>
        </w:rPr>
        <w:t xml:space="preserve">»: </w:t>
      </w:r>
      <w:r>
        <w:rPr>
          <w:rFonts w:ascii="Times New Roman" w:eastAsia="Times New Roman" w:hAnsi="Times New Roman" w:cs="Times New Roman"/>
          <w:sz w:val="28"/>
        </w:rPr>
        <w:t>электронный сборник статей по материалам конференции: [в 3 томах] / редкол. Э.Ю. Абдуллазянов (гл. редактор) и др. – Казань: КГЭУ, 2022. – Т. 3. – 474 с.</w:t>
      </w:r>
      <w:r>
        <w:rPr>
          <w:rFonts w:ascii="Times New Roman" w:eastAsia="Times New Roman" w:hAnsi="Times New Roman" w:cs="Times New Roman"/>
          <w:b/>
          <w:sz w:val="28"/>
        </w:rPr>
        <w:t xml:space="preserve"> </w:t>
      </w:r>
    </w:p>
    <w:p w:rsidR="0052701D" w:rsidRDefault="00D40929">
      <w:pPr>
        <w:spacing w:after="0"/>
      </w:pPr>
      <w:r>
        <w:rPr>
          <w:rFonts w:ascii="Times New Roman" w:eastAsia="Times New Roman" w:hAnsi="Times New Roman" w:cs="Times New Roman"/>
          <w:b/>
          <w:sz w:val="20"/>
        </w:rPr>
        <w:t xml:space="preserve"> </w:t>
      </w:r>
    </w:p>
    <w:p w:rsidR="0052701D" w:rsidRDefault="00D40929">
      <w:pPr>
        <w:spacing w:after="36"/>
      </w:pPr>
      <w:r>
        <w:rPr>
          <w:rFonts w:ascii="Times New Roman" w:eastAsia="Times New Roman" w:hAnsi="Times New Roman" w:cs="Times New Roman"/>
          <w:b/>
          <w:sz w:val="20"/>
        </w:rPr>
        <w:t xml:space="preserve"> </w:t>
      </w:r>
    </w:p>
    <w:p w:rsidR="0052701D" w:rsidRDefault="00D40929">
      <w:pPr>
        <w:spacing w:after="4" w:line="249" w:lineRule="auto"/>
        <w:ind w:left="1278"/>
        <w:jc w:val="both"/>
      </w:pPr>
      <w:r>
        <w:rPr>
          <w:rFonts w:ascii="Times New Roman" w:eastAsia="Times New Roman" w:hAnsi="Times New Roman" w:cs="Times New Roman"/>
          <w:sz w:val="26"/>
        </w:rPr>
        <w:t xml:space="preserve">ISBN 978-5-89873-617-0 (т. 3) </w:t>
      </w:r>
      <w:r>
        <w:rPr>
          <w:rFonts w:ascii="Times New Roman" w:eastAsia="Times New Roman" w:hAnsi="Times New Roman" w:cs="Times New Roman"/>
          <w:sz w:val="26"/>
        </w:rPr>
        <w:t xml:space="preserve"> </w:t>
      </w:r>
    </w:p>
    <w:p w:rsidR="0052701D" w:rsidRDefault="00D40929">
      <w:pPr>
        <w:spacing w:after="4" w:line="249" w:lineRule="auto"/>
        <w:ind w:left="1278"/>
        <w:jc w:val="both"/>
      </w:pPr>
      <w:r>
        <w:rPr>
          <w:rFonts w:ascii="Times New Roman" w:eastAsia="Times New Roman" w:hAnsi="Times New Roman" w:cs="Times New Roman"/>
          <w:sz w:val="26"/>
        </w:rPr>
        <w:t>ISBN 978-5-89873-618-7</w:t>
      </w:r>
      <w:r>
        <w:rPr>
          <w:rFonts w:ascii="Times New Roman" w:eastAsia="Times New Roman" w:hAnsi="Times New Roman" w:cs="Times New Roman"/>
          <w:b/>
          <w:sz w:val="26"/>
        </w:rPr>
        <w:t xml:space="preserve"> </w:t>
      </w:r>
    </w:p>
    <w:p w:rsidR="0052701D" w:rsidRDefault="00D40929">
      <w:pPr>
        <w:spacing w:after="0"/>
        <w:ind w:left="567"/>
      </w:pPr>
      <w:r>
        <w:rPr>
          <w:rFonts w:ascii="Times New Roman" w:eastAsia="Times New Roman" w:hAnsi="Times New Roman" w:cs="Times New Roman"/>
          <w:sz w:val="28"/>
        </w:rPr>
        <w:t xml:space="preserve"> </w:t>
      </w:r>
    </w:p>
    <w:p w:rsidR="0052701D" w:rsidRDefault="00D40929">
      <w:pPr>
        <w:spacing w:after="29" w:line="248" w:lineRule="auto"/>
        <w:ind w:left="567" w:right="87" w:firstLine="711"/>
        <w:jc w:val="both"/>
      </w:pPr>
      <w:r>
        <w:rPr>
          <w:rFonts w:ascii="Times New Roman" w:eastAsia="Times New Roman" w:hAnsi="Times New Roman" w:cs="Times New Roman"/>
          <w:sz w:val="24"/>
        </w:rPr>
        <w:t xml:space="preserve">В электронном сборнике представлены статьи по материалам Международной научнотехнической конференции «Энергетика, инфокоммуникационные технологии и высшее образование» по следующим научным направлениям: </w:t>
      </w:r>
    </w:p>
    <w:p w:rsidR="0052701D" w:rsidRDefault="00D40929">
      <w:pPr>
        <w:numPr>
          <w:ilvl w:val="0"/>
          <w:numId w:val="1"/>
        </w:numPr>
        <w:spacing w:after="29" w:line="248" w:lineRule="auto"/>
        <w:ind w:right="14" w:hanging="365"/>
        <w:jc w:val="both"/>
      </w:pPr>
      <w:r>
        <w:rPr>
          <w:rFonts w:ascii="Times New Roman" w:eastAsia="Times New Roman" w:hAnsi="Times New Roman" w:cs="Times New Roman"/>
          <w:sz w:val="24"/>
        </w:rPr>
        <w:t>Теплоэнергетика и теплот</w:t>
      </w:r>
      <w:r>
        <w:rPr>
          <w:rFonts w:ascii="Times New Roman" w:eastAsia="Times New Roman" w:hAnsi="Times New Roman" w:cs="Times New Roman"/>
          <w:sz w:val="24"/>
        </w:rPr>
        <w:t xml:space="preserve">ехнологии; </w:t>
      </w:r>
    </w:p>
    <w:p w:rsidR="0052701D" w:rsidRDefault="00D40929">
      <w:pPr>
        <w:numPr>
          <w:ilvl w:val="0"/>
          <w:numId w:val="1"/>
        </w:numPr>
        <w:spacing w:after="29" w:line="248" w:lineRule="auto"/>
        <w:ind w:right="14" w:hanging="365"/>
        <w:jc w:val="both"/>
      </w:pPr>
      <w:r>
        <w:rPr>
          <w:rFonts w:ascii="Times New Roman" w:eastAsia="Times New Roman" w:hAnsi="Times New Roman" w:cs="Times New Roman"/>
          <w:sz w:val="24"/>
        </w:rPr>
        <w:t xml:space="preserve">Электроэнергетика; </w:t>
      </w:r>
    </w:p>
    <w:p w:rsidR="0052701D" w:rsidRDefault="00D40929">
      <w:pPr>
        <w:numPr>
          <w:ilvl w:val="0"/>
          <w:numId w:val="1"/>
        </w:numPr>
        <w:spacing w:after="29" w:line="248" w:lineRule="auto"/>
        <w:ind w:right="14" w:hanging="365"/>
        <w:jc w:val="both"/>
      </w:pPr>
      <w:r>
        <w:rPr>
          <w:rFonts w:ascii="Times New Roman" w:eastAsia="Times New Roman" w:hAnsi="Times New Roman" w:cs="Times New Roman"/>
          <w:sz w:val="24"/>
        </w:rPr>
        <w:t xml:space="preserve">Радиотехника, электроника и телекоммуникации; </w:t>
      </w:r>
    </w:p>
    <w:p w:rsidR="0052701D" w:rsidRDefault="00D40929">
      <w:pPr>
        <w:numPr>
          <w:ilvl w:val="0"/>
          <w:numId w:val="1"/>
        </w:numPr>
        <w:spacing w:after="29" w:line="248" w:lineRule="auto"/>
        <w:ind w:right="14" w:hanging="365"/>
        <w:jc w:val="both"/>
      </w:pPr>
      <w:r>
        <w:rPr>
          <w:rFonts w:ascii="Times New Roman" w:eastAsia="Times New Roman" w:hAnsi="Times New Roman" w:cs="Times New Roman"/>
          <w:sz w:val="24"/>
        </w:rPr>
        <w:t xml:space="preserve">Энергообеспечение сельского хозяйства; </w:t>
      </w:r>
    </w:p>
    <w:p w:rsidR="0052701D" w:rsidRDefault="00D40929">
      <w:pPr>
        <w:numPr>
          <w:ilvl w:val="0"/>
          <w:numId w:val="1"/>
        </w:numPr>
        <w:spacing w:after="29" w:line="248" w:lineRule="auto"/>
        <w:ind w:right="14" w:hanging="365"/>
        <w:jc w:val="both"/>
      </w:pPr>
      <w:r>
        <w:rPr>
          <w:rFonts w:ascii="Times New Roman" w:eastAsia="Times New Roman" w:hAnsi="Times New Roman" w:cs="Times New Roman"/>
          <w:sz w:val="24"/>
        </w:rPr>
        <w:t xml:space="preserve">Промышленная и экологическая безопасность; </w:t>
      </w:r>
    </w:p>
    <w:p w:rsidR="0052701D" w:rsidRDefault="00D40929">
      <w:pPr>
        <w:numPr>
          <w:ilvl w:val="0"/>
          <w:numId w:val="1"/>
        </w:numPr>
        <w:spacing w:after="29" w:line="248" w:lineRule="auto"/>
        <w:ind w:right="14" w:hanging="365"/>
        <w:jc w:val="both"/>
      </w:pPr>
      <w:r>
        <w:rPr>
          <w:rFonts w:ascii="Times New Roman" w:eastAsia="Times New Roman" w:hAnsi="Times New Roman" w:cs="Times New Roman"/>
          <w:sz w:val="24"/>
        </w:rPr>
        <w:t xml:space="preserve">Математическое моделирование и системы управления; </w:t>
      </w:r>
    </w:p>
    <w:p w:rsidR="0052701D" w:rsidRDefault="00D40929">
      <w:pPr>
        <w:numPr>
          <w:ilvl w:val="0"/>
          <w:numId w:val="1"/>
        </w:numPr>
        <w:spacing w:after="29" w:line="248" w:lineRule="auto"/>
        <w:ind w:right="14" w:hanging="365"/>
        <w:jc w:val="both"/>
      </w:pPr>
      <w:r>
        <w:rPr>
          <w:rFonts w:ascii="Times New Roman" w:eastAsia="Times New Roman" w:hAnsi="Times New Roman" w:cs="Times New Roman"/>
          <w:sz w:val="24"/>
        </w:rPr>
        <w:t>Информационные технологии и кибербезопасн</w:t>
      </w:r>
      <w:r>
        <w:rPr>
          <w:rFonts w:ascii="Times New Roman" w:eastAsia="Times New Roman" w:hAnsi="Times New Roman" w:cs="Times New Roman"/>
          <w:sz w:val="24"/>
        </w:rPr>
        <w:t xml:space="preserve">ость; </w:t>
      </w:r>
    </w:p>
    <w:p w:rsidR="0052701D" w:rsidRDefault="00D40929">
      <w:pPr>
        <w:numPr>
          <w:ilvl w:val="0"/>
          <w:numId w:val="1"/>
        </w:numPr>
        <w:spacing w:after="29" w:line="248" w:lineRule="auto"/>
        <w:ind w:right="14" w:hanging="365"/>
        <w:jc w:val="both"/>
      </w:pPr>
      <w:r>
        <w:rPr>
          <w:rFonts w:ascii="Times New Roman" w:eastAsia="Times New Roman" w:hAnsi="Times New Roman" w:cs="Times New Roman"/>
          <w:sz w:val="24"/>
        </w:rPr>
        <w:t xml:space="preserve">Космическая инженерия и робототехника; </w:t>
      </w:r>
    </w:p>
    <w:p w:rsidR="0052701D" w:rsidRDefault="00D40929">
      <w:pPr>
        <w:numPr>
          <w:ilvl w:val="0"/>
          <w:numId w:val="1"/>
        </w:numPr>
        <w:spacing w:after="29" w:line="248" w:lineRule="auto"/>
        <w:ind w:right="14" w:hanging="365"/>
        <w:jc w:val="both"/>
      </w:pPr>
      <w:r>
        <w:rPr>
          <w:rFonts w:ascii="Times New Roman" w:eastAsia="Times New Roman" w:hAnsi="Times New Roman" w:cs="Times New Roman"/>
          <w:sz w:val="24"/>
        </w:rPr>
        <w:t xml:space="preserve">Социально-политическое и культурное развитие Евразии; </w:t>
      </w:r>
    </w:p>
    <w:p w:rsidR="0052701D" w:rsidRDefault="00D40929">
      <w:pPr>
        <w:numPr>
          <w:ilvl w:val="0"/>
          <w:numId w:val="1"/>
        </w:numPr>
        <w:spacing w:after="29" w:line="248" w:lineRule="auto"/>
        <w:ind w:right="14" w:hanging="365"/>
        <w:jc w:val="both"/>
      </w:pPr>
      <w:r>
        <w:rPr>
          <w:rFonts w:ascii="Times New Roman" w:eastAsia="Times New Roman" w:hAnsi="Times New Roman" w:cs="Times New Roman"/>
          <w:sz w:val="24"/>
        </w:rPr>
        <w:t xml:space="preserve">Экономика знаний как фактор инновационного развития высшего образования. </w:t>
      </w:r>
    </w:p>
    <w:p w:rsidR="0052701D" w:rsidRDefault="00D40929">
      <w:pPr>
        <w:spacing w:after="29" w:line="248" w:lineRule="auto"/>
        <w:ind w:left="567" w:right="87" w:firstLine="711"/>
        <w:jc w:val="both"/>
      </w:pPr>
      <w:r>
        <w:rPr>
          <w:rFonts w:ascii="Times New Roman" w:eastAsia="Times New Roman" w:hAnsi="Times New Roman" w:cs="Times New Roman"/>
          <w:sz w:val="24"/>
        </w:rPr>
        <w:t xml:space="preserve">Предназначены </w:t>
      </w:r>
      <w:r>
        <w:rPr>
          <w:rFonts w:ascii="Times New Roman" w:eastAsia="Times New Roman" w:hAnsi="Times New Roman" w:cs="Times New Roman"/>
          <w:sz w:val="24"/>
        </w:rPr>
        <w:t xml:space="preserve">для научных работников, аспирантов и специалистов, работающих в области энергетики, а также для обучающихся образовательных учреждений энергетического профиля. </w:t>
      </w:r>
    </w:p>
    <w:p w:rsidR="0052701D" w:rsidRDefault="00D40929">
      <w:pPr>
        <w:spacing w:after="29" w:line="248" w:lineRule="auto"/>
        <w:ind w:left="567" w:right="14" w:firstLine="711"/>
        <w:jc w:val="both"/>
      </w:pPr>
      <w:r>
        <w:rPr>
          <w:rFonts w:ascii="Times New Roman" w:eastAsia="Times New Roman" w:hAnsi="Times New Roman" w:cs="Times New Roman"/>
          <w:sz w:val="24"/>
        </w:rPr>
        <w:t xml:space="preserve">Статьи публикуются в авторской редакции. Ответственность за содержание статей </w:t>
      </w:r>
      <w:r>
        <w:rPr>
          <w:rFonts w:ascii="Times New Roman" w:eastAsia="Times New Roman" w:hAnsi="Times New Roman" w:cs="Times New Roman"/>
          <w:sz w:val="24"/>
        </w:rPr>
        <w:t xml:space="preserve">возлагается на авторов. </w:t>
      </w:r>
    </w:p>
    <w:p w:rsidR="0052701D" w:rsidRDefault="00D40929">
      <w:pPr>
        <w:spacing w:after="0"/>
        <w:ind w:left="567"/>
      </w:pPr>
      <w:r>
        <w:rPr>
          <w:rFonts w:ascii="Times New Roman" w:eastAsia="Times New Roman" w:hAnsi="Times New Roman" w:cs="Times New Roman"/>
          <w:sz w:val="16"/>
        </w:rPr>
        <w:t xml:space="preserve"> </w:t>
      </w:r>
    </w:p>
    <w:p w:rsidR="0052701D" w:rsidRDefault="00D40929">
      <w:pPr>
        <w:spacing w:after="103"/>
        <w:ind w:left="567"/>
      </w:pPr>
      <w:r>
        <w:rPr>
          <w:rFonts w:ascii="Times New Roman" w:eastAsia="Times New Roman" w:hAnsi="Times New Roman" w:cs="Times New Roman"/>
          <w:sz w:val="16"/>
        </w:rPr>
        <w:t xml:space="preserve"> </w:t>
      </w:r>
    </w:p>
    <w:p w:rsidR="0052701D" w:rsidRDefault="00D40929">
      <w:pPr>
        <w:spacing w:after="53" w:line="248" w:lineRule="auto"/>
        <w:ind w:left="4678" w:right="490"/>
        <w:jc w:val="both"/>
      </w:pPr>
      <w:r>
        <w:rPr>
          <w:rFonts w:ascii="Times New Roman" w:eastAsia="Times New Roman" w:hAnsi="Times New Roman" w:cs="Times New Roman"/>
          <w:sz w:val="24"/>
        </w:rPr>
        <w:t xml:space="preserve">УДК 621.311+51+53+620.22+502+614.8+620.92  ББК 31+32+22+68.9+38.9  </w:t>
      </w:r>
    </w:p>
    <w:p w:rsidR="0052701D" w:rsidRDefault="00D40929">
      <w:pPr>
        <w:spacing w:after="0"/>
        <w:jc w:val="right"/>
      </w:pPr>
      <w:r>
        <w:rPr>
          <w:rFonts w:ascii="Times New Roman" w:eastAsia="Times New Roman" w:hAnsi="Times New Roman" w:cs="Times New Roman"/>
          <w:sz w:val="32"/>
        </w:rPr>
        <w:t xml:space="preserve"> </w:t>
      </w:r>
    </w:p>
    <w:p w:rsidR="0052701D" w:rsidRDefault="00D40929">
      <w:pPr>
        <w:tabs>
          <w:tab w:val="center" w:pos="4106"/>
          <w:tab w:val="center" w:pos="5554"/>
        </w:tabs>
        <w:spacing w:after="4" w:line="249" w:lineRule="auto"/>
        <w:ind w:left="-15"/>
      </w:pPr>
      <w:r>
        <w:rPr>
          <w:rFonts w:ascii="Times New Roman" w:eastAsia="Times New Roman" w:hAnsi="Times New Roman" w:cs="Times New Roman"/>
          <w:sz w:val="26"/>
        </w:rPr>
        <w:t xml:space="preserve">ISBN 978-5-89873-617-0 (т. 3)  </w:t>
      </w: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КГЭУ, 2022</w:t>
      </w:r>
      <w:r>
        <w:rPr>
          <w:rFonts w:ascii="Times New Roman" w:eastAsia="Times New Roman" w:hAnsi="Times New Roman" w:cs="Times New Roman"/>
          <w:sz w:val="26"/>
        </w:rPr>
        <w:t xml:space="preserve"> </w:t>
      </w:r>
    </w:p>
    <w:p w:rsidR="0052701D" w:rsidRDefault="00D40929">
      <w:pPr>
        <w:spacing w:after="441" w:line="249" w:lineRule="auto"/>
        <w:ind w:left="-15"/>
        <w:jc w:val="both"/>
      </w:pPr>
      <w:r>
        <w:rPr>
          <w:rFonts w:ascii="Times New Roman" w:eastAsia="Times New Roman" w:hAnsi="Times New Roman" w:cs="Times New Roman"/>
          <w:sz w:val="26"/>
        </w:rPr>
        <w:t>ISBN 978-5-89873-618-7</w:t>
      </w:r>
      <w:r>
        <w:rPr>
          <w:rFonts w:ascii="Times New Roman" w:eastAsia="Times New Roman" w:hAnsi="Times New Roman" w:cs="Times New Roman"/>
          <w:b/>
          <w:sz w:val="26"/>
        </w:rPr>
        <w:t xml:space="preserve"> </w:t>
      </w:r>
    </w:p>
    <w:p w:rsidR="0052701D" w:rsidRDefault="00D40929">
      <w:pPr>
        <w:spacing w:after="0"/>
        <w:ind w:left="551"/>
        <w:jc w:val="center"/>
      </w:pPr>
      <w:r>
        <w:rPr>
          <w:rFonts w:ascii="Times New Roman" w:eastAsia="Times New Roman" w:hAnsi="Times New Roman" w:cs="Times New Roman"/>
          <w:sz w:val="28"/>
        </w:rPr>
        <w:lastRenderedPageBreak/>
        <w:t xml:space="preserve"> </w:t>
      </w:r>
    </w:p>
    <w:p w:rsidR="0052701D" w:rsidRDefault="0052701D">
      <w:pPr>
        <w:sectPr w:rsidR="0052701D">
          <w:footerReference w:type="even" r:id="rId7"/>
          <w:footerReference w:type="default" r:id="rId8"/>
          <w:footerReference w:type="first" r:id="rId9"/>
          <w:footnotePr>
            <w:numRestart w:val="eachPage"/>
          </w:footnotePr>
          <w:pgSz w:w="11904" w:h="16838"/>
          <w:pgMar w:top="905" w:right="764" w:bottom="713" w:left="566" w:header="720" w:footer="720" w:gutter="0"/>
          <w:cols w:space="720"/>
        </w:sectPr>
      </w:pPr>
    </w:p>
    <w:p w:rsidR="0052701D" w:rsidRDefault="00D40929">
      <w:pPr>
        <w:pStyle w:val="1"/>
        <w:ind w:left="173" w:right="189"/>
      </w:pPr>
      <w:r>
        <w:lastRenderedPageBreak/>
        <w:t>СЕКЦИЯ «КОСМИЧЕСКАЯ ИНЖЕНЕРИЯ И РОБОТОТЕХНИКА»</w:t>
      </w:r>
      <w:r>
        <w:rPr>
          <w:rFonts w:ascii="Calibri" w:eastAsia="Calibri" w:hAnsi="Calibri" w:cs="Calibri"/>
        </w:rPr>
        <w:t xml:space="preserve"> </w:t>
      </w:r>
    </w:p>
    <w:p w:rsidR="0052701D" w:rsidRDefault="00D40929">
      <w:pPr>
        <w:spacing w:after="13"/>
        <w:ind w:left="711"/>
      </w:pPr>
      <w:r>
        <w:rPr>
          <w:rFonts w:ascii="Times New Roman" w:eastAsia="Times New Roman" w:hAnsi="Times New Roman" w:cs="Times New Roman"/>
          <w:b/>
          <w:sz w:val="24"/>
        </w:rPr>
        <w:t xml:space="preserve"> </w:t>
      </w:r>
    </w:p>
    <w:p w:rsidR="0052701D" w:rsidRDefault="00D40929">
      <w:pPr>
        <w:spacing w:after="29" w:line="248" w:lineRule="auto"/>
        <w:ind w:left="711" w:right="14"/>
        <w:jc w:val="both"/>
      </w:pPr>
      <w:r>
        <w:rPr>
          <w:rFonts w:ascii="Times New Roman" w:eastAsia="Times New Roman" w:hAnsi="Times New Roman" w:cs="Times New Roman"/>
          <w:sz w:val="24"/>
        </w:rPr>
        <w:t xml:space="preserve">УДК 004 </w:t>
      </w:r>
    </w:p>
    <w:p w:rsidR="0052701D" w:rsidRDefault="00D40929">
      <w:pPr>
        <w:spacing w:after="29" w:line="248" w:lineRule="auto"/>
        <w:ind w:left="711" w:right="14"/>
        <w:jc w:val="both"/>
      </w:pPr>
      <w:r>
        <w:rPr>
          <w:rFonts w:ascii="Times New Roman" w:eastAsia="Times New Roman" w:hAnsi="Times New Roman" w:cs="Times New Roman"/>
          <w:sz w:val="24"/>
        </w:rPr>
        <w:t xml:space="preserve">МРНТИ: 89.15.71 </w:t>
      </w:r>
    </w:p>
    <w:p w:rsidR="0052701D" w:rsidRDefault="00D40929">
      <w:pPr>
        <w:spacing w:after="22"/>
        <w:ind w:left="711"/>
      </w:pPr>
      <w:r>
        <w:rPr>
          <w:rFonts w:ascii="Times New Roman" w:eastAsia="Times New Roman" w:hAnsi="Times New Roman" w:cs="Times New Roman"/>
          <w:sz w:val="24"/>
        </w:rPr>
        <w:t xml:space="preserve"> </w:t>
      </w:r>
    </w:p>
    <w:p w:rsidR="0052701D" w:rsidRDefault="00D40929">
      <w:pPr>
        <w:pStyle w:val="1"/>
        <w:spacing w:line="251" w:lineRule="auto"/>
        <w:ind w:left="1172" w:right="0" w:firstLine="9"/>
        <w:jc w:val="left"/>
      </w:pPr>
      <w:r>
        <w:t xml:space="preserve">ПЕРСПЕКТИВЫ ПРИМЕНЕНИЯ ТЕХНОЛОГИЙ АНАЛИЗА </w:t>
      </w:r>
    </w:p>
    <w:p w:rsidR="0052701D" w:rsidRDefault="00D40929">
      <w:pPr>
        <w:spacing w:after="5" w:line="251" w:lineRule="auto"/>
        <w:ind w:left="1172" w:firstLine="9"/>
      </w:pPr>
      <w:r>
        <w:rPr>
          <w:rFonts w:ascii="Times New Roman" w:eastAsia="Times New Roman" w:hAnsi="Times New Roman" w:cs="Times New Roman"/>
          <w:b/>
          <w:sz w:val="28"/>
        </w:rPr>
        <w:t>БОЛЬШИХ ДАННЫХ В ЗАДАЧЕ ПОИСКА ПРЕДВЕСТНИКОВ СЕЙСМИЧЕСКОЙ АКТИВНОСТИ ПУТЕМ ОБРАБОТКИ РЕЗУЛЬТАТОВ ИЗМЕРЕНИЙ, ПРОВЕДЕННЫ</w:t>
      </w:r>
      <w:r>
        <w:rPr>
          <w:rFonts w:ascii="Times New Roman" w:eastAsia="Times New Roman" w:hAnsi="Times New Roman" w:cs="Times New Roman"/>
          <w:b/>
          <w:sz w:val="28"/>
        </w:rPr>
        <w:t xml:space="preserve">Х КОСМИЧЕСКИМИ АППАРАТАМИ </w:t>
      </w:r>
    </w:p>
    <w:p w:rsidR="0052701D" w:rsidRDefault="00D40929">
      <w:pPr>
        <w:spacing w:after="12"/>
        <w:ind w:left="764"/>
        <w:jc w:val="center"/>
      </w:pPr>
      <w:r>
        <w:rPr>
          <w:rFonts w:ascii="Times New Roman" w:eastAsia="Times New Roman" w:hAnsi="Times New Roman" w:cs="Times New Roman"/>
          <w:sz w:val="24"/>
        </w:rPr>
        <w:t xml:space="preserve"> </w:t>
      </w:r>
    </w:p>
    <w:p w:rsidR="0052701D" w:rsidRDefault="00D40929">
      <w:pPr>
        <w:spacing w:after="90" w:line="248" w:lineRule="auto"/>
        <w:ind w:left="490" w:right="297" w:firstLine="1287"/>
        <w:jc w:val="both"/>
      </w:pPr>
      <w:r>
        <w:rPr>
          <w:rFonts w:ascii="Times New Roman" w:eastAsia="Times New Roman" w:hAnsi="Times New Roman" w:cs="Times New Roman"/>
          <w:sz w:val="24"/>
        </w:rPr>
        <w:t xml:space="preserve"> Алипбаев Куаныш Арингожаевич</w:t>
      </w:r>
      <w:r>
        <w:rPr>
          <w:rFonts w:ascii="Times New Roman" w:eastAsia="Times New Roman" w:hAnsi="Times New Roman" w:cs="Times New Roman"/>
          <w:sz w:val="24"/>
          <w:vertAlign w:val="superscript"/>
        </w:rPr>
        <w:t>1</w:t>
      </w:r>
      <w:r>
        <w:rPr>
          <w:rFonts w:ascii="Times New Roman" w:eastAsia="Times New Roman" w:hAnsi="Times New Roman" w:cs="Times New Roman"/>
          <w:sz w:val="24"/>
        </w:rPr>
        <w:t>, Сулеев Тимур Адильжанулы</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xml:space="preserve"> </w:t>
      </w:r>
      <w:r>
        <w:rPr>
          <w:rFonts w:ascii="Times New Roman" w:eastAsia="Times New Roman" w:hAnsi="Times New Roman" w:cs="Times New Roman"/>
          <w:sz w:val="24"/>
          <w:vertAlign w:val="superscript"/>
        </w:rPr>
        <w:t>1,2</w:t>
      </w:r>
      <w:r>
        <w:rPr>
          <w:rFonts w:ascii="Times New Roman" w:eastAsia="Times New Roman" w:hAnsi="Times New Roman" w:cs="Times New Roman"/>
          <w:sz w:val="24"/>
        </w:rPr>
        <w:t xml:space="preserve">НАО «Алматинский университет энергетики и связи имени Гумарбека Даукеева»,  </w:t>
      </w:r>
    </w:p>
    <w:p w:rsidR="0052701D" w:rsidRDefault="00D40929">
      <w:pPr>
        <w:spacing w:after="14" w:line="248" w:lineRule="auto"/>
        <w:ind w:left="713" w:right="722" w:hanging="5"/>
        <w:jc w:val="center"/>
      </w:pPr>
      <w:r>
        <w:rPr>
          <w:rFonts w:ascii="Times New Roman" w:eastAsia="Times New Roman" w:hAnsi="Times New Roman" w:cs="Times New Roman"/>
          <w:sz w:val="24"/>
        </w:rPr>
        <w:t xml:space="preserve">г.Алматы, Казахстан </w:t>
      </w:r>
    </w:p>
    <w:p w:rsidR="0052701D" w:rsidRDefault="00D40929">
      <w:pPr>
        <w:spacing w:after="9" w:line="248" w:lineRule="auto"/>
        <w:ind w:left="897" w:right="186" w:hanging="10"/>
        <w:jc w:val="center"/>
      </w:pPr>
      <w:r>
        <w:rPr>
          <w:rFonts w:ascii="Times New Roman" w:eastAsia="Times New Roman" w:hAnsi="Times New Roman" w:cs="Times New Roman"/>
        </w:rPr>
        <w:t xml:space="preserve">е-mail: k.alipbayev@aues.kz, t.suleyev@aues.kz </w:t>
      </w:r>
    </w:p>
    <w:p w:rsidR="0052701D" w:rsidRDefault="00D40929">
      <w:pPr>
        <w:spacing w:after="45"/>
        <w:ind w:left="711"/>
      </w:pPr>
      <w:r>
        <w:rPr>
          <w:rFonts w:ascii="Times New Roman" w:eastAsia="Times New Roman" w:hAnsi="Times New Roman" w:cs="Times New Roman"/>
        </w:rPr>
        <w:t xml:space="preserve"> </w:t>
      </w:r>
    </w:p>
    <w:p w:rsidR="0052701D" w:rsidRDefault="00D40929">
      <w:pPr>
        <w:spacing w:after="29" w:line="248" w:lineRule="auto"/>
        <w:ind w:left="9" w:firstLine="711"/>
        <w:jc w:val="both"/>
      </w:pPr>
      <w:r>
        <w:rPr>
          <w:rFonts w:ascii="Times New Roman" w:eastAsia="Times New Roman" w:hAnsi="Times New Roman" w:cs="Times New Roman"/>
          <w:b/>
          <w:i/>
          <w:sz w:val="24"/>
        </w:rPr>
        <w:t>Аннотация.</w:t>
      </w:r>
      <w:r>
        <w:rPr>
          <w:rFonts w:ascii="Times New Roman" w:eastAsia="Times New Roman" w:hAnsi="Times New Roman" w:cs="Times New Roman"/>
          <w:i/>
          <w:sz w:val="24"/>
        </w:rPr>
        <w:t xml:space="preserve"> </w:t>
      </w:r>
      <w:r>
        <w:rPr>
          <w:rFonts w:ascii="Times New Roman" w:eastAsia="Times New Roman" w:hAnsi="Times New Roman" w:cs="Times New Roman"/>
          <w:i/>
          <w:sz w:val="24"/>
        </w:rPr>
        <w:t>В данной статье проведен анализ исследований посвященных поиску предвестников сейсмической активности путем поиска аномалий в результатах измерений различных параметров атмосферы и магнитосферы Земли, полученных с использованием космической инфраструктуры.</w:t>
      </w:r>
      <w:r>
        <w:rPr>
          <w:rFonts w:ascii="Times New Roman" w:eastAsia="Times New Roman" w:hAnsi="Times New Roman" w:cs="Times New Roman"/>
          <w:i/>
          <w:sz w:val="24"/>
        </w:rPr>
        <w:t xml:space="preserve"> Выделены основные ограничения исследований посвященных анализу единичных фактов сейсмической активности, а также приведены преимущества анализа данных применительно сразу ко многим фактам землетрясений. Приведено описание предлагаемого способа применения </w:t>
      </w:r>
      <w:r>
        <w:rPr>
          <w:rFonts w:ascii="Times New Roman" w:eastAsia="Times New Roman" w:hAnsi="Times New Roman" w:cs="Times New Roman"/>
          <w:i/>
          <w:sz w:val="24"/>
        </w:rPr>
        <w:t xml:space="preserve">технологий и методов характерных для анализа больших данных с целью решения задачи поиска предвестников сейсмической активности. Описана оптимальная структура информационной системы предлагаемой для решения рассматриваемой задачи. </w:t>
      </w:r>
    </w:p>
    <w:p w:rsidR="0052701D" w:rsidRDefault="00D40929">
      <w:pPr>
        <w:spacing w:after="29" w:line="248" w:lineRule="auto"/>
        <w:ind w:left="9" w:firstLine="711"/>
        <w:jc w:val="both"/>
      </w:pP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 xml:space="preserve"> Предвест</w:t>
      </w:r>
      <w:r>
        <w:rPr>
          <w:rFonts w:ascii="Times New Roman" w:eastAsia="Times New Roman" w:hAnsi="Times New Roman" w:cs="Times New Roman"/>
          <w:i/>
          <w:sz w:val="24"/>
        </w:rPr>
        <w:t xml:space="preserve">ники сейсмической активности, дистанционное зондирование Земли, обработка результатов измерений, большие данные </w:t>
      </w:r>
    </w:p>
    <w:p w:rsidR="0052701D" w:rsidRDefault="00D40929">
      <w:pPr>
        <w:spacing w:after="0"/>
      </w:pPr>
      <w:r>
        <w:rPr>
          <w:rFonts w:ascii="Times New Roman" w:eastAsia="Times New Roman" w:hAnsi="Times New Roman" w:cs="Times New Roman"/>
          <w:sz w:val="24"/>
        </w:rPr>
        <w:t xml:space="preserve"> </w:t>
      </w:r>
    </w:p>
    <w:p w:rsidR="0052701D" w:rsidRDefault="00D40929">
      <w:pPr>
        <w:spacing w:after="21"/>
      </w:pPr>
      <w:r>
        <w:rPr>
          <w:rFonts w:ascii="Times New Roman" w:eastAsia="Times New Roman" w:hAnsi="Times New Roman" w:cs="Times New Roman"/>
          <w:sz w:val="24"/>
        </w:rPr>
        <w:t xml:space="preserve"> </w:t>
      </w:r>
    </w:p>
    <w:p w:rsidR="0052701D" w:rsidRDefault="00D40929">
      <w:pPr>
        <w:spacing w:after="5" w:line="271" w:lineRule="auto"/>
        <w:ind w:left="173" w:right="183" w:hanging="10"/>
        <w:jc w:val="center"/>
      </w:pPr>
      <w:r>
        <w:rPr>
          <w:rFonts w:ascii="Times New Roman" w:eastAsia="Times New Roman" w:hAnsi="Times New Roman" w:cs="Times New Roman"/>
          <w:b/>
          <w:sz w:val="28"/>
        </w:rPr>
        <w:t>PROSPECTS FOR THE APPLICATION OF BIG DATA ANALYSIS TECHNOLOGIES IN THE PROBLEM OF SEARCHING FOR SEISMIC ACTIVITY PRECURSORS BY PROCESSING T</w:t>
      </w:r>
      <w:r>
        <w:rPr>
          <w:rFonts w:ascii="Times New Roman" w:eastAsia="Times New Roman" w:hAnsi="Times New Roman" w:cs="Times New Roman"/>
          <w:b/>
          <w:sz w:val="28"/>
        </w:rPr>
        <w:t xml:space="preserve">HE RESULTS OF MEASUREMENTS CARRIED OUT USING SPACE SATELLITES </w:t>
      </w:r>
    </w:p>
    <w:p w:rsidR="0052701D" w:rsidRDefault="00D40929">
      <w:pPr>
        <w:spacing w:after="0"/>
      </w:pPr>
      <w:r>
        <w:rPr>
          <w:rFonts w:ascii="Times New Roman" w:eastAsia="Times New Roman" w:hAnsi="Times New Roman" w:cs="Times New Roman"/>
        </w:rPr>
        <w:t xml:space="preserve"> </w:t>
      </w:r>
    </w:p>
    <w:p w:rsidR="0052701D" w:rsidRDefault="00D40929">
      <w:pPr>
        <w:spacing w:after="4" w:line="271" w:lineRule="auto"/>
        <w:ind w:left="1667" w:right="194" w:hanging="10"/>
      </w:pPr>
      <w:r>
        <w:rPr>
          <w:rFonts w:ascii="Times New Roman" w:eastAsia="Times New Roman" w:hAnsi="Times New Roman" w:cs="Times New Roman"/>
          <w:b/>
          <w:sz w:val="24"/>
        </w:rPr>
        <w:t>Alipbayev Kuanysh Aringozhayevich</w:t>
      </w:r>
      <w:r>
        <w:rPr>
          <w:rFonts w:ascii="Times New Roman" w:eastAsia="Times New Roman" w:hAnsi="Times New Roman" w:cs="Times New Roman"/>
          <w:b/>
          <w:sz w:val="24"/>
          <w:vertAlign w:val="superscript"/>
        </w:rPr>
        <w:t>1</w:t>
      </w:r>
      <w:r>
        <w:rPr>
          <w:rFonts w:ascii="Times New Roman" w:eastAsia="Times New Roman" w:hAnsi="Times New Roman" w:cs="Times New Roman"/>
          <w:b/>
          <w:sz w:val="24"/>
        </w:rPr>
        <w:t>, Suleyev Timur Adilzhanuly</w:t>
      </w:r>
      <w:r>
        <w:rPr>
          <w:rFonts w:ascii="Times New Roman" w:eastAsia="Times New Roman" w:hAnsi="Times New Roman" w:cs="Times New Roman"/>
          <w:b/>
          <w:sz w:val="24"/>
          <w:vertAlign w:val="superscript"/>
        </w:rPr>
        <w:t>2</w:t>
      </w:r>
      <w:r>
        <w:rPr>
          <w:rFonts w:ascii="Times New Roman" w:eastAsia="Times New Roman" w:hAnsi="Times New Roman" w:cs="Times New Roman"/>
          <w:b/>
          <w:sz w:val="24"/>
        </w:rPr>
        <w:t xml:space="preserve">* </w:t>
      </w:r>
    </w:p>
    <w:p w:rsidR="0052701D" w:rsidRDefault="00D40929">
      <w:pPr>
        <w:spacing w:after="79" w:line="248" w:lineRule="auto"/>
        <w:ind w:left="10" w:right="20" w:hanging="10"/>
        <w:jc w:val="center"/>
      </w:pPr>
      <w:r>
        <w:rPr>
          <w:rFonts w:ascii="Times New Roman" w:eastAsia="Times New Roman" w:hAnsi="Times New Roman" w:cs="Times New Roman"/>
          <w:vertAlign w:val="superscript"/>
        </w:rPr>
        <w:t>1,2</w:t>
      </w:r>
      <w:r>
        <w:rPr>
          <w:rFonts w:ascii="Times New Roman" w:eastAsia="Times New Roman" w:hAnsi="Times New Roman" w:cs="Times New Roman"/>
        </w:rPr>
        <w:t xml:space="preserve">Non-profit JSC «Almaty University of Power Engineering and Telecommunications named after </w:t>
      </w:r>
    </w:p>
    <w:p w:rsidR="0052701D" w:rsidRDefault="00D40929">
      <w:pPr>
        <w:spacing w:after="9" w:line="248" w:lineRule="auto"/>
        <w:ind w:left="897" w:right="898" w:hanging="10"/>
        <w:jc w:val="center"/>
      </w:pPr>
      <w:r>
        <w:rPr>
          <w:rFonts w:ascii="Times New Roman" w:eastAsia="Times New Roman" w:hAnsi="Times New Roman" w:cs="Times New Roman"/>
        </w:rPr>
        <w:t xml:space="preserve">Gumarbek Daukeyev»,  </w:t>
      </w:r>
    </w:p>
    <w:p w:rsidR="0052701D" w:rsidRDefault="00D40929">
      <w:pPr>
        <w:spacing w:after="9" w:line="248" w:lineRule="auto"/>
        <w:ind w:left="897" w:right="895" w:hanging="10"/>
        <w:jc w:val="center"/>
      </w:pPr>
      <w:r>
        <w:rPr>
          <w:rFonts w:ascii="Times New Roman" w:eastAsia="Times New Roman" w:hAnsi="Times New Roman" w:cs="Times New Roman"/>
        </w:rPr>
        <w:t xml:space="preserve">Almaty, Kazakhstan </w:t>
      </w:r>
    </w:p>
    <w:p w:rsidR="0052701D" w:rsidRDefault="00D40929">
      <w:pPr>
        <w:spacing w:after="9" w:line="248" w:lineRule="auto"/>
        <w:ind w:left="897" w:right="190" w:hanging="10"/>
        <w:jc w:val="center"/>
      </w:pPr>
      <w:r>
        <w:rPr>
          <w:rFonts w:ascii="Times New Roman" w:eastAsia="Times New Roman" w:hAnsi="Times New Roman" w:cs="Times New Roman"/>
        </w:rPr>
        <w:t xml:space="preserve">е-mail: k.alipbayev@aues.kz, t.suleyev@aues.kz </w:t>
      </w:r>
    </w:p>
    <w:p w:rsidR="0052701D" w:rsidRDefault="00D40929">
      <w:pPr>
        <w:spacing w:after="0"/>
        <w:ind w:left="711"/>
      </w:pPr>
      <w:r>
        <w:rPr>
          <w:rFonts w:ascii="Times New Roman" w:eastAsia="Times New Roman" w:hAnsi="Times New Roman" w:cs="Times New Roman"/>
        </w:rPr>
        <w:t xml:space="preserve"> </w:t>
      </w:r>
    </w:p>
    <w:p w:rsidR="0052701D" w:rsidRDefault="00D40929">
      <w:pPr>
        <w:spacing w:after="0" w:line="248" w:lineRule="auto"/>
        <w:ind w:left="9" w:firstLine="711"/>
        <w:jc w:val="both"/>
      </w:pPr>
      <w:r>
        <w:rPr>
          <w:rFonts w:ascii="Times New Roman" w:eastAsia="Times New Roman" w:hAnsi="Times New Roman" w:cs="Times New Roman"/>
          <w:b/>
          <w:i/>
          <w:sz w:val="24"/>
        </w:rPr>
        <w:t>Annotation.</w:t>
      </w:r>
      <w:r>
        <w:rPr>
          <w:rFonts w:ascii="Times New Roman" w:eastAsia="Times New Roman" w:hAnsi="Times New Roman" w:cs="Times New Roman"/>
          <w:i/>
          <w:sz w:val="24"/>
        </w:rPr>
        <w:t xml:space="preserve"> This article analyzes studies devoted to the search for precursors of seismic activity by searching for anomalies in the results of measurements of various parameters of the </w:t>
      </w:r>
      <w:r>
        <w:rPr>
          <w:rFonts w:ascii="Times New Roman" w:eastAsia="Times New Roman" w:hAnsi="Times New Roman" w:cs="Times New Roman"/>
          <w:i/>
          <w:sz w:val="24"/>
        </w:rPr>
        <w:t xml:space="preserve">Earth's atmosphere and magnetosphere, obtained using space infrastructure. The main shortcomings of studies devoted to the analysis of single facts of seismic activity, as well as the advantages of data analysis in relation to many facts of earthquakes at </w:t>
      </w:r>
      <w:r>
        <w:rPr>
          <w:rFonts w:ascii="Times New Roman" w:eastAsia="Times New Roman" w:hAnsi="Times New Roman" w:cs="Times New Roman"/>
          <w:i/>
          <w:sz w:val="24"/>
        </w:rPr>
        <w:t>once, are highlighted.</w:t>
      </w:r>
      <w:r>
        <w:rPr>
          <w:sz w:val="24"/>
        </w:rPr>
        <w:t xml:space="preserve"> </w:t>
      </w:r>
      <w:r>
        <w:rPr>
          <w:rFonts w:ascii="Times New Roman" w:eastAsia="Times New Roman" w:hAnsi="Times New Roman" w:cs="Times New Roman"/>
          <w:i/>
          <w:sz w:val="24"/>
        </w:rPr>
        <w:t xml:space="preserve">A description of the proposed method of applying technologies and methods specific to the analysis of big data to solve </w:t>
      </w:r>
      <w:r>
        <w:rPr>
          <w:rFonts w:ascii="Times New Roman" w:eastAsia="Times New Roman" w:hAnsi="Times New Roman" w:cs="Times New Roman"/>
          <w:i/>
          <w:sz w:val="24"/>
        </w:rPr>
        <w:lastRenderedPageBreak/>
        <w:t>the problem of searching for precursors of seismic activity is given.</w:t>
      </w:r>
      <w:r>
        <w:rPr>
          <w:sz w:val="24"/>
        </w:rPr>
        <w:t xml:space="preserve"> </w:t>
      </w:r>
      <w:r>
        <w:rPr>
          <w:rFonts w:ascii="Times New Roman" w:eastAsia="Times New Roman" w:hAnsi="Times New Roman" w:cs="Times New Roman"/>
          <w:i/>
          <w:sz w:val="24"/>
        </w:rPr>
        <w:t>The optimal structure of the information sy</w:t>
      </w:r>
      <w:r>
        <w:rPr>
          <w:rFonts w:ascii="Times New Roman" w:eastAsia="Times New Roman" w:hAnsi="Times New Roman" w:cs="Times New Roman"/>
          <w:i/>
          <w:sz w:val="24"/>
        </w:rPr>
        <w:t xml:space="preserve">stem for solving the described problem has been developed. </w:t>
      </w:r>
    </w:p>
    <w:p w:rsidR="0052701D" w:rsidRDefault="00D40929">
      <w:pPr>
        <w:spacing w:after="29" w:line="248" w:lineRule="auto"/>
        <w:ind w:left="711"/>
        <w:jc w:val="both"/>
      </w:pPr>
      <w:r>
        <w:rPr>
          <w:rFonts w:ascii="Times New Roman" w:eastAsia="Times New Roman" w:hAnsi="Times New Roman" w:cs="Times New Roman"/>
          <w:b/>
          <w:i/>
          <w:sz w:val="24"/>
        </w:rPr>
        <w:t>Keywords:</w:t>
      </w:r>
      <w:r>
        <w:rPr>
          <w:rFonts w:ascii="Times New Roman" w:eastAsia="Times New Roman" w:hAnsi="Times New Roman" w:cs="Times New Roman"/>
          <w:i/>
          <w:sz w:val="24"/>
        </w:rPr>
        <w:t xml:space="preserve"> EQ precursors, earth remote sensing, processing of measurement results, Big Data </w:t>
      </w:r>
    </w:p>
    <w:p w:rsidR="0052701D" w:rsidRDefault="00D40929">
      <w:pPr>
        <w:spacing w:after="77"/>
      </w:pPr>
      <w:r>
        <w:rPr>
          <w:rFonts w:ascii="Times New Roman" w:eastAsia="Times New Roman" w:hAnsi="Times New Roman" w:cs="Times New Roman"/>
          <w:sz w:val="24"/>
        </w:rPr>
        <w:t xml:space="preserve"> </w:t>
      </w:r>
    </w:p>
    <w:p w:rsidR="0052701D" w:rsidRDefault="00D40929">
      <w:pPr>
        <w:spacing w:after="5" w:line="251" w:lineRule="auto"/>
        <w:ind w:left="720" w:firstLine="9"/>
      </w:pPr>
      <w:r>
        <w:rPr>
          <w:rFonts w:ascii="Times New Roman" w:eastAsia="Times New Roman" w:hAnsi="Times New Roman" w:cs="Times New Roman"/>
          <w:b/>
          <w:sz w:val="28"/>
        </w:rPr>
        <w:t xml:space="preserve">Введение </w:t>
      </w:r>
    </w:p>
    <w:p w:rsidR="0052701D" w:rsidRDefault="00D40929">
      <w:pPr>
        <w:spacing w:after="5" w:line="271" w:lineRule="auto"/>
        <w:ind w:left="9" w:right="64" w:firstLine="711"/>
        <w:jc w:val="both"/>
      </w:pPr>
      <w:r>
        <w:rPr>
          <w:rFonts w:ascii="Times New Roman" w:eastAsia="Times New Roman" w:hAnsi="Times New Roman" w:cs="Times New Roman"/>
          <w:sz w:val="28"/>
        </w:rPr>
        <w:t>Землетрясения все еще являются природными катастрофами, носящими случайный характер возникно</w:t>
      </w:r>
      <w:r>
        <w:rPr>
          <w:rFonts w:ascii="Times New Roman" w:eastAsia="Times New Roman" w:hAnsi="Times New Roman" w:cs="Times New Roman"/>
          <w:sz w:val="28"/>
        </w:rPr>
        <w:t>вения. Это обусловлено в первую очередь отсутствием понимания механизма взаимодействия процессов, происходящих незадолго до начала сейсмической активности. Многие исследователи предпринимают попытки поиска предвестников землетрясений, на основе которых мож</w:t>
      </w:r>
      <w:r>
        <w:rPr>
          <w:rFonts w:ascii="Times New Roman" w:eastAsia="Times New Roman" w:hAnsi="Times New Roman" w:cs="Times New Roman"/>
          <w:sz w:val="28"/>
        </w:rPr>
        <w:t>но было бы создать способ их предсказания. В настоящее время одним из наиболее перспективных путей решения задачи поиска предвестников сейсмической активности является поиск аномальных отклонений в измеряемых параметрах атмосферы, ионосферы и магнитного по</w:t>
      </w:r>
      <w:r>
        <w:rPr>
          <w:rFonts w:ascii="Times New Roman" w:eastAsia="Times New Roman" w:hAnsi="Times New Roman" w:cs="Times New Roman"/>
          <w:sz w:val="28"/>
        </w:rPr>
        <w:t>ля Земли. Данный подход заключается в анализе результатов измерений, проведенных при помощи научной аппаратуры в районе возникновения эпицентра сейсмической активности с целью сравнения значений зафиксированных непосредственно до и после землетрясения со з</w:t>
      </w:r>
      <w:r>
        <w:rPr>
          <w:rFonts w:ascii="Times New Roman" w:eastAsia="Times New Roman" w:hAnsi="Times New Roman" w:cs="Times New Roman"/>
          <w:sz w:val="28"/>
        </w:rPr>
        <w:t xml:space="preserve">начениями, зафиксированными ранее. При этом количество фактов сейсмической активности подлежащих анализу и временной период отличаются. </w:t>
      </w:r>
    </w:p>
    <w:p w:rsidR="0052701D" w:rsidRDefault="00D40929">
      <w:pPr>
        <w:spacing w:after="5" w:line="271" w:lineRule="auto"/>
        <w:ind w:left="9" w:right="64" w:firstLine="711"/>
        <w:jc w:val="both"/>
      </w:pPr>
      <w:r>
        <w:rPr>
          <w:rFonts w:ascii="Times New Roman" w:eastAsia="Times New Roman" w:hAnsi="Times New Roman" w:cs="Times New Roman"/>
          <w:sz w:val="28"/>
        </w:rPr>
        <w:t>Один из подходов заключается в подробном изучении изменений в нескольких физических процессах для единичных фактов сейс</w:t>
      </w:r>
      <w:r>
        <w:rPr>
          <w:rFonts w:ascii="Times New Roman" w:eastAsia="Times New Roman" w:hAnsi="Times New Roman" w:cs="Times New Roman"/>
          <w:sz w:val="28"/>
        </w:rPr>
        <w:t xml:space="preserve">мической активности. Примерами подобных исследований является анализ данных, собранных группировкой из трех космических аппаратов научного проекта Swarm применительно к землетрясениям произошедшим в 2015 г. в Непале [1, 2], в 2016-2017 гг. в Италии [3, 4] </w:t>
      </w:r>
      <w:r>
        <w:rPr>
          <w:rFonts w:ascii="Times New Roman" w:eastAsia="Times New Roman" w:hAnsi="Times New Roman" w:cs="Times New Roman"/>
          <w:sz w:val="28"/>
        </w:rPr>
        <w:t>и в 2019 г. Папуа Новой Гвинее [5]. В ходе этих исследований удалось обнаружить аномалии, которые гипотетически можно рассматривать в качестве предвестников сейсмической активности. Подобные работы являются оптимальным путем выявления потенциальных предвес</w:t>
      </w:r>
      <w:r>
        <w:rPr>
          <w:rFonts w:ascii="Times New Roman" w:eastAsia="Times New Roman" w:hAnsi="Times New Roman" w:cs="Times New Roman"/>
          <w:sz w:val="28"/>
        </w:rPr>
        <w:t xml:space="preserve">тников землетрясений, однако не позволяют в полной мере оценить их эффективность и применимость в задаче предсказания сейсмической активности. </w:t>
      </w:r>
    </w:p>
    <w:p w:rsidR="0052701D" w:rsidRDefault="00D40929">
      <w:pPr>
        <w:spacing w:after="5" w:line="271" w:lineRule="auto"/>
        <w:ind w:left="9" w:right="64" w:firstLine="711"/>
        <w:jc w:val="both"/>
      </w:pPr>
      <w:r>
        <w:rPr>
          <w:rFonts w:ascii="Times New Roman" w:eastAsia="Times New Roman" w:hAnsi="Times New Roman" w:cs="Times New Roman"/>
          <w:sz w:val="28"/>
        </w:rPr>
        <w:t>Альтернативным способом выявления предвестников сейсмической активности является более широкий анализ, посвященный небольшому количеству параметров, но включающий в себя большое количество землетрясений за длительный временной период. В случае использовани</w:t>
      </w:r>
      <w:r>
        <w:rPr>
          <w:rFonts w:ascii="Times New Roman" w:eastAsia="Times New Roman" w:hAnsi="Times New Roman" w:cs="Times New Roman"/>
          <w:sz w:val="28"/>
        </w:rPr>
        <w:t>я космической инфраструктуры в качестве источника данных для проведения исследований зачастую выбор падает на такой параметр ионосферы как общее электронное содержание (TEC). Благодаря длительному периоду работы глобальных навигационных систем ученным стал</w:t>
      </w:r>
      <w:r>
        <w:rPr>
          <w:rFonts w:ascii="Times New Roman" w:eastAsia="Times New Roman" w:hAnsi="Times New Roman" w:cs="Times New Roman"/>
          <w:sz w:val="28"/>
        </w:rPr>
        <w:t xml:space="preserve">а доступна история измерений этого параметра за несколько десятилетий. Статистический анализ измерений </w:t>
      </w:r>
      <w:r>
        <w:rPr>
          <w:rFonts w:ascii="Times New Roman" w:eastAsia="Times New Roman" w:hAnsi="Times New Roman" w:cs="Times New Roman"/>
          <w:sz w:val="28"/>
        </w:rPr>
        <w:lastRenderedPageBreak/>
        <w:t>TEC позволяет исследователям выявлять схожие паттерны возникновения аномалий незадолго до начала землетрясений для выборок включающих сотни землетрясений</w:t>
      </w:r>
      <w:r>
        <w:rPr>
          <w:rFonts w:ascii="Times New Roman" w:eastAsia="Times New Roman" w:hAnsi="Times New Roman" w:cs="Times New Roman"/>
          <w:sz w:val="28"/>
        </w:rPr>
        <w:t xml:space="preserve"> магнитудой более 5 баллов за период свыше 10 лет [6-10]. Анализ данных о распространении низкочастотных и сверх низкочастотных волн с использованием наземной инфраструктуры также демонстрирует наличие возможной связи ионосферных возмущений с сейсмической </w:t>
      </w:r>
      <w:r>
        <w:rPr>
          <w:rFonts w:ascii="Times New Roman" w:eastAsia="Times New Roman" w:hAnsi="Times New Roman" w:cs="Times New Roman"/>
          <w:sz w:val="28"/>
        </w:rPr>
        <w:t>активностью [1113]. При подобном подходе исследователям удается выявить общие закономерности в возникновении аномалий, предшествующих землетрясениям, однако ограниченный набор параметров позволяет судить лишь о наличии определенных трендов и не позволяет о</w:t>
      </w:r>
      <w:r>
        <w:rPr>
          <w:rFonts w:ascii="Times New Roman" w:eastAsia="Times New Roman" w:hAnsi="Times New Roman" w:cs="Times New Roman"/>
          <w:sz w:val="28"/>
        </w:rPr>
        <w:t>днозначно определить маркеры, предшествующие сейсмической активности. Показательным в данном случае является исследование, посвященное анализу изменений температуры поверхности Земли в качестве индикатора начала формирования сейсмической активности [14]. В</w:t>
      </w:r>
      <w:r>
        <w:rPr>
          <w:rFonts w:ascii="Times New Roman" w:eastAsia="Times New Roman" w:hAnsi="Times New Roman" w:cs="Times New Roman"/>
          <w:sz w:val="28"/>
        </w:rPr>
        <w:t xml:space="preserve"> результате проведенной работы авторы пришли к выводу о невозможности применения выбранного параметра в качестве предвестника землетрясений, однако результаты проведенного исследования могут оказаться полезными для дальнейших исследований. </w:t>
      </w:r>
    </w:p>
    <w:p w:rsidR="0052701D" w:rsidRDefault="00D40929">
      <w:pPr>
        <w:spacing w:after="5" w:line="271" w:lineRule="auto"/>
        <w:ind w:left="9" w:right="64" w:firstLine="711"/>
        <w:jc w:val="both"/>
      </w:pPr>
      <w:r>
        <w:rPr>
          <w:rFonts w:ascii="Times New Roman" w:eastAsia="Times New Roman" w:hAnsi="Times New Roman" w:cs="Times New Roman"/>
          <w:sz w:val="28"/>
        </w:rPr>
        <w:t>Ни один из опис</w:t>
      </w:r>
      <w:r>
        <w:rPr>
          <w:rFonts w:ascii="Times New Roman" w:eastAsia="Times New Roman" w:hAnsi="Times New Roman" w:cs="Times New Roman"/>
          <w:sz w:val="28"/>
        </w:rPr>
        <w:t xml:space="preserve">анных подходов на сегодняшний день не способен эффективно решить задачу поиска предвестников землетрясений. Поскольку для разработки алгоритма способного предсказывать возникновение сейсмической активности требуется не только выявить аномалии потенциально </w:t>
      </w:r>
      <w:r>
        <w:rPr>
          <w:rFonts w:ascii="Times New Roman" w:eastAsia="Times New Roman" w:hAnsi="Times New Roman" w:cs="Times New Roman"/>
          <w:sz w:val="28"/>
        </w:rPr>
        <w:t>пригодные для использования в качестве маркеров, но и убедиться в том, что они являются применимыми для любых землетрясений. После определения подобных маркеров появится необходимость в определении градации возникающих аномалий с целью формирования шкалы н</w:t>
      </w:r>
      <w:r>
        <w:rPr>
          <w:rFonts w:ascii="Times New Roman" w:eastAsia="Times New Roman" w:hAnsi="Times New Roman" w:cs="Times New Roman"/>
          <w:sz w:val="28"/>
        </w:rPr>
        <w:t xml:space="preserve">а основе которой можно будет судить о вероятных параметрах будущего землетрясения. </w:t>
      </w:r>
    </w:p>
    <w:p w:rsidR="0052701D" w:rsidRDefault="00D40929">
      <w:pPr>
        <w:spacing w:after="5" w:line="251" w:lineRule="auto"/>
        <w:ind w:left="720" w:firstLine="9"/>
      </w:pPr>
      <w:r>
        <w:rPr>
          <w:rFonts w:ascii="Times New Roman" w:eastAsia="Times New Roman" w:hAnsi="Times New Roman" w:cs="Times New Roman"/>
          <w:b/>
          <w:sz w:val="28"/>
        </w:rPr>
        <w:t xml:space="preserve">Методы </w:t>
      </w:r>
    </w:p>
    <w:p w:rsidR="0052701D" w:rsidRDefault="00D40929">
      <w:pPr>
        <w:spacing w:after="5" w:line="271" w:lineRule="auto"/>
        <w:ind w:left="9" w:right="64" w:firstLine="711"/>
        <w:jc w:val="both"/>
      </w:pPr>
      <w:r>
        <w:rPr>
          <w:rFonts w:ascii="Times New Roman" w:eastAsia="Times New Roman" w:hAnsi="Times New Roman" w:cs="Times New Roman"/>
          <w:sz w:val="28"/>
        </w:rPr>
        <w:t>Наиболее перспективным на наш взгляд путем решения задачи поиска предвестников сейсмической активности является не выявление отдельных аномалий, а определение общего паттерна их возникновения. Именно повторяющаяся для большого количества землетрясений посл</w:t>
      </w:r>
      <w:r>
        <w:rPr>
          <w:rFonts w:ascii="Times New Roman" w:eastAsia="Times New Roman" w:hAnsi="Times New Roman" w:cs="Times New Roman"/>
          <w:sz w:val="28"/>
        </w:rPr>
        <w:t>едовательность изменений в измеряемых параметрах позволит реалистично оценивать вероятность их появления, вероятную магнитуду и глубину залегания эпицентра. Работы посвященные одновременному анализу множества параметров различных физических процессов демон</w:t>
      </w:r>
      <w:r>
        <w:rPr>
          <w:rFonts w:ascii="Times New Roman" w:eastAsia="Times New Roman" w:hAnsi="Times New Roman" w:cs="Times New Roman"/>
          <w:sz w:val="28"/>
        </w:rPr>
        <w:t>стрируют наличие вероятного эффекта взаимосвязи процессов, происходящих в литосфере, атмосфере и ионосфере Земли (LAIC эффект). Понимание механизма, лежащего в основе LAIC эффекта, вероятно позволит вплотную приблизиться к разработке работоспособного алгор</w:t>
      </w:r>
      <w:r>
        <w:rPr>
          <w:rFonts w:ascii="Times New Roman" w:eastAsia="Times New Roman" w:hAnsi="Times New Roman" w:cs="Times New Roman"/>
          <w:sz w:val="28"/>
        </w:rPr>
        <w:t xml:space="preserve">итма прогнозирования вероятности возникновения сейсмической активности. Исследования посвященные LAIC эффекту как правило являются междисциплинарными и включают в себя изучение процессов </w:t>
      </w:r>
      <w:r>
        <w:rPr>
          <w:rFonts w:ascii="Times New Roman" w:eastAsia="Times New Roman" w:hAnsi="Times New Roman" w:cs="Times New Roman"/>
          <w:sz w:val="28"/>
        </w:rPr>
        <w:lastRenderedPageBreak/>
        <w:t>различной физической природы [15-17]. Различающаяся физическая природ</w:t>
      </w:r>
      <w:r>
        <w:rPr>
          <w:rFonts w:ascii="Times New Roman" w:eastAsia="Times New Roman" w:hAnsi="Times New Roman" w:cs="Times New Roman"/>
          <w:sz w:val="28"/>
        </w:rPr>
        <w:t xml:space="preserve">а изучаемых процессов как правило подразумевает наличие различных измерительных устройств, а значит и источников данных. Данное обстоятельство как правило приводит к сокращению количества землетрясений, подвергающихся анализу, а значит в некоторой степени </w:t>
      </w:r>
      <w:r>
        <w:rPr>
          <w:rFonts w:ascii="Times New Roman" w:eastAsia="Times New Roman" w:hAnsi="Times New Roman" w:cs="Times New Roman"/>
          <w:sz w:val="28"/>
        </w:rPr>
        <w:t xml:space="preserve">снижает достоверность выявленных предвестников землетрясений. Предлагаемый в рамках данной работы метод заключается в объединении преимуществ подходов, применяемых при проведении </w:t>
      </w:r>
    </w:p>
    <w:p w:rsidR="0052701D" w:rsidRDefault="00D40929">
      <w:pPr>
        <w:spacing w:after="5" w:line="271" w:lineRule="auto"/>
        <w:ind w:left="9" w:right="64"/>
        <w:jc w:val="both"/>
      </w:pPr>
      <w:r>
        <w:rPr>
          <w:rFonts w:ascii="Times New Roman" w:eastAsia="Times New Roman" w:hAnsi="Times New Roman" w:cs="Times New Roman"/>
          <w:sz w:val="28"/>
        </w:rPr>
        <w:t>исследовании LAIC эффекта и выполнении статистического анализа параметров дл</w:t>
      </w:r>
      <w:r>
        <w:rPr>
          <w:rFonts w:ascii="Times New Roman" w:eastAsia="Times New Roman" w:hAnsi="Times New Roman" w:cs="Times New Roman"/>
          <w:sz w:val="28"/>
        </w:rPr>
        <w:t xml:space="preserve">я большой выборки землетрясений.  При решении задачи поиска предвестников сейсмической активности подобным образом возникает потребность во внедрении особых подходов и инструментов предназначенных для анализа больших данных.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Предлагаемый подход влечет за </w:t>
      </w:r>
      <w:r>
        <w:rPr>
          <w:rFonts w:ascii="Times New Roman" w:eastAsia="Times New Roman" w:hAnsi="Times New Roman" w:cs="Times New Roman"/>
          <w:sz w:val="28"/>
        </w:rPr>
        <w:t>собой значительное усложнение процесса подготовки данных для проведения исследования. Это обусловлено в первую очередь значительным увеличением объема данных, которые предстоит собрать, а также количества систем-источников данных. При консолидации данных и</w:t>
      </w:r>
      <w:r>
        <w:rPr>
          <w:rFonts w:ascii="Times New Roman" w:eastAsia="Times New Roman" w:hAnsi="Times New Roman" w:cs="Times New Roman"/>
          <w:sz w:val="28"/>
        </w:rPr>
        <w:t>з разрозненных источников потребуется их очистка и нормализация с учетом особенностей систем, которые их поставляют. Большие объемы данных, подвергающиеся анализу, одновременно делают обычные подходы неэффективными. Для проведения эффективного анализа собр</w:t>
      </w:r>
      <w:r>
        <w:rPr>
          <w:rFonts w:ascii="Times New Roman" w:eastAsia="Times New Roman" w:hAnsi="Times New Roman" w:cs="Times New Roman"/>
          <w:sz w:val="28"/>
        </w:rPr>
        <w:t>анных данных потребуется специальная инфраструктура, включающая в себя как большой объем вычислительных мощностей, так и специализированные системы хранения данных и программное обеспечение, которое позволит обеспечить значительную долю автоматизации анали</w:t>
      </w:r>
      <w:r>
        <w:rPr>
          <w:rFonts w:ascii="Times New Roman" w:eastAsia="Times New Roman" w:hAnsi="Times New Roman" w:cs="Times New Roman"/>
          <w:sz w:val="28"/>
        </w:rPr>
        <w:t xml:space="preserve">за вновь поступающих данных.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Оптимальным путем внедрения предлагаемого подхода является разработка специализированной информационной системы. Подобная информационная система должна обладать следующим функционалом: </w:t>
      </w:r>
    </w:p>
    <w:p w:rsidR="0052701D" w:rsidRDefault="00D40929">
      <w:pPr>
        <w:spacing w:after="5" w:line="271" w:lineRule="auto"/>
        <w:ind w:left="9" w:right="64" w:firstLine="711"/>
        <w:jc w:val="both"/>
      </w:pPr>
      <w:r>
        <w:rPr>
          <w:sz w:val="28"/>
        </w:rPr>
        <w:t>−</w:t>
      </w:r>
      <w:r>
        <w:rPr>
          <w:rFonts w:ascii="Arial" w:eastAsia="Arial" w:hAnsi="Arial" w:cs="Arial"/>
          <w:sz w:val="28"/>
        </w:rPr>
        <w:t xml:space="preserve"> </w:t>
      </w:r>
      <w:r>
        <w:rPr>
          <w:rFonts w:ascii="Times New Roman" w:eastAsia="Times New Roman" w:hAnsi="Times New Roman" w:cs="Times New Roman"/>
          <w:sz w:val="28"/>
        </w:rPr>
        <w:t>Автоматизированный сбор данных из отк</w:t>
      </w:r>
      <w:r>
        <w:rPr>
          <w:rFonts w:ascii="Times New Roman" w:eastAsia="Times New Roman" w:hAnsi="Times New Roman" w:cs="Times New Roman"/>
          <w:sz w:val="28"/>
        </w:rPr>
        <w:t xml:space="preserve">рытых источников в сети интернет, а также доступной измерительной аппаратуры; </w:t>
      </w:r>
    </w:p>
    <w:p w:rsidR="0052701D" w:rsidRDefault="00D40929">
      <w:pPr>
        <w:spacing w:after="5" w:line="271" w:lineRule="auto"/>
        <w:ind w:left="9" w:right="64" w:firstLine="711"/>
        <w:jc w:val="both"/>
      </w:pPr>
      <w:r>
        <w:rPr>
          <w:sz w:val="28"/>
        </w:rPr>
        <w:t>−</w:t>
      </w:r>
      <w:r>
        <w:rPr>
          <w:rFonts w:ascii="Arial" w:eastAsia="Arial" w:hAnsi="Arial" w:cs="Arial"/>
          <w:sz w:val="28"/>
        </w:rPr>
        <w:t xml:space="preserve"> </w:t>
      </w:r>
      <w:r>
        <w:rPr>
          <w:rFonts w:ascii="Times New Roman" w:eastAsia="Times New Roman" w:hAnsi="Times New Roman" w:cs="Times New Roman"/>
          <w:sz w:val="28"/>
        </w:rPr>
        <w:t xml:space="preserve">Функционал для описания собранных данных с возможностью отображения всех примененных к ним трансформаций и преобразований; </w:t>
      </w:r>
    </w:p>
    <w:p w:rsidR="0052701D" w:rsidRDefault="00D40929">
      <w:pPr>
        <w:spacing w:after="5" w:line="271" w:lineRule="auto"/>
        <w:ind w:left="9" w:right="64" w:firstLine="711"/>
        <w:jc w:val="both"/>
      </w:pPr>
      <w:r>
        <w:rPr>
          <w:sz w:val="28"/>
        </w:rPr>
        <w:t>−</w:t>
      </w:r>
      <w:r>
        <w:rPr>
          <w:rFonts w:ascii="Arial" w:eastAsia="Arial" w:hAnsi="Arial" w:cs="Arial"/>
          <w:sz w:val="28"/>
        </w:rPr>
        <w:t xml:space="preserve"> </w:t>
      </w:r>
      <w:r>
        <w:rPr>
          <w:rFonts w:ascii="Times New Roman" w:eastAsia="Times New Roman" w:hAnsi="Times New Roman" w:cs="Times New Roman"/>
          <w:sz w:val="28"/>
        </w:rPr>
        <w:t>Хранение полученной информации оптимальном для пр</w:t>
      </w:r>
      <w:r>
        <w:rPr>
          <w:rFonts w:ascii="Times New Roman" w:eastAsia="Times New Roman" w:hAnsi="Times New Roman" w:cs="Times New Roman"/>
          <w:sz w:val="28"/>
        </w:rPr>
        <w:t xml:space="preserve">оведения дальнейшего анализа виде и обеспечение ее сохранности; </w:t>
      </w:r>
    </w:p>
    <w:p w:rsidR="0052701D" w:rsidRDefault="00D40929">
      <w:pPr>
        <w:spacing w:after="27" w:line="271" w:lineRule="auto"/>
        <w:ind w:left="9" w:right="64" w:firstLine="711"/>
        <w:jc w:val="both"/>
      </w:pPr>
      <w:r>
        <w:rPr>
          <w:sz w:val="28"/>
        </w:rPr>
        <w:t>−</w:t>
      </w:r>
      <w:r>
        <w:rPr>
          <w:rFonts w:ascii="Arial" w:eastAsia="Arial" w:hAnsi="Arial" w:cs="Arial"/>
          <w:sz w:val="28"/>
        </w:rPr>
        <w:t xml:space="preserve"> </w:t>
      </w:r>
      <w:r>
        <w:rPr>
          <w:rFonts w:ascii="Times New Roman" w:eastAsia="Times New Roman" w:hAnsi="Times New Roman" w:cs="Times New Roman"/>
          <w:sz w:val="28"/>
        </w:rPr>
        <w:t xml:space="preserve">Предоставление интерфейсов для выгрузки данных из системы в сторонние инструменты, предназначенные для анализа и визуализации данных; </w:t>
      </w:r>
    </w:p>
    <w:p w:rsidR="0052701D" w:rsidRDefault="00D40929">
      <w:pPr>
        <w:spacing w:after="5" w:line="271" w:lineRule="auto"/>
        <w:ind w:left="9" w:right="64" w:firstLine="711"/>
        <w:jc w:val="both"/>
      </w:pPr>
      <w:r>
        <w:rPr>
          <w:sz w:val="28"/>
        </w:rPr>
        <w:t>−</w:t>
      </w:r>
      <w:r>
        <w:rPr>
          <w:rFonts w:ascii="Arial" w:eastAsia="Arial" w:hAnsi="Arial" w:cs="Arial"/>
          <w:sz w:val="28"/>
        </w:rPr>
        <w:t xml:space="preserve"> </w:t>
      </w:r>
      <w:r>
        <w:rPr>
          <w:rFonts w:ascii="Times New Roman" w:eastAsia="Times New Roman" w:hAnsi="Times New Roman" w:cs="Times New Roman"/>
          <w:sz w:val="28"/>
        </w:rPr>
        <w:t>Предоставлять среду для обучения и запуска моделей м</w:t>
      </w:r>
      <w:r>
        <w:rPr>
          <w:rFonts w:ascii="Times New Roman" w:eastAsia="Times New Roman" w:hAnsi="Times New Roman" w:cs="Times New Roman"/>
          <w:sz w:val="28"/>
        </w:rPr>
        <w:t xml:space="preserve">ашинного обучения с целью автоматизации процесса обработки огромных объемов данных в минимальные срок и выявления не очевидных закономерностей. </w:t>
      </w:r>
    </w:p>
    <w:p w:rsidR="0052701D" w:rsidRDefault="00D40929">
      <w:pPr>
        <w:spacing w:after="5" w:line="271" w:lineRule="auto"/>
        <w:ind w:left="9" w:right="64" w:firstLine="711"/>
        <w:jc w:val="both"/>
      </w:pPr>
      <w:r>
        <w:rPr>
          <w:rFonts w:ascii="Times New Roman" w:eastAsia="Times New Roman" w:hAnsi="Times New Roman" w:cs="Times New Roman"/>
          <w:sz w:val="28"/>
        </w:rPr>
        <w:lastRenderedPageBreak/>
        <w:t xml:space="preserve"> Исходя из поставленных задач информационная система должна обладать несколькими обязательными компонентами:  </w:t>
      </w:r>
    </w:p>
    <w:p w:rsidR="0052701D" w:rsidRDefault="00D40929">
      <w:pPr>
        <w:spacing w:after="5" w:line="271" w:lineRule="auto"/>
        <w:ind w:left="9" w:right="64" w:firstLine="711"/>
        <w:jc w:val="both"/>
      </w:pPr>
      <w:r>
        <w:rPr>
          <w:sz w:val="28"/>
        </w:rPr>
        <w:t>−</w:t>
      </w:r>
      <w:r>
        <w:rPr>
          <w:rFonts w:ascii="Arial" w:eastAsia="Arial" w:hAnsi="Arial" w:cs="Arial"/>
          <w:sz w:val="28"/>
        </w:rPr>
        <w:t xml:space="preserve"> </w:t>
      </w:r>
      <w:r>
        <w:rPr>
          <w:rFonts w:ascii="Times New Roman" w:eastAsia="Times New Roman" w:hAnsi="Times New Roman" w:cs="Times New Roman"/>
          <w:sz w:val="28"/>
        </w:rPr>
        <w:t xml:space="preserve">программным интерфейс, предназначенный для получения и отправки данных в различных форматах; </w:t>
      </w:r>
    </w:p>
    <w:p w:rsidR="0052701D" w:rsidRDefault="00D40929">
      <w:pPr>
        <w:spacing w:after="27" w:line="271" w:lineRule="auto"/>
        <w:ind w:left="9" w:right="64" w:firstLine="711"/>
        <w:jc w:val="both"/>
      </w:pPr>
      <w:r>
        <w:rPr>
          <w:sz w:val="28"/>
        </w:rPr>
        <w:t>−</w:t>
      </w:r>
      <w:r>
        <w:rPr>
          <w:rFonts w:ascii="Arial" w:eastAsia="Arial" w:hAnsi="Arial" w:cs="Arial"/>
          <w:sz w:val="28"/>
        </w:rPr>
        <w:t xml:space="preserve"> </w:t>
      </w:r>
      <w:r>
        <w:rPr>
          <w:rFonts w:ascii="Times New Roman" w:eastAsia="Times New Roman" w:hAnsi="Times New Roman" w:cs="Times New Roman"/>
          <w:sz w:val="28"/>
        </w:rPr>
        <w:t xml:space="preserve">база данных, предназначенная для сбора и хранения данных, а также предоставляющая функционал первичной обработки данных; </w:t>
      </w:r>
    </w:p>
    <w:p w:rsidR="0052701D" w:rsidRDefault="00D40929">
      <w:pPr>
        <w:spacing w:after="5" w:line="271" w:lineRule="auto"/>
        <w:ind w:left="9" w:right="64" w:firstLine="711"/>
        <w:jc w:val="both"/>
      </w:pPr>
      <w:r>
        <w:rPr>
          <w:sz w:val="28"/>
        </w:rPr>
        <w:t>−</w:t>
      </w:r>
      <w:r>
        <w:rPr>
          <w:rFonts w:ascii="Arial" w:eastAsia="Arial" w:hAnsi="Arial" w:cs="Arial"/>
          <w:sz w:val="28"/>
        </w:rPr>
        <w:t xml:space="preserve"> </w:t>
      </w:r>
      <w:r>
        <w:rPr>
          <w:rFonts w:ascii="Times New Roman" w:eastAsia="Times New Roman" w:hAnsi="Times New Roman" w:cs="Times New Roman"/>
          <w:sz w:val="28"/>
        </w:rPr>
        <w:t>инструмент для описания загруженны</w:t>
      </w:r>
      <w:r>
        <w:rPr>
          <w:rFonts w:ascii="Times New Roman" w:eastAsia="Times New Roman" w:hAnsi="Times New Roman" w:cs="Times New Roman"/>
          <w:sz w:val="28"/>
        </w:rPr>
        <w:t xml:space="preserve">х сырых данных, наборов данных, полученных путем их преобразования, а также метаданных; </w:t>
      </w:r>
    </w:p>
    <w:p w:rsidR="0052701D" w:rsidRDefault="00D40929">
      <w:pPr>
        <w:spacing w:after="5" w:line="271" w:lineRule="auto"/>
        <w:ind w:left="711" w:right="173"/>
        <w:jc w:val="both"/>
      </w:pPr>
      <w:r>
        <w:rPr>
          <w:sz w:val="28"/>
        </w:rPr>
        <w:t>−</w:t>
      </w:r>
      <w:r>
        <w:rPr>
          <w:rFonts w:ascii="Arial" w:eastAsia="Arial" w:hAnsi="Arial" w:cs="Arial"/>
          <w:sz w:val="28"/>
        </w:rPr>
        <w:t xml:space="preserve"> </w:t>
      </w:r>
      <w:r>
        <w:rPr>
          <w:rFonts w:ascii="Times New Roman" w:eastAsia="Times New Roman" w:hAnsi="Times New Roman" w:cs="Times New Roman"/>
          <w:sz w:val="28"/>
        </w:rPr>
        <w:t xml:space="preserve">инструмент для взаимодействия с данными, хранящимися в системе; </w:t>
      </w:r>
      <w:r>
        <w:rPr>
          <w:sz w:val="28"/>
        </w:rPr>
        <w:t>−</w:t>
      </w:r>
      <w:r>
        <w:rPr>
          <w:rFonts w:ascii="Arial" w:eastAsia="Arial" w:hAnsi="Arial" w:cs="Arial"/>
          <w:sz w:val="28"/>
        </w:rPr>
        <w:t xml:space="preserve"> </w:t>
      </w:r>
      <w:r>
        <w:rPr>
          <w:rFonts w:ascii="Times New Roman" w:eastAsia="Times New Roman" w:hAnsi="Times New Roman" w:cs="Times New Roman"/>
          <w:sz w:val="28"/>
        </w:rPr>
        <w:t xml:space="preserve">среду для запуска моделей машинного обучения. </w:t>
      </w:r>
    </w:p>
    <w:p w:rsidR="0052701D" w:rsidRDefault="00D40929">
      <w:pPr>
        <w:spacing w:after="5" w:line="271" w:lineRule="auto"/>
        <w:ind w:left="9" w:right="64" w:firstLine="711"/>
        <w:jc w:val="both"/>
      </w:pPr>
      <w:r>
        <w:rPr>
          <w:rFonts w:ascii="Times New Roman" w:eastAsia="Times New Roman" w:hAnsi="Times New Roman" w:cs="Times New Roman"/>
          <w:sz w:val="28"/>
        </w:rPr>
        <w:t>На основе описанных компонентов можно определить общ</w:t>
      </w:r>
      <w:r>
        <w:rPr>
          <w:rFonts w:ascii="Times New Roman" w:eastAsia="Times New Roman" w:hAnsi="Times New Roman" w:cs="Times New Roman"/>
          <w:sz w:val="28"/>
        </w:rPr>
        <w:t xml:space="preserve">ую архитектуру системы и обозначить предполагаемые информационные потоки между ее компонентами.  </w:t>
      </w:r>
    </w:p>
    <w:p w:rsidR="0052701D" w:rsidRDefault="00D40929">
      <w:pPr>
        <w:spacing w:after="5" w:line="251" w:lineRule="auto"/>
        <w:ind w:left="720" w:firstLine="9"/>
      </w:pPr>
      <w:r>
        <w:rPr>
          <w:rFonts w:ascii="Times New Roman" w:eastAsia="Times New Roman" w:hAnsi="Times New Roman" w:cs="Times New Roman"/>
          <w:b/>
          <w:sz w:val="28"/>
        </w:rPr>
        <w:t xml:space="preserve">Результаты </w:t>
      </w:r>
    </w:p>
    <w:p w:rsidR="0052701D" w:rsidRDefault="00D40929">
      <w:pPr>
        <w:spacing w:after="5" w:line="271" w:lineRule="auto"/>
        <w:ind w:left="9" w:right="64" w:firstLine="711"/>
        <w:jc w:val="both"/>
      </w:pPr>
      <w:r>
        <w:rPr>
          <w:rFonts w:ascii="Times New Roman" w:eastAsia="Times New Roman" w:hAnsi="Times New Roman" w:cs="Times New Roman"/>
          <w:sz w:val="28"/>
        </w:rPr>
        <w:t>Разумеется, основным ожидаемым результатом внедрения предлагаемого подхода должно стать лучшее понимание механизма, лежащего в основе LAIC эффекта</w:t>
      </w:r>
      <w:r>
        <w:rPr>
          <w:rFonts w:ascii="Times New Roman" w:eastAsia="Times New Roman" w:hAnsi="Times New Roman" w:cs="Times New Roman"/>
          <w:sz w:val="28"/>
        </w:rPr>
        <w:t xml:space="preserve">. Это позволит достоверно оценивать роль каждого из изучаемых процессов в процессе формирования землетрясений.  </w:t>
      </w:r>
    </w:p>
    <w:p w:rsidR="0052701D" w:rsidRDefault="00D40929">
      <w:pPr>
        <w:spacing w:after="5" w:line="271" w:lineRule="auto"/>
        <w:ind w:left="9" w:right="64" w:firstLine="711"/>
        <w:jc w:val="both"/>
      </w:pPr>
      <w:r>
        <w:rPr>
          <w:rFonts w:ascii="Times New Roman" w:eastAsia="Times New Roman" w:hAnsi="Times New Roman" w:cs="Times New Roman"/>
          <w:sz w:val="28"/>
        </w:rPr>
        <w:t>Полученный во время исследования размеченный набор данных позволит оперативно проверять корректность различных паттернов возникновения аномалий, сопровождающих формирование сейсмической активности. Искомый паттерн в свою очередь должен отображать лишь верн</w:t>
      </w:r>
      <w:r>
        <w:rPr>
          <w:rFonts w:ascii="Times New Roman" w:eastAsia="Times New Roman" w:hAnsi="Times New Roman" w:cs="Times New Roman"/>
          <w:sz w:val="28"/>
        </w:rPr>
        <w:t xml:space="preserve">ую последовательность в которой должны быть зафиксированы аномалии и не должен накладывать строгих ограничений для временных промежутков между ними и прочих параметров, характеризующих отдельные маркеры. Подобные различия должны быть приведены к шкале, на </w:t>
      </w:r>
      <w:r>
        <w:rPr>
          <w:rFonts w:ascii="Times New Roman" w:eastAsia="Times New Roman" w:hAnsi="Times New Roman" w:cs="Times New Roman"/>
          <w:sz w:val="28"/>
        </w:rPr>
        <w:t>основе которой можно будет судить о вероятности возникновения землетрясения. В качестве примера работы по поиску общего паттерна возникновения аномалий можно привести одно из исследований посвященных LAIC эффекту [16]. В нем авторы визуализировали зафиксир</w:t>
      </w:r>
      <w:r>
        <w:rPr>
          <w:rFonts w:ascii="Times New Roman" w:eastAsia="Times New Roman" w:hAnsi="Times New Roman" w:cs="Times New Roman"/>
          <w:sz w:val="28"/>
        </w:rPr>
        <w:t xml:space="preserve">ованные аномалии на временной шкале получив схожую последовательность для двух разных землетрясений. </w:t>
      </w:r>
    </w:p>
    <w:p w:rsidR="0052701D" w:rsidRDefault="00D40929">
      <w:pPr>
        <w:spacing w:after="5" w:line="271" w:lineRule="auto"/>
        <w:ind w:left="9" w:right="64" w:firstLine="711"/>
        <w:jc w:val="both"/>
      </w:pPr>
      <w:r>
        <w:rPr>
          <w:rFonts w:ascii="Times New Roman" w:eastAsia="Times New Roman" w:hAnsi="Times New Roman" w:cs="Times New Roman"/>
          <w:sz w:val="28"/>
        </w:rPr>
        <w:t>Побочным эффектом наличия специализированной информационной системы станет возможность экспериментов по применению моделей машинного обучения при построен</w:t>
      </w:r>
      <w:r>
        <w:rPr>
          <w:rFonts w:ascii="Times New Roman" w:eastAsia="Times New Roman" w:hAnsi="Times New Roman" w:cs="Times New Roman"/>
          <w:sz w:val="28"/>
        </w:rPr>
        <w:t xml:space="preserve">ии системы прогнозирования сейсмической активности. Для этого необходимо наличие достаточно большого набора размеченных данных и проверенного с его помощью корректного паттерна (отпечатка) процесса формирования сейсмической активности. В случае применения </w:t>
      </w:r>
      <w:r>
        <w:rPr>
          <w:rFonts w:ascii="Times New Roman" w:eastAsia="Times New Roman" w:hAnsi="Times New Roman" w:cs="Times New Roman"/>
          <w:sz w:val="28"/>
        </w:rPr>
        <w:t xml:space="preserve">моделей машинного обучения становится возможной не только автоматическая проверка поступающих данных с целью поиска конкретного паттерна, определенного вручную, но и выявление неочевидных для человека </w:t>
      </w:r>
      <w:r>
        <w:rPr>
          <w:rFonts w:ascii="Times New Roman" w:eastAsia="Times New Roman" w:hAnsi="Times New Roman" w:cs="Times New Roman"/>
          <w:sz w:val="28"/>
        </w:rPr>
        <w:lastRenderedPageBreak/>
        <w:t>взаимосвязей различных параметров. Вероятно, это позвол</w:t>
      </w:r>
      <w:r>
        <w:rPr>
          <w:rFonts w:ascii="Times New Roman" w:eastAsia="Times New Roman" w:hAnsi="Times New Roman" w:cs="Times New Roman"/>
          <w:sz w:val="28"/>
        </w:rPr>
        <w:t>ит узнать больше подробностей о процессах, сопровождающих формирование землетрясения. В настоящее время уже предпринимаются попытки применения технологий машинного обучения в целях построения системы прогнозирования вероятности возникновения сейсмической а</w:t>
      </w:r>
      <w:r>
        <w:rPr>
          <w:rFonts w:ascii="Times New Roman" w:eastAsia="Times New Roman" w:hAnsi="Times New Roman" w:cs="Times New Roman"/>
          <w:sz w:val="28"/>
        </w:rPr>
        <w:t xml:space="preserve">ктивности [18-19]. </w:t>
      </w:r>
    </w:p>
    <w:p w:rsidR="0052701D" w:rsidRDefault="00D40929">
      <w:pPr>
        <w:spacing w:after="5" w:line="251" w:lineRule="auto"/>
        <w:ind w:left="720" w:firstLine="9"/>
      </w:pPr>
      <w:r>
        <w:rPr>
          <w:rFonts w:ascii="Times New Roman" w:eastAsia="Times New Roman" w:hAnsi="Times New Roman" w:cs="Times New Roman"/>
          <w:b/>
          <w:sz w:val="28"/>
        </w:rPr>
        <w:t xml:space="preserve">Заключение </w:t>
      </w:r>
    </w:p>
    <w:p w:rsidR="0052701D" w:rsidRDefault="00D40929">
      <w:pPr>
        <w:spacing w:after="5" w:line="271" w:lineRule="auto"/>
        <w:ind w:left="9" w:right="64" w:firstLine="711"/>
        <w:jc w:val="both"/>
      </w:pPr>
      <w:r>
        <w:rPr>
          <w:rFonts w:ascii="Times New Roman" w:eastAsia="Times New Roman" w:hAnsi="Times New Roman" w:cs="Times New Roman"/>
          <w:sz w:val="28"/>
        </w:rPr>
        <w:t>В данной статье были приведены примеры наиболее распространенных подходов к решению проблемы поиска предвестников сейсмической активности – путем подробного анализа единичных землетрясений и поверхностного анализа значительн</w:t>
      </w:r>
      <w:r>
        <w:rPr>
          <w:rFonts w:ascii="Times New Roman" w:eastAsia="Times New Roman" w:hAnsi="Times New Roman" w:cs="Times New Roman"/>
          <w:sz w:val="28"/>
        </w:rPr>
        <w:t>ого количества землетрясений. Для каждого описанного метода приведены его вероятные недостатки и ограничения. С целью устранения данных ограничений предложен новый подход предполагающий сбор и обработку больших объемов данных с применением специализированн</w:t>
      </w:r>
      <w:r>
        <w:rPr>
          <w:rFonts w:ascii="Times New Roman" w:eastAsia="Times New Roman" w:hAnsi="Times New Roman" w:cs="Times New Roman"/>
          <w:sz w:val="28"/>
        </w:rPr>
        <w:t xml:space="preserve">ого программного обеспечения и особых подходов к их анализу. </w:t>
      </w:r>
    </w:p>
    <w:p w:rsidR="0052701D" w:rsidRDefault="00D40929">
      <w:pPr>
        <w:spacing w:after="5" w:line="271" w:lineRule="auto"/>
        <w:ind w:left="9" w:right="64" w:firstLine="711"/>
        <w:jc w:val="both"/>
      </w:pPr>
      <w:r>
        <w:rPr>
          <w:rFonts w:ascii="Times New Roman" w:eastAsia="Times New Roman" w:hAnsi="Times New Roman" w:cs="Times New Roman"/>
          <w:sz w:val="28"/>
        </w:rPr>
        <w:t>Описаны ожидаемые результаты от внедрения предлагаемого подхода. Основной целью является выявление достоверного универсального паттерна возникновения различных аномалий в регистрируемых измерени</w:t>
      </w:r>
      <w:r>
        <w:rPr>
          <w:rFonts w:ascii="Times New Roman" w:eastAsia="Times New Roman" w:hAnsi="Times New Roman" w:cs="Times New Roman"/>
          <w:sz w:val="28"/>
        </w:rPr>
        <w:t>ях согласно которому станет возможной оценка вероятности возникновения сейсмической активности и ее вероятных параметров. На основе собранного набора данных и выведенного паттерна возникновения аномалий предлагается проведения исследования с использованием</w:t>
      </w:r>
      <w:r>
        <w:rPr>
          <w:rFonts w:ascii="Times New Roman" w:eastAsia="Times New Roman" w:hAnsi="Times New Roman" w:cs="Times New Roman"/>
          <w:sz w:val="28"/>
        </w:rPr>
        <w:t xml:space="preserve"> различных алгоритмов машинного обучения. Ожидаемым результатом подобного исследования является как более полное понимание взаимного влияния процессов, происходящих в литосфере и над поверхностью Земли незадолго до возникновения сейсмической активности, та</w:t>
      </w:r>
      <w:r>
        <w:rPr>
          <w:rFonts w:ascii="Times New Roman" w:eastAsia="Times New Roman" w:hAnsi="Times New Roman" w:cs="Times New Roman"/>
          <w:sz w:val="28"/>
        </w:rPr>
        <w:t xml:space="preserve">к и приближение к разработке информационной системы, предназначенной для прогнозирования землетрясений и прочих природных бедствий, обусловленных сейсмической активностью. </w:t>
      </w:r>
    </w:p>
    <w:p w:rsidR="0052701D" w:rsidRDefault="00D40929">
      <w:pPr>
        <w:spacing w:after="32"/>
      </w:pPr>
      <w:r>
        <w:rPr>
          <w:rFonts w:ascii="Times New Roman" w:eastAsia="Times New Roman" w:hAnsi="Times New Roman" w:cs="Times New Roman"/>
          <w:sz w:val="24"/>
        </w:rPr>
        <w:t xml:space="preserve"> </w:t>
      </w:r>
    </w:p>
    <w:p w:rsidR="0052701D" w:rsidRDefault="00D40929">
      <w:pPr>
        <w:spacing w:after="16" w:line="248" w:lineRule="auto"/>
        <w:ind w:left="819" w:right="102" w:hanging="10"/>
        <w:jc w:val="center"/>
      </w:pPr>
      <w:r>
        <w:rPr>
          <w:rFonts w:ascii="Times New Roman" w:eastAsia="Times New Roman" w:hAnsi="Times New Roman" w:cs="Times New Roman"/>
          <w:b/>
          <w:sz w:val="24"/>
        </w:rPr>
        <w:t xml:space="preserve">Источники </w:t>
      </w:r>
    </w:p>
    <w:p w:rsidR="0052701D" w:rsidRDefault="00D40929">
      <w:pPr>
        <w:spacing w:after="0"/>
        <w:ind w:left="759"/>
        <w:jc w:val="center"/>
      </w:pPr>
      <w:r>
        <w:rPr>
          <w:rFonts w:ascii="Times New Roman" w:eastAsia="Times New Roman" w:hAnsi="Times New Roman" w:cs="Times New Roman"/>
          <w:b/>
        </w:rPr>
        <w:t xml:space="preserve"> </w:t>
      </w:r>
    </w:p>
    <w:p w:rsidR="0052701D" w:rsidRDefault="00D40929">
      <w:pPr>
        <w:numPr>
          <w:ilvl w:val="0"/>
          <w:numId w:val="2"/>
        </w:numPr>
        <w:spacing w:after="6" w:line="248" w:lineRule="auto"/>
        <w:ind w:right="14" w:firstLine="711"/>
        <w:jc w:val="both"/>
      </w:pPr>
      <w:r>
        <w:rPr>
          <w:rFonts w:ascii="Times New Roman" w:eastAsia="Times New Roman" w:hAnsi="Times New Roman" w:cs="Times New Roman"/>
          <w:sz w:val="24"/>
        </w:rPr>
        <w:t>Sharma S., Singh R.P., Pundhir D., Singh B. A multi-</w:t>
      </w:r>
      <w:r>
        <w:rPr>
          <w:rFonts w:ascii="Times New Roman" w:eastAsia="Times New Roman" w:hAnsi="Times New Roman" w:cs="Times New Roman"/>
          <w:sz w:val="24"/>
        </w:rPr>
        <w:t xml:space="preserve">experiment approach to ascertain electromagnetic precursors of Nepal earthquakes // Journal of Atmospheric and Solar-Terrestrial Physics, Vol. 197, 2020 </w:t>
      </w:r>
    </w:p>
    <w:p w:rsidR="0052701D" w:rsidRDefault="00D40929">
      <w:pPr>
        <w:numPr>
          <w:ilvl w:val="0"/>
          <w:numId w:val="2"/>
        </w:numPr>
        <w:spacing w:after="0" w:line="248" w:lineRule="auto"/>
        <w:ind w:right="14" w:firstLine="711"/>
        <w:jc w:val="both"/>
      </w:pPr>
      <w:r>
        <w:rPr>
          <w:rFonts w:ascii="Times New Roman" w:eastAsia="Times New Roman" w:hAnsi="Times New Roman" w:cs="Times New Roman"/>
          <w:sz w:val="24"/>
        </w:rPr>
        <w:t>De Santisa A., Balasisc G., Pavón-Carrasco F.J., Cianchinia G., Mandead M. Potential earthquake precur</w:t>
      </w:r>
      <w:r>
        <w:rPr>
          <w:rFonts w:ascii="Times New Roman" w:eastAsia="Times New Roman" w:hAnsi="Times New Roman" w:cs="Times New Roman"/>
          <w:sz w:val="24"/>
        </w:rPr>
        <w:t xml:space="preserve">sory pattern from space: the 2015 Nepal event as seen by magnetic Swarm satellites // Earth Planet. Sci. Lett. 461, 2017, p. 119–126 </w:t>
      </w:r>
    </w:p>
    <w:p w:rsidR="0052701D" w:rsidRDefault="00D40929">
      <w:pPr>
        <w:numPr>
          <w:ilvl w:val="0"/>
          <w:numId w:val="2"/>
        </w:numPr>
        <w:spacing w:after="29" w:line="248" w:lineRule="auto"/>
        <w:ind w:right="14" w:firstLine="711"/>
        <w:jc w:val="both"/>
      </w:pPr>
      <w:r>
        <w:rPr>
          <w:rFonts w:ascii="Times New Roman" w:eastAsia="Times New Roman" w:hAnsi="Times New Roman" w:cs="Times New Roman"/>
          <w:sz w:val="24"/>
        </w:rPr>
        <w:t>Dedalo Marchetti, Angelo De Santis, Serena D'Arcangelo, Federica Poggio, Alessandro Piscini, Saioa A. Campuzano, Werneck V</w:t>
      </w:r>
      <w:r>
        <w:rPr>
          <w:rFonts w:ascii="Times New Roman" w:eastAsia="Times New Roman" w:hAnsi="Times New Roman" w:cs="Times New Roman"/>
          <w:sz w:val="24"/>
        </w:rPr>
        <w:t xml:space="preserve">.J.O. De Carvalho, Pre-earthquake chain processes detected from ground to satellite altitude in preparation of the 2016–2017 seismic sequence in Central Italy, Remote Sensing of Environment, Volume 229, 2019, Pages 93-99, ISSN 0034-4257, </w:t>
      </w:r>
      <w:hyperlink r:id="rId10">
        <w:r>
          <w:rPr>
            <w:rFonts w:ascii="Times New Roman" w:eastAsia="Times New Roman" w:hAnsi="Times New Roman" w:cs="Times New Roman"/>
            <w:color w:val="0563C1"/>
            <w:sz w:val="24"/>
            <w:u w:val="single" w:color="0563C1"/>
          </w:rPr>
          <w:t>https://doi.org/10.1016/j.rse.2019.04.033</w:t>
        </w:r>
      </w:hyperlink>
      <w:hyperlink r:id="rId11">
        <w:r>
          <w:rPr>
            <w:rFonts w:ascii="Times New Roman" w:eastAsia="Times New Roman" w:hAnsi="Times New Roman" w:cs="Times New Roman"/>
            <w:sz w:val="24"/>
          </w:rPr>
          <w:t>.</w:t>
        </w:r>
      </w:hyperlink>
      <w:r>
        <w:rPr>
          <w:rFonts w:ascii="Times New Roman" w:eastAsia="Times New Roman" w:hAnsi="Times New Roman" w:cs="Times New Roman"/>
          <w:sz w:val="24"/>
        </w:rPr>
        <w:t xml:space="preserve"> </w:t>
      </w:r>
    </w:p>
    <w:p w:rsidR="0052701D" w:rsidRDefault="00D40929">
      <w:pPr>
        <w:numPr>
          <w:ilvl w:val="0"/>
          <w:numId w:val="2"/>
        </w:numPr>
        <w:spacing w:after="0" w:line="248" w:lineRule="auto"/>
        <w:ind w:right="14" w:firstLine="711"/>
        <w:jc w:val="both"/>
      </w:pPr>
      <w:r>
        <w:rPr>
          <w:rFonts w:ascii="Times New Roman" w:eastAsia="Times New Roman" w:hAnsi="Times New Roman" w:cs="Times New Roman"/>
          <w:sz w:val="24"/>
        </w:rPr>
        <w:t xml:space="preserve">Marchetti, D., De Santis, A., D’Arcangelo, S. </w:t>
      </w:r>
      <w:r>
        <w:rPr>
          <w:rFonts w:ascii="Times New Roman" w:eastAsia="Times New Roman" w:hAnsi="Times New Roman" w:cs="Times New Roman"/>
          <w:i/>
          <w:sz w:val="24"/>
        </w:rPr>
        <w:t>et al.</w:t>
      </w:r>
      <w:r>
        <w:rPr>
          <w:rFonts w:ascii="Times New Roman" w:eastAsia="Times New Roman" w:hAnsi="Times New Roman" w:cs="Times New Roman"/>
          <w:sz w:val="24"/>
        </w:rPr>
        <w:t xml:space="preserve"> Magnetic Field and Electron Density Anomalies from Swar</w:t>
      </w:r>
      <w:r>
        <w:rPr>
          <w:rFonts w:ascii="Times New Roman" w:eastAsia="Times New Roman" w:hAnsi="Times New Roman" w:cs="Times New Roman"/>
          <w:sz w:val="24"/>
        </w:rPr>
        <w:t xml:space="preserve">m Satellites Preceding the Major Earthquakes of the 2016–2017 </w:t>
      </w:r>
      <w:r>
        <w:rPr>
          <w:rFonts w:ascii="Times New Roman" w:eastAsia="Times New Roman" w:hAnsi="Times New Roman" w:cs="Times New Roman"/>
          <w:sz w:val="24"/>
        </w:rPr>
        <w:lastRenderedPageBreak/>
        <w:t xml:space="preserve">Amatrice Norcia (Central Italy) Seismic Sequence. </w:t>
      </w:r>
      <w:r>
        <w:rPr>
          <w:rFonts w:ascii="Times New Roman" w:eastAsia="Times New Roman" w:hAnsi="Times New Roman" w:cs="Times New Roman"/>
          <w:i/>
          <w:sz w:val="24"/>
        </w:rPr>
        <w:t>Pure Appl. Geophys.</w:t>
      </w:r>
      <w:r>
        <w:rPr>
          <w:rFonts w:ascii="Times New Roman" w:eastAsia="Times New Roman" w:hAnsi="Times New Roman" w:cs="Times New Roman"/>
          <w:sz w:val="24"/>
        </w:rPr>
        <w:t xml:space="preserve"> </w:t>
      </w:r>
      <w:r>
        <w:rPr>
          <w:rFonts w:ascii="Times New Roman" w:eastAsia="Times New Roman" w:hAnsi="Times New Roman" w:cs="Times New Roman"/>
          <w:b/>
          <w:sz w:val="24"/>
        </w:rPr>
        <w:t>177,</w:t>
      </w:r>
      <w:r>
        <w:rPr>
          <w:rFonts w:ascii="Times New Roman" w:eastAsia="Times New Roman" w:hAnsi="Times New Roman" w:cs="Times New Roman"/>
          <w:sz w:val="24"/>
        </w:rPr>
        <w:t xml:space="preserve"> 305–319 (2020). </w:t>
      </w:r>
      <w:hyperlink r:id="rId12">
        <w:r>
          <w:rPr>
            <w:rFonts w:ascii="Times New Roman" w:eastAsia="Times New Roman" w:hAnsi="Times New Roman" w:cs="Times New Roman"/>
            <w:color w:val="0563C1"/>
            <w:sz w:val="24"/>
            <w:u w:val="single" w:color="0563C1"/>
          </w:rPr>
          <w:t>https://doi.org/10.1007/s00024</w:t>
        </w:r>
      </w:hyperlink>
      <w:hyperlink r:id="rId13">
        <w:r>
          <w:rPr>
            <w:rFonts w:ascii="Times New Roman" w:eastAsia="Times New Roman" w:hAnsi="Times New Roman" w:cs="Times New Roman"/>
            <w:color w:val="0563C1"/>
            <w:sz w:val="24"/>
            <w:u w:val="single" w:color="0563C1"/>
          </w:rPr>
          <w:t>-</w:t>
        </w:r>
      </w:hyperlink>
      <w:hyperlink r:id="rId14">
        <w:r>
          <w:rPr>
            <w:rFonts w:ascii="Times New Roman" w:eastAsia="Times New Roman" w:hAnsi="Times New Roman" w:cs="Times New Roman"/>
            <w:color w:val="0563C1"/>
            <w:sz w:val="24"/>
            <w:u w:val="single" w:color="0563C1"/>
          </w:rPr>
          <w:t>019</w:t>
        </w:r>
      </w:hyperlink>
      <w:hyperlink r:id="rId15">
        <w:r>
          <w:rPr>
            <w:rFonts w:ascii="Times New Roman" w:eastAsia="Times New Roman" w:hAnsi="Times New Roman" w:cs="Times New Roman"/>
            <w:color w:val="0563C1"/>
            <w:sz w:val="24"/>
            <w:u w:val="single" w:color="0563C1"/>
          </w:rPr>
          <w:t>-</w:t>
        </w:r>
      </w:hyperlink>
      <w:hyperlink r:id="rId16">
        <w:r>
          <w:rPr>
            <w:rFonts w:ascii="Times New Roman" w:eastAsia="Times New Roman" w:hAnsi="Times New Roman" w:cs="Times New Roman"/>
            <w:color w:val="0563C1"/>
            <w:sz w:val="24"/>
            <w:u w:val="single" w:color="0563C1"/>
          </w:rPr>
          <w:t>02138</w:t>
        </w:r>
      </w:hyperlink>
      <w:hyperlink r:id="rId17">
        <w:r>
          <w:rPr>
            <w:rFonts w:ascii="Times New Roman" w:eastAsia="Times New Roman" w:hAnsi="Times New Roman" w:cs="Times New Roman"/>
            <w:color w:val="0563C1"/>
            <w:sz w:val="24"/>
            <w:u w:val="single" w:color="0563C1"/>
          </w:rPr>
          <w:t>-</w:t>
        </w:r>
      </w:hyperlink>
      <w:hyperlink r:id="rId18">
        <w:r>
          <w:rPr>
            <w:rFonts w:ascii="Times New Roman" w:eastAsia="Times New Roman" w:hAnsi="Times New Roman" w:cs="Times New Roman"/>
            <w:color w:val="0563C1"/>
            <w:sz w:val="24"/>
            <w:u w:val="single" w:color="0563C1"/>
          </w:rPr>
          <w:t>y</w:t>
        </w:r>
      </w:hyperlink>
      <w:hyperlink r:id="rId19">
        <w:r>
          <w:rPr>
            <w:rFonts w:ascii="Times New Roman" w:eastAsia="Times New Roman" w:hAnsi="Times New Roman" w:cs="Times New Roman"/>
            <w:sz w:val="24"/>
          </w:rPr>
          <w:t xml:space="preserve"> </w:t>
        </w:r>
      </w:hyperlink>
    </w:p>
    <w:p w:rsidR="0052701D" w:rsidRDefault="00D40929">
      <w:pPr>
        <w:numPr>
          <w:ilvl w:val="0"/>
          <w:numId w:val="2"/>
        </w:numPr>
        <w:spacing w:after="0" w:line="248" w:lineRule="auto"/>
        <w:ind w:right="14" w:firstLine="711"/>
        <w:jc w:val="both"/>
      </w:pPr>
      <w:r>
        <w:rPr>
          <w:rFonts w:ascii="Times New Roman" w:eastAsia="Times New Roman" w:hAnsi="Times New Roman" w:cs="Times New Roman"/>
          <w:sz w:val="24"/>
        </w:rPr>
        <w:t>Akhoondzadeh M, De Santis A, Marchetti D and Shen X (2022) SwarmTEC Satelli</w:t>
      </w:r>
      <w:r>
        <w:rPr>
          <w:rFonts w:ascii="Times New Roman" w:eastAsia="Times New Roman" w:hAnsi="Times New Roman" w:cs="Times New Roman"/>
          <w:sz w:val="24"/>
        </w:rPr>
        <w:t xml:space="preserve">te Measurements as a Potential Earthquake Precursor Together With Other Swarm and CSES Data: The Case of Mw7.6 2019 Papua New Guinea Seismic Event. Front. Earth Sci. 10:820189. doi: 10.3389/feart.2022.820189 </w:t>
      </w:r>
    </w:p>
    <w:p w:rsidR="0052701D" w:rsidRDefault="00D40929">
      <w:pPr>
        <w:numPr>
          <w:ilvl w:val="0"/>
          <w:numId w:val="2"/>
        </w:numPr>
        <w:spacing w:after="0" w:line="248" w:lineRule="auto"/>
        <w:ind w:right="14" w:firstLine="711"/>
        <w:jc w:val="both"/>
      </w:pPr>
      <w:r>
        <w:rPr>
          <w:rFonts w:ascii="Times New Roman" w:eastAsia="Times New Roman" w:hAnsi="Times New Roman" w:cs="Times New Roman"/>
          <w:sz w:val="24"/>
        </w:rPr>
        <w:t xml:space="preserve">Kon, S.; Nishihashi, M.; Hattori, K. Ionospheric anomalies possibly associated with M 6 earthquakes in Japan during 1998–2011: Case studies and statistical study. J. Asian Earth Sci. 2011, 41, 410–420 </w:t>
      </w:r>
    </w:p>
    <w:p w:rsidR="0052701D" w:rsidRDefault="00D40929">
      <w:pPr>
        <w:numPr>
          <w:ilvl w:val="0"/>
          <w:numId w:val="2"/>
        </w:numPr>
        <w:spacing w:after="0" w:line="248" w:lineRule="auto"/>
        <w:ind w:right="14" w:firstLine="711"/>
        <w:jc w:val="both"/>
      </w:pPr>
      <w:r>
        <w:rPr>
          <w:rFonts w:ascii="Times New Roman" w:eastAsia="Times New Roman" w:hAnsi="Times New Roman" w:cs="Times New Roman"/>
          <w:sz w:val="24"/>
        </w:rPr>
        <w:t>Le, H.; Liu, J.Y.; Liu, L. A statistical analysis of i</w:t>
      </w:r>
      <w:r>
        <w:rPr>
          <w:rFonts w:ascii="Times New Roman" w:eastAsia="Times New Roman" w:hAnsi="Times New Roman" w:cs="Times New Roman"/>
          <w:sz w:val="24"/>
        </w:rPr>
        <w:t xml:space="preserve">onospheric anomalies before 736 M6.0+ earthquakes during 2002–2010. J. Geophys. Res. Atmos. 2011, 116, A02303. </w:t>
      </w:r>
    </w:p>
    <w:p w:rsidR="0052701D" w:rsidRDefault="00D40929">
      <w:pPr>
        <w:numPr>
          <w:ilvl w:val="0"/>
          <w:numId w:val="2"/>
        </w:numPr>
        <w:spacing w:after="29" w:line="248" w:lineRule="auto"/>
        <w:ind w:right="14" w:firstLine="711"/>
        <w:jc w:val="both"/>
      </w:pPr>
      <w:r>
        <w:rPr>
          <w:rFonts w:ascii="Times New Roman" w:eastAsia="Times New Roman" w:hAnsi="Times New Roman" w:cs="Times New Roman"/>
          <w:sz w:val="24"/>
        </w:rPr>
        <w:t>Liu, J.Y.; Chen, C.H.; Tsai, H.F. A statistical study on seismo-ionospheric precursors of the total electron content associated with 146 M 6.0 e</w:t>
      </w:r>
      <w:r>
        <w:rPr>
          <w:rFonts w:ascii="Times New Roman" w:eastAsia="Times New Roman" w:hAnsi="Times New Roman" w:cs="Times New Roman"/>
          <w:sz w:val="24"/>
        </w:rPr>
        <w:t xml:space="preserve">arthquakes in Japan during 1998–2011; Earthquake Prediction Studies: Seismo Electromagnetics; Hayakawa, M., Ed.; TERRAPUB: Tokyo, Japan, 2013; pp. 1–13. </w:t>
      </w:r>
    </w:p>
    <w:p w:rsidR="0052701D" w:rsidRDefault="00D40929">
      <w:pPr>
        <w:numPr>
          <w:ilvl w:val="0"/>
          <w:numId w:val="2"/>
        </w:numPr>
        <w:spacing w:after="5"/>
        <w:ind w:right="14" w:firstLine="711"/>
        <w:jc w:val="both"/>
      </w:pPr>
      <w:r>
        <w:rPr>
          <w:rFonts w:ascii="Times New Roman" w:eastAsia="Times New Roman" w:hAnsi="Times New Roman" w:cs="Times New Roman"/>
          <w:sz w:val="24"/>
        </w:rPr>
        <w:t xml:space="preserve">Mustafa Ulukavak, Mualla Yalçınkaya, Emine Tanır Kayıkçı, Serkan Öztürk, Raif </w:t>
      </w:r>
    </w:p>
    <w:p w:rsidR="0052701D" w:rsidRDefault="00D40929">
      <w:pPr>
        <w:spacing w:after="0" w:line="248" w:lineRule="auto"/>
        <w:ind w:left="9" w:right="14"/>
        <w:jc w:val="both"/>
      </w:pPr>
      <w:r>
        <w:rPr>
          <w:rFonts w:ascii="Times New Roman" w:eastAsia="Times New Roman" w:hAnsi="Times New Roman" w:cs="Times New Roman"/>
          <w:sz w:val="24"/>
        </w:rPr>
        <w:t>Kandemir, Hakan Karslı,</w:t>
      </w:r>
      <w:r>
        <w:rPr>
          <w:rFonts w:ascii="Times New Roman" w:eastAsia="Times New Roman" w:hAnsi="Times New Roman" w:cs="Times New Roman"/>
          <w:sz w:val="24"/>
        </w:rPr>
        <w:t xml:space="preserve"> Analysis of ionospheric TEC anomalies for global earthquakes during 20002019 with respect to earthquake magnitude (Mw≥6.0), Journal of Geodynamics, Volume 135, 2020, 101721, ISSN 0264-3707, </w:t>
      </w:r>
      <w:hyperlink r:id="rId20">
        <w:r>
          <w:rPr>
            <w:rFonts w:ascii="Times New Roman" w:eastAsia="Times New Roman" w:hAnsi="Times New Roman" w:cs="Times New Roman"/>
            <w:color w:val="0563C1"/>
            <w:sz w:val="24"/>
            <w:u w:val="single" w:color="0563C1"/>
          </w:rPr>
          <w:t>https://doi.org/10.1016/j.jog.2020.101721</w:t>
        </w:r>
      </w:hyperlink>
      <w:hyperlink r:id="rId21">
        <w:r>
          <w:rPr>
            <w:rFonts w:ascii="Times New Roman" w:eastAsia="Times New Roman" w:hAnsi="Times New Roman" w:cs="Times New Roman"/>
            <w:sz w:val="24"/>
          </w:rPr>
          <w:t>.</w:t>
        </w:r>
      </w:hyperlink>
      <w:r>
        <w:rPr>
          <w:rFonts w:ascii="Times New Roman" w:eastAsia="Times New Roman" w:hAnsi="Times New Roman" w:cs="Times New Roman"/>
          <w:sz w:val="24"/>
        </w:rPr>
        <w:t xml:space="preserve"> </w:t>
      </w:r>
    </w:p>
    <w:p w:rsidR="0052701D" w:rsidRDefault="00D40929">
      <w:pPr>
        <w:numPr>
          <w:ilvl w:val="0"/>
          <w:numId w:val="2"/>
        </w:numPr>
        <w:spacing w:after="0" w:line="248" w:lineRule="auto"/>
        <w:ind w:right="14" w:firstLine="711"/>
        <w:jc w:val="both"/>
      </w:pPr>
      <w:r>
        <w:rPr>
          <w:rFonts w:ascii="Times New Roman" w:eastAsia="Times New Roman" w:hAnsi="Times New Roman" w:cs="Times New Roman"/>
          <w:sz w:val="24"/>
        </w:rPr>
        <w:t>Munawar Shah, Arslan Ahmed, Muhsan Ehsan, Majid Khan, Muhammad Arslan Tariq, Andres Calabia, Zahid ur Rahman, Total electron content anomalies associat</w:t>
      </w:r>
      <w:r>
        <w:rPr>
          <w:rFonts w:ascii="Times New Roman" w:eastAsia="Times New Roman" w:hAnsi="Times New Roman" w:cs="Times New Roman"/>
          <w:sz w:val="24"/>
        </w:rPr>
        <w:t xml:space="preserve">ed with earthquakes occurred during 1998–2019, Acta Astronautica, Volume 175, 2020, Pages 268-276, ISSN 0094-5765, </w:t>
      </w:r>
      <w:hyperlink r:id="rId22">
        <w:r>
          <w:rPr>
            <w:rFonts w:ascii="Times New Roman" w:eastAsia="Times New Roman" w:hAnsi="Times New Roman" w:cs="Times New Roman"/>
            <w:color w:val="0563C1"/>
            <w:sz w:val="24"/>
            <w:u w:val="single" w:color="0563C1"/>
          </w:rPr>
          <w:t>https://doi.org/10.1016/j.actaastro.2020.06.005</w:t>
        </w:r>
      </w:hyperlink>
      <w:hyperlink r:id="rId23">
        <w:r>
          <w:rPr>
            <w:rFonts w:ascii="Times New Roman" w:eastAsia="Times New Roman" w:hAnsi="Times New Roman" w:cs="Times New Roman"/>
            <w:sz w:val="24"/>
          </w:rPr>
          <w:t>.</w:t>
        </w:r>
      </w:hyperlink>
      <w:r>
        <w:rPr>
          <w:rFonts w:ascii="Times New Roman" w:eastAsia="Times New Roman" w:hAnsi="Times New Roman" w:cs="Times New Roman"/>
          <w:sz w:val="24"/>
        </w:rPr>
        <w:t xml:space="preserve"> </w:t>
      </w:r>
    </w:p>
    <w:p w:rsidR="0052701D" w:rsidRDefault="00D40929">
      <w:pPr>
        <w:numPr>
          <w:ilvl w:val="0"/>
          <w:numId w:val="2"/>
        </w:numPr>
        <w:spacing w:after="0" w:line="248" w:lineRule="auto"/>
        <w:ind w:right="14" w:firstLine="711"/>
        <w:jc w:val="both"/>
      </w:pPr>
      <w:r>
        <w:rPr>
          <w:rFonts w:ascii="Times New Roman" w:eastAsia="Times New Roman" w:hAnsi="Times New Roman" w:cs="Times New Roman"/>
          <w:sz w:val="24"/>
        </w:rPr>
        <w:t xml:space="preserve">Liu, J.Y.; Chen, Y.I.; Chuo, Y.J.; Chen, C.S. A statistical investigation of preearthquake ionospheric anomaly. J. Geophys. Res. 2006, 111, A05304. </w:t>
      </w:r>
    </w:p>
    <w:p w:rsidR="0052701D" w:rsidRDefault="00D40929">
      <w:pPr>
        <w:numPr>
          <w:ilvl w:val="0"/>
          <w:numId w:val="2"/>
        </w:numPr>
        <w:spacing w:after="0" w:line="248" w:lineRule="auto"/>
        <w:ind w:right="14" w:firstLine="711"/>
        <w:jc w:val="both"/>
      </w:pPr>
      <w:r>
        <w:rPr>
          <w:rFonts w:ascii="Times New Roman" w:eastAsia="Times New Roman" w:hAnsi="Times New Roman" w:cs="Times New Roman"/>
          <w:sz w:val="24"/>
        </w:rPr>
        <w:t xml:space="preserve">Maekawa, S.; Horie, T.; Yamauchi, T.; Sawaya, T.; Ishikawa, M.; </w:t>
      </w:r>
      <w:r>
        <w:rPr>
          <w:rFonts w:ascii="Times New Roman" w:eastAsia="Times New Roman" w:hAnsi="Times New Roman" w:cs="Times New Roman"/>
          <w:sz w:val="24"/>
        </w:rPr>
        <w:t xml:space="preserve">Hayakawa, M.; Sasaki, H. A statistical study on the effect of earthquakes on the ionosphere, as based on the subionospheric LF of propagation data in Japan. Ann. Geophys. 2006, 24, 2219–2225. </w:t>
      </w:r>
    </w:p>
    <w:p w:rsidR="0052701D" w:rsidRDefault="00D40929">
      <w:pPr>
        <w:numPr>
          <w:ilvl w:val="0"/>
          <w:numId w:val="2"/>
        </w:numPr>
        <w:spacing w:after="0" w:line="248" w:lineRule="auto"/>
        <w:ind w:right="14" w:firstLine="711"/>
        <w:jc w:val="both"/>
      </w:pPr>
      <w:r>
        <w:rPr>
          <w:rFonts w:ascii="Times New Roman" w:eastAsia="Times New Roman" w:hAnsi="Times New Roman" w:cs="Times New Roman"/>
          <w:sz w:val="24"/>
        </w:rPr>
        <w:t xml:space="preserve">Hayakawa, M.; Kasahara, Y.; Nakamura, T.; Muto, F.; Horie, T.; </w:t>
      </w:r>
      <w:r>
        <w:rPr>
          <w:rFonts w:ascii="Times New Roman" w:eastAsia="Times New Roman" w:hAnsi="Times New Roman" w:cs="Times New Roman"/>
          <w:sz w:val="24"/>
        </w:rPr>
        <w:t xml:space="preserve">Maekawa, S.; Hobara, Y.; Rozhnoi, A.A.; Solovieva, M.; Molchanov, O.A. A statistical study on the correlation between lower ionospheric perturbations as seen by subionospheric VLF/LF propagation and earthquakes. J. Geophys. Res. 2010, 115, A09305. </w:t>
      </w:r>
    </w:p>
    <w:p w:rsidR="0052701D" w:rsidRDefault="00D40929">
      <w:pPr>
        <w:numPr>
          <w:ilvl w:val="0"/>
          <w:numId w:val="2"/>
        </w:numPr>
        <w:spacing w:after="0" w:line="248" w:lineRule="auto"/>
        <w:ind w:right="14" w:firstLine="711"/>
        <w:jc w:val="both"/>
      </w:pPr>
      <w:r>
        <w:rPr>
          <w:rFonts w:ascii="Times New Roman" w:eastAsia="Times New Roman" w:hAnsi="Times New Roman" w:cs="Times New Roman"/>
          <w:sz w:val="24"/>
        </w:rPr>
        <w:t>Zhong-H</w:t>
      </w:r>
      <w:r>
        <w:rPr>
          <w:rFonts w:ascii="Times New Roman" w:eastAsia="Times New Roman" w:hAnsi="Times New Roman" w:cs="Times New Roman"/>
          <w:sz w:val="24"/>
        </w:rPr>
        <w:t xml:space="preserve">u Jiao, Xinjian Shan, Statistical framework for the evaluation of earthquake forecasting: A case study based on satellite surface temperature anomalies, Journal of Asian Earth Sciences, Volume 211, 2021, 104710, ISSN 1367-9120, </w:t>
      </w:r>
      <w:hyperlink r:id="rId24">
        <w:r>
          <w:rPr>
            <w:rFonts w:ascii="Times New Roman" w:eastAsia="Times New Roman" w:hAnsi="Times New Roman" w:cs="Times New Roman"/>
            <w:color w:val="0563C1"/>
            <w:sz w:val="24"/>
            <w:u w:val="single" w:color="0563C1"/>
          </w:rPr>
          <w:t>https://doi.org/10.1016/j.jseaes.2021.104710</w:t>
        </w:r>
      </w:hyperlink>
      <w:hyperlink r:id="rId25">
        <w:r>
          <w:rPr>
            <w:rFonts w:ascii="Times New Roman" w:eastAsia="Times New Roman" w:hAnsi="Times New Roman" w:cs="Times New Roman"/>
            <w:sz w:val="24"/>
          </w:rPr>
          <w:t>.</w:t>
        </w:r>
      </w:hyperlink>
      <w:r>
        <w:rPr>
          <w:rFonts w:ascii="Times New Roman" w:eastAsia="Times New Roman" w:hAnsi="Times New Roman" w:cs="Times New Roman"/>
          <w:sz w:val="24"/>
        </w:rPr>
        <w:t xml:space="preserve"> </w:t>
      </w:r>
    </w:p>
    <w:p w:rsidR="0052701D" w:rsidRDefault="00D40929">
      <w:pPr>
        <w:numPr>
          <w:ilvl w:val="0"/>
          <w:numId w:val="2"/>
        </w:numPr>
        <w:spacing w:after="29" w:line="248" w:lineRule="auto"/>
        <w:ind w:right="14" w:firstLine="711"/>
        <w:jc w:val="both"/>
      </w:pPr>
      <w:r>
        <w:rPr>
          <w:rFonts w:ascii="Times New Roman" w:eastAsia="Times New Roman" w:hAnsi="Times New Roman" w:cs="Times New Roman"/>
          <w:sz w:val="24"/>
        </w:rPr>
        <w:t>S. Pulinets, D. Ouzounov, Lithosphere–Atmosphere–Ionosphere Coupling (LAIC) model – An unified concept for ea</w:t>
      </w:r>
      <w:r>
        <w:rPr>
          <w:rFonts w:ascii="Times New Roman" w:eastAsia="Times New Roman" w:hAnsi="Times New Roman" w:cs="Times New Roman"/>
          <w:sz w:val="24"/>
        </w:rPr>
        <w:t xml:space="preserve">rthquake precursors validation, Journal of Asian Earth Sciences, Volume 41, Issues 4–5, 2011, Pages 371-382, ISSN 1367-9120, </w:t>
      </w:r>
      <w:hyperlink r:id="rId26">
        <w:r>
          <w:rPr>
            <w:rFonts w:ascii="Times New Roman" w:eastAsia="Times New Roman" w:hAnsi="Times New Roman" w:cs="Times New Roman"/>
            <w:color w:val="0563C1"/>
            <w:sz w:val="24"/>
            <w:u w:val="single" w:color="0563C1"/>
          </w:rPr>
          <w:t>https://doi.org/10.1016/j.jseaes.2010.03.005</w:t>
        </w:r>
      </w:hyperlink>
      <w:hyperlink r:id="rId27">
        <w:r>
          <w:rPr>
            <w:rFonts w:ascii="Times New Roman" w:eastAsia="Times New Roman" w:hAnsi="Times New Roman" w:cs="Times New Roman"/>
            <w:sz w:val="24"/>
          </w:rPr>
          <w:t>.</w:t>
        </w:r>
      </w:hyperlink>
      <w:r>
        <w:rPr>
          <w:rFonts w:ascii="Times New Roman" w:eastAsia="Times New Roman" w:hAnsi="Times New Roman" w:cs="Times New Roman"/>
          <w:sz w:val="24"/>
        </w:rPr>
        <w:t xml:space="preserve"> </w:t>
      </w:r>
    </w:p>
    <w:p w:rsidR="0052701D" w:rsidRDefault="00D40929">
      <w:pPr>
        <w:numPr>
          <w:ilvl w:val="0"/>
          <w:numId w:val="2"/>
        </w:numPr>
        <w:spacing w:after="0" w:line="248" w:lineRule="auto"/>
        <w:ind w:right="14" w:firstLine="711"/>
        <w:jc w:val="both"/>
      </w:pPr>
      <w:r>
        <w:rPr>
          <w:rFonts w:ascii="Times New Roman" w:eastAsia="Times New Roman" w:hAnsi="Times New Roman" w:cs="Times New Roman"/>
          <w:sz w:val="24"/>
        </w:rPr>
        <w:t>Hayakawa, M.; Izutsu, J.; Schekotov, A.; Yang, S.-S.; Solovieva, M.; Budilova, E. Lithosphere–Atmosphere–Ionosphere Coupling Effects Based on Multiparameter Precursor Observations for February–March 2021 Earthqua</w:t>
      </w:r>
      <w:r>
        <w:rPr>
          <w:rFonts w:ascii="Times New Roman" w:eastAsia="Times New Roman" w:hAnsi="Times New Roman" w:cs="Times New Roman"/>
          <w:sz w:val="24"/>
        </w:rPr>
        <w:t xml:space="preserve">kes (M~7) in the Offshore of Tohoku Area of Japan. Geosciences 2021, 11, 481. </w:t>
      </w:r>
      <w:hyperlink r:id="rId28">
        <w:r>
          <w:rPr>
            <w:rFonts w:ascii="Times New Roman" w:eastAsia="Times New Roman" w:hAnsi="Times New Roman" w:cs="Times New Roman"/>
            <w:color w:val="0563C1"/>
            <w:sz w:val="24"/>
            <w:u w:val="single" w:color="0563C1"/>
          </w:rPr>
          <w:t>https://doi.org/10.3390/geosciences11110481</w:t>
        </w:r>
      </w:hyperlink>
      <w:hyperlink r:id="rId29">
        <w:r>
          <w:rPr>
            <w:rFonts w:ascii="Times New Roman" w:eastAsia="Times New Roman" w:hAnsi="Times New Roman" w:cs="Times New Roman"/>
            <w:sz w:val="24"/>
          </w:rPr>
          <w:t xml:space="preserve"> </w:t>
        </w:r>
      </w:hyperlink>
    </w:p>
    <w:p w:rsidR="0052701D" w:rsidRDefault="00D40929">
      <w:pPr>
        <w:numPr>
          <w:ilvl w:val="0"/>
          <w:numId w:val="2"/>
        </w:numPr>
        <w:spacing w:after="0" w:line="248" w:lineRule="auto"/>
        <w:ind w:right="14" w:firstLine="711"/>
        <w:jc w:val="both"/>
      </w:pPr>
      <w:r>
        <w:rPr>
          <w:rFonts w:ascii="Times New Roman" w:eastAsia="Times New Roman" w:hAnsi="Times New Roman" w:cs="Times New Roman"/>
          <w:sz w:val="24"/>
        </w:rPr>
        <w:t xml:space="preserve">Dedalo </w:t>
      </w:r>
      <w:r>
        <w:rPr>
          <w:rFonts w:ascii="Times New Roman" w:eastAsia="Times New Roman" w:hAnsi="Times New Roman" w:cs="Times New Roman"/>
          <w:sz w:val="24"/>
        </w:rPr>
        <w:t xml:space="preserve">Marchetti, Angelo De Santis, Xuhui Shen, Saioa A. Campuzano, Loredana Perrone, Alessandro Piscini, Rita Di Giovambattista, Shuanggen Jin, Alessandro Ippolito, Gianfranco Cianchini, Claudio Cesaroni, Dario Sabbagh, Luca Spogli, Zeren Zhima, Jianping Huang, </w:t>
      </w:r>
      <w:r>
        <w:rPr>
          <w:rFonts w:ascii="Times New Roman" w:eastAsia="Times New Roman" w:hAnsi="Times New Roman" w:cs="Times New Roman"/>
          <w:sz w:val="24"/>
        </w:rPr>
        <w:t xml:space="preserve">Possible Lithosphere-Atmosphere-Ionosphere Coupling effects prior to the 2018 Mw = 7.5 Indonesia earthquake from seismic, atmospheric and ionospheric data, Journal of Asian Earth Sciences, Volume 188, 2020, 104097, ISSN 1367-9120, </w:t>
      </w:r>
      <w:hyperlink r:id="rId30">
        <w:r>
          <w:rPr>
            <w:rFonts w:ascii="Times New Roman" w:eastAsia="Times New Roman" w:hAnsi="Times New Roman" w:cs="Times New Roman"/>
            <w:color w:val="0563C1"/>
            <w:sz w:val="24"/>
            <w:u w:val="single" w:color="0563C1"/>
          </w:rPr>
          <w:t>https://doi.org/10.1016/j.jseaes.2019.104097</w:t>
        </w:r>
      </w:hyperlink>
      <w:hyperlink r:id="rId31">
        <w:r>
          <w:rPr>
            <w:rFonts w:ascii="Times New Roman" w:eastAsia="Times New Roman" w:hAnsi="Times New Roman" w:cs="Times New Roman"/>
            <w:sz w:val="24"/>
          </w:rPr>
          <w:t>.</w:t>
        </w:r>
      </w:hyperlink>
      <w:r>
        <w:rPr>
          <w:rFonts w:ascii="Times New Roman" w:eastAsia="Times New Roman" w:hAnsi="Times New Roman" w:cs="Times New Roman"/>
          <w:sz w:val="24"/>
        </w:rPr>
        <w:t xml:space="preserve"> </w:t>
      </w:r>
    </w:p>
    <w:p w:rsidR="0052701D" w:rsidRDefault="00D40929">
      <w:pPr>
        <w:numPr>
          <w:ilvl w:val="0"/>
          <w:numId w:val="2"/>
        </w:numPr>
        <w:spacing w:after="0" w:line="248" w:lineRule="auto"/>
        <w:ind w:right="14" w:firstLine="711"/>
        <w:jc w:val="both"/>
      </w:pPr>
      <w:r>
        <w:rPr>
          <w:rFonts w:ascii="Times New Roman" w:eastAsia="Times New Roman" w:hAnsi="Times New Roman" w:cs="Times New Roman"/>
          <w:sz w:val="24"/>
        </w:rPr>
        <w:lastRenderedPageBreak/>
        <w:t>Xiong, P.; Marchetti, D.; De Santis, A.; Zhang, X.; Shen, X. SafeNet: SwArm for Earthquake Perturbations I</w:t>
      </w:r>
      <w:r>
        <w:rPr>
          <w:rFonts w:ascii="Times New Roman" w:eastAsia="Times New Roman" w:hAnsi="Times New Roman" w:cs="Times New Roman"/>
          <w:sz w:val="24"/>
        </w:rPr>
        <w:t xml:space="preserve">dentification Using Deep Learning Networks. Remote Sens. 2021, 13, 5033. </w:t>
      </w:r>
      <w:hyperlink r:id="rId32">
        <w:r>
          <w:rPr>
            <w:rFonts w:ascii="Times New Roman" w:eastAsia="Times New Roman" w:hAnsi="Times New Roman" w:cs="Times New Roman"/>
            <w:color w:val="0563C1"/>
            <w:sz w:val="24"/>
            <w:u w:val="single" w:color="0563C1"/>
          </w:rPr>
          <w:t>https://doi.org/10.3390/rs13245033</w:t>
        </w:r>
      </w:hyperlink>
      <w:hyperlink r:id="rId33">
        <w:r>
          <w:rPr>
            <w:rFonts w:ascii="Times New Roman" w:eastAsia="Times New Roman" w:hAnsi="Times New Roman" w:cs="Times New Roman"/>
            <w:sz w:val="24"/>
          </w:rPr>
          <w:t xml:space="preserve"> </w:t>
        </w:r>
      </w:hyperlink>
    </w:p>
    <w:p w:rsidR="0052701D" w:rsidRDefault="00D40929">
      <w:pPr>
        <w:numPr>
          <w:ilvl w:val="0"/>
          <w:numId w:val="2"/>
        </w:numPr>
        <w:spacing w:after="0" w:line="248" w:lineRule="auto"/>
        <w:ind w:right="14" w:firstLine="711"/>
        <w:jc w:val="both"/>
      </w:pPr>
      <w:r>
        <w:rPr>
          <w:rFonts w:ascii="Times New Roman" w:eastAsia="Times New Roman" w:hAnsi="Times New Roman" w:cs="Times New Roman"/>
          <w:sz w:val="24"/>
        </w:rPr>
        <w:t>Akhoondzadeh, M.; De Santis, A.; Marche</w:t>
      </w:r>
      <w:r>
        <w:rPr>
          <w:rFonts w:ascii="Times New Roman" w:eastAsia="Times New Roman" w:hAnsi="Times New Roman" w:cs="Times New Roman"/>
          <w:sz w:val="24"/>
        </w:rPr>
        <w:t xml:space="preserve">tti, D.; Wang, T. Developing a Deep Learning-Based Detector of Magnetic, Ne, Te and TEC Anomalies from Swarm Satellites: The Case of Mw 7.1 2021 Japan Earthquake. </w:t>
      </w:r>
      <w:r>
        <w:rPr>
          <w:rFonts w:ascii="Times New Roman" w:eastAsia="Times New Roman" w:hAnsi="Times New Roman" w:cs="Times New Roman"/>
          <w:i/>
          <w:sz w:val="24"/>
        </w:rPr>
        <w:t>Remote Sens.</w:t>
      </w:r>
      <w:r>
        <w:rPr>
          <w:rFonts w:ascii="Times New Roman" w:eastAsia="Times New Roman" w:hAnsi="Times New Roman" w:cs="Times New Roman"/>
          <w:sz w:val="24"/>
        </w:rPr>
        <w:t xml:space="preserve"> </w:t>
      </w:r>
      <w:r>
        <w:rPr>
          <w:rFonts w:ascii="Times New Roman" w:eastAsia="Times New Roman" w:hAnsi="Times New Roman" w:cs="Times New Roman"/>
          <w:b/>
          <w:sz w:val="24"/>
        </w:rPr>
        <w:t>2022</w:t>
      </w:r>
      <w:r>
        <w:rPr>
          <w:rFonts w:ascii="Times New Roman" w:eastAsia="Times New Roman" w:hAnsi="Times New Roman" w:cs="Times New Roman"/>
          <w:sz w:val="24"/>
        </w:rPr>
        <w:t xml:space="preserve">, </w:t>
      </w:r>
      <w:r>
        <w:rPr>
          <w:rFonts w:ascii="Times New Roman" w:eastAsia="Times New Roman" w:hAnsi="Times New Roman" w:cs="Times New Roman"/>
          <w:i/>
          <w:sz w:val="24"/>
        </w:rPr>
        <w:t>14</w:t>
      </w:r>
      <w:r>
        <w:rPr>
          <w:rFonts w:ascii="Times New Roman" w:eastAsia="Times New Roman" w:hAnsi="Times New Roman" w:cs="Times New Roman"/>
          <w:sz w:val="24"/>
        </w:rPr>
        <w:t xml:space="preserve">, 1582. </w:t>
      </w:r>
      <w:hyperlink r:id="rId34">
        <w:r>
          <w:rPr>
            <w:rFonts w:ascii="Times New Roman" w:eastAsia="Times New Roman" w:hAnsi="Times New Roman" w:cs="Times New Roman"/>
            <w:color w:val="0563C1"/>
            <w:sz w:val="24"/>
            <w:u w:val="single" w:color="0563C1"/>
          </w:rPr>
          <w:t>https://doi.org/10.3390/rs14071582</w:t>
        </w:r>
      </w:hyperlink>
      <w:hyperlink r:id="rId35">
        <w:r>
          <w:rPr>
            <w:rFonts w:ascii="Times New Roman" w:eastAsia="Times New Roman" w:hAnsi="Times New Roman" w:cs="Times New Roman"/>
            <w:sz w:val="24"/>
          </w:rPr>
          <w:t xml:space="preserve"> </w:t>
        </w:r>
      </w:hyperlink>
    </w:p>
    <w:p w:rsidR="0052701D" w:rsidRDefault="00D40929">
      <w:pPr>
        <w:spacing w:after="0"/>
      </w:pPr>
      <w:r>
        <w:rPr>
          <w:rFonts w:ascii="Times New Roman" w:eastAsia="Times New Roman" w:hAnsi="Times New Roman" w:cs="Times New Roman"/>
          <w:color w:val="0563C1"/>
        </w:rPr>
        <w:t xml:space="preserve"> </w:t>
      </w:r>
    </w:p>
    <w:p w:rsidR="0052701D" w:rsidRDefault="00D40929">
      <w:pPr>
        <w:spacing w:after="0"/>
      </w:pPr>
      <w:r>
        <w:rPr>
          <w:rFonts w:ascii="Times New Roman" w:eastAsia="Times New Roman" w:hAnsi="Times New Roman" w:cs="Times New Roman"/>
          <w:b/>
        </w:rPr>
        <w:t xml:space="preserve"> </w:t>
      </w:r>
    </w:p>
    <w:p w:rsidR="0052701D" w:rsidRDefault="00D40929">
      <w:pPr>
        <w:spacing w:after="28"/>
      </w:pPr>
      <w:r>
        <w:rPr>
          <w:rFonts w:ascii="Times New Roman" w:eastAsia="Times New Roman" w:hAnsi="Times New Roman" w:cs="Times New Roman"/>
          <w:b/>
          <w:sz w:val="24"/>
        </w:rPr>
        <w:t xml:space="preserve"> </w:t>
      </w:r>
    </w:p>
    <w:p w:rsidR="0052701D" w:rsidRDefault="00D40929">
      <w:pPr>
        <w:spacing w:after="4" w:line="271" w:lineRule="auto"/>
        <w:ind w:left="-5" w:right="194" w:hanging="10"/>
      </w:pPr>
      <w:r>
        <w:rPr>
          <w:rFonts w:ascii="Times New Roman" w:eastAsia="Times New Roman" w:hAnsi="Times New Roman" w:cs="Times New Roman"/>
          <w:b/>
          <w:sz w:val="24"/>
        </w:rPr>
        <w:t xml:space="preserve">УДК 621.396.93:614.8  </w:t>
      </w:r>
    </w:p>
    <w:p w:rsidR="0052701D" w:rsidRDefault="00D40929">
      <w:pPr>
        <w:spacing w:after="0"/>
      </w:pPr>
      <w:r>
        <w:rPr>
          <w:rFonts w:ascii="Times New Roman" w:eastAsia="Times New Roman" w:hAnsi="Times New Roman" w:cs="Times New Roman"/>
          <w:sz w:val="28"/>
        </w:rPr>
        <w:t xml:space="preserve"> </w:t>
      </w:r>
    </w:p>
    <w:p w:rsidR="0052701D" w:rsidRDefault="00D40929">
      <w:pPr>
        <w:pStyle w:val="1"/>
        <w:ind w:left="173" w:right="176"/>
      </w:pPr>
      <w:r>
        <w:t xml:space="preserve">РОБОТТАРДЫҢ МАНИПУЛЯТОРЛАРЫН ЖӘНЕ КЕҢІСТІК </w:t>
      </w:r>
    </w:p>
    <w:p w:rsidR="0052701D" w:rsidRDefault="00D40929">
      <w:pPr>
        <w:spacing w:after="5" w:line="271" w:lineRule="auto"/>
        <w:ind w:left="173" w:right="176" w:hanging="10"/>
        <w:jc w:val="center"/>
      </w:pPr>
      <w:r>
        <w:rPr>
          <w:rFonts w:ascii="Times New Roman" w:eastAsia="Times New Roman" w:hAnsi="Times New Roman" w:cs="Times New Roman"/>
          <w:b/>
          <w:sz w:val="28"/>
        </w:rPr>
        <w:t xml:space="preserve">МЕХАНИЗМДЕРДІ ЖОБАУ </w:t>
      </w:r>
    </w:p>
    <w:p w:rsidR="0052701D" w:rsidRDefault="00D40929">
      <w:pPr>
        <w:spacing w:after="0"/>
        <w:ind w:left="63"/>
        <w:jc w:val="center"/>
      </w:pPr>
      <w:r>
        <w:rPr>
          <w:rFonts w:ascii="Times New Roman" w:eastAsia="Times New Roman" w:hAnsi="Times New Roman" w:cs="Times New Roman"/>
          <w:sz w:val="28"/>
        </w:rPr>
        <w:t xml:space="preserve"> </w:t>
      </w:r>
    </w:p>
    <w:p w:rsidR="0052701D" w:rsidRDefault="00D40929">
      <w:pPr>
        <w:spacing w:after="14" w:line="248" w:lineRule="auto"/>
        <w:ind w:left="713" w:right="716" w:hanging="5"/>
        <w:jc w:val="center"/>
      </w:pPr>
      <w:r>
        <w:rPr>
          <w:rFonts w:ascii="Times New Roman" w:eastAsia="Times New Roman" w:hAnsi="Times New Roman" w:cs="Times New Roman"/>
          <w:sz w:val="24"/>
        </w:rPr>
        <w:t>Косболов Cерикбай Байтикович</w:t>
      </w:r>
      <w:r>
        <w:rPr>
          <w:rFonts w:ascii="Times New Roman" w:eastAsia="Times New Roman" w:hAnsi="Times New Roman" w:cs="Times New Roman"/>
          <w:sz w:val="24"/>
          <w:vertAlign w:val="superscript"/>
        </w:rPr>
        <w:t>1</w:t>
      </w:r>
      <w:r>
        <w:rPr>
          <w:rFonts w:ascii="Times New Roman" w:eastAsia="Times New Roman" w:hAnsi="Times New Roman" w:cs="Times New Roman"/>
          <w:sz w:val="24"/>
        </w:rPr>
        <w:t xml:space="preserve">, Әбітай Әнуар </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xml:space="preserve"> </w:t>
      </w:r>
    </w:p>
    <w:p w:rsidR="0052701D" w:rsidRDefault="00D40929">
      <w:pPr>
        <w:spacing w:after="78" w:line="248" w:lineRule="auto"/>
        <w:ind w:left="216" w:right="14"/>
        <w:jc w:val="both"/>
      </w:pPr>
      <w:r>
        <w:rPr>
          <w:rFonts w:ascii="Times New Roman" w:eastAsia="Times New Roman" w:hAnsi="Times New Roman" w:cs="Times New Roman"/>
          <w:sz w:val="24"/>
          <w:vertAlign w:val="superscript"/>
        </w:rPr>
        <w:t>1,2</w:t>
      </w:r>
      <w:r>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«Ғұмарбек Даукеев атындағы Алматы энергетика және байланыс университеті» КеАҚ, </w:t>
      </w:r>
    </w:p>
    <w:p w:rsidR="0052701D" w:rsidRDefault="00D40929">
      <w:pPr>
        <w:spacing w:after="14" w:line="248" w:lineRule="auto"/>
        <w:ind w:left="713" w:right="717" w:hanging="5"/>
        <w:jc w:val="center"/>
      </w:pPr>
      <w:r>
        <w:rPr>
          <w:rFonts w:ascii="Times New Roman" w:eastAsia="Times New Roman" w:hAnsi="Times New Roman" w:cs="Times New Roman"/>
          <w:sz w:val="24"/>
        </w:rPr>
        <w:t xml:space="preserve">Алматы, Қазақстан </w:t>
      </w:r>
    </w:p>
    <w:p w:rsidR="0052701D" w:rsidRDefault="00D40929">
      <w:pPr>
        <w:spacing w:after="14" w:line="248" w:lineRule="auto"/>
        <w:ind w:left="713" w:right="713" w:hanging="5"/>
        <w:jc w:val="center"/>
      </w:pPr>
      <w:r>
        <w:rPr>
          <w:rFonts w:ascii="Times New Roman" w:eastAsia="Times New Roman" w:hAnsi="Times New Roman" w:cs="Times New Roman"/>
          <w:sz w:val="24"/>
        </w:rPr>
        <w:t xml:space="preserve">e-mail: s.kosbolov@aues.kz, a.abitay@aues.kz </w:t>
      </w:r>
    </w:p>
    <w:p w:rsidR="0052701D" w:rsidRDefault="00D40929">
      <w:pPr>
        <w:spacing w:after="22"/>
        <w:ind w:left="173"/>
        <w:jc w:val="center"/>
      </w:pPr>
      <w:r>
        <w:rPr>
          <w:rFonts w:ascii="Times New Roman" w:eastAsia="Times New Roman" w:hAnsi="Times New Roman" w:cs="Times New Roman"/>
          <w:sz w:val="24"/>
        </w:rPr>
        <w:t xml:space="preserve">   </w:t>
      </w:r>
    </w:p>
    <w:p w:rsidR="0052701D" w:rsidRDefault="00D40929">
      <w:pPr>
        <w:spacing w:after="29" w:line="248" w:lineRule="auto"/>
        <w:ind w:left="9" w:firstLine="711"/>
        <w:jc w:val="both"/>
      </w:pPr>
      <w:r>
        <w:rPr>
          <w:rFonts w:ascii="Times New Roman" w:eastAsia="Times New Roman" w:hAnsi="Times New Roman" w:cs="Times New Roman"/>
          <w:b/>
          <w:i/>
          <w:sz w:val="24"/>
        </w:rPr>
        <w:t xml:space="preserve">Аңдатпа. </w:t>
      </w:r>
      <w:r>
        <w:rPr>
          <w:rFonts w:ascii="Times New Roman" w:eastAsia="Times New Roman" w:hAnsi="Times New Roman" w:cs="Times New Roman"/>
          <w:i/>
          <w:sz w:val="24"/>
        </w:rPr>
        <w:t xml:space="preserve">Роботтар мен олардың негізінде жасалған робот жүйелері өте күрделі құрылғылар. Робототехникалық </w:t>
      </w:r>
      <w:r>
        <w:rPr>
          <w:rFonts w:ascii="Times New Roman" w:eastAsia="Times New Roman" w:hAnsi="Times New Roman" w:cs="Times New Roman"/>
          <w:i/>
          <w:sz w:val="24"/>
        </w:rPr>
        <w:t>жүйелерге кіретін роботтар мен олар қызмет ететін жабдықтар әртүрлі байланыстарға ие: ақпараттық, кинематикалық, бағдарламалық және басқалар. Манипулятор-бұл кинематикалық сілтемелер деп аталатын денелердің сериялық, параллель немесе сериялы-параллель қосы</w:t>
      </w:r>
      <w:r>
        <w:rPr>
          <w:rFonts w:ascii="Times New Roman" w:eastAsia="Times New Roman" w:hAnsi="Times New Roman" w:cs="Times New Roman"/>
          <w:i/>
          <w:sz w:val="24"/>
        </w:rPr>
        <w:t>луынан пайда болатын және кіріс буындарының қозғалысын қажетті (берілген) ұстау қозғалысына айналдыруға арналған кинематикалық тізбек. Бұл жағдайда кинематикалық байланыстар бір - бірімен қозғалмалы түрде кинематикалық жұптардың көмегімен қосылады, сфералы</w:t>
      </w:r>
      <w:r>
        <w:rPr>
          <w:rFonts w:ascii="Times New Roman" w:eastAsia="Times New Roman" w:hAnsi="Times New Roman" w:cs="Times New Roman"/>
          <w:i/>
          <w:sz w:val="24"/>
        </w:rPr>
        <w:t>қ және айналмалы кинематикалық жұптары бар кеңістіктік бастапқы кинематикалық тізбекті синтездеу мәселесінің шешімі ұсынылған және оны алты буынды кеңістіктік қозғалатын рычаг механизмдері мен робот манипуляторларының құрылымдық-кинематикалық синтезінде құ</w:t>
      </w:r>
      <w:r>
        <w:rPr>
          <w:rFonts w:ascii="Times New Roman" w:eastAsia="Times New Roman" w:hAnsi="Times New Roman" w:cs="Times New Roman"/>
          <w:i/>
          <w:sz w:val="24"/>
        </w:rPr>
        <w:t xml:space="preserve">рылымдық модуль ретінде пайдалану көрсетілген.кіріс және шығыс сілтемелерінің берілген позициялары. </w:t>
      </w:r>
    </w:p>
    <w:p w:rsidR="0052701D" w:rsidRDefault="00D40929">
      <w:pPr>
        <w:spacing w:after="29" w:line="248" w:lineRule="auto"/>
        <w:ind w:left="9" w:firstLine="711"/>
        <w:jc w:val="both"/>
      </w:pPr>
      <w:r>
        <w:rPr>
          <w:rFonts w:ascii="Times New Roman" w:eastAsia="Times New Roman" w:hAnsi="Times New Roman" w:cs="Times New Roman"/>
          <w:b/>
          <w:i/>
          <w:sz w:val="24"/>
        </w:rPr>
        <w:t>Түйінді сөздер:</w:t>
      </w:r>
      <w:r>
        <w:rPr>
          <w:rFonts w:ascii="Times New Roman" w:eastAsia="Times New Roman" w:hAnsi="Times New Roman" w:cs="Times New Roman"/>
          <w:i/>
          <w:sz w:val="24"/>
        </w:rPr>
        <w:t xml:space="preserve"> механизм, буын, кинематикалық жұптар, кинематикалық тізбектер, синтез, манипулятор, робот. </w:t>
      </w:r>
    </w:p>
    <w:p w:rsidR="0052701D" w:rsidRDefault="00D40929">
      <w:pPr>
        <w:spacing w:after="16"/>
      </w:pPr>
      <w:r>
        <w:rPr>
          <w:rFonts w:ascii="Times New Roman" w:eastAsia="Times New Roman" w:hAnsi="Times New Roman" w:cs="Times New Roman"/>
          <w:b/>
          <w:sz w:val="24"/>
        </w:rPr>
        <w:t xml:space="preserve"> </w:t>
      </w:r>
    </w:p>
    <w:p w:rsidR="0052701D" w:rsidRDefault="00D40929">
      <w:pPr>
        <w:spacing w:after="5" w:line="271" w:lineRule="auto"/>
        <w:ind w:left="173" w:right="176" w:hanging="10"/>
        <w:jc w:val="center"/>
      </w:pPr>
      <w:r>
        <w:rPr>
          <w:rFonts w:ascii="Times New Roman" w:eastAsia="Times New Roman" w:hAnsi="Times New Roman" w:cs="Times New Roman"/>
          <w:b/>
          <w:sz w:val="28"/>
        </w:rPr>
        <w:t xml:space="preserve">ПРОЕКТИРОВАНИЕ МАНИПУЛЯТОРОВ РОБОТА И ПРОСТРАНСТВЕННЫХ МЕХАНИЗМОВ </w:t>
      </w:r>
    </w:p>
    <w:p w:rsidR="0052701D" w:rsidRDefault="00D40929">
      <w:pPr>
        <w:spacing w:after="12"/>
        <w:ind w:left="53"/>
        <w:jc w:val="center"/>
      </w:pPr>
      <w:r>
        <w:rPr>
          <w:rFonts w:ascii="Times New Roman" w:eastAsia="Times New Roman" w:hAnsi="Times New Roman" w:cs="Times New Roman"/>
          <w:b/>
          <w:sz w:val="24"/>
        </w:rPr>
        <w:t xml:space="preserve"> </w:t>
      </w:r>
    </w:p>
    <w:p w:rsidR="0052701D" w:rsidRDefault="00D40929">
      <w:pPr>
        <w:spacing w:after="58" w:line="248" w:lineRule="auto"/>
        <w:ind w:left="713" w:right="716" w:hanging="5"/>
        <w:jc w:val="center"/>
      </w:pPr>
      <w:r>
        <w:rPr>
          <w:rFonts w:ascii="Times New Roman" w:eastAsia="Times New Roman" w:hAnsi="Times New Roman" w:cs="Times New Roman"/>
          <w:sz w:val="24"/>
        </w:rPr>
        <w:t>Косболов Cерикбай Байтикович</w:t>
      </w:r>
      <w:r>
        <w:rPr>
          <w:rFonts w:ascii="Times New Roman" w:eastAsia="Times New Roman" w:hAnsi="Times New Roman" w:cs="Times New Roman"/>
          <w:sz w:val="24"/>
          <w:vertAlign w:val="superscript"/>
        </w:rPr>
        <w:t>1</w:t>
      </w:r>
      <w:r>
        <w:rPr>
          <w:rFonts w:ascii="Times New Roman" w:eastAsia="Times New Roman" w:hAnsi="Times New Roman" w:cs="Times New Roman"/>
          <w:sz w:val="24"/>
        </w:rPr>
        <w:t xml:space="preserve">, Әбітай Әнуар </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xml:space="preserve"> </w:t>
      </w:r>
    </w:p>
    <w:p w:rsidR="0052701D" w:rsidRDefault="00D40929">
      <w:pPr>
        <w:spacing w:after="36" w:line="248" w:lineRule="auto"/>
        <w:ind w:left="713" w:right="714" w:hanging="5"/>
        <w:jc w:val="center"/>
      </w:pPr>
      <w:r>
        <w:rPr>
          <w:rFonts w:ascii="Times New Roman" w:eastAsia="Times New Roman" w:hAnsi="Times New Roman" w:cs="Times New Roman"/>
          <w:sz w:val="24"/>
        </w:rPr>
        <w:t xml:space="preserve">НАО «Алматинский университет энергетики и связи им.Гумарбека Даукеева» </w:t>
      </w:r>
    </w:p>
    <w:p w:rsidR="0052701D" w:rsidRDefault="00D40929">
      <w:pPr>
        <w:spacing w:after="14" w:line="248" w:lineRule="auto"/>
        <w:ind w:left="713" w:right="722" w:hanging="5"/>
        <w:jc w:val="center"/>
      </w:pPr>
      <w:r>
        <w:rPr>
          <w:rFonts w:ascii="Times New Roman" w:eastAsia="Times New Roman" w:hAnsi="Times New Roman" w:cs="Times New Roman"/>
          <w:sz w:val="24"/>
        </w:rPr>
        <w:t xml:space="preserve">г.Алматы, Казахстан </w:t>
      </w:r>
    </w:p>
    <w:p w:rsidR="0052701D" w:rsidRDefault="00D40929">
      <w:pPr>
        <w:spacing w:after="14" w:line="248" w:lineRule="auto"/>
        <w:ind w:left="713" w:right="713" w:hanging="5"/>
        <w:jc w:val="center"/>
      </w:pPr>
      <w:r>
        <w:rPr>
          <w:rFonts w:ascii="Times New Roman" w:eastAsia="Times New Roman" w:hAnsi="Times New Roman" w:cs="Times New Roman"/>
          <w:sz w:val="24"/>
        </w:rPr>
        <w:t xml:space="preserve">e-mail: s.kosbolov@aues.kz, a.abitay@aues.kz </w:t>
      </w:r>
    </w:p>
    <w:p w:rsidR="0052701D" w:rsidRDefault="00D40929">
      <w:pPr>
        <w:spacing w:after="0"/>
        <w:ind w:left="173"/>
        <w:jc w:val="center"/>
      </w:pPr>
      <w:r>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  </w:t>
      </w:r>
    </w:p>
    <w:p w:rsidR="0052701D" w:rsidRDefault="00D40929">
      <w:pPr>
        <w:spacing w:after="29" w:line="248" w:lineRule="auto"/>
        <w:ind w:left="9" w:firstLine="711"/>
        <w:jc w:val="both"/>
      </w:pPr>
      <w:r>
        <w:rPr>
          <w:rFonts w:ascii="Times New Roman" w:eastAsia="Times New Roman" w:hAnsi="Times New Roman" w:cs="Times New Roman"/>
          <w:b/>
          <w:i/>
          <w:sz w:val="24"/>
        </w:rPr>
        <w:t>Аннотация</w:t>
      </w:r>
      <w:r>
        <w:rPr>
          <w:rFonts w:ascii="Times New Roman" w:eastAsia="Times New Roman" w:hAnsi="Times New Roman" w:cs="Times New Roman"/>
          <w:i/>
          <w:sz w:val="24"/>
        </w:rPr>
        <w:t>. Роботы и создаваемые на их основе робототехнические системы являются достаточно сложными устройствами. Включаемые в робототехнические системы роботы и обслуживаемое ими оборудование имеют разнообразные связи между собой: информационные, кинем</w:t>
      </w:r>
      <w:r>
        <w:rPr>
          <w:rFonts w:ascii="Times New Roman" w:eastAsia="Times New Roman" w:hAnsi="Times New Roman" w:cs="Times New Roman"/>
          <w:i/>
          <w:sz w:val="24"/>
        </w:rPr>
        <w:t xml:space="preserve">атические, программные и многие другие. Манипулятор – это кинематическая цепь, образованная последовательным, параллельным или последовательнопараллельным соединением тел, называемых кинематическими звеньями, и </w:t>
      </w:r>
      <w:r>
        <w:rPr>
          <w:rFonts w:ascii="Times New Roman" w:eastAsia="Times New Roman" w:hAnsi="Times New Roman" w:cs="Times New Roman"/>
          <w:i/>
          <w:sz w:val="24"/>
        </w:rPr>
        <w:lastRenderedPageBreak/>
        <w:t>предназначенная для преобразования движения в</w:t>
      </w:r>
      <w:r>
        <w:rPr>
          <w:rFonts w:ascii="Times New Roman" w:eastAsia="Times New Roman" w:hAnsi="Times New Roman" w:cs="Times New Roman"/>
          <w:i/>
          <w:sz w:val="24"/>
        </w:rPr>
        <w:t>ходных звеньев в требуемое (заданное) движение схвата. При этом кинематические звенья соединяются друг с другом подвижно с помощью кинематических пар. Представлено решение задачи синтеза пространственной исходной кинематической цепи со сферическим и вращат</w:t>
      </w:r>
      <w:r>
        <w:rPr>
          <w:rFonts w:ascii="Times New Roman" w:eastAsia="Times New Roman" w:hAnsi="Times New Roman" w:cs="Times New Roman"/>
          <w:i/>
          <w:sz w:val="24"/>
        </w:rPr>
        <w:t>ельными кинематическими парами и показано ее использование в качестве структурного модуля при структурно- кинематическом синтезе пространственных шестизвенных перемещающих рычажных механизмов и манипуляторов робота по заданным положениям входного и выходно</w:t>
      </w:r>
      <w:r>
        <w:rPr>
          <w:rFonts w:ascii="Times New Roman" w:eastAsia="Times New Roman" w:hAnsi="Times New Roman" w:cs="Times New Roman"/>
          <w:i/>
          <w:sz w:val="24"/>
        </w:rPr>
        <w:t xml:space="preserve">го звеньев. </w:t>
      </w:r>
    </w:p>
    <w:p w:rsidR="0052701D" w:rsidRDefault="00D40929">
      <w:pPr>
        <w:spacing w:after="29" w:line="248" w:lineRule="auto"/>
        <w:ind w:left="9" w:firstLine="711"/>
        <w:jc w:val="both"/>
      </w:pPr>
      <w:r>
        <w:rPr>
          <w:rFonts w:ascii="Times New Roman" w:eastAsia="Times New Roman" w:hAnsi="Times New Roman" w:cs="Times New Roman"/>
          <w:b/>
          <w:i/>
          <w:sz w:val="24"/>
        </w:rPr>
        <w:t>Ключевые слова</w:t>
      </w:r>
      <w:r>
        <w:rPr>
          <w:rFonts w:ascii="Times New Roman" w:eastAsia="Times New Roman" w:hAnsi="Times New Roman" w:cs="Times New Roman"/>
          <w:sz w:val="24"/>
        </w:rPr>
        <w:t xml:space="preserve"> </w:t>
      </w:r>
      <w:r>
        <w:rPr>
          <w:rFonts w:ascii="Times New Roman" w:eastAsia="Times New Roman" w:hAnsi="Times New Roman" w:cs="Times New Roman"/>
          <w:i/>
          <w:sz w:val="24"/>
        </w:rPr>
        <w:t xml:space="preserve">механизм, звено, кинематические пары, кинематические цепи, синтез, манипулятор, робот. </w:t>
      </w:r>
    </w:p>
    <w:p w:rsidR="0052701D" w:rsidRDefault="00D40929">
      <w:pPr>
        <w:spacing w:after="21"/>
        <w:ind w:left="711"/>
      </w:pPr>
      <w:r>
        <w:rPr>
          <w:rFonts w:ascii="Times New Roman" w:eastAsia="Times New Roman" w:hAnsi="Times New Roman" w:cs="Times New Roman"/>
          <w:sz w:val="24"/>
        </w:rPr>
        <w:t xml:space="preserve"> </w:t>
      </w:r>
    </w:p>
    <w:p w:rsidR="0052701D" w:rsidRDefault="00D40929">
      <w:pPr>
        <w:spacing w:after="5" w:line="271" w:lineRule="auto"/>
        <w:ind w:left="1637" w:firstLine="9"/>
      </w:pPr>
      <w:r>
        <w:rPr>
          <w:rFonts w:ascii="Times New Roman" w:eastAsia="Times New Roman" w:hAnsi="Times New Roman" w:cs="Times New Roman"/>
          <w:b/>
          <w:sz w:val="28"/>
        </w:rPr>
        <w:t xml:space="preserve">DESIGN OF ROBOT MANIPULATORS AND SPATIAL MECHANISMS </w:t>
      </w:r>
    </w:p>
    <w:p w:rsidR="0052701D" w:rsidRDefault="00D40929">
      <w:pPr>
        <w:spacing w:after="0"/>
        <w:ind w:left="649"/>
        <w:jc w:val="center"/>
      </w:pPr>
      <w:r>
        <w:rPr>
          <w:rFonts w:ascii="Times New Roman" w:eastAsia="Times New Roman" w:hAnsi="Times New Roman" w:cs="Times New Roman"/>
          <w:b/>
          <w:sz w:val="28"/>
        </w:rPr>
        <w:t xml:space="preserve"> </w:t>
      </w:r>
    </w:p>
    <w:p w:rsidR="0052701D" w:rsidRDefault="00D40929">
      <w:pPr>
        <w:spacing w:after="14" w:line="248" w:lineRule="auto"/>
        <w:ind w:left="713" w:right="723" w:hanging="5"/>
        <w:jc w:val="center"/>
      </w:pPr>
      <w:r>
        <w:rPr>
          <w:rFonts w:ascii="Times New Roman" w:eastAsia="Times New Roman" w:hAnsi="Times New Roman" w:cs="Times New Roman"/>
          <w:sz w:val="24"/>
        </w:rPr>
        <w:t xml:space="preserve">Kosbolov Serikbay Baitikovich, Abitay Anuar  </w:t>
      </w:r>
    </w:p>
    <w:p w:rsidR="0052701D" w:rsidRDefault="00D40929">
      <w:pPr>
        <w:spacing w:after="14" w:line="248" w:lineRule="auto"/>
        <w:ind w:left="1292" w:right="1166" w:hanging="5"/>
        <w:jc w:val="center"/>
      </w:pPr>
      <w:r>
        <w:rPr>
          <w:rFonts w:ascii="Times New Roman" w:eastAsia="Times New Roman" w:hAnsi="Times New Roman" w:cs="Times New Roman"/>
          <w:sz w:val="24"/>
        </w:rPr>
        <w:t xml:space="preserve">Almaty University of Power Engineering and Telecommunications  named after Gumarbek Daukeev </w:t>
      </w:r>
    </w:p>
    <w:p w:rsidR="0052701D" w:rsidRDefault="00D40929">
      <w:pPr>
        <w:spacing w:after="14" w:line="248" w:lineRule="auto"/>
        <w:ind w:left="713" w:right="721" w:hanging="5"/>
        <w:jc w:val="center"/>
      </w:pPr>
      <w:r>
        <w:rPr>
          <w:rFonts w:ascii="Times New Roman" w:eastAsia="Times New Roman" w:hAnsi="Times New Roman" w:cs="Times New Roman"/>
          <w:sz w:val="24"/>
        </w:rPr>
        <w:t xml:space="preserve">Almaty, Khazakhstan </w:t>
      </w:r>
    </w:p>
    <w:p w:rsidR="0052701D" w:rsidRDefault="00D40929">
      <w:pPr>
        <w:spacing w:after="14" w:line="248" w:lineRule="auto"/>
        <w:ind w:left="713" w:right="718" w:hanging="5"/>
        <w:jc w:val="center"/>
      </w:pPr>
      <w:r>
        <w:rPr>
          <w:rFonts w:ascii="Times New Roman" w:eastAsia="Times New Roman" w:hAnsi="Times New Roman" w:cs="Times New Roman"/>
          <w:sz w:val="24"/>
        </w:rPr>
        <w:t xml:space="preserve">e-mail: s.kosbolov@aues.kz, a.abitay@aues.kz </w:t>
      </w:r>
    </w:p>
    <w:p w:rsidR="0052701D" w:rsidRDefault="00D40929">
      <w:pPr>
        <w:spacing w:after="0"/>
        <w:ind w:right="62"/>
        <w:jc w:val="center"/>
      </w:pPr>
      <w:r>
        <w:rPr>
          <w:rFonts w:ascii="Times New Roman" w:eastAsia="Times New Roman" w:hAnsi="Times New Roman" w:cs="Times New Roman"/>
          <w:sz w:val="28"/>
        </w:rPr>
        <w:t xml:space="preserve"> </w:t>
      </w:r>
    </w:p>
    <w:p w:rsidR="0052701D" w:rsidRDefault="00D40929">
      <w:pPr>
        <w:spacing w:after="0" w:line="248" w:lineRule="auto"/>
        <w:ind w:left="9" w:firstLine="711"/>
        <w:jc w:val="both"/>
      </w:pPr>
      <w:r>
        <w:rPr>
          <w:rFonts w:ascii="Times New Roman" w:eastAsia="Times New Roman" w:hAnsi="Times New Roman" w:cs="Times New Roman"/>
          <w:b/>
          <w:i/>
          <w:sz w:val="24"/>
        </w:rPr>
        <w:t xml:space="preserve">Annotation. </w:t>
      </w:r>
      <w:r>
        <w:rPr>
          <w:rFonts w:ascii="Times New Roman" w:eastAsia="Times New Roman" w:hAnsi="Times New Roman" w:cs="Times New Roman"/>
          <w:i/>
          <w:sz w:val="24"/>
        </w:rPr>
        <w:t>Robots and the robotic systems created on their basis are quite complex devices. Robots included in robotic systems and the equipment they serve have various connections among themselves: informational, kinematic, software, and many others. A manipulator i</w:t>
      </w:r>
      <w:r>
        <w:rPr>
          <w:rFonts w:ascii="Times New Roman" w:eastAsia="Times New Roman" w:hAnsi="Times New Roman" w:cs="Times New Roman"/>
          <w:i/>
          <w:sz w:val="24"/>
        </w:rPr>
        <w:t>s a kinematic chain formed by a sequential, parallel or series–parallel connection of bodies called kinematic links, and designed to transform the movement of the input links into the required (specified) movement of the grip. In this case, kinematic links</w:t>
      </w:r>
      <w:r>
        <w:rPr>
          <w:rFonts w:ascii="Times New Roman" w:eastAsia="Times New Roman" w:hAnsi="Times New Roman" w:cs="Times New Roman"/>
          <w:i/>
          <w:sz w:val="24"/>
        </w:rPr>
        <w:t xml:space="preserve"> are connected to each other movably with the help of kinematic pairs, a solution to the problem of synthesis of a spatial initial kinematic chain with spherical and rotational kinematic pairs is presented and its use as a structural module in the structur</w:t>
      </w:r>
      <w:r>
        <w:rPr>
          <w:rFonts w:ascii="Times New Roman" w:eastAsia="Times New Roman" w:hAnsi="Times New Roman" w:cs="Times New Roman"/>
          <w:i/>
          <w:sz w:val="24"/>
        </w:rPr>
        <w:t xml:space="preserve">al-kinematic synthesis of spatial six-link moving lever mechanisms and robot manipulators according to the specified positions of the input and output links is shown. </w:t>
      </w:r>
    </w:p>
    <w:p w:rsidR="0052701D" w:rsidRDefault="00D40929">
      <w:pPr>
        <w:spacing w:after="0"/>
        <w:ind w:left="10" w:right="54" w:hanging="10"/>
        <w:jc w:val="right"/>
      </w:pPr>
      <w:r>
        <w:rPr>
          <w:rFonts w:ascii="Times New Roman" w:eastAsia="Times New Roman" w:hAnsi="Times New Roman" w:cs="Times New Roman"/>
          <w:b/>
          <w:i/>
          <w:sz w:val="24"/>
        </w:rPr>
        <w:t>Keywords:</w:t>
      </w:r>
      <w:r>
        <w:rPr>
          <w:rFonts w:ascii="Times New Roman" w:eastAsia="Times New Roman" w:hAnsi="Times New Roman" w:cs="Times New Roman"/>
          <w:i/>
          <w:sz w:val="24"/>
        </w:rPr>
        <w:t xml:space="preserve"> mechanism, link, kinematic pairs, kinematic chains, synthesis, manipulator, ro</w:t>
      </w:r>
      <w:r>
        <w:rPr>
          <w:rFonts w:ascii="Times New Roman" w:eastAsia="Times New Roman" w:hAnsi="Times New Roman" w:cs="Times New Roman"/>
          <w:i/>
          <w:sz w:val="24"/>
        </w:rPr>
        <w:t>bot</w:t>
      </w:r>
      <w:r>
        <w:rPr>
          <w:rFonts w:ascii="Times New Roman" w:eastAsia="Times New Roman" w:hAnsi="Times New Roman" w:cs="Times New Roman"/>
          <w:b/>
          <w:i/>
          <w:sz w:val="24"/>
        </w:rPr>
        <w:t xml:space="preserve"> </w:t>
      </w:r>
    </w:p>
    <w:p w:rsidR="0052701D" w:rsidRDefault="00D40929">
      <w:pPr>
        <w:spacing w:after="67"/>
      </w:pPr>
      <w:r>
        <w:rPr>
          <w:rFonts w:ascii="Times New Roman" w:eastAsia="Times New Roman" w:hAnsi="Times New Roman" w:cs="Times New Roman"/>
          <w:b/>
          <w:sz w:val="24"/>
        </w:rPr>
        <w:t xml:space="preserve"> </w:t>
      </w:r>
    </w:p>
    <w:p w:rsidR="0052701D" w:rsidRDefault="00D40929">
      <w:pPr>
        <w:spacing w:after="5" w:line="251" w:lineRule="auto"/>
        <w:ind w:left="720" w:firstLine="9"/>
      </w:pPr>
      <w:r>
        <w:rPr>
          <w:rFonts w:ascii="Times New Roman" w:eastAsia="Times New Roman" w:hAnsi="Times New Roman" w:cs="Times New Roman"/>
          <w:b/>
          <w:sz w:val="28"/>
        </w:rPr>
        <w:t xml:space="preserve">Кіріспе </w:t>
      </w:r>
    </w:p>
    <w:p w:rsidR="0052701D" w:rsidRDefault="00D40929">
      <w:pPr>
        <w:spacing w:after="5" w:line="271" w:lineRule="auto"/>
        <w:ind w:left="9" w:right="128" w:firstLine="711"/>
        <w:jc w:val="both"/>
      </w:pPr>
      <w:r>
        <w:rPr>
          <w:rFonts w:ascii="Times New Roman" w:eastAsia="Times New Roman" w:hAnsi="Times New Roman" w:cs="Times New Roman"/>
          <w:sz w:val="28"/>
        </w:rPr>
        <w:t>Жұмыстарда [1,2] төрт буынды бастапқы кинематикалық тізбектерді (БКТ) жазық иінтіректі механизмдердің құрылымдық-кинематикалық синтезінде құрылымдық модуль ретінде пайдалануға болатыны көрсетілді. Жазық механизмдерді синтездеуге бұл тәсіл о</w:t>
      </w:r>
      <w:r>
        <w:rPr>
          <w:rFonts w:ascii="Times New Roman" w:eastAsia="Times New Roman" w:hAnsi="Times New Roman" w:cs="Times New Roman"/>
          <w:sz w:val="28"/>
        </w:rPr>
        <w:t>лардың құрылымдықкинематикалық синтезі мәселесін БКТ синтезі мәселесін шешуге дейін қысқартуға мүмкіндік береді, бұл механизмдерді жобалауды автоматтандыру үшін өте ыңғайлы. Бұл жұмыс бұл тәсілді кеңістіктік рычаг механизмдері мен робот-манипуляторлардың қ</w:t>
      </w:r>
      <w:r>
        <w:rPr>
          <w:rFonts w:ascii="Times New Roman" w:eastAsia="Times New Roman" w:hAnsi="Times New Roman" w:cs="Times New Roman"/>
          <w:sz w:val="28"/>
        </w:rPr>
        <w:t xml:space="preserve">ұрылымдық-кинематикалық синтезі мәселесіне кеңейтуге болатынын көрсетеді. </w:t>
      </w:r>
    </w:p>
    <w:p w:rsidR="0052701D" w:rsidRDefault="00D40929">
      <w:pPr>
        <w:spacing w:after="5" w:line="271" w:lineRule="auto"/>
        <w:ind w:left="9" w:right="128" w:firstLine="711"/>
        <w:jc w:val="both"/>
      </w:pPr>
      <w:r>
        <w:rPr>
          <w:rFonts w:ascii="Times New Roman" w:eastAsia="Times New Roman" w:hAnsi="Times New Roman" w:cs="Times New Roman"/>
          <w:i/>
          <w:sz w:val="28"/>
        </w:rPr>
        <w:t>BCC</w:t>
      </w:r>
      <w:r>
        <w:rPr>
          <w:rFonts w:ascii="Times New Roman" w:eastAsia="Times New Roman" w:hAnsi="Times New Roman" w:cs="Times New Roman"/>
          <w:sz w:val="28"/>
        </w:rPr>
        <w:t xml:space="preserve"> типті (</w:t>
      </w:r>
      <w:r>
        <w:rPr>
          <w:rFonts w:ascii="Times New Roman" w:eastAsia="Times New Roman" w:hAnsi="Times New Roman" w:cs="Times New Roman"/>
          <w:i/>
          <w:sz w:val="28"/>
        </w:rPr>
        <w:t>В</w:t>
      </w:r>
      <w:r>
        <w:rPr>
          <w:rFonts w:ascii="Times New Roman" w:eastAsia="Times New Roman" w:hAnsi="Times New Roman" w:cs="Times New Roman"/>
          <w:sz w:val="28"/>
        </w:rPr>
        <w:t xml:space="preserve"> – айналмалы, </w:t>
      </w:r>
      <w:r>
        <w:rPr>
          <w:rFonts w:ascii="Times New Roman" w:eastAsia="Times New Roman" w:hAnsi="Times New Roman" w:cs="Times New Roman"/>
          <w:i/>
          <w:sz w:val="28"/>
        </w:rPr>
        <w:t>С</w:t>
      </w:r>
      <w:r>
        <w:rPr>
          <w:rFonts w:ascii="Times New Roman" w:eastAsia="Times New Roman" w:hAnsi="Times New Roman" w:cs="Times New Roman"/>
          <w:sz w:val="28"/>
        </w:rPr>
        <w:t xml:space="preserve"> – </w:t>
      </w:r>
      <w:r>
        <w:rPr>
          <w:rFonts w:ascii="Times New Roman" w:eastAsia="Times New Roman" w:hAnsi="Times New Roman" w:cs="Times New Roman"/>
          <w:sz w:val="28"/>
        </w:rPr>
        <w:t>сфералық кинематикалық жұптар) кеңістіктік БКТ синтезі мәселесінің шешімі ұсынылған және оны берілген позицияларға сәйкес кеңістіктік рычаг механизмдерінің құрылымдықкинематикалық синтезінде құрылымдық модуль ретінде пайдалану. кіріс және шығыс сілтемелері</w:t>
      </w:r>
      <w:r>
        <w:rPr>
          <w:rFonts w:ascii="Times New Roman" w:eastAsia="Times New Roman" w:hAnsi="Times New Roman" w:cs="Times New Roman"/>
          <w:sz w:val="28"/>
        </w:rPr>
        <w:t xml:space="preserve"> көрсетіледі. </w:t>
      </w:r>
      <w:r>
        <w:rPr>
          <w:rFonts w:ascii="Times New Roman" w:eastAsia="Times New Roman" w:hAnsi="Times New Roman" w:cs="Times New Roman"/>
          <w:i/>
          <w:sz w:val="28"/>
        </w:rPr>
        <w:t>BCC</w:t>
      </w:r>
      <w:r>
        <w:rPr>
          <w:rFonts w:ascii="Times New Roman" w:eastAsia="Times New Roman" w:hAnsi="Times New Roman" w:cs="Times New Roman"/>
          <w:sz w:val="28"/>
        </w:rPr>
        <w:t xml:space="preserve"> типті БКТ синтезі </w:t>
      </w:r>
      <w:r>
        <w:rPr>
          <w:rFonts w:ascii="Times New Roman" w:eastAsia="Times New Roman" w:hAnsi="Times New Roman" w:cs="Times New Roman"/>
          <w:sz w:val="28"/>
        </w:rPr>
        <w:lastRenderedPageBreak/>
        <w:t xml:space="preserve">мәселесін шешу әдісі кіріс және шығыс буындарымен тұрақты түрде байланысқан екі қозғалатын денені енгізуге негізделген [3]. </w:t>
      </w:r>
    </w:p>
    <w:p w:rsidR="0052701D" w:rsidRDefault="00D40929">
      <w:pPr>
        <w:spacing w:after="35"/>
        <w:ind w:left="711"/>
      </w:pPr>
      <w:r>
        <w:rPr>
          <w:rFonts w:ascii="Times New Roman" w:eastAsia="Times New Roman" w:hAnsi="Times New Roman" w:cs="Times New Roman"/>
          <w:sz w:val="28"/>
        </w:rPr>
        <w:t xml:space="preserve"> </w:t>
      </w:r>
    </w:p>
    <w:p w:rsidR="0052701D" w:rsidRDefault="00D40929">
      <w:pPr>
        <w:spacing w:after="5" w:line="251" w:lineRule="auto"/>
        <w:ind w:left="720" w:firstLine="9"/>
      </w:pPr>
      <w:r>
        <w:rPr>
          <w:rFonts w:ascii="Times New Roman" w:eastAsia="Times New Roman" w:hAnsi="Times New Roman" w:cs="Times New Roman"/>
          <w:b/>
          <w:sz w:val="28"/>
        </w:rPr>
        <w:t xml:space="preserve">Негізгі бөлім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Мәселенің тұжырымы: </w:t>
      </w:r>
      <w:r>
        <w:rPr>
          <w:noProof/>
        </w:rPr>
        <w:drawing>
          <wp:inline distT="0" distB="0" distL="0" distR="0">
            <wp:extent cx="170688" cy="161544"/>
            <wp:effectExtent l="0" t="0" r="0" b="0"/>
            <wp:docPr id="1048551" name="Picture 1048551"/>
            <wp:cNvGraphicFramePr/>
            <a:graphic xmlns:a="http://schemas.openxmlformats.org/drawingml/2006/main">
              <a:graphicData uri="http://schemas.openxmlformats.org/drawingml/2006/picture">
                <pic:pic xmlns:pic="http://schemas.openxmlformats.org/drawingml/2006/picture">
                  <pic:nvPicPr>
                    <pic:cNvPr id="1048551" name="Picture 1048551"/>
                    <pic:cNvPicPr/>
                  </pic:nvPicPr>
                  <pic:blipFill>
                    <a:blip r:embed="rId36"/>
                    <a:stretch>
                      <a:fillRect/>
                    </a:stretch>
                  </pic:blipFill>
                  <pic:spPr>
                    <a:xfrm>
                      <a:off x="0" y="0"/>
                      <a:ext cx="170688" cy="161544"/>
                    </a:xfrm>
                    <a:prstGeom prst="rect">
                      <a:avLst/>
                    </a:prstGeom>
                  </pic:spPr>
                </pic:pic>
              </a:graphicData>
            </a:graphic>
          </wp:inline>
        </w:drawing>
      </w:r>
      <w:r>
        <w:rPr>
          <w:rFonts w:ascii="Times New Roman" w:eastAsia="Times New Roman" w:hAnsi="Times New Roman" w:cs="Times New Roman"/>
          <w:sz w:val="28"/>
        </w:rPr>
        <w:t xml:space="preserve"> және </w:t>
      </w:r>
      <w:r>
        <w:rPr>
          <w:noProof/>
        </w:rPr>
        <w:drawing>
          <wp:inline distT="0" distB="0" distL="0" distR="0">
            <wp:extent cx="167640" cy="161544"/>
            <wp:effectExtent l="0" t="0" r="0" b="0"/>
            <wp:docPr id="1048552" name="Picture 1048552"/>
            <wp:cNvGraphicFramePr/>
            <a:graphic xmlns:a="http://schemas.openxmlformats.org/drawingml/2006/main">
              <a:graphicData uri="http://schemas.openxmlformats.org/drawingml/2006/picture">
                <pic:pic xmlns:pic="http://schemas.openxmlformats.org/drawingml/2006/picture">
                  <pic:nvPicPr>
                    <pic:cNvPr id="1048552" name="Picture 1048552"/>
                    <pic:cNvPicPr/>
                  </pic:nvPicPr>
                  <pic:blipFill>
                    <a:blip r:embed="rId37"/>
                    <a:stretch>
                      <a:fillRect/>
                    </a:stretch>
                  </pic:blipFill>
                  <pic:spPr>
                    <a:xfrm>
                      <a:off x="0" y="0"/>
                      <a:ext cx="167640" cy="161544"/>
                    </a:xfrm>
                    <a:prstGeom prst="rect">
                      <a:avLst/>
                    </a:prstGeom>
                  </pic:spPr>
                </pic:pic>
              </a:graphicData>
            </a:graphic>
          </wp:inline>
        </w:drawing>
      </w:r>
      <w:r>
        <w:rPr>
          <w:rFonts w:ascii="Times New Roman" w:eastAsia="Times New Roman" w:hAnsi="Times New Roman" w:cs="Times New Roman"/>
          <w:sz w:val="28"/>
        </w:rPr>
        <w:t xml:space="preserve"> екі қатты дененің </w:t>
      </w:r>
      <w:r>
        <w:rPr>
          <w:rFonts w:ascii="Times New Roman" w:eastAsia="Times New Roman" w:hAnsi="Times New Roman" w:cs="Times New Roman"/>
          <w:i/>
          <w:sz w:val="28"/>
        </w:rPr>
        <w:t xml:space="preserve">N </w:t>
      </w:r>
      <w:r>
        <w:rPr>
          <w:rFonts w:ascii="Times New Roman" w:eastAsia="Times New Roman" w:hAnsi="Times New Roman" w:cs="Times New Roman"/>
          <w:sz w:val="28"/>
        </w:rPr>
        <w:t>ақырғы қашықтықраты берілсін:</w:t>
      </w:r>
      <w:r>
        <w:rPr>
          <w:rFonts w:ascii="Times New Roman" w:eastAsia="Times New Roman" w:hAnsi="Times New Roman" w:cs="Times New Roman"/>
          <w:sz w:val="28"/>
        </w:rPr>
        <w:t xml:space="preserve">  </w:t>
      </w:r>
    </w:p>
    <w:p w:rsidR="0052701D" w:rsidRDefault="00D40929">
      <w:pPr>
        <w:spacing w:after="0"/>
        <w:ind w:right="1401"/>
        <w:jc w:val="right"/>
      </w:pPr>
      <w:r>
        <w:rPr>
          <w:noProof/>
        </w:rPr>
        <w:drawing>
          <wp:inline distT="0" distB="0" distL="0" distR="0">
            <wp:extent cx="4678681" cy="243840"/>
            <wp:effectExtent l="0" t="0" r="0" b="0"/>
            <wp:docPr id="1048553" name="Picture 1048553"/>
            <wp:cNvGraphicFramePr/>
            <a:graphic xmlns:a="http://schemas.openxmlformats.org/drawingml/2006/main">
              <a:graphicData uri="http://schemas.openxmlformats.org/drawingml/2006/picture">
                <pic:pic xmlns:pic="http://schemas.openxmlformats.org/drawingml/2006/picture">
                  <pic:nvPicPr>
                    <pic:cNvPr id="1048553" name="Picture 1048553"/>
                    <pic:cNvPicPr/>
                  </pic:nvPicPr>
                  <pic:blipFill>
                    <a:blip r:embed="rId38"/>
                    <a:stretch>
                      <a:fillRect/>
                    </a:stretch>
                  </pic:blipFill>
                  <pic:spPr>
                    <a:xfrm>
                      <a:off x="0" y="0"/>
                      <a:ext cx="4678681" cy="243840"/>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5" w:line="271" w:lineRule="auto"/>
        <w:ind w:left="711" w:right="64"/>
        <w:jc w:val="both"/>
      </w:pPr>
      <w:r>
        <w:rPr>
          <w:rFonts w:ascii="Times New Roman" w:eastAsia="Times New Roman" w:hAnsi="Times New Roman" w:cs="Times New Roman"/>
          <w:sz w:val="28"/>
        </w:rPr>
        <w:t xml:space="preserve">мұндағы </w:t>
      </w:r>
      <w:r>
        <w:rPr>
          <w:noProof/>
        </w:rPr>
        <w:drawing>
          <wp:inline distT="0" distB="0" distL="0" distR="0">
            <wp:extent cx="682752" cy="240792"/>
            <wp:effectExtent l="0" t="0" r="0" b="0"/>
            <wp:docPr id="1048554" name="Picture 1048554"/>
            <wp:cNvGraphicFramePr/>
            <a:graphic xmlns:a="http://schemas.openxmlformats.org/drawingml/2006/main">
              <a:graphicData uri="http://schemas.openxmlformats.org/drawingml/2006/picture">
                <pic:pic xmlns:pic="http://schemas.openxmlformats.org/drawingml/2006/picture">
                  <pic:nvPicPr>
                    <pic:cNvPr id="1048554" name="Picture 1048554"/>
                    <pic:cNvPicPr/>
                  </pic:nvPicPr>
                  <pic:blipFill>
                    <a:blip r:embed="rId39"/>
                    <a:stretch>
                      <a:fillRect/>
                    </a:stretch>
                  </pic:blipFill>
                  <pic:spPr>
                    <a:xfrm>
                      <a:off x="0" y="0"/>
                      <a:ext cx="682752" cy="240792"/>
                    </a:xfrm>
                    <a:prstGeom prst="rect">
                      <a:avLst/>
                    </a:prstGeom>
                  </pic:spPr>
                </pic:pic>
              </a:graphicData>
            </a:graphic>
          </wp:inline>
        </w:drawing>
      </w:r>
      <w:r>
        <w:rPr>
          <w:rFonts w:ascii="Times New Roman" w:eastAsia="Times New Roman" w:hAnsi="Times New Roman" w:cs="Times New Roman"/>
          <w:sz w:val="28"/>
        </w:rPr>
        <w:t xml:space="preserve"> – </w:t>
      </w:r>
      <w:r>
        <w:rPr>
          <w:rFonts w:ascii="Times New Roman" w:eastAsia="Times New Roman" w:hAnsi="Times New Roman" w:cs="Times New Roman"/>
          <w:i/>
          <w:sz w:val="28"/>
        </w:rPr>
        <w:t xml:space="preserve">OXYZ </w:t>
      </w:r>
      <w:r>
        <w:rPr>
          <w:rFonts w:ascii="Times New Roman" w:eastAsia="Times New Roman" w:hAnsi="Times New Roman" w:cs="Times New Roman"/>
          <w:sz w:val="28"/>
        </w:rPr>
        <w:t xml:space="preserve">тіркелген координаталар жүйесіне қатысты </w:t>
      </w:r>
    </w:p>
    <w:p w:rsidR="0052701D" w:rsidRDefault="00D40929">
      <w:pPr>
        <w:spacing w:after="5" w:line="271" w:lineRule="auto"/>
        <w:ind w:left="9" w:right="185"/>
        <w:jc w:val="both"/>
      </w:pPr>
      <w:r>
        <w:rPr>
          <w:rFonts w:ascii="Times New Roman" w:eastAsia="Times New Roman" w:hAnsi="Times New Roman" w:cs="Times New Roman"/>
          <w:sz w:val="28"/>
        </w:rPr>
        <w:t xml:space="preserve">Эйлер бұрыштары.  </w:t>
      </w:r>
    </w:p>
    <w:p w:rsidR="0052701D" w:rsidRDefault="00D40929">
      <w:pPr>
        <w:spacing w:after="5" w:line="271" w:lineRule="auto"/>
        <w:ind w:left="-56" w:right="64" w:firstLine="767"/>
        <w:jc w:val="both"/>
      </w:pPr>
      <w:r>
        <w:rPr>
          <w:rFonts w:ascii="Times New Roman" w:eastAsia="Times New Roman" w:hAnsi="Times New Roman" w:cs="Times New Roman"/>
          <w:sz w:val="28"/>
        </w:rPr>
        <w:t xml:space="preserve">Қозғалмавйтын координаталар жүйесіне </w:t>
      </w:r>
      <w:r>
        <w:rPr>
          <w:noProof/>
        </w:rPr>
        <w:drawing>
          <wp:inline distT="0" distB="0" distL="0" distR="0">
            <wp:extent cx="167640" cy="161544"/>
            <wp:effectExtent l="0" t="0" r="0" b="0"/>
            <wp:docPr id="1048556" name="Picture 1048556"/>
            <wp:cNvGraphicFramePr/>
            <a:graphic xmlns:a="http://schemas.openxmlformats.org/drawingml/2006/main">
              <a:graphicData uri="http://schemas.openxmlformats.org/drawingml/2006/picture">
                <pic:pic xmlns:pic="http://schemas.openxmlformats.org/drawingml/2006/picture">
                  <pic:nvPicPr>
                    <pic:cNvPr id="1048556" name="Picture 1048556"/>
                    <pic:cNvPicPr/>
                  </pic:nvPicPr>
                  <pic:blipFill>
                    <a:blip r:embed="rId40"/>
                    <a:stretch>
                      <a:fillRect/>
                    </a:stretch>
                  </pic:blipFill>
                  <pic:spPr>
                    <a:xfrm>
                      <a:off x="0" y="0"/>
                      <a:ext cx="167640" cy="161544"/>
                    </a:xfrm>
                    <a:prstGeom prst="rect">
                      <a:avLst/>
                    </a:prstGeom>
                  </pic:spPr>
                </pic:pic>
              </a:graphicData>
            </a:graphic>
          </wp:inline>
        </w:drawing>
      </w:r>
      <w:r>
        <w:rPr>
          <w:rFonts w:ascii="Times New Roman" w:eastAsia="Times New Roman" w:hAnsi="Times New Roman" w:cs="Times New Roman"/>
          <w:sz w:val="28"/>
        </w:rPr>
        <w:t xml:space="preserve"> денесінің </w:t>
      </w:r>
      <w:r>
        <w:rPr>
          <w:noProof/>
        </w:rPr>
        <w:drawing>
          <wp:inline distT="0" distB="0" distL="0" distR="0">
            <wp:extent cx="920496" cy="173736"/>
            <wp:effectExtent l="0" t="0" r="0" b="0"/>
            <wp:docPr id="1048555" name="Picture 1048555"/>
            <wp:cNvGraphicFramePr/>
            <a:graphic xmlns:a="http://schemas.openxmlformats.org/drawingml/2006/main">
              <a:graphicData uri="http://schemas.openxmlformats.org/drawingml/2006/picture">
                <pic:pic xmlns:pic="http://schemas.openxmlformats.org/drawingml/2006/picture">
                  <pic:nvPicPr>
                    <pic:cNvPr id="1048555" name="Picture 1048555"/>
                    <pic:cNvPicPr/>
                  </pic:nvPicPr>
                  <pic:blipFill>
                    <a:blip r:embed="rId41"/>
                    <a:stretch>
                      <a:fillRect/>
                    </a:stretch>
                  </pic:blipFill>
                  <pic:spPr>
                    <a:xfrm>
                      <a:off x="0" y="0"/>
                      <a:ext cx="920496" cy="173736"/>
                    </a:xfrm>
                    <a:prstGeom prst="rect">
                      <a:avLst/>
                    </a:prstGeom>
                  </pic:spPr>
                </pic:pic>
              </a:graphicData>
            </a:graphic>
          </wp:inline>
        </w:drawing>
      </w:r>
      <w:r>
        <w:rPr>
          <w:rFonts w:ascii="Cambria Math" w:eastAsia="Cambria Math" w:hAnsi="Cambria Math" w:cs="Cambria Math"/>
          <w:sz w:val="28"/>
        </w:rPr>
        <w:t>,</w:t>
      </w:r>
      <w:r>
        <w:rPr>
          <w:rFonts w:ascii="Times New Roman" w:eastAsia="Times New Roman" w:hAnsi="Times New Roman" w:cs="Times New Roman"/>
          <w:sz w:val="28"/>
        </w:rPr>
        <w:t xml:space="preserve"> </w:t>
      </w:r>
      <w:r>
        <w:rPr>
          <w:noProof/>
        </w:rPr>
        <w:drawing>
          <wp:inline distT="0" distB="0" distL="0" distR="0">
            <wp:extent cx="944880" cy="173736"/>
            <wp:effectExtent l="0" t="0" r="0" b="0"/>
            <wp:docPr id="1048557" name="Picture 1048557"/>
            <wp:cNvGraphicFramePr/>
            <a:graphic xmlns:a="http://schemas.openxmlformats.org/drawingml/2006/main">
              <a:graphicData uri="http://schemas.openxmlformats.org/drawingml/2006/picture">
                <pic:pic xmlns:pic="http://schemas.openxmlformats.org/drawingml/2006/picture">
                  <pic:nvPicPr>
                    <pic:cNvPr id="1048557" name="Picture 1048557"/>
                    <pic:cNvPicPr/>
                  </pic:nvPicPr>
                  <pic:blipFill>
                    <a:blip r:embed="rId42"/>
                    <a:stretch>
                      <a:fillRect/>
                    </a:stretch>
                  </pic:blipFill>
                  <pic:spPr>
                    <a:xfrm>
                      <a:off x="0" y="0"/>
                      <a:ext cx="944880" cy="173736"/>
                    </a:xfrm>
                    <a:prstGeom prst="rect">
                      <a:avLst/>
                    </a:prstGeom>
                  </pic:spPr>
                </pic:pic>
              </a:graphicData>
            </a:graphic>
          </wp:inline>
        </w:drawing>
      </w:r>
      <w:r>
        <w:rPr>
          <w:rFonts w:ascii="Times New Roman" w:eastAsia="Times New Roman" w:hAnsi="Times New Roman" w:cs="Times New Roman"/>
          <w:sz w:val="28"/>
        </w:rPr>
        <w:t xml:space="preserve"> және </w:t>
      </w:r>
      <w:r>
        <w:rPr>
          <w:noProof/>
        </w:rPr>
        <w:drawing>
          <wp:inline distT="0" distB="0" distL="0" distR="0">
            <wp:extent cx="170688" cy="158496"/>
            <wp:effectExtent l="0" t="0" r="0" b="0"/>
            <wp:docPr id="1048558" name="Picture 1048558"/>
            <wp:cNvGraphicFramePr/>
            <a:graphic xmlns:a="http://schemas.openxmlformats.org/drawingml/2006/main">
              <a:graphicData uri="http://schemas.openxmlformats.org/drawingml/2006/picture">
                <pic:pic xmlns:pic="http://schemas.openxmlformats.org/drawingml/2006/picture">
                  <pic:nvPicPr>
                    <pic:cNvPr id="1048558" name="Picture 1048558"/>
                    <pic:cNvPicPr/>
                  </pic:nvPicPr>
                  <pic:blipFill>
                    <a:blip r:embed="rId43"/>
                    <a:stretch>
                      <a:fillRect/>
                    </a:stretch>
                  </pic:blipFill>
                  <pic:spPr>
                    <a:xfrm>
                      <a:off x="0" y="0"/>
                      <a:ext cx="170688" cy="158496"/>
                    </a:xfrm>
                    <a:prstGeom prst="rect">
                      <a:avLst/>
                    </a:prstGeom>
                  </pic:spPr>
                </pic:pic>
              </a:graphicData>
            </a:graphic>
          </wp:inline>
        </w:drawing>
      </w:r>
      <w:r>
        <w:rPr>
          <w:rFonts w:ascii="Times New Roman" w:eastAsia="Times New Roman" w:hAnsi="Times New Roman" w:cs="Times New Roman"/>
          <w:sz w:val="28"/>
        </w:rPr>
        <w:t xml:space="preserve"> денесінің </w:t>
      </w:r>
      <w:r>
        <w:rPr>
          <w:noProof/>
        </w:rPr>
        <w:drawing>
          <wp:inline distT="0" distB="0" distL="0" distR="0">
            <wp:extent cx="859536" cy="173736"/>
            <wp:effectExtent l="0" t="0" r="0" b="0"/>
            <wp:docPr id="1048559" name="Picture 1048559"/>
            <wp:cNvGraphicFramePr/>
            <a:graphic xmlns:a="http://schemas.openxmlformats.org/drawingml/2006/main">
              <a:graphicData uri="http://schemas.openxmlformats.org/drawingml/2006/picture">
                <pic:pic xmlns:pic="http://schemas.openxmlformats.org/drawingml/2006/picture">
                  <pic:nvPicPr>
                    <pic:cNvPr id="1048559" name="Picture 1048559"/>
                    <pic:cNvPicPr/>
                  </pic:nvPicPr>
                  <pic:blipFill>
                    <a:blip r:embed="rId44"/>
                    <a:stretch>
                      <a:fillRect/>
                    </a:stretch>
                  </pic:blipFill>
                  <pic:spPr>
                    <a:xfrm>
                      <a:off x="0" y="0"/>
                      <a:ext cx="859536" cy="173736"/>
                    </a:xfrm>
                    <a:prstGeom prst="rect">
                      <a:avLst/>
                    </a:prstGeom>
                  </pic:spPr>
                </pic:pic>
              </a:graphicData>
            </a:graphic>
          </wp:inline>
        </w:drawing>
      </w:r>
      <w:r>
        <w:rPr>
          <w:rFonts w:ascii="Times New Roman" w:eastAsia="Times New Roman" w:hAnsi="Times New Roman" w:cs="Times New Roman"/>
          <w:sz w:val="28"/>
        </w:rPr>
        <w:t xml:space="preserve"> нүктелерін табу қажет, осылайша </w:t>
      </w:r>
    </w:p>
    <w:p w:rsidR="0052701D" w:rsidRDefault="00D40929">
      <w:pPr>
        <w:spacing w:after="5" w:line="271" w:lineRule="auto"/>
        <w:ind w:left="9" w:right="125"/>
        <w:jc w:val="both"/>
      </w:pPr>
      <w:r>
        <w:rPr>
          <w:rFonts w:ascii="Times New Roman" w:eastAsia="Times New Roman" w:hAnsi="Times New Roman" w:cs="Times New Roman"/>
          <w:sz w:val="28"/>
        </w:rPr>
        <w:t xml:space="preserve">тел </w:t>
      </w:r>
      <w:r>
        <w:rPr>
          <w:noProof/>
        </w:rPr>
        <w:drawing>
          <wp:inline distT="0" distB="0" distL="0" distR="0">
            <wp:extent cx="170688" cy="161544"/>
            <wp:effectExtent l="0" t="0" r="0" b="0"/>
            <wp:docPr id="1048560" name="Picture 1048560"/>
            <wp:cNvGraphicFramePr/>
            <a:graphic xmlns:a="http://schemas.openxmlformats.org/drawingml/2006/main">
              <a:graphicData uri="http://schemas.openxmlformats.org/drawingml/2006/picture">
                <pic:pic xmlns:pic="http://schemas.openxmlformats.org/drawingml/2006/picture">
                  <pic:nvPicPr>
                    <pic:cNvPr id="1048560" name="Picture 1048560"/>
                    <pic:cNvPicPr/>
                  </pic:nvPicPr>
                  <pic:blipFill>
                    <a:blip r:embed="rId45"/>
                    <a:stretch>
                      <a:fillRect/>
                    </a:stretch>
                  </pic:blipFill>
                  <pic:spPr>
                    <a:xfrm>
                      <a:off x="0" y="0"/>
                      <a:ext cx="170688" cy="161544"/>
                    </a:xfrm>
                    <a:prstGeom prst="rect">
                      <a:avLst/>
                    </a:prstGeom>
                  </pic:spPr>
                </pic:pic>
              </a:graphicData>
            </a:graphic>
          </wp:inline>
        </w:drawing>
      </w:r>
      <w:r>
        <w:rPr>
          <w:rFonts w:ascii="Times New Roman" w:eastAsia="Times New Roman" w:hAnsi="Times New Roman" w:cs="Times New Roman"/>
          <w:sz w:val="28"/>
        </w:rPr>
        <w:t xml:space="preserve"> және </w:t>
      </w:r>
      <w:r>
        <w:rPr>
          <w:noProof/>
        </w:rPr>
        <w:drawing>
          <wp:inline distT="0" distB="0" distL="0" distR="0">
            <wp:extent cx="170688" cy="161544"/>
            <wp:effectExtent l="0" t="0" r="0" b="0"/>
            <wp:docPr id="1048561" name="Picture 1048561"/>
            <wp:cNvGraphicFramePr/>
            <a:graphic xmlns:a="http://schemas.openxmlformats.org/drawingml/2006/main">
              <a:graphicData uri="http://schemas.openxmlformats.org/drawingml/2006/picture">
                <pic:pic xmlns:pic="http://schemas.openxmlformats.org/drawingml/2006/picture">
                  <pic:nvPicPr>
                    <pic:cNvPr id="1048561" name="Picture 1048561"/>
                    <pic:cNvPicPr/>
                  </pic:nvPicPr>
                  <pic:blipFill>
                    <a:blip r:embed="rId46"/>
                    <a:stretch>
                      <a:fillRect/>
                    </a:stretch>
                  </pic:blipFill>
                  <pic:spPr>
                    <a:xfrm>
                      <a:off x="0" y="0"/>
                      <a:ext cx="170688" cy="161544"/>
                    </a:xfrm>
                    <a:prstGeom prst="rect">
                      <a:avLst/>
                    </a:prstGeom>
                  </pic:spPr>
                </pic:pic>
              </a:graphicData>
            </a:graphic>
          </wp:inline>
        </w:drawing>
      </w:r>
      <w:r>
        <w:rPr>
          <w:rFonts w:ascii="Times New Roman" w:eastAsia="Times New Roman" w:hAnsi="Times New Roman" w:cs="Times New Roman"/>
          <w:sz w:val="28"/>
        </w:rPr>
        <w:t xml:space="preserve"> денелерінің барлық позицияларындағы </w:t>
      </w:r>
      <w:r>
        <w:rPr>
          <w:rFonts w:ascii="Times New Roman" w:eastAsia="Times New Roman" w:hAnsi="Times New Roman" w:cs="Times New Roman"/>
          <w:i/>
          <w:sz w:val="28"/>
        </w:rPr>
        <w:t>B</w:t>
      </w:r>
      <w:r>
        <w:rPr>
          <w:rFonts w:ascii="Times New Roman" w:eastAsia="Times New Roman" w:hAnsi="Times New Roman" w:cs="Times New Roman"/>
          <w:sz w:val="28"/>
        </w:rPr>
        <w:t xml:space="preserve"> және </w:t>
      </w:r>
      <w:r>
        <w:rPr>
          <w:rFonts w:ascii="Times New Roman" w:eastAsia="Times New Roman" w:hAnsi="Times New Roman" w:cs="Times New Roman"/>
          <w:i/>
          <w:sz w:val="28"/>
        </w:rPr>
        <w:t xml:space="preserve">C </w:t>
      </w:r>
      <w:r>
        <w:rPr>
          <w:rFonts w:ascii="Times New Roman" w:eastAsia="Times New Roman" w:hAnsi="Times New Roman" w:cs="Times New Roman"/>
          <w:sz w:val="28"/>
        </w:rPr>
        <w:t xml:space="preserve">нүктелерінің арасындағы қашықтық кейбір </w:t>
      </w:r>
      <w:r>
        <w:rPr>
          <w:rFonts w:ascii="Times New Roman" w:eastAsia="Times New Roman" w:hAnsi="Times New Roman" w:cs="Times New Roman"/>
          <w:i/>
          <w:sz w:val="28"/>
        </w:rPr>
        <w:t>R</w:t>
      </w:r>
      <w:r>
        <w:rPr>
          <w:rFonts w:ascii="Times New Roman" w:eastAsia="Times New Roman" w:hAnsi="Times New Roman" w:cs="Times New Roman"/>
          <w:sz w:val="28"/>
        </w:rPr>
        <w:t xml:space="preserve"> тұрақты мәнінен аз ғана ерекшелленді (1 - сурет) [4].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Есептің шешімі: денелердің </w:t>
      </w:r>
      <w:r>
        <w:rPr>
          <w:rFonts w:ascii="Times New Roman" w:eastAsia="Times New Roman" w:hAnsi="Times New Roman" w:cs="Times New Roman"/>
          <w:i/>
          <w:sz w:val="28"/>
        </w:rPr>
        <w:t>i</w:t>
      </w:r>
      <w:r>
        <w:rPr>
          <w:rFonts w:ascii="Times New Roman" w:eastAsia="Times New Roman" w:hAnsi="Times New Roman" w:cs="Times New Roman"/>
          <w:sz w:val="28"/>
        </w:rPr>
        <w:t xml:space="preserve">-ші орны үшін салмақты айырманы келесі түрде енгіземіз: </w:t>
      </w:r>
    </w:p>
    <w:p w:rsidR="0052701D" w:rsidRDefault="00D40929">
      <w:pPr>
        <w:tabs>
          <w:tab w:val="center" w:pos="4205"/>
          <w:tab w:val="center" w:pos="9228"/>
        </w:tabs>
        <w:spacing w:after="5" w:line="271" w:lineRule="auto"/>
      </w:pPr>
      <w:r>
        <w:tab/>
      </w:r>
      <w:r>
        <w:rPr>
          <w:noProof/>
        </w:rPr>
        <w:drawing>
          <wp:inline distT="0" distB="0" distL="0" distR="0">
            <wp:extent cx="4596384" cy="499872"/>
            <wp:effectExtent l="0" t="0" r="0" b="0"/>
            <wp:docPr id="1048562" name="Picture 1048562"/>
            <wp:cNvGraphicFramePr/>
            <a:graphic xmlns:a="http://schemas.openxmlformats.org/drawingml/2006/main">
              <a:graphicData uri="http://schemas.openxmlformats.org/drawingml/2006/picture">
                <pic:pic xmlns:pic="http://schemas.openxmlformats.org/drawingml/2006/picture">
                  <pic:nvPicPr>
                    <pic:cNvPr id="1048562" name="Picture 1048562"/>
                    <pic:cNvPicPr/>
                  </pic:nvPicPr>
                  <pic:blipFill>
                    <a:blip r:embed="rId47"/>
                    <a:stretch>
                      <a:fillRect/>
                    </a:stretch>
                  </pic:blipFill>
                  <pic:spPr>
                    <a:xfrm>
                      <a:off x="0" y="0"/>
                      <a:ext cx="4596384" cy="499872"/>
                    </a:xfrm>
                    <a:prstGeom prst="rect">
                      <a:avLst/>
                    </a:prstGeom>
                  </pic:spPr>
                </pic:pic>
              </a:graphicData>
            </a:graphic>
          </wp:inline>
        </w:drawing>
      </w:r>
      <w:r>
        <w:rPr>
          <w:rFonts w:ascii="Times New Roman" w:eastAsia="Times New Roman" w:hAnsi="Times New Roman" w:cs="Times New Roman"/>
          <w:sz w:val="28"/>
        </w:rPr>
        <w:tab/>
        <w:t xml:space="preserve">(1) </w:t>
      </w:r>
    </w:p>
    <w:p w:rsidR="0052701D" w:rsidRDefault="00D40929">
      <w:pPr>
        <w:spacing w:after="5" w:line="271" w:lineRule="auto"/>
        <w:ind w:left="711" w:right="64"/>
        <w:jc w:val="both"/>
      </w:pPr>
      <w:r>
        <w:rPr>
          <w:rFonts w:ascii="Times New Roman" w:eastAsia="Times New Roman" w:hAnsi="Times New Roman" w:cs="Times New Roman"/>
          <w:sz w:val="28"/>
        </w:rPr>
        <w:t xml:space="preserve">мұндағы </w:t>
      </w:r>
      <w:r>
        <w:rPr>
          <w:noProof/>
        </w:rPr>
        <w:drawing>
          <wp:inline distT="0" distB="0" distL="0" distR="0">
            <wp:extent cx="579120" cy="146304"/>
            <wp:effectExtent l="0" t="0" r="0" b="0"/>
            <wp:docPr id="1048563" name="Picture 1048563"/>
            <wp:cNvGraphicFramePr/>
            <a:graphic xmlns:a="http://schemas.openxmlformats.org/drawingml/2006/main">
              <a:graphicData uri="http://schemas.openxmlformats.org/drawingml/2006/picture">
                <pic:pic xmlns:pic="http://schemas.openxmlformats.org/drawingml/2006/picture">
                  <pic:nvPicPr>
                    <pic:cNvPr id="1048563" name="Picture 1048563"/>
                    <pic:cNvPicPr/>
                  </pic:nvPicPr>
                  <pic:blipFill>
                    <a:blip r:embed="rId48"/>
                    <a:stretch>
                      <a:fillRect/>
                    </a:stretch>
                  </pic:blipFill>
                  <pic:spPr>
                    <a:xfrm>
                      <a:off x="0" y="0"/>
                      <a:ext cx="579120" cy="146304"/>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44"/>
        <w:ind w:left="2286"/>
      </w:pPr>
      <w:r>
        <w:rPr>
          <w:noProof/>
        </w:rPr>
        <mc:AlternateContent>
          <mc:Choice Requires="wpg">
            <w:drawing>
              <wp:inline distT="0" distB="0" distL="0" distR="0">
                <wp:extent cx="295656" cy="12192"/>
                <wp:effectExtent l="0" t="0" r="0" b="0"/>
                <wp:docPr id="912469" name="Group 912469"/>
                <wp:cNvGraphicFramePr/>
                <a:graphic xmlns:a="http://schemas.openxmlformats.org/drawingml/2006/main">
                  <a:graphicData uri="http://schemas.microsoft.com/office/word/2010/wordprocessingGroup">
                    <wpg:wgp>
                      <wpg:cNvGrpSpPr/>
                      <wpg:grpSpPr>
                        <a:xfrm>
                          <a:off x="0" y="0"/>
                          <a:ext cx="295656" cy="12192"/>
                          <a:chOff x="0" y="0"/>
                          <a:chExt cx="295656" cy="12192"/>
                        </a:xfrm>
                      </wpg:grpSpPr>
                      <wps:wsp>
                        <wps:cNvPr id="1064931" name="Shape 1064931"/>
                        <wps:cNvSpPr/>
                        <wps:spPr>
                          <a:xfrm>
                            <a:off x="0" y="0"/>
                            <a:ext cx="295656" cy="12192"/>
                          </a:xfrm>
                          <a:custGeom>
                            <a:avLst/>
                            <a:gdLst/>
                            <a:ahLst/>
                            <a:cxnLst/>
                            <a:rect l="0" t="0" r="0" b="0"/>
                            <a:pathLst>
                              <a:path w="295656" h="12192">
                                <a:moveTo>
                                  <a:pt x="0" y="0"/>
                                </a:moveTo>
                                <a:lnTo>
                                  <a:pt x="295656" y="0"/>
                                </a:lnTo>
                                <a:lnTo>
                                  <a:pt x="295656"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912469" style="width:23.28pt;height:0.960022pt;mso-position-horizontal-relative:char;mso-position-vertical-relative:line" coordsize="2956,121">
                <v:shape id="Shape 1064932" style="position:absolute;width:2956;height:121;left:0;top:0;" coordsize="295656,12192" path="m0,0l295656,0l295656,12192l0,12192l0,0">
                  <v:stroke weight="0pt" endcap="flat" joinstyle="miter" miterlimit="10" on="false" color="#000000" opacity="0"/>
                  <v:fill on="true" color="#000000"/>
                </v:shape>
              </v:group>
            </w:pict>
          </mc:Fallback>
        </mc:AlternateContent>
      </w:r>
    </w:p>
    <w:p w:rsidR="0052701D" w:rsidRDefault="00D40929">
      <w:pPr>
        <w:spacing w:after="173" w:line="271" w:lineRule="auto"/>
        <w:ind w:left="9" w:right="128" w:firstLine="711"/>
        <w:jc w:val="both"/>
      </w:pPr>
      <w:r>
        <w:rPr>
          <w:rFonts w:ascii="Times New Roman" w:eastAsia="Times New Roman" w:hAnsi="Times New Roman" w:cs="Times New Roman"/>
          <w:sz w:val="28"/>
        </w:rPr>
        <w:t xml:space="preserve">Ол он параметрдің функциясы: </w:t>
      </w:r>
      <w:r>
        <w:rPr>
          <w:noProof/>
        </w:rPr>
        <w:drawing>
          <wp:inline distT="0" distB="0" distL="0" distR="0">
            <wp:extent cx="2292096" cy="161544"/>
            <wp:effectExtent l="0" t="0" r="0" b="0"/>
            <wp:docPr id="1048564" name="Picture 1048564"/>
            <wp:cNvGraphicFramePr/>
            <a:graphic xmlns:a="http://schemas.openxmlformats.org/drawingml/2006/main">
              <a:graphicData uri="http://schemas.openxmlformats.org/drawingml/2006/picture">
                <pic:pic xmlns:pic="http://schemas.openxmlformats.org/drawingml/2006/picture">
                  <pic:nvPicPr>
                    <pic:cNvPr id="1048564" name="Picture 1048564"/>
                    <pic:cNvPicPr/>
                  </pic:nvPicPr>
                  <pic:blipFill>
                    <a:blip r:embed="rId49"/>
                    <a:stretch>
                      <a:fillRect/>
                    </a:stretch>
                  </pic:blipFill>
                  <pic:spPr>
                    <a:xfrm>
                      <a:off x="0" y="0"/>
                      <a:ext cx="2292096" cy="161544"/>
                    </a:xfrm>
                    <a:prstGeom prst="rect">
                      <a:avLst/>
                    </a:prstGeom>
                  </pic:spPr>
                </pic:pic>
              </a:graphicData>
            </a:graphic>
          </wp:inline>
        </w:drawing>
      </w:r>
      <w:r>
        <w:rPr>
          <w:rFonts w:ascii="Times New Roman" w:eastAsia="Times New Roman" w:hAnsi="Times New Roman" w:cs="Times New Roman"/>
          <w:sz w:val="28"/>
        </w:rPr>
        <w:t>. Бұл параметрлерді жал</w:t>
      </w:r>
      <w:r>
        <w:rPr>
          <w:rFonts w:ascii="Times New Roman" w:eastAsia="Times New Roman" w:hAnsi="Times New Roman" w:cs="Times New Roman"/>
          <w:sz w:val="28"/>
        </w:rPr>
        <w:t xml:space="preserve">пы </w:t>
      </w:r>
      <w:r>
        <w:rPr>
          <w:rFonts w:ascii="Times New Roman" w:eastAsia="Times New Roman" w:hAnsi="Times New Roman" w:cs="Times New Roman"/>
          <w:i/>
          <w:sz w:val="28"/>
        </w:rPr>
        <w:t xml:space="preserve">R </w:t>
      </w:r>
      <w:r>
        <w:rPr>
          <w:rFonts w:ascii="Times New Roman" w:eastAsia="Times New Roman" w:hAnsi="Times New Roman" w:cs="Times New Roman"/>
          <w:sz w:val="28"/>
        </w:rPr>
        <w:t xml:space="preserve">параметрі бар төртке топтасақ, біз өлшеген айырмашылықты үш түрлі формада көрмете аламыз: </w:t>
      </w:r>
    </w:p>
    <w:p w:rsidR="0052701D" w:rsidRDefault="00D40929">
      <w:pPr>
        <w:spacing w:after="14" w:line="249" w:lineRule="auto"/>
        <w:ind w:left="954" w:right="25" w:hanging="10"/>
        <w:jc w:val="center"/>
      </w:pPr>
      <w:r>
        <w:rPr>
          <w:noProof/>
        </w:rPr>
        <w:drawing>
          <wp:anchor distT="0" distB="0" distL="114300" distR="114300" simplePos="0" relativeHeight="251658240" behindDoc="0" locked="0" layoutInCell="1" allowOverlap="0">
            <wp:simplePos x="0" y="0"/>
            <wp:positionH relativeFrom="column">
              <wp:posOffset>599135</wp:posOffset>
            </wp:positionH>
            <wp:positionV relativeFrom="paragraph">
              <wp:posOffset>-163032</wp:posOffset>
            </wp:positionV>
            <wp:extent cx="3989832" cy="871728"/>
            <wp:effectExtent l="0" t="0" r="0" b="0"/>
            <wp:wrapSquare wrapText="bothSides"/>
            <wp:docPr id="1048565" name="Picture 1048565"/>
            <wp:cNvGraphicFramePr/>
            <a:graphic xmlns:a="http://schemas.openxmlformats.org/drawingml/2006/main">
              <a:graphicData uri="http://schemas.openxmlformats.org/drawingml/2006/picture">
                <pic:pic xmlns:pic="http://schemas.openxmlformats.org/drawingml/2006/picture">
                  <pic:nvPicPr>
                    <pic:cNvPr id="1048565" name="Picture 1048565"/>
                    <pic:cNvPicPr/>
                  </pic:nvPicPr>
                  <pic:blipFill>
                    <a:blip r:embed="rId50"/>
                    <a:stretch>
                      <a:fillRect/>
                    </a:stretch>
                  </pic:blipFill>
                  <pic:spPr>
                    <a:xfrm>
                      <a:off x="0" y="0"/>
                      <a:ext cx="3989832" cy="871728"/>
                    </a:xfrm>
                    <a:prstGeom prst="rect">
                      <a:avLst/>
                    </a:prstGeom>
                  </pic:spPr>
                </pic:pic>
              </a:graphicData>
            </a:graphic>
          </wp:anchor>
        </w:drawing>
      </w:r>
      <w:r>
        <w:rPr>
          <w:rFonts w:ascii="Times New Roman" w:eastAsia="Times New Roman" w:hAnsi="Times New Roman" w:cs="Times New Roman"/>
          <w:sz w:val="28"/>
        </w:rPr>
        <w:t xml:space="preserve">(2) (3) </w:t>
      </w:r>
    </w:p>
    <w:p w:rsidR="0052701D" w:rsidRDefault="00D40929">
      <w:pPr>
        <w:spacing w:after="227" w:line="271" w:lineRule="auto"/>
        <w:ind w:left="944" w:right="64"/>
        <w:jc w:val="both"/>
      </w:pPr>
      <w:r>
        <w:rPr>
          <w:rFonts w:ascii="Times New Roman" w:eastAsia="Times New Roman" w:hAnsi="Times New Roman" w:cs="Times New Roman"/>
          <w:sz w:val="28"/>
        </w:rPr>
        <w:t xml:space="preserve">(4) </w:t>
      </w:r>
    </w:p>
    <w:p w:rsidR="0052701D" w:rsidRDefault="00D40929">
      <w:pPr>
        <w:spacing w:after="416" w:line="271" w:lineRule="auto"/>
        <w:ind w:left="711" w:right="64"/>
        <w:jc w:val="both"/>
      </w:pPr>
      <w:r>
        <w:rPr>
          <w:rFonts w:ascii="Times New Roman" w:eastAsia="Times New Roman" w:hAnsi="Times New Roman" w:cs="Times New Roman"/>
          <w:sz w:val="28"/>
        </w:rPr>
        <w:t xml:space="preserve">мұндағы </w:t>
      </w:r>
    </w:p>
    <w:p w:rsidR="0052701D" w:rsidRDefault="00D40929">
      <w:pPr>
        <w:spacing w:after="1045" w:line="271" w:lineRule="auto"/>
        <w:ind w:left="624" w:right="64"/>
        <w:jc w:val="both"/>
      </w:pPr>
      <w:r>
        <w:rPr>
          <w:noProof/>
        </w:rPr>
        <w:drawing>
          <wp:anchor distT="0" distB="0" distL="114300" distR="114300" simplePos="0" relativeHeight="251659264" behindDoc="0" locked="0" layoutInCell="1" allowOverlap="0">
            <wp:simplePos x="0" y="0"/>
            <wp:positionH relativeFrom="column">
              <wp:posOffset>395935</wp:posOffset>
            </wp:positionH>
            <wp:positionV relativeFrom="paragraph">
              <wp:posOffset>-315051</wp:posOffset>
            </wp:positionV>
            <wp:extent cx="4389120" cy="1773936"/>
            <wp:effectExtent l="0" t="0" r="0" b="0"/>
            <wp:wrapSquare wrapText="bothSides"/>
            <wp:docPr id="1048566" name="Picture 1048566"/>
            <wp:cNvGraphicFramePr/>
            <a:graphic xmlns:a="http://schemas.openxmlformats.org/drawingml/2006/main">
              <a:graphicData uri="http://schemas.openxmlformats.org/drawingml/2006/picture">
                <pic:pic xmlns:pic="http://schemas.openxmlformats.org/drawingml/2006/picture">
                  <pic:nvPicPr>
                    <pic:cNvPr id="1048566" name="Picture 1048566"/>
                    <pic:cNvPicPr/>
                  </pic:nvPicPr>
                  <pic:blipFill>
                    <a:blip r:embed="rId51"/>
                    <a:stretch>
                      <a:fillRect/>
                    </a:stretch>
                  </pic:blipFill>
                  <pic:spPr>
                    <a:xfrm>
                      <a:off x="0" y="0"/>
                      <a:ext cx="4389120" cy="1773936"/>
                    </a:xfrm>
                    <a:prstGeom prst="rect">
                      <a:avLst/>
                    </a:prstGeom>
                  </pic:spPr>
                </pic:pic>
              </a:graphicData>
            </a:graphic>
          </wp:anchor>
        </w:drawing>
      </w:r>
      <w:r>
        <w:rPr>
          <w:rFonts w:ascii="Times New Roman" w:eastAsia="Times New Roman" w:hAnsi="Times New Roman" w:cs="Times New Roman"/>
          <w:sz w:val="28"/>
        </w:rPr>
        <w:t xml:space="preserve">(5) </w:t>
      </w:r>
    </w:p>
    <w:p w:rsidR="0052701D" w:rsidRDefault="00D40929">
      <w:pPr>
        <w:spacing w:after="536" w:line="271" w:lineRule="auto"/>
        <w:ind w:left="624" w:right="64"/>
        <w:jc w:val="both"/>
      </w:pPr>
      <w:r>
        <w:rPr>
          <w:rFonts w:ascii="Times New Roman" w:eastAsia="Times New Roman" w:hAnsi="Times New Roman" w:cs="Times New Roman"/>
          <w:sz w:val="28"/>
        </w:rPr>
        <w:t xml:space="preserve">(6) </w:t>
      </w:r>
    </w:p>
    <w:p w:rsidR="0052701D" w:rsidRDefault="00D40929">
      <w:pPr>
        <w:tabs>
          <w:tab w:val="center" w:pos="4207"/>
          <w:tab w:val="center" w:pos="9228"/>
        </w:tabs>
        <w:spacing w:after="5" w:line="271" w:lineRule="auto"/>
      </w:pPr>
      <w:r>
        <w:lastRenderedPageBreak/>
        <w:tab/>
      </w:r>
      <w:r>
        <w:rPr>
          <w:noProof/>
        </w:rPr>
        <w:drawing>
          <wp:inline distT="0" distB="0" distL="0" distR="0">
            <wp:extent cx="3995928" cy="993648"/>
            <wp:effectExtent l="0" t="0" r="0" b="0"/>
            <wp:docPr id="1048567" name="Picture 1048567"/>
            <wp:cNvGraphicFramePr/>
            <a:graphic xmlns:a="http://schemas.openxmlformats.org/drawingml/2006/main">
              <a:graphicData uri="http://schemas.openxmlformats.org/drawingml/2006/picture">
                <pic:pic xmlns:pic="http://schemas.openxmlformats.org/drawingml/2006/picture">
                  <pic:nvPicPr>
                    <pic:cNvPr id="1048567" name="Picture 1048567"/>
                    <pic:cNvPicPr/>
                  </pic:nvPicPr>
                  <pic:blipFill>
                    <a:blip r:embed="rId52"/>
                    <a:stretch>
                      <a:fillRect/>
                    </a:stretch>
                  </pic:blipFill>
                  <pic:spPr>
                    <a:xfrm>
                      <a:off x="0" y="0"/>
                      <a:ext cx="3995928" cy="993648"/>
                    </a:xfrm>
                    <a:prstGeom prst="rect">
                      <a:avLst/>
                    </a:prstGeom>
                  </pic:spPr>
                </pic:pic>
              </a:graphicData>
            </a:graphic>
          </wp:inline>
        </w:drawing>
      </w:r>
      <w:r>
        <w:rPr>
          <w:rFonts w:ascii="Times New Roman" w:eastAsia="Times New Roman" w:hAnsi="Times New Roman" w:cs="Times New Roman"/>
          <w:sz w:val="28"/>
        </w:rPr>
        <w:tab/>
        <w:t xml:space="preserve">(7) </w:t>
      </w:r>
    </w:p>
    <w:p w:rsidR="0052701D" w:rsidRDefault="00D40929">
      <w:pPr>
        <w:spacing w:after="5" w:line="271" w:lineRule="auto"/>
        <w:ind w:left="711" w:right="64"/>
        <w:jc w:val="both"/>
      </w:pPr>
      <w:r>
        <w:rPr>
          <w:rFonts w:ascii="Times New Roman" w:eastAsia="Times New Roman" w:hAnsi="Times New Roman" w:cs="Times New Roman"/>
          <w:sz w:val="28"/>
        </w:rPr>
        <w:t xml:space="preserve">мұндағы </w:t>
      </w:r>
      <w:r>
        <w:rPr>
          <w:noProof/>
        </w:rPr>
        <w:drawing>
          <wp:inline distT="0" distB="0" distL="0" distR="0">
            <wp:extent cx="582168" cy="256032"/>
            <wp:effectExtent l="0" t="0" r="0" b="0"/>
            <wp:docPr id="1048568" name="Picture 1048568"/>
            <wp:cNvGraphicFramePr/>
            <a:graphic xmlns:a="http://schemas.openxmlformats.org/drawingml/2006/main">
              <a:graphicData uri="http://schemas.openxmlformats.org/drawingml/2006/picture">
                <pic:pic xmlns:pic="http://schemas.openxmlformats.org/drawingml/2006/picture">
                  <pic:nvPicPr>
                    <pic:cNvPr id="1048568" name="Picture 1048568"/>
                    <pic:cNvPicPr/>
                  </pic:nvPicPr>
                  <pic:blipFill>
                    <a:blip r:embed="rId53"/>
                    <a:stretch>
                      <a:fillRect/>
                    </a:stretch>
                  </pic:blipFill>
                  <pic:spPr>
                    <a:xfrm>
                      <a:off x="0" y="0"/>
                      <a:ext cx="582168" cy="256032"/>
                    </a:xfrm>
                    <a:prstGeom prst="rect">
                      <a:avLst/>
                    </a:prstGeom>
                  </pic:spPr>
                </pic:pic>
              </a:graphicData>
            </a:graphic>
          </wp:inline>
        </w:drawing>
      </w:r>
      <w:r>
        <w:rPr>
          <w:rFonts w:ascii="Times New Roman" w:eastAsia="Times New Roman" w:hAnsi="Times New Roman" w:cs="Times New Roman"/>
          <w:sz w:val="28"/>
        </w:rPr>
        <w:t xml:space="preserve">-ші координат жүйесінен </w:t>
      </w:r>
      <w:r>
        <w:rPr>
          <w:rFonts w:ascii="Times New Roman" w:eastAsia="Times New Roman" w:hAnsi="Times New Roman" w:cs="Times New Roman"/>
          <w:i/>
          <w:sz w:val="28"/>
        </w:rPr>
        <w:t>j</w:t>
      </w:r>
      <w:r>
        <w:rPr>
          <w:rFonts w:ascii="Times New Roman" w:eastAsia="Times New Roman" w:hAnsi="Times New Roman" w:cs="Times New Roman"/>
          <w:sz w:val="28"/>
        </w:rPr>
        <w:t xml:space="preserve">-ші жүйеге ауысу матрицасы, </w:t>
      </w:r>
    </w:p>
    <w:p w:rsidR="0052701D" w:rsidRDefault="00D40929">
      <w:pPr>
        <w:spacing w:after="5" w:line="271" w:lineRule="auto"/>
        <w:ind w:left="9" w:right="64"/>
        <w:jc w:val="both"/>
      </w:pPr>
      <w:r>
        <w:rPr>
          <w:rFonts w:ascii="Times New Roman" w:eastAsia="Times New Roman" w:hAnsi="Times New Roman" w:cs="Times New Roman"/>
          <w:sz w:val="28"/>
        </w:rPr>
        <w:t xml:space="preserve">(6) көрсетілгендей. </w:t>
      </w:r>
    </w:p>
    <w:p w:rsidR="0052701D" w:rsidRDefault="00D40929">
      <w:pPr>
        <w:spacing w:after="0"/>
        <w:ind w:left="1264"/>
      </w:pPr>
      <w:r>
        <w:rPr>
          <w:noProof/>
        </w:rPr>
        <w:drawing>
          <wp:inline distT="0" distB="0" distL="0" distR="0">
            <wp:extent cx="4468369" cy="216408"/>
            <wp:effectExtent l="0" t="0" r="0" b="0"/>
            <wp:docPr id="1048569" name="Picture 1048569"/>
            <wp:cNvGraphicFramePr/>
            <a:graphic xmlns:a="http://schemas.openxmlformats.org/drawingml/2006/main">
              <a:graphicData uri="http://schemas.openxmlformats.org/drawingml/2006/picture">
                <pic:pic xmlns:pic="http://schemas.openxmlformats.org/drawingml/2006/picture">
                  <pic:nvPicPr>
                    <pic:cNvPr id="1048569" name="Picture 1048569"/>
                    <pic:cNvPicPr/>
                  </pic:nvPicPr>
                  <pic:blipFill>
                    <a:blip r:embed="rId54"/>
                    <a:stretch>
                      <a:fillRect/>
                    </a:stretch>
                  </pic:blipFill>
                  <pic:spPr>
                    <a:xfrm>
                      <a:off x="0" y="0"/>
                      <a:ext cx="4468369" cy="216408"/>
                    </a:xfrm>
                    <a:prstGeom prst="rect">
                      <a:avLst/>
                    </a:prstGeom>
                  </pic:spPr>
                </pic:pic>
              </a:graphicData>
            </a:graphic>
          </wp:inline>
        </w:drawing>
      </w:r>
    </w:p>
    <w:p w:rsidR="0052701D" w:rsidRDefault="00D40929">
      <w:pPr>
        <w:spacing w:after="5" w:line="271" w:lineRule="auto"/>
        <w:ind w:left="9" w:right="129" w:firstLine="711"/>
        <w:jc w:val="both"/>
      </w:pPr>
      <w:r>
        <w:rPr>
          <w:rFonts w:ascii="Times New Roman" w:eastAsia="Times New Roman" w:hAnsi="Times New Roman" w:cs="Times New Roman"/>
          <w:sz w:val="28"/>
        </w:rPr>
        <w:t xml:space="preserve">Айналмалы жұптың </w:t>
      </w:r>
      <w:r>
        <w:rPr>
          <w:rFonts w:ascii="Times New Roman" w:eastAsia="Times New Roman" w:hAnsi="Times New Roman" w:cs="Times New Roman"/>
          <w:i/>
          <w:sz w:val="28"/>
        </w:rPr>
        <w:t>i</w:t>
      </w:r>
      <w:r>
        <w:rPr>
          <w:rFonts w:ascii="Times New Roman" w:eastAsia="Times New Roman" w:hAnsi="Times New Roman" w:cs="Times New Roman"/>
          <w:sz w:val="28"/>
        </w:rPr>
        <w:t xml:space="preserve"> және </w:t>
      </w:r>
      <w:r>
        <w:rPr>
          <w:rFonts w:ascii="Times New Roman" w:eastAsia="Times New Roman" w:hAnsi="Times New Roman" w:cs="Times New Roman"/>
          <w:i/>
          <w:sz w:val="28"/>
        </w:rPr>
        <w:t xml:space="preserve">j </w:t>
      </w:r>
      <w:r>
        <w:rPr>
          <w:rFonts w:ascii="Times New Roman" w:eastAsia="Times New Roman" w:hAnsi="Times New Roman" w:cs="Times New Roman"/>
          <w:sz w:val="28"/>
        </w:rPr>
        <w:t xml:space="preserve">буындары үшін </w:t>
      </w:r>
      <w:r>
        <w:rPr>
          <w:noProof/>
        </w:rPr>
        <w:drawing>
          <wp:inline distT="0" distB="0" distL="0" distR="0">
            <wp:extent cx="289560" cy="185928"/>
            <wp:effectExtent l="0" t="0" r="0" b="0"/>
            <wp:docPr id="1048570" name="Picture 1048570"/>
            <wp:cNvGraphicFramePr/>
            <a:graphic xmlns:a="http://schemas.openxmlformats.org/drawingml/2006/main">
              <a:graphicData uri="http://schemas.openxmlformats.org/drawingml/2006/picture">
                <pic:pic xmlns:pic="http://schemas.openxmlformats.org/drawingml/2006/picture">
                  <pic:nvPicPr>
                    <pic:cNvPr id="1048570" name="Picture 1048570"/>
                    <pic:cNvPicPr/>
                  </pic:nvPicPr>
                  <pic:blipFill>
                    <a:blip r:embed="rId55"/>
                    <a:stretch>
                      <a:fillRect/>
                    </a:stretch>
                  </pic:blipFill>
                  <pic:spPr>
                    <a:xfrm>
                      <a:off x="0" y="0"/>
                      <a:ext cx="289560" cy="185928"/>
                    </a:xfrm>
                    <a:prstGeom prst="rect">
                      <a:avLst/>
                    </a:prstGeom>
                  </pic:spPr>
                </pic:pic>
              </a:graphicData>
            </a:graphic>
          </wp:inline>
        </w:drawing>
      </w:r>
      <w:r>
        <w:rPr>
          <w:rFonts w:ascii="Times New Roman" w:eastAsia="Times New Roman" w:hAnsi="Times New Roman" w:cs="Times New Roman"/>
          <w:sz w:val="28"/>
        </w:rPr>
        <w:t xml:space="preserve"> осін осы жұптың осі бойымен бағыттаймыз, </w:t>
      </w:r>
      <w:r>
        <w:rPr>
          <w:noProof/>
        </w:rPr>
        <w:drawing>
          <wp:inline distT="0" distB="0" distL="0" distR="0">
            <wp:extent cx="286512" cy="185928"/>
            <wp:effectExtent l="0" t="0" r="0" b="0"/>
            <wp:docPr id="1048571" name="Picture 1048571"/>
            <wp:cNvGraphicFramePr/>
            <a:graphic xmlns:a="http://schemas.openxmlformats.org/drawingml/2006/main">
              <a:graphicData uri="http://schemas.openxmlformats.org/drawingml/2006/picture">
                <pic:pic xmlns:pic="http://schemas.openxmlformats.org/drawingml/2006/picture">
                  <pic:nvPicPr>
                    <pic:cNvPr id="1048571" name="Picture 1048571"/>
                    <pic:cNvPicPr/>
                  </pic:nvPicPr>
                  <pic:blipFill>
                    <a:blip r:embed="rId56"/>
                    <a:stretch>
                      <a:fillRect/>
                    </a:stretch>
                  </pic:blipFill>
                  <pic:spPr>
                    <a:xfrm>
                      <a:off x="0" y="0"/>
                      <a:ext cx="286512" cy="185928"/>
                    </a:xfrm>
                    <a:prstGeom prst="rect">
                      <a:avLst/>
                    </a:prstGeom>
                  </pic:spPr>
                </pic:pic>
              </a:graphicData>
            </a:graphic>
          </wp:inline>
        </w:drawing>
      </w:r>
      <w:r>
        <w:rPr>
          <w:rFonts w:ascii="Times New Roman" w:eastAsia="Times New Roman" w:hAnsi="Times New Roman" w:cs="Times New Roman"/>
          <w:sz w:val="28"/>
        </w:rPr>
        <w:t xml:space="preserve"> және </w:t>
      </w:r>
      <w:r>
        <w:rPr>
          <w:noProof/>
        </w:rPr>
        <w:drawing>
          <wp:inline distT="0" distB="0" distL="0" distR="0">
            <wp:extent cx="286512" cy="161544"/>
            <wp:effectExtent l="0" t="0" r="0" b="0"/>
            <wp:docPr id="1048572" name="Picture 1048572"/>
            <wp:cNvGraphicFramePr/>
            <a:graphic xmlns:a="http://schemas.openxmlformats.org/drawingml/2006/main">
              <a:graphicData uri="http://schemas.openxmlformats.org/drawingml/2006/picture">
                <pic:pic xmlns:pic="http://schemas.openxmlformats.org/drawingml/2006/picture">
                  <pic:nvPicPr>
                    <pic:cNvPr id="1048572" name="Picture 1048572"/>
                    <pic:cNvPicPr/>
                  </pic:nvPicPr>
                  <pic:blipFill>
                    <a:blip r:embed="rId57"/>
                    <a:stretch>
                      <a:fillRect/>
                    </a:stretch>
                  </pic:blipFill>
                  <pic:spPr>
                    <a:xfrm>
                      <a:off x="0" y="0"/>
                      <a:ext cx="286512" cy="161544"/>
                    </a:xfrm>
                    <a:prstGeom prst="rect">
                      <a:avLst/>
                    </a:prstGeom>
                  </pic:spPr>
                </pic:pic>
              </a:graphicData>
            </a:graphic>
          </wp:inline>
        </w:drawing>
      </w:r>
      <w:r>
        <w:rPr>
          <w:rFonts w:ascii="Times New Roman" w:eastAsia="Times New Roman" w:hAnsi="Times New Roman" w:cs="Times New Roman"/>
          <w:sz w:val="28"/>
        </w:rPr>
        <w:t xml:space="preserve"> осі арасында,ы ең қысқа </w:t>
      </w:r>
      <w:r>
        <w:rPr>
          <w:noProof/>
        </w:rPr>
        <w:drawing>
          <wp:inline distT="0" distB="0" distL="0" distR="0">
            <wp:extent cx="91440" cy="167640"/>
            <wp:effectExtent l="0" t="0" r="0" b="0"/>
            <wp:docPr id="1048573" name="Picture 1048573"/>
            <wp:cNvGraphicFramePr/>
            <a:graphic xmlns:a="http://schemas.openxmlformats.org/drawingml/2006/main">
              <a:graphicData uri="http://schemas.openxmlformats.org/drawingml/2006/picture">
                <pic:pic xmlns:pic="http://schemas.openxmlformats.org/drawingml/2006/picture">
                  <pic:nvPicPr>
                    <pic:cNvPr id="1048573" name="Picture 1048573"/>
                    <pic:cNvPicPr/>
                  </pic:nvPicPr>
                  <pic:blipFill>
                    <a:blip r:embed="rId58"/>
                    <a:stretch>
                      <a:fillRect/>
                    </a:stretch>
                  </pic:blipFill>
                  <pic:spPr>
                    <a:xfrm>
                      <a:off x="0" y="0"/>
                      <a:ext cx="91440" cy="167640"/>
                    </a:xfrm>
                    <a:prstGeom prst="rect">
                      <a:avLst/>
                    </a:prstGeom>
                  </pic:spPr>
                </pic:pic>
              </a:graphicData>
            </a:graphic>
          </wp:inline>
        </w:drawing>
      </w:r>
      <w:r>
        <w:rPr>
          <w:rFonts w:ascii="Times New Roman" w:eastAsia="Times New Roman" w:hAnsi="Times New Roman" w:cs="Times New Roman"/>
          <w:sz w:val="28"/>
        </w:rPr>
        <w:t xml:space="preserve"> арақашықтық </w:t>
      </w:r>
      <w:r>
        <w:rPr>
          <w:noProof/>
        </w:rPr>
        <w:drawing>
          <wp:inline distT="0" distB="0" distL="0" distR="0">
            <wp:extent cx="292608" cy="161544"/>
            <wp:effectExtent l="0" t="0" r="0" b="0"/>
            <wp:docPr id="1048574" name="Picture 1048574"/>
            <wp:cNvGraphicFramePr/>
            <a:graphic xmlns:a="http://schemas.openxmlformats.org/drawingml/2006/main">
              <a:graphicData uri="http://schemas.openxmlformats.org/drawingml/2006/picture">
                <pic:pic xmlns:pic="http://schemas.openxmlformats.org/drawingml/2006/picture">
                  <pic:nvPicPr>
                    <pic:cNvPr id="1048574" name="Picture 1048574"/>
                    <pic:cNvPicPr/>
                  </pic:nvPicPr>
                  <pic:blipFill>
                    <a:blip r:embed="rId59"/>
                    <a:stretch>
                      <a:fillRect/>
                    </a:stretch>
                  </pic:blipFill>
                  <pic:spPr>
                    <a:xfrm>
                      <a:off x="0" y="0"/>
                      <a:ext cx="292608" cy="161544"/>
                    </a:xfrm>
                    <a:prstGeom prst="rect">
                      <a:avLst/>
                    </a:prstGeom>
                  </pic:spPr>
                </pic:pic>
              </a:graphicData>
            </a:graphic>
          </wp:inline>
        </w:drawing>
      </w:r>
      <w:r>
        <w:rPr>
          <w:rFonts w:ascii="Times New Roman" w:eastAsia="Times New Roman" w:hAnsi="Times New Roman" w:cs="Times New Roman"/>
          <w:sz w:val="28"/>
        </w:rPr>
        <w:t xml:space="preserve"> осімен үйлеседі, ал </w:t>
      </w:r>
      <w:r>
        <w:rPr>
          <w:noProof/>
        </w:rPr>
        <w:drawing>
          <wp:inline distT="0" distB="0" distL="0" distR="0">
            <wp:extent cx="146304" cy="185928"/>
            <wp:effectExtent l="0" t="0" r="0" b="0"/>
            <wp:docPr id="1048576" name="Picture 1048576"/>
            <wp:cNvGraphicFramePr/>
            <a:graphic xmlns:a="http://schemas.openxmlformats.org/drawingml/2006/main">
              <a:graphicData uri="http://schemas.openxmlformats.org/drawingml/2006/picture">
                <pic:pic xmlns:pic="http://schemas.openxmlformats.org/drawingml/2006/picture">
                  <pic:nvPicPr>
                    <pic:cNvPr id="1048576" name="Picture 1048576"/>
                    <pic:cNvPicPr/>
                  </pic:nvPicPr>
                  <pic:blipFill>
                    <a:blip r:embed="rId60"/>
                    <a:stretch>
                      <a:fillRect/>
                    </a:stretch>
                  </pic:blipFill>
                  <pic:spPr>
                    <a:xfrm>
                      <a:off x="0" y="0"/>
                      <a:ext cx="146304" cy="185928"/>
                    </a:xfrm>
                    <a:prstGeom prst="rect">
                      <a:avLst/>
                    </a:prstGeom>
                  </pic:spPr>
                </pic:pic>
              </a:graphicData>
            </a:graphic>
          </wp:inline>
        </w:drawing>
      </w:r>
      <w:r>
        <w:rPr>
          <w:rFonts w:ascii="Times New Roman" w:eastAsia="Times New Roman" w:hAnsi="Times New Roman" w:cs="Times New Roman"/>
          <w:sz w:val="28"/>
        </w:rPr>
        <w:t xml:space="preserve"> координатасы </w:t>
      </w:r>
      <w:r>
        <w:rPr>
          <w:noProof/>
        </w:rPr>
        <w:drawing>
          <wp:inline distT="0" distB="0" distL="0" distR="0">
            <wp:extent cx="298704" cy="161544"/>
            <wp:effectExtent l="0" t="0" r="0" b="0"/>
            <wp:docPr id="1048575" name="Picture 1048575"/>
            <wp:cNvGraphicFramePr/>
            <a:graphic xmlns:a="http://schemas.openxmlformats.org/drawingml/2006/main">
              <a:graphicData uri="http://schemas.openxmlformats.org/drawingml/2006/picture">
                <pic:pic xmlns:pic="http://schemas.openxmlformats.org/drawingml/2006/picture">
                  <pic:nvPicPr>
                    <pic:cNvPr id="1048575" name="Picture 1048575"/>
                    <pic:cNvPicPr/>
                  </pic:nvPicPr>
                  <pic:blipFill>
                    <a:blip r:embed="rId61"/>
                    <a:stretch>
                      <a:fillRect/>
                    </a:stretch>
                  </pic:blipFill>
                  <pic:spPr>
                    <a:xfrm>
                      <a:off x="0" y="0"/>
                      <a:ext cx="298704" cy="161544"/>
                    </a:xfrm>
                    <a:prstGeom prst="rect">
                      <a:avLst/>
                    </a:prstGeom>
                  </pic:spPr>
                </pic:pic>
              </a:graphicData>
            </a:graphic>
          </wp:inline>
        </w:drawing>
      </w:r>
      <w:r>
        <w:rPr>
          <w:rFonts w:ascii="Times New Roman" w:eastAsia="Times New Roman" w:hAnsi="Times New Roman" w:cs="Times New Roman"/>
          <w:sz w:val="28"/>
        </w:rPr>
        <w:t xml:space="preserve"> осінен </w:t>
      </w:r>
      <w:r>
        <w:rPr>
          <w:noProof/>
        </w:rPr>
        <w:drawing>
          <wp:inline distT="0" distB="0" distL="0" distR="0">
            <wp:extent cx="137160" cy="192024"/>
            <wp:effectExtent l="0" t="0" r="0" b="0"/>
            <wp:docPr id="1048577" name="Picture 1048577"/>
            <wp:cNvGraphicFramePr/>
            <a:graphic xmlns:a="http://schemas.openxmlformats.org/drawingml/2006/main">
              <a:graphicData uri="http://schemas.openxmlformats.org/drawingml/2006/picture">
                <pic:pic xmlns:pic="http://schemas.openxmlformats.org/drawingml/2006/picture">
                  <pic:nvPicPr>
                    <pic:cNvPr id="1048577" name="Picture 1048577"/>
                    <pic:cNvPicPr/>
                  </pic:nvPicPr>
                  <pic:blipFill>
                    <a:blip r:embed="rId62"/>
                    <a:stretch>
                      <a:fillRect/>
                    </a:stretch>
                  </pic:blipFill>
                  <pic:spPr>
                    <a:xfrm>
                      <a:off x="0" y="0"/>
                      <a:ext cx="137160" cy="192024"/>
                    </a:xfrm>
                    <a:prstGeom prst="rect">
                      <a:avLst/>
                    </a:prstGeom>
                  </pic:spPr>
                </pic:pic>
              </a:graphicData>
            </a:graphic>
          </wp:inline>
        </w:drawing>
      </w:r>
      <w:r>
        <w:rPr>
          <w:rFonts w:ascii="Times New Roman" w:eastAsia="Times New Roman" w:hAnsi="Times New Roman" w:cs="Times New Roman"/>
          <w:sz w:val="28"/>
        </w:rPr>
        <w:t xml:space="preserve"> қашықтығында </w:t>
      </w:r>
    </w:p>
    <w:p w:rsidR="0052701D" w:rsidRDefault="00D40929">
      <w:pPr>
        <w:spacing w:after="5" w:line="271" w:lineRule="auto"/>
        <w:ind w:left="9" w:right="64" w:firstLine="16"/>
        <w:jc w:val="both"/>
      </w:pPr>
      <w:r>
        <w:rPr>
          <w:rFonts w:ascii="Times New Roman" w:eastAsia="Times New Roman" w:hAnsi="Times New Roman" w:cs="Times New Roman"/>
          <w:sz w:val="28"/>
        </w:rPr>
        <w:t xml:space="preserve">орналасады. Сонда нутациондық бұрыш </w:t>
      </w:r>
      <w:r>
        <w:rPr>
          <w:noProof/>
        </w:rPr>
        <w:drawing>
          <wp:inline distT="0" distB="0" distL="0" distR="0">
            <wp:extent cx="841248" cy="173736"/>
            <wp:effectExtent l="0" t="0" r="0" b="0"/>
            <wp:docPr id="1048579" name="Picture 1048579"/>
            <wp:cNvGraphicFramePr/>
            <a:graphic xmlns:a="http://schemas.openxmlformats.org/drawingml/2006/main">
              <a:graphicData uri="http://schemas.openxmlformats.org/drawingml/2006/picture">
                <pic:pic xmlns:pic="http://schemas.openxmlformats.org/drawingml/2006/picture">
                  <pic:nvPicPr>
                    <pic:cNvPr id="1048579" name="Picture 1048579"/>
                    <pic:cNvPicPr/>
                  </pic:nvPicPr>
                  <pic:blipFill>
                    <a:blip r:embed="rId63"/>
                    <a:stretch>
                      <a:fillRect/>
                    </a:stretch>
                  </pic:blipFill>
                  <pic:spPr>
                    <a:xfrm>
                      <a:off x="0" y="0"/>
                      <a:ext cx="841248" cy="173736"/>
                    </a:xfrm>
                    <a:prstGeom prst="rect">
                      <a:avLst/>
                    </a:prstGeom>
                  </pic:spPr>
                </pic:pic>
              </a:graphicData>
            </a:graphic>
          </wp:inline>
        </w:drawing>
      </w:r>
      <w:r>
        <w:rPr>
          <w:rFonts w:ascii="Times New Roman" w:eastAsia="Times New Roman" w:hAnsi="Times New Roman" w:cs="Times New Roman"/>
          <w:sz w:val="28"/>
        </w:rPr>
        <w:t xml:space="preserve">, прецессия бұрышы </w:t>
      </w:r>
      <w:r>
        <w:rPr>
          <w:noProof/>
        </w:rPr>
        <w:drawing>
          <wp:inline distT="0" distB="0" distL="0" distR="0">
            <wp:extent cx="396240" cy="195072"/>
            <wp:effectExtent l="0" t="0" r="0" b="0"/>
            <wp:docPr id="1048578" name="Picture 1048578"/>
            <wp:cNvGraphicFramePr/>
            <a:graphic xmlns:a="http://schemas.openxmlformats.org/drawingml/2006/main">
              <a:graphicData uri="http://schemas.openxmlformats.org/drawingml/2006/picture">
                <pic:pic xmlns:pic="http://schemas.openxmlformats.org/drawingml/2006/picture">
                  <pic:nvPicPr>
                    <pic:cNvPr id="1048578" name="Picture 1048578"/>
                    <pic:cNvPicPr/>
                  </pic:nvPicPr>
                  <pic:blipFill>
                    <a:blip r:embed="rId64"/>
                    <a:stretch>
                      <a:fillRect/>
                    </a:stretch>
                  </pic:blipFill>
                  <pic:spPr>
                    <a:xfrm>
                      <a:off x="0" y="0"/>
                      <a:ext cx="396240" cy="195072"/>
                    </a:xfrm>
                    <a:prstGeom prst="rect">
                      <a:avLst/>
                    </a:prstGeom>
                  </pic:spPr>
                </pic:pic>
              </a:graphicData>
            </a:graphic>
          </wp:inline>
        </w:drawing>
      </w:r>
      <w:r>
        <w:rPr>
          <w:noProof/>
        </w:rPr>
        <w:drawing>
          <wp:inline distT="0" distB="0" distL="0" distR="0">
            <wp:extent cx="79248" cy="124968"/>
            <wp:effectExtent l="0" t="0" r="0" b="0"/>
            <wp:docPr id="1048580" name="Picture 1048580"/>
            <wp:cNvGraphicFramePr/>
            <a:graphic xmlns:a="http://schemas.openxmlformats.org/drawingml/2006/main">
              <a:graphicData uri="http://schemas.openxmlformats.org/drawingml/2006/picture">
                <pic:pic xmlns:pic="http://schemas.openxmlformats.org/drawingml/2006/picture">
                  <pic:nvPicPr>
                    <pic:cNvPr id="1048580" name="Picture 1048580"/>
                    <pic:cNvPicPr/>
                  </pic:nvPicPr>
                  <pic:blipFill>
                    <a:blip r:embed="rId65"/>
                    <a:stretch>
                      <a:fillRect/>
                    </a:stretch>
                  </pic:blipFill>
                  <pic:spPr>
                    <a:xfrm>
                      <a:off x="0" y="0"/>
                      <a:ext cx="79248" cy="124968"/>
                    </a:xfrm>
                    <a:prstGeom prst="rect">
                      <a:avLst/>
                    </a:prstGeom>
                  </pic:spPr>
                </pic:pic>
              </a:graphicData>
            </a:graphic>
          </wp:inline>
        </w:drawing>
      </w:r>
      <w:r>
        <w:rPr>
          <w:rFonts w:ascii="Times New Roman" w:eastAsia="Times New Roman" w:hAnsi="Times New Roman" w:cs="Times New Roman"/>
          <w:sz w:val="28"/>
        </w:rPr>
        <w:t xml:space="preserve"> </w:t>
      </w:r>
      <w:r>
        <w:rPr>
          <w:rFonts w:ascii="Times New Roman" w:eastAsia="Times New Roman" w:hAnsi="Times New Roman" w:cs="Times New Roman"/>
          <w:sz w:val="28"/>
        </w:rPr>
        <w:t xml:space="preserve">қабылданған белгілеуді ескере отырып, (6) айналу жұбының матрицасын </w:t>
      </w:r>
    </w:p>
    <w:p w:rsidR="0052701D" w:rsidRDefault="00D40929">
      <w:pPr>
        <w:spacing w:after="5" w:line="271" w:lineRule="auto"/>
        <w:ind w:left="9" w:right="64"/>
        <w:jc w:val="both"/>
      </w:pPr>
      <w:r>
        <w:rPr>
          <w:rFonts w:ascii="Times New Roman" w:eastAsia="Times New Roman" w:hAnsi="Times New Roman" w:cs="Times New Roman"/>
          <w:sz w:val="28"/>
        </w:rPr>
        <w:t xml:space="preserve">алмаыз: </w:t>
      </w:r>
    </w:p>
    <w:p w:rsidR="0052701D" w:rsidRDefault="00D40929">
      <w:pPr>
        <w:spacing w:after="84"/>
        <w:ind w:left="711"/>
      </w:pPr>
      <w:r>
        <w:rPr>
          <w:rFonts w:ascii="Times New Roman" w:eastAsia="Times New Roman" w:hAnsi="Times New Roman" w:cs="Times New Roman"/>
          <w:sz w:val="28"/>
        </w:rPr>
        <w:t xml:space="preserve"> </w:t>
      </w:r>
    </w:p>
    <w:p w:rsidR="0052701D" w:rsidRDefault="00D40929">
      <w:pPr>
        <w:tabs>
          <w:tab w:val="center" w:pos="7445"/>
          <w:tab w:val="center" w:pos="9228"/>
        </w:tabs>
        <w:spacing w:after="45"/>
      </w:pPr>
      <w:r>
        <w:rPr>
          <w:noProof/>
        </w:rPr>
        <w:drawing>
          <wp:anchor distT="0" distB="0" distL="114300" distR="114300" simplePos="0" relativeHeight="251660288" behindDoc="0" locked="0" layoutInCell="1" allowOverlap="0">
            <wp:simplePos x="0" y="0"/>
            <wp:positionH relativeFrom="column">
              <wp:posOffset>268935</wp:posOffset>
            </wp:positionH>
            <wp:positionV relativeFrom="paragraph">
              <wp:posOffset>-76199</wp:posOffset>
            </wp:positionV>
            <wp:extent cx="4175760" cy="865632"/>
            <wp:effectExtent l="0" t="0" r="0" b="0"/>
            <wp:wrapSquare wrapText="bothSides"/>
            <wp:docPr id="1048581" name="Picture 1048581"/>
            <wp:cNvGraphicFramePr/>
            <a:graphic xmlns:a="http://schemas.openxmlformats.org/drawingml/2006/main">
              <a:graphicData uri="http://schemas.openxmlformats.org/drawingml/2006/picture">
                <pic:pic xmlns:pic="http://schemas.openxmlformats.org/drawingml/2006/picture">
                  <pic:nvPicPr>
                    <pic:cNvPr id="1048581" name="Picture 1048581"/>
                    <pic:cNvPicPr/>
                  </pic:nvPicPr>
                  <pic:blipFill>
                    <a:blip r:embed="rId66"/>
                    <a:stretch>
                      <a:fillRect/>
                    </a:stretch>
                  </pic:blipFill>
                  <pic:spPr>
                    <a:xfrm>
                      <a:off x="0" y="0"/>
                      <a:ext cx="4175760" cy="865632"/>
                    </a:xfrm>
                    <a:prstGeom prst="rect">
                      <a:avLst/>
                    </a:prstGeom>
                  </pic:spPr>
                </pic:pic>
              </a:graphicData>
            </a:graphic>
          </wp:anchor>
        </w:drawing>
      </w:r>
      <w:r>
        <w:tab/>
      </w:r>
      <w:r>
        <w:rPr>
          <w:noProof/>
        </w:rPr>
        <w:drawing>
          <wp:inline distT="0" distB="0" distL="0" distR="0">
            <wp:extent cx="396240" cy="451104"/>
            <wp:effectExtent l="0" t="0" r="0" b="0"/>
            <wp:docPr id="1048582" name="Picture 1048582"/>
            <wp:cNvGraphicFramePr/>
            <a:graphic xmlns:a="http://schemas.openxmlformats.org/drawingml/2006/main">
              <a:graphicData uri="http://schemas.openxmlformats.org/drawingml/2006/picture">
                <pic:pic xmlns:pic="http://schemas.openxmlformats.org/drawingml/2006/picture">
                  <pic:nvPicPr>
                    <pic:cNvPr id="1048582" name="Picture 1048582"/>
                    <pic:cNvPicPr/>
                  </pic:nvPicPr>
                  <pic:blipFill>
                    <a:blip r:embed="rId67"/>
                    <a:stretch>
                      <a:fillRect/>
                    </a:stretch>
                  </pic:blipFill>
                  <pic:spPr>
                    <a:xfrm>
                      <a:off x="0" y="0"/>
                      <a:ext cx="396240" cy="451104"/>
                    </a:xfrm>
                    <a:prstGeom prst="rect">
                      <a:avLst/>
                    </a:prstGeom>
                  </pic:spPr>
                </pic:pic>
              </a:graphicData>
            </a:graphic>
          </wp:inline>
        </w:drawing>
      </w:r>
      <w:r>
        <w:rPr>
          <w:rFonts w:ascii="Times New Roman" w:eastAsia="Times New Roman" w:hAnsi="Times New Roman" w:cs="Times New Roman"/>
          <w:sz w:val="28"/>
        </w:rPr>
        <w:tab/>
        <w:t xml:space="preserve">(8) </w:t>
      </w:r>
    </w:p>
    <w:p w:rsidR="0052701D" w:rsidRDefault="00D40929">
      <w:pPr>
        <w:spacing w:after="132"/>
        <w:ind w:left="4198"/>
        <w:jc w:val="center"/>
      </w:pPr>
      <w:r>
        <w:rPr>
          <w:rFonts w:ascii="Times New Roman" w:eastAsia="Times New Roman" w:hAnsi="Times New Roman" w:cs="Times New Roman"/>
        </w:rPr>
        <w:t xml:space="preserve"> </w:t>
      </w:r>
    </w:p>
    <w:p w:rsidR="0052701D" w:rsidRDefault="00D40929">
      <w:pPr>
        <w:spacing w:after="25"/>
        <w:ind w:left="711"/>
      </w:pPr>
      <w:r>
        <w:rPr>
          <w:rFonts w:ascii="Times New Roman" w:eastAsia="Times New Roman" w:hAnsi="Times New Roman" w:cs="Times New Roman"/>
          <w:sz w:val="28"/>
        </w:rPr>
        <w:t xml:space="preserve"> </w:t>
      </w:r>
    </w:p>
    <w:p w:rsidR="0052701D" w:rsidRDefault="00D40929">
      <w:pPr>
        <w:spacing w:after="5" w:line="271" w:lineRule="auto"/>
        <w:ind w:left="711" w:right="64"/>
        <w:jc w:val="both"/>
      </w:pPr>
      <w:r>
        <w:rPr>
          <w:rFonts w:ascii="Times New Roman" w:eastAsia="Times New Roman" w:hAnsi="Times New Roman" w:cs="Times New Roman"/>
          <w:sz w:val="28"/>
        </w:rPr>
        <w:t xml:space="preserve">мұндағы </w:t>
      </w:r>
    </w:p>
    <w:p w:rsidR="0052701D" w:rsidRDefault="00D40929">
      <w:pPr>
        <w:spacing w:after="10"/>
        <w:ind w:left="3648"/>
      </w:pPr>
      <w:r>
        <w:rPr>
          <w:noProof/>
        </w:rPr>
        <mc:AlternateContent>
          <mc:Choice Requires="wpg">
            <w:drawing>
              <wp:inline distT="0" distB="0" distL="0" distR="0">
                <wp:extent cx="1498346" cy="627888"/>
                <wp:effectExtent l="0" t="0" r="0" b="0"/>
                <wp:docPr id="1049057" name="Group 1049057"/>
                <wp:cNvGraphicFramePr/>
                <a:graphic xmlns:a="http://schemas.openxmlformats.org/drawingml/2006/main">
                  <a:graphicData uri="http://schemas.microsoft.com/office/word/2010/wordprocessingGroup">
                    <wpg:wgp>
                      <wpg:cNvGrpSpPr/>
                      <wpg:grpSpPr>
                        <a:xfrm>
                          <a:off x="0" y="0"/>
                          <a:ext cx="1498346" cy="627888"/>
                          <a:chOff x="0" y="0"/>
                          <a:chExt cx="1498346" cy="627888"/>
                        </a:xfrm>
                      </wpg:grpSpPr>
                      <pic:pic xmlns:pic="http://schemas.openxmlformats.org/drawingml/2006/picture">
                        <pic:nvPicPr>
                          <pic:cNvPr id="1048583" name="Picture 1048583"/>
                          <pic:cNvPicPr/>
                        </pic:nvPicPr>
                        <pic:blipFill>
                          <a:blip r:embed="rId68"/>
                          <a:stretch>
                            <a:fillRect/>
                          </a:stretch>
                        </pic:blipFill>
                        <pic:spPr>
                          <a:xfrm>
                            <a:off x="0" y="0"/>
                            <a:ext cx="1450848" cy="627888"/>
                          </a:xfrm>
                          <a:prstGeom prst="rect">
                            <a:avLst/>
                          </a:prstGeom>
                        </pic:spPr>
                      </pic:pic>
                      <wps:wsp>
                        <wps:cNvPr id="2860" name="Rectangle 2860"/>
                        <wps:cNvSpPr/>
                        <wps:spPr>
                          <a:xfrm>
                            <a:off x="1464818" y="215977"/>
                            <a:ext cx="44592" cy="202692"/>
                          </a:xfrm>
                          <a:prstGeom prst="rect">
                            <a:avLst/>
                          </a:prstGeom>
                          <a:ln>
                            <a:noFill/>
                          </a:ln>
                        </wps:spPr>
                        <wps:txbx>
                          <w:txbxContent>
                            <w:p w:rsidR="0052701D" w:rsidRDefault="00D40929">
                              <w:r>
                                <w:rPr>
                                  <w:rFonts w:ascii="Cambria Math" w:eastAsia="Cambria Math" w:hAnsi="Cambria Math" w:cs="Cambria Math"/>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049057" style="width:117.98pt;height:49.44pt;mso-position-horizontal-relative:char;mso-position-vertical-relative:line" coordsize="14983,6278">
                <v:shape id="Picture 1048583" style="position:absolute;width:14508;height:6278;left:0;top:0;" filled="f">
                  <v:imagedata r:id="rId73"/>
                </v:shape>
                <v:rect id="Rectangle 2860" style="position:absolute;width:445;height:2026;left:14648;top:2159;" filled="f" stroked="f">
                  <v:textbox inset="0,0,0,0">
                    <w:txbxContent>
                      <w:p>
                        <w:pPr>
                          <w:spacing w:before="0" w:after="160" w:line="259" w:lineRule="auto"/>
                        </w:pPr>
                        <w:r>
                          <w:rPr>
                            <w:rFonts w:cs="Cambria Math" w:hAnsi="Cambria Math" w:eastAsia="Cambria Math" w:ascii="Cambria Math"/>
                            <w:sz w:val="24"/>
                          </w:rPr>
                          <w:t xml:space="preserve"> </w:t>
                        </w:r>
                      </w:p>
                    </w:txbxContent>
                  </v:textbox>
                </v:rect>
              </v:group>
            </w:pict>
          </mc:Fallback>
        </mc:AlternateContent>
      </w:r>
    </w:p>
    <w:p w:rsidR="0052701D" w:rsidRDefault="00D40929">
      <w:pPr>
        <w:spacing w:after="28"/>
        <w:ind w:left="711"/>
      </w:pPr>
      <w:r>
        <w:rPr>
          <w:rFonts w:ascii="Times New Roman" w:eastAsia="Times New Roman" w:hAnsi="Times New Roman" w:cs="Times New Roman"/>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Салмақты айырма квадраттарының ең аз қосындысы үшін қажетті шарттар: </w:t>
      </w:r>
    </w:p>
    <w:p w:rsidR="0052701D" w:rsidRDefault="00D40929">
      <w:pPr>
        <w:tabs>
          <w:tab w:val="center" w:pos="4194"/>
          <w:tab w:val="center" w:pos="9228"/>
        </w:tabs>
        <w:spacing w:after="3"/>
      </w:pPr>
      <w:r>
        <w:tab/>
      </w:r>
      <w:r>
        <w:rPr>
          <w:noProof/>
        </w:rPr>
        <w:drawing>
          <wp:inline distT="0" distB="0" distL="0" distR="0">
            <wp:extent cx="1011936" cy="576072"/>
            <wp:effectExtent l="0" t="0" r="0" b="0"/>
            <wp:docPr id="1048586" name="Picture 1048586"/>
            <wp:cNvGraphicFramePr/>
            <a:graphic xmlns:a="http://schemas.openxmlformats.org/drawingml/2006/main">
              <a:graphicData uri="http://schemas.openxmlformats.org/drawingml/2006/picture">
                <pic:pic xmlns:pic="http://schemas.openxmlformats.org/drawingml/2006/picture">
                  <pic:nvPicPr>
                    <pic:cNvPr id="1048586" name="Picture 1048586"/>
                    <pic:cNvPicPr/>
                  </pic:nvPicPr>
                  <pic:blipFill>
                    <a:blip r:embed="rId74"/>
                    <a:stretch>
                      <a:fillRect/>
                    </a:stretch>
                  </pic:blipFill>
                  <pic:spPr>
                    <a:xfrm>
                      <a:off x="0" y="0"/>
                      <a:ext cx="1011936" cy="576072"/>
                    </a:xfrm>
                    <a:prstGeom prst="rect">
                      <a:avLst/>
                    </a:prstGeom>
                  </pic:spPr>
                </pic:pic>
              </a:graphicData>
            </a:graphic>
          </wp:inline>
        </w:drawing>
      </w:r>
      <w:r>
        <w:rPr>
          <w:rFonts w:ascii="Times New Roman" w:eastAsia="Times New Roman" w:hAnsi="Times New Roman" w:cs="Times New Roman"/>
          <w:sz w:val="28"/>
        </w:rPr>
        <w:tab/>
        <w:t xml:space="preserve">(9) </w:t>
      </w:r>
    </w:p>
    <w:p w:rsidR="0052701D" w:rsidRDefault="00D40929">
      <w:pPr>
        <w:spacing w:after="28"/>
        <w:ind w:left="711"/>
      </w:pPr>
      <w:r>
        <w:rPr>
          <w:rFonts w:ascii="Times New Roman" w:eastAsia="Times New Roman" w:hAnsi="Times New Roman" w:cs="Times New Roman"/>
          <w:sz w:val="28"/>
        </w:rPr>
        <w:t xml:space="preserve"> </w:t>
      </w:r>
    </w:p>
    <w:p w:rsidR="0052701D" w:rsidRDefault="00D40929">
      <w:pPr>
        <w:spacing w:after="5" w:line="271" w:lineRule="auto"/>
        <w:ind w:left="711" w:right="64"/>
        <w:jc w:val="both"/>
      </w:pPr>
      <w:r>
        <w:rPr>
          <w:rFonts w:ascii="Times New Roman" w:eastAsia="Times New Roman" w:hAnsi="Times New Roman" w:cs="Times New Roman"/>
          <w:sz w:val="28"/>
        </w:rPr>
        <w:t xml:space="preserve">меншікті теңдеулер жүйесі түрінде жазуға болады: </w:t>
      </w:r>
    </w:p>
    <w:p w:rsidR="0052701D" w:rsidRDefault="00D40929">
      <w:pPr>
        <w:ind w:left="711" w:right="3316"/>
      </w:pPr>
      <w:r>
        <w:rPr>
          <w:rFonts w:ascii="Times New Roman" w:eastAsia="Times New Roman" w:hAnsi="Times New Roman" w:cs="Times New Roman"/>
          <w:sz w:val="28"/>
        </w:rPr>
        <w:t xml:space="preserve"> </w:t>
      </w:r>
    </w:p>
    <w:p w:rsidR="0052701D" w:rsidRDefault="00D40929">
      <w:pPr>
        <w:spacing w:after="348"/>
        <w:ind w:left="1834" w:right="260" w:hanging="10"/>
        <w:jc w:val="right"/>
      </w:pPr>
      <w:r>
        <w:rPr>
          <w:noProof/>
        </w:rPr>
        <w:drawing>
          <wp:anchor distT="0" distB="0" distL="114300" distR="114300" simplePos="0" relativeHeight="251661312" behindDoc="0" locked="0" layoutInCell="1" allowOverlap="0">
            <wp:simplePos x="0" y="0"/>
            <wp:positionH relativeFrom="column">
              <wp:posOffset>1157935</wp:posOffset>
            </wp:positionH>
            <wp:positionV relativeFrom="paragraph">
              <wp:posOffset>-132806</wp:posOffset>
            </wp:positionV>
            <wp:extent cx="2801112" cy="1304544"/>
            <wp:effectExtent l="0" t="0" r="0" b="0"/>
            <wp:wrapSquare wrapText="bothSides"/>
            <wp:docPr id="1048587" name="Picture 1048587"/>
            <wp:cNvGraphicFramePr/>
            <a:graphic xmlns:a="http://schemas.openxmlformats.org/drawingml/2006/main">
              <a:graphicData uri="http://schemas.openxmlformats.org/drawingml/2006/picture">
                <pic:pic xmlns:pic="http://schemas.openxmlformats.org/drawingml/2006/picture">
                  <pic:nvPicPr>
                    <pic:cNvPr id="1048587" name="Picture 1048587"/>
                    <pic:cNvPicPr/>
                  </pic:nvPicPr>
                  <pic:blipFill>
                    <a:blip r:embed="rId75"/>
                    <a:stretch>
                      <a:fillRect/>
                    </a:stretch>
                  </pic:blipFill>
                  <pic:spPr>
                    <a:xfrm>
                      <a:off x="0" y="0"/>
                      <a:ext cx="2801112" cy="1304544"/>
                    </a:xfrm>
                    <a:prstGeom prst="rect">
                      <a:avLst/>
                    </a:prstGeom>
                  </pic:spPr>
                </pic:pic>
              </a:graphicData>
            </a:graphic>
          </wp:anchor>
        </w:drawing>
      </w:r>
      <w:r>
        <w:rPr>
          <w:rFonts w:ascii="Times New Roman" w:eastAsia="Times New Roman" w:hAnsi="Times New Roman" w:cs="Times New Roman"/>
          <w:sz w:val="28"/>
        </w:rPr>
        <w:t xml:space="preserve">(10) </w:t>
      </w:r>
    </w:p>
    <w:p w:rsidR="0052701D" w:rsidRDefault="00D40929">
      <w:pPr>
        <w:spacing w:after="348"/>
        <w:ind w:left="1834" w:right="260" w:hanging="10"/>
        <w:jc w:val="right"/>
      </w:pPr>
      <w:r>
        <w:rPr>
          <w:rFonts w:ascii="Times New Roman" w:eastAsia="Times New Roman" w:hAnsi="Times New Roman" w:cs="Times New Roman"/>
          <w:sz w:val="28"/>
        </w:rPr>
        <w:t xml:space="preserve">(11) </w:t>
      </w:r>
    </w:p>
    <w:p w:rsidR="0052701D" w:rsidRDefault="00D40929">
      <w:pPr>
        <w:ind w:left="1834" w:right="260" w:hanging="10"/>
        <w:jc w:val="right"/>
      </w:pPr>
      <w:r>
        <w:rPr>
          <w:rFonts w:ascii="Times New Roman" w:eastAsia="Times New Roman" w:hAnsi="Times New Roman" w:cs="Times New Roman"/>
          <w:sz w:val="28"/>
        </w:rPr>
        <w:t xml:space="preserve">(12) </w:t>
      </w:r>
    </w:p>
    <w:p w:rsidR="0052701D" w:rsidRDefault="00D40929">
      <w:pPr>
        <w:spacing w:after="0"/>
        <w:ind w:left="711" w:right="145"/>
      </w:pPr>
      <w:r>
        <w:rPr>
          <w:rFonts w:ascii="Times New Roman" w:eastAsia="Times New Roman" w:hAnsi="Times New Roman" w:cs="Times New Roman"/>
          <w:sz w:val="28"/>
        </w:rPr>
        <w:t xml:space="preserve"> </w:t>
      </w:r>
    </w:p>
    <w:p w:rsidR="0052701D" w:rsidRDefault="00D40929">
      <w:pPr>
        <w:tabs>
          <w:tab w:val="center" w:pos="1136"/>
          <w:tab w:val="center" w:pos="1973"/>
          <w:tab w:val="center" w:pos="3840"/>
          <w:tab w:val="right" w:pos="9649"/>
        </w:tabs>
        <w:spacing w:after="5" w:line="271" w:lineRule="auto"/>
      </w:pPr>
      <w:r>
        <w:rPr>
          <w:rFonts w:ascii="Times New Roman" w:eastAsia="Times New Roman" w:hAnsi="Times New Roman" w:cs="Times New Roman"/>
          <w:sz w:val="28"/>
        </w:rPr>
        <w:t xml:space="preserve">(10), </w:t>
      </w:r>
      <w:r>
        <w:rPr>
          <w:rFonts w:ascii="Times New Roman" w:eastAsia="Times New Roman" w:hAnsi="Times New Roman" w:cs="Times New Roman"/>
          <w:sz w:val="28"/>
        </w:rPr>
        <w:tab/>
        <w:t xml:space="preserve">(11), </w:t>
      </w:r>
      <w:r>
        <w:rPr>
          <w:rFonts w:ascii="Times New Roman" w:eastAsia="Times New Roman" w:hAnsi="Times New Roman" w:cs="Times New Roman"/>
          <w:sz w:val="28"/>
        </w:rPr>
        <w:tab/>
        <w:t xml:space="preserve">(12) </w:t>
      </w:r>
      <w:r>
        <w:rPr>
          <w:rFonts w:ascii="Times New Roman" w:eastAsia="Times New Roman" w:hAnsi="Times New Roman" w:cs="Times New Roman"/>
          <w:sz w:val="28"/>
        </w:rPr>
        <w:tab/>
        <w:t xml:space="preserve">жүйелер </w:t>
      </w:r>
      <w:r>
        <w:rPr>
          <w:noProof/>
        </w:rPr>
        <w:drawing>
          <wp:inline distT="0" distB="0" distL="0" distR="0">
            <wp:extent cx="658368" cy="161544"/>
            <wp:effectExtent l="0" t="0" r="0" b="0"/>
            <wp:docPr id="1048589" name="Picture 1048589"/>
            <wp:cNvGraphicFramePr/>
            <a:graphic xmlns:a="http://schemas.openxmlformats.org/drawingml/2006/main">
              <a:graphicData uri="http://schemas.openxmlformats.org/drawingml/2006/picture">
                <pic:pic xmlns:pic="http://schemas.openxmlformats.org/drawingml/2006/picture">
                  <pic:nvPicPr>
                    <pic:cNvPr id="1048589" name="Picture 1048589"/>
                    <pic:cNvPicPr/>
                  </pic:nvPicPr>
                  <pic:blipFill>
                    <a:blip r:embed="rId76"/>
                    <a:stretch>
                      <a:fillRect/>
                    </a:stretch>
                  </pic:blipFill>
                  <pic:spPr>
                    <a:xfrm>
                      <a:off x="0" y="0"/>
                      <a:ext cx="658368" cy="161544"/>
                    </a:xfrm>
                    <a:prstGeom prst="rect">
                      <a:avLst/>
                    </a:prstGeom>
                  </pic:spPr>
                </pic:pic>
              </a:graphicData>
            </a:graphic>
          </wp:inline>
        </w:drawing>
      </w:r>
      <w:r>
        <w:rPr>
          <w:rFonts w:ascii="Times New Roman" w:eastAsia="Times New Roman" w:hAnsi="Times New Roman" w:cs="Times New Roman"/>
          <w:sz w:val="28"/>
        </w:rPr>
        <w:t xml:space="preserve"> </w:t>
      </w:r>
      <w:r>
        <w:rPr>
          <w:rFonts w:ascii="Times New Roman" w:eastAsia="Times New Roman" w:hAnsi="Times New Roman" w:cs="Times New Roman"/>
          <w:sz w:val="28"/>
        </w:rPr>
        <w:tab/>
        <w:t xml:space="preserve">және </w:t>
      </w:r>
      <w:r>
        <w:rPr>
          <w:noProof/>
        </w:rPr>
        <w:drawing>
          <wp:inline distT="0" distB="0" distL="0" distR="0">
            <wp:extent cx="2090928" cy="283464"/>
            <wp:effectExtent l="0" t="0" r="0" b="0"/>
            <wp:docPr id="1048588" name="Picture 1048588"/>
            <wp:cNvGraphicFramePr/>
            <a:graphic xmlns:a="http://schemas.openxmlformats.org/drawingml/2006/main">
              <a:graphicData uri="http://schemas.openxmlformats.org/drawingml/2006/picture">
                <pic:pic xmlns:pic="http://schemas.openxmlformats.org/drawingml/2006/picture">
                  <pic:nvPicPr>
                    <pic:cNvPr id="1048588" name="Picture 1048588"/>
                    <pic:cNvPicPr/>
                  </pic:nvPicPr>
                  <pic:blipFill>
                    <a:blip r:embed="rId77"/>
                    <a:stretch>
                      <a:fillRect/>
                    </a:stretch>
                  </pic:blipFill>
                  <pic:spPr>
                    <a:xfrm>
                      <a:off x="0" y="0"/>
                      <a:ext cx="2090928" cy="283464"/>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5" w:line="271" w:lineRule="auto"/>
        <w:ind w:left="9" w:right="64"/>
        <w:jc w:val="both"/>
      </w:pPr>
      <w:r>
        <w:rPr>
          <w:rFonts w:ascii="Times New Roman" w:eastAsia="Times New Roman" w:hAnsi="Times New Roman" w:cs="Times New Roman"/>
          <w:sz w:val="28"/>
        </w:rPr>
        <w:t xml:space="preserve">айнымалыларына қатысты сызықтық, сондықтан ол түрінде жазуға болады </w:t>
      </w:r>
    </w:p>
    <w:p w:rsidR="0052701D" w:rsidRDefault="00D40929">
      <w:pPr>
        <w:spacing w:after="0"/>
      </w:pPr>
      <w:r>
        <w:rPr>
          <w:rFonts w:ascii="Times New Roman" w:eastAsia="Times New Roman" w:hAnsi="Times New Roman" w:cs="Times New Roman"/>
          <w:sz w:val="28"/>
        </w:rPr>
        <w:lastRenderedPageBreak/>
        <w:t xml:space="preserve"> </w:t>
      </w:r>
    </w:p>
    <w:p w:rsidR="0052701D" w:rsidRDefault="00D40929">
      <w:pPr>
        <w:spacing w:after="3"/>
        <w:ind w:left="10" w:right="260" w:hanging="10"/>
        <w:jc w:val="right"/>
      </w:pPr>
      <w:r>
        <w:rPr>
          <w:noProof/>
        </w:rPr>
        <w:drawing>
          <wp:inline distT="0" distB="0" distL="0" distR="0">
            <wp:extent cx="5071872" cy="1222248"/>
            <wp:effectExtent l="0" t="0" r="0" b="0"/>
            <wp:docPr id="1048590" name="Picture 1048590"/>
            <wp:cNvGraphicFramePr/>
            <a:graphic xmlns:a="http://schemas.openxmlformats.org/drawingml/2006/main">
              <a:graphicData uri="http://schemas.openxmlformats.org/drawingml/2006/picture">
                <pic:pic xmlns:pic="http://schemas.openxmlformats.org/drawingml/2006/picture">
                  <pic:nvPicPr>
                    <pic:cNvPr id="1048590" name="Picture 1048590"/>
                    <pic:cNvPicPr/>
                  </pic:nvPicPr>
                  <pic:blipFill>
                    <a:blip r:embed="rId78"/>
                    <a:stretch>
                      <a:fillRect/>
                    </a:stretch>
                  </pic:blipFill>
                  <pic:spPr>
                    <a:xfrm>
                      <a:off x="0" y="0"/>
                      <a:ext cx="5071872" cy="1222248"/>
                    </a:xfrm>
                    <a:prstGeom prst="rect">
                      <a:avLst/>
                    </a:prstGeom>
                  </pic:spPr>
                </pic:pic>
              </a:graphicData>
            </a:graphic>
          </wp:inline>
        </w:drawing>
      </w:r>
      <w:r>
        <w:rPr>
          <w:rFonts w:ascii="Times New Roman" w:eastAsia="Times New Roman" w:hAnsi="Times New Roman" w:cs="Times New Roman"/>
          <w:sz w:val="28"/>
        </w:rPr>
        <w:tab/>
        <w:t xml:space="preserve">(13) мұндағы </w:t>
      </w:r>
      <w:r>
        <w:rPr>
          <w:noProof/>
        </w:rPr>
        <w:drawing>
          <wp:inline distT="0" distB="0" distL="0" distR="0">
            <wp:extent cx="1542288" cy="225552"/>
            <wp:effectExtent l="0" t="0" r="0" b="0"/>
            <wp:docPr id="1048591" name="Picture 1048591"/>
            <wp:cNvGraphicFramePr/>
            <a:graphic xmlns:a="http://schemas.openxmlformats.org/drawingml/2006/main">
              <a:graphicData uri="http://schemas.openxmlformats.org/drawingml/2006/picture">
                <pic:pic xmlns:pic="http://schemas.openxmlformats.org/drawingml/2006/picture">
                  <pic:nvPicPr>
                    <pic:cNvPr id="1048591" name="Picture 1048591"/>
                    <pic:cNvPicPr/>
                  </pic:nvPicPr>
                  <pic:blipFill>
                    <a:blip r:embed="rId79"/>
                    <a:stretch>
                      <a:fillRect/>
                    </a:stretch>
                  </pic:blipFill>
                  <pic:spPr>
                    <a:xfrm>
                      <a:off x="0" y="0"/>
                      <a:ext cx="1542288" cy="225552"/>
                    </a:xfrm>
                    <a:prstGeom prst="rect">
                      <a:avLst/>
                    </a:prstGeom>
                  </pic:spPr>
                </pic:pic>
              </a:graphicData>
            </a:graphic>
          </wp:inline>
        </w:drawing>
      </w:r>
      <w:r>
        <w:rPr>
          <w:rFonts w:ascii="Cambria Math" w:eastAsia="Cambria Math" w:hAnsi="Cambria Math" w:cs="Cambria Math"/>
          <w:sz w:val="28"/>
        </w:rPr>
        <w:t>.</w:t>
      </w:r>
      <w:r>
        <w:rPr>
          <w:rFonts w:ascii="Times New Roman" w:eastAsia="Times New Roman" w:hAnsi="Times New Roman" w:cs="Times New Roman"/>
          <w:sz w:val="28"/>
        </w:rPr>
        <w:t xml:space="preserve"> </w:t>
      </w:r>
    </w:p>
    <w:p w:rsidR="0052701D" w:rsidRDefault="00D40929">
      <w:pPr>
        <w:spacing w:after="5" w:line="271" w:lineRule="auto"/>
        <w:ind w:left="711" w:right="64"/>
        <w:jc w:val="both"/>
      </w:pPr>
      <w:r>
        <w:rPr>
          <w:rFonts w:ascii="Times New Roman" w:eastAsia="Times New Roman" w:hAnsi="Times New Roman" w:cs="Times New Roman"/>
          <w:sz w:val="28"/>
        </w:rPr>
        <w:t xml:space="preserve">Крамер ережесі бойынша бұл жүйенің шешімі келесі түрде болады: </w:t>
      </w:r>
    </w:p>
    <w:p w:rsidR="0052701D" w:rsidRDefault="00D40929">
      <w:pPr>
        <w:tabs>
          <w:tab w:val="center" w:pos="4128"/>
          <w:tab w:val="center" w:pos="9158"/>
        </w:tabs>
        <w:spacing w:after="5" w:line="271" w:lineRule="auto"/>
      </w:pPr>
      <w:r>
        <w:tab/>
      </w:r>
      <w:r>
        <w:rPr>
          <w:noProof/>
        </w:rPr>
        <w:drawing>
          <wp:inline distT="0" distB="0" distL="0" distR="0">
            <wp:extent cx="4084321" cy="417576"/>
            <wp:effectExtent l="0" t="0" r="0" b="0"/>
            <wp:docPr id="1048592" name="Picture 1048592"/>
            <wp:cNvGraphicFramePr/>
            <a:graphic xmlns:a="http://schemas.openxmlformats.org/drawingml/2006/main">
              <a:graphicData uri="http://schemas.openxmlformats.org/drawingml/2006/picture">
                <pic:pic xmlns:pic="http://schemas.openxmlformats.org/drawingml/2006/picture">
                  <pic:nvPicPr>
                    <pic:cNvPr id="1048592" name="Picture 1048592"/>
                    <pic:cNvPicPr/>
                  </pic:nvPicPr>
                  <pic:blipFill>
                    <a:blip r:embed="rId80"/>
                    <a:stretch>
                      <a:fillRect/>
                    </a:stretch>
                  </pic:blipFill>
                  <pic:spPr>
                    <a:xfrm>
                      <a:off x="0" y="0"/>
                      <a:ext cx="4084321" cy="417576"/>
                    </a:xfrm>
                    <a:prstGeom prst="rect">
                      <a:avLst/>
                    </a:prstGeom>
                  </pic:spPr>
                </pic:pic>
              </a:graphicData>
            </a:graphic>
          </wp:inline>
        </w:drawing>
      </w:r>
      <w:r>
        <w:rPr>
          <w:rFonts w:ascii="Times New Roman" w:eastAsia="Times New Roman" w:hAnsi="Times New Roman" w:cs="Times New Roman"/>
          <w:sz w:val="28"/>
        </w:rPr>
        <w:tab/>
        <w:t xml:space="preserve">(14) </w:t>
      </w:r>
    </w:p>
    <w:p w:rsidR="0052701D" w:rsidRDefault="00D40929">
      <w:pPr>
        <w:spacing w:after="0"/>
        <w:ind w:right="62"/>
        <w:jc w:val="center"/>
      </w:pPr>
      <w:r>
        <w:rPr>
          <w:rFonts w:ascii="Times New Roman" w:eastAsia="Times New Roman" w:hAnsi="Times New Roman" w:cs="Times New Roman"/>
          <w:sz w:val="28"/>
        </w:rPr>
        <w:t xml:space="preserve"> </w:t>
      </w:r>
    </w:p>
    <w:p w:rsidR="0052701D" w:rsidRDefault="00D40929">
      <w:pPr>
        <w:spacing w:after="0"/>
        <w:ind w:right="58"/>
        <w:jc w:val="center"/>
      </w:pPr>
      <w:r>
        <w:rPr>
          <w:noProof/>
        </w:rPr>
        <w:drawing>
          <wp:inline distT="0" distB="0" distL="0" distR="0">
            <wp:extent cx="3139440" cy="2203704"/>
            <wp:effectExtent l="0" t="0" r="0" b="0"/>
            <wp:docPr id="3864" name="Picture 3864"/>
            <wp:cNvGraphicFramePr/>
            <a:graphic xmlns:a="http://schemas.openxmlformats.org/drawingml/2006/main">
              <a:graphicData uri="http://schemas.openxmlformats.org/drawingml/2006/picture">
                <pic:pic xmlns:pic="http://schemas.openxmlformats.org/drawingml/2006/picture">
                  <pic:nvPicPr>
                    <pic:cNvPr id="3864" name="Picture 3864"/>
                    <pic:cNvPicPr/>
                  </pic:nvPicPr>
                  <pic:blipFill>
                    <a:blip r:embed="rId81"/>
                    <a:stretch>
                      <a:fillRect/>
                    </a:stretch>
                  </pic:blipFill>
                  <pic:spPr>
                    <a:xfrm>
                      <a:off x="0" y="0"/>
                      <a:ext cx="3139440" cy="2203704"/>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14" w:line="248" w:lineRule="auto"/>
        <w:ind w:left="713" w:right="847" w:hanging="5"/>
        <w:jc w:val="center"/>
      </w:pPr>
      <w:r>
        <w:rPr>
          <w:rFonts w:ascii="Times New Roman" w:eastAsia="Times New Roman" w:hAnsi="Times New Roman" w:cs="Times New Roman"/>
          <w:sz w:val="24"/>
        </w:rPr>
        <w:t xml:space="preserve">Сурет 1- </w:t>
      </w:r>
      <w:r>
        <w:rPr>
          <w:rFonts w:ascii="Times New Roman" w:eastAsia="Times New Roman" w:hAnsi="Times New Roman" w:cs="Times New Roman"/>
          <w:i/>
          <w:sz w:val="24"/>
        </w:rPr>
        <w:t>BCC</w:t>
      </w:r>
      <w:r>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типті бастапқы кинематикалық тізбек </w:t>
      </w:r>
    </w:p>
    <w:p w:rsidR="0052701D" w:rsidRDefault="00D40929">
      <w:pPr>
        <w:spacing w:after="0"/>
      </w:pPr>
      <w:r>
        <w:rPr>
          <w:rFonts w:ascii="Times New Roman" w:eastAsia="Times New Roman" w:hAnsi="Times New Roman" w:cs="Times New Roman"/>
          <w:sz w:val="28"/>
        </w:rPr>
        <w:t xml:space="preserve"> </w:t>
      </w:r>
    </w:p>
    <w:p w:rsidR="0052701D" w:rsidRDefault="00D40929">
      <w:pPr>
        <w:spacing w:after="5" w:line="271" w:lineRule="auto"/>
        <w:ind w:left="711" w:right="64"/>
        <w:jc w:val="both"/>
      </w:pPr>
      <w:r>
        <w:rPr>
          <w:rFonts w:ascii="Times New Roman" w:eastAsia="Times New Roman" w:hAnsi="Times New Roman" w:cs="Times New Roman"/>
          <w:sz w:val="28"/>
        </w:rPr>
        <w:t xml:space="preserve">Сол сияқты (11) (6) және (9) ескере отырып, біз белгісізге қатысты </w:t>
      </w:r>
    </w:p>
    <w:p w:rsidR="0052701D" w:rsidRDefault="00D40929">
      <w:pPr>
        <w:spacing w:after="5" w:line="271" w:lineRule="auto"/>
        <w:ind w:left="9" w:right="64"/>
        <w:jc w:val="both"/>
      </w:pPr>
      <w:r>
        <w:rPr>
          <w:rFonts w:ascii="Times New Roman" w:eastAsia="Times New Roman" w:hAnsi="Times New Roman" w:cs="Times New Roman"/>
          <w:sz w:val="28"/>
        </w:rPr>
        <w:t xml:space="preserve">сызықтық теңдеулер жүйесін аламыз, </w:t>
      </w:r>
      <w:r>
        <w:rPr>
          <w:noProof/>
        </w:rPr>
        <w:drawing>
          <wp:inline distT="0" distB="0" distL="0" distR="0">
            <wp:extent cx="938784" cy="161544"/>
            <wp:effectExtent l="0" t="0" r="0" b="0"/>
            <wp:docPr id="1048593" name="Picture 1048593"/>
            <wp:cNvGraphicFramePr/>
            <a:graphic xmlns:a="http://schemas.openxmlformats.org/drawingml/2006/main">
              <a:graphicData uri="http://schemas.openxmlformats.org/drawingml/2006/picture">
                <pic:pic xmlns:pic="http://schemas.openxmlformats.org/drawingml/2006/picture">
                  <pic:nvPicPr>
                    <pic:cNvPr id="1048593" name="Picture 1048593"/>
                    <pic:cNvPicPr/>
                  </pic:nvPicPr>
                  <pic:blipFill>
                    <a:blip r:embed="rId82"/>
                    <a:stretch>
                      <a:fillRect/>
                    </a:stretch>
                  </pic:blipFill>
                  <pic:spPr>
                    <a:xfrm>
                      <a:off x="0" y="0"/>
                      <a:ext cx="938784" cy="161544"/>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0"/>
        <w:ind w:left="711"/>
      </w:pPr>
      <w:r>
        <w:rPr>
          <w:rFonts w:ascii="Times New Roman" w:eastAsia="Times New Roman" w:hAnsi="Times New Roman" w:cs="Times New Roman"/>
          <w:sz w:val="28"/>
        </w:rPr>
        <w:t xml:space="preserve"> </w:t>
      </w:r>
    </w:p>
    <w:p w:rsidR="0052701D" w:rsidRDefault="00D40929">
      <w:pPr>
        <w:tabs>
          <w:tab w:val="center" w:pos="9158"/>
        </w:tabs>
        <w:spacing w:after="5" w:line="271" w:lineRule="auto"/>
      </w:pPr>
      <w:r>
        <w:rPr>
          <w:noProof/>
        </w:rPr>
        <w:drawing>
          <wp:inline distT="0" distB="0" distL="0" distR="0">
            <wp:extent cx="5029200" cy="1255776"/>
            <wp:effectExtent l="0" t="0" r="0" b="0"/>
            <wp:docPr id="1048594" name="Picture 1048594"/>
            <wp:cNvGraphicFramePr/>
            <a:graphic xmlns:a="http://schemas.openxmlformats.org/drawingml/2006/main">
              <a:graphicData uri="http://schemas.openxmlformats.org/drawingml/2006/picture">
                <pic:pic xmlns:pic="http://schemas.openxmlformats.org/drawingml/2006/picture">
                  <pic:nvPicPr>
                    <pic:cNvPr id="1048594" name="Picture 1048594"/>
                    <pic:cNvPicPr/>
                  </pic:nvPicPr>
                  <pic:blipFill>
                    <a:blip r:embed="rId83"/>
                    <a:stretch>
                      <a:fillRect/>
                    </a:stretch>
                  </pic:blipFill>
                  <pic:spPr>
                    <a:xfrm>
                      <a:off x="0" y="0"/>
                      <a:ext cx="5029200" cy="1255776"/>
                    </a:xfrm>
                    <a:prstGeom prst="rect">
                      <a:avLst/>
                    </a:prstGeom>
                  </pic:spPr>
                </pic:pic>
              </a:graphicData>
            </a:graphic>
          </wp:inline>
        </w:drawing>
      </w:r>
      <w:r>
        <w:rPr>
          <w:rFonts w:ascii="Times New Roman" w:eastAsia="Times New Roman" w:hAnsi="Times New Roman" w:cs="Times New Roman"/>
          <w:sz w:val="28"/>
        </w:rPr>
        <w:tab/>
        <w:t xml:space="preserve">(15) </w:t>
      </w:r>
    </w:p>
    <w:p w:rsidR="0052701D" w:rsidRDefault="00D40929">
      <w:pPr>
        <w:spacing w:after="28"/>
        <w:ind w:left="711"/>
      </w:pPr>
      <w:r>
        <w:rPr>
          <w:rFonts w:ascii="Times New Roman" w:eastAsia="Times New Roman" w:hAnsi="Times New Roman" w:cs="Times New Roman"/>
          <w:sz w:val="28"/>
        </w:rPr>
        <w:t xml:space="preserve"> </w:t>
      </w:r>
    </w:p>
    <w:p w:rsidR="0052701D" w:rsidRDefault="00D40929">
      <w:pPr>
        <w:spacing w:after="5" w:line="271" w:lineRule="auto"/>
        <w:ind w:left="711" w:right="64"/>
        <w:jc w:val="both"/>
      </w:pPr>
      <w:r>
        <w:rPr>
          <w:rFonts w:ascii="Times New Roman" w:eastAsia="Times New Roman" w:hAnsi="Times New Roman" w:cs="Times New Roman"/>
          <w:sz w:val="28"/>
        </w:rPr>
        <w:t xml:space="preserve">Бұл жүйені Крамер ережесі бойынша шеше отырып, біз аламыз: </w:t>
      </w:r>
    </w:p>
    <w:p w:rsidR="0052701D" w:rsidRDefault="00D40929">
      <w:pPr>
        <w:spacing w:after="0"/>
        <w:ind w:left="711" w:right="2284"/>
      </w:pPr>
      <w:r>
        <w:rPr>
          <w:rFonts w:ascii="Times New Roman" w:eastAsia="Times New Roman" w:hAnsi="Times New Roman" w:cs="Times New Roman"/>
          <w:sz w:val="28"/>
        </w:rPr>
        <w:t xml:space="preserve"> </w:t>
      </w:r>
    </w:p>
    <w:p w:rsidR="0052701D" w:rsidRDefault="00D40929">
      <w:pPr>
        <w:tabs>
          <w:tab w:val="center" w:pos="4135"/>
          <w:tab w:val="center" w:pos="9158"/>
        </w:tabs>
        <w:spacing w:after="5" w:line="271" w:lineRule="auto"/>
      </w:pPr>
      <w:r>
        <w:tab/>
      </w:r>
      <w:r>
        <w:rPr>
          <w:noProof/>
        </w:rPr>
        <w:drawing>
          <wp:inline distT="0" distB="0" distL="0" distR="0">
            <wp:extent cx="4093464" cy="417576"/>
            <wp:effectExtent l="0" t="0" r="0" b="0"/>
            <wp:docPr id="1048595" name="Picture 1048595"/>
            <wp:cNvGraphicFramePr/>
            <a:graphic xmlns:a="http://schemas.openxmlformats.org/drawingml/2006/main">
              <a:graphicData uri="http://schemas.openxmlformats.org/drawingml/2006/picture">
                <pic:pic xmlns:pic="http://schemas.openxmlformats.org/drawingml/2006/picture">
                  <pic:nvPicPr>
                    <pic:cNvPr id="1048595" name="Picture 1048595"/>
                    <pic:cNvPicPr/>
                  </pic:nvPicPr>
                  <pic:blipFill>
                    <a:blip r:embed="rId84"/>
                    <a:stretch>
                      <a:fillRect/>
                    </a:stretch>
                  </pic:blipFill>
                  <pic:spPr>
                    <a:xfrm>
                      <a:off x="0" y="0"/>
                      <a:ext cx="4093464" cy="417576"/>
                    </a:xfrm>
                    <a:prstGeom prst="rect">
                      <a:avLst/>
                    </a:prstGeom>
                  </pic:spPr>
                </pic:pic>
              </a:graphicData>
            </a:graphic>
          </wp:inline>
        </w:drawing>
      </w:r>
      <w:r>
        <w:rPr>
          <w:rFonts w:ascii="Times New Roman" w:eastAsia="Times New Roman" w:hAnsi="Times New Roman" w:cs="Times New Roman"/>
          <w:sz w:val="28"/>
        </w:rPr>
        <w:tab/>
        <w:t xml:space="preserve">(16) </w:t>
      </w:r>
    </w:p>
    <w:p w:rsidR="0052701D" w:rsidRDefault="00D40929">
      <w:pPr>
        <w:spacing w:after="0"/>
        <w:ind w:left="711" w:right="2284"/>
      </w:pPr>
      <w:r>
        <w:rPr>
          <w:rFonts w:ascii="Times New Roman" w:eastAsia="Times New Roman" w:hAnsi="Times New Roman" w:cs="Times New Roman"/>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(12) – </w:t>
      </w:r>
      <w:r>
        <w:rPr>
          <w:rFonts w:ascii="Times New Roman" w:eastAsia="Times New Roman" w:hAnsi="Times New Roman" w:cs="Times New Roman"/>
          <w:sz w:val="28"/>
        </w:rPr>
        <w:t xml:space="preserve">ден (7) және (12) ескере отырып, белгісіз </w:t>
      </w:r>
      <w:r>
        <w:rPr>
          <w:noProof/>
        </w:rPr>
        <w:drawing>
          <wp:inline distT="0" distB="0" distL="0" distR="0">
            <wp:extent cx="920496" cy="158496"/>
            <wp:effectExtent l="0" t="0" r="0" b="0"/>
            <wp:docPr id="1048596" name="Picture 1048596"/>
            <wp:cNvGraphicFramePr/>
            <a:graphic xmlns:a="http://schemas.openxmlformats.org/drawingml/2006/main">
              <a:graphicData uri="http://schemas.openxmlformats.org/drawingml/2006/picture">
                <pic:pic xmlns:pic="http://schemas.openxmlformats.org/drawingml/2006/picture">
                  <pic:nvPicPr>
                    <pic:cNvPr id="1048596" name="Picture 1048596"/>
                    <pic:cNvPicPr/>
                  </pic:nvPicPr>
                  <pic:blipFill>
                    <a:blip r:embed="rId85"/>
                    <a:stretch>
                      <a:fillRect/>
                    </a:stretch>
                  </pic:blipFill>
                  <pic:spPr>
                    <a:xfrm>
                      <a:off x="0" y="0"/>
                      <a:ext cx="920496" cy="158496"/>
                    </a:xfrm>
                    <a:prstGeom prst="rect">
                      <a:avLst/>
                    </a:prstGeom>
                  </pic:spPr>
                </pic:pic>
              </a:graphicData>
            </a:graphic>
          </wp:inline>
        </w:drawing>
      </w:r>
      <w:r>
        <w:rPr>
          <w:rFonts w:ascii="Times New Roman" w:eastAsia="Times New Roman" w:hAnsi="Times New Roman" w:cs="Times New Roman"/>
          <w:sz w:val="28"/>
        </w:rPr>
        <w:t xml:space="preserve"> қатысты сызықтық теңдеулер жүйесін аламыз; </w:t>
      </w:r>
    </w:p>
    <w:p w:rsidR="0052701D" w:rsidRDefault="00D40929">
      <w:pPr>
        <w:spacing w:after="0"/>
        <w:ind w:left="711"/>
      </w:pPr>
      <w:r>
        <w:rPr>
          <w:rFonts w:ascii="Times New Roman" w:eastAsia="Times New Roman" w:hAnsi="Times New Roman" w:cs="Times New Roman"/>
          <w:sz w:val="28"/>
        </w:rPr>
        <w:t xml:space="preserve"> </w:t>
      </w:r>
    </w:p>
    <w:p w:rsidR="0052701D" w:rsidRDefault="00D40929">
      <w:pPr>
        <w:tabs>
          <w:tab w:val="center" w:pos="9158"/>
        </w:tabs>
        <w:spacing w:after="5" w:line="271" w:lineRule="auto"/>
      </w:pPr>
      <w:r>
        <w:rPr>
          <w:noProof/>
        </w:rPr>
        <w:lastRenderedPageBreak/>
        <w:drawing>
          <wp:inline distT="0" distB="0" distL="0" distR="0">
            <wp:extent cx="5071872" cy="1051560"/>
            <wp:effectExtent l="0" t="0" r="0" b="0"/>
            <wp:docPr id="1048597" name="Picture 1048597"/>
            <wp:cNvGraphicFramePr/>
            <a:graphic xmlns:a="http://schemas.openxmlformats.org/drawingml/2006/main">
              <a:graphicData uri="http://schemas.openxmlformats.org/drawingml/2006/picture">
                <pic:pic xmlns:pic="http://schemas.openxmlformats.org/drawingml/2006/picture">
                  <pic:nvPicPr>
                    <pic:cNvPr id="1048597" name="Picture 1048597"/>
                    <pic:cNvPicPr/>
                  </pic:nvPicPr>
                  <pic:blipFill>
                    <a:blip r:embed="rId86"/>
                    <a:stretch>
                      <a:fillRect/>
                    </a:stretch>
                  </pic:blipFill>
                  <pic:spPr>
                    <a:xfrm>
                      <a:off x="0" y="0"/>
                      <a:ext cx="5071872" cy="1051560"/>
                    </a:xfrm>
                    <a:prstGeom prst="rect">
                      <a:avLst/>
                    </a:prstGeom>
                  </pic:spPr>
                </pic:pic>
              </a:graphicData>
            </a:graphic>
          </wp:inline>
        </w:drawing>
      </w:r>
      <w:r>
        <w:rPr>
          <w:rFonts w:ascii="Times New Roman" w:eastAsia="Times New Roman" w:hAnsi="Times New Roman" w:cs="Times New Roman"/>
          <w:sz w:val="28"/>
        </w:rPr>
        <w:tab/>
        <w:t xml:space="preserve">(17) </w:t>
      </w:r>
    </w:p>
    <w:p w:rsidR="0052701D" w:rsidRDefault="00D40929">
      <w:pPr>
        <w:spacing w:after="0"/>
        <w:ind w:left="711"/>
      </w:pPr>
      <w:r>
        <w:rPr>
          <w:rFonts w:ascii="Times New Roman" w:eastAsia="Times New Roman" w:hAnsi="Times New Roman" w:cs="Times New Roman"/>
          <w:sz w:val="28"/>
        </w:rPr>
        <w:t xml:space="preserve"> </w:t>
      </w:r>
    </w:p>
    <w:p w:rsidR="0052701D" w:rsidRDefault="00D40929">
      <w:pPr>
        <w:spacing w:after="5" w:line="271" w:lineRule="auto"/>
        <w:ind w:left="711" w:right="64"/>
        <w:jc w:val="both"/>
      </w:pPr>
      <w:r>
        <w:rPr>
          <w:rFonts w:ascii="Times New Roman" w:eastAsia="Times New Roman" w:hAnsi="Times New Roman" w:cs="Times New Roman"/>
          <w:sz w:val="28"/>
        </w:rPr>
        <w:t xml:space="preserve">Осыдан біз </w:t>
      </w:r>
      <w:r>
        <w:rPr>
          <w:noProof/>
        </w:rPr>
        <w:drawing>
          <wp:inline distT="0" distB="0" distL="0" distR="0">
            <wp:extent cx="920496" cy="310897"/>
            <wp:effectExtent l="0" t="0" r="0" b="0"/>
            <wp:docPr id="1048598" name="Picture 1048598"/>
            <wp:cNvGraphicFramePr/>
            <a:graphic xmlns:a="http://schemas.openxmlformats.org/drawingml/2006/main">
              <a:graphicData uri="http://schemas.openxmlformats.org/drawingml/2006/picture">
                <pic:pic xmlns:pic="http://schemas.openxmlformats.org/drawingml/2006/picture">
                  <pic:nvPicPr>
                    <pic:cNvPr id="1048598" name="Picture 1048598"/>
                    <pic:cNvPicPr/>
                  </pic:nvPicPr>
                  <pic:blipFill>
                    <a:blip r:embed="rId87"/>
                    <a:stretch>
                      <a:fillRect/>
                    </a:stretch>
                  </pic:blipFill>
                  <pic:spPr>
                    <a:xfrm>
                      <a:off x="0" y="0"/>
                      <a:ext cx="920496" cy="310897"/>
                    </a:xfrm>
                    <a:prstGeom prst="rect">
                      <a:avLst/>
                    </a:prstGeom>
                  </pic:spPr>
                </pic:pic>
              </a:graphicData>
            </a:graphic>
          </wp:inline>
        </w:drawing>
      </w:r>
      <w:r>
        <w:rPr>
          <w:rFonts w:ascii="Times New Roman" w:eastAsia="Times New Roman" w:hAnsi="Times New Roman" w:cs="Times New Roman"/>
          <w:sz w:val="28"/>
        </w:rPr>
        <w:t xml:space="preserve"> табамыз; </w:t>
      </w:r>
    </w:p>
    <w:p w:rsidR="0052701D" w:rsidRDefault="00D40929">
      <w:pPr>
        <w:spacing w:after="5" w:line="271" w:lineRule="auto"/>
        <w:ind w:left="834" w:right="1" w:hanging="10"/>
      </w:pPr>
      <w:r>
        <w:rPr>
          <w:noProof/>
        </w:rPr>
        <w:drawing>
          <wp:inline distT="0" distB="0" distL="0" distR="0">
            <wp:extent cx="4053840" cy="320040"/>
            <wp:effectExtent l="0" t="0" r="0" b="0"/>
            <wp:docPr id="1048599" name="Picture 1048599"/>
            <wp:cNvGraphicFramePr/>
            <a:graphic xmlns:a="http://schemas.openxmlformats.org/drawingml/2006/main">
              <a:graphicData uri="http://schemas.openxmlformats.org/drawingml/2006/picture">
                <pic:pic xmlns:pic="http://schemas.openxmlformats.org/drawingml/2006/picture">
                  <pic:nvPicPr>
                    <pic:cNvPr id="1048599" name="Picture 1048599"/>
                    <pic:cNvPicPr/>
                  </pic:nvPicPr>
                  <pic:blipFill>
                    <a:blip r:embed="rId88"/>
                    <a:stretch>
                      <a:fillRect/>
                    </a:stretch>
                  </pic:blipFill>
                  <pic:spPr>
                    <a:xfrm>
                      <a:off x="0" y="0"/>
                      <a:ext cx="4053840" cy="320040"/>
                    </a:xfrm>
                    <a:prstGeom prst="rect">
                      <a:avLst/>
                    </a:prstGeom>
                  </pic:spPr>
                </pic:pic>
              </a:graphicData>
            </a:graphic>
          </wp:inline>
        </w:drawing>
      </w:r>
      <w:r>
        <w:rPr>
          <w:rFonts w:ascii="Times New Roman" w:eastAsia="Times New Roman" w:hAnsi="Times New Roman" w:cs="Times New Roman"/>
          <w:sz w:val="28"/>
        </w:rPr>
        <w:tab/>
        <w:t xml:space="preserve">(18) Формула (13) негізінде алғашқы төрт белгісіз </w:t>
      </w:r>
      <w:r>
        <w:rPr>
          <w:noProof/>
        </w:rPr>
        <w:drawing>
          <wp:inline distT="0" distB="0" distL="0" distR="0">
            <wp:extent cx="847344" cy="158496"/>
            <wp:effectExtent l="0" t="0" r="0" b="0"/>
            <wp:docPr id="1048600" name="Picture 1048600"/>
            <wp:cNvGraphicFramePr/>
            <a:graphic xmlns:a="http://schemas.openxmlformats.org/drawingml/2006/main">
              <a:graphicData uri="http://schemas.openxmlformats.org/drawingml/2006/picture">
                <pic:pic xmlns:pic="http://schemas.openxmlformats.org/drawingml/2006/picture">
                  <pic:nvPicPr>
                    <pic:cNvPr id="1048600" name="Picture 1048600"/>
                    <pic:cNvPicPr/>
                  </pic:nvPicPr>
                  <pic:blipFill>
                    <a:blip r:embed="rId89"/>
                    <a:stretch>
                      <a:fillRect/>
                    </a:stretch>
                  </pic:blipFill>
                  <pic:spPr>
                    <a:xfrm>
                      <a:off x="0" y="0"/>
                      <a:ext cx="847344" cy="158496"/>
                    </a:xfrm>
                    <a:prstGeom prst="rect">
                      <a:avLst/>
                    </a:prstGeom>
                  </pic:spPr>
                </pic:pic>
              </a:graphicData>
            </a:graphic>
          </wp:inline>
        </w:drawing>
      </w:r>
      <w:r>
        <w:rPr>
          <w:rFonts w:ascii="Times New Roman" w:eastAsia="Times New Roman" w:hAnsi="Times New Roman" w:cs="Times New Roman"/>
          <w:sz w:val="28"/>
        </w:rPr>
        <w:t xml:space="preserve"> – ны қоспағанда, жүйені (10) - </w:t>
      </w:r>
      <w:r>
        <w:rPr>
          <w:rFonts w:ascii="Times New Roman" w:eastAsia="Times New Roman" w:hAnsi="Times New Roman" w:cs="Times New Roman"/>
          <w:sz w:val="28"/>
        </w:rPr>
        <w:t xml:space="preserve">(12) алты теңдеулер жүйесіне азайтуға болады, оны ұсынуға ыңғайлы: </w:t>
      </w:r>
    </w:p>
    <w:p w:rsidR="0052701D" w:rsidRDefault="00D40929">
      <w:pPr>
        <w:spacing w:after="0"/>
        <w:ind w:left="711" w:right="2788"/>
      </w:pPr>
      <w:r>
        <w:rPr>
          <w:rFonts w:ascii="Times New Roman" w:eastAsia="Times New Roman" w:hAnsi="Times New Roman" w:cs="Times New Roman"/>
          <w:sz w:val="28"/>
        </w:rPr>
        <w:t xml:space="preserve"> </w:t>
      </w:r>
    </w:p>
    <w:p w:rsidR="0052701D" w:rsidRDefault="00D40929">
      <w:pPr>
        <w:tabs>
          <w:tab w:val="center" w:pos="2504"/>
          <w:tab w:val="center" w:pos="5625"/>
          <w:tab w:val="center" w:pos="9158"/>
        </w:tabs>
        <w:spacing w:after="3"/>
      </w:pPr>
      <w:r>
        <w:tab/>
      </w:r>
      <w:r>
        <w:rPr>
          <w:noProof/>
        </w:rPr>
        <w:drawing>
          <wp:inline distT="0" distB="0" distL="0" distR="0">
            <wp:extent cx="1539240" cy="1773936"/>
            <wp:effectExtent l="0" t="0" r="0" b="0"/>
            <wp:docPr id="1048601" name="Picture 1048601"/>
            <wp:cNvGraphicFramePr/>
            <a:graphic xmlns:a="http://schemas.openxmlformats.org/drawingml/2006/main">
              <a:graphicData uri="http://schemas.openxmlformats.org/drawingml/2006/picture">
                <pic:pic xmlns:pic="http://schemas.openxmlformats.org/drawingml/2006/picture">
                  <pic:nvPicPr>
                    <pic:cNvPr id="1048601" name="Picture 1048601"/>
                    <pic:cNvPicPr/>
                  </pic:nvPicPr>
                  <pic:blipFill>
                    <a:blip r:embed="rId90"/>
                    <a:stretch>
                      <a:fillRect/>
                    </a:stretch>
                  </pic:blipFill>
                  <pic:spPr>
                    <a:xfrm>
                      <a:off x="0" y="0"/>
                      <a:ext cx="1539240" cy="1773936"/>
                    </a:xfrm>
                    <a:prstGeom prst="rect">
                      <a:avLst/>
                    </a:prstGeom>
                  </pic:spPr>
                </pic:pic>
              </a:graphicData>
            </a:graphic>
          </wp:inline>
        </w:drawing>
      </w:r>
      <w:r>
        <w:rPr>
          <w:rFonts w:ascii="Cambria Math" w:eastAsia="Cambria Math" w:hAnsi="Cambria Math" w:cs="Cambria Math"/>
          <w:sz w:val="28"/>
        </w:rPr>
        <w:t>,</w:t>
      </w:r>
      <w:r>
        <w:rPr>
          <w:rFonts w:ascii="Cambria Math" w:eastAsia="Cambria Math" w:hAnsi="Cambria Math" w:cs="Cambria Math"/>
          <w:sz w:val="28"/>
        </w:rPr>
        <w:tab/>
      </w:r>
      <w:r>
        <w:rPr>
          <w:noProof/>
        </w:rPr>
        <w:drawing>
          <wp:inline distT="0" distB="0" distL="0" distR="0">
            <wp:extent cx="1536192" cy="1773936"/>
            <wp:effectExtent l="0" t="0" r="0" b="0"/>
            <wp:docPr id="1048602" name="Picture 1048602"/>
            <wp:cNvGraphicFramePr/>
            <a:graphic xmlns:a="http://schemas.openxmlformats.org/drawingml/2006/main">
              <a:graphicData uri="http://schemas.openxmlformats.org/drawingml/2006/picture">
                <pic:pic xmlns:pic="http://schemas.openxmlformats.org/drawingml/2006/picture">
                  <pic:nvPicPr>
                    <pic:cNvPr id="1048602" name="Picture 1048602"/>
                    <pic:cNvPicPr/>
                  </pic:nvPicPr>
                  <pic:blipFill>
                    <a:blip r:embed="rId91"/>
                    <a:stretch>
                      <a:fillRect/>
                    </a:stretch>
                  </pic:blipFill>
                  <pic:spPr>
                    <a:xfrm>
                      <a:off x="0" y="0"/>
                      <a:ext cx="1536192" cy="1773936"/>
                    </a:xfrm>
                    <a:prstGeom prst="rect">
                      <a:avLst/>
                    </a:prstGeom>
                  </pic:spPr>
                </pic:pic>
              </a:graphicData>
            </a:graphic>
          </wp:inline>
        </w:drawing>
      </w:r>
      <w:r>
        <w:rPr>
          <w:rFonts w:ascii="Times New Roman" w:eastAsia="Times New Roman" w:hAnsi="Times New Roman" w:cs="Times New Roman"/>
          <w:sz w:val="28"/>
        </w:rPr>
        <w:tab/>
        <w:t xml:space="preserve">(19) </w:t>
      </w:r>
    </w:p>
    <w:p w:rsidR="0052701D" w:rsidRDefault="00D40929">
      <w:pPr>
        <w:spacing w:after="32"/>
        <w:ind w:left="711"/>
      </w:pPr>
      <w:r>
        <w:rPr>
          <w:rFonts w:ascii="Times New Roman" w:eastAsia="Times New Roman" w:hAnsi="Times New Roman" w:cs="Times New Roman"/>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Жүйенің шешімі (19) көп уақытты талап етеді, сондықтан </w:t>
      </w:r>
      <w:r>
        <w:rPr>
          <w:rFonts w:ascii="Times New Roman" w:eastAsia="Times New Roman" w:hAnsi="Times New Roman" w:cs="Times New Roman"/>
          <w:i/>
          <w:sz w:val="28"/>
        </w:rPr>
        <w:t>S</w:t>
      </w:r>
      <w:r>
        <w:rPr>
          <w:rFonts w:ascii="Times New Roman" w:eastAsia="Times New Roman" w:hAnsi="Times New Roman" w:cs="Times New Roman"/>
          <w:sz w:val="28"/>
        </w:rPr>
        <w:t xml:space="preserve"> функциясының минималды іздеу алгоритмін қолдану әлдеқайда тиімді: </w:t>
      </w:r>
    </w:p>
    <w:p w:rsidR="0052701D" w:rsidRDefault="00D40929">
      <w:pPr>
        <w:numPr>
          <w:ilvl w:val="0"/>
          <w:numId w:val="3"/>
        </w:numPr>
        <w:spacing w:after="5" w:line="271" w:lineRule="auto"/>
        <w:ind w:right="64" w:firstLine="711"/>
        <w:jc w:val="both"/>
      </w:pPr>
      <w:r>
        <w:rPr>
          <w:noProof/>
        </w:rPr>
        <w:drawing>
          <wp:inline distT="0" distB="0" distL="0" distR="0">
            <wp:extent cx="737616" cy="198120"/>
            <wp:effectExtent l="0" t="0" r="0" b="0"/>
            <wp:docPr id="1048603" name="Picture 1048603"/>
            <wp:cNvGraphicFramePr/>
            <a:graphic xmlns:a="http://schemas.openxmlformats.org/drawingml/2006/main">
              <a:graphicData uri="http://schemas.openxmlformats.org/drawingml/2006/picture">
                <pic:pic xmlns:pic="http://schemas.openxmlformats.org/drawingml/2006/picture">
                  <pic:nvPicPr>
                    <pic:cNvPr id="1048603" name="Picture 1048603"/>
                    <pic:cNvPicPr/>
                  </pic:nvPicPr>
                  <pic:blipFill>
                    <a:blip r:embed="rId92"/>
                    <a:stretch>
                      <a:fillRect/>
                    </a:stretch>
                  </pic:blipFill>
                  <pic:spPr>
                    <a:xfrm>
                      <a:off x="0" y="0"/>
                      <a:ext cx="737616" cy="198120"/>
                    </a:xfrm>
                    <a:prstGeom prst="rect">
                      <a:avLst/>
                    </a:prstGeom>
                  </pic:spPr>
                </pic:pic>
              </a:graphicData>
            </a:graphic>
          </wp:inline>
        </w:drawing>
      </w:r>
      <w:r>
        <w:rPr>
          <w:rFonts w:ascii="Times New Roman" w:eastAsia="Times New Roman" w:hAnsi="Times New Roman" w:cs="Times New Roman"/>
          <w:sz w:val="28"/>
        </w:rPr>
        <w:t xml:space="preserve"> </w:t>
      </w:r>
      <w:r>
        <w:rPr>
          <w:noProof/>
        </w:rPr>
        <w:drawing>
          <wp:inline distT="0" distB="0" distL="0" distR="0">
            <wp:extent cx="679704" cy="198120"/>
            <wp:effectExtent l="0" t="0" r="0" b="0"/>
            <wp:docPr id="1048604" name="Picture 1048604"/>
            <wp:cNvGraphicFramePr/>
            <a:graphic xmlns:a="http://schemas.openxmlformats.org/drawingml/2006/main">
              <a:graphicData uri="http://schemas.openxmlformats.org/drawingml/2006/picture">
                <pic:pic xmlns:pic="http://schemas.openxmlformats.org/drawingml/2006/picture">
                  <pic:nvPicPr>
                    <pic:cNvPr id="1048604" name="Picture 1048604"/>
                    <pic:cNvPicPr/>
                  </pic:nvPicPr>
                  <pic:blipFill>
                    <a:blip r:embed="rId93"/>
                    <a:stretch>
                      <a:fillRect/>
                    </a:stretch>
                  </pic:blipFill>
                  <pic:spPr>
                    <a:xfrm>
                      <a:off x="0" y="0"/>
                      <a:ext cx="679704" cy="198120"/>
                    </a:xfrm>
                    <a:prstGeom prst="rect">
                      <a:avLst/>
                    </a:prstGeom>
                  </pic:spPr>
                </pic:pic>
              </a:graphicData>
            </a:graphic>
          </wp:inline>
        </w:drawing>
      </w:r>
      <w:r>
        <w:rPr>
          <w:rFonts w:ascii="Times New Roman" w:eastAsia="Times New Roman" w:hAnsi="Times New Roman" w:cs="Times New Roman"/>
          <w:sz w:val="28"/>
        </w:rPr>
        <w:t xml:space="preserve"> бастапқы нүктелерін кездейсоқ орнатамыз. </w:t>
      </w:r>
    </w:p>
    <w:p w:rsidR="0052701D" w:rsidRDefault="00D40929">
      <w:pPr>
        <w:numPr>
          <w:ilvl w:val="0"/>
          <w:numId w:val="3"/>
        </w:numPr>
        <w:spacing w:after="5" w:line="271" w:lineRule="auto"/>
        <w:ind w:right="64" w:firstLine="711"/>
        <w:jc w:val="both"/>
      </w:pPr>
      <w:r>
        <w:rPr>
          <w:rFonts w:ascii="Times New Roman" w:eastAsia="Times New Roman" w:hAnsi="Times New Roman" w:cs="Times New Roman"/>
          <w:sz w:val="28"/>
        </w:rPr>
        <w:t xml:space="preserve">(13) Сызықтық теңдеулер жүйесін шешеміз және </w:t>
      </w:r>
      <w:r>
        <w:rPr>
          <w:noProof/>
        </w:rPr>
        <w:drawing>
          <wp:inline distT="0" distB="0" distL="0" distR="0">
            <wp:extent cx="1402080" cy="243840"/>
            <wp:effectExtent l="0" t="0" r="0" b="0"/>
            <wp:docPr id="1048605" name="Picture 1048605"/>
            <wp:cNvGraphicFramePr/>
            <a:graphic xmlns:a="http://schemas.openxmlformats.org/drawingml/2006/main">
              <a:graphicData uri="http://schemas.openxmlformats.org/drawingml/2006/picture">
                <pic:pic xmlns:pic="http://schemas.openxmlformats.org/drawingml/2006/picture">
                  <pic:nvPicPr>
                    <pic:cNvPr id="1048605" name="Picture 1048605"/>
                    <pic:cNvPicPr/>
                  </pic:nvPicPr>
                  <pic:blipFill>
                    <a:blip r:embed="rId94"/>
                    <a:stretch>
                      <a:fillRect/>
                    </a:stretch>
                  </pic:blipFill>
                  <pic:spPr>
                    <a:xfrm>
                      <a:off x="0" y="0"/>
                      <a:ext cx="1402080" cy="243840"/>
                    </a:xfrm>
                    <a:prstGeom prst="rect">
                      <a:avLst/>
                    </a:prstGeom>
                  </pic:spPr>
                </pic:pic>
              </a:graphicData>
            </a:graphic>
          </wp:inline>
        </w:drawing>
      </w:r>
      <w:r>
        <w:rPr>
          <w:rFonts w:ascii="Times New Roman" w:eastAsia="Times New Roman" w:hAnsi="Times New Roman" w:cs="Times New Roman"/>
          <w:sz w:val="28"/>
        </w:rPr>
        <w:t xml:space="preserve"> анықтаймыз. </w:t>
      </w:r>
    </w:p>
    <w:p w:rsidR="0052701D" w:rsidRDefault="00D40929">
      <w:pPr>
        <w:numPr>
          <w:ilvl w:val="0"/>
          <w:numId w:val="3"/>
        </w:numPr>
        <w:spacing w:after="5" w:line="271" w:lineRule="auto"/>
        <w:ind w:right="64" w:firstLine="711"/>
        <w:jc w:val="both"/>
      </w:pPr>
      <w:r>
        <w:rPr>
          <w:noProof/>
        </w:rPr>
        <w:drawing>
          <wp:inline distT="0" distB="0" distL="0" distR="0">
            <wp:extent cx="621792" cy="195072"/>
            <wp:effectExtent l="0" t="0" r="0" b="0"/>
            <wp:docPr id="1048606" name="Picture 1048606"/>
            <wp:cNvGraphicFramePr/>
            <a:graphic xmlns:a="http://schemas.openxmlformats.org/drawingml/2006/main">
              <a:graphicData uri="http://schemas.openxmlformats.org/drawingml/2006/picture">
                <pic:pic xmlns:pic="http://schemas.openxmlformats.org/drawingml/2006/picture">
                  <pic:nvPicPr>
                    <pic:cNvPr id="1048606" name="Picture 1048606"/>
                    <pic:cNvPicPr/>
                  </pic:nvPicPr>
                  <pic:blipFill>
                    <a:blip r:embed="rId95"/>
                    <a:stretch>
                      <a:fillRect/>
                    </a:stretch>
                  </pic:blipFill>
                  <pic:spPr>
                    <a:xfrm>
                      <a:off x="0" y="0"/>
                      <a:ext cx="621792" cy="195072"/>
                    </a:xfrm>
                    <a:prstGeom prst="rect">
                      <a:avLst/>
                    </a:prstGeom>
                  </pic:spPr>
                </pic:pic>
              </a:graphicData>
            </a:graphic>
          </wp:inline>
        </w:drawing>
      </w:r>
      <w:r>
        <w:rPr>
          <w:rFonts w:ascii="Times New Roman" w:eastAsia="Times New Roman" w:hAnsi="Times New Roman" w:cs="Times New Roman"/>
          <w:sz w:val="28"/>
        </w:rPr>
        <w:t xml:space="preserve">, </w:t>
      </w:r>
      <w:r>
        <w:rPr>
          <w:noProof/>
        </w:rPr>
        <w:drawing>
          <wp:inline distT="0" distB="0" distL="0" distR="0">
            <wp:extent cx="682752" cy="198120"/>
            <wp:effectExtent l="0" t="0" r="0" b="0"/>
            <wp:docPr id="1048607" name="Picture 1048607"/>
            <wp:cNvGraphicFramePr/>
            <a:graphic xmlns:a="http://schemas.openxmlformats.org/drawingml/2006/main">
              <a:graphicData uri="http://schemas.openxmlformats.org/drawingml/2006/picture">
                <pic:pic xmlns:pic="http://schemas.openxmlformats.org/drawingml/2006/picture">
                  <pic:nvPicPr>
                    <pic:cNvPr id="1048607" name="Picture 1048607"/>
                    <pic:cNvPicPr/>
                  </pic:nvPicPr>
                  <pic:blipFill>
                    <a:blip r:embed="rId96"/>
                    <a:stretch>
                      <a:fillRect/>
                    </a:stretch>
                  </pic:blipFill>
                  <pic:spPr>
                    <a:xfrm>
                      <a:off x="0" y="0"/>
                      <a:ext cx="682752" cy="198120"/>
                    </a:xfrm>
                    <a:prstGeom prst="rect">
                      <a:avLst/>
                    </a:prstGeom>
                  </pic:spPr>
                </pic:pic>
              </a:graphicData>
            </a:graphic>
          </wp:inline>
        </w:drawing>
      </w:r>
      <w:r>
        <w:rPr>
          <w:rFonts w:ascii="Times New Roman" w:eastAsia="Times New Roman" w:hAnsi="Times New Roman" w:cs="Times New Roman"/>
          <w:sz w:val="28"/>
        </w:rPr>
        <w:t xml:space="preserve"> нүктелерін орнатамыз  </w:t>
      </w:r>
    </w:p>
    <w:p w:rsidR="0052701D" w:rsidRDefault="00D40929">
      <w:pPr>
        <w:numPr>
          <w:ilvl w:val="0"/>
          <w:numId w:val="3"/>
        </w:numPr>
        <w:spacing w:after="5" w:line="271" w:lineRule="auto"/>
        <w:ind w:right="64" w:firstLine="711"/>
        <w:jc w:val="both"/>
      </w:pPr>
      <w:r>
        <w:rPr>
          <w:rFonts w:ascii="Times New Roman" w:eastAsia="Times New Roman" w:hAnsi="Times New Roman" w:cs="Times New Roman"/>
          <w:sz w:val="28"/>
        </w:rPr>
        <w:t xml:space="preserve">(15) Теңдеулер жүйесін шешеміз және </w:t>
      </w:r>
      <w:r>
        <w:rPr>
          <w:noProof/>
        </w:rPr>
        <w:drawing>
          <wp:inline distT="0" distB="0" distL="0" distR="0">
            <wp:extent cx="1353312" cy="243840"/>
            <wp:effectExtent l="0" t="0" r="0" b="0"/>
            <wp:docPr id="1048608" name="Picture 1048608"/>
            <wp:cNvGraphicFramePr/>
            <a:graphic xmlns:a="http://schemas.openxmlformats.org/drawingml/2006/main">
              <a:graphicData uri="http://schemas.openxmlformats.org/drawingml/2006/picture">
                <pic:pic xmlns:pic="http://schemas.openxmlformats.org/drawingml/2006/picture">
                  <pic:nvPicPr>
                    <pic:cNvPr id="1048608" name="Picture 1048608"/>
                    <pic:cNvPicPr/>
                  </pic:nvPicPr>
                  <pic:blipFill>
                    <a:blip r:embed="rId97"/>
                    <a:stretch>
                      <a:fillRect/>
                    </a:stretch>
                  </pic:blipFill>
                  <pic:spPr>
                    <a:xfrm>
                      <a:off x="0" y="0"/>
                      <a:ext cx="1353312" cy="243840"/>
                    </a:xfrm>
                    <a:prstGeom prst="rect">
                      <a:avLst/>
                    </a:prstGeom>
                  </pic:spPr>
                </pic:pic>
              </a:graphicData>
            </a:graphic>
          </wp:inline>
        </w:drawing>
      </w:r>
      <w:r>
        <w:rPr>
          <w:rFonts w:ascii="Times New Roman" w:eastAsia="Times New Roman" w:hAnsi="Times New Roman" w:cs="Times New Roman"/>
          <w:sz w:val="28"/>
        </w:rPr>
        <w:t xml:space="preserve"> анықтаймыз. </w:t>
      </w:r>
    </w:p>
    <w:p w:rsidR="0052701D" w:rsidRDefault="00D40929">
      <w:pPr>
        <w:numPr>
          <w:ilvl w:val="0"/>
          <w:numId w:val="3"/>
        </w:numPr>
        <w:spacing w:after="5" w:line="271" w:lineRule="auto"/>
        <w:ind w:right="64" w:firstLine="711"/>
        <w:jc w:val="both"/>
      </w:pPr>
      <w:r>
        <w:rPr>
          <w:noProof/>
        </w:rPr>
        <w:drawing>
          <wp:inline distT="0" distB="0" distL="0" distR="0">
            <wp:extent cx="621792" cy="198120"/>
            <wp:effectExtent l="0" t="0" r="0" b="0"/>
            <wp:docPr id="1048609" name="Picture 1048609"/>
            <wp:cNvGraphicFramePr/>
            <a:graphic xmlns:a="http://schemas.openxmlformats.org/drawingml/2006/main">
              <a:graphicData uri="http://schemas.openxmlformats.org/drawingml/2006/picture">
                <pic:pic xmlns:pic="http://schemas.openxmlformats.org/drawingml/2006/picture">
                  <pic:nvPicPr>
                    <pic:cNvPr id="1048609" name="Picture 1048609"/>
                    <pic:cNvPicPr/>
                  </pic:nvPicPr>
                  <pic:blipFill>
                    <a:blip r:embed="rId98"/>
                    <a:stretch>
                      <a:fillRect/>
                    </a:stretch>
                  </pic:blipFill>
                  <pic:spPr>
                    <a:xfrm>
                      <a:off x="0" y="0"/>
                      <a:ext cx="621792" cy="198120"/>
                    </a:xfrm>
                    <a:prstGeom prst="rect">
                      <a:avLst/>
                    </a:prstGeom>
                  </pic:spPr>
                </pic:pic>
              </a:graphicData>
            </a:graphic>
          </wp:inline>
        </w:drawing>
      </w:r>
      <w:r>
        <w:rPr>
          <w:rFonts w:ascii="Times New Roman" w:eastAsia="Times New Roman" w:hAnsi="Times New Roman" w:cs="Times New Roman"/>
          <w:sz w:val="28"/>
        </w:rPr>
        <w:t xml:space="preserve">, </w:t>
      </w:r>
      <w:r>
        <w:rPr>
          <w:noProof/>
        </w:rPr>
        <w:drawing>
          <wp:inline distT="0" distB="0" distL="0" distR="0">
            <wp:extent cx="624840" cy="198120"/>
            <wp:effectExtent l="0" t="0" r="0" b="0"/>
            <wp:docPr id="1048610" name="Picture 1048610"/>
            <wp:cNvGraphicFramePr/>
            <a:graphic xmlns:a="http://schemas.openxmlformats.org/drawingml/2006/main">
              <a:graphicData uri="http://schemas.openxmlformats.org/drawingml/2006/picture">
                <pic:pic xmlns:pic="http://schemas.openxmlformats.org/drawingml/2006/picture">
                  <pic:nvPicPr>
                    <pic:cNvPr id="1048610" name="Picture 1048610"/>
                    <pic:cNvPicPr/>
                  </pic:nvPicPr>
                  <pic:blipFill>
                    <a:blip r:embed="rId99"/>
                    <a:stretch>
                      <a:fillRect/>
                    </a:stretch>
                  </pic:blipFill>
                  <pic:spPr>
                    <a:xfrm>
                      <a:off x="0" y="0"/>
                      <a:ext cx="624840" cy="198120"/>
                    </a:xfrm>
                    <a:prstGeom prst="rect">
                      <a:avLst/>
                    </a:prstGeom>
                  </pic:spPr>
                </pic:pic>
              </a:graphicData>
            </a:graphic>
          </wp:inline>
        </w:drawing>
      </w:r>
      <w:r>
        <w:rPr>
          <w:rFonts w:ascii="Times New Roman" w:eastAsia="Times New Roman" w:hAnsi="Times New Roman" w:cs="Times New Roman"/>
          <w:sz w:val="28"/>
        </w:rPr>
        <w:t xml:space="preserve"> нүктелерін орнатамыз  </w:t>
      </w:r>
    </w:p>
    <w:p w:rsidR="0052701D" w:rsidRDefault="00D40929">
      <w:pPr>
        <w:numPr>
          <w:ilvl w:val="0"/>
          <w:numId w:val="3"/>
        </w:numPr>
        <w:spacing w:after="5" w:line="271" w:lineRule="auto"/>
        <w:ind w:right="64" w:firstLine="711"/>
        <w:jc w:val="both"/>
      </w:pPr>
      <w:r>
        <w:rPr>
          <w:rFonts w:ascii="Times New Roman" w:eastAsia="Times New Roman" w:hAnsi="Times New Roman" w:cs="Times New Roman"/>
          <w:sz w:val="28"/>
        </w:rPr>
        <w:t xml:space="preserve">(17) Теңдеулер жүйесін шешеміз және </w:t>
      </w:r>
      <w:r>
        <w:rPr>
          <w:noProof/>
        </w:rPr>
        <w:drawing>
          <wp:inline distT="0" distB="0" distL="0" distR="0">
            <wp:extent cx="1353312" cy="246888"/>
            <wp:effectExtent l="0" t="0" r="0" b="0"/>
            <wp:docPr id="1048611" name="Picture 1048611"/>
            <wp:cNvGraphicFramePr/>
            <a:graphic xmlns:a="http://schemas.openxmlformats.org/drawingml/2006/main">
              <a:graphicData uri="http://schemas.openxmlformats.org/drawingml/2006/picture">
                <pic:pic xmlns:pic="http://schemas.openxmlformats.org/drawingml/2006/picture">
                  <pic:nvPicPr>
                    <pic:cNvPr id="1048611" name="Picture 1048611"/>
                    <pic:cNvPicPr/>
                  </pic:nvPicPr>
                  <pic:blipFill>
                    <a:blip r:embed="rId100"/>
                    <a:stretch>
                      <a:fillRect/>
                    </a:stretch>
                  </pic:blipFill>
                  <pic:spPr>
                    <a:xfrm>
                      <a:off x="0" y="0"/>
                      <a:ext cx="1353312" cy="246888"/>
                    </a:xfrm>
                    <a:prstGeom prst="rect">
                      <a:avLst/>
                    </a:prstGeom>
                  </pic:spPr>
                </pic:pic>
              </a:graphicData>
            </a:graphic>
          </wp:inline>
        </w:drawing>
      </w:r>
      <w:r>
        <w:rPr>
          <w:rFonts w:ascii="Times New Roman" w:eastAsia="Times New Roman" w:hAnsi="Times New Roman" w:cs="Times New Roman"/>
          <w:sz w:val="28"/>
        </w:rPr>
        <w:t xml:space="preserve"> анықтаймыз. </w:t>
      </w:r>
    </w:p>
    <w:p w:rsidR="0052701D" w:rsidRDefault="00D40929">
      <w:pPr>
        <w:numPr>
          <w:ilvl w:val="0"/>
          <w:numId w:val="3"/>
        </w:numPr>
        <w:spacing w:after="5" w:line="216" w:lineRule="auto"/>
        <w:ind w:right="64" w:firstLine="711"/>
        <w:jc w:val="both"/>
      </w:pPr>
      <w:r>
        <w:rPr>
          <w:rFonts w:ascii="Times New Roman" w:eastAsia="Times New Roman" w:hAnsi="Times New Roman" w:cs="Times New Roman"/>
          <w:sz w:val="28"/>
        </w:rPr>
        <w:t>Содан кейін (1 - 6) қадамдарды циклдік</w:t>
      </w:r>
      <w:r>
        <w:rPr>
          <w:rFonts w:ascii="Times New Roman" w:eastAsia="Times New Roman" w:hAnsi="Times New Roman" w:cs="Times New Roman"/>
          <w:sz w:val="28"/>
        </w:rPr>
        <w:t xml:space="preserve"> түрде қайталаймыз, бастапқы нүктелерді </w:t>
      </w:r>
      <w:r>
        <w:rPr>
          <w:noProof/>
        </w:rPr>
        <w:drawing>
          <wp:inline distT="0" distB="0" distL="0" distR="0">
            <wp:extent cx="286512" cy="164592"/>
            <wp:effectExtent l="0" t="0" r="0" b="0"/>
            <wp:docPr id="1048612" name="Picture 1048612"/>
            <wp:cNvGraphicFramePr/>
            <a:graphic xmlns:a="http://schemas.openxmlformats.org/drawingml/2006/main">
              <a:graphicData uri="http://schemas.openxmlformats.org/drawingml/2006/picture">
                <pic:pic xmlns:pic="http://schemas.openxmlformats.org/drawingml/2006/picture">
                  <pic:nvPicPr>
                    <pic:cNvPr id="1048612" name="Picture 1048612"/>
                    <pic:cNvPicPr/>
                  </pic:nvPicPr>
                  <pic:blipFill>
                    <a:blip r:embed="rId101"/>
                    <a:stretch>
                      <a:fillRect/>
                    </a:stretch>
                  </pic:blipFill>
                  <pic:spPr>
                    <a:xfrm>
                      <a:off x="0" y="0"/>
                      <a:ext cx="286512" cy="164592"/>
                    </a:xfrm>
                    <a:prstGeom prst="rect">
                      <a:avLst/>
                    </a:prstGeom>
                  </pic:spPr>
                </pic:pic>
              </a:graphicData>
            </a:graphic>
          </wp:inline>
        </w:drawing>
      </w:r>
      <w:r>
        <w:rPr>
          <w:rFonts w:ascii="Times New Roman" w:eastAsia="Times New Roman" w:hAnsi="Times New Roman" w:cs="Times New Roman"/>
          <w:sz w:val="28"/>
        </w:rPr>
        <w:t xml:space="preserve"> және </w:t>
      </w:r>
      <w:r>
        <w:rPr>
          <w:noProof/>
        </w:rPr>
        <w:drawing>
          <wp:inline distT="0" distB="0" distL="0" distR="0">
            <wp:extent cx="280416" cy="164592"/>
            <wp:effectExtent l="0" t="0" r="0" b="0"/>
            <wp:docPr id="1048615" name="Picture 1048615"/>
            <wp:cNvGraphicFramePr/>
            <a:graphic xmlns:a="http://schemas.openxmlformats.org/drawingml/2006/main">
              <a:graphicData uri="http://schemas.openxmlformats.org/drawingml/2006/picture">
                <pic:pic xmlns:pic="http://schemas.openxmlformats.org/drawingml/2006/picture">
                  <pic:nvPicPr>
                    <pic:cNvPr id="1048615" name="Picture 1048615"/>
                    <pic:cNvPicPr/>
                  </pic:nvPicPr>
                  <pic:blipFill>
                    <a:blip r:embed="rId102"/>
                    <a:stretch>
                      <a:fillRect/>
                    </a:stretch>
                  </pic:blipFill>
                  <pic:spPr>
                    <a:xfrm>
                      <a:off x="0" y="0"/>
                      <a:ext cx="280416" cy="164592"/>
                    </a:xfrm>
                    <a:prstGeom prst="rect">
                      <a:avLst/>
                    </a:prstGeom>
                  </pic:spPr>
                </pic:pic>
              </a:graphicData>
            </a:graphic>
          </wp:inline>
        </w:drawing>
      </w:r>
      <w:r>
        <w:rPr>
          <w:rFonts w:ascii="Times New Roman" w:eastAsia="Times New Roman" w:hAnsi="Times New Roman" w:cs="Times New Roman"/>
          <w:sz w:val="28"/>
        </w:rPr>
        <w:t xml:space="preserve"> және табылған </w:t>
      </w:r>
      <w:r>
        <w:rPr>
          <w:noProof/>
        </w:rPr>
        <w:drawing>
          <wp:inline distT="0" distB="0" distL="0" distR="0">
            <wp:extent cx="289560" cy="164592"/>
            <wp:effectExtent l="0" t="0" r="0" b="0"/>
            <wp:docPr id="1048613" name="Picture 1048613"/>
            <wp:cNvGraphicFramePr/>
            <a:graphic xmlns:a="http://schemas.openxmlformats.org/drawingml/2006/main">
              <a:graphicData uri="http://schemas.openxmlformats.org/drawingml/2006/picture">
                <pic:pic xmlns:pic="http://schemas.openxmlformats.org/drawingml/2006/picture">
                  <pic:nvPicPr>
                    <pic:cNvPr id="1048613" name="Picture 1048613"/>
                    <pic:cNvPicPr/>
                  </pic:nvPicPr>
                  <pic:blipFill>
                    <a:blip r:embed="rId103"/>
                    <a:stretch>
                      <a:fillRect/>
                    </a:stretch>
                  </pic:blipFill>
                  <pic:spPr>
                    <a:xfrm>
                      <a:off x="0" y="0"/>
                      <a:ext cx="289560" cy="164592"/>
                    </a:xfrm>
                    <a:prstGeom prst="rect">
                      <a:avLst/>
                    </a:prstGeom>
                  </pic:spPr>
                </pic:pic>
              </a:graphicData>
            </a:graphic>
          </wp:inline>
        </w:drawing>
      </w:r>
      <w:r>
        <w:rPr>
          <w:rFonts w:ascii="Times New Roman" w:eastAsia="Times New Roman" w:hAnsi="Times New Roman" w:cs="Times New Roman"/>
          <w:sz w:val="28"/>
        </w:rPr>
        <w:t xml:space="preserve"> және </w:t>
      </w:r>
      <w:r>
        <w:rPr>
          <w:noProof/>
        </w:rPr>
        <w:drawing>
          <wp:inline distT="0" distB="0" distL="0" distR="0">
            <wp:extent cx="280416" cy="164592"/>
            <wp:effectExtent l="0" t="0" r="0" b="0"/>
            <wp:docPr id="1048614" name="Picture 1048614"/>
            <wp:cNvGraphicFramePr/>
            <a:graphic xmlns:a="http://schemas.openxmlformats.org/drawingml/2006/main">
              <a:graphicData uri="http://schemas.openxmlformats.org/drawingml/2006/picture">
                <pic:pic xmlns:pic="http://schemas.openxmlformats.org/drawingml/2006/picture">
                  <pic:nvPicPr>
                    <pic:cNvPr id="1048614" name="Picture 1048614"/>
                    <pic:cNvPicPr/>
                  </pic:nvPicPr>
                  <pic:blipFill>
                    <a:blip r:embed="rId104"/>
                    <a:stretch>
                      <a:fillRect/>
                    </a:stretch>
                  </pic:blipFill>
                  <pic:spPr>
                    <a:xfrm>
                      <a:off x="0" y="0"/>
                      <a:ext cx="280416" cy="164592"/>
                    </a:xfrm>
                    <a:prstGeom prst="rect">
                      <a:avLst/>
                    </a:prstGeom>
                  </pic:spPr>
                </pic:pic>
              </a:graphicData>
            </a:graphic>
          </wp:inline>
        </w:drawing>
      </w:r>
      <w:r>
        <w:rPr>
          <w:rFonts w:ascii="Times New Roman" w:eastAsia="Times New Roman" w:hAnsi="Times New Roman" w:cs="Times New Roman"/>
          <w:sz w:val="28"/>
        </w:rPr>
        <w:t xml:space="preserve"> ауыстырамыз. </w:t>
      </w:r>
    </w:p>
    <w:p w:rsidR="0052701D" w:rsidRDefault="00D40929">
      <w:pPr>
        <w:spacing w:after="5" w:line="271" w:lineRule="auto"/>
        <w:ind w:left="711" w:right="64"/>
        <w:jc w:val="both"/>
      </w:pPr>
      <w:r>
        <w:rPr>
          <w:rFonts w:ascii="Times New Roman" w:eastAsia="Times New Roman" w:hAnsi="Times New Roman" w:cs="Times New Roman"/>
          <w:sz w:val="28"/>
        </w:rPr>
        <w:t xml:space="preserve">Алгоритмді қолдана отырып, біз </w:t>
      </w:r>
      <w:r>
        <w:rPr>
          <w:noProof/>
        </w:rPr>
        <w:drawing>
          <wp:inline distT="0" distB="0" distL="0" distR="0">
            <wp:extent cx="2322576" cy="240792"/>
            <wp:effectExtent l="0" t="0" r="0" b="0"/>
            <wp:docPr id="1048616" name="Picture 1048616"/>
            <wp:cNvGraphicFramePr/>
            <a:graphic xmlns:a="http://schemas.openxmlformats.org/drawingml/2006/main">
              <a:graphicData uri="http://schemas.openxmlformats.org/drawingml/2006/picture">
                <pic:pic xmlns:pic="http://schemas.openxmlformats.org/drawingml/2006/picture">
                  <pic:nvPicPr>
                    <pic:cNvPr id="1048616" name="Picture 1048616"/>
                    <pic:cNvPicPr/>
                  </pic:nvPicPr>
                  <pic:blipFill>
                    <a:blip r:embed="rId105"/>
                    <a:stretch>
                      <a:fillRect/>
                    </a:stretch>
                  </pic:blipFill>
                  <pic:spPr>
                    <a:xfrm>
                      <a:off x="0" y="0"/>
                      <a:ext cx="2322576" cy="240792"/>
                    </a:xfrm>
                    <a:prstGeom prst="rect">
                      <a:avLst/>
                    </a:prstGeom>
                  </pic:spPr>
                </pic:pic>
              </a:graphicData>
            </a:graphic>
          </wp:inline>
        </w:drawing>
      </w:r>
      <w:r>
        <w:rPr>
          <w:rFonts w:ascii="Times New Roman" w:eastAsia="Times New Roman" w:hAnsi="Times New Roman" w:cs="Times New Roman"/>
          <w:sz w:val="28"/>
        </w:rPr>
        <w:t xml:space="preserve"> шегі бар </w:t>
      </w:r>
    </w:p>
    <w:p w:rsidR="0052701D" w:rsidRDefault="00D40929">
      <w:pPr>
        <w:spacing w:after="5" w:line="271" w:lineRule="auto"/>
        <w:ind w:left="9" w:right="143"/>
        <w:jc w:val="both"/>
      </w:pPr>
      <w:r>
        <w:rPr>
          <w:rFonts w:ascii="Times New Roman" w:eastAsia="Times New Roman" w:hAnsi="Times New Roman" w:cs="Times New Roman"/>
          <w:sz w:val="28"/>
        </w:rPr>
        <w:lastRenderedPageBreak/>
        <w:t xml:space="preserve">объективті функцияның мәндерінің төмендейтін мәндерін аламыз. Мәселені шешу нәтижесінде </w:t>
      </w:r>
      <w:r>
        <w:rPr>
          <w:noProof/>
        </w:rPr>
        <w:drawing>
          <wp:inline distT="0" distB="0" distL="0" distR="0">
            <wp:extent cx="1039368" cy="170688"/>
            <wp:effectExtent l="0" t="0" r="0" b="0"/>
            <wp:docPr id="1048617" name="Picture 1048617"/>
            <wp:cNvGraphicFramePr/>
            <a:graphic xmlns:a="http://schemas.openxmlformats.org/drawingml/2006/main">
              <a:graphicData uri="http://schemas.openxmlformats.org/drawingml/2006/picture">
                <pic:pic xmlns:pic="http://schemas.openxmlformats.org/drawingml/2006/picture">
                  <pic:nvPicPr>
                    <pic:cNvPr id="1048617" name="Picture 1048617"/>
                    <pic:cNvPicPr/>
                  </pic:nvPicPr>
                  <pic:blipFill>
                    <a:blip r:embed="rId106"/>
                    <a:stretch>
                      <a:fillRect/>
                    </a:stretch>
                  </pic:blipFill>
                  <pic:spPr>
                    <a:xfrm>
                      <a:off x="0" y="0"/>
                      <a:ext cx="1039368" cy="170688"/>
                    </a:xfrm>
                    <a:prstGeom prst="rect">
                      <a:avLst/>
                    </a:prstGeom>
                  </pic:spPr>
                </pic:pic>
              </a:graphicData>
            </a:graphic>
          </wp:inline>
        </w:drawing>
      </w:r>
      <w:r>
        <w:rPr>
          <w:rFonts w:ascii="Times New Roman" w:eastAsia="Times New Roman" w:hAnsi="Times New Roman" w:cs="Times New Roman"/>
          <w:sz w:val="28"/>
        </w:rPr>
        <w:t xml:space="preserve"> нүктелері анықталмаған координаттар ж</w:t>
      </w:r>
      <w:r>
        <w:rPr>
          <w:rFonts w:ascii="Times New Roman" w:eastAsia="Times New Roman" w:hAnsi="Times New Roman" w:cs="Times New Roman"/>
          <w:sz w:val="28"/>
        </w:rPr>
        <w:t xml:space="preserve">үйесінде, </w:t>
      </w:r>
      <w:r>
        <w:rPr>
          <w:noProof/>
        </w:rPr>
        <w:drawing>
          <wp:inline distT="0" distB="0" distL="0" distR="0">
            <wp:extent cx="1542288" cy="204216"/>
            <wp:effectExtent l="0" t="0" r="0" b="0"/>
            <wp:docPr id="1048618" name="Picture 1048618"/>
            <wp:cNvGraphicFramePr/>
            <a:graphic xmlns:a="http://schemas.openxmlformats.org/drawingml/2006/main">
              <a:graphicData uri="http://schemas.openxmlformats.org/drawingml/2006/picture">
                <pic:pic xmlns:pic="http://schemas.openxmlformats.org/drawingml/2006/picture">
                  <pic:nvPicPr>
                    <pic:cNvPr id="1048618" name="Picture 1048618"/>
                    <pic:cNvPicPr/>
                  </pic:nvPicPr>
                  <pic:blipFill>
                    <a:blip r:embed="rId107"/>
                    <a:stretch>
                      <a:fillRect/>
                    </a:stretch>
                  </pic:blipFill>
                  <pic:spPr>
                    <a:xfrm>
                      <a:off x="0" y="0"/>
                      <a:ext cx="1542288" cy="204216"/>
                    </a:xfrm>
                    <a:prstGeom prst="rect">
                      <a:avLst/>
                    </a:prstGeom>
                  </pic:spPr>
                </pic:pic>
              </a:graphicData>
            </a:graphic>
          </wp:inline>
        </w:drawing>
      </w:r>
      <w:r>
        <w:rPr>
          <w:rFonts w:ascii="Times New Roman" w:eastAsia="Times New Roman" w:hAnsi="Times New Roman" w:cs="Times New Roman"/>
          <w:sz w:val="28"/>
        </w:rPr>
        <w:t xml:space="preserve">олармен </w:t>
      </w:r>
      <w:r>
        <w:rPr>
          <w:rFonts w:ascii="Times New Roman" w:eastAsia="Times New Roman" w:hAnsi="Times New Roman" w:cs="Times New Roman"/>
          <w:i/>
          <w:sz w:val="28"/>
        </w:rPr>
        <w:t>BC</w:t>
      </w:r>
      <w:r>
        <w:rPr>
          <w:rFonts w:ascii="Times New Roman" w:eastAsia="Times New Roman" w:hAnsi="Times New Roman" w:cs="Times New Roman"/>
          <w:sz w:val="28"/>
          <w:u w:val="single" w:color="000000"/>
        </w:rPr>
        <w:t xml:space="preserve"> </w:t>
      </w:r>
      <w:r>
        <w:rPr>
          <w:rFonts w:ascii="Times New Roman" w:eastAsia="Times New Roman" w:hAnsi="Times New Roman" w:cs="Times New Roman"/>
          <w:sz w:val="28"/>
        </w:rPr>
        <w:t xml:space="preserve">байланысын біріктіре отырып, </w:t>
      </w:r>
    </w:p>
    <w:p w:rsidR="0052701D" w:rsidRDefault="00D40929">
      <w:pPr>
        <w:spacing w:after="5" w:line="271" w:lineRule="auto"/>
        <w:ind w:left="9" w:right="64"/>
        <w:jc w:val="both"/>
      </w:pPr>
      <w:r>
        <w:rPr>
          <w:rFonts w:ascii="Times New Roman" w:eastAsia="Times New Roman" w:hAnsi="Times New Roman" w:cs="Times New Roman"/>
          <w:i/>
          <w:sz w:val="28"/>
        </w:rPr>
        <w:t xml:space="preserve">ABCD </w:t>
      </w:r>
      <w:r>
        <w:rPr>
          <w:rFonts w:ascii="Times New Roman" w:eastAsia="Times New Roman" w:hAnsi="Times New Roman" w:cs="Times New Roman"/>
          <w:sz w:val="28"/>
        </w:rPr>
        <w:t xml:space="preserve">ашық тізбегі түрінде БКТ аламыз.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Қажетті синтез параметрлерінің бір бөлігін әртүрлі комбинацияларда орната отырып, біз БКТ-нің әртүрлі модификацияларын аламыз.  </w:t>
      </w:r>
    </w:p>
    <w:p w:rsidR="0052701D" w:rsidRDefault="00D40929">
      <w:pPr>
        <w:spacing w:after="5" w:line="216" w:lineRule="auto"/>
        <w:ind w:left="-56" w:right="64" w:firstLine="767"/>
        <w:jc w:val="both"/>
      </w:pPr>
      <w:r>
        <w:rPr>
          <w:rFonts w:ascii="Times New Roman" w:eastAsia="Times New Roman" w:hAnsi="Times New Roman" w:cs="Times New Roman"/>
          <w:sz w:val="28"/>
        </w:rPr>
        <w:t xml:space="preserve">1. Егер </w:t>
      </w:r>
      <w:r>
        <w:rPr>
          <w:noProof/>
        </w:rPr>
        <w:drawing>
          <wp:inline distT="0" distB="0" distL="0" distR="0">
            <wp:extent cx="1060704" cy="225552"/>
            <wp:effectExtent l="0" t="0" r="0" b="0"/>
            <wp:docPr id="1048619" name="Picture 1048619"/>
            <wp:cNvGraphicFramePr/>
            <a:graphic xmlns:a="http://schemas.openxmlformats.org/drawingml/2006/main">
              <a:graphicData uri="http://schemas.openxmlformats.org/drawingml/2006/picture">
                <pic:pic xmlns:pic="http://schemas.openxmlformats.org/drawingml/2006/picture">
                  <pic:nvPicPr>
                    <pic:cNvPr id="1048619" name="Picture 1048619"/>
                    <pic:cNvPicPr/>
                  </pic:nvPicPr>
                  <pic:blipFill>
                    <a:blip r:embed="rId108"/>
                    <a:stretch>
                      <a:fillRect/>
                    </a:stretch>
                  </pic:blipFill>
                  <pic:spPr>
                    <a:xfrm>
                      <a:off x="0" y="0"/>
                      <a:ext cx="1060704" cy="225552"/>
                    </a:xfrm>
                    <a:prstGeom prst="rect">
                      <a:avLst/>
                    </a:prstGeom>
                  </pic:spPr>
                </pic:pic>
              </a:graphicData>
            </a:graphic>
          </wp:inline>
        </w:drawing>
      </w:r>
      <w:r>
        <w:rPr>
          <w:rFonts w:ascii="Times New Roman" w:eastAsia="Times New Roman" w:hAnsi="Times New Roman" w:cs="Times New Roman"/>
          <w:sz w:val="28"/>
        </w:rPr>
        <w:t xml:space="preserve">нүктесінің координаттары және Эйлер бұрыштары </w:t>
      </w:r>
      <w:r>
        <w:rPr>
          <w:noProof/>
        </w:rPr>
        <w:drawing>
          <wp:inline distT="0" distB="0" distL="0" distR="0">
            <wp:extent cx="1045464" cy="198120"/>
            <wp:effectExtent l="0" t="0" r="0" b="0"/>
            <wp:docPr id="1048620" name="Picture 1048620"/>
            <wp:cNvGraphicFramePr/>
            <a:graphic xmlns:a="http://schemas.openxmlformats.org/drawingml/2006/main">
              <a:graphicData uri="http://schemas.openxmlformats.org/drawingml/2006/picture">
                <pic:pic xmlns:pic="http://schemas.openxmlformats.org/drawingml/2006/picture">
                  <pic:nvPicPr>
                    <pic:cNvPr id="1048620" name="Picture 1048620"/>
                    <pic:cNvPicPr/>
                  </pic:nvPicPr>
                  <pic:blipFill>
                    <a:blip r:embed="rId109"/>
                    <a:stretch>
                      <a:fillRect/>
                    </a:stretch>
                  </pic:blipFill>
                  <pic:spPr>
                    <a:xfrm>
                      <a:off x="0" y="0"/>
                      <a:ext cx="1045464" cy="198120"/>
                    </a:xfrm>
                    <a:prstGeom prst="rect">
                      <a:avLst/>
                    </a:prstGeom>
                  </pic:spPr>
                </pic:pic>
              </a:graphicData>
            </a:graphic>
          </wp:inline>
        </w:drawing>
      </w:r>
      <w:r>
        <w:rPr>
          <w:rFonts w:ascii="Times New Roman" w:eastAsia="Times New Roman" w:hAnsi="Times New Roman" w:cs="Times New Roman"/>
          <w:sz w:val="28"/>
        </w:rPr>
        <w:t xml:space="preserve"> дене нүктесінің координаты </w:t>
      </w:r>
      <w:r>
        <w:rPr>
          <w:noProof/>
        </w:rPr>
        <w:drawing>
          <wp:inline distT="0" distB="0" distL="0" distR="0">
            <wp:extent cx="1143000" cy="195072"/>
            <wp:effectExtent l="0" t="0" r="0" b="0"/>
            <wp:docPr id="1048621" name="Picture 1048621"/>
            <wp:cNvGraphicFramePr/>
            <a:graphic xmlns:a="http://schemas.openxmlformats.org/drawingml/2006/main">
              <a:graphicData uri="http://schemas.openxmlformats.org/drawingml/2006/picture">
                <pic:pic xmlns:pic="http://schemas.openxmlformats.org/drawingml/2006/picture">
                  <pic:nvPicPr>
                    <pic:cNvPr id="1048621" name="Picture 1048621"/>
                    <pic:cNvPicPr/>
                  </pic:nvPicPr>
                  <pic:blipFill>
                    <a:blip r:embed="rId110"/>
                    <a:stretch>
                      <a:fillRect/>
                    </a:stretch>
                  </pic:blipFill>
                  <pic:spPr>
                    <a:xfrm>
                      <a:off x="0" y="0"/>
                      <a:ext cx="1143000" cy="195072"/>
                    </a:xfrm>
                    <a:prstGeom prst="rect">
                      <a:avLst/>
                    </a:prstGeom>
                  </pic:spPr>
                </pic:pic>
              </a:graphicData>
            </a:graphic>
          </wp:inline>
        </w:drawing>
      </w:r>
      <w:r>
        <w:rPr>
          <w:rFonts w:ascii="Times New Roman" w:eastAsia="Times New Roman" w:hAnsi="Times New Roman" w:cs="Times New Roman"/>
          <w:sz w:val="28"/>
        </w:rPr>
        <w:t xml:space="preserve"> және Эйлер </w:t>
      </w:r>
    </w:p>
    <w:p w:rsidR="0052701D" w:rsidRDefault="00D40929">
      <w:pPr>
        <w:spacing w:after="5" w:line="271" w:lineRule="auto"/>
        <w:ind w:left="9" w:right="64"/>
        <w:jc w:val="both"/>
      </w:pPr>
      <w:r>
        <w:rPr>
          <w:rFonts w:ascii="Times New Roman" w:eastAsia="Times New Roman" w:hAnsi="Times New Roman" w:cs="Times New Roman"/>
          <w:sz w:val="28"/>
        </w:rPr>
        <w:t xml:space="preserve">бұрыштары </w:t>
      </w:r>
      <w:r>
        <w:rPr>
          <w:noProof/>
        </w:rPr>
        <w:drawing>
          <wp:inline distT="0" distB="0" distL="0" distR="0">
            <wp:extent cx="1472184" cy="201168"/>
            <wp:effectExtent l="0" t="0" r="0" b="0"/>
            <wp:docPr id="1048622" name="Picture 1048622"/>
            <wp:cNvGraphicFramePr/>
            <a:graphic xmlns:a="http://schemas.openxmlformats.org/drawingml/2006/main">
              <a:graphicData uri="http://schemas.openxmlformats.org/drawingml/2006/picture">
                <pic:pic xmlns:pic="http://schemas.openxmlformats.org/drawingml/2006/picture">
                  <pic:nvPicPr>
                    <pic:cNvPr id="1048622" name="Picture 1048622"/>
                    <pic:cNvPicPr/>
                  </pic:nvPicPr>
                  <pic:blipFill>
                    <a:blip r:embed="rId111"/>
                    <a:stretch>
                      <a:fillRect/>
                    </a:stretch>
                  </pic:blipFill>
                  <pic:spPr>
                    <a:xfrm>
                      <a:off x="0" y="0"/>
                      <a:ext cx="1472184" cy="201168"/>
                    </a:xfrm>
                    <a:prstGeom prst="rect">
                      <a:avLst/>
                    </a:prstGeom>
                  </pic:spPr>
                </pic:pic>
              </a:graphicData>
            </a:graphic>
          </wp:inline>
        </w:drawing>
      </w:r>
      <w:r>
        <w:rPr>
          <w:rFonts w:ascii="Times New Roman" w:eastAsia="Times New Roman" w:hAnsi="Times New Roman" w:cs="Times New Roman"/>
          <w:sz w:val="28"/>
        </w:rPr>
        <w:t xml:space="preserve">, содан кейін үш буынды ашық </w:t>
      </w:r>
      <w:r>
        <w:rPr>
          <w:rFonts w:ascii="Times New Roman" w:eastAsia="Times New Roman" w:hAnsi="Times New Roman" w:cs="Times New Roman"/>
          <w:i/>
          <w:sz w:val="28"/>
        </w:rPr>
        <w:t xml:space="preserve">ABCD </w:t>
      </w:r>
      <w:r>
        <w:rPr>
          <w:rFonts w:ascii="Times New Roman" w:eastAsia="Times New Roman" w:hAnsi="Times New Roman" w:cs="Times New Roman"/>
          <w:sz w:val="28"/>
        </w:rPr>
        <w:t xml:space="preserve">тізбегін аламыз (1 кесте, 2-2 сурет). </w:t>
      </w:r>
    </w:p>
    <w:p w:rsidR="0052701D" w:rsidRDefault="00D40929">
      <w:pPr>
        <w:spacing w:after="5" w:line="271" w:lineRule="auto"/>
        <w:ind w:left="711" w:right="64"/>
        <w:jc w:val="both"/>
      </w:pPr>
      <w:r>
        <w:rPr>
          <w:rFonts w:ascii="Times New Roman" w:eastAsia="Times New Roman" w:hAnsi="Times New Roman" w:cs="Times New Roman"/>
          <w:sz w:val="28"/>
        </w:rPr>
        <w:t xml:space="preserve">Бұл жағдайда </w:t>
      </w:r>
      <w:r>
        <w:rPr>
          <w:rFonts w:ascii="Times New Roman" w:eastAsia="Times New Roman" w:hAnsi="Times New Roman" w:cs="Times New Roman"/>
          <w:i/>
          <w:sz w:val="28"/>
        </w:rPr>
        <w:t xml:space="preserve">S </w:t>
      </w:r>
      <w:r>
        <w:rPr>
          <w:rFonts w:ascii="Times New Roman" w:eastAsia="Times New Roman" w:hAnsi="Times New Roman" w:cs="Times New Roman"/>
          <w:sz w:val="28"/>
        </w:rPr>
        <w:t xml:space="preserve">қосындысының қажетті минималды шарттары: </w:t>
      </w:r>
    </w:p>
    <w:p w:rsidR="0052701D" w:rsidRDefault="00D40929">
      <w:pPr>
        <w:spacing w:after="0"/>
        <w:ind w:left="2744"/>
      </w:pPr>
      <w:r>
        <w:rPr>
          <w:noProof/>
        </w:rPr>
        <w:drawing>
          <wp:inline distT="0" distB="0" distL="0" distR="0">
            <wp:extent cx="2596896" cy="417576"/>
            <wp:effectExtent l="0" t="0" r="0" b="0"/>
            <wp:docPr id="1048623" name="Picture 1048623"/>
            <wp:cNvGraphicFramePr/>
            <a:graphic xmlns:a="http://schemas.openxmlformats.org/drawingml/2006/main">
              <a:graphicData uri="http://schemas.openxmlformats.org/drawingml/2006/picture">
                <pic:pic xmlns:pic="http://schemas.openxmlformats.org/drawingml/2006/picture">
                  <pic:nvPicPr>
                    <pic:cNvPr id="1048623" name="Picture 1048623"/>
                    <pic:cNvPicPr/>
                  </pic:nvPicPr>
                  <pic:blipFill>
                    <a:blip r:embed="rId112"/>
                    <a:stretch>
                      <a:fillRect/>
                    </a:stretch>
                  </pic:blipFill>
                  <pic:spPr>
                    <a:xfrm>
                      <a:off x="0" y="0"/>
                      <a:ext cx="2596896" cy="417576"/>
                    </a:xfrm>
                    <a:prstGeom prst="rect">
                      <a:avLst/>
                    </a:prstGeom>
                  </pic:spPr>
                </pic:pic>
              </a:graphicData>
            </a:graphic>
          </wp:inline>
        </w:drawing>
      </w:r>
    </w:p>
    <w:p w:rsidR="0052701D" w:rsidRDefault="00D40929">
      <w:pPr>
        <w:spacing w:after="5" w:line="271" w:lineRule="auto"/>
        <w:ind w:left="9" w:right="64" w:firstLine="711"/>
        <w:jc w:val="both"/>
      </w:pPr>
      <w:r>
        <w:rPr>
          <w:rFonts w:ascii="Times New Roman" w:eastAsia="Times New Roman" w:hAnsi="Times New Roman" w:cs="Times New Roman"/>
          <w:i/>
          <w:sz w:val="28"/>
        </w:rPr>
        <w:t>S</w:t>
      </w:r>
      <w:r>
        <w:rPr>
          <w:rFonts w:ascii="Times New Roman" w:eastAsia="Times New Roman" w:hAnsi="Times New Roman" w:cs="Times New Roman"/>
          <w:sz w:val="28"/>
        </w:rPr>
        <w:t xml:space="preserve"> минимумын табу үшін </w:t>
      </w:r>
      <w:r>
        <w:rPr>
          <w:noProof/>
        </w:rPr>
        <w:drawing>
          <wp:inline distT="0" distB="0" distL="0" distR="0">
            <wp:extent cx="658368" cy="161544"/>
            <wp:effectExtent l="0" t="0" r="0" b="0"/>
            <wp:docPr id="1048624" name="Picture 1048624"/>
            <wp:cNvGraphicFramePr/>
            <a:graphic xmlns:a="http://schemas.openxmlformats.org/drawingml/2006/main">
              <a:graphicData uri="http://schemas.openxmlformats.org/drawingml/2006/picture">
                <pic:pic xmlns:pic="http://schemas.openxmlformats.org/drawingml/2006/picture">
                  <pic:nvPicPr>
                    <pic:cNvPr id="1048624" name="Picture 1048624"/>
                    <pic:cNvPicPr/>
                  </pic:nvPicPr>
                  <pic:blipFill>
                    <a:blip r:embed="rId113"/>
                    <a:stretch>
                      <a:fillRect/>
                    </a:stretch>
                  </pic:blipFill>
                  <pic:spPr>
                    <a:xfrm>
                      <a:off x="0" y="0"/>
                      <a:ext cx="658368" cy="161544"/>
                    </a:xfrm>
                    <a:prstGeom prst="rect">
                      <a:avLst/>
                    </a:prstGeom>
                  </pic:spPr>
                </pic:pic>
              </a:graphicData>
            </a:graphic>
          </wp:inline>
        </w:drawing>
      </w:r>
      <w:r>
        <w:rPr>
          <w:rFonts w:ascii="Times New Roman" w:eastAsia="Times New Roman" w:hAnsi="Times New Roman" w:cs="Times New Roman"/>
          <w:sz w:val="28"/>
        </w:rPr>
        <w:t xml:space="preserve"> </w:t>
      </w:r>
      <w:r>
        <w:rPr>
          <w:rFonts w:ascii="Times New Roman" w:eastAsia="Times New Roman" w:hAnsi="Times New Roman" w:cs="Times New Roman"/>
          <w:sz w:val="28"/>
        </w:rPr>
        <w:t xml:space="preserve">параметрлері орнатылағынын ескере отырып, жоғарыда келтірілген алгоритмді қолдануға болады.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Егер </w:t>
      </w:r>
      <w:r>
        <w:rPr>
          <w:noProof/>
        </w:rPr>
        <w:drawing>
          <wp:inline distT="0" distB="0" distL="0" distR="0">
            <wp:extent cx="920496" cy="176785"/>
            <wp:effectExtent l="0" t="0" r="0" b="0"/>
            <wp:docPr id="1048625" name="Picture 1048625"/>
            <wp:cNvGraphicFramePr/>
            <a:graphic xmlns:a="http://schemas.openxmlformats.org/drawingml/2006/main">
              <a:graphicData uri="http://schemas.openxmlformats.org/drawingml/2006/picture">
                <pic:pic xmlns:pic="http://schemas.openxmlformats.org/drawingml/2006/picture">
                  <pic:nvPicPr>
                    <pic:cNvPr id="1048625" name="Picture 1048625"/>
                    <pic:cNvPicPr/>
                  </pic:nvPicPr>
                  <pic:blipFill>
                    <a:blip r:embed="rId114"/>
                    <a:stretch>
                      <a:fillRect/>
                    </a:stretch>
                  </pic:blipFill>
                  <pic:spPr>
                    <a:xfrm>
                      <a:off x="0" y="0"/>
                      <a:ext cx="920496" cy="176785"/>
                    </a:xfrm>
                    <a:prstGeom prst="rect">
                      <a:avLst/>
                    </a:prstGeom>
                  </pic:spPr>
                </pic:pic>
              </a:graphicData>
            </a:graphic>
          </wp:inline>
        </w:drawing>
      </w:r>
      <w:r>
        <w:rPr>
          <w:rFonts w:ascii="Times New Roman" w:eastAsia="Times New Roman" w:hAnsi="Times New Roman" w:cs="Times New Roman"/>
          <w:sz w:val="28"/>
        </w:rPr>
        <w:t xml:space="preserve"> және </w:t>
      </w:r>
      <w:r>
        <w:rPr>
          <w:noProof/>
        </w:rPr>
        <w:drawing>
          <wp:inline distT="0" distB="0" distL="0" distR="0">
            <wp:extent cx="981456" cy="170688"/>
            <wp:effectExtent l="0" t="0" r="0" b="0"/>
            <wp:docPr id="1048626" name="Picture 1048626"/>
            <wp:cNvGraphicFramePr/>
            <a:graphic xmlns:a="http://schemas.openxmlformats.org/drawingml/2006/main">
              <a:graphicData uri="http://schemas.openxmlformats.org/drawingml/2006/picture">
                <pic:pic xmlns:pic="http://schemas.openxmlformats.org/drawingml/2006/picture">
                  <pic:nvPicPr>
                    <pic:cNvPr id="1048626" name="Picture 1048626"/>
                    <pic:cNvPicPr/>
                  </pic:nvPicPr>
                  <pic:blipFill>
                    <a:blip r:embed="rId115"/>
                    <a:stretch>
                      <a:fillRect/>
                    </a:stretch>
                  </pic:blipFill>
                  <pic:spPr>
                    <a:xfrm>
                      <a:off x="0" y="0"/>
                      <a:ext cx="981456" cy="170688"/>
                    </a:xfrm>
                    <a:prstGeom prst="rect">
                      <a:avLst/>
                    </a:prstGeom>
                  </pic:spPr>
                </pic:pic>
              </a:graphicData>
            </a:graphic>
          </wp:inline>
        </w:drawing>
      </w:r>
      <w:r>
        <w:rPr>
          <w:rFonts w:ascii="Times New Roman" w:eastAsia="Times New Roman" w:hAnsi="Times New Roman" w:cs="Times New Roman"/>
          <w:sz w:val="28"/>
        </w:rPr>
        <w:t xml:space="preserve"> нүтелері бекітілген болса, онда БКТ синтезі нәтижесінде кеңістіктік төрт буынды </w:t>
      </w:r>
      <w:r>
        <w:rPr>
          <w:rFonts w:ascii="Times New Roman" w:eastAsia="Times New Roman" w:hAnsi="Times New Roman" w:cs="Times New Roman"/>
          <w:i/>
          <w:sz w:val="28"/>
        </w:rPr>
        <w:t xml:space="preserve">ABCD </w:t>
      </w:r>
      <w:r>
        <w:rPr>
          <w:rFonts w:ascii="Times New Roman" w:eastAsia="Times New Roman" w:hAnsi="Times New Roman" w:cs="Times New Roman"/>
          <w:sz w:val="28"/>
        </w:rPr>
        <w:t xml:space="preserve">аламыз. </w:t>
      </w:r>
    </w:p>
    <w:p w:rsidR="0052701D" w:rsidRDefault="00D40929">
      <w:pPr>
        <w:spacing w:after="84" w:line="216" w:lineRule="auto"/>
        <w:ind w:left="9" w:right="64" w:firstLine="711"/>
        <w:jc w:val="both"/>
      </w:pPr>
      <w:r>
        <w:rPr>
          <w:rFonts w:ascii="Times New Roman" w:eastAsia="Times New Roman" w:hAnsi="Times New Roman" w:cs="Times New Roman"/>
          <w:sz w:val="28"/>
        </w:rPr>
        <w:t xml:space="preserve">2. </w:t>
      </w:r>
      <w:r>
        <w:rPr>
          <w:noProof/>
        </w:rPr>
        <w:drawing>
          <wp:inline distT="0" distB="0" distL="0" distR="0">
            <wp:extent cx="1271016" cy="161544"/>
            <wp:effectExtent l="0" t="0" r="0" b="0"/>
            <wp:docPr id="1048627" name="Picture 1048627"/>
            <wp:cNvGraphicFramePr/>
            <a:graphic xmlns:a="http://schemas.openxmlformats.org/drawingml/2006/main">
              <a:graphicData uri="http://schemas.openxmlformats.org/drawingml/2006/picture">
                <pic:pic xmlns:pic="http://schemas.openxmlformats.org/drawingml/2006/picture">
                  <pic:nvPicPr>
                    <pic:cNvPr id="1048627" name="Picture 1048627"/>
                    <pic:cNvPicPr/>
                  </pic:nvPicPr>
                  <pic:blipFill>
                    <a:blip r:embed="rId116"/>
                    <a:stretch>
                      <a:fillRect/>
                    </a:stretch>
                  </pic:blipFill>
                  <pic:spPr>
                    <a:xfrm>
                      <a:off x="0" y="0"/>
                      <a:ext cx="1271016" cy="161544"/>
                    </a:xfrm>
                    <a:prstGeom prst="rect">
                      <a:avLst/>
                    </a:prstGeom>
                  </pic:spPr>
                </pic:pic>
              </a:graphicData>
            </a:graphic>
          </wp:inline>
        </w:drawing>
      </w:r>
      <w:r>
        <w:rPr>
          <w:rFonts w:ascii="Times New Roman" w:eastAsia="Times New Roman" w:hAnsi="Times New Roman" w:cs="Times New Roman"/>
          <w:sz w:val="28"/>
        </w:rPr>
        <w:t xml:space="preserve"> нүктелері </w:t>
      </w:r>
      <w:r>
        <w:rPr>
          <w:noProof/>
        </w:rPr>
        <w:drawing>
          <wp:inline distT="0" distB="0" distL="0" distR="0">
            <wp:extent cx="490728" cy="161544"/>
            <wp:effectExtent l="0" t="0" r="0" b="0"/>
            <wp:docPr id="1048628" name="Picture 1048628"/>
            <wp:cNvGraphicFramePr/>
            <a:graphic xmlns:a="http://schemas.openxmlformats.org/drawingml/2006/main">
              <a:graphicData uri="http://schemas.openxmlformats.org/drawingml/2006/picture">
                <pic:pic xmlns:pic="http://schemas.openxmlformats.org/drawingml/2006/picture">
                  <pic:nvPicPr>
                    <pic:cNvPr id="1048628" name="Picture 1048628"/>
                    <pic:cNvPicPr/>
                  </pic:nvPicPr>
                  <pic:blipFill>
                    <a:blip r:embed="rId117"/>
                    <a:stretch>
                      <a:fillRect/>
                    </a:stretch>
                  </pic:blipFill>
                  <pic:spPr>
                    <a:xfrm>
                      <a:off x="0" y="0"/>
                      <a:ext cx="490728" cy="161544"/>
                    </a:xfrm>
                    <a:prstGeom prst="rect">
                      <a:avLst/>
                    </a:prstGeom>
                  </pic:spPr>
                </pic:pic>
              </a:graphicData>
            </a:graphic>
          </wp:inline>
        </w:drawing>
      </w:r>
      <w:r>
        <w:rPr>
          <w:rFonts w:ascii="Times New Roman" w:eastAsia="Times New Roman" w:hAnsi="Times New Roman" w:cs="Times New Roman"/>
          <w:sz w:val="28"/>
        </w:rPr>
        <w:t xml:space="preserve"> координаттары </w:t>
      </w:r>
      <w:r>
        <w:rPr>
          <w:noProof/>
        </w:rPr>
        <w:drawing>
          <wp:inline distT="0" distB="0" distL="0" distR="0">
            <wp:extent cx="832104" cy="188976"/>
            <wp:effectExtent l="0" t="0" r="0" b="0"/>
            <wp:docPr id="1048629" name="Picture 1048629"/>
            <wp:cNvGraphicFramePr/>
            <a:graphic xmlns:a="http://schemas.openxmlformats.org/drawingml/2006/main">
              <a:graphicData uri="http://schemas.openxmlformats.org/drawingml/2006/picture">
                <pic:pic xmlns:pic="http://schemas.openxmlformats.org/drawingml/2006/picture">
                  <pic:nvPicPr>
                    <pic:cNvPr id="1048629" name="Picture 1048629"/>
                    <pic:cNvPicPr/>
                  </pic:nvPicPr>
                  <pic:blipFill>
                    <a:blip r:embed="rId118"/>
                    <a:stretch>
                      <a:fillRect/>
                    </a:stretch>
                  </pic:blipFill>
                  <pic:spPr>
                    <a:xfrm>
                      <a:off x="0" y="0"/>
                      <a:ext cx="832104" cy="188976"/>
                    </a:xfrm>
                    <a:prstGeom prst="rect">
                      <a:avLst/>
                    </a:prstGeom>
                  </pic:spPr>
                </pic:pic>
              </a:graphicData>
            </a:graphic>
          </wp:inline>
        </w:drawing>
      </w:r>
      <w:r>
        <w:rPr>
          <w:rFonts w:ascii="Times New Roman" w:eastAsia="Times New Roman" w:hAnsi="Times New Roman" w:cs="Times New Roman"/>
          <w:sz w:val="28"/>
        </w:rPr>
        <w:t xml:space="preserve">, </w:t>
      </w:r>
      <w:r>
        <w:rPr>
          <w:noProof/>
        </w:rPr>
        <w:drawing>
          <wp:inline distT="0" distB="0" distL="0" distR="0">
            <wp:extent cx="167640" cy="161544"/>
            <wp:effectExtent l="0" t="0" r="0" b="0"/>
            <wp:docPr id="1048630" name="Picture 1048630"/>
            <wp:cNvGraphicFramePr/>
            <a:graphic xmlns:a="http://schemas.openxmlformats.org/drawingml/2006/main">
              <a:graphicData uri="http://schemas.openxmlformats.org/drawingml/2006/picture">
                <pic:pic xmlns:pic="http://schemas.openxmlformats.org/drawingml/2006/picture">
                  <pic:nvPicPr>
                    <pic:cNvPr id="1048630" name="Picture 1048630"/>
                    <pic:cNvPicPr/>
                  </pic:nvPicPr>
                  <pic:blipFill>
                    <a:blip r:embed="rId119"/>
                    <a:stretch>
                      <a:fillRect/>
                    </a:stretch>
                  </pic:blipFill>
                  <pic:spPr>
                    <a:xfrm>
                      <a:off x="0" y="0"/>
                      <a:ext cx="167640" cy="161544"/>
                    </a:xfrm>
                    <a:prstGeom prst="rect">
                      <a:avLst/>
                    </a:prstGeom>
                  </pic:spPr>
                </pic:pic>
              </a:graphicData>
            </a:graphic>
          </wp:inline>
        </w:drawing>
      </w:r>
      <w:r>
        <w:rPr>
          <w:rFonts w:ascii="Times New Roman" w:eastAsia="Times New Roman" w:hAnsi="Times New Roman" w:cs="Times New Roman"/>
          <w:sz w:val="28"/>
        </w:rPr>
        <w:t xml:space="preserve"> дененің </w:t>
      </w:r>
      <w:r>
        <w:rPr>
          <w:rFonts w:ascii="Times New Roman" w:eastAsia="Times New Roman" w:hAnsi="Times New Roman" w:cs="Times New Roman"/>
          <w:i/>
          <w:sz w:val="28"/>
        </w:rPr>
        <w:t>D</w:t>
      </w:r>
      <w:r>
        <w:rPr>
          <w:rFonts w:ascii="Times New Roman" w:eastAsia="Times New Roman" w:hAnsi="Times New Roman" w:cs="Times New Roman"/>
          <w:sz w:val="28"/>
        </w:rPr>
        <w:t xml:space="preserve"> нүктелері</w:t>
      </w:r>
      <w:r>
        <w:rPr>
          <w:rFonts w:ascii="Times New Roman" w:eastAsia="Times New Roman" w:hAnsi="Times New Roman" w:cs="Times New Roman"/>
          <w:sz w:val="28"/>
        </w:rPr>
        <w:t xml:space="preserve"> және Эйлер бұрыштары </w:t>
      </w:r>
      <w:r>
        <w:rPr>
          <w:noProof/>
        </w:rPr>
        <w:drawing>
          <wp:inline distT="0" distB="0" distL="0" distR="0">
            <wp:extent cx="984504" cy="198120"/>
            <wp:effectExtent l="0" t="0" r="0" b="0"/>
            <wp:docPr id="1048631" name="Picture 1048631"/>
            <wp:cNvGraphicFramePr/>
            <a:graphic xmlns:a="http://schemas.openxmlformats.org/drawingml/2006/main">
              <a:graphicData uri="http://schemas.openxmlformats.org/drawingml/2006/picture">
                <pic:pic xmlns:pic="http://schemas.openxmlformats.org/drawingml/2006/picture">
                  <pic:nvPicPr>
                    <pic:cNvPr id="1048631" name="Picture 1048631"/>
                    <pic:cNvPicPr/>
                  </pic:nvPicPr>
                  <pic:blipFill>
                    <a:blip r:embed="rId120"/>
                    <a:stretch>
                      <a:fillRect/>
                    </a:stretch>
                  </pic:blipFill>
                  <pic:spPr>
                    <a:xfrm>
                      <a:off x="0" y="0"/>
                      <a:ext cx="984504" cy="198120"/>
                    </a:xfrm>
                    <a:prstGeom prst="rect">
                      <a:avLst/>
                    </a:prstGeom>
                  </pic:spPr>
                </pic:pic>
              </a:graphicData>
            </a:graphic>
          </wp:inline>
        </w:drawing>
      </w:r>
      <w:r>
        <w:rPr>
          <w:rFonts w:ascii="Times New Roman" w:eastAsia="Times New Roman" w:hAnsi="Times New Roman" w:cs="Times New Roman"/>
          <w:sz w:val="28"/>
        </w:rPr>
        <w:t xml:space="preserve"> дененің және қажетті параметрлер </w:t>
      </w:r>
      <w:r>
        <w:rPr>
          <w:noProof/>
        </w:rPr>
        <w:drawing>
          <wp:inline distT="0" distB="0" distL="0" distR="0">
            <wp:extent cx="1603248" cy="158496"/>
            <wp:effectExtent l="0" t="0" r="0" b="0"/>
            <wp:docPr id="1048632" name="Picture 1048632"/>
            <wp:cNvGraphicFramePr/>
            <a:graphic xmlns:a="http://schemas.openxmlformats.org/drawingml/2006/main">
              <a:graphicData uri="http://schemas.openxmlformats.org/drawingml/2006/picture">
                <pic:pic xmlns:pic="http://schemas.openxmlformats.org/drawingml/2006/picture">
                  <pic:nvPicPr>
                    <pic:cNvPr id="1048632" name="Picture 1048632"/>
                    <pic:cNvPicPr/>
                  </pic:nvPicPr>
                  <pic:blipFill>
                    <a:blip r:embed="rId121"/>
                    <a:stretch>
                      <a:fillRect/>
                    </a:stretch>
                  </pic:blipFill>
                  <pic:spPr>
                    <a:xfrm>
                      <a:off x="0" y="0"/>
                      <a:ext cx="1603248" cy="158496"/>
                    </a:xfrm>
                    <a:prstGeom prst="rect">
                      <a:avLst/>
                    </a:prstGeom>
                  </pic:spPr>
                </pic:pic>
              </a:graphicData>
            </a:graphic>
          </wp:inline>
        </w:drawing>
      </w:r>
      <w:r>
        <w:rPr>
          <w:rFonts w:ascii="Times New Roman" w:eastAsia="Times New Roman" w:hAnsi="Times New Roman" w:cs="Times New Roman"/>
          <w:sz w:val="28"/>
        </w:rPr>
        <w:t xml:space="preserve"> (1 кесте, 3-1 сурет). </w:t>
      </w:r>
    </w:p>
    <w:p w:rsidR="0052701D" w:rsidRDefault="00D40929">
      <w:pPr>
        <w:spacing w:after="5" w:line="271" w:lineRule="auto"/>
        <w:ind w:left="711" w:right="64"/>
        <w:jc w:val="both"/>
      </w:pPr>
      <w:r>
        <w:rPr>
          <w:rFonts w:ascii="Times New Roman" w:eastAsia="Times New Roman" w:hAnsi="Times New Roman" w:cs="Times New Roman"/>
          <w:sz w:val="28"/>
        </w:rPr>
        <w:t xml:space="preserve">Бұл жағдайда </w:t>
      </w:r>
      <w:r>
        <w:rPr>
          <w:rFonts w:ascii="Times New Roman" w:eastAsia="Times New Roman" w:hAnsi="Times New Roman" w:cs="Times New Roman"/>
          <w:i/>
          <w:sz w:val="28"/>
        </w:rPr>
        <w:t xml:space="preserve">S </w:t>
      </w:r>
      <w:r>
        <w:rPr>
          <w:rFonts w:ascii="Times New Roman" w:eastAsia="Times New Roman" w:hAnsi="Times New Roman" w:cs="Times New Roman"/>
          <w:sz w:val="28"/>
        </w:rPr>
        <w:t xml:space="preserve">сомасының қажетті минималды шарттары: </w:t>
      </w:r>
    </w:p>
    <w:p w:rsidR="0052701D" w:rsidRDefault="00D40929">
      <w:pPr>
        <w:spacing w:after="0"/>
        <w:ind w:left="2664"/>
      </w:pPr>
      <w:r>
        <w:rPr>
          <w:noProof/>
        </w:rPr>
        <w:drawing>
          <wp:inline distT="0" distB="0" distL="0" distR="0">
            <wp:extent cx="2676144" cy="417576"/>
            <wp:effectExtent l="0" t="0" r="0" b="0"/>
            <wp:docPr id="1048633" name="Picture 1048633"/>
            <wp:cNvGraphicFramePr/>
            <a:graphic xmlns:a="http://schemas.openxmlformats.org/drawingml/2006/main">
              <a:graphicData uri="http://schemas.openxmlformats.org/drawingml/2006/picture">
                <pic:pic xmlns:pic="http://schemas.openxmlformats.org/drawingml/2006/picture">
                  <pic:nvPicPr>
                    <pic:cNvPr id="1048633" name="Picture 1048633"/>
                    <pic:cNvPicPr/>
                  </pic:nvPicPr>
                  <pic:blipFill>
                    <a:blip r:embed="rId122"/>
                    <a:stretch>
                      <a:fillRect/>
                    </a:stretch>
                  </pic:blipFill>
                  <pic:spPr>
                    <a:xfrm>
                      <a:off x="0" y="0"/>
                      <a:ext cx="2676144" cy="417576"/>
                    </a:xfrm>
                    <a:prstGeom prst="rect">
                      <a:avLst/>
                    </a:prstGeom>
                  </pic:spPr>
                </pic:pic>
              </a:graphicData>
            </a:graphic>
          </wp:inline>
        </w:drawing>
      </w:r>
    </w:p>
    <w:p w:rsidR="0052701D" w:rsidRDefault="00D40929">
      <w:pPr>
        <w:spacing w:after="5" w:line="271" w:lineRule="auto"/>
        <w:ind w:left="9" w:right="64" w:firstLine="711"/>
        <w:jc w:val="both"/>
      </w:pPr>
      <w:r>
        <w:rPr>
          <w:rFonts w:ascii="Times New Roman" w:eastAsia="Times New Roman" w:hAnsi="Times New Roman" w:cs="Times New Roman"/>
          <w:i/>
          <w:sz w:val="28"/>
        </w:rPr>
        <w:t>S</w:t>
      </w:r>
      <w:r>
        <w:rPr>
          <w:rFonts w:ascii="Times New Roman" w:eastAsia="Times New Roman" w:hAnsi="Times New Roman" w:cs="Times New Roman"/>
          <w:sz w:val="28"/>
        </w:rPr>
        <w:t xml:space="preserve"> функциясының минимумын табу үшін </w:t>
      </w:r>
      <w:r>
        <w:rPr>
          <w:noProof/>
        </w:rPr>
        <w:drawing>
          <wp:inline distT="0" distB="0" distL="0" distR="0">
            <wp:extent cx="1267968" cy="161544"/>
            <wp:effectExtent l="0" t="0" r="0" b="0"/>
            <wp:docPr id="1048634" name="Picture 1048634"/>
            <wp:cNvGraphicFramePr/>
            <a:graphic xmlns:a="http://schemas.openxmlformats.org/drawingml/2006/main">
              <a:graphicData uri="http://schemas.openxmlformats.org/drawingml/2006/picture">
                <pic:pic xmlns:pic="http://schemas.openxmlformats.org/drawingml/2006/picture">
                  <pic:nvPicPr>
                    <pic:cNvPr id="1048634" name="Picture 1048634"/>
                    <pic:cNvPicPr/>
                  </pic:nvPicPr>
                  <pic:blipFill>
                    <a:blip r:embed="rId123"/>
                    <a:stretch>
                      <a:fillRect/>
                    </a:stretch>
                  </pic:blipFill>
                  <pic:spPr>
                    <a:xfrm>
                      <a:off x="0" y="0"/>
                      <a:ext cx="1267968" cy="161544"/>
                    </a:xfrm>
                    <a:prstGeom prst="rect">
                      <a:avLst/>
                    </a:prstGeom>
                  </pic:spPr>
                </pic:pic>
              </a:graphicData>
            </a:graphic>
          </wp:inline>
        </w:drawing>
      </w:r>
      <w:r>
        <w:rPr>
          <w:rFonts w:ascii="Times New Roman" w:eastAsia="Times New Roman" w:hAnsi="Times New Roman" w:cs="Times New Roman"/>
          <w:sz w:val="28"/>
        </w:rPr>
        <w:t xml:space="preserve">екенін ескере отырып, жоғарыдағы алгоритмді қайтадан қолдануға болады. </w:t>
      </w:r>
    </w:p>
    <w:p w:rsidR="0052701D" w:rsidRDefault="00D40929">
      <w:pPr>
        <w:spacing w:after="0"/>
        <w:ind w:left="711"/>
      </w:pPr>
      <w:r>
        <w:rPr>
          <w:rFonts w:ascii="Times New Roman" w:eastAsia="Times New Roman" w:hAnsi="Times New Roman" w:cs="Times New Roman"/>
          <w:sz w:val="28"/>
        </w:rPr>
        <w:t xml:space="preserve"> </w:t>
      </w:r>
    </w:p>
    <w:p w:rsidR="0052701D" w:rsidRDefault="00D40929">
      <w:pPr>
        <w:spacing w:after="0"/>
        <w:ind w:right="1190"/>
        <w:jc w:val="right"/>
      </w:pPr>
      <w:r>
        <w:rPr>
          <w:noProof/>
        </w:rPr>
        <w:lastRenderedPageBreak/>
        <w:drawing>
          <wp:inline distT="0" distB="0" distL="0" distR="0">
            <wp:extent cx="4608576" cy="5068824"/>
            <wp:effectExtent l="0" t="0" r="0" b="0"/>
            <wp:docPr id="4738" name="Picture 4738"/>
            <wp:cNvGraphicFramePr/>
            <a:graphic xmlns:a="http://schemas.openxmlformats.org/drawingml/2006/main">
              <a:graphicData uri="http://schemas.openxmlformats.org/drawingml/2006/picture">
                <pic:pic xmlns:pic="http://schemas.openxmlformats.org/drawingml/2006/picture">
                  <pic:nvPicPr>
                    <pic:cNvPr id="4738" name="Picture 4738"/>
                    <pic:cNvPicPr/>
                  </pic:nvPicPr>
                  <pic:blipFill>
                    <a:blip r:embed="rId124"/>
                    <a:stretch>
                      <a:fillRect/>
                    </a:stretch>
                  </pic:blipFill>
                  <pic:spPr>
                    <a:xfrm>
                      <a:off x="0" y="0"/>
                      <a:ext cx="4608576" cy="5068824"/>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0"/>
        <w:ind w:left="649"/>
        <w:jc w:val="center"/>
      </w:pPr>
      <w:r>
        <w:rPr>
          <w:rFonts w:ascii="Times New Roman" w:eastAsia="Times New Roman" w:hAnsi="Times New Roman" w:cs="Times New Roman"/>
          <w:sz w:val="28"/>
        </w:rPr>
        <w:t xml:space="preserve"> </w:t>
      </w:r>
    </w:p>
    <w:p w:rsidR="0052701D" w:rsidRDefault="00D40929">
      <w:pPr>
        <w:spacing w:after="29" w:line="248" w:lineRule="auto"/>
        <w:ind w:left="2166" w:right="14"/>
        <w:jc w:val="both"/>
      </w:pPr>
      <w:r>
        <w:rPr>
          <w:rFonts w:ascii="Times New Roman" w:eastAsia="Times New Roman" w:hAnsi="Times New Roman" w:cs="Times New Roman"/>
          <w:sz w:val="24"/>
        </w:rPr>
        <w:t>Сур</w:t>
      </w:r>
      <w:r>
        <w:rPr>
          <w:rFonts w:ascii="Times New Roman" w:eastAsia="Times New Roman" w:hAnsi="Times New Roman" w:cs="Times New Roman"/>
          <w:sz w:val="24"/>
        </w:rPr>
        <w:t xml:space="preserve">ет 2.Айналмалы жұптары бар БКТ модификациялары </w:t>
      </w:r>
    </w:p>
    <w:p w:rsidR="0052701D" w:rsidRDefault="00D40929">
      <w:pPr>
        <w:spacing w:after="0"/>
        <w:ind w:right="945"/>
        <w:jc w:val="center"/>
      </w:pPr>
      <w:r>
        <w:rPr>
          <w:rFonts w:ascii="Times New Roman" w:eastAsia="Times New Roman" w:hAnsi="Times New Roman" w:cs="Times New Roman"/>
          <w:sz w:val="28"/>
        </w:rPr>
        <w:t xml:space="preserve"> </w:t>
      </w:r>
    </w:p>
    <w:p w:rsidR="0052701D" w:rsidRDefault="00D40929">
      <w:pPr>
        <w:spacing w:after="5" w:line="271" w:lineRule="auto"/>
        <w:ind w:left="9" w:right="132" w:firstLine="711"/>
        <w:jc w:val="both"/>
      </w:pPr>
      <w:r>
        <w:rPr>
          <w:rFonts w:ascii="Times New Roman" w:eastAsia="Times New Roman" w:hAnsi="Times New Roman" w:cs="Times New Roman"/>
          <w:sz w:val="28"/>
        </w:rPr>
        <w:t xml:space="preserve">3. </w:t>
      </w:r>
      <w:r>
        <w:rPr>
          <w:noProof/>
        </w:rPr>
        <w:drawing>
          <wp:inline distT="0" distB="0" distL="0" distR="0">
            <wp:extent cx="1011936" cy="161544"/>
            <wp:effectExtent l="0" t="0" r="0" b="0"/>
            <wp:docPr id="1048636" name="Picture 1048636"/>
            <wp:cNvGraphicFramePr/>
            <a:graphic xmlns:a="http://schemas.openxmlformats.org/drawingml/2006/main">
              <a:graphicData uri="http://schemas.openxmlformats.org/drawingml/2006/picture">
                <pic:pic xmlns:pic="http://schemas.openxmlformats.org/drawingml/2006/picture">
                  <pic:nvPicPr>
                    <pic:cNvPr id="1048636" name="Picture 1048636"/>
                    <pic:cNvPicPr/>
                  </pic:nvPicPr>
                  <pic:blipFill>
                    <a:blip r:embed="rId125"/>
                    <a:stretch>
                      <a:fillRect/>
                    </a:stretch>
                  </pic:blipFill>
                  <pic:spPr>
                    <a:xfrm>
                      <a:off x="0" y="0"/>
                      <a:ext cx="1011936" cy="161544"/>
                    </a:xfrm>
                    <a:prstGeom prst="rect">
                      <a:avLst/>
                    </a:prstGeom>
                  </pic:spPr>
                </pic:pic>
              </a:graphicData>
            </a:graphic>
          </wp:inline>
        </w:drawing>
      </w:r>
      <w:r>
        <w:rPr>
          <w:rFonts w:ascii="Times New Roman" w:eastAsia="Times New Roman" w:hAnsi="Times New Roman" w:cs="Times New Roman"/>
          <w:sz w:val="28"/>
        </w:rPr>
        <w:t xml:space="preserve">, </w:t>
      </w:r>
      <w:r>
        <w:rPr>
          <w:rFonts w:ascii="Times New Roman" w:eastAsia="Times New Roman" w:hAnsi="Times New Roman" w:cs="Times New Roman"/>
          <w:i/>
          <w:sz w:val="28"/>
        </w:rPr>
        <w:t xml:space="preserve">В </w:t>
      </w:r>
      <w:r>
        <w:rPr>
          <w:rFonts w:ascii="Times New Roman" w:eastAsia="Times New Roman" w:hAnsi="Times New Roman" w:cs="Times New Roman"/>
          <w:sz w:val="28"/>
        </w:rPr>
        <w:t xml:space="preserve">нүктелері </w:t>
      </w:r>
      <w:r>
        <w:rPr>
          <w:noProof/>
        </w:rPr>
        <w:drawing>
          <wp:inline distT="0" distB="0" distL="0" distR="0">
            <wp:extent cx="167640" cy="161544"/>
            <wp:effectExtent l="0" t="0" r="0" b="0"/>
            <wp:docPr id="1048637" name="Picture 1048637"/>
            <wp:cNvGraphicFramePr/>
            <a:graphic xmlns:a="http://schemas.openxmlformats.org/drawingml/2006/main">
              <a:graphicData uri="http://schemas.openxmlformats.org/drawingml/2006/picture">
                <pic:pic xmlns:pic="http://schemas.openxmlformats.org/drawingml/2006/picture">
                  <pic:nvPicPr>
                    <pic:cNvPr id="1048637" name="Picture 1048637"/>
                    <pic:cNvPicPr/>
                  </pic:nvPicPr>
                  <pic:blipFill>
                    <a:blip r:embed="rId126"/>
                    <a:stretch>
                      <a:fillRect/>
                    </a:stretch>
                  </pic:blipFill>
                  <pic:spPr>
                    <a:xfrm>
                      <a:off x="0" y="0"/>
                      <a:ext cx="167640" cy="161544"/>
                    </a:xfrm>
                    <a:prstGeom prst="rect">
                      <a:avLst/>
                    </a:prstGeom>
                  </pic:spPr>
                </pic:pic>
              </a:graphicData>
            </a:graphic>
          </wp:inline>
        </w:drawing>
      </w:r>
      <w:r>
        <w:rPr>
          <w:rFonts w:ascii="Times New Roman" w:eastAsia="Times New Roman" w:hAnsi="Times New Roman" w:cs="Times New Roman"/>
          <w:sz w:val="28"/>
        </w:rPr>
        <w:t xml:space="preserve"> дененің және </w:t>
      </w:r>
      <w:r>
        <w:rPr>
          <w:noProof/>
        </w:rPr>
        <w:drawing>
          <wp:inline distT="0" distB="0" distL="0" distR="0">
            <wp:extent cx="167640" cy="161544"/>
            <wp:effectExtent l="0" t="0" r="0" b="0"/>
            <wp:docPr id="1048638" name="Picture 1048638"/>
            <wp:cNvGraphicFramePr/>
            <a:graphic xmlns:a="http://schemas.openxmlformats.org/drawingml/2006/main">
              <a:graphicData uri="http://schemas.openxmlformats.org/drawingml/2006/picture">
                <pic:pic xmlns:pic="http://schemas.openxmlformats.org/drawingml/2006/picture">
                  <pic:nvPicPr>
                    <pic:cNvPr id="1048638" name="Picture 1048638"/>
                    <pic:cNvPicPr/>
                  </pic:nvPicPr>
                  <pic:blipFill>
                    <a:blip r:embed="rId127"/>
                    <a:stretch>
                      <a:fillRect/>
                    </a:stretch>
                  </pic:blipFill>
                  <pic:spPr>
                    <a:xfrm>
                      <a:off x="0" y="0"/>
                      <a:ext cx="167640" cy="161544"/>
                    </a:xfrm>
                    <a:prstGeom prst="rect">
                      <a:avLst/>
                    </a:prstGeom>
                  </pic:spPr>
                </pic:pic>
              </a:graphicData>
            </a:graphic>
          </wp:inline>
        </w:drawing>
      </w:r>
      <w:r>
        <w:rPr>
          <w:rFonts w:ascii="Times New Roman" w:eastAsia="Times New Roman" w:hAnsi="Times New Roman" w:cs="Times New Roman"/>
          <w:sz w:val="28"/>
        </w:rPr>
        <w:t xml:space="preserve"> дененің </w:t>
      </w:r>
      <w:r>
        <w:rPr>
          <w:noProof/>
        </w:rPr>
        <w:drawing>
          <wp:inline distT="0" distB="0" distL="0" distR="0">
            <wp:extent cx="697992" cy="204216"/>
            <wp:effectExtent l="0" t="0" r="0" b="0"/>
            <wp:docPr id="1048635" name="Picture 1048635"/>
            <wp:cNvGraphicFramePr/>
            <a:graphic xmlns:a="http://schemas.openxmlformats.org/drawingml/2006/main">
              <a:graphicData uri="http://schemas.openxmlformats.org/drawingml/2006/picture">
                <pic:pic xmlns:pic="http://schemas.openxmlformats.org/drawingml/2006/picture">
                  <pic:nvPicPr>
                    <pic:cNvPr id="1048635" name="Picture 1048635"/>
                    <pic:cNvPicPr/>
                  </pic:nvPicPr>
                  <pic:blipFill>
                    <a:blip r:embed="rId128"/>
                    <a:stretch>
                      <a:fillRect/>
                    </a:stretch>
                  </pic:blipFill>
                  <pic:spPr>
                    <a:xfrm>
                      <a:off x="0" y="0"/>
                      <a:ext cx="697992" cy="204216"/>
                    </a:xfrm>
                    <a:prstGeom prst="rect">
                      <a:avLst/>
                    </a:prstGeom>
                  </pic:spPr>
                </pic:pic>
              </a:graphicData>
            </a:graphic>
          </wp:inline>
        </w:drawing>
      </w:r>
      <w:r>
        <w:rPr>
          <w:rFonts w:ascii="Times New Roman" w:eastAsia="Times New Roman" w:hAnsi="Times New Roman" w:cs="Times New Roman"/>
          <w:sz w:val="28"/>
        </w:rPr>
        <w:t xml:space="preserve"> Эйлер бұрыштары болсын. Бастапқы міндет </w:t>
      </w:r>
      <w:r>
        <w:rPr>
          <w:noProof/>
        </w:rPr>
        <w:drawing>
          <wp:inline distT="0" distB="0" distL="0" distR="0">
            <wp:extent cx="167640" cy="161544"/>
            <wp:effectExtent l="0" t="0" r="0" b="0"/>
            <wp:docPr id="1048639" name="Picture 1048639"/>
            <wp:cNvGraphicFramePr/>
            <a:graphic xmlns:a="http://schemas.openxmlformats.org/drawingml/2006/main">
              <a:graphicData uri="http://schemas.openxmlformats.org/drawingml/2006/picture">
                <pic:pic xmlns:pic="http://schemas.openxmlformats.org/drawingml/2006/picture">
                  <pic:nvPicPr>
                    <pic:cNvPr id="1048639" name="Picture 1048639"/>
                    <pic:cNvPicPr/>
                  </pic:nvPicPr>
                  <pic:blipFill>
                    <a:blip r:embed="rId129"/>
                    <a:stretch>
                      <a:fillRect/>
                    </a:stretch>
                  </pic:blipFill>
                  <pic:spPr>
                    <a:xfrm>
                      <a:off x="0" y="0"/>
                      <a:ext cx="167640" cy="161544"/>
                    </a:xfrm>
                    <a:prstGeom prst="rect">
                      <a:avLst/>
                    </a:prstGeom>
                  </pic:spPr>
                </pic:pic>
              </a:graphicData>
            </a:graphic>
          </wp:inline>
        </w:drawing>
      </w:r>
      <w:r>
        <w:rPr>
          <w:rFonts w:ascii="Times New Roman" w:eastAsia="Times New Roman" w:hAnsi="Times New Roman" w:cs="Times New Roman"/>
          <w:sz w:val="28"/>
        </w:rPr>
        <w:t xml:space="preserve"> дененің </w:t>
      </w:r>
      <w:r>
        <w:rPr>
          <w:rFonts w:ascii="Times New Roman" w:eastAsia="Times New Roman" w:hAnsi="Times New Roman" w:cs="Times New Roman"/>
          <w:i/>
          <w:sz w:val="28"/>
        </w:rPr>
        <w:t>С</w:t>
      </w:r>
      <w:r>
        <w:rPr>
          <w:rFonts w:ascii="Times New Roman" w:eastAsia="Times New Roman" w:hAnsi="Times New Roman" w:cs="Times New Roman"/>
          <w:sz w:val="28"/>
        </w:rPr>
        <w:t xml:space="preserve"> днүктесінің </w:t>
      </w:r>
      <w:r>
        <w:rPr>
          <w:rFonts w:ascii="Times New Roman" w:eastAsia="Times New Roman" w:hAnsi="Times New Roman" w:cs="Times New Roman"/>
          <w:i/>
          <w:sz w:val="28"/>
        </w:rPr>
        <w:t xml:space="preserve">N </w:t>
      </w:r>
      <w:r>
        <w:rPr>
          <w:rFonts w:ascii="Times New Roman" w:eastAsia="Times New Roman" w:hAnsi="Times New Roman" w:cs="Times New Roman"/>
          <w:sz w:val="28"/>
        </w:rPr>
        <w:t xml:space="preserve">позициясынан ең аз алыстатылған сфераны анықтауға дейін азаяды (2 сурет, 1-1 сурет). </w:t>
      </w:r>
    </w:p>
    <w:p w:rsidR="0052701D" w:rsidRDefault="00D40929">
      <w:pPr>
        <w:spacing w:after="5" w:line="271" w:lineRule="auto"/>
        <w:ind w:left="711" w:right="64"/>
        <w:jc w:val="both"/>
      </w:pPr>
      <w:r>
        <w:rPr>
          <w:rFonts w:ascii="Times New Roman" w:eastAsia="Times New Roman" w:hAnsi="Times New Roman" w:cs="Times New Roman"/>
          <w:sz w:val="28"/>
        </w:rPr>
        <w:t xml:space="preserve">Бұл жағдайда </w:t>
      </w:r>
      <w:r>
        <w:rPr>
          <w:rFonts w:ascii="Times New Roman" w:eastAsia="Times New Roman" w:hAnsi="Times New Roman" w:cs="Times New Roman"/>
          <w:i/>
          <w:sz w:val="28"/>
        </w:rPr>
        <w:t xml:space="preserve">S </w:t>
      </w:r>
      <w:r>
        <w:rPr>
          <w:rFonts w:ascii="Times New Roman" w:eastAsia="Times New Roman" w:hAnsi="Times New Roman" w:cs="Times New Roman"/>
          <w:sz w:val="28"/>
        </w:rPr>
        <w:t xml:space="preserve">сомасының қажетті минималды шарттары: </w:t>
      </w:r>
    </w:p>
    <w:p w:rsidR="0052701D" w:rsidRDefault="00D40929">
      <w:pPr>
        <w:spacing w:after="49"/>
        <w:ind w:left="2704"/>
      </w:pPr>
      <w:r>
        <w:rPr>
          <w:noProof/>
        </w:rPr>
        <w:drawing>
          <wp:inline distT="0" distB="0" distL="0" distR="0">
            <wp:extent cx="2602992" cy="417576"/>
            <wp:effectExtent l="0" t="0" r="0" b="0"/>
            <wp:docPr id="1048640" name="Picture 1048640"/>
            <wp:cNvGraphicFramePr/>
            <a:graphic xmlns:a="http://schemas.openxmlformats.org/drawingml/2006/main">
              <a:graphicData uri="http://schemas.openxmlformats.org/drawingml/2006/picture">
                <pic:pic xmlns:pic="http://schemas.openxmlformats.org/drawingml/2006/picture">
                  <pic:nvPicPr>
                    <pic:cNvPr id="1048640" name="Picture 1048640"/>
                    <pic:cNvPicPr/>
                  </pic:nvPicPr>
                  <pic:blipFill>
                    <a:blip r:embed="rId130"/>
                    <a:stretch>
                      <a:fillRect/>
                    </a:stretch>
                  </pic:blipFill>
                  <pic:spPr>
                    <a:xfrm>
                      <a:off x="0" y="0"/>
                      <a:ext cx="2602992" cy="417576"/>
                    </a:xfrm>
                    <a:prstGeom prst="rect">
                      <a:avLst/>
                    </a:prstGeom>
                  </pic:spPr>
                </pic:pic>
              </a:graphicData>
            </a:graphic>
          </wp:inline>
        </w:drawing>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Берілген синтез алгоритмін қолдана отырып, 1-кестеде көрсетілген айналмалы жұптары бар БКТ-нің әртүрлі модификацияларын алуға болады. </w:t>
      </w:r>
    </w:p>
    <w:p w:rsidR="0052701D" w:rsidRDefault="00D40929">
      <w:pPr>
        <w:spacing w:after="5" w:line="271" w:lineRule="auto"/>
        <w:ind w:left="9" w:right="135" w:firstLine="711"/>
        <w:jc w:val="both"/>
      </w:pPr>
      <w:r>
        <w:rPr>
          <w:rFonts w:ascii="Times New Roman" w:eastAsia="Times New Roman" w:hAnsi="Times New Roman" w:cs="Times New Roman"/>
          <w:sz w:val="28"/>
        </w:rPr>
        <w:t xml:space="preserve"> Осылайша, көріп отырғанымыздай, айналмалы кинематикалық жұптары </w:t>
      </w:r>
      <w:r>
        <w:rPr>
          <w:rFonts w:ascii="Times New Roman" w:eastAsia="Times New Roman" w:hAnsi="Times New Roman" w:cs="Times New Roman"/>
          <w:sz w:val="28"/>
        </w:rPr>
        <w:t xml:space="preserve">бар БКТ синтезі және олардың модификациясы мәселесі шешілді, оларды кеңістіктік иінтіректі механизмдері мен робот манипуляторларының құрылымдық-кинематикалық синтезінің модульдері ретінде пайдалануға болады. </w:t>
      </w:r>
    </w:p>
    <w:p w:rsidR="0052701D" w:rsidRDefault="00D40929">
      <w:pPr>
        <w:spacing w:after="5" w:line="216" w:lineRule="auto"/>
        <w:ind w:left="9" w:right="64" w:firstLine="711"/>
        <w:jc w:val="both"/>
      </w:pPr>
      <w:r>
        <w:rPr>
          <w:rFonts w:ascii="Times New Roman" w:eastAsia="Times New Roman" w:hAnsi="Times New Roman" w:cs="Times New Roman"/>
          <w:sz w:val="28"/>
        </w:rPr>
        <w:t>Кіріс және шығыс буындардың берілген орындары б</w:t>
      </w:r>
      <w:r>
        <w:rPr>
          <w:rFonts w:ascii="Times New Roman" w:eastAsia="Times New Roman" w:hAnsi="Times New Roman" w:cs="Times New Roman"/>
          <w:sz w:val="28"/>
        </w:rPr>
        <w:t xml:space="preserve">ойынша қозғалатын алты буынды механизмдердің синтезін қарастырайық. </w:t>
      </w:r>
      <w:r>
        <w:rPr>
          <w:noProof/>
        </w:rPr>
        <w:drawing>
          <wp:inline distT="0" distB="0" distL="0" distR="0">
            <wp:extent cx="1350264" cy="201168"/>
            <wp:effectExtent l="0" t="0" r="0" b="0"/>
            <wp:docPr id="1048641" name="Picture 1048641"/>
            <wp:cNvGraphicFramePr/>
            <a:graphic xmlns:a="http://schemas.openxmlformats.org/drawingml/2006/main">
              <a:graphicData uri="http://schemas.openxmlformats.org/drawingml/2006/picture">
                <pic:pic xmlns:pic="http://schemas.openxmlformats.org/drawingml/2006/picture">
                  <pic:nvPicPr>
                    <pic:cNvPr id="1048641" name="Picture 1048641"/>
                    <pic:cNvPicPr/>
                  </pic:nvPicPr>
                  <pic:blipFill>
                    <a:blip r:embed="rId131"/>
                    <a:stretch>
                      <a:fillRect/>
                    </a:stretch>
                  </pic:blipFill>
                  <pic:spPr>
                    <a:xfrm>
                      <a:off x="0" y="0"/>
                      <a:ext cx="1350264" cy="201168"/>
                    </a:xfrm>
                    <a:prstGeom prst="rect">
                      <a:avLst/>
                    </a:prstGeom>
                  </pic:spPr>
                </pic:pic>
              </a:graphicData>
            </a:graphic>
          </wp:inline>
        </w:drawing>
      </w:r>
    </w:p>
    <w:p w:rsidR="0052701D" w:rsidRDefault="00D40929">
      <w:pPr>
        <w:spacing w:after="3"/>
        <w:ind w:left="10" w:right="129" w:hanging="10"/>
        <w:jc w:val="right"/>
      </w:pPr>
      <w:r>
        <w:rPr>
          <w:noProof/>
        </w:rPr>
        <w:drawing>
          <wp:inline distT="0" distB="0" distL="0" distR="0">
            <wp:extent cx="1365504" cy="201168"/>
            <wp:effectExtent l="0" t="0" r="0" b="0"/>
            <wp:docPr id="1048642" name="Picture 1048642"/>
            <wp:cNvGraphicFramePr/>
            <a:graphic xmlns:a="http://schemas.openxmlformats.org/drawingml/2006/main">
              <a:graphicData uri="http://schemas.openxmlformats.org/drawingml/2006/picture">
                <pic:pic xmlns:pic="http://schemas.openxmlformats.org/drawingml/2006/picture">
                  <pic:nvPicPr>
                    <pic:cNvPr id="1048642" name="Picture 1048642"/>
                    <pic:cNvPicPr/>
                  </pic:nvPicPr>
                  <pic:blipFill>
                    <a:blip r:embed="rId132"/>
                    <a:stretch>
                      <a:fillRect/>
                    </a:stretch>
                  </pic:blipFill>
                  <pic:spPr>
                    <a:xfrm>
                      <a:off x="0" y="0"/>
                      <a:ext cx="1365504" cy="201168"/>
                    </a:xfrm>
                    <a:prstGeom prst="rect">
                      <a:avLst/>
                    </a:prstGeom>
                  </pic:spPr>
                </pic:pic>
              </a:graphicData>
            </a:graphic>
          </wp:inline>
        </w:drawing>
      </w:r>
      <w:r>
        <w:rPr>
          <w:rFonts w:ascii="Times New Roman" w:eastAsia="Times New Roman" w:hAnsi="Times New Roman" w:cs="Times New Roman"/>
          <w:sz w:val="28"/>
        </w:rPr>
        <w:t xml:space="preserve"> кіріс буынының және </w:t>
      </w:r>
      <w:r>
        <w:rPr>
          <w:noProof/>
        </w:rPr>
        <w:drawing>
          <wp:inline distT="0" distB="0" distL="0" distR="0">
            <wp:extent cx="1972056" cy="225552"/>
            <wp:effectExtent l="0" t="0" r="0" b="0"/>
            <wp:docPr id="1048643" name="Picture 1048643"/>
            <wp:cNvGraphicFramePr/>
            <a:graphic xmlns:a="http://schemas.openxmlformats.org/drawingml/2006/main">
              <a:graphicData uri="http://schemas.openxmlformats.org/drawingml/2006/picture">
                <pic:pic xmlns:pic="http://schemas.openxmlformats.org/drawingml/2006/picture">
                  <pic:nvPicPr>
                    <pic:cNvPr id="1048643" name="Picture 1048643"/>
                    <pic:cNvPicPr/>
                  </pic:nvPicPr>
                  <pic:blipFill>
                    <a:blip r:embed="rId133"/>
                    <a:stretch>
                      <a:fillRect/>
                    </a:stretch>
                  </pic:blipFill>
                  <pic:spPr>
                    <a:xfrm>
                      <a:off x="0" y="0"/>
                      <a:ext cx="1972056" cy="225552"/>
                    </a:xfrm>
                    <a:prstGeom prst="rect">
                      <a:avLst/>
                    </a:prstGeom>
                  </pic:spPr>
                </pic:pic>
              </a:graphicData>
            </a:graphic>
          </wp:inline>
        </w:drawing>
      </w:r>
      <w:r>
        <w:rPr>
          <w:rFonts w:ascii="Times New Roman" w:eastAsia="Times New Roman" w:hAnsi="Times New Roman" w:cs="Times New Roman"/>
          <w:sz w:val="28"/>
        </w:rPr>
        <w:t xml:space="preserve"> шығыс </w:t>
      </w:r>
    </w:p>
    <w:p w:rsidR="0052701D" w:rsidRDefault="00D40929">
      <w:pPr>
        <w:spacing w:after="5" w:line="271" w:lineRule="auto"/>
        <w:ind w:left="9" w:right="135"/>
        <w:jc w:val="both"/>
      </w:pPr>
      <w:r>
        <w:rPr>
          <w:rFonts w:ascii="Times New Roman" w:eastAsia="Times New Roman" w:hAnsi="Times New Roman" w:cs="Times New Roman"/>
          <w:sz w:val="28"/>
        </w:rPr>
        <w:lastRenderedPageBreak/>
        <w:t xml:space="preserve">буынының қозғалыс заңдары болсын. Тірекке қатысты </w:t>
      </w:r>
      <w:r>
        <w:rPr>
          <w:rFonts w:ascii="Times New Roman" w:eastAsia="Times New Roman" w:hAnsi="Times New Roman" w:cs="Times New Roman"/>
          <w:i/>
          <w:sz w:val="28"/>
        </w:rPr>
        <w:t>ABCD</w:t>
      </w:r>
      <w:r>
        <w:rPr>
          <w:rFonts w:ascii="Times New Roman" w:eastAsia="Times New Roman" w:hAnsi="Times New Roman" w:cs="Times New Roman"/>
          <w:sz w:val="28"/>
        </w:rPr>
        <w:t xml:space="preserve"> БКТ қозғалыс дәрежелерінің саны кіріс және шығыс байланысының қозғалғыштығының қосындысына тең, меха</w:t>
      </w:r>
      <w:r>
        <w:rPr>
          <w:rFonts w:ascii="Times New Roman" w:eastAsia="Times New Roman" w:hAnsi="Times New Roman" w:cs="Times New Roman"/>
          <w:sz w:val="28"/>
        </w:rPr>
        <w:t xml:space="preserve">низм </w:t>
      </w:r>
      <w:r>
        <w:rPr>
          <w:rFonts w:ascii="Times New Roman" w:eastAsia="Times New Roman" w:hAnsi="Times New Roman" w:cs="Times New Roman"/>
          <w:i/>
          <w:sz w:val="28"/>
        </w:rPr>
        <w:t xml:space="preserve">W = 5. ABCD </w:t>
      </w:r>
      <w:r>
        <w:rPr>
          <w:rFonts w:ascii="Times New Roman" w:eastAsia="Times New Roman" w:hAnsi="Times New Roman" w:cs="Times New Roman"/>
          <w:sz w:val="28"/>
        </w:rPr>
        <w:t xml:space="preserve">БКТ-де бір қозғалғыштық дәрежесі бар механизм алу үшін теріс қозғалғыштық </w:t>
      </w:r>
      <w:r>
        <w:rPr>
          <w:rFonts w:ascii="Times New Roman" w:eastAsia="Times New Roman" w:hAnsi="Times New Roman" w:cs="Times New Roman"/>
          <w:i/>
          <w:sz w:val="28"/>
        </w:rPr>
        <w:t>W = -4</w:t>
      </w:r>
      <w:r>
        <w:rPr>
          <w:rFonts w:ascii="Times New Roman" w:eastAsia="Times New Roman" w:hAnsi="Times New Roman" w:cs="Times New Roman"/>
          <w:sz w:val="28"/>
        </w:rPr>
        <w:t xml:space="preserve"> дәрежесімен геометриялық байланыс орнату керек. Ол үшін</w:t>
      </w:r>
      <w:r>
        <w:rPr>
          <w:rFonts w:ascii="Times New Roman" w:eastAsia="Times New Roman" w:hAnsi="Times New Roman" w:cs="Times New Roman"/>
          <w:i/>
          <w:sz w:val="28"/>
        </w:rPr>
        <w:t xml:space="preserve"> W = -2</w:t>
      </w:r>
      <w:r>
        <w:rPr>
          <w:rFonts w:ascii="Times New Roman" w:eastAsia="Times New Roman" w:hAnsi="Times New Roman" w:cs="Times New Roman"/>
          <w:sz w:val="28"/>
        </w:rPr>
        <w:t xml:space="preserve"> еркіндік дәрежесі бар </w:t>
      </w:r>
      <w:r>
        <w:rPr>
          <w:rFonts w:ascii="Times New Roman" w:eastAsia="Times New Roman" w:hAnsi="Times New Roman" w:cs="Times New Roman"/>
          <w:i/>
          <w:sz w:val="28"/>
        </w:rPr>
        <w:t>ACD</w:t>
      </w:r>
      <w:r>
        <w:rPr>
          <w:rFonts w:ascii="Times New Roman" w:eastAsia="Times New Roman" w:hAnsi="Times New Roman" w:cs="Times New Roman"/>
          <w:sz w:val="28"/>
        </w:rPr>
        <w:t xml:space="preserve"> БКТ модификациясын екі рет қолданамыз (3 сурет). Бастапқыда біз осы м</w:t>
      </w:r>
      <w:r>
        <w:rPr>
          <w:rFonts w:ascii="Times New Roman" w:eastAsia="Times New Roman" w:hAnsi="Times New Roman" w:cs="Times New Roman"/>
          <w:sz w:val="28"/>
        </w:rPr>
        <w:t xml:space="preserve">еханизмді синтездеу үшін мақсатты функцияны келесі түрде құрайтын </w:t>
      </w:r>
      <w:r>
        <w:rPr>
          <w:rFonts w:ascii="Times New Roman" w:eastAsia="Times New Roman" w:hAnsi="Times New Roman" w:cs="Times New Roman"/>
          <w:i/>
          <w:sz w:val="28"/>
        </w:rPr>
        <w:t>ABCD</w:t>
      </w:r>
      <w:r>
        <w:rPr>
          <w:rFonts w:ascii="Times New Roman" w:eastAsia="Times New Roman" w:hAnsi="Times New Roman" w:cs="Times New Roman"/>
          <w:sz w:val="28"/>
        </w:rPr>
        <w:t xml:space="preserve"> БКТ қолданамыз: </w:t>
      </w:r>
    </w:p>
    <w:p w:rsidR="0052701D" w:rsidRDefault="00D40929">
      <w:pPr>
        <w:spacing w:after="0"/>
        <w:ind w:right="1386"/>
        <w:jc w:val="right"/>
      </w:pPr>
      <w:r>
        <w:rPr>
          <w:noProof/>
        </w:rPr>
        <mc:AlternateContent>
          <mc:Choice Requires="wpg">
            <w:drawing>
              <wp:inline distT="0" distB="0" distL="0" distR="0">
                <wp:extent cx="4329207" cy="3402338"/>
                <wp:effectExtent l="0" t="0" r="0" b="0"/>
                <wp:docPr id="908630" name="Group 908630"/>
                <wp:cNvGraphicFramePr/>
                <a:graphic xmlns:a="http://schemas.openxmlformats.org/drawingml/2006/main">
                  <a:graphicData uri="http://schemas.microsoft.com/office/word/2010/wordprocessingGroup">
                    <wpg:wgp>
                      <wpg:cNvGrpSpPr/>
                      <wpg:grpSpPr>
                        <a:xfrm>
                          <a:off x="0" y="0"/>
                          <a:ext cx="4329207" cy="3402338"/>
                          <a:chOff x="0" y="0"/>
                          <a:chExt cx="4329207" cy="3402338"/>
                        </a:xfrm>
                      </wpg:grpSpPr>
                      <wps:wsp>
                        <wps:cNvPr id="4864" name="Rectangle 4864"/>
                        <wps:cNvSpPr/>
                        <wps:spPr>
                          <a:xfrm>
                            <a:off x="0" y="224196"/>
                            <a:ext cx="124380" cy="235122"/>
                          </a:xfrm>
                          <a:prstGeom prst="rect">
                            <a:avLst/>
                          </a:prstGeom>
                          <a:ln>
                            <a:noFill/>
                          </a:ln>
                        </wps:spPr>
                        <wps:txbx>
                          <w:txbxContent>
                            <w:p w:rsidR="0052701D" w:rsidRDefault="00D40929">
                              <w:r>
                                <w:rPr>
                                  <w:rFonts w:ascii="Cambria Math" w:eastAsia="Cambria Math" w:hAnsi="Cambria Math" w:cs="Cambria Math"/>
                                  <w:sz w:val="28"/>
                                </w:rPr>
                                <w:t>𝑆</w:t>
                              </w:r>
                            </w:p>
                          </w:txbxContent>
                        </wps:txbx>
                        <wps:bodyPr horzOverflow="overflow" vert="horz" lIns="0" tIns="0" rIns="0" bIns="0" rtlCol="0">
                          <a:noAutofit/>
                        </wps:bodyPr>
                      </wps:wsp>
                      <wps:wsp>
                        <wps:cNvPr id="4865" name="Rectangle 4865"/>
                        <wps:cNvSpPr/>
                        <wps:spPr>
                          <a:xfrm>
                            <a:off x="82296" y="298705"/>
                            <a:ext cx="98581" cy="170261"/>
                          </a:xfrm>
                          <a:prstGeom prst="rect">
                            <a:avLst/>
                          </a:prstGeom>
                          <a:ln>
                            <a:noFill/>
                          </a:ln>
                        </wps:spPr>
                        <wps:txbx>
                          <w:txbxContent>
                            <w:p w:rsidR="0052701D" w:rsidRDefault="00D40929">
                              <w:r>
                                <w:rPr>
                                  <w:rFonts w:ascii="Cambria Math" w:eastAsia="Cambria Math" w:hAnsi="Cambria Math" w:cs="Cambria Math"/>
                                  <w:sz w:val="20"/>
                                </w:rPr>
                                <w:t>1</w:t>
                              </w:r>
                            </w:p>
                          </w:txbxContent>
                        </wps:txbx>
                        <wps:bodyPr horzOverflow="overflow" vert="horz" lIns="0" tIns="0" rIns="0" bIns="0" rtlCol="0">
                          <a:noAutofit/>
                        </wps:bodyPr>
                      </wps:wsp>
                      <wps:wsp>
                        <wps:cNvPr id="4866" name="Rectangle 4866"/>
                        <wps:cNvSpPr/>
                        <wps:spPr>
                          <a:xfrm>
                            <a:off x="213614" y="224196"/>
                            <a:ext cx="175637" cy="235122"/>
                          </a:xfrm>
                          <a:prstGeom prst="rect">
                            <a:avLst/>
                          </a:prstGeom>
                          <a:ln>
                            <a:noFill/>
                          </a:ln>
                        </wps:spPr>
                        <wps:txbx>
                          <w:txbxContent>
                            <w:p w:rsidR="0052701D" w:rsidRDefault="00D40929">
                              <w:r>
                                <w:rPr>
                                  <w:rFonts w:ascii="Cambria Math" w:eastAsia="Cambria Math" w:hAnsi="Cambria Math" w:cs="Cambria Math"/>
                                  <w:sz w:val="28"/>
                                </w:rPr>
                                <w:t>=</w:t>
                              </w:r>
                            </w:p>
                          </w:txbxContent>
                        </wps:txbx>
                        <wps:bodyPr horzOverflow="overflow" vert="horz" lIns="0" tIns="0" rIns="0" bIns="0" rtlCol="0">
                          <a:noAutofit/>
                        </wps:bodyPr>
                      </wps:wsp>
                      <wps:wsp>
                        <wps:cNvPr id="4867" name="Rectangle 4867"/>
                        <wps:cNvSpPr/>
                        <wps:spPr>
                          <a:xfrm>
                            <a:off x="393446" y="224196"/>
                            <a:ext cx="311773" cy="235122"/>
                          </a:xfrm>
                          <a:prstGeom prst="rect">
                            <a:avLst/>
                          </a:prstGeom>
                          <a:ln>
                            <a:noFill/>
                          </a:ln>
                        </wps:spPr>
                        <wps:txbx>
                          <w:txbxContent>
                            <w:p w:rsidR="0052701D" w:rsidRDefault="00D40929">
                              <w:r>
                                <w:rPr>
                                  <w:rFonts w:ascii="Cambria Math" w:eastAsia="Cambria Math" w:hAnsi="Cambria Math" w:cs="Cambria Math"/>
                                  <w:sz w:val="28"/>
                                </w:rPr>
                                <w:t>∑</w:t>
                              </w:r>
                            </w:p>
                          </w:txbxContent>
                        </wps:txbx>
                        <wps:bodyPr horzOverflow="overflow" vert="horz" lIns="0" tIns="0" rIns="0" bIns="0" rtlCol="0">
                          <a:noAutofit/>
                        </wps:bodyPr>
                      </wps:wsp>
                      <wps:wsp>
                        <wps:cNvPr id="4868" name="Rectangle 4868"/>
                        <wps:cNvSpPr/>
                        <wps:spPr>
                          <a:xfrm>
                            <a:off x="460502" y="0"/>
                            <a:ext cx="128718" cy="170262"/>
                          </a:xfrm>
                          <a:prstGeom prst="rect">
                            <a:avLst/>
                          </a:prstGeom>
                          <a:ln>
                            <a:noFill/>
                          </a:ln>
                        </wps:spPr>
                        <wps:txbx>
                          <w:txbxContent>
                            <w:p w:rsidR="0052701D" w:rsidRDefault="00D40929">
                              <w:r>
                                <w:rPr>
                                  <w:rFonts w:ascii="Cambria Math" w:eastAsia="Cambria Math" w:hAnsi="Cambria Math" w:cs="Cambria Math"/>
                                  <w:sz w:val="20"/>
                                </w:rPr>
                                <w:t>𝑁</w:t>
                              </w:r>
                            </w:p>
                          </w:txbxContent>
                        </wps:txbx>
                        <wps:bodyPr horzOverflow="overflow" vert="horz" lIns="0" tIns="0" rIns="0" bIns="0" rtlCol="0">
                          <a:noAutofit/>
                        </wps:bodyPr>
                      </wps:wsp>
                      <wps:wsp>
                        <wps:cNvPr id="4869" name="Rectangle 4869"/>
                        <wps:cNvSpPr/>
                        <wps:spPr>
                          <a:xfrm>
                            <a:off x="402590" y="490729"/>
                            <a:ext cx="59762" cy="170261"/>
                          </a:xfrm>
                          <a:prstGeom prst="rect">
                            <a:avLst/>
                          </a:prstGeom>
                          <a:ln>
                            <a:noFill/>
                          </a:ln>
                        </wps:spPr>
                        <wps:txbx>
                          <w:txbxContent>
                            <w:p w:rsidR="0052701D" w:rsidRDefault="00D40929">
                              <w:r>
                                <w:rPr>
                                  <w:rFonts w:ascii="Cambria Math" w:eastAsia="Cambria Math" w:hAnsi="Cambria Math" w:cs="Cambria Math"/>
                                  <w:sz w:val="20"/>
                                </w:rPr>
                                <w:t>𝑖</w:t>
                              </w:r>
                            </w:p>
                          </w:txbxContent>
                        </wps:txbx>
                        <wps:bodyPr horzOverflow="overflow" vert="horz" lIns="0" tIns="0" rIns="0" bIns="0" rtlCol="0">
                          <a:noAutofit/>
                        </wps:bodyPr>
                      </wps:wsp>
                      <wps:wsp>
                        <wps:cNvPr id="4870" name="Rectangle 4870"/>
                        <wps:cNvSpPr/>
                        <wps:spPr>
                          <a:xfrm>
                            <a:off x="454406" y="490729"/>
                            <a:ext cx="123950" cy="170261"/>
                          </a:xfrm>
                          <a:prstGeom prst="rect">
                            <a:avLst/>
                          </a:prstGeom>
                          <a:ln>
                            <a:noFill/>
                          </a:ln>
                        </wps:spPr>
                        <wps:txbx>
                          <w:txbxContent>
                            <w:p w:rsidR="0052701D" w:rsidRDefault="00D40929">
                              <w:r>
                                <w:rPr>
                                  <w:rFonts w:ascii="Cambria Math" w:eastAsia="Cambria Math" w:hAnsi="Cambria Math" w:cs="Cambria Math"/>
                                  <w:sz w:val="20"/>
                                </w:rPr>
                                <w:t>=</w:t>
                              </w:r>
                            </w:p>
                          </w:txbxContent>
                        </wps:txbx>
                        <wps:bodyPr horzOverflow="overflow" vert="horz" lIns="0" tIns="0" rIns="0" bIns="0" rtlCol="0">
                          <a:noAutofit/>
                        </wps:bodyPr>
                      </wps:wsp>
                      <wps:wsp>
                        <wps:cNvPr id="4871" name="Rectangle 4871"/>
                        <wps:cNvSpPr/>
                        <wps:spPr>
                          <a:xfrm>
                            <a:off x="548894" y="490729"/>
                            <a:ext cx="98581" cy="170261"/>
                          </a:xfrm>
                          <a:prstGeom prst="rect">
                            <a:avLst/>
                          </a:prstGeom>
                          <a:ln>
                            <a:noFill/>
                          </a:ln>
                        </wps:spPr>
                        <wps:txbx>
                          <w:txbxContent>
                            <w:p w:rsidR="0052701D" w:rsidRDefault="00D40929">
                              <w:r>
                                <w:rPr>
                                  <w:rFonts w:ascii="Cambria Math" w:eastAsia="Cambria Math" w:hAnsi="Cambria Math" w:cs="Cambria Math"/>
                                  <w:sz w:val="20"/>
                                </w:rPr>
                                <w:t>1</w:t>
                              </w:r>
                            </w:p>
                          </w:txbxContent>
                        </wps:txbx>
                        <wps:bodyPr horzOverflow="overflow" vert="horz" lIns="0" tIns="0" rIns="0" bIns="0" rtlCol="0">
                          <a:noAutofit/>
                        </wps:bodyPr>
                      </wps:wsp>
                      <wps:wsp>
                        <wps:cNvPr id="4872" name="Rectangle 4872"/>
                        <wps:cNvSpPr/>
                        <wps:spPr>
                          <a:xfrm>
                            <a:off x="853694" y="224196"/>
                            <a:ext cx="85820" cy="235122"/>
                          </a:xfrm>
                          <a:prstGeom prst="rect">
                            <a:avLst/>
                          </a:prstGeom>
                          <a:ln>
                            <a:noFill/>
                          </a:ln>
                        </wps:spPr>
                        <wps:txbx>
                          <w:txbxContent>
                            <w:p w:rsidR="0052701D" w:rsidRDefault="00D40929">
                              <w:r>
                                <w:rPr>
                                  <w:rFonts w:ascii="Cambria Math" w:eastAsia="Cambria Math" w:hAnsi="Cambria Math" w:cs="Cambria Math"/>
                                  <w:sz w:val="28"/>
                                </w:rPr>
                                <w:t>[</w:t>
                              </w:r>
                            </w:p>
                          </w:txbxContent>
                        </wps:txbx>
                        <wps:bodyPr horzOverflow="overflow" vert="horz" lIns="0" tIns="0" rIns="0" bIns="0" rtlCol="0">
                          <a:noAutofit/>
                        </wps:bodyPr>
                      </wps:wsp>
                      <wps:wsp>
                        <wps:cNvPr id="4873" name="Rectangle 4873"/>
                        <wps:cNvSpPr/>
                        <wps:spPr>
                          <a:xfrm>
                            <a:off x="918083" y="224196"/>
                            <a:ext cx="144130" cy="235122"/>
                          </a:xfrm>
                          <a:prstGeom prst="rect">
                            <a:avLst/>
                          </a:prstGeom>
                          <a:ln>
                            <a:noFill/>
                          </a:ln>
                        </wps:spPr>
                        <wps:txbx>
                          <w:txbxContent>
                            <w:p w:rsidR="0052701D" w:rsidRDefault="00D40929">
                              <w:r>
                                <w:rPr>
                                  <w:rFonts w:ascii="Cambria Math" w:eastAsia="Cambria Math" w:hAnsi="Cambria Math" w:cs="Cambria Math"/>
                                  <w:sz w:val="28"/>
                                </w:rPr>
                                <w:t>𝛥</w:t>
                              </w:r>
                            </w:p>
                          </w:txbxContent>
                        </wps:txbx>
                        <wps:bodyPr horzOverflow="overflow" vert="horz" lIns="0" tIns="0" rIns="0" bIns="0" rtlCol="0">
                          <a:noAutofit/>
                        </wps:bodyPr>
                      </wps:wsp>
                      <wps:wsp>
                        <wps:cNvPr id="4874" name="Rectangle 4874"/>
                        <wps:cNvSpPr/>
                        <wps:spPr>
                          <a:xfrm>
                            <a:off x="1027811" y="307849"/>
                            <a:ext cx="101986" cy="170261"/>
                          </a:xfrm>
                          <a:prstGeom prst="rect">
                            <a:avLst/>
                          </a:prstGeom>
                          <a:ln>
                            <a:noFill/>
                          </a:ln>
                        </wps:spPr>
                        <wps:txbx>
                          <w:txbxContent>
                            <w:p w:rsidR="0052701D" w:rsidRDefault="00D40929">
                              <w:r>
                                <w:rPr>
                                  <w:rFonts w:ascii="Cambria Math" w:eastAsia="Cambria Math" w:hAnsi="Cambria Math" w:cs="Cambria Math"/>
                                  <w:sz w:val="20"/>
                                </w:rPr>
                                <w:t>𝑞</w:t>
                              </w:r>
                            </w:p>
                          </w:txbxContent>
                        </wps:txbx>
                        <wps:bodyPr horzOverflow="overflow" vert="horz" lIns="0" tIns="0" rIns="0" bIns="0" rtlCol="0">
                          <a:noAutofit/>
                        </wps:bodyPr>
                      </wps:wsp>
                      <wps:wsp>
                        <wps:cNvPr id="4875" name="Rectangle 4875"/>
                        <wps:cNvSpPr/>
                        <wps:spPr>
                          <a:xfrm>
                            <a:off x="1104011" y="356618"/>
                            <a:ext cx="50166" cy="133777"/>
                          </a:xfrm>
                          <a:prstGeom prst="rect">
                            <a:avLst/>
                          </a:prstGeom>
                          <a:ln>
                            <a:noFill/>
                          </a:ln>
                        </wps:spPr>
                        <wps:txbx>
                          <w:txbxContent>
                            <w:p w:rsidR="0052701D" w:rsidRDefault="00D40929">
                              <w:r>
                                <w:rPr>
                                  <w:rFonts w:ascii="Cambria Math" w:eastAsia="Cambria Math" w:hAnsi="Cambria Math" w:cs="Cambria Math"/>
                                  <w:sz w:val="16"/>
                                </w:rPr>
                                <w:t>𝑖</w:t>
                              </w:r>
                            </w:p>
                          </w:txbxContent>
                        </wps:txbx>
                        <wps:bodyPr horzOverflow="overflow" vert="horz" lIns="0" tIns="0" rIns="0" bIns="0" rtlCol="0">
                          <a:noAutofit/>
                        </wps:bodyPr>
                      </wps:wsp>
                      <wps:wsp>
                        <wps:cNvPr id="4876" name="Rectangle 4876"/>
                        <wps:cNvSpPr/>
                        <wps:spPr>
                          <a:xfrm>
                            <a:off x="1024763" y="167640"/>
                            <a:ext cx="70658" cy="170262"/>
                          </a:xfrm>
                          <a:prstGeom prst="rect">
                            <a:avLst/>
                          </a:prstGeom>
                          <a:ln>
                            <a:noFill/>
                          </a:ln>
                        </wps:spPr>
                        <wps:txbx>
                          <w:txbxContent>
                            <w:p w:rsidR="0052701D" w:rsidRDefault="00D40929">
                              <w:r>
                                <w:rPr>
                                  <w:rFonts w:ascii="Cambria Math" w:eastAsia="Cambria Math" w:hAnsi="Cambria Math" w:cs="Cambria Math"/>
                                  <w:sz w:val="20"/>
                                </w:rPr>
                                <w:t>(</w:t>
                              </w:r>
                            </w:p>
                          </w:txbxContent>
                        </wps:txbx>
                        <wps:bodyPr horzOverflow="overflow" vert="horz" lIns="0" tIns="0" rIns="0" bIns="0" rtlCol="0">
                          <a:noAutofit/>
                        </wps:bodyPr>
                      </wps:wsp>
                      <wps:wsp>
                        <wps:cNvPr id="4877" name="Rectangle 4877"/>
                        <wps:cNvSpPr/>
                        <wps:spPr>
                          <a:xfrm>
                            <a:off x="1076579" y="167640"/>
                            <a:ext cx="98581" cy="170262"/>
                          </a:xfrm>
                          <a:prstGeom prst="rect">
                            <a:avLst/>
                          </a:prstGeom>
                          <a:ln>
                            <a:noFill/>
                          </a:ln>
                        </wps:spPr>
                        <wps:txbx>
                          <w:txbxContent>
                            <w:p w:rsidR="0052701D" w:rsidRDefault="00D40929">
                              <w:r>
                                <w:rPr>
                                  <w:rFonts w:ascii="Cambria Math" w:eastAsia="Cambria Math" w:hAnsi="Cambria Math" w:cs="Cambria Math"/>
                                  <w:sz w:val="20"/>
                                </w:rPr>
                                <w:t>1</w:t>
                              </w:r>
                            </w:p>
                          </w:txbxContent>
                        </wps:txbx>
                        <wps:bodyPr horzOverflow="overflow" vert="horz" lIns="0" tIns="0" rIns="0" bIns="0" rtlCol="0">
                          <a:noAutofit/>
                        </wps:bodyPr>
                      </wps:wsp>
                      <wps:wsp>
                        <wps:cNvPr id="4878" name="Rectangle 4878"/>
                        <wps:cNvSpPr/>
                        <wps:spPr>
                          <a:xfrm>
                            <a:off x="1149731" y="167640"/>
                            <a:ext cx="70658" cy="170262"/>
                          </a:xfrm>
                          <a:prstGeom prst="rect">
                            <a:avLst/>
                          </a:prstGeom>
                          <a:ln>
                            <a:noFill/>
                          </a:ln>
                        </wps:spPr>
                        <wps:txbx>
                          <w:txbxContent>
                            <w:p w:rsidR="0052701D" w:rsidRDefault="00D40929">
                              <w:r>
                                <w:rPr>
                                  <w:rFonts w:ascii="Cambria Math" w:eastAsia="Cambria Math" w:hAnsi="Cambria Math" w:cs="Cambria Math"/>
                                  <w:sz w:val="20"/>
                                </w:rPr>
                                <w:t>)</w:t>
                              </w:r>
                            </w:p>
                          </w:txbxContent>
                        </wps:txbx>
                        <wps:bodyPr horzOverflow="overflow" vert="horz" lIns="0" tIns="0" rIns="0" bIns="0" rtlCol="0">
                          <a:noAutofit/>
                        </wps:bodyPr>
                      </wps:wsp>
                      <wps:wsp>
                        <wps:cNvPr id="4879" name="Rectangle 4879"/>
                        <wps:cNvSpPr/>
                        <wps:spPr>
                          <a:xfrm>
                            <a:off x="1210691" y="224196"/>
                            <a:ext cx="97576" cy="235122"/>
                          </a:xfrm>
                          <a:prstGeom prst="rect">
                            <a:avLst/>
                          </a:prstGeom>
                          <a:ln>
                            <a:noFill/>
                          </a:ln>
                        </wps:spPr>
                        <wps:txbx>
                          <w:txbxContent>
                            <w:p w:rsidR="0052701D" w:rsidRDefault="00D40929">
                              <w:r>
                                <w:rPr>
                                  <w:rFonts w:ascii="Cambria Math" w:eastAsia="Cambria Math" w:hAnsi="Cambria Math" w:cs="Cambria Math"/>
                                  <w:sz w:val="28"/>
                                </w:rPr>
                                <w:t>(</w:t>
                              </w:r>
                            </w:p>
                          </w:txbxContent>
                        </wps:txbx>
                        <wps:bodyPr horzOverflow="overflow" vert="horz" lIns="0" tIns="0" rIns="0" bIns="0" rtlCol="0">
                          <a:noAutofit/>
                        </wps:bodyPr>
                      </wps:wsp>
                      <wps:wsp>
                        <wps:cNvPr id="4880" name="Rectangle 4880"/>
                        <wps:cNvSpPr/>
                        <wps:spPr>
                          <a:xfrm>
                            <a:off x="1283843" y="224196"/>
                            <a:ext cx="151654" cy="235122"/>
                          </a:xfrm>
                          <a:prstGeom prst="rect">
                            <a:avLst/>
                          </a:prstGeom>
                          <a:ln>
                            <a:noFill/>
                          </a:ln>
                        </wps:spPr>
                        <wps:txbx>
                          <w:txbxContent>
                            <w:p w:rsidR="0052701D" w:rsidRDefault="00D40929">
                              <w:r>
                                <w:rPr>
                                  <w:rFonts w:ascii="Cambria Math" w:eastAsia="Cambria Math" w:hAnsi="Cambria Math" w:cs="Cambria Math"/>
                                  <w:sz w:val="28"/>
                                </w:rPr>
                                <w:t>𝑋</w:t>
                              </w:r>
                            </w:p>
                          </w:txbxContent>
                        </wps:txbx>
                        <wps:bodyPr horzOverflow="overflow" vert="horz" lIns="0" tIns="0" rIns="0" bIns="0" rtlCol="0">
                          <a:noAutofit/>
                        </wps:bodyPr>
                      </wps:wsp>
                      <wps:wsp>
                        <wps:cNvPr id="4881" name="Rectangle 4881"/>
                        <wps:cNvSpPr/>
                        <wps:spPr>
                          <a:xfrm>
                            <a:off x="1378331" y="298705"/>
                            <a:ext cx="112713" cy="170261"/>
                          </a:xfrm>
                          <a:prstGeom prst="rect">
                            <a:avLst/>
                          </a:prstGeom>
                          <a:ln>
                            <a:noFill/>
                          </a:ln>
                        </wps:spPr>
                        <wps:txbx>
                          <w:txbxContent>
                            <w:p w:rsidR="0052701D" w:rsidRDefault="00D40929">
                              <w:r>
                                <w:rPr>
                                  <w:rFonts w:ascii="Cambria Math" w:eastAsia="Cambria Math" w:hAnsi="Cambria Math" w:cs="Cambria Math"/>
                                  <w:sz w:val="20"/>
                                </w:rPr>
                                <w:t>𝐴</w:t>
                              </w:r>
                            </w:p>
                          </w:txbxContent>
                        </wps:txbx>
                        <wps:bodyPr horzOverflow="overflow" vert="horz" lIns="0" tIns="0" rIns="0" bIns="0" rtlCol="0">
                          <a:noAutofit/>
                        </wps:bodyPr>
                      </wps:wsp>
                      <wps:wsp>
                        <wps:cNvPr id="4882" name="Rectangle 4882"/>
                        <wps:cNvSpPr/>
                        <wps:spPr>
                          <a:xfrm>
                            <a:off x="1475867" y="224196"/>
                            <a:ext cx="48200" cy="235122"/>
                          </a:xfrm>
                          <a:prstGeom prst="rect">
                            <a:avLst/>
                          </a:prstGeom>
                          <a:ln>
                            <a:noFill/>
                          </a:ln>
                        </wps:spPr>
                        <wps:txbx>
                          <w:txbxContent>
                            <w:p w:rsidR="0052701D" w:rsidRDefault="00D40929">
                              <w:r>
                                <w:rPr>
                                  <w:rFonts w:ascii="Cambria Math" w:eastAsia="Cambria Math" w:hAnsi="Cambria Math" w:cs="Cambria Math"/>
                                  <w:sz w:val="28"/>
                                </w:rPr>
                                <w:t>,</w:t>
                              </w:r>
                            </w:p>
                          </w:txbxContent>
                        </wps:txbx>
                        <wps:bodyPr horzOverflow="overflow" vert="horz" lIns="0" tIns="0" rIns="0" bIns="0" rtlCol="0">
                          <a:noAutofit/>
                        </wps:bodyPr>
                      </wps:wsp>
                      <wps:wsp>
                        <wps:cNvPr id="4883" name="Rectangle 4883"/>
                        <wps:cNvSpPr/>
                        <wps:spPr>
                          <a:xfrm>
                            <a:off x="1539875" y="224196"/>
                            <a:ext cx="141779" cy="235122"/>
                          </a:xfrm>
                          <a:prstGeom prst="rect">
                            <a:avLst/>
                          </a:prstGeom>
                          <a:ln>
                            <a:noFill/>
                          </a:ln>
                        </wps:spPr>
                        <wps:txbx>
                          <w:txbxContent>
                            <w:p w:rsidR="0052701D" w:rsidRDefault="00D40929">
                              <w:r>
                                <w:rPr>
                                  <w:rFonts w:ascii="Cambria Math" w:eastAsia="Cambria Math" w:hAnsi="Cambria Math" w:cs="Cambria Math"/>
                                  <w:sz w:val="28"/>
                                </w:rPr>
                                <w:t>𝑌</w:t>
                              </w:r>
                            </w:p>
                          </w:txbxContent>
                        </wps:txbx>
                        <wps:bodyPr horzOverflow="overflow" vert="horz" lIns="0" tIns="0" rIns="0" bIns="0" rtlCol="0">
                          <a:noAutofit/>
                        </wps:bodyPr>
                      </wps:wsp>
                      <wps:wsp>
                        <wps:cNvPr id="4884" name="Rectangle 4884"/>
                        <wps:cNvSpPr/>
                        <wps:spPr>
                          <a:xfrm>
                            <a:off x="1606931" y="298705"/>
                            <a:ext cx="112713" cy="170261"/>
                          </a:xfrm>
                          <a:prstGeom prst="rect">
                            <a:avLst/>
                          </a:prstGeom>
                          <a:ln>
                            <a:noFill/>
                          </a:ln>
                        </wps:spPr>
                        <wps:txbx>
                          <w:txbxContent>
                            <w:p w:rsidR="0052701D" w:rsidRDefault="00D40929">
                              <w:r>
                                <w:rPr>
                                  <w:rFonts w:ascii="Cambria Math" w:eastAsia="Cambria Math" w:hAnsi="Cambria Math" w:cs="Cambria Math"/>
                                  <w:sz w:val="20"/>
                                </w:rPr>
                                <w:t>𝐴</w:t>
                              </w:r>
                            </w:p>
                          </w:txbxContent>
                        </wps:txbx>
                        <wps:bodyPr horzOverflow="overflow" vert="horz" lIns="0" tIns="0" rIns="0" bIns="0" rtlCol="0">
                          <a:noAutofit/>
                        </wps:bodyPr>
                      </wps:wsp>
                      <wps:wsp>
                        <wps:cNvPr id="4885" name="Rectangle 4885"/>
                        <wps:cNvSpPr/>
                        <wps:spPr>
                          <a:xfrm>
                            <a:off x="1704721" y="224196"/>
                            <a:ext cx="48200" cy="235122"/>
                          </a:xfrm>
                          <a:prstGeom prst="rect">
                            <a:avLst/>
                          </a:prstGeom>
                          <a:ln>
                            <a:noFill/>
                          </a:ln>
                        </wps:spPr>
                        <wps:txbx>
                          <w:txbxContent>
                            <w:p w:rsidR="0052701D" w:rsidRDefault="00D40929">
                              <w:r>
                                <w:rPr>
                                  <w:rFonts w:ascii="Cambria Math" w:eastAsia="Cambria Math" w:hAnsi="Cambria Math" w:cs="Cambria Math"/>
                                  <w:sz w:val="28"/>
                                </w:rPr>
                                <w:t>,</w:t>
                              </w:r>
                            </w:p>
                          </w:txbxContent>
                        </wps:txbx>
                        <wps:bodyPr horzOverflow="overflow" vert="horz" lIns="0" tIns="0" rIns="0" bIns="0" rtlCol="0">
                          <a:noAutofit/>
                        </wps:bodyPr>
                      </wps:wsp>
                      <wps:wsp>
                        <wps:cNvPr id="4886" name="Rectangle 4886"/>
                        <wps:cNvSpPr/>
                        <wps:spPr>
                          <a:xfrm>
                            <a:off x="1768729" y="224196"/>
                            <a:ext cx="139193" cy="235122"/>
                          </a:xfrm>
                          <a:prstGeom prst="rect">
                            <a:avLst/>
                          </a:prstGeom>
                          <a:ln>
                            <a:noFill/>
                          </a:ln>
                        </wps:spPr>
                        <wps:txbx>
                          <w:txbxContent>
                            <w:p w:rsidR="0052701D" w:rsidRDefault="00D40929">
                              <w:r>
                                <w:rPr>
                                  <w:rFonts w:ascii="Cambria Math" w:eastAsia="Cambria Math" w:hAnsi="Cambria Math" w:cs="Cambria Math"/>
                                  <w:sz w:val="28"/>
                                </w:rPr>
                                <w:t>𝑍</w:t>
                              </w:r>
                            </w:p>
                          </w:txbxContent>
                        </wps:txbx>
                        <wps:bodyPr horzOverflow="overflow" vert="horz" lIns="0" tIns="0" rIns="0" bIns="0" rtlCol="0">
                          <a:noAutofit/>
                        </wps:bodyPr>
                      </wps:wsp>
                      <wps:wsp>
                        <wps:cNvPr id="4887" name="Rectangle 4887"/>
                        <wps:cNvSpPr/>
                        <wps:spPr>
                          <a:xfrm>
                            <a:off x="1857121" y="298705"/>
                            <a:ext cx="112713" cy="170261"/>
                          </a:xfrm>
                          <a:prstGeom prst="rect">
                            <a:avLst/>
                          </a:prstGeom>
                          <a:ln>
                            <a:noFill/>
                          </a:ln>
                        </wps:spPr>
                        <wps:txbx>
                          <w:txbxContent>
                            <w:p w:rsidR="0052701D" w:rsidRDefault="00D40929">
                              <w:r>
                                <w:rPr>
                                  <w:rFonts w:ascii="Cambria Math" w:eastAsia="Cambria Math" w:hAnsi="Cambria Math" w:cs="Cambria Math"/>
                                  <w:sz w:val="20"/>
                                </w:rPr>
                                <w:t>𝐴</w:t>
                              </w:r>
                            </w:p>
                          </w:txbxContent>
                        </wps:txbx>
                        <wps:bodyPr horzOverflow="overflow" vert="horz" lIns="0" tIns="0" rIns="0" bIns="0" rtlCol="0">
                          <a:noAutofit/>
                        </wps:bodyPr>
                      </wps:wsp>
                      <wps:wsp>
                        <wps:cNvPr id="4888" name="Rectangle 4888"/>
                        <wps:cNvSpPr/>
                        <wps:spPr>
                          <a:xfrm>
                            <a:off x="1954657" y="224196"/>
                            <a:ext cx="48200" cy="235122"/>
                          </a:xfrm>
                          <a:prstGeom prst="rect">
                            <a:avLst/>
                          </a:prstGeom>
                          <a:ln>
                            <a:noFill/>
                          </a:ln>
                        </wps:spPr>
                        <wps:txbx>
                          <w:txbxContent>
                            <w:p w:rsidR="0052701D" w:rsidRDefault="00D40929">
                              <w:r>
                                <w:rPr>
                                  <w:rFonts w:ascii="Cambria Math" w:eastAsia="Cambria Math" w:hAnsi="Cambria Math" w:cs="Cambria Math"/>
                                  <w:sz w:val="28"/>
                                </w:rPr>
                                <w:t>,</w:t>
                              </w:r>
                            </w:p>
                          </w:txbxContent>
                        </wps:txbx>
                        <wps:bodyPr horzOverflow="overflow" vert="horz" lIns="0" tIns="0" rIns="0" bIns="0" rtlCol="0">
                          <a:noAutofit/>
                        </wps:bodyPr>
                      </wps:wsp>
                      <wps:wsp>
                        <wps:cNvPr id="4889" name="Rectangle 4889"/>
                        <wps:cNvSpPr/>
                        <wps:spPr>
                          <a:xfrm>
                            <a:off x="2018665" y="224196"/>
                            <a:ext cx="125085" cy="235122"/>
                          </a:xfrm>
                          <a:prstGeom prst="rect">
                            <a:avLst/>
                          </a:prstGeom>
                          <a:ln>
                            <a:noFill/>
                          </a:ln>
                        </wps:spPr>
                        <wps:txbx>
                          <w:txbxContent>
                            <w:p w:rsidR="0052701D" w:rsidRDefault="00D40929">
                              <w:r>
                                <w:rPr>
                                  <w:rFonts w:ascii="Cambria Math" w:eastAsia="Cambria Math" w:hAnsi="Cambria Math" w:cs="Cambria Math"/>
                                  <w:sz w:val="28"/>
                                </w:rPr>
                                <w:t>𝑥</w:t>
                              </w:r>
                            </w:p>
                          </w:txbxContent>
                        </wps:txbx>
                        <wps:bodyPr horzOverflow="overflow" vert="horz" lIns="0" tIns="0" rIns="0" bIns="0" rtlCol="0">
                          <a:noAutofit/>
                        </wps:bodyPr>
                      </wps:wsp>
                      <wps:wsp>
                        <wps:cNvPr id="4890" name="Rectangle 4890"/>
                        <wps:cNvSpPr/>
                        <wps:spPr>
                          <a:xfrm>
                            <a:off x="2110105" y="298705"/>
                            <a:ext cx="115437" cy="170261"/>
                          </a:xfrm>
                          <a:prstGeom prst="rect">
                            <a:avLst/>
                          </a:prstGeom>
                          <a:ln>
                            <a:noFill/>
                          </a:ln>
                        </wps:spPr>
                        <wps:txbx>
                          <w:txbxContent>
                            <w:p w:rsidR="0052701D" w:rsidRDefault="00D40929">
                              <w:r>
                                <w:rPr>
                                  <w:rFonts w:ascii="Cambria Math" w:eastAsia="Cambria Math" w:hAnsi="Cambria Math" w:cs="Cambria Math"/>
                                  <w:sz w:val="20"/>
                                </w:rPr>
                                <w:t>𝐵</w:t>
                              </w:r>
                            </w:p>
                          </w:txbxContent>
                        </wps:txbx>
                        <wps:bodyPr horzOverflow="overflow" vert="horz" lIns="0" tIns="0" rIns="0" bIns="0" rtlCol="0">
                          <a:noAutofit/>
                        </wps:bodyPr>
                      </wps:wsp>
                      <wps:wsp>
                        <wps:cNvPr id="4891" name="Rectangle 4891"/>
                        <wps:cNvSpPr/>
                        <wps:spPr>
                          <a:xfrm>
                            <a:off x="2210689" y="224196"/>
                            <a:ext cx="48200" cy="235122"/>
                          </a:xfrm>
                          <a:prstGeom prst="rect">
                            <a:avLst/>
                          </a:prstGeom>
                          <a:ln>
                            <a:noFill/>
                          </a:ln>
                        </wps:spPr>
                        <wps:txbx>
                          <w:txbxContent>
                            <w:p w:rsidR="0052701D" w:rsidRDefault="00D40929">
                              <w:r>
                                <w:rPr>
                                  <w:rFonts w:ascii="Cambria Math" w:eastAsia="Cambria Math" w:hAnsi="Cambria Math" w:cs="Cambria Math"/>
                                  <w:sz w:val="28"/>
                                </w:rPr>
                                <w:t>,</w:t>
                              </w:r>
                            </w:p>
                          </w:txbxContent>
                        </wps:txbx>
                        <wps:bodyPr horzOverflow="overflow" vert="horz" lIns="0" tIns="0" rIns="0" bIns="0" rtlCol="0">
                          <a:noAutofit/>
                        </wps:bodyPr>
                      </wps:wsp>
                      <wps:wsp>
                        <wps:cNvPr id="4892" name="Rectangle 4892"/>
                        <wps:cNvSpPr/>
                        <wps:spPr>
                          <a:xfrm>
                            <a:off x="2274697" y="224196"/>
                            <a:ext cx="131669" cy="235122"/>
                          </a:xfrm>
                          <a:prstGeom prst="rect">
                            <a:avLst/>
                          </a:prstGeom>
                          <a:ln>
                            <a:noFill/>
                          </a:ln>
                        </wps:spPr>
                        <wps:txbx>
                          <w:txbxContent>
                            <w:p w:rsidR="0052701D" w:rsidRDefault="00D40929">
                              <w:r>
                                <w:rPr>
                                  <w:rFonts w:ascii="Cambria Math" w:eastAsia="Cambria Math" w:hAnsi="Cambria Math" w:cs="Cambria Math"/>
                                  <w:sz w:val="28"/>
                                </w:rPr>
                                <w:t>𝑦</w:t>
                              </w:r>
                            </w:p>
                          </w:txbxContent>
                        </wps:txbx>
                        <wps:bodyPr horzOverflow="overflow" vert="horz" lIns="0" tIns="0" rIns="0" bIns="0" rtlCol="0">
                          <a:noAutofit/>
                        </wps:bodyPr>
                      </wps:wsp>
                      <wps:wsp>
                        <wps:cNvPr id="4893" name="Rectangle 4893"/>
                        <wps:cNvSpPr/>
                        <wps:spPr>
                          <a:xfrm>
                            <a:off x="2366137" y="298705"/>
                            <a:ext cx="115437" cy="170261"/>
                          </a:xfrm>
                          <a:prstGeom prst="rect">
                            <a:avLst/>
                          </a:prstGeom>
                          <a:ln>
                            <a:noFill/>
                          </a:ln>
                        </wps:spPr>
                        <wps:txbx>
                          <w:txbxContent>
                            <w:p w:rsidR="0052701D" w:rsidRDefault="00D40929">
                              <w:r>
                                <w:rPr>
                                  <w:rFonts w:ascii="Cambria Math" w:eastAsia="Cambria Math" w:hAnsi="Cambria Math" w:cs="Cambria Math"/>
                                  <w:sz w:val="20"/>
                                </w:rPr>
                                <w:t>𝐵</w:t>
                              </w:r>
                            </w:p>
                          </w:txbxContent>
                        </wps:txbx>
                        <wps:bodyPr horzOverflow="overflow" vert="horz" lIns="0" tIns="0" rIns="0" bIns="0" rtlCol="0">
                          <a:noAutofit/>
                        </wps:bodyPr>
                      </wps:wsp>
                      <wps:wsp>
                        <wps:cNvPr id="4894" name="Rectangle 4894"/>
                        <wps:cNvSpPr/>
                        <wps:spPr>
                          <a:xfrm>
                            <a:off x="2466721" y="224196"/>
                            <a:ext cx="48200" cy="235122"/>
                          </a:xfrm>
                          <a:prstGeom prst="rect">
                            <a:avLst/>
                          </a:prstGeom>
                          <a:ln>
                            <a:noFill/>
                          </a:ln>
                        </wps:spPr>
                        <wps:txbx>
                          <w:txbxContent>
                            <w:p w:rsidR="0052701D" w:rsidRDefault="00D40929">
                              <w:r>
                                <w:rPr>
                                  <w:rFonts w:ascii="Cambria Math" w:eastAsia="Cambria Math" w:hAnsi="Cambria Math" w:cs="Cambria Math"/>
                                  <w:sz w:val="28"/>
                                </w:rPr>
                                <w:t>,</w:t>
                              </w:r>
                            </w:p>
                          </w:txbxContent>
                        </wps:txbx>
                        <wps:bodyPr horzOverflow="overflow" vert="horz" lIns="0" tIns="0" rIns="0" bIns="0" rtlCol="0">
                          <a:noAutofit/>
                        </wps:bodyPr>
                      </wps:wsp>
                      <wps:wsp>
                        <wps:cNvPr id="4895" name="Rectangle 4895"/>
                        <wps:cNvSpPr/>
                        <wps:spPr>
                          <a:xfrm>
                            <a:off x="2534031" y="224196"/>
                            <a:ext cx="113564" cy="235122"/>
                          </a:xfrm>
                          <a:prstGeom prst="rect">
                            <a:avLst/>
                          </a:prstGeom>
                          <a:ln>
                            <a:noFill/>
                          </a:ln>
                        </wps:spPr>
                        <wps:txbx>
                          <w:txbxContent>
                            <w:p w:rsidR="0052701D" w:rsidRDefault="00D40929">
                              <w:r>
                                <w:rPr>
                                  <w:rFonts w:ascii="Cambria Math" w:eastAsia="Cambria Math" w:hAnsi="Cambria Math" w:cs="Cambria Math"/>
                                  <w:sz w:val="28"/>
                                </w:rPr>
                                <w:t>𝑧</w:t>
                              </w:r>
                            </w:p>
                          </w:txbxContent>
                        </wps:txbx>
                        <wps:bodyPr horzOverflow="overflow" vert="horz" lIns="0" tIns="0" rIns="0" bIns="0" rtlCol="0">
                          <a:noAutofit/>
                        </wps:bodyPr>
                      </wps:wsp>
                      <wps:wsp>
                        <wps:cNvPr id="4896" name="Rectangle 4896"/>
                        <wps:cNvSpPr/>
                        <wps:spPr>
                          <a:xfrm>
                            <a:off x="2616327" y="298705"/>
                            <a:ext cx="115437" cy="170261"/>
                          </a:xfrm>
                          <a:prstGeom prst="rect">
                            <a:avLst/>
                          </a:prstGeom>
                          <a:ln>
                            <a:noFill/>
                          </a:ln>
                        </wps:spPr>
                        <wps:txbx>
                          <w:txbxContent>
                            <w:p w:rsidR="0052701D" w:rsidRDefault="00D40929">
                              <w:r>
                                <w:rPr>
                                  <w:rFonts w:ascii="Cambria Math" w:eastAsia="Cambria Math" w:hAnsi="Cambria Math" w:cs="Cambria Math"/>
                                  <w:sz w:val="20"/>
                                </w:rPr>
                                <w:t>𝐵</w:t>
                              </w:r>
                            </w:p>
                          </w:txbxContent>
                        </wps:txbx>
                        <wps:bodyPr horzOverflow="overflow" vert="horz" lIns="0" tIns="0" rIns="0" bIns="0" rtlCol="0">
                          <a:noAutofit/>
                        </wps:bodyPr>
                      </wps:wsp>
                      <wps:wsp>
                        <wps:cNvPr id="4897" name="Rectangle 4897"/>
                        <wps:cNvSpPr/>
                        <wps:spPr>
                          <a:xfrm>
                            <a:off x="2710815" y="224196"/>
                            <a:ext cx="48200" cy="235122"/>
                          </a:xfrm>
                          <a:prstGeom prst="rect">
                            <a:avLst/>
                          </a:prstGeom>
                          <a:ln>
                            <a:noFill/>
                          </a:ln>
                        </wps:spPr>
                        <wps:txbx>
                          <w:txbxContent>
                            <w:p w:rsidR="0052701D" w:rsidRDefault="00D40929">
                              <w:r>
                                <w:rPr>
                                  <w:rFonts w:ascii="Cambria Math" w:eastAsia="Cambria Math" w:hAnsi="Cambria Math" w:cs="Cambria Math"/>
                                  <w:sz w:val="28"/>
                                </w:rPr>
                                <w:t>,</w:t>
                              </w:r>
                            </w:p>
                          </w:txbxContent>
                        </wps:txbx>
                        <wps:bodyPr horzOverflow="overflow" vert="horz" lIns="0" tIns="0" rIns="0" bIns="0" rtlCol="0">
                          <a:noAutofit/>
                        </wps:bodyPr>
                      </wps:wsp>
                      <wps:wsp>
                        <wps:cNvPr id="4898" name="Rectangle 4898"/>
                        <wps:cNvSpPr/>
                        <wps:spPr>
                          <a:xfrm>
                            <a:off x="2777871" y="224196"/>
                            <a:ext cx="149773" cy="235122"/>
                          </a:xfrm>
                          <a:prstGeom prst="rect">
                            <a:avLst/>
                          </a:prstGeom>
                          <a:ln>
                            <a:noFill/>
                          </a:ln>
                        </wps:spPr>
                        <wps:txbx>
                          <w:txbxContent>
                            <w:p w:rsidR="0052701D" w:rsidRDefault="00D40929">
                              <w:r>
                                <w:rPr>
                                  <w:rFonts w:ascii="Cambria Math" w:eastAsia="Cambria Math" w:hAnsi="Cambria Math" w:cs="Cambria Math"/>
                                  <w:sz w:val="28"/>
                                </w:rPr>
                                <w:t>𝑅</w:t>
                              </w:r>
                            </w:p>
                          </w:txbxContent>
                        </wps:txbx>
                        <wps:bodyPr horzOverflow="overflow" vert="horz" lIns="0" tIns="0" rIns="0" bIns="0" rtlCol="0">
                          <a:noAutofit/>
                        </wps:bodyPr>
                      </wps:wsp>
                      <wps:wsp>
                        <wps:cNvPr id="4899" name="Rectangle 4899"/>
                        <wps:cNvSpPr/>
                        <wps:spPr>
                          <a:xfrm>
                            <a:off x="2896743" y="224196"/>
                            <a:ext cx="48200" cy="235122"/>
                          </a:xfrm>
                          <a:prstGeom prst="rect">
                            <a:avLst/>
                          </a:prstGeom>
                          <a:ln>
                            <a:noFill/>
                          </a:ln>
                        </wps:spPr>
                        <wps:txbx>
                          <w:txbxContent>
                            <w:p w:rsidR="0052701D" w:rsidRDefault="00D40929">
                              <w:r>
                                <w:rPr>
                                  <w:rFonts w:ascii="Cambria Math" w:eastAsia="Cambria Math" w:hAnsi="Cambria Math" w:cs="Cambria Math"/>
                                  <w:sz w:val="28"/>
                                </w:rPr>
                                <w:t>,</w:t>
                              </w:r>
                            </w:p>
                          </w:txbxContent>
                        </wps:txbx>
                        <wps:bodyPr horzOverflow="overflow" vert="horz" lIns="0" tIns="0" rIns="0" bIns="0" rtlCol="0">
                          <a:noAutofit/>
                        </wps:bodyPr>
                      </wps:wsp>
                      <wps:wsp>
                        <wps:cNvPr id="4900" name="Rectangle 4900"/>
                        <wps:cNvSpPr/>
                        <wps:spPr>
                          <a:xfrm>
                            <a:off x="2963799" y="224196"/>
                            <a:ext cx="130964" cy="235122"/>
                          </a:xfrm>
                          <a:prstGeom prst="rect">
                            <a:avLst/>
                          </a:prstGeom>
                          <a:ln>
                            <a:noFill/>
                          </a:ln>
                        </wps:spPr>
                        <wps:txbx>
                          <w:txbxContent>
                            <w:p w:rsidR="0052701D" w:rsidRDefault="00D40929">
                              <w:r>
                                <w:rPr>
                                  <w:rFonts w:ascii="Cambria Math" w:eastAsia="Cambria Math" w:hAnsi="Cambria Math" w:cs="Cambria Math"/>
                                  <w:sz w:val="28"/>
                                </w:rPr>
                                <w:t>𝑎</w:t>
                              </w:r>
                            </w:p>
                          </w:txbxContent>
                        </wps:txbx>
                        <wps:bodyPr horzOverflow="overflow" vert="horz" lIns="0" tIns="0" rIns="0" bIns="0" rtlCol="0">
                          <a:noAutofit/>
                        </wps:bodyPr>
                      </wps:wsp>
                      <wps:wsp>
                        <wps:cNvPr id="4901" name="Rectangle 4901"/>
                        <wps:cNvSpPr/>
                        <wps:spPr>
                          <a:xfrm>
                            <a:off x="3064383" y="224196"/>
                            <a:ext cx="48200" cy="235122"/>
                          </a:xfrm>
                          <a:prstGeom prst="rect">
                            <a:avLst/>
                          </a:prstGeom>
                          <a:ln>
                            <a:noFill/>
                          </a:ln>
                        </wps:spPr>
                        <wps:txbx>
                          <w:txbxContent>
                            <w:p w:rsidR="0052701D" w:rsidRDefault="00D40929">
                              <w:r>
                                <w:rPr>
                                  <w:rFonts w:ascii="Cambria Math" w:eastAsia="Cambria Math" w:hAnsi="Cambria Math" w:cs="Cambria Math"/>
                                  <w:sz w:val="28"/>
                                </w:rPr>
                                <w:t>,</w:t>
                              </w:r>
                            </w:p>
                          </w:txbxContent>
                        </wps:txbx>
                        <wps:bodyPr horzOverflow="overflow" vert="horz" lIns="0" tIns="0" rIns="0" bIns="0" rtlCol="0">
                          <a:noAutofit/>
                        </wps:bodyPr>
                      </wps:wsp>
                      <wps:wsp>
                        <wps:cNvPr id="4902" name="Rectangle 4902"/>
                        <wps:cNvSpPr/>
                        <wps:spPr>
                          <a:xfrm>
                            <a:off x="3131439" y="224196"/>
                            <a:ext cx="126731" cy="235122"/>
                          </a:xfrm>
                          <a:prstGeom prst="rect">
                            <a:avLst/>
                          </a:prstGeom>
                          <a:ln>
                            <a:noFill/>
                          </a:ln>
                        </wps:spPr>
                        <wps:txbx>
                          <w:txbxContent>
                            <w:p w:rsidR="0052701D" w:rsidRDefault="00D40929">
                              <w:r>
                                <w:rPr>
                                  <w:rFonts w:ascii="Cambria Math" w:eastAsia="Cambria Math" w:hAnsi="Cambria Math" w:cs="Cambria Math"/>
                                  <w:sz w:val="28"/>
                                </w:rPr>
                                <w:t>𝑏</w:t>
                              </w:r>
                            </w:p>
                          </w:txbxContent>
                        </wps:txbx>
                        <wps:bodyPr horzOverflow="overflow" vert="horz" lIns="0" tIns="0" rIns="0" bIns="0" rtlCol="0">
                          <a:noAutofit/>
                        </wps:bodyPr>
                      </wps:wsp>
                      <wps:wsp>
                        <wps:cNvPr id="4903" name="Rectangle 4903"/>
                        <wps:cNvSpPr/>
                        <wps:spPr>
                          <a:xfrm>
                            <a:off x="3232023" y="224196"/>
                            <a:ext cx="48200" cy="235122"/>
                          </a:xfrm>
                          <a:prstGeom prst="rect">
                            <a:avLst/>
                          </a:prstGeom>
                          <a:ln>
                            <a:noFill/>
                          </a:ln>
                        </wps:spPr>
                        <wps:txbx>
                          <w:txbxContent>
                            <w:p w:rsidR="0052701D" w:rsidRDefault="00D40929">
                              <w:r>
                                <w:rPr>
                                  <w:rFonts w:ascii="Cambria Math" w:eastAsia="Cambria Math" w:hAnsi="Cambria Math" w:cs="Cambria Math"/>
                                  <w:sz w:val="28"/>
                                </w:rPr>
                                <w:t>,</w:t>
                              </w:r>
                            </w:p>
                          </w:txbxContent>
                        </wps:txbx>
                        <wps:bodyPr horzOverflow="overflow" vert="horz" lIns="0" tIns="0" rIns="0" bIns="0" rtlCol="0">
                          <a:noAutofit/>
                        </wps:bodyPr>
                      </wps:wsp>
                      <wps:wsp>
                        <wps:cNvPr id="4904" name="Rectangle 4904"/>
                        <wps:cNvSpPr/>
                        <wps:spPr>
                          <a:xfrm>
                            <a:off x="3299460" y="224196"/>
                            <a:ext cx="108156" cy="235122"/>
                          </a:xfrm>
                          <a:prstGeom prst="rect">
                            <a:avLst/>
                          </a:prstGeom>
                          <a:ln>
                            <a:noFill/>
                          </a:ln>
                        </wps:spPr>
                        <wps:txbx>
                          <w:txbxContent>
                            <w:p w:rsidR="0052701D" w:rsidRDefault="00D40929">
                              <w:r>
                                <w:rPr>
                                  <w:rFonts w:ascii="Cambria Math" w:eastAsia="Cambria Math" w:hAnsi="Cambria Math" w:cs="Cambria Math"/>
                                  <w:sz w:val="28"/>
                                </w:rPr>
                                <w:t>𝑐</w:t>
                              </w:r>
                            </w:p>
                          </w:txbxContent>
                        </wps:txbx>
                        <wps:bodyPr horzOverflow="overflow" vert="horz" lIns="0" tIns="0" rIns="0" bIns="0" rtlCol="0">
                          <a:noAutofit/>
                        </wps:bodyPr>
                      </wps:wsp>
                      <wps:wsp>
                        <wps:cNvPr id="4905" name="Rectangle 4905"/>
                        <wps:cNvSpPr/>
                        <wps:spPr>
                          <a:xfrm>
                            <a:off x="3384804" y="224196"/>
                            <a:ext cx="48200" cy="235122"/>
                          </a:xfrm>
                          <a:prstGeom prst="rect">
                            <a:avLst/>
                          </a:prstGeom>
                          <a:ln>
                            <a:noFill/>
                          </a:ln>
                        </wps:spPr>
                        <wps:txbx>
                          <w:txbxContent>
                            <w:p w:rsidR="0052701D" w:rsidRDefault="00D40929">
                              <w:r>
                                <w:rPr>
                                  <w:rFonts w:ascii="Cambria Math" w:eastAsia="Cambria Math" w:hAnsi="Cambria Math" w:cs="Cambria Math"/>
                                  <w:sz w:val="28"/>
                                </w:rPr>
                                <w:t>,</w:t>
                              </w:r>
                            </w:p>
                          </w:txbxContent>
                        </wps:txbx>
                        <wps:bodyPr horzOverflow="overflow" vert="horz" lIns="0" tIns="0" rIns="0" bIns="0" rtlCol="0">
                          <a:noAutofit/>
                        </wps:bodyPr>
                      </wps:wsp>
                      <wps:wsp>
                        <wps:cNvPr id="4906" name="Rectangle 4906"/>
                        <wps:cNvSpPr/>
                        <wps:spPr>
                          <a:xfrm>
                            <a:off x="3451860" y="224196"/>
                            <a:ext cx="125085" cy="235122"/>
                          </a:xfrm>
                          <a:prstGeom prst="rect">
                            <a:avLst/>
                          </a:prstGeom>
                          <a:ln>
                            <a:noFill/>
                          </a:ln>
                        </wps:spPr>
                        <wps:txbx>
                          <w:txbxContent>
                            <w:p w:rsidR="0052701D" w:rsidRDefault="00D40929">
                              <w:r>
                                <w:rPr>
                                  <w:rFonts w:ascii="Cambria Math" w:eastAsia="Cambria Math" w:hAnsi="Cambria Math" w:cs="Cambria Math"/>
                                  <w:sz w:val="28"/>
                                </w:rPr>
                                <w:t>𝑥</w:t>
                              </w:r>
                            </w:p>
                          </w:txbxContent>
                        </wps:txbx>
                        <wps:bodyPr horzOverflow="overflow" vert="horz" lIns="0" tIns="0" rIns="0" bIns="0" rtlCol="0">
                          <a:noAutofit/>
                        </wps:bodyPr>
                      </wps:wsp>
                      <wps:wsp>
                        <wps:cNvPr id="4907" name="Rectangle 4907"/>
                        <wps:cNvSpPr/>
                        <wps:spPr>
                          <a:xfrm>
                            <a:off x="3543300" y="298705"/>
                            <a:ext cx="85982" cy="170261"/>
                          </a:xfrm>
                          <a:prstGeom prst="rect">
                            <a:avLst/>
                          </a:prstGeom>
                          <a:ln>
                            <a:noFill/>
                          </a:ln>
                        </wps:spPr>
                        <wps:txbx>
                          <w:txbxContent>
                            <w:p w:rsidR="0052701D" w:rsidRDefault="00D40929">
                              <w:r>
                                <w:rPr>
                                  <w:rFonts w:ascii="Cambria Math" w:eastAsia="Cambria Math" w:hAnsi="Cambria Math" w:cs="Cambria Math"/>
                                  <w:sz w:val="20"/>
                                </w:rPr>
                                <w:t>𝑐</w:t>
                              </w:r>
                            </w:p>
                          </w:txbxContent>
                        </wps:txbx>
                        <wps:bodyPr horzOverflow="overflow" vert="horz" lIns="0" tIns="0" rIns="0" bIns="0" rtlCol="0">
                          <a:noAutofit/>
                        </wps:bodyPr>
                      </wps:wsp>
                      <wps:wsp>
                        <wps:cNvPr id="4908" name="Rectangle 4908"/>
                        <wps:cNvSpPr/>
                        <wps:spPr>
                          <a:xfrm>
                            <a:off x="3619500" y="224196"/>
                            <a:ext cx="48200" cy="235122"/>
                          </a:xfrm>
                          <a:prstGeom prst="rect">
                            <a:avLst/>
                          </a:prstGeom>
                          <a:ln>
                            <a:noFill/>
                          </a:ln>
                        </wps:spPr>
                        <wps:txbx>
                          <w:txbxContent>
                            <w:p w:rsidR="0052701D" w:rsidRDefault="00D40929">
                              <w:r>
                                <w:rPr>
                                  <w:rFonts w:ascii="Cambria Math" w:eastAsia="Cambria Math" w:hAnsi="Cambria Math" w:cs="Cambria Math"/>
                                  <w:sz w:val="28"/>
                                </w:rPr>
                                <w:t>,</w:t>
                              </w:r>
                            </w:p>
                          </w:txbxContent>
                        </wps:txbx>
                        <wps:bodyPr horzOverflow="overflow" vert="horz" lIns="0" tIns="0" rIns="0" bIns="0" rtlCol="0">
                          <a:noAutofit/>
                        </wps:bodyPr>
                      </wps:wsp>
                      <wps:wsp>
                        <wps:cNvPr id="4909" name="Rectangle 4909"/>
                        <wps:cNvSpPr/>
                        <wps:spPr>
                          <a:xfrm>
                            <a:off x="3686556" y="224196"/>
                            <a:ext cx="131669" cy="235122"/>
                          </a:xfrm>
                          <a:prstGeom prst="rect">
                            <a:avLst/>
                          </a:prstGeom>
                          <a:ln>
                            <a:noFill/>
                          </a:ln>
                        </wps:spPr>
                        <wps:txbx>
                          <w:txbxContent>
                            <w:p w:rsidR="0052701D" w:rsidRDefault="00D40929">
                              <w:r>
                                <w:rPr>
                                  <w:rFonts w:ascii="Cambria Math" w:eastAsia="Cambria Math" w:hAnsi="Cambria Math" w:cs="Cambria Math"/>
                                  <w:sz w:val="28"/>
                                </w:rPr>
                                <w:t>𝑦</w:t>
                              </w:r>
                            </w:p>
                          </w:txbxContent>
                        </wps:txbx>
                        <wps:bodyPr horzOverflow="overflow" vert="horz" lIns="0" tIns="0" rIns="0" bIns="0" rtlCol="0">
                          <a:noAutofit/>
                        </wps:bodyPr>
                      </wps:wsp>
                      <wps:wsp>
                        <wps:cNvPr id="4910" name="Rectangle 4910"/>
                        <wps:cNvSpPr/>
                        <wps:spPr>
                          <a:xfrm>
                            <a:off x="3768852" y="298705"/>
                            <a:ext cx="85982" cy="170261"/>
                          </a:xfrm>
                          <a:prstGeom prst="rect">
                            <a:avLst/>
                          </a:prstGeom>
                          <a:ln>
                            <a:noFill/>
                          </a:ln>
                        </wps:spPr>
                        <wps:txbx>
                          <w:txbxContent>
                            <w:p w:rsidR="0052701D" w:rsidRDefault="00D40929">
                              <w:r>
                                <w:rPr>
                                  <w:rFonts w:ascii="Cambria Math" w:eastAsia="Cambria Math" w:hAnsi="Cambria Math" w:cs="Cambria Math"/>
                                  <w:sz w:val="20"/>
                                </w:rPr>
                                <w:t>𝑐</w:t>
                              </w:r>
                            </w:p>
                          </w:txbxContent>
                        </wps:txbx>
                        <wps:bodyPr horzOverflow="overflow" vert="horz" lIns="0" tIns="0" rIns="0" bIns="0" rtlCol="0">
                          <a:noAutofit/>
                        </wps:bodyPr>
                      </wps:wsp>
                      <wps:wsp>
                        <wps:cNvPr id="4911" name="Rectangle 4911"/>
                        <wps:cNvSpPr/>
                        <wps:spPr>
                          <a:xfrm>
                            <a:off x="3845052" y="224196"/>
                            <a:ext cx="48200" cy="235122"/>
                          </a:xfrm>
                          <a:prstGeom prst="rect">
                            <a:avLst/>
                          </a:prstGeom>
                          <a:ln>
                            <a:noFill/>
                          </a:ln>
                        </wps:spPr>
                        <wps:txbx>
                          <w:txbxContent>
                            <w:p w:rsidR="0052701D" w:rsidRDefault="00D40929">
                              <w:r>
                                <w:rPr>
                                  <w:rFonts w:ascii="Cambria Math" w:eastAsia="Cambria Math" w:hAnsi="Cambria Math" w:cs="Cambria Math"/>
                                  <w:sz w:val="28"/>
                                </w:rPr>
                                <w:t>,</w:t>
                              </w:r>
                            </w:p>
                          </w:txbxContent>
                        </wps:txbx>
                        <wps:bodyPr horzOverflow="overflow" vert="horz" lIns="0" tIns="0" rIns="0" bIns="0" rtlCol="0">
                          <a:noAutofit/>
                        </wps:bodyPr>
                      </wps:wsp>
                      <wps:wsp>
                        <wps:cNvPr id="4912" name="Rectangle 4912"/>
                        <wps:cNvSpPr/>
                        <wps:spPr>
                          <a:xfrm>
                            <a:off x="3912108" y="224196"/>
                            <a:ext cx="113564" cy="235122"/>
                          </a:xfrm>
                          <a:prstGeom prst="rect">
                            <a:avLst/>
                          </a:prstGeom>
                          <a:ln>
                            <a:noFill/>
                          </a:ln>
                        </wps:spPr>
                        <wps:txbx>
                          <w:txbxContent>
                            <w:p w:rsidR="0052701D" w:rsidRDefault="00D40929">
                              <w:r>
                                <w:rPr>
                                  <w:rFonts w:ascii="Cambria Math" w:eastAsia="Cambria Math" w:hAnsi="Cambria Math" w:cs="Cambria Math"/>
                                  <w:sz w:val="28"/>
                                </w:rPr>
                                <w:t>𝑧</w:t>
                              </w:r>
                            </w:p>
                          </w:txbxContent>
                        </wps:txbx>
                        <wps:bodyPr horzOverflow="overflow" vert="horz" lIns="0" tIns="0" rIns="0" bIns="0" rtlCol="0">
                          <a:noAutofit/>
                        </wps:bodyPr>
                      </wps:wsp>
                      <wps:wsp>
                        <wps:cNvPr id="4913" name="Rectangle 4913"/>
                        <wps:cNvSpPr/>
                        <wps:spPr>
                          <a:xfrm>
                            <a:off x="3994404" y="298705"/>
                            <a:ext cx="85982" cy="170261"/>
                          </a:xfrm>
                          <a:prstGeom prst="rect">
                            <a:avLst/>
                          </a:prstGeom>
                          <a:ln>
                            <a:noFill/>
                          </a:ln>
                        </wps:spPr>
                        <wps:txbx>
                          <w:txbxContent>
                            <w:p w:rsidR="0052701D" w:rsidRDefault="00D40929">
                              <w:r>
                                <w:rPr>
                                  <w:rFonts w:ascii="Cambria Math" w:eastAsia="Cambria Math" w:hAnsi="Cambria Math" w:cs="Cambria Math"/>
                                  <w:sz w:val="20"/>
                                </w:rPr>
                                <w:t>𝑐</w:t>
                              </w:r>
                            </w:p>
                          </w:txbxContent>
                        </wps:txbx>
                        <wps:bodyPr horzOverflow="overflow" vert="horz" lIns="0" tIns="0" rIns="0" bIns="0" rtlCol="0">
                          <a:noAutofit/>
                        </wps:bodyPr>
                      </wps:wsp>
                      <wps:wsp>
                        <wps:cNvPr id="4914" name="Rectangle 4914"/>
                        <wps:cNvSpPr/>
                        <wps:spPr>
                          <a:xfrm>
                            <a:off x="4067810" y="224196"/>
                            <a:ext cx="97576" cy="235122"/>
                          </a:xfrm>
                          <a:prstGeom prst="rect">
                            <a:avLst/>
                          </a:prstGeom>
                          <a:ln>
                            <a:noFill/>
                          </a:ln>
                        </wps:spPr>
                        <wps:txbx>
                          <w:txbxContent>
                            <w:p w:rsidR="0052701D" w:rsidRDefault="00D40929">
                              <w:r>
                                <w:rPr>
                                  <w:rFonts w:ascii="Cambria Math" w:eastAsia="Cambria Math" w:hAnsi="Cambria Math" w:cs="Cambria Math"/>
                                  <w:sz w:val="28"/>
                                </w:rPr>
                                <w:t>)</w:t>
                              </w:r>
                            </w:p>
                          </w:txbxContent>
                        </wps:txbx>
                        <wps:bodyPr horzOverflow="overflow" vert="horz" lIns="0" tIns="0" rIns="0" bIns="0" rtlCol="0">
                          <a:noAutofit/>
                        </wps:bodyPr>
                      </wps:wsp>
                      <wps:wsp>
                        <wps:cNvPr id="4915" name="Rectangle 4915"/>
                        <wps:cNvSpPr/>
                        <wps:spPr>
                          <a:xfrm>
                            <a:off x="4144010" y="224196"/>
                            <a:ext cx="85820" cy="235122"/>
                          </a:xfrm>
                          <a:prstGeom prst="rect">
                            <a:avLst/>
                          </a:prstGeom>
                          <a:ln>
                            <a:noFill/>
                          </a:ln>
                        </wps:spPr>
                        <wps:txbx>
                          <w:txbxContent>
                            <w:p w:rsidR="0052701D" w:rsidRDefault="00D40929">
                              <w:r>
                                <w:rPr>
                                  <w:rFonts w:ascii="Cambria Math" w:eastAsia="Cambria Math" w:hAnsi="Cambria Math" w:cs="Cambria Math"/>
                                  <w:sz w:val="28"/>
                                </w:rPr>
                                <w:t>]</w:t>
                              </w:r>
                            </w:p>
                          </w:txbxContent>
                        </wps:txbx>
                        <wps:bodyPr horzOverflow="overflow" vert="horz" lIns="0" tIns="0" rIns="0" bIns="0" rtlCol="0">
                          <a:noAutofit/>
                        </wps:bodyPr>
                      </wps:wsp>
                      <wps:wsp>
                        <wps:cNvPr id="4916" name="Rectangle 4916"/>
                        <wps:cNvSpPr/>
                        <wps:spPr>
                          <a:xfrm>
                            <a:off x="4208018" y="106680"/>
                            <a:ext cx="98582" cy="170262"/>
                          </a:xfrm>
                          <a:prstGeom prst="rect">
                            <a:avLst/>
                          </a:prstGeom>
                          <a:ln>
                            <a:noFill/>
                          </a:ln>
                        </wps:spPr>
                        <wps:txbx>
                          <w:txbxContent>
                            <w:p w:rsidR="0052701D" w:rsidRDefault="00D40929">
                              <w:r>
                                <w:rPr>
                                  <w:rFonts w:ascii="Cambria Math" w:eastAsia="Cambria Math" w:hAnsi="Cambria Math" w:cs="Cambria Math"/>
                                  <w:sz w:val="20"/>
                                </w:rPr>
                                <w:t>2</w:t>
                              </w:r>
                            </w:p>
                          </w:txbxContent>
                        </wps:txbx>
                        <wps:bodyPr horzOverflow="overflow" vert="horz" lIns="0" tIns="0" rIns="0" bIns="0" rtlCol="0">
                          <a:noAutofit/>
                        </wps:bodyPr>
                      </wps:wsp>
                      <wps:wsp>
                        <wps:cNvPr id="4917" name="Rectangle 4917"/>
                        <wps:cNvSpPr/>
                        <wps:spPr>
                          <a:xfrm>
                            <a:off x="4290314" y="224196"/>
                            <a:ext cx="51727" cy="235122"/>
                          </a:xfrm>
                          <a:prstGeom prst="rect">
                            <a:avLst/>
                          </a:prstGeom>
                          <a:ln>
                            <a:noFill/>
                          </a:ln>
                        </wps:spPr>
                        <wps:txbx>
                          <w:txbxContent>
                            <w:p w:rsidR="0052701D" w:rsidRDefault="00D40929">
                              <w:r>
                                <w:rPr>
                                  <w:rFonts w:ascii="Cambria Math" w:eastAsia="Cambria Math" w:hAnsi="Cambria Math" w:cs="Cambria Math"/>
                                  <w:sz w:val="28"/>
                                </w:rPr>
                                <w:t xml:space="preserve"> </w:t>
                              </w:r>
                            </w:p>
                          </w:txbxContent>
                        </wps:txbx>
                        <wps:bodyPr horzOverflow="overflow" vert="horz" lIns="0" tIns="0" rIns="0" bIns="0" rtlCol="0">
                          <a:noAutofit/>
                        </wps:bodyPr>
                      </wps:wsp>
                      <pic:pic xmlns:pic="http://schemas.openxmlformats.org/drawingml/2006/picture">
                        <pic:nvPicPr>
                          <pic:cNvPr id="5007" name="Picture 5007"/>
                          <pic:cNvPicPr/>
                        </pic:nvPicPr>
                        <pic:blipFill>
                          <a:blip r:embed="rId134"/>
                          <a:stretch>
                            <a:fillRect/>
                          </a:stretch>
                        </pic:blipFill>
                        <pic:spPr>
                          <a:xfrm>
                            <a:off x="84709" y="592082"/>
                            <a:ext cx="4038600" cy="2810256"/>
                          </a:xfrm>
                          <a:prstGeom prst="rect">
                            <a:avLst/>
                          </a:prstGeom>
                        </pic:spPr>
                      </pic:pic>
                    </wpg:wgp>
                  </a:graphicData>
                </a:graphic>
              </wp:inline>
            </w:drawing>
          </mc:Choice>
          <mc:Fallback xmlns:a="http://schemas.openxmlformats.org/drawingml/2006/main">
            <w:pict>
              <v:group id="Group 908630" style="width:340.882pt;height:267.901pt;mso-position-horizontal-relative:char;mso-position-vertical-relative:line" coordsize="43292,34023">
                <v:rect id="Rectangle 4864" style="position:absolute;width:1243;height:2351;left:0;top:2241;" filled="f" stroked="f">
                  <v:textbox inset="0,0,0,0">
                    <w:txbxContent>
                      <w:p>
                        <w:pPr>
                          <w:spacing w:before="0" w:after="160" w:line="259" w:lineRule="auto"/>
                        </w:pPr>
                        <w:r>
                          <w:rPr>
                            <w:rFonts w:cs="Cambria Math" w:hAnsi="Cambria Math" w:eastAsia="Cambria Math" w:ascii="Cambria Math"/>
                            <w:sz w:val="28"/>
                          </w:rPr>
                          <w:t xml:space="preserve">𝑆</w:t>
                        </w:r>
                      </w:p>
                    </w:txbxContent>
                  </v:textbox>
                </v:rect>
                <v:rect id="Rectangle 4865" style="position:absolute;width:985;height:1702;left:822;top:2987;" filled="f" stroked="f">
                  <v:textbox inset="0,0,0,0">
                    <w:txbxContent>
                      <w:p>
                        <w:pPr>
                          <w:spacing w:before="0" w:after="160" w:line="259" w:lineRule="auto"/>
                        </w:pPr>
                        <w:r>
                          <w:rPr>
                            <w:rFonts w:cs="Cambria Math" w:hAnsi="Cambria Math" w:eastAsia="Cambria Math" w:ascii="Cambria Math"/>
                            <w:sz w:val="20"/>
                          </w:rPr>
                          <w:t xml:space="preserve">1</w:t>
                        </w:r>
                      </w:p>
                    </w:txbxContent>
                  </v:textbox>
                </v:rect>
                <v:rect id="Rectangle 4866" style="position:absolute;width:1756;height:2351;left:2136;top:2241;" filled="f" stroked="f">
                  <v:textbox inset="0,0,0,0">
                    <w:txbxContent>
                      <w:p>
                        <w:pPr>
                          <w:spacing w:before="0" w:after="160" w:line="259" w:lineRule="auto"/>
                        </w:pPr>
                        <w:r>
                          <w:rPr>
                            <w:rFonts w:cs="Cambria Math" w:hAnsi="Cambria Math" w:eastAsia="Cambria Math" w:ascii="Cambria Math"/>
                            <w:sz w:val="28"/>
                          </w:rPr>
                          <w:t xml:space="preserve">=</w:t>
                        </w:r>
                      </w:p>
                    </w:txbxContent>
                  </v:textbox>
                </v:rect>
                <v:rect id="Rectangle 4867" style="position:absolute;width:3117;height:2351;left:3934;top:2241;" filled="f" stroked="f">
                  <v:textbox inset="0,0,0,0">
                    <w:txbxContent>
                      <w:p>
                        <w:pPr>
                          <w:spacing w:before="0" w:after="160" w:line="259" w:lineRule="auto"/>
                        </w:pPr>
                        <w:r>
                          <w:rPr>
                            <w:rFonts w:cs="Cambria Math" w:hAnsi="Cambria Math" w:eastAsia="Cambria Math" w:ascii="Cambria Math"/>
                            <w:sz w:val="28"/>
                          </w:rPr>
                          <w:t xml:space="preserve">∑</w:t>
                        </w:r>
                      </w:p>
                    </w:txbxContent>
                  </v:textbox>
                </v:rect>
                <v:rect id="Rectangle 4868" style="position:absolute;width:1287;height:1702;left:4605;top:0;" filled="f" stroked="f">
                  <v:textbox inset="0,0,0,0">
                    <w:txbxContent>
                      <w:p>
                        <w:pPr>
                          <w:spacing w:before="0" w:after="160" w:line="259" w:lineRule="auto"/>
                        </w:pPr>
                        <w:r>
                          <w:rPr>
                            <w:rFonts w:cs="Cambria Math" w:hAnsi="Cambria Math" w:eastAsia="Cambria Math" w:ascii="Cambria Math"/>
                            <w:sz w:val="20"/>
                          </w:rPr>
                          <w:t xml:space="preserve">𝑁</w:t>
                        </w:r>
                      </w:p>
                    </w:txbxContent>
                  </v:textbox>
                </v:rect>
                <v:rect id="Rectangle 4869" style="position:absolute;width:597;height:1702;left:4025;top:4907;" filled="f" stroked="f">
                  <v:textbox inset="0,0,0,0">
                    <w:txbxContent>
                      <w:p>
                        <w:pPr>
                          <w:spacing w:before="0" w:after="160" w:line="259" w:lineRule="auto"/>
                        </w:pPr>
                        <w:r>
                          <w:rPr>
                            <w:rFonts w:cs="Cambria Math" w:hAnsi="Cambria Math" w:eastAsia="Cambria Math" w:ascii="Cambria Math"/>
                            <w:sz w:val="20"/>
                          </w:rPr>
                          <w:t xml:space="preserve">𝑖</w:t>
                        </w:r>
                      </w:p>
                    </w:txbxContent>
                  </v:textbox>
                </v:rect>
                <v:rect id="Rectangle 4870" style="position:absolute;width:1239;height:1702;left:4544;top:4907;" filled="f" stroked="f">
                  <v:textbox inset="0,0,0,0">
                    <w:txbxContent>
                      <w:p>
                        <w:pPr>
                          <w:spacing w:before="0" w:after="160" w:line="259" w:lineRule="auto"/>
                        </w:pPr>
                        <w:r>
                          <w:rPr>
                            <w:rFonts w:cs="Cambria Math" w:hAnsi="Cambria Math" w:eastAsia="Cambria Math" w:ascii="Cambria Math"/>
                            <w:sz w:val="20"/>
                          </w:rPr>
                          <w:t xml:space="preserve">=</w:t>
                        </w:r>
                      </w:p>
                    </w:txbxContent>
                  </v:textbox>
                </v:rect>
                <v:rect id="Rectangle 4871" style="position:absolute;width:985;height:1702;left:5488;top:4907;" filled="f" stroked="f">
                  <v:textbox inset="0,0,0,0">
                    <w:txbxContent>
                      <w:p>
                        <w:pPr>
                          <w:spacing w:before="0" w:after="160" w:line="259" w:lineRule="auto"/>
                        </w:pPr>
                        <w:r>
                          <w:rPr>
                            <w:rFonts w:cs="Cambria Math" w:hAnsi="Cambria Math" w:eastAsia="Cambria Math" w:ascii="Cambria Math"/>
                            <w:sz w:val="20"/>
                          </w:rPr>
                          <w:t xml:space="preserve">1</w:t>
                        </w:r>
                      </w:p>
                    </w:txbxContent>
                  </v:textbox>
                </v:rect>
                <v:rect id="Rectangle 4872" style="position:absolute;width:858;height:2351;left:8536;top:2241;" filled="f" stroked="f">
                  <v:textbox inset="0,0,0,0">
                    <w:txbxContent>
                      <w:p>
                        <w:pPr>
                          <w:spacing w:before="0" w:after="160" w:line="259" w:lineRule="auto"/>
                        </w:pPr>
                        <w:r>
                          <w:rPr>
                            <w:rFonts w:cs="Cambria Math" w:hAnsi="Cambria Math" w:eastAsia="Cambria Math" w:ascii="Cambria Math"/>
                            <w:sz w:val="28"/>
                          </w:rPr>
                          <w:t xml:space="preserve">[</w:t>
                        </w:r>
                      </w:p>
                    </w:txbxContent>
                  </v:textbox>
                </v:rect>
                <v:rect id="Rectangle 4873" style="position:absolute;width:1441;height:2351;left:9180;top:2241;" filled="f" stroked="f">
                  <v:textbox inset="0,0,0,0">
                    <w:txbxContent>
                      <w:p>
                        <w:pPr>
                          <w:spacing w:before="0" w:after="160" w:line="259" w:lineRule="auto"/>
                        </w:pPr>
                        <w:r>
                          <w:rPr>
                            <w:rFonts w:cs="Cambria Math" w:hAnsi="Cambria Math" w:eastAsia="Cambria Math" w:ascii="Cambria Math"/>
                            <w:sz w:val="28"/>
                          </w:rPr>
                          <w:t xml:space="preserve">𝛥</w:t>
                        </w:r>
                      </w:p>
                    </w:txbxContent>
                  </v:textbox>
                </v:rect>
                <v:rect id="Rectangle 4874" style="position:absolute;width:1019;height:1702;left:10278;top:3078;" filled="f" stroked="f">
                  <v:textbox inset="0,0,0,0">
                    <w:txbxContent>
                      <w:p>
                        <w:pPr>
                          <w:spacing w:before="0" w:after="160" w:line="259" w:lineRule="auto"/>
                        </w:pPr>
                        <w:r>
                          <w:rPr>
                            <w:rFonts w:cs="Cambria Math" w:hAnsi="Cambria Math" w:eastAsia="Cambria Math" w:ascii="Cambria Math"/>
                            <w:sz w:val="20"/>
                          </w:rPr>
                          <w:t xml:space="preserve">𝑞</w:t>
                        </w:r>
                      </w:p>
                    </w:txbxContent>
                  </v:textbox>
                </v:rect>
                <v:rect id="Rectangle 4875" style="position:absolute;width:501;height:1337;left:11040;top:3566;" filled="f" stroked="f">
                  <v:textbox inset="0,0,0,0">
                    <w:txbxContent>
                      <w:p>
                        <w:pPr>
                          <w:spacing w:before="0" w:after="160" w:line="259" w:lineRule="auto"/>
                        </w:pPr>
                        <w:r>
                          <w:rPr>
                            <w:rFonts w:cs="Cambria Math" w:hAnsi="Cambria Math" w:eastAsia="Cambria Math" w:ascii="Cambria Math"/>
                            <w:sz w:val="16"/>
                          </w:rPr>
                          <w:t xml:space="preserve">𝑖</w:t>
                        </w:r>
                      </w:p>
                    </w:txbxContent>
                  </v:textbox>
                </v:rect>
                <v:rect id="Rectangle 4876" style="position:absolute;width:706;height:1702;left:10247;top:1676;" filled="f" stroked="f">
                  <v:textbox inset="0,0,0,0">
                    <w:txbxContent>
                      <w:p>
                        <w:pPr>
                          <w:spacing w:before="0" w:after="160" w:line="259" w:lineRule="auto"/>
                        </w:pPr>
                        <w:r>
                          <w:rPr>
                            <w:rFonts w:cs="Cambria Math" w:hAnsi="Cambria Math" w:eastAsia="Cambria Math" w:ascii="Cambria Math"/>
                            <w:sz w:val="20"/>
                          </w:rPr>
                          <w:t xml:space="preserve">(</w:t>
                        </w:r>
                      </w:p>
                    </w:txbxContent>
                  </v:textbox>
                </v:rect>
                <v:rect id="Rectangle 4877" style="position:absolute;width:985;height:1702;left:10765;top:1676;" filled="f" stroked="f">
                  <v:textbox inset="0,0,0,0">
                    <w:txbxContent>
                      <w:p>
                        <w:pPr>
                          <w:spacing w:before="0" w:after="160" w:line="259" w:lineRule="auto"/>
                        </w:pPr>
                        <w:r>
                          <w:rPr>
                            <w:rFonts w:cs="Cambria Math" w:hAnsi="Cambria Math" w:eastAsia="Cambria Math" w:ascii="Cambria Math"/>
                            <w:sz w:val="20"/>
                          </w:rPr>
                          <w:t xml:space="preserve">1</w:t>
                        </w:r>
                      </w:p>
                    </w:txbxContent>
                  </v:textbox>
                </v:rect>
                <v:rect id="Rectangle 4878" style="position:absolute;width:706;height:1702;left:11497;top:1676;" filled="f" stroked="f">
                  <v:textbox inset="0,0,0,0">
                    <w:txbxContent>
                      <w:p>
                        <w:pPr>
                          <w:spacing w:before="0" w:after="160" w:line="259" w:lineRule="auto"/>
                        </w:pPr>
                        <w:r>
                          <w:rPr>
                            <w:rFonts w:cs="Cambria Math" w:hAnsi="Cambria Math" w:eastAsia="Cambria Math" w:ascii="Cambria Math"/>
                            <w:sz w:val="20"/>
                          </w:rPr>
                          <w:t xml:space="preserve">)</w:t>
                        </w:r>
                      </w:p>
                    </w:txbxContent>
                  </v:textbox>
                </v:rect>
                <v:rect id="Rectangle 4879" style="position:absolute;width:975;height:2351;left:12106;top:2241;" filled="f" stroked="f">
                  <v:textbox inset="0,0,0,0">
                    <w:txbxContent>
                      <w:p>
                        <w:pPr>
                          <w:spacing w:before="0" w:after="160" w:line="259" w:lineRule="auto"/>
                        </w:pPr>
                        <w:r>
                          <w:rPr>
                            <w:rFonts w:cs="Cambria Math" w:hAnsi="Cambria Math" w:eastAsia="Cambria Math" w:ascii="Cambria Math"/>
                            <w:sz w:val="28"/>
                          </w:rPr>
                          <w:t xml:space="preserve">(</w:t>
                        </w:r>
                      </w:p>
                    </w:txbxContent>
                  </v:textbox>
                </v:rect>
                <v:rect id="Rectangle 4880" style="position:absolute;width:1516;height:2351;left:12838;top:2241;" filled="f" stroked="f">
                  <v:textbox inset="0,0,0,0">
                    <w:txbxContent>
                      <w:p>
                        <w:pPr>
                          <w:spacing w:before="0" w:after="160" w:line="259" w:lineRule="auto"/>
                        </w:pPr>
                        <w:r>
                          <w:rPr>
                            <w:rFonts w:cs="Cambria Math" w:hAnsi="Cambria Math" w:eastAsia="Cambria Math" w:ascii="Cambria Math"/>
                            <w:sz w:val="28"/>
                          </w:rPr>
                          <w:t xml:space="preserve">𝑋</w:t>
                        </w:r>
                      </w:p>
                    </w:txbxContent>
                  </v:textbox>
                </v:rect>
                <v:rect id="Rectangle 4881" style="position:absolute;width:1127;height:1702;left:13783;top:2987;" filled="f" stroked="f">
                  <v:textbox inset="0,0,0,0">
                    <w:txbxContent>
                      <w:p>
                        <w:pPr>
                          <w:spacing w:before="0" w:after="160" w:line="259" w:lineRule="auto"/>
                        </w:pPr>
                        <w:r>
                          <w:rPr>
                            <w:rFonts w:cs="Cambria Math" w:hAnsi="Cambria Math" w:eastAsia="Cambria Math" w:ascii="Cambria Math"/>
                            <w:sz w:val="20"/>
                          </w:rPr>
                          <w:t xml:space="preserve">𝐴</w:t>
                        </w:r>
                      </w:p>
                    </w:txbxContent>
                  </v:textbox>
                </v:rect>
                <v:rect id="Rectangle 4882" style="position:absolute;width:482;height:2351;left:14758;top:2241;" filled="f" stroked="f">
                  <v:textbox inset="0,0,0,0">
                    <w:txbxContent>
                      <w:p>
                        <w:pPr>
                          <w:spacing w:before="0" w:after="160" w:line="259" w:lineRule="auto"/>
                        </w:pPr>
                        <w:r>
                          <w:rPr>
                            <w:rFonts w:cs="Cambria Math" w:hAnsi="Cambria Math" w:eastAsia="Cambria Math" w:ascii="Cambria Math"/>
                            <w:sz w:val="28"/>
                          </w:rPr>
                          <w:t xml:space="preserve">,</w:t>
                        </w:r>
                      </w:p>
                    </w:txbxContent>
                  </v:textbox>
                </v:rect>
                <v:rect id="Rectangle 4883" style="position:absolute;width:1417;height:2351;left:15398;top:2241;" filled="f" stroked="f">
                  <v:textbox inset="0,0,0,0">
                    <w:txbxContent>
                      <w:p>
                        <w:pPr>
                          <w:spacing w:before="0" w:after="160" w:line="259" w:lineRule="auto"/>
                        </w:pPr>
                        <w:r>
                          <w:rPr>
                            <w:rFonts w:cs="Cambria Math" w:hAnsi="Cambria Math" w:eastAsia="Cambria Math" w:ascii="Cambria Math"/>
                            <w:sz w:val="28"/>
                          </w:rPr>
                          <w:t xml:space="preserve">𝑌</w:t>
                        </w:r>
                      </w:p>
                    </w:txbxContent>
                  </v:textbox>
                </v:rect>
                <v:rect id="Rectangle 4884" style="position:absolute;width:1127;height:1702;left:16069;top:2987;" filled="f" stroked="f">
                  <v:textbox inset="0,0,0,0">
                    <w:txbxContent>
                      <w:p>
                        <w:pPr>
                          <w:spacing w:before="0" w:after="160" w:line="259" w:lineRule="auto"/>
                        </w:pPr>
                        <w:r>
                          <w:rPr>
                            <w:rFonts w:cs="Cambria Math" w:hAnsi="Cambria Math" w:eastAsia="Cambria Math" w:ascii="Cambria Math"/>
                            <w:sz w:val="20"/>
                          </w:rPr>
                          <w:t xml:space="preserve">𝐴</w:t>
                        </w:r>
                      </w:p>
                    </w:txbxContent>
                  </v:textbox>
                </v:rect>
                <v:rect id="Rectangle 4885" style="position:absolute;width:482;height:2351;left:17047;top:2241;" filled="f" stroked="f">
                  <v:textbox inset="0,0,0,0">
                    <w:txbxContent>
                      <w:p>
                        <w:pPr>
                          <w:spacing w:before="0" w:after="160" w:line="259" w:lineRule="auto"/>
                        </w:pPr>
                        <w:r>
                          <w:rPr>
                            <w:rFonts w:cs="Cambria Math" w:hAnsi="Cambria Math" w:eastAsia="Cambria Math" w:ascii="Cambria Math"/>
                            <w:sz w:val="28"/>
                          </w:rPr>
                          <w:t xml:space="preserve">,</w:t>
                        </w:r>
                      </w:p>
                    </w:txbxContent>
                  </v:textbox>
                </v:rect>
                <v:rect id="Rectangle 4886" style="position:absolute;width:1391;height:2351;left:17687;top:2241;" filled="f" stroked="f">
                  <v:textbox inset="0,0,0,0">
                    <w:txbxContent>
                      <w:p>
                        <w:pPr>
                          <w:spacing w:before="0" w:after="160" w:line="259" w:lineRule="auto"/>
                        </w:pPr>
                        <w:r>
                          <w:rPr>
                            <w:rFonts w:cs="Cambria Math" w:hAnsi="Cambria Math" w:eastAsia="Cambria Math" w:ascii="Cambria Math"/>
                            <w:sz w:val="28"/>
                          </w:rPr>
                          <w:t xml:space="preserve">𝑍</w:t>
                        </w:r>
                      </w:p>
                    </w:txbxContent>
                  </v:textbox>
                </v:rect>
                <v:rect id="Rectangle 4887" style="position:absolute;width:1127;height:1702;left:18571;top:2987;" filled="f" stroked="f">
                  <v:textbox inset="0,0,0,0">
                    <w:txbxContent>
                      <w:p>
                        <w:pPr>
                          <w:spacing w:before="0" w:after="160" w:line="259" w:lineRule="auto"/>
                        </w:pPr>
                        <w:r>
                          <w:rPr>
                            <w:rFonts w:cs="Cambria Math" w:hAnsi="Cambria Math" w:eastAsia="Cambria Math" w:ascii="Cambria Math"/>
                            <w:sz w:val="20"/>
                          </w:rPr>
                          <w:t xml:space="preserve">𝐴</w:t>
                        </w:r>
                      </w:p>
                    </w:txbxContent>
                  </v:textbox>
                </v:rect>
                <v:rect id="Rectangle 4888" style="position:absolute;width:482;height:2351;left:19546;top:2241;" filled="f" stroked="f">
                  <v:textbox inset="0,0,0,0">
                    <w:txbxContent>
                      <w:p>
                        <w:pPr>
                          <w:spacing w:before="0" w:after="160" w:line="259" w:lineRule="auto"/>
                        </w:pPr>
                        <w:r>
                          <w:rPr>
                            <w:rFonts w:cs="Cambria Math" w:hAnsi="Cambria Math" w:eastAsia="Cambria Math" w:ascii="Cambria Math"/>
                            <w:sz w:val="28"/>
                          </w:rPr>
                          <w:t xml:space="preserve">,</w:t>
                        </w:r>
                      </w:p>
                    </w:txbxContent>
                  </v:textbox>
                </v:rect>
                <v:rect id="Rectangle 4889" style="position:absolute;width:1250;height:2351;left:20186;top:2241;" filled="f" stroked="f">
                  <v:textbox inset="0,0,0,0">
                    <w:txbxContent>
                      <w:p>
                        <w:pPr>
                          <w:spacing w:before="0" w:after="160" w:line="259" w:lineRule="auto"/>
                        </w:pPr>
                        <w:r>
                          <w:rPr>
                            <w:rFonts w:cs="Cambria Math" w:hAnsi="Cambria Math" w:eastAsia="Cambria Math" w:ascii="Cambria Math"/>
                            <w:sz w:val="28"/>
                          </w:rPr>
                          <w:t xml:space="preserve">𝑥</w:t>
                        </w:r>
                      </w:p>
                    </w:txbxContent>
                  </v:textbox>
                </v:rect>
                <v:rect id="Rectangle 4890" style="position:absolute;width:1154;height:1702;left:21101;top:2987;" filled="f" stroked="f">
                  <v:textbox inset="0,0,0,0">
                    <w:txbxContent>
                      <w:p>
                        <w:pPr>
                          <w:spacing w:before="0" w:after="160" w:line="259" w:lineRule="auto"/>
                        </w:pPr>
                        <w:r>
                          <w:rPr>
                            <w:rFonts w:cs="Cambria Math" w:hAnsi="Cambria Math" w:eastAsia="Cambria Math" w:ascii="Cambria Math"/>
                            <w:sz w:val="20"/>
                          </w:rPr>
                          <w:t xml:space="preserve">𝐵</w:t>
                        </w:r>
                      </w:p>
                    </w:txbxContent>
                  </v:textbox>
                </v:rect>
                <v:rect id="Rectangle 4891" style="position:absolute;width:482;height:2351;left:22106;top:2241;" filled="f" stroked="f">
                  <v:textbox inset="0,0,0,0">
                    <w:txbxContent>
                      <w:p>
                        <w:pPr>
                          <w:spacing w:before="0" w:after="160" w:line="259" w:lineRule="auto"/>
                        </w:pPr>
                        <w:r>
                          <w:rPr>
                            <w:rFonts w:cs="Cambria Math" w:hAnsi="Cambria Math" w:eastAsia="Cambria Math" w:ascii="Cambria Math"/>
                            <w:sz w:val="28"/>
                          </w:rPr>
                          <w:t xml:space="preserve">,</w:t>
                        </w:r>
                      </w:p>
                    </w:txbxContent>
                  </v:textbox>
                </v:rect>
                <v:rect id="Rectangle 4892" style="position:absolute;width:1316;height:2351;left:22746;top:2241;" filled="f" stroked="f">
                  <v:textbox inset="0,0,0,0">
                    <w:txbxContent>
                      <w:p>
                        <w:pPr>
                          <w:spacing w:before="0" w:after="160" w:line="259" w:lineRule="auto"/>
                        </w:pPr>
                        <w:r>
                          <w:rPr>
                            <w:rFonts w:cs="Cambria Math" w:hAnsi="Cambria Math" w:eastAsia="Cambria Math" w:ascii="Cambria Math"/>
                            <w:sz w:val="28"/>
                          </w:rPr>
                          <w:t xml:space="preserve">𝑦</w:t>
                        </w:r>
                      </w:p>
                    </w:txbxContent>
                  </v:textbox>
                </v:rect>
                <v:rect id="Rectangle 4893" style="position:absolute;width:1154;height:1702;left:23661;top:2987;" filled="f" stroked="f">
                  <v:textbox inset="0,0,0,0">
                    <w:txbxContent>
                      <w:p>
                        <w:pPr>
                          <w:spacing w:before="0" w:after="160" w:line="259" w:lineRule="auto"/>
                        </w:pPr>
                        <w:r>
                          <w:rPr>
                            <w:rFonts w:cs="Cambria Math" w:hAnsi="Cambria Math" w:eastAsia="Cambria Math" w:ascii="Cambria Math"/>
                            <w:sz w:val="20"/>
                          </w:rPr>
                          <w:t xml:space="preserve">𝐵</w:t>
                        </w:r>
                      </w:p>
                    </w:txbxContent>
                  </v:textbox>
                </v:rect>
                <v:rect id="Rectangle 4894" style="position:absolute;width:482;height:2351;left:24667;top:2241;" filled="f" stroked="f">
                  <v:textbox inset="0,0,0,0">
                    <w:txbxContent>
                      <w:p>
                        <w:pPr>
                          <w:spacing w:before="0" w:after="160" w:line="259" w:lineRule="auto"/>
                        </w:pPr>
                        <w:r>
                          <w:rPr>
                            <w:rFonts w:cs="Cambria Math" w:hAnsi="Cambria Math" w:eastAsia="Cambria Math" w:ascii="Cambria Math"/>
                            <w:sz w:val="28"/>
                          </w:rPr>
                          <w:t xml:space="preserve">,</w:t>
                        </w:r>
                      </w:p>
                    </w:txbxContent>
                  </v:textbox>
                </v:rect>
                <v:rect id="Rectangle 4895" style="position:absolute;width:1135;height:2351;left:25340;top:2241;" filled="f" stroked="f">
                  <v:textbox inset="0,0,0,0">
                    <w:txbxContent>
                      <w:p>
                        <w:pPr>
                          <w:spacing w:before="0" w:after="160" w:line="259" w:lineRule="auto"/>
                        </w:pPr>
                        <w:r>
                          <w:rPr>
                            <w:rFonts w:cs="Cambria Math" w:hAnsi="Cambria Math" w:eastAsia="Cambria Math" w:ascii="Cambria Math"/>
                            <w:sz w:val="28"/>
                          </w:rPr>
                          <w:t xml:space="preserve">𝑧</w:t>
                        </w:r>
                      </w:p>
                    </w:txbxContent>
                  </v:textbox>
                </v:rect>
                <v:rect id="Rectangle 4896" style="position:absolute;width:1154;height:1702;left:26163;top:2987;" filled="f" stroked="f">
                  <v:textbox inset="0,0,0,0">
                    <w:txbxContent>
                      <w:p>
                        <w:pPr>
                          <w:spacing w:before="0" w:after="160" w:line="259" w:lineRule="auto"/>
                        </w:pPr>
                        <w:r>
                          <w:rPr>
                            <w:rFonts w:cs="Cambria Math" w:hAnsi="Cambria Math" w:eastAsia="Cambria Math" w:ascii="Cambria Math"/>
                            <w:sz w:val="20"/>
                          </w:rPr>
                          <w:t xml:space="preserve">𝐵</w:t>
                        </w:r>
                      </w:p>
                    </w:txbxContent>
                  </v:textbox>
                </v:rect>
                <v:rect id="Rectangle 4897" style="position:absolute;width:482;height:2351;left:27108;top:2241;" filled="f" stroked="f">
                  <v:textbox inset="0,0,0,0">
                    <w:txbxContent>
                      <w:p>
                        <w:pPr>
                          <w:spacing w:before="0" w:after="160" w:line="259" w:lineRule="auto"/>
                        </w:pPr>
                        <w:r>
                          <w:rPr>
                            <w:rFonts w:cs="Cambria Math" w:hAnsi="Cambria Math" w:eastAsia="Cambria Math" w:ascii="Cambria Math"/>
                            <w:sz w:val="28"/>
                          </w:rPr>
                          <w:t xml:space="preserve">,</w:t>
                        </w:r>
                      </w:p>
                    </w:txbxContent>
                  </v:textbox>
                </v:rect>
                <v:rect id="Rectangle 4898" style="position:absolute;width:1497;height:2351;left:27778;top:2241;" filled="f" stroked="f">
                  <v:textbox inset="0,0,0,0">
                    <w:txbxContent>
                      <w:p>
                        <w:pPr>
                          <w:spacing w:before="0" w:after="160" w:line="259" w:lineRule="auto"/>
                        </w:pPr>
                        <w:r>
                          <w:rPr>
                            <w:rFonts w:cs="Cambria Math" w:hAnsi="Cambria Math" w:eastAsia="Cambria Math" w:ascii="Cambria Math"/>
                            <w:sz w:val="28"/>
                          </w:rPr>
                          <w:t xml:space="preserve">𝑅</w:t>
                        </w:r>
                      </w:p>
                    </w:txbxContent>
                  </v:textbox>
                </v:rect>
                <v:rect id="Rectangle 4899" style="position:absolute;width:482;height:2351;left:28967;top:2241;" filled="f" stroked="f">
                  <v:textbox inset="0,0,0,0">
                    <w:txbxContent>
                      <w:p>
                        <w:pPr>
                          <w:spacing w:before="0" w:after="160" w:line="259" w:lineRule="auto"/>
                        </w:pPr>
                        <w:r>
                          <w:rPr>
                            <w:rFonts w:cs="Cambria Math" w:hAnsi="Cambria Math" w:eastAsia="Cambria Math" w:ascii="Cambria Math"/>
                            <w:sz w:val="28"/>
                          </w:rPr>
                          <w:t xml:space="preserve">,</w:t>
                        </w:r>
                      </w:p>
                    </w:txbxContent>
                  </v:textbox>
                </v:rect>
                <v:rect id="Rectangle 4900" style="position:absolute;width:1309;height:2351;left:29637;top:2241;" filled="f" stroked="f">
                  <v:textbox inset="0,0,0,0">
                    <w:txbxContent>
                      <w:p>
                        <w:pPr>
                          <w:spacing w:before="0" w:after="160" w:line="259" w:lineRule="auto"/>
                        </w:pPr>
                        <w:r>
                          <w:rPr>
                            <w:rFonts w:cs="Cambria Math" w:hAnsi="Cambria Math" w:eastAsia="Cambria Math" w:ascii="Cambria Math"/>
                            <w:sz w:val="28"/>
                          </w:rPr>
                          <w:t xml:space="preserve">𝑎</w:t>
                        </w:r>
                      </w:p>
                    </w:txbxContent>
                  </v:textbox>
                </v:rect>
                <v:rect id="Rectangle 4901" style="position:absolute;width:482;height:2351;left:30643;top:2241;" filled="f" stroked="f">
                  <v:textbox inset="0,0,0,0">
                    <w:txbxContent>
                      <w:p>
                        <w:pPr>
                          <w:spacing w:before="0" w:after="160" w:line="259" w:lineRule="auto"/>
                        </w:pPr>
                        <w:r>
                          <w:rPr>
                            <w:rFonts w:cs="Cambria Math" w:hAnsi="Cambria Math" w:eastAsia="Cambria Math" w:ascii="Cambria Math"/>
                            <w:sz w:val="28"/>
                          </w:rPr>
                          <w:t xml:space="preserve">,</w:t>
                        </w:r>
                      </w:p>
                    </w:txbxContent>
                  </v:textbox>
                </v:rect>
                <v:rect id="Rectangle 4902" style="position:absolute;width:1267;height:2351;left:31314;top:2241;" filled="f" stroked="f">
                  <v:textbox inset="0,0,0,0">
                    <w:txbxContent>
                      <w:p>
                        <w:pPr>
                          <w:spacing w:before="0" w:after="160" w:line="259" w:lineRule="auto"/>
                        </w:pPr>
                        <w:r>
                          <w:rPr>
                            <w:rFonts w:cs="Cambria Math" w:hAnsi="Cambria Math" w:eastAsia="Cambria Math" w:ascii="Cambria Math"/>
                            <w:sz w:val="28"/>
                          </w:rPr>
                          <w:t xml:space="preserve">𝑏</w:t>
                        </w:r>
                      </w:p>
                    </w:txbxContent>
                  </v:textbox>
                </v:rect>
                <v:rect id="Rectangle 4903" style="position:absolute;width:482;height:2351;left:32320;top:2241;" filled="f" stroked="f">
                  <v:textbox inset="0,0,0,0">
                    <w:txbxContent>
                      <w:p>
                        <w:pPr>
                          <w:spacing w:before="0" w:after="160" w:line="259" w:lineRule="auto"/>
                        </w:pPr>
                        <w:r>
                          <w:rPr>
                            <w:rFonts w:cs="Cambria Math" w:hAnsi="Cambria Math" w:eastAsia="Cambria Math" w:ascii="Cambria Math"/>
                            <w:sz w:val="28"/>
                          </w:rPr>
                          <w:t xml:space="preserve">,</w:t>
                        </w:r>
                      </w:p>
                    </w:txbxContent>
                  </v:textbox>
                </v:rect>
                <v:rect id="Rectangle 4904" style="position:absolute;width:1081;height:2351;left:32994;top:2241;" filled="f" stroked="f">
                  <v:textbox inset="0,0,0,0">
                    <w:txbxContent>
                      <w:p>
                        <w:pPr>
                          <w:spacing w:before="0" w:after="160" w:line="259" w:lineRule="auto"/>
                        </w:pPr>
                        <w:r>
                          <w:rPr>
                            <w:rFonts w:cs="Cambria Math" w:hAnsi="Cambria Math" w:eastAsia="Cambria Math" w:ascii="Cambria Math"/>
                            <w:sz w:val="28"/>
                          </w:rPr>
                          <w:t xml:space="preserve">𝑐</w:t>
                        </w:r>
                      </w:p>
                    </w:txbxContent>
                  </v:textbox>
                </v:rect>
                <v:rect id="Rectangle 4905" style="position:absolute;width:482;height:2351;left:33848;top:2241;" filled="f" stroked="f">
                  <v:textbox inset="0,0,0,0">
                    <w:txbxContent>
                      <w:p>
                        <w:pPr>
                          <w:spacing w:before="0" w:after="160" w:line="259" w:lineRule="auto"/>
                        </w:pPr>
                        <w:r>
                          <w:rPr>
                            <w:rFonts w:cs="Cambria Math" w:hAnsi="Cambria Math" w:eastAsia="Cambria Math" w:ascii="Cambria Math"/>
                            <w:sz w:val="28"/>
                          </w:rPr>
                          <w:t xml:space="preserve">,</w:t>
                        </w:r>
                      </w:p>
                    </w:txbxContent>
                  </v:textbox>
                </v:rect>
                <v:rect id="Rectangle 4906" style="position:absolute;width:1250;height:2351;left:34518;top:2241;" filled="f" stroked="f">
                  <v:textbox inset="0,0,0,0">
                    <w:txbxContent>
                      <w:p>
                        <w:pPr>
                          <w:spacing w:before="0" w:after="160" w:line="259" w:lineRule="auto"/>
                        </w:pPr>
                        <w:r>
                          <w:rPr>
                            <w:rFonts w:cs="Cambria Math" w:hAnsi="Cambria Math" w:eastAsia="Cambria Math" w:ascii="Cambria Math"/>
                            <w:sz w:val="28"/>
                          </w:rPr>
                          <w:t xml:space="preserve">𝑥</w:t>
                        </w:r>
                      </w:p>
                    </w:txbxContent>
                  </v:textbox>
                </v:rect>
                <v:rect id="Rectangle 4907" style="position:absolute;width:859;height:1702;left:35433;top:2987;" filled="f" stroked="f">
                  <v:textbox inset="0,0,0,0">
                    <w:txbxContent>
                      <w:p>
                        <w:pPr>
                          <w:spacing w:before="0" w:after="160" w:line="259" w:lineRule="auto"/>
                        </w:pPr>
                        <w:r>
                          <w:rPr>
                            <w:rFonts w:cs="Cambria Math" w:hAnsi="Cambria Math" w:eastAsia="Cambria Math" w:ascii="Cambria Math"/>
                            <w:sz w:val="20"/>
                          </w:rPr>
                          <w:t xml:space="preserve">𝑐</w:t>
                        </w:r>
                      </w:p>
                    </w:txbxContent>
                  </v:textbox>
                </v:rect>
                <v:rect id="Rectangle 4908" style="position:absolute;width:482;height:2351;left:36195;top:2241;" filled="f" stroked="f">
                  <v:textbox inset="0,0,0,0">
                    <w:txbxContent>
                      <w:p>
                        <w:pPr>
                          <w:spacing w:before="0" w:after="160" w:line="259" w:lineRule="auto"/>
                        </w:pPr>
                        <w:r>
                          <w:rPr>
                            <w:rFonts w:cs="Cambria Math" w:hAnsi="Cambria Math" w:eastAsia="Cambria Math" w:ascii="Cambria Math"/>
                            <w:sz w:val="28"/>
                          </w:rPr>
                          <w:t xml:space="preserve">,</w:t>
                        </w:r>
                      </w:p>
                    </w:txbxContent>
                  </v:textbox>
                </v:rect>
                <v:rect id="Rectangle 4909" style="position:absolute;width:1316;height:2351;left:36865;top:2241;" filled="f" stroked="f">
                  <v:textbox inset="0,0,0,0">
                    <w:txbxContent>
                      <w:p>
                        <w:pPr>
                          <w:spacing w:before="0" w:after="160" w:line="259" w:lineRule="auto"/>
                        </w:pPr>
                        <w:r>
                          <w:rPr>
                            <w:rFonts w:cs="Cambria Math" w:hAnsi="Cambria Math" w:eastAsia="Cambria Math" w:ascii="Cambria Math"/>
                            <w:sz w:val="28"/>
                          </w:rPr>
                          <w:t xml:space="preserve">𝑦</w:t>
                        </w:r>
                      </w:p>
                    </w:txbxContent>
                  </v:textbox>
                </v:rect>
                <v:rect id="Rectangle 4910" style="position:absolute;width:859;height:1702;left:37688;top:2987;" filled="f" stroked="f">
                  <v:textbox inset="0,0,0,0">
                    <w:txbxContent>
                      <w:p>
                        <w:pPr>
                          <w:spacing w:before="0" w:after="160" w:line="259" w:lineRule="auto"/>
                        </w:pPr>
                        <w:r>
                          <w:rPr>
                            <w:rFonts w:cs="Cambria Math" w:hAnsi="Cambria Math" w:eastAsia="Cambria Math" w:ascii="Cambria Math"/>
                            <w:sz w:val="20"/>
                          </w:rPr>
                          <w:t xml:space="preserve">𝑐</w:t>
                        </w:r>
                      </w:p>
                    </w:txbxContent>
                  </v:textbox>
                </v:rect>
                <v:rect id="Rectangle 4911" style="position:absolute;width:482;height:2351;left:38450;top:2241;" filled="f" stroked="f">
                  <v:textbox inset="0,0,0,0">
                    <w:txbxContent>
                      <w:p>
                        <w:pPr>
                          <w:spacing w:before="0" w:after="160" w:line="259" w:lineRule="auto"/>
                        </w:pPr>
                        <w:r>
                          <w:rPr>
                            <w:rFonts w:cs="Cambria Math" w:hAnsi="Cambria Math" w:eastAsia="Cambria Math" w:ascii="Cambria Math"/>
                            <w:sz w:val="28"/>
                          </w:rPr>
                          <w:t xml:space="preserve">,</w:t>
                        </w:r>
                      </w:p>
                    </w:txbxContent>
                  </v:textbox>
                </v:rect>
                <v:rect id="Rectangle 4912" style="position:absolute;width:1135;height:2351;left:39121;top:2241;" filled="f" stroked="f">
                  <v:textbox inset="0,0,0,0">
                    <w:txbxContent>
                      <w:p>
                        <w:pPr>
                          <w:spacing w:before="0" w:after="160" w:line="259" w:lineRule="auto"/>
                        </w:pPr>
                        <w:r>
                          <w:rPr>
                            <w:rFonts w:cs="Cambria Math" w:hAnsi="Cambria Math" w:eastAsia="Cambria Math" w:ascii="Cambria Math"/>
                            <w:sz w:val="28"/>
                          </w:rPr>
                          <w:t xml:space="preserve">𝑧</w:t>
                        </w:r>
                      </w:p>
                    </w:txbxContent>
                  </v:textbox>
                </v:rect>
                <v:rect id="Rectangle 4913" style="position:absolute;width:859;height:1702;left:39944;top:2987;" filled="f" stroked="f">
                  <v:textbox inset="0,0,0,0">
                    <w:txbxContent>
                      <w:p>
                        <w:pPr>
                          <w:spacing w:before="0" w:after="160" w:line="259" w:lineRule="auto"/>
                        </w:pPr>
                        <w:r>
                          <w:rPr>
                            <w:rFonts w:cs="Cambria Math" w:hAnsi="Cambria Math" w:eastAsia="Cambria Math" w:ascii="Cambria Math"/>
                            <w:sz w:val="20"/>
                          </w:rPr>
                          <w:t xml:space="preserve">𝑐</w:t>
                        </w:r>
                      </w:p>
                    </w:txbxContent>
                  </v:textbox>
                </v:rect>
                <v:rect id="Rectangle 4914" style="position:absolute;width:975;height:2351;left:40678;top:2241;" filled="f" stroked="f">
                  <v:textbox inset="0,0,0,0">
                    <w:txbxContent>
                      <w:p>
                        <w:pPr>
                          <w:spacing w:before="0" w:after="160" w:line="259" w:lineRule="auto"/>
                        </w:pPr>
                        <w:r>
                          <w:rPr>
                            <w:rFonts w:cs="Cambria Math" w:hAnsi="Cambria Math" w:eastAsia="Cambria Math" w:ascii="Cambria Math"/>
                            <w:sz w:val="28"/>
                          </w:rPr>
                          <w:t xml:space="preserve">)</w:t>
                        </w:r>
                      </w:p>
                    </w:txbxContent>
                  </v:textbox>
                </v:rect>
                <v:rect id="Rectangle 4915" style="position:absolute;width:858;height:2351;left:41440;top:2241;" filled="f" stroked="f">
                  <v:textbox inset="0,0,0,0">
                    <w:txbxContent>
                      <w:p>
                        <w:pPr>
                          <w:spacing w:before="0" w:after="160" w:line="259" w:lineRule="auto"/>
                        </w:pPr>
                        <w:r>
                          <w:rPr>
                            <w:rFonts w:cs="Cambria Math" w:hAnsi="Cambria Math" w:eastAsia="Cambria Math" w:ascii="Cambria Math"/>
                            <w:sz w:val="28"/>
                          </w:rPr>
                          <w:t xml:space="preserve">]</w:t>
                        </w:r>
                      </w:p>
                    </w:txbxContent>
                  </v:textbox>
                </v:rect>
                <v:rect id="Rectangle 4916" style="position:absolute;width:985;height:1702;left:42080;top:1066;" filled="f" stroked="f">
                  <v:textbox inset="0,0,0,0">
                    <w:txbxContent>
                      <w:p>
                        <w:pPr>
                          <w:spacing w:before="0" w:after="160" w:line="259" w:lineRule="auto"/>
                        </w:pPr>
                        <w:r>
                          <w:rPr>
                            <w:rFonts w:cs="Cambria Math" w:hAnsi="Cambria Math" w:eastAsia="Cambria Math" w:ascii="Cambria Math"/>
                            <w:sz w:val="20"/>
                          </w:rPr>
                          <w:t xml:space="preserve">2</w:t>
                        </w:r>
                      </w:p>
                    </w:txbxContent>
                  </v:textbox>
                </v:rect>
                <v:rect id="Rectangle 4917" style="position:absolute;width:517;height:2351;left:42903;top:2241;" filled="f" stroked="f">
                  <v:textbox inset="0,0,0,0">
                    <w:txbxContent>
                      <w:p>
                        <w:pPr>
                          <w:spacing w:before="0" w:after="160" w:line="259" w:lineRule="auto"/>
                        </w:pPr>
                        <w:r>
                          <w:rPr>
                            <w:rFonts w:cs="Cambria Math" w:hAnsi="Cambria Math" w:eastAsia="Cambria Math" w:ascii="Cambria Math"/>
                            <w:sz w:val="28"/>
                          </w:rPr>
                          <w:t xml:space="preserve"> </w:t>
                        </w:r>
                      </w:p>
                    </w:txbxContent>
                  </v:textbox>
                </v:rect>
                <v:shape id="Picture 5007" style="position:absolute;width:40386;height:28102;left:847;top:5920;" filled="f">
                  <v:imagedata r:id="rId135"/>
                </v:shape>
              </v:group>
            </w:pict>
          </mc:Fallback>
        </mc:AlternateContent>
      </w:r>
      <w:r>
        <w:rPr>
          <w:rFonts w:ascii="Times New Roman" w:eastAsia="Times New Roman" w:hAnsi="Times New Roman" w:cs="Times New Roman"/>
          <w:sz w:val="28"/>
        </w:rPr>
        <w:t xml:space="preserve"> </w:t>
      </w:r>
    </w:p>
    <w:p w:rsidR="0052701D" w:rsidRDefault="00D40929">
      <w:pPr>
        <w:spacing w:after="14" w:line="248" w:lineRule="auto"/>
        <w:ind w:left="713" w:right="837" w:hanging="5"/>
        <w:jc w:val="center"/>
      </w:pPr>
      <w:r>
        <w:rPr>
          <w:rFonts w:ascii="Times New Roman" w:eastAsia="Times New Roman" w:hAnsi="Times New Roman" w:cs="Times New Roman"/>
          <w:sz w:val="24"/>
        </w:rPr>
        <w:t xml:space="preserve"> Сурет 3. II класты кеңістіктік механизм </w:t>
      </w:r>
    </w:p>
    <w:p w:rsidR="0052701D" w:rsidRDefault="00D40929">
      <w:pPr>
        <w:spacing w:after="23"/>
      </w:pPr>
      <w:r>
        <w:rPr>
          <w:rFonts w:ascii="Times New Roman" w:eastAsia="Times New Roman" w:hAnsi="Times New Roman" w:cs="Times New Roman"/>
          <w:sz w:val="28"/>
        </w:rPr>
        <w:t xml:space="preserve"> </w:t>
      </w:r>
    </w:p>
    <w:p w:rsidR="0052701D" w:rsidRDefault="00D40929">
      <w:pPr>
        <w:spacing w:after="5" w:line="271" w:lineRule="auto"/>
        <w:ind w:left="-56" w:right="137" w:firstLine="767"/>
        <w:jc w:val="both"/>
      </w:pPr>
      <w:r>
        <w:rPr>
          <w:rFonts w:ascii="Times New Roman" w:eastAsia="Times New Roman" w:hAnsi="Times New Roman" w:cs="Times New Roman"/>
          <w:i/>
          <w:sz w:val="28"/>
        </w:rPr>
        <w:t xml:space="preserve">ABCD </w:t>
      </w:r>
      <w:r>
        <w:rPr>
          <w:rFonts w:ascii="Times New Roman" w:eastAsia="Times New Roman" w:hAnsi="Times New Roman" w:cs="Times New Roman"/>
          <w:sz w:val="28"/>
        </w:rPr>
        <w:t xml:space="preserve">БКТ синтезі жоғарыда келтірілген алгоритм бойынша жүйеге асырылады. Бұдан әрі (1) және (9) өрнектерінің негізінде </w:t>
      </w:r>
      <w:r>
        <w:rPr>
          <w:rFonts w:ascii="Times New Roman" w:eastAsia="Times New Roman" w:hAnsi="Times New Roman" w:cs="Times New Roman"/>
          <w:i/>
          <w:sz w:val="28"/>
        </w:rPr>
        <w:t xml:space="preserve">В </w:t>
      </w:r>
      <w:r>
        <w:rPr>
          <w:rFonts w:ascii="Times New Roman" w:eastAsia="Times New Roman" w:hAnsi="Times New Roman" w:cs="Times New Roman"/>
          <w:sz w:val="28"/>
        </w:rPr>
        <w:t xml:space="preserve">нүктесінің </w:t>
      </w:r>
      <w:r>
        <w:rPr>
          <w:noProof/>
        </w:rPr>
        <w:drawing>
          <wp:inline distT="0" distB="0" distL="0" distR="0">
            <wp:extent cx="801624" cy="155448"/>
            <wp:effectExtent l="0" t="0" r="0" b="0"/>
            <wp:docPr id="1048644" name="Picture 1048644"/>
            <wp:cNvGraphicFramePr/>
            <a:graphic xmlns:a="http://schemas.openxmlformats.org/drawingml/2006/main">
              <a:graphicData uri="http://schemas.openxmlformats.org/drawingml/2006/picture">
                <pic:pic xmlns:pic="http://schemas.openxmlformats.org/drawingml/2006/picture">
                  <pic:nvPicPr>
                    <pic:cNvPr id="1048644" name="Picture 1048644"/>
                    <pic:cNvPicPr/>
                  </pic:nvPicPr>
                  <pic:blipFill>
                    <a:blip r:embed="rId136"/>
                    <a:stretch>
                      <a:fillRect/>
                    </a:stretch>
                  </pic:blipFill>
                  <pic:spPr>
                    <a:xfrm>
                      <a:off x="0" y="0"/>
                      <a:ext cx="801624" cy="155448"/>
                    </a:xfrm>
                    <a:prstGeom prst="rect">
                      <a:avLst/>
                    </a:prstGeom>
                  </pic:spPr>
                </pic:pic>
              </a:graphicData>
            </a:graphic>
          </wp:inline>
        </w:drawing>
      </w:r>
      <w:r>
        <w:rPr>
          <w:rFonts w:ascii="Times New Roman" w:eastAsia="Times New Roman" w:hAnsi="Times New Roman" w:cs="Times New Roman"/>
          <w:sz w:val="28"/>
        </w:rPr>
        <w:t xml:space="preserve"> координаттары және </w:t>
      </w:r>
      <w:r>
        <w:rPr>
          <w:rFonts w:ascii="Times New Roman" w:eastAsia="Times New Roman" w:hAnsi="Times New Roman" w:cs="Times New Roman"/>
          <w:i/>
          <w:sz w:val="28"/>
        </w:rPr>
        <w:t xml:space="preserve">ВС </w:t>
      </w:r>
      <w:r>
        <w:rPr>
          <w:rFonts w:ascii="Times New Roman" w:eastAsia="Times New Roman" w:hAnsi="Times New Roman" w:cs="Times New Roman"/>
          <w:sz w:val="28"/>
        </w:rPr>
        <w:t xml:space="preserve">буынының бағыттаушы косинустары айқындалады. </w:t>
      </w:r>
      <w:r>
        <w:rPr>
          <w:rFonts w:ascii="Times New Roman" w:eastAsia="Times New Roman" w:hAnsi="Times New Roman" w:cs="Times New Roman"/>
          <w:i/>
          <w:sz w:val="28"/>
        </w:rPr>
        <w:t xml:space="preserve">ACD </w:t>
      </w:r>
      <w:r>
        <w:rPr>
          <w:rFonts w:ascii="Times New Roman" w:eastAsia="Times New Roman" w:hAnsi="Times New Roman" w:cs="Times New Roman"/>
          <w:sz w:val="28"/>
        </w:rPr>
        <w:t xml:space="preserve">модификациясы негізіндң </w:t>
      </w:r>
      <w:r>
        <w:rPr>
          <w:rFonts w:ascii="Times New Roman" w:eastAsia="Times New Roman" w:hAnsi="Times New Roman" w:cs="Times New Roman"/>
          <w:i/>
          <w:sz w:val="28"/>
        </w:rPr>
        <w:t xml:space="preserve">LG </w:t>
      </w:r>
      <w:r>
        <w:rPr>
          <w:rFonts w:ascii="Times New Roman" w:eastAsia="Times New Roman" w:hAnsi="Times New Roman" w:cs="Times New Roman"/>
          <w:sz w:val="28"/>
        </w:rPr>
        <w:t xml:space="preserve">типті </w:t>
      </w:r>
      <w:r>
        <w:rPr>
          <w:rFonts w:ascii="Times New Roman" w:eastAsia="Times New Roman" w:hAnsi="Times New Roman" w:cs="Times New Roman"/>
          <w:i/>
          <w:sz w:val="28"/>
        </w:rPr>
        <w:t xml:space="preserve">ВС </w:t>
      </w:r>
      <w:r>
        <w:rPr>
          <w:rFonts w:ascii="Times New Roman" w:eastAsia="Times New Roman" w:hAnsi="Times New Roman" w:cs="Times New Roman"/>
          <w:sz w:val="28"/>
        </w:rPr>
        <w:t xml:space="preserve">байланысын синтездейміз. Мақсатты функция келесідей:  </w:t>
      </w:r>
    </w:p>
    <w:p w:rsidR="0052701D" w:rsidRDefault="00D40929">
      <w:pPr>
        <w:spacing w:after="23"/>
        <w:ind w:left="1944"/>
      </w:pPr>
      <w:r>
        <w:rPr>
          <w:noProof/>
        </w:rPr>
        <w:drawing>
          <wp:inline distT="0" distB="0" distL="0" distR="0">
            <wp:extent cx="3581400" cy="579120"/>
            <wp:effectExtent l="0" t="0" r="0" b="0"/>
            <wp:docPr id="1048645" name="Picture 1048645"/>
            <wp:cNvGraphicFramePr/>
            <a:graphic xmlns:a="http://schemas.openxmlformats.org/drawingml/2006/main">
              <a:graphicData uri="http://schemas.openxmlformats.org/drawingml/2006/picture">
                <pic:pic xmlns:pic="http://schemas.openxmlformats.org/drawingml/2006/picture">
                  <pic:nvPicPr>
                    <pic:cNvPr id="1048645" name="Picture 1048645"/>
                    <pic:cNvPicPr/>
                  </pic:nvPicPr>
                  <pic:blipFill>
                    <a:blip r:embed="rId137"/>
                    <a:stretch>
                      <a:fillRect/>
                    </a:stretch>
                  </pic:blipFill>
                  <pic:spPr>
                    <a:xfrm>
                      <a:off x="0" y="0"/>
                      <a:ext cx="3581400" cy="579120"/>
                    </a:xfrm>
                    <a:prstGeom prst="rect">
                      <a:avLst/>
                    </a:prstGeom>
                  </pic:spPr>
                </pic:pic>
              </a:graphicData>
            </a:graphic>
          </wp:inline>
        </w:drawing>
      </w:r>
    </w:p>
    <w:p w:rsidR="0052701D" w:rsidRDefault="00D40929">
      <w:pPr>
        <w:spacing w:after="14" w:line="249" w:lineRule="auto"/>
        <w:ind w:left="10" w:right="270" w:hanging="10"/>
        <w:jc w:val="center"/>
      </w:pPr>
      <w:r>
        <w:rPr>
          <w:rFonts w:ascii="Times New Roman" w:eastAsia="Times New Roman" w:hAnsi="Times New Roman" w:cs="Times New Roman"/>
          <w:sz w:val="28"/>
        </w:rPr>
        <w:t xml:space="preserve">Сол сияқты, біз </w:t>
      </w:r>
      <w:r>
        <w:rPr>
          <w:rFonts w:ascii="Times New Roman" w:eastAsia="Times New Roman" w:hAnsi="Times New Roman" w:cs="Times New Roman"/>
          <w:i/>
          <w:sz w:val="28"/>
        </w:rPr>
        <w:t>ACD</w:t>
      </w:r>
      <w:r>
        <w:rPr>
          <w:rFonts w:ascii="Times New Roman" w:eastAsia="Times New Roman" w:hAnsi="Times New Roman" w:cs="Times New Roman"/>
          <w:sz w:val="28"/>
        </w:rPr>
        <w:t xml:space="preserve"> БКТ көмегімен </w:t>
      </w:r>
      <w:r>
        <w:rPr>
          <w:rFonts w:ascii="Times New Roman" w:eastAsia="Times New Roman" w:hAnsi="Times New Roman" w:cs="Times New Roman"/>
          <w:i/>
          <w:sz w:val="28"/>
        </w:rPr>
        <w:t>EF</w:t>
      </w:r>
      <w:r>
        <w:rPr>
          <w:rFonts w:ascii="Times New Roman" w:eastAsia="Times New Roman" w:hAnsi="Times New Roman" w:cs="Times New Roman"/>
          <w:sz w:val="28"/>
        </w:rPr>
        <w:t xml:space="preserve"> байланысын синтездейміз </w:t>
      </w:r>
    </w:p>
    <w:p w:rsidR="0052701D" w:rsidRDefault="00D40929">
      <w:pPr>
        <w:spacing w:after="47"/>
        <w:ind w:left="1904"/>
      </w:pPr>
      <w:r>
        <w:rPr>
          <w:noProof/>
        </w:rPr>
        <w:drawing>
          <wp:inline distT="0" distB="0" distL="0" distR="0">
            <wp:extent cx="3605784" cy="576072"/>
            <wp:effectExtent l="0" t="0" r="0" b="0"/>
            <wp:docPr id="1048646" name="Picture 1048646"/>
            <wp:cNvGraphicFramePr/>
            <a:graphic xmlns:a="http://schemas.openxmlformats.org/drawingml/2006/main">
              <a:graphicData uri="http://schemas.openxmlformats.org/drawingml/2006/picture">
                <pic:pic xmlns:pic="http://schemas.openxmlformats.org/drawingml/2006/picture">
                  <pic:nvPicPr>
                    <pic:cNvPr id="1048646" name="Picture 1048646"/>
                    <pic:cNvPicPr/>
                  </pic:nvPicPr>
                  <pic:blipFill>
                    <a:blip r:embed="rId138"/>
                    <a:stretch>
                      <a:fillRect/>
                    </a:stretch>
                  </pic:blipFill>
                  <pic:spPr>
                    <a:xfrm>
                      <a:off x="0" y="0"/>
                      <a:ext cx="3605784" cy="576072"/>
                    </a:xfrm>
                    <a:prstGeom prst="rect">
                      <a:avLst/>
                    </a:prstGeom>
                  </pic:spPr>
                </pic:pic>
              </a:graphicData>
            </a:graphic>
          </wp:inline>
        </w:drawing>
      </w:r>
    </w:p>
    <w:p w:rsidR="0052701D" w:rsidRDefault="00D40929">
      <w:pPr>
        <w:spacing w:after="5" w:line="271" w:lineRule="auto"/>
        <w:ind w:left="711" w:right="64"/>
        <w:jc w:val="both"/>
      </w:pPr>
      <w:r>
        <w:rPr>
          <w:rFonts w:ascii="Times New Roman" w:eastAsia="Times New Roman" w:hAnsi="Times New Roman" w:cs="Times New Roman"/>
          <w:sz w:val="28"/>
        </w:rPr>
        <w:t xml:space="preserve">Нәтижесінде біз II сыныптың алты сатылы механизмін аламыз (3 сурет).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Ұқсас өрнекті қолдана отырып (1) III және IV класстағы алты таңбалы механизмдерді синтездеуге болады. </w:t>
      </w:r>
    </w:p>
    <w:p w:rsidR="0052701D" w:rsidRDefault="00D40929">
      <w:pPr>
        <w:spacing w:after="5" w:line="251" w:lineRule="auto"/>
        <w:ind w:left="720" w:firstLine="9"/>
      </w:pPr>
      <w:r>
        <w:rPr>
          <w:rFonts w:ascii="Times New Roman" w:eastAsia="Times New Roman" w:hAnsi="Times New Roman" w:cs="Times New Roman"/>
          <w:b/>
          <w:sz w:val="28"/>
        </w:rPr>
        <w:t xml:space="preserve">Қорытынды </w:t>
      </w:r>
    </w:p>
    <w:p w:rsidR="0052701D" w:rsidRDefault="00D40929">
      <w:pPr>
        <w:spacing w:after="5" w:line="271" w:lineRule="auto"/>
        <w:ind w:left="9" w:right="142" w:firstLine="711"/>
        <w:jc w:val="both"/>
      </w:pPr>
      <w:r>
        <w:rPr>
          <w:rFonts w:ascii="Times New Roman" w:eastAsia="Times New Roman" w:hAnsi="Times New Roman" w:cs="Times New Roman"/>
          <w:sz w:val="28"/>
        </w:rPr>
        <w:lastRenderedPageBreak/>
        <w:t>Осылайша, БКТ синтездеуге және оны өзгертуге арналған бірдей мақсатты фу</w:t>
      </w:r>
      <w:r>
        <w:rPr>
          <w:rFonts w:ascii="Times New Roman" w:eastAsia="Times New Roman" w:hAnsi="Times New Roman" w:cs="Times New Roman"/>
          <w:sz w:val="28"/>
        </w:rPr>
        <w:t xml:space="preserve">нкцияны қолдану роботты манипуляторлар мен кеңістіктік иінтіректі механизмнің кіріс және шығыс буындарының берілген қозғалыс орындары бойынша синтездеу процесін автоматтандыруға мүмкіндік береді. </w:t>
      </w:r>
    </w:p>
    <w:p w:rsidR="0052701D" w:rsidRDefault="00D40929">
      <w:pPr>
        <w:spacing w:after="28"/>
        <w:ind w:left="711"/>
      </w:pPr>
      <w:r>
        <w:rPr>
          <w:rFonts w:ascii="Times New Roman" w:eastAsia="Times New Roman" w:hAnsi="Times New Roman" w:cs="Times New Roman"/>
          <w:sz w:val="24"/>
        </w:rPr>
        <w:t xml:space="preserve"> </w:t>
      </w:r>
    </w:p>
    <w:p w:rsidR="0052701D" w:rsidRDefault="00D40929">
      <w:pPr>
        <w:spacing w:after="16" w:line="248" w:lineRule="auto"/>
        <w:ind w:left="819" w:right="227" w:hanging="10"/>
        <w:jc w:val="center"/>
      </w:pPr>
      <w:r>
        <w:rPr>
          <w:rFonts w:ascii="Times New Roman" w:eastAsia="Times New Roman" w:hAnsi="Times New Roman" w:cs="Times New Roman"/>
          <w:b/>
          <w:sz w:val="24"/>
        </w:rPr>
        <w:t xml:space="preserve">Әдебиеттер тізімі </w:t>
      </w:r>
    </w:p>
    <w:p w:rsidR="0052701D" w:rsidRDefault="00D40929">
      <w:pPr>
        <w:spacing w:after="0"/>
        <w:ind w:left="639"/>
        <w:jc w:val="center"/>
      </w:pPr>
      <w:r>
        <w:rPr>
          <w:rFonts w:ascii="Times New Roman" w:eastAsia="Times New Roman" w:hAnsi="Times New Roman" w:cs="Times New Roman"/>
          <w:b/>
          <w:sz w:val="24"/>
        </w:rPr>
        <w:t xml:space="preserve"> </w:t>
      </w:r>
    </w:p>
    <w:p w:rsidR="0052701D" w:rsidRDefault="00D40929">
      <w:pPr>
        <w:spacing w:after="29" w:line="248" w:lineRule="auto"/>
        <w:ind w:left="9" w:right="14" w:firstLine="711"/>
        <w:jc w:val="both"/>
      </w:pPr>
      <w:r>
        <w:rPr>
          <w:rFonts w:ascii="Times New Roman" w:eastAsia="Times New Roman" w:hAnsi="Times New Roman" w:cs="Times New Roman"/>
          <w:sz w:val="24"/>
        </w:rPr>
        <w:t xml:space="preserve">[1]. Воробьев Е.И., Егоров О.Д., Попов С.А. Механика промышленных роботов. Том 2. Расчет и проектирование механизмов. М.: Высшая школа, 1988г. 366 с. </w:t>
      </w:r>
    </w:p>
    <w:p w:rsidR="0052701D" w:rsidRDefault="00D40929">
      <w:pPr>
        <w:spacing w:after="3" w:line="248" w:lineRule="auto"/>
        <w:ind w:left="9" w:right="14" w:firstLine="711"/>
        <w:jc w:val="both"/>
      </w:pPr>
      <w:r>
        <w:rPr>
          <w:rFonts w:ascii="Times New Roman" w:eastAsia="Times New Roman" w:hAnsi="Times New Roman" w:cs="Times New Roman"/>
          <w:sz w:val="24"/>
        </w:rPr>
        <w:t>[2]. Джолдасбеков У.А., Дракунов Ю.М., Косболов С.Б., Молдабеков М.М. Синтез исходных кинематических цепе</w:t>
      </w:r>
      <w:r>
        <w:rPr>
          <w:rFonts w:ascii="Times New Roman" w:eastAsia="Times New Roman" w:hAnsi="Times New Roman" w:cs="Times New Roman"/>
          <w:sz w:val="24"/>
        </w:rPr>
        <w:t xml:space="preserve">й механизмов высоких классов // Изв. АН КазССР, серия физ.– мат. 1987. № 3. C. 65-70. </w:t>
      </w:r>
    </w:p>
    <w:p w:rsidR="0052701D" w:rsidRDefault="00D40929">
      <w:pPr>
        <w:spacing w:after="29" w:line="248" w:lineRule="auto"/>
        <w:ind w:left="9" w:right="14" w:firstLine="711"/>
        <w:jc w:val="both"/>
      </w:pPr>
      <w:r>
        <w:rPr>
          <w:rFonts w:ascii="Times New Roman" w:eastAsia="Times New Roman" w:hAnsi="Times New Roman" w:cs="Times New Roman"/>
          <w:sz w:val="24"/>
        </w:rPr>
        <w:t xml:space="preserve">[3]. Косболов С.Б., Молдабеков М.М. Синтез исходных кинематических цепей со сферическими парами для пространственных механизмов // Вестник КазНТУ. 1(29)/2002. C. 39-44. </w:t>
      </w:r>
    </w:p>
    <w:p w:rsidR="0052701D" w:rsidRDefault="00D40929">
      <w:pPr>
        <w:spacing w:after="29" w:line="248" w:lineRule="auto"/>
        <w:ind w:left="711" w:right="14"/>
        <w:jc w:val="both"/>
      </w:pPr>
      <w:r>
        <w:rPr>
          <w:rFonts w:ascii="Times New Roman" w:eastAsia="Times New Roman" w:hAnsi="Times New Roman" w:cs="Times New Roman"/>
          <w:sz w:val="24"/>
        </w:rPr>
        <w:t xml:space="preserve">[4]. Саркисян Ю.Л. Аппроксимационный синтез механизмов. М.: Наука, 1982. 303 с. </w:t>
      </w:r>
    </w:p>
    <w:p w:rsidR="0052701D" w:rsidRDefault="00D40929">
      <w:pPr>
        <w:spacing w:after="0" w:line="248" w:lineRule="auto"/>
        <w:ind w:left="9" w:right="14" w:firstLine="711"/>
        <w:jc w:val="both"/>
      </w:pPr>
      <w:r>
        <w:rPr>
          <w:rFonts w:ascii="Times New Roman" w:eastAsia="Times New Roman" w:hAnsi="Times New Roman" w:cs="Times New Roman"/>
          <w:sz w:val="24"/>
        </w:rPr>
        <w:t>[5]. Kosbolov S., Moldabekov M., Bekenov E. Kinematic synthesis of spatial lever motion – generating mechanisms by use of initial kinematic chain. The NINTH IFToMM internatio</w:t>
      </w:r>
      <w:r>
        <w:rPr>
          <w:rFonts w:ascii="Times New Roman" w:eastAsia="Times New Roman" w:hAnsi="Times New Roman" w:cs="Times New Roman"/>
          <w:sz w:val="24"/>
        </w:rPr>
        <w:t xml:space="preserve">nal symposium on teori of machines and mechanisms. -Bucharest, Romania, September 1-4, 2005. SYROM 2005. -Р. 245-250. </w:t>
      </w:r>
    </w:p>
    <w:p w:rsidR="0052701D" w:rsidRDefault="00D40929">
      <w:pPr>
        <w:spacing w:after="1" w:line="248" w:lineRule="auto"/>
        <w:ind w:left="9" w:right="14" w:firstLine="711"/>
        <w:jc w:val="both"/>
      </w:pPr>
      <w:r>
        <w:rPr>
          <w:rFonts w:ascii="Times New Roman" w:eastAsia="Times New Roman" w:hAnsi="Times New Roman" w:cs="Times New Roman"/>
          <w:sz w:val="24"/>
        </w:rPr>
        <w:t>[6]. McCarthy J.M. The synthesis of planar RR and spatial CC chains and the equation of a triangle. Trans. ASME. J. Mech. Des. 1995, Supp</w:t>
      </w:r>
      <w:r>
        <w:rPr>
          <w:rFonts w:ascii="Times New Roman" w:eastAsia="Times New Roman" w:hAnsi="Times New Roman" w:cs="Times New Roman"/>
          <w:sz w:val="24"/>
        </w:rPr>
        <w:t xml:space="preserve">l. “50th anniv. des. eng. div.” – p. 101-106. </w:t>
      </w:r>
    </w:p>
    <w:p w:rsidR="0052701D" w:rsidRDefault="00D40929">
      <w:pPr>
        <w:spacing w:after="0" w:line="248" w:lineRule="auto"/>
        <w:ind w:left="9" w:right="14" w:firstLine="711"/>
        <w:jc w:val="both"/>
      </w:pPr>
      <w:r>
        <w:rPr>
          <w:rFonts w:ascii="Times New Roman" w:eastAsia="Times New Roman" w:hAnsi="Times New Roman" w:cs="Times New Roman"/>
          <w:sz w:val="24"/>
        </w:rPr>
        <w:t xml:space="preserve">[7]. Golynski Z. Optimal synthesis problems solved by means of nonlinear programming and random methods. Journal of mechanisms. – Vol. 5. - №3. 1970. – p. 287-309. </w:t>
      </w:r>
    </w:p>
    <w:p w:rsidR="0052701D" w:rsidRDefault="00D40929">
      <w:pPr>
        <w:spacing w:after="0" w:line="248" w:lineRule="auto"/>
        <w:ind w:left="9" w:right="14" w:firstLine="711"/>
        <w:jc w:val="both"/>
      </w:pPr>
      <w:r>
        <w:rPr>
          <w:rFonts w:ascii="Times New Roman" w:eastAsia="Times New Roman" w:hAnsi="Times New Roman" w:cs="Times New Roman"/>
          <w:sz w:val="24"/>
        </w:rPr>
        <w:t>[8]. Innocenti C. Direct kinematics in analy</w:t>
      </w:r>
      <w:r>
        <w:rPr>
          <w:rFonts w:ascii="Times New Roman" w:eastAsia="Times New Roman" w:hAnsi="Times New Roman" w:cs="Times New Roman"/>
          <w:sz w:val="24"/>
        </w:rPr>
        <w:t xml:space="preserve">tical form of the 6-4 fully – parallel mechanisms. Trans. ASME. J. Mech. Des. – 1995, 117.- №1.- p. 85-95. </w:t>
      </w:r>
    </w:p>
    <w:p w:rsidR="0052701D" w:rsidRDefault="00D40929">
      <w:pPr>
        <w:spacing w:after="0"/>
        <w:ind w:left="711"/>
      </w:pPr>
      <w:r>
        <w:rPr>
          <w:rFonts w:ascii="Times New Roman" w:eastAsia="Times New Roman" w:hAnsi="Times New Roman" w:cs="Times New Roman"/>
          <w:sz w:val="24"/>
        </w:rPr>
        <w:t xml:space="preserve"> </w:t>
      </w:r>
    </w:p>
    <w:p w:rsidR="0052701D" w:rsidRDefault="00D40929">
      <w:pPr>
        <w:spacing w:after="0"/>
        <w:ind w:left="711"/>
      </w:pPr>
      <w:r>
        <w:rPr>
          <w:rFonts w:ascii="Times New Roman" w:eastAsia="Times New Roman" w:hAnsi="Times New Roman" w:cs="Times New Roman"/>
          <w:sz w:val="24"/>
        </w:rPr>
        <w:t xml:space="preserve"> </w:t>
      </w:r>
    </w:p>
    <w:p w:rsidR="0052701D" w:rsidRDefault="00D40929">
      <w:pPr>
        <w:spacing w:after="59"/>
      </w:pPr>
      <w:r>
        <w:rPr>
          <w:rFonts w:ascii="Times New Roman" w:eastAsia="Times New Roman" w:hAnsi="Times New Roman" w:cs="Times New Roman"/>
        </w:rPr>
        <w:t xml:space="preserve"> </w:t>
      </w:r>
    </w:p>
    <w:p w:rsidR="0052701D" w:rsidRDefault="00D40929">
      <w:pPr>
        <w:spacing w:after="5" w:line="271" w:lineRule="auto"/>
        <w:ind w:left="9" w:right="64"/>
        <w:jc w:val="both"/>
      </w:pPr>
      <w:r>
        <w:rPr>
          <w:rFonts w:ascii="Times New Roman" w:eastAsia="Times New Roman" w:hAnsi="Times New Roman" w:cs="Times New Roman"/>
          <w:sz w:val="28"/>
        </w:rPr>
        <w:t xml:space="preserve">УДК 004 </w:t>
      </w:r>
    </w:p>
    <w:p w:rsidR="0052701D" w:rsidRDefault="00D40929">
      <w:pPr>
        <w:spacing w:after="4" w:line="271" w:lineRule="auto"/>
        <w:ind w:left="-5" w:right="194" w:hanging="10"/>
      </w:pPr>
      <w:r>
        <w:rPr>
          <w:rFonts w:ascii="Times New Roman" w:eastAsia="Times New Roman" w:hAnsi="Times New Roman" w:cs="Times New Roman"/>
          <w:b/>
          <w:sz w:val="24"/>
        </w:rPr>
        <w:t xml:space="preserve">МРНТИ 28.23.15  </w:t>
      </w:r>
    </w:p>
    <w:p w:rsidR="0052701D" w:rsidRDefault="00D40929">
      <w:pPr>
        <w:spacing w:after="16"/>
      </w:pPr>
      <w:r>
        <w:rPr>
          <w:rFonts w:ascii="Times New Roman" w:eastAsia="Times New Roman" w:hAnsi="Times New Roman" w:cs="Times New Roman"/>
          <w:sz w:val="24"/>
        </w:rPr>
        <w:t xml:space="preserve"> </w:t>
      </w:r>
    </w:p>
    <w:p w:rsidR="0052701D" w:rsidRDefault="00D40929">
      <w:pPr>
        <w:pStyle w:val="1"/>
        <w:ind w:left="173" w:right="179"/>
      </w:pPr>
      <w:r>
        <w:t xml:space="preserve">OVERVIEW OF PROGRAMMING LANGUAGES FOR IMAGE </w:t>
      </w:r>
    </w:p>
    <w:p w:rsidR="0052701D" w:rsidRDefault="00D40929">
      <w:pPr>
        <w:spacing w:after="5" w:line="271" w:lineRule="auto"/>
        <w:ind w:left="173" w:right="179" w:hanging="10"/>
        <w:jc w:val="center"/>
      </w:pPr>
      <w:r>
        <w:rPr>
          <w:rFonts w:ascii="Times New Roman" w:eastAsia="Times New Roman" w:hAnsi="Times New Roman" w:cs="Times New Roman"/>
          <w:b/>
          <w:sz w:val="28"/>
        </w:rPr>
        <w:t xml:space="preserve">RECOGNITION </w:t>
      </w:r>
    </w:p>
    <w:p w:rsidR="0052701D" w:rsidRDefault="00D40929">
      <w:pPr>
        <w:spacing w:after="0"/>
        <w:ind w:left="53"/>
        <w:jc w:val="center"/>
      </w:pPr>
      <w:r>
        <w:rPr>
          <w:rFonts w:ascii="Times New Roman" w:eastAsia="Times New Roman" w:hAnsi="Times New Roman" w:cs="Times New Roman"/>
          <w:b/>
          <w:sz w:val="24"/>
        </w:rPr>
        <w:t xml:space="preserve"> </w:t>
      </w:r>
    </w:p>
    <w:p w:rsidR="0052701D" w:rsidRDefault="00D40929">
      <w:pPr>
        <w:pStyle w:val="1"/>
        <w:spacing w:after="14" w:line="248" w:lineRule="auto"/>
        <w:ind w:left="713" w:right="715" w:hanging="5"/>
      </w:pPr>
      <w:r>
        <w:rPr>
          <w:b w:val="0"/>
          <w:sz w:val="24"/>
        </w:rPr>
        <w:t xml:space="preserve">Nurbai Daryn  </w:t>
      </w:r>
    </w:p>
    <w:p w:rsidR="0052701D" w:rsidRDefault="00D40929">
      <w:pPr>
        <w:spacing w:after="24" w:line="250" w:lineRule="auto"/>
        <w:ind w:left="87" w:hanging="10"/>
        <w:jc w:val="both"/>
      </w:pPr>
      <w:r>
        <w:rPr>
          <w:rFonts w:ascii="Times New Roman" w:eastAsia="Times New Roman" w:hAnsi="Times New Roman" w:cs="Times New Roman"/>
        </w:rPr>
        <w:t>Non-</w:t>
      </w:r>
      <w:r>
        <w:rPr>
          <w:rFonts w:ascii="Times New Roman" w:eastAsia="Times New Roman" w:hAnsi="Times New Roman" w:cs="Times New Roman"/>
        </w:rPr>
        <w:t xml:space="preserve">profit JSC “Almaty University of Power Engineering and Telecommunications named after Gumarbek </w:t>
      </w:r>
    </w:p>
    <w:p w:rsidR="0052701D" w:rsidRDefault="00D40929">
      <w:pPr>
        <w:spacing w:after="9" w:line="248" w:lineRule="auto"/>
        <w:ind w:left="897" w:right="901" w:hanging="10"/>
        <w:jc w:val="center"/>
      </w:pPr>
      <w:r>
        <w:rPr>
          <w:rFonts w:ascii="Times New Roman" w:eastAsia="Times New Roman" w:hAnsi="Times New Roman" w:cs="Times New Roman"/>
        </w:rPr>
        <w:t xml:space="preserve">Daukeyev”,  </w:t>
      </w:r>
    </w:p>
    <w:p w:rsidR="0052701D" w:rsidRDefault="00D40929">
      <w:pPr>
        <w:spacing w:after="9" w:line="248" w:lineRule="auto"/>
        <w:ind w:left="3622" w:right="3563" w:hanging="10"/>
        <w:jc w:val="center"/>
      </w:pPr>
      <w:r>
        <w:rPr>
          <w:rFonts w:ascii="Times New Roman" w:eastAsia="Times New Roman" w:hAnsi="Times New Roman" w:cs="Times New Roman"/>
        </w:rPr>
        <w:t xml:space="preserve">Almaty, Kazakhstan е-mail: d.nuerbai@aues.kz </w:t>
      </w:r>
    </w:p>
    <w:p w:rsidR="0052701D" w:rsidRDefault="00D40929">
      <w:pPr>
        <w:spacing w:after="2"/>
        <w:ind w:left="49"/>
        <w:jc w:val="center"/>
      </w:pPr>
      <w:r>
        <w:rPr>
          <w:rFonts w:ascii="Times New Roman" w:eastAsia="Times New Roman" w:hAnsi="Times New Roman" w:cs="Times New Roman"/>
        </w:rPr>
        <w:t xml:space="preserve"> </w:t>
      </w:r>
    </w:p>
    <w:p w:rsidR="0052701D" w:rsidRDefault="00D40929">
      <w:pPr>
        <w:spacing w:after="29" w:line="248" w:lineRule="auto"/>
        <w:ind w:left="9" w:firstLine="567"/>
        <w:jc w:val="both"/>
      </w:pPr>
      <w:r>
        <w:rPr>
          <w:rFonts w:ascii="Times New Roman" w:eastAsia="Times New Roman" w:hAnsi="Times New Roman" w:cs="Times New Roman"/>
          <w:b/>
          <w:i/>
          <w:sz w:val="24"/>
        </w:rPr>
        <w:t>Аbstract.</w:t>
      </w:r>
      <w:r>
        <w:rPr>
          <w:rFonts w:ascii="Times New Roman" w:eastAsia="Times New Roman" w:hAnsi="Times New Roman" w:cs="Times New Roman"/>
          <w:i/>
          <w:sz w:val="24"/>
        </w:rPr>
        <w:t xml:space="preserve"> The purpose of the work is to review programming languages in order to determine suitable</w:t>
      </w:r>
      <w:r>
        <w:rPr>
          <w:rFonts w:ascii="Times New Roman" w:eastAsia="Times New Roman" w:hAnsi="Times New Roman" w:cs="Times New Roman"/>
          <w:i/>
          <w:sz w:val="24"/>
        </w:rPr>
        <w:t xml:space="preserve"> one for image recognition. A lot of programming languages are used for different purposes nowadays. Thus, we need to recognize the usage field of each of them for efficient image recognition. </w:t>
      </w:r>
    </w:p>
    <w:p w:rsidR="0052701D" w:rsidRDefault="00D40929">
      <w:pPr>
        <w:spacing w:after="0" w:line="248" w:lineRule="auto"/>
        <w:ind w:left="9" w:firstLine="567"/>
        <w:jc w:val="both"/>
      </w:pPr>
      <w:r>
        <w:rPr>
          <w:rFonts w:ascii="Times New Roman" w:eastAsia="Times New Roman" w:hAnsi="Times New Roman" w:cs="Times New Roman"/>
          <w:b/>
          <w:i/>
          <w:sz w:val="24"/>
        </w:rPr>
        <w:t>Keywords:</w:t>
      </w:r>
      <w:r>
        <w:rPr>
          <w:rFonts w:ascii="Times New Roman" w:eastAsia="Times New Roman" w:hAnsi="Times New Roman" w:cs="Times New Roman"/>
          <w:i/>
          <w:sz w:val="24"/>
        </w:rPr>
        <w:t xml:space="preserve"> programming languages, computer science, image recog</w:t>
      </w:r>
      <w:r>
        <w:rPr>
          <w:rFonts w:ascii="Times New Roman" w:eastAsia="Times New Roman" w:hAnsi="Times New Roman" w:cs="Times New Roman"/>
          <w:i/>
          <w:sz w:val="24"/>
        </w:rPr>
        <w:t xml:space="preserve">nition, Python, C++, Java, R-CNN. </w:t>
      </w:r>
    </w:p>
    <w:p w:rsidR="0052701D" w:rsidRDefault="00D40929">
      <w:pPr>
        <w:spacing w:after="16"/>
        <w:ind w:left="567"/>
      </w:pPr>
      <w:r>
        <w:rPr>
          <w:rFonts w:ascii="Times New Roman" w:eastAsia="Times New Roman" w:hAnsi="Times New Roman" w:cs="Times New Roman"/>
          <w:sz w:val="24"/>
        </w:rPr>
        <w:t xml:space="preserve"> </w:t>
      </w:r>
    </w:p>
    <w:p w:rsidR="0052701D" w:rsidRDefault="00D40929">
      <w:pPr>
        <w:spacing w:after="5" w:line="271" w:lineRule="auto"/>
        <w:ind w:left="331" w:firstLine="9"/>
      </w:pPr>
      <w:r>
        <w:rPr>
          <w:rFonts w:ascii="Times New Roman" w:eastAsia="Times New Roman" w:hAnsi="Times New Roman" w:cs="Times New Roman"/>
          <w:b/>
          <w:sz w:val="28"/>
        </w:rPr>
        <w:lastRenderedPageBreak/>
        <w:t xml:space="preserve">ОБЗОР ЯЗЫКОВ ПРОГРАММИРОВАНИЯ ДЛЯ РАСПОЗНАВАНИЯ ИЗОБРАЖЕНИЙ </w:t>
      </w:r>
    </w:p>
    <w:p w:rsidR="0052701D" w:rsidRDefault="00D40929">
      <w:pPr>
        <w:spacing w:after="19"/>
        <w:ind w:left="53"/>
        <w:jc w:val="center"/>
      </w:pPr>
      <w:r>
        <w:rPr>
          <w:rFonts w:ascii="Times New Roman" w:eastAsia="Times New Roman" w:hAnsi="Times New Roman" w:cs="Times New Roman"/>
          <w:b/>
          <w:sz w:val="24"/>
        </w:rPr>
        <w:t xml:space="preserve"> </w:t>
      </w:r>
    </w:p>
    <w:p w:rsidR="0052701D" w:rsidRDefault="00D40929">
      <w:pPr>
        <w:spacing w:after="14" w:line="248" w:lineRule="auto"/>
        <w:ind w:left="713" w:right="722" w:hanging="5"/>
        <w:jc w:val="center"/>
      </w:pPr>
      <w:r>
        <w:rPr>
          <w:rFonts w:ascii="Times New Roman" w:eastAsia="Times New Roman" w:hAnsi="Times New Roman" w:cs="Times New Roman"/>
          <w:sz w:val="24"/>
        </w:rPr>
        <w:t xml:space="preserve">Нұрбай Дарын </w:t>
      </w:r>
    </w:p>
    <w:p w:rsidR="0052701D" w:rsidRDefault="00D40929">
      <w:pPr>
        <w:spacing w:after="9" w:line="248" w:lineRule="auto"/>
        <w:ind w:left="897" w:right="909" w:hanging="10"/>
        <w:jc w:val="center"/>
      </w:pPr>
      <w:r>
        <w:rPr>
          <w:rFonts w:ascii="Times New Roman" w:eastAsia="Times New Roman" w:hAnsi="Times New Roman" w:cs="Times New Roman"/>
        </w:rPr>
        <w:t xml:space="preserve">НАО «Алматинский университет энергетики и связи имени Г. Даукеева» </w:t>
      </w:r>
    </w:p>
    <w:p w:rsidR="0052701D" w:rsidRDefault="00D40929">
      <w:pPr>
        <w:spacing w:after="9" w:line="248" w:lineRule="auto"/>
        <w:ind w:left="897" w:right="898" w:hanging="10"/>
        <w:jc w:val="center"/>
      </w:pPr>
      <w:r>
        <w:rPr>
          <w:rFonts w:ascii="Times New Roman" w:eastAsia="Times New Roman" w:hAnsi="Times New Roman" w:cs="Times New Roman"/>
        </w:rPr>
        <w:t xml:space="preserve">г.Алматы, Казахстан </w:t>
      </w:r>
    </w:p>
    <w:p w:rsidR="0052701D" w:rsidRDefault="00D40929">
      <w:pPr>
        <w:spacing w:after="9" w:line="248" w:lineRule="auto"/>
        <w:ind w:left="897" w:right="901" w:hanging="10"/>
        <w:jc w:val="center"/>
      </w:pPr>
      <w:r>
        <w:rPr>
          <w:rFonts w:ascii="Times New Roman" w:eastAsia="Times New Roman" w:hAnsi="Times New Roman" w:cs="Times New Roman"/>
        </w:rPr>
        <w:t xml:space="preserve">е-mail: d.nuerbai@aues.kz </w:t>
      </w:r>
    </w:p>
    <w:p w:rsidR="0052701D" w:rsidRDefault="00D40929">
      <w:pPr>
        <w:spacing w:after="40"/>
        <w:ind w:left="49"/>
        <w:jc w:val="center"/>
      </w:pPr>
      <w:r>
        <w:rPr>
          <w:rFonts w:ascii="Times New Roman" w:eastAsia="Times New Roman" w:hAnsi="Times New Roman" w:cs="Times New Roman"/>
        </w:rPr>
        <w:t xml:space="preserve"> </w:t>
      </w:r>
    </w:p>
    <w:p w:rsidR="0052701D" w:rsidRDefault="00D40929">
      <w:pPr>
        <w:spacing w:after="29" w:line="248" w:lineRule="auto"/>
        <w:ind w:left="9" w:firstLine="567"/>
        <w:jc w:val="both"/>
      </w:pPr>
      <w:r>
        <w:rPr>
          <w:rFonts w:ascii="Times New Roman" w:eastAsia="Times New Roman" w:hAnsi="Times New Roman" w:cs="Times New Roman"/>
          <w:b/>
          <w:i/>
          <w:sz w:val="24"/>
        </w:rPr>
        <w:t>Аннотация.</w:t>
      </w:r>
      <w:r>
        <w:rPr>
          <w:rFonts w:ascii="Times New Roman" w:eastAsia="Times New Roman" w:hAnsi="Times New Roman" w:cs="Times New Roman"/>
          <w:i/>
          <w:sz w:val="24"/>
        </w:rPr>
        <w:t xml:space="preserve"> Цель работы </w:t>
      </w:r>
      <w:r>
        <w:rPr>
          <w:rFonts w:ascii="Times New Roman" w:eastAsia="Times New Roman" w:hAnsi="Times New Roman" w:cs="Times New Roman"/>
          <w:i/>
          <w:sz w:val="24"/>
        </w:rPr>
        <w:t>— обзор языков программирования для определения, подходящего из них в распознавании изображений. В настоящее время для разных целей используется множество языков программирования. Таким образом, нам нужно распознать поле использования каждого из них для эф</w:t>
      </w:r>
      <w:r>
        <w:rPr>
          <w:rFonts w:ascii="Times New Roman" w:eastAsia="Times New Roman" w:hAnsi="Times New Roman" w:cs="Times New Roman"/>
          <w:i/>
          <w:sz w:val="24"/>
        </w:rPr>
        <w:t xml:space="preserve">фективного распознавания изображений. </w:t>
      </w:r>
    </w:p>
    <w:p w:rsidR="0052701D" w:rsidRDefault="00D40929">
      <w:pPr>
        <w:spacing w:after="29" w:line="248" w:lineRule="auto"/>
        <w:ind w:left="9" w:firstLine="711"/>
        <w:jc w:val="both"/>
      </w:pP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 xml:space="preserve"> языки программирования, информационные технологии, распознавание изображения, Python, C++, Java, R-CNN.</w:t>
      </w:r>
      <w:r>
        <w:rPr>
          <w:rFonts w:ascii="Times New Roman" w:eastAsia="Times New Roman" w:hAnsi="Times New Roman" w:cs="Times New Roman"/>
        </w:rPr>
        <w:t xml:space="preserve"> </w:t>
      </w:r>
    </w:p>
    <w:p w:rsidR="0052701D" w:rsidRDefault="00D40929">
      <w:pPr>
        <w:spacing w:after="22"/>
        <w:ind w:left="567"/>
      </w:pPr>
      <w:r>
        <w:rPr>
          <w:rFonts w:ascii="Times New Roman" w:eastAsia="Times New Roman" w:hAnsi="Times New Roman" w:cs="Times New Roman"/>
          <w:sz w:val="24"/>
        </w:rPr>
        <w:t xml:space="preserve"> </w:t>
      </w:r>
    </w:p>
    <w:p w:rsidR="0052701D" w:rsidRDefault="00D40929">
      <w:pPr>
        <w:spacing w:after="5" w:line="251" w:lineRule="auto"/>
        <w:ind w:left="567" w:firstLine="9"/>
      </w:pPr>
      <w:r>
        <w:rPr>
          <w:rFonts w:ascii="Times New Roman" w:eastAsia="Times New Roman" w:hAnsi="Times New Roman" w:cs="Times New Roman"/>
          <w:b/>
          <w:sz w:val="28"/>
        </w:rPr>
        <w:t xml:space="preserve">Introduction </w:t>
      </w:r>
    </w:p>
    <w:p w:rsidR="0052701D" w:rsidRDefault="00D40929">
      <w:pPr>
        <w:spacing w:after="5" w:line="271" w:lineRule="auto"/>
        <w:ind w:left="9" w:right="64" w:firstLine="567"/>
        <w:jc w:val="both"/>
      </w:pPr>
      <w:r>
        <w:rPr>
          <w:rFonts w:ascii="Times New Roman" w:eastAsia="Times New Roman" w:hAnsi="Times New Roman" w:cs="Times New Roman"/>
          <w:sz w:val="28"/>
        </w:rPr>
        <w:t xml:space="preserve">Image recognition is widely used nowadays in a daily life of the human society. </w:t>
      </w:r>
      <w:r>
        <w:rPr>
          <w:rFonts w:ascii="Times New Roman" w:eastAsia="Times New Roman" w:hAnsi="Times New Roman" w:cs="Times New Roman"/>
          <w:sz w:val="28"/>
        </w:rPr>
        <w:t>Research, security, emergency and other systems all work best with image recognition. Security cameras recognize registration numbers of cars, faces of pedestrians and so on. Emergency systems with image recognition can recognize possible bad outcomes usin</w:t>
      </w:r>
      <w:r>
        <w:rPr>
          <w:rFonts w:ascii="Times New Roman" w:eastAsia="Times New Roman" w:hAnsi="Times New Roman" w:cs="Times New Roman"/>
          <w:sz w:val="28"/>
        </w:rPr>
        <w:t>g machine learning technologies. It might not be noticeable at the first glance, but there are many issues that arose after the technological revolution. They are considered minor inconveniences which are consequences of the industrial and then technologic</w:t>
      </w:r>
      <w:r>
        <w:rPr>
          <w:rFonts w:ascii="Times New Roman" w:eastAsia="Times New Roman" w:hAnsi="Times New Roman" w:cs="Times New Roman"/>
          <w:sz w:val="28"/>
        </w:rPr>
        <w:t xml:space="preserve">al development. One of these problems is the significant number of cars in big cities that is getting bigger and bigger every single day. Consequently, air pollution, traffic jams and full parking spaces which is making citizens much unhealthier. </w:t>
      </w:r>
    </w:p>
    <w:p w:rsidR="0052701D" w:rsidRDefault="00D40929">
      <w:pPr>
        <w:spacing w:after="5" w:line="271" w:lineRule="auto"/>
        <w:ind w:left="9" w:right="64" w:firstLine="567"/>
        <w:jc w:val="both"/>
      </w:pPr>
      <w:r>
        <w:rPr>
          <w:rFonts w:ascii="Times New Roman" w:eastAsia="Times New Roman" w:hAnsi="Times New Roman" w:cs="Times New Roman"/>
          <w:sz w:val="28"/>
        </w:rPr>
        <w:t xml:space="preserve"> As ment</w:t>
      </w:r>
      <w:r>
        <w:rPr>
          <w:rFonts w:ascii="Times New Roman" w:eastAsia="Times New Roman" w:hAnsi="Times New Roman" w:cs="Times New Roman"/>
          <w:sz w:val="28"/>
        </w:rPr>
        <w:t xml:space="preserve">ioned above, full parking spaces are also considered a minor problem. In fact, it cannot be overlooked in major cities in United States and countries of Europe anymore. Since unmanaged full parking spaces force people to park somewhere else which possibly </w:t>
      </w:r>
      <w:r>
        <w:rPr>
          <w:rFonts w:ascii="Times New Roman" w:eastAsia="Times New Roman" w:hAnsi="Times New Roman" w:cs="Times New Roman"/>
          <w:sz w:val="28"/>
        </w:rPr>
        <w:t>could lead to more traffic jams. Problems are meant to be solved, so does this one. And it is only natural to use computing power of modern computers, we just need to give them comprehensible instructions. That’s where we need to determine the suitable lan</w:t>
      </w:r>
      <w:r>
        <w:rPr>
          <w:rFonts w:ascii="Times New Roman" w:eastAsia="Times New Roman" w:hAnsi="Times New Roman" w:cs="Times New Roman"/>
          <w:sz w:val="28"/>
        </w:rPr>
        <w:t xml:space="preserve">guage to write program which will be capable enough to perform the acquired task. </w:t>
      </w:r>
    </w:p>
    <w:p w:rsidR="0052701D" w:rsidRDefault="00D40929">
      <w:pPr>
        <w:spacing w:after="5" w:line="271" w:lineRule="auto"/>
        <w:ind w:left="9" w:right="64" w:firstLine="567"/>
        <w:jc w:val="both"/>
      </w:pPr>
      <w:r>
        <w:rPr>
          <w:rFonts w:ascii="Times New Roman" w:eastAsia="Times New Roman" w:hAnsi="Times New Roman" w:cs="Times New Roman"/>
          <w:sz w:val="28"/>
        </w:rPr>
        <w:t>Computer science engineers use programming languages to solve the specific problem in a wide range of technical areas. There are languages dedicated for creating and maintai</w:t>
      </w:r>
      <w:r>
        <w:rPr>
          <w:rFonts w:ascii="Times New Roman" w:eastAsia="Times New Roman" w:hAnsi="Times New Roman" w:cs="Times New Roman"/>
          <w:sz w:val="28"/>
        </w:rPr>
        <w:t>ning websites, giving mathematical models of a process, creating video games, managing databases and operating systems. That’s why every programming language has its own purpose and has a good use for certain areas. First of all, let us understand the conc</w:t>
      </w:r>
      <w:r>
        <w:rPr>
          <w:rFonts w:ascii="Times New Roman" w:eastAsia="Times New Roman" w:hAnsi="Times New Roman" w:cs="Times New Roman"/>
          <w:sz w:val="28"/>
        </w:rPr>
        <w:t xml:space="preserve">ept of programming languages and determine their types for which they are oriented. </w:t>
      </w:r>
    </w:p>
    <w:p w:rsidR="0052701D" w:rsidRDefault="00D40929">
      <w:pPr>
        <w:spacing w:after="5" w:line="271" w:lineRule="auto"/>
        <w:ind w:left="9" w:right="64" w:firstLine="567"/>
        <w:jc w:val="both"/>
      </w:pPr>
      <w:r>
        <w:rPr>
          <w:rFonts w:ascii="Times New Roman" w:eastAsia="Times New Roman" w:hAnsi="Times New Roman" w:cs="Times New Roman"/>
          <w:sz w:val="28"/>
        </w:rPr>
        <w:t xml:space="preserve">Full functional programming languages can be divided into low-level and highlevel languages. Low-level languages connect directly to the hardware which </w:t>
      </w:r>
      <w:r>
        <w:rPr>
          <w:rFonts w:ascii="Times New Roman" w:eastAsia="Times New Roman" w:hAnsi="Times New Roman" w:cs="Times New Roman"/>
          <w:sz w:val="28"/>
        </w:rPr>
        <w:lastRenderedPageBreak/>
        <w:t>result quick respon</w:t>
      </w:r>
      <w:r>
        <w:rPr>
          <w:rFonts w:ascii="Times New Roman" w:eastAsia="Times New Roman" w:hAnsi="Times New Roman" w:cs="Times New Roman"/>
          <w:sz w:val="28"/>
        </w:rPr>
        <w:t xml:space="preserve">se but difficult syntax. Higher-level languages are easy to grasp but might be slower. </w:t>
      </w:r>
    </w:p>
    <w:p w:rsidR="0052701D" w:rsidRDefault="00D40929">
      <w:pPr>
        <w:spacing w:after="5" w:line="271" w:lineRule="auto"/>
        <w:ind w:left="9" w:right="64" w:firstLine="567"/>
        <w:jc w:val="both"/>
      </w:pPr>
      <w:r>
        <w:rPr>
          <w:rFonts w:ascii="Times New Roman" w:eastAsia="Times New Roman" w:hAnsi="Times New Roman" w:cs="Times New Roman"/>
          <w:sz w:val="28"/>
        </w:rPr>
        <w:t>By programming principles there are procedural-oriented, object-oriented, structural, logic and functional languages. Procedural programming - programming in an imperat</w:t>
      </w:r>
      <w:r>
        <w:rPr>
          <w:rFonts w:ascii="Times New Roman" w:eastAsia="Times New Roman" w:hAnsi="Times New Roman" w:cs="Times New Roman"/>
          <w:sz w:val="28"/>
        </w:rPr>
        <w:t xml:space="preserve">ive language, in which sequentially executed statements can be assembled into subroutines, that is, larger integral units of code, using the mechanisms of the language itself. Thus, uses multiple loops, different types of variables and other elements. The </w:t>
      </w:r>
      <w:r>
        <w:rPr>
          <w:rFonts w:ascii="Times New Roman" w:eastAsia="Times New Roman" w:hAnsi="Times New Roman" w:cs="Times New Roman"/>
          <w:sz w:val="28"/>
        </w:rPr>
        <w:t xml:space="preserve">procedural functions can manage the variables, other than the value returns for these functions. </w:t>
      </w:r>
    </w:p>
    <w:p w:rsidR="0052701D" w:rsidRDefault="00D40929">
      <w:pPr>
        <w:spacing w:after="5" w:line="271" w:lineRule="auto"/>
        <w:ind w:left="9" w:right="64" w:firstLine="567"/>
        <w:jc w:val="both"/>
      </w:pPr>
      <w:r>
        <w:rPr>
          <w:rFonts w:ascii="Times New Roman" w:eastAsia="Times New Roman" w:hAnsi="Times New Roman" w:cs="Times New Roman"/>
          <w:sz w:val="28"/>
        </w:rPr>
        <w:t>Object-oriented programming is a programming methodology based on representing a program as a set of interacting objects, each of which is an instance of a ce</w:t>
      </w:r>
      <w:r>
        <w:rPr>
          <w:rFonts w:ascii="Times New Roman" w:eastAsia="Times New Roman" w:hAnsi="Times New Roman" w:cs="Times New Roman"/>
          <w:sz w:val="28"/>
        </w:rPr>
        <w:t xml:space="preserve">rtain class, and classes form an inheritance hierarchy. The object-oriented programming language main principles are encapsulation that stated that everything an object will require should be inside an object. </w:t>
      </w:r>
    </w:p>
    <w:p w:rsidR="0052701D" w:rsidRDefault="00D40929">
      <w:pPr>
        <w:spacing w:after="5" w:line="271" w:lineRule="auto"/>
        <w:ind w:left="9" w:right="64" w:firstLine="567"/>
        <w:jc w:val="both"/>
      </w:pPr>
      <w:r>
        <w:rPr>
          <w:rFonts w:ascii="Times New Roman" w:eastAsia="Times New Roman" w:hAnsi="Times New Roman" w:cs="Times New Roman"/>
          <w:sz w:val="28"/>
        </w:rPr>
        <w:t>Structured programming is a programming parad</w:t>
      </w:r>
      <w:r>
        <w:rPr>
          <w:rFonts w:ascii="Times New Roman" w:eastAsia="Times New Roman" w:hAnsi="Times New Roman" w:cs="Times New Roman"/>
          <w:sz w:val="28"/>
        </w:rPr>
        <w:t>igm based on the representation of a program in the form of a hierarchical block structure. In accordance with the paradigm, any program that is built without using the goto statement consists of three basic control structures: sequence, branch, loop; in a</w:t>
      </w:r>
      <w:r>
        <w:rPr>
          <w:rFonts w:ascii="Times New Roman" w:eastAsia="Times New Roman" w:hAnsi="Times New Roman" w:cs="Times New Roman"/>
          <w:sz w:val="28"/>
        </w:rPr>
        <w:t xml:space="preserve">ddition, subroutines are used. At the same time, the development of the program is carried out step by step, using the “from top to down” method [1]. </w:t>
      </w:r>
    </w:p>
    <w:p w:rsidR="0052701D" w:rsidRDefault="00D40929">
      <w:pPr>
        <w:spacing w:after="5" w:line="271" w:lineRule="auto"/>
        <w:ind w:left="9" w:right="64" w:firstLine="567"/>
        <w:jc w:val="both"/>
      </w:pPr>
      <w:r>
        <w:rPr>
          <w:rFonts w:ascii="Times New Roman" w:eastAsia="Times New Roman" w:hAnsi="Times New Roman" w:cs="Times New Roman"/>
          <w:sz w:val="28"/>
        </w:rPr>
        <w:t xml:space="preserve">The logic programming languages permit the programmers to create declarative statements and formerly let </w:t>
      </w:r>
      <w:r>
        <w:rPr>
          <w:rFonts w:ascii="Times New Roman" w:eastAsia="Times New Roman" w:hAnsi="Times New Roman" w:cs="Times New Roman"/>
          <w:sz w:val="28"/>
        </w:rPr>
        <w:t>the machine to aim about outcomes of statements. It can be said that this language would not tell the machine to do something but using the margins on what it should consider doing. Logic programming languages are easier to program in C in an object-orient</w:t>
      </w:r>
      <w:r>
        <w:rPr>
          <w:rFonts w:ascii="Times New Roman" w:eastAsia="Times New Roman" w:hAnsi="Times New Roman" w:cs="Times New Roman"/>
          <w:sz w:val="28"/>
        </w:rPr>
        <w:t xml:space="preserve">ed style. </w:t>
      </w:r>
    </w:p>
    <w:p w:rsidR="0052701D" w:rsidRDefault="00D40929">
      <w:pPr>
        <w:spacing w:after="5" w:line="271" w:lineRule="auto"/>
        <w:ind w:left="9" w:right="64" w:firstLine="567"/>
        <w:jc w:val="both"/>
      </w:pPr>
      <w:r>
        <w:rPr>
          <w:rFonts w:ascii="Times New Roman" w:eastAsia="Times New Roman" w:hAnsi="Times New Roman" w:cs="Times New Roman"/>
          <w:sz w:val="28"/>
        </w:rPr>
        <w:t>The functional programming usually uses for storing the data, often evading loops in recursive functions favour. This type of programing language also focusses on the functions return values, and there are also some of the side effects and diffe</w:t>
      </w:r>
      <w:r>
        <w:rPr>
          <w:rFonts w:ascii="Times New Roman" w:eastAsia="Times New Roman" w:hAnsi="Times New Roman" w:cs="Times New Roman"/>
          <w:sz w:val="28"/>
        </w:rPr>
        <w:t xml:space="preserve">rent recommends that state of storing is discouraged powerfully. For instance, functional programing is said to be a useful and pure language, in a function is named, it’s expected that the function will perform not or modify operation [2]. </w:t>
      </w:r>
    </w:p>
    <w:p w:rsidR="0052701D" w:rsidRDefault="00D40929">
      <w:pPr>
        <w:spacing w:after="5" w:line="251" w:lineRule="auto"/>
        <w:ind w:left="567" w:firstLine="9"/>
      </w:pPr>
      <w:r>
        <w:rPr>
          <w:rFonts w:ascii="Times New Roman" w:eastAsia="Times New Roman" w:hAnsi="Times New Roman" w:cs="Times New Roman"/>
          <w:b/>
          <w:sz w:val="28"/>
        </w:rPr>
        <w:t xml:space="preserve">Methods </w:t>
      </w:r>
    </w:p>
    <w:p w:rsidR="0052701D" w:rsidRDefault="00D40929">
      <w:pPr>
        <w:spacing w:after="5" w:line="271" w:lineRule="auto"/>
        <w:ind w:left="9" w:right="64" w:firstLine="567"/>
        <w:jc w:val="both"/>
      </w:pPr>
      <w:r>
        <w:rPr>
          <w:rFonts w:ascii="Times New Roman" w:eastAsia="Times New Roman" w:hAnsi="Times New Roman" w:cs="Times New Roman"/>
          <w:sz w:val="28"/>
        </w:rPr>
        <w:t>After</w:t>
      </w:r>
      <w:r>
        <w:rPr>
          <w:rFonts w:ascii="Times New Roman" w:eastAsia="Times New Roman" w:hAnsi="Times New Roman" w:cs="Times New Roman"/>
          <w:sz w:val="28"/>
        </w:rPr>
        <w:t xml:space="preserve"> brief understanding of core concepts of programming languages, it is time to look how upstream languages will perform on image recognition matters. </w:t>
      </w:r>
    </w:p>
    <w:p w:rsidR="0052701D" w:rsidRDefault="00D40929">
      <w:pPr>
        <w:spacing w:after="5" w:line="271" w:lineRule="auto"/>
        <w:ind w:left="9" w:right="64" w:firstLine="567"/>
        <w:jc w:val="both"/>
      </w:pPr>
      <w:r>
        <w:rPr>
          <w:rFonts w:ascii="Times New Roman" w:eastAsia="Times New Roman" w:hAnsi="Times New Roman" w:cs="Times New Roman"/>
          <w:sz w:val="28"/>
        </w:rPr>
        <w:t>Python is a high-level programming language that has many different uses, including data science and inter</w:t>
      </w:r>
      <w:r>
        <w:rPr>
          <w:rFonts w:ascii="Times New Roman" w:eastAsia="Times New Roman" w:hAnsi="Times New Roman" w:cs="Times New Roman"/>
          <w:sz w:val="28"/>
        </w:rPr>
        <w:t xml:space="preserve">nal web development. It has a wide range of usage as a powerful data analysis tool in big data technology. Because of non-complexity alongside powerful libraries it is also used by machine learning developers on the fastgrowing AI direction. Since it does </w:t>
      </w:r>
      <w:r>
        <w:rPr>
          <w:rFonts w:ascii="Times New Roman" w:eastAsia="Times New Roman" w:hAnsi="Times New Roman" w:cs="Times New Roman"/>
          <w:sz w:val="28"/>
        </w:rPr>
        <w:t xml:space="preserve">not depend on specific platform it can be adapted to almost any operating system. Another advantage of Python is its openness - it is built on top of open-source technologies, anyone can access its stack. It is </w:t>
      </w:r>
      <w:r>
        <w:rPr>
          <w:rFonts w:ascii="Times New Roman" w:eastAsia="Times New Roman" w:hAnsi="Times New Roman" w:cs="Times New Roman"/>
          <w:sz w:val="28"/>
        </w:rPr>
        <w:lastRenderedPageBreak/>
        <w:t>provided with libraries that are required for</w:t>
      </w:r>
      <w:r>
        <w:rPr>
          <w:rFonts w:ascii="Times New Roman" w:eastAsia="Times New Roman" w:hAnsi="Times New Roman" w:cs="Times New Roman"/>
          <w:sz w:val="28"/>
        </w:rPr>
        <w:t xml:space="preserve"> different tasks including image recognition. In addition to image recognition, libraries can be used for more intelligent functions such as face recognition and motion detection. </w:t>
      </w:r>
    </w:p>
    <w:p w:rsidR="0052701D" w:rsidRDefault="00D40929">
      <w:pPr>
        <w:spacing w:after="5" w:line="271" w:lineRule="auto"/>
        <w:ind w:left="9" w:right="64" w:firstLine="567"/>
        <w:jc w:val="both"/>
      </w:pPr>
      <w:r>
        <w:rPr>
          <w:rFonts w:ascii="Times New Roman" w:eastAsia="Times New Roman" w:hAnsi="Times New Roman" w:cs="Times New Roman"/>
          <w:sz w:val="28"/>
        </w:rPr>
        <w:t>As for the disadvantages of Python, since it is a dynamically typed languag</w:t>
      </w:r>
      <w:r>
        <w:rPr>
          <w:rFonts w:ascii="Times New Roman" w:eastAsia="Times New Roman" w:hAnsi="Times New Roman" w:cs="Times New Roman"/>
          <w:sz w:val="28"/>
        </w:rPr>
        <w:t xml:space="preserve">e, working with it in a machine learning could potentially have issues. One of them is the difficulty of tracking errors in the code, which is lead by the growth of the code base of the program, concequently becoming more complex. </w:t>
      </w:r>
    </w:p>
    <w:p w:rsidR="0052701D" w:rsidRDefault="00D40929">
      <w:pPr>
        <w:spacing w:after="5" w:line="271" w:lineRule="auto"/>
        <w:ind w:left="9" w:right="64" w:firstLine="567"/>
        <w:jc w:val="both"/>
      </w:pPr>
      <w:r>
        <w:rPr>
          <w:rFonts w:ascii="Times New Roman" w:eastAsia="Times New Roman" w:hAnsi="Times New Roman" w:cs="Times New Roman"/>
          <w:sz w:val="28"/>
        </w:rPr>
        <w:t xml:space="preserve">It supports a wide range of image recognition libraries such as OpenCV, ScikitImage, Scipy, Python Image Library (Pillow/PIL), Matplotlib, SimpleITK, Numpy, Mahotas, TensorFlow, PCL, PyTorch, Albumentations, Detectron2. </w:t>
      </w:r>
    </w:p>
    <w:p w:rsidR="0052701D" w:rsidRDefault="00D40929">
      <w:pPr>
        <w:spacing w:after="5" w:line="271" w:lineRule="auto"/>
        <w:ind w:left="9" w:right="64" w:firstLine="567"/>
        <w:jc w:val="both"/>
      </w:pPr>
      <w:r>
        <w:rPr>
          <w:rFonts w:ascii="Times New Roman" w:eastAsia="Times New Roman" w:hAnsi="Times New Roman" w:cs="Times New Roman"/>
          <w:sz w:val="28"/>
        </w:rPr>
        <w:t xml:space="preserve">C++ is one of the most widely used </w:t>
      </w:r>
      <w:r>
        <w:rPr>
          <w:rFonts w:ascii="Times New Roman" w:eastAsia="Times New Roman" w:hAnsi="Times New Roman" w:cs="Times New Roman"/>
          <w:sz w:val="28"/>
        </w:rPr>
        <w:t>programming languages with the capabilities of both a low-level and a high-level programming language. It provides a greater level of control and efficiency than other high-level programming languages. The flexibility of the language can help to optimize r</w:t>
      </w:r>
      <w:r>
        <w:rPr>
          <w:rFonts w:ascii="Times New Roman" w:eastAsia="Times New Roman" w:hAnsi="Times New Roman" w:cs="Times New Roman"/>
          <w:sz w:val="28"/>
        </w:rPr>
        <w:t xml:space="preserve">esource-intensive applications. Given that C++ is a statically typed language, it can perform tasks at a relatively high speed. </w:t>
      </w:r>
    </w:p>
    <w:p w:rsidR="0052701D" w:rsidRDefault="00D40929">
      <w:pPr>
        <w:spacing w:after="5" w:line="271" w:lineRule="auto"/>
        <w:ind w:left="9" w:right="64" w:firstLine="567"/>
        <w:jc w:val="both"/>
      </w:pPr>
      <w:r>
        <w:rPr>
          <w:rFonts w:ascii="Times New Roman" w:eastAsia="Times New Roman" w:hAnsi="Times New Roman" w:cs="Times New Roman"/>
          <w:sz w:val="28"/>
        </w:rPr>
        <w:t>As for its disadvantages, creating new applications based on C++ requires writing a large amount of complex code, which is time</w:t>
      </w:r>
      <w:r>
        <w:rPr>
          <w:rFonts w:ascii="Times New Roman" w:eastAsia="Times New Roman" w:hAnsi="Times New Roman" w:cs="Times New Roman"/>
          <w:sz w:val="28"/>
        </w:rPr>
        <w:t xml:space="preserve">-consuming and can cause great difficulties while maintaining. </w:t>
      </w:r>
    </w:p>
    <w:p w:rsidR="0052701D" w:rsidRDefault="00D40929">
      <w:pPr>
        <w:spacing w:after="5" w:line="271" w:lineRule="auto"/>
        <w:ind w:left="9" w:right="64" w:firstLine="567"/>
        <w:jc w:val="both"/>
      </w:pPr>
      <w:r>
        <w:rPr>
          <w:rFonts w:ascii="Times New Roman" w:eastAsia="Times New Roman" w:hAnsi="Times New Roman" w:cs="Times New Roman"/>
          <w:sz w:val="28"/>
        </w:rPr>
        <w:t xml:space="preserve">It supports image recognition libraries such as OpenCV, VIGRA, CUDA, Torch, TensorFlow, OpenNi, Dlib, VXL. </w:t>
      </w:r>
    </w:p>
    <w:p w:rsidR="0052701D" w:rsidRDefault="00D40929">
      <w:pPr>
        <w:spacing w:after="5" w:line="271" w:lineRule="auto"/>
        <w:ind w:left="9" w:right="64" w:firstLine="567"/>
        <w:jc w:val="both"/>
      </w:pPr>
      <w:r>
        <w:rPr>
          <w:rFonts w:ascii="Times New Roman" w:eastAsia="Times New Roman" w:hAnsi="Times New Roman" w:cs="Times New Roman"/>
          <w:sz w:val="28"/>
        </w:rPr>
        <w:t>Java was introduced as a high-level and object-oriented programming language that cl</w:t>
      </w:r>
      <w:r>
        <w:rPr>
          <w:rFonts w:ascii="Times New Roman" w:eastAsia="Times New Roman" w:hAnsi="Times New Roman" w:cs="Times New Roman"/>
          <w:sz w:val="28"/>
        </w:rPr>
        <w:t xml:space="preserve">osely resembles C++ in structure. Java is considered one of the most secure programming languages due to its use of bytecode and sandboxing. </w:t>
      </w:r>
    </w:p>
    <w:p w:rsidR="0052701D" w:rsidRDefault="00D40929">
      <w:pPr>
        <w:spacing w:after="5" w:line="271" w:lineRule="auto"/>
        <w:ind w:left="9" w:right="64" w:firstLine="567"/>
        <w:jc w:val="both"/>
      </w:pPr>
      <w:r>
        <w:rPr>
          <w:rFonts w:ascii="Times New Roman" w:eastAsia="Times New Roman" w:hAnsi="Times New Roman" w:cs="Times New Roman"/>
          <w:sz w:val="28"/>
        </w:rPr>
        <w:t xml:space="preserve">Although Java has a reputation for being slower than many other programming languages. </w:t>
      </w:r>
    </w:p>
    <w:p w:rsidR="0052701D" w:rsidRDefault="00D40929">
      <w:pPr>
        <w:spacing w:after="5" w:line="271" w:lineRule="auto"/>
        <w:ind w:left="9" w:right="64" w:firstLine="567"/>
        <w:jc w:val="both"/>
      </w:pPr>
      <w:r>
        <w:rPr>
          <w:rFonts w:ascii="Times New Roman" w:eastAsia="Times New Roman" w:hAnsi="Times New Roman" w:cs="Times New Roman"/>
          <w:sz w:val="28"/>
        </w:rPr>
        <w:t xml:space="preserve">Java doesn’t support vast </w:t>
      </w:r>
      <w:r>
        <w:rPr>
          <w:rFonts w:ascii="Times New Roman" w:eastAsia="Times New Roman" w:hAnsi="Times New Roman" w:cs="Times New Roman"/>
          <w:sz w:val="28"/>
        </w:rPr>
        <w:t>majority of ready libraries as previous two do, which means you won’t be chained to anything and can create greate software for your needs based of your hardware capabilities. On the other hand, it might be challenging for unexperienced developers. It supp</w:t>
      </w:r>
      <w:r>
        <w:rPr>
          <w:rFonts w:ascii="Times New Roman" w:eastAsia="Times New Roman" w:hAnsi="Times New Roman" w:cs="Times New Roman"/>
          <w:sz w:val="28"/>
        </w:rPr>
        <w:t xml:space="preserve">orts OpenCV, JavaCV and BoofCV. </w:t>
      </w:r>
    </w:p>
    <w:p w:rsidR="0052701D" w:rsidRDefault="00D40929">
      <w:pPr>
        <w:spacing w:after="5" w:line="271" w:lineRule="auto"/>
        <w:ind w:left="9" w:right="64" w:firstLine="567"/>
        <w:jc w:val="both"/>
      </w:pPr>
      <w:r>
        <w:rPr>
          <w:rFonts w:ascii="Times New Roman" w:eastAsia="Times New Roman" w:hAnsi="Times New Roman" w:cs="Times New Roman"/>
          <w:sz w:val="28"/>
        </w:rPr>
        <w:t>There are useful frameworks as Simple CV and Caffe. In proprietary software field MATLAB is a paid programming platform that fits various applications such as machine learning, deep learning, image, video, and signal proces</w:t>
      </w:r>
      <w:r>
        <w:rPr>
          <w:rFonts w:ascii="Times New Roman" w:eastAsia="Times New Roman" w:hAnsi="Times New Roman" w:cs="Times New Roman"/>
          <w:sz w:val="28"/>
        </w:rPr>
        <w:t xml:space="preserve">sing. </w:t>
      </w:r>
    </w:p>
    <w:p w:rsidR="0052701D" w:rsidRDefault="00D40929">
      <w:pPr>
        <w:spacing w:after="5" w:line="271" w:lineRule="auto"/>
        <w:ind w:left="9" w:right="64" w:firstLine="567"/>
        <w:jc w:val="both"/>
      </w:pPr>
      <w:r>
        <w:rPr>
          <w:rFonts w:ascii="Times New Roman" w:eastAsia="Times New Roman" w:hAnsi="Times New Roman" w:cs="Times New Roman"/>
          <w:sz w:val="28"/>
        </w:rPr>
        <w:t>There are many machine learning techniques that can be used to find an object in an image. One of them is R-CNN mask. It is an image segmentation algorithm other than object detection. It classifies each pixel as a part of the object. The mask R-CNN</w:t>
      </w:r>
      <w:r>
        <w:rPr>
          <w:rFonts w:ascii="Times New Roman" w:eastAsia="Times New Roman" w:hAnsi="Times New Roman" w:cs="Times New Roman"/>
          <w:sz w:val="28"/>
        </w:rPr>
        <w:t xml:space="preserve"> is based on FCNN (Fast Convolutional Neural Network) networks by aligning the important regions of the resulting image. In addition, the R-CNN mask gives us a lot of information about each detected object. Most object detection algorithms return only the </w:t>
      </w:r>
      <w:r>
        <w:rPr>
          <w:rFonts w:ascii="Times New Roman" w:eastAsia="Times New Roman" w:hAnsi="Times New Roman" w:cs="Times New Roman"/>
          <w:sz w:val="28"/>
        </w:rPr>
        <w:t xml:space="preserve">boundaries of each object. And the R-CNN mask not only gives us the location of each object, but also gives us its structure [3]. </w:t>
      </w:r>
    </w:p>
    <w:p w:rsidR="0052701D" w:rsidRDefault="00D40929">
      <w:pPr>
        <w:spacing w:after="0"/>
        <w:ind w:left="567"/>
      </w:pPr>
      <w:r>
        <w:rPr>
          <w:rFonts w:ascii="Times New Roman" w:eastAsia="Times New Roman" w:hAnsi="Times New Roman" w:cs="Times New Roman"/>
          <w:sz w:val="28"/>
        </w:rPr>
        <w:t xml:space="preserve"> </w:t>
      </w:r>
    </w:p>
    <w:p w:rsidR="0052701D" w:rsidRDefault="00D40929">
      <w:pPr>
        <w:spacing w:after="0"/>
        <w:ind w:left="628"/>
        <w:jc w:val="center"/>
      </w:pPr>
      <w:r>
        <w:rPr>
          <w:noProof/>
        </w:rPr>
        <w:lastRenderedPageBreak/>
        <w:drawing>
          <wp:inline distT="0" distB="0" distL="0" distR="0">
            <wp:extent cx="2788920" cy="2090928"/>
            <wp:effectExtent l="0" t="0" r="0" b="0"/>
            <wp:docPr id="5674" name="Picture 5674"/>
            <wp:cNvGraphicFramePr/>
            <a:graphic xmlns:a="http://schemas.openxmlformats.org/drawingml/2006/main">
              <a:graphicData uri="http://schemas.openxmlformats.org/drawingml/2006/picture">
                <pic:pic xmlns:pic="http://schemas.openxmlformats.org/drawingml/2006/picture">
                  <pic:nvPicPr>
                    <pic:cNvPr id="5674" name="Picture 5674"/>
                    <pic:cNvPicPr/>
                  </pic:nvPicPr>
                  <pic:blipFill>
                    <a:blip r:embed="rId139"/>
                    <a:stretch>
                      <a:fillRect/>
                    </a:stretch>
                  </pic:blipFill>
                  <pic:spPr>
                    <a:xfrm>
                      <a:off x="0" y="0"/>
                      <a:ext cx="2788920" cy="2090928"/>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0"/>
        <w:ind w:left="629"/>
        <w:jc w:val="center"/>
      </w:pPr>
      <w:r>
        <w:rPr>
          <w:rFonts w:ascii="Times New Roman" w:eastAsia="Times New Roman" w:hAnsi="Times New Roman" w:cs="Times New Roman"/>
          <w:sz w:val="28"/>
        </w:rPr>
        <w:t xml:space="preserve"> </w:t>
      </w:r>
    </w:p>
    <w:p w:rsidR="0052701D" w:rsidRDefault="00D40929">
      <w:pPr>
        <w:spacing w:after="14" w:line="248" w:lineRule="auto"/>
        <w:ind w:left="713" w:right="160" w:hanging="5"/>
        <w:jc w:val="center"/>
      </w:pPr>
      <w:r>
        <w:rPr>
          <w:rFonts w:ascii="Times New Roman" w:eastAsia="Times New Roman" w:hAnsi="Times New Roman" w:cs="Times New Roman"/>
          <w:sz w:val="24"/>
        </w:rPr>
        <w:t xml:space="preserve">Picture 1.1 – example of R-CNN mask usage. </w:t>
      </w:r>
    </w:p>
    <w:p w:rsidR="0052701D" w:rsidRDefault="00D40929">
      <w:pPr>
        <w:spacing w:after="0"/>
        <w:ind w:left="629"/>
        <w:jc w:val="center"/>
      </w:pPr>
      <w:r>
        <w:rPr>
          <w:rFonts w:ascii="Times New Roman" w:eastAsia="Times New Roman" w:hAnsi="Times New Roman" w:cs="Times New Roman"/>
          <w:sz w:val="28"/>
        </w:rPr>
        <w:t xml:space="preserve"> </w:t>
      </w:r>
    </w:p>
    <w:p w:rsidR="0052701D" w:rsidRDefault="00D40929">
      <w:pPr>
        <w:spacing w:after="5" w:line="271" w:lineRule="auto"/>
        <w:ind w:left="9" w:right="64" w:firstLine="567"/>
        <w:jc w:val="both"/>
      </w:pPr>
      <w:r>
        <w:rPr>
          <w:rFonts w:ascii="Times New Roman" w:eastAsia="Times New Roman" w:hAnsi="Times New Roman" w:cs="Times New Roman"/>
          <w:sz w:val="28"/>
        </w:rPr>
        <w:t xml:space="preserve">The reason of choosing mask R-CNN lies on a popular dataset called COCO </w:t>
      </w:r>
      <w:r>
        <w:rPr>
          <w:rFonts w:ascii="Times New Roman" w:eastAsia="Times New Roman" w:hAnsi="Times New Roman" w:cs="Times New Roman"/>
          <w:sz w:val="28"/>
        </w:rPr>
        <w:t>(Common Objects In Context) whose images are represented by object masks. It represents many types of everyday objects and contains image annotations in 80 categories, with over 1.5 million object instances. This dataset already contains more than 12,000 i</w:t>
      </w:r>
      <w:r>
        <w:rPr>
          <w:rFonts w:ascii="Times New Roman" w:eastAsia="Times New Roman" w:hAnsi="Times New Roman" w:cs="Times New Roman"/>
          <w:sz w:val="28"/>
        </w:rPr>
        <w:t>mages with tagged vehicles. Applying this database to the mask R-CNN, it can instantly distinguish vehicles. COCO stores data in a JSON file formatted by info, licenses, categories, images, and annotations. One can create a separate JSON file for training,</w:t>
      </w:r>
      <w:r>
        <w:rPr>
          <w:rFonts w:ascii="Times New Roman" w:eastAsia="Times New Roman" w:hAnsi="Times New Roman" w:cs="Times New Roman"/>
          <w:sz w:val="28"/>
        </w:rPr>
        <w:t xml:space="preserve"> testing, and validation purposes. </w:t>
      </w:r>
    </w:p>
    <w:p w:rsidR="0052701D" w:rsidRDefault="00D40929">
      <w:pPr>
        <w:spacing w:after="5" w:line="271" w:lineRule="auto"/>
        <w:ind w:left="9" w:right="64" w:firstLine="567"/>
        <w:jc w:val="both"/>
      </w:pPr>
      <w:r>
        <w:rPr>
          <w:rFonts w:ascii="Times New Roman" w:eastAsia="Times New Roman" w:hAnsi="Times New Roman" w:cs="Times New Roman"/>
          <w:sz w:val="28"/>
        </w:rPr>
        <w:t>After applying the mask into the system, we configure it to find the place where there is a car that is stationary for the longest time. If we assume that each constraint in the system represents a parking space, partial</w:t>
      </w:r>
      <w:r>
        <w:rPr>
          <w:rFonts w:ascii="Times New Roman" w:eastAsia="Times New Roman" w:hAnsi="Times New Roman" w:cs="Times New Roman"/>
          <w:sz w:val="28"/>
        </w:rPr>
        <w:t>ly car-free spaces may be missed. For that we need to find a way to measure the degree of intersection of two objects. A measure called Intersection Over Union or IoU can be used for this purpose. The size of the IoU is found by counting the number of pixe</w:t>
      </w:r>
      <w:r>
        <w:rPr>
          <w:rFonts w:ascii="Times New Roman" w:eastAsia="Times New Roman" w:hAnsi="Times New Roman" w:cs="Times New Roman"/>
          <w:sz w:val="28"/>
        </w:rPr>
        <w:t xml:space="preserve">ls where two objects intersect and dividing by the number of pixels occupied by those objects: </w:t>
      </w:r>
    </w:p>
    <w:p w:rsidR="0052701D" w:rsidRDefault="00D40929">
      <w:pPr>
        <w:spacing w:after="0"/>
        <w:ind w:left="567"/>
      </w:pPr>
      <w:r>
        <w:rPr>
          <w:rFonts w:ascii="Times New Roman" w:eastAsia="Times New Roman" w:hAnsi="Times New Roman" w:cs="Times New Roman"/>
          <w:sz w:val="28"/>
        </w:rPr>
        <w:t xml:space="preserve"> </w:t>
      </w:r>
    </w:p>
    <w:p w:rsidR="0052701D" w:rsidRDefault="00D40929">
      <w:pPr>
        <w:spacing w:after="0"/>
        <w:ind w:right="1013"/>
        <w:jc w:val="right"/>
      </w:pPr>
      <w:r>
        <w:rPr>
          <w:noProof/>
        </w:rPr>
        <w:drawing>
          <wp:inline distT="0" distB="0" distL="0" distR="0">
            <wp:extent cx="4398264" cy="1194816"/>
            <wp:effectExtent l="0" t="0" r="0" b="0"/>
            <wp:docPr id="5817" name="Picture 5817"/>
            <wp:cNvGraphicFramePr/>
            <a:graphic xmlns:a="http://schemas.openxmlformats.org/drawingml/2006/main">
              <a:graphicData uri="http://schemas.openxmlformats.org/drawingml/2006/picture">
                <pic:pic xmlns:pic="http://schemas.openxmlformats.org/drawingml/2006/picture">
                  <pic:nvPicPr>
                    <pic:cNvPr id="5817" name="Picture 5817"/>
                    <pic:cNvPicPr/>
                  </pic:nvPicPr>
                  <pic:blipFill>
                    <a:blip r:embed="rId140"/>
                    <a:stretch>
                      <a:fillRect/>
                    </a:stretch>
                  </pic:blipFill>
                  <pic:spPr>
                    <a:xfrm>
                      <a:off x="0" y="0"/>
                      <a:ext cx="4398264" cy="1194816"/>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0"/>
        <w:ind w:left="629"/>
        <w:jc w:val="center"/>
      </w:pPr>
      <w:r>
        <w:rPr>
          <w:rFonts w:ascii="Times New Roman" w:eastAsia="Times New Roman" w:hAnsi="Times New Roman" w:cs="Times New Roman"/>
          <w:sz w:val="28"/>
        </w:rPr>
        <w:t xml:space="preserve"> </w:t>
      </w:r>
    </w:p>
    <w:p w:rsidR="0052701D" w:rsidRDefault="00D40929">
      <w:pPr>
        <w:spacing w:after="14" w:line="248" w:lineRule="auto"/>
        <w:ind w:left="713" w:right="149" w:hanging="5"/>
        <w:jc w:val="center"/>
      </w:pPr>
      <w:r>
        <w:rPr>
          <w:rFonts w:ascii="Times New Roman" w:eastAsia="Times New Roman" w:hAnsi="Times New Roman" w:cs="Times New Roman"/>
          <w:sz w:val="24"/>
        </w:rPr>
        <w:t xml:space="preserve">Picture 1.2 – IoU calculation </w:t>
      </w:r>
    </w:p>
    <w:p w:rsidR="0052701D" w:rsidRDefault="00D40929">
      <w:pPr>
        <w:spacing w:after="0"/>
      </w:pPr>
      <w:r>
        <w:rPr>
          <w:rFonts w:ascii="Times New Roman" w:eastAsia="Times New Roman" w:hAnsi="Times New Roman" w:cs="Times New Roman"/>
          <w:sz w:val="28"/>
        </w:rPr>
        <w:t xml:space="preserve"> </w:t>
      </w:r>
    </w:p>
    <w:p w:rsidR="0052701D" w:rsidRDefault="00D40929">
      <w:pPr>
        <w:spacing w:after="5" w:line="271" w:lineRule="auto"/>
        <w:ind w:left="9" w:right="64" w:firstLine="567"/>
        <w:jc w:val="both"/>
      </w:pPr>
      <w:r>
        <w:rPr>
          <w:rFonts w:ascii="Times New Roman" w:eastAsia="Times New Roman" w:hAnsi="Times New Roman" w:cs="Times New Roman"/>
          <w:sz w:val="28"/>
        </w:rPr>
        <w:t xml:space="preserve">Now let us take a close look at libraries and frameworks which utilize Mask RCNN and COCO image dataset. </w:t>
      </w:r>
    </w:p>
    <w:p w:rsidR="0052701D" w:rsidRDefault="00D40929">
      <w:pPr>
        <w:spacing w:after="5" w:line="271" w:lineRule="auto"/>
        <w:ind w:left="9" w:right="64" w:firstLine="567"/>
        <w:jc w:val="both"/>
      </w:pPr>
      <w:r>
        <w:rPr>
          <w:rFonts w:ascii="Times New Roman" w:eastAsia="Times New Roman" w:hAnsi="Times New Roman" w:cs="Times New Roman"/>
          <w:sz w:val="28"/>
        </w:rPr>
        <w:t>OpenCV (Open-</w:t>
      </w:r>
      <w:r>
        <w:rPr>
          <w:rFonts w:ascii="Times New Roman" w:eastAsia="Times New Roman" w:hAnsi="Times New Roman" w:cs="Times New Roman"/>
          <w:sz w:val="28"/>
        </w:rPr>
        <w:t>Source Computer Vision Library) is an open-source library that includes several hundreds of computer vision algorithms. OpenCV has a modular structure, which means that the package includes several shared or static libraries. The following modules are avai</w:t>
      </w:r>
      <w:r>
        <w:rPr>
          <w:rFonts w:ascii="Times New Roman" w:eastAsia="Times New Roman" w:hAnsi="Times New Roman" w:cs="Times New Roman"/>
          <w:sz w:val="28"/>
        </w:rPr>
        <w:t xml:space="preserve">lable: </w:t>
      </w:r>
    </w:p>
    <w:p w:rsidR="0052701D" w:rsidRDefault="00D40929">
      <w:pPr>
        <w:spacing w:after="5" w:line="271" w:lineRule="auto"/>
        <w:ind w:left="9" w:right="64" w:firstLine="567"/>
        <w:jc w:val="both"/>
      </w:pPr>
      <w:r>
        <w:rPr>
          <w:rFonts w:ascii="Times New Roman" w:eastAsia="Times New Roman" w:hAnsi="Times New Roman" w:cs="Times New Roman"/>
          <w:sz w:val="28"/>
        </w:rPr>
        <w:lastRenderedPageBreak/>
        <w:t xml:space="preserve">Core functionality (core) - a compact module defining basic data structures, including the dense multi-dimensional array Mat and basic functions used by all other modules. </w:t>
      </w:r>
    </w:p>
    <w:p w:rsidR="0052701D" w:rsidRDefault="00D40929">
      <w:pPr>
        <w:spacing w:after="5" w:line="271" w:lineRule="auto"/>
        <w:ind w:left="9" w:right="64" w:firstLine="567"/>
        <w:jc w:val="both"/>
      </w:pPr>
      <w:r>
        <w:rPr>
          <w:rFonts w:ascii="Times New Roman" w:eastAsia="Times New Roman" w:hAnsi="Times New Roman" w:cs="Times New Roman"/>
          <w:sz w:val="28"/>
        </w:rPr>
        <w:t>Image Processing (imgproc) - an image processing module that includes linea</w:t>
      </w:r>
      <w:r>
        <w:rPr>
          <w:rFonts w:ascii="Times New Roman" w:eastAsia="Times New Roman" w:hAnsi="Times New Roman" w:cs="Times New Roman"/>
          <w:sz w:val="28"/>
        </w:rPr>
        <w:t xml:space="preserve">r and non-linear image filtering, geometrical image transformations (resize, affine and perspective warping, generic table-based remapping), color space conversion, histograms, and so on. </w:t>
      </w:r>
    </w:p>
    <w:p w:rsidR="0052701D" w:rsidRDefault="00D40929">
      <w:pPr>
        <w:spacing w:after="5" w:line="271" w:lineRule="auto"/>
        <w:ind w:left="9" w:right="64" w:firstLine="567"/>
        <w:jc w:val="both"/>
      </w:pPr>
      <w:r>
        <w:rPr>
          <w:rFonts w:ascii="Times New Roman" w:eastAsia="Times New Roman" w:hAnsi="Times New Roman" w:cs="Times New Roman"/>
          <w:sz w:val="28"/>
        </w:rPr>
        <w:t>Video Analysis (video) - a video analysis module that includes moti</w:t>
      </w:r>
      <w:r>
        <w:rPr>
          <w:rFonts w:ascii="Times New Roman" w:eastAsia="Times New Roman" w:hAnsi="Times New Roman" w:cs="Times New Roman"/>
          <w:sz w:val="28"/>
        </w:rPr>
        <w:t xml:space="preserve">on estimation, background subtraction, and object tracking algorithms. </w:t>
      </w:r>
    </w:p>
    <w:p w:rsidR="0052701D" w:rsidRDefault="00D40929">
      <w:pPr>
        <w:spacing w:after="5" w:line="271" w:lineRule="auto"/>
        <w:ind w:left="9" w:right="64" w:firstLine="567"/>
        <w:jc w:val="both"/>
      </w:pPr>
      <w:r>
        <w:rPr>
          <w:rFonts w:ascii="Times New Roman" w:eastAsia="Times New Roman" w:hAnsi="Times New Roman" w:cs="Times New Roman"/>
          <w:sz w:val="28"/>
        </w:rPr>
        <w:t>Camera Calibration and 3D Reconstruction (calib3d) - basic multiple-view geometry algorithms, single and stereo camera calibration, object pose estimation, stereo correspondence algori</w:t>
      </w:r>
      <w:r>
        <w:rPr>
          <w:rFonts w:ascii="Times New Roman" w:eastAsia="Times New Roman" w:hAnsi="Times New Roman" w:cs="Times New Roman"/>
          <w:sz w:val="28"/>
        </w:rPr>
        <w:t xml:space="preserve">thms, and elements of 3D reconstruction. </w:t>
      </w:r>
    </w:p>
    <w:p w:rsidR="0052701D" w:rsidRDefault="00D40929">
      <w:pPr>
        <w:spacing w:after="5" w:line="271" w:lineRule="auto"/>
        <w:ind w:left="9" w:right="64" w:firstLine="567"/>
        <w:jc w:val="both"/>
      </w:pPr>
      <w:r>
        <w:rPr>
          <w:rFonts w:ascii="Times New Roman" w:eastAsia="Times New Roman" w:hAnsi="Times New Roman" w:cs="Times New Roman"/>
          <w:sz w:val="28"/>
        </w:rPr>
        <w:t xml:space="preserve">2D Features Framework (features2d) - salient feature detectors, descriptors, and descriptor matchers. </w:t>
      </w:r>
    </w:p>
    <w:p w:rsidR="0052701D" w:rsidRDefault="00D40929">
      <w:pPr>
        <w:spacing w:after="5" w:line="271" w:lineRule="auto"/>
        <w:ind w:left="9" w:right="64" w:firstLine="567"/>
        <w:jc w:val="both"/>
      </w:pPr>
      <w:r>
        <w:rPr>
          <w:rFonts w:ascii="Times New Roman" w:eastAsia="Times New Roman" w:hAnsi="Times New Roman" w:cs="Times New Roman"/>
          <w:sz w:val="28"/>
        </w:rPr>
        <w:t>Object Detection (objdetect) - detection of objects and instances of the predefined classes (for example, faces</w:t>
      </w:r>
      <w:r>
        <w:rPr>
          <w:rFonts w:ascii="Times New Roman" w:eastAsia="Times New Roman" w:hAnsi="Times New Roman" w:cs="Times New Roman"/>
          <w:sz w:val="28"/>
        </w:rPr>
        <w:t xml:space="preserve">, eyes, mugs, people, cars, and so on). </w:t>
      </w:r>
    </w:p>
    <w:p w:rsidR="0052701D" w:rsidRDefault="00D40929">
      <w:pPr>
        <w:spacing w:after="5" w:line="271" w:lineRule="auto"/>
        <w:ind w:left="9" w:right="64" w:firstLine="567"/>
        <w:jc w:val="both"/>
      </w:pPr>
      <w:r>
        <w:rPr>
          <w:rFonts w:ascii="Times New Roman" w:eastAsia="Times New Roman" w:hAnsi="Times New Roman" w:cs="Times New Roman"/>
          <w:sz w:val="28"/>
        </w:rPr>
        <w:t xml:space="preserve">Video I/O (videoio) - an easy-to-use interface to video capturing and video codecs [4]. </w:t>
      </w:r>
    </w:p>
    <w:p w:rsidR="0052701D" w:rsidRDefault="00D40929">
      <w:pPr>
        <w:spacing w:after="5" w:line="271" w:lineRule="auto"/>
        <w:ind w:left="9" w:right="64" w:firstLine="567"/>
        <w:jc w:val="both"/>
      </w:pPr>
      <w:r>
        <w:rPr>
          <w:rFonts w:ascii="Times New Roman" w:eastAsia="Times New Roman" w:hAnsi="Times New Roman" w:cs="Times New Roman"/>
          <w:sz w:val="28"/>
        </w:rPr>
        <w:t>TensorFlow is an open source machine learning software library developed by Google to solve the problems of building and train</w:t>
      </w:r>
      <w:r>
        <w:rPr>
          <w:rFonts w:ascii="Times New Roman" w:eastAsia="Times New Roman" w:hAnsi="Times New Roman" w:cs="Times New Roman"/>
          <w:sz w:val="28"/>
        </w:rPr>
        <w:t>ing a neural network in order to automatically find and classify patterns, achieving the quality of human perception. It has customized solutions such as TensorFlow.js, a JavaScript library for training and deploying models in the browser and on Node.js, o</w:t>
      </w:r>
      <w:r>
        <w:rPr>
          <w:rFonts w:ascii="Times New Roman" w:eastAsia="Times New Roman" w:hAnsi="Times New Roman" w:cs="Times New Roman"/>
          <w:sz w:val="28"/>
        </w:rPr>
        <w:t xml:space="preserve">r TensorFlow Lite, a lightweight library for deploying models on mobile and embedded devices. TensorFlow provides stable Python and C++ APIs, as well as non-guaranteed backward compatible API for other languages. </w:t>
      </w:r>
    </w:p>
    <w:p w:rsidR="0052701D" w:rsidRDefault="00D40929">
      <w:pPr>
        <w:spacing w:after="5" w:line="271" w:lineRule="auto"/>
        <w:ind w:left="9" w:right="64" w:firstLine="567"/>
        <w:jc w:val="both"/>
      </w:pPr>
      <w:r>
        <w:rPr>
          <w:rFonts w:ascii="Times New Roman" w:eastAsia="Times New Roman" w:hAnsi="Times New Roman" w:cs="Times New Roman"/>
          <w:sz w:val="28"/>
        </w:rPr>
        <w:t>Keras is a Python-based open-source softwa</w:t>
      </w:r>
      <w:r>
        <w:rPr>
          <w:rFonts w:ascii="Times New Roman" w:eastAsia="Times New Roman" w:hAnsi="Times New Roman" w:cs="Times New Roman"/>
          <w:sz w:val="28"/>
        </w:rPr>
        <w:t>re library that allows building neural network models quickly and provides backend support. With over 400,000 individual users, Keras has strong community support. It is aimed for operational deep learning networks, yet designed to be compact, modular, and</w:t>
      </w:r>
      <w:r>
        <w:rPr>
          <w:rFonts w:ascii="Times New Roman" w:eastAsia="Times New Roman" w:hAnsi="Times New Roman" w:cs="Times New Roman"/>
          <w:sz w:val="28"/>
        </w:rPr>
        <w:t xml:space="preserve"> extensible. Built on top of TensorFlow 2, Keras is an industry-strength framework that can scale to large clusters of GPUs. </w:t>
      </w:r>
    </w:p>
    <w:p w:rsidR="0052701D" w:rsidRDefault="00D40929">
      <w:pPr>
        <w:spacing w:after="5" w:line="271" w:lineRule="auto"/>
        <w:ind w:left="9" w:right="64" w:firstLine="567"/>
        <w:jc w:val="both"/>
      </w:pPr>
      <w:r>
        <w:rPr>
          <w:rFonts w:ascii="Times New Roman" w:eastAsia="Times New Roman" w:hAnsi="Times New Roman" w:cs="Times New Roman"/>
          <w:sz w:val="28"/>
        </w:rPr>
        <w:t>PyTorch is an optimized tensor library for deep learning using GPUs and CPUs. It is an open-source machine learning framework base</w:t>
      </w:r>
      <w:r>
        <w:rPr>
          <w:rFonts w:ascii="Times New Roman" w:eastAsia="Times New Roman" w:hAnsi="Times New Roman" w:cs="Times New Roman"/>
          <w:sz w:val="28"/>
        </w:rPr>
        <w:t xml:space="preserve">d on the Torch library which is used for applications such as computer vision. Its primary focus of development is Python, although PyTorch also has a C++ interface. </w:t>
      </w:r>
    </w:p>
    <w:p w:rsidR="0052701D" w:rsidRDefault="00D40929">
      <w:pPr>
        <w:spacing w:after="5" w:line="251" w:lineRule="auto"/>
        <w:ind w:left="567" w:firstLine="9"/>
      </w:pPr>
      <w:r>
        <w:rPr>
          <w:rFonts w:ascii="Times New Roman" w:eastAsia="Times New Roman" w:hAnsi="Times New Roman" w:cs="Times New Roman"/>
          <w:b/>
          <w:sz w:val="28"/>
        </w:rPr>
        <w:t xml:space="preserve">Results and conclusion </w:t>
      </w:r>
    </w:p>
    <w:p w:rsidR="0052701D" w:rsidRDefault="00D40929">
      <w:pPr>
        <w:spacing w:after="5" w:line="271" w:lineRule="auto"/>
        <w:ind w:left="9" w:right="64" w:firstLine="567"/>
        <w:jc w:val="both"/>
      </w:pPr>
      <w:r>
        <w:rPr>
          <w:rFonts w:ascii="Times New Roman" w:eastAsia="Times New Roman" w:hAnsi="Times New Roman" w:cs="Times New Roman"/>
          <w:sz w:val="28"/>
        </w:rPr>
        <w:t xml:space="preserve">In the process of reviewing programming languages Python and C++ </w:t>
      </w:r>
      <w:r>
        <w:rPr>
          <w:rFonts w:ascii="Times New Roman" w:eastAsia="Times New Roman" w:hAnsi="Times New Roman" w:cs="Times New Roman"/>
          <w:sz w:val="28"/>
        </w:rPr>
        <w:t xml:space="preserve">were recognized as the most suitable languages for image recognition due to cross-platform stability and support for multiple suitable libraries. Python suits best for unexperienced developers since its algorithm is much more comprehensible which leads to </w:t>
      </w:r>
      <w:r>
        <w:rPr>
          <w:rFonts w:ascii="Times New Roman" w:eastAsia="Times New Roman" w:hAnsi="Times New Roman" w:cs="Times New Roman"/>
          <w:sz w:val="28"/>
        </w:rPr>
        <w:t xml:space="preserve">grasp the </w:t>
      </w:r>
      <w:r>
        <w:rPr>
          <w:rFonts w:ascii="Times New Roman" w:eastAsia="Times New Roman" w:hAnsi="Times New Roman" w:cs="Times New Roman"/>
          <w:sz w:val="28"/>
        </w:rPr>
        <w:lastRenderedPageBreak/>
        <w:t>core concept of image recognition instead of stumbling upon complicated syntax struggles.  It also supports plenty of ready to use libraries that are built specially for smooth experience. Although since it is a quite high-level programming langu</w:t>
      </w:r>
      <w:r>
        <w:rPr>
          <w:rFonts w:ascii="Times New Roman" w:eastAsia="Times New Roman" w:hAnsi="Times New Roman" w:cs="Times New Roman"/>
          <w:sz w:val="28"/>
        </w:rPr>
        <w:t>age it might work slower than expected, thus, it is advised to move towards C++ after gaining experience during making a working prototype for further developments. C++ supports multiple libraries as Python do, but works significantly faster due to lower-l</w:t>
      </w:r>
      <w:r>
        <w:rPr>
          <w:rFonts w:ascii="Times New Roman" w:eastAsia="Times New Roman" w:hAnsi="Times New Roman" w:cs="Times New Roman"/>
          <w:sz w:val="28"/>
        </w:rPr>
        <w:t xml:space="preserve">evel structure which gives great control on hardware for efficient image recognition. </w:t>
      </w:r>
    </w:p>
    <w:p w:rsidR="0052701D" w:rsidRDefault="00D40929">
      <w:pPr>
        <w:spacing w:after="0"/>
      </w:pPr>
      <w:r>
        <w:rPr>
          <w:rFonts w:ascii="Times New Roman" w:eastAsia="Times New Roman" w:hAnsi="Times New Roman" w:cs="Times New Roman"/>
          <w:sz w:val="28"/>
        </w:rPr>
        <w:t xml:space="preserve"> </w:t>
      </w:r>
    </w:p>
    <w:p w:rsidR="0052701D" w:rsidRDefault="00D40929">
      <w:pPr>
        <w:spacing w:after="0"/>
      </w:pPr>
      <w:r>
        <w:rPr>
          <w:rFonts w:ascii="Times New Roman" w:eastAsia="Times New Roman" w:hAnsi="Times New Roman" w:cs="Times New Roman"/>
          <w:sz w:val="24"/>
        </w:rPr>
        <w:t xml:space="preserve"> </w:t>
      </w:r>
    </w:p>
    <w:p w:rsidR="0052701D" w:rsidRDefault="00D40929">
      <w:pPr>
        <w:spacing w:after="16" w:line="248" w:lineRule="auto"/>
        <w:ind w:left="819" w:right="112" w:hanging="10"/>
        <w:jc w:val="center"/>
      </w:pPr>
      <w:r>
        <w:rPr>
          <w:rFonts w:ascii="Times New Roman" w:eastAsia="Times New Roman" w:hAnsi="Times New Roman" w:cs="Times New Roman"/>
          <w:b/>
          <w:sz w:val="24"/>
        </w:rPr>
        <w:t xml:space="preserve">References: </w:t>
      </w:r>
    </w:p>
    <w:p w:rsidR="0052701D" w:rsidRDefault="00D40929">
      <w:pPr>
        <w:spacing w:after="0"/>
        <w:ind w:left="764"/>
        <w:jc w:val="center"/>
      </w:pPr>
      <w:r>
        <w:rPr>
          <w:rFonts w:ascii="Times New Roman" w:eastAsia="Times New Roman" w:hAnsi="Times New Roman" w:cs="Times New Roman"/>
          <w:sz w:val="24"/>
        </w:rPr>
        <w:t xml:space="preserve"> </w:t>
      </w:r>
    </w:p>
    <w:p w:rsidR="0052701D" w:rsidRDefault="00D40929">
      <w:pPr>
        <w:numPr>
          <w:ilvl w:val="0"/>
          <w:numId w:val="4"/>
        </w:numPr>
        <w:spacing w:after="0" w:line="248" w:lineRule="auto"/>
        <w:ind w:right="17" w:firstLine="711"/>
        <w:jc w:val="both"/>
      </w:pPr>
      <w:r>
        <w:rPr>
          <w:rFonts w:ascii="Times New Roman" w:eastAsia="Times New Roman" w:hAnsi="Times New Roman" w:cs="Times New Roman"/>
          <w:sz w:val="24"/>
        </w:rPr>
        <w:t xml:space="preserve">Joseph Giarratano, Gary Riley // Expert systems: principles and programming. - M.: Williams, 2006. </w:t>
      </w:r>
    </w:p>
    <w:p w:rsidR="0052701D" w:rsidRDefault="00D40929">
      <w:pPr>
        <w:numPr>
          <w:ilvl w:val="0"/>
          <w:numId w:val="4"/>
        </w:numPr>
        <w:spacing w:after="0" w:line="248" w:lineRule="auto"/>
        <w:ind w:right="17" w:firstLine="711"/>
        <w:jc w:val="both"/>
      </w:pPr>
      <w:r>
        <w:rPr>
          <w:rFonts w:ascii="Times New Roman" w:eastAsia="Times New Roman" w:hAnsi="Times New Roman" w:cs="Times New Roman"/>
          <w:sz w:val="24"/>
        </w:rPr>
        <w:t xml:space="preserve">Hanna F. Types of Programming Languages | Major Differences and Specialties [Web resource]. - 2019. - URL: https://temok.com/blog/ </w:t>
      </w:r>
    </w:p>
    <w:p w:rsidR="0052701D" w:rsidRDefault="00D40929">
      <w:pPr>
        <w:numPr>
          <w:ilvl w:val="0"/>
          <w:numId w:val="4"/>
        </w:numPr>
        <w:spacing w:after="5"/>
        <w:ind w:right="17" w:firstLine="711"/>
        <w:jc w:val="both"/>
      </w:pPr>
      <w:r>
        <w:rPr>
          <w:rFonts w:ascii="Times New Roman" w:eastAsia="Times New Roman" w:hAnsi="Times New Roman" w:cs="Times New Roman"/>
          <w:sz w:val="24"/>
        </w:rPr>
        <w:t xml:space="preserve">Mask R-CNN for Object Detection and Segmentation [Web resource]. - 2018. - URL: </w:t>
      </w:r>
    </w:p>
    <w:p w:rsidR="0052701D" w:rsidRDefault="00D40929">
      <w:pPr>
        <w:spacing w:after="29" w:line="248" w:lineRule="auto"/>
        <w:ind w:left="9" w:right="14"/>
        <w:jc w:val="both"/>
      </w:pPr>
      <w:r>
        <w:rPr>
          <w:rFonts w:ascii="Times New Roman" w:eastAsia="Times New Roman" w:hAnsi="Times New Roman" w:cs="Times New Roman"/>
          <w:sz w:val="24"/>
        </w:rPr>
        <w:t xml:space="preserve">https://github.com/matterport/Mask_RCNN/ </w:t>
      </w:r>
    </w:p>
    <w:p w:rsidR="0052701D" w:rsidRDefault="00D40929">
      <w:pPr>
        <w:numPr>
          <w:ilvl w:val="0"/>
          <w:numId w:val="4"/>
        </w:numPr>
        <w:spacing w:after="14" w:line="248" w:lineRule="auto"/>
        <w:ind w:right="17" w:firstLine="711"/>
        <w:jc w:val="both"/>
      </w:pPr>
      <w:r>
        <w:rPr>
          <w:rFonts w:ascii="Times New Roman" w:eastAsia="Times New Roman" w:hAnsi="Times New Roman" w:cs="Times New Roman"/>
          <w:sz w:val="24"/>
        </w:rPr>
        <w:t>O</w:t>
      </w:r>
      <w:r>
        <w:rPr>
          <w:rFonts w:ascii="Times New Roman" w:eastAsia="Times New Roman" w:hAnsi="Times New Roman" w:cs="Times New Roman"/>
          <w:sz w:val="24"/>
        </w:rPr>
        <w:t xml:space="preserve">penCV documentation [Web resource]. - 2022. - URL: </w:t>
      </w:r>
      <w:hyperlink r:id="rId141">
        <w:r>
          <w:rPr>
            <w:rFonts w:ascii="Times New Roman" w:eastAsia="Times New Roman" w:hAnsi="Times New Roman" w:cs="Times New Roman"/>
            <w:color w:val="0563C1"/>
            <w:sz w:val="24"/>
            <w:u w:val="single" w:color="0563C1"/>
          </w:rPr>
          <w:t>https://docs.opencv.org/</w:t>
        </w:r>
      </w:hyperlink>
      <w:hyperlink r:id="rId142">
        <w:r>
          <w:rPr>
            <w:rFonts w:ascii="Times New Roman" w:eastAsia="Times New Roman" w:hAnsi="Times New Roman" w:cs="Times New Roman"/>
            <w:sz w:val="24"/>
          </w:rPr>
          <w:t xml:space="preserve"> </w:t>
        </w:r>
      </w:hyperlink>
    </w:p>
    <w:p w:rsidR="0052701D" w:rsidRDefault="00D40929">
      <w:pPr>
        <w:spacing w:after="0"/>
        <w:ind w:left="711"/>
      </w:pPr>
      <w:r>
        <w:rPr>
          <w:rFonts w:ascii="Times New Roman" w:eastAsia="Times New Roman" w:hAnsi="Times New Roman" w:cs="Times New Roman"/>
        </w:rPr>
        <w:t xml:space="preserve"> </w:t>
      </w:r>
    </w:p>
    <w:p w:rsidR="0052701D" w:rsidRDefault="00D40929">
      <w:pPr>
        <w:spacing w:after="0"/>
        <w:ind w:left="711"/>
      </w:pPr>
      <w:r>
        <w:rPr>
          <w:rFonts w:ascii="Times New Roman" w:eastAsia="Times New Roman" w:hAnsi="Times New Roman" w:cs="Times New Roman"/>
        </w:rPr>
        <w:t xml:space="preserve"> </w:t>
      </w:r>
    </w:p>
    <w:p w:rsidR="0052701D" w:rsidRDefault="00D40929">
      <w:pPr>
        <w:spacing w:after="0"/>
      </w:pPr>
      <w:r>
        <w:rPr>
          <w:rFonts w:ascii="Times New Roman" w:eastAsia="Times New Roman" w:hAnsi="Times New Roman" w:cs="Times New Roman"/>
        </w:rPr>
        <w:t xml:space="preserve"> </w:t>
      </w:r>
    </w:p>
    <w:p w:rsidR="0052701D" w:rsidRDefault="00D40929">
      <w:pPr>
        <w:spacing w:after="4" w:line="271" w:lineRule="auto"/>
        <w:ind w:left="111" w:right="194" w:hanging="10"/>
      </w:pPr>
      <w:r>
        <w:rPr>
          <w:rFonts w:ascii="Times New Roman" w:eastAsia="Times New Roman" w:hAnsi="Times New Roman" w:cs="Times New Roman"/>
          <w:b/>
          <w:sz w:val="24"/>
        </w:rPr>
        <w:t xml:space="preserve">УДК 621.396.93:614.8 </w:t>
      </w:r>
    </w:p>
    <w:p w:rsidR="0052701D" w:rsidRDefault="00D40929">
      <w:pPr>
        <w:spacing w:after="33"/>
        <w:ind w:left="101"/>
      </w:pPr>
      <w:r>
        <w:rPr>
          <w:rFonts w:ascii="Times New Roman" w:eastAsia="Times New Roman" w:hAnsi="Times New Roman" w:cs="Times New Roman"/>
          <w:b/>
          <w:sz w:val="28"/>
        </w:rPr>
        <w:t xml:space="preserve"> </w:t>
      </w:r>
    </w:p>
    <w:p w:rsidR="0052701D" w:rsidRDefault="00D40929">
      <w:pPr>
        <w:pStyle w:val="1"/>
        <w:ind w:left="173" w:right="184"/>
      </w:pPr>
      <w:r>
        <w:t xml:space="preserve">КОНФИГУРАЦИЯ STM32. ДОБАВЛЕНИЕ ТАЙМЕРА </w:t>
      </w:r>
    </w:p>
    <w:p w:rsidR="0052701D" w:rsidRDefault="00D40929">
      <w:pPr>
        <w:spacing w:after="5" w:line="271" w:lineRule="auto"/>
        <w:ind w:left="173" w:right="184" w:hanging="10"/>
        <w:jc w:val="center"/>
      </w:pPr>
      <w:r>
        <w:rPr>
          <w:rFonts w:ascii="Times New Roman" w:eastAsia="Times New Roman" w:hAnsi="Times New Roman" w:cs="Times New Roman"/>
          <w:b/>
          <w:sz w:val="28"/>
        </w:rPr>
        <w:t xml:space="preserve">ДЛЯ ПЕРИФЕРИЙНОГО УСТРОЙСТВА </w:t>
      </w:r>
    </w:p>
    <w:p w:rsidR="0052701D" w:rsidRDefault="00D40929">
      <w:pPr>
        <w:spacing w:after="0"/>
        <w:ind w:left="53"/>
        <w:jc w:val="center"/>
      </w:pPr>
      <w:r>
        <w:rPr>
          <w:rFonts w:ascii="Times New Roman" w:eastAsia="Times New Roman" w:hAnsi="Times New Roman" w:cs="Times New Roman"/>
          <w:b/>
          <w:sz w:val="28"/>
        </w:rPr>
        <w:t xml:space="preserve"> </w:t>
      </w:r>
    </w:p>
    <w:p w:rsidR="0052701D" w:rsidRDefault="00D40929">
      <w:pPr>
        <w:pStyle w:val="1"/>
        <w:spacing w:after="36" w:line="248" w:lineRule="auto"/>
        <w:ind w:left="713" w:right="834" w:hanging="5"/>
      </w:pPr>
      <w:r>
        <w:rPr>
          <w:b w:val="0"/>
          <w:sz w:val="24"/>
        </w:rPr>
        <w:t xml:space="preserve">Асан Даулет Талгатулы </w:t>
      </w:r>
    </w:p>
    <w:p w:rsidR="0052701D" w:rsidRDefault="00D40929">
      <w:pPr>
        <w:spacing w:after="14" w:line="248" w:lineRule="auto"/>
        <w:ind w:left="5" w:right="129" w:hanging="5"/>
        <w:jc w:val="center"/>
      </w:pPr>
      <w:r>
        <w:rPr>
          <w:rFonts w:ascii="Times New Roman" w:eastAsia="Times New Roman" w:hAnsi="Times New Roman" w:cs="Times New Roman"/>
          <w:sz w:val="24"/>
        </w:rPr>
        <w:t xml:space="preserve">НАО «Алматинский университет энергетики и связи имени Гумарбека Даукеева», </w:t>
      </w:r>
    </w:p>
    <w:p w:rsidR="0052701D" w:rsidRDefault="00D40929">
      <w:pPr>
        <w:spacing w:after="14" w:line="248" w:lineRule="auto"/>
        <w:ind w:left="713" w:right="837" w:hanging="5"/>
        <w:jc w:val="center"/>
      </w:pPr>
      <w:r>
        <w:rPr>
          <w:rFonts w:ascii="Times New Roman" w:eastAsia="Times New Roman" w:hAnsi="Times New Roman" w:cs="Times New Roman"/>
          <w:sz w:val="24"/>
        </w:rPr>
        <w:t xml:space="preserve">г.Алматы, Казахстан </w:t>
      </w:r>
    </w:p>
    <w:p w:rsidR="0052701D" w:rsidRDefault="00D40929">
      <w:pPr>
        <w:spacing w:after="3"/>
        <w:ind w:left="10" w:right="127" w:hanging="10"/>
        <w:jc w:val="center"/>
      </w:pPr>
      <w:r>
        <w:rPr>
          <w:rFonts w:ascii="Times New Roman" w:eastAsia="Times New Roman" w:hAnsi="Times New Roman" w:cs="Times New Roman"/>
          <w:sz w:val="24"/>
        </w:rPr>
        <w:t xml:space="preserve">,,e-mail: </w:t>
      </w:r>
      <w:r>
        <w:rPr>
          <w:rFonts w:ascii="Times New Roman" w:eastAsia="Times New Roman" w:hAnsi="Times New Roman" w:cs="Times New Roman"/>
          <w:sz w:val="24"/>
          <w:u w:val="single" w:color="000000"/>
        </w:rPr>
        <w:t>d.assan@aues.kz</w:t>
      </w:r>
      <w:r>
        <w:rPr>
          <w:rFonts w:ascii="Times New Roman" w:eastAsia="Times New Roman" w:hAnsi="Times New Roman" w:cs="Times New Roman"/>
          <w:sz w:val="24"/>
        </w:rPr>
        <w:t xml:space="preserve"> </w:t>
      </w:r>
    </w:p>
    <w:p w:rsidR="0052701D" w:rsidRDefault="00D40929">
      <w:pPr>
        <w:spacing w:after="0"/>
        <w:ind w:right="52"/>
        <w:jc w:val="center"/>
      </w:pPr>
      <w:r>
        <w:rPr>
          <w:rFonts w:ascii="Times New Roman" w:eastAsia="Times New Roman" w:hAnsi="Times New Roman" w:cs="Times New Roman"/>
          <w:sz w:val="28"/>
        </w:rPr>
        <w:t xml:space="preserve"> </w:t>
      </w:r>
    </w:p>
    <w:p w:rsidR="0052701D" w:rsidRDefault="00D40929">
      <w:pPr>
        <w:spacing w:after="29" w:line="248" w:lineRule="auto"/>
        <w:ind w:left="101" w:firstLine="711"/>
        <w:jc w:val="both"/>
      </w:pPr>
      <w:r>
        <w:rPr>
          <w:rFonts w:ascii="Times New Roman" w:eastAsia="Times New Roman" w:hAnsi="Times New Roman" w:cs="Times New Roman"/>
          <w:b/>
          <w:i/>
          <w:sz w:val="24"/>
        </w:rPr>
        <w:t xml:space="preserve">Аннотация. </w:t>
      </w:r>
      <w:r>
        <w:rPr>
          <w:rFonts w:ascii="Times New Roman" w:eastAsia="Times New Roman" w:hAnsi="Times New Roman" w:cs="Times New Roman"/>
          <w:i/>
          <w:sz w:val="24"/>
        </w:rPr>
        <w:t>В этой статье производится полная конфигурация микроконтроллера STM32, в том числе рабочих контактов, SysTick</w:t>
      </w:r>
      <w:r>
        <w:rPr>
          <w:rFonts w:ascii="Times New Roman" w:eastAsia="Times New Roman" w:hAnsi="Times New Roman" w:cs="Times New Roman"/>
          <w:i/>
          <w:sz w:val="24"/>
          <w:u w:val="single" w:color="000000"/>
        </w:rPr>
        <w:t>_</w:t>
      </w:r>
      <w:r>
        <w:rPr>
          <w:rFonts w:ascii="Times New Roman" w:eastAsia="Times New Roman" w:hAnsi="Times New Roman" w:cs="Times New Roman"/>
          <w:i/>
          <w:sz w:val="24"/>
        </w:rPr>
        <w:t xml:space="preserve">Timer и включение периферийных часов на примере кода с мигающими огнями. </w:t>
      </w:r>
    </w:p>
    <w:p w:rsidR="0052701D" w:rsidRDefault="00D40929">
      <w:pPr>
        <w:spacing w:after="29" w:line="248" w:lineRule="auto"/>
        <w:ind w:left="711"/>
        <w:jc w:val="both"/>
      </w:pPr>
      <w:r>
        <w:rPr>
          <w:rFonts w:ascii="Times New Roman" w:eastAsia="Times New Roman" w:hAnsi="Times New Roman" w:cs="Times New Roman"/>
          <w:b/>
          <w:i/>
          <w:sz w:val="24"/>
        </w:rPr>
        <w:t xml:space="preserve">Ключевые слова: </w:t>
      </w:r>
      <w:r>
        <w:rPr>
          <w:rFonts w:ascii="Times New Roman" w:eastAsia="Times New Roman" w:hAnsi="Times New Roman" w:cs="Times New Roman"/>
          <w:i/>
          <w:sz w:val="24"/>
        </w:rPr>
        <w:t>STM32, Cortex-M3, конфигурация, таймер, мигающие огни, C</w:t>
      </w:r>
      <w:r>
        <w:rPr>
          <w:rFonts w:ascii="Times New Roman" w:eastAsia="Times New Roman" w:hAnsi="Times New Roman" w:cs="Times New Roman"/>
          <w:i/>
          <w:sz w:val="24"/>
        </w:rPr>
        <w:t xml:space="preserve">oIDE </w:t>
      </w:r>
    </w:p>
    <w:p w:rsidR="0052701D" w:rsidRDefault="00D40929">
      <w:pPr>
        <w:spacing w:after="93"/>
      </w:pPr>
      <w:r>
        <w:rPr>
          <w:rFonts w:ascii="Times New Roman" w:eastAsia="Times New Roman" w:hAnsi="Times New Roman" w:cs="Times New Roman"/>
          <w:b/>
          <w:sz w:val="28"/>
        </w:rPr>
        <w:t xml:space="preserve"> </w:t>
      </w:r>
    </w:p>
    <w:p w:rsidR="0052701D" w:rsidRDefault="00D40929">
      <w:pPr>
        <w:spacing w:after="5" w:line="251" w:lineRule="auto"/>
        <w:ind w:left="3314" w:hanging="1950"/>
      </w:pPr>
      <w:r>
        <w:rPr>
          <w:rFonts w:ascii="Times New Roman" w:eastAsia="Times New Roman" w:hAnsi="Times New Roman" w:cs="Times New Roman"/>
          <w:b/>
          <w:sz w:val="28"/>
        </w:rPr>
        <w:t xml:space="preserve">STM32 CONFIGURATION. ADDING A TIMER FOR A PERIPHERAL DEVICE </w:t>
      </w:r>
    </w:p>
    <w:p w:rsidR="0052701D" w:rsidRDefault="00D40929">
      <w:pPr>
        <w:spacing w:after="0"/>
      </w:pPr>
      <w:r>
        <w:rPr>
          <w:rFonts w:ascii="Times New Roman" w:eastAsia="Times New Roman" w:hAnsi="Times New Roman" w:cs="Times New Roman"/>
          <w:b/>
          <w:sz w:val="24"/>
        </w:rPr>
        <w:t xml:space="preserve"> </w:t>
      </w:r>
    </w:p>
    <w:p w:rsidR="0052701D" w:rsidRDefault="00D40929">
      <w:pPr>
        <w:spacing w:after="14" w:line="248" w:lineRule="auto"/>
        <w:ind w:left="713" w:right="722" w:hanging="5"/>
        <w:jc w:val="center"/>
      </w:pPr>
      <w:r>
        <w:rPr>
          <w:rFonts w:ascii="Times New Roman" w:eastAsia="Times New Roman" w:hAnsi="Times New Roman" w:cs="Times New Roman"/>
          <w:sz w:val="24"/>
        </w:rPr>
        <w:t xml:space="preserve">Assan Daulet Assanuly </w:t>
      </w:r>
    </w:p>
    <w:p w:rsidR="0052701D" w:rsidRDefault="00D40929">
      <w:pPr>
        <w:spacing w:after="24" w:line="250" w:lineRule="auto"/>
        <w:ind w:left="87" w:hanging="10"/>
        <w:jc w:val="both"/>
      </w:pPr>
      <w:r>
        <w:rPr>
          <w:rFonts w:ascii="Times New Roman" w:eastAsia="Times New Roman" w:hAnsi="Times New Roman" w:cs="Times New Roman"/>
        </w:rPr>
        <w:t xml:space="preserve">Non-profit JSC “Almaty University of Power Engineering and Telecommunications named after Gumarbek </w:t>
      </w:r>
    </w:p>
    <w:p w:rsidR="0052701D" w:rsidRDefault="00D40929">
      <w:pPr>
        <w:spacing w:after="9" w:line="248" w:lineRule="auto"/>
        <w:ind w:left="897" w:right="901" w:hanging="10"/>
        <w:jc w:val="center"/>
      </w:pPr>
      <w:r>
        <w:rPr>
          <w:rFonts w:ascii="Times New Roman" w:eastAsia="Times New Roman" w:hAnsi="Times New Roman" w:cs="Times New Roman"/>
        </w:rPr>
        <w:t xml:space="preserve">Daukeyev”,  </w:t>
      </w:r>
    </w:p>
    <w:p w:rsidR="0052701D" w:rsidRDefault="00D40929">
      <w:pPr>
        <w:spacing w:after="9" w:line="248" w:lineRule="auto"/>
        <w:ind w:left="3595" w:right="3536" w:hanging="10"/>
        <w:jc w:val="center"/>
      </w:pPr>
      <w:r>
        <w:rPr>
          <w:rFonts w:ascii="Times New Roman" w:eastAsia="Times New Roman" w:hAnsi="Times New Roman" w:cs="Times New Roman"/>
        </w:rPr>
        <w:t xml:space="preserve">Almaty, Kazakhstan </w:t>
      </w:r>
      <w:r>
        <w:rPr>
          <w:rFonts w:ascii="Times New Roman" w:eastAsia="Times New Roman" w:hAnsi="Times New Roman" w:cs="Times New Roman"/>
          <w:sz w:val="24"/>
        </w:rPr>
        <w:t xml:space="preserve">e-mail: </w:t>
      </w:r>
      <w:r>
        <w:rPr>
          <w:rFonts w:ascii="Times New Roman" w:eastAsia="Times New Roman" w:hAnsi="Times New Roman" w:cs="Times New Roman"/>
          <w:sz w:val="24"/>
          <w:u w:val="single" w:color="000000"/>
        </w:rPr>
        <w:t>d.assan@aues.kz</w:t>
      </w:r>
      <w:r>
        <w:rPr>
          <w:rFonts w:ascii="Times New Roman" w:eastAsia="Times New Roman" w:hAnsi="Times New Roman" w:cs="Times New Roman"/>
          <w:sz w:val="24"/>
        </w:rPr>
        <w:t xml:space="preserve"> </w:t>
      </w:r>
    </w:p>
    <w:p w:rsidR="0052701D" w:rsidRDefault="00D40929">
      <w:pPr>
        <w:spacing w:after="80"/>
      </w:pPr>
      <w:r>
        <w:rPr>
          <w:rFonts w:ascii="Times New Roman" w:eastAsia="Times New Roman" w:hAnsi="Times New Roman" w:cs="Times New Roman"/>
          <w:sz w:val="14"/>
        </w:rPr>
        <w:t xml:space="preserve"> </w:t>
      </w:r>
    </w:p>
    <w:p w:rsidR="0052701D" w:rsidRDefault="00D40929">
      <w:pPr>
        <w:spacing w:after="0" w:line="248" w:lineRule="auto"/>
        <w:ind w:left="101" w:firstLine="711"/>
        <w:jc w:val="both"/>
      </w:pPr>
      <w:r>
        <w:rPr>
          <w:rFonts w:ascii="Times New Roman" w:eastAsia="Times New Roman" w:hAnsi="Times New Roman" w:cs="Times New Roman"/>
          <w:b/>
          <w:i/>
          <w:sz w:val="24"/>
        </w:rPr>
        <w:lastRenderedPageBreak/>
        <w:t xml:space="preserve">Annotation. </w:t>
      </w:r>
      <w:r>
        <w:rPr>
          <w:rFonts w:ascii="Times New Roman" w:eastAsia="Times New Roman" w:hAnsi="Times New Roman" w:cs="Times New Roman"/>
          <w:i/>
          <w:sz w:val="24"/>
        </w:rPr>
        <w:t xml:space="preserve">This article completes the configuration of the STM32 microcontroller, including working contacts, SysTick_Timer and enabling the peripheral clock using the code example with blinking lights. </w:t>
      </w:r>
    </w:p>
    <w:p w:rsidR="0052701D" w:rsidRDefault="00D40929">
      <w:pPr>
        <w:spacing w:after="29" w:line="248" w:lineRule="auto"/>
        <w:ind w:left="812"/>
        <w:jc w:val="both"/>
      </w:pPr>
      <w:r>
        <w:rPr>
          <w:rFonts w:ascii="Times New Roman" w:eastAsia="Times New Roman" w:hAnsi="Times New Roman" w:cs="Times New Roman"/>
          <w:b/>
          <w:i/>
          <w:sz w:val="24"/>
        </w:rPr>
        <w:t xml:space="preserve">Keywords: </w:t>
      </w:r>
      <w:r>
        <w:rPr>
          <w:rFonts w:ascii="Times New Roman" w:eastAsia="Times New Roman" w:hAnsi="Times New Roman" w:cs="Times New Roman"/>
          <w:i/>
          <w:sz w:val="24"/>
        </w:rPr>
        <w:t>STM32, Cortex-M3, configuration, timer, b</w:t>
      </w:r>
      <w:r>
        <w:rPr>
          <w:rFonts w:ascii="Times New Roman" w:eastAsia="Times New Roman" w:hAnsi="Times New Roman" w:cs="Times New Roman"/>
          <w:i/>
          <w:sz w:val="24"/>
        </w:rPr>
        <w:t xml:space="preserve">linking lights, CoIDE </w:t>
      </w:r>
    </w:p>
    <w:p w:rsidR="0052701D" w:rsidRDefault="00D40929">
      <w:pPr>
        <w:spacing w:after="102"/>
        <w:ind w:left="812"/>
      </w:pPr>
      <w:r>
        <w:rPr>
          <w:rFonts w:ascii="Times New Roman" w:eastAsia="Times New Roman" w:hAnsi="Times New Roman" w:cs="Times New Roman"/>
          <w:b/>
        </w:rPr>
        <w:t xml:space="preserve"> </w:t>
      </w:r>
    </w:p>
    <w:p w:rsidR="0052701D" w:rsidRDefault="00D40929">
      <w:pPr>
        <w:spacing w:after="28" w:line="251" w:lineRule="auto"/>
        <w:ind w:left="720" w:firstLine="9"/>
      </w:pPr>
      <w:r>
        <w:rPr>
          <w:rFonts w:ascii="Times New Roman" w:eastAsia="Times New Roman" w:hAnsi="Times New Roman" w:cs="Times New Roman"/>
          <w:b/>
          <w:sz w:val="28"/>
        </w:rPr>
        <w:t xml:space="preserve">Введение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Процессоры STM32 </w:t>
      </w:r>
      <w:r>
        <w:rPr>
          <w:rFonts w:ascii="Times New Roman" w:eastAsia="Times New Roman" w:hAnsi="Times New Roman" w:cs="Times New Roman"/>
          <w:sz w:val="28"/>
        </w:rPr>
        <w:t>представляют собой сложные системы с множеством периферийных устройств. Прежде чем использовать любое из этих периферийных устройств, их необходимо настроить. Некоторые из этих конфигураций являются общими — например, распределение тактовых импульсов и кон</w:t>
      </w:r>
      <w:r>
        <w:rPr>
          <w:rFonts w:ascii="Times New Roman" w:eastAsia="Times New Roman" w:hAnsi="Times New Roman" w:cs="Times New Roman"/>
          <w:sz w:val="28"/>
        </w:rPr>
        <w:t xml:space="preserve">фигурация выводов — в то время как остальные зависят от периферийных устройств. На протяжении всей этой статьи мы используем простую программу «мигающих огней» в качестве примера. </w:t>
      </w:r>
    </w:p>
    <w:p w:rsidR="0052701D" w:rsidRDefault="00D40929">
      <w:pPr>
        <w:spacing w:after="182" w:line="271" w:lineRule="auto"/>
        <w:ind w:left="9" w:right="64" w:firstLine="711"/>
        <w:jc w:val="both"/>
      </w:pPr>
      <w:r>
        <w:rPr>
          <w:rFonts w:ascii="Times New Roman" w:eastAsia="Times New Roman" w:hAnsi="Times New Roman" w:cs="Times New Roman"/>
          <w:sz w:val="28"/>
        </w:rPr>
        <w:t>Все процессоры STM32, принадлежащие к семейству Cortex-M3, имеют базовый си</w:t>
      </w:r>
      <w:r>
        <w:rPr>
          <w:rFonts w:ascii="Times New Roman" w:eastAsia="Times New Roman" w:hAnsi="Times New Roman" w:cs="Times New Roman"/>
          <w:sz w:val="28"/>
        </w:rPr>
        <w:t xml:space="preserve">стемный таймер, который можно использовать для обеспечения регулярного отсчета времени. Мы используем этот таймер, чтобы обеспечить постоянную частоту моргания для нашего примера. </w:t>
      </w:r>
    </w:p>
    <w:p w:rsidR="0052701D" w:rsidRDefault="00D40929">
      <w:pPr>
        <w:spacing w:after="5" w:line="251" w:lineRule="auto"/>
        <w:ind w:left="720" w:firstLine="9"/>
      </w:pPr>
      <w:r>
        <w:rPr>
          <w:rFonts w:ascii="Times New Roman" w:eastAsia="Times New Roman" w:hAnsi="Times New Roman" w:cs="Times New Roman"/>
          <w:b/>
          <w:sz w:val="28"/>
        </w:rPr>
        <w:t xml:space="preserve">Основная часть </w:t>
      </w:r>
    </w:p>
    <w:p w:rsidR="0052701D" w:rsidRDefault="00D40929">
      <w:pPr>
        <w:spacing w:after="5" w:line="271" w:lineRule="auto"/>
        <w:ind w:left="9" w:right="64" w:firstLine="711"/>
        <w:jc w:val="both"/>
      </w:pPr>
      <w:r>
        <w:rPr>
          <w:rFonts w:ascii="Times New Roman" w:eastAsia="Times New Roman" w:hAnsi="Times New Roman" w:cs="Times New Roman"/>
          <w:sz w:val="28"/>
        </w:rPr>
        <w:t>Общая структура этой программы показана на рис. 1. Программ</w:t>
      </w:r>
      <w:r>
        <w:rPr>
          <w:rFonts w:ascii="Times New Roman" w:eastAsia="Times New Roman" w:hAnsi="Times New Roman" w:cs="Times New Roman"/>
          <w:sz w:val="28"/>
        </w:rPr>
        <w:t>а начинается с включения соответствующих заголовков библиотеки встроенного ПО — в данном случае для конфигурации часов и контактов. Основная процедура следует шагам инициализации, описанным выше, а затем входит в цикл, в котором она переключает светодиод и</w:t>
      </w:r>
      <w:r>
        <w:rPr>
          <w:rFonts w:ascii="Times New Roman" w:eastAsia="Times New Roman" w:hAnsi="Times New Roman" w:cs="Times New Roman"/>
          <w:sz w:val="28"/>
        </w:rPr>
        <w:t xml:space="preserve"> ждет 250 мс. За процедурой main следует код, реализующий функцию задержки, которая использует системный таймер. Наконец, предоставляется вспомогательная функция для обработки нарушений утверждений в библиотеке встроенного ПО (требуется, если USE_FULL_ASSE</w:t>
      </w:r>
      <w:r>
        <w:rPr>
          <w:rFonts w:ascii="Times New Roman" w:eastAsia="Times New Roman" w:hAnsi="Times New Roman" w:cs="Times New Roman"/>
          <w:sz w:val="28"/>
        </w:rPr>
        <w:t>RT определен при компиляции модулей библиотеки встроенного ПО). Хотя обработчик assert_failed ничего не делает, он очень полезен при отладке новых проектов, поскольку библиотека встроенного ПО будет выполнять обширную проверку параметров. В случае нарушени</w:t>
      </w:r>
      <w:r>
        <w:rPr>
          <w:rFonts w:ascii="Times New Roman" w:eastAsia="Times New Roman" w:hAnsi="Times New Roman" w:cs="Times New Roman"/>
          <w:sz w:val="28"/>
        </w:rPr>
        <w:t xml:space="preserve">я утверждения можно использовать GDB для проверки параметров этой подпрограммы, чтобы определить точку отказа. </w:t>
      </w:r>
    </w:p>
    <w:p w:rsidR="0052701D" w:rsidRDefault="00D40929">
      <w:pPr>
        <w:spacing w:after="145" w:line="271" w:lineRule="auto"/>
        <w:ind w:left="9" w:right="64" w:firstLine="711"/>
        <w:jc w:val="both"/>
      </w:pPr>
      <w:r>
        <w:rPr>
          <w:rFonts w:ascii="Times New Roman" w:eastAsia="Times New Roman" w:hAnsi="Times New Roman" w:cs="Times New Roman"/>
          <w:sz w:val="28"/>
        </w:rPr>
        <w:t xml:space="preserve">Плата обнаружения STM32 VL имеет светодиод, управляемый контактом ввода-вывода PC9.[1] </w:t>
      </w:r>
      <w:r>
        <w:rPr>
          <w:rFonts w:ascii="Times New Roman" w:eastAsia="Times New Roman" w:hAnsi="Times New Roman" w:cs="Times New Roman"/>
          <w:sz w:val="28"/>
        </w:rPr>
        <w:t xml:space="preserve">Чтобы настроить этот контакт, необходимо сначала включить часы для порта C GPIO с помощью следующей библиотечной команды: </w:t>
      </w:r>
    </w:p>
    <w:p w:rsidR="0052701D" w:rsidRDefault="00D40929">
      <w:pPr>
        <w:spacing w:after="13" w:line="248" w:lineRule="auto"/>
        <w:ind w:left="797"/>
      </w:pPr>
      <w:r>
        <w:rPr>
          <w:rFonts w:ascii="Consolas" w:eastAsia="Consolas" w:hAnsi="Consolas" w:cs="Consolas"/>
        </w:rPr>
        <w:t xml:space="preserve">RCC_APB2PeriphClockCmd(RCC_APB2Periph_GPIOC , ENABLE); </w:t>
      </w:r>
      <w:r>
        <w:rPr>
          <w:rFonts w:ascii="Times New Roman" w:eastAsia="Times New Roman" w:hAnsi="Times New Roman" w:cs="Times New Roman"/>
          <w:sz w:val="28"/>
        </w:rPr>
        <w:t>//               (1)</w:t>
      </w:r>
      <w:r>
        <w:rPr>
          <w:rFonts w:ascii="Consolas" w:eastAsia="Consolas" w:hAnsi="Consolas" w:cs="Consolas"/>
        </w:rPr>
        <w:t xml:space="preserve"> </w:t>
      </w:r>
    </w:p>
    <w:p w:rsidR="0052701D" w:rsidRDefault="00D40929">
      <w:pPr>
        <w:spacing w:after="5" w:line="271" w:lineRule="auto"/>
        <w:ind w:left="101" w:right="64" w:firstLine="711"/>
        <w:jc w:val="both"/>
      </w:pPr>
      <w:r>
        <w:rPr>
          <w:rFonts w:ascii="Times New Roman" w:eastAsia="Times New Roman" w:hAnsi="Times New Roman" w:cs="Times New Roman"/>
          <w:sz w:val="28"/>
        </w:rPr>
        <w:t>После включения часов необходимо настроить все необходим</w:t>
      </w:r>
      <w:r>
        <w:rPr>
          <w:rFonts w:ascii="Times New Roman" w:eastAsia="Times New Roman" w:hAnsi="Times New Roman" w:cs="Times New Roman"/>
          <w:sz w:val="28"/>
        </w:rPr>
        <w:t xml:space="preserve">ые контакты. В этом случае один контакт (PC9) должен быть настроен как выход: </w:t>
      </w:r>
    </w:p>
    <w:p w:rsidR="0052701D" w:rsidRDefault="00D40929">
      <w:pPr>
        <w:spacing w:after="13" w:line="248" w:lineRule="auto"/>
        <w:ind w:left="797"/>
      </w:pPr>
      <w:r>
        <w:rPr>
          <w:rFonts w:ascii="Consolas" w:eastAsia="Consolas" w:hAnsi="Consolas" w:cs="Consolas"/>
        </w:rPr>
        <w:t xml:space="preserve">/* (2) */ </w:t>
      </w:r>
    </w:p>
    <w:p w:rsidR="0052701D" w:rsidRDefault="00D40929">
      <w:pPr>
        <w:spacing w:after="13" w:line="248" w:lineRule="auto"/>
        <w:ind w:left="797"/>
      </w:pPr>
      <w:r>
        <w:rPr>
          <w:rFonts w:ascii="Consolas" w:eastAsia="Consolas" w:hAnsi="Consolas" w:cs="Consolas"/>
        </w:rPr>
        <w:t xml:space="preserve">GPIO_StructInit(&amp;GPIO_InitStructure); </w:t>
      </w:r>
    </w:p>
    <w:p w:rsidR="0052701D" w:rsidRDefault="00D40929">
      <w:pPr>
        <w:spacing w:after="38" w:line="248" w:lineRule="auto"/>
        <w:ind w:left="797"/>
      </w:pPr>
      <w:r>
        <w:rPr>
          <w:rFonts w:ascii="Consolas" w:eastAsia="Consolas" w:hAnsi="Consolas" w:cs="Consolas"/>
        </w:rPr>
        <w:lastRenderedPageBreak/>
        <w:t xml:space="preserve">GPIO_InitStructure.GPIO_Pin = GPIO_Pin_9; </w:t>
      </w:r>
    </w:p>
    <w:p w:rsidR="0052701D" w:rsidRDefault="00D40929">
      <w:pPr>
        <w:tabs>
          <w:tab w:val="center" w:pos="2500"/>
          <w:tab w:val="center" w:pos="6293"/>
        </w:tabs>
        <w:spacing w:after="13" w:line="248" w:lineRule="auto"/>
      </w:pPr>
      <w:r>
        <w:tab/>
      </w:r>
      <w:r>
        <w:rPr>
          <w:rFonts w:ascii="Consolas" w:eastAsia="Consolas" w:hAnsi="Consolas" w:cs="Consolas"/>
        </w:rPr>
        <w:t xml:space="preserve">GPIO_InitStructure.GPIO_Mode </w:t>
      </w:r>
      <w:r>
        <w:rPr>
          <w:rFonts w:ascii="Consolas" w:eastAsia="Consolas" w:hAnsi="Consolas" w:cs="Consolas"/>
        </w:rPr>
        <w:tab/>
        <w:t xml:space="preserve">= </w:t>
      </w:r>
    </w:p>
    <w:p w:rsidR="0052701D" w:rsidRDefault="00D40929">
      <w:pPr>
        <w:spacing w:after="13" w:line="248" w:lineRule="auto"/>
        <w:ind w:left="797"/>
      </w:pPr>
      <w:r>
        <w:rPr>
          <w:rFonts w:ascii="Consolas" w:eastAsia="Consolas" w:hAnsi="Consolas" w:cs="Consolas"/>
        </w:rPr>
        <w:t xml:space="preserve">GPIO_Mode_Out_PP; </w:t>
      </w:r>
    </w:p>
    <w:p w:rsidR="0052701D" w:rsidRDefault="00D40929">
      <w:pPr>
        <w:tabs>
          <w:tab w:val="center" w:pos="2563"/>
          <w:tab w:val="center" w:pos="6303"/>
        </w:tabs>
        <w:spacing w:after="13" w:line="248" w:lineRule="auto"/>
      </w:pPr>
      <w:r>
        <w:tab/>
      </w:r>
      <w:r>
        <w:rPr>
          <w:rFonts w:ascii="Consolas" w:eastAsia="Consolas" w:hAnsi="Consolas" w:cs="Consolas"/>
        </w:rPr>
        <w:t xml:space="preserve">GPIO_InitStructure.GPIO_Speed </w:t>
      </w:r>
      <w:r>
        <w:rPr>
          <w:rFonts w:ascii="Consolas" w:eastAsia="Consolas" w:hAnsi="Consolas" w:cs="Consolas"/>
        </w:rPr>
        <w:tab/>
        <w:t xml:space="preserve">= </w:t>
      </w:r>
    </w:p>
    <w:p w:rsidR="0052701D" w:rsidRDefault="00D40929">
      <w:pPr>
        <w:tabs>
          <w:tab w:val="center" w:pos="1776"/>
          <w:tab w:val="center" w:pos="4487"/>
          <w:tab w:val="center" w:pos="6298"/>
        </w:tabs>
        <w:spacing w:after="13" w:line="248" w:lineRule="auto"/>
      </w:pPr>
      <w:r>
        <w:tab/>
      </w:r>
      <w:r>
        <w:rPr>
          <w:rFonts w:ascii="Consolas" w:eastAsia="Consolas" w:hAnsi="Consolas" w:cs="Consolas"/>
        </w:rPr>
        <w:t xml:space="preserve">GPIO_Speed_2MHz; </w:t>
      </w:r>
      <w:r>
        <w:rPr>
          <w:rFonts w:ascii="Consolas" w:eastAsia="Consolas" w:hAnsi="Consolas" w:cs="Consolas"/>
        </w:rPr>
        <w:tab/>
        <w:t xml:space="preserve">GPIO_Init(GPIOC </w:t>
      </w:r>
      <w:r>
        <w:rPr>
          <w:rFonts w:ascii="Consolas" w:eastAsia="Consolas" w:hAnsi="Consolas" w:cs="Consolas"/>
        </w:rPr>
        <w:tab/>
        <w:t xml:space="preserve">, </w:t>
      </w:r>
    </w:p>
    <w:p w:rsidR="0052701D" w:rsidRDefault="00D40929">
      <w:pPr>
        <w:spacing w:after="13" w:line="248" w:lineRule="auto"/>
        <w:ind w:left="797"/>
      </w:pPr>
      <w:r>
        <w:rPr>
          <w:rFonts w:ascii="Consolas" w:eastAsia="Consolas" w:hAnsi="Consolas" w:cs="Consolas"/>
        </w:rPr>
        <w:t xml:space="preserve">&amp;GPIO_InitStructure); </w:t>
      </w:r>
    </w:p>
    <w:p w:rsidR="0052701D" w:rsidRDefault="00D40929">
      <w:pPr>
        <w:spacing w:after="0"/>
        <w:ind w:left="812"/>
      </w:pPr>
      <w:r>
        <w:rPr>
          <w:rFonts w:ascii="Consolas" w:eastAsia="Consolas" w:hAnsi="Consolas" w:cs="Consolas"/>
          <w:sz w:val="21"/>
        </w:rPr>
        <w:t xml:space="preserve"> </w:t>
      </w:r>
    </w:p>
    <w:p w:rsidR="0052701D" w:rsidRDefault="00D40929">
      <w:pPr>
        <w:spacing w:after="52"/>
        <w:ind w:left="1776"/>
      </w:pPr>
      <w:r>
        <w:rPr>
          <w:noProof/>
        </w:rPr>
        <w:drawing>
          <wp:inline distT="0" distB="0" distL="0" distR="0">
            <wp:extent cx="3931920" cy="4364736"/>
            <wp:effectExtent l="0" t="0" r="0" b="0"/>
            <wp:docPr id="6232" name="Picture 6232"/>
            <wp:cNvGraphicFramePr/>
            <a:graphic xmlns:a="http://schemas.openxmlformats.org/drawingml/2006/main">
              <a:graphicData uri="http://schemas.openxmlformats.org/drawingml/2006/picture">
                <pic:pic xmlns:pic="http://schemas.openxmlformats.org/drawingml/2006/picture">
                  <pic:nvPicPr>
                    <pic:cNvPr id="6232" name="Picture 6232"/>
                    <pic:cNvPicPr/>
                  </pic:nvPicPr>
                  <pic:blipFill>
                    <a:blip r:embed="rId143"/>
                    <a:stretch>
                      <a:fillRect/>
                    </a:stretch>
                  </pic:blipFill>
                  <pic:spPr>
                    <a:xfrm>
                      <a:off x="0" y="0"/>
                      <a:ext cx="3931920" cy="4364736"/>
                    </a:xfrm>
                    <a:prstGeom prst="rect">
                      <a:avLst/>
                    </a:prstGeom>
                  </pic:spPr>
                </pic:pic>
              </a:graphicData>
            </a:graphic>
          </wp:inline>
        </w:drawing>
      </w:r>
    </w:p>
    <w:p w:rsidR="0052701D" w:rsidRDefault="00D40929">
      <w:pPr>
        <w:spacing w:after="14" w:line="248" w:lineRule="auto"/>
        <w:ind w:left="713" w:right="717" w:hanging="5"/>
        <w:jc w:val="center"/>
      </w:pPr>
      <w:r>
        <w:rPr>
          <w:rFonts w:ascii="Times New Roman" w:eastAsia="Times New Roman" w:hAnsi="Times New Roman" w:cs="Times New Roman"/>
          <w:sz w:val="24"/>
        </w:rPr>
        <w:t xml:space="preserve">Рис.1. Мигающие огни </w:t>
      </w:r>
    </w:p>
    <w:p w:rsidR="0052701D" w:rsidRDefault="00D40929">
      <w:pPr>
        <w:spacing w:after="5" w:line="271" w:lineRule="auto"/>
        <w:ind w:left="101" w:right="64" w:firstLine="711"/>
        <w:jc w:val="both"/>
      </w:pPr>
      <w:r>
        <w:rPr>
          <w:rFonts w:ascii="Times New Roman" w:eastAsia="Times New Roman" w:hAnsi="Times New Roman" w:cs="Times New Roman"/>
          <w:sz w:val="28"/>
        </w:rPr>
        <w:t xml:space="preserve">После завершения настройки, порт можно установить/сбросить(set/reset) с помощью следующего кода: </w:t>
      </w:r>
    </w:p>
    <w:p w:rsidR="0052701D" w:rsidRDefault="00D40929">
      <w:pPr>
        <w:spacing w:after="13" w:line="248" w:lineRule="auto"/>
        <w:ind w:left="797"/>
      </w:pPr>
      <w:r>
        <w:rPr>
          <w:rFonts w:ascii="Consolas" w:eastAsia="Consolas" w:hAnsi="Consolas" w:cs="Consolas"/>
        </w:rPr>
        <w:t xml:space="preserve">/* (4) */ </w:t>
      </w:r>
    </w:p>
    <w:p w:rsidR="0052701D" w:rsidRDefault="00D40929">
      <w:pPr>
        <w:spacing w:after="50" w:line="248" w:lineRule="auto"/>
        <w:ind w:left="797"/>
      </w:pPr>
      <w:r>
        <w:rPr>
          <w:rFonts w:ascii="Consolas" w:eastAsia="Consolas" w:hAnsi="Consolas" w:cs="Consolas"/>
        </w:rPr>
        <w:t>GPIO_WriteBit(GPIOC , GPI</w:t>
      </w:r>
      <w:r>
        <w:rPr>
          <w:rFonts w:ascii="Consolas" w:eastAsia="Consolas" w:hAnsi="Consolas" w:cs="Consolas"/>
        </w:rPr>
        <w:t xml:space="preserve">O_Pin_9 , (ledval) ? Bit_SET : Bit_RESET); ledval = 1 - ledval; </w:t>
      </w:r>
    </w:p>
    <w:p w:rsidR="0052701D" w:rsidRDefault="00D40929">
      <w:pPr>
        <w:spacing w:after="0"/>
        <w:ind w:left="812"/>
      </w:pPr>
      <w:r>
        <w:rPr>
          <w:rFonts w:ascii="Times New Roman" w:eastAsia="Times New Roman" w:hAnsi="Times New Roman" w:cs="Times New Roman"/>
          <w:sz w:val="28"/>
        </w:rPr>
        <w:t xml:space="preserve"> </w:t>
      </w:r>
    </w:p>
    <w:p w:rsidR="0052701D" w:rsidRDefault="00D40929">
      <w:pPr>
        <w:spacing w:after="5" w:line="271" w:lineRule="auto"/>
        <w:ind w:left="101" w:right="64" w:firstLine="711"/>
        <w:jc w:val="both"/>
      </w:pPr>
      <w:r>
        <w:rPr>
          <w:rFonts w:ascii="Times New Roman" w:eastAsia="Times New Roman" w:hAnsi="Times New Roman" w:cs="Times New Roman"/>
          <w:sz w:val="28"/>
        </w:rPr>
        <w:t xml:space="preserve">Демонстрация с мигающим светом также использует «такт таймера» для измерения времени. Хотя этот такт таймера использует прерывания, которые мы не будем обсуждать в этой статье, фактическое </w:t>
      </w:r>
      <w:r>
        <w:rPr>
          <w:rFonts w:ascii="Times New Roman" w:eastAsia="Times New Roman" w:hAnsi="Times New Roman" w:cs="Times New Roman"/>
          <w:sz w:val="28"/>
        </w:rPr>
        <w:t xml:space="preserve">использование здесь можно рассматривать просто как идиому. Ядро Cortex-M3, используемое в процессорах STM32, имеет специальный таймер для этой функции. Таймер кратен системным часам (определенным в тиках/секунду) — здесь мы настраиваем его на прерывания в </w:t>
      </w:r>
      <w:r>
        <w:rPr>
          <w:rFonts w:ascii="Times New Roman" w:eastAsia="Times New Roman" w:hAnsi="Times New Roman" w:cs="Times New Roman"/>
          <w:sz w:val="28"/>
        </w:rPr>
        <w:t xml:space="preserve">1 мс (константа SystemCoreClock определена в библиотеке прошивки как количество тактов системных часов в секунду): </w:t>
      </w:r>
    </w:p>
    <w:p w:rsidR="0052701D" w:rsidRDefault="00D40929">
      <w:pPr>
        <w:spacing w:after="13" w:line="248" w:lineRule="auto"/>
        <w:ind w:left="797"/>
      </w:pPr>
      <w:r>
        <w:rPr>
          <w:rFonts w:ascii="Consolas" w:eastAsia="Consolas" w:hAnsi="Consolas" w:cs="Consolas"/>
        </w:rPr>
        <w:t xml:space="preserve">/* (3) */ </w:t>
      </w:r>
    </w:p>
    <w:p w:rsidR="0052701D" w:rsidRDefault="00D40929">
      <w:pPr>
        <w:spacing w:after="213" w:line="248" w:lineRule="auto"/>
        <w:ind w:left="797" w:right="2922"/>
      </w:pPr>
      <w:r>
        <w:rPr>
          <w:rFonts w:ascii="Consolas" w:eastAsia="Consolas" w:hAnsi="Consolas" w:cs="Consolas"/>
        </w:rPr>
        <w:t xml:space="preserve">if (SysTick_Config(SystemCoreClock / 1000)) while (1); </w:t>
      </w:r>
    </w:p>
    <w:p w:rsidR="0052701D" w:rsidRDefault="00D40929">
      <w:pPr>
        <w:spacing w:after="5" w:line="271" w:lineRule="auto"/>
        <w:ind w:left="-5" w:right="1" w:hanging="10"/>
      </w:pPr>
      <w:r>
        <w:rPr>
          <w:rFonts w:ascii="Times New Roman" w:eastAsia="Times New Roman" w:hAnsi="Times New Roman" w:cs="Times New Roman"/>
          <w:sz w:val="28"/>
        </w:rPr>
        <w:lastRenderedPageBreak/>
        <w:t>Каждую 1 мс таймер возбуждает SysTick</w:t>
      </w:r>
      <w:r>
        <w:rPr>
          <w:rFonts w:ascii="Times New Roman" w:eastAsia="Times New Roman" w:hAnsi="Times New Roman" w:cs="Times New Roman"/>
          <w:sz w:val="28"/>
          <w:u w:val="single" w:color="000000"/>
        </w:rPr>
        <w:t>_</w:t>
      </w:r>
      <w:r>
        <w:rPr>
          <w:rFonts w:ascii="Times New Roman" w:eastAsia="Times New Roman" w:hAnsi="Times New Roman" w:cs="Times New Roman"/>
          <w:sz w:val="28"/>
        </w:rPr>
        <w:t xml:space="preserve">Handler. Для демонстрации с мигающим светом мы просто уменьшаем общий счетчик, объявленный как </w:t>
      </w:r>
      <w:r>
        <w:rPr>
          <w:rFonts w:ascii="Times New Roman" w:eastAsia="Times New Roman" w:hAnsi="Times New Roman" w:cs="Times New Roman"/>
          <w:sz w:val="28"/>
          <w:u w:val="single" w:color="000000"/>
        </w:rPr>
        <w:t xml:space="preserve">    </w:t>
      </w:r>
      <w:r>
        <w:rPr>
          <w:rFonts w:ascii="Times New Roman" w:eastAsia="Times New Roman" w:hAnsi="Times New Roman" w:cs="Times New Roman"/>
          <w:sz w:val="28"/>
        </w:rPr>
        <w:t xml:space="preserve">IO, чтобы </w:t>
      </w:r>
      <w:r>
        <w:rPr>
          <w:rFonts w:ascii="Times New Roman" w:eastAsia="Times New Roman" w:hAnsi="Times New Roman" w:cs="Times New Roman"/>
          <w:sz w:val="28"/>
        </w:rPr>
        <w:tab/>
        <w:t xml:space="preserve">гарантировать, </w:t>
      </w:r>
      <w:r>
        <w:rPr>
          <w:rFonts w:ascii="Times New Roman" w:eastAsia="Times New Roman" w:hAnsi="Times New Roman" w:cs="Times New Roman"/>
          <w:sz w:val="28"/>
        </w:rPr>
        <w:tab/>
        <w:t xml:space="preserve">что </w:t>
      </w:r>
      <w:r>
        <w:rPr>
          <w:rFonts w:ascii="Times New Roman" w:eastAsia="Times New Roman" w:hAnsi="Times New Roman" w:cs="Times New Roman"/>
          <w:sz w:val="28"/>
        </w:rPr>
        <w:tab/>
        <w:t xml:space="preserve">компилятор </w:t>
      </w:r>
      <w:r>
        <w:rPr>
          <w:rFonts w:ascii="Times New Roman" w:eastAsia="Times New Roman" w:hAnsi="Times New Roman" w:cs="Times New Roman"/>
          <w:sz w:val="28"/>
        </w:rPr>
        <w:tab/>
        <w:t xml:space="preserve">не </w:t>
      </w:r>
      <w:r>
        <w:rPr>
          <w:rFonts w:ascii="Times New Roman" w:eastAsia="Times New Roman" w:hAnsi="Times New Roman" w:cs="Times New Roman"/>
          <w:sz w:val="28"/>
        </w:rPr>
        <w:tab/>
        <w:t xml:space="preserve">выполнит </w:t>
      </w:r>
      <w:r>
        <w:rPr>
          <w:rFonts w:ascii="Times New Roman" w:eastAsia="Times New Roman" w:hAnsi="Times New Roman" w:cs="Times New Roman"/>
          <w:sz w:val="28"/>
        </w:rPr>
        <w:tab/>
        <w:t xml:space="preserve">нежелательную оптимизацию. </w:t>
      </w:r>
    </w:p>
    <w:p w:rsidR="0052701D" w:rsidRDefault="00D40929">
      <w:pPr>
        <w:spacing w:after="13" w:line="248" w:lineRule="auto"/>
        <w:ind w:left="797" w:right="5094"/>
      </w:pPr>
      <w:r>
        <w:rPr>
          <w:rFonts w:ascii="Consolas" w:eastAsia="Consolas" w:hAnsi="Consolas" w:cs="Consolas"/>
        </w:rPr>
        <w:t>/* (5) */ static</w:t>
      </w:r>
      <w:r>
        <w:rPr>
          <w:rFonts w:ascii="Consolas" w:eastAsia="Consolas" w:hAnsi="Consolas" w:cs="Consolas"/>
          <w:u w:val="single" w:color="000000"/>
        </w:rPr>
        <w:t xml:space="preserve"> </w:t>
      </w:r>
      <w:r>
        <w:rPr>
          <w:rFonts w:ascii="Consolas" w:eastAsia="Consolas" w:hAnsi="Consolas" w:cs="Consolas"/>
        </w:rPr>
        <w:t>IO uint32_t TimingDelay; void Delay(uint32_t nTime){ T</w:t>
      </w:r>
      <w:r>
        <w:rPr>
          <w:rFonts w:ascii="Consolas" w:eastAsia="Consolas" w:hAnsi="Consolas" w:cs="Consolas"/>
        </w:rPr>
        <w:t xml:space="preserve">imingDelay = nTime; while(TimingDelay != </w:t>
      </w:r>
    </w:p>
    <w:p w:rsidR="0052701D" w:rsidRDefault="00D40929">
      <w:pPr>
        <w:spacing w:after="13" w:line="248" w:lineRule="auto"/>
        <w:ind w:left="797" w:right="8053" w:firstLine="422"/>
      </w:pPr>
      <w:r>
        <w:rPr>
          <w:rFonts w:ascii="Consolas" w:eastAsia="Consolas" w:hAnsi="Consolas" w:cs="Consolas"/>
        </w:rPr>
        <w:t xml:space="preserve">0); } void </w:t>
      </w:r>
    </w:p>
    <w:p w:rsidR="0052701D" w:rsidRDefault="00D40929">
      <w:pPr>
        <w:spacing w:after="13" w:line="248" w:lineRule="auto"/>
        <w:ind w:left="1234"/>
      </w:pPr>
      <w:r>
        <w:rPr>
          <w:rFonts w:ascii="Consolas" w:eastAsia="Consolas" w:hAnsi="Consolas" w:cs="Consolas"/>
        </w:rPr>
        <w:t>SysTick_Handler(void)</w:t>
      </w:r>
    </w:p>
    <w:p w:rsidR="0052701D" w:rsidRDefault="00D40929">
      <w:pPr>
        <w:spacing w:after="13" w:line="248" w:lineRule="auto"/>
        <w:ind w:left="1234" w:right="5280"/>
      </w:pPr>
      <w:r>
        <w:rPr>
          <w:rFonts w:ascii="Consolas" w:eastAsia="Consolas" w:hAnsi="Consolas" w:cs="Consolas"/>
        </w:rPr>
        <w:t xml:space="preserve">{ if (TimingDelay != 0x00) </w:t>
      </w:r>
    </w:p>
    <w:p w:rsidR="0052701D" w:rsidRDefault="00D40929">
      <w:pPr>
        <w:spacing w:after="13" w:line="248" w:lineRule="auto"/>
        <w:ind w:left="1541"/>
      </w:pPr>
      <w:r>
        <w:rPr>
          <w:rFonts w:ascii="Consolas" w:eastAsia="Consolas" w:hAnsi="Consolas" w:cs="Consolas"/>
        </w:rPr>
        <w:t xml:space="preserve">TimingDelay --; </w:t>
      </w:r>
    </w:p>
    <w:p w:rsidR="0052701D" w:rsidRDefault="00D40929">
      <w:pPr>
        <w:spacing w:after="65" w:line="248" w:lineRule="auto"/>
        <w:ind w:left="797"/>
      </w:pPr>
      <w:r>
        <w:rPr>
          <w:rFonts w:ascii="Consolas" w:eastAsia="Consolas" w:hAnsi="Consolas" w:cs="Consolas"/>
        </w:rPr>
        <w:t xml:space="preserve">} </w:t>
      </w:r>
    </w:p>
    <w:p w:rsidR="0052701D" w:rsidRDefault="00D40929">
      <w:pPr>
        <w:spacing w:after="0"/>
        <w:ind w:left="812"/>
      </w:pPr>
      <w:r>
        <w:rPr>
          <w:rFonts w:ascii="Times New Roman" w:eastAsia="Times New Roman" w:hAnsi="Times New Roman" w:cs="Times New Roman"/>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Эта простая программа с мигающими огнями требует поддержки двух библиотечных модулей (stm32</w:t>
      </w:r>
      <w:r>
        <w:rPr>
          <w:rFonts w:ascii="Times New Roman" w:eastAsia="Times New Roman" w:hAnsi="Times New Roman" w:cs="Times New Roman"/>
          <w:sz w:val="28"/>
          <w:u w:val="single" w:color="000000"/>
        </w:rPr>
        <w:t>_</w:t>
      </w:r>
      <w:r>
        <w:rPr>
          <w:rFonts w:ascii="Times New Roman" w:eastAsia="Times New Roman" w:hAnsi="Times New Roman" w:cs="Times New Roman"/>
          <w:sz w:val="28"/>
        </w:rPr>
        <w:t>gpio.c, stm32</w:t>
      </w:r>
      <w:r>
        <w:rPr>
          <w:rFonts w:ascii="Times New Roman" w:eastAsia="Times New Roman" w:hAnsi="Times New Roman" w:cs="Times New Roman"/>
          <w:sz w:val="28"/>
          <w:u w:val="single" w:color="000000"/>
        </w:rPr>
        <w:t>_</w:t>
      </w:r>
      <w:r>
        <w:rPr>
          <w:rFonts w:ascii="Times New Roman" w:eastAsia="Times New Roman" w:hAnsi="Times New Roman" w:cs="Times New Roman"/>
          <w:sz w:val="28"/>
        </w:rPr>
        <w:t>rcc.</w:t>
      </w:r>
      <w:r>
        <w:rPr>
          <w:rFonts w:ascii="Times New Roman" w:eastAsia="Times New Roman" w:hAnsi="Times New Roman" w:cs="Times New Roman"/>
          <w:sz w:val="28"/>
        </w:rPr>
        <w:t xml:space="preserve">c).[2] Чтобы включить их в проект, нам нужно немного изменить Makefile, поставляемый с демо-проектом. </w:t>
      </w:r>
    </w:p>
    <w:p w:rsidR="0052701D" w:rsidRDefault="00D40929">
      <w:pPr>
        <w:spacing w:after="13" w:line="248" w:lineRule="auto"/>
        <w:ind w:left="797"/>
      </w:pPr>
      <w:r>
        <w:rPr>
          <w:rFonts w:ascii="Consolas" w:eastAsia="Consolas" w:hAnsi="Consolas" w:cs="Consolas"/>
        </w:rPr>
        <w:t xml:space="preserve">TEMPLATEROOT = </w:t>
      </w:r>
    </w:p>
    <w:p w:rsidR="0052701D" w:rsidRDefault="00D40929">
      <w:pPr>
        <w:spacing w:after="112" w:line="248" w:lineRule="auto"/>
        <w:ind w:left="797" w:right="3166"/>
      </w:pPr>
      <w:r>
        <w:rPr>
          <w:rFonts w:ascii="Consolas" w:eastAsia="Consolas" w:hAnsi="Consolas" w:cs="Consolas"/>
        </w:rPr>
        <w:t xml:space="preserve">../../stm32vl_template # additional compilation flags </w:t>
      </w:r>
    </w:p>
    <w:p w:rsidR="0052701D" w:rsidRDefault="00D40929">
      <w:pPr>
        <w:spacing w:after="116" w:line="239" w:lineRule="auto"/>
        <w:ind w:left="812" w:right="7266"/>
        <w:jc w:val="both"/>
      </w:pPr>
      <w:r>
        <w:rPr>
          <w:rFonts w:ascii="Consolas" w:eastAsia="Consolas" w:hAnsi="Consolas" w:cs="Consolas"/>
        </w:rPr>
        <w:t xml:space="preserve">CFLAGS += -O0 -g ASFLAGS += -g </w:t>
      </w:r>
    </w:p>
    <w:p w:rsidR="0052701D" w:rsidRDefault="00D40929">
      <w:pPr>
        <w:spacing w:after="108" w:line="248" w:lineRule="auto"/>
        <w:ind w:left="797"/>
      </w:pPr>
      <w:r>
        <w:rPr>
          <w:rFonts w:ascii="Consolas" w:eastAsia="Consolas" w:hAnsi="Consolas" w:cs="Consolas"/>
        </w:rPr>
        <w:t xml:space="preserve"># project files </w:t>
      </w:r>
    </w:p>
    <w:p w:rsidR="0052701D" w:rsidRDefault="00D40929">
      <w:pPr>
        <w:spacing w:after="109" w:line="248" w:lineRule="auto"/>
        <w:ind w:left="797" w:right="5214"/>
      </w:pPr>
      <w:r>
        <w:rPr>
          <w:rFonts w:ascii="Consolas" w:eastAsia="Consolas" w:hAnsi="Consolas" w:cs="Consolas"/>
        </w:rPr>
        <w:t xml:space="preserve">OBJS= $(STARTUP) main.o </w:t>
      </w:r>
      <w:r>
        <w:rPr>
          <w:rFonts w:ascii="Consolas" w:eastAsia="Consolas" w:hAnsi="Consolas" w:cs="Consolas"/>
        </w:rPr>
        <w:t xml:space="preserve">OBJS+= stm32f10x_gpio.o </w:t>
      </w:r>
    </w:p>
    <w:p w:rsidR="0052701D" w:rsidRDefault="00D40929">
      <w:pPr>
        <w:spacing w:after="13" w:line="248" w:lineRule="auto"/>
        <w:ind w:left="797"/>
      </w:pPr>
      <w:r>
        <w:rPr>
          <w:rFonts w:ascii="Consolas" w:eastAsia="Consolas" w:hAnsi="Consolas" w:cs="Consolas"/>
        </w:rPr>
        <w:t xml:space="preserve">stm32f10x_rcc.o # include common make </w:t>
      </w:r>
    </w:p>
    <w:p w:rsidR="0052701D" w:rsidRDefault="00D40929">
      <w:pPr>
        <w:spacing w:after="108" w:line="248" w:lineRule="auto"/>
        <w:ind w:left="797"/>
      </w:pPr>
      <w:r>
        <w:rPr>
          <w:rFonts w:ascii="Consolas" w:eastAsia="Consolas" w:hAnsi="Consolas" w:cs="Consolas"/>
        </w:rPr>
        <w:t xml:space="preserve">file </w:t>
      </w:r>
    </w:p>
    <w:p w:rsidR="0052701D" w:rsidRDefault="00D40929">
      <w:pPr>
        <w:spacing w:after="13" w:line="248" w:lineRule="auto"/>
        <w:ind w:left="797"/>
      </w:pPr>
      <w:r>
        <w:rPr>
          <w:rFonts w:ascii="Consolas" w:eastAsia="Consolas" w:hAnsi="Consolas" w:cs="Consolas"/>
        </w:rPr>
        <w:t xml:space="preserve">include $(TEMPLATEROOT)/Makefile.common </w:t>
      </w:r>
    </w:p>
    <w:p w:rsidR="0052701D" w:rsidRDefault="00D40929">
      <w:pPr>
        <w:spacing w:after="98"/>
      </w:pPr>
      <w:r>
        <w:rPr>
          <w:rFonts w:ascii="Consolas" w:eastAsia="Consolas" w:hAnsi="Consolas" w:cs="Consolas"/>
          <w:sz w:val="21"/>
        </w:rPr>
        <w:t xml:space="preserve"> </w:t>
      </w:r>
    </w:p>
    <w:p w:rsidR="0052701D" w:rsidRDefault="00D40929">
      <w:pPr>
        <w:spacing w:after="5" w:line="251" w:lineRule="auto"/>
        <w:ind w:left="720" w:firstLine="9"/>
      </w:pPr>
      <w:r>
        <w:rPr>
          <w:rFonts w:ascii="Times New Roman" w:eastAsia="Times New Roman" w:hAnsi="Times New Roman" w:cs="Times New Roman"/>
          <w:b/>
          <w:sz w:val="28"/>
        </w:rPr>
        <w:t xml:space="preserve">Выводы </w:t>
      </w:r>
    </w:p>
    <w:p w:rsidR="0052701D" w:rsidRDefault="00D40929">
      <w:pPr>
        <w:spacing w:after="5" w:line="271" w:lineRule="auto"/>
        <w:ind w:left="9" w:right="64" w:firstLine="711"/>
        <w:jc w:val="both"/>
      </w:pPr>
      <w:r>
        <w:rPr>
          <w:rFonts w:ascii="Times New Roman" w:eastAsia="Times New Roman" w:hAnsi="Times New Roman" w:cs="Times New Roman"/>
          <w:sz w:val="28"/>
        </w:rPr>
        <w:t>В мире встроенных процессоров энергопотребление имеет решающее значение; следовательно, самые сложные встроенные процессоры предоставля</w:t>
      </w:r>
      <w:r>
        <w:rPr>
          <w:rFonts w:ascii="Times New Roman" w:eastAsia="Times New Roman" w:hAnsi="Times New Roman" w:cs="Times New Roman"/>
          <w:sz w:val="28"/>
        </w:rPr>
        <w:t>ют механизмы для отключения любых ресурсов, которые не требуются для конкретного приложения. STM32 имеет сложную сеть распределения тактовых импульсов, которая обеспечивает питание только тех периферийных устройств, которые действительно необходимы. Эта си</w:t>
      </w:r>
      <w:r>
        <w:rPr>
          <w:rFonts w:ascii="Times New Roman" w:eastAsia="Times New Roman" w:hAnsi="Times New Roman" w:cs="Times New Roman"/>
          <w:sz w:val="28"/>
        </w:rPr>
        <w:t>стема, называемая Reset and Clock Control (RCC), поддерживается модулем прошивки stm32f10x_rcc.[ch]. Хотя этот модуль можно использовать для управления основными системными часами и PLL, любая необходимая их конфигурация выполняется с помощью кода запуска,</w:t>
      </w:r>
      <w:r>
        <w:rPr>
          <w:rFonts w:ascii="Times New Roman" w:eastAsia="Times New Roman" w:hAnsi="Times New Roman" w:cs="Times New Roman"/>
          <w:sz w:val="28"/>
        </w:rPr>
        <w:t xml:space="preserve"> предоставленного с примерами в этой книге. Нас здесь интересует просто включение периферийных часов. </w:t>
      </w:r>
    </w:p>
    <w:p w:rsidR="0052701D" w:rsidRDefault="00D40929">
      <w:pPr>
        <w:spacing w:after="5" w:line="271" w:lineRule="auto"/>
        <w:ind w:left="9" w:right="64" w:firstLine="711"/>
        <w:jc w:val="both"/>
      </w:pPr>
      <w:r>
        <w:rPr>
          <w:rFonts w:ascii="Times New Roman" w:eastAsia="Times New Roman" w:hAnsi="Times New Roman" w:cs="Times New Roman"/>
          <w:sz w:val="28"/>
        </w:rPr>
        <w:lastRenderedPageBreak/>
        <w:t>Периферийные устройства STM32 организованы в три отдельные группы, называемые APB1, APB2 и AHB. К периферийным устройствам APB1 относятся устройства I2C,</w:t>
      </w:r>
      <w:r>
        <w:rPr>
          <w:rFonts w:ascii="Times New Roman" w:eastAsia="Times New Roman" w:hAnsi="Times New Roman" w:cs="Times New Roman"/>
          <w:sz w:val="28"/>
        </w:rPr>
        <w:t xml:space="preserve"> USART 2– 5 и устройства SPI; Устройства APB2 включают в себя порты GPIO, контроллеры ADC и USART 1. Устройства AHB в первую очередь ориентированы на память, включая контроллеры DMA и интерфейсы внешней памяти (для некоторых устройств). </w:t>
      </w:r>
    </w:p>
    <w:p w:rsidR="0052701D" w:rsidRDefault="00D40929">
      <w:pPr>
        <w:spacing w:after="27"/>
      </w:pPr>
      <w:r>
        <w:rPr>
          <w:rFonts w:ascii="Times New Roman" w:eastAsia="Times New Roman" w:hAnsi="Times New Roman" w:cs="Times New Roman"/>
          <w:sz w:val="24"/>
        </w:rPr>
        <w:t xml:space="preserve"> </w:t>
      </w:r>
    </w:p>
    <w:p w:rsidR="0052701D" w:rsidRDefault="00D40929">
      <w:pPr>
        <w:spacing w:after="59" w:line="248" w:lineRule="auto"/>
        <w:ind w:left="819" w:right="822" w:hanging="10"/>
        <w:jc w:val="center"/>
      </w:pPr>
      <w:r>
        <w:rPr>
          <w:rFonts w:ascii="Times New Roman" w:eastAsia="Times New Roman" w:hAnsi="Times New Roman" w:cs="Times New Roman"/>
          <w:b/>
          <w:sz w:val="24"/>
        </w:rPr>
        <w:t xml:space="preserve">Источники </w:t>
      </w:r>
    </w:p>
    <w:p w:rsidR="0052701D" w:rsidRDefault="00D40929">
      <w:pPr>
        <w:numPr>
          <w:ilvl w:val="0"/>
          <w:numId w:val="5"/>
        </w:numPr>
        <w:spacing w:after="29" w:line="248" w:lineRule="auto"/>
        <w:ind w:right="14" w:firstLine="711"/>
        <w:jc w:val="both"/>
      </w:pPr>
      <w:r>
        <w:rPr>
          <w:rFonts w:ascii="Times New Roman" w:eastAsia="Times New Roman" w:hAnsi="Times New Roman" w:cs="Times New Roman"/>
          <w:sz w:val="24"/>
        </w:rPr>
        <w:t xml:space="preserve">STMicroelectronics. Руководство пользователя об обнаружении линии значений STM32, 2010. UM0919. </w:t>
      </w:r>
    </w:p>
    <w:p w:rsidR="0052701D" w:rsidRDefault="00D40929">
      <w:pPr>
        <w:numPr>
          <w:ilvl w:val="0"/>
          <w:numId w:val="5"/>
        </w:numPr>
        <w:spacing w:after="29" w:line="248" w:lineRule="auto"/>
        <w:ind w:right="14" w:firstLine="711"/>
        <w:jc w:val="both"/>
      </w:pPr>
      <w:r>
        <w:rPr>
          <w:rFonts w:ascii="Times New Roman" w:eastAsia="Times New Roman" w:hAnsi="Times New Roman" w:cs="Times New Roman"/>
          <w:sz w:val="24"/>
        </w:rPr>
        <w:t>STMicroelectronics. Линия низкой и средней плотности, усовершенствованный 32разрядный MCU на базе ARM с флэш-памятью от 16 до 128 КБ, 12 таймеров, АЦП, ЦАП и 8</w:t>
      </w:r>
      <w:r>
        <w:rPr>
          <w:rFonts w:ascii="Times New Roman" w:eastAsia="Times New Roman" w:hAnsi="Times New Roman" w:cs="Times New Roman"/>
          <w:sz w:val="24"/>
        </w:rPr>
        <w:t xml:space="preserve"> интерфейсов связи, 2011. Doc ID 16455. </w:t>
      </w:r>
    </w:p>
    <w:p w:rsidR="0052701D" w:rsidRDefault="00D40929">
      <w:pPr>
        <w:numPr>
          <w:ilvl w:val="0"/>
          <w:numId w:val="5"/>
        </w:numPr>
        <w:spacing w:after="0" w:line="248" w:lineRule="auto"/>
        <w:ind w:right="14" w:firstLine="711"/>
        <w:jc w:val="both"/>
      </w:pPr>
      <w:r>
        <w:rPr>
          <w:rFonts w:ascii="Times New Roman" w:eastAsia="Times New Roman" w:hAnsi="Times New Roman" w:cs="Times New Roman"/>
          <w:sz w:val="24"/>
        </w:rPr>
        <w:t xml:space="preserve">Глазырин Г. В. Анализ исходного числа дефектов в программном обеспечении микропроцессорного устройства релейной защиты / Г. В. Глазырин, Н. С. Усов, Д. В. </w:t>
      </w:r>
    </w:p>
    <w:p w:rsidR="0052701D" w:rsidRDefault="00D40929">
      <w:pPr>
        <w:spacing w:after="29" w:line="248" w:lineRule="auto"/>
        <w:ind w:left="101" w:right="14"/>
        <w:jc w:val="both"/>
      </w:pPr>
      <w:r>
        <w:rPr>
          <w:rFonts w:ascii="Times New Roman" w:eastAsia="Times New Roman" w:hAnsi="Times New Roman" w:cs="Times New Roman"/>
          <w:sz w:val="24"/>
        </w:rPr>
        <w:t>Бакланов // Вестник Казанского государственного энергетичес</w:t>
      </w:r>
      <w:r>
        <w:rPr>
          <w:rFonts w:ascii="Times New Roman" w:eastAsia="Times New Roman" w:hAnsi="Times New Roman" w:cs="Times New Roman"/>
          <w:sz w:val="24"/>
        </w:rPr>
        <w:t xml:space="preserve">кого университета. 2020. Т. </w:t>
      </w:r>
    </w:p>
    <w:p w:rsidR="0052701D" w:rsidRDefault="00D40929">
      <w:pPr>
        <w:spacing w:after="29" w:line="248" w:lineRule="auto"/>
        <w:ind w:left="101" w:right="14"/>
        <w:jc w:val="both"/>
      </w:pPr>
      <w:r>
        <w:rPr>
          <w:rFonts w:ascii="Times New Roman" w:eastAsia="Times New Roman" w:hAnsi="Times New Roman" w:cs="Times New Roman"/>
          <w:sz w:val="24"/>
        </w:rPr>
        <w:t xml:space="preserve">12. № 1(45). С. 40-45. </w:t>
      </w:r>
    </w:p>
    <w:p w:rsidR="0052701D" w:rsidRDefault="00D40929">
      <w:pPr>
        <w:spacing w:after="0"/>
      </w:pPr>
      <w:r>
        <w:rPr>
          <w:rFonts w:ascii="Times New Roman" w:eastAsia="Times New Roman" w:hAnsi="Times New Roman" w:cs="Times New Roman"/>
        </w:rPr>
        <w:t xml:space="preserve"> </w:t>
      </w:r>
    </w:p>
    <w:p w:rsidR="0052701D" w:rsidRDefault="00D40929">
      <w:pPr>
        <w:spacing w:after="51"/>
      </w:pPr>
      <w:r>
        <w:rPr>
          <w:rFonts w:ascii="Times New Roman" w:eastAsia="Times New Roman" w:hAnsi="Times New Roman" w:cs="Times New Roman"/>
        </w:rPr>
        <w:t xml:space="preserve"> </w:t>
      </w:r>
    </w:p>
    <w:p w:rsidR="0052701D" w:rsidRDefault="00D40929">
      <w:pPr>
        <w:spacing w:after="4" w:line="271" w:lineRule="auto"/>
        <w:ind w:left="-5" w:right="194" w:hanging="10"/>
      </w:pPr>
      <w:r>
        <w:rPr>
          <w:rFonts w:ascii="Times New Roman" w:eastAsia="Times New Roman" w:hAnsi="Times New Roman" w:cs="Times New Roman"/>
          <w:b/>
          <w:sz w:val="24"/>
        </w:rPr>
        <w:t xml:space="preserve">УДК 539.3 </w:t>
      </w:r>
    </w:p>
    <w:p w:rsidR="0052701D" w:rsidRDefault="00D40929">
      <w:pPr>
        <w:spacing w:after="0"/>
        <w:ind w:left="706"/>
      </w:pPr>
      <w:r>
        <w:rPr>
          <w:rFonts w:ascii="Times New Roman" w:eastAsia="Times New Roman" w:hAnsi="Times New Roman" w:cs="Times New Roman"/>
          <w:sz w:val="28"/>
        </w:rPr>
        <w:t xml:space="preserve"> </w:t>
      </w:r>
    </w:p>
    <w:p w:rsidR="0052701D" w:rsidRDefault="00D40929">
      <w:pPr>
        <w:pStyle w:val="1"/>
        <w:spacing w:line="251" w:lineRule="auto"/>
        <w:ind w:left="173" w:right="175"/>
      </w:pPr>
      <w:r>
        <w:t xml:space="preserve">ИССЛЕДОВАНИЕ ИЗГИБА СИММЕТРИЧНО НАГРУЖЕННОЙ </w:t>
      </w:r>
    </w:p>
    <w:p w:rsidR="0052701D" w:rsidRDefault="00D40929">
      <w:pPr>
        <w:spacing w:after="5" w:line="251" w:lineRule="auto"/>
        <w:ind w:left="173" w:right="175" w:hanging="10"/>
        <w:jc w:val="center"/>
      </w:pPr>
      <w:r>
        <w:rPr>
          <w:rFonts w:ascii="Times New Roman" w:eastAsia="Times New Roman" w:hAnsi="Times New Roman" w:cs="Times New Roman"/>
          <w:b/>
          <w:sz w:val="28"/>
        </w:rPr>
        <w:t xml:space="preserve">ЗАМКНУТОЙ ЦИЛИНДРИЧЕСКОЙ ОБОЛОЧКИ В НЕОДНОРОДНОМ ТЕМПЕРАТУРНОМ ПОЛЕ </w:t>
      </w:r>
    </w:p>
    <w:p w:rsidR="0052701D" w:rsidRDefault="00D40929">
      <w:pPr>
        <w:spacing w:after="0"/>
        <w:ind w:left="764"/>
        <w:jc w:val="center"/>
      </w:pPr>
      <w:r>
        <w:rPr>
          <w:rFonts w:ascii="Times New Roman" w:eastAsia="Times New Roman" w:hAnsi="Times New Roman" w:cs="Times New Roman"/>
          <w:sz w:val="28"/>
        </w:rPr>
        <w:t xml:space="preserve"> </w:t>
      </w:r>
    </w:p>
    <w:p w:rsidR="0052701D" w:rsidRDefault="00D40929">
      <w:pPr>
        <w:pStyle w:val="1"/>
        <w:spacing w:after="37" w:line="248" w:lineRule="auto"/>
        <w:ind w:left="713" w:right="720" w:hanging="5"/>
      </w:pPr>
      <w:r>
        <w:rPr>
          <w:b w:val="0"/>
          <w:sz w:val="24"/>
        </w:rPr>
        <w:t xml:space="preserve">Кырыкбаев Батырхан Жамашулы </w:t>
      </w:r>
    </w:p>
    <w:p w:rsidR="0052701D" w:rsidRDefault="00D40929">
      <w:pPr>
        <w:spacing w:after="14" w:line="248" w:lineRule="auto"/>
        <w:ind w:left="713" w:right="714" w:hanging="5"/>
        <w:jc w:val="center"/>
      </w:pPr>
      <w:r>
        <w:rPr>
          <w:rFonts w:ascii="Times New Roman" w:eastAsia="Times New Roman" w:hAnsi="Times New Roman" w:cs="Times New Roman"/>
          <w:sz w:val="24"/>
        </w:rPr>
        <w:t>НАО «</w:t>
      </w:r>
      <w:r>
        <w:rPr>
          <w:rFonts w:ascii="Times New Roman" w:eastAsia="Times New Roman" w:hAnsi="Times New Roman" w:cs="Times New Roman"/>
          <w:sz w:val="24"/>
        </w:rPr>
        <w:t xml:space="preserve">Алматинский университет энергетики и связи им.Гумарбека Даукеева» </w:t>
      </w:r>
    </w:p>
    <w:p w:rsidR="0052701D" w:rsidRDefault="00D40929">
      <w:pPr>
        <w:spacing w:after="14" w:line="248" w:lineRule="auto"/>
        <w:ind w:left="713" w:right="722" w:hanging="5"/>
        <w:jc w:val="center"/>
      </w:pPr>
      <w:r>
        <w:rPr>
          <w:rFonts w:ascii="Times New Roman" w:eastAsia="Times New Roman" w:hAnsi="Times New Roman" w:cs="Times New Roman"/>
          <w:sz w:val="24"/>
        </w:rPr>
        <w:t xml:space="preserve">г.Алматы, Казахстан </w:t>
      </w:r>
    </w:p>
    <w:p w:rsidR="0052701D" w:rsidRDefault="00D40929">
      <w:pPr>
        <w:spacing w:after="14" w:line="248" w:lineRule="auto"/>
        <w:ind w:left="713" w:right="723" w:hanging="5"/>
        <w:jc w:val="center"/>
      </w:pPr>
      <w:r>
        <w:rPr>
          <w:rFonts w:ascii="Times New Roman" w:eastAsia="Times New Roman" w:hAnsi="Times New Roman" w:cs="Times New Roman"/>
          <w:sz w:val="24"/>
        </w:rPr>
        <w:t xml:space="preserve">e-mail:b.kyrykbaev@aues.kz </w:t>
      </w:r>
    </w:p>
    <w:p w:rsidR="0052701D" w:rsidRDefault="00D40929">
      <w:pPr>
        <w:spacing w:after="45"/>
        <w:ind w:left="706"/>
      </w:pPr>
      <w:r>
        <w:rPr>
          <w:rFonts w:ascii="Times New Roman" w:eastAsia="Times New Roman" w:hAnsi="Times New Roman" w:cs="Times New Roman"/>
        </w:rPr>
        <w:t xml:space="preserve"> </w:t>
      </w:r>
    </w:p>
    <w:p w:rsidR="0052701D" w:rsidRDefault="00D40929">
      <w:pPr>
        <w:spacing w:after="29" w:line="248" w:lineRule="auto"/>
        <w:ind w:left="9" w:firstLine="711"/>
        <w:jc w:val="both"/>
      </w:pPr>
      <w:r>
        <w:rPr>
          <w:rFonts w:ascii="Times New Roman" w:eastAsia="Times New Roman" w:hAnsi="Times New Roman" w:cs="Times New Roman"/>
          <w:b/>
          <w:sz w:val="24"/>
        </w:rPr>
        <w:t>Аннотация</w:t>
      </w:r>
      <w:r>
        <w:rPr>
          <w:rFonts w:ascii="Times New Roman" w:eastAsia="Times New Roman" w:hAnsi="Times New Roman" w:cs="Times New Roman"/>
          <w:sz w:val="24"/>
        </w:rPr>
        <w:t xml:space="preserve">. </w:t>
      </w:r>
      <w:r>
        <w:rPr>
          <w:rFonts w:ascii="Times New Roman" w:eastAsia="Times New Roman" w:hAnsi="Times New Roman" w:cs="Times New Roman"/>
          <w:i/>
          <w:sz w:val="24"/>
        </w:rPr>
        <w:t>Рассматривается тонкая цилиндрическая оболочка переменной толщины, изгиб которой описывается дифференциальным уравнением четвер</w:t>
      </w:r>
      <w:r>
        <w:rPr>
          <w:rFonts w:ascii="Times New Roman" w:eastAsia="Times New Roman" w:hAnsi="Times New Roman" w:cs="Times New Roman"/>
          <w:i/>
          <w:sz w:val="24"/>
        </w:rPr>
        <w:t>того порядка с переменными коэффициентами [1] так, что получение аналитического решения представляет известные трудности. В работе получение такого решения достигнуто привлечением метода частичной дискретизации дифференциальных уравнений [2].</w:t>
      </w:r>
      <w:r>
        <w:rPr>
          <w:rFonts w:ascii="Times New Roman" w:eastAsia="Times New Roman" w:hAnsi="Times New Roman" w:cs="Times New Roman"/>
          <w:sz w:val="24"/>
        </w:rPr>
        <w:t xml:space="preserve"> </w:t>
      </w:r>
    </w:p>
    <w:p w:rsidR="0052701D" w:rsidRDefault="00D40929">
      <w:pPr>
        <w:spacing w:after="29" w:line="248" w:lineRule="auto"/>
        <w:ind w:left="9" w:firstLine="711"/>
        <w:jc w:val="both"/>
      </w:pPr>
      <w:r>
        <w:rPr>
          <w:rFonts w:ascii="Times New Roman" w:eastAsia="Times New Roman" w:hAnsi="Times New Roman" w:cs="Times New Roman"/>
          <w:b/>
          <w:sz w:val="24"/>
        </w:rPr>
        <w:t>Ключевые сло</w:t>
      </w:r>
      <w:r>
        <w:rPr>
          <w:rFonts w:ascii="Times New Roman" w:eastAsia="Times New Roman" w:hAnsi="Times New Roman" w:cs="Times New Roman"/>
          <w:b/>
          <w:sz w:val="24"/>
        </w:rPr>
        <w:t>ва:</w:t>
      </w:r>
      <w:r>
        <w:rPr>
          <w:rFonts w:ascii="Times New Roman" w:eastAsia="Times New Roman" w:hAnsi="Times New Roman" w:cs="Times New Roman"/>
          <w:sz w:val="24"/>
        </w:rPr>
        <w:t xml:space="preserve"> </w:t>
      </w:r>
      <w:r>
        <w:rPr>
          <w:rFonts w:ascii="Times New Roman" w:eastAsia="Times New Roman" w:hAnsi="Times New Roman" w:cs="Times New Roman"/>
          <w:i/>
          <w:sz w:val="24"/>
        </w:rPr>
        <w:t xml:space="preserve">оболочка, цилиндрическая оболочка, толщина, уравнение, дифференциальное уравнение, нелинейное дифференциальное уравнение, метод частичной дискретизации. </w:t>
      </w:r>
    </w:p>
    <w:p w:rsidR="0052701D" w:rsidRDefault="00D40929">
      <w:pPr>
        <w:spacing w:after="0"/>
        <w:ind w:left="706"/>
      </w:pPr>
      <w:r>
        <w:rPr>
          <w:rFonts w:ascii="Times New Roman" w:eastAsia="Times New Roman" w:hAnsi="Times New Roman" w:cs="Times New Roman"/>
          <w:sz w:val="28"/>
        </w:rPr>
        <w:t xml:space="preserve"> </w:t>
      </w:r>
    </w:p>
    <w:p w:rsidR="0052701D" w:rsidRDefault="00D40929">
      <w:pPr>
        <w:spacing w:after="5" w:line="251" w:lineRule="auto"/>
        <w:ind w:left="720" w:firstLine="9"/>
      </w:pPr>
      <w:r>
        <w:rPr>
          <w:rFonts w:ascii="Times New Roman" w:eastAsia="Times New Roman" w:hAnsi="Times New Roman" w:cs="Times New Roman"/>
          <w:b/>
          <w:sz w:val="28"/>
        </w:rPr>
        <w:t>ANALYSIS OF BENDING OF THE SYMMETRICALLY LOADED CLOUSED CYLINDRICAL MEMBRANE IN THE NONHOMOGENEO</w:t>
      </w:r>
      <w:r>
        <w:rPr>
          <w:rFonts w:ascii="Times New Roman" w:eastAsia="Times New Roman" w:hAnsi="Times New Roman" w:cs="Times New Roman"/>
          <w:b/>
          <w:sz w:val="28"/>
        </w:rPr>
        <w:t xml:space="preserve">US  TEMPERATURE FIELD </w:t>
      </w:r>
    </w:p>
    <w:p w:rsidR="0052701D" w:rsidRDefault="00D40929">
      <w:pPr>
        <w:spacing w:after="0"/>
        <w:ind w:left="53"/>
        <w:jc w:val="center"/>
      </w:pPr>
      <w:r>
        <w:rPr>
          <w:rFonts w:ascii="Times New Roman" w:eastAsia="Times New Roman" w:hAnsi="Times New Roman" w:cs="Times New Roman"/>
          <w:b/>
          <w:sz w:val="24"/>
        </w:rPr>
        <w:t xml:space="preserve"> </w:t>
      </w:r>
    </w:p>
    <w:p w:rsidR="0052701D" w:rsidRDefault="00D40929">
      <w:pPr>
        <w:spacing w:after="14" w:line="248" w:lineRule="auto"/>
        <w:ind w:left="713" w:right="718" w:hanging="5"/>
        <w:jc w:val="center"/>
      </w:pPr>
      <w:r>
        <w:rPr>
          <w:rFonts w:ascii="Times New Roman" w:eastAsia="Times New Roman" w:hAnsi="Times New Roman" w:cs="Times New Roman"/>
          <w:sz w:val="24"/>
        </w:rPr>
        <w:t>Kyrykbaev Batyrkhan Zhamashuly</w:t>
      </w:r>
      <w:r>
        <w:rPr>
          <w:rFonts w:ascii="Times New Roman" w:eastAsia="Times New Roman" w:hAnsi="Times New Roman" w:cs="Times New Roman"/>
          <w:b/>
          <w:sz w:val="24"/>
        </w:rPr>
        <w:t xml:space="preserve"> </w:t>
      </w:r>
    </w:p>
    <w:p w:rsidR="0052701D" w:rsidRDefault="00D40929">
      <w:pPr>
        <w:spacing w:after="4" w:line="245" w:lineRule="auto"/>
        <w:ind w:left="3155" w:right="304" w:hanging="2372"/>
      </w:pPr>
      <w:r>
        <w:rPr>
          <w:rFonts w:ascii="Times New Roman" w:eastAsia="Times New Roman" w:hAnsi="Times New Roman" w:cs="Times New Roman"/>
          <w:sz w:val="24"/>
        </w:rPr>
        <w:t>Non-profit JSC “Almaty University of Power Engineering and Telecommunications  named after Gumarbek Daukeyev’ e-mail:</w:t>
      </w:r>
      <w:r>
        <w:rPr>
          <w:rFonts w:ascii="Times New Roman" w:eastAsia="Times New Roman" w:hAnsi="Times New Roman" w:cs="Times New Roman"/>
          <w:sz w:val="24"/>
          <w:u w:val="single" w:color="000000"/>
        </w:rPr>
        <w:t>b.kyrykbaev@aues.kz</w:t>
      </w:r>
      <w:r>
        <w:rPr>
          <w:rFonts w:ascii="Times New Roman" w:eastAsia="Times New Roman" w:hAnsi="Times New Roman" w:cs="Times New Roman"/>
          <w:sz w:val="24"/>
        </w:rPr>
        <w:t xml:space="preserve"> </w:t>
      </w:r>
    </w:p>
    <w:p w:rsidR="0052701D" w:rsidRDefault="00D40929">
      <w:pPr>
        <w:spacing w:after="0"/>
      </w:pPr>
      <w:r>
        <w:rPr>
          <w:rFonts w:ascii="Times New Roman" w:eastAsia="Times New Roman" w:hAnsi="Times New Roman" w:cs="Times New Roman"/>
          <w:sz w:val="24"/>
        </w:rPr>
        <w:lastRenderedPageBreak/>
        <w:t xml:space="preserve"> </w:t>
      </w:r>
    </w:p>
    <w:p w:rsidR="0052701D" w:rsidRDefault="00D40929">
      <w:pPr>
        <w:spacing w:after="29" w:line="248" w:lineRule="auto"/>
        <w:ind w:left="9" w:firstLine="711"/>
        <w:jc w:val="both"/>
      </w:pPr>
      <w:r>
        <w:rPr>
          <w:rFonts w:ascii="Times New Roman" w:eastAsia="Times New Roman" w:hAnsi="Times New Roman" w:cs="Times New Roman"/>
          <w:b/>
          <w:sz w:val="24"/>
        </w:rPr>
        <w:t>Annotation</w:t>
      </w:r>
      <w:r>
        <w:rPr>
          <w:rFonts w:ascii="Times New Roman" w:eastAsia="Times New Roman" w:hAnsi="Times New Roman" w:cs="Times New Roman"/>
          <w:sz w:val="24"/>
        </w:rPr>
        <w:t xml:space="preserve">. </w:t>
      </w:r>
      <w:r>
        <w:rPr>
          <w:rFonts w:ascii="Times New Roman" w:eastAsia="Times New Roman" w:hAnsi="Times New Roman" w:cs="Times New Roman"/>
          <w:i/>
          <w:sz w:val="24"/>
        </w:rPr>
        <w:t xml:space="preserve">Thin cylindrical membrane of  </w:t>
      </w:r>
      <w:r>
        <w:rPr>
          <w:rFonts w:ascii="Times New Roman" w:eastAsia="Times New Roman" w:hAnsi="Times New Roman" w:cs="Times New Roman"/>
          <w:i/>
          <w:sz w:val="24"/>
        </w:rPr>
        <w:t xml:space="preserve">variable thickness has been analyzed. Bending of it is described by fourth-order differential equation with variable coefficients (1), so that getting analytical solution is associated with known difficulties. Solving of this task is achieved with help of </w:t>
      </w:r>
      <w:r>
        <w:rPr>
          <w:rFonts w:ascii="Times New Roman" w:eastAsia="Times New Roman" w:hAnsi="Times New Roman" w:cs="Times New Roman"/>
          <w:i/>
          <w:sz w:val="24"/>
        </w:rPr>
        <w:t>the method of partial discretization of differential equations (2).</w:t>
      </w:r>
      <w:r>
        <w:rPr>
          <w:rFonts w:ascii="Times New Roman" w:eastAsia="Times New Roman" w:hAnsi="Times New Roman" w:cs="Times New Roman"/>
          <w:sz w:val="24"/>
        </w:rPr>
        <w:t xml:space="preserve"> </w:t>
      </w:r>
    </w:p>
    <w:p w:rsidR="0052701D" w:rsidRDefault="00D40929">
      <w:pPr>
        <w:spacing w:after="29" w:line="248" w:lineRule="auto"/>
        <w:ind w:left="9" w:firstLine="711"/>
        <w:jc w:val="both"/>
      </w:pPr>
      <w:r>
        <w:rPr>
          <w:rFonts w:ascii="Times New Roman" w:eastAsia="Times New Roman" w:hAnsi="Times New Roman" w:cs="Times New Roman"/>
          <w:b/>
          <w:sz w:val="24"/>
        </w:rPr>
        <w:t>Key words:</w:t>
      </w:r>
      <w:r>
        <w:rPr>
          <w:rFonts w:ascii="Times New Roman" w:eastAsia="Times New Roman" w:hAnsi="Times New Roman" w:cs="Times New Roman"/>
          <w:sz w:val="24"/>
        </w:rPr>
        <w:t xml:space="preserve"> </w:t>
      </w:r>
      <w:r>
        <w:rPr>
          <w:rFonts w:ascii="Times New Roman" w:eastAsia="Times New Roman" w:hAnsi="Times New Roman" w:cs="Times New Roman"/>
          <w:i/>
          <w:sz w:val="24"/>
        </w:rPr>
        <w:t xml:space="preserve">мembrane, cylindrical membrane, thickness, equation, differential equations, non-linear differential equations, the method of partial discretization. </w:t>
      </w:r>
    </w:p>
    <w:p w:rsidR="0052701D" w:rsidRDefault="00D40929">
      <w:pPr>
        <w:spacing w:after="0"/>
        <w:ind w:left="706"/>
      </w:pPr>
      <w:r>
        <w:rPr>
          <w:rFonts w:ascii="Times New Roman" w:eastAsia="Times New Roman" w:hAnsi="Times New Roman" w:cs="Times New Roman"/>
          <w:sz w:val="28"/>
        </w:rPr>
        <w:t xml:space="preserve"> </w:t>
      </w:r>
    </w:p>
    <w:p w:rsidR="0052701D" w:rsidRDefault="00D40929">
      <w:pPr>
        <w:spacing w:after="231" w:line="271" w:lineRule="auto"/>
        <w:ind w:left="9" w:right="64" w:firstLine="711"/>
        <w:jc w:val="both"/>
      </w:pPr>
      <w:r>
        <w:rPr>
          <w:rFonts w:ascii="Times New Roman" w:eastAsia="Times New Roman" w:hAnsi="Times New Roman" w:cs="Times New Roman"/>
          <w:sz w:val="28"/>
        </w:rPr>
        <w:t>Пусть тонкая цилиндриче</w:t>
      </w:r>
      <w:r>
        <w:rPr>
          <w:rFonts w:ascii="Times New Roman" w:eastAsia="Times New Roman" w:hAnsi="Times New Roman" w:cs="Times New Roman"/>
          <w:sz w:val="28"/>
        </w:rPr>
        <w:t xml:space="preserve">ская оболочка нагружена осесимметричными радиальной нагрузкой  и усилиями приложенными к торцам: изгибающим  </w:t>
      </w:r>
    </w:p>
    <w:p w:rsidR="0052701D" w:rsidRDefault="00D40929">
      <w:pPr>
        <w:spacing w:after="35" w:line="271" w:lineRule="auto"/>
        <w:ind w:left="9" w:right="64"/>
        <w:jc w:val="both"/>
      </w:pPr>
      <w:r>
        <w:rPr>
          <w:rFonts w:ascii="Times New Roman" w:eastAsia="Times New Roman" w:hAnsi="Times New Roman" w:cs="Times New Roman"/>
          <w:sz w:val="28"/>
        </w:rPr>
        <w:t xml:space="preserve">моментом </w:t>
      </w:r>
      <w:r>
        <w:rPr>
          <w:rFonts w:ascii="Times New Roman" w:eastAsia="Times New Roman" w:hAnsi="Times New Roman" w:cs="Times New Roman"/>
          <w:i/>
          <w:sz w:val="36"/>
          <w:vertAlign w:val="superscript"/>
        </w:rPr>
        <w:t>М</w:t>
      </w:r>
      <w:r>
        <w:rPr>
          <w:rFonts w:ascii="Times New Roman" w:eastAsia="Times New Roman" w:hAnsi="Times New Roman" w:cs="Times New Roman"/>
          <w:sz w:val="14"/>
        </w:rPr>
        <w:t>0</w:t>
      </w:r>
      <w:r>
        <w:rPr>
          <w:rFonts w:ascii="Times New Roman" w:eastAsia="Times New Roman" w:hAnsi="Times New Roman" w:cs="Times New Roman"/>
          <w:sz w:val="28"/>
        </w:rPr>
        <w:t xml:space="preserve">, радиальной перерезывающей </w:t>
      </w:r>
      <w:r>
        <w:rPr>
          <w:rFonts w:ascii="Times New Roman" w:eastAsia="Times New Roman" w:hAnsi="Times New Roman" w:cs="Times New Roman"/>
          <w:i/>
          <w:sz w:val="37"/>
          <w:vertAlign w:val="superscript"/>
        </w:rPr>
        <w:t>Q</w:t>
      </w:r>
      <w:r>
        <w:rPr>
          <w:rFonts w:ascii="Times New Roman" w:eastAsia="Times New Roman" w:hAnsi="Times New Roman" w:cs="Times New Roman"/>
          <w:sz w:val="28"/>
        </w:rPr>
        <w:t xml:space="preserve">, растягивающей </w:t>
      </w:r>
      <w:r>
        <w:rPr>
          <w:rFonts w:ascii="Times New Roman" w:eastAsia="Times New Roman" w:hAnsi="Times New Roman" w:cs="Times New Roman"/>
          <w:i/>
          <w:sz w:val="24"/>
        </w:rPr>
        <w:t>S</w:t>
      </w:r>
      <w:r>
        <w:rPr>
          <w:rFonts w:ascii="Times New Roman" w:eastAsia="Times New Roman" w:hAnsi="Times New Roman" w:cs="Times New Roman"/>
          <w:i/>
          <w:vertAlign w:val="subscript"/>
        </w:rPr>
        <w:t>z</w:t>
      </w:r>
      <w:r>
        <w:rPr>
          <w:rFonts w:ascii="Times New Roman" w:eastAsia="Times New Roman" w:hAnsi="Times New Roman" w:cs="Times New Roman"/>
          <w:sz w:val="28"/>
        </w:rPr>
        <w:t xml:space="preserve"> силами при наличии температурного поля  неравномерного по оси и толщине  оболочки.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Квазистатическое уравнение равновесия рассматриваемой оболочки и граничные условия имеют вид:  </w:t>
      </w:r>
    </w:p>
    <w:p w:rsidR="0052701D" w:rsidRDefault="00D40929">
      <w:pPr>
        <w:spacing w:after="382"/>
        <w:ind w:left="706"/>
      </w:pPr>
      <w:r>
        <w:rPr>
          <w:rFonts w:ascii="Times New Roman" w:eastAsia="Times New Roman" w:hAnsi="Times New Roman" w:cs="Times New Roman"/>
          <w:sz w:val="24"/>
        </w:rPr>
        <w:t xml:space="preserve"> </w:t>
      </w:r>
    </w:p>
    <w:p w:rsidR="0052701D" w:rsidRDefault="00D40929">
      <w:pPr>
        <w:spacing w:after="0" w:line="510" w:lineRule="auto"/>
        <w:ind w:left="1800" w:hanging="969"/>
        <w:jc w:val="both"/>
      </w:pPr>
      <w:r>
        <w:rPr>
          <w:noProof/>
        </w:rPr>
        <mc:AlternateContent>
          <mc:Choice Requires="wpg">
            <w:drawing>
              <wp:anchor distT="0" distB="0" distL="114300" distR="114300" simplePos="0" relativeHeight="251662336" behindDoc="0" locked="0" layoutInCell="1" allowOverlap="1">
                <wp:simplePos x="0" y="0"/>
                <wp:positionH relativeFrom="column">
                  <wp:posOffset>1764063</wp:posOffset>
                </wp:positionH>
                <wp:positionV relativeFrom="paragraph">
                  <wp:posOffset>75873</wp:posOffset>
                </wp:positionV>
                <wp:extent cx="1011367" cy="6253"/>
                <wp:effectExtent l="0" t="0" r="0" b="0"/>
                <wp:wrapNone/>
                <wp:docPr id="912634" name="Group 912634"/>
                <wp:cNvGraphicFramePr/>
                <a:graphic xmlns:a="http://schemas.openxmlformats.org/drawingml/2006/main">
                  <a:graphicData uri="http://schemas.microsoft.com/office/word/2010/wordprocessingGroup">
                    <wpg:wgp>
                      <wpg:cNvGrpSpPr/>
                      <wpg:grpSpPr>
                        <a:xfrm>
                          <a:off x="0" y="0"/>
                          <a:ext cx="1011367" cy="6253"/>
                          <a:chOff x="0" y="0"/>
                          <a:chExt cx="1011367" cy="6253"/>
                        </a:xfrm>
                      </wpg:grpSpPr>
                      <wps:wsp>
                        <wps:cNvPr id="6677" name="Shape 6677"/>
                        <wps:cNvSpPr/>
                        <wps:spPr>
                          <a:xfrm>
                            <a:off x="0" y="0"/>
                            <a:ext cx="426002" cy="0"/>
                          </a:xfrm>
                          <a:custGeom>
                            <a:avLst/>
                            <a:gdLst/>
                            <a:ahLst/>
                            <a:cxnLst/>
                            <a:rect l="0" t="0" r="0" b="0"/>
                            <a:pathLst>
                              <a:path w="426002">
                                <a:moveTo>
                                  <a:pt x="0" y="0"/>
                                </a:moveTo>
                                <a:lnTo>
                                  <a:pt x="426002" y="0"/>
                                </a:lnTo>
                              </a:path>
                            </a:pathLst>
                          </a:custGeom>
                          <a:ln w="6253" cap="flat">
                            <a:round/>
                          </a:ln>
                        </wps:spPr>
                        <wps:style>
                          <a:lnRef idx="1">
                            <a:srgbClr val="000000"/>
                          </a:lnRef>
                          <a:fillRef idx="0">
                            <a:srgbClr val="000000">
                              <a:alpha val="0"/>
                            </a:srgbClr>
                          </a:fillRef>
                          <a:effectRef idx="0">
                            <a:scrgbClr r="0" g="0" b="0"/>
                          </a:effectRef>
                          <a:fontRef idx="none"/>
                        </wps:style>
                        <wps:bodyPr/>
                      </wps:wsp>
                      <wps:wsp>
                        <wps:cNvPr id="6678" name="Shape 6678"/>
                        <wps:cNvSpPr/>
                        <wps:spPr>
                          <a:xfrm>
                            <a:off x="638105" y="0"/>
                            <a:ext cx="373262" cy="0"/>
                          </a:xfrm>
                          <a:custGeom>
                            <a:avLst/>
                            <a:gdLst/>
                            <a:ahLst/>
                            <a:cxnLst/>
                            <a:rect l="0" t="0" r="0" b="0"/>
                            <a:pathLst>
                              <a:path w="373262">
                                <a:moveTo>
                                  <a:pt x="0" y="0"/>
                                </a:moveTo>
                                <a:lnTo>
                                  <a:pt x="373262" y="0"/>
                                </a:lnTo>
                              </a:path>
                            </a:pathLst>
                          </a:custGeom>
                          <a:ln w="625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2634" style="width:79.6352pt;height:0.492361pt;position:absolute;z-index:74;mso-position-horizontal-relative:text;mso-position-horizontal:absolute;margin-left:138.903pt;mso-position-vertical-relative:text;margin-top:5.97421pt;" coordsize="10113,62">
                <v:shape id="Shape 6677" style="position:absolute;width:4260;height:0;left:0;top:0;" coordsize="426002,0" path="m0,0l426002,0">
                  <v:stroke weight="0.492361pt" endcap="flat" joinstyle="round" on="true" color="#000000"/>
                  <v:fill on="false" color="#000000" opacity="0"/>
                </v:shape>
                <v:shape id="Shape 6678" style="position:absolute;width:3732;height:0;left:6381;top:0;" coordsize="373262,0" path="m0,0l373262,0">
                  <v:stroke weight="0.492361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663360" behindDoc="0" locked="0" layoutInCell="1" allowOverlap="1">
                <wp:simplePos x="0" y="0"/>
                <wp:positionH relativeFrom="column">
                  <wp:posOffset>3619497</wp:posOffset>
                </wp:positionH>
                <wp:positionV relativeFrom="paragraph">
                  <wp:posOffset>75873</wp:posOffset>
                </wp:positionV>
                <wp:extent cx="1849902" cy="6253"/>
                <wp:effectExtent l="0" t="0" r="0" b="0"/>
                <wp:wrapNone/>
                <wp:docPr id="912635" name="Group 912635"/>
                <wp:cNvGraphicFramePr/>
                <a:graphic xmlns:a="http://schemas.openxmlformats.org/drawingml/2006/main">
                  <a:graphicData uri="http://schemas.microsoft.com/office/word/2010/wordprocessingGroup">
                    <wpg:wgp>
                      <wpg:cNvGrpSpPr/>
                      <wpg:grpSpPr>
                        <a:xfrm>
                          <a:off x="0" y="0"/>
                          <a:ext cx="1849902" cy="6253"/>
                          <a:chOff x="0" y="0"/>
                          <a:chExt cx="1849902" cy="6253"/>
                        </a:xfrm>
                      </wpg:grpSpPr>
                      <wps:wsp>
                        <wps:cNvPr id="6679" name="Shape 6679"/>
                        <wps:cNvSpPr/>
                        <wps:spPr>
                          <a:xfrm>
                            <a:off x="0" y="0"/>
                            <a:ext cx="385343" cy="0"/>
                          </a:xfrm>
                          <a:custGeom>
                            <a:avLst/>
                            <a:gdLst/>
                            <a:ahLst/>
                            <a:cxnLst/>
                            <a:rect l="0" t="0" r="0" b="0"/>
                            <a:pathLst>
                              <a:path w="385343">
                                <a:moveTo>
                                  <a:pt x="0" y="0"/>
                                </a:moveTo>
                                <a:lnTo>
                                  <a:pt x="385343" y="0"/>
                                </a:lnTo>
                              </a:path>
                            </a:pathLst>
                          </a:custGeom>
                          <a:ln w="6253" cap="flat">
                            <a:round/>
                          </a:ln>
                        </wps:spPr>
                        <wps:style>
                          <a:lnRef idx="1">
                            <a:srgbClr val="000000"/>
                          </a:lnRef>
                          <a:fillRef idx="0">
                            <a:srgbClr val="000000">
                              <a:alpha val="0"/>
                            </a:srgbClr>
                          </a:fillRef>
                          <a:effectRef idx="0">
                            <a:scrgbClr r="0" g="0" b="0"/>
                          </a:effectRef>
                          <a:fontRef idx="none"/>
                        </wps:style>
                        <wps:bodyPr/>
                      </wps:wsp>
                      <wps:wsp>
                        <wps:cNvPr id="6680" name="Shape 6680"/>
                        <wps:cNvSpPr/>
                        <wps:spPr>
                          <a:xfrm>
                            <a:off x="410651" y="0"/>
                            <a:ext cx="454400" cy="0"/>
                          </a:xfrm>
                          <a:custGeom>
                            <a:avLst/>
                            <a:gdLst/>
                            <a:ahLst/>
                            <a:cxnLst/>
                            <a:rect l="0" t="0" r="0" b="0"/>
                            <a:pathLst>
                              <a:path w="454400">
                                <a:moveTo>
                                  <a:pt x="0" y="0"/>
                                </a:moveTo>
                                <a:lnTo>
                                  <a:pt x="454400" y="0"/>
                                </a:lnTo>
                              </a:path>
                            </a:pathLst>
                          </a:custGeom>
                          <a:ln w="6253" cap="flat">
                            <a:round/>
                          </a:ln>
                        </wps:spPr>
                        <wps:style>
                          <a:lnRef idx="1">
                            <a:srgbClr val="000000"/>
                          </a:lnRef>
                          <a:fillRef idx="0">
                            <a:srgbClr val="000000">
                              <a:alpha val="0"/>
                            </a:srgbClr>
                          </a:fillRef>
                          <a:effectRef idx="0">
                            <a:scrgbClr r="0" g="0" b="0"/>
                          </a:effectRef>
                          <a:fontRef idx="none"/>
                        </wps:style>
                        <wps:bodyPr/>
                      </wps:wsp>
                      <wps:wsp>
                        <wps:cNvPr id="6681" name="Shape 6681"/>
                        <wps:cNvSpPr/>
                        <wps:spPr>
                          <a:xfrm>
                            <a:off x="1128433" y="0"/>
                            <a:ext cx="721469" cy="0"/>
                          </a:xfrm>
                          <a:custGeom>
                            <a:avLst/>
                            <a:gdLst/>
                            <a:ahLst/>
                            <a:cxnLst/>
                            <a:rect l="0" t="0" r="0" b="0"/>
                            <a:pathLst>
                              <a:path w="721469">
                                <a:moveTo>
                                  <a:pt x="0" y="0"/>
                                </a:moveTo>
                                <a:lnTo>
                                  <a:pt x="721469" y="0"/>
                                </a:lnTo>
                              </a:path>
                            </a:pathLst>
                          </a:custGeom>
                          <a:ln w="625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2635" style="width:145.662pt;height:0.492361pt;position:absolute;z-index:77;mso-position-horizontal-relative:text;mso-position-horizontal:absolute;margin-left:285pt;mso-position-vertical-relative:text;margin-top:5.97421pt;" coordsize="18499,62">
                <v:shape id="Shape 6679" style="position:absolute;width:3853;height:0;left:0;top:0;" coordsize="385343,0" path="m0,0l385343,0">
                  <v:stroke weight="0.492361pt" endcap="flat" joinstyle="round" on="true" color="#000000"/>
                  <v:fill on="false" color="#000000" opacity="0"/>
                </v:shape>
                <v:shape id="Shape 6680" style="position:absolute;width:4544;height:0;left:4106;top:0;" coordsize="454400,0" path="m0,0l454400,0">
                  <v:stroke weight="0.492361pt" endcap="flat" joinstyle="round" on="true" color="#000000"/>
                  <v:fill on="false" color="#000000" opacity="0"/>
                </v:shape>
                <v:shape id="Shape 6681" style="position:absolute;width:7214;height:0;left:11284;top:0;" coordsize="721469,0" path="m0,0l721469,0">
                  <v:stroke weight="0.492361pt" endcap="flat" joinstyle="round" on="true" color="#000000"/>
                  <v:fill on="false" color="#000000" opacity="0"/>
                </v:shape>
              </v:group>
            </w:pict>
          </mc:Fallback>
        </mc:AlternateContent>
      </w:r>
      <w:r>
        <w:rPr>
          <w:rFonts w:ascii="Times New Roman" w:eastAsia="Times New Roman" w:hAnsi="Times New Roman" w:cs="Times New Roman"/>
          <w:sz w:val="14"/>
        </w:rPr>
        <w:t xml:space="preserve">                          </w:t>
      </w:r>
      <w:r>
        <w:rPr>
          <w:noProof/>
        </w:rPr>
        <mc:AlternateContent>
          <mc:Choice Requires="wpg">
            <w:drawing>
              <wp:inline distT="0" distB="0" distL="0" distR="0">
                <wp:extent cx="225625" cy="6253"/>
                <wp:effectExtent l="0" t="0" r="0" b="0"/>
                <wp:docPr id="912633" name="Group 912633"/>
                <wp:cNvGraphicFramePr/>
                <a:graphic xmlns:a="http://schemas.openxmlformats.org/drawingml/2006/main">
                  <a:graphicData uri="http://schemas.microsoft.com/office/word/2010/wordprocessingGroup">
                    <wpg:wgp>
                      <wpg:cNvGrpSpPr/>
                      <wpg:grpSpPr>
                        <a:xfrm>
                          <a:off x="0" y="0"/>
                          <a:ext cx="225625" cy="6253"/>
                          <a:chOff x="0" y="0"/>
                          <a:chExt cx="225625" cy="6253"/>
                        </a:xfrm>
                      </wpg:grpSpPr>
                      <wps:wsp>
                        <wps:cNvPr id="6676" name="Shape 6676"/>
                        <wps:cNvSpPr/>
                        <wps:spPr>
                          <a:xfrm>
                            <a:off x="0" y="0"/>
                            <a:ext cx="225625" cy="0"/>
                          </a:xfrm>
                          <a:custGeom>
                            <a:avLst/>
                            <a:gdLst/>
                            <a:ahLst/>
                            <a:cxnLst/>
                            <a:rect l="0" t="0" r="0" b="0"/>
                            <a:pathLst>
                              <a:path w="225625">
                                <a:moveTo>
                                  <a:pt x="0" y="0"/>
                                </a:moveTo>
                                <a:lnTo>
                                  <a:pt x="225625" y="0"/>
                                </a:lnTo>
                              </a:path>
                            </a:pathLst>
                          </a:custGeom>
                          <a:ln w="625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2633" style="width:17.7658pt;height:0.492361pt;mso-position-horizontal-relative:char;mso-position-vertical-relative:line" coordsize="2256,62">
                <v:shape id="Shape 6676" style="position:absolute;width:2256;height:0;left:0;top:0;" coordsize="225625,0" path="m0,0l225625,0">
                  <v:stroke weight="0.492361pt" endcap="flat" joinstyle="round" on="true" color="#000000"/>
                  <v:fill on="false" color="#000000" opacity="0"/>
                </v:shape>
              </v:group>
            </w:pict>
          </mc:Fallback>
        </mc:AlternateContent>
      </w:r>
      <w:r>
        <w:rPr>
          <w:rFonts w:ascii="Times New Roman" w:eastAsia="Times New Roman" w:hAnsi="Times New Roman" w:cs="Times New Roman"/>
          <w:i/>
          <w:sz w:val="24"/>
        </w:rPr>
        <w:t xml:space="preserve">d </w:t>
      </w:r>
      <w:r>
        <w:rPr>
          <w:rFonts w:ascii="Times New Roman" w:eastAsia="Times New Roman" w:hAnsi="Times New Roman" w:cs="Times New Roman"/>
          <w:sz w:val="21"/>
          <w:vertAlign w:val="superscript"/>
        </w:rPr>
        <w:t xml:space="preserve">2 </w:t>
      </w:r>
      <w:r>
        <w:rPr>
          <w:rFonts w:ascii="Segoe UI Symbol" w:eastAsia="Segoe UI Symbol" w:hAnsi="Segoe UI Symbol" w:cs="Segoe UI Symbol"/>
          <w:sz w:val="24"/>
        </w:rPr>
        <w:t></w:t>
      </w:r>
      <w:r>
        <w:rPr>
          <w:rFonts w:ascii="Times New Roman" w:eastAsia="Times New Roman" w:hAnsi="Times New Roman" w:cs="Times New Roman"/>
          <w:i/>
          <w:sz w:val="24"/>
        </w:rPr>
        <w:t>D</w:t>
      </w:r>
      <w:r>
        <w:rPr>
          <w:rFonts w:ascii="Times New Roman" w:eastAsia="Times New Roman" w:hAnsi="Times New Roman" w:cs="Times New Roman"/>
          <w:sz w:val="24"/>
        </w:rPr>
        <w:t>(</w:t>
      </w:r>
      <w:r>
        <w:rPr>
          <w:rFonts w:ascii="Times New Roman" w:eastAsia="Times New Roman" w:hAnsi="Times New Roman" w:cs="Times New Roman"/>
          <w:i/>
          <w:sz w:val="24"/>
        </w:rPr>
        <w:t>z</w:t>
      </w:r>
      <w:r>
        <w:rPr>
          <w:rFonts w:ascii="Times New Roman" w:eastAsia="Times New Roman" w:hAnsi="Times New Roman" w:cs="Times New Roman"/>
          <w:sz w:val="24"/>
        </w:rPr>
        <w:t xml:space="preserve">) </w:t>
      </w:r>
      <w:r>
        <w:rPr>
          <w:rFonts w:ascii="Times New Roman" w:eastAsia="Times New Roman" w:hAnsi="Times New Roman" w:cs="Times New Roman"/>
          <w:i/>
          <w:sz w:val="24"/>
        </w:rPr>
        <w:t xml:space="preserve">d </w:t>
      </w:r>
      <w:r>
        <w:rPr>
          <w:rFonts w:ascii="Times New Roman" w:eastAsia="Times New Roman" w:hAnsi="Times New Roman" w:cs="Times New Roman"/>
          <w:sz w:val="21"/>
          <w:vertAlign w:val="superscript"/>
        </w:rPr>
        <w:t>2</w:t>
      </w:r>
      <w:r>
        <w:rPr>
          <w:rFonts w:ascii="Times New Roman" w:eastAsia="Times New Roman" w:hAnsi="Times New Roman" w:cs="Times New Roman"/>
          <w:i/>
          <w:sz w:val="24"/>
        </w:rPr>
        <w:t>u</w:t>
      </w:r>
      <w:r>
        <w:rPr>
          <w:rFonts w:ascii="Times New Roman" w:eastAsia="Times New Roman" w:hAnsi="Times New Roman" w:cs="Times New Roman"/>
          <w:sz w:val="24"/>
        </w:rPr>
        <w:t>(</w:t>
      </w:r>
      <w:r>
        <w:rPr>
          <w:rFonts w:ascii="Times New Roman" w:eastAsia="Times New Roman" w:hAnsi="Times New Roman" w:cs="Times New Roman"/>
          <w:sz w:val="14"/>
        </w:rPr>
        <w:t>2</w:t>
      </w:r>
      <w:r>
        <w:rPr>
          <w:rFonts w:ascii="Times New Roman" w:eastAsia="Times New Roman" w:hAnsi="Times New Roman" w:cs="Times New Roman"/>
          <w:i/>
          <w:sz w:val="24"/>
        </w:rPr>
        <w:t>z</w:t>
      </w:r>
      <w:r>
        <w:rPr>
          <w:rFonts w:ascii="Times New Roman" w:eastAsia="Times New Roman" w:hAnsi="Times New Roman" w:cs="Times New Roman"/>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 xml:space="preserve"> </w:t>
      </w:r>
      <w:r>
        <w:rPr>
          <w:rFonts w:ascii="Times New Roman" w:eastAsia="Times New Roman" w:hAnsi="Times New Roman" w:cs="Times New Roman"/>
          <w:i/>
          <w:sz w:val="24"/>
        </w:rPr>
        <w:t>EhR</w:t>
      </w:r>
      <w:r>
        <w:rPr>
          <w:rFonts w:ascii="Times New Roman" w:eastAsia="Times New Roman" w:hAnsi="Times New Roman" w:cs="Times New Roman"/>
          <w:sz w:val="24"/>
        </w:rPr>
        <w:t>(</w:t>
      </w:r>
      <w:r>
        <w:rPr>
          <w:rFonts w:ascii="Times New Roman" w:eastAsia="Times New Roman" w:hAnsi="Times New Roman" w:cs="Times New Roman"/>
          <w:sz w:val="14"/>
        </w:rPr>
        <w:t>2</w:t>
      </w:r>
      <w:r>
        <w:rPr>
          <w:rFonts w:ascii="Times New Roman" w:eastAsia="Times New Roman" w:hAnsi="Times New Roman" w:cs="Times New Roman"/>
          <w:i/>
          <w:sz w:val="24"/>
        </w:rPr>
        <w:t>z</w:t>
      </w:r>
      <w:r>
        <w:rPr>
          <w:rFonts w:ascii="Times New Roman" w:eastAsia="Times New Roman" w:hAnsi="Times New Roman" w:cs="Times New Roman"/>
          <w:sz w:val="24"/>
        </w:rPr>
        <w:t>)</w:t>
      </w:r>
      <w:r>
        <w:rPr>
          <w:rFonts w:ascii="Times New Roman" w:eastAsia="Times New Roman" w:hAnsi="Times New Roman" w:cs="Times New Roman"/>
          <w:i/>
          <w:sz w:val="24"/>
        </w:rPr>
        <w:t>u</w:t>
      </w:r>
      <w:r>
        <w:rPr>
          <w:rFonts w:ascii="Times New Roman" w:eastAsia="Times New Roman" w:hAnsi="Times New Roman" w:cs="Times New Roman"/>
          <w:sz w:val="24"/>
        </w:rPr>
        <w:t>(</w:t>
      </w:r>
      <w:r>
        <w:rPr>
          <w:rFonts w:ascii="Times New Roman" w:eastAsia="Times New Roman" w:hAnsi="Times New Roman" w:cs="Times New Roman"/>
          <w:i/>
          <w:sz w:val="24"/>
        </w:rPr>
        <w:t>z</w:t>
      </w:r>
      <w:r>
        <w:rPr>
          <w:rFonts w:ascii="Times New Roman" w:eastAsia="Times New Roman" w:hAnsi="Times New Roman" w:cs="Times New Roman"/>
          <w:sz w:val="24"/>
        </w:rPr>
        <w:t xml:space="preserve">) </w:t>
      </w:r>
      <w:r>
        <w:rPr>
          <w:rFonts w:ascii="Segoe UI Symbol" w:eastAsia="Segoe UI Symbol" w:hAnsi="Segoe UI Symbol" w:cs="Segoe UI Symbol"/>
          <w:sz w:val="24"/>
        </w:rPr>
        <w:t xml:space="preserve"> </w:t>
      </w:r>
      <w:r>
        <w:rPr>
          <w:rFonts w:ascii="Times New Roman" w:eastAsia="Times New Roman" w:hAnsi="Times New Roman" w:cs="Times New Roman"/>
          <w:i/>
          <w:sz w:val="24"/>
        </w:rPr>
        <w:t>p</w:t>
      </w:r>
      <w:r>
        <w:rPr>
          <w:rFonts w:ascii="Times New Roman" w:eastAsia="Times New Roman" w:hAnsi="Times New Roman" w:cs="Times New Roman"/>
          <w:sz w:val="21"/>
          <w:vertAlign w:val="subscript"/>
        </w:rPr>
        <w:t xml:space="preserve">* </w:t>
      </w:r>
      <w:r>
        <w:rPr>
          <w:rFonts w:ascii="Segoe UI Symbol" w:eastAsia="Segoe UI Symbol" w:hAnsi="Segoe UI Symbol" w:cs="Segoe UI Symbol"/>
          <w:sz w:val="24"/>
        </w:rPr>
        <w:t></w:t>
      </w:r>
      <w:r>
        <w:rPr>
          <w:rFonts w:ascii="Segoe UI Symbol" w:eastAsia="Segoe UI Symbol" w:hAnsi="Segoe UI Symbol" w:cs="Segoe UI Symbol"/>
          <w:sz w:val="25"/>
        </w:rPr>
        <w:t></w:t>
      </w:r>
      <w:r>
        <w:rPr>
          <w:rFonts w:ascii="Times New Roman" w:eastAsia="Times New Roman" w:hAnsi="Times New Roman" w:cs="Times New Roman"/>
          <w:sz w:val="24"/>
        </w:rPr>
        <w:t>(1</w:t>
      </w:r>
      <w:r>
        <w:rPr>
          <w:rFonts w:ascii="Times New Roman" w:eastAsia="Times New Roman" w:hAnsi="Times New Roman" w:cs="Times New Roman"/>
          <w:i/>
          <w:sz w:val="24"/>
        </w:rPr>
        <w:t>h</w:t>
      </w:r>
      <w:r>
        <w:rPr>
          <w:rFonts w:ascii="Segoe UI Symbol" w:eastAsia="Segoe UI Symbol" w:hAnsi="Segoe UI Symbol" w:cs="Segoe UI Symbol"/>
          <w:sz w:val="24"/>
        </w:rPr>
        <w:t></w:t>
      </w:r>
      <w:r>
        <w:rPr>
          <w:rFonts w:ascii="Times New Roman" w:eastAsia="Times New Roman" w:hAnsi="Times New Roman" w:cs="Times New Roman"/>
          <w:sz w:val="24"/>
        </w:rPr>
        <w:t>(</w:t>
      </w:r>
      <w:r>
        <w:rPr>
          <w:rFonts w:ascii="Times New Roman" w:eastAsia="Times New Roman" w:hAnsi="Times New Roman" w:cs="Times New Roman"/>
          <w:i/>
          <w:sz w:val="24"/>
        </w:rPr>
        <w:t>z</w:t>
      </w:r>
      <w:r>
        <w:rPr>
          <w:rFonts w:ascii="Segoe UI Symbol" w:eastAsia="Segoe UI Symbol" w:hAnsi="Segoe UI Symbol" w:cs="Segoe UI Symbol"/>
          <w:sz w:val="25"/>
        </w:rPr>
        <w:t></w:t>
      </w:r>
      <w:r>
        <w:rPr>
          <w:rFonts w:ascii="Times New Roman" w:eastAsia="Times New Roman" w:hAnsi="Times New Roman" w:cs="Times New Roman"/>
          <w:sz w:val="24"/>
        </w:rPr>
        <w:t xml:space="preserve">)) </w:t>
      </w:r>
      <w:r>
        <w:rPr>
          <w:rFonts w:ascii="Times New Roman" w:eastAsia="Times New Roman" w:hAnsi="Times New Roman" w:cs="Times New Roman"/>
          <w:i/>
          <w:sz w:val="24"/>
        </w:rPr>
        <w:t xml:space="preserve">d </w:t>
      </w:r>
      <w:r>
        <w:rPr>
          <w:rFonts w:ascii="Times New Roman" w:eastAsia="Times New Roman" w:hAnsi="Times New Roman" w:cs="Times New Roman"/>
          <w:sz w:val="21"/>
          <w:vertAlign w:val="superscript"/>
        </w:rPr>
        <w:t>2</w:t>
      </w:r>
      <w:r>
        <w:rPr>
          <w:rFonts w:ascii="Times New Roman" w:eastAsia="Times New Roman" w:hAnsi="Times New Roman" w:cs="Times New Roman"/>
          <w:i/>
          <w:sz w:val="24"/>
        </w:rPr>
        <w:t xml:space="preserve">dzf </w:t>
      </w:r>
      <w:r>
        <w:rPr>
          <w:rFonts w:ascii="Times New Roman" w:eastAsia="Times New Roman" w:hAnsi="Times New Roman" w:cs="Times New Roman"/>
          <w:sz w:val="24"/>
        </w:rPr>
        <w:t>(</w:t>
      </w:r>
      <w:r>
        <w:rPr>
          <w:rFonts w:ascii="Times New Roman" w:eastAsia="Times New Roman" w:hAnsi="Times New Roman" w:cs="Times New Roman"/>
          <w:sz w:val="14"/>
        </w:rPr>
        <w:t>2</w:t>
      </w:r>
      <w:r>
        <w:rPr>
          <w:rFonts w:ascii="Times New Roman" w:eastAsia="Times New Roman" w:hAnsi="Times New Roman" w:cs="Times New Roman"/>
          <w:i/>
          <w:sz w:val="24"/>
        </w:rPr>
        <w:t>z</w:t>
      </w:r>
      <w:r>
        <w:rPr>
          <w:rFonts w:ascii="Times New Roman" w:eastAsia="Times New Roman" w:hAnsi="Times New Roman" w:cs="Times New Roman"/>
          <w:sz w:val="24"/>
        </w:rPr>
        <w:t xml:space="preserve">) </w:t>
      </w:r>
      <w:r>
        <w:rPr>
          <w:rFonts w:ascii="Segoe UI Symbol" w:eastAsia="Segoe UI Symbol" w:hAnsi="Segoe UI Symbol" w:cs="Segoe UI Symbol"/>
          <w:sz w:val="24"/>
        </w:rPr>
        <w:t></w:t>
      </w:r>
      <w:r>
        <w:rPr>
          <w:rFonts w:ascii="Segoe UI Symbol" w:eastAsia="Segoe UI Symbol" w:hAnsi="Segoe UI Symbol" w:cs="Segoe UI Symbol"/>
          <w:sz w:val="25"/>
        </w:rPr>
        <w:t></w:t>
      </w:r>
      <w:r>
        <w:rPr>
          <w:rFonts w:ascii="Times New Roman" w:eastAsia="Times New Roman" w:hAnsi="Times New Roman" w:cs="Times New Roman"/>
          <w:i/>
          <w:sz w:val="24"/>
        </w:rPr>
        <w:t>EhRD</w:t>
      </w:r>
      <w:r>
        <w:rPr>
          <w:rFonts w:ascii="Times New Roman" w:eastAsia="Times New Roman" w:hAnsi="Times New Roman" w:cs="Times New Roman"/>
          <w:sz w:val="24"/>
        </w:rPr>
        <w:t>(</w:t>
      </w:r>
      <w:r>
        <w:rPr>
          <w:rFonts w:ascii="Times New Roman" w:eastAsia="Times New Roman" w:hAnsi="Times New Roman" w:cs="Times New Roman"/>
          <w:i/>
          <w:sz w:val="24"/>
        </w:rPr>
        <w:t>z</w:t>
      </w:r>
      <w:r>
        <w:rPr>
          <w:rFonts w:ascii="Times New Roman" w:eastAsia="Times New Roman" w:hAnsi="Times New Roman" w:cs="Times New Roman"/>
          <w:sz w:val="24"/>
        </w:rPr>
        <w:t>)</w:t>
      </w:r>
      <w:r>
        <w:rPr>
          <w:rFonts w:ascii="Times New Roman" w:eastAsia="Times New Roman" w:hAnsi="Times New Roman" w:cs="Times New Roman"/>
          <w:i/>
          <w:sz w:val="24"/>
        </w:rPr>
        <w:t>F</w:t>
      </w:r>
      <w:r>
        <w:rPr>
          <w:rFonts w:ascii="Times New Roman" w:eastAsia="Times New Roman" w:hAnsi="Times New Roman" w:cs="Times New Roman"/>
          <w:sz w:val="24"/>
        </w:rPr>
        <w:t>(</w:t>
      </w:r>
      <w:r>
        <w:rPr>
          <w:rFonts w:ascii="Times New Roman" w:eastAsia="Times New Roman" w:hAnsi="Times New Roman" w:cs="Times New Roman"/>
          <w:i/>
          <w:sz w:val="24"/>
        </w:rPr>
        <w:t>z</w:t>
      </w:r>
      <w:r>
        <w:rPr>
          <w:rFonts w:ascii="Times New Roman" w:eastAsia="Times New Roman" w:hAnsi="Times New Roman" w:cs="Times New Roman"/>
          <w:sz w:val="24"/>
        </w:rPr>
        <w:t xml:space="preserve">)() </w:t>
      </w:r>
      <w:r>
        <w:rPr>
          <w:rFonts w:ascii="Times New Roman" w:eastAsia="Times New Roman" w:hAnsi="Times New Roman" w:cs="Times New Roman"/>
          <w:i/>
          <w:sz w:val="24"/>
        </w:rPr>
        <w:t>z</w:t>
      </w:r>
      <w:r>
        <w:rPr>
          <w:rFonts w:ascii="Times New Roman" w:eastAsia="Times New Roman" w:hAnsi="Times New Roman" w:cs="Times New Roman"/>
          <w:sz w:val="24"/>
        </w:rPr>
        <w:t xml:space="preserve">) </w:t>
      </w:r>
      <w:r>
        <w:rPr>
          <w:rFonts w:ascii="Times New Roman" w:eastAsia="Times New Roman" w:hAnsi="Times New Roman" w:cs="Times New Roman"/>
          <w:sz w:val="28"/>
        </w:rPr>
        <w:t>(1)</w:t>
      </w:r>
      <w:r>
        <w:rPr>
          <w:rFonts w:ascii="Times New Roman" w:eastAsia="Times New Roman" w:hAnsi="Times New Roman" w:cs="Times New Roman"/>
          <w:sz w:val="18"/>
        </w:rPr>
        <w:t xml:space="preserve"> </w:t>
      </w:r>
      <w:r>
        <w:rPr>
          <w:rFonts w:ascii="Times New Roman" w:eastAsia="Times New Roman" w:hAnsi="Times New Roman" w:cs="Times New Roman"/>
          <w:i/>
          <w:sz w:val="24"/>
        </w:rPr>
        <w:t>dz</w:t>
      </w:r>
      <w:r>
        <w:rPr>
          <w:rFonts w:ascii="Times New Roman" w:eastAsia="Times New Roman" w:hAnsi="Times New Roman" w:cs="Times New Roman"/>
          <w:sz w:val="14"/>
        </w:rPr>
        <w:t xml:space="preserve">2 </w:t>
      </w:r>
      <w:r>
        <w:rPr>
          <w:rFonts w:ascii="Segoe UI Symbol" w:eastAsia="Segoe UI Symbol" w:hAnsi="Segoe UI Symbol" w:cs="Segoe UI Symbol"/>
          <w:sz w:val="24"/>
        </w:rPr>
        <w:t></w:t>
      </w:r>
      <w:r>
        <w:rPr>
          <w:rFonts w:ascii="Segoe UI Symbol" w:eastAsia="Segoe UI Symbol" w:hAnsi="Segoe UI Symbol" w:cs="Segoe UI Symbol"/>
          <w:sz w:val="24"/>
        </w:rPr>
        <w:t xml:space="preserve"> </w:t>
      </w:r>
      <w:r>
        <w:rPr>
          <w:rFonts w:ascii="Times New Roman" w:eastAsia="Times New Roman" w:hAnsi="Times New Roman" w:cs="Times New Roman"/>
          <w:i/>
          <w:sz w:val="24"/>
        </w:rPr>
        <w:t xml:space="preserve">dz </w:t>
      </w:r>
      <w:r>
        <w:rPr>
          <w:rFonts w:ascii="Segoe UI Symbol" w:eastAsia="Segoe UI Symbol" w:hAnsi="Segoe UI Symbol" w:cs="Segoe UI Symbol"/>
          <w:sz w:val="24"/>
        </w:rPr>
        <w:t></w:t>
      </w:r>
      <w:r>
        <w:rPr>
          <w:rFonts w:ascii="Segoe UI Symbol" w:eastAsia="Segoe UI Symbol" w:hAnsi="Segoe UI Symbol" w:cs="Segoe UI Symbol"/>
          <w:sz w:val="24"/>
        </w:rPr>
        <w:tab/>
      </w:r>
      <w:r>
        <w:rPr>
          <w:rFonts w:ascii="Times New Roman" w:eastAsia="Times New Roman" w:hAnsi="Times New Roman" w:cs="Times New Roman"/>
          <w:sz w:val="18"/>
        </w:rPr>
        <w:t xml:space="preserve">,       </w:t>
      </w:r>
    </w:p>
    <w:p w:rsidR="0052701D" w:rsidRDefault="00D40929">
      <w:pPr>
        <w:spacing w:after="5" w:line="250" w:lineRule="auto"/>
        <w:ind w:left="723" w:right="1517" w:hanging="10"/>
        <w:jc w:val="center"/>
      </w:pPr>
      <w:r>
        <w:rPr>
          <w:rFonts w:ascii="Times New Roman" w:eastAsia="Times New Roman" w:hAnsi="Times New Roman" w:cs="Times New Roman"/>
          <w:i/>
          <w:sz w:val="24"/>
        </w:rPr>
        <w:t>du</w:t>
      </w:r>
      <w:r>
        <w:rPr>
          <w:rFonts w:ascii="Times New Roman" w:eastAsia="Times New Roman" w:hAnsi="Times New Roman" w:cs="Times New Roman"/>
          <w:sz w:val="24"/>
        </w:rPr>
        <w:t>(</w:t>
      </w:r>
      <w:r>
        <w:rPr>
          <w:rFonts w:ascii="Times New Roman" w:eastAsia="Times New Roman" w:hAnsi="Times New Roman" w:cs="Times New Roman"/>
          <w:i/>
          <w:sz w:val="24"/>
        </w:rPr>
        <w:t>z</w:t>
      </w:r>
      <w:r>
        <w:rPr>
          <w:rFonts w:ascii="Times New Roman" w:eastAsia="Times New Roman" w:hAnsi="Times New Roman" w:cs="Times New Roman"/>
          <w:sz w:val="24"/>
        </w:rPr>
        <w:t>)</w:t>
      </w:r>
    </w:p>
    <w:p w:rsidR="0052701D" w:rsidRDefault="00D40929">
      <w:pPr>
        <w:tabs>
          <w:tab w:val="center" w:pos="3489"/>
          <w:tab w:val="center" w:pos="4605"/>
        </w:tabs>
        <w:spacing w:after="29" w:line="248" w:lineRule="auto"/>
      </w:pPr>
      <w:r>
        <w:tab/>
      </w:r>
      <w:r>
        <w:rPr>
          <w:rFonts w:ascii="Times New Roman" w:eastAsia="Times New Roman" w:hAnsi="Times New Roman" w:cs="Times New Roman"/>
          <w:i/>
          <w:sz w:val="24"/>
        </w:rPr>
        <w:t>u</w:t>
      </w:r>
      <w:r>
        <w:rPr>
          <w:rFonts w:ascii="Times New Roman" w:eastAsia="Times New Roman" w:hAnsi="Times New Roman" w:cs="Times New Roman"/>
          <w:sz w:val="24"/>
        </w:rPr>
        <w:t>(</w:t>
      </w:r>
      <w:r>
        <w:rPr>
          <w:rFonts w:ascii="Times New Roman" w:eastAsia="Times New Roman" w:hAnsi="Times New Roman" w:cs="Times New Roman"/>
          <w:i/>
          <w:sz w:val="24"/>
        </w:rPr>
        <w:t>z</w:t>
      </w:r>
      <w:r>
        <w:rPr>
          <w:rFonts w:ascii="Times New Roman" w:eastAsia="Times New Roman" w:hAnsi="Times New Roman" w:cs="Times New Roman"/>
          <w:sz w:val="24"/>
        </w:rPr>
        <w:t xml:space="preserve">) </w:t>
      </w:r>
      <w:r>
        <w:rPr>
          <w:rFonts w:ascii="Segoe UI Symbol" w:eastAsia="Segoe UI Symbol" w:hAnsi="Segoe UI Symbol" w:cs="Segoe UI Symbol"/>
          <w:sz w:val="24"/>
        </w:rPr>
        <w:t xml:space="preserve"> </w:t>
      </w:r>
      <w:r>
        <w:rPr>
          <w:rFonts w:ascii="Times New Roman" w:eastAsia="Times New Roman" w:hAnsi="Times New Roman" w:cs="Times New Roman"/>
          <w:sz w:val="24"/>
        </w:rPr>
        <w:t>0,</w:t>
      </w:r>
      <w:r>
        <w:rPr>
          <w:rFonts w:ascii="Times New Roman" w:eastAsia="Times New Roman" w:hAnsi="Times New Roman" w:cs="Times New Roman"/>
          <w:sz w:val="24"/>
        </w:rPr>
        <w:tab/>
      </w:r>
      <w:r>
        <w:rPr>
          <w:noProof/>
        </w:rPr>
        <mc:AlternateContent>
          <mc:Choice Requires="wpg">
            <w:drawing>
              <wp:inline distT="0" distB="0" distL="0" distR="0">
                <wp:extent cx="355790" cy="6136"/>
                <wp:effectExtent l="0" t="0" r="0" b="0"/>
                <wp:docPr id="912636" name="Group 912636"/>
                <wp:cNvGraphicFramePr/>
                <a:graphic xmlns:a="http://schemas.openxmlformats.org/drawingml/2006/main">
                  <a:graphicData uri="http://schemas.microsoft.com/office/word/2010/wordprocessingGroup">
                    <wpg:wgp>
                      <wpg:cNvGrpSpPr/>
                      <wpg:grpSpPr>
                        <a:xfrm>
                          <a:off x="0" y="0"/>
                          <a:ext cx="355790" cy="6136"/>
                          <a:chOff x="0" y="0"/>
                          <a:chExt cx="355790" cy="6136"/>
                        </a:xfrm>
                      </wpg:grpSpPr>
                      <wps:wsp>
                        <wps:cNvPr id="6755" name="Shape 6755"/>
                        <wps:cNvSpPr/>
                        <wps:spPr>
                          <a:xfrm>
                            <a:off x="0" y="0"/>
                            <a:ext cx="355790" cy="0"/>
                          </a:xfrm>
                          <a:custGeom>
                            <a:avLst/>
                            <a:gdLst/>
                            <a:ahLst/>
                            <a:cxnLst/>
                            <a:rect l="0" t="0" r="0" b="0"/>
                            <a:pathLst>
                              <a:path w="355790">
                                <a:moveTo>
                                  <a:pt x="0" y="0"/>
                                </a:moveTo>
                                <a:lnTo>
                                  <a:pt x="355790" y="0"/>
                                </a:lnTo>
                              </a:path>
                            </a:pathLst>
                          </a:custGeom>
                          <a:ln w="6136"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2636" style="width:28.015pt;height:0.48318pt;mso-position-horizontal-relative:char;mso-position-vertical-relative:line" coordsize="3557,61">
                <v:shape id="Shape 6755" style="position:absolute;width:3557;height:0;left:0;top:0;" coordsize="355790,0" path="m0,0l355790,0">
                  <v:stroke weight="0.48318pt" endcap="flat" joinstyle="round" on="true" color="#000000"/>
                  <v:fill on="false" color="#000000" opacity="0"/>
                </v:shape>
              </v:group>
            </w:pict>
          </mc:Fallback>
        </mc:AlternateContent>
      </w:r>
      <w:r>
        <w:rPr>
          <w:rFonts w:ascii="Segoe UI Symbol" w:eastAsia="Segoe UI Symbol" w:hAnsi="Segoe UI Symbol" w:cs="Segoe UI Symbol"/>
          <w:sz w:val="24"/>
        </w:rPr>
        <w:t xml:space="preserve"> </w:t>
      </w:r>
      <w:r>
        <w:rPr>
          <w:rFonts w:ascii="Segoe UI Symbol" w:eastAsia="Segoe UI Symbol" w:hAnsi="Segoe UI Symbol" w:cs="Segoe UI Symbol"/>
          <w:sz w:val="24"/>
        </w:rPr>
        <w:t xml:space="preserve"> </w:t>
      </w:r>
      <w:r>
        <w:rPr>
          <w:rFonts w:ascii="Times New Roman" w:eastAsia="Times New Roman" w:hAnsi="Times New Roman" w:cs="Times New Roman"/>
          <w:sz w:val="24"/>
        </w:rPr>
        <w:t>0</w:t>
      </w:r>
    </w:p>
    <w:p w:rsidR="0052701D" w:rsidRDefault="00D40929">
      <w:pPr>
        <w:tabs>
          <w:tab w:val="center" w:pos="740"/>
          <w:tab w:val="center" w:pos="4419"/>
          <w:tab w:val="right" w:pos="9649"/>
        </w:tabs>
        <w:spacing w:after="129"/>
      </w:pPr>
      <w:r>
        <w:tab/>
      </w:r>
      <w:r>
        <w:rPr>
          <w:rFonts w:ascii="Times New Roman" w:eastAsia="Times New Roman" w:hAnsi="Times New Roman" w:cs="Times New Roman"/>
          <w:sz w:val="28"/>
        </w:rPr>
        <w:t xml:space="preserve">                                       </w:t>
      </w:r>
      <w:r>
        <w:rPr>
          <w:rFonts w:ascii="Times New Roman" w:eastAsia="Times New Roman" w:hAnsi="Times New Roman" w:cs="Times New Roman"/>
          <w:sz w:val="28"/>
        </w:rPr>
        <w:tab/>
      </w:r>
      <w:r>
        <w:rPr>
          <w:rFonts w:ascii="Times New Roman" w:eastAsia="Times New Roman" w:hAnsi="Times New Roman" w:cs="Times New Roman"/>
          <w:i/>
          <w:sz w:val="24"/>
        </w:rPr>
        <w:t>dz</w:t>
      </w:r>
      <w:r>
        <w:rPr>
          <w:rFonts w:ascii="Times New Roman" w:eastAsia="Times New Roman" w:hAnsi="Times New Roman" w:cs="Times New Roman"/>
          <w:i/>
          <w:sz w:val="24"/>
        </w:rPr>
        <w:tab/>
      </w:r>
      <w:r>
        <w:rPr>
          <w:rFonts w:ascii="Times New Roman" w:eastAsia="Times New Roman" w:hAnsi="Times New Roman" w:cs="Times New Roman"/>
          <w:sz w:val="28"/>
        </w:rPr>
        <w:t xml:space="preserve">     при</w:t>
      </w:r>
      <w:r>
        <w:rPr>
          <w:rFonts w:ascii="Times New Roman" w:eastAsia="Times New Roman" w:hAnsi="Times New Roman" w:cs="Times New Roman"/>
          <w:sz w:val="18"/>
        </w:rPr>
        <w:t xml:space="preserve">      </w:t>
      </w:r>
      <w:r>
        <w:rPr>
          <w:rFonts w:ascii="Times New Roman" w:eastAsia="Times New Roman" w:hAnsi="Times New Roman" w:cs="Times New Roman"/>
          <w:i/>
          <w:sz w:val="24"/>
        </w:rPr>
        <w:t xml:space="preserve">z </w:t>
      </w:r>
      <w:r>
        <w:rPr>
          <w:rFonts w:ascii="Segoe UI Symbol" w:eastAsia="Segoe UI Symbol" w:hAnsi="Segoe UI Symbol" w:cs="Segoe UI Symbol"/>
          <w:sz w:val="24"/>
        </w:rPr>
        <w:t xml:space="preserve"> </w:t>
      </w:r>
      <w:r>
        <w:rPr>
          <w:rFonts w:ascii="Times New Roman" w:eastAsia="Times New Roman" w:hAnsi="Times New Roman" w:cs="Times New Roman"/>
          <w:sz w:val="24"/>
        </w:rPr>
        <w:t>0,</w:t>
      </w:r>
      <w:r>
        <w:rPr>
          <w:rFonts w:ascii="Times New Roman" w:eastAsia="Times New Roman" w:hAnsi="Times New Roman" w:cs="Times New Roman"/>
          <w:sz w:val="18"/>
        </w:rPr>
        <w:t xml:space="preserve">                                                                      </w:t>
      </w:r>
      <w:r>
        <w:rPr>
          <w:rFonts w:ascii="Times New Roman" w:eastAsia="Times New Roman" w:hAnsi="Times New Roman" w:cs="Times New Roman"/>
          <w:sz w:val="28"/>
        </w:rPr>
        <w:t xml:space="preserve">(2)  </w:t>
      </w:r>
      <w:r>
        <w:rPr>
          <w:rFonts w:ascii="Times New Roman" w:eastAsia="Times New Roman" w:hAnsi="Times New Roman" w:cs="Times New Roman"/>
          <w:sz w:val="18"/>
        </w:rPr>
        <w:t xml:space="preserve"> </w:t>
      </w:r>
    </w:p>
    <w:p w:rsidR="0052701D" w:rsidRDefault="00D40929">
      <w:pPr>
        <w:spacing w:after="121" w:line="271" w:lineRule="auto"/>
        <w:ind w:left="543" w:right="537"/>
        <w:jc w:val="both"/>
      </w:pPr>
      <w:r>
        <w:rPr>
          <w:rFonts w:ascii="Times New Roman" w:eastAsia="Times New Roman" w:hAnsi="Times New Roman" w:cs="Times New Roman"/>
          <w:sz w:val="18"/>
        </w:rPr>
        <w:t xml:space="preserve">                                                              </w:t>
      </w:r>
      <w:r>
        <w:rPr>
          <w:rFonts w:ascii="Times New Roman" w:eastAsia="Times New Roman" w:hAnsi="Times New Roman" w:cs="Times New Roman"/>
          <w:i/>
          <w:sz w:val="24"/>
        </w:rPr>
        <w:t>M</w:t>
      </w:r>
      <w:r>
        <w:rPr>
          <w:rFonts w:ascii="Times New Roman" w:eastAsia="Times New Roman" w:hAnsi="Times New Roman" w:cs="Times New Roman"/>
          <w:sz w:val="14"/>
        </w:rPr>
        <w:t>1</w:t>
      </w:r>
      <w:r>
        <w:rPr>
          <w:rFonts w:ascii="Times New Roman" w:eastAsia="Times New Roman" w:hAnsi="Times New Roman" w:cs="Times New Roman"/>
          <w:sz w:val="24"/>
        </w:rPr>
        <w:t>(</w:t>
      </w:r>
      <w:r>
        <w:rPr>
          <w:rFonts w:ascii="Times New Roman" w:eastAsia="Times New Roman" w:hAnsi="Times New Roman" w:cs="Times New Roman"/>
          <w:i/>
          <w:sz w:val="24"/>
        </w:rPr>
        <w:t>z</w:t>
      </w:r>
      <w:r>
        <w:rPr>
          <w:rFonts w:ascii="Times New Roman" w:eastAsia="Times New Roman" w:hAnsi="Times New Roman" w:cs="Times New Roman"/>
          <w:sz w:val="24"/>
        </w:rPr>
        <w:t xml:space="preserve">) </w:t>
      </w:r>
      <w:r>
        <w:rPr>
          <w:rFonts w:ascii="Segoe UI Symbol" w:eastAsia="Segoe UI Symbol" w:hAnsi="Segoe UI Symbol" w:cs="Segoe UI Symbol"/>
          <w:sz w:val="37"/>
          <w:vertAlign w:val="superscript"/>
        </w:rPr>
        <w:t xml:space="preserve"> </w:t>
      </w:r>
      <w:r>
        <w:rPr>
          <w:rFonts w:ascii="Times New Roman" w:eastAsia="Times New Roman" w:hAnsi="Times New Roman" w:cs="Times New Roman"/>
          <w:sz w:val="37"/>
          <w:vertAlign w:val="superscript"/>
        </w:rPr>
        <w:t xml:space="preserve">0, </w:t>
      </w:r>
      <w:r>
        <w:rPr>
          <w:rFonts w:ascii="Times New Roman" w:eastAsia="Times New Roman" w:hAnsi="Times New Roman" w:cs="Times New Roman"/>
          <w:i/>
          <w:sz w:val="37"/>
          <w:vertAlign w:val="superscript"/>
        </w:rPr>
        <w:t>Q</w:t>
      </w:r>
      <w:r>
        <w:rPr>
          <w:rFonts w:ascii="Times New Roman" w:eastAsia="Times New Roman" w:hAnsi="Times New Roman" w:cs="Times New Roman"/>
          <w:sz w:val="37"/>
          <w:vertAlign w:val="superscript"/>
        </w:rPr>
        <w:t>(</w:t>
      </w:r>
      <w:r>
        <w:rPr>
          <w:rFonts w:ascii="Times New Roman" w:eastAsia="Times New Roman" w:hAnsi="Times New Roman" w:cs="Times New Roman"/>
          <w:i/>
          <w:sz w:val="37"/>
          <w:vertAlign w:val="superscript"/>
        </w:rPr>
        <w:t>z</w:t>
      </w:r>
      <w:r>
        <w:rPr>
          <w:rFonts w:ascii="Times New Roman" w:eastAsia="Times New Roman" w:hAnsi="Times New Roman" w:cs="Times New Roman"/>
          <w:sz w:val="37"/>
          <w:vertAlign w:val="superscript"/>
        </w:rPr>
        <w:t xml:space="preserve">) </w:t>
      </w:r>
      <w:r>
        <w:rPr>
          <w:rFonts w:ascii="Segoe UI Symbol" w:eastAsia="Segoe UI Symbol" w:hAnsi="Segoe UI Symbol" w:cs="Segoe UI Symbol"/>
          <w:sz w:val="37"/>
          <w:vertAlign w:val="superscript"/>
        </w:rPr>
        <w:t xml:space="preserve"> </w:t>
      </w:r>
      <w:r>
        <w:rPr>
          <w:rFonts w:ascii="Times New Roman" w:eastAsia="Times New Roman" w:hAnsi="Times New Roman" w:cs="Times New Roman"/>
          <w:sz w:val="37"/>
          <w:vertAlign w:val="superscript"/>
        </w:rPr>
        <w:t>0</w:t>
      </w:r>
      <w:r>
        <w:rPr>
          <w:rFonts w:ascii="Times New Roman" w:eastAsia="Times New Roman" w:hAnsi="Times New Roman" w:cs="Times New Roman"/>
          <w:sz w:val="28"/>
          <w:vertAlign w:val="subscript"/>
        </w:rPr>
        <w:t xml:space="preserve">       </w:t>
      </w:r>
      <w:r>
        <w:rPr>
          <w:rFonts w:ascii="Times New Roman" w:eastAsia="Times New Roman" w:hAnsi="Times New Roman" w:cs="Times New Roman"/>
          <w:sz w:val="28"/>
        </w:rPr>
        <w:t>при</w:t>
      </w:r>
      <w:r>
        <w:rPr>
          <w:rFonts w:ascii="Times New Roman" w:eastAsia="Times New Roman" w:hAnsi="Times New Roman" w:cs="Times New Roman"/>
          <w:sz w:val="28"/>
          <w:vertAlign w:val="subscript"/>
        </w:rPr>
        <w:t xml:space="preserve">      </w:t>
      </w:r>
      <w:r>
        <w:rPr>
          <w:rFonts w:ascii="Times New Roman" w:eastAsia="Times New Roman" w:hAnsi="Times New Roman" w:cs="Times New Roman"/>
          <w:i/>
          <w:sz w:val="37"/>
          <w:vertAlign w:val="superscript"/>
        </w:rPr>
        <w:t xml:space="preserve">z </w:t>
      </w:r>
      <w:r>
        <w:rPr>
          <w:rFonts w:ascii="Segoe UI Symbol" w:eastAsia="Segoe UI Symbol" w:hAnsi="Segoe UI Symbol" w:cs="Segoe UI Symbol"/>
          <w:sz w:val="37"/>
          <w:vertAlign w:val="superscript"/>
        </w:rPr>
        <w:t></w:t>
      </w:r>
      <w:r>
        <w:rPr>
          <w:rFonts w:ascii="Times New Roman" w:eastAsia="Times New Roman" w:hAnsi="Times New Roman" w:cs="Times New Roman"/>
          <w:i/>
          <w:sz w:val="37"/>
          <w:vertAlign w:val="superscript"/>
        </w:rPr>
        <w:t>l</w:t>
      </w:r>
      <w:r>
        <w:rPr>
          <w:rFonts w:ascii="Times New Roman" w:eastAsia="Times New Roman" w:hAnsi="Times New Roman" w:cs="Times New Roman"/>
          <w:sz w:val="37"/>
          <w:vertAlign w:val="superscript"/>
        </w:rPr>
        <w:t>,</w:t>
      </w:r>
      <w:r>
        <w:rPr>
          <w:rFonts w:ascii="Times New Roman" w:eastAsia="Times New Roman" w:hAnsi="Times New Roman" w:cs="Times New Roman"/>
          <w:sz w:val="28"/>
          <w:vertAlign w:val="subscript"/>
        </w:rPr>
        <w:t xml:space="preserve">    </w:t>
      </w:r>
      <w:r>
        <w:rPr>
          <w:rFonts w:ascii="Times New Roman" w:eastAsia="Times New Roman" w:hAnsi="Times New Roman" w:cs="Times New Roman"/>
          <w:sz w:val="28"/>
        </w:rPr>
        <w:t xml:space="preserve">                     (3)  </w:t>
      </w:r>
    </w:p>
    <w:p w:rsidR="0052701D" w:rsidRDefault="00D40929">
      <w:pPr>
        <w:spacing w:after="5" w:line="449" w:lineRule="auto"/>
        <w:ind w:left="9" w:right="2"/>
        <w:jc w:val="both"/>
      </w:pPr>
      <w:r>
        <w:rPr>
          <w:rFonts w:ascii="Times New Roman" w:eastAsia="Times New Roman" w:hAnsi="Times New Roman" w:cs="Times New Roman"/>
          <w:sz w:val="28"/>
        </w:rPr>
        <w:t xml:space="preserve">где </w:t>
      </w:r>
      <w:r>
        <w:rPr>
          <w:rFonts w:ascii="Times New Roman" w:eastAsia="Times New Roman" w:hAnsi="Times New Roman" w:cs="Times New Roman"/>
          <w:i/>
          <w:sz w:val="24"/>
        </w:rPr>
        <w:t>u</w:t>
      </w:r>
      <w:r>
        <w:rPr>
          <w:rFonts w:ascii="Times New Roman" w:eastAsia="Times New Roman" w:hAnsi="Times New Roman" w:cs="Times New Roman"/>
          <w:sz w:val="24"/>
        </w:rPr>
        <w:t>(</w:t>
      </w:r>
      <w:r>
        <w:rPr>
          <w:rFonts w:ascii="Times New Roman" w:eastAsia="Times New Roman" w:hAnsi="Times New Roman" w:cs="Times New Roman"/>
          <w:i/>
          <w:sz w:val="24"/>
        </w:rPr>
        <w:t>z</w:t>
      </w:r>
      <w:r>
        <w:rPr>
          <w:rFonts w:ascii="Times New Roman" w:eastAsia="Times New Roman" w:hAnsi="Times New Roman" w:cs="Times New Roman"/>
          <w:sz w:val="24"/>
        </w:rPr>
        <w:t>)</w:t>
      </w:r>
      <w:r>
        <w:rPr>
          <w:rFonts w:ascii="Times New Roman" w:eastAsia="Times New Roman" w:hAnsi="Times New Roman" w:cs="Times New Roman"/>
          <w:sz w:val="28"/>
        </w:rPr>
        <w:t xml:space="preserve"> – прогиб в радиальном направлении, </w:t>
      </w:r>
      <w:r>
        <w:rPr>
          <w:rFonts w:ascii="Times New Roman" w:eastAsia="Times New Roman" w:hAnsi="Times New Roman" w:cs="Times New Roman"/>
          <w:i/>
          <w:sz w:val="24"/>
        </w:rPr>
        <w:t>D</w:t>
      </w:r>
      <w:r>
        <w:rPr>
          <w:rFonts w:ascii="Times New Roman" w:eastAsia="Times New Roman" w:hAnsi="Times New Roman" w:cs="Times New Roman"/>
          <w:sz w:val="24"/>
        </w:rPr>
        <w:t>(</w:t>
      </w:r>
      <w:r>
        <w:rPr>
          <w:rFonts w:ascii="Times New Roman" w:eastAsia="Times New Roman" w:hAnsi="Times New Roman" w:cs="Times New Roman"/>
          <w:i/>
          <w:sz w:val="24"/>
        </w:rPr>
        <w:t>z</w:t>
      </w:r>
      <w:r>
        <w:rPr>
          <w:rFonts w:ascii="Times New Roman" w:eastAsia="Times New Roman" w:hAnsi="Times New Roman" w:cs="Times New Roman"/>
          <w:sz w:val="24"/>
        </w:rPr>
        <w:t xml:space="preserve">) </w:t>
      </w:r>
      <w:r>
        <w:rPr>
          <w:rFonts w:ascii="Segoe UI Symbol" w:eastAsia="Segoe UI Symbol" w:hAnsi="Segoe UI Symbol" w:cs="Segoe UI Symbol"/>
          <w:sz w:val="24"/>
        </w:rPr>
        <w:t xml:space="preserve"> </w:t>
      </w:r>
      <w:r>
        <w:rPr>
          <w:rFonts w:ascii="Times New Roman" w:eastAsia="Times New Roman" w:hAnsi="Times New Roman" w:cs="Times New Roman"/>
          <w:i/>
          <w:sz w:val="24"/>
        </w:rPr>
        <w:t>Eh</w:t>
      </w:r>
      <w:r>
        <w:rPr>
          <w:rFonts w:ascii="Times New Roman" w:eastAsia="Times New Roman" w:hAnsi="Times New Roman" w:cs="Times New Roman"/>
          <w:sz w:val="14"/>
        </w:rPr>
        <w:t>3</w:t>
      </w:r>
      <w:r>
        <w:rPr>
          <w:rFonts w:ascii="Times New Roman" w:eastAsia="Times New Roman" w:hAnsi="Times New Roman" w:cs="Times New Roman"/>
          <w:sz w:val="24"/>
        </w:rPr>
        <w:t>(</w:t>
      </w:r>
      <w:r>
        <w:rPr>
          <w:rFonts w:ascii="Times New Roman" w:eastAsia="Times New Roman" w:hAnsi="Times New Roman" w:cs="Times New Roman"/>
          <w:i/>
          <w:sz w:val="24"/>
        </w:rPr>
        <w:t>z</w:t>
      </w:r>
      <w:r>
        <w:rPr>
          <w:rFonts w:ascii="Times New Roman" w:eastAsia="Times New Roman" w:hAnsi="Times New Roman" w:cs="Times New Roman"/>
          <w:sz w:val="24"/>
        </w:rPr>
        <w:t>)</w:t>
      </w:r>
      <w:r>
        <w:rPr>
          <w:noProof/>
        </w:rPr>
        <mc:AlternateContent>
          <mc:Choice Requires="wpg">
            <w:drawing>
              <wp:inline distT="0" distB="0" distL="0" distR="0">
                <wp:extent cx="54792" cy="168688"/>
                <wp:effectExtent l="0" t="0" r="0" b="0"/>
                <wp:docPr id="912637" name="Group 912637"/>
                <wp:cNvGraphicFramePr/>
                <a:graphic xmlns:a="http://schemas.openxmlformats.org/drawingml/2006/main">
                  <a:graphicData uri="http://schemas.microsoft.com/office/word/2010/wordprocessingGroup">
                    <wpg:wgp>
                      <wpg:cNvGrpSpPr/>
                      <wpg:grpSpPr>
                        <a:xfrm>
                          <a:off x="0" y="0"/>
                          <a:ext cx="54792" cy="168688"/>
                          <a:chOff x="0" y="0"/>
                          <a:chExt cx="54792" cy="168688"/>
                        </a:xfrm>
                      </wpg:grpSpPr>
                      <wps:wsp>
                        <wps:cNvPr id="6816" name="Shape 6816"/>
                        <wps:cNvSpPr/>
                        <wps:spPr>
                          <a:xfrm>
                            <a:off x="0" y="0"/>
                            <a:ext cx="54792" cy="168688"/>
                          </a:xfrm>
                          <a:custGeom>
                            <a:avLst/>
                            <a:gdLst/>
                            <a:ahLst/>
                            <a:cxnLst/>
                            <a:rect l="0" t="0" r="0" b="0"/>
                            <a:pathLst>
                              <a:path w="54792" h="168688">
                                <a:moveTo>
                                  <a:pt x="54792" y="0"/>
                                </a:moveTo>
                                <a:lnTo>
                                  <a:pt x="0" y="168688"/>
                                </a:lnTo>
                              </a:path>
                            </a:pathLst>
                          </a:custGeom>
                          <a:ln w="6146"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2637" style="width:4.31436pt;height:13.2825pt;mso-position-horizontal-relative:char;mso-position-vertical-relative:line" coordsize="547,1686">
                <v:shape id="Shape 6816" style="position:absolute;width:547;height:1686;left:0;top:0;" coordsize="54792,168688" path="m54792,0l0,168688">
                  <v:stroke weight="0.483968pt" endcap="flat" joinstyle="round" on="true" color="#000000"/>
                  <v:fill on="false" color="#000000" opacity="0"/>
                </v:shape>
              </v:group>
            </w:pict>
          </mc:Fallback>
        </mc:AlternateContent>
      </w:r>
      <w:r>
        <w:rPr>
          <w:rFonts w:ascii="Times New Roman" w:eastAsia="Times New Roman" w:hAnsi="Times New Roman" w:cs="Times New Roman"/>
          <w:sz w:val="24"/>
        </w:rPr>
        <w:t>12(1</w:t>
      </w:r>
      <w:r>
        <w:rPr>
          <w:rFonts w:ascii="Segoe UI Symbol" w:eastAsia="Segoe UI Symbol" w:hAnsi="Segoe UI Symbol" w:cs="Segoe UI Symbol"/>
          <w:sz w:val="24"/>
        </w:rPr>
        <w:t></w:t>
      </w:r>
      <w:r>
        <w:rPr>
          <w:rFonts w:ascii="Segoe UI Symbol" w:eastAsia="Segoe UI Symbol" w:hAnsi="Segoe UI Symbol" w:cs="Segoe UI Symbol"/>
          <w:sz w:val="25"/>
        </w:rPr>
        <w:t></w:t>
      </w:r>
      <w:r>
        <w:rPr>
          <w:rFonts w:ascii="Times New Roman" w:eastAsia="Times New Roman" w:hAnsi="Times New Roman" w:cs="Times New Roman"/>
          <w:sz w:val="14"/>
        </w:rPr>
        <w:t>2</w:t>
      </w:r>
      <w:r>
        <w:rPr>
          <w:rFonts w:ascii="Times New Roman" w:eastAsia="Times New Roman" w:hAnsi="Times New Roman" w:cs="Times New Roman"/>
          <w:sz w:val="24"/>
        </w:rPr>
        <w:t>)</w:t>
      </w:r>
      <w:r>
        <w:rPr>
          <w:rFonts w:ascii="Times New Roman" w:eastAsia="Times New Roman" w:hAnsi="Times New Roman" w:cs="Times New Roman"/>
          <w:sz w:val="28"/>
        </w:rPr>
        <w:t xml:space="preserve"> –  цилиндрическая жесткость</w:t>
      </w:r>
      <w:r>
        <w:rPr>
          <w:rFonts w:ascii="Times New Roman" w:eastAsia="Times New Roman" w:hAnsi="Times New Roman" w:cs="Times New Roman"/>
          <w:sz w:val="28"/>
          <w:vertAlign w:val="subscript"/>
        </w:rPr>
        <w:t>,</w:t>
      </w:r>
      <w:r>
        <w:rPr>
          <w:rFonts w:ascii="Times New Roman" w:eastAsia="Times New Roman" w:hAnsi="Times New Roman" w:cs="Times New Roman"/>
          <w:sz w:val="28"/>
        </w:rPr>
        <w:t xml:space="preserve"> </w:t>
      </w:r>
      <w:r>
        <w:rPr>
          <w:rFonts w:ascii="Times New Roman" w:eastAsia="Times New Roman" w:hAnsi="Times New Roman" w:cs="Times New Roman"/>
          <w:i/>
          <w:sz w:val="24"/>
        </w:rPr>
        <w:t>E</w:t>
      </w:r>
      <w:r>
        <w:rPr>
          <w:rFonts w:ascii="Times New Roman" w:eastAsia="Times New Roman" w:hAnsi="Times New Roman" w:cs="Times New Roman"/>
          <w:sz w:val="28"/>
        </w:rPr>
        <w:t xml:space="preserve"> – модуль упругости, </w:t>
      </w:r>
      <w:r>
        <w:rPr>
          <w:rFonts w:ascii="Segoe UI Symbol" w:eastAsia="Segoe UI Symbol" w:hAnsi="Segoe UI Symbol" w:cs="Segoe UI Symbol"/>
          <w:sz w:val="25"/>
        </w:rPr>
        <w:t></w:t>
      </w:r>
      <w:r>
        <w:rPr>
          <w:rFonts w:ascii="Times New Roman" w:eastAsia="Times New Roman" w:hAnsi="Times New Roman" w:cs="Times New Roman"/>
          <w:sz w:val="28"/>
        </w:rPr>
        <w:t xml:space="preserve"> – коэффициент Пуассона, </w:t>
      </w:r>
      <w:r>
        <w:rPr>
          <w:rFonts w:ascii="Segoe UI Symbol" w:eastAsia="Segoe UI Symbol" w:hAnsi="Segoe UI Symbol" w:cs="Segoe UI Symbol"/>
          <w:sz w:val="25"/>
        </w:rPr>
        <w:t></w:t>
      </w:r>
      <w:r>
        <w:rPr>
          <w:rFonts w:ascii="Times New Roman" w:eastAsia="Times New Roman" w:hAnsi="Times New Roman" w:cs="Times New Roman"/>
          <w:sz w:val="28"/>
        </w:rPr>
        <w:t xml:space="preserve"> – коэффициент температурного расширения, </w:t>
      </w:r>
      <w:r>
        <w:rPr>
          <w:rFonts w:ascii="Times New Roman" w:eastAsia="Times New Roman" w:hAnsi="Times New Roman" w:cs="Times New Roman"/>
          <w:i/>
          <w:sz w:val="24"/>
        </w:rPr>
        <w:t>h</w:t>
      </w:r>
      <w:r>
        <w:rPr>
          <w:rFonts w:ascii="Times New Roman" w:eastAsia="Times New Roman" w:hAnsi="Times New Roman" w:cs="Times New Roman"/>
          <w:sz w:val="24"/>
        </w:rPr>
        <w:t>(</w:t>
      </w:r>
      <w:r>
        <w:rPr>
          <w:rFonts w:ascii="Times New Roman" w:eastAsia="Times New Roman" w:hAnsi="Times New Roman" w:cs="Times New Roman"/>
          <w:i/>
          <w:sz w:val="24"/>
        </w:rPr>
        <w:t>z</w:t>
      </w:r>
      <w:r>
        <w:rPr>
          <w:rFonts w:ascii="Times New Roman" w:eastAsia="Times New Roman" w:hAnsi="Times New Roman" w:cs="Times New Roman"/>
          <w:sz w:val="24"/>
        </w:rPr>
        <w:t>)</w:t>
      </w:r>
      <w:r>
        <w:rPr>
          <w:rFonts w:ascii="Times New Roman" w:eastAsia="Times New Roman" w:hAnsi="Times New Roman" w:cs="Times New Roman"/>
          <w:sz w:val="28"/>
        </w:rPr>
        <w:t xml:space="preserve"> – переменная толщина оболочки, </w:t>
      </w:r>
      <w:r>
        <w:rPr>
          <w:rFonts w:ascii="Times New Roman" w:eastAsia="Times New Roman" w:hAnsi="Times New Roman" w:cs="Times New Roman"/>
          <w:i/>
          <w:sz w:val="24"/>
        </w:rPr>
        <w:t xml:space="preserve">R </w:t>
      </w:r>
      <w:r>
        <w:rPr>
          <w:rFonts w:ascii="Times New Roman" w:eastAsia="Times New Roman" w:hAnsi="Times New Roman" w:cs="Times New Roman"/>
          <w:sz w:val="28"/>
        </w:rPr>
        <w:t xml:space="preserve">– </w:t>
      </w:r>
      <w:r>
        <w:rPr>
          <w:rFonts w:ascii="Times New Roman" w:eastAsia="Times New Roman" w:hAnsi="Times New Roman" w:cs="Times New Roman"/>
          <w:sz w:val="28"/>
        </w:rPr>
        <w:t xml:space="preserve">радиус срединной поверхности, </w:t>
      </w:r>
      <w:r>
        <w:rPr>
          <w:rFonts w:ascii="Times New Roman" w:eastAsia="Times New Roman" w:hAnsi="Times New Roman" w:cs="Times New Roman"/>
          <w:i/>
          <w:sz w:val="24"/>
        </w:rPr>
        <w:t xml:space="preserve">f </w:t>
      </w:r>
      <w:r>
        <w:rPr>
          <w:rFonts w:ascii="Times New Roman" w:eastAsia="Times New Roman" w:hAnsi="Times New Roman" w:cs="Times New Roman"/>
          <w:sz w:val="24"/>
        </w:rPr>
        <w:t>(</w:t>
      </w:r>
      <w:r>
        <w:rPr>
          <w:rFonts w:ascii="Times New Roman" w:eastAsia="Times New Roman" w:hAnsi="Times New Roman" w:cs="Times New Roman"/>
          <w:i/>
          <w:sz w:val="24"/>
        </w:rPr>
        <w:t>z</w:t>
      </w:r>
      <w:r>
        <w:rPr>
          <w:rFonts w:ascii="Times New Roman" w:eastAsia="Times New Roman" w:hAnsi="Times New Roman" w:cs="Times New Roman"/>
          <w:sz w:val="24"/>
        </w:rPr>
        <w:t>)</w:t>
      </w:r>
      <w:r>
        <w:rPr>
          <w:rFonts w:ascii="Times New Roman" w:eastAsia="Times New Roman" w:hAnsi="Times New Roman" w:cs="Times New Roman"/>
          <w:sz w:val="28"/>
        </w:rPr>
        <w:t xml:space="preserve"> – радиальный перепад температур между наружной и внутренней поверхностями, </w:t>
      </w:r>
      <w:r>
        <w:rPr>
          <w:rFonts w:ascii="Times New Roman" w:eastAsia="Times New Roman" w:hAnsi="Times New Roman" w:cs="Times New Roman"/>
          <w:i/>
          <w:sz w:val="24"/>
        </w:rPr>
        <w:t>F</w:t>
      </w:r>
      <w:r>
        <w:rPr>
          <w:rFonts w:ascii="Times New Roman" w:eastAsia="Times New Roman" w:hAnsi="Times New Roman" w:cs="Times New Roman"/>
          <w:sz w:val="24"/>
        </w:rPr>
        <w:t>(</w:t>
      </w:r>
      <w:r>
        <w:rPr>
          <w:rFonts w:ascii="Times New Roman" w:eastAsia="Times New Roman" w:hAnsi="Times New Roman" w:cs="Times New Roman"/>
          <w:i/>
          <w:sz w:val="24"/>
        </w:rPr>
        <w:t>z</w:t>
      </w:r>
      <w:r>
        <w:rPr>
          <w:rFonts w:ascii="Times New Roman" w:eastAsia="Times New Roman" w:hAnsi="Times New Roman" w:cs="Times New Roman"/>
          <w:sz w:val="24"/>
        </w:rPr>
        <w:t>)</w:t>
      </w:r>
      <w:r>
        <w:rPr>
          <w:rFonts w:ascii="Times New Roman" w:eastAsia="Times New Roman" w:hAnsi="Times New Roman" w:cs="Times New Roman"/>
          <w:sz w:val="28"/>
        </w:rPr>
        <w:t xml:space="preserve"> –  средняя по </w:t>
      </w:r>
    </w:p>
    <w:p w:rsidR="0052701D" w:rsidRDefault="00D40929">
      <w:pPr>
        <w:spacing w:after="5" w:line="323" w:lineRule="auto"/>
        <w:ind w:left="9" w:right="64"/>
        <w:jc w:val="both"/>
      </w:pPr>
      <w:r>
        <w:rPr>
          <w:rFonts w:ascii="Times New Roman" w:eastAsia="Times New Roman" w:hAnsi="Times New Roman" w:cs="Times New Roman"/>
          <w:sz w:val="28"/>
        </w:rPr>
        <w:t xml:space="preserve">толщине оболочки температура, </w:t>
      </w:r>
      <w:r>
        <w:rPr>
          <w:rFonts w:ascii="Times New Roman" w:eastAsia="Times New Roman" w:hAnsi="Times New Roman" w:cs="Times New Roman"/>
          <w:i/>
          <w:sz w:val="36"/>
          <w:vertAlign w:val="superscript"/>
        </w:rPr>
        <w:t>p</w:t>
      </w:r>
      <w:r>
        <w:rPr>
          <w:rFonts w:ascii="Times New Roman" w:eastAsia="Times New Roman" w:hAnsi="Times New Roman" w:cs="Times New Roman"/>
          <w:sz w:val="21"/>
          <w:vertAlign w:val="superscript"/>
        </w:rPr>
        <w:t xml:space="preserve">* </w:t>
      </w:r>
      <w:r>
        <w:rPr>
          <w:rFonts w:ascii="Segoe UI Symbol" w:eastAsia="Segoe UI Symbol" w:hAnsi="Segoe UI Symbol" w:cs="Segoe UI Symbol"/>
          <w:sz w:val="36"/>
          <w:vertAlign w:val="superscript"/>
        </w:rPr>
        <w:t xml:space="preserve"> </w:t>
      </w:r>
      <w:r>
        <w:rPr>
          <w:rFonts w:ascii="Times New Roman" w:eastAsia="Times New Roman" w:hAnsi="Times New Roman" w:cs="Times New Roman"/>
          <w:i/>
          <w:sz w:val="36"/>
          <w:vertAlign w:val="superscript"/>
        </w:rPr>
        <w:t xml:space="preserve">p </w:t>
      </w:r>
      <w:r>
        <w:rPr>
          <w:rFonts w:ascii="Segoe UI Symbol" w:eastAsia="Segoe UI Symbol" w:hAnsi="Segoe UI Symbol" w:cs="Segoe UI Symbol"/>
          <w:sz w:val="36"/>
          <w:vertAlign w:val="superscript"/>
        </w:rPr>
        <w:t></w:t>
      </w:r>
      <w:r>
        <w:rPr>
          <w:rFonts w:ascii="Segoe UI Symbol" w:eastAsia="Segoe UI Symbol" w:hAnsi="Segoe UI Symbol" w:cs="Segoe UI Symbol"/>
          <w:sz w:val="38"/>
          <w:vertAlign w:val="superscript"/>
        </w:rPr>
        <w:t></w:t>
      </w:r>
      <w:r>
        <w:rPr>
          <w:rFonts w:ascii="Times New Roman" w:eastAsia="Times New Roman" w:hAnsi="Times New Roman" w:cs="Times New Roman"/>
          <w:i/>
          <w:sz w:val="36"/>
          <w:vertAlign w:val="superscript"/>
        </w:rPr>
        <w:t>S</w:t>
      </w:r>
      <w:r>
        <w:rPr>
          <w:rFonts w:ascii="Times New Roman" w:eastAsia="Times New Roman" w:hAnsi="Times New Roman" w:cs="Times New Roman"/>
          <w:sz w:val="21"/>
          <w:vertAlign w:val="subscript"/>
        </w:rPr>
        <w:t xml:space="preserve">z </w:t>
      </w:r>
      <w:r>
        <w:rPr>
          <w:noProof/>
        </w:rPr>
        <mc:AlternateContent>
          <mc:Choice Requires="wpg">
            <w:drawing>
              <wp:inline distT="0" distB="0" distL="0" distR="0">
                <wp:extent cx="49505" cy="152098"/>
                <wp:effectExtent l="0" t="0" r="0" b="0"/>
                <wp:docPr id="912638" name="Group 912638"/>
                <wp:cNvGraphicFramePr/>
                <a:graphic xmlns:a="http://schemas.openxmlformats.org/drawingml/2006/main">
                  <a:graphicData uri="http://schemas.microsoft.com/office/word/2010/wordprocessingGroup">
                    <wpg:wgp>
                      <wpg:cNvGrpSpPr/>
                      <wpg:grpSpPr>
                        <a:xfrm>
                          <a:off x="0" y="0"/>
                          <a:ext cx="49505" cy="152098"/>
                          <a:chOff x="0" y="0"/>
                          <a:chExt cx="49505" cy="152098"/>
                        </a:xfrm>
                      </wpg:grpSpPr>
                      <wps:wsp>
                        <wps:cNvPr id="6887" name="Shape 6887"/>
                        <wps:cNvSpPr/>
                        <wps:spPr>
                          <a:xfrm>
                            <a:off x="0" y="0"/>
                            <a:ext cx="49505" cy="152098"/>
                          </a:xfrm>
                          <a:custGeom>
                            <a:avLst/>
                            <a:gdLst/>
                            <a:ahLst/>
                            <a:cxnLst/>
                            <a:rect l="0" t="0" r="0" b="0"/>
                            <a:pathLst>
                              <a:path w="49505" h="152098">
                                <a:moveTo>
                                  <a:pt x="49505" y="0"/>
                                </a:moveTo>
                                <a:lnTo>
                                  <a:pt x="0" y="152098"/>
                                </a:lnTo>
                              </a:path>
                            </a:pathLst>
                          </a:custGeom>
                          <a:ln w="6146"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2638" style="width:3.89801pt;height:11.9762pt;mso-position-horizontal-relative:char;mso-position-vertical-relative:line" coordsize="495,1520">
                <v:shape id="Shape 6887" style="position:absolute;width:495;height:1520;left:0;top:0;" coordsize="49505,152098" path="m49505,0l0,152098">
                  <v:stroke weight="0.483968pt" endcap="flat" joinstyle="round" on="true" color="#000000"/>
                  <v:fill on="false" color="#000000" opacity="0"/>
                </v:shape>
              </v:group>
            </w:pict>
          </mc:Fallback>
        </mc:AlternateContent>
      </w:r>
      <w:r>
        <w:rPr>
          <w:rFonts w:ascii="Times New Roman" w:eastAsia="Times New Roman" w:hAnsi="Times New Roman" w:cs="Times New Roman"/>
          <w:i/>
          <w:sz w:val="36"/>
          <w:vertAlign w:val="superscript"/>
        </w:rPr>
        <w:t>h</w:t>
      </w:r>
      <w:r>
        <w:rPr>
          <w:rFonts w:ascii="Times New Roman" w:eastAsia="Times New Roman" w:hAnsi="Times New Roman" w:cs="Times New Roman"/>
          <w:sz w:val="28"/>
        </w:rPr>
        <w:t xml:space="preserve">,  </w:t>
      </w:r>
      <w:r>
        <w:rPr>
          <w:rFonts w:ascii="Times New Roman" w:eastAsia="Times New Roman" w:hAnsi="Times New Roman" w:cs="Times New Roman"/>
          <w:i/>
          <w:sz w:val="37"/>
          <w:vertAlign w:val="superscript"/>
        </w:rPr>
        <w:t>S</w:t>
      </w:r>
      <w:r>
        <w:rPr>
          <w:rFonts w:ascii="Times New Roman" w:eastAsia="Times New Roman" w:hAnsi="Times New Roman" w:cs="Times New Roman"/>
          <w:i/>
          <w:vertAlign w:val="subscript"/>
        </w:rPr>
        <w:t xml:space="preserve">z </w:t>
      </w:r>
      <w:r>
        <w:rPr>
          <w:rFonts w:ascii="Times New Roman" w:eastAsia="Times New Roman" w:hAnsi="Times New Roman" w:cs="Times New Roman"/>
          <w:sz w:val="28"/>
        </w:rPr>
        <w:t xml:space="preserve">–  продольная осевая сила, </w:t>
      </w:r>
      <w:r>
        <w:rPr>
          <w:rFonts w:ascii="Times New Roman" w:eastAsia="Times New Roman" w:hAnsi="Times New Roman" w:cs="Times New Roman"/>
          <w:i/>
          <w:sz w:val="36"/>
          <w:vertAlign w:val="superscript"/>
        </w:rPr>
        <w:t xml:space="preserve">p </w:t>
      </w:r>
      <w:r>
        <w:rPr>
          <w:rFonts w:ascii="Times New Roman" w:eastAsia="Times New Roman" w:hAnsi="Times New Roman" w:cs="Times New Roman"/>
          <w:sz w:val="28"/>
        </w:rPr>
        <w:t xml:space="preserve">–  радиальная нагрузка. </w:t>
      </w:r>
    </w:p>
    <w:p w:rsidR="0052701D" w:rsidRDefault="00D40929">
      <w:pPr>
        <w:spacing w:after="5" w:line="216" w:lineRule="auto"/>
        <w:ind w:left="1785" w:right="64" w:hanging="1242"/>
        <w:jc w:val="both"/>
      </w:pPr>
      <w:r>
        <w:rPr>
          <w:rFonts w:ascii="Times New Roman" w:eastAsia="Times New Roman" w:hAnsi="Times New Roman" w:cs="Times New Roman"/>
          <w:sz w:val="28"/>
        </w:rPr>
        <w:t>Примем следующие зако</w:t>
      </w:r>
      <w:r>
        <w:rPr>
          <w:rFonts w:ascii="Times New Roman" w:eastAsia="Times New Roman" w:hAnsi="Times New Roman" w:cs="Times New Roman"/>
          <w:sz w:val="28"/>
        </w:rPr>
        <w:t xml:space="preserve">ны изменения характеристик в зависимости от </w:t>
      </w:r>
      <w:r>
        <w:rPr>
          <w:rFonts w:ascii="Times New Roman" w:eastAsia="Times New Roman" w:hAnsi="Times New Roman" w:cs="Times New Roman"/>
          <w:i/>
          <w:sz w:val="24"/>
        </w:rPr>
        <w:t>z</w:t>
      </w:r>
      <w:r>
        <w:rPr>
          <w:rFonts w:ascii="Times New Roman" w:eastAsia="Times New Roman" w:hAnsi="Times New Roman" w:cs="Times New Roman"/>
          <w:sz w:val="28"/>
        </w:rPr>
        <w:t xml:space="preserve"> </w:t>
      </w:r>
      <w:r>
        <w:rPr>
          <w:rFonts w:ascii="Times New Roman" w:eastAsia="Times New Roman" w:hAnsi="Times New Roman" w:cs="Times New Roman"/>
          <w:i/>
          <w:sz w:val="24"/>
        </w:rPr>
        <w:t>h</w:t>
      </w:r>
      <w:r>
        <w:rPr>
          <w:rFonts w:ascii="Segoe UI Symbol" w:eastAsia="Segoe UI Symbol" w:hAnsi="Segoe UI Symbol" w:cs="Segoe UI Symbol"/>
          <w:sz w:val="32"/>
        </w:rPr>
        <w:t></w:t>
      </w:r>
      <w:r>
        <w:rPr>
          <w:rFonts w:ascii="Times New Roman" w:eastAsia="Times New Roman" w:hAnsi="Times New Roman" w:cs="Times New Roman"/>
          <w:i/>
          <w:sz w:val="24"/>
        </w:rPr>
        <w:t>z</w:t>
      </w:r>
      <w:r>
        <w:rPr>
          <w:rFonts w:ascii="Segoe UI Symbol" w:eastAsia="Segoe UI Symbol" w:hAnsi="Segoe UI Symbol" w:cs="Segoe UI Symbol"/>
          <w:sz w:val="32"/>
        </w:rPr>
        <w:t></w:t>
      </w:r>
      <w:r>
        <w:rPr>
          <w:rFonts w:ascii="Segoe UI Symbol" w:eastAsia="Segoe UI Symbol" w:hAnsi="Segoe UI Symbol" w:cs="Segoe UI Symbol"/>
          <w:sz w:val="24"/>
        </w:rPr>
        <w:t></w:t>
      </w:r>
      <w:r>
        <w:rPr>
          <w:rFonts w:ascii="Times New Roman" w:eastAsia="Times New Roman" w:hAnsi="Times New Roman" w:cs="Times New Roman"/>
          <w:i/>
          <w:sz w:val="24"/>
        </w:rPr>
        <w:t>h</w:t>
      </w:r>
      <w:r>
        <w:rPr>
          <w:rFonts w:ascii="Times New Roman" w:eastAsia="Times New Roman" w:hAnsi="Times New Roman" w:cs="Times New Roman"/>
          <w:vertAlign w:val="subscript"/>
        </w:rPr>
        <w:t xml:space="preserve">0 </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vertAlign w:val="subscript"/>
        </w:rPr>
        <w:t>1</w:t>
      </w:r>
      <w:r>
        <w:rPr>
          <w:rFonts w:ascii="Times New Roman" w:eastAsia="Times New Roman" w:hAnsi="Times New Roman" w:cs="Times New Roman"/>
          <w:i/>
          <w:sz w:val="24"/>
        </w:rPr>
        <w:t>z</w:t>
      </w:r>
      <w:r>
        <w:rPr>
          <w:rFonts w:ascii="Times New Roman" w:eastAsia="Times New Roman" w:hAnsi="Times New Roman" w:cs="Times New Roman"/>
          <w:sz w:val="24"/>
        </w:rPr>
        <w:t xml:space="preserve">, </w:t>
      </w:r>
      <w:r>
        <w:rPr>
          <w:rFonts w:ascii="Segoe UI Symbol" w:eastAsia="Segoe UI Symbol" w:hAnsi="Segoe UI Symbol" w:cs="Segoe UI Symbol"/>
          <w:sz w:val="26"/>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Times New Roman" w:eastAsia="Times New Roman" w:hAnsi="Times New Roman" w:cs="Times New Roman"/>
          <w:sz w:val="24"/>
        </w:rPr>
        <w:t xml:space="preserve">1, </w:t>
      </w:r>
      <w:r>
        <w:rPr>
          <w:rFonts w:ascii="Times New Roman" w:eastAsia="Times New Roman" w:hAnsi="Times New Roman" w:cs="Times New Roman"/>
          <w:i/>
          <w:sz w:val="24"/>
        </w:rPr>
        <w:t>D</w:t>
      </w:r>
      <w:r>
        <w:rPr>
          <w:rFonts w:ascii="Segoe UI Symbol" w:eastAsia="Segoe UI Symbol" w:hAnsi="Segoe UI Symbol" w:cs="Segoe UI Symbol"/>
          <w:sz w:val="32"/>
        </w:rPr>
        <w:t></w:t>
      </w:r>
      <w:r>
        <w:rPr>
          <w:rFonts w:ascii="Times New Roman" w:eastAsia="Times New Roman" w:hAnsi="Times New Roman" w:cs="Times New Roman"/>
          <w:i/>
          <w:sz w:val="24"/>
        </w:rPr>
        <w:t>z</w:t>
      </w:r>
      <w:r>
        <w:rPr>
          <w:rFonts w:ascii="Segoe UI Symbol" w:eastAsia="Segoe UI Symbol" w:hAnsi="Segoe UI Symbol" w:cs="Segoe UI Symbol"/>
          <w:sz w:val="32"/>
        </w:rPr>
        <w:t></w:t>
      </w:r>
      <w:r>
        <w:rPr>
          <w:rFonts w:ascii="Segoe UI Symbol" w:eastAsia="Segoe UI Symbol" w:hAnsi="Segoe UI Symbol" w:cs="Segoe UI Symbol"/>
          <w:sz w:val="24"/>
        </w:rPr>
        <w:t></w:t>
      </w:r>
      <w:r>
        <w:rPr>
          <w:rFonts w:ascii="Times New Roman" w:eastAsia="Times New Roman" w:hAnsi="Times New Roman" w:cs="Times New Roman"/>
          <w:i/>
          <w:sz w:val="24"/>
        </w:rPr>
        <w:t>E</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vertAlign w:val="subscript"/>
        </w:rPr>
        <w:t xml:space="preserve">0 </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vertAlign w:val="subscript"/>
        </w:rPr>
        <w:t>1</w:t>
      </w:r>
      <w:r>
        <w:rPr>
          <w:rFonts w:ascii="Times New Roman" w:eastAsia="Times New Roman" w:hAnsi="Times New Roman" w:cs="Times New Roman"/>
          <w:i/>
          <w:sz w:val="24"/>
        </w:rPr>
        <w:t>z</w:t>
      </w:r>
      <w:r>
        <w:rPr>
          <w:rFonts w:ascii="Segoe UI Symbol" w:eastAsia="Segoe UI Symbol" w:hAnsi="Segoe UI Symbol" w:cs="Segoe UI Symbol"/>
          <w:sz w:val="32"/>
        </w:rPr>
        <w:t></w:t>
      </w:r>
      <w:r>
        <w:rPr>
          <w:rFonts w:ascii="Times New Roman" w:eastAsia="Times New Roman" w:hAnsi="Times New Roman" w:cs="Times New Roman"/>
          <w:vertAlign w:val="superscript"/>
        </w:rPr>
        <w:t>3</w:t>
      </w:r>
      <w:r>
        <w:rPr>
          <w:noProof/>
        </w:rPr>
        <mc:AlternateContent>
          <mc:Choice Requires="wpg">
            <w:drawing>
              <wp:inline distT="0" distB="0" distL="0" distR="0">
                <wp:extent cx="59675" cy="188028"/>
                <wp:effectExtent l="0" t="0" r="0" b="0"/>
                <wp:docPr id="912639" name="Group 912639"/>
                <wp:cNvGraphicFramePr/>
                <a:graphic xmlns:a="http://schemas.openxmlformats.org/drawingml/2006/main">
                  <a:graphicData uri="http://schemas.microsoft.com/office/word/2010/wordprocessingGroup">
                    <wpg:wgp>
                      <wpg:cNvGrpSpPr/>
                      <wpg:grpSpPr>
                        <a:xfrm>
                          <a:off x="0" y="0"/>
                          <a:ext cx="59675" cy="188028"/>
                          <a:chOff x="0" y="0"/>
                          <a:chExt cx="59675" cy="188028"/>
                        </a:xfrm>
                      </wpg:grpSpPr>
                      <wps:wsp>
                        <wps:cNvPr id="6919" name="Shape 6919"/>
                        <wps:cNvSpPr/>
                        <wps:spPr>
                          <a:xfrm>
                            <a:off x="0" y="0"/>
                            <a:ext cx="59675" cy="188028"/>
                          </a:xfrm>
                          <a:custGeom>
                            <a:avLst/>
                            <a:gdLst/>
                            <a:ahLst/>
                            <a:cxnLst/>
                            <a:rect l="0" t="0" r="0" b="0"/>
                            <a:pathLst>
                              <a:path w="59675" h="188028">
                                <a:moveTo>
                                  <a:pt x="59675" y="0"/>
                                </a:moveTo>
                                <a:lnTo>
                                  <a:pt x="0" y="188028"/>
                                </a:lnTo>
                              </a:path>
                            </a:pathLst>
                          </a:custGeom>
                          <a:ln w="6116"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2639" style="width:4.69885pt;height:14.8054pt;mso-position-horizontal-relative:char;mso-position-vertical-relative:line" coordsize="596,1880">
                <v:shape id="Shape 6919" style="position:absolute;width:596;height:1880;left:0;top:0;" coordsize="59675,188028" path="m59675,0l0,188028">
                  <v:stroke weight="0.481582pt" endcap="flat" joinstyle="round" on="true" color="#000000"/>
                  <v:fill on="false" color="#000000" opacity="0"/>
                </v:shape>
              </v:group>
            </w:pict>
          </mc:Fallback>
        </mc:AlternateContent>
      </w:r>
      <w:r>
        <w:rPr>
          <w:rFonts w:ascii="Times New Roman" w:eastAsia="Times New Roman" w:hAnsi="Times New Roman" w:cs="Times New Roman"/>
          <w:sz w:val="24"/>
        </w:rPr>
        <w:t>12</w:t>
      </w:r>
      <w:r>
        <w:rPr>
          <w:rFonts w:ascii="Segoe UI Symbol" w:eastAsia="Segoe UI Symbol" w:hAnsi="Segoe UI Symbol" w:cs="Segoe UI Symbol"/>
          <w:sz w:val="39"/>
        </w:rPr>
        <w:t></w:t>
      </w:r>
      <w:r>
        <w:rPr>
          <w:rFonts w:ascii="Times New Roman" w:eastAsia="Times New Roman" w:hAnsi="Times New Roman" w:cs="Times New Roman"/>
          <w:sz w:val="24"/>
        </w:rPr>
        <w:t>1</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vertAlign w:val="superscript"/>
        </w:rPr>
        <w:t>2</w:t>
      </w:r>
      <w:r>
        <w:rPr>
          <w:rFonts w:ascii="Segoe UI Symbol" w:eastAsia="Segoe UI Symbol" w:hAnsi="Segoe UI Symbol" w:cs="Segoe UI Symbol"/>
          <w:sz w:val="39"/>
        </w:rPr>
        <w:t></w:t>
      </w:r>
      <w:r>
        <w:rPr>
          <w:rFonts w:ascii="Times New Roman" w:eastAsia="Times New Roman" w:hAnsi="Times New Roman" w:cs="Times New Roman"/>
          <w:sz w:val="24"/>
        </w:rPr>
        <w:t>,</w:t>
      </w:r>
      <w:r>
        <w:rPr>
          <w:rFonts w:ascii="Times New Roman" w:eastAsia="Times New Roman" w:hAnsi="Times New Roman" w:cs="Times New Roman"/>
          <w:sz w:val="34"/>
          <w:vertAlign w:val="subscript"/>
        </w:rPr>
        <w:t xml:space="preserve"> </w:t>
      </w:r>
    </w:p>
    <w:p w:rsidR="0052701D" w:rsidRDefault="00D40929">
      <w:pPr>
        <w:spacing w:after="14" w:line="249" w:lineRule="auto"/>
        <w:ind w:left="10" w:right="10" w:hanging="10"/>
        <w:jc w:val="center"/>
      </w:pPr>
      <w:r>
        <w:rPr>
          <w:rFonts w:ascii="Times New Roman" w:eastAsia="Times New Roman" w:hAnsi="Times New Roman" w:cs="Times New Roman"/>
          <w:sz w:val="28"/>
        </w:rPr>
        <w:t xml:space="preserve">                                         </w:t>
      </w:r>
      <w:r>
        <w:rPr>
          <w:rFonts w:ascii="Times New Roman" w:eastAsia="Times New Roman" w:hAnsi="Times New Roman" w:cs="Times New Roman"/>
          <w:i/>
          <w:sz w:val="37"/>
          <w:vertAlign w:val="superscript"/>
        </w:rPr>
        <w:t xml:space="preserve">f </w:t>
      </w:r>
      <w:r>
        <w:rPr>
          <w:rFonts w:ascii="Segoe UI Symbol" w:eastAsia="Segoe UI Symbol" w:hAnsi="Segoe UI Symbol" w:cs="Segoe UI Symbol"/>
          <w:sz w:val="32"/>
        </w:rPr>
        <w:t></w:t>
      </w:r>
      <w:r>
        <w:rPr>
          <w:rFonts w:ascii="Times New Roman" w:eastAsia="Times New Roman" w:hAnsi="Times New Roman" w:cs="Times New Roman"/>
          <w:i/>
          <w:sz w:val="32"/>
          <w:vertAlign w:val="superscript"/>
        </w:rPr>
        <w:t>z</w:t>
      </w:r>
      <w:r>
        <w:rPr>
          <w:rFonts w:ascii="Segoe UI Symbol" w:eastAsia="Segoe UI Symbol" w:hAnsi="Segoe UI Symbol" w:cs="Segoe UI Symbol"/>
          <w:sz w:val="32"/>
        </w:rPr>
        <w:t></w:t>
      </w:r>
      <w:r>
        <w:rPr>
          <w:rFonts w:ascii="Segoe UI Symbol" w:eastAsia="Segoe UI Symbol" w:hAnsi="Segoe UI Symbol" w:cs="Segoe UI Symbol"/>
          <w:sz w:val="32"/>
          <w:vertAlign w:val="superscript"/>
        </w:rPr>
        <w:t></w:t>
      </w:r>
      <w:r>
        <w:rPr>
          <w:rFonts w:ascii="Segoe UI Symbol" w:eastAsia="Segoe UI Symbol" w:hAnsi="Segoe UI Symbol" w:cs="Segoe UI Symbol"/>
          <w:sz w:val="39"/>
          <w:vertAlign w:val="superscript"/>
        </w:rPr>
        <w:t></w:t>
      </w:r>
      <w:r>
        <w:rPr>
          <w:rFonts w:ascii="Times New Roman" w:eastAsia="Times New Roman" w:hAnsi="Times New Roman" w:cs="Times New Roman"/>
          <w:sz w:val="21"/>
          <w:vertAlign w:val="subscript"/>
        </w:rPr>
        <w:t xml:space="preserve">0 </w:t>
      </w:r>
      <w:r>
        <w:rPr>
          <w:rFonts w:ascii="Segoe UI Symbol" w:eastAsia="Segoe UI Symbol" w:hAnsi="Segoe UI Symbol" w:cs="Segoe UI Symbol"/>
          <w:sz w:val="32"/>
          <w:vertAlign w:val="superscript"/>
        </w:rPr>
        <w:t></w:t>
      </w:r>
      <w:r>
        <w:rPr>
          <w:rFonts w:ascii="Segoe UI Symbol" w:eastAsia="Segoe UI Symbol" w:hAnsi="Segoe UI Symbol" w:cs="Segoe UI Symbol"/>
          <w:sz w:val="39"/>
          <w:vertAlign w:val="superscript"/>
        </w:rPr>
        <w:t></w:t>
      </w:r>
      <w:r>
        <w:rPr>
          <w:rFonts w:ascii="Times New Roman" w:eastAsia="Times New Roman" w:hAnsi="Times New Roman" w:cs="Times New Roman"/>
          <w:sz w:val="21"/>
          <w:vertAlign w:val="subscript"/>
        </w:rPr>
        <w:t>1</w:t>
      </w:r>
      <w:r>
        <w:rPr>
          <w:rFonts w:ascii="Times New Roman" w:eastAsia="Times New Roman" w:hAnsi="Times New Roman" w:cs="Times New Roman"/>
          <w:i/>
          <w:sz w:val="32"/>
          <w:vertAlign w:val="superscript"/>
        </w:rPr>
        <w:t xml:space="preserve">z </w:t>
      </w:r>
      <w:r>
        <w:rPr>
          <w:rFonts w:ascii="Segoe UI Symbol" w:eastAsia="Segoe UI Symbol" w:hAnsi="Segoe UI Symbol" w:cs="Segoe UI Symbol"/>
          <w:sz w:val="32"/>
          <w:vertAlign w:val="superscript"/>
        </w:rPr>
        <w:t></w:t>
      </w:r>
      <w:r>
        <w:rPr>
          <w:rFonts w:ascii="Segoe UI Symbol" w:eastAsia="Segoe UI Symbol" w:hAnsi="Segoe UI Symbol" w:cs="Segoe UI Symbol"/>
          <w:sz w:val="39"/>
          <w:vertAlign w:val="superscript"/>
        </w:rPr>
        <w:t></w:t>
      </w:r>
      <w:r>
        <w:rPr>
          <w:rFonts w:ascii="Times New Roman" w:eastAsia="Times New Roman" w:hAnsi="Times New Roman" w:cs="Times New Roman"/>
          <w:sz w:val="21"/>
          <w:vertAlign w:val="subscript"/>
        </w:rPr>
        <w:t>2</w:t>
      </w:r>
      <w:r>
        <w:rPr>
          <w:rFonts w:ascii="Times New Roman" w:eastAsia="Times New Roman" w:hAnsi="Times New Roman" w:cs="Times New Roman"/>
          <w:i/>
          <w:sz w:val="32"/>
          <w:vertAlign w:val="superscript"/>
        </w:rPr>
        <w:t>z</w:t>
      </w:r>
      <w:r>
        <w:rPr>
          <w:rFonts w:ascii="Times New Roman" w:eastAsia="Times New Roman" w:hAnsi="Times New Roman" w:cs="Times New Roman"/>
          <w:sz w:val="21"/>
          <w:vertAlign w:val="superscript"/>
        </w:rPr>
        <w:t>2</w:t>
      </w:r>
      <w:r>
        <w:rPr>
          <w:rFonts w:ascii="Times New Roman" w:eastAsia="Times New Roman" w:hAnsi="Times New Roman" w:cs="Times New Roman"/>
          <w:sz w:val="32"/>
          <w:vertAlign w:val="superscript"/>
        </w:rPr>
        <w:t>,</w:t>
      </w:r>
      <w:r>
        <w:rPr>
          <w:rFonts w:ascii="Times New Roman" w:eastAsia="Times New Roman" w:hAnsi="Times New Roman" w:cs="Times New Roman"/>
          <w:i/>
          <w:sz w:val="32"/>
          <w:vertAlign w:val="superscript"/>
        </w:rPr>
        <w:t>F</w:t>
      </w:r>
      <w:r>
        <w:rPr>
          <w:rFonts w:ascii="Segoe UI Symbol" w:eastAsia="Segoe UI Symbol" w:hAnsi="Segoe UI Symbol" w:cs="Segoe UI Symbol"/>
          <w:sz w:val="32"/>
        </w:rPr>
        <w:t></w:t>
      </w:r>
      <w:r>
        <w:rPr>
          <w:rFonts w:ascii="Times New Roman" w:eastAsia="Times New Roman" w:hAnsi="Times New Roman" w:cs="Times New Roman"/>
          <w:i/>
          <w:sz w:val="32"/>
          <w:vertAlign w:val="superscript"/>
        </w:rPr>
        <w:t>z</w:t>
      </w:r>
      <w:r>
        <w:rPr>
          <w:rFonts w:ascii="Segoe UI Symbol" w:eastAsia="Segoe UI Symbol" w:hAnsi="Segoe UI Symbol" w:cs="Segoe UI Symbol"/>
          <w:sz w:val="32"/>
        </w:rPr>
        <w:t></w:t>
      </w:r>
      <w:r>
        <w:rPr>
          <w:rFonts w:ascii="Segoe UI Symbol" w:eastAsia="Segoe UI Symbol" w:hAnsi="Segoe UI Symbol" w:cs="Segoe UI Symbol"/>
          <w:sz w:val="32"/>
          <w:vertAlign w:val="superscript"/>
        </w:rPr>
        <w:t></w:t>
      </w:r>
      <w:r>
        <w:rPr>
          <w:rFonts w:ascii="Segoe UI Symbol" w:eastAsia="Segoe UI Symbol" w:hAnsi="Segoe UI Symbol" w:cs="Segoe UI Symbol"/>
          <w:sz w:val="39"/>
          <w:vertAlign w:val="superscript"/>
        </w:rPr>
        <w:t></w:t>
      </w:r>
      <w:r>
        <w:rPr>
          <w:rFonts w:ascii="Times New Roman" w:eastAsia="Times New Roman" w:hAnsi="Times New Roman" w:cs="Times New Roman"/>
          <w:sz w:val="21"/>
          <w:vertAlign w:val="subscript"/>
        </w:rPr>
        <w:t xml:space="preserve">0 </w:t>
      </w:r>
      <w:r>
        <w:rPr>
          <w:rFonts w:ascii="Segoe UI Symbol" w:eastAsia="Segoe UI Symbol" w:hAnsi="Segoe UI Symbol" w:cs="Segoe UI Symbol"/>
          <w:sz w:val="32"/>
          <w:vertAlign w:val="superscript"/>
        </w:rPr>
        <w:t></w:t>
      </w:r>
      <w:r>
        <w:rPr>
          <w:rFonts w:ascii="Segoe UI Symbol" w:eastAsia="Segoe UI Symbol" w:hAnsi="Segoe UI Symbol" w:cs="Segoe UI Symbol"/>
          <w:sz w:val="39"/>
          <w:vertAlign w:val="superscript"/>
        </w:rPr>
        <w:t></w:t>
      </w:r>
      <w:r>
        <w:rPr>
          <w:rFonts w:ascii="Times New Roman" w:eastAsia="Times New Roman" w:hAnsi="Times New Roman" w:cs="Times New Roman"/>
          <w:sz w:val="21"/>
          <w:vertAlign w:val="subscript"/>
        </w:rPr>
        <w:t>1</w:t>
      </w:r>
      <w:r>
        <w:rPr>
          <w:rFonts w:ascii="Times New Roman" w:eastAsia="Times New Roman" w:hAnsi="Times New Roman" w:cs="Times New Roman"/>
          <w:i/>
          <w:sz w:val="32"/>
          <w:vertAlign w:val="superscript"/>
        </w:rPr>
        <w:t>z</w:t>
      </w:r>
      <w:r>
        <w:rPr>
          <w:rFonts w:ascii="Times New Roman" w:eastAsia="Times New Roman" w:hAnsi="Times New Roman" w:cs="Times New Roman"/>
          <w:sz w:val="28"/>
        </w:rPr>
        <w:t xml:space="preserve">.                           (4) </w:t>
      </w:r>
    </w:p>
    <w:p w:rsidR="0052701D" w:rsidRDefault="00D40929">
      <w:pPr>
        <w:spacing w:after="241" w:line="271" w:lineRule="auto"/>
        <w:ind w:left="9" w:right="64" w:firstLine="543"/>
        <w:jc w:val="both"/>
      </w:pPr>
      <w:r>
        <w:rPr>
          <w:rFonts w:ascii="Times New Roman" w:eastAsia="Times New Roman" w:hAnsi="Times New Roman" w:cs="Times New Roman"/>
          <w:sz w:val="28"/>
        </w:rPr>
        <w:lastRenderedPageBreak/>
        <w:t xml:space="preserve">Выполнив частичную дискретизацию дифференциального уравнения (1), получим </w:t>
      </w:r>
    </w:p>
    <w:p w:rsidR="0052701D" w:rsidRDefault="00D40929">
      <w:pPr>
        <w:tabs>
          <w:tab w:val="center" w:pos="3264"/>
          <w:tab w:val="center" w:pos="5390"/>
          <w:tab w:val="center" w:pos="7213"/>
        </w:tabs>
        <w:spacing w:after="194" w:line="248" w:lineRule="auto"/>
      </w:pPr>
      <w:r>
        <w:rPr>
          <w:noProof/>
        </w:rPr>
        <mc:AlternateContent>
          <mc:Choice Requires="wpg">
            <w:drawing>
              <wp:anchor distT="0" distB="0" distL="114300" distR="114300" simplePos="0" relativeHeight="251664384" behindDoc="0" locked="0" layoutInCell="1" allowOverlap="1">
                <wp:simplePos x="0" y="0"/>
                <wp:positionH relativeFrom="margin">
                  <wp:posOffset>1093508</wp:posOffset>
                </wp:positionH>
                <wp:positionV relativeFrom="paragraph">
                  <wp:posOffset>128817</wp:posOffset>
                </wp:positionV>
                <wp:extent cx="236960" cy="6253"/>
                <wp:effectExtent l="0" t="0" r="0" b="0"/>
                <wp:wrapSquare wrapText="bothSides"/>
                <wp:docPr id="914176" name="Group 914176"/>
                <wp:cNvGraphicFramePr/>
                <a:graphic xmlns:a="http://schemas.openxmlformats.org/drawingml/2006/main">
                  <a:graphicData uri="http://schemas.microsoft.com/office/word/2010/wordprocessingGroup">
                    <wpg:wgp>
                      <wpg:cNvGrpSpPr/>
                      <wpg:grpSpPr>
                        <a:xfrm>
                          <a:off x="0" y="0"/>
                          <a:ext cx="236960" cy="6253"/>
                          <a:chOff x="0" y="0"/>
                          <a:chExt cx="236960" cy="6253"/>
                        </a:xfrm>
                      </wpg:grpSpPr>
                      <wps:wsp>
                        <wps:cNvPr id="6996" name="Shape 6996"/>
                        <wps:cNvSpPr/>
                        <wps:spPr>
                          <a:xfrm>
                            <a:off x="0" y="0"/>
                            <a:ext cx="236960" cy="0"/>
                          </a:xfrm>
                          <a:custGeom>
                            <a:avLst/>
                            <a:gdLst/>
                            <a:ahLst/>
                            <a:cxnLst/>
                            <a:rect l="0" t="0" r="0" b="0"/>
                            <a:pathLst>
                              <a:path w="236960">
                                <a:moveTo>
                                  <a:pt x="0" y="0"/>
                                </a:moveTo>
                                <a:lnTo>
                                  <a:pt x="236960" y="0"/>
                                </a:lnTo>
                              </a:path>
                            </a:pathLst>
                          </a:custGeom>
                          <a:ln w="625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4176" style="width:18.6583pt;height:0.492361pt;position:absolute;mso-position-horizontal-relative:margin;mso-position-horizontal:absolute;margin-left:86.103pt;mso-position-vertical-relative:text;margin-top:10.1431pt;" coordsize="2369,62">
                <v:shape id="Shape 6996" style="position:absolute;width:2369;height:0;left:0;top:0;" coordsize="236960,0" path="m0,0l236960,0">
                  <v:stroke weight="0.492361pt" endcap="flat" joinstyle="round" on="true" color="#000000"/>
                  <v:fill on="false" color="#000000" opacity="0"/>
                </v:shape>
                <w10:wrap type="square"/>
              </v:group>
            </w:pict>
          </mc:Fallback>
        </mc:AlternateContent>
      </w:r>
      <w:r>
        <w:rPr>
          <w:noProof/>
        </w:rPr>
        <mc:AlternateContent>
          <mc:Choice Requires="wpg">
            <w:drawing>
              <wp:anchor distT="0" distB="0" distL="114300" distR="114300" simplePos="0" relativeHeight="251665408" behindDoc="0" locked="0" layoutInCell="1" allowOverlap="1">
                <wp:simplePos x="0" y="0"/>
                <wp:positionH relativeFrom="margin">
                  <wp:posOffset>1744269</wp:posOffset>
                </wp:positionH>
                <wp:positionV relativeFrom="paragraph">
                  <wp:posOffset>128817</wp:posOffset>
                </wp:positionV>
                <wp:extent cx="437098" cy="6253"/>
                <wp:effectExtent l="0" t="0" r="0" b="0"/>
                <wp:wrapSquare wrapText="bothSides"/>
                <wp:docPr id="914177" name="Group 914177"/>
                <wp:cNvGraphicFramePr/>
                <a:graphic xmlns:a="http://schemas.openxmlformats.org/drawingml/2006/main">
                  <a:graphicData uri="http://schemas.microsoft.com/office/word/2010/wordprocessingGroup">
                    <wpg:wgp>
                      <wpg:cNvGrpSpPr/>
                      <wpg:grpSpPr>
                        <a:xfrm>
                          <a:off x="0" y="0"/>
                          <a:ext cx="437098" cy="6253"/>
                          <a:chOff x="0" y="0"/>
                          <a:chExt cx="437098" cy="6253"/>
                        </a:xfrm>
                      </wpg:grpSpPr>
                      <wps:wsp>
                        <wps:cNvPr id="6997" name="Shape 6997"/>
                        <wps:cNvSpPr/>
                        <wps:spPr>
                          <a:xfrm>
                            <a:off x="0" y="0"/>
                            <a:ext cx="437098" cy="0"/>
                          </a:xfrm>
                          <a:custGeom>
                            <a:avLst/>
                            <a:gdLst/>
                            <a:ahLst/>
                            <a:cxnLst/>
                            <a:rect l="0" t="0" r="0" b="0"/>
                            <a:pathLst>
                              <a:path w="437098">
                                <a:moveTo>
                                  <a:pt x="0" y="0"/>
                                </a:moveTo>
                                <a:lnTo>
                                  <a:pt x="437098" y="0"/>
                                </a:lnTo>
                              </a:path>
                            </a:pathLst>
                          </a:custGeom>
                          <a:ln w="625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4177" style="width:34.4172pt;height:0.492361pt;position:absolute;mso-position-horizontal-relative:margin;mso-position-horizontal:absolute;margin-left:137.344pt;mso-position-vertical-relative:text;margin-top:10.1431pt;" coordsize="4370,62">
                <v:shape id="Shape 6997" style="position:absolute;width:4370;height:0;left:0;top:0;" coordsize="437098,0" path="m0,0l437098,0">
                  <v:stroke weight="0.492361pt" endcap="flat" joinstyle="round" on="true" color="#000000"/>
                  <v:fill on="false" color="#000000" opacity="0"/>
                </v:shape>
                <w10:wrap type="square"/>
              </v:group>
            </w:pict>
          </mc:Fallback>
        </mc:AlternateContent>
      </w:r>
      <w:r>
        <w:rPr>
          <w:noProof/>
        </w:rPr>
        <mc:AlternateContent>
          <mc:Choice Requires="wpg">
            <w:drawing>
              <wp:anchor distT="0" distB="0" distL="114300" distR="114300" simplePos="0" relativeHeight="251666432" behindDoc="0" locked="0" layoutInCell="1" allowOverlap="1">
                <wp:simplePos x="0" y="0"/>
                <wp:positionH relativeFrom="margin">
                  <wp:posOffset>3087053</wp:posOffset>
                </wp:positionH>
                <wp:positionV relativeFrom="paragraph">
                  <wp:posOffset>128817</wp:posOffset>
                </wp:positionV>
                <wp:extent cx="670898" cy="6253"/>
                <wp:effectExtent l="0" t="0" r="0" b="0"/>
                <wp:wrapSquare wrapText="bothSides"/>
                <wp:docPr id="914178" name="Group 914178"/>
                <wp:cNvGraphicFramePr/>
                <a:graphic xmlns:a="http://schemas.openxmlformats.org/drawingml/2006/main">
                  <a:graphicData uri="http://schemas.microsoft.com/office/word/2010/wordprocessingGroup">
                    <wpg:wgp>
                      <wpg:cNvGrpSpPr/>
                      <wpg:grpSpPr>
                        <a:xfrm>
                          <a:off x="0" y="0"/>
                          <a:ext cx="670898" cy="6253"/>
                          <a:chOff x="0" y="0"/>
                          <a:chExt cx="670898" cy="6253"/>
                        </a:xfrm>
                      </wpg:grpSpPr>
                      <wps:wsp>
                        <wps:cNvPr id="6998" name="Shape 6998"/>
                        <wps:cNvSpPr/>
                        <wps:spPr>
                          <a:xfrm>
                            <a:off x="0" y="0"/>
                            <a:ext cx="670898" cy="0"/>
                          </a:xfrm>
                          <a:custGeom>
                            <a:avLst/>
                            <a:gdLst/>
                            <a:ahLst/>
                            <a:cxnLst/>
                            <a:rect l="0" t="0" r="0" b="0"/>
                            <a:pathLst>
                              <a:path w="670898">
                                <a:moveTo>
                                  <a:pt x="0" y="0"/>
                                </a:moveTo>
                                <a:lnTo>
                                  <a:pt x="670898" y="0"/>
                                </a:lnTo>
                              </a:path>
                            </a:pathLst>
                          </a:custGeom>
                          <a:ln w="625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4178" style="width:52.8266pt;height:0.492361pt;position:absolute;mso-position-horizontal-relative:margin;mso-position-horizontal:absolute;margin-left:243.075pt;mso-position-vertical-relative:text;margin-top:10.1431pt;" coordsize="6708,62">
                <v:shape id="Shape 6998" style="position:absolute;width:6708;height:0;left:0;top:0;" coordsize="670898,0" path="m0,0l670898,0">
                  <v:stroke weight="0.492361pt" endcap="flat" joinstyle="round" on="true" color="#000000"/>
                  <v:fill on="false" color="#000000" opacity="0"/>
                </v:shape>
                <w10:wrap type="square"/>
              </v:group>
            </w:pict>
          </mc:Fallback>
        </mc:AlternateContent>
      </w:r>
      <w:r>
        <w:rPr>
          <w:noProof/>
        </w:rPr>
        <mc:AlternateContent>
          <mc:Choice Requires="wpg">
            <w:drawing>
              <wp:anchor distT="0" distB="0" distL="114300" distR="114300" simplePos="0" relativeHeight="251667456" behindDoc="0" locked="0" layoutInCell="1" allowOverlap="1">
                <wp:simplePos x="0" y="0"/>
                <wp:positionH relativeFrom="margin">
                  <wp:posOffset>4175836</wp:posOffset>
                </wp:positionH>
                <wp:positionV relativeFrom="paragraph">
                  <wp:posOffset>128817</wp:posOffset>
                </wp:positionV>
                <wp:extent cx="1068617" cy="6253"/>
                <wp:effectExtent l="0" t="0" r="0" b="0"/>
                <wp:wrapSquare wrapText="bothSides"/>
                <wp:docPr id="914179" name="Group 914179"/>
                <wp:cNvGraphicFramePr/>
                <a:graphic xmlns:a="http://schemas.openxmlformats.org/drawingml/2006/main">
                  <a:graphicData uri="http://schemas.microsoft.com/office/word/2010/wordprocessingGroup">
                    <wpg:wgp>
                      <wpg:cNvGrpSpPr/>
                      <wpg:grpSpPr>
                        <a:xfrm>
                          <a:off x="0" y="0"/>
                          <a:ext cx="1068617" cy="6253"/>
                          <a:chOff x="0" y="0"/>
                          <a:chExt cx="1068617" cy="6253"/>
                        </a:xfrm>
                      </wpg:grpSpPr>
                      <wps:wsp>
                        <wps:cNvPr id="7003" name="Shape 7003"/>
                        <wps:cNvSpPr/>
                        <wps:spPr>
                          <a:xfrm>
                            <a:off x="0" y="0"/>
                            <a:ext cx="1068617" cy="0"/>
                          </a:xfrm>
                          <a:custGeom>
                            <a:avLst/>
                            <a:gdLst/>
                            <a:ahLst/>
                            <a:cxnLst/>
                            <a:rect l="0" t="0" r="0" b="0"/>
                            <a:pathLst>
                              <a:path w="1068617">
                                <a:moveTo>
                                  <a:pt x="0" y="0"/>
                                </a:moveTo>
                                <a:lnTo>
                                  <a:pt x="1068617" y="0"/>
                                </a:lnTo>
                              </a:path>
                            </a:pathLst>
                          </a:custGeom>
                          <a:ln w="625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4179" style="width:84.1431pt;height:0.492361pt;position:absolute;mso-position-horizontal-relative:margin;mso-position-horizontal:absolute;margin-left:328.806pt;mso-position-vertical-relative:text;margin-top:10.1431pt;" coordsize="10686,62">
                <v:shape id="Shape 7003" style="position:absolute;width:10686;height:0;left:0;top:0;" coordsize="1068617,0" path="m0,0l1068617,0">
                  <v:stroke weight="0.492361pt" endcap="flat" joinstyle="round" on="true" color="#000000"/>
                  <v:fill on="false" color="#000000" opacity="0"/>
                </v:shape>
                <w10:wrap type="square"/>
              </v:group>
            </w:pict>
          </mc:Fallback>
        </mc:AlternateContent>
      </w:r>
      <w:r>
        <w:tab/>
      </w:r>
      <w:r>
        <w:rPr>
          <w:rFonts w:ascii="Times New Roman" w:eastAsia="Times New Roman" w:hAnsi="Times New Roman" w:cs="Times New Roman"/>
          <w:i/>
          <w:sz w:val="24"/>
        </w:rPr>
        <w:t xml:space="preserve">dzd </w:t>
      </w:r>
      <w:r>
        <w:rPr>
          <w:rFonts w:ascii="Times New Roman" w:eastAsia="Times New Roman" w:hAnsi="Times New Roman" w:cs="Times New Roman"/>
          <w:sz w:val="14"/>
        </w:rPr>
        <w:t xml:space="preserve">2 </w:t>
      </w:r>
      <w:r>
        <w:rPr>
          <w:rFonts w:ascii="Segoe UI Symbol" w:eastAsia="Segoe UI Symbol" w:hAnsi="Segoe UI Symbol" w:cs="Segoe UI Symbol"/>
          <w:sz w:val="24"/>
        </w:rPr>
        <w:t></w:t>
      </w:r>
      <w:r>
        <w:rPr>
          <w:rFonts w:ascii="Segoe UI Symbol" w:eastAsia="Segoe UI Symbol" w:hAnsi="Segoe UI Symbol" w:cs="Segoe UI Symbol"/>
          <w:sz w:val="37"/>
          <w:vertAlign w:val="subscript"/>
        </w:rPr>
        <w:t></w:t>
      </w:r>
      <w:r>
        <w:rPr>
          <w:rFonts w:ascii="Times New Roman" w:eastAsia="Times New Roman" w:hAnsi="Times New Roman" w:cs="Times New Roman"/>
          <w:i/>
          <w:sz w:val="24"/>
        </w:rPr>
        <w:t>D</w:t>
      </w:r>
      <w:r>
        <w:rPr>
          <w:rFonts w:ascii="Times New Roman" w:eastAsia="Times New Roman" w:hAnsi="Times New Roman" w:cs="Times New Roman"/>
          <w:sz w:val="24"/>
        </w:rPr>
        <w:t>(</w:t>
      </w:r>
      <w:r>
        <w:rPr>
          <w:rFonts w:ascii="Times New Roman" w:eastAsia="Times New Roman" w:hAnsi="Times New Roman" w:cs="Times New Roman"/>
          <w:i/>
          <w:sz w:val="24"/>
        </w:rPr>
        <w:t>z</w:t>
      </w:r>
      <w:r>
        <w:rPr>
          <w:rFonts w:ascii="Times New Roman" w:eastAsia="Times New Roman" w:hAnsi="Times New Roman" w:cs="Times New Roman"/>
          <w:sz w:val="24"/>
        </w:rPr>
        <w:t xml:space="preserve">) </w:t>
      </w:r>
      <w:r>
        <w:rPr>
          <w:rFonts w:ascii="Times New Roman" w:eastAsia="Times New Roman" w:hAnsi="Times New Roman" w:cs="Times New Roman"/>
          <w:i/>
          <w:sz w:val="24"/>
        </w:rPr>
        <w:t xml:space="preserve">d </w:t>
      </w:r>
      <w:r>
        <w:rPr>
          <w:rFonts w:ascii="Times New Roman" w:eastAsia="Times New Roman" w:hAnsi="Times New Roman" w:cs="Times New Roman"/>
          <w:sz w:val="14"/>
        </w:rPr>
        <w:t>2</w:t>
      </w:r>
      <w:r>
        <w:rPr>
          <w:rFonts w:ascii="Times New Roman" w:eastAsia="Times New Roman" w:hAnsi="Times New Roman" w:cs="Times New Roman"/>
          <w:i/>
          <w:sz w:val="24"/>
        </w:rPr>
        <w:t>u</w:t>
      </w:r>
      <w:r>
        <w:rPr>
          <w:rFonts w:ascii="Times New Roman" w:eastAsia="Times New Roman" w:hAnsi="Times New Roman" w:cs="Times New Roman"/>
          <w:sz w:val="24"/>
        </w:rPr>
        <w:t>(</w:t>
      </w:r>
      <w:r>
        <w:rPr>
          <w:rFonts w:ascii="Times New Roman" w:eastAsia="Times New Roman" w:hAnsi="Times New Roman" w:cs="Times New Roman"/>
          <w:i/>
          <w:sz w:val="24"/>
        </w:rPr>
        <w:t>z</w:t>
      </w:r>
      <w:r>
        <w:rPr>
          <w:rFonts w:ascii="Times New Roman" w:eastAsia="Times New Roman" w:hAnsi="Times New Roman" w:cs="Times New Roman"/>
          <w:sz w:val="24"/>
        </w:rPr>
        <w:t>)</w:t>
      </w:r>
      <w:r>
        <w:rPr>
          <w:rFonts w:ascii="Segoe UI Symbol" w:eastAsia="Segoe UI Symbol" w:hAnsi="Segoe UI Symbol" w:cs="Segoe UI Symbol"/>
          <w:sz w:val="24"/>
        </w:rPr>
        <w:t xml:space="preserve"> </w:t>
      </w:r>
      <w:r>
        <w:rPr>
          <w:rFonts w:ascii="Segoe UI Symbol" w:eastAsia="Segoe UI Symbol" w:hAnsi="Segoe UI Symbol" w:cs="Segoe UI Symbol"/>
          <w:sz w:val="24"/>
        </w:rPr>
        <w:t xml:space="preserve"> </w:t>
      </w:r>
      <w:r>
        <w:rPr>
          <w:rFonts w:ascii="Times New Roman" w:eastAsia="Times New Roman" w:hAnsi="Times New Roman" w:cs="Times New Roman"/>
          <w:i/>
          <w:sz w:val="24"/>
        </w:rPr>
        <w:t>p</w:t>
      </w:r>
      <w:r>
        <w:rPr>
          <w:rFonts w:ascii="Times New Roman" w:eastAsia="Times New Roman" w:hAnsi="Times New Roman" w:cs="Times New Roman"/>
          <w:sz w:val="14"/>
        </w:rPr>
        <w:t xml:space="preserve">* </w:t>
      </w:r>
      <w:r>
        <w:rPr>
          <w:rFonts w:ascii="Segoe UI Symbol" w:eastAsia="Segoe UI Symbol" w:hAnsi="Segoe UI Symbol" w:cs="Segoe UI Symbol"/>
          <w:sz w:val="24"/>
        </w:rPr>
        <w:t xml:space="preserve"> </w:t>
      </w:r>
      <w:r>
        <w:rPr>
          <w:rFonts w:ascii="Times New Roman" w:eastAsia="Times New Roman" w:hAnsi="Times New Roman" w:cs="Times New Roman"/>
          <w:sz w:val="24"/>
        </w:rPr>
        <w:t>2</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sz w:val="14"/>
        </w:rPr>
        <w:t>2</w:t>
      </w:r>
      <w:r>
        <w:rPr>
          <w:rFonts w:ascii="Times New Roman" w:eastAsia="Times New Roman" w:hAnsi="Times New Roman" w:cs="Times New Roman"/>
          <w:sz w:val="14"/>
        </w:rPr>
        <w:tab/>
      </w:r>
      <w:r>
        <w:rPr>
          <w:rFonts w:ascii="Times New Roman" w:eastAsia="Times New Roman" w:hAnsi="Times New Roman" w:cs="Times New Roman"/>
          <w:sz w:val="24"/>
        </w:rPr>
        <w:t>(1</w:t>
      </w:r>
      <w:r>
        <w:rPr>
          <w:rFonts w:ascii="Segoe UI Symbol" w:eastAsia="Segoe UI Symbol" w:hAnsi="Segoe UI Symbol" w:cs="Segoe UI Symbol"/>
          <w:sz w:val="24"/>
        </w:rPr>
        <w:t></w:t>
      </w:r>
      <w:r>
        <w:rPr>
          <w:rFonts w:ascii="Segoe UI Symbol" w:eastAsia="Segoe UI Symbol" w:hAnsi="Segoe UI Symbol" w:cs="Segoe UI Symbol"/>
          <w:sz w:val="25"/>
        </w:rPr>
        <w:t></w:t>
      </w:r>
      <w:r>
        <w:rPr>
          <w:rFonts w:ascii="Times New Roman" w:eastAsia="Times New Roman" w:hAnsi="Times New Roman" w:cs="Times New Roman"/>
          <w:sz w:val="24"/>
        </w:rPr>
        <w:t>)</w:t>
      </w:r>
      <w:r>
        <w:rPr>
          <w:rFonts w:ascii="Times New Roman" w:eastAsia="Times New Roman" w:hAnsi="Times New Roman" w:cs="Times New Roman"/>
          <w:sz w:val="24"/>
        </w:rPr>
        <w:tab/>
      </w:r>
      <w:r>
        <w:rPr>
          <w:rFonts w:ascii="Segoe UI Symbol" w:eastAsia="Segoe UI Symbol" w:hAnsi="Segoe UI Symbol" w:cs="Segoe UI Symbol"/>
          <w:sz w:val="24"/>
        </w:rPr>
        <w:t></w:t>
      </w:r>
      <w:r>
        <w:rPr>
          <w:rFonts w:ascii="Times New Roman" w:eastAsia="Times New Roman" w:hAnsi="Times New Roman" w:cs="Times New Roman"/>
          <w:sz w:val="24"/>
        </w:rPr>
        <w:t>12</w:t>
      </w:r>
      <w:r>
        <w:rPr>
          <w:rFonts w:ascii="Segoe UI Symbol" w:eastAsia="Segoe UI Symbol" w:hAnsi="Segoe UI Symbol" w:cs="Segoe UI Symbol"/>
          <w:sz w:val="25"/>
        </w:rPr>
        <w:t></w:t>
      </w:r>
      <w:r>
        <w:rPr>
          <w:rFonts w:ascii="Segoe UI Symbol" w:eastAsia="Segoe UI Symbol" w:hAnsi="Segoe UI Symbol" w:cs="Segoe UI Symbol"/>
          <w:sz w:val="38"/>
        </w:rPr>
        <w:t></w:t>
      </w:r>
      <w:r>
        <w:rPr>
          <w:rFonts w:ascii="Times New Roman" w:eastAsia="Times New Roman" w:hAnsi="Times New Roman" w:cs="Times New Roman"/>
          <w:sz w:val="24"/>
        </w:rPr>
        <w:t>1</w:t>
      </w:r>
      <w:r>
        <w:rPr>
          <w:rFonts w:ascii="Segoe UI Symbol" w:eastAsia="Segoe UI Symbol" w:hAnsi="Segoe UI Symbol" w:cs="Segoe UI Symbol"/>
          <w:sz w:val="24"/>
        </w:rPr>
        <w:t></w:t>
      </w:r>
      <w:r>
        <w:rPr>
          <w:rFonts w:ascii="Segoe UI Symbol" w:eastAsia="Segoe UI Symbol" w:hAnsi="Segoe UI Symbol" w:cs="Segoe UI Symbol"/>
          <w:sz w:val="25"/>
        </w:rPr>
        <w:t></w:t>
      </w:r>
      <w:r>
        <w:rPr>
          <w:rFonts w:ascii="Times New Roman" w:eastAsia="Times New Roman" w:hAnsi="Times New Roman" w:cs="Times New Roman"/>
          <w:sz w:val="14"/>
        </w:rPr>
        <w:t xml:space="preserve">2 </w:t>
      </w:r>
      <w:r>
        <w:rPr>
          <w:rFonts w:ascii="Segoe UI Symbol" w:eastAsia="Segoe UI Symbol" w:hAnsi="Segoe UI Symbol" w:cs="Segoe UI Symbol"/>
          <w:sz w:val="38"/>
        </w:rPr>
        <w:t></w:t>
      </w:r>
      <w:r>
        <w:rPr>
          <w:rFonts w:ascii="Segoe UI Symbol" w:eastAsia="Segoe UI Symbol" w:hAnsi="Segoe UI Symbol" w:cs="Segoe UI Symbol"/>
          <w:sz w:val="32"/>
        </w:rPr>
        <w:t></w:t>
      </w:r>
      <w:r>
        <w:rPr>
          <w:rFonts w:ascii="Segoe UI Symbol" w:eastAsia="Segoe UI Symbol" w:hAnsi="Segoe UI Symbol" w:cs="Segoe UI Symbol"/>
          <w:sz w:val="25"/>
        </w:rPr>
        <w:t></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Segoe UI Symbol" w:eastAsia="Segoe UI Symbol" w:hAnsi="Segoe UI Symbol" w:cs="Segoe UI Symbol"/>
          <w:sz w:val="25"/>
        </w:rPr>
        <w:t></w:t>
      </w:r>
      <w:r>
        <w:rPr>
          <w:rFonts w:ascii="Times New Roman" w:eastAsia="Times New Roman" w:hAnsi="Times New Roman" w:cs="Times New Roman"/>
          <w:sz w:val="14"/>
        </w:rPr>
        <w:t>21</w:t>
      </w:r>
      <w:r>
        <w:rPr>
          <w:rFonts w:ascii="Times New Roman" w:eastAsia="Times New Roman" w:hAnsi="Times New Roman" w:cs="Times New Roman"/>
          <w:i/>
          <w:sz w:val="24"/>
        </w:rPr>
        <w:t>z</w:t>
      </w:r>
      <w:r>
        <w:rPr>
          <w:rFonts w:ascii="Segoe UI Symbol" w:eastAsia="Segoe UI Symbol" w:hAnsi="Segoe UI Symbol" w:cs="Segoe UI Symbol"/>
          <w:sz w:val="32"/>
        </w:rPr>
        <w:t></w:t>
      </w:r>
      <w:r>
        <w:rPr>
          <w:rFonts w:ascii="Segoe UI Symbol" w:eastAsia="Segoe UI Symbol" w:hAnsi="Segoe UI Symbol" w:cs="Segoe UI Symbol"/>
          <w:sz w:val="24"/>
        </w:rPr>
        <w:t></w:t>
      </w:r>
    </w:p>
    <w:p w:rsidR="0052701D" w:rsidRDefault="00D40929">
      <w:pPr>
        <w:tabs>
          <w:tab w:val="center" w:pos="2108"/>
          <w:tab w:val="center" w:pos="3232"/>
          <w:tab w:val="center" w:pos="5390"/>
          <w:tab w:val="center" w:pos="7363"/>
          <w:tab w:val="center" w:pos="8504"/>
        </w:tabs>
        <w:spacing w:after="562" w:line="248" w:lineRule="auto"/>
      </w:pPr>
      <w:r>
        <w:tab/>
      </w:r>
      <w:r>
        <w:rPr>
          <w:rFonts w:ascii="Times New Roman" w:eastAsia="Times New Roman" w:hAnsi="Times New Roman" w:cs="Times New Roman"/>
          <w:sz w:val="14"/>
        </w:rPr>
        <w:t xml:space="preserve">2 </w:t>
      </w:r>
      <w:r>
        <w:rPr>
          <w:rFonts w:ascii="Segoe UI Symbol" w:eastAsia="Segoe UI Symbol" w:hAnsi="Segoe UI Symbol" w:cs="Segoe UI Symbol"/>
          <w:sz w:val="24"/>
        </w:rPr>
        <w:t></w:t>
      </w:r>
      <w:r>
        <w:rPr>
          <w:rFonts w:ascii="Segoe UI Symbol" w:eastAsia="Segoe UI Symbol" w:hAnsi="Segoe UI Symbol" w:cs="Segoe UI Symbol"/>
          <w:sz w:val="24"/>
        </w:rPr>
        <w:tab/>
      </w:r>
      <w:r>
        <w:rPr>
          <w:rFonts w:ascii="Times New Roman" w:eastAsia="Times New Roman" w:hAnsi="Times New Roman" w:cs="Times New Roman"/>
          <w:i/>
          <w:sz w:val="24"/>
        </w:rPr>
        <w:t xml:space="preserve">dz </w:t>
      </w:r>
      <w:r>
        <w:rPr>
          <w:rFonts w:ascii="Times New Roman" w:eastAsia="Times New Roman" w:hAnsi="Times New Roman" w:cs="Times New Roman"/>
          <w:sz w:val="14"/>
        </w:rPr>
        <w:t xml:space="preserve">2 </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ab/>
      </w:r>
      <w:r>
        <w:rPr>
          <w:rFonts w:ascii="Times New Roman" w:eastAsia="Times New Roman" w:hAnsi="Times New Roman" w:cs="Times New Roman"/>
          <w:sz w:val="24"/>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Segoe UI Symbol" w:eastAsia="Segoe UI Symbol" w:hAnsi="Segoe UI Symbol" w:cs="Segoe UI Symbol"/>
          <w:sz w:val="25"/>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z</w:t>
      </w:r>
      <w:r>
        <w:rPr>
          <w:rFonts w:ascii="Times New Roman" w:eastAsia="Times New Roman" w:hAnsi="Times New Roman" w:cs="Times New Roman"/>
          <w:sz w:val="24"/>
        </w:rPr>
        <w:t>)</w:t>
      </w:r>
      <w:r>
        <w:rPr>
          <w:rFonts w:ascii="Times New Roman" w:eastAsia="Times New Roman" w:hAnsi="Times New Roman" w:cs="Times New Roman"/>
          <w:sz w:val="24"/>
        </w:rPr>
        <w:tab/>
      </w:r>
      <w:r>
        <w:rPr>
          <w:rFonts w:ascii="Times New Roman" w:eastAsia="Times New Roman" w:hAnsi="Times New Roman" w:cs="Times New Roman"/>
          <w:i/>
          <w:sz w:val="24"/>
        </w:rPr>
        <w:t>R</w:t>
      </w:r>
      <w:r>
        <w:rPr>
          <w:rFonts w:ascii="Times New Roman" w:eastAsia="Times New Roman" w:hAnsi="Times New Roman" w:cs="Times New Roman"/>
          <w:sz w:val="24"/>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Segoe UI Symbol" w:eastAsia="Segoe UI Symbol" w:hAnsi="Segoe UI Symbol" w:cs="Segoe UI Symbol"/>
          <w:sz w:val="25"/>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z</w:t>
      </w:r>
      <w:r>
        <w:rPr>
          <w:rFonts w:ascii="Times New Roman" w:eastAsia="Times New Roman" w:hAnsi="Times New Roman" w:cs="Times New Roman"/>
          <w:sz w:val="24"/>
        </w:rPr>
        <w:t>)</w:t>
      </w:r>
      <w:r>
        <w:rPr>
          <w:rFonts w:ascii="Times New Roman" w:eastAsia="Times New Roman" w:hAnsi="Times New Roman" w:cs="Times New Roman"/>
          <w:sz w:val="24"/>
        </w:rPr>
        <w:tab/>
      </w:r>
      <w:r>
        <w:rPr>
          <w:rFonts w:ascii="Times New Roman" w:eastAsia="Times New Roman" w:hAnsi="Times New Roman" w:cs="Times New Roman"/>
          <w:sz w:val="18"/>
        </w:rPr>
        <w:t xml:space="preserve"> </w:t>
      </w:r>
    </w:p>
    <w:p w:rsidR="0052701D" w:rsidRDefault="00D40929">
      <w:pPr>
        <w:spacing w:after="0"/>
        <w:ind w:left="10" w:right="308" w:hanging="10"/>
        <w:jc w:val="right"/>
      </w:pPr>
      <w:r>
        <w:rPr>
          <w:noProof/>
        </w:rPr>
        <mc:AlternateContent>
          <mc:Choice Requires="wpg">
            <w:drawing>
              <wp:anchor distT="0" distB="0" distL="114300" distR="114300" simplePos="0" relativeHeight="251668480" behindDoc="0" locked="0" layoutInCell="1" allowOverlap="1">
                <wp:simplePos x="0" y="0"/>
                <wp:positionH relativeFrom="margin">
                  <wp:posOffset>1599099</wp:posOffset>
                </wp:positionH>
                <wp:positionV relativeFrom="paragraph">
                  <wp:posOffset>58052</wp:posOffset>
                </wp:positionV>
                <wp:extent cx="664905" cy="6165"/>
                <wp:effectExtent l="0" t="0" r="0" b="0"/>
                <wp:wrapSquare wrapText="bothSides"/>
                <wp:docPr id="914180" name="Group 914180"/>
                <wp:cNvGraphicFramePr/>
                <a:graphic xmlns:a="http://schemas.openxmlformats.org/drawingml/2006/main">
                  <a:graphicData uri="http://schemas.microsoft.com/office/word/2010/wordprocessingGroup">
                    <wpg:wgp>
                      <wpg:cNvGrpSpPr/>
                      <wpg:grpSpPr>
                        <a:xfrm>
                          <a:off x="0" y="0"/>
                          <a:ext cx="664905" cy="6165"/>
                          <a:chOff x="0" y="0"/>
                          <a:chExt cx="664905" cy="6165"/>
                        </a:xfrm>
                      </wpg:grpSpPr>
                      <wps:wsp>
                        <wps:cNvPr id="7074" name="Shape 7074"/>
                        <wps:cNvSpPr/>
                        <wps:spPr>
                          <a:xfrm>
                            <a:off x="0" y="0"/>
                            <a:ext cx="664905" cy="0"/>
                          </a:xfrm>
                          <a:custGeom>
                            <a:avLst/>
                            <a:gdLst/>
                            <a:ahLst/>
                            <a:cxnLst/>
                            <a:rect l="0" t="0" r="0" b="0"/>
                            <a:pathLst>
                              <a:path w="664905">
                                <a:moveTo>
                                  <a:pt x="0" y="0"/>
                                </a:moveTo>
                                <a:lnTo>
                                  <a:pt x="664905" y="0"/>
                                </a:lnTo>
                              </a:path>
                            </a:pathLst>
                          </a:custGeom>
                          <a:ln w="6165"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4180" style="width:52.3547pt;height:0.485395pt;position:absolute;mso-position-horizontal-relative:margin;mso-position-horizontal:absolute;margin-left:125.913pt;mso-position-vertical-relative:text;margin-top:4.57103pt;" coordsize="6649,61">
                <v:shape id="Shape 7074" style="position:absolute;width:6649;height:0;left:0;top:0;" coordsize="664905,0" path="m0,0l664905,0">
                  <v:stroke weight="0.485395pt" endcap="flat" joinstyle="round" on="true" color="#000000"/>
                  <v:fill on="false" color="#000000" opacity="0"/>
                </v:shape>
                <w10:wrap type="square"/>
              </v:group>
            </w:pict>
          </mc:Fallback>
        </mc:AlternateContent>
      </w:r>
      <w:r>
        <w:rPr>
          <w:rFonts w:ascii="Segoe UI Symbol" w:eastAsia="Segoe UI Symbol" w:hAnsi="Segoe UI Symbol" w:cs="Segoe UI Symbol"/>
          <w:sz w:val="24"/>
        </w:rPr>
        <w:t xml:space="preserve"> </w:t>
      </w:r>
      <w:r>
        <w:rPr>
          <w:rFonts w:ascii="Times New Roman" w:eastAsia="Times New Roman" w:hAnsi="Times New Roman" w:cs="Times New Roman"/>
          <w:i/>
          <w:sz w:val="24"/>
        </w:rPr>
        <w:t xml:space="preserve">E </w:t>
      </w:r>
      <w:r>
        <w:rPr>
          <w:rFonts w:ascii="Times New Roman" w:eastAsia="Times New Roman" w:hAnsi="Times New Roman" w:cs="Times New Roman"/>
          <w:sz w:val="24"/>
        </w:rPr>
        <w:t>(</w:t>
      </w:r>
      <w:r>
        <w:rPr>
          <w:rFonts w:ascii="Times New Roman" w:eastAsia="Times New Roman" w:hAnsi="Times New Roman" w:cs="Times New Roman"/>
          <w:i/>
          <w:sz w:val="24"/>
        </w:rPr>
        <w:t>h</w:t>
      </w:r>
      <w:r>
        <w:rPr>
          <w:rFonts w:ascii="Times New Roman" w:eastAsia="Times New Roman" w:hAnsi="Times New Roman" w:cs="Times New Roman"/>
          <w:sz w:val="14"/>
        </w:rPr>
        <w:t>0</w:t>
      </w:r>
      <w:r>
        <w:rPr>
          <w:rFonts w:ascii="Times New Roman" w:eastAsia="Times New Roman" w:hAnsi="Times New Roman" w:cs="Times New Roman"/>
          <w:sz w:val="24"/>
        </w:rPr>
        <w:t>2</w:t>
      </w:r>
      <w:r>
        <w:rPr>
          <w:rFonts w:ascii="Segoe UI Symbol" w:eastAsia="Segoe UI Symbol" w:hAnsi="Segoe UI Symbol" w:cs="Segoe UI Symbol"/>
          <w:sz w:val="24"/>
        </w:rPr>
        <w:t></w:t>
      </w:r>
      <w:r>
        <w:rPr>
          <w:rFonts w:ascii="Times New Roman" w:eastAsia="Times New Roman" w:hAnsi="Times New Roman" w:cs="Times New Roman"/>
          <w:i/>
          <w:sz w:val="24"/>
        </w:rPr>
        <w:t>R</w:t>
      </w:r>
      <w:r>
        <w:rPr>
          <w:rFonts w:ascii="Segoe UI Symbol" w:eastAsia="Segoe UI Symbol" w:hAnsi="Segoe UI Symbol" w:cs="Segoe UI Symbol"/>
          <w:sz w:val="25"/>
        </w:rPr>
        <w:t></w:t>
      </w:r>
      <w:r>
        <w:rPr>
          <w:rFonts w:ascii="Times New Roman" w:eastAsia="Times New Roman" w:hAnsi="Times New Roman" w:cs="Times New Roman"/>
          <w:sz w:val="21"/>
          <w:vertAlign w:val="subscript"/>
        </w:rPr>
        <w:t>2</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z</w:t>
      </w:r>
      <w:r>
        <w:rPr>
          <w:rFonts w:ascii="Times New Roman" w:eastAsia="Times New Roman" w:hAnsi="Times New Roman" w:cs="Times New Roman"/>
          <w:sz w:val="24"/>
        </w:rPr>
        <w:t>)</w:t>
      </w:r>
      <w:r>
        <w:rPr>
          <w:rFonts w:ascii="Segoe UI Symbol" w:eastAsia="Segoe UI Symbol" w:hAnsi="Segoe UI Symbol" w:cs="Segoe UI Symbol"/>
          <w:sz w:val="36"/>
        </w:rPr>
        <w:t></w:t>
      </w:r>
      <w:r>
        <w:rPr>
          <w:rFonts w:ascii="Times New Roman" w:eastAsia="Times New Roman" w:hAnsi="Times New Roman" w:cs="Times New Roman"/>
          <w:i/>
          <w:sz w:val="21"/>
          <w:vertAlign w:val="subscript"/>
        </w:rPr>
        <w:t>k</w:t>
      </w:r>
      <w:r>
        <w:rPr>
          <w:rFonts w:ascii="Times New Roman" w:eastAsia="Times New Roman" w:hAnsi="Times New Roman" w:cs="Times New Roman"/>
          <w:i/>
          <w:sz w:val="14"/>
        </w:rPr>
        <w:t>n</w:t>
      </w:r>
      <w:r>
        <w:rPr>
          <w:rFonts w:ascii="Segoe UI Symbol" w:eastAsia="Segoe UI Symbol" w:hAnsi="Segoe UI Symbol" w:cs="Segoe UI Symbol"/>
          <w:sz w:val="21"/>
          <w:vertAlign w:val="subscript"/>
        </w:rPr>
        <w:t></w:t>
      </w:r>
      <w:r>
        <w:rPr>
          <w:rFonts w:ascii="Times New Roman" w:eastAsia="Times New Roman" w:hAnsi="Times New Roman" w:cs="Times New Roman"/>
          <w:sz w:val="21"/>
          <w:vertAlign w:val="subscript"/>
        </w:rPr>
        <w:t>1</w:t>
      </w:r>
      <w:r>
        <w:rPr>
          <w:rFonts w:ascii="Segoe UI Symbol" w:eastAsia="Segoe UI Symbol" w:hAnsi="Segoe UI Symbol" w:cs="Segoe UI Symbol"/>
          <w:sz w:val="31"/>
        </w:rPr>
        <w:t></w:t>
      </w:r>
      <w:r>
        <w:rPr>
          <w:rFonts w:ascii="Times New Roman" w:eastAsia="Times New Roman" w:hAnsi="Times New Roman" w:cs="Times New Roman"/>
          <w:i/>
          <w:sz w:val="24"/>
        </w:rPr>
        <w:t>z</w:t>
      </w:r>
      <w:r>
        <w:rPr>
          <w:rFonts w:ascii="Times New Roman" w:eastAsia="Times New Roman" w:hAnsi="Times New Roman" w:cs="Times New Roman"/>
          <w:i/>
          <w:sz w:val="14"/>
        </w:rPr>
        <w:t xml:space="preserve">k </w:t>
      </w:r>
      <w:r>
        <w:rPr>
          <w:rFonts w:ascii="Segoe UI Symbol" w:eastAsia="Segoe UI Symbol" w:hAnsi="Segoe UI Symbol" w:cs="Segoe UI Symbol"/>
          <w:sz w:val="24"/>
        </w:rPr>
        <w:t xml:space="preserve"> </w:t>
      </w:r>
      <w:r>
        <w:rPr>
          <w:rFonts w:ascii="Times New Roman" w:eastAsia="Times New Roman" w:hAnsi="Times New Roman" w:cs="Times New Roman"/>
          <w:i/>
          <w:sz w:val="24"/>
        </w:rPr>
        <w:t>z</w:t>
      </w:r>
      <w:r>
        <w:rPr>
          <w:rFonts w:ascii="Times New Roman" w:eastAsia="Times New Roman" w:hAnsi="Times New Roman" w:cs="Times New Roman"/>
          <w:i/>
          <w:sz w:val="14"/>
        </w:rPr>
        <w:t>k</w:t>
      </w:r>
      <w:r>
        <w:rPr>
          <w:rFonts w:ascii="Segoe UI Symbol" w:eastAsia="Segoe UI Symbol" w:hAnsi="Segoe UI Symbol" w:cs="Segoe UI Symbol"/>
          <w:sz w:val="14"/>
        </w:rPr>
        <w:t></w:t>
      </w:r>
      <w:r>
        <w:rPr>
          <w:rFonts w:ascii="Times New Roman" w:eastAsia="Times New Roman" w:hAnsi="Times New Roman" w:cs="Times New Roman"/>
          <w:sz w:val="14"/>
        </w:rPr>
        <w:t>1</w:t>
      </w:r>
      <w:r>
        <w:rPr>
          <w:rFonts w:ascii="Segoe UI Symbol" w:eastAsia="Segoe UI Symbol" w:hAnsi="Segoe UI Symbol" w:cs="Segoe UI Symbol"/>
          <w:sz w:val="31"/>
        </w:rPr>
        <w:t></w:t>
      </w:r>
      <w:r>
        <w:rPr>
          <w:rFonts w:ascii="Segoe UI Symbol" w:eastAsia="Segoe UI Symbol" w:hAnsi="Segoe UI Symbol" w:cs="Segoe UI Symbol"/>
          <w:sz w:val="33"/>
        </w:rPr>
        <w:t></w:t>
      </w:r>
      <w:r>
        <w:rPr>
          <w:rFonts w:ascii="Times New Roman" w:eastAsia="Times New Roman" w:hAnsi="Times New Roman" w:cs="Times New Roman"/>
          <w:i/>
          <w:sz w:val="24"/>
        </w:rPr>
        <w:t>u</w:t>
      </w:r>
      <w:r>
        <w:rPr>
          <w:rFonts w:ascii="Segoe UI Symbol" w:eastAsia="Segoe UI Symbol" w:hAnsi="Segoe UI Symbol" w:cs="Segoe UI Symbol"/>
          <w:sz w:val="31"/>
        </w:rPr>
        <w:t></w:t>
      </w:r>
      <w:r>
        <w:rPr>
          <w:rFonts w:ascii="Times New Roman" w:eastAsia="Times New Roman" w:hAnsi="Times New Roman" w:cs="Times New Roman"/>
          <w:i/>
          <w:sz w:val="24"/>
        </w:rPr>
        <w:t>z</w:t>
      </w:r>
      <w:r>
        <w:rPr>
          <w:rFonts w:ascii="Times New Roman" w:eastAsia="Times New Roman" w:hAnsi="Times New Roman" w:cs="Times New Roman"/>
          <w:i/>
          <w:sz w:val="14"/>
        </w:rPr>
        <w:t xml:space="preserve">k </w:t>
      </w:r>
      <w:r>
        <w:rPr>
          <w:rFonts w:ascii="Segoe UI Symbol" w:eastAsia="Segoe UI Symbol" w:hAnsi="Segoe UI Symbol" w:cs="Segoe UI Symbol"/>
          <w:sz w:val="31"/>
        </w:rPr>
        <w:t></w:t>
      </w:r>
      <w:r>
        <w:rPr>
          <w:rFonts w:ascii="Segoe UI Symbol" w:eastAsia="Segoe UI Symbol" w:hAnsi="Segoe UI Symbol" w:cs="Segoe UI Symbol"/>
          <w:sz w:val="25"/>
        </w:rPr>
        <w:t></w:t>
      </w:r>
      <w:r>
        <w:rPr>
          <w:rFonts w:ascii="Segoe UI Symbol" w:eastAsia="Segoe UI Symbol" w:hAnsi="Segoe UI Symbol" w:cs="Segoe UI Symbol"/>
          <w:sz w:val="31"/>
        </w:rPr>
        <w:t></w:t>
      </w:r>
      <w:r>
        <w:rPr>
          <w:rFonts w:ascii="Times New Roman" w:eastAsia="Times New Roman" w:hAnsi="Times New Roman" w:cs="Times New Roman"/>
          <w:i/>
          <w:sz w:val="24"/>
        </w:rPr>
        <w:t xml:space="preserve">z </w:t>
      </w:r>
      <w:r>
        <w:rPr>
          <w:rFonts w:ascii="Segoe UI Symbol" w:eastAsia="Segoe UI Symbol" w:hAnsi="Segoe UI Symbol" w:cs="Segoe UI Symbol"/>
          <w:sz w:val="24"/>
        </w:rPr>
        <w:t xml:space="preserve"> </w:t>
      </w:r>
      <w:r>
        <w:rPr>
          <w:rFonts w:ascii="Times New Roman" w:eastAsia="Times New Roman" w:hAnsi="Times New Roman" w:cs="Times New Roman"/>
          <w:i/>
          <w:sz w:val="24"/>
        </w:rPr>
        <w:t>z</w:t>
      </w:r>
      <w:r>
        <w:rPr>
          <w:rFonts w:ascii="Times New Roman" w:eastAsia="Times New Roman" w:hAnsi="Times New Roman" w:cs="Times New Roman"/>
          <w:i/>
          <w:sz w:val="14"/>
        </w:rPr>
        <w:t xml:space="preserve">k </w:t>
      </w:r>
      <w:r>
        <w:rPr>
          <w:rFonts w:ascii="Segoe UI Symbol" w:eastAsia="Segoe UI Symbol" w:hAnsi="Segoe UI Symbol" w:cs="Segoe UI Symbol"/>
          <w:sz w:val="31"/>
        </w:rPr>
        <w:t></w:t>
      </w:r>
      <w:r>
        <w:rPr>
          <w:rFonts w:ascii="Segoe UI Symbol" w:eastAsia="Segoe UI Symbol" w:hAnsi="Segoe UI Symbol" w:cs="Segoe UI Symbol"/>
          <w:sz w:val="24"/>
        </w:rPr>
        <w:t></w:t>
      </w:r>
      <w:r>
        <w:rPr>
          <w:rFonts w:ascii="Times New Roman" w:eastAsia="Times New Roman" w:hAnsi="Times New Roman" w:cs="Times New Roman"/>
          <w:i/>
          <w:sz w:val="24"/>
        </w:rPr>
        <w:t>u</w:t>
      </w:r>
      <w:r>
        <w:rPr>
          <w:rFonts w:ascii="Segoe UI Symbol" w:eastAsia="Segoe UI Symbol" w:hAnsi="Segoe UI Symbol" w:cs="Segoe UI Symbol"/>
          <w:sz w:val="31"/>
        </w:rPr>
        <w:t></w:t>
      </w:r>
      <w:r>
        <w:rPr>
          <w:rFonts w:ascii="Times New Roman" w:eastAsia="Times New Roman" w:hAnsi="Times New Roman" w:cs="Times New Roman"/>
          <w:i/>
          <w:sz w:val="24"/>
        </w:rPr>
        <w:t>z</w:t>
      </w:r>
      <w:r>
        <w:rPr>
          <w:rFonts w:ascii="Times New Roman" w:eastAsia="Times New Roman" w:hAnsi="Times New Roman" w:cs="Times New Roman"/>
          <w:i/>
          <w:sz w:val="14"/>
        </w:rPr>
        <w:t>k</w:t>
      </w:r>
      <w:r>
        <w:rPr>
          <w:rFonts w:ascii="Segoe UI Symbol" w:eastAsia="Segoe UI Symbol" w:hAnsi="Segoe UI Symbol" w:cs="Segoe UI Symbol"/>
          <w:sz w:val="14"/>
        </w:rPr>
        <w:t></w:t>
      </w:r>
      <w:r>
        <w:rPr>
          <w:rFonts w:ascii="Times New Roman" w:eastAsia="Times New Roman" w:hAnsi="Times New Roman" w:cs="Times New Roman"/>
          <w:sz w:val="14"/>
        </w:rPr>
        <w:t>1</w:t>
      </w:r>
      <w:r>
        <w:rPr>
          <w:rFonts w:ascii="Segoe UI Symbol" w:eastAsia="Segoe UI Symbol" w:hAnsi="Segoe UI Symbol" w:cs="Segoe UI Symbol"/>
          <w:sz w:val="31"/>
        </w:rPr>
        <w:t></w:t>
      </w:r>
      <w:r>
        <w:rPr>
          <w:rFonts w:ascii="Segoe UI Symbol" w:eastAsia="Segoe UI Symbol" w:hAnsi="Segoe UI Symbol" w:cs="Segoe UI Symbol"/>
          <w:sz w:val="25"/>
        </w:rPr>
        <w:t></w:t>
      </w:r>
      <w:r>
        <w:rPr>
          <w:rFonts w:ascii="Segoe UI Symbol" w:eastAsia="Segoe UI Symbol" w:hAnsi="Segoe UI Symbol" w:cs="Segoe UI Symbol"/>
          <w:sz w:val="31"/>
        </w:rPr>
        <w:t></w:t>
      </w:r>
      <w:r>
        <w:rPr>
          <w:rFonts w:ascii="Times New Roman" w:eastAsia="Times New Roman" w:hAnsi="Times New Roman" w:cs="Times New Roman"/>
          <w:i/>
          <w:sz w:val="24"/>
        </w:rPr>
        <w:t xml:space="preserve">z </w:t>
      </w:r>
      <w:r>
        <w:rPr>
          <w:rFonts w:ascii="Segoe UI Symbol" w:eastAsia="Segoe UI Symbol" w:hAnsi="Segoe UI Symbol" w:cs="Segoe UI Symbol"/>
          <w:sz w:val="24"/>
        </w:rPr>
        <w:t xml:space="preserve"> </w:t>
      </w:r>
      <w:r>
        <w:rPr>
          <w:rFonts w:ascii="Times New Roman" w:eastAsia="Times New Roman" w:hAnsi="Times New Roman" w:cs="Times New Roman"/>
          <w:i/>
          <w:sz w:val="24"/>
        </w:rPr>
        <w:t>z</w:t>
      </w:r>
      <w:r>
        <w:rPr>
          <w:rFonts w:ascii="Times New Roman" w:eastAsia="Times New Roman" w:hAnsi="Times New Roman" w:cs="Times New Roman"/>
          <w:i/>
          <w:sz w:val="14"/>
        </w:rPr>
        <w:t>k</w:t>
      </w:r>
      <w:r>
        <w:rPr>
          <w:rFonts w:ascii="Segoe UI Symbol" w:eastAsia="Segoe UI Symbol" w:hAnsi="Segoe UI Symbol" w:cs="Segoe UI Symbol"/>
          <w:sz w:val="14"/>
        </w:rPr>
        <w:t></w:t>
      </w:r>
      <w:r>
        <w:rPr>
          <w:rFonts w:ascii="Times New Roman" w:eastAsia="Times New Roman" w:hAnsi="Times New Roman" w:cs="Times New Roman"/>
          <w:sz w:val="14"/>
        </w:rPr>
        <w:t>1</w:t>
      </w:r>
      <w:r>
        <w:rPr>
          <w:rFonts w:ascii="Segoe UI Symbol" w:eastAsia="Segoe UI Symbol" w:hAnsi="Segoe UI Symbol" w:cs="Segoe UI Symbol"/>
          <w:sz w:val="31"/>
        </w:rPr>
        <w:t></w:t>
      </w:r>
      <w:r>
        <w:rPr>
          <w:rFonts w:ascii="Segoe UI Symbol" w:eastAsia="Segoe UI Symbol" w:hAnsi="Segoe UI Symbol" w:cs="Segoe UI Symbol"/>
          <w:sz w:val="33"/>
        </w:rPr>
        <w:t></w:t>
      </w:r>
      <w:r>
        <w:rPr>
          <w:rFonts w:ascii="Times New Roman" w:eastAsia="Times New Roman" w:hAnsi="Times New Roman" w:cs="Times New Roman"/>
          <w:sz w:val="28"/>
        </w:rPr>
        <w:t xml:space="preserve">           (5)  </w:t>
      </w:r>
    </w:p>
    <w:p w:rsidR="0052701D" w:rsidRDefault="00D40929">
      <w:pPr>
        <w:spacing w:after="0"/>
        <w:ind w:left="841"/>
      </w:pPr>
      <w:r>
        <w:rPr>
          <w:rFonts w:ascii="Times New Roman" w:eastAsia="Times New Roman" w:hAnsi="Times New Roman" w:cs="Times New Roman"/>
          <w:sz w:val="28"/>
        </w:rPr>
        <w:t xml:space="preserve">                  </w:t>
      </w:r>
    </w:p>
    <w:p w:rsidR="0052701D" w:rsidRDefault="00D40929">
      <w:pPr>
        <w:spacing w:after="137" w:line="271" w:lineRule="auto"/>
        <w:ind w:left="9" w:right="64" w:firstLine="543"/>
        <w:jc w:val="both"/>
      </w:pPr>
      <w:r>
        <w:rPr>
          <w:rFonts w:ascii="Times New Roman" w:eastAsia="Times New Roman" w:hAnsi="Times New Roman" w:cs="Times New Roman"/>
          <w:sz w:val="28"/>
        </w:rPr>
        <w:t xml:space="preserve">На жестко заделанном и на свободном торцах оболочки приняв соответственно граничные условия (2) и (3), имеем </w:t>
      </w:r>
    </w:p>
    <w:p w:rsidR="0052701D" w:rsidRDefault="00D40929">
      <w:pPr>
        <w:tabs>
          <w:tab w:val="center" w:pos="2854"/>
          <w:tab w:val="center" w:pos="7335"/>
        </w:tabs>
        <w:spacing w:after="3"/>
      </w:pPr>
      <w:r>
        <w:rPr>
          <w:noProof/>
        </w:rPr>
        <mc:AlternateContent>
          <mc:Choice Requires="wpg">
            <w:drawing>
              <wp:anchor distT="0" distB="0" distL="114300" distR="114300" simplePos="0" relativeHeight="251669504" behindDoc="0" locked="0" layoutInCell="1" allowOverlap="1">
                <wp:simplePos x="0" y="0"/>
                <wp:positionH relativeFrom="margin">
                  <wp:posOffset>1019793</wp:posOffset>
                </wp:positionH>
                <wp:positionV relativeFrom="paragraph">
                  <wp:posOffset>150867</wp:posOffset>
                </wp:positionV>
                <wp:extent cx="1939232" cy="6270"/>
                <wp:effectExtent l="0" t="0" r="0" b="0"/>
                <wp:wrapTopAndBottom/>
                <wp:docPr id="914181" name="Group 914181"/>
                <wp:cNvGraphicFramePr/>
                <a:graphic xmlns:a="http://schemas.openxmlformats.org/drawingml/2006/main">
                  <a:graphicData uri="http://schemas.microsoft.com/office/word/2010/wordprocessingGroup">
                    <wpg:wgp>
                      <wpg:cNvGrpSpPr/>
                      <wpg:grpSpPr>
                        <a:xfrm>
                          <a:off x="0" y="0"/>
                          <a:ext cx="1939232" cy="6270"/>
                          <a:chOff x="0" y="0"/>
                          <a:chExt cx="1939232" cy="6270"/>
                        </a:xfrm>
                      </wpg:grpSpPr>
                      <wps:wsp>
                        <wps:cNvPr id="7149" name="Shape 7149"/>
                        <wps:cNvSpPr/>
                        <wps:spPr>
                          <a:xfrm>
                            <a:off x="0" y="0"/>
                            <a:ext cx="1939232" cy="0"/>
                          </a:xfrm>
                          <a:custGeom>
                            <a:avLst/>
                            <a:gdLst/>
                            <a:ahLst/>
                            <a:cxnLst/>
                            <a:rect l="0" t="0" r="0" b="0"/>
                            <a:pathLst>
                              <a:path w="1939232">
                                <a:moveTo>
                                  <a:pt x="0" y="0"/>
                                </a:moveTo>
                                <a:lnTo>
                                  <a:pt x="1939232" y="0"/>
                                </a:lnTo>
                              </a:path>
                            </a:pathLst>
                          </a:custGeom>
                          <a:ln w="6270"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4181" style="width:152.695pt;height:0.493665pt;position:absolute;mso-position-horizontal-relative:margin;mso-position-horizontal:absolute;margin-left:80.2987pt;mso-position-vertical-relative:text;margin-top:11.8793pt;" coordsize="19392,62">
                <v:shape id="Shape 7149" style="position:absolute;width:19392;height:0;left:0;top:0;" coordsize="1939232,0" path="m0,0l1939232,0">
                  <v:stroke weight="0.493665pt" endcap="flat" joinstyle="round" on="true" color="#000000"/>
                  <v:fill on="false" color="#000000" opacity="0"/>
                </v:shape>
                <w10:wrap type="topAndBottom"/>
              </v:group>
            </w:pict>
          </mc:Fallback>
        </mc:AlternateContent>
      </w:r>
      <w:r>
        <w:rPr>
          <w:noProof/>
        </w:rPr>
        <mc:AlternateContent>
          <mc:Choice Requires="wpg">
            <w:drawing>
              <wp:anchor distT="0" distB="0" distL="114300" distR="114300" simplePos="0" relativeHeight="251670528" behindDoc="0" locked="0" layoutInCell="1" allowOverlap="1">
                <wp:simplePos x="0" y="0"/>
                <wp:positionH relativeFrom="margin">
                  <wp:posOffset>3879191</wp:posOffset>
                </wp:positionH>
                <wp:positionV relativeFrom="paragraph">
                  <wp:posOffset>150868</wp:posOffset>
                </wp:positionV>
                <wp:extent cx="1920144" cy="6289"/>
                <wp:effectExtent l="0" t="0" r="0" b="0"/>
                <wp:wrapTopAndBottom/>
                <wp:docPr id="914182" name="Group 914182"/>
                <wp:cNvGraphicFramePr/>
                <a:graphic xmlns:a="http://schemas.openxmlformats.org/drawingml/2006/main">
                  <a:graphicData uri="http://schemas.microsoft.com/office/word/2010/wordprocessingGroup">
                    <wpg:wgp>
                      <wpg:cNvGrpSpPr/>
                      <wpg:grpSpPr>
                        <a:xfrm>
                          <a:off x="0" y="0"/>
                          <a:ext cx="1920144" cy="6289"/>
                          <a:chOff x="0" y="0"/>
                          <a:chExt cx="1920144" cy="6289"/>
                        </a:xfrm>
                      </wpg:grpSpPr>
                      <wps:wsp>
                        <wps:cNvPr id="7192" name="Shape 7192"/>
                        <wps:cNvSpPr/>
                        <wps:spPr>
                          <a:xfrm>
                            <a:off x="0" y="0"/>
                            <a:ext cx="1920144" cy="0"/>
                          </a:xfrm>
                          <a:custGeom>
                            <a:avLst/>
                            <a:gdLst/>
                            <a:ahLst/>
                            <a:cxnLst/>
                            <a:rect l="0" t="0" r="0" b="0"/>
                            <a:pathLst>
                              <a:path w="1920144">
                                <a:moveTo>
                                  <a:pt x="0" y="0"/>
                                </a:moveTo>
                                <a:lnTo>
                                  <a:pt x="1920144" y="0"/>
                                </a:lnTo>
                              </a:path>
                            </a:pathLst>
                          </a:custGeom>
                          <a:ln w="6289"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4182" style="width:151.192pt;height:0.495191pt;position:absolute;mso-position-horizontal-relative:margin;mso-position-horizontal:absolute;margin-left:305.448pt;mso-position-vertical-relative:text;margin-top:11.8794pt;" coordsize="19201,62">
                <v:shape id="Shape 7192" style="position:absolute;width:19201;height:0;left:0;top:0;" coordsize="1920144,0" path="m0,0l1920144,0">
                  <v:stroke weight="0.495191pt" endcap="flat" joinstyle="round" on="true" color="#000000"/>
                  <v:fill on="false" color="#000000" opacity="0"/>
                </v:shape>
                <w10:wrap type="topAndBottom"/>
              </v:group>
            </w:pict>
          </mc:Fallback>
        </mc:AlternateContent>
      </w:r>
      <w:r>
        <w:tab/>
      </w:r>
      <w:r>
        <w:rPr>
          <w:rFonts w:ascii="Times New Roman" w:eastAsia="Times New Roman" w:hAnsi="Times New Roman" w:cs="Times New Roman"/>
          <w:i/>
          <w:sz w:val="24"/>
        </w:rPr>
        <w:t xml:space="preserve">A </w:t>
      </w:r>
      <w:r>
        <w:rPr>
          <w:rFonts w:ascii="Segoe UI Symbol" w:eastAsia="Segoe UI Symbol" w:hAnsi="Segoe UI Symbol" w:cs="Segoe UI Symbol"/>
          <w:sz w:val="24"/>
        </w:rPr>
        <w:t></w:t>
      </w:r>
      <w:r>
        <w:rPr>
          <w:rFonts w:ascii="Segoe UI Symbol" w:eastAsia="Segoe UI Symbol" w:hAnsi="Segoe UI Symbol" w:cs="Segoe UI Symbol"/>
          <w:sz w:val="24"/>
        </w:rPr>
        <w:t xml:space="preserve"> </w:t>
      </w:r>
      <w:r>
        <w:rPr>
          <w:rFonts w:ascii="Times New Roman" w:eastAsia="Times New Roman" w:hAnsi="Times New Roman" w:cs="Times New Roman"/>
          <w:i/>
          <w:sz w:val="24"/>
        </w:rPr>
        <w:t>A</w:t>
      </w:r>
      <w:r>
        <w:rPr>
          <w:rFonts w:ascii="Times New Roman" w:eastAsia="Times New Roman" w:hAnsi="Times New Roman" w:cs="Times New Roman"/>
          <w:sz w:val="14"/>
        </w:rPr>
        <w:t>45</w:t>
      </w:r>
      <w:r>
        <w:rPr>
          <w:rFonts w:ascii="Segoe UI Symbol" w:eastAsia="Segoe UI Symbol" w:hAnsi="Segoe UI Symbol" w:cs="Segoe UI Symbol"/>
          <w:sz w:val="32"/>
        </w:rPr>
        <w:t></w:t>
      </w:r>
      <w:r>
        <w:rPr>
          <w:rFonts w:ascii="Times New Roman" w:eastAsia="Times New Roman" w:hAnsi="Times New Roman" w:cs="Times New Roman"/>
          <w:i/>
          <w:sz w:val="24"/>
        </w:rPr>
        <w:t>lA</w:t>
      </w:r>
      <w:r>
        <w:rPr>
          <w:rFonts w:ascii="Times New Roman" w:eastAsia="Times New Roman" w:hAnsi="Times New Roman" w:cs="Times New Roman"/>
          <w:sz w:val="14"/>
        </w:rPr>
        <w:t xml:space="preserve">22 </w:t>
      </w:r>
      <w:r>
        <w:rPr>
          <w:rFonts w:ascii="Segoe UI Symbol" w:eastAsia="Segoe UI Symbol" w:hAnsi="Segoe UI Symbol" w:cs="Segoe UI Symbol"/>
          <w:sz w:val="24"/>
        </w:rPr>
        <w:t xml:space="preserve"> </w:t>
      </w:r>
      <w:r>
        <w:rPr>
          <w:rFonts w:ascii="Times New Roman" w:eastAsia="Times New Roman" w:hAnsi="Times New Roman" w:cs="Times New Roman"/>
          <w:i/>
          <w:sz w:val="24"/>
        </w:rPr>
        <w:t>A</w:t>
      </w:r>
      <w:r>
        <w:rPr>
          <w:rFonts w:ascii="Times New Roman" w:eastAsia="Times New Roman" w:hAnsi="Times New Roman" w:cs="Times New Roman"/>
          <w:sz w:val="14"/>
        </w:rPr>
        <w:t>32</w:t>
      </w:r>
      <w:r>
        <w:rPr>
          <w:rFonts w:ascii="Segoe UI Symbol" w:eastAsia="Segoe UI Symbol" w:hAnsi="Segoe UI Symbol" w:cs="Segoe UI Symbol"/>
          <w:sz w:val="32"/>
        </w:rPr>
        <w:t></w:t>
      </w:r>
      <w:r>
        <w:rPr>
          <w:rFonts w:ascii="Segoe UI Symbol" w:eastAsia="Segoe UI Symbol" w:hAnsi="Segoe UI Symbol" w:cs="Segoe UI Symbol"/>
          <w:sz w:val="24"/>
        </w:rPr>
        <w:t xml:space="preserve"> </w:t>
      </w:r>
      <w:r>
        <w:rPr>
          <w:rFonts w:ascii="Times New Roman" w:eastAsia="Times New Roman" w:hAnsi="Times New Roman" w:cs="Times New Roman"/>
          <w:i/>
          <w:sz w:val="24"/>
        </w:rPr>
        <w:t>A</w:t>
      </w:r>
      <w:r>
        <w:rPr>
          <w:rFonts w:ascii="Times New Roman" w:eastAsia="Times New Roman" w:hAnsi="Times New Roman" w:cs="Times New Roman"/>
          <w:sz w:val="14"/>
        </w:rPr>
        <w:t>42</w:t>
      </w:r>
      <w:r>
        <w:rPr>
          <w:rFonts w:ascii="Segoe UI Symbol" w:eastAsia="Segoe UI Symbol" w:hAnsi="Segoe UI Symbol" w:cs="Segoe UI Symbol"/>
          <w:sz w:val="32"/>
        </w:rPr>
        <w:t></w:t>
      </w:r>
      <w:r>
        <w:rPr>
          <w:rFonts w:ascii="Times New Roman" w:eastAsia="Times New Roman" w:hAnsi="Times New Roman" w:cs="Times New Roman"/>
          <w:i/>
          <w:sz w:val="24"/>
        </w:rPr>
        <w:t>A</w:t>
      </w:r>
      <w:r>
        <w:rPr>
          <w:rFonts w:ascii="Times New Roman" w:eastAsia="Times New Roman" w:hAnsi="Times New Roman" w:cs="Times New Roman"/>
          <w:sz w:val="14"/>
        </w:rPr>
        <w:t xml:space="preserve">35 </w:t>
      </w:r>
      <w:r>
        <w:rPr>
          <w:rFonts w:ascii="Segoe UI Symbol" w:eastAsia="Segoe UI Symbol" w:hAnsi="Segoe UI Symbol" w:cs="Segoe UI Symbol"/>
          <w:sz w:val="24"/>
        </w:rPr>
        <w:t></w:t>
      </w:r>
      <w:r>
        <w:rPr>
          <w:rFonts w:ascii="Times New Roman" w:eastAsia="Times New Roman" w:hAnsi="Times New Roman" w:cs="Times New Roman"/>
          <w:i/>
          <w:sz w:val="24"/>
        </w:rPr>
        <w:t>lA</w:t>
      </w:r>
      <w:r>
        <w:rPr>
          <w:rFonts w:ascii="Times New Roman" w:eastAsia="Times New Roman" w:hAnsi="Times New Roman" w:cs="Times New Roman"/>
          <w:sz w:val="14"/>
        </w:rPr>
        <w:t>25</w:t>
      </w:r>
      <w:r>
        <w:rPr>
          <w:rFonts w:ascii="Segoe UI Symbol" w:eastAsia="Segoe UI Symbol" w:hAnsi="Segoe UI Symbol" w:cs="Segoe UI Symbol"/>
          <w:sz w:val="32"/>
        </w:rPr>
        <w:t></w:t>
      </w:r>
      <w:r>
        <w:rPr>
          <w:rFonts w:ascii="Segoe UI Symbol" w:eastAsia="Segoe UI Symbol" w:hAnsi="Segoe UI Symbol" w:cs="Segoe UI Symbol"/>
          <w:sz w:val="32"/>
        </w:rPr>
        <w:tab/>
      </w:r>
      <w:r>
        <w:rPr>
          <w:rFonts w:ascii="Times New Roman" w:eastAsia="Times New Roman" w:hAnsi="Times New Roman" w:cs="Times New Roman"/>
          <w:i/>
          <w:sz w:val="24"/>
        </w:rPr>
        <w:t xml:space="preserve">B </w:t>
      </w:r>
      <w:r>
        <w:rPr>
          <w:rFonts w:ascii="Segoe UI Symbol" w:eastAsia="Segoe UI Symbol" w:hAnsi="Segoe UI Symbol" w:cs="Segoe UI Symbol"/>
          <w:sz w:val="24"/>
        </w:rPr>
        <w:t></w:t>
      </w:r>
      <w:r>
        <w:rPr>
          <w:rFonts w:ascii="Segoe UI Symbol" w:eastAsia="Segoe UI Symbol" w:hAnsi="Segoe UI Symbol" w:cs="Segoe UI Symbol"/>
          <w:sz w:val="24"/>
        </w:rPr>
        <w:t xml:space="preserve"> </w:t>
      </w:r>
      <w:r>
        <w:rPr>
          <w:rFonts w:ascii="Times New Roman" w:eastAsia="Times New Roman" w:hAnsi="Times New Roman" w:cs="Times New Roman"/>
          <w:i/>
          <w:sz w:val="24"/>
        </w:rPr>
        <w:t>A</w:t>
      </w:r>
      <w:r>
        <w:rPr>
          <w:rFonts w:ascii="Times New Roman" w:eastAsia="Times New Roman" w:hAnsi="Times New Roman" w:cs="Times New Roman"/>
          <w:sz w:val="14"/>
        </w:rPr>
        <w:t>41</w:t>
      </w:r>
      <w:r>
        <w:rPr>
          <w:rFonts w:ascii="Segoe UI Symbol" w:eastAsia="Segoe UI Symbol" w:hAnsi="Segoe UI Symbol" w:cs="Segoe UI Symbol"/>
          <w:sz w:val="32"/>
        </w:rPr>
        <w:t></w:t>
      </w:r>
      <w:r>
        <w:rPr>
          <w:rFonts w:ascii="Times New Roman" w:eastAsia="Times New Roman" w:hAnsi="Times New Roman" w:cs="Times New Roman"/>
          <w:i/>
          <w:sz w:val="24"/>
        </w:rPr>
        <w:t>lA</w:t>
      </w:r>
      <w:r>
        <w:rPr>
          <w:rFonts w:ascii="Times New Roman" w:eastAsia="Times New Roman" w:hAnsi="Times New Roman" w:cs="Times New Roman"/>
          <w:sz w:val="14"/>
        </w:rPr>
        <w:t xml:space="preserve">25 </w:t>
      </w:r>
      <w:r>
        <w:rPr>
          <w:rFonts w:ascii="Segoe UI Symbol" w:eastAsia="Segoe UI Symbol" w:hAnsi="Segoe UI Symbol" w:cs="Segoe UI Symbol"/>
          <w:sz w:val="24"/>
        </w:rPr>
        <w:t xml:space="preserve"> </w:t>
      </w:r>
      <w:r>
        <w:rPr>
          <w:rFonts w:ascii="Times New Roman" w:eastAsia="Times New Roman" w:hAnsi="Times New Roman" w:cs="Times New Roman"/>
          <w:i/>
          <w:sz w:val="24"/>
        </w:rPr>
        <w:t>A</w:t>
      </w:r>
      <w:r>
        <w:rPr>
          <w:rFonts w:ascii="Times New Roman" w:eastAsia="Times New Roman" w:hAnsi="Times New Roman" w:cs="Times New Roman"/>
          <w:sz w:val="14"/>
        </w:rPr>
        <w:t>35</w:t>
      </w:r>
      <w:r>
        <w:rPr>
          <w:rFonts w:ascii="Segoe UI Symbol" w:eastAsia="Segoe UI Symbol" w:hAnsi="Segoe UI Symbol" w:cs="Segoe UI Symbol"/>
          <w:sz w:val="32"/>
        </w:rPr>
        <w:t></w:t>
      </w:r>
      <w:r>
        <w:rPr>
          <w:rFonts w:ascii="Segoe UI Symbol" w:eastAsia="Segoe UI Symbol" w:hAnsi="Segoe UI Symbol" w:cs="Segoe UI Symbol"/>
          <w:sz w:val="24"/>
        </w:rPr>
        <w:t xml:space="preserve"> </w:t>
      </w:r>
      <w:r>
        <w:rPr>
          <w:rFonts w:ascii="Times New Roman" w:eastAsia="Times New Roman" w:hAnsi="Times New Roman" w:cs="Times New Roman"/>
          <w:i/>
          <w:sz w:val="24"/>
        </w:rPr>
        <w:t>A</w:t>
      </w:r>
      <w:r>
        <w:rPr>
          <w:rFonts w:ascii="Times New Roman" w:eastAsia="Times New Roman" w:hAnsi="Times New Roman" w:cs="Times New Roman"/>
          <w:sz w:val="14"/>
        </w:rPr>
        <w:t>45</w:t>
      </w:r>
      <w:r>
        <w:rPr>
          <w:rFonts w:ascii="Segoe UI Symbol" w:eastAsia="Segoe UI Symbol" w:hAnsi="Segoe UI Symbol" w:cs="Segoe UI Symbol"/>
          <w:sz w:val="32"/>
        </w:rPr>
        <w:t></w:t>
      </w:r>
      <w:r>
        <w:rPr>
          <w:rFonts w:ascii="Times New Roman" w:eastAsia="Times New Roman" w:hAnsi="Times New Roman" w:cs="Times New Roman"/>
          <w:i/>
          <w:sz w:val="24"/>
        </w:rPr>
        <w:t>A</w:t>
      </w:r>
      <w:r>
        <w:rPr>
          <w:rFonts w:ascii="Times New Roman" w:eastAsia="Times New Roman" w:hAnsi="Times New Roman" w:cs="Times New Roman"/>
          <w:sz w:val="14"/>
        </w:rPr>
        <w:t xml:space="preserve">31 </w:t>
      </w:r>
      <w:r>
        <w:rPr>
          <w:rFonts w:ascii="Segoe UI Symbol" w:eastAsia="Segoe UI Symbol" w:hAnsi="Segoe UI Symbol" w:cs="Segoe UI Symbol"/>
          <w:sz w:val="24"/>
        </w:rPr>
        <w:t></w:t>
      </w:r>
      <w:r>
        <w:rPr>
          <w:rFonts w:ascii="Times New Roman" w:eastAsia="Times New Roman" w:hAnsi="Times New Roman" w:cs="Times New Roman"/>
          <w:i/>
          <w:sz w:val="24"/>
        </w:rPr>
        <w:t>lA</w:t>
      </w:r>
      <w:r>
        <w:rPr>
          <w:rFonts w:ascii="Times New Roman" w:eastAsia="Times New Roman" w:hAnsi="Times New Roman" w:cs="Times New Roman"/>
          <w:sz w:val="14"/>
        </w:rPr>
        <w:t>21</w:t>
      </w:r>
      <w:r>
        <w:rPr>
          <w:rFonts w:ascii="Segoe UI Symbol" w:eastAsia="Segoe UI Symbol" w:hAnsi="Segoe UI Symbol" w:cs="Segoe UI Symbol"/>
          <w:sz w:val="32"/>
        </w:rPr>
        <w:t></w:t>
      </w:r>
    </w:p>
    <w:p w:rsidR="0052701D" w:rsidRDefault="00D40929">
      <w:pPr>
        <w:tabs>
          <w:tab w:val="center" w:pos="3224"/>
          <w:tab w:val="center" w:pos="7642"/>
        </w:tabs>
        <w:spacing w:before="89" w:after="129"/>
      </w:pPr>
      <w:r>
        <w:tab/>
      </w:r>
      <w:r>
        <w:rPr>
          <w:rFonts w:ascii="Times New Roman" w:eastAsia="Times New Roman" w:hAnsi="Times New Roman" w:cs="Times New Roman"/>
          <w:i/>
          <w:sz w:val="24"/>
        </w:rPr>
        <w:t>A</w:t>
      </w:r>
      <w:r>
        <w:rPr>
          <w:rFonts w:ascii="Times New Roman" w:eastAsia="Times New Roman" w:hAnsi="Times New Roman" w:cs="Times New Roman"/>
          <w:sz w:val="14"/>
        </w:rPr>
        <w:t>41</w:t>
      </w:r>
      <w:r>
        <w:rPr>
          <w:rFonts w:ascii="Segoe UI Symbol" w:eastAsia="Segoe UI Symbol" w:hAnsi="Segoe UI Symbol" w:cs="Segoe UI Symbol"/>
          <w:sz w:val="32"/>
        </w:rPr>
        <w:t></w:t>
      </w:r>
      <w:r>
        <w:rPr>
          <w:rFonts w:ascii="Times New Roman" w:eastAsia="Times New Roman" w:hAnsi="Times New Roman" w:cs="Times New Roman"/>
          <w:i/>
          <w:sz w:val="24"/>
        </w:rPr>
        <w:t>lA</w:t>
      </w:r>
      <w:r>
        <w:rPr>
          <w:rFonts w:ascii="Times New Roman" w:eastAsia="Times New Roman" w:hAnsi="Times New Roman" w:cs="Times New Roman"/>
          <w:sz w:val="14"/>
        </w:rPr>
        <w:t xml:space="preserve">22 </w:t>
      </w:r>
      <w:r>
        <w:rPr>
          <w:rFonts w:ascii="Segoe UI Symbol" w:eastAsia="Segoe UI Symbol" w:hAnsi="Segoe UI Symbol" w:cs="Segoe UI Symbol"/>
          <w:sz w:val="24"/>
        </w:rPr>
        <w:t xml:space="preserve"> </w:t>
      </w:r>
      <w:r>
        <w:rPr>
          <w:rFonts w:ascii="Times New Roman" w:eastAsia="Times New Roman" w:hAnsi="Times New Roman" w:cs="Times New Roman"/>
          <w:i/>
          <w:sz w:val="24"/>
        </w:rPr>
        <w:t>A</w:t>
      </w:r>
      <w:r>
        <w:rPr>
          <w:rFonts w:ascii="Times New Roman" w:eastAsia="Times New Roman" w:hAnsi="Times New Roman" w:cs="Times New Roman"/>
          <w:sz w:val="14"/>
        </w:rPr>
        <w:t>32</w:t>
      </w:r>
      <w:r>
        <w:rPr>
          <w:rFonts w:ascii="Segoe UI Symbol" w:eastAsia="Segoe UI Symbol" w:hAnsi="Segoe UI Symbol" w:cs="Segoe UI Symbol"/>
          <w:sz w:val="32"/>
        </w:rPr>
        <w:t></w:t>
      </w:r>
      <w:r>
        <w:rPr>
          <w:rFonts w:ascii="Segoe UI Symbol" w:eastAsia="Segoe UI Symbol" w:hAnsi="Segoe UI Symbol" w:cs="Segoe UI Symbol"/>
          <w:sz w:val="24"/>
        </w:rPr>
        <w:t xml:space="preserve"> </w:t>
      </w:r>
      <w:r>
        <w:rPr>
          <w:rFonts w:ascii="Times New Roman" w:eastAsia="Times New Roman" w:hAnsi="Times New Roman" w:cs="Times New Roman"/>
          <w:i/>
          <w:sz w:val="24"/>
        </w:rPr>
        <w:t>A</w:t>
      </w:r>
      <w:r>
        <w:rPr>
          <w:rFonts w:ascii="Times New Roman" w:eastAsia="Times New Roman" w:hAnsi="Times New Roman" w:cs="Times New Roman"/>
          <w:sz w:val="14"/>
        </w:rPr>
        <w:t>42</w:t>
      </w:r>
      <w:r>
        <w:rPr>
          <w:rFonts w:ascii="Segoe UI Symbol" w:eastAsia="Segoe UI Symbol" w:hAnsi="Segoe UI Symbol" w:cs="Segoe UI Symbol"/>
          <w:sz w:val="32"/>
        </w:rPr>
        <w:t></w:t>
      </w:r>
      <w:r>
        <w:rPr>
          <w:rFonts w:ascii="Times New Roman" w:eastAsia="Times New Roman" w:hAnsi="Times New Roman" w:cs="Times New Roman"/>
          <w:i/>
          <w:sz w:val="24"/>
        </w:rPr>
        <w:t>A</w:t>
      </w:r>
      <w:r>
        <w:rPr>
          <w:rFonts w:ascii="Times New Roman" w:eastAsia="Times New Roman" w:hAnsi="Times New Roman" w:cs="Times New Roman"/>
          <w:sz w:val="14"/>
        </w:rPr>
        <w:t xml:space="preserve">31 </w:t>
      </w:r>
      <w:r>
        <w:rPr>
          <w:rFonts w:ascii="Segoe UI Symbol" w:eastAsia="Segoe UI Symbol" w:hAnsi="Segoe UI Symbol" w:cs="Segoe UI Symbol"/>
          <w:sz w:val="24"/>
        </w:rPr>
        <w:t></w:t>
      </w:r>
      <w:r>
        <w:rPr>
          <w:rFonts w:ascii="Times New Roman" w:eastAsia="Times New Roman" w:hAnsi="Times New Roman" w:cs="Times New Roman"/>
          <w:i/>
          <w:sz w:val="24"/>
        </w:rPr>
        <w:t>lA</w:t>
      </w:r>
      <w:r>
        <w:rPr>
          <w:rFonts w:ascii="Times New Roman" w:eastAsia="Times New Roman" w:hAnsi="Times New Roman" w:cs="Times New Roman"/>
          <w:sz w:val="14"/>
        </w:rPr>
        <w:t>21</w:t>
      </w:r>
      <w:r>
        <w:rPr>
          <w:rFonts w:ascii="Segoe UI Symbol" w:eastAsia="Segoe UI Symbol" w:hAnsi="Segoe UI Symbol" w:cs="Segoe UI Symbol"/>
          <w:sz w:val="32"/>
        </w:rPr>
        <w:t xml:space="preserve"> </w:t>
      </w:r>
      <w:r>
        <w:rPr>
          <w:rFonts w:ascii="Times New Roman" w:eastAsia="Times New Roman" w:hAnsi="Times New Roman" w:cs="Times New Roman"/>
          <w:sz w:val="28"/>
        </w:rPr>
        <w:t xml:space="preserve">,          </w:t>
      </w:r>
      <w:r>
        <w:rPr>
          <w:rFonts w:ascii="Times New Roman" w:eastAsia="Times New Roman" w:hAnsi="Times New Roman" w:cs="Times New Roman"/>
          <w:sz w:val="28"/>
        </w:rPr>
        <w:tab/>
      </w:r>
      <w:r>
        <w:rPr>
          <w:rFonts w:ascii="Times New Roman" w:eastAsia="Times New Roman" w:hAnsi="Times New Roman" w:cs="Times New Roman"/>
          <w:i/>
          <w:sz w:val="24"/>
        </w:rPr>
        <w:t>A</w:t>
      </w:r>
      <w:r>
        <w:rPr>
          <w:rFonts w:ascii="Times New Roman" w:eastAsia="Times New Roman" w:hAnsi="Times New Roman" w:cs="Times New Roman"/>
          <w:sz w:val="14"/>
        </w:rPr>
        <w:t>41</w:t>
      </w:r>
      <w:r>
        <w:rPr>
          <w:rFonts w:ascii="Segoe UI Symbol" w:eastAsia="Segoe UI Symbol" w:hAnsi="Segoe UI Symbol" w:cs="Segoe UI Symbol"/>
          <w:sz w:val="32"/>
        </w:rPr>
        <w:t></w:t>
      </w:r>
      <w:r>
        <w:rPr>
          <w:rFonts w:ascii="Times New Roman" w:eastAsia="Times New Roman" w:hAnsi="Times New Roman" w:cs="Times New Roman"/>
          <w:i/>
          <w:sz w:val="24"/>
        </w:rPr>
        <w:t>lA</w:t>
      </w:r>
      <w:r>
        <w:rPr>
          <w:rFonts w:ascii="Times New Roman" w:eastAsia="Times New Roman" w:hAnsi="Times New Roman" w:cs="Times New Roman"/>
          <w:sz w:val="14"/>
        </w:rPr>
        <w:t xml:space="preserve">22 </w:t>
      </w:r>
      <w:r>
        <w:rPr>
          <w:rFonts w:ascii="Segoe UI Symbol" w:eastAsia="Segoe UI Symbol" w:hAnsi="Segoe UI Symbol" w:cs="Segoe UI Symbol"/>
          <w:sz w:val="24"/>
        </w:rPr>
        <w:t xml:space="preserve"> </w:t>
      </w:r>
      <w:r>
        <w:rPr>
          <w:rFonts w:ascii="Times New Roman" w:eastAsia="Times New Roman" w:hAnsi="Times New Roman" w:cs="Times New Roman"/>
          <w:i/>
          <w:sz w:val="24"/>
        </w:rPr>
        <w:t>A</w:t>
      </w:r>
      <w:r>
        <w:rPr>
          <w:rFonts w:ascii="Times New Roman" w:eastAsia="Times New Roman" w:hAnsi="Times New Roman" w:cs="Times New Roman"/>
          <w:sz w:val="14"/>
        </w:rPr>
        <w:t>32</w:t>
      </w:r>
      <w:r>
        <w:rPr>
          <w:rFonts w:ascii="Segoe UI Symbol" w:eastAsia="Segoe UI Symbol" w:hAnsi="Segoe UI Symbol" w:cs="Segoe UI Symbol"/>
          <w:sz w:val="32"/>
        </w:rPr>
        <w:t></w:t>
      </w:r>
      <w:r>
        <w:rPr>
          <w:rFonts w:ascii="Segoe UI Symbol" w:eastAsia="Segoe UI Symbol" w:hAnsi="Segoe UI Symbol" w:cs="Segoe UI Symbol"/>
          <w:sz w:val="24"/>
        </w:rPr>
        <w:t xml:space="preserve"> </w:t>
      </w:r>
      <w:r>
        <w:rPr>
          <w:rFonts w:ascii="Times New Roman" w:eastAsia="Times New Roman" w:hAnsi="Times New Roman" w:cs="Times New Roman"/>
          <w:i/>
          <w:sz w:val="24"/>
        </w:rPr>
        <w:t>A</w:t>
      </w:r>
      <w:r>
        <w:rPr>
          <w:rFonts w:ascii="Times New Roman" w:eastAsia="Times New Roman" w:hAnsi="Times New Roman" w:cs="Times New Roman"/>
          <w:sz w:val="14"/>
        </w:rPr>
        <w:t>42</w:t>
      </w:r>
      <w:r>
        <w:rPr>
          <w:rFonts w:ascii="Segoe UI Symbol" w:eastAsia="Segoe UI Symbol" w:hAnsi="Segoe UI Symbol" w:cs="Segoe UI Symbol"/>
          <w:sz w:val="32"/>
        </w:rPr>
        <w:t></w:t>
      </w:r>
      <w:r>
        <w:rPr>
          <w:rFonts w:ascii="Times New Roman" w:eastAsia="Times New Roman" w:hAnsi="Times New Roman" w:cs="Times New Roman"/>
          <w:i/>
          <w:sz w:val="24"/>
        </w:rPr>
        <w:t>A</w:t>
      </w:r>
      <w:r>
        <w:rPr>
          <w:rFonts w:ascii="Times New Roman" w:eastAsia="Times New Roman" w:hAnsi="Times New Roman" w:cs="Times New Roman"/>
          <w:sz w:val="14"/>
        </w:rPr>
        <w:t xml:space="preserve">31 </w:t>
      </w:r>
      <w:r>
        <w:rPr>
          <w:rFonts w:ascii="Segoe UI Symbol" w:eastAsia="Segoe UI Symbol" w:hAnsi="Segoe UI Symbol" w:cs="Segoe UI Symbol"/>
          <w:sz w:val="24"/>
        </w:rPr>
        <w:t></w:t>
      </w:r>
      <w:r>
        <w:rPr>
          <w:rFonts w:ascii="Times New Roman" w:eastAsia="Times New Roman" w:hAnsi="Times New Roman" w:cs="Times New Roman"/>
          <w:i/>
          <w:sz w:val="24"/>
        </w:rPr>
        <w:t>lA</w:t>
      </w:r>
      <w:r>
        <w:rPr>
          <w:rFonts w:ascii="Times New Roman" w:eastAsia="Times New Roman" w:hAnsi="Times New Roman" w:cs="Times New Roman"/>
          <w:sz w:val="14"/>
        </w:rPr>
        <w:t>21</w:t>
      </w:r>
      <w:r>
        <w:rPr>
          <w:rFonts w:ascii="Segoe UI Symbol" w:eastAsia="Segoe UI Symbol" w:hAnsi="Segoe UI Symbol" w:cs="Segoe UI Symbol"/>
          <w:sz w:val="32"/>
        </w:rPr>
        <w:t></w:t>
      </w:r>
      <w:r>
        <w:rPr>
          <w:rFonts w:ascii="Times New Roman" w:eastAsia="Times New Roman" w:hAnsi="Times New Roman" w:cs="Times New Roman"/>
          <w:sz w:val="28"/>
        </w:rPr>
        <w:t xml:space="preserve"> </w:t>
      </w:r>
    </w:p>
    <w:p w:rsidR="0052701D" w:rsidRDefault="00D40929">
      <w:pPr>
        <w:numPr>
          <w:ilvl w:val="0"/>
          <w:numId w:val="6"/>
        </w:numPr>
        <w:spacing w:after="3"/>
        <w:ind w:right="210" w:hanging="241"/>
        <w:jc w:val="both"/>
      </w:pPr>
      <w:r>
        <w:rPr>
          <w:noProof/>
        </w:rPr>
        <mc:AlternateContent>
          <mc:Choice Requires="wpg">
            <w:drawing>
              <wp:anchor distT="0" distB="0" distL="114300" distR="114300" simplePos="0" relativeHeight="251671552" behindDoc="0" locked="0" layoutInCell="1" allowOverlap="1">
                <wp:simplePos x="0" y="0"/>
                <wp:positionH relativeFrom="margin">
                  <wp:posOffset>744143</wp:posOffset>
                </wp:positionH>
                <wp:positionV relativeFrom="paragraph">
                  <wp:posOffset>152696</wp:posOffset>
                </wp:positionV>
                <wp:extent cx="4131623" cy="6280"/>
                <wp:effectExtent l="0" t="0" r="0" b="0"/>
                <wp:wrapTopAndBottom/>
                <wp:docPr id="914183" name="Group 914183"/>
                <wp:cNvGraphicFramePr/>
                <a:graphic xmlns:a="http://schemas.openxmlformats.org/drawingml/2006/main">
                  <a:graphicData uri="http://schemas.microsoft.com/office/word/2010/wordprocessingGroup">
                    <wpg:wgp>
                      <wpg:cNvGrpSpPr/>
                      <wpg:grpSpPr>
                        <a:xfrm>
                          <a:off x="0" y="0"/>
                          <a:ext cx="4131623" cy="6280"/>
                          <a:chOff x="0" y="0"/>
                          <a:chExt cx="4131623" cy="6280"/>
                        </a:xfrm>
                      </wpg:grpSpPr>
                      <wps:wsp>
                        <wps:cNvPr id="7239" name="Shape 7239"/>
                        <wps:cNvSpPr/>
                        <wps:spPr>
                          <a:xfrm>
                            <a:off x="0" y="0"/>
                            <a:ext cx="4131623" cy="0"/>
                          </a:xfrm>
                          <a:custGeom>
                            <a:avLst/>
                            <a:gdLst/>
                            <a:ahLst/>
                            <a:cxnLst/>
                            <a:rect l="0" t="0" r="0" b="0"/>
                            <a:pathLst>
                              <a:path w="4131623">
                                <a:moveTo>
                                  <a:pt x="0" y="0"/>
                                </a:moveTo>
                                <a:lnTo>
                                  <a:pt x="4131623" y="0"/>
                                </a:lnTo>
                              </a:path>
                            </a:pathLst>
                          </a:custGeom>
                          <a:ln w="6280"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4183" style="width:325.325pt;height:0.494484pt;position:absolute;mso-position-horizontal-relative:margin;mso-position-horizontal:absolute;margin-left:58.594pt;mso-position-vertical-relative:text;margin-top:12.0233pt;" coordsize="41316,62">
                <v:shape id="Shape 7239" style="position:absolute;width:41316;height:0;left:0;top:0;" coordsize="4131623,0" path="m0,0l4131623,0">
                  <v:stroke weight="0.494484pt" endcap="flat" joinstyle="round" on="true" color="#000000"/>
                  <v:fill on="false" color="#000000" opacity="0"/>
                </v:shape>
                <w10:wrap type="topAndBottom"/>
              </v:group>
            </w:pict>
          </mc:Fallback>
        </mc:AlternateConten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33"/>
        </w:rPr>
        <w:t></w:t>
      </w:r>
      <w:r>
        <w:rPr>
          <w:rFonts w:ascii="Times New Roman" w:eastAsia="Times New Roman" w:hAnsi="Times New Roman" w:cs="Times New Roman"/>
          <w:i/>
          <w:sz w:val="24"/>
        </w:rPr>
        <w:t>A</w:t>
      </w:r>
      <w:r>
        <w:rPr>
          <w:rFonts w:ascii="Times New Roman" w:eastAsia="Times New Roman" w:hAnsi="Times New Roman" w:cs="Times New Roman"/>
          <w:sz w:val="14"/>
        </w:rPr>
        <w:t>45</w:t>
      </w:r>
      <w:r>
        <w:rPr>
          <w:rFonts w:ascii="Segoe UI Symbol" w:eastAsia="Segoe UI Symbol" w:hAnsi="Segoe UI Symbol" w:cs="Segoe UI Symbol"/>
          <w:sz w:val="32"/>
        </w:rPr>
        <w:t></w:t>
      </w:r>
      <w:r>
        <w:rPr>
          <w:rFonts w:ascii="Times New Roman" w:eastAsia="Times New Roman" w:hAnsi="Times New Roman" w:cs="Times New Roman"/>
          <w:i/>
          <w:sz w:val="24"/>
        </w:rPr>
        <w:t>A</w:t>
      </w:r>
      <w:r>
        <w:rPr>
          <w:rFonts w:ascii="Times New Roman" w:eastAsia="Times New Roman" w:hAnsi="Times New Roman" w:cs="Times New Roman"/>
          <w:sz w:val="14"/>
        </w:rPr>
        <w:t>21</w:t>
      </w:r>
      <w:r>
        <w:rPr>
          <w:rFonts w:ascii="Times New Roman" w:eastAsia="Times New Roman" w:hAnsi="Times New Roman" w:cs="Times New Roman"/>
          <w:i/>
          <w:sz w:val="24"/>
        </w:rPr>
        <w:t>A</w:t>
      </w:r>
      <w:r>
        <w:rPr>
          <w:rFonts w:ascii="Times New Roman" w:eastAsia="Times New Roman" w:hAnsi="Times New Roman" w:cs="Times New Roman"/>
          <w:sz w:val="14"/>
        </w:rPr>
        <w:t xml:space="preserve">32 </w:t>
      </w:r>
      <w:r>
        <w:rPr>
          <w:rFonts w:ascii="Segoe UI Symbol" w:eastAsia="Segoe UI Symbol" w:hAnsi="Segoe UI Symbol" w:cs="Segoe UI Symbol"/>
          <w:sz w:val="24"/>
        </w:rPr>
        <w:t xml:space="preserve"> </w:t>
      </w:r>
      <w:r>
        <w:rPr>
          <w:rFonts w:ascii="Times New Roman" w:eastAsia="Times New Roman" w:hAnsi="Times New Roman" w:cs="Times New Roman"/>
          <w:i/>
          <w:sz w:val="24"/>
        </w:rPr>
        <w:t>A</w:t>
      </w:r>
      <w:r>
        <w:rPr>
          <w:rFonts w:ascii="Times New Roman" w:eastAsia="Times New Roman" w:hAnsi="Times New Roman" w:cs="Times New Roman"/>
          <w:sz w:val="14"/>
        </w:rPr>
        <w:t>22</w:t>
      </w:r>
      <w:r>
        <w:rPr>
          <w:rFonts w:ascii="Times New Roman" w:eastAsia="Times New Roman" w:hAnsi="Times New Roman" w:cs="Times New Roman"/>
          <w:i/>
          <w:sz w:val="24"/>
        </w:rPr>
        <w:t>A</w:t>
      </w:r>
      <w:r>
        <w:rPr>
          <w:rFonts w:ascii="Times New Roman" w:eastAsia="Times New Roman" w:hAnsi="Times New Roman" w:cs="Times New Roman"/>
          <w:sz w:val="14"/>
        </w:rPr>
        <w:t>31</w:t>
      </w:r>
      <w:r>
        <w:rPr>
          <w:rFonts w:ascii="Segoe UI Symbol" w:eastAsia="Segoe UI Symbol" w:hAnsi="Segoe UI Symbol" w:cs="Segoe UI Symbol"/>
          <w:sz w:val="32"/>
        </w:rPr>
        <w:t></w:t>
      </w:r>
      <w:r>
        <w:rPr>
          <w:rFonts w:ascii="Segoe UI Symbol" w:eastAsia="Segoe UI Symbol" w:hAnsi="Segoe UI Symbol" w:cs="Segoe UI Symbol"/>
          <w:sz w:val="24"/>
        </w:rPr>
        <w:t xml:space="preserve"> </w:t>
      </w:r>
      <w:r>
        <w:rPr>
          <w:rFonts w:ascii="Times New Roman" w:eastAsia="Times New Roman" w:hAnsi="Times New Roman" w:cs="Times New Roman"/>
          <w:i/>
          <w:sz w:val="24"/>
        </w:rPr>
        <w:t>A</w:t>
      </w:r>
      <w:r>
        <w:rPr>
          <w:rFonts w:ascii="Times New Roman" w:eastAsia="Times New Roman" w:hAnsi="Times New Roman" w:cs="Times New Roman"/>
          <w:sz w:val="14"/>
        </w:rPr>
        <w:t>42</w:t>
      </w:r>
      <w:r>
        <w:rPr>
          <w:rFonts w:ascii="Segoe UI Symbol" w:eastAsia="Segoe UI Symbol" w:hAnsi="Segoe UI Symbol" w:cs="Segoe UI Symbol"/>
          <w:sz w:val="32"/>
        </w:rPr>
        <w:t></w:t>
      </w:r>
      <w:r>
        <w:rPr>
          <w:rFonts w:ascii="Times New Roman" w:eastAsia="Times New Roman" w:hAnsi="Times New Roman" w:cs="Times New Roman"/>
          <w:i/>
          <w:sz w:val="24"/>
        </w:rPr>
        <w:t>A</w:t>
      </w:r>
      <w:r>
        <w:rPr>
          <w:rFonts w:ascii="Times New Roman" w:eastAsia="Times New Roman" w:hAnsi="Times New Roman" w:cs="Times New Roman"/>
          <w:sz w:val="14"/>
        </w:rPr>
        <w:t>25</w:t>
      </w:r>
      <w:r>
        <w:rPr>
          <w:rFonts w:ascii="Times New Roman" w:eastAsia="Times New Roman" w:hAnsi="Times New Roman" w:cs="Times New Roman"/>
          <w:i/>
          <w:sz w:val="24"/>
        </w:rPr>
        <w:t>A</w:t>
      </w:r>
      <w:r>
        <w:rPr>
          <w:rFonts w:ascii="Times New Roman" w:eastAsia="Times New Roman" w:hAnsi="Times New Roman" w:cs="Times New Roman"/>
          <w:sz w:val="14"/>
        </w:rPr>
        <w:t xml:space="preserve">31 </w:t>
      </w:r>
      <w:r>
        <w:rPr>
          <w:rFonts w:ascii="Segoe UI Symbol" w:eastAsia="Segoe UI Symbol" w:hAnsi="Segoe UI Symbol" w:cs="Segoe UI Symbol"/>
          <w:sz w:val="24"/>
        </w:rPr>
        <w:t xml:space="preserve"> </w:t>
      </w:r>
      <w:r>
        <w:rPr>
          <w:rFonts w:ascii="Times New Roman" w:eastAsia="Times New Roman" w:hAnsi="Times New Roman" w:cs="Times New Roman"/>
          <w:i/>
          <w:sz w:val="24"/>
        </w:rPr>
        <w:t>A</w:t>
      </w:r>
      <w:r>
        <w:rPr>
          <w:rFonts w:ascii="Times New Roman" w:eastAsia="Times New Roman" w:hAnsi="Times New Roman" w:cs="Times New Roman"/>
          <w:sz w:val="14"/>
        </w:rPr>
        <w:t>21</w:t>
      </w:r>
      <w:r>
        <w:rPr>
          <w:rFonts w:ascii="Times New Roman" w:eastAsia="Times New Roman" w:hAnsi="Times New Roman" w:cs="Times New Roman"/>
          <w:i/>
          <w:sz w:val="24"/>
        </w:rPr>
        <w:t>A</w:t>
      </w:r>
      <w:r>
        <w:rPr>
          <w:rFonts w:ascii="Times New Roman" w:eastAsia="Times New Roman" w:hAnsi="Times New Roman" w:cs="Times New Roman"/>
          <w:sz w:val="14"/>
        </w:rPr>
        <w:t>35</w:t>
      </w:r>
      <w:r>
        <w:rPr>
          <w:rFonts w:ascii="Segoe UI Symbol" w:eastAsia="Segoe UI Symbol" w:hAnsi="Segoe UI Symbol" w:cs="Segoe UI Symbol"/>
          <w:sz w:val="32"/>
        </w:rPr>
        <w:t></w:t>
      </w:r>
      <w:r>
        <w:rPr>
          <w:rFonts w:ascii="Segoe UI Symbol" w:eastAsia="Segoe UI Symbol" w:hAnsi="Segoe UI Symbol" w:cs="Segoe UI Symbol"/>
          <w:sz w:val="24"/>
        </w:rPr>
        <w:t xml:space="preserve"> </w:t>
      </w:r>
      <w:r>
        <w:rPr>
          <w:rFonts w:ascii="Times New Roman" w:eastAsia="Times New Roman" w:hAnsi="Times New Roman" w:cs="Times New Roman"/>
          <w:i/>
          <w:sz w:val="24"/>
        </w:rPr>
        <w:t>A</w:t>
      </w:r>
      <w:r>
        <w:rPr>
          <w:rFonts w:ascii="Times New Roman" w:eastAsia="Times New Roman" w:hAnsi="Times New Roman" w:cs="Times New Roman"/>
          <w:sz w:val="14"/>
        </w:rPr>
        <w:t>41</w:t>
      </w:r>
      <w:r>
        <w:rPr>
          <w:rFonts w:ascii="Segoe UI Symbol" w:eastAsia="Segoe UI Symbol" w:hAnsi="Segoe UI Symbol" w:cs="Segoe UI Symbol"/>
          <w:sz w:val="32"/>
        </w:rPr>
        <w:t></w:t>
      </w:r>
      <w:r>
        <w:rPr>
          <w:rFonts w:ascii="Times New Roman" w:eastAsia="Times New Roman" w:hAnsi="Times New Roman" w:cs="Times New Roman"/>
          <w:i/>
          <w:sz w:val="24"/>
        </w:rPr>
        <w:t>A</w:t>
      </w:r>
      <w:r>
        <w:rPr>
          <w:rFonts w:ascii="Times New Roman" w:eastAsia="Times New Roman" w:hAnsi="Times New Roman" w:cs="Times New Roman"/>
          <w:sz w:val="14"/>
        </w:rPr>
        <w:t>22</w:t>
      </w:r>
      <w:r>
        <w:rPr>
          <w:rFonts w:ascii="Times New Roman" w:eastAsia="Times New Roman" w:hAnsi="Times New Roman" w:cs="Times New Roman"/>
          <w:i/>
          <w:sz w:val="24"/>
        </w:rPr>
        <w:t>A</w:t>
      </w:r>
      <w:r>
        <w:rPr>
          <w:rFonts w:ascii="Times New Roman" w:eastAsia="Times New Roman" w:hAnsi="Times New Roman" w:cs="Times New Roman"/>
          <w:sz w:val="14"/>
        </w:rPr>
        <w:t xml:space="preserve">35 </w:t>
      </w:r>
      <w:r>
        <w:rPr>
          <w:rFonts w:ascii="Segoe UI Symbol" w:eastAsia="Segoe UI Symbol" w:hAnsi="Segoe UI Symbol" w:cs="Segoe UI Symbol"/>
          <w:sz w:val="24"/>
        </w:rPr>
        <w:t xml:space="preserve"> </w:t>
      </w:r>
      <w:r>
        <w:rPr>
          <w:rFonts w:ascii="Times New Roman" w:eastAsia="Times New Roman" w:hAnsi="Times New Roman" w:cs="Times New Roman"/>
          <w:i/>
          <w:sz w:val="24"/>
        </w:rPr>
        <w:t>A</w:t>
      </w:r>
      <w:r>
        <w:rPr>
          <w:rFonts w:ascii="Times New Roman" w:eastAsia="Times New Roman" w:hAnsi="Times New Roman" w:cs="Times New Roman"/>
          <w:sz w:val="14"/>
        </w:rPr>
        <w:t>25</w:t>
      </w:r>
      <w:r>
        <w:rPr>
          <w:rFonts w:ascii="Times New Roman" w:eastAsia="Times New Roman" w:hAnsi="Times New Roman" w:cs="Times New Roman"/>
          <w:i/>
          <w:sz w:val="24"/>
        </w:rPr>
        <w:t>A</w:t>
      </w:r>
      <w:r>
        <w:rPr>
          <w:rFonts w:ascii="Times New Roman" w:eastAsia="Times New Roman" w:hAnsi="Times New Roman" w:cs="Times New Roman"/>
          <w:sz w:val="14"/>
        </w:rPr>
        <w:t>32</w:t>
      </w:r>
      <w:r>
        <w:rPr>
          <w:rFonts w:ascii="Segoe UI Symbol" w:eastAsia="Segoe UI Symbol" w:hAnsi="Segoe UI Symbol" w:cs="Segoe UI Symbol"/>
          <w:sz w:val="32"/>
        </w:rPr>
        <w:t></w:t>
      </w:r>
      <w:r>
        <w:rPr>
          <w:rFonts w:ascii="Segoe UI Symbol" w:eastAsia="Segoe UI Symbol" w:hAnsi="Segoe UI Symbol" w:cs="Segoe UI Symbol"/>
          <w:sz w:val="33"/>
        </w:rPr>
        <w:t></w:t>
      </w:r>
      <w:r>
        <w:rPr>
          <w:rFonts w:ascii="Times New Roman" w:eastAsia="Times New Roman" w:hAnsi="Times New Roman" w:cs="Times New Roman"/>
          <w:sz w:val="24"/>
        </w:rPr>
        <w:t>,</w:t>
      </w:r>
    </w:p>
    <w:p w:rsidR="0052701D" w:rsidRDefault="00D40929">
      <w:pPr>
        <w:tabs>
          <w:tab w:val="center" w:pos="4447"/>
          <w:tab w:val="center" w:pos="8443"/>
        </w:tabs>
        <w:spacing w:before="87" w:after="0"/>
      </w:pPr>
      <w:r>
        <w:tab/>
      </w:r>
      <w:r>
        <w:rPr>
          <w:rFonts w:ascii="Times New Roman" w:eastAsia="Times New Roman" w:hAnsi="Times New Roman" w:cs="Times New Roman"/>
          <w:i/>
          <w:sz w:val="24"/>
        </w:rPr>
        <w:t>A</w:t>
      </w:r>
      <w:r>
        <w:rPr>
          <w:rFonts w:ascii="Times New Roman" w:eastAsia="Times New Roman" w:hAnsi="Times New Roman" w:cs="Times New Roman"/>
          <w:sz w:val="14"/>
        </w:rPr>
        <w:t>41</w:t>
      </w:r>
      <w:r>
        <w:rPr>
          <w:rFonts w:ascii="Segoe UI Symbol" w:eastAsia="Segoe UI Symbol" w:hAnsi="Segoe UI Symbol" w:cs="Segoe UI Symbol"/>
          <w:sz w:val="32"/>
        </w:rPr>
        <w:t></w:t>
      </w:r>
      <w:r>
        <w:rPr>
          <w:rFonts w:ascii="Times New Roman" w:eastAsia="Times New Roman" w:hAnsi="Times New Roman" w:cs="Times New Roman"/>
          <w:i/>
          <w:sz w:val="24"/>
        </w:rPr>
        <w:t>lA</w:t>
      </w:r>
      <w:r>
        <w:rPr>
          <w:rFonts w:ascii="Times New Roman" w:eastAsia="Times New Roman" w:hAnsi="Times New Roman" w:cs="Times New Roman"/>
          <w:sz w:val="14"/>
        </w:rPr>
        <w:t xml:space="preserve">22 </w:t>
      </w:r>
      <w:r>
        <w:rPr>
          <w:rFonts w:ascii="Segoe UI Symbol" w:eastAsia="Segoe UI Symbol" w:hAnsi="Segoe UI Symbol" w:cs="Segoe UI Symbol"/>
          <w:sz w:val="24"/>
        </w:rPr>
        <w:t xml:space="preserve"> </w:t>
      </w:r>
      <w:r>
        <w:rPr>
          <w:rFonts w:ascii="Times New Roman" w:eastAsia="Times New Roman" w:hAnsi="Times New Roman" w:cs="Times New Roman"/>
          <w:i/>
          <w:sz w:val="24"/>
        </w:rPr>
        <w:t>A</w:t>
      </w:r>
      <w:r>
        <w:rPr>
          <w:rFonts w:ascii="Times New Roman" w:eastAsia="Times New Roman" w:hAnsi="Times New Roman" w:cs="Times New Roman"/>
          <w:sz w:val="14"/>
        </w:rPr>
        <w:t>32</w:t>
      </w:r>
      <w:r>
        <w:rPr>
          <w:rFonts w:ascii="Segoe UI Symbol" w:eastAsia="Segoe UI Symbol" w:hAnsi="Segoe UI Symbol" w:cs="Segoe UI Symbol"/>
          <w:sz w:val="32"/>
        </w:rPr>
        <w:t></w:t>
      </w:r>
      <w:r>
        <w:rPr>
          <w:rFonts w:ascii="Segoe UI Symbol" w:eastAsia="Segoe UI Symbol" w:hAnsi="Segoe UI Symbol" w:cs="Segoe UI Symbol"/>
          <w:sz w:val="24"/>
        </w:rPr>
        <w:t xml:space="preserve"> </w:t>
      </w:r>
      <w:r>
        <w:rPr>
          <w:rFonts w:ascii="Times New Roman" w:eastAsia="Times New Roman" w:hAnsi="Times New Roman" w:cs="Times New Roman"/>
          <w:i/>
          <w:sz w:val="24"/>
        </w:rPr>
        <w:t>A</w:t>
      </w:r>
      <w:r>
        <w:rPr>
          <w:rFonts w:ascii="Times New Roman" w:eastAsia="Times New Roman" w:hAnsi="Times New Roman" w:cs="Times New Roman"/>
          <w:sz w:val="14"/>
        </w:rPr>
        <w:t>42</w:t>
      </w:r>
      <w:r>
        <w:rPr>
          <w:rFonts w:ascii="Segoe UI Symbol" w:eastAsia="Segoe UI Symbol" w:hAnsi="Segoe UI Symbol" w:cs="Segoe UI Symbol"/>
          <w:sz w:val="32"/>
        </w:rPr>
        <w:t></w:t>
      </w:r>
      <w:r>
        <w:rPr>
          <w:rFonts w:ascii="Times New Roman" w:eastAsia="Times New Roman" w:hAnsi="Times New Roman" w:cs="Times New Roman"/>
          <w:i/>
          <w:sz w:val="24"/>
        </w:rPr>
        <w:t>A</w:t>
      </w:r>
      <w:r>
        <w:rPr>
          <w:rFonts w:ascii="Times New Roman" w:eastAsia="Times New Roman" w:hAnsi="Times New Roman" w:cs="Times New Roman"/>
          <w:sz w:val="14"/>
        </w:rPr>
        <w:t xml:space="preserve">31 </w:t>
      </w:r>
      <w:r>
        <w:rPr>
          <w:rFonts w:ascii="Segoe UI Symbol" w:eastAsia="Segoe UI Symbol" w:hAnsi="Segoe UI Symbol" w:cs="Segoe UI Symbol"/>
          <w:sz w:val="24"/>
        </w:rPr>
        <w:t></w:t>
      </w:r>
      <w:r>
        <w:rPr>
          <w:rFonts w:ascii="Times New Roman" w:eastAsia="Times New Roman" w:hAnsi="Times New Roman" w:cs="Times New Roman"/>
          <w:i/>
          <w:sz w:val="24"/>
        </w:rPr>
        <w:t>lA</w:t>
      </w:r>
      <w:r>
        <w:rPr>
          <w:rFonts w:ascii="Times New Roman" w:eastAsia="Times New Roman" w:hAnsi="Times New Roman" w:cs="Times New Roman"/>
          <w:sz w:val="14"/>
        </w:rPr>
        <w:t>21</w:t>
      </w:r>
      <w:r>
        <w:rPr>
          <w:rFonts w:ascii="Segoe UI Symbol" w:eastAsia="Segoe UI Symbol" w:hAnsi="Segoe UI Symbol" w:cs="Segoe UI Symbol"/>
          <w:sz w:val="32"/>
        </w:rPr>
        <w:t></w:t>
      </w:r>
      <w:r>
        <w:rPr>
          <w:rFonts w:ascii="Segoe UI Symbol" w:eastAsia="Segoe UI Symbol" w:hAnsi="Segoe UI Symbol" w:cs="Segoe UI Symbol"/>
          <w:sz w:val="32"/>
        </w:rPr>
        <w:tab/>
      </w:r>
      <w:r>
        <w:rPr>
          <w:rFonts w:ascii="Times New Roman" w:eastAsia="Times New Roman" w:hAnsi="Times New Roman" w:cs="Times New Roman"/>
          <w:sz w:val="28"/>
        </w:rPr>
        <w:t xml:space="preserve">             (6) </w:t>
      </w:r>
    </w:p>
    <w:p w:rsidR="0052701D" w:rsidRDefault="00D40929">
      <w:pPr>
        <w:spacing w:after="29" w:line="248" w:lineRule="auto"/>
        <w:ind w:left="2650" w:right="14"/>
        <w:jc w:val="both"/>
      </w:pPr>
      <w:r>
        <w:rPr>
          <w:rFonts w:ascii="Times New Roman" w:eastAsia="Times New Roman" w:hAnsi="Times New Roman" w:cs="Times New Roman"/>
          <w:sz w:val="24"/>
        </w:rPr>
        <w:t>1</w:t>
      </w:r>
    </w:p>
    <w:p w:rsidR="0052701D" w:rsidRDefault="00D40929">
      <w:pPr>
        <w:numPr>
          <w:ilvl w:val="0"/>
          <w:numId w:val="6"/>
        </w:numPr>
        <w:spacing w:after="257"/>
        <w:ind w:right="210" w:hanging="241"/>
        <w:jc w:val="both"/>
      </w:pPr>
      <w:r>
        <w:rPr>
          <w:noProof/>
        </w:rPr>
        <mc:AlternateContent>
          <mc:Choice Requires="wpg">
            <w:drawing>
              <wp:anchor distT="0" distB="0" distL="114300" distR="114300" simplePos="0" relativeHeight="251672576" behindDoc="0" locked="0" layoutInCell="1" allowOverlap="1">
                <wp:simplePos x="0" y="0"/>
                <wp:positionH relativeFrom="margin">
                  <wp:posOffset>757755</wp:posOffset>
                </wp:positionH>
                <wp:positionV relativeFrom="paragraph">
                  <wp:posOffset>63155</wp:posOffset>
                </wp:positionV>
                <wp:extent cx="1926365" cy="6165"/>
                <wp:effectExtent l="0" t="0" r="0" b="0"/>
                <wp:wrapSquare wrapText="bothSides"/>
                <wp:docPr id="914184" name="Group 914184"/>
                <wp:cNvGraphicFramePr/>
                <a:graphic xmlns:a="http://schemas.openxmlformats.org/drawingml/2006/main">
                  <a:graphicData uri="http://schemas.microsoft.com/office/word/2010/wordprocessingGroup">
                    <wpg:wgp>
                      <wpg:cNvGrpSpPr/>
                      <wpg:grpSpPr>
                        <a:xfrm>
                          <a:off x="0" y="0"/>
                          <a:ext cx="1926365" cy="6165"/>
                          <a:chOff x="0" y="0"/>
                          <a:chExt cx="1926365" cy="6165"/>
                        </a:xfrm>
                      </wpg:grpSpPr>
                      <wps:wsp>
                        <wps:cNvPr id="7301" name="Shape 7301"/>
                        <wps:cNvSpPr/>
                        <wps:spPr>
                          <a:xfrm>
                            <a:off x="0" y="0"/>
                            <a:ext cx="1926365" cy="0"/>
                          </a:xfrm>
                          <a:custGeom>
                            <a:avLst/>
                            <a:gdLst/>
                            <a:ahLst/>
                            <a:cxnLst/>
                            <a:rect l="0" t="0" r="0" b="0"/>
                            <a:pathLst>
                              <a:path w="1926365">
                                <a:moveTo>
                                  <a:pt x="0" y="0"/>
                                </a:moveTo>
                                <a:lnTo>
                                  <a:pt x="1926365" y="0"/>
                                </a:lnTo>
                              </a:path>
                            </a:pathLst>
                          </a:custGeom>
                          <a:ln w="6165"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4184" style="width:151.682pt;height:0.485395pt;position:absolute;mso-position-horizontal-relative:margin;mso-position-horizontal:absolute;margin-left:59.6658pt;mso-position-vertical-relative:text;margin-top:4.97281pt;" coordsize="19263,61">
                <v:shape id="Shape 7301" style="position:absolute;width:19263;height:0;left:0;top:0;" coordsize="1926365,0" path="m0,0l1926365,0">
                  <v:stroke weight="0.485395pt" endcap="flat" joinstyle="round" on="true" color="#000000"/>
                  <v:fill on="false" color="#000000" opacity="0"/>
                </v:shape>
                <w10:wrap type="square"/>
              </v:group>
            </w:pict>
          </mc:Fallback>
        </mc:AlternateConten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ab/>
      </w:r>
      <w:r>
        <w:rPr>
          <w:rFonts w:ascii="Segoe UI Symbol" w:eastAsia="Segoe UI Symbol" w:hAnsi="Segoe UI Symbol" w:cs="Segoe UI Symbol"/>
          <w:sz w:val="31"/>
        </w:rPr>
        <w:t></w:t>
      </w:r>
      <w:r>
        <w:rPr>
          <w:rFonts w:ascii="Times New Roman" w:eastAsia="Times New Roman" w:hAnsi="Times New Roman" w:cs="Times New Roman"/>
          <w:i/>
          <w:sz w:val="24"/>
        </w:rPr>
        <w:t>A</w:t>
      </w:r>
      <w:r>
        <w:rPr>
          <w:rFonts w:ascii="Times New Roman" w:eastAsia="Times New Roman" w:hAnsi="Times New Roman" w:cs="Times New Roman"/>
          <w:sz w:val="14"/>
        </w:rPr>
        <w:t>45</w:t>
      </w:r>
      <w:r>
        <w:rPr>
          <w:rFonts w:ascii="Segoe UI Symbol" w:eastAsia="Segoe UI Symbol" w:hAnsi="Segoe UI Symbol" w:cs="Segoe UI Symbol"/>
          <w:sz w:val="33"/>
        </w:rPr>
        <w:t></w:t>
      </w:r>
      <w:r>
        <w:rPr>
          <w:rFonts w:ascii="Times New Roman" w:eastAsia="Times New Roman" w:hAnsi="Times New Roman" w:cs="Times New Roman"/>
          <w:i/>
          <w:sz w:val="24"/>
        </w:rPr>
        <w:t>l</w:t>
      </w:r>
      <w:r>
        <w:rPr>
          <w:rFonts w:ascii="Segoe UI Symbol" w:eastAsia="Segoe UI Symbol" w:hAnsi="Segoe UI Symbol" w:cs="Segoe UI Symbol"/>
          <w:sz w:val="31"/>
        </w:rPr>
        <w:t></w:t>
      </w:r>
      <w:r>
        <w:rPr>
          <w:rFonts w:ascii="Times New Roman" w:eastAsia="Times New Roman" w:hAnsi="Times New Roman" w:cs="Times New Roman"/>
          <w:i/>
          <w:sz w:val="24"/>
        </w:rPr>
        <w:t>A</w:t>
      </w:r>
      <w:r>
        <w:rPr>
          <w:rFonts w:ascii="Times New Roman" w:eastAsia="Times New Roman" w:hAnsi="Times New Roman" w:cs="Times New Roman"/>
          <w:sz w:val="14"/>
        </w:rPr>
        <w:t>11</w:t>
      </w:r>
      <w:r>
        <w:rPr>
          <w:rFonts w:ascii="Times New Roman" w:eastAsia="Times New Roman" w:hAnsi="Times New Roman" w:cs="Times New Roman"/>
          <w:i/>
          <w:sz w:val="24"/>
        </w:rPr>
        <w:t>A</w:t>
      </w:r>
      <w:r>
        <w:rPr>
          <w:rFonts w:ascii="Times New Roman" w:eastAsia="Times New Roman" w:hAnsi="Times New Roman" w:cs="Times New Roman"/>
          <w:sz w:val="14"/>
        </w:rPr>
        <w:t xml:space="preserve">22 </w:t>
      </w:r>
      <w:r>
        <w:rPr>
          <w:rFonts w:ascii="Segoe UI Symbol" w:eastAsia="Segoe UI Symbol" w:hAnsi="Segoe UI Symbol" w:cs="Segoe UI Symbol"/>
          <w:sz w:val="24"/>
        </w:rPr>
        <w:t xml:space="preserve"> </w:t>
      </w:r>
      <w:r>
        <w:rPr>
          <w:rFonts w:ascii="Times New Roman" w:eastAsia="Times New Roman" w:hAnsi="Times New Roman" w:cs="Times New Roman"/>
          <w:i/>
          <w:sz w:val="24"/>
        </w:rPr>
        <w:t>A</w:t>
      </w:r>
      <w:r>
        <w:rPr>
          <w:rFonts w:ascii="Times New Roman" w:eastAsia="Times New Roman" w:hAnsi="Times New Roman" w:cs="Times New Roman"/>
          <w:sz w:val="14"/>
        </w:rPr>
        <w:t>12</w:t>
      </w:r>
      <w:r>
        <w:rPr>
          <w:rFonts w:ascii="Times New Roman" w:eastAsia="Times New Roman" w:hAnsi="Times New Roman" w:cs="Times New Roman"/>
          <w:i/>
          <w:sz w:val="24"/>
        </w:rPr>
        <w:t>A</w:t>
      </w:r>
      <w:r>
        <w:rPr>
          <w:rFonts w:ascii="Times New Roman" w:eastAsia="Times New Roman" w:hAnsi="Times New Roman" w:cs="Times New Roman"/>
          <w:sz w:val="14"/>
        </w:rPr>
        <w:t>21</w:t>
      </w:r>
      <w:r>
        <w:rPr>
          <w:rFonts w:ascii="Segoe UI Symbol" w:eastAsia="Segoe UI Symbol" w:hAnsi="Segoe UI Symbol" w:cs="Segoe UI Symbol"/>
          <w:sz w:val="31"/>
        </w:rPr>
        <w:t></w:t>
      </w:r>
      <w:r>
        <w:rPr>
          <w:rFonts w:ascii="Segoe UI Symbol" w:eastAsia="Segoe UI Symbol" w:hAnsi="Segoe UI Symbol" w:cs="Segoe UI Symbol"/>
          <w:sz w:val="24"/>
        </w:rPr>
        <w:t></w:t>
      </w:r>
      <w:r>
        <w:rPr>
          <w:rFonts w:ascii="Segoe UI Symbol" w:eastAsia="Segoe UI Symbol" w:hAnsi="Segoe UI Symbol" w:cs="Segoe UI Symbol"/>
          <w:sz w:val="31"/>
        </w:rPr>
        <w:t></w:t>
      </w:r>
      <w:r>
        <w:rPr>
          <w:rFonts w:ascii="Times New Roman" w:eastAsia="Times New Roman" w:hAnsi="Times New Roman" w:cs="Times New Roman"/>
          <w:i/>
          <w:sz w:val="24"/>
        </w:rPr>
        <w:t>A</w:t>
      </w:r>
      <w:r>
        <w:rPr>
          <w:rFonts w:ascii="Times New Roman" w:eastAsia="Times New Roman" w:hAnsi="Times New Roman" w:cs="Times New Roman"/>
          <w:sz w:val="14"/>
        </w:rPr>
        <w:t>11</w:t>
      </w:r>
      <w:r>
        <w:rPr>
          <w:rFonts w:ascii="Times New Roman" w:eastAsia="Times New Roman" w:hAnsi="Times New Roman" w:cs="Times New Roman"/>
          <w:i/>
          <w:sz w:val="24"/>
        </w:rPr>
        <w:t>A</w:t>
      </w:r>
      <w:r>
        <w:rPr>
          <w:rFonts w:ascii="Times New Roman" w:eastAsia="Times New Roman" w:hAnsi="Times New Roman" w:cs="Times New Roman"/>
          <w:sz w:val="14"/>
        </w:rPr>
        <w:t xml:space="preserve">32 </w:t>
      </w:r>
      <w:r>
        <w:rPr>
          <w:rFonts w:ascii="Segoe UI Symbol" w:eastAsia="Segoe UI Symbol" w:hAnsi="Segoe UI Symbol" w:cs="Segoe UI Symbol"/>
          <w:sz w:val="24"/>
        </w:rPr>
        <w:t xml:space="preserve"> </w:t>
      </w:r>
      <w:r>
        <w:rPr>
          <w:rFonts w:ascii="Times New Roman" w:eastAsia="Times New Roman" w:hAnsi="Times New Roman" w:cs="Times New Roman"/>
          <w:i/>
          <w:sz w:val="24"/>
        </w:rPr>
        <w:t>A</w:t>
      </w:r>
      <w:r>
        <w:rPr>
          <w:rFonts w:ascii="Times New Roman" w:eastAsia="Times New Roman" w:hAnsi="Times New Roman" w:cs="Times New Roman"/>
          <w:sz w:val="14"/>
        </w:rPr>
        <w:t>12</w:t>
      </w:r>
      <w:r>
        <w:rPr>
          <w:rFonts w:ascii="Times New Roman" w:eastAsia="Times New Roman" w:hAnsi="Times New Roman" w:cs="Times New Roman"/>
          <w:i/>
          <w:sz w:val="24"/>
        </w:rPr>
        <w:t>A</w:t>
      </w:r>
      <w:r>
        <w:rPr>
          <w:rFonts w:ascii="Times New Roman" w:eastAsia="Times New Roman" w:hAnsi="Times New Roman" w:cs="Times New Roman"/>
          <w:sz w:val="14"/>
        </w:rPr>
        <w:t>31</w:t>
      </w:r>
      <w:r>
        <w:rPr>
          <w:rFonts w:ascii="Segoe UI Symbol" w:eastAsia="Segoe UI Symbol" w:hAnsi="Segoe UI Symbol" w:cs="Segoe UI Symbol"/>
          <w:sz w:val="31"/>
        </w:rPr>
        <w:t></w:t>
      </w:r>
      <w:r>
        <w:rPr>
          <w:rFonts w:ascii="Segoe UI Symbol" w:eastAsia="Segoe UI Symbol" w:hAnsi="Segoe UI Symbol" w:cs="Segoe UI Symbol"/>
          <w:sz w:val="33"/>
        </w:rPr>
        <w:t></w:t>
      </w:r>
      <w:r>
        <w:rPr>
          <w:rFonts w:ascii="Segoe UI Symbol" w:eastAsia="Segoe UI Symbol" w:hAnsi="Segoe UI Symbol" w:cs="Segoe UI Symbol"/>
          <w:sz w:val="24"/>
        </w:rPr>
        <w:t xml:space="preserve"> </w:t>
      </w:r>
      <w:r>
        <w:rPr>
          <w:rFonts w:ascii="Times New Roman" w:eastAsia="Times New Roman" w:hAnsi="Times New Roman" w:cs="Times New Roman"/>
          <w:i/>
          <w:sz w:val="24"/>
        </w:rPr>
        <w:t>A</w:t>
      </w:r>
      <w:r>
        <w:rPr>
          <w:rFonts w:ascii="Times New Roman" w:eastAsia="Times New Roman" w:hAnsi="Times New Roman" w:cs="Times New Roman"/>
          <w:sz w:val="14"/>
        </w:rPr>
        <w:t>41</w:t>
      </w:r>
      <w:r>
        <w:rPr>
          <w:rFonts w:ascii="Segoe UI Symbol" w:eastAsia="Segoe UI Symbol" w:hAnsi="Segoe UI Symbol" w:cs="Segoe UI Symbol"/>
          <w:sz w:val="31"/>
        </w:rPr>
        <w:t></w:t>
      </w:r>
      <w:r>
        <w:rPr>
          <w:rFonts w:ascii="Times New Roman" w:eastAsia="Times New Roman" w:hAnsi="Times New Roman" w:cs="Times New Roman"/>
          <w:i/>
          <w:sz w:val="24"/>
        </w:rPr>
        <w:t>lA</w:t>
      </w:r>
      <w:r>
        <w:rPr>
          <w:rFonts w:ascii="Times New Roman" w:eastAsia="Times New Roman" w:hAnsi="Times New Roman" w:cs="Times New Roman"/>
          <w:sz w:val="14"/>
        </w:rPr>
        <w:t xml:space="preserve">22 </w:t>
      </w:r>
      <w:r>
        <w:rPr>
          <w:rFonts w:ascii="Segoe UI Symbol" w:eastAsia="Segoe UI Symbol" w:hAnsi="Segoe UI Symbol" w:cs="Segoe UI Symbol"/>
          <w:sz w:val="24"/>
        </w:rPr>
        <w:t xml:space="preserve"> </w:t>
      </w:r>
      <w:r>
        <w:rPr>
          <w:rFonts w:ascii="Times New Roman" w:eastAsia="Times New Roman" w:hAnsi="Times New Roman" w:cs="Times New Roman"/>
          <w:i/>
          <w:sz w:val="24"/>
        </w:rPr>
        <w:t>A</w:t>
      </w:r>
      <w:r>
        <w:rPr>
          <w:rFonts w:ascii="Times New Roman" w:eastAsia="Times New Roman" w:hAnsi="Times New Roman" w:cs="Times New Roman"/>
          <w:sz w:val="14"/>
        </w:rPr>
        <w:t>32</w:t>
      </w:r>
      <w:r>
        <w:rPr>
          <w:rFonts w:ascii="Segoe UI Symbol" w:eastAsia="Segoe UI Symbol" w:hAnsi="Segoe UI Symbol" w:cs="Segoe UI Symbol"/>
          <w:sz w:val="31"/>
        </w:rPr>
        <w:t></w:t>
      </w:r>
      <w:r>
        <w:rPr>
          <w:rFonts w:ascii="Segoe UI Symbol" w:eastAsia="Segoe UI Symbol" w:hAnsi="Segoe UI Symbol" w:cs="Segoe UI Symbol"/>
          <w:sz w:val="24"/>
        </w:rPr>
        <w:t xml:space="preserve"> </w:t>
      </w:r>
      <w:r>
        <w:rPr>
          <w:rFonts w:ascii="Times New Roman" w:eastAsia="Times New Roman" w:hAnsi="Times New Roman" w:cs="Times New Roman"/>
          <w:i/>
          <w:sz w:val="24"/>
        </w:rPr>
        <w:t>A</w:t>
      </w:r>
      <w:r>
        <w:rPr>
          <w:rFonts w:ascii="Times New Roman" w:eastAsia="Times New Roman" w:hAnsi="Times New Roman" w:cs="Times New Roman"/>
          <w:sz w:val="14"/>
        </w:rPr>
        <w:t>42</w:t>
      </w:r>
      <w:r>
        <w:rPr>
          <w:rFonts w:ascii="Segoe UI Symbol" w:eastAsia="Segoe UI Symbol" w:hAnsi="Segoe UI Symbol" w:cs="Segoe UI Symbol"/>
          <w:sz w:val="31"/>
        </w:rPr>
        <w:t></w:t>
      </w:r>
      <w:r>
        <w:rPr>
          <w:rFonts w:ascii="Times New Roman" w:eastAsia="Times New Roman" w:hAnsi="Times New Roman" w:cs="Times New Roman"/>
          <w:i/>
          <w:sz w:val="24"/>
        </w:rPr>
        <w:t>A</w:t>
      </w:r>
      <w:r>
        <w:rPr>
          <w:rFonts w:ascii="Times New Roman" w:eastAsia="Times New Roman" w:hAnsi="Times New Roman" w:cs="Times New Roman"/>
          <w:sz w:val="14"/>
        </w:rPr>
        <w:t xml:space="preserve">31 </w:t>
      </w:r>
      <w:r>
        <w:rPr>
          <w:rFonts w:ascii="Segoe UI Symbol" w:eastAsia="Segoe UI Symbol" w:hAnsi="Segoe UI Symbol" w:cs="Segoe UI Symbol"/>
          <w:sz w:val="24"/>
        </w:rPr>
        <w:t></w:t>
      </w:r>
      <w:r>
        <w:rPr>
          <w:rFonts w:ascii="Times New Roman" w:eastAsia="Times New Roman" w:hAnsi="Times New Roman" w:cs="Times New Roman"/>
          <w:i/>
          <w:sz w:val="24"/>
        </w:rPr>
        <w:t>lA</w:t>
      </w:r>
      <w:r>
        <w:rPr>
          <w:rFonts w:ascii="Times New Roman" w:eastAsia="Times New Roman" w:hAnsi="Times New Roman" w:cs="Times New Roman"/>
          <w:sz w:val="14"/>
        </w:rPr>
        <w:t>21</w:t>
      </w:r>
      <w:r>
        <w:rPr>
          <w:rFonts w:ascii="Segoe UI Symbol" w:eastAsia="Segoe UI Symbol" w:hAnsi="Segoe UI Symbol" w:cs="Segoe UI Symbol"/>
          <w:sz w:val="31"/>
        </w:rPr>
        <w:t></w:t>
      </w:r>
      <w:r>
        <w:rPr>
          <w:rFonts w:ascii="Segoe UI Symbol" w:eastAsia="Segoe UI Symbol" w:hAnsi="Segoe UI Symbol" w:cs="Segoe UI Symbol"/>
          <w:sz w:val="31"/>
        </w:rPr>
        <w:tab/>
      </w:r>
      <w:r>
        <w:rPr>
          <w:rFonts w:ascii="Times New Roman" w:eastAsia="Times New Roman" w:hAnsi="Times New Roman" w:cs="Times New Roman"/>
          <w:sz w:val="28"/>
        </w:rPr>
        <w:t xml:space="preserve"> </w:t>
      </w:r>
    </w:p>
    <w:p w:rsidR="0052701D" w:rsidRDefault="00D40929">
      <w:pPr>
        <w:spacing w:after="0" w:line="265" w:lineRule="auto"/>
        <w:ind w:left="46" w:hanging="10"/>
        <w:jc w:val="center"/>
      </w:pPr>
      <w:r>
        <w:rPr>
          <w:rFonts w:ascii="Segoe UI Symbol" w:eastAsia="Segoe UI Symbol" w:hAnsi="Segoe UI Symbol" w:cs="Segoe UI Symbol"/>
          <w:sz w:val="24"/>
        </w:rPr>
        <w:t xml:space="preserve"> </w:t>
      </w:r>
      <w:r>
        <w:rPr>
          <w:rFonts w:ascii="Times New Roman" w:eastAsia="Times New Roman" w:hAnsi="Times New Roman" w:cs="Times New Roman"/>
          <w:i/>
          <w:sz w:val="24"/>
        </w:rPr>
        <w:t>A</w:t>
      </w:r>
      <w:r>
        <w:rPr>
          <w:rFonts w:ascii="Times New Roman" w:eastAsia="Times New Roman" w:hAnsi="Times New Roman" w:cs="Times New Roman"/>
          <w:sz w:val="14"/>
        </w:rPr>
        <w:t>42</w:t>
      </w:r>
      <w:r>
        <w:rPr>
          <w:rFonts w:ascii="Segoe UI Symbol" w:eastAsia="Segoe UI Symbol" w:hAnsi="Segoe UI Symbol" w:cs="Segoe UI Symbol"/>
          <w:sz w:val="32"/>
        </w:rPr>
        <w:t></w:t>
      </w:r>
      <w:r>
        <w:rPr>
          <w:rFonts w:ascii="Times New Roman" w:eastAsia="Times New Roman" w:hAnsi="Times New Roman" w:cs="Times New Roman"/>
          <w:i/>
          <w:sz w:val="24"/>
        </w:rPr>
        <w:t>l</w:t>
      </w:r>
      <w:r>
        <w:rPr>
          <w:rFonts w:ascii="Segoe UI Symbol" w:eastAsia="Segoe UI Symbol" w:hAnsi="Segoe UI Symbol" w:cs="Segoe UI Symbol"/>
          <w:sz w:val="31"/>
        </w:rPr>
        <w:t></w:t>
      </w:r>
      <w:r>
        <w:rPr>
          <w:rFonts w:ascii="Times New Roman" w:eastAsia="Times New Roman" w:hAnsi="Times New Roman" w:cs="Times New Roman"/>
          <w:i/>
          <w:sz w:val="24"/>
        </w:rPr>
        <w:t>A</w:t>
      </w:r>
      <w:r>
        <w:rPr>
          <w:rFonts w:ascii="Times New Roman" w:eastAsia="Times New Roman" w:hAnsi="Times New Roman" w:cs="Times New Roman"/>
          <w:sz w:val="14"/>
        </w:rPr>
        <w:t>11</w:t>
      </w:r>
      <w:r>
        <w:rPr>
          <w:rFonts w:ascii="Times New Roman" w:eastAsia="Times New Roman" w:hAnsi="Times New Roman" w:cs="Times New Roman"/>
          <w:i/>
          <w:sz w:val="24"/>
        </w:rPr>
        <w:t>A</w:t>
      </w:r>
      <w:r>
        <w:rPr>
          <w:rFonts w:ascii="Times New Roman" w:eastAsia="Times New Roman" w:hAnsi="Times New Roman" w:cs="Times New Roman"/>
          <w:sz w:val="14"/>
        </w:rPr>
        <w:t xml:space="preserve">25 </w:t>
      </w:r>
      <w:r>
        <w:rPr>
          <w:rFonts w:ascii="Segoe UI Symbol" w:eastAsia="Segoe UI Symbol" w:hAnsi="Segoe UI Symbol" w:cs="Segoe UI Symbol"/>
          <w:sz w:val="24"/>
        </w:rPr>
        <w:t xml:space="preserve"> </w:t>
      </w:r>
      <w:r>
        <w:rPr>
          <w:rFonts w:ascii="Times New Roman" w:eastAsia="Times New Roman" w:hAnsi="Times New Roman" w:cs="Times New Roman"/>
          <w:i/>
          <w:sz w:val="24"/>
        </w:rPr>
        <w:t>A</w:t>
      </w:r>
      <w:r>
        <w:rPr>
          <w:rFonts w:ascii="Times New Roman" w:eastAsia="Times New Roman" w:hAnsi="Times New Roman" w:cs="Times New Roman"/>
          <w:sz w:val="14"/>
        </w:rPr>
        <w:t>15</w:t>
      </w:r>
      <w:r>
        <w:rPr>
          <w:rFonts w:ascii="Times New Roman" w:eastAsia="Times New Roman" w:hAnsi="Times New Roman" w:cs="Times New Roman"/>
          <w:i/>
          <w:sz w:val="24"/>
        </w:rPr>
        <w:t>A</w:t>
      </w:r>
      <w:r>
        <w:rPr>
          <w:rFonts w:ascii="Times New Roman" w:eastAsia="Times New Roman" w:hAnsi="Times New Roman" w:cs="Times New Roman"/>
          <w:sz w:val="14"/>
        </w:rPr>
        <w:t>21</w:t>
      </w:r>
      <w:r>
        <w:rPr>
          <w:rFonts w:ascii="Segoe UI Symbol" w:eastAsia="Segoe UI Symbol" w:hAnsi="Segoe UI Symbol" w:cs="Segoe UI Symbol"/>
          <w:sz w:val="31"/>
        </w:rPr>
        <w:t></w:t>
      </w:r>
      <w:r>
        <w:rPr>
          <w:rFonts w:ascii="Segoe UI Symbol" w:eastAsia="Segoe UI Symbol" w:hAnsi="Segoe UI Symbol" w:cs="Segoe UI Symbol"/>
          <w:sz w:val="24"/>
        </w:rPr>
        <w:t xml:space="preserve"> </w:t>
      </w:r>
      <w:r>
        <w:rPr>
          <w:rFonts w:ascii="Segoe UI Symbol" w:eastAsia="Segoe UI Symbol" w:hAnsi="Segoe UI Symbol" w:cs="Segoe UI Symbol"/>
          <w:sz w:val="31"/>
        </w:rPr>
        <w:t></w:t>
      </w:r>
      <w:r>
        <w:rPr>
          <w:rFonts w:ascii="Times New Roman" w:eastAsia="Times New Roman" w:hAnsi="Times New Roman" w:cs="Times New Roman"/>
          <w:i/>
          <w:sz w:val="24"/>
        </w:rPr>
        <w:t>A</w:t>
      </w:r>
      <w:r>
        <w:rPr>
          <w:rFonts w:ascii="Times New Roman" w:eastAsia="Times New Roman" w:hAnsi="Times New Roman" w:cs="Times New Roman"/>
          <w:sz w:val="14"/>
        </w:rPr>
        <w:t>11</w:t>
      </w:r>
      <w:r>
        <w:rPr>
          <w:rFonts w:ascii="Times New Roman" w:eastAsia="Times New Roman" w:hAnsi="Times New Roman" w:cs="Times New Roman"/>
          <w:i/>
          <w:sz w:val="24"/>
        </w:rPr>
        <w:t>A</w:t>
      </w:r>
      <w:r>
        <w:rPr>
          <w:rFonts w:ascii="Times New Roman" w:eastAsia="Times New Roman" w:hAnsi="Times New Roman" w:cs="Times New Roman"/>
          <w:sz w:val="14"/>
        </w:rPr>
        <w:t xml:space="preserve">35 </w:t>
      </w:r>
      <w:r>
        <w:rPr>
          <w:rFonts w:ascii="Segoe UI Symbol" w:eastAsia="Segoe UI Symbol" w:hAnsi="Segoe UI Symbol" w:cs="Segoe UI Symbol"/>
          <w:sz w:val="24"/>
        </w:rPr>
        <w:t xml:space="preserve"> </w:t>
      </w:r>
      <w:r>
        <w:rPr>
          <w:rFonts w:ascii="Times New Roman" w:eastAsia="Times New Roman" w:hAnsi="Times New Roman" w:cs="Times New Roman"/>
          <w:i/>
          <w:sz w:val="24"/>
        </w:rPr>
        <w:t>A</w:t>
      </w:r>
      <w:r>
        <w:rPr>
          <w:rFonts w:ascii="Times New Roman" w:eastAsia="Times New Roman" w:hAnsi="Times New Roman" w:cs="Times New Roman"/>
          <w:sz w:val="14"/>
        </w:rPr>
        <w:t>15</w:t>
      </w:r>
      <w:r>
        <w:rPr>
          <w:rFonts w:ascii="Times New Roman" w:eastAsia="Times New Roman" w:hAnsi="Times New Roman" w:cs="Times New Roman"/>
          <w:i/>
          <w:sz w:val="24"/>
        </w:rPr>
        <w:t>A</w:t>
      </w:r>
      <w:r>
        <w:rPr>
          <w:rFonts w:ascii="Times New Roman" w:eastAsia="Times New Roman" w:hAnsi="Times New Roman" w:cs="Times New Roman"/>
          <w:sz w:val="14"/>
        </w:rPr>
        <w:t>31</w:t>
      </w:r>
      <w:r>
        <w:rPr>
          <w:rFonts w:ascii="Segoe UI Symbol" w:eastAsia="Segoe UI Symbol" w:hAnsi="Segoe UI Symbol" w:cs="Segoe UI Symbol"/>
          <w:sz w:val="31"/>
        </w:rPr>
        <w:t></w:t>
      </w:r>
      <w:r>
        <w:rPr>
          <w:rFonts w:ascii="Segoe UI Symbol" w:eastAsia="Segoe UI Symbol" w:hAnsi="Segoe UI Symbol" w:cs="Segoe UI Symbol"/>
          <w:sz w:val="32"/>
        </w:rPr>
        <w:t></w:t>
      </w:r>
      <w:r>
        <w:rPr>
          <w:rFonts w:ascii="Segoe UI Symbol" w:eastAsia="Segoe UI Symbol" w:hAnsi="Segoe UI Symbol" w:cs="Segoe UI Symbol"/>
          <w:sz w:val="24"/>
        </w:rPr>
        <w:t xml:space="preserve"> </w:t>
      </w:r>
      <w:r>
        <w:rPr>
          <w:rFonts w:ascii="Times New Roman" w:eastAsia="Times New Roman" w:hAnsi="Times New Roman" w:cs="Times New Roman"/>
          <w:i/>
          <w:sz w:val="24"/>
        </w:rPr>
        <w:t>A</w:t>
      </w:r>
      <w:r>
        <w:rPr>
          <w:rFonts w:ascii="Times New Roman" w:eastAsia="Times New Roman" w:hAnsi="Times New Roman" w:cs="Times New Roman"/>
          <w:sz w:val="14"/>
        </w:rPr>
        <w:t>41</w:t>
      </w:r>
      <w:r>
        <w:rPr>
          <w:rFonts w:ascii="Segoe UI Symbol" w:eastAsia="Segoe UI Symbol" w:hAnsi="Segoe UI Symbol" w:cs="Segoe UI Symbol"/>
          <w:sz w:val="32"/>
        </w:rPr>
        <w:t></w:t>
      </w:r>
      <w:r>
        <w:rPr>
          <w:rFonts w:ascii="Times New Roman" w:eastAsia="Times New Roman" w:hAnsi="Times New Roman" w:cs="Times New Roman"/>
          <w:i/>
          <w:sz w:val="24"/>
        </w:rPr>
        <w:t>l</w:t>
      </w:r>
      <w:r>
        <w:rPr>
          <w:rFonts w:ascii="Segoe UI Symbol" w:eastAsia="Segoe UI Symbol" w:hAnsi="Segoe UI Symbol" w:cs="Segoe UI Symbol"/>
          <w:sz w:val="31"/>
        </w:rPr>
        <w:t></w:t>
      </w:r>
      <w:r>
        <w:rPr>
          <w:rFonts w:ascii="Times New Roman" w:eastAsia="Times New Roman" w:hAnsi="Times New Roman" w:cs="Times New Roman"/>
          <w:i/>
          <w:sz w:val="24"/>
        </w:rPr>
        <w:t>A</w:t>
      </w:r>
      <w:r>
        <w:rPr>
          <w:rFonts w:ascii="Times New Roman" w:eastAsia="Times New Roman" w:hAnsi="Times New Roman" w:cs="Times New Roman"/>
          <w:sz w:val="14"/>
        </w:rPr>
        <w:t>15</w:t>
      </w:r>
      <w:r>
        <w:rPr>
          <w:rFonts w:ascii="Times New Roman" w:eastAsia="Times New Roman" w:hAnsi="Times New Roman" w:cs="Times New Roman"/>
          <w:i/>
          <w:sz w:val="24"/>
        </w:rPr>
        <w:t>A</w:t>
      </w:r>
      <w:r>
        <w:rPr>
          <w:rFonts w:ascii="Times New Roman" w:eastAsia="Times New Roman" w:hAnsi="Times New Roman" w:cs="Times New Roman"/>
          <w:sz w:val="14"/>
        </w:rPr>
        <w:t xml:space="preserve">22 </w:t>
      </w:r>
      <w:r>
        <w:rPr>
          <w:rFonts w:ascii="Segoe UI Symbol" w:eastAsia="Segoe UI Symbol" w:hAnsi="Segoe UI Symbol" w:cs="Segoe UI Symbol"/>
          <w:sz w:val="24"/>
        </w:rPr>
        <w:t xml:space="preserve"> </w:t>
      </w:r>
      <w:r>
        <w:rPr>
          <w:rFonts w:ascii="Times New Roman" w:eastAsia="Times New Roman" w:hAnsi="Times New Roman" w:cs="Times New Roman"/>
          <w:i/>
          <w:sz w:val="24"/>
        </w:rPr>
        <w:t>A</w:t>
      </w:r>
      <w:r>
        <w:rPr>
          <w:rFonts w:ascii="Times New Roman" w:eastAsia="Times New Roman" w:hAnsi="Times New Roman" w:cs="Times New Roman"/>
          <w:sz w:val="14"/>
        </w:rPr>
        <w:t>12</w:t>
      </w:r>
      <w:r>
        <w:rPr>
          <w:rFonts w:ascii="Times New Roman" w:eastAsia="Times New Roman" w:hAnsi="Times New Roman" w:cs="Times New Roman"/>
          <w:i/>
          <w:sz w:val="24"/>
        </w:rPr>
        <w:t>A</w:t>
      </w:r>
      <w:r>
        <w:rPr>
          <w:rFonts w:ascii="Times New Roman" w:eastAsia="Times New Roman" w:hAnsi="Times New Roman" w:cs="Times New Roman"/>
          <w:sz w:val="14"/>
        </w:rPr>
        <w:t>25</w:t>
      </w:r>
      <w:r>
        <w:rPr>
          <w:rFonts w:ascii="Segoe UI Symbol" w:eastAsia="Segoe UI Symbol" w:hAnsi="Segoe UI Symbol" w:cs="Segoe UI Symbol"/>
          <w:sz w:val="31"/>
        </w:rPr>
        <w:t></w:t>
      </w:r>
      <w:r>
        <w:rPr>
          <w:rFonts w:ascii="Segoe UI Symbol" w:eastAsia="Segoe UI Symbol" w:hAnsi="Segoe UI Symbol" w:cs="Segoe UI Symbol"/>
          <w:sz w:val="24"/>
        </w:rPr>
        <w:t xml:space="preserve"> </w:t>
      </w:r>
      <w:r>
        <w:rPr>
          <w:rFonts w:ascii="Segoe UI Symbol" w:eastAsia="Segoe UI Symbol" w:hAnsi="Segoe UI Symbol" w:cs="Segoe UI Symbol"/>
          <w:sz w:val="31"/>
        </w:rPr>
        <w:t></w:t>
      </w:r>
      <w:r>
        <w:rPr>
          <w:rFonts w:ascii="Times New Roman" w:eastAsia="Times New Roman" w:hAnsi="Times New Roman" w:cs="Times New Roman"/>
          <w:i/>
          <w:sz w:val="24"/>
        </w:rPr>
        <w:t>A</w:t>
      </w:r>
      <w:r>
        <w:rPr>
          <w:rFonts w:ascii="Times New Roman" w:eastAsia="Times New Roman" w:hAnsi="Times New Roman" w:cs="Times New Roman"/>
          <w:sz w:val="14"/>
        </w:rPr>
        <w:t>15</w:t>
      </w:r>
      <w:r>
        <w:rPr>
          <w:rFonts w:ascii="Times New Roman" w:eastAsia="Times New Roman" w:hAnsi="Times New Roman" w:cs="Times New Roman"/>
          <w:i/>
          <w:sz w:val="24"/>
        </w:rPr>
        <w:t>A</w:t>
      </w:r>
      <w:r>
        <w:rPr>
          <w:rFonts w:ascii="Times New Roman" w:eastAsia="Times New Roman" w:hAnsi="Times New Roman" w:cs="Times New Roman"/>
          <w:sz w:val="14"/>
        </w:rPr>
        <w:t xml:space="preserve">32 </w:t>
      </w:r>
      <w:r>
        <w:rPr>
          <w:rFonts w:ascii="Segoe UI Symbol" w:eastAsia="Segoe UI Symbol" w:hAnsi="Segoe UI Symbol" w:cs="Segoe UI Symbol"/>
          <w:sz w:val="24"/>
        </w:rPr>
        <w:t xml:space="preserve"> </w:t>
      </w:r>
      <w:r>
        <w:rPr>
          <w:rFonts w:ascii="Times New Roman" w:eastAsia="Times New Roman" w:hAnsi="Times New Roman" w:cs="Times New Roman"/>
          <w:i/>
          <w:sz w:val="24"/>
        </w:rPr>
        <w:t>A</w:t>
      </w:r>
      <w:r>
        <w:rPr>
          <w:rFonts w:ascii="Times New Roman" w:eastAsia="Times New Roman" w:hAnsi="Times New Roman" w:cs="Times New Roman"/>
          <w:sz w:val="14"/>
        </w:rPr>
        <w:t>12</w:t>
      </w:r>
      <w:r>
        <w:rPr>
          <w:rFonts w:ascii="Times New Roman" w:eastAsia="Times New Roman" w:hAnsi="Times New Roman" w:cs="Times New Roman"/>
          <w:i/>
          <w:sz w:val="24"/>
        </w:rPr>
        <w:t>A</w:t>
      </w:r>
      <w:r>
        <w:rPr>
          <w:rFonts w:ascii="Times New Roman" w:eastAsia="Times New Roman" w:hAnsi="Times New Roman" w:cs="Times New Roman"/>
          <w:sz w:val="14"/>
        </w:rPr>
        <w:t>35</w:t>
      </w:r>
      <w:r>
        <w:rPr>
          <w:rFonts w:ascii="Segoe UI Symbol" w:eastAsia="Segoe UI Symbol" w:hAnsi="Segoe UI Symbol" w:cs="Segoe UI Symbol"/>
          <w:sz w:val="31"/>
        </w:rPr>
        <w:t></w:t>
      </w:r>
      <w:r>
        <w:rPr>
          <w:rFonts w:ascii="Segoe UI Symbol" w:eastAsia="Segoe UI Symbol" w:hAnsi="Segoe UI Symbol" w:cs="Segoe UI Symbol"/>
          <w:sz w:val="32"/>
        </w:rPr>
        <w:t></w:t>
      </w:r>
      <w:r>
        <w:rPr>
          <w:rFonts w:ascii="Segoe UI Symbol" w:eastAsia="Segoe UI Symbol" w:hAnsi="Segoe UI Symbol" w:cs="Segoe UI Symbol"/>
          <w:sz w:val="31"/>
        </w:rPr>
        <w:t></w:t>
      </w:r>
      <w:r>
        <w:rPr>
          <w:rFonts w:ascii="Times New Roman" w:eastAsia="Times New Roman" w:hAnsi="Times New Roman" w:cs="Times New Roman"/>
          <w:sz w:val="24"/>
        </w:rPr>
        <w:t>,</w:t>
      </w:r>
      <w:r>
        <w:rPr>
          <w:rFonts w:ascii="Times New Roman" w:eastAsia="Times New Roman" w:hAnsi="Times New Roman" w:cs="Times New Roman"/>
          <w:sz w:val="28"/>
        </w:rPr>
        <w:t xml:space="preserve"> </w:t>
      </w:r>
    </w:p>
    <w:p w:rsidR="0052701D" w:rsidRDefault="00D40929">
      <w:pPr>
        <w:spacing w:after="25"/>
      </w:pPr>
      <w:r>
        <w:rPr>
          <w:rFonts w:ascii="Times New Roman" w:eastAsia="Times New Roman" w:hAnsi="Times New Roman" w:cs="Times New Roman"/>
          <w:sz w:val="28"/>
        </w:rPr>
        <w:t xml:space="preserve"> </w:t>
      </w:r>
    </w:p>
    <w:p w:rsidR="0052701D" w:rsidRDefault="00D40929">
      <w:pPr>
        <w:spacing w:after="156" w:line="271" w:lineRule="auto"/>
        <w:ind w:left="9" w:right="64"/>
        <w:jc w:val="both"/>
      </w:pPr>
      <w:r>
        <w:rPr>
          <w:rFonts w:ascii="Times New Roman" w:eastAsia="Times New Roman" w:hAnsi="Times New Roman" w:cs="Times New Roman"/>
          <w:sz w:val="28"/>
        </w:rPr>
        <w:t xml:space="preserve">где          </w:t>
      </w:r>
    </w:p>
    <w:p w:rsidR="0052701D" w:rsidRDefault="00D40929">
      <w:pPr>
        <w:tabs>
          <w:tab w:val="center" w:pos="1388"/>
          <w:tab w:val="center" w:pos="2437"/>
          <w:tab w:val="center" w:pos="3935"/>
          <w:tab w:val="center" w:pos="6304"/>
        </w:tabs>
        <w:spacing w:after="167" w:line="248" w:lineRule="auto"/>
      </w:pPr>
      <w:r>
        <w:rPr>
          <w:noProof/>
        </w:rPr>
        <mc:AlternateContent>
          <mc:Choice Requires="wpg">
            <w:drawing>
              <wp:anchor distT="0" distB="0" distL="114300" distR="114300" simplePos="0" relativeHeight="251673600" behindDoc="0" locked="0" layoutInCell="1" allowOverlap="1">
                <wp:simplePos x="0" y="0"/>
                <wp:positionH relativeFrom="column">
                  <wp:posOffset>329713</wp:posOffset>
                </wp:positionH>
                <wp:positionV relativeFrom="paragraph">
                  <wp:posOffset>167682</wp:posOffset>
                </wp:positionV>
                <wp:extent cx="804574" cy="6253"/>
                <wp:effectExtent l="0" t="0" r="0" b="0"/>
                <wp:wrapNone/>
                <wp:docPr id="914185" name="Group 914185"/>
                <wp:cNvGraphicFramePr/>
                <a:graphic xmlns:a="http://schemas.openxmlformats.org/drawingml/2006/main">
                  <a:graphicData uri="http://schemas.microsoft.com/office/word/2010/wordprocessingGroup">
                    <wpg:wgp>
                      <wpg:cNvGrpSpPr/>
                      <wpg:grpSpPr>
                        <a:xfrm>
                          <a:off x="0" y="0"/>
                          <a:ext cx="804574" cy="6253"/>
                          <a:chOff x="0" y="0"/>
                          <a:chExt cx="804574" cy="6253"/>
                        </a:xfrm>
                      </wpg:grpSpPr>
                      <wps:wsp>
                        <wps:cNvPr id="7421" name="Shape 7421"/>
                        <wps:cNvSpPr/>
                        <wps:spPr>
                          <a:xfrm>
                            <a:off x="0" y="0"/>
                            <a:ext cx="804574" cy="0"/>
                          </a:xfrm>
                          <a:custGeom>
                            <a:avLst/>
                            <a:gdLst/>
                            <a:ahLst/>
                            <a:cxnLst/>
                            <a:rect l="0" t="0" r="0" b="0"/>
                            <a:pathLst>
                              <a:path w="804574">
                                <a:moveTo>
                                  <a:pt x="0" y="0"/>
                                </a:moveTo>
                                <a:lnTo>
                                  <a:pt x="804574" y="0"/>
                                </a:lnTo>
                              </a:path>
                            </a:pathLst>
                          </a:custGeom>
                          <a:ln w="625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4185" style="width:63.3523pt;height:0.492361pt;position:absolute;z-index:462;mso-position-horizontal-relative:text;mso-position-horizontal:absolute;margin-left:25.9616pt;mso-position-vertical-relative:text;margin-top:13.2033pt;" coordsize="8045,62">
                <v:shape id="Shape 7421" style="position:absolute;width:8045;height:0;left:0;top:0;" coordsize="804574,0" path="m0,0l804574,0">
                  <v:stroke weight="0.492361pt" endcap="flat" joinstyle="round" on="true" color="#000000"/>
                  <v:fill on="false" color="#000000" opacity="0"/>
                </v:shape>
              </v:group>
            </w:pict>
          </mc:Fallback>
        </mc:AlternateContent>
      </w:r>
      <w:r>
        <w:rPr>
          <w:rFonts w:ascii="Times New Roman" w:eastAsia="Times New Roman" w:hAnsi="Times New Roman" w:cs="Times New Roman"/>
          <w:i/>
          <w:sz w:val="24"/>
        </w:rPr>
        <w:t xml:space="preserve">T </w:t>
      </w:r>
      <w:r>
        <w:rPr>
          <w:rFonts w:ascii="Segoe UI Symbol" w:eastAsia="Segoe UI Symbol" w:hAnsi="Segoe UI Symbol" w:cs="Segoe UI Symbol"/>
          <w:sz w:val="24"/>
        </w:rPr>
        <w:t></w:t>
      </w:r>
      <w:r>
        <w:rPr>
          <w:rFonts w:ascii="Segoe UI Symbol" w:eastAsia="Segoe UI Symbol" w:hAnsi="Segoe UI Symbol" w:cs="Segoe UI Symbol"/>
          <w:sz w:val="24"/>
        </w:rPr>
        <w:tab/>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Segoe UI Symbol" w:eastAsia="Segoe UI Symbol" w:hAnsi="Segoe UI Symbol" w:cs="Segoe UI Symbol"/>
          <w:sz w:val="25"/>
        </w:rPr>
        <w:t></w:t>
      </w:r>
      <w:r>
        <w:rPr>
          <w:rFonts w:ascii="Times New Roman" w:eastAsia="Times New Roman" w:hAnsi="Times New Roman" w:cs="Times New Roman"/>
          <w:i/>
          <w:sz w:val="24"/>
        </w:rPr>
        <w:t>h</w:t>
      </w:r>
      <w:r>
        <w:rPr>
          <w:rFonts w:ascii="Times New Roman" w:eastAsia="Times New Roman" w:hAnsi="Times New Roman" w:cs="Times New Roman"/>
          <w:sz w:val="14"/>
        </w:rPr>
        <w:t>21</w:t>
      </w:r>
      <w:r>
        <w:rPr>
          <w:rFonts w:ascii="Times New Roman" w:eastAsia="Times New Roman" w:hAnsi="Times New Roman" w:cs="Times New Roman"/>
          <w:i/>
          <w:sz w:val="24"/>
        </w:rPr>
        <w:t>l</w:t>
      </w:r>
      <w:r>
        <w:rPr>
          <w:rFonts w:ascii="Segoe UI Symbol" w:eastAsia="Segoe UI Symbol" w:hAnsi="Segoe UI Symbol" w:cs="Segoe UI Symbol"/>
          <w:sz w:val="32"/>
        </w:rPr>
        <w:t></w:t>
      </w:r>
      <w:r>
        <w:rPr>
          <w:rFonts w:ascii="Times New Roman" w:eastAsia="Times New Roman" w:hAnsi="Times New Roman" w:cs="Times New Roman"/>
          <w:sz w:val="14"/>
        </w:rPr>
        <w:t xml:space="preserve">3 </w:t>
      </w:r>
      <w:r>
        <w:rPr>
          <w:rFonts w:ascii="Times New Roman" w:eastAsia="Times New Roman" w:hAnsi="Times New Roman" w:cs="Times New Roman"/>
          <w:sz w:val="24"/>
        </w:rPr>
        <w:t>,</w:t>
      </w:r>
      <w:r>
        <w:rPr>
          <w:rFonts w:ascii="Times New Roman" w:eastAsia="Times New Roman" w:hAnsi="Times New Roman" w:cs="Times New Roman"/>
          <w:sz w:val="24"/>
        </w:rPr>
        <w:tab/>
      </w:r>
      <w:r>
        <w:rPr>
          <w:rFonts w:ascii="Times New Roman" w:eastAsia="Times New Roman" w:hAnsi="Times New Roman" w:cs="Times New Roman"/>
          <w:i/>
          <w:sz w:val="24"/>
        </w:rPr>
        <w:t>A</w:t>
      </w:r>
      <w:r>
        <w:rPr>
          <w:rFonts w:ascii="Times New Roman" w:eastAsia="Times New Roman" w:hAnsi="Times New Roman" w:cs="Times New Roman"/>
          <w:i/>
          <w:sz w:val="24"/>
        </w:rPr>
        <w:tab/>
      </w:r>
      <w:r>
        <w:rPr>
          <w:rFonts w:ascii="Segoe UI Symbol" w:eastAsia="Segoe UI Symbol" w:hAnsi="Segoe UI Symbol" w:cs="Segoe UI Symbol"/>
          <w:sz w:val="38"/>
          <w:u w:val="single" w:color="000000"/>
        </w:rPr>
        <w:t></w:t>
      </w:r>
      <w:r>
        <w:rPr>
          <w:rFonts w:ascii="Times New Roman" w:eastAsia="Times New Roman" w:hAnsi="Times New Roman" w:cs="Times New Roman"/>
          <w:sz w:val="24"/>
        </w:rPr>
        <w:t>1</w:t>
      </w:r>
      <w:r>
        <w:rPr>
          <w:rFonts w:ascii="Segoe UI Symbol" w:eastAsia="Segoe UI Symbol" w:hAnsi="Segoe UI Symbol" w:cs="Segoe UI Symbol"/>
          <w:sz w:val="24"/>
        </w:rPr>
        <w:t></w:t>
      </w:r>
      <w:r>
        <w:rPr>
          <w:rFonts w:ascii="Segoe UI Symbol" w:eastAsia="Segoe UI Symbol" w:hAnsi="Segoe UI Symbol" w:cs="Segoe UI Symbol"/>
          <w:sz w:val="25"/>
        </w:rPr>
        <w:t></w:t>
      </w:r>
      <w:r>
        <w:rPr>
          <w:rFonts w:ascii="Times New Roman" w:eastAsia="Times New Roman" w:hAnsi="Times New Roman" w:cs="Times New Roman"/>
          <w:sz w:val="14"/>
        </w:rPr>
        <w:t xml:space="preserve">2 </w:t>
      </w:r>
      <w:r>
        <w:rPr>
          <w:rFonts w:ascii="Segoe UI Symbol" w:eastAsia="Segoe UI Symbol" w:hAnsi="Segoe UI Symbol" w:cs="Segoe UI Symbol"/>
          <w:sz w:val="38"/>
          <w:u w:val="single" w:color="000000"/>
        </w:rPr>
        <w:t></w:t>
      </w:r>
      <w:r>
        <w:rPr>
          <w:rFonts w:ascii="Segoe UI Symbol" w:eastAsia="Segoe UI Symbol" w:hAnsi="Segoe UI Symbol" w:cs="Segoe UI Symbol"/>
          <w:sz w:val="32"/>
        </w:rPr>
        <w:t></w:t>
      </w:r>
      <w:r>
        <w:rPr>
          <w:rFonts w:ascii="Times New Roman" w:eastAsia="Times New Roman" w:hAnsi="Times New Roman" w:cs="Times New Roman"/>
          <w:sz w:val="24"/>
        </w:rPr>
        <w:t>1</w:t>
      </w:r>
      <w:r>
        <w:rPr>
          <w:rFonts w:ascii="Segoe UI Symbol" w:eastAsia="Segoe UI Symbol" w:hAnsi="Segoe UI Symbol" w:cs="Segoe UI Symbol"/>
          <w:sz w:val="24"/>
        </w:rPr>
        <w:t xml:space="preserve"> </w:t>
      </w:r>
      <w:r>
        <w:rPr>
          <w:rFonts w:ascii="Times New Roman" w:eastAsia="Times New Roman" w:hAnsi="Times New Roman" w:cs="Times New Roman"/>
          <w:sz w:val="24"/>
        </w:rPr>
        <w:t xml:space="preserve">2ln </w:t>
      </w:r>
      <w:r>
        <w:rPr>
          <w:rFonts w:ascii="Times New Roman" w:eastAsia="Times New Roman" w:hAnsi="Times New Roman" w:cs="Times New Roman"/>
          <w:i/>
          <w:sz w:val="24"/>
        </w:rPr>
        <w:t xml:space="preserve">h </w:t>
      </w:r>
      <w:r>
        <w:rPr>
          <w:rFonts w:ascii="Segoe UI Symbol" w:eastAsia="Segoe UI Symbol" w:hAnsi="Segoe UI Symbol" w:cs="Segoe UI Symbol"/>
          <w:sz w:val="32"/>
        </w:rPr>
        <w:t></w:t>
      </w:r>
      <w:r>
        <w:rPr>
          <w:rFonts w:ascii="Segoe UI Symbol" w:eastAsia="Segoe UI Symbol" w:hAnsi="Segoe UI Symbol" w:cs="Segoe UI Symbol"/>
          <w:sz w:val="32"/>
        </w:rPr>
        <w:tab/>
      </w:r>
      <w:r>
        <w:rPr>
          <w:rFonts w:ascii="Segoe UI Symbol" w:eastAsia="Segoe UI Symbol" w:hAnsi="Segoe UI Symbol" w:cs="Segoe UI Symbol"/>
          <w:sz w:val="38"/>
          <w:u w:val="single" w:color="000000"/>
        </w:rPr>
        <w:t></w:t>
      </w:r>
      <w:r>
        <w:rPr>
          <w:rFonts w:ascii="Times New Roman" w:eastAsia="Times New Roman" w:hAnsi="Times New Roman" w:cs="Times New Roman"/>
          <w:sz w:val="24"/>
        </w:rPr>
        <w:t>1</w:t>
      </w:r>
    </w:p>
    <w:p w:rsidR="0052701D" w:rsidRDefault="00D40929">
      <w:pPr>
        <w:spacing w:after="3" w:line="546" w:lineRule="auto"/>
        <w:ind w:left="99" w:right="613" w:hanging="57"/>
        <w:jc w:val="both"/>
      </w:pPr>
      <w:r>
        <w:rPr>
          <w:noProof/>
        </w:rPr>
        <mc:AlternateContent>
          <mc:Choice Requires="wpg">
            <w:drawing>
              <wp:anchor distT="0" distB="0" distL="114300" distR="114300" simplePos="0" relativeHeight="251674624" behindDoc="0" locked="0" layoutInCell="1" allowOverlap="1">
                <wp:simplePos x="0" y="0"/>
                <wp:positionH relativeFrom="margin">
                  <wp:posOffset>2571764</wp:posOffset>
                </wp:positionH>
                <wp:positionV relativeFrom="paragraph">
                  <wp:posOffset>531132</wp:posOffset>
                </wp:positionV>
                <wp:extent cx="790917" cy="6273"/>
                <wp:effectExtent l="0" t="0" r="0" b="0"/>
                <wp:wrapSquare wrapText="bothSides"/>
                <wp:docPr id="914186" name="Group 914186"/>
                <wp:cNvGraphicFramePr/>
                <a:graphic xmlns:a="http://schemas.openxmlformats.org/drawingml/2006/main">
                  <a:graphicData uri="http://schemas.microsoft.com/office/word/2010/wordprocessingGroup">
                    <wpg:wgp>
                      <wpg:cNvGrpSpPr/>
                      <wpg:grpSpPr>
                        <a:xfrm>
                          <a:off x="0" y="0"/>
                          <a:ext cx="790917" cy="6273"/>
                          <a:chOff x="0" y="0"/>
                          <a:chExt cx="790917" cy="6273"/>
                        </a:xfrm>
                      </wpg:grpSpPr>
                      <wps:wsp>
                        <wps:cNvPr id="7504" name="Shape 7504"/>
                        <wps:cNvSpPr/>
                        <wps:spPr>
                          <a:xfrm>
                            <a:off x="0" y="0"/>
                            <a:ext cx="790917" cy="0"/>
                          </a:xfrm>
                          <a:custGeom>
                            <a:avLst/>
                            <a:gdLst/>
                            <a:ahLst/>
                            <a:cxnLst/>
                            <a:rect l="0" t="0" r="0" b="0"/>
                            <a:pathLst>
                              <a:path w="790917">
                                <a:moveTo>
                                  <a:pt x="0" y="0"/>
                                </a:moveTo>
                                <a:lnTo>
                                  <a:pt x="790917" y="0"/>
                                </a:lnTo>
                              </a:path>
                            </a:pathLst>
                          </a:custGeom>
                          <a:ln w="627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4186" style="width:62.2769pt;height:0.493908pt;position:absolute;mso-position-horizontal-relative:margin;mso-position-horizontal:absolute;margin-left:202.501pt;mso-position-vertical-relative:text;margin-top:41.8214pt;" coordsize="7909,62">
                <v:shape id="Shape 7504" style="position:absolute;width:7909;height:0;left:0;top:0;" coordsize="790917,0" path="m0,0l790917,0">
                  <v:stroke weight="0.493908pt" endcap="flat" joinstyle="round" on="true" color="#000000"/>
                  <v:fill on="false" color="#000000" opacity="0"/>
                </v:shape>
                <w10:wrap type="square"/>
              </v:group>
            </w:pict>
          </mc:Fallback>
        </mc:AlternateContent>
      </w:r>
      <w:r>
        <w:rPr>
          <w:noProof/>
        </w:rPr>
        <mc:AlternateContent>
          <mc:Choice Requires="wpg">
            <w:drawing>
              <wp:anchor distT="0" distB="0" distL="114300" distR="114300" simplePos="0" relativeHeight="251675648" behindDoc="0" locked="0" layoutInCell="1" allowOverlap="1">
                <wp:simplePos x="0" y="0"/>
                <wp:positionH relativeFrom="margin">
                  <wp:posOffset>4244254</wp:posOffset>
                </wp:positionH>
                <wp:positionV relativeFrom="paragraph">
                  <wp:posOffset>531132</wp:posOffset>
                </wp:positionV>
                <wp:extent cx="700009" cy="6273"/>
                <wp:effectExtent l="0" t="0" r="0" b="0"/>
                <wp:wrapSquare wrapText="bothSides"/>
                <wp:docPr id="914187" name="Group 914187"/>
                <wp:cNvGraphicFramePr/>
                <a:graphic xmlns:a="http://schemas.openxmlformats.org/drawingml/2006/main">
                  <a:graphicData uri="http://schemas.microsoft.com/office/word/2010/wordprocessingGroup">
                    <wpg:wgp>
                      <wpg:cNvGrpSpPr/>
                      <wpg:grpSpPr>
                        <a:xfrm>
                          <a:off x="0" y="0"/>
                          <a:ext cx="700009" cy="6273"/>
                          <a:chOff x="0" y="0"/>
                          <a:chExt cx="700009" cy="6273"/>
                        </a:xfrm>
                      </wpg:grpSpPr>
                      <wps:wsp>
                        <wps:cNvPr id="7509" name="Shape 7509"/>
                        <wps:cNvSpPr/>
                        <wps:spPr>
                          <a:xfrm>
                            <a:off x="0" y="0"/>
                            <a:ext cx="700009" cy="0"/>
                          </a:xfrm>
                          <a:custGeom>
                            <a:avLst/>
                            <a:gdLst/>
                            <a:ahLst/>
                            <a:cxnLst/>
                            <a:rect l="0" t="0" r="0" b="0"/>
                            <a:pathLst>
                              <a:path w="700009">
                                <a:moveTo>
                                  <a:pt x="0" y="0"/>
                                </a:moveTo>
                                <a:lnTo>
                                  <a:pt x="700009" y="0"/>
                                </a:lnTo>
                              </a:path>
                            </a:pathLst>
                          </a:custGeom>
                          <a:ln w="627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4187" style="width:55.1188pt;height:0.493908pt;position:absolute;mso-position-horizontal-relative:margin;mso-position-horizontal:absolute;margin-left:334.193pt;mso-position-vertical-relative:text;margin-top:41.8214pt;" coordsize="7000,62">
                <v:shape id="Shape 7509" style="position:absolute;width:7000;height:0;left:0;top:0;" coordsize="700009,0" path="m0,0l700009,0">
                  <v:stroke weight="0.493908pt" endcap="flat" joinstyle="round" on="true" color="#000000"/>
                  <v:fill on="false" color="#000000" opacity="0"/>
                </v:shape>
                <w10:wrap type="square"/>
              </v:group>
            </w:pict>
          </mc:Fallback>
        </mc:AlternateContent>
      </w:r>
      <w:r>
        <w:rPr>
          <w:noProof/>
        </w:rPr>
        <mc:AlternateContent>
          <mc:Choice Requires="wpg">
            <w:drawing>
              <wp:anchor distT="0" distB="0" distL="114300" distR="114300" simplePos="0" relativeHeight="251676672" behindDoc="0" locked="0" layoutInCell="1" allowOverlap="1">
                <wp:simplePos x="0" y="0"/>
                <wp:positionH relativeFrom="margin">
                  <wp:posOffset>5455735</wp:posOffset>
                </wp:positionH>
                <wp:positionV relativeFrom="paragraph">
                  <wp:posOffset>531132</wp:posOffset>
                </wp:positionV>
                <wp:extent cx="92177" cy="6273"/>
                <wp:effectExtent l="0" t="0" r="0" b="0"/>
                <wp:wrapSquare wrapText="bothSides"/>
                <wp:docPr id="914188" name="Group 914188"/>
                <wp:cNvGraphicFramePr/>
                <a:graphic xmlns:a="http://schemas.openxmlformats.org/drawingml/2006/main">
                  <a:graphicData uri="http://schemas.microsoft.com/office/word/2010/wordprocessingGroup">
                    <wpg:wgp>
                      <wpg:cNvGrpSpPr/>
                      <wpg:grpSpPr>
                        <a:xfrm>
                          <a:off x="0" y="0"/>
                          <a:ext cx="92177" cy="6273"/>
                          <a:chOff x="0" y="0"/>
                          <a:chExt cx="92177" cy="6273"/>
                        </a:xfrm>
                      </wpg:grpSpPr>
                      <wps:wsp>
                        <wps:cNvPr id="7510" name="Shape 7510"/>
                        <wps:cNvSpPr/>
                        <wps:spPr>
                          <a:xfrm>
                            <a:off x="0" y="0"/>
                            <a:ext cx="92177" cy="0"/>
                          </a:xfrm>
                          <a:custGeom>
                            <a:avLst/>
                            <a:gdLst/>
                            <a:ahLst/>
                            <a:cxnLst/>
                            <a:rect l="0" t="0" r="0" b="0"/>
                            <a:pathLst>
                              <a:path w="92177">
                                <a:moveTo>
                                  <a:pt x="0" y="0"/>
                                </a:moveTo>
                                <a:lnTo>
                                  <a:pt x="92177" y="0"/>
                                </a:lnTo>
                              </a:path>
                            </a:pathLst>
                          </a:custGeom>
                          <a:ln w="627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4188" style="width:7.258pt;height:0.493908pt;position:absolute;mso-position-horizontal-relative:margin;mso-position-horizontal:absolute;margin-left:429.585pt;mso-position-vertical-relative:text;margin-top:41.8214pt;" coordsize="921,62">
                <v:shape id="Shape 7510" style="position:absolute;width:921;height:0;left:0;top:0;" coordsize="92177,0" path="m0,0l92177,0">
                  <v:stroke weight="0.493908pt" endcap="flat" joinstyle="round" on="true" color="#000000"/>
                  <v:fill on="false" color="#000000" opacity="0"/>
                </v:shape>
                <w10:wrap type="square"/>
              </v:group>
            </w:pict>
          </mc:Fallback>
        </mc:AlternateContent>
      </w:r>
      <w:r>
        <w:rPr>
          <w:rFonts w:ascii="Times New Roman" w:eastAsia="Times New Roman" w:hAnsi="Times New Roman" w:cs="Times New Roman"/>
          <w:sz w:val="28"/>
        </w:rPr>
        <w:t xml:space="preserve"> </w:t>
      </w:r>
      <w:r>
        <w:rPr>
          <w:rFonts w:ascii="Times New Roman" w:eastAsia="Times New Roman" w:hAnsi="Times New Roman" w:cs="Times New Roman"/>
          <w:i/>
          <w:sz w:val="24"/>
        </w:rPr>
        <w:t>E</w:t>
      </w:r>
      <w:r>
        <w:rPr>
          <w:rFonts w:ascii="Times New Roman" w:eastAsia="Times New Roman" w:hAnsi="Times New Roman" w:cs="Times New Roman"/>
          <w:sz w:val="24"/>
        </w:rPr>
        <w:t>12</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Segoe UI Symbol" w:eastAsia="Segoe UI Symbol" w:hAnsi="Segoe UI Symbol" w:cs="Segoe UI Symbol"/>
          <w:sz w:val="38"/>
        </w:rPr>
        <w:t></w:t>
      </w:r>
      <w:r>
        <w:rPr>
          <w:rFonts w:ascii="Times New Roman" w:eastAsia="Times New Roman" w:hAnsi="Times New Roman" w:cs="Times New Roman"/>
          <w:sz w:val="24"/>
        </w:rPr>
        <w:t>1</w:t>
      </w:r>
      <w:r>
        <w:rPr>
          <w:rFonts w:ascii="Segoe UI Symbol" w:eastAsia="Segoe UI Symbol" w:hAnsi="Segoe UI Symbol" w:cs="Segoe UI Symbol"/>
          <w:sz w:val="24"/>
        </w:rPr>
        <w:t></w:t>
      </w:r>
      <w:r>
        <w:rPr>
          <w:rFonts w:ascii="Segoe UI Symbol" w:eastAsia="Segoe UI Symbol" w:hAnsi="Segoe UI Symbol" w:cs="Segoe UI Symbol"/>
          <w:sz w:val="25"/>
        </w:rPr>
        <w:t xml:space="preserve"> </w:t>
      </w:r>
      <w:r>
        <w:rPr>
          <w:rFonts w:ascii="Segoe UI Symbol" w:eastAsia="Segoe UI Symbol" w:hAnsi="Segoe UI Symbol" w:cs="Segoe UI Symbol"/>
          <w:sz w:val="38"/>
        </w:rPr>
        <w:t xml:space="preserve"> </w:t>
      </w:r>
      <w:r>
        <w:rPr>
          <w:rFonts w:ascii="Times New Roman" w:eastAsia="Times New Roman" w:hAnsi="Times New Roman" w:cs="Times New Roman"/>
          <w:sz w:val="14"/>
        </w:rPr>
        <w:t xml:space="preserve">11 </w:t>
      </w:r>
      <w:r>
        <w:rPr>
          <w:rFonts w:ascii="Segoe UI Symbol" w:eastAsia="Segoe UI Symbol" w:hAnsi="Segoe UI Symbol" w:cs="Segoe UI Symbol"/>
          <w:sz w:val="24"/>
        </w:rPr>
        <w:t xml:space="preserve"> </w:t>
      </w:r>
      <w:r>
        <w:rPr>
          <w:rFonts w:ascii="Times New Roman" w:eastAsia="Times New Roman" w:hAnsi="Times New Roman" w:cs="Times New Roman"/>
          <w:sz w:val="24"/>
        </w:rPr>
        <w:t xml:space="preserve">6 </w:t>
      </w:r>
      <w:r>
        <w:rPr>
          <w:rFonts w:ascii="Times New Roman" w:eastAsia="Times New Roman" w:hAnsi="Times New Roman" w:cs="Times New Roman"/>
          <w:i/>
          <w:sz w:val="24"/>
        </w:rPr>
        <w:t>E</w:t>
      </w:r>
      <w:r>
        <w:rPr>
          <w:rFonts w:ascii="Segoe UI Symbol" w:eastAsia="Segoe UI Symbol" w:hAnsi="Segoe UI Symbol" w:cs="Segoe UI Symbol"/>
          <w:sz w:val="32"/>
        </w:rPr>
        <w:t></w:t>
      </w:r>
      <w:r>
        <w:rPr>
          <w:rFonts w:ascii="Segoe UI Symbol" w:eastAsia="Segoe UI Symbol" w:hAnsi="Segoe UI Symbol" w:cs="Segoe UI Symbol"/>
          <w:sz w:val="25"/>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1 </w:t>
      </w:r>
      <w:r>
        <w:rPr>
          <w:rFonts w:ascii="Segoe UI Symbol" w:eastAsia="Segoe UI Symbol" w:hAnsi="Segoe UI Symbol" w:cs="Segoe UI Symbol"/>
          <w:sz w:val="32"/>
        </w:rPr>
        <w:t></w:t>
      </w:r>
      <w:r>
        <w:rPr>
          <w:rFonts w:ascii="Times New Roman" w:eastAsia="Times New Roman" w:hAnsi="Times New Roman" w:cs="Times New Roman"/>
          <w:sz w:val="14"/>
        </w:rPr>
        <w:t xml:space="preserve">3 </w:t>
      </w:r>
      <w:r>
        <w:rPr>
          <w:rFonts w:ascii="Times New Roman" w:eastAsia="Times New Roman" w:hAnsi="Times New Roman" w:cs="Times New Roman"/>
          <w:sz w:val="14"/>
          <w:u w:val="single" w:color="000000"/>
        </w:rPr>
        <w:t xml:space="preserve">0 </w:t>
      </w:r>
      <w:r>
        <w:rPr>
          <w:rFonts w:ascii="Times New Roman" w:eastAsia="Times New Roman" w:hAnsi="Times New Roman" w:cs="Times New Roman"/>
          <w:sz w:val="24"/>
        </w:rPr>
        <w:t xml:space="preserve">, </w:t>
      </w:r>
      <w:r>
        <w:rPr>
          <w:rFonts w:ascii="Times New Roman" w:eastAsia="Times New Roman" w:hAnsi="Times New Roman" w:cs="Times New Roman"/>
          <w:i/>
          <w:sz w:val="24"/>
        </w:rPr>
        <w:t>A</w:t>
      </w:r>
      <w:r>
        <w:rPr>
          <w:rFonts w:ascii="Times New Roman" w:eastAsia="Times New Roman" w:hAnsi="Times New Roman" w:cs="Times New Roman"/>
          <w:sz w:val="14"/>
        </w:rPr>
        <w:t xml:space="preserve">12 </w:t>
      </w:r>
      <w:r>
        <w:rPr>
          <w:rFonts w:ascii="Segoe UI Symbol" w:eastAsia="Segoe UI Symbol" w:hAnsi="Segoe UI Symbol" w:cs="Segoe UI Symbol"/>
          <w:sz w:val="24"/>
        </w:rPr>
        <w:t xml:space="preserve"> </w:t>
      </w:r>
      <w:r>
        <w:rPr>
          <w:rFonts w:ascii="Times New Roman" w:eastAsia="Times New Roman" w:hAnsi="Times New Roman" w:cs="Times New Roman"/>
          <w:sz w:val="24"/>
        </w:rPr>
        <w:t xml:space="preserve">6 </w:t>
      </w:r>
      <w:r>
        <w:rPr>
          <w:rFonts w:ascii="Times New Roman" w:eastAsia="Times New Roman" w:hAnsi="Times New Roman" w:cs="Times New Roman"/>
          <w:i/>
          <w:sz w:val="24"/>
        </w:rPr>
        <w:t>Eh</w:t>
      </w:r>
      <w:r>
        <w:rPr>
          <w:rFonts w:ascii="Times New Roman" w:eastAsia="Times New Roman" w:hAnsi="Times New Roman" w:cs="Times New Roman"/>
          <w:sz w:val="14"/>
        </w:rPr>
        <w:t>0</w:t>
      </w:r>
      <w:r>
        <w:rPr>
          <w:rFonts w:ascii="Segoe UI Symbol" w:eastAsia="Segoe UI Symbol" w:hAnsi="Segoe UI Symbol" w:cs="Segoe UI Symbol"/>
          <w:sz w:val="24"/>
        </w:rPr>
        <w:t></w:t>
      </w:r>
      <w:r>
        <w:rPr>
          <w:rFonts w:ascii="Segoe UI Symbol" w:eastAsia="Segoe UI Symbol" w:hAnsi="Segoe UI Symbol" w:cs="Segoe UI Symbol"/>
          <w:sz w:val="32"/>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i/>
          <w:sz w:val="24"/>
        </w:rPr>
        <w:t>h</w:t>
      </w:r>
      <w:r>
        <w:rPr>
          <w:rFonts w:ascii="Times New Roman" w:eastAsia="Times New Roman" w:hAnsi="Times New Roman" w:cs="Times New Roman"/>
          <w:sz w:val="14"/>
        </w:rPr>
        <w:t>21</w:t>
      </w:r>
      <w:r>
        <w:rPr>
          <w:rFonts w:ascii="Segoe UI Symbol" w:eastAsia="Segoe UI Symbol" w:hAnsi="Segoe UI Symbol" w:cs="Segoe UI Symbol"/>
          <w:sz w:val="38"/>
          <w:u w:val="single" w:color="000000"/>
        </w:rPr>
        <w:t></w:t>
      </w:r>
      <w:r>
        <w:rPr>
          <w:rFonts w:ascii="Segoe UI Symbol" w:eastAsia="Segoe UI Symbol" w:hAnsi="Segoe UI Symbol" w:cs="Segoe UI Symbol"/>
          <w:sz w:val="32"/>
        </w:rPr>
        <w:t></w:t>
      </w:r>
      <w:r>
        <w:rPr>
          <w:rFonts w:ascii="Times New Roman" w:eastAsia="Times New Roman" w:hAnsi="Times New Roman" w:cs="Times New Roman"/>
          <w:sz w:val="14"/>
        </w:rPr>
        <w:t xml:space="preserve">2 </w:t>
      </w:r>
      <w:r>
        <w:rPr>
          <w:rFonts w:ascii="Times New Roman" w:eastAsia="Times New Roman" w:hAnsi="Times New Roman" w:cs="Times New Roman"/>
          <w:sz w:val="24"/>
        </w:rPr>
        <w:t xml:space="preserve">, </w:t>
      </w:r>
      <w:r>
        <w:rPr>
          <w:rFonts w:ascii="Times New Roman" w:eastAsia="Times New Roman" w:hAnsi="Times New Roman" w:cs="Times New Roman"/>
          <w:i/>
          <w:sz w:val="24"/>
        </w:rPr>
        <w:t>A</w:t>
      </w:r>
      <w:r>
        <w:rPr>
          <w:rFonts w:ascii="Times New Roman" w:eastAsia="Times New Roman" w:hAnsi="Times New Roman" w:cs="Times New Roman"/>
          <w:sz w:val="14"/>
        </w:rPr>
        <w:t xml:space="preserve">14 </w:t>
      </w:r>
      <w:r>
        <w:rPr>
          <w:rFonts w:ascii="Segoe UI Symbol" w:eastAsia="Segoe UI Symbol" w:hAnsi="Segoe UI Symbol" w:cs="Segoe UI Symbol"/>
          <w:sz w:val="24"/>
        </w:rPr>
        <w:t></w:t>
      </w:r>
      <w:r>
        <w:rPr>
          <w:rFonts w:ascii="Times New Roman" w:eastAsia="Times New Roman" w:hAnsi="Times New Roman" w:cs="Times New Roman"/>
          <w:sz w:val="24"/>
        </w:rPr>
        <w:t>1,</w:t>
      </w:r>
      <w:r>
        <w:rPr>
          <w:rFonts w:ascii="Times New Roman" w:eastAsia="Times New Roman" w:hAnsi="Times New Roman" w:cs="Times New Roman"/>
          <w:sz w:val="28"/>
        </w:rPr>
        <w:t xml:space="preserve"> </w:t>
      </w:r>
      <w:r>
        <w:rPr>
          <w:rFonts w:ascii="Times New Roman" w:eastAsia="Times New Roman" w:hAnsi="Times New Roman" w:cs="Times New Roman"/>
          <w:i/>
          <w:sz w:val="25"/>
        </w:rPr>
        <w:t>A</w:t>
      </w:r>
      <w:r>
        <w:rPr>
          <w:rFonts w:ascii="Times New Roman" w:eastAsia="Times New Roman" w:hAnsi="Times New Roman" w:cs="Times New Roman"/>
          <w:sz w:val="14"/>
        </w:rPr>
        <w:t xml:space="preserve">15 </w:t>
      </w:r>
      <w:r>
        <w:rPr>
          <w:rFonts w:ascii="Segoe UI Symbol" w:eastAsia="Segoe UI Symbol" w:hAnsi="Segoe UI Symbol" w:cs="Segoe UI Symbol"/>
          <w:sz w:val="25"/>
        </w:rPr>
        <w:t xml:space="preserve"> </w:t>
      </w:r>
      <w:r>
        <w:rPr>
          <w:rFonts w:ascii="Times New Roman" w:eastAsia="Times New Roman" w:hAnsi="Times New Roman" w:cs="Times New Roman"/>
          <w:sz w:val="25"/>
        </w:rPr>
        <w:t>6</w:t>
      </w:r>
      <w:r>
        <w:rPr>
          <w:rFonts w:ascii="Times New Roman" w:eastAsia="Times New Roman" w:hAnsi="Times New Roman" w:cs="Times New Roman"/>
          <w:i/>
          <w:sz w:val="25"/>
        </w:rPr>
        <w:t>p</w:t>
      </w:r>
      <w:r>
        <w:rPr>
          <w:rFonts w:ascii="Times New Roman" w:eastAsia="Times New Roman" w:hAnsi="Times New Roman" w:cs="Times New Roman"/>
          <w:sz w:val="14"/>
        </w:rPr>
        <w:t xml:space="preserve">* </w:t>
      </w:r>
      <w:r>
        <w:rPr>
          <w:rFonts w:ascii="Times New Roman" w:eastAsia="Times New Roman" w:hAnsi="Times New Roman" w:cs="Times New Roman"/>
          <w:sz w:val="25"/>
        </w:rPr>
        <w:t>1</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Times New Roman" w:eastAsia="Times New Roman" w:hAnsi="Times New Roman" w:cs="Times New Roman"/>
          <w:i/>
          <w:sz w:val="25"/>
        </w:rPr>
        <w:t>h</w:t>
      </w:r>
      <w:r>
        <w:rPr>
          <w:rFonts w:ascii="Segoe UI Symbol" w:eastAsia="Segoe UI Symbol" w:hAnsi="Segoe UI Symbol" w:cs="Segoe UI Symbol"/>
          <w:sz w:val="26"/>
        </w:rPr>
        <w:t></w:t>
      </w:r>
      <w:r>
        <w:rPr>
          <w:rFonts w:ascii="Segoe UI Symbol" w:eastAsia="Segoe UI Symbol" w:hAnsi="Segoe UI Symbol" w:cs="Segoe UI Symbol"/>
          <w:sz w:val="33"/>
        </w:rPr>
        <w:t></w:t>
      </w:r>
      <w:r>
        <w:rPr>
          <w:rFonts w:ascii="Times New Roman" w:eastAsia="Times New Roman" w:hAnsi="Times New Roman" w:cs="Times New Roman"/>
          <w:sz w:val="14"/>
        </w:rPr>
        <w:t>24</w:t>
      </w:r>
      <w:r>
        <w:rPr>
          <w:rFonts w:ascii="Segoe UI Symbol" w:eastAsia="Segoe UI Symbol" w:hAnsi="Segoe UI Symbol" w:cs="Segoe UI Symbol"/>
          <w:sz w:val="39"/>
          <w:u w:val="single" w:color="000000"/>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sz w:val="25"/>
        </w:rPr>
        <w:t>3</w:t>
      </w:r>
      <w:r>
        <w:rPr>
          <w:rFonts w:ascii="Times New Roman" w:eastAsia="Times New Roman" w:hAnsi="Times New Roman" w:cs="Times New Roman"/>
          <w:i/>
          <w:sz w:val="25"/>
        </w:rPr>
        <w:t>h</w:t>
      </w:r>
      <w:r>
        <w:rPr>
          <w:rFonts w:ascii="Times New Roman" w:eastAsia="Times New Roman" w:hAnsi="Times New Roman" w:cs="Times New Roman"/>
          <w:sz w:val="14"/>
        </w:rPr>
        <w:t xml:space="preserve">0 </w:t>
      </w:r>
      <w:r>
        <w:rPr>
          <w:rFonts w:ascii="Times New Roman" w:eastAsia="Times New Roman" w:hAnsi="Times New Roman" w:cs="Times New Roman"/>
          <w:sz w:val="25"/>
        </w:rPr>
        <w:t xml:space="preserve">ln </w:t>
      </w:r>
      <w:r>
        <w:rPr>
          <w:rFonts w:ascii="Times New Roman" w:eastAsia="Times New Roman" w:hAnsi="Times New Roman" w:cs="Times New Roman"/>
          <w:i/>
          <w:sz w:val="25"/>
        </w:rPr>
        <w:t>h</w:t>
      </w:r>
      <w:r>
        <w:rPr>
          <w:rFonts w:ascii="Times New Roman" w:eastAsia="Times New Roman" w:hAnsi="Times New Roman" w:cs="Times New Roman"/>
          <w:sz w:val="14"/>
        </w:rPr>
        <w:t xml:space="preserve">0 </w:t>
      </w:r>
      <w:r>
        <w:rPr>
          <w:rFonts w:ascii="Segoe UI Symbol" w:eastAsia="Segoe UI Symbol" w:hAnsi="Segoe UI Symbol" w:cs="Segoe UI Symbol"/>
          <w:sz w:val="25"/>
        </w:rPr>
        <w:t></w:t>
      </w:r>
      <w:r>
        <w:rPr>
          <w:rFonts w:ascii="Times New Roman" w:eastAsia="Times New Roman" w:hAnsi="Times New Roman" w:cs="Times New Roman"/>
          <w:i/>
          <w:sz w:val="25"/>
        </w:rPr>
        <w:t>h</w:t>
      </w:r>
      <w:r>
        <w:rPr>
          <w:rFonts w:ascii="Times New Roman" w:eastAsia="Times New Roman" w:hAnsi="Times New Roman" w:cs="Times New Roman"/>
          <w:sz w:val="25"/>
        </w:rPr>
        <w:t>2</w:t>
      </w:r>
      <w:r>
        <w:rPr>
          <w:rFonts w:ascii="Times New Roman" w:eastAsia="Times New Roman" w:hAnsi="Times New Roman" w:cs="Times New Roman"/>
          <w:sz w:val="14"/>
          <w:u w:val="single" w:color="000000"/>
        </w:rPr>
        <w:t xml:space="preserve">0 </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sz w:val="25"/>
        </w:rPr>
        <w:t>12</w:t>
      </w:r>
      <w:r>
        <w:rPr>
          <w:rFonts w:ascii="Segoe UI Symbol" w:eastAsia="Segoe UI Symbol" w:hAnsi="Segoe UI Symbol" w:cs="Segoe UI Symbol"/>
          <w:sz w:val="26"/>
        </w:rPr>
        <w:t></w:t>
      </w:r>
      <w:r>
        <w:rPr>
          <w:rFonts w:ascii="Segoe UI Symbol" w:eastAsia="Segoe UI Symbol" w:hAnsi="Segoe UI Symbol" w:cs="Segoe UI Symbol"/>
          <w:sz w:val="26"/>
        </w:rPr>
        <w:t></w:t>
      </w:r>
      <w:r>
        <w:rPr>
          <w:rFonts w:ascii="Times New Roman" w:eastAsia="Times New Roman" w:hAnsi="Times New Roman" w:cs="Times New Roman"/>
          <w:sz w:val="14"/>
        </w:rPr>
        <w:t xml:space="preserve">2 </w:t>
      </w:r>
      <w:r>
        <w:rPr>
          <w:rFonts w:ascii="Segoe UI Symbol" w:eastAsia="Segoe UI Symbol" w:hAnsi="Segoe UI Symbol" w:cs="Segoe UI Symbol"/>
          <w:sz w:val="39"/>
        </w:rPr>
        <w:t></w:t>
      </w:r>
      <w:r>
        <w:rPr>
          <w:rFonts w:ascii="Times New Roman" w:eastAsia="Times New Roman" w:hAnsi="Times New Roman" w:cs="Times New Roman"/>
          <w:sz w:val="25"/>
        </w:rPr>
        <w:t>1</w:t>
      </w:r>
      <w:r>
        <w:rPr>
          <w:rFonts w:ascii="Segoe UI Symbol" w:eastAsia="Segoe UI Symbol" w:hAnsi="Segoe UI Symbol" w:cs="Segoe UI Symbol"/>
          <w:sz w:val="25"/>
        </w:rPr>
        <w:t></w:t>
      </w:r>
      <w:r>
        <w:rPr>
          <w:rFonts w:ascii="Times New Roman" w:eastAsia="Times New Roman" w:hAnsi="Times New Roman" w:cs="Times New Roman"/>
          <w:i/>
          <w:sz w:val="25"/>
        </w:rPr>
        <w:t>E</w:t>
      </w:r>
      <w:r>
        <w:rPr>
          <w:rFonts w:ascii="Segoe UI Symbol" w:eastAsia="Segoe UI Symbol" w:hAnsi="Segoe UI Symbol" w:cs="Segoe UI Symbol"/>
          <w:sz w:val="26"/>
        </w:rPr>
        <w:t></w:t>
      </w:r>
      <w:r>
        <w:rPr>
          <w:rFonts w:ascii="Segoe UI Symbol" w:eastAsia="Segoe UI Symbol" w:hAnsi="Segoe UI Symbol" w:cs="Segoe UI Symbol"/>
          <w:sz w:val="33"/>
        </w:rPr>
        <w:t></w:t>
      </w:r>
      <w:r>
        <w:rPr>
          <w:rFonts w:ascii="Segoe UI Symbol" w:eastAsia="Segoe UI Symbol" w:hAnsi="Segoe UI Symbol" w:cs="Segoe UI Symbol"/>
          <w:sz w:val="26"/>
        </w:rPr>
        <w:t></w:t>
      </w:r>
      <w:r>
        <w:rPr>
          <w:rFonts w:ascii="Times New Roman" w:eastAsia="Times New Roman" w:hAnsi="Times New Roman" w:cs="Times New Roman"/>
          <w:sz w:val="14"/>
        </w:rPr>
        <w:t>2</w:t>
      </w:r>
      <w:r>
        <w:rPr>
          <w:rFonts w:ascii="Times New Roman" w:eastAsia="Times New Roman" w:hAnsi="Times New Roman" w:cs="Times New Roman"/>
          <w:i/>
          <w:sz w:val="25"/>
        </w:rPr>
        <w:t>h</w:t>
      </w:r>
      <w:r>
        <w:rPr>
          <w:rFonts w:ascii="Segoe UI Symbol" w:eastAsia="Segoe UI Symbol" w:hAnsi="Segoe UI Symbol" w:cs="Segoe UI Symbol"/>
          <w:sz w:val="39"/>
        </w:rPr>
        <w:t></w:t>
      </w:r>
      <w:r>
        <w:rPr>
          <w:rFonts w:ascii="Segoe UI Symbol" w:eastAsia="Segoe UI Symbol" w:hAnsi="Segoe UI Symbol" w:cs="Segoe UI Symbol"/>
          <w:sz w:val="33"/>
        </w:rPr>
        <w:t></w:t>
      </w:r>
      <w:r>
        <w:rPr>
          <w:rFonts w:ascii="Times New Roman" w:eastAsia="Times New Roman" w:hAnsi="Times New Roman" w:cs="Times New Roman"/>
          <w:sz w:val="14"/>
        </w:rPr>
        <w:t>1</w:t>
      </w:r>
      <w:r>
        <w:rPr>
          <w:rFonts w:ascii="Times New Roman" w:eastAsia="Times New Roman" w:hAnsi="Times New Roman" w:cs="Times New Roman"/>
          <w:sz w:val="25"/>
        </w:rPr>
        <w:t>1</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Times New Roman" w:eastAsia="Times New Roman" w:hAnsi="Times New Roman" w:cs="Times New Roman"/>
          <w:sz w:val="14"/>
        </w:rPr>
        <w:t>4</w:t>
      </w:r>
      <w:r>
        <w:rPr>
          <w:rFonts w:ascii="Segoe UI Symbol" w:eastAsia="Segoe UI Symbol" w:hAnsi="Segoe UI Symbol" w:cs="Segoe UI Symbol"/>
          <w:sz w:val="26"/>
        </w:rPr>
        <w:t></w:t>
      </w:r>
      <w:r>
        <w:rPr>
          <w:rFonts w:ascii="Segoe UI Symbol" w:eastAsia="Segoe UI Symbol" w:hAnsi="Segoe UI Symbol" w:cs="Segoe UI Symbol"/>
          <w:sz w:val="33"/>
        </w:rPr>
        <w:t></w:t>
      </w:r>
      <w:r>
        <w:rPr>
          <w:rFonts w:ascii="Times New Roman" w:eastAsia="Times New Roman" w:hAnsi="Times New Roman" w:cs="Times New Roman"/>
          <w:sz w:val="25"/>
        </w:rPr>
        <w:t xml:space="preserve">ln </w:t>
      </w:r>
      <w:r>
        <w:rPr>
          <w:rFonts w:ascii="Times New Roman" w:eastAsia="Times New Roman" w:hAnsi="Times New Roman" w:cs="Times New Roman"/>
          <w:i/>
          <w:sz w:val="25"/>
        </w:rPr>
        <w:t>h</w:t>
      </w:r>
      <w:r>
        <w:rPr>
          <w:rFonts w:ascii="Times New Roman" w:eastAsia="Times New Roman" w:hAnsi="Times New Roman" w:cs="Times New Roman"/>
          <w:sz w:val="14"/>
        </w:rPr>
        <w:t xml:space="preserve">02 </w:t>
      </w:r>
      <w:r>
        <w:rPr>
          <w:rFonts w:ascii="Segoe UI Symbol" w:eastAsia="Segoe UI Symbol" w:hAnsi="Segoe UI Symbol" w:cs="Segoe UI Symbol"/>
          <w:sz w:val="25"/>
        </w:rPr>
        <w:t></w:t>
      </w:r>
      <w:r>
        <w:rPr>
          <w:rFonts w:ascii="Times New Roman" w:eastAsia="Times New Roman" w:hAnsi="Times New Roman" w:cs="Times New Roman"/>
          <w:sz w:val="25"/>
        </w:rPr>
        <w:t>72</w:t>
      </w:r>
      <w:r>
        <w:rPr>
          <w:rFonts w:ascii="Segoe UI Symbol" w:eastAsia="Segoe UI Symbol" w:hAnsi="Segoe UI Symbol" w:cs="Segoe UI Symbol"/>
          <w:sz w:val="26"/>
        </w:rPr>
        <w:t></w:t>
      </w:r>
      <w:r>
        <w:rPr>
          <w:rFonts w:ascii="Segoe UI Symbol" w:eastAsia="Segoe UI Symbol" w:hAnsi="Segoe UI Symbol" w:cs="Segoe UI Symbol"/>
          <w:sz w:val="26"/>
        </w:rPr>
        <w:t></w:t>
      </w:r>
      <w:r>
        <w:rPr>
          <w:rFonts w:ascii="Times New Roman" w:eastAsia="Times New Roman" w:hAnsi="Times New Roman" w:cs="Times New Roman"/>
          <w:sz w:val="14"/>
        </w:rPr>
        <w:t xml:space="preserve">0 </w:t>
      </w:r>
      <w:r>
        <w:rPr>
          <w:rFonts w:ascii="Times New Roman" w:eastAsia="Times New Roman" w:hAnsi="Times New Roman" w:cs="Times New Roman"/>
          <w:i/>
          <w:sz w:val="25"/>
        </w:rPr>
        <w:t>REh</w:t>
      </w:r>
      <w:r>
        <w:rPr>
          <w:rFonts w:ascii="Segoe UI Symbol" w:eastAsia="Segoe UI Symbol" w:hAnsi="Segoe UI Symbol" w:cs="Segoe UI Symbol"/>
          <w:sz w:val="39"/>
        </w:rPr>
        <w:t></w:t>
      </w:r>
      <w:r>
        <w:rPr>
          <w:rFonts w:ascii="Times New Roman" w:eastAsia="Times New Roman" w:hAnsi="Times New Roman" w:cs="Times New Roman"/>
          <w:sz w:val="25"/>
        </w:rPr>
        <w:t>1</w:t>
      </w:r>
      <w:r>
        <w:rPr>
          <w:rFonts w:ascii="Segoe UI Symbol" w:eastAsia="Segoe UI Symbol" w:hAnsi="Segoe UI Symbol" w:cs="Segoe UI Symbol"/>
          <w:sz w:val="25"/>
        </w:rPr>
        <w:t></w:t>
      </w:r>
      <w:r>
        <w:rPr>
          <w:rFonts w:ascii="Times New Roman" w:eastAsia="Times New Roman" w:hAnsi="Times New Roman" w:cs="Times New Roman"/>
          <w:sz w:val="14"/>
        </w:rPr>
        <w:t>0</w:t>
      </w:r>
      <w:r>
        <w:rPr>
          <w:rFonts w:ascii="Segoe UI Symbol" w:eastAsia="Segoe UI Symbol" w:hAnsi="Segoe UI Symbol" w:cs="Segoe UI Symbol"/>
          <w:sz w:val="26"/>
        </w:rPr>
        <w:t></w:t>
      </w:r>
      <w:r>
        <w:rPr>
          <w:rFonts w:ascii="Segoe UI Symbol" w:eastAsia="Segoe UI Symbol" w:hAnsi="Segoe UI Symbol" w:cs="Segoe UI Symbol"/>
          <w:sz w:val="33"/>
        </w:rPr>
        <w:t></w:t>
      </w:r>
      <w:r>
        <w:rPr>
          <w:rFonts w:ascii="Segoe UI Symbol" w:eastAsia="Segoe UI Symbol" w:hAnsi="Segoe UI Symbol" w:cs="Segoe UI Symbol"/>
          <w:sz w:val="26"/>
        </w:rPr>
        <w:t></w:t>
      </w:r>
      <w:r>
        <w:rPr>
          <w:rFonts w:ascii="Times New Roman" w:eastAsia="Times New Roman" w:hAnsi="Times New Roman" w:cs="Times New Roman"/>
          <w:sz w:val="14"/>
        </w:rPr>
        <w:t>2</w:t>
      </w:r>
      <w:r>
        <w:rPr>
          <w:rFonts w:ascii="Times New Roman" w:eastAsia="Times New Roman" w:hAnsi="Times New Roman" w:cs="Times New Roman"/>
          <w:i/>
          <w:sz w:val="25"/>
        </w:rPr>
        <w:t>h</w:t>
      </w:r>
      <w:r>
        <w:rPr>
          <w:rFonts w:ascii="Segoe UI Symbol" w:eastAsia="Segoe UI Symbol" w:hAnsi="Segoe UI Symbol" w:cs="Segoe UI Symbol"/>
          <w:sz w:val="39"/>
        </w:rPr>
        <w:t></w:t>
      </w:r>
      <w:r>
        <w:rPr>
          <w:rFonts w:ascii="Times New Roman" w:eastAsia="Times New Roman" w:hAnsi="Times New Roman" w:cs="Times New Roman"/>
          <w:sz w:val="14"/>
        </w:rPr>
        <w:t>12</w:t>
      </w:r>
      <w:r>
        <w:rPr>
          <w:rFonts w:ascii="Segoe UI Symbol" w:eastAsia="Segoe UI Symbol" w:hAnsi="Segoe UI Symbol" w:cs="Segoe UI Symbol"/>
          <w:sz w:val="33"/>
        </w:rPr>
        <w:t></w:t>
      </w:r>
      <w:r>
        <w:rPr>
          <w:rFonts w:ascii="Times New Roman" w:eastAsia="Times New Roman" w:hAnsi="Times New Roman" w:cs="Times New Roman"/>
          <w:sz w:val="14"/>
        </w:rPr>
        <w:t xml:space="preserve">4 </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sz w:val="25"/>
        </w:rPr>
        <w:t xml:space="preserve">ln </w:t>
      </w:r>
      <w:r>
        <w:rPr>
          <w:rFonts w:ascii="Times New Roman" w:eastAsia="Times New Roman" w:hAnsi="Times New Roman" w:cs="Times New Roman"/>
          <w:i/>
          <w:sz w:val="25"/>
        </w:rPr>
        <w:t>h</w:t>
      </w:r>
      <w:r>
        <w:rPr>
          <w:rFonts w:ascii="Times New Roman" w:eastAsia="Times New Roman" w:hAnsi="Times New Roman" w:cs="Times New Roman"/>
          <w:sz w:val="14"/>
        </w:rPr>
        <w:t xml:space="preserve">0 </w:t>
      </w:r>
      <w:r>
        <w:rPr>
          <w:rFonts w:ascii="Segoe UI Symbol" w:eastAsia="Segoe UI Symbol" w:hAnsi="Segoe UI Symbol" w:cs="Segoe UI Symbol"/>
          <w:sz w:val="25"/>
        </w:rPr>
        <w:t xml:space="preserve"> </w:t>
      </w:r>
      <w:r>
        <w:rPr>
          <w:rFonts w:ascii="Times New Roman" w:eastAsia="Times New Roman" w:hAnsi="Times New Roman" w:cs="Times New Roman"/>
          <w:sz w:val="25"/>
        </w:rPr>
        <w:t>23</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sz w:val="28"/>
        </w:rPr>
        <w:t xml:space="preserve"> </w:t>
      </w:r>
    </w:p>
    <w:p w:rsidR="0052701D" w:rsidRDefault="00D40929">
      <w:pPr>
        <w:spacing w:after="0"/>
        <w:ind w:left="1011"/>
      </w:pPr>
      <w:r>
        <w:rPr>
          <w:rFonts w:ascii="Segoe UI Symbol" w:eastAsia="Segoe UI Symbol" w:hAnsi="Segoe UI Symbol" w:cs="Segoe UI Symbol"/>
          <w:sz w:val="39"/>
          <w:u w:val="single" w:color="000000"/>
        </w:rPr>
        <w:lastRenderedPageBreak/>
        <w:t></w:t>
      </w:r>
    </w:p>
    <w:p w:rsidR="0052701D" w:rsidRDefault="00D40929">
      <w:pPr>
        <w:tabs>
          <w:tab w:val="center" w:pos="1258"/>
          <w:tab w:val="center" w:pos="1756"/>
        </w:tabs>
        <w:spacing w:after="351"/>
      </w:pPr>
      <w:r>
        <w:tab/>
      </w:r>
      <w:r>
        <w:rPr>
          <w:rFonts w:ascii="Segoe UI Symbol" w:eastAsia="Segoe UI Symbol" w:hAnsi="Segoe UI Symbol" w:cs="Segoe UI Symbol"/>
          <w:sz w:val="26"/>
        </w:rPr>
        <w:t></w:t>
      </w:r>
      <w:r>
        <w:rPr>
          <w:rFonts w:ascii="Times New Roman" w:eastAsia="Times New Roman" w:hAnsi="Times New Roman" w:cs="Times New Roman"/>
          <w:sz w:val="14"/>
        </w:rPr>
        <w:t>1</w:t>
      </w:r>
      <w:r>
        <w:rPr>
          <w:rFonts w:ascii="Times New Roman" w:eastAsia="Times New Roman" w:hAnsi="Times New Roman" w:cs="Times New Roman"/>
          <w:sz w:val="14"/>
        </w:rPr>
        <w:tab/>
      </w:r>
      <w:r>
        <w:rPr>
          <w:rFonts w:ascii="Segoe UI Symbol" w:eastAsia="Segoe UI Symbol" w:hAnsi="Segoe UI Symbol" w:cs="Segoe UI Symbol"/>
          <w:sz w:val="25"/>
        </w:rPr>
        <w:t></w:t>
      </w:r>
    </w:p>
    <w:p w:rsidR="0052701D" w:rsidRDefault="00D40929">
      <w:pPr>
        <w:tabs>
          <w:tab w:val="center" w:pos="7561"/>
        </w:tabs>
        <w:spacing w:after="0"/>
      </w:pPr>
      <w:r>
        <w:rPr>
          <w:noProof/>
        </w:rPr>
        <mc:AlternateContent>
          <mc:Choice Requires="wpg">
            <w:drawing>
              <wp:anchor distT="0" distB="0" distL="114300" distR="114300" simplePos="0" relativeHeight="251677696" behindDoc="0" locked="0" layoutInCell="1" allowOverlap="1">
                <wp:simplePos x="0" y="0"/>
                <wp:positionH relativeFrom="margin">
                  <wp:posOffset>2194237</wp:posOffset>
                </wp:positionH>
                <wp:positionV relativeFrom="paragraph">
                  <wp:posOffset>117449</wp:posOffset>
                </wp:positionV>
                <wp:extent cx="92334" cy="6280"/>
                <wp:effectExtent l="0" t="0" r="0" b="0"/>
                <wp:wrapSquare wrapText="bothSides"/>
                <wp:docPr id="914189" name="Group 914189"/>
                <wp:cNvGraphicFramePr/>
                <a:graphic xmlns:a="http://schemas.openxmlformats.org/drawingml/2006/main">
                  <a:graphicData uri="http://schemas.microsoft.com/office/word/2010/wordprocessingGroup">
                    <wpg:wgp>
                      <wpg:cNvGrpSpPr/>
                      <wpg:grpSpPr>
                        <a:xfrm>
                          <a:off x="0" y="0"/>
                          <a:ext cx="92334" cy="6280"/>
                          <a:chOff x="0" y="0"/>
                          <a:chExt cx="92334" cy="6280"/>
                        </a:xfrm>
                      </wpg:grpSpPr>
                      <wps:wsp>
                        <wps:cNvPr id="7595" name="Shape 7595"/>
                        <wps:cNvSpPr/>
                        <wps:spPr>
                          <a:xfrm>
                            <a:off x="0" y="0"/>
                            <a:ext cx="92334" cy="0"/>
                          </a:xfrm>
                          <a:custGeom>
                            <a:avLst/>
                            <a:gdLst/>
                            <a:ahLst/>
                            <a:cxnLst/>
                            <a:rect l="0" t="0" r="0" b="0"/>
                            <a:pathLst>
                              <a:path w="92334">
                                <a:moveTo>
                                  <a:pt x="0" y="0"/>
                                </a:moveTo>
                                <a:lnTo>
                                  <a:pt x="92334" y="0"/>
                                </a:lnTo>
                              </a:path>
                            </a:pathLst>
                          </a:custGeom>
                          <a:ln w="6280"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4189" style="width:7.27036pt;height:0.494524pt;position:absolute;mso-position-horizontal-relative:margin;mso-position-horizontal:absolute;margin-left:172.775pt;mso-position-vertical-relative:text;margin-top:9.24792pt;" coordsize="923,62">
                <v:shape id="Shape 7595" style="position:absolute;width:923;height:0;left:0;top:0;" coordsize="92334,0" path="m0,0l92334,0">
                  <v:stroke weight="0.494524pt" endcap="flat" joinstyle="round" on="true" color="#000000"/>
                  <v:fill on="false" color="#000000" opacity="0"/>
                </v:shape>
                <w10:wrap type="square"/>
              </v:group>
            </w:pict>
          </mc:Fallback>
        </mc:AlternateContent>
      </w:r>
      <w:r>
        <w:rPr>
          <w:rFonts w:ascii="Segoe UI Symbol" w:eastAsia="Segoe UI Symbol" w:hAnsi="Segoe UI Symbol" w:cs="Segoe UI Symbol"/>
          <w:sz w:val="25"/>
        </w:rPr>
        <w:t xml:space="preserve"> </w:t>
      </w:r>
      <w:r>
        <w:rPr>
          <w:rFonts w:ascii="Times New Roman" w:eastAsia="Times New Roman" w:hAnsi="Times New Roman" w:cs="Times New Roman"/>
          <w:sz w:val="25"/>
        </w:rPr>
        <w:t>72</w:t>
      </w:r>
      <w:r>
        <w:rPr>
          <w:rFonts w:ascii="Segoe UI Symbol" w:eastAsia="Segoe UI Symbol" w:hAnsi="Segoe UI Symbol" w:cs="Segoe UI Symbol"/>
          <w:sz w:val="26"/>
        </w:rPr>
        <w:t></w:t>
      </w:r>
      <w:r>
        <w:rPr>
          <w:rFonts w:ascii="Segoe UI Symbol" w:eastAsia="Segoe UI Symbol" w:hAnsi="Segoe UI Symbol" w:cs="Segoe UI Symbol"/>
          <w:sz w:val="26"/>
        </w:rPr>
        <w:t></w:t>
      </w:r>
      <w:r>
        <w:rPr>
          <w:rFonts w:ascii="Times New Roman" w:eastAsia="Times New Roman" w:hAnsi="Times New Roman" w:cs="Times New Roman"/>
          <w:vertAlign w:val="subscript"/>
        </w:rPr>
        <w:t xml:space="preserve">1 </w:t>
      </w:r>
      <w:r>
        <w:rPr>
          <w:rFonts w:ascii="Segoe UI Symbol" w:eastAsia="Segoe UI Symbol" w:hAnsi="Segoe UI Symbol" w:cs="Segoe UI Symbol"/>
          <w:sz w:val="40"/>
          <w:u w:val="single" w:color="000000"/>
        </w:rPr>
        <w:t></w:t>
      </w:r>
      <w:r>
        <w:rPr>
          <w:rFonts w:ascii="Times New Roman" w:eastAsia="Times New Roman" w:hAnsi="Times New Roman" w:cs="Times New Roman"/>
          <w:sz w:val="25"/>
        </w:rPr>
        <w:t>1</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sz w:val="14"/>
        </w:rPr>
        <w:t>2</w:t>
      </w:r>
      <w:r>
        <w:rPr>
          <w:rFonts w:ascii="Segoe UI Symbol" w:eastAsia="Segoe UI Symbol" w:hAnsi="Segoe UI Symbol" w:cs="Segoe UI Symbol"/>
          <w:sz w:val="40"/>
          <w:u w:val="single" w:color="000000"/>
        </w:rPr>
        <w:t></w:t>
      </w:r>
      <w:r>
        <w:rPr>
          <w:rFonts w:ascii="Times New Roman" w:eastAsia="Times New Roman" w:hAnsi="Times New Roman" w:cs="Times New Roman"/>
          <w:sz w:val="14"/>
        </w:rPr>
        <w:t xml:space="preserve">2 </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sz w:val="25"/>
        </w:rPr>
        <w:t xml:space="preserve">ln </w:t>
      </w:r>
      <w:r>
        <w:rPr>
          <w:rFonts w:ascii="Times New Roman" w:eastAsia="Times New Roman" w:hAnsi="Times New Roman" w:cs="Times New Roman"/>
          <w:i/>
          <w:sz w:val="25"/>
        </w:rPr>
        <w:t>h</w:t>
      </w:r>
      <w:r>
        <w:rPr>
          <w:rFonts w:ascii="Times New Roman" w:eastAsia="Times New Roman" w:hAnsi="Times New Roman" w:cs="Times New Roman"/>
          <w:sz w:val="14"/>
        </w:rPr>
        <w:t xml:space="preserve">02 </w:t>
      </w:r>
      <w:r>
        <w:rPr>
          <w:rFonts w:ascii="Segoe UI Symbol" w:eastAsia="Segoe UI Symbol" w:hAnsi="Segoe UI Symbol" w:cs="Segoe UI Symbol"/>
          <w:sz w:val="25"/>
        </w:rPr>
        <w:t></w:t>
      </w:r>
      <w:r>
        <w:rPr>
          <w:rFonts w:ascii="Times New Roman" w:eastAsia="Times New Roman" w:hAnsi="Times New Roman" w:cs="Times New Roman"/>
          <w:sz w:val="25"/>
        </w:rPr>
        <w:t xml:space="preserve">3ln </w:t>
      </w:r>
      <w:r>
        <w:rPr>
          <w:rFonts w:ascii="Times New Roman" w:eastAsia="Times New Roman" w:hAnsi="Times New Roman" w:cs="Times New Roman"/>
          <w:i/>
          <w:sz w:val="25"/>
        </w:rPr>
        <w:t>h</w:t>
      </w:r>
      <w:r>
        <w:rPr>
          <w:rFonts w:ascii="Times New Roman" w:eastAsia="Times New Roman" w:hAnsi="Times New Roman" w:cs="Times New Roman"/>
          <w:sz w:val="14"/>
        </w:rPr>
        <w:t xml:space="preserve">0 </w:t>
      </w:r>
      <w:r>
        <w:rPr>
          <w:rFonts w:ascii="Segoe UI Symbol" w:eastAsia="Segoe UI Symbol" w:hAnsi="Segoe UI Symbol" w:cs="Segoe UI Symbol"/>
          <w:sz w:val="25"/>
        </w:rPr>
        <w:t xml:space="preserve"> </w:t>
      </w:r>
      <w:r>
        <w:rPr>
          <w:rFonts w:ascii="Times New Roman" w:eastAsia="Times New Roman" w:hAnsi="Times New Roman" w:cs="Times New Roman"/>
          <w:sz w:val="25"/>
        </w:rPr>
        <w:t>3</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sz w:val="25"/>
        </w:rPr>
        <w:t>144</w:t>
      </w:r>
      <w:r>
        <w:rPr>
          <w:rFonts w:ascii="Segoe UI Symbol" w:eastAsia="Segoe UI Symbol" w:hAnsi="Segoe UI Symbol" w:cs="Segoe UI Symbol"/>
          <w:sz w:val="26"/>
        </w:rPr>
        <w:t></w:t>
      </w:r>
      <w:r>
        <w:rPr>
          <w:rFonts w:ascii="Segoe UI Symbol" w:eastAsia="Segoe UI Symbol" w:hAnsi="Segoe UI Symbol" w:cs="Segoe UI Symbol"/>
          <w:sz w:val="26"/>
        </w:rPr>
        <w:t></w:t>
      </w:r>
      <w:r>
        <w:rPr>
          <w:rFonts w:ascii="Times New Roman" w:eastAsia="Times New Roman" w:hAnsi="Times New Roman" w:cs="Times New Roman"/>
          <w:sz w:val="14"/>
        </w:rPr>
        <w:t xml:space="preserve">1 </w:t>
      </w:r>
      <w:r>
        <w:rPr>
          <w:rFonts w:ascii="Segoe UI Symbol" w:eastAsia="Segoe UI Symbol" w:hAnsi="Segoe UI Symbol" w:cs="Segoe UI Symbol"/>
          <w:sz w:val="40"/>
          <w:u w:val="single" w:color="000000"/>
        </w:rPr>
        <w:t></w:t>
      </w:r>
      <w:r>
        <w:rPr>
          <w:rFonts w:ascii="Times New Roman" w:eastAsia="Times New Roman" w:hAnsi="Times New Roman" w:cs="Times New Roman"/>
          <w:sz w:val="25"/>
        </w:rPr>
        <w:t>1</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sz w:val="14"/>
        </w:rPr>
        <w:t>2</w:t>
      </w:r>
      <w:r>
        <w:rPr>
          <w:rFonts w:ascii="Segoe UI Symbol" w:eastAsia="Segoe UI Symbol" w:hAnsi="Segoe UI Symbol" w:cs="Segoe UI Symbol"/>
          <w:sz w:val="40"/>
          <w:u w:val="single" w:color="000000"/>
        </w:rPr>
        <w:t></w:t>
      </w:r>
      <w:r>
        <w:rPr>
          <w:rFonts w:ascii="Times New Roman" w:eastAsia="Times New Roman" w:hAnsi="Times New Roman" w:cs="Times New Roman"/>
          <w:sz w:val="14"/>
        </w:rPr>
        <w:t xml:space="preserve">25 </w:t>
      </w:r>
      <w:r>
        <w:rPr>
          <w:rFonts w:ascii="Times New Roman" w:eastAsia="Times New Roman" w:hAnsi="Times New Roman" w:cs="Times New Roman"/>
          <w:sz w:val="25"/>
        </w:rPr>
        <w:t xml:space="preserve">ln </w:t>
      </w:r>
      <w:r>
        <w:rPr>
          <w:rFonts w:ascii="Times New Roman" w:eastAsia="Times New Roman" w:hAnsi="Times New Roman" w:cs="Times New Roman"/>
          <w:i/>
          <w:sz w:val="25"/>
        </w:rPr>
        <w:t>h</w:t>
      </w:r>
      <w:r>
        <w:rPr>
          <w:rFonts w:ascii="Times New Roman" w:eastAsia="Times New Roman" w:hAnsi="Times New Roman" w:cs="Times New Roman"/>
          <w:sz w:val="14"/>
        </w:rPr>
        <w:t>02</w:t>
      </w:r>
      <w:r>
        <w:rPr>
          <w:rFonts w:ascii="Times New Roman" w:eastAsia="Times New Roman" w:hAnsi="Times New Roman" w:cs="Times New Roman"/>
          <w:sz w:val="25"/>
        </w:rPr>
        <w:t>,</w:t>
      </w:r>
      <w:r>
        <w:rPr>
          <w:rFonts w:ascii="Times New Roman" w:eastAsia="Times New Roman" w:hAnsi="Times New Roman" w:cs="Times New Roman"/>
          <w:sz w:val="25"/>
        </w:rPr>
        <w:tab/>
      </w:r>
      <w:r>
        <w:rPr>
          <w:rFonts w:ascii="Times New Roman" w:eastAsia="Times New Roman" w:hAnsi="Times New Roman" w:cs="Times New Roman"/>
          <w:i/>
          <w:sz w:val="25"/>
        </w:rPr>
        <w:t>A</w:t>
      </w:r>
      <w:r>
        <w:rPr>
          <w:rFonts w:ascii="Times New Roman" w:eastAsia="Times New Roman" w:hAnsi="Times New Roman" w:cs="Times New Roman"/>
          <w:sz w:val="14"/>
        </w:rPr>
        <w:t xml:space="preserve">21 </w:t>
      </w:r>
      <w:r>
        <w:rPr>
          <w:rFonts w:ascii="Segoe UI Symbol" w:eastAsia="Segoe UI Symbol" w:hAnsi="Segoe UI Symbol" w:cs="Segoe UI Symbol"/>
          <w:sz w:val="25"/>
        </w:rPr>
        <w:t xml:space="preserve"> </w:t>
      </w:r>
      <w:r>
        <w:rPr>
          <w:rFonts w:ascii="Times New Roman" w:eastAsia="Times New Roman" w:hAnsi="Times New Roman" w:cs="Times New Roman"/>
          <w:sz w:val="25"/>
        </w:rPr>
        <w:t xml:space="preserve">6 </w:t>
      </w:r>
      <w:r>
        <w:rPr>
          <w:rFonts w:ascii="Segoe UI Symbol" w:eastAsia="Segoe UI Symbol" w:hAnsi="Segoe UI Symbol" w:cs="Segoe UI Symbol"/>
          <w:sz w:val="40"/>
          <w:u w:val="single" w:color="000000"/>
        </w:rPr>
        <w:t></w:t>
      </w:r>
      <w:r>
        <w:rPr>
          <w:rFonts w:ascii="Times New Roman" w:eastAsia="Times New Roman" w:hAnsi="Times New Roman" w:cs="Times New Roman"/>
          <w:sz w:val="25"/>
        </w:rPr>
        <w:t>1</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sz w:val="14"/>
        </w:rPr>
        <w:t>2</w:t>
      </w:r>
      <w:r>
        <w:rPr>
          <w:rFonts w:ascii="Segoe UI Symbol" w:eastAsia="Segoe UI Symbol" w:hAnsi="Segoe UI Symbol" w:cs="Segoe UI Symbol"/>
          <w:sz w:val="40"/>
          <w:u w:val="single" w:color="000000"/>
        </w:rPr>
        <w:t></w:t>
      </w:r>
      <w:r>
        <w:rPr>
          <w:rFonts w:ascii="Times New Roman" w:eastAsia="Times New Roman" w:hAnsi="Times New Roman" w:cs="Times New Roman"/>
          <w:sz w:val="14"/>
        </w:rPr>
        <w:t xml:space="preserve">2 </w:t>
      </w:r>
      <w:r>
        <w:rPr>
          <w:rFonts w:ascii="Times New Roman" w:eastAsia="Times New Roman" w:hAnsi="Times New Roman" w:cs="Times New Roman"/>
          <w:sz w:val="25"/>
        </w:rPr>
        <w:t>,</w:t>
      </w:r>
    </w:p>
    <w:p w:rsidR="0052701D" w:rsidRDefault="00D40929">
      <w:pPr>
        <w:spacing w:after="3"/>
        <w:ind w:left="1684" w:firstLine="7"/>
        <w:jc w:val="both"/>
      </w:pPr>
      <w:r>
        <w:rPr>
          <w:rFonts w:ascii="Times New Roman" w:eastAsia="Times New Roman" w:hAnsi="Times New Roman" w:cs="Times New Roman"/>
          <w:sz w:val="14"/>
        </w:rPr>
        <w:t>5</w:t>
      </w:r>
    </w:p>
    <w:p w:rsidR="0052701D" w:rsidRDefault="0052701D">
      <w:pPr>
        <w:sectPr w:rsidR="0052701D">
          <w:footerReference w:type="even" r:id="rId144"/>
          <w:footerReference w:type="default" r:id="rId145"/>
          <w:footerReference w:type="first" r:id="rId146"/>
          <w:footnotePr>
            <w:numRestart w:val="eachPage"/>
          </w:footnotePr>
          <w:pgSz w:w="11909" w:h="16834"/>
          <w:pgMar w:top="960" w:right="844" w:bottom="967" w:left="1416" w:header="720" w:footer="300" w:gutter="0"/>
          <w:cols w:space="720"/>
        </w:sectPr>
      </w:pPr>
    </w:p>
    <w:p w:rsidR="0052701D" w:rsidRDefault="00D40929">
      <w:pPr>
        <w:tabs>
          <w:tab w:val="center" w:pos="2687"/>
          <w:tab w:val="center" w:pos="4216"/>
          <w:tab w:val="right" w:pos="7331"/>
        </w:tabs>
        <w:spacing w:after="3"/>
      </w:pPr>
      <w:r>
        <w:rPr>
          <w:rFonts w:ascii="Times New Roman" w:eastAsia="Times New Roman" w:hAnsi="Times New Roman" w:cs="Times New Roman"/>
          <w:i/>
          <w:sz w:val="25"/>
        </w:rPr>
        <w:t>RE</w:t>
      </w:r>
      <w:r>
        <w:rPr>
          <w:rFonts w:ascii="Segoe UI Symbol" w:eastAsia="Segoe UI Symbol" w:hAnsi="Segoe UI Symbol" w:cs="Segoe UI Symbol"/>
          <w:sz w:val="33"/>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vertAlign w:val="subscript"/>
        </w:rPr>
        <w:t>1</w:t>
      </w:r>
      <w:r>
        <w:rPr>
          <w:rFonts w:ascii="Segoe UI Symbol" w:eastAsia="Segoe UI Symbol" w:hAnsi="Segoe UI Symbol" w:cs="Segoe UI Symbol"/>
          <w:sz w:val="33"/>
        </w:rPr>
        <w:t xml:space="preserve"> </w:t>
      </w:r>
      <w:r>
        <w:rPr>
          <w:rFonts w:ascii="Segoe UI Symbol" w:eastAsia="Segoe UI Symbol" w:hAnsi="Segoe UI Symbol" w:cs="Segoe UI Symbol"/>
          <w:sz w:val="25"/>
        </w:rPr>
        <w:t></w:t>
      </w:r>
      <w:r>
        <w:rPr>
          <w:rFonts w:ascii="Segoe UI Symbol" w:eastAsia="Segoe UI Symbol" w:hAnsi="Segoe UI Symbol" w:cs="Segoe UI Symbol"/>
          <w:sz w:val="25"/>
        </w:rPr>
        <w:tab/>
      </w:r>
      <w:r>
        <w:rPr>
          <w:rFonts w:ascii="Times New Roman" w:eastAsia="Times New Roman" w:hAnsi="Times New Roman" w:cs="Times New Roman"/>
          <w:sz w:val="25"/>
        </w:rPr>
        <w:t>2</w:t>
      </w:r>
      <w:r>
        <w:rPr>
          <w:rFonts w:ascii="Segoe UI Symbol" w:eastAsia="Segoe UI Symbol" w:hAnsi="Segoe UI Symbol" w:cs="Segoe UI Symbol"/>
          <w:sz w:val="25"/>
        </w:rPr>
        <w:t></w:t>
      </w:r>
      <w:r>
        <w:rPr>
          <w:rFonts w:ascii="Segoe UI Symbol" w:eastAsia="Segoe UI Symbol" w:hAnsi="Segoe UI Symbol" w:cs="Segoe UI Symbol"/>
          <w:sz w:val="25"/>
        </w:rPr>
        <w:tab/>
      </w:r>
      <w:r>
        <w:rPr>
          <w:rFonts w:ascii="Times New Roman" w:eastAsia="Times New Roman" w:hAnsi="Times New Roman" w:cs="Times New Roman"/>
          <w:i/>
          <w:sz w:val="25"/>
        </w:rPr>
        <w:t>RE</w:t>
      </w:r>
      <w:r>
        <w:rPr>
          <w:rFonts w:ascii="Segoe UI Symbol" w:eastAsia="Segoe UI Symbol" w:hAnsi="Segoe UI Symbol" w:cs="Segoe UI Symbol"/>
          <w:sz w:val="33"/>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vertAlign w:val="subscript"/>
        </w:rPr>
        <w:t>1</w:t>
      </w:r>
      <w:r>
        <w:rPr>
          <w:rFonts w:ascii="Segoe UI Symbol" w:eastAsia="Segoe UI Symbol" w:hAnsi="Segoe UI Symbol" w:cs="Segoe UI Symbol"/>
          <w:sz w:val="33"/>
        </w:rPr>
        <w:t></w:t>
      </w:r>
      <w:r>
        <w:rPr>
          <w:rFonts w:ascii="Segoe UI Symbol" w:eastAsia="Segoe UI Symbol" w:hAnsi="Segoe UI Symbol" w:cs="Segoe UI Symbol"/>
          <w:sz w:val="33"/>
        </w:rPr>
        <w:tab/>
      </w:r>
      <w:r>
        <w:rPr>
          <w:rFonts w:ascii="Times New Roman" w:eastAsia="Times New Roman" w:hAnsi="Times New Roman" w:cs="Times New Roman"/>
          <w:i/>
          <w:sz w:val="25"/>
        </w:rPr>
        <w:t>Eh</w:t>
      </w:r>
      <w:r>
        <w:rPr>
          <w:rFonts w:ascii="Times New Roman" w:eastAsia="Times New Roman" w:hAnsi="Times New Roman" w:cs="Times New Roman"/>
          <w:vertAlign w:val="subscript"/>
        </w:rPr>
        <w:t>0</w:t>
      </w:r>
      <w:r>
        <w:rPr>
          <w:rFonts w:ascii="Segoe UI Symbol" w:eastAsia="Segoe UI Symbol" w:hAnsi="Segoe UI Symbol" w:cs="Segoe UI Symbol"/>
          <w:sz w:val="33"/>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vertAlign w:val="subscript"/>
        </w:rPr>
        <w:t>1</w:t>
      </w:r>
      <w:r>
        <w:rPr>
          <w:rFonts w:ascii="Segoe UI Symbol" w:eastAsia="Segoe UI Symbol" w:hAnsi="Segoe UI Symbol" w:cs="Segoe UI Symbol"/>
          <w:sz w:val="33"/>
        </w:rPr>
        <w:t></w:t>
      </w:r>
      <w:r>
        <w:rPr>
          <w:rFonts w:ascii="Times New Roman" w:eastAsia="Times New Roman" w:hAnsi="Times New Roman" w:cs="Times New Roman"/>
          <w:sz w:val="28"/>
        </w:rPr>
        <w:t xml:space="preserve"> </w:t>
      </w:r>
    </w:p>
    <w:p w:rsidR="0052701D" w:rsidRDefault="0052701D">
      <w:pPr>
        <w:sectPr w:rsidR="0052701D">
          <w:footnotePr>
            <w:numRestart w:val="eachPage"/>
          </w:footnotePr>
          <w:type w:val="continuous"/>
          <w:pgSz w:w="11909" w:h="16834"/>
          <w:pgMar w:top="967" w:right="2250" w:bottom="972" w:left="2329" w:header="720" w:footer="720" w:gutter="0"/>
          <w:cols w:space="720"/>
        </w:sectPr>
      </w:pPr>
    </w:p>
    <w:p w:rsidR="0052701D" w:rsidRDefault="00D40929">
      <w:pPr>
        <w:spacing w:after="29" w:line="248" w:lineRule="auto"/>
        <w:ind w:left="810" w:right="14"/>
        <w:jc w:val="both"/>
      </w:pPr>
      <w:r>
        <w:rPr>
          <w:rFonts w:ascii="Segoe UI Symbol" w:eastAsia="Segoe UI Symbol" w:hAnsi="Segoe UI Symbol" w:cs="Segoe UI Symbol"/>
          <w:sz w:val="38"/>
          <w:u w:val="single" w:color="000000"/>
        </w:rPr>
        <w:t></w:t>
      </w:r>
      <w:r>
        <w:rPr>
          <w:rFonts w:ascii="Times New Roman" w:eastAsia="Times New Roman" w:hAnsi="Times New Roman" w:cs="Times New Roman"/>
          <w:sz w:val="24"/>
        </w:rPr>
        <w:t>1</w:t>
      </w:r>
    </w:p>
    <w:p w:rsidR="0052701D" w:rsidRDefault="00D40929">
      <w:pPr>
        <w:tabs>
          <w:tab w:val="right" w:pos="2607"/>
        </w:tabs>
        <w:spacing w:after="3"/>
      </w:pPr>
      <w:r>
        <w:rPr>
          <w:rFonts w:ascii="Times New Roman" w:eastAsia="Times New Roman" w:hAnsi="Times New Roman" w:cs="Times New Roman"/>
          <w:i/>
          <w:sz w:val="24"/>
        </w:rPr>
        <w:t>A</w:t>
      </w:r>
      <w:r>
        <w:rPr>
          <w:rFonts w:ascii="Times New Roman" w:eastAsia="Times New Roman" w:hAnsi="Times New Roman" w:cs="Times New Roman"/>
          <w:sz w:val="14"/>
        </w:rPr>
        <w:t xml:space="preserve">22 </w:t>
      </w:r>
      <w:r>
        <w:rPr>
          <w:rFonts w:ascii="Segoe UI Symbol" w:eastAsia="Segoe UI Symbol" w:hAnsi="Segoe UI Symbol" w:cs="Segoe UI Symbol"/>
          <w:sz w:val="24"/>
        </w:rPr>
        <w:t xml:space="preserve"> </w:t>
      </w:r>
      <w:r>
        <w:rPr>
          <w:rFonts w:ascii="Times New Roman" w:eastAsia="Times New Roman" w:hAnsi="Times New Roman" w:cs="Times New Roman"/>
          <w:sz w:val="24"/>
        </w:rPr>
        <w:t>6</w:t>
      </w:r>
      <w:r>
        <w:rPr>
          <w:rFonts w:ascii="Times New Roman" w:eastAsia="Times New Roman" w:hAnsi="Times New Roman" w:cs="Times New Roman"/>
          <w:sz w:val="24"/>
        </w:rPr>
        <w:tab/>
      </w:r>
      <w:r>
        <w:rPr>
          <w:rFonts w:ascii="Segoe UI Symbol" w:eastAsia="Segoe UI Symbol" w:hAnsi="Segoe UI Symbol" w:cs="Segoe UI Symbol"/>
          <w:sz w:val="24"/>
        </w:rPr>
        <w:t></w:t>
      </w:r>
      <w:r>
        <w:rPr>
          <w:rFonts w:ascii="Segoe UI Symbol" w:eastAsia="Segoe UI Symbol" w:hAnsi="Segoe UI Symbol" w:cs="Segoe UI Symbol"/>
          <w:sz w:val="25"/>
        </w:rPr>
        <w:t></w:t>
      </w:r>
      <w:r>
        <w:rPr>
          <w:rFonts w:ascii="Times New Roman" w:eastAsia="Times New Roman" w:hAnsi="Times New Roman" w:cs="Times New Roman"/>
          <w:sz w:val="14"/>
        </w:rPr>
        <w:t>2</w:t>
      </w:r>
      <w:r>
        <w:rPr>
          <w:rFonts w:ascii="Segoe UI Symbol" w:eastAsia="Segoe UI Symbol" w:hAnsi="Segoe UI Symbol" w:cs="Segoe UI Symbol"/>
          <w:sz w:val="38"/>
          <w:u w:val="single" w:color="000000"/>
        </w:rPr>
        <w:t xml:space="preserve"> </w:t>
      </w:r>
      <w:r>
        <w:rPr>
          <w:rFonts w:ascii="Times New Roman" w:eastAsia="Times New Roman" w:hAnsi="Times New Roman" w:cs="Times New Roman"/>
          <w:sz w:val="24"/>
        </w:rPr>
        <w:t xml:space="preserve">, </w:t>
      </w:r>
      <w:r>
        <w:rPr>
          <w:rFonts w:ascii="Times New Roman" w:eastAsia="Times New Roman" w:hAnsi="Times New Roman" w:cs="Times New Roman"/>
          <w:i/>
          <w:sz w:val="24"/>
        </w:rPr>
        <w:t>A</w:t>
      </w:r>
      <w:r>
        <w:rPr>
          <w:rFonts w:ascii="Times New Roman" w:eastAsia="Times New Roman" w:hAnsi="Times New Roman" w:cs="Times New Roman"/>
          <w:sz w:val="14"/>
        </w:rPr>
        <w:t xml:space="preserve">23 </w:t>
      </w:r>
      <w:r>
        <w:rPr>
          <w:rFonts w:ascii="Segoe UI Symbol" w:eastAsia="Segoe UI Symbol" w:hAnsi="Segoe UI Symbol" w:cs="Segoe UI Symbol"/>
          <w:sz w:val="24"/>
        </w:rPr>
        <w:t></w:t>
      </w:r>
      <w:r>
        <w:rPr>
          <w:rFonts w:ascii="Times New Roman" w:eastAsia="Times New Roman" w:hAnsi="Times New Roman" w:cs="Times New Roman"/>
          <w:sz w:val="24"/>
        </w:rPr>
        <w:t>1,</w:t>
      </w:r>
    </w:p>
    <w:p w:rsidR="0052701D" w:rsidRDefault="00D40929">
      <w:pPr>
        <w:spacing w:after="29" w:line="248" w:lineRule="auto"/>
        <w:ind w:left="743"/>
        <w:jc w:val="both"/>
      </w:pPr>
      <w:r>
        <w:rPr>
          <w:rFonts w:ascii="Times New Roman" w:eastAsia="Times New Roman" w:hAnsi="Times New Roman" w:cs="Times New Roman"/>
          <w:i/>
          <w:sz w:val="24"/>
        </w:rPr>
        <w:t>Eh</w:t>
      </w:r>
      <w:r>
        <w:rPr>
          <w:rFonts w:ascii="Times New Roman" w:eastAsia="Times New Roman" w:hAnsi="Times New Roman" w:cs="Times New Roman"/>
          <w:sz w:val="21"/>
          <w:vertAlign w:val="subscript"/>
        </w:rPr>
        <w:t>0</w:t>
      </w:r>
      <w:r>
        <w:rPr>
          <w:rFonts w:ascii="Segoe UI Symbol" w:eastAsia="Segoe UI Symbol" w:hAnsi="Segoe UI Symbol" w:cs="Segoe UI Symbol"/>
          <w:sz w:val="31"/>
        </w:rPr>
        <w:t></w:t>
      </w:r>
      <w:r>
        <w:rPr>
          <w:rFonts w:ascii="Segoe UI Symbol" w:eastAsia="Segoe UI Symbol" w:hAnsi="Segoe UI Symbol" w:cs="Segoe UI Symbol"/>
          <w:sz w:val="25"/>
        </w:rPr>
        <w:t></w:t>
      </w:r>
      <w:r>
        <w:rPr>
          <w:rFonts w:ascii="Times New Roman" w:eastAsia="Times New Roman" w:hAnsi="Times New Roman" w:cs="Times New Roman"/>
          <w:i/>
          <w:sz w:val="24"/>
        </w:rPr>
        <w:t>h</w:t>
      </w:r>
      <w:r>
        <w:rPr>
          <w:rFonts w:ascii="Times New Roman" w:eastAsia="Times New Roman" w:hAnsi="Times New Roman" w:cs="Times New Roman"/>
          <w:sz w:val="21"/>
          <w:vertAlign w:val="subscript"/>
        </w:rPr>
        <w:t>1</w:t>
      </w:r>
      <w:r>
        <w:rPr>
          <w:rFonts w:ascii="Segoe UI Symbol" w:eastAsia="Segoe UI Symbol" w:hAnsi="Segoe UI Symbol" w:cs="Segoe UI Symbol"/>
          <w:sz w:val="31"/>
        </w:rPr>
        <w:t></w:t>
      </w:r>
    </w:p>
    <w:p w:rsidR="0052701D" w:rsidRDefault="00D40929">
      <w:pPr>
        <w:tabs>
          <w:tab w:val="center" w:pos="1568"/>
          <w:tab w:val="center" w:pos="2447"/>
        </w:tabs>
        <w:spacing w:after="29" w:line="258" w:lineRule="auto"/>
      </w:pPr>
      <w:r>
        <w:tab/>
      </w:r>
      <w:r>
        <w:rPr>
          <w:rFonts w:ascii="Segoe UI Symbol" w:eastAsia="Segoe UI Symbol" w:hAnsi="Segoe UI Symbol" w:cs="Segoe UI Symbol"/>
          <w:sz w:val="38"/>
          <w:u w:val="single" w:color="000000"/>
        </w:rPr>
        <w:t></w:t>
      </w:r>
      <w:r>
        <w:rPr>
          <w:rFonts w:ascii="Times New Roman" w:eastAsia="Times New Roman" w:hAnsi="Times New Roman" w:cs="Times New Roman"/>
          <w:sz w:val="24"/>
        </w:rPr>
        <w:t>1</w:t>
      </w:r>
      <w:r>
        <w:rPr>
          <w:rFonts w:ascii="Segoe UI Symbol" w:eastAsia="Segoe UI Symbol" w:hAnsi="Segoe UI Symbol" w:cs="Segoe UI Symbol"/>
          <w:sz w:val="24"/>
        </w:rPr>
        <w:t></w:t>
      </w:r>
      <w:r>
        <w:rPr>
          <w:rFonts w:ascii="Segoe UI Symbol" w:eastAsia="Segoe UI Symbol" w:hAnsi="Segoe UI Symbol" w:cs="Segoe UI Symbol"/>
          <w:sz w:val="25"/>
        </w:rPr>
        <w:t></w:t>
      </w:r>
      <w:r>
        <w:rPr>
          <w:rFonts w:ascii="Times New Roman" w:eastAsia="Times New Roman" w:hAnsi="Times New Roman" w:cs="Times New Roman"/>
          <w:sz w:val="14"/>
        </w:rPr>
        <w:t>2</w:t>
      </w:r>
      <w:r>
        <w:rPr>
          <w:rFonts w:ascii="Segoe UI Symbol" w:eastAsia="Segoe UI Symbol" w:hAnsi="Segoe UI Symbol" w:cs="Segoe UI Symbol"/>
          <w:sz w:val="38"/>
          <w:u w:val="single" w:color="000000"/>
        </w:rPr>
        <w:t></w:t>
      </w:r>
      <w:r>
        <w:rPr>
          <w:rFonts w:ascii="Segoe UI Symbol" w:eastAsia="Segoe UI Symbol" w:hAnsi="Segoe UI Symbol" w:cs="Segoe UI Symbol"/>
          <w:sz w:val="24"/>
        </w:rPr>
        <w:t></w:t>
      </w:r>
      <w:r>
        <w:rPr>
          <w:rFonts w:ascii="Times New Roman" w:eastAsia="Times New Roman" w:hAnsi="Times New Roman" w:cs="Times New Roman"/>
          <w:i/>
          <w:sz w:val="24"/>
        </w:rPr>
        <w:t>h</w:t>
      </w:r>
      <w:r>
        <w:rPr>
          <w:rFonts w:ascii="Times New Roman" w:eastAsia="Times New Roman" w:hAnsi="Times New Roman" w:cs="Times New Roman"/>
          <w:sz w:val="14"/>
          <w:u w:val="single" w:color="000000"/>
        </w:rPr>
        <w:t>0</w:t>
      </w:r>
      <w:r>
        <w:rPr>
          <w:rFonts w:ascii="Times New Roman" w:eastAsia="Times New Roman" w:hAnsi="Times New Roman" w:cs="Times New Roman"/>
          <w:sz w:val="14"/>
          <w:u w:val="single" w:color="000000"/>
        </w:rPr>
        <w:tab/>
      </w:r>
      <w:r>
        <w:rPr>
          <w:rFonts w:ascii="Times New Roman" w:eastAsia="Times New Roman" w:hAnsi="Times New Roman" w:cs="Times New Roman"/>
          <w:sz w:val="24"/>
        </w:rPr>
        <w:t>2</w:t>
      </w:r>
    </w:p>
    <w:p w:rsidR="0052701D" w:rsidRDefault="00D40929">
      <w:pPr>
        <w:spacing w:after="4" w:line="258" w:lineRule="auto"/>
        <w:ind w:left="33" w:hanging="10"/>
      </w:pPr>
      <w:r>
        <w:rPr>
          <w:rFonts w:ascii="Times New Roman" w:eastAsia="Times New Roman" w:hAnsi="Times New Roman" w:cs="Times New Roman"/>
          <w:i/>
          <w:sz w:val="24"/>
        </w:rPr>
        <w:t>A</w:t>
      </w:r>
      <w:r>
        <w:rPr>
          <w:rFonts w:ascii="Times New Roman" w:eastAsia="Times New Roman" w:hAnsi="Times New Roman" w:cs="Times New Roman"/>
          <w:sz w:val="14"/>
        </w:rPr>
        <w:t xml:space="preserve">25 </w:t>
      </w:r>
      <w:r>
        <w:rPr>
          <w:rFonts w:ascii="Segoe UI Symbol" w:eastAsia="Segoe UI Symbol" w:hAnsi="Segoe UI Symbol" w:cs="Segoe UI Symbol"/>
          <w:sz w:val="24"/>
        </w:rPr>
        <w:t xml:space="preserve"> </w:t>
      </w:r>
      <w:r>
        <w:rPr>
          <w:rFonts w:ascii="Times New Roman" w:eastAsia="Times New Roman" w:hAnsi="Times New Roman" w:cs="Times New Roman"/>
          <w:sz w:val="24"/>
        </w:rPr>
        <w:t>6</w:t>
      </w:r>
      <w:r>
        <w:rPr>
          <w:rFonts w:ascii="Times New Roman" w:eastAsia="Times New Roman" w:hAnsi="Times New Roman" w:cs="Times New Roman"/>
          <w:i/>
          <w:sz w:val="24"/>
        </w:rPr>
        <w:t>p</w:t>
      </w:r>
      <w:r>
        <w:rPr>
          <w:rFonts w:ascii="Times New Roman" w:eastAsia="Times New Roman" w:hAnsi="Times New Roman" w:cs="Times New Roman"/>
          <w:sz w:val="21"/>
          <w:vertAlign w:val="superscript"/>
        </w:rPr>
        <w:t xml:space="preserve">* </w:t>
      </w:r>
      <w:r>
        <w:rPr>
          <w:rFonts w:ascii="Times New Roman" w:eastAsia="Times New Roman" w:hAnsi="Times New Roman" w:cs="Times New Roman"/>
          <w:i/>
          <w:sz w:val="24"/>
        </w:rPr>
        <w:t>E</w:t>
      </w:r>
      <w:r>
        <w:rPr>
          <w:rFonts w:ascii="Segoe UI Symbol" w:eastAsia="Segoe UI Symbol" w:hAnsi="Segoe UI Symbol" w:cs="Segoe UI Symbol"/>
          <w:sz w:val="31"/>
        </w:rPr>
        <w:t></w:t>
      </w:r>
      <w:r>
        <w:rPr>
          <w:rFonts w:ascii="Segoe UI Symbol" w:eastAsia="Segoe UI Symbol" w:hAnsi="Segoe UI Symbol" w:cs="Segoe UI Symbol"/>
          <w:sz w:val="25"/>
        </w:rPr>
        <w:t></w:t>
      </w:r>
      <w:r>
        <w:rPr>
          <w:rFonts w:ascii="Times New Roman" w:eastAsia="Times New Roman" w:hAnsi="Times New Roman" w:cs="Times New Roman"/>
          <w:i/>
          <w:sz w:val="24"/>
        </w:rPr>
        <w:t>h</w:t>
      </w:r>
      <w:r>
        <w:rPr>
          <w:rFonts w:ascii="Times New Roman" w:eastAsia="Times New Roman" w:hAnsi="Times New Roman" w:cs="Times New Roman"/>
          <w:sz w:val="21"/>
          <w:vertAlign w:val="subscript"/>
        </w:rPr>
        <w:t>1</w:t>
      </w:r>
      <w:r>
        <w:rPr>
          <w:rFonts w:ascii="Segoe UI Symbol" w:eastAsia="Segoe UI Symbol" w:hAnsi="Segoe UI Symbol" w:cs="Segoe UI Symbol"/>
          <w:sz w:val="31"/>
        </w:rPr>
        <w:t></w:t>
      </w:r>
      <w:r>
        <w:rPr>
          <w:rFonts w:ascii="Times New Roman" w:eastAsia="Times New Roman" w:hAnsi="Times New Roman" w:cs="Times New Roman"/>
          <w:sz w:val="14"/>
        </w:rPr>
        <w:t xml:space="preserve">3 </w:t>
      </w:r>
      <w:r>
        <w:rPr>
          <w:rFonts w:ascii="Segoe UI Symbol" w:eastAsia="Segoe UI Symbol" w:hAnsi="Segoe UI Symbol" w:cs="Segoe UI Symbol"/>
          <w:sz w:val="24"/>
        </w:rPr>
        <w:t xml:space="preserve"> </w:t>
      </w:r>
      <w:r>
        <w:rPr>
          <w:rFonts w:ascii="Times New Roman" w:eastAsia="Times New Roman" w:hAnsi="Times New Roman" w:cs="Times New Roman"/>
          <w:sz w:val="24"/>
        </w:rPr>
        <w:t xml:space="preserve">2 </w:t>
      </w:r>
      <w:r>
        <w:rPr>
          <w:rFonts w:ascii="Segoe UI Symbol" w:eastAsia="Segoe UI Symbol" w:hAnsi="Segoe UI Symbol" w:cs="Segoe UI Symbol"/>
          <w:sz w:val="24"/>
        </w:rPr>
        <w:t xml:space="preserve"> </w:t>
      </w:r>
      <w:r>
        <w:rPr>
          <w:rFonts w:ascii="Segoe UI Symbol" w:eastAsia="Segoe UI Symbol" w:hAnsi="Segoe UI Symbol" w:cs="Segoe UI Symbol"/>
          <w:sz w:val="24"/>
        </w:rPr>
        <w:t></w:t>
      </w:r>
      <w:r>
        <w:rPr>
          <w:rFonts w:ascii="Times New Roman" w:eastAsia="Times New Roman" w:hAnsi="Times New Roman" w:cs="Times New Roman"/>
          <w:sz w:val="24"/>
        </w:rPr>
        <w:t xml:space="preserve">ln </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 xml:space="preserve"> </w:t>
      </w:r>
      <w:r>
        <w:rPr>
          <w:rFonts w:ascii="Times New Roman" w:eastAsia="Times New Roman" w:hAnsi="Times New Roman" w:cs="Times New Roman"/>
          <w:sz w:val="24"/>
        </w:rPr>
        <w:t>24</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sz w:val="14"/>
        </w:rPr>
        <w:t xml:space="preserve">2 </w:t>
      </w:r>
      <w:r>
        <w:rPr>
          <w:noProof/>
        </w:rPr>
        <mc:AlternateContent>
          <mc:Choice Requires="wpg">
            <w:drawing>
              <wp:inline distT="0" distB="0" distL="0" distR="0">
                <wp:extent cx="808904" cy="6146"/>
                <wp:effectExtent l="0" t="0" r="0" b="0"/>
                <wp:docPr id="914190" name="Group 914190"/>
                <wp:cNvGraphicFramePr/>
                <a:graphic xmlns:a="http://schemas.openxmlformats.org/drawingml/2006/main">
                  <a:graphicData uri="http://schemas.microsoft.com/office/word/2010/wordprocessingGroup">
                    <wpg:wgp>
                      <wpg:cNvGrpSpPr/>
                      <wpg:grpSpPr>
                        <a:xfrm>
                          <a:off x="0" y="0"/>
                          <a:ext cx="808904" cy="6146"/>
                          <a:chOff x="0" y="0"/>
                          <a:chExt cx="808904" cy="6146"/>
                        </a:xfrm>
                      </wpg:grpSpPr>
                      <wps:wsp>
                        <wps:cNvPr id="7690" name="Shape 7690"/>
                        <wps:cNvSpPr/>
                        <wps:spPr>
                          <a:xfrm>
                            <a:off x="0" y="0"/>
                            <a:ext cx="808904" cy="0"/>
                          </a:xfrm>
                          <a:custGeom>
                            <a:avLst/>
                            <a:gdLst/>
                            <a:ahLst/>
                            <a:cxnLst/>
                            <a:rect l="0" t="0" r="0" b="0"/>
                            <a:pathLst>
                              <a:path w="808904">
                                <a:moveTo>
                                  <a:pt x="0" y="0"/>
                                </a:moveTo>
                                <a:lnTo>
                                  <a:pt x="808904" y="0"/>
                                </a:lnTo>
                              </a:path>
                            </a:pathLst>
                          </a:custGeom>
                          <a:ln w="6146"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4190" style="width:63.6932pt;height:0.483973pt;mso-position-horizontal-relative:char;mso-position-vertical-relative:line" coordsize="8089,61">
                <v:shape id="Shape 7690" style="position:absolute;width:8089;height:0;left:0;top:0;" coordsize="808904,0" path="m0,0l808904,0">
                  <v:stroke weight="0.483973pt" endcap="flat" joinstyle="round" on="true" color="#000000"/>
                  <v:fill on="false" color="#000000" opacity="0"/>
                </v:shape>
              </v:group>
            </w:pict>
          </mc:Fallback>
        </mc:AlternateContent>
      </w:r>
      <w:r>
        <w:rPr>
          <w:rFonts w:ascii="Segoe UI Symbol" w:eastAsia="Segoe UI Symbol" w:hAnsi="Segoe UI Symbol" w:cs="Segoe UI Symbol"/>
          <w:sz w:val="38"/>
        </w:rPr>
        <w:t></w:t>
      </w:r>
      <w:r>
        <w:rPr>
          <w:rFonts w:ascii="Times New Roman" w:eastAsia="Times New Roman" w:hAnsi="Times New Roman" w:cs="Times New Roman"/>
          <w:sz w:val="24"/>
        </w:rPr>
        <w:t>1</w:t>
      </w:r>
      <w:r>
        <w:rPr>
          <w:rFonts w:ascii="Times New Roman" w:eastAsia="Times New Roman" w:hAnsi="Times New Roman" w:cs="Times New Roman"/>
          <w:i/>
          <w:sz w:val="24"/>
        </w:rPr>
        <w:t>Eh</w:t>
      </w:r>
      <w:r>
        <w:rPr>
          <w:rFonts w:ascii="Segoe UI Symbol" w:eastAsia="Segoe UI Symbol" w:hAnsi="Segoe UI Symbol" w:cs="Segoe UI Symbol"/>
          <w:sz w:val="24"/>
        </w:rPr>
        <w:t></w:t>
      </w:r>
      <w:r>
        <w:rPr>
          <w:rFonts w:ascii="Segoe UI Symbol" w:eastAsia="Segoe UI Symbol" w:hAnsi="Segoe UI Symbol" w:cs="Segoe UI Symbol"/>
          <w:sz w:val="25"/>
        </w:rPr>
        <w:t></w:t>
      </w:r>
      <w:r>
        <w:rPr>
          <w:rFonts w:ascii="Times New Roman" w:eastAsia="Times New Roman" w:hAnsi="Times New Roman" w:cs="Times New Roman"/>
          <w:sz w:val="14"/>
        </w:rPr>
        <w:t>02</w:t>
      </w:r>
      <w:r>
        <w:rPr>
          <w:rFonts w:ascii="Segoe UI Symbol" w:eastAsia="Segoe UI Symbol" w:hAnsi="Segoe UI Symbol" w:cs="Segoe UI Symbol"/>
          <w:sz w:val="31"/>
        </w:rPr>
        <w:t></w:t>
      </w:r>
      <w:r>
        <w:rPr>
          <w:rFonts w:ascii="Segoe UI Symbol" w:eastAsia="Segoe UI Symbol" w:hAnsi="Segoe UI Symbol" w:cs="Segoe UI Symbol"/>
          <w:sz w:val="25"/>
        </w:rPr>
        <w:t></w:t>
      </w:r>
      <w:r>
        <w:rPr>
          <w:rFonts w:ascii="Segoe UI Symbol" w:eastAsia="Segoe UI Symbol" w:hAnsi="Segoe UI Symbol" w:cs="Segoe UI Symbol"/>
          <w:sz w:val="38"/>
        </w:rPr>
        <w:t></w:t>
      </w:r>
      <w:r>
        <w:rPr>
          <w:rFonts w:ascii="Segoe UI Symbol" w:eastAsia="Segoe UI Symbol" w:hAnsi="Segoe UI Symbol" w:cs="Segoe UI Symbol"/>
          <w:sz w:val="31"/>
        </w:rPr>
        <w:t></w:t>
      </w:r>
      <w:r>
        <w:rPr>
          <w:rFonts w:ascii="Times New Roman" w:eastAsia="Times New Roman" w:hAnsi="Times New Roman" w:cs="Times New Roman"/>
          <w:i/>
          <w:sz w:val="24"/>
        </w:rPr>
        <w:t>h</w:t>
      </w:r>
      <w:r>
        <w:rPr>
          <w:rFonts w:ascii="Times New Roman" w:eastAsia="Times New Roman" w:hAnsi="Times New Roman" w:cs="Times New Roman"/>
          <w:sz w:val="24"/>
        </w:rPr>
        <w:t>1</w:t>
      </w:r>
      <w:r>
        <w:rPr>
          <w:rFonts w:ascii="Times New Roman" w:eastAsia="Times New Roman" w:hAnsi="Times New Roman" w:cs="Times New Roman"/>
          <w:sz w:val="14"/>
        </w:rPr>
        <w:t>1</w:t>
      </w:r>
      <w:r>
        <w:rPr>
          <w:rFonts w:ascii="Segoe UI Symbol" w:eastAsia="Segoe UI Symbol" w:hAnsi="Segoe UI Symbol" w:cs="Segoe UI Symbol"/>
          <w:sz w:val="24"/>
        </w:rPr>
        <w:t></w:t>
      </w:r>
      <w:r>
        <w:rPr>
          <w:rFonts w:ascii="Segoe UI Symbol" w:eastAsia="Segoe UI Symbol" w:hAnsi="Segoe UI Symbol" w:cs="Segoe UI Symbol"/>
          <w:sz w:val="31"/>
        </w:rPr>
        <w:t></w:t>
      </w:r>
      <w:r>
        <w:rPr>
          <w:rFonts w:ascii="Times New Roman" w:eastAsia="Times New Roman" w:hAnsi="Times New Roman" w:cs="Times New Roman"/>
          <w:sz w:val="14"/>
        </w:rPr>
        <w:t>3</w:t>
      </w:r>
      <w:r>
        <w:rPr>
          <w:rFonts w:ascii="Segoe UI Symbol" w:eastAsia="Segoe UI Symbol" w:hAnsi="Segoe UI Symbol" w:cs="Segoe UI Symbol"/>
          <w:sz w:val="25"/>
        </w:rPr>
        <w:t></w:t>
      </w:r>
      <w:r>
        <w:rPr>
          <w:rFonts w:ascii="Segoe UI Symbol" w:eastAsia="Segoe UI Symbol" w:hAnsi="Segoe UI Symbol" w:cs="Segoe UI Symbol"/>
          <w:sz w:val="31"/>
        </w:rPr>
        <w:t></w:t>
      </w:r>
      <w:r>
        <w:rPr>
          <w:rFonts w:ascii="Times New Roman" w:eastAsia="Times New Roman" w:hAnsi="Times New Roman" w:cs="Times New Roman"/>
          <w:sz w:val="24"/>
        </w:rPr>
        <w:t xml:space="preserve">ln </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Times New Roman" w:eastAsia="Times New Roman" w:hAnsi="Times New Roman" w:cs="Times New Roman"/>
        </w:rPr>
        <w:t xml:space="preserve"> </w:t>
      </w:r>
    </w:p>
    <w:p w:rsidR="0052701D" w:rsidRDefault="00D40929">
      <w:pPr>
        <w:spacing w:after="4" w:line="258" w:lineRule="auto"/>
        <w:ind w:left="1788" w:hanging="10"/>
      </w:pPr>
      <w:r>
        <w:rPr>
          <w:rFonts w:ascii="Segoe UI Symbol" w:eastAsia="Segoe UI Symbol" w:hAnsi="Segoe UI Symbol" w:cs="Segoe UI Symbol"/>
          <w:sz w:val="24"/>
        </w:rPr>
        <w:t></w:t>
      </w:r>
    </w:p>
    <w:p w:rsidR="0052701D" w:rsidRDefault="0052701D">
      <w:pPr>
        <w:sectPr w:rsidR="0052701D">
          <w:footnotePr>
            <w:numRestart w:val="eachPage"/>
          </w:footnotePr>
          <w:type w:val="continuous"/>
          <w:pgSz w:w="11909" w:h="16834"/>
          <w:pgMar w:top="1440" w:right="1446" w:bottom="1440" w:left="1473" w:header="720" w:footer="720" w:gutter="0"/>
          <w:cols w:num="2" w:space="720" w:equalWidth="0">
            <w:col w:w="2582" w:space="241"/>
            <w:col w:w="6167"/>
          </w:cols>
        </w:sectPr>
      </w:pPr>
    </w:p>
    <w:p w:rsidR="0052701D" w:rsidRDefault="00D40929">
      <w:pPr>
        <w:numPr>
          <w:ilvl w:val="0"/>
          <w:numId w:val="7"/>
        </w:numPr>
        <w:spacing w:after="3"/>
        <w:ind w:hanging="192"/>
        <w:jc w:val="both"/>
      </w:pPr>
      <w:r>
        <w:rPr>
          <w:noProof/>
        </w:rPr>
        <mc:AlternateContent>
          <mc:Choice Requires="wpg">
            <w:drawing>
              <wp:anchor distT="0" distB="0" distL="114300" distR="114300" simplePos="0" relativeHeight="251678720" behindDoc="0" locked="0" layoutInCell="1" allowOverlap="1">
                <wp:simplePos x="0" y="0"/>
                <wp:positionH relativeFrom="column">
                  <wp:posOffset>2513484</wp:posOffset>
                </wp:positionH>
                <wp:positionV relativeFrom="paragraph">
                  <wp:posOffset>31955</wp:posOffset>
                </wp:positionV>
                <wp:extent cx="1354571" cy="6162"/>
                <wp:effectExtent l="0" t="0" r="0" b="0"/>
                <wp:wrapNone/>
                <wp:docPr id="914192" name="Group 914192"/>
                <wp:cNvGraphicFramePr/>
                <a:graphic xmlns:a="http://schemas.openxmlformats.org/drawingml/2006/main">
                  <a:graphicData uri="http://schemas.microsoft.com/office/word/2010/wordprocessingGroup">
                    <wpg:wgp>
                      <wpg:cNvGrpSpPr/>
                      <wpg:grpSpPr>
                        <a:xfrm>
                          <a:off x="0" y="0"/>
                          <a:ext cx="1354571" cy="6162"/>
                          <a:chOff x="0" y="0"/>
                          <a:chExt cx="1354571" cy="6162"/>
                        </a:xfrm>
                      </wpg:grpSpPr>
                      <wps:wsp>
                        <wps:cNvPr id="7773" name="Shape 7773"/>
                        <wps:cNvSpPr/>
                        <wps:spPr>
                          <a:xfrm>
                            <a:off x="0" y="0"/>
                            <a:ext cx="710478" cy="0"/>
                          </a:xfrm>
                          <a:custGeom>
                            <a:avLst/>
                            <a:gdLst/>
                            <a:ahLst/>
                            <a:cxnLst/>
                            <a:rect l="0" t="0" r="0" b="0"/>
                            <a:pathLst>
                              <a:path w="710478">
                                <a:moveTo>
                                  <a:pt x="0" y="0"/>
                                </a:moveTo>
                                <a:lnTo>
                                  <a:pt x="710478" y="0"/>
                                </a:lnTo>
                              </a:path>
                            </a:pathLst>
                          </a:custGeom>
                          <a:ln w="6162" cap="flat">
                            <a:round/>
                          </a:ln>
                        </wps:spPr>
                        <wps:style>
                          <a:lnRef idx="1">
                            <a:srgbClr val="000000"/>
                          </a:lnRef>
                          <a:fillRef idx="0">
                            <a:srgbClr val="000000">
                              <a:alpha val="0"/>
                            </a:srgbClr>
                          </a:fillRef>
                          <a:effectRef idx="0">
                            <a:scrgbClr r="0" g="0" b="0"/>
                          </a:effectRef>
                          <a:fontRef idx="none"/>
                        </wps:style>
                        <wps:bodyPr/>
                      </wps:wsp>
                      <wps:wsp>
                        <wps:cNvPr id="7774" name="Shape 7774"/>
                        <wps:cNvSpPr/>
                        <wps:spPr>
                          <a:xfrm>
                            <a:off x="810437" y="0"/>
                            <a:ext cx="297089" cy="0"/>
                          </a:xfrm>
                          <a:custGeom>
                            <a:avLst/>
                            <a:gdLst/>
                            <a:ahLst/>
                            <a:cxnLst/>
                            <a:rect l="0" t="0" r="0" b="0"/>
                            <a:pathLst>
                              <a:path w="297089">
                                <a:moveTo>
                                  <a:pt x="0" y="0"/>
                                </a:moveTo>
                                <a:lnTo>
                                  <a:pt x="297089" y="0"/>
                                </a:lnTo>
                              </a:path>
                            </a:pathLst>
                          </a:custGeom>
                          <a:ln w="6162" cap="flat">
                            <a:round/>
                          </a:ln>
                        </wps:spPr>
                        <wps:style>
                          <a:lnRef idx="1">
                            <a:srgbClr val="000000"/>
                          </a:lnRef>
                          <a:fillRef idx="0">
                            <a:srgbClr val="000000">
                              <a:alpha val="0"/>
                            </a:srgbClr>
                          </a:fillRef>
                          <a:effectRef idx="0">
                            <a:scrgbClr r="0" g="0" b="0"/>
                          </a:effectRef>
                          <a:fontRef idx="none"/>
                        </wps:style>
                        <wps:bodyPr/>
                      </wps:wsp>
                      <wps:wsp>
                        <wps:cNvPr id="7775" name="Shape 7775"/>
                        <wps:cNvSpPr/>
                        <wps:spPr>
                          <a:xfrm>
                            <a:off x="1262467" y="0"/>
                            <a:ext cx="92104" cy="0"/>
                          </a:xfrm>
                          <a:custGeom>
                            <a:avLst/>
                            <a:gdLst/>
                            <a:ahLst/>
                            <a:cxnLst/>
                            <a:rect l="0" t="0" r="0" b="0"/>
                            <a:pathLst>
                              <a:path w="92104">
                                <a:moveTo>
                                  <a:pt x="0" y="0"/>
                                </a:moveTo>
                                <a:lnTo>
                                  <a:pt x="92104" y="0"/>
                                </a:lnTo>
                              </a:path>
                            </a:pathLst>
                          </a:custGeom>
                          <a:ln w="6162"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4192" style="width:106.659pt;height:0.485186pt;position:absolute;z-index:815;mso-position-horizontal-relative:text;mso-position-horizontal:absolute;margin-left:197.912pt;mso-position-vertical-relative:text;margin-top:2.51617pt;" coordsize="13545,61">
                <v:shape id="Shape 7773" style="position:absolute;width:7104;height:0;left:0;top:0;" coordsize="710478,0" path="m0,0l710478,0">
                  <v:stroke weight="0.485186pt" endcap="flat" joinstyle="round" on="true" color="#000000"/>
                  <v:fill on="false" color="#000000" opacity="0"/>
                </v:shape>
                <v:shape id="Shape 7774" style="position:absolute;width:2970;height:0;left:8104;top:0;" coordsize="297089,0" path="m0,0l297089,0">
                  <v:stroke weight="0.485186pt" endcap="flat" joinstyle="round" on="true" color="#000000"/>
                  <v:fill on="false" color="#000000" opacity="0"/>
                </v:shape>
                <v:shape id="Shape 7775" style="position:absolute;width:921;height:0;left:12624;top:0;" coordsize="92104,0" path="m0,0l92104,0">
                  <v:stroke weight="0.485186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679744" behindDoc="0" locked="0" layoutInCell="1" allowOverlap="1">
                <wp:simplePos x="0" y="0"/>
                <wp:positionH relativeFrom="margin">
                  <wp:posOffset>576164</wp:posOffset>
                </wp:positionH>
                <wp:positionV relativeFrom="paragraph">
                  <wp:posOffset>31955</wp:posOffset>
                </wp:positionV>
                <wp:extent cx="720208" cy="6162"/>
                <wp:effectExtent l="0" t="0" r="0" b="0"/>
                <wp:wrapSquare wrapText="bothSides"/>
                <wp:docPr id="914191" name="Group 914191"/>
                <wp:cNvGraphicFramePr/>
                <a:graphic xmlns:a="http://schemas.openxmlformats.org/drawingml/2006/main">
                  <a:graphicData uri="http://schemas.microsoft.com/office/word/2010/wordprocessingGroup">
                    <wpg:wgp>
                      <wpg:cNvGrpSpPr/>
                      <wpg:grpSpPr>
                        <a:xfrm>
                          <a:off x="0" y="0"/>
                          <a:ext cx="720208" cy="6162"/>
                          <a:chOff x="0" y="0"/>
                          <a:chExt cx="720208" cy="6162"/>
                        </a:xfrm>
                      </wpg:grpSpPr>
                      <wps:wsp>
                        <wps:cNvPr id="7766" name="Shape 7766"/>
                        <wps:cNvSpPr/>
                        <wps:spPr>
                          <a:xfrm>
                            <a:off x="0" y="0"/>
                            <a:ext cx="720208" cy="0"/>
                          </a:xfrm>
                          <a:custGeom>
                            <a:avLst/>
                            <a:gdLst/>
                            <a:ahLst/>
                            <a:cxnLst/>
                            <a:rect l="0" t="0" r="0" b="0"/>
                            <a:pathLst>
                              <a:path w="720208">
                                <a:moveTo>
                                  <a:pt x="0" y="0"/>
                                </a:moveTo>
                                <a:lnTo>
                                  <a:pt x="720208" y="0"/>
                                </a:lnTo>
                              </a:path>
                            </a:pathLst>
                          </a:custGeom>
                          <a:ln w="6162"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4191" style="width:56.7093pt;height:0.485186pt;position:absolute;mso-position-horizontal-relative:margin;mso-position-horizontal:absolute;margin-left:45.3673pt;mso-position-vertical-relative:text;margin-top:2.51617pt;" coordsize="7202,61">
                <v:shape id="Shape 7766" style="position:absolute;width:7202;height:0;left:0;top:0;" coordsize="720208,0" path="m0,0l720208,0">
                  <v:stroke weight="0.485186pt" endcap="flat" joinstyle="round" on="true" color="#000000"/>
                  <v:fill on="false" color="#000000" opacity="0"/>
                </v:shape>
                <w10:wrap type="square"/>
              </v:group>
            </w:pict>
          </mc:Fallback>
        </mc:AlternateContent>
      </w:r>
      <w:r>
        <w:rPr>
          <w:rFonts w:ascii="Times New Roman" w:eastAsia="Times New Roman" w:hAnsi="Times New Roman" w:cs="Times New Roman"/>
          <w:sz w:val="24"/>
        </w:rPr>
        <w:t>72</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sz w:val="14"/>
        </w:rPr>
        <w:t xml:space="preserve">0 </w:t>
      </w:r>
      <w:r>
        <w:rPr>
          <w:rFonts w:ascii="Times New Roman" w:eastAsia="Times New Roman" w:hAnsi="Times New Roman" w:cs="Times New Roman"/>
          <w:i/>
          <w:sz w:val="24"/>
        </w:rPr>
        <w:t>REh</w:t>
      </w:r>
      <w:r>
        <w:rPr>
          <w:rFonts w:ascii="Segoe UI Symbol" w:eastAsia="Segoe UI Symbol" w:hAnsi="Segoe UI Symbol" w:cs="Segoe UI Symbol"/>
          <w:sz w:val="24"/>
        </w:rPr>
        <w:t></w:t>
      </w:r>
      <w:r>
        <w:rPr>
          <w:rFonts w:ascii="Times New Roman" w:eastAsia="Times New Roman" w:hAnsi="Times New Roman" w:cs="Times New Roman"/>
          <w:sz w:val="14"/>
        </w:rPr>
        <w:t>2</w:t>
      </w:r>
      <w:r>
        <w:rPr>
          <w:rFonts w:ascii="Segoe UI Symbol" w:eastAsia="Segoe UI Symbol" w:hAnsi="Segoe UI Symbol" w:cs="Segoe UI Symbol"/>
          <w:sz w:val="25"/>
        </w:rPr>
        <w:t></w:t>
      </w:r>
      <w:r>
        <w:rPr>
          <w:rFonts w:ascii="Segoe UI Symbol" w:eastAsia="Segoe UI Symbol" w:hAnsi="Segoe UI Symbol" w:cs="Segoe UI Symbol"/>
          <w:sz w:val="32"/>
        </w:rPr>
        <w:t xml:space="preserve"> </w:t>
      </w:r>
      <w:r>
        <w:rPr>
          <w:rFonts w:ascii="Times New Roman" w:eastAsia="Times New Roman" w:hAnsi="Times New Roman" w:cs="Times New Roman"/>
          <w:i/>
          <w:sz w:val="24"/>
        </w:rPr>
        <w:t>h</w:t>
      </w:r>
      <w:r>
        <w:rPr>
          <w:rFonts w:ascii="Times New Roman" w:eastAsia="Times New Roman" w:hAnsi="Times New Roman" w:cs="Times New Roman"/>
          <w:sz w:val="14"/>
        </w:rPr>
        <w:t xml:space="preserve">1 </w:t>
      </w:r>
      <w:r>
        <w:rPr>
          <w:rFonts w:ascii="Segoe UI Symbol" w:eastAsia="Segoe UI Symbol" w:hAnsi="Segoe UI Symbol" w:cs="Segoe UI Symbol"/>
          <w:sz w:val="32"/>
        </w:rPr>
        <w:t></w:t>
      </w:r>
      <w:r>
        <w:rPr>
          <w:rFonts w:ascii="Times New Roman" w:eastAsia="Times New Roman" w:hAnsi="Times New Roman" w:cs="Times New Roman"/>
          <w:sz w:val="14"/>
        </w:rPr>
        <w:t xml:space="preserve">3 </w:t>
      </w:r>
      <w:r>
        <w:rPr>
          <w:rFonts w:ascii="Segoe UI Symbol" w:eastAsia="Segoe UI Symbol" w:hAnsi="Segoe UI Symbol" w:cs="Segoe UI Symbol"/>
          <w:sz w:val="32"/>
        </w:rPr>
        <w:t></w:t>
      </w:r>
      <w:r>
        <w:rPr>
          <w:rFonts w:ascii="Times New Roman" w:eastAsia="Times New Roman" w:hAnsi="Times New Roman" w:cs="Times New Roman"/>
          <w:sz w:val="24"/>
        </w:rPr>
        <w:t>1</w:t>
      </w:r>
      <w:r>
        <w:rPr>
          <w:rFonts w:ascii="Segoe UI Symbol" w:eastAsia="Segoe UI Symbol" w:hAnsi="Segoe UI Symbol" w:cs="Segoe UI Symbol"/>
          <w:sz w:val="24"/>
        </w:rPr>
        <w:t xml:space="preserve"> </w:t>
      </w:r>
      <w:r>
        <w:rPr>
          <w:rFonts w:ascii="Times New Roman" w:eastAsia="Times New Roman" w:hAnsi="Times New Roman" w:cs="Times New Roman"/>
          <w:sz w:val="24"/>
        </w:rPr>
        <w:t xml:space="preserve">ln </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32"/>
        </w:rPr>
        <w:t></w:t>
      </w:r>
      <w:r>
        <w:rPr>
          <w:rFonts w:ascii="Segoe UI Symbol" w:eastAsia="Segoe UI Symbol" w:hAnsi="Segoe UI Symbol" w:cs="Segoe UI Symbol"/>
          <w:sz w:val="24"/>
        </w:rPr>
        <w:t></w:t>
      </w:r>
      <w:r>
        <w:rPr>
          <w:rFonts w:ascii="Times New Roman" w:eastAsia="Times New Roman" w:hAnsi="Times New Roman" w:cs="Times New Roman"/>
          <w:sz w:val="24"/>
        </w:rPr>
        <w:t>144</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sz w:val="14"/>
        </w:rPr>
        <w:t xml:space="preserve">1 </w:t>
      </w:r>
      <w:r>
        <w:rPr>
          <w:rFonts w:ascii="Times New Roman" w:eastAsia="Times New Roman" w:hAnsi="Times New Roman" w:cs="Times New Roman"/>
          <w:i/>
          <w:sz w:val="24"/>
        </w:rPr>
        <w:t>REh</w:t>
      </w:r>
      <w:r>
        <w:rPr>
          <w:rFonts w:ascii="Segoe UI Symbol" w:eastAsia="Segoe UI Symbol" w:hAnsi="Segoe UI Symbol" w:cs="Segoe UI Symbol"/>
          <w:sz w:val="24"/>
        </w:rPr>
        <w:t></w:t>
      </w:r>
      <w:r>
        <w:rPr>
          <w:rFonts w:ascii="Times New Roman" w:eastAsia="Times New Roman" w:hAnsi="Times New Roman" w:cs="Times New Roman"/>
          <w:sz w:val="14"/>
        </w:rPr>
        <w:t>0</w:t>
      </w:r>
      <w:r>
        <w:rPr>
          <w:rFonts w:ascii="Segoe UI Symbol" w:eastAsia="Segoe UI Symbol" w:hAnsi="Segoe UI Symbol" w:cs="Segoe UI Symbol"/>
          <w:sz w:val="25"/>
        </w:rPr>
        <w:t></w:t>
      </w:r>
      <w:r>
        <w:rPr>
          <w:rFonts w:ascii="Segoe UI Symbol" w:eastAsia="Segoe UI Symbol" w:hAnsi="Segoe UI Symbol" w:cs="Segoe UI Symbol"/>
          <w:sz w:val="32"/>
        </w:rPr>
        <w:t></w:t>
      </w:r>
      <w:r>
        <w:rPr>
          <w:rFonts w:ascii="Segoe UI Symbol" w:eastAsia="Segoe UI Symbol" w:hAnsi="Segoe UI Symbol" w:cs="Segoe UI Symbol"/>
          <w:sz w:val="25"/>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1 </w:t>
      </w:r>
      <w:r>
        <w:rPr>
          <w:rFonts w:ascii="Segoe UI Symbol" w:eastAsia="Segoe UI Symbol" w:hAnsi="Segoe UI Symbol" w:cs="Segoe UI Symbol"/>
          <w:sz w:val="32"/>
        </w:rPr>
        <w:t></w:t>
      </w:r>
      <w:r>
        <w:rPr>
          <w:rFonts w:ascii="Times New Roman" w:eastAsia="Times New Roman" w:hAnsi="Times New Roman" w:cs="Times New Roman"/>
          <w:sz w:val="14"/>
        </w:rPr>
        <w:t xml:space="preserve">4 </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 xml:space="preserve"> </w:t>
      </w:r>
      <w:r>
        <w:rPr>
          <w:rFonts w:ascii="Times New Roman" w:eastAsia="Times New Roman" w:hAnsi="Times New Roman" w:cs="Times New Roman"/>
          <w:sz w:val="24"/>
        </w:rPr>
        <w:t xml:space="preserve">2 </w:t>
      </w:r>
      <w:r>
        <w:rPr>
          <w:rFonts w:ascii="Times New Roman" w:eastAsia="Times New Roman" w:hAnsi="Times New Roman" w:cs="Times New Roman"/>
          <w:sz w:val="14"/>
        </w:rPr>
        <w:t xml:space="preserve">0 </w:t>
      </w:r>
      <w:r>
        <w:rPr>
          <w:rFonts w:ascii="Segoe UI Symbol" w:eastAsia="Segoe UI Symbol" w:hAnsi="Segoe UI Symbol" w:cs="Segoe UI Symbol"/>
          <w:sz w:val="24"/>
        </w:rPr>
        <w:t xml:space="preserve"> </w:t>
      </w:r>
      <w:r>
        <w:rPr>
          <w:rFonts w:ascii="Times New Roman" w:eastAsia="Times New Roman" w:hAnsi="Times New Roman" w:cs="Times New Roman"/>
          <w:sz w:val="24"/>
        </w:rPr>
        <w:t>4</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 xml:space="preserve"> </w:t>
      </w:r>
      <w:r>
        <w:rPr>
          <w:rFonts w:ascii="Times New Roman" w:eastAsia="Times New Roman" w:hAnsi="Times New Roman" w:cs="Times New Roman"/>
          <w:sz w:val="24"/>
        </w:rPr>
        <w:t>288</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sz w:val="14"/>
        </w:rPr>
        <w:t xml:space="preserve">1 </w:t>
      </w:r>
      <w:r>
        <w:rPr>
          <w:rFonts w:ascii="Times New Roman" w:eastAsia="Times New Roman" w:hAnsi="Times New Roman" w:cs="Times New Roman"/>
          <w:i/>
          <w:sz w:val="24"/>
        </w:rPr>
        <w:t>REh</w:t>
      </w:r>
      <w:r>
        <w:rPr>
          <w:rFonts w:ascii="Times New Roman" w:eastAsia="Times New Roman" w:hAnsi="Times New Roman" w:cs="Times New Roman"/>
          <w:sz w:val="14"/>
        </w:rPr>
        <w:t xml:space="preserve">0 </w:t>
      </w:r>
      <w:r>
        <w:rPr>
          <w:rFonts w:ascii="Segoe UI Symbol" w:eastAsia="Segoe UI Symbol" w:hAnsi="Segoe UI Symbol" w:cs="Segoe UI Symbol"/>
          <w:sz w:val="32"/>
        </w:rPr>
        <w:t></w:t>
      </w:r>
      <w:r>
        <w:rPr>
          <w:rFonts w:ascii="Segoe UI Symbol" w:eastAsia="Segoe UI Symbol" w:hAnsi="Segoe UI Symbol" w:cs="Segoe UI Symbol"/>
          <w:sz w:val="25"/>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1 </w:t>
      </w:r>
      <w:r>
        <w:rPr>
          <w:rFonts w:ascii="Segoe UI Symbol" w:eastAsia="Segoe UI Symbol" w:hAnsi="Segoe UI Symbol" w:cs="Segoe UI Symbol"/>
          <w:sz w:val="32"/>
        </w:rPr>
        <w:t></w:t>
      </w:r>
      <w:r>
        <w:rPr>
          <w:rFonts w:ascii="Times New Roman" w:eastAsia="Times New Roman" w:hAnsi="Times New Roman" w:cs="Times New Roman"/>
          <w:sz w:val="14"/>
        </w:rPr>
        <w:t>3</w:t>
      </w:r>
      <w:r>
        <w:rPr>
          <w:rFonts w:ascii="Times New Roman" w:eastAsia="Times New Roman" w:hAnsi="Times New Roman" w:cs="Times New Roman"/>
          <w:sz w:val="14"/>
          <w:u w:val="single" w:color="000000"/>
        </w:rPr>
        <w:t xml:space="preserve">0 </w:t>
      </w:r>
      <w:r>
        <w:rPr>
          <w:rFonts w:ascii="Times New Roman" w:eastAsia="Times New Roman" w:hAnsi="Times New Roman" w:cs="Times New Roman"/>
          <w:sz w:val="24"/>
        </w:rPr>
        <w:t>,</w:t>
      </w:r>
      <w:r>
        <w:rPr>
          <w:rFonts w:ascii="Times New Roman" w:eastAsia="Times New Roman" w:hAnsi="Times New Roman" w:cs="Times New Roman"/>
        </w:rPr>
        <w:t xml:space="preserve"> </w:t>
      </w:r>
    </w:p>
    <w:p w:rsidR="0052701D" w:rsidRDefault="00D40929">
      <w:pPr>
        <w:spacing w:after="551"/>
        <w:ind w:left="1341" w:firstLine="7"/>
        <w:jc w:val="both"/>
      </w:pPr>
      <w:r>
        <w:rPr>
          <w:rFonts w:ascii="Times New Roman" w:eastAsia="Times New Roman" w:hAnsi="Times New Roman" w:cs="Times New Roman"/>
          <w:sz w:val="14"/>
        </w:rPr>
        <w:t xml:space="preserve">0 </w:t>
      </w:r>
      <w:r>
        <w:rPr>
          <w:rFonts w:ascii="Segoe UI Symbol" w:eastAsia="Segoe UI Symbol" w:hAnsi="Segoe UI Symbol" w:cs="Segoe UI Symbol"/>
          <w:sz w:val="25"/>
        </w:rPr>
        <w:t></w:t>
      </w:r>
    </w:p>
    <w:p w:rsidR="0052701D" w:rsidRDefault="00D40929">
      <w:pPr>
        <w:spacing w:after="3"/>
        <w:ind w:left="769" w:hanging="727"/>
        <w:jc w:val="both"/>
      </w:pPr>
      <w:r>
        <w:rPr>
          <w:noProof/>
        </w:rPr>
        <mc:AlternateContent>
          <mc:Choice Requires="wpg">
            <w:drawing>
              <wp:anchor distT="0" distB="0" distL="114300" distR="114300" simplePos="0" relativeHeight="251680768" behindDoc="0" locked="0" layoutInCell="1" allowOverlap="1">
                <wp:simplePos x="0" y="0"/>
                <wp:positionH relativeFrom="margin">
                  <wp:posOffset>1056814</wp:posOffset>
                </wp:positionH>
                <wp:positionV relativeFrom="paragraph">
                  <wp:posOffset>48045</wp:posOffset>
                </wp:positionV>
                <wp:extent cx="639139" cy="6253"/>
                <wp:effectExtent l="0" t="0" r="0" b="0"/>
                <wp:wrapSquare wrapText="bothSides"/>
                <wp:docPr id="914193" name="Group 914193"/>
                <wp:cNvGraphicFramePr/>
                <a:graphic xmlns:a="http://schemas.openxmlformats.org/drawingml/2006/main">
                  <a:graphicData uri="http://schemas.microsoft.com/office/word/2010/wordprocessingGroup">
                    <wpg:wgp>
                      <wpg:cNvGrpSpPr/>
                      <wpg:grpSpPr>
                        <a:xfrm>
                          <a:off x="0" y="0"/>
                          <a:ext cx="639139" cy="6253"/>
                          <a:chOff x="0" y="0"/>
                          <a:chExt cx="639139" cy="6253"/>
                        </a:xfrm>
                      </wpg:grpSpPr>
                      <wps:wsp>
                        <wps:cNvPr id="7857" name="Shape 7857"/>
                        <wps:cNvSpPr/>
                        <wps:spPr>
                          <a:xfrm>
                            <a:off x="0" y="0"/>
                            <a:ext cx="639139" cy="0"/>
                          </a:xfrm>
                          <a:custGeom>
                            <a:avLst/>
                            <a:gdLst/>
                            <a:ahLst/>
                            <a:cxnLst/>
                            <a:rect l="0" t="0" r="0" b="0"/>
                            <a:pathLst>
                              <a:path w="639139">
                                <a:moveTo>
                                  <a:pt x="0" y="0"/>
                                </a:moveTo>
                                <a:lnTo>
                                  <a:pt x="639139" y="0"/>
                                </a:lnTo>
                              </a:path>
                            </a:pathLst>
                          </a:custGeom>
                          <a:ln w="625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4193" style="width:50.3259pt;height:0.492361pt;position:absolute;mso-position-horizontal-relative:margin;mso-position-horizontal:absolute;margin-left:83.2137pt;mso-position-vertical-relative:text;margin-top:3.78308pt;" coordsize="6391,62">
                <v:shape id="Shape 7857" style="position:absolute;width:6391;height:0;left:0;top:0;" coordsize="639139,0" path="m0,0l639139,0">
                  <v:stroke weight="0.492361pt" endcap="flat" joinstyle="round" on="true" color="#000000"/>
                  <v:fill on="false" color="#000000" opacity="0"/>
                </v:shape>
                <w10:wrap type="square"/>
              </v:group>
            </w:pict>
          </mc:Fallback>
        </mc:AlternateContent>
      </w:r>
      <w:r>
        <w:rPr>
          <w:noProof/>
        </w:rPr>
        <mc:AlternateContent>
          <mc:Choice Requires="wpg">
            <w:drawing>
              <wp:anchor distT="0" distB="0" distL="114300" distR="114300" simplePos="0" relativeHeight="251681792" behindDoc="0" locked="0" layoutInCell="1" allowOverlap="1">
                <wp:simplePos x="0" y="0"/>
                <wp:positionH relativeFrom="margin">
                  <wp:posOffset>3553991</wp:posOffset>
                </wp:positionH>
                <wp:positionV relativeFrom="paragraph">
                  <wp:posOffset>48045</wp:posOffset>
                </wp:positionV>
                <wp:extent cx="1111959" cy="6253"/>
                <wp:effectExtent l="0" t="0" r="0" b="0"/>
                <wp:wrapSquare wrapText="bothSides"/>
                <wp:docPr id="914194" name="Group 914194"/>
                <wp:cNvGraphicFramePr/>
                <a:graphic xmlns:a="http://schemas.openxmlformats.org/drawingml/2006/main">
                  <a:graphicData uri="http://schemas.microsoft.com/office/word/2010/wordprocessingGroup">
                    <wpg:wgp>
                      <wpg:cNvGrpSpPr/>
                      <wpg:grpSpPr>
                        <a:xfrm>
                          <a:off x="0" y="0"/>
                          <a:ext cx="1111959" cy="6253"/>
                          <a:chOff x="0" y="0"/>
                          <a:chExt cx="1111959" cy="6253"/>
                        </a:xfrm>
                      </wpg:grpSpPr>
                      <wps:wsp>
                        <wps:cNvPr id="7866" name="Shape 7866"/>
                        <wps:cNvSpPr/>
                        <wps:spPr>
                          <a:xfrm>
                            <a:off x="0" y="0"/>
                            <a:ext cx="1111959" cy="0"/>
                          </a:xfrm>
                          <a:custGeom>
                            <a:avLst/>
                            <a:gdLst/>
                            <a:ahLst/>
                            <a:cxnLst/>
                            <a:rect l="0" t="0" r="0" b="0"/>
                            <a:pathLst>
                              <a:path w="1111959">
                                <a:moveTo>
                                  <a:pt x="0" y="0"/>
                                </a:moveTo>
                                <a:lnTo>
                                  <a:pt x="1111959" y="0"/>
                                </a:lnTo>
                              </a:path>
                            </a:pathLst>
                          </a:custGeom>
                          <a:ln w="625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4194" style="width:87.5558pt;height:0.492361pt;position:absolute;mso-position-horizontal-relative:margin;mso-position-horizontal:absolute;margin-left:279.842pt;mso-position-vertical-relative:text;margin-top:3.78308pt;" coordsize="11119,62">
                <v:shape id="Shape 7866" style="position:absolute;width:11119;height:0;left:0;top:0;" coordsize="1111959,0" path="m0,0l1111959,0">
                  <v:stroke weight="0.492361pt" endcap="flat" joinstyle="round" on="true" color="#000000"/>
                  <v:fill on="false" color="#000000" opacity="0"/>
                </v:shape>
                <w10:wrap type="square"/>
              </v:group>
            </w:pict>
          </mc:Fallback>
        </mc:AlternateContent>
      </w:r>
      <w:r>
        <w:rPr>
          <w:rFonts w:ascii="Times New Roman" w:eastAsia="Times New Roman" w:hAnsi="Times New Roman" w:cs="Times New Roman"/>
          <w:i/>
          <w:sz w:val="24"/>
        </w:rPr>
        <w:t>A</w:t>
      </w:r>
      <w:r>
        <w:rPr>
          <w:rFonts w:ascii="Times New Roman" w:eastAsia="Times New Roman" w:hAnsi="Times New Roman" w:cs="Times New Roman"/>
          <w:sz w:val="14"/>
        </w:rPr>
        <w:t xml:space="preserve">31 </w:t>
      </w:r>
      <w:r>
        <w:rPr>
          <w:rFonts w:ascii="Segoe UI Symbol" w:eastAsia="Segoe UI Symbol" w:hAnsi="Segoe UI Symbol" w:cs="Segoe UI Symbol"/>
          <w:sz w:val="24"/>
        </w:rPr>
        <w:t xml:space="preserve"> </w:t>
      </w:r>
      <w:r>
        <w:rPr>
          <w:rFonts w:ascii="Times New Roman" w:eastAsia="Times New Roman" w:hAnsi="Times New Roman" w:cs="Times New Roman"/>
          <w:sz w:val="24"/>
        </w:rPr>
        <w:t xml:space="preserve">6 </w:t>
      </w:r>
      <w:r>
        <w:rPr>
          <w:rFonts w:ascii="Segoe UI Symbol" w:eastAsia="Segoe UI Symbol" w:hAnsi="Segoe UI Symbol" w:cs="Segoe UI Symbol"/>
          <w:sz w:val="38"/>
          <w:u w:val="single" w:color="000000"/>
        </w:rPr>
        <w:t></w:t>
      </w:r>
      <w:r>
        <w:rPr>
          <w:rFonts w:ascii="Times New Roman" w:eastAsia="Times New Roman" w:hAnsi="Times New Roman" w:cs="Times New Roman"/>
          <w:sz w:val="24"/>
        </w:rPr>
        <w:t>1</w:t>
      </w:r>
      <w:r>
        <w:rPr>
          <w:rFonts w:ascii="Segoe UI Symbol" w:eastAsia="Segoe UI Symbol" w:hAnsi="Segoe UI Symbol" w:cs="Segoe UI Symbol"/>
          <w:sz w:val="24"/>
        </w:rPr>
        <w:t></w:t>
      </w:r>
      <w:r>
        <w:rPr>
          <w:rFonts w:ascii="Segoe UI Symbol" w:eastAsia="Segoe UI Symbol" w:hAnsi="Segoe UI Symbol" w:cs="Segoe UI Symbol"/>
          <w:sz w:val="25"/>
        </w:rPr>
        <w:t></w:t>
      </w:r>
      <w:r>
        <w:rPr>
          <w:rFonts w:ascii="Times New Roman" w:eastAsia="Times New Roman" w:hAnsi="Times New Roman" w:cs="Times New Roman"/>
          <w:sz w:val="14"/>
        </w:rPr>
        <w:t>2 3</w:t>
      </w:r>
      <w:r>
        <w:rPr>
          <w:rFonts w:ascii="Segoe UI Symbol" w:eastAsia="Segoe UI Symbol" w:hAnsi="Segoe UI Symbol" w:cs="Segoe UI Symbol"/>
          <w:sz w:val="38"/>
          <w:u w:val="single" w:color="000000"/>
        </w:rPr>
        <w:t xml:space="preserve"> </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Times New Roman" w:eastAsia="Times New Roman" w:hAnsi="Times New Roman" w:cs="Times New Roman"/>
          <w:i/>
          <w:sz w:val="24"/>
        </w:rPr>
        <w:t>h</w:t>
      </w:r>
      <w:r>
        <w:rPr>
          <w:rFonts w:ascii="Segoe UI Symbol" w:eastAsia="Segoe UI Symbol" w:hAnsi="Segoe UI Symbol" w:cs="Segoe UI Symbol"/>
          <w:sz w:val="25"/>
        </w:rPr>
        <w:t></w:t>
      </w:r>
      <w:r>
        <w:rPr>
          <w:rFonts w:ascii="Times New Roman" w:eastAsia="Times New Roman" w:hAnsi="Times New Roman" w:cs="Times New Roman"/>
          <w:sz w:val="14"/>
        </w:rPr>
        <w:t xml:space="preserve">0 </w:t>
      </w:r>
      <w:r>
        <w:rPr>
          <w:rFonts w:ascii="Times New Roman" w:eastAsia="Times New Roman" w:hAnsi="Times New Roman" w:cs="Times New Roman"/>
          <w:i/>
          <w:sz w:val="24"/>
        </w:rPr>
        <w:t>h</w:t>
      </w:r>
      <w:r>
        <w:rPr>
          <w:rFonts w:ascii="Times New Roman" w:eastAsia="Times New Roman" w:hAnsi="Times New Roman" w:cs="Times New Roman"/>
          <w:sz w:val="14"/>
        </w:rPr>
        <w:t>0</w:t>
      </w:r>
      <w:r>
        <w:rPr>
          <w:rFonts w:ascii="Times New Roman" w:eastAsia="Times New Roman" w:hAnsi="Times New Roman" w:cs="Times New Roman"/>
          <w:i/>
          <w:sz w:val="24"/>
        </w:rPr>
        <w:t>l</w:t>
      </w:r>
      <w:r>
        <w:rPr>
          <w:rFonts w:ascii="Segoe UI Symbol" w:eastAsia="Segoe UI Symbol" w:hAnsi="Segoe UI Symbol" w:cs="Segoe UI Symbol"/>
          <w:sz w:val="32"/>
        </w:rPr>
        <w:t></w:t>
      </w:r>
      <w:r>
        <w:rPr>
          <w:rFonts w:ascii="Segoe UI Symbol" w:eastAsia="Segoe UI Symbol" w:hAnsi="Segoe UI Symbol" w:cs="Segoe UI Symbol"/>
          <w:sz w:val="24"/>
        </w:rPr>
        <w:t xml:space="preserve"> </w:t>
      </w:r>
      <w:r>
        <w:rPr>
          <w:rFonts w:ascii="Times New Roman" w:eastAsia="Times New Roman" w:hAnsi="Times New Roman" w:cs="Times New Roman"/>
          <w:sz w:val="24"/>
        </w:rPr>
        <w:t>2ln</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Segoe UI Symbol" w:eastAsia="Segoe UI Symbol" w:hAnsi="Segoe UI Symbol" w:cs="Segoe UI Symbol"/>
          <w:sz w:val="25"/>
        </w:rPr>
        <w:t></w:t>
      </w:r>
      <w:r>
        <w:rPr>
          <w:rFonts w:ascii="Times New Roman" w:eastAsia="Times New Roman" w:hAnsi="Times New Roman" w:cs="Times New Roman"/>
          <w:i/>
          <w:sz w:val="24"/>
        </w:rPr>
        <w:t>h</w:t>
      </w:r>
      <w:r>
        <w:rPr>
          <w:rFonts w:ascii="Times New Roman" w:eastAsia="Times New Roman" w:hAnsi="Times New Roman" w:cs="Times New Roman"/>
          <w:sz w:val="14"/>
        </w:rPr>
        <w:t>0</w:t>
      </w:r>
      <w:r>
        <w:rPr>
          <w:rFonts w:ascii="Times New Roman" w:eastAsia="Times New Roman" w:hAnsi="Times New Roman" w:cs="Times New Roman"/>
          <w:i/>
          <w:sz w:val="24"/>
        </w:rPr>
        <w:t>l</w:t>
      </w:r>
      <w:r>
        <w:rPr>
          <w:rFonts w:ascii="Segoe UI Symbol" w:eastAsia="Segoe UI Symbol" w:hAnsi="Segoe UI Symbol" w:cs="Segoe UI Symbol"/>
          <w:sz w:val="32"/>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Times New Roman" w:eastAsia="Times New Roman" w:hAnsi="Times New Roman" w:cs="Times New Roman"/>
          <w:sz w:val="24"/>
        </w:rPr>
        <w:t xml:space="preserve">, </w:t>
      </w:r>
      <w:r>
        <w:rPr>
          <w:rFonts w:ascii="Times New Roman" w:eastAsia="Times New Roman" w:hAnsi="Times New Roman" w:cs="Times New Roman"/>
          <w:i/>
          <w:sz w:val="24"/>
        </w:rPr>
        <w:t>A</w:t>
      </w:r>
      <w:r>
        <w:rPr>
          <w:rFonts w:ascii="Times New Roman" w:eastAsia="Times New Roman" w:hAnsi="Times New Roman" w:cs="Times New Roman"/>
          <w:sz w:val="14"/>
        </w:rPr>
        <w:t xml:space="preserve">32 </w:t>
      </w:r>
      <w:r>
        <w:rPr>
          <w:rFonts w:ascii="Segoe UI Symbol" w:eastAsia="Segoe UI Symbol" w:hAnsi="Segoe UI Symbol" w:cs="Segoe UI Symbol"/>
          <w:sz w:val="24"/>
        </w:rPr>
        <w:t xml:space="preserve"> </w:t>
      </w:r>
      <w:r>
        <w:rPr>
          <w:rFonts w:ascii="Times New Roman" w:eastAsia="Times New Roman" w:hAnsi="Times New Roman" w:cs="Times New Roman"/>
          <w:sz w:val="24"/>
        </w:rPr>
        <w:t xml:space="preserve">6 </w:t>
      </w:r>
      <w:r>
        <w:rPr>
          <w:rFonts w:ascii="Times New Roman" w:eastAsia="Times New Roman" w:hAnsi="Times New Roman" w:cs="Times New Roman"/>
          <w:i/>
          <w:sz w:val="24"/>
        </w:rPr>
        <w:t>E</w:t>
      </w:r>
      <w:r>
        <w:rPr>
          <w:rFonts w:ascii="Segoe UI Symbol" w:eastAsia="Segoe UI Symbol" w:hAnsi="Segoe UI Symbol" w:cs="Segoe UI Symbol"/>
          <w:sz w:val="32"/>
        </w:rPr>
        <w:t></w:t>
      </w:r>
      <w:r>
        <w:rPr>
          <w:rFonts w:ascii="Segoe UI Symbol" w:eastAsia="Segoe UI Symbol" w:hAnsi="Segoe UI Symbol" w:cs="Segoe UI Symbol"/>
          <w:sz w:val="25"/>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Segoe UI Symbol" w:eastAsia="Segoe UI Symbol" w:hAnsi="Segoe UI Symbol" w:cs="Segoe UI Symbol"/>
          <w:sz w:val="38"/>
        </w:rPr>
        <w:t></w:t>
      </w:r>
      <w:r>
        <w:rPr>
          <w:rFonts w:ascii="Segoe UI Symbol" w:eastAsia="Segoe UI Symbol" w:hAnsi="Segoe UI Symbol" w:cs="Segoe UI Symbol"/>
          <w:sz w:val="32"/>
        </w:rPr>
        <w:t></w:t>
      </w:r>
      <w:r>
        <w:rPr>
          <w:rFonts w:ascii="Times New Roman" w:eastAsia="Times New Roman" w:hAnsi="Times New Roman" w:cs="Times New Roman"/>
          <w:sz w:val="24"/>
        </w:rPr>
        <w:t>1</w:t>
      </w:r>
      <w:r>
        <w:rPr>
          <w:rFonts w:ascii="Times New Roman" w:eastAsia="Times New Roman" w:hAnsi="Times New Roman" w:cs="Times New Roman"/>
          <w:sz w:val="14"/>
        </w:rPr>
        <w:t>2</w:t>
      </w:r>
      <w:r>
        <w:rPr>
          <w:rFonts w:ascii="Segoe UI Symbol" w:eastAsia="Segoe UI Symbol" w:hAnsi="Segoe UI Symbol" w:cs="Segoe UI Symbol"/>
          <w:sz w:val="24"/>
        </w:rPr>
        <w:t></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Segoe UI Symbol" w:eastAsia="Segoe UI Symbol" w:hAnsi="Segoe UI Symbol" w:cs="Segoe UI Symbol"/>
          <w:sz w:val="25"/>
        </w:rPr>
        <w:t></w:t>
      </w:r>
      <w:r>
        <w:rPr>
          <w:rFonts w:ascii="Times New Roman" w:eastAsia="Times New Roman" w:hAnsi="Times New Roman" w:cs="Times New Roman"/>
          <w:sz w:val="14"/>
        </w:rPr>
        <w:t>0 2</w:t>
      </w:r>
      <w:r>
        <w:rPr>
          <w:rFonts w:ascii="Segoe UI Symbol" w:eastAsia="Segoe UI Symbol" w:hAnsi="Segoe UI Symbol" w:cs="Segoe UI Symbol"/>
          <w:sz w:val="24"/>
        </w:rPr>
        <w:t></w:t>
      </w:r>
      <w:r>
        <w:rPr>
          <w:rFonts w:ascii="Segoe UI Symbol" w:eastAsia="Segoe UI Symbol" w:hAnsi="Segoe UI Symbol" w:cs="Segoe UI Symbol"/>
          <w:sz w:val="38"/>
        </w:rPr>
        <w:t></w:t>
      </w:r>
      <w:r>
        <w:rPr>
          <w:rFonts w:ascii="Segoe UI Symbol" w:eastAsia="Segoe UI Symbol" w:hAnsi="Segoe UI Symbol" w:cs="Segoe UI Symbol"/>
          <w:sz w:val="25"/>
        </w:rPr>
        <w:t></w:t>
      </w:r>
      <w:r>
        <w:rPr>
          <w:rFonts w:ascii="Times New Roman" w:eastAsia="Times New Roman" w:hAnsi="Times New Roman" w:cs="Times New Roman"/>
          <w:i/>
          <w:sz w:val="24"/>
        </w:rPr>
        <w:t>h</w:t>
      </w:r>
      <w:r>
        <w:rPr>
          <w:rFonts w:ascii="Times New Roman" w:eastAsia="Times New Roman" w:hAnsi="Times New Roman" w:cs="Times New Roman"/>
          <w:sz w:val="14"/>
        </w:rPr>
        <w:t>0</w:t>
      </w:r>
      <w:r>
        <w:rPr>
          <w:rFonts w:ascii="Times New Roman" w:eastAsia="Times New Roman" w:hAnsi="Times New Roman" w:cs="Times New Roman"/>
          <w:i/>
          <w:sz w:val="24"/>
        </w:rPr>
        <w:t>l</w:t>
      </w:r>
      <w:r>
        <w:rPr>
          <w:rFonts w:ascii="Segoe UI Symbol" w:eastAsia="Segoe UI Symbol" w:hAnsi="Segoe UI Symbol" w:cs="Segoe UI Symbol"/>
          <w:sz w:val="32"/>
        </w:rPr>
        <w:t></w:t>
      </w:r>
      <w:r>
        <w:rPr>
          <w:rFonts w:ascii="Times New Roman" w:eastAsia="Times New Roman" w:hAnsi="Times New Roman" w:cs="Times New Roman"/>
          <w:sz w:val="24"/>
        </w:rPr>
        <w:t xml:space="preserve">, </w:t>
      </w:r>
      <w:r>
        <w:rPr>
          <w:rFonts w:ascii="Times New Roman" w:eastAsia="Times New Roman" w:hAnsi="Times New Roman" w:cs="Times New Roman"/>
          <w:i/>
          <w:sz w:val="24"/>
        </w:rPr>
        <w:t>A</w:t>
      </w:r>
      <w:r>
        <w:rPr>
          <w:rFonts w:ascii="Times New Roman" w:eastAsia="Times New Roman" w:hAnsi="Times New Roman" w:cs="Times New Roman"/>
          <w:sz w:val="14"/>
        </w:rPr>
        <w:t xml:space="preserve">33 </w:t>
      </w:r>
      <w:r>
        <w:rPr>
          <w:rFonts w:ascii="Segoe UI Symbol" w:eastAsia="Segoe UI Symbol" w:hAnsi="Segoe UI Symbol" w:cs="Segoe UI Symbol"/>
          <w:sz w:val="24"/>
        </w:rPr>
        <w:t xml:space="preserve"> </w:t>
      </w:r>
      <w:r>
        <w:rPr>
          <w:rFonts w:ascii="Times New Roman" w:eastAsia="Times New Roman" w:hAnsi="Times New Roman" w:cs="Times New Roman"/>
          <w:i/>
          <w:sz w:val="24"/>
        </w:rPr>
        <w:t>l</w:t>
      </w:r>
      <w:r>
        <w:rPr>
          <w:rFonts w:ascii="Times New Roman" w:eastAsia="Times New Roman" w:hAnsi="Times New Roman" w:cs="Times New Roman"/>
          <w:sz w:val="24"/>
        </w:rPr>
        <w:t>,</w:t>
      </w:r>
      <w:r>
        <w:rPr>
          <w:rFonts w:ascii="Times New Roman" w:eastAsia="Times New Roman" w:hAnsi="Times New Roman" w:cs="Times New Roman"/>
        </w:rPr>
        <w:t xml:space="preserve">   </w:t>
      </w:r>
      <w:r>
        <w:rPr>
          <w:rFonts w:ascii="Times New Roman" w:eastAsia="Times New Roman" w:hAnsi="Times New Roman" w:cs="Times New Roman"/>
          <w:i/>
          <w:sz w:val="24"/>
        </w:rPr>
        <w:t>E</w:t>
      </w:r>
      <w:r>
        <w:rPr>
          <w:rFonts w:ascii="Segoe UI Symbol" w:eastAsia="Segoe UI Symbol" w:hAnsi="Segoe UI Symbol" w:cs="Segoe UI Symbol"/>
          <w:sz w:val="32"/>
        </w:rPr>
        <w:t></w:t>
      </w:r>
      <w:r>
        <w:rPr>
          <w:rFonts w:ascii="Segoe UI Symbol" w:eastAsia="Segoe UI Symbol" w:hAnsi="Segoe UI Symbol" w:cs="Segoe UI Symbol"/>
          <w:sz w:val="25"/>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1 </w:t>
      </w:r>
      <w:r>
        <w:rPr>
          <w:rFonts w:ascii="Segoe UI Symbol" w:eastAsia="Segoe UI Symbol" w:hAnsi="Segoe UI Symbol" w:cs="Segoe UI Symbol"/>
          <w:sz w:val="32"/>
        </w:rPr>
        <w:t xml:space="preserve"> </w:t>
      </w:r>
      <w:r>
        <w:rPr>
          <w:rFonts w:ascii="Segoe UI Symbol" w:eastAsia="Segoe UI Symbol" w:hAnsi="Segoe UI Symbol" w:cs="Segoe UI Symbol"/>
          <w:sz w:val="24"/>
        </w:rPr>
        <w:t></w:t>
      </w:r>
    </w:p>
    <w:p w:rsidR="0052701D" w:rsidRDefault="00D40929">
      <w:pPr>
        <w:spacing w:after="174"/>
      </w:pPr>
      <w:r>
        <w:rPr>
          <w:rFonts w:ascii="Times New Roman" w:eastAsia="Times New Roman" w:hAnsi="Times New Roman" w:cs="Times New Roman"/>
        </w:rPr>
        <w:t xml:space="preserve"> </w:t>
      </w:r>
    </w:p>
    <w:p w:rsidR="0052701D" w:rsidRDefault="00D40929">
      <w:pPr>
        <w:tabs>
          <w:tab w:val="center" w:pos="935"/>
          <w:tab w:val="center" w:pos="1846"/>
          <w:tab w:val="center" w:pos="3076"/>
          <w:tab w:val="center" w:pos="4535"/>
          <w:tab w:val="center" w:pos="6385"/>
        </w:tabs>
        <w:spacing w:after="4" w:line="258" w:lineRule="auto"/>
      </w:pPr>
      <w:r>
        <w:tab/>
      </w:r>
      <w:r>
        <w:rPr>
          <w:rFonts w:ascii="Segoe UI Symbol" w:eastAsia="Segoe UI Symbol" w:hAnsi="Segoe UI Symbol" w:cs="Segoe UI Symbol"/>
          <w:sz w:val="24"/>
        </w:rPr>
        <w:t></w:t>
      </w:r>
      <w:r>
        <w:rPr>
          <w:rFonts w:ascii="Segoe UI Symbol" w:eastAsia="Segoe UI Symbol" w:hAnsi="Segoe UI Symbol" w:cs="Segoe UI Symbol"/>
          <w:sz w:val="24"/>
        </w:rPr>
        <w:tab/>
      </w:r>
      <w:r>
        <w:rPr>
          <w:rFonts w:ascii="Segoe UI Symbol" w:eastAsia="Segoe UI Symbol" w:hAnsi="Segoe UI Symbol" w:cs="Segoe UI Symbol"/>
          <w:sz w:val="39"/>
          <w:u w:val="single" w:color="000000"/>
        </w:rPr>
        <w:t></w:t>
      </w:r>
      <w:r>
        <w:rPr>
          <w:rFonts w:ascii="Times New Roman" w:eastAsia="Times New Roman" w:hAnsi="Times New Roman" w:cs="Times New Roman"/>
          <w:sz w:val="24"/>
        </w:rPr>
        <w:t>1</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sz w:val="14"/>
        </w:rPr>
        <w:t>2</w:t>
      </w:r>
      <w:r>
        <w:rPr>
          <w:rFonts w:ascii="Segoe UI Symbol" w:eastAsia="Segoe UI Symbol" w:hAnsi="Segoe UI Symbol" w:cs="Segoe UI Symbol"/>
          <w:sz w:val="39"/>
          <w:u w:val="single" w:color="000000"/>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ab/>
      </w:r>
      <w:r>
        <w:rPr>
          <w:rFonts w:ascii="Times New Roman" w:eastAsia="Times New Roman" w:hAnsi="Times New Roman" w:cs="Times New Roman"/>
          <w:i/>
          <w:sz w:val="24"/>
        </w:rPr>
        <w:t>h</w:t>
      </w:r>
      <w:r>
        <w:rPr>
          <w:rFonts w:ascii="Times New Roman" w:eastAsia="Times New Roman" w:hAnsi="Times New Roman" w:cs="Times New Roman"/>
          <w:sz w:val="14"/>
        </w:rPr>
        <w:t>02</w:t>
      </w:r>
      <w:r>
        <w:rPr>
          <w:rFonts w:ascii="Times New Roman" w:eastAsia="Times New Roman" w:hAnsi="Times New Roman" w:cs="Times New Roman"/>
          <w:sz w:val="14"/>
        </w:rPr>
        <w:tab/>
      </w:r>
      <w:r>
        <w:rPr>
          <w:rFonts w:ascii="Times New Roman" w:eastAsia="Times New Roman" w:hAnsi="Times New Roman" w:cs="Times New Roman"/>
          <w:i/>
          <w:sz w:val="24"/>
        </w:rPr>
        <w:t>h</w:t>
      </w:r>
      <w:r>
        <w:rPr>
          <w:rFonts w:ascii="Times New Roman" w:eastAsia="Times New Roman" w:hAnsi="Times New Roman" w:cs="Times New Roman"/>
          <w:i/>
          <w:sz w:val="24"/>
        </w:rPr>
        <w:tab/>
      </w:r>
      <w:r>
        <w:rPr>
          <w:rFonts w:ascii="Segoe UI Symbol" w:eastAsia="Segoe UI Symbol" w:hAnsi="Segoe UI Symbol" w:cs="Segoe UI Symbol"/>
          <w:sz w:val="32"/>
        </w:rPr>
        <w:t></w:t>
      </w:r>
      <w:r>
        <w:rPr>
          <w:rFonts w:ascii="Times New Roman" w:eastAsia="Times New Roman" w:hAnsi="Times New Roman" w:cs="Times New Roman"/>
          <w:i/>
          <w:sz w:val="24"/>
        </w:rPr>
        <w:t>h</w:t>
      </w:r>
    </w:p>
    <w:p w:rsidR="0052701D" w:rsidRDefault="00D40929">
      <w:pPr>
        <w:spacing w:after="149" w:line="248" w:lineRule="auto"/>
        <w:ind w:left="843" w:right="150" w:hanging="834"/>
        <w:jc w:val="both"/>
      </w:pPr>
      <w:r>
        <w:rPr>
          <w:noProof/>
        </w:rPr>
        <mc:AlternateContent>
          <mc:Choice Requires="wpg">
            <w:drawing>
              <wp:anchor distT="0" distB="0" distL="114300" distR="114300" simplePos="0" relativeHeight="251682816" behindDoc="0" locked="0" layoutInCell="1" allowOverlap="1">
                <wp:simplePos x="0" y="0"/>
                <wp:positionH relativeFrom="column">
                  <wp:posOffset>1438022</wp:posOffset>
                </wp:positionH>
                <wp:positionV relativeFrom="paragraph">
                  <wp:posOffset>33752</wp:posOffset>
                </wp:positionV>
                <wp:extent cx="1655444" cy="6133"/>
                <wp:effectExtent l="0" t="0" r="0" b="0"/>
                <wp:wrapNone/>
                <wp:docPr id="914195" name="Group 914195"/>
                <wp:cNvGraphicFramePr/>
                <a:graphic xmlns:a="http://schemas.openxmlformats.org/drawingml/2006/main">
                  <a:graphicData uri="http://schemas.microsoft.com/office/word/2010/wordprocessingGroup">
                    <wpg:wgp>
                      <wpg:cNvGrpSpPr/>
                      <wpg:grpSpPr>
                        <a:xfrm>
                          <a:off x="0" y="0"/>
                          <a:ext cx="1655444" cy="6133"/>
                          <a:chOff x="0" y="0"/>
                          <a:chExt cx="1655444" cy="6133"/>
                        </a:xfrm>
                      </wpg:grpSpPr>
                      <wps:wsp>
                        <wps:cNvPr id="7942" name="Shape 7942"/>
                        <wps:cNvSpPr/>
                        <wps:spPr>
                          <a:xfrm>
                            <a:off x="0" y="0"/>
                            <a:ext cx="1046610" cy="0"/>
                          </a:xfrm>
                          <a:custGeom>
                            <a:avLst/>
                            <a:gdLst/>
                            <a:ahLst/>
                            <a:cxnLst/>
                            <a:rect l="0" t="0" r="0" b="0"/>
                            <a:pathLst>
                              <a:path w="1046610">
                                <a:moveTo>
                                  <a:pt x="0" y="0"/>
                                </a:moveTo>
                                <a:lnTo>
                                  <a:pt x="1046610" y="0"/>
                                </a:lnTo>
                              </a:path>
                            </a:pathLst>
                          </a:custGeom>
                          <a:ln w="6133" cap="flat">
                            <a:round/>
                          </a:ln>
                        </wps:spPr>
                        <wps:style>
                          <a:lnRef idx="1">
                            <a:srgbClr val="000000"/>
                          </a:lnRef>
                          <a:fillRef idx="0">
                            <a:srgbClr val="000000">
                              <a:alpha val="0"/>
                            </a:srgbClr>
                          </a:fillRef>
                          <a:effectRef idx="0">
                            <a:scrgbClr r="0" g="0" b="0"/>
                          </a:effectRef>
                          <a:fontRef idx="none"/>
                        </wps:style>
                        <wps:bodyPr/>
                      </wps:wsp>
                      <wps:wsp>
                        <wps:cNvPr id="7945" name="Shape 7945"/>
                        <wps:cNvSpPr/>
                        <wps:spPr>
                          <a:xfrm>
                            <a:off x="1285274" y="0"/>
                            <a:ext cx="370170" cy="0"/>
                          </a:xfrm>
                          <a:custGeom>
                            <a:avLst/>
                            <a:gdLst/>
                            <a:ahLst/>
                            <a:cxnLst/>
                            <a:rect l="0" t="0" r="0" b="0"/>
                            <a:pathLst>
                              <a:path w="370170">
                                <a:moveTo>
                                  <a:pt x="0" y="0"/>
                                </a:moveTo>
                                <a:lnTo>
                                  <a:pt x="370170" y="0"/>
                                </a:lnTo>
                              </a:path>
                            </a:pathLst>
                          </a:custGeom>
                          <a:ln w="613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4195" style="width:130.35pt;height:0.482949pt;position:absolute;z-index:984;mso-position-horizontal-relative:text;mso-position-horizontal:absolute;margin-left:113.23pt;mso-position-vertical-relative:text;margin-top:2.65765pt;" coordsize="16554,61">
                <v:shape id="Shape 7942" style="position:absolute;width:10466;height:0;left:0;top:0;" coordsize="1046610,0" path="m0,0l1046610,0">
                  <v:stroke weight="0.482949pt" endcap="flat" joinstyle="round" on="true" color="#000000"/>
                  <v:fill on="false" color="#000000" opacity="0"/>
                </v:shape>
                <v:shape id="Shape 7945" style="position:absolute;width:3701;height:0;left:12852;top:0;" coordsize="370170,0" path="m0,0l370170,0">
                  <v:stroke weight="0.482949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683840" behindDoc="0" locked="0" layoutInCell="1" allowOverlap="1">
                <wp:simplePos x="0" y="0"/>
                <wp:positionH relativeFrom="margin">
                  <wp:posOffset>3985580</wp:posOffset>
                </wp:positionH>
                <wp:positionV relativeFrom="paragraph">
                  <wp:posOffset>33752</wp:posOffset>
                </wp:positionV>
                <wp:extent cx="613654" cy="6133"/>
                <wp:effectExtent l="0" t="0" r="0" b="0"/>
                <wp:wrapSquare wrapText="bothSides"/>
                <wp:docPr id="914196" name="Group 914196"/>
                <wp:cNvGraphicFramePr/>
                <a:graphic xmlns:a="http://schemas.openxmlformats.org/drawingml/2006/main">
                  <a:graphicData uri="http://schemas.microsoft.com/office/word/2010/wordprocessingGroup">
                    <wpg:wgp>
                      <wpg:cNvGrpSpPr/>
                      <wpg:grpSpPr>
                        <a:xfrm>
                          <a:off x="0" y="0"/>
                          <a:ext cx="613654" cy="6133"/>
                          <a:chOff x="0" y="0"/>
                          <a:chExt cx="613654" cy="6133"/>
                        </a:xfrm>
                      </wpg:grpSpPr>
                      <wps:wsp>
                        <wps:cNvPr id="7952" name="Shape 7952"/>
                        <wps:cNvSpPr/>
                        <wps:spPr>
                          <a:xfrm>
                            <a:off x="0" y="0"/>
                            <a:ext cx="613654" cy="0"/>
                          </a:xfrm>
                          <a:custGeom>
                            <a:avLst/>
                            <a:gdLst/>
                            <a:ahLst/>
                            <a:cxnLst/>
                            <a:rect l="0" t="0" r="0" b="0"/>
                            <a:pathLst>
                              <a:path w="613654">
                                <a:moveTo>
                                  <a:pt x="0" y="0"/>
                                </a:moveTo>
                                <a:lnTo>
                                  <a:pt x="613654" y="0"/>
                                </a:lnTo>
                              </a:path>
                            </a:pathLst>
                          </a:custGeom>
                          <a:ln w="613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4196" style="width:48.3192pt;height:0.482949pt;position:absolute;mso-position-horizontal-relative:margin;mso-position-horizontal:absolute;margin-left:313.825pt;mso-position-vertical-relative:text;margin-top:2.65765pt;" coordsize="6136,61">
                <v:shape id="Shape 7952" style="position:absolute;width:6136;height:0;left:0;top:0;" coordsize="613654,0" path="m0,0l613654,0">
                  <v:stroke weight="0.482949pt" endcap="flat" joinstyle="round" on="true" color="#000000"/>
                  <v:fill on="false" color="#000000" opacity="0"/>
                </v:shape>
                <w10:wrap type="square"/>
              </v:group>
            </w:pict>
          </mc:Fallback>
        </mc:AlternateContent>
      </w:r>
      <w:r>
        <w:rPr>
          <w:rFonts w:ascii="Times New Roman" w:eastAsia="Times New Roman" w:hAnsi="Times New Roman" w:cs="Times New Roman"/>
          <w:i/>
          <w:sz w:val="24"/>
        </w:rPr>
        <w:t>A</w:t>
      </w:r>
      <w:r>
        <w:rPr>
          <w:rFonts w:ascii="Times New Roman" w:eastAsia="Times New Roman" w:hAnsi="Times New Roman" w:cs="Times New Roman"/>
          <w:sz w:val="14"/>
        </w:rPr>
        <w:t xml:space="preserve">35 </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Times New Roman" w:eastAsia="Times New Roman" w:hAnsi="Times New Roman" w:cs="Times New Roman"/>
          <w:i/>
          <w:sz w:val="24"/>
        </w:rPr>
        <w:t>T</w:t>
      </w:r>
      <w:r>
        <w:rPr>
          <w:rFonts w:ascii="Segoe UI Symbol" w:eastAsia="Segoe UI Symbol" w:hAnsi="Segoe UI Symbol" w:cs="Segoe UI Symbol"/>
          <w:sz w:val="24"/>
        </w:rPr>
        <w:t></w:t>
      </w:r>
      <w:r>
        <w:rPr>
          <w:rFonts w:ascii="Segoe UI Symbol" w:eastAsia="Segoe UI Symbol" w:hAnsi="Segoe UI Symbol" w:cs="Segoe UI Symbol"/>
          <w:sz w:val="37"/>
          <w:vertAlign w:val="superscript"/>
        </w:rPr>
        <w:t></w:t>
      </w:r>
      <w:r>
        <w:rPr>
          <w:rFonts w:ascii="Times New Roman" w:eastAsia="Times New Roman" w:hAnsi="Times New Roman" w:cs="Times New Roman"/>
          <w:sz w:val="24"/>
        </w:rPr>
        <w:t>6</w:t>
      </w:r>
      <w:r>
        <w:rPr>
          <w:rFonts w:ascii="Times New Roman" w:eastAsia="Times New Roman" w:hAnsi="Times New Roman" w:cs="Times New Roman"/>
          <w:i/>
          <w:sz w:val="24"/>
        </w:rPr>
        <w:t>p</w:t>
      </w:r>
      <w:r>
        <w:rPr>
          <w:rFonts w:ascii="Times New Roman" w:eastAsia="Times New Roman" w:hAnsi="Times New Roman" w:cs="Times New Roman"/>
          <w:vertAlign w:val="superscript"/>
        </w:rPr>
        <w:t>*</w:t>
      </w:r>
      <w:r>
        <w:rPr>
          <w:rFonts w:ascii="Times New Roman" w:eastAsia="Times New Roman" w:hAnsi="Times New Roman" w:cs="Times New Roman"/>
          <w:vertAlign w:val="superscript"/>
        </w:rPr>
        <w:tab/>
      </w:r>
      <w:r>
        <w:rPr>
          <w:rFonts w:ascii="Times New Roman" w:eastAsia="Times New Roman" w:hAnsi="Times New Roman" w:cs="Times New Roman"/>
          <w:i/>
          <w:sz w:val="24"/>
        </w:rPr>
        <w:t>E</w:t>
      </w:r>
      <w:r>
        <w:rPr>
          <w:rFonts w:ascii="Times New Roman" w:eastAsia="Times New Roman" w:hAnsi="Times New Roman" w:cs="Times New Roman"/>
          <w:i/>
          <w:sz w:val="24"/>
        </w:rPr>
        <w:tab/>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37"/>
          <w:vertAlign w:val="subscript"/>
        </w:rPr>
        <w:t></w:t>
      </w:r>
      <w:r>
        <w:rPr>
          <w:rFonts w:ascii="Times New Roman" w:eastAsia="Times New Roman" w:hAnsi="Times New Roman" w:cs="Times New Roman"/>
          <w:sz w:val="24"/>
        </w:rPr>
        <w:t>2</w:t>
      </w:r>
      <w:r>
        <w:rPr>
          <w:rFonts w:ascii="Segoe UI Symbol" w:eastAsia="Segoe UI Symbol" w:hAnsi="Segoe UI Symbol" w:cs="Segoe UI Symbol"/>
          <w:sz w:val="32"/>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vertAlign w:val="subscript"/>
        </w:rPr>
        <w:t>1</w:t>
      </w:r>
      <w:r>
        <w:rPr>
          <w:rFonts w:ascii="Segoe UI Symbol" w:eastAsia="Segoe UI Symbol" w:hAnsi="Segoe UI Symbol" w:cs="Segoe UI Symbol"/>
          <w:sz w:val="32"/>
        </w:rPr>
        <w:t></w:t>
      </w:r>
      <w:r>
        <w:rPr>
          <w:rFonts w:ascii="Times New Roman" w:eastAsia="Times New Roman" w:hAnsi="Times New Roman" w:cs="Times New Roman"/>
          <w:sz w:val="14"/>
        </w:rPr>
        <w:t>4</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vertAlign w:val="subscript"/>
        </w:rPr>
        <w:t xml:space="preserve">0 </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vertAlign w:val="subscript"/>
        </w:rPr>
        <w:t>1</w:t>
      </w:r>
      <w:r>
        <w:rPr>
          <w:rFonts w:ascii="Times New Roman" w:eastAsia="Times New Roman" w:hAnsi="Times New Roman" w:cs="Times New Roman"/>
          <w:i/>
          <w:sz w:val="24"/>
        </w:rPr>
        <w:t>l</w:t>
      </w:r>
      <w:r>
        <w:rPr>
          <w:rFonts w:ascii="Segoe UI Symbol" w:eastAsia="Segoe UI Symbol" w:hAnsi="Segoe UI Symbol" w:cs="Segoe UI Symbol"/>
          <w:sz w:val="32"/>
        </w:rPr>
        <w:t></w:t>
      </w:r>
      <w:r>
        <w:rPr>
          <w:rFonts w:ascii="Segoe UI Symbol" w:eastAsia="Segoe UI Symbol" w:hAnsi="Segoe UI Symbol" w:cs="Segoe UI Symbol"/>
          <w:sz w:val="24"/>
        </w:rPr>
        <w:t></w:t>
      </w:r>
      <w:r>
        <w:rPr>
          <w:rFonts w:ascii="Times New Roman" w:eastAsia="Times New Roman" w:hAnsi="Times New Roman" w:cs="Times New Roman"/>
          <w:sz w:val="24"/>
        </w:rPr>
        <w:t>3</w:t>
      </w:r>
      <w:r>
        <w:rPr>
          <w:rFonts w:ascii="Segoe UI Symbol" w:eastAsia="Segoe UI Symbol" w:hAnsi="Segoe UI Symbol" w:cs="Segoe UI Symbol"/>
          <w:sz w:val="32"/>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vertAlign w:val="subscript"/>
        </w:rPr>
        <w:t>1</w:t>
      </w:r>
      <w:r>
        <w:rPr>
          <w:rFonts w:ascii="Times New Roman" w:eastAsia="Times New Roman" w:hAnsi="Times New Roman" w:cs="Times New Roman"/>
          <w:sz w:val="14"/>
        </w:rPr>
        <w:t>0</w:t>
      </w:r>
      <w:r>
        <w:rPr>
          <w:rFonts w:ascii="Segoe UI Symbol" w:eastAsia="Segoe UI Symbol" w:hAnsi="Segoe UI Symbol" w:cs="Segoe UI Symbol"/>
          <w:sz w:val="32"/>
        </w:rPr>
        <w:t></w:t>
      </w:r>
      <w:r>
        <w:rPr>
          <w:rFonts w:ascii="Times New Roman" w:eastAsia="Times New Roman" w:hAnsi="Times New Roman" w:cs="Times New Roman"/>
          <w:sz w:val="14"/>
        </w:rPr>
        <w:t xml:space="preserve">4 </w:t>
      </w:r>
      <w:r>
        <w:rPr>
          <w:rFonts w:ascii="Times New Roman" w:eastAsia="Times New Roman" w:hAnsi="Times New Roman" w:cs="Times New Roman"/>
          <w:sz w:val="24"/>
        </w:rPr>
        <w:t>ln</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l</w:t>
      </w:r>
      <w:r>
        <w:rPr>
          <w:rFonts w:ascii="Segoe UI Symbol" w:eastAsia="Segoe UI Symbol" w:hAnsi="Segoe UI Symbol" w:cs="Segoe UI Symbol"/>
          <w:sz w:val="32"/>
        </w:rPr>
        <w:t></w:t>
      </w:r>
      <w:r>
        <w:rPr>
          <w:rFonts w:ascii="Segoe UI Symbol" w:eastAsia="Segoe UI Symbol" w:hAnsi="Segoe UI Symbol" w:cs="Segoe UI Symbol"/>
          <w:sz w:val="24"/>
        </w:rPr>
        <w:t xml:space="preserve"> </w:t>
      </w:r>
      <w:r>
        <w:rPr>
          <w:rFonts w:ascii="Times New Roman" w:eastAsia="Times New Roman" w:hAnsi="Times New Roman" w:cs="Times New Roman"/>
          <w:sz w:val="14"/>
        </w:rPr>
        <w:t>0</w:t>
      </w:r>
      <w:r>
        <w:rPr>
          <w:rFonts w:ascii="Segoe UI Symbol" w:eastAsia="Segoe UI Symbol" w:hAnsi="Segoe UI Symbol" w:cs="Segoe UI Symbol"/>
          <w:sz w:val="32"/>
        </w:rPr>
        <w:t></w:t>
      </w:r>
      <w:r>
        <w:rPr>
          <w:rFonts w:ascii="Segoe UI Symbol" w:eastAsia="Segoe UI Symbol" w:hAnsi="Segoe UI Symbol" w:cs="Segoe UI Symbol"/>
          <w:sz w:val="26"/>
        </w:rPr>
        <w:t></w:t>
      </w:r>
      <w:r>
        <w:rPr>
          <w:rFonts w:ascii="Segoe UI Symbol" w:eastAsia="Segoe UI Symbol" w:hAnsi="Segoe UI Symbol" w:cs="Segoe UI Symbol"/>
          <w:sz w:val="24"/>
        </w:rPr>
        <w:t></w:t>
      </w:r>
      <w:r>
        <w:rPr>
          <w:rFonts w:ascii="Times New Roman" w:eastAsia="Times New Roman" w:hAnsi="Times New Roman" w:cs="Times New Roman"/>
          <w:i/>
          <w:sz w:val="24"/>
        </w:rPr>
        <w:t>h</w:t>
      </w:r>
      <w:r>
        <w:rPr>
          <w:rFonts w:ascii="Times New Roman" w:eastAsia="Times New Roman" w:hAnsi="Times New Roman" w:cs="Times New Roman"/>
          <w:vertAlign w:val="subscript"/>
        </w:rPr>
        <w:t>1</w:t>
      </w:r>
      <w:r>
        <w:rPr>
          <w:rFonts w:ascii="Segoe UI Symbol" w:eastAsia="Segoe UI Symbol" w:hAnsi="Segoe UI Symbol" w:cs="Segoe UI Symbol"/>
          <w:sz w:val="26"/>
        </w:rPr>
        <w:t></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41</w:t>
      </w:r>
      <w:r>
        <w:rPr>
          <w:rFonts w:ascii="Times New Roman" w:eastAsia="Times New Roman" w:hAnsi="Times New Roman" w:cs="Times New Roman"/>
          <w:i/>
          <w:sz w:val="24"/>
        </w:rPr>
        <w:t>l</w:t>
      </w:r>
      <w:r>
        <w:rPr>
          <w:rFonts w:ascii="Segoe UI Symbol" w:eastAsia="Segoe UI Symbol" w:hAnsi="Segoe UI Symbol" w:cs="Segoe UI Symbol"/>
          <w:sz w:val="32"/>
        </w:rPr>
        <w:t></w:t>
      </w:r>
      <w:r>
        <w:rPr>
          <w:rFonts w:ascii="Segoe UI Symbol" w:eastAsia="Segoe UI Symbol" w:hAnsi="Segoe UI Symbol" w:cs="Segoe UI Symbol"/>
          <w:sz w:val="33"/>
        </w:rPr>
        <w:t></w:t>
      </w:r>
      <w:r>
        <w:rPr>
          <w:rFonts w:ascii="Times New Roman" w:eastAsia="Times New Roman" w:hAnsi="Times New Roman" w:cs="Times New Roman"/>
          <w:sz w:val="24"/>
        </w:rPr>
        <w:t>ln</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l</w:t>
      </w:r>
      <w:r>
        <w:rPr>
          <w:rFonts w:ascii="Segoe UI Symbol" w:eastAsia="Segoe UI Symbol" w:hAnsi="Segoe UI Symbol" w:cs="Segoe UI Symbol"/>
          <w:sz w:val="32"/>
        </w:rPr>
        <w:t></w:t>
      </w:r>
      <w:r>
        <w:rPr>
          <w:rFonts w:ascii="Segoe UI Symbol" w:eastAsia="Segoe UI Symbol" w:hAnsi="Segoe UI Symbol" w:cs="Segoe UI Symbol"/>
          <w:sz w:val="24"/>
        </w:rPr>
        <w:t></w:t>
      </w:r>
      <w:r>
        <w:rPr>
          <w:rFonts w:ascii="Times New Roman" w:eastAsia="Times New Roman" w:hAnsi="Times New Roman" w:cs="Times New Roman"/>
          <w:sz w:val="24"/>
        </w:rPr>
        <w:t>1</w:t>
      </w:r>
      <w:r>
        <w:rPr>
          <w:rFonts w:ascii="Segoe UI Symbol" w:eastAsia="Segoe UI Symbol" w:hAnsi="Segoe UI Symbol" w:cs="Segoe UI Symbol"/>
          <w:sz w:val="33"/>
        </w:rPr>
        <w:t></w:t>
      </w:r>
      <w:r>
        <w:rPr>
          <w:rFonts w:ascii="Segoe UI Symbol" w:eastAsia="Segoe UI Symbol" w:hAnsi="Segoe UI Symbol" w:cs="Segoe UI Symbol"/>
          <w:sz w:val="24"/>
        </w:rPr>
        <w:t xml:space="preserve"> </w:t>
      </w:r>
      <w:r>
        <w:rPr>
          <w:rFonts w:ascii="Segoe UI Symbol" w:eastAsia="Segoe UI Symbol" w:hAnsi="Segoe UI Symbol" w:cs="Segoe UI Symbol"/>
          <w:sz w:val="37"/>
          <w:vertAlign w:val="subscript"/>
        </w:rPr>
        <w:t></w:t>
      </w:r>
    </w:p>
    <w:p w:rsidR="0052701D" w:rsidRDefault="00D40929">
      <w:pPr>
        <w:numPr>
          <w:ilvl w:val="0"/>
          <w:numId w:val="7"/>
        </w:numPr>
        <w:spacing w:after="3"/>
        <w:ind w:hanging="192"/>
        <w:jc w:val="both"/>
      </w:pPr>
      <w:r>
        <w:rPr>
          <w:noProof/>
        </w:rPr>
        <mc:AlternateContent>
          <mc:Choice Requires="wpg">
            <w:drawing>
              <wp:anchor distT="0" distB="0" distL="114300" distR="114300" simplePos="0" relativeHeight="251684864" behindDoc="0" locked="0" layoutInCell="1" allowOverlap="1">
                <wp:simplePos x="0" y="0"/>
                <wp:positionH relativeFrom="column">
                  <wp:posOffset>140636</wp:posOffset>
                </wp:positionH>
                <wp:positionV relativeFrom="paragraph">
                  <wp:posOffset>118760</wp:posOffset>
                </wp:positionV>
                <wp:extent cx="1590864" cy="6154"/>
                <wp:effectExtent l="0" t="0" r="0" b="0"/>
                <wp:wrapNone/>
                <wp:docPr id="914197" name="Group 914197"/>
                <wp:cNvGraphicFramePr/>
                <a:graphic xmlns:a="http://schemas.openxmlformats.org/drawingml/2006/main">
                  <a:graphicData uri="http://schemas.microsoft.com/office/word/2010/wordprocessingGroup">
                    <wpg:wgp>
                      <wpg:cNvGrpSpPr/>
                      <wpg:grpSpPr>
                        <a:xfrm>
                          <a:off x="0" y="0"/>
                          <a:ext cx="1590864" cy="6154"/>
                          <a:chOff x="0" y="0"/>
                          <a:chExt cx="1590864" cy="6154"/>
                        </a:xfrm>
                      </wpg:grpSpPr>
                      <wps:wsp>
                        <wps:cNvPr id="8037" name="Shape 8037"/>
                        <wps:cNvSpPr/>
                        <wps:spPr>
                          <a:xfrm>
                            <a:off x="0" y="0"/>
                            <a:ext cx="813214" cy="0"/>
                          </a:xfrm>
                          <a:custGeom>
                            <a:avLst/>
                            <a:gdLst/>
                            <a:ahLst/>
                            <a:cxnLst/>
                            <a:rect l="0" t="0" r="0" b="0"/>
                            <a:pathLst>
                              <a:path w="813214">
                                <a:moveTo>
                                  <a:pt x="0" y="0"/>
                                </a:moveTo>
                                <a:lnTo>
                                  <a:pt x="813214" y="0"/>
                                </a:lnTo>
                              </a:path>
                            </a:pathLst>
                          </a:custGeom>
                          <a:ln w="6154" cap="flat">
                            <a:round/>
                          </a:ln>
                        </wps:spPr>
                        <wps:style>
                          <a:lnRef idx="1">
                            <a:srgbClr val="000000"/>
                          </a:lnRef>
                          <a:fillRef idx="0">
                            <a:srgbClr val="000000">
                              <a:alpha val="0"/>
                            </a:srgbClr>
                          </a:fillRef>
                          <a:effectRef idx="0">
                            <a:scrgbClr r="0" g="0" b="0"/>
                          </a:effectRef>
                          <a:fontRef idx="none"/>
                        </wps:style>
                        <wps:bodyPr/>
                      </wps:wsp>
                      <wps:wsp>
                        <wps:cNvPr id="8042" name="Shape 8042"/>
                        <wps:cNvSpPr/>
                        <wps:spPr>
                          <a:xfrm>
                            <a:off x="968054" y="0"/>
                            <a:ext cx="622810" cy="0"/>
                          </a:xfrm>
                          <a:custGeom>
                            <a:avLst/>
                            <a:gdLst/>
                            <a:ahLst/>
                            <a:cxnLst/>
                            <a:rect l="0" t="0" r="0" b="0"/>
                            <a:pathLst>
                              <a:path w="622810">
                                <a:moveTo>
                                  <a:pt x="0" y="0"/>
                                </a:moveTo>
                                <a:lnTo>
                                  <a:pt x="622810" y="0"/>
                                </a:lnTo>
                              </a:path>
                            </a:pathLst>
                          </a:custGeom>
                          <a:ln w="6154"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4197" style="width:125.265pt;height:0.484581pt;position:absolute;z-index:1080;mso-position-horizontal-relative:text;mso-position-horizontal:absolute;margin-left:11.0737pt;mso-position-vertical-relative:text;margin-top:9.3512pt;" coordsize="15908,61">
                <v:shape id="Shape 8037" style="position:absolute;width:8132;height:0;left:0;top:0;" coordsize="813214,0" path="m0,0l813214,0">
                  <v:stroke weight="0.484581pt" endcap="flat" joinstyle="round" on="true" color="#000000"/>
                  <v:fill on="false" color="#000000" opacity="0"/>
                </v:shape>
                <v:shape id="Shape 8042" style="position:absolute;width:6228;height:0;left:9680;top:0;" coordsize="622810,0" path="m0,0l622810,0">
                  <v:stroke weight="0.484581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685888" behindDoc="0" locked="0" layoutInCell="1" allowOverlap="1">
                <wp:simplePos x="0" y="0"/>
                <wp:positionH relativeFrom="margin">
                  <wp:posOffset>2896224</wp:posOffset>
                </wp:positionH>
                <wp:positionV relativeFrom="paragraph">
                  <wp:posOffset>118760</wp:posOffset>
                </wp:positionV>
                <wp:extent cx="372387" cy="6154"/>
                <wp:effectExtent l="0" t="0" r="0" b="0"/>
                <wp:wrapSquare wrapText="bothSides"/>
                <wp:docPr id="914198" name="Group 914198"/>
                <wp:cNvGraphicFramePr/>
                <a:graphic xmlns:a="http://schemas.openxmlformats.org/drawingml/2006/main">
                  <a:graphicData uri="http://schemas.microsoft.com/office/word/2010/wordprocessingGroup">
                    <wpg:wgp>
                      <wpg:cNvGrpSpPr/>
                      <wpg:grpSpPr>
                        <a:xfrm>
                          <a:off x="0" y="0"/>
                          <a:ext cx="372387" cy="6154"/>
                          <a:chOff x="0" y="0"/>
                          <a:chExt cx="372387" cy="6154"/>
                        </a:xfrm>
                      </wpg:grpSpPr>
                      <wps:wsp>
                        <wps:cNvPr id="8049" name="Shape 8049"/>
                        <wps:cNvSpPr/>
                        <wps:spPr>
                          <a:xfrm>
                            <a:off x="0" y="0"/>
                            <a:ext cx="372387" cy="0"/>
                          </a:xfrm>
                          <a:custGeom>
                            <a:avLst/>
                            <a:gdLst/>
                            <a:ahLst/>
                            <a:cxnLst/>
                            <a:rect l="0" t="0" r="0" b="0"/>
                            <a:pathLst>
                              <a:path w="372387">
                                <a:moveTo>
                                  <a:pt x="0" y="0"/>
                                </a:moveTo>
                                <a:lnTo>
                                  <a:pt x="372387" y="0"/>
                                </a:lnTo>
                              </a:path>
                            </a:pathLst>
                          </a:custGeom>
                          <a:ln w="6154"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4198" style="width:29.3218pt;height:0.484581pt;position:absolute;mso-position-horizontal-relative:margin;mso-position-horizontal:absolute;margin-left:228.049pt;mso-position-vertical-relative:text;margin-top:9.3512pt;" coordsize="3723,61">
                <v:shape id="Shape 8049" style="position:absolute;width:3723;height:0;left:0;top:0;" coordsize="372387,0" path="m0,0l372387,0">
                  <v:stroke weight="0.484581pt" endcap="flat" joinstyle="round" on="true" color="#000000"/>
                  <v:fill on="false" color="#000000" opacity="0"/>
                </v:shape>
                <w10:wrap type="square"/>
              </v:group>
            </w:pict>
          </mc:Fallback>
        </mc:AlternateContent>
      </w:r>
      <w:r>
        <w:rPr>
          <w:noProof/>
        </w:rPr>
        <mc:AlternateContent>
          <mc:Choice Requires="wpg">
            <w:drawing>
              <wp:anchor distT="0" distB="0" distL="114300" distR="114300" simplePos="0" relativeHeight="251686912" behindDoc="0" locked="0" layoutInCell="1" allowOverlap="1">
                <wp:simplePos x="0" y="0"/>
                <wp:positionH relativeFrom="margin">
                  <wp:posOffset>3906209</wp:posOffset>
                </wp:positionH>
                <wp:positionV relativeFrom="paragraph">
                  <wp:posOffset>118760</wp:posOffset>
                </wp:positionV>
                <wp:extent cx="806289" cy="6154"/>
                <wp:effectExtent l="0" t="0" r="0" b="0"/>
                <wp:wrapSquare wrapText="bothSides"/>
                <wp:docPr id="914199" name="Group 914199"/>
                <wp:cNvGraphicFramePr/>
                <a:graphic xmlns:a="http://schemas.openxmlformats.org/drawingml/2006/main">
                  <a:graphicData uri="http://schemas.microsoft.com/office/word/2010/wordprocessingGroup">
                    <wpg:wgp>
                      <wpg:cNvGrpSpPr/>
                      <wpg:grpSpPr>
                        <a:xfrm>
                          <a:off x="0" y="0"/>
                          <a:ext cx="806289" cy="6154"/>
                          <a:chOff x="0" y="0"/>
                          <a:chExt cx="806289" cy="6154"/>
                        </a:xfrm>
                      </wpg:grpSpPr>
                      <wps:wsp>
                        <wps:cNvPr id="8056" name="Shape 8056"/>
                        <wps:cNvSpPr/>
                        <wps:spPr>
                          <a:xfrm>
                            <a:off x="0" y="0"/>
                            <a:ext cx="806289" cy="0"/>
                          </a:xfrm>
                          <a:custGeom>
                            <a:avLst/>
                            <a:gdLst/>
                            <a:ahLst/>
                            <a:cxnLst/>
                            <a:rect l="0" t="0" r="0" b="0"/>
                            <a:pathLst>
                              <a:path w="806289">
                                <a:moveTo>
                                  <a:pt x="0" y="0"/>
                                </a:moveTo>
                                <a:lnTo>
                                  <a:pt x="806289" y="0"/>
                                </a:lnTo>
                              </a:path>
                            </a:pathLst>
                          </a:custGeom>
                          <a:ln w="6154"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4199" style="width:63.4873pt;height:0.484581pt;position:absolute;mso-position-horizontal-relative:margin;mso-position-horizontal:absolute;margin-left:307.576pt;mso-position-vertical-relative:text;margin-top:9.3512pt;" coordsize="8062,61">
                <v:shape id="Shape 8056" style="position:absolute;width:8062;height:0;left:0;top:0;" coordsize="806289,0" path="m0,0l806289,0">
                  <v:stroke weight="0.484581pt" endcap="flat" joinstyle="round" on="true" color="#000000"/>
                  <v:fill on="false" color="#000000" opacity="0"/>
                </v:shape>
                <w10:wrap type="square"/>
              </v:group>
            </w:pict>
          </mc:Fallback>
        </mc:AlternateContent>
      </w:r>
      <w:r>
        <w:rPr>
          <w:rFonts w:ascii="Times New Roman" w:eastAsia="Times New Roman" w:hAnsi="Times New Roman" w:cs="Times New Roman"/>
          <w:i/>
          <w:sz w:val="24"/>
        </w:rPr>
        <w:t>l</w:t>
      </w:r>
      <w:r>
        <w:rPr>
          <w:rFonts w:ascii="Times New Roman" w:eastAsia="Times New Roman" w:hAnsi="Times New Roman" w:cs="Times New Roman"/>
          <w:sz w:val="24"/>
        </w:rPr>
        <w:t>ln</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Segoe UI Symbol" w:eastAsia="Segoe UI Symbol" w:hAnsi="Segoe UI Symbol" w:cs="Segoe UI Symbol"/>
          <w:sz w:val="25"/>
        </w:rPr>
        <w:t></w:t>
      </w:r>
      <w:r>
        <w:rPr>
          <w:rFonts w:ascii="Times New Roman" w:eastAsia="Times New Roman" w:hAnsi="Times New Roman" w:cs="Times New Roman"/>
          <w:sz w:val="14"/>
        </w:rPr>
        <w:t xml:space="preserve">3 </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l</w:t>
      </w:r>
      <w:r>
        <w:rPr>
          <w:rFonts w:ascii="Segoe UI Symbol" w:eastAsia="Segoe UI Symbol" w:hAnsi="Segoe UI Symbol" w:cs="Segoe UI Symbol"/>
          <w:sz w:val="32"/>
        </w:rPr>
        <w:t></w:t>
      </w:r>
      <w:r>
        <w:rPr>
          <w:rFonts w:ascii="Segoe UI Symbol" w:eastAsia="Segoe UI Symbol" w:hAnsi="Segoe UI Symbol" w:cs="Segoe UI Symbol"/>
          <w:sz w:val="24"/>
        </w:rPr>
        <w:t xml:space="preserve"> </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Segoe UI Symbol" w:eastAsia="Segoe UI Symbol" w:hAnsi="Segoe UI Symbol" w:cs="Segoe UI Symbol"/>
          <w:sz w:val="25"/>
        </w:rPr>
        <w:t></w:t>
      </w:r>
      <w:r>
        <w:rPr>
          <w:rFonts w:ascii="Times New Roman" w:eastAsia="Times New Roman" w:hAnsi="Times New Roman" w:cs="Times New Roman"/>
          <w:i/>
          <w:sz w:val="24"/>
        </w:rPr>
        <w:t>h</w:t>
      </w:r>
      <w:r>
        <w:rPr>
          <w:rFonts w:ascii="Times New Roman" w:eastAsia="Times New Roman" w:hAnsi="Times New Roman" w:cs="Times New Roman"/>
          <w:sz w:val="14"/>
        </w:rPr>
        <w:t>41</w:t>
      </w:r>
      <w:r>
        <w:rPr>
          <w:rFonts w:ascii="Times New Roman" w:eastAsia="Times New Roman" w:hAnsi="Times New Roman" w:cs="Times New Roman"/>
          <w:i/>
          <w:sz w:val="24"/>
        </w:rPr>
        <w:t>l</w:t>
      </w:r>
      <w:r>
        <w:rPr>
          <w:rFonts w:ascii="Segoe UI Symbol" w:eastAsia="Segoe UI Symbol" w:hAnsi="Segoe UI Symbol" w:cs="Segoe UI Symbol"/>
          <w:sz w:val="32"/>
        </w:rPr>
        <w:t></w:t>
      </w:r>
      <w:r>
        <w:rPr>
          <w:rFonts w:ascii="Segoe UI Symbol" w:eastAsia="Segoe UI Symbol" w:hAnsi="Segoe UI Symbol" w:cs="Segoe UI Symbol"/>
          <w:sz w:val="33"/>
        </w:rPr>
        <w:t></w:t>
      </w:r>
      <w:r>
        <w:rPr>
          <w:rFonts w:ascii="Times New Roman" w:eastAsia="Times New Roman" w:hAnsi="Times New Roman" w:cs="Times New Roman"/>
          <w:sz w:val="24"/>
        </w:rPr>
        <w:t>ln</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Segoe UI Symbol" w:eastAsia="Segoe UI Symbol" w:hAnsi="Segoe UI Symbol" w:cs="Segoe UI Symbol"/>
          <w:sz w:val="25"/>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l</w:t>
      </w:r>
      <w:r>
        <w:rPr>
          <w:rFonts w:ascii="Segoe UI Symbol" w:eastAsia="Segoe UI Symbol" w:hAnsi="Segoe UI Symbol" w:cs="Segoe UI Symbol"/>
          <w:sz w:val="32"/>
        </w:rPr>
        <w:t></w:t>
      </w:r>
      <w:r>
        <w:rPr>
          <w:rFonts w:ascii="Segoe UI Symbol" w:eastAsia="Segoe UI Symbol" w:hAnsi="Segoe UI Symbol" w:cs="Segoe UI Symbol"/>
          <w:sz w:val="24"/>
        </w:rPr>
        <w:t></w:t>
      </w:r>
      <w:r>
        <w:rPr>
          <w:rFonts w:ascii="Times New Roman" w:eastAsia="Times New Roman" w:hAnsi="Times New Roman" w:cs="Times New Roman"/>
          <w:sz w:val="24"/>
        </w:rPr>
        <w:t>1</w:t>
      </w:r>
      <w:r>
        <w:rPr>
          <w:rFonts w:ascii="Segoe UI Symbol" w:eastAsia="Segoe UI Symbol" w:hAnsi="Segoe UI Symbol" w:cs="Segoe UI Symbol"/>
          <w:sz w:val="33"/>
        </w:rPr>
        <w:t></w:t>
      </w:r>
      <w:r>
        <w:rPr>
          <w:rFonts w:ascii="Segoe UI Symbol" w:eastAsia="Segoe UI Symbol" w:hAnsi="Segoe UI Symbol" w:cs="Segoe UI Symbol"/>
          <w:sz w:val="24"/>
        </w:rPr>
        <w:t></w:t>
      </w:r>
      <w:r>
        <w:rPr>
          <w:rFonts w:ascii="Segoe UI Symbol" w:eastAsia="Segoe UI Symbol" w:hAnsi="Segoe UI Symbol" w:cs="Segoe UI Symbol"/>
          <w:sz w:val="24"/>
        </w:rPr>
        <w:tab/>
      </w:r>
      <w:r>
        <w:rPr>
          <w:rFonts w:ascii="Times New Roman" w:eastAsia="Times New Roman" w:hAnsi="Times New Roman" w:cs="Times New Roman"/>
          <w:i/>
          <w:sz w:val="24"/>
        </w:rPr>
        <w:t xml:space="preserve">l </w:t>
      </w:r>
      <w:r>
        <w:rPr>
          <w:rFonts w:ascii="Times New Roman" w:eastAsia="Times New Roman" w:hAnsi="Times New Roman" w:cs="Times New Roman"/>
          <w:sz w:val="14"/>
        </w:rPr>
        <w:t xml:space="preserve">5 </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Times New Roman" w:eastAsia="Times New Roman" w:hAnsi="Times New Roman" w:cs="Times New Roman"/>
          <w:sz w:val="24"/>
        </w:rPr>
        <w:t>12</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sz w:val="14"/>
        </w:rPr>
        <w:t xml:space="preserve">2 </w:t>
      </w:r>
      <w:r>
        <w:rPr>
          <w:rFonts w:ascii="Segoe UI Symbol" w:eastAsia="Segoe UI Symbol" w:hAnsi="Segoe UI Symbol" w:cs="Segoe UI Symbol"/>
          <w:sz w:val="38"/>
        </w:rPr>
        <w:t></w:t>
      </w:r>
      <w:r>
        <w:rPr>
          <w:rFonts w:ascii="Times New Roman" w:eastAsia="Times New Roman" w:hAnsi="Times New Roman" w:cs="Times New Roman"/>
          <w:sz w:val="24"/>
        </w:rPr>
        <w:t>1</w:t>
      </w:r>
      <w:r>
        <w:rPr>
          <w:rFonts w:ascii="Segoe UI Symbol" w:eastAsia="Segoe UI Symbol" w:hAnsi="Segoe UI Symbol" w:cs="Segoe UI Symbol"/>
          <w:sz w:val="24"/>
        </w:rPr>
        <w:t></w:t>
      </w:r>
      <w:r>
        <w:rPr>
          <w:rFonts w:ascii="Segoe UI Symbol" w:eastAsia="Segoe UI Symbol" w:hAnsi="Segoe UI Symbol" w:cs="Segoe UI Symbol"/>
          <w:sz w:val="25"/>
        </w:rPr>
        <w:t></w:t>
      </w:r>
      <w:r>
        <w:rPr>
          <w:rFonts w:ascii="Times New Roman" w:eastAsia="Times New Roman" w:hAnsi="Times New Roman" w:cs="Times New Roman"/>
          <w:sz w:val="14"/>
        </w:rPr>
        <w:t xml:space="preserve">2 </w:t>
      </w:r>
      <w:r>
        <w:rPr>
          <w:rFonts w:ascii="Segoe UI Symbol" w:eastAsia="Segoe UI Symbol" w:hAnsi="Segoe UI Symbol" w:cs="Segoe UI Symbol"/>
          <w:sz w:val="38"/>
        </w:rPr>
        <w:t></w:t>
      </w:r>
      <w:r>
        <w:rPr>
          <w:rFonts w:ascii="Segoe UI Symbol" w:eastAsia="Segoe UI Symbol" w:hAnsi="Segoe UI Symbol" w:cs="Segoe UI Symbol"/>
          <w:sz w:val="32"/>
        </w:rPr>
        <w:t></w:t>
      </w:r>
      <w:r>
        <w:rPr>
          <w:rFonts w:ascii="Times New Roman" w:eastAsia="Times New Roman" w:hAnsi="Times New Roman" w:cs="Times New Roman"/>
          <w:sz w:val="24"/>
        </w:rPr>
        <w:t>1</w:t>
      </w:r>
      <w:r>
        <w:rPr>
          <w:rFonts w:ascii="Segoe UI Symbol" w:eastAsia="Segoe UI Symbol" w:hAnsi="Segoe UI Symbol" w:cs="Segoe UI Symbol"/>
          <w:sz w:val="24"/>
        </w:rPr>
        <w:t></w:t>
      </w:r>
      <w:r>
        <w:rPr>
          <w:rFonts w:ascii="Times New Roman" w:eastAsia="Times New Roman" w:hAnsi="Times New Roman" w:cs="Times New Roman"/>
          <w:sz w:val="14"/>
        </w:rPr>
        <w:t xml:space="preserve">4 </w:t>
      </w:r>
      <w:r>
        <w:rPr>
          <w:rFonts w:ascii="Segoe UI Symbol" w:eastAsia="Segoe UI Symbol" w:hAnsi="Segoe UI Symbol" w:cs="Segoe UI Symbol"/>
          <w:sz w:val="25"/>
        </w:rPr>
        <w:t></w:t>
      </w:r>
      <w:r>
        <w:rPr>
          <w:rFonts w:ascii="Segoe UI Symbol" w:eastAsia="Segoe UI Symbol" w:hAnsi="Segoe UI Symbol" w:cs="Segoe UI Symbol"/>
          <w:sz w:val="32"/>
        </w:rPr>
        <w:t></w:t>
      </w:r>
      <w:r>
        <w:rPr>
          <w:rFonts w:ascii="Times New Roman" w:eastAsia="Times New Roman" w:hAnsi="Times New Roman" w:cs="Times New Roman"/>
          <w:sz w:val="24"/>
        </w:rPr>
        <w:t>ln</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Segoe UI Symbol" w:eastAsia="Segoe UI Symbol" w:hAnsi="Segoe UI Symbol" w:cs="Segoe UI Symbol"/>
          <w:sz w:val="25"/>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l</w:t>
      </w:r>
      <w:r>
        <w:rPr>
          <w:rFonts w:ascii="Segoe UI Symbol" w:eastAsia="Segoe UI Symbol" w:hAnsi="Segoe UI Symbol" w:cs="Segoe UI Symbol"/>
          <w:sz w:val="32"/>
        </w:rPr>
        <w:t></w:t>
      </w:r>
      <w:r>
        <w:rPr>
          <w:rFonts w:ascii="Times New Roman" w:eastAsia="Times New Roman" w:hAnsi="Times New Roman" w:cs="Times New Roman"/>
          <w:sz w:val="14"/>
        </w:rPr>
        <w:t xml:space="preserve">2 </w:t>
      </w:r>
      <w:r>
        <w:rPr>
          <w:rFonts w:ascii="Segoe UI Symbol" w:eastAsia="Segoe UI Symbol" w:hAnsi="Segoe UI Symbol" w:cs="Segoe UI Symbol"/>
          <w:sz w:val="24"/>
        </w:rPr>
        <w:t></w:t>
      </w:r>
    </w:p>
    <w:p w:rsidR="0052701D" w:rsidRDefault="00D40929">
      <w:pPr>
        <w:tabs>
          <w:tab w:val="center" w:pos="816"/>
          <w:tab w:val="center" w:pos="2186"/>
          <w:tab w:val="center" w:pos="4928"/>
          <w:tab w:val="center" w:pos="6742"/>
          <w:tab w:val="center" w:pos="8960"/>
        </w:tabs>
        <w:spacing w:after="0"/>
      </w:pPr>
      <w:r>
        <w:tab/>
      </w:r>
      <w:r>
        <w:rPr>
          <w:rFonts w:ascii="Segoe UI Symbol" w:eastAsia="Segoe UI Symbol" w:hAnsi="Segoe UI Symbol" w:cs="Segoe UI Symbol"/>
          <w:sz w:val="32"/>
        </w:rPr>
        <w:t></w:t>
      </w:r>
      <w:r>
        <w:rPr>
          <w:rFonts w:ascii="Segoe UI Symbol" w:eastAsia="Segoe UI Symbol" w:hAnsi="Segoe UI Symbol" w:cs="Segoe UI Symbol"/>
          <w:sz w:val="25"/>
        </w:rPr>
        <w:t></w:t>
      </w:r>
      <w:r>
        <w:rPr>
          <w:rFonts w:ascii="Times New Roman" w:eastAsia="Times New Roman" w:hAnsi="Times New Roman" w:cs="Times New Roman"/>
          <w:i/>
          <w:sz w:val="24"/>
        </w:rPr>
        <w:t>h</w:t>
      </w:r>
      <w:r>
        <w:rPr>
          <w:rFonts w:ascii="Times New Roman" w:eastAsia="Times New Roman" w:hAnsi="Times New Roman" w:cs="Times New Roman"/>
          <w:sz w:val="21"/>
          <w:vertAlign w:val="subscript"/>
        </w:rPr>
        <w:t xml:space="preserve">1 </w:t>
      </w:r>
      <w:r>
        <w:rPr>
          <w:rFonts w:ascii="Segoe UI Symbol" w:eastAsia="Segoe UI Symbol" w:hAnsi="Segoe UI Symbol" w:cs="Segoe UI Symbol"/>
          <w:sz w:val="32"/>
        </w:rPr>
        <w:t></w:t>
      </w:r>
      <w:r>
        <w:rPr>
          <w:rFonts w:ascii="Segoe UI Symbol" w:eastAsia="Segoe UI Symbol" w:hAnsi="Segoe UI Symbol" w:cs="Segoe UI Symbol"/>
          <w:sz w:val="32"/>
        </w:rPr>
        <w:tab/>
      </w:r>
      <w:r>
        <w:rPr>
          <w:rFonts w:ascii="Segoe UI Symbol" w:eastAsia="Segoe UI Symbol" w:hAnsi="Segoe UI Symbol" w:cs="Segoe UI Symbol"/>
          <w:sz w:val="32"/>
        </w:rPr>
        <w:t></w:t>
      </w:r>
      <w:r>
        <w:rPr>
          <w:rFonts w:ascii="Segoe UI Symbol" w:eastAsia="Segoe UI Symbol" w:hAnsi="Segoe UI Symbol" w:cs="Segoe UI Symbol"/>
          <w:sz w:val="25"/>
        </w:rPr>
        <w:t></w:t>
      </w:r>
      <w:r>
        <w:rPr>
          <w:rFonts w:ascii="Times New Roman" w:eastAsia="Times New Roman" w:hAnsi="Times New Roman" w:cs="Times New Roman"/>
          <w:i/>
          <w:sz w:val="24"/>
        </w:rPr>
        <w:t>h</w:t>
      </w:r>
      <w:r>
        <w:rPr>
          <w:rFonts w:ascii="Times New Roman" w:eastAsia="Times New Roman" w:hAnsi="Times New Roman" w:cs="Times New Roman"/>
          <w:sz w:val="21"/>
          <w:vertAlign w:val="subscript"/>
        </w:rPr>
        <w:t xml:space="preserve">1 </w:t>
      </w:r>
      <w:r>
        <w:rPr>
          <w:rFonts w:ascii="Segoe UI Symbol" w:eastAsia="Segoe UI Symbol" w:hAnsi="Segoe UI Symbol" w:cs="Segoe UI Symbol"/>
          <w:sz w:val="32"/>
        </w:rPr>
        <w:t></w:t>
      </w:r>
      <w:r>
        <w:rPr>
          <w:rFonts w:ascii="Segoe UI Symbol" w:eastAsia="Segoe UI Symbol" w:hAnsi="Segoe UI Symbol" w:cs="Segoe UI Symbol"/>
          <w:sz w:val="32"/>
        </w:rPr>
        <w:tab/>
      </w:r>
      <w:r>
        <w:rPr>
          <w:rFonts w:ascii="Segoe UI Symbol" w:eastAsia="Segoe UI Symbol" w:hAnsi="Segoe UI Symbol" w:cs="Segoe UI Symbol"/>
          <w:sz w:val="32"/>
        </w:rPr>
        <w:t></w:t>
      </w:r>
      <w:r>
        <w:rPr>
          <w:rFonts w:ascii="Segoe UI Symbol" w:eastAsia="Segoe UI Symbol" w:hAnsi="Segoe UI Symbol" w:cs="Segoe UI Symbol"/>
          <w:sz w:val="25"/>
        </w:rPr>
        <w:t></w:t>
      </w:r>
      <w:r>
        <w:rPr>
          <w:rFonts w:ascii="Times New Roman" w:eastAsia="Times New Roman" w:hAnsi="Times New Roman" w:cs="Times New Roman"/>
          <w:i/>
          <w:sz w:val="24"/>
        </w:rPr>
        <w:t>h</w:t>
      </w:r>
      <w:r>
        <w:rPr>
          <w:rFonts w:ascii="Times New Roman" w:eastAsia="Times New Roman" w:hAnsi="Times New Roman" w:cs="Times New Roman"/>
          <w:sz w:val="21"/>
          <w:vertAlign w:val="subscript"/>
        </w:rPr>
        <w:t xml:space="preserve">1 </w:t>
      </w:r>
      <w:r>
        <w:rPr>
          <w:rFonts w:ascii="Segoe UI Symbol" w:eastAsia="Segoe UI Symbol" w:hAnsi="Segoe UI Symbol" w:cs="Segoe UI Symbol"/>
          <w:sz w:val="32"/>
        </w:rPr>
        <w:t xml:space="preserve"> </w:t>
      </w:r>
      <w:r>
        <w:rPr>
          <w:rFonts w:ascii="Segoe UI Symbol" w:eastAsia="Segoe UI Symbol" w:hAnsi="Segoe UI Symbol" w:cs="Segoe UI Symbol"/>
          <w:sz w:val="32"/>
          <w:vertAlign w:val="subscript"/>
        </w:rPr>
        <w:t></w:t>
      </w:r>
      <w:r>
        <w:rPr>
          <w:rFonts w:ascii="Segoe UI Symbol" w:eastAsia="Segoe UI Symbol" w:hAnsi="Segoe UI Symbol" w:cs="Segoe UI Symbol"/>
          <w:sz w:val="32"/>
          <w:vertAlign w:val="subscript"/>
        </w:rPr>
        <w:tab/>
      </w:r>
      <w:r>
        <w:rPr>
          <w:rFonts w:ascii="Times New Roman" w:eastAsia="Times New Roman" w:hAnsi="Times New Roman" w:cs="Times New Roman"/>
          <w:i/>
          <w:sz w:val="24"/>
        </w:rPr>
        <w:t>E</w:t>
      </w:r>
      <w:r>
        <w:rPr>
          <w:rFonts w:ascii="Segoe UI Symbol" w:eastAsia="Segoe UI Symbol" w:hAnsi="Segoe UI Symbol" w:cs="Segoe UI Symbol"/>
          <w:sz w:val="32"/>
        </w:rPr>
        <w:t></w:t>
      </w:r>
      <w:r>
        <w:rPr>
          <w:rFonts w:ascii="Segoe UI Symbol" w:eastAsia="Segoe UI Symbol" w:hAnsi="Segoe UI Symbol" w:cs="Segoe UI Symbol"/>
          <w:sz w:val="25"/>
        </w:rPr>
        <w:t></w:t>
      </w:r>
      <w:r>
        <w:rPr>
          <w:rFonts w:ascii="Times New Roman" w:eastAsia="Times New Roman" w:hAnsi="Times New Roman" w:cs="Times New Roman"/>
          <w:i/>
          <w:sz w:val="24"/>
        </w:rPr>
        <w:t>h</w:t>
      </w:r>
      <w:r>
        <w:rPr>
          <w:rFonts w:ascii="Times New Roman" w:eastAsia="Times New Roman" w:hAnsi="Times New Roman" w:cs="Times New Roman"/>
          <w:sz w:val="21"/>
          <w:vertAlign w:val="subscript"/>
        </w:rPr>
        <w:t xml:space="preserve">1 </w:t>
      </w:r>
      <w:r>
        <w:rPr>
          <w:rFonts w:ascii="Segoe UI Symbol" w:eastAsia="Segoe UI Symbol" w:hAnsi="Segoe UI Symbol" w:cs="Segoe UI Symbol"/>
          <w:sz w:val="49"/>
          <w:vertAlign w:val="superscript"/>
        </w:rPr>
        <w:t></w:t>
      </w:r>
      <w:r>
        <w:rPr>
          <w:rFonts w:ascii="Segoe UI Symbol" w:eastAsia="Segoe UI Symbol" w:hAnsi="Segoe UI Symbol" w:cs="Segoe UI Symbol"/>
          <w:sz w:val="49"/>
          <w:vertAlign w:val="superscript"/>
        </w:rPr>
        <w:tab/>
      </w:r>
      <w:r>
        <w:rPr>
          <w:rFonts w:ascii="Times New Roman" w:eastAsia="Times New Roman" w:hAnsi="Times New Roman" w:cs="Times New Roman"/>
          <w:sz w:val="34"/>
          <w:vertAlign w:val="subscript"/>
        </w:rPr>
        <w:t xml:space="preserve"> </w:t>
      </w:r>
    </w:p>
    <w:p w:rsidR="0052701D" w:rsidRDefault="00D40929">
      <w:pPr>
        <w:tabs>
          <w:tab w:val="center" w:pos="1447"/>
          <w:tab w:val="center" w:pos="2494"/>
          <w:tab w:val="center" w:pos="3637"/>
        </w:tabs>
        <w:spacing w:after="74" w:line="248" w:lineRule="auto"/>
      </w:pPr>
      <w:r>
        <w:tab/>
      </w:r>
      <w:r>
        <w:rPr>
          <w:rFonts w:ascii="Segoe UI Symbol" w:eastAsia="Segoe UI Symbol" w:hAnsi="Segoe UI Symbol" w:cs="Segoe UI Symbol"/>
          <w:sz w:val="38"/>
          <w:u w:val="single" w:color="000000"/>
        </w:rPr>
        <w:t></w:t>
      </w:r>
      <w:r>
        <w:rPr>
          <w:rFonts w:ascii="Times New Roman" w:eastAsia="Times New Roman" w:hAnsi="Times New Roman" w:cs="Times New Roman"/>
          <w:sz w:val="24"/>
        </w:rPr>
        <w:t>1</w:t>
      </w:r>
      <w:r>
        <w:rPr>
          <w:rFonts w:ascii="Segoe UI Symbol" w:eastAsia="Segoe UI Symbol" w:hAnsi="Segoe UI Symbol" w:cs="Segoe UI Symbol"/>
          <w:sz w:val="24"/>
        </w:rPr>
        <w:t></w:t>
      </w:r>
      <w:r>
        <w:rPr>
          <w:rFonts w:ascii="Segoe UI Symbol" w:eastAsia="Segoe UI Symbol" w:hAnsi="Segoe UI Symbol" w:cs="Segoe UI Symbol"/>
          <w:sz w:val="25"/>
        </w:rPr>
        <w:t></w:t>
      </w:r>
      <w:r>
        <w:rPr>
          <w:rFonts w:ascii="Times New Roman" w:eastAsia="Times New Roman" w:hAnsi="Times New Roman" w:cs="Times New Roman"/>
          <w:sz w:val="14"/>
        </w:rPr>
        <w:t xml:space="preserve">2 </w:t>
      </w:r>
      <w:r>
        <w:rPr>
          <w:rFonts w:ascii="Segoe UI Symbol" w:eastAsia="Segoe UI Symbol" w:hAnsi="Segoe UI Symbol" w:cs="Segoe UI Symbol"/>
          <w:sz w:val="38"/>
          <w:u w:val="single" w:color="000000"/>
        </w:rPr>
        <w:t></w:t>
      </w:r>
      <w:r>
        <w:rPr>
          <w:rFonts w:ascii="Times New Roman" w:eastAsia="Times New Roman" w:hAnsi="Times New Roman" w:cs="Times New Roman"/>
          <w:sz w:val="14"/>
        </w:rPr>
        <w:t xml:space="preserve">2 </w:t>
      </w:r>
      <w:r>
        <w:rPr>
          <w:rFonts w:ascii="Segoe UI Symbol" w:eastAsia="Segoe UI Symbol" w:hAnsi="Segoe UI Symbol" w:cs="Segoe UI Symbol"/>
          <w:sz w:val="24"/>
        </w:rPr>
        <w:t></w:t>
      </w:r>
      <w:r>
        <w:rPr>
          <w:rFonts w:ascii="Segoe UI Symbol" w:eastAsia="Segoe UI Symbol" w:hAnsi="Segoe UI Symbol" w:cs="Segoe UI Symbol"/>
          <w:sz w:val="24"/>
        </w:rPr>
        <w:tab/>
      </w:r>
      <w:r>
        <w:rPr>
          <w:rFonts w:ascii="Times New Roman" w:eastAsia="Times New Roman" w:hAnsi="Times New Roman" w:cs="Times New Roman"/>
          <w:sz w:val="24"/>
        </w:rPr>
        <w:t>1</w:t>
      </w:r>
      <w:r>
        <w:rPr>
          <w:rFonts w:ascii="Times New Roman" w:eastAsia="Times New Roman" w:hAnsi="Times New Roman" w:cs="Times New Roman"/>
          <w:sz w:val="24"/>
        </w:rPr>
        <w:tab/>
        <w:t>ln</w:t>
      </w:r>
      <w:r>
        <w:rPr>
          <w:rFonts w:ascii="Segoe UI Symbol" w:eastAsia="Segoe UI Symbol" w:hAnsi="Segoe UI Symbol" w:cs="Segoe UI Symbol"/>
          <w:sz w:val="32"/>
        </w:rPr>
        <w:t></w:t>
      </w:r>
      <w:r>
        <w:rPr>
          <w:rFonts w:ascii="Times New Roman" w:eastAsia="Times New Roman" w:hAnsi="Times New Roman" w:cs="Times New Roman"/>
          <w:i/>
          <w:sz w:val="24"/>
        </w:rPr>
        <w:t>h</w:t>
      </w:r>
    </w:p>
    <w:p w:rsidR="0052701D" w:rsidRDefault="00D40929">
      <w:pPr>
        <w:tabs>
          <w:tab w:val="right" w:pos="9246"/>
        </w:tabs>
        <w:spacing w:after="29" w:line="248" w:lineRule="auto"/>
      </w:pPr>
      <w:r>
        <w:rPr>
          <w:noProof/>
        </w:rPr>
        <mc:AlternateContent>
          <mc:Choice Requires="wpg">
            <w:drawing>
              <wp:anchor distT="0" distB="0" distL="114300" distR="114300" simplePos="0" relativeHeight="251687936" behindDoc="0" locked="0" layoutInCell="1" allowOverlap="1">
                <wp:simplePos x="0" y="0"/>
                <wp:positionH relativeFrom="column">
                  <wp:posOffset>1235165</wp:posOffset>
                </wp:positionH>
                <wp:positionV relativeFrom="paragraph">
                  <wp:posOffset>41027</wp:posOffset>
                </wp:positionV>
                <wp:extent cx="2457411" cy="6162"/>
                <wp:effectExtent l="0" t="0" r="0" b="0"/>
                <wp:wrapNone/>
                <wp:docPr id="914200" name="Group 914200"/>
                <wp:cNvGraphicFramePr/>
                <a:graphic xmlns:a="http://schemas.openxmlformats.org/drawingml/2006/main">
                  <a:graphicData uri="http://schemas.microsoft.com/office/word/2010/wordprocessingGroup">
                    <wpg:wgp>
                      <wpg:cNvGrpSpPr/>
                      <wpg:grpSpPr>
                        <a:xfrm>
                          <a:off x="0" y="0"/>
                          <a:ext cx="2457411" cy="6162"/>
                          <a:chOff x="0" y="0"/>
                          <a:chExt cx="2457411" cy="6162"/>
                        </a:xfrm>
                      </wpg:grpSpPr>
                      <wps:wsp>
                        <wps:cNvPr id="8138" name="Shape 8138"/>
                        <wps:cNvSpPr/>
                        <wps:spPr>
                          <a:xfrm>
                            <a:off x="0" y="0"/>
                            <a:ext cx="696590" cy="0"/>
                          </a:xfrm>
                          <a:custGeom>
                            <a:avLst/>
                            <a:gdLst/>
                            <a:ahLst/>
                            <a:cxnLst/>
                            <a:rect l="0" t="0" r="0" b="0"/>
                            <a:pathLst>
                              <a:path w="696590">
                                <a:moveTo>
                                  <a:pt x="0" y="0"/>
                                </a:moveTo>
                                <a:lnTo>
                                  <a:pt x="696590" y="0"/>
                                </a:lnTo>
                              </a:path>
                            </a:pathLst>
                          </a:custGeom>
                          <a:ln w="6162" cap="flat">
                            <a:round/>
                          </a:ln>
                        </wps:spPr>
                        <wps:style>
                          <a:lnRef idx="1">
                            <a:srgbClr val="000000"/>
                          </a:lnRef>
                          <a:fillRef idx="0">
                            <a:srgbClr val="000000">
                              <a:alpha val="0"/>
                            </a:srgbClr>
                          </a:fillRef>
                          <a:effectRef idx="0">
                            <a:scrgbClr r="0" g="0" b="0"/>
                          </a:effectRef>
                          <a:fontRef idx="none"/>
                        </wps:style>
                        <wps:bodyPr/>
                      </wps:wsp>
                      <wps:wsp>
                        <wps:cNvPr id="8143" name="Shape 8143"/>
                        <wps:cNvSpPr/>
                        <wps:spPr>
                          <a:xfrm>
                            <a:off x="944309" y="0"/>
                            <a:ext cx="741038" cy="0"/>
                          </a:xfrm>
                          <a:custGeom>
                            <a:avLst/>
                            <a:gdLst/>
                            <a:ahLst/>
                            <a:cxnLst/>
                            <a:rect l="0" t="0" r="0" b="0"/>
                            <a:pathLst>
                              <a:path w="741038">
                                <a:moveTo>
                                  <a:pt x="0" y="0"/>
                                </a:moveTo>
                                <a:lnTo>
                                  <a:pt x="741038" y="0"/>
                                </a:lnTo>
                              </a:path>
                            </a:pathLst>
                          </a:custGeom>
                          <a:ln w="6162" cap="flat">
                            <a:round/>
                          </a:ln>
                        </wps:spPr>
                        <wps:style>
                          <a:lnRef idx="1">
                            <a:srgbClr val="000000"/>
                          </a:lnRef>
                          <a:fillRef idx="0">
                            <a:srgbClr val="000000">
                              <a:alpha val="0"/>
                            </a:srgbClr>
                          </a:fillRef>
                          <a:effectRef idx="0">
                            <a:scrgbClr r="0" g="0" b="0"/>
                          </a:effectRef>
                          <a:fontRef idx="none"/>
                        </wps:style>
                        <wps:bodyPr/>
                      </wps:wsp>
                      <wps:wsp>
                        <wps:cNvPr id="8146" name="Shape 8146"/>
                        <wps:cNvSpPr/>
                        <wps:spPr>
                          <a:xfrm>
                            <a:off x="1838115" y="0"/>
                            <a:ext cx="619297" cy="0"/>
                          </a:xfrm>
                          <a:custGeom>
                            <a:avLst/>
                            <a:gdLst/>
                            <a:ahLst/>
                            <a:cxnLst/>
                            <a:rect l="0" t="0" r="0" b="0"/>
                            <a:pathLst>
                              <a:path w="619297">
                                <a:moveTo>
                                  <a:pt x="0" y="0"/>
                                </a:moveTo>
                                <a:lnTo>
                                  <a:pt x="619297" y="0"/>
                                </a:lnTo>
                              </a:path>
                            </a:pathLst>
                          </a:custGeom>
                          <a:ln w="6162"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4200" style="width:193.497pt;height:0.485186pt;position:absolute;z-index:1184;mso-position-horizontal-relative:text;mso-position-horizontal:absolute;margin-left:97.2571pt;mso-position-vertical-relative:text;margin-top:3.23047pt;" coordsize="24574,61">
                <v:shape id="Shape 8138" style="position:absolute;width:6965;height:0;left:0;top:0;" coordsize="696590,0" path="m0,0l696590,0">
                  <v:stroke weight="0.485186pt" endcap="flat" joinstyle="round" on="true" color="#000000"/>
                  <v:fill on="false" color="#000000" opacity="0"/>
                </v:shape>
                <v:shape id="Shape 8143" style="position:absolute;width:7410;height:0;left:9443;top:0;" coordsize="741038,0" path="m0,0l741038,0">
                  <v:stroke weight="0.485186pt" endcap="flat" joinstyle="round" on="true" color="#000000"/>
                  <v:fill on="false" color="#000000" opacity="0"/>
                </v:shape>
                <v:shape id="Shape 8146" style="position:absolute;width:6192;height:0;left:18381;top:0;" coordsize="619297,0" path="m0,0l619297,0">
                  <v:stroke weight="0.485186pt" endcap="flat" joinstyle="round" on="true" color="#000000"/>
                  <v:fill on="false" color="#000000" opacity="0"/>
                </v:shape>
              </v:group>
            </w:pict>
          </mc:Fallback>
        </mc:AlternateContent>
      </w:r>
      <w:r>
        <w:rPr>
          <w:rFonts w:ascii="Segoe UI Symbol" w:eastAsia="Segoe UI Symbol" w:hAnsi="Segoe UI Symbol" w:cs="Segoe UI Symbol"/>
          <w:sz w:val="24"/>
        </w:rPr>
        <w:t xml:space="preserve"> </w:t>
      </w:r>
      <w:r>
        <w:rPr>
          <w:rFonts w:ascii="Times New Roman" w:eastAsia="Times New Roman" w:hAnsi="Times New Roman" w:cs="Times New Roman"/>
          <w:sz w:val="24"/>
        </w:rPr>
        <w:t>36</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sz w:val="14"/>
        </w:rPr>
        <w:t xml:space="preserve">0 </w:t>
      </w:r>
      <w:r>
        <w:rPr>
          <w:rFonts w:ascii="Times New Roman" w:eastAsia="Times New Roman" w:hAnsi="Times New Roman" w:cs="Times New Roman"/>
          <w:i/>
          <w:sz w:val="24"/>
        </w:rPr>
        <w:t>RE</w:t>
      </w:r>
      <w:r>
        <w:rPr>
          <w:rFonts w:ascii="Segoe UI Symbol" w:eastAsia="Segoe UI Symbol" w:hAnsi="Segoe UI Symbol" w:cs="Segoe UI Symbol"/>
          <w:sz w:val="32"/>
        </w:rPr>
        <w:t xml:space="preserve"> </w:t>
      </w:r>
      <w:r>
        <w:rPr>
          <w:rFonts w:ascii="Times New Roman" w:eastAsia="Times New Roman" w:hAnsi="Times New Roman" w:cs="Times New Roman"/>
          <w:i/>
          <w:sz w:val="24"/>
        </w:rPr>
        <w:t xml:space="preserve">h </w:t>
      </w:r>
      <w:r>
        <w:rPr>
          <w:rFonts w:ascii="Segoe UI Symbol" w:eastAsia="Segoe UI Symbol" w:hAnsi="Segoe UI Symbol" w:cs="Segoe UI Symbol"/>
          <w:sz w:val="32"/>
        </w:rPr>
        <w:t></w:t>
      </w:r>
      <w:r>
        <w:rPr>
          <w:rFonts w:ascii="Times New Roman" w:eastAsia="Times New Roman" w:hAnsi="Times New Roman" w:cs="Times New Roman"/>
          <w:sz w:val="14"/>
        </w:rPr>
        <w:t xml:space="preserve">4 </w:t>
      </w:r>
      <w:r>
        <w:rPr>
          <w:rFonts w:ascii="Segoe UI Symbol" w:eastAsia="Segoe UI Symbol" w:hAnsi="Segoe UI Symbol" w:cs="Segoe UI Symbol"/>
          <w:sz w:val="24"/>
        </w:rPr>
        <w:t></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i/>
          <w:sz w:val="24"/>
        </w:rPr>
        <w:tab/>
        <w:t>h l</w:t>
      </w:r>
      <w:r>
        <w:rPr>
          <w:rFonts w:ascii="Segoe UI Symbol" w:eastAsia="Segoe UI Symbol" w:hAnsi="Segoe UI Symbol" w:cs="Segoe UI Symbol"/>
          <w:sz w:val="32"/>
        </w:rPr>
        <w:t></w:t>
      </w:r>
      <w:r>
        <w:rPr>
          <w:rFonts w:ascii="Times New Roman" w:eastAsia="Times New Roman" w:hAnsi="Times New Roman" w:cs="Times New Roman"/>
          <w:sz w:val="14"/>
        </w:rPr>
        <w:t xml:space="preserve">2 </w:t>
      </w:r>
      <w:r>
        <w:rPr>
          <w:rFonts w:ascii="Segoe UI Symbol" w:eastAsia="Segoe UI Symbol" w:hAnsi="Segoe UI Symbol" w:cs="Segoe UI Symbol"/>
          <w:sz w:val="24"/>
        </w:rPr>
        <w:t xml:space="preserve"> </w:t>
      </w:r>
      <w:r>
        <w:rPr>
          <w:rFonts w:ascii="Times New Roman" w:eastAsia="Times New Roman" w:hAnsi="Times New Roman" w:cs="Times New Roman"/>
          <w:sz w:val="24"/>
        </w:rPr>
        <w:t xml:space="preserve">2 </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0 0</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i/>
          <w:sz w:val="24"/>
        </w:rPr>
        <w:t>hh</w:t>
      </w:r>
      <w:r>
        <w:rPr>
          <w:rFonts w:ascii="Times New Roman" w:eastAsia="Times New Roman" w:hAnsi="Times New Roman" w:cs="Times New Roman"/>
          <w:sz w:val="14"/>
        </w:rPr>
        <w:t>1</w:t>
      </w:r>
      <w:r>
        <w:rPr>
          <w:rFonts w:ascii="Times New Roman" w:eastAsia="Times New Roman" w:hAnsi="Times New Roman" w:cs="Times New Roman"/>
          <w:i/>
          <w:sz w:val="24"/>
        </w:rPr>
        <w:t>l</w:t>
      </w:r>
      <w:r>
        <w:rPr>
          <w:rFonts w:ascii="Times New Roman" w:eastAsia="Times New Roman" w:hAnsi="Times New Roman" w:cs="Times New Roman"/>
          <w:sz w:val="14"/>
        </w:rPr>
        <w:t>1</w:t>
      </w:r>
      <w:r>
        <w:rPr>
          <w:rFonts w:ascii="Segoe UI Symbol" w:eastAsia="Segoe UI Symbol" w:hAnsi="Segoe UI Symbol" w:cs="Segoe UI Symbol"/>
          <w:sz w:val="32"/>
        </w:rPr>
        <w:t></w:t>
      </w:r>
      <w:r>
        <w:rPr>
          <w:rFonts w:ascii="Times New Roman" w:eastAsia="Times New Roman" w:hAnsi="Times New Roman" w:cs="Times New Roman"/>
          <w:i/>
          <w:sz w:val="24"/>
        </w:rPr>
        <w:t>l</w:t>
      </w:r>
      <w:r>
        <w:rPr>
          <w:rFonts w:ascii="Segoe UI Symbol" w:eastAsia="Segoe UI Symbol" w:hAnsi="Segoe UI Symbol" w:cs="Segoe UI Symbol"/>
          <w:sz w:val="32"/>
        </w:rPr>
        <w:t></w:t>
      </w:r>
      <w:r>
        <w:rPr>
          <w:rFonts w:ascii="Segoe UI Symbol" w:eastAsia="Segoe UI Symbol" w:hAnsi="Segoe UI Symbol" w:cs="Segoe UI Symbol"/>
          <w:sz w:val="24"/>
        </w:rPr>
        <w:t xml:space="preserve"> </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Times New Roman" w:eastAsia="Times New Roman" w:hAnsi="Times New Roman" w:cs="Times New Roman"/>
          <w:sz w:val="24"/>
        </w:rPr>
        <w:t>5</w:t>
      </w:r>
      <w:r>
        <w:rPr>
          <w:rFonts w:ascii="Segoe UI Symbol" w:eastAsia="Segoe UI Symbol" w:hAnsi="Segoe UI Symbol" w:cs="Segoe UI Symbol"/>
          <w:sz w:val="25"/>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l</w:t>
      </w:r>
      <w:r>
        <w:rPr>
          <w:rFonts w:ascii="Segoe UI Symbol" w:eastAsia="Segoe UI Symbol" w:hAnsi="Segoe UI Symbol" w:cs="Segoe UI Symbol"/>
          <w:sz w:val="32"/>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 xml:space="preserve"> </w:t>
      </w:r>
      <w:r>
        <w:rPr>
          <w:rFonts w:ascii="Times New Roman" w:eastAsia="Times New Roman" w:hAnsi="Times New Roman" w:cs="Times New Roman"/>
          <w:sz w:val="24"/>
        </w:rPr>
        <w:t>72</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sz w:val="14"/>
        </w:rPr>
        <w:t xml:space="preserve">1 </w:t>
      </w:r>
      <w:r>
        <w:rPr>
          <w:rFonts w:ascii="Times New Roman" w:eastAsia="Times New Roman" w:hAnsi="Times New Roman" w:cs="Times New Roman"/>
          <w:i/>
          <w:sz w:val="24"/>
        </w:rPr>
        <w:t>ER</w:t>
      </w:r>
      <w:r>
        <w:rPr>
          <w:rFonts w:ascii="Segoe UI Symbol" w:eastAsia="Segoe UI Symbol" w:hAnsi="Segoe UI Symbol" w:cs="Segoe UI Symbol"/>
          <w:sz w:val="38"/>
          <w:u w:val="single" w:color="000000"/>
        </w:rPr>
        <w:t></w:t>
      </w:r>
      <w:r>
        <w:rPr>
          <w:rFonts w:ascii="Times New Roman" w:eastAsia="Times New Roman" w:hAnsi="Times New Roman" w:cs="Times New Roman"/>
          <w:sz w:val="24"/>
        </w:rPr>
        <w:t>1</w:t>
      </w:r>
      <w:r>
        <w:rPr>
          <w:rFonts w:ascii="Segoe UI Symbol" w:eastAsia="Segoe UI Symbol" w:hAnsi="Segoe UI Symbol" w:cs="Segoe UI Symbol"/>
          <w:sz w:val="24"/>
        </w:rPr>
        <w:t></w:t>
      </w:r>
      <w:r>
        <w:rPr>
          <w:rFonts w:ascii="Segoe UI Symbol" w:eastAsia="Segoe UI Symbol" w:hAnsi="Segoe UI Symbol" w:cs="Segoe UI Symbol"/>
          <w:sz w:val="32"/>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i/>
          <w:sz w:val="24"/>
        </w:rPr>
        <w:t>h</w:t>
      </w:r>
      <w:r>
        <w:rPr>
          <w:rFonts w:ascii="Times New Roman" w:eastAsia="Times New Roman" w:hAnsi="Times New Roman" w:cs="Times New Roman"/>
          <w:sz w:val="14"/>
        </w:rPr>
        <w:t>21</w:t>
      </w:r>
      <w:r>
        <w:rPr>
          <w:rFonts w:ascii="Segoe UI Symbol" w:eastAsia="Segoe UI Symbol" w:hAnsi="Segoe UI Symbol" w:cs="Segoe UI Symbol"/>
          <w:sz w:val="38"/>
          <w:u w:val="single" w:color="000000"/>
        </w:rPr>
        <w:t></w:t>
      </w:r>
      <w:r>
        <w:rPr>
          <w:rFonts w:ascii="Segoe UI Symbol" w:eastAsia="Segoe UI Symbol" w:hAnsi="Segoe UI Symbol" w:cs="Segoe UI Symbol"/>
          <w:sz w:val="32"/>
        </w:rPr>
        <w:t></w:t>
      </w:r>
      <w:r>
        <w:rPr>
          <w:rFonts w:ascii="Times New Roman" w:eastAsia="Times New Roman" w:hAnsi="Times New Roman" w:cs="Times New Roman"/>
          <w:sz w:val="14"/>
        </w:rPr>
        <w:t xml:space="preserve">25 </w:t>
      </w:r>
      <w:r>
        <w:rPr>
          <w:rFonts w:ascii="Segoe UI Symbol" w:eastAsia="Segoe UI Symbol" w:hAnsi="Segoe UI Symbol" w:cs="Segoe UI Symbol"/>
          <w:sz w:val="33"/>
        </w:rPr>
        <w:t></w:t>
      </w:r>
      <w:r>
        <w:rPr>
          <w:rFonts w:ascii="Times New Roman" w:eastAsia="Times New Roman" w:hAnsi="Times New Roman" w:cs="Times New Roman"/>
          <w:sz w:val="24"/>
        </w:rPr>
        <w:t>ln</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Segoe UI Symbol" w:eastAsia="Segoe UI Symbol" w:hAnsi="Segoe UI Symbol" w:cs="Segoe UI Symbol"/>
          <w:sz w:val="25"/>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l</w:t>
      </w:r>
      <w:r>
        <w:rPr>
          <w:rFonts w:ascii="Segoe UI Symbol" w:eastAsia="Segoe UI Symbol" w:hAnsi="Segoe UI Symbol" w:cs="Segoe UI Symbol"/>
          <w:sz w:val="32"/>
        </w:rPr>
        <w:t></w:t>
      </w:r>
      <w:r>
        <w:rPr>
          <w:rFonts w:ascii="Times New Roman" w:eastAsia="Times New Roman" w:hAnsi="Times New Roman" w:cs="Times New Roman"/>
          <w:sz w:val="14"/>
        </w:rPr>
        <w:t xml:space="preserve">2 </w:t>
      </w:r>
      <w:r>
        <w:rPr>
          <w:rFonts w:ascii="Segoe UI Symbol" w:eastAsia="Segoe UI Symbol" w:hAnsi="Segoe UI Symbol" w:cs="Segoe UI Symbol"/>
          <w:sz w:val="24"/>
        </w:rPr>
        <w:t></w:t>
      </w:r>
    </w:p>
    <w:p w:rsidR="0052701D" w:rsidRDefault="00D40929">
      <w:pPr>
        <w:spacing w:after="220"/>
        <w:ind w:left="1265" w:firstLine="7"/>
        <w:jc w:val="both"/>
      </w:pPr>
      <w:r>
        <w:rPr>
          <w:rFonts w:ascii="Segoe UI Symbol" w:eastAsia="Segoe UI Symbol" w:hAnsi="Segoe UI Symbol" w:cs="Segoe UI Symbol"/>
          <w:sz w:val="25"/>
        </w:rPr>
        <w:t xml:space="preserve"> </w:t>
      </w:r>
      <w:r>
        <w:rPr>
          <w:rFonts w:ascii="Times New Roman" w:eastAsia="Times New Roman" w:hAnsi="Times New Roman" w:cs="Times New Roman"/>
          <w:sz w:val="14"/>
        </w:rPr>
        <w:t xml:space="preserve">1 </w:t>
      </w:r>
      <w:r>
        <w:rPr>
          <w:rFonts w:ascii="Segoe UI Symbol" w:eastAsia="Segoe UI Symbol" w:hAnsi="Segoe UI Symbol" w:cs="Segoe UI Symbol"/>
          <w:sz w:val="24"/>
        </w:rPr>
        <w:t></w:t>
      </w:r>
      <w:r>
        <w:rPr>
          <w:rFonts w:ascii="Segoe UI Symbol" w:eastAsia="Segoe UI Symbol" w:hAnsi="Segoe UI Symbol" w:cs="Segoe UI Symbol"/>
          <w:sz w:val="24"/>
        </w:rPr>
        <w:t xml:space="preserve"> </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Segoe UI Symbol" w:eastAsia="Segoe UI Symbol" w:hAnsi="Segoe UI Symbol" w:cs="Segoe UI Symbol"/>
          <w:sz w:val="25"/>
        </w:rPr>
        <w:t xml:space="preserve"> </w:t>
      </w:r>
      <w:r>
        <w:rPr>
          <w:rFonts w:ascii="Times New Roman" w:eastAsia="Times New Roman" w:hAnsi="Times New Roman" w:cs="Times New Roman"/>
          <w:sz w:val="14"/>
        </w:rPr>
        <w:t>1</w:t>
      </w:r>
    </w:p>
    <w:p w:rsidR="0052701D" w:rsidRDefault="00D40929">
      <w:pPr>
        <w:tabs>
          <w:tab w:val="center" w:pos="2478"/>
          <w:tab w:val="center" w:pos="3955"/>
          <w:tab w:val="center" w:pos="4585"/>
          <w:tab w:val="center" w:pos="5781"/>
        </w:tabs>
        <w:spacing w:after="110"/>
      </w:pPr>
      <w:r>
        <w:tab/>
      </w:r>
      <w:r>
        <w:rPr>
          <w:rFonts w:ascii="Times New Roman" w:eastAsia="Times New Roman" w:hAnsi="Times New Roman" w:cs="Times New Roman"/>
          <w:i/>
          <w:sz w:val="26"/>
        </w:rPr>
        <w:t>h</w:t>
      </w:r>
      <w:r>
        <w:rPr>
          <w:rFonts w:ascii="Times New Roman" w:eastAsia="Times New Roman" w:hAnsi="Times New Roman" w:cs="Times New Roman"/>
          <w:sz w:val="15"/>
        </w:rPr>
        <w:t xml:space="preserve">0 </w:t>
      </w:r>
      <w:r>
        <w:rPr>
          <w:rFonts w:ascii="Times New Roman" w:eastAsia="Times New Roman" w:hAnsi="Times New Roman" w:cs="Times New Roman"/>
          <w:sz w:val="26"/>
        </w:rPr>
        <w:t>ln</w:t>
      </w:r>
      <w:r>
        <w:rPr>
          <w:rFonts w:ascii="Segoe UI Symbol" w:eastAsia="Segoe UI Symbol" w:hAnsi="Segoe UI Symbol" w:cs="Segoe UI Symbol"/>
          <w:sz w:val="34"/>
        </w:rPr>
        <w:t></w:t>
      </w:r>
      <w:r>
        <w:rPr>
          <w:rFonts w:ascii="Times New Roman" w:eastAsia="Times New Roman" w:hAnsi="Times New Roman" w:cs="Times New Roman"/>
          <w:i/>
          <w:sz w:val="26"/>
        </w:rPr>
        <w:t>h</w:t>
      </w:r>
      <w:r>
        <w:rPr>
          <w:rFonts w:ascii="Times New Roman" w:eastAsia="Times New Roman" w:hAnsi="Times New Roman" w:cs="Times New Roman"/>
          <w:sz w:val="15"/>
        </w:rPr>
        <w:t xml:space="preserve">0 </w:t>
      </w:r>
      <w:r>
        <w:rPr>
          <w:rFonts w:ascii="Segoe UI Symbol" w:eastAsia="Segoe UI Symbol" w:hAnsi="Segoe UI Symbol" w:cs="Segoe UI Symbol"/>
          <w:sz w:val="26"/>
        </w:rPr>
        <w:t></w:t>
      </w:r>
      <w:r>
        <w:rPr>
          <w:rFonts w:ascii="Segoe UI Symbol" w:eastAsia="Segoe UI Symbol" w:hAnsi="Segoe UI Symbol" w:cs="Segoe UI Symbol"/>
          <w:sz w:val="27"/>
        </w:rPr>
        <w:t></w:t>
      </w:r>
      <w:r>
        <w:rPr>
          <w:rFonts w:ascii="Times New Roman" w:eastAsia="Times New Roman" w:hAnsi="Times New Roman" w:cs="Times New Roman"/>
          <w:i/>
          <w:sz w:val="26"/>
        </w:rPr>
        <w:t>h</w:t>
      </w:r>
      <w:r>
        <w:rPr>
          <w:rFonts w:ascii="Times New Roman" w:eastAsia="Times New Roman" w:hAnsi="Times New Roman" w:cs="Times New Roman"/>
          <w:sz w:val="15"/>
        </w:rPr>
        <w:t>1</w:t>
      </w:r>
      <w:r>
        <w:rPr>
          <w:rFonts w:ascii="Times New Roman" w:eastAsia="Times New Roman" w:hAnsi="Times New Roman" w:cs="Times New Roman"/>
          <w:i/>
          <w:sz w:val="26"/>
        </w:rPr>
        <w:t>l</w:t>
      </w:r>
      <w:r>
        <w:rPr>
          <w:rFonts w:ascii="Segoe UI Symbol" w:eastAsia="Segoe UI Symbol" w:hAnsi="Segoe UI Symbol" w:cs="Segoe UI Symbol"/>
          <w:sz w:val="34"/>
        </w:rPr>
        <w:t></w:t>
      </w:r>
      <w:r>
        <w:rPr>
          <w:rFonts w:ascii="Segoe UI Symbol" w:eastAsia="Segoe UI Symbol" w:hAnsi="Segoe UI Symbol" w:cs="Segoe UI Symbol"/>
          <w:sz w:val="34"/>
        </w:rPr>
        <w:tab/>
      </w:r>
      <w:r>
        <w:rPr>
          <w:rFonts w:ascii="Times New Roman" w:eastAsia="Times New Roman" w:hAnsi="Times New Roman" w:cs="Times New Roman"/>
          <w:sz w:val="26"/>
        </w:rPr>
        <w:t>3</w:t>
      </w:r>
      <w:r>
        <w:rPr>
          <w:rFonts w:ascii="Times New Roman" w:eastAsia="Times New Roman" w:hAnsi="Times New Roman" w:cs="Times New Roman"/>
          <w:i/>
          <w:sz w:val="26"/>
        </w:rPr>
        <w:t>h</w:t>
      </w:r>
      <w:r>
        <w:rPr>
          <w:rFonts w:ascii="Times New Roman" w:eastAsia="Times New Roman" w:hAnsi="Times New Roman" w:cs="Times New Roman"/>
          <w:sz w:val="15"/>
        </w:rPr>
        <w:t>0</w:t>
      </w:r>
      <w:r>
        <w:rPr>
          <w:rFonts w:ascii="Times New Roman" w:eastAsia="Times New Roman" w:hAnsi="Times New Roman" w:cs="Times New Roman"/>
          <w:sz w:val="15"/>
        </w:rPr>
        <w:tab/>
      </w:r>
      <w:r>
        <w:rPr>
          <w:rFonts w:ascii="Segoe UI Symbol" w:eastAsia="Segoe UI Symbol" w:hAnsi="Segoe UI Symbol" w:cs="Segoe UI Symbol"/>
          <w:sz w:val="26"/>
        </w:rPr>
        <w:t></w:t>
      </w:r>
      <w:r>
        <w:rPr>
          <w:rFonts w:ascii="Segoe UI Symbol" w:eastAsia="Segoe UI Symbol" w:hAnsi="Segoe UI Symbol" w:cs="Segoe UI Symbol"/>
          <w:sz w:val="26"/>
        </w:rPr>
        <w:tab/>
      </w:r>
      <w:r>
        <w:rPr>
          <w:rFonts w:ascii="Times New Roman" w:eastAsia="Times New Roman" w:hAnsi="Times New Roman" w:cs="Times New Roman"/>
          <w:sz w:val="26"/>
        </w:rPr>
        <w:t>1</w:t>
      </w:r>
    </w:p>
    <w:p w:rsidR="0052701D" w:rsidRDefault="00D40929">
      <w:pPr>
        <w:tabs>
          <w:tab w:val="right" w:pos="9246"/>
        </w:tabs>
        <w:spacing w:after="0"/>
      </w:pPr>
      <w:r>
        <w:rPr>
          <w:noProof/>
        </w:rPr>
        <w:lastRenderedPageBreak/>
        <mc:AlternateContent>
          <mc:Choice Requires="wpg">
            <w:drawing>
              <wp:anchor distT="0" distB="0" distL="114300" distR="114300" simplePos="0" relativeHeight="251688960" behindDoc="0" locked="0" layoutInCell="1" allowOverlap="1">
                <wp:simplePos x="0" y="0"/>
                <wp:positionH relativeFrom="column">
                  <wp:posOffset>1112683</wp:posOffset>
                </wp:positionH>
                <wp:positionV relativeFrom="paragraph">
                  <wp:posOffset>53077</wp:posOffset>
                </wp:positionV>
                <wp:extent cx="1759536" cy="6279"/>
                <wp:effectExtent l="0" t="0" r="0" b="0"/>
                <wp:wrapNone/>
                <wp:docPr id="914201" name="Group 914201"/>
                <wp:cNvGraphicFramePr/>
                <a:graphic xmlns:a="http://schemas.openxmlformats.org/drawingml/2006/main">
                  <a:graphicData uri="http://schemas.microsoft.com/office/word/2010/wordprocessingGroup">
                    <wpg:wgp>
                      <wpg:cNvGrpSpPr/>
                      <wpg:grpSpPr>
                        <a:xfrm>
                          <a:off x="0" y="0"/>
                          <a:ext cx="1759536" cy="6279"/>
                          <a:chOff x="0" y="0"/>
                          <a:chExt cx="1759536" cy="6279"/>
                        </a:xfrm>
                      </wpg:grpSpPr>
                      <wps:wsp>
                        <wps:cNvPr id="8242" name="Shape 8242"/>
                        <wps:cNvSpPr/>
                        <wps:spPr>
                          <a:xfrm>
                            <a:off x="0" y="0"/>
                            <a:ext cx="904525" cy="0"/>
                          </a:xfrm>
                          <a:custGeom>
                            <a:avLst/>
                            <a:gdLst/>
                            <a:ahLst/>
                            <a:cxnLst/>
                            <a:rect l="0" t="0" r="0" b="0"/>
                            <a:pathLst>
                              <a:path w="904525">
                                <a:moveTo>
                                  <a:pt x="0" y="0"/>
                                </a:moveTo>
                                <a:lnTo>
                                  <a:pt x="904525" y="0"/>
                                </a:lnTo>
                              </a:path>
                            </a:pathLst>
                          </a:custGeom>
                          <a:ln w="6279" cap="flat">
                            <a:round/>
                          </a:ln>
                        </wps:spPr>
                        <wps:style>
                          <a:lnRef idx="1">
                            <a:srgbClr val="000000"/>
                          </a:lnRef>
                          <a:fillRef idx="0">
                            <a:srgbClr val="000000">
                              <a:alpha val="0"/>
                            </a:srgbClr>
                          </a:fillRef>
                          <a:effectRef idx="0">
                            <a:scrgbClr r="0" g="0" b="0"/>
                          </a:effectRef>
                          <a:fontRef idx="none"/>
                        </wps:style>
                        <wps:bodyPr/>
                      </wps:wsp>
                      <wps:wsp>
                        <wps:cNvPr id="8245" name="Shape 8245"/>
                        <wps:cNvSpPr/>
                        <wps:spPr>
                          <a:xfrm>
                            <a:off x="1059027" y="0"/>
                            <a:ext cx="700509" cy="0"/>
                          </a:xfrm>
                          <a:custGeom>
                            <a:avLst/>
                            <a:gdLst/>
                            <a:ahLst/>
                            <a:cxnLst/>
                            <a:rect l="0" t="0" r="0" b="0"/>
                            <a:pathLst>
                              <a:path w="700509">
                                <a:moveTo>
                                  <a:pt x="0" y="0"/>
                                </a:moveTo>
                                <a:lnTo>
                                  <a:pt x="700509" y="0"/>
                                </a:lnTo>
                              </a:path>
                            </a:pathLst>
                          </a:custGeom>
                          <a:ln w="6279"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4201" style="width:138.546pt;height:0.494441pt;position:absolute;z-index:1284;mso-position-horizontal-relative:text;mso-position-horizontal:absolute;margin-left:87.6128pt;mso-position-vertical-relative:text;margin-top:4.17932pt;" coordsize="17595,62">
                <v:shape id="Shape 8242" style="position:absolute;width:9045;height:0;left:0;top:0;" coordsize="904525,0" path="m0,0l904525,0">
                  <v:stroke weight="0.494441pt" endcap="flat" joinstyle="round" on="true" color="#000000"/>
                  <v:fill on="false" color="#000000" opacity="0"/>
                </v:shape>
                <v:shape id="Shape 8245" style="position:absolute;width:7005;height:0;left:10590;top:0;" coordsize="700509,0" path="m0,0l700509,0">
                  <v:stroke weight="0.494441pt" endcap="flat" joinstyle="round" on="true" color="#000000"/>
                  <v:fill on="false" color="#000000" opacity="0"/>
                </v:shape>
              </v:group>
            </w:pict>
          </mc:Fallback>
        </mc:AlternateContent>
      </w:r>
      <w:r>
        <w:rPr>
          <w:rFonts w:ascii="Segoe UI Symbol" w:eastAsia="Segoe UI Symbol" w:hAnsi="Segoe UI Symbol" w:cs="Segoe UI Symbol"/>
          <w:sz w:val="26"/>
        </w:rPr>
        <w:t></w:t>
      </w:r>
      <w:r>
        <w:rPr>
          <w:rFonts w:ascii="Times New Roman" w:eastAsia="Times New Roman" w:hAnsi="Times New Roman" w:cs="Times New Roman"/>
          <w:sz w:val="26"/>
        </w:rPr>
        <w:t>2ln</w:t>
      </w:r>
      <w:r>
        <w:rPr>
          <w:rFonts w:ascii="Segoe UI Symbol" w:eastAsia="Segoe UI Symbol" w:hAnsi="Segoe UI Symbol" w:cs="Segoe UI Symbol"/>
          <w:sz w:val="34"/>
        </w:rPr>
        <w:t></w:t>
      </w:r>
      <w:r>
        <w:rPr>
          <w:rFonts w:ascii="Times New Roman" w:eastAsia="Times New Roman" w:hAnsi="Times New Roman" w:cs="Times New Roman"/>
          <w:i/>
          <w:sz w:val="26"/>
        </w:rPr>
        <w:t>h</w:t>
      </w:r>
      <w:r>
        <w:rPr>
          <w:rFonts w:ascii="Times New Roman" w:eastAsia="Times New Roman" w:hAnsi="Times New Roman" w:cs="Times New Roman"/>
          <w:sz w:val="15"/>
        </w:rPr>
        <w:t xml:space="preserve">0 </w:t>
      </w:r>
      <w:r>
        <w:rPr>
          <w:rFonts w:ascii="Segoe UI Symbol" w:eastAsia="Segoe UI Symbol" w:hAnsi="Segoe UI Symbol" w:cs="Segoe UI Symbol"/>
          <w:sz w:val="26"/>
        </w:rPr>
        <w:t></w:t>
      </w:r>
      <w:r>
        <w:rPr>
          <w:rFonts w:ascii="Segoe UI Symbol" w:eastAsia="Segoe UI Symbol" w:hAnsi="Segoe UI Symbol" w:cs="Segoe UI Symbol"/>
          <w:sz w:val="27"/>
        </w:rPr>
        <w:t></w:t>
      </w:r>
      <w:r>
        <w:rPr>
          <w:rFonts w:ascii="Times New Roman" w:eastAsia="Times New Roman" w:hAnsi="Times New Roman" w:cs="Times New Roman"/>
          <w:i/>
          <w:sz w:val="26"/>
        </w:rPr>
        <w:t>h</w:t>
      </w:r>
      <w:r>
        <w:rPr>
          <w:rFonts w:ascii="Times New Roman" w:eastAsia="Times New Roman" w:hAnsi="Times New Roman" w:cs="Times New Roman"/>
          <w:sz w:val="15"/>
        </w:rPr>
        <w:t>1</w:t>
      </w:r>
      <w:r>
        <w:rPr>
          <w:rFonts w:ascii="Times New Roman" w:eastAsia="Times New Roman" w:hAnsi="Times New Roman" w:cs="Times New Roman"/>
          <w:i/>
          <w:sz w:val="26"/>
        </w:rPr>
        <w:t>l</w:t>
      </w:r>
      <w:r>
        <w:rPr>
          <w:rFonts w:ascii="Segoe UI Symbol" w:eastAsia="Segoe UI Symbol" w:hAnsi="Segoe UI Symbol" w:cs="Segoe UI Symbol"/>
          <w:sz w:val="34"/>
        </w:rPr>
        <w:t></w:t>
      </w:r>
      <w:r>
        <w:rPr>
          <w:rFonts w:ascii="Segoe UI Symbol" w:eastAsia="Segoe UI Symbol" w:hAnsi="Segoe UI Symbol" w:cs="Segoe UI Symbol"/>
          <w:sz w:val="26"/>
        </w:rPr>
        <w:t></w:t>
      </w:r>
      <w:r>
        <w:rPr>
          <w:rFonts w:ascii="Segoe UI Symbol" w:eastAsia="Segoe UI Symbol" w:hAnsi="Segoe UI Symbol" w:cs="Segoe UI Symbol"/>
          <w:sz w:val="26"/>
        </w:rPr>
        <w:tab/>
      </w:r>
      <w:r>
        <w:rPr>
          <w:rFonts w:ascii="Segoe UI Symbol" w:eastAsia="Segoe UI Symbol" w:hAnsi="Segoe UI Symbol" w:cs="Segoe UI Symbol"/>
          <w:sz w:val="34"/>
        </w:rPr>
        <w:t></w:t>
      </w:r>
      <w:r>
        <w:rPr>
          <w:rFonts w:ascii="Times New Roman" w:eastAsia="Times New Roman" w:hAnsi="Times New Roman" w:cs="Times New Roman"/>
          <w:i/>
          <w:sz w:val="26"/>
        </w:rPr>
        <w:t>h</w:t>
      </w:r>
      <w:r>
        <w:rPr>
          <w:rFonts w:ascii="Times New Roman" w:eastAsia="Times New Roman" w:hAnsi="Times New Roman" w:cs="Times New Roman"/>
          <w:sz w:val="23"/>
          <w:vertAlign w:val="subscript"/>
        </w:rPr>
        <w:t xml:space="preserve">0 </w:t>
      </w:r>
      <w:r>
        <w:rPr>
          <w:rFonts w:ascii="Segoe UI Symbol" w:eastAsia="Segoe UI Symbol" w:hAnsi="Segoe UI Symbol" w:cs="Segoe UI Symbol"/>
          <w:sz w:val="26"/>
        </w:rPr>
        <w:t></w:t>
      </w:r>
      <w:r>
        <w:rPr>
          <w:rFonts w:ascii="Segoe UI Symbol" w:eastAsia="Segoe UI Symbol" w:hAnsi="Segoe UI Symbol" w:cs="Segoe UI Symbol"/>
          <w:sz w:val="27"/>
        </w:rPr>
        <w:t></w:t>
      </w:r>
      <w:r>
        <w:rPr>
          <w:rFonts w:ascii="Times New Roman" w:eastAsia="Times New Roman" w:hAnsi="Times New Roman" w:cs="Times New Roman"/>
          <w:i/>
          <w:sz w:val="26"/>
        </w:rPr>
        <w:t>h</w:t>
      </w:r>
      <w:r>
        <w:rPr>
          <w:rFonts w:ascii="Times New Roman" w:eastAsia="Times New Roman" w:hAnsi="Times New Roman" w:cs="Times New Roman"/>
          <w:sz w:val="23"/>
          <w:vertAlign w:val="subscript"/>
        </w:rPr>
        <w:t>1</w:t>
      </w:r>
      <w:r>
        <w:rPr>
          <w:rFonts w:ascii="Times New Roman" w:eastAsia="Times New Roman" w:hAnsi="Times New Roman" w:cs="Times New Roman"/>
          <w:i/>
          <w:sz w:val="26"/>
        </w:rPr>
        <w:t>l</w:t>
      </w:r>
      <w:r>
        <w:rPr>
          <w:rFonts w:ascii="Segoe UI Symbol" w:eastAsia="Segoe UI Symbol" w:hAnsi="Segoe UI Symbol" w:cs="Segoe UI Symbol"/>
          <w:sz w:val="34"/>
        </w:rPr>
        <w:t xml:space="preserve"> </w:t>
      </w:r>
      <w:r>
        <w:rPr>
          <w:rFonts w:ascii="Segoe UI Symbol" w:eastAsia="Segoe UI Symbol" w:hAnsi="Segoe UI Symbol" w:cs="Segoe UI Symbol"/>
          <w:sz w:val="26"/>
        </w:rPr>
        <w:t xml:space="preserve"> </w:t>
      </w:r>
      <w:r>
        <w:rPr>
          <w:rFonts w:ascii="Times New Roman" w:eastAsia="Times New Roman" w:hAnsi="Times New Roman" w:cs="Times New Roman"/>
          <w:sz w:val="26"/>
        </w:rPr>
        <w:t>2</w:t>
      </w:r>
      <w:r>
        <w:rPr>
          <w:rFonts w:ascii="Segoe UI Symbol" w:eastAsia="Segoe UI Symbol" w:hAnsi="Segoe UI Symbol" w:cs="Segoe UI Symbol"/>
          <w:sz w:val="34"/>
        </w:rPr>
        <w:t></w:t>
      </w:r>
      <w:r>
        <w:rPr>
          <w:rFonts w:ascii="Times New Roman" w:eastAsia="Times New Roman" w:hAnsi="Times New Roman" w:cs="Times New Roman"/>
          <w:i/>
          <w:sz w:val="26"/>
        </w:rPr>
        <w:t>h</w:t>
      </w:r>
      <w:r>
        <w:rPr>
          <w:rFonts w:ascii="Times New Roman" w:eastAsia="Times New Roman" w:hAnsi="Times New Roman" w:cs="Times New Roman"/>
          <w:sz w:val="23"/>
          <w:vertAlign w:val="subscript"/>
        </w:rPr>
        <w:t xml:space="preserve">0 </w:t>
      </w:r>
      <w:r>
        <w:rPr>
          <w:rFonts w:ascii="Segoe UI Symbol" w:eastAsia="Segoe UI Symbol" w:hAnsi="Segoe UI Symbol" w:cs="Segoe UI Symbol"/>
          <w:sz w:val="26"/>
        </w:rPr>
        <w:t></w:t>
      </w:r>
      <w:r>
        <w:rPr>
          <w:rFonts w:ascii="Segoe UI Symbol" w:eastAsia="Segoe UI Symbol" w:hAnsi="Segoe UI Symbol" w:cs="Segoe UI Symbol"/>
          <w:sz w:val="27"/>
        </w:rPr>
        <w:t></w:t>
      </w:r>
      <w:r>
        <w:rPr>
          <w:rFonts w:ascii="Times New Roman" w:eastAsia="Times New Roman" w:hAnsi="Times New Roman" w:cs="Times New Roman"/>
          <w:i/>
          <w:sz w:val="26"/>
        </w:rPr>
        <w:t>h</w:t>
      </w:r>
      <w:r>
        <w:rPr>
          <w:rFonts w:ascii="Times New Roman" w:eastAsia="Times New Roman" w:hAnsi="Times New Roman" w:cs="Times New Roman"/>
          <w:sz w:val="23"/>
          <w:vertAlign w:val="subscript"/>
        </w:rPr>
        <w:t>1</w:t>
      </w:r>
      <w:r>
        <w:rPr>
          <w:rFonts w:ascii="Times New Roman" w:eastAsia="Times New Roman" w:hAnsi="Times New Roman" w:cs="Times New Roman"/>
          <w:i/>
          <w:sz w:val="26"/>
        </w:rPr>
        <w:t>l</w:t>
      </w:r>
      <w:r>
        <w:rPr>
          <w:rFonts w:ascii="Segoe UI Symbol" w:eastAsia="Segoe UI Symbol" w:hAnsi="Segoe UI Symbol" w:cs="Segoe UI Symbol"/>
          <w:sz w:val="34"/>
        </w:rPr>
        <w:t></w:t>
      </w:r>
      <w:r>
        <w:rPr>
          <w:rFonts w:ascii="Segoe UI Symbol" w:eastAsia="Segoe UI Symbol" w:hAnsi="Segoe UI Symbol" w:cs="Segoe UI Symbol"/>
          <w:sz w:val="26"/>
        </w:rPr>
        <w:t></w:t>
      </w:r>
      <w:r>
        <w:rPr>
          <w:rFonts w:ascii="Segoe UI Symbol" w:eastAsia="Segoe UI Symbol" w:hAnsi="Segoe UI Symbol" w:cs="Segoe UI Symbol"/>
          <w:sz w:val="26"/>
        </w:rPr>
        <w:t></w:t>
      </w:r>
      <w:r>
        <w:rPr>
          <w:rFonts w:ascii="Times New Roman" w:eastAsia="Times New Roman" w:hAnsi="Times New Roman" w:cs="Times New Roman"/>
          <w:sz w:val="26"/>
        </w:rPr>
        <w:t>144</w:t>
      </w:r>
      <w:r>
        <w:rPr>
          <w:rFonts w:ascii="Segoe UI Symbol" w:eastAsia="Segoe UI Symbol" w:hAnsi="Segoe UI Symbol" w:cs="Segoe UI Symbol"/>
          <w:sz w:val="27"/>
        </w:rPr>
        <w:t></w:t>
      </w:r>
      <w:r>
        <w:rPr>
          <w:rFonts w:ascii="Segoe UI Symbol" w:eastAsia="Segoe UI Symbol" w:hAnsi="Segoe UI Symbol" w:cs="Segoe UI Symbol"/>
          <w:sz w:val="27"/>
        </w:rPr>
        <w:t></w:t>
      </w:r>
      <w:r>
        <w:rPr>
          <w:rFonts w:ascii="Times New Roman" w:eastAsia="Times New Roman" w:hAnsi="Times New Roman" w:cs="Times New Roman"/>
          <w:sz w:val="15"/>
        </w:rPr>
        <w:t xml:space="preserve">1 </w:t>
      </w:r>
      <w:r>
        <w:rPr>
          <w:rFonts w:ascii="Times New Roman" w:eastAsia="Times New Roman" w:hAnsi="Times New Roman" w:cs="Times New Roman"/>
          <w:i/>
          <w:sz w:val="26"/>
        </w:rPr>
        <w:t>ER</w:t>
      </w:r>
      <w:r>
        <w:rPr>
          <w:rFonts w:ascii="Segoe UI Symbol" w:eastAsia="Segoe UI Symbol" w:hAnsi="Segoe UI Symbol" w:cs="Segoe UI Symbol"/>
          <w:sz w:val="42"/>
          <w:u w:val="single" w:color="000000"/>
        </w:rPr>
        <w:t xml:space="preserve"> </w:t>
      </w:r>
      <w:r>
        <w:rPr>
          <w:rFonts w:ascii="Segoe UI Symbol" w:eastAsia="Segoe UI Symbol" w:hAnsi="Segoe UI Symbol" w:cs="Segoe UI Symbol"/>
          <w:sz w:val="26"/>
        </w:rPr>
        <w:t></w:t>
      </w:r>
      <w:r>
        <w:rPr>
          <w:rFonts w:ascii="Segoe UI Symbol" w:eastAsia="Segoe UI Symbol" w:hAnsi="Segoe UI Symbol" w:cs="Segoe UI Symbol"/>
          <w:sz w:val="34"/>
        </w:rPr>
        <w:t></w:t>
      </w:r>
      <w:r>
        <w:rPr>
          <w:rFonts w:ascii="Segoe UI Symbol" w:eastAsia="Segoe UI Symbol" w:hAnsi="Segoe UI Symbol" w:cs="Segoe UI Symbol"/>
          <w:sz w:val="27"/>
        </w:rPr>
        <w:t></w:t>
      </w:r>
      <w:r>
        <w:rPr>
          <w:rFonts w:ascii="Segoe UI Symbol" w:eastAsia="Segoe UI Symbol" w:hAnsi="Segoe UI Symbol" w:cs="Segoe UI Symbol"/>
          <w:sz w:val="27"/>
        </w:rPr>
        <w:t></w:t>
      </w:r>
      <w:r>
        <w:rPr>
          <w:rFonts w:ascii="Times New Roman" w:eastAsia="Times New Roman" w:hAnsi="Times New Roman" w:cs="Times New Roman"/>
          <w:i/>
          <w:sz w:val="26"/>
        </w:rPr>
        <w:t>h</w:t>
      </w:r>
      <w:r>
        <w:rPr>
          <w:rFonts w:ascii="Times New Roman" w:eastAsia="Times New Roman" w:hAnsi="Times New Roman" w:cs="Times New Roman"/>
          <w:sz w:val="15"/>
        </w:rPr>
        <w:t>2</w:t>
      </w:r>
      <w:r>
        <w:rPr>
          <w:rFonts w:ascii="Times New Roman" w:eastAsia="Times New Roman" w:hAnsi="Times New Roman" w:cs="Times New Roman"/>
          <w:sz w:val="23"/>
          <w:vertAlign w:val="subscript"/>
        </w:rPr>
        <w:t>1</w:t>
      </w:r>
      <w:r>
        <w:rPr>
          <w:rFonts w:ascii="Segoe UI Symbol" w:eastAsia="Segoe UI Symbol" w:hAnsi="Segoe UI Symbol" w:cs="Segoe UI Symbol"/>
          <w:sz w:val="42"/>
          <w:u w:val="single" w:color="000000"/>
        </w:rPr>
        <w:t></w:t>
      </w:r>
      <w:r>
        <w:rPr>
          <w:rFonts w:ascii="Segoe UI Symbol" w:eastAsia="Segoe UI Symbol" w:hAnsi="Segoe UI Symbol" w:cs="Segoe UI Symbol"/>
          <w:sz w:val="34"/>
        </w:rPr>
        <w:t></w:t>
      </w:r>
      <w:r>
        <w:rPr>
          <w:rFonts w:ascii="Times New Roman" w:eastAsia="Times New Roman" w:hAnsi="Times New Roman" w:cs="Times New Roman"/>
          <w:sz w:val="15"/>
        </w:rPr>
        <w:t xml:space="preserve">24 </w:t>
      </w:r>
      <w:r>
        <w:rPr>
          <w:rFonts w:ascii="Times New Roman" w:eastAsia="Times New Roman" w:hAnsi="Times New Roman" w:cs="Times New Roman"/>
          <w:sz w:val="26"/>
        </w:rPr>
        <w:t>ln</w:t>
      </w:r>
      <w:r>
        <w:rPr>
          <w:rFonts w:ascii="Segoe UI Symbol" w:eastAsia="Segoe UI Symbol" w:hAnsi="Segoe UI Symbol" w:cs="Segoe UI Symbol"/>
          <w:sz w:val="34"/>
        </w:rPr>
        <w:t></w:t>
      </w:r>
      <w:r>
        <w:rPr>
          <w:rFonts w:ascii="Times New Roman" w:eastAsia="Times New Roman" w:hAnsi="Times New Roman" w:cs="Times New Roman"/>
          <w:i/>
          <w:sz w:val="26"/>
        </w:rPr>
        <w:t>h</w:t>
      </w:r>
      <w:r>
        <w:rPr>
          <w:rFonts w:ascii="Times New Roman" w:eastAsia="Times New Roman" w:hAnsi="Times New Roman" w:cs="Times New Roman"/>
          <w:sz w:val="15"/>
        </w:rPr>
        <w:t xml:space="preserve">0 </w:t>
      </w:r>
      <w:r>
        <w:rPr>
          <w:rFonts w:ascii="Segoe UI Symbol" w:eastAsia="Segoe UI Symbol" w:hAnsi="Segoe UI Symbol" w:cs="Segoe UI Symbol"/>
          <w:sz w:val="26"/>
        </w:rPr>
        <w:t></w:t>
      </w:r>
      <w:r>
        <w:rPr>
          <w:rFonts w:ascii="Segoe UI Symbol" w:eastAsia="Segoe UI Symbol" w:hAnsi="Segoe UI Symbol" w:cs="Segoe UI Symbol"/>
          <w:sz w:val="27"/>
        </w:rPr>
        <w:t></w:t>
      </w:r>
      <w:r>
        <w:rPr>
          <w:rFonts w:ascii="Times New Roman" w:eastAsia="Times New Roman" w:hAnsi="Times New Roman" w:cs="Times New Roman"/>
          <w:i/>
          <w:sz w:val="26"/>
        </w:rPr>
        <w:t>h</w:t>
      </w:r>
      <w:r>
        <w:rPr>
          <w:rFonts w:ascii="Times New Roman" w:eastAsia="Times New Roman" w:hAnsi="Times New Roman" w:cs="Times New Roman"/>
          <w:sz w:val="15"/>
        </w:rPr>
        <w:t>1</w:t>
      </w:r>
      <w:r>
        <w:rPr>
          <w:rFonts w:ascii="Times New Roman" w:eastAsia="Times New Roman" w:hAnsi="Times New Roman" w:cs="Times New Roman"/>
          <w:i/>
          <w:sz w:val="26"/>
        </w:rPr>
        <w:t>l</w:t>
      </w:r>
      <w:r>
        <w:rPr>
          <w:rFonts w:ascii="Segoe UI Symbol" w:eastAsia="Segoe UI Symbol" w:hAnsi="Segoe UI Symbol" w:cs="Segoe UI Symbol"/>
          <w:sz w:val="34"/>
        </w:rPr>
        <w:t></w:t>
      </w:r>
      <w:r>
        <w:rPr>
          <w:rFonts w:ascii="Times New Roman" w:eastAsia="Times New Roman" w:hAnsi="Times New Roman" w:cs="Times New Roman"/>
          <w:sz w:val="15"/>
        </w:rPr>
        <w:t xml:space="preserve">2 </w:t>
      </w:r>
      <w:r>
        <w:rPr>
          <w:rFonts w:ascii="Segoe UI Symbol" w:eastAsia="Segoe UI Symbol" w:hAnsi="Segoe UI Symbol" w:cs="Segoe UI Symbol"/>
          <w:sz w:val="26"/>
        </w:rPr>
        <w:t></w:t>
      </w:r>
      <w:r>
        <w:rPr>
          <w:rFonts w:ascii="Times New Roman" w:eastAsia="Times New Roman" w:hAnsi="Times New Roman" w:cs="Times New Roman"/>
          <w:sz w:val="26"/>
        </w:rPr>
        <w:t>6</w:t>
      </w:r>
      <w:r>
        <w:rPr>
          <w:rFonts w:ascii="Segoe UI Symbol" w:eastAsia="Segoe UI Symbol" w:hAnsi="Segoe UI Symbol" w:cs="Segoe UI Symbol"/>
          <w:sz w:val="42"/>
          <w:u w:val="single" w:color="000000"/>
        </w:rPr>
        <w:t></w:t>
      </w:r>
      <w:r>
        <w:rPr>
          <w:rFonts w:ascii="Times New Roman" w:eastAsia="Times New Roman" w:hAnsi="Times New Roman" w:cs="Times New Roman"/>
          <w:sz w:val="26"/>
        </w:rPr>
        <w:t>1</w:t>
      </w:r>
      <w:r>
        <w:rPr>
          <w:rFonts w:ascii="Segoe UI Symbol" w:eastAsia="Segoe UI Symbol" w:hAnsi="Segoe UI Symbol" w:cs="Segoe UI Symbol"/>
          <w:sz w:val="26"/>
        </w:rPr>
        <w:t></w:t>
      </w:r>
      <w:r>
        <w:rPr>
          <w:rFonts w:ascii="Times New Roman" w:eastAsia="Times New Roman" w:hAnsi="Times New Roman" w:cs="Times New Roman"/>
          <w:i/>
          <w:sz w:val="26"/>
        </w:rPr>
        <w:t>R</w:t>
      </w:r>
      <w:r>
        <w:rPr>
          <w:rFonts w:ascii="Segoe UI Symbol" w:eastAsia="Segoe UI Symbol" w:hAnsi="Segoe UI Symbol" w:cs="Segoe UI Symbol"/>
          <w:sz w:val="27"/>
        </w:rPr>
        <w:t></w:t>
      </w:r>
      <w:r>
        <w:rPr>
          <w:rFonts w:ascii="Times New Roman" w:eastAsia="Times New Roman" w:hAnsi="Times New Roman" w:cs="Times New Roman"/>
          <w:sz w:val="15"/>
        </w:rPr>
        <w:t>2 2</w:t>
      </w:r>
      <w:r>
        <w:rPr>
          <w:rFonts w:ascii="Segoe UI Symbol" w:eastAsia="Segoe UI Symbol" w:hAnsi="Segoe UI Symbol" w:cs="Segoe UI Symbol"/>
          <w:sz w:val="42"/>
          <w:u w:val="single" w:color="000000"/>
        </w:rPr>
        <w:t></w:t>
      </w:r>
      <w:r>
        <w:rPr>
          <w:rFonts w:ascii="Segoe UI Symbol" w:eastAsia="Segoe UI Symbol" w:hAnsi="Segoe UI Symbol" w:cs="Segoe UI Symbol"/>
          <w:sz w:val="26"/>
        </w:rPr>
        <w:t></w:t>
      </w:r>
      <w:r>
        <w:rPr>
          <w:rFonts w:ascii="Times New Roman" w:eastAsia="Times New Roman" w:hAnsi="Times New Roman" w:cs="Times New Roman"/>
        </w:rPr>
        <w:t xml:space="preserve"> </w:t>
      </w:r>
    </w:p>
    <w:p w:rsidR="0052701D" w:rsidRDefault="00D40929">
      <w:pPr>
        <w:spacing w:after="0"/>
        <w:ind w:right="76"/>
        <w:jc w:val="center"/>
      </w:pPr>
      <w:r>
        <w:rPr>
          <w:rFonts w:ascii="Segoe UI Symbol" w:eastAsia="Segoe UI Symbol" w:hAnsi="Segoe UI Symbol" w:cs="Segoe UI Symbol"/>
          <w:sz w:val="26"/>
        </w:rPr>
        <w:t></w:t>
      </w:r>
    </w:p>
    <w:p w:rsidR="0052701D" w:rsidRDefault="0052701D">
      <w:pPr>
        <w:sectPr w:rsidR="0052701D">
          <w:footnotePr>
            <w:numRestart w:val="eachPage"/>
          </w:footnotePr>
          <w:type w:val="continuous"/>
          <w:pgSz w:w="11909" w:h="16834"/>
          <w:pgMar w:top="967" w:right="1246" w:bottom="972" w:left="1416" w:header="720" w:footer="720" w:gutter="0"/>
          <w:cols w:space="720"/>
        </w:sectPr>
      </w:pPr>
    </w:p>
    <w:p w:rsidR="0052701D" w:rsidRDefault="00D40929">
      <w:pPr>
        <w:tabs>
          <w:tab w:val="center" w:pos="1159"/>
          <w:tab w:val="center" w:pos="1714"/>
          <w:tab w:val="center" w:pos="4202"/>
          <w:tab w:val="center" w:pos="4758"/>
          <w:tab w:val="center" w:pos="5421"/>
          <w:tab w:val="center" w:pos="6024"/>
          <w:tab w:val="center" w:pos="7827"/>
        </w:tabs>
        <w:spacing w:after="29" w:line="248" w:lineRule="auto"/>
      </w:pPr>
      <w:r>
        <w:tab/>
      </w:r>
      <w:r>
        <w:rPr>
          <w:rFonts w:ascii="Segoe UI Symbol" w:eastAsia="Segoe UI Symbol" w:hAnsi="Segoe UI Symbol" w:cs="Segoe UI Symbol"/>
          <w:sz w:val="38"/>
        </w:rPr>
        <w:t></w:t>
      </w:r>
      <w:r>
        <w:rPr>
          <w:rFonts w:ascii="Times New Roman" w:eastAsia="Times New Roman" w:hAnsi="Times New Roman" w:cs="Times New Roman"/>
          <w:sz w:val="24"/>
        </w:rPr>
        <w:t>1</w:t>
      </w:r>
      <w:r>
        <w:rPr>
          <w:rFonts w:ascii="Times New Roman" w:eastAsia="Times New Roman" w:hAnsi="Times New Roman" w:cs="Times New Roman"/>
          <w:sz w:val="24"/>
        </w:rPr>
        <w:tab/>
      </w:r>
      <w:r>
        <w:rPr>
          <w:rFonts w:ascii="Times New Roman" w:eastAsia="Times New Roman" w:hAnsi="Times New Roman" w:cs="Times New Roman"/>
          <w:sz w:val="21"/>
          <w:vertAlign w:val="superscript"/>
        </w:rPr>
        <w:t xml:space="preserve">2 </w:t>
      </w:r>
      <w:r>
        <w:rPr>
          <w:rFonts w:ascii="Segoe UI Symbol" w:eastAsia="Segoe UI Symbol" w:hAnsi="Segoe UI Symbol" w:cs="Segoe UI Symbol"/>
          <w:sz w:val="38"/>
        </w:rPr>
        <w:t></w:t>
      </w:r>
      <w:r>
        <w:rPr>
          <w:rFonts w:ascii="Times New Roman" w:eastAsia="Times New Roman" w:hAnsi="Times New Roman" w:cs="Times New Roman"/>
          <w:sz w:val="21"/>
          <w:vertAlign w:val="superscript"/>
        </w:rPr>
        <w:t>2</w:t>
      </w:r>
      <w:r>
        <w:rPr>
          <w:rFonts w:ascii="Times New Roman" w:eastAsia="Times New Roman" w:hAnsi="Times New Roman" w:cs="Times New Roman"/>
          <w:sz w:val="21"/>
          <w:vertAlign w:val="superscript"/>
        </w:rPr>
        <w:tab/>
      </w:r>
      <w:r>
        <w:rPr>
          <w:rFonts w:ascii="Segoe UI Symbol" w:eastAsia="Segoe UI Symbol" w:hAnsi="Segoe UI Symbol" w:cs="Segoe UI Symbol"/>
          <w:sz w:val="38"/>
        </w:rPr>
        <w:t></w:t>
      </w:r>
      <w:r>
        <w:rPr>
          <w:rFonts w:ascii="Times New Roman" w:eastAsia="Times New Roman" w:hAnsi="Times New Roman" w:cs="Times New Roman"/>
          <w:sz w:val="24"/>
        </w:rPr>
        <w:t>1</w:t>
      </w:r>
      <w:r>
        <w:rPr>
          <w:rFonts w:ascii="Times New Roman" w:eastAsia="Times New Roman" w:hAnsi="Times New Roman" w:cs="Times New Roman"/>
          <w:sz w:val="24"/>
        </w:rPr>
        <w:tab/>
      </w:r>
      <w:r>
        <w:rPr>
          <w:rFonts w:ascii="Times New Roman" w:eastAsia="Times New Roman" w:hAnsi="Times New Roman" w:cs="Times New Roman"/>
          <w:sz w:val="21"/>
          <w:vertAlign w:val="superscript"/>
        </w:rPr>
        <w:t xml:space="preserve">2 </w:t>
      </w:r>
      <w:r>
        <w:rPr>
          <w:rFonts w:ascii="Segoe UI Symbol" w:eastAsia="Segoe UI Symbol" w:hAnsi="Segoe UI Symbol" w:cs="Segoe UI Symbol"/>
          <w:sz w:val="38"/>
        </w:rPr>
        <w:t></w:t>
      </w:r>
      <w:r>
        <w:rPr>
          <w:rFonts w:ascii="Times New Roman" w:eastAsia="Times New Roman" w:hAnsi="Times New Roman" w:cs="Times New Roman"/>
          <w:sz w:val="21"/>
          <w:vertAlign w:val="superscript"/>
        </w:rPr>
        <w:t>2</w:t>
      </w:r>
      <w:r>
        <w:rPr>
          <w:rFonts w:ascii="Times New Roman" w:eastAsia="Times New Roman" w:hAnsi="Times New Roman" w:cs="Times New Roman"/>
          <w:sz w:val="21"/>
          <w:vertAlign w:val="superscript"/>
        </w:rPr>
        <w:tab/>
      </w:r>
      <w:r>
        <w:rPr>
          <w:rFonts w:ascii="Times New Roman" w:eastAsia="Times New Roman" w:hAnsi="Times New Roman" w:cs="Times New Roman"/>
          <w:sz w:val="24"/>
        </w:rPr>
        <w:t xml:space="preserve">ln </w:t>
      </w:r>
      <w:r>
        <w:rPr>
          <w:rFonts w:ascii="Times New Roman" w:eastAsia="Times New Roman" w:hAnsi="Times New Roman" w:cs="Times New Roman"/>
          <w:i/>
          <w:sz w:val="24"/>
        </w:rPr>
        <w:t>h</w:t>
      </w:r>
      <w:r>
        <w:rPr>
          <w:rFonts w:ascii="Times New Roman" w:eastAsia="Times New Roman" w:hAnsi="Times New Roman" w:cs="Times New Roman"/>
          <w:i/>
          <w:sz w:val="24"/>
        </w:rPr>
        <w:tab/>
      </w:r>
      <w:r>
        <w:rPr>
          <w:rFonts w:ascii="Times New Roman" w:eastAsia="Times New Roman" w:hAnsi="Times New Roman" w:cs="Times New Roman"/>
          <w:sz w:val="24"/>
        </w:rPr>
        <w:t>3</w:t>
      </w:r>
      <w:r>
        <w:rPr>
          <w:rFonts w:ascii="Times New Roman" w:eastAsia="Times New Roman" w:hAnsi="Times New Roman" w:cs="Times New Roman"/>
          <w:sz w:val="24"/>
        </w:rPr>
        <w:tab/>
      </w:r>
      <w:r>
        <w:rPr>
          <w:rFonts w:ascii="Segoe UI Symbol" w:eastAsia="Segoe UI Symbol" w:hAnsi="Segoe UI Symbol" w:cs="Segoe UI Symbol"/>
          <w:sz w:val="38"/>
          <w:u w:val="single" w:color="000000"/>
        </w:rPr>
        <w:t></w:t>
      </w:r>
      <w:r>
        <w:rPr>
          <w:rFonts w:ascii="Times New Roman" w:eastAsia="Times New Roman" w:hAnsi="Times New Roman" w:cs="Times New Roman"/>
          <w:sz w:val="24"/>
        </w:rPr>
        <w:t>1</w:t>
      </w:r>
      <w:r>
        <w:rPr>
          <w:rFonts w:ascii="Segoe UI Symbol" w:eastAsia="Segoe UI Symbol" w:hAnsi="Segoe UI Symbol" w:cs="Segoe UI Symbol"/>
          <w:sz w:val="37"/>
          <w:vertAlign w:val="subscript"/>
        </w:rPr>
        <w:t></w:t>
      </w:r>
      <w:r>
        <w:rPr>
          <w:rFonts w:ascii="Segoe UI Symbol" w:eastAsia="Segoe UI Symbol" w:hAnsi="Segoe UI Symbol" w:cs="Segoe UI Symbol"/>
          <w:sz w:val="39"/>
          <w:vertAlign w:val="subscript"/>
        </w:rPr>
        <w:t></w:t>
      </w:r>
      <w:r>
        <w:rPr>
          <w:rFonts w:ascii="Times New Roman" w:eastAsia="Times New Roman" w:hAnsi="Times New Roman" w:cs="Times New Roman"/>
          <w:sz w:val="21"/>
          <w:vertAlign w:val="superscript"/>
        </w:rPr>
        <w:t xml:space="preserve">2 </w:t>
      </w:r>
      <w:r>
        <w:rPr>
          <w:rFonts w:ascii="Segoe UI Symbol" w:eastAsia="Segoe UI Symbol" w:hAnsi="Segoe UI Symbol" w:cs="Segoe UI Symbol"/>
          <w:sz w:val="38"/>
          <w:u w:val="single" w:color="000000"/>
        </w:rPr>
        <w:t></w:t>
      </w:r>
      <w:r>
        <w:rPr>
          <w:rFonts w:ascii="Times New Roman" w:eastAsia="Times New Roman" w:hAnsi="Times New Roman" w:cs="Times New Roman"/>
          <w:sz w:val="21"/>
          <w:vertAlign w:val="superscript"/>
        </w:rPr>
        <w:t xml:space="preserve">2 </w:t>
      </w:r>
      <w:r>
        <w:rPr>
          <w:rFonts w:ascii="Times New Roman" w:eastAsia="Times New Roman" w:hAnsi="Times New Roman" w:cs="Times New Roman"/>
          <w:sz w:val="24"/>
        </w:rPr>
        <w:t xml:space="preserve">ln </w:t>
      </w:r>
      <w:r>
        <w:rPr>
          <w:rFonts w:ascii="Times New Roman" w:eastAsia="Times New Roman" w:hAnsi="Times New Roman" w:cs="Times New Roman"/>
          <w:i/>
          <w:sz w:val="24"/>
        </w:rPr>
        <w:t>h</w:t>
      </w:r>
    </w:p>
    <w:p w:rsidR="0052701D" w:rsidRDefault="00D40929">
      <w:pPr>
        <w:spacing w:after="0" w:line="268" w:lineRule="auto"/>
        <w:ind w:left="33" w:hanging="10"/>
      </w:pPr>
      <w:r>
        <w:rPr>
          <w:rFonts w:ascii="Segoe UI Symbol" w:eastAsia="Segoe UI Symbol" w:hAnsi="Segoe UI Symbol" w:cs="Segoe UI Symbol"/>
          <w:sz w:val="25"/>
        </w:rPr>
        <w:t></w:t>
      </w:r>
      <w:r>
        <w:rPr>
          <w:rFonts w:ascii="Segoe UI Symbol" w:eastAsia="Segoe UI Symbol" w:hAnsi="Segoe UI Symbol" w:cs="Segoe UI Symbol"/>
          <w:sz w:val="38"/>
        </w:rPr>
        <w:t></w:t>
      </w:r>
    </w:p>
    <w:p w:rsidR="0052701D" w:rsidRDefault="00D40929">
      <w:pPr>
        <w:spacing w:after="782" w:line="268" w:lineRule="auto"/>
        <w:ind w:left="229" w:hanging="10"/>
      </w:pPr>
      <w:r>
        <w:rPr>
          <w:noProof/>
        </w:rPr>
        <mc:AlternateContent>
          <mc:Choice Requires="wpg">
            <w:drawing>
              <wp:anchor distT="0" distB="0" distL="114300" distR="114300" simplePos="0" relativeHeight="251689984" behindDoc="0" locked="0" layoutInCell="1" allowOverlap="1">
                <wp:simplePos x="0" y="0"/>
                <wp:positionH relativeFrom="column">
                  <wp:posOffset>1785697</wp:posOffset>
                </wp:positionH>
                <wp:positionV relativeFrom="paragraph">
                  <wp:posOffset>16505</wp:posOffset>
                </wp:positionV>
                <wp:extent cx="3797846" cy="6324"/>
                <wp:effectExtent l="0" t="0" r="0" b="0"/>
                <wp:wrapNone/>
                <wp:docPr id="917480" name="Group 917480"/>
                <wp:cNvGraphicFramePr/>
                <a:graphic xmlns:a="http://schemas.openxmlformats.org/drawingml/2006/main">
                  <a:graphicData uri="http://schemas.microsoft.com/office/word/2010/wordprocessingGroup">
                    <wpg:wgp>
                      <wpg:cNvGrpSpPr/>
                      <wpg:grpSpPr>
                        <a:xfrm>
                          <a:off x="0" y="0"/>
                          <a:ext cx="3797846" cy="6324"/>
                          <a:chOff x="0" y="0"/>
                          <a:chExt cx="3797846" cy="6324"/>
                        </a:xfrm>
                      </wpg:grpSpPr>
                      <wps:wsp>
                        <wps:cNvPr id="8343" name="Shape 8343"/>
                        <wps:cNvSpPr/>
                        <wps:spPr>
                          <a:xfrm>
                            <a:off x="0" y="0"/>
                            <a:ext cx="300642" cy="0"/>
                          </a:xfrm>
                          <a:custGeom>
                            <a:avLst/>
                            <a:gdLst/>
                            <a:ahLst/>
                            <a:cxnLst/>
                            <a:rect l="0" t="0" r="0" b="0"/>
                            <a:pathLst>
                              <a:path w="300642">
                                <a:moveTo>
                                  <a:pt x="0" y="0"/>
                                </a:moveTo>
                                <a:lnTo>
                                  <a:pt x="300642" y="0"/>
                                </a:lnTo>
                              </a:path>
                            </a:pathLst>
                          </a:custGeom>
                          <a:ln w="6324" cap="flat">
                            <a:round/>
                          </a:ln>
                        </wps:spPr>
                        <wps:style>
                          <a:lnRef idx="1">
                            <a:srgbClr val="000000"/>
                          </a:lnRef>
                          <a:fillRef idx="0">
                            <a:srgbClr val="000000">
                              <a:alpha val="0"/>
                            </a:srgbClr>
                          </a:fillRef>
                          <a:effectRef idx="0">
                            <a:scrgbClr r="0" g="0" b="0"/>
                          </a:effectRef>
                          <a:fontRef idx="none"/>
                        </wps:style>
                        <wps:bodyPr/>
                      </wps:wsp>
                      <wps:wsp>
                        <wps:cNvPr id="8346" name="Shape 8346"/>
                        <wps:cNvSpPr/>
                        <wps:spPr>
                          <a:xfrm>
                            <a:off x="377236" y="0"/>
                            <a:ext cx="625753" cy="0"/>
                          </a:xfrm>
                          <a:custGeom>
                            <a:avLst/>
                            <a:gdLst/>
                            <a:ahLst/>
                            <a:cxnLst/>
                            <a:rect l="0" t="0" r="0" b="0"/>
                            <a:pathLst>
                              <a:path w="625753">
                                <a:moveTo>
                                  <a:pt x="0" y="0"/>
                                </a:moveTo>
                                <a:lnTo>
                                  <a:pt x="625753" y="0"/>
                                </a:lnTo>
                              </a:path>
                            </a:pathLst>
                          </a:custGeom>
                          <a:ln w="6324" cap="flat">
                            <a:round/>
                          </a:ln>
                        </wps:spPr>
                        <wps:style>
                          <a:lnRef idx="1">
                            <a:srgbClr val="000000"/>
                          </a:lnRef>
                          <a:fillRef idx="0">
                            <a:srgbClr val="000000">
                              <a:alpha val="0"/>
                            </a:srgbClr>
                          </a:fillRef>
                          <a:effectRef idx="0">
                            <a:scrgbClr r="0" g="0" b="0"/>
                          </a:effectRef>
                          <a:fontRef idx="none"/>
                        </wps:style>
                        <wps:bodyPr/>
                      </wps:wsp>
                      <wps:wsp>
                        <wps:cNvPr id="8349" name="Shape 8349"/>
                        <wps:cNvSpPr/>
                        <wps:spPr>
                          <a:xfrm>
                            <a:off x="1155794" y="0"/>
                            <a:ext cx="723757" cy="0"/>
                          </a:xfrm>
                          <a:custGeom>
                            <a:avLst/>
                            <a:gdLst/>
                            <a:ahLst/>
                            <a:cxnLst/>
                            <a:rect l="0" t="0" r="0" b="0"/>
                            <a:pathLst>
                              <a:path w="723757">
                                <a:moveTo>
                                  <a:pt x="0" y="0"/>
                                </a:moveTo>
                                <a:lnTo>
                                  <a:pt x="723757" y="0"/>
                                </a:lnTo>
                              </a:path>
                            </a:pathLst>
                          </a:custGeom>
                          <a:ln w="6324" cap="flat">
                            <a:round/>
                          </a:ln>
                        </wps:spPr>
                        <wps:style>
                          <a:lnRef idx="1">
                            <a:srgbClr val="000000"/>
                          </a:lnRef>
                          <a:fillRef idx="0">
                            <a:srgbClr val="000000">
                              <a:alpha val="0"/>
                            </a:srgbClr>
                          </a:fillRef>
                          <a:effectRef idx="0">
                            <a:scrgbClr r="0" g="0" b="0"/>
                          </a:effectRef>
                          <a:fontRef idx="none"/>
                        </wps:style>
                        <wps:bodyPr/>
                      </wps:wsp>
                      <wps:wsp>
                        <wps:cNvPr id="8356" name="Shape 8356"/>
                        <wps:cNvSpPr/>
                        <wps:spPr>
                          <a:xfrm>
                            <a:off x="2099648" y="0"/>
                            <a:ext cx="1244368" cy="0"/>
                          </a:xfrm>
                          <a:custGeom>
                            <a:avLst/>
                            <a:gdLst/>
                            <a:ahLst/>
                            <a:cxnLst/>
                            <a:rect l="0" t="0" r="0" b="0"/>
                            <a:pathLst>
                              <a:path w="1244368">
                                <a:moveTo>
                                  <a:pt x="0" y="0"/>
                                </a:moveTo>
                                <a:lnTo>
                                  <a:pt x="1244368" y="0"/>
                                </a:lnTo>
                              </a:path>
                            </a:pathLst>
                          </a:custGeom>
                          <a:ln w="6324" cap="flat">
                            <a:round/>
                          </a:ln>
                        </wps:spPr>
                        <wps:style>
                          <a:lnRef idx="1">
                            <a:srgbClr val="000000"/>
                          </a:lnRef>
                          <a:fillRef idx="0">
                            <a:srgbClr val="000000">
                              <a:alpha val="0"/>
                            </a:srgbClr>
                          </a:fillRef>
                          <a:effectRef idx="0">
                            <a:scrgbClr r="0" g="0" b="0"/>
                          </a:effectRef>
                          <a:fontRef idx="none"/>
                        </wps:style>
                        <wps:bodyPr/>
                      </wps:wsp>
                      <wps:wsp>
                        <wps:cNvPr id="8359" name="Shape 8359"/>
                        <wps:cNvSpPr/>
                        <wps:spPr>
                          <a:xfrm>
                            <a:off x="3497077" y="0"/>
                            <a:ext cx="300768" cy="0"/>
                          </a:xfrm>
                          <a:custGeom>
                            <a:avLst/>
                            <a:gdLst/>
                            <a:ahLst/>
                            <a:cxnLst/>
                            <a:rect l="0" t="0" r="0" b="0"/>
                            <a:pathLst>
                              <a:path w="300768">
                                <a:moveTo>
                                  <a:pt x="0" y="0"/>
                                </a:moveTo>
                                <a:lnTo>
                                  <a:pt x="300768" y="0"/>
                                </a:lnTo>
                              </a:path>
                            </a:pathLst>
                          </a:custGeom>
                          <a:ln w="6324"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7480" style="width:299.043pt;height:0.497987pt;position:absolute;z-index:13;mso-position-horizontal-relative:text;mso-position-horizontal:absolute;margin-left:140.606pt;mso-position-vertical-relative:text;margin-top:1.2996pt;" coordsize="37978,63">
                <v:shape id="Shape 8343" style="position:absolute;width:3006;height:0;left:0;top:0;" coordsize="300642,0" path="m0,0l300642,0">
                  <v:stroke weight="0.497987pt" endcap="flat" joinstyle="round" on="true" color="#000000"/>
                  <v:fill on="false" color="#000000" opacity="0"/>
                </v:shape>
                <v:shape id="Shape 8346" style="position:absolute;width:6257;height:0;left:3772;top:0;" coordsize="625753,0" path="m0,0l625753,0">
                  <v:stroke weight="0.497987pt" endcap="flat" joinstyle="round" on="true" color="#000000"/>
                  <v:fill on="false" color="#000000" opacity="0"/>
                </v:shape>
                <v:shape id="Shape 8349" style="position:absolute;width:7237;height:0;left:11557;top:0;" coordsize="723757,0" path="m0,0l723757,0">
                  <v:stroke weight="0.497987pt" endcap="flat" joinstyle="round" on="true" color="#000000"/>
                  <v:fill on="false" color="#000000" opacity="0"/>
                </v:shape>
                <v:shape id="Shape 8356" style="position:absolute;width:12443;height:0;left:20996;top:0;" coordsize="1244368,0" path="m0,0l1244368,0">
                  <v:stroke weight="0.497987pt" endcap="flat" joinstyle="round" on="true" color="#000000"/>
                  <v:fill on="false" color="#000000" opacity="0"/>
                </v:shape>
                <v:shape id="Shape 8359" style="position:absolute;width:3007;height:0;left:34970;top:0;" coordsize="300768,0" path="m0,0l300768,0">
                  <v:stroke weight="0.497987pt" endcap="flat" joinstyle="round" on="true" color="#000000"/>
                  <v:fill on="false" color="#000000" opacity="0"/>
                </v:shape>
              </v:group>
            </w:pict>
          </mc:Fallback>
        </mc:AlternateContent>
      </w:r>
      <w:r>
        <w:rPr>
          <w:rFonts w:ascii="Times New Roman" w:eastAsia="Times New Roman" w:hAnsi="Times New Roman" w:cs="Times New Roman"/>
          <w:i/>
          <w:sz w:val="15"/>
        </w:rPr>
        <w:t>k</w:t>
      </w:r>
      <w:r>
        <w:rPr>
          <w:rFonts w:ascii="Times New Roman" w:eastAsia="Times New Roman" w:hAnsi="Times New Roman" w:cs="Times New Roman"/>
          <w:i/>
          <w:sz w:val="23"/>
          <w:vertAlign w:val="superscript"/>
        </w:rPr>
        <w:t>n</w:t>
      </w:r>
      <w:r>
        <w:rPr>
          <w:rFonts w:ascii="Segoe UI Symbol" w:eastAsia="Segoe UI Symbol" w:hAnsi="Segoe UI Symbol" w:cs="Segoe UI Symbol"/>
          <w:sz w:val="15"/>
        </w:rPr>
        <w:t></w:t>
      </w:r>
      <w:r>
        <w:rPr>
          <w:rFonts w:ascii="Times New Roman" w:eastAsia="Times New Roman" w:hAnsi="Times New Roman" w:cs="Times New Roman"/>
          <w:sz w:val="15"/>
        </w:rPr>
        <w:t xml:space="preserve">1 </w:t>
      </w:r>
      <w:r>
        <w:rPr>
          <w:rFonts w:ascii="Segoe UI Symbol" w:eastAsia="Segoe UI Symbol" w:hAnsi="Segoe UI Symbol" w:cs="Segoe UI Symbol"/>
          <w:sz w:val="33"/>
        </w:rPr>
        <w:t></w:t>
      </w:r>
      <w:r>
        <w:rPr>
          <w:rFonts w:ascii="Times New Roman" w:eastAsia="Times New Roman" w:hAnsi="Times New Roman" w:cs="Times New Roman"/>
          <w:i/>
          <w:sz w:val="25"/>
        </w:rPr>
        <w:t>z</w:t>
      </w:r>
      <w:r>
        <w:rPr>
          <w:rFonts w:ascii="Times New Roman" w:eastAsia="Times New Roman" w:hAnsi="Times New Roman" w:cs="Times New Roman"/>
          <w:i/>
          <w:sz w:val="15"/>
        </w:rPr>
        <w:t xml:space="preserve">k </w:t>
      </w:r>
      <w:r>
        <w:rPr>
          <w:rFonts w:ascii="Segoe UI Symbol" w:eastAsia="Segoe UI Symbol" w:hAnsi="Segoe UI Symbol" w:cs="Segoe UI Symbol"/>
          <w:sz w:val="25"/>
        </w:rPr>
        <w:t xml:space="preserve"> </w:t>
      </w:r>
      <w:r>
        <w:rPr>
          <w:rFonts w:ascii="Times New Roman" w:eastAsia="Times New Roman" w:hAnsi="Times New Roman" w:cs="Times New Roman"/>
          <w:i/>
          <w:sz w:val="25"/>
        </w:rPr>
        <w:t>z</w:t>
      </w:r>
      <w:r>
        <w:rPr>
          <w:rFonts w:ascii="Times New Roman" w:eastAsia="Times New Roman" w:hAnsi="Times New Roman" w:cs="Times New Roman"/>
          <w:i/>
          <w:sz w:val="15"/>
        </w:rPr>
        <w:t>k</w:t>
      </w:r>
      <w:r>
        <w:rPr>
          <w:rFonts w:ascii="Segoe UI Symbol" w:eastAsia="Segoe UI Symbol" w:hAnsi="Segoe UI Symbol" w:cs="Segoe UI Symbol"/>
          <w:sz w:val="15"/>
        </w:rPr>
        <w:t></w:t>
      </w:r>
      <w:r>
        <w:rPr>
          <w:rFonts w:ascii="Times New Roman" w:eastAsia="Times New Roman" w:hAnsi="Times New Roman" w:cs="Times New Roman"/>
          <w:sz w:val="15"/>
        </w:rPr>
        <w:t>1</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Times New Roman" w:eastAsia="Times New Roman" w:hAnsi="Times New Roman" w:cs="Times New Roman"/>
          <w:i/>
          <w:sz w:val="15"/>
        </w:rPr>
        <w:t xml:space="preserve">k </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33"/>
        </w:rPr>
        <w:t></w:t>
      </w:r>
      <w:r>
        <w:rPr>
          <w:rFonts w:ascii="Segoe UI Symbol" w:eastAsia="Segoe UI Symbol" w:hAnsi="Segoe UI Symbol" w:cs="Segoe UI Symbol"/>
          <w:sz w:val="27"/>
        </w:rPr>
        <w:t></w:t>
      </w:r>
      <w:r>
        <w:rPr>
          <w:rFonts w:ascii="Times New Roman" w:eastAsia="Times New Roman" w:hAnsi="Times New Roman" w:cs="Times New Roman"/>
          <w:sz w:val="25"/>
        </w:rPr>
        <w:t>1</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Times New Roman" w:eastAsia="Times New Roman" w:hAnsi="Times New Roman" w:cs="Times New Roman"/>
          <w:sz w:val="25"/>
        </w:rPr>
        <w:t>1</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l</w:t>
      </w:r>
      <w:r>
        <w:rPr>
          <w:rFonts w:ascii="Segoe UI Symbol" w:eastAsia="Segoe UI Symbol" w:hAnsi="Segoe UI Symbol" w:cs="Segoe UI Symbol"/>
          <w:sz w:val="33"/>
        </w:rPr>
        <w:t></w:t>
      </w:r>
      <w:r>
        <w:rPr>
          <w:rFonts w:ascii="Segoe UI Symbol" w:eastAsia="Segoe UI Symbol" w:hAnsi="Segoe UI Symbol" w:cs="Segoe UI Symbol"/>
          <w:sz w:val="25"/>
        </w:rPr>
        <w:t xml:space="preserve"> </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Segoe UI Symbol" w:eastAsia="Segoe UI Symbol" w:hAnsi="Segoe UI Symbol" w:cs="Segoe UI Symbol"/>
          <w:sz w:val="27"/>
        </w:rPr>
        <w:t></w:t>
      </w:r>
      <w:r>
        <w:rPr>
          <w:rFonts w:ascii="Times New Roman" w:eastAsia="Times New Roman" w:hAnsi="Times New Roman" w:cs="Times New Roman"/>
          <w:sz w:val="25"/>
        </w:rPr>
        <w:t>1</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Times New Roman" w:eastAsia="Times New Roman" w:hAnsi="Times New Roman" w:cs="Times New Roman"/>
          <w:i/>
          <w:sz w:val="15"/>
        </w:rPr>
        <w:t xml:space="preserve">k </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 xml:space="preserve"> </w:t>
      </w:r>
      <w:r>
        <w:rPr>
          <w:rFonts w:ascii="Times New Roman" w:eastAsia="Times New Roman" w:hAnsi="Times New Roman" w:cs="Times New Roman"/>
          <w:sz w:val="25"/>
        </w:rPr>
        <w:t>2</w:t>
      </w:r>
      <w:r>
        <w:rPr>
          <w:rFonts w:ascii="Segoe UI Symbol" w:eastAsia="Segoe UI Symbol" w:hAnsi="Segoe UI Symbol" w:cs="Segoe UI Symbol"/>
          <w:sz w:val="33"/>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2</w:t>
      </w:r>
      <w:r>
        <w:rPr>
          <w:rFonts w:ascii="Times New Roman" w:eastAsia="Times New Roman" w:hAnsi="Times New Roman" w:cs="Times New Roman"/>
          <w:sz w:val="23"/>
          <w:vertAlign w:val="subscript"/>
        </w:rPr>
        <w:t>0</w:t>
      </w:r>
      <w:r>
        <w:rPr>
          <w:rFonts w:ascii="Segoe UI Symbol" w:eastAsia="Segoe UI Symbol" w:hAnsi="Segoe UI Symbol" w:cs="Segoe UI Symbol"/>
          <w:sz w:val="33"/>
        </w:rPr>
        <w:t></w:t>
      </w:r>
      <w:r>
        <w:rPr>
          <w:rFonts w:ascii="Segoe UI Symbol" w:eastAsia="Segoe UI Symbol" w:hAnsi="Segoe UI Symbol" w:cs="Segoe UI Symbol"/>
          <w:sz w:val="33"/>
        </w:rPr>
        <w:t></w:t>
      </w:r>
      <w:r>
        <w:rPr>
          <w:rFonts w:ascii="Times New Roman" w:eastAsia="Times New Roman" w:hAnsi="Times New Roman" w:cs="Times New Roman"/>
          <w:i/>
          <w:sz w:val="25"/>
        </w:rPr>
        <w:t>hl</w:t>
      </w:r>
      <w:r>
        <w:rPr>
          <w:rFonts w:ascii="Times New Roman" w:eastAsia="Times New Roman" w:hAnsi="Times New Roman" w:cs="Times New Roman"/>
          <w:sz w:val="15"/>
        </w:rPr>
        <w:t>0</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i/>
          <w:sz w:val="25"/>
        </w:rPr>
        <w:t>z</w:t>
      </w:r>
      <w:r>
        <w:rPr>
          <w:rFonts w:ascii="Segoe UI Symbol" w:eastAsia="Segoe UI Symbol" w:hAnsi="Segoe UI Symbol" w:cs="Segoe UI Symbol"/>
          <w:sz w:val="27"/>
        </w:rPr>
        <w:t></w:t>
      </w:r>
      <w:r>
        <w:rPr>
          <w:rFonts w:ascii="Times New Roman" w:eastAsia="Times New Roman" w:hAnsi="Times New Roman" w:cs="Times New Roman"/>
          <w:i/>
          <w:sz w:val="23"/>
          <w:vertAlign w:val="subscript"/>
        </w:rPr>
        <w:t>k</w:t>
      </w:r>
      <w:r>
        <w:rPr>
          <w:rFonts w:ascii="Times New Roman" w:eastAsia="Times New Roman" w:hAnsi="Times New Roman" w:cs="Times New Roman"/>
          <w:i/>
          <w:sz w:val="25"/>
        </w:rPr>
        <w:t>h</w:t>
      </w:r>
      <w:r>
        <w:rPr>
          <w:rFonts w:ascii="Segoe UI Symbol" w:eastAsia="Segoe UI Symbol" w:hAnsi="Segoe UI Symbol" w:cs="Segoe UI Symbol"/>
          <w:sz w:val="33"/>
        </w:rPr>
        <w:t></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Times New Roman" w:eastAsia="Times New Roman" w:hAnsi="Times New Roman" w:cs="Times New Roman"/>
          <w:i/>
          <w:sz w:val="15"/>
        </w:rPr>
        <w:t xml:space="preserve">k </w:t>
      </w:r>
      <w:r>
        <w:rPr>
          <w:rFonts w:ascii="Segoe UI Symbol" w:eastAsia="Segoe UI Symbol" w:hAnsi="Segoe UI Symbol" w:cs="Segoe UI Symbol"/>
          <w:sz w:val="33"/>
        </w:rPr>
        <w:t></w:t>
      </w:r>
      <w:r>
        <w:rPr>
          <w:rFonts w:ascii="Times New Roman" w:eastAsia="Times New Roman" w:hAnsi="Times New Roman" w:cs="Times New Roman"/>
          <w:sz w:val="15"/>
        </w:rPr>
        <w:t xml:space="preserve">2 </w:t>
      </w:r>
      <w:r>
        <w:rPr>
          <w:rFonts w:ascii="Segoe UI Symbol" w:eastAsia="Segoe UI Symbol" w:hAnsi="Segoe UI Symbol" w:cs="Segoe UI Symbol"/>
          <w:sz w:val="25"/>
        </w:rPr>
        <w:t xml:space="preserve"> </w:t>
      </w:r>
      <w:r>
        <w:rPr>
          <w:rFonts w:ascii="Segoe UI Symbol" w:eastAsia="Segoe UI Symbol" w:hAnsi="Segoe UI Symbol" w:cs="Segoe UI Symbol"/>
          <w:sz w:val="33"/>
        </w:rPr>
        <w:t></w:t>
      </w:r>
      <w:r>
        <w:rPr>
          <w:rFonts w:ascii="Segoe UI Symbol" w:eastAsia="Segoe UI Symbol" w:hAnsi="Segoe UI Symbol" w:cs="Segoe UI Symbol"/>
          <w:sz w:val="27"/>
        </w:rPr>
        <w:t></w:t>
      </w:r>
      <w:r>
        <w:rPr>
          <w:rFonts w:ascii="Times New Roman" w:eastAsia="Times New Roman" w:hAnsi="Times New Roman" w:cs="Times New Roman"/>
          <w:sz w:val="25"/>
        </w:rPr>
        <w:t>1</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Times New Roman" w:eastAsia="Times New Roman" w:hAnsi="Times New Roman" w:cs="Times New Roman"/>
        </w:rPr>
        <w:t xml:space="preserve"> </w:t>
      </w:r>
    </w:p>
    <w:p w:rsidR="0052701D" w:rsidRDefault="00D40929">
      <w:pPr>
        <w:spacing w:after="813"/>
        <w:ind w:left="33" w:hanging="10"/>
      </w:pPr>
      <w:r>
        <w:rPr>
          <w:noProof/>
        </w:rPr>
        <mc:AlternateContent>
          <mc:Choice Requires="wpg">
            <w:drawing>
              <wp:anchor distT="0" distB="0" distL="114300" distR="114300" simplePos="0" relativeHeight="251691008" behindDoc="0" locked="0" layoutInCell="1" allowOverlap="1">
                <wp:simplePos x="0" y="0"/>
                <wp:positionH relativeFrom="column">
                  <wp:posOffset>190489</wp:posOffset>
                </wp:positionH>
                <wp:positionV relativeFrom="paragraph">
                  <wp:posOffset>11524</wp:posOffset>
                </wp:positionV>
                <wp:extent cx="5531575" cy="5901"/>
                <wp:effectExtent l="0" t="0" r="0" b="0"/>
                <wp:wrapNone/>
                <wp:docPr id="917481" name="Group 917481"/>
                <wp:cNvGraphicFramePr/>
                <a:graphic xmlns:a="http://schemas.openxmlformats.org/drawingml/2006/main">
                  <a:graphicData uri="http://schemas.microsoft.com/office/word/2010/wordprocessingGroup">
                    <wpg:wgp>
                      <wpg:cNvGrpSpPr/>
                      <wpg:grpSpPr>
                        <a:xfrm>
                          <a:off x="0" y="0"/>
                          <a:ext cx="5531575" cy="5901"/>
                          <a:chOff x="0" y="0"/>
                          <a:chExt cx="5531575" cy="5901"/>
                        </a:xfrm>
                      </wpg:grpSpPr>
                      <wps:wsp>
                        <wps:cNvPr id="8446" name="Shape 8446"/>
                        <wps:cNvSpPr/>
                        <wps:spPr>
                          <a:xfrm>
                            <a:off x="0" y="0"/>
                            <a:ext cx="622432" cy="0"/>
                          </a:xfrm>
                          <a:custGeom>
                            <a:avLst/>
                            <a:gdLst/>
                            <a:ahLst/>
                            <a:cxnLst/>
                            <a:rect l="0" t="0" r="0" b="0"/>
                            <a:pathLst>
                              <a:path w="622432">
                                <a:moveTo>
                                  <a:pt x="0" y="0"/>
                                </a:moveTo>
                                <a:lnTo>
                                  <a:pt x="622432" y="0"/>
                                </a:lnTo>
                              </a:path>
                            </a:pathLst>
                          </a:custGeom>
                          <a:ln w="5901" cap="flat">
                            <a:round/>
                          </a:ln>
                        </wps:spPr>
                        <wps:style>
                          <a:lnRef idx="1">
                            <a:srgbClr val="000000"/>
                          </a:lnRef>
                          <a:fillRef idx="0">
                            <a:srgbClr val="000000">
                              <a:alpha val="0"/>
                            </a:srgbClr>
                          </a:fillRef>
                          <a:effectRef idx="0">
                            <a:scrgbClr r="0" g="0" b="0"/>
                          </a:effectRef>
                          <a:fontRef idx="none"/>
                        </wps:style>
                        <wps:bodyPr/>
                      </wps:wsp>
                      <wps:wsp>
                        <wps:cNvPr id="8449" name="Shape 8449"/>
                        <wps:cNvSpPr/>
                        <wps:spPr>
                          <a:xfrm>
                            <a:off x="774346" y="0"/>
                            <a:ext cx="719723" cy="0"/>
                          </a:xfrm>
                          <a:custGeom>
                            <a:avLst/>
                            <a:gdLst/>
                            <a:ahLst/>
                            <a:cxnLst/>
                            <a:rect l="0" t="0" r="0" b="0"/>
                            <a:pathLst>
                              <a:path w="719723">
                                <a:moveTo>
                                  <a:pt x="0" y="0"/>
                                </a:moveTo>
                                <a:lnTo>
                                  <a:pt x="719723" y="0"/>
                                </a:lnTo>
                              </a:path>
                            </a:pathLst>
                          </a:custGeom>
                          <a:ln w="5901" cap="flat">
                            <a:round/>
                          </a:ln>
                        </wps:spPr>
                        <wps:style>
                          <a:lnRef idx="1">
                            <a:srgbClr val="000000"/>
                          </a:lnRef>
                          <a:fillRef idx="0">
                            <a:srgbClr val="000000">
                              <a:alpha val="0"/>
                            </a:srgbClr>
                          </a:fillRef>
                          <a:effectRef idx="0">
                            <a:scrgbClr r="0" g="0" b="0"/>
                          </a:effectRef>
                          <a:fontRef idx="none"/>
                        </wps:style>
                        <wps:bodyPr/>
                      </wps:wsp>
                      <wps:wsp>
                        <wps:cNvPr id="8452" name="Shape 8452"/>
                        <wps:cNvSpPr/>
                        <wps:spPr>
                          <a:xfrm>
                            <a:off x="1715064" y="0"/>
                            <a:ext cx="370393" cy="0"/>
                          </a:xfrm>
                          <a:custGeom>
                            <a:avLst/>
                            <a:gdLst/>
                            <a:ahLst/>
                            <a:cxnLst/>
                            <a:rect l="0" t="0" r="0" b="0"/>
                            <a:pathLst>
                              <a:path w="370393">
                                <a:moveTo>
                                  <a:pt x="0" y="0"/>
                                </a:moveTo>
                                <a:lnTo>
                                  <a:pt x="370393" y="0"/>
                                </a:lnTo>
                              </a:path>
                            </a:pathLst>
                          </a:custGeom>
                          <a:ln w="5901" cap="flat">
                            <a:round/>
                          </a:ln>
                        </wps:spPr>
                        <wps:style>
                          <a:lnRef idx="1">
                            <a:srgbClr val="000000"/>
                          </a:lnRef>
                          <a:fillRef idx="0">
                            <a:srgbClr val="000000">
                              <a:alpha val="0"/>
                            </a:srgbClr>
                          </a:fillRef>
                          <a:effectRef idx="0">
                            <a:scrgbClr r="0" g="0" b="0"/>
                          </a:effectRef>
                          <a:fontRef idx="none"/>
                        </wps:style>
                        <wps:bodyPr/>
                      </wps:wsp>
                      <wps:wsp>
                        <wps:cNvPr id="8457" name="Shape 8457"/>
                        <wps:cNvSpPr/>
                        <wps:spPr>
                          <a:xfrm>
                            <a:off x="2253955" y="0"/>
                            <a:ext cx="719786" cy="0"/>
                          </a:xfrm>
                          <a:custGeom>
                            <a:avLst/>
                            <a:gdLst/>
                            <a:ahLst/>
                            <a:cxnLst/>
                            <a:rect l="0" t="0" r="0" b="0"/>
                            <a:pathLst>
                              <a:path w="719786">
                                <a:moveTo>
                                  <a:pt x="0" y="0"/>
                                </a:moveTo>
                                <a:lnTo>
                                  <a:pt x="719786" y="0"/>
                                </a:lnTo>
                              </a:path>
                            </a:pathLst>
                          </a:custGeom>
                          <a:ln w="5901" cap="flat">
                            <a:round/>
                          </a:ln>
                        </wps:spPr>
                        <wps:style>
                          <a:lnRef idx="1">
                            <a:srgbClr val="000000"/>
                          </a:lnRef>
                          <a:fillRef idx="0">
                            <a:srgbClr val="000000">
                              <a:alpha val="0"/>
                            </a:srgbClr>
                          </a:fillRef>
                          <a:effectRef idx="0">
                            <a:scrgbClr r="0" g="0" b="0"/>
                          </a:effectRef>
                          <a:fontRef idx="none"/>
                        </wps:style>
                        <wps:bodyPr/>
                      </wps:wsp>
                      <wps:wsp>
                        <wps:cNvPr id="8464" name="Shape 8464"/>
                        <wps:cNvSpPr/>
                        <wps:spPr>
                          <a:xfrm>
                            <a:off x="3125921" y="0"/>
                            <a:ext cx="1081956" cy="0"/>
                          </a:xfrm>
                          <a:custGeom>
                            <a:avLst/>
                            <a:gdLst/>
                            <a:ahLst/>
                            <a:cxnLst/>
                            <a:rect l="0" t="0" r="0" b="0"/>
                            <a:pathLst>
                              <a:path w="1081956">
                                <a:moveTo>
                                  <a:pt x="0" y="0"/>
                                </a:moveTo>
                                <a:lnTo>
                                  <a:pt x="1081956" y="0"/>
                                </a:lnTo>
                              </a:path>
                            </a:pathLst>
                          </a:custGeom>
                          <a:ln w="5901" cap="flat">
                            <a:round/>
                          </a:ln>
                        </wps:spPr>
                        <wps:style>
                          <a:lnRef idx="1">
                            <a:srgbClr val="000000"/>
                          </a:lnRef>
                          <a:fillRef idx="0">
                            <a:srgbClr val="000000">
                              <a:alpha val="0"/>
                            </a:srgbClr>
                          </a:fillRef>
                          <a:effectRef idx="0">
                            <a:scrgbClr r="0" g="0" b="0"/>
                          </a:effectRef>
                          <a:fontRef idx="none"/>
                        </wps:style>
                        <wps:bodyPr/>
                      </wps:wsp>
                      <wps:wsp>
                        <wps:cNvPr id="8467" name="Shape 8467"/>
                        <wps:cNvSpPr/>
                        <wps:spPr>
                          <a:xfrm>
                            <a:off x="4362334" y="0"/>
                            <a:ext cx="454515" cy="0"/>
                          </a:xfrm>
                          <a:custGeom>
                            <a:avLst/>
                            <a:gdLst/>
                            <a:ahLst/>
                            <a:cxnLst/>
                            <a:rect l="0" t="0" r="0" b="0"/>
                            <a:pathLst>
                              <a:path w="454515">
                                <a:moveTo>
                                  <a:pt x="0" y="0"/>
                                </a:moveTo>
                                <a:lnTo>
                                  <a:pt x="454515" y="0"/>
                                </a:lnTo>
                              </a:path>
                            </a:pathLst>
                          </a:custGeom>
                          <a:ln w="5901" cap="flat">
                            <a:round/>
                          </a:ln>
                        </wps:spPr>
                        <wps:style>
                          <a:lnRef idx="1">
                            <a:srgbClr val="000000"/>
                          </a:lnRef>
                          <a:fillRef idx="0">
                            <a:srgbClr val="000000">
                              <a:alpha val="0"/>
                            </a:srgbClr>
                          </a:fillRef>
                          <a:effectRef idx="0">
                            <a:scrgbClr r="0" g="0" b="0"/>
                          </a:effectRef>
                          <a:fontRef idx="none"/>
                        </wps:style>
                        <wps:bodyPr/>
                      </wps:wsp>
                      <wps:wsp>
                        <wps:cNvPr id="8470" name="Shape 8470"/>
                        <wps:cNvSpPr/>
                        <wps:spPr>
                          <a:xfrm>
                            <a:off x="4909447" y="0"/>
                            <a:ext cx="622128" cy="0"/>
                          </a:xfrm>
                          <a:custGeom>
                            <a:avLst/>
                            <a:gdLst/>
                            <a:ahLst/>
                            <a:cxnLst/>
                            <a:rect l="0" t="0" r="0" b="0"/>
                            <a:pathLst>
                              <a:path w="622128">
                                <a:moveTo>
                                  <a:pt x="0" y="0"/>
                                </a:moveTo>
                                <a:lnTo>
                                  <a:pt x="622128" y="0"/>
                                </a:lnTo>
                              </a:path>
                            </a:pathLst>
                          </a:custGeom>
                          <a:ln w="5901"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7481" style="width:435.557pt;height:0.464614pt;position:absolute;z-index:121;mso-position-horizontal-relative:text;mso-position-horizontal:absolute;margin-left:14.9991pt;mso-position-vertical-relative:text;margin-top:0.907417pt;" coordsize="55315,59">
                <v:shape id="Shape 8446" style="position:absolute;width:6224;height:0;left:0;top:0;" coordsize="622432,0" path="m0,0l622432,0">
                  <v:stroke weight="0.464614pt" endcap="flat" joinstyle="round" on="true" color="#000000"/>
                  <v:fill on="false" color="#000000" opacity="0"/>
                </v:shape>
                <v:shape id="Shape 8449" style="position:absolute;width:7197;height:0;left:7743;top:0;" coordsize="719723,0" path="m0,0l719723,0">
                  <v:stroke weight="0.464614pt" endcap="flat" joinstyle="round" on="true" color="#000000"/>
                  <v:fill on="false" color="#000000" opacity="0"/>
                </v:shape>
                <v:shape id="Shape 8452" style="position:absolute;width:3703;height:0;left:17150;top:0;" coordsize="370393,0" path="m0,0l370393,0">
                  <v:stroke weight="0.464614pt" endcap="flat" joinstyle="round" on="true" color="#000000"/>
                  <v:fill on="false" color="#000000" opacity="0"/>
                </v:shape>
                <v:shape id="Shape 8457" style="position:absolute;width:7197;height:0;left:22539;top:0;" coordsize="719786,0" path="m0,0l719786,0">
                  <v:stroke weight="0.464614pt" endcap="flat" joinstyle="round" on="true" color="#000000"/>
                  <v:fill on="false" color="#000000" opacity="0"/>
                </v:shape>
                <v:shape id="Shape 8464" style="position:absolute;width:10819;height:0;left:31259;top:0;" coordsize="1081956,0" path="m0,0l1081956,0">
                  <v:stroke weight="0.464614pt" endcap="flat" joinstyle="round" on="true" color="#000000"/>
                  <v:fill on="false" color="#000000" opacity="0"/>
                </v:shape>
                <v:shape id="Shape 8467" style="position:absolute;width:4545;height:0;left:43623;top:0;" coordsize="454515,0" path="m0,0l454515,0">
                  <v:stroke weight="0.464614pt" endcap="flat" joinstyle="round" on="true" color="#000000"/>
                  <v:fill on="false" color="#000000" opacity="0"/>
                </v:shape>
                <v:shape id="Shape 8470" style="position:absolute;width:6221;height:0;left:49094;top:0;" coordsize="622128,0" path="m0,0l622128,0">
                  <v:stroke weight="0.464614pt" endcap="flat" joinstyle="round" on="true" color="#000000"/>
                  <v:fill on="false" color="#000000" opacity="0"/>
                </v:shape>
              </v:group>
            </w:pict>
          </mc:Fallback>
        </mc:AlternateConten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Times New Roman" w:eastAsia="Times New Roman" w:hAnsi="Times New Roman" w:cs="Times New Roman"/>
          <w:sz w:val="13"/>
        </w:rPr>
        <w:t xml:space="preserve">0 </w:t>
      </w:r>
      <w:r>
        <w:rPr>
          <w:rFonts w:ascii="Segoe UI Symbol" w:eastAsia="Segoe UI Symbol" w:hAnsi="Segoe UI Symbol" w:cs="Segoe UI Symbol"/>
          <w:sz w:val="23"/>
        </w:rPr>
        <w:t></w:t>
      </w:r>
      <w:r>
        <w:rPr>
          <w:rFonts w:ascii="Times New Roman" w:eastAsia="Times New Roman" w:hAnsi="Times New Roman" w:cs="Times New Roman"/>
          <w:i/>
          <w:sz w:val="23"/>
        </w:rPr>
        <w:t>l</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Times New Roman" w:eastAsia="Times New Roman" w:hAnsi="Times New Roman" w:cs="Times New Roman"/>
          <w:i/>
          <w:sz w:val="23"/>
        </w:rPr>
        <w:t>l</w:t>
      </w:r>
      <w:r>
        <w:rPr>
          <w:rFonts w:ascii="Segoe UI Symbol" w:eastAsia="Segoe UI Symbol" w:hAnsi="Segoe UI Symbol" w:cs="Segoe UI Symbol"/>
          <w:sz w:val="30"/>
        </w:rPr>
        <w:t></w:t>
      </w:r>
      <w:r>
        <w:rPr>
          <w:rFonts w:ascii="Segoe UI Symbol" w:eastAsia="Segoe UI Symbol" w:hAnsi="Segoe UI Symbol" w:cs="Segoe UI Symbol"/>
          <w:sz w:val="23"/>
        </w:rPr>
        <w:t xml:space="preserve"> </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Times New Roman" w:eastAsia="Times New Roman" w:hAnsi="Times New Roman" w:cs="Times New Roman"/>
          <w:sz w:val="13"/>
        </w:rPr>
        <w:t xml:space="preserve">0 </w:t>
      </w:r>
      <w:r>
        <w:rPr>
          <w:rFonts w:ascii="Segoe UI Symbol" w:eastAsia="Segoe UI Symbol" w:hAnsi="Segoe UI Symbol" w:cs="Segoe UI Symbol"/>
          <w:sz w:val="23"/>
        </w:rPr>
        <w:t></w:t>
      </w:r>
      <w:r>
        <w:rPr>
          <w:rFonts w:ascii="Times New Roman" w:eastAsia="Times New Roman" w:hAnsi="Times New Roman" w:cs="Times New Roman"/>
          <w:i/>
          <w:sz w:val="23"/>
        </w:rPr>
        <w:t>z</w:t>
      </w:r>
      <w:r>
        <w:rPr>
          <w:rFonts w:ascii="Segoe UI Symbol" w:eastAsia="Segoe UI Symbol" w:hAnsi="Segoe UI Symbol" w:cs="Segoe UI Symbol"/>
          <w:sz w:val="24"/>
        </w:rPr>
        <w:t></w:t>
      </w:r>
      <w:r>
        <w:rPr>
          <w:rFonts w:ascii="Times New Roman" w:eastAsia="Times New Roman" w:hAnsi="Times New Roman" w:cs="Times New Roman"/>
          <w:i/>
          <w:sz w:val="13"/>
        </w:rPr>
        <w:t>k</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Times New Roman" w:eastAsia="Times New Roman" w:hAnsi="Times New Roman" w:cs="Times New Roman"/>
          <w:i/>
          <w:sz w:val="23"/>
        </w:rPr>
        <w:t>z</w:t>
      </w:r>
      <w:r>
        <w:rPr>
          <w:rFonts w:ascii="Times New Roman" w:eastAsia="Times New Roman" w:hAnsi="Times New Roman" w:cs="Times New Roman"/>
          <w:i/>
          <w:sz w:val="13"/>
        </w:rPr>
        <w:t xml:space="preserve">k </w:t>
      </w:r>
      <w:r>
        <w:rPr>
          <w:rFonts w:ascii="Segoe UI Symbol" w:eastAsia="Segoe UI Symbol" w:hAnsi="Segoe UI Symbol" w:cs="Segoe UI Symbol"/>
          <w:sz w:val="30"/>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 xml:space="preserve"> </w:t>
      </w:r>
      <w:r>
        <w:rPr>
          <w:rFonts w:ascii="Segoe UI Symbol" w:eastAsia="Segoe UI Symbol" w:hAnsi="Segoe UI Symbol" w:cs="Segoe UI Symbol"/>
          <w:sz w:val="30"/>
        </w:rPr>
        <w:t></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23"/>
        </w:rPr>
        <w:t>1</w:t>
      </w:r>
      <w:r>
        <w:rPr>
          <w:rFonts w:ascii="Times New Roman" w:eastAsia="Times New Roman" w:hAnsi="Times New Roman" w:cs="Times New Roman"/>
          <w:sz w:val="13"/>
        </w:rPr>
        <w:t>1</w:t>
      </w:r>
      <w:r>
        <w:rPr>
          <w:rFonts w:ascii="Segoe UI Symbol" w:eastAsia="Segoe UI Symbol" w:hAnsi="Segoe UI Symbol" w:cs="Segoe UI Symbol"/>
          <w:sz w:val="30"/>
        </w:rPr>
        <w:t></w:t>
      </w:r>
      <w:r>
        <w:rPr>
          <w:rFonts w:ascii="Times New Roman" w:eastAsia="Times New Roman" w:hAnsi="Times New Roman" w:cs="Times New Roman"/>
          <w:sz w:val="13"/>
        </w:rPr>
        <w:t xml:space="preserve">3 </w:t>
      </w:r>
      <w:r>
        <w:rPr>
          <w:rFonts w:ascii="Times New Roman" w:eastAsia="Times New Roman" w:hAnsi="Times New Roman" w:cs="Times New Roman"/>
          <w:sz w:val="23"/>
        </w:rPr>
        <w:t xml:space="preserve">ln </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Times New Roman" w:eastAsia="Times New Roman" w:hAnsi="Times New Roman" w:cs="Times New Roman"/>
          <w:sz w:val="13"/>
        </w:rPr>
        <w:t>00</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Times New Roman" w:eastAsia="Times New Roman" w:hAnsi="Times New Roman" w:cs="Times New Roman"/>
          <w:i/>
          <w:sz w:val="23"/>
        </w:rPr>
        <w:t>hh</w:t>
      </w:r>
      <w:r>
        <w:rPr>
          <w:rFonts w:ascii="Times New Roman" w:eastAsia="Times New Roman" w:hAnsi="Times New Roman" w:cs="Times New Roman"/>
          <w:sz w:val="13"/>
        </w:rPr>
        <w:t>11</w:t>
      </w:r>
      <w:r>
        <w:rPr>
          <w:rFonts w:ascii="Times New Roman" w:eastAsia="Times New Roman" w:hAnsi="Times New Roman" w:cs="Times New Roman"/>
          <w:i/>
          <w:sz w:val="23"/>
        </w:rPr>
        <w:t>zl</w:t>
      </w:r>
      <w:r>
        <w:rPr>
          <w:rFonts w:ascii="Times New Roman" w:eastAsia="Times New Roman" w:hAnsi="Times New Roman" w:cs="Times New Roman"/>
          <w:i/>
          <w:sz w:val="13"/>
        </w:rPr>
        <w:t>k</w:t>
      </w:r>
      <w:r>
        <w:rPr>
          <w:rFonts w:ascii="Segoe UI Symbol" w:eastAsia="Segoe UI Symbol" w:hAnsi="Segoe UI Symbol" w:cs="Segoe UI Symbol"/>
          <w:sz w:val="30"/>
        </w:rPr>
        <w:t></w:t>
      </w:r>
      <w:r>
        <w:rPr>
          <w:rFonts w:ascii="Segoe UI Symbol" w:eastAsia="Segoe UI Symbol" w:hAnsi="Segoe UI Symbol" w:cs="Segoe UI Symbol"/>
          <w:sz w:val="30"/>
        </w:rPr>
        <w:t></w:t>
      </w:r>
      <w:r>
        <w:rPr>
          <w:rFonts w:ascii="Segoe UI Symbol" w:eastAsia="Segoe UI Symbol" w:hAnsi="Segoe UI Symbol" w:cs="Segoe UI Symbol"/>
          <w:sz w:val="23"/>
        </w:rPr>
        <w:t xml:space="preserve"> </w:t>
      </w:r>
      <w:r>
        <w:rPr>
          <w:rFonts w:ascii="Segoe UI Symbol" w:eastAsia="Segoe UI Symbol" w:hAnsi="Segoe UI Symbol" w:cs="Segoe UI Symbol"/>
          <w:sz w:val="30"/>
        </w:rPr>
        <w:t></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Segoe UI Symbol" w:eastAsia="Segoe UI Symbol" w:hAnsi="Segoe UI Symbol" w:cs="Segoe UI Symbol"/>
          <w:sz w:val="30"/>
        </w:rPr>
        <w:t></w:t>
      </w:r>
      <w:r>
        <w:rPr>
          <w:rFonts w:ascii="Times New Roman" w:eastAsia="Times New Roman" w:hAnsi="Times New Roman" w:cs="Times New Roman"/>
          <w:i/>
          <w:sz w:val="23"/>
        </w:rPr>
        <w:t>z</w:t>
      </w:r>
      <w:r>
        <w:rPr>
          <w:rFonts w:ascii="Segoe UI Symbol" w:eastAsia="Segoe UI Symbol" w:hAnsi="Segoe UI Symbol" w:cs="Segoe UI Symbol"/>
          <w:sz w:val="30"/>
        </w:rPr>
        <w:t></w:t>
      </w:r>
      <w:r>
        <w:rPr>
          <w:rFonts w:ascii="Times New Roman" w:eastAsia="Times New Roman" w:hAnsi="Times New Roman" w:cs="Times New Roman"/>
          <w:i/>
          <w:sz w:val="13"/>
        </w:rPr>
        <w:t>k</w:t>
      </w:r>
      <w:r>
        <w:rPr>
          <w:rFonts w:ascii="Times New Roman" w:eastAsia="Times New Roman" w:hAnsi="Times New Roman" w:cs="Times New Roman"/>
          <w:i/>
          <w:sz w:val="23"/>
        </w:rPr>
        <w:t>h</w:t>
      </w:r>
      <w:r>
        <w:rPr>
          <w:rFonts w:ascii="Segoe UI Symbol" w:eastAsia="Segoe UI Symbol" w:hAnsi="Segoe UI Symbol" w:cs="Segoe UI Symbol"/>
          <w:sz w:val="30"/>
        </w:rPr>
        <w:t></w:t>
      </w:r>
      <w:r>
        <w:rPr>
          <w:rFonts w:ascii="Times New Roman" w:eastAsia="Times New Roman" w:hAnsi="Times New Roman" w:cs="Times New Roman"/>
          <w:sz w:val="13"/>
        </w:rPr>
        <w:t>0</w:t>
      </w:r>
      <w:r>
        <w:rPr>
          <w:rFonts w:ascii="Times New Roman" w:eastAsia="Times New Roman" w:hAnsi="Times New Roman" w:cs="Times New Roman"/>
          <w:i/>
          <w:sz w:val="23"/>
        </w:rPr>
        <w:t>l</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4"/>
        </w:rPr>
        <w:t></w:t>
      </w:r>
      <w:r>
        <w:rPr>
          <w:rFonts w:ascii="Times New Roman" w:eastAsia="Times New Roman" w:hAnsi="Times New Roman" w:cs="Times New Roman"/>
          <w:i/>
          <w:sz w:val="23"/>
        </w:rPr>
        <w:t>zh</w:t>
      </w:r>
      <w:r>
        <w:rPr>
          <w:rFonts w:ascii="Times New Roman" w:eastAsia="Times New Roman" w:hAnsi="Times New Roman" w:cs="Times New Roman"/>
          <w:i/>
          <w:sz w:val="13"/>
        </w:rPr>
        <w:t>k</w:t>
      </w:r>
      <w:r>
        <w:rPr>
          <w:rFonts w:ascii="Times New Roman" w:eastAsia="Times New Roman" w:hAnsi="Times New Roman" w:cs="Times New Roman"/>
          <w:sz w:val="13"/>
        </w:rPr>
        <w:t>1</w:t>
      </w:r>
      <w:r>
        <w:rPr>
          <w:rFonts w:ascii="Segoe UI Symbol" w:eastAsia="Segoe UI Symbol" w:hAnsi="Segoe UI Symbol" w:cs="Segoe UI Symbol"/>
          <w:sz w:val="30"/>
        </w:rPr>
        <w:t></w:t>
      </w:r>
      <w:r>
        <w:rPr>
          <w:rFonts w:ascii="Times New Roman" w:eastAsia="Times New Roman" w:hAnsi="Times New Roman" w:cs="Times New Roman"/>
          <w:i/>
          <w:sz w:val="23"/>
        </w:rPr>
        <w:t>z</w:t>
      </w:r>
      <w:r>
        <w:rPr>
          <w:rFonts w:ascii="Times New Roman" w:eastAsia="Times New Roman" w:hAnsi="Times New Roman" w:cs="Times New Roman"/>
          <w:i/>
          <w:sz w:val="13"/>
        </w:rPr>
        <w:t xml:space="preserve">k </w:t>
      </w:r>
      <w:r>
        <w:rPr>
          <w:rFonts w:ascii="Segoe UI Symbol" w:eastAsia="Segoe UI Symbol" w:hAnsi="Segoe UI Symbol" w:cs="Segoe UI Symbol"/>
          <w:sz w:val="30"/>
        </w:rPr>
        <w:t></w:t>
      </w:r>
      <w:r>
        <w:rPr>
          <w:rFonts w:ascii="Times New Roman" w:eastAsia="Times New Roman" w:hAnsi="Times New Roman" w:cs="Times New Roman"/>
          <w:sz w:val="13"/>
        </w:rPr>
        <w:t xml:space="preserve">2 </w:t>
      </w:r>
      <w:r>
        <w:rPr>
          <w:rFonts w:ascii="Segoe UI Symbol" w:eastAsia="Segoe UI Symbol" w:hAnsi="Segoe UI Symbol" w:cs="Segoe UI Symbol"/>
          <w:sz w:val="23"/>
        </w:rPr>
        <w:t xml:space="preserve"> </w:t>
      </w:r>
      <w:r>
        <w:rPr>
          <w:rFonts w:ascii="Times New Roman" w:eastAsia="Times New Roman" w:hAnsi="Times New Roman" w:cs="Times New Roman"/>
          <w:sz w:val="23"/>
        </w:rPr>
        <w:t>2</w:t>
      </w:r>
      <w:r>
        <w:rPr>
          <w:rFonts w:ascii="Segoe UI Symbol" w:eastAsia="Segoe UI Symbol" w:hAnsi="Segoe UI Symbol" w:cs="Segoe UI Symbol"/>
          <w:sz w:val="30"/>
        </w:rPr>
        <w:t></w:t>
      </w:r>
      <w:r>
        <w:rPr>
          <w:rFonts w:ascii="Segoe UI Symbol" w:eastAsia="Segoe UI Symbol" w:hAnsi="Segoe UI Symbol" w:cs="Segoe UI Symbol"/>
          <w:sz w:val="24"/>
        </w:rPr>
        <w:t></w:t>
      </w:r>
      <w:r>
        <w:rPr>
          <w:rFonts w:ascii="Times New Roman" w:eastAsia="Times New Roman" w:hAnsi="Times New Roman" w:cs="Times New Roman"/>
          <w:i/>
          <w:sz w:val="23"/>
        </w:rPr>
        <w:t>zh</w:t>
      </w:r>
      <w:r>
        <w:rPr>
          <w:rFonts w:ascii="Times New Roman" w:eastAsia="Times New Roman" w:hAnsi="Times New Roman" w:cs="Times New Roman"/>
          <w:i/>
          <w:sz w:val="13"/>
        </w:rPr>
        <w:t>k</w:t>
      </w:r>
      <w:r>
        <w:rPr>
          <w:rFonts w:ascii="Times New Roman" w:eastAsia="Times New Roman" w:hAnsi="Times New Roman" w:cs="Times New Roman"/>
          <w:sz w:val="13"/>
        </w:rPr>
        <w:t>1</w:t>
      </w:r>
      <w:r>
        <w:rPr>
          <w:rFonts w:ascii="Segoe UI Symbol" w:eastAsia="Segoe UI Symbol" w:hAnsi="Segoe UI Symbol" w:cs="Segoe UI Symbol"/>
          <w:sz w:val="30"/>
        </w:rPr>
        <w:t></w:t>
      </w:r>
      <w:r>
        <w:rPr>
          <w:rFonts w:ascii="Times New Roman" w:eastAsia="Times New Roman" w:hAnsi="Times New Roman" w:cs="Times New Roman"/>
          <w:sz w:val="13"/>
        </w:rPr>
        <w:t xml:space="preserve">2 </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Times New Roman" w:eastAsia="Times New Roman" w:hAnsi="Times New Roman" w:cs="Times New Roman"/>
          <w:sz w:val="13"/>
        </w:rPr>
        <w:t xml:space="preserve">0 </w:t>
      </w:r>
      <w:r>
        <w:rPr>
          <w:rFonts w:ascii="Segoe UI Symbol" w:eastAsia="Segoe UI Symbol" w:hAnsi="Segoe UI Symbol" w:cs="Segoe UI Symbol"/>
          <w:sz w:val="23"/>
        </w:rPr>
        <w:t></w:t>
      </w:r>
      <w:r>
        <w:rPr>
          <w:rFonts w:ascii="Times New Roman" w:eastAsia="Times New Roman" w:hAnsi="Times New Roman" w:cs="Times New Roman"/>
          <w:sz w:val="23"/>
        </w:rPr>
        <w:t>1</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Times New Roman" w:eastAsia="Times New Roman" w:hAnsi="Times New Roman" w:cs="Times New Roman"/>
          <w:i/>
          <w:sz w:val="23"/>
        </w:rPr>
        <w:t>l</w:t>
      </w:r>
      <w:r>
        <w:rPr>
          <w:rFonts w:ascii="Segoe UI Symbol" w:eastAsia="Segoe UI Symbol" w:hAnsi="Segoe UI Symbol" w:cs="Segoe UI Symbol"/>
          <w:sz w:val="30"/>
        </w:rPr>
        <w:t></w:t>
      </w:r>
      <w:r>
        <w:rPr>
          <w:rFonts w:ascii="Segoe UI Symbol" w:eastAsia="Segoe UI Symbol" w:hAnsi="Segoe UI Symbol" w:cs="Segoe UI Symbol"/>
          <w:sz w:val="23"/>
        </w:rPr>
        <w:t></w:t>
      </w:r>
      <w:r>
        <w:rPr>
          <w:rFonts w:ascii="Times New Roman" w:eastAsia="Times New Roman" w:hAnsi="Times New Roman" w:cs="Times New Roman"/>
        </w:rPr>
        <w:t xml:space="preserve"> </w:t>
      </w:r>
    </w:p>
    <w:p w:rsidR="0052701D" w:rsidRDefault="00D40929">
      <w:pPr>
        <w:numPr>
          <w:ilvl w:val="0"/>
          <w:numId w:val="8"/>
        </w:numPr>
        <w:spacing w:after="0" w:line="268" w:lineRule="auto"/>
        <w:ind w:hanging="1222"/>
      </w:pPr>
      <w:r>
        <w:rPr>
          <w:noProof/>
        </w:rPr>
        <mc:AlternateContent>
          <mc:Choice Requires="wpg">
            <w:drawing>
              <wp:anchor distT="0" distB="0" distL="114300" distR="114300" simplePos="0" relativeHeight="251692032" behindDoc="0" locked="0" layoutInCell="1" allowOverlap="1">
                <wp:simplePos x="0" y="0"/>
                <wp:positionH relativeFrom="column">
                  <wp:posOffset>140124</wp:posOffset>
                </wp:positionH>
                <wp:positionV relativeFrom="paragraph">
                  <wp:posOffset>32029</wp:posOffset>
                </wp:positionV>
                <wp:extent cx="2094519" cy="6257"/>
                <wp:effectExtent l="0" t="0" r="0" b="0"/>
                <wp:wrapNone/>
                <wp:docPr id="917482" name="Group 917482"/>
                <wp:cNvGraphicFramePr/>
                <a:graphic xmlns:a="http://schemas.openxmlformats.org/drawingml/2006/main">
                  <a:graphicData uri="http://schemas.microsoft.com/office/word/2010/wordprocessingGroup">
                    <wpg:wgp>
                      <wpg:cNvGrpSpPr/>
                      <wpg:grpSpPr>
                        <a:xfrm>
                          <a:off x="0" y="0"/>
                          <a:ext cx="2094519" cy="6257"/>
                          <a:chOff x="0" y="0"/>
                          <a:chExt cx="2094519" cy="6257"/>
                        </a:xfrm>
                      </wpg:grpSpPr>
                      <wps:wsp>
                        <wps:cNvPr id="8561" name="Shape 8561"/>
                        <wps:cNvSpPr/>
                        <wps:spPr>
                          <a:xfrm>
                            <a:off x="0" y="0"/>
                            <a:ext cx="717346" cy="0"/>
                          </a:xfrm>
                          <a:custGeom>
                            <a:avLst/>
                            <a:gdLst/>
                            <a:ahLst/>
                            <a:cxnLst/>
                            <a:rect l="0" t="0" r="0" b="0"/>
                            <a:pathLst>
                              <a:path w="717346">
                                <a:moveTo>
                                  <a:pt x="0" y="0"/>
                                </a:moveTo>
                                <a:lnTo>
                                  <a:pt x="717346" y="0"/>
                                </a:lnTo>
                              </a:path>
                            </a:pathLst>
                          </a:custGeom>
                          <a:ln w="6257" cap="flat">
                            <a:round/>
                          </a:ln>
                        </wps:spPr>
                        <wps:style>
                          <a:lnRef idx="1">
                            <a:srgbClr val="000000"/>
                          </a:lnRef>
                          <a:fillRef idx="0">
                            <a:srgbClr val="000000">
                              <a:alpha val="0"/>
                            </a:srgbClr>
                          </a:fillRef>
                          <a:effectRef idx="0">
                            <a:scrgbClr r="0" g="0" b="0"/>
                          </a:effectRef>
                          <a:fontRef idx="none"/>
                        </wps:style>
                        <wps:bodyPr/>
                      </wps:wsp>
                      <wps:wsp>
                        <wps:cNvPr id="8568" name="Shape 8568"/>
                        <wps:cNvSpPr/>
                        <wps:spPr>
                          <a:xfrm>
                            <a:off x="937587" y="0"/>
                            <a:ext cx="1156933" cy="0"/>
                          </a:xfrm>
                          <a:custGeom>
                            <a:avLst/>
                            <a:gdLst/>
                            <a:ahLst/>
                            <a:cxnLst/>
                            <a:rect l="0" t="0" r="0" b="0"/>
                            <a:pathLst>
                              <a:path w="1156933">
                                <a:moveTo>
                                  <a:pt x="0" y="0"/>
                                </a:moveTo>
                                <a:lnTo>
                                  <a:pt x="1156933" y="0"/>
                                </a:lnTo>
                              </a:path>
                            </a:pathLst>
                          </a:custGeom>
                          <a:ln w="6257"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7482" style="width:164.923pt;height:0.492665pt;position:absolute;z-index:228;mso-position-horizontal-relative:text;mso-position-horizontal:absolute;margin-left:11.0334pt;mso-position-vertical-relative:text;margin-top:2.52196pt;" coordsize="20945,62">
                <v:shape id="Shape 8561" style="position:absolute;width:7173;height:0;left:0;top:0;" coordsize="717346,0" path="m0,0l717346,0">
                  <v:stroke weight="0.492665pt" endcap="flat" joinstyle="round" on="true" color="#000000"/>
                  <v:fill on="false" color="#000000" opacity="0"/>
                </v:shape>
                <v:shape id="Shape 8568" style="position:absolute;width:11569;height:0;left:9375;top:0;" coordsize="1156933,0" path="m0,0l1156933,0">
                  <v:stroke weight="0.492665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693056" behindDoc="0" locked="0" layoutInCell="1" allowOverlap="1">
                <wp:simplePos x="0" y="0"/>
                <wp:positionH relativeFrom="column">
                  <wp:posOffset>3644623</wp:posOffset>
                </wp:positionH>
                <wp:positionV relativeFrom="paragraph">
                  <wp:posOffset>32029</wp:posOffset>
                </wp:positionV>
                <wp:extent cx="1010803" cy="6257"/>
                <wp:effectExtent l="0" t="0" r="0" b="0"/>
                <wp:wrapNone/>
                <wp:docPr id="917483" name="Group 917483"/>
                <wp:cNvGraphicFramePr/>
                <a:graphic xmlns:a="http://schemas.openxmlformats.org/drawingml/2006/main">
                  <a:graphicData uri="http://schemas.microsoft.com/office/word/2010/wordprocessingGroup">
                    <wpg:wgp>
                      <wpg:cNvGrpSpPr/>
                      <wpg:grpSpPr>
                        <a:xfrm>
                          <a:off x="0" y="0"/>
                          <a:ext cx="1010803" cy="6257"/>
                          <a:chOff x="0" y="0"/>
                          <a:chExt cx="1010803" cy="6257"/>
                        </a:xfrm>
                      </wpg:grpSpPr>
                      <wps:wsp>
                        <wps:cNvPr id="8575" name="Shape 8575"/>
                        <wps:cNvSpPr/>
                        <wps:spPr>
                          <a:xfrm>
                            <a:off x="0" y="0"/>
                            <a:ext cx="298059" cy="0"/>
                          </a:xfrm>
                          <a:custGeom>
                            <a:avLst/>
                            <a:gdLst/>
                            <a:ahLst/>
                            <a:cxnLst/>
                            <a:rect l="0" t="0" r="0" b="0"/>
                            <a:pathLst>
                              <a:path w="298059">
                                <a:moveTo>
                                  <a:pt x="0" y="0"/>
                                </a:moveTo>
                                <a:lnTo>
                                  <a:pt x="298059" y="0"/>
                                </a:lnTo>
                              </a:path>
                            </a:pathLst>
                          </a:custGeom>
                          <a:ln w="6257" cap="flat">
                            <a:round/>
                          </a:ln>
                        </wps:spPr>
                        <wps:style>
                          <a:lnRef idx="1">
                            <a:srgbClr val="000000"/>
                          </a:lnRef>
                          <a:fillRef idx="0">
                            <a:srgbClr val="000000">
                              <a:alpha val="0"/>
                            </a:srgbClr>
                          </a:fillRef>
                          <a:effectRef idx="0">
                            <a:scrgbClr r="0" g="0" b="0"/>
                          </a:effectRef>
                          <a:fontRef idx="none"/>
                        </wps:style>
                        <wps:bodyPr/>
                      </wps:wsp>
                      <wps:wsp>
                        <wps:cNvPr id="8578" name="Shape 8578"/>
                        <wps:cNvSpPr/>
                        <wps:spPr>
                          <a:xfrm>
                            <a:off x="390351" y="0"/>
                            <a:ext cx="620452" cy="0"/>
                          </a:xfrm>
                          <a:custGeom>
                            <a:avLst/>
                            <a:gdLst/>
                            <a:ahLst/>
                            <a:cxnLst/>
                            <a:rect l="0" t="0" r="0" b="0"/>
                            <a:pathLst>
                              <a:path w="620452">
                                <a:moveTo>
                                  <a:pt x="0" y="0"/>
                                </a:moveTo>
                                <a:lnTo>
                                  <a:pt x="620452" y="0"/>
                                </a:lnTo>
                              </a:path>
                            </a:pathLst>
                          </a:custGeom>
                          <a:ln w="6257"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7483" style="width:79.5908pt;height:0.492665pt;position:absolute;z-index:240;mso-position-horizontal-relative:text;mso-position-horizontal:absolute;margin-left:286.978pt;mso-position-vertical-relative:text;margin-top:2.52196pt;" coordsize="10108,62">
                <v:shape id="Shape 8575" style="position:absolute;width:2980;height:0;left:0;top:0;" coordsize="298059,0" path="m0,0l298059,0">
                  <v:stroke weight="0.492665pt" endcap="flat" joinstyle="round" on="true" color="#000000"/>
                  <v:fill on="false" color="#000000" opacity="0"/>
                </v:shape>
                <v:shape id="Shape 8578" style="position:absolute;width:6204;height:0;left:3903;top:0;" coordsize="620452,0" path="m0,0l620452,0">
                  <v:stroke weight="0.492665pt" endcap="flat" joinstyle="round" on="true" color="#000000"/>
                  <v:fill on="false" color="#000000" opacity="0"/>
                </v:shape>
              </v:group>
            </w:pict>
          </mc:Fallback>
        </mc:AlternateConten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 xml:space="preserve">0 </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sz w:val="25"/>
        </w:rPr>
        <w:t>1</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Times New Roman" w:eastAsia="Times New Roman" w:hAnsi="Times New Roman" w:cs="Times New Roman"/>
          <w:i/>
          <w:sz w:val="25"/>
        </w:rPr>
        <w:t>z</w:t>
      </w:r>
      <w:r>
        <w:rPr>
          <w:rFonts w:ascii="Times New Roman" w:eastAsia="Times New Roman" w:hAnsi="Times New Roman" w:cs="Times New Roman"/>
          <w:i/>
          <w:sz w:val="23"/>
          <w:vertAlign w:val="subscript"/>
        </w:rPr>
        <w:t xml:space="preserve">k </w:t>
      </w:r>
      <w:r>
        <w:rPr>
          <w:rFonts w:ascii="Segoe UI Symbol" w:eastAsia="Segoe UI Symbol" w:hAnsi="Segoe UI Symbol" w:cs="Segoe UI Symbol"/>
          <w:sz w:val="51"/>
          <w:vertAlign w:val="superscript"/>
        </w:rPr>
        <w:t></w:t>
      </w:r>
      <w:r>
        <w:rPr>
          <w:rFonts w:ascii="Segoe UI Symbol" w:eastAsia="Segoe UI Symbol" w:hAnsi="Segoe UI Symbol" w:cs="Segoe UI Symbol"/>
          <w:sz w:val="25"/>
        </w:rPr>
        <w:t></w:t>
      </w:r>
      <w:r>
        <w:rPr>
          <w:rFonts w:ascii="Segoe UI Symbol" w:eastAsia="Segoe UI Symbol" w:hAnsi="Segoe UI Symbol" w:cs="Segoe UI Symbol"/>
          <w:sz w:val="39"/>
          <w:vertAlign w:val="subscript"/>
        </w:rPr>
        <w:t></w:t>
      </w:r>
      <w:r>
        <w:rPr>
          <w:rFonts w:ascii="Segoe UI Symbol" w:eastAsia="Segoe UI Symbol" w:hAnsi="Segoe UI Symbol" w:cs="Segoe UI Symbol"/>
          <w:sz w:val="25"/>
        </w:rPr>
        <w:t></w:t>
      </w:r>
      <w:r>
        <w:rPr>
          <w:rFonts w:ascii="Segoe UI Symbol" w:eastAsia="Segoe UI Symbol" w:hAnsi="Segoe UI Symbol" w:cs="Segoe UI Symbol"/>
          <w:sz w:val="25"/>
        </w:rPr>
        <w:t xml:space="preserve"> </w:t>
      </w:r>
      <w:r>
        <w:rPr>
          <w:rFonts w:ascii="Times New Roman" w:eastAsia="Times New Roman" w:hAnsi="Times New Roman" w:cs="Times New Roman"/>
          <w:sz w:val="25"/>
        </w:rPr>
        <w:t>2</w:t>
      </w:r>
      <w:r>
        <w:rPr>
          <w:rFonts w:ascii="Segoe UI Symbol" w:eastAsia="Segoe UI Symbol" w:hAnsi="Segoe UI Symbol" w:cs="Segoe UI Symbol"/>
          <w:sz w:val="33"/>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33"/>
        </w:rPr>
        <w:t></w:t>
      </w:r>
      <w:r>
        <w:rPr>
          <w:rFonts w:ascii="Times New Roman" w:eastAsia="Times New Roman" w:hAnsi="Times New Roman" w:cs="Times New Roman"/>
          <w:i/>
          <w:sz w:val="15"/>
        </w:rPr>
        <w:t>k</w:t>
      </w:r>
      <w:r>
        <w:rPr>
          <w:rFonts w:ascii="Times New Roman" w:eastAsia="Times New Roman" w:hAnsi="Times New Roman" w:cs="Times New Roman"/>
          <w:i/>
          <w:sz w:val="25"/>
        </w:rPr>
        <w:t>h</w:t>
      </w:r>
      <w:r>
        <w:rPr>
          <w:rFonts w:ascii="Segoe UI Symbol" w:eastAsia="Segoe UI Symbol" w:hAnsi="Segoe UI Symbol" w:cs="Segoe UI Symbol"/>
          <w:sz w:val="33"/>
        </w:rPr>
        <w:t></w:t>
      </w:r>
      <w:r>
        <w:rPr>
          <w:rFonts w:ascii="Times New Roman" w:eastAsia="Times New Roman" w:hAnsi="Times New Roman" w:cs="Times New Roman"/>
          <w:i/>
          <w:sz w:val="25"/>
        </w:rPr>
        <w:t>l</w:t>
      </w:r>
      <w:r>
        <w:rPr>
          <w:rFonts w:ascii="Times New Roman" w:eastAsia="Times New Roman" w:hAnsi="Times New Roman" w:cs="Times New Roman"/>
          <w:sz w:val="23"/>
          <w:vertAlign w:val="subscript"/>
        </w:rPr>
        <w:t xml:space="preserve">0 </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i/>
          <w:sz w:val="25"/>
        </w:rPr>
        <w:t>z</w:t>
      </w:r>
      <w:r>
        <w:rPr>
          <w:rFonts w:ascii="Times New Roman" w:eastAsia="Times New Roman" w:hAnsi="Times New Roman" w:cs="Times New Roman"/>
          <w:i/>
          <w:sz w:val="15"/>
        </w:rPr>
        <w:t>k</w:t>
      </w:r>
      <w:r>
        <w:rPr>
          <w:rFonts w:ascii="Times New Roman" w:eastAsia="Times New Roman" w:hAnsi="Times New Roman" w:cs="Times New Roman"/>
          <w:i/>
          <w:sz w:val="25"/>
        </w:rPr>
        <w:t>h</w:t>
      </w:r>
      <w:r>
        <w:rPr>
          <w:rFonts w:ascii="Segoe UI Symbol" w:eastAsia="Segoe UI Symbol" w:hAnsi="Segoe UI Symbol" w:cs="Segoe UI Symbol"/>
          <w:sz w:val="33"/>
        </w:rPr>
        <w:t></w:t>
      </w:r>
      <w:r>
        <w:rPr>
          <w:rFonts w:ascii="Times New Roman" w:eastAsia="Times New Roman" w:hAnsi="Times New Roman" w:cs="Times New Roman"/>
          <w:i/>
          <w:sz w:val="25"/>
        </w:rPr>
        <w:t xml:space="preserve">z </w:t>
      </w:r>
      <w:r>
        <w:rPr>
          <w:rFonts w:ascii="Segoe UI Symbol" w:eastAsia="Segoe UI Symbol" w:hAnsi="Segoe UI Symbol" w:cs="Segoe UI Symbol"/>
          <w:sz w:val="33"/>
        </w:rPr>
        <w:t xml:space="preserve"> </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i/>
          <w:sz w:val="25"/>
        </w:rPr>
        <w:t>u</w:t>
      </w:r>
      <w:r>
        <w:rPr>
          <w:rFonts w:ascii="Segoe UI Symbol" w:eastAsia="Segoe UI Symbol" w:hAnsi="Segoe UI Symbol" w:cs="Segoe UI Symbol"/>
          <w:sz w:val="33"/>
        </w:rPr>
        <w:t></w:t>
      </w:r>
      <w:r>
        <w:rPr>
          <w:rFonts w:ascii="Times New Roman" w:eastAsia="Times New Roman" w:hAnsi="Times New Roman" w:cs="Times New Roman"/>
          <w:i/>
          <w:sz w:val="25"/>
        </w:rPr>
        <w:t>z</w:t>
      </w:r>
      <w:r>
        <w:rPr>
          <w:rFonts w:ascii="Times New Roman" w:eastAsia="Times New Roman" w:hAnsi="Times New Roman" w:cs="Times New Roman"/>
          <w:i/>
          <w:sz w:val="15"/>
        </w:rPr>
        <w:t xml:space="preserve">k </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Times New Roman" w:eastAsia="Times New Roman" w:hAnsi="Times New Roman" w:cs="Times New Roman"/>
          <w:i/>
          <w:sz w:val="15"/>
        </w:rPr>
        <w:t>k</w:t>
      </w:r>
      <w:r>
        <w:rPr>
          <w:rFonts w:ascii="Segoe UI Symbol" w:eastAsia="Segoe UI Symbol" w:hAnsi="Segoe UI Symbol" w:cs="Segoe UI Symbol"/>
          <w:sz w:val="15"/>
        </w:rPr>
        <w:t></w:t>
      </w:r>
      <w:r>
        <w:rPr>
          <w:rFonts w:ascii="Times New Roman" w:eastAsia="Times New Roman" w:hAnsi="Times New Roman" w:cs="Times New Roman"/>
          <w:sz w:val="15"/>
        </w:rPr>
        <w:t>1</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Segoe UI Symbol" w:eastAsia="Segoe UI Symbol" w:hAnsi="Segoe UI Symbol" w:cs="Segoe UI Symbol"/>
          <w:sz w:val="25"/>
        </w:rPr>
        <w:t xml:space="preserve"> </w:t>
      </w:r>
      <w:r>
        <w:rPr>
          <w:rFonts w:ascii="Times New Roman" w:eastAsia="Times New Roman" w:hAnsi="Times New Roman" w:cs="Times New Roman"/>
          <w:sz w:val="25"/>
        </w:rPr>
        <w:t xml:space="preserve">1 </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Times New Roman" w:eastAsia="Times New Roman" w:hAnsi="Times New Roman" w:cs="Times New Roman"/>
          <w:sz w:val="25"/>
        </w:rPr>
        <w:t>1</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l</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Times New Roman" w:eastAsia="Times New Roman" w:hAnsi="Times New Roman" w:cs="Times New Roman"/>
        </w:rPr>
        <w:t xml:space="preserve"> </w:t>
      </w:r>
    </w:p>
    <w:p w:rsidR="0052701D" w:rsidRDefault="00D40929">
      <w:pPr>
        <w:spacing w:after="75"/>
        <w:ind w:left="3416" w:hanging="10"/>
      </w:pPr>
      <w:r>
        <w:rPr>
          <w:rFonts w:ascii="Times New Roman" w:eastAsia="Times New Roman" w:hAnsi="Times New Roman" w:cs="Times New Roman"/>
          <w:sz w:val="15"/>
        </w:rPr>
        <w:t>2</w:t>
      </w:r>
    </w:p>
    <w:p w:rsidR="0052701D" w:rsidRDefault="00D40929">
      <w:pPr>
        <w:tabs>
          <w:tab w:val="center" w:pos="3334"/>
          <w:tab w:val="center" w:pos="5982"/>
        </w:tabs>
        <w:spacing w:after="51"/>
      </w:pPr>
      <w:r>
        <w:tab/>
      </w:r>
      <w:r>
        <w:rPr>
          <w:rFonts w:ascii="Times New Roman" w:eastAsia="Times New Roman" w:hAnsi="Times New Roman" w:cs="Times New Roman"/>
          <w:sz w:val="15"/>
        </w:rPr>
        <w:t xml:space="preserve">1 </w:t>
      </w:r>
      <w:r>
        <w:rPr>
          <w:rFonts w:ascii="Times New Roman" w:eastAsia="Times New Roman" w:hAnsi="Times New Roman" w:cs="Times New Roman"/>
          <w:i/>
          <w:sz w:val="15"/>
        </w:rPr>
        <w:t xml:space="preserve">k </w:t>
      </w:r>
      <w:r>
        <w:rPr>
          <w:rFonts w:ascii="Segoe UI Symbol" w:eastAsia="Segoe UI Symbol" w:hAnsi="Segoe UI Symbol" w:cs="Segoe UI Symbol"/>
          <w:sz w:val="25"/>
        </w:rPr>
        <w:t></w:t>
      </w:r>
      <w:r>
        <w:rPr>
          <w:rFonts w:ascii="Segoe UI Symbol" w:eastAsia="Segoe UI Symbol" w:hAnsi="Segoe UI Symbol" w:cs="Segoe UI Symbol"/>
          <w:sz w:val="25"/>
        </w:rPr>
        <w:tab/>
      </w:r>
      <w:r>
        <w:rPr>
          <w:rFonts w:ascii="Segoe UI Symbol" w:eastAsia="Segoe UI Symbol" w:hAnsi="Segoe UI Symbol" w:cs="Segoe UI Symbol"/>
          <w:sz w:val="25"/>
        </w:rPr>
        <w:t></w:t>
      </w:r>
      <w:r>
        <w:rPr>
          <w:rFonts w:ascii="Segoe UI Symbol" w:eastAsia="Segoe UI Symbol" w:hAnsi="Segoe UI Symbol" w:cs="Segoe UI Symbol"/>
          <w:sz w:val="33"/>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Segoe UI Symbol" w:eastAsia="Segoe UI Symbol" w:hAnsi="Segoe UI Symbol" w:cs="Segoe UI Symbol"/>
          <w:sz w:val="33"/>
        </w:rPr>
        <w:t></w:t>
      </w:r>
      <w:r>
        <w:rPr>
          <w:rFonts w:ascii="Segoe UI Symbol" w:eastAsia="Segoe UI Symbol" w:hAnsi="Segoe UI Symbol" w:cs="Segoe UI Symbol"/>
          <w:sz w:val="25"/>
        </w:rPr>
        <w:t></w:t>
      </w:r>
    </w:p>
    <w:p w:rsidR="0052701D" w:rsidRDefault="00D40929">
      <w:pPr>
        <w:numPr>
          <w:ilvl w:val="1"/>
          <w:numId w:val="8"/>
        </w:numPr>
        <w:spacing w:after="35"/>
        <w:ind w:firstLine="611"/>
      </w:pPr>
      <w:r>
        <w:rPr>
          <w:rFonts w:ascii="Segoe UI Symbol" w:eastAsia="Segoe UI Symbol" w:hAnsi="Segoe UI Symbol" w:cs="Segoe UI Symbol"/>
          <w:sz w:val="23"/>
        </w:rPr>
        <w:t></w:t>
      </w:r>
      <w:r>
        <w:rPr>
          <w:rFonts w:ascii="Segoe UI Symbol" w:eastAsia="Segoe UI Symbol" w:hAnsi="Segoe UI Symbol" w:cs="Segoe UI Symbol"/>
          <w:sz w:val="23"/>
        </w:rPr>
        <w:tab/>
      </w:r>
      <w:r>
        <w:rPr>
          <w:rFonts w:ascii="Times New Roman" w:eastAsia="Times New Roman" w:hAnsi="Times New Roman" w:cs="Times New Roman"/>
          <w:i/>
          <w:sz w:val="23"/>
        </w:rPr>
        <w:t>h</w:t>
      </w:r>
      <w:r>
        <w:rPr>
          <w:rFonts w:ascii="Times New Roman" w:eastAsia="Times New Roman" w:hAnsi="Times New Roman" w:cs="Times New Roman"/>
          <w:sz w:val="20"/>
          <w:vertAlign w:val="subscript"/>
        </w:rPr>
        <w:t>0</w:t>
      </w:r>
      <w:r>
        <w:rPr>
          <w:rFonts w:ascii="Segoe UI Symbol" w:eastAsia="Segoe UI Symbol" w:hAnsi="Segoe UI Symbol" w:cs="Segoe UI Symbol"/>
          <w:sz w:val="30"/>
        </w:rPr>
        <w:t></w:t>
      </w:r>
      <w:r>
        <w:rPr>
          <w:rFonts w:ascii="Times New Roman" w:eastAsia="Times New Roman" w:hAnsi="Times New Roman" w:cs="Times New Roman"/>
          <w:i/>
          <w:sz w:val="23"/>
        </w:rPr>
        <w:t xml:space="preserve">l </w:t>
      </w:r>
      <w:r>
        <w:rPr>
          <w:rFonts w:ascii="Segoe UI Symbol" w:eastAsia="Segoe UI Symbol" w:hAnsi="Segoe UI Symbol" w:cs="Segoe UI Symbol"/>
          <w:sz w:val="23"/>
        </w:rPr>
        <w:t xml:space="preserve"> </w:t>
      </w:r>
      <w:r>
        <w:rPr>
          <w:rFonts w:ascii="Times New Roman" w:eastAsia="Times New Roman" w:hAnsi="Times New Roman" w:cs="Times New Roman"/>
          <w:i/>
          <w:sz w:val="23"/>
        </w:rPr>
        <w:t>z</w:t>
      </w:r>
      <w:r>
        <w:rPr>
          <w:rFonts w:ascii="Times New Roman" w:eastAsia="Times New Roman" w:hAnsi="Times New Roman" w:cs="Times New Roman"/>
          <w:i/>
          <w:sz w:val="20"/>
          <w:vertAlign w:val="subscript"/>
        </w:rPr>
        <w:t>k</w:t>
      </w:r>
      <w:r>
        <w:rPr>
          <w:rFonts w:ascii="Segoe UI Symbol" w:eastAsia="Segoe UI Symbol" w:hAnsi="Segoe UI Symbol" w:cs="Segoe UI Symbol"/>
          <w:sz w:val="20"/>
          <w:vertAlign w:val="subscript"/>
        </w:rPr>
        <w:t></w:t>
      </w:r>
      <w:r>
        <w:rPr>
          <w:rFonts w:ascii="Times New Roman" w:eastAsia="Times New Roman" w:hAnsi="Times New Roman" w:cs="Times New Roman"/>
          <w:sz w:val="20"/>
          <w:vertAlign w:val="subscript"/>
        </w:rPr>
        <w:t>1</w:t>
      </w:r>
      <w:r>
        <w:rPr>
          <w:rFonts w:ascii="Segoe UI Symbol" w:eastAsia="Segoe UI Symbol" w:hAnsi="Segoe UI Symbol" w:cs="Segoe UI Symbol"/>
          <w:sz w:val="30"/>
        </w:rPr>
        <w:t></w:t>
      </w:r>
      <w:r>
        <w:rPr>
          <w:rFonts w:ascii="Segoe UI Symbol" w:eastAsia="Segoe UI Symbol" w:hAnsi="Segoe UI Symbol" w:cs="Segoe UI Symbol"/>
          <w:sz w:val="30"/>
        </w:rPr>
        <w:tab/>
      </w:r>
      <w:r>
        <w:rPr>
          <w:rFonts w:ascii="Times New Roman" w:eastAsia="Times New Roman" w:hAnsi="Times New Roman" w:cs="Times New Roman"/>
          <w:sz w:val="23"/>
        </w:rPr>
        <w:t>1</w:t>
      </w:r>
      <w:r>
        <w:rPr>
          <w:rFonts w:ascii="Times New Roman" w:eastAsia="Times New Roman" w:hAnsi="Times New Roman" w:cs="Times New Roman"/>
          <w:sz w:val="23"/>
        </w:rPr>
        <w:tab/>
      </w:r>
      <w:r>
        <w:rPr>
          <w:rFonts w:ascii="Segoe UI Symbol" w:eastAsia="Segoe UI Symbol" w:hAnsi="Segoe UI Symbol" w:cs="Segoe UI Symbol"/>
          <w:sz w:val="23"/>
        </w:rPr>
        <w:t></w:t>
      </w:r>
      <w:r>
        <w:rPr>
          <w:rFonts w:ascii="Segoe UI Symbol" w:eastAsia="Segoe UI Symbol" w:hAnsi="Segoe UI Symbol" w:cs="Segoe UI Symbol"/>
          <w:sz w:val="23"/>
        </w:rPr>
        <w:tab/>
      </w:r>
      <w:r>
        <w:rPr>
          <w:rFonts w:ascii="Times New Roman" w:eastAsia="Times New Roman" w:hAnsi="Times New Roman" w:cs="Times New Roman"/>
          <w:i/>
          <w:sz w:val="23"/>
        </w:rPr>
        <w:t>l</w:t>
      </w:r>
      <w:r>
        <w:rPr>
          <w:rFonts w:ascii="Times New Roman" w:eastAsia="Times New Roman" w:hAnsi="Times New Roman" w:cs="Times New Roman"/>
          <w:i/>
          <w:sz w:val="23"/>
        </w:rPr>
        <w:tab/>
        <w:t>z</w:t>
      </w:r>
      <w:r>
        <w:rPr>
          <w:rFonts w:ascii="Times New Roman" w:eastAsia="Times New Roman" w:hAnsi="Times New Roman" w:cs="Times New Roman"/>
          <w:i/>
          <w:sz w:val="20"/>
          <w:vertAlign w:val="subscript"/>
        </w:rPr>
        <w:t>k</w:t>
      </w:r>
      <w:r>
        <w:rPr>
          <w:rFonts w:ascii="Segoe UI Symbol" w:eastAsia="Segoe UI Symbol" w:hAnsi="Segoe UI Symbol" w:cs="Segoe UI Symbol"/>
          <w:sz w:val="20"/>
          <w:vertAlign w:val="subscript"/>
        </w:rPr>
        <w:t></w:t>
      </w:r>
      <w:r>
        <w:rPr>
          <w:rFonts w:ascii="Times New Roman" w:eastAsia="Times New Roman" w:hAnsi="Times New Roman" w:cs="Times New Roman"/>
          <w:sz w:val="20"/>
          <w:vertAlign w:val="subscript"/>
        </w:rPr>
        <w:t>1</w:t>
      </w:r>
      <w:r>
        <w:rPr>
          <w:rFonts w:ascii="Times New Roman" w:eastAsia="Times New Roman" w:hAnsi="Times New Roman" w:cs="Times New Roman"/>
          <w:sz w:val="20"/>
          <w:vertAlign w:val="subscript"/>
        </w:rPr>
        <w:tab/>
      </w:r>
      <w:r>
        <w:rPr>
          <w:rFonts w:ascii="Segoe UI Symbol" w:eastAsia="Segoe UI Symbol" w:hAnsi="Segoe UI Symbol" w:cs="Segoe UI Symbol"/>
          <w:sz w:val="23"/>
        </w:rPr>
        <w:t></w:t>
      </w:r>
      <w:r>
        <w:rPr>
          <w:rFonts w:ascii="Segoe UI Symbol" w:eastAsia="Segoe UI Symbol" w:hAnsi="Segoe UI Symbol" w:cs="Segoe UI Symbol"/>
          <w:sz w:val="23"/>
        </w:rPr>
        <w:tab/>
      </w:r>
      <w:r>
        <w:rPr>
          <w:rFonts w:ascii="Times New Roman" w:eastAsia="Times New Roman" w:hAnsi="Times New Roman" w:cs="Times New Roman"/>
          <w:sz w:val="23"/>
        </w:rPr>
        <w:t>1</w:t>
      </w:r>
    </w:p>
    <w:p w:rsidR="0052701D" w:rsidRDefault="00D40929">
      <w:pPr>
        <w:numPr>
          <w:ilvl w:val="0"/>
          <w:numId w:val="8"/>
        </w:numPr>
        <w:spacing w:before="44" w:after="2"/>
        <w:ind w:hanging="1222"/>
      </w:pPr>
      <w:r>
        <w:rPr>
          <w:noProof/>
        </w:rPr>
        <mc:AlternateContent>
          <mc:Choice Requires="wpg">
            <w:drawing>
              <wp:anchor distT="0" distB="0" distL="114300" distR="114300" simplePos="0" relativeHeight="251694080" behindDoc="0" locked="0" layoutInCell="1" allowOverlap="1">
                <wp:simplePos x="0" y="0"/>
                <wp:positionH relativeFrom="column">
                  <wp:posOffset>142112</wp:posOffset>
                </wp:positionH>
                <wp:positionV relativeFrom="paragraph">
                  <wp:posOffset>-28113</wp:posOffset>
                </wp:positionV>
                <wp:extent cx="5218178" cy="5901"/>
                <wp:effectExtent l="0" t="0" r="0" b="0"/>
                <wp:wrapNone/>
                <wp:docPr id="917484" name="Group 917484"/>
                <wp:cNvGraphicFramePr/>
                <a:graphic xmlns:a="http://schemas.openxmlformats.org/drawingml/2006/main">
                  <a:graphicData uri="http://schemas.microsoft.com/office/word/2010/wordprocessingGroup">
                    <wpg:wgp>
                      <wpg:cNvGrpSpPr/>
                      <wpg:grpSpPr>
                        <a:xfrm>
                          <a:off x="0" y="0"/>
                          <a:ext cx="5218178" cy="5901"/>
                          <a:chOff x="0" y="0"/>
                          <a:chExt cx="5218178" cy="5901"/>
                        </a:xfrm>
                      </wpg:grpSpPr>
                      <wps:wsp>
                        <wps:cNvPr id="8653" name="Shape 8653"/>
                        <wps:cNvSpPr/>
                        <wps:spPr>
                          <a:xfrm>
                            <a:off x="0" y="0"/>
                            <a:ext cx="814298" cy="0"/>
                          </a:xfrm>
                          <a:custGeom>
                            <a:avLst/>
                            <a:gdLst/>
                            <a:ahLst/>
                            <a:cxnLst/>
                            <a:rect l="0" t="0" r="0" b="0"/>
                            <a:pathLst>
                              <a:path w="814298">
                                <a:moveTo>
                                  <a:pt x="0" y="0"/>
                                </a:moveTo>
                                <a:lnTo>
                                  <a:pt x="814298" y="0"/>
                                </a:lnTo>
                              </a:path>
                            </a:pathLst>
                          </a:custGeom>
                          <a:ln w="5901" cap="flat">
                            <a:round/>
                          </a:ln>
                        </wps:spPr>
                        <wps:style>
                          <a:lnRef idx="1">
                            <a:srgbClr val="000000"/>
                          </a:lnRef>
                          <a:fillRef idx="0">
                            <a:srgbClr val="000000">
                              <a:alpha val="0"/>
                            </a:srgbClr>
                          </a:fillRef>
                          <a:effectRef idx="0">
                            <a:scrgbClr r="0" g="0" b="0"/>
                          </a:effectRef>
                          <a:fontRef idx="none"/>
                        </wps:style>
                        <wps:bodyPr/>
                      </wps:wsp>
                      <wps:wsp>
                        <wps:cNvPr id="8660" name="Shape 8660"/>
                        <wps:cNvSpPr/>
                        <wps:spPr>
                          <a:xfrm>
                            <a:off x="1034964" y="0"/>
                            <a:ext cx="1337292" cy="0"/>
                          </a:xfrm>
                          <a:custGeom>
                            <a:avLst/>
                            <a:gdLst/>
                            <a:ahLst/>
                            <a:cxnLst/>
                            <a:rect l="0" t="0" r="0" b="0"/>
                            <a:pathLst>
                              <a:path w="1337292">
                                <a:moveTo>
                                  <a:pt x="0" y="0"/>
                                </a:moveTo>
                                <a:lnTo>
                                  <a:pt x="1337292" y="0"/>
                                </a:lnTo>
                              </a:path>
                            </a:pathLst>
                          </a:custGeom>
                          <a:ln w="5901" cap="flat">
                            <a:round/>
                          </a:ln>
                        </wps:spPr>
                        <wps:style>
                          <a:lnRef idx="1">
                            <a:srgbClr val="000000"/>
                          </a:lnRef>
                          <a:fillRef idx="0">
                            <a:srgbClr val="000000">
                              <a:alpha val="0"/>
                            </a:srgbClr>
                          </a:fillRef>
                          <a:effectRef idx="0">
                            <a:scrgbClr r="0" g="0" b="0"/>
                          </a:effectRef>
                          <a:fontRef idx="none"/>
                        </wps:style>
                        <wps:bodyPr/>
                      </wps:wsp>
                      <wps:wsp>
                        <wps:cNvPr id="8663" name="Shape 8663"/>
                        <wps:cNvSpPr/>
                        <wps:spPr>
                          <a:xfrm>
                            <a:off x="2525883" y="0"/>
                            <a:ext cx="379218" cy="0"/>
                          </a:xfrm>
                          <a:custGeom>
                            <a:avLst/>
                            <a:gdLst/>
                            <a:ahLst/>
                            <a:cxnLst/>
                            <a:rect l="0" t="0" r="0" b="0"/>
                            <a:pathLst>
                              <a:path w="379218">
                                <a:moveTo>
                                  <a:pt x="0" y="0"/>
                                </a:moveTo>
                                <a:lnTo>
                                  <a:pt x="379218" y="0"/>
                                </a:lnTo>
                              </a:path>
                            </a:pathLst>
                          </a:custGeom>
                          <a:ln w="5901" cap="flat">
                            <a:round/>
                          </a:ln>
                        </wps:spPr>
                        <wps:style>
                          <a:lnRef idx="1">
                            <a:srgbClr val="000000"/>
                          </a:lnRef>
                          <a:fillRef idx="0">
                            <a:srgbClr val="000000">
                              <a:alpha val="0"/>
                            </a:srgbClr>
                          </a:fillRef>
                          <a:effectRef idx="0">
                            <a:scrgbClr r="0" g="0" b="0"/>
                          </a:effectRef>
                          <a:fontRef idx="none"/>
                        </wps:style>
                        <wps:bodyPr/>
                      </wps:wsp>
                      <wps:wsp>
                        <wps:cNvPr id="8666" name="Shape 8666"/>
                        <wps:cNvSpPr/>
                        <wps:spPr>
                          <a:xfrm>
                            <a:off x="2998885" y="0"/>
                            <a:ext cx="654445" cy="0"/>
                          </a:xfrm>
                          <a:custGeom>
                            <a:avLst/>
                            <a:gdLst/>
                            <a:ahLst/>
                            <a:cxnLst/>
                            <a:rect l="0" t="0" r="0" b="0"/>
                            <a:pathLst>
                              <a:path w="654445">
                                <a:moveTo>
                                  <a:pt x="0" y="0"/>
                                </a:moveTo>
                                <a:lnTo>
                                  <a:pt x="654445" y="0"/>
                                </a:lnTo>
                              </a:path>
                            </a:pathLst>
                          </a:custGeom>
                          <a:ln w="5901" cap="flat">
                            <a:round/>
                          </a:ln>
                        </wps:spPr>
                        <wps:style>
                          <a:lnRef idx="1">
                            <a:srgbClr val="000000"/>
                          </a:lnRef>
                          <a:fillRef idx="0">
                            <a:srgbClr val="000000">
                              <a:alpha val="0"/>
                            </a:srgbClr>
                          </a:fillRef>
                          <a:effectRef idx="0">
                            <a:scrgbClr r="0" g="0" b="0"/>
                          </a:effectRef>
                          <a:fontRef idx="none"/>
                        </wps:style>
                        <wps:bodyPr/>
                      </wps:wsp>
                      <wps:wsp>
                        <wps:cNvPr id="8669" name="Shape 8669"/>
                        <wps:cNvSpPr/>
                        <wps:spPr>
                          <a:xfrm>
                            <a:off x="3806829" y="0"/>
                            <a:ext cx="814579" cy="0"/>
                          </a:xfrm>
                          <a:custGeom>
                            <a:avLst/>
                            <a:gdLst/>
                            <a:ahLst/>
                            <a:cxnLst/>
                            <a:rect l="0" t="0" r="0" b="0"/>
                            <a:pathLst>
                              <a:path w="814579">
                                <a:moveTo>
                                  <a:pt x="0" y="0"/>
                                </a:moveTo>
                                <a:lnTo>
                                  <a:pt x="814579" y="0"/>
                                </a:lnTo>
                              </a:path>
                            </a:pathLst>
                          </a:custGeom>
                          <a:ln w="5901" cap="flat">
                            <a:round/>
                          </a:ln>
                        </wps:spPr>
                        <wps:style>
                          <a:lnRef idx="1">
                            <a:srgbClr val="000000"/>
                          </a:lnRef>
                          <a:fillRef idx="0">
                            <a:srgbClr val="000000">
                              <a:alpha val="0"/>
                            </a:srgbClr>
                          </a:fillRef>
                          <a:effectRef idx="0">
                            <a:scrgbClr r="0" g="0" b="0"/>
                          </a:effectRef>
                          <a:fontRef idx="none"/>
                        </wps:style>
                        <wps:bodyPr/>
                      </wps:wsp>
                      <wps:wsp>
                        <wps:cNvPr id="8672" name="Shape 8672"/>
                        <wps:cNvSpPr/>
                        <wps:spPr>
                          <a:xfrm>
                            <a:off x="4844319" y="0"/>
                            <a:ext cx="373859" cy="0"/>
                          </a:xfrm>
                          <a:custGeom>
                            <a:avLst/>
                            <a:gdLst/>
                            <a:ahLst/>
                            <a:cxnLst/>
                            <a:rect l="0" t="0" r="0" b="0"/>
                            <a:pathLst>
                              <a:path w="373859">
                                <a:moveTo>
                                  <a:pt x="0" y="0"/>
                                </a:moveTo>
                                <a:lnTo>
                                  <a:pt x="373859" y="0"/>
                                </a:lnTo>
                              </a:path>
                            </a:pathLst>
                          </a:custGeom>
                          <a:ln w="5901"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7484" style="width:410.88pt;height:0.464614pt;position:absolute;z-index:328;mso-position-horizontal-relative:text;mso-position-horizontal:absolute;margin-left:11.1899pt;mso-position-vertical-relative:text;margin-top:-2.2137pt;" coordsize="52181,59">
                <v:shape id="Shape 8653" style="position:absolute;width:8142;height:0;left:0;top:0;" coordsize="814298,0" path="m0,0l814298,0">
                  <v:stroke weight="0.464614pt" endcap="flat" joinstyle="round" on="true" color="#000000"/>
                  <v:fill on="false" color="#000000" opacity="0"/>
                </v:shape>
                <v:shape id="Shape 8660" style="position:absolute;width:13372;height:0;left:10349;top:0;" coordsize="1337292,0" path="m0,0l1337292,0">
                  <v:stroke weight="0.464614pt" endcap="flat" joinstyle="round" on="true" color="#000000"/>
                  <v:fill on="false" color="#000000" opacity="0"/>
                </v:shape>
                <v:shape id="Shape 8663" style="position:absolute;width:3792;height:0;left:25258;top:0;" coordsize="379218,0" path="m0,0l379218,0">
                  <v:stroke weight="0.464614pt" endcap="flat" joinstyle="round" on="true" color="#000000"/>
                  <v:fill on="false" color="#000000" opacity="0"/>
                </v:shape>
                <v:shape id="Shape 8666" style="position:absolute;width:6544;height:0;left:29988;top:0;" coordsize="654445,0" path="m0,0l654445,0">
                  <v:stroke weight="0.464614pt" endcap="flat" joinstyle="round" on="true" color="#000000"/>
                  <v:fill on="false" color="#000000" opacity="0"/>
                </v:shape>
                <v:shape id="Shape 8669" style="position:absolute;width:8145;height:0;left:38068;top:0;" coordsize="814579,0" path="m0,0l814579,0">
                  <v:stroke weight="0.464614pt" endcap="flat" joinstyle="round" on="true" color="#000000"/>
                  <v:fill on="false" color="#000000" opacity="0"/>
                </v:shape>
                <v:shape id="Shape 8672" style="position:absolute;width:3738;height:0;left:48443;top:0;" coordsize="373859,0" path="m0,0l373859,0">
                  <v:stroke weight="0.464614pt" endcap="flat" joinstyle="round" on="true" color="#000000"/>
                  <v:fill on="false" color="#000000" opacity="0"/>
                </v:shape>
              </v:group>
            </w:pict>
          </mc:Fallback>
        </mc:AlternateContent>
      </w:r>
      <w:r>
        <w:rPr>
          <w:rFonts w:ascii="Times New Roman" w:eastAsia="Times New Roman" w:hAnsi="Times New Roman" w:cs="Times New Roman"/>
          <w:i/>
          <w:sz w:val="23"/>
        </w:rPr>
        <w:t>h</w:t>
      </w:r>
      <w:r>
        <w:rPr>
          <w:rFonts w:ascii="Times New Roman" w:eastAsia="Times New Roman" w:hAnsi="Times New Roman" w:cs="Times New Roman"/>
          <w:sz w:val="13"/>
        </w:rPr>
        <w:t>0</w:t>
      </w:r>
      <w:r>
        <w:rPr>
          <w:rFonts w:ascii="Times New Roman" w:eastAsia="Times New Roman" w:hAnsi="Times New Roman" w:cs="Times New Roman"/>
          <w:sz w:val="13"/>
        </w:rPr>
        <w:tab/>
      </w:r>
      <w:r>
        <w:rPr>
          <w:rFonts w:ascii="Times New Roman" w:eastAsia="Times New Roman" w:hAnsi="Times New Roman" w:cs="Times New Roman"/>
          <w:i/>
          <w:sz w:val="13"/>
        </w:rPr>
        <w:t>k</w:t>
      </w:r>
      <w:r>
        <w:rPr>
          <w:rFonts w:ascii="Segoe UI Symbol" w:eastAsia="Segoe UI Symbol" w:hAnsi="Segoe UI Symbol" w:cs="Segoe UI Symbol"/>
          <w:sz w:val="13"/>
        </w:rPr>
        <w:t xml:space="preserve"> </w:t>
      </w:r>
      <w:r>
        <w:rPr>
          <w:rFonts w:ascii="Segoe UI Symbol" w:eastAsia="Segoe UI Symbol" w:hAnsi="Segoe UI Symbol" w:cs="Segoe UI Symbol"/>
          <w:sz w:val="30"/>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ab/>
      </w:r>
      <w:r>
        <w:rPr>
          <w:rFonts w:ascii="Times New Roman" w:eastAsia="Times New Roman" w:hAnsi="Times New Roman" w:cs="Times New Roman"/>
          <w:sz w:val="13"/>
        </w:rPr>
        <w:t>2</w:t>
      </w:r>
      <w:r>
        <w:rPr>
          <w:rFonts w:ascii="Times New Roman" w:eastAsia="Times New Roman" w:hAnsi="Times New Roman" w:cs="Times New Roman"/>
          <w:sz w:val="13"/>
        </w:rPr>
        <w:tab/>
      </w:r>
      <w:r>
        <w:rPr>
          <w:rFonts w:ascii="Segoe UI Symbol" w:eastAsia="Segoe UI Symbol" w:hAnsi="Segoe UI Symbol" w:cs="Segoe UI Symbol"/>
          <w:sz w:val="13"/>
        </w:rPr>
        <w:t xml:space="preserve"> </w:t>
      </w:r>
      <w:r>
        <w:rPr>
          <w:rFonts w:ascii="Times New Roman" w:eastAsia="Times New Roman" w:hAnsi="Times New Roman" w:cs="Times New Roman"/>
          <w:sz w:val="13"/>
        </w:rPr>
        <w:t xml:space="preserve">2 </w:t>
      </w:r>
      <w:r>
        <w:rPr>
          <w:rFonts w:ascii="Segoe UI Symbol" w:eastAsia="Segoe UI Symbol" w:hAnsi="Segoe UI Symbol" w:cs="Segoe UI Symbol"/>
          <w:sz w:val="23"/>
        </w:rPr>
        <w:t></w:t>
      </w:r>
      <w:r>
        <w:rPr>
          <w:rFonts w:ascii="Segoe UI Symbol" w:eastAsia="Segoe UI Symbol" w:hAnsi="Segoe UI Symbol" w:cs="Segoe UI Symbol"/>
          <w:sz w:val="23"/>
        </w:rPr>
        <w:tab/>
      </w:r>
      <w:r>
        <w:rPr>
          <w:rFonts w:ascii="Times New Roman" w:eastAsia="Times New Roman" w:hAnsi="Times New Roman" w:cs="Times New Roman"/>
          <w:sz w:val="13"/>
        </w:rPr>
        <w:t xml:space="preserve">2 </w:t>
      </w:r>
      <w:r>
        <w:rPr>
          <w:rFonts w:ascii="Segoe UI Symbol" w:eastAsia="Segoe UI Symbol" w:hAnsi="Segoe UI Symbol" w:cs="Segoe UI Symbol"/>
          <w:sz w:val="23"/>
        </w:rPr>
        <w:t></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Times New Roman" w:eastAsia="Times New Roman" w:hAnsi="Times New Roman" w:cs="Times New Roman"/>
          <w:sz w:val="13"/>
        </w:rPr>
        <w:t xml:space="preserve">0 </w:t>
      </w:r>
      <w:r>
        <w:rPr>
          <w:rFonts w:ascii="Segoe UI Symbol" w:eastAsia="Segoe UI Symbol" w:hAnsi="Segoe UI Symbol" w:cs="Segoe UI Symbol"/>
          <w:sz w:val="23"/>
        </w:rPr>
        <w:t></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Times New Roman" w:eastAsia="Times New Roman" w:hAnsi="Times New Roman" w:cs="Times New Roman"/>
          <w:i/>
          <w:sz w:val="23"/>
        </w:rPr>
        <w:t>z</w:t>
      </w:r>
      <w:r>
        <w:rPr>
          <w:rFonts w:ascii="Segoe UI Symbol" w:eastAsia="Segoe UI Symbol" w:hAnsi="Segoe UI Symbol" w:cs="Segoe UI Symbol"/>
          <w:sz w:val="30"/>
        </w:rPr>
        <w:t></w:t>
      </w:r>
      <w:r>
        <w:rPr>
          <w:rFonts w:ascii="Segoe UI Symbol" w:eastAsia="Segoe UI Symbol" w:hAnsi="Segoe UI Symbol" w:cs="Segoe UI Symbol"/>
          <w:sz w:val="23"/>
        </w:rPr>
        <w:t xml:space="preserve"> </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Times New Roman" w:eastAsia="Times New Roman" w:hAnsi="Times New Roman" w:cs="Times New Roman"/>
          <w:sz w:val="13"/>
        </w:rPr>
        <w:t xml:space="preserve">0 </w:t>
      </w:r>
      <w:r>
        <w:rPr>
          <w:rFonts w:ascii="Segoe UI Symbol" w:eastAsia="Segoe UI Symbol" w:hAnsi="Segoe UI Symbol" w:cs="Segoe UI Symbol"/>
          <w:sz w:val="23"/>
        </w:rPr>
        <w:t></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Times New Roman" w:eastAsia="Times New Roman" w:hAnsi="Times New Roman" w:cs="Times New Roman"/>
          <w:i/>
          <w:sz w:val="23"/>
        </w:rPr>
        <w:t>z</w:t>
      </w:r>
      <w:r>
        <w:rPr>
          <w:rFonts w:ascii="Times New Roman" w:eastAsia="Times New Roman" w:hAnsi="Times New Roman" w:cs="Times New Roman"/>
          <w:i/>
          <w:sz w:val="13"/>
        </w:rPr>
        <w:t>k</w:t>
      </w:r>
      <w:r>
        <w:rPr>
          <w:rFonts w:ascii="Segoe UI Symbol" w:eastAsia="Segoe UI Symbol" w:hAnsi="Segoe UI Symbol" w:cs="Segoe UI Symbol"/>
          <w:sz w:val="13"/>
        </w:rPr>
        <w:t></w:t>
      </w:r>
      <w:r>
        <w:rPr>
          <w:rFonts w:ascii="Times New Roman" w:eastAsia="Times New Roman" w:hAnsi="Times New Roman" w:cs="Times New Roman"/>
          <w:sz w:val="13"/>
        </w:rPr>
        <w:t>1</w:t>
      </w:r>
      <w:r>
        <w:rPr>
          <w:rFonts w:ascii="Segoe UI Symbol" w:eastAsia="Segoe UI Symbol" w:hAnsi="Segoe UI Symbol" w:cs="Segoe UI Symbol"/>
          <w:sz w:val="30"/>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 xml:space="preserve"> </w:t>
      </w:r>
      <w:r>
        <w:rPr>
          <w:rFonts w:ascii="Segoe UI Symbol" w:eastAsia="Segoe UI Symbol" w:hAnsi="Segoe UI Symbol" w:cs="Segoe UI Symbol"/>
          <w:sz w:val="30"/>
        </w:rPr>
        <w:t></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Segoe UI Symbol" w:eastAsia="Segoe UI Symbol" w:hAnsi="Segoe UI Symbol" w:cs="Segoe UI Symbol"/>
          <w:sz w:val="30"/>
        </w:rPr>
        <w:t></w:t>
      </w:r>
      <w:r>
        <w:rPr>
          <w:rFonts w:ascii="Times New Roman" w:eastAsia="Times New Roman" w:hAnsi="Times New Roman" w:cs="Times New Roman"/>
          <w:sz w:val="13"/>
        </w:rPr>
        <w:t xml:space="preserve">3 </w:t>
      </w:r>
      <w:r>
        <w:rPr>
          <w:rFonts w:ascii="Segoe UI Symbol" w:eastAsia="Segoe UI Symbol" w:hAnsi="Segoe UI Symbol" w:cs="Segoe UI Symbol"/>
          <w:sz w:val="23"/>
        </w:rPr>
        <w:t></w:t>
      </w:r>
      <w:r>
        <w:rPr>
          <w:rFonts w:ascii="Times New Roman" w:eastAsia="Times New Roman" w:hAnsi="Times New Roman" w:cs="Times New Roman"/>
        </w:rPr>
        <w:t xml:space="preserve"> </w:t>
      </w:r>
    </w:p>
    <w:p w:rsidR="0052701D" w:rsidRDefault="00D40929">
      <w:pPr>
        <w:tabs>
          <w:tab w:val="center" w:pos="2040"/>
          <w:tab w:val="center" w:pos="4575"/>
        </w:tabs>
        <w:spacing w:after="490" w:line="265" w:lineRule="auto"/>
      </w:pPr>
      <w:r>
        <w:tab/>
      </w:r>
      <w:r>
        <w:rPr>
          <w:rFonts w:ascii="Segoe UI Symbol" w:eastAsia="Segoe UI Symbol" w:hAnsi="Segoe UI Symbol" w:cs="Segoe UI Symbol"/>
          <w:sz w:val="30"/>
        </w:rPr>
        <w:t xml:space="preserve"> </w:t>
      </w:r>
      <w:r>
        <w:rPr>
          <w:rFonts w:ascii="Segoe UI Symbol" w:eastAsia="Segoe UI Symbol" w:hAnsi="Segoe UI Symbol" w:cs="Segoe UI Symbol"/>
          <w:sz w:val="23"/>
        </w:rPr>
        <w:t></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Times New Roman" w:eastAsia="Times New Roman" w:hAnsi="Times New Roman" w:cs="Times New Roman"/>
          <w:i/>
          <w:sz w:val="23"/>
        </w:rPr>
        <w:t xml:space="preserve">z </w:t>
      </w:r>
      <w:r>
        <w:rPr>
          <w:rFonts w:ascii="Times New Roman" w:eastAsia="Times New Roman" w:hAnsi="Times New Roman" w:cs="Times New Roman"/>
          <w:sz w:val="13"/>
        </w:rPr>
        <w:t xml:space="preserve">1 </w:t>
      </w:r>
      <w:r>
        <w:rPr>
          <w:rFonts w:ascii="Segoe UI Symbol" w:eastAsia="Segoe UI Symbol" w:hAnsi="Segoe UI Symbol" w:cs="Segoe UI Symbol"/>
          <w:sz w:val="23"/>
        </w:rPr>
        <w:t xml:space="preserve"> </w:t>
      </w:r>
      <w:r>
        <w:rPr>
          <w:rFonts w:ascii="Times New Roman" w:eastAsia="Times New Roman" w:hAnsi="Times New Roman" w:cs="Times New Roman"/>
          <w:sz w:val="23"/>
        </w:rPr>
        <w:t>2</w:t>
      </w:r>
      <w:r>
        <w:rPr>
          <w:rFonts w:ascii="Segoe UI Symbol" w:eastAsia="Segoe UI Symbol" w:hAnsi="Segoe UI Symbol" w:cs="Segoe UI Symbol"/>
          <w:sz w:val="30"/>
        </w:rPr>
        <w:t></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Segoe UI Symbol" w:eastAsia="Segoe UI Symbol" w:hAnsi="Segoe UI Symbol" w:cs="Segoe UI Symbol"/>
          <w:sz w:val="30"/>
        </w:rPr>
        <w:t xml:space="preserve"> </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Times New Roman" w:eastAsia="Times New Roman" w:hAnsi="Times New Roman" w:cs="Times New Roman"/>
          <w:sz w:val="13"/>
        </w:rPr>
        <w:t xml:space="preserve">0 </w:t>
      </w:r>
      <w:r>
        <w:rPr>
          <w:rFonts w:ascii="Segoe UI Symbol" w:eastAsia="Segoe UI Symbol" w:hAnsi="Segoe UI Symbol" w:cs="Segoe UI Symbol"/>
          <w:sz w:val="23"/>
        </w:rPr>
        <w:t></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Times New Roman" w:eastAsia="Times New Roman" w:hAnsi="Times New Roman" w:cs="Times New Roman"/>
          <w:i/>
          <w:sz w:val="23"/>
        </w:rPr>
        <w:t>z</w:t>
      </w:r>
      <w:r>
        <w:rPr>
          <w:rFonts w:ascii="Times New Roman" w:eastAsia="Times New Roman" w:hAnsi="Times New Roman" w:cs="Times New Roman"/>
          <w:i/>
          <w:sz w:val="13"/>
        </w:rPr>
        <w:t xml:space="preserve">k </w:t>
      </w:r>
      <w:r>
        <w:rPr>
          <w:rFonts w:ascii="Times New Roman" w:eastAsia="Times New Roman" w:hAnsi="Times New Roman" w:cs="Times New Roman"/>
          <w:sz w:val="13"/>
        </w:rPr>
        <w:t>1</w:t>
      </w:r>
      <w:r>
        <w:rPr>
          <w:rFonts w:ascii="Segoe UI Symbol" w:eastAsia="Segoe UI Symbol" w:hAnsi="Segoe UI Symbol" w:cs="Segoe UI Symbol"/>
          <w:sz w:val="30"/>
        </w:rPr>
        <w:t></w:t>
      </w:r>
      <w:r>
        <w:rPr>
          <w:rFonts w:ascii="Segoe UI Symbol" w:eastAsia="Segoe UI Symbol" w:hAnsi="Segoe UI Symbol" w:cs="Segoe UI Symbol"/>
          <w:sz w:val="30"/>
        </w:rPr>
        <w:tab/>
      </w:r>
      <w:r>
        <w:rPr>
          <w:rFonts w:ascii="Segoe UI Symbol" w:eastAsia="Segoe UI Symbol" w:hAnsi="Segoe UI Symbol" w:cs="Segoe UI Symbol"/>
          <w:sz w:val="30"/>
        </w:rPr>
        <w:t></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Segoe UI Symbol" w:eastAsia="Segoe UI Symbol" w:hAnsi="Segoe UI Symbol" w:cs="Segoe UI Symbol"/>
          <w:sz w:val="30"/>
        </w:rPr>
        <w:t xml:space="preserve"> </w:t>
      </w:r>
      <w:r>
        <w:rPr>
          <w:rFonts w:ascii="Segoe UI Symbol" w:eastAsia="Segoe UI Symbol" w:hAnsi="Segoe UI Symbol" w:cs="Segoe UI Symbol"/>
          <w:sz w:val="23"/>
        </w:rPr>
        <w:t></w:t>
      </w:r>
    </w:p>
    <w:p w:rsidR="0052701D" w:rsidRDefault="00D40929">
      <w:pPr>
        <w:spacing w:after="535"/>
        <w:ind w:left="33" w:hanging="10"/>
      </w:pPr>
      <w:r>
        <w:rPr>
          <w:noProof/>
        </w:rPr>
        <mc:AlternateContent>
          <mc:Choice Requires="wpg">
            <w:drawing>
              <wp:anchor distT="0" distB="0" distL="114300" distR="114300" simplePos="0" relativeHeight="251695104" behindDoc="0" locked="0" layoutInCell="1" allowOverlap="1">
                <wp:simplePos x="0" y="0"/>
                <wp:positionH relativeFrom="column">
                  <wp:posOffset>265811</wp:posOffset>
                </wp:positionH>
                <wp:positionV relativeFrom="paragraph">
                  <wp:posOffset>13424</wp:posOffset>
                </wp:positionV>
                <wp:extent cx="4398160" cy="5901"/>
                <wp:effectExtent l="0" t="0" r="0" b="0"/>
                <wp:wrapNone/>
                <wp:docPr id="917485" name="Group 917485"/>
                <wp:cNvGraphicFramePr/>
                <a:graphic xmlns:a="http://schemas.openxmlformats.org/drawingml/2006/main">
                  <a:graphicData uri="http://schemas.microsoft.com/office/word/2010/wordprocessingGroup">
                    <wpg:wgp>
                      <wpg:cNvGrpSpPr/>
                      <wpg:grpSpPr>
                        <a:xfrm>
                          <a:off x="0" y="0"/>
                          <a:ext cx="4398160" cy="5901"/>
                          <a:chOff x="0" y="0"/>
                          <a:chExt cx="4398160" cy="5901"/>
                        </a:xfrm>
                      </wpg:grpSpPr>
                      <wps:wsp>
                        <wps:cNvPr id="8760" name="Shape 8760"/>
                        <wps:cNvSpPr/>
                        <wps:spPr>
                          <a:xfrm>
                            <a:off x="0" y="0"/>
                            <a:ext cx="804704" cy="0"/>
                          </a:xfrm>
                          <a:custGeom>
                            <a:avLst/>
                            <a:gdLst/>
                            <a:ahLst/>
                            <a:cxnLst/>
                            <a:rect l="0" t="0" r="0" b="0"/>
                            <a:pathLst>
                              <a:path w="804704">
                                <a:moveTo>
                                  <a:pt x="0" y="0"/>
                                </a:moveTo>
                                <a:lnTo>
                                  <a:pt x="804704" y="0"/>
                                </a:lnTo>
                              </a:path>
                            </a:pathLst>
                          </a:custGeom>
                          <a:ln w="5901" cap="flat">
                            <a:round/>
                          </a:ln>
                        </wps:spPr>
                        <wps:style>
                          <a:lnRef idx="1">
                            <a:srgbClr val="000000"/>
                          </a:lnRef>
                          <a:fillRef idx="0">
                            <a:srgbClr val="000000">
                              <a:alpha val="0"/>
                            </a:srgbClr>
                          </a:fillRef>
                          <a:effectRef idx="0">
                            <a:scrgbClr r="0" g="0" b="0"/>
                          </a:effectRef>
                          <a:fontRef idx="none"/>
                        </wps:style>
                        <wps:bodyPr/>
                      </wps:wsp>
                      <wps:wsp>
                        <wps:cNvPr id="8767" name="Shape 8767"/>
                        <wps:cNvSpPr/>
                        <wps:spPr>
                          <a:xfrm>
                            <a:off x="956070" y="0"/>
                            <a:ext cx="1165984" cy="0"/>
                          </a:xfrm>
                          <a:custGeom>
                            <a:avLst/>
                            <a:gdLst/>
                            <a:ahLst/>
                            <a:cxnLst/>
                            <a:rect l="0" t="0" r="0" b="0"/>
                            <a:pathLst>
                              <a:path w="1165984">
                                <a:moveTo>
                                  <a:pt x="0" y="0"/>
                                </a:moveTo>
                                <a:lnTo>
                                  <a:pt x="1165984" y="0"/>
                                </a:lnTo>
                              </a:path>
                            </a:pathLst>
                          </a:custGeom>
                          <a:ln w="5901" cap="flat">
                            <a:round/>
                          </a:ln>
                        </wps:spPr>
                        <wps:style>
                          <a:lnRef idx="1">
                            <a:srgbClr val="000000"/>
                          </a:lnRef>
                          <a:fillRef idx="0">
                            <a:srgbClr val="000000">
                              <a:alpha val="0"/>
                            </a:srgbClr>
                          </a:fillRef>
                          <a:effectRef idx="0">
                            <a:scrgbClr r="0" g="0" b="0"/>
                          </a:effectRef>
                          <a:fontRef idx="none"/>
                        </wps:style>
                        <wps:bodyPr/>
                      </wps:wsp>
                      <wps:wsp>
                        <wps:cNvPr id="8770" name="Shape 8770"/>
                        <wps:cNvSpPr/>
                        <wps:spPr>
                          <a:xfrm>
                            <a:off x="2276207" y="0"/>
                            <a:ext cx="452877" cy="0"/>
                          </a:xfrm>
                          <a:custGeom>
                            <a:avLst/>
                            <a:gdLst/>
                            <a:ahLst/>
                            <a:cxnLst/>
                            <a:rect l="0" t="0" r="0" b="0"/>
                            <a:pathLst>
                              <a:path w="452877">
                                <a:moveTo>
                                  <a:pt x="0" y="0"/>
                                </a:moveTo>
                                <a:lnTo>
                                  <a:pt x="452877" y="0"/>
                                </a:lnTo>
                              </a:path>
                            </a:pathLst>
                          </a:custGeom>
                          <a:ln w="5901" cap="flat">
                            <a:round/>
                          </a:ln>
                        </wps:spPr>
                        <wps:style>
                          <a:lnRef idx="1">
                            <a:srgbClr val="000000"/>
                          </a:lnRef>
                          <a:fillRef idx="0">
                            <a:srgbClr val="000000">
                              <a:alpha val="0"/>
                            </a:srgbClr>
                          </a:fillRef>
                          <a:effectRef idx="0">
                            <a:scrgbClr r="0" g="0" b="0"/>
                          </a:effectRef>
                          <a:fontRef idx="none"/>
                        </wps:style>
                        <wps:bodyPr/>
                      </wps:wsp>
                      <wps:wsp>
                        <wps:cNvPr id="8773" name="Shape 8773"/>
                        <wps:cNvSpPr/>
                        <wps:spPr>
                          <a:xfrm>
                            <a:off x="2821600" y="0"/>
                            <a:ext cx="620515" cy="0"/>
                          </a:xfrm>
                          <a:custGeom>
                            <a:avLst/>
                            <a:gdLst/>
                            <a:ahLst/>
                            <a:cxnLst/>
                            <a:rect l="0" t="0" r="0" b="0"/>
                            <a:pathLst>
                              <a:path w="620515">
                                <a:moveTo>
                                  <a:pt x="0" y="0"/>
                                </a:moveTo>
                                <a:lnTo>
                                  <a:pt x="620515" y="0"/>
                                </a:lnTo>
                              </a:path>
                            </a:pathLst>
                          </a:custGeom>
                          <a:ln w="5901" cap="flat">
                            <a:round/>
                          </a:ln>
                        </wps:spPr>
                        <wps:style>
                          <a:lnRef idx="1">
                            <a:srgbClr val="000000"/>
                          </a:lnRef>
                          <a:fillRef idx="0">
                            <a:srgbClr val="000000">
                              <a:alpha val="0"/>
                            </a:srgbClr>
                          </a:fillRef>
                          <a:effectRef idx="0">
                            <a:scrgbClr r="0" g="0" b="0"/>
                          </a:effectRef>
                          <a:fontRef idx="none"/>
                        </wps:style>
                        <wps:bodyPr/>
                      </wps:wsp>
                      <wps:wsp>
                        <wps:cNvPr id="8776" name="Shape 8776"/>
                        <wps:cNvSpPr/>
                        <wps:spPr>
                          <a:xfrm>
                            <a:off x="3593746" y="0"/>
                            <a:ext cx="804414" cy="0"/>
                          </a:xfrm>
                          <a:custGeom>
                            <a:avLst/>
                            <a:gdLst/>
                            <a:ahLst/>
                            <a:cxnLst/>
                            <a:rect l="0" t="0" r="0" b="0"/>
                            <a:pathLst>
                              <a:path w="804414">
                                <a:moveTo>
                                  <a:pt x="0" y="0"/>
                                </a:moveTo>
                                <a:lnTo>
                                  <a:pt x="804414" y="0"/>
                                </a:lnTo>
                              </a:path>
                            </a:pathLst>
                          </a:custGeom>
                          <a:ln w="5901"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7485" style="width:346.312pt;height:0.464614pt;position:absolute;z-index:434;mso-position-horizontal-relative:text;mso-position-horizontal:absolute;margin-left:20.93pt;mso-position-vertical-relative:text;margin-top:1.05701pt;" coordsize="43981,59">
                <v:shape id="Shape 8760" style="position:absolute;width:8047;height:0;left:0;top:0;" coordsize="804704,0" path="m0,0l804704,0">
                  <v:stroke weight="0.464614pt" endcap="flat" joinstyle="round" on="true" color="#000000"/>
                  <v:fill on="false" color="#000000" opacity="0"/>
                </v:shape>
                <v:shape id="Shape 8767" style="position:absolute;width:11659;height:0;left:9560;top:0;" coordsize="1165984,0" path="m0,0l1165984,0">
                  <v:stroke weight="0.464614pt" endcap="flat" joinstyle="round" on="true" color="#000000"/>
                  <v:fill on="false" color="#000000" opacity="0"/>
                </v:shape>
                <v:shape id="Shape 8770" style="position:absolute;width:4528;height:0;left:22762;top:0;" coordsize="452877,0" path="m0,0l452877,0">
                  <v:stroke weight="0.464614pt" endcap="flat" joinstyle="round" on="true" color="#000000"/>
                  <v:fill on="false" color="#000000" opacity="0"/>
                </v:shape>
                <v:shape id="Shape 8773" style="position:absolute;width:6205;height:0;left:28216;top:0;" coordsize="620515,0" path="m0,0l620515,0">
                  <v:stroke weight="0.464614pt" endcap="flat" joinstyle="round" on="true" color="#000000"/>
                  <v:fill on="false" color="#000000" opacity="0"/>
                </v:shape>
                <v:shape id="Shape 8776" style="position:absolute;width:8044;height:0;left:35937;top:0;" coordsize="804414,0" path="m0,0l804414,0">
                  <v:stroke weight="0.464614pt" endcap="flat" joinstyle="round" on="true" color="#000000"/>
                  <v:fill on="false" color="#000000" opacity="0"/>
                </v:shape>
              </v:group>
            </w:pict>
          </mc:Fallback>
        </mc:AlternateContent>
      </w:r>
      <w:r>
        <w:rPr>
          <w:rFonts w:ascii="Segoe UI Symbol" w:eastAsia="Segoe UI Symbol" w:hAnsi="Segoe UI Symbol" w:cs="Segoe UI Symbol"/>
          <w:sz w:val="23"/>
        </w:rPr>
        <w:t></w:t>
      </w:r>
      <w:r>
        <w:rPr>
          <w:rFonts w:ascii="Times New Roman" w:eastAsia="Times New Roman" w:hAnsi="Times New Roman" w:cs="Times New Roman"/>
          <w:sz w:val="23"/>
        </w:rPr>
        <w:t xml:space="preserve">ln </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Segoe UI Symbol" w:eastAsia="Segoe UI Symbol" w:hAnsi="Segoe UI Symbol" w:cs="Segoe UI Symbol"/>
          <w:sz w:val="30"/>
        </w:rPr>
        <w:t></w:t>
      </w:r>
      <w:r>
        <w:rPr>
          <w:rFonts w:ascii="Times New Roman" w:eastAsia="Times New Roman" w:hAnsi="Times New Roman" w:cs="Times New Roman"/>
          <w:sz w:val="20"/>
          <w:vertAlign w:val="subscript"/>
        </w:rPr>
        <w:t>0</w:t>
      </w:r>
      <w:r>
        <w:rPr>
          <w:rFonts w:ascii="Times New Roman" w:eastAsia="Times New Roman" w:hAnsi="Times New Roman" w:cs="Times New Roman"/>
          <w:i/>
          <w:sz w:val="23"/>
        </w:rPr>
        <w:t>h</w:t>
      </w:r>
      <w:r>
        <w:rPr>
          <w:rFonts w:ascii="Times New Roman" w:eastAsia="Times New Roman" w:hAnsi="Times New Roman" w:cs="Times New Roman"/>
          <w:sz w:val="13"/>
        </w:rPr>
        <w:t>0</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Segoe UI Symbol" w:eastAsia="Segoe UI Symbol" w:hAnsi="Segoe UI Symbol" w:cs="Segoe UI Symbol"/>
          <w:sz w:val="24"/>
        </w:rPr>
        <w:t></w:t>
      </w:r>
      <w:r>
        <w:rPr>
          <w:rFonts w:ascii="Times New Roman" w:eastAsia="Times New Roman" w:hAnsi="Times New Roman" w:cs="Times New Roman"/>
          <w:sz w:val="20"/>
          <w:vertAlign w:val="subscript"/>
        </w:rPr>
        <w:t>1</w:t>
      </w:r>
      <w:r>
        <w:rPr>
          <w:rFonts w:ascii="Times New Roman" w:eastAsia="Times New Roman" w:hAnsi="Times New Roman" w:cs="Times New Roman"/>
          <w:i/>
          <w:sz w:val="23"/>
        </w:rPr>
        <w:t>hz</w:t>
      </w:r>
      <w:r>
        <w:rPr>
          <w:rFonts w:ascii="Times New Roman" w:eastAsia="Times New Roman" w:hAnsi="Times New Roman" w:cs="Times New Roman"/>
          <w:sz w:val="13"/>
        </w:rPr>
        <w:t>1</w:t>
      </w:r>
      <w:r>
        <w:rPr>
          <w:rFonts w:ascii="Times New Roman" w:eastAsia="Times New Roman" w:hAnsi="Times New Roman" w:cs="Times New Roman"/>
          <w:i/>
          <w:sz w:val="20"/>
          <w:vertAlign w:val="subscript"/>
        </w:rPr>
        <w:t>k</w:t>
      </w:r>
      <w:r>
        <w:rPr>
          <w:rFonts w:ascii="Times New Roman" w:eastAsia="Times New Roman" w:hAnsi="Times New Roman" w:cs="Times New Roman"/>
          <w:i/>
          <w:sz w:val="35"/>
          <w:vertAlign w:val="superscript"/>
        </w:rPr>
        <w:t>l</w:t>
      </w:r>
      <w:r>
        <w:rPr>
          <w:rFonts w:ascii="Segoe UI Symbol" w:eastAsia="Segoe UI Symbol" w:hAnsi="Segoe UI Symbol" w:cs="Segoe UI Symbol"/>
          <w:sz w:val="13"/>
        </w:rPr>
        <w:t></w:t>
      </w:r>
      <w:r>
        <w:rPr>
          <w:rFonts w:ascii="Segoe UI Symbol" w:eastAsia="Segoe UI Symbol" w:hAnsi="Segoe UI Symbol" w:cs="Segoe UI Symbol"/>
          <w:sz w:val="46"/>
          <w:vertAlign w:val="superscript"/>
        </w:rPr>
        <w:t></w:t>
      </w:r>
      <w:r>
        <w:rPr>
          <w:rFonts w:ascii="Times New Roman" w:eastAsia="Times New Roman" w:hAnsi="Times New Roman" w:cs="Times New Roman"/>
          <w:sz w:val="20"/>
          <w:vertAlign w:val="subscript"/>
        </w:rPr>
        <w:t>1</w:t>
      </w:r>
      <w:r>
        <w:rPr>
          <w:rFonts w:ascii="Segoe UI Symbol" w:eastAsia="Segoe UI Symbol" w:hAnsi="Segoe UI Symbol" w:cs="Segoe UI Symbol"/>
          <w:sz w:val="30"/>
        </w:rPr>
        <w:t></w:t>
      </w:r>
      <w:r>
        <w:rPr>
          <w:rFonts w:ascii="Segoe UI Symbol" w:eastAsia="Segoe UI Symbol" w:hAnsi="Segoe UI Symbol" w:cs="Segoe UI Symbol"/>
          <w:sz w:val="23"/>
        </w:rPr>
        <w:t xml:space="preserve"> </w:t>
      </w:r>
      <w:r>
        <w:rPr>
          <w:rFonts w:ascii="Segoe UI Symbol" w:eastAsia="Segoe UI Symbol" w:hAnsi="Segoe UI Symbol" w:cs="Segoe UI Symbol"/>
          <w:sz w:val="30"/>
        </w:rPr>
        <w:t></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20"/>
          <w:vertAlign w:val="subscript"/>
        </w:rPr>
        <w:t>1</w:t>
      </w:r>
      <w:r>
        <w:rPr>
          <w:rFonts w:ascii="Times New Roman" w:eastAsia="Times New Roman" w:hAnsi="Times New Roman" w:cs="Times New Roman"/>
          <w:i/>
          <w:sz w:val="23"/>
        </w:rPr>
        <w:t>z</w:t>
      </w:r>
      <w:r>
        <w:rPr>
          <w:rFonts w:ascii="Segoe UI Symbol" w:eastAsia="Segoe UI Symbol" w:hAnsi="Segoe UI Symbol" w:cs="Segoe UI Symbol"/>
          <w:sz w:val="30"/>
        </w:rPr>
        <w:t></w:t>
      </w:r>
      <w:r>
        <w:rPr>
          <w:rFonts w:ascii="Times New Roman" w:eastAsia="Times New Roman" w:hAnsi="Times New Roman" w:cs="Times New Roman"/>
          <w:i/>
          <w:sz w:val="13"/>
        </w:rPr>
        <w:t>k</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Segoe UI Symbol" w:eastAsia="Segoe UI Symbol" w:hAnsi="Segoe UI Symbol" w:cs="Segoe UI Symbol"/>
          <w:sz w:val="13"/>
        </w:rPr>
        <w:t></w:t>
      </w:r>
      <w:r>
        <w:rPr>
          <w:rFonts w:ascii="Times New Roman" w:eastAsia="Times New Roman" w:hAnsi="Times New Roman" w:cs="Times New Roman"/>
          <w:sz w:val="13"/>
        </w:rPr>
        <w:t>1</w:t>
      </w:r>
      <w:r>
        <w:rPr>
          <w:rFonts w:ascii="Times New Roman" w:eastAsia="Times New Roman" w:hAnsi="Times New Roman" w:cs="Times New Roman"/>
          <w:sz w:val="20"/>
          <w:vertAlign w:val="subscript"/>
        </w:rPr>
        <w:t>0</w:t>
      </w:r>
      <w:r>
        <w:rPr>
          <w:rFonts w:ascii="Segoe UI Symbol" w:eastAsia="Segoe UI Symbol" w:hAnsi="Segoe UI Symbol" w:cs="Segoe UI Symbol"/>
          <w:sz w:val="30"/>
        </w:rPr>
        <w:t></w:t>
      </w:r>
      <w:r>
        <w:rPr>
          <w:rFonts w:ascii="Times New Roman" w:eastAsia="Times New Roman" w:hAnsi="Times New Roman" w:cs="Times New Roman"/>
          <w:i/>
          <w:sz w:val="23"/>
        </w:rPr>
        <w:t>l</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4"/>
        </w:rPr>
        <w:t></w:t>
      </w:r>
      <w:r>
        <w:rPr>
          <w:rFonts w:ascii="Times New Roman" w:eastAsia="Times New Roman" w:hAnsi="Times New Roman" w:cs="Times New Roman"/>
          <w:i/>
          <w:sz w:val="23"/>
        </w:rPr>
        <w:t>zh</w:t>
      </w:r>
      <w:r>
        <w:rPr>
          <w:rFonts w:ascii="Times New Roman" w:eastAsia="Times New Roman" w:hAnsi="Times New Roman" w:cs="Times New Roman"/>
          <w:i/>
          <w:sz w:val="13"/>
        </w:rPr>
        <w:t>k</w:t>
      </w:r>
      <w:r>
        <w:rPr>
          <w:rFonts w:ascii="Times New Roman" w:eastAsia="Times New Roman" w:hAnsi="Times New Roman" w:cs="Times New Roman"/>
          <w:sz w:val="20"/>
          <w:vertAlign w:val="subscript"/>
        </w:rPr>
        <w:t>1</w:t>
      </w:r>
      <w:r>
        <w:rPr>
          <w:rFonts w:ascii="Segoe UI Symbol" w:eastAsia="Segoe UI Symbol" w:hAnsi="Segoe UI Symbol" w:cs="Segoe UI Symbol"/>
          <w:sz w:val="13"/>
        </w:rPr>
        <w:t></w:t>
      </w:r>
      <w:r>
        <w:rPr>
          <w:rFonts w:ascii="Times New Roman" w:eastAsia="Times New Roman" w:hAnsi="Times New Roman" w:cs="Times New Roman"/>
          <w:i/>
          <w:sz w:val="23"/>
        </w:rPr>
        <w:t>z</w:t>
      </w:r>
      <w:r>
        <w:rPr>
          <w:rFonts w:ascii="Times New Roman" w:eastAsia="Times New Roman" w:hAnsi="Times New Roman" w:cs="Times New Roman"/>
          <w:sz w:val="13"/>
        </w:rPr>
        <w:t>1</w:t>
      </w:r>
      <w:r>
        <w:rPr>
          <w:rFonts w:ascii="Times New Roman" w:eastAsia="Times New Roman" w:hAnsi="Times New Roman" w:cs="Times New Roman"/>
          <w:i/>
          <w:sz w:val="20"/>
          <w:vertAlign w:val="subscript"/>
        </w:rPr>
        <w:t>k</w:t>
      </w:r>
      <w:r>
        <w:rPr>
          <w:rFonts w:ascii="Segoe UI Symbol" w:eastAsia="Segoe UI Symbol" w:hAnsi="Segoe UI Symbol" w:cs="Segoe UI Symbol"/>
          <w:sz w:val="46"/>
          <w:vertAlign w:val="superscript"/>
        </w:rPr>
        <w:t></w:t>
      </w:r>
      <w:r>
        <w:rPr>
          <w:rFonts w:ascii="Segoe UI Symbol" w:eastAsia="Segoe UI Symbol" w:hAnsi="Segoe UI Symbol" w:cs="Segoe UI Symbol"/>
          <w:sz w:val="13"/>
        </w:rPr>
        <w:t></w:t>
      </w:r>
      <w:r>
        <w:rPr>
          <w:rFonts w:ascii="Times New Roman" w:eastAsia="Times New Roman" w:hAnsi="Times New Roman" w:cs="Times New Roman"/>
          <w:sz w:val="20"/>
          <w:vertAlign w:val="subscript"/>
        </w:rPr>
        <w:t>1</w:t>
      </w:r>
      <w:r>
        <w:rPr>
          <w:rFonts w:ascii="Segoe UI Symbol" w:eastAsia="Segoe UI Symbol" w:hAnsi="Segoe UI Symbol" w:cs="Segoe UI Symbol"/>
          <w:sz w:val="30"/>
        </w:rPr>
        <w:t></w:t>
      </w:r>
      <w:r>
        <w:rPr>
          <w:rFonts w:ascii="Times New Roman" w:eastAsia="Times New Roman" w:hAnsi="Times New Roman" w:cs="Times New Roman"/>
          <w:sz w:val="13"/>
        </w:rPr>
        <w:t xml:space="preserve">2 </w:t>
      </w:r>
      <w:r>
        <w:rPr>
          <w:rFonts w:ascii="Segoe UI Symbol" w:eastAsia="Segoe UI Symbol" w:hAnsi="Segoe UI Symbol" w:cs="Segoe UI Symbol"/>
          <w:sz w:val="23"/>
        </w:rPr>
        <w:t xml:space="preserve"> </w:t>
      </w:r>
      <w:r>
        <w:rPr>
          <w:rFonts w:ascii="Times New Roman" w:eastAsia="Times New Roman" w:hAnsi="Times New Roman" w:cs="Times New Roman"/>
          <w:sz w:val="23"/>
        </w:rPr>
        <w:t>2</w:t>
      </w:r>
      <w:r>
        <w:rPr>
          <w:rFonts w:ascii="Segoe UI Symbol" w:eastAsia="Segoe UI Symbol" w:hAnsi="Segoe UI Symbol" w:cs="Segoe UI Symbol"/>
          <w:sz w:val="30"/>
        </w:rPr>
        <w:t></w:t>
      </w:r>
      <w:r>
        <w:rPr>
          <w:rFonts w:ascii="Segoe UI Symbol" w:eastAsia="Segoe UI Symbol" w:hAnsi="Segoe UI Symbol" w:cs="Segoe UI Symbol"/>
          <w:sz w:val="24"/>
        </w:rPr>
        <w:t></w:t>
      </w:r>
      <w:r>
        <w:rPr>
          <w:rFonts w:ascii="Times New Roman" w:eastAsia="Times New Roman" w:hAnsi="Times New Roman" w:cs="Times New Roman"/>
          <w:i/>
          <w:sz w:val="23"/>
        </w:rPr>
        <w:t>z</w:t>
      </w:r>
      <w:r>
        <w:rPr>
          <w:rFonts w:ascii="Times New Roman" w:eastAsia="Times New Roman" w:hAnsi="Times New Roman" w:cs="Times New Roman"/>
          <w:i/>
          <w:sz w:val="13"/>
        </w:rPr>
        <w:t>k</w:t>
      </w:r>
      <w:r>
        <w:rPr>
          <w:rFonts w:ascii="Times New Roman" w:eastAsia="Times New Roman" w:hAnsi="Times New Roman" w:cs="Times New Roman"/>
          <w:i/>
          <w:sz w:val="23"/>
        </w:rPr>
        <w:t>h</w:t>
      </w:r>
      <w:r>
        <w:rPr>
          <w:rFonts w:ascii="Segoe UI Symbol" w:eastAsia="Segoe UI Symbol" w:hAnsi="Segoe UI Symbol" w:cs="Segoe UI Symbol"/>
          <w:sz w:val="13"/>
        </w:rPr>
        <w:t></w:t>
      </w:r>
      <w:r>
        <w:rPr>
          <w:rFonts w:ascii="Times New Roman" w:eastAsia="Times New Roman" w:hAnsi="Times New Roman" w:cs="Times New Roman"/>
          <w:sz w:val="20"/>
          <w:vertAlign w:val="subscript"/>
        </w:rPr>
        <w:t>1</w:t>
      </w:r>
      <w:r>
        <w:rPr>
          <w:rFonts w:ascii="Times New Roman" w:eastAsia="Times New Roman" w:hAnsi="Times New Roman" w:cs="Times New Roman"/>
          <w:sz w:val="13"/>
        </w:rPr>
        <w:t>1</w:t>
      </w:r>
      <w:r>
        <w:rPr>
          <w:rFonts w:ascii="Segoe UI Symbol" w:eastAsia="Segoe UI Symbol" w:hAnsi="Segoe UI Symbol" w:cs="Segoe UI Symbol"/>
          <w:sz w:val="30"/>
        </w:rPr>
        <w:t></w:t>
      </w:r>
      <w:r>
        <w:rPr>
          <w:rFonts w:ascii="Times New Roman" w:eastAsia="Times New Roman" w:hAnsi="Times New Roman" w:cs="Times New Roman"/>
          <w:sz w:val="13"/>
        </w:rPr>
        <w:t xml:space="preserve">2 </w:t>
      </w:r>
      <w:r>
        <w:rPr>
          <w:rFonts w:ascii="Segoe UI Symbol" w:eastAsia="Segoe UI Symbol" w:hAnsi="Segoe UI Symbol" w:cs="Segoe UI Symbol"/>
          <w:sz w:val="35"/>
          <w:vertAlign w:val="superscript"/>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Times New Roman" w:eastAsia="Times New Roman" w:hAnsi="Times New Roman" w:cs="Times New Roman"/>
          <w:sz w:val="20"/>
          <w:vertAlign w:val="subscript"/>
        </w:rPr>
        <w:t xml:space="preserve">0 </w:t>
      </w:r>
      <w:r>
        <w:rPr>
          <w:rFonts w:ascii="Segoe UI Symbol" w:eastAsia="Segoe UI Symbol" w:hAnsi="Segoe UI Symbol" w:cs="Segoe UI Symbol"/>
          <w:sz w:val="35"/>
          <w:vertAlign w:val="subscript"/>
        </w:rPr>
        <w:t></w:t>
      </w:r>
      <w:r>
        <w:rPr>
          <w:rFonts w:ascii="Times New Roman" w:eastAsia="Times New Roman" w:hAnsi="Times New Roman" w:cs="Times New Roman"/>
          <w:sz w:val="35"/>
          <w:vertAlign w:val="superscript"/>
        </w:rPr>
        <w:t>1</w:t>
      </w:r>
      <w:r>
        <w:rPr>
          <w:rFonts w:ascii="Segoe UI Symbol" w:eastAsia="Segoe UI Symbol" w:hAnsi="Segoe UI Symbol" w:cs="Segoe UI Symbol"/>
          <w:sz w:val="37"/>
          <w:vertAlign w:val="subscript"/>
        </w:rPr>
        <w:t></w:t>
      </w:r>
      <w:r>
        <w:rPr>
          <w:rFonts w:ascii="Times New Roman" w:eastAsia="Times New Roman" w:hAnsi="Times New Roman" w:cs="Times New Roman"/>
          <w:i/>
          <w:sz w:val="23"/>
        </w:rPr>
        <w:t>h</w:t>
      </w:r>
      <w:r>
        <w:rPr>
          <w:rFonts w:ascii="Times New Roman" w:eastAsia="Times New Roman" w:hAnsi="Times New Roman" w:cs="Times New Roman"/>
          <w:sz w:val="20"/>
          <w:vertAlign w:val="subscript"/>
        </w:rPr>
        <w:t>1</w:t>
      </w:r>
      <w:r>
        <w:rPr>
          <w:rFonts w:ascii="Times New Roman" w:eastAsia="Times New Roman" w:hAnsi="Times New Roman" w:cs="Times New Roman"/>
          <w:i/>
          <w:sz w:val="23"/>
        </w:rPr>
        <w:t>l</w:t>
      </w:r>
      <w:r>
        <w:rPr>
          <w:rFonts w:ascii="Segoe UI Symbol" w:eastAsia="Segoe UI Symbol" w:hAnsi="Segoe UI Symbol" w:cs="Segoe UI Symbol"/>
          <w:sz w:val="30"/>
        </w:rPr>
        <w:t></w:t>
      </w:r>
      <w:r>
        <w:rPr>
          <w:rFonts w:ascii="Segoe UI Symbol" w:eastAsia="Segoe UI Symbol" w:hAnsi="Segoe UI Symbol" w:cs="Segoe UI Symbol"/>
          <w:sz w:val="23"/>
        </w:rPr>
        <w:t xml:space="preserve"> </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Times New Roman" w:eastAsia="Times New Roman" w:hAnsi="Times New Roman" w:cs="Times New Roman"/>
          <w:sz w:val="20"/>
          <w:vertAlign w:val="subscript"/>
        </w:rPr>
        <w:t xml:space="preserve">0 </w:t>
      </w:r>
      <w:r>
        <w:rPr>
          <w:rFonts w:ascii="Segoe UI Symbol" w:eastAsia="Segoe UI Symbol" w:hAnsi="Segoe UI Symbol" w:cs="Segoe UI Symbol"/>
          <w:sz w:val="35"/>
          <w:vertAlign w:val="subscript"/>
        </w:rPr>
        <w:t></w:t>
      </w:r>
      <w:r>
        <w:rPr>
          <w:rFonts w:ascii="Segoe UI Symbol" w:eastAsia="Segoe UI Symbol" w:hAnsi="Segoe UI Symbol" w:cs="Segoe UI Symbol"/>
          <w:sz w:val="37"/>
          <w:vertAlign w:val="subscript"/>
        </w:rPr>
        <w:t></w:t>
      </w:r>
      <w:r>
        <w:rPr>
          <w:rFonts w:ascii="Times New Roman" w:eastAsia="Times New Roman" w:hAnsi="Times New Roman" w:cs="Times New Roman"/>
          <w:sz w:val="35"/>
          <w:vertAlign w:val="superscript"/>
        </w:rPr>
        <w:t>1</w:t>
      </w:r>
      <w:r>
        <w:rPr>
          <w:rFonts w:ascii="Times New Roman" w:eastAsia="Times New Roman" w:hAnsi="Times New Roman" w:cs="Times New Roman"/>
          <w:i/>
          <w:sz w:val="23"/>
        </w:rPr>
        <w:t>h</w:t>
      </w:r>
      <w:r>
        <w:rPr>
          <w:rFonts w:ascii="Times New Roman" w:eastAsia="Times New Roman" w:hAnsi="Times New Roman" w:cs="Times New Roman"/>
          <w:sz w:val="20"/>
          <w:vertAlign w:val="subscript"/>
        </w:rPr>
        <w:t>1</w:t>
      </w:r>
      <w:r>
        <w:rPr>
          <w:rFonts w:ascii="Times New Roman" w:eastAsia="Times New Roman" w:hAnsi="Times New Roman" w:cs="Times New Roman"/>
          <w:i/>
          <w:sz w:val="23"/>
        </w:rPr>
        <w:t>z</w:t>
      </w:r>
      <w:r>
        <w:rPr>
          <w:rFonts w:ascii="Times New Roman" w:eastAsia="Times New Roman" w:hAnsi="Times New Roman" w:cs="Times New Roman"/>
          <w:i/>
          <w:sz w:val="20"/>
          <w:vertAlign w:val="subscript"/>
        </w:rPr>
        <w:t>k</w:t>
      </w:r>
      <w:r>
        <w:rPr>
          <w:rFonts w:ascii="Segoe UI Symbol" w:eastAsia="Segoe UI Symbol" w:hAnsi="Segoe UI Symbol" w:cs="Segoe UI Symbol"/>
          <w:sz w:val="13"/>
        </w:rPr>
        <w:t></w:t>
      </w:r>
      <w:r>
        <w:rPr>
          <w:rFonts w:ascii="Times New Roman" w:eastAsia="Times New Roman" w:hAnsi="Times New Roman" w:cs="Times New Roman"/>
          <w:sz w:val="20"/>
          <w:vertAlign w:val="subscript"/>
        </w:rPr>
        <w:t>1</w:t>
      </w:r>
      <w:r>
        <w:rPr>
          <w:rFonts w:ascii="Segoe UI Symbol" w:eastAsia="Segoe UI Symbol" w:hAnsi="Segoe UI Symbol" w:cs="Segoe UI Symbol"/>
          <w:sz w:val="30"/>
        </w:rPr>
        <w:t></w:t>
      </w:r>
      <w:r>
        <w:rPr>
          <w:rFonts w:ascii="Segoe UI Symbol" w:eastAsia="Segoe UI Symbol" w:hAnsi="Segoe UI Symbol" w:cs="Segoe UI Symbol"/>
          <w:sz w:val="35"/>
          <w:vertAlign w:val="subscript"/>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Times New Roman" w:eastAsia="Times New Roman" w:hAnsi="Times New Roman" w:cs="Times New Roman"/>
          <w:sz w:val="24"/>
        </w:rPr>
        <w:t xml:space="preserve"> </w:t>
      </w:r>
    </w:p>
    <w:p w:rsidR="0052701D" w:rsidRDefault="00D40929">
      <w:pPr>
        <w:spacing w:after="4" w:line="258" w:lineRule="auto"/>
        <w:ind w:left="1989" w:right="1737" w:hanging="1966"/>
      </w:pPr>
      <w:r>
        <w:rPr>
          <w:noProof/>
        </w:rPr>
        <mc:AlternateContent>
          <mc:Choice Requires="wpg">
            <w:drawing>
              <wp:anchor distT="0" distB="0" distL="114300" distR="114300" simplePos="0" relativeHeight="251696128" behindDoc="0" locked="0" layoutInCell="1" allowOverlap="1">
                <wp:simplePos x="0" y="0"/>
                <wp:positionH relativeFrom="column">
                  <wp:posOffset>2854345</wp:posOffset>
                </wp:positionH>
                <wp:positionV relativeFrom="paragraph">
                  <wp:posOffset>78245</wp:posOffset>
                </wp:positionV>
                <wp:extent cx="750885" cy="5901"/>
                <wp:effectExtent l="0" t="0" r="0" b="0"/>
                <wp:wrapSquare wrapText="bothSides"/>
                <wp:docPr id="917487" name="Group 917487"/>
                <wp:cNvGraphicFramePr/>
                <a:graphic xmlns:a="http://schemas.openxmlformats.org/drawingml/2006/main">
                  <a:graphicData uri="http://schemas.microsoft.com/office/word/2010/wordprocessingGroup">
                    <wpg:wgp>
                      <wpg:cNvGrpSpPr/>
                      <wpg:grpSpPr>
                        <a:xfrm>
                          <a:off x="0" y="0"/>
                          <a:ext cx="750885" cy="5901"/>
                          <a:chOff x="0" y="0"/>
                          <a:chExt cx="750885" cy="5901"/>
                        </a:xfrm>
                      </wpg:grpSpPr>
                      <wps:wsp>
                        <wps:cNvPr id="8914" name="Shape 8914"/>
                        <wps:cNvSpPr/>
                        <wps:spPr>
                          <a:xfrm>
                            <a:off x="0" y="0"/>
                            <a:ext cx="750885" cy="0"/>
                          </a:xfrm>
                          <a:custGeom>
                            <a:avLst/>
                            <a:gdLst/>
                            <a:ahLst/>
                            <a:cxnLst/>
                            <a:rect l="0" t="0" r="0" b="0"/>
                            <a:pathLst>
                              <a:path w="750885">
                                <a:moveTo>
                                  <a:pt x="0" y="0"/>
                                </a:moveTo>
                                <a:lnTo>
                                  <a:pt x="750885" y="0"/>
                                </a:lnTo>
                              </a:path>
                            </a:pathLst>
                          </a:custGeom>
                          <a:ln w="5901"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7487" style="width:59.1248pt;height:0.464614pt;position:absolute;mso-position-horizontal-relative:text;mso-position-horizontal:absolute;margin-left:224.752pt;mso-position-vertical-relative:text;margin-top:6.16101pt;" coordsize="7508,59">
                <v:shape id="Shape 8914" style="position:absolute;width:7508;height:0;left:0;top:0;" coordsize="750885,0" path="m0,0l750885,0">
                  <v:stroke weight="0.464614pt" endcap="flat" joinstyle="round" on="true" color="#000000"/>
                  <v:fill on="false" color="#000000" opacity="0"/>
                </v:shape>
                <w10:wrap type="square"/>
              </v:group>
            </w:pict>
          </mc:Fallback>
        </mc:AlternateContent>
      </w:r>
      <w:r>
        <w:rPr>
          <w:noProof/>
        </w:rPr>
        <mc:AlternateContent>
          <mc:Choice Requires="wpg">
            <w:drawing>
              <wp:anchor distT="0" distB="0" distL="114300" distR="114300" simplePos="0" relativeHeight="251697152" behindDoc="0" locked="0" layoutInCell="1" allowOverlap="1">
                <wp:simplePos x="0" y="0"/>
                <wp:positionH relativeFrom="column">
                  <wp:posOffset>3990565</wp:posOffset>
                </wp:positionH>
                <wp:positionV relativeFrom="paragraph">
                  <wp:posOffset>78245</wp:posOffset>
                </wp:positionV>
                <wp:extent cx="817697" cy="5901"/>
                <wp:effectExtent l="0" t="0" r="0" b="0"/>
                <wp:wrapSquare wrapText="bothSides"/>
                <wp:docPr id="917488" name="Group 917488"/>
                <wp:cNvGraphicFramePr/>
                <a:graphic xmlns:a="http://schemas.openxmlformats.org/drawingml/2006/main">
                  <a:graphicData uri="http://schemas.microsoft.com/office/word/2010/wordprocessingGroup">
                    <wpg:wgp>
                      <wpg:cNvGrpSpPr/>
                      <wpg:grpSpPr>
                        <a:xfrm>
                          <a:off x="0" y="0"/>
                          <a:ext cx="817697" cy="5901"/>
                          <a:chOff x="0" y="0"/>
                          <a:chExt cx="817697" cy="5901"/>
                        </a:xfrm>
                      </wpg:grpSpPr>
                      <wps:wsp>
                        <wps:cNvPr id="8919" name="Shape 8919"/>
                        <wps:cNvSpPr/>
                        <wps:spPr>
                          <a:xfrm>
                            <a:off x="0" y="0"/>
                            <a:ext cx="817697" cy="0"/>
                          </a:xfrm>
                          <a:custGeom>
                            <a:avLst/>
                            <a:gdLst/>
                            <a:ahLst/>
                            <a:cxnLst/>
                            <a:rect l="0" t="0" r="0" b="0"/>
                            <a:pathLst>
                              <a:path w="817697">
                                <a:moveTo>
                                  <a:pt x="0" y="0"/>
                                </a:moveTo>
                                <a:lnTo>
                                  <a:pt x="817697" y="0"/>
                                </a:lnTo>
                              </a:path>
                            </a:pathLst>
                          </a:custGeom>
                          <a:ln w="5901"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7488" style="width:64.3856pt;height:0.464614pt;position:absolute;mso-position-horizontal-relative:text;mso-position-horizontal:absolute;margin-left:314.218pt;mso-position-vertical-relative:text;margin-top:6.16101pt;" coordsize="8176,59">
                <v:shape id="Shape 8919" style="position:absolute;width:8176;height:0;left:0;top:0;" coordsize="817697,0" path="m0,0l817697,0">
                  <v:stroke weight="0.464614pt" endcap="flat" joinstyle="round" on="true" color="#000000"/>
                  <v:fill on="false" color="#000000" opacity="0"/>
                </v:shape>
                <w10:wrap type="square"/>
              </v:group>
            </w:pict>
          </mc:Fallback>
        </mc:AlternateContent>
      </w:r>
      <w:r>
        <w:rPr>
          <w:rFonts w:ascii="Segoe UI Symbol" w:eastAsia="Segoe UI Symbol" w:hAnsi="Segoe UI Symbol" w:cs="Segoe UI Symbol"/>
          <w:sz w:val="24"/>
        </w:rPr>
        <w:t xml:space="preserve"> </w:t>
      </w:r>
      <w:r>
        <w:rPr>
          <w:noProof/>
        </w:rPr>
        <mc:AlternateContent>
          <mc:Choice Requires="wpg">
            <w:drawing>
              <wp:inline distT="0" distB="0" distL="0" distR="0">
                <wp:extent cx="1251321" cy="6147"/>
                <wp:effectExtent l="0" t="0" r="0" b="0"/>
                <wp:docPr id="917486" name="Group 917486"/>
                <wp:cNvGraphicFramePr/>
                <a:graphic xmlns:a="http://schemas.openxmlformats.org/drawingml/2006/main">
                  <a:graphicData uri="http://schemas.microsoft.com/office/word/2010/wordprocessingGroup">
                    <wpg:wgp>
                      <wpg:cNvGrpSpPr/>
                      <wpg:grpSpPr>
                        <a:xfrm>
                          <a:off x="0" y="0"/>
                          <a:ext cx="1251321" cy="6147"/>
                          <a:chOff x="0" y="0"/>
                          <a:chExt cx="1251321" cy="6147"/>
                        </a:xfrm>
                      </wpg:grpSpPr>
                      <wps:wsp>
                        <wps:cNvPr id="8865" name="Shape 8865"/>
                        <wps:cNvSpPr/>
                        <wps:spPr>
                          <a:xfrm>
                            <a:off x="0" y="0"/>
                            <a:ext cx="1251321" cy="0"/>
                          </a:xfrm>
                          <a:custGeom>
                            <a:avLst/>
                            <a:gdLst/>
                            <a:ahLst/>
                            <a:cxnLst/>
                            <a:rect l="0" t="0" r="0" b="0"/>
                            <a:pathLst>
                              <a:path w="1251321">
                                <a:moveTo>
                                  <a:pt x="0" y="0"/>
                                </a:moveTo>
                                <a:lnTo>
                                  <a:pt x="1251321" y="0"/>
                                </a:lnTo>
                              </a:path>
                            </a:pathLst>
                          </a:custGeom>
                          <a:ln w="614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7486" style="width:98.5292pt;height:0.483977pt;mso-position-horizontal-relative:char;mso-position-vertical-relative:line" coordsize="12513,61">
                <v:shape id="Shape 8865" style="position:absolute;width:12513;height:0;left:0;top:0;" coordsize="1251321,0" path="m0,0l1251321,0">
                  <v:stroke weight="0.483977pt" endcap="flat" joinstyle="round" on="true" color="#000000"/>
                  <v:fill on="false" color="#000000" opacity="0"/>
                </v:shape>
              </v:group>
            </w:pict>
          </mc:Fallback>
        </mc:AlternateContent>
      </w:r>
      <w:r>
        <w:rPr>
          <w:rFonts w:ascii="Times New Roman" w:eastAsia="Times New Roman" w:hAnsi="Times New Roman" w:cs="Times New Roman"/>
          <w:sz w:val="24"/>
        </w:rPr>
        <w:t>2</w:t>
      </w:r>
      <w:r>
        <w:rPr>
          <w:rFonts w:ascii="Segoe UI Symbol" w:eastAsia="Segoe UI Symbol" w:hAnsi="Segoe UI Symbol" w:cs="Segoe UI Symbol"/>
          <w:sz w:val="32"/>
        </w:rPr>
        <w:t></w:t>
      </w:r>
      <w:r>
        <w:rPr>
          <w:rFonts w:ascii="Segoe UI Symbol" w:eastAsia="Segoe UI Symbol" w:hAnsi="Segoe UI Symbol" w:cs="Segoe UI Symbol"/>
          <w:sz w:val="26"/>
        </w:rPr>
        <w:t></w:t>
      </w:r>
      <w:r>
        <w:rPr>
          <w:rFonts w:ascii="Times New Roman" w:eastAsia="Times New Roman" w:hAnsi="Times New Roman" w:cs="Times New Roman"/>
          <w:i/>
          <w:sz w:val="24"/>
        </w:rPr>
        <w:t>hz</w:t>
      </w:r>
      <w:r>
        <w:rPr>
          <w:rFonts w:ascii="Times New Roman" w:eastAsia="Times New Roman" w:hAnsi="Times New Roman" w:cs="Times New Roman"/>
          <w:vertAlign w:val="subscript"/>
        </w:rPr>
        <w:t>1</w:t>
      </w:r>
      <w:r>
        <w:rPr>
          <w:rFonts w:ascii="Times New Roman" w:eastAsia="Times New Roman" w:hAnsi="Times New Roman" w:cs="Times New Roman"/>
          <w:i/>
          <w:sz w:val="14"/>
        </w:rPr>
        <w:t>k</w:t>
      </w:r>
      <w:r>
        <w:rPr>
          <w:rFonts w:ascii="Segoe UI Symbol" w:eastAsia="Segoe UI Symbol" w:hAnsi="Segoe UI Symbol" w:cs="Segoe UI Symbol"/>
          <w:sz w:val="32"/>
        </w:rPr>
        <w:t></w:t>
      </w:r>
      <w:r>
        <w:rPr>
          <w:rFonts w:ascii="Segoe UI Symbol" w:eastAsia="Segoe UI Symbol" w:hAnsi="Segoe UI Symbol" w:cs="Segoe UI Symbol"/>
          <w:sz w:val="32"/>
        </w:rPr>
        <w:t></w:t>
      </w:r>
      <w:r>
        <w:rPr>
          <w:rFonts w:ascii="Segoe UI Symbol" w:eastAsia="Segoe UI Symbol" w:hAnsi="Segoe UI Symbol" w:cs="Segoe UI Symbol"/>
          <w:sz w:val="14"/>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Segoe UI Symbol" w:eastAsia="Segoe UI Symbol" w:hAnsi="Segoe UI Symbol" w:cs="Segoe UI Symbol"/>
          <w:sz w:val="32"/>
        </w:rPr>
        <w:t></w:t>
      </w:r>
      <w:r>
        <w:rPr>
          <w:rFonts w:ascii="Times New Roman" w:eastAsia="Times New Roman" w:hAnsi="Times New Roman" w:cs="Times New Roman"/>
          <w:vertAlign w:val="subscript"/>
        </w:rPr>
        <w:t>0</w:t>
      </w:r>
      <w:r>
        <w:rPr>
          <w:rFonts w:ascii="Times New Roman" w:eastAsia="Times New Roman" w:hAnsi="Times New Roman" w:cs="Times New Roman"/>
          <w:i/>
          <w:sz w:val="24"/>
        </w:rPr>
        <w:t>l</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i/>
          <w:sz w:val="24"/>
        </w:rPr>
        <w:t>zh</w:t>
      </w:r>
      <w:r>
        <w:rPr>
          <w:rFonts w:ascii="Times New Roman" w:eastAsia="Times New Roman" w:hAnsi="Times New Roman" w:cs="Times New Roman"/>
          <w:i/>
          <w:sz w:val="14"/>
        </w:rPr>
        <w:t>k</w:t>
      </w:r>
      <w:r>
        <w:rPr>
          <w:rFonts w:ascii="Times New Roman" w:eastAsia="Times New Roman" w:hAnsi="Times New Roman" w:cs="Times New Roman"/>
          <w:vertAlign w:val="subscript"/>
        </w:rPr>
        <w:t>1</w:t>
      </w:r>
      <w:r>
        <w:rPr>
          <w:rFonts w:ascii="Segoe UI Symbol" w:eastAsia="Segoe UI Symbol" w:hAnsi="Segoe UI Symbol" w:cs="Segoe UI Symbol"/>
          <w:sz w:val="14"/>
        </w:rPr>
        <w:t></w:t>
      </w:r>
      <w:r>
        <w:rPr>
          <w:rFonts w:ascii="Times New Roman" w:eastAsia="Times New Roman" w:hAnsi="Times New Roman" w:cs="Times New Roman"/>
          <w:sz w:val="14"/>
        </w:rPr>
        <w:t>1</w:t>
      </w:r>
      <w:r>
        <w:rPr>
          <w:rFonts w:ascii="Times New Roman" w:eastAsia="Times New Roman" w:hAnsi="Times New Roman" w:cs="Times New Roman"/>
          <w:i/>
          <w:sz w:val="24"/>
        </w:rPr>
        <w:t>z</w:t>
      </w:r>
      <w:r>
        <w:rPr>
          <w:rFonts w:ascii="Segoe UI Symbol" w:eastAsia="Segoe UI Symbol" w:hAnsi="Segoe UI Symbol" w:cs="Segoe UI Symbol"/>
          <w:sz w:val="32"/>
        </w:rPr>
        <w:t></w:t>
      </w:r>
      <w:r>
        <w:rPr>
          <w:rFonts w:ascii="Times New Roman" w:eastAsia="Times New Roman" w:hAnsi="Times New Roman" w:cs="Times New Roman"/>
          <w:i/>
          <w:vertAlign w:val="subscript"/>
        </w:rPr>
        <w:t>k</w:t>
      </w:r>
      <w:r>
        <w:rPr>
          <w:rFonts w:ascii="Segoe UI Symbol" w:eastAsia="Segoe UI Symbol" w:hAnsi="Segoe UI Symbol" w:cs="Segoe UI Symbol"/>
          <w:sz w:val="14"/>
        </w:rPr>
        <w:t xml:space="preserve"> </w:t>
      </w:r>
      <w:r>
        <w:rPr>
          <w:rFonts w:ascii="Times New Roman" w:eastAsia="Times New Roman" w:hAnsi="Times New Roman" w:cs="Times New Roman"/>
          <w:sz w:val="14"/>
        </w:rPr>
        <w:t xml:space="preserve">2 </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Times New Roman" w:eastAsia="Times New Roman" w:hAnsi="Times New Roman" w:cs="Times New Roman"/>
          <w:i/>
          <w:sz w:val="24"/>
        </w:rPr>
        <w:t>u</w:t>
      </w:r>
      <w:r>
        <w:rPr>
          <w:rFonts w:ascii="Segoe UI Symbol" w:eastAsia="Segoe UI Symbol" w:hAnsi="Segoe UI Symbol" w:cs="Segoe UI Symbol"/>
          <w:sz w:val="32"/>
        </w:rPr>
        <w:t></w:t>
      </w:r>
      <w:r>
        <w:rPr>
          <w:rFonts w:ascii="Times New Roman" w:eastAsia="Times New Roman" w:hAnsi="Times New Roman" w:cs="Times New Roman"/>
          <w:i/>
          <w:sz w:val="24"/>
        </w:rPr>
        <w:t>z</w:t>
      </w:r>
      <w:r>
        <w:rPr>
          <w:rFonts w:ascii="Times New Roman" w:eastAsia="Times New Roman" w:hAnsi="Times New Roman" w:cs="Times New Roman"/>
          <w:i/>
          <w:sz w:val="14"/>
        </w:rPr>
        <w:t>k</w:t>
      </w:r>
      <w:r>
        <w:rPr>
          <w:rFonts w:ascii="Segoe UI Symbol" w:eastAsia="Segoe UI Symbol" w:hAnsi="Segoe UI Symbol" w:cs="Segoe UI Symbol"/>
          <w:sz w:val="14"/>
        </w:rPr>
        <w:t></w:t>
      </w:r>
      <w:r>
        <w:rPr>
          <w:rFonts w:ascii="Times New Roman" w:eastAsia="Times New Roman" w:hAnsi="Times New Roman" w:cs="Times New Roman"/>
          <w:sz w:val="14"/>
        </w:rPr>
        <w:t>1</w:t>
      </w:r>
      <w:r>
        <w:rPr>
          <w:rFonts w:ascii="Segoe UI Symbol" w:eastAsia="Segoe UI Symbol" w:hAnsi="Segoe UI Symbol" w:cs="Segoe UI Symbol"/>
          <w:sz w:val="32"/>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 xml:space="preserve"> </w:t>
      </w:r>
      <w:r>
        <w:rPr>
          <w:rFonts w:ascii="Segoe UI Symbol" w:eastAsia="Segoe UI Symbol" w:hAnsi="Segoe UI Symbol" w:cs="Segoe UI Symbol"/>
          <w:sz w:val="23"/>
        </w:rPr>
        <w:t></w:t>
      </w:r>
      <w:r>
        <w:rPr>
          <w:rFonts w:ascii="Segoe UI Symbol" w:eastAsia="Segoe UI Symbol" w:hAnsi="Segoe UI Symbol" w:cs="Segoe UI Symbol"/>
          <w:sz w:val="24"/>
        </w:rPr>
        <w:t></w:t>
      </w:r>
      <w:r>
        <w:rPr>
          <w:rFonts w:ascii="Segoe UI Symbol" w:eastAsia="Segoe UI Symbol" w:hAnsi="Segoe UI Symbol" w:cs="Segoe UI Symbol"/>
          <w:sz w:val="30"/>
        </w:rPr>
        <w:t></w:t>
      </w:r>
      <w:r>
        <w:rPr>
          <w:rFonts w:ascii="Times New Roman" w:eastAsia="Times New Roman" w:hAnsi="Times New Roman" w:cs="Times New Roman"/>
          <w:sz w:val="23"/>
        </w:rPr>
        <w:t>1</w:t>
      </w:r>
      <w:r>
        <w:rPr>
          <w:rFonts w:ascii="Segoe UI Symbol" w:eastAsia="Segoe UI Symbol" w:hAnsi="Segoe UI Symbol" w:cs="Segoe UI Symbol"/>
          <w:sz w:val="23"/>
        </w:rPr>
        <w:t></w:t>
      </w:r>
      <w:r>
        <w:rPr>
          <w:rFonts w:ascii="Segoe UI Symbol" w:eastAsia="Segoe UI Symbol" w:hAnsi="Segoe UI Symbol" w:cs="Segoe UI Symbol"/>
          <w:sz w:val="24"/>
        </w:rPr>
        <w:t></w:t>
      </w:r>
      <w:r>
        <w:rPr>
          <w:rFonts w:ascii="Segoe UI Symbol" w:eastAsia="Segoe UI Symbol" w:hAnsi="Segoe UI Symbol" w:cs="Segoe UI Symbol"/>
          <w:sz w:val="30"/>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4"/>
        </w:rPr>
        <w:t></w:t>
      </w:r>
      <w:r>
        <w:rPr>
          <w:rFonts w:ascii="Times New Roman" w:eastAsia="Times New Roman" w:hAnsi="Times New Roman" w:cs="Times New Roman"/>
          <w:sz w:val="13"/>
        </w:rPr>
        <w:t xml:space="preserve">0 </w:t>
      </w:r>
      <w:r>
        <w:rPr>
          <w:rFonts w:ascii="Times New Roman" w:eastAsia="Times New Roman" w:hAnsi="Times New Roman" w:cs="Times New Roman"/>
          <w:sz w:val="23"/>
        </w:rPr>
        <w:t>ln</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Segoe UI Symbol" w:eastAsia="Segoe UI Symbol" w:hAnsi="Segoe UI Symbol" w:cs="Segoe UI Symbol"/>
          <w:sz w:val="30"/>
        </w:rPr>
        <w:t></w:t>
      </w:r>
      <w:r>
        <w:rPr>
          <w:rFonts w:ascii="Times New Roman" w:eastAsia="Times New Roman" w:hAnsi="Times New Roman" w:cs="Times New Roman"/>
          <w:sz w:val="13"/>
        </w:rPr>
        <w:t>0</w:t>
      </w:r>
      <w:r>
        <w:rPr>
          <w:rFonts w:ascii="Segoe UI Symbol" w:eastAsia="Segoe UI Symbol" w:hAnsi="Segoe UI Symbol" w:cs="Segoe UI Symbol"/>
          <w:sz w:val="24"/>
        </w:rPr>
        <w:t></w:t>
      </w:r>
      <w:r>
        <w:rPr>
          <w:rFonts w:ascii="Segoe UI Symbol" w:eastAsia="Segoe UI Symbol" w:hAnsi="Segoe UI Symbol" w:cs="Segoe UI Symbol"/>
          <w:sz w:val="23"/>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Segoe UI Symbol" w:eastAsia="Segoe UI Symbol" w:hAnsi="Segoe UI Symbol" w:cs="Segoe UI Symbol"/>
          <w:sz w:val="24"/>
        </w:rPr>
        <w:t></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Times New Roman" w:eastAsia="Times New Roman" w:hAnsi="Times New Roman" w:cs="Times New Roman"/>
          <w:i/>
          <w:sz w:val="23"/>
        </w:rPr>
        <w:t>l</w:t>
      </w:r>
      <w:r>
        <w:rPr>
          <w:rFonts w:ascii="Segoe UI Symbol" w:eastAsia="Segoe UI Symbol" w:hAnsi="Segoe UI Symbol" w:cs="Segoe UI Symbol"/>
          <w:sz w:val="30"/>
        </w:rPr>
        <w:t></w:t>
      </w:r>
      <w:r>
        <w:rPr>
          <w:rFonts w:ascii="Segoe UI Symbol" w:eastAsia="Segoe UI Symbol" w:hAnsi="Segoe UI Symbol" w:cs="Segoe UI Symbol"/>
          <w:sz w:val="23"/>
        </w:rPr>
        <w:t></w:t>
      </w:r>
      <w:r>
        <w:rPr>
          <w:rFonts w:ascii="Segoe UI Symbol" w:eastAsia="Segoe UI Symbol" w:hAnsi="Segoe UI Symbol" w:cs="Segoe UI Symbol"/>
          <w:sz w:val="24"/>
        </w:rPr>
        <w:t></w:t>
      </w:r>
      <w:r>
        <w:rPr>
          <w:rFonts w:ascii="Times New Roman" w:eastAsia="Times New Roman" w:hAnsi="Times New Roman" w:cs="Times New Roman"/>
          <w:sz w:val="13"/>
        </w:rPr>
        <w:t>1</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Times New Roman" w:eastAsia="Times New Roman" w:hAnsi="Times New Roman" w:cs="Times New Roman"/>
          <w:i/>
          <w:sz w:val="23"/>
        </w:rPr>
        <w:t>l</w:t>
      </w:r>
      <w:r>
        <w:rPr>
          <w:rFonts w:ascii="Times New Roman" w:eastAsia="Times New Roman" w:hAnsi="Times New Roman" w:cs="Times New Roman"/>
          <w:sz w:val="23"/>
        </w:rPr>
        <w:t>ln</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Segoe UI Symbol" w:eastAsia="Segoe UI Symbol" w:hAnsi="Segoe UI Symbol" w:cs="Segoe UI Symbol"/>
          <w:sz w:val="30"/>
        </w:rPr>
        <w:t></w:t>
      </w:r>
      <w:r>
        <w:rPr>
          <w:rFonts w:ascii="Segoe UI Symbol" w:eastAsia="Segoe UI Symbol" w:hAnsi="Segoe UI Symbol" w:cs="Segoe UI Symbol"/>
          <w:sz w:val="24"/>
        </w:rPr>
        <w:t></w:t>
      </w:r>
      <w:r>
        <w:rPr>
          <w:rFonts w:ascii="Times New Roman" w:eastAsia="Times New Roman" w:hAnsi="Times New Roman" w:cs="Times New Roman"/>
          <w:sz w:val="13"/>
        </w:rPr>
        <w:t>0</w:t>
      </w:r>
      <w:r>
        <w:rPr>
          <w:rFonts w:ascii="Times New Roman" w:eastAsia="Times New Roman" w:hAnsi="Times New Roman" w:cs="Times New Roman"/>
          <w:i/>
          <w:sz w:val="23"/>
        </w:rPr>
        <w:t>h</w:t>
      </w:r>
      <w:r>
        <w:rPr>
          <w:rFonts w:ascii="Segoe UI Symbol" w:eastAsia="Segoe UI Symbol" w:hAnsi="Segoe UI Symbol" w:cs="Segoe UI Symbol"/>
          <w:sz w:val="23"/>
        </w:rPr>
        <w:t></w:t>
      </w:r>
      <w:r>
        <w:rPr>
          <w:rFonts w:ascii="Times New Roman" w:eastAsia="Times New Roman" w:hAnsi="Times New Roman" w:cs="Times New Roman"/>
          <w:sz w:val="13"/>
        </w:rPr>
        <w:t>1</w:t>
      </w:r>
      <w:r>
        <w:rPr>
          <w:rFonts w:ascii="Segoe UI Symbol" w:eastAsia="Segoe UI Symbol" w:hAnsi="Segoe UI Symbol" w:cs="Segoe UI Symbol"/>
          <w:sz w:val="24"/>
        </w:rPr>
        <w:t></w:t>
      </w:r>
      <w:r>
        <w:rPr>
          <w:rFonts w:ascii="Segoe UI Symbol" w:eastAsia="Segoe UI Symbol" w:hAnsi="Segoe UI Symbol" w:cs="Segoe UI Symbol"/>
          <w:sz w:val="30"/>
        </w:rPr>
        <w:t xml:space="preserve"> </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Times New Roman" w:eastAsia="Times New Roman" w:hAnsi="Times New Roman" w:cs="Times New Roman"/>
          <w:i/>
          <w:sz w:val="23"/>
        </w:rPr>
        <w:t>l</w:t>
      </w:r>
      <w:r>
        <w:rPr>
          <w:rFonts w:ascii="Segoe UI Symbol" w:eastAsia="Segoe UI Symbol" w:hAnsi="Segoe UI Symbol" w:cs="Segoe UI Symbol"/>
          <w:sz w:val="30"/>
        </w:rPr>
        <w:t></w:t>
      </w:r>
      <w:r>
        <w:rPr>
          <w:rFonts w:ascii="Segoe UI Symbol" w:eastAsia="Segoe UI Symbol" w:hAnsi="Segoe UI Symbol" w:cs="Segoe UI Symbol"/>
          <w:sz w:val="23"/>
        </w:rPr>
        <w:t></w:t>
      </w:r>
      <w:r>
        <w:rPr>
          <w:rFonts w:ascii="Times New Roman" w:eastAsia="Times New Roman" w:hAnsi="Times New Roman" w:cs="Times New Roman"/>
          <w:sz w:val="24"/>
        </w:rPr>
        <w:t xml:space="preserve"> </w:t>
      </w:r>
      <w:r>
        <w:rPr>
          <w:rFonts w:ascii="Segoe UI Symbol" w:eastAsia="Segoe UI Symbol" w:hAnsi="Segoe UI Symbol" w:cs="Segoe UI Symbol"/>
          <w:sz w:val="32"/>
        </w:rPr>
        <w:t></w:t>
      </w:r>
    </w:p>
    <w:p w:rsidR="0052701D" w:rsidRDefault="00D40929">
      <w:pPr>
        <w:tabs>
          <w:tab w:val="center" w:pos="2118"/>
          <w:tab w:val="center" w:pos="3033"/>
          <w:tab w:val="center" w:pos="4126"/>
        </w:tabs>
        <w:spacing w:after="546" w:line="258" w:lineRule="auto"/>
      </w:pPr>
      <w:r>
        <w:tab/>
      </w:r>
      <w:r>
        <w:rPr>
          <w:rFonts w:ascii="Times New Roman" w:eastAsia="Times New Roman" w:hAnsi="Times New Roman" w:cs="Times New Roman"/>
          <w:sz w:val="14"/>
        </w:rPr>
        <w:t xml:space="preserve">1 </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ab/>
      </w:r>
      <w:r>
        <w:rPr>
          <w:rFonts w:ascii="Segoe UI Symbol" w:eastAsia="Segoe UI Symbol" w:hAnsi="Segoe UI Symbol" w:cs="Segoe UI Symbol"/>
          <w:sz w:val="24"/>
        </w:rPr>
        <w:t></w:t>
      </w:r>
      <w:r>
        <w:rPr>
          <w:rFonts w:ascii="Segoe UI Symbol" w:eastAsia="Segoe UI Symbol" w:hAnsi="Segoe UI Symbol" w:cs="Segoe UI Symbol"/>
          <w:sz w:val="24"/>
        </w:rPr>
        <w:tab/>
      </w:r>
      <w:r>
        <w:rPr>
          <w:rFonts w:ascii="Segoe UI Symbol" w:eastAsia="Segoe UI Symbol" w:hAnsi="Segoe UI Symbol" w:cs="Segoe UI Symbol"/>
          <w:sz w:val="23"/>
        </w:rPr>
        <w:t></w:t>
      </w:r>
    </w:p>
    <w:p w:rsidR="0052701D" w:rsidRDefault="00D40929">
      <w:pPr>
        <w:numPr>
          <w:ilvl w:val="0"/>
          <w:numId w:val="8"/>
        </w:numPr>
        <w:spacing w:after="0" w:line="360" w:lineRule="auto"/>
        <w:ind w:hanging="1222"/>
      </w:pPr>
      <w:r>
        <w:rPr>
          <w:noProof/>
        </w:rPr>
        <w:lastRenderedPageBreak/>
        <mc:AlternateContent>
          <mc:Choice Requires="wpg">
            <w:drawing>
              <wp:anchor distT="0" distB="0" distL="114300" distR="114300" simplePos="0" relativeHeight="251698176" behindDoc="0" locked="0" layoutInCell="1" allowOverlap="1">
                <wp:simplePos x="0" y="0"/>
                <wp:positionH relativeFrom="column">
                  <wp:posOffset>2262683</wp:posOffset>
                </wp:positionH>
                <wp:positionV relativeFrom="paragraph">
                  <wp:posOffset>48061</wp:posOffset>
                </wp:positionV>
                <wp:extent cx="1523511" cy="5934"/>
                <wp:effectExtent l="0" t="0" r="0" b="0"/>
                <wp:wrapNone/>
                <wp:docPr id="917490" name="Group 917490"/>
                <wp:cNvGraphicFramePr/>
                <a:graphic xmlns:a="http://schemas.openxmlformats.org/drawingml/2006/main">
                  <a:graphicData uri="http://schemas.microsoft.com/office/word/2010/wordprocessingGroup">
                    <wpg:wgp>
                      <wpg:cNvGrpSpPr/>
                      <wpg:grpSpPr>
                        <a:xfrm>
                          <a:off x="0" y="0"/>
                          <a:ext cx="1523511" cy="5934"/>
                          <a:chOff x="0" y="0"/>
                          <a:chExt cx="1523511" cy="5934"/>
                        </a:xfrm>
                      </wpg:grpSpPr>
                      <wps:wsp>
                        <wps:cNvPr id="8973" name="Shape 8973"/>
                        <wps:cNvSpPr/>
                        <wps:spPr>
                          <a:xfrm>
                            <a:off x="0" y="0"/>
                            <a:ext cx="459210" cy="0"/>
                          </a:xfrm>
                          <a:custGeom>
                            <a:avLst/>
                            <a:gdLst/>
                            <a:ahLst/>
                            <a:cxnLst/>
                            <a:rect l="0" t="0" r="0" b="0"/>
                            <a:pathLst>
                              <a:path w="459210">
                                <a:moveTo>
                                  <a:pt x="0" y="0"/>
                                </a:moveTo>
                                <a:lnTo>
                                  <a:pt x="459210" y="0"/>
                                </a:lnTo>
                              </a:path>
                            </a:pathLst>
                          </a:custGeom>
                          <a:ln w="5934" cap="flat">
                            <a:round/>
                          </a:ln>
                        </wps:spPr>
                        <wps:style>
                          <a:lnRef idx="1">
                            <a:srgbClr val="000000"/>
                          </a:lnRef>
                          <a:fillRef idx="0">
                            <a:srgbClr val="000000">
                              <a:alpha val="0"/>
                            </a:srgbClr>
                          </a:fillRef>
                          <a:effectRef idx="0">
                            <a:scrgbClr r="0" g="0" b="0"/>
                          </a:effectRef>
                          <a:fontRef idx="none"/>
                        </wps:style>
                        <wps:bodyPr/>
                      </wps:wsp>
                      <wps:wsp>
                        <wps:cNvPr id="8976" name="Shape 8976"/>
                        <wps:cNvSpPr/>
                        <wps:spPr>
                          <a:xfrm>
                            <a:off x="613004" y="0"/>
                            <a:ext cx="380080" cy="0"/>
                          </a:xfrm>
                          <a:custGeom>
                            <a:avLst/>
                            <a:gdLst/>
                            <a:ahLst/>
                            <a:cxnLst/>
                            <a:rect l="0" t="0" r="0" b="0"/>
                            <a:pathLst>
                              <a:path w="380080">
                                <a:moveTo>
                                  <a:pt x="0" y="0"/>
                                </a:moveTo>
                                <a:lnTo>
                                  <a:pt x="380080" y="0"/>
                                </a:lnTo>
                              </a:path>
                            </a:pathLst>
                          </a:custGeom>
                          <a:ln w="5934" cap="flat">
                            <a:round/>
                          </a:ln>
                        </wps:spPr>
                        <wps:style>
                          <a:lnRef idx="1">
                            <a:srgbClr val="000000"/>
                          </a:lnRef>
                          <a:fillRef idx="0">
                            <a:srgbClr val="000000">
                              <a:alpha val="0"/>
                            </a:srgbClr>
                          </a:fillRef>
                          <a:effectRef idx="0">
                            <a:scrgbClr r="0" g="0" b="0"/>
                          </a:effectRef>
                          <a:fontRef idx="none"/>
                        </wps:style>
                        <wps:bodyPr/>
                      </wps:wsp>
                      <wps:wsp>
                        <wps:cNvPr id="8979" name="Shape 8979"/>
                        <wps:cNvSpPr/>
                        <wps:spPr>
                          <a:xfrm>
                            <a:off x="1149174" y="0"/>
                            <a:ext cx="374337" cy="0"/>
                          </a:xfrm>
                          <a:custGeom>
                            <a:avLst/>
                            <a:gdLst/>
                            <a:ahLst/>
                            <a:cxnLst/>
                            <a:rect l="0" t="0" r="0" b="0"/>
                            <a:pathLst>
                              <a:path w="374337">
                                <a:moveTo>
                                  <a:pt x="0" y="0"/>
                                </a:moveTo>
                                <a:lnTo>
                                  <a:pt x="374337" y="0"/>
                                </a:lnTo>
                              </a:path>
                            </a:pathLst>
                          </a:custGeom>
                          <a:ln w="5934"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7490" style="width:119.961pt;height:0.467275pt;position:absolute;z-index:640;mso-position-horizontal-relative:text;mso-position-horizontal:absolute;margin-left:178.164pt;mso-position-vertical-relative:text;margin-top:3.7843pt;" coordsize="15235,59">
                <v:shape id="Shape 8973" style="position:absolute;width:4592;height:0;left:0;top:0;" coordsize="459210,0" path="m0,0l459210,0">
                  <v:stroke weight="0.467275pt" endcap="flat" joinstyle="round" on="true" color="#000000"/>
                  <v:fill on="false" color="#000000" opacity="0"/>
                </v:shape>
                <v:shape id="Shape 8976" style="position:absolute;width:3800;height:0;left:6130;top:0;" coordsize="380080,0" path="m0,0l380080,0">
                  <v:stroke weight="0.467275pt" endcap="flat" joinstyle="round" on="true" color="#000000"/>
                  <v:fill on="false" color="#000000" opacity="0"/>
                </v:shape>
                <v:shape id="Shape 8979" style="position:absolute;width:3743;height:0;left:11491;top:0;" coordsize="374337,0" path="m0,0l374337,0">
                  <v:stroke weight="0.467275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699200" behindDoc="0" locked="0" layoutInCell="1" allowOverlap="1">
                <wp:simplePos x="0" y="0"/>
                <wp:positionH relativeFrom="column">
                  <wp:posOffset>1143128</wp:posOffset>
                </wp:positionH>
                <wp:positionV relativeFrom="paragraph">
                  <wp:posOffset>582179</wp:posOffset>
                </wp:positionV>
                <wp:extent cx="1510413" cy="6308"/>
                <wp:effectExtent l="0" t="0" r="0" b="0"/>
                <wp:wrapNone/>
                <wp:docPr id="917491" name="Group 917491"/>
                <wp:cNvGraphicFramePr/>
                <a:graphic xmlns:a="http://schemas.openxmlformats.org/drawingml/2006/main">
                  <a:graphicData uri="http://schemas.microsoft.com/office/word/2010/wordprocessingGroup">
                    <wpg:wgp>
                      <wpg:cNvGrpSpPr/>
                      <wpg:grpSpPr>
                        <a:xfrm>
                          <a:off x="0" y="0"/>
                          <a:ext cx="1510413" cy="6308"/>
                          <a:chOff x="0" y="0"/>
                          <a:chExt cx="1510413" cy="6308"/>
                        </a:xfrm>
                      </wpg:grpSpPr>
                      <wps:wsp>
                        <wps:cNvPr id="9065" name="Shape 9065"/>
                        <wps:cNvSpPr/>
                        <wps:spPr>
                          <a:xfrm>
                            <a:off x="0" y="0"/>
                            <a:ext cx="717506" cy="0"/>
                          </a:xfrm>
                          <a:custGeom>
                            <a:avLst/>
                            <a:gdLst/>
                            <a:ahLst/>
                            <a:cxnLst/>
                            <a:rect l="0" t="0" r="0" b="0"/>
                            <a:pathLst>
                              <a:path w="717506">
                                <a:moveTo>
                                  <a:pt x="0" y="0"/>
                                </a:moveTo>
                                <a:lnTo>
                                  <a:pt x="717506" y="0"/>
                                </a:lnTo>
                              </a:path>
                            </a:pathLst>
                          </a:custGeom>
                          <a:ln w="6308" cap="flat">
                            <a:round/>
                          </a:ln>
                        </wps:spPr>
                        <wps:style>
                          <a:lnRef idx="1">
                            <a:srgbClr val="000000"/>
                          </a:lnRef>
                          <a:fillRef idx="0">
                            <a:srgbClr val="000000">
                              <a:alpha val="0"/>
                            </a:srgbClr>
                          </a:fillRef>
                          <a:effectRef idx="0">
                            <a:scrgbClr r="0" g="0" b="0"/>
                          </a:effectRef>
                          <a:fontRef idx="none"/>
                        </wps:style>
                        <wps:bodyPr/>
                      </wps:wsp>
                      <wps:wsp>
                        <wps:cNvPr id="9068" name="Shape 9068"/>
                        <wps:cNvSpPr/>
                        <wps:spPr>
                          <a:xfrm>
                            <a:off x="870164" y="0"/>
                            <a:ext cx="640249" cy="0"/>
                          </a:xfrm>
                          <a:custGeom>
                            <a:avLst/>
                            <a:gdLst/>
                            <a:ahLst/>
                            <a:cxnLst/>
                            <a:rect l="0" t="0" r="0" b="0"/>
                            <a:pathLst>
                              <a:path w="640249">
                                <a:moveTo>
                                  <a:pt x="0" y="0"/>
                                </a:moveTo>
                                <a:lnTo>
                                  <a:pt x="640249" y="0"/>
                                </a:lnTo>
                              </a:path>
                            </a:pathLst>
                          </a:custGeom>
                          <a:ln w="6308"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7491" style="width:118.93pt;height:0.496677pt;position:absolute;z-index:730;mso-position-horizontal-relative:text;mso-position-horizontal:absolute;margin-left:90.0101pt;mso-position-vertical-relative:text;margin-top:45.8409pt;" coordsize="15104,63">
                <v:shape id="Shape 9065" style="position:absolute;width:7175;height:0;left:0;top:0;" coordsize="717506,0" path="m0,0l717506,0">
                  <v:stroke weight="0.496677pt" endcap="flat" joinstyle="round" on="true" color="#000000"/>
                  <v:fill on="false" color="#000000" opacity="0"/>
                </v:shape>
                <v:shape id="Shape 9068" style="position:absolute;width:6402;height:0;left:8701;top:0;" coordsize="640249,0" path="m0,0l640249,0">
                  <v:stroke weight="0.496677pt" endcap="flat" joinstyle="round" on="true" color="#000000"/>
                  <v:fill on="false" color="#000000" opacity="0"/>
                </v:shape>
              </v:group>
            </w:pict>
          </mc:Fallback>
        </mc:AlternateContent>
      </w:r>
      <w:r>
        <w:rPr>
          <w:noProof/>
        </w:rPr>
        <mc:AlternateContent>
          <mc:Choice Requires="wpg">
            <w:drawing>
              <wp:inline distT="0" distB="0" distL="0" distR="0">
                <wp:extent cx="629238" cy="5934"/>
                <wp:effectExtent l="0" t="0" r="0" b="0"/>
                <wp:docPr id="917489" name="Group 917489"/>
                <wp:cNvGraphicFramePr/>
                <a:graphic xmlns:a="http://schemas.openxmlformats.org/drawingml/2006/main">
                  <a:graphicData uri="http://schemas.microsoft.com/office/word/2010/wordprocessingGroup">
                    <wpg:wgp>
                      <wpg:cNvGrpSpPr/>
                      <wpg:grpSpPr>
                        <a:xfrm>
                          <a:off x="0" y="0"/>
                          <a:ext cx="629238" cy="5934"/>
                          <a:chOff x="0" y="0"/>
                          <a:chExt cx="629238" cy="5934"/>
                        </a:xfrm>
                      </wpg:grpSpPr>
                      <wps:wsp>
                        <wps:cNvPr id="8966" name="Shape 8966"/>
                        <wps:cNvSpPr/>
                        <wps:spPr>
                          <a:xfrm>
                            <a:off x="0" y="0"/>
                            <a:ext cx="629238" cy="0"/>
                          </a:xfrm>
                          <a:custGeom>
                            <a:avLst/>
                            <a:gdLst/>
                            <a:ahLst/>
                            <a:cxnLst/>
                            <a:rect l="0" t="0" r="0" b="0"/>
                            <a:pathLst>
                              <a:path w="629238">
                                <a:moveTo>
                                  <a:pt x="0" y="0"/>
                                </a:moveTo>
                                <a:lnTo>
                                  <a:pt x="629238" y="0"/>
                                </a:lnTo>
                              </a:path>
                            </a:pathLst>
                          </a:custGeom>
                          <a:ln w="5934"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7489" style="width:49.5463pt;height:0.467275pt;mso-position-horizontal-relative:char;mso-position-vertical-relative:line" coordsize="6292,59">
                <v:shape id="Shape 8966" style="position:absolute;width:6292;height:0;left:0;top:0;" coordsize="629238,0" path="m0,0l629238,0">
                  <v:stroke weight="0.467275pt" endcap="flat" joinstyle="round" on="true" color="#000000"/>
                  <v:fill on="false" color="#000000" opacity="0"/>
                </v:shape>
              </v:group>
            </w:pict>
          </mc:Fallback>
        </mc:AlternateConten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Times New Roman" w:eastAsia="Times New Roman" w:hAnsi="Times New Roman" w:cs="Times New Roman"/>
          <w:sz w:val="13"/>
        </w:rPr>
        <w:t>0</w:t>
      </w:r>
      <w:r>
        <w:rPr>
          <w:rFonts w:ascii="Segoe UI Symbol" w:eastAsia="Segoe UI Symbol" w:hAnsi="Segoe UI Symbol" w:cs="Segoe UI Symbol"/>
          <w:sz w:val="30"/>
        </w:rPr>
        <w:t></w:t>
      </w:r>
      <w:r>
        <w:rPr>
          <w:rFonts w:ascii="Segoe UI Symbol" w:eastAsia="Segoe UI Symbol" w:hAnsi="Segoe UI Symbol" w:cs="Segoe UI Symbol"/>
          <w:sz w:val="24"/>
        </w:rPr>
        <w:t></w:t>
      </w:r>
      <w:r>
        <w:rPr>
          <w:rFonts w:ascii="Segoe UI Symbol" w:eastAsia="Segoe UI Symbol" w:hAnsi="Segoe UI Symbol" w:cs="Segoe UI Symbol"/>
          <w:sz w:val="23"/>
        </w:rPr>
        <w:t></w:t>
      </w:r>
      <w:r>
        <w:rPr>
          <w:rFonts w:ascii="Times New Roman" w:eastAsia="Times New Roman" w:hAnsi="Times New Roman" w:cs="Times New Roman"/>
          <w:i/>
          <w:sz w:val="23"/>
        </w:rPr>
        <w:t>h</w:t>
      </w:r>
      <w:r>
        <w:rPr>
          <w:rFonts w:ascii="Times New Roman" w:eastAsia="Times New Roman" w:hAnsi="Times New Roman" w:cs="Times New Roman"/>
          <w:sz w:val="20"/>
          <w:vertAlign w:val="subscript"/>
        </w:rPr>
        <w:t>1</w:t>
      </w:r>
      <w:r>
        <w:rPr>
          <w:rFonts w:ascii="Segoe UI Symbol" w:eastAsia="Segoe UI Symbol" w:hAnsi="Segoe UI Symbol" w:cs="Segoe UI Symbol"/>
          <w:sz w:val="24"/>
        </w:rPr>
        <w:t></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Times New Roman" w:eastAsia="Times New Roman" w:hAnsi="Times New Roman" w:cs="Times New Roman"/>
          <w:sz w:val="13"/>
        </w:rPr>
        <w:t>21</w:t>
      </w:r>
      <w:r>
        <w:rPr>
          <w:rFonts w:ascii="Times New Roman" w:eastAsia="Times New Roman" w:hAnsi="Times New Roman" w:cs="Times New Roman"/>
          <w:i/>
          <w:sz w:val="23"/>
        </w:rPr>
        <w:t>l</w:t>
      </w:r>
      <w:r>
        <w:rPr>
          <w:rFonts w:ascii="Segoe UI Symbol" w:eastAsia="Segoe UI Symbol" w:hAnsi="Segoe UI Symbol" w:cs="Segoe UI Symbol"/>
          <w:sz w:val="30"/>
        </w:rPr>
        <w:t></w:t>
      </w:r>
      <w:r>
        <w:rPr>
          <w:rFonts w:ascii="Segoe UI Symbol" w:eastAsia="Segoe UI Symbol" w:hAnsi="Segoe UI Symbol" w:cs="Segoe UI Symbol"/>
          <w:sz w:val="31"/>
        </w:rPr>
        <w:t></w:t>
      </w:r>
      <w:r>
        <w:rPr>
          <w:rFonts w:ascii="Times New Roman" w:eastAsia="Times New Roman" w:hAnsi="Times New Roman" w:cs="Times New Roman"/>
          <w:sz w:val="23"/>
        </w:rPr>
        <w:t>ln</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Times New Roman" w:eastAsia="Times New Roman" w:hAnsi="Times New Roman" w:cs="Times New Roman"/>
          <w:sz w:val="13"/>
        </w:rPr>
        <w:t xml:space="preserve">0 </w:t>
      </w:r>
      <w:r>
        <w:rPr>
          <w:rFonts w:ascii="Segoe UI Symbol" w:eastAsia="Segoe UI Symbol" w:hAnsi="Segoe UI Symbol" w:cs="Segoe UI Symbol"/>
          <w:sz w:val="23"/>
        </w:rPr>
        <w:t></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Times New Roman" w:eastAsia="Times New Roman" w:hAnsi="Times New Roman" w:cs="Times New Roman"/>
          <w:i/>
          <w:sz w:val="23"/>
        </w:rPr>
        <w:t>l</w:t>
      </w:r>
      <w:r>
        <w:rPr>
          <w:rFonts w:ascii="Segoe UI Symbol" w:eastAsia="Segoe UI Symbol" w:hAnsi="Segoe UI Symbol" w:cs="Segoe UI Symbol"/>
          <w:sz w:val="30"/>
        </w:rPr>
        <w:t></w:t>
      </w:r>
      <w:r>
        <w:rPr>
          <w:rFonts w:ascii="Segoe UI Symbol" w:eastAsia="Segoe UI Symbol" w:hAnsi="Segoe UI Symbol" w:cs="Segoe UI Symbol"/>
          <w:sz w:val="23"/>
        </w:rPr>
        <w:t></w:t>
      </w:r>
      <w:r>
        <w:rPr>
          <w:rFonts w:ascii="Times New Roman" w:eastAsia="Times New Roman" w:hAnsi="Times New Roman" w:cs="Times New Roman"/>
          <w:sz w:val="23"/>
        </w:rPr>
        <w:t>1</w:t>
      </w:r>
      <w:r>
        <w:rPr>
          <w:rFonts w:ascii="Segoe UI Symbol" w:eastAsia="Segoe UI Symbol" w:hAnsi="Segoe UI Symbol" w:cs="Segoe UI Symbol"/>
          <w:sz w:val="31"/>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30"/>
          <w:vertAlign w:val="subscript"/>
        </w:rPr>
        <w:t></w:t>
      </w:r>
      <w:r>
        <w:rPr>
          <w:rFonts w:ascii="Segoe UI Symbol" w:eastAsia="Segoe UI Symbol" w:hAnsi="Segoe UI Symbol" w:cs="Segoe UI Symbol"/>
          <w:sz w:val="23"/>
        </w:rPr>
        <w:t></w:t>
      </w:r>
      <w:r>
        <w:rPr>
          <w:rFonts w:ascii="Segoe UI Symbol" w:eastAsia="Segoe UI Symbol" w:hAnsi="Segoe UI Symbol" w:cs="Segoe UI Symbol"/>
          <w:sz w:val="24"/>
        </w:rPr>
        <w:t></w:t>
      </w:r>
      <w:r>
        <w:rPr>
          <w:rFonts w:ascii="Times New Roman" w:eastAsia="Times New Roman" w:hAnsi="Times New Roman" w:cs="Times New Roman"/>
          <w:sz w:val="13"/>
        </w:rPr>
        <w:t>2</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30"/>
          <w:vertAlign w:val="subscript"/>
        </w:rPr>
        <w:t></w:t>
      </w:r>
      <w:r>
        <w:rPr>
          <w:rFonts w:ascii="Times New Roman" w:eastAsia="Times New Roman" w:hAnsi="Times New Roman" w:cs="Times New Roman"/>
          <w:sz w:val="23"/>
        </w:rPr>
        <w:t>2</w:t>
      </w:r>
      <w:r>
        <w:rPr>
          <w:rFonts w:ascii="Segoe UI Symbol" w:eastAsia="Segoe UI Symbol" w:hAnsi="Segoe UI Symbol" w:cs="Segoe UI Symbol"/>
          <w:sz w:val="30"/>
        </w:rPr>
        <w:t></w:t>
      </w:r>
      <w:r>
        <w:rPr>
          <w:rFonts w:ascii="Segoe UI Symbol" w:eastAsia="Segoe UI Symbol" w:hAnsi="Segoe UI Symbol" w:cs="Segoe UI Symbol"/>
          <w:sz w:val="24"/>
        </w:rPr>
        <w:t></w:t>
      </w:r>
      <w:r>
        <w:rPr>
          <w:rFonts w:ascii="Times New Roman" w:eastAsia="Times New Roman" w:hAnsi="Times New Roman" w:cs="Times New Roman"/>
          <w:i/>
          <w:sz w:val="23"/>
        </w:rPr>
        <w:t>lh</w:t>
      </w:r>
      <w:r>
        <w:rPr>
          <w:rFonts w:ascii="Times New Roman" w:eastAsia="Times New Roman" w:hAnsi="Times New Roman" w:cs="Times New Roman"/>
          <w:sz w:val="13"/>
        </w:rPr>
        <w:t>2</w:t>
      </w:r>
      <w:r>
        <w:rPr>
          <w:rFonts w:ascii="Times New Roman" w:eastAsia="Times New Roman" w:hAnsi="Times New Roman" w:cs="Times New Roman"/>
          <w:sz w:val="20"/>
          <w:vertAlign w:val="subscript"/>
        </w:rPr>
        <w:t>1</w:t>
      </w:r>
      <w:r>
        <w:rPr>
          <w:rFonts w:ascii="Segoe UI Symbol" w:eastAsia="Segoe UI Symbol" w:hAnsi="Segoe UI Symbol" w:cs="Segoe UI Symbol"/>
          <w:sz w:val="30"/>
        </w:rPr>
        <w:t></w:t>
      </w:r>
      <w:r>
        <w:rPr>
          <w:rFonts w:ascii="Times New Roman" w:eastAsia="Times New Roman" w:hAnsi="Times New Roman" w:cs="Times New Roman"/>
          <w:sz w:val="13"/>
        </w:rPr>
        <w:t xml:space="preserve">2 </w:t>
      </w:r>
      <w:r>
        <w:rPr>
          <w:rFonts w:ascii="Segoe UI Symbol" w:eastAsia="Segoe UI Symbol" w:hAnsi="Segoe UI Symbol" w:cs="Segoe UI Symbol"/>
          <w:sz w:val="23"/>
        </w:rPr>
        <w:t xml:space="preserve"> </w:t>
      </w:r>
      <w:r>
        <w:rPr>
          <w:rFonts w:ascii="Segoe UI Symbol" w:eastAsia="Segoe UI Symbol" w:hAnsi="Segoe UI Symbol" w:cs="Segoe UI Symbol"/>
          <w:sz w:val="30"/>
        </w:rPr>
        <w:t></w:t>
      </w:r>
      <w:r>
        <w:rPr>
          <w:rFonts w:ascii="Segoe UI Symbol" w:eastAsia="Segoe UI Symbol" w:hAnsi="Segoe UI Symbol" w:cs="Segoe UI Symbol"/>
          <w:sz w:val="24"/>
        </w:rPr>
        <w:t></w:t>
      </w:r>
      <w:r>
        <w:rPr>
          <w:rFonts w:ascii="Times New Roman" w:eastAsia="Times New Roman" w:hAnsi="Times New Roman" w:cs="Times New Roman"/>
          <w:i/>
          <w:sz w:val="23"/>
        </w:rPr>
        <w:t>hh</w:t>
      </w:r>
      <w:r>
        <w:rPr>
          <w:rFonts w:ascii="Times New Roman" w:eastAsia="Times New Roman" w:hAnsi="Times New Roman" w:cs="Times New Roman"/>
          <w:sz w:val="13"/>
        </w:rPr>
        <w:t>0</w:t>
      </w:r>
      <w:r>
        <w:rPr>
          <w:rFonts w:ascii="Times New Roman" w:eastAsia="Times New Roman" w:hAnsi="Times New Roman" w:cs="Times New Roman"/>
          <w:sz w:val="20"/>
          <w:vertAlign w:val="subscript"/>
        </w:rPr>
        <w:t>1</w:t>
      </w:r>
      <w:r>
        <w:rPr>
          <w:rFonts w:ascii="Times New Roman" w:eastAsia="Times New Roman" w:hAnsi="Times New Roman" w:cs="Times New Roman"/>
          <w:i/>
          <w:sz w:val="23"/>
        </w:rPr>
        <w:t>l</w:t>
      </w:r>
      <w:r>
        <w:rPr>
          <w:rFonts w:ascii="Segoe UI Symbol" w:eastAsia="Segoe UI Symbol" w:hAnsi="Segoe UI Symbol" w:cs="Segoe UI Symbol"/>
          <w:sz w:val="30"/>
        </w:rPr>
        <w:t></w:t>
      </w:r>
      <w:r>
        <w:rPr>
          <w:rFonts w:ascii="Times New Roman" w:eastAsia="Times New Roman" w:hAnsi="Times New Roman" w:cs="Times New Roman"/>
          <w:sz w:val="13"/>
        </w:rPr>
        <w:t xml:space="preserve">2 </w:t>
      </w:r>
      <w:r>
        <w:rPr>
          <w:rFonts w:ascii="Segoe UI Symbol" w:eastAsia="Segoe UI Symbol" w:hAnsi="Segoe UI Symbol" w:cs="Segoe UI Symbol"/>
          <w:sz w:val="23"/>
        </w:rPr>
        <w:t xml:space="preserve"> </w:t>
      </w:r>
      <w:r>
        <w:rPr>
          <w:rFonts w:ascii="Segoe UI Symbol" w:eastAsia="Segoe UI Symbol" w:hAnsi="Segoe UI Symbol" w:cs="Segoe UI Symbol"/>
          <w:sz w:val="30"/>
        </w:rPr>
        <w:t></w:t>
      </w:r>
      <w:r>
        <w:rPr>
          <w:rFonts w:ascii="Segoe UI Symbol" w:eastAsia="Segoe UI Symbol" w:hAnsi="Segoe UI Symbol" w:cs="Segoe UI Symbol"/>
          <w:sz w:val="24"/>
        </w:rPr>
        <w:t></w:t>
      </w:r>
      <w:r>
        <w:rPr>
          <w:rFonts w:ascii="Times New Roman" w:eastAsia="Times New Roman" w:hAnsi="Times New Roman" w:cs="Times New Roman"/>
          <w:i/>
          <w:sz w:val="23"/>
        </w:rPr>
        <w:t>hh</w:t>
      </w:r>
      <w:r>
        <w:rPr>
          <w:rFonts w:ascii="Times New Roman" w:eastAsia="Times New Roman" w:hAnsi="Times New Roman" w:cs="Times New Roman"/>
          <w:sz w:val="13"/>
        </w:rPr>
        <w:t>0</w:t>
      </w:r>
      <w:r>
        <w:rPr>
          <w:rFonts w:ascii="Times New Roman" w:eastAsia="Times New Roman" w:hAnsi="Times New Roman" w:cs="Times New Roman"/>
          <w:sz w:val="20"/>
          <w:vertAlign w:val="subscript"/>
        </w:rPr>
        <w:t>1</w:t>
      </w:r>
      <w:r>
        <w:rPr>
          <w:rFonts w:ascii="Times New Roman" w:eastAsia="Times New Roman" w:hAnsi="Times New Roman" w:cs="Times New Roman"/>
          <w:sz w:val="13"/>
        </w:rPr>
        <w:t>2</w:t>
      </w:r>
      <w:r>
        <w:rPr>
          <w:rFonts w:ascii="Segoe UI Symbol" w:eastAsia="Segoe UI Symbol" w:hAnsi="Segoe UI Symbol" w:cs="Segoe UI Symbol"/>
          <w:sz w:val="30"/>
        </w:rPr>
        <w:t></w:t>
      </w:r>
      <w:r>
        <w:rPr>
          <w:rFonts w:ascii="Times New Roman" w:eastAsia="Times New Roman" w:hAnsi="Times New Roman" w:cs="Times New Roman"/>
          <w:sz w:val="13"/>
        </w:rPr>
        <w:t xml:space="preserve">3 </w:t>
      </w:r>
      <w:r>
        <w:rPr>
          <w:rFonts w:ascii="Times New Roman" w:eastAsia="Times New Roman" w:hAnsi="Times New Roman" w:cs="Times New Roman"/>
          <w:sz w:val="23"/>
        </w:rPr>
        <w:t>ln</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Times New Roman" w:eastAsia="Times New Roman" w:hAnsi="Times New Roman" w:cs="Times New Roman"/>
          <w:sz w:val="13"/>
        </w:rPr>
        <w:t xml:space="preserve">0 </w:t>
      </w:r>
      <w:r>
        <w:rPr>
          <w:rFonts w:ascii="Segoe UI Symbol" w:eastAsia="Segoe UI Symbol" w:hAnsi="Segoe UI Symbol" w:cs="Segoe UI Symbol"/>
          <w:sz w:val="23"/>
        </w:rPr>
        <w:t></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Times New Roman" w:eastAsia="Times New Roman" w:hAnsi="Times New Roman" w:cs="Times New Roman"/>
          <w:i/>
          <w:sz w:val="23"/>
        </w:rPr>
        <w:t>l</w:t>
      </w:r>
      <w:r>
        <w:rPr>
          <w:rFonts w:ascii="Segoe UI Symbol" w:eastAsia="Segoe UI Symbol" w:hAnsi="Segoe UI Symbol" w:cs="Segoe UI Symbol"/>
          <w:sz w:val="30"/>
        </w:rPr>
        <w:t></w:t>
      </w:r>
      <w:r>
        <w:rPr>
          <w:rFonts w:ascii="Segoe UI Symbol" w:eastAsia="Segoe UI Symbol" w:hAnsi="Segoe UI Symbol" w:cs="Segoe UI Symbol"/>
          <w:sz w:val="23"/>
        </w:rPr>
        <w:t></w:t>
      </w:r>
      <w:r>
        <w:rPr>
          <w:rFonts w:ascii="Segoe UI Symbol" w:eastAsia="Segoe UI Symbol" w:hAnsi="Segoe UI Symbol" w:cs="Segoe UI Symbol"/>
          <w:sz w:val="30"/>
          <w:vertAlign w:val="subscript"/>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35"/>
          <w:vertAlign w:val="subscript"/>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Times New Roman" w:eastAsia="Times New Roman" w:hAnsi="Times New Roman" w:cs="Times New Roman"/>
          <w:sz w:val="23"/>
        </w:rPr>
        <w:t>.</w:t>
      </w:r>
      <w:r>
        <w:rPr>
          <w:rFonts w:ascii="Times New Roman" w:eastAsia="Times New Roman" w:hAnsi="Times New Roman" w:cs="Times New Roman"/>
          <w:sz w:val="24"/>
        </w:rPr>
        <w:t xml:space="preserve"> </w:t>
      </w:r>
      <w:r>
        <w:rPr>
          <w:rFonts w:ascii="Times New Roman" w:eastAsia="Times New Roman" w:hAnsi="Times New Roman" w:cs="Times New Roman"/>
          <w:sz w:val="37"/>
          <w:vertAlign w:val="subscript"/>
        </w:rPr>
        <w:t xml:space="preserve">  </w:t>
      </w:r>
      <w:r>
        <w:rPr>
          <w:rFonts w:ascii="Times New Roman" w:eastAsia="Times New Roman" w:hAnsi="Times New Roman" w:cs="Times New Roman"/>
          <w:i/>
          <w:sz w:val="25"/>
        </w:rPr>
        <w:t>A</w:t>
      </w:r>
      <w:r>
        <w:rPr>
          <w:rFonts w:ascii="Times New Roman" w:eastAsia="Times New Roman" w:hAnsi="Times New Roman" w:cs="Times New Roman"/>
          <w:sz w:val="15"/>
        </w:rPr>
        <w:t xml:space="preserve">41 </w:t>
      </w:r>
      <w:r>
        <w:rPr>
          <w:rFonts w:ascii="Segoe UI Symbol" w:eastAsia="Segoe UI Symbol" w:hAnsi="Segoe UI Symbol" w:cs="Segoe UI Symbol"/>
          <w:sz w:val="25"/>
        </w:rPr>
        <w:t xml:space="preserve"> </w:t>
      </w:r>
      <w:r>
        <w:rPr>
          <w:rFonts w:ascii="Times New Roman" w:eastAsia="Times New Roman" w:hAnsi="Times New Roman" w:cs="Times New Roman"/>
          <w:sz w:val="25"/>
        </w:rPr>
        <w:t xml:space="preserve">6 </w:t>
      </w:r>
      <w:r>
        <w:rPr>
          <w:rFonts w:ascii="Times New Roman" w:eastAsia="Times New Roman" w:hAnsi="Times New Roman" w:cs="Times New Roman"/>
          <w:i/>
          <w:sz w:val="25"/>
        </w:rPr>
        <w:t>E</w:t>
      </w:r>
      <w:r>
        <w:rPr>
          <w:rFonts w:ascii="Segoe UI Symbol" w:eastAsia="Segoe UI Symbol" w:hAnsi="Segoe UI Symbol" w:cs="Segoe UI Symbol"/>
          <w:sz w:val="33"/>
        </w:rPr>
        <w:t></w:t>
      </w:r>
      <w:r>
        <w:rPr>
          <w:rFonts w:ascii="Segoe UI Symbol" w:eastAsia="Segoe UI Symbol" w:hAnsi="Segoe UI Symbol" w:cs="Segoe UI Symbol"/>
          <w:sz w:val="26"/>
        </w:rPr>
        <w:t></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Times New Roman" w:eastAsia="Times New Roman" w:hAnsi="Times New Roman" w:cs="Times New Roman"/>
          <w:sz w:val="15"/>
        </w:rPr>
        <w:t>2</w:t>
      </w:r>
      <w:r>
        <w:rPr>
          <w:rFonts w:ascii="Segoe UI Symbol" w:eastAsia="Segoe UI Symbol" w:hAnsi="Segoe UI Symbol" w:cs="Segoe UI Symbol"/>
          <w:sz w:val="33"/>
        </w:rPr>
        <w:t></w:t>
      </w:r>
      <w:r>
        <w:rPr>
          <w:rFonts w:ascii="Times New Roman" w:eastAsia="Times New Roman" w:hAnsi="Times New Roman" w:cs="Times New Roman"/>
          <w:sz w:val="15"/>
        </w:rPr>
        <w:t>2</w:t>
      </w:r>
      <w:r>
        <w:rPr>
          <w:rFonts w:ascii="Segoe UI Symbol" w:eastAsia="Segoe UI Symbol" w:hAnsi="Segoe UI Symbol" w:cs="Segoe UI Symbol"/>
          <w:sz w:val="40"/>
          <w:u w:val="single" w:color="000000"/>
        </w:rPr>
        <w:t xml:space="preserve"> </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 xml:space="preserve">0 </w:t>
      </w:r>
      <w:r>
        <w:rPr>
          <w:rFonts w:ascii="Segoe UI Symbol" w:eastAsia="Segoe UI Symbol" w:hAnsi="Segoe UI Symbol" w:cs="Segoe UI Symbol"/>
          <w:sz w:val="25"/>
        </w:rPr>
        <w:t></w:t>
      </w:r>
      <w:r>
        <w:rPr>
          <w:rFonts w:ascii="Times New Roman" w:eastAsia="Times New Roman" w:hAnsi="Times New Roman" w:cs="Times New Roman"/>
          <w:i/>
          <w:sz w:val="25"/>
        </w:rPr>
        <w:t>h</w:t>
      </w:r>
      <w:r>
        <w:rPr>
          <w:rFonts w:ascii="Segoe UI Symbol" w:eastAsia="Segoe UI Symbol" w:hAnsi="Segoe UI Symbol" w:cs="Segoe UI Symbol"/>
          <w:sz w:val="26"/>
        </w:rPr>
        <w:t></w:t>
      </w:r>
      <w:r>
        <w:rPr>
          <w:rFonts w:ascii="Times New Roman" w:eastAsia="Times New Roman" w:hAnsi="Times New Roman" w:cs="Times New Roman"/>
          <w:sz w:val="15"/>
        </w:rPr>
        <w:t>0</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0</w:t>
      </w:r>
      <w:r>
        <w:rPr>
          <w:rFonts w:ascii="Times New Roman" w:eastAsia="Times New Roman" w:hAnsi="Times New Roman" w:cs="Times New Roman"/>
          <w:i/>
          <w:sz w:val="25"/>
        </w:rPr>
        <w:t>l</w:t>
      </w:r>
      <w:r>
        <w:rPr>
          <w:rFonts w:ascii="Segoe UI Symbol" w:eastAsia="Segoe UI Symbol" w:hAnsi="Segoe UI Symbol" w:cs="Segoe UI Symbol"/>
          <w:sz w:val="33"/>
        </w:rPr>
        <w:t></w:t>
      </w:r>
      <w:r>
        <w:rPr>
          <w:rFonts w:ascii="Times New Roman" w:eastAsia="Times New Roman" w:hAnsi="Times New Roman" w:cs="Times New Roman"/>
          <w:sz w:val="15"/>
        </w:rPr>
        <w:t xml:space="preserve">2 </w:t>
      </w:r>
      <w:r>
        <w:rPr>
          <w:rFonts w:ascii="Segoe UI Symbol" w:eastAsia="Segoe UI Symbol" w:hAnsi="Segoe UI Symbol" w:cs="Segoe UI Symbol"/>
          <w:sz w:val="25"/>
        </w:rPr>
        <w:t xml:space="preserve"> </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Times New Roman" w:eastAsia="Times New Roman" w:hAnsi="Times New Roman" w:cs="Times New Roman"/>
          <w:sz w:val="25"/>
        </w:rPr>
        <w:t>2</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15"/>
        </w:rPr>
        <w:t>0</w:t>
      </w:r>
      <w:r>
        <w:rPr>
          <w:rFonts w:ascii="Times New Roman" w:eastAsia="Times New Roman" w:hAnsi="Times New Roman" w:cs="Times New Roman"/>
          <w:i/>
          <w:sz w:val="25"/>
        </w:rPr>
        <w:t>l</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sz w:val="25"/>
        </w:rPr>
        <w:t xml:space="preserve">, </w:t>
      </w:r>
      <w:r>
        <w:rPr>
          <w:rFonts w:ascii="Times New Roman" w:eastAsia="Times New Roman" w:hAnsi="Times New Roman" w:cs="Times New Roman"/>
          <w:i/>
          <w:sz w:val="25"/>
        </w:rPr>
        <w:t>A</w:t>
      </w:r>
      <w:r>
        <w:rPr>
          <w:rFonts w:ascii="Times New Roman" w:eastAsia="Times New Roman" w:hAnsi="Times New Roman" w:cs="Times New Roman"/>
          <w:sz w:val="15"/>
        </w:rPr>
        <w:t xml:space="preserve">42 </w:t>
      </w:r>
      <w:r>
        <w:rPr>
          <w:rFonts w:ascii="Segoe UI Symbol" w:eastAsia="Segoe UI Symbol" w:hAnsi="Segoe UI Symbol" w:cs="Segoe UI Symbol"/>
          <w:sz w:val="25"/>
        </w:rPr>
        <w:t xml:space="preserve"> </w:t>
      </w:r>
      <w:r>
        <w:rPr>
          <w:rFonts w:ascii="Times New Roman" w:eastAsia="Times New Roman" w:hAnsi="Times New Roman" w:cs="Times New Roman"/>
          <w:sz w:val="25"/>
        </w:rPr>
        <w:t xml:space="preserve">6 </w:t>
      </w:r>
      <w:r>
        <w:rPr>
          <w:noProof/>
        </w:rPr>
        <mc:AlternateContent>
          <mc:Choice Requires="wpg">
            <w:drawing>
              <wp:inline distT="0" distB="0" distL="0" distR="0">
                <wp:extent cx="1113985" cy="6308"/>
                <wp:effectExtent l="0" t="0" r="0" b="0"/>
                <wp:docPr id="917492" name="Group 917492"/>
                <wp:cNvGraphicFramePr/>
                <a:graphic xmlns:a="http://schemas.openxmlformats.org/drawingml/2006/main">
                  <a:graphicData uri="http://schemas.microsoft.com/office/word/2010/wordprocessingGroup">
                    <wpg:wgp>
                      <wpg:cNvGrpSpPr/>
                      <wpg:grpSpPr>
                        <a:xfrm>
                          <a:off x="0" y="0"/>
                          <a:ext cx="1113985" cy="6308"/>
                          <a:chOff x="0" y="0"/>
                          <a:chExt cx="1113985" cy="6308"/>
                        </a:xfrm>
                      </wpg:grpSpPr>
                      <wps:wsp>
                        <wps:cNvPr id="9075" name="Shape 9075"/>
                        <wps:cNvSpPr/>
                        <wps:spPr>
                          <a:xfrm>
                            <a:off x="0" y="0"/>
                            <a:ext cx="1113985" cy="0"/>
                          </a:xfrm>
                          <a:custGeom>
                            <a:avLst/>
                            <a:gdLst/>
                            <a:ahLst/>
                            <a:cxnLst/>
                            <a:rect l="0" t="0" r="0" b="0"/>
                            <a:pathLst>
                              <a:path w="1113985">
                                <a:moveTo>
                                  <a:pt x="0" y="0"/>
                                </a:moveTo>
                                <a:lnTo>
                                  <a:pt x="1113985" y="0"/>
                                </a:lnTo>
                              </a:path>
                            </a:pathLst>
                          </a:custGeom>
                          <a:ln w="6308"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7492" style="width:87.7154pt;height:0.496677pt;mso-position-horizontal-relative:char;mso-position-vertical-relative:line" coordsize="11139,63">
                <v:shape id="Shape 9075" style="position:absolute;width:11139;height:0;left:0;top:0;" coordsize="1113985,0" path="m0,0l1113985,0">
                  <v:stroke weight="0.496677pt" endcap="flat" joinstyle="round" on="true" color="#000000"/>
                  <v:fill on="false" color="#000000" opacity="0"/>
                </v:shape>
              </v:group>
            </w:pict>
          </mc:Fallback>
        </mc:AlternateContent>
      </w:r>
      <w:r>
        <w:rPr>
          <w:rFonts w:ascii="Times New Roman" w:eastAsia="Times New Roman" w:hAnsi="Times New Roman" w:cs="Times New Roman"/>
          <w:i/>
          <w:sz w:val="25"/>
        </w:rPr>
        <w:t>E</w:t>
      </w:r>
      <w:r>
        <w:rPr>
          <w:rFonts w:ascii="Segoe UI Symbol" w:eastAsia="Segoe UI Symbol" w:hAnsi="Segoe UI Symbol" w:cs="Segoe UI Symbol"/>
          <w:sz w:val="33"/>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Segoe UI Symbol" w:eastAsia="Segoe UI Symbol" w:hAnsi="Segoe UI Symbol" w:cs="Segoe UI Symbol"/>
          <w:sz w:val="40"/>
        </w:rPr>
        <w:t></w:t>
      </w:r>
      <w:r>
        <w:rPr>
          <w:rFonts w:ascii="Segoe UI Symbol" w:eastAsia="Segoe UI Symbol" w:hAnsi="Segoe UI Symbol" w:cs="Segoe UI Symbol"/>
          <w:sz w:val="33"/>
        </w:rPr>
        <w:t></w:t>
      </w:r>
      <w:r>
        <w:rPr>
          <w:rFonts w:ascii="Times New Roman" w:eastAsia="Times New Roman" w:hAnsi="Times New Roman" w:cs="Times New Roman"/>
          <w:sz w:val="25"/>
        </w:rPr>
        <w:t>1</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Segoe UI Symbol" w:eastAsia="Segoe UI Symbol" w:hAnsi="Segoe UI Symbol" w:cs="Segoe UI Symbol"/>
          <w:sz w:val="25"/>
        </w:rPr>
        <w:t></w:t>
      </w:r>
      <w:r>
        <w:rPr>
          <w:rFonts w:ascii="Times New Roman" w:eastAsia="Times New Roman" w:hAnsi="Times New Roman" w:cs="Times New Roman"/>
          <w:sz w:val="15"/>
        </w:rPr>
        <w:t>0</w:t>
      </w:r>
      <w:r>
        <w:rPr>
          <w:rFonts w:ascii="Segoe UI Symbol" w:eastAsia="Segoe UI Symbol" w:hAnsi="Segoe UI Symbol" w:cs="Segoe UI Symbol"/>
          <w:sz w:val="26"/>
        </w:rPr>
        <w:t></w:t>
      </w:r>
      <w:r>
        <w:rPr>
          <w:rFonts w:ascii="Segoe UI Symbol" w:eastAsia="Segoe UI Symbol" w:hAnsi="Segoe UI Symbol" w:cs="Segoe UI Symbol"/>
          <w:sz w:val="25"/>
        </w:rPr>
        <w:t></w:t>
      </w:r>
      <w:r>
        <w:rPr>
          <w:rFonts w:ascii="Times New Roman" w:eastAsia="Times New Roman" w:hAnsi="Times New Roman" w:cs="Times New Roman"/>
          <w:sz w:val="15"/>
        </w:rPr>
        <w:t>2</w:t>
      </w:r>
      <w:r>
        <w:rPr>
          <w:rFonts w:ascii="Segoe UI Symbol" w:eastAsia="Segoe UI Symbol" w:hAnsi="Segoe UI Symbol" w:cs="Segoe UI Symbol"/>
          <w:sz w:val="26"/>
        </w:rPr>
        <w:t></w:t>
      </w:r>
      <w:r>
        <w:rPr>
          <w:rFonts w:ascii="Segoe UI Symbol" w:eastAsia="Segoe UI Symbol" w:hAnsi="Segoe UI Symbol" w:cs="Segoe UI Symbol"/>
          <w:sz w:val="40"/>
        </w:rPr>
        <w:t></w:t>
      </w:r>
      <w:r>
        <w:rPr>
          <w:rFonts w:ascii="Times New Roman" w:eastAsia="Times New Roman" w:hAnsi="Times New Roman" w:cs="Times New Roman"/>
          <w:i/>
          <w:sz w:val="25"/>
        </w:rPr>
        <w:t>h</w:t>
      </w:r>
      <w:r>
        <w:rPr>
          <w:rFonts w:ascii="Times New Roman" w:eastAsia="Times New Roman" w:hAnsi="Times New Roman" w:cs="Times New Roman"/>
          <w:sz w:val="15"/>
        </w:rPr>
        <w:t>0</w:t>
      </w:r>
      <w:r>
        <w:rPr>
          <w:rFonts w:ascii="Times New Roman" w:eastAsia="Times New Roman" w:hAnsi="Times New Roman" w:cs="Times New Roman"/>
          <w:i/>
          <w:sz w:val="25"/>
        </w:rPr>
        <w:t>l</w:t>
      </w:r>
      <w:r>
        <w:rPr>
          <w:rFonts w:ascii="Segoe UI Symbol" w:eastAsia="Segoe UI Symbol" w:hAnsi="Segoe UI Symbol" w:cs="Segoe UI Symbol"/>
          <w:sz w:val="33"/>
        </w:rPr>
        <w:t></w:t>
      </w:r>
      <w:r>
        <w:rPr>
          <w:rFonts w:ascii="Times New Roman" w:eastAsia="Times New Roman" w:hAnsi="Times New Roman" w:cs="Times New Roman"/>
          <w:sz w:val="15"/>
        </w:rPr>
        <w:t xml:space="preserve">2 </w:t>
      </w:r>
      <w:r>
        <w:rPr>
          <w:rFonts w:ascii="Times New Roman" w:eastAsia="Times New Roman" w:hAnsi="Times New Roman" w:cs="Times New Roman"/>
          <w:sz w:val="25"/>
        </w:rPr>
        <w:t>,</w:t>
      </w:r>
      <w:r>
        <w:rPr>
          <w:rFonts w:ascii="Times New Roman" w:eastAsia="Times New Roman" w:hAnsi="Times New Roman" w:cs="Times New Roman"/>
          <w:sz w:val="24"/>
        </w:rPr>
        <w:t xml:space="preserve"> </w:t>
      </w:r>
      <w:r>
        <w:rPr>
          <w:rFonts w:ascii="Segoe UI Symbol" w:eastAsia="Segoe UI Symbol" w:hAnsi="Segoe UI Symbol" w:cs="Segoe UI Symbol"/>
          <w:sz w:val="40"/>
          <w:u w:val="single" w:color="000000"/>
        </w:rPr>
        <w:t></w:t>
      </w:r>
      <w:r>
        <w:rPr>
          <w:rFonts w:ascii="Times New Roman" w:eastAsia="Times New Roman" w:hAnsi="Times New Roman" w:cs="Times New Roman"/>
          <w:sz w:val="25"/>
        </w:rPr>
        <w:t>1</w:t>
      </w:r>
    </w:p>
    <w:p w:rsidR="0052701D" w:rsidRDefault="00D40929">
      <w:pPr>
        <w:spacing w:after="673"/>
      </w:pPr>
      <w:r>
        <w:rPr>
          <w:rFonts w:ascii="Times New Roman" w:eastAsia="Times New Roman" w:hAnsi="Times New Roman" w:cs="Times New Roman"/>
          <w:sz w:val="24"/>
        </w:rPr>
        <w:t xml:space="preserve"> </w:t>
      </w:r>
    </w:p>
    <w:p w:rsidR="0052701D" w:rsidRDefault="00D40929">
      <w:pPr>
        <w:spacing w:after="29"/>
        <w:ind w:left="42" w:right="247" w:firstLine="7"/>
        <w:jc w:val="both"/>
      </w:pPr>
      <w:r>
        <w:rPr>
          <w:noProof/>
        </w:rPr>
        <mc:AlternateContent>
          <mc:Choice Requires="wpg">
            <w:drawing>
              <wp:anchor distT="0" distB="0" distL="114300" distR="114300" simplePos="0" relativeHeight="251700224" behindDoc="0" locked="0" layoutInCell="1" allowOverlap="1">
                <wp:simplePos x="0" y="0"/>
                <wp:positionH relativeFrom="column">
                  <wp:posOffset>1342678</wp:posOffset>
                </wp:positionH>
                <wp:positionV relativeFrom="paragraph">
                  <wp:posOffset>24559</wp:posOffset>
                </wp:positionV>
                <wp:extent cx="4242329" cy="6135"/>
                <wp:effectExtent l="0" t="0" r="0" b="0"/>
                <wp:wrapNone/>
                <wp:docPr id="917493" name="Group 917493"/>
                <wp:cNvGraphicFramePr/>
                <a:graphic xmlns:a="http://schemas.openxmlformats.org/drawingml/2006/main">
                  <a:graphicData uri="http://schemas.microsoft.com/office/word/2010/wordprocessingGroup">
                    <wpg:wgp>
                      <wpg:cNvGrpSpPr/>
                      <wpg:grpSpPr>
                        <a:xfrm>
                          <a:off x="0" y="0"/>
                          <a:ext cx="4242329" cy="6135"/>
                          <a:chOff x="0" y="0"/>
                          <a:chExt cx="4242329" cy="6135"/>
                        </a:xfrm>
                      </wpg:grpSpPr>
                      <wps:wsp>
                        <wps:cNvPr id="9147" name="Shape 9147"/>
                        <wps:cNvSpPr/>
                        <wps:spPr>
                          <a:xfrm>
                            <a:off x="0" y="0"/>
                            <a:ext cx="1117450" cy="0"/>
                          </a:xfrm>
                          <a:custGeom>
                            <a:avLst/>
                            <a:gdLst/>
                            <a:ahLst/>
                            <a:cxnLst/>
                            <a:rect l="0" t="0" r="0" b="0"/>
                            <a:pathLst>
                              <a:path w="1117450">
                                <a:moveTo>
                                  <a:pt x="0" y="0"/>
                                </a:moveTo>
                                <a:lnTo>
                                  <a:pt x="1117450" y="0"/>
                                </a:lnTo>
                              </a:path>
                            </a:pathLst>
                          </a:custGeom>
                          <a:ln w="6135" cap="flat">
                            <a:round/>
                          </a:ln>
                        </wps:spPr>
                        <wps:style>
                          <a:lnRef idx="1">
                            <a:srgbClr val="000000"/>
                          </a:lnRef>
                          <a:fillRef idx="0">
                            <a:srgbClr val="000000">
                              <a:alpha val="0"/>
                            </a:srgbClr>
                          </a:fillRef>
                          <a:effectRef idx="0">
                            <a:scrgbClr r="0" g="0" b="0"/>
                          </a:effectRef>
                          <a:fontRef idx="none"/>
                        </wps:style>
                        <wps:bodyPr/>
                      </wps:wsp>
                      <wps:wsp>
                        <wps:cNvPr id="9152" name="Shape 9152"/>
                        <wps:cNvSpPr/>
                        <wps:spPr>
                          <a:xfrm>
                            <a:off x="1268644" y="0"/>
                            <a:ext cx="964773" cy="0"/>
                          </a:xfrm>
                          <a:custGeom>
                            <a:avLst/>
                            <a:gdLst/>
                            <a:ahLst/>
                            <a:cxnLst/>
                            <a:rect l="0" t="0" r="0" b="0"/>
                            <a:pathLst>
                              <a:path w="964773">
                                <a:moveTo>
                                  <a:pt x="0" y="0"/>
                                </a:moveTo>
                                <a:lnTo>
                                  <a:pt x="964773" y="0"/>
                                </a:lnTo>
                              </a:path>
                            </a:pathLst>
                          </a:custGeom>
                          <a:ln w="6135" cap="flat">
                            <a:round/>
                          </a:ln>
                        </wps:spPr>
                        <wps:style>
                          <a:lnRef idx="1">
                            <a:srgbClr val="000000"/>
                          </a:lnRef>
                          <a:fillRef idx="0">
                            <a:srgbClr val="000000">
                              <a:alpha val="0"/>
                            </a:srgbClr>
                          </a:fillRef>
                          <a:effectRef idx="0">
                            <a:scrgbClr r="0" g="0" b="0"/>
                          </a:effectRef>
                          <a:fontRef idx="none"/>
                        </wps:style>
                        <wps:bodyPr/>
                      </wps:wsp>
                      <wps:wsp>
                        <wps:cNvPr id="9157" name="Shape 9157"/>
                        <wps:cNvSpPr/>
                        <wps:spPr>
                          <a:xfrm>
                            <a:off x="2387082" y="0"/>
                            <a:ext cx="969965" cy="0"/>
                          </a:xfrm>
                          <a:custGeom>
                            <a:avLst/>
                            <a:gdLst/>
                            <a:ahLst/>
                            <a:cxnLst/>
                            <a:rect l="0" t="0" r="0" b="0"/>
                            <a:pathLst>
                              <a:path w="969965">
                                <a:moveTo>
                                  <a:pt x="0" y="0"/>
                                </a:moveTo>
                                <a:lnTo>
                                  <a:pt x="969965" y="0"/>
                                </a:lnTo>
                              </a:path>
                            </a:pathLst>
                          </a:custGeom>
                          <a:ln w="6135" cap="flat">
                            <a:round/>
                          </a:ln>
                        </wps:spPr>
                        <wps:style>
                          <a:lnRef idx="1">
                            <a:srgbClr val="000000"/>
                          </a:lnRef>
                          <a:fillRef idx="0">
                            <a:srgbClr val="000000">
                              <a:alpha val="0"/>
                            </a:srgbClr>
                          </a:fillRef>
                          <a:effectRef idx="0">
                            <a:scrgbClr r="0" g="0" b="0"/>
                          </a:effectRef>
                          <a:fontRef idx="none"/>
                        </wps:style>
                        <wps:bodyPr/>
                      </wps:wsp>
                      <wps:wsp>
                        <wps:cNvPr id="9162" name="Shape 9162"/>
                        <wps:cNvSpPr/>
                        <wps:spPr>
                          <a:xfrm>
                            <a:off x="3508488" y="0"/>
                            <a:ext cx="733841" cy="0"/>
                          </a:xfrm>
                          <a:custGeom>
                            <a:avLst/>
                            <a:gdLst/>
                            <a:ahLst/>
                            <a:cxnLst/>
                            <a:rect l="0" t="0" r="0" b="0"/>
                            <a:pathLst>
                              <a:path w="733841">
                                <a:moveTo>
                                  <a:pt x="0" y="0"/>
                                </a:moveTo>
                                <a:lnTo>
                                  <a:pt x="733841" y="0"/>
                                </a:lnTo>
                              </a:path>
                            </a:pathLst>
                          </a:custGeom>
                          <a:ln w="6135"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7493" style="width:334.042pt;height:0.483064pt;position:absolute;z-index:818;mso-position-horizontal-relative:text;mso-position-horizontal:absolute;margin-left:105.723pt;mso-position-vertical-relative:text;margin-top:1.93378pt;" coordsize="42423,61">
                <v:shape id="Shape 9147" style="position:absolute;width:11174;height:0;left:0;top:0;" coordsize="1117450,0" path="m0,0l1117450,0">
                  <v:stroke weight="0.483064pt" endcap="flat" joinstyle="round" on="true" color="#000000"/>
                  <v:fill on="false" color="#000000" opacity="0"/>
                </v:shape>
                <v:shape id="Shape 9152" style="position:absolute;width:9647;height:0;left:12686;top:0;" coordsize="964773,0" path="m0,0l964773,0">
                  <v:stroke weight="0.483064pt" endcap="flat" joinstyle="round" on="true" color="#000000"/>
                  <v:fill on="false" color="#000000" opacity="0"/>
                </v:shape>
                <v:shape id="Shape 9157" style="position:absolute;width:9699;height:0;left:23870;top:0;" coordsize="969965,0" path="m0,0l969965,0">
                  <v:stroke weight="0.483064pt" endcap="flat" joinstyle="round" on="true" color="#000000"/>
                  <v:fill on="false" color="#000000" opacity="0"/>
                </v:shape>
                <v:shape id="Shape 9162" style="position:absolute;width:7338;height:0;left:35084;top:0;" coordsize="733841,0" path="m0,0l733841,0">
                  <v:stroke weight="0.483064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701248" behindDoc="0" locked="0" layoutInCell="1" allowOverlap="1">
                <wp:simplePos x="0" y="0"/>
                <wp:positionH relativeFrom="column">
                  <wp:posOffset>567943</wp:posOffset>
                </wp:positionH>
                <wp:positionV relativeFrom="paragraph">
                  <wp:posOffset>555645</wp:posOffset>
                </wp:positionV>
                <wp:extent cx="3220075" cy="6336"/>
                <wp:effectExtent l="0" t="0" r="0" b="0"/>
                <wp:wrapNone/>
                <wp:docPr id="917494" name="Group 917494"/>
                <wp:cNvGraphicFramePr/>
                <a:graphic xmlns:a="http://schemas.openxmlformats.org/drawingml/2006/main">
                  <a:graphicData uri="http://schemas.microsoft.com/office/word/2010/wordprocessingGroup">
                    <wpg:wgp>
                      <wpg:cNvGrpSpPr/>
                      <wpg:grpSpPr>
                        <a:xfrm>
                          <a:off x="0" y="0"/>
                          <a:ext cx="3220075" cy="6336"/>
                          <a:chOff x="0" y="0"/>
                          <a:chExt cx="3220075" cy="6336"/>
                        </a:xfrm>
                      </wpg:grpSpPr>
                      <wps:wsp>
                        <wps:cNvPr id="9251" name="Shape 9251"/>
                        <wps:cNvSpPr/>
                        <wps:spPr>
                          <a:xfrm>
                            <a:off x="0" y="0"/>
                            <a:ext cx="811594" cy="0"/>
                          </a:xfrm>
                          <a:custGeom>
                            <a:avLst/>
                            <a:gdLst/>
                            <a:ahLst/>
                            <a:cxnLst/>
                            <a:rect l="0" t="0" r="0" b="0"/>
                            <a:pathLst>
                              <a:path w="811594">
                                <a:moveTo>
                                  <a:pt x="0" y="0"/>
                                </a:moveTo>
                                <a:lnTo>
                                  <a:pt x="811594" y="0"/>
                                </a:lnTo>
                              </a:path>
                            </a:pathLst>
                          </a:custGeom>
                          <a:ln w="6336" cap="flat">
                            <a:round/>
                          </a:ln>
                        </wps:spPr>
                        <wps:style>
                          <a:lnRef idx="1">
                            <a:srgbClr val="000000"/>
                          </a:lnRef>
                          <a:fillRef idx="0">
                            <a:srgbClr val="000000">
                              <a:alpha val="0"/>
                            </a:srgbClr>
                          </a:fillRef>
                          <a:effectRef idx="0">
                            <a:scrgbClr r="0" g="0" b="0"/>
                          </a:effectRef>
                          <a:fontRef idx="none"/>
                        </wps:style>
                        <wps:bodyPr/>
                      </wps:wsp>
                      <wps:wsp>
                        <wps:cNvPr id="9254" name="Shape 9254"/>
                        <wps:cNvSpPr/>
                        <wps:spPr>
                          <a:xfrm>
                            <a:off x="905048" y="0"/>
                            <a:ext cx="626856" cy="0"/>
                          </a:xfrm>
                          <a:custGeom>
                            <a:avLst/>
                            <a:gdLst/>
                            <a:ahLst/>
                            <a:cxnLst/>
                            <a:rect l="0" t="0" r="0" b="0"/>
                            <a:pathLst>
                              <a:path w="626856">
                                <a:moveTo>
                                  <a:pt x="0" y="0"/>
                                </a:moveTo>
                                <a:lnTo>
                                  <a:pt x="626856" y="0"/>
                                </a:lnTo>
                              </a:path>
                            </a:pathLst>
                          </a:custGeom>
                          <a:ln w="6336" cap="flat">
                            <a:round/>
                          </a:ln>
                        </wps:spPr>
                        <wps:style>
                          <a:lnRef idx="1">
                            <a:srgbClr val="000000"/>
                          </a:lnRef>
                          <a:fillRef idx="0">
                            <a:srgbClr val="000000">
                              <a:alpha val="0"/>
                            </a:srgbClr>
                          </a:fillRef>
                          <a:effectRef idx="0">
                            <a:scrgbClr r="0" g="0" b="0"/>
                          </a:effectRef>
                          <a:fontRef idx="none"/>
                        </wps:style>
                        <wps:bodyPr/>
                      </wps:wsp>
                      <wps:wsp>
                        <wps:cNvPr id="9259" name="Shape 9259"/>
                        <wps:cNvSpPr/>
                        <wps:spPr>
                          <a:xfrm>
                            <a:off x="1687150" y="0"/>
                            <a:ext cx="751078" cy="0"/>
                          </a:xfrm>
                          <a:custGeom>
                            <a:avLst/>
                            <a:gdLst/>
                            <a:ahLst/>
                            <a:cxnLst/>
                            <a:rect l="0" t="0" r="0" b="0"/>
                            <a:pathLst>
                              <a:path w="751078">
                                <a:moveTo>
                                  <a:pt x="0" y="0"/>
                                </a:moveTo>
                                <a:lnTo>
                                  <a:pt x="751078" y="0"/>
                                </a:lnTo>
                              </a:path>
                            </a:pathLst>
                          </a:custGeom>
                          <a:ln w="6336" cap="flat">
                            <a:round/>
                          </a:ln>
                        </wps:spPr>
                        <wps:style>
                          <a:lnRef idx="1">
                            <a:srgbClr val="000000"/>
                          </a:lnRef>
                          <a:fillRef idx="0">
                            <a:srgbClr val="000000">
                              <a:alpha val="0"/>
                            </a:srgbClr>
                          </a:fillRef>
                          <a:effectRef idx="0">
                            <a:scrgbClr r="0" g="0" b="0"/>
                          </a:effectRef>
                          <a:fontRef idx="none"/>
                        </wps:style>
                        <wps:bodyPr/>
                      </wps:wsp>
                      <wps:wsp>
                        <wps:cNvPr id="9262" name="Shape 9262"/>
                        <wps:cNvSpPr/>
                        <wps:spPr>
                          <a:xfrm>
                            <a:off x="2593474" y="0"/>
                            <a:ext cx="626601" cy="0"/>
                          </a:xfrm>
                          <a:custGeom>
                            <a:avLst/>
                            <a:gdLst/>
                            <a:ahLst/>
                            <a:cxnLst/>
                            <a:rect l="0" t="0" r="0" b="0"/>
                            <a:pathLst>
                              <a:path w="626601">
                                <a:moveTo>
                                  <a:pt x="0" y="0"/>
                                </a:moveTo>
                                <a:lnTo>
                                  <a:pt x="626601" y="0"/>
                                </a:lnTo>
                              </a:path>
                            </a:pathLst>
                          </a:custGeom>
                          <a:ln w="6336"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7494" style="width:253.549pt;height:0.498865pt;position:absolute;z-index:920;mso-position-horizontal-relative:text;mso-position-horizontal:absolute;margin-left:44.7199pt;mso-position-vertical-relative:text;margin-top:43.7516pt;" coordsize="32200,63">
                <v:shape id="Shape 9251" style="position:absolute;width:8115;height:0;left:0;top:0;" coordsize="811594,0" path="m0,0l811594,0">
                  <v:stroke weight="0.498865pt" endcap="flat" joinstyle="round" on="true" color="#000000"/>
                  <v:fill on="false" color="#000000" opacity="0"/>
                </v:shape>
                <v:shape id="Shape 9254" style="position:absolute;width:6268;height:0;left:9050;top:0;" coordsize="626856,0" path="m0,0l626856,0">
                  <v:stroke weight="0.498865pt" endcap="flat" joinstyle="round" on="true" color="#000000"/>
                  <v:fill on="false" color="#000000" opacity="0"/>
                </v:shape>
                <v:shape id="Shape 9259" style="position:absolute;width:7510;height:0;left:16871;top:0;" coordsize="751078,0" path="m0,0l751078,0">
                  <v:stroke weight="0.498865pt" endcap="flat" joinstyle="round" on="true" color="#000000"/>
                  <v:fill on="false" color="#000000" opacity="0"/>
                </v:shape>
                <v:shape id="Shape 9262" style="position:absolute;width:6266;height:0;left:25934;top:0;" coordsize="626601,0" path="m0,0l626601,0">
                  <v:stroke weight="0.498865pt" endcap="flat" joinstyle="round" on="true" color="#000000"/>
                  <v:fill on="false" color="#000000" opacity="0"/>
                </v:shape>
              </v:group>
            </w:pict>
          </mc:Fallback>
        </mc:AlternateContent>
      </w:r>
      <w:r>
        <w:rPr>
          <w:rFonts w:ascii="Times New Roman" w:eastAsia="Times New Roman" w:hAnsi="Times New Roman" w:cs="Times New Roman"/>
          <w:i/>
          <w:sz w:val="24"/>
        </w:rPr>
        <w:t>A</w:t>
      </w:r>
      <w:r>
        <w:rPr>
          <w:rFonts w:ascii="Times New Roman" w:eastAsia="Times New Roman" w:hAnsi="Times New Roman" w:cs="Times New Roman"/>
          <w:sz w:val="14"/>
        </w:rPr>
        <w:t xml:space="preserve">45 </w:t>
      </w:r>
      <w:r>
        <w:rPr>
          <w:rFonts w:ascii="Segoe UI Symbol" w:eastAsia="Segoe UI Symbol" w:hAnsi="Segoe UI Symbol" w:cs="Segoe UI Symbol"/>
          <w:sz w:val="24"/>
        </w:rPr>
        <w:t></w:t>
      </w:r>
      <w:r>
        <w:rPr>
          <w:rFonts w:ascii="Times New Roman" w:eastAsia="Times New Roman" w:hAnsi="Times New Roman" w:cs="Times New Roman"/>
          <w:i/>
          <w:sz w:val="24"/>
        </w:rPr>
        <w:t>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Times New Roman" w:eastAsia="Times New Roman" w:hAnsi="Times New Roman" w:cs="Times New Roman"/>
          <w:sz w:val="24"/>
        </w:rPr>
        <w:t>6</w:t>
      </w:r>
      <w:r>
        <w:rPr>
          <w:rFonts w:ascii="Times New Roman" w:eastAsia="Times New Roman" w:hAnsi="Times New Roman" w:cs="Times New Roman"/>
          <w:i/>
          <w:sz w:val="24"/>
        </w:rPr>
        <w:t>p</w:t>
      </w:r>
      <w:r>
        <w:rPr>
          <w:rFonts w:ascii="Times New Roman" w:eastAsia="Times New Roman" w:hAnsi="Times New Roman" w:cs="Times New Roman"/>
          <w:sz w:val="14"/>
        </w:rPr>
        <w:t xml:space="preserve">* </w:t>
      </w:r>
      <w:r>
        <w:rPr>
          <w:rFonts w:ascii="Segoe UI Symbol" w:eastAsia="Segoe UI Symbol" w:hAnsi="Segoe UI Symbol" w:cs="Segoe UI Symbol"/>
          <w:sz w:val="39"/>
          <w:u w:val="single" w:color="000000"/>
        </w:rPr>
        <w:t></w:t>
      </w:r>
      <w:r>
        <w:rPr>
          <w:rFonts w:ascii="Times New Roman" w:eastAsia="Times New Roman" w:hAnsi="Times New Roman" w:cs="Times New Roman"/>
          <w:sz w:val="24"/>
        </w:rPr>
        <w:t>1</w:t>
      </w:r>
      <w:r>
        <w:rPr>
          <w:rFonts w:ascii="Segoe UI Symbol" w:eastAsia="Segoe UI Symbol" w:hAnsi="Segoe UI Symbol" w:cs="Segoe UI Symbol"/>
          <w:sz w:val="24"/>
        </w:rPr>
        <w:t></w:t>
      </w:r>
      <w:r>
        <w:rPr>
          <w:rFonts w:ascii="Times New Roman" w:eastAsia="Times New Roman" w:hAnsi="Times New Roman" w:cs="Times New Roman"/>
          <w:i/>
          <w:sz w:val="24"/>
        </w:rPr>
        <w:t>E</w:t>
      </w:r>
      <w:r>
        <w:rPr>
          <w:rFonts w:ascii="Segoe UI Symbol" w:eastAsia="Segoe UI Symbol" w:hAnsi="Segoe UI Symbol" w:cs="Segoe UI Symbol"/>
          <w:sz w:val="26"/>
        </w:rPr>
        <w:t></w:t>
      </w:r>
      <w:r>
        <w:rPr>
          <w:rFonts w:ascii="Times New Roman" w:eastAsia="Times New Roman" w:hAnsi="Times New Roman" w:cs="Times New Roman"/>
          <w:sz w:val="14"/>
        </w:rPr>
        <w:t>2</w:t>
      </w:r>
      <w:r>
        <w:rPr>
          <w:rFonts w:ascii="Segoe UI Symbol" w:eastAsia="Segoe UI Symbol" w:hAnsi="Segoe UI Symbol" w:cs="Segoe UI Symbol"/>
          <w:sz w:val="39"/>
          <w:u w:val="single" w:color="000000"/>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Times New Roman" w:eastAsia="Times New Roman" w:hAnsi="Times New Roman" w:cs="Times New Roman"/>
          <w:sz w:val="24"/>
        </w:rPr>
        <w:t>2</w:t>
      </w:r>
      <w:r>
        <w:rPr>
          <w:rFonts w:ascii="Segoe UI Symbol" w:eastAsia="Segoe UI Symbol" w:hAnsi="Segoe UI Symbol" w:cs="Segoe UI Symbol"/>
          <w:sz w:val="32"/>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Segoe UI Symbol" w:eastAsia="Segoe UI Symbol" w:hAnsi="Segoe UI Symbol" w:cs="Segoe UI Symbol"/>
          <w:sz w:val="32"/>
        </w:rPr>
        <w:t></w:t>
      </w:r>
      <w:r>
        <w:rPr>
          <w:rFonts w:ascii="Times New Roman" w:eastAsia="Times New Roman" w:hAnsi="Times New Roman" w:cs="Times New Roman"/>
          <w:sz w:val="14"/>
        </w:rPr>
        <w:t>3</w:t>
      </w:r>
      <w:r>
        <w:rPr>
          <w:rFonts w:ascii="Segoe UI Symbol" w:eastAsia="Segoe UI Symbol" w:hAnsi="Segoe UI Symbol" w:cs="Segoe UI Symbol"/>
          <w:sz w:val="32"/>
        </w:rPr>
        <w:t></w:t>
      </w:r>
      <w:r>
        <w:rPr>
          <w:rFonts w:ascii="Times New Roman" w:eastAsia="Times New Roman" w:hAnsi="Times New Roman" w:cs="Times New Roman"/>
          <w:i/>
          <w:sz w:val="24"/>
        </w:rPr>
        <w:t>hh</w:t>
      </w:r>
      <w:r>
        <w:rPr>
          <w:rFonts w:ascii="Times New Roman" w:eastAsia="Times New Roman" w:hAnsi="Times New Roman" w:cs="Times New Roman"/>
          <w:sz w:val="14"/>
        </w:rPr>
        <w:t xml:space="preserve">002 </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l</w:t>
      </w:r>
      <w:r>
        <w:rPr>
          <w:rFonts w:ascii="Segoe UI Symbol" w:eastAsia="Segoe UI Symbol" w:hAnsi="Segoe UI Symbol" w:cs="Segoe UI Symbol"/>
          <w:sz w:val="32"/>
        </w:rPr>
        <w:t></w:t>
      </w:r>
      <w:r>
        <w:rPr>
          <w:rFonts w:ascii="Times New Roman" w:eastAsia="Times New Roman" w:hAnsi="Times New Roman" w:cs="Times New Roman"/>
          <w:sz w:val="14"/>
        </w:rPr>
        <w:t xml:space="preserve">2 </w:t>
      </w:r>
      <w:r>
        <w:rPr>
          <w:rFonts w:ascii="Segoe UI Symbol" w:eastAsia="Segoe UI Symbol" w:hAnsi="Segoe UI Symbol" w:cs="Segoe UI Symbol"/>
          <w:sz w:val="24"/>
        </w:rPr>
        <w:t xml:space="preserve"> </w:t>
      </w:r>
      <w:r>
        <w:rPr>
          <w:rFonts w:ascii="Segoe UI Symbol" w:eastAsia="Segoe UI Symbol" w:hAnsi="Segoe UI Symbol" w:cs="Segoe UI Symbol"/>
          <w:sz w:val="32"/>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Segoe UI Symbol" w:eastAsia="Segoe UI Symbol" w:hAnsi="Segoe UI Symbol" w:cs="Segoe UI Symbol"/>
          <w:sz w:val="32"/>
        </w:rPr>
        <w:t></w:t>
      </w:r>
      <w:r>
        <w:rPr>
          <w:rFonts w:ascii="Times New Roman" w:eastAsia="Times New Roman" w:hAnsi="Times New Roman" w:cs="Times New Roman"/>
          <w:sz w:val="14"/>
        </w:rPr>
        <w:t>3</w:t>
      </w:r>
      <w:r>
        <w:rPr>
          <w:rFonts w:ascii="Segoe UI Symbol" w:eastAsia="Segoe UI Symbol" w:hAnsi="Segoe UI Symbol" w:cs="Segoe UI Symbol"/>
          <w:sz w:val="32"/>
        </w:rPr>
        <w:t></w:t>
      </w:r>
      <w:r>
        <w:rPr>
          <w:rFonts w:ascii="Times New Roman" w:eastAsia="Times New Roman" w:hAnsi="Times New Roman" w:cs="Times New Roman"/>
          <w:sz w:val="24"/>
        </w:rPr>
        <w:t>3</w:t>
      </w:r>
      <w:r>
        <w:rPr>
          <w:rFonts w:ascii="Times New Roman" w:eastAsia="Times New Roman" w:hAnsi="Times New Roman" w:cs="Times New Roman"/>
          <w:i/>
          <w:sz w:val="24"/>
        </w:rPr>
        <w:t>hh</w:t>
      </w:r>
      <w:r>
        <w:rPr>
          <w:rFonts w:ascii="Times New Roman" w:eastAsia="Times New Roman" w:hAnsi="Times New Roman" w:cs="Times New Roman"/>
          <w:sz w:val="14"/>
        </w:rPr>
        <w:t>00</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l</w:t>
      </w:r>
      <w:r>
        <w:rPr>
          <w:rFonts w:ascii="Segoe UI Symbol" w:eastAsia="Segoe UI Symbol" w:hAnsi="Segoe UI Symbol" w:cs="Segoe UI Symbol"/>
          <w:sz w:val="32"/>
        </w:rPr>
        <w:t></w:t>
      </w:r>
      <w:r>
        <w:rPr>
          <w:rFonts w:ascii="Segoe UI Symbol" w:eastAsia="Segoe UI Symbol" w:hAnsi="Segoe UI Symbol" w:cs="Segoe UI Symbol"/>
          <w:sz w:val="24"/>
        </w:rPr>
        <w:t xml:space="preserve"> </w:t>
      </w:r>
      <w:r>
        <w:rPr>
          <w:rFonts w:ascii="Segoe UI Symbol" w:eastAsia="Segoe UI Symbol" w:hAnsi="Segoe UI Symbol" w:cs="Segoe UI Symbol"/>
          <w:sz w:val="32"/>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Segoe UI Symbol" w:eastAsia="Segoe UI Symbol" w:hAnsi="Segoe UI Symbol" w:cs="Segoe UI Symbol"/>
          <w:sz w:val="32"/>
        </w:rPr>
        <w:t></w:t>
      </w:r>
      <w:r>
        <w:rPr>
          <w:rFonts w:ascii="Times New Roman" w:eastAsia="Times New Roman" w:hAnsi="Times New Roman" w:cs="Times New Roman"/>
          <w:sz w:val="14"/>
        </w:rPr>
        <w:t>2</w:t>
      </w:r>
      <w:r>
        <w:rPr>
          <w:rFonts w:ascii="Segoe UI Symbol" w:eastAsia="Segoe UI Symbol" w:hAnsi="Segoe UI Symbol" w:cs="Segoe UI Symbol"/>
          <w:sz w:val="32"/>
        </w:rPr>
        <w:t></w:t>
      </w:r>
      <w:r>
        <w:rPr>
          <w:rFonts w:ascii="Times New Roman" w:eastAsia="Times New Roman" w:hAnsi="Times New Roman" w:cs="Times New Roman"/>
          <w:i/>
          <w:sz w:val="24"/>
        </w:rPr>
        <w:t>hl</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l</w:t>
      </w:r>
      <w:r>
        <w:rPr>
          <w:rFonts w:ascii="Segoe UI Symbol" w:eastAsia="Segoe UI Symbol" w:hAnsi="Segoe UI Symbol" w:cs="Segoe UI Symbol"/>
          <w:sz w:val="32"/>
        </w:rPr>
        <w:t></w:t>
      </w:r>
      <w:r>
        <w:rPr>
          <w:rFonts w:ascii="Segoe UI Symbol" w:eastAsia="Segoe UI Symbol" w:hAnsi="Segoe UI Symbol" w:cs="Segoe UI Symbol"/>
          <w:sz w:val="24"/>
        </w:rPr>
        <w:t xml:space="preserve"> </w:t>
      </w:r>
      <w:r>
        <w:rPr>
          <w:rFonts w:ascii="Times New Roman" w:eastAsia="Times New Roman" w:hAnsi="Times New Roman" w:cs="Times New Roman"/>
          <w:sz w:val="24"/>
        </w:rPr>
        <w:t>ln</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Segoe UI Symbol" w:eastAsia="Segoe UI Symbol" w:hAnsi="Segoe UI Symbol" w:cs="Segoe UI Symbol"/>
          <w:sz w:val="32"/>
        </w:rPr>
        <w:t></w:t>
      </w:r>
      <w:r>
        <w:rPr>
          <w:rFonts w:ascii="Segoe UI Symbol" w:eastAsia="Segoe UI Symbol" w:hAnsi="Segoe UI Symbol" w:cs="Segoe UI Symbol"/>
          <w:sz w:val="26"/>
        </w:rPr>
        <w:t></w:t>
      </w:r>
      <w:r>
        <w:rPr>
          <w:rFonts w:ascii="Times New Roman" w:eastAsia="Times New Roman" w:hAnsi="Times New Roman" w:cs="Times New Roman"/>
          <w:sz w:val="14"/>
        </w:rPr>
        <w:t>0</w:t>
      </w:r>
      <w:r>
        <w:rPr>
          <w:rFonts w:ascii="Times New Roman" w:eastAsia="Times New Roman" w:hAnsi="Times New Roman" w:cs="Times New Roman"/>
          <w:i/>
          <w:sz w:val="24"/>
        </w:rPr>
        <w:t>h</w:t>
      </w:r>
      <w:r>
        <w:rPr>
          <w:rFonts w:ascii="Segoe UI Symbol" w:eastAsia="Segoe UI Symbol" w:hAnsi="Segoe UI Symbol" w:cs="Segoe UI Symbol"/>
          <w:sz w:val="24"/>
        </w:rPr>
        <w:t></w:t>
      </w:r>
      <w:r>
        <w:rPr>
          <w:rFonts w:ascii="Times New Roman" w:eastAsia="Times New Roman" w:hAnsi="Times New Roman" w:cs="Times New Roman"/>
          <w:sz w:val="14"/>
        </w:rPr>
        <w:t>1</w:t>
      </w:r>
      <w:r>
        <w:rPr>
          <w:rFonts w:ascii="Segoe UI Symbol" w:eastAsia="Segoe UI Symbol" w:hAnsi="Segoe UI Symbol" w:cs="Segoe UI Symbol"/>
          <w:sz w:val="32"/>
        </w:rPr>
        <w:t></w:t>
      </w:r>
      <w:r>
        <w:rPr>
          <w:rFonts w:ascii="Segoe UI Symbol" w:eastAsia="Segoe UI Symbol" w:hAnsi="Segoe UI Symbol" w:cs="Segoe UI Symbol"/>
          <w:sz w:val="26"/>
        </w:rPr>
        <w:t></w:t>
      </w:r>
      <w:r>
        <w:rPr>
          <w:rFonts w:ascii="Times New Roman" w:eastAsia="Times New Roman" w:hAnsi="Times New Roman" w:cs="Times New Roman"/>
          <w:sz w:val="14"/>
        </w:rPr>
        <w:t>3</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l</w:t>
      </w:r>
      <w:r>
        <w:rPr>
          <w:rFonts w:ascii="Segoe UI Symbol" w:eastAsia="Segoe UI Symbol" w:hAnsi="Segoe UI Symbol" w:cs="Segoe UI Symbol"/>
          <w:sz w:val="32"/>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 xml:space="preserve"> </w:t>
      </w:r>
      <w:r>
        <w:rPr>
          <w:rFonts w:ascii="Segoe UI Symbol" w:eastAsia="Segoe UI Symbol" w:hAnsi="Segoe UI Symbol" w:cs="Segoe UI Symbol"/>
          <w:sz w:val="25"/>
        </w:rPr>
        <w:t xml:space="preserve"> </w:t>
      </w:r>
      <w:r>
        <w:rPr>
          <w:rFonts w:ascii="Times New Roman" w:eastAsia="Times New Roman" w:hAnsi="Times New Roman" w:cs="Times New Roman"/>
          <w:sz w:val="25"/>
        </w:rPr>
        <w:t>24</w:t>
      </w:r>
      <w:r>
        <w:rPr>
          <w:rFonts w:ascii="Segoe UI Symbol" w:eastAsia="Segoe UI Symbol" w:hAnsi="Segoe UI Symbol" w:cs="Segoe UI Symbol"/>
          <w:sz w:val="27"/>
        </w:rPr>
        <w:t></w:t>
      </w:r>
      <w:r>
        <w:rPr>
          <w:rFonts w:ascii="Segoe UI Symbol" w:eastAsia="Segoe UI Symbol" w:hAnsi="Segoe UI Symbol" w:cs="Segoe UI Symbol"/>
          <w:sz w:val="27"/>
        </w:rPr>
        <w:t></w:t>
      </w:r>
      <w:r>
        <w:rPr>
          <w:rFonts w:ascii="Times New Roman" w:eastAsia="Times New Roman" w:hAnsi="Times New Roman" w:cs="Times New Roman"/>
          <w:sz w:val="15"/>
        </w:rPr>
        <w:t xml:space="preserve">2 </w:t>
      </w:r>
      <w:r>
        <w:rPr>
          <w:rFonts w:ascii="Segoe UI Symbol" w:eastAsia="Segoe UI Symbol" w:hAnsi="Segoe UI Symbol" w:cs="Segoe UI Symbol"/>
          <w:sz w:val="25"/>
        </w:rPr>
        <w:t></w:t>
      </w:r>
      <w:r>
        <w:rPr>
          <w:rFonts w:ascii="Times New Roman" w:eastAsia="Times New Roman" w:hAnsi="Times New Roman" w:cs="Times New Roman"/>
          <w:i/>
          <w:sz w:val="25"/>
        </w:rPr>
        <w:t>E</w:t>
      </w:r>
      <w:r>
        <w:rPr>
          <w:rFonts w:ascii="Segoe UI Symbol" w:eastAsia="Segoe UI Symbol" w:hAnsi="Segoe UI Symbol" w:cs="Segoe UI Symbol"/>
          <w:sz w:val="27"/>
        </w:rPr>
        <w:t></w:t>
      </w:r>
      <w:r>
        <w:rPr>
          <w:rFonts w:ascii="Segoe UI Symbol" w:eastAsia="Segoe UI Symbol" w:hAnsi="Segoe UI Symbol" w:cs="Segoe UI Symbol"/>
          <w:sz w:val="33"/>
        </w:rPr>
        <w:t></w:t>
      </w:r>
      <w:r>
        <w:rPr>
          <w:rFonts w:ascii="Segoe UI Symbol" w:eastAsia="Segoe UI Symbol" w:hAnsi="Segoe UI Symbol" w:cs="Segoe UI Symbol"/>
          <w:sz w:val="27"/>
        </w:rPr>
        <w:t></w:t>
      </w:r>
      <w:r>
        <w:rPr>
          <w:rFonts w:ascii="Times New Roman" w:eastAsia="Times New Roman" w:hAnsi="Times New Roman" w:cs="Times New Roman"/>
          <w:sz w:val="15"/>
        </w:rPr>
        <w:t>2</w:t>
      </w:r>
      <w:r>
        <w:rPr>
          <w:rFonts w:ascii="Times New Roman" w:eastAsia="Times New Roman" w:hAnsi="Times New Roman" w:cs="Times New Roman"/>
          <w:i/>
          <w:sz w:val="25"/>
        </w:rPr>
        <w:t>h</w:t>
      </w:r>
      <w:r>
        <w:rPr>
          <w:rFonts w:ascii="Segoe UI Symbol" w:eastAsia="Segoe UI Symbol" w:hAnsi="Segoe UI Symbol" w:cs="Segoe UI Symbol"/>
          <w:sz w:val="40"/>
        </w:rPr>
        <w:t></w:t>
      </w:r>
      <w:r>
        <w:rPr>
          <w:rFonts w:ascii="Segoe UI Symbol" w:eastAsia="Segoe UI Symbol" w:hAnsi="Segoe UI Symbol" w:cs="Segoe UI Symbol"/>
          <w:sz w:val="33"/>
        </w:rPr>
        <w:t></w:t>
      </w:r>
      <w:r>
        <w:rPr>
          <w:rFonts w:ascii="Times New Roman" w:eastAsia="Times New Roman" w:hAnsi="Times New Roman" w:cs="Times New Roman"/>
          <w:sz w:val="23"/>
          <w:vertAlign w:val="subscript"/>
        </w:rPr>
        <w:t>1</w:t>
      </w:r>
      <w:r>
        <w:rPr>
          <w:rFonts w:ascii="Times New Roman" w:eastAsia="Times New Roman" w:hAnsi="Times New Roman" w:cs="Times New Roman"/>
          <w:sz w:val="25"/>
        </w:rPr>
        <w:t>1</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Times New Roman" w:eastAsia="Times New Roman" w:hAnsi="Times New Roman" w:cs="Times New Roman"/>
          <w:sz w:val="15"/>
        </w:rPr>
        <w:t>3</w:t>
      </w:r>
      <w:r>
        <w:rPr>
          <w:rFonts w:ascii="Segoe UI Symbol" w:eastAsia="Segoe UI Symbol" w:hAnsi="Segoe UI Symbol" w:cs="Segoe UI Symbol"/>
          <w:sz w:val="27"/>
        </w:rPr>
        <w:t></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Times New Roman" w:eastAsia="Times New Roman" w:hAnsi="Times New Roman" w:cs="Times New Roman"/>
          <w:sz w:val="25"/>
        </w:rPr>
        <w:t>1</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l</w:t>
      </w:r>
      <w:r>
        <w:rPr>
          <w:rFonts w:ascii="Segoe UI Symbol" w:eastAsia="Segoe UI Symbol" w:hAnsi="Segoe UI Symbol" w:cs="Segoe UI Symbol"/>
          <w:sz w:val="33"/>
        </w:rPr>
        <w:t></w:t>
      </w:r>
      <w:r>
        <w:rPr>
          <w:rFonts w:ascii="Segoe UI Symbol" w:eastAsia="Segoe UI Symbol" w:hAnsi="Segoe UI Symbol" w:cs="Segoe UI Symbol"/>
          <w:sz w:val="25"/>
        </w:rPr>
        <w:t xml:space="preserve"> </w:t>
      </w:r>
      <w:r>
        <w:rPr>
          <w:rFonts w:ascii="Times New Roman" w:eastAsia="Times New Roman" w:hAnsi="Times New Roman" w:cs="Times New Roman"/>
          <w:sz w:val="25"/>
        </w:rPr>
        <w:t>ln</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00</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7"/>
        </w:rPr>
        <w:t></w:t>
      </w:r>
      <w:r>
        <w:rPr>
          <w:rFonts w:ascii="Segoe UI Symbol" w:eastAsia="Segoe UI Symbol" w:hAnsi="Segoe UI Symbol" w:cs="Segoe UI Symbol"/>
          <w:sz w:val="27"/>
        </w:rPr>
        <w:t></w:t>
      </w:r>
      <w:r>
        <w:rPr>
          <w:rFonts w:ascii="Times New Roman" w:eastAsia="Times New Roman" w:hAnsi="Times New Roman" w:cs="Times New Roman"/>
          <w:i/>
          <w:sz w:val="25"/>
        </w:rPr>
        <w:t>hh</w:t>
      </w:r>
      <w:r>
        <w:rPr>
          <w:rFonts w:ascii="Times New Roman" w:eastAsia="Times New Roman" w:hAnsi="Times New Roman" w:cs="Times New Roman"/>
          <w:sz w:val="15"/>
        </w:rPr>
        <w:t>1</w:t>
      </w:r>
      <w:r>
        <w:rPr>
          <w:rFonts w:ascii="Times New Roman" w:eastAsia="Times New Roman" w:hAnsi="Times New Roman" w:cs="Times New Roman"/>
          <w:i/>
          <w:sz w:val="25"/>
        </w:rPr>
        <w:t>l</w:t>
      </w:r>
      <w:r>
        <w:rPr>
          <w:rFonts w:ascii="Times New Roman" w:eastAsia="Times New Roman" w:hAnsi="Times New Roman" w:cs="Times New Roman"/>
          <w:sz w:val="15"/>
        </w:rPr>
        <w:t>1</w:t>
      </w:r>
      <w:r>
        <w:rPr>
          <w:rFonts w:ascii="Segoe UI Symbol" w:eastAsia="Segoe UI Symbol" w:hAnsi="Segoe UI Symbol" w:cs="Segoe UI Symbol"/>
          <w:sz w:val="33"/>
        </w:rPr>
        <w:t></w:t>
      </w:r>
      <w:r>
        <w:rPr>
          <w:rFonts w:ascii="Times New Roman" w:eastAsia="Times New Roman" w:hAnsi="Times New Roman" w:cs="Times New Roman"/>
          <w:i/>
          <w:sz w:val="25"/>
        </w:rPr>
        <w:t>l</w:t>
      </w:r>
      <w:r>
        <w:rPr>
          <w:rFonts w:ascii="Segoe UI Symbol" w:eastAsia="Segoe UI Symbol" w:hAnsi="Segoe UI Symbol" w:cs="Segoe UI Symbol"/>
          <w:sz w:val="33"/>
        </w:rPr>
        <w:t></w:t>
      </w:r>
      <w:r>
        <w:rPr>
          <w:rFonts w:ascii="Segoe UI Symbol" w:eastAsia="Segoe UI Symbol" w:hAnsi="Segoe UI Symbol" w:cs="Segoe UI Symbol"/>
          <w:sz w:val="25"/>
        </w:rPr>
        <w:t xml:space="preserve"> </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Times New Roman" w:eastAsia="Times New Roman" w:hAnsi="Times New Roman" w:cs="Times New Roman"/>
          <w:sz w:val="25"/>
        </w:rPr>
        <w:t>1</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l</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 xml:space="preserve"> </w:t>
      </w:r>
      <w:r>
        <w:rPr>
          <w:rFonts w:ascii="Times New Roman" w:eastAsia="Times New Roman" w:hAnsi="Times New Roman" w:cs="Times New Roman"/>
          <w:sz w:val="25"/>
        </w:rPr>
        <w:t>72</w:t>
      </w:r>
      <w:r>
        <w:rPr>
          <w:rFonts w:ascii="Segoe UI Symbol" w:eastAsia="Segoe UI Symbol" w:hAnsi="Segoe UI Symbol" w:cs="Segoe UI Symbol"/>
          <w:sz w:val="27"/>
        </w:rPr>
        <w:t></w:t>
      </w:r>
      <w:r>
        <w:rPr>
          <w:rFonts w:ascii="Segoe UI Symbol" w:eastAsia="Segoe UI Symbol" w:hAnsi="Segoe UI Symbol" w:cs="Segoe UI Symbol"/>
          <w:sz w:val="27"/>
        </w:rPr>
        <w:t></w:t>
      </w:r>
      <w:r>
        <w:rPr>
          <w:rFonts w:ascii="Times New Roman" w:eastAsia="Times New Roman" w:hAnsi="Times New Roman" w:cs="Times New Roman"/>
          <w:sz w:val="15"/>
        </w:rPr>
        <w:t xml:space="preserve">0 </w:t>
      </w:r>
      <w:r>
        <w:rPr>
          <w:rFonts w:ascii="Times New Roman" w:eastAsia="Times New Roman" w:hAnsi="Times New Roman" w:cs="Times New Roman"/>
          <w:i/>
          <w:sz w:val="25"/>
        </w:rPr>
        <w:t>RE</w:t>
      </w:r>
      <w:r>
        <w:rPr>
          <w:rFonts w:ascii="Segoe UI Symbol" w:eastAsia="Segoe UI Symbol" w:hAnsi="Segoe UI Symbol" w:cs="Segoe UI Symbol"/>
          <w:sz w:val="40"/>
          <w:u w:val="single" w:color="000000"/>
        </w:rPr>
        <w:t></w:t>
      </w:r>
      <w:r>
        <w:rPr>
          <w:rFonts w:ascii="Times New Roman" w:eastAsia="Times New Roman" w:hAnsi="Times New Roman" w:cs="Times New Roman"/>
          <w:sz w:val="25"/>
        </w:rPr>
        <w:t>1</w:t>
      </w:r>
      <w:r>
        <w:rPr>
          <w:rFonts w:ascii="Segoe UI Symbol" w:eastAsia="Segoe UI Symbol" w:hAnsi="Segoe UI Symbol" w:cs="Segoe UI Symbol"/>
          <w:sz w:val="25"/>
        </w:rPr>
        <w:t></w:t>
      </w:r>
      <w:r>
        <w:rPr>
          <w:rFonts w:ascii="Segoe UI Symbol" w:eastAsia="Segoe UI Symbol" w:hAnsi="Segoe UI Symbol" w:cs="Segoe UI Symbol"/>
          <w:sz w:val="33"/>
        </w:rPr>
        <w:t></w:t>
      </w:r>
      <w:r>
        <w:rPr>
          <w:rFonts w:ascii="Segoe UI Symbol" w:eastAsia="Segoe UI Symbol" w:hAnsi="Segoe UI Symbol" w:cs="Segoe UI Symbol"/>
          <w:sz w:val="27"/>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15"/>
        </w:rPr>
        <w:t>12</w:t>
      </w:r>
      <w:r>
        <w:rPr>
          <w:rFonts w:ascii="Segoe UI Symbol" w:eastAsia="Segoe UI Symbol" w:hAnsi="Segoe UI Symbol" w:cs="Segoe UI Symbol"/>
          <w:sz w:val="33"/>
        </w:rPr>
        <w:t></w:t>
      </w:r>
      <w:r>
        <w:rPr>
          <w:rFonts w:ascii="Segoe UI Symbol" w:eastAsia="Segoe UI Symbol" w:hAnsi="Segoe UI Symbol" w:cs="Segoe UI Symbol"/>
          <w:sz w:val="40"/>
          <w:u w:val="single" w:color="000000"/>
        </w:rPr>
        <w:t></w:t>
      </w:r>
      <w:r>
        <w:rPr>
          <w:rFonts w:ascii="Times New Roman" w:eastAsia="Times New Roman" w:hAnsi="Times New Roman" w:cs="Times New Roman"/>
          <w:sz w:val="15"/>
        </w:rPr>
        <w:t xml:space="preserve">3 </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noProof/>
        </w:rPr>
        <mc:AlternateContent>
          <mc:Choice Requires="wpg">
            <w:drawing>
              <wp:inline distT="0" distB="0" distL="0" distR="0">
                <wp:extent cx="751078" cy="6336"/>
                <wp:effectExtent l="0" t="0" r="0" b="0"/>
                <wp:docPr id="917495" name="Group 917495"/>
                <wp:cNvGraphicFramePr/>
                <a:graphic xmlns:a="http://schemas.openxmlformats.org/drawingml/2006/main">
                  <a:graphicData uri="http://schemas.microsoft.com/office/word/2010/wordprocessingGroup">
                    <wpg:wgp>
                      <wpg:cNvGrpSpPr/>
                      <wpg:grpSpPr>
                        <a:xfrm>
                          <a:off x="0" y="0"/>
                          <a:ext cx="751078" cy="6336"/>
                          <a:chOff x="0" y="0"/>
                          <a:chExt cx="751078" cy="6336"/>
                        </a:xfrm>
                      </wpg:grpSpPr>
                      <wps:wsp>
                        <wps:cNvPr id="9272" name="Shape 9272"/>
                        <wps:cNvSpPr/>
                        <wps:spPr>
                          <a:xfrm>
                            <a:off x="0" y="0"/>
                            <a:ext cx="751078" cy="0"/>
                          </a:xfrm>
                          <a:custGeom>
                            <a:avLst/>
                            <a:gdLst/>
                            <a:ahLst/>
                            <a:cxnLst/>
                            <a:rect l="0" t="0" r="0" b="0"/>
                            <a:pathLst>
                              <a:path w="751078">
                                <a:moveTo>
                                  <a:pt x="0" y="0"/>
                                </a:moveTo>
                                <a:lnTo>
                                  <a:pt x="751078" y="0"/>
                                </a:lnTo>
                              </a:path>
                            </a:pathLst>
                          </a:custGeom>
                          <a:ln w="6336"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7495" style="width:59.14pt;height:0.498865pt;mso-position-horizontal-relative:char;mso-position-vertical-relative:line" coordsize="7510,63">
                <v:shape id="Shape 9272" style="position:absolute;width:7510;height:0;left:0;top:0;" coordsize="751078,0" path="m0,0l751078,0">
                  <v:stroke weight="0.498865pt" endcap="flat" joinstyle="round" on="true" color="#000000"/>
                  <v:fill on="false" color="#000000" opacity="0"/>
                </v:shape>
              </v:group>
            </w:pict>
          </mc:Fallback>
        </mc:AlternateContent>
      </w:r>
      <w:r>
        <w:rPr>
          <w:rFonts w:ascii="Times New Roman" w:eastAsia="Times New Roman" w:hAnsi="Times New Roman" w:cs="Times New Roman"/>
          <w:sz w:val="25"/>
        </w:rPr>
        <w:t>ln</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Segoe UI Symbol" w:eastAsia="Segoe UI Symbol" w:hAnsi="Segoe UI Symbol" w:cs="Segoe UI Symbol"/>
          <w:sz w:val="33"/>
        </w:rPr>
        <w:t></w:t>
      </w:r>
      <w:r>
        <w:rPr>
          <w:rFonts w:ascii="Times New Roman" w:eastAsia="Times New Roman" w:hAnsi="Times New Roman" w:cs="Times New Roman"/>
          <w:sz w:val="15"/>
        </w:rPr>
        <w:t>0</w:t>
      </w:r>
      <w:r>
        <w:rPr>
          <w:rFonts w:ascii="Times New Roman" w:eastAsia="Times New Roman" w:hAnsi="Times New Roman" w:cs="Times New Roman"/>
          <w:i/>
          <w:sz w:val="25"/>
        </w:rPr>
        <w:t>h</w:t>
      </w:r>
      <w:r>
        <w:rPr>
          <w:rFonts w:ascii="Segoe UI Symbol" w:eastAsia="Segoe UI Symbol" w:hAnsi="Segoe UI Symbol" w:cs="Segoe UI Symbol"/>
          <w:sz w:val="25"/>
        </w:rPr>
        <w:t></w:t>
      </w:r>
      <w:r>
        <w:rPr>
          <w:rFonts w:ascii="Times New Roman" w:eastAsia="Times New Roman" w:hAnsi="Times New Roman" w:cs="Times New Roman"/>
          <w:sz w:val="15"/>
        </w:rPr>
        <w:t xml:space="preserve">0 </w:t>
      </w:r>
      <w:r>
        <w:rPr>
          <w:rFonts w:ascii="Segoe UI Symbol" w:eastAsia="Segoe UI Symbol" w:hAnsi="Segoe UI Symbol" w:cs="Segoe UI Symbol"/>
          <w:sz w:val="27"/>
        </w:rPr>
        <w:t></w:t>
      </w:r>
      <w:r>
        <w:rPr>
          <w:rFonts w:ascii="Segoe UI Symbol" w:eastAsia="Segoe UI Symbol" w:hAnsi="Segoe UI Symbol" w:cs="Segoe UI Symbol"/>
          <w:sz w:val="25"/>
        </w:rPr>
        <w:t></w:t>
      </w:r>
      <w:r>
        <w:rPr>
          <w:rFonts w:ascii="Times New Roman" w:eastAsia="Times New Roman" w:hAnsi="Times New Roman" w:cs="Times New Roman"/>
          <w:i/>
          <w:sz w:val="25"/>
        </w:rPr>
        <w:t>h</w:t>
      </w:r>
      <w:r>
        <w:rPr>
          <w:rFonts w:ascii="Segoe UI Symbol" w:eastAsia="Segoe UI Symbol" w:hAnsi="Segoe UI Symbol" w:cs="Segoe UI Symbol"/>
          <w:sz w:val="27"/>
        </w:rPr>
        <w:t></w:t>
      </w:r>
      <w:r>
        <w:rPr>
          <w:rFonts w:ascii="Times New Roman" w:eastAsia="Times New Roman" w:hAnsi="Times New Roman" w:cs="Times New Roman"/>
          <w:sz w:val="15"/>
        </w:rPr>
        <w:t>1</w:t>
      </w:r>
      <w:r>
        <w:rPr>
          <w:rFonts w:ascii="Times New Roman" w:eastAsia="Times New Roman" w:hAnsi="Times New Roman" w:cs="Times New Roman"/>
          <w:i/>
          <w:sz w:val="25"/>
        </w:rPr>
        <w:t>hl</w:t>
      </w:r>
      <w:r>
        <w:rPr>
          <w:rFonts w:ascii="Times New Roman" w:eastAsia="Times New Roman" w:hAnsi="Times New Roman" w:cs="Times New Roman"/>
          <w:sz w:val="15"/>
        </w:rPr>
        <w:t>1</w:t>
      </w:r>
      <w:r>
        <w:rPr>
          <w:rFonts w:ascii="Segoe UI Symbol" w:eastAsia="Segoe UI Symbol" w:hAnsi="Segoe UI Symbol" w:cs="Segoe UI Symbol"/>
          <w:sz w:val="33"/>
        </w:rPr>
        <w:t></w:t>
      </w:r>
      <w:r>
        <w:rPr>
          <w:rFonts w:ascii="Times New Roman" w:eastAsia="Times New Roman" w:hAnsi="Times New Roman" w:cs="Times New Roman"/>
          <w:i/>
          <w:sz w:val="25"/>
        </w:rPr>
        <w:t>l</w:t>
      </w:r>
      <w:r>
        <w:rPr>
          <w:rFonts w:ascii="Times New Roman" w:eastAsia="Times New Roman" w:hAnsi="Times New Roman" w:cs="Times New Roman"/>
          <w:sz w:val="15"/>
        </w:rPr>
        <w:t>2</w:t>
      </w:r>
      <w:r>
        <w:rPr>
          <w:rFonts w:ascii="Segoe UI Symbol" w:eastAsia="Segoe UI Symbol" w:hAnsi="Segoe UI Symbol" w:cs="Segoe UI Symbol"/>
          <w:sz w:val="33"/>
        </w:rPr>
        <w:t></w:t>
      </w:r>
      <w:r>
        <w:rPr>
          <w:rFonts w:ascii="Segoe UI Symbol" w:eastAsia="Segoe UI Symbol" w:hAnsi="Segoe UI Symbol" w:cs="Segoe UI Symbol"/>
          <w:sz w:val="25"/>
        </w:rPr>
        <w:t xml:space="preserve"> </w:t>
      </w:r>
      <w:r>
        <w:rPr>
          <w:rFonts w:ascii="Segoe UI Symbol" w:eastAsia="Segoe UI Symbol" w:hAnsi="Segoe UI Symbol" w:cs="Segoe UI Symbol"/>
          <w:sz w:val="40"/>
        </w:rPr>
        <w:t></w:t>
      </w:r>
      <w:r>
        <w:rPr>
          <w:rFonts w:ascii="Times New Roman" w:eastAsia="Times New Roman" w:hAnsi="Times New Roman" w:cs="Times New Roman"/>
          <w:sz w:val="25"/>
        </w:rPr>
        <w:t>1</w:t>
      </w:r>
    </w:p>
    <w:p w:rsidR="0052701D" w:rsidRDefault="00D40929">
      <w:pPr>
        <w:spacing w:after="481" w:line="268" w:lineRule="auto"/>
        <w:ind w:left="228" w:right="1047" w:hanging="205"/>
      </w:pPr>
      <w:r>
        <w:rPr>
          <w:noProof/>
        </w:rPr>
        <mc:AlternateContent>
          <mc:Choice Requires="wpg">
            <w:drawing>
              <wp:anchor distT="0" distB="0" distL="114300" distR="114300" simplePos="0" relativeHeight="251702272" behindDoc="0" locked="0" layoutInCell="1" allowOverlap="1">
                <wp:simplePos x="0" y="0"/>
                <wp:positionH relativeFrom="column">
                  <wp:posOffset>2379838</wp:posOffset>
                </wp:positionH>
                <wp:positionV relativeFrom="paragraph">
                  <wp:posOffset>139973</wp:posOffset>
                </wp:positionV>
                <wp:extent cx="1529630" cy="6305"/>
                <wp:effectExtent l="0" t="0" r="0" b="0"/>
                <wp:wrapNone/>
                <wp:docPr id="917497" name="Group 917497"/>
                <wp:cNvGraphicFramePr/>
                <a:graphic xmlns:a="http://schemas.openxmlformats.org/drawingml/2006/main">
                  <a:graphicData uri="http://schemas.microsoft.com/office/word/2010/wordprocessingGroup">
                    <wpg:wgp>
                      <wpg:cNvGrpSpPr/>
                      <wpg:grpSpPr>
                        <a:xfrm>
                          <a:off x="0" y="0"/>
                          <a:ext cx="1529630" cy="6305"/>
                          <a:chOff x="0" y="0"/>
                          <a:chExt cx="1529630" cy="6305"/>
                        </a:xfrm>
                      </wpg:grpSpPr>
                      <wps:wsp>
                        <wps:cNvPr id="9374" name="Shape 9374"/>
                        <wps:cNvSpPr/>
                        <wps:spPr>
                          <a:xfrm>
                            <a:off x="0" y="0"/>
                            <a:ext cx="749378" cy="0"/>
                          </a:xfrm>
                          <a:custGeom>
                            <a:avLst/>
                            <a:gdLst/>
                            <a:ahLst/>
                            <a:cxnLst/>
                            <a:rect l="0" t="0" r="0" b="0"/>
                            <a:pathLst>
                              <a:path w="749378">
                                <a:moveTo>
                                  <a:pt x="0" y="0"/>
                                </a:moveTo>
                                <a:lnTo>
                                  <a:pt x="749378" y="0"/>
                                </a:lnTo>
                              </a:path>
                            </a:pathLst>
                          </a:custGeom>
                          <a:ln w="6305" cap="flat">
                            <a:round/>
                          </a:ln>
                        </wps:spPr>
                        <wps:style>
                          <a:lnRef idx="1">
                            <a:srgbClr val="000000"/>
                          </a:lnRef>
                          <a:fillRef idx="0">
                            <a:srgbClr val="000000">
                              <a:alpha val="0"/>
                            </a:srgbClr>
                          </a:fillRef>
                          <a:effectRef idx="0">
                            <a:scrgbClr r="0" g="0" b="0"/>
                          </a:effectRef>
                          <a:fontRef idx="none"/>
                        </wps:style>
                        <wps:bodyPr/>
                      </wps:wsp>
                      <wps:wsp>
                        <wps:cNvPr id="9377" name="Shape 9377"/>
                        <wps:cNvSpPr/>
                        <wps:spPr>
                          <a:xfrm>
                            <a:off x="904513" y="0"/>
                            <a:ext cx="625117" cy="0"/>
                          </a:xfrm>
                          <a:custGeom>
                            <a:avLst/>
                            <a:gdLst/>
                            <a:ahLst/>
                            <a:cxnLst/>
                            <a:rect l="0" t="0" r="0" b="0"/>
                            <a:pathLst>
                              <a:path w="625117">
                                <a:moveTo>
                                  <a:pt x="0" y="0"/>
                                </a:moveTo>
                                <a:lnTo>
                                  <a:pt x="625117" y="0"/>
                                </a:lnTo>
                              </a:path>
                            </a:pathLst>
                          </a:custGeom>
                          <a:ln w="6305"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7497" style="width:120.443pt;height:0.49647pt;position:absolute;z-index:1039;mso-position-horizontal-relative:text;mso-position-horizontal:absolute;margin-left:187.389pt;mso-position-vertical-relative:text;margin-top:11.0215pt;" coordsize="15296,63">
                <v:shape id="Shape 9374" style="position:absolute;width:7493;height:0;left:0;top:0;" coordsize="749378,0" path="m0,0l749378,0">
                  <v:stroke weight="0.49647pt" endcap="flat" joinstyle="round" on="true" color="#000000"/>
                  <v:fill on="false" color="#000000" opacity="0"/>
                </v:shape>
                <v:shape id="Shape 9377" style="position:absolute;width:6251;height:0;left:9045;top:0;" coordsize="625117,0" path="m0,0l625117,0">
                  <v:stroke weight="0.49647pt" endcap="flat" joinstyle="round" on="true" color="#000000"/>
                  <v:fill on="false" color="#000000" opacity="0"/>
                </v:shape>
              </v:group>
            </w:pict>
          </mc:Fallback>
        </mc:AlternateContent>
      </w:r>
      <w:r>
        <w:rPr>
          <w:rFonts w:ascii="Segoe UI Symbol" w:eastAsia="Segoe UI Symbol" w:hAnsi="Segoe UI Symbol" w:cs="Segoe UI Symbol"/>
          <w:sz w:val="25"/>
        </w:rPr>
        <w:t xml:space="preserve"> </w:t>
      </w:r>
      <w:r>
        <w:rPr>
          <w:noProof/>
        </w:rPr>
        <mc:AlternateContent>
          <mc:Choice Requires="wpg">
            <w:drawing>
              <wp:inline distT="0" distB="0" distL="0" distR="0">
                <wp:extent cx="781218" cy="6305"/>
                <wp:effectExtent l="0" t="0" r="0" b="0"/>
                <wp:docPr id="917496" name="Group 917496"/>
                <wp:cNvGraphicFramePr/>
                <a:graphic xmlns:a="http://schemas.openxmlformats.org/drawingml/2006/main">
                  <a:graphicData uri="http://schemas.microsoft.com/office/word/2010/wordprocessingGroup">
                    <wpg:wgp>
                      <wpg:cNvGrpSpPr/>
                      <wpg:grpSpPr>
                        <a:xfrm>
                          <a:off x="0" y="0"/>
                          <a:ext cx="781218" cy="6305"/>
                          <a:chOff x="0" y="0"/>
                          <a:chExt cx="781218" cy="6305"/>
                        </a:xfrm>
                      </wpg:grpSpPr>
                      <wps:wsp>
                        <wps:cNvPr id="9364" name="Shape 9364"/>
                        <wps:cNvSpPr/>
                        <wps:spPr>
                          <a:xfrm>
                            <a:off x="0" y="0"/>
                            <a:ext cx="781218" cy="0"/>
                          </a:xfrm>
                          <a:custGeom>
                            <a:avLst/>
                            <a:gdLst/>
                            <a:ahLst/>
                            <a:cxnLst/>
                            <a:rect l="0" t="0" r="0" b="0"/>
                            <a:pathLst>
                              <a:path w="781218">
                                <a:moveTo>
                                  <a:pt x="0" y="0"/>
                                </a:moveTo>
                                <a:lnTo>
                                  <a:pt x="781218" y="0"/>
                                </a:lnTo>
                              </a:path>
                            </a:pathLst>
                          </a:custGeom>
                          <a:ln w="630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7496" style="width:61.5132pt;height:0.49647pt;mso-position-horizontal-relative:char;mso-position-vertical-relative:line" coordsize="7812,63">
                <v:shape id="Shape 9364" style="position:absolute;width:7812;height:0;left:0;top:0;" coordsize="781218,0" path="m0,0l781218,0">
                  <v:stroke weight="0.49647pt" endcap="flat" joinstyle="round" on="true" color="#000000"/>
                  <v:fill on="false" color="#000000" opacity="0"/>
                </v:shape>
              </v:group>
            </w:pict>
          </mc:Fallback>
        </mc:AlternateContent>
      </w:r>
      <w:r>
        <w:rPr>
          <w:rFonts w:ascii="Times New Roman" w:eastAsia="Times New Roman" w:hAnsi="Times New Roman" w:cs="Times New Roman"/>
          <w:sz w:val="25"/>
        </w:rPr>
        <w:t xml:space="preserve">1 </w:t>
      </w:r>
      <w:r>
        <w:rPr>
          <w:rFonts w:ascii="Times New Roman" w:eastAsia="Times New Roman" w:hAnsi="Times New Roman" w:cs="Times New Roman"/>
          <w:sz w:val="23"/>
          <w:vertAlign w:val="subscript"/>
        </w:rPr>
        <w:t xml:space="preserve">2 </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sz w:val="25"/>
        </w:rPr>
        <w:t>144</w:t>
      </w:r>
      <w:r>
        <w:rPr>
          <w:rFonts w:ascii="Segoe UI Symbol" w:eastAsia="Segoe UI Symbol" w:hAnsi="Segoe UI Symbol" w:cs="Segoe UI Symbol"/>
          <w:sz w:val="26"/>
        </w:rPr>
        <w:t></w:t>
      </w:r>
      <w:r>
        <w:rPr>
          <w:rFonts w:ascii="Segoe UI Symbol" w:eastAsia="Segoe UI Symbol" w:hAnsi="Segoe UI Symbol" w:cs="Segoe UI Symbol"/>
          <w:sz w:val="26"/>
        </w:rPr>
        <w:t></w:t>
      </w:r>
      <w:r>
        <w:rPr>
          <w:rFonts w:ascii="Times New Roman" w:eastAsia="Times New Roman" w:hAnsi="Times New Roman" w:cs="Times New Roman"/>
          <w:sz w:val="23"/>
          <w:vertAlign w:val="subscript"/>
        </w:rPr>
        <w:t xml:space="preserve">1 </w:t>
      </w:r>
      <w:r>
        <w:rPr>
          <w:rFonts w:ascii="Segoe UI Symbol" w:eastAsia="Segoe UI Symbol" w:hAnsi="Segoe UI Symbol" w:cs="Segoe UI Symbol"/>
          <w:sz w:val="40"/>
          <w:u w:val="single" w:color="000000"/>
        </w:rPr>
        <w:t></w:t>
      </w:r>
      <w:r>
        <w:rPr>
          <w:rFonts w:ascii="Times New Roman" w:eastAsia="Times New Roman" w:hAnsi="Times New Roman" w:cs="Times New Roman"/>
          <w:sz w:val="25"/>
        </w:rPr>
        <w:t>1</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sz w:val="15"/>
        </w:rPr>
        <w:t xml:space="preserve">2 </w:t>
      </w:r>
      <w:r>
        <w:rPr>
          <w:rFonts w:ascii="Segoe UI Symbol" w:eastAsia="Segoe UI Symbol" w:hAnsi="Segoe UI Symbol" w:cs="Segoe UI Symbol"/>
          <w:sz w:val="40"/>
          <w:u w:val="single" w:color="000000"/>
        </w:rPr>
        <w:t></w:t>
      </w:r>
      <w:r>
        <w:rPr>
          <w:rFonts w:ascii="Times New Roman" w:eastAsia="Times New Roman" w:hAnsi="Times New Roman" w:cs="Times New Roman"/>
          <w:sz w:val="15"/>
        </w:rPr>
        <w:t>2</w:t>
      </w:r>
      <w:r>
        <w:rPr>
          <w:rFonts w:ascii="Times New Roman" w:eastAsia="Times New Roman" w:hAnsi="Times New Roman" w:cs="Times New Roman"/>
          <w:sz w:val="23"/>
          <w:vertAlign w:val="subscript"/>
        </w:rPr>
        <w:t xml:space="preserve">4 </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sz w:val="25"/>
        </w:rPr>
        <w:t>ln</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l</w:t>
      </w:r>
      <w:r>
        <w:rPr>
          <w:rFonts w:ascii="Segoe UI Symbol" w:eastAsia="Segoe UI Symbol" w:hAnsi="Segoe UI Symbol" w:cs="Segoe UI Symbol"/>
          <w:sz w:val="33"/>
        </w:rPr>
        <w:t></w:t>
      </w:r>
      <w:r>
        <w:rPr>
          <w:rFonts w:ascii="Segoe UI Symbol" w:eastAsia="Segoe UI Symbol" w:hAnsi="Segoe UI Symbol" w:cs="Segoe UI Symbol"/>
          <w:sz w:val="25"/>
        </w:rPr>
        <w:t xml:space="preserve"> </w:t>
      </w:r>
      <w:r>
        <w:rPr>
          <w:rFonts w:ascii="Times New Roman" w:eastAsia="Times New Roman" w:hAnsi="Times New Roman" w:cs="Times New Roman"/>
          <w:sz w:val="25"/>
        </w:rPr>
        <w:t xml:space="preserve">1 </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Segoe UI Symbol" w:eastAsia="Segoe UI Symbol" w:hAnsi="Segoe UI Symbol" w:cs="Segoe UI Symbol"/>
          <w:sz w:val="25"/>
        </w:rPr>
        <w:t xml:space="preserve"> </w:t>
      </w:r>
      <w:r>
        <w:rPr>
          <w:noProof/>
        </w:rPr>
        <mc:AlternateContent>
          <mc:Choice Requires="wpg">
            <w:drawing>
              <wp:inline distT="0" distB="0" distL="0" distR="0">
                <wp:extent cx="781142" cy="6305"/>
                <wp:effectExtent l="0" t="0" r="0" b="0"/>
                <wp:docPr id="917498" name="Group 917498"/>
                <wp:cNvGraphicFramePr/>
                <a:graphic xmlns:a="http://schemas.openxmlformats.org/drawingml/2006/main">
                  <a:graphicData uri="http://schemas.microsoft.com/office/word/2010/wordprocessingGroup">
                    <wpg:wgp>
                      <wpg:cNvGrpSpPr/>
                      <wpg:grpSpPr>
                        <a:xfrm>
                          <a:off x="0" y="0"/>
                          <a:ext cx="781142" cy="6305"/>
                          <a:chOff x="0" y="0"/>
                          <a:chExt cx="781142" cy="6305"/>
                        </a:xfrm>
                      </wpg:grpSpPr>
                      <wps:wsp>
                        <wps:cNvPr id="9382" name="Shape 9382"/>
                        <wps:cNvSpPr/>
                        <wps:spPr>
                          <a:xfrm>
                            <a:off x="0" y="0"/>
                            <a:ext cx="781142" cy="0"/>
                          </a:xfrm>
                          <a:custGeom>
                            <a:avLst/>
                            <a:gdLst/>
                            <a:ahLst/>
                            <a:cxnLst/>
                            <a:rect l="0" t="0" r="0" b="0"/>
                            <a:pathLst>
                              <a:path w="781142">
                                <a:moveTo>
                                  <a:pt x="0" y="0"/>
                                </a:moveTo>
                                <a:lnTo>
                                  <a:pt x="781142" y="0"/>
                                </a:lnTo>
                              </a:path>
                            </a:pathLst>
                          </a:custGeom>
                          <a:ln w="630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7498" style="width:61.5072pt;height:0.49647pt;mso-position-horizontal-relative:char;mso-position-vertical-relative:line" coordsize="7811,63">
                <v:shape id="Shape 9382" style="position:absolute;width:7811;height:0;left:0;top:0;" coordsize="781142,0" path="m0,0l781142,0">
                  <v:stroke weight="0.49647pt" endcap="flat" joinstyle="round" on="true" color="#000000"/>
                  <v:fill on="false" color="#000000" opacity="0"/>
                </v:shape>
              </v:group>
            </w:pict>
          </mc:Fallback>
        </mc:AlternateContent>
      </w:r>
      <w:r>
        <w:rPr>
          <w:rFonts w:ascii="Times New Roman" w:eastAsia="Times New Roman" w:hAnsi="Times New Roman" w:cs="Times New Roman"/>
          <w:sz w:val="25"/>
        </w:rPr>
        <w:t>ln</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l</w:t>
      </w:r>
      <w:r>
        <w:rPr>
          <w:rFonts w:ascii="Times New Roman" w:eastAsia="Times New Roman" w:hAnsi="Times New Roman" w:cs="Times New Roman"/>
          <w:sz w:val="15"/>
        </w:rPr>
        <w:t>2</w:t>
      </w:r>
      <w:r>
        <w:rPr>
          <w:rFonts w:ascii="Segoe UI Symbol" w:eastAsia="Segoe UI Symbol" w:hAnsi="Segoe UI Symbol" w:cs="Segoe UI Symbol"/>
          <w:sz w:val="33"/>
        </w:rPr>
        <w:t xml:space="preserve"> </w:t>
      </w:r>
      <w:r>
        <w:rPr>
          <w:rFonts w:ascii="Segoe UI Symbol" w:eastAsia="Segoe UI Symbol" w:hAnsi="Segoe UI Symbol" w:cs="Segoe UI Symbol"/>
          <w:sz w:val="25"/>
        </w:rPr>
        <w:t xml:space="preserve"> </w:t>
      </w:r>
      <w:r>
        <w:rPr>
          <w:rFonts w:ascii="Times New Roman" w:eastAsia="Times New Roman" w:hAnsi="Times New Roman" w:cs="Times New Roman"/>
          <w:sz w:val="25"/>
        </w:rPr>
        <w:t>2</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 xml:space="preserve">0 </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Times New Roman" w:eastAsia="Times New Roman" w:hAnsi="Times New Roman" w:cs="Times New Roman"/>
          <w:i/>
          <w:sz w:val="25"/>
        </w:rPr>
        <w:t>l</w:t>
      </w:r>
      <w:r>
        <w:rPr>
          <w:rFonts w:ascii="Segoe UI Symbol" w:eastAsia="Segoe UI Symbol" w:hAnsi="Segoe UI Symbol" w:cs="Segoe UI Symbol"/>
          <w:sz w:val="33"/>
        </w:rPr>
        <w:t xml:space="preserve"> </w:t>
      </w:r>
      <w:r>
        <w:rPr>
          <w:rFonts w:ascii="Segoe UI Symbol" w:eastAsia="Segoe UI Symbol" w:hAnsi="Segoe UI Symbol" w:cs="Segoe UI Symbol"/>
          <w:sz w:val="39"/>
          <w:vertAlign w:val="subscript"/>
        </w:rPr>
        <w:t></w:t>
      </w:r>
      <w:r>
        <w:rPr>
          <w:rFonts w:ascii="Segoe UI Symbol" w:eastAsia="Segoe UI Symbol" w:hAnsi="Segoe UI Symbol" w:cs="Segoe UI Symbol"/>
          <w:sz w:val="25"/>
        </w:rPr>
        <w:t xml:space="preserve"> </w:t>
      </w:r>
      <w:r>
        <w:rPr>
          <w:rFonts w:ascii="Times New Roman" w:eastAsia="Times New Roman" w:hAnsi="Times New Roman" w:cs="Times New Roman"/>
          <w:i/>
          <w:sz w:val="25"/>
        </w:rPr>
        <w:t>RE</w:t>
      </w:r>
      <w:r>
        <w:rPr>
          <w:rFonts w:ascii="Segoe UI Symbol" w:eastAsia="Segoe UI Symbol" w:hAnsi="Segoe UI Symbol" w:cs="Segoe UI Symbol"/>
          <w:sz w:val="33"/>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Segoe UI Symbol" w:eastAsia="Segoe UI Symbol" w:hAnsi="Segoe UI Symbol" w:cs="Segoe UI Symbol"/>
          <w:sz w:val="33"/>
        </w:rPr>
        <w:t xml:space="preserve"> </w:t>
      </w:r>
      <w:r>
        <w:rPr>
          <w:rFonts w:ascii="Segoe UI Symbol" w:eastAsia="Segoe UI Symbol" w:hAnsi="Segoe UI Symbol" w:cs="Segoe UI Symbol"/>
          <w:sz w:val="33"/>
          <w:vertAlign w:val="subscript"/>
        </w:rPr>
        <w:t></w:t>
      </w:r>
      <w:r>
        <w:rPr>
          <w:rFonts w:ascii="Segoe UI Symbol" w:eastAsia="Segoe UI Symbol" w:hAnsi="Segoe UI Symbol" w:cs="Segoe UI Symbol"/>
          <w:sz w:val="25"/>
        </w:rPr>
        <w:t xml:space="preserve"> </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l</w:t>
      </w:r>
      <w:r>
        <w:rPr>
          <w:rFonts w:ascii="Segoe UI Symbol" w:eastAsia="Segoe UI Symbol" w:hAnsi="Segoe UI Symbol" w:cs="Segoe UI Symbol"/>
          <w:sz w:val="33"/>
        </w:rPr>
        <w:t xml:space="preserve"> </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l</w:t>
      </w:r>
      <w:r>
        <w:rPr>
          <w:rFonts w:ascii="Segoe UI Symbol" w:eastAsia="Segoe UI Symbol" w:hAnsi="Segoe UI Symbol" w:cs="Segoe UI Symbol"/>
          <w:sz w:val="33"/>
        </w:rPr>
        <w:t></w:t>
      </w:r>
      <w:r>
        <w:rPr>
          <w:rFonts w:ascii="Segoe UI Symbol" w:eastAsia="Segoe UI Symbol" w:hAnsi="Segoe UI Symbol" w:cs="Segoe UI Symbol"/>
          <w:sz w:val="25"/>
        </w:rPr>
        <w:t xml:space="preserve"> </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sz w:val="25"/>
        </w:rPr>
        <w:t>2</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l</w:t>
      </w:r>
      <w:r>
        <w:rPr>
          <w:rFonts w:ascii="Segoe UI Symbol" w:eastAsia="Segoe UI Symbol" w:hAnsi="Segoe UI Symbol" w:cs="Segoe UI Symbol"/>
          <w:sz w:val="33"/>
        </w:rPr>
        <w:t></w:t>
      </w:r>
      <w:r>
        <w:rPr>
          <w:rFonts w:ascii="Times New Roman" w:eastAsia="Times New Roman" w:hAnsi="Times New Roman" w:cs="Times New Roman"/>
          <w:sz w:val="24"/>
        </w:rPr>
        <w:t xml:space="preserve"> </w:t>
      </w:r>
    </w:p>
    <w:p w:rsidR="0052701D" w:rsidRDefault="00D40929">
      <w:pPr>
        <w:numPr>
          <w:ilvl w:val="0"/>
          <w:numId w:val="8"/>
        </w:numPr>
        <w:spacing w:after="262" w:line="258" w:lineRule="auto"/>
        <w:ind w:hanging="1222"/>
      </w:pPr>
      <w:r>
        <w:rPr>
          <w:noProof/>
        </w:rPr>
        <mc:AlternateContent>
          <mc:Choice Requires="wpg">
            <w:drawing>
              <wp:anchor distT="0" distB="0" distL="114300" distR="114300" simplePos="0" relativeHeight="251703296" behindDoc="0" locked="0" layoutInCell="1" allowOverlap="1">
                <wp:simplePos x="0" y="0"/>
                <wp:positionH relativeFrom="column">
                  <wp:posOffset>2384198</wp:posOffset>
                </wp:positionH>
                <wp:positionV relativeFrom="paragraph">
                  <wp:posOffset>47687</wp:posOffset>
                </wp:positionV>
                <wp:extent cx="2307967" cy="6147"/>
                <wp:effectExtent l="0" t="0" r="0" b="0"/>
                <wp:wrapNone/>
                <wp:docPr id="917500" name="Group 917500"/>
                <wp:cNvGraphicFramePr/>
                <a:graphic xmlns:a="http://schemas.openxmlformats.org/drawingml/2006/main">
                  <a:graphicData uri="http://schemas.microsoft.com/office/word/2010/wordprocessingGroup">
                    <wpg:wgp>
                      <wpg:cNvGrpSpPr/>
                      <wpg:grpSpPr>
                        <a:xfrm>
                          <a:off x="0" y="0"/>
                          <a:ext cx="2307967" cy="6147"/>
                          <a:chOff x="0" y="0"/>
                          <a:chExt cx="2307967" cy="6147"/>
                        </a:xfrm>
                      </wpg:grpSpPr>
                      <wps:wsp>
                        <wps:cNvPr id="9481" name="Shape 9481"/>
                        <wps:cNvSpPr/>
                        <wps:spPr>
                          <a:xfrm>
                            <a:off x="0" y="0"/>
                            <a:ext cx="624637" cy="0"/>
                          </a:xfrm>
                          <a:custGeom>
                            <a:avLst/>
                            <a:gdLst/>
                            <a:ahLst/>
                            <a:cxnLst/>
                            <a:rect l="0" t="0" r="0" b="0"/>
                            <a:pathLst>
                              <a:path w="624637">
                                <a:moveTo>
                                  <a:pt x="0" y="0"/>
                                </a:moveTo>
                                <a:lnTo>
                                  <a:pt x="624637" y="0"/>
                                </a:lnTo>
                              </a:path>
                            </a:pathLst>
                          </a:custGeom>
                          <a:ln w="6147" cap="flat">
                            <a:round/>
                          </a:ln>
                        </wps:spPr>
                        <wps:style>
                          <a:lnRef idx="1">
                            <a:srgbClr val="000000"/>
                          </a:lnRef>
                          <a:fillRef idx="0">
                            <a:srgbClr val="000000">
                              <a:alpha val="0"/>
                            </a:srgbClr>
                          </a:fillRef>
                          <a:effectRef idx="0">
                            <a:scrgbClr r="0" g="0" b="0"/>
                          </a:effectRef>
                          <a:fontRef idx="none"/>
                        </wps:style>
                        <wps:bodyPr/>
                      </wps:wsp>
                      <wps:wsp>
                        <wps:cNvPr id="9486" name="Shape 9486"/>
                        <wps:cNvSpPr/>
                        <wps:spPr>
                          <a:xfrm>
                            <a:off x="779621" y="0"/>
                            <a:ext cx="748853" cy="0"/>
                          </a:xfrm>
                          <a:custGeom>
                            <a:avLst/>
                            <a:gdLst/>
                            <a:ahLst/>
                            <a:cxnLst/>
                            <a:rect l="0" t="0" r="0" b="0"/>
                            <a:pathLst>
                              <a:path w="748853">
                                <a:moveTo>
                                  <a:pt x="0" y="0"/>
                                </a:moveTo>
                                <a:lnTo>
                                  <a:pt x="748853" y="0"/>
                                </a:lnTo>
                              </a:path>
                            </a:pathLst>
                          </a:custGeom>
                          <a:ln w="6147" cap="flat">
                            <a:round/>
                          </a:ln>
                        </wps:spPr>
                        <wps:style>
                          <a:lnRef idx="1">
                            <a:srgbClr val="000000"/>
                          </a:lnRef>
                          <a:fillRef idx="0">
                            <a:srgbClr val="000000">
                              <a:alpha val="0"/>
                            </a:srgbClr>
                          </a:fillRef>
                          <a:effectRef idx="0">
                            <a:scrgbClr r="0" g="0" b="0"/>
                          </a:effectRef>
                          <a:fontRef idx="none"/>
                        </wps:style>
                        <wps:bodyPr/>
                      </wps:wsp>
                      <wps:wsp>
                        <wps:cNvPr id="9489" name="Shape 9489"/>
                        <wps:cNvSpPr/>
                        <wps:spPr>
                          <a:xfrm>
                            <a:off x="1683457" y="0"/>
                            <a:ext cx="624510" cy="0"/>
                          </a:xfrm>
                          <a:custGeom>
                            <a:avLst/>
                            <a:gdLst/>
                            <a:ahLst/>
                            <a:cxnLst/>
                            <a:rect l="0" t="0" r="0" b="0"/>
                            <a:pathLst>
                              <a:path w="624510">
                                <a:moveTo>
                                  <a:pt x="0" y="0"/>
                                </a:moveTo>
                                <a:lnTo>
                                  <a:pt x="624510" y="0"/>
                                </a:lnTo>
                              </a:path>
                            </a:pathLst>
                          </a:custGeom>
                          <a:ln w="6147"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7500" style="width:181.73pt;height:0.483977pt;position:absolute;z-index:1150;mso-position-horizontal-relative:text;mso-position-horizontal:absolute;margin-left:187.732pt;mso-position-vertical-relative:text;margin-top:3.75488pt;" coordsize="23079,61">
                <v:shape id="Shape 9481" style="position:absolute;width:6246;height:0;left:0;top:0;" coordsize="624637,0" path="m0,0l624637,0">
                  <v:stroke weight="0.483977pt" endcap="flat" joinstyle="round" on="true" color="#000000"/>
                  <v:fill on="false" color="#000000" opacity="0"/>
                </v:shape>
                <v:shape id="Shape 9486" style="position:absolute;width:7488;height:0;left:7796;top:0;" coordsize="748853,0" path="m0,0l748853,0">
                  <v:stroke weight="0.483977pt" endcap="flat" joinstyle="round" on="true" color="#000000"/>
                  <v:fill on="false" color="#000000" opacity="0"/>
                </v:shape>
                <v:shape id="Shape 9489" style="position:absolute;width:6245;height:0;left:16834;top:0;" coordsize="624510,0" path="m0,0l624510,0">
                  <v:stroke weight="0.483977pt" endcap="flat" joinstyle="round" on="true" color="#000000"/>
                  <v:fill on="false" color="#000000" opacity="0"/>
                </v:shape>
              </v:group>
            </w:pict>
          </mc:Fallback>
        </mc:AlternateContent>
      </w:r>
      <w:r>
        <w:rPr>
          <w:noProof/>
        </w:rPr>
        <mc:AlternateContent>
          <mc:Choice Requires="wpg">
            <w:drawing>
              <wp:inline distT="0" distB="0" distL="0" distR="0">
                <wp:extent cx="780460" cy="6147"/>
                <wp:effectExtent l="0" t="0" r="0" b="0"/>
                <wp:docPr id="917499" name="Group 917499"/>
                <wp:cNvGraphicFramePr/>
                <a:graphic xmlns:a="http://schemas.openxmlformats.org/drawingml/2006/main">
                  <a:graphicData uri="http://schemas.microsoft.com/office/word/2010/wordprocessingGroup">
                    <wpg:wgp>
                      <wpg:cNvGrpSpPr/>
                      <wpg:grpSpPr>
                        <a:xfrm>
                          <a:off x="0" y="0"/>
                          <a:ext cx="780460" cy="6147"/>
                          <a:chOff x="0" y="0"/>
                          <a:chExt cx="780460" cy="6147"/>
                        </a:xfrm>
                      </wpg:grpSpPr>
                      <wps:wsp>
                        <wps:cNvPr id="9473" name="Shape 9473"/>
                        <wps:cNvSpPr/>
                        <wps:spPr>
                          <a:xfrm>
                            <a:off x="0" y="0"/>
                            <a:ext cx="780460" cy="0"/>
                          </a:xfrm>
                          <a:custGeom>
                            <a:avLst/>
                            <a:gdLst/>
                            <a:ahLst/>
                            <a:cxnLst/>
                            <a:rect l="0" t="0" r="0" b="0"/>
                            <a:pathLst>
                              <a:path w="780460">
                                <a:moveTo>
                                  <a:pt x="0" y="0"/>
                                </a:moveTo>
                                <a:lnTo>
                                  <a:pt x="780460" y="0"/>
                                </a:lnTo>
                              </a:path>
                            </a:pathLst>
                          </a:custGeom>
                          <a:ln w="614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7499" style="width:61.4535pt;height:0.483977pt;mso-position-horizontal-relative:char;mso-position-vertical-relative:line" coordsize="7804,61">
                <v:shape id="Shape 9473" style="position:absolute;width:7804;height:0;left:0;top:0;" coordsize="780460,0" path="m0,0l780460,0">
                  <v:stroke weight="0.483977pt" endcap="flat" joinstyle="round" on="true" color="#000000"/>
                  <v:fill on="false" color="#000000" opacity="0"/>
                </v:shape>
              </v:group>
            </w:pict>
          </mc:Fallback>
        </mc:AlternateContent>
      </w:r>
      <w:r>
        <w:rPr>
          <w:rFonts w:ascii="Times New Roman" w:eastAsia="Times New Roman" w:hAnsi="Times New Roman" w:cs="Times New Roman"/>
          <w:sz w:val="24"/>
        </w:rPr>
        <w:t>4</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vertAlign w:val="subscript"/>
        </w:rPr>
        <w:t xml:space="preserve">0 </w:t>
      </w:r>
      <w:r>
        <w:rPr>
          <w:rFonts w:ascii="Segoe UI Symbol" w:eastAsia="Segoe UI Symbol" w:hAnsi="Segoe UI Symbol" w:cs="Segoe UI Symbol"/>
          <w:sz w:val="24"/>
        </w:rPr>
        <w:t></w:t>
      </w:r>
      <w:r>
        <w:rPr>
          <w:rFonts w:ascii="Times New Roman" w:eastAsia="Times New Roman" w:hAnsi="Times New Roman" w:cs="Times New Roman"/>
          <w:sz w:val="24"/>
        </w:rPr>
        <w:t>1</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vertAlign w:val="subscript"/>
        </w:rPr>
        <w:t>1</w:t>
      </w:r>
      <w:r>
        <w:rPr>
          <w:rFonts w:ascii="Times New Roman" w:eastAsia="Times New Roman" w:hAnsi="Times New Roman" w:cs="Times New Roman"/>
          <w:i/>
          <w:sz w:val="24"/>
        </w:rPr>
        <w:t>l</w:t>
      </w:r>
      <w:r>
        <w:rPr>
          <w:rFonts w:ascii="Segoe UI Symbol" w:eastAsia="Segoe UI Symbol" w:hAnsi="Segoe UI Symbol" w:cs="Segoe UI Symbol"/>
          <w:sz w:val="32"/>
        </w:rPr>
        <w:t></w:t>
      </w:r>
      <w:r>
        <w:rPr>
          <w:rFonts w:ascii="Times New Roman" w:eastAsia="Times New Roman" w:hAnsi="Times New Roman" w:cs="Times New Roman"/>
          <w:sz w:val="14"/>
        </w:rPr>
        <w:t xml:space="preserve">2 </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37"/>
          <w:vertAlign w:val="subscript"/>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 xml:space="preserve"> </w:t>
      </w:r>
      <w:r>
        <w:rPr>
          <w:rFonts w:ascii="Times New Roman" w:eastAsia="Times New Roman" w:hAnsi="Times New Roman" w:cs="Times New Roman"/>
          <w:sz w:val="24"/>
        </w:rPr>
        <w:t>288</w:t>
      </w:r>
      <w:r>
        <w:rPr>
          <w:rFonts w:ascii="Segoe UI Symbol" w:eastAsia="Segoe UI Symbol" w:hAnsi="Segoe UI Symbol" w:cs="Segoe UI Symbol"/>
          <w:sz w:val="26"/>
        </w:rPr>
        <w:t></w:t>
      </w:r>
      <w:r>
        <w:rPr>
          <w:rFonts w:ascii="Segoe UI Symbol" w:eastAsia="Segoe UI Symbol" w:hAnsi="Segoe UI Symbol" w:cs="Segoe UI Symbol"/>
          <w:sz w:val="26"/>
        </w:rPr>
        <w:t></w:t>
      </w:r>
      <w:r>
        <w:rPr>
          <w:rFonts w:ascii="Times New Roman" w:eastAsia="Times New Roman" w:hAnsi="Times New Roman" w:cs="Times New Roman"/>
          <w:sz w:val="14"/>
        </w:rPr>
        <w:t xml:space="preserve">1 </w:t>
      </w:r>
      <w:r>
        <w:rPr>
          <w:rFonts w:ascii="Times New Roman" w:eastAsia="Times New Roman" w:hAnsi="Times New Roman" w:cs="Times New Roman"/>
          <w:i/>
          <w:sz w:val="24"/>
        </w:rPr>
        <w:t>RE</w:t>
      </w:r>
      <w:r>
        <w:rPr>
          <w:rFonts w:ascii="Segoe UI Symbol" w:eastAsia="Segoe UI Symbol" w:hAnsi="Segoe UI Symbol" w:cs="Segoe UI Symbol"/>
          <w:sz w:val="39"/>
          <w:u w:val="single" w:color="000000"/>
        </w:rPr>
        <w:t></w:t>
      </w:r>
      <w:r>
        <w:rPr>
          <w:rFonts w:ascii="Times New Roman" w:eastAsia="Times New Roman" w:hAnsi="Times New Roman" w:cs="Times New Roman"/>
          <w:sz w:val="24"/>
        </w:rPr>
        <w:t>1</w:t>
      </w:r>
      <w:r>
        <w:rPr>
          <w:rFonts w:ascii="Segoe UI Symbol" w:eastAsia="Segoe UI Symbol" w:hAnsi="Segoe UI Symbol" w:cs="Segoe UI Symbol"/>
          <w:sz w:val="24"/>
        </w:rPr>
        <w:t></w:t>
      </w:r>
      <w:r>
        <w:rPr>
          <w:rFonts w:ascii="Segoe UI Symbol" w:eastAsia="Segoe UI Symbol" w:hAnsi="Segoe UI Symbol" w:cs="Segoe UI Symbol"/>
          <w:sz w:val="32"/>
        </w:rPr>
        <w:t></w:t>
      </w:r>
      <w:r>
        <w:rPr>
          <w:rFonts w:ascii="Segoe UI Symbol" w:eastAsia="Segoe UI Symbol" w:hAnsi="Segoe UI Symbol" w:cs="Segoe UI Symbol"/>
          <w:sz w:val="26"/>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sz w:val="14"/>
        </w:rPr>
        <w:t>2</w:t>
      </w:r>
      <w:r>
        <w:rPr>
          <w:rFonts w:ascii="Times New Roman" w:eastAsia="Times New Roman" w:hAnsi="Times New Roman" w:cs="Times New Roman"/>
          <w:vertAlign w:val="subscript"/>
        </w:rPr>
        <w:t>1</w:t>
      </w:r>
      <w:r>
        <w:rPr>
          <w:rFonts w:ascii="Segoe UI Symbol" w:eastAsia="Segoe UI Symbol" w:hAnsi="Segoe UI Symbol" w:cs="Segoe UI Symbol"/>
          <w:sz w:val="39"/>
          <w:u w:val="single" w:color="000000"/>
        </w:rPr>
        <w:t></w:t>
      </w:r>
      <w:r>
        <w:rPr>
          <w:rFonts w:ascii="Segoe UI Symbol" w:eastAsia="Segoe UI Symbol" w:hAnsi="Segoe UI Symbol" w:cs="Segoe UI Symbol"/>
          <w:sz w:val="32"/>
        </w:rPr>
        <w:t></w:t>
      </w:r>
      <w:r>
        <w:rPr>
          <w:rFonts w:ascii="Times New Roman" w:eastAsia="Times New Roman" w:hAnsi="Times New Roman" w:cs="Times New Roman"/>
          <w:sz w:val="14"/>
        </w:rPr>
        <w:t xml:space="preserve">23 </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Times New Roman" w:eastAsia="Times New Roman" w:hAnsi="Times New Roman" w:cs="Times New Roman"/>
          <w:sz w:val="24"/>
        </w:rPr>
        <w:t>1</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l</w:t>
      </w:r>
      <w:r>
        <w:rPr>
          <w:rFonts w:ascii="Segoe UI Symbol" w:eastAsia="Segoe UI Symbol" w:hAnsi="Segoe UI Symbol" w:cs="Segoe UI Symbol"/>
          <w:sz w:val="32"/>
        </w:rPr>
        <w:t></w:t>
      </w:r>
      <w:r>
        <w:rPr>
          <w:rFonts w:ascii="Segoe UI Symbol" w:eastAsia="Segoe UI Symbol" w:hAnsi="Segoe UI Symbol" w:cs="Segoe UI Symbol"/>
          <w:sz w:val="24"/>
        </w:rPr>
        <w:t xml:space="preserve"> </w:t>
      </w:r>
      <w:r>
        <w:rPr>
          <w:rFonts w:ascii="Times New Roman" w:eastAsia="Times New Roman" w:hAnsi="Times New Roman" w:cs="Times New Roman"/>
          <w:sz w:val="24"/>
        </w:rPr>
        <w:t>ln</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00</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Segoe UI Symbol" w:eastAsia="Segoe UI Symbol" w:hAnsi="Segoe UI Symbol" w:cs="Segoe UI Symbol"/>
          <w:sz w:val="26"/>
        </w:rPr>
        <w:t></w:t>
      </w:r>
      <w:r>
        <w:rPr>
          <w:rFonts w:ascii="Times New Roman" w:eastAsia="Times New Roman" w:hAnsi="Times New Roman" w:cs="Times New Roman"/>
          <w:i/>
          <w:sz w:val="24"/>
        </w:rPr>
        <w:t>hh</w:t>
      </w:r>
      <w:r>
        <w:rPr>
          <w:rFonts w:ascii="Times New Roman" w:eastAsia="Times New Roman" w:hAnsi="Times New Roman" w:cs="Times New Roman"/>
          <w:sz w:val="14"/>
        </w:rPr>
        <w:t>1</w:t>
      </w:r>
      <w:r>
        <w:rPr>
          <w:rFonts w:ascii="Times New Roman" w:eastAsia="Times New Roman" w:hAnsi="Times New Roman" w:cs="Times New Roman"/>
          <w:i/>
          <w:sz w:val="24"/>
        </w:rPr>
        <w:t>l</w:t>
      </w:r>
      <w:r>
        <w:rPr>
          <w:rFonts w:ascii="Times New Roman" w:eastAsia="Times New Roman" w:hAnsi="Times New Roman" w:cs="Times New Roman"/>
          <w:sz w:val="14"/>
        </w:rPr>
        <w:t>1</w:t>
      </w:r>
      <w:r>
        <w:rPr>
          <w:rFonts w:ascii="Segoe UI Symbol" w:eastAsia="Segoe UI Symbol" w:hAnsi="Segoe UI Symbol" w:cs="Segoe UI Symbol"/>
          <w:sz w:val="32"/>
        </w:rPr>
        <w:t></w:t>
      </w:r>
      <w:r>
        <w:rPr>
          <w:rFonts w:ascii="Times New Roman" w:eastAsia="Times New Roman" w:hAnsi="Times New Roman" w:cs="Times New Roman"/>
          <w:i/>
          <w:sz w:val="24"/>
        </w:rPr>
        <w:t>l</w:t>
      </w:r>
      <w:r>
        <w:rPr>
          <w:rFonts w:ascii="Segoe UI Symbol" w:eastAsia="Segoe UI Symbol" w:hAnsi="Segoe UI Symbol" w:cs="Segoe UI Symbol"/>
          <w:sz w:val="32"/>
        </w:rPr>
        <w:t></w:t>
      </w:r>
      <w:r>
        <w:rPr>
          <w:rFonts w:ascii="Segoe UI Symbol" w:eastAsia="Segoe UI Symbol" w:hAnsi="Segoe UI Symbol" w:cs="Segoe UI Symbol"/>
          <w:sz w:val="24"/>
        </w:rPr>
        <w:t xml:space="preserve"> </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Times New Roman" w:eastAsia="Times New Roman" w:hAnsi="Times New Roman" w:cs="Times New Roman"/>
          <w:sz w:val="24"/>
        </w:rPr>
        <w:t>1</w:t>
      </w:r>
      <w:r>
        <w:rPr>
          <w:rFonts w:ascii="Segoe UI Symbol" w:eastAsia="Segoe UI Symbol" w:hAnsi="Segoe UI Symbol" w:cs="Segoe UI Symbol"/>
          <w:sz w:val="26"/>
        </w:rPr>
        <w:t xml:space="preserve"> </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 xml:space="preserve"> </w:t>
      </w:r>
      <w:r>
        <w:rPr>
          <w:rFonts w:ascii="Times New Roman" w:eastAsia="Times New Roman" w:hAnsi="Times New Roman" w:cs="Times New Roman"/>
          <w:sz w:val="24"/>
        </w:rPr>
        <w:t>6</w:t>
      </w:r>
      <w:r>
        <w:rPr>
          <w:rFonts w:ascii="Segoe UI Symbol" w:eastAsia="Segoe UI Symbol" w:hAnsi="Segoe UI Symbol" w:cs="Segoe UI Symbol"/>
          <w:sz w:val="39"/>
          <w:u w:val="single" w:color="000000"/>
        </w:rPr>
        <w:t></w:t>
      </w:r>
      <w:r>
        <w:rPr>
          <w:rFonts w:ascii="Times New Roman" w:eastAsia="Times New Roman" w:hAnsi="Times New Roman" w:cs="Times New Roman"/>
          <w:sz w:val="24"/>
        </w:rPr>
        <w:t>1</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sz w:val="14"/>
        </w:rPr>
        <w:t>2 2</w:t>
      </w:r>
      <w:r>
        <w:rPr>
          <w:rFonts w:ascii="Segoe UI Symbol" w:eastAsia="Segoe UI Symbol" w:hAnsi="Segoe UI Symbol" w:cs="Segoe UI Symbol"/>
          <w:sz w:val="39"/>
          <w:u w:val="single" w:color="000000"/>
        </w:rPr>
        <w:t xml:space="preserve"> </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l</w:t>
      </w:r>
      <w:r>
        <w:rPr>
          <w:rFonts w:ascii="Segoe UI Symbol" w:eastAsia="Segoe UI Symbol" w:hAnsi="Segoe UI Symbol" w:cs="Segoe UI Symbol"/>
          <w:sz w:val="32"/>
        </w:rPr>
        <w:t></w:t>
      </w:r>
      <w:r>
        <w:rPr>
          <w:rFonts w:ascii="Segoe UI Symbol" w:eastAsia="Segoe UI Symbol" w:hAnsi="Segoe UI Symbol" w:cs="Segoe UI Symbol"/>
          <w:sz w:val="24"/>
        </w:rPr>
        <w:t></w:t>
      </w:r>
      <w:r>
        <w:rPr>
          <w:rFonts w:ascii="Segoe UI Symbol" w:eastAsia="Segoe UI Symbol" w:hAnsi="Segoe UI Symbol" w:cs="Segoe UI Symbol"/>
          <w:sz w:val="24"/>
        </w:rPr>
        <w:tab/>
      </w:r>
      <w:r>
        <w:rPr>
          <w:rFonts w:ascii="Times New Roman" w:eastAsia="Times New Roman" w:hAnsi="Times New Roman" w:cs="Times New Roman"/>
          <w:i/>
          <w:sz w:val="24"/>
        </w:rPr>
        <w:t>R</w:t>
      </w:r>
      <w:r>
        <w:rPr>
          <w:rFonts w:ascii="Times New Roman" w:eastAsia="Times New Roman" w:hAnsi="Times New Roman" w:cs="Times New Roman"/>
          <w:i/>
          <w:sz w:val="24"/>
        </w:rPr>
        <w:tab/>
      </w:r>
      <w:r>
        <w:rPr>
          <w:rFonts w:ascii="Times New Roman" w:eastAsia="Times New Roman" w:hAnsi="Times New Roman" w:cs="Times New Roman"/>
          <w:sz w:val="24"/>
        </w:rPr>
        <w:t xml:space="preserve"> </w:t>
      </w:r>
    </w:p>
    <w:p w:rsidR="0052701D" w:rsidRDefault="00D40929">
      <w:pPr>
        <w:spacing w:after="0"/>
        <w:ind w:left="2391" w:right="2346" w:hanging="10"/>
        <w:jc w:val="center"/>
      </w:pPr>
      <w:r>
        <w:rPr>
          <w:noProof/>
        </w:rPr>
        <mc:AlternateContent>
          <mc:Choice Requires="wpg">
            <w:drawing>
              <wp:anchor distT="0" distB="0" distL="114300" distR="114300" simplePos="0" relativeHeight="251704320" behindDoc="0" locked="0" layoutInCell="1" allowOverlap="1">
                <wp:simplePos x="0" y="0"/>
                <wp:positionH relativeFrom="column">
                  <wp:posOffset>1775202</wp:posOffset>
                </wp:positionH>
                <wp:positionV relativeFrom="paragraph">
                  <wp:posOffset>68443</wp:posOffset>
                </wp:positionV>
                <wp:extent cx="3568580" cy="6147"/>
                <wp:effectExtent l="0" t="0" r="0" b="0"/>
                <wp:wrapNone/>
                <wp:docPr id="917501" name="Group 917501"/>
                <wp:cNvGraphicFramePr/>
                <a:graphic xmlns:a="http://schemas.openxmlformats.org/drawingml/2006/main">
                  <a:graphicData uri="http://schemas.microsoft.com/office/word/2010/wordprocessingGroup">
                    <wpg:wgp>
                      <wpg:cNvGrpSpPr/>
                      <wpg:grpSpPr>
                        <a:xfrm>
                          <a:off x="0" y="0"/>
                          <a:ext cx="3568580" cy="6147"/>
                          <a:chOff x="0" y="0"/>
                          <a:chExt cx="3568580" cy="6147"/>
                        </a:xfrm>
                      </wpg:grpSpPr>
                      <wps:wsp>
                        <wps:cNvPr id="9581" name="Shape 9581"/>
                        <wps:cNvSpPr/>
                        <wps:spPr>
                          <a:xfrm>
                            <a:off x="0" y="0"/>
                            <a:ext cx="454024" cy="0"/>
                          </a:xfrm>
                          <a:custGeom>
                            <a:avLst/>
                            <a:gdLst/>
                            <a:ahLst/>
                            <a:cxnLst/>
                            <a:rect l="0" t="0" r="0" b="0"/>
                            <a:pathLst>
                              <a:path w="454024">
                                <a:moveTo>
                                  <a:pt x="0" y="0"/>
                                </a:moveTo>
                                <a:lnTo>
                                  <a:pt x="454024" y="0"/>
                                </a:lnTo>
                              </a:path>
                            </a:pathLst>
                          </a:custGeom>
                          <a:ln w="6147" cap="flat">
                            <a:round/>
                          </a:ln>
                        </wps:spPr>
                        <wps:style>
                          <a:lnRef idx="1">
                            <a:srgbClr val="000000"/>
                          </a:lnRef>
                          <a:fillRef idx="0">
                            <a:srgbClr val="000000">
                              <a:alpha val="0"/>
                            </a:srgbClr>
                          </a:fillRef>
                          <a:effectRef idx="0">
                            <a:scrgbClr r="0" g="0" b="0"/>
                          </a:effectRef>
                          <a:fontRef idx="none"/>
                        </wps:style>
                        <wps:bodyPr/>
                      </wps:wsp>
                      <wps:wsp>
                        <wps:cNvPr id="9586" name="Shape 9586"/>
                        <wps:cNvSpPr/>
                        <wps:spPr>
                          <a:xfrm>
                            <a:off x="529906" y="0"/>
                            <a:ext cx="700765" cy="0"/>
                          </a:xfrm>
                          <a:custGeom>
                            <a:avLst/>
                            <a:gdLst/>
                            <a:ahLst/>
                            <a:cxnLst/>
                            <a:rect l="0" t="0" r="0" b="0"/>
                            <a:pathLst>
                              <a:path w="700765">
                                <a:moveTo>
                                  <a:pt x="0" y="0"/>
                                </a:moveTo>
                                <a:lnTo>
                                  <a:pt x="700765" y="0"/>
                                </a:lnTo>
                              </a:path>
                            </a:pathLst>
                          </a:custGeom>
                          <a:ln w="6147" cap="flat">
                            <a:round/>
                          </a:ln>
                        </wps:spPr>
                        <wps:style>
                          <a:lnRef idx="1">
                            <a:srgbClr val="000000"/>
                          </a:lnRef>
                          <a:fillRef idx="0">
                            <a:srgbClr val="000000">
                              <a:alpha val="0"/>
                            </a:srgbClr>
                          </a:fillRef>
                          <a:effectRef idx="0">
                            <a:scrgbClr r="0" g="0" b="0"/>
                          </a:effectRef>
                          <a:fontRef idx="none"/>
                        </wps:style>
                        <wps:bodyPr/>
                      </wps:wsp>
                      <wps:wsp>
                        <wps:cNvPr id="9591" name="Shape 9591"/>
                        <wps:cNvSpPr/>
                        <wps:spPr>
                          <a:xfrm>
                            <a:off x="1382940" y="0"/>
                            <a:ext cx="797894" cy="0"/>
                          </a:xfrm>
                          <a:custGeom>
                            <a:avLst/>
                            <a:gdLst/>
                            <a:ahLst/>
                            <a:cxnLst/>
                            <a:rect l="0" t="0" r="0" b="0"/>
                            <a:pathLst>
                              <a:path w="797894">
                                <a:moveTo>
                                  <a:pt x="0" y="0"/>
                                </a:moveTo>
                                <a:lnTo>
                                  <a:pt x="797894" y="0"/>
                                </a:lnTo>
                              </a:path>
                            </a:pathLst>
                          </a:custGeom>
                          <a:ln w="6147" cap="flat">
                            <a:round/>
                          </a:ln>
                        </wps:spPr>
                        <wps:style>
                          <a:lnRef idx="1">
                            <a:srgbClr val="000000"/>
                          </a:lnRef>
                          <a:fillRef idx="0">
                            <a:srgbClr val="000000">
                              <a:alpha val="0"/>
                            </a:srgbClr>
                          </a:fillRef>
                          <a:effectRef idx="0">
                            <a:scrgbClr r="0" g="0" b="0"/>
                          </a:effectRef>
                          <a:fontRef idx="none"/>
                        </wps:style>
                        <wps:bodyPr/>
                      </wps:wsp>
                      <wps:wsp>
                        <wps:cNvPr id="9594" name="Shape 9594"/>
                        <wps:cNvSpPr/>
                        <wps:spPr>
                          <a:xfrm>
                            <a:off x="2494351" y="0"/>
                            <a:ext cx="299100" cy="0"/>
                          </a:xfrm>
                          <a:custGeom>
                            <a:avLst/>
                            <a:gdLst/>
                            <a:ahLst/>
                            <a:cxnLst/>
                            <a:rect l="0" t="0" r="0" b="0"/>
                            <a:pathLst>
                              <a:path w="299100">
                                <a:moveTo>
                                  <a:pt x="0" y="0"/>
                                </a:moveTo>
                                <a:lnTo>
                                  <a:pt x="299100" y="0"/>
                                </a:lnTo>
                              </a:path>
                            </a:pathLst>
                          </a:custGeom>
                          <a:ln w="6147" cap="flat">
                            <a:round/>
                          </a:ln>
                        </wps:spPr>
                        <wps:style>
                          <a:lnRef idx="1">
                            <a:srgbClr val="000000"/>
                          </a:lnRef>
                          <a:fillRef idx="0">
                            <a:srgbClr val="000000">
                              <a:alpha val="0"/>
                            </a:srgbClr>
                          </a:fillRef>
                          <a:effectRef idx="0">
                            <a:scrgbClr r="0" g="0" b="0"/>
                          </a:effectRef>
                          <a:fontRef idx="none"/>
                        </wps:style>
                        <wps:bodyPr/>
                      </wps:wsp>
                      <wps:wsp>
                        <wps:cNvPr id="9597" name="Shape 9597"/>
                        <wps:cNvSpPr/>
                        <wps:spPr>
                          <a:xfrm>
                            <a:off x="2869332" y="0"/>
                            <a:ext cx="699248" cy="0"/>
                          </a:xfrm>
                          <a:custGeom>
                            <a:avLst/>
                            <a:gdLst/>
                            <a:ahLst/>
                            <a:cxnLst/>
                            <a:rect l="0" t="0" r="0" b="0"/>
                            <a:pathLst>
                              <a:path w="699248">
                                <a:moveTo>
                                  <a:pt x="0" y="0"/>
                                </a:moveTo>
                                <a:lnTo>
                                  <a:pt x="699248" y="0"/>
                                </a:lnTo>
                              </a:path>
                            </a:pathLst>
                          </a:custGeom>
                          <a:ln w="6147"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7501" style="width:280.991pt;height:0.483977pt;position:absolute;z-index:1255;mso-position-horizontal-relative:text;mso-position-horizontal:absolute;margin-left:139.78pt;mso-position-vertical-relative:text;margin-top:5.38922pt;" coordsize="35685,61">
                <v:shape id="Shape 9581" style="position:absolute;width:4540;height:0;left:0;top:0;" coordsize="454024,0" path="m0,0l454024,0">
                  <v:stroke weight="0.483977pt" endcap="flat" joinstyle="round" on="true" color="#000000"/>
                  <v:fill on="false" color="#000000" opacity="0"/>
                </v:shape>
                <v:shape id="Shape 9586" style="position:absolute;width:7007;height:0;left:5299;top:0;" coordsize="700765,0" path="m0,0l700765,0">
                  <v:stroke weight="0.483977pt" endcap="flat" joinstyle="round" on="true" color="#000000"/>
                  <v:fill on="false" color="#000000" opacity="0"/>
                </v:shape>
                <v:shape id="Shape 9591" style="position:absolute;width:7978;height:0;left:13829;top:0;" coordsize="797894,0" path="m0,0l797894,0">
                  <v:stroke weight="0.483977pt" endcap="flat" joinstyle="round" on="true" color="#000000"/>
                  <v:fill on="false" color="#000000" opacity="0"/>
                </v:shape>
                <v:shape id="Shape 9594" style="position:absolute;width:2991;height:0;left:24943;top:0;" coordsize="299100,0" path="m0,0l299100,0">
                  <v:stroke weight="0.483977pt" endcap="flat" joinstyle="round" on="true" color="#000000"/>
                  <v:fill on="false" color="#000000" opacity="0"/>
                </v:shape>
                <v:shape id="Shape 9597" style="position:absolute;width:6992;height:0;left:28693;top:0;" coordsize="699248,0" path="m0,0l699248,0">
                  <v:stroke weight="0.483977pt" endcap="flat" joinstyle="round" on="true" color="#000000"/>
                  <v:fill on="false" color="#000000" opacity="0"/>
                </v:shape>
              </v:group>
            </w:pict>
          </mc:Fallback>
        </mc:AlternateContent>
      </w:r>
      <w:r>
        <w:rPr>
          <w:rFonts w:ascii="Segoe UI Symbol" w:eastAsia="Segoe UI Symbol" w:hAnsi="Segoe UI Symbol" w:cs="Segoe UI Symbol"/>
          <w:sz w:val="24"/>
        </w:rPr>
        <w:t></w:t>
      </w:r>
    </w:p>
    <w:p w:rsidR="0052701D" w:rsidRDefault="00D40929">
      <w:pPr>
        <w:spacing w:after="4" w:line="362" w:lineRule="auto"/>
        <w:ind w:left="218" w:right="1010" w:hanging="195"/>
      </w:pPr>
      <w:r>
        <w:rPr>
          <w:rFonts w:ascii="Segoe UI Symbol" w:eastAsia="Segoe UI Symbol" w:hAnsi="Segoe UI Symbol" w:cs="Segoe UI Symbol"/>
          <w:sz w:val="24"/>
        </w:rPr>
        <w:t></w:t>
      </w:r>
      <w:r>
        <w:rPr>
          <w:rFonts w:ascii="Segoe UI Symbol" w:eastAsia="Segoe UI Symbol" w:hAnsi="Segoe UI Symbol" w:cs="Segoe UI Symbol"/>
          <w:sz w:val="36"/>
        </w:rPr>
        <w:t></w:t>
      </w:r>
      <w:r>
        <w:rPr>
          <w:rFonts w:ascii="Times New Roman" w:eastAsia="Times New Roman" w:hAnsi="Times New Roman" w:cs="Times New Roman"/>
          <w:i/>
          <w:sz w:val="14"/>
        </w:rPr>
        <w:t>n</w:t>
      </w:r>
      <w:r>
        <w:rPr>
          <w:rFonts w:ascii="Segoe UI Symbol" w:eastAsia="Segoe UI Symbol" w:hAnsi="Segoe UI Symbol" w:cs="Segoe UI Symbol"/>
          <w:sz w:val="14"/>
        </w:rPr>
        <w:t xml:space="preserve"> </w:t>
      </w:r>
      <w:r>
        <w:rPr>
          <w:rFonts w:ascii="Segoe UI Symbol" w:eastAsia="Segoe UI Symbol" w:hAnsi="Segoe UI Symbol" w:cs="Segoe UI Symbol"/>
          <w:sz w:val="32"/>
        </w:rPr>
        <w:t></w:t>
      </w:r>
      <w:r>
        <w:rPr>
          <w:rFonts w:ascii="Times New Roman" w:eastAsia="Times New Roman" w:hAnsi="Times New Roman" w:cs="Times New Roman"/>
          <w:i/>
          <w:sz w:val="24"/>
        </w:rPr>
        <w:t>z</w:t>
      </w:r>
      <w:r>
        <w:rPr>
          <w:rFonts w:ascii="Times New Roman" w:eastAsia="Times New Roman" w:hAnsi="Times New Roman" w:cs="Times New Roman"/>
          <w:i/>
          <w:sz w:val="14"/>
        </w:rPr>
        <w:t xml:space="preserve">k </w:t>
      </w:r>
      <w:r>
        <w:rPr>
          <w:rFonts w:ascii="Segoe UI Symbol" w:eastAsia="Segoe UI Symbol" w:hAnsi="Segoe UI Symbol" w:cs="Segoe UI Symbol"/>
          <w:sz w:val="24"/>
        </w:rPr>
        <w:t xml:space="preserve"> </w:t>
      </w:r>
      <w:r>
        <w:rPr>
          <w:rFonts w:ascii="Times New Roman" w:eastAsia="Times New Roman" w:hAnsi="Times New Roman" w:cs="Times New Roman"/>
          <w:i/>
          <w:sz w:val="24"/>
        </w:rPr>
        <w:t>z</w:t>
      </w:r>
      <w:r>
        <w:rPr>
          <w:rFonts w:ascii="Times New Roman" w:eastAsia="Times New Roman" w:hAnsi="Times New Roman" w:cs="Times New Roman"/>
          <w:i/>
          <w:sz w:val="14"/>
        </w:rPr>
        <w:t>k</w:t>
      </w:r>
      <w:r>
        <w:rPr>
          <w:rFonts w:ascii="Segoe UI Symbol" w:eastAsia="Segoe UI Symbol" w:hAnsi="Segoe UI Symbol" w:cs="Segoe UI Symbol"/>
          <w:sz w:val="14"/>
        </w:rPr>
        <w:t></w:t>
      </w:r>
      <w:r>
        <w:rPr>
          <w:rFonts w:ascii="Times New Roman" w:eastAsia="Times New Roman" w:hAnsi="Times New Roman" w:cs="Times New Roman"/>
          <w:sz w:val="14"/>
        </w:rPr>
        <w:t>1</w:t>
      </w:r>
      <w:r>
        <w:rPr>
          <w:rFonts w:ascii="Segoe UI Symbol" w:eastAsia="Segoe UI Symbol" w:hAnsi="Segoe UI Symbol" w:cs="Segoe UI Symbol"/>
          <w:sz w:val="32"/>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z</w:t>
      </w:r>
      <w:r>
        <w:rPr>
          <w:rFonts w:ascii="Times New Roman" w:eastAsia="Times New Roman" w:hAnsi="Times New Roman" w:cs="Times New Roman"/>
          <w:i/>
          <w:sz w:val="14"/>
        </w:rPr>
        <w:t xml:space="preserve">k </w:t>
      </w:r>
      <w:r>
        <w:rPr>
          <w:rFonts w:ascii="Segoe UI Symbol" w:eastAsia="Segoe UI Symbol" w:hAnsi="Segoe UI Symbol" w:cs="Segoe UI Symbol"/>
          <w:sz w:val="32"/>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Times New Roman" w:eastAsia="Times New Roman" w:hAnsi="Times New Roman" w:cs="Times New Roman"/>
          <w:sz w:val="24"/>
        </w:rPr>
        <w:t>2</w:t>
      </w:r>
      <w:r>
        <w:rPr>
          <w:rFonts w:ascii="Segoe UI Symbol" w:eastAsia="Segoe UI Symbol" w:hAnsi="Segoe UI Symbol" w:cs="Segoe UI Symbol"/>
          <w:sz w:val="32"/>
        </w:rPr>
        <w:t></w:t>
      </w:r>
      <w:r>
        <w:rPr>
          <w:rFonts w:ascii="Segoe UI Symbol" w:eastAsia="Segoe UI Symbol" w:hAnsi="Segoe UI Symbol" w:cs="Segoe UI Symbol"/>
          <w:sz w:val="26"/>
        </w:rPr>
        <w:t></w:t>
      </w:r>
      <w:r>
        <w:rPr>
          <w:rFonts w:ascii="Times New Roman" w:eastAsia="Times New Roman" w:hAnsi="Times New Roman" w:cs="Times New Roman"/>
          <w:sz w:val="24"/>
        </w:rPr>
        <w:t>1</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Segoe UI Symbol" w:eastAsia="Segoe UI Symbol" w:hAnsi="Segoe UI Symbol" w:cs="Segoe UI Symbol"/>
          <w:sz w:val="32"/>
        </w:rPr>
        <w:t></w:t>
      </w:r>
      <w:r>
        <w:rPr>
          <w:rFonts w:ascii="Times New Roman" w:eastAsia="Times New Roman" w:hAnsi="Times New Roman" w:cs="Times New Roman"/>
          <w:sz w:val="14"/>
        </w:rPr>
        <w:t xml:space="preserve">2 </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32"/>
        </w:rPr>
        <w:t></w:t>
      </w:r>
      <w:r>
        <w:rPr>
          <w:rFonts w:ascii="Segoe UI Symbol" w:eastAsia="Segoe UI Symbol" w:hAnsi="Segoe UI Symbol" w:cs="Segoe UI Symbol"/>
          <w:sz w:val="32"/>
        </w:rPr>
        <w:t></w:t>
      </w:r>
      <w:r>
        <w:rPr>
          <w:rFonts w:ascii="Times New Roman" w:eastAsia="Times New Roman" w:hAnsi="Times New Roman" w:cs="Times New Roman"/>
          <w:i/>
          <w:sz w:val="24"/>
        </w:rPr>
        <w:t>hh</w:t>
      </w:r>
      <w:r>
        <w:rPr>
          <w:rFonts w:ascii="Times New Roman" w:eastAsia="Times New Roman" w:hAnsi="Times New Roman" w:cs="Times New Roman"/>
          <w:sz w:val="14"/>
        </w:rPr>
        <w:t xml:space="preserve">00 </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sz w:val="24"/>
        </w:rPr>
        <w:t>2</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hl</w:t>
      </w:r>
      <w:r>
        <w:rPr>
          <w:rFonts w:ascii="Times New Roman" w:eastAsia="Times New Roman" w:hAnsi="Times New Roman" w:cs="Times New Roman"/>
          <w:sz w:val="14"/>
        </w:rPr>
        <w:t>1</w:t>
      </w:r>
      <w:r>
        <w:rPr>
          <w:rFonts w:ascii="Segoe UI Symbol" w:eastAsia="Segoe UI Symbol" w:hAnsi="Segoe UI Symbol" w:cs="Segoe UI Symbol"/>
          <w:sz w:val="32"/>
        </w:rPr>
        <w:t></w:t>
      </w:r>
      <w:r>
        <w:rPr>
          <w:rFonts w:ascii="Times New Roman" w:eastAsia="Times New Roman" w:hAnsi="Times New Roman" w:cs="Times New Roman"/>
          <w:i/>
          <w:sz w:val="24"/>
        </w:rPr>
        <w:t>l</w:t>
      </w:r>
      <w:r>
        <w:rPr>
          <w:rFonts w:ascii="Segoe UI Symbol" w:eastAsia="Segoe UI Symbol" w:hAnsi="Segoe UI Symbol" w:cs="Segoe UI Symbol"/>
          <w:sz w:val="32"/>
        </w:rPr>
        <w:t xml:space="preserve"> </w:t>
      </w:r>
      <w:r>
        <w:rPr>
          <w:rFonts w:ascii="Segoe UI Symbol" w:eastAsia="Segoe UI Symbol" w:hAnsi="Segoe UI Symbol" w:cs="Segoe UI Symbol"/>
          <w:sz w:val="32"/>
        </w:rPr>
        <w:t></w:t>
      </w:r>
      <w:r>
        <w:rPr>
          <w:rFonts w:ascii="Segoe UI Symbol" w:eastAsia="Segoe UI Symbol" w:hAnsi="Segoe UI Symbol" w:cs="Segoe UI Symbol"/>
          <w:sz w:val="32"/>
        </w:rPr>
        <w:t></w:t>
      </w:r>
      <w:r>
        <w:rPr>
          <w:rFonts w:ascii="Times New Roman" w:eastAsia="Times New Roman" w:hAnsi="Times New Roman" w:cs="Times New Roman"/>
          <w:i/>
          <w:sz w:val="24"/>
        </w:rPr>
        <w:t>hh</w:t>
      </w:r>
      <w:r>
        <w:rPr>
          <w:rFonts w:ascii="Times New Roman" w:eastAsia="Times New Roman" w:hAnsi="Times New Roman" w:cs="Times New Roman"/>
          <w:sz w:val="14"/>
        </w:rPr>
        <w:t xml:space="preserve">00 </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sz w:val="24"/>
        </w:rPr>
        <w:t>2</w:t>
      </w:r>
      <w:r>
        <w:rPr>
          <w:rFonts w:ascii="Segoe UI Symbol" w:eastAsia="Segoe UI Symbol" w:hAnsi="Segoe UI Symbol" w:cs="Segoe UI Symbol"/>
          <w:sz w:val="26"/>
        </w:rPr>
        <w:t></w:t>
      </w:r>
      <w:r>
        <w:rPr>
          <w:rFonts w:ascii="Times New Roman" w:eastAsia="Times New Roman" w:hAnsi="Times New Roman" w:cs="Times New Roman"/>
          <w:i/>
          <w:sz w:val="24"/>
        </w:rPr>
        <w:t>hhz</w:t>
      </w:r>
      <w:r>
        <w:rPr>
          <w:rFonts w:ascii="Times New Roman" w:eastAsia="Times New Roman" w:hAnsi="Times New Roman" w:cs="Times New Roman"/>
          <w:sz w:val="14"/>
        </w:rPr>
        <w:t>1</w:t>
      </w:r>
      <w:r>
        <w:rPr>
          <w:rFonts w:ascii="Times New Roman" w:eastAsia="Times New Roman" w:hAnsi="Times New Roman" w:cs="Times New Roman"/>
          <w:i/>
          <w:sz w:val="24"/>
        </w:rPr>
        <w:t>z</w:t>
      </w:r>
      <w:r>
        <w:rPr>
          <w:rFonts w:ascii="Segoe UI Symbol" w:eastAsia="Segoe UI Symbol" w:hAnsi="Segoe UI Symbol" w:cs="Segoe UI Symbol"/>
          <w:sz w:val="32"/>
        </w:rPr>
        <w:t></w:t>
      </w:r>
      <w:r>
        <w:rPr>
          <w:rFonts w:ascii="Times New Roman" w:eastAsia="Times New Roman" w:hAnsi="Times New Roman" w:cs="Times New Roman"/>
          <w:i/>
          <w:sz w:val="14"/>
        </w:rPr>
        <w:t xml:space="preserve">k </w:t>
      </w:r>
      <w:r>
        <w:rPr>
          <w:rFonts w:ascii="Segoe UI Symbol" w:eastAsia="Segoe UI Symbol" w:hAnsi="Segoe UI Symbol" w:cs="Segoe UI Symbol"/>
          <w:sz w:val="32"/>
        </w:rPr>
        <w:t></w:t>
      </w:r>
      <w:r>
        <w:rPr>
          <w:rFonts w:ascii="Segoe UI Symbol" w:eastAsia="Segoe UI Symbol" w:hAnsi="Segoe UI Symbol" w:cs="Segoe UI Symbol"/>
          <w:sz w:val="24"/>
        </w:rPr>
        <w:t xml:space="preserve"> </w:t>
      </w:r>
      <w:r>
        <w:rPr>
          <w:rFonts w:ascii="Times New Roman" w:eastAsia="Times New Roman" w:hAnsi="Times New Roman" w:cs="Times New Roman"/>
          <w:sz w:val="24"/>
        </w:rPr>
        <w:t xml:space="preserve">2 </w:t>
      </w:r>
      <w:r>
        <w:rPr>
          <w:rFonts w:ascii="Times New Roman" w:eastAsia="Times New Roman" w:hAnsi="Times New Roman" w:cs="Times New Roman"/>
          <w:i/>
          <w:sz w:val="24"/>
        </w:rPr>
        <w:t>z</w:t>
      </w:r>
      <w:r>
        <w:rPr>
          <w:rFonts w:ascii="Times New Roman" w:eastAsia="Times New Roman" w:hAnsi="Times New Roman" w:cs="Times New Roman"/>
          <w:i/>
          <w:sz w:val="14"/>
        </w:rPr>
        <w:t xml:space="preserve">k </w:t>
      </w:r>
      <w:r>
        <w:rPr>
          <w:rFonts w:ascii="Segoe UI Symbol" w:eastAsia="Segoe UI Symbol" w:hAnsi="Segoe UI Symbol" w:cs="Segoe UI Symbol"/>
          <w:sz w:val="24"/>
        </w:rPr>
        <w:t></w:t>
      </w:r>
      <w:r>
        <w:rPr>
          <w:rFonts w:ascii="Segoe UI Symbol" w:eastAsia="Segoe UI Symbol" w:hAnsi="Segoe UI Symbol" w:cs="Segoe UI Symbol"/>
          <w:sz w:val="24"/>
        </w:rPr>
        <w:t xml:space="preserve"> </w:t>
      </w:r>
      <w:r>
        <w:rPr>
          <w:rFonts w:ascii="Times New Roman" w:eastAsia="Times New Roman" w:hAnsi="Times New Roman" w:cs="Times New Roman"/>
          <w:sz w:val="24"/>
        </w:rPr>
        <w:t xml:space="preserve">1 </w:t>
      </w:r>
      <w:r>
        <w:rPr>
          <w:rFonts w:ascii="Times New Roman" w:eastAsia="Times New Roman" w:hAnsi="Times New Roman" w:cs="Times New Roman"/>
          <w:sz w:val="14"/>
        </w:rPr>
        <w:t xml:space="preserve">2 </w:t>
      </w:r>
      <w:r>
        <w:rPr>
          <w:rFonts w:ascii="Segoe UI Symbol" w:eastAsia="Segoe UI Symbol" w:hAnsi="Segoe UI Symbol" w:cs="Segoe UI Symbol"/>
          <w:sz w:val="24"/>
        </w:rPr>
        <w:t xml:space="preserve"> </w:t>
      </w:r>
      <w:r>
        <w:rPr>
          <w:rFonts w:ascii="Times New Roman" w:eastAsia="Times New Roman" w:hAnsi="Times New Roman" w:cs="Times New Roman"/>
          <w:i/>
          <w:sz w:val="14"/>
        </w:rPr>
        <w:t xml:space="preserve">k </w:t>
      </w:r>
      <w:r>
        <w:rPr>
          <w:rFonts w:ascii="Times New Roman" w:eastAsia="Times New Roman" w:hAnsi="Times New Roman" w:cs="Times New Roman"/>
          <w:sz w:val="14"/>
        </w:rPr>
        <w:t xml:space="preserve">1 </w:t>
      </w:r>
      <w:r>
        <w:rPr>
          <w:rFonts w:ascii="Segoe UI Symbol" w:eastAsia="Segoe UI Symbol" w:hAnsi="Segoe UI Symbol" w:cs="Segoe UI Symbol"/>
          <w:sz w:val="24"/>
        </w:rPr>
        <w:t xml:space="preserve"> </w:t>
      </w:r>
      <w:r>
        <w:rPr>
          <w:rFonts w:ascii="Times New Roman" w:eastAsia="Times New Roman" w:hAnsi="Times New Roman" w:cs="Times New Roman"/>
          <w:sz w:val="14"/>
        </w:rPr>
        <w:t xml:space="preserve">2 2 </w:t>
      </w:r>
      <w:r>
        <w:rPr>
          <w:rFonts w:ascii="Segoe UI Symbol" w:eastAsia="Segoe UI Symbol" w:hAnsi="Segoe UI Symbol" w:cs="Segoe UI Symbol"/>
          <w:sz w:val="24"/>
        </w:rPr>
        <w:t></w:t>
      </w:r>
      <w:r>
        <w:rPr>
          <w:rFonts w:ascii="Segoe UI Symbol" w:eastAsia="Segoe UI Symbol" w:hAnsi="Segoe UI Symbol" w:cs="Segoe UI Symbol"/>
          <w:sz w:val="24"/>
        </w:rPr>
        <w:t xml:space="preserve"> </w:t>
      </w:r>
      <w:r>
        <w:rPr>
          <w:rFonts w:ascii="Segoe UI Symbol" w:eastAsia="Segoe UI Symbol" w:hAnsi="Segoe UI Symbol" w:cs="Segoe UI Symbol"/>
          <w:sz w:val="32"/>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Segoe UI Symbol" w:eastAsia="Segoe UI Symbol" w:hAnsi="Segoe UI Symbol" w:cs="Segoe UI Symbol"/>
          <w:sz w:val="32"/>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l</w:t>
      </w:r>
      <w:r>
        <w:rPr>
          <w:rFonts w:ascii="Segoe UI Symbol" w:eastAsia="Segoe UI Symbol" w:hAnsi="Segoe UI Symbol" w:cs="Segoe UI Symbol"/>
          <w:sz w:val="32"/>
        </w:rPr>
        <w:t></w:t>
      </w:r>
      <w:r>
        <w:rPr>
          <w:rFonts w:ascii="Times New Roman" w:eastAsia="Times New Roman" w:hAnsi="Times New Roman" w:cs="Times New Roman"/>
          <w:sz w:val="24"/>
        </w:rPr>
        <w:t xml:space="preserve"> </w:t>
      </w:r>
    </w:p>
    <w:p w:rsidR="0052701D" w:rsidRDefault="00D40929">
      <w:pPr>
        <w:spacing w:after="328"/>
        <w:ind w:left="2391" w:hanging="10"/>
        <w:jc w:val="center"/>
      </w:pPr>
      <w:r>
        <w:rPr>
          <w:rFonts w:ascii="Times New Roman" w:eastAsia="Times New Roman" w:hAnsi="Times New Roman" w:cs="Times New Roman"/>
          <w:sz w:val="14"/>
        </w:rPr>
        <w:t xml:space="preserve">1 </w:t>
      </w:r>
      <w:r>
        <w:rPr>
          <w:rFonts w:ascii="Times New Roman" w:eastAsia="Times New Roman" w:hAnsi="Times New Roman" w:cs="Times New Roman"/>
          <w:i/>
          <w:sz w:val="14"/>
        </w:rPr>
        <w:t xml:space="preserve">k </w:t>
      </w:r>
      <w:r>
        <w:rPr>
          <w:rFonts w:ascii="Segoe UI Symbol" w:eastAsia="Segoe UI Symbol" w:hAnsi="Segoe UI Symbol" w:cs="Segoe UI Symbol"/>
          <w:sz w:val="24"/>
        </w:rPr>
        <w:t></w:t>
      </w:r>
      <w:r>
        <w:rPr>
          <w:rFonts w:ascii="Segoe UI Symbol" w:eastAsia="Segoe UI Symbol" w:hAnsi="Segoe UI Symbol" w:cs="Segoe UI Symbol"/>
          <w:sz w:val="24"/>
        </w:rPr>
        <w:t></w:t>
      </w:r>
    </w:p>
    <w:p w:rsidR="0052701D" w:rsidRDefault="00D40929">
      <w:pPr>
        <w:numPr>
          <w:ilvl w:val="0"/>
          <w:numId w:val="8"/>
        </w:numPr>
        <w:spacing w:after="229" w:line="258" w:lineRule="auto"/>
        <w:ind w:hanging="1222"/>
      </w:pPr>
      <w:r>
        <w:rPr>
          <w:noProof/>
        </w:rPr>
        <mc:AlternateContent>
          <mc:Choice Requires="wpg">
            <w:drawing>
              <wp:anchor distT="0" distB="0" distL="114300" distR="114300" simplePos="0" relativeHeight="251705344" behindDoc="0" locked="0" layoutInCell="1" allowOverlap="1">
                <wp:simplePos x="0" y="0"/>
                <wp:positionH relativeFrom="column">
                  <wp:posOffset>2414141</wp:posOffset>
                </wp:positionH>
                <wp:positionV relativeFrom="paragraph">
                  <wp:posOffset>130690</wp:posOffset>
                </wp:positionV>
                <wp:extent cx="2863424" cy="6147"/>
                <wp:effectExtent l="0" t="0" r="0" b="0"/>
                <wp:wrapNone/>
                <wp:docPr id="917503" name="Group 917503"/>
                <wp:cNvGraphicFramePr/>
                <a:graphic xmlns:a="http://schemas.openxmlformats.org/drawingml/2006/main">
                  <a:graphicData uri="http://schemas.microsoft.com/office/word/2010/wordprocessingGroup">
                    <wpg:wgp>
                      <wpg:cNvGrpSpPr/>
                      <wpg:grpSpPr>
                        <a:xfrm>
                          <a:off x="0" y="0"/>
                          <a:ext cx="2863424" cy="6147"/>
                          <a:chOff x="0" y="0"/>
                          <a:chExt cx="2863424" cy="6147"/>
                        </a:xfrm>
                      </wpg:grpSpPr>
                      <wps:wsp>
                        <wps:cNvPr id="9706" name="Shape 9706"/>
                        <wps:cNvSpPr/>
                        <wps:spPr>
                          <a:xfrm>
                            <a:off x="0" y="0"/>
                            <a:ext cx="451626" cy="0"/>
                          </a:xfrm>
                          <a:custGeom>
                            <a:avLst/>
                            <a:gdLst/>
                            <a:ahLst/>
                            <a:cxnLst/>
                            <a:rect l="0" t="0" r="0" b="0"/>
                            <a:pathLst>
                              <a:path w="451626">
                                <a:moveTo>
                                  <a:pt x="0" y="0"/>
                                </a:moveTo>
                                <a:lnTo>
                                  <a:pt x="451626" y="0"/>
                                </a:lnTo>
                              </a:path>
                            </a:pathLst>
                          </a:custGeom>
                          <a:ln w="6147" cap="flat">
                            <a:round/>
                          </a:ln>
                        </wps:spPr>
                        <wps:style>
                          <a:lnRef idx="1">
                            <a:srgbClr val="000000"/>
                          </a:lnRef>
                          <a:fillRef idx="0">
                            <a:srgbClr val="000000">
                              <a:alpha val="0"/>
                            </a:srgbClr>
                          </a:fillRef>
                          <a:effectRef idx="0">
                            <a:scrgbClr r="0" g="0" b="0"/>
                          </a:effectRef>
                          <a:fontRef idx="none"/>
                        </wps:style>
                        <wps:bodyPr/>
                      </wps:wsp>
                      <wps:wsp>
                        <wps:cNvPr id="9711" name="Shape 9711"/>
                        <wps:cNvSpPr/>
                        <wps:spPr>
                          <a:xfrm>
                            <a:off x="544701" y="0"/>
                            <a:ext cx="698740" cy="0"/>
                          </a:xfrm>
                          <a:custGeom>
                            <a:avLst/>
                            <a:gdLst/>
                            <a:ahLst/>
                            <a:cxnLst/>
                            <a:rect l="0" t="0" r="0" b="0"/>
                            <a:pathLst>
                              <a:path w="698740">
                                <a:moveTo>
                                  <a:pt x="0" y="0"/>
                                </a:moveTo>
                                <a:lnTo>
                                  <a:pt x="698740" y="0"/>
                                </a:lnTo>
                              </a:path>
                            </a:pathLst>
                          </a:custGeom>
                          <a:ln w="6147" cap="flat">
                            <a:round/>
                          </a:ln>
                        </wps:spPr>
                        <wps:style>
                          <a:lnRef idx="1">
                            <a:srgbClr val="000000"/>
                          </a:lnRef>
                          <a:fillRef idx="0">
                            <a:srgbClr val="000000">
                              <a:alpha val="0"/>
                            </a:srgbClr>
                          </a:fillRef>
                          <a:effectRef idx="0">
                            <a:scrgbClr r="0" g="0" b="0"/>
                          </a:effectRef>
                          <a:fontRef idx="none"/>
                        </wps:style>
                        <wps:bodyPr/>
                      </wps:wsp>
                      <wps:wsp>
                        <wps:cNvPr id="9716" name="Shape 9716"/>
                        <wps:cNvSpPr/>
                        <wps:spPr>
                          <a:xfrm>
                            <a:off x="1368872" y="0"/>
                            <a:ext cx="883514" cy="0"/>
                          </a:xfrm>
                          <a:custGeom>
                            <a:avLst/>
                            <a:gdLst/>
                            <a:ahLst/>
                            <a:cxnLst/>
                            <a:rect l="0" t="0" r="0" b="0"/>
                            <a:pathLst>
                              <a:path w="883514">
                                <a:moveTo>
                                  <a:pt x="0" y="0"/>
                                </a:moveTo>
                                <a:lnTo>
                                  <a:pt x="883514" y="0"/>
                                </a:lnTo>
                              </a:path>
                            </a:pathLst>
                          </a:custGeom>
                          <a:ln w="6147" cap="flat">
                            <a:round/>
                          </a:ln>
                        </wps:spPr>
                        <wps:style>
                          <a:lnRef idx="1">
                            <a:srgbClr val="000000"/>
                          </a:lnRef>
                          <a:fillRef idx="0">
                            <a:srgbClr val="000000">
                              <a:alpha val="0"/>
                            </a:srgbClr>
                          </a:fillRef>
                          <a:effectRef idx="0">
                            <a:scrgbClr r="0" g="0" b="0"/>
                          </a:effectRef>
                          <a:fontRef idx="none"/>
                        </wps:style>
                        <wps:bodyPr/>
                      </wps:wsp>
                      <wps:wsp>
                        <wps:cNvPr id="9719" name="Shape 9719"/>
                        <wps:cNvSpPr/>
                        <wps:spPr>
                          <a:xfrm>
                            <a:off x="2566712" y="0"/>
                            <a:ext cx="296712" cy="0"/>
                          </a:xfrm>
                          <a:custGeom>
                            <a:avLst/>
                            <a:gdLst/>
                            <a:ahLst/>
                            <a:cxnLst/>
                            <a:rect l="0" t="0" r="0" b="0"/>
                            <a:pathLst>
                              <a:path w="296712">
                                <a:moveTo>
                                  <a:pt x="0" y="0"/>
                                </a:moveTo>
                                <a:lnTo>
                                  <a:pt x="296712" y="0"/>
                                </a:lnTo>
                              </a:path>
                            </a:pathLst>
                          </a:custGeom>
                          <a:ln w="6147"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7503" style="width:225.466pt;height:0.483977pt;position:absolute;z-index:1377;mso-position-horizontal-relative:text;mso-position-horizontal:absolute;margin-left:190.09pt;mso-position-vertical-relative:text;margin-top:10.2906pt;" coordsize="28634,61">
                <v:shape id="Shape 9706" style="position:absolute;width:4516;height:0;left:0;top:0;" coordsize="451626,0" path="m0,0l451626,0">
                  <v:stroke weight="0.483977pt" endcap="flat" joinstyle="round" on="true" color="#000000"/>
                  <v:fill on="false" color="#000000" opacity="0"/>
                </v:shape>
                <v:shape id="Shape 9711" style="position:absolute;width:6987;height:0;left:5447;top:0;" coordsize="698740,0" path="m0,0l698740,0">
                  <v:stroke weight="0.483977pt" endcap="flat" joinstyle="round" on="true" color="#000000"/>
                  <v:fill on="false" color="#000000" opacity="0"/>
                </v:shape>
                <v:shape id="Shape 9716" style="position:absolute;width:8835;height:0;left:13688;top:0;" coordsize="883514,0" path="m0,0l883514,0">
                  <v:stroke weight="0.483977pt" endcap="flat" joinstyle="round" on="true" color="#000000"/>
                  <v:fill on="false" color="#000000" opacity="0"/>
                </v:shape>
                <v:shape id="Shape 9719" style="position:absolute;width:2967;height:0;left:25667;top:0;" coordsize="296712,0" path="m0,0l296712,0">
                  <v:stroke weight="0.483977pt" endcap="flat" joinstyle="round" on="true" color="#000000"/>
                  <v:fill on="false" color="#000000" opacity="0"/>
                </v:shape>
              </v:group>
            </w:pict>
          </mc:Fallback>
        </mc:AlternateContent>
      </w:r>
      <w:r>
        <w:rPr>
          <w:noProof/>
        </w:rPr>
        <mc:AlternateContent>
          <mc:Choice Requires="wpg">
            <w:drawing>
              <wp:inline distT="0" distB="0" distL="0" distR="0">
                <wp:extent cx="796674" cy="6147"/>
                <wp:effectExtent l="0" t="0" r="0" b="0"/>
                <wp:docPr id="917502" name="Group 917502"/>
                <wp:cNvGraphicFramePr/>
                <a:graphic xmlns:a="http://schemas.openxmlformats.org/drawingml/2006/main">
                  <a:graphicData uri="http://schemas.microsoft.com/office/word/2010/wordprocessingGroup">
                    <wpg:wgp>
                      <wpg:cNvGrpSpPr/>
                      <wpg:grpSpPr>
                        <a:xfrm>
                          <a:off x="0" y="0"/>
                          <a:ext cx="796674" cy="6147"/>
                          <a:chOff x="0" y="0"/>
                          <a:chExt cx="796674" cy="6147"/>
                        </a:xfrm>
                      </wpg:grpSpPr>
                      <wps:wsp>
                        <wps:cNvPr id="9699" name="Shape 9699"/>
                        <wps:cNvSpPr/>
                        <wps:spPr>
                          <a:xfrm>
                            <a:off x="0" y="0"/>
                            <a:ext cx="796674" cy="0"/>
                          </a:xfrm>
                          <a:custGeom>
                            <a:avLst/>
                            <a:gdLst/>
                            <a:ahLst/>
                            <a:cxnLst/>
                            <a:rect l="0" t="0" r="0" b="0"/>
                            <a:pathLst>
                              <a:path w="796674">
                                <a:moveTo>
                                  <a:pt x="0" y="0"/>
                                </a:moveTo>
                                <a:lnTo>
                                  <a:pt x="796674" y="0"/>
                                </a:lnTo>
                              </a:path>
                            </a:pathLst>
                          </a:custGeom>
                          <a:ln w="614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7502" style="width:62.7302pt;height:0.483977pt;mso-position-horizontal-relative:char;mso-position-vertical-relative:line" coordsize="7966,61">
                <v:shape id="Shape 9699" style="position:absolute;width:7966;height:0;left:0;top:0;" coordsize="796674,0" path="m0,0l796674,0">
                  <v:stroke weight="0.483977pt" endcap="flat" joinstyle="round" on="true" color="#000000"/>
                  <v:fill on="false" color="#000000" opacity="0"/>
                </v:shape>
              </v:group>
            </w:pict>
          </mc:Fallback>
        </mc:AlternateContent>
      </w:r>
      <w:r>
        <w:rPr>
          <w:rFonts w:ascii="Times New Roman" w:eastAsia="Times New Roman" w:hAnsi="Times New Roman" w:cs="Times New Roman"/>
          <w:sz w:val="24"/>
        </w:rPr>
        <w:t>1</w:t>
      </w:r>
      <w:r>
        <w:rPr>
          <w:rFonts w:ascii="Times New Roman" w:eastAsia="Times New Roman" w:hAnsi="Times New Roman" w:cs="Times New Roman"/>
          <w:sz w:val="24"/>
        </w:rPr>
        <w:tab/>
      </w:r>
      <w:r>
        <w:rPr>
          <w:rFonts w:ascii="Times New Roman" w:eastAsia="Times New Roman" w:hAnsi="Times New Roman" w:cs="Times New Roman"/>
          <w:vertAlign w:val="subscript"/>
        </w:rPr>
        <w:t xml:space="preserve">2 </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Times New Roman" w:eastAsia="Times New Roman" w:hAnsi="Times New Roman" w:cs="Times New Roman"/>
          <w:i/>
          <w:sz w:val="24"/>
        </w:rPr>
        <w:t>u</w:t>
      </w:r>
      <w:r>
        <w:rPr>
          <w:rFonts w:ascii="Segoe UI Symbol" w:eastAsia="Segoe UI Symbol" w:hAnsi="Segoe UI Symbol" w:cs="Segoe UI Symbol"/>
          <w:sz w:val="32"/>
        </w:rPr>
        <w:t></w:t>
      </w:r>
      <w:r>
        <w:rPr>
          <w:rFonts w:ascii="Times New Roman" w:eastAsia="Times New Roman" w:hAnsi="Times New Roman" w:cs="Times New Roman"/>
          <w:i/>
          <w:sz w:val="24"/>
        </w:rPr>
        <w:t>z</w:t>
      </w:r>
      <w:r>
        <w:rPr>
          <w:rFonts w:ascii="Times New Roman" w:eastAsia="Times New Roman" w:hAnsi="Times New Roman" w:cs="Times New Roman"/>
          <w:i/>
          <w:vertAlign w:val="subscript"/>
        </w:rPr>
        <w:t xml:space="preserve">k </w:t>
      </w:r>
      <w:r>
        <w:rPr>
          <w:rFonts w:ascii="Segoe UI Symbol" w:eastAsia="Segoe UI Symbol" w:hAnsi="Segoe UI Symbol" w:cs="Segoe UI Symbol"/>
          <w:sz w:val="32"/>
        </w:rPr>
        <w:t></w:t>
      </w:r>
      <w:r>
        <w:rPr>
          <w:rFonts w:ascii="Segoe UI Symbol" w:eastAsia="Segoe UI Symbol" w:hAnsi="Segoe UI Symbol" w:cs="Segoe UI Symbol"/>
          <w:sz w:val="24"/>
        </w:rPr>
        <w:t></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vertAlign w:val="subscript"/>
        </w:rPr>
        <w:t xml:space="preserve">0 </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vertAlign w:val="subscript"/>
        </w:rPr>
        <w:t>1</w:t>
      </w:r>
      <w:r>
        <w:rPr>
          <w:rFonts w:ascii="Times New Roman" w:eastAsia="Times New Roman" w:hAnsi="Times New Roman" w:cs="Times New Roman"/>
          <w:i/>
          <w:sz w:val="24"/>
        </w:rPr>
        <w:t>z</w:t>
      </w:r>
      <w:r>
        <w:rPr>
          <w:rFonts w:ascii="Times New Roman" w:eastAsia="Times New Roman" w:hAnsi="Times New Roman" w:cs="Times New Roman"/>
          <w:i/>
          <w:vertAlign w:val="subscript"/>
        </w:rPr>
        <w:t>k</w:t>
      </w:r>
      <w:r>
        <w:rPr>
          <w:rFonts w:ascii="Segoe UI Symbol" w:eastAsia="Segoe UI Symbol" w:hAnsi="Segoe UI Symbol" w:cs="Segoe UI Symbol"/>
          <w:sz w:val="14"/>
        </w:rPr>
        <w:t></w:t>
      </w:r>
      <w:r>
        <w:rPr>
          <w:rFonts w:ascii="Times New Roman" w:eastAsia="Times New Roman" w:hAnsi="Times New Roman" w:cs="Times New Roman"/>
          <w:vertAlign w:val="subscript"/>
        </w:rPr>
        <w:t xml:space="preserve">1 </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ab/>
      </w:r>
      <w:r>
        <w:rPr>
          <w:rFonts w:ascii="Times New Roman" w:eastAsia="Times New Roman" w:hAnsi="Times New Roman" w:cs="Times New Roman"/>
          <w:sz w:val="24"/>
        </w:rPr>
        <w:t>1</w:t>
      </w:r>
      <w:r>
        <w:rPr>
          <w:rFonts w:ascii="Times New Roman" w:eastAsia="Times New Roman" w:hAnsi="Times New Roman" w:cs="Times New Roman"/>
          <w:sz w:val="24"/>
        </w:rPr>
        <w:tab/>
      </w:r>
      <w:r>
        <w:rPr>
          <w:rFonts w:ascii="Segoe UI Symbol" w:eastAsia="Segoe UI Symbol" w:hAnsi="Segoe UI Symbol" w:cs="Segoe UI Symbol"/>
          <w:sz w:val="24"/>
        </w:rPr>
        <w:t></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24"/>
        </w:rPr>
        <w:t xml:space="preserve"> </w:t>
      </w:r>
      <w:r>
        <w:rPr>
          <w:rFonts w:ascii="Times New Roman" w:eastAsia="Times New Roman" w:hAnsi="Times New Roman" w:cs="Times New Roman"/>
          <w:sz w:val="24"/>
        </w:rPr>
        <w:t>2</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l</w:t>
      </w:r>
      <w:r>
        <w:rPr>
          <w:rFonts w:ascii="Segoe UI Symbol" w:eastAsia="Segoe UI Symbol" w:hAnsi="Segoe UI Symbol" w:cs="Segoe UI Symbol"/>
          <w:sz w:val="32"/>
        </w:rPr>
        <w:t xml:space="preserve"> </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24"/>
        </w:rPr>
        <w:t xml:space="preserve"> </w:t>
      </w:r>
      <w:r>
        <w:rPr>
          <w:rFonts w:ascii="Times New Roman" w:eastAsia="Times New Roman" w:hAnsi="Times New Roman" w:cs="Times New Roman"/>
          <w:sz w:val="24"/>
        </w:rPr>
        <w:t>2</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z</w:t>
      </w:r>
      <w:r>
        <w:rPr>
          <w:rFonts w:ascii="Times New Roman" w:eastAsia="Times New Roman" w:hAnsi="Times New Roman" w:cs="Times New Roman"/>
          <w:i/>
          <w:sz w:val="14"/>
        </w:rPr>
        <w:t>k</w:t>
      </w:r>
      <w:r>
        <w:rPr>
          <w:rFonts w:ascii="Segoe UI Symbol" w:eastAsia="Segoe UI Symbol" w:hAnsi="Segoe UI Symbol" w:cs="Segoe UI Symbol"/>
          <w:sz w:val="14"/>
        </w:rPr>
        <w:t></w:t>
      </w:r>
      <w:r>
        <w:rPr>
          <w:rFonts w:ascii="Times New Roman" w:eastAsia="Times New Roman" w:hAnsi="Times New Roman" w:cs="Times New Roman"/>
          <w:sz w:val="14"/>
        </w:rPr>
        <w:t>1</w:t>
      </w:r>
      <w:r>
        <w:rPr>
          <w:rFonts w:ascii="Segoe UI Symbol" w:eastAsia="Segoe UI Symbol" w:hAnsi="Segoe UI Symbol" w:cs="Segoe UI Symbol"/>
          <w:sz w:val="32"/>
        </w:rPr>
        <w:t></w:t>
      </w:r>
      <w:r>
        <w:rPr>
          <w:rFonts w:ascii="Segoe UI Symbol" w:eastAsia="Segoe UI Symbol" w:hAnsi="Segoe UI Symbol" w:cs="Segoe UI Symbol"/>
          <w:sz w:val="24"/>
        </w:rPr>
        <w:t xml:space="preserve"> </w:t>
      </w:r>
      <w:r>
        <w:rPr>
          <w:rFonts w:ascii="Times New Roman" w:eastAsia="Times New Roman" w:hAnsi="Times New Roman" w:cs="Times New Roman"/>
          <w:sz w:val="24"/>
        </w:rPr>
        <w:t xml:space="preserve">2 </w:t>
      </w:r>
      <w:r>
        <w:rPr>
          <w:rFonts w:ascii="Times New Roman" w:eastAsia="Times New Roman" w:hAnsi="Times New Roman" w:cs="Times New Roman"/>
          <w:i/>
          <w:sz w:val="24"/>
        </w:rPr>
        <w:t>z</w:t>
      </w:r>
      <w:r>
        <w:rPr>
          <w:rFonts w:ascii="Times New Roman" w:eastAsia="Times New Roman" w:hAnsi="Times New Roman" w:cs="Times New Roman"/>
          <w:i/>
          <w:sz w:val="14"/>
        </w:rPr>
        <w:t>k</w:t>
      </w:r>
      <w:r>
        <w:rPr>
          <w:rFonts w:ascii="Segoe UI Symbol" w:eastAsia="Segoe UI Symbol" w:hAnsi="Segoe UI Symbol" w:cs="Segoe UI Symbol"/>
          <w:sz w:val="14"/>
        </w:rPr>
        <w:t></w:t>
      </w:r>
      <w:r>
        <w:rPr>
          <w:rFonts w:ascii="Times New Roman" w:eastAsia="Times New Roman" w:hAnsi="Times New Roman" w:cs="Times New Roman"/>
          <w:sz w:val="14"/>
        </w:rPr>
        <w:t xml:space="preserve">1 </w:t>
      </w:r>
      <w:r>
        <w:rPr>
          <w:rFonts w:ascii="Segoe UI Symbol" w:eastAsia="Segoe UI Symbol" w:hAnsi="Segoe UI Symbol" w:cs="Segoe UI Symbol"/>
          <w:sz w:val="24"/>
        </w:rPr>
        <w:t></w:t>
      </w:r>
    </w:p>
    <w:p w:rsidR="0052701D" w:rsidRDefault="00D40929">
      <w:pPr>
        <w:tabs>
          <w:tab w:val="center" w:pos="973"/>
          <w:tab w:val="center" w:pos="5967"/>
        </w:tabs>
        <w:spacing w:after="125" w:line="258" w:lineRule="auto"/>
      </w:pPr>
      <w:r>
        <w:tab/>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vertAlign w:val="subscript"/>
        </w:rPr>
        <w:t xml:space="preserve">0 </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vertAlign w:val="subscript"/>
        </w:rPr>
        <w:t>1</w:t>
      </w:r>
      <w:r>
        <w:rPr>
          <w:rFonts w:ascii="Times New Roman" w:eastAsia="Times New Roman" w:hAnsi="Times New Roman" w:cs="Times New Roman"/>
          <w:i/>
          <w:sz w:val="24"/>
        </w:rPr>
        <w:t>z</w:t>
      </w:r>
      <w:r>
        <w:rPr>
          <w:rFonts w:ascii="Times New Roman" w:eastAsia="Times New Roman" w:hAnsi="Times New Roman" w:cs="Times New Roman"/>
          <w:i/>
          <w:vertAlign w:val="subscript"/>
        </w:rPr>
        <w:t xml:space="preserve">k </w:t>
      </w:r>
      <w:r>
        <w:rPr>
          <w:rFonts w:ascii="Segoe UI Symbol" w:eastAsia="Segoe UI Symbol" w:hAnsi="Segoe UI Symbol" w:cs="Segoe UI Symbol"/>
          <w:sz w:val="32"/>
        </w:rPr>
        <w:t xml:space="preserve"> </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37"/>
          <w:vertAlign w:val="subscript"/>
        </w:rPr>
        <w:t></w:t>
      </w:r>
      <w:r>
        <w:rPr>
          <w:rFonts w:ascii="Segoe UI Symbol" w:eastAsia="Segoe UI Symbol" w:hAnsi="Segoe UI Symbol" w:cs="Segoe UI Symbol"/>
          <w:sz w:val="37"/>
          <w:vertAlign w:val="subscript"/>
        </w:rPr>
        <w:tab/>
      </w:r>
      <w:r>
        <w:rPr>
          <w:rFonts w:ascii="Segoe UI Symbol" w:eastAsia="Segoe UI Symbol" w:hAnsi="Segoe UI Symbol" w:cs="Segoe UI Symbol"/>
          <w:sz w:val="32"/>
        </w:rPr>
        <w:t></w:t>
      </w:r>
      <w:r>
        <w:rPr>
          <w:rFonts w:ascii="Segoe UI Symbol" w:eastAsia="Segoe UI Symbol" w:hAnsi="Segoe UI Symbol" w:cs="Segoe UI Symbol"/>
          <w:sz w:val="24"/>
        </w:rPr>
        <w:t></w:t>
      </w:r>
      <w:r>
        <w:rPr>
          <w:rFonts w:ascii="Segoe UI Symbol" w:eastAsia="Segoe UI Symbol" w:hAnsi="Segoe UI Symbol" w:cs="Segoe UI Symbol"/>
          <w:sz w:val="37"/>
          <w:vertAlign w:val="subscript"/>
        </w:rPr>
        <w:t></w:t>
      </w:r>
      <w:r>
        <w:rPr>
          <w:rFonts w:ascii="Segoe UI Symbol" w:eastAsia="Segoe UI Symbol" w:hAnsi="Segoe UI Symbol" w:cs="Segoe UI Symbol"/>
          <w:sz w:val="24"/>
        </w:rPr>
        <w:t></w:t>
      </w:r>
      <w:r>
        <w:rPr>
          <w:rFonts w:ascii="Times New Roman" w:eastAsia="Times New Roman" w:hAnsi="Times New Roman" w:cs="Times New Roman"/>
          <w:sz w:val="24"/>
        </w:rPr>
        <w:t>2</w:t>
      </w:r>
      <w:r>
        <w:rPr>
          <w:rFonts w:ascii="Segoe UI Symbol" w:eastAsia="Segoe UI Symbol" w:hAnsi="Segoe UI Symbol" w:cs="Segoe UI Symbol"/>
          <w:sz w:val="32"/>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vertAlign w:val="subscript"/>
        </w:rPr>
        <w:t>1</w:t>
      </w:r>
      <w:r>
        <w:rPr>
          <w:rFonts w:ascii="Segoe UI Symbol" w:eastAsia="Segoe UI Symbol" w:hAnsi="Segoe UI Symbol" w:cs="Segoe UI Symbol"/>
          <w:sz w:val="32"/>
        </w:rPr>
        <w:t></w:t>
      </w:r>
      <w:r>
        <w:rPr>
          <w:rFonts w:ascii="Times New Roman" w:eastAsia="Times New Roman" w:hAnsi="Times New Roman" w:cs="Times New Roman"/>
          <w:sz w:val="14"/>
        </w:rPr>
        <w:t xml:space="preserve">2 </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vertAlign w:val="subscript"/>
        </w:rPr>
        <w:t xml:space="preserve">0 </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vertAlign w:val="subscript"/>
        </w:rPr>
        <w:t>1</w:t>
      </w:r>
      <w:r>
        <w:rPr>
          <w:rFonts w:ascii="Times New Roman" w:eastAsia="Times New Roman" w:hAnsi="Times New Roman" w:cs="Times New Roman"/>
          <w:i/>
          <w:sz w:val="24"/>
        </w:rPr>
        <w:t>l</w:t>
      </w:r>
      <w:r>
        <w:rPr>
          <w:rFonts w:ascii="Segoe UI Symbol" w:eastAsia="Segoe UI Symbol" w:hAnsi="Segoe UI Symbol" w:cs="Segoe UI Symbol"/>
          <w:sz w:val="32"/>
        </w:rPr>
        <w:t></w:t>
      </w:r>
      <w:r>
        <w:rPr>
          <w:rFonts w:ascii="Times New Roman" w:eastAsia="Times New Roman" w:hAnsi="Times New Roman" w:cs="Times New Roman"/>
          <w:sz w:val="14"/>
        </w:rPr>
        <w:t xml:space="preserve">2 </w:t>
      </w:r>
      <w:r>
        <w:rPr>
          <w:rFonts w:ascii="Segoe UI Symbol" w:eastAsia="Segoe UI Symbol" w:hAnsi="Segoe UI Symbol" w:cs="Segoe UI Symbol"/>
          <w:sz w:val="24"/>
        </w:rPr>
        <w:t></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vertAlign w:val="subscript"/>
        </w:rPr>
        <w:t xml:space="preserve">0 </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vertAlign w:val="subscript"/>
        </w:rPr>
        <w:t>1</w:t>
      </w:r>
      <w:r>
        <w:rPr>
          <w:rFonts w:ascii="Times New Roman" w:eastAsia="Times New Roman" w:hAnsi="Times New Roman" w:cs="Times New Roman"/>
          <w:i/>
          <w:sz w:val="24"/>
        </w:rPr>
        <w:t>z</w:t>
      </w:r>
      <w:r>
        <w:rPr>
          <w:rFonts w:ascii="Times New Roman" w:eastAsia="Times New Roman" w:hAnsi="Times New Roman" w:cs="Times New Roman"/>
          <w:i/>
          <w:vertAlign w:val="subscript"/>
        </w:rPr>
        <w:t>k</w:t>
      </w:r>
      <w:r>
        <w:rPr>
          <w:rFonts w:ascii="Segoe UI Symbol" w:eastAsia="Segoe UI Symbol" w:hAnsi="Segoe UI Symbol" w:cs="Segoe UI Symbol"/>
          <w:sz w:val="14"/>
        </w:rPr>
        <w:t></w:t>
      </w:r>
      <w:r>
        <w:rPr>
          <w:rFonts w:ascii="Times New Roman" w:eastAsia="Times New Roman" w:hAnsi="Times New Roman" w:cs="Times New Roman"/>
          <w:vertAlign w:val="subscript"/>
        </w:rPr>
        <w:t>1</w:t>
      </w:r>
      <w:r>
        <w:rPr>
          <w:rFonts w:ascii="Segoe UI Symbol" w:eastAsia="Segoe UI Symbol" w:hAnsi="Segoe UI Symbol" w:cs="Segoe UI Symbol"/>
          <w:sz w:val="32"/>
        </w:rPr>
        <w:t></w:t>
      </w:r>
      <w:r>
        <w:rPr>
          <w:rFonts w:ascii="Times New Roman" w:eastAsia="Times New Roman" w:hAnsi="Times New Roman" w:cs="Times New Roman"/>
          <w:sz w:val="14"/>
        </w:rPr>
        <w:t xml:space="preserve">2 </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 xml:space="preserve"> </w:t>
      </w:r>
      <w:r>
        <w:rPr>
          <w:rFonts w:ascii="Segoe UI Symbol" w:eastAsia="Segoe UI Symbol" w:hAnsi="Segoe UI Symbol" w:cs="Segoe UI Symbol"/>
          <w:sz w:val="32"/>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Segoe UI Symbol" w:eastAsia="Segoe UI Symbol" w:hAnsi="Segoe UI Symbol" w:cs="Segoe UI Symbol"/>
          <w:sz w:val="32"/>
        </w:rPr>
        <w:t></w:t>
      </w:r>
    </w:p>
    <w:p w:rsidR="0052701D" w:rsidRDefault="00D40929">
      <w:pPr>
        <w:tabs>
          <w:tab w:val="center" w:pos="664"/>
          <w:tab w:val="center" w:pos="1829"/>
          <w:tab w:val="center" w:pos="2483"/>
          <w:tab w:val="center" w:pos="3127"/>
        </w:tabs>
        <w:spacing w:after="153" w:line="268" w:lineRule="auto"/>
      </w:pPr>
      <w:r>
        <w:rPr>
          <w:rFonts w:ascii="Segoe UI Symbol" w:eastAsia="Segoe UI Symbol" w:hAnsi="Segoe UI Symbol" w:cs="Segoe UI Symbol"/>
          <w:sz w:val="25"/>
        </w:rPr>
        <w:lastRenderedPageBreak/>
        <w:t></w:t>
      </w:r>
      <w:r>
        <w:rPr>
          <w:rFonts w:ascii="Segoe UI Symbol" w:eastAsia="Segoe UI Symbol" w:hAnsi="Segoe UI Symbol" w:cs="Segoe UI Symbol"/>
          <w:sz w:val="25"/>
        </w:rPr>
        <w:tab/>
      </w:r>
      <w:r>
        <w:rPr>
          <w:rFonts w:ascii="Times New Roman" w:eastAsia="Times New Roman" w:hAnsi="Times New Roman" w:cs="Times New Roman"/>
          <w:sz w:val="25"/>
        </w:rPr>
        <w:t>1</w:t>
      </w:r>
      <w:r>
        <w:rPr>
          <w:rFonts w:ascii="Times New Roman" w:eastAsia="Times New Roman" w:hAnsi="Times New Roman" w:cs="Times New Roman"/>
          <w:sz w:val="25"/>
        </w:rPr>
        <w:tab/>
        <w:t>1</w:t>
      </w:r>
      <w:r>
        <w:rPr>
          <w:rFonts w:ascii="Times New Roman" w:eastAsia="Times New Roman" w:hAnsi="Times New Roman" w:cs="Times New Roman"/>
          <w:sz w:val="25"/>
        </w:rPr>
        <w:tab/>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ab/>
      </w:r>
      <w:r>
        <w:rPr>
          <w:rFonts w:ascii="Segoe UI Symbol" w:eastAsia="Segoe UI Symbol" w:hAnsi="Segoe UI Symbol" w:cs="Segoe UI Symbol"/>
          <w:sz w:val="25"/>
        </w:rPr>
        <w:t></w:t>
      </w:r>
    </w:p>
    <w:p w:rsidR="0052701D" w:rsidRDefault="00D40929">
      <w:pPr>
        <w:spacing w:after="220" w:line="268" w:lineRule="auto"/>
        <w:ind w:left="33" w:hanging="10"/>
      </w:pPr>
      <w:r>
        <w:rPr>
          <w:noProof/>
        </w:rPr>
        <mc:AlternateContent>
          <mc:Choice Requires="wpg">
            <w:drawing>
              <wp:anchor distT="0" distB="0" distL="114300" distR="114300" simplePos="0" relativeHeight="251706368" behindDoc="0" locked="0" layoutInCell="1" allowOverlap="1">
                <wp:simplePos x="0" y="0"/>
                <wp:positionH relativeFrom="column">
                  <wp:posOffset>145135</wp:posOffset>
                </wp:positionH>
                <wp:positionV relativeFrom="paragraph">
                  <wp:posOffset>73600</wp:posOffset>
                </wp:positionV>
                <wp:extent cx="1368062" cy="4903"/>
                <wp:effectExtent l="0" t="0" r="0" b="0"/>
                <wp:wrapNone/>
                <wp:docPr id="917504" name="Group 917504"/>
                <wp:cNvGraphicFramePr/>
                <a:graphic xmlns:a="http://schemas.openxmlformats.org/drawingml/2006/main">
                  <a:graphicData uri="http://schemas.microsoft.com/office/word/2010/wordprocessingGroup">
                    <wpg:wgp>
                      <wpg:cNvGrpSpPr/>
                      <wpg:grpSpPr>
                        <a:xfrm>
                          <a:off x="0" y="0"/>
                          <a:ext cx="1368062" cy="4903"/>
                          <a:chOff x="0" y="0"/>
                          <a:chExt cx="1368062" cy="4903"/>
                        </a:xfrm>
                      </wpg:grpSpPr>
                      <wps:wsp>
                        <wps:cNvPr id="9824" name="Shape 9824"/>
                        <wps:cNvSpPr/>
                        <wps:spPr>
                          <a:xfrm>
                            <a:off x="0" y="0"/>
                            <a:ext cx="552373" cy="0"/>
                          </a:xfrm>
                          <a:custGeom>
                            <a:avLst/>
                            <a:gdLst/>
                            <a:ahLst/>
                            <a:cxnLst/>
                            <a:rect l="0" t="0" r="0" b="0"/>
                            <a:pathLst>
                              <a:path w="552373">
                                <a:moveTo>
                                  <a:pt x="0" y="0"/>
                                </a:moveTo>
                                <a:lnTo>
                                  <a:pt x="552373" y="0"/>
                                </a:lnTo>
                              </a:path>
                            </a:pathLst>
                          </a:custGeom>
                          <a:ln w="4903" cap="flat">
                            <a:round/>
                          </a:ln>
                        </wps:spPr>
                        <wps:style>
                          <a:lnRef idx="1">
                            <a:srgbClr val="000000"/>
                          </a:lnRef>
                          <a:fillRef idx="0">
                            <a:srgbClr val="000000">
                              <a:alpha val="0"/>
                            </a:srgbClr>
                          </a:fillRef>
                          <a:effectRef idx="0">
                            <a:scrgbClr r="0" g="0" b="0"/>
                          </a:effectRef>
                          <a:fontRef idx="none"/>
                        </wps:style>
                        <wps:bodyPr/>
                      </wps:wsp>
                      <wps:wsp>
                        <wps:cNvPr id="9827" name="Shape 9827"/>
                        <wps:cNvSpPr/>
                        <wps:spPr>
                          <a:xfrm>
                            <a:off x="663928" y="0"/>
                            <a:ext cx="704134" cy="0"/>
                          </a:xfrm>
                          <a:custGeom>
                            <a:avLst/>
                            <a:gdLst/>
                            <a:ahLst/>
                            <a:cxnLst/>
                            <a:rect l="0" t="0" r="0" b="0"/>
                            <a:pathLst>
                              <a:path w="704134">
                                <a:moveTo>
                                  <a:pt x="0" y="0"/>
                                </a:moveTo>
                                <a:lnTo>
                                  <a:pt x="704134" y="0"/>
                                </a:lnTo>
                              </a:path>
                            </a:pathLst>
                          </a:custGeom>
                          <a:ln w="490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7504" style="width:107.721pt;height:0.386095pt;position:absolute;z-index:1489;mso-position-horizontal-relative:text;mso-position-horizontal:absolute;margin-left:11.4279pt;mso-position-vertical-relative:text;margin-top:5.79529pt;" coordsize="13680,49">
                <v:shape id="Shape 9824" style="position:absolute;width:5523;height:0;left:0;top:0;" coordsize="552373,0" path="m0,0l552373,0">
                  <v:stroke weight="0.386095pt" endcap="flat" joinstyle="round" on="true" color="#000000"/>
                  <v:fill on="false" color="#000000" opacity="0"/>
                </v:shape>
                <v:shape id="Shape 9827" style="position:absolute;width:7041;height:0;left:6639;top:0;" coordsize="704134,0" path="m0,0l704134,0">
                  <v:stroke weight="0.386095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707392" behindDoc="0" locked="0" layoutInCell="1" allowOverlap="1">
                <wp:simplePos x="0" y="0"/>
                <wp:positionH relativeFrom="column">
                  <wp:posOffset>2675292</wp:posOffset>
                </wp:positionH>
                <wp:positionV relativeFrom="paragraph">
                  <wp:posOffset>73600</wp:posOffset>
                </wp:positionV>
                <wp:extent cx="2981270" cy="4903"/>
                <wp:effectExtent l="0" t="0" r="0" b="0"/>
                <wp:wrapNone/>
                <wp:docPr id="917505" name="Group 917505"/>
                <wp:cNvGraphicFramePr/>
                <a:graphic xmlns:a="http://schemas.openxmlformats.org/drawingml/2006/main">
                  <a:graphicData uri="http://schemas.microsoft.com/office/word/2010/wordprocessingGroup">
                    <wpg:wgp>
                      <wpg:cNvGrpSpPr/>
                      <wpg:grpSpPr>
                        <a:xfrm>
                          <a:off x="0" y="0"/>
                          <a:ext cx="2981270" cy="4903"/>
                          <a:chOff x="0" y="0"/>
                          <a:chExt cx="2981270" cy="4903"/>
                        </a:xfrm>
                      </wpg:grpSpPr>
                      <wps:wsp>
                        <wps:cNvPr id="9836" name="Shape 9836"/>
                        <wps:cNvSpPr/>
                        <wps:spPr>
                          <a:xfrm>
                            <a:off x="0" y="0"/>
                            <a:ext cx="604415" cy="0"/>
                          </a:xfrm>
                          <a:custGeom>
                            <a:avLst/>
                            <a:gdLst/>
                            <a:ahLst/>
                            <a:cxnLst/>
                            <a:rect l="0" t="0" r="0" b="0"/>
                            <a:pathLst>
                              <a:path w="604415">
                                <a:moveTo>
                                  <a:pt x="0" y="0"/>
                                </a:moveTo>
                                <a:lnTo>
                                  <a:pt x="604415" y="0"/>
                                </a:lnTo>
                              </a:path>
                            </a:pathLst>
                          </a:custGeom>
                          <a:ln w="4903" cap="flat">
                            <a:round/>
                          </a:ln>
                        </wps:spPr>
                        <wps:style>
                          <a:lnRef idx="1">
                            <a:srgbClr val="000000"/>
                          </a:lnRef>
                          <a:fillRef idx="0">
                            <a:srgbClr val="000000">
                              <a:alpha val="0"/>
                            </a:srgbClr>
                          </a:fillRef>
                          <a:effectRef idx="0">
                            <a:scrgbClr r="0" g="0" b="0"/>
                          </a:effectRef>
                          <a:fontRef idx="none"/>
                        </wps:style>
                        <wps:bodyPr/>
                      </wps:wsp>
                      <wps:wsp>
                        <wps:cNvPr id="9841" name="Shape 9841"/>
                        <wps:cNvSpPr/>
                        <wps:spPr>
                          <a:xfrm>
                            <a:off x="965761" y="0"/>
                            <a:ext cx="604613" cy="0"/>
                          </a:xfrm>
                          <a:custGeom>
                            <a:avLst/>
                            <a:gdLst/>
                            <a:ahLst/>
                            <a:cxnLst/>
                            <a:rect l="0" t="0" r="0" b="0"/>
                            <a:pathLst>
                              <a:path w="604613">
                                <a:moveTo>
                                  <a:pt x="0" y="0"/>
                                </a:moveTo>
                                <a:lnTo>
                                  <a:pt x="604613" y="0"/>
                                </a:lnTo>
                              </a:path>
                            </a:pathLst>
                          </a:custGeom>
                          <a:ln w="4903" cap="flat">
                            <a:round/>
                          </a:ln>
                        </wps:spPr>
                        <wps:style>
                          <a:lnRef idx="1">
                            <a:srgbClr val="000000"/>
                          </a:lnRef>
                          <a:fillRef idx="0">
                            <a:srgbClr val="000000">
                              <a:alpha val="0"/>
                            </a:srgbClr>
                          </a:fillRef>
                          <a:effectRef idx="0">
                            <a:scrgbClr r="0" g="0" b="0"/>
                          </a:effectRef>
                          <a:fontRef idx="none"/>
                        </wps:style>
                        <wps:bodyPr/>
                      </wps:wsp>
                      <wps:wsp>
                        <wps:cNvPr id="9850" name="Shape 9850"/>
                        <wps:cNvSpPr/>
                        <wps:spPr>
                          <a:xfrm>
                            <a:off x="1681633" y="0"/>
                            <a:ext cx="1299637" cy="0"/>
                          </a:xfrm>
                          <a:custGeom>
                            <a:avLst/>
                            <a:gdLst/>
                            <a:ahLst/>
                            <a:cxnLst/>
                            <a:rect l="0" t="0" r="0" b="0"/>
                            <a:pathLst>
                              <a:path w="1299637">
                                <a:moveTo>
                                  <a:pt x="0" y="0"/>
                                </a:moveTo>
                                <a:lnTo>
                                  <a:pt x="1299637" y="0"/>
                                </a:lnTo>
                              </a:path>
                            </a:pathLst>
                          </a:custGeom>
                          <a:ln w="490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7505" style="width:234.746pt;height:0.386095pt;position:absolute;z-index:1505;mso-position-horizontal-relative:text;mso-position-horizontal:absolute;margin-left:210.653pt;mso-position-vertical-relative:text;margin-top:5.79529pt;" coordsize="29812,49">
                <v:shape id="Shape 9836" style="position:absolute;width:6044;height:0;left:0;top:0;" coordsize="604415,0" path="m0,0l604415,0">
                  <v:stroke weight="0.386095pt" endcap="flat" joinstyle="round" on="true" color="#000000"/>
                  <v:fill on="false" color="#000000" opacity="0"/>
                </v:shape>
                <v:shape id="Shape 9841" style="position:absolute;width:6046;height:0;left:9657;top:0;" coordsize="604613,0" path="m0,0l604613,0">
                  <v:stroke weight="0.386095pt" endcap="flat" joinstyle="round" on="true" color="#000000"/>
                  <v:fill on="false" color="#000000" opacity="0"/>
                </v:shape>
                <v:shape id="Shape 9850" style="position:absolute;width:12996;height:0;left:16816;top:0;" coordsize="1299637,0" path="m0,0l1299637,0">
                  <v:stroke weight="0.386095pt" endcap="flat" joinstyle="round" on="true" color="#000000"/>
                  <v:fill on="false" color="#000000" opacity="0"/>
                </v:shape>
              </v:group>
            </w:pict>
          </mc:Fallback>
        </mc:AlternateConten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33"/>
        </w:rPr>
        <w:t></w:t>
      </w:r>
      <w:r>
        <w:rPr>
          <w:rFonts w:ascii="Times New Roman" w:eastAsia="Times New Roman" w:hAnsi="Times New Roman" w:cs="Times New Roman"/>
          <w:i/>
          <w:sz w:val="25"/>
        </w:rPr>
        <w:t xml:space="preserve">h </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i/>
          <w:sz w:val="25"/>
        </w:rPr>
        <w:t>h l</w:t>
      </w:r>
      <w:r>
        <w:rPr>
          <w:rFonts w:ascii="Segoe UI Symbol" w:eastAsia="Segoe UI Symbol" w:hAnsi="Segoe UI Symbol" w:cs="Segoe UI Symbol"/>
          <w:sz w:val="33"/>
        </w:rPr>
        <w:t></w:t>
      </w:r>
      <w:r>
        <w:rPr>
          <w:rFonts w:ascii="Times New Roman" w:eastAsia="Times New Roman" w:hAnsi="Times New Roman" w:cs="Times New Roman"/>
          <w:sz w:val="15"/>
        </w:rPr>
        <w:t xml:space="preserve">2 </w:t>
      </w:r>
      <w:r>
        <w:rPr>
          <w:rFonts w:ascii="Segoe UI Symbol" w:eastAsia="Segoe UI Symbol" w:hAnsi="Segoe UI Symbol" w:cs="Segoe UI Symbol"/>
          <w:sz w:val="25"/>
        </w:rPr>
        <w:t></w:t>
      </w:r>
      <w:r>
        <w:rPr>
          <w:rFonts w:ascii="Segoe UI Symbol" w:eastAsia="Segoe UI Symbol" w:hAnsi="Segoe UI Symbol" w:cs="Segoe UI Symbol"/>
          <w:sz w:val="33"/>
        </w:rPr>
        <w:t></w:t>
      </w:r>
      <w:r>
        <w:rPr>
          <w:rFonts w:ascii="Times New Roman" w:eastAsia="Times New Roman" w:hAnsi="Times New Roman" w:cs="Times New Roman"/>
          <w:i/>
          <w:sz w:val="25"/>
        </w:rPr>
        <w:t xml:space="preserve">h </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i/>
          <w:sz w:val="25"/>
        </w:rPr>
        <w:t xml:space="preserve">h z </w:t>
      </w:r>
      <w:r>
        <w:rPr>
          <w:rFonts w:ascii="Segoe UI Symbol" w:eastAsia="Segoe UI Symbol" w:hAnsi="Segoe UI Symbol" w:cs="Segoe UI Symbol"/>
          <w:sz w:val="15"/>
        </w:rPr>
        <w:t xml:space="preserve"> </w:t>
      </w:r>
      <w:r>
        <w:rPr>
          <w:rFonts w:ascii="Segoe UI Symbol" w:eastAsia="Segoe UI Symbol" w:hAnsi="Segoe UI Symbol" w:cs="Segoe UI Symbol"/>
          <w:sz w:val="33"/>
        </w:rPr>
        <w:t></w:t>
      </w:r>
      <w:r>
        <w:rPr>
          <w:rFonts w:ascii="Times New Roman" w:eastAsia="Times New Roman" w:hAnsi="Times New Roman" w:cs="Times New Roman"/>
          <w:sz w:val="15"/>
        </w:rPr>
        <w:t xml:space="preserve">2 </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i/>
          <w:sz w:val="25"/>
        </w:rPr>
        <w:t>u</w:t>
      </w:r>
      <w:r>
        <w:rPr>
          <w:rFonts w:ascii="Segoe UI Symbol" w:eastAsia="Segoe UI Symbol" w:hAnsi="Segoe UI Symbol" w:cs="Segoe UI Symbol"/>
          <w:sz w:val="33"/>
        </w:rPr>
        <w:t></w:t>
      </w:r>
      <w:r>
        <w:rPr>
          <w:rFonts w:ascii="Times New Roman" w:eastAsia="Times New Roman" w:hAnsi="Times New Roman" w:cs="Times New Roman"/>
          <w:i/>
          <w:sz w:val="25"/>
        </w:rPr>
        <w:t>z</w:t>
      </w:r>
      <w:r>
        <w:rPr>
          <w:rFonts w:ascii="Times New Roman" w:eastAsia="Times New Roman" w:hAnsi="Times New Roman" w:cs="Times New Roman"/>
          <w:i/>
          <w:sz w:val="15"/>
        </w:rPr>
        <w:t>k</w:t>
      </w:r>
      <w:r>
        <w:rPr>
          <w:rFonts w:ascii="Segoe UI Symbol" w:eastAsia="Segoe UI Symbol" w:hAnsi="Segoe UI Symbol" w:cs="Segoe UI Symbol"/>
          <w:sz w:val="15"/>
        </w:rPr>
        <w:t></w:t>
      </w:r>
      <w:r>
        <w:rPr>
          <w:rFonts w:ascii="Times New Roman" w:eastAsia="Times New Roman" w:hAnsi="Times New Roman" w:cs="Times New Roman"/>
          <w:sz w:val="15"/>
        </w:rPr>
        <w:t>1</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Segoe UI Symbol" w:eastAsia="Segoe UI Symbol" w:hAnsi="Segoe UI Symbol" w:cs="Segoe UI Symbol"/>
          <w:sz w:val="33"/>
        </w:rPr>
        <w:t></w:t>
      </w:r>
      <w:r>
        <w:rPr>
          <w:rFonts w:ascii="Times New Roman" w:eastAsia="Times New Roman" w:hAnsi="Times New Roman" w:cs="Times New Roman"/>
          <w:sz w:val="25"/>
        </w:rPr>
        <w:t>1</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sz w:val="15"/>
        </w:rPr>
        <w:t xml:space="preserve">1 </w:t>
      </w:r>
      <w:r>
        <w:rPr>
          <w:rFonts w:ascii="Times New Roman" w:eastAsia="Times New Roman" w:hAnsi="Times New Roman" w:cs="Times New Roman"/>
          <w:sz w:val="25"/>
        </w:rPr>
        <w:t>ln</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Segoe UI Symbol" w:eastAsia="Segoe UI Symbol" w:hAnsi="Segoe UI Symbol" w:cs="Segoe UI Symbol"/>
          <w:sz w:val="33"/>
        </w:rPr>
        <w:t></w:t>
      </w:r>
      <w:r>
        <w:rPr>
          <w:rFonts w:ascii="Times New Roman" w:eastAsia="Times New Roman" w:hAnsi="Times New Roman" w:cs="Times New Roman"/>
          <w:sz w:val="15"/>
        </w:rPr>
        <w:t>0</w:t>
      </w:r>
      <w:r>
        <w:rPr>
          <w:rFonts w:ascii="Segoe UI Symbol" w:eastAsia="Segoe UI Symbol" w:hAnsi="Segoe UI Symbol" w:cs="Segoe UI Symbol"/>
          <w:sz w:val="26"/>
        </w:rPr>
        <w:t></w:t>
      </w:r>
      <w:r>
        <w:rPr>
          <w:rFonts w:ascii="Segoe UI Symbol" w:eastAsia="Segoe UI Symbol" w:hAnsi="Segoe UI Symbol" w:cs="Segoe UI Symbol"/>
          <w:sz w:val="25"/>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Segoe UI Symbol" w:eastAsia="Segoe UI Symbol" w:hAnsi="Segoe UI Symbol" w:cs="Segoe UI Symbol"/>
          <w:sz w:val="26"/>
        </w:rPr>
        <w:t></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Times New Roman" w:eastAsia="Times New Roman" w:hAnsi="Times New Roman" w:cs="Times New Roman"/>
          <w:sz w:val="25"/>
        </w:rPr>
        <w:t>2</w:t>
      </w:r>
      <w:r>
        <w:rPr>
          <w:rFonts w:ascii="Segoe UI Symbol" w:eastAsia="Segoe UI Symbol" w:hAnsi="Segoe UI Symbol" w:cs="Segoe UI Symbol"/>
          <w:sz w:val="26"/>
        </w:rPr>
        <w:t></w:t>
      </w:r>
      <w:r>
        <w:rPr>
          <w:rFonts w:ascii="Times New Roman" w:eastAsia="Times New Roman" w:hAnsi="Times New Roman" w:cs="Times New Roman"/>
          <w:sz w:val="15"/>
        </w:rPr>
        <w:t>2</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sz w:val="25"/>
        </w:rPr>
        <w:t>ln</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Segoe UI Symbol" w:eastAsia="Segoe UI Symbol" w:hAnsi="Segoe UI Symbol" w:cs="Segoe UI Symbol"/>
          <w:sz w:val="33"/>
        </w:rPr>
        <w:t></w:t>
      </w:r>
      <w:r>
        <w:rPr>
          <w:rFonts w:ascii="Times New Roman" w:eastAsia="Times New Roman" w:hAnsi="Times New Roman" w:cs="Times New Roman"/>
          <w:sz w:val="15"/>
        </w:rPr>
        <w:t>0</w:t>
      </w:r>
      <w:r>
        <w:rPr>
          <w:rFonts w:ascii="Segoe UI Symbol" w:eastAsia="Segoe UI Symbol" w:hAnsi="Segoe UI Symbol" w:cs="Segoe UI Symbol"/>
          <w:sz w:val="26"/>
        </w:rPr>
        <w:t></w:t>
      </w:r>
      <w:r>
        <w:rPr>
          <w:rFonts w:ascii="Segoe UI Symbol" w:eastAsia="Segoe UI Symbol" w:hAnsi="Segoe UI Symbol" w:cs="Segoe UI Symbol"/>
          <w:sz w:val="25"/>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Segoe UI Symbol" w:eastAsia="Segoe UI Symbol" w:hAnsi="Segoe UI Symbol" w:cs="Segoe UI Symbol"/>
          <w:sz w:val="26"/>
        </w:rPr>
        <w:t></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34"/>
        </w:rPr>
        <w:t></w:t>
      </w:r>
      <w:r>
        <w:rPr>
          <w:rFonts w:ascii="Segoe UI Symbol" w:eastAsia="Segoe UI Symbol" w:hAnsi="Segoe UI Symbol" w:cs="Segoe UI Symbol"/>
          <w:sz w:val="33"/>
        </w:rPr>
        <w:t></w:t>
      </w:r>
      <w:r>
        <w:rPr>
          <w:rFonts w:ascii="Segoe UI Symbol" w:eastAsia="Segoe UI Symbol" w:hAnsi="Segoe UI Symbol" w:cs="Segoe UI Symbol"/>
          <w:sz w:val="26"/>
        </w:rPr>
        <w:t></w:t>
      </w:r>
      <w:r>
        <w:rPr>
          <w:rFonts w:ascii="Times New Roman" w:eastAsia="Times New Roman" w:hAnsi="Times New Roman" w:cs="Times New Roman"/>
          <w:sz w:val="25"/>
        </w:rPr>
        <w:t>ln</w:t>
      </w:r>
      <w:r>
        <w:rPr>
          <w:rFonts w:ascii="Times New Roman" w:eastAsia="Times New Roman" w:hAnsi="Times New Roman" w:cs="Times New Roman"/>
          <w:i/>
          <w:sz w:val="25"/>
        </w:rPr>
        <w:t>h</w:t>
      </w:r>
      <w:r>
        <w:rPr>
          <w:rFonts w:ascii="Segoe UI Symbol" w:eastAsia="Segoe UI Symbol" w:hAnsi="Segoe UI Symbol" w:cs="Segoe UI Symbol"/>
          <w:sz w:val="33"/>
        </w:rPr>
        <w:t></w:t>
      </w:r>
      <w:r>
        <w:rPr>
          <w:rFonts w:ascii="Times New Roman" w:eastAsia="Times New Roman" w:hAnsi="Times New Roman" w:cs="Times New Roman"/>
          <w:sz w:val="15"/>
        </w:rPr>
        <w:t>1</w:t>
      </w:r>
      <w:r>
        <w:rPr>
          <w:rFonts w:ascii="Times New Roman" w:eastAsia="Times New Roman" w:hAnsi="Times New Roman" w:cs="Times New Roman"/>
          <w:i/>
          <w:sz w:val="25"/>
        </w:rPr>
        <w:t>h</w:t>
      </w:r>
      <w:r>
        <w:rPr>
          <w:rFonts w:ascii="Segoe UI Symbol" w:eastAsia="Segoe UI Symbol" w:hAnsi="Segoe UI Symbol" w:cs="Segoe UI Symbol"/>
          <w:sz w:val="33"/>
        </w:rPr>
        <w:t></w:t>
      </w:r>
      <w:r>
        <w:rPr>
          <w:rFonts w:ascii="Times New Roman" w:eastAsia="Times New Roman" w:hAnsi="Times New Roman" w:cs="Times New Roman"/>
          <w:sz w:val="15"/>
        </w:rPr>
        <w:t>02</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Times New Roman" w:eastAsia="Times New Roman" w:hAnsi="Times New Roman" w:cs="Times New Roman"/>
          <w:sz w:val="25"/>
        </w:rPr>
        <w:t>1</w:t>
      </w:r>
      <w:r>
        <w:rPr>
          <w:rFonts w:ascii="Segoe UI Symbol" w:eastAsia="Segoe UI Symbol" w:hAnsi="Segoe UI Symbol" w:cs="Segoe UI Symbol"/>
          <w:sz w:val="34"/>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sz w:val="25"/>
        </w:rPr>
        <w:t>.</w:t>
      </w:r>
      <w:r>
        <w:rPr>
          <w:rFonts w:ascii="Times New Roman" w:eastAsia="Times New Roman" w:hAnsi="Times New Roman" w:cs="Times New Roman"/>
          <w:sz w:val="24"/>
        </w:rPr>
        <w:t xml:space="preserve"> </w:t>
      </w:r>
    </w:p>
    <w:p w:rsidR="0052701D" w:rsidRDefault="00D40929">
      <w:pPr>
        <w:tabs>
          <w:tab w:val="center" w:pos="839"/>
          <w:tab w:val="center" w:pos="1464"/>
          <w:tab w:val="center" w:pos="2214"/>
          <w:tab w:val="center" w:pos="3127"/>
        </w:tabs>
        <w:spacing w:after="0" w:line="268" w:lineRule="auto"/>
      </w:pPr>
      <w:r>
        <w:rPr>
          <w:rFonts w:ascii="Segoe UI Symbol" w:eastAsia="Segoe UI Symbol" w:hAnsi="Segoe UI Symbol" w:cs="Segoe UI Symbol"/>
          <w:sz w:val="25"/>
        </w:rPr>
        <w:t></w:t>
      </w:r>
      <w:r>
        <w:rPr>
          <w:rFonts w:ascii="Segoe UI Symbol" w:eastAsia="Segoe UI Symbol" w:hAnsi="Segoe UI Symbol" w:cs="Segoe UI Symbol"/>
          <w:sz w:val="25"/>
        </w:rPr>
        <w:t xml:space="preserve"> </w:t>
      </w:r>
      <w:r>
        <w:rPr>
          <w:rFonts w:ascii="Times New Roman" w:eastAsia="Times New Roman" w:hAnsi="Times New Roman" w:cs="Times New Roman"/>
          <w:sz w:val="15"/>
        </w:rPr>
        <w:t>0</w:t>
      </w:r>
      <w:r>
        <w:rPr>
          <w:rFonts w:ascii="Times New Roman" w:eastAsia="Times New Roman" w:hAnsi="Times New Roman" w:cs="Times New Roman"/>
          <w:sz w:val="15"/>
        </w:rPr>
        <w:tab/>
        <w:t>1</w:t>
      </w:r>
      <w:r>
        <w:rPr>
          <w:rFonts w:ascii="Times New Roman" w:eastAsia="Times New Roman" w:hAnsi="Times New Roman" w:cs="Times New Roman"/>
          <w:sz w:val="15"/>
        </w:rPr>
        <w:tab/>
        <w:t>0</w:t>
      </w:r>
      <w:r>
        <w:rPr>
          <w:rFonts w:ascii="Times New Roman" w:eastAsia="Times New Roman" w:hAnsi="Times New Roman" w:cs="Times New Roman"/>
          <w:sz w:val="15"/>
        </w:rPr>
        <w:tab/>
        <w:t xml:space="preserve">1 </w:t>
      </w:r>
      <w:r>
        <w:rPr>
          <w:rFonts w:ascii="Times New Roman" w:eastAsia="Times New Roman" w:hAnsi="Times New Roman" w:cs="Times New Roman"/>
          <w:i/>
          <w:sz w:val="15"/>
        </w:rPr>
        <w:t xml:space="preserve">k </w:t>
      </w:r>
      <w:r>
        <w:rPr>
          <w:rFonts w:ascii="Times New Roman" w:eastAsia="Times New Roman" w:hAnsi="Times New Roman" w:cs="Times New Roman"/>
          <w:sz w:val="15"/>
        </w:rPr>
        <w:t xml:space="preserve">1 </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ab/>
      </w:r>
      <w:r>
        <w:rPr>
          <w:rFonts w:ascii="Segoe UI Symbol" w:eastAsia="Segoe UI Symbol" w:hAnsi="Segoe UI Symbol" w:cs="Segoe UI Symbol"/>
          <w:sz w:val="25"/>
        </w:rPr>
        <w:t></w:t>
      </w:r>
    </w:p>
    <w:p w:rsidR="0052701D" w:rsidRDefault="00D40929">
      <w:pPr>
        <w:spacing w:after="36"/>
      </w:pPr>
      <w:r>
        <w:rPr>
          <w:rFonts w:ascii="Times New Roman" w:eastAsia="Times New Roman" w:hAnsi="Times New Roman" w:cs="Times New Roman"/>
        </w:rPr>
        <w:t xml:space="preserve"> </w:t>
      </w:r>
    </w:p>
    <w:p w:rsidR="0052701D" w:rsidRDefault="00D40929">
      <w:pPr>
        <w:spacing w:after="5" w:line="271" w:lineRule="auto"/>
        <w:ind w:left="9" w:right="64" w:firstLine="543"/>
        <w:jc w:val="both"/>
      </w:pPr>
      <w:r>
        <w:rPr>
          <w:rFonts w:ascii="Times New Roman" w:eastAsia="Times New Roman" w:hAnsi="Times New Roman" w:cs="Times New Roman"/>
          <w:sz w:val="28"/>
        </w:rPr>
        <w:t xml:space="preserve">При этом получим следующие выражения для прогиба, угла поворота, изгибающего момента и перерезывающей силы: </w:t>
      </w:r>
    </w:p>
    <w:p w:rsidR="0052701D" w:rsidRDefault="00D40929">
      <w:pPr>
        <w:spacing w:after="0"/>
        <w:ind w:left="543"/>
      </w:pPr>
      <w:r>
        <w:rPr>
          <w:rFonts w:ascii="Times New Roman" w:eastAsia="Times New Roman" w:hAnsi="Times New Roman" w:cs="Times New Roman"/>
        </w:rPr>
        <w:t xml:space="preserve"> </w:t>
      </w:r>
    </w:p>
    <w:p w:rsidR="0052701D" w:rsidRDefault="00D40929">
      <w:pPr>
        <w:spacing w:after="358"/>
        <w:ind w:left="53" w:hanging="10"/>
      </w:pPr>
      <w:r>
        <w:rPr>
          <w:noProof/>
        </w:rPr>
        <mc:AlternateContent>
          <mc:Choice Requires="wpg">
            <w:drawing>
              <wp:anchor distT="0" distB="0" distL="114300" distR="114300" simplePos="0" relativeHeight="251708416" behindDoc="0" locked="0" layoutInCell="1" allowOverlap="1">
                <wp:simplePos x="0" y="0"/>
                <wp:positionH relativeFrom="column">
                  <wp:posOffset>2715511</wp:posOffset>
                </wp:positionH>
                <wp:positionV relativeFrom="paragraph">
                  <wp:posOffset>56676</wp:posOffset>
                </wp:positionV>
                <wp:extent cx="2858623" cy="6322"/>
                <wp:effectExtent l="0" t="0" r="0" b="0"/>
                <wp:wrapNone/>
                <wp:docPr id="920894" name="Group 920894"/>
                <wp:cNvGraphicFramePr/>
                <a:graphic xmlns:a="http://schemas.openxmlformats.org/drawingml/2006/main">
                  <a:graphicData uri="http://schemas.microsoft.com/office/word/2010/wordprocessingGroup">
                    <wpg:wgp>
                      <wpg:cNvGrpSpPr/>
                      <wpg:grpSpPr>
                        <a:xfrm>
                          <a:off x="0" y="0"/>
                          <a:ext cx="2858623" cy="6322"/>
                          <a:chOff x="0" y="0"/>
                          <a:chExt cx="2858623" cy="6322"/>
                        </a:xfrm>
                      </wpg:grpSpPr>
                      <wps:wsp>
                        <wps:cNvPr id="9995" name="Shape 9995"/>
                        <wps:cNvSpPr/>
                        <wps:spPr>
                          <a:xfrm>
                            <a:off x="0" y="0"/>
                            <a:ext cx="776567" cy="0"/>
                          </a:xfrm>
                          <a:custGeom>
                            <a:avLst/>
                            <a:gdLst/>
                            <a:ahLst/>
                            <a:cxnLst/>
                            <a:rect l="0" t="0" r="0" b="0"/>
                            <a:pathLst>
                              <a:path w="776567">
                                <a:moveTo>
                                  <a:pt x="0" y="0"/>
                                </a:moveTo>
                                <a:lnTo>
                                  <a:pt x="776567" y="0"/>
                                </a:lnTo>
                              </a:path>
                            </a:pathLst>
                          </a:custGeom>
                          <a:ln w="6322" cap="flat">
                            <a:round/>
                          </a:ln>
                        </wps:spPr>
                        <wps:style>
                          <a:lnRef idx="1">
                            <a:srgbClr val="000000"/>
                          </a:lnRef>
                          <a:fillRef idx="0">
                            <a:srgbClr val="000000">
                              <a:alpha val="0"/>
                            </a:srgbClr>
                          </a:fillRef>
                          <a:effectRef idx="0">
                            <a:scrgbClr r="0" g="0" b="0"/>
                          </a:effectRef>
                          <a:fontRef idx="none"/>
                        </wps:style>
                        <wps:bodyPr/>
                      </wps:wsp>
                      <wps:wsp>
                        <wps:cNvPr id="10000" name="Shape 10000"/>
                        <wps:cNvSpPr/>
                        <wps:spPr>
                          <a:xfrm>
                            <a:off x="1025359" y="0"/>
                            <a:ext cx="776567" cy="0"/>
                          </a:xfrm>
                          <a:custGeom>
                            <a:avLst/>
                            <a:gdLst/>
                            <a:ahLst/>
                            <a:cxnLst/>
                            <a:rect l="0" t="0" r="0" b="0"/>
                            <a:pathLst>
                              <a:path w="776567">
                                <a:moveTo>
                                  <a:pt x="0" y="0"/>
                                </a:moveTo>
                                <a:lnTo>
                                  <a:pt x="776567" y="0"/>
                                </a:lnTo>
                              </a:path>
                            </a:pathLst>
                          </a:custGeom>
                          <a:ln w="6322" cap="flat">
                            <a:round/>
                          </a:ln>
                        </wps:spPr>
                        <wps:style>
                          <a:lnRef idx="1">
                            <a:srgbClr val="000000"/>
                          </a:lnRef>
                          <a:fillRef idx="0">
                            <a:srgbClr val="000000">
                              <a:alpha val="0"/>
                            </a:srgbClr>
                          </a:fillRef>
                          <a:effectRef idx="0">
                            <a:scrgbClr r="0" g="0" b="0"/>
                          </a:effectRef>
                          <a:fontRef idx="none"/>
                        </wps:style>
                        <wps:bodyPr/>
                      </wps:wsp>
                      <wps:wsp>
                        <wps:cNvPr id="10003" name="Shape 10003"/>
                        <wps:cNvSpPr/>
                        <wps:spPr>
                          <a:xfrm>
                            <a:off x="1954921" y="0"/>
                            <a:ext cx="378092" cy="0"/>
                          </a:xfrm>
                          <a:custGeom>
                            <a:avLst/>
                            <a:gdLst/>
                            <a:ahLst/>
                            <a:cxnLst/>
                            <a:rect l="0" t="0" r="0" b="0"/>
                            <a:pathLst>
                              <a:path w="378092">
                                <a:moveTo>
                                  <a:pt x="0" y="0"/>
                                </a:moveTo>
                                <a:lnTo>
                                  <a:pt x="378092" y="0"/>
                                </a:lnTo>
                              </a:path>
                            </a:pathLst>
                          </a:custGeom>
                          <a:ln w="6322" cap="flat">
                            <a:round/>
                          </a:ln>
                        </wps:spPr>
                        <wps:style>
                          <a:lnRef idx="1">
                            <a:srgbClr val="000000"/>
                          </a:lnRef>
                          <a:fillRef idx="0">
                            <a:srgbClr val="000000">
                              <a:alpha val="0"/>
                            </a:srgbClr>
                          </a:fillRef>
                          <a:effectRef idx="0">
                            <a:scrgbClr r="0" g="0" b="0"/>
                          </a:effectRef>
                          <a:fontRef idx="none"/>
                        </wps:style>
                        <wps:bodyPr/>
                      </wps:wsp>
                      <wps:wsp>
                        <wps:cNvPr id="10006" name="Shape 10006"/>
                        <wps:cNvSpPr/>
                        <wps:spPr>
                          <a:xfrm>
                            <a:off x="2486009" y="0"/>
                            <a:ext cx="372614" cy="0"/>
                          </a:xfrm>
                          <a:custGeom>
                            <a:avLst/>
                            <a:gdLst/>
                            <a:ahLst/>
                            <a:cxnLst/>
                            <a:rect l="0" t="0" r="0" b="0"/>
                            <a:pathLst>
                              <a:path w="372614">
                                <a:moveTo>
                                  <a:pt x="0" y="0"/>
                                </a:moveTo>
                                <a:lnTo>
                                  <a:pt x="372614" y="0"/>
                                </a:lnTo>
                              </a:path>
                            </a:pathLst>
                          </a:custGeom>
                          <a:ln w="6322"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20894" style="width:225.088pt;height:0.497773pt;position:absolute;z-index:21;mso-position-horizontal-relative:text;mso-position-horizontal:absolute;margin-left:213.82pt;mso-position-vertical-relative:text;margin-top:4.46266pt;" coordsize="28586,63">
                <v:shape id="Shape 9995" style="position:absolute;width:7765;height:0;left:0;top:0;" coordsize="776567,0" path="m0,0l776567,0">
                  <v:stroke weight="0.497773pt" endcap="flat" joinstyle="round" on="true" color="#000000"/>
                  <v:fill on="false" color="#000000" opacity="0"/>
                </v:shape>
                <v:shape id="Shape 10000" style="position:absolute;width:7765;height:0;left:10253;top:0;" coordsize="776567,0" path="m0,0l776567,0">
                  <v:stroke weight="0.497773pt" endcap="flat" joinstyle="round" on="true" color="#000000"/>
                  <v:fill on="false" color="#000000" opacity="0"/>
                </v:shape>
                <v:shape id="Shape 10003" style="position:absolute;width:3780;height:0;left:19549;top:0;" coordsize="378092,0" path="m0,0l378092,0">
                  <v:stroke weight="0.497773pt" endcap="flat" joinstyle="round" on="true" color="#000000"/>
                  <v:fill on="false" color="#000000" opacity="0"/>
                </v:shape>
                <v:shape id="Shape 10006" style="position:absolute;width:3726;height:0;left:24860;top:0;" coordsize="372614,0" path="m0,0l372614,0">
                  <v:stroke weight="0.497773pt" endcap="flat" joinstyle="round" on="true" color="#000000"/>
                  <v:fill on="false" color="#000000" opacity="0"/>
                </v:shape>
              </v:group>
            </w:pict>
          </mc:Fallback>
        </mc:AlternateContent>
      </w:r>
      <w:r>
        <w:rPr>
          <w:rFonts w:ascii="Times New Roman" w:eastAsia="Times New Roman" w:hAnsi="Times New Roman" w:cs="Times New Roman"/>
          <w:i/>
          <w:sz w:val="25"/>
        </w:rPr>
        <w:t>u</w:t>
      </w:r>
      <w:r>
        <w:rPr>
          <w:rFonts w:ascii="Segoe UI Symbol" w:eastAsia="Segoe UI Symbol" w:hAnsi="Segoe UI Symbol" w:cs="Segoe UI Symbol"/>
          <w:sz w:val="33"/>
        </w:rPr>
        <w:t></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25"/>
        </w:rPr>
        <w:t xml:space="preserve"> </w:t>
      </w:r>
      <w:r>
        <w:rPr>
          <w:rFonts w:ascii="Times New Roman" w:eastAsia="Times New Roman" w:hAnsi="Times New Roman" w:cs="Times New Roman"/>
          <w:sz w:val="25"/>
        </w:rPr>
        <w:t>6</w:t>
      </w:r>
      <w:r>
        <w:rPr>
          <w:rFonts w:ascii="Times New Roman" w:eastAsia="Times New Roman" w:hAnsi="Times New Roman" w:cs="Times New Roman"/>
          <w:i/>
          <w:sz w:val="25"/>
        </w:rPr>
        <w:t>p</w:t>
      </w:r>
      <w:r>
        <w:rPr>
          <w:rFonts w:ascii="Times New Roman" w:eastAsia="Times New Roman" w:hAnsi="Times New Roman" w:cs="Times New Roman"/>
          <w:sz w:val="15"/>
        </w:rPr>
        <w:t xml:space="preserve">* </w:t>
      </w:r>
      <w:r>
        <w:rPr>
          <w:rFonts w:ascii="Segoe UI Symbol" w:eastAsia="Segoe UI Symbol" w:hAnsi="Segoe UI Symbol" w:cs="Segoe UI Symbol"/>
          <w:sz w:val="40"/>
          <w:u w:val="single" w:color="000000"/>
        </w:rPr>
        <w:t></w:t>
      </w:r>
      <w:r>
        <w:rPr>
          <w:rFonts w:ascii="Times New Roman" w:eastAsia="Times New Roman" w:hAnsi="Times New Roman" w:cs="Times New Roman"/>
          <w:sz w:val="25"/>
        </w:rPr>
        <w:t>1</w:t>
      </w:r>
      <w:r>
        <w:rPr>
          <w:rFonts w:ascii="Segoe UI Symbol" w:eastAsia="Segoe UI Symbol" w:hAnsi="Segoe UI Symbol" w:cs="Segoe UI Symbol"/>
          <w:sz w:val="25"/>
        </w:rPr>
        <w:t></w:t>
      </w:r>
      <w:r>
        <w:rPr>
          <w:rFonts w:ascii="Times New Roman" w:eastAsia="Times New Roman" w:hAnsi="Times New Roman" w:cs="Times New Roman"/>
          <w:i/>
          <w:sz w:val="25"/>
        </w:rPr>
        <w:t>E</w:t>
      </w:r>
      <w:r>
        <w:rPr>
          <w:rFonts w:ascii="Segoe UI Symbol" w:eastAsia="Segoe UI Symbol" w:hAnsi="Segoe UI Symbol" w:cs="Segoe UI Symbol"/>
          <w:sz w:val="27"/>
        </w:rPr>
        <w:t></w:t>
      </w:r>
      <w:r>
        <w:rPr>
          <w:rFonts w:ascii="Times New Roman" w:eastAsia="Times New Roman" w:hAnsi="Times New Roman" w:cs="Times New Roman"/>
          <w:sz w:val="15"/>
        </w:rPr>
        <w:t xml:space="preserve">2 </w:t>
      </w:r>
      <w:r>
        <w:rPr>
          <w:rFonts w:ascii="Segoe UI Symbol" w:eastAsia="Segoe UI Symbol" w:hAnsi="Segoe UI Symbol" w:cs="Segoe UI Symbol"/>
          <w:sz w:val="40"/>
          <w:u w:val="single" w:color="000000"/>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39"/>
          <w:vertAlign w:val="subscript"/>
        </w:rPr>
        <w:t></w:t>
      </w:r>
      <w:r>
        <w:rPr>
          <w:noProof/>
        </w:rPr>
        <mc:AlternateContent>
          <mc:Choice Requires="wpg">
            <w:drawing>
              <wp:inline distT="0" distB="0" distL="0" distR="0">
                <wp:extent cx="1095500" cy="6322"/>
                <wp:effectExtent l="0" t="0" r="0" b="0"/>
                <wp:docPr id="920893" name="Group 920893"/>
                <wp:cNvGraphicFramePr/>
                <a:graphic xmlns:a="http://schemas.openxmlformats.org/drawingml/2006/main">
                  <a:graphicData uri="http://schemas.microsoft.com/office/word/2010/wordprocessingGroup">
                    <wpg:wgp>
                      <wpg:cNvGrpSpPr/>
                      <wpg:grpSpPr>
                        <a:xfrm>
                          <a:off x="0" y="0"/>
                          <a:ext cx="1095500" cy="6322"/>
                          <a:chOff x="0" y="0"/>
                          <a:chExt cx="1095500" cy="6322"/>
                        </a:xfrm>
                      </wpg:grpSpPr>
                      <wps:wsp>
                        <wps:cNvPr id="9990" name="Shape 9990"/>
                        <wps:cNvSpPr/>
                        <wps:spPr>
                          <a:xfrm>
                            <a:off x="0" y="0"/>
                            <a:ext cx="1095500" cy="0"/>
                          </a:xfrm>
                          <a:custGeom>
                            <a:avLst/>
                            <a:gdLst/>
                            <a:ahLst/>
                            <a:cxnLst/>
                            <a:rect l="0" t="0" r="0" b="0"/>
                            <a:pathLst>
                              <a:path w="1095500">
                                <a:moveTo>
                                  <a:pt x="0" y="0"/>
                                </a:moveTo>
                                <a:lnTo>
                                  <a:pt x="1095500" y="0"/>
                                </a:lnTo>
                              </a:path>
                            </a:pathLst>
                          </a:custGeom>
                          <a:ln w="632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20893" style="width:86.2598pt;height:0.497773pt;mso-position-horizontal-relative:char;mso-position-vertical-relative:line" coordsize="10955,63">
                <v:shape id="Shape 9990" style="position:absolute;width:10955;height:0;left:0;top:0;" coordsize="1095500,0" path="m0,0l1095500,0">
                  <v:stroke weight="0.497773pt" endcap="flat" joinstyle="round" on="true" color="#000000"/>
                  <v:fill on="false" color="#000000" opacity="0"/>
                </v:shape>
              </v:group>
            </w:pict>
          </mc:Fallback>
        </mc:AlternateContent>
      </w:r>
      <w:r>
        <w:rPr>
          <w:rFonts w:ascii="Times New Roman" w:eastAsia="Times New Roman" w:hAnsi="Times New Roman" w:cs="Times New Roman"/>
          <w:sz w:val="25"/>
        </w:rPr>
        <w:t>2</w:t>
      </w:r>
      <w:r>
        <w:rPr>
          <w:rFonts w:ascii="Segoe UI Symbol" w:eastAsia="Segoe UI Symbol" w:hAnsi="Segoe UI Symbol" w:cs="Segoe UI Symbol"/>
          <w:sz w:val="33"/>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Segoe UI Symbol" w:eastAsia="Segoe UI Symbol" w:hAnsi="Segoe UI Symbol" w:cs="Segoe UI Symbol"/>
          <w:sz w:val="33"/>
        </w:rPr>
        <w:t></w:t>
      </w:r>
      <w:r>
        <w:rPr>
          <w:rFonts w:ascii="Times New Roman" w:eastAsia="Times New Roman" w:hAnsi="Times New Roman" w:cs="Times New Roman"/>
          <w:sz w:val="15"/>
        </w:rPr>
        <w:t>2</w:t>
      </w:r>
      <w:r>
        <w:rPr>
          <w:rFonts w:ascii="Segoe UI Symbol" w:eastAsia="Segoe UI Symbol" w:hAnsi="Segoe UI Symbol" w:cs="Segoe UI Symbol"/>
          <w:sz w:val="33"/>
        </w:rPr>
        <w:t></w:t>
      </w:r>
      <w:r>
        <w:rPr>
          <w:rFonts w:ascii="Times New Roman" w:eastAsia="Times New Roman" w:hAnsi="Times New Roman" w:cs="Times New Roman"/>
          <w:i/>
          <w:sz w:val="25"/>
        </w:rPr>
        <w:t>hh</w:t>
      </w:r>
      <w:r>
        <w:rPr>
          <w:rFonts w:ascii="Times New Roman" w:eastAsia="Times New Roman" w:hAnsi="Times New Roman" w:cs="Times New Roman"/>
          <w:sz w:val="15"/>
        </w:rPr>
        <w:t>02</w:t>
      </w:r>
      <w:r>
        <w:rPr>
          <w:rFonts w:ascii="Times New Roman" w:eastAsia="Times New Roman" w:hAnsi="Times New Roman" w:cs="Times New Roman"/>
          <w:sz w:val="23"/>
          <w:vertAlign w:val="subscript"/>
        </w:rPr>
        <w:t xml:space="preserve">0 </w:t>
      </w:r>
      <w:r>
        <w:rPr>
          <w:rFonts w:ascii="Segoe UI Symbol" w:eastAsia="Segoe UI Symbol" w:hAnsi="Segoe UI Symbol" w:cs="Segoe UI Symbol"/>
          <w:sz w:val="25"/>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Times New Roman" w:eastAsia="Times New Roman" w:hAnsi="Times New Roman" w:cs="Times New Roman"/>
          <w:sz w:val="25"/>
        </w:rPr>
        <w:t>3</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Times New Roman" w:eastAsia="Times New Roman" w:hAnsi="Times New Roman" w:cs="Times New Roman"/>
          <w:sz w:val="25"/>
        </w:rPr>
        <w:t>ln</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Segoe UI Symbol" w:eastAsia="Segoe UI Symbol" w:hAnsi="Segoe UI Symbol" w:cs="Segoe UI Symbol"/>
          <w:sz w:val="33"/>
        </w:rPr>
        <w:t></w:t>
      </w:r>
      <w:r>
        <w:rPr>
          <w:rFonts w:ascii="Segoe UI Symbol" w:eastAsia="Segoe UI Symbol" w:hAnsi="Segoe UI Symbol" w:cs="Segoe UI Symbol"/>
          <w:sz w:val="27"/>
        </w:rPr>
        <w:t></w:t>
      </w:r>
      <w:r>
        <w:rPr>
          <w:rFonts w:ascii="Times New Roman" w:eastAsia="Times New Roman" w:hAnsi="Times New Roman" w:cs="Times New Roman"/>
          <w:sz w:val="15"/>
        </w:rPr>
        <w:t>0</w:t>
      </w:r>
      <w:r>
        <w:rPr>
          <w:rFonts w:ascii="Times New Roman" w:eastAsia="Times New Roman" w:hAnsi="Times New Roman" w:cs="Times New Roman"/>
          <w:i/>
          <w:sz w:val="25"/>
        </w:rPr>
        <w:t>h</w:t>
      </w:r>
      <w:r>
        <w:rPr>
          <w:rFonts w:ascii="Segoe UI Symbol" w:eastAsia="Segoe UI Symbol" w:hAnsi="Segoe UI Symbol" w:cs="Segoe UI Symbol"/>
          <w:sz w:val="25"/>
        </w:rPr>
        <w:t></w:t>
      </w:r>
      <w:r>
        <w:rPr>
          <w:rFonts w:ascii="Times New Roman" w:eastAsia="Times New Roman" w:hAnsi="Times New Roman" w:cs="Times New Roman"/>
          <w:sz w:val="23"/>
          <w:vertAlign w:val="subscript"/>
        </w:rPr>
        <w:t>1</w:t>
      </w:r>
      <w:r>
        <w:rPr>
          <w:rFonts w:ascii="Segoe UI Symbol" w:eastAsia="Segoe UI Symbol" w:hAnsi="Segoe UI Symbol" w:cs="Segoe UI Symbol"/>
          <w:sz w:val="27"/>
        </w:rPr>
        <w:t></w:t>
      </w:r>
      <w:r>
        <w:rPr>
          <w:rFonts w:ascii="Segoe UI Symbol" w:eastAsia="Segoe UI Symbol" w:hAnsi="Segoe UI Symbol" w:cs="Segoe UI Symbol"/>
          <w:sz w:val="33"/>
        </w:rPr>
        <w:t></w:t>
      </w:r>
      <w:r>
        <w:rPr>
          <w:rFonts w:ascii="Times New Roman" w:eastAsia="Times New Roman" w:hAnsi="Times New Roman" w:cs="Times New Roman"/>
          <w:sz w:val="15"/>
        </w:rPr>
        <w:t>4</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25"/>
        </w:rPr>
        <w:t xml:space="preserve"> </w:t>
      </w:r>
      <w:r>
        <w:rPr>
          <w:rFonts w:ascii="Times New Roman" w:eastAsia="Times New Roman" w:hAnsi="Times New Roman" w:cs="Times New Roman"/>
          <w:i/>
          <w:sz w:val="25"/>
        </w:rPr>
        <w:t xml:space="preserve">z </w:t>
      </w:r>
      <w:r>
        <w:rPr>
          <w:rFonts w:ascii="Times New Roman" w:eastAsia="Times New Roman" w:hAnsi="Times New Roman" w:cs="Times New Roman"/>
          <w:sz w:val="25"/>
        </w:rPr>
        <w:t>ln</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Segoe UI Symbol" w:eastAsia="Segoe UI Symbol" w:hAnsi="Segoe UI Symbol" w:cs="Segoe UI Symbol"/>
          <w:sz w:val="33"/>
        </w:rPr>
        <w:t></w:t>
      </w:r>
      <w:r>
        <w:rPr>
          <w:rFonts w:ascii="Segoe UI Symbol" w:eastAsia="Segoe UI Symbol" w:hAnsi="Segoe UI Symbol" w:cs="Segoe UI Symbol"/>
          <w:sz w:val="27"/>
        </w:rPr>
        <w:t></w:t>
      </w:r>
      <w:r>
        <w:rPr>
          <w:rFonts w:ascii="Times New Roman" w:eastAsia="Times New Roman" w:hAnsi="Times New Roman" w:cs="Times New Roman"/>
          <w:sz w:val="15"/>
        </w:rPr>
        <w:t xml:space="preserve">0 </w:t>
      </w:r>
      <w:r>
        <w:rPr>
          <w:rFonts w:ascii="Times New Roman" w:eastAsia="Times New Roman" w:hAnsi="Times New Roman" w:cs="Times New Roman"/>
          <w:i/>
          <w:sz w:val="25"/>
        </w:rPr>
        <w:t>h</w:t>
      </w:r>
      <w:r>
        <w:rPr>
          <w:rFonts w:ascii="Segoe UI Symbol" w:eastAsia="Segoe UI Symbol" w:hAnsi="Segoe UI Symbol" w:cs="Segoe UI Symbol"/>
          <w:sz w:val="25"/>
        </w:rPr>
        <w:t></w:t>
      </w:r>
      <w:r>
        <w:rPr>
          <w:rFonts w:ascii="Times New Roman" w:eastAsia="Times New Roman" w:hAnsi="Times New Roman" w:cs="Times New Roman"/>
          <w:sz w:val="23"/>
          <w:vertAlign w:val="subscript"/>
        </w:rPr>
        <w:t>1</w:t>
      </w:r>
      <w:r>
        <w:rPr>
          <w:rFonts w:ascii="Segoe UI Symbol" w:eastAsia="Segoe UI Symbol" w:hAnsi="Segoe UI Symbol" w:cs="Segoe UI Symbol"/>
          <w:sz w:val="27"/>
        </w:rPr>
        <w:t></w:t>
      </w:r>
      <w:r>
        <w:rPr>
          <w:rFonts w:ascii="Segoe UI Symbol" w:eastAsia="Segoe UI Symbol" w:hAnsi="Segoe UI Symbol" w:cs="Segoe UI Symbol"/>
          <w:sz w:val="33"/>
        </w:rPr>
        <w:t></w:t>
      </w:r>
      <w:r>
        <w:rPr>
          <w:rFonts w:ascii="Times New Roman" w:eastAsia="Times New Roman" w:hAnsi="Times New Roman" w:cs="Times New Roman"/>
          <w:sz w:val="15"/>
        </w:rPr>
        <w:t>3</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25"/>
        </w:rPr>
        <w:t xml:space="preserve"> </w:t>
      </w:r>
      <w:r>
        <w:rPr>
          <w:rFonts w:ascii="Segoe UI Symbol" w:eastAsia="Segoe UI Symbol" w:hAnsi="Segoe UI Symbol" w:cs="Segoe UI Symbol"/>
          <w:sz w:val="33"/>
        </w:rPr>
        <w:t></w:t>
      </w:r>
      <w:r>
        <w:rPr>
          <w:rFonts w:ascii="Segoe UI Symbol" w:eastAsia="Segoe UI Symbol" w:hAnsi="Segoe UI Symbol" w:cs="Segoe UI Symbol"/>
          <w:sz w:val="27"/>
        </w:rPr>
        <w:t></w:t>
      </w:r>
      <w:r>
        <w:rPr>
          <w:rFonts w:ascii="Times New Roman" w:eastAsia="Times New Roman" w:hAnsi="Times New Roman" w:cs="Times New Roman"/>
          <w:i/>
          <w:sz w:val="25"/>
        </w:rPr>
        <w:t>hh</w:t>
      </w:r>
      <w:r>
        <w:rPr>
          <w:rFonts w:ascii="Times New Roman" w:eastAsia="Times New Roman" w:hAnsi="Times New Roman" w:cs="Times New Roman"/>
          <w:sz w:val="23"/>
          <w:vertAlign w:val="subscript"/>
        </w:rPr>
        <w:t>1</w:t>
      </w:r>
      <w:r>
        <w:rPr>
          <w:rFonts w:ascii="Times New Roman" w:eastAsia="Times New Roman" w:hAnsi="Times New Roman" w:cs="Times New Roman"/>
          <w:sz w:val="15"/>
        </w:rPr>
        <w:t>0</w:t>
      </w:r>
      <w:r>
        <w:rPr>
          <w:rFonts w:ascii="Segoe UI Symbol" w:eastAsia="Segoe UI Symbol" w:hAnsi="Segoe UI Symbol" w:cs="Segoe UI Symbol"/>
          <w:sz w:val="33"/>
        </w:rPr>
        <w:t></w:t>
      </w:r>
      <w:r>
        <w:rPr>
          <w:rFonts w:ascii="Times New Roman" w:eastAsia="Times New Roman" w:hAnsi="Times New Roman" w:cs="Times New Roman"/>
          <w:sz w:val="15"/>
        </w:rPr>
        <w:t xml:space="preserve">4 </w:t>
      </w:r>
      <w:r>
        <w:rPr>
          <w:rFonts w:ascii="Segoe UI Symbol" w:eastAsia="Segoe UI Symbol" w:hAnsi="Segoe UI Symbol" w:cs="Segoe UI Symbol"/>
          <w:sz w:val="25"/>
        </w:rPr>
        <w:t xml:space="preserve"> </w:t>
      </w:r>
      <w:r>
        <w:rPr>
          <w:rFonts w:ascii="Segoe UI Symbol" w:eastAsia="Segoe UI Symbol" w:hAnsi="Segoe UI Symbol" w:cs="Segoe UI Symbol"/>
          <w:sz w:val="33"/>
        </w:rPr>
        <w:t></w:t>
      </w:r>
      <w:r>
        <w:rPr>
          <w:rFonts w:ascii="Segoe UI Symbol" w:eastAsia="Segoe UI Symbol" w:hAnsi="Segoe UI Symbol" w:cs="Segoe UI Symbol"/>
          <w:sz w:val="27"/>
        </w:rPr>
        <w:t></w:t>
      </w:r>
      <w:r>
        <w:rPr>
          <w:rFonts w:ascii="Times New Roman" w:eastAsia="Times New Roman" w:hAnsi="Times New Roman" w:cs="Times New Roman"/>
          <w:i/>
          <w:sz w:val="25"/>
        </w:rPr>
        <w:t>hz</w:t>
      </w:r>
      <w:r>
        <w:rPr>
          <w:rFonts w:ascii="Times New Roman" w:eastAsia="Times New Roman" w:hAnsi="Times New Roman" w:cs="Times New Roman"/>
          <w:sz w:val="23"/>
          <w:vertAlign w:val="subscript"/>
        </w:rPr>
        <w:t>1</w:t>
      </w:r>
      <w:r>
        <w:rPr>
          <w:rFonts w:ascii="Segoe UI Symbol" w:eastAsia="Segoe UI Symbol" w:hAnsi="Segoe UI Symbol" w:cs="Segoe UI Symbol"/>
          <w:sz w:val="33"/>
        </w:rPr>
        <w:t></w:t>
      </w:r>
      <w:r>
        <w:rPr>
          <w:rFonts w:ascii="Times New Roman" w:eastAsia="Times New Roman" w:hAnsi="Times New Roman" w:cs="Times New Roman"/>
          <w:sz w:val="15"/>
        </w:rPr>
        <w:t xml:space="preserve">3 </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p>
    <w:p w:rsidR="0052701D" w:rsidRDefault="00D40929">
      <w:pPr>
        <w:tabs>
          <w:tab w:val="center" w:pos="2374"/>
          <w:tab w:val="center" w:pos="5001"/>
        </w:tabs>
        <w:spacing w:after="0" w:line="268" w:lineRule="auto"/>
      </w:pPr>
      <w:r>
        <w:tab/>
      </w:r>
      <w:r>
        <w:rPr>
          <w:rFonts w:ascii="Segoe UI Symbol" w:eastAsia="Segoe UI Symbol" w:hAnsi="Segoe UI Symbol" w:cs="Segoe UI Symbol"/>
          <w:sz w:val="40"/>
        </w:rPr>
        <w:t></w:t>
      </w:r>
      <w:r>
        <w:rPr>
          <w:rFonts w:ascii="Times New Roman" w:eastAsia="Times New Roman" w:hAnsi="Times New Roman" w:cs="Times New Roman"/>
          <w:sz w:val="25"/>
        </w:rPr>
        <w:t>1</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sz w:val="15"/>
        </w:rPr>
        <w:t xml:space="preserve">2 </w:t>
      </w:r>
      <w:r>
        <w:rPr>
          <w:rFonts w:ascii="Segoe UI Symbol" w:eastAsia="Segoe UI Symbol" w:hAnsi="Segoe UI Symbol" w:cs="Segoe UI Symbol"/>
          <w:sz w:val="40"/>
        </w:rPr>
        <w:t></w:t>
      </w:r>
      <w:r>
        <w:rPr>
          <w:rFonts w:ascii="Segoe UI Symbol" w:eastAsia="Segoe UI Symbol" w:hAnsi="Segoe UI Symbol" w:cs="Segoe UI Symbol"/>
          <w:sz w:val="33"/>
        </w:rPr>
        <w:t></w:t>
      </w:r>
      <w:r>
        <w:rPr>
          <w:rFonts w:ascii="Times New Roman" w:eastAsia="Times New Roman" w:hAnsi="Times New Roman" w:cs="Times New Roman"/>
          <w:sz w:val="25"/>
        </w:rPr>
        <w:t>1</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Times New Roman" w:eastAsia="Times New Roman" w:hAnsi="Times New Roman" w:cs="Times New Roman"/>
          <w:sz w:val="25"/>
        </w:rPr>
        <w:t>ln</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Times New Roman" w:eastAsia="Times New Roman" w:hAnsi="Times New Roman" w:cs="Times New Roman"/>
          <w:sz w:val="15"/>
        </w:rPr>
        <w:t xml:space="preserve">2 </w:t>
      </w:r>
      <w:r>
        <w:rPr>
          <w:rFonts w:ascii="Segoe UI Symbol" w:eastAsia="Segoe UI Symbol" w:hAnsi="Segoe UI Symbol" w:cs="Segoe UI Symbol"/>
          <w:sz w:val="25"/>
        </w:rPr>
        <w:t></w:t>
      </w:r>
      <w:r>
        <w:rPr>
          <w:rFonts w:ascii="Segoe UI Symbol" w:eastAsia="Segoe UI Symbol" w:hAnsi="Segoe UI Symbol" w:cs="Segoe UI Symbol"/>
          <w:sz w:val="25"/>
        </w:rPr>
        <w:tab/>
      </w:r>
      <w:r>
        <w:rPr>
          <w:rFonts w:ascii="Segoe UI Symbol" w:eastAsia="Segoe UI Symbol" w:hAnsi="Segoe UI Symbol" w:cs="Segoe UI Symbol"/>
          <w:sz w:val="40"/>
          <w:u w:val="single" w:color="000000"/>
        </w:rPr>
        <w:t></w:t>
      </w:r>
      <w:r>
        <w:rPr>
          <w:rFonts w:ascii="Times New Roman" w:eastAsia="Times New Roman" w:hAnsi="Times New Roman" w:cs="Times New Roman"/>
          <w:sz w:val="25"/>
        </w:rPr>
        <w:t>1</w:t>
      </w:r>
    </w:p>
    <w:p w:rsidR="0052701D" w:rsidRDefault="00D40929">
      <w:pPr>
        <w:tabs>
          <w:tab w:val="center" w:pos="1863"/>
          <w:tab w:val="center" w:pos="2300"/>
          <w:tab w:val="center" w:pos="3319"/>
          <w:tab w:val="center" w:pos="4263"/>
          <w:tab w:val="center" w:pos="5520"/>
          <w:tab w:val="center" w:pos="6812"/>
          <w:tab w:val="center" w:pos="7815"/>
        </w:tabs>
        <w:spacing w:after="3"/>
      </w:pPr>
      <w:r>
        <w:rPr>
          <w:noProof/>
        </w:rPr>
        <mc:AlternateContent>
          <mc:Choice Requires="wpg">
            <w:drawing>
              <wp:anchor distT="0" distB="0" distL="114300" distR="114300" simplePos="0" relativeHeight="251709440" behindDoc="0" locked="0" layoutInCell="1" allowOverlap="1">
                <wp:simplePos x="0" y="0"/>
                <wp:positionH relativeFrom="column">
                  <wp:posOffset>575941</wp:posOffset>
                </wp:positionH>
                <wp:positionV relativeFrom="paragraph">
                  <wp:posOffset>116785</wp:posOffset>
                </wp:positionV>
                <wp:extent cx="1785467" cy="6288"/>
                <wp:effectExtent l="0" t="0" r="0" b="0"/>
                <wp:wrapNone/>
                <wp:docPr id="920896" name="Group 920896"/>
                <wp:cNvGraphicFramePr/>
                <a:graphic xmlns:a="http://schemas.openxmlformats.org/drawingml/2006/main">
                  <a:graphicData uri="http://schemas.microsoft.com/office/word/2010/wordprocessingGroup">
                    <wpg:wgp>
                      <wpg:cNvGrpSpPr/>
                      <wpg:grpSpPr>
                        <a:xfrm>
                          <a:off x="0" y="0"/>
                          <a:ext cx="1785467" cy="6288"/>
                          <a:chOff x="0" y="0"/>
                          <a:chExt cx="1785467" cy="6288"/>
                        </a:xfrm>
                      </wpg:grpSpPr>
                      <wps:wsp>
                        <wps:cNvPr id="10091" name="Shape 10091"/>
                        <wps:cNvSpPr/>
                        <wps:spPr>
                          <a:xfrm>
                            <a:off x="0" y="0"/>
                            <a:ext cx="823373" cy="0"/>
                          </a:xfrm>
                          <a:custGeom>
                            <a:avLst/>
                            <a:gdLst/>
                            <a:ahLst/>
                            <a:cxnLst/>
                            <a:rect l="0" t="0" r="0" b="0"/>
                            <a:pathLst>
                              <a:path w="823373">
                                <a:moveTo>
                                  <a:pt x="0" y="0"/>
                                </a:moveTo>
                                <a:lnTo>
                                  <a:pt x="823373" y="0"/>
                                </a:lnTo>
                              </a:path>
                            </a:pathLst>
                          </a:custGeom>
                          <a:ln w="6288" cap="flat">
                            <a:round/>
                          </a:ln>
                        </wps:spPr>
                        <wps:style>
                          <a:lnRef idx="1">
                            <a:srgbClr val="000000"/>
                          </a:lnRef>
                          <a:fillRef idx="0">
                            <a:srgbClr val="000000">
                              <a:alpha val="0"/>
                            </a:srgbClr>
                          </a:fillRef>
                          <a:effectRef idx="0">
                            <a:scrgbClr r="0" g="0" b="0"/>
                          </a:effectRef>
                          <a:fontRef idx="none"/>
                        </wps:style>
                        <wps:bodyPr/>
                      </wps:wsp>
                      <wps:wsp>
                        <wps:cNvPr id="10096" name="Shape 10096"/>
                        <wps:cNvSpPr/>
                        <wps:spPr>
                          <a:xfrm>
                            <a:off x="918658" y="0"/>
                            <a:ext cx="866809" cy="0"/>
                          </a:xfrm>
                          <a:custGeom>
                            <a:avLst/>
                            <a:gdLst/>
                            <a:ahLst/>
                            <a:cxnLst/>
                            <a:rect l="0" t="0" r="0" b="0"/>
                            <a:pathLst>
                              <a:path w="866809">
                                <a:moveTo>
                                  <a:pt x="0" y="0"/>
                                </a:moveTo>
                                <a:lnTo>
                                  <a:pt x="866809" y="0"/>
                                </a:lnTo>
                              </a:path>
                            </a:pathLst>
                          </a:custGeom>
                          <a:ln w="6288"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20896" style="width:140.588pt;height:0.495109pt;position:absolute;z-index:113;mso-position-horizontal-relative:text;mso-position-horizontal:absolute;margin-left:45.3497pt;mso-position-vertical-relative:text;margin-top:9.19569pt;" coordsize="17854,62">
                <v:shape id="Shape 10091" style="position:absolute;width:8233;height:0;left:0;top:0;" coordsize="823373,0" path="m0,0l823373,0">
                  <v:stroke weight="0.495109pt" endcap="flat" joinstyle="round" on="true" color="#000000"/>
                  <v:fill on="false" color="#000000" opacity="0"/>
                </v:shape>
                <v:shape id="Shape 10096" style="position:absolute;width:8668;height:0;left:9186;top:0;" coordsize="866809,0" path="m0,0l866809,0">
                  <v:stroke weight="0.495109pt" endcap="flat" joinstyle="round" on="true" color="#000000"/>
                  <v:fill on="false" color="#000000" opacity="0"/>
                </v:shape>
              </v:group>
            </w:pict>
          </mc:Fallback>
        </mc:AlternateContent>
      </w:r>
      <w:r>
        <w:rPr>
          <w:rFonts w:ascii="Segoe UI Symbol" w:eastAsia="Segoe UI Symbol" w:hAnsi="Segoe UI Symbol" w:cs="Segoe UI Symbol"/>
          <w:sz w:val="25"/>
        </w:rPr>
        <w:t xml:space="preserve"> </w:t>
      </w:r>
      <w:r>
        <w:rPr>
          <w:rFonts w:ascii="Times New Roman" w:eastAsia="Times New Roman" w:hAnsi="Times New Roman" w:cs="Times New Roman"/>
          <w:sz w:val="25"/>
        </w:rPr>
        <w:t>24</w:t>
      </w:r>
      <w:r>
        <w:rPr>
          <w:rFonts w:ascii="Segoe UI Symbol" w:eastAsia="Segoe UI Symbol" w:hAnsi="Segoe UI Symbol" w:cs="Segoe UI Symbol"/>
          <w:sz w:val="26"/>
        </w:rPr>
        <w:t></w:t>
      </w:r>
      <w:r>
        <w:rPr>
          <w:rFonts w:ascii="Segoe UI Symbol" w:eastAsia="Segoe UI Symbol" w:hAnsi="Segoe UI Symbol" w:cs="Segoe UI Symbol"/>
          <w:sz w:val="26"/>
        </w:rPr>
        <w:t></w:t>
      </w:r>
      <w:r>
        <w:rPr>
          <w:rFonts w:ascii="Times New Roman" w:eastAsia="Times New Roman" w:hAnsi="Times New Roman" w:cs="Times New Roman"/>
          <w:sz w:val="15"/>
        </w:rPr>
        <w:t>2</w:t>
      </w:r>
      <w:r>
        <w:rPr>
          <w:rFonts w:ascii="Times New Roman" w:eastAsia="Times New Roman" w:hAnsi="Times New Roman" w:cs="Times New Roman"/>
          <w:sz w:val="15"/>
        </w:rPr>
        <w:tab/>
        <w:t>2</w:t>
      </w:r>
      <w:r>
        <w:rPr>
          <w:rFonts w:ascii="Times New Roman" w:eastAsia="Times New Roman" w:hAnsi="Times New Roman" w:cs="Times New Roman"/>
          <w:sz w:val="15"/>
        </w:rPr>
        <w:tab/>
      </w:r>
      <w:r>
        <w:rPr>
          <w:rFonts w:ascii="Segoe UI Symbol" w:eastAsia="Segoe UI Symbol" w:hAnsi="Segoe UI Symbol" w:cs="Segoe UI Symbol"/>
          <w:sz w:val="25"/>
        </w:rPr>
        <w:t></w:t>
      </w:r>
      <w:r>
        <w:rPr>
          <w:rFonts w:ascii="Segoe UI Symbol" w:eastAsia="Segoe UI Symbol" w:hAnsi="Segoe UI Symbol" w:cs="Segoe UI Symbol"/>
          <w:sz w:val="25"/>
        </w:rPr>
        <w:tab/>
      </w:r>
      <w:r>
        <w:rPr>
          <w:rFonts w:ascii="Times New Roman" w:eastAsia="Times New Roman" w:hAnsi="Times New Roman" w:cs="Times New Roman"/>
          <w:sz w:val="15"/>
        </w:rPr>
        <w:t>2</w:t>
      </w:r>
      <w:r>
        <w:rPr>
          <w:rFonts w:ascii="Times New Roman" w:eastAsia="Times New Roman" w:hAnsi="Times New Roman" w:cs="Times New Roman"/>
          <w:sz w:val="15"/>
        </w:rPr>
        <w:tab/>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sz w:val="25"/>
        </w:rPr>
        <w:t>144</w:t>
      </w:r>
      <w:r>
        <w:rPr>
          <w:rFonts w:ascii="Segoe UI Symbol" w:eastAsia="Segoe UI Symbol" w:hAnsi="Segoe UI Symbol" w:cs="Segoe UI Symbol"/>
          <w:sz w:val="26"/>
        </w:rPr>
        <w:t></w:t>
      </w:r>
      <w:r>
        <w:rPr>
          <w:rFonts w:ascii="Segoe UI Symbol" w:eastAsia="Segoe UI Symbol" w:hAnsi="Segoe UI Symbol" w:cs="Segoe UI Symbol"/>
          <w:sz w:val="26"/>
        </w:rPr>
        <w:t></w:t>
      </w:r>
      <w:r>
        <w:rPr>
          <w:rFonts w:ascii="Times New Roman" w:eastAsia="Times New Roman" w:hAnsi="Times New Roman" w:cs="Times New Roman"/>
          <w:sz w:val="15"/>
        </w:rPr>
        <w:t>0</w:t>
      </w:r>
      <w:r>
        <w:rPr>
          <w:rFonts w:ascii="Times New Roman" w:eastAsia="Times New Roman" w:hAnsi="Times New Roman" w:cs="Times New Roman"/>
          <w:sz w:val="15"/>
        </w:rPr>
        <w:tab/>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sz w:val="15"/>
        </w:rPr>
        <w:t xml:space="preserve">2 </w:t>
      </w:r>
      <w:r>
        <w:rPr>
          <w:rFonts w:ascii="Segoe UI Symbol" w:eastAsia="Segoe UI Symbol" w:hAnsi="Segoe UI Symbol" w:cs="Segoe UI Symbol"/>
          <w:sz w:val="40"/>
          <w:u w:val="single" w:color="000000"/>
        </w:rPr>
        <w:t></w:t>
      </w:r>
      <w:r>
        <w:rPr>
          <w:rFonts w:ascii="Times New Roman" w:eastAsia="Times New Roman" w:hAnsi="Times New Roman" w:cs="Times New Roman"/>
          <w:sz w:val="15"/>
        </w:rPr>
        <w:t xml:space="preserve">22 </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ab/>
      </w:r>
      <w:r>
        <w:rPr>
          <w:noProof/>
        </w:rPr>
        <mc:AlternateContent>
          <mc:Choice Requires="wpg">
            <w:drawing>
              <wp:inline distT="0" distB="0" distL="0" distR="0">
                <wp:extent cx="1111102" cy="6288"/>
                <wp:effectExtent l="0" t="0" r="0" b="0"/>
                <wp:docPr id="920897" name="Group 920897"/>
                <wp:cNvGraphicFramePr/>
                <a:graphic xmlns:a="http://schemas.openxmlformats.org/drawingml/2006/main">
                  <a:graphicData uri="http://schemas.microsoft.com/office/word/2010/wordprocessingGroup">
                    <wpg:wgp>
                      <wpg:cNvGrpSpPr/>
                      <wpg:grpSpPr>
                        <a:xfrm>
                          <a:off x="0" y="0"/>
                          <a:ext cx="1111102" cy="6288"/>
                          <a:chOff x="0" y="0"/>
                          <a:chExt cx="1111102" cy="6288"/>
                        </a:xfrm>
                      </wpg:grpSpPr>
                      <wps:wsp>
                        <wps:cNvPr id="10108" name="Shape 10108"/>
                        <wps:cNvSpPr/>
                        <wps:spPr>
                          <a:xfrm>
                            <a:off x="0" y="0"/>
                            <a:ext cx="1111102" cy="0"/>
                          </a:xfrm>
                          <a:custGeom>
                            <a:avLst/>
                            <a:gdLst/>
                            <a:ahLst/>
                            <a:cxnLst/>
                            <a:rect l="0" t="0" r="0" b="0"/>
                            <a:pathLst>
                              <a:path w="1111102">
                                <a:moveTo>
                                  <a:pt x="0" y="0"/>
                                </a:moveTo>
                                <a:lnTo>
                                  <a:pt x="1111102" y="0"/>
                                </a:lnTo>
                              </a:path>
                            </a:pathLst>
                          </a:custGeom>
                          <a:ln w="6288"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20897" style="width:87.4883pt;height:0.495109pt;mso-position-horizontal-relative:char;mso-position-vertical-relative:line" coordsize="11111,62">
                <v:shape id="Shape 10108" style="position:absolute;width:11111;height:0;left:0;top:0;" coordsize="1111102,0" path="m0,0l1111102,0">
                  <v:stroke weight="0.495109pt" endcap="flat" joinstyle="round" on="true" color="#000000"/>
                  <v:fill on="false" color="#000000" opacity="0"/>
                </v:shape>
              </v:group>
            </w:pict>
          </mc:Fallback>
        </mc:AlternateContent>
      </w:r>
      <w:r>
        <w:rPr>
          <w:rFonts w:ascii="Times New Roman" w:eastAsia="Times New Roman" w:hAnsi="Times New Roman" w:cs="Times New Roman"/>
          <w:sz w:val="25"/>
        </w:rPr>
        <w:t>ln</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20 </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33"/>
        </w:rPr>
        <w:tab/>
      </w:r>
      <w:r>
        <w:rPr>
          <w:rFonts w:ascii="Segoe UI Symbol" w:eastAsia="Segoe UI Symbol" w:hAnsi="Segoe UI Symbol" w:cs="Segoe UI Symbol"/>
          <w:sz w:val="25"/>
        </w:rPr>
        <w:t></w:t>
      </w:r>
    </w:p>
    <w:p w:rsidR="0052701D" w:rsidRDefault="00D40929">
      <w:pPr>
        <w:tabs>
          <w:tab w:val="center" w:pos="1509"/>
          <w:tab w:val="center" w:pos="2300"/>
          <w:tab w:val="center" w:pos="2986"/>
          <w:tab w:val="center" w:pos="3780"/>
          <w:tab w:val="center" w:pos="6293"/>
          <w:tab w:val="center" w:pos="7923"/>
        </w:tabs>
        <w:spacing w:after="3"/>
      </w:pPr>
      <w:r>
        <w:tab/>
      </w:r>
      <w:r>
        <w:rPr>
          <w:rFonts w:ascii="Times New Roman" w:eastAsia="Times New Roman" w:hAnsi="Times New Roman" w:cs="Times New Roman"/>
          <w:i/>
          <w:sz w:val="25"/>
        </w:rPr>
        <w:t>E</w:t>
      </w:r>
      <w:r>
        <w:rPr>
          <w:rFonts w:ascii="Segoe UI Symbol" w:eastAsia="Segoe UI Symbol" w:hAnsi="Segoe UI Symbol" w:cs="Segoe UI Symbol"/>
          <w:sz w:val="33"/>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Segoe UI Symbol" w:eastAsia="Segoe UI Symbol" w:hAnsi="Segoe UI Symbol" w:cs="Segoe UI Symbol"/>
          <w:sz w:val="33"/>
        </w:rPr>
        <w:t></w:t>
      </w:r>
      <w:r>
        <w:rPr>
          <w:rFonts w:ascii="Segoe UI Symbol" w:eastAsia="Segoe UI Symbol" w:hAnsi="Segoe UI Symbol" w:cs="Segoe UI Symbol"/>
          <w:sz w:val="33"/>
        </w:rPr>
        <w:tab/>
      </w:r>
      <w:r>
        <w:rPr>
          <w:rFonts w:ascii="Segoe UI Symbol" w:eastAsia="Segoe UI Symbol" w:hAnsi="Segoe UI Symbol" w:cs="Segoe UI Symbol"/>
          <w:sz w:val="25"/>
        </w:rPr>
        <w:t></w:t>
      </w:r>
      <w:r>
        <w:rPr>
          <w:rFonts w:ascii="Segoe UI Symbol" w:eastAsia="Segoe UI Symbol" w:hAnsi="Segoe UI Symbol" w:cs="Segoe UI Symbol"/>
          <w:sz w:val="39"/>
          <w:vertAlign w:val="subscript"/>
        </w:rPr>
        <w:t></w:t>
      </w:r>
      <w:r>
        <w:rPr>
          <w:rFonts w:ascii="Segoe UI Symbol" w:eastAsia="Segoe UI Symbol" w:hAnsi="Segoe UI Symbol" w:cs="Segoe UI Symbol"/>
          <w:sz w:val="39"/>
          <w:vertAlign w:val="subscript"/>
        </w:rPr>
        <w:tab/>
      </w:r>
      <w:r>
        <w:rPr>
          <w:rFonts w:ascii="Times New Roman" w:eastAsia="Times New Roman" w:hAnsi="Times New Roman" w:cs="Times New Roman"/>
          <w:sz w:val="25"/>
        </w:rPr>
        <w:t>2</w:t>
      </w:r>
      <w:r>
        <w:rPr>
          <w:rFonts w:ascii="Segoe UI Symbol" w:eastAsia="Segoe UI Symbol" w:hAnsi="Segoe UI Symbol" w:cs="Segoe UI Symbol"/>
          <w:sz w:val="33"/>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Segoe UI Symbol" w:eastAsia="Segoe UI Symbol" w:hAnsi="Segoe UI Symbol" w:cs="Segoe UI Symbol"/>
          <w:sz w:val="33"/>
        </w:rPr>
        <w:t></w:t>
      </w:r>
      <w:r>
        <w:rPr>
          <w:rFonts w:ascii="Segoe UI Symbol" w:eastAsia="Segoe UI Symbol" w:hAnsi="Segoe UI Symbol" w:cs="Segoe UI Symbol"/>
          <w:sz w:val="33"/>
        </w:rPr>
        <w:tab/>
      </w:r>
      <w:r>
        <w:rPr>
          <w:rFonts w:ascii="Segoe UI Symbol" w:eastAsia="Segoe UI Symbol" w:hAnsi="Segoe UI Symbol" w:cs="Segoe UI Symbol"/>
          <w:sz w:val="25"/>
        </w:rPr>
        <w:t></w:t>
      </w:r>
      <w:r>
        <w:rPr>
          <w:rFonts w:ascii="Segoe UI Symbol" w:eastAsia="Segoe UI Symbol" w:hAnsi="Segoe UI Symbol" w:cs="Segoe UI Symbol"/>
          <w:sz w:val="39"/>
          <w:vertAlign w:val="subscript"/>
        </w:rPr>
        <w:t></w:t>
      </w:r>
      <w:r>
        <w:rPr>
          <w:rFonts w:ascii="Segoe UI Symbol" w:eastAsia="Segoe UI Symbol" w:hAnsi="Segoe UI Symbol" w:cs="Segoe UI Symbol"/>
          <w:sz w:val="39"/>
          <w:vertAlign w:val="subscript"/>
        </w:rPr>
        <w:tab/>
      </w:r>
      <w:r>
        <w:rPr>
          <w:rFonts w:ascii="Times New Roman" w:eastAsia="Times New Roman" w:hAnsi="Times New Roman" w:cs="Times New Roman"/>
          <w:i/>
          <w:sz w:val="25"/>
        </w:rPr>
        <w:t>RE</w:t>
      </w:r>
      <w:r>
        <w:rPr>
          <w:rFonts w:ascii="Segoe UI Symbol" w:eastAsia="Segoe UI Symbol" w:hAnsi="Segoe UI Symbol" w:cs="Segoe UI Symbol"/>
          <w:sz w:val="33"/>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Segoe UI Symbol" w:eastAsia="Segoe UI Symbol" w:hAnsi="Segoe UI Symbol" w:cs="Segoe UI Symbol"/>
          <w:sz w:val="33"/>
        </w:rPr>
        <w:t xml:space="preserve"> </w:t>
      </w:r>
      <w:r>
        <w:rPr>
          <w:rFonts w:ascii="Segoe UI Symbol" w:eastAsia="Segoe UI Symbol" w:hAnsi="Segoe UI Symbol" w:cs="Segoe UI Symbol"/>
          <w:sz w:val="25"/>
        </w:rPr>
        <w:t></w:t>
      </w:r>
      <w:r>
        <w:rPr>
          <w:rFonts w:ascii="Segoe UI Symbol" w:eastAsia="Segoe UI Symbol" w:hAnsi="Segoe UI Symbol" w:cs="Segoe UI Symbol"/>
          <w:sz w:val="39"/>
          <w:vertAlign w:val="subscript"/>
        </w:rPr>
        <w:t></w:t>
      </w:r>
      <w:r>
        <w:rPr>
          <w:rFonts w:ascii="Times New Roman" w:eastAsia="Times New Roman" w:hAnsi="Times New Roman" w:cs="Times New Roman"/>
          <w:sz w:val="25"/>
        </w:rPr>
        <w:t>2</w:t>
      </w:r>
      <w:r>
        <w:rPr>
          <w:rFonts w:ascii="Segoe UI Symbol" w:eastAsia="Segoe UI Symbol" w:hAnsi="Segoe UI Symbol" w:cs="Segoe UI Symbol"/>
          <w:sz w:val="33"/>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Segoe UI Symbol" w:eastAsia="Segoe UI Symbol" w:hAnsi="Segoe UI Symbol" w:cs="Segoe UI Symbol"/>
          <w:sz w:val="33"/>
        </w:rPr>
        <w:t xml:space="preserve"> </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 xml:space="preserve">0 </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Times New Roman" w:eastAsia="Times New Roman" w:hAnsi="Times New Roman" w:cs="Times New Roman"/>
          <w:i/>
          <w:sz w:val="25"/>
        </w:rPr>
        <w:t>z</w:t>
      </w:r>
      <w:r>
        <w:rPr>
          <w:rFonts w:ascii="Segoe UI Symbol" w:eastAsia="Segoe UI Symbol" w:hAnsi="Segoe UI Symbol" w:cs="Segoe UI Symbol"/>
          <w:sz w:val="51"/>
          <w:vertAlign w:val="superscript"/>
        </w:rPr>
        <w:t></w:t>
      </w:r>
      <w:r>
        <w:rPr>
          <w:rFonts w:ascii="Segoe UI Symbol" w:eastAsia="Segoe UI Symbol" w:hAnsi="Segoe UI Symbol" w:cs="Segoe UI Symbol"/>
          <w:sz w:val="51"/>
          <w:vertAlign w:val="superscript"/>
        </w:rPr>
        <w:tab/>
      </w:r>
      <w:r>
        <w:rPr>
          <w:rFonts w:ascii="Times New Roman" w:eastAsia="Times New Roman" w:hAnsi="Times New Roman" w:cs="Times New Roman"/>
          <w:sz w:val="37"/>
          <w:vertAlign w:val="subscript"/>
        </w:rPr>
        <w:t xml:space="preserve"> </w:t>
      </w:r>
    </w:p>
    <w:p w:rsidR="0052701D" w:rsidRDefault="00D40929">
      <w:pPr>
        <w:tabs>
          <w:tab w:val="center" w:pos="1094"/>
          <w:tab w:val="center" w:pos="5518"/>
        </w:tabs>
        <w:spacing w:after="0"/>
      </w:pPr>
      <w:r>
        <w:rPr>
          <w:noProof/>
        </w:rPr>
        <mc:AlternateContent>
          <mc:Choice Requires="wpg">
            <w:drawing>
              <wp:anchor distT="0" distB="0" distL="114300" distR="114300" simplePos="0" relativeHeight="251710464" behindDoc="0" locked="0" layoutInCell="1" allowOverlap="1">
                <wp:simplePos x="0" y="0"/>
                <wp:positionH relativeFrom="column">
                  <wp:posOffset>2615637</wp:posOffset>
                </wp:positionH>
                <wp:positionV relativeFrom="paragraph">
                  <wp:posOffset>157519</wp:posOffset>
                </wp:positionV>
                <wp:extent cx="3021682" cy="6322"/>
                <wp:effectExtent l="0" t="0" r="0" b="0"/>
                <wp:wrapNone/>
                <wp:docPr id="920899" name="Group 920899"/>
                <wp:cNvGraphicFramePr/>
                <a:graphic xmlns:a="http://schemas.openxmlformats.org/drawingml/2006/main">
                  <a:graphicData uri="http://schemas.microsoft.com/office/word/2010/wordprocessingGroup">
                    <wpg:wgp>
                      <wpg:cNvGrpSpPr/>
                      <wpg:grpSpPr>
                        <a:xfrm>
                          <a:off x="0" y="0"/>
                          <a:ext cx="3021682" cy="6322"/>
                          <a:chOff x="0" y="0"/>
                          <a:chExt cx="3021682" cy="6322"/>
                        </a:xfrm>
                      </wpg:grpSpPr>
                      <wps:wsp>
                        <wps:cNvPr id="10201" name="Shape 10201"/>
                        <wps:cNvSpPr/>
                        <wps:spPr>
                          <a:xfrm>
                            <a:off x="0" y="0"/>
                            <a:ext cx="853638" cy="0"/>
                          </a:xfrm>
                          <a:custGeom>
                            <a:avLst/>
                            <a:gdLst/>
                            <a:ahLst/>
                            <a:cxnLst/>
                            <a:rect l="0" t="0" r="0" b="0"/>
                            <a:pathLst>
                              <a:path w="853638">
                                <a:moveTo>
                                  <a:pt x="0" y="0"/>
                                </a:moveTo>
                                <a:lnTo>
                                  <a:pt x="853638" y="0"/>
                                </a:lnTo>
                              </a:path>
                            </a:pathLst>
                          </a:custGeom>
                          <a:ln w="6322" cap="flat">
                            <a:round/>
                          </a:ln>
                        </wps:spPr>
                        <wps:style>
                          <a:lnRef idx="1">
                            <a:srgbClr val="000000"/>
                          </a:lnRef>
                          <a:fillRef idx="0">
                            <a:srgbClr val="000000">
                              <a:alpha val="0"/>
                            </a:srgbClr>
                          </a:fillRef>
                          <a:effectRef idx="0">
                            <a:scrgbClr r="0" g="0" b="0"/>
                          </a:effectRef>
                          <a:fontRef idx="none"/>
                        </wps:style>
                        <wps:bodyPr/>
                      </wps:wsp>
                      <wps:wsp>
                        <wps:cNvPr id="10206" name="Shape 10206"/>
                        <wps:cNvSpPr/>
                        <wps:spPr>
                          <a:xfrm>
                            <a:off x="999754" y="0"/>
                            <a:ext cx="776567" cy="0"/>
                          </a:xfrm>
                          <a:custGeom>
                            <a:avLst/>
                            <a:gdLst/>
                            <a:ahLst/>
                            <a:cxnLst/>
                            <a:rect l="0" t="0" r="0" b="0"/>
                            <a:pathLst>
                              <a:path w="776567">
                                <a:moveTo>
                                  <a:pt x="0" y="0"/>
                                </a:moveTo>
                                <a:lnTo>
                                  <a:pt x="776567" y="0"/>
                                </a:lnTo>
                              </a:path>
                            </a:pathLst>
                          </a:custGeom>
                          <a:ln w="6322" cap="flat">
                            <a:round/>
                          </a:ln>
                        </wps:spPr>
                        <wps:style>
                          <a:lnRef idx="1">
                            <a:srgbClr val="000000"/>
                          </a:lnRef>
                          <a:fillRef idx="0">
                            <a:srgbClr val="000000">
                              <a:alpha val="0"/>
                            </a:srgbClr>
                          </a:fillRef>
                          <a:effectRef idx="0">
                            <a:scrgbClr r="0" g="0" b="0"/>
                          </a:effectRef>
                          <a:fontRef idx="none"/>
                        </wps:style>
                        <wps:bodyPr/>
                      </wps:wsp>
                      <wps:wsp>
                        <wps:cNvPr id="10213" name="Shape 10213"/>
                        <wps:cNvSpPr/>
                        <wps:spPr>
                          <a:xfrm>
                            <a:off x="1931609" y="0"/>
                            <a:ext cx="1090073" cy="0"/>
                          </a:xfrm>
                          <a:custGeom>
                            <a:avLst/>
                            <a:gdLst/>
                            <a:ahLst/>
                            <a:cxnLst/>
                            <a:rect l="0" t="0" r="0" b="0"/>
                            <a:pathLst>
                              <a:path w="1090073">
                                <a:moveTo>
                                  <a:pt x="0" y="0"/>
                                </a:moveTo>
                                <a:lnTo>
                                  <a:pt x="1090073" y="0"/>
                                </a:lnTo>
                              </a:path>
                            </a:pathLst>
                          </a:custGeom>
                          <a:ln w="6322"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20899" style="width:237.928pt;height:0.497773pt;position:absolute;z-index:226;mso-position-horizontal-relative:text;mso-position-horizontal:absolute;margin-left:205.956pt;mso-position-vertical-relative:text;margin-top:12.4031pt;" coordsize="30216,63">
                <v:shape id="Shape 10201" style="position:absolute;width:8536;height:0;left:0;top:0;" coordsize="853638,0" path="m0,0l853638,0">
                  <v:stroke weight="0.497773pt" endcap="flat" joinstyle="round" on="true" color="#000000"/>
                  <v:fill on="false" color="#000000" opacity="0"/>
                </v:shape>
                <v:shape id="Shape 10206" style="position:absolute;width:7765;height:0;left:9997;top:0;" coordsize="776567,0" path="m0,0l776567,0">
                  <v:stroke weight="0.497773pt" endcap="flat" joinstyle="round" on="true" color="#000000"/>
                  <v:fill on="false" color="#000000" opacity="0"/>
                </v:shape>
                <v:shape id="Shape 10213" style="position:absolute;width:10900;height:0;left:19316;top:0;" coordsize="1090073,0" path="m0,0l1090073,0">
                  <v:stroke weight="0.497773pt" endcap="flat" joinstyle="round" on="true" color="#000000"/>
                  <v:fill on="false" color="#000000" opacity="0"/>
                </v:shape>
              </v:group>
            </w:pict>
          </mc:Fallback>
        </mc:AlternateContent>
      </w:r>
      <w:r>
        <w:tab/>
      </w:r>
      <w:r>
        <w:rPr>
          <w:rFonts w:ascii="Times New Roman" w:eastAsia="Times New Roman" w:hAnsi="Times New Roman" w:cs="Times New Roman"/>
          <w:sz w:val="25"/>
        </w:rPr>
        <w:t>3</w:t>
      </w:r>
      <w:r>
        <w:rPr>
          <w:rFonts w:ascii="Times New Roman" w:eastAsia="Times New Roman" w:hAnsi="Times New Roman" w:cs="Times New Roman"/>
          <w:sz w:val="25"/>
        </w:rPr>
        <w:tab/>
      </w:r>
      <w:r>
        <w:rPr>
          <w:rFonts w:ascii="Segoe UI Symbol" w:eastAsia="Segoe UI Symbol" w:hAnsi="Segoe UI Symbol" w:cs="Segoe UI Symbol"/>
          <w:sz w:val="25"/>
        </w:rPr>
        <w:t xml:space="preserve"> </w:t>
      </w:r>
      <w:r>
        <w:rPr>
          <w:rFonts w:ascii="Times New Roman" w:eastAsia="Times New Roman" w:hAnsi="Times New Roman" w:cs="Times New Roman"/>
          <w:sz w:val="25"/>
        </w:rPr>
        <w:t>144</w:t>
      </w:r>
      <w:r>
        <w:rPr>
          <w:rFonts w:ascii="Segoe UI Symbol" w:eastAsia="Segoe UI Symbol" w:hAnsi="Segoe UI Symbol" w:cs="Segoe UI Symbol"/>
          <w:sz w:val="27"/>
        </w:rPr>
        <w:t></w:t>
      </w:r>
      <w:r>
        <w:rPr>
          <w:rFonts w:ascii="Segoe UI Symbol" w:eastAsia="Segoe UI Symbol" w:hAnsi="Segoe UI Symbol" w:cs="Segoe UI Symbol"/>
          <w:sz w:val="27"/>
        </w:rPr>
        <w:t></w:t>
      </w:r>
      <w:r>
        <w:rPr>
          <w:rFonts w:ascii="Times New Roman" w:eastAsia="Times New Roman" w:hAnsi="Times New Roman" w:cs="Times New Roman"/>
          <w:sz w:val="23"/>
          <w:vertAlign w:val="subscript"/>
        </w:rPr>
        <w:t xml:space="preserve">1 </w:t>
      </w:r>
      <w:r>
        <w:rPr>
          <w:rFonts w:ascii="Segoe UI Symbol" w:eastAsia="Segoe UI Symbol" w:hAnsi="Segoe UI Symbol" w:cs="Segoe UI Symbol"/>
          <w:sz w:val="40"/>
          <w:u w:val="single" w:color="000000"/>
        </w:rPr>
        <w:t></w:t>
      </w:r>
      <w:r>
        <w:rPr>
          <w:rFonts w:ascii="Times New Roman" w:eastAsia="Times New Roman" w:hAnsi="Times New Roman" w:cs="Times New Roman"/>
          <w:sz w:val="25"/>
        </w:rPr>
        <w:t>1</w:t>
      </w:r>
      <w:r>
        <w:rPr>
          <w:rFonts w:ascii="Segoe UI Symbol" w:eastAsia="Segoe UI Symbol" w:hAnsi="Segoe UI Symbol" w:cs="Segoe UI Symbol"/>
          <w:sz w:val="25"/>
        </w:rPr>
        <w:t></w:t>
      </w:r>
      <w:r>
        <w:rPr>
          <w:rFonts w:ascii="Segoe UI Symbol" w:eastAsia="Segoe UI Symbol" w:hAnsi="Segoe UI Symbol" w:cs="Segoe UI Symbol"/>
          <w:sz w:val="27"/>
        </w:rPr>
        <w:t></w:t>
      </w:r>
      <w:r>
        <w:rPr>
          <w:rFonts w:ascii="Times New Roman" w:eastAsia="Times New Roman" w:hAnsi="Times New Roman" w:cs="Times New Roman"/>
          <w:sz w:val="23"/>
          <w:vertAlign w:val="superscript"/>
        </w:rPr>
        <w:t xml:space="preserve">2 </w:t>
      </w:r>
      <w:r>
        <w:rPr>
          <w:rFonts w:ascii="Segoe UI Symbol" w:eastAsia="Segoe UI Symbol" w:hAnsi="Segoe UI Symbol" w:cs="Segoe UI Symbol"/>
          <w:sz w:val="40"/>
          <w:u w:val="single" w:color="000000"/>
        </w:rPr>
        <w:t></w:t>
      </w:r>
      <w:r>
        <w:rPr>
          <w:rFonts w:ascii="Times New Roman" w:eastAsia="Times New Roman" w:hAnsi="Times New Roman" w:cs="Times New Roman"/>
          <w:sz w:val="23"/>
          <w:vertAlign w:val="superscript"/>
        </w:rPr>
        <w:t>2</w:t>
      </w:r>
      <w:r>
        <w:rPr>
          <w:rFonts w:ascii="Times New Roman" w:eastAsia="Times New Roman" w:hAnsi="Times New Roman" w:cs="Times New Roman"/>
          <w:sz w:val="23"/>
          <w:vertAlign w:val="subscript"/>
        </w:rPr>
        <w:t xml:space="preserve">2 </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sz w:val="25"/>
        </w:rPr>
        <w:t>ln</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 xml:space="preserve">0 </w:t>
      </w:r>
      <w:r>
        <w:rPr>
          <w:rFonts w:ascii="Segoe UI Symbol" w:eastAsia="Segoe UI Symbol" w:hAnsi="Segoe UI Symbol" w:cs="Segoe UI Symbol"/>
          <w:sz w:val="25"/>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31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Times New Roman" w:eastAsia="Times New Roman" w:hAnsi="Times New Roman" w:cs="Times New Roman"/>
          <w:sz w:val="23"/>
          <w:vertAlign w:val="superscript"/>
        </w:rPr>
        <w:t xml:space="preserve">2 </w:t>
      </w:r>
      <w:r>
        <w:rPr>
          <w:rFonts w:ascii="Segoe UI Symbol" w:eastAsia="Segoe UI Symbol" w:hAnsi="Segoe UI Symbol" w:cs="Segoe UI Symbol"/>
          <w:sz w:val="25"/>
        </w:rPr>
        <w:t xml:space="preserve"> </w:t>
      </w:r>
      <w:r>
        <w:rPr>
          <w:rFonts w:ascii="Times New Roman" w:eastAsia="Times New Roman" w:hAnsi="Times New Roman" w:cs="Times New Roman"/>
          <w:sz w:val="25"/>
        </w:rPr>
        <w:t>ln</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 xml:space="preserve">0 </w:t>
      </w:r>
      <w:r>
        <w:rPr>
          <w:rFonts w:ascii="Segoe UI Symbol" w:eastAsia="Segoe UI Symbol" w:hAnsi="Segoe UI Symbol" w:cs="Segoe UI Symbol"/>
          <w:sz w:val="25"/>
        </w:rPr>
        <w:t></w:t>
      </w:r>
      <w:r>
        <w:rPr>
          <w:rFonts w:ascii="Segoe UI Symbol" w:eastAsia="Segoe UI Symbol" w:hAnsi="Segoe UI Symbol" w:cs="Segoe UI Symbol"/>
          <w:sz w:val="27"/>
        </w:rPr>
        <w:t></w:t>
      </w:r>
      <w:r>
        <w:rPr>
          <w:rFonts w:ascii="Times New Roman" w:eastAsia="Times New Roman" w:hAnsi="Times New Roman" w:cs="Times New Roman"/>
          <w:sz w:val="23"/>
          <w:vertAlign w:val="subscript"/>
        </w:rPr>
        <w:t>3</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25"/>
        </w:rPr>
        <w:t xml:space="preserve"> </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 xml:space="preserve">0 </w:t>
      </w:r>
      <w:r>
        <w:rPr>
          <w:rFonts w:ascii="Times New Roman" w:eastAsia="Times New Roman" w:hAnsi="Times New Roman" w:cs="Times New Roman"/>
          <w:sz w:val="25"/>
        </w:rPr>
        <w:t>ln</w:t>
      </w:r>
      <w:r>
        <w:rPr>
          <w:rFonts w:ascii="Segoe UI Symbol" w:eastAsia="Segoe UI Symbol" w:hAnsi="Segoe UI Symbol" w:cs="Segoe UI Symbol"/>
          <w:sz w:val="33"/>
        </w:rPr>
        <w:t></w:t>
      </w:r>
      <w:r>
        <w:rPr>
          <w:rFonts w:ascii="Times New Roman" w:eastAsia="Times New Roman" w:hAnsi="Times New Roman" w:cs="Times New Roman"/>
          <w:sz w:val="23"/>
          <w:vertAlign w:val="subscript"/>
        </w:rPr>
        <w:t>3</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 xml:space="preserve">0 </w:t>
      </w:r>
      <w:r>
        <w:rPr>
          <w:rFonts w:ascii="Segoe UI Symbol" w:eastAsia="Segoe UI Symbol" w:hAnsi="Segoe UI Symbol" w:cs="Segoe UI Symbol"/>
          <w:sz w:val="25"/>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Times New Roman" w:eastAsia="Times New Roman" w:hAnsi="Times New Roman" w:cs="Times New Roman"/>
          <w:i/>
          <w:sz w:val="25"/>
        </w:rPr>
        <w:t>z</w:t>
      </w:r>
      <w:r>
        <w:rPr>
          <w:rFonts w:ascii="Segoe UI Symbol" w:eastAsia="Segoe UI Symbol" w:hAnsi="Segoe UI Symbol" w:cs="Segoe UI Symbol"/>
          <w:sz w:val="33"/>
        </w:rPr>
        <w:t xml:space="preserve"> </w:t>
      </w:r>
      <w:r>
        <w:rPr>
          <w:rFonts w:ascii="Segoe UI Symbol" w:eastAsia="Segoe UI Symbol" w:hAnsi="Segoe UI Symbol" w:cs="Segoe UI Symbol"/>
          <w:sz w:val="25"/>
        </w:rPr>
        <w:t></w:t>
      </w:r>
    </w:p>
    <w:p w:rsidR="0052701D" w:rsidRDefault="00D40929">
      <w:pPr>
        <w:tabs>
          <w:tab w:val="center" w:pos="1089"/>
          <w:tab w:val="center" w:pos="2108"/>
        </w:tabs>
        <w:spacing w:after="0" w:line="268" w:lineRule="auto"/>
      </w:pPr>
      <w:r>
        <w:rPr>
          <w:rFonts w:ascii="Segoe UI Symbol" w:eastAsia="Segoe UI Symbol" w:hAnsi="Segoe UI Symbol" w:cs="Segoe UI Symbol"/>
          <w:sz w:val="25"/>
        </w:rPr>
        <w:t></w:t>
      </w:r>
      <w:r>
        <w:rPr>
          <w:rFonts w:ascii="Segoe UI Symbol" w:eastAsia="Segoe UI Symbol" w:hAnsi="Segoe UI Symbol" w:cs="Segoe UI Symbol"/>
          <w:sz w:val="25"/>
        </w:rPr>
        <w:tab/>
      </w:r>
      <w:r>
        <w:rPr>
          <w:noProof/>
        </w:rPr>
        <mc:AlternateContent>
          <mc:Choice Requires="wpg">
            <w:drawing>
              <wp:inline distT="0" distB="0" distL="0" distR="0">
                <wp:extent cx="1095870" cy="6322"/>
                <wp:effectExtent l="0" t="0" r="0" b="0"/>
                <wp:docPr id="920898" name="Group 920898"/>
                <wp:cNvGraphicFramePr/>
                <a:graphic xmlns:a="http://schemas.openxmlformats.org/drawingml/2006/main">
                  <a:graphicData uri="http://schemas.microsoft.com/office/word/2010/wordprocessingGroup">
                    <wpg:wgp>
                      <wpg:cNvGrpSpPr/>
                      <wpg:grpSpPr>
                        <a:xfrm>
                          <a:off x="0" y="0"/>
                          <a:ext cx="1095870" cy="6322"/>
                          <a:chOff x="0" y="0"/>
                          <a:chExt cx="1095870" cy="6322"/>
                        </a:xfrm>
                      </wpg:grpSpPr>
                      <wps:wsp>
                        <wps:cNvPr id="10191" name="Shape 10191"/>
                        <wps:cNvSpPr/>
                        <wps:spPr>
                          <a:xfrm>
                            <a:off x="0" y="0"/>
                            <a:ext cx="1095870" cy="0"/>
                          </a:xfrm>
                          <a:custGeom>
                            <a:avLst/>
                            <a:gdLst/>
                            <a:ahLst/>
                            <a:cxnLst/>
                            <a:rect l="0" t="0" r="0" b="0"/>
                            <a:pathLst>
                              <a:path w="1095870">
                                <a:moveTo>
                                  <a:pt x="0" y="0"/>
                                </a:moveTo>
                                <a:lnTo>
                                  <a:pt x="1095870" y="0"/>
                                </a:lnTo>
                              </a:path>
                            </a:pathLst>
                          </a:custGeom>
                          <a:ln w="632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20898" style="width:86.2889pt;height:0.497773pt;mso-position-horizontal-relative:char;mso-position-vertical-relative:line" coordsize="10958,63">
                <v:shape id="Shape 10191" style="position:absolute;width:10958;height:0;left:0;top:0;" coordsize="1095870,0" path="m0,0l1095870,0">
                  <v:stroke weight="0.497773pt" endcap="flat" joinstyle="round" on="true" color="#000000"/>
                  <v:fill on="false" color="#000000" opacity="0"/>
                </v:shape>
              </v:group>
            </w:pict>
          </mc:Fallback>
        </mc:AlternateContent>
      </w:r>
      <w:r>
        <w:rPr>
          <w:rFonts w:ascii="Times New Roman" w:eastAsia="Times New Roman" w:hAnsi="Times New Roman" w:cs="Times New Roman"/>
          <w:sz w:val="23"/>
          <w:vertAlign w:val="subscript"/>
        </w:rPr>
        <w:t>2</w:t>
      </w:r>
      <w:r>
        <w:rPr>
          <w:rFonts w:ascii="Times New Roman" w:eastAsia="Times New Roman" w:hAnsi="Times New Roman" w:cs="Times New Roman"/>
          <w:sz w:val="23"/>
          <w:vertAlign w:val="subscript"/>
        </w:rPr>
        <w:tab/>
      </w:r>
      <w:r>
        <w:rPr>
          <w:rFonts w:ascii="Segoe UI Symbol" w:eastAsia="Segoe UI Symbol" w:hAnsi="Segoe UI Symbol" w:cs="Segoe UI Symbol"/>
          <w:sz w:val="25"/>
        </w:rPr>
        <w:t></w:t>
      </w:r>
      <w:r>
        <w:rPr>
          <w:rFonts w:ascii="Segoe UI Symbol" w:eastAsia="Segoe UI Symbol" w:hAnsi="Segoe UI Symbol" w:cs="Segoe UI Symbol"/>
          <w:sz w:val="25"/>
        </w:rPr>
        <w:t></w:t>
      </w:r>
    </w:p>
    <w:p w:rsidR="0052701D" w:rsidRDefault="00D40929">
      <w:pPr>
        <w:tabs>
          <w:tab w:val="center" w:pos="1152"/>
          <w:tab w:val="center" w:pos="3600"/>
          <w:tab w:val="center" w:pos="4748"/>
          <w:tab w:val="center" w:pos="6259"/>
          <w:tab w:val="center" w:pos="8032"/>
          <w:tab w:val="center" w:pos="9124"/>
        </w:tabs>
        <w:spacing w:after="3"/>
      </w:pPr>
      <w:r>
        <w:tab/>
      </w:r>
      <w:r>
        <w:rPr>
          <w:rFonts w:ascii="Times New Roman" w:eastAsia="Times New Roman" w:hAnsi="Times New Roman" w:cs="Times New Roman"/>
          <w:sz w:val="25"/>
        </w:rPr>
        <w:t>4</w:t>
      </w:r>
      <w:r>
        <w:rPr>
          <w:rFonts w:ascii="Segoe UI Symbol" w:eastAsia="Segoe UI Symbol" w:hAnsi="Segoe UI Symbol" w:cs="Segoe UI Symbol"/>
          <w:sz w:val="33"/>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Segoe UI Symbol" w:eastAsia="Segoe UI Symbol" w:hAnsi="Segoe UI Symbol" w:cs="Segoe UI Symbol"/>
          <w:sz w:val="33"/>
        </w:rPr>
        <w:t xml:space="preserve"> </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 xml:space="preserve">0 </w:t>
      </w:r>
      <w:r>
        <w:rPr>
          <w:rFonts w:ascii="Segoe UI Symbol" w:eastAsia="Segoe UI Symbol" w:hAnsi="Segoe UI Symbol" w:cs="Segoe UI Symbol"/>
          <w:sz w:val="25"/>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Segoe UI Symbol" w:eastAsia="Segoe UI Symbol" w:hAnsi="Segoe UI Symbol" w:cs="Segoe UI Symbol"/>
          <w:sz w:val="39"/>
          <w:vertAlign w:val="subscript"/>
        </w:rPr>
        <w:t></w:t>
      </w:r>
      <w:r>
        <w:rPr>
          <w:rFonts w:ascii="Segoe UI Symbol" w:eastAsia="Segoe UI Symbol" w:hAnsi="Segoe UI Symbol" w:cs="Segoe UI Symbol"/>
          <w:sz w:val="39"/>
          <w:vertAlign w:val="subscript"/>
        </w:rPr>
        <w:tab/>
      </w:r>
      <w:r>
        <w:rPr>
          <w:rFonts w:ascii="Times New Roman" w:eastAsia="Times New Roman" w:hAnsi="Times New Roman" w:cs="Times New Roman"/>
          <w:i/>
          <w:sz w:val="25"/>
        </w:rPr>
        <w:t>ER</w:t>
      </w:r>
      <w:r>
        <w:rPr>
          <w:rFonts w:ascii="Segoe UI Symbol" w:eastAsia="Segoe UI Symbol" w:hAnsi="Segoe UI Symbol" w:cs="Segoe UI Symbol"/>
          <w:sz w:val="33"/>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Segoe UI Symbol" w:eastAsia="Segoe UI Symbol" w:hAnsi="Segoe UI Symbol" w:cs="Segoe UI Symbol"/>
          <w:sz w:val="33"/>
        </w:rPr>
        <w:t xml:space="preserve"> </w:t>
      </w:r>
      <w:r>
        <w:rPr>
          <w:rFonts w:ascii="Segoe UI Symbol" w:eastAsia="Segoe UI Symbol" w:hAnsi="Segoe UI Symbol" w:cs="Segoe UI Symbol"/>
          <w:sz w:val="25"/>
        </w:rPr>
        <w:t></w:t>
      </w:r>
      <w:r>
        <w:rPr>
          <w:rFonts w:ascii="Segoe UI Symbol" w:eastAsia="Segoe UI Symbol" w:hAnsi="Segoe UI Symbol" w:cs="Segoe UI Symbol"/>
          <w:sz w:val="39"/>
          <w:vertAlign w:val="subscript"/>
        </w:rPr>
        <w:t></w:t>
      </w:r>
      <w:r>
        <w:rPr>
          <w:rFonts w:ascii="Segoe UI Symbol" w:eastAsia="Segoe UI Symbol" w:hAnsi="Segoe UI Symbol" w:cs="Segoe UI Symbol"/>
          <w:sz w:val="39"/>
          <w:vertAlign w:val="subscript"/>
        </w:rPr>
        <w:tab/>
      </w:r>
      <w:r>
        <w:rPr>
          <w:rFonts w:ascii="Times New Roman" w:eastAsia="Times New Roman" w:hAnsi="Times New Roman" w:cs="Times New Roman"/>
          <w:sz w:val="25"/>
        </w:rPr>
        <w:t>2</w:t>
      </w:r>
      <w:r>
        <w:rPr>
          <w:rFonts w:ascii="Segoe UI Symbol" w:eastAsia="Segoe UI Symbol" w:hAnsi="Segoe UI Symbol" w:cs="Segoe UI Symbol"/>
          <w:sz w:val="33"/>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Segoe UI Symbol" w:eastAsia="Segoe UI Symbol" w:hAnsi="Segoe UI Symbol" w:cs="Segoe UI Symbol"/>
          <w:sz w:val="33"/>
        </w:rPr>
        <w:t></w:t>
      </w:r>
      <w:r>
        <w:rPr>
          <w:rFonts w:ascii="Segoe UI Symbol" w:eastAsia="Segoe UI Symbol" w:hAnsi="Segoe UI Symbol" w:cs="Segoe UI Symbol"/>
          <w:sz w:val="33"/>
        </w:rPr>
        <w:tab/>
      </w:r>
      <w:r>
        <w:rPr>
          <w:rFonts w:ascii="Segoe UI Symbol" w:eastAsia="Segoe UI Symbol" w:hAnsi="Segoe UI Symbol" w:cs="Segoe UI Symbol"/>
          <w:sz w:val="33"/>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Segoe UI Symbol" w:eastAsia="Segoe UI Symbol" w:hAnsi="Segoe UI Symbol" w:cs="Segoe UI Symbol"/>
          <w:sz w:val="33"/>
        </w:rPr>
        <w:t></w:t>
      </w:r>
      <w:r>
        <w:rPr>
          <w:rFonts w:ascii="Segoe UI Symbol" w:eastAsia="Segoe UI Symbol" w:hAnsi="Segoe UI Symbol" w:cs="Segoe UI Symbol"/>
          <w:sz w:val="33"/>
        </w:rPr>
        <w:tab/>
      </w:r>
      <w:r>
        <w:rPr>
          <w:rFonts w:ascii="Times New Roman" w:eastAsia="Times New Roman" w:hAnsi="Times New Roman" w:cs="Times New Roman"/>
          <w:sz w:val="25"/>
        </w:rPr>
        <w:t>2</w:t>
      </w:r>
      <w:r>
        <w:rPr>
          <w:rFonts w:ascii="Segoe UI Symbol" w:eastAsia="Segoe UI Symbol" w:hAnsi="Segoe UI Symbol" w:cs="Segoe UI Symbol"/>
          <w:sz w:val="33"/>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Segoe UI Symbol" w:eastAsia="Segoe UI Symbol" w:hAnsi="Segoe UI Symbol" w:cs="Segoe UI Symbol"/>
          <w:sz w:val="33"/>
        </w:rPr>
        <w:t xml:space="preserve"> </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 xml:space="preserve">0 </w:t>
      </w:r>
      <w:r>
        <w:rPr>
          <w:rFonts w:ascii="Segoe UI Symbol" w:eastAsia="Segoe UI Symbol" w:hAnsi="Segoe UI Symbol" w:cs="Segoe UI Symbol"/>
          <w:sz w:val="25"/>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Times New Roman" w:eastAsia="Times New Roman" w:hAnsi="Times New Roman" w:cs="Times New Roman"/>
          <w:i/>
          <w:sz w:val="25"/>
        </w:rPr>
        <w:t>z</w:t>
      </w:r>
      <w:r>
        <w:rPr>
          <w:rFonts w:ascii="Segoe UI Symbol" w:eastAsia="Segoe UI Symbol" w:hAnsi="Segoe UI Symbol" w:cs="Segoe UI Symbol"/>
          <w:sz w:val="51"/>
          <w:vertAlign w:val="superscript"/>
        </w:rPr>
        <w:t></w:t>
      </w:r>
      <w:r>
        <w:rPr>
          <w:rFonts w:ascii="Segoe UI Symbol" w:eastAsia="Segoe UI Symbol" w:hAnsi="Segoe UI Symbol" w:cs="Segoe UI Symbol"/>
          <w:sz w:val="51"/>
          <w:vertAlign w:val="superscript"/>
        </w:rPr>
        <w:tab/>
      </w:r>
      <w:r>
        <w:rPr>
          <w:rFonts w:ascii="Times New Roman" w:eastAsia="Times New Roman" w:hAnsi="Times New Roman" w:cs="Times New Roman"/>
          <w:sz w:val="37"/>
          <w:vertAlign w:val="subscript"/>
        </w:rPr>
        <w:t xml:space="preserve"> </w:t>
      </w:r>
    </w:p>
    <w:p w:rsidR="0052701D" w:rsidRDefault="00D40929">
      <w:pPr>
        <w:tabs>
          <w:tab w:val="center" w:pos="1079"/>
          <w:tab w:val="center" w:pos="2008"/>
          <w:tab w:val="center" w:pos="3211"/>
        </w:tabs>
        <w:spacing w:after="0"/>
      </w:pPr>
      <w:r>
        <w:tab/>
      </w:r>
      <w:r>
        <w:rPr>
          <w:rFonts w:ascii="Times New Roman" w:eastAsia="Times New Roman" w:hAnsi="Times New Roman" w:cs="Times New Roman"/>
          <w:sz w:val="25"/>
        </w:rPr>
        <w:t>3</w:t>
      </w:r>
      <w:r>
        <w:rPr>
          <w:rFonts w:ascii="Times New Roman" w:eastAsia="Times New Roman" w:hAnsi="Times New Roman" w:cs="Times New Roman"/>
          <w:i/>
          <w:sz w:val="25"/>
        </w:rPr>
        <w:t>h l</w:t>
      </w:r>
      <w:r>
        <w:rPr>
          <w:rFonts w:ascii="Times New Roman" w:eastAsia="Times New Roman" w:hAnsi="Times New Roman" w:cs="Times New Roman"/>
          <w:i/>
          <w:sz w:val="25"/>
        </w:rPr>
        <w:tab/>
      </w:r>
      <w:r>
        <w:rPr>
          <w:rFonts w:ascii="Segoe UI Symbol" w:eastAsia="Segoe UI Symbol" w:hAnsi="Segoe UI Symbol" w:cs="Segoe UI Symbol"/>
          <w:sz w:val="25"/>
        </w:rPr>
        <w:t></w:t>
      </w:r>
      <w:r>
        <w:rPr>
          <w:rFonts w:ascii="Segoe UI Symbol" w:eastAsia="Segoe UI Symbol" w:hAnsi="Segoe UI Symbol" w:cs="Segoe UI Symbol"/>
          <w:sz w:val="25"/>
        </w:rPr>
        <w:tab/>
      </w:r>
      <w:r>
        <w:rPr>
          <w:rFonts w:ascii="Segoe UI Symbol" w:eastAsia="Segoe UI Symbol" w:hAnsi="Segoe UI Symbol" w:cs="Segoe UI Symbol"/>
          <w:sz w:val="40"/>
          <w:u w:val="single" w:color="000000"/>
        </w:rPr>
        <w:t></w:t>
      </w:r>
      <w:r>
        <w:rPr>
          <w:rFonts w:ascii="Times New Roman" w:eastAsia="Times New Roman" w:hAnsi="Times New Roman" w:cs="Times New Roman"/>
          <w:sz w:val="25"/>
        </w:rPr>
        <w:t>1</w:t>
      </w:r>
    </w:p>
    <w:p w:rsidR="0052701D" w:rsidRDefault="00D40929">
      <w:pPr>
        <w:spacing w:after="88" w:line="268" w:lineRule="auto"/>
        <w:ind w:left="33" w:hanging="10"/>
      </w:pPr>
      <w:r>
        <w:rPr>
          <w:rFonts w:ascii="Segoe UI Symbol" w:eastAsia="Segoe UI Symbol" w:hAnsi="Segoe UI Symbol" w:cs="Segoe UI Symbol"/>
          <w:sz w:val="25"/>
        </w:rPr>
        <w:t xml:space="preserve"> </w:t>
      </w:r>
      <w:r>
        <w:rPr>
          <w:noProof/>
        </w:rPr>
        <mc:AlternateContent>
          <mc:Choice Requires="wpg">
            <w:drawing>
              <wp:inline distT="0" distB="0" distL="0" distR="0">
                <wp:extent cx="1091710" cy="6320"/>
                <wp:effectExtent l="0" t="0" r="0" b="0"/>
                <wp:docPr id="920901" name="Group 920901"/>
                <wp:cNvGraphicFramePr/>
                <a:graphic xmlns:a="http://schemas.openxmlformats.org/drawingml/2006/main">
                  <a:graphicData uri="http://schemas.microsoft.com/office/word/2010/wordprocessingGroup">
                    <wpg:wgp>
                      <wpg:cNvGrpSpPr/>
                      <wpg:grpSpPr>
                        <a:xfrm>
                          <a:off x="0" y="0"/>
                          <a:ext cx="1091710" cy="6320"/>
                          <a:chOff x="0" y="0"/>
                          <a:chExt cx="1091710" cy="6320"/>
                        </a:xfrm>
                      </wpg:grpSpPr>
                      <wps:wsp>
                        <wps:cNvPr id="10306" name="Shape 10306"/>
                        <wps:cNvSpPr/>
                        <wps:spPr>
                          <a:xfrm>
                            <a:off x="0" y="0"/>
                            <a:ext cx="1091710" cy="0"/>
                          </a:xfrm>
                          <a:custGeom>
                            <a:avLst/>
                            <a:gdLst/>
                            <a:ahLst/>
                            <a:cxnLst/>
                            <a:rect l="0" t="0" r="0" b="0"/>
                            <a:pathLst>
                              <a:path w="1091710">
                                <a:moveTo>
                                  <a:pt x="0" y="0"/>
                                </a:moveTo>
                                <a:lnTo>
                                  <a:pt x="1091710" y="0"/>
                                </a:lnTo>
                              </a:path>
                            </a:pathLst>
                          </a:custGeom>
                          <a:ln w="6320"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20901" style="width:85.9614pt;height:0.497601pt;mso-position-horizontal-relative:char;mso-position-vertical-relative:line" coordsize="10917,63">
                <v:shape id="Shape 10306" style="position:absolute;width:10917;height:0;left:0;top:0;" coordsize="1091710,0" path="m0,0l1091710,0">
                  <v:stroke weight="0.497601pt" endcap="flat" joinstyle="round" on="true" color="#000000"/>
                  <v:fill on="false" color="#000000" opacity="0"/>
                </v:shape>
              </v:group>
            </w:pict>
          </mc:Fallback>
        </mc:AlternateContent>
      </w:r>
      <w:r>
        <w:rPr>
          <w:rFonts w:ascii="Times New Roman" w:eastAsia="Times New Roman" w:hAnsi="Times New Roman" w:cs="Times New Roman"/>
          <w:sz w:val="25"/>
        </w:rPr>
        <w:t>4</w:t>
      </w:r>
      <w:r>
        <w:rPr>
          <w:rFonts w:ascii="Segoe UI Symbol" w:eastAsia="Segoe UI Symbol" w:hAnsi="Segoe UI Symbol" w:cs="Segoe UI Symbol"/>
          <w:sz w:val="33"/>
        </w:rPr>
        <w:t></w:t>
      </w:r>
      <w:r>
        <w:rPr>
          <w:rFonts w:ascii="Segoe UI Symbol" w:eastAsia="Segoe UI Symbol" w:hAnsi="Segoe UI Symbol" w:cs="Segoe UI Symbol"/>
          <w:sz w:val="27"/>
        </w:rPr>
        <w:t></w:t>
      </w:r>
      <w:r>
        <w:rPr>
          <w:rFonts w:ascii="Times New Roman" w:eastAsia="Times New Roman" w:hAnsi="Times New Roman" w:cs="Times New Roman"/>
          <w:i/>
          <w:sz w:val="25"/>
        </w:rPr>
        <w:t xml:space="preserve">h </w:t>
      </w:r>
      <w:r>
        <w:rPr>
          <w:rFonts w:ascii="Segoe UI Symbol" w:eastAsia="Segoe UI Symbol" w:hAnsi="Segoe UI Symbol" w:cs="Segoe UI Symbol"/>
          <w:sz w:val="33"/>
        </w:rPr>
        <w:t></w:t>
      </w:r>
      <w:r>
        <w:rPr>
          <w:rFonts w:ascii="Times New Roman" w:eastAsia="Times New Roman" w:hAnsi="Times New Roman" w:cs="Times New Roman"/>
          <w:sz w:val="15"/>
        </w:rPr>
        <w:t>3</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Segoe UI Symbol" w:eastAsia="Segoe UI Symbol" w:hAnsi="Segoe UI Symbol" w:cs="Segoe UI Symbol"/>
          <w:sz w:val="27"/>
        </w:rPr>
        <w:t></w:t>
      </w:r>
      <w:r>
        <w:rPr>
          <w:rFonts w:ascii="Times New Roman" w:eastAsia="Times New Roman" w:hAnsi="Times New Roman" w:cs="Times New Roman"/>
          <w:i/>
          <w:sz w:val="25"/>
        </w:rPr>
        <w:t>h z</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 xml:space="preserve"> </w:t>
      </w:r>
      <w:r>
        <w:rPr>
          <w:rFonts w:ascii="Times New Roman" w:eastAsia="Times New Roman" w:hAnsi="Times New Roman" w:cs="Times New Roman"/>
          <w:sz w:val="25"/>
        </w:rPr>
        <w:t>288</w:t>
      </w:r>
      <w:r>
        <w:rPr>
          <w:rFonts w:ascii="Segoe UI Symbol" w:eastAsia="Segoe UI Symbol" w:hAnsi="Segoe UI Symbol" w:cs="Segoe UI Symbol"/>
          <w:sz w:val="27"/>
        </w:rPr>
        <w:t></w:t>
      </w:r>
      <w:r>
        <w:rPr>
          <w:rFonts w:ascii="Segoe UI Symbol" w:eastAsia="Segoe UI Symbol" w:hAnsi="Segoe UI Symbol" w:cs="Segoe UI Symbol"/>
          <w:sz w:val="27"/>
        </w:rPr>
        <w:t></w:t>
      </w:r>
      <w:r>
        <w:rPr>
          <w:rFonts w:ascii="Times New Roman" w:eastAsia="Times New Roman" w:hAnsi="Times New Roman" w:cs="Times New Roman"/>
          <w:sz w:val="15"/>
        </w:rPr>
        <w:t xml:space="preserve">1 </w:t>
      </w:r>
      <w:r>
        <w:rPr>
          <w:rFonts w:ascii="Times New Roman" w:eastAsia="Times New Roman" w:hAnsi="Times New Roman" w:cs="Times New Roman"/>
          <w:i/>
          <w:sz w:val="25"/>
        </w:rPr>
        <w:t>ER</w:t>
      </w:r>
      <w:r>
        <w:rPr>
          <w:rFonts w:ascii="Segoe UI Symbol" w:eastAsia="Segoe UI Symbol" w:hAnsi="Segoe UI Symbol" w:cs="Segoe UI Symbol"/>
          <w:sz w:val="25"/>
        </w:rPr>
        <w:t></w:t>
      </w:r>
      <w:r>
        <w:rPr>
          <w:rFonts w:ascii="Segoe UI Symbol" w:eastAsia="Segoe UI Symbol" w:hAnsi="Segoe UI Symbol" w:cs="Segoe UI Symbol"/>
          <w:sz w:val="33"/>
        </w:rPr>
        <w:t></w:t>
      </w:r>
      <w:r>
        <w:rPr>
          <w:rFonts w:ascii="Segoe UI Symbol" w:eastAsia="Segoe UI Symbol" w:hAnsi="Segoe UI Symbol" w:cs="Segoe UI Symbol"/>
          <w:sz w:val="27"/>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2 </w:t>
      </w:r>
      <w:r>
        <w:rPr>
          <w:rFonts w:ascii="Segoe UI Symbol" w:eastAsia="Segoe UI Symbol" w:hAnsi="Segoe UI Symbol" w:cs="Segoe UI Symbol"/>
          <w:sz w:val="40"/>
          <w:u w:val="single" w:color="000000"/>
        </w:rPr>
        <w:t></w:t>
      </w:r>
      <w:r>
        <w:rPr>
          <w:rFonts w:ascii="Segoe UI Symbol" w:eastAsia="Segoe UI Symbol" w:hAnsi="Segoe UI Symbol" w:cs="Segoe UI Symbol"/>
          <w:sz w:val="33"/>
        </w:rPr>
        <w:t></w:t>
      </w:r>
      <w:r>
        <w:rPr>
          <w:rFonts w:ascii="Times New Roman" w:eastAsia="Times New Roman" w:hAnsi="Times New Roman" w:cs="Times New Roman"/>
          <w:sz w:val="15"/>
        </w:rPr>
        <w:t xml:space="preserve">23 </w:t>
      </w:r>
      <w:r>
        <w:rPr>
          <w:rFonts w:ascii="Segoe UI Symbol" w:eastAsia="Segoe UI Symbol" w:hAnsi="Segoe UI Symbol" w:cs="Segoe UI Symbol"/>
          <w:sz w:val="25"/>
        </w:rPr>
        <w:t></w:t>
      </w:r>
      <w:r>
        <w:rPr>
          <w:rFonts w:ascii="Segoe UI Symbol" w:eastAsia="Segoe UI Symbol" w:hAnsi="Segoe UI Symbol" w:cs="Segoe UI Symbol"/>
          <w:sz w:val="25"/>
        </w:rPr>
        <w:t></w:t>
      </w:r>
      <w:r>
        <w:rPr>
          <w:noProof/>
        </w:rPr>
        <mc:AlternateContent>
          <mc:Choice Requires="wpg">
            <w:drawing>
              <wp:inline distT="0" distB="0" distL="0" distR="0">
                <wp:extent cx="855127" cy="6320"/>
                <wp:effectExtent l="0" t="0" r="0" b="0"/>
                <wp:docPr id="920902" name="Group 920902"/>
                <wp:cNvGraphicFramePr/>
                <a:graphic xmlns:a="http://schemas.openxmlformats.org/drawingml/2006/main">
                  <a:graphicData uri="http://schemas.microsoft.com/office/word/2010/wordprocessingGroup">
                    <wpg:wgp>
                      <wpg:cNvGrpSpPr/>
                      <wpg:grpSpPr>
                        <a:xfrm>
                          <a:off x="0" y="0"/>
                          <a:ext cx="855127" cy="6320"/>
                          <a:chOff x="0" y="0"/>
                          <a:chExt cx="855127" cy="6320"/>
                        </a:xfrm>
                      </wpg:grpSpPr>
                      <wps:wsp>
                        <wps:cNvPr id="10316" name="Shape 10316"/>
                        <wps:cNvSpPr/>
                        <wps:spPr>
                          <a:xfrm>
                            <a:off x="0" y="0"/>
                            <a:ext cx="855127" cy="0"/>
                          </a:xfrm>
                          <a:custGeom>
                            <a:avLst/>
                            <a:gdLst/>
                            <a:ahLst/>
                            <a:cxnLst/>
                            <a:rect l="0" t="0" r="0" b="0"/>
                            <a:pathLst>
                              <a:path w="855127">
                                <a:moveTo>
                                  <a:pt x="0" y="0"/>
                                </a:moveTo>
                                <a:lnTo>
                                  <a:pt x="855127" y="0"/>
                                </a:lnTo>
                              </a:path>
                            </a:pathLst>
                          </a:custGeom>
                          <a:ln w="6320"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20902" style="width:67.3328pt;height:0.497601pt;mso-position-horizontal-relative:char;mso-position-vertical-relative:line" coordsize="8551,63">
                <v:shape id="Shape 10316" style="position:absolute;width:8551;height:0;left:0;top:0;" coordsize="855127,0" path="m0,0l855127,0">
                  <v:stroke weight="0.497601pt" endcap="flat" joinstyle="round" on="true" color="#000000"/>
                  <v:fill on="false" color="#000000" opacity="0"/>
                </v:shape>
              </v:group>
            </w:pict>
          </mc:Fallback>
        </mc:AlternateContent>
      </w:r>
      <w:r>
        <w:rPr>
          <w:rFonts w:ascii="Times New Roman" w:eastAsia="Times New Roman" w:hAnsi="Times New Roman" w:cs="Times New Roman"/>
          <w:sz w:val="25"/>
        </w:rPr>
        <w:t>ln</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15"/>
        </w:rPr>
        <w:t>21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Times New Roman" w:eastAsia="Times New Roman" w:hAnsi="Times New Roman" w:cs="Times New Roman"/>
          <w:sz w:val="15"/>
        </w:rPr>
        <w:t xml:space="preserve">2 </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 xml:space="preserve"> </w:t>
      </w:r>
      <w:r>
        <w:rPr>
          <w:rFonts w:ascii="Times New Roman" w:eastAsia="Times New Roman" w:hAnsi="Times New Roman" w:cs="Times New Roman"/>
          <w:sz w:val="25"/>
        </w:rPr>
        <w:t xml:space="preserve">6 </w:t>
      </w:r>
      <w:r>
        <w:rPr>
          <w:rFonts w:ascii="Segoe UI Symbol" w:eastAsia="Segoe UI Symbol" w:hAnsi="Segoe UI Symbol" w:cs="Segoe UI Symbol"/>
          <w:sz w:val="40"/>
          <w:u w:val="single" w:color="000000"/>
        </w:rPr>
        <w:t></w:t>
      </w:r>
      <w:r>
        <w:rPr>
          <w:rFonts w:ascii="Times New Roman" w:eastAsia="Times New Roman" w:hAnsi="Times New Roman" w:cs="Times New Roman"/>
          <w:sz w:val="25"/>
        </w:rPr>
        <w:t>1</w:t>
      </w:r>
      <w:r>
        <w:rPr>
          <w:rFonts w:ascii="Segoe UI Symbol" w:eastAsia="Segoe UI Symbol" w:hAnsi="Segoe UI Symbol" w:cs="Segoe UI Symbol"/>
          <w:sz w:val="25"/>
        </w:rPr>
        <w:t></w:t>
      </w:r>
      <w:r>
        <w:rPr>
          <w:rFonts w:ascii="Times New Roman" w:eastAsia="Times New Roman" w:hAnsi="Times New Roman" w:cs="Times New Roman"/>
          <w:i/>
          <w:sz w:val="25"/>
        </w:rPr>
        <w:t>R</w:t>
      </w:r>
      <w:r>
        <w:rPr>
          <w:rFonts w:ascii="Segoe UI Symbol" w:eastAsia="Segoe UI Symbol" w:hAnsi="Segoe UI Symbol" w:cs="Segoe UI Symbol"/>
          <w:sz w:val="27"/>
        </w:rPr>
        <w:t></w:t>
      </w:r>
      <w:r>
        <w:rPr>
          <w:rFonts w:ascii="Times New Roman" w:eastAsia="Times New Roman" w:hAnsi="Times New Roman" w:cs="Times New Roman"/>
          <w:sz w:val="15"/>
        </w:rPr>
        <w:t xml:space="preserve">2 2 </w:t>
      </w:r>
      <w:r>
        <w:rPr>
          <w:rFonts w:ascii="Segoe UI Symbol" w:eastAsia="Segoe UI Symbol" w:hAnsi="Segoe UI Symbol" w:cs="Segoe UI Symbol"/>
          <w:sz w:val="40"/>
          <w:u w:val="single" w:color="000000"/>
        </w:rPr>
        <w:t></w:t>
      </w:r>
      <w:r>
        <w:rPr>
          <w:rFonts w:ascii="Segoe UI Symbol" w:eastAsia="Segoe UI Symbol" w:hAnsi="Segoe UI Symbol" w:cs="Segoe UI Symbol"/>
          <w:sz w:val="38"/>
        </w:rPr>
        <w:t></w:t>
      </w:r>
      <w:r>
        <w:rPr>
          <w:rFonts w:ascii="Times New Roman" w:eastAsia="Times New Roman" w:hAnsi="Times New Roman" w:cs="Times New Roman"/>
          <w:i/>
          <w:sz w:val="15"/>
        </w:rPr>
        <w:t>kn</w:t>
      </w:r>
      <w:r>
        <w:rPr>
          <w:rFonts w:ascii="Segoe UI Symbol" w:eastAsia="Segoe UI Symbol" w:hAnsi="Segoe UI Symbol" w:cs="Segoe UI Symbol"/>
          <w:sz w:val="15"/>
        </w:rPr>
        <w:t></w:t>
      </w:r>
      <w:r>
        <w:rPr>
          <w:rFonts w:ascii="Times New Roman" w:eastAsia="Times New Roman" w:hAnsi="Times New Roman" w:cs="Times New Roman"/>
          <w:sz w:val="15"/>
        </w:rPr>
        <w:t>1</w:t>
      </w:r>
      <w:r>
        <w:rPr>
          <w:rFonts w:ascii="Segoe UI Symbol" w:eastAsia="Segoe UI Symbol" w:hAnsi="Segoe UI Symbol" w:cs="Segoe UI Symbol"/>
          <w:sz w:val="33"/>
        </w:rPr>
        <w:t></w:t>
      </w:r>
      <w:r>
        <w:rPr>
          <w:rFonts w:ascii="Times New Roman" w:eastAsia="Times New Roman" w:hAnsi="Times New Roman" w:cs="Times New Roman"/>
          <w:i/>
          <w:sz w:val="25"/>
        </w:rPr>
        <w:t>z</w:t>
      </w:r>
      <w:r>
        <w:rPr>
          <w:rFonts w:ascii="Times New Roman" w:eastAsia="Times New Roman" w:hAnsi="Times New Roman" w:cs="Times New Roman"/>
          <w:i/>
          <w:sz w:val="15"/>
        </w:rPr>
        <w:t xml:space="preserve">k </w:t>
      </w:r>
      <w:r>
        <w:rPr>
          <w:rFonts w:ascii="Segoe UI Symbol" w:eastAsia="Segoe UI Symbol" w:hAnsi="Segoe UI Symbol" w:cs="Segoe UI Symbol"/>
          <w:sz w:val="25"/>
        </w:rPr>
        <w:t xml:space="preserve"> </w:t>
      </w:r>
      <w:r>
        <w:rPr>
          <w:rFonts w:ascii="Times New Roman" w:eastAsia="Times New Roman" w:hAnsi="Times New Roman" w:cs="Times New Roman"/>
          <w:i/>
          <w:sz w:val="25"/>
        </w:rPr>
        <w:t>z</w:t>
      </w:r>
      <w:r>
        <w:rPr>
          <w:rFonts w:ascii="Times New Roman" w:eastAsia="Times New Roman" w:hAnsi="Times New Roman" w:cs="Times New Roman"/>
          <w:i/>
          <w:sz w:val="15"/>
        </w:rPr>
        <w:t>k</w:t>
      </w:r>
      <w:r>
        <w:rPr>
          <w:rFonts w:ascii="Segoe UI Symbol" w:eastAsia="Segoe UI Symbol" w:hAnsi="Segoe UI Symbol" w:cs="Segoe UI Symbol"/>
          <w:sz w:val="15"/>
        </w:rPr>
        <w:t></w:t>
      </w:r>
      <w:r>
        <w:rPr>
          <w:rFonts w:ascii="Times New Roman" w:eastAsia="Times New Roman" w:hAnsi="Times New Roman" w:cs="Times New Roman"/>
          <w:sz w:val="15"/>
        </w:rPr>
        <w:t>1</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Times New Roman" w:eastAsia="Times New Roman" w:hAnsi="Times New Roman" w:cs="Times New Roman"/>
          <w:sz w:val="24"/>
        </w:rPr>
        <w:t xml:space="preserve"> </w:t>
      </w:r>
    </w:p>
    <w:p w:rsidR="0052701D" w:rsidRDefault="00D40929">
      <w:pPr>
        <w:numPr>
          <w:ilvl w:val="1"/>
          <w:numId w:val="8"/>
        </w:numPr>
        <w:spacing w:after="146"/>
        <w:ind w:firstLine="611"/>
      </w:pPr>
      <w:r>
        <w:rPr>
          <w:rFonts w:ascii="Times New Roman" w:eastAsia="Times New Roman" w:hAnsi="Times New Roman" w:cs="Times New Roman"/>
          <w:sz w:val="15"/>
        </w:rPr>
        <w:t>0</w:t>
      </w:r>
      <w:r>
        <w:rPr>
          <w:rFonts w:ascii="Times New Roman" w:eastAsia="Times New Roman" w:hAnsi="Times New Roman" w:cs="Times New Roman"/>
          <w:sz w:val="15"/>
        </w:rPr>
        <w:tab/>
        <w:t xml:space="preserve">1 </w:t>
      </w:r>
      <w:r>
        <w:rPr>
          <w:rFonts w:ascii="Segoe UI Symbol" w:eastAsia="Segoe UI Symbol" w:hAnsi="Segoe UI Symbol" w:cs="Segoe UI Symbol"/>
          <w:sz w:val="25"/>
        </w:rPr>
        <w:t></w:t>
      </w:r>
      <w:r>
        <w:rPr>
          <w:rFonts w:ascii="Segoe UI Symbol" w:eastAsia="Segoe UI Symbol" w:hAnsi="Segoe UI Symbol" w:cs="Segoe UI Symbol"/>
          <w:sz w:val="25"/>
        </w:rPr>
        <w:tab/>
      </w:r>
      <w:r>
        <w:rPr>
          <w:rFonts w:ascii="Times New Roman" w:eastAsia="Times New Roman" w:hAnsi="Times New Roman" w:cs="Times New Roman"/>
          <w:sz w:val="15"/>
        </w:rPr>
        <w:t xml:space="preserve">1 </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ab/>
      </w:r>
      <w:r>
        <w:rPr>
          <w:rFonts w:ascii="Times New Roman" w:eastAsia="Times New Roman" w:hAnsi="Times New Roman" w:cs="Times New Roman"/>
          <w:sz w:val="25"/>
        </w:rPr>
        <w:t>2</w:t>
      </w:r>
      <w:r>
        <w:rPr>
          <w:rFonts w:ascii="Segoe UI Symbol" w:eastAsia="Segoe UI Symbol" w:hAnsi="Segoe UI Symbol" w:cs="Segoe UI Symbol"/>
          <w:sz w:val="33"/>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Segoe UI Symbol" w:eastAsia="Segoe UI Symbol" w:hAnsi="Segoe UI Symbol" w:cs="Segoe UI Symbol"/>
          <w:sz w:val="33"/>
        </w:rPr>
        <w:t></w:t>
      </w:r>
      <w:r>
        <w:rPr>
          <w:rFonts w:ascii="Segoe UI Symbol" w:eastAsia="Segoe UI Symbol" w:hAnsi="Segoe UI Symbol" w:cs="Segoe UI Symbol"/>
          <w:sz w:val="33"/>
        </w:rPr>
        <w:tab/>
      </w:r>
      <w:r>
        <w:rPr>
          <w:rFonts w:ascii="Segoe UI Symbol" w:eastAsia="Segoe UI Symbol" w:hAnsi="Segoe UI Symbol" w:cs="Segoe UI Symbol"/>
          <w:sz w:val="25"/>
        </w:rPr>
        <w:t></w:t>
      </w:r>
      <w:r>
        <w:rPr>
          <w:rFonts w:ascii="Segoe UI Symbol" w:eastAsia="Segoe UI Symbol" w:hAnsi="Segoe UI Symbol" w:cs="Segoe UI Symbol"/>
          <w:sz w:val="25"/>
        </w:rPr>
        <w:t></w:t>
      </w:r>
    </w:p>
    <w:p w:rsidR="0052701D" w:rsidRDefault="00D40929">
      <w:pPr>
        <w:spacing w:after="74" w:line="258" w:lineRule="auto"/>
        <w:ind w:left="33" w:hanging="10"/>
      </w:pPr>
      <w:r>
        <w:rPr>
          <w:rFonts w:ascii="Segoe UI Symbol" w:eastAsia="Segoe UI Symbol" w:hAnsi="Segoe UI Symbol" w:cs="Segoe UI Symbol"/>
          <w:sz w:val="24"/>
        </w:rPr>
        <w:t></w:t>
      </w:r>
    </w:p>
    <w:p w:rsidR="0052701D" w:rsidRDefault="00D40929">
      <w:pPr>
        <w:spacing w:after="664" w:line="258" w:lineRule="auto"/>
        <w:ind w:left="195" w:hanging="10"/>
      </w:pPr>
      <w:r>
        <w:rPr>
          <w:noProof/>
        </w:rPr>
        <mc:AlternateContent>
          <mc:Choice Requires="wpg">
            <w:drawing>
              <wp:anchor distT="0" distB="0" distL="114300" distR="114300" simplePos="0" relativeHeight="251711488" behindDoc="0" locked="0" layoutInCell="1" allowOverlap="1">
                <wp:simplePos x="0" y="0"/>
                <wp:positionH relativeFrom="column">
                  <wp:posOffset>901152</wp:posOffset>
                </wp:positionH>
                <wp:positionV relativeFrom="paragraph">
                  <wp:posOffset>7348</wp:posOffset>
                </wp:positionV>
                <wp:extent cx="4219068" cy="6147"/>
                <wp:effectExtent l="0" t="0" r="0" b="0"/>
                <wp:wrapNone/>
                <wp:docPr id="920903" name="Group 920903"/>
                <wp:cNvGraphicFramePr/>
                <a:graphic xmlns:a="http://schemas.openxmlformats.org/drawingml/2006/main">
                  <a:graphicData uri="http://schemas.microsoft.com/office/word/2010/wordprocessingGroup">
                    <wpg:wgp>
                      <wpg:cNvGrpSpPr/>
                      <wpg:grpSpPr>
                        <a:xfrm>
                          <a:off x="0" y="0"/>
                          <a:ext cx="4219068" cy="6147"/>
                          <a:chOff x="0" y="0"/>
                          <a:chExt cx="4219068" cy="6147"/>
                        </a:xfrm>
                      </wpg:grpSpPr>
                      <wps:wsp>
                        <wps:cNvPr id="10405" name="Shape 10405"/>
                        <wps:cNvSpPr/>
                        <wps:spPr>
                          <a:xfrm>
                            <a:off x="0" y="0"/>
                            <a:ext cx="446372" cy="0"/>
                          </a:xfrm>
                          <a:custGeom>
                            <a:avLst/>
                            <a:gdLst/>
                            <a:ahLst/>
                            <a:cxnLst/>
                            <a:rect l="0" t="0" r="0" b="0"/>
                            <a:pathLst>
                              <a:path w="446372">
                                <a:moveTo>
                                  <a:pt x="0" y="0"/>
                                </a:moveTo>
                                <a:lnTo>
                                  <a:pt x="446372" y="0"/>
                                </a:lnTo>
                              </a:path>
                            </a:pathLst>
                          </a:custGeom>
                          <a:ln w="6147" cap="flat">
                            <a:round/>
                          </a:ln>
                        </wps:spPr>
                        <wps:style>
                          <a:lnRef idx="1">
                            <a:srgbClr val="000000"/>
                          </a:lnRef>
                          <a:fillRef idx="0">
                            <a:srgbClr val="000000">
                              <a:alpha val="0"/>
                            </a:srgbClr>
                          </a:fillRef>
                          <a:effectRef idx="0">
                            <a:scrgbClr r="0" g="0" b="0"/>
                          </a:effectRef>
                          <a:fontRef idx="none"/>
                        </wps:style>
                        <wps:bodyPr/>
                      </wps:wsp>
                      <wps:wsp>
                        <wps:cNvPr id="10408" name="Shape 10408"/>
                        <wps:cNvSpPr/>
                        <wps:spPr>
                          <a:xfrm>
                            <a:off x="537520" y="0"/>
                            <a:ext cx="642347" cy="0"/>
                          </a:xfrm>
                          <a:custGeom>
                            <a:avLst/>
                            <a:gdLst/>
                            <a:ahLst/>
                            <a:cxnLst/>
                            <a:rect l="0" t="0" r="0" b="0"/>
                            <a:pathLst>
                              <a:path w="642347">
                                <a:moveTo>
                                  <a:pt x="0" y="0"/>
                                </a:moveTo>
                                <a:lnTo>
                                  <a:pt x="642347" y="0"/>
                                </a:lnTo>
                              </a:path>
                            </a:pathLst>
                          </a:custGeom>
                          <a:ln w="6147" cap="flat">
                            <a:round/>
                          </a:ln>
                        </wps:spPr>
                        <wps:style>
                          <a:lnRef idx="1">
                            <a:srgbClr val="000000"/>
                          </a:lnRef>
                          <a:fillRef idx="0">
                            <a:srgbClr val="000000">
                              <a:alpha val="0"/>
                            </a:srgbClr>
                          </a:fillRef>
                          <a:effectRef idx="0">
                            <a:scrgbClr r="0" g="0" b="0"/>
                          </a:effectRef>
                          <a:fontRef idx="none"/>
                        </wps:style>
                        <wps:bodyPr/>
                      </wps:wsp>
                      <wps:wsp>
                        <wps:cNvPr id="10411" name="Shape 10411"/>
                        <wps:cNvSpPr/>
                        <wps:spPr>
                          <a:xfrm>
                            <a:off x="1329330" y="0"/>
                            <a:ext cx="712451" cy="0"/>
                          </a:xfrm>
                          <a:custGeom>
                            <a:avLst/>
                            <a:gdLst/>
                            <a:ahLst/>
                            <a:cxnLst/>
                            <a:rect l="0" t="0" r="0" b="0"/>
                            <a:pathLst>
                              <a:path w="712451">
                                <a:moveTo>
                                  <a:pt x="0" y="0"/>
                                </a:moveTo>
                                <a:lnTo>
                                  <a:pt x="712451" y="0"/>
                                </a:lnTo>
                              </a:path>
                            </a:pathLst>
                          </a:custGeom>
                          <a:ln w="6147" cap="flat">
                            <a:round/>
                          </a:ln>
                        </wps:spPr>
                        <wps:style>
                          <a:lnRef idx="1">
                            <a:srgbClr val="000000"/>
                          </a:lnRef>
                          <a:fillRef idx="0">
                            <a:srgbClr val="000000">
                              <a:alpha val="0"/>
                            </a:srgbClr>
                          </a:fillRef>
                          <a:effectRef idx="0">
                            <a:scrgbClr r="0" g="0" b="0"/>
                          </a:effectRef>
                          <a:fontRef idx="none"/>
                        </wps:style>
                        <wps:bodyPr/>
                      </wps:wsp>
                      <wps:wsp>
                        <wps:cNvPr id="10414" name="Shape 10414"/>
                        <wps:cNvSpPr/>
                        <wps:spPr>
                          <a:xfrm>
                            <a:off x="2250572" y="0"/>
                            <a:ext cx="373087" cy="0"/>
                          </a:xfrm>
                          <a:custGeom>
                            <a:avLst/>
                            <a:gdLst/>
                            <a:ahLst/>
                            <a:cxnLst/>
                            <a:rect l="0" t="0" r="0" b="0"/>
                            <a:pathLst>
                              <a:path w="373087">
                                <a:moveTo>
                                  <a:pt x="0" y="0"/>
                                </a:moveTo>
                                <a:lnTo>
                                  <a:pt x="373087" y="0"/>
                                </a:lnTo>
                              </a:path>
                            </a:pathLst>
                          </a:custGeom>
                          <a:ln w="6147" cap="flat">
                            <a:round/>
                          </a:ln>
                        </wps:spPr>
                        <wps:style>
                          <a:lnRef idx="1">
                            <a:srgbClr val="000000"/>
                          </a:lnRef>
                          <a:fillRef idx="0">
                            <a:srgbClr val="000000">
                              <a:alpha val="0"/>
                            </a:srgbClr>
                          </a:fillRef>
                          <a:effectRef idx="0">
                            <a:scrgbClr r="0" g="0" b="0"/>
                          </a:effectRef>
                          <a:fontRef idx="none"/>
                        </wps:style>
                        <wps:bodyPr/>
                      </wps:wsp>
                      <wps:wsp>
                        <wps:cNvPr id="10417" name="Shape 10417"/>
                        <wps:cNvSpPr/>
                        <wps:spPr>
                          <a:xfrm>
                            <a:off x="2715187" y="0"/>
                            <a:ext cx="642346" cy="0"/>
                          </a:xfrm>
                          <a:custGeom>
                            <a:avLst/>
                            <a:gdLst/>
                            <a:ahLst/>
                            <a:cxnLst/>
                            <a:rect l="0" t="0" r="0" b="0"/>
                            <a:pathLst>
                              <a:path w="642346">
                                <a:moveTo>
                                  <a:pt x="0" y="0"/>
                                </a:moveTo>
                                <a:lnTo>
                                  <a:pt x="642346" y="0"/>
                                </a:lnTo>
                              </a:path>
                            </a:pathLst>
                          </a:custGeom>
                          <a:ln w="6147" cap="flat">
                            <a:round/>
                          </a:ln>
                        </wps:spPr>
                        <wps:style>
                          <a:lnRef idx="1">
                            <a:srgbClr val="000000"/>
                          </a:lnRef>
                          <a:fillRef idx="0">
                            <a:srgbClr val="000000">
                              <a:alpha val="0"/>
                            </a:srgbClr>
                          </a:fillRef>
                          <a:effectRef idx="0">
                            <a:scrgbClr r="0" g="0" b="0"/>
                          </a:effectRef>
                          <a:fontRef idx="none"/>
                        </wps:style>
                        <wps:bodyPr/>
                      </wps:wsp>
                      <wps:wsp>
                        <wps:cNvPr id="10420" name="Shape 10420"/>
                        <wps:cNvSpPr/>
                        <wps:spPr>
                          <a:xfrm>
                            <a:off x="3506997" y="0"/>
                            <a:ext cx="712071" cy="0"/>
                          </a:xfrm>
                          <a:custGeom>
                            <a:avLst/>
                            <a:gdLst/>
                            <a:ahLst/>
                            <a:cxnLst/>
                            <a:rect l="0" t="0" r="0" b="0"/>
                            <a:pathLst>
                              <a:path w="712071">
                                <a:moveTo>
                                  <a:pt x="0" y="0"/>
                                </a:moveTo>
                                <a:lnTo>
                                  <a:pt x="712071" y="0"/>
                                </a:lnTo>
                              </a:path>
                            </a:pathLst>
                          </a:custGeom>
                          <a:ln w="6147"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20903" style="width:332.21pt;height:0.483977pt;position:absolute;z-index:432;mso-position-horizontal-relative:text;mso-position-horizontal:absolute;margin-left:70.9568pt;mso-position-vertical-relative:text;margin-top:0.578598pt;" coordsize="42190,61">
                <v:shape id="Shape 10405" style="position:absolute;width:4463;height:0;left:0;top:0;" coordsize="446372,0" path="m0,0l446372,0">
                  <v:stroke weight="0.483977pt" endcap="flat" joinstyle="round" on="true" color="#000000"/>
                  <v:fill on="false" color="#000000" opacity="0"/>
                </v:shape>
                <v:shape id="Shape 10408" style="position:absolute;width:6423;height:0;left:5375;top:0;" coordsize="642347,0" path="m0,0l642347,0">
                  <v:stroke weight="0.483977pt" endcap="flat" joinstyle="round" on="true" color="#000000"/>
                  <v:fill on="false" color="#000000" opacity="0"/>
                </v:shape>
                <v:shape id="Shape 10411" style="position:absolute;width:7124;height:0;left:13293;top:0;" coordsize="712451,0" path="m0,0l712451,0">
                  <v:stroke weight="0.483977pt" endcap="flat" joinstyle="round" on="true" color="#000000"/>
                  <v:fill on="false" color="#000000" opacity="0"/>
                </v:shape>
                <v:shape id="Shape 10414" style="position:absolute;width:3730;height:0;left:22505;top:0;" coordsize="373087,0" path="m0,0l373087,0">
                  <v:stroke weight="0.483977pt" endcap="flat" joinstyle="round" on="true" color="#000000"/>
                  <v:fill on="false" color="#000000" opacity="0"/>
                </v:shape>
                <v:shape id="Shape 10417" style="position:absolute;width:6423;height:0;left:27151;top:0;" coordsize="642346,0" path="m0,0l642346,0">
                  <v:stroke weight="0.483977pt" endcap="flat" joinstyle="round" on="true" color="#000000"/>
                  <v:fill on="false" color="#000000" opacity="0"/>
                </v:shape>
                <v:shape id="Shape 10420" style="position:absolute;width:7120;height:0;left:35069;top:0;" coordsize="712071,0" path="m0,0l712071,0">
                  <v:stroke weight="0.483977pt" endcap="flat" joinstyle="round" on="true" color="#000000"/>
                  <v:fill on="false" color="#000000" opacity="0"/>
                </v:shape>
              </v:group>
            </w:pict>
          </mc:Fallback>
        </mc:AlternateContent>
      </w:r>
      <w:r>
        <w:rPr>
          <w:rFonts w:ascii="Segoe UI Symbol" w:eastAsia="Segoe UI Symbol" w:hAnsi="Segoe UI Symbol" w:cs="Segoe UI Symbol"/>
          <w:sz w:val="24"/>
        </w:rPr>
        <w:t></w:t>
      </w:r>
      <w:r>
        <w:rPr>
          <w:rFonts w:ascii="Segoe UI Symbol" w:eastAsia="Segoe UI Symbol" w:hAnsi="Segoe UI Symbol" w:cs="Segoe UI Symbol"/>
          <w:sz w:val="37"/>
          <w:vertAlign w:val="subscript"/>
        </w:rPr>
        <w:t></w:t>
      </w:r>
      <w:r>
        <w:rPr>
          <w:rFonts w:ascii="Segoe UI Symbol" w:eastAsia="Segoe UI Symbol" w:hAnsi="Segoe UI Symbol" w:cs="Segoe UI Symbol"/>
          <w:sz w:val="37"/>
          <w:vertAlign w:val="superscript"/>
        </w:rPr>
        <w:t></w:t>
      </w:r>
      <w:r>
        <w:rPr>
          <w:rFonts w:ascii="Segoe UI Symbol" w:eastAsia="Segoe UI Symbol" w:hAnsi="Segoe UI Symbol" w:cs="Segoe UI Symbol"/>
          <w:sz w:val="24"/>
        </w:rPr>
        <w:t></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z</w:t>
      </w:r>
      <w:r>
        <w:rPr>
          <w:rFonts w:ascii="Segoe UI Symbol" w:eastAsia="Segoe UI Symbol" w:hAnsi="Segoe UI Symbol" w:cs="Segoe UI Symbol"/>
          <w:sz w:val="32"/>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Times New Roman" w:eastAsia="Times New Roman" w:hAnsi="Times New Roman" w:cs="Times New Roman"/>
          <w:sz w:val="24"/>
        </w:rPr>
        <w:t>2</w:t>
      </w:r>
      <w:r>
        <w:rPr>
          <w:rFonts w:ascii="Segoe UI Symbol" w:eastAsia="Segoe UI Symbol" w:hAnsi="Segoe UI Symbol" w:cs="Segoe UI Symbol"/>
          <w:sz w:val="32"/>
        </w:rPr>
        <w:t></w:t>
      </w:r>
      <w:r>
        <w:rPr>
          <w:rFonts w:ascii="Segoe UI Symbol" w:eastAsia="Segoe UI Symbol" w:hAnsi="Segoe UI Symbol" w:cs="Segoe UI Symbol"/>
          <w:sz w:val="26"/>
        </w:rPr>
        <w:t></w:t>
      </w:r>
      <w:r>
        <w:rPr>
          <w:rFonts w:ascii="Times New Roman" w:eastAsia="Times New Roman" w:hAnsi="Times New Roman" w:cs="Times New Roman"/>
          <w:sz w:val="24"/>
        </w:rPr>
        <w:t>1</w:t>
      </w:r>
      <w:r>
        <w:rPr>
          <w:rFonts w:ascii="Times New Roman" w:eastAsia="Times New Roman" w:hAnsi="Times New Roman" w:cs="Times New Roman"/>
          <w:i/>
          <w:sz w:val="24"/>
        </w:rPr>
        <w:t>h</w:t>
      </w:r>
      <w:r>
        <w:rPr>
          <w:rFonts w:ascii="Times New Roman" w:eastAsia="Times New Roman" w:hAnsi="Times New Roman" w:cs="Times New Roman"/>
          <w:vertAlign w:val="subscript"/>
        </w:rPr>
        <w:t>1</w:t>
      </w:r>
      <w:r>
        <w:rPr>
          <w:rFonts w:ascii="Segoe UI Symbol" w:eastAsia="Segoe UI Symbol" w:hAnsi="Segoe UI Symbol" w:cs="Segoe UI Symbol"/>
          <w:sz w:val="32"/>
        </w:rPr>
        <w:t></w:t>
      </w:r>
      <w:r>
        <w:rPr>
          <w:rFonts w:ascii="Times New Roman" w:eastAsia="Times New Roman" w:hAnsi="Times New Roman" w:cs="Times New Roman"/>
          <w:sz w:val="14"/>
        </w:rPr>
        <w:t xml:space="preserve">3 </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Times New Roman" w:eastAsia="Times New Roman" w:hAnsi="Times New Roman" w:cs="Times New Roman"/>
          <w:i/>
          <w:sz w:val="24"/>
        </w:rPr>
        <w:t>h</w:t>
      </w:r>
      <w:r>
        <w:rPr>
          <w:rFonts w:ascii="Segoe UI Symbol" w:eastAsia="Segoe UI Symbol" w:hAnsi="Segoe UI Symbol" w:cs="Segoe UI Symbol"/>
          <w:sz w:val="26"/>
        </w:rPr>
        <w:t></w:t>
      </w:r>
      <w:r>
        <w:rPr>
          <w:rFonts w:ascii="Times New Roman" w:eastAsia="Times New Roman" w:hAnsi="Times New Roman" w:cs="Times New Roman"/>
          <w:vertAlign w:val="subscript"/>
        </w:rPr>
        <w:t xml:space="preserve">0 </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z</w:t>
      </w:r>
      <w:r>
        <w:rPr>
          <w:rFonts w:ascii="Segoe UI Symbol" w:eastAsia="Segoe UI Symbol" w:hAnsi="Segoe UI Symbol" w:cs="Segoe UI Symbol"/>
          <w:sz w:val="32"/>
        </w:rPr>
        <w:t></w:t>
      </w:r>
      <w:r>
        <w:rPr>
          <w:rFonts w:ascii="Segoe UI Symbol" w:eastAsia="Segoe UI Symbol" w:hAnsi="Segoe UI Symbol" w:cs="Segoe UI Symbol"/>
          <w:sz w:val="24"/>
        </w:rPr>
        <w:t xml:space="preserve"> </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Times New Roman" w:eastAsia="Times New Roman" w:hAnsi="Times New Roman" w:cs="Times New Roman"/>
          <w:i/>
          <w:sz w:val="24"/>
        </w:rPr>
        <w:t>h</w:t>
      </w:r>
      <w:r>
        <w:rPr>
          <w:rFonts w:ascii="Segoe UI Symbol" w:eastAsia="Segoe UI Symbol" w:hAnsi="Segoe UI Symbol" w:cs="Segoe UI Symbol"/>
          <w:sz w:val="26"/>
        </w:rPr>
        <w:t></w:t>
      </w:r>
      <w:r>
        <w:rPr>
          <w:rFonts w:ascii="Times New Roman" w:eastAsia="Times New Roman" w:hAnsi="Times New Roman" w:cs="Times New Roman"/>
          <w:vertAlign w:val="subscript"/>
        </w:rPr>
        <w:t>0</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z</w:t>
      </w:r>
      <w:r>
        <w:rPr>
          <w:rFonts w:ascii="Times New Roman" w:eastAsia="Times New Roman" w:hAnsi="Times New Roman" w:cs="Times New Roman"/>
          <w:i/>
          <w:sz w:val="14"/>
        </w:rPr>
        <w:t xml:space="preserve">k </w:t>
      </w:r>
      <w:r>
        <w:rPr>
          <w:rFonts w:ascii="Segoe UI Symbol" w:eastAsia="Segoe UI Symbol" w:hAnsi="Segoe UI Symbol" w:cs="Segoe UI Symbol"/>
          <w:sz w:val="32"/>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32"/>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sz w:val="24"/>
        </w:rPr>
        <w:t>1</w:t>
      </w:r>
      <w:r>
        <w:rPr>
          <w:rFonts w:ascii="Times New Roman" w:eastAsia="Times New Roman" w:hAnsi="Times New Roman" w:cs="Times New Roman"/>
          <w:sz w:val="14"/>
        </w:rPr>
        <w:t>1</w:t>
      </w:r>
      <w:r>
        <w:rPr>
          <w:rFonts w:ascii="Segoe UI Symbol" w:eastAsia="Segoe UI Symbol" w:hAnsi="Segoe UI Symbol" w:cs="Segoe UI Symbol"/>
          <w:sz w:val="32"/>
        </w:rPr>
        <w:t></w:t>
      </w:r>
      <w:r>
        <w:rPr>
          <w:rFonts w:ascii="Times New Roman" w:eastAsia="Times New Roman" w:hAnsi="Times New Roman" w:cs="Times New Roman"/>
          <w:sz w:val="14"/>
        </w:rPr>
        <w:t xml:space="preserve">2 </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Times New Roman" w:eastAsia="Times New Roman" w:hAnsi="Times New Roman" w:cs="Times New Roman"/>
          <w:i/>
          <w:sz w:val="24"/>
        </w:rPr>
        <w:t>z</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z</w:t>
      </w:r>
      <w:r>
        <w:rPr>
          <w:rFonts w:ascii="Segoe UI Symbol" w:eastAsia="Segoe UI Symbol" w:hAnsi="Segoe UI Symbol" w:cs="Segoe UI Symbol"/>
          <w:sz w:val="32"/>
        </w:rPr>
        <w:t></w:t>
      </w:r>
      <w:r>
        <w:rPr>
          <w:rFonts w:ascii="Segoe UI Symbol" w:eastAsia="Segoe UI Symbol" w:hAnsi="Segoe UI Symbol" w:cs="Segoe UI Symbol"/>
          <w:sz w:val="24"/>
        </w:rPr>
        <w:t xml:space="preserve"> </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Times New Roman" w:eastAsia="Times New Roman" w:hAnsi="Times New Roman" w:cs="Times New Roman"/>
          <w:i/>
          <w:sz w:val="24"/>
        </w:rPr>
        <w:t>z</w:t>
      </w:r>
      <w:r>
        <w:rPr>
          <w:rFonts w:ascii="Segoe UI Symbol" w:eastAsia="Segoe UI Symbol" w:hAnsi="Segoe UI Symbol" w:cs="Segoe UI Symbol"/>
          <w:sz w:val="26"/>
        </w:rPr>
        <w:t></w:t>
      </w:r>
      <w:r>
        <w:rPr>
          <w:rFonts w:ascii="Times New Roman" w:eastAsia="Times New Roman" w:hAnsi="Times New Roman" w:cs="Times New Roman"/>
          <w:i/>
          <w:vertAlign w:val="subscript"/>
        </w:rPr>
        <w:t>k</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z</w:t>
      </w:r>
      <w:r>
        <w:rPr>
          <w:rFonts w:ascii="Times New Roman" w:eastAsia="Times New Roman" w:hAnsi="Times New Roman" w:cs="Times New Roman"/>
          <w:i/>
          <w:sz w:val="14"/>
        </w:rPr>
        <w:t xml:space="preserve">k </w:t>
      </w:r>
      <w:r>
        <w:rPr>
          <w:rFonts w:ascii="Segoe UI Symbol" w:eastAsia="Segoe UI Symbol" w:hAnsi="Segoe UI Symbol" w:cs="Segoe UI Symbol"/>
          <w:sz w:val="32"/>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Times New Roman" w:eastAsia="Times New Roman" w:hAnsi="Times New Roman" w:cs="Times New Roman"/>
          <w:sz w:val="24"/>
        </w:rPr>
        <w:t xml:space="preserve"> </w:t>
      </w:r>
    </w:p>
    <w:p w:rsidR="0052701D" w:rsidRDefault="00D40929">
      <w:pPr>
        <w:numPr>
          <w:ilvl w:val="0"/>
          <w:numId w:val="8"/>
        </w:numPr>
        <w:spacing w:after="0"/>
        <w:ind w:hanging="1222"/>
      </w:pPr>
      <w:r>
        <w:rPr>
          <w:noProof/>
        </w:rPr>
        <mc:AlternateContent>
          <mc:Choice Requires="wpg">
            <w:drawing>
              <wp:anchor distT="0" distB="0" distL="114300" distR="114300" simplePos="0" relativeHeight="251712512" behindDoc="0" locked="0" layoutInCell="1" allowOverlap="1">
                <wp:simplePos x="0" y="0"/>
                <wp:positionH relativeFrom="column">
                  <wp:posOffset>141197</wp:posOffset>
                </wp:positionH>
                <wp:positionV relativeFrom="paragraph">
                  <wp:posOffset>29089</wp:posOffset>
                </wp:positionV>
                <wp:extent cx="4906059" cy="5901"/>
                <wp:effectExtent l="0" t="0" r="0" b="0"/>
                <wp:wrapNone/>
                <wp:docPr id="920904" name="Group 920904"/>
                <wp:cNvGraphicFramePr/>
                <a:graphic xmlns:a="http://schemas.openxmlformats.org/drawingml/2006/main">
                  <a:graphicData uri="http://schemas.microsoft.com/office/word/2010/wordprocessingGroup">
                    <wpg:wgp>
                      <wpg:cNvGrpSpPr/>
                      <wpg:grpSpPr>
                        <a:xfrm>
                          <a:off x="0" y="0"/>
                          <a:ext cx="4906059" cy="5901"/>
                          <a:chOff x="0" y="0"/>
                          <a:chExt cx="4906059" cy="5901"/>
                        </a:xfrm>
                      </wpg:grpSpPr>
                      <wps:wsp>
                        <wps:cNvPr id="10503" name="Shape 10503"/>
                        <wps:cNvSpPr/>
                        <wps:spPr>
                          <a:xfrm>
                            <a:off x="0" y="0"/>
                            <a:ext cx="372008" cy="0"/>
                          </a:xfrm>
                          <a:custGeom>
                            <a:avLst/>
                            <a:gdLst/>
                            <a:ahLst/>
                            <a:cxnLst/>
                            <a:rect l="0" t="0" r="0" b="0"/>
                            <a:pathLst>
                              <a:path w="372008">
                                <a:moveTo>
                                  <a:pt x="0" y="0"/>
                                </a:moveTo>
                                <a:lnTo>
                                  <a:pt x="372008" y="0"/>
                                </a:lnTo>
                              </a:path>
                            </a:pathLst>
                          </a:custGeom>
                          <a:ln w="5901" cap="flat">
                            <a:round/>
                          </a:ln>
                        </wps:spPr>
                        <wps:style>
                          <a:lnRef idx="1">
                            <a:srgbClr val="000000"/>
                          </a:lnRef>
                          <a:fillRef idx="0">
                            <a:srgbClr val="000000">
                              <a:alpha val="0"/>
                            </a:srgbClr>
                          </a:fillRef>
                          <a:effectRef idx="0">
                            <a:scrgbClr r="0" g="0" b="0"/>
                          </a:effectRef>
                          <a:fontRef idx="none"/>
                        </wps:style>
                        <wps:bodyPr/>
                      </wps:wsp>
                      <wps:wsp>
                        <wps:cNvPr id="10508" name="Shape 10508"/>
                        <wps:cNvSpPr/>
                        <wps:spPr>
                          <a:xfrm>
                            <a:off x="541615" y="0"/>
                            <a:ext cx="723267" cy="0"/>
                          </a:xfrm>
                          <a:custGeom>
                            <a:avLst/>
                            <a:gdLst/>
                            <a:ahLst/>
                            <a:cxnLst/>
                            <a:rect l="0" t="0" r="0" b="0"/>
                            <a:pathLst>
                              <a:path w="723267">
                                <a:moveTo>
                                  <a:pt x="0" y="0"/>
                                </a:moveTo>
                                <a:lnTo>
                                  <a:pt x="723267" y="0"/>
                                </a:lnTo>
                              </a:path>
                            </a:pathLst>
                          </a:custGeom>
                          <a:ln w="5901" cap="flat">
                            <a:round/>
                          </a:ln>
                        </wps:spPr>
                        <wps:style>
                          <a:lnRef idx="1">
                            <a:srgbClr val="000000"/>
                          </a:lnRef>
                          <a:fillRef idx="0">
                            <a:srgbClr val="000000">
                              <a:alpha val="0"/>
                            </a:srgbClr>
                          </a:fillRef>
                          <a:effectRef idx="0">
                            <a:scrgbClr r="0" g="0" b="0"/>
                          </a:effectRef>
                          <a:fontRef idx="none"/>
                        </wps:style>
                        <wps:bodyPr/>
                      </wps:wsp>
                      <wps:wsp>
                        <wps:cNvPr id="10517" name="Shape 10517"/>
                        <wps:cNvSpPr/>
                        <wps:spPr>
                          <a:xfrm>
                            <a:off x="1419891" y="0"/>
                            <a:ext cx="1256713" cy="0"/>
                          </a:xfrm>
                          <a:custGeom>
                            <a:avLst/>
                            <a:gdLst/>
                            <a:ahLst/>
                            <a:cxnLst/>
                            <a:rect l="0" t="0" r="0" b="0"/>
                            <a:pathLst>
                              <a:path w="1256713">
                                <a:moveTo>
                                  <a:pt x="0" y="0"/>
                                </a:moveTo>
                                <a:lnTo>
                                  <a:pt x="1256713" y="0"/>
                                </a:lnTo>
                              </a:path>
                            </a:pathLst>
                          </a:custGeom>
                          <a:ln w="5901" cap="flat">
                            <a:round/>
                          </a:ln>
                        </wps:spPr>
                        <wps:style>
                          <a:lnRef idx="1">
                            <a:srgbClr val="000000"/>
                          </a:lnRef>
                          <a:fillRef idx="0">
                            <a:srgbClr val="000000">
                              <a:alpha val="0"/>
                            </a:srgbClr>
                          </a:fillRef>
                          <a:effectRef idx="0">
                            <a:scrgbClr r="0" g="0" b="0"/>
                          </a:effectRef>
                          <a:fontRef idx="none"/>
                        </wps:style>
                        <wps:bodyPr/>
                      </wps:wsp>
                      <wps:wsp>
                        <wps:cNvPr id="10520" name="Shape 10520"/>
                        <wps:cNvSpPr/>
                        <wps:spPr>
                          <a:xfrm>
                            <a:off x="2829199" y="0"/>
                            <a:ext cx="456385" cy="0"/>
                          </a:xfrm>
                          <a:custGeom>
                            <a:avLst/>
                            <a:gdLst/>
                            <a:ahLst/>
                            <a:cxnLst/>
                            <a:rect l="0" t="0" r="0" b="0"/>
                            <a:pathLst>
                              <a:path w="456385">
                                <a:moveTo>
                                  <a:pt x="0" y="0"/>
                                </a:moveTo>
                                <a:lnTo>
                                  <a:pt x="456385" y="0"/>
                                </a:lnTo>
                              </a:path>
                            </a:pathLst>
                          </a:custGeom>
                          <a:ln w="5901" cap="flat">
                            <a:round/>
                          </a:ln>
                        </wps:spPr>
                        <wps:style>
                          <a:lnRef idx="1">
                            <a:srgbClr val="000000"/>
                          </a:lnRef>
                          <a:fillRef idx="0">
                            <a:srgbClr val="000000">
                              <a:alpha val="0"/>
                            </a:srgbClr>
                          </a:fillRef>
                          <a:effectRef idx="0">
                            <a:scrgbClr r="0" g="0" b="0"/>
                          </a:effectRef>
                          <a:fontRef idx="none"/>
                        </wps:style>
                        <wps:bodyPr/>
                      </wps:wsp>
                      <wps:wsp>
                        <wps:cNvPr id="10523" name="Shape 10523"/>
                        <wps:cNvSpPr/>
                        <wps:spPr>
                          <a:xfrm>
                            <a:off x="3378971" y="0"/>
                            <a:ext cx="651290" cy="0"/>
                          </a:xfrm>
                          <a:custGeom>
                            <a:avLst/>
                            <a:gdLst/>
                            <a:ahLst/>
                            <a:cxnLst/>
                            <a:rect l="0" t="0" r="0" b="0"/>
                            <a:pathLst>
                              <a:path w="651290">
                                <a:moveTo>
                                  <a:pt x="0" y="0"/>
                                </a:moveTo>
                                <a:lnTo>
                                  <a:pt x="651290" y="0"/>
                                </a:lnTo>
                              </a:path>
                            </a:pathLst>
                          </a:custGeom>
                          <a:ln w="5901" cap="flat">
                            <a:round/>
                          </a:ln>
                        </wps:spPr>
                        <wps:style>
                          <a:lnRef idx="1">
                            <a:srgbClr val="000000"/>
                          </a:lnRef>
                          <a:fillRef idx="0">
                            <a:srgbClr val="000000">
                              <a:alpha val="0"/>
                            </a:srgbClr>
                          </a:fillRef>
                          <a:effectRef idx="0">
                            <a:scrgbClr r="0" g="0" b="0"/>
                          </a:effectRef>
                          <a:fontRef idx="none"/>
                        </wps:style>
                        <wps:bodyPr/>
                      </wps:wsp>
                      <wps:wsp>
                        <wps:cNvPr id="10526" name="Shape 10526"/>
                        <wps:cNvSpPr/>
                        <wps:spPr>
                          <a:xfrm>
                            <a:off x="4182855" y="0"/>
                            <a:ext cx="723204" cy="0"/>
                          </a:xfrm>
                          <a:custGeom>
                            <a:avLst/>
                            <a:gdLst/>
                            <a:ahLst/>
                            <a:cxnLst/>
                            <a:rect l="0" t="0" r="0" b="0"/>
                            <a:pathLst>
                              <a:path w="723204">
                                <a:moveTo>
                                  <a:pt x="0" y="0"/>
                                </a:moveTo>
                                <a:lnTo>
                                  <a:pt x="723204" y="0"/>
                                </a:lnTo>
                              </a:path>
                            </a:pathLst>
                          </a:custGeom>
                          <a:ln w="5901"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20904" style="width:386.304pt;height:0.464614pt;position:absolute;z-index:538;mso-position-horizontal-relative:text;mso-position-horizontal:absolute;margin-left:11.1179pt;mso-position-vertical-relative:text;margin-top:2.2905pt;" coordsize="49060,59">
                <v:shape id="Shape 10503" style="position:absolute;width:3720;height:0;left:0;top:0;" coordsize="372008,0" path="m0,0l372008,0">
                  <v:stroke weight="0.464614pt" endcap="flat" joinstyle="round" on="true" color="#000000"/>
                  <v:fill on="false" color="#000000" opacity="0"/>
                </v:shape>
                <v:shape id="Shape 10508" style="position:absolute;width:7232;height:0;left:5416;top:0;" coordsize="723267,0" path="m0,0l723267,0">
                  <v:stroke weight="0.464614pt" endcap="flat" joinstyle="round" on="true" color="#000000"/>
                  <v:fill on="false" color="#000000" opacity="0"/>
                </v:shape>
                <v:shape id="Shape 10517" style="position:absolute;width:12567;height:0;left:14198;top:0;" coordsize="1256713,0" path="m0,0l1256713,0">
                  <v:stroke weight="0.464614pt" endcap="flat" joinstyle="round" on="true" color="#000000"/>
                  <v:fill on="false" color="#000000" opacity="0"/>
                </v:shape>
                <v:shape id="Shape 10520" style="position:absolute;width:4563;height:0;left:28291;top:0;" coordsize="456385,0" path="m0,0l456385,0">
                  <v:stroke weight="0.464614pt" endcap="flat" joinstyle="round" on="true" color="#000000"/>
                  <v:fill on="false" color="#000000" opacity="0"/>
                </v:shape>
                <v:shape id="Shape 10523" style="position:absolute;width:6512;height:0;left:33789;top:0;" coordsize="651290,0" path="m0,0l651290,0">
                  <v:stroke weight="0.464614pt" endcap="flat" joinstyle="round" on="true" color="#000000"/>
                  <v:fill on="false" color="#000000" opacity="0"/>
                </v:shape>
                <v:shape id="Shape 10526" style="position:absolute;width:7232;height:0;left:41828;top:0;" coordsize="723204,0" path="m0,0l723204,0">
                  <v:stroke weight="0.464614pt" endcap="flat" joinstyle="round" on="true" color="#000000"/>
                  <v:fill on="false" color="#000000" opacity="0"/>
                </v:shape>
              </v:group>
            </w:pict>
          </mc:Fallback>
        </mc:AlternateContent>
      </w:r>
      <w:r>
        <w:rPr>
          <w:rFonts w:ascii="Segoe UI Symbol" w:eastAsia="Segoe UI Symbol" w:hAnsi="Segoe UI Symbol" w:cs="Segoe UI Symbol"/>
          <w:sz w:val="30"/>
        </w:rPr>
        <w:t></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23"/>
        </w:rPr>
        <w:t xml:space="preserve">1 </w:t>
      </w:r>
      <w:r>
        <w:rPr>
          <w:rFonts w:ascii="Segoe UI Symbol" w:eastAsia="Segoe UI Symbol" w:hAnsi="Segoe UI Symbol" w:cs="Segoe UI Symbol"/>
          <w:sz w:val="30"/>
        </w:rPr>
        <w:t></w:t>
      </w:r>
      <w:r>
        <w:rPr>
          <w:rFonts w:ascii="Times New Roman" w:eastAsia="Times New Roman" w:hAnsi="Times New Roman" w:cs="Times New Roman"/>
          <w:sz w:val="13"/>
        </w:rPr>
        <w:t xml:space="preserve">3 </w:t>
      </w:r>
      <w:r>
        <w:rPr>
          <w:rFonts w:ascii="Times New Roman" w:eastAsia="Times New Roman" w:hAnsi="Times New Roman" w:cs="Times New Roman"/>
          <w:sz w:val="23"/>
        </w:rPr>
        <w:t xml:space="preserve">ln </w:t>
      </w:r>
      <w:r>
        <w:rPr>
          <w:rFonts w:ascii="Segoe UI Symbol" w:eastAsia="Segoe UI Symbol" w:hAnsi="Segoe UI Symbol" w:cs="Segoe UI Symbol"/>
          <w:sz w:val="30"/>
        </w:rPr>
        <w:t></w:t>
      </w:r>
      <w:r>
        <w:rPr>
          <w:rFonts w:ascii="Segoe UI Symbol" w:eastAsia="Segoe UI Symbol" w:hAnsi="Segoe UI Symbol" w:cs="Segoe UI Symbol"/>
          <w:sz w:val="30"/>
        </w:rPr>
        <w:t></w:t>
      </w:r>
      <w:r>
        <w:rPr>
          <w:rFonts w:ascii="Times New Roman" w:eastAsia="Times New Roman" w:hAnsi="Times New Roman" w:cs="Times New Roman"/>
          <w:i/>
          <w:sz w:val="23"/>
        </w:rPr>
        <w:t>hh</w:t>
      </w:r>
      <w:r>
        <w:rPr>
          <w:rFonts w:ascii="Times New Roman" w:eastAsia="Times New Roman" w:hAnsi="Times New Roman" w:cs="Times New Roman"/>
          <w:sz w:val="13"/>
        </w:rPr>
        <w:t>00</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Times New Roman" w:eastAsia="Times New Roman" w:hAnsi="Times New Roman" w:cs="Times New Roman"/>
          <w:i/>
          <w:sz w:val="23"/>
        </w:rPr>
        <w:t>hh</w:t>
      </w:r>
      <w:r>
        <w:rPr>
          <w:rFonts w:ascii="Times New Roman" w:eastAsia="Times New Roman" w:hAnsi="Times New Roman" w:cs="Times New Roman"/>
          <w:sz w:val="13"/>
        </w:rPr>
        <w:t>11</w:t>
      </w:r>
      <w:r>
        <w:rPr>
          <w:rFonts w:ascii="Times New Roman" w:eastAsia="Times New Roman" w:hAnsi="Times New Roman" w:cs="Times New Roman"/>
          <w:i/>
          <w:sz w:val="23"/>
        </w:rPr>
        <w:t>zz</w:t>
      </w:r>
      <w:r>
        <w:rPr>
          <w:rFonts w:ascii="Times New Roman" w:eastAsia="Times New Roman" w:hAnsi="Times New Roman" w:cs="Times New Roman"/>
          <w:i/>
          <w:sz w:val="13"/>
        </w:rPr>
        <w:t>k</w:t>
      </w:r>
      <w:r>
        <w:rPr>
          <w:rFonts w:ascii="Segoe UI Symbol" w:eastAsia="Segoe UI Symbol" w:hAnsi="Segoe UI Symbol" w:cs="Segoe UI Symbol"/>
          <w:sz w:val="30"/>
        </w:rPr>
        <w:t></w:t>
      </w:r>
      <w:r>
        <w:rPr>
          <w:rFonts w:ascii="Segoe UI Symbol" w:eastAsia="Segoe UI Symbol" w:hAnsi="Segoe UI Symbol" w:cs="Segoe UI Symbol"/>
          <w:sz w:val="30"/>
        </w:rPr>
        <w:t></w:t>
      </w:r>
      <w:r>
        <w:rPr>
          <w:rFonts w:ascii="Segoe UI Symbol" w:eastAsia="Segoe UI Symbol" w:hAnsi="Segoe UI Symbol" w:cs="Segoe UI Symbol"/>
          <w:sz w:val="23"/>
        </w:rPr>
        <w:t xml:space="preserve"> </w:t>
      </w:r>
      <w:r>
        <w:rPr>
          <w:rFonts w:ascii="Segoe UI Symbol" w:eastAsia="Segoe UI Symbol" w:hAnsi="Segoe UI Symbol" w:cs="Segoe UI Symbol"/>
          <w:sz w:val="30"/>
        </w:rPr>
        <w:t></w:t>
      </w:r>
      <w:r>
        <w:rPr>
          <w:rFonts w:ascii="Times New Roman" w:eastAsia="Times New Roman" w:hAnsi="Times New Roman" w:cs="Times New Roman"/>
          <w:sz w:val="23"/>
        </w:rPr>
        <w:t>2</w:t>
      </w:r>
      <w:r>
        <w:rPr>
          <w:rFonts w:ascii="Times New Roman" w:eastAsia="Times New Roman" w:hAnsi="Times New Roman" w:cs="Times New Roman"/>
          <w:i/>
          <w:sz w:val="23"/>
        </w:rPr>
        <w:t>z</w:t>
      </w:r>
      <w:r>
        <w:rPr>
          <w:rFonts w:ascii="Segoe UI Symbol" w:eastAsia="Segoe UI Symbol" w:hAnsi="Segoe UI Symbol" w:cs="Segoe UI Symbol"/>
          <w:sz w:val="30"/>
        </w:rPr>
        <w:t></w:t>
      </w:r>
      <w:r>
        <w:rPr>
          <w:rFonts w:ascii="Segoe UI Symbol" w:eastAsia="Segoe UI Symbol" w:hAnsi="Segoe UI Symbol" w:cs="Segoe UI Symbol"/>
          <w:sz w:val="24"/>
        </w:rPr>
        <w:t></w:t>
      </w:r>
      <w:r>
        <w:rPr>
          <w:rFonts w:ascii="Segoe UI Symbol" w:eastAsia="Segoe UI Symbol" w:hAnsi="Segoe UI Symbol" w:cs="Segoe UI Symbol"/>
          <w:sz w:val="23"/>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Times New Roman" w:eastAsia="Times New Roman" w:hAnsi="Times New Roman" w:cs="Times New Roman"/>
          <w:i/>
          <w:sz w:val="23"/>
        </w:rPr>
        <w:t>z</w:t>
      </w:r>
      <w:r>
        <w:rPr>
          <w:rFonts w:ascii="Segoe UI Symbol" w:eastAsia="Segoe UI Symbol" w:hAnsi="Segoe UI Symbol" w:cs="Segoe UI Symbol"/>
          <w:sz w:val="30"/>
        </w:rPr>
        <w:t></w:t>
      </w:r>
      <w:r>
        <w:rPr>
          <w:rFonts w:ascii="Times New Roman" w:eastAsia="Times New Roman" w:hAnsi="Times New Roman" w:cs="Times New Roman"/>
          <w:i/>
          <w:sz w:val="13"/>
        </w:rPr>
        <w:t>k</w:t>
      </w:r>
      <w:r>
        <w:rPr>
          <w:rFonts w:ascii="Times New Roman" w:eastAsia="Times New Roman" w:hAnsi="Times New Roman" w:cs="Times New Roman"/>
          <w:sz w:val="13"/>
        </w:rPr>
        <w:t>2</w:t>
      </w:r>
      <w:r>
        <w:rPr>
          <w:rFonts w:ascii="Segoe UI Symbol" w:eastAsia="Segoe UI Symbol" w:hAnsi="Segoe UI Symbol" w:cs="Segoe UI Symbol"/>
          <w:sz w:val="30"/>
        </w:rPr>
        <w:t></w:t>
      </w:r>
      <w:r>
        <w:rPr>
          <w:rFonts w:ascii="Segoe UI Symbol" w:eastAsia="Segoe UI Symbol" w:hAnsi="Segoe UI Symbol" w:cs="Segoe UI Symbol"/>
          <w:sz w:val="30"/>
        </w:rPr>
        <w:t></w:t>
      </w:r>
      <w:r>
        <w:rPr>
          <w:rFonts w:ascii="Segoe UI Symbol" w:eastAsia="Segoe UI Symbol" w:hAnsi="Segoe UI Symbol" w:cs="Segoe UI Symbol"/>
          <w:sz w:val="30"/>
        </w:rPr>
        <w:t></w:t>
      </w:r>
      <w:r>
        <w:rPr>
          <w:rFonts w:ascii="Times New Roman" w:eastAsia="Times New Roman" w:hAnsi="Times New Roman" w:cs="Times New Roman"/>
          <w:i/>
          <w:sz w:val="23"/>
        </w:rPr>
        <w:t>hh</w:t>
      </w:r>
      <w:r>
        <w:rPr>
          <w:rFonts w:ascii="Times New Roman" w:eastAsia="Times New Roman" w:hAnsi="Times New Roman" w:cs="Times New Roman"/>
          <w:sz w:val="13"/>
        </w:rPr>
        <w:t xml:space="preserve">00 </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4"/>
        </w:rPr>
        <w:t></w:t>
      </w:r>
      <w:r>
        <w:rPr>
          <w:rFonts w:ascii="Times New Roman" w:eastAsia="Times New Roman" w:hAnsi="Times New Roman" w:cs="Times New Roman"/>
          <w:sz w:val="23"/>
        </w:rPr>
        <w:t>2</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Times New Roman" w:eastAsia="Times New Roman" w:hAnsi="Times New Roman" w:cs="Times New Roman"/>
          <w:i/>
          <w:sz w:val="23"/>
        </w:rPr>
        <w:t>hz</w:t>
      </w:r>
      <w:r>
        <w:rPr>
          <w:rFonts w:ascii="Times New Roman" w:eastAsia="Times New Roman" w:hAnsi="Times New Roman" w:cs="Times New Roman"/>
          <w:sz w:val="13"/>
        </w:rPr>
        <w:t>1</w:t>
      </w:r>
      <w:r>
        <w:rPr>
          <w:rFonts w:ascii="Times New Roman" w:eastAsia="Times New Roman" w:hAnsi="Times New Roman" w:cs="Times New Roman"/>
          <w:i/>
          <w:sz w:val="13"/>
        </w:rPr>
        <w:t>k</w:t>
      </w:r>
      <w:r>
        <w:rPr>
          <w:rFonts w:ascii="Times New Roman" w:eastAsia="Times New Roman" w:hAnsi="Times New Roman" w:cs="Times New Roman"/>
          <w:i/>
          <w:sz w:val="23"/>
        </w:rPr>
        <w:t>z</w:t>
      </w:r>
      <w:r>
        <w:rPr>
          <w:rFonts w:ascii="Segoe UI Symbol" w:eastAsia="Segoe UI Symbol" w:hAnsi="Segoe UI Symbol" w:cs="Segoe UI Symbol"/>
          <w:sz w:val="30"/>
        </w:rPr>
        <w:t></w:t>
      </w:r>
      <w:r>
        <w:rPr>
          <w:rFonts w:ascii="Times New Roman" w:eastAsia="Times New Roman" w:hAnsi="Times New Roman" w:cs="Times New Roman"/>
          <w:i/>
          <w:sz w:val="13"/>
        </w:rPr>
        <w:t>k</w:t>
      </w:r>
      <w:r>
        <w:rPr>
          <w:rFonts w:ascii="Times New Roman" w:eastAsia="Times New Roman" w:hAnsi="Times New Roman" w:cs="Times New Roman"/>
          <w:sz w:val="13"/>
        </w:rPr>
        <w:t>2</w:t>
      </w:r>
      <w:r>
        <w:rPr>
          <w:rFonts w:ascii="Segoe UI Symbol" w:eastAsia="Segoe UI Symbol" w:hAnsi="Segoe UI Symbol" w:cs="Segoe UI Symbol"/>
          <w:sz w:val="30"/>
        </w:rPr>
        <w:t></w:t>
      </w:r>
      <w:r>
        <w:rPr>
          <w:rFonts w:ascii="Segoe UI Symbol" w:eastAsia="Segoe UI Symbol" w:hAnsi="Segoe UI Symbol" w:cs="Segoe UI Symbol"/>
          <w:sz w:val="23"/>
        </w:rPr>
        <w:t xml:space="preserve"> </w:t>
      </w:r>
      <w:r>
        <w:rPr>
          <w:rFonts w:ascii="Times New Roman" w:eastAsia="Times New Roman" w:hAnsi="Times New Roman" w:cs="Times New Roman"/>
          <w:sz w:val="23"/>
        </w:rPr>
        <w:t>2</w:t>
      </w:r>
      <w:r>
        <w:rPr>
          <w:rFonts w:ascii="Segoe UI Symbol" w:eastAsia="Segoe UI Symbol" w:hAnsi="Segoe UI Symbol" w:cs="Segoe UI Symbol"/>
          <w:sz w:val="30"/>
        </w:rPr>
        <w:t></w:t>
      </w:r>
      <w:r>
        <w:rPr>
          <w:rFonts w:ascii="Segoe UI Symbol" w:eastAsia="Segoe UI Symbol" w:hAnsi="Segoe UI Symbol" w:cs="Segoe UI Symbol"/>
          <w:sz w:val="24"/>
        </w:rPr>
        <w:t></w:t>
      </w:r>
      <w:r>
        <w:rPr>
          <w:rFonts w:ascii="Times New Roman" w:eastAsia="Times New Roman" w:hAnsi="Times New Roman" w:cs="Times New Roman"/>
          <w:i/>
          <w:sz w:val="23"/>
        </w:rPr>
        <w:t>zh</w:t>
      </w:r>
      <w:r>
        <w:rPr>
          <w:rFonts w:ascii="Times New Roman" w:eastAsia="Times New Roman" w:hAnsi="Times New Roman" w:cs="Times New Roman"/>
          <w:i/>
          <w:sz w:val="13"/>
        </w:rPr>
        <w:t>k</w:t>
      </w:r>
      <w:r>
        <w:rPr>
          <w:rFonts w:ascii="Times New Roman" w:eastAsia="Times New Roman" w:hAnsi="Times New Roman" w:cs="Times New Roman"/>
          <w:sz w:val="13"/>
        </w:rPr>
        <w:t>1</w:t>
      </w:r>
      <w:r>
        <w:rPr>
          <w:rFonts w:ascii="Segoe UI Symbol" w:eastAsia="Segoe UI Symbol" w:hAnsi="Segoe UI Symbol" w:cs="Segoe UI Symbol"/>
          <w:sz w:val="30"/>
        </w:rPr>
        <w:t></w:t>
      </w:r>
      <w:r>
        <w:rPr>
          <w:rFonts w:ascii="Times New Roman" w:eastAsia="Times New Roman" w:hAnsi="Times New Roman" w:cs="Times New Roman"/>
          <w:sz w:val="13"/>
        </w:rPr>
        <w:t xml:space="preserve">2 </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Times New Roman" w:eastAsia="Times New Roman" w:hAnsi="Times New Roman" w:cs="Times New Roman"/>
          <w:sz w:val="13"/>
        </w:rPr>
        <w:t xml:space="preserve">0 </w:t>
      </w:r>
      <w:r>
        <w:rPr>
          <w:rFonts w:ascii="Segoe UI Symbol" w:eastAsia="Segoe UI Symbol" w:hAnsi="Segoe UI Symbol" w:cs="Segoe UI Symbol"/>
          <w:sz w:val="23"/>
        </w:rPr>
        <w:t></w:t>
      </w:r>
      <w:r>
        <w:rPr>
          <w:rFonts w:ascii="Times New Roman" w:eastAsia="Times New Roman" w:hAnsi="Times New Roman" w:cs="Times New Roman"/>
          <w:sz w:val="23"/>
        </w:rPr>
        <w:t>1</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Times New Roman" w:eastAsia="Times New Roman" w:hAnsi="Times New Roman" w:cs="Times New Roman"/>
          <w:i/>
          <w:sz w:val="23"/>
        </w:rPr>
        <w:t>z</w:t>
      </w:r>
      <w:r>
        <w:rPr>
          <w:rFonts w:ascii="Segoe UI Symbol" w:eastAsia="Segoe UI Symbol" w:hAnsi="Segoe UI Symbol" w:cs="Segoe UI Symbol"/>
          <w:sz w:val="30"/>
        </w:rPr>
        <w:t></w:t>
      </w:r>
      <w:r>
        <w:rPr>
          <w:rFonts w:ascii="Segoe UI Symbol" w:eastAsia="Segoe UI Symbol" w:hAnsi="Segoe UI Symbol" w:cs="Segoe UI Symbol"/>
          <w:sz w:val="23"/>
        </w:rPr>
        <w:t xml:space="preserve"> </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Times New Roman" w:eastAsia="Times New Roman" w:hAnsi="Times New Roman" w:cs="Times New Roman"/>
          <w:sz w:val="13"/>
        </w:rPr>
        <w:t xml:space="preserve">0 </w:t>
      </w:r>
      <w:r>
        <w:rPr>
          <w:rFonts w:ascii="Segoe UI Symbol" w:eastAsia="Segoe UI Symbol" w:hAnsi="Segoe UI Symbol" w:cs="Segoe UI Symbol"/>
          <w:sz w:val="23"/>
        </w:rPr>
        <w:t></w:t>
      </w:r>
      <w:r>
        <w:rPr>
          <w:rFonts w:ascii="Segoe UI Symbol" w:eastAsia="Segoe UI Symbol" w:hAnsi="Segoe UI Symbol" w:cs="Segoe UI Symbol"/>
          <w:sz w:val="24"/>
        </w:rPr>
        <w:t></w:t>
      </w:r>
      <w:r>
        <w:rPr>
          <w:rFonts w:ascii="Times New Roman" w:eastAsia="Times New Roman" w:hAnsi="Times New Roman" w:cs="Times New Roman"/>
          <w:sz w:val="23"/>
        </w:rPr>
        <w:t>1</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Times New Roman" w:eastAsia="Times New Roman" w:hAnsi="Times New Roman" w:cs="Times New Roman"/>
          <w:i/>
          <w:sz w:val="23"/>
        </w:rPr>
        <w:t>z</w:t>
      </w:r>
      <w:r>
        <w:rPr>
          <w:rFonts w:ascii="Times New Roman" w:eastAsia="Times New Roman" w:hAnsi="Times New Roman" w:cs="Times New Roman"/>
          <w:i/>
          <w:sz w:val="13"/>
        </w:rPr>
        <w:t xml:space="preserve">k </w:t>
      </w:r>
      <w:r>
        <w:rPr>
          <w:rFonts w:ascii="Segoe UI Symbol" w:eastAsia="Segoe UI Symbol" w:hAnsi="Segoe UI Symbol" w:cs="Segoe UI Symbol"/>
          <w:sz w:val="30"/>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Times New Roman" w:eastAsia="Times New Roman" w:hAnsi="Times New Roman" w:cs="Times New Roman"/>
          <w:sz w:val="24"/>
        </w:rPr>
        <w:t xml:space="preserve"> </w:t>
      </w:r>
    </w:p>
    <w:p w:rsidR="0052701D" w:rsidRDefault="00D40929">
      <w:pPr>
        <w:spacing w:after="763" w:line="265" w:lineRule="auto"/>
        <w:ind w:left="533" w:hanging="10"/>
      </w:pPr>
      <w:r>
        <w:rPr>
          <w:rFonts w:ascii="Times New Roman" w:eastAsia="Times New Roman" w:hAnsi="Times New Roman" w:cs="Times New Roman"/>
          <w:sz w:val="13"/>
        </w:rPr>
        <w:lastRenderedPageBreak/>
        <w:t>1</w:t>
      </w:r>
    </w:p>
    <w:p w:rsidR="0052701D" w:rsidRDefault="00D40929">
      <w:pPr>
        <w:numPr>
          <w:ilvl w:val="0"/>
          <w:numId w:val="8"/>
        </w:numPr>
        <w:spacing w:after="374"/>
        <w:ind w:hanging="1222"/>
      </w:pPr>
      <w:r>
        <w:rPr>
          <w:noProof/>
        </w:rPr>
        <mc:AlternateContent>
          <mc:Choice Requires="wpg">
            <w:drawing>
              <wp:anchor distT="0" distB="0" distL="114300" distR="114300" simplePos="0" relativeHeight="251713536" behindDoc="0" locked="0" layoutInCell="1" allowOverlap="1">
                <wp:simplePos x="0" y="0"/>
                <wp:positionH relativeFrom="column">
                  <wp:posOffset>3334774</wp:posOffset>
                </wp:positionH>
                <wp:positionV relativeFrom="paragraph">
                  <wp:posOffset>22149</wp:posOffset>
                </wp:positionV>
                <wp:extent cx="2166881" cy="6335"/>
                <wp:effectExtent l="0" t="0" r="0" b="0"/>
                <wp:wrapNone/>
                <wp:docPr id="920907" name="Group 920907"/>
                <wp:cNvGraphicFramePr/>
                <a:graphic xmlns:a="http://schemas.openxmlformats.org/drawingml/2006/main">
                  <a:graphicData uri="http://schemas.microsoft.com/office/word/2010/wordprocessingGroup">
                    <wpg:wgp>
                      <wpg:cNvGrpSpPr/>
                      <wpg:grpSpPr>
                        <a:xfrm>
                          <a:off x="0" y="0"/>
                          <a:ext cx="2166881" cy="6335"/>
                          <a:chOff x="0" y="0"/>
                          <a:chExt cx="2166881" cy="6335"/>
                        </a:xfrm>
                      </wpg:grpSpPr>
                      <wps:wsp>
                        <wps:cNvPr id="10626" name="Shape 10626"/>
                        <wps:cNvSpPr/>
                        <wps:spPr>
                          <a:xfrm>
                            <a:off x="0" y="0"/>
                            <a:ext cx="452296" cy="0"/>
                          </a:xfrm>
                          <a:custGeom>
                            <a:avLst/>
                            <a:gdLst/>
                            <a:ahLst/>
                            <a:cxnLst/>
                            <a:rect l="0" t="0" r="0" b="0"/>
                            <a:pathLst>
                              <a:path w="452296">
                                <a:moveTo>
                                  <a:pt x="0" y="0"/>
                                </a:moveTo>
                                <a:lnTo>
                                  <a:pt x="452296" y="0"/>
                                </a:lnTo>
                              </a:path>
                            </a:pathLst>
                          </a:custGeom>
                          <a:ln w="6335" cap="flat">
                            <a:round/>
                          </a:ln>
                        </wps:spPr>
                        <wps:style>
                          <a:lnRef idx="1">
                            <a:srgbClr val="000000"/>
                          </a:lnRef>
                          <a:fillRef idx="0">
                            <a:srgbClr val="000000">
                              <a:alpha val="0"/>
                            </a:srgbClr>
                          </a:fillRef>
                          <a:effectRef idx="0">
                            <a:scrgbClr r="0" g="0" b="0"/>
                          </a:effectRef>
                          <a:fontRef idx="none"/>
                        </wps:style>
                        <wps:bodyPr/>
                      </wps:wsp>
                      <wps:wsp>
                        <wps:cNvPr id="10629" name="Shape 10629"/>
                        <wps:cNvSpPr/>
                        <wps:spPr>
                          <a:xfrm>
                            <a:off x="545742" y="0"/>
                            <a:ext cx="654124" cy="0"/>
                          </a:xfrm>
                          <a:custGeom>
                            <a:avLst/>
                            <a:gdLst/>
                            <a:ahLst/>
                            <a:cxnLst/>
                            <a:rect l="0" t="0" r="0" b="0"/>
                            <a:pathLst>
                              <a:path w="654124">
                                <a:moveTo>
                                  <a:pt x="0" y="0"/>
                                </a:moveTo>
                                <a:lnTo>
                                  <a:pt x="654124" y="0"/>
                                </a:lnTo>
                              </a:path>
                            </a:pathLst>
                          </a:custGeom>
                          <a:ln w="6335" cap="flat">
                            <a:round/>
                          </a:ln>
                        </wps:spPr>
                        <wps:style>
                          <a:lnRef idx="1">
                            <a:srgbClr val="000000"/>
                          </a:lnRef>
                          <a:fillRef idx="0">
                            <a:srgbClr val="000000">
                              <a:alpha val="0"/>
                            </a:srgbClr>
                          </a:fillRef>
                          <a:effectRef idx="0">
                            <a:scrgbClr r="0" g="0" b="0"/>
                          </a:effectRef>
                          <a:fontRef idx="none"/>
                        </wps:style>
                        <wps:bodyPr/>
                      </wps:wsp>
                      <wps:wsp>
                        <wps:cNvPr id="10632" name="Shape 10632"/>
                        <wps:cNvSpPr/>
                        <wps:spPr>
                          <a:xfrm>
                            <a:off x="1353183" y="0"/>
                            <a:ext cx="813698" cy="0"/>
                          </a:xfrm>
                          <a:custGeom>
                            <a:avLst/>
                            <a:gdLst/>
                            <a:ahLst/>
                            <a:cxnLst/>
                            <a:rect l="0" t="0" r="0" b="0"/>
                            <a:pathLst>
                              <a:path w="813698">
                                <a:moveTo>
                                  <a:pt x="0" y="0"/>
                                </a:moveTo>
                                <a:lnTo>
                                  <a:pt x="813698" y="0"/>
                                </a:lnTo>
                              </a:path>
                            </a:pathLst>
                          </a:custGeom>
                          <a:ln w="6335"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20907" style="width:170.621pt;height:0.498824pt;position:absolute;z-index:649;mso-position-horizontal-relative:text;mso-position-horizontal:absolute;margin-left:262.581pt;mso-position-vertical-relative:text;margin-top:1.74402pt;" coordsize="21668,63">
                <v:shape id="Shape 10626" style="position:absolute;width:4522;height:0;left:0;top:0;" coordsize="452296,0" path="m0,0l452296,0">
                  <v:stroke weight="0.498824pt" endcap="flat" joinstyle="round" on="true" color="#000000"/>
                  <v:fill on="false" color="#000000" opacity="0"/>
                </v:shape>
                <v:shape id="Shape 10629" style="position:absolute;width:6541;height:0;left:5457;top:0;" coordsize="654124,0" path="m0,0l654124,0">
                  <v:stroke weight="0.498824pt" endcap="flat" joinstyle="round" on="true" color="#000000"/>
                  <v:fill on="false" color="#000000" opacity="0"/>
                </v:shape>
                <v:shape id="Shape 10632" style="position:absolute;width:8136;height:0;left:13531;top:0;" coordsize="813698,0" path="m0,0l813698,0">
                  <v:stroke weight="0.498824pt" endcap="flat" joinstyle="round" on="true" color="#000000"/>
                  <v:fill on="false" color="#000000" opacity="0"/>
                </v:shape>
              </v:group>
            </w:pict>
          </mc:Fallback>
        </mc:AlternateContent>
      </w:r>
      <w:r>
        <w:rPr>
          <w:noProof/>
        </w:rPr>
        <mc:AlternateContent>
          <mc:Choice Requires="wpg">
            <w:drawing>
              <wp:inline distT="0" distB="0" distL="0" distR="0">
                <wp:extent cx="1170414" cy="6335"/>
                <wp:effectExtent l="0" t="0" r="0" b="0"/>
                <wp:docPr id="920906" name="Group 920906"/>
                <wp:cNvGraphicFramePr/>
                <a:graphic xmlns:a="http://schemas.openxmlformats.org/drawingml/2006/main">
                  <a:graphicData uri="http://schemas.microsoft.com/office/word/2010/wordprocessingGroup">
                    <wpg:wgp>
                      <wpg:cNvGrpSpPr/>
                      <wpg:grpSpPr>
                        <a:xfrm>
                          <a:off x="0" y="0"/>
                          <a:ext cx="1170414" cy="6335"/>
                          <a:chOff x="0" y="0"/>
                          <a:chExt cx="1170414" cy="6335"/>
                        </a:xfrm>
                      </wpg:grpSpPr>
                      <wps:wsp>
                        <wps:cNvPr id="10617" name="Shape 10617"/>
                        <wps:cNvSpPr/>
                        <wps:spPr>
                          <a:xfrm>
                            <a:off x="0" y="0"/>
                            <a:ext cx="1170414" cy="0"/>
                          </a:xfrm>
                          <a:custGeom>
                            <a:avLst/>
                            <a:gdLst/>
                            <a:ahLst/>
                            <a:cxnLst/>
                            <a:rect l="0" t="0" r="0" b="0"/>
                            <a:pathLst>
                              <a:path w="1170414">
                                <a:moveTo>
                                  <a:pt x="0" y="0"/>
                                </a:moveTo>
                                <a:lnTo>
                                  <a:pt x="1170414" y="0"/>
                                </a:lnTo>
                              </a:path>
                            </a:pathLst>
                          </a:custGeom>
                          <a:ln w="633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20906" style="width:92.1586pt;height:0.498824pt;mso-position-horizontal-relative:char;mso-position-vertical-relative:line" coordsize="11704,63">
                <v:shape id="Shape 10617" style="position:absolute;width:11704;height:0;left:0;top:0;" coordsize="1170414,0" path="m0,0l1170414,0">
                  <v:stroke weight="0.498824pt" endcap="flat" joinstyle="round" on="true" color="#000000"/>
                  <v:fill on="false" color="#000000" opacity="0"/>
                </v:shape>
              </v:group>
            </w:pict>
          </mc:Fallback>
        </mc:AlternateContent>
      </w:r>
      <w:r>
        <w:rPr>
          <w:rFonts w:ascii="Times New Roman" w:eastAsia="Times New Roman" w:hAnsi="Times New Roman" w:cs="Times New Roman"/>
          <w:sz w:val="25"/>
        </w:rPr>
        <w:t>2</w:t>
      </w:r>
      <w:r>
        <w:rPr>
          <w:rFonts w:ascii="Segoe UI Symbol" w:eastAsia="Segoe UI Symbol" w:hAnsi="Segoe UI Symbol" w:cs="Segoe UI Symbol"/>
          <w:sz w:val="33"/>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Times New Roman" w:eastAsia="Times New Roman" w:hAnsi="Times New Roman" w:cs="Times New Roman"/>
          <w:i/>
          <w:sz w:val="15"/>
        </w:rPr>
        <w:t>k</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Segoe UI Symbol" w:eastAsia="Segoe UI Symbol" w:hAnsi="Segoe UI Symbol" w:cs="Segoe UI Symbol"/>
          <w:sz w:val="33"/>
        </w:rPr>
        <w:t></w:t>
      </w:r>
      <w:r>
        <w:rPr>
          <w:rFonts w:ascii="Times New Roman" w:eastAsia="Times New Roman" w:hAnsi="Times New Roman" w:cs="Times New Roman"/>
          <w:i/>
          <w:sz w:val="25"/>
        </w:rPr>
        <w:t>z</w:t>
      </w:r>
      <w:r>
        <w:rPr>
          <w:rFonts w:ascii="Times New Roman" w:eastAsia="Times New Roman" w:hAnsi="Times New Roman" w:cs="Times New Roman"/>
          <w:sz w:val="23"/>
          <w:vertAlign w:val="subscript"/>
        </w:rPr>
        <w:t xml:space="preserve">0 </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7"/>
        </w:rPr>
        <w:t></w:t>
      </w:r>
      <w:r>
        <w:rPr>
          <w:rFonts w:ascii="Times New Roman" w:eastAsia="Times New Roman" w:hAnsi="Times New Roman" w:cs="Times New Roman"/>
          <w:i/>
          <w:sz w:val="25"/>
        </w:rPr>
        <w:t>z</w:t>
      </w:r>
      <w:r>
        <w:rPr>
          <w:rFonts w:ascii="Times New Roman" w:eastAsia="Times New Roman" w:hAnsi="Times New Roman" w:cs="Times New Roman"/>
          <w:i/>
          <w:sz w:val="15"/>
        </w:rPr>
        <w:t>k</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Segoe UI Symbol" w:eastAsia="Segoe UI Symbol" w:hAnsi="Segoe UI Symbol" w:cs="Segoe UI Symbol"/>
          <w:sz w:val="33"/>
        </w:rPr>
        <w:t></w:t>
      </w:r>
      <w:r>
        <w:rPr>
          <w:rFonts w:ascii="Times New Roman" w:eastAsia="Times New Roman" w:hAnsi="Times New Roman" w:cs="Times New Roman"/>
          <w:i/>
          <w:sz w:val="25"/>
        </w:rPr>
        <w:t>z</w:t>
      </w:r>
      <w:r>
        <w:rPr>
          <w:rFonts w:ascii="Times New Roman" w:eastAsia="Times New Roman" w:hAnsi="Times New Roman" w:cs="Times New Roman"/>
          <w:i/>
          <w:sz w:val="23"/>
          <w:vertAlign w:val="subscript"/>
        </w:rPr>
        <w:t xml:space="preserve">k </w:t>
      </w:r>
      <w:r>
        <w:rPr>
          <w:rFonts w:ascii="Segoe UI Symbol" w:eastAsia="Segoe UI Symbol" w:hAnsi="Segoe UI Symbol" w:cs="Segoe UI Symbol"/>
          <w:sz w:val="33"/>
        </w:rPr>
        <w:t></w:t>
      </w:r>
      <w:r>
        <w:rPr>
          <w:rFonts w:ascii="Times New Roman" w:eastAsia="Times New Roman" w:hAnsi="Times New Roman" w:cs="Times New Roman"/>
          <w:sz w:val="15"/>
        </w:rPr>
        <w:t xml:space="preserve">2 </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i/>
          <w:sz w:val="25"/>
        </w:rPr>
        <w:t>H</w:t>
      </w:r>
      <w:r>
        <w:rPr>
          <w:rFonts w:ascii="Segoe UI Symbol" w:eastAsia="Segoe UI Symbol" w:hAnsi="Segoe UI Symbol" w:cs="Segoe UI Symbol"/>
          <w:sz w:val="33"/>
        </w:rPr>
        <w:t></w:t>
      </w:r>
      <w:r>
        <w:rPr>
          <w:rFonts w:ascii="Times New Roman" w:eastAsia="Times New Roman" w:hAnsi="Times New Roman" w:cs="Times New Roman"/>
          <w:i/>
          <w:sz w:val="25"/>
        </w:rPr>
        <w:t xml:space="preserve">z </w:t>
      </w:r>
      <w:r>
        <w:rPr>
          <w:rFonts w:ascii="Segoe UI Symbol" w:eastAsia="Segoe UI Symbol" w:hAnsi="Segoe UI Symbol" w:cs="Segoe UI Symbol"/>
          <w:sz w:val="25"/>
        </w:rPr>
        <w:t xml:space="preserve"> </w:t>
      </w:r>
      <w:r>
        <w:rPr>
          <w:rFonts w:ascii="Times New Roman" w:eastAsia="Times New Roman" w:hAnsi="Times New Roman" w:cs="Times New Roman"/>
          <w:i/>
          <w:sz w:val="25"/>
        </w:rPr>
        <w:t>z</w:t>
      </w:r>
      <w:r>
        <w:rPr>
          <w:rFonts w:ascii="Times New Roman" w:eastAsia="Times New Roman" w:hAnsi="Times New Roman" w:cs="Times New Roman"/>
          <w:i/>
          <w:sz w:val="15"/>
        </w:rPr>
        <w:t xml:space="preserve">k </w:t>
      </w:r>
      <w:r>
        <w:rPr>
          <w:rFonts w:ascii="Segoe UI Symbol" w:eastAsia="Segoe UI Symbol" w:hAnsi="Segoe UI Symbol" w:cs="Segoe UI Symbol"/>
          <w:sz w:val="33"/>
        </w:rPr>
        <w:t></w:t>
      </w:r>
      <w:r>
        <w:rPr>
          <w:rFonts w:ascii="Times New Roman" w:eastAsia="Times New Roman" w:hAnsi="Times New Roman" w:cs="Times New Roman"/>
          <w:i/>
          <w:sz w:val="25"/>
        </w:rPr>
        <w:t>u</w:t>
      </w:r>
      <w:r>
        <w:rPr>
          <w:rFonts w:ascii="Segoe UI Symbol" w:eastAsia="Segoe UI Symbol" w:hAnsi="Segoe UI Symbol" w:cs="Segoe UI Symbol"/>
          <w:sz w:val="33"/>
        </w:rPr>
        <w:t></w:t>
      </w:r>
      <w:r>
        <w:rPr>
          <w:rFonts w:ascii="Times New Roman" w:eastAsia="Times New Roman" w:hAnsi="Times New Roman" w:cs="Times New Roman"/>
          <w:i/>
          <w:sz w:val="25"/>
        </w:rPr>
        <w:t>z</w:t>
      </w:r>
      <w:r>
        <w:rPr>
          <w:rFonts w:ascii="Times New Roman" w:eastAsia="Times New Roman" w:hAnsi="Times New Roman" w:cs="Times New Roman"/>
          <w:i/>
          <w:sz w:val="15"/>
        </w:rPr>
        <w:t xml:space="preserve">k </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Times New Roman" w:eastAsia="Times New Roman" w:hAnsi="Times New Roman" w:cs="Times New Roman"/>
          <w:i/>
          <w:sz w:val="15"/>
        </w:rPr>
        <w:t>k</w:t>
      </w:r>
      <w:r>
        <w:rPr>
          <w:rFonts w:ascii="Segoe UI Symbol" w:eastAsia="Segoe UI Symbol" w:hAnsi="Segoe UI Symbol" w:cs="Segoe UI Symbol"/>
          <w:sz w:val="15"/>
        </w:rPr>
        <w:t></w:t>
      </w:r>
      <w:r>
        <w:rPr>
          <w:rFonts w:ascii="Times New Roman" w:eastAsia="Times New Roman" w:hAnsi="Times New Roman" w:cs="Times New Roman"/>
          <w:sz w:val="15"/>
        </w:rPr>
        <w:t>1</w:t>
      </w:r>
      <w:r>
        <w:rPr>
          <w:rFonts w:ascii="Segoe UI Symbol" w:eastAsia="Segoe UI Symbol" w:hAnsi="Segoe UI Symbol" w:cs="Segoe UI Symbol"/>
          <w:sz w:val="33"/>
        </w:rPr>
        <w:t></w:t>
      </w:r>
      <w:r>
        <w:rPr>
          <w:rFonts w:ascii="Segoe UI Symbol" w:eastAsia="Segoe UI Symbol" w:hAnsi="Segoe UI Symbol" w:cs="Segoe UI Symbol"/>
          <w:sz w:val="39"/>
          <w:vertAlign w:val="subscript"/>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sz w:val="25"/>
        </w:rPr>
        <w:t>2</w:t>
      </w:r>
      <w:r>
        <w:rPr>
          <w:rFonts w:ascii="Segoe UI Symbol" w:eastAsia="Segoe UI Symbol" w:hAnsi="Segoe UI Symbol" w:cs="Segoe UI Symbol"/>
          <w:sz w:val="33"/>
        </w:rPr>
        <w:t></w:t>
      </w:r>
      <w:r>
        <w:rPr>
          <w:rFonts w:ascii="Segoe UI Symbol" w:eastAsia="Segoe UI Symbol" w:hAnsi="Segoe UI Symbol" w:cs="Segoe UI Symbol"/>
          <w:sz w:val="27"/>
        </w:rPr>
        <w:t></w:t>
      </w:r>
      <w:r>
        <w:rPr>
          <w:rFonts w:ascii="Times New Roman" w:eastAsia="Times New Roman" w:hAnsi="Times New Roman" w:cs="Times New Roman"/>
          <w:sz w:val="25"/>
        </w:rPr>
        <w:t>1</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Segoe UI Symbol" w:eastAsia="Segoe UI Symbol" w:hAnsi="Segoe UI Symbol" w:cs="Segoe UI Symbol"/>
          <w:sz w:val="33"/>
        </w:rPr>
        <w:t></w:t>
      </w:r>
      <w:r>
        <w:rPr>
          <w:rFonts w:ascii="Times New Roman" w:eastAsia="Times New Roman" w:hAnsi="Times New Roman" w:cs="Times New Roman"/>
          <w:sz w:val="15"/>
        </w:rPr>
        <w:t xml:space="preserve">3 </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Times New Roman" w:eastAsia="Times New Roman" w:hAnsi="Times New Roman" w:cs="Times New Roman"/>
          <w:i/>
          <w:sz w:val="25"/>
        </w:rPr>
        <w:t>h</w:t>
      </w:r>
      <w:r>
        <w:rPr>
          <w:rFonts w:ascii="Segoe UI Symbol" w:eastAsia="Segoe UI Symbol" w:hAnsi="Segoe UI Symbol" w:cs="Segoe UI Symbol"/>
          <w:sz w:val="27"/>
        </w:rPr>
        <w:t></w:t>
      </w:r>
      <w:r>
        <w:rPr>
          <w:rFonts w:ascii="Times New Roman" w:eastAsia="Times New Roman" w:hAnsi="Times New Roman" w:cs="Times New Roman"/>
          <w:sz w:val="15"/>
        </w:rPr>
        <w:t xml:space="preserve">0 </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25"/>
        </w:rPr>
        <w:t xml:space="preserve"> </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Segoe UI Symbol" w:eastAsia="Segoe UI Symbol" w:hAnsi="Segoe UI Symbol" w:cs="Segoe UI Symbol"/>
          <w:sz w:val="27"/>
        </w:rPr>
        <w:t></w:t>
      </w:r>
      <w:r>
        <w:rPr>
          <w:rFonts w:ascii="Times New Roman" w:eastAsia="Times New Roman" w:hAnsi="Times New Roman" w:cs="Times New Roman"/>
          <w:i/>
          <w:sz w:val="25"/>
        </w:rPr>
        <w:t>hh</w:t>
      </w:r>
      <w:r>
        <w:rPr>
          <w:rFonts w:ascii="Times New Roman" w:eastAsia="Times New Roman" w:hAnsi="Times New Roman" w:cs="Times New Roman"/>
          <w:sz w:val="15"/>
        </w:rPr>
        <w:t>01</w:t>
      </w:r>
      <w:r>
        <w:rPr>
          <w:rFonts w:ascii="Times New Roman" w:eastAsia="Times New Roman" w:hAnsi="Times New Roman" w:cs="Times New Roman"/>
          <w:i/>
          <w:sz w:val="25"/>
        </w:rPr>
        <w:t>z</w:t>
      </w:r>
      <w:r>
        <w:rPr>
          <w:rFonts w:ascii="Times New Roman" w:eastAsia="Times New Roman" w:hAnsi="Times New Roman" w:cs="Times New Roman"/>
          <w:i/>
          <w:sz w:val="15"/>
        </w:rPr>
        <w:t>k</w:t>
      </w:r>
      <w:r>
        <w:rPr>
          <w:rFonts w:ascii="Segoe UI Symbol" w:eastAsia="Segoe UI Symbol" w:hAnsi="Segoe UI Symbol" w:cs="Segoe UI Symbol"/>
          <w:sz w:val="15"/>
        </w:rPr>
        <w:t></w:t>
      </w:r>
      <w:r>
        <w:rPr>
          <w:rFonts w:ascii="Times New Roman" w:eastAsia="Times New Roman" w:hAnsi="Times New Roman" w:cs="Times New Roman"/>
          <w:sz w:val="15"/>
        </w:rPr>
        <w:t>1</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sz w:val="24"/>
        </w:rPr>
        <w:t xml:space="preserve"> </w:t>
      </w:r>
    </w:p>
    <w:p w:rsidR="0052701D" w:rsidRDefault="00D40929">
      <w:pPr>
        <w:tabs>
          <w:tab w:val="center" w:pos="525"/>
          <w:tab w:val="center" w:pos="916"/>
          <w:tab w:val="center" w:pos="1489"/>
          <w:tab w:val="center" w:pos="2123"/>
          <w:tab w:val="center" w:pos="2879"/>
          <w:tab w:val="center" w:pos="3677"/>
          <w:tab w:val="center" w:pos="4163"/>
          <w:tab w:val="center" w:pos="6599"/>
        </w:tabs>
        <w:spacing w:after="2"/>
      </w:pPr>
      <w:r>
        <w:rPr>
          <w:noProof/>
        </w:rPr>
        <mc:AlternateContent>
          <mc:Choice Requires="wpg">
            <w:drawing>
              <wp:anchor distT="0" distB="0" distL="114300" distR="114300" simplePos="0" relativeHeight="251714560" behindDoc="0" locked="0" layoutInCell="1" allowOverlap="1">
                <wp:simplePos x="0" y="0"/>
                <wp:positionH relativeFrom="column">
                  <wp:posOffset>144206</wp:posOffset>
                </wp:positionH>
                <wp:positionV relativeFrom="paragraph">
                  <wp:posOffset>137199</wp:posOffset>
                </wp:positionV>
                <wp:extent cx="5261775" cy="5901"/>
                <wp:effectExtent l="0" t="0" r="0" b="0"/>
                <wp:wrapNone/>
                <wp:docPr id="920908" name="Group 920908"/>
                <wp:cNvGraphicFramePr/>
                <a:graphic xmlns:a="http://schemas.openxmlformats.org/drawingml/2006/main">
                  <a:graphicData uri="http://schemas.microsoft.com/office/word/2010/wordprocessingGroup">
                    <wpg:wgp>
                      <wpg:cNvGrpSpPr/>
                      <wpg:grpSpPr>
                        <a:xfrm>
                          <a:off x="0" y="0"/>
                          <a:ext cx="5261775" cy="5901"/>
                          <a:chOff x="0" y="0"/>
                          <a:chExt cx="5261775" cy="5901"/>
                        </a:xfrm>
                      </wpg:grpSpPr>
                      <wps:wsp>
                        <wps:cNvPr id="10718" name="Shape 10718"/>
                        <wps:cNvSpPr/>
                        <wps:spPr>
                          <a:xfrm>
                            <a:off x="0" y="0"/>
                            <a:ext cx="378848" cy="0"/>
                          </a:xfrm>
                          <a:custGeom>
                            <a:avLst/>
                            <a:gdLst/>
                            <a:ahLst/>
                            <a:cxnLst/>
                            <a:rect l="0" t="0" r="0" b="0"/>
                            <a:pathLst>
                              <a:path w="378848">
                                <a:moveTo>
                                  <a:pt x="0" y="0"/>
                                </a:moveTo>
                                <a:lnTo>
                                  <a:pt x="378848" y="0"/>
                                </a:lnTo>
                              </a:path>
                            </a:pathLst>
                          </a:custGeom>
                          <a:ln w="5901" cap="flat">
                            <a:round/>
                          </a:ln>
                        </wps:spPr>
                        <wps:style>
                          <a:lnRef idx="1">
                            <a:srgbClr val="000000"/>
                          </a:lnRef>
                          <a:fillRef idx="0">
                            <a:srgbClr val="000000">
                              <a:alpha val="0"/>
                            </a:srgbClr>
                          </a:fillRef>
                          <a:effectRef idx="0">
                            <a:scrgbClr r="0" g="0" b="0"/>
                          </a:effectRef>
                          <a:fontRef idx="none"/>
                        </wps:style>
                        <wps:bodyPr/>
                      </wps:wsp>
                      <wps:wsp>
                        <wps:cNvPr id="10721" name="Shape 10721"/>
                        <wps:cNvSpPr/>
                        <wps:spPr>
                          <a:xfrm>
                            <a:off x="472362" y="0"/>
                            <a:ext cx="653398" cy="0"/>
                          </a:xfrm>
                          <a:custGeom>
                            <a:avLst/>
                            <a:gdLst/>
                            <a:ahLst/>
                            <a:cxnLst/>
                            <a:rect l="0" t="0" r="0" b="0"/>
                            <a:pathLst>
                              <a:path w="653398">
                                <a:moveTo>
                                  <a:pt x="0" y="0"/>
                                </a:moveTo>
                                <a:lnTo>
                                  <a:pt x="653398" y="0"/>
                                </a:lnTo>
                              </a:path>
                            </a:pathLst>
                          </a:custGeom>
                          <a:ln w="5901" cap="flat">
                            <a:round/>
                          </a:ln>
                        </wps:spPr>
                        <wps:style>
                          <a:lnRef idx="1">
                            <a:srgbClr val="000000"/>
                          </a:lnRef>
                          <a:fillRef idx="0">
                            <a:srgbClr val="000000">
                              <a:alpha val="0"/>
                            </a:srgbClr>
                          </a:fillRef>
                          <a:effectRef idx="0">
                            <a:scrgbClr r="0" g="0" b="0"/>
                          </a:effectRef>
                          <a:fontRef idx="none"/>
                        </wps:style>
                        <wps:bodyPr/>
                      </wps:wsp>
                      <wps:wsp>
                        <wps:cNvPr id="10724" name="Shape 10724"/>
                        <wps:cNvSpPr/>
                        <wps:spPr>
                          <a:xfrm>
                            <a:off x="1279212" y="0"/>
                            <a:ext cx="813123" cy="0"/>
                          </a:xfrm>
                          <a:custGeom>
                            <a:avLst/>
                            <a:gdLst/>
                            <a:ahLst/>
                            <a:cxnLst/>
                            <a:rect l="0" t="0" r="0" b="0"/>
                            <a:pathLst>
                              <a:path w="813123">
                                <a:moveTo>
                                  <a:pt x="0" y="0"/>
                                </a:moveTo>
                                <a:lnTo>
                                  <a:pt x="813123" y="0"/>
                                </a:lnTo>
                              </a:path>
                            </a:pathLst>
                          </a:custGeom>
                          <a:ln w="5901" cap="flat">
                            <a:round/>
                          </a:ln>
                        </wps:spPr>
                        <wps:style>
                          <a:lnRef idx="1">
                            <a:srgbClr val="000000"/>
                          </a:lnRef>
                          <a:fillRef idx="0">
                            <a:srgbClr val="000000">
                              <a:alpha val="0"/>
                            </a:srgbClr>
                          </a:fillRef>
                          <a:effectRef idx="0">
                            <a:scrgbClr r="0" g="0" b="0"/>
                          </a:effectRef>
                          <a:fontRef idx="none"/>
                        </wps:style>
                        <wps:bodyPr/>
                      </wps:wsp>
                      <wps:wsp>
                        <wps:cNvPr id="10727" name="Shape 10727"/>
                        <wps:cNvSpPr/>
                        <wps:spPr>
                          <a:xfrm>
                            <a:off x="2312736" y="0"/>
                            <a:ext cx="373469" cy="0"/>
                          </a:xfrm>
                          <a:custGeom>
                            <a:avLst/>
                            <a:gdLst/>
                            <a:ahLst/>
                            <a:cxnLst/>
                            <a:rect l="0" t="0" r="0" b="0"/>
                            <a:pathLst>
                              <a:path w="373469">
                                <a:moveTo>
                                  <a:pt x="0" y="0"/>
                                </a:moveTo>
                                <a:lnTo>
                                  <a:pt x="373469" y="0"/>
                                </a:lnTo>
                              </a:path>
                            </a:pathLst>
                          </a:custGeom>
                          <a:ln w="5901" cap="flat">
                            <a:round/>
                          </a:ln>
                        </wps:spPr>
                        <wps:style>
                          <a:lnRef idx="1">
                            <a:srgbClr val="000000"/>
                          </a:lnRef>
                          <a:fillRef idx="0">
                            <a:srgbClr val="000000">
                              <a:alpha val="0"/>
                            </a:srgbClr>
                          </a:fillRef>
                          <a:effectRef idx="0">
                            <a:scrgbClr r="0" g="0" b="0"/>
                          </a:effectRef>
                          <a:fontRef idx="none"/>
                        </wps:style>
                        <wps:bodyPr/>
                      </wps:wsp>
                      <wps:wsp>
                        <wps:cNvPr id="10732" name="Shape 10732"/>
                        <wps:cNvSpPr/>
                        <wps:spPr>
                          <a:xfrm>
                            <a:off x="2856138" y="0"/>
                            <a:ext cx="813506" cy="0"/>
                          </a:xfrm>
                          <a:custGeom>
                            <a:avLst/>
                            <a:gdLst/>
                            <a:ahLst/>
                            <a:cxnLst/>
                            <a:rect l="0" t="0" r="0" b="0"/>
                            <a:pathLst>
                              <a:path w="813506">
                                <a:moveTo>
                                  <a:pt x="0" y="0"/>
                                </a:moveTo>
                                <a:lnTo>
                                  <a:pt x="813506" y="0"/>
                                </a:lnTo>
                              </a:path>
                            </a:pathLst>
                          </a:custGeom>
                          <a:ln w="5901" cap="flat">
                            <a:round/>
                          </a:ln>
                        </wps:spPr>
                        <wps:style>
                          <a:lnRef idx="1">
                            <a:srgbClr val="000000"/>
                          </a:lnRef>
                          <a:fillRef idx="0">
                            <a:srgbClr val="000000">
                              <a:alpha val="0"/>
                            </a:srgbClr>
                          </a:fillRef>
                          <a:effectRef idx="0">
                            <a:scrgbClr r="0" g="0" b="0"/>
                          </a:effectRef>
                          <a:fontRef idx="none"/>
                        </wps:style>
                        <wps:bodyPr/>
                      </wps:wsp>
                      <wps:wsp>
                        <wps:cNvPr id="10741" name="Shape 10741"/>
                        <wps:cNvSpPr/>
                        <wps:spPr>
                          <a:xfrm>
                            <a:off x="3825267" y="0"/>
                            <a:ext cx="1436509" cy="0"/>
                          </a:xfrm>
                          <a:custGeom>
                            <a:avLst/>
                            <a:gdLst/>
                            <a:ahLst/>
                            <a:cxnLst/>
                            <a:rect l="0" t="0" r="0" b="0"/>
                            <a:pathLst>
                              <a:path w="1436509">
                                <a:moveTo>
                                  <a:pt x="0" y="0"/>
                                </a:moveTo>
                                <a:lnTo>
                                  <a:pt x="1436509" y="0"/>
                                </a:lnTo>
                              </a:path>
                            </a:pathLst>
                          </a:custGeom>
                          <a:ln w="5901"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20908" style="width:414.313pt;height:0.464614pt;position:absolute;z-index:745;mso-position-horizontal-relative:text;mso-position-horizontal:absolute;margin-left:11.3548pt;mso-position-vertical-relative:text;margin-top:10.8031pt;" coordsize="52617,59">
                <v:shape id="Shape 10718" style="position:absolute;width:3788;height:0;left:0;top:0;" coordsize="378848,0" path="m0,0l378848,0">
                  <v:stroke weight="0.464614pt" endcap="flat" joinstyle="round" on="true" color="#000000"/>
                  <v:fill on="false" color="#000000" opacity="0"/>
                </v:shape>
                <v:shape id="Shape 10721" style="position:absolute;width:6533;height:0;left:4723;top:0;" coordsize="653398,0" path="m0,0l653398,0">
                  <v:stroke weight="0.464614pt" endcap="flat" joinstyle="round" on="true" color="#000000"/>
                  <v:fill on="false" color="#000000" opacity="0"/>
                </v:shape>
                <v:shape id="Shape 10724" style="position:absolute;width:8131;height:0;left:12792;top:0;" coordsize="813123,0" path="m0,0l813123,0">
                  <v:stroke weight="0.464614pt" endcap="flat" joinstyle="round" on="true" color="#000000"/>
                  <v:fill on="false" color="#000000" opacity="0"/>
                </v:shape>
                <v:shape id="Shape 10727" style="position:absolute;width:3734;height:0;left:23127;top:0;" coordsize="373469,0" path="m0,0l373469,0">
                  <v:stroke weight="0.464614pt" endcap="flat" joinstyle="round" on="true" color="#000000"/>
                  <v:fill on="false" color="#000000" opacity="0"/>
                </v:shape>
                <v:shape id="Shape 10732" style="position:absolute;width:8135;height:0;left:28561;top:0;" coordsize="813506,0" path="m0,0l813506,0">
                  <v:stroke weight="0.464614pt" endcap="flat" joinstyle="round" on="true" color="#000000"/>
                  <v:fill on="false" color="#000000" opacity="0"/>
                </v:shape>
                <v:shape id="Shape 10741" style="position:absolute;width:14365;height:0;left:38252;top:0;" coordsize="1436509,0" path="m0,0l1436509,0">
                  <v:stroke weight="0.464614pt" endcap="flat" joinstyle="round" on="true" color="#000000"/>
                  <v:fill on="false" color="#000000" opacity="0"/>
                </v:shape>
              </v:group>
            </w:pict>
          </mc:Fallback>
        </mc:AlternateContent>
      </w:r>
      <w:r>
        <w:rPr>
          <w:rFonts w:ascii="Segoe UI Symbol" w:eastAsia="Segoe UI Symbol" w:hAnsi="Segoe UI Symbol" w:cs="Segoe UI Symbol"/>
          <w:sz w:val="23"/>
        </w:rPr>
        <w:t></w:t>
      </w:r>
      <w:r>
        <w:rPr>
          <w:rFonts w:ascii="Segoe UI Symbol" w:eastAsia="Segoe UI Symbol" w:hAnsi="Segoe UI Symbol" w:cs="Segoe UI Symbol"/>
          <w:sz w:val="23"/>
        </w:rPr>
        <w:tab/>
      </w:r>
      <w:r>
        <w:rPr>
          <w:rFonts w:ascii="Times New Roman" w:eastAsia="Times New Roman" w:hAnsi="Times New Roman" w:cs="Times New Roman"/>
          <w:sz w:val="23"/>
        </w:rPr>
        <w:t>1</w:t>
      </w:r>
      <w:r>
        <w:rPr>
          <w:rFonts w:ascii="Times New Roman" w:eastAsia="Times New Roman" w:hAnsi="Times New Roman" w:cs="Times New Roman"/>
          <w:sz w:val="23"/>
        </w:rPr>
        <w:tab/>
      </w:r>
      <w:r>
        <w:rPr>
          <w:rFonts w:ascii="Segoe UI Symbol" w:eastAsia="Segoe UI Symbol" w:hAnsi="Segoe UI Symbol" w:cs="Segoe UI Symbol"/>
          <w:sz w:val="23"/>
        </w:rPr>
        <w:t></w:t>
      </w:r>
      <w:r>
        <w:rPr>
          <w:rFonts w:ascii="Segoe UI Symbol" w:eastAsia="Segoe UI Symbol" w:hAnsi="Segoe UI Symbol" w:cs="Segoe UI Symbol"/>
          <w:sz w:val="23"/>
        </w:rPr>
        <w:tab/>
      </w:r>
      <w:r>
        <w:rPr>
          <w:rFonts w:ascii="Times New Roman" w:eastAsia="Times New Roman" w:hAnsi="Times New Roman" w:cs="Times New Roman"/>
          <w:i/>
          <w:sz w:val="23"/>
        </w:rPr>
        <w:t>z</w:t>
      </w:r>
      <w:r>
        <w:rPr>
          <w:rFonts w:ascii="Times New Roman" w:eastAsia="Times New Roman" w:hAnsi="Times New Roman" w:cs="Times New Roman"/>
          <w:i/>
          <w:sz w:val="23"/>
        </w:rPr>
        <w:tab/>
      </w:r>
      <w:r>
        <w:rPr>
          <w:rFonts w:ascii="Segoe UI Symbol" w:eastAsia="Segoe UI Symbol" w:hAnsi="Segoe UI Symbol" w:cs="Segoe UI Symbol"/>
          <w:sz w:val="23"/>
        </w:rPr>
        <w:t></w:t>
      </w:r>
      <w:r>
        <w:rPr>
          <w:rFonts w:ascii="Segoe UI Symbol" w:eastAsia="Segoe UI Symbol" w:hAnsi="Segoe UI Symbol" w:cs="Segoe UI Symbol"/>
          <w:sz w:val="23"/>
        </w:rPr>
        <w:tab/>
      </w:r>
      <w:r>
        <w:rPr>
          <w:rFonts w:ascii="Times New Roman" w:eastAsia="Times New Roman" w:hAnsi="Times New Roman" w:cs="Times New Roman"/>
          <w:i/>
          <w:sz w:val="23"/>
        </w:rPr>
        <w:t>z</w:t>
      </w:r>
      <w:r>
        <w:rPr>
          <w:rFonts w:ascii="Times New Roman" w:eastAsia="Times New Roman" w:hAnsi="Times New Roman" w:cs="Times New Roman"/>
          <w:i/>
          <w:sz w:val="13"/>
        </w:rPr>
        <w:t>k</w:t>
      </w:r>
      <w:r>
        <w:rPr>
          <w:rFonts w:ascii="Segoe UI Symbol" w:eastAsia="Segoe UI Symbol" w:hAnsi="Segoe UI Symbol" w:cs="Segoe UI Symbol"/>
          <w:sz w:val="13"/>
        </w:rPr>
        <w:t></w:t>
      </w:r>
      <w:r>
        <w:rPr>
          <w:rFonts w:ascii="Times New Roman" w:eastAsia="Times New Roman" w:hAnsi="Times New Roman" w:cs="Times New Roman"/>
          <w:sz w:val="13"/>
        </w:rPr>
        <w:t>1</w:t>
      </w:r>
      <w:r>
        <w:rPr>
          <w:rFonts w:ascii="Times New Roman" w:eastAsia="Times New Roman" w:hAnsi="Times New Roman" w:cs="Times New Roman"/>
          <w:sz w:val="13"/>
        </w:rPr>
        <w:tab/>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ab/>
      </w:r>
      <w:r>
        <w:rPr>
          <w:rFonts w:ascii="Times New Roman" w:eastAsia="Times New Roman" w:hAnsi="Times New Roman" w:cs="Times New Roman"/>
          <w:sz w:val="23"/>
        </w:rPr>
        <w:t>1</w:t>
      </w:r>
      <w:r>
        <w:rPr>
          <w:rFonts w:ascii="Times New Roman" w:eastAsia="Times New Roman" w:hAnsi="Times New Roman" w:cs="Times New Roman"/>
          <w:sz w:val="23"/>
        </w:rPr>
        <w:tab/>
        <w:t xml:space="preserve">ln </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Times New Roman" w:eastAsia="Times New Roman" w:hAnsi="Times New Roman" w:cs="Times New Roman"/>
          <w:sz w:val="13"/>
        </w:rPr>
        <w:t xml:space="preserve">0 </w:t>
      </w:r>
      <w:r>
        <w:rPr>
          <w:rFonts w:ascii="Segoe UI Symbol" w:eastAsia="Segoe UI Symbol" w:hAnsi="Segoe UI Symbol" w:cs="Segoe UI Symbol"/>
          <w:sz w:val="23"/>
        </w:rPr>
        <w:t></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Times New Roman" w:eastAsia="Times New Roman" w:hAnsi="Times New Roman" w:cs="Times New Roman"/>
          <w:i/>
          <w:sz w:val="23"/>
        </w:rPr>
        <w:t>z</w:t>
      </w:r>
      <w:r>
        <w:rPr>
          <w:rFonts w:ascii="Segoe UI Symbol" w:eastAsia="Segoe UI Symbol" w:hAnsi="Segoe UI Symbol" w:cs="Segoe UI Symbol"/>
          <w:sz w:val="30"/>
        </w:rPr>
        <w:t xml:space="preserve"> </w:t>
      </w:r>
      <w:r>
        <w:rPr>
          <w:rFonts w:ascii="Segoe UI Symbol" w:eastAsia="Segoe UI Symbol" w:hAnsi="Segoe UI Symbol" w:cs="Segoe UI Symbol"/>
          <w:sz w:val="23"/>
        </w:rPr>
        <w:t xml:space="preserve"> </w:t>
      </w:r>
      <w:r>
        <w:rPr>
          <w:rFonts w:ascii="Segoe UI Symbol" w:eastAsia="Segoe UI Symbol" w:hAnsi="Segoe UI Symbol" w:cs="Segoe UI Symbol"/>
          <w:sz w:val="30"/>
        </w:rPr>
        <w:t></w:t>
      </w:r>
      <w:r>
        <w:rPr>
          <w:rFonts w:ascii="Times New Roman" w:eastAsia="Times New Roman" w:hAnsi="Times New Roman" w:cs="Times New Roman"/>
          <w:i/>
          <w:sz w:val="23"/>
        </w:rPr>
        <w:t xml:space="preserve">z </w:t>
      </w:r>
      <w:r>
        <w:rPr>
          <w:rFonts w:ascii="Segoe UI Symbol" w:eastAsia="Segoe UI Symbol" w:hAnsi="Segoe UI Symbol" w:cs="Segoe UI Symbol"/>
          <w:sz w:val="23"/>
        </w:rPr>
        <w:t xml:space="preserve"> </w:t>
      </w:r>
      <w:r>
        <w:rPr>
          <w:rFonts w:ascii="Times New Roman" w:eastAsia="Times New Roman" w:hAnsi="Times New Roman" w:cs="Times New Roman"/>
          <w:i/>
          <w:sz w:val="23"/>
        </w:rPr>
        <w:t>z</w:t>
      </w:r>
      <w:r>
        <w:rPr>
          <w:rFonts w:ascii="Times New Roman" w:eastAsia="Times New Roman" w:hAnsi="Times New Roman" w:cs="Times New Roman"/>
          <w:i/>
          <w:sz w:val="13"/>
        </w:rPr>
        <w:t>k</w:t>
      </w:r>
      <w:r>
        <w:rPr>
          <w:rFonts w:ascii="Segoe UI Symbol" w:eastAsia="Segoe UI Symbol" w:hAnsi="Segoe UI Symbol" w:cs="Segoe UI Symbol"/>
          <w:sz w:val="13"/>
        </w:rPr>
        <w:t></w:t>
      </w:r>
      <w:r>
        <w:rPr>
          <w:rFonts w:ascii="Times New Roman" w:eastAsia="Times New Roman" w:hAnsi="Times New Roman" w:cs="Times New Roman"/>
          <w:sz w:val="13"/>
        </w:rPr>
        <w:t>21</w:t>
      </w:r>
      <w:r>
        <w:rPr>
          <w:rFonts w:ascii="Segoe UI Symbol" w:eastAsia="Segoe UI Symbol" w:hAnsi="Segoe UI Symbol" w:cs="Segoe UI Symbol"/>
          <w:sz w:val="30"/>
        </w:rPr>
        <w:t></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Times New Roman" w:eastAsia="Times New Roman" w:hAnsi="Times New Roman" w:cs="Times New Roman"/>
          <w:sz w:val="13"/>
        </w:rPr>
        <w:t xml:space="preserve">0 </w:t>
      </w:r>
      <w:r>
        <w:rPr>
          <w:rFonts w:ascii="Segoe UI Symbol" w:eastAsia="Segoe UI Symbol" w:hAnsi="Segoe UI Symbol" w:cs="Segoe UI Symbol"/>
          <w:sz w:val="23"/>
        </w:rPr>
        <w:t xml:space="preserve"> </w:t>
      </w:r>
      <w:r>
        <w:rPr>
          <w:rFonts w:ascii="Times New Roman" w:eastAsia="Times New Roman" w:hAnsi="Times New Roman" w:cs="Times New Roman"/>
          <w:sz w:val="23"/>
        </w:rPr>
        <w:t>2</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Times New Roman" w:eastAsia="Times New Roman" w:hAnsi="Times New Roman" w:cs="Times New Roman"/>
          <w:i/>
          <w:sz w:val="23"/>
        </w:rPr>
        <w:t>z</w:t>
      </w:r>
      <w:r>
        <w:rPr>
          <w:rFonts w:ascii="Times New Roman" w:eastAsia="Times New Roman" w:hAnsi="Times New Roman" w:cs="Times New Roman"/>
          <w:i/>
          <w:sz w:val="13"/>
        </w:rPr>
        <w:t>k</w:t>
      </w:r>
      <w:r>
        <w:rPr>
          <w:rFonts w:ascii="Segoe UI Symbol" w:eastAsia="Segoe UI Symbol" w:hAnsi="Segoe UI Symbol" w:cs="Segoe UI Symbol"/>
          <w:sz w:val="13"/>
        </w:rPr>
        <w:t></w:t>
      </w:r>
      <w:r>
        <w:rPr>
          <w:rFonts w:ascii="Times New Roman" w:eastAsia="Times New Roman" w:hAnsi="Times New Roman" w:cs="Times New Roman"/>
          <w:sz w:val="13"/>
        </w:rPr>
        <w:t>21</w:t>
      </w:r>
      <w:r>
        <w:rPr>
          <w:rFonts w:ascii="Segoe UI Symbol" w:eastAsia="Segoe UI Symbol" w:hAnsi="Segoe UI Symbol" w:cs="Segoe UI Symbol"/>
          <w:sz w:val="30"/>
        </w:rPr>
        <w:t></w:t>
      </w:r>
      <w:r>
        <w:rPr>
          <w:rFonts w:ascii="Segoe UI Symbol" w:eastAsia="Segoe UI Symbol" w:hAnsi="Segoe UI Symbol" w:cs="Segoe UI Symbol"/>
          <w:sz w:val="23"/>
        </w:rPr>
        <w:t></w:t>
      </w:r>
    </w:p>
    <w:p w:rsidR="0052701D" w:rsidRDefault="00D40929">
      <w:pPr>
        <w:tabs>
          <w:tab w:val="center" w:pos="1124"/>
          <w:tab w:val="center" w:pos="3336"/>
          <w:tab w:val="center" w:pos="5375"/>
          <w:tab w:val="center" w:pos="7333"/>
          <w:tab w:val="center" w:pos="8763"/>
        </w:tabs>
        <w:spacing w:before="83" w:after="490" w:line="265" w:lineRule="auto"/>
      </w:pPr>
      <w:r>
        <w:tab/>
      </w:r>
      <w:r>
        <w:rPr>
          <w:rFonts w:ascii="Segoe UI Symbol" w:eastAsia="Segoe UI Symbol" w:hAnsi="Segoe UI Symbol" w:cs="Segoe UI Symbol"/>
          <w:sz w:val="30"/>
        </w:rPr>
        <w:t></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20"/>
          <w:vertAlign w:val="subscript"/>
        </w:rPr>
        <w:t>1</w:t>
      </w:r>
      <w:r>
        <w:rPr>
          <w:rFonts w:ascii="Segoe UI Symbol" w:eastAsia="Segoe UI Symbol" w:hAnsi="Segoe UI Symbol" w:cs="Segoe UI Symbol"/>
          <w:sz w:val="30"/>
        </w:rPr>
        <w:t></w:t>
      </w:r>
      <w:r>
        <w:rPr>
          <w:rFonts w:ascii="Times New Roman" w:eastAsia="Times New Roman" w:hAnsi="Times New Roman" w:cs="Times New Roman"/>
          <w:sz w:val="13"/>
        </w:rPr>
        <w:t xml:space="preserve">2 </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Times New Roman" w:eastAsia="Times New Roman" w:hAnsi="Times New Roman" w:cs="Times New Roman"/>
          <w:sz w:val="13"/>
        </w:rPr>
        <w:t xml:space="preserve">0 </w:t>
      </w:r>
      <w:r>
        <w:rPr>
          <w:rFonts w:ascii="Segoe UI Symbol" w:eastAsia="Segoe UI Symbol" w:hAnsi="Segoe UI Symbol" w:cs="Segoe UI Symbol"/>
          <w:sz w:val="23"/>
        </w:rPr>
        <w:t></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Times New Roman" w:eastAsia="Times New Roman" w:hAnsi="Times New Roman" w:cs="Times New Roman"/>
          <w:i/>
          <w:sz w:val="23"/>
        </w:rPr>
        <w:t>z</w:t>
      </w:r>
      <w:r>
        <w:rPr>
          <w:rFonts w:ascii="Segoe UI Symbol" w:eastAsia="Segoe UI Symbol" w:hAnsi="Segoe UI Symbol" w:cs="Segoe UI Symbol"/>
          <w:sz w:val="30"/>
        </w:rPr>
        <w:t></w:t>
      </w:r>
      <w:r>
        <w:rPr>
          <w:rFonts w:ascii="Segoe UI Symbol" w:eastAsia="Segoe UI Symbol" w:hAnsi="Segoe UI Symbol" w:cs="Segoe UI Symbol"/>
          <w:sz w:val="30"/>
        </w:rPr>
        <w:tab/>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Times New Roman" w:eastAsia="Times New Roman" w:hAnsi="Times New Roman" w:cs="Times New Roman"/>
          <w:sz w:val="13"/>
        </w:rPr>
        <w:t xml:space="preserve">0 </w:t>
      </w:r>
      <w:r>
        <w:rPr>
          <w:rFonts w:ascii="Segoe UI Symbol" w:eastAsia="Segoe UI Symbol" w:hAnsi="Segoe UI Symbol" w:cs="Segoe UI Symbol"/>
          <w:sz w:val="23"/>
        </w:rPr>
        <w:t></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Times New Roman" w:eastAsia="Times New Roman" w:hAnsi="Times New Roman" w:cs="Times New Roman"/>
          <w:i/>
          <w:sz w:val="23"/>
        </w:rPr>
        <w:t>z</w:t>
      </w:r>
      <w:r>
        <w:rPr>
          <w:rFonts w:ascii="Times New Roman" w:eastAsia="Times New Roman" w:hAnsi="Times New Roman" w:cs="Times New Roman"/>
          <w:i/>
          <w:sz w:val="13"/>
        </w:rPr>
        <w:t>k</w:t>
      </w:r>
      <w:r>
        <w:rPr>
          <w:rFonts w:ascii="Segoe UI Symbol" w:eastAsia="Segoe UI Symbol" w:hAnsi="Segoe UI Symbol" w:cs="Segoe UI Symbol"/>
          <w:sz w:val="13"/>
        </w:rPr>
        <w:t></w:t>
      </w:r>
      <w:r>
        <w:rPr>
          <w:rFonts w:ascii="Times New Roman" w:eastAsia="Times New Roman" w:hAnsi="Times New Roman" w:cs="Times New Roman"/>
          <w:sz w:val="13"/>
        </w:rPr>
        <w:t>1</w:t>
      </w:r>
      <w:r>
        <w:rPr>
          <w:rFonts w:ascii="Segoe UI Symbol" w:eastAsia="Segoe UI Symbol" w:hAnsi="Segoe UI Symbol" w:cs="Segoe UI Symbol"/>
          <w:sz w:val="30"/>
        </w:rPr>
        <w:t></w:t>
      </w:r>
      <w:r>
        <w:rPr>
          <w:rFonts w:ascii="Segoe UI Symbol" w:eastAsia="Segoe UI Symbol" w:hAnsi="Segoe UI Symbol" w:cs="Segoe UI Symbol"/>
          <w:sz w:val="23"/>
        </w:rPr>
        <w:t></w:t>
      </w:r>
      <w:r>
        <w:rPr>
          <w:rFonts w:ascii="Segoe UI Symbol" w:eastAsia="Segoe UI Symbol" w:hAnsi="Segoe UI Symbol" w:cs="Segoe UI Symbol"/>
          <w:sz w:val="23"/>
        </w:rPr>
        <w:t xml:space="preserve"> </w:t>
      </w:r>
      <w:r>
        <w:rPr>
          <w:rFonts w:ascii="Segoe UI Symbol" w:eastAsia="Segoe UI Symbol" w:hAnsi="Segoe UI Symbol" w:cs="Segoe UI Symbol"/>
          <w:sz w:val="30"/>
        </w:rPr>
        <w:t></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Segoe UI Symbol" w:eastAsia="Segoe UI Symbol" w:hAnsi="Segoe UI Symbol" w:cs="Segoe UI Symbol"/>
          <w:sz w:val="30"/>
        </w:rPr>
        <w:t></w:t>
      </w:r>
      <w:r>
        <w:rPr>
          <w:rFonts w:ascii="Times New Roman" w:eastAsia="Times New Roman" w:hAnsi="Times New Roman" w:cs="Times New Roman"/>
          <w:sz w:val="13"/>
        </w:rPr>
        <w:t>3</w:t>
      </w:r>
      <w:r>
        <w:rPr>
          <w:rFonts w:ascii="Times New Roman" w:eastAsia="Times New Roman" w:hAnsi="Times New Roman" w:cs="Times New Roman"/>
          <w:sz w:val="13"/>
        </w:rPr>
        <w:tab/>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Times New Roman" w:eastAsia="Times New Roman" w:hAnsi="Times New Roman" w:cs="Times New Roman"/>
          <w:sz w:val="13"/>
        </w:rPr>
        <w:t xml:space="preserve">0 </w:t>
      </w:r>
      <w:r>
        <w:rPr>
          <w:rFonts w:ascii="Segoe UI Symbol" w:eastAsia="Segoe UI Symbol" w:hAnsi="Segoe UI Symbol" w:cs="Segoe UI Symbol"/>
          <w:sz w:val="23"/>
        </w:rPr>
        <w:t></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Times New Roman" w:eastAsia="Times New Roman" w:hAnsi="Times New Roman" w:cs="Times New Roman"/>
          <w:i/>
          <w:sz w:val="23"/>
        </w:rPr>
        <w:t>z</w:t>
      </w:r>
      <w:r>
        <w:rPr>
          <w:rFonts w:ascii="Times New Roman" w:eastAsia="Times New Roman" w:hAnsi="Times New Roman" w:cs="Times New Roman"/>
          <w:i/>
          <w:sz w:val="13"/>
        </w:rPr>
        <w:t>k</w:t>
      </w:r>
      <w:r>
        <w:rPr>
          <w:rFonts w:ascii="Segoe UI Symbol" w:eastAsia="Segoe UI Symbol" w:hAnsi="Segoe UI Symbol" w:cs="Segoe UI Symbol"/>
          <w:sz w:val="13"/>
        </w:rPr>
        <w:t></w:t>
      </w:r>
      <w:r>
        <w:rPr>
          <w:rFonts w:ascii="Times New Roman" w:eastAsia="Times New Roman" w:hAnsi="Times New Roman" w:cs="Times New Roman"/>
          <w:sz w:val="13"/>
        </w:rPr>
        <w:t>1</w:t>
      </w:r>
      <w:r>
        <w:rPr>
          <w:rFonts w:ascii="Segoe UI Symbol" w:eastAsia="Segoe UI Symbol" w:hAnsi="Segoe UI Symbol" w:cs="Segoe UI Symbol"/>
          <w:sz w:val="30"/>
        </w:rPr>
        <w:t></w:t>
      </w:r>
      <w:r>
        <w:rPr>
          <w:rFonts w:ascii="Segoe UI Symbol" w:eastAsia="Segoe UI Symbol" w:hAnsi="Segoe UI Symbol" w:cs="Segoe UI Symbol"/>
          <w:sz w:val="30"/>
        </w:rPr>
        <w:tab/>
      </w:r>
      <w:r>
        <w:rPr>
          <w:rFonts w:ascii="Times New Roman" w:eastAsia="Times New Roman" w:hAnsi="Times New Roman" w:cs="Times New Roman"/>
          <w:sz w:val="23"/>
        </w:rPr>
        <w:t>2</w:t>
      </w:r>
      <w:r>
        <w:rPr>
          <w:rFonts w:ascii="Segoe UI Symbol" w:eastAsia="Segoe UI Symbol" w:hAnsi="Segoe UI Symbol" w:cs="Segoe UI Symbol"/>
          <w:sz w:val="30"/>
        </w:rPr>
        <w:t></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Segoe UI Symbol" w:eastAsia="Segoe UI Symbol" w:hAnsi="Segoe UI Symbol" w:cs="Segoe UI Symbol"/>
          <w:sz w:val="30"/>
        </w:rPr>
        <w:t xml:space="preserve"> </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Times New Roman" w:eastAsia="Times New Roman" w:hAnsi="Times New Roman" w:cs="Times New Roman"/>
          <w:sz w:val="13"/>
        </w:rPr>
        <w:t xml:space="preserve">0 </w:t>
      </w:r>
      <w:r>
        <w:rPr>
          <w:rFonts w:ascii="Segoe UI Symbol" w:eastAsia="Segoe UI Symbol" w:hAnsi="Segoe UI Symbol" w:cs="Segoe UI Symbol"/>
          <w:sz w:val="23"/>
        </w:rPr>
        <w:t></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Times New Roman" w:eastAsia="Times New Roman" w:hAnsi="Times New Roman" w:cs="Times New Roman"/>
          <w:i/>
          <w:sz w:val="23"/>
        </w:rPr>
        <w:t>z</w:t>
      </w:r>
      <w:r>
        <w:rPr>
          <w:rFonts w:ascii="Times New Roman" w:eastAsia="Times New Roman" w:hAnsi="Times New Roman" w:cs="Times New Roman"/>
          <w:i/>
          <w:sz w:val="13"/>
        </w:rPr>
        <w:t>k</w:t>
      </w:r>
      <w:r>
        <w:rPr>
          <w:rFonts w:ascii="Segoe UI Symbol" w:eastAsia="Segoe UI Symbol" w:hAnsi="Segoe UI Symbol" w:cs="Segoe UI Symbol"/>
          <w:sz w:val="13"/>
        </w:rPr>
        <w:t></w:t>
      </w:r>
      <w:r>
        <w:rPr>
          <w:rFonts w:ascii="Times New Roman" w:eastAsia="Times New Roman" w:hAnsi="Times New Roman" w:cs="Times New Roman"/>
          <w:sz w:val="13"/>
        </w:rPr>
        <w:t>1</w:t>
      </w:r>
      <w:r>
        <w:rPr>
          <w:rFonts w:ascii="Segoe UI Symbol" w:eastAsia="Segoe UI Symbol" w:hAnsi="Segoe UI Symbol" w:cs="Segoe UI Symbol"/>
          <w:sz w:val="30"/>
        </w:rPr>
        <w:t></w:t>
      </w:r>
      <w:r>
        <w:rPr>
          <w:rFonts w:ascii="Segoe UI Symbol" w:eastAsia="Segoe UI Symbol" w:hAnsi="Segoe UI Symbol" w:cs="Segoe UI Symbol"/>
          <w:sz w:val="30"/>
        </w:rPr>
        <w:tab/>
      </w:r>
      <w:r>
        <w:rPr>
          <w:rFonts w:ascii="Times New Roman" w:eastAsia="Times New Roman" w:hAnsi="Times New Roman" w:cs="Times New Roman"/>
          <w:sz w:val="24"/>
        </w:rPr>
        <w:t xml:space="preserve"> </w:t>
      </w:r>
    </w:p>
    <w:p w:rsidR="0052701D" w:rsidRDefault="00D40929">
      <w:pPr>
        <w:numPr>
          <w:ilvl w:val="0"/>
          <w:numId w:val="8"/>
        </w:numPr>
        <w:spacing w:after="208" w:line="268" w:lineRule="auto"/>
        <w:ind w:hanging="1222"/>
      </w:pPr>
      <w:r>
        <w:rPr>
          <w:noProof/>
        </w:rPr>
        <mc:AlternateContent>
          <mc:Choice Requires="wpg">
            <w:drawing>
              <wp:anchor distT="0" distB="0" distL="114300" distR="114300" simplePos="0" relativeHeight="251715584" behindDoc="0" locked="0" layoutInCell="1" allowOverlap="1">
                <wp:simplePos x="0" y="0"/>
                <wp:positionH relativeFrom="column">
                  <wp:posOffset>142161</wp:posOffset>
                </wp:positionH>
                <wp:positionV relativeFrom="paragraph">
                  <wp:posOffset>80478</wp:posOffset>
                </wp:positionV>
                <wp:extent cx="3579420" cy="6334"/>
                <wp:effectExtent l="0" t="0" r="0" b="0"/>
                <wp:wrapNone/>
                <wp:docPr id="920909" name="Group 920909"/>
                <wp:cNvGraphicFramePr/>
                <a:graphic xmlns:a="http://schemas.openxmlformats.org/drawingml/2006/main">
                  <a:graphicData uri="http://schemas.microsoft.com/office/word/2010/wordprocessingGroup">
                    <wpg:wgp>
                      <wpg:cNvGrpSpPr/>
                      <wpg:grpSpPr>
                        <a:xfrm>
                          <a:off x="0" y="0"/>
                          <a:ext cx="3579420" cy="6334"/>
                          <a:chOff x="0" y="0"/>
                          <a:chExt cx="3579420" cy="6334"/>
                        </a:xfrm>
                      </wpg:grpSpPr>
                      <wps:wsp>
                        <wps:cNvPr id="10839" name="Shape 10839"/>
                        <wps:cNvSpPr/>
                        <wps:spPr>
                          <a:xfrm>
                            <a:off x="0" y="0"/>
                            <a:ext cx="458909" cy="0"/>
                          </a:xfrm>
                          <a:custGeom>
                            <a:avLst/>
                            <a:gdLst/>
                            <a:ahLst/>
                            <a:cxnLst/>
                            <a:rect l="0" t="0" r="0" b="0"/>
                            <a:pathLst>
                              <a:path w="458909">
                                <a:moveTo>
                                  <a:pt x="0" y="0"/>
                                </a:moveTo>
                                <a:lnTo>
                                  <a:pt x="458909" y="0"/>
                                </a:lnTo>
                              </a:path>
                            </a:pathLst>
                          </a:custGeom>
                          <a:ln w="6334" cap="flat">
                            <a:round/>
                          </a:ln>
                        </wps:spPr>
                        <wps:style>
                          <a:lnRef idx="1">
                            <a:srgbClr val="000000"/>
                          </a:lnRef>
                          <a:fillRef idx="0">
                            <a:srgbClr val="000000">
                              <a:alpha val="0"/>
                            </a:srgbClr>
                          </a:fillRef>
                          <a:effectRef idx="0">
                            <a:scrgbClr r="0" g="0" b="0"/>
                          </a:effectRef>
                          <a:fontRef idx="none"/>
                        </wps:style>
                        <wps:bodyPr/>
                      </wps:wsp>
                      <wps:wsp>
                        <wps:cNvPr id="10842" name="Shape 10842"/>
                        <wps:cNvSpPr/>
                        <wps:spPr>
                          <a:xfrm>
                            <a:off x="552342" y="0"/>
                            <a:ext cx="654991" cy="0"/>
                          </a:xfrm>
                          <a:custGeom>
                            <a:avLst/>
                            <a:gdLst/>
                            <a:ahLst/>
                            <a:cxnLst/>
                            <a:rect l="0" t="0" r="0" b="0"/>
                            <a:pathLst>
                              <a:path w="654991">
                                <a:moveTo>
                                  <a:pt x="0" y="0"/>
                                </a:moveTo>
                                <a:lnTo>
                                  <a:pt x="654991" y="0"/>
                                </a:lnTo>
                              </a:path>
                            </a:pathLst>
                          </a:custGeom>
                          <a:ln w="6334" cap="flat">
                            <a:round/>
                          </a:ln>
                        </wps:spPr>
                        <wps:style>
                          <a:lnRef idx="1">
                            <a:srgbClr val="000000"/>
                          </a:lnRef>
                          <a:fillRef idx="0">
                            <a:srgbClr val="000000">
                              <a:alpha val="0"/>
                            </a:srgbClr>
                          </a:fillRef>
                          <a:effectRef idx="0">
                            <a:scrgbClr r="0" g="0" b="0"/>
                          </a:effectRef>
                          <a:fontRef idx="none"/>
                        </wps:style>
                        <wps:bodyPr/>
                      </wps:wsp>
                      <wps:wsp>
                        <wps:cNvPr id="10845" name="Shape 10845"/>
                        <wps:cNvSpPr/>
                        <wps:spPr>
                          <a:xfrm>
                            <a:off x="1360886" y="0"/>
                            <a:ext cx="815245" cy="0"/>
                          </a:xfrm>
                          <a:custGeom>
                            <a:avLst/>
                            <a:gdLst/>
                            <a:ahLst/>
                            <a:cxnLst/>
                            <a:rect l="0" t="0" r="0" b="0"/>
                            <a:pathLst>
                              <a:path w="815245">
                                <a:moveTo>
                                  <a:pt x="0" y="0"/>
                                </a:moveTo>
                                <a:lnTo>
                                  <a:pt x="815245" y="0"/>
                                </a:lnTo>
                              </a:path>
                            </a:pathLst>
                          </a:custGeom>
                          <a:ln w="6334" cap="flat">
                            <a:round/>
                          </a:ln>
                        </wps:spPr>
                        <wps:style>
                          <a:lnRef idx="1">
                            <a:srgbClr val="000000"/>
                          </a:lnRef>
                          <a:fillRef idx="0">
                            <a:srgbClr val="000000">
                              <a:alpha val="0"/>
                            </a:srgbClr>
                          </a:fillRef>
                          <a:effectRef idx="0">
                            <a:scrgbClr r="0" g="0" b="0"/>
                          </a:effectRef>
                          <a:fontRef idx="none"/>
                        </wps:style>
                        <wps:bodyPr/>
                      </wps:wsp>
                      <wps:wsp>
                        <wps:cNvPr id="10852" name="Shape 10852"/>
                        <wps:cNvSpPr/>
                        <wps:spPr>
                          <a:xfrm>
                            <a:off x="2396824" y="0"/>
                            <a:ext cx="1182597" cy="0"/>
                          </a:xfrm>
                          <a:custGeom>
                            <a:avLst/>
                            <a:gdLst/>
                            <a:ahLst/>
                            <a:cxnLst/>
                            <a:rect l="0" t="0" r="0" b="0"/>
                            <a:pathLst>
                              <a:path w="1182597">
                                <a:moveTo>
                                  <a:pt x="0" y="0"/>
                                </a:moveTo>
                                <a:lnTo>
                                  <a:pt x="1182597" y="0"/>
                                </a:lnTo>
                              </a:path>
                            </a:pathLst>
                          </a:custGeom>
                          <a:ln w="6334"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20909" style="width:281.844pt;height:0.498756pt;position:absolute;z-index:863;mso-position-horizontal-relative:text;mso-position-horizontal:absolute;margin-left:11.1938pt;mso-position-vertical-relative:text;margin-top:6.33688pt;" coordsize="35794,63">
                <v:shape id="Shape 10839" style="position:absolute;width:4589;height:0;left:0;top:0;" coordsize="458909,0" path="m0,0l458909,0">
                  <v:stroke weight="0.498756pt" endcap="flat" joinstyle="round" on="true" color="#000000"/>
                  <v:fill on="false" color="#000000" opacity="0"/>
                </v:shape>
                <v:shape id="Shape 10842" style="position:absolute;width:6549;height:0;left:5523;top:0;" coordsize="654991,0" path="m0,0l654991,0">
                  <v:stroke weight="0.498756pt" endcap="flat" joinstyle="round" on="true" color="#000000"/>
                  <v:fill on="false" color="#000000" opacity="0"/>
                </v:shape>
                <v:shape id="Shape 10845" style="position:absolute;width:8152;height:0;left:13608;top:0;" coordsize="815245,0" path="m0,0l815245,0">
                  <v:stroke weight="0.498756pt" endcap="flat" joinstyle="round" on="true" color="#000000"/>
                  <v:fill on="false" color="#000000" opacity="0"/>
                </v:shape>
                <v:shape id="Shape 10852" style="position:absolute;width:11825;height:0;left:23968;top:0;" coordsize="1182597,0" path="m0,0l1182597,0">
                  <v:stroke weight="0.498756pt" endcap="flat" joinstyle="round" on="true" color="#000000"/>
                  <v:fill on="false" color="#000000" opacity="0"/>
                </v:shape>
              </v:group>
            </w:pict>
          </mc:Fallback>
        </mc:AlternateContent>
      </w:r>
      <w:r>
        <w:rPr>
          <w:rFonts w:ascii="Times New Roman" w:eastAsia="Times New Roman" w:hAnsi="Times New Roman" w:cs="Times New Roman"/>
          <w:sz w:val="25"/>
        </w:rPr>
        <w:t>2</w:t>
      </w:r>
      <w:r>
        <w:rPr>
          <w:rFonts w:ascii="Segoe UI Symbol" w:eastAsia="Segoe UI Symbol" w:hAnsi="Segoe UI Symbol" w:cs="Segoe UI Symbol"/>
          <w:sz w:val="33"/>
        </w:rPr>
        <w:t></w:t>
      </w:r>
      <w:r>
        <w:rPr>
          <w:rFonts w:ascii="Segoe UI Symbol" w:eastAsia="Segoe UI Symbol" w:hAnsi="Segoe UI Symbol" w:cs="Segoe UI Symbol"/>
          <w:sz w:val="27"/>
        </w:rPr>
        <w:t></w:t>
      </w:r>
      <w:r>
        <w:rPr>
          <w:rFonts w:ascii="Times New Roman" w:eastAsia="Times New Roman" w:hAnsi="Times New Roman" w:cs="Times New Roman"/>
          <w:i/>
          <w:sz w:val="25"/>
        </w:rPr>
        <w:t>z</w:t>
      </w:r>
      <w:r>
        <w:rPr>
          <w:rFonts w:ascii="Times New Roman" w:eastAsia="Times New Roman" w:hAnsi="Times New Roman" w:cs="Times New Roman"/>
          <w:i/>
          <w:sz w:val="15"/>
        </w:rPr>
        <w:t>k</w:t>
      </w:r>
      <w:r>
        <w:rPr>
          <w:rFonts w:ascii="Times New Roman" w:eastAsia="Times New Roman" w:hAnsi="Times New Roman" w:cs="Times New Roman"/>
          <w:i/>
          <w:sz w:val="25"/>
        </w:rPr>
        <w:t>h</w:t>
      </w:r>
      <w:r>
        <w:rPr>
          <w:rFonts w:ascii="Segoe UI Symbol" w:eastAsia="Segoe UI Symbol" w:hAnsi="Segoe UI Symbol" w:cs="Segoe UI Symbol"/>
          <w:sz w:val="15"/>
        </w:rPr>
        <w:t></w:t>
      </w:r>
      <w:r>
        <w:rPr>
          <w:rFonts w:ascii="Times New Roman" w:eastAsia="Times New Roman" w:hAnsi="Times New Roman" w:cs="Times New Roman"/>
          <w:sz w:val="23"/>
          <w:vertAlign w:val="subscript"/>
        </w:rPr>
        <w:t>1</w:t>
      </w:r>
      <w:r>
        <w:rPr>
          <w:rFonts w:ascii="Times New Roman" w:eastAsia="Times New Roman" w:hAnsi="Times New Roman" w:cs="Times New Roman"/>
          <w:sz w:val="15"/>
        </w:rPr>
        <w:t>1</w:t>
      </w:r>
      <w:r>
        <w:rPr>
          <w:rFonts w:ascii="Segoe UI Symbol" w:eastAsia="Segoe UI Symbol" w:hAnsi="Segoe UI Symbol" w:cs="Segoe UI Symbol"/>
          <w:sz w:val="33"/>
        </w:rPr>
        <w:t xml:space="preserve"> </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ab/>
      </w:r>
      <w:r>
        <w:rPr>
          <w:rFonts w:ascii="Times New Roman" w:eastAsia="Times New Roman" w:hAnsi="Times New Roman" w:cs="Times New Roman"/>
          <w:sz w:val="25"/>
        </w:rPr>
        <w:t>1</w:t>
      </w:r>
      <w:r>
        <w:rPr>
          <w:rFonts w:ascii="Times New Roman" w:eastAsia="Times New Roman" w:hAnsi="Times New Roman" w:cs="Times New Roman"/>
          <w:sz w:val="25"/>
        </w:rPr>
        <w:tab/>
        <w:t>1</w:t>
      </w:r>
      <w:r>
        <w:rPr>
          <w:rFonts w:ascii="Times New Roman" w:eastAsia="Times New Roman" w:hAnsi="Times New Roman" w:cs="Times New Roman"/>
          <w:sz w:val="25"/>
        </w:rPr>
        <w:tab/>
      </w:r>
      <w:r>
        <w:rPr>
          <w:rFonts w:ascii="Segoe UI Symbol" w:eastAsia="Segoe UI Symbol" w:hAnsi="Segoe UI Symbol" w:cs="Segoe UI Symbol"/>
          <w:sz w:val="15"/>
        </w:rPr>
        <w:t xml:space="preserve"> </w:t>
      </w:r>
      <w:r>
        <w:rPr>
          <w:rFonts w:ascii="Segoe UI Symbol" w:eastAsia="Segoe UI Symbol" w:hAnsi="Segoe UI Symbol" w:cs="Segoe UI Symbol"/>
          <w:sz w:val="25"/>
        </w:rPr>
        <w:t></w:t>
      </w:r>
      <w:r>
        <w:rPr>
          <w:rFonts w:ascii="Segoe UI Symbol" w:eastAsia="Segoe UI Symbol" w:hAnsi="Segoe UI Symbol" w:cs="Segoe UI Symbol"/>
          <w:sz w:val="25"/>
        </w:rPr>
        <w:tab/>
      </w:r>
      <w:r>
        <w:rPr>
          <w:rFonts w:ascii="Times New Roman" w:eastAsia="Times New Roman" w:hAnsi="Times New Roman" w:cs="Times New Roman"/>
          <w:i/>
          <w:sz w:val="25"/>
        </w:rPr>
        <w:t>z</w:t>
      </w:r>
      <w:r>
        <w:rPr>
          <w:rFonts w:ascii="Times New Roman" w:eastAsia="Times New Roman" w:hAnsi="Times New Roman" w:cs="Times New Roman"/>
          <w:i/>
          <w:sz w:val="15"/>
        </w:rPr>
        <w:t>k</w:t>
      </w:r>
      <w:r>
        <w:rPr>
          <w:rFonts w:ascii="Segoe UI Symbol" w:eastAsia="Segoe UI Symbol" w:hAnsi="Segoe UI Symbol" w:cs="Segoe UI Symbol"/>
          <w:sz w:val="15"/>
        </w:rPr>
        <w:t></w:t>
      </w:r>
      <w:r>
        <w:rPr>
          <w:rFonts w:ascii="Times New Roman" w:eastAsia="Times New Roman" w:hAnsi="Times New Roman" w:cs="Times New Roman"/>
          <w:sz w:val="15"/>
        </w:rPr>
        <w:t>1</w:t>
      </w:r>
      <w:r>
        <w:rPr>
          <w:rFonts w:ascii="Segoe UI Symbol" w:eastAsia="Segoe UI Symbol" w:hAnsi="Segoe UI Symbol" w:cs="Segoe UI Symbol"/>
          <w:sz w:val="33"/>
        </w:rPr>
        <w:t></w:t>
      </w:r>
      <w:r>
        <w:rPr>
          <w:rFonts w:ascii="Times New Roman" w:eastAsia="Times New Roman" w:hAnsi="Times New Roman" w:cs="Times New Roman"/>
          <w:i/>
          <w:sz w:val="25"/>
        </w:rPr>
        <w:t xml:space="preserve">z </w:t>
      </w:r>
      <w:r>
        <w:rPr>
          <w:rFonts w:ascii="Segoe UI Symbol" w:eastAsia="Segoe UI Symbol" w:hAnsi="Segoe UI Symbol" w:cs="Segoe UI Symbol"/>
          <w:sz w:val="25"/>
        </w:rPr>
        <w:t xml:space="preserve"> </w:t>
      </w:r>
      <w:r>
        <w:rPr>
          <w:rFonts w:ascii="Times New Roman" w:eastAsia="Times New Roman" w:hAnsi="Times New Roman" w:cs="Times New Roman"/>
          <w:i/>
          <w:sz w:val="25"/>
        </w:rPr>
        <w:t>z</w:t>
      </w:r>
      <w:r>
        <w:rPr>
          <w:rFonts w:ascii="Times New Roman" w:eastAsia="Times New Roman" w:hAnsi="Times New Roman" w:cs="Times New Roman"/>
          <w:i/>
          <w:sz w:val="15"/>
        </w:rPr>
        <w:t>k</w:t>
      </w:r>
      <w:r>
        <w:rPr>
          <w:rFonts w:ascii="Segoe UI Symbol" w:eastAsia="Segoe UI Symbol" w:hAnsi="Segoe UI Symbol" w:cs="Segoe UI Symbol"/>
          <w:sz w:val="15"/>
        </w:rPr>
        <w:t></w:t>
      </w:r>
      <w:r>
        <w:rPr>
          <w:rFonts w:ascii="Times New Roman" w:eastAsia="Times New Roman" w:hAnsi="Times New Roman" w:cs="Times New Roman"/>
          <w:sz w:val="15"/>
        </w:rPr>
        <w:t>1</w:t>
      </w:r>
      <w:r>
        <w:rPr>
          <w:rFonts w:ascii="Segoe UI Symbol" w:eastAsia="Segoe UI Symbol" w:hAnsi="Segoe UI Symbol" w:cs="Segoe UI Symbol"/>
          <w:sz w:val="33"/>
        </w:rPr>
        <w:t xml:space="preserve"> </w:t>
      </w:r>
      <w:r>
        <w:rPr>
          <w:rFonts w:ascii="Segoe UI Symbol" w:eastAsia="Segoe UI Symbol" w:hAnsi="Segoe UI Symbol" w:cs="Segoe UI Symbol"/>
          <w:sz w:val="15"/>
        </w:rPr>
        <w:t xml:space="preserve"> </w:t>
      </w:r>
      <w:r>
        <w:rPr>
          <w:rFonts w:ascii="Segoe UI Symbol" w:eastAsia="Segoe UI Symbol" w:hAnsi="Segoe UI Symbol" w:cs="Segoe UI Symbol"/>
          <w:sz w:val="25"/>
        </w:rPr>
        <w:t></w:t>
      </w:r>
      <w:r>
        <w:rPr>
          <w:rFonts w:ascii="Times New Roman" w:eastAsia="Times New Roman" w:hAnsi="Times New Roman" w:cs="Times New Roman"/>
          <w:i/>
          <w:sz w:val="25"/>
        </w:rPr>
        <w:t>H</w:t>
      </w:r>
      <w:r>
        <w:rPr>
          <w:rFonts w:ascii="Segoe UI Symbol" w:eastAsia="Segoe UI Symbol" w:hAnsi="Segoe UI Symbol" w:cs="Segoe UI Symbol"/>
          <w:sz w:val="33"/>
        </w:rPr>
        <w:t></w:t>
      </w:r>
      <w:r>
        <w:rPr>
          <w:rFonts w:ascii="Times New Roman" w:eastAsia="Times New Roman" w:hAnsi="Times New Roman" w:cs="Times New Roman"/>
          <w:i/>
          <w:sz w:val="25"/>
        </w:rPr>
        <w:t xml:space="preserve">z </w:t>
      </w:r>
      <w:r>
        <w:rPr>
          <w:rFonts w:ascii="Segoe UI Symbol" w:eastAsia="Segoe UI Symbol" w:hAnsi="Segoe UI Symbol" w:cs="Segoe UI Symbol"/>
          <w:sz w:val="25"/>
        </w:rPr>
        <w:t xml:space="preserve"> </w:t>
      </w:r>
      <w:r>
        <w:rPr>
          <w:rFonts w:ascii="Times New Roman" w:eastAsia="Times New Roman" w:hAnsi="Times New Roman" w:cs="Times New Roman"/>
          <w:i/>
          <w:sz w:val="25"/>
        </w:rPr>
        <w:t>z</w:t>
      </w:r>
      <w:r>
        <w:rPr>
          <w:rFonts w:ascii="Times New Roman" w:eastAsia="Times New Roman" w:hAnsi="Times New Roman" w:cs="Times New Roman"/>
          <w:i/>
          <w:sz w:val="15"/>
        </w:rPr>
        <w:t>k</w:t>
      </w:r>
      <w:r>
        <w:rPr>
          <w:rFonts w:ascii="Segoe UI Symbol" w:eastAsia="Segoe UI Symbol" w:hAnsi="Segoe UI Symbol" w:cs="Segoe UI Symbol"/>
          <w:sz w:val="15"/>
        </w:rPr>
        <w:t></w:t>
      </w:r>
      <w:r>
        <w:rPr>
          <w:rFonts w:ascii="Times New Roman" w:eastAsia="Times New Roman" w:hAnsi="Times New Roman" w:cs="Times New Roman"/>
          <w:sz w:val="15"/>
        </w:rPr>
        <w:t>1</w:t>
      </w:r>
      <w:r>
        <w:rPr>
          <w:rFonts w:ascii="Segoe UI Symbol" w:eastAsia="Segoe UI Symbol" w:hAnsi="Segoe UI Symbol" w:cs="Segoe UI Symbol"/>
          <w:sz w:val="33"/>
        </w:rPr>
        <w:t></w:t>
      </w:r>
      <w:r>
        <w:rPr>
          <w:rFonts w:ascii="Times New Roman" w:eastAsia="Times New Roman" w:hAnsi="Times New Roman" w:cs="Times New Roman"/>
          <w:i/>
          <w:sz w:val="25"/>
        </w:rPr>
        <w:t>u</w:t>
      </w:r>
      <w:r>
        <w:rPr>
          <w:rFonts w:ascii="Segoe UI Symbol" w:eastAsia="Segoe UI Symbol" w:hAnsi="Segoe UI Symbol" w:cs="Segoe UI Symbol"/>
          <w:sz w:val="33"/>
        </w:rPr>
        <w:t></w:t>
      </w:r>
      <w:r>
        <w:rPr>
          <w:rFonts w:ascii="Times New Roman" w:eastAsia="Times New Roman" w:hAnsi="Times New Roman" w:cs="Times New Roman"/>
          <w:i/>
          <w:sz w:val="25"/>
        </w:rPr>
        <w:t>z</w:t>
      </w:r>
      <w:r>
        <w:rPr>
          <w:rFonts w:ascii="Times New Roman" w:eastAsia="Times New Roman" w:hAnsi="Times New Roman" w:cs="Times New Roman"/>
          <w:i/>
          <w:sz w:val="15"/>
        </w:rPr>
        <w:t>k</w:t>
      </w:r>
      <w:r>
        <w:rPr>
          <w:rFonts w:ascii="Segoe UI Symbol" w:eastAsia="Segoe UI Symbol" w:hAnsi="Segoe UI Symbol" w:cs="Segoe UI Symbol"/>
          <w:sz w:val="15"/>
        </w:rPr>
        <w:t></w:t>
      </w:r>
      <w:r>
        <w:rPr>
          <w:rFonts w:ascii="Times New Roman" w:eastAsia="Times New Roman" w:hAnsi="Times New Roman" w:cs="Times New Roman"/>
          <w:sz w:val="15"/>
        </w:rPr>
        <w:t>1</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p>
    <w:p w:rsidR="0052701D" w:rsidRDefault="00D40929">
      <w:pPr>
        <w:numPr>
          <w:ilvl w:val="1"/>
          <w:numId w:val="9"/>
        </w:numPr>
        <w:spacing w:after="654" w:line="268" w:lineRule="auto"/>
        <w:ind w:left="1499" w:hanging="690"/>
      </w:pPr>
      <w:r>
        <w:rPr>
          <w:rFonts w:ascii="Segoe UI Symbol" w:eastAsia="Segoe UI Symbol" w:hAnsi="Segoe UI Symbol" w:cs="Segoe UI Symbol"/>
          <w:sz w:val="25"/>
        </w:rPr>
        <w:t></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25"/>
        </w:rPr>
        <w:t xml:space="preserve"> </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Times New Roman" w:eastAsia="Times New Roman" w:hAnsi="Times New Roman" w:cs="Times New Roman"/>
          <w:i/>
          <w:sz w:val="15"/>
        </w:rPr>
        <w:t xml:space="preserve">k </w:t>
      </w:r>
      <w:r>
        <w:rPr>
          <w:rFonts w:ascii="Times New Roman" w:eastAsia="Times New Roman" w:hAnsi="Times New Roman" w:cs="Times New Roman"/>
          <w:sz w:val="15"/>
        </w:rPr>
        <w:t>1</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 xml:space="preserve"> </w:t>
      </w:r>
      <w:r>
        <w:rPr>
          <w:rFonts w:ascii="Times New Roman" w:eastAsia="Times New Roman" w:hAnsi="Times New Roman" w:cs="Times New Roman"/>
          <w:sz w:val="25"/>
        </w:rPr>
        <w:t>2</w:t>
      </w:r>
      <w:r>
        <w:rPr>
          <w:rFonts w:ascii="Segoe UI Symbol" w:eastAsia="Segoe UI Symbol" w:hAnsi="Segoe UI Symbol" w:cs="Segoe UI Symbol"/>
          <w:sz w:val="33"/>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Segoe UI Symbol" w:eastAsia="Segoe UI Symbol" w:hAnsi="Segoe UI Symbol" w:cs="Segoe UI Symbol"/>
          <w:sz w:val="33"/>
        </w:rPr>
        <w:t></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Times New Roman" w:eastAsia="Times New Roman" w:hAnsi="Times New Roman" w:cs="Times New Roman"/>
          <w:i/>
          <w:sz w:val="15"/>
        </w:rPr>
        <w:t xml:space="preserve">k </w:t>
      </w:r>
      <w:r>
        <w:rPr>
          <w:rFonts w:ascii="Times New Roman" w:eastAsia="Times New Roman" w:hAnsi="Times New Roman" w:cs="Times New Roman"/>
          <w:sz w:val="15"/>
        </w:rPr>
        <w:t>1</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ab/>
      </w:r>
      <w:r>
        <w:rPr>
          <w:rFonts w:ascii="Segoe UI Symbol" w:eastAsia="Segoe UI Symbol" w:hAnsi="Segoe UI Symbol" w:cs="Segoe UI Symbol"/>
          <w:sz w:val="25"/>
        </w:rPr>
        <w:t></w:t>
      </w:r>
      <w:r>
        <w:rPr>
          <w:rFonts w:ascii="Times New Roman" w:eastAsia="Times New Roman" w:hAnsi="Times New Roman" w:cs="Times New Roman"/>
          <w:sz w:val="24"/>
        </w:rPr>
        <w:t xml:space="preserve"> </w:t>
      </w:r>
    </w:p>
    <w:p w:rsidR="0052701D" w:rsidRDefault="00D40929">
      <w:pPr>
        <w:spacing w:after="3"/>
        <w:ind w:left="53" w:hanging="10"/>
      </w:pPr>
      <w:r>
        <w:rPr>
          <w:noProof/>
        </w:rPr>
        <mc:AlternateContent>
          <mc:Choice Requires="wpg">
            <w:drawing>
              <wp:anchor distT="0" distB="0" distL="114300" distR="114300" simplePos="0" relativeHeight="251716608" behindDoc="0" locked="0" layoutInCell="1" allowOverlap="1">
                <wp:simplePos x="0" y="0"/>
                <wp:positionH relativeFrom="column">
                  <wp:posOffset>825944</wp:posOffset>
                </wp:positionH>
                <wp:positionV relativeFrom="paragraph">
                  <wp:posOffset>45703</wp:posOffset>
                </wp:positionV>
                <wp:extent cx="2003268" cy="6262"/>
                <wp:effectExtent l="0" t="0" r="0" b="0"/>
                <wp:wrapNone/>
                <wp:docPr id="920911" name="Group 920911"/>
                <wp:cNvGraphicFramePr/>
                <a:graphic xmlns:a="http://schemas.openxmlformats.org/drawingml/2006/main">
                  <a:graphicData uri="http://schemas.microsoft.com/office/word/2010/wordprocessingGroup">
                    <wpg:wgp>
                      <wpg:cNvGrpSpPr/>
                      <wpg:grpSpPr>
                        <a:xfrm>
                          <a:off x="0" y="0"/>
                          <a:ext cx="2003268" cy="6262"/>
                          <a:chOff x="0" y="0"/>
                          <a:chExt cx="2003268" cy="6262"/>
                        </a:xfrm>
                      </wpg:grpSpPr>
                      <wps:wsp>
                        <wps:cNvPr id="10946" name="Shape 10946"/>
                        <wps:cNvSpPr/>
                        <wps:spPr>
                          <a:xfrm>
                            <a:off x="0" y="0"/>
                            <a:ext cx="1079953" cy="0"/>
                          </a:xfrm>
                          <a:custGeom>
                            <a:avLst/>
                            <a:gdLst/>
                            <a:ahLst/>
                            <a:cxnLst/>
                            <a:rect l="0" t="0" r="0" b="0"/>
                            <a:pathLst>
                              <a:path w="1079953">
                                <a:moveTo>
                                  <a:pt x="0" y="0"/>
                                </a:moveTo>
                                <a:lnTo>
                                  <a:pt x="1079953" y="0"/>
                                </a:lnTo>
                              </a:path>
                            </a:pathLst>
                          </a:custGeom>
                          <a:ln w="6262" cap="flat">
                            <a:round/>
                          </a:ln>
                        </wps:spPr>
                        <wps:style>
                          <a:lnRef idx="1">
                            <a:srgbClr val="000000"/>
                          </a:lnRef>
                          <a:fillRef idx="0">
                            <a:srgbClr val="000000">
                              <a:alpha val="0"/>
                            </a:srgbClr>
                          </a:fillRef>
                          <a:effectRef idx="0">
                            <a:scrgbClr r="0" g="0" b="0"/>
                          </a:effectRef>
                          <a:fontRef idx="none"/>
                        </wps:style>
                        <wps:bodyPr/>
                      </wps:wsp>
                      <wps:wsp>
                        <wps:cNvPr id="10951" name="Shape 10951"/>
                        <wps:cNvSpPr/>
                        <wps:spPr>
                          <a:xfrm>
                            <a:off x="1233902" y="0"/>
                            <a:ext cx="769367" cy="0"/>
                          </a:xfrm>
                          <a:custGeom>
                            <a:avLst/>
                            <a:gdLst/>
                            <a:ahLst/>
                            <a:cxnLst/>
                            <a:rect l="0" t="0" r="0" b="0"/>
                            <a:pathLst>
                              <a:path w="769367">
                                <a:moveTo>
                                  <a:pt x="0" y="0"/>
                                </a:moveTo>
                                <a:lnTo>
                                  <a:pt x="769367" y="0"/>
                                </a:lnTo>
                              </a:path>
                            </a:pathLst>
                          </a:custGeom>
                          <a:ln w="6262"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20911" style="width:157.738pt;height:0.493076pt;position:absolute;z-index:968;mso-position-horizontal-relative:text;mso-position-horizontal:absolute;margin-left:65.035pt;mso-position-vertical-relative:text;margin-top:3.59863pt;" coordsize="20032,62">
                <v:shape id="Shape 10946" style="position:absolute;width:10799;height:0;left:0;top:0;" coordsize="1079953,0" path="m0,0l1079953,0">
                  <v:stroke weight="0.493076pt" endcap="flat" joinstyle="round" on="true" color="#000000"/>
                  <v:fill on="false" color="#000000" opacity="0"/>
                </v:shape>
                <v:shape id="Shape 10951" style="position:absolute;width:7693;height:0;left:12339;top:0;" coordsize="769367,0" path="m0,0l769367,0">
                  <v:stroke weight="0.493076pt" endcap="flat" joinstyle="round" on="true" color="#000000"/>
                  <v:fill on="false" color="#000000" opacity="0"/>
                </v:shape>
              </v:group>
            </w:pict>
          </mc:Fallback>
        </mc:AlternateContent>
      </w:r>
      <w:r>
        <w:rPr>
          <w:rFonts w:ascii="Segoe UI Symbol" w:eastAsia="Segoe UI Symbol" w:hAnsi="Segoe UI Symbol" w:cs="Segoe UI Symbol"/>
          <w:sz w:val="25"/>
        </w:rPr>
        <w:t></w:t>
      </w:r>
      <w:r>
        <w:rPr>
          <w:rFonts w:ascii="Times New Roman" w:eastAsia="Times New Roman" w:hAnsi="Times New Roman" w:cs="Times New Roman"/>
          <w:sz w:val="25"/>
        </w:rPr>
        <w:t>12</w:t>
      </w:r>
      <w:r>
        <w:rPr>
          <w:rFonts w:ascii="Segoe UI Symbol" w:eastAsia="Segoe UI Symbol" w:hAnsi="Segoe UI Symbol" w:cs="Segoe UI Symbol"/>
          <w:sz w:val="40"/>
          <w:u w:val="single" w:color="000000"/>
        </w:rPr>
        <w:t></w:t>
      </w:r>
      <w:r>
        <w:rPr>
          <w:rFonts w:ascii="Times New Roman" w:eastAsia="Times New Roman" w:hAnsi="Times New Roman" w:cs="Times New Roman"/>
          <w:sz w:val="25"/>
        </w:rPr>
        <w:t>1</w:t>
      </w:r>
      <w:r>
        <w:rPr>
          <w:rFonts w:ascii="Segoe UI Symbol" w:eastAsia="Segoe UI Symbol" w:hAnsi="Segoe UI Symbol" w:cs="Segoe UI Symbol"/>
          <w:sz w:val="25"/>
        </w:rPr>
        <w:t></w:t>
      </w:r>
      <w:r>
        <w:rPr>
          <w:rFonts w:ascii="Times New Roman" w:eastAsia="Times New Roman" w:hAnsi="Times New Roman" w:cs="Times New Roman"/>
          <w:i/>
          <w:sz w:val="25"/>
        </w:rPr>
        <w:t>E</w:t>
      </w:r>
      <w:r>
        <w:rPr>
          <w:rFonts w:ascii="Segoe UI Symbol" w:eastAsia="Segoe UI Symbol" w:hAnsi="Segoe UI Symbol" w:cs="Segoe UI Symbol"/>
          <w:sz w:val="26"/>
        </w:rPr>
        <w:t></w:t>
      </w:r>
      <w:r>
        <w:rPr>
          <w:rFonts w:ascii="Times New Roman" w:eastAsia="Times New Roman" w:hAnsi="Times New Roman" w:cs="Times New Roman"/>
          <w:sz w:val="15"/>
        </w:rPr>
        <w:t xml:space="preserve">2 </w:t>
      </w:r>
      <w:r>
        <w:rPr>
          <w:rFonts w:ascii="Segoe UI Symbol" w:eastAsia="Segoe UI Symbol" w:hAnsi="Segoe UI Symbol" w:cs="Segoe UI Symbol"/>
          <w:sz w:val="40"/>
          <w:u w:val="single" w:color="000000"/>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39"/>
          <w:vertAlign w:val="subscript"/>
        </w:rPr>
        <w:t></w:t>
      </w:r>
      <w:r>
        <w:rPr>
          <w:rFonts w:ascii="Segoe UI Symbol" w:eastAsia="Segoe UI Symbol" w:hAnsi="Segoe UI Symbol" w:cs="Segoe UI Symbol"/>
          <w:sz w:val="25"/>
        </w:rPr>
        <w:t></w:t>
      </w:r>
      <w:r>
        <w:rPr>
          <w:rFonts w:ascii="Times New Roman" w:eastAsia="Times New Roman" w:hAnsi="Times New Roman" w:cs="Times New Roman"/>
          <w:sz w:val="25"/>
        </w:rPr>
        <w:t>2</w:t>
      </w:r>
      <w:r>
        <w:rPr>
          <w:rFonts w:ascii="Segoe UI Symbol" w:eastAsia="Segoe UI Symbol" w:hAnsi="Segoe UI Symbol" w:cs="Segoe UI Symbol"/>
          <w:sz w:val="33"/>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Segoe UI Symbol" w:eastAsia="Segoe UI Symbol" w:hAnsi="Segoe UI Symbol" w:cs="Segoe UI Symbol"/>
          <w:sz w:val="33"/>
        </w:rPr>
        <w:t></w:t>
      </w:r>
      <w:r>
        <w:rPr>
          <w:rFonts w:ascii="Times New Roman" w:eastAsia="Times New Roman" w:hAnsi="Times New Roman" w:cs="Times New Roman"/>
          <w:sz w:val="15"/>
        </w:rPr>
        <w:t>3</w:t>
      </w:r>
      <w:r>
        <w:rPr>
          <w:rFonts w:ascii="Segoe UI Symbol" w:eastAsia="Segoe UI Symbol" w:hAnsi="Segoe UI Symbol" w:cs="Segoe UI Symbol"/>
          <w:sz w:val="33"/>
        </w:rPr>
        <w:t></w:t>
      </w:r>
      <w:r>
        <w:rPr>
          <w:rFonts w:ascii="Times New Roman" w:eastAsia="Times New Roman" w:hAnsi="Times New Roman" w:cs="Times New Roman"/>
          <w:i/>
          <w:sz w:val="25"/>
        </w:rPr>
        <w:t>hh</w:t>
      </w:r>
      <w:r>
        <w:rPr>
          <w:rFonts w:ascii="Times New Roman" w:eastAsia="Times New Roman" w:hAnsi="Times New Roman" w:cs="Times New Roman"/>
          <w:sz w:val="15"/>
        </w:rPr>
        <w:t>2</w:t>
      </w:r>
      <w:r>
        <w:rPr>
          <w:rFonts w:ascii="Times New Roman" w:eastAsia="Times New Roman" w:hAnsi="Times New Roman" w:cs="Times New Roman"/>
          <w:sz w:val="23"/>
          <w:vertAlign w:val="subscript"/>
        </w:rPr>
        <w:t xml:space="preserve">0 </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25"/>
        </w:rPr>
        <w:t xml:space="preserve"> </w:t>
      </w:r>
      <w:r>
        <w:rPr>
          <w:rFonts w:ascii="Times New Roman" w:eastAsia="Times New Roman" w:hAnsi="Times New Roman" w:cs="Times New Roman"/>
          <w:sz w:val="25"/>
        </w:rPr>
        <w:t>ln</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Segoe UI Symbol" w:eastAsia="Segoe UI Symbol" w:hAnsi="Segoe UI Symbol" w:cs="Segoe UI Symbol"/>
          <w:sz w:val="33"/>
        </w:rPr>
        <w:t></w:t>
      </w:r>
      <w:r>
        <w:rPr>
          <w:rFonts w:ascii="Segoe UI Symbol" w:eastAsia="Segoe UI Symbol" w:hAnsi="Segoe UI Symbol" w:cs="Segoe UI Symbol"/>
          <w:sz w:val="26"/>
        </w:rPr>
        <w:t></w:t>
      </w:r>
      <w:r>
        <w:rPr>
          <w:rFonts w:ascii="Times New Roman" w:eastAsia="Times New Roman" w:hAnsi="Times New Roman" w:cs="Times New Roman"/>
          <w:sz w:val="15"/>
        </w:rPr>
        <w:t xml:space="preserve">0 </w:t>
      </w:r>
      <w:r>
        <w:rPr>
          <w:rFonts w:ascii="Times New Roman" w:eastAsia="Times New Roman" w:hAnsi="Times New Roman" w:cs="Times New Roman"/>
          <w:i/>
          <w:sz w:val="25"/>
        </w:rPr>
        <w:t>h</w:t>
      </w:r>
      <w:r>
        <w:rPr>
          <w:rFonts w:ascii="Segoe UI Symbol" w:eastAsia="Segoe UI Symbol" w:hAnsi="Segoe UI Symbol" w:cs="Segoe UI Symbol"/>
          <w:sz w:val="25"/>
        </w:rPr>
        <w:t></w:t>
      </w:r>
      <w:r>
        <w:rPr>
          <w:rFonts w:ascii="Times New Roman" w:eastAsia="Times New Roman" w:hAnsi="Times New Roman" w:cs="Times New Roman"/>
          <w:sz w:val="23"/>
          <w:vertAlign w:val="subscript"/>
        </w:rPr>
        <w:t>1</w:t>
      </w:r>
      <w:r>
        <w:rPr>
          <w:rFonts w:ascii="Segoe UI Symbol" w:eastAsia="Segoe UI Symbol" w:hAnsi="Segoe UI Symbol" w:cs="Segoe UI Symbol"/>
          <w:sz w:val="26"/>
        </w:rPr>
        <w:t></w:t>
      </w:r>
      <w:r>
        <w:rPr>
          <w:rFonts w:ascii="Segoe UI Symbol" w:eastAsia="Segoe UI Symbol" w:hAnsi="Segoe UI Symbol" w:cs="Segoe UI Symbol"/>
          <w:sz w:val="33"/>
        </w:rPr>
        <w:t></w:t>
      </w:r>
      <w:r>
        <w:rPr>
          <w:rFonts w:ascii="Times New Roman" w:eastAsia="Times New Roman" w:hAnsi="Times New Roman" w:cs="Times New Roman"/>
          <w:sz w:val="15"/>
        </w:rPr>
        <w:t>3</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39"/>
          <w:vertAlign w:val="subscript"/>
        </w:rPr>
        <w:t></w:t>
      </w:r>
      <w:r>
        <w:rPr>
          <w:rFonts w:ascii="Times New Roman" w:eastAsia="Times New Roman" w:hAnsi="Times New Roman" w:cs="Times New Roman"/>
          <w:i/>
          <w:sz w:val="25"/>
        </w:rPr>
        <w:t>А</w:t>
      </w:r>
      <w:r>
        <w:rPr>
          <w:rFonts w:ascii="Segoe UI Symbol" w:eastAsia="Segoe UI Symbol" w:hAnsi="Segoe UI Symbol" w:cs="Segoe UI Symbol"/>
          <w:sz w:val="25"/>
        </w:rPr>
        <w:t xml:space="preserve"> </w:t>
      </w:r>
      <w:r>
        <w:rPr>
          <w:rFonts w:ascii="Times New Roman" w:eastAsia="Times New Roman" w:hAnsi="Times New Roman" w:cs="Times New Roman"/>
          <w:sz w:val="25"/>
        </w:rPr>
        <w:t xml:space="preserve">6 </w:t>
      </w:r>
      <w:r>
        <w:rPr>
          <w:noProof/>
        </w:rPr>
        <mc:AlternateContent>
          <mc:Choice Requires="wpg">
            <w:drawing>
              <wp:inline distT="0" distB="0" distL="0" distR="0">
                <wp:extent cx="1116257" cy="6262"/>
                <wp:effectExtent l="0" t="0" r="0" b="0"/>
                <wp:docPr id="920912" name="Group 920912"/>
                <wp:cNvGraphicFramePr/>
                <a:graphic xmlns:a="http://schemas.openxmlformats.org/drawingml/2006/main">
                  <a:graphicData uri="http://schemas.microsoft.com/office/word/2010/wordprocessingGroup">
                    <wpg:wgp>
                      <wpg:cNvGrpSpPr/>
                      <wpg:grpSpPr>
                        <a:xfrm>
                          <a:off x="0" y="0"/>
                          <a:ext cx="1116257" cy="6262"/>
                          <a:chOff x="0" y="0"/>
                          <a:chExt cx="1116257" cy="6262"/>
                        </a:xfrm>
                      </wpg:grpSpPr>
                      <wps:wsp>
                        <wps:cNvPr id="10958" name="Shape 10958"/>
                        <wps:cNvSpPr/>
                        <wps:spPr>
                          <a:xfrm>
                            <a:off x="0" y="0"/>
                            <a:ext cx="1116257" cy="0"/>
                          </a:xfrm>
                          <a:custGeom>
                            <a:avLst/>
                            <a:gdLst/>
                            <a:ahLst/>
                            <a:cxnLst/>
                            <a:rect l="0" t="0" r="0" b="0"/>
                            <a:pathLst>
                              <a:path w="1116257">
                                <a:moveTo>
                                  <a:pt x="0" y="0"/>
                                </a:moveTo>
                                <a:lnTo>
                                  <a:pt x="1116257" y="0"/>
                                </a:lnTo>
                              </a:path>
                            </a:pathLst>
                          </a:custGeom>
                          <a:ln w="626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20912" style="width:87.8942pt;height:0.493076pt;mso-position-horizontal-relative:char;mso-position-vertical-relative:line" coordsize="11162,62">
                <v:shape id="Shape 10958" style="position:absolute;width:11162;height:0;left:0;top:0;" coordsize="1116257,0" path="m0,0l1116257,0">
                  <v:stroke weight="0.493076pt" endcap="flat" joinstyle="round" on="true" color="#000000"/>
                  <v:fill on="false" color="#000000" opacity="0"/>
                </v:shape>
              </v:group>
            </w:pict>
          </mc:Fallback>
        </mc:AlternateContent>
      </w:r>
      <w:r>
        <w:rPr>
          <w:rFonts w:ascii="Times New Roman" w:eastAsia="Times New Roman" w:hAnsi="Times New Roman" w:cs="Times New Roman"/>
          <w:i/>
          <w:sz w:val="25"/>
        </w:rPr>
        <w:t>E</w:t>
      </w:r>
      <w:r>
        <w:rPr>
          <w:rFonts w:ascii="Segoe UI Symbol" w:eastAsia="Segoe UI Symbol" w:hAnsi="Segoe UI Symbol" w:cs="Segoe UI Symbol"/>
          <w:sz w:val="33"/>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Segoe UI Symbol" w:eastAsia="Segoe UI Symbol" w:hAnsi="Segoe UI Symbol" w:cs="Segoe UI Symbol"/>
          <w:sz w:val="40"/>
        </w:rPr>
        <w:t></w:t>
      </w:r>
      <w:r>
        <w:rPr>
          <w:rFonts w:ascii="Segoe UI Symbol" w:eastAsia="Segoe UI Symbol" w:hAnsi="Segoe UI Symbol" w:cs="Segoe UI Symbol"/>
          <w:sz w:val="33"/>
        </w:rPr>
        <w:t></w:t>
      </w:r>
      <w:r>
        <w:rPr>
          <w:rFonts w:ascii="Times New Roman" w:eastAsia="Times New Roman" w:hAnsi="Times New Roman" w:cs="Times New Roman"/>
          <w:sz w:val="25"/>
        </w:rPr>
        <w:t>1</w:t>
      </w:r>
      <w:r>
        <w:rPr>
          <w:rFonts w:ascii="Times New Roman" w:eastAsia="Times New Roman" w:hAnsi="Times New Roman" w:cs="Times New Roman"/>
          <w:sz w:val="15"/>
        </w:rPr>
        <w:t>2</w:t>
      </w:r>
      <w:r>
        <w:rPr>
          <w:rFonts w:ascii="Segoe UI Symbol" w:eastAsia="Segoe UI Symbol" w:hAnsi="Segoe UI Symbol" w:cs="Segoe UI Symbol"/>
          <w:sz w:val="25"/>
        </w:rPr>
        <w:t></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Segoe UI Symbol" w:eastAsia="Segoe UI Symbol" w:hAnsi="Segoe UI Symbol" w:cs="Segoe UI Symbol"/>
          <w:sz w:val="26"/>
        </w:rPr>
        <w:t></w:t>
      </w:r>
      <w:r>
        <w:rPr>
          <w:rFonts w:ascii="Times New Roman" w:eastAsia="Times New Roman" w:hAnsi="Times New Roman" w:cs="Times New Roman"/>
          <w:sz w:val="23"/>
          <w:vertAlign w:val="subscript"/>
        </w:rPr>
        <w:t>0</w:t>
      </w:r>
      <w:r>
        <w:rPr>
          <w:rFonts w:ascii="Times New Roman" w:eastAsia="Times New Roman" w:hAnsi="Times New Roman" w:cs="Times New Roman"/>
          <w:sz w:val="15"/>
        </w:rPr>
        <w:t>2</w:t>
      </w:r>
      <w:r>
        <w:rPr>
          <w:rFonts w:ascii="Segoe UI Symbol" w:eastAsia="Segoe UI Symbol" w:hAnsi="Segoe UI Symbol" w:cs="Segoe UI Symbol"/>
          <w:sz w:val="25"/>
        </w:rPr>
        <w:t></w:t>
      </w:r>
      <w:r>
        <w:rPr>
          <w:rFonts w:ascii="Segoe UI Symbol" w:eastAsia="Segoe UI Symbol" w:hAnsi="Segoe UI Symbol" w:cs="Segoe UI Symbol"/>
          <w:sz w:val="40"/>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Times New Roman" w:eastAsia="Times New Roman" w:hAnsi="Times New Roman" w:cs="Times New Roman"/>
          <w:i/>
          <w:sz w:val="25"/>
        </w:rPr>
        <w:t>z</w:t>
      </w:r>
      <w:r>
        <w:rPr>
          <w:rFonts w:ascii="Segoe UI Symbol" w:eastAsia="Segoe UI Symbol" w:hAnsi="Segoe UI Symbol" w:cs="Segoe UI Symbol"/>
          <w:sz w:val="51"/>
          <w:vertAlign w:val="superscript"/>
        </w:rPr>
        <w:t></w:t>
      </w:r>
      <w:r>
        <w:rPr>
          <w:rFonts w:ascii="Times New Roman" w:eastAsia="Times New Roman" w:hAnsi="Times New Roman" w:cs="Times New Roman"/>
          <w:i/>
          <w:sz w:val="25"/>
        </w:rPr>
        <w:t xml:space="preserve">В </w:t>
      </w:r>
      <w:r>
        <w:rPr>
          <w:rFonts w:ascii="Segoe UI Symbol" w:eastAsia="Segoe UI Symbol" w:hAnsi="Segoe UI Symbol" w:cs="Segoe UI Symbol"/>
          <w:sz w:val="25"/>
        </w:rPr>
        <w:t></w:t>
      </w:r>
      <w:r>
        <w:rPr>
          <w:rFonts w:ascii="Times New Roman" w:eastAsia="Times New Roman" w:hAnsi="Times New Roman" w:cs="Times New Roman"/>
          <w:i/>
          <w:sz w:val="25"/>
        </w:rPr>
        <w:t>Сz</w:t>
      </w:r>
      <w:r>
        <w:rPr>
          <w:rFonts w:ascii="Segoe UI Symbol" w:eastAsia="Segoe UI Symbol" w:hAnsi="Segoe UI Symbol" w:cs="Segoe UI Symbol"/>
          <w:sz w:val="25"/>
        </w:rPr>
        <w:t xml:space="preserve"> </w:t>
      </w:r>
      <w:r>
        <w:rPr>
          <w:rFonts w:ascii="Times New Roman" w:eastAsia="Times New Roman" w:hAnsi="Times New Roman" w:cs="Times New Roman"/>
          <w:i/>
          <w:sz w:val="25"/>
        </w:rPr>
        <w:t>D</w:t>
      </w:r>
      <w:r>
        <w:rPr>
          <w:rFonts w:ascii="Times New Roman" w:eastAsia="Times New Roman" w:hAnsi="Times New Roman" w:cs="Times New Roman"/>
          <w:sz w:val="25"/>
        </w:rPr>
        <w:t>.</w:t>
      </w:r>
      <w:r>
        <w:rPr>
          <w:rFonts w:ascii="Times New Roman" w:eastAsia="Times New Roman" w:hAnsi="Times New Roman" w:cs="Times New Roman"/>
          <w:sz w:val="37"/>
          <w:vertAlign w:val="subscript"/>
        </w:rPr>
        <w:t xml:space="preserve"> </w:t>
      </w:r>
    </w:p>
    <w:p w:rsidR="0052701D" w:rsidRDefault="00D40929">
      <w:pPr>
        <w:spacing w:after="269"/>
      </w:pPr>
      <w:r>
        <w:rPr>
          <w:rFonts w:ascii="Times New Roman" w:eastAsia="Times New Roman" w:hAnsi="Times New Roman" w:cs="Times New Roman"/>
          <w:sz w:val="24"/>
        </w:rPr>
        <w:t xml:space="preserve"> </w:t>
      </w:r>
    </w:p>
    <w:p w:rsidR="0052701D" w:rsidRDefault="00D40929">
      <w:pPr>
        <w:spacing w:after="29" w:line="268" w:lineRule="auto"/>
        <w:ind w:left="664" w:hanging="10"/>
      </w:pPr>
      <w:r>
        <w:rPr>
          <w:noProof/>
        </w:rPr>
        <mc:AlternateContent>
          <mc:Choice Requires="wpg">
            <w:drawing>
              <wp:anchor distT="0" distB="0" distL="114300" distR="114300" simplePos="0" relativeHeight="251717632" behindDoc="0" locked="0" layoutInCell="1" allowOverlap="1">
                <wp:simplePos x="0" y="0"/>
                <wp:positionH relativeFrom="column">
                  <wp:posOffset>26878</wp:posOffset>
                </wp:positionH>
                <wp:positionV relativeFrom="paragraph">
                  <wp:posOffset>70745</wp:posOffset>
                </wp:positionV>
                <wp:extent cx="342756" cy="6336"/>
                <wp:effectExtent l="0" t="0" r="0" b="0"/>
                <wp:wrapSquare wrapText="bothSides"/>
                <wp:docPr id="920913" name="Group 920913"/>
                <wp:cNvGraphicFramePr/>
                <a:graphic xmlns:a="http://schemas.openxmlformats.org/drawingml/2006/main">
                  <a:graphicData uri="http://schemas.microsoft.com/office/word/2010/wordprocessingGroup">
                    <wpg:wgp>
                      <wpg:cNvGrpSpPr/>
                      <wpg:grpSpPr>
                        <a:xfrm>
                          <a:off x="0" y="0"/>
                          <a:ext cx="342756" cy="6336"/>
                          <a:chOff x="0" y="0"/>
                          <a:chExt cx="342756" cy="6336"/>
                        </a:xfrm>
                      </wpg:grpSpPr>
                      <wps:wsp>
                        <wps:cNvPr id="11030" name="Shape 11030"/>
                        <wps:cNvSpPr/>
                        <wps:spPr>
                          <a:xfrm>
                            <a:off x="0" y="0"/>
                            <a:ext cx="342756" cy="0"/>
                          </a:xfrm>
                          <a:custGeom>
                            <a:avLst/>
                            <a:gdLst/>
                            <a:ahLst/>
                            <a:cxnLst/>
                            <a:rect l="0" t="0" r="0" b="0"/>
                            <a:pathLst>
                              <a:path w="342756">
                                <a:moveTo>
                                  <a:pt x="0" y="0"/>
                                </a:moveTo>
                                <a:lnTo>
                                  <a:pt x="342756" y="0"/>
                                </a:lnTo>
                              </a:path>
                            </a:pathLst>
                          </a:custGeom>
                          <a:ln w="6336"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20913" style="width:26.9887pt;height:0.498865pt;position:absolute;mso-position-horizontal-relative:text;mso-position-horizontal:absolute;margin-left:2.11639pt;mso-position-vertical-relative:text;margin-top:5.5705pt;" coordsize="3427,63">
                <v:shape id="Shape 11030" style="position:absolute;width:3427;height:0;left:0;top:0;" coordsize="342756,0" path="m0,0l342756,0">
                  <v:stroke weight="0.498865pt" endcap="flat" joinstyle="round" on="true" color="#000000"/>
                  <v:fill on="false" color="#000000" opacity="0"/>
                </v:shape>
                <w10:wrap type="square"/>
              </v:group>
            </w:pict>
          </mc:Fallback>
        </mc:AlternateContent>
      </w:r>
      <w:r>
        <w:rPr>
          <w:rFonts w:ascii="Segoe UI Symbol" w:eastAsia="Segoe UI Symbol" w:hAnsi="Segoe UI Symbol" w:cs="Segoe UI Symbol"/>
          <w:sz w:val="25"/>
        </w:rPr>
        <w:t></w:t>
      </w:r>
      <w:r>
        <w:rPr>
          <w:rFonts w:ascii="Segoe UI Symbol" w:eastAsia="Segoe UI Symbol" w:hAnsi="Segoe UI Symbol" w:cs="Segoe UI Symbol"/>
          <w:sz w:val="25"/>
        </w:rPr>
        <w:t></w:t>
      </w:r>
    </w:p>
    <w:p w:rsidR="0052701D" w:rsidRDefault="00D40929">
      <w:pPr>
        <w:tabs>
          <w:tab w:val="center" w:pos="5203"/>
        </w:tabs>
        <w:spacing w:after="445"/>
      </w:pPr>
      <w:r>
        <w:rPr>
          <w:noProof/>
        </w:rPr>
        <mc:AlternateContent>
          <mc:Choice Requires="wpg">
            <w:drawing>
              <wp:anchor distT="0" distB="0" distL="114300" distR="114300" simplePos="0" relativeHeight="251718656" behindDoc="0" locked="0" layoutInCell="1" allowOverlap="1">
                <wp:simplePos x="0" y="0"/>
                <wp:positionH relativeFrom="column">
                  <wp:posOffset>1430477</wp:posOffset>
                </wp:positionH>
                <wp:positionV relativeFrom="paragraph">
                  <wp:posOffset>31437</wp:posOffset>
                </wp:positionV>
                <wp:extent cx="4432168" cy="6336"/>
                <wp:effectExtent l="0" t="0" r="0" b="0"/>
                <wp:wrapNone/>
                <wp:docPr id="920914" name="Group 920914"/>
                <wp:cNvGraphicFramePr/>
                <a:graphic xmlns:a="http://schemas.openxmlformats.org/drawingml/2006/main">
                  <a:graphicData uri="http://schemas.microsoft.com/office/word/2010/wordprocessingGroup">
                    <wpg:wgp>
                      <wpg:cNvGrpSpPr/>
                      <wpg:grpSpPr>
                        <a:xfrm>
                          <a:off x="0" y="0"/>
                          <a:ext cx="4432168" cy="6336"/>
                          <a:chOff x="0" y="0"/>
                          <a:chExt cx="4432168" cy="6336"/>
                        </a:xfrm>
                      </wpg:grpSpPr>
                      <wps:wsp>
                        <wps:cNvPr id="11038" name="Shape 11038"/>
                        <wps:cNvSpPr/>
                        <wps:spPr>
                          <a:xfrm>
                            <a:off x="0" y="0"/>
                            <a:ext cx="1169579" cy="0"/>
                          </a:xfrm>
                          <a:custGeom>
                            <a:avLst/>
                            <a:gdLst/>
                            <a:ahLst/>
                            <a:cxnLst/>
                            <a:rect l="0" t="0" r="0" b="0"/>
                            <a:pathLst>
                              <a:path w="1169579">
                                <a:moveTo>
                                  <a:pt x="0" y="0"/>
                                </a:moveTo>
                                <a:lnTo>
                                  <a:pt x="1169579" y="0"/>
                                </a:lnTo>
                              </a:path>
                            </a:pathLst>
                          </a:custGeom>
                          <a:ln w="6336" cap="flat">
                            <a:round/>
                          </a:ln>
                        </wps:spPr>
                        <wps:style>
                          <a:lnRef idx="1">
                            <a:srgbClr val="000000"/>
                          </a:lnRef>
                          <a:fillRef idx="0">
                            <a:srgbClr val="000000">
                              <a:alpha val="0"/>
                            </a:srgbClr>
                          </a:fillRef>
                          <a:effectRef idx="0">
                            <a:scrgbClr r="0" g="0" b="0"/>
                          </a:effectRef>
                          <a:fontRef idx="none"/>
                        </wps:style>
                        <wps:bodyPr/>
                      </wps:wsp>
                      <wps:wsp>
                        <wps:cNvPr id="11043" name="Shape 11043"/>
                        <wps:cNvSpPr/>
                        <wps:spPr>
                          <a:xfrm>
                            <a:off x="1322909" y="0"/>
                            <a:ext cx="1013056" cy="0"/>
                          </a:xfrm>
                          <a:custGeom>
                            <a:avLst/>
                            <a:gdLst/>
                            <a:ahLst/>
                            <a:cxnLst/>
                            <a:rect l="0" t="0" r="0" b="0"/>
                            <a:pathLst>
                              <a:path w="1013056">
                                <a:moveTo>
                                  <a:pt x="0" y="0"/>
                                </a:moveTo>
                                <a:lnTo>
                                  <a:pt x="1013056" y="0"/>
                                </a:lnTo>
                              </a:path>
                            </a:pathLst>
                          </a:custGeom>
                          <a:ln w="6336" cap="flat">
                            <a:round/>
                          </a:ln>
                        </wps:spPr>
                        <wps:style>
                          <a:lnRef idx="1">
                            <a:srgbClr val="000000"/>
                          </a:lnRef>
                          <a:fillRef idx="0">
                            <a:srgbClr val="000000">
                              <a:alpha val="0"/>
                            </a:srgbClr>
                          </a:fillRef>
                          <a:effectRef idx="0">
                            <a:scrgbClr r="0" g="0" b="0"/>
                          </a:effectRef>
                          <a:fontRef idx="none"/>
                        </wps:style>
                        <wps:bodyPr/>
                      </wps:wsp>
                      <wps:wsp>
                        <wps:cNvPr id="11048" name="Shape 11048"/>
                        <wps:cNvSpPr/>
                        <wps:spPr>
                          <a:xfrm>
                            <a:off x="2489296" y="0"/>
                            <a:ext cx="778017" cy="0"/>
                          </a:xfrm>
                          <a:custGeom>
                            <a:avLst/>
                            <a:gdLst/>
                            <a:ahLst/>
                            <a:cxnLst/>
                            <a:rect l="0" t="0" r="0" b="0"/>
                            <a:pathLst>
                              <a:path w="778017">
                                <a:moveTo>
                                  <a:pt x="0" y="0"/>
                                </a:moveTo>
                                <a:lnTo>
                                  <a:pt x="778017" y="0"/>
                                </a:lnTo>
                              </a:path>
                            </a:pathLst>
                          </a:custGeom>
                          <a:ln w="6336" cap="flat">
                            <a:round/>
                          </a:ln>
                        </wps:spPr>
                        <wps:style>
                          <a:lnRef idx="1">
                            <a:srgbClr val="000000"/>
                          </a:lnRef>
                          <a:fillRef idx="0">
                            <a:srgbClr val="000000">
                              <a:alpha val="0"/>
                            </a:srgbClr>
                          </a:fillRef>
                          <a:effectRef idx="0">
                            <a:scrgbClr r="0" g="0" b="0"/>
                          </a:effectRef>
                          <a:fontRef idx="none"/>
                        </wps:style>
                        <wps:bodyPr/>
                      </wps:wsp>
                      <wps:wsp>
                        <wps:cNvPr id="11053" name="Shape 11053"/>
                        <wps:cNvSpPr/>
                        <wps:spPr>
                          <a:xfrm>
                            <a:off x="3413366" y="0"/>
                            <a:ext cx="1018801" cy="0"/>
                          </a:xfrm>
                          <a:custGeom>
                            <a:avLst/>
                            <a:gdLst/>
                            <a:ahLst/>
                            <a:cxnLst/>
                            <a:rect l="0" t="0" r="0" b="0"/>
                            <a:pathLst>
                              <a:path w="1018801">
                                <a:moveTo>
                                  <a:pt x="0" y="0"/>
                                </a:moveTo>
                                <a:lnTo>
                                  <a:pt x="1018801" y="0"/>
                                </a:lnTo>
                              </a:path>
                            </a:pathLst>
                          </a:custGeom>
                          <a:ln w="6336"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20914" style="width:348.99pt;height:0.498865pt;position:absolute;z-index:1065;mso-position-horizontal-relative:text;mso-position-horizontal:absolute;margin-left:112.636pt;mso-position-vertical-relative:text;margin-top:2.47534pt;" coordsize="44321,63">
                <v:shape id="Shape 11038" style="position:absolute;width:11695;height:0;left:0;top:0;" coordsize="1169579,0" path="m0,0l1169579,0">
                  <v:stroke weight="0.498865pt" endcap="flat" joinstyle="round" on="true" color="#000000"/>
                  <v:fill on="false" color="#000000" opacity="0"/>
                </v:shape>
                <v:shape id="Shape 11043" style="position:absolute;width:10130;height:0;left:13229;top:0;" coordsize="1013056,0" path="m0,0l1013056,0">
                  <v:stroke weight="0.498865pt" endcap="flat" joinstyle="round" on="true" color="#000000"/>
                  <v:fill on="false" color="#000000" opacity="0"/>
                </v:shape>
                <v:shape id="Shape 11048" style="position:absolute;width:7780;height:0;left:24892;top:0;" coordsize="778017,0" path="m0,0l778017,0">
                  <v:stroke weight="0.498865pt" endcap="flat" joinstyle="round" on="true" color="#000000"/>
                  <v:fill on="false" color="#000000" opacity="0"/>
                </v:shape>
                <v:shape id="Shape 11053" style="position:absolute;width:10188;height:0;left:34133;top:0;" coordsize="1018801,0" path="m0,0l1018801,0">
                  <v:stroke weight="0.498865pt" endcap="flat" joinstyle="round" on="true" color="#000000"/>
                  <v:fill on="false" color="#000000" opacity="0"/>
                </v:shape>
              </v:group>
            </w:pict>
          </mc:Fallback>
        </mc:AlternateContent>
      </w:r>
      <w:r>
        <w:rPr>
          <w:rFonts w:ascii="Times New Roman" w:eastAsia="Times New Roman" w:hAnsi="Times New Roman" w:cs="Times New Roman"/>
          <w:i/>
          <w:sz w:val="25"/>
        </w:rPr>
        <w:t>dudz</w:t>
      </w:r>
      <w:r>
        <w:rPr>
          <w:rFonts w:ascii="Segoe UI Symbol" w:eastAsia="Segoe UI Symbol" w:hAnsi="Segoe UI Symbol" w:cs="Segoe UI Symbol"/>
          <w:sz w:val="33"/>
        </w:rPr>
        <w:t></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33"/>
        </w:rPr>
        <w:tab/>
      </w:r>
      <w:r>
        <w:rPr>
          <w:rFonts w:ascii="Times New Roman" w:eastAsia="Times New Roman" w:hAnsi="Times New Roman" w:cs="Times New Roman"/>
          <w:sz w:val="25"/>
        </w:rPr>
        <w:t>6</w:t>
      </w:r>
      <w:r>
        <w:rPr>
          <w:rFonts w:ascii="Times New Roman" w:eastAsia="Times New Roman" w:hAnsi="Times New Roman" w:cs="Times New Roman"/>
          <w:i/>
          <w:sz w:val="25"/>
        </w:rPr>
        <w:t>p</w:t>
      </w:r>
      <w:r>
        <w:rPr>
          <w:rFonts w:ascii="Times New Roman" w:eastAsia="Times New Roman" w:hAnsi="Times New Roman" w:cs="Times New Roman"/>
          <w:sz w:val="23"/>
          <w:vertAlign w:val="subscript"/>
        </w:rPr>
        <w:t xml:space="preserve">* </w:t>
      </w:r>
      <w:r>
        <w:rPr>
          <w:rFonts w:ascii="Segoe UI Symbol" w:eastAsia="Segoe UI Symbol" w:hAnsi="Segoe UI Symbol" w:cs="Segoe UI Symbol"/>
          <w:sz w:val="40"/>
          <w:u w:val="single" w:color="000000"/>
        </w:rPr>
        <w:t></w:t>
      </w:r>
      <w:r>
        <w:rPr>
          <w:rFonts w:ascii="Times New Roman" w:eastAsia="Times New Roman" w:hAnsi="Times New Roman" w:cs="Times New Roman"/>
          <w:sz w:val="25"/>
        </w:rPr>
        <w:t>1</w:t>
      </w:r>
      <w:r>
        <w:rPr>
          <w:rFonts w:ascii="Segoe UI Symbol" w:eastAsia="Segoe UI Symbol" w:hAnsi="Segoe UI Symbol" w:cs="Segoe UI Symbol"/>
          <w:sz w:val="25"/>
        </w:rPr>
        <w:t></w:t>
      </w:r>
      <w:r>
        <w:rPr>
          <w:rFonts w:ascii="Times New Roman" w:eastAsia="Times New Roman" w:hAnsi="Times New Roman" w:cs="Times New Roman"/>
          <w:i/>
          <w:sz w:val="25"/>
        </w:rPr>
        <w:t>E</w:t>
      </w:r>
      <w:r>
        <w:rPr>
          <w:rFonts w:ascii="Segoe UI Symbol" w:eastAsia="Segoe UI Symbol" w:hAnsi="Segoe UI Symbol" w:cs="Segoe UI Symbol"/>
          <w:sz w:val="27"/>
        </w:rPr>
        <w:t></w:t>
      </w:r>
      <w:r>
        <w:rPr>
          <w:rFonts w:ascii="Times New Roman" w:eastAsia="Times New Roman" w:hAnsi="Times New Roman" w:cs="Times New Roman"/>
          <w:sz w:val="23"/>
          <w:vertAlign w:val="superscript"/>
        </w:rPr>
        <w:t xml:space="preserve">2 </w:t>
      </w:r>
      <w:r>
        <w:rPr>
          <w:rFonts w:ascii="Segoe UI Symbol" w:eastAsia="Segoe UI Symbol" w:hAnsi="Segoe UI Symbol" w:cs="Segoe UI Symbol"/>
          <w:sz w:val="40"/>
          <w:u w:val="single" w:color="000000"/>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39"/>
          <w:vertAlign w:val="subscript"/>
        </w:rPr>
        <w:t></w:t>
      </w:r>
      <w:r>
        <w:rPr>
          <w:rFonts w:ascii="Segoe UI Symbol" w:eastAsia="Segoe UI Symbol" w:hAnsi="Segoe UI Symbol" w:cs="Segoe UI Symbol"/>
          <w:sz w:val="25"/>
        </w:rPr>
        <w:t></w:t>
      </w:r>
      <w:r>
        <w:rPr>
          <w:rFonts w:ascii="Times New Roman" w:eastAsia="Times New Roman" w:hAnsi="Times New Roman" w:cs="Times New Roman"/>
          <w:sz w:val="25"/>
        </w:rPr>
        <w:t>2</w:t>
      </w:r>
      <w:r>
        <w:rPr>
          <w:rFonts w:ascii="Segoe UI Symbol" w:eastAsia="Segoe UI Symbol" w:hAnsi="Segoe UI Symbol" w:cs="Segoe UI Symbol"/>
          <w:sz w:val="33"/>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Segoe UI Symbol" w:eastAsia="Segoe UI Symbol" w:hAnsi="Segoe UI Symbol" w:cs="Segoe UI Symbol"/>
          <w:sz w:val="33"/>
        </w:rPr>
        <w:t></w:t>
      </w:r>
      <w:r>
        <w:rPr>
          <w:rFonts w:ascii="Times New Roman" w:eastAsia="Times New Roman" w:hAnsi="Times New Roman" w:cs="Times New Roman"/>
          <w:sz w:val="15"/>
        </w:rPr>
        <w:t>3</w:t>
      </w:r>
      <w:r>
        <w:rPr>
          <w:rFonts w:ascii="Segoe UI Symbol" w:eastAsia="Segoe UI Symbol" w:hAnsi="Segoe UI Symbol" w:cs="Segoe UI Symbol"/>
          <w:sz w:val="33"/>
        </w:rPr>
        <w:t></w:t>
      </w:r>
      <w:r>
        <w:rPr>
          <w:rFonts w:ascii="Times New Roman" w:eastAsia="Times New Roman" w:hAnsi="Times New Roman" w:cs="Times New Roman"/>
          <w:i/>
          <w:sz w:val="25"/>
        </w:rPr>
        <w:t>hh</w:t>
      </w:r>
      <w:r>
        <w:rPr>
          <w:rFonts w:ascii="Times New Roman" w:eastAsia="Times New Roman" w:hAnsi="Times New Roman" w:cs="Times New Roman"/>
          <w:sz w:val="23"/>
          <w:vertAlign w:val="subscript"/>
        </w:rPr>
        <w:t>00</w:t>
      </w:r>
      <w:r>
        <w:rPr>
          <w:rFonts w:ascii="Times New Roman" w:eastAsia="Times New Roman" w:hAnsi="Times New Roman" w:cs="Times New Roman"/>
          <w:sz w:val="23"/>
          <w:vertAlign w:val="superscript"/>
        </w:rPr>
        <w:t>2</w:t>
      </w:r>
      <w:r>
        <w:rPr>
          <w:rFonts w:ascii="Segoe UI Symbol" w:eastAsia="Segoe UI Symbol" w:hAnsi="Segoe UI Symbol" w:cs="Segoe UI Symbol"/>
          <w:sz w:val="25"/>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Times New Roman" w:eastAsia="Times New Roman" w:hAnsi="Times New Roman" w:cs="Times New Roman"/>
          <w:sz w:val="15"/>
        </w:rPr>
        <w:t xml:space="preserve">2 </w:t>
      </w:r>
      <w:r>
        <w:rPr>
          <w:rFonts w:ascii="Segoe UI Symbol" w:eastAsia="Segoe UI Symbol" w:hAnsi="Segoe UI Symbol" w:cs="Segoe UI Symbol"/>
          <w:sz w:val="25"/>
        </w:rPr>
        <w:t xml:space="preserve"> </w:t>
      </w:r>
      <w:r>
        <w:rPr>
          <w:rFonts w:ascii="Segoe UI Symbol" w:eastAsia="Segoe UI Symbol" w:hAnsi="Segoe UI Symbol" w:cs="Segoe UI Symbol"/>
          <w:sz w:val="33"/>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Segoe UI Symbol" w:eastAsia="Segoe UI Symbol" w:hAnsi="Segoe UI Symbol" w:cs="Segoe UI Symbol"/>
          <w:sz w:val="33"/>
        </w:rPr>
        <w:t></w:t>
      </w:r>
      <w:r>
        <w:rPr>
          <w:rFonts w:ascii="Times New Roman" w:eastAsia="Times New Roman" w:hAnsi="Times New Roman" w:cs="Times New Roman"/>
          <w:sz w:val="15"/>
        </w:rPr>
        <w:t>3</w:t>
      </w:r>
      <w:r>
        <w:rPr>
          <w:rFonts w:ascii="Segoe UI Symbol" w:eastAsia="Segoe UI Symbol" w:hAnsi="Segoe UI Symbol" w:cs="Segoe UI Symbol"/>
          <w:sz w:val="33"/>
        </w:rPr>
        <w:t></w:t>
      </w:r>
      <w:r>
        <w:rPr>
          <w:rFonts w:ascii="Times New Roman" w:eastAsia="Times New Roman" w:hAnsi="Times New Roman" w:cs="Times New Roman"/>
          <w:sz w:val="25"/>
        </w:rPr>
        <w:t>3</w:t>
      </w:r>
      <w:r>
        <w:rPr>
          <w:rFonts w:ascii="Times New Roman" w:eastAsia="Times New Roman" w:hAnsi="Times New Roman" w:cs="Times New Roman"/>
          <w:i/>
          <w:sz w:val="25"/>
        </w:rPr>
        <w:t>hh</w:t>
      </w:r>
      <w:r>
        <w:rPr>
          <w:rFonts w:ascii="Times New Roman" w:eastAsia="Times New Roman" w:hAnsi="Times New Roman" w:cs="Times New Roman"/>
          <w:sz w:val="23"/>
          <w:vertAlign w:val="subscript"/>
        </w:rPr>
        <w:t>00</w:t>
      </w:r>
      <w:r>
        <w:rPr>
          <w:rFonts w:ascii="Segoe UI Symbol" w:eastAsia="Segoe UI Symbol" w:hAnsi="Segoe UI Symbol" w:cs="Segoe UI Symbol"/>
          <w:sz w:val="25"/>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25"/>
        </w:rPr>
        <w:t xml:space="preserve"> </w:t>
      </w:r>
      <w:r>
        <w:rPr>
          <w:rFonts w:ascii="Times New Roman" w:eastAsia="Times New Roman" w:hAnsi="Times New Roman" w:cs="Times New Roman"/>
          <w:sz w:val="25"/>
        </w:rPr>
        <w:t>ln</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Segoe UI Symbol" w:eastAsia="Segoe UI Symbol" w:hAnsi="Segoe UI Symbol" w:cs="Segoe UI Symbol"/>
          <w:sz w:val="33"/>
        </w:rPr>
        <w:t></w:t>
      </w:r>
      <w:r>
        <w:rPr>
          <w:rFonts w:ascii="Segoe UI Symbol" w:eastAsia="Segoe UI Symbol" w:hAnsi="Segoe UI Symbol" w:cs="Segoe UI Symbol"/>
          <w:sz w:val="27"/>
        </w:rPr>
        <w:t></w:t>
      </w:r>
      <w:r>
        <w:rPr>
          <w:rFonts w:ascii="Times New Roman" w:eastAsia="Times New Roman" w:hAnsi="Times New Roman" w:cs="Times New Roman"/>
          <w:sz w:val="23"/>
          <w:vertAlign w:val="subscript"/>
        </w:rPr>
        <w:t xml:space="preserve">0 </w:t>
      </w:r>
      <w:r>
        <w:rPr>
          <w:rFonts w:ascii="Times New Roman" w:eastAsia="Times New Roman" w:hAnsi="Times New Roman" w:cs="Times New Roman"/>
          <w:i/>
          <w:sz w:val="25"/>
        </w:rPr>
        <w:t>h</w:t>
      </w:r>
      <w:r>
        <w:rPr>
          <w:rFonts w:ascii="Segoe UI Symbol" w:eastAsia="Segoe UI Symbol" w:hAnsi="Segoe UI Symbol" w:cs="Segoe UI Symbol"/>
          <w:sz w:val="25"/>
        </w:rPr>
        <w:t></w:t>
      </w:r>
      <w:r>
        <w:rPr>
          <w:rFonts w:ascii="Times New Roman" w:eastAsia="Times New Roman" w:hAnsi="Times New Roman" w:cs="Times New Roman"/>
          <w:sz w:val="23"/>
          <w:vertAlign w:val="subscript"/>
        </w:rPr>
        <w:t>1</w:t>
      </w:r>
      <w:r>
        <w:rPr>
          <w:rFonts w:ascii="Segoe UI Symbol" w:eastAsia="Segoe UI Symbol" w:hAnsi="Segoe UI Symbol" w:cs="Segoe UI Symbol"/>
          <w:sz w:val="27"/>
        </w:rPr>
        <w:t></w:t>
      </w:r>
      <w:r>
        <w:rPr>
          <w:rFonts w:ascii="Segoe UI Symbol" w:eastAsia="Segoe UI Symbol" w:hAnsi="Segoe UI Symbol" w:cs="Segoe UI Symbol"/>
          <w:sz w:val="33"/>
        </w:rPr>
        <w:t></w:t>
      </w:r>
      <w:r>
        <w:rPr>
          <w:rFonts w:ascii="Times New Roman" w:eastAsia="Times New Roman" w:hAnsi="Times New Roman" w:cs="Times New Roman"/>
          <w:sz w:val="15"/>
        </w:rPr>
        <w:t>3</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25"/>
        </w:rPr>
        <w:t xml:space="preserve"> </w:t>
      </w:r>
      <w:r>
        <w:rPr>
          <w:rFonts w:ascii="Segoe UI Symbol" w:eastAsia="Segoe UI Symbol" w:hAnsi="Segoe UI Symbol" w:cs="Segoe UI Symbol"/>
          <w:sz w:val="33"/>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Segoe UI Symbol" w:eastAsia="Segoe UI Symbol" w:hAnsi="Segoe UI Symbol" w:cs="Segoe UI Symbol"/>
          <w:sz w:val="33"/>
        </w:rPr>
        <w:t></w:t>
      </w:r>
      <w:r>
        <w:rPr>
          <w:rFonts w:ascii="Times New Roman" w:eastAsia="Times New Roman" w:hAnsi="Times New Roman" w:cs="Times New Roman"/>
          <w:sz w:val="15"/>
        </w:rPr>
        <w:t>2</w:t>
      </w:r>
      <w:r>
        <w:rPr>
          <w:rFonts w:ascii="Segoe UI Symbol" w:eastAsia="Segoe UI Symbol" w:hAnsi="Segoe UI Symbol" w:cs="Segoe UI Symbol"/>
          <w:sz w:val="33"/>
        </w:rPr>
        <w:t></w:t>
      </w:r>
      <w:r>
        <w:rPr>
          <w:rFonts w:ascii="Times New Roman" w:eastAsia="Times New Roman" w:hAnsi="Times New Roman" w:cs="Times New Roman"/>
          <w:i/>
          <w:sz w:val="25"/>
        </w:rPr>
        <w:t>hz</w:t>
      </w:r>
      <w:r>
        <w:rPr>
          <w:rFonts w:ascii="Times New Roman" w:eastAsia="Times New Roman" w:hAnsi="Times New Roman" w:cs="Times New Roman"/>
          <w:sz w:val="23"/>
          <w:vertAlign w:val="subscript"/>
        </w:rPr>
        <w:t xml:space="preserve">0 </w:t>
      </w:r>
      <w:r>
        <w:rPr>
          <w:rFonts w:ascii="Segoe UI Symbol" w:eastAsia="Segoe UI Symbol" w:hAnsi="Segoe UI Symbol" w:cs="Segoe UI Symbol"/>
          <w:sz w:val="25"/>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25"/>
        </w:rPr>
        <w:t></w:t>
      </w:r>
    </w:p>
    <w:p w:rsidR="0052701D" w:rsidRDefault="00D40929">
      <w:pPr>
        <w:tabs>
          <w:tab w:val="center" w:pos="345"/>
          <w:tab w:val="center" w:pos="2634"/>
          <w:tab w:val="center" w:pos="5662"/>
          <w:tab w:val="center" w:pos="7110"/>
          <w:tab w:val="center" w:pos="8450"/>
        </w:tabs>
        <w:spacing w:after="0"/>
      </w:pPr>
      <w:r>
        <w:rPr>
          <w:noProof/>
        </w:rPr>
        <mc:AlternateContent>
          <mc:Choice Requires="wpg">
            <w:drawing>
              <wp:anchor distT="0" distB="0" distL="114300" distR="114300" simplePos="0" relativeHeight="251719680" behindDoc="0" locked="0" layoutInCell="1" allowOverlap="1">
                <wp:simplePos x="0" y="0"/>
                <wp:positionH relativeFrom="column">
                  <wp:posOffset>4151067</wp:posOffset>
                </wp:positionH>
                <wp:positionV relativeFrom="paragraph">
                  <wp:posOffset>149561</wp:posOffset>
                </wp:positionV>
                <wp:extent cx="1653024" cy="6290"/>
                <wp:effectExtent l="0" t="0" r="0" b="0"/>
                <wp:wrapNone/>
                <wp:docPr id="920917" name="Group 920917"/>
                <wp:cNvGraphicFramePr/>
                <a:graphic xmlns:a="http://schemas.openxmlformats.org/drawingml/2006/main">
                  <a:graphicData uri="http://schemas.microsoft.com/office/word/2010/wordprocessingGroup">
                    <wpg:wgp>
                      <wpg:cNvGrpSpPr/>
                      <wpg:grpSpPr>
                        <a:xfrm>
                          <a:off x="0" y="0"/>
                          <a:ext cx="1653024" cy="6290"/>
                          <a:chOff x="0" y="0"/>
                          <a:chExt cx="1653024" cy="6290"/>
                        </a:xfrm>
                      </wpg:grpSpPr>
                      <wps:wsp>
                        <wps:cNvPr id="11150" name="Shape 11150"/>
                        <wps:cNvSpPr/>
                        <wps:spPr>
                          <a:xfrm>
                            <a:off x="0" y="0"/>
                            <a:ext cx="726889" cy="0"/>
                          </a:xfrm>
                          <a:custGeom>
                            <a:avLst/>
                            <a:gdLst/>
                            <a:ahLst/>
                            <a:cxnLst/>
                            <a:rect l="0" t="0" r="0" b="0"/>
                            <a:pathLst>
                              <a:path w="726889">
                                <a:moveTo>
                                  <a:pt x="0" y="0"/>
                                </a:moveTo>
                                <a:lnTo>
                                  <a:pt x="726889" y="0"/>
                                </a:lnTo>
                              </a:path>
                            </a:pathLst>
                          </a:custGeom>
                          <a:ln w="6290" cap="flat">
                            <a:round/>
                          </a:ln>
                        </wps:spPr>
                        <wps:style>
                          <a:lnRef idx="1">
                            <a:srgbClr val="000000"/>
                          </a:lnRef>
                          <a:fillRef idx="0">
                            <a:srgbClr val="000000">
                              <a:alpha val="0"/>
                            </a:srgbClr>
                          </a:fillRef>
                          <a:effectRef idx="0">
                            <a:scrgbClr r="0" g="0" b="0"/>
                          </a:effectRef>
                          <a:fontRef idx="none"/>
                        </wps:style>
                        <wps:bodyPr/>
                      </wps:wsp>
                      <wps:wsp>
                        <wps:cNvPr id="11155" name="Shape 11155"/>
                        <wps:cNvSpPr/>
                        <wps:spPr>
                          <a:xfrm>
                            <a:off x="879365" y="0"/>
                            <a:ext cx="773659" cy="0"/>
                          </a:xfrm>
                          <a:custGeom>
                            <a:avLst/>
                            <a:gdLst/>
                            <a:ahLst/>
                            <a:cxnLst/>
                            <a:rect l="0" t="0" r="0" b="0"/>
                            <a:pathLst>
                              <a:path w="773659">
                                <a:moveTo>
                                  <a:pt x="0" y="0"/>
                                </a:moveTo>
                                <a:lnTo>
                                  <a:pt x="773659" y="0"/>
                                </a:lnTo>
                              </a:path>
                            </a:pathLst>
                          </a:custGeom>
                          <a:ln w="6290"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20917" style="width:130.159pt;height:0.495258pt;position:absolute;z-index:1172;mso-position-horizontal-relative:text;mso-position-horizontal:absolute;margin-left:326.856pt;mso-position-vertical-relative:text;margin-top:11.7764pt;" coordsize="16530,62">
                <v:shape id="Shape 11150" style="position:absolute;width:7268;height:0;left:0;top:0;" coordsize="726889,0" path="m0,0l726889,0">
                  <v:stroke weight="0.495258pt" endcap="flat" joinstyle="round" on="true" color="#000000"/>
                  <v:fill on="false" color="#000000" opacity="0"/>
                </v:shape>
                <v:shape id="Shape 11155" style="position:absolute;width:7736;height:0;left:8793;top:0;" coordsize="773659,0" path="m0,0l773659,0">
                  <v:stroke weight="0.495258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720704" behindDoc="0" locked="0" layoutInCell="1" allowOverlap="1">
                <wp:simplePos x="0" y="0"/>
                <wp:positionH relativeFrom="column">
                  <wp:posOffset>295765</wp:posOffset>
                </wp:positionH>
                <wp:positionV relativeFrom="paragraph">
                  <wp:posOffset>149561</wp:posOffset>
                </wp:positionV>
                <wp:extent cx="371100" cy="6290"/>
                <wp:effectExtent l="0" t="0" r="0" b="0"/>
                <wp:wrapSquare wrapText="bothSides"/>
                <wp:docPr id="920915" name="Group 920915"/>
                <wp:cNvGraphicFramePr/>
                <a:graphic xmlns:a="http://schemas.openxmlformats.org/drawingml/2006/main">
                  <a:graphicData uri="http://schemas.microsoft.com/office/word/2010/wordprocessingGroup">
                    <wpg:wgp>
                      <wpg:cNvGrpSpPr/>
                      <wpg:grpSpPr>
                        <a:xfrm>
                          <a:off x="0" y="0"/>
                          <a:ext cx="371100" cy="6290"/>
                          <a:chOff x="0" y="0"/>
                          <a:chExt cx="371100" cy="6290"/>
                        </a:xfrm>
                      </wpg:grpSpPr>
                      <wps:wsp>
                        <wps:cNvPr id="11131" name="Shape 11131"/>
                        <wps:cNvSpPr/>
                        <wps:spPr>
                          <a:xfrm>
                            <a:off x="0" y="0"/>
                            <a:ext cx="371100" cy="0"/>
                          </a:xfrm>
                          <a:custGeom>
                            <a:avLst/>
                            <a:gdLst/>
                            <a:ahLst/>
                            <a:cxnLst/>
                            <a:rect l="0" t="0" r="0" b="0"/>
                            <a:pathLst>
                              <a:path w="371100">
                                <a:moveTo>
                                  <a:pt x="0" y="0"/>
                                </a:moveTo>
                                <a:lnTo>
                                  <a:pt x="371100" y="0"/>
                                </a:lnTo>
                              </a:path>
                            </a:pathLst>
                          </a:custGeom>
                          <a:ln w="6290"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20915" style="width:29.2205pt;height:0.495258pt;position:absolute;mso-position-horizontal-relative:text;mso-position-horizontal:absolute;margin-left:23.2886pt;mso-position-vertical-relative:text;margin-top:11.7764pt;" coordsize="3711,62">
                <v:shape id="Shape 11131" style="position:absolute;width:3711;height:0;left:0;top:0;" coordsize="371100,0" path="m0,0l371100,0">
                  <v:stroke weight="0.495258pt" endcap="flat" joinstyle="round" on="true" color="#000000"/>
                  <v:fill on="false" color="#000000" opacity="0"/>
                </v:shape>
                <w10:wrap type="square"/>
              </v:group>
            </w:pict>
          </mc:Fallback>
        </mc:AlternateContent>
      </w:r>
      <w:r>
        <w:rPr>
          <w:noProof/>
        </w:rPr>
        <mc:AlternateContent>
          <mc:Choice Requires="wpg">
            <w:drawing>
              <wp:anchor distT="0" distB="0" distL="114300" distR="114300" simplePos="0" relativeHeight="251721728" behindDoc="0" locked="0" layoutInCell="1" allowOverlap="1">
                <wp:simplePos x="0" y="0"/>
                <wp:positionH relativeFrom="column">
                  <wp:posOffset>1312523</wp:posOffset>
                </wp:positionH>
                <wp:positionV relativeFrom="paragraph">
                  <wp:posOffset>149561</wp:posOffset>
                </wp:positionV>
                <wp:extent cx="1584391" cy="6290"/>
                <wp:effectExtent l="0" t="0" r="0" b="0"/>
                <wp:wrapSquare wrapText="bothSides"/>
                <wp:docPr id="920916" name="Group 920916"/>
                <wp:cNvGraphicFramePr/>
                <a:graphic xmlns:a="http://schemas.openxmlformats.org/drawingml/2006/main">
                  <a:graphicData uri="http://schemas.microsoft.com/office/word/2010/wordprocessingGroup">
                    <wpg:wgp>
                      <wpg:cNvGrpSpPr/>
                      <wpg:grpSpPr>
                        <a:xfrm>
                          <a:off x="0" y="0"/>
                          <a:ext cx="1584391" cy="6290"/>
                          <a:chOff x="0" y="0"/>
                          <a:chExt cx="1584391" cy="6290"/>
                        </a:xfrm>
                      </wpg:grpSpPr>
                      <wps:wsp>
                        <wps:cNvPr id="11142" name="Shape 11142"/>
                        <wps:cNvSpPr/>
                        <wps:spPr>
                          <a:xfrm>
                            <a:off x="0" y="0"/>
                            <a:ext cx="1584391" cy="0"/>
                          </a:xfrm>
                          <a:custGeom>
                            <a:avLst/>
                            <a:gdLst/>
                            <a:ahLst/>
                            <a:cxnLst/>
                            <a:rect l="0" t="0" r="0" b="0"/>
                            <a:pathLst>
                              <a:path w="1584391">
                                <a:moveTo>
                                  <a:pt x="0" y="0"/>
                                </a:moveTo>
                                <a:lnTo>
                                  <a:pt x="1584391" y="0"/>
                                </a:lnTo>
                              </a:path>
                            </a:pathLst>
                          </a:custGeom>
                          <a:ln w="6290"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20916" style="width:124.755pt;height:0.495258pt;position:absolute;mso-position-horizontal-relative:text;mso-position-horizontal:absolute;margin-left:103.348pt;mso-position-vertical-relative:text;margin-top:11.7764pt;" coordsize="15843,62">
                <v:shape id="Shape 11142" style="position:absolute;width:15843;height:0;left:0;top:0;" coordsize="1584391,0" path="m0,0l1584391,0">
                  <v:stroke weight="0.495258pt" endcap="flat" joinstyle="round" on="true" color="#000000"/>
                  <v:fill on="false" color="#000000" opacity="0"/>
                </v:shape>
                <w10:wrap type="square"/>
              </v:group>
            </w:pict>
          </mc:Fallback>
        </mc:AlternateContent>
      </w:r>
      <w:r>
        <w:tab/>
      </w:r>
      <w:r>
        <w:rPr>
          <w:rFonts w:ascii="Segoe UI Symbol" w:eastAsia="Segoe UI Symbol" w:hAnsi="Segoe UI Symbol" w:cs="Segoe UI Symbol"/>
          <w:sz w:val="25"/>
        </w:rPr>
        <w:t></w:t>
      </w:r>
      <w:r>
        <w:rPr>
          <w:rFonts w:ascii="Segoe UI Symbol" w:eastAsia="Segoe UI Symbol" w:hAnsi="Segoe UI Symbol" w:cs="Segoe UI Symbol"/>
          <w:sz w:val="25"/>
        </w:rPr>
        <w:tab/>
      </w:r>
      <w:r>
        <w:rPr>
          <w:rFonts w:ascii="Times New Roman" w:eastAsia="Times New Roman" w:hAnsi="Times New Roman" w:cs="Times New Roman"/>
          <w:sz w:val="25"/>
        </w:rPr>
        <w:t xml:space="preserve">1 </w:t>
      </w:r>
      <w:r>
        <w:rPr>
          <w:rFonts w:ascii="Times New Roman" w:eastAsia="Times New Roman" w:hAnsi="Times New Roman" w:cs="Times New Roman"/>
          <w:sz w:val="23"/>
          <w:vertAlign w:val="subscript"/>
        </w:rPr>
        <w:t xml:space="preserve">3 </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 xml:space="preserve"> </w:t>
      </w:r>
      <w:r>
        <w:rPr>
          <w:rFonts w:ascii="Times New Roman" w:eastAsia="Times New Roman" w:hAnsi="Times New Roman" w:cs="Times New Roman"/>
          <w:sz w:val="25"/>
        </w:rPr>
        <w:t>24</w:t>
      </w:r>
      <w:r>
        <w:rPr>
          <w:rFonts w:ascii="Segoe UI Symbol" w:eastAsia="Segoe UI Symbol" w:hAnsi="Segoe UI Symbol" w:cs="Segoe UI Symbol"/>
          <w:sz w:val="26"/>
        </w:rPr>
        <w:t></w:t>
      </w:r>
      <w:r>
        <w:rPr>
          <w:rFonts w:ascii="Segoe UI Symbol" w:eastAsia="Segoe UI Symbol" w:hAnsi="Segoe UI Symbol" w:cs="Segoe UI Symbol"/>
          <w:sz w:val="26"/>
        </w:rPr>
        <w:t></w:t>
      </w:r>
      <w:r>
        <w:rPr>
          <w:rFonts w:ascii="Times New Roman" w:eastAsia="Times New Roman" w:hAnsi="Times New Roman" w:cs="Times New Roman"/>
          <w:sz w:val="23"/>
          <w:vertAlign w:val="subscript"/>
        </w:rPr>
        <w:t xml:space="preserve">2 </w:t>
      </w:r>
      <w:r>
        <w:rPr>
          <w:rFonts w:ascii="Segoe UI Symbol" w:eastAsia="Segoe UI Symbol" w:hAnsi="Segoe UI Symbol" w:cs="Segoe UI Symbol"/>
          <w:sz w:val="40"/>
        </w:rPr>
        <w:t></w:t>
      </w:r>
      <w:r>
        <w:rPr>
          <w:rFonts w:ascii="Times New Roman" w:eastAsia="Times New Roman" w:hAnsi="Times New Roman" w:cs="Times New Roman"/>
          <w:sz w:val="25"/>
        </w:rPr>
        <w:t>1</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sz w:val="15"/>
        </w:rPr>
        <w:t xml:space="preserve">2 </w:t>
      </w:r>
      <w:r>
        <w:rPr>
          <w:rFonts w:ascii="Segoe UI Symbol" w:eastAsia="Segoe UI Symbol" w:hAnsi="Segoe UI Symbol" w:cs="Segoe UI Symbol"/>
          <w:sz w:val="40"/>
        </w:rPr>
        <w:t></w:t>
      </w:r>
      <w:r>
        <w:rPr>
          <w:rFonts w:ascii="Segoe UI Symbol" w:eastAsia="Segoe UI Symbol" w:hAnsi="Segoe UI Symbol" w:cs="Segoe UI Symbol"/>
          <w:sz w:val="33"/>
        </w:rPr>
        <w:t></w:t>
      </w:r>
      <w:r>
        <w:rPr>
          <w:rFonts w:ascii="Times New Roman" w:eastAsia="Times New Roman" w:hAnsi="Times New Roman" w:cs="Times New Roman"/>
          <w:sz w:val="25"/>
        </w:rPr>
        <w:t>1</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Segoe UI Symbol" w:eastAsia="Segoe UI Symbol" w:hAnsi="Segoe UI Symbol" w:cs="Segoe UI Symbol"/>
          <w:sz w:val="33"/>
        </w:rPr>
        <w:t></w:t>
      </w:r>
      <w:r>
        <w:rPr>
          <w:rFonts w:ascii="Times New Roman" w:eastAsia="Times New Roman" w:hAnsi="Times New Roman" w:cs="Times New Roman"/>
          <w:sz w:val="25"/>
        </w:rPr>
        <w:t>ln</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33"/>
        </w:rPr>
        <w:tab/>
      </w:r>
      <w:r>
        <w:rPr>
          <w:rFonts w:ascii="Times New Roman" w:eastAsia="Times New Roman" w:hAnsi="Times New Roman" w:cs="Times New Roman"/>
          <w:sz w:val="25"/>
        </w:rPr>
        <w:t>72</w:t>
      </w:r>
      <w:r>
        <w:rPr>
          <w:rFonts w:ascii="Segoe UI Symbol" w:eastAsia="Segoe UI Symbol" w:hAnsi="Segoe UI Symbol" w:cs="Segoe UI Symbol"/>
          <w:sz w:val="26"/>
        </w:rPr>
        <w:t></w:t>
      </w:r>
      <w:r>
        <w:rPr>
          <w:rFonts w:ascii="Segoe UI Symbol" w:eastAsia="Segoe UI Symbol" w:hAnsi="Segoe UI Symbol" w:cs="Segoe UI Symbol"/>
          <w:sz w:val="26"/>
        </w:rPr>
        <w:t></w:t>
      </w:r>
      <w:r>
        <w:rPr>
          <w:rFonts w:ascii="Times New Roman" w:eastAsia="Times New Roman" w:hAnsi="Times New Roman" w:cs="Times New Roman"/>
          <w:sz w:val="15"/>
        </w:rPr>
        <w:t xml:space="preserve">0 </w:t>
      </w:r>
      <w:r>
        <w:rPr>
          <w:rFonts w:ascii="Segoe UI Symbol" w:eastAsia="Segoe UI Symbol" w:hAnsi="Segoe UI Symbol" w:cs="Segoe UI Symbol"/>
          <w:sz w:val="40"/>
          <w:u w:val="single" w:color="000000"/>
        </w:rPr>
        <w:t></w:t>
      </w:r>
      <w:r>
        <w:rPr>
          <w:rFonts w:ascii="Times New Roman" w:eastAsia="Times New Roman" w:hAnsi="Times New Roman" w:cs="Times New Roman"/>
          <w:sz w:val="25"/>
        </w:rPr>
        <w:t>1</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sz w:val="15"/>
        </w:rPr>
        <w:t xml:space="preserve">2 </w:t>
      </w:r>
      <w:r>
        <w:rPr>
          <w:rFonts w:ascii="Segoe UI Symbol" w:eastAsia="Segoe UI Symbol" w:hAnsi="Segoe UI Symbol" w:cs="Segoe UI Symbol"/>
          <w:sz w:val="40"/>
          <w:u w:val="single" w:color="000000"/>
        </w:rPr>
        <w:t></w:t>
      </w:r>
      <w:r>
        <w:rPr>
          <w:rFonts w:ascii="Times New Roman" w:eastAsia="Times New Roman" w:hAnsi="Times New Roman" w:cs="Times New Roman"/>
          <w:sz w:val="15"/>
        </w:rPr>
        <w:t xml:space="preserve">23 </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ab/>
      </w:r>
      <w:r>
        <w:rPr>
          <w:rFonts w:ascii="Times New Roman" w:eastAsia="Times New Roman" w:hAnsi="Times New Roman" w:cs="Times New Roman"/>
          <w:sz w:val="25"/>
        </w:rPr>
        <w:t>1</w:t>
      </w:r>
      <w:r>
        <w:rPr>
          <w:rFonts w:ascii="Times New Roman" w:eastAsia="Times New Roman" w:hAnsi="Times New Roman" w:cs="Times New Roman"/>
          <w:sz w:val="25"/>
        </w:rPr>
        <w:tab/>
      </w:r>
      <w:r>
        <w:rPr>
          <w:rFonts w:ascii="Times New Roman" w:eastAsia="Times New Roman" w:hAnsi="Times New Roman" w:cs="Times New Roman"/>
          <w:sz w:val="15"/>
        </w:rPr>
        <w:t xml:space="preserve">2 </w:t>
      </w:r>
      <w:r>
        <w:rPr>
          <w:rFonts w:ascii="Segoe UI Symbol" w:eastAsia="Segoe UI Symbol" w:hAnsi="Segoe UI Symbol" w:cs="Segoe UI Symbol"/>
          <w:sz w:val="25"/>
        </w:rPr>
        <w:t xml:space="preserve"> </w:t>
      </w:r>
      <w:r>
        <w:rPr>
          <w:rFonts w:ascii="Times New Roman" w:eastAsia="Times New Roman" w:hAnsi="Times New Roman" w:cs="Times New Roman"/>
          <w:sz w:val="25"/>
        </w:rPr>
        <w:t>ln</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Times New Roman" w:eastAsia="Times New Roman" w:hAnsi="Times New Roman" w:cs="Times New Roman"/>
          <w:sz w:val="15"/>
        </w:rPr>
        <w:t>2</w:t>
      </w:r>
      <w:r>
        <w:rPr>
          <w:rFonts w:ascii="Segoe UI Symbol" w:eastAsia="Segoe UI Symbol" w:hAnsi="Segoe UI Symbol" w:cs="Segoe UI Symbol"/>
          <w:sz w:val="33"/>
        </w:rPr>
        <w:t></w:t>
      </w:r>
      <w:r>
        <w:rPr>
          <w:rFonts w:ascii="Segoe UI Symbol" w:eastAsia="Segoe UI Symbol" w:hAnsi="Segoe UI Symbol" w:cs="Segoe UI Symbol"/>
          <w:sz w:val="25"/>
        </w:rPr>
        <w:t></w:t>
      </w:r>
    </w:p>
    <w:p w:rsidR="0052701D" w:rsidRDefault="00D40929">
      <w:pPr>
        <w:spacing w:after="0"/>
        <w:ind w:left="10" w:right="311" w:hanging="10"/>
        <w:jc w:val="center"/>
      </w:pPr>
      <w:r>
        <w:rPr>
          <w:rFonts w:ascii="Segoe UI Symbol" w:eastAsia="Segoe UI Symbol" w:hAnsi="Segoe UI Symbol" w:cs="Segoe UI Symbol"/>
          <w:sz w:val="25"/>
        </w:rPr>
        <w:t></w:t>
      </w:r>
    </w:p>
    <w:p w:rsidR="0052701D" w:rsidRDefault="00D40929">
      <w:pPr>
        <w:spacing w:after="53"/>
        <w:ind w:left="3093" w:hanging="10"/>
      </w:pPr>
      <w:r>
        <w:rPr>
          <w:rFonts w:ascii="Times New Roman" w:eastAsia="Times New Roman" w:hAnsi="Times New Roman" w:cs="Times New Roman"/>
          <w:sz w:val="15"/>
        </w:rPr>
        <w:t>3</w:t>
      </w:r>
    </w:p>
    <w:p w:rsidR="0052701D" w:rsidRDefault="00D40929">
      <w:pPr>
        <w:tabs>
          <w:tab w:val="center" w:pos="818"/>
          <w:tab w:val="center" w:pos="3330"/>
          <w:tab w:val="center" w:pos="6540"/>
          <w:tab w:val="center" w:pos="8481"/>
          <w:tab w:val="center" w:pos="9364"/>
        </w:tabs>
        <w:spacing w:after="0"/>
      </w:pPr>
      <w:r>
        <w:tab/>
      </w:r>
      <w:r>
        <w:rPr>
          <w:rFonts w:ascii="Segoe UI Symbol" w:eastAsia="Segoe UI Symbol" w:hAnsi="Segoe UI Symbol" w:cs="Segoe UI Symbol"/>
          <w:sz w:val="33"/>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Segoe UI Symbol" w:eastAsia="Segoe UI Symbol" w:hAnsi="Segoe UI Symbol" w:cs="Segoe UI Symbol"/>
          <w:sz w:val="33"/>
        </w:rPr>
        <w:t xml:space="preserve"> </w:t>
      </w:r>
      <w:r>
        <w:rPr>
          <w:rFonts w:ascii="Segoe UI Symbol" w:eastAsia="Segoe UI Symbol" w:hAnsi="Segoe UI Symbol" w:cs="Segoe UI Symbol"/>
          <w:sz w:val="33"/>
          <w:vertAlign w:val="subscript"/>
        </w:rPr>
        <w:t></w:t>
      </w:r>
      <w:r>
        <w:rPr>
          <w:rFonts w:ascii="Segoe UI Symbol" w:eastAsia="Segoe UI Symbol" w:hAnsi="Segoe UI Symbol" w:cs="Segoe UI Symbol"/>
          <w:sz w:val="33"/>
          <w:vertAlign w:val="subscript"/>
        </w:rPr>
        <w:tab/>
      </w:r>
      <w:r>
        <w:rPr>
          <w:rFonts w:ascii="Times New Roman" w:eastAsia="Times New Roman" w:hAnsi="Times New Roman" w:cs="Times New Roman"/>
          <w:i/>
          <w:sz w:val="25"/>
        </w:rPr>
        <w:t>E</w:t>
      </w:r>
      <w:r>
        <w:rPr>
          <w:rFonts w:ascii="Segoe UI Symbol" w:eastAsia="Segoe UI Symbol" w:hAnsi="Segoe UI Symbol" w:cs="Segoe UI Symbol"/>
          <w:sz w:val="33"/>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Segoe UI Symbol" w:eastAsia="Segoe UI Symbol" w:hAnsi="Segoe UI Symbol" w:cs="Segoe UI Symbol"/>
          <w:sz w:val="33"/>
        </w:rPr>
        <w:t xml:space="preserve"> </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 xml:space="preserve">0 </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33"/>
        </w:rPr>
        <w:tab/>
      </w:r>
      <w:r>
        <w:rPr>
          <w:rFonts w:ascii="Times New Roman" w:eastAsia="Times New Roman" w:hAnsi="Times New Roman" w:cs="Times New Roman"/>
          <w:i/>
          <w:sz w:val="25"/>
        </w:rPr>
        <w:t>RE</w:t>
      </w:r>
      <w:r>
        <w:rPr>
          <w:rFonts w:ascii="Segoe UI Symbol" w:eastAsia="Segoe UI Symbol" w:hAnsi="Segoe UI Symbol" w:cs="Segoe UI Symbol"/>
          <w:sz w:val="33"/>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Segoe UI Symbol" w:eastAsia="Segoe UI Symbol" w:hAnsi="Segoe UI Symbol" w:cs="Segoe UI Symbol"/>
          <w:sz w:val="33"/>
        </w:rPr>
        <w:t xml:space="preserve"> </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 xml:space="preserve">0 </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33"/>
        </w:rPr>
        <w:tab/>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 xml:space="preserve">0 </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Times New Roman" w:eastAsia="Times New Roman" w:hAnsi="Times New Roman" w:cs="Times New Roman"/>
          <w:i/>
          <w:sz w:val="25"/>
        </w:rPr>
        <w:t>z</w:t>
      </w:r>
      <w:r>
        <w:rPr>
          <w:rFonts w:ascii="Segoe UI Symbol" w:eastAsia="Segoe UI Symbol" w:hAnsi="Segoe UI Symbol" w:cs="Segoe UI Symbol"/>
          <w:sz w:val="51"/>
          <w:vertAlign w:val="superscript"/>
        </w:rPr>
        <w:t></w:t>
      </w:r>
      <w:r>
        <w:rPr>
          <w:rFonts w:ascii="Segoe UI Symbol" w:eastAsia="Segoe UI Symbol" w:hAnsi="Segoe UI Symbol" w:cs="Segoe UI Symbol"/>
          <w:sz w:val="51"/>
          <w:vertAlign w:val="superscript"/>
        </w:rPr>
        <w:tab/>
      </w:r>
      <w:r>
        <w:rPr>
          <w:rFonts w:ascii="Times New Roman" w:eastAsia="Times New Roman" w:hAnsi="Times New Roman" w:cs="Times New Roman"/>
          <w:sz w:val="37"/>
          <w:vertAlign w:val="subscript"/>
        </w:rPr>
        <w:t xml:space="preserve"> </w:t>
      </w:r>
    </w:p>
    <w:p w:rsidR="0052701D" w:rsidRDefault="00D40929">
      <w:pPr>
        <w:numPr>
          <w:ilvl w:val="1"/>
          <w:numId w:val="9"/>
        </w:numPr>
        <w:spacing w:after="46"/>
        <w:ind w:left="1499" w:hanging="690"/>
      </w:pPr>
      <w:r>
        <w:rPr>
          <w:rFonts w:ascii="Segoe UI Symbol" w:eastAsia="Segoe UI Symbol" w:hAnsi="Segoe UI Symbol" w:cs="Segoe UI Symbol"/>
          <w:sz w:val="25"/>
        </w:rPr>
        <w:t></w:t>
      </w:r>
      <w:r>
        <w:rPr>
          <w:rFonts w:ascii="Segoe UI Symbol" w:eastAsia="Segoe UI Symbol" w:hAnsi="Segoe UI Symbol" w:cs="Segoe UI Symbol"/>
          <w:sz w:val="25"/>
        </w:rPr>
        <w:tab/>
      </w:r>
      <w:r>
        <w:rPr>
          <w:rFonts w:ascii="Segoe UI Symbol" w:eastAsia="Segoe UI Symbol" w:hAnsi="Segoe UI Symbol" w:cs="Segoe UI Symbol"/>
          <w:sz w:val="40"/>
          <w:u w:val="single" w:color="000000"/>
        </w:rPr>
        <w:t></w:t>
      </w:r>
      <w:r>
        <w:rPr>
          <w:rFonts w:ascii="Times New Roman" w:eastAsia="Times New Roman" w:hAnsi="Times New Roman" w:cs="Times New Roman"/>
          <w:sz w:val="25"/>
        </w:rPr>
        <w:t>1</w:t>
      </w:r>
    </w:p>
    <w:p w:rsidR="0052701D" w:rsidRDefault="00D40929">
      <w:pPr>
        <w:spacing w:after="726"/>
        <w:ind w:left="53" w:hanging="10"/>
      </w:pPr>
      <w:r>
        <w:rPr>
          <w:noProof/>
        </w:rPr>
        <mc:AlternateContent>
          <mc:Choice Requires="wpg">
            <w:drawing>
              <wp:anchor distT="0" distB="0" distL="114300" distR="114300" simplePos="0" relativeHeight="251722752" behindDoc="0" locked="0" layoutInCell="1" allowOverlap="1">
                <wp:simplePos x="0" y="0"/>
                <wp:positionH relativeFrom="column">
                  <wp:posOffset>2278389</wp:posOffset>
                </wp:positionH>
                <wp:positionV relativeFrom="paragraph">
                  <wp:posOffset>34542</wp:posOffset>
                </wp:positionV>
                <wp:extent cx="1542468" cy="6145"/>
                <wp:effectExtent l="0" t="0" r="0" b="0"/>
                <wp:wrapNone/>
                <wp:docPr id="920920" name="Group 920920"/>
                <wp:cNvGraphicFramePr/>
                <a:graphic xmlns:a="http://schemas.openxmlformats.org/drawingml/2006/main">
                  <a:graphicData uri="http://schemas.microsoft.com/office/word/2010/wordprocessingGroup">
                    <wpg:wgp>
                      <wpg:cNvGrpSpPr/>
                      <wpg:grpSpPr>
                        <a:xfrm>
                          <a:off x="0" y="0"/>
                          <a:ext cx="1542468" cy="6145"/>
                          <a:chOff x="0" y="0"/>
                          <a:chExt cx="1542468" cy="6145"/>
                        </a:xfrm>
                      </wpg:grpSpPr>
                      <wps:wsp>
                        <wps:cNvPr id="11254" name="Shape 11254"/>
                        <wps:cNvSpPr/>
                        <wps:spPr>
                          <a:xfrm>
                            <a:off x="0" y="0"/>
                            <a:ext cx="756126" cy="0"/>
                          </a:xfrm>
                          <a:custGeom>
                            <a:avLst/>
                            <a:gdLst/>
                            <a:ahLst/>
                            <a:cxnLst/>
                            <a:rect l="0" t="0" r="0" b="0"/>
                            <a:pathLst>
                              <a:path w="756126">
                                <a:moveTo>
                                  <a:pt x="0" y="0"/>
                                </a:moveTo>
                                <a:lnTo>
                                  <a:pt x="756126" y="0"/>
                                </a:lnTo>
                              </a:path>
                            </a:pathLst>
                          </a:custGeom>
                          <a:ln w="6145" cap="flat">
                            <a:round/>
                          </a:ln>
                        </wps:spPr>
                        <wps:style>
                          <a:lnRef idx="1">
                            <a:srgbClr val="000000"/>
                          </a:lnRef>
                          <a:fillRef idx="0">
                            <a:srgbClr val="000000">
                              <a:alpha val="0"/>
                            </a:srgbClr>
                          </a:fillRef>
                          <a:effectRef idx="0">
                            <a:scrgbClr r="0" g="0" b="0"/>
                          </a:effectRef>
                          <a:fontRef idx="none"/>
                        </wps:style>
                        <wps:bodyPr/>
                      </wps:wsp>
                      <wps:wsp>
                        <wps:cNvPr id="11257" name="Shape 11257"/>
                        <wps:cNvSpPr/>
                        <wps:spPr>
                          <a:xfrm>
                            <a:off x="907326" y="0"/>
                            <a:ext cx="635141" cy="0"/>
                          </a:xfrm>
                          <a:custGeom>
                            <a:avLst/>
                            <a:gdLst/>
                            <a:ahLst/>
                            <a:cxnLst/>
                            <a:rect l="0" t="0" r="0" b="0"/>
                            <a:pathLst>
                              <a:path w="635141">
                                <a:moveTo>
                                  <a:pt x="0" y="0"/>
                                </a:moveTo>
                                <a:lnTo>
                                  <a:pt x="635141" y="0"/>
                                </a:lnTo>
                              </a:path>
                            </a:pathLst>
                          </a:custGeom>
                          <a:ln w="6145"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20920" style="width:121.454pt;height:0.483876pt;position:absolute;z-index:1275;mso-position-horizontal-relative:text;mso-position-horizontal:absolute;margin-left:179.401pt;mso-position-vertical-relative:text;margin-top:2.71985pt;" coordsize="15424,61">
                <v:shape id="Shape 11254" style="position:absolute;width:7561;height:0;left:0;top:0;" coordsize="756126,0" path="m0,0l756126,0">
                  <v:stroke weight="0.483876pt" endcap="flat" joinstyle="round" on="true" color="#000000"/>
                  <v:fill on="false" color="#000000" opacity="0"/>
                </v:shape>
                <v:shape id="Shape 11257" style="position:absolute;width:6351;height:0;left:9073;top:0;" coordsize="635141,0" path="m0,0l635141,0">
                  <v:stroke weight="0.483876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723776" behindDoc="0" locked="0" layoutInCell="1" allowOverlap="1">
                <wp:simplePos x="0" y="0"/>
                <wp:positionH relativeFrom="column">
                  <wp:posOffset>4199414</wp:posOffset>
                </wp:positionH>
                <wp:positionV relativeFrom="paragraph">
                  <wp:posOffset>34542</wp:posOffset>
                </wp:positionV>
                <wp:extent cx="1605994" cy="6145"/>
                <wp:effectExtent l="0" t="0" r="0" b="0"/>
                <wp:wrapNone/>
                <wp:docPr id="920921" name="Group 920921"/>
                <wp:cNvGraphicFramePr/>
                <a:graphic xmlns:a="http://schemas.openxmlformats.org/drawingml/2006/main">
                  <a:graphicData uri="http://schemas.microsoft.com/office/word/2010/wordprocessingGroup">
                    <wpg:wgp>
                      <wpg:cNvGrpSpPr/>
                      <wpg:grpSpPr>
                        <a:xfrm>
                          <a:off x="0" y="0"/>
                          <a:ext cx="1605994" cy="6145"/>
                          <a:chOff x="0" y="0"/>
                          <a:chExt cx="1605994" cy="6145"/>
                        </a:xfrm>
                      </wpg:grpSpPr>
                      <wps:wsp>
                        <wps:cNvPr id="11261" name="Shape 11261"/>
                        <wps:cNvSpPr/>
                        <wps:spPr>
                          <a:xfrm>
                            <a:off x="0" y="0"/>
                            <a:ext cx="710308" cy="0"/>
                          </a:xfrm>
                          <a:custGeom>
                            <a:avLst/>
                            <a:gdLst/>
                            <a:ahLst/>
                            <a:cxnLst/>
                            <a:rect l="0" t="0" r="0" b="0"/>
                            <a:pathLst>
                              <a:path w="710308">
                                <a:moveTo>
                                  <a:pt x="0" y="0"/>
                                </a:moveTo>
                                <a:lnTo>
                                  <a:pt x="710308" y="0"/>
                                </a:lnTo>
                              </a:path>
                            </a:pathLst>
                          </a:custGeom>
                          <a:ln w="6145" cap="flat">
                            <a:round/>
                          </a:ln>
                        </wps:spPr>
                        <wps:style>
                          <a:lnRef idx="1">
                            <a:srgbClr val="000000"/>
                          </a:lnRef>
                          <a:fillRef idx="0">
                            <a:srgbClr val="000000">
                              <a:alpha val="0"/>
                            </a:srgbClr>
                          </a:fillRef>
                          <a:effectRef idx="0">
                            <a:scrgbClr r="0" g="0" b="0"/>
                          </a:effectRef>
                          <a:fontRef idx="none"/>
                        </wps:style>
                        <wps:bodyPr/>
                      </wps:wsp>
                      <wps:wsp>
                        <wps:cNvPr id="11266" name="Shape 11266"/>
                        <wps:cNvSpPr/>
                        <wps:spPr>
                          <a:xfrm>
                            <a:off x="850116" y="0"/>
                            <a:ext cx="755878" cy="0"/>
                          </a:xfrm>
                          <a:custGeom>
                            <a:avLst/>
                            <a:gdLst/>
                            <a:ahLst/>
                            <a:cxnLst/>
                            <a:rect l="0" t="0" r="0" b="0"/>
                            <a:pathLst>
                              <a:path w="755878">
                                <a:moveTo>
                                  <a:pt x="0" y="0"/>
                                </a:moveTo>
                                <a:lnTo>
                                  <a:pt x="755878" y="0"/>
                                </a:lnTo>
                              </a:path>
                            </a:pathLst>
                          </a:custGeom>
                          <a:ln w="6145"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20921" style="width:126.456pt;height:0.483876pt;position:absolute;z-index:1283;mso-position-horizontal-relative:text;mso-position-horizontal:absolute;margin-left:330.663pt;mso-position-vertical-relative:text;margin-top:2.71985pt;" coordsize="16059,61">
                <v:shape id="Shape 11261" style="position:absolute;width:7103;height:0;left:0;top:0;" coordsize="710308,0" path="m0,0l710308,0">
                  <v:stroke weight="0.483876pt" endcap="flat" joinstyle="round" on="true" color="#000000"/>
                  <v:fill on="false" color="#000000" opacity="0"/>
                </v:shape>
                <v:shape id="Shape 11266" style="position:absolute;width:7558;height:0;left:8501;top:0;" coordsize="755878,0" path="m0,0l755878,0">
                  <v:stroke weight="0.483876pt" endcap="flat" joinstyle="round" on="true" color="#000000"/>
                  <v:fill on="false" color="#000000" opacity="0"/>
                </v:shape>
              </v:group>
            </w:pict>
          </mc:Fallback>
        </mc:AlternateContent>
      </w:r>
      <w:r>
        <w:rPr>
          <w:rFonts w:ascii="Segoe UI Symbol" w:eastAsia="Segoe UI Symbol" w:hAnsi="Segoe UI Symbol" w:cs="Segoe UI Symbol"/>
          <w:sz w:val="25"/>
        </w:rPr>
        <w:t xml:space="preserve"> </w:t>
      </w:r>
      <w:r>
        <w:rPr>
          <w:noProof/>
        </w:rPr>
        <mc:AlternateContent>
          <mc:Choice Requires="wpg">
            <w:drawing>
              <wp:inline distT="0" distB="0" distL="0" distR="0">
                <wp:extent cx="787208" cy="6145"/>
                <wp:effectExtent l="0" t="0" r="0" b="0"/>
                <wp:docPr id="920918" name="Group 920918"/>
                <wp:cNvGraphicFramePr/>
                <a:graphic xmlns:a="http://schemas.openxmlformats.org/drawingml/2006/main">
                  <a:graphicData uri="http://schemas.microsoft.com/office/word/2010/wordprocessingGroup">
                    <wpg:wgp>
                      <wpg:cNvGrpSpPr/>
                      <wpg:grpSpPr>
                        <a:xfrm>
                          <a:off x="0" y="0"/>
                          <a:ext cx="787208" cy="6145"/>
                          <a:chOff x="0" y="0"/>
                          <a:chExt cx="787208" cy="6145"/>
                        </a:xfrm>
                      </wpg:grpSpPr>
                      <wps:wsp>
                        <wps:cNvPr id="11244" name="Shape 11244"/>
                        <wps:cNvSpPr/>
                        <wps:spPr>
                          <a:xfrm>
                            <a:off x="0" y="0"/>
                            <a:ext cx="787208" cy="0"/>
                          </a:xfrm>
                          <a:custGeom>
                            <a:avLst/>
                            <a:gdLst/>
                            <a:ahLst/>
                            <a:cxnLst/>
                            <a:rect l="0" t="0" r="0" b="0"/>
                            <a:pathLst>
                              <a:path w="787208">
                                <a:moveTo>
                                  <a:pt x="0" y="0"/>
                                </a:moveTo>
                                <a:lnTo>
                                  <a:pt x="787208" y="0"/>
                                </a:lnTo>
                              </a:path>
                            </a:pathLst>
                          </a:custGeom>
                          <a:ln w="614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20918" style="width:61.9849pt;height:0.483876pt;mso-position-horizontal-relative:char;mso-position-vertical-relative:line" coordsize="7872,61">
                <v:shape id="Shape 11244" style="position:absolute;width:7872;height:0;left:0;top:0;" coordsize="787208,0" path="m0,0l787208,0">
                  <v:stroke weight="0.483876pt" endcap="flat" joinstyle="round" on="true" color="#000000"/>
                  <v:fill on="false" color="#000000" opacity="0"/>
                </v:shape>
              </v:group>
            </w:pict>
          </mc:Fallback>
        </mc:AlternateContent>
      </w:r>
      <w:r>
        <w:rPr>
          <w:rFonts w:ascii="Times New Roman" w:eastAsia="Times New Roman" w:hAnsi="Times New Roman" w:cs="Times New Roman"/>
          <w:sz w:val="25"/>
        </w:rPr>
        <w:t>2</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 xml:space="preserve">0 </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Times New Roman" w:eastAsia="Times New Roman" w:hAnsi="Times New Roman" w:cs="Times New Roman"/>
          <w:sz w:val="15"/>
        </w:rPr>
        <w:t xml:space="preserve">2 </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33"/>
          <w:vertAlign w:val="subscript"/>
        </w:rPr>
        <w:t></w:t>
      </w:r>
      <w:r>
        <w:rPr>
          <w:rFonts w:ascii="Segoe UI Symbol" w:eastAsia="Segoe UI Symbol" w:hAnsi="Segoe UI Symbol" w:cs="Segoe UI Symbol"/>
          <w:sz w:val="25"/>
        </w:rPr>
        <w:t></w:t>
      </w:r>
      <w:r>
        <w:rPr>
          <w:rFonts w:ascii="Times New Roman" w:eastAsia="Times New Roman" w:hAnsi="Times New Roman" w:cs="Times New Roman"/>
          <w:sz w:val="25"/>
        </w:rPr>
        <w:t>144</w:t>
      </w:r>
      <w:r>
        <w:rPr>
          <w:rFonts w:ascii="Segoe UI Symbol" w:eastAsia="Segoe UI Symbol" w:hAnsi="Segoe UI Symbol" w:cs="Segoe UI Symbol"/>
          <w:sz w:val="26"/>
        </w:rPr>
        <w:t></w:t>
      </w:r>
      <w:r>
        <w:rPr>
          <w:rFonts w:ascii="Segoe UI Symbol" w:eastAsia="Segoe UI Symbol" w:hAnsi="Segoe UI Symbol" w:cs="Segoe UI Symbol"/>
          <w:sz w:val="26"/>
        </w:rPr>
        <w:t></w:t>
      </w:r>
      <w:r>
        <w:rPr>
          <w:rFonts w:ascii="Times New Roman" w:eastAsia="Times New Roman" w:hAnsi="Times New Roman" w:cs="Times New Roman"/>
          <w:sz w:val="15"/>
        </w:rPr>
        <w:t xml:space="preserve">1 </w:t>
      </w:r>
      <w:r>
        <w:rPr>
          <w:rFonts w:ascii="Times New Roman" w:eastAsia="Times New Roman" w:hAnsi="Times New Roman" w:cs="Times New Roman"/>
          <w:i/>
          <w:sz w:val="25"/>
        </w:rPr>
        <w:t>ER</w:t>
      </w:r>
      <w:r>
        <w:rPr>
          <w:rFonts w:ascii="Segoe UI Symbol" w:eastAsia="Segoe UI Symbol" w:hAnsi="Segoe UI Symbol" w:cs="Segoe UI Symbol"/>
          <w:sz w:val="25"/>
        </w:rPr>
        <w:t></w:t>
      </w:r>
      <w:r>
        <w:rPr>
          <w:rFonts w:ascii="Segoe UI Symbol" w:eastAsia="Segoe UI Symbol" w:hAnsi="Segoe UI Symbol" w:cs="Segoe UI Symbol"/>
          <w:sz w:val="33"/>
        </w:rPr>
        <w:t></w:t>
      </w:r>
      <w:r>
        <w:rPr>
          <w:rFonts w:ascii="Segoe UI Symbol" w:eastAsia="Segoe UI Symbol" w:hAnsi="Segoe UI Symbol" w:cs="Segoe UI Symbol"/>
          <w:sz w:val="26"/>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15"/>
        </w:rPr>
        <w:t>2</w:t>
      </w:r>
      <w:r>
        <w:rPr>
          <w:rFonts w:ascii="Times New Roman" w:eastAsia="Times New Roman" w:hAnsi="Times New Roman" w:cs="Times New Roman"/>
          <w:sz w:val="23"/>
          <w:vertAlign w:val="subscript"/>
        </w:rPr>
        <w:t>1</w:t>
      </w:r>
      <w:r>
        <w:rPr>
          <w:rFonts w:ascii="Segoe UI Symbol" w:eastAsia="Segoe UI Symbol" w:hAnsi="Segoe UI Symbol" w:cs="Segoe UI Symbol"/>
          <w:sz w:val="40"/>
          <w:u w:val="single" w:color="000000"/>
        </w:rPr>
        <w:t></w:t>
      </w:r>
      <w:r>
        <w:rPr>
          <w:rFonts w:ascii="Segoe UI Symbol" w:eastAsia="Segoe UI Symbol" w:hAnsi="Segoe UI Symbol" w:cs="Segoe UI Symbol"/>
          <w:sz w:val="33"/>
        </w:rPr>
        <w:t></w:t>
      </w:r>
      <w:r>
        <w:rPr>
          <w:rFonts w:ascii="Times New Roman" w:eastAsia="Times New Roman" w:hAnsi="Times New Roman" w:cs="Times New Roman"/>
          <w:sz w:val="15"/>
        </w:rPr>
        <w:t xml:space="preserve">24 </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sz w:val="25"/>
        </w:rPr>
        <w:t>ln</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00</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Segoe UI Symbol" w:eastAsia="Segoe UI Symbol" w:hAnsi="Segoe UI Symbol" w:cs="Segoe UI Symbol"/>
          <w:sz w:val="26"/>
        </w:rPr>
        <w:t></w:t>
      </w:r>
      <w:r>
        <w:rPr>
          <w:rFonts w:ascii="Times New Roman" w:eastAsia="Times New Roman" w:hAnsi="Times New Roman" w:cs="Times New Roman"/>
          <w:i/>
          <w:sz w:val="25"/>
        </w:rPr>
        <w:t>hh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33"/>
        </w:rPr>
        <w:t></w:t>
      </w:r>
      <w:r>
        <w:rPr>
          <w:rFonts w:ascii="Segoe UI Symbol" w:eastAsia="Segoe UI Symbol" w:hAnsi="Segoe UI Symbol" w:cs="Segoe UI Symbol"/>
          <w:sz w:val="25"/>
        </w:rPr>
        <w:t xml:space="preserve"> </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Times New Roman" w:eastAsia="Times New Roman" w:hAnsi="Times New Roman" w:cs="Times New Roman"/>
          <w:sz w:val="25"/>
        </w:rPr>
        <w:t>1</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25"/>
        </w:rPr>
        <w:t xml:space="preserve"> </w:t>
      </w:r>
      <w:r>
        <w:rPr>
          <w:rFonts w:ascii="Times New Roman" w:eastAsia="Times New Roman" w:hAnsi="Times New Roman" w:cs="Times New Roman"/>
          <w:i/>
          <w:sz w:val="25"/>
        </w:rPr>
        <w:t>h</w:t>
      </w:r>
      <w:r>
        <w:rPr>
          <w:rFonts w:ascii="Times New Roman" w:eastAsia="Times New Roman" w:hAnsi="Times New Roman" w:cs="Times New Roman"/>
          <w:sz w:val="25"/>
        </w:rPr>
        <w:t>2</w:t>
      </w:r>
      <w:r>
        <w:rPr>
          <w:rFonts w:ascii="Times New Roman" w:eastAsia="Times New Roman" w:hAnsi="Times New Roman" w:cs="Times New Roman"/>
          <w:sz w:val="15"/>
          <w:u w:val="single" w:color="000000"/>
        </w:rPr>
        <w:t xml:space="preserve">0 </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sz w:val="25"/>
        </w:rPr>
        <w:t>1</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Times New Roman" w:eastAsia="Times New Roman" w:hAnsi="Times New Roman" w:cs="Times New Roman"/>
          <w:sz w:val="15"/>
        </w:rPr>
        <w:t xml:space="preserve">2 </w:t>
      </w:r>
      <w:r>
        <w:rPr>
          <w:rFonts w:ascii="Segoe UI Symbol" w:eastAsia="Segoe UI Symbol" w:hAnsi="Segoe UI Symbol" w:cs="Segoe UI Symbol"/>
          <w:sz w:val="25"/>
        </w:rPr>
        <w:t xml:space="preserve"> </w:t>
      </w:r>
      <w:r>
        <w:rPr>
          <w:rFonts w:ascii="Times New Roman" w:eastAsia="Times New Roman" w:hAnsi="Times New Roman" w:cs="Times New Roman"/>
          <w:sz w:val="25"/>
        </w:rPr>
        <w:t>ln</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Segoe UI Symbol" w:eastAsia="Segoe UI Symbol" w:hAnsi="Segoe UI Symbol" w:cs="Segoe UI Symbol"/>
          <w:sz w:val="33"/>
        </w:rPr>
        <w:t></w:t>
      </w:r>
      <w:r>
        <w:rPr>
          <w:rFonts w:ascii="Times New Roman" w:eastAsia="Times New Roman" w:hAnsi="Times New Roman" w:cs="Times New Roman"/>
          <w:sz w:val="15"/>
        </w:rPr>
        <w:t>0</w:t>
      </w:r>
      <w:r>
        <w:rPr>
          <w:rFonts w:ascii="Times New Roman" w:eastAsia="Times New Roman" w:hAnsi="Times New Roman" w:cs="Times New Roman"/>
          <w:i/>
          <w:sz w:val="25"/>
        </w:rPr>
        <w:t>h</w:t>
      </w:r>
      <w:r>
        <w:rPr>
          <w:rFonts w:ascii="Segoe UI Symbol" w:eastAsia="Segoe UI Symbol" w:hAnsi="Segoe UI Symbol" w:cs="Segoe UI Symbol"/>
          <w:sz w:val="25"/>
        </w:rPr>
        <w:t></w:t>
      </w:r>
      <w:r>
        <w:rPr>
          <w:rFonts w:ascii="Times New Roman" w:eastAsia="Times New Roman" w:hAnsi="Times New Roman" w:cs="Times New Roman"/>
          <w:sz w:val="15"/>
        </w:rPr>
        <w:t xml:space="preserve">0 </w:t>
      </w:r>
      <w:r>
        <w:rPr>
          <w:rFonts w:ascii="Segoe UI Symbol" w:eastAsia="Segoe UI Symbol" w:hAnsi="Segoe UI Symbol" w:cs="Segoe UI Symbol"/>
          <w:sz w:val="26"/>
        </w:rPr>
        <w:t></w:t>
      </w:r>
      <w:r>
        <w:rPr>
          <w:rFonts w:ascii="Segoe UI Symbol" w:eastAsia="Segoe UI Symbol" w:hAnsi="Segoe UI Symbol" w:cs="Segoe UI Symbol"/>
          <w:sz w:val="25"/>
        </w:rPr>
        <w:t></w:t>
      </w:r>
      <w:r>
        <w:rPr>
          <w:rFonts w:ascii="Times New Roman" w:eastAsia="Times New Roman" w:hAnsi="Times New Roman" w:cs="Times New Roman"/>
          <w:i/>
          <w:sz w:val="25"/>
        </w:rPr>
        <w:t>h</w:t>
      </w:r>
      <w:r>
        <w:rPr>
          <w:rFonts w:ascii="Segoe UI Symbol" w:eastAsia="Segoe UI Symbol" w:hAnsi="Segoe UI Symbol" w:cs="Segoe UI Symbol"/>
          <w:sz w:val="26"/>
        </w:rPr>
        <w:t></w:t>
      </w:r>
      <w:r>
        <w:rPr>
          <w:rFonts w:ascii="Times New Roman" w:eastAsia="Times New Roman" w:hAnsi="Times New Roman" w:cs="Times New Roman"/>
          <w:sz w:val="15"/>
        </w:rPr>
        <w:t>1</w:t>
      </w:r>
      <w:r>
        <w:rPr>
          <w:rFonts w:ascii="Times New Roman" w:eastAsia="Times New Roman" w:hAnsi="Times New Roman" w:cs="Times New Roman"/>
          <w:i/>
          <w:sz w:val="25"/>
        </w:rPr>
        <w:t>hz</w:t>
      </w:r>
      <w:r>
        <w:rPr>
          <w:rFonts w:ascii="Times New Roman" w:eastAsia="Times New Roman" w:hAnsi="Times New Roman" w:cs="Times New Roman"/>
          <w:sz w:val="15"/>
        </w:rPr>
        <w:t>1</w:t>
      </w:r>
      <w:r>
        <w:rPr>
          <w:rFonts w:ascii="Segoe UI Symbol" w:eastAsia="Segoe UI Symbol" w:hAnsi="Segoe UI Symbol" w:cs="Segoe UI Symbol"/>
          <w:sz w:val="33"/>
        </w:rPr>
        <w:t></w:t>
      </w:r>
      <w:r>
        <w:rPr>
          <w:rFonts w:ascii="Times New Roman" w:eastAsia="Times New Roman" w:hAnsi="Times New Roman" w:cs="Times New Roman"/>
          <w:i/>
          <w:sz w:val="25"/>
        </w:rPr>
        <w:t>z</w:t>
      </w:r>
      <w:r>
        <w:rPr>
          <w:rFonts w:ascii="Times New Roman" w:eastAsia="Times New Roman" w:hAnsi="Times New Roman" w:cs="Times New Roman"/>
          <w:sz w:val="15"/>
        </w:rPr>
        <w:t>2</w:t>
      </w:r>
      <w:r>
        <w:rPr>
          <w:rFonts w:ascii="Segoe UI Symbol" w:eastAsia="Segoe UI Symbol" w:hAnsi="Segoe UI Symbol" w:cs="Segoe UI Symbol"/>
          <w:sz w:val="33"/>
        </w:rPr>
        <w:t></w:t>
      </w:r>
      <w:r>
        <w:rPr>
          <w:rFonts w:ascii="Segoe UI Symbol" w:eastAsia="Segoe UI Symbol" w:hAnsi="Segoe UI Symbol" w:cs="Segoe UI Symbol"/>
          <w:sz w:val="25"/>
        </w:rPr>
        <w:t></w:t>
      </w:r>
    </w:p>
    <w:p w:rsidR="0052701D" w:rsidRDefault="00D40929">
      <w:pPr>
        <w:numPr>
          <w:ilvl w:val="0"/>
          <w:numId w:val="8"/>
        </w:numPr>
        <w:spacing w:after="29" w:line="248" w:lineRule="auto"/>
        <w:ind w:hanging="1222"/>
      </w:pPr>
      <w:r>
        <w:rPr>
          <w:noProof/>
        </w:rPr>
        <w:lastRenderedPageBreak/>
        <mc:AlternateContent>
          <mc:Choice Requires="wpg">
            <w:drawing>
              <wp:anchor distT="0" distB="0" distL="114300" distR="114300" simplePos="0" relativeHeight="251724800" behindDoc="0" locked="0" layoutInCell="1" allowOverlap="1">
                <wp:simplePos x="0" y="0"/>
                <wp:positionH relativeFrom="column">
                  <wp:posOffset>140500</wp:posOffset>
                </wp:positionH>
                <wp:positionV relativeFrom="paragraph">
                  <wp:posOffset>58624</wp:posOffset>
                </wp:positionV>
                <wp:extent cx="803044" cy="6147"/>
                <wp:effectExtent l="0" t="0" r="0" b="0"/>
                <wp:wrapSquare wrapText="bothSides"/>
                <wp:docPr id="920922" name="Group 920922"/>
                <wp:cNvGraphicFramePr/>
                <a:graphic xmlns:a="http://schemas.openxmlformats.org/drawingml/2006/main">
                  <a:graphicData uri="http://schemas.microsoft.com/office/word/2010/wordprocessingGroup">
                    <wpg:wgp>
                      <wpg:cNvGrpSpPr/>
                      <wpg:grpSpPr>
                        <a:xfrm>
                          <a:off x="0" y="0"/>
                          <a:ext cx="803044" cy="6147"/>
                          <a:chOff x="0" y="0"/>
                          <a:chExt cx="803044" cy="6147"/>
                        </a:xfrm>
                      </wpg:grpSpPr>
                      <wps:wsp>
                        <wps:cNvPr id="11360" name="Shape 11360"/>
                        <wps:cNvSpPr/>
                        <wps:spPr>
                          <a:xfrm>
                            <a:off x="0" y="0"/>
                            <a:ext cx="803044" cy="0"/>
                          </a:xfrm>
                          <a:custGeom>
                            <a:avLst/>
                            <a:gdLst/>
                            <a:ahLst/>
                            <a:cxnLst/>
                            <a:rect l="0" t="0" r="0" b="0"/>
                            <a:pathLst>
                              <a:path w="803044">
                                <a:moveTo>
                                  <a:pt x="0" y="0"/>
                                </a:moveTo>
                                <a:lnTo>
                                  <a:pt x="803044" y="0"/>
                                </a:lnTo>
                              </a:path>
                            </a:pathLst>
                          </a:custGeom>
                          <a:ln w="6147"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20922" style="width:63.2318pt;height:0.483977pt;position:absolute;mso-position-horizontal-relative:text;mso-position-horizontal:absolute;margin-left:11.063pt;mso-position-vertical-relative:text;margin-top:4.61603pt;" coordsize="8030,61">
                <v:shape id="Shape 11360" style="position:absolute;width:8030;height:0;left:0;top:0;" coordsize="803044,0" path="m0,0l803044,0">
                  <v:stroke weight="0.483977pt" endcap="flat" joinstyle="round" on="true" color="#000000"/>
                  <v:fill on="false" color="#000000" opacity="0"/>
                </v:shape>
                <w10:wrap type="square"/>
              </v:group>
            </w:pict>
          </mc:Fallback>
        </mc:AlternateContent>
      </w:r>
      <w:r>
        <w:rPr>
          <w:noProof/>
        </w:rPr>
        <mc:AlternateContent>
          <mc:Choice Requires="wpg">
            <w:drawing>
              <wp:anchor distT="0" distB="0" distL="114300" distR="114300" simplePos="0" relativeHeight="251725824" behindDoc="0" locked="0" layoutInCell="1" allowOverlap="1">
                <wp:simplePos x="0" y="0"/>
                <wp:positionH relativeFrom="column">
                  <wp:posOffset>1732466</wp:posOffset>
                </wp:positionH>
                <wp:positionV relativeFrom="paragraph">
                  <wp:posOffset>58624</wp:posOffset>
                </wp:positionV>
                <wp:extent cx="1291798" cy="6147"/>
                <wp:effectExtent l="0" t="0" r="0" b="0"/>
                <wp:wrapSquare wrapText="bothSides"/>
                <wp:docPr id="920923" name="Group 920923"/>
                <wp:cNvGraphicFramePr/>
                <a:graphic xmlns:a="http://schemas.openxmlformats.org/drawingml/2006/main">
                  <a:graphicData uri="http://schemas.microsoft.com/office/word/2010/wordprocessingGroup">
                    <wpg:wgp>
                      <wpg:cNvGrpSpPr/>
                      <wpg:grpSpPr>
                        <a:xfrm>
                          <a:off x="0" y="0"/>
                          <a:ext cx="1291798" cy="6147"/>
                          <a:chOff x="0" y="0"/>
                          <a:chExt cx="1291798" cy="6147"/>
                        </a:xfrm>
                      </wpg:grpSpPr>
                      <wps:wsp>
                        <wps:cNvPr id="11369" name="Shape 11369"/>
                        <wps:cNvSpPr/>
                        <wps:spPr>
                          <a:xfrm>
                            <a:off x="0" y="0"/>
                            <a:ext cx="1291798" cy="0"/>
                          </a:xfrm>
                          <a:custGeom>
                            <a:avLst/>
                            <a:gdLst/>
                            <a:ahLst/>
                            <a:cxnLst/>
                            <a:rect l="0" t="0" r="0" b="0"/>
                            <a:pathLst>
                              <a:path w="1291798">
                                <a:moveTo>
                                  <a:pt x="0" y="0"/>
                                </a:moveTo>
                                <a:lnTo>
                                  <a:pt x="1291798" y="0"/>
                                </a:lnTo>
                              </a:path>
                            </a:pathLst>
                          </a:custGeom>
                          <a:ln w="6147"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20923" style="width:101.716pt;height:0.483977pt;position:absolute;mso-position-horizontal-relative:text;mso-position-horizontal:absolute;margin-left:136.415pt;mso-position-vertical-relative:text;margin-top:4.61603pt;" coordsize="12917,61">
                <v:shape id="Shape 11369" style="position:absolute;width:12917;height:0;left:0;top:0;" coordsize="1291798,0" path="m0,0l1291798,0">
                  <v:stroke weight="0.483977pt" endcap="flat" joinstyle="round" on="true" color="#000000"/>
                  <v:fill on="false" color="#000000" opacity="0"/>
                </v:shape>
                <w10:wrap type="square"/>
              </v:group>
            </w:pict>
          </mc:Fallback>
        </mc:AlternateContent>
      </w:r>
      <w:r>
        <w:rPr>
          <w:rFonts w:ascii="Times New Roman" w:eastAsia="Times New Roman" w:hAnsi="Times New Roman" w:cs="Times New Roman"/>
          <w:sz w:val="24"/>
        </w:rPr>
        <w:t>4</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vertAlign w:val="subscript"/>
        </w:rPr>
        <w:t xml:space="preserve">0 </w:t>
      </w:r>
      <w:r>
        <w:rPr>
          <w:rFonts w:ascii="Times New Roman" w:eastAsia="Times New Roman" w:hAnsi="Times New Roman" w:cs="Times New Roman"/>
          <w:sz w:val="24"/>
        </w:rPr>
        <w:t>3</w:t>
      </w:r>
      <w:r>
        <w:rPr>
          <w:rFonts w:ascii="Segoe UI Symbol" w:eastAsia="Segoe UI Symbol" w:hAnsi="Segoe UI Symbol" w:cs="Segoe UI Symbol"/>
          <w:sz w:val="24"/>
        </w:rPr>
        <w:t></w:t>
      </w:r>
      <w:r>
        <w:rPr>
          <w:rFonts w:ascii="Times New Roman" w:eastAsia="Times New Roman" w:hAnsi="Times New Roman" w:cs="Times New Roman"/>
          <w:i/>
          <w:sz w:val="24"/>
        </w:rPr>
        <w:t>h</w:t>
      </w:r>
      <w:r>
        <w:rPr>
          <w:rFonts w:ascii="Segoe UI Symbol" w:eastAsia="Segoe UI Symbol" w:hAnsi="Segoe UI Symbol" w:cs="Segoe UI Symbol"/>
          <w:sz w:val="26"/>
        </w:rPr>
        <w:t></w:t>
      </w:r>
      <w:r>
        <w:rPr>
          <w:rFonts w:ascii="Times New Roman" w:eastAsia="Times New Roman" w:hAnsi="Times New Roman" w:cs="Times New Roman"/>
          <w:sz w:val="14"/>
        </w:rPr>
        <w:t>0</w:t>
      </w:r>
      <w:r>
        <w:rPr>
          <w:rFonts w:ascii="Times New Roman" w:eastAsia="Times New Roman" w:hAnsi="Times New Roman" w:cs="Times New Roman"/>
          <w:i/>
          <w:sz w:val="24"/>
        </w:rPr>
        <w:t>h</w:t>
      </w:r>
      <w:r>
        <w:rPr>
          <w:rFonts w:ascii="Times New Roman" w:eastAsia="Times New Roman" w:hAnsi="Times New Roman" w:cs="Times New Roman"/>
          <w:vertAlign w:val="subscript"/>
        </w:rPr>
        <w:t>1</w:t>
      </w:r>
      <w:r>
        <w:rPr>
          <w:rFonts w:ascii="Times New Roman" w:eastAsia="Times New Roman" w:hAnsi="Times New Roman" w:cs="Times New Roman"/>
          <w:i/>
          <w:sz w:val="24"/>
        </w:rPr>
        <w:t>z</w:t>
      </w:r>
      <w:r>
        <w:rPr>
          <w:rFonts w:ascii="Segoe UI Symbol" w:eastAsia="Segoe UI Symbol" w:hAnsi="Segoe UI Symbol" w:cs="Segoe UI Symbol"/>
          <w:sz w:val="32"/>
        </w:rPr>
        <w:t xml:space="preserve"> </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37"/>
          <w:vertAlign w:val="subscript"/>
        </w:rPr>
        <w:t></w:t>
      </w:r>
      <w:r>
        <w:rPr>
          <w:rFonts w:ascii="Segoe UI Symbol" w:eastAsia="Segoe UI Symbol" w:hAnsi="Segoe UI Symbol" w:cs="Segoe UI Symbol"/>
          <w:sz w:val="24"/>
        </w:rPr>
        <w:t xml:space="preserve"> </w:t>
      </w:r>
      <w:r>
        <w:rPr>
          <w:rFonts w:ascii="Times New Roman" w:eastAsia="Times New Roman" w:hAnsi="Times New Roman" w:cs="Times New Roman"/>
          <w:sz w:val="24"/>
        </w:rPr>
        <w:t>288</w:t>
      </w:r>
      <w:r>
        <w:rPr>
          <w:rFonts w:ascii="Segoe UI Symbol" w:eastAsia="Segoe UI Symbol" w:hAnsi="Segoe UI Symbol" w:cs="Segoe UI Symbol"/>
          <w:sz w:val="26"/>
        </w:rPr>
        <w:t></w:t>
      </w:r>
      <w:r>
        <w:rPr>
          <w:rFonts w:ascii="Segoe UI Symbol" w:eastAsia="Segoe UI Symbol" w:hAnsi="Segoe UI Symbol" w:cs="Segoe UI Symbol"/>
          <w:sz w:val="26"/>
        </w:rPr>
        <w:t></w:t>
      </w:r>
      <w:r>
        <w:rPr>
          <w:rFonts w:ascii="Times New Roman" w:eastAsia="Times New Roman" w:hAnsi="Times New Roman" w:cs="Times New Roman"/>
          <w:sz w:val="14"/>
        </w:rPr>
        <w:t xml:space="preserve">1 </w:t>
      </w:r>
      <w:r>
        <w:rPr>
          <w:rFonts w:ascii="Segoe UI Symbol" w:eastAsia="Segoe UI Symbol" w:hAnsi="Segoe UI Symbol" w:cs="Segoe UI Symbol"/>
          <w:sz w:val="39"/>
        </w:rPr>
        <w:t></w:t>
      </w:r>
      <w:r>
        <w:rPr>
          <w:rFonts w:ascii="Times New Roman" w:eastAsia="Times New Roman" w:hAnsi="Times New Roman" w:cs="Times New Roman"/>
          <w:sz w:val="24"/>
        </w:rPr>
        <w:t>1</w:t>
      </w:r>
      <w:r>
        <w:rPr>
          <w:rFonts w:ascii="Times New Roman" w:eastAsia="Times New Roman" w:hAnsi="Times New Roman" w:cs="Times New Roman"/>
          <w:i/>
          <w:sz w:val="24"/>
        </w:rPr>
        <w:t>ER</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Segoe UI Symbol" w:eastAsia="Segoe UI Symbol" w:hAnsi="Segoe UI Symbol" w:cs="Segoe UI Symbol"/>
          <w:sz w:val="32"/>
        </w:rPr>
        <w:t></w:t>
      </w:r>
      <w:r>
        <w:rPr>
          <w:rFonts w:ascii="Segoe UI Symbol" w:eastAsia="Segoe UI Symbol" w:hAnsi="Segoe UI Symbol" w:cs="Segoe UI Symbol"/>
          <w:sz w:val="26"/>
        </w:rPr>
        <w:t></w:t>
      </w:r>
      <w:r>
        <w:rPr>
          <w:rFonts w:ascii="Times New Roman" w:eastAsia="Times New Roman" w:hAnsi="Times New Roman" w:cs="Times New Roman"/>
          <w:sz w:val="14"/>
        </w:rPr>
        <w:t>2</w:t>
      </w:r>
      <w:r>
        <w:rPr>
          <w:rFonts w:ascii="Times New Roman" w:eastAsia="Times New Roman" w:hAnsi="Times New Roman" w:cs="Times New Roman"/>
          <w:i/>
          <w:sz w:val="24"/>
        </w:rPr>
        <w:t>h</w:t>
      </w:r>
      <w:r>
        <w:rPr>
          <w:rFonts w:ascii="Segoe UI Symbol" w:eastAsia="Segoe UI Symbol" w:hAnsi="Segoe UI Symbol" w:cs="Segoe UI Symbol"/>
          <w:sz w:val="39"/>
        </w:rPr>
        <w:t></w:t>
      </w:r>
      <w:r>
        <w:rPr>
          <w:rFonts w:ascii="Times New Roman" w:eastAsia="Times New Roman" w:hAnsi="Times New Roman" w:cs="Times New Roman"/>
          <w:vertAlign w:val="subscript"/>
        </w:rPr>
        <w:t>1</w:t>
      </w:r>
      <w:r>
        <w:rPr>
          <w:rFonts w:ascii="Times New Roman" w:eastAsia="Times New Roman" w:hAnsi="Times New Roman" w:cs="Times New Roman"/>
          <w:sz w:val="14"/>
        </w:rPr>
        <w:t>2</w:t>
      </w:r>
      <w:r>
        <w:rPr>
          <w:rFonts w:ascii="Segoe UI Symbol" w:eastAsia="Segoe UI Symbol" w:hAnsi="Segoe UI Symbol" w:cs="Segoe UI Symbol"/>
          <w:sz w:val="32"/>
        </w:rPr>
        <w:t></w:t>
      </w:r>
      <w:r>
        <w:rPr>
          <w:rFonts w:ascii="Times New Roman" w:eastAsia="Times New Roman" w:hAnsi="Times New Roman" w:cs="Times New Roman"/>
          <w:sz w:val="24"/>
        </w:rPr>
        <w:t>ln</w:t>
      </w:r>
      <w:r>
        <w:rPr>
          <w:rFonts w:ascii="Times New Roman" w:eastAsia="Times New Roman" w:hAnsi="Times New Roman" w:cs="Times New Roman"/>
          <w:sz w:val="14"/>
        </w:rPr>
        <w:t>3</w:t>
      </w:r>
      <w:r>
        <w:rPr>
          <w:rFonts w:ascii="Segoe UI Symbol" w:eastAsia="Segoe UI Symbol" w:hAnsi="Segoe UI Symbol" w:cs="Segoe UI Symbol"/>
          <w:sz w:val="32"/>
        </w:rPr>
        <w:t></w:t>
      </w:r>
      <w:r>
        <w:rPr>
          <w:rFonts w:ascii="Segoe UI Symbol" w:eastAsia="Segoe UI Symbol" w:hAnsi="Segoe UI Symbol" w:cs="Segoe UI Symbol"/>
          <w:sz w:val="32"/>
        </w:rPr>
        <w:t></w:t>
      </w:r>
      <w:r>
        <w:rPr>
          <w:rFonts w:ascii="Times New Roman" w:eastAsia="Times New Roman" w:hAnsi="Times New Roman" w:cs="Times New Roman"/>
          <w:i/>
          <w:sz w:val="24"/>
        </w:rPr>
        <w:t>hh</w:t>
      </w:r>
      <w:r>
        <w:rPr>
          <w:rFonts w:ascii="Times New Roman" w:eastAsia="Times New Roman" w:hAnsi="Times New Roman" w:cs="Times New Roman"/>
          <w:vertAlign w:val="subscript"/>
        </w:rPr>
        <w:t>0</w:t>
      </w:r>
      <w:r>
        <w:rPr>
          <w:rFonts w:ascii="Times New Roman" w:eastAsia="Times New Roman" w:hAnsi="Times New Roman" w:cs="Times New Roman"/>
          <w:sz w:val="14"/>
        </w:rPr>
        <w:t>0</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Segoe UI Symbol" w:eastAsia="Segoe UI Symbol" w:hAnsi="Segoe UI Symbol" w:cs="Segoe UI Symbol"/>
          <w:sz w:val="26"/>
        </w:rPr>
        <w:t></w:t>
      </w:r>
      <w:r>
        <w:rPr>
          <w:rFonts w:ascii="Times New Roman" w:eastAsia="Times New Roman" w:hAnsi="Times New Roman" w:cs="Times New Roman"/>
          <w:i/>
          <w:sz w:val="24"/>
        </w:rPr>
        <w:t>hh</w:t>
      </w:r>
      <w:r>
        <w:rPr>
          <w:rFonts w:ascii="Times New Roman" w:eastAsia="Times New Roman" w:hAnsi="Times New Roman" w:cs="Times New Roman"/>
          <w:sz w:val="14"/>
        </w:rPr>
        <w:t>1</w:t>
      </w:r>
      <w:r>
        <w:rPr>
          <w:rFonts w:ascii="Times New Roman" w:eastAsia="Times New Roman" w:hAnsi="Times New Roman" w:cs="Times New Roman"/>
          <w:i/>
          <w:sz w:val="24"/>
        </w:rPr>
        <w:t>zz</w:t>
      </w:r>
      <w:r>
        <w:rPr>
          <w:rFonts w:ascii="Segoe UI Symbol" w:eastAsia="Segoe UI Symbol" w:hAnsi="Segoe UI Symbol" w:cs="Segoe UI Symbol"/>
          <w:sz w:val="32"/>
        </w:rPr>
        <w:t></w:t>
      </w:r>
      <w:r>
        <w:rPr>
          <w:rFonts w:ascii="Segoe UI Symbol" w:eastAsia="Segoe UI Symbol" w:hAnsi="Segoe UI Symbol" w:cs="Segoe UI Symbol"/>
          <w:sz w:val="32"/>
        </w:rPr>
        <w:t></w:t>
      </w:r>
      <w:r>
        <w:rPr>
          <w:rFonts w:ascii="Segoe UI Symbol" w:eastAsia="Segoe UI Symbol" w:hAnsi="Segoe UI Symbol" w:cs="Segoe UI Symbol"/>
          <w:sz w:val="24"/>
        </w:rPr>
        <w:t></w:t>
      </w:r>
      <w:r>
        <w:rPr>
          <w:rFonts w:ascii="Times New Roman" w:eastAsia="Times New Roman" w:hAnsi="Times New Roman" w:cs="Times New Roman"/>
          <w:sz w:val="24"/>
        </w:rPr>
        <w:t>6</w:t>
      </w:r>
      <w:r>
        <w:rPr>
          <w:rFonts w:ascii="Segoe UI Symbol" w:eastAsia="Segoe UI Symbol" w:hAnsi="Segoe UI Symbol" w:cs="Segoe UI Symbol"/>
          <w:sz w:val="39"/>
          <w:u w:val="single" w:color="000000"/>
        </w:rPr>
        <w:t></w:t>
      </w:r>
      <w:r>
        <w:rPr>
          <w:rFonts w:ascii="Times New Roman" w:eastAsia="Times New Roman" w:hAnsi="Times New Roman" w:cs="Times New Roman"/>
          <w:sz w:val="24"/>
        </w:rPr>
        <w:t>1</w:t>
      </w:r>
      <w:r>
        <w:rPr>
          <w:rFonts w:ascii="Segoe UI Symbol" w:eastAsia="Segoe UI Symbol" w:hAnsi="Segoe UI Symbol" w:cs="Segoe UI Symbol"/>
          <w:sz w:val="24"/>
        </w:rPr>
        <w:t></w:t>
      </w:r>
      <w:r>
        <w:rPr>
          <w:rFonts w:ascii="Times New Roman" w:eastAsia="Times New Roman" w:hAnsi="Times New Roman" w:cs="Times New Roman"/>
          <w:i/>
          <w:sz w:val="24"/>
        </w:rPr>
        <w:t>R</w:t>
      </w:r>
      <w:r>
        <w:rPr>
          <w:rFonts w:ascii="Segoe UI Symbol" w:eastAsia="Segoe UI Symbol" w:hAnsi="Segoe UI Symbol" w:cs="Segoe UI Symbol"/>
          <w:sz w:val="26"/>
        </w:rPr>
        <w:t></w:t>
      </w:r>
      <w:r>
        <w:rPr>
          <w:rFonts w:ascii="Times New Roman" w:eastAsia="Times New Roman" w:hAnsi="Times New Roman" w:cs="Times New Roman"/>
          <w:sz w:val="14"/>
        </w:rPr>
        <w:t>2 2</w:t>
      </w:r>
      <w:r>
        <w:rPr>
          <w:rFonts w:ascii="Segoe UI Symbol" w:eastAsia="Segoe UI Symbol" w:hAnsi="Segoe UI Symbol" w:cs="Segoe UI Symbol"/>
          <w:sz w:val="39"/>
          <w:u w:val="single" w:color="000000"/>
        </w:rPr>
        <w:t></w:t>
      </w:r>
      <w:r>
        <w:rPr>
          <w:rFonts w:ascii="Segoe UI Symbol" w:eastAsia="Segoe UI Symbol" w:hAnsi="Segoe UI Symbol" w:cs="Segoe UI Symbol"/>
          <w:sz w:val="36"/>
        </w:rPr>
        <w:t></w:t>
      </w:r>
      <w:r>
        <w:rPr>
          <w:rFonts w:ascii="Times New Roman" w:eastAsia="Times New Roman" w:hAnsi="Times New Roman" w:cs="Times New Roman"/>
          <w:i/>
          <w:sz w:val="14"/>
        </w:rPr>
        <w:t>kn</w:t>
      </w:r>
      <w:r>
        <w:rPr>
          <w:rFonts w:ascii="Segoe UI Symbol" w:eastAsia="Segoe UI Symbol" w:hAnsi="Segoe UI Symbol" w:cs="Segoe UI Symbol"/>
          <w:sz w:val="14"/>
        </w:rPr>
        <w:t></w:t>
      </w:r>
      <w:r>
        <w:rPr>
          <w:rFonts w:ascii="Times New Roman" w:eastAsia="Times New Roman" w:hAnsi="Times New Roman" w:cs="Times New Roman"/>
          <w:sz w:val="14"/>
        </w:rPr>
        <w:t>1</w:t>
      </w:r>
      <w:r>
        <w:rPr>
          <w:rFonts w:ascii="Segoe UI Symbol" w:eastAsia="Segoe UI Symbol" w:hAnsi="Segoe UI Symbol" w:cs="Segoe UI Symbol"/>
          <w:sz w:val="32"/>
        </w:rPr>
        <w:t></w:t>
      </w:r>
      <w:r>
        <w:rPr>
          <w:rFonts w:ascii="Times New Roman" w:eastAsia="Times New Roman" w:hAnsi="Times New Roman" w:cs="Times New Roman"/>
          <w:i/>
          <w:sz w:val="24"/>
        </w:rPr>
        <w:t>z</w:t>
      </w:r>
      <w:r>
        <w:rPr>
          <w:rFonts w:ascii="Times New Roman" w:eastAsia="Times New Roman" w:hAnsi="Times New Roman" w:cs="Times New Roman"/>
          <w:i/>
          <w:sz w:val="14"/>
        </w:rPr>
        <w:t xml:space="preserve">k </w:t>
      </w:r>
      <w:r>
        <w:rPr>
          <w:rFonts w:ascii="Segoe UI Symbol" w:eastAsia="Segoe UI Symbol" w:hAnsi="Segoe UI Symbol" w:cs="Segoe UI Symbol"/>
          <w:sz w:val="24"/>
        </w:rPr>
        <w:t xml:space="preserve"> </w:t>
      </w:r>
      <w:r>
        <w:rPr>
          <w:rFonts w:ascii="Times New Roman" w:eastAsia="Times New Roman" w:hAnsi="Times New Roman" w:cs="Times New Roman"/>
          <w:i/>
          <w:sz w:val="24"/>
        </w:rPr>
        <w:t>z</w:t>
      </w:r>
      <w:r>
        <w:rPr>
          <w:rFonts w:ascii="Times New Roman" w:eastAsia="Times New Roman" w:hAnsi="Times New Roman" w:cs="Times New Roman"/>
          <w:i/>
          <w:sz w:val="14"/>
        </w:rPr>
        <w:t>k</w:t>
      </w:r>
      <w:r>
        <w:rPr>
          <w:rFonts w:ascii="Segoe UI Symbol" w:eastAsia="Segoe UI Symbol" w:hAnsi="Segoe UI Symbol" w:cs="Segoe UI Symbol"/>
          <w:sz w:val="14"/>
        </w:rPr>
        <w:t></w:t>
      </w:r>
      <w:r>
        <w:rPr>
          <w:rFonts w:ascii="Times New Roman" w:eastAsia="Times New Roman" w:hAnsi="Times New Roman" w:cs="Times New Roman"/>
          <w:sz w:val="14"/>
        </w:rPr>
        <w:t>1</w:t>
      </w:r>
      <w:r>
        <w:rPr>
          <w:rFonts w:ascii="Segoe UI Symbol" w:eastAsia="Segoe UI Symbol" w:hAnsi="Segoe UI Symbol" w:cs="Segoe UI Symbol"/>
          <w:sz w:val="32"/>
        </w:rPr>
        <w:t></w:t>
      </w:r>
      <w:r>
        <w:rPr>
          <w:rFonts w:ascii="Segoe UI Symbol" w:eastAsia="Segoe UI Symbol" w:hAnsi="Segoe UI Symbol" w:cs="Segoe UI Symbol"/>
          <w:sz w:val="24"/>
        </w:rPr>
        <w:t></w:t>
      </w:r>
      <w:r>
        <w:rPr>
          <w:rFonts w:ascii="Times New Roman" w:eastAsia="Times New Roman" w:hAnsi="Times New Roman" w:cs="Times New Roman"/>
          <w:sz w:val="24"/>
        </w:rPr>
        <w:t xml:space="preserve"> </w:t>
      </w:r>
    </w:p>
    <w:p w:rsidR="0052701D" w:rsidRDefault="00D40929">
      <w:pPr>
        <w:spacing w:after="4" w:line="258" w:lineRule="auto"/>
        <w:ind w:left="1383" w:hanging="10"/>
      </w:pPr>
      <w:r>
        <w:rPr>
          <w:rFonts w:ascii="Times New Roman" w:eastAsia="Times New Roman" w:hAnsi="Times New Roman" w:cs="Times New Roman"/>
          <w:sz w:val="14"/>
        </w:rPr>
        <w:t xml:space="preserve">2 </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p>
    <w:p w:rsidR="0052701D" w:rsidRDefault="00D40929">
      <w:pPr>
        <w:spacing w:after="388" w:line="265" w:lineRule="auto"/>
        <w:ind w:left="46" w:right="808" w:hanging="10"/>
        <w:jc w:val="center"/>
      </w:pPr>
      <w:r>
        <w:rPr>
          <w:rFonts w:ascii="Times New Roman" w:eastAsia="Times New Roman" w:hAnsi="Times New Roman" w:cs="Times New Roman"/>
          <w:sz w:val="14"/>
        </w:rPr>
        <w:t>1</w:t>
      </w:r>
    </w:p>
    <w:p w:rsidR="0052701D" w:rsidRDefault="00D40929">
      <w:pPr>
        <w:spacing w:after="61" w:line="258" w:lineRule="auto"/>
        <w:ind w:left="33" w:hanging="10"/>
      </w:pPr>
      <w:r>
        <w:rPr>
          <w:rFonts w:ascii="Segoe UI Symbol" w:eastAsia="Segoe UI Symbol" w:hAnsi="Segoe UI Symbol" w:cs="Segoe UI Symbol"/>
          <w:sz w:val="24"/>
        </w:rPr>
        <w:t></w:t>
      </w:r>
    </w:p>
    <w:p w:rsidR="0052701D" w:rsidRDefault="00D40929">
      <w:pPr>
        <w:spacing w:after="4" w:line="258" w:lineRule="auto"/>
        <w:ind w:left="198" w:hanging="10"/>
      </w:pPr>
      <w:r>
        <w:rPr>
          <w:noProof/>
        </w:rPr>
        <mc:AlternateContent>
          <mc:Choice Requires="wpg">
            <w:drawing>
              <wp:anchor distT="0" distB="0" distL="114300" distR="114300" simplePos="0" relativeHeight="251726848" behindDoc="0" locked="0" layoutInCell="1" allowOverlap="1">
                <wp:simplePos x="0" y="0"/>
                <wp:positionH relativeFrom="column">
                  <wp:posOffset>1021904</wp:posOffset>
                </wp:positionH>
                <wp:positionV relativeFrom="paragraph">
                  <wp:posOffset>13060</wp:posOffset>
                </wp:positionV>
                <wp:extent cx="4540610" cy="6147"/>
                <wp:effectExtent l="0" t="0" r="0" b="0"/>
                <wp:wrapNone/>
                <wp:docPr id="920924" name="Group 920924"/>
                <wp:cNvGraphicFramePr/>
                <a:graphic xmlns:a="http://schemas.openxmlformats.org/drawingml/2006/main">
                  <a:graphicData uri="http://schemas.microsoft.com/office/word/2010/wordprocessingGroup">
                    <wpg:wgp>
                      <wpg:cNvGrpSpPr/>
                      <wpg:grpSpPr>
                        <a:xfrm>
                          <a:off x="0" y="0"/>
                          <a:ext cx="4540610" cy="6147"/>
                          <a:chOff x="0" y="0"/>
                          <a:chExt cx="4540610" cy="6147"/>
                        </a:xfrm>
                      </wpg:grpSpPr>
                      <wps:wsp>
                        <wps:cNvPr id="11454" name="Shape 11454"/>
                        <wps:cNvSpPr/>
                        <wps:spPr>
                          <a:xfrm>
                            <a:off x="0" y="0"/>
                            <a:ext cx="1165203" cy="0"/>
                          </a:xfrm>
                          <a:custGeom>
                            <a:avLst/>
                            <a:gdLst/>
                            <a:ahLst/>
                            <a:cxnLst/>
                            <a:rect l="0" t="0" r="0" b="0"/>
                            <a:pathLst>
                              <a:path w="1165203">
                                <a:moveTo>
                                  <a:pt x="0" y="0"/>
                                </a:moveTo>
                                <a:lnTo>
                                  <a:pt x="1165203" y="0"/>
                                </a:lnTo>
                              </a:path>
                            </a:pathLst>
                          </a:custGeom>
                          <a:ln w="6147" cap="flat">
                            <a:round/>
                          </a:ln>
                        </wps:spPr>
                        <wps:style>
                          <a:lnRef idx="1">
                            <a:srgbClr val="000000"/>
                          </a:lnRef>
                          <a:fillRef idx="0">
                            <a:srgbClr val="000000">
                              <a:alpha val="0"/>
                            </a:srgbClr>
                          </a:fillRef>
                          <a:effectRef idx="0">
                            <a:scrgbClr r="0" g="0" b="0"/>
                          </a:effectRef>
                          <a:fontRef idx="none"/>
                        </wps:style>
                        <wps:bodyPr/>
                      </wps:wsp>
                      <wps:wsp>
                        <wps:cNvPr id="11457" name="Shape 11457"/>
                        <wps:cNvSpPr/>
                        <wps:spPr>
                          <a:xfrm>
                            <a:off x="1319621" y="0"/>
                            <a:ext cx="375411" cy="0"/>
                          </a:xfrm>
                          <a:custGeom>
                            <a:avLst/>
                            <a:gdLst/>
                            <a:ahLst/>
                            <a:cxnLst/>
                            <a:rect l="0" t="0" r="0" b="0"/>
                            <a:pathLst>
                              <a:path w="375411">
                                <a:moveTo>
                                  <a:pt x="0" y="0"/>
                                </a:moveTo>
                                <a:lnTo>
                                  <a:pt x="375411" y="0"/>
                                </a:lnTo>
                              </a:path>
                            </a:pathLst>
                          </a:custGeom>
                          <a:ln w="6147" cap="flat">
                            <a:round/>
                          </a:ln>
                        </wps:spPr>
                        <wps:style>
                          <a:lnRef idx="1">
                            <a:srgbClr val="000000"/>
                          </a:lnRef>
                          <a:fillRef idx="0">
                            <a:srgbClr val="000000">
                              <a:alpha val="0"/>
                            </a:srgbClr>
                          </a:fillRef>
                          <a:effectRef idx="0">
                            <a:scrgbClr r="0" g="0" b="0"/>
                          </a:effectRef>
                          <a:fontRef idx="none"/>
                        </wps:style>
                        <wps:bodyPr/>
                      </wps:wsp>
                      <wps:wsp>
                        <wps:cNvPr id="11460" name="Shape 11460"/>
                        <wps:cNvSpPr/>
                        <wps:spPr>
                          <a:xfrm>
                            <a:off x="1787555" y="0"/>
                            <a:ext cx="647919" cy="0"/>
                          </a:xfrm>
                          <a:custGeom>
                            <a:avLst/>
                            <a:gdLst/>
                            <a:ahLst/>
                            <a:cxnLst/>
                            <a:rect l="0" t="0" r="0" b="0"/>
                            <a:pathLst>
                              <a:path w="647919">
                                <a:moveTo>
                                  <a:pt x="0" y="0"/>
                                </a:moveTo>
                                <a:lnTo>
                                  <a:pt x="647919" y="0"/>
                                </a:lnTo>
                              </a:path>
                            </a:pathLst>
                          </a:custGeom>
                          <a:ln w="6147" cap="flat">
                            <a:round/>
                          </a:ln>
                        </wps:spPr>
                        <wps:style>
                          <a:lnRef idx="1">
                            <a:srgbClr val="000000"/>
                          </a:lnRef>
                          <a:fillRef idx="0">
                            <a:srgbClr val="000000">
                              <a:alpha val="0"/>
                            </a:srgbClr>
                          </a:fillRef>
                          <a:effectRef idx="0">
                            <a:scrgbClr r="0" g="0" b="0"/>
                          </a:effectRef>
                          <a:fontRef idx="none"/>
                        </wps:style>
                        <wps:bodyPr/>
                      </wps:wsp>
                      <wps:wsp>
                        <wps:cNvPr id="11465" name="Shape 11465"/>
                        <wps:cNvSpPr/>
                        <wps:spPr>
                          <a:xfrm>
                            <a:off x="2587486" y="0"/>
                            <a:ext cx="724874" cy="0"/>
                          </a:xfrm>
                          <a:custGeom>
                            <a:avLst/>
                            <a:gdLst/>
                            <a:ahLst/>
                            <a:cxnLst/>
                            <a:rect l="0" t="0" r="0" b="0"/>
                            <a:pathLst>
                              <a:path w="724874">
                                <a:moveTo>
                                  <a:pt x="0" y="0"/>
                                </a:moveTo>
                                <a:lnTo>
                                  <a:pt x="724874" y="0"/>
                                </a:lnTo>
                              </a:path>
                            </a:pathLst>
                          </a:custGeom>
                          <a:ln w="6147" cap="flat">
                            <a:round/>
                          </a:ln>
                        </wps:spPr>
                        <wps:style>
                          <a:lnRef idx="1">
                            <a:srgbClr val="000000"/>
                          </a:lnRef>
                          <a:fillRef idx="0">
                            <a:srgbClr val="000000">
                              <a:alpha val="0"/>
                            </a:srgbClr>
                          </a:fillRef>
                          <a:effectRef idx="0">
                            <a:scrgbClr r="0" g="0" b="0"/>
                          </a:effectRef>
                          <a:fontRef idx="none"/>
                        </wps:style>
                        <wps:bodyPr/>
                      </wps:wsp>
                      <wps:wsp>
                        <wps:cNvPr id="11470" name="Shape 11470"/>
                        <wps:cNvSpPr/>
                        <wps:spPr>
                          <a:xfrm>
                            <a:off x="3530696" y="0"/>
                            <a:ext cx="1009913" cy="0"/>
                          </a:xfrm>
                          <a:custGeom>
                            <a:avLst/>
                            <a:gdLst/>
                            <a:ahLst/>
                            <a:cxnLst/>
                            <a:rect l="0" t="0" r="0" b="0"/>
                            <a:pathLst>
                              <a:path w="1009913">
                                <a:moveTo>
                                  <a:pt x="0" y="0"/>
                                </a:moveTo>
                                <a:lnTo>
                                  <a:pt x="1009913" y="0"/>
                                </a:lnTo>
                              </a:path>
                            </a:pathLst>
                          </a:custGeom>
                          <a:ln w="6147"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20924" style="width:357.528pt;height:0.483977pt;position:absolute;z-index:1480;mso-position-horizontal-relative:text;mso-position-horizontal:absolute;margin-left:80.4649pt;mso-position-vertical-relative:text;margin-top:1.02832pt;" coordsize="45406,61">
                <v:shape id="Shape 11454" style="position:absolute;width:11652;height:0;left:0;top:0;" coordsize="1165203,0" path="m0,0l1165203,0">
                  <v:stroke weight="0.483977pt" endcap="flat" joinstyle="round" on="true" color="#000000"/>
                  <v:fill on="false" color="#000000" opacity="0"/>
                </v:shape>
                <v:shape id="Shape 11457" style="position:absolute;width:3754;height:0;left:13196;top:0;" coordsize="375411,0" path="m0,0l375411,0">
                  <v:stroke weight="0.483977pt" endcap="flat" joinstyle="round" on="true" color="#000000"/>
                  <v:fill on="false" color="#000000" opacity="0"/>
                </v:shape>
                <v:shape id="Shape 11460" style="position:absolute;width:6479;height:0;left:17875;top:0;" coordsize="647919,0" path="m0,0l647919,0">
                  <v:stroke weight="0.483977pt" endcap="flat" joinstyle="round" on="true" color="#000000"/>
                  <v:fill on="false" color="#000000" opacity="0"/>
                </v:shape>
                <v:shape id="Shape 11465" style="position:absolute;width:7248;height:0;left:25874;top:0;" coordsize="724874,0" path="m0,0l724874,0">
                  <v:stroke weight="0.483977pt" endcap="flat" joinstyle="round" on="true" color="#000000"/>
                  <v:fill on="false" color="#000000" opacity="0"/>
                </v:shape>
                <v:shape id="Shape 11470" style="position:absolute;width:10099;height:0;left:35306;top:0;" coordsize="1009913,0" path="m0,0l1009913,0">
                  <v:stroke weight="0.483977pt" endcap="flat" joinstyle="round" on="true" color="#000000"/>
                  <v:fill on="false" color="#000000" opacity="0"/>
                </v:shape>
              </v:group>
            </w:pict>
          </mc:Fallback>
        </mc:AlternateConten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37"/>
          <w:vertAlign w:val="subscript"/>
        </w:rPr>
        <w:t></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z</w:t>
      </w:r>
      <w:r>
        <w:rPr>
          <w:rFonts w:ascii="Segoe UI Symbol" w:eastAsia="Segoe UI Symbol" w:hAnsi="Segoe UI Symbol" w:cs="Segoe UI Symbol"/>
          <w:sz w:val="32"/>
        </w:rPr>
        <w:t></w:t>
      </w:r>
      <w:r>
        <w:rPr>
          <w:rFonts w:ascii="Segoe UI Symbol" w:eastAsia="Segoe UI Symbol" w:hAnsi="Segoe UI Symbol" w:cs="Segoe UI Symbol"/>
          <w:sz w:val="24"/>
        </w:rPr>
        <w:t></w:t>
      </w:r>
      <w:r>
        <w:rPr>
          <w:rFonts w:ascii="Segoe UI Symbol" w:eastAsia="Segoe UI Symbol" w:hAnsi="Segoe UI Symbol" w:cs="Segoe UI Symbol"/>
          <w:sz w:val="37"/>
          <w:vertAlign w:val="subscript"/>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 xml:space="preserve"> </w:t>
      </w:r>
      <w:r>
        <w:rPr>
          <w:rFonts w:ascii="Times New Roman" w:eastAsia="Times New Roman" w:hAnsi="Times New Roman" w:cs="Times New Roman"/>
          <w:sz w:val="24"/>
        </w:rPr>
        <w:t>2</w:t>
      </w:r>
      <w:r>
        <w:rPr>
          <w:rFonts w:ascii="Segoe UI Symbol" w:eastAsia="Segoe UI Symbol" w:hAnsi="Segoe UI Symbol" w:cs="Segoe UI Symbol"/>
          <w:sz w:val="32"/>
        </w:rPr>
        <w:t></w:t>
      </w:r>
      <w:r>
        <w:rPr>
          <w:rFonts w:ascii="Segoe UI Symbol" w:eastAsia="Segoe UI Symbol" w:hAnsi="Segoe UI Symbol" w:cs="Segoe UI Symbol"/>
          <w:sz w:val="26"/>
        </w:rPr>
        <w:t></w:t>
      </w:r>
      <w:r>
        <w:rPr>
          <w:rFonts w:ascii="Times New Roman" w:eastAsia="Times New Roman" w:hAnsi="Times New Roman" w:cs="Times New Roman"/>
          <w:i/>
          <w:sz w:val="24"/>
        </w:rPr>
        <w:t xml:space="preserve">h </w:t>
      </w:r>
      <w:r>
        <w:rPr>
          <w:rFonts w:ascii="Segoe UI Symbol" w:eastAsia="Segoe UI Symbol" w:hAnsi="Segoe UI Symbol" w:cs="Segoe UI Symbol"/>
          <w:sz w:val="32"/>
        </w:rPr>
        <w:t></w:t>
      </w:r>
      <w:r>
        <w:rPr>
          <w:rFonts w:ascii="Times New Roman" w:eastAsia="Times New Roman" w:hAnsi="Times New Roman" w:cs="Times New Roman"/>
          <w:sz w:val="14"/>
        </w:rPr>
        <w:t>2</w:t>
      </w:r>
      <w:r>
        <w:rPr>
          <w:rFonts w:ascii="Segoe UI Symbol" w:eastAsia="Segoe UI Symbol" w:hAnsi="Segoe UI Symbol" w:cs="Segoe UI Symbol"/>
          <w:sz w:val="32"/>
        </w:rPr>
        <w:t></w:t>
      </w:r>
      <w:r>
        <w:rPr>
          <w:rFonts w:ascii="Times New Roman" w:eastAsia="Times New Roman" w:hAnsi="Times New Roman" w:cs="Times New Roman"/>
          <w:i/>
          <w:sz w:val="24"/>
        </w:rPr>
        <w:t>hh</w:t>
      </w:r>
      <w:r>
        <w:rPr>
          <w:rFonts w:ascii="Times New Roman" w:eastAsia="Times New Roman" w:hAnsi="Times New Roman" w:cs="Times New Roman"/>
          <w:vertAlign w:val="subscript"/>
        </w:rPr>
        <w:t>0</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i/>
          <w:sz w:val="24"/>
        </w:rPr>
        <w:t>h z</w:t>
      </w:r>
      <w:r>
        <w:rPr>
          <w:rFonts w:ascii="Segoe UI Symbol" w:eastAsia="Segoe UI Symbol" w:hAnsi="Segoe UI Symbol" w:cs="Segoe UI Symbol"/>
          <w:sz w:val="32"/>
        </w:rPr>
        <w:t></w:t>
      </w:r>
      <w:r>
        <w:rPr>
          <w:rFonts w:ascii="Times New Roman" w:eastAsia="Times New Roman" w:hAnsi="Times New Roman" w:cs="Times New Roman"/>
          <w:sz w:val="14"/>
        </w:rPr>
        <w:t xml:space="preserve">2 </w:t>
      </w:r>
      <w:r>
        <w:rPr>
          <w:rFonts w:ascii="Segoe UI Symbol" w:eastAsia="Segoe UI Symbol" w:hAnsi="Segoe UI Symbol" w:cs="Segoe UI Symbol"/>
          <w:sz w:val="24"/>
        </w:rPr>
        <w:t xml:space="preserve"> </w:t>
      </w:r>
      <w:r>
        <w:rPr>
          <w:rFonts w:ascii="Segoe UI Symbol" w:eastAsia="Segoe UI Symbol" w:hAnsi="Segoe UI Symbol" w:cs="Segoe UI Symbol"/>
          <w:sz w:val="32"/>
        </w:rPr>
        <w:t xml:space="preserve"> </w:t>
      </w:r>
      <w:r>
        <w:rPr>
          <w:rFonts w:ascii="Times New Roman" w:eastAsia="Times New Roman" w:hAnsi="Times New Roman" w:cs="Times New Roman"/>
          <w:i/>
          <w:sz w:val="24"/>
        </w:rPr>
        <w:t>h</w:t>
      </w:r>
      <w:r>
        <w:rPr>
          <w:rFonts w:ascii="Times New Roman" w:eastAsia="Times New Roman" w:hAnsi="Times New Roman" w:cs="Times New Roman"/>
          <w:sz w:val="24"/>
        </w:rPr>
        <w:t>1</w:t>
      </w:r>
      <w:r>
        <w:rPr>
          <w:rFonts w:ascii="Segoe UI Symbol" w:eastAsia="Segoe UI Symbol" w:hAnsi="Segoe UI Symbol" w:cs="Segoe UI Symbol"/>
          <w:sz w:val="32"/>
        </w:rPr>
        <w:t></w:t>
      </w:r>
      <w:r>
        <w:rPr>
          <w:rFonts w:ascii="Times New Roman" w:eastAsia="Times New Roman" w:hAnsi="Times New Roman" w:cs="Times New Roman"/>
          <w:sz w:val="14"/>
        </w:rPr>
        <w:t xml:space="preserve">2 </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Times New Roman" w:eastAsia="Times New Roman" w:hAnsi="Times New Roman" w:cs="Times New Roman"/>
          <w:sz w:val="24"/>
        </w:rPr>
        <w:t>1</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z</w:t>
      </w:r>
      <w:r>
        <w:rPr>
          <w:rFonts w:ascii="Segoe UI Symbol" w:eastAsia="Segoe UI Symbol" w:hAnsi="Segoe UI Symbol" w:cs="Segoe UI Symbol"/>
          <w:sz w:val="32"/>
        </w:rPr>
        <w:t></w:t>
      </w:r>
      <w:r>
        <w:rPr>
          <w:rFonts w:ascii="Segoe UI Symbol" w:eastAsia="Segoe UI Symbol" w:hAnsi="Segoe UI Symbol" w:cs="Segoe UI Symbol"/>
          <w:sz w:val="24"/>
        </w:rPr>
        <w:t xml:space="preserve"> </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0</w:t>
      </w:r>
      <w:r>
        <w:rPr>
          <w:rFonts w:ascii="Times New Roman" w:eastAsia="Times New Roman" w:hAnsi="Times New Roman" w:cs="Times New Roman"/>
          <w:i/>
          <w:sz w:val="24"/>
        </w:rPr>
        <w:t>z</w:t>
      </w:r>
      <w:r>
        <w:rPr>
          <w:rFonts w:ascii="Segoe UI Symbol" w:eastAsia="Segoe UI Symbol" w:hAnsi="Segoe UI Symbol" w:cs="Segoe UI Symbol"/>
          <w:sz w:val="24"/>
        </w:rPr>
        <w:t></w:t>
      </w:r>
      <w:r>
        <w:rPr>
          <w:rFonts w:ascii="Segoe UI Symbol" w:eastAsia="Segoe UI Symbol" w:hAnsi="Segoe UI Symbol" w:cs="Segoe UI Symbol"/>
          <w:sz w:val="32"/>
        </w:rPr>
        <w:t></w:t>
      </w:r>
      <w:r>
        <w:rPr>
          <w:rFonts w:ascii="Segoe UI Symbol" w:eastAsia="Segoe UI Symbol" w:hAnsi="Segoe UI Symbol" w:cs="Segoe UI Symbol"/>
          <w:sz w:val="26"/>
        </w:rPr>
        <w:t></w:t>
      </w:r>
      <w:r>
        <w:rPr>
          <w:rFonts w:ascii="Segoe UI Symbol" w:eastAsia="Segoe UI Symbol" w:hAnsi="Segoe UI Symbol" w:cs="Segoe UI Symbol"/>
          <w:sz w:val="26"/>
        </w:rPr>
        <w:t></w:t>
      </w:r>
      <w:r>
        <w:rPr>
          <w:rFonts w:ascii="Times New Roman" w:eastAsia="Times New Roman" w:hAnsi="Times New Roman" w:cs="Times New Roman"/>
          <w:i/>
          <w:sz w:val="24"/>
        </w:rPr>
        <w:t>hh</w:t>
      </w:r>
      <w:r>
        <w:rPr>
          <w:rFonts w:ascii="Times New Roman" w:eastAsia="Times New Roman" w:hAnsi="Times New Roman" w:cs="Times New Roman"/>
          <w:vertAlign w:val="subscript"/>
        </w:rPr>
        <w:t>1</w:t>
      </w:r>
      <w:r>
        <w:rPr>
          <w:rFonts w:ascii="Times New Roman" w:eastAsia="Times New Roman" w:hAnsi="Times New Roman" w:cs="Times New Roman"/>
          <w:sz w:val="14"/>
        </w:rPr>
        <w:t>1</w:t>
      </w:r>
      <w:r>
        <w:rPr>
          <w:rFonts w:ascii="Segoe UI Symbol" w:eastAsia="Segoe UI Symbol" w:hAnsi="Segoe UI Symbol" w:cs="Segoe UI Symbol"/>
          <w:sz w:val="32"/>
        </w:rPr>
        <w:t></w:t>
      </w:r>
      <w:r>
        <w:rPr>
          <w:rFonts w:ascii="Times New Roman" w:eastAsia="Times New Roman" w:hAnsi="Times New Roman" w:cs="Times New Roman"/>
          <w:i/>
          <w:sz w:val="24"/>
        </w:rPr>
        <w:t>z</w:t>
      </w:r>
      <w:r>
        <w:rPr>
          <w:rFonts w:ascii="Segoe UI Symbol" w:eastAsia="Segoe UI Symbol" w:hAnsi="Segoe UI Symbol" w:cs="Segoe UI Symbol"/>
          <w:sz w:val="32"/>
        </w:rPr>
        <w:t></w:t>
      </w:r>
      <w:r>
        <w:rPr>
          <w:rFonts w:ascii="Times New Roman" w:eastAsia="Times New Roman" w:hAnsi="Times New Roman" w:cs="Times New Roman"/>
          <w:sz w:val="14"/>
        </w:rPr>
        <w:t xml:space="preserve">2 </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 xml:space="preserve"> </w:t>
      </w:r>
      <w:r>
        <w:rPr>
          <w:rFonts w:ascii="Segoe UI Symbol" w:eastAsia="Segoe UI Symbol" w:hAnsi="Segoe UI Symbol" w:cs="Segoe UI Symbol"/>
          <w:sz w:val="32"/>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Segoe UI Symbol" w:eastAsia="Segoe UI Symbol" w:hAnsi="Segoe UI Symbol" w:cs="Segoe UI Symbol"/>
          <w:sz w:val="32"/>
        </w:rPr>
        <w:t></w:t>
      </w:r>
      <w:r>
        <w:rPr>
          <w:rFonts w:ascii="Times New Roman" w:eastAsia="Times New Roman" w:hAnsi="Times New Roman" w:cs="Times New Roman"/>
          <w:sz w:val="14"/>
        </w:rPr>
        <w:t>2</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24"/>
        </w:rPr>
        <w:t>1</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z</w:t>
      </w:r>
      <w:r>
        <w:rPr>
          <w:rFonts w:ascii="Segoe UI Symbol" w:eastAsia="Segoe UI Symbol" w:hAnsi="Segoe UI Symbol" w:cs="Segoe UI Symbol"/>
          <w:sz w:val="32"/>
        </w:rPr>
        <w:t></w:t>
      </w:r>
      <w:r>
        <w:rPr>
          <w:rFonts w:ascii="Segoe UI Symbol" w:eastAsia="Segoe UI Symbol" w:hAnsi="Segoe UI Symbol" w:cs="Segoe UI Symbol"/>
          <w:sz w:val="24"/>
        </w:rPr>
        <w:t></w:t>
      </w:r>
      <w:r>
        <w:rPr>
          <w:rFonts w:ascii="Times New Roman" w:eastAsia="Times New Roman" w:hAnsi="Times New Roman" w:cs="Times New Roman"/>
          <w:sz w:val="24"/>
        </w:rPr>
        <w:t xml:space="preserve"> </w:t>
      </w:r>
    </w:p>
    <w:p w:rsidR="0052701D" w:rsidRDefault="00D40929">
      <w:pPr>
        <w:numPr>
          <w:ilvl w:val="3"/>
          <w:numId w:val="10"/>
        </w:numPr>
        <w:spacing w:after="393"/>
        <w:ind w:hanging="1242"/>
      </w:pPr>
      <w:r>
        <w:rPr>
          <w:rFonts w:ascii="Times New Roman" w:eastAsia="Times New Roman" w:hAnsi="Times New Roman" w:cs="Times New Roman"/>
          <w:sz w:val="14"/>
        </w:rPr>
        <w:t>0</w:t>
      </w:r>
      <w:r>
        <w:rPr>
          <w:rFonts w:ascii="Times New Roman" w:eastAsia="Times New Roman" w:hAnsi="Times New Roman" w:cs="Times New Roman"/>
          <w:sz w:val="14"/>
        </w:rPr>
        <w:tab/>
        <w:t>1</w:t>
      </w:r>
      <w:r>
        <w:rPr>
          <w:rFonts w:ascii="Times New Roman" w:eastAsia="Times New Roman" w:hAnsi="Times New Roman" w:cs="Times New Roman"/>
          <w:sz w:val="14"/>
        </w:rPr>
        <w:tab/>
      </w:r>
      <w:r>
        <w:rPr>
          <w:rFonts w:ascii="Segoe UI Symbol" w:eastAsia="Segoe UI Symbol" w:hAnsi="Segoe UI Symbol" w:cs="Segoe UI Symbol"/>
          <w:sz w:val="26"/>
        </w:rPr>
        <w:t></w:t>
      </w:r>
      <w:r>
        <w:rPr>
          <w:rFonts w:ascii="Times New Roman" w:eastAsia="Times New Roman" w:hAnsi="Times New Roman" w:cs="Times New Roman"/>
          <w:sz w:val="14"/>
        </w:rPr>
        <w:t xml:space="preserve">1 </w:t>
      </w:r>
      <w:r>
        <w:rPr>
          <w:rFonts w:ascii="Segoe UI Symbol" w:eastAsia="Segoe UI Symbol" w:hAnsi="Segoe UI Symbol" w:cs="Segoe UI Symbol"/>
          <w:sz w:val="24"/>
        </w:rPr>
        <w:t></w:t>
      </w:r>
      <w:r>
        <w:rPr>
          <w:rFonts w:ascii="Segoe UI Symbol" w:eastAsia="Segoe UI Symbol" w:hAnsi="Segoe UI Symbol" w:cs="Segoe UI Symbol"/>
          <w:sz w:val="24"/>
        </w:rPr>
        <w:t></w:t>
      </w:r>
    </w:p>
    <w:p w:rsidR="0052701D" w:rsidRDefault="00D40929">
      <w:pPr>
        <w:tabs>
          <w:tab w:val="center" w:pos="1218"/>
          <w:tab w:val="center" w:pos="3284"/>
          <w:tab w:val="center" w:pos="5308"/>
          <w:tab w:val="center" w:pos="7858"/>
        </w:tabs>
        <w:spacing w:after="3"/>
      </w:pPr>
      <w:r>
        <w:rPr>
          <w:noProof/>
        </w:rPr>
        <mc:AlternateContent>
          <mc:Choice Requires="wpg">
            <w:drawing>
              <wp:anchor distT="0" distB="0" distL="114300" distR="114300" simplePos="0" relativeHeight="251727872" behindDoc="0" locked="0" layoutInCell="1" allowOverlap="1">
                <wp:simplePos x="0" y="0"/>
                <wp:positionH relativeFrom="column">
                  <wp:posOffset>143932</wp:posOffset>
                </wp:positionH>
                <wp:positionV relativeFrom="paragraph">
                  <wp:posOffset>115571</wp:posOffset>
                </wp:positionV>
                <wp:extent cx="3819510" cy="6315"/>
                <wp:effectExtent l="0" t="0" r="0" b="0"/>
                <wp:wrapNone/>
                <wp:docPr id="920925" name="Group 920925"/>
                <wp:cNvGraphicFramePr/>
                <a:graphic xmlns:a="http://schemas.openxmlformats.org/drawingml/2006/main">
                  <a:graphicData uri="http://schemas.microsoft.com/office/word/2010/wordprocessingGroup">
                    <wpg:wgp>
                      <wpg:cNvGrpSpPr/>
                      <wpg:grpSpPr>
                        <a:xfrm>
                          <a:off x="0" y="0"/>
                          <a:ext cx="3819510" cy="6315"/>
                          <a:chOff x="0" y="0"/>
                          <a:chExt cx="3819510" cy="6315"/>
                        </a:xfrm>
                      </wpg:grpSpPr>
                      <wps:wsp>
                        <wps:cNvPr id="11560" name="Shape 11560"/>
                        <wps:cNvSpPr/>
                        <wps:spPr>
                          <a:xfrm>
                            <a:off x="0" y="0"/>
                            <a:ext cx="1245981" cy="0"/>
                          </a:xfrm>
                          <a:custGeom>
                            <a:avLst/>
                            <a:gdLst/>
                            <a:ahLst/>
                            <a:cxnLst/>
                            <a:rect l="0" t="0" r="0" b="0"/>
                            <a:pathLst>
                              <a:path w="1245981">
                                <a:moveTo>
                                  <a:pt x="0" y="0"/>
                                </a:moveTo>
                                <a:lnTo>
                                  <a:pt x="1245981" y="0"/>
                                </a:lnTo>
                              </a:path>
                            </a:pathLst>
                          </a:custGeom>
                          <a:ln w="6315" cap="flat">
                            <a:round/>
                          </a:ln>
                        </wps:spPr>
                        <wps:style>
                          <a:lnRef idx="1">
                            <a:srgbClr val="000000"/>
                          </a:lnRef>
                          <a:fillRef idx="0">
                            <a:srgbClr val="000000">
                              <a:alpha val="0"/>
                            </a:srgbClr>
                          </a:fillRef>
                          <a:effectRef idx="0">
                            <a:scrgbClr r="0" g="0" b="0"/>
                          </a:effectRef>
                          <a:fontRef idx="none"/>
                        </wps:style>
                        <wps:bodyPr/>
                      </wps:wsp>
                      <wps:wsp>
                        <wps:cNvPr id="11565" name="Shape 11565"/>
                        <wps:cNvSpPr/>
                        <wps:spPr>
                          <a:xfrm>
                            <a:off x="1401227" y="0"/>
                            <a:ext cx="1096906" cy="0"/>
                          </a:xfrm>
                          <a:custGeom>
                            <a:avLst/>
                            <a:gdLst/>
                            <a:ahLst/>
                            <a:cxnLst/>
                            <a:rect l="0" t="0" r="0" b="0"/>
                            <a:pathLst>
                              <a:path w="1096906">
                                <a:moveTo>
                                  <a:pt x="0" y="0"/>
                                </a:moveTo>
                                <a:lnTo>
                                  <a:pt x="1096906" y="0"/>
                                </a:lnTo>
                              </a:path>
                            </a:pathLst>
                          </a:custGeom>
                          <a:ln w="6315" cap="flat">
                            <a:round/>
                          </a:ln>
                        </wps:spPr>
                        <wps:style>
                          <a:lnRef idx="1">
                            <a:srgbClr val="000000"/>
                          </a:lnRef>
                          <a:fillRef idx="0">
                            <a:srgbClr val="000000">
                              <a:alpha val="0"/>
                            </a:srgbClr>
                          </a:fillRef>
                          <a:effectRef idx="0">
                            <a:scrgbClr r="0" g="0" b="0"/>
                          </a:effectRef>
                          <a:fontRef idx="none"/>
                        </wps:style>
                        <wps:bodyPr/>
                      </wps:wsp>
                      <wps:wsp>
                        <wps:cNvPr id="11570" name="Shape 11570"/>
                        <wps:cNvSpPr/>
                        <wps:spPr>
                          <a:xfrm>
                            <a:off x="2651344" y="0"/>
                            <a:ext cx="1168166" cy="0"/>
                          </a:xfrm>
                          <a:custGeom>
                            <a:avLst/>
                            <a:gdLst/>
                            <a:ahLst/>
                            <a:cxnLst/>
                            <a:rect l="0" t="0" r="0" b="0"/>
                            <a:pathLst>
                              <a:path w="1168166">
                                <a:moveTo>
                                  <a:pt x="0" y="0"/>
                                </a:moveTo>
                                <a:lnTo>
                                  <a:pt x="1168166" y="0"/>
                                </a:lnTo>
                              </a:path>
                            </a:pathLst>
                          </a:custGeom>
                          <a:ln w="6315"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20925" style="width:300.749pt;height:0.497232pt;position:absolute;z-index:1585;mso-position-horizontal-relative:text;mso-position-horizontal:absolute;margin-left:11.3332pt;mso-position-vertical-relative:text;margin-top:9.1001pt;" coordsize="38195,63">
                <v:shape id="Shape 11560" style="position:absolute;width:12459;height:0;left:0;top:0;" coordsize="1245981,0" path="m0,0l1245981,0">
                  <v:stroke weight="0.497232pt" endcap="flat" joinstyle="round" on="true" color="#000000"/>
                  <v:fill on="false" color="#000000" opacity="0"/>
                </v:shape>
                <v:shape id="Shape 11565" style="position:absolute;width:10969;height:0;left:14012;top:0;" coordsize="1096906,0" path="m0,0l1096906,0">
                  <v:stroke weight="0.497232pt" endcap="flat" joinstyle="round" on="true" color="#000000"/>
                  <v:fill on="false" color="#000000" opacity="0"/>
                </v:shape>
                <v:shape id="Shape 11570" style="position:absolute;width:11681;height:0;left:26513;top:0;" coordsize="1168166,0" path="m0,0l1168166,0">
                  <v:stroke weight="0.497232pt" endcap="flat" joinstyle="round" on="true" color="#000000"/>
                  <v:fill on="false" color="#000000" opacity="0"/>
                </v:shape>
              </v:group>
            </w:pict>
          </mc:Fallback>
        </mc:AlternateContent>
      </w:r>
      <w:r>
        <w:rPr>
          <w:rFonts w:ascii="Segoe UI Symbol" w:eastAsia="Segoe UI Symbol" w:hAnsi="Segoe UI Symbol" w:cs="Segoe UI Symbol"/>
          <w:sz w:val="25"/>
        </w:rPr>
        <w:t></w:t>
      </w:r>
      <w:r>
        <w:rPr>
          <w:rFonts w:ascii="Segoe UI Symbol" w:eastAsia="Segoe UI Symbol" w:hAnsi="Segoe UI Symbol" w:cs="Segoe UI Symbol"/>
          <w:sz w:val="25"/>
        </w:rPr>
        <w:tab/>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 xml:space="preserve"> </w:t>
      </w:r>
      <w:r>
        <w:rPr>
          <w:rFonts w:ascii="Times New Roman" w:eastAsia="Times New Roman" w:hAnsi="Times New Roman" w:cs="Times New Roman"/>
          <w:sz w:val="25"/>
        </w:rPr>
        <w:t>2</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Times New Roman" w:eastAsia="Times New Roman" w:hAnsi="Times New Roman" w:cs="Times New Roman"/>
          <w:i/>
          <w:sz w:val="15"/>
        </w:rPr>
        <w:t xml:space="preserve">k </w:t>
      </w:r>
      <w:r>
        <w:rPr>
          <w:rFonts w:ascii="Segoe UI Symbol" w:eastAsia="Segoe UI Symbol" w:hAnsi="Segoe UI Symbol" w:cs="Segoe UI Symbol"/>
          <w:sz w:val="33"/>
        </w:rPr>
        <w:t></w:t>
      </w:r>
      <w:r>
        <w:rPr>
          <w:rFonts w:ascii="Segoe UI Symbol" w:eastAsia="Segoe UI Symbol" w:hAnsi="Segoe UI Symbol" w:cs="Segoe UI Symbol"/>
          <w:sz w:val="33"/>
        </w:rPr>
        <w:tab/>
      </w:r>
      <w:r>
        <w:rPr>
          <w:rFonts w:ascii="Times New Roman" w:eastAsia="Times New Roman" w:hAnsi="Times New Roman" w:cs="Times New Roman"/>
          <w:i/>
          <w:sz w:val="25"/>
        </w:rPr>
        <w:t>z</w:t>
      </w:r>
      <w:r>
        <w:rPr>
          <w:rFonts w:ascii="Times New Roman" w:eastAsia="Times New Roman" w:hAnsi="Times New Roman" w:cs="Times New Roman"/>
          <w:i/>
          <w:sz w:val="15"/>
        </w:rPr>
        <w:t>k</w:t>
      </w:r>
      <w:r>
        <w:rPr>
          <w:rFonts w:ascii="Times New Roman" w:eastAsia="Times New Roman" w:hAnsi="Times New Roman" w:cs="Times New Roman"/>
          <w:i/>
          <w:sz w:val="15"/>
        </w:rPr>
        <w:tab/>
      </w:r>
      <w:r>
        <w:rPr>
          <w:rFonts w:ascii="Times New Roman" w:eastAsia="Times New Roman" w:hAnsi="Times New Roman" w:cs="Times New Roman"/>
          <w:i/>
          <w:sz w:val="25"/>
        </w:rPr>
        <w:t>z</w:t>
      </w:r>
      <w:r>
        <w:rPr>
          <w:rFonts w:ascii="Times New Roman" w:eastAsia="Times New Roman" w:hAnsi="Times New Roman" w:cs="Times New Roman"/>
          <w:i/>
          <w:sz w:val="15"/>
        </w:rPr>
        <w:t>k</w:t>
      </w:r>
      <w:r>
        <w:rPr>
          <w:rFonts w:ascii="Times New Roman" w:eastAsia="Times New Roman" w:hAnsi="Times New Roman" w:cs="Times New Roman"/>
          <w:i/>
          <w:sz w:val="15"/>
        </w:rPr>
        <w:tab/>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i/>
          <w:sz w:val="25"/>
        </w:rPr>
        <w:t>H</w:t>
      </w:r>
      <w:r>
        <w:rPr>
          <w:rFonts w:ascii="Segoe UI Symbol" w:eastAsia="Segoe UI Symbol" w:hAnsi="Segoe UI Symbol" w:cs="Segoe UI Symbol"/>
          <w:sz w:val="33"/>
        </w:rPr>
        <w:t></w:t>
      </w:r>
      <w:r>
        <w:rPr>
          <w:rFonts w:ascii="Times New Roman" w:eastAsia="Times New Roman" w:hAnsi="Times New Roman" w:cs="Times New Roman"/>
          <w:i/>
          <w:sz w:val="25"/>
        </w:rPr>
        <w:t xml:space="preserve">z </w:t>
      </w:r>
      <w:r>
        <w:rPr>
          <w:rFonts w:ascii="Segoe UI Symbol" w:eastAsia="Segoe UI Symbol" w:hAnsi="Segoe UI Symbol" w:cs="Segoe UI Symbol"/>
          <w:sz w:val="25"/>
        </w:rPr>
        <w:t xml:space="preserve"> </w:t>
      </w:r>
      <w:r>
        <w:rPr>
          <w:rFonts w:ascii="Times New Roman" w:eastAsia="Times New Roman" w:hAnsi="Times New Roman" w:cs="Times New Roman"/>
          <w:i/>
          <w:sz w:val="25"/>
        </w:rPr>
        <w:t>z</w:t>
      </w:r>
      <w:r>
        <w:rPr>
          <w:rFonts w:ascii="Times New Roman" w:eastAsia="Times New Roman" w:hAnsi="Times New Roman" w:cs="Times New Roman"/>
          <w:i/>
          <w:sz w:val="15"/>
        </w:rPr>
        <w:t xml:space="preserve">k </w:t>
      </w:r>
      <w:r>
        <w:rPr>
          <w:rFonts w:ascii="Segoe UI Symbol" w:eastAsia="Segoe UI Symbol" w:hAnsi="Segoe UI Symbol" w:cs="Segoe UI Symbol"/>
          <w:sz w:val="33"/>
        </w:rPr>
        <w:t></w:t>
      </w:r>
      <w:r>
        <w:rPr>
          <w:rFonts w:ascii="Times New Roman" w:eastAsia="Times New Roman" w:hAnsi="Times New Roman" w:cs="Times New Roman"/>
          <w:i/>
          <w:sz w:val="25"/>
        </w:rPr>
        <w:t>u</w:t>
      </w:r>
      <w:r>
        <w:rPr>
          <w:rFonts w:ascii="Segoe UI Symbol" w:eastAsia="Segoe UI Symbol" w:hAnsi="Segoe UI Symbol" w:cs="Segoe UI Symbol"/>
          <w:sz w:val="33"/>
        </w:rPr>
        <w:t></w:t>
      </w:r>
      <w:r>
        <w:rPr>
          <w:rFonts w:ascii="Times New Roman" w:eastAsia="Times New Roman" w:hAnsi="Times New Roman" w:cs="Times New Roman"/>
          <w:i/>
          <w:sz w:val="25"/>
        </w:rPr>
        <w:t>z</w:t>
      </w:r>
      <w:r>
        <w:rPr>
          <w:rFonts w:ascii="Times New Roman" w:eastAsia="Times New Roman" w:hAnsi="Times New Roman" w:cs="Times New Roman"/>
          <w:i/>
          <w:sz w:val="15"/>
        </w:rPr>
        <w:t xml:space="preserve">k </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Times New Roman" w:eastAsia="Times New Roman" w:hAnsi="Times New Roman" w:cs="Times New Roman"/>
          <w:i/>
          <w:sz w:val="15"/>
        </w:rPr>
        <w:t>k</w:t>
      </w:r>
      <w:r>
        <w:rPr>
          <w:rFonts w:ascii="Segoe UI Symbol" w:eastAsia="Segoe UI Symbol" w:hAnsi="Segoe UI Symbol" w:cs="Segoe UI Symbol"/>
          <w:sz w:val="15"/>
        </w:rPr>
        <w:t></w:t>
      </w:r>
      <w:r>
        <w:rPr>
          <w:rFonts w:ascii="Times New Roman" w:eastAsia="Times New Roman" w:hAnsi="Times New Roman" w:cs="Times New Roman"/>
          <w:sz w:val="15"/>
        </w:rPr>
        <w:t>1</w:t>
      </w:r>
      <w:r>
        <w:rPr>
          <w:rFonts w:ascii="Segoe UI Symbol" w:eastAsia="Segoe UI Symbol" w:hAnsi="Segoe UI Symbol" w:cs="Segoe UI Symbol"/>
          <w:sz w:val="33"/>
        </w:rPr>
        <w:t></w:t>
      </w:r>
      <w:r>
        <w:rPr>
          <w:rFonts w:ascii="Segoe UI Symbol" w:eastAsia="Segoe UI Symbol" w:hAnsi="Segoe UI Symbol" w:cs="Segoe UI Symbol"/>
          <w:sz w:val="25"/>
        </w:rPr>
        <w:t></w:t>
      </w:r>
    </w:p>
    <w:p w:rsidR="0052701D" w:rsidRDefault="00D40929">
      <w:pPr>
        <w:tabs>
          <w:tab w:val="center" w:pos="2312"/>
          <w:tab w:val="center" w:pos="4284"/>
        </w:tabs>
        <w:spacing w:after="0" w:line="268" w:lineRule="auto"/>
      </w:pPr>
      <w:r>
        <w:tab/>
      </w:r>
      <w:r>
        <w:rPr>
          <w:rFonts w:ascii="Segoe UI Symbol" w:eastAsia="Segoe UI Symbol" w:hAnsi="Segoe UI Symbol" w:cs="Segoe UI Symbol"/>
          <w:sz w:val="25"/>
        </w:rPr>
        <w:t></w:t>
      </w:r>
      <w:r>
        <w:rPr>
          <w:rFonts w:ascii="Segoe UI Symbol" w:eastAsia="Segoe UI Symbol" w:hAnsi="Segoe UI Symbol" w:cs="Segoe UI Symbol"/>
          <w:sz w:val="25"/>
        </w:rPr>
        <w:tab/>
      </w:r>
      <w:r>
        <w:rPr>
          <w:rFonts w:ascii="Segoe UI Symbol" w:eastAsia="Segoe UI Symbol" w:hAnsi="Segoe UI Symbol" w:cs="Segoe UI Symbol"/>
          <w:sz w:val="25"/>
        </w:rPr>
        <w:t></w:t>
      </w:r>
    </w:p>
    <w:p w:rsidR="0052701D" w:rsidRDefault="00D40929">
      <w:pPr>
        <w:numPr>
          <w:ilvl w:val="3"/>
          <w:numId w:val="10"/>
        </w:numPr>
        <w:spacing w:after="3"/>
        <w:ind w:hanging="1242"/>
      </w:pPr>
      <w:r>
        <w:rPr>
          <w:rFonts w:ascii="Times New Roman" w:eastAsia="Times New Roman" w:hAnsi="Times New Roman" w:cs="Times New Roman"/>
          <w:sz w:val="15"/>
        </w:rPr>
        <w:t>2</w:t>
      </w:r>
      <w:r>
        <w:rPr>
          <w:rFonts w:ascii="Times New Roman" w:eastAsia="Times New Roman" w:hAnsi="Times New Roman" w:cs="Times New Roman"/>
          <w:sz w:val="15"/>
        </w:rPr>
        <w:tab/>
        <w:t>2</w:t>
      </w:r>
      <w:r>
        <w:rPr>
          <w:rFonts w:ascii="Times New Roman" w:eastAsia="Times New Roman" w:hAnsi="Times New Roman" w:cs="Times New Roman"/>
          <w:sz w:val="15"/>
        </w:rPr>
        <w:tab/>
        <w:t xml:space="preserve">2 </w:t>
      </w:r>
      <w:r>
        <w:rPr>
          <w:rFonts w:ascii="Segoe UI Symbol" w:eastAsia="Segoe UI Symbol" w:hAnsi="Segoe UI Symbol" w:cs="Segoe UI Symbol"/>
          <w:sz w:val="25"/>
        </w:rPr>
        <w:t></w:t>
      </w:r>
    </w:p>
    <w:p w:rsidR="0052701D" w:rsidRDefault="00D40929">
      <w:pPr>
        <w:tabs>
          <w:tab w:val="center" w:pos="1159"/>
          <w:tab w:val="center" w:pos="3249"/>
          <w:tab w:val="center" w:pos="5398"/>
        </w:tabs>
        <w:spacing w:after="96"/>
      </w:pPr>
      <w:r>
        <w:tab/>
      </w:r>
      <w:r>
        <w:rPr>
          <w:rFonts w:ascii="Times New Roman" w:eastAsia="Times New Roman" w:hAnsi="Times New Roman" w:cs="Times New Roman"/>
          <w:sz w:val="25"/>
        </w:rPr>
        <w:t>2</w:t>
      </w:r>
      <w:r>
        <w:rPr>
          <w:rFonts w:ascii="Segoe UI Symbol" w:eastAsia="Segoe UI Symbol" w:hAnsi="Segoe UI Symbol" w:cs="Segoe UI Symbol"/>
          <w:sz w:val="33"/>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Segoe UI Symbol" w:eastAsia="Segoe UI Symbol" w:hAnsi="Segoe UI Symbol" w:cs="Segoe UI Symbol"/>
          <w:sz w:val="33"/>
        </w:rPr>
        <w:t xml:space="preserve"> </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 xml:space="preserve">0 </w:t>
      </w:r>
      <w:r>
        <w:rPr>
          <w:rFonts w:ascii="Segoe UI Symbol" w:eastAsia="Segoe UI Symbol" w:hAnsi="Segoe UI Symbol" w:cs="Segoe UI Symbol"/>
          <w:sz w:val="25"/>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Times New Roman" w:eastAsia="Times New Roman" w:hAnsi="Times New Roman" w:cs="Times New Roman"/>
          <w:i/>
          <w:sz w:val="25"/>
        </w:rPr>
        <w:t>z</w:t>
      </w:r>
      <w:r>
        <w:rPr>
          <w:rFonts w:ascii="Times New Roman" w:eastAsia="Times New Roman" w:hAnsi="Times New Roman" w:cs="Times New Roman"/>
          <w:i/>
          <w:sz w:val="23"/>
          <w:vertAlign w:val="subscript"/>
        </w:rPr>
        <w:t xml:space="preserve">k </w:t>
      </w:r>
      <w:r>
        <w:rPr>
          <w:rFonts w:ascii="Segoe UI Symbol" w:eastAsia="Segoe UI Symbol" w:hAnsi="Segoe UI Symbol" w:cs="Segoe UI Symbol"/>
          <w:sz w:val="33"/>
        </w:rPr>
        <w:t></w:t>
      </w:r>
      <w:r>
        <w:rPr>
          <w:rFonts w:ascii="Segoe UI Symbol" w:eastAsia="Segoe UI Symbol" w:hAnsi="Segoe UI Symbol" w:cs="Segoe UI Symbol"/>
          <w:sz w:val="33"/>
        </w:rPr>
        <w:tab/>
      </w:r>
      <w:r>
        <w:rPr>
          <w:rFonts w:ascii="Times New Roman" w:eastAsia="Times New Roman" w:hAnsi="Times New Roman" w:cs="Times New Roman"/>
          <w:sz w:val="25"/>
        </w:rPr>
        <w:t>2</w:t>
      </w:r>
      <w:r>
        <w:rPr>
          <w:rFonts w:ascii="Segoe UI Symbol" w:eastAsia="Segoe UI Symbol" w:hAnsi="Segoe UI Symbol" w:cs="Segoe UI Symbol"/>
          <w:sz w:val="33"/>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Segoe UI Symbol" w:eastAsia="Segoe UI Symbol" w:hAnsi="Segoe UI Symbol" w:cs="Segoe UI Symbol"/>
          <w:sz w:val="33"/>
        </w:rPr>
        <w:t></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 xml:space="preserve">0 </w:t>
      </w:r>
      <w:r>
        <w:rPr>
          <w:rFonts w:ascii="Segoe UI Symbol" w:eastAsia="Segoe UI Symbol" w:hAnsi="Segoe UI Symbol" w:cs="Segoe UI Symbol"/>
          <w:sz w:val="25"/>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33"/>
        </w:rPr>
        <w:tab/>
      </w:r>
      <w:r>
        <w:rPr>
          <w:rFonts w:ascii="Times New Roman" w:eastAsia="Times New Roman" w:hAnsi="Times New Roman" w:cs="Times New Roman"/>
          <w:sz w:val="25"/>
        </w:rPr>
        <w:t>2</w:t>
      </w:r>
      <w:r>
        <w:rPr>
          <w:rFonts w:ascii="Segoe UI Symbol" w:eastAsia="Segoe UI Symbol" w:hAnsi="Segoe UI Symbol" w:cs="Segoe UI Symbol"/>
          <w:sz w:val="33"/>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Segoe UI Symbol" w:eastAsia="Segoe UI Symbol" w:hAnsi="Segoe UI Symbol" w:cs="Segoe UI Symbol"/>
          <w:sz w:val="33"/>
        </w:rPr>
        <w:t></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 xml:space="preserve">0 </w:t>
      </w:r>
      <w:r>
        <w:rPr>
          <w:rFonts w:ascii="Segoe UI Symbol" w:eastAsia="Segoe UI Symbol" w:hAnsi="Segoe UI Symbol" w:cs="Segoe UI Symbol"/>
          <w:sz w:val="25"/>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Times New Roman" w:eastAsia="Times New Roman" w:hAnsi="Times New Roman" w:cs="Times New Roman"/>
          <w:i/>
          <w:sz w:val="25"/>
        </w:rPr>
        <w:t>z</w:t>
      </w:r>
      <w:r>
        <w:rPr>
          <w:rFonts w:ascii="Times New Roman" w:eastAsia="Times New Roman" w:hAnsi="Times New Roman" w:cs="Times New Roman"/>
          <w:i/>
          <w:sz w:val="23"/>
          <w:vertAlign w:val="subscript"/>
        </w:rPr>
        <w:t xml:space="preserve">k </w:t>
      </w:r>
      <w:r>
        <w:rPr>
          <w:rFonts w:ascii="Segoe UI Symbol" w:eastAsia="Segoe UI Symbol" w:hAnsi="Segoe UI Symbol" w:cs="Segoe UI Symbol"/>
          <w:sz w:val="33"/>
        </w:rPr>
        <w:t xml:space="preserve"> </w:t>
      </w:r>
      <w:r>
        <w:rPr>
          <w:rFonts w:ascii="Segoe UI Symbol" w:eastAsia="Segoe UI Symbol" w:hAnsi="Segoe UI Symbol" w:cs="Segoe UI Symbol"/>
          <w:sz w:val="33"/>
          <w:vertAlign w:val="superscript"/>
        </w:rPr>
        <w:t></w:t>
      </w:r>
      <w:r>
        <w:rPr>
          <w:rFonts w:ascii="Segoe UI Symbol" w:eastAsia="Segoe UI Symbol" w:hAnsi="Segoe UI Symbol" w:cs="Segoe UI Symbol"/>
          <w:sz w:val="25"/>
        </w:rPr>
        <w:t></w:t>
      </w:r>
    </w:p>
    <w:p w:rsidR="0052701D" w:rsidRDefault="00D40929">
      <w:pPr>
        <w:tabs>
          <w:tab w:val="center" w:pos="1409"/>
          <w:tab w:val="center" w:pos="2885"/>
          <w:tab w:val="center" w:pos="3273"/>
          <w:tab w:val="center" w:pos="3841"/>
          <w:tab w:val="center" w:pos="5184"/>
          <w:tab w:val="center" w:pos="5801"/>
          <w:tab w:val="center" w:pos="6884"/>
        </w:tabs>
        <w:spacing w:after="37" w:line="268" w:lineRule="auto"/>
      </w:pP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ab/>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0</w:t>
      </w:r>
      <w:r>
        <w:rPr>
          <w:rFonts w:ascii="Times New Roman" w:eastAsia="Times New Roman" w:hAnsi="Times New Roman" w:cs="Times New Roman"/>
          <w:sz w:val="23"/>
          <w:vertAlign w:val="subscript"/>
        </w:rPr>
        <w:tab/>
      </w:r>
      <w:r>
        <w:rPr>
          <w:rFonts w:ascii="Times New Roman" w:eastAsia="Times New Roman" w:hAnsi="Times New Roman" w:cs="Times New Roman"/>
          <w:sz w:val="25"/>
        </w:rPr>
        <w:t>1</w:t>
      </w:r>
      <w:r>
        <w:rPr>
          <w:rFonts w:ascii="Times New Roman" w:eastAsia="Times New Roman" w:hAnsi="Times New Roman" w:cs="Times New Roman"/>
          <w:sz w:val="25"/>
        </w:rPr>
        <w:tab/>
      </w:r>
      <w:r>
        <w:rPr>
          <w:rFonts w:ascii="Segoe UI Symbol" w:eastAsia="Segoe UI Symbol" w:hAnsi="Segoe UI Symbol" w:cs="Segoe UI Symbol"/>
          <w:sz w:val="25"/>
        </w:rPr>
        <w:t></w:t>
      </w:r>
      <w:r>
        <w:rPr>
          <w:rFonts w:ascii="Segoe UI Symbol" w:eastAsia="Segoe UI Symbol" w:hAnsi="Segoe UI Symbol" w:cs="Segoe UI Symbol"/>
          <w:sz w:val="25"/>
        </w:rPr>
        <w:tab/>
      </w:r>
      <w:r>
        <w:rPr>
          <w:rFonts w:ascii="Times New Roman" w:eastAsia="Times New Roman" w:hAnsi="Times New Roman" w:cs="Times New Roman"/>
          <w:sz w:val="25"/>
        </w:rPr>
        <w:t>1</w:t>
      </w:r>
      <w:r>
        <w:rPr>
          <w:rFonts w:ascii="Times New Roman" w:eastAsia="Times New Roman" w:hAnsi="Times New Roman" w:cs="Times New Roman"/>
          <w:sz w:val="25"/>
        </w:rPr>
        <w:tab/>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Segoe UI Symbol" w:eastAsia="Segoe UI Symbol" w:hAnsi="Segoe UI Symbol" w:cs="Segoe UI Symbol"/>
          <w:sz w:val="33"/>
        </w:rPr>
        <w:t></w:t>
      </w:r>
      <w:r>
        <w:rPr>
          <w:rFonts w:ascii="Segoe UI Symbol" w:eastAsia="Segoe UI Symbol" w:hAnsi="Segoe UI Symbol" w:cs="Segoe UI Symbol"/>
          <w:sz w:val="33"/>
        </w:rPr>
        <w:tab/>
      </w:r>
      <w:r>
        <w:rPr>
          <w:rFonts w:ascii="Segoe UI Symbol" w:eastAsia="Segoe UI Symbol" w:hAnsi="Segoe UI Symbol" w:cs="Segoe UI Symbol"/>
          <w:sz w:val="25"/>
        </w:rPr>
        <w:t></w:t>
      </w:r>
      <w:r>
        <w:rPr>
          <w:rFonts w:ascii="Segoe UI Symbol" w:eastAsia="Segoe UI Symbol" w:hAnsi="Segoe UI Symbol" w:cs="Segoe UI Symbol"/>
          <w:sz w:val="25"/>
        </w:rPr>
        <w:tab/>
      </w:r>
      <w:r>
        <w:rPr>
          <w:rFonts w:ascii="Times New Roman" w:eastAsia="Times New Roman" w:hAnsi="Times New Roman" w:cs="Times New Roman"/>
          <w:sz w:val="25"/>
        </w:rPr>
        <w:t>1</w:t>
      </w:r>
    </w:p>
    <w:p w:rsidR="0052701D" w:rsidRDefault="00D40929">
      <w:pPr>
        <w:tabs>
          <w:tab w:val="center" w:pos="4858"/>
        </w:tabs>
        <w:spacing w:before="51" w:after="0" w:line="268" w:lineRule="auto"/>
      </w:pPr>
      <w:r>
        <w:rPr>
          <w:noProof/>
        </w:rPr>
        <mc:AlternateContent>
          <mc:Choice Requires="wpg">
            <w:drawing>
              <wp:anchor distT="0" distB="0" distL="114300" distR="114300" simplePos="0" relativeHeight="251728896" behindDoc="0" locked="0" layoutInCell="1" allowOverlap="1">
                <wp:simplePos x="0" y="0"/>
                <wp:positionH relativeFrom="column">
                  <wp:posOffset>317473</wp:posOffset>
                </wp:positionH>
                <wp:positionV relativeFrom="paragraph">
                  <wp:posOffset>-32125</wp:posOffset>
                </wp:positionV>
                <wp:extent cx="4560487" cy="6312"/>
                <wp:effectExtent l="0" t="0" r="0" b="0"/>
                <wp:wrapNone/>
                <wp:docPr id="920926" name="Group 920926"/>
                <wp:cNvGraphicFramePr/>
                <a:graphic xmlns:a="http://schemas.openxmlformats.org/drawingml/2006/main">
                  <a:graphicData uri="http://schemas.microsoft.com/office/word/2010/wordprocessingGroup">
                    <wpg:wgp>
                      <wpg:cNvGrpSpPr/>
                      <wpg:grpSpPr>
                        <a:xfrm>
                          <a:off x="0" y="0"/>
                          <a:ext cx="4560487" cy="6312"/>
                          <a:chOff x="0" y="0"/>
                          <a:chExt cx="4560487" cy="6312"/>
                        </a:xfrm>
                      </wpg:grpSpPr>
                      <wps:wsp>
                        <wps:cNvPr id="11661" name="Shape 11661"/>
                        <wps:cNvSpPr/>
                        <wps:spPr>
                          <a:xfrm>
                            <a:off x="0" y="0"/>
                            <a:ext cx="1170377" cy="0"/>
                          </a:xfrm>
                          <a:custGeom>
                            <a:avLst/>
                            <a:gdLst/>
                            <a:ahLst/>
                            <a:cxnLst/>
                            <a:rect l="0" t="0" r="0" b="0"/>
                            <a:pathLst>
                              <a:path w="1170377">
                                <a:moveTo>
                                  <a:pt x="0" y="0"/>
                                </a:moveTo>
                                <a:lnTo>
                                  <a:pt x="1170377" y="0"/>
                                </a:lnTo>
                              </a:path>
                            </a:pathLst>
                          </a:custGeom>
                          <a:ln w="6312" cap="flat">
                            <a:round/>
                          </a:ln>
                        </wps:spPr>
                        <wps:style>
                          <a:lnRef idx="1">
                            <a:srgbClr val="000000"/>
                          </a:lnRef>
                          <a:fillRef idx="0">
                            <a:srgbClr val="000000">
                              <a:alpha val="0"/>
                            </a:srgbClr>
                          </a:fillRef>
                          <a:effectRef idx="0">
                            <a:scrgbClr r="0" g="0" b="0"/>
                          </a:effectRef>
                          <a:fontRef idx="none"/>
                        </wps:style>
                        <wps:bodyPr/>
                      </wps:wsp>
                      <wps:wsp>
                        <wps:cNvPr id="11664" name="Shape 11664"/>
                        <wps:cNvSpPr/>
                        <wps:spPr>
                          <a:xfrm>
                            <a:off x="1325311" y="0"/>
                            <a:ext cx="377159" cy="0"/>
                          </a:xfrm>
                          <a:custGeom>
                            <a:avLst/>
                            <a:gdLst/>
                            <a:ahLst/>
                            <a:cxnLst/>
                            <a:rect l="0" t="0" r="0" b="0"/>
                            <a:pathLst>
                              <a:path w="377159">
                                <a:moveTo>
                                  <a:pt x="0" y="0"/>
                                </a:moveTo>
                                <a:lnTo>
                                  <a:pt x="377159" y="0"/>
                                </a:lnTo>
                              </a:path>
                            </a:pathLst>
                          </a:custGeom>
                          <a:ln w="6312" cap="flat">
                            <a:round/>
                          </a:ln>
                        </wps:spPr>
                        <wps:style>
                          <a:lnRef idx="1">
                            <a:srgbClr val="000000"/>
                          </a:lnRef>
                          <a:fillRef idx="0">
                            <a:srgbClr val="000000">
                              <a:alpha val="0"/>
                            </a:srgbClr>
                          </a:fillRef>
                          <a:effectRef idx="0">
                            <a:scrgbClr r="0" g="0" b="0"/>
                          </a:effectRef>
                          <a:fontRef idx="none"/>
                        </wps:style>
                        <wps:bodyPr/>
                      </wps:wsp>
                      <wps:wsp>
                        <wps:cNvPr id="11667" name="Shape 11667"/>
                        <wps:cNvSpPr/>
                        <wps:spPr>
                          <a:xfrm>
                            <a:off x="1795584" y="0"/>
                            <a:ext cx="650902" cy="0"/>
                          </a:xfrm>
                          <a:custGeom>
                            <a:avLst/>
                            <a:gdLst/>
                            <a:ahLst/>
                            <a:cxnLst/>
                            <a:rect l="0" t="0" r="0" b="0"/>
                            <a:pathLst>
                              <a:path w="650902">
                                <a:moveTo>
                                  <a:pt x="0" y="0"/>
                                </a:moveTo>
                                <a:lnTo>
                                  <a:pt x="650902" y="0"/>
                                </a:lnTo>
                              </a:path>
                            </a:pathLst>
                          </a:custGeom>
                          <a:ln w="6312" cap="flat">
                            <a:round/>
                          </a:ln>
                        </wps:spPr>
                        <wps:style>
                          <a:lnRef idx="1">
                            <a:srgbClr val="000000"/>
                          </a:lnRef>
                          <a:fillRef idx="0">
                            <a:srgbClr val="000000">
                              <a:alpha val="0"/>
                            </a:srgbClr>
                          </a:fillRef>
                          <a:effectRef idx="0">
                            <a:scrgbClr r="0" g="0" b="0"/>
                          </a:effectRef>
                          <a:fontRef idx="none"/>
                        </wps:style>
                        <wps:bodyPr/>
                      </wps:wsp>
                      <wps:wsp>
                        <wps:cNvPr id="11672" name="Shape 11672"/>
                        <wps:cNvSpPr/>
                        <wps:spPr>
                          <a:xfrm>
                            <a:off x="2598876" y="0"/>
                            <a:ext cx="727860" cy="0"/>
                          </a:xfrm>
                          <a:custGeom>
                            <a:avLst/>
                            <a:gdLst/>
                            <a:ahLst/>
                            <a:cxnLst/>
                            <a:rect l="0" t="0" r="0" b="0"/>
                            <a:pathLst>
                              <a:path w="727860">
                                <a:moveTo>
                                  <a:pt x="0" y="0"/>
                                </a:moveTo>
                                <a:lnTo>
                                  <a:pt x="727860" y="0"/>
                                </a:lnTo>
                              </a:path>
                            </a:pathLst>
                          </a:custGeom>
                          <a:ln w="6312" cap="flat">
                            <a:round/>
                          </a:ln>
                        </wps:spPr>
                        <wps:style>
                          <a:lnRef idx="1">
                            <a:srgbClr val="000000"/>
                          </a:lnRef>
                          <a:fillRef idx="0">
                            <a:srgbClr val="000000">
                              <a:alpha val="0"/>
                            </a:srgbClr>
                          </a:fillRef>
                          <a:effectRef idx="0">
                            <a:scrgbClr r="0" g="0" b="0"/>
                          </a:effectRef>
                          <a:fontRef idx="none"/>
                        </wps:style>
                        <wps:bodyPr/>
                      </wps:wsp>
                      <wps:wsp>
                        <wps:cNvPr id="11677" name="Shape 11677"/>
                        <wps:cNvSpPr/>
                        <wps:spPr>
                          <a:xfrm>
                            <a:off x="3546036" y="0"/>
                            <a:ext cx="1014451" cy="0"/>
                          </a:xfrm>
                          <a:custGeom>
                            <a:avLst/>
                            <a:gdLst/>
                            <a:ahLst/>
                            <a:cxnLst/>
                            <a:rect l="0" t="0" r="0" b="0"/>
                            <a:pathLst>
                              <a:path w="1014451">
                                <a:moveTo>
                                  <a:pt x="0" y="0"/>
                                </a:moveTo>
                                <a:lnTo>
                                  <a:pt x="1014451" y="0"/>
                                </a:lnTo>
                              </a:path>
                            </a:pathLst>
                          </a:custGeom>
                          <a:ln w="6312"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20926" style="width:359.093pt;height:0.497047pt;position:absolute;z-index:1687;mso-position-horizontal-relative:text;mso-position-horizontal:absolute;margin-left:24.9979pt;mso-position-vertical-relative:text;margin-top:-2.5296pt;" coordsize="45604,63">
                <v:shape id="Shape 11661" style="position:absolute;width:11703;height:0;left:0;top:0;" coordsize="1170377,0" path="m0,0l1170377,0">
                  <v:stroke weight="0.497047pt" endcap="flat" joinstyle="round" on="true" color="#000000"/>
                  <v:fill on="false" color="#000000" opacity="0"/>
                </v:shape>
                <v:shape id="Shape 11664" style="position:absolute;width:3771;height:0;left:13253;top:0;" coordsize="377159,0" path="m0,0l377159,0">
                  <v:stroke weight="0.497047pt" endcap="flat" joinstyle="round" on="true" color="#000000"/>
                  <v:fill on="false" color="#000000" opacity="0"/>
                </v:shape>
                <v:shape id="Shape 11667" style="position:absolute;width:6509;height:0;left:17955;top:0;" coordsize="650902,0" path="m0,0l650902,0">
                  <v:stroke weight="0.497047pt" endcap="flat" joinstyle="round" on="true" color="#000000"/>
                  <v:fill on="false" color="#000000" opacity="0"/>
                </v:shape>
                <v:shape id="Shape 11672" style="position:absolute;width:7278;height:0;left:25988;top:0;" coordsize="727860,0" path="m0,0l727860,0">
                  <v:stroke weight="0.497047pt" endcap="flat" joinstyle="round" on="true" color="#000000"/>
                  <v:fill on="false" color="#000000" opacity="0"/>
                </v:shape>
                <v:shape id="Shape 11677" style="position:absolute;width:10144;height:0;left:35460;top:0;" coordsize="1014451,0" path="m0,0l1014451,0">
                  <v:stroke weight="0.497047pt" endcap="flat" joinstyle="round" on="true" color="#000000"/>
                  <v:fill on="false" color="#000000" opacity="0"/>
                </v:shape>
              </v:group>
            </w:pict>
          </mc:Fallback>
        </mc:AlternateConten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 xml:space="preserve"> </w:t>
      </w:r>
      <w:r>
        <w:rPr>
          <w:rFonts w:ascii="Times New Roman" w:eastAsia="Times New Roman" w:hAnsi="Times New Roman" w:cs="Times New Roman"/>
          <w:sz w:val="25"/>
        </w:rPr>
        <w:t>2</w:t>
      </w:r>
      <w:r>
        <w:rPr>
          <w:rFonts w:ascii="Segoe UI Symbol" w:eastAsia="Segoe UI Symbol" w:hAnsi="Segoe UI Symbol" w:cs="Segoe UI Symbol"/>
          <w:sz w:val="33"/>
        </w:rPr>
        <w:t xml:space="preserve"> </w:t>
      </w:r>
      <w:r>
        <w:rPr>
          <w:rFonts w:ascii="Times New Roman" w:eastAsia="Times New Roman" w:hAnsi="Times New Roman" w:cs="Times New Roman"/>
          <w:i/>
          <w:sz w:val="25"/>
        </w:rPr>
        <w:t xml:space="preserve">h </w:t>
      </w:r>
      <w:r>
        <w:rPr>
          <w:rFonts w:ascii="Segoe UI Symbol" w:eastAsia="Segoe UI Symbol" w:hAnsi="Segoe UI Symbol" w:cs="Segoe UI Symbol"/>
          <w:sz w:val="33"/>
        </w:rPr>
        <w:t></w:t>
      </w:r>
      <w:r>
        <w:rPr>
          <w:rFonts w:ascii="Times New Roman" w:eastAsia="Times New Roman" w:hAnsi="Times New Roman" w:cs="Times New Roman"/>
          <w:sz w:val="15"/>
        </w:rPr>
        <w:t>2</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i/>
          <w:sz w:val="25"/>
        </w:rPr>
        <w:tab/>
        <w:t>h z</w:t>
      </w:r>
      <w:r>
        <w:rPr>
          <w:rFonts w:ascii="Segoe UI Symbol" w:eastAsia="Segoe UI Symbol" w:hAnsi="Segoe UI Symbol" w:cs="Segoe UI Symbol"/>
          <w:sz w:val="33"/>
        </w:rPr>
        <w:t></w:t>
      </w:r>
      <w:r>
        <w:rPr>
          <w:rFonts w:ascii="Times New Roman" w:eastAsia="Times New Roman" w:hAnsi="Times New Roman" w:cs="Times New Roman"/>
          <w:sz w:val="15"/>
        </w:rPr>
        <w:t xml:space="preserve">2 </w:t>
      </w:r>
      <w:r>
        <w:rPr>
          <w:rFonts w:ascii="Segoe UI Symbol" w:eastAsia="Segoe UI Symbol" w:hAnsi="Segoe UI Symbol" w:cs="Segoe UI Symbol"/>
          <w:sz w:val="25"/>
        </w:rPr>
        <w:t xml:space="preserve"> </w:t>
      </w:r>
      <w:r>
        <w:rPr>
          <w:rFonts w:ascii="Segoe UI Symbol" w:eastAsia="Segoe UI Symbol" w:hAnsi="Segoe UI Symbol" w:cs="Segoe UI Symbol"/>
          <w:sz w:val="33"/>
        </w:rPr>
        <w:t xml:space="preserve"> </w:t>
      </w:r>
      <w:r>
        <w:rPr>
          <w:rFonts w:ascii="Times New Roman" w:eastAsia="Times New Roman" w:hAnsi="Times New Roman" w:cs="Times New Roman"/>
          <w:i/>
          <w:sz w:val="25"/>
        </w:rPr>
        <w:t xml:space="preserve">h </w:t>
      </w:r>
      <w:r>
        <w:rPr>
          <w:rFonts w:ascii="Segoe UI Symbol" w:eastAsia="Segoe UI Symbol" w:hAnsi="Segoe UI Symbol" w:cs="Segoe UI Symbol"/>
          <w:sz w:val="33"/>
        </w:rPr>
        <w:t></w:t>
      </w:r>
      <w:r>
        <w:rPr>
          <w:rFonts w:ascii="Times New Roman" w:eastAsia="Times New Roman" w:hAnsi="Times New Roman" w:cs="Times New Roman"/>
          <w:sz w:val="15"/>
        </w:rPr>
        <w:t xml:space="preserve">2 </w:t>
      </w:r>
      <w:r>
        <w:rPr>
          <w:rFonts w:ascii="Segoe UI Symbol" w:eastAsia="Segoe UI Symbol" w:hAnsi="Segoe UI Symbol" w:cs="Segoe UI Symbol"/>
          <w:sz w:val="25"/>
        </w:rPr>
        <w:t></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25"/>
        </w:rPr>
        <w:t xml:space="preserve"> </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Times New Roman" w:eastAsia="Times New Roman" w:hAnsi="Times New Roman" w:cs="Times New Roman"/>
          <w:sz w:val="15"/>
        </w:rPr>
        <w:t xml:space="preserve">2 </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 xml:space="preserve"> </w:t>
      </w:r>
      <w:r>
        <w:rPr>
          <w:rFonts w:ascii="Segoe UI Symbol" w:eastAsia="Segoe UI Symbol" w:hAnsi="Segoe UI Symbol" w:cs="Segoe UI Symbol"/>
          <w:sz w:val="33"/>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Segoe UI Symbol" w:eastAsia="Segoe UI Symbol" w:hAnsi="Segoe UI Symbol" w:cs="Segoe UI Symbol"/>
          <w:sz w:val="33"/>
        </w:rPr>
        <w:t></w:t>
      </w:r>
      <w:r>
        <w:rPr>
          <w:rFonts w:ascii="Times New Roman" w:eastAsia="Times New Roman" w:hAnsi="Times New Roman" w:cs="Times New Roman"/>
          <w:sz w:val="15"/>
        </w:rPr>
        <w:t>2</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Times New Roman" w:eastAsia="Times New Roman" w:hAnsi="Times New Roman" w:cs="Times New Roman"/>
          <w:sz w:val="24"/>
        </w:rPr>
        <w:t xml:space="preserve"> </w:t>
      </w:r>
    </w:p>
    <w:p w:rsidR="0052701D" w:rsidRDefault="00D40929">
      <w:pPr>
        <w:tabs>
          <w:tab w:val="center" w:pos="1710"/>
          <w:tab w:val="center" w:pos="2981"/>
        </w:tabs>
        <w:spacing w:after="3"/>
      </w:pPr>
      <w:r>
        <w:rPr>
          <w:rFonts w:ascii="Segoe UI Symbol" w:eastAsia="Segoe UI Symbol" w:hAnsi="Segoe UI Symbol" w:cs="Segoe UI Symbol"/>
          <w:sz w:val="25"/>
        </w:rPr>
        <w:t xml:space="preserve"> </w:t>
      </w:r>
      <w:r>
        <w:rPr>
          <w:rFonts w:ascii="Segoe UI Symbol" w:eastAsia="Segoe UI Symbol" w:hAnsi="Segoe UI Symbol" w:cs="Segoe UI Symbol"/>
          <w:sz w:val="27"/>
        </w:rPr>
        <w:t></w:t>
      </w:r>
      <w:r>
        <w:rPr>
          <w:rFonts w:ascii="Times New Roman" w:eastAsia="Times New Roman" w:hAnsi="Times New Roman" w:cs="Times New Roman"/>
          <w:sz w:val="15"/>
        </w:rPr>
        <w:t>1</w:t>
      </w:r>
      <w:r>
        <w:rPr>
          <w:rFonts w:ascii="Times New Roman" w:eastAsia="Times New Roman" w:hAnsi="Times New Roman" w:cs="Times New Roman"/>
          <w:sz w:val="15"/>
        </w:rPr>
        <w:tab/>
        <w:t xml:space="preserve">0 </w:t>
      </w:r>
      <w:r>
        <w:rPr>
          <w:rFonts w:ascii="Segoe UI Symbol" w:eastAsia="Segoe UI Symbol" w:hAnsi="Segoe UI Symbol" w:cs="Segoe UI Symbol"/>
          <w:sz w:val="25"/>
        </w:rPr>
        <w:t></w:t>
      </w:r>
      <w:r>
        <w:rPr>
          <w:rFonts w:ascii="Segoe UI Symbol" w:eastAsia="Segoe UI Symbol" w:hAnsi="Segoe UI Symbol" w:cs="Segoe UI Symbol"/>
          <w:sz w:val="27"/>
        </w:rPr>
        <w:t></w:t>
      </w:r>
      <w:r>
        <w:rPr>
          <w:rFonts w:ascii="Times New Roman" w:eastAsia="Times New Roman" w:hAnsi="Times New Roman" w:cs="Times New Roman"/>
          <w:sz w:val="15"/>
        </w:rPr>
        <w:t>1</w:t>
      </w:r>
      <w:r>
        <w:rPr>
          <w:rFonts w:ascii="Times New Roman" w:eastAsia="Times New Roman" w:hAnsi="Times New Roman" w:cs="Times New Roman"/>
          <w:sz w:val="15"/>
        </w:rPr>
        <w:tab/>
      </w:r>
      <w:r>
        <w:rPr>
          <w:rFonts w:ascii="Segoe UI Symbol" w:eastAsia="Segoe UI Symbol" w:hAnsi="Segoe UI Symbol" w:cs="Segoe UI Symbol"/>
          <w:sz w:val="27"/>
        </w:rPr>
        <w:t></w:t>
      </w:r>
      <w:r>
        <w:rPr>
          <w:rFonts w:ascii="Times New Roman" w:eastAsia="Times New Roman" w:hAnsi="Times New Roman" w:cs="Times New Roman"/>
          <w:sz w:val="15"/>
        </w:rPr>
        <w:t xml:space="preserve">1 </w:t>
      </w:r>
      <w:r>
        <w:rPr>
          <w:rFonts w:ascii="Segoe UI Symbol" w:eastAsia="Segoe UI Symbol" w:hAnsi="Segoe UI Symbol" w:cs="Segoe UI Symbol"/>
          <w:sz w:val="25"/>
        </w:rPr>
        <w:t></w:t>
      </w:r>
      <w:r>
        <w:rPr>
          <w:rFonts w:ascii="Segoe UI Symbol" w:eastAsia="Segoe UI Symbol" w:hAnsi="Segoe UI Symbol" w:cs="Segoe UI Symbol"/>
          <w:sz w:val="25"/>
        </w:rPr>
        <w:t></w:t>
      </w:r>
    </w:p>
    <w:p w:rsidR="0052701D" w:rsidRDefault="00D40929">
      <w:pPr>
        <w:spacing w:after="0" w:line="643" w:lineRule="auto"/>
        <w:ind w:left="9" w:right="572"/>
        <w:jc w:val="both"/>
      </w:pPr>
      <w:r>
        <w:rPr>
          <w:noProof/>
        </w:rPr>
        <mc:AlternateContent>
          <mc:Choice Requires="wpg">
            <w:drawing>
              <wp:anchor distT="0" distB="0" distL="114300" distR="114300" simplePos="0" relativeHeight="251729920" behindDoc="0" locked="0" layoutInCell="1" allowOverlap="1">
                <wp:simplePos x="0" y="0"/>
                <wp:positionH relativeFrom="column">
                  <wp:posOffset>143302</wp:posOffset>
                </wp:positionH>
                <wp:positionV relativeFrom="paragraph">
                  <wp:posOffset>11108</wp:posOffset>
                </wp:positionV>
                <wp:extent cx="3973067" cy="6147"/>
                <wp:effectExtent l="0" t="0" r="0" b="0"/>
                <wp:wrapNone/>
                <wp:docPr id="919956" name="Group 919956"/>
                <wp:cNvGraphicFramePr/>
                <a:graphic xmlns:a="http://schemas.openxmlformats.org/drawingml/2006/main">
                  <a:graphicData uri="http://schemas.microsoft.com/office/word/2010/wordprocessingGroup">
                    <wpg:wgp>
                      <wpg:cNvGrpSpPr/>
                      <wpg:grpSpPr>
                        <a:xfrm>
                          <a:off x="0" y="0"/>
                          <a:ext cx="3973067" cy="6147"/>
                          <a:chOff x="0" y="0"/>
                          <a:chExt cx="3973067" cy="6147"/>
                        </a:xfrm>
                      </wpg:grpSpPr>
                      <wps:wsp>
                        <wps:cNvPr id="11759" name="Shape 11759"/>
                        <wps:cNvSpPr/>
                        <wps:spPr>
                          <a:xfrm>
                            <a:off x="0" y="0"/>
                            <a:ext cx="1251129" cy="0"/>
                          </a:xfrm>
                          <a:custGeom>
                            <a:avLst/>
                            <a:gdLst/>
                            <a:ahLst/>
                            <a:cxnLst/>
                            <a:rect l="0" t="0" r="0" b="0"/>
                            <a:pathLst>
                              <a:path w="1251129">
                                <a:moveTo>
                                  <a:pt x="0" y="0"/>
                                </a:moveTo>
                                <a:lnTo>
                                  <a:pt x="1251129" y="0"/>
                                </a:lnTo>
                              </a:path>
                            </a:pathLst>
                          </a:custGeom>
                          <a:ln w="6147" cap="flat">
                            <a:round/>
                          </a:ln>
                        </wps:spPr>
                        <wps:style>
                          <a:lnRef idx="1">
                            <a:srgbClr val="000000"/>
                          </a:lnRef>
                          <a:fillRef idx="0">
                            <a:srgbClr val="000000">
                              <a:alpha val="0"/>
                            </a:srgbClr>
                          </a:fillRef>
                          <a:effectRef idx="0">
                            <a:scrgbClr r="0" g="0" b="0"/>
                          </a:effectRef>
                          <a:fontRef idx="none"/>
                        </wps:style>
                        <wps:bodyPr/>
                      </wps:wsp>
                      <wps:wsp>
                        <wps:cNvPr id="11764" name="Shape 11764"/>
                        <wps:cNvSpPr/>
                        <wps:spPr>
                          <a:xfrm>
                            <a:off x="1406071" y="0"/>
                            <a:ext cx="1163396" cy="0"/>
                          </a:xfrm>
                          <a:custGeom>
                            <a:avLst/>
                            <a:gdLst/>
                            <a:ahLst/>
                            <a:cxnLst/>
                            <a:rect l="0" t="0" r="0" b="0"/>
                            <a:pathLst>
                              <a:path w="1163396">
                                <a:moveTo>
                                  <a:pt x="0" y="0"/>
                                </a:moveTo>
                                <a:lnTo>
                                  <a:pt x="1163396" y="0"/>
                                </a:lnTo>
                              </a:path>
                            </a:pathLst>
                          </a:custGeom>
                          <a:ln w="6147" cap="flat">
                            <a:round/>
                          </a:ln>
                        </wps:spPr>
                        <wps:style>
                          <a:lnRef idx="1">
                            <a:srgbClr val="000000"/>
                          </a:lnRef>
                          <a:fillRef idx="0">
                            <a:srgbClr val="000000">
                              <a:alpha val="0"/>
                            </a:srgbClr>
                          </a:fillRef>
                          <a:effectRef idx="0">
                            <a:scrgbClr r="0" g="0" b="0"/>
                          </a:effectRef>
                          <a:fontRef idx="none"/>
                        </wps:style>
                        <wps:bodyPr/>
                      </wps:wsp>
                      <wps:wsp>
                        <wps:cNvPr id="11769" name="Shape 11769"/>
                        <wps:cNvSpPr/>
                        <wps:spPr>
                          <a:xfrm>
                            <a:off x="2722001" y="0"/>
                            <a:ext cx="1251065" cy="0"/>
                          </a:xfrm>
                          <a:custGeom>
                            <a:avLst/>
                            <a:gdLst/>
                            <a:ahLst/>
                            <a:cxnLst/>
                            <a:rect l="0" t="0" r="0" b="0"/>
                            <a:pathLst>
                              <a:path w="1251065">
                                <a:moveTo>
                                  <a:pt x="0" y="0"/>
                                </a:moveTo>
                                <a:lnTo>
                                  <a:pt x="1251065" y="0"/>
                                </a:lnTo>
                              </a:path>
                            </a:pathLst>
                          </a:custGeom>
                          <a:ln w="6147"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9956" style="width:312.84pt;height:0.483977pt;position:absolute;z-index:12;mso-position-horizontal-relative:text;mso-position-horizontal:absolute;margin-left:11.2836pt;mso-position-vertical-relative:text;margin-top:0.874672pt;" coordsize="39730,61">
                <v:shape id="Shape 11759" style="position:absolute;width:12511;height:0;left:0;top:0;" coordsize="1251129,0" path="m0,0l1251129,0">
                  <v:stroke weight="0.483977pt" endcap="flat" joinstyle="round" on="true" color="#000000"/>
                  <v:fill on="false" color="#000000" opacity="0"/>
                </v:shape>
                <v:shape id="Shape 11764" style="position:absolute;width:11633;height:0;left:14060;top:0;" coordsize="1163396,0" path="m0,0l1163396,0">
                  <v:stroke weight="0.483977pt" endcap="flat" joinstyle="round" on="true" color="#000000"/>
                  <v:fill on="false" color="#000000" opacity="0"/>
                </v:shape>
                <v:shape id="Shape 11769" style="position:absolute;width:12510;height:0;left:27220;top:0;" coordsize="1251065,0" path="m0,0l1251065,0">
                  <v:stroke weight="0.483977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730944" behindDoc="0" locked="0" layoutInCell="1" allowOverlap="1">
                <wp:simplePos x="0" y="0"/>
                <wp:positionH relativeFrom="column">
                  <wp:posOffset>884058</wp:posOffset>
                </wp:positionH>
                <wp:positionV relativeFrom="paragraph">
                  <wp:posOffset>542195</wp:posOffset>
                </wp:positionV>
                <wp:extent cx="1620045" cy="6347"/>
                <wp:effectExtent l="0" t="0" r="0" b="0"/>
                <wp:wrapNone/>
                <wp:docPr id="919957" name="Group 919957"/>
                <wp:cNvGraphicFramePr/>
                <a:graphic xmlns:a="http://schemas.openxmlformats.org/drawingml/2006/main">
                  <a:graphicData uri="http://schemas.microsoft.com/office/word/2010/wordprocessingGroup">
                    <wpg:wgp>
                      <wpg:cNvGrpSpPr/>
                      <wpg:grpSpPr>
                        <a:xfrm>
                          <a:off x="0" y="0"/>
                          <a:ext cx="1620045" cy="6347"/>
                          <a:chOff x="0" y="0"/>
                          <a:chExt cx="1620045" cy="6347"/>
                        </a:xfrm>
                      </wpg:grpSpPr>
                      <wps:wsp>
                        <wps:cNvPr id="11869" name="Shape 11869"/>
                        <wps:cNvSpPr/>
                        <wps:spPr>
                          <a:xfrm>
                            <a:off x="0" y="0"/>
                            <a:ext cx="811372" cy="0"/>
                          </a:xfrm>
                          <a:custGeom>
                            <a:avLst/>
                            <a:gdLst/>
                            <a:ahLst/>
                            <a:cxnLst/>
                            <a:rect l="0" t="0" r="0" b="0"/>
                            <a:pathLst>
                              <a:path w="811372">
                                <a:moveTo>
                                  <a:pt x="0" y="0"/>
                                </a:moveTo>
                                <a:lnTo>
                                  <a:pt x="811372" y="0"/>
                                </a:lnTo>
                              </a:path>
                            </a:pathLst>
                          </a:custGeom>
                          <a:ln w="6347" cap="flat">
                            <a:round/>
                          </a:ln>
                        </wps:spPr>
                        <wps:style>
                          <a:lnRef idx="1">
                            <a:srgbClr val="000000"/>
                          </a:lnRef>
                          <a:fillRef idx="0">
                            <a:srgbClr val="000000">
                              <a:alpha val="0"/>
                            </a:srgbClr>
                          </a:fillRef>
                          <a:effectRef idx="0">
                            <a:scrgbClr r="0" g="0" b="0"/>
                          </a:effectRef>
                          <a:fontRef idx="none"/>
                        </wps:style>
                        <wps:bodyPr/>
                      </wps:wsp>
                      <wps:wsp>
                        <wps:cNvPr id="11872" name="Shape 11872"/>
                        <wps:cNvSpPr/>
                        <wps:spPr>
                          <a:xfrm>
                            <a:off x="964972" y="0"/>
                            <a:ext cx="655073" cy="0"/>
                          </a:xfrm>
                          <a:custGeom>
                            <a:avLst/>
                            <a:gdLst/>
                            <a:ahLst/>
                            <a:cxnLst/>
                            <a:rect l="0" t="0" r="0" b="0"/>
                            <a:pathLst>
                              <a:path w="655073">
                                <a:moveTo>
                                  <a:pt x="0" y="0"/>
                                </a:moveTo>
                                <a:lnTo>
                                  <a:pt x="655073" y="0"/>
                                </a:lnTo>
                              </a:path>
                            </a:pathLst>
                          </a:custGeom>
                          <a:ln w="6347"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9957" style="width:127.563pt;height:0.499743pt;position:absolute;z-index:118;mso-position-horizontal-relative:text;mso-position-horizontal:absolute;margin-left:69.6108pt;mso-position-vertical-relative:text;margin-top:42.6925pt;" coordsize="16200,63">
                <v:shape id="Shape 11869" style="position:absolute;width:8113;height:0;left:0;top:0;" coordsize="811372,0" path="m0,0l811372,0">
                  <v:stroke weight="0.499743pt" endcap="flat" joinstyle="round" on="true" color="#000000"/>
                  <v:fill on="false" color="#000000" opacity="0"/>
                </v:shape>
                <v:shape id="Shape 11872" style="position:absolute;width:6550;height:0;left:9649;top:0;" coordsize="655073,0" path="m0,0l655073,0">
                  <v:stroke weight="0.499743pt" endcap="flat" joinstyle="round" on="true" color="#000000"/>
                  <v:fill on="false" color="#000000" opacity="0"/>
                </v:shape>
              </v:group>
            </w:pict>
          </mc:Fallback>
        </mc:AlternateContent>
      </w:r>
      <w:r>
        <w:rPr>
          <w:rFonts w:ascii="Segoe UI Symbol" w:eastAsia="Segoe UI Symbol" w:hAnsi="Segoe UI Symbol" w:cs="Segoe UI Symbol"/>
          <w:sz w:val="24"/>
        </w:rPr>
        <w:t xml:space="preserve"> </w:t>
      </w:r>
      <w:r>
        <w:rPr>
          <w:rFonts w:ascii="Times New Roman" w:eastAsia="Times New Roman" w:hAnsi="Times New Roman" w:cs="Times New Roman"/>
          <w:sz w:val="24"/>
        </w:rPr>
        <w:t>2</w:t>
      </w:r>
      <w:r>
        <w:rPr>
          <w:rFonts w:ascii="Segoe UI Symbol" w:eastAsia="Segoe UI Symbol" w:hAnsi="Segoe UI Symbol" w:cs="Segoe UI Symbol"/>
          <w:sz w:val="32"/>
        </w:rPr>
        <w:t></w:t>
      </w:r>
      <w:r>
        <w:rPr>
          <w:rFonts w:ascii="Segoe UI Symbol" w:eastAsia="Segoe UI Symbol" w:hAnsi="Segoe UI Symbol" w:cs="Segoe UI Symbol"/>
          <w:sz w:val="26"/>
        </w:rPr>
        <w:t></w:t>
      </w:r>
      <w:r>
        <w:rPr>
          <w:rFonts w:ascii="Segoe UI Symbol" w:eastAsia="Segoe UI Symbol" w:hAnsi="Segoe UI Symbol" w:cs="Segoe UI Symbol"/>
          <w:sz w:val="32"/>
        </w:rPr>
        <w:t></w:t>
      </w:r>
      <w:r>
        <w:rPr>
          <w:rFonts w:ascii="Times New Roman" w:eastAsia="Times New Roman" w:hAnsi="Times New Roman" w:cs="Times New Roman"/>
          <w:i/>
          <w:sz w:val="24"/>
        </w:rPr>
        <w:t>hh</w:t>
      </w:r>
      <w:r>
        <w:rPr>
          <w:rFonts w:ascii="Times New Roman" w:eastAsia="Times New Roman" w:hAnsi="Times New Roman" w:cs="Times New Roman"/>
          <w:vertAlign w:val="subscript"/>
        </w:rPr>
        <w:t>1</w:t>
      </w:r>
      <w:r>
        <w:rPr>
          <w:rFonts w:ascii="Times New Roman" w:eastAsia="Times New Roman" w:hAnsi="Times New Roman" w:cs="Times New Roman"/>
          <w:sz w:val="14"/>
        </w:rPr>
        <w:t>0</w:t>
      </w:r>
      <w:r>
        <w:rPr>
          <w:rFonts w:ascii="Segoe UI Symbol" w:eastAsia="Segoe UI Symbol" w:hAnsi="Segoe UI Symbol" w:cs="Segoe UI Symbol"/>
          <w:sz w:val="32"/>
        </w:rPr>
        <w:t></w:t>
      </w:r>
      <w:r>
        <w:rPr>
          <w:rFonts w:ascii="Times New Roman" w:eastAsia="Times New Roman" w:hAnsi="Times New Roman" w:cs="Times New Roman"/>
          <w:sz w:val="14"/>
        </w:rPr>
        <w:t>2</w:t>
      </w:r>
      <w:r>
        <w:rPr>
          <w:rFonts w:ascii="Segoe UI Symbol" w:eastAsia="Segoe UI Symbol" w:hAnsi="Segoe UI Symbol" w:cs="Segoe UI Symbol"/>
          <w:sz w:val="24"/>
        </w:rPr>
        <w:t></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24"/>
        </w:rPr>
        <w:t>2</w:t>
      </w:r>
      <w:r>
        <w:rPr>
          <w:rFonts w:ascii="Times New Roman" w:eastAsia="Times New Roman" w:hAnsi="Times New Roman" w:cs="Times New Roman"/>
          <w:vertAlign w:val="subscript"/>
        </w:rPr>
        <w:t>0</w:t>
      </w:r>
      <w:r>
        <w:rPr>
          <w:rFonts w:ascii="Segoe UI Symbol" w:eastAsia="Segoe UI Symbol" w:hAnsi="Segoe UI Symbol" w:cs="Segoe UI Symbol"/>
          <w:sz w:val="26"/>
        </w:rPr>
        <w:t></w:t>
      </w:r>
      <w:r>
        <w:rPr>
          <w:rFonts w:ascii="Segoe UI Symbol" w:eastAsia="Segoe UI Symbol" w:hAnsi="Segoe UI Symbol" w:cs="Segoe UI Symbol"/>
          <w:sz w:val="24"/>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Segoe UI Symbol" w:eastAsia="Segoe UI Symbol" w:hAnsi="Segoe UI Symbol" w:cs="Segoe UI Symbol"/>
          <w:sz w:val="26"/>
        </w:rPr>
        <w:t></w:t>
      </w:r>
      <w:r>
        <w:rPr>
          <w:rFonts w:ascii="Times New Roman" w:eastAsia="Times New Roman" w:hAnsi="Times New Roman" w:cs="Times New Roman"/>
          <w:i/>
          <w:sz w:val="24"/>
        </w:rPr>
        <w:t>zh</w:t>
      </w:r>
      <w:r>
        <w:rPr>
          <w:rFonts w:ascii="Times New Roman" w:eastAsia="Times New Roman" w:hAnsi="Times New Roman" w:cs="Times New Roman"/>
          <w:i/>
          <w:sz w:val="14"/>
        </w:rPr>
        <w:t>k</w:t>
      </w:r>
      <w:r>
        <w:rPr>
          <w:rFonts w:ascii="Segoe UI Symbol" w:eastAsia="Segoe UI Symbol" w:hAnsi="Segoe UI Symbol" w:cs="Segoe UI Symbol"/>
          <w:sz w:val="14"/>
        </w:rPr>
        <w:t></w:t>
      </w:r>
      <w:r>
        <w:rPr>
          <w:rFonts w:ascii="Times New Roman" w:eastAsia="Times New Roman" w:hAnsi="Times New Roman" w:cs="Times New Roman"/>
          <w:vertAlign w:val="subscript"/>
        </w:rPr>
        <w:t>1</w:t>
      </w:r>
      <w:r>
        <w:rPr>
          <w:rFonts w:ascii="Times New Roman" w:eastAsia="Times New Roman" w:hAnsi="Times New Roman" w:cs="Times New Roman"/>
          <w:sz w:val="14"/>
        </w:rPr>
        <w:t>1</w:t>
      </w:r>
      <w:r>
        <w:rPr>
          <w:rFonts w:ascii="Times New Roman" w:eastAsia="Times New Roman" w:hAnsi="Times New Roman" w:cs="Times New Roman"/>
          <w:i/>
          <w:sz w:val="24"/>
        </w:rPr>
        <w:t>z</w:t>
      </w:r>
      <w:r>
        <w:rPr>
          <w:rFonts w:ascii="Segoe UI Symbol" w:eastAsia="Segoe UI Symbol" w:hAnsi="Segoe UI Symbol" w:cs="Segoe UI Symbol"/>
          <w:sz w:val="32"/>
        </w:rPr>
        <w:t></w:t>
      </w:r>
      <w:r>
        <w:rPr>
          <w:rFonts w:ascii="Times New Roman" w:eastAsia="Times New Roman" w:hAnsi="Times New Roman" w:cs="Times New Roman"/>
          <w:i/>
          <w:vertAlign w:val="subscript"/>
        </w:rPr>
        <w:t>k</w:t>
      </w:r>
      <w:r>
        <w:rPr>
          <w:rFonts w:ascii="Segoe UI Symbol" w:eastAsia="Segoe UI Symbol" w:hAnsi="Segoe UI Symbol" w:cs="Segoe UI Symbol"/>
          <w:vertAlign w:val="subscript"/>
        </w:rPr>
        <w:t></w:t>
      </w:r>
      <w:r>
        <w:rPr>
          <w:rFonts w:ascii="Times New Roman" w:eastAsia="Times New Roman" w:hAnsi="Times New Roman" w:cs="Times New Roman"/>
          <w:vertAlign w:val="subscript"/>
        </w:rPr>
        <w:t>1</w:t>
      </w:r>
      <w:r>
        <w:rPr>
          <w:rFonts w:ascii="Segoe UI Symbol" w:eastAsia="Segoe UI Symbol" w:hAnsi="Segoe UI Symbol" w:cs="Segoe UI Symbol"/>
          <w:sz w:val="32"/>
        </w:rPr>
        <w:t></w:t>
      </w:r>
      <w:r>
        <w:rPr>
          <w:rFonts w:ascii="Segoe UI Symbol" w:eastAsia="Segoe UI Symbol" w:hAnsi="Segoe UI Symbol" w:cs="Segoe UI Symbol"/>
          <w:sz w:val="24"/>
        </w:rPr>
        <w:t xml:space="preserve"> </w:t>
      </w:r>
      <w:r>
        <w:rPr>
          <w:rFonts w:ascii="Times New Roman" w:eastAsia="Times New Roman" w:hAnsi="Times New Roman" w:cs="Times New Roman"/>
          <w:sz w:val="24"/>
        </w:rPr>
        <w:t>2</w:t>
      </w:r>
      <w:r>
        <w:rPr>
          <w:rFonts w:ascii="Segoe UI Symbol" w:eastAsia="Segoe UI Symbol" w:hAnsi="Segoe UI Symbol" w:cs="Segoe UI Symbol"/>
          <w:sz w:val="32"/>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vertAlign w:val="subscript"/>
        </w:rPr>
        <w:t>1</w:t>
      </w:r>
      <w:r>
        <w:rPr>
          <w:rFonts w:ascii="Segoe UI Symbol" w:eastAsia="Segoe UI Symbol" w:hAnsi="Segoe UI Symbol" w:cs="Segoe UI Symbol"/>
          <w:sz w:val="32"/>
        </w:rPr>
        <w:t></w:t>
      </w:r>
      <w:r>
        <w:rPr>
          <w:rFonts w:ascii="Segoe UI Symbol" w:eastAsia="Segoe UI Symbol" w:hAnsi="Segoe UI Symbol" w:cs="Segoe UI Symbol"/>
          <w:sz w:val="32"/>
        </w:rPr>
        <w:t></w:t>
      </w:r>
      <w:r>
        <w:rPr>
          <w:rFonts w:ascii="Times New Roman" w:eastAsia="Times New Roman" w:hAnsi="Times New Roman" w:cs="Times New Roman"/>
          <w:i/>
          <w:sz w:val="24"/>
        </w:rPr>
        <w:t>hz</w:t>
      </w:r>
      <w:r>
        <w:rPr>
          <w:rFonts w:ascii="Times New Roman" w:eastAsia="Times New Roman" w:hAnsi="Times New Roman" w:cs="Times New Roman"/>
          <w:vertAlign w:val="subscript"/>
        </w:rPr>
        <w:t>0</w:t>
      </w:r>
      <w:r>
        <w:rPr>
          <w:rFonts w:ascii="Times New Roman" w:eastAsia="Times New Roman" w:hAnsi="Times New Roman" w:cs="Times New Roman"/>
          <w:i/>
          <w:sz w:val="14"/>
        </w:rPr>
        <w:t>k</w:t>
      </w:r>
      <w:r>
        <w:rPr>
          <w:rFonts w:ascii="Segoe UI Symbol" w:eastAsia="Segoe UI Symbol" w:hAnsi="Segoe UI Symbol" w:cs="Segoe UI Symbol"/>
          <w:sz w:val="24"/>
        </w:rPr>
        <w:t></w:t>
      </w:r>
      <w:r>
        <w:rPr>
          <w:rFonts w:ascii="Segoe UI Symbol" w:eastAsia="Segoe UI Symbol" w:hAnsi="Segoe UI Symbol" w:cs="Segoe UI Symbol"/>
          <w:sz w:val="14"/>
        </w:rPr>
        <w:t></w:t>
      </w:r>
      <w:r>
        <w:rPr>
          <w:rFonts w:ascii="Times New Roman" w:eastAsia="Times New Roman" w:hAnsi="Times New Roman" w:cs="Times New Roman"/>
          <w:sz w:val="14"/>
        </w:rPr>
        <w:t>1</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vertAlign w:val="subscript"/>
        </w:rPr>
        <w:t>1</w:t>
      </w:r>
      <w:r>
        <w:rPr>
          <w:rFonts w:ascii="Times New Roman" w:eastAsia="Times New Roman" w:hAnsi="Times New Roman" w:cs="Times New Roman"/>
          <w:i/>
          <w:sz w:val="24"/>
        </w:rPr>
        <w:t>z</w:t>
      </w:r>
      <w:r>
        <w:rPr>
          <w:rFonts w:ascii="Times New Roman" w:eastAsia="Times New Roman" w:hAnsi="Times New Roman" w:cs="Times New Roman"/>
          <w:i/>
          <w:vertAlign w:val="subscript"/>
        </w:rPr>
        <w:t xml:space="preserve">k </w:t>
      </w:r>
      <w:r>
        <w:rPr>
          <w:rFonts w:ascii="Segoe UI Symbol" w:eastAsia="Segoe UI Symbol" w:hAnsi="Segoe UI Symbol" w:cs="Segoe UI Symbol"/>
          <w:sz w:val="32"/>
        </w:rPr>
        <w:t></w:t>
      </w:r>
      <w:r>
        <w:rPr>
          <w:rFonts w:ascii="Times New Roman" w:eastAsia="Times New Roman" w:hAnsi="Times New Roman" w:cs="Times New Roman"/>
          <w:sz w:val="14"/>
        </w:rPr>
        <w:t xml:space="preserve">2 </w:t>
      </w:r>
      <w:r>
        <w:rPr>
          <w:rFonts w:ascii="Segoe UI Symbol" w:eastAsia="Segoe UI Symbol" w:hAnsi="Segoe UI Symbol" w:cs="Segoe UI Symbol"/>
          <w:sz w:val="24"/>
        </w:rPr>
        <w:t xml:space="preserve"> </w:t>
      </w:r>
      <w:r>
        <w:rPr>
          <w:rFonts w:ascii="Times New Roman" w:eastAsia="Times New Roman" w:hAnsi="Times New Roman" w:cs="Times New Roman"/>
          <w:sz w:val="24"/>
        </w:rPr>
        <w:t>2</w:t>
      </w:r>
      <w:r>
        <w:rPr>
          <w:rFonts w:ascii="Segoe UI Symbol" w:eastAsia="Segoe UI Symbol" w:hAnsi="Segoe UI Symbol" w:cs="Segoe UI Symbol"/>
          <w:sz w:val="32"/>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vertAlign w:val="subscript"/>
        </w:rPr>
        <w:t>1</w:t>
      </w:r>
      <w:r>
        <w:rPr>
          <w:rFonts w:ascii="Segoe UI Symbol" w:eastAsia="Segoe UI Symbol" w:hAnsi="Segoe UI Symbol" w:cs="Segoe UI Symbol"/>
          <w:sz w:val="32"/>
        </w:rPr>
        <w:t></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vertAlign w:val="subscript"/>
        </w:rPr>
        <w:t>0</w:t>
      </w:r>
      <w:r>
        <w:rPr>
          <w:rFonts w:ascii="Times New Roman" w:eastAsia="Times New Roman" w:hAnsi="Times New Roman" w:cs="Times New Roman"/>
          <w:i/>
          <w:sz w:val="24"/>
        </w:rPr>
        <w:t>z</w:t>
      </w:r>
      <w:r>
        <w:rPr>
          <w:rFonts w:ascii="Times New Roman" w:eastAsia="Times New Roman" w:hAnsi="Times New Roman" w:cs="Times New Roman"/>
          <w:i/>
          <w:sz w:val="14"/>
        </w:rPr>
        <w:t>k</w:t>
      </w:r>
      <w:r>
        <w:rPr>
          <w:rFonts w:ascii="Segoe UI Symbol" w:eastAsia="Segoe UI Symbol" w:hAnsi="Segoe UI Symbol" w:cs="Segoe UI Symbol"/>
          <w:sz w:val="24"/>
        </w:rPr>
        <w:t></w:t>
      </w:r>
      <w:r>
        <w:rPr>
          <w:rFonts w:ascii="Segoe UI Symbol" w:eastAsia="Segoe UI Symbol" w:hAnsi="Segoe UI Symbol" w:cs="Segoe UI Symbol"/>
          <w:sz w:val="14"/>
        </w:rPr>
        <w:t></w:t>
      </w:r>
      <w:r>
        <w:rPr>
          <w:rFonts w:ascii="Times New Roman" w:eastAsia="Times New Roman" w:hAnsi="Times New Roman" w:cs="Times New Roman"/>
          <w:sz w:val="14"/>
        </w:rPr>
        <w:t>1</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vertAlign w:val="subscript"/>
        </w:rPr>
        <w:t>1</w:t>
      </w:r>
      <w:r>
        <w:rPr>
          <w:rFonts w:ascii="Times New Roman" w:eastAsia="Times New Roman" w:hAnsi="Times New Roman" w:cs="Times New Roman"/>
          <w:i/>
          <w:sz w:val="24"/>
        </w:rPr>
        <w:t>z</w:t>
      </w:r>
      <w:r>
        <w:rPr>
          <w:rFonts w:ascii="Times New Roman" w:eastAsia="Times New Roman" w:hAnsi="Times New Roman" w:cs="Times New Roman"/>
          <w:i/>
          <w:vertAlign w:val="subscript"/>
        </w:rPr>
        <w:t>k</w:t>
      </w:r>
      <w:r>
        <w:rPr>
          <w:rFonts w:ascii="Segoe UI Symbol" w:eastAsia="Segoe UI Symbol" w:hAnsi="Segoe UI Symbol" w:cs="Segoe UI Symbol"/>
          <w:vertAlign w:val="subscript"/>
        </w:rPr>
        <w:t></w:t>
      </w:r>
      <w:r>
        <w:rPr>
          <w:rFonts w:ascii="Times New Roman" w:eastAsia="Times New Roman" w:hAnsi="Times New Roman" w:cs="Times New Roman"/>
          <w:vertAlign w:val="subscript"/>
        </w:rPr>
        <w:t>1</w:t>
      </w:r>
      <w:r>
        <w:rPr>
          <w:rFonts w:ascii="Segoe UI Symbol" w:eastAsia="Segoe UI Symbol" w:hAnsi="Segoe UI Symbol" w:cs="Segoe UI Symbol"/>
          <w:sz w:val="32"/>
        </w:rPr>
        <w:t></w:t>
      </w:r>
      <w:r>
        <w:rPr>
          <w:rFonts w:ascii="Times New Roman" w:eastAsia="Times New Roman" w:hAnsi="Times New Roman" w:cs="Times New Roman"/>
          <w:sz w:val="14"/>
        </w:rPr>
        <w:t xml:space="preserve">2 </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Times New Roman" w:eastAsia="Times New Roman" w:hAnsi="Times New Roman" w:cs="Times New Roman"/>
          <w:i/>
          <w:sz w:val="24"/>
        </w:rPr>
        <w:t>H</w:t>
      </w:r>
      <w:r>
        <w:rPr>
          <w:rFonts w:ascii="Segoe UI Symbol" w:eastAsia="Segoe UI Symbol" w:hAnsi="Segoe UI Symbol" w:cs="Segoe UI Symbol"/>
          <w:sz w:val="32"/>
        </w:rPr>
        <w:t></w:t>
      </w:r>
      <w:r>
        <w:rPr>
          <w:rFonts w:ascii="Times New Roman" w:eastAsia="Times New Roman" w:hAnsi="Times New Roman" w:cs="Times New Roman"/>
          <w:i/>
          <w:sz w:val="24"/>
        </w:rPr>
        <w:t xml:space="preserve">z </w:t>
      </w:r>
      <w:r>
        <w:rPr>
          <w:rFonts w:ascii="Segoe UI Symbol" w:eastAsia="Segoe UI Symbol" w:hAnsi="Segoe UI Symbol" w:cs="Segoe UI Symbol"/>
          <w:sz w:val="24"/>
        </w:rPr>
        <w:t xml:space="preserve"> </w:t>
      </w:r>
      <w:r>
        <w:rPr>
          <w:rFonts w:ascii="Times New Roman" w:eastAsia="Times New Roman" w:hAnsi="Times New Roman" w:cs="Times New Roman"/>
          <w:i/>
          <w:sz w:val="24"/>
        </w:rPr>
        <w:t>z</w:t>
      </w:r>
      <w:r>
        <w:rPr>
          <w:rFonts w:ascii="Times New Roman" w:eastAsia="Times New Roman" w:hAnsi="Times New Roman" w:cs="Times New Roman"/>
          <w:i/>
          <w:sz w:val="14"/>
        </w:rPr>
        <w:t>k</w:t>
      </w:r>
      <w:r>
        <w:rPr>
          <w:rFonts w:ascii="Segoe UI Symbol" w:eastAsia="Segoe UI Symbol" w:hAnsi="Segoe UI Symbol" w:cs="Segoe UI Symbol"/>
          <w:sz w:val="14"/>
        </w:rPr>
        <w:t></w:t>
      </w:r>
      <w:r>
        <w:rPr>
          <w:rFonts w:ascii="Times New Roman" w:eastAsia="Times New Roman" w:hAnsi="Times New Roman" w:cs="Times New Roman"/>
          <w:sz w:val="14"/>
        </w:rPr>
        <w:t>1</w:t>
      </w:r>
      <w:r>
        <w:rPr>
          <w:rFonts w:ascii="Segoe UI Symbol" w:eastAsia="Segoe UI Symbol" w:hAnsi="Segoe UI Symbol" w:cs="Segoe UI Symbol"/>
          <w:sz w:val="32"/>
        </w:rPr>
        <w:t></w:t>
      </w:r>
      <w:r>
        <w:rPr>
          <w:rFonts w:ascii="Times New Roman" w:eastAsia="Times New Roman" w:hAnsi="Times New Roman" w:cs="Times New Roman"/>
          <w:i/>
          <w:sz w:val="24"/>
        </w:rPr>
        <w:t>u</w:t>
      </w:r>
      <w:r>
        <w:rPr>
          <w:rFonts w:ascii="Segoe UI Symbol" w:eastAsia="Segoe UI Symbol" w:hAnsi="Segoe UI Symbol" w:cs="Segoe UI Symbol"/>
          <w:sz w:val="32"/>
        </w:rPr>
        <w:t></w:t>
      </w:r>
      <w:r>
        <w:rPr>
          <w:rFonts w:ascii="Times New Roman" w:eastAsia="Times New Roman" w:hAnsi="Times New Roman" w:cs="Times New Roman"/>
          <w:i/>
          <w:sz w:val="24"/>
        </w:rPr>
        <w:t>z</w:t>
      </w:r>
      <w:r>
        <w:rPr>
          <w:rFonts w:ascii="Times New Roman" w:eastAsia="Times New Roman" w:hAnsi="Times New Roman" w:cs="Times New Roman"/>
          <w:i/>
          <w:sz w:val="14"/>
        </w:rPr>
        <w:t>k</w:t>
      </w:r>
      <w:r>
        <w:rPr>
          <w:rFonts w:ascii="Segoe UI Symbol" w:eastAsia="Segoe UI Symbol" w:hAnsi="Segoe UI Symbol" w:cs="Segoe UI Symbol"/>
          <w:sz w:val="14"/>
        </w:rPr>
        <w:t></w:t>
      </w:r>
      <w:r>
        <w:rPr>
          <w:rFonts w:ascii="Times New Roman" w:eastAsia="Times New Roman" w:hAnsi="Times New Roman" w:cs="Times New Roman"/>
          <w:sz w:val="14"/>
        </w:rPr>
        <w:t>1</w:t>
      </w:r>
      <w:r>
        <w:rPr>
          <w:rFonts w:ascii="Segoe UI Symbol" w:eastAsia="Segoe UI Symbol" w:hAnsi="Segoe UI Symbol" w:cs="Segoe UI Symbol"/>
          <w:sz w:val="32"/>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37"/>
          <w:vertAlign w:val="subscript"/>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Times New Roman" w:eastAsia="Times New Roman" w:hAnsi="Times New Roman" w:cs="Times New Roman"/>
          <w:sz w:val="37"/>
          <w:vertAlign w:val="subscript"/>
        </w:rPr>
        <w:t xml:space="preserve"> </w:t>
      </w:r>
      <w:r>
        <w:rPr>
          <w:rFonts w:ascii="Segoe UI Symbol" w:eastAsia="Segoe UI Symbol" w:hAnsi="Segoe UI Symbol" w:cs="Segoe UI Symbol"/>
          <w:sz w:val="25"/>
        </w:rPr>
        <w:t></w:t>
      </w:r>
      <w:r>
        <w:rPr>
          <w:rFonts w:ascii="Times New Roman" w:eastAsia="Times New Roman" w:hAnsi="Times New Roman" w:cs="Times New Roman"/>
          <w:sz w:val="25"/>
        </w:rPr>
        <w:t xml:space="preserve">12 </w:t>
      </w:r>
      <w:r>
        <w:rPr>
          <w:rFonts w:ascii="Times New Roman" w:eastAsia="Times New Roman" w:hAnsi="Times New Roman" w:cs="Times New Roman"/>
          <w:i/>
          <w:sz w:val="25"/>
        </w:rPr>
        <w:t>E</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Segoe UI Symbol" w:eastAsia="Segoe UI Symbol" w:hAnsi="Segoe UI Symbol" w:cs="Segoe UI Symbol"/>
          <w:sz w:val="27"/>
        </w:rPr>
        <w:t></w:t>
      </w:r>
      <w:r>
        <w:rPr>
          <w:rFonts w:ascii="Times New Roman" w:eastAsia="Times New Roman" w:hAnsi="Times New Roman" w:cs="Times New Roman"/>
          <w:i/>
          <w:sz w:val="25"/>
        </w:rPr>
        <w:t xml:space="preserve">h </w:t>
      </w:r>
      <w:r>
        <w:rPr>
          <w:rFonts w:ascii="Times New Roman" w:eastAsia="Times New Roman" w:hAnsi="Times New Roman" w:cs="Times New Roman"/>
          <w:sz w:val="15"/>
        </w:rPr>
        <w:t>2</w:t>
      </w:r>
      <w:r>
        <w:rPr>
          <w:rFonts w:ascii="Segoe UI Symbol" w:eastAsia="Segoe UI Symbol" w:hAnsi="Segoe UI Symbol" w:cs="Segoe UI Symbol"/>
          <w:sz w:val="33"/>
        </w:rPr>
        <w:t></w:t>
      </w:r>
      <w:r>
        <w:rPr>
          <w:rFonts w:ascii="Times New Roman" w:eastAsia="Times New Roman" w:hAnsi="Times New Roman" w:cs="Times New Roman"/>
          <w:sz w:val="15"/>
        </w:rPr>
        <w:t>2</w:t>
      </w:r>
      <w:r>
        <w:rPr>
          <w:rFonts w:ascii="Segoe UI Symbol" w:eastAsia="Segoe UI Symbol" w:hAnsi="Segoe UI Symbol" w:cs="Segoe UI Symbol"/>
          <w:sz w:val="40"/>
          <w:u w:val="single" w:color="000000"/>
        </w:rPr>
        <w:t xml:space="preserve"> </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sz w:val="25"/>
        </w:rPr>
        <w:t>2</w:t>
      </w:r>
      <w:r>
        <w:rPr>
          <w:rFonts w:ascii="Segoe UI Symbol" w:eastAsia="Segoe UI Symbol" w:hAnsi="Segoe UI Symbol" w:cs="Segoe UI Symbol"/>
          <w:sz w:val="33"/>
        </w:rPr>
        <w:t></w:t>
      </w:r>
      <w:r>
        <w:rPr>
          <w:rFonts w:ascii="Times New Roman" w:eastAsia="Times New Roman" w:hAnsi="Times New Roman" w:cs="Times New Roman"/>
          <w:i/>
          <w:sz w:val="25"/>
        </w:rPr>
        <w:t>h h</w:t>
      </w:r>
      <w:r>
        <w:rPr>
          <w:rFonts w:ascii="Times New Roman" w:eastAsia="Times New Roman" w:hAnsi="Times New Roman" w:cs="Times New Roman"/>
          <w:sz w:val="15"/>
        </w:rPr>
        <w:t xml:space="preserve">0 </w:t>
      </w:r>
      <w:r>
        <w:rPr>
          <w:rFonts w:ascii="Times New Roman" w:eastAsia="Times New Roman" w:hAnsi="Times New Roman" w:cs="Times New Roman"/>
          <w:i/>
          <w:sz w:val="25"/>
        </w:rPr>
        <w:t>h z</w:t>
      </w:r>
      <w:r>
        <w:rPr>
          <w:rFonts w:ascii="Segoe UI Symbol" w:eastAsia="Segoe UI Symbol" w:hAnsi="Segoe UI Symbol" w:cs="Segoe UI Symbol"/>
          <w:sz w:val="33"/>
        </w:rPr>
        <w:t></w:t>
      </w:r>
      <w:r>
        <w:rPr>
          <w:rFonts w:ascii="Times New Roman" w:eastAsia="Times New Roman" w:hAnsi="Times New Roman" w:cs="Times New Roman"/>
          <w:sz w:val="15"/>
        </w:rPr>
        <w:t xml:space="preserve">2 </w:t>
      </w:r>
      <w:r>
        <w:rPr>
          <w:rFonts w:ascii="Segoe UI Symbol" w:eastAsia="Segoe UI Symbol" w:hAnsi="Segoe UI Symbol" w:cs="Segoe UI Symbol"/>
          <w:sz w:val="25"/>
        </w:rPr>
        <w:t xml:space="preserve"> </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Times New Roman" w:eastAsia="Times New Roman" w:hAnsi="Times New Roman" w:cs="Times New Roman"/>
          <w:sz w:val="25"/>
        </w:rPr>
        <w:t>1</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i/>
          <w:sz w:val="25"/>
        </w:rPr>
        <w:t>А</w:t>
      </w:r>
      <w:r>
        <w:rPr>
          <w:rFonts w:ascii="Segoe UI Symbol" w:eastAsia="Segoe UI Symbol" w:hAnsi="Segoe UI Symbol" w:cs="Segoe UI Symbol"/>
          <w:sz w:val="25"/>
        </w:rPr>
        <w:t></w:t>
      </w:r>
      <w:r>
        <w:rPr>
          <w:rFonts w:ascii="Times New Roman" w:eastAsia="Times New Roman" w:hAnsi="Times New Roman" w:cs="Times New Roman"/>
          <w:sz w:val="25"/>
        </w:rPr>
        <w:t xml:space="preserve">6 </w:t>
      </w:r>
      <w:r>
        <w:rPr>
          <w:noProof/>
        </w:rPr>
        <mc:AlternateContent>
          <mc:Choice Requires="wpg">
            <w:drawing>
              <wp:inline distT="0" distB="0" distL="0" distR="0">
                <wp:extent cx="1131349" cy="6347"/>
                <wp:effectExtent l="0" t="0" r="0" b="0"/>
                <wp:docPr id="919958" name="Group 919958"/>
                <wp:cNvGraphicFramePr/>
                <a:graphic xmlns:a="http://schemas.openxmlformats.org/drawingml/2006/main">
                  <a:graphicData uri="http://schemas.microsoft.com/office/word/2010/wordprocessingGroup">
                    <wpg:wgp>
                      <wpg:cNvGrpSpPr/>
                      <wpg:grpSpPr>
                        <a:xfrm>
                          <a:off x="0" y="0"/>
                          <a:ext cx="1131349" cy="6347"/>
                          <a:chOff x="0" y="0"/>
                          <a:chExt cx="1131349" cy="6347"/>
                        </a:xfrm>
                      </wpg:grpSpPr>
                      <wps:wsp>
                        <wps:cNvPr id="11879" name="Shape 11879"/>
                        <wps:cNvSpPr/>
                        <wps:spPr>
                          <a:xfrm>
                            <a:off x="0" y="0"/>
                            <a:ext cx="1131349" cy="0"/>
                          </a:xfrm>
                          <a:custGeom>
                            <a:avLst/>
                            <a:gdLst/>
                            <a:ahLst/>
                            <a:cxnLst/>
                            <a:rect l="0" t="0" r="0" b="0"/>
                            <a:pathLst>
                              <a:path w="1131349">
                                <a:moveTo>
                                  <a:pt x="0" y="0"/>
                                </a:moveTo>
                                <a:lnTo>
                                  <a:pt x="1131349" y="0"/>
                                </a:lnTo>
                              </a:path>
                            </a:pathLst>
                          </a:custGeom>
                          <a:ln w="634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9958" style="width:89.0826pt;height:0.499743pt;mso-position-horizontal-relative:char;mso-position-vertical-relative:line" coordsize="11313,63">
                <v:shape id="Shape 11879" style="position:absolute;width:11313;height:0;left:0;top:0;" coordsize="1131349,0" path="m0,0l1131349,0">
                  <v:stroke weight="0.499743pt" endcap="flat" joinstyle="round" on="true" color="#000000"/>
                  <v:fill on="false" color="#000000" opacity="0"/>
                </v:shape>
              </v:group>
            </w:pict>
          </mc:Fallback>
        </mc:AlternateContent>
      </w:r>
      <w:r>
        <w:rPr>
          <w:rFonts w:ascii="Times New Roman" w:eastAsia="Times New Roman" w:hAnsi="Times New Roman" w:cs="Times New Roman"/>
          <w:i/>
          <w:sz w:val="25"/>
        </w:rPr>
        <w:t>E</w:t>
      </w:r>
      <w:r>
        <w:rPr>
          <w:rFonts w:ascii="Segoe UI Symbol" w:eastAsia="Segoe UI Symbol" w:hAnsi="Segoe UI Symbol" w:cs="Segoe UI Symbol"/>
          <w:sz w:val="33"/>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Segoe UI Symbol" w:eastAsia="Segoe UI Symbol" w:hAnsi="Segoe UI Symbol" w:cs="Segoe UI Symbol"/>
          <w:sz w:val="40"/>
        </w:rPr>
        <w:t></w:t>
      </w:r>
      <w:r>
        <w:rPr>
          <w:rFonts w:ascii="Segoe UI Symbol" w:eastAsia="Segoe UI Symbol" w:hAnsi="Segoe UI Symbol" w:cs="Segoe UI Symbol"/>
          <w:sz w:val="33"/>
        </w:rPr>
        <w:t></w:t>
      </w:r>
      <w:r>
        <w:rPr>
          <w:rFonts w:ascii="Times New Roman" w:eastAsia="Times New Roman" w:hAnsi="Times New Roman" w:cs="Times New Roman"/>
          <w:sz w:val="25"/>
        </w:rPr>
        <w:t>1</w:t>
      </w:r>
      <w:r>
        <w:rPr>
          <w:rFonts w:ascii="Times New Roman" w:eastAsia="Times New Roman" w:hAnsi="Times New Roman" w:cs="Times New Roman"/>
          <w:sz w:val="15"/>
        </w:rPr>
        <w:t>2</w:t>
      </w:r>
      <w:r>
        <w:rPr>
          <w:rFonts w:ascii="Segoe UI Symbol" w:eastAsia="Segoe UI Symbol" w:hAnsi="Segoe UI Symbol" w:cs="Segoe UI Symbol"/>
          <w:sz w:val="25"/>
        </w:rPr>
        <w:t></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Segoe UI Symbol" w:eastAsia="Segoe UI Symbol" w:hAnsi="Segoe UI Symbol" w:cs="Segoe UI Symbol"/>
          <w:sz w:val="27"/>
        </w:rPr>
        <w:t></w:t>
      </w:r>
      <w:r>
        <w:rPr>
          <w:rFonts w:ascii="Times New Roman" w:eastAsia="Times New Roman" w:hAnsi="Times New Roman" w:cs="Times New Roman"/>
          <w:sz w:val="15"/>
        </w:rPr>
        <w:t>0 2</w:t>
      </w:r>
      <w:r>
        <w:rPr>
          <w:rFonts w:ascii="Segoe UI Symbol" w:eastAsia="Segoe UI Symbol" w:hAnsi="Segoe UI Symbol" w:cs="Segoe UI Symbol"/>
          <w:sz w:val="25"/>
        </w:rPr>
        <w:t></w:t>
      </w:r>
      <w:r>
        <w:rPr>
          <w:rFonts w:ascii="Segoe UI Symbol" w:eastAsia="Segoe UI Symbol" w:hAnsi="Segoe UI Symbol" w:cs="Segoe UI Symbol"/>
          <w:sz w:val="40"/>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Times New Roman" w:eastAsia="Times New Roman" w:hAnsi="Times New Roman" w:cs="Times New Roman"/>
          <w:i/>
          <w:sz w:val="25"/>
        </w:rPr>
        <w:t xml:space="preserve">В </w:t>
      </w:r>
      <w:r>
        <w:rPr>
          <w:rFonts w:ascii="Segoe UI Symbol" w:eastAsia="Segoe UI Symbol" w:hAnsi="Segoe UI Symbol" w:cs="Segoe UI Symbol"/>
          <w:sz w:val="25"/>
        </w:rPr>
        <w:t></w:t>
      </w:r>
      <w:r>
        <w:rPr>
          <w:rFonts w:ascii="Times New Roman" w:eastAsia="Times New Roman" w:hAnsi="Times New Roman" w:cs="Times New Roman"/>
          <w:i/>
          <w:sz w:val="25"/>
        </w:rPr>
        <w:t>С</w:t>
      </w:r>
      <w:r>
        <w:rPr>
          <w:rFonts w:ascii="Times New Roman" w:eastAsia="Times New Roman" w:hAnsi="Times New Roman" w:cs="Times New Roman"/>
          <w:sz w:val="25"/>
        </w:rPr>
        <w:t>,</w:t>
      </w:r>
      <w:r>
        <w:rPr>
          <w:rFonts w:ascii="Times New Roman" w:eastAsia="Times New Roman" w:hAnsi="Times New Roman" w:cs="Times New Roman"/>
          <w:sz w:val="24"/>
        </w:rPr>
        <w:t xml:space="preserve"> </w:t>
      </w:r>
    </w:p>
    <w:p w:rsidR="0052701D" w:rsidRDefault="00D40929">
      <w:pPr>
        <w:spacing w:after="0"/>
        <w:ind w:left="532" w:hanging="10"/>
      </w:pPr>
      <w:r>
        <w:rPr>
          <w:rFonts w:ascii="Segoe UI Symbol" w:eastAsia="Segoe UI Symbol" w:hAnsi="Segoe UI Symbol" w:cs="Segoe UI Symbol"/>
          <w:sz w:val="40"/>
          <w:u w:val="single" w:color="000000"/>
        </w:rPr>
        <w:t></w:t>
      </w:r>
      <w:r>
        <w:rPr>
          <w:rFonts w:ascii="Times New Roman" w:eastAsia="Times New Roman" w:hAnsi="Times New Roman" w:cs="Times New Roman"/>
          <w:sz w:val="25"/>
        </w:rPr>
        <w:t>1</w:t>
      </w:r>
    </w:p>
    <w:p w:rsidR="0052701D" w:rsidRDefault="00D40929">
      <w:pPr>
        <w:tabs>
          <w:tab w:val="center" w:pos="1043"/>
          <w:tab w:val="center" w:pos="2033"/>
        </w:tabs>
        <w:spacing w:after="3"/>
      </w:pPr>
      <w:r>
        <w:tab/>
      </w:r>
      <w:r>
        <w:rPr>
          <w:rFonts w:ascii="Segoe UI Symbol" w:eastAsia="Segoe UI Symbol" w:hAnsi="Segoe UI Symbol" w:cs="Segoe UI Symbol"/>
          <w:sz w:val="27"/>
        </w:rPr>
        <w:t></w:t>
      </w:r>
      <w:r>
        <w:rPr>
          <w:rFonts w:ascii="Times New Roman" w:eastAsia="Times New Roman" w:hAnsi="Times New Roman" w:cs="Times New Roman"/>
          <w:sz w:val="15"/>
        </w:rPr>
        <w:t xml:space="preserve">1 </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ab/>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Segoe UI Symbol" w:eastAsia="Segoe UI Symbol" w:hAnsi="Segoe UI Symbol" w:cs="Segoe UI Symbol"/>
          <w:sz w:val="27"/>
        </w:rPr>
        <w:t></w:t>
      </w:r>
      <w:r>
        <w:rPr>
          <w:rFonts w:ascii="Times New Roman" w:eastAsia="Times New Roman" w:hAnsi="Times New Roman" w:cs="Times New Roman"/>
          <w:sz w:val="15"/>
        </w:rPr>
        <w:t>1</w:t>
      </w:r>
    </w:p>
    <w:p w:rsidR="0052701D" w:rsidRDefault="00D40929">
      <w:pPr>
        <w:spacing w:after="572"/>
      </w:pPr>
      <w:r>
        <w:rPr>
          <w:rFonts w:ascii="Times New Roman" w:eastAsia="Times New Roman" w:hAnsi="Times New Roman" w:cs="Times New Roman"/>
          <w:sz w:val="24"/>
        </w:rPr>
        <w:t xml:space="preserve"> </w:t>
      </w:r>
    </w:p>
    <w:p w:rsidR="0052701D" w:rsidRDefault="00D40929">
      <w:pPr>
        <w:spacing w:after="157" w:line="375" w:lineRule="auto"/>
        <w:ind w:left="1096" w:right="262" w:hanging="1087"/>
        <w:jc w:val="both"/>
      </w:pPr>
      <w:r>
        <w:rPr>
          <w:noProof/>
        </w:rPr>
        <w:lastRenderedPageBreak/>
        <mc:AlternateContent>
          <mc:Choice Requires="wpg">
            <w:drawing>
              <wp:anchor distT="0" distB="0" distL="114300" distR="114300" simplePos="0" relativeHeight="251731968" behindDoc="0" locked="0" layoutInCell="1" allowOverlap="1">
                <wp:simplePos x="0" y="0"/>
                <wp:positionH relativeFrom="column">
                  <wp:posOffset>1582018</wp:posOffset>
                </wp:positionH>
                <wp:positionV relativeFrom="paragraph">
                  <wp:posOffset>60208</wp:posOffset>
                </wp:positionV>
                <wp:extent cx="1665736" cy="6135"/>
                <wp:effectExtent l="0" t="0" r="0" b="0"/>
                <wp:wrapNone/>
                <wp:docPr id="919959" name="Group 919959"/>
                <wp:cNvGraphicFramePr/>
                <a:graphic xmlns:a="http://schemas.openxmlformats.org/drawingml/2006/main">
                  <a:graphicData uri="http://schemas.microsoft.com/office/word/2010/wordprocessingGroup">
                    <wpg:wgp>
                      <wpg:cNvGrpSpPr/>
                      <wpg:grpSpPr>
                        <a:xfrm>
                          <a:off x="0" y="0"/>
                          <a:ext cx="1665736" cy="6135"/>
                          <a:chOff x="0" y="0"/>
                          <a:chExt cx="1665736" cy="6135"/>
                        </a:xfrm>
                      </wpg:grpSpPr>
                      <wps:wsp>
                        <wps:cNvPr id="11953" name="Shape 11953"/>
                        <wps:cNvSpPr/>
                        <wps:spPr>
                          <a:xfrm>
                            <a:off x="0" y="0"/>
                            <a:ext cx="1063881" cy="0"/>
                          </a:xfrm>
                          <a:custGeom>
                            <a:avLst/>
                            <a:gdLst/>
                            <a:ahLst/>
                            <a:cxnLst/>
                            <a:rect l="0" t="0" r="0" b="0"/>
                            <a:pathLst>
                              <a:path w="1063881">
                                <a:moveTo>
                                  <a:pt x="0" y="0"/>
                                </a:moveTo>
                                <a:lnTo>
                                  <a:pt x="1063881" y="0"/>
                                </a:lnTo>
                              </a:path>
                            </a:pathLst>
                          </a:custGeom>
                          <a:ln w="6135" cap="flat">
                            <a:round/>
                          </a:ln>
                        </wps:spPr>
                        <wps:style>
                          <a:lnRef idx="1">
                            <a:srgbClr val="000000"/>
                          </a:lnRef>
                          <a:fillRef idx="0">
                            <a:srgbClr val="000000">
                              <a:alpha val="0"/>
                            </a:srgbClr>
                          </a:fillRef>
                          <a:effectRef idx="0">
                            <a:scrgbClr r="0" g="0" b="0"/>
                          </a:effectRef>
                          <a:fontRef idx="none"/>
                        </wps:style>
                        <wps:bodyPr/>
                      </wps:wsp>
                      <wps:wsp>
                        <wps:cNvPr id="11956" name="Shape 11956"/>
                        <wps:cNvSpPr/>
                        <wps:spPr>
                          <a:xfrm>
                            <a:off x="1298540" y="0"/>
                            <a:ext cx="367196" cy="0"/>
                          </a:xfrm>
                          <a:custGeom>
                            <a:avLst/>
                            <a:gdLst/>
                            <a:ahLst/>
                            <a:cxnLst/>
                            <a:rect l="0" t="0" r="0" b="0"/>
                            <a:pathLst>
                              <a:path w="367196">
                                <a:moveTo>
                                  <a:pt x="0" y="0"/>
                                </a:moveTo>
                                <a:lnTo>
                                  <a:pt x="367196" y="0"/>
                                </a:lnTo>
                              </a:path>
                            </a:pathLst>
                          </a:custGeom>
                          <a:ln w="6135"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9959" style="width:131.16pt;height:0.483102pt;position:absolute;z-index:202;mso-position-horizontal-relative:text;mso-position-horizontal:absolute;margin-left:124.568pt;mso-position-vertical-relative:text;margin-top:4.74075pt;" coordsize="16657,61">
                <v:shape id="Shape 11953" style="position:absolute;width:10638;height:0;left:0;top:0;" coordsize="1063881,0" path="m0,0l1063881,0">
                  <v:stroke weight="0.483102pt" endcap="flat" joinstyle="round" on="true" color="#000000"/>
                  <v:fill on="false" color="#000000" opacity="0"/>
                </v:shape>
                <v:shape id="Shape 11956" style="position:absolute;width:3671;height:0;left:12985;top:0;" coordsize="367196,0" path="m0,0l367196,0">
                  <v:stroke weight="0.483102pt" endcap="flat" joinstyle="round" on="true" color="#000000"/>
                  <v:fill on="false" color="#000000" opacity="0"/>
                </v:shape>
              </v:group>
            </w:pict>
          </mc:Fallback>
        </mc:AlternateContent>
      </w:r>
      <w:r>
        <w:rPr>
          <w:rFonts w:ascii="Times New Roman" w:eastAsia="Times New Roman" w:hAnsi="Times New Roman" w:cs="Times New Roman"/>
          <w:i/>
          <w:sz w:val="24"/>
        </w:rPr>
        <w:t>M</w:t>
      </w:r>
      <w:r>
        <w:rPr>
          <w:rFonts w:ascii="Times New Roman" w:eastAsia="Times New Roman" w:hAnsi="Times New Roman" w:cs="Times New Roman"/>
          <w:sz w:val="14"/>
        </w:rPr>
        <w:t>1</w:t>
      </w:r>
      <w:r>
        <w:rPr>
          <w:rFonts w:ascii="Segoe UI Symbol" w:eastAsia="Segoe UI Symbol" w:hAnsi="Segoe UI Symbol" w:cs="Segoe UI Symbol"/>
          <w:sz w:val="32"/>
        </w:rPr>
        <w:t></w:t>
      </w:r>
      <w:r>
        <w:rPr>
          <w:rFonts w:ascii="Times New Roman" w:eastAsia="Times New Roman" w:hAnsi="Times New Roman" w:cs="Times New Roman"/>
          <w:i/>
          <w:sz w:val="24"/>
        </w:rPr>
        <w:t>z</w:t>
      </w:r>
      <w:r>
        <w:rPr>
          <w:rFonts w:ascii="Segoe UI Symbol" w:eastAsia="Segoe UI Symbol" w:hAnsi="Segoe UI Symbol" w:cs="Segoe UI Symbol"/>
          <w:sz w:val="32"/>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Times New Roman" w:eastAsia="Times New Roman" w:hAnsi="Times New Roman" w:cs="Times New Roman"/>
          <w:i/>
          <w:sz w:val="24"/>
        </w:rPr>
        <w:t>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Times New Roman" w:eastAsia="Times New Roman" w:hAnsi="Times New Roman" w:cs="Times New Roman"/>
          <w:sz w:val="24"/>
        </w:rPr>
        <w:t>6</w:t>
      </w:r>
      <w:r>
        <w:rPr>
          <w:rFonts w:ascii="Times New Roman" w:eastAsia="Times New Roman" w:hAnsi="Times New Roman" w:cs="Times New Roman"/>
          <w:i/>
          <w:sz w:val="24"/>
        </w:rPr>
        <w:t>p</w:t>
      </w:r>
      <w:r>
        <w:rPr>
          <w:rFonts w:ascii="Times New Roman" w:eastAsia="Times New Roman" w:hAnsi="Times New Roman" w:cs="Times New Roman"/>
          <w:sz w:val="14"/>
        </w:rPr>
        <w:t xml:space="preserve">* </w:t>
      </w:r>
      <w:r>
        <w:rPr>
          <w:rFonts w:ascii="Segoe UI Symbol" w:eastAsia="Segoe UI Symbol" w:hAnsi="Segoe UI Symbol" w:cs="Segoe UI Symbol"/>
          <w:sz w:val="39"/>
          <w:u w:val="single" w:color="000000"/>
        </w:rPr>
        <w:t></w:t>
      </w:r>
      <w:r>
        <w:rPr>
          <w:rFonts w:ascii="Times New Roman" w:eastAsia="Times New Roman" w:hAnsi="Times New Roman" w:cs="Times New Roman"/>
          <w:sz w:val="24"/>
        </w:rPr>
        <w:t>1</w:t>
      </w:r>
      <w:r>
        <w:rPr>
          <w:rFonts w:ascii="Segoe UI Symbol" w:eastAsia="Segoe UI Symbol" w:hAnsi="Segoe UI Symbol" w:cs="Segoe UI Symbol"/>
          <w:sz w:val="24"/>
        </w:rPr>
        <w:t></w:t>
      </w:r>
      <w:r>
        <w:rPr>
          <w:rFonts w:ascii="Times New Roman" w:eastAsia="Times New Roman" w:hAnsi="Times New Roman" w:cs="Times New Roman"/>
          <w:i/>
          <w:sz w:val="24"/>
        </w:rPr>
        <w:t>E</w:t>
      </w:r>
      <w:r>
        <w:rPr>
          <w:rFonts w:ascii="Segoe UI Symbol" w:eastAsia="Segoe UI Symbol" w:hAnsi="Segoe UI Symbol" w:cs="Segoe UI Symbol"/>
          <w:sz w:val="26"/>
        </w:rPr>
        <w:t></w:t>
      </w:r>
      <w:r>
        <w:rPr>
          <w:rFonts w:ascii="Times New Roman" w:eastAsia="Times New Roman" w:hAnsi="Times New Roman" w:cs="Times New Roman"/>
          <w:sz w:val="14"/>
        </w:rPr>
        <w:t>2</w:t>
      </w:r>
      <w:r>
        <w:rPr>
          <w:rFonts w:ascii="Segoe UI Symbol" w:eastAsia="Segoe UI Symbol" w:hAnsi="Segoe UI Symbol" w:cs="Segoe UI Symbol"/>
          <w:sz w:val="39"/>
          <w:u w:val="single" w:color="000000"/>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Times New Roman" w:eastAsia="Times New Roman" w:hAnsi="Times New Roman" w:cs="Times New Roman"/>
          <w:sz w:val="24"/>
        </w:rPr>
        <w:t>2</w:t>
      </w:r>
      <w:r>
        <w:rPr>
          <w:rFonts w:ascii="Segoe UI Symbol" w:eastAsia="Segoe UI Symbol" w:hAnsi="Segoe UI Symbol" w:cs="Segoe UI Symbol"/>
          <w:sz w:val="32"/>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Segoe UI Symbol" w:eastAsia="Segoe UI Symbol" w:hAnsi="Segoe UI Symbol" w:cs="Segoe UI Symbol"/>
          <w:sz w:val="32"/>
        </w:rPr>
        <w:t></w:t>
      </w:r>
      <w:r>
        <w:rPr>
          <w:rFonts w:ascii="Times New Roman" w:eastAsia="Times New Roman" w:hAnsi="Times New Roman" w:cs="Times New Roman"/>
          <w:sz w:val="14"/>
        </w:rPr>
        <w:t>4</w:t>
      </w:r>
      <w:r>
        <w:rPr>
          <w:rFonts w:ascii="Segoe UI Symbol" w:eastAsia="Segoe UI Symbol" w:hAnsi="Segoe UI Symbol" w:cs="Segoe UI Symbol"/>
          <w:sz w:val="32"/>
        </w:rPr>
        <w:t></w:t>
      </w:r>
      <w:r>
        <w:rPr>
          <w:rFonts w:ascii="Times New Roman" w:eastAsia="Times New Roman" w:hAnsi="Times New Roman" w:cs="Times New Roman"/>
          <w:i/>
          <w:sz w:val="24"/>
        </w:rPr>
        <w:t>hh</w:t>
      </w:r>
      <w:r>
        <w:rPr>
          <w:rFonts w:ascii="Times New Roman" w:eastAsia="Times New Roman" w:hAnsi="Times New Roman" w:cs="Times New Roman"/>
          <w:sz w:val="14"/>
        </w:rPr>
        <w:t xml:space="preserve">020 </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z</w:t>
      </w:r>
      <w:r>
        <w:rPr>
          <w:rFonts w:ascii="Segoe UI Symbol" w:eastAsia="Segoe UI Symbol" w:hAnsi="Segoe UI Symbol" w:cs="Segoe UI Symbol"/>
          <w:sz w:val="32"/>
        </w:rPr>
        <w:t></w:t>
      </w:r>
      <w:r>
        <w:rPr>
          <w:rFonts w:ascii="Segoe UI Symbol" w:eastAsia="Segoe UI Symbol" w:hAnsi="Segoe UI Symbol" w:cs="Segoe UI Symbol"/>
          <w:sz w:val="24"/>
        </w:rPr>
        <w:t></w:t>
      </w:r>
      <w:r>
        <w:rPr>
          <w:rFonts w:ascii="Times New Roman" w:eastAsia="Times New Roman" w:hAnsi="Times New Roman" w:cs="Times New Roman"/>
          <w:sz w:val="24"/>
        </w:rPr>
        <w:t>3</w:t>
      </w:r>
      <w:r>
        <w:rPr>
          <w:rFonts w:ascii="Segoe UI Symbol" w:eastAsia="Segoe UI Symbol" w:hAnsi="Segoe UI Symbol" w:cs="Segoe UI Symbol"/>
          <w:sz w:val="32"/>
        </w:rPr>
        <w:t></w:t>
      </w:r>
      <w:r>
        <w:rPr>
          <w:rFonts w:ascii="Segoe UI Symbol" w:eastAsia="Segoe UI Symbol" w:hAnsi="Segoe UI Symbol" w:cs="Segoe UI Symbol"/>
          <w:sz w:val="26"/>
        </w:rPr>
        <w:t></w:t>
      </w:r>
      <w:r>
        <w:rPr>
          <w:rFonts w:ascii="Times New Roman" w:eastAsia="Times New Roman" w:hAnsi="Times New Roman" w:cs="Times New Roman"/>
          <w:i/>
          <w:sz w:val="24"/>
        </w:rPr>
        <w:t>hh</w:t>
      </w:r>
      <w:r>
        <w:rPr>
          <w:rFonts w:ascii="Times New Roman" w:eastAsia="Times New Roman" w:hAnsi="Times New Roman" w:cs="Times New Roman"/>
          <w:sz w:val="14"/>
        </w:rPr>
        <w:t>10</w:t>
      </w:r>
      <w:r>
        <w:rPr>
          <w:rFonts w:ascii="Segoe UI Symbol" w:eastAsia="Segoe UI Symbol" w:hAnsi="Segoe UI Symbol" w:cs="Segoe UI Symbol"/>
          <w:sz w:val="32"/>
        </w:rPr>
        <w:t></w:t>
      </w:r>
      <w:r>
        <w:rPr>
          <w:rFonts w:ascii="Times New Roman" w:eastAsia="Times New Roman" w:hAnsi="Times New Roman" w:cs="Times New Roman"/>
          <w:sz w:val="14"/>
        </w:rPr>
        <w:t xml:space="preserve">4 </w:t>
      </w:r>
      <w:r>
        <w:rPr>
          <w:rFonts w:ascii="Times New Roman" w:eastAsia="Times New Roman" w:hAnsi="Times New Roman" w:cs="Times New Roman"/>
          <w:sz w:val="24"/>
        </w:rPr>
        <w:t>ln</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z</w:t>
      </w:r>
      <w:r>
        <w:rPr>
          <w:rFonts w:ascii="Segoe UI Symbol" w:eastAsia="Segoe UI Symbol" w:hAnsi="Segoe UI Symbol" w:cs="Segoe UI Symbol"/>
          <w:sz w:val="32"/>
        </w:rPr>
        <w:t></w:t>
      </w:r>
      <w:r>
        <w:rPr>
          <w:rFonts w:ascii="Segoe UI Symbol" w:eastAsia="Segoe UI Symbol" w:hAnsi="Segoe UI Symbol" w:cs="Segoe UI Symbol"/>
          <w:sz w:val="24"/>
        </w:rPr>
        <w:t xml:space="preserve"> </w:t>
      </w:r>
      <w:r>
        <w:rPr>
          <w:noProof/>
        </w:rPr>
        <mc:AlternateContent>
          <mc:Choice Requires="wpg">
            <w:drawing>
              <wp:inline distT="0" distB="0" distL="0" distR="0">
                <wp:extent cx="633506" cy="6135"/>
                <wp:effectExtent l="0" t="0" r="0" b="0"/>
                <wp:docPr id="919960" name="Group 919960"/>
                <wp:cNvGraphicFramePr/>
                <a:graphic xmlns:a="http://schemas.openxmlformats.org/drawingml/2006/main">
                  <a:graphicData uri="http://schemas.microsoft.com/office/word/2010/wordprocessingGroup">
                    <wpg:wgp>
                      <wpg:cNvGrpSpPr/>
                      <wpg:grpSpPr>
                        <a:xfrm>
                          <a:off x="0" y="0"/>
                          <a:ext cx="633506" cy="6135"/>
                          <a:chOff x="0" y="0"/>
                          <a:chExt cx="633506" cy="6135"/>
                        </a:xfrm>
                      </wpg:grpSpPr>
                      <wps:wsp>
                        <wps:cNvPr id="11963" name="Shape 11963"/>
                        <wps:cNvSpPr/>
                        <wps:spPr>
                          <a:xfrm>
                            <a:off x="0" y="0"/>
                            <a:ext cx="633506" cy="0"/>
                          </a:xfrm>
                          <a:custGeom>
                            <a:avLst/>
                            <a:gdLst/>
                            <a:ahLst/>
                            <a:cxnLst/>
                            <a:rect l="0" t="0" r="0" b="0"/>
                            <a:pathLst>
                              <a:path w="633506">
                                <a:moveTo>
                                  <a:pt x="0" y="0"/>
                                </a:moveTo>
                                <a:lnTo>
                                  <a:pt x="633506" y="0"/>
                                </a:lnTo>
                              </a:path>
                            </a:pathLst>
                          </a:custGeom>
                          <a:ln w="613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9960" style="width:49.8824pt;height:0.483102pt;mso-position-horizontal-relative:char;mso-position-vertical-relative:line" coordsize="6335,61">
                <v:shape id="Shape 11963" style="position:absolute;width:6335;height:0;left:0;top:0;" coordsize="633506,0" path="m0,0l633506,0">
                  <v:stroke weight="0.483102pt" endcap="flat" joinstyle="round" on="true" color="#000000"/>
                  <v:fill on="false" color="#000000" opacity="0"/>
                </v:shape>
              </v:group>
            </w:pict>
          </mc:Fallback>
        </mc:AlternateConten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0</w:t>
      </w:r>
      <w:r>
        <w:rPr>
          <w:rFonts w:ascii="Segoe UI Symbol" w:eastAsia="Segoe UI Symbol" w:hAnsi="Segoe UI Symbol" w:cs="Segoe UI Symbol"/>
          <w:sz w:val="32"/>
        </w:rPr>
        <w:t></w:t>
      </w:r>
      <w:r>
        <w:rPr>
          <w:rFonts w:ascii="Segoe UI Symbol" w:eastAsia="Segoe UI Symbol" w:hAnsi="Segoe UI Symbol" w:cs="Segoe UI Symbol"/>
          <w:sz w:val="26"/>
        </w:rPr>
        <w:t></w:t>
      </w:r>
      <w:r>
        <w:rPr>
          <w:rFonts w:ascii="Segoe UI Symbol" w:eastAsia="Segoe UI Symbol" w:hAnsi="Segoe UI Symbol" w:cs="Segoe UI Symbol"/>
          <w:sz w:val="24"/>
        </w:rPr>
        <w:t></w:t>
      </w:r>
      <w:r>
        <w:rPr>
          <w:rFonts w:ascii="Times New Roman" w:eastAsia="Times New Roman" w:hAnsi="Times New Roman" w:cs="Times New Roman"/>
          <w:i/>
          <w:sz w:val="24"/>
        </w:rPr>
        <w:t>h</w:t>
      </w:r>
      <w:r>
        <w:rPr>
          <w:rFonts w:ascii="Segoe UI Symbol" w:eastAsia="Segoe UI Symbol" w:hAnsi="Segoe UI Symbol" w:cs="Segoe UI Symbol"/>
          <w:sz w:val="26"/>
        </w:rPr>
        <w:t></w:t>
      </w:r>
      <w:r>
        <w:rPr>
          <w:rFonts w:ascii="Times New Roman" w:eastAsia="Times New Roman" w:hAnsi="Times New Roman" w:cs="Times New Roman"/>
          <w:sz w:val="14"/>
        </w:rPr>
        <w:t>1</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41</w:t>
      </w:r>
      <w:r>
        <w:rPr>
          <w:rFonts w:ascii="Times New Roman" w:eastAsia="Times New Roman" w:hAnsi="Times New Roman" w:cs="Times New Roman"/>
          <w:i/>
          <w:sz w:val="24"/>
        </w:rPr>
        <w:t>z</w:t>
      </w:r>
      <w:r>
        <w:rPr>
          <w:rFonts w:ascii="Segoe UI Symbol" w:eastAsia="Segoe UI Symbol" w:hAnsi="Segoe UI Symbol" w:cs="Segoe UI Symbol"/>
          <w:sz w:val="32"/>
        </w:rPr>
        <w:t></w:t>
      </w:r>
      <w:r>
        <w:rPr>
          <w:rFonts w:ascii="Segoe UI Symbol" w:eastAsia="Segoe UI Symbol" w:hAnsi="Segoe UI Symbol" w:cs="Segoe UI Symbol"/>
          <w:sz w:val="33"/>
        </w:rPr>
        <w:t></w:t>
      </w:r>
      <w:r>
        <w:rPr>
          <w:rFonts w:ascii="Times New Roman" w:eastAsia="Times New Roman" w:hAnsi="Times New Roman" w:cs="Times New Roman"/>
          <w:sz w:val="24"/>
        </w:rPr>
        <w:t>ln</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z</w:t>
      </w:r>
      <w:r>
        <w:rPr>
          <w:rFonts w:ascii="Segoe UI Symbol" w:eastAsia="Segoe UI Symbol" w:hAnsi="Segoe UI Symbol" w:cs="Segoe UI Symbol"/>
          <w:sz w:val="32"/>
        </w:rPr>
        <w:t></w:t>
      </w:r>
      <w:r>
        <w:rPr>
          <w:rFonts w:ascii="Segoe UI Symbol" w:eastAsia="Segoe UI Symbol" w:hAnsi="Segoe UI Symbol" w:cs="Segoe UI Symbol"/>
          <w:sz w:val="24"/>
        </w:rPr>
        <w:t></w:t>
      </w:r>
      <w:r>
        <w:rPr>
          <w:rFonts w:ascii="Times New Roman" w:eastAsia="Times New Roman" w:hAnsi="Times New Roman" w:cs="Times New Roman"/>
          <w:sz w:val="24"/>
        </w:rPr>
        <w:t>1</w:t>
      </w:r>
      <w:r>
        <w:rPr>
          <w:rFonts w:ascii="Segoe UI Symbol" w:eastAsia="Segoe UI Symbol" w:hAnsi="Segoe UI Symbol" w:cs="Segoe UI Symbol"/>
          <w:sz w:val="33"/>
        </w:rPr>
        <w:t></w:t>
      </w:r>
      <w:r>
        <w:rPr>
          <w:rFonts w:ascii="Segoe UI Symbol" w:eastAsia="Segoe UI Symbol" w:hAnsi="Segoe UI Symbol" w:cs="Segoe UI Symbol"/>
          <w:sz w:val="24"/>
        </w:rPr>
        <w:t xml:space="preserve"> </w:t>
      </w:r>
      <w:r>
        <w:rPr>
          <w:rFonts w:ascii="Segoe UI Symbol" w:eastAsia="Segoe UI Symbol" w:hAnsi="Segoe UI Symbol" w:cs="Segoe UI Symbol"/>
          <w:sz w:val="24"/>
        </w:rPr>
        <w:t></w:t>
      </w:r>
    </w:p>
    <w:p w:rsidR="0052701D" w:rsidRDefault="00D40929">
      <w:pPr>
        <w:numPr>
          <w:ilvl w:val="0"/>
          <w:numId w:val="8"/>
        </w:numPr>
        <w:spacing w:after="3"/>
        <w:ind w:hanging="1222"/>
      </w:pPr>
      <w:r>
        <w:rPr>
          <w:noProof/>
        </w:rPr>
        <mc:AlternateContent>
          <mc:Choice Requires="wpg">
            <w:drawing>
              <wp:anchor distT="0" distB="0" distL="114300" distR="114300" simplePos="0" relativeHeight="251732992" behindDoc="0" locked="0" layoutInCell="1" allowOverlap="1">
                <wp:simplePos x="0" y="0"/>
                <wp:positionH relativeFrom="column">
                  <wp:posOffset>140070</wp:posOffset>
                </wp:positionH>
                <wp:positionV relativeFrom="paragraph">
                  <wp:posOffset>126250</wp:posOffset>
                </wp:positionV>
                <wp:extent cx="1662471" cy="6269"/>
                <wp:effectExtent l="0" t="0" r="0" b="0"/>
                <wp:wrapNone/>
                <wp:docPr id="919961" name="Group 919961"/>
                <wp:cNvGraphicFramePr/>
                <a:graphic xmlns:a="http://schemas.openxmlformats.org/drawingml/2006/main">
                  <a:graphicData uri="http://schemas.microsoft.com/office/word/2010/wordprocessingGroup">
                    <wpg:wgp>
                      <wpg:cNvGrpSpPr/>
                      <wpg:grpSpPr>
                        <a:xfrm>
                          <a:off x="0" y="0"/>
                          <a:ext cx="1662471" cy="6269"/>
                          <a:chOff x="0" y="0"/>
                          <a:chExt cx="1662471" cy="6269"/>
                        </a:xfrm>
                      </wpg:grpSpPr>
                      <wps:wsp>
                        <wps:cNvPr id="12049" name="Shape 12049"/>
                        <wps:cNvSpPr/>
                        <wps:spPr>
                          <a:xfrm>
                            <a:off x="0" y="0"/>
                            <a:ext cx="861944" cy="0"/>
                          </a:xfrm>
                          <a:custGeom>
                            <a:avLst/>
                            <a:gdLst/>
                            <a:ahLst/>
                            <a:cxnLst/>
                            <a:rect l="0" t="0" r="0" b="0"/>
                            <a:pathLst>
                              <a:path w="861944">
                                <a:moveTo>
                                  <a:pt x="0" y="0"/>
                                </a:moveTo>
                                <a:lnTo>
                                  <a:pt x="861944" y="0"/>
                                </a:lnTo>
                              </a:path>
                            </a:pathLst>
                          </a:custGeom>
                          <a:ln w="6269" cap="flat">
                            <a:round/>
                          </a:ln>
                        </wps:spPr>
                        <wps:style>
                          <a:lnRef idx="1">
                            <a:srgbClr val="000000"/>
                          </a:lnRef>
                          <a:fillRef idx="0">
                            <a:srgbClr val="000000">
                              <a:alpha val="0"/>
                            </a:srgbClr>
                          </a:fillRef>
                          <a:effectRef idx="0">
                            <a:scrgbClr r="0" g="0" b="0"/>
                          </a:effectRef>
                          <a:fontRef idx="none"/>
                        </wps:style>
                        <wps:bodyPr/>
                      </wps:wsp>
                      <wps:wsp>
                        <wps:cNvPr id="12054" name="Shape 12054"/>
                        <wps:cNvSpPr/>
                        <wps:spPr>
                          <a:xfrm>
                            <a:off x="1016155" y="0"/>
                            <a:ext cx="646316" cy="0"/>
                          </a:xfrm>
                          <a:custGeom>
                            <a:avLst/>
                            <a:gdLst/>
                            <a:ahLst/>
                            <a:cxnLst/>
                            <a:rect l="0" t="0" r="0" b="0"/>
                            <a:pathLst>
                              <a:path w="646316">
                                <a:moveTo>
                                  <a:pt x="0" y="0"/>
                                </a:moveTo>
                                <a:lnTo>
                                  <a:pt x="646316" y="0"/>
                                </a:lnTo>
                              </a:path>
                            </a:pathLst>
                          </a:custGeom>
                          <a:ln w="6269"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9961" style="width:130.903pt;height:0.493592pt;position:absolute;z-index:299;mso-position-horizontal-relative:text;mso-position-horizontal:absolute;margin-left:11.0291pt;mso-position-vertical-relative:text;margin-top:9.94098pt;" coordsize="16624,62">
                <v:shape id="Shape 12049" style="position:absolute;width:8619;height:0;left:0;top:0;" coordsize="861944,0" path="m0,0l861944,0">
                  <v:stroke weight="0.493592pt" endcap="flat" joinstyle="round" on="true" color="#000000"/>
                  <v:fill on="false" color="#000000" opacity="0"/>
                </v:shape>
                <v:shape id="Shape 12054" style="position:absolute;width:6463;height:0;left:10161;top:0;" coordsize="646316,0" path="m0,0l646316,0">
                  <v:stroke weight="0.493592pt" endcap="flat" joinstyle="round" on="true" color="#000000"/>
                  <v:fill on="false" color="#000000" opacity="0"/>
                </v:shape>
              </v:group>
            </w:pict>
          </mc:Fallback>
        </mc:AlternateContent>
      </w:r>
      <w:r>
        <w:rPr>
          <w:rFonts w:ascii="Times New Roman" w:eastAsia="Times New Roman" w:hAnsi="Times New Roman" w:cs="Times New Roman"/>
          <w:i/>
          <w:sz w:val="25"/>
        </w:rPr>
        <w:t>z</w:t>
      </w:r>
      <w:r>
        <w:rPr>
          <w:rFonts w:ascii="Times New Roman" w:eastAsia="Times New Roman" w:hAnsi="Times New Roman" w:cs="Times New Roman"/>
          <w:sz w:val="25"/>
        </w:rPr>
        <w:t>ln</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sz w:val="15"/>
        </w:rPr>
        <w:t xml:space="preserve">3 </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25"/>
        </w:rPr>
        <w:t xml:space="preserve"> </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15"/>
        </w:rPr>
        <w:t>41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34"/>
        </w:rPr>
        <w:t></w:t>
      </w:r>
      <w:r>
        <w:rPr>
          <w:rFonts w:ascii="Times New Roman" w:eastAsia="Times New Roman" w:hAnsi="Times New Roman" w:cs="Times New Roman"/>
          <w:sz w:val="25"/>
        </w:rPr>
        <w:t>ln</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Times New Roman" w:eastAsia="Times New Roman" w:hAnsi="Times New Roman" w:cs="Times New Roman"/>
          <w:sz w:val="25"/>
        </w:rPr>
        <w:t>1</w:t>
      </w:r>
      <w:r>
        <w:rPr>
          <w:rFonts w:ascii="Segoe UI Symbol" w:eastAsia="Segoe UI Symbol" w:hAnsi="Segoe UI Symbol" w:cs="Segoe UI Symbol"/>
          <w:sz w:val="34"/>
        </w:rPr>
        <w:t></w:t>
      </w:r>
      <w:r>
        <w:rPr>
          <w:rFonts w:ascii="Segoe UI Symbol" w:eastAsia="Segoe UI Symbol" w:hAnsi="Segoe UI Symbol" w:cs="Segoe UI Symbol"/>
          <w:sz w:val="25"/>
        </w:rPr>
        <w:t></w:t>
      </w:r>
      <w:r>
        <w:rPr>
          <w:rFonts w:ascii="Segoe UI Symbol" w:eastAsia="Segoe UI Symbol" w:hAnsi="Segoe UI Symbol" w:cs="Segoe UI Symbol"/>
          <w:sz w:val="25"/>
        </w:rPr>
        <w:tab/>
      </w:r>
      <w:r>
        <w:rPr>
          <w:noProof/>
        </w:rPr>
        <mc:AlternateContent>
          <mc:Choice Requires="wpg">
            <w:drawing>
              <wp:inline distT="0" distB="0" distL="0" distR="0">
                <wp:extent cx="370749" cy="6269"/>
                <wp:effectExtent l="0" t="0" r="0" b="0"/>
                <wp:docPr id="919962" name="Group 919962"/>
                <wp:cNvGraphicFramePr/>
                <a:graphic xmlns:a="http://schemas.openxmlformats.org/drawingml/2006/main">
                  <a:graphicData uri="http://schemas.microsoft.com/office/word/2010/wordprocessingGroup">
                    <wpg:wgp>
                      <wpg:cNvGrpSpPr/>
                      <wpg:grpSpPr>
                        <a:xfrm>
                          <a:off x="0" y="0"/>
                          <a:ext cx="370749" cy="6269"/>
                          <a:chOff x="0" y="0"/>
                          <a:chExt cx="370749" cy="6269"/>
                        </a:xfrm>
                      </wpg:grpSpPr>
                      <wps:wsp>
                        <wps:cNvPr id="12061" name="Shape 12061"/>
                        <wps:cNvSpPr/>
                        <wps:spPr>
                          <a:xfrm>
                            <a:off x="0" y="0"/>
                            <a:ext cx="370749" cy="0"/>
                          </a:xfrm>
                          <a:custGeom>
                            <a:avLst/>
                            <a:gdLst/>
                            <a:ahLst/>
                            <a:cxnLst/>
                            <a:rect l="0" t="0" r="0" b="0"/>
                            <a:pathLst>
                              <a:path w="370749">
                                <a:moveTo>
                                  <a:pt x="0" y="0"/>
                                </a:moveTo>
                                <a:lnTo>
                                  <a:pt x="370749" y="0"/>
                                </a:lnTo>
                              </a:path>
                            </a:pathLst>
                          </a:custGeom>
                          <a:ln w="6269"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9962" style="width:29.1928pt;height:0.493592pt;mso-position-horizontal-relative:char;mso-position-vertical-relative:line" coordsize="3707,62">
                <v:shape id="Shape 12061" style="position:absolute;width:3707;height:0;left:0;top:0;" coordsize="370749,0" path="m0,0l370749,0">
                  <v:stroke weight="0.493592pt" endcap="flat" joinstyle="round" on="true" color="#000000"/>
                  <v:fill on="false" color="#000000" opacity="0"/>
                </v:shape>
              </v:group>
            </w:pict>
          </mc:Fallback>
        </mc:AlternateContent>
      </w:r>
      <w:r>
        <w:rPr>
          <w:rFonts w:ascii="Times New Roman" w:eastAsia="Times New Roman" w:hAnsi="Times New Roman" w:cs="Times New Roman"/>
          <w:i/>
          <w:sz w:val="25"/>
        </w:rPr>
        <w:t xml:space="preserve">z </w:t>
      </w:r>
      <w:r>
        <w:rPr>
          <w:rFonts w:ascii="Times New Roman" w:eastAsia="Times New Roman" w:hAnsi="Times New Roman" w:cs="Times New Roman"/>
          <w:sz w:val="15"/>
        </w:rPr>
        <w:t xml:space="preserve">5 </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sz w:val="25"/>
        </w:rPr>
        <w:t>12</w:t>
      </w:r>
      <w:r>
        <w:rPr>
          <w:rFonts w:ascii="Segoe UI Symbol" w:eastAsia="Segoe UI Symbol" w:hAnsi="Segoe UI Symbol" w:cs="Segoe UI Symbol"/>
          <w:sz w:val="26"/>
        </w:rPr>
        <w:t></w:t>
      </w:r>
      <w:r>
        <w:rPr>
          <w:rFonts w:ascii="Segoe UI Symbol" w:eastAsia="Segoe UI Symbol" w:hAnsi="Segoe UI Symbol" w:cs="Segoe UI Symbol"/>
          <w:sz w:val="26"/>
        </w:rPr>
        <w:t></w:t>
      </w:r>
      <w:r>
        <w:rPr>
          <w:rFonts w:ascii="Times New Roman" w:eastAsia="Times New Roman" w:hAnsi="Times New Roman" w:cs="Times New Roman"/>
          <w:sz w:val="15"/>
        </w:rPr>
        <w:t xml:space="preserve">2 </w:t>
      </w:r>
      <w:r>
        <w:rPr>
          <w:noProof/>
        </w:rPr>
        <mc:AlternateContent>
          <mc:Choice Requires="wpg">
            <w:drawing>
              <wp:inline distT="0" distB="0" distL="0" distR="0">
                <wp:extent cx="803016" cy="6269"/>
                <wp:effectExtent l="0" t="0" r="0" b="0"/>
                <wp:docPr id="919963" name="Group 919963"/>
                <wp:cNvGraphicFramePr/>
                <a:graphic xmlns:a="http://schemas.openxmlformats.org/drawingml/2006/main">
                  <a:graphicData uri="http://schemas.microsoft.com/office/word/2010/wordprocessingGroup">
                    <wpg:wgp>
                      <wpg:cNvGrpSpPr/>
                      <wpg:grpSpPr>
                        <a:xfrm>
                          <a:off x="0" y="0"/>
                          <a:ext cx="803016" cy="6269"/>
                          <a:chOff x="0" y="0"/>
                          <a:chExt cx="803016" cy="6269"/>
                        </a:xfrm>
                      </wpg:grpSpPr>
                      <wps:wsp>
                        <wps:cNvPr id="12068" name="Shape 12068"/>
                        <wps:cNvSpPr/>
                        <wps:spPr>
                          <a:xfrm>
                            <a:off x="0" y="0"/>
                            <a:ext cx="803016" cy="0"/>
                          </a:xfrm>
                          <a:custGeom>
                            <a:avLst/>
                            <a:gdLst/>
                            <a:ahLst/>
                            <a:cxnLst/>
                            <a:rect l="0" t="0" r="0" b="0"/>
                            <a:pathLst>
                              <a:path w="803016">
                                <a:moveTo>
                                  <a:pt x="0" y="0"/>
                                </a:moveTo>
                                <a:lnTo>
                                  <a:pt x="803016" y="0"/>
                                </a:lnTo>
                              </a:path>
                            </a:pathLst>
                          </a:custGeom>
                          <a:ln w="6269"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9963" style="width:63.2296pt;height:0.493592pt;mso-position-horizontal-relative:char;mso-position-vertical-relative:line" coordsize="8030,62">
                <v:shape id="Shape 12068" style="position:absolute;width:8030;height:0;left:0;top:0;" coordsize="803016,0" path="m0,0l803016,0">
                  <v:stroke weight="0.493592pt" endcap="flat" joinstyle="round" on="true" color="#000000"/>
                  <v:fill on="false" color="#000000" opacity="0"/>
                </v:shape>
              </v:group>
            </w:pict>
          </mc:Fallback>
        </mc:AlternateContent>
      </w:r>
      <w:r>
        <w:rPr>
          <w:rFonts w:ascii="Segoe UI Symbol" w:eastAsia="Segoe UI Symbol" w:hAnsi="Segoe UI Symbol" w:cs="Segoe UI Symbol"/>
          <w:sz w:val="40"/>
        </w:rPr>
        <w:t></w:t>
      </w:r>
      <w:r>
        <w:rPr>
          <w:rFonts w:ascii="Times New Roman" w:eastAsia="Times New Roman" w:hAnsi="Times New Roman" w:cs="Times New Roman"/>
          <w:sz w:val="25"/>
        </w:rPr>
        <w:t>1</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sz w:val="15"/>
        </w:rPr>
        <w:t xml:space="preserve">2 </w:t>
      </w:r>
      <w:r>
        <w:rPr>
          <w:rFonts w:ascii="Segoe UI Symbol" w:eastAsia="Segoe UI Symbol" w:hAnsi="Segoe UI Symbol" w:cs="Segoe UI Symbol"/>
          <w:sz w:val="40"/>
        </w:rPr>
        <w:t></w:t>
      </w:r>
      <w:r>
        <w:rPr>
          <w:rFonts w:ascii="Segoe UI Symbol" w:eastAsia="Segoe UI Symbol" w:hAnsi="Segoe UI Symbol" w:cs="Segoe UI Symbol"/>
          <w:sz w:val="33"/>
        </w:rPr>
        <w:t></w:t>
      </w:r>
      <w:r>
        <w:rPr>
          <w:rFonts w:ascii="Times New Roman" w:eastAsia="Times New Roman" w:hAnsi="Times New Roman" w:cs="Times New Roman"/>
          <w:sz w:val="25"/>
        </w:rPr>
        <w:t>1</w:t>
      </w:r>
      <w:r>
        <w:rPr>
          <w:rFonts w:ascii="Segoe UI Symbol" w:eastAsia="Segoe UI Symbol" w:hAnsi="Segoe UI Symbol" w:cs="Segoe UI Symbol"/>
          <w:sz w:val="25"/>
        </w:rPr>
        <w:t></w:t>
      </w:r>
      <w:r>
        <w:rPr>
          <w:rFonts w:ascii="Times New Roman" w:eastAsia="Times New Roman" w:hAnsi="Times New Roman" w:cs="Times New Roman"/>
          <w:sz w:val="15"/>
        </w:rPr>
        <w:t>4</w:t>
      </w:r>
      <w:r>
        <w:rPr>
          <w:rFonts w:ascii="Segoe UI Symbol" w:eastAsia="Segoe UI Symbol" w:hAnsi="Segoe UI Symbol" w:cs="Segoe UI Symbol"/>
          <w:sz w:val="26"/>
        </w:rPr>
        <w:t></w:t>
      </w:r>
      <w:r>
        <w:rPr>
          <w:rFonts w:ascii="Segoe UI Symbol" w:eastAsia="Segoe UI Symbol" w:hAnsi="Segoe UI Symbol" w:cs="Segoe UI Symbol"/>
          <w:sz w:val="33"/>
        </w:rPr>
        <w:t></w:t>
      </w:r>
      <w:r>
        <w:rPr>
          <w:rFonts w:ascii="Times New Roman" w:eastAsia="Times New Roman" w:hAnsi="Times New Roman" w:cs="Times New Roman"/>
          <w:sz w:val="25"/>
        </w:rPr>
        <w:t>ln</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Times New Roman" w:eastAsia="Times New Roman" w:hAnsi="Times New Roman" w:cs="Times New Roman"/>
          <w:sz w:val="15"/>
        </w:rPr>
        <w:t xml:space="preserve">2 </w:t>
      </w:r>
      <w:r>
        <w:rPr>
          <w:rFonts w:ascii="Segoe UI Symbol" w:eastAsia="Segoe UI Symbol" w:hAnsi="Segoe UI Symbol" w:cs="Segoe UI Symbol"/>
          <w:sz w:val="25"/>
        </w:rPr>
        <w:t></w:t>
      </w:r>
    </w:p>
    <w:p w:rsidR="0052701D" w:rsidRDefault="00D40929">
      <w:pPr>
        <w:tabs>
          <w:tab w:val="center" w:pos="854"/>
          <w:tab w:val="center" w:pos="2280"/>
          <w:tab w:val="center" w:pos="5072"/>
          <w:tab w:val="center" w:pos="6879"/>
          <w:tab w:val="center" w:pos="9124"/>
        </w:tabs>
        <w:spacing w:after="0"/>
      </w:pPr>
      <w:r>
        <w:tab/>
      </w:r>
      <w:r>
        <w:rPr>
          <w:rFonts w:ascii="Segoe UI Symbol" w:eastAsia="Segoe UI Symbol" w:hAnsi="Segoe UI Symbol" w:cs="Segoe UI Symbol"/>
          <w:sz w:val="33"/>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Segoe UI Symbol" w:eastAsia="Segoe UI Symbol" w:hAnsi="Segoe UI Symbol" w:cs="Segoe UI Symbol"/>
          <w:sz w:val="33"/>
        </w:rPr>
        <w:t></w:t>
      </w:r>
      <w:r>
        <w:rPr>
          <w:rFonts w:ascii="Segoe UI Symbol" w:eastAsia="Segoe UI Symbol" w:hAnsi="Segoe UI Symbol" w:cs="Segoe UI Symbol"/>
          <w:sz w:val="33"/>
        </w:rPr>
        <w:tab/>
      </w:r>
      <w:r>
        <w:rPr>
          <w:rFonts w:ascii="Segoe UI Symbol" w:eastAsia="Segoe UI Symbol" w:hAnsi="Segoe UI Symbol" w:cs="Segoe UI Symbol"/>
          <w:sz w:val="33"/>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Segoe UI Symbol" w:eastAsia="Segoe UI Symbol" w:hAnsi="Segoe UI Symbol" w:cs="Segoe UI Symbol"/>
          <w:sz w:val="33"/>
        </w:rPr>
        <w:t></w:t>
      </w:r>
      <w:r>
        <w:rPr>
          <w:rFonts w:ascii="Segoe UI Symbol" w:eastAsia="Segoe UI Symbol" w:hAnsi="Segoe UI Symbol" w:cs="Segoe UI Symbol"/>
          <w:sz w:val="33"/>
        </w:rPr>
        <w:tab/>
      </w:r>
      <w:r>
        <w:rPr>
          <w:rFonts w:ascii="Segoe UI Symbol" w:eastAsia="Segoe UI Symbol" w:hAnsi="Segoe UI Symbol" w:cs="Segoe UI Symbol"/>
          <w:sz w:val="33"/>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Segoe UI Symbol" w:eastAsia="Segoe UI Symbol" w:hAnsi="Segoe UI Symbol" w:cs="Segoe UI Symbol"/>
          <w:sz w:val="33"/>
        </w:rPr>
        <w:t xml:space="preserve"> </w:t>
      </w:r>
      <w:r>
        <w:rPr>
          <w:rFonts w:ascii="Segoe UI Symbol" w:eastAsia="Segoe UI Symbol" w:hAnsi="Segoe UI Symbol" w:cs="Segoe UI Symbol"/>
          <w:sz w:val="33"/>
          <w:vertAlign w:val="subscript"/>
        </w:rPr>
        <w:t></w:t>
      </w:r>
      <w:r>
        <w:rPr>
          <w:rFonts w:ascii="Segoe UI Symbol" w:eastAsia="Segoe UI Symbol" w:hAnsi="Segoe UI Symbol" w:cs="Segoe UI Symbol"/>
          <w:sz w:val="33"/>
          <w:vertAlign w:val="subscript"/>
        </w:rPr>
        <w:tab/>
      </w:r>
      <w:r>
        <w:rPr>
          <w:rFonts w:ascii="Times New Roman" w:eastAsia="Times New Roman" w:hAnsi="Times New Roman" w:cs="Times New Roman"/>
          <w:i/>
          <w:sz w:val="25"/>
        </w:rPr>
        <w:t>E</w:t>
      </w:r>
      <w:r>
        <w:rPr>
          <w:rFonts w:ascii="Segoe UI Symbol" w:eastAsia="Segoe UI Symbol" w:hAnsi="Segoe UI Symbol" w:cs="Segoe UI Symbol"/>
          <w:sz w:val="33"/>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Segoe UI Symbol" w:eastAsia="Segoe UI Symbol" w:hAnsi="Segoe UI Symbol" w:cs="Segoe UI Symbol"/>
          <w:sz w:val="51"/>
          <w:vertAlign w:val="superscript"/>
        </w:rPr>
        <w:t></w:t>
      </w:r>
      <w:r>
        <w:rPr>
          <w:rFonts w:ascii="Segoe UI Symbol" w:eastAsia="Segoe UI Symbol" w:hAnsi="Segoe UI Symbol" w:cs="Segoe UI Symbol"/>
          <w:sz w:val="51"/>
          <w:vertAlign w:val="superscript"/>
        </w:rPr>
        <w:tab/>
      </w:r>
      <w:r>
        <w:rPr>
          <w:rFonts w:ascii="Times New Roman" w:eastAsia="Times New Roman" w:hAnsi="Times New Roman" w:cs="Times New Roman"/>
          <w:sz w:val="33"/>
          <w:vertAlign w:val="subscript"/>
        </w:rPr>
        <w:t xml:space="preserve"> </w:t>
      </w:r>
    </w:p>
    <w:p w:rsidR="0052701D" w:rsidRDefault="00D40929">
      <w:pPr>
        <w:tabs>
          <w:tab w:val="center" w:pos="1450"/>
          <w:tab w:val="center" w:pos="2520"/>
          <w:tab w:val="center" w:pos="3685"/>
        </w:tabs>
        <w:spacing w:after="65"/>
      </w:pPr>
      <w:r>
        <w:tab/>
      </w:r>
      <w:r>
        <w:rPr>
          <w:rFonts w:ascii="Segoe UI Symbol" w:eastAsia="Segoe UI Symbol" w:hAnsi="Segoe UI Symbol" w:cs="Segoe UI Symbol"/>
          <w:sz w:val="40"/>
          <w:u w:val="single" w:color="000000"/>
        </w:rPr>
        <w:t></w:t>
      </w:r>
      <w:r>
        <w:rPr>
          <w:rFonts w:ascii="Times New Roman" w:eastAsia="Times New Roman" w:hAnsi="Times New Roman" w:cs="Times New Roman"/>
          <w:sz w:val="25"/>
        </w:rPr>
        <w:t>1</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sz w:val="15"/>
        </w:rPr>
        <w:t xml:space="preserve">2 </w:t>
      </w:r>
      <w:r>
        <w:rPr>
          <w:rFonts w:ascii="Segoe UI Symbol" w:eastAsia="Segoe UI Symbol" w:hAnsi="Segoe UI Symbol" w:cs="Segoe UI Symbol"/>
          <w:sz w:val="40"/>
          <w:u w:val="single" w:color="000000"/>
        </w:rPr>
        <w:t></w:t>
      </w:r>
      <w:r>
        <w:rPr>
          <w:rFonts w:ascii="Times New Roman" w:eastAsia="Times New Roman" w:hAnsi="Times New Roman" w:cs="Times New Roman"/>
          <w:sz w:val="15"/>
        </w:rPr>
        <w:t xml:space="preserve">2 </w:t>
      </w:r>
      <w:r>
        <w:rPr>
          <w:rFonts w:ascii="Segoe UI Symbol" w:eastAsia="Segoe UI Symbol" w:hAnsi="Segoe UI Symbol" w:cs="Segoe UI Symbol"/>
          <w:sz w:val="25"/>
        </w:rPr>
        <w:t></w:t>
      </w:r>
      <w:r>
        <w:rPr>
          <w:rFonts w:ascii="Segoe UI Symbol" w:eastAsia="Segoe UI Symbol" w:hAnsi="Segoe UI Symbol" w:cs="Segoe UI Symbol"/>
          <w:sz w:val="25"/>
        </w:rPr>
        <w:tab/>
      </w:r>
      <w:r>
        <w:rPr>
          <w:rFonts w:ascii="Times New Roman" w:eastAsia="Times New Roman" w:hAnsi="Times New Roman" w:cs="Times New Roman"/>
          <w:sz w:val="25"/>
        </w:rPr>
        <w:t>1</w:t>
      </w:r>
      <w:r>
        <w:rPr>
          <w:rFonts w:ascii="Times New Roman" w:eastAsia="Times New Roman" w:hAnsi="Times New Roman" w:cs="Times New Roman"/>
          <w:sz w:val="25"/>
        </w:rPr>
        <w:tab/>
        <w:t>ln</w:t>
      </w:r>
      <w:r>
        <w:rPr>
          <w:rFonts w:ascii="Segoe UI Symbol" w:eastAsia="Segoe UI Symbol" w:hAnsi="Segoe UI Symbol" w:cs="Segoe UI Symbol"/>
          <w:sz w:val="33"/>
        </w:rPr>
        <w:t></w:t>
      </w:r>
      <w:r>
        <w:rPr>
          <w:rFonts w:ascii="Times New Roman" w:eastAsia="Times New Roman" w:hAnsi="Times New Roman" w:cs="Times New Roman"/>
          <w:i/>
          <w:sz w:val="25"/>
        </w:rPr>
        <w:t>h</w:t>
      </w:r>
    </w:p>
    <w:p w:rsidR="0052701D" w:rsidRDefault="00D40929">
      <w:pPr>
        <w:tabs>
          <w:tab w:val="center" w:pos="6009"/>
        </w:tabs>
        <w:spacing w:after="3"/>
      </w:pPr>
      <w:r>
        <w:rPr>
          <w:noProof/>
        </w:rPr>
        <mc:AlternateContent>
          <mc:Choice Requires="wpg">
            <w:drawing>
              <wp:anchor distT="0" distB="0" distL="114300" distR="114300" simplePos="0" relativeHeight="251734016" behindDoc="0" locked="0" layoutInCell="1" allowOverlap="1">
                <wp:simplePos x="0" y="0"/>
                <wp:positionH relativeFrom="column">
                  <wp:posOffset>1237694</wp:posOffset>
                </wp:positionH>
                <wp:positionV relativeFrom="paragraph">
                  <wp:posOffset>43267</wp:posOffset>
                </wp:positionV>
                <wp:extent cx="2539346" cy="6204"/>
                <wp:effectExtent l="0" t="0" r="0" b="0"/>
                <wp:wrapNone/>
                <wp:docPr id="919964" name="Group 919964"/>
                <wp:cNvGraphicFramePr/>
                <a:graphic xmlns:a="http://schemas.openxmlformats.org/drawingml/2006/main">
                  <a:graphicData uri="http://schemas.microsoft.com/office/word/2010/wordprocessingGroup">
                    <wpg:wgp>
                      <wpg:cNvGrpSpPr/>
                      <wpg:grpSpPr>
                        <a:xfrm>
                          <a:off x="0" y="0"/>
                          <a:ext cx="2539346" cy="6204"/>
                          <a:chOff x="0" y="0"/>
                          <a:chExt cx="2539346" cy="6204"/>
                        </a:xfrm>
                      </wpg:grpSpPr>
                      <wps:wsp>
                        <wps:cNvPr id="12150" name="Shape 12150"/>
                        <wps:cNvSpPr/>
                        <wps:spPr>
                          <a:xfrm>
                            <a:off x="0" y="0"/>
                            <a:ext cx="723447" cy="0"/>
                          </a:xfrm>
                          <a:custGeom>
                            <a:avLst/>
                            <a:gdLst/>
                            <a:ahLst/>
                            <a:cxnLst/>
                            <a:rect l="0" t="0" r="0" b="0"/>
                            <a:pathLst>
                              <a:path w="723447">
                                <a:moveTo>
                                  <a:pt x="0" y="0"/>
                                </a:moveTo>
                                <a:lnTo>
                                  <a:pt x="723447" y="0"/>
                                </a:lnTo>
                              </a:path>
                            </a:pathLst>
                          </a:custGeom>
                          <a:ln w="6204" cap="flat">
                            <a:round/>
                          </a:ln>
                        </wps:spPr>
                        <wps:style>
                          <a:lnRef idx="1">
                            <a:srgbClr val="000000"/>
                          </a:lnRef>
                          <a:fillRef idx="0">
                            <a:srgbClr val="000000">
                              <a:alpha val="0"/>
                            </a:srgbClr>
                          </a:fillRef>
                          <a:effectRef idx="0">
                            <a:scrgbClr r="0" g="0" b="0"/>
                          </a:effectRef>
                          <a:fontRef idx="none"/>
                        </wps:style>
                        <wps:bodyPr/>
                      </wps:wsp>
                      <wps:wsp>
                        <wps:cNvPr id="12155" name="Shape 12155"/>
                        <wps:cNvSpPr/>
                        <wps:spPr>
                          <a:xfrm>
                            <a:off x="971860" y="0"/>
                            <a:ext cx="768116" cy="0"/>
                          </a:xfrm>
                          <a:custGeom>
                            <a:avLst/>
                            <a:gdLst/>
                            <a:ahLst/>
                            <a:cxnLst/>
                            <a:rect l="0" t="0" r="0" b="0"/>
                            <a:pathLst>
                              <a:path w="768116">
                                <a:moveTo>
                                  <a:pt x="0" y="0"/>
                                </a:moveTo>
                                <a:lnTo>
                                  <a:pt x="768116" y="0"/>
                                </a:lnTo>
                              </a:path>
                            </a:pathLst>
                          </a:custGeom>
                          <a:ln w="6204" cap="flat">
                            <a:round/>
                          </a:ln>
                        </wps:spPr>
                        <wps:style>
                          <a:lnRef idx="1">
                            <a:srgbClr val="000000"/>
                          </a:lnRef>
                          <a:fillRef idx="0">
                            <a:srgbClr val="000000">
                              <a:alpha val="0"/>
                            </a:srgbClr>
                          </a:fillRef>
                          <a:effectRef idx="0">
                            <a:scrgbClr r="0" g="0" b="0"/>
                          </a:effectRef>
                          <a:fontRef idx="none"/>
                        </wps:style>
                        <wps:bodyPr/>
                      </wps:wsp>
                      <wps:wsp>
                        <wps:cNvPr id="12158" name="Shape 12158"/>
                        <wps:cNvSpPr/>
                        <wps:spPr>
                          <a:xfrm>
                            <a:off x="1893249" y="0"/>
                            <a:ext cx="646097" cy="0"/>
                          </a:xfrm>
                          <a:custGeom>
                            <a:avLst/>
                            <a:gdLst/>
                            <a:ahLst/>
                            <a:cxnLst/>
                            <a:rect l="0" t="0" r="0" b="0"/>
                            <a:pathLst>
                              <a:path w="646097">
                                <a:moveTo>
                                  <a:pt x="0" y="0"/>
                                </a:moveTo>
                                <a:lnTo>
                                  <a:pt x="646097" y="0"/>
                                </a:lnTo>
                              </a:path>
                            </a:pathLst>
                          </a:custGeom>
                          <a:ln w="6204"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9964" style="width:199.949pt;height:0.488509pt;position:absolute;z-index:403;mso-position-horizontal-relative:text;mso-position-horizontal:absolute;margin-left:97.4562pt;mso-position-vertical-relative:text;margin-top:3.40683pt;" coordsize="25393,62">
                <v:shape id="Shape 12150" style="position:absolute;width:7234;height:0;left:0;top:0;" coordsize="723447,0" path="m0,0l723447,0">
                  <v:stroke weight="0.488509pt" endcap="flat" joinstyle="round" on="true" color="#000000"/>
                  <v:fill on="false" color="#000000" opacity="0"/>
                </v:shape>
                <v:shape id="Shape 12155" style="position:absolute;width:7681;height:0;left:9718;top:0;" coordsize="768116,0" path="m0,0l768116,0">
                  <v:stroke weight="0.488509pt" endcap="flat" joinstyle="round" on="true" color="#000000"/>
                  <v:fill on="false" color="#000000" opacity="0"/>
                </v:shape>
                <v:shape id="Shape 12158" style="position:absolute;width:6460;height:0;left:18932;top:0;" coordsize="646097,0" path="m0,0l646097,0">
                  <v:stroke weight="0.488509pt" endcap="flat" joinstyle="round" on="true" color="#000000"/>
                  <v:fill on="false" color="#000000" opacity="0"/>
                </v:shape>
              </v:group>
            </w:pict>
          </mc:Fallback>
        </mc:AlternateContent>
      </w:r>
      <w:r>
        <w:rPr>
          <w:rFonts w:ascii="Segoe UI Symbol" w:eastAsia="Segoe UI Symbol" w:hAnsi="Segoe UI Symbol" w:cs="Segoe UI Symbol"/>
          <w:sz w:val="25"/>
        </w:rPr>
        <w:t xml:space="preserve"> </w:t>
      </w:r>
      <w:r>
        <w:rPr>
          <w:rFonts w:ascii="Times New Roman" w:eastAsia="Times New Roman" w:hAnsi="Times New Roman" w:cs="Times New Roman"/>
          <w:sz w:val="25"/>
        </w:rPr>
        <w:t>36</w:t>
      </w:r>
      <w:r>
        <w:rPr>
          <w:rFonts w:ascii="Segoe UI Symbol" w:eastAsia="Segoe UI Symbol" w:hAnsi="Segoe UI Symbol" w:cs="Segoe UI Symbol"/>
          <w:sz w:val="26"/>
        </w:rPr>
        <w:t></w:t>
      </w:r>
      <w:r>
        <w:rPr>
          <w:rFonts w:ascii="Segoe UI Symbol" w:eastAsia="Segoe UI Symbol" w:hAnsi="Segoe UI Symbol" w:cs="Segoe UI Symbol"/>
          <w:sz w:val="26"/>
        </w:rPr>
        <w:t></w:t>
      </w:r>
      <w:r>
        <w:rPr>
          <w:rFonts w:ascii="Times New Roman" w:eastAsia="Times New Roman" w:hAnsi="Times New Roman" w:cs="Times New Roman"/>
          <w:sz w:val="15"/>
        </w:rPr>
        <w:t xml:space="preserve">0 </w:t>
      </w:r>
      <w:r>
        <w:rPr>
          <w:rFonts w:ascii="Times New Roman" w:eastAsia="Times New Roman" w:hAnsi="Times New Roman" w:cs="Times New Roman"/>
          <w:i/>
          <w:sz w:val="25"/>
        </w:rPr>
        <w:t>RE</w:t>
      </w:r>
      <w:r>
        <w:rPr>
          <w:rFonts w:ascii="Segoe UI Symbol" w:eastAsia="Segoe UI Symbol" w:hAnsi="Segoe UI Symbol" w:cs="Segoe UI Symbol"/>
          <w:sz w:val="33"/>
        </w:rPr>
        <w:t xml:space="preserve"> </w:t>
      </w:r>
      <w:r>
        <w:rPr>
          <w:rFonts w:ascii="Times New Roman" w:eastAsia="Times New Roman" w:hAnsi="Times New Roman" w:cs="Times New Roman"/>
          <w:i/>
          <w:sz w:val="25"/>
        </w:rPr>
        <w:t xml:space="preserve">h </w:t>
      </w:r>
      <w:r>
        <w:rPr>
          <w:rFonts w:ascii="Segoe UI Symbol" w:eastAsia="Segoe UI Symbol" w:hAnsi="Segoe UI Symbol" w:cs="Segoe UI Symbol"/>
          <w:sz w:val="33"/>
        </w:rPr>
        <w:t></w:t>
      </w:r>
      <w:r>
        <w:rPr>
          <w:rFonts w:ascii="Times New Roman" w:eastAsia="Times New Roman" w:hAnsi="Times New Roman" w:cs="Times New Roman"/>
          <w:sz w:val="15"/>
        </w:rPr>
        <w:t xml:space="preserve">4 </w:t>
      </w:r>
      <w:r>
        <w:rPr>
          <w:rFonts w:ascii="Segoe UI Symbol" w:eastAsia="Segoe UI Symbol" w:hAnsi="Segoe UI Symbol" w:cs="Segoe UI Symbol"/>
          <w:sz w:val="25"/>
        </w:rPr>
        <w:t></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i/>
          <w:sz w:val="25"/>
        </w:rPr>
        <w:tab/>
        <w:t>h z</w:t>
      </w:r>
      <w:r>
        <w:rPr>
          <w:rFonts w:ascii="Segoe UI Symbol" w:eastAsia="Segoe UI Symbol" w:hAnsi="Segoe UI Symbol" w:cs="Segoe UI Symbol"/>
          <w:sz w:val="33"/>
        </w:rPr>
        <w:t></w:t>
      </w:r>
      <w:r>
        <w:rPr>
          <w:rFonts w:ascii="Times New Roman" w:eastAsia="Times New Roman" w:hAnsi="Times New Roman" w:cs="Times New Roman"/>
          <w:sz w:val="15"/>
        </w:rPr>
        <w:t xml:space="preserve">2 </w:t>
      </w:r>
      <w:r>
        <w:rPr>
          <w:rFonts w:ascii="Segoe UI Symbol" w:eastAsia="Segoe UI Symbol" w:hAnsi="Segoe UI Symbol" w:cs="Segoe UI Symbol"/>
          <w:sz w:val="25"/>
        </w:rPr>
        <w:t xml:space="preserve"> </w:t>
      </w:r>
      <w:r>
        <w:rPr>
          <w:rFonts w:ascii="Times New Roman" w:eastAsia="Times New Roman" w:hAnsi="Times New Roman" w:cs="Times New Roman"/>
          <w:sz w:val="25"/>
        </w:rPr>
        <w:t xml:space="preserve">2 </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00</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Segoe UI Symbol" w:eastAsia="Segoe UI Symbol" w:hAnsi="Segoe UI Symbol" w:cs="Segoe UI Symbol"/>
          <w:sz w:val="26"/>
        </w:rPr>
        <w:t></w:t>
      </w:r>
      <w:r>
        <w:rPr>
          <w:rFonts w:ascii="Times New Roman" w:eastAsia="Times New Roman" w:hAnsi="Times New Roman" w:cs="Times New Roman"/>
          <w:i/>
          <w:sz w:val="25"/>
        </w:rPr>
        <w:t>hh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33"/>
        </w:rPr>
        <w:t></w:t>
      </w:r>
      <w:r>
        <w:rPr>
          <w:rFonts w:ascii="Segoe UI Symbol" w:eastAsia="Segoe UI Symbol" w:hAnsi="Segoe UI Symbol" w:cs="Segoe UI Symbol"/>
          <w:sz w:val="25"/>
        </w:rPr>
        <w:t xml:space="preserve"> </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Times New Roman" w:eastAsia="Times New Roman" w:hAnsi="Times New Roman" w:cs="Times New Roman"/>
          <w:sz w:val="25"/>
        </w:rPr>
        <w:t>5</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 xml:space="preserve"> </w:t>
      </w:r>
      <w:r>
        <w:rPr>
          <w:rFonts w:ascii="Times New Roman" w:eastAsia="Times New Roman" w:hAnsi="Times New Roman" w:cs="Times New Roman"/>
          <w:sz w:val="25"/>
        </w:rPr>
        <w:t>72</w:t>
      </w:r>
      <w:r>
        <w:rPr>
          <w:rFonts w:ascii="Segoe UI Symbol" w:eastAsia="Segoe UI Symbol" w:hAnsi="Segoe UI Symbol" w:cs="Segoe UI Symbol"/>
          <w:sz w:val="26"/>
        </w:rPr>
        <w:t></w:t>
      </w:r>
      <w:r>
        <w:rPr>
          <w:rFonts w:ascii="Segoe UI Symbol" w:eastAsia="Segoe UI Symbol" w:hAnsi="Segoe UI Symbol" w:cs="Segoe UI Symbol"/>
          <w:sz w:val="26"/>
        </w:rPr>
        <w:t></w:t>
      </w:r>
      <w:r>
        <w:rPr>
          <w:rFonts w:ascii="Times New Roman" w:eastAsia="Times New Roman" w:hAnsi="Times New Roman" w:cs="Times New Roman"/>
          <w:sz w:val="15"/>
        </w:rPr>
        <w:t xml:space="preserve">1 </w:t>
      </w:r>
      <w:r>
        <w:rPr>
          <w:rFonts w:ascii="Times New Roman" w:eastAsia="Times New Roman" w:hAnsi="Times New Roman" w:cs="Times New Roman"/>
          <w:i/>
          <w:sz w:val="25"/>
        </w:rPr>
        <w:t>ER</w:t>
      </w:r>
      <w:r>
        <w:rPr>
          <w:rFonts w:ascii="Segoe UI Symbol" w:eastAsia="Segoe UI Symbol" w:hAnsi="Segoe UI Symbol" w:cs="Segoe UI Symbol"/>
          <w:sz w:val="40"/>
          <w:u w:val="single" w:color="000000"/>
        </w:rPr>
        <w:t></w:t>
      </w:r>
      <w:r>
        <w:rPr>
          <w:rFonts w:ascii="Times New Roman" w:eastAsia="Times New Roman" w:hAnsi="Times New Roman" w:cs="Times New Roman"/>
          <w:sz w:val="25"/>
        </w:rPr>
        <w:t>1</w:t>
      </w:r>
      <w:r>
        <w:rPr>
          <w:rFonts w:ascii="Segoe UI Symbol" w:eastAsia="Segoe UI Symbol" w:hAnsi="Segoe UI Symbol" w:cs="Segoe UI Symbol"/>
          <w:sz w:val="25"/>
        </w:rPr>
        <w:t></w:t>
      </w:r>
      <w:r>
        <w:rPr>
          <w:rFonts w:ascii="Segoe UI Symbol" w:eastAsia="Segoe UI Symbol" w:hAnsi="Segoe UI Symbol" w:cs="Segoe UI Symbol"/>
          <w:sz w:val="33"/>
        </w:rPr>
        <w:t></w:t>
      </w:r>
      <w:r>
        <w:rPr>
          <w:rFonts w:ascii="Segoe UI Symbol" w:eastAsia="Segoe UI Symbol" w:hAnsi="Segoe UI Symbol" w:cs="Segoe UI Symbol"/>
          <w:sz w:val="26"/>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15"/>
        </w:rPr>
        <w:t>21</w:t>
      </w:r>
      <w:r>
        <w:rPr>
          <w:rFonts w:ascii="Segoe UI Symbol" w:eastAsia="Segoe UI Symbol" w:hAnsi="Segoe UI Symbol" w:cs="Segoe UI Symbol"/>
          <w:sz w:val="40"/>
          <w:u w:val="single" w:color="000000"/>
        </w:rPr>
        <w:t></w:t>
      </w:r>
      <w:r>
        <w:rPr>
          <w:rFonts w:ascii="Segoe UI Symbol" w:eastAsia="Segoe UI Symbol" w:hAnsi="Segoe UI Symbol" w:cs="Segoe UI Symbol"/>
          <w:sz w:val="33"/>
        </w:rPr>
        <w:t></w:t>
      </w:r>
      <w:r>
        <w:rPr>
          <w:rFonts w:ascii="Times New Roman" w:eastAsia="Times New Roman" w:hAnsi="Times New Roman" w:cs="Times New Roman"/>
          <w:sz w:val="15"/>
        </w:rPr>
        <w:t xml:space="preserve">25 </w:t>
      </w:r>
      <w:r>
        <w:rPr>
          <w:rFonts w:ascii="Segoe UI Symbol" w:eastAsia="Segoe UI Symbol" w:hAnsi="Segoe UI Symbol" w:cs="Segoe UI Symbol"/>
          <w:sz w:val="34"/>
        </w:rPr>
        <w:t></w:t>
      </w:r>
      <w:r>
        <w:rPr>
          <w:rFonts w:ascii="Times New Roman" w:eastAsia="Times New Roman" w:hAnsi="Times New Roman" w:cs="Times New Roman"/>
          <w:sz w:val="25"/>
        </w:rPr>
        <w:t>ln</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Times New Roman" w:eastAsia="Times New Roman" w:hAnsi="Times New Roman" w:cs="Times New Roman"/>
          <w:sz w:val="15"/>
        </w:rPr>
        <w:t xml:space="preserve">2 </w:t>
      </w:r>
      <w:r>
        <w:rPr>
          <w:rFonts w:ascii="Segoe UI Symbol" w:eastAsia="Segoe UI Symbol" w:hAnsi="Segoe UI Symbol" w:cs="Segoe UI Symbol"/>
          <w:sz w:val="25"/>
        </w:rPr>
        <w:t></w:t>
      </w:r>
    </w:p>
    <w:p w:rsidR="0052701D" w:rsidRDefault="00D40929">
      <w:pPr>
        <w:spacing w:after="3"/>
        <w:ind w:left="1277" w:hanging="10"/>
      </w:pPr>
      <w:r>
        <w:rPr>
          <w:rFonts w:ascii="Segoe UI Symbol" w:eastAsia="Segoe UI Symbol" w:hAnsi="Segoe UI Symbol" w:cs="Segoe UI Symbol"/>
          <w:sz w:val="26"/>
        </w:rPr>
        <w:t></w:t>
      </w:r>
      <w:r>
        <w:rPr>
          <w:rFonts w:ascii="Times New Roman" w:eastAsia="Times New Roman" w:hAnsi="Times New Roman" w:cs="Times New Roman"/>
          <w:sz w:val="15"/>
        </w:rPr>
        <w:t xml:space="preserve">1 </w:t>
      </w:r>
      <w:r>
        <w:rPr>
          <w:rFonts w:ascii="Segoe UI Symbol" w:eastAsia="Segoe UI Symbol" w:hAnsi="Segoe UI Symbol" w:cs="Segoe UI Symbol"/>
          <w:sz w:val="25"/>
        </w:rPr>
        <w:t></w:t>
      </w:r>
      <w:r>
        <w:rPr>
          <w:rFonts w:ascii="Segoe UI Symbol" w:eastAsia="Segoe UI Symbol" w:hAnsi="Segoe UI Symbol" w:cs="Segoe UI Symbol"/>
          <w:sz w:val="25"/>
        </w:rPr>
        <w:t xml:space="preserve"> </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sz w:val="15"/>
        </w:rPr>
        <w:t>1</w:t>
      </w:r>
    </w:p>
    <w:p w:rsidR="0052701D" w:rsidRDefault="00D40929">
      <w:pPr>
        <w:spacing w:after="89"/>
        <w:ind w:left="1812" w:right="133" w:hanging="1789"/>
      </w:pPr>
      <w:r>
        <w:rPr>
          <w:noProof/>
        </w:rPr>
        <mc:AlternateContent>
          <mc:Choice Requires="wpg">
            <w:drawing>
              <wp:anchor distT="0" distB="0" distL="114300" distR="114300" simplePos="0" relativeHeight="251735040" behindDoc="0" locked="0" layoutInCell="1" allowOverlap="1">
                <wp:simplePos x="0" y="0"/>
                <wp:positionH relativeFrom="column">
                  <wp:posOffset>1149672</wp:posOffset>
                </wp:positionH>
                <wp:positionV relativeFrom="paragraph">
                  <wp:posOffset>216424</wp:posOffset>
                </wp:positionV>
                <wp:extent cx="1829339" cy="6328"/>
                <wp:effectExtent l="0" t="0" r="0" b="0"/>
                <wp:wrapNone/>
                <wp:docPr id="919965" name="Group 919965"/>
                <wp:cNvGraphicFramePr/>
                <a:graphic xmlns:a="http://schemas.openxmlformats.org/drawingml/2006/main">
                  <a:graphicData uri="http://schemas.microsoft.com/office/word/2010/wordprocessingGroup">
                    <wpg:wgp>
                      <wpg:cNvGrpSpPr/>
                      <wpg:grpSpPr>
                        <a:xfrm>
                          <a:off x="0" y="0"/>
                          <a:ext cx="1829339" cy="6328"/>
                          <a:chOff x="0" y="0"/>
                          <a:chExt cx="1829339" cy="6328"/>
                        </a:xfrm>
                      </wpg:grpSpPr>
                      <wps:wsp>
                        <wps:cNvPr id="12254" name="Shape 12254"/>
                        <wps:cNvSpPr/>
                        <wps:spPr>
                          <a:xfrm>
                            <a:off x="0" y="0"/>
                            <a:ext cx="939597" cy="0"/>
                          </a:xfrm>
                          <a:custGeom>
                            <a:avLst/>
                            <a:gdLst/>
                            <a:ahLst/>
                            <a:cxnLst/>
                            <a:rect l="0" t="0" r="0" b="0"/>
                            <a:pathLst>
                              <a:path w="939597">
                                <a:moveTo>
                                  <a:pt x="0" y="0"/>
                                </a:moveTo>
                                <a:lnTo>
                                  <a:pt x="939597" y="0"/>
                                </a:lnTo>
                              </a:path>
                            </a:pathLst>
                          </a:custGeom>
                          <a:ln w="6328" cap="flat">
                            <a:round/>
                          </a:ln>
                        </wps:spPr>
                        <wps:style>
                          <a:lnRef idx="1">
                            <a:srgbClr val="000000"/>
                          </a:lnRef>
                          <a:fillRef idx="0">
                            <a:srgbClr val="000000">
                              <a:alpha val="0"/>
                            </a:srgbClr>
                          </a:fillRef>
                          <a:effectRef idx="0">
                            <a:scrgbClr r="0" g="0" b="0"/>
                          </a:effectRef>
                          <a:fontRef idx="none"/>
                        </wps:style>
                        <wps:bodyPr/>
                      </wps:wsp>
                      <wps:wsp>
                        <wps:cNvPr id="12257" name="Shape 12257"/>
                        <wps:cNvSpPr/>
                        <wps:spPr>
                          <a:xfrm>
                            <a:off x="1095665" y="0"/>
                            <a:ext cx="733673" cy="0"/>
                          </a:xfrm>
                          <a:custGeom>
                            <a:avLst/>
                            <a:gdLst/>
                            <a:ahLst/>
                            <a:cxnLst/>
                            <a:rect l="0" t="0" r="0" b="0"/>
                            <a:pathLst>
                              <a:path w="733673">
                                <a:moveTo>
                                  <a:pt x="0" y="0"/>
                                </a:moveTo>
                                <a:lnTo>
                                  <a:pt x="733673" y="0"/>
                                </a:lnTo>
                              </a:path>
                            </a:pathLst>
                          </a:custGeom>
                          <a:ln w="6328"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9965" style="width:144.042pt;height:0.49823pt;position:absolute;z-index:503;mso-position-horizontal-relative:text;mso-position-horizontal:absolute;margin-left:90.5254pt;mso-position-vertical-relative:text;margin-top:17.0413pt;" coordsize="18293,63">
                <v:shape id="Shape 12254" style="position:absolute;width:9395;height:0;left:0;top:0;" coordsize="939597,0" path="m0,0l939597,0">
                  <v:stroke weight="0.49823pt" endcap="flat" joinstyle="round" on="true" color="#000000"/>
                  <v:fill on="false" color="#000000" opacity="0"/>
                </v:shape>
                <v:shape id="Shape 12257" style="position:absolute;width:7336;height:0;left:10956;top:0;" coordsize="733673,0" path="m0,0l733673,0">
                  <v:stroke weight="0.49823pt" endcap="flat" joinstyle="round" on="true" color="#000000"/>
                  <v:fill on="false" color="#000000" opacity="0"/>
                </v:shape>
              </v:group>
            </w:pict>
          </mc:Fallback>
        </mc:AlternateContent>
      </w:r>
      <w:r>
        <w:rPr>
          <w:rFonts w:ascii="Segoe UI Symbol" w:eastAsia="Segoe UI Symbol" w:hAnsi="Segoe UI Symbol" w:cs="Segoe UI Symbol"/>
          <w:sz w:val="26"/>
        </w:rPr>
        <w:t xml:space="preserve"> </w:t>
      </w:r>
      <w:r>
        <w:rPr>
          <w:rFonts w:ascii="Times New Roman" w:eastAsia="Times New Roman" w:hAnsi="Times New Roman" w:cs="Times New Roman"/>
          <w:sz w:val="26"/>
        </w:rPr>
        <w:t>2ln</w:t>
      </w:r>
      <w:r>
        <w:rPr>
          <w:rFonts w:ascii="Segoe UI Symbol" w:eastAsia="Segoe UI Symbol" w:hAnsi="Segoe UI Symbol" w:cs="Segoe UI Symbol"/>
          <w:sz w:val="34"/>
        </w:rPr>
        <w:t></w:t>
      </w:r>
      <w:r>
        <w:rPr>
          <w:rFonts w:ascii="Times New Roman" w:eastAsia="Times New Roman" w:hAnsi="Times New Roman" w:cs="Times New Roman"/>
          <w:i/>
          <w:sz w:val="26"/>
        </w:rPr>
        <w:t>h</w:t>
      </w:r>
      <w:r>
        <w:rPr>
          <w:rFonts w:ascii="Times New Roman" w:eastAsia="Times New Roman" w:hAnsi="Times New Roman" w:cs="Times New Roman"/>
          <w:sz w:val="23"/>
          <w:vertAlign w:val="subscript"/>
        </w:rPr>
        <w:t xml:space="preserve">0 </w:t>
      </w:r>
      <w:r>
        <w:rPr>
          <w:rFonts w:ascii="Segoe UI Symbol" w:eastAsia="Segoe UI Symbol" w:hAnsi="Segoe UI Symbol" w:cs="Segoe UI Symbol"/>
          <w:sz w:val="26"/>
        </w:rPr>
        <w:t></w:t>
      </w:r>
      <w:r>
        <w:rPr>
          <w:rFonts w:ascii="Segoe UI Symbol" w:eastAsia="Segoe UI Symbol" w:hAnsi="Segoe UI Symbol" w:cs="Segoe UI Symbol"/>
          <w:sz w:val="27"/>
        </w:rPr>
        <w:t></w:t>
      </w:r>
      <w:r>
        <w:rPr>
          <w:rFonts w:ascii="Times New Roman" w:eastAsia="Times New Roman" w:hAnsi="Times New Roman" w:cs="Times New Roman"/>
          <w:i/>
          <w:sz w:val="26"/>
        </w:rPr>
        <w:t>h</w:t>
      </w:r>
      <w:r>
        <w:rPr>
          <w:rFonts w:ascii="Times New Roman" w:eastAsia="Times New Roman" w:hAnsi="Times New Roman" w:cs="Times New Roman"/>
          <w:sz w:val="23"/>
          <w:vertAlign w:val="subscript"/>
        </w:rPr>
        <w:t>1</w:t>
      </w:r>
      <w:r>
        <w:rPr>
          <w:rFonts w:ascii="Times New Roman" w:eastAsia="Times New Roman" w:hAnsi="Times New Roman" w:cs="Times New Roman"/>
          <w:i/>
          <w:sz w:val="26"/>
        </w:rPr>
        <w:t>z</w:t>
      </w:r>
      <w:r>
        <w:rPr>
          <w:rFonts w:ascii="Segoe UI Symbol" w:eastAsia="Segoe UI Symbol" w:hAnsi="Segoe UI Symbol" w:cs="Segoe UI Symbol"/>
          <w:sz w:val="34"/>
        </w:rPr>
        <w:t></w:t>
      </w:r>
      <w:r>
        <w:rPr>
          <w:rFonts w:ascii="Segoe UI Symbol" w:eastAsia="Segoe UI Symbol" w:hAnsi="Segoe UI Symbol" w:cs="Segoe UI Symbol"/>
          <w:sz w:val="26"/>
        </w:rPr>
        <w:t xml:space="preserve"> </w:t>
      </w:r>
      <w:r>
        <w:rPr>
          <w:rFonts w:ascii="Times New Roman" w:eastAsia="Times New Roman" w:hAnsi="Times New Roman" w:cs="Times New Roman"/>
          <w:sz w:val="15"/>
        </w:rPr>
        <w:t>0</w:t>
      </w:r>
      <w:r>
        <w:rPr>
          <w:rFonts w:ascii="Segoe UI Symbol" w:eastAsia="Segoe UI Symbol" w:hAnsi="Segoe UI Symbol" w:cs="Segoe UI Symbol"/>
          <w:sz w:val="34"/>
        </w:rPr>
        <w:t></w:t>
      </w:r>
      <w:r>
        <w:rPr>
          <w:rFonts w:ascii="Times New Roman" w:eastAsia="Times New Roman" w:hAnsi="Times New Roman" w:cs="Times New Roman"/>
          <w:i/>
          <w:sz w:val="26"/>
        </w:rPr>
        <w:t>h</w:t>
      </w:r>
      <w:r>
        <w:rPr>
          <w:rFonts w:ascii="Times New Roman" w:eastAsia="Times New Roman" w:hAnsi="Times New Roman" w:cs="Times New Roman"/>
          <w:sz w:val="23"/>
          <w:vertAlign w:val="subscript"/>
        </w:rPr>
        <w:t xml:space="preserve">0 </w:t>
      </w:r>
      <w:r>
        <w:rPr>
          <w:rFonts w:ascii="Segoe UI Symbol" w:eastAsia="Segoe UI Symbol" w:hAnsi="Segoe UI Symbol" w:cs="Segoe UI Symbol"/>
          <w:sz w:val="26"/>
        </w:rPr>
        <w:t></w:t>
      </w:r>
      <w:r>
        <w:rPr>
          <w:rFonts w:ascii="Times New Roman" w:eastAsia="Times New Roman" w:hAnsi="Times New Roman" w:cs="Times New Roman"/>
          <w:sz w:val="15"/>
        </w:rPr>
        <w:t>0</w:t>
      </w:r>
      <w:r>
        <w:rPr>
          <w:rFonts w:ascii="Segoe UI Symbol" w:eastAsia="Segoe UI Symbol" w:hAnsi="Segoe UI Symbol" w:cs="Segoe UI Symbol"/>
          <w:sz w:val="27"/>
        </w:rPr>
        <w:t></w:t>
      </w:r>
      <w:r>
        <w:rPr>
          <w:rFonts w:ascii="Segoe UI Symbol" w:eastAsia="Segoe UI Symbol" w:hAnsi="Segoe UI Symbol" w:cs="Segoe UI Symbol"/>
          <w:sz w:val="26"/>
        </w:rPr>
        <w:t></w:t>
      </w:r>
      <w:r>
        <w:rPr>
          <w:rFonts w:ascii="Times New Roman" w:eastAsia="Times New Roman" w:hAnsi="Times New Roman" w:cs="Times New Roman"/>
          <w:i/>
          <w:sz w:val="26"/>
        </w:rPr>
        <w:t>h</w:t>
      </w:r>
      <w:r>
        <w:rPr>
          <w:rFonts w:ascii="Segoe UI Symbol" w:eastAsia="Segoe UI Symbol" w:hAnsi="Segoe UI Symbol" w:cs="Segoe UI Symbol"/>
          <w:sz w:val="27"/>
        </w:rPr>
        <w:t></w:t>
      </w:r>
      <w:r>
        <w:rPr>
          <w:rFonts w:ascii="Times New Roman" w:eastAsia="Times New Roman" w:hAnsi="Times New Roman" w:cs="Times New Roman"/>
          <w:sz w:val="23"/>
          <w:vertAlign w:val="subscript"/>
        </w:rPr>
        <w:t>1</w:t>
      </w:r>
      <w:r>
        <w:rPr>
          <w:rFonts w:ascii="Times New Roman" w:eastAsia="Times New Roman" w:hAnsi="Times New Roman" w:cs="Times New Roman"/>
          <w:i/>
          <w:sz w:val="26"/>
        </w:rPr>
        <w:t>zh</w:t>
      </w:r>
      <w:r>
        <w:rPr>
          <w:rFonts w:ascii="Segoe UI Symbol" w:eastAsia="Segoe UI Symbol" w:hAnsi="Segoe UI Symbol" w:cs="Segoe UI Symbol"/>
          <w:sz w:val="34"/>
        </w:rPr>
        <w:t></w:t>
      </w:r>
      <w:r>
        <w:rPr>
          <w:rFonts w:ascii="Times New Roman" w:eastAsia="Times New Roman" w:hAnsi="Times New Roman" w:cs="Times New Roman"/>
          <w:sz w:val="15"/>
        </w:rPr>
        <w:t>1</w:t>
      </w:r>
      <w:r>
        <w:rPr>
          <w:rFonts w:ascii="Times New Roman" w:eastAsia="Times New Roman" w:hAnsi="Times New Roman" w:cs="Times New Roman"/>
          <w:i/>
          <w:sz w:val="26"/>
        </w:rPr>
        <w:t>z</w:t>
      </w:r>
      <w:r>
        <w:rPr>
          <w:rFonts w:ascii="Segoe UI Symbol" w:eastAsia="Segoe UI Symbol" w:hAnsi="Segoe UI Symbol" w:cs="Segoe UI Symbol"/>
          <w:sz w:val="34"/>
        </w:rPr>
        <w:t></w:t>
      </w:r>
      <w:r>
        <w:rPr>
          <w:rFonts w:ascii="Segoe UI Symbol" w:eastAsia="Segoe UI Symbol" w:hAnsi="Segoe UI Symbol" w:cs="Segoe UI Symbol"/>
          <w:sz w:val="26"/>
        </w:rPr>
        <w:t xml:space="preserve"> </w:t>
      </w:r>
      <w:r>
        <w:rPr>
          <w:rFonts w:ascii="Times New Roman" w:eastAsia="Times New Roman" w:hAnsi="Times New Roman" w:cs="Times New Roman"/>
          <w:sz w:val="26"/>
        </w:rPr>
        <w:t>2</w:t>
      </w:r>
      <w:r>
        <w:rPr>
          <w:rFonts w:ascii="Segoe UI Symbol" w:eastAsia="Segoe UI Symbol" w:hAnsi="Segoe UI Symbol" w:cs="Segoe UI Symbol"/>
          <w:sz w:val="34"/>
        </w:rPr>
        <w:t></w:t>
      </w:r>
      <w:r>
        <w:rPr>
          <w:rFonts w:ascii="Times New Roman" w:eastAsia="Times New Roman" w:hAnsi="Times New Roman" w:cs="Times New Roman"/>
          <w:i/>
          <w:sz w:val="26"/>
        </w:rPr>
        <w:t>h</w:t>
      </w:r>
      <w:r>
        <w:rPr>
          <w:rFonts w:ascii="Times New Roman" w:eastAsia="Times New Roman" w:hAnsi="Times New Roman" w:cs="Times New Roman"/>
          <w:sz w:val="23"/>
          <w:vertAlign w:val="subscript"/>
        </w:rPr>
        <w:t>0</w:t>
      </w:r>
      <w:r>
        <w:rPr>
          <w:rFonts w:ascii="Times New Roman" w:eastAsia="Times New Roman" w:hAnsi="Times New Roman" w:cs="Times New Roman"/>
          <w:sz w:val="26"/>
        </w:rPr>
        <w:t>3</w:t>
      </w:r>
      <w:r>
        <w:rPr>
          <w:rFonts w:ascii="Segoe UI Symbol" w:eastAsia="Segoe UI Symbol" w:hAnsi="Segoe UI Symbol" w:cs="Segoe UI Symbol"/>
          <w:sz w:val="26"/>
        </w:rPr>
        <w:t></w:t>
      </w:r>
      <w:r>
        <w:rPr>
          <w:rFonts w:ascii="Times New Roman" w:eastAsia="Times New Roman" w:hAnsi="Times New Roman" w:cs="Times New Roman"/>
          <w:i/>
          <w:sz w:val="26"/>
        </w:rPr>
        <w:t>h</w:t>
      </w:r>
      <w:r>
        <w:rPr>
          <w:rFonts w:ascii="Segoe UI Symbol" w:eastAsia="Segoe UI Symbol" w:hAnsi="Segoe UI Symbol" w:cs="Segoe UI Symbol"/>
          <w:sz w:val="27"/>
        </w:rPr>
        <w:t></w:t>
      </w:r>
      <w:r>
        <w:rPr>
          <w:rFonts w:ascii="Times New Roman" w:eastAsia="Times New Roman" w:hAnsi="Times New Roman" w:cs="Times New Roman"/>
          <w:sz w:val="15"/>
        </w:rPr>
        <w:t xml:space="preserve">0 </w:t>
      </w:r>
      <w:r>
        <w:rPr>
          <w:rFonts w:ascii="Times New Roman" w:eastAsia="Times New Roman" w:hAnsi="Times New Roman" w:cs="Times New Roman"/>
          <w:i/>
          <w:sz w:val="26"/>
        </w:rPr>
        <w:t>h</w:t>
      </w:r>
      <w:r>
        <w:rPr>
          <w:rFonts w:ascii="Times New Roman" w:eastAsia="Times New Roman" w:hAnsi="Times New Roman" w:cs="Times New Roman"/>
          <w:sz w:val="23"/>
          <w:vertAlign w:val="subscript"/>
        </w:rPr>
        <w:t>1</w:t>
      </w:r>
      <w:r>
        <w:rPr>
          <w:rFonts w:ascii="Times New Roman" w:eastAsia="Times New Roman" w:hAnsi="Times New Roman" w:cs="Times New Roman"/>
          <w:i/>
          <w:sz w:val="26"/>
        </w:rPr>
        <w:t>z</w:t>
      </w:r>
      <w:r>
        <w:rPr>
          <w:rFonts w:ascii="Segoe UI Symbol" w:eastAsia="Segoe UI Symbol" w:hAnsi="Segoe UI Symbol" w:cs="Segoe UI Symbol"/>
          <w:sz w:val="34"/>
        </w:rPr>
        <w:t></w:t>
      </w:r>
      <w:r>
        <w:rPr>
          <w:rFonts w:ascii="Segoe UI Symbol" w:eastAsia="Segoe UI Symbol" w:hAnsi="Segoe UI Symbol" w:cs="Segoe UI Symbol"/>
          <w:sz w:val="26"/>
        </w:rPr>
        <w:t></w:t>
      </w:r>
      <w:r>
        <w:rPr>
          <w:rFonts w:ascii="Segoe UI Symbol" w:eastAsia="Segoe UI Symbol" w:hAnsi="Segoe UI Symbol" w:cs="Segoe UI Symbol"/>
          <w:sz w:val="34"/>
          <w:vertAlign w:val="subscript"/>
        </w:rPr>
        <w:t></w:t>
      </w:r>
      <w:r>
        <w:rPr>
          <w:rFonts w:ascii="Segoe UI Symbol" w:eastAsia="Segoe UI Symbol" w:hAnsi="Segoe UI Symbol" w:cs="Segoe UI Symbol"/>
          <w:sz w:val="26"/>
        </w:rPr>
        <w:t></w:t>
      </w:r>
      <w:r>
        <w:rPr>
          <w:rFonts w:ascii="Segoe UI Symbol" w:eastAsia="Segoe UI Symbol" w:hAnsi="Segoe UI Symbol" w:cs="Segoe UI Symbol"/>
          <w:sz w:val="26"/>
        </w:rPr>
        <w:t></w:t>
      </w:r>
      <w:r>
        <w:rPr>
          <w:rFonts w:ascii="Times New Roman" w:eastAsia="Times New Roman" w:hAnsi="Times New Roman" w:cs="Times New Roman"/>
          <w:sz w:val="26"/>
        </w:rPr>
        <w:t>144</w:t>
      </w:r>
      <w:r>
        <w:rPr>
          <w:rFonts w:ascii="Segoe UI Symbol" w:eastAsia="Segoe UI Symbol" w:hAnsi="Segoe UI Symbol" w:cs="Segoe UI Symbol"/>
          <w:sz w:val="27"/>
        </w:rPr>
        <w:t></w:t>
      </w:r>
      <w:r>
        <w:rPr>
          <w:rFonts w:ascii="Segoe UI Symbol" w:eastAsia="Segoe UI Symbol" w:hAnsi="Segoe UI Symbol" w:cs="Segoe UI Symbol"/>
          <w:sz w:val="27"/>
        </w:rPr>
        <w:t></w:t>
      </w:r>
      <w:r>
        <w:rPr>
          <w:rFonts w:ascii="Times New Roman" w:eastAsia="Times New Roman" w:hAnsi="Times New Roman" w:cs="Times New Roman"/>
          <w:sz w:val="15"/>
        </w:rPr>
        <w:t xml:space="preserve">1 </w:t>
      </w:r>
      <w:r>
        <w:rPr>
          <w:rFonts w:ascii="Times New Roman" w:eastAsia="Times New Roman" w:hAnsi="Times New Roman" w:cs="Times New Roman"/>
          <w:i/>
          <w:sz w:val="26"/>
        </w:rPr>
        <w:t>ER</w:t>
      </w:r>
      <w:r>
        <w:rPr>
          <w:rFonts w:ascii="Segoe UI Symbol" w:eastAsia="Segoe UI Symbol" w:hAnsi="Segoe UI Symbol" w:cs="Segoe UI Symbol"/>
          <w:sz w:val="42"/>
          <w:u w:val="single" w:color="000000"/>
        </w:rPr>
        <w:t></w:t>
      </w:r>
      <w:r>
        <w:rPr>
          <w:rFonts w:ascii="Times New Roman" w:eastAsia="Times New Roman" w:hAnsi="Times New Roman" w:cs="Times New Roman"/>
          <w:sz w:val="26"/>
        </w:rPr>
        <w:t>1</w:t>
      </w:r>
      <w:r>
        <w:rPr>
          <w:rFonts w:ascii="Segoe UI Symbol" w:eastAsia="Segoe UI Symbol" w:hAnsi="Segoe UI Symbol" w:cs="Segoe UI Symbol"/>
          <w:sz w:val="26"/>
        </w:rPr>
        <w:t></w:t>
      </w:r>
      <w:r>
        <w:rPr>
          <w:rFonts w:ascii="Segoe UI Symbol" w:eastAsia="Segoe UI Symbol" w:hAnsi="Segoe UI Symbol" w:cs="Segoe UI Symbol"/>
          <w:sz w:val="34"/>
        </w:rPr>
        <w:t></w:t>
      </w:r>
      <w:r>
        <w:rPr>
          <w:rFonts w:ascii="Segoe UI Symbol" w:eastAsia="Segoe UI Symbol" w:hAnsi="Segoe UI Symbol" w:cs="Segoe UI Symbol"/>
          <w:sz w:val="27"/>
        </w:rPr>
        <w:t></w:t>
      </w:r>
      <w:r>
        <w:rPr>
          <w:rFonts w:ascii="Segoe UI Symbol" w:eastAsia="Segoe UI Symbol" w:hAnsi="Segoe UI Symbol" w:cs="Segoe UI Symbol"/>
          <w:sz w:val="27"/>
        </w:rPr>
        <w:t></w:t>
      </w:r>
      <w:r>
        <w:rPr>
          <w:rFonts w:ascii="Times New Roman" w:eastAsia="Times New Roman" w:hAnsi="Times New Roman" w:cs="Times New Roman"/>
          <w:i/>
          <w:sz w:val="26"/>
        </w:rPr>
        <w:t>h</w:t>
      </w:r>
      <w:r>
        <w:rPr>
          <w:rFonts w:ascii="Times New Roman" w:eastAsia="Times New Roman" w:hAnsi="Times New Roman" w:cs="Times New Roman"/>
          <w:sz w:val="15"/>
        </w:rPr>
        <w:t>2</w:t>
      </w:r>
      <w:r>
        <w:rPr>
          <w:rFonts w:ascii="Times New Roman" w:eastAsia="Times New Roman" w:hAnsi="Times New Roman" w:cs="Times New Roman"/>
          <w:sz w:val="23"/>
          <w:vertAlign w:val="subscript"/>
        </w:rPr>
        <w:t>1</w:t>
      </w:r>
      <w:r>
        <w:rPr>
          <w:rFonts w:ascii="Segoe UI Symbol" w:eastAsia="Segoe UI Symbol" w:hAnsi="Segoe UI Symbol" w:cs="Segoe UI Symbol"/>
          <w:sz w:val="42"/>
          <w:u w:val="single" w:color="000000"/>
        </w:rPr>
        <w:t></w:t>
      </w:r>
      <w:r>
        <w:rPr>
          <w:rFonts w:ascii="Segoe UI Symbol" w:eastAsia="Segoe UI Symbol" w:hAnsi="Segoe UI Symbol" w:cs="Segoe UI Symbol"/>
          <w:sz w:val="34"/>
        </w:rPr>
        <w:t></w:t>
      </w:r>
      <w:r>
        <w:rPr>
          <w:rFonts w:ascii="Times New Roman" w:eastAsia="Times New Roman" w:hAnsi="Times New Roman" w:cs="Times New Roman"/>
          <w:sz w:val="15"/>
        </w:rPr>
        <w:t xml:space="preserve">24 </w:t>
      </w:r>
      <w:r>
        <w:rPr>
          <w:rFonts w:ascii="Times New Roman" w:eastAsia="Times New Roman" w:hAnsi="Times New Roman" w:cs="Times New Roman"/>
          <w:sz w:val="26"/>
        </w:rPr>
        <w:t>ln</w:t>
      </w:r>
      <w:r>
        <w:rPr>
          <w:rFonts w:ascii="Segoe UI Symbol" w:eastAsia="Segoe UI Symbol" w:hAnsi="Segoe UI Symbol" w:cs="Segoe UI Symbol"/>
          <w:sz w:val="34"/>
        </w:rPr>
        <w:t></w:t>
      </w:r>
      <w:r>
        <w:rPr>
          <w:rFonts w:ascii="Times New Roman" w:eastAsia="Times New Roman" w:hAnsi="Times New Roman" w:cs="Times New Roman"/>
          <w:i/>
          <w:sz w:val="26"/>
        </w:rPr>
        <w:t>h</w:t>
      </w:r>
      <w:r>
        <w:rPr>
          <w:rFonts w:ascii="Times New Roman" w:eastAsia="Times New Roman" w:hAnsi="Times New Roman" w:cs="Times New Roman"/>
          <w:sz w:val="15"/>
        </w:rPr>
        <w:t xml:space="preserve">0 </w:t>
      </w:r>
      <w:r>
        <w:rPr>
          <w:rFonts w:ascii="Segoe UI Symbol" w:eastAsia="Segoe UI Symbol" w:hAnsi="Segoe UI Symbol" w:cs="Segoe UI Symbol"/>
          <w:sz w:val="26"/>
        </w:rPr>
        <w:t></w:t>
      </w:r>
      <w:r>
        <w:rPr>
          <w:rFonts w:ascii="Segoe UI Symbol" w:eastAsia="Segoe UI Symbol" w:hAnsi="Segoe UI Symbol" w:cs="Segoe UI Symbol"/>
          <w:sz w:val="27"/>
        </w:rPr>
        <w:t></w:t>
      </w:r>
      <w:r>
        <w:rPr>
          <w:rFonts w:ascii="Times New Roman" w:eastAsia="Times New Roman" w:hAnsi="Times New Roman" w:cs="Times New Roman"/>
          <w:i/>
          <w:sz w:val="26"/>
        </w:rPr>
        <w:t>h</w:t>
      </w:r>
      <w:r>
        <w:rPr>
          <w:rFonts w:ascii="Times New Roman" w:eastAsia="Times New Roman" w:hAnsi="Times New Roman" w:cs="Times New Roman"/>
          <w:sz w:val="15"/>
        </w:rPr>
        <w:t>1</w:t>
      </w:r>
      <w:r>
        <w:rPr>
          <w:rFonts w:ascii="Times New Roman" w:eastAsia="Times New Roman" w:hAnsi="Times New Roman" w:cs="Times New Roman"/>
          <w:i/>
          <w:sz w:val="26"/>
        </w:rPr>
        <w:t>z</w:t>
      </w:r>
      <w:r>
        <w:rPr>
          <w:rFonts w:ascii="Segoe UI Symbol" w:eastAsia="Segoe UI Symbol" w:hAnsi="Segoe UI Symbol" w:cs="Segoe UI Symbol"/>
          <w:sz w:val="34"/>
        </w:rPr>
        <w:t></w:t>
      </w:r>
      <w:r>
        <w:rPr>
          <w:rFonts w:ascii="Times New Roman" w:eastAsia="Times New Roman" w:hAnsi="Times New Roman" w:cs="Times New Roman"/>
          <w:sz w:val="15"/>
        </w:rPr>
        <w:t xml:space="preserve">2 </w:t>
      </w:r>
      <w:r>
        <w:rPr>
          <w:rFonts w:ascii="Segoe UI Symbol" w:eastAsia="Segoe UI Symbol" w:hAnsi="Segoe UI Symbol" w:cs="Segoe UI Symbol"/>
          <w:sz w:val="26"/>
        </w:rPr>
        <w:t></w:t>
      </w:r>
      <w:r>
        <w:rPr>
          <w:rFonts w:ascii="Times New Roman" w:eastAsia="Times New Roman" w:hAnsi="Times New Roman" w:cs="Times New Roman"/>
          <w:sz w:val="26"/>
        </w:rPr>
        <w:t>6</w:t>
      </w:r>
      <w:r>
        <w:rPr>
          <w:rFonts w:ascii="Segoe UI Symbol" w:eastAsia="Segoe UI Symbol" w:hAnsi="Segoe UI Symbol" w:cs="Segoe UI Symbol"/>
          <w:sz w:val="42"/>
          <w:u w:val="single" w:color="000000"/>
        </w:rPr>
        <w:t></w:t>
      </w:r>
      <w:r>
        <w:rPr>
          <w:rFonts w:ascii="Times New Roman" w:eastAsia="Times New Roman" w:hAnsi="Times New Roman" w:cs="Times New Roman"/>
          <w:sz w:val="26"/>
        </w:rPr>
        <w:t>1</w:t>
      </w:r>
      <w:r>
        <w:rPr>
          <w:rFonts w:ascii="Segoe UI Symbol" w:eastAsia="Segoe UI Symbol" w:hAnsi="Segoe UI Symbol" w:cs="Segoe UI Symbol"/>
          <w:sz w:val="26"/>
        </w:rPr>
        <w:t></w:t>
      </w:r>
      <w:r>
        <w:rPr>
          <w:rFonts w:ascii="Times New Roman" w:eastAsia="Times New Roman" w:hAnsi="Times New Roman" w:cs="Times New Roman"/>
          <w:i/>
          <w:sz w:val="26"/>
        </w:rPr>
        <w:t>R</w:t>
      </w:r>
      <w:r>
        <w:rPr>
          <w:rFonts w:ascii="Segoe UI Symbol" w:eastAsia="Segoe UI Symbol" w:hAnsi="Segoe UI Symbol" w:cs="Segoe UI Symbol"/>
          <w:sz w:val="27"/>
        </w:rPr>
        <w:t></w:t>
      </w:r>
      <w:r>
        <w:rPr>
          <w:rFonts w:ascii="Times New Roman" w:eastAsia="Times New Roman" w:hAnsi="Times New Roman" w:cs="Times New Roman"/>
          <w:sz w:val="15"/>
        </w:rPr>
        <w:t>2 2</w:t>
      </w:r>
      <w:r>
        <w:rPr>
          <w:rFonts w:ascii="Segoe UI Symbol" w:eastAsia="Segoe UI Symbol" w:hAnsi="Segoe UI Symbol" w:cs="Segoe UI Symbol"/>
          <w:sz w:val="42"/>
          <w:u w:val="single" w:color="000000"/>
        </w:rPr>
        <w:t></w:t>
      </w:r>
      <w:r>
        <w:rPr>
          <w:rFonts w:ascii="Segoe UI Symbol" w:eastAsia="Segoe UI Symbol" w:hAnsi="Segoe UI Symbol" w:cs="Segoe UI Symbol"/>
          <w:sz w:val="26"/>
        </w:rPr>
        <w:t></w:t>
      </w:r>
      <w:r>
        <w:rPr>
          <w:rFonts w:ascii="Times New Roman" w:eastAsia="Times New Roman" w:hAnsi="Times New Roman" w:cs="Times New Roman"/>
          <w:sz w:val="24"/>
        </w:rPr>
        <w:t xml:space="preserve"> </w:t>
      </w:r>
      <w:r>
        <w:rPr>
          <w:rFonts w:ascii="Times New Roman" w:eastAsia="Times New Roman" w:hAnsi="Times New Roman" w:cs="Times New Roman"/>
          <w:i/>
          <w:sz w:val="26"/>
        </w:rPr>
        <w:t xml:space="preserve">h </w:t>
      </w:r>
      <w:r>
        <w:rPr>
          <w:rFonts w:ascii="Times New Roman" w:eastAsia="Times New Roman" w:hAnsi="Times New Roman" w:cs="Times New Roman"/>
          <w:sz w:val="26"/>
        </w:rPr>
        <w:t>ln</w:t>
      </w:r>
      <w:r>
        <w:rPr>
          <w:rFonts w:ascii="Segoe UI Symbol" w:eastAsia="Segoe UI Symbol" w:hAnsi="Segoe UI Symbol" w:cs="Segoe UI Symbol"/>
          <w:sz w:val="34"/>
        </w:rPr>
        <w:t></w:t>
      </w:r>
      <w:r>
        <w:rPr>
          <w:rFonts w:ascii="Times New Roman" w:eastAsia="Times New Roman" w:hAnsi="Times New Roman" w:cs="Times New Roman"/>
          <w:i/>
          <w:sz w:val="26"/>
        </w:rPr>
        <w:t>h</w:t>
      </w:r>
    </w:p>
    <w:p w:rsidR="0052701D" w:rsidRDefault="00D40929">
      <w:pPr>
        <w:spacing w:after="0" w:line="268" w:lineRule="auto"/>
        <w:ind w:left="33" w:hanging="10"/>
      </w:pPr>
      <w:r>
        <w:rPr>
          <w:rFonts w:ascii="Segoe UI Symbol" w:eastAsia="Segoe UI Symbol" w:hAnsi="Segoe UI Symbol" w:cs="Segoe UI Symbol"/>
          <w:sz w:val="25"/>
        </w:rPr>
        <w:t></w:t>
      </w:r>
      <w:r>
        <w:rPr>
          <w:rFonts w:ascii="Segoe UI Symbol" w:eastAsia="Segoe UI Symbol" w:hAnsi="Segoe UI Symbol" w:cs="Segoe UI Symbol"/>
          <w:sz w:val="38"/>
        </w:rPr>
        <w:t></w:t>
      </w:r>
    </w:p>
    <w:p w:rsidR="0052701D" w:rsidRDefault="00D40929">
      <w:pPr>
        <w:spacing w:after="749" w:line="268" w:lineRule="auto"/>
        <w:ind w:left="228" w:hanging="10"/>
      </w:pPr>
      <w:r>
        <w:rPr>
          <w:noProof/>
        </w:rPr>
        <mc:AlternateContent>
          <mc:Choice Requires="wpg">
            <w:drawing>
              <wp:anchor distT="0" distB="0" distL="114300" distR="114300" simplePos="0" relativeHeight="251736064" behindDoc="0" locked="0" layoutInCell="1" allowOverlap="1">
                <wp:simplePos x="0" y="0"/>
                <wp:positionH relativeFrom="column">
                  <wp:posOffset>1778628</wp:posOffset>
                </wp:positionH>
                <wp:positionV relativeFrom="paragraph">
                  <wp:posOffset>16898</wp:posOffset>
                </wp:positionV>
                <wp:extent cx="3809657" cy="6292"/>
                <wp:effectExtent l="0" t="0" r="0" b="0"/>
                <wp:wrapNone/>
                <wp:docPr id="919966" name="Group 919966"/>
                <wp:cNvGraphicFramePr/>
                <a:graphic xmlns:a="http://schemas.openxmlformats.org/drawingml/2006/main">
                  <a:graphicData uri="http://schemas.microsoft.com/office/word/2010/wordprocessingGroup">
                    <wpg:wgp>
                      <wpg:cNvGrpSpPr/>
                      <wpg:grpSpPr>
                        <a:xfrm>
                          <a:off x="0" y="0"/>
                          <a:ext cx="3809657" cy="6292"/>
                          <a:chOff x="0" y="0"/>
                          <a:chExt cx="3809657" cy="6292"/>
                        </a:xfrm>
                      </wpg:grpSpPr>
                      <wps:wsp>
                        <wps:cNvPr id="12350" name="Shape 12350"/>
                        <wps:cNvSpPr/>
                        <wps:spPr>
                          <a:xfrm>
                            <a:off x="0" y="0"/>
                            <a:ext cx="299848" cy="0"/>
                          </a:xfrm>
                          <a:custGeom>
                            <a:avLst/>
                            <a:gdLst/>
                            <a:ahLst/>
                            <a:cxnLst/>
                            <a:rect l="0" t="0" r="0" b="0"/>
                            <a:pathLst>
                              <a:path w="299848">
                                <a:moveTo>
                                  <a:pt x="0" y="0"/>
                                </a:moveTo>
                                <a:lnTo>
                                  <a:pt x="299848" y="0"/>
                                </a:lnTo>
                              </a:path>
                            </a:pathLst>
                          </a:custGeom>
                          <a:ln w="6292" cap="flat">
                            <a:round/>
                          </a:ln>
                        </wps:spPr>
                        <wps:style>
                          <a:lnRef idx="1">
                            <a:srgbClr val="000000"/>
                          </a:lnRef>
                          <a:fillRef idx="0">
                            <a:srgbClr val="000000">
                              <a:alpha val="0"/>
                            </a:srgbClr>
                          </a:fillRef>
                          <a:effectRef idx="0">
                            <a:scrgbClr r="0" g="0" b="0"/>
                          </a:effectRef>
                          <a:fontRef idx="none"/>
                        </wps:style>
                        <wps:bodyPr/>
                      </wps:wsp>
                      <wps:wsp>
                        <wps:cNvPr id="12353" name="Shape 12353"/>
                        <wps:cNvSpPr/>
                        <wps:spPr>
                          <a:xfrm>
                            <a:off x="375920" y="0"/>
                            <a:ext cx="649650" cy="0"/>
                          </a:xfrm>
                          <a:custGeom>
                            <a:avLst/>
                            <a:gdLst/>
                            <a:ahLst/>
                            <a:cxnLst/>
                            <a:rect l="0" t="0" r="0" b="0"/>
                            <a:pathLst>
                              <a:path w="649650">
                                <a:moveTo>
                                  <a:pt x="0" y="0"/>
                                </a:moveTo>
                                <a:lnTo>
                                  <a:pt x="649650" y="0"/>
                                </a:lnTo>
                              </a:path>
                            </a:pathLst>
                          </a:custGeom>
                          <a:ln w="6292" cap="flat">
                            <a:round/>
                          </a:ln>
                        </wps:spPr>
                        <wps:style>
                          <a:lnRef idx="1">
                            <a:srgbClr val="000000"/>
                          </a:lnRef>
                          <a:fillRef idx="0">
                            <a:srgbClr val="000000">
                              <a:alpha val="0"/>
                            </a:srgbClr>
                          </a:fillRef>
                          <a:effectRef idx="0">
                            <a:scrgbClr r="0" g="0" b="0"/>
                          </a:effectRef>
                          <a:fontRef idx="none"/>
                        </wps:style>
                        <wps:bodyPr/>
                      </wps:wsp>
                      <wps:wsp>
                        <wps:cNvPr id="12356" name="Shape 12356"/>
                        <wps:cNvSpPr/>
                        <wps:spPr>
                          <a:xfrm>
                            <a:off x="1177839" y="0"/>
                            <a:ext cx="721030" cy="0"/>
                          </a:xfrm>
                          <a:custGeom>
                            <a:avLst/>
                            <a:gdLst/>
                            <a:ahLst/>
                            <a:cxnLst/>
                            <a:rect l="0" t="0" r="0" b="0"/>
                            <a:pathLst>
                              <a:path w="721030">
                                <a:moveTo>
                                  <a:pt x="0" y="0"/>
                                </a:moveTo>
                                <a:lnTo>
                                  <a:pt x="721030" y="0"/>
                                </a:lnTo>
                              </a:path>
                            </a:pathLst>
                          </a:custGeom>
                          <a:ln w="6292" cap="flat">
                            <a:round/>
                          </a:ln>
                        </wps:spPr>
                        <wps:style>
                          <a:lnRef idx="1">
                            <a:srgbClr val="000000"/>
                          </a:lnRef>
                          <a:fillRef idx="0">
                            <a:srgbClr val="000000">
                              <a:alpha val="0"/>
                            </a:srgbClr>
                          </a:fillRef>
                          <a:effectRef idx="0">
                            <a:scrgbClr r="0" g="0" b="0"/>
                          </a:effectRef>
                          <a:fontRef idx="none"/>
                        </wps:style>
                        <wps:bodyPr/>
                      </wps:wsp>
                      <wps:wsp>
                        <wps:cNvPr id="12363" name="Shape 12363"/>
                        <wps:cNvSpPr/>
                        <wps:spPr>
                          <a:xfrm>
                            <a:off x="2118209" y="0"/>
                            <a:ext cx="1239457" cy="0"/>
                          </a:xfrm>
                          <a:custGeom>
                            <a:avLst/>
                            <a:gdLst/>
                            <a:ahLst/>
                            <a:cxnLst/>
                            <a:rect l="0" t="0" r="0" b="0"/>
                            <a:pathLst>
                              <a:path w="1239457">
                                <a:moveTo>
                                  <a:pt x="0" y="0"/>
                                </a:moveTo>
                                <a:lnTo>
                                  <a:pt x="1239457" y="0"/>
                                </a:lnTo>
                              </a:path>
                            </a:pathLst>
                          </a:custGeom>
                          <a:ln w="6292" cap="flat">
                            <a:round/>
                          </a:ln>
                        </wps:spPr>
                        <wps:style>
                          <a:lnRef idx="1">
                            <a:srgbClr val="000000"/>
                          </a:lnRef>
                          <a:fillRef idx="0">
                            <a:srgbClr val="000000">
                              <a:alpha val="0"/>
                            </a:srgbClr>
                          </a:fillRef>
                          <a:effectRef idx="0">
                            <a:scrgbClr r="0" g="0" b="0"/>
                          </a:effectRef>
                          <a:fontRef idx="none"/>
                        </wps:style>
                        <wps:bodyPr/>
                      </wps:wsp>
                      <wps:wsp>
                        <wps:cNvPr id="12366" name="Shape 12366"/>
                        <wps:cNvSpPr/>
                        <wps:spPr>
                          <a:xfrm>
                            <a:off x="3510189" y="0"/>
                            <a:ext cx="299468" cy="0"/>
                          </a:xfrm>
                          <a:custGeom>
                            <a:avLst/>
                            <a:gdLst/>
                            <a:ahLst/>
                            <a:cxnLst/>
                            <a:rect l="0" t="0" r="0" b="0"/>
                            <a:pathLst>
                              <a:path w="299468">
                                <a:moveTo>
                                  <a:pt x="0" y="0"/>
                                </a:moveTo>
                                <a:lnTo>
                                  <a:pt x="299468" y="0"/>
                                </a:lnTo>
                              </a:path>
                            </a:pathLst>
                          </a:custGeom>
                          <a:ln w="6292"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9966" style="width:299.973pt;height:0.495413pt;position:absolute;z-index:604;mso-position-horizontal-relative:text;mso-position-horizontal:absolute;margin-left:140.049pt;mso-position-vertical-relative:text;margin-top:1.33054pt;" coordsize="38096,62">
                <v:shape id="Shape 12350" style="position:absolute;width:2998;height:0;left:0;top:0;" coordsize="299848,0" path="m0,0l299848,0">
                  <v:stroke weight="0.495413pt" endcap="flat" joinstyle="round" on="true" color="#000000"/>
                  <v:fill on="false" color="#000000" opacity="0"/>
                </v:shape>
                <v:shape id="Shape 12353" style="position:absolute;width:6496;height:0;left:3759;top:0;" coordsize="649650,0" path="m0,0l649650,0">
                  <v:stroke weight="0.495413pt" endcap="flat" joinstyle="round" on="true" color="#000000"/>
                  <v:fill on="false" color="#000000" opacity="0"/>
                </v:shape>
                <v:shape id="Shape 12356" style="position:absolute;width:7210;height:0;left:11778;top:0;" coordsize="721030,0" path="m0,0l721030,0">
                  <v:stroke weight="0.495413pt" endcap="flat" joinstyle="round" on="true" color="#000000"/>
                  <v:fill on="false" color="#000000" opacity="0"/>
                </v:shape>
                <v:shape id="Shape 12363" style="position:absolute;width:12394;height:0;left:21182;top:0;" coordsize="1239457,0" path="m0,0l1239457,0">
                  <v:stroke weight="0.495413pt" endcap="flat" joinstyle="round" on="true" color="#000000"/>
                  <v:fill on="false" color="#000000" opacity="0"/>
                </v:shape>
                <v:shape id="Shape 12366" style="position:absolute;width:2994;height:0;left:35101;top:0;" coordsize="299468,0" path="m0,0l299468,0">
                  <v:stroke weight="0.495413pt" endcap="flat" joinstyle="round" on="true" color="#000000"/>
                  <v:fill on="false" color="#000000" opacity="0"/>
                </v:shape>
              </v:group>
            </w:pict>
          </mc:Fallback>
        </mc:AlternateContent>
      </w:r>
      <w:r>
        <w:rPr>
          <w:rFonts w:ascii="Times New Roman" w:eastAsia="Times New Roman" w:hAnsi="Times New Roman" w:cs="Times New Roman"/>
          <w:i/>
          <w:sz w:val="15"/>
        </w:rPr>
        <w:t>k</w:t>
      </w:r>
      <w:r>
        <w:rPr>
          <w:rFonts w:ascii="Times New Roman" w:eastAsia="Times New Roman" w:hAnsi="Times New Roman" w:cs="Times New Roman"/>
          <w:i/>
          <w:sz w:val="23"/>
          <w:vertAlign w:val="superscript"/>
        </w:rPr>
        <w:t>n</w:t>
      </w:r>
      <w:r>
        <w:rPr>
          <w:rFonts w:ascii="Segoe UI Symbol" w:eastAsia="Segoe UI Symbol" w:hAnsi="Segoe UI Symbol" w:cs="Segoe UI Symbol"/>
          <w:sz w:val="15"/>
        </w:rPr>
        <w:t></w:t>
      </w:r>
      <w:r>
        <w:rPr>
          <w:rFonts w:ascii="Times New Roman" w:eastAsia="Times New Roman" w:hAnsi="Times New Roman" w:cs="Times New Roman"/>
          <w:sz w:val="15"/>
        </w:rPr>
        <w:t>1</w:t>
      </w:r>
      <w:r>
        <w:rPr>
          <w:rFonts w:ascii="Segoe UI Symbol" w:eastAsia="Segoe UI Symbol" w:hAnsi="Segoe UI Symbol" w:cs="Segoe UI Symbol"/>
          <w:sz w:val="33"/>
        </w:rPr>
        <w:t></w:t>
      </w:r>
      <w:r>
        <w:rPr>
          <w:rFonts w:ascii="Times New Roman" w:eastAsia="Times New Roman" w:hAnsi="Times New Roman" w:cs="Times New Roman"/>
          <w:i/>
          <w:sz w:val="25"/>
        </w:rPr>
        <w:t>z</w:t>
      </w:r>
      <w:r>
        <w:rPr>
          <w:rFonts w:ascii="Times New Roman" w:eastAsia="Times New Roman" w:hAnsi="Times New Roman" w:cs="Times New Roman"/>
          <w:i/>
          <w:sz w:val="15"/>
        </w:rPr>
        <w:t xml:space="preserve">k </w:t>
      </w:r>
      <w:r>
        <w:rPr>
          <w:rFonts w:ascii="Segoe UI Symbol" w:eastAsia="Segoe UI Symbol" w:hAnsi="Segoe UI Symbol" w:cs="Segoe UI Symbol"/>
          <w:sz w:val="25"/>
        </w:rPr>
        <w:t xml:space="preserve"> </w:t>
      </w:r>
      <w:r>
        <w:rPr>
          <w:rFonts w:ascii="Times New Roman" w:eastAsia="Times New Roman" w:hAnsi="Times New Roman" w:cs="Times New Roman"/>
          <w:i/>
          <w:sz w:val="25"/>
        </w:rPr>
        <w:t>z</w:t>
      </w:r>
      <w:r>
        <w:rPr>
          <w:rFonts w:ascii="Times New Roman" w:eastAsia="Times New Roman" w:hAnsi="Times New Roman" w:cs="Times New Roman"/>
          <w:i/>
          <w:sz w:val="15"/>
        </w:rPr>
        <w:t>k</w:t>
      </w:r>
      <w:r>
        <w:rPr>
          <w:rFonts w:ascii="Segoe UI Symbol" w:eastAsia="Segoe UI Symbol" w:hAnsi="Segoe UI Symbol" w:cs="Segoe UI Symbol"/>
          <w:sz w:val="15"/>
        </w:rPr>
        <w:t></w:t>
      </w:r>
      <w:r>
        <w:rPr>
          <w:rFonts w:ascii="Times New Roman" w:eastAsia="Times New Roman" w:hAnsi="Times New Roman" w:cs="Times New Roman"/>
          <w:sz w:val="15"/>
        </w:rPr>
        <w:t>1</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Times New Roman" w:eastAsia="Times New Roman" w:hAnsi="Times New Roman" w:cs="Times New Roman"/>
          <w:i/>
          <w:sz w:val="15"/>
        </w:rPr>
        <w:t xml:space="preserve">k </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33"/>
        </w:rPr>
        <w:t></w:t>
      </w:r>
      <w:r>
        <w:rPr>
          <w:rFonts w:ascii="Segoe UI Symbol" w:eastAsia="Segoe UI Symbol" w:hAnsi="Segoe UI Symbol" w:cs="Segoe UI Symbol"/>
          <w:sz w:val="26"/>
        </w:rPr>
        <w:t></w:t>
      </w:r>
      <w:r>
        <w:rPr>
          <w:rFonts w:ascii="Times New Roman" w:eastAsia="Times New Roman" w:hAnsi="Times New Roman" w:cs="Times New Roman"/>
          <w:sz w:val="25"/>
        </w:rPr>
        <w:t>1</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Times New Roman" w:eastAsia="Times New Roman" w:hAnsi="Times New Roman" w:cs="Times New Roman"/>
          <w:sz w:val="25"/>
        </w:rPr>
        <w:t>1</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25"/>
        </w:rPr>
        <w:t xml:space="preserve"> </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sz w:val="25"/>
        </w:rPr>
        <w:t>1</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Times New Roman" w:eastAsia="Times New Roman" w:hAnsi="Times New Roman" w:cs="Times New Roman"/>
          <w:i/>
          <w:sz w:val="15"/>
        </w:rPr>
        <w:t xml:space="preserve">k </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 xml:space="preserve"> </w:t>
      </w:r>
      <w:r>
        <w:rPr>
          <w:rFonts w:ascii="Times New Roman" w:eastAsia="Times New Roman" w:hAnsi="Times New Roman" w:cs="Times New Roman"/>
          <w:sz w:val="25"/>
        </w:rPr>
        <w:t>2</w:t>
      </w:r>
      <w:r>
        <w:rPr>
          <w:rFonts w:ascii="Segoe UI Symbol" w:eastAsia="Segoe UI Symbol" w:hAnsi="Segoe UI Symbol" w:cs="Segoe UI Symbol"/>
          <w:sz w:val="33"/>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h</w:t>
      </w:r>
      <w:r>
        <w:rPr>
          <w:rFonts w:ascii="Segoe UI Symbol" w:eastAsia="Segoe UI Symbol" w:hAnsi="Segoe UI Symbol" w:cs="Segoe UI Symbol"/>
          <w:sz w:val="33"/>
        </w:rPr>
        <w:t></w:t>
      </w:r>
      <w:r>
        <w:rPr>
          <w:rFonts w:ascii="Times New Roman" w:eastAsia="Times New Roman" w:hAnsi="Times New Roman" w:cs="Times New Roman"/>
          <w:sz w:val="15"/>
        </w:rPr>
        <w:t>2</w:t>
      </w:r>
      <w:r>
        <w:rPr>
          <w:rFonts w:ascii="Times New Roman" w:eastAsia="Times New Roman" w:hAnsi="Times New Roman" w:cs="Times New Roman"/>
          <w:sz w:val="23"/>
          <w:vertAlign w:val="subscript"/>
        </w:rPr>
        <w:t>0</w:t>
      </w:r>
      <w:r>
        <w:rPr>
          <w:rFonts w:ascii="Segoe UI Symbol" w:eastAsia="Segoe UI Symbol" w:hAnsi="Segoe UI Symbol" w:cs="Segoe UI Symbol"/>
          <w:sz w:val="33"/>
        </w:rPr>
        <w:t></w:t>
      </w:r>
      <w:r>
        <w:rPr>
          <w:rFonts w:ascii="Segoe UI Symbol" w:eastAsia="Segoe UI Symbol" w:hAnsi="Segoe UI Symbol" w:cs="Segoe UI Symbol"/>
          <w:sz w:val="33"/>
        </w:rPr>
        <w:t></w:t>
      </w:r>
      <w:r>
        <w:rPr>
          <w:rFonts w:ascii="Times New Roman" w:eastAsia="Times New Roman" w:hAnsi="Times New Roman" w:cs="Times New Roman"/>
          <w:i/>
          <w:sz w:val="25"/>
        </w:rPr>
        <w:t>hz</w:t>
      </w:r>
      <w:r>
        <w:rPr>
          <w:rFonts w:ascii="Times New Roman" w:eastAsia="Times New Roman" w:hAnsi="Times New Roman" w:cs="Times New Roman"/>
          <w:sz w:val="15"/>
        </w:rPr>
        <w:t>0</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i/>
          <w:sz w:val="25"/>
        </w:rPr>
        <w:t>z</w:t>
      </w:r>
      <w:r>
        <w:rPr>
          <w:rFonts w:ascii="Segoe UI Symbol" w:eastAsia="Segoe UI Symbol" w:hAnsi="Segoe UI Symbol" w:cs="Segoe UI Symbol"/>
          <w:sz w:val="26"/>
        </w:rPr>
        <w:t></w:t>
      </w:r>
      <w:r>
        <w:rPr>
          <w:rFonts w:ascii="Times New Roman" w:eastAsia="Times New Roman" w:hAnsi="Times New Roman" w:cs="Times New Roman"/>
          <w:i/>
          <w:sz w:val="23"/>
          <w:vertAlign w:val="subscript"/>
        </w:rPr>
        <w:t>k</w:t>
      </w:r>
      <w:r>
        <w:rPr>
          <w:rFonts w:ascii="Times New Roman" w:eastAsia="Times New Roman" w:hAnsi="Times New Roman" w:cs="Times New Roman"/>
          <w:i/>
          <w:sz w:val="25"/>
        </w:rPr>
        <w:t>h</w:t>
      </w:r>
      <w:r>
        <w:rPr>
          <w:rFonts w:ascii="Segoe UI Symbol" w:eastAsia="Segoe UI Symbol" w:hAnsi="Segoe UI Symbol" w:cs="Segoe UI Symbol"/>
          <w:sz w:val="33"/>
        </w:rPr>
        <w:t></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Times New Roman" w:eastAsia="Times New Roman" w:hAnsi="Times New Roman" w:cs="Times New Roman"/>
          <w:i/>
          <w:sz w:val="15"/>
        </w:rPr>
        <w:t xml:space="preserve">k </w:t>
      </w:r>
      <w:r>
        <w:rPr>
          <w:rFonts w:ascii="Segoe UI Symbol" w:eastAsia="Segoe UI Symbol" w:hAnsi="Segoe UI Symbol" w:cs="Segoe UI Symbol"/>
          <w:sz w:val="33"/>
        </w:rPr>
        <w:t></w:t>
      </w:r>
      <w:r>
        <w:rPr>
          <w:rFonts w:ascii="Times New Roman" w:eastAsia="Times New Roman" w:hAnsi="Times New Roman" w:cs="Times New Roman"/>
          <w:sz w:val="15"/>
        </w:rPr>
        <w:t xml:space="preserve">2 </w:t>
      </w:r>
      <w:r>
        <w:rPr>
          <w:rFonts w:ascii="Segoe UI Symbol" w:eastAsia="Segoe UI Symbol" w:hAnsi="Segoe UI Symbol" w:cs="Segoe UI Symbol"/>
          <w:sz w:val="25"/>
        </w:rPr>
        <w:t xml:space="preserve"> </w:t>
      </w:r>
      <w:r>
        <w:rPr>
          <w:rFonts w:ascii="Segoe UI Symbol" w:eastAsia="Segoe UI Symbol" w:hAnsi="Segoe UI Symbol" w:cs="Segoe UI Symbol"/>
          <w:sz w:val="33"/>
        </w:rPr>
        <w:t></w:t>
      </w:r>
      <w:r>
        <w:rPr>
          <w:rFonts w:ascii="Segoe UI Symbol" w:eastAsia="Segoe UI Symbol" w:hAnsi="Segoe UI Symbol" w:cs="Segoe UI Symbol"/>
          <w:sz w:val="26"/>
        </w:rPr>
        <w:t></w:t>
      </w:r>
      <w:r>
        <w:rPr>
          <w:rFonts w:ascii="Times New Roman" w:eastAsia="Times New Roman" w:hAnsi="Times New Roman" w:cs="Times New Roman"/>
          <w:sz w:val="25"/>
        </w:rPr>
        <w:t>1</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Times New Roman" w:eastAsia="Times New Roman" w:hAnsi="Times New Roman" w:cs="Times New Roman"/>
          <w:sz w:val="24"/>
        </w:rPr>
        <w:t xml:space="preserve"> </w:t>
      </w:r>
    </w:p>
    <w:p w:rsidR="0052701D" w:rsidRDefault="00D40929">
      <w:pPr>
        <w:tabs>
          <w:tab w:val="center" w:pos="6158"/>
          <w:tab w:val="center" w:pos="7033"/>
          <w:tab w:val="center" w:pos="8409"/>
        </w:tabs>
        <w:spacing w:after="35"/>
      </w:pPr>
      <w:r>
        <w:rPr>
          <w:noProof/>
        </w:rPr>
        <mc:AlternateContent>
          <mc:Choice Requires="wpg">
            <w:drawing>
              <wp:anchor distT="0" distB="0" distL="114300" distR="114300" simplePos="0" relativeHeight="251737088" behindDoc="0" locked="0" layoutInCell="1" allowOverlap="1">
                <wp:simplePos x="0" y="0"/>
                <wp:positionH relativeFrom="column">
                  <wp:posOffset>191365</wp:posOffset>
                </wp:positionH>
                <wp:positionV relativeFrom="paragraph">
                  <wp:posOffset>33319</wp:posOffset>
                </wp:positionV>
                <wp:extent cx="5605981" cy="5901"/>
                <wp:effectExtent l="0" t="0" r="0" b="0"/>
                <wp:wrapNone/>
                <wp:docPr id="919967" name="Group 919967"/>
                <wp:cNvGraphicFramePr/>
                <a:graphic xmlns:a="http://schemas.openxmlformats.org/drawingml/2006/main">
                  <a:graphicData uri="http://schemas.microsoft.com/office/word/2010/wordprocessingGroup">
                    <wpg:wgp>
                      <wpg:cNvGrpSpPr/>
                      <wpg:grpSpPr>
                        <a:xfrm>
                          <a:off x="0" y="0"/>
                          <a:ext cx="5605981" cy="5901"/>
                          <a:chOff x="0" y="0"/>
                          <a:chExt cx="5605981" cy="5901"/>
                        </a:xfrm>
                      </wpg:grpSpPr>
                      <wps:wsp>
                        <wps:cNvPr id="12453" name="Shape 12453"/>
                        <wps:cNvSpPr/>
                        <wps:spPr>
                          <a:xfrm>
                            <a:off x="0" y="0"/>
                            <a:ext cx="650844" cy="0"/>
                          </a:xfrm>
                          <a:custGeom>
                            <a:avLst/>
                            <a:gdLst/>
                            <a:ahLst/>
                            <a:cxnLst/>
                            <a:rect l="0" t="0" r="0" b="0"/>
                            <a:pathLst>
                              <a:path w="650844">
                                <a:moveTo>
                                  <a:pt x="0" y="0"/>
                                </a:moveTo>
                                <a:lnTo>
                                  <a:pt x="650844" y="0"/>
                                </a:lnTo>
                              </a:path>
                            </a:pathLst>
                          </a:custGeom>
                          <a:ln w="5901" cap="flat">
                            <a:round/>
                          </a:ln>
                        </wps:spPr>
                        <wps:style>
                          <a:lnRef idx="1">
                            <a:srgbClr val="000000"/>
                          </a:lnRef>
                          <a:fillRef idx="0">
                            <a:srgbClr val="000000">
                              <a:alpha val="0"/>
                            </a:srgbClr>
                          </a:fillRef>
                          <a:effectRef idx="0">
                            <a:scrgbClr r="0" g="0" b="0"/>
                          </a:effectRef>
                          <a:fontRef idx="none"/>
                        </wps:style>
                        <wps:bodyPr/>
                      </wps:wsp>
                      <wps:wsp>
                        <wps:cNvPr id="12456" name="Shape 12456"/>
                        <wps:cNvSpPr/>
                        <wps:spPr>
                          <a:xfrm>
                            <a:off x="803474" y="0"/>
                            <a:ext cx="722800" cy="0"/>
                          </a:xfrm>
                          <a:custGeom>
                            <a:avLst/>
                            <a:gdLst/>
                            <a:ahLst/>
                            <a:cxnLst/>
                            <a:rect l="0" t="0" r="0" b="0"/>
                            <a:pathLst>
                              <a:path w="722800">
                                <a:moveTo>
                                  <a:pt x="0" y="0"/>
                                </a:moveTo>
                                <a:lnTo>
                                  <a:pt x="722800" y="0"/>
                                </a:lnTo>
                              </a:path>
                            </a:pathLst>
                          </a:custGeom>
                          <a:ln w="5901" cap="flat">
                            <a:round/>
                          </a:ln>
                        </wps:spPr>
                        <wps:style>
                          <a:lnRef idx="1">
                            <a:srgbClr val="000000"/>
                          </a:lnRef>
                          <a:fillRef idx="0">
                            <a:srgbClr val="000000">
                              <a:alpha val="0"/>
                            </a:srgbClr>
                          </a:fillRef>
                          <a:effectRef idx="0">
                            <a:scrgbClr r="0" g="0" b="0"/>
                          </a:effectRef>
                          <a:fontRef idx="none"/>
                        </wps:style>
                        <wps:bodyPr/>
                      </wps:wsp>
                      <wps:wsp>
                        <wps:cNvPr id="12459" name="Shape 12459"/>
                        <wps:cNvSpPr/>
                        <wps:spPr>
                          <a:xfrm>
                            <a:off x="1747912" y="0"/>
                            <a:ext cx="371726" cy="0"/>
                          </a:xfrm>
                          <a:custGeom>
                            <a:avLst/>
                            <a:gdLst/>
                            <a:ahLst/>
                            <a:cxnLst/>
                            <a:rect l="0" t="0" r="0" b="0"/>
                            <a:pathLst>
                              <a:path w="371726">
                                <a:moveTo>
                                  <a:pt x="0" y="0"/>
                                </a:moveTo>
                                <a:lnTo>
                                  <a:pt x="371726" y="0"/>
                                </a:lnTo>
                              </a:path>
                            </a:pathLst>
                          </a:custGeom>
                          <a:ln w="5901" cap="flat">
                            <a:round/>
                          </a:ln>
                        </wps:spPr>
                        <wps:style>
                          <a:lnRef idx="1">
                            <a:srgbClr val="000000"/>
                          </a:lnRef>
                          <a:fillRef idx="0">
                            <a:srgbClr val="000000">
                              <a:alpha val="0"/>
                            </a:srgbClr>
                          </a:fillRef>
                          <a:effectRef idx="0">
                            <a:scrgbClr r="0" g="0" b="0"/>
                          </a:effectRef>
                          <a:fontRef idx="none"/>
                        </wps:style>
                        <wps:bodyPr/>
                      </wps:wsp>
                      <wps:wsp>
                        <wps:cNvPr id="12464" name="Shape 12464"/>
                        <wps:cNvSpPr/>
                        <wps:spPr>
                          <a:xfrm>
                            <a:off x="2289297" y="0"/>
                            <a:ext cx="722482" cy="0"/>
                          </a:xfrm>
                          <a:custGeom>
                            <a:avLst/>
                            <a:gdLst/>
                            <a:ahLst/>
                            <a:cxnLst/>
                            <a:rect l="0" t="0" r="0" b="0"/>
                            <a:pathLst>
                              <a:path w="722482">
                                <a:moveTo>
                                  <a:pt x="0" y="0"/>
                                </a:moveTo>
                                <a:lnTo>
                                  <a:pt x="722482" y="0"/>
                                </a:lnTo>
                              </a:path>
                            </a:pathLst>
                          </a:custGeom>
                          <a:ln w="5901" cap="flat">
                            <a:round/>
                          </a:ln>
                        </wps:spPr>
                        <wps:style>
                          <a:lnRef idx="1">
                            <a:srgbClr val="000000"/>
                          </a:lnRef>
                          <a:fillRef idx="0">
                            <a:srgbClr val="000000">
                              <a:alpha val="0"/>
                            </a:srgbClr>
                          </a:fillRef>
                          <a:effectRef idx="0">
                            <a:scrgbClr r="0" g="0" b="0"/>
                          </a:effectRef>
                          <a:fontRef idx="none"/>
                        </wps:style>
                        <wps:bodyPr/>
                      </wps:wsp>
                      <wps:wsp>
                        <wps:cNvPr id="12471" name="Shape 12471"/>
                        <wps:cNvSpPr/>
                        <wps:spPr>
                          <a:xfrm>
                            <a:off x="3164409" y="0"/>
                            <a:ext cx="1086329" cy="0"/>
                          </a:xfrm>
                          <a:custGeom>
                            <a:avLst/>
                            <a:gdLst/>
                            <a:ahLst/>
                            <a:cxnLst/>
                            <a:rect l="0" t="0" r="0" b="0"/>
                            <a:pathLst>
                              <a:path w="1086329">
                                <a:moveTo>
                                  <a:pt x="0" y="0"/>
                                </a:moveTo>
                                <a:lnTo>
                                  <a:pt x="1086329" y="0"/>
                                </a:lnTo>
                              </a:path>
                            </a:pathLst>
                          </a:custGeom>
                          <a:ln w="5901" cap="flat">
                            <a:round/>
                          </a:ln>
                        </wps:spPr>
                        <wps:style>
                          <a:lnRef idx="1">
                            <a:srgbClr val="000000"/>
                          </a:lnRef>
                          <a:fillRef idx="0">
                            <a:srgbClr val="000000">
                              <a:alpha val="0"/>
                            </a:srgbClr>
                          </a:fillRef>
                          <a:effectRef idx="0">
                            <a:scrgbClr r="0" g="0" b="0"/>
                          </a:effectRef>
                          <a:fontRef idx="none"/>
                        </wps:style>
                        <wps:bodyPr/>
                      </wps:wsp>
                      <wps:wsp>
                        <wps:cNvPr id="12474" name="Shape 12474"/>
                        <wps:cNvSpPr/>
                        <wps:spPr>
                          <a:xfrm>
                            <a:off x="4405783" y="0"/>
                            <a:ext cx="455983" cy="0"/>
                          </a:xfrm>
                          <a:custGeom>
                            <a:avLst/>
                            <a:gdLst/>
                            <a:ahLst/>
                            <a:cxnLst/>
                            <a:rect l="0" t="0" r="0" b="0"/>
                            <a:pathLst>
                              <a:path w="455983">
                                <a:moveTo>
                                  <a:pt x="0" y="0"/>
                                </a:moveTo>
                                <a:lnTo>
                                  <a:pt x="455983" y="0"/>
                                </a:lnTo>
                              </a:path>
                            </a:pathLst>
                          </a:custGeom>
                          <a:ln w="5901" cap="flat">
                            <a:round/>
                          </a:ln>
                        </wps:spPr>
                        <wps:style>
                          <a:lnRef idx="1">
                            <a:srgbClr val="000000"/>
                          </a:lnRef>
                          <a:fillRef idx="0">
                            <a:srgbClr val="000000">
                              <a:alpha val="0"/>
                            </a:srgbClr>
                          </a:fillRef>
                          <a:effectRef idx="0">
                            <a:scrgbClr r="0" g="0" b="0"/>
                          </a:effectRef>
                          <a:fontRef idx="none"/>
                        </wps:style>
                        <wps:bodyPr/>
                      </wps:wsp>
                      <wps:wsp>
                        <wps:cNvPr id="12477" name="Shape 12477"/>
                        <wps:cNvSpPr/>
                        <wps:spPr>
                          <a:xfrm>
                            <a:off x="4954794" y="0"/>
                            <a:ext cx="651187" cy="0"/>
                          </a:xfrm>
                          <a:custGeom>
                            <a:avLst/>
                            <a:gdLst/>
                            <a:ahLst/>
                            <a:cxnLst/>
                            <a:rect l="0" t="0" r="0" b="0"/>
                            <a:pathLst>
                              <a:path w="651187">
                                <a:moveTo>
                                  <a:pt x="0" y="0"/>
                                </a:moveTo>
                                <a:lnTo>
                                  <a:pt x="651187" y="0"/>
                                </a:lnTo>
                              </a:path>
                            </a:pathLst>
                          </a:custGeom>
                          <a:ln w="5901"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9967" style="width:441.416pt;height:0.464614pt;position:absolute;z-index:712;mso-position-horizontal-relative:text;mso-position-horizontal:absolute;margin-left:15.0681pt;mso-position-vertical-relative:text;margin-top:2.6235pt;" coordsize="56059,59">
                <v:shape id="Shape 12453" style="position:absolute;width:6508;height:0;left:0;top:0;" coordsize="650844,0" path="m0,0l650844,0">
                  <v:stroke weight="0.464614pt" endcap="flat" joinstyle="round" on="true" color="#000000"/>
                  <v:fill on="false" color="#000000" opacity="0"/>
                </v:shape>
                <v:shape id="Shape 12456" style="position:absolute;width:7228;height:0;left:8034;top:0;" coordsize="722800,0" path="m0,0l722800,0">
                  <v:stroke weight="0.464614pt" endcap="flat" joinstyle="round" on="true" color="#000000"/>
                  <v:fill on="false" color="#000000" opacity="0"/>
                </v:shape>
                <v:shape id="Shape 12459" style="position:absolute;width:3717;height:0;left:17479;top:0;" coordsize="371726,0" path="m0,0l371726,0">
                  <v:stroke weight="0.464614pt" endcap="flat" joinstyle="round" on="true" color="#000000"/>
                  <v:fill on="false" color="#000000" opacity="0"/>
                </v:shape>
                <v:shape id="Shape 12464" style="position:absolute;width:7224;height:0;left:22892;top:0;" coordsize="722482,0" path="m0,0l722482,0">
                  <v:stroke weight="0.464614pt" endcap="flat" joinstyle="round" on="true" color="#000000"/>
                  <v:fill on="false" color="#000000" opacity="0"/>
                </v:shape>
                <v:shape id="Shape 12471" style="position:absolute;width:10863;height:0;left:31644;top:0;" coordsize="1086329,0" path="m0,0l1086329,0">
                  <v:stroke weight="0.464614pt" endcap="flat" joinstyle="round" on="true" color="#000000"/>
                  <v:fill on="false" color="#000000" opacity="0"/>
                </v:shape>
                <v:shape id="Shape 12474" style="position:absolute;width:4559;height:0;left:44057;top:0;" coordsize="455983,0" path="m0,0l455983,0">
                  <v:stroke weight="0.464614pt" endcap="flat" joinstyle="round" on="true" color="#000000"/>
                  <v:fill on="false" color="#000000" opacity="0"/>
                </v:shape>
                <v:shape id="Shape 12477" style="position:absolute;width:6511;height:0;left:49547;top:0;" coordsize="651187,0" path="m0,0l651187,0">
                  <v:stroke weight="0.464614pt" endcap="flat" joinstyle="round" on="true" color="#000000"/>
                  <v:fill on="false" color="#000000" opacity="0"/>
                </v:shape>
              </v:group>
            </w:pict>
          </mc:Fallback>
        </mc:AlternateConten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Times New Roman" w:eastAsia="Times New Roman" w:hAnsi="Times New Roman" w:cs="Times New Roman"/>
          <w:sz w:val="13"/>
        </w:rPr>
        <w:t xml:space="preserve">0 </w:t>
      </w:r>
      <w:r>
        <w:rPr>
          <w:rFonts w:ascii="Segoe UI Symbol" w:eastAsia="Segoe UI Symbol" w:hAnsi="Segoe UI Symbol" w:cs="Segoe UI Symbol"/>
          <w:sz w:val="23"/>
        </w:rPr>
        <w:t></w:t>
      </w:r>
      <w:r>
        <w:rPr>
          <w:rFonts w:ascii="Times New Roman" w:eastAsia="Times New Roman" w:hAnsi="Times New Roman" w:cs="Times New Roman"/>
          <w:i/>
          <w:sz w:val="23"/>
        </w:rPr>
        <w:t>z</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Times New Roman" w:eastAsia="Times New Roman" w:hAnsi="Times New Roman" w:cs="Times New Roman"/>
          <w:i/>
          <w:sz w:val="23"/>
        </w:rPr>
        <w:t>z</w:t>
      </w:r>
      <w:r>
        <w:rPr>
          <w:rFonts w:ascii="Segoe UI Symbol" w:eastAsia="Segoe UI Symbol" w:hAnsi="Segoe UI Symbol" w:cs="Segoe UI Symbol"/>
          <w:sz w:val="30"/>
        </w:rPr>
        <w:t></w:t>
      </w:r>
      <w:r>
        <w:rPr>
          <w:rFonts w:ascii="Segoe UI Symbol" w:eastAsia="Segoe UI Symbol" w:hAnsi="Segoe UI Symbol" w:cs="Segoe UI Symbol"/>
          <w:sz w:val="23"/>
        </w:rPr>
        <w:t xml:space="preserve"> </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Times New Roman" w:eastAsia="Times New Roman" w:hAnsi="Times New Roman" w:cs="Times New Roman"/>
          <w:sz w:val="13"/>
        </w:rPr>
        <w:t xml:space="preserve">0 </w:t>
      </w:r>
      <w:r>
        <w:rPr>
          <w:rFonts w:ascii="Segoe UI Symbol" w:eastAsia="Segoe UI Symbol" w:hAnsi="Segoe UI Symbol" w:cs="Segoe UI Symbol"/>
          <w:sz w:val="23"/>
        </w:rPr>
        <w:t></w:t>
      </w:r>
      <w:r>
        <w:rPr>
          <w:rFonts w:ascii="Times New Roman" w:eastAsia="Times New Roman" w:hAnsi="Times New Roman" w:cs="Times New Roman"/>
          <w:i/>
          <w:sz w:val="23"/>
        </w:rPr>
        <w:t>z</w:t>
      </w:r>
      <w:r>
        <w:rPr>
          <w:rFonts w:ascii="Segoe UI Symbol" w:eastAsia="Segoe UI Symbol" w:hAnsi="Segoe UI Symbol" w:cs="Segoe UI Symbol"/>
          <w:sz w:val="24"/>
        </w:rPr>
        <w:t></w:t>
      </w:r>
      <w:r>
        <w:rPr>
          <w:rFonts w:ascii="Times New Roman" w:eastAsia="Times New Roman" w:hAnsi="Times New Roman" w:cs="Times New Roman"/>
          <w:i/>
          <w:sz w:val="13"/>
        </w:rPr>
        <w:t>k</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Times New Roman" w:eastAsia="Times New Roman" w:hAnsi="Times New Roman" w:cs="Times New Roman"/>
          <w:i/>
          <w:sz w:val="23"/>
        </w:rPr>
        <w:t>z</w:t>
      </w:r>
      <w:r>
        <w:rPr>
          <w:rFonts w:ascii="Times New Roman" w:eastAsia="Times New Roman" w:hAnsi="Times New Roman" w:cs="Times New Roman"/>
          <w:i/>
          <w:sz w:val="13"/>
        </w:rPr>
        <w:t xml:space="preserve">k </w:t>
      </w:r>
      <w:r>
        <w:rPr>
          <w:rFonts w:ascii="Segoe UI Symbol" w:eastAsia="Segoe UI Symbol" w:hAnsi="Segoe UI Symbol" w:cs="Segoe UI Symbol"/>
          <w:sz w:val="30"/>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 xml:space="preserve"> </w:t>
      </w:r>
      <w:r>
        <w:rPr>
          <w:rFonts w:ascii="Segoe UI Symbol" w:eastAsia="Segoe UI Symbol" w:hAnsi="Segoe UI Symbol" w:cs="Segoe UI Symbol"/>
          <w:sz w:val="30"/>
        </w:rPr>
        <w:t></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23"/>
        </w:rPr>
        <w:t>1</w:t>
      </w:r>
      <w:r>
        <w:rPr>
          <w:rFonts w:ascii="Times New Roman" w:eastAsia="Times New Roman" w:hAnsi="Times New Roman" w:cs="Times New Roman"/>
          <w:sz w:val="13"/>
        </w:rPr>
        <w:t>1</w:t>
      </w:r>
      <w:r>
        <w:rPr>
          <w:rFonts w:ascii="Segoe UI Symbol" w:eastAsia="Segoe UI Symbol" w:hAnsi="Segoe UI Symbol" w:cs="Segoe UI Symbol"/>
          <w:sz w:val="30"/>
        </w:rPr>
        <w:t xml:space="preserve"> </w:t>
      </w:r>
      <w:r>
        <w:rPr>
          <w:rFonts w:ascii="Times New Roman" w:eastAsia="Times New Roman" w:hAnsi="Times New Roman" w:cs="Times New Roman"/>
          <w:sz w:val="23"/>
        </w:rPr>
        <w:t xml:space="preserve">ln </w:t>
      </w:r>
      <w:r>
        <w:rPr>
          <w:rFonts w:ascii="Segoe UI Symbol" w:eastAsia="Segoe UI Symbol" w:hAnsi="Segoe UI Symbol" w:cs="Segoe UI Symbol"/>
          <w:sz w:val="30"/>
        </w:rPr>
        <w:t></w:t>
      </w:r>
      <w:r>
        <w:rPr>
          <w:rFonts w:ascii="Segoe UI Symbol" w:eastAsia="Segoe UI Symbol" w:hAnsi="Segoe UI Symbol" w:cs="Segoe UI Symbol"/>
          <w:sz w:val="30"/>
        </w:rPr>
        <w:t></w:t>
      </w:r>
      <w:r>
        <w:rPr>
          <w:rFonts w:ascii="Times New Roman" w:eastAsia="Times New Roman" w:hAnsi="Times New Roman" w:cs="Times New Roman"/>
          <w:i/>
          <w:sz w:val="23"/>
        </w:rPr>
        <w:t>hh</w:t>
      </w:r>
      <w:r>
        <w:rPr>
          <w:rFonts w:ascii="Times New Roman" w:eastAsia="Times New Roman" w:hAnsi="Times New Roman" w:cs="Times New Roman"/>
          <w:sz w:val="13"/>
        </w:rPr>
        <w:t>00</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Times New Roman" w:eastAsia="Times New Roman" w:hAnsi="Times New Roman" w:cs="Times New Roman"/>
          <w:i/>
          <w:sz w:val="23"/>
        </w:rPr>
        <w:t>hh</w:t>
      </w:r>
      <w:r>
        <w:rPr>
          <w:rFonts w:ascii="Times New Roman" w:eastAsia="Times New Roman" w:hAnsi="Times New Roman" w:cs="Times New Roman"/>
          <w:sz w:val="13"/>
        </w:rPr>
        <w:t>11</w:t>
      </w:r>
      <w:r>
        <w:rPr>
          <w:rFonts w:ascii="Times New Roman" w:eastAsia="Times New Roman" w:hAnsi="Times New Roman" w:cs="Times New Roman"/>
          <w:i/>
          <w:sz w:val="23"/>
        </w:rPr>
        <w:t>z</w:t>
      </w:r>
      <w:r>
        <w:rPr>
          <w:rFonts w:ascii="Segoe UI Symbol" w:eastAsia="Segoe UI Symbol" w:hAnsi="Segoe UI Symbol" w:cs="Segoe UI Symbol"/>
          <w:sz w:val="30"/>
        </w:rPr>
        <w:t xml:space="preserve"> </w:t>
      </w:r>
      <w:r>
        <w:rPr>
          <w:rFonts w:ascii="Segoe UI Symbol" w:eastAsia="Segoe UI Symbol" w:hAnsi="Segoe UI Symbol" w:cs="Segoe UI Symbol"/>
          <w:sz w:val="23"/>
        </w:rPr>
        <w:t></w:t>
      </w:r>
      <w:r>
        <w:rPr>
          <w:rFonts w:ascii="Segoe UI Symbol" w:eastAsia="Segoe UI Symbol" w:hAnsi="Segoe UI Symbol" w:cs="Segoe UI Symbol"/>
          <w:sz w:val="23"/>
        </w:rPr>
        <w:tab/>
      </w:r>
      <w:r>
        <w:rPr>
          <w:rFonts w:ascii="Times New Roman" w:eastAsia="Times New Roman" w:hAnsi="Times New Roman" w:cs="Times New Roman"/>
          <w:i/>
          <w:sz w:val="23"/>
        </w:rPr>
        <w:t>z</w:t>
      </w:r>
      <w:r>
        <w:rPr>
          <w:rFonts w:ascii="Times New Roman" w:eastAsia="Times New Roman" w:hAnsi="Times New Roman" w:cs="Times New Roman"/>
          <w:i/>
          <w:sz w:val="13"/>
        </w:rPr>
        <w:t xml:space="preserve">k </w:t>
      </w:r>
      <w:r>
        <w:rPr>
          <w:rFonts w:ascii="Segoe UI Symbol" w:eastAsia="Segoe UI Symbol" w:hAnsi="Segoe UI Symbol" w:cs="Segoe UI Symbol"/>
          <w:sz w:val="30"/>
        </w:rPr>
        <w:t></w:t>
      </w:r>
      <w:r>
        <w:rPr>
          <w:rFonts w:ascii="Times New Roman" w:eastAsia="Times New Roman" w:hAnsi="Times New Roman" w:cs="Times New Roman"/>
          <w:i/>
          <w:sz w:val="23"/>
        </w:rPr>
        <w:t xml:space="preserve">z </w:t>
      </w:r>
      <w:r>
        <w:rPr>
          <w:rFonts w:ascii="Segoe UI Symbol" w:eastAsia="Segoe UI Symbol" w:hAnsi="Segoe UI Symbol" w:cs="Segoe UI Symbol"/>
          <w:sz w:val="23"/>
        </w:rPr>
        <w:t xml:space="preserve"> </w:t>
      </w:r>
      <w:r>
        <w:rPr>
          <w:rFonts w:ascii="Times New Roman" w:eastAsia="Times New Roman" w:hAnsi="Times New Roman" w:cs="Times New Roman"/>
          <w:i/>
          <w:sz w:val="23"/>
        </w:rPr>
        <w:t>z</w:t>
      </w:r>
      <w:r>
        <w:rPr>
          <w:rFonts w:ascii="Times New Roman" w:eastAsia="Times New Roman" w:hAnsi="Times New Roman" w:cs="Times New Roman"/>
          <w:i/>
          <w:sz w:val="13"/>
        </w:rPr>
        <w:t xml:space="preserve">k </w:t>
      </w:r>
      <w:r>
        <w:rPr>
          <w:rFonts w:ascii="Segoe UI Symbol" w:eastAsia="Segoe UI Symbol" w:hAnsi="Segoe UI Symbol" w:cs="Segoe UI Symbol"/>
          <w:sz w:val="30"/>
        </w:rPr>
        <w:t></w:t>
      </w:r>
      <w:r>
        <w:rPr>
          <w:rFonts w:ascii="Segoe UI Symbol" w:eastAsia="Segoe UI Symbol" w:hAnsi="Segoe UI Symbol" w:cs="Segoe UI Symbol"/>
          <w:sz w:val="30"/>
        </w:rPr>
        <w:tab/>
      </w:r>
      <w:r>
        <w:rPr>
          <w:rFonts w:ascii="Times New Roman" w:eastAsia="Times New Roman" w:hAnsi="Times New Roman" w:cs="Times New Roman"/>
          <w:sz w:val="13"/>
        </w:rPr>
        <w:t xml:space="preserve">2 </w:t>
      </w:r>
      <w:r>
        <w:rPr>
          <w:rFonts w:ascii="Segoe UI Symbol" w:eastAsia="Segoe UI Symbol" w:hAnsi="Segoe UI Symbol" w:cs="Segoe UI Symbol"/>
          <w:sz w:val="23"/>
        </w:rPr>
        <w:t></w:t>
      </w:r>
      <w:r>
        <w:rPr>
          <w:rFonts w:ascii="Segoe UI Symbol" w:eastAsia="Segoe UI Symbol" w:hAnsi="Segoe UI Symbol" w:cs="Segoe UI Symbol"/>
          <w:sz w:val="23"/>
        </w:rPr>
        <w:tab/>
      </w:r>
      <w:r>
        <w:rPr>
          <w:rFonts w:ascii="Times New Roman" w:eastAsia="Times New Roman" w:hAnsi="Times New Roman" w:cs="Times New Roman"/>
          <w:i/>
          <w:sz w:val="23"/>
        </w:rPr>
        <w:t>z</w:t>
      </w:r>
      <w:r>
        <w:rPr>
          <w:rFonts w:ascii="Times New Roman" w:eastAsia="Times New Roman" w:hAnsi="Times New Roman" w:cs="Times New Roman"/>
          <w:i/>
          <w:sz w:val="13"/>
        </w:rPr>
        <w:t xml:space="preserve">k </w:t>
      </w:r>
      <w:r>
        <w:rPr>
          <w:rFonts w:ascii="Times New Roman" w:eastAsia="Times New Roman" w:hAnsi="Times New Roman" w:cs="Times New Roman"/>
          <w:sz w:val="13"/>
        </w:rPr>
        <w:t xml:space="preserve">2 </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Times New Roman" w:eastAsia="Times New Roman" w:hAnsi="Times New Roman" w:cs="Times New Roman"/>
          <w:sz w:val="13"/>
        </w:rPr>
        <w:t xml:space="preserve">0 </w:t>
      </w:r>
      <w:r>
        <w:rPr>
          <w:rFonts w:ascii="Segoe UI Symbol" w:eastAsia="Segoe UI Symbol" w:hAnsi="Segoe UI Symbol" w:cs="Segoe UI Symbol"/>
          <w:sz w:val="23"/>
        </w:rPr>
        <w:t></w:t>
      </w:r>
      <w:r>
        <w:rPr>
          <w:rFonts w:ascii="Times New Roman" w:eastAsia="Times New Roman" w:hAnsi="Times New Roman" w:cs="Times New Roman"/>
          <w:sz w:val="23"/>
        </w:rPr>
        <w:t>1</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Times New Roman" w:eastAsia="Times New Roman" w:hAnsi="Times New Roman" w:cs="Times New Roman"/>
          <w:i/>
          <w:sz w:val="23"/>
        </w:rPr>
        <w:t>z</w:t>
      </w:r>
      <w:r>
        <w:rPr>
          <w:rFonts w:ascii="Segoe UI Symbol" w:eastAsia="Segoe UI Symbol" w:hAnsi="Segoe UI Symbol" w:cs="Segoe UI Symbol"/>
          <w:sz w:val="30"/>
        </w:rPr>
        <w:t></w:t>
      </w:r>
      <w:r>
        <w:rPr>
          <w:rFonts w:ascii="Segoe UI Symbol" w:eastAsia="Segoe UI Symbol" w:hAnsi="Segoe UI Symbol" w:cs="Segoe UI Symbol"/>
          <w:sz w:val="23"/>
        </w:rPr>
        <w:t></w:t>
      </w:r>
      <w:r>
        <w:rPr>
          <w:rFonts w:ascii="Times New Roman" w:eastAsia="Times New Roman" w:hAnsi="Times New Roman" w:cs="Times New Roman"/>
          <w:sz w:val="24"/>
        </w:rPr>
        <w:t xml:space="preserve"> </w:t>
      </w:r>
    </w:p>
    <w:p w:rsidR="0052701D" w:rsidRDefault="00D40929">
      <w:pPr>
        <w:tabs>
          <w:tab w:val="center" w:pos="3566"/>
          <w:tab w:val="center" w:pos="4900"/>
          <w:tab w:val="center" w:pos="6089"/>
          <w:tab w:val="center" w:pos="7676"/>
        </w:tabs>
        <w:spacing w:after="586"/>
      </w:pPr>
      <w:r>
        <w:tab/>
      </w:r>
      <w:r>
        <w:rPr>
          <w:rFonts w:ascii="Times New Roman" w:eastAsia="Times New Roman" w:hAnsi="Times New Roman" w:cs="Times New Roman"/>
          <w:sz w:val="13"/>
        </w:rPr>
        <w:t>3</w:t>
      </w:r>
      <w:r>
        <w:rPr>
          <w:rFonts w:ascii="Times New Roman" w:eastAsia="Times New Roman" w:hAnsi="Times New Roman" w:cs="Times New Roman"/>
          <w:sz w:val="13"/>
        </w:rPr>
        <w:tab/>
      </w:r>
      <w:r>
        <w:rPr>
          <w:rFonts w:ascii="Times New Roman" w:eastAsia="Times New Roman" w:hAnsi="Times New Roman" w:cs="Times New Roman"/>
          <w:i/>
          <w:sz w:val="23"/>
        </w:rPr>
        <w:t>z</w:t>
      </w:r>
      <w:r>
        <w:rPr>
          <w:rFonts w:ascii="Times New Roman" w:eastAsia="Times New Roman" w:hAnsi="Times New Roman" w:cs="Times New Roman"/>
          <w:i/>
          <w:sz w:val="13"/>
        </w:rPr>
        <w:t xml:space="preserve">k </w:t>
      </w:r>
      <w:r>
        <w:rPr>
          <w:rFonts w:ascii="Segoe UI Symbol" w:eastAsia="Segoe UI Symbol" w:hAnsi="Segoe UI Symbol" w:cs="Segoe UI Symbol"/>
          <w:sz w:val="30"/>
        </w:rPr>
        <w:t></w:t>
      </w:r>
      <w:r>
        <w:rPr>
          <w:rFonts w:ascii="Segoe UI Symbol" w:eastAsia="Segoe UI Symbol" w:hAnsi="Segoe UI Symbol" w:cs="Segoe UI Symbol"/>
          <w:sz w:val="30"/>
        </w:rPr>
        <w:tab/>
      </w:r>
      <w:r>
        <w:rPr>
          <w:rFonts w:ascii="Segoe UI Symbol" w:eastAsia="Segoe UI Symbol" w:hAnsi="Segoe UI Symbol" w:cs="Segoe UI Symbol"/>
          <w:sz w:val="30"/>
        </w:rPr>
        <w:t></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Segoe UI Symbol" w:eastAsia="Segoe UI Symbol" w:hAnsi="Segoe UI Symbol" w:cs="Segoe UI Symbol"/>
          <w:sz w:val="30"/>
        </w:rPr>
        <w:t></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Times New Roman" w:eastAsia="Times New Roman" w:hAnsi="Times New Roman" w:cs="Times New Roman"/>
          <w:sz w:val="13"/>
        </w:rPr>
        <w:t xml:space="preserve">0 </w:t>
      </w:r>
      <w:r>
        <w:rPr>
          <w:rFonts w:ascii="Segoe UI Symbol" w:eastAsia="Segoe UI Symbol" w:hAnsi="Segoe UI Symbol" w:cs="Segoe UI Symbol"/>
          <w:sz w:val="23"/>
        </w:rPr>
        <w:t></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Times New Roman" w:eastAsia="Times New Roman" w:hAnsi="Times New Roman" w:cs="Times New Roman"/>
          <w:i/>
          <w:sz w:val="23"/>
        </w:rPr>
        <w:t>z</w:t>
      </w:r>
      <w:r>
        <w:rPr>
          <w:rFonts w:ascii="Times New Roman" w:eastAsia="Times New Roman" w:hAnsi="Times New Roman" w:cs="Times New Roman"/>
          <w:i/>
          <w:sz w:val="13"/>
        </w:rPr>
        <w:t xml:space="preserve">k </w:t>
      </w:r>
      <w:r>
        <w:rPr>
          <w:rFonts w:ascii="Segoe UI Symbol" w:eastAsia="Segoe UI Symbol" w:hAnsi="Segoe UI Symbol" w:cs="Segoe UI Symbol"/>
          <w:sz w:val="30"/>
        </w:rPr>
        <w:t></w:t>
      </w:r>
      <w:r>
        <w:rPr>
          <w:rFonts w:ascii="Segoe UI Symbol" w:eastAsia="Segoe UI Symbol" w:hAnsi="Segoe UI Symbol" w:cs="Segoe UI Symbol"/>
          <w:sz w:val="30"/>
        </w:rPr>
        <w:tab/>
      </w:r>
      <w:r>
        <w:rPr>
          <w:rFonts w:ascii="Times New Roman" w:eastAsia="Times New Roman" w:hAnsi="Times New Roman" w:cs="Times New Roman"/>
          <w:sz w:val="23"/>
        </w:rPr>
        <w:t>2</w:t>
      </w:r>
      <w:r>
        <w:rPr>
          <w:rFonts w:ascii="Segoe UI Symbol" w:eastAsia="Segoe UI Symbol" w:hAnsi="Segoe UI Symbol" w:cs="Segoe UI Symbol"/>
          <w:sz w:val="30"/>
        </w:rPr>
        <w:t></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Segoe UI Symbol" w:eastAsia="Segoe UI Symbol" w:hAnsi="Segoe UI Symbol" w:cs="Segoe UI Symbol"/>
          <w:sz w:val="30"/>
        </w:rPr>
        <w:t xml:space="preserve"> </w:t>
      </w:r>
      <w:r>
        <w:rPr>
          <w:rFonts w:ascii="Segoe UI Symbol" w:eastAsia="Segoe UI Symbol" w:hAnsi="Segoe UI Symbol" w:cs="Segoe UI Symbol"/>
          <w:sz w:val="23"/>
        </w:rPr>
        <w:t></w:t>
      </w:r>
    </w:p>
    <w:p w:rsidR="0052701D" w:rsidRDefault="00D40929">
      <w:pPr>
        <w:numPr>
          <w:ilvl w:val="0"/>
          <w:numId w:val="8"/>
        </w:numPr>
        <w:spacing w:after="123" w:line="268" w:lineRule="auto"/>
        <w:ind w:hanging="1222"/>
      </w:pPr>
      <w:r>
        <w:rPr>
          <w:noProof/>
        </w:rPr>
        <mc:AlternateContent>
          <mc:Choice Requires="wpg">
            <w:drawing>
              <wp:anchor distT="0" distB="0" distL="114300" distR="114300" simplePos="0" relativeHeight="251738112" behindDoc="0" locked="0" layoutInCell="1" allowOverlap="1">
                <wp:simplePos x="0" y="0"/>
                <wp:positionH relativeFrom="column">
                  <wp:posOffset>142112</wp:posOffset>
                </wp:positionH>
                <wp:positionV relativeFrom="paragraph">
                  <wp:posOffset>24862</wp:posOffset>
                </wp:positionV>
                <wp:extent cx="2120890" cy="6332"/>
                <wp:effectExtent l="0" t="0" r="0" b="0"/>
                <wp:wrapNone/>
                <wp:docPr id="919968" name="Group 919968"/>
                <wp:cNvGraphicFramePr/>
                <a:graphic xmlns:a="http://schemas.openxmlformats.org/drawingml/2006/main">
                  <a:graphicData uri="http://schemas.microsoft.com/office/word/2010/wordprocessingGroup">
                    <wpg:wgp>
                      <wpg:cNvGrpSpPr/>
                      <wpg:grpSpPr>
                        <a:xfrm>
                          <a:off x="0" y="0"/>
                          <a:ext cx="2120890" cy="6332"/>
                          <a:chOff x="0" y="0"/>
                          <a:chExt cx="2120890" cy="6332"/>
                        </a:xfrm>
                      </wpg:grpSpPr>
                      <wps:wsp>
                        <wps:cNvPr id="12568" name="Shape 12568"/>
                        <wps:cNvSpPr/>
                        <wps:spPr>
                          <a:xfrm>
                            <a:off x="0" y="0"/>
                            <a:ext cx="726282" cy="0"/>
                          </a:xfrm>
                          <a:custGeom>
                            <a:avLst/>
                            <a:gdLst/>
                            <a:ahLst/>
                            <a:cxnLst/>
                            <a:rect l="0" t="0" r="0" b="0"/>
                            <a:pathLst>
                              <a:path w="726282">
                                <a:moveTo>
                                  <a:pt x="0" y="0"/>
                                </a:moveTo>
                                <a:lnTo>
                                  <a:pt x="726282" y="0"/>
                                </a:lnTo>
                              </a:path>
                            </a:pathLst>
                          </a:custGeom>
                          <a:ln w="6332" cap="flat">
                            <a:round/>
                          </a:ln>
                        </wps:spPr>
                        <wps:style>
                          <a:lnRef idx="1">
                            <a:srgbClr val="000000"/>
                          </a:lnRef>
                          <a:fillRef idx="0">
                            <a:srgbClr val="000000">
                              <a:alpha val="0"/>
                            </a:srgbClr>
                          </a:fillRef>
                          <a:effectRef idx="0">
                            <a:scrgbClr r="0" g="0" b="0"/>
                          </a:effectRef>
                          <a:fontRef idx="none"/>
                        </wps:style>
                        <wps:bodyPr/>
                      </wps:wsp>
                      <wps:wsp>
                        <wps:cNvPr id="12575" name="Shape 12575"/>
                        <wps:cNvSpPr/>
                        <wps:spPr>
                          <a:xfrm>
                            <a:off x="949487" y="0"/>
                            <a:ext cx="1171403" cy="0"/>
                          </a:xfrm>
                          <a:custGeom>
                            <a:avLst/>
                            <a:gdLst/>
                            <a:ahLst/>
                            <a:cxnLst/>
                            <a:rect l="0" t="0" r="0" b="0"/>
                            <a:pathLst>
                              <a:path w="1171403">
                                <a:moveTo>
                                  <a:pt x="0" y="0"/>
                                </a:moveTo>
                                <a:lnTo>
                                  <a:pt x="1171403" y="0"/>
                                </a:lnTo>
                              </a:path>
                            </a:pathLst>
                          </a:custGeom>
                          <a:ln w="6332"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9968" style="width:166.999pt;height:0.498582pt;position:absolute;z-index:819;mso-position-horizontal-relative:text;mso-position-horizontal:absolute;margin-left:11.1899pt;mso-position-vertical-relative:text;margin-top:1.95761pt;" coordsize="21208,63">
                <v:shape id="Shape 12568" style="position:absolute;width:7262;height:0;left:0;top:0;" coordsize="726282,0" path="m0,0l726282,0">
                  <v:stroke weight="0.498582pt" endcap="flat" joinstyle="round" on="true" color="#000000"/>
                  <v:fill on="false" color="#000000" opacity="0"/>
                </v:shape>
                <v:shape id="Shape 12575" style="position:absolute;width:11714;height:0;left:9494;top:0;" coordsize="1171403,0" path="m0,0l1171403,0">
                  <v:stroke weight="0.498582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739136" behindDoc="0" locked="0" layoutInCell="1" allowOverlap="1">
                <wp:simplePos x="0" y="0"/>
                <wp:positionH relativeFrom="column">
                  <wp:posOffset>4287709</wp:posOffset>
                </wp:positionH>
                <wp:positionV relativeFrom="paragraph">
                  <wp:posOffset>24862</wp:posOffset>
                </wp:positionV>
                <wp:extent cx="1049868" cy="6332"/>
                <wp:effectExtent l="0" t="0" r="0" b="0"/>
                <wp:wrapNone/>
                <wp:docPr id="919969" name="Group 919969"/>
                <wp:cNvGraphicFramePr/>
                <a:graphic xmlns:a="http://schemas.openxmlformats.org/drawingml/2006/main">
                  <a:graphicData uri="http://schemas.microsoft.com/office/word/2010/wordprocessingGroup">
                    <wpg:wgp>
                      <wpg:cNvGrpSpPr/>
                      <wpg:grpSpPr>
                        <a:xfrm>
                          <a:off x="0" y="0"/>
                          <a:ext cx="1049868" cy="6332"/>
                          <a:chOff x="0" y="0"/>
                          <a:chExt cx="1049868" cy="6332"/>
                        </a:xfrm>
                      </wpg:grpSpPr>
                      <wps:wsp>
                        <wps:cNvPr id="12584" name="Shape 12584"/>
                        <wps:cNvSpPr/>
                        <wps:spPr>
                          <a:xfrm>
                            <a:off x="0" y="0"/>
                            <a:ext cx="301767" cy="0"/>
                          </a:xfrm>
                          <a:custGeom>
                            <a:avLst/>
                            <a:gdLst/>
                            <a:ahLst/>
                            <a:cxnLst/>
                            <a:rect l="0" t="0" r="0" b="0"/>
                            <a:pathLst>
                              <a:path w="301767">
                                <a:moveTo>
                                  <a:pt x="0" y="0"/>
                                </a:moveTo>
                                <a:lnTo>
                                  <a:pt x="301767" y="0"/>
                                </a:lnTo>
                              </a:path>
                            </a:pathLst>
                          </a:custGeom>
                          <a:ln w="6332" cap="flat">
                            <a:round/>
                          </a:ln>
                        </wps:spPr>
                        <wps:style>
                          <a:lnRef idx="1">
                            <a:srgbClr val="000000"/>
                          </a:lnRef>
                          <a:fillRef idx="0">
                            <a:srgbClr val="000000">
                              <a:alpha val="0"/>
                            </a:srgbClr>
                          </a:fillRef>
                          <a:effectRef idx="0">
                            <a:scrgbClr r="0" g="0" b="0"/>
                          </a:effectRef>
                          <a:fontRef idx="none"/>
                        </wps:style>
                        <wps:bodyPr/>
                      </wps:wsp>
                      <wps:wsp>
                        <wps:cNvPr id="12587" name="Shape 12587"/>
                        <wps:cNvSpPr/>
                        <wps:spPr>
                          <a:xfrm>
                            <a:off x="395423" y="0"/>
                            <a:ext cx="654445" cy="0"/>
                          </a:xfrm>
                          <a:custGeom>
                            <a:avLst/>
                            <a:gdLst/>
                            <a:ahLst/>
                            <a:cxnLst/>
                            <a:rect l="0" t="0" r="0" b="0"/>
                            <a:pathLst>
                              <a:path w="654445">
                                <a:moveTo>
                                  <a:pt x="0" y="0"/>
                                </a:moveTo>
                                <a:lnTo>
                                  <a:pt x="654445" y="0"/>
                                </a:lnTo>
                              </a:path>
                            </a:pathLst>
                          </a:custGeom>
                          <a:ln w="6332"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9969" style="width:82.6667pt;height:0.498582pt;position:absolute;z-index:833;mso-position-horizontal-relative:text;mso-position-horizontal:absolute;margin-left:337.615pt;mso-position-vertical-relative:text;margin-top:1.95761pt;" coordsize="10498,63">
                <v:shape id="Shape 12584" style="position:absolute;width:3017;height:0;left:0;top:0;" coordsize="301767,0" path="m0,0l301767,0">
                  <v:stroke weight="0.498582pt" endcap="flat" joinstyle="round" on="true" color="#000000"/>
                  <v:fill on="false" color="#000000" opacity="0"/>
                </v:shape>
                <v:shape id="Shape 12587" style="position:absolute;width:6544;height:0;left:3954;top:0;" coordsize="654445,0" path="m0,0l654445,0">
                  <v:stroke weight="0.498582pt" endcap="flat" joinstyle="round" on="true" color="#000000"/>
                  <v:fill on="false" color="#000000" opacity="0"/>
                </v:shape>
              </v:group>
            </w:pict>
          </mc:Fallback>
        </mc:AlternateConten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 xml:space="preserve">0 </w:t>
      </w:r>
      <w:r>
        <w:rPr>
          <w:rFonts w:ascii="Segoe UI Symbol" w:eastAsia="Segoe UI Symbol" w:hAnsi="Segoe UI Symbol" w:cs="Segoe UI Symbol"/>
          <w:sz w:val="25"/>
        </w:rPr>
        <w:t></w:t>
      </w:r>
      <w:r>
        <w:rPr>
          <w:rFonts w:ascii="Segoe UI Symbol" w:eastAsia="Segoe UI Symbol" w:hAnsi="Segoe UI Symbol" w:cs="Segoe UI Symbol"/>
          <w:sz w:val="27"/>
        </w:rPr>
        <w:t></w:t>
      </w:r>
      <w:r>
        <w:rPr>
          <w:rFonts w:ascii="Times New Roman" w:eastAsia="Times New Roman" w:hAnsi="Times New Roman" w:cs="Times New Roman"/>
          <w:sz w:val="25"/>
        </w:rPr>
        <w:t>1</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Times New Roman" w:eastAsia="Times New Roman" w:hAnsi="Times New Roman" w:cs="Times New Roman"/>
          <w:i/>
          <w:sz w:val="25"/>
        </w:rPr>
        <w:t>z</w:t>
      </w:r>
      <w:r>
        <w:rPr>
          <w:rFonts w:ascii="Times New Roman" w:eastAsia="Times New Roman" w:hAnsi="Times New Roman" w:cs="Times New Roman"/>
          <w:i/>
          <w:sz w:val="23"/>
          <w:vertAlign w:val="subscript"/>
        </w:rPr>
        <w:t xml:space="preserve">k </w:t>
      </w:r>
      <w:r>
        <w:rPr>
          <w:rFonts w:ascii="Segoe UI Symbol" w:eastAsia="Segoe UI Symbol" w:hAnsi="Segoe UI Symbol" w:cs="Segoe UI Symbol"/>
          <w:sz w:val="51"/>
          <w:vertAlign w:val="superscript"/>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 xml:space="preserve"> </w:t>
      </w:r>
      <w:r>
        <w:rPr>
          <w:rFonts w:ascii="Times New Roman" w:eastAsia="Times New Roman" w:hAnsi="Times New Roman" w:cs="Times New Roman"/>
          <w:sz w:val="25"/>
        </w:rPr>
        <w:t>2</w:t>
      </w:r>
      <w:r>
        <w:rPr>
          <w:rFonts w:ascii="Segoe UI Symbol" w:eastAsia="Segoe UI Symbol" w:hAnsi="Segoe UI Symbol" w:cs="Segoe UI Symbol"/>
          <w:sz w:val="33"/>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Times New Roman" w:eastAsia="Times New Roman" w:hAnsi="Times New Roman" w:cs="Times New Roman"/>
          <w:i/>
          <w:sz w:val="15"/>
        </w:rPr>
        <w:t>k</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Segoe UI Symbol" w:eastAsia="Segoe UI Symbol" w:hAnsi="Segoe UI Symbol" w:cs="Segoe UI Symbol"/>
          <w:sz w:val="33"/>
        </w:rPr>
        <w:t></w:t>
      </w:r>
      <w:r>
        <w:rPr>
          <w:rFonts w:ascii="Times New Roman" w:eastAsia="Times New Roman" w:hAnsi="Times New Roman" w:cs="Times New Roman"/>
          <w:i/>
          <w:sz w:val="25"/>
        </w:rPr>
        <w:t>z</w:t>
      </w:r>
      <w:r>
        <w:rPr>
          <w:rFonts w:ascii="Times New Roman" w:eastAsia="Times New Roman" w:hAnsi="Times New Roman" w:cs="Times New Roman"/>
          <w:sz w:val="23"/>
          <w:vertAlign w:val="subscript"/>
        </w:rPr>
        <w:t xml:space="preserve">0 </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7"/>
        </w:rPr>
        <w:t></w:t>
      </w:r>
      <w:r>
        <w:rPr>
          <w:rFonts w:ascii="Times New Roman" w:eastAsia="Times New Roman" w:hAnsi="Times New Roman" w:cs="Times New Roman"/>
          <w:i/>
          <w:sz w:val="25"/>
        </w:rPr>
        <w:t>z</w:t>
      </w:r>
      <w:r>
        <w:rPr>
          <w:rFonts w:ascii="Times New Roman" w:eastAsia="Times New Roman" w:hAnsi="Times New Roman" w:cs="Times New Roman"/>
          <w:i/>
          <w:sz w:val="15"/>
        </w:rPr>
        <w:t>k</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Segoe UI Symbol" w:eastAsia="Segoe UI Symbol" w:hAnsi="Segoe UI Symbol" w:cs="Segoe UI Symbol"/>
          <w:sz w:val="33"/>
        </w:rPr>
        <w:t></w:t>
      </w:r>
      <w:r>
        <w:rPr>
          <w:rFonts w:ascii="Times New Roman" w:eastAsia="Times New Roman" w:hAnsi="Times New Roman" w:cs="Times New Roman"/>
          <w:i/>
          <w:sz w:val="25"/>
        </w:rPr>
        <w:t>z</w:t>
      </w:r>
      <w:r>
        <w:rPr>
          <w:rFonts w:ascii="Times New Roman" w:eastAsia="Times New Roman" w:hAnsi="Times New Roman" w:cs="Times New Roman"/>
          <w:i/>
          <w:sz w:val="23"/>
          <w:vertAlign w:val="subscript"/>
        </w:rPr>
        <w:t xml:space="preserve">k </w:t>
      </w:r>
      <w:r>
        <w:rPr>
          <w:rFonts w:ascii="Segoe UI Symbol" w:eastAsia="Segoe UI Symbol" w:hAnsi="Segoe UI Symbol" w:cs="Segoe UI Symbol"/>
          <w:sz w:val="33"/>
        </w:rPr>
        <w:t></w:t>
      </w:r>
      <w:r>
        <w:rPr>
          <w:rFonts w:ascii="Times New Roman" w:eastAsia="Times New Roman" w:hAnsi="Times New Roman" w:cs="Times New Roman"/>
          <w:sz w:val="15"/>
        </w:rPr>
        <w:t xml:space="preserve">2 </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i/>
          <w:sz w:val="25"/>
        </w:rPr>
        <w:t>H</w:t>
      </w:r>
      <w:r>
        <w:rPr>
          <w:rFonts w:ascii="Segoe UI Symbol" w:eastAsia="Segoe UI Symbol" w:hAnsi="Segoe UI Symbol" w:cs="Segoe UI Symbol"/>
          <w:sz w:val="33"/>
        </w:rPr>
        <w:t></w:t>
      </w:r>
      <w:r>
        <w:rPr>
          <w:rFonts w:ascii="Times New Roman" w:eastAsia="Times New Roman" w:hAnsi="Times New Roman" w:cs="Times New Roman"/>
          <w:i/>
          <w:sz w:val="25"/>
        </w:rPr>
        <w:t xml:space="preserve">z </w:t>
      </w:r>
      <w:r>
        <w:rPr>
          <w:rFonts w:ascii="Segoe UI Symbol" w:eastAsia="Segoe UI Symbol" w:hAnsi="Segoe UI Symbol" w:cs="Segoe UI Symbol"/>
          <w:sz w:val="25"/>
        </w:rPr>
        <w:t xml:space="preserve"> </w:t>
      </w:r>
      <w:r>
        <w:rPr>
          <w:rFonts w:ascii="Times New Roman" w:eastAsia="Times New Roman" w:hAnsi="Times New Roman" w:cs="Times New Roman"/>
          <w:i/>
          <w:sz w:val="25"/>
        </w:rPr>
        <w:t>z</w:t>
      </w:r>
      <w:r>
        <w:rPr>
          <w:rFonts w:ascii="Times New Roman" w:eastAsia="Times New Roman" w:hAnsi="Times New Roman" w:cs="Times New Roman"/>
          <w:i/>
          <w:sz w:val="15"/>
        </w:rPr>
        <w:t xml:space="preserve">k </w:t>
      </w:r>
      <w:r>
        <w:rPr>
          <w:rFonts w:ascii="Segoe UI Symbol" w:eastAsia="Segoe UI Symbol" w:hAnsi="Segoe UI Symbol" w:cs="Segoe UI Symbol"/>
          <w:sz w:val="33"/>
        </w:rPr>
        <w:t></w:t>
      </w:r>
      <w:r>
        <w:rPr>
          <w:rFonts w:ascii="Times New Roman" w:eastAsia="Times New Roman" w:hAnsi="Times New Roman" w:cs="Times New Roman"/>
          <w:i/>
          <w:sz w:val="25"/>
        </w:rPr>
        <w:t>u</w:t>
      </w:r>
      <w:r>
        <w:rPr>
          <w:rFonts w:ascii="Segoe UI Symbol" w:eastAsia="Segoe UI Symbol" w:hAnsi="Segoe UI Symbol" w:cs="Segoe UI Symbol"/>
          <w:sz w:val="33"/>
        </w:rPr>
        <w:t></w:t>
      </w:r>
      <w:r>
        <w:rPr>
          <w:rFonts w:ascii="Times New Roman" w:eastAsia="Times New Roman" w:hAnsi="Times New Roman" w:cs="Times New Roman"/>
          <w:i/>
          <w:sz w:val="25"/>
        </w:rPr>
        <w:t>z</w:t>
      </w:r>
      <w:r>
        <w:rPr>
          <w:rFonts w:ascii="Times New Roman" w:eastAsia="Times New Roman" w:hAnsi="Times New Roman" w:cs="Times New Roman"/>
          <w:i/>
          <w:sz w:val="15"/>
        </w:rPr>
        <w:t xml:space="preserve">k </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Times New Roman" w:eastAsia="Times New Roman" w:hAnsi="Times New Roman" w:cs="Times New Roman"/>
          <w:i/>
          <w:sz w:val="15"/>
        </w:rPr>
        <w:t>k</w:t>
      </w:r>
      <w:r>
        <w:rPr>
          <w:rFonts w:ascii="Segoe UI Symbol" w:eastAsia="Segoe UI Symbol" w:hAnsi="Segoe UI Symbol" w:cs="Segoe UI Symbol"/>
          <w:sz w:val="15"/>
        </w:rPr>
        <w:t></w:t>
      </w:r>
      <w:r>
        <w:rPr>
          <w:rFonts w:ascii="Times New Roman" w:eastAsia="Times New Roman" w:hAnsi="Times New Roman" w:cs="Times New Roman"/>
          <w:sz w:val="15"/>
        </w:rPr>
        <w:t>1</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33"/>
        </w:rPr>
        <w:t></w:t>
      </w:r>
      <w:r>
        <w:rPr>
          <w:rFonts w:ascii="Segoe UI Symbol" w:eastAsia="Segoe UI Symbol" w:hAnsi="Segoe UI Symbol" w:cs="Segoe UI Symbol"/>
          <w:sz w:val="27"/>
        </w:rPr>
        <w:t></w:t>
      </w:r>
      <w:r>
        <w:rPr>
          <w:rFonts w:ascii="Times New Roman" w:eastAsia="Times New Roman" w:hAnsi="Times New Roman" w:cs="Times New Roman"/>
          <w:sz w:val="25"/>
        </w:rPr>
        <w:t>1</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Times New Roman" w:eastAsia="Times New Roman" w:hAnsi="Times New Roman" w:cs="Times New Roman"/>
          <w:sz w:val="25"/>
        </w:rPr>
        <w:t>1</w:t>
      </w:r>
      <w:r>
        <w:rPr>
          <w:rFonts w:ascii="Segoe UI Symbol" w:eastAsia="Segoe UI Symbol" w:hAnsi="Segoe UI Symbol" w:cs="Segoe UI Symbol"/>
          <w:sz w:val="27"/>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Times New Roman" w:eastAsia="Times New Roman" w:hAnsi="Times New Roman" w:cs="Times New Roman"/>
          <w:sz w:val="24"/>
        </w:rPr>
        <w:t xml:space="preserve"> </w:t>
      </w:r>
    </w:p>
    <w:p w:rsidR="0052701D" w:rsidRDefault="00D40929">
      <w:pPr>
        <w:numPr>
          <w:ilvl w:val="1"/>
          <w:numId w:val="8"/>
        </w:numPr>
        <w:spacing w:after="35"/>
        <w:ind w:firstLine="611"/>
      </w:pPr>
      <w:r>
        <w:rPr>
          <w:rFonts w:ascii="Segoe UI Symbol" w:eastAsia="Segoe UI Symbol" w:hAnsi="Segoe UI Symbol" w:cs="Segoe UI Symbol"/>
          <w:sz w:val="23"/>
        </w:rPr>
        <w:t></w:t>
      </w:r>
      <w:r>
        <w:rPr>
          <w:rFonts w:ascii="Segoe UI Symbol" w:eastAsia="Segoe UI Symbol" w:hAnsi="Segoe UI Symbol" w:cs="Segoe UI Symbol"/>
          <w:sz w:val="23"/>
        </w:rPr>
        <w:tab/>
      </w:r>
      <w:r>
        <w:rPr>
          <w:rFonts w:ascii="Times New Roman" w:eastAsia="Times New Roman" w:hAnsi="Times New Roman" w:cs="Times New Roman"/>
          <w:i/>
          <w:sz w:val="23"/>
        </w:rPr>
        <w:t>h</w:t>
      </w:r>
      <w:r>
        <w:rPr>
          <w:rFonts w:ascii="Times New Roman" w:eastAsia="Times New Roman" w:hAnsi="Times New Roman" w:cs="Times New Roman"/>
          <w:sz w:val="20"/>
          <w:vertAlign w:val="subscript"/>
        </w:rPr>
        <w:t>0</w:t>
      </w:r>
      <w:r>
        <w:rPr>
          <w:rFonts w:ascii="Segoe UI Symbol" w:eastAsia="Segoe UI Symbol" w:hAnsi="Segoe UI Symbol" w:cs="Segoe UI Symbol"/>
          <w:sz w:val="30"/>
        </w:rPr>
        <w:t></w:t>
      </w:r>
      <w:r>
        <w:rPr>
          <w:rFonts w:ascii="Times New Roman" w:eastAsia="Times New Roman" w:hAnsi="Times New Roman" w:cs="Times New Roman"/>
          <w:i/>
          <w:sz w:val="23"/>
        </w:rPr>
        <w:t xml:space="preserve">z </w:t>
      </w:r>
      <w:r>
        <w:rPr>
          <w:rFonts w:ascii="Segoe UI Symbol" w:eastAsia="Segoe UI Symbol" w:hAnsi="Segoe UI Symbol" w:cs="Segoe UI Symbol"/>
          <w:sz w:val="23"/>
        </w:rPr>
        <w:t xml:space="preserve"> </w:t>
      </w:r>
      <w:r>
        <w:rPr>
          <w:rFonts w:ascii="Times New Roman" w:eastAsia="Times New Roman" w:hAnsi="Times New Roman" w:cs="Times New Roman"/>
          <w:i/>
          <w:sz w:val="23"/>
        </w:rPr>
        <w:t>z</w:t>
      </w:r>
      <w:r>
        <w:rPr>
          <w:rFonts w:ascii="Times New Roman" w:eastAsia="Times New Roman" w:hAnsi="Times New Roman" w:cs="Times New Roman"/>
          <w:i/>
          <w:sz w:val="20"/>
          <w:vertAlign w:val="subscript"/>
        </w:rPr>
        <w:t>k</w:t>
      </w:r>
      <w:r>
        <w:rPr>
          <w:rFonts w:ascii="Segoe UI Symbol" w:eastAsia="Segoe UI Symbol" w:hAnsi="Segoe UI Symbol" w:cs="Segoe UI Symbol"/>
          <w:sz w:val="20"/>
          <w:vertAlign w:val="subscript"/>
        </w:rPr>
        <w:t></w:t>
      </w:r>
      <w:r>
        <w:rPr>
          <w:rFonts w:ascii="Times New Roman" w:eastAsia="Times New Roman" w:hAnsi="Times New Roman" w:cs="Times New Roman"/>
          <w:sz w:val="20"/>
          <w:vertAlign w:val="subscript"/>
        </w:rPr>
        <w:t>1</w:t>
      </w:r>
      <w:r>
        <w:rPr>
          <w:rFonts w:ascii="Segoe UI Symbol" w:eastAsia="Segoe UI Symbol" w:hAnsi="Segoe UI Symbol" w:cs="Segoe UI Symbol"/>
          <w:sz w:val="30"/>
        </w:rPr>
        <w:t></w:t>
      </w:r>
      <w:r>
        <w:rPr>
          <w:rFonts w:ascii="Segoe UI Symbol" w:eastAsia="Segoe UI Symbol" w:hAnsi="Segoe UI Symbol" w:cs="Segoe UI Symbol"/>
          <w:sz w:val="30"/>
        </w:rPr>
        <w:tab/>
      </w:r>
      <w:r>
        <w:rPr>
          <w:rFonts w:ascii="Times New Roman" w:eastAsia="Times New Roman" w:hAnsi="Times New Roman" w:cs="Times New Roman"/>
          <w:sz w:val="23"/>
        </w:rPr>
        <w:t>1</w:t>
      </w:r>
      <w:r>
        <w:rPr>
          <w:rFonts w:ascii="Times New Roman" w:eastAsia="Times New Roman" w:hAnsi="Times New Roman" w:cs="Times New Roman"/>
          <w:sz w:val="23"/>
        </w:rPr>
        <w:tab/>
      </w:r>
      <w:r>
        <w:rPr>
          <w:rFonts w:ascii="Segoe UI Symbol" w:eastAsia="Segoe UI Symbol" w:hAnsi="Segoe UI Symbol" w:cs="Segoe UI Symbol"/>
          <w:sz w:val="23"/>
        </w:rPr>
        <w:t></w:t>
      </w:r>
      <w:r>
        <w:rPr>
          <w:rFonts w:ascii="Segoe UI Symbol" w:eastAsia="Segoe UI Symbol" w:hAnsi="Segoe UI Symbol" w:cs="Segoe UI Symbol"/>
          <w:sz w:val="23"/>
        </w:rPr>
        <w:tab/>
      </w:r>
      <w:r>
        <w:rPr>
          <w:rFonts w:ascii="Times New Roman" w:eastAsia="Times New Roman" w:hAnsi="Times New Roman" w:cs="Times New Roman"/>
          <w:i/>
          <w:sz w:val="23"/>
        </w:rPr>
        <w:t>z</w:t>
      </w:r>
      <w:r>
        <w:rPr>
          <w:rFonts w:ascii="Times New Roman" w:eastAsia="Times New Roman" w:hAnsi="Times New Roman" w:cs="Times New Roman"/>
          <w:i/>
          <w:sz w:val="23"/>
        </w:rPr>
        <w:tab/>
        <w:t>z</w:t>
      </w:r>
      <w:r>
        <w:rPr>
          <w:rFonts w:ascii="Times New Roman" w:eastAsia="Times New Roman" w:hAnsi="Times New Roman" w:cs="Times New Roman"/>
          <w:i/>
          <w:sz w:val="20"/>
          <w:vertAlign w:val="subscript"/>
        </w:rPr>
        <w:t>k</w:t>
      </w:r>
      <w:r>
        <w:rPr>
          <w:rFonts w:ascii="Segoe UI Symbol" w:eastAsia="Segoe UI Symbol" w:hAnsi="Segoe UI Symbol" w:cs="Segoe UI Symbol"/>
          <w:sz w:val="20"/>
          <w:vertAlign w:val="subscript"/>
        </w:rPr>
        <w:t></w:t>
      </w:r>
      <w:r>
        <w:rPr>
          <w:rFonts w:ascii="Times New Roman" w:eastAsia="Times New Roman" w:hAnsi="Times New Roman" w:cs="Times New Roman"/>
          <w:sz w:val="20"/>
          <w:vertAlign w:val="subscript"/>
        </w:rPr>
        <w:t>1</w:t>
      </w:r>
      <w:r>
        <w:rPr>
          <w:rFonts w:ascii="Times New Roman" w:eastAsia="Times New Roman" w:hAnsi="Times New Roman" w:cs="Times New Roman"/>
          <w:sz w:val="20"/>
          <w:vertAlign w:val="subscript"/>
        </w:rPr>
        <w:tab/>
      </w:r>
      <w:r>
        <w:rPr>
          <w:rFonts w:ascii="Segoe UI Symbol" w:eastAsia="Segoe UI Symbol" w:hAnsi="Segoe UI Symbol" w:cs="Segoe UI Symbol"/>
          <w:sz w:val="23"/>
        </w:rPr>
        <w:t></w:t>
      </w:r>
      <w:r>
        <w:rPr>
          <w:rFonts w:ascii="Segoe UI Symbol" w:eastAsia="Segoe UI Symbol" w:hAnsi="Segoe UI Symbol" w:cs="Segoe UI Symbol"/>
          <w:sz w:val="23"/>
        </w:rPr>
        <w:tab/>
      </w:r>
      <w:r>
        <w:rPr>
          <w:rFonts w:ascii="Times New Roman" w:eastAsia="Times New Roman" w:hAnsi="Times New Roman" w:cs="Times New Roman"/>
          <w:sz w:val="23"/>
        </w:rPr>
        <w:t>1</w:t>
      </w:r>
    </w:p>
    <w:p w:rsidR="0052701D" w:rsidRDefault="00D40929">
      <w:pPr>
        <w:numPr>
          <w:ilvl w:val="0"/>
          <w:numId w:val="8"/>
        </w:numPr>
        <w:spacing w:before="41" w:after="2"/>
        <w:ind w:hanging="1222"/>
      </w:pPr>
      <w:r>
        <w:rPr>
          <w:noProof/>
        </w:rPr>
        <mc:AlternateContent>
          <mc:Choice Requires="wpg">
            <w:drawing>
              <wp:anchor distT="0" distB="0" distL="114300" distR="114300" simplePos="0" relativeHeight="251740160" behindDoc="0" locked="0" layoutInCell="1" allowOverlap="1">
                <wp:simplePos x="0" y="0"/>
                <wp:positionH relativeFrom="column">
                  <wp:posOffset>142112</wp:posOffset>
                </wp:positionH>
                <wp:positionV relativeFrom="paragraph">
                  <wp:posOffset>-26035</wp:posOffset>
                </wp:positionV>
                <wp:extent cx="5218178" cy="5901"/>
                <wp:effectExtent l="0" t="0" r="0" b="0"/>
                <wp:wrapNone/>
                <wp:docPr id="919970" name="Group 919970"/>
                <wp:cNvGraphicFramePr/>
                <a:graphic xmlns:a="http://schemas.openxmlformats.org/drawingml/2006/main">
                  <a:graphicData uri="http://schemas.microsoft.com/office/word/2010/wordprocessingGroup">
                    <wpg:wgp>
                      <wpg:cNvGrpSpPr/>
                      <wpg:grpSpPr>
                        <a:xfrm>
                          <a:off x="0" y="0"/>
                          <a:ext cx="5218178" cy="5901"/>
                          <a:chOff x="0" y="0"/>
                          <a:chExt cx="5218178" cy="5901"/>
                        </a:xfrm>
                      </wpg:grpSpPr>
                      <wps:wsp>
                        <wps:cNvPr id="12667" name="Shape 12667"/>
                        <wps:cNvSpPr/>
                        <wps:spPr>
                          <a:xfrm>
                            <a:off x="0" y="0"/>
                            <a:ext cx="814298" cy="0"/>
                          </a:xfrm>
                          <a:custGeom>
                            <a:avLst/>
                            <a:gdLst/>
                            <a:ahLst/>
                            <a:cxnLst/>
                            <a:rect l="0" t="0" r="0" b="0"/>
                            <a:pathLst>
                              <a:path w="814298">
                                <a:moveTo>
                                  <a:pt x="0" y="0"/>
                                </a:moveTo>
                                <a:lnTo>
                                  <a:pt x="814298" y="0"/>
                                </a:lnTo>
                              </a:path>
                            </a:pathLst>
                          </a:custGeom>
                          <a:ln w="5901" cap="flat">
                            <a:round/>
                          </a:ln>
                        </wps:spPr>
                        <wps:style>
                          <a:lnRef idx="1">
                            <a:srgbClr val="000000"/>
                          </a:lnRef>
                          <a:fillRef idx="0">
                            <a:srgbClr val="000000">
                              <a:alpha val="0"/>
                            </a:srgbClr>
                          </a:fillRef>
                          <a:effectRef idx="0">
                            <a:scrgbClr r="0" g="0" b="0"/>
                          </a:effectRef>
                          <a:fontRef idx="none"/>
                        </wps:style>
                        <wps:bodyPr/>
                      </wps:wsp>
                      <wps:wsp>
                        <wps:cNvPr id="12674" name="Shape 12674"/>
                        <wps:cNvSpPr/>
                        <wps:spPr>
                          <a:xfrm>
                            <a:off x="1034964" y="0"/>
                            <a:ext cx="1337292" cy="0"/>
                          </a:xfrm>
                          <a:custGeom>
                            <a:avLst/>
                            <a:gdLst/>
                            <a:ahLst/>
                            <a:cxnLst/>
                            <a:rect l="0" t="0" r="0" b="0"/>
                            <a:pathLst>
                              <a:path w="1337292">
                                <a:moveTo>
                                  <a:pt x="0" y="0"/>
                                </a:moveTo>
                                <a:lnTo>
                                  <a:pt x="1337292" y="0"/>
                                </a:lnTo>
                              </a:path>
                            </a:pathLst>
                          </a:custGeom>
                          <a:ln w="5901" cap="flat">
                            <a:round/>
                          </a:ln>
                        </wps:spPr>
                        <wps:style>
                          <a:lnRef idx="1">
                            <a:srgbClr val="000000"/>
                          </a:lnRef>
                          <a:fillRef idx="0">
                            <a:srgbClr val="000000">
                              <a:alpha val="0"/>
                            </a:srgbClr>
                          </a:fillRef>
                          <a:effectRef idx="0">
                            <a:scrgbClr r="0" g="0" b="0"/>
                          </a:effectRef>
                          <a:fontRef idx="none"/>
                        </wps:style>
                        <wps:bodyPr/>
                      </wps:wsp>
                      <wps:wsp>
                        <wps:cNvPr id="12677" name="Shape 12677"/>
                        <wps:cNvSpPr/>
                        <wps:spPr>
                          <a:xfrm>
                            <a:off x="2525883" y="0"/>
                            <a:ext cx="379218" cy="0"/>
                          </a:xfrm>
                          <a:custGeom>
                            <a:avLst/>
                            <a:gdLst/>
                            <a:ahLst/>
                            <a:cxnLst/>
                            <a:rect l="0" t="0" r="0" b="0"/>
                            <a:pathLst>
                              <a:path w="379218">
                                <a:moveTo>
                                  <a:pt x="0" y="0"/>
                                </a:moveTo>
                                <a:lnTo>
                                  <a:pt x="379218" y="0"/>
                                </a:lnTo>
                              </a:path>
                            </a:pathLst>
                          </a:custGeom>
                          <a:ln w="5901" cap="flat">
                            <a:round/>
                          </a:ln>
                        </wps:spPr>
                        <wps:style>
                          <a:lnRef idx="1">
                            <a:srgbClr val="000000"/>
                          </a:lnRef>
                          <a:fillRef idx="0">
                            <a:srgbClr val="000000">
                              <a:alpha val="0"/>
                            </a:srgbClr>
                          </a:fillRef>
                          <a:effectRef idx="0">
                            <a:scrgbClr r="0" g="0" b="0"/>
                          </a:effectRef>
                          <a:fontRef idx="none"/>
                        </wps:style>
                        <wps:bodyPr/>
                      </wps:wsp>
                      <wps:wsp>
                        <wps:cNvPr id="12680" name="Shape 12680"/>
                        <wps:cNvSpPr/>
                        <wps:spPr>
                          <a:xfrm>
                            <a:off x="2998885" y="0"/>
                            <a:ext cx="654445" cy="0"/>
                          </a:xfrm>
                          <a:custGeom>
                            <a:avLst/>
                            <a:gdLst/>
                            <a:ahLst/>
                            <a:cxnLst/>
                            <a:rect l="0" t="0" r="0" b="0"/>
                            <a:pathLst>
                              <a:path w="654445">
                                <a:moveTo>
                                  <a:pt x="0" y="0"/>
                                </a:moveTo>
                                <a:lnTo>
                                  <a:pt x="654445" y="0"/>
                                </a:lnTo>
                              </a:path>
                            </a:pathLst>
                          </a:custGeom>
                          <a:ln w="5901" cap="flat">
                            <a:round/>
                          </a:ln>
                        </wps:spPr>
                        <wps:style>
                          <a:lnRef idx="1">
                            <a:srgbClr val="000000"/>
                          </a:lnRef>
                          <a:fillRef idx="0">
                            <a:srgbClr val="000000">
                              <a:alpha val="0"/>
                            </a:srgbClr>
                          </a:fillRef>
                          <a:effectRef idx="0">
                            <a:scrgbClr r="0" g="0" b="0"/>
                          </a:effectRef>
                          <a:fontRef idx="none"/>
                        </wps:style>
                        <wps:bodyPr/>
                      </wps:wsp>
                      <wps:wsp>
                        <wps:cNvPr id="12683" name="Shape 12683"/>
                        <wps:cNvSpPr/>
                        <wps:spPr>
                          <a:xfrm>
                            <a:off x="3806829" y="0"/>
                            <a:ext cx="814579" cy="0"/>
                          </a:xfrm>
                          <a:custGeom>
                            <a:avLst/>
                            <a:gdLst/>
                            <a:ahLst/>
                            <a:cxnLst/>
                            <a:rect l="0" t="0" r="0" b="0"/>
                            <a:pathLst>
                              <a:path w="814579">
                                <a:moveTo>
                                  <a:pt x="0" y="0"/>
                                </a:moveTo>
                                <a:lnTo>
                                  <a:pt x="814579" y="0"/>
                                </a:lnTo>
                              </a:path>
                            </a:pathLst>
                          </a:custGeom>
                          <a:ln w="5901" cap="flat">
                            <a:round/>
                          </a:ln>
                        </wps:spPr>
                        <wps:style>
                          <a:lnRef idx="1">
                            <a:srgbClr val="000000"/>
                          </a:lnRef>
                          <a:fillRef idx="0">
                            <a:srgbClr val="000000">
                              <a:alpha val="0"/>
                            </a:srgbClr>
                          </a:fillRef>
                          <a:effectRef idx="0">
                            <a:scrgbClr r="0" g="0" b="0"/>
                          </a:effectRef>
                          <a:fontRef idx="none"/>
                        </wps:style>
                        <wps:bodyPr/>
                      </wps:wsp>
                      <wps:wsp>
                        <wps:cNvPr id="12686" name="Shape 12686"/>
                        <wps:cNvSpPr/>
                        <wps:spPr>
                          <a:xfrm>
                            <a:off x="4844319" y="0"/>
                            <a:ext cx="373859" cy="0"/>
                          </a:xfrm>
                          <a:custGeom>
                            <a:avLst/>
                            <a:gdLst/>
                            <a:ahLst/>
                            <a:cxnLst/>
                            <a:rect l="0" t="0" r="0" b="0"/>
                            <a:pathLst>
                              <a:path w="373859">
                                <a:moveTo>
                                  <a:pt x="0" y="0"/>
                                </a:moveTo>
                                <a:lnTo>
                                  <a:pt x="373859" y="0"/>
                                </a:lnTo>
                              </a:path>
                            </a:pathLst>
                          </a:custGeom>
                          <a:ln w="5901"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9970" style="width:410.88pt;height:0.464614pt;position:absolute;z-index:926;mso-position-horizontal-relative:text;mso-position-horizontal:absolute;margin-left:11.1899pt;mso-position-vertical-relative:text;margin-top:-2.05011pt;" coordsize="52181,59">
                <v:shape id="Shape 12667" style="position:absolute;width:8142;height:0;left:0;top:0;" coordsize="814298,0" path="m0,0l814298,0">
                  <v:stroke weight="0.464614pt" endcap="flat" joinstyle="round" on="true" color="#000000"/>
                  <v:fill on="false" color="#000000" opacity="0"/>
                </v:shape>
                <v:shape id="Shape 12674" style="position:absolute;width:13372;height:0;left:10349;top:0;" coordsize="1337292,0" path="m0,0l1337292,0">
                  <v:stroke weight="0.464614pt" endcap="flat" joinstyle="round" on="true" color="#000000"/>
                  <v:fill on="false" color="#000000" opacity="0"/>
                </v:shape>
                <v:shape id="Shape 12677" style="position:absolute;width:3792;height:0;left:25258;top:0;" coordsize="379218,0" path="m0,0l379218,0">
                  <v:stroke weight="0.464614pt" endcap="flat" joinstyle="round" on="true" color="#000000"/>
                  <v:fill on="false" color="#000000" opacity="0"/>
                </v:shape>
                <v:shape id="Shape 12680" style="position:absolute;width:6544;height:0;left:29988;top:0;" coordsize="654445,0" path="m0,0l654445,0">
                  <v:stroke weight="0.464614pt" endcap="flat" joinstyle="round" on="true" color="#000000"/>
                  <v:fill on="false" color="#000000" opacity="0"/>
                </v:shape>
                <v:shape id="Shape 12683" style="position:absolute;width:8145;height:0;left:38068;top:0;" coordsize="814579,0" path="m0,0l814579,0">
                  <v:stroke weight="0.464614pt" endcap="flat" joinstyle="round" on="true" color="#000000"/>
                  <v:fill on="false" color="#000000" opacity="0"/>
                </v:shape>
                <v:shape id="Shape 12686" style="position:absolute;width:3738;height:0;left:48443;top:0;" coordsize="373859,0" path="m0,0l373859,0">
                  <v:stroke weight="0.464614pt" endcap="flat" joinstyle="round" on="true" color="#000000"/>
                  <v:fill on="false" color="#000000" opacity="0"/>
                </v:shape>
              </v:group>
            </w:pict>
          </mc:Fallback>
        </mc:AlternateContent>
      </w:r>
      <w:r>
        <w:rPr>
          <w:rFonts w:ascii="Segoe UI Symbol" w:eastAsia="Segoe UI Symbol" w:hAnsi="Segoe UI Symbol" w:cs="Segoe UI Symbol"/>
          <w:sz w:val="13"/>
        </w:rPr>
        <w:t xml:space="preserve"> </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ab/>
      </w:r>
      <w:r>
        <w:rPr>
          <w:rFonts w:ascii="Times New Roman" w:eastAsia="Times New Roman" w:hAnsi="Times New Roman" w:cs="Times New Roman"/>
          <w:sz w:val="13"/>
        </w:rPr>
        <w:t>2</w:t>
      </w:r>
      <w:r>
        <w:rPr>
          <w:rFonts w:ascii="Times New Roman" w:eastAsia="Times New Roman" w:hAnsi="Times New Roman" w:cs="Times New Roman"/>
          <w:sz w:val="13"/>
        </w:rPr>
        <w:tab/>
      </w:r>
      <w:r>
        <w:rPr>
          <w:rFonts w:ascii="Segoe UI Symbol" w:eastAsia="Segoe UI Symbol" w:hAnsi="Segoe UI Symbol" w:cs="Segoe UI Symbol"/>
          <w:sz w:val="13"/>
        </w:rPr>
        <w:t xml:space="preserve"> </w:t>
      </w:r>
      <w:r>
        <w:rPr>
          <w:rFonts w:ascii="Times New Roman" w:eastAsia="Times New Roman" w:hAnsi="Times New Roman" w:cs="Times New Roman"/>
          <w:sz w:val="13"/>
        </w:rPr>
        <w:t xml:space="preserve">2 </w:t>
      </w:r>
      <w:r>
        <w:rPr>
          <w:rFonts w:ascii="Segoe UI Symbol" w:eastAsia="Segoe UI Symbol" w:hAnsi="Segoe UI Symbol" w:cs="Segoe UI Symbol"/>
          <w:sz w:val="23"/>
        </w:rPr>
        <w:t></w:t>
      </w:r>
      <w:r>
        <w:rPr>
          <w:rFonts w:ascii="Segoe UI Symbol" w:eastAsia="Segoe UI Symbol" w:hAnsi="Segoe UI Symbol" w:cs="Segoe UI Symbol"/>
          <w:sz w:val="23"/>
        </w:rPr>
        <w:tab/>
      </w:r>
      <w:r>
        <w:rPr>
          <w:rFonts w:ascii="Times New Roman" w:eastAsia="Times New Roman" w:hAnsi="Times New Roman" w:cs="Times New Roman"/>
          <w:sz w:val="13"/>
        </w:rPr>
        <w:t xml:space="preserve">2 </w:t>
      </w:r>
      <w:r>
        <w:rPr>
          <w:rFonts w:ascii="Segoe UI Symbol" w:eastAsia="Segoe UI Symbol" w:hAnsi="Segoe UI Symbol" w:cs="Segoe UI Symbol"/>
          <w:sz w:val="23"/>
        </w:rPr>
        <w:t></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Times New Roman" w:eastAsia="Times New Roman" w:hAnsi="Times New Roman" w:cs="Times New Roman"/>
          <w:sz w:val="13"/>
        </w:rPr>
        <w:t xml:space="preserve">0 </w:t>
      </w:r>
      <w:r>
        <w:rPr>
          <w:rFonts w:ascii="Segoe UI Symbol" w:eastAsia="Segoe UI Symbol" w:hAnsi="Segoe UI Symbol" w:cs="Segoe UI Symbol"/>
          <w:sz w:val="23"/>
        </w:rPr>
        <w:t></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Times New Roman" w:eastAsia="Times New Roman" w:hAnsi="Times New Roman" w:cs="Times New Roman"/>
          <w:i/>
          <w:sz w:val="23"/>
        </w:rPr>
        <w:t>z</w:t>
      </w:r>
      <w:r>
        <w:rPr>
          <w:rFonts w:ascii="Segoe UI Symbol" w:eastAsia="Segoe UI Symbol" w:hAnsi="Segoe UI Symbol" w:cs="Segoe UI Symbol"/>
          <w:sz w:val="30"/>
        </w:rPr>
        <w:t></w:t>
      </w:r>
      <w:r>
        <w:rPr>
          <w:rFonts w:ascii="Segoe UI Symbol" w:eastAsia="Segoe UI Symbol" w:hAnsi="Segoe UI Symbol" w:cs="Segoe UI Symbol"/>
          <w:sz w:val="23"/>
        </w:rPr>
        <w:t xml:space="preserve"> </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Times New Roman" w:eastAsia="Times New Roman" w:hAnsi="Times New Roman" w:cs="Times New Roman"/>
          <w:sz w:val="13"/>
        </w:rPr>
        <w:t xml:space="preserve">0 </w:t>
      </w:r>
      <w:r>
        <w:rPr>
          <w:rFonts w:ascii="Segoe UI Symbol" w:eastAsia="Segoe UI Symbol" w:hAnsi="Segoe UI Symbol" w:cs="Segoe UI Symbol"/>
          <w:sz w:val="23"/>
        </w:rPr>
        <w:t></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Times New Roman" w:eastAsia="Times New Roman" w:hAnsi="Times New Roman" w:cs="Times New Roman"/>
          <w:i/>
          <w:sz w:val="23"/>
        </w:rPr>
        <w:t>z</w:t>
      </w:r>
      <w:r>
        <w:rPr>
          <w:rFonts w:ascii="Times New Roman" w:eastAsia="Times New Roman" w:hAnsi="Times New Roman" w:cs="Times New Roman"/>
          <w:i/>
          <w:sz w:val="13"/>
        </w:rPr>
        <w:t>k</w:t>
      </w:r>
      <w:r>
        <w:rPr>
          <w:rFonts w:ascii="Segoe UI Symbol" w:eastAsia="Segoe UI Symbol" w:hAnsi="Segoe UI Symbol" w:cs="Segoe UI Symbol"/>
          <w:sz w:val="13"/>
        </w:rPr>
        <w:t></w:t>
      </w:r>
      <w:r>
        <w:rPr>
          <w:rFonts w:ascii="Times New Roman" w:eastAsia="Times New Roman" w:hAnsi="Times New Roman" w:cs="Times New Roman"/>
          <w:sz w:val="13"/>
        </w:rPr>
        <w:t>1</w:t>
      </w:r>
      <w:r>
        <w:rPr>
          <w:rFonts w:ascii="Segoe UI Symbol" w:eastAsia="Segoe UI Symbol" w:hAnsi="Segoe UI Symbol" w:cs="Segoe UI Symbol"/>
          <w:sz w:val="30"/>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 xml:space="preserve"> </w:t>
      </w:r>
      <w:r>
        <w:rPr>
          <w:rFonts w:ascii="Segoe UI Symbol" w:eastAsia="Segoe UI Symbol" w:hAnsi="Segoe UI Symbol" w:cs="Segoe UI Symbol"/>
          <w:sz w:val="30"/>
        </w:rPr>
        <w:t></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Segoe UI Symbol" w:eastAsia="Segoe UI Symbol" w:hAnsi="Segoe UI Symbol" w:cs="Segoe UI Symbol"/>
          <w:sz w:val="30"/>
        </w:rPr>
        <w:t></w:t>
      </w:r>
      <w:r>
        <w:rPr>
          <w:rFonts w:ascii="Times New Roman" w:eastAsia="Times New Roman" w:hAnsi="Times New Roman" w:cs="Times New Roman"/>
          <w:sz w:val="13"/>
        </w:rPr>
        <w:t xml:space="preserve">3 </w:t>
      </w:r>
      <w:r>
        <w:rPr>
          <w:rFonts w:ascii="Segoe UI Symbol" w:eastAsia="Segoe UI Symbol" w:hAnsi="Segoe UI Symbol" w:cs="Segoe UI Symbol"/>
          <w:sz w:val="23"/>
        </w:rPr>
        <w:t></w:t>
      </w:r>
      <w:r>
        <w:rPr>
          <w:rFonts w:ascii="Times New Roman" w:eastAsia="Times New Roman" w:hAnsi="Times New Roman" w:cs="Times New Roman"/>
          <w:sz w:val="24"/>
        </w:rPr>
        <w:t xml:space="preserve"> </w:t>
      </w:r>
    </w:p>
    <w:p w:rsidR="0052701D" w:rsidRDefault="00D40929">
      <w:pPr>
        <w:tabs>
          <w:tab w:val="center" w:pos="2040"/>
          <w:tab w:val="center" w:pos="4575"/>
        </w:tabs>
        <w:spacing w:after="441" w:line="265" w:lineRule="auto"/>
      </w:pPr>
      <w:r>
        <w:tab/>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Times New Roman" w:eastAsia="Times New Roman" w:hAnsi="Times New Roman" w:cs="Times New Roman"/>
          <w:sz w:val="13"/>
        </w:rPr>
        <w:t xml:space="preserve">0 </w:t>
      </w:r>
      <w:r>
        <w:rPr>
          <w:rFonts w:ascii="Segoe UI Symbol" w:eastAsia="Segoe UI Symbol" w:hAnsi="Segoe UI Symbol" w:cs="Segoe UI Symbol"/>
          <w:sz w:val="23"/>
        </w:rPr>
        <w:t></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Times New Roman" w:eastAsia="Times New Roman" w:hAnsi="Times New Roman" w:cs="Times New Roman"/>
          <w:i/>
          <w:sz w:val="23"/>
        </w:rPr>
        <w:t>z</w:t>
      </w:r>
      <w:r>
        <w:rPr>
          <w:rFonts w:ascii="Times New Roman" w:eastAsia="Times New Roman" w:hAnsi="Times New Roman" w:cs="Times New Roman"/>
          <w:i/>
          <w:sz w:val="13"/>
        </w:rPr>
        <w:t xml:space="preserve">k </w:t>
      </w:r>
      <w:r>
        <w:rPr>
          <w:rFonts w:ascii="Times New Roman" w:eastAsia="Times New Roman" w:hAnsi="Times New Roman" w:cs="Times New Roman"/>
          <w:sz w:val="13"/>
        </w:rPr>
        <w:t>1</w:t>
      </w:r>
      <w:r>
        <w:rPr>
          <w:rFonts w:ascii="Segoe UI Symbol" w:eastAsia="Segoe UI Symbol" w:hAnsi="Segoe UI Symbol" w:cs="Segoe UI Symbol"/>
          <w:sz w:val="30"/>
        </w:rPr>
        <w:t></w:t>
      </w:r>
      <w:r>
        <w:rPr>
          <w:rFonts w:ascii="Segoe UI Symbol" w:eastAsia="Segoe UI Symbol" w:hAnsi="Segoe UI Symbol" w:cs="Segoe UI Symbol"/>
          <w:sz w:val="23"/>
        </w:rPr>
        <w:t xml:space="preserve"> </w:t>
      </w:r>
      <w:r>
        <w:rPr>
          <w:rFonts w:ascii="Times New Roman" w:eastAsia="Times New Roman" w:hAnsi="Times New Roman" w:cs="Times New Roman"/>
          <w:sz w:val="23"/>
        </w:rPr>
        <w:t>2</w:t>
      </w:r>
      <w:r>
        <w:rPr>
          <w:rFonts w:ascii="Segoe UI Symbol" w:eastAsia="Segoe UI Symbol" w:hAnsi="Segoe UI Symbol" w:cs="Segoe UI Symbol"/>
          <w:sz w:val="30"/>
        </w:rPr>
        <w:t></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Segoe UI Symbol" w:eastAsia="Segoe UI Symbol" w:hAnsi="Segoe UI Symbol" w:cs="Segoe UI Symbol"/>
          <w:sz w:val="30"/>
        </w:rPr>
        <w:t xml:space="preserve"> </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Times New Roman" w:eastAsia="Times New Roman" w:hAnsi="Times New Roman" w:cs="Times New Roman"/>
          <w:sz w:val="13"/>
        </w:rPr>
        <w:t xml:space="preserve">0 </w:t>
      </w:r>
      <w:r>
        <w:rPr>
          <w:rFonts w:ascii="Segoe UI Symbol" w:eastAsia="Segoe UI Symbol" w:hAnsi="Segoe UI Symbol" w:cs="Segoe UI Symbol"/>
          <w:sz w:val="23"/>
        </w:rPr>
        <w:t></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Times New Roman" w:eastAsia="Times New Roman" w:hAnsi="Times New Roman" w:cs="Times New Roman"/>
          <w:i/>
          <w:sz w:val="23"/>
        </w:rPr>
        <w:t>z</w:t>
      </w:r>
      <w:r>
        <w:rPr>
          <w:rFonts w:ascii="Times New Roman" w:eastAsia="Times New Roman" w:hAnsi="Times New Roman" w:cs="Times New Roman"/>
          <w:i/>
          <w:sz w:val="13"/>
        </w:rPr>
        <w:t xml:space="preserve">k </w:t>
      </w:r>
      <w:r>
        <w:rPr>
          <w:rFonts w:ascii="Times New Roman" w:eastAsia="Times New Roman" w:hAnsi="Times New Roman" w:cs="Times New Roman"/>
          <w:sz w:val="13"/>
        </w:rPr>
        <w:t>1</w:t>
      </w:r>
      <w:r>
        <w:rPr>
          <w:rFonts w:ascii="Segoe UI Symbol" w:eastAsia="Segoe UI Symbol" w:hAnsi="Segoe UI Symbol" w:cs="Segoe UI Symbol"/>
          <w:sz w:val="30"/>
        </w:rPr>
        <w:t></w:t>
      </w:r>
      <w:r>
        <w:rPr>
          <w:rFonts w:ascii="Segoe UI Symbol" w:eastAsia="Segoe UI Symbol" w:hAnsi="Segoe UI Symbol" w:cs="Segoe UI Symbol"/>
          <w:sz w:val="30"/>
        </w:rPr>
        <w:tab/>
      </w:r>
      <w:r>
        <w:rPr>
          <w:rFonts w:ascii="Segoe UI Symbol" w:eastAsia="Segoe UI Symbol" w:hAnsi="Segoe UI Symbol" w:cs="Segoe UI Symbol"/>
          <w:sz w:val="30"/>
        </w:rPr>
        <w:t></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Segoe UI Symbol" w:eastAsia="Segoe UI Symbol" w:hAnsi="Segoe UI Symbol" w:cs="Segoe UI Symbol"/>
          <w:sz w:val="30"/>
        </w:rPr>
        <w:t xml:space="preserve"> </w:t>
      </w:r>
      <w:r>
        <w:rPr>
          <w:rFonts w:ascii="Segoe UI Symbol" w:eastAsia="Segoe UI Symbol" w:hAnsi="Segoe UI Symbol" w:cs="Segoe UI Symbol"/>
          <w:sz w:val="23"/>
        </w:rPr>
        <w:t></w:t>
      </w:r>
    </w:p>
    <w:p w:rsidR="0052701D" w:rsidRDefault="00D40929">
      <w:pPr>
        <w:spacing w:after="78"/>
        <w:ind w:left="33" w:hanging="10"/>
      </w:pPr>
      <w:r>
        <w:rPr>
          <w:noProof/>
        </w:rPr>
        <mc:AlternateContent>
          <mc:Choice Requires="wpg">
            <w:drawing>
              <wp:anchor distT="0" distB="0" distL="114300" distR="114300" simplePos="0" relativeHeight="251741184" behindDoc="0" locked="0" layoutInCell="1" allowOverlap="1">
                <wp:simplePos x="0" y="0"/>
                <wp:positionH relativeFrom="column">
                  <wp:posOffset>268257</wp:posOffset>
                </wp:positionH>
                <wp:positionV relativeFrom="paragraph">
                  <wp:posOffset>37302</wp:posOffset>
                </wp:positionV>
                <wp:extent cx="4465225" cy="5901"/>
                <wp:effectExtent l="0" t="0" r="0" b="0"/>
                <wp:wrapNone/>
                <wp:docPr id="919971" name="Group 919971"/>
                <wp:cNvGraphicFramePr/>
                <a:graphic xmlns:a="http://schemas.openxmlformats.org/drawingml/2006/main">
                  <a:graphicData uri="http://schemas.microsoft.com/office/word/2010/wordprocessingGroup">
                    <wpg:wgp>
                      <wpg:cNvGrpSpPr/>
                      <wpg:grpSpPr>
                        <a:xfrm>
                          <a:off x="0" y="0"/>
                          <a:ext cx="4465225" cy="5901"/>
                          <a:chOff x="0" y="0"/>
                          <a:chExt cx="4465225" cy="5901"/>
                        </a:xfrm>
                      </wpg:grpSpPr>
                      <wps:wsp>
                        <wps:cNvPr id="12774" name="Shape 12774"/>
                        <wps:cNvSpPr/>
                        <wps:spPr>
                          <a:xfrm>
                            <a:off x="0" y="0"/>
                            <a:ext cx="812181" cy="0"/>
                          </a:xfrm>
                          <a:custGeom>
                            <a:avLst/>
                            <a:gdLst/>
                            <a:ahLst/>
                            <a:cxnLst/>
                            <a:rect l="0" t="0" r="0" b="0"/>
                            <a:pathLst>
                              <a:path w="812181">
                                <a:moveTo>
                                  <a:pt x="0" y="0"/>
                                </a:moveTo>
                                <a:lnTo>
                                  <a:pt x="812181" y="0"/>
                                </a:lnTo>
                              </a:path>
                            </a:pathLst>
                          </a:custGeom>
                          <a:ln w="5901" cap="flat">
                            <a:round/>
                          </a:ln>
                        </wps:spPr>
                        <wps:style>
                          <a:lnRef idx="1">
                            <a:srgbClr val="000000"/>
                          </a:lnRef>
                          <a:fillRef idx="0">
                            <a:srgbClr val="000000">
                              <a:alpha val="0"/>
                            </a:srgbClr>
                          </a:fillRef>
                          <a:effectRef idx="0">
                            <a:scrgbClr r="0" g="0" b="0"/>
                          </a:effectRef>
                          <a:fontRef idx="none"/>
                        </wps:style>
                        <wps:bodyPr/>
                      </wps:wsp>
                      <wps:wsp>
                        <wps:cNvPr id="12781" name="Shape 12781"/>
                        <wps:cNvSpPr/>
                        <wps:spPr>
                          <a:xfrm>
                            <a:off x="965006" y="0"/>
                            <a:ext cx="1176677" cy="0"/>
                          </a:xfrm>
                          <a:custGeom>
                            <a:avLst/>
                            <a:gdLst/>
                            <a:ahLst/>
                            <a:cxnLst/>
                            <a:rect l="0" t="0" r="0" b="0"/>
                            <a:pathLst>
                              <a:path w="1176677">
                                <a:moveTo>
                                  <a:pt x="0" y="0"/>
                                </a:moveTo>
                                <a:lnTo>
                                  <a:pt x="1176677" y="0"/>
                                </a:lnTo>
                              </a:path>
                            </a:pathLst>
                          </a:custGeom>
                          <a:ln w="5901" cap="flat">
                            <a:round/>
                          </a:ln>
                        </wps:spPr>
                        <wps:style>
                          <a:lnRef idx="1">
                            <a:srgbClr val="000000"/>
                          </a:lnRef>
                          <a:fillRef idx="0">
                            <a:srgbClr val="000000">
                              <a:alpha val="0"/>
                            </a:srgbClr>
                          </a:fillRef>
                          <a:effectRef idx="0">
                            <a:scrgbClr r="0" g="0" b="0"/>
                          </a:effectRef>
                          <a:fontRef idx="none"/>
                        </wps:style>
                        <wps:bodyPr/>
                      </wps:wsp>
                      <wps:wsp>
                        <wps:cNvPr id="12784" name="Shape 12784"/>
                        <wps:cNvSpPr/>
                        <wps:spPr>
                          <a:xfrm>
                            <a:off x="2297376" y="0"/>
                            <a:ext cx="457135" cy="0"/>
                          </a:xfrm>
                          <a:custGeom>
                            <a:avLst/>
                            <a:gdLst/>
                            <a:ahLst/>
                            <a:cxnLst/>
                            <a:rect l="0" t="0" r="0" b="0"/>
                            <a:pathLst>
                              <a:path w="457135">
                                <a:moveTo>
                                  <a:pt x="0" y="0"/>
                                </a:moveTo>
                                <a:lnTo>
                                  <a:pt x="457135" y="0"/>
                                </a:lnTo>
                              </a:path>
                            </a:pathLst>
                          </a:custGeom>
                          <a:ln w="5901" cap="flat">
                            <a:round/>
                          </a:ln>
                        </wps:spPr>
                        <wps:style>
                          <a:lnRef idx="1">
                            <a:srgbClr val="000000"/>
                          </a:lnRef>
                          <a:fillRef idx="0">
                            <a:srgbClr val="000000">
                              <a:alpha val="0"/>
                            </a:srgbClr>
                          </a:fillRef>
                          <a:effectRef idx="0">
                            <a:scrgbClr r="0" g="0" b="0"/>
                          </a:effectRef>
                          <a:fontRef idx="none"/>
                        </wps:style>
                        <wps:bodyPr/>
                      </wps:wsp>
                      <wps:wsp>
                        <wps:cNvPr id="12787" name="Shape 12787"/>
                        <wps:cNvSpPr/>
                        <wps:spPr>
                          <a:xfrm>
                            <a:off x="2847850" y="0"/>
                            <a:ext cx="652357" cy="0"/>
                          </a:xfrm>
                          <a:custGeom>
                            <a:avLst/>
                            <a:gdLst/>
                            <a:ahLst/>
                            <a:cxnLst/>
                            <a:rect l="0" t="0" r="0" b="0"/>
                            <a:pathLst>
                              <a:path w="652357">
                                <a:moveTo>
                                  <a:pt x="0" y="0"/>
                                </a:moveTo>
                                <a:lnTo>
                                  <a:pt x="652357" y="0"/>
                                </a:lnTo>
                              </a:path>
                            </a:pathLst>
                          </a:custGeom>
                          <a:ln w="5901" cap="flat">
                            <a:round/>
                          </a:ln>
                        </wps:spPr>
                        <wps:style>
                          <a:lnRef idx="1">
                            <a:srgbClr val="000000"/>
                          </a:lnRef>
                          <a:fillRef idx="0">
                            <a:srgbClr val="000000">
                              <a:alpha val="0"/>
                            </a:srgbClr>
                          </a:fillRef>
                          <a:effectRef idx="0">
                            <a:scrgbClr r="0" g="0" b="0"/>
                          </a:effectRef>
                          <a:fontRef idx="none"/>
                        </wps:style>
                        <wps:bodyPr/>
                      </wps:wsp>
                      <wps:wsp>
                        <wps:cNvPr id="12790" name="Shape 12790"/>
                        <wps:cNvSpPr/>
                        <wps:spPr>
                          <a:xfrm>
                            <a:off x="3653350" y="0"/>
                            <a:ext cx="811875" cy="0"/>
                          </a:xfrm>
                          <a:custGeom>
                            <a:avLst/>
                            <a:gdLst/>
                            <a:ahLst/>
                            <a:cxnLst/>
                            <a:rect l="0" t="0" r="0" b="0"/>
                            <a:pathLst>
                              <a:path w="811875">
                                <a:moveTo>
                                  <a:pt x="0" y="0"/>
                                </a:moveTo>
                                <a:lnTo>
                                  <a:pt x="811875" y="0"/>
                                </a:lnTo>
                              </a:path>
                            </a:pathLst>
                          </a:custGeom>
                          <a:ln w="5901"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9971" style="width:351.593pt;height:0.464614pt;position:absolute;z-index:1032;mso-position-horizontal-relative:text;mso-position-horizontal:absolute;margin-left:21.1226pt;mso-position-vertical-relative:text;margin-top:2.93719pt;" coordsize="44652,59">
                <v:shape id="Shape 12774" style="position:absolute;width:8121;height:0;left:0;top:0;" coordsize="812181,0" path="m0,0l812181,0">
                  <v:stroke weight="0.464614pt" endcap="flat" joinstyle="round" on="true" color="#000000"/>
                  <v:fill on="false" color="#000000" opacity="0"/>
                </v:shape>
                <v:shape id="Shape 12781" style="position:absolute;width:11766;height:0;left:9650;top:0;" coordsize="1176677,0" path="m0,0l1176677,0">
                  <v:stroke weight="0.464614pt" endcap="flat" joinstyle="round" on="true" color="#000000"/>
                  <v:fill on="false" color="#000000" opacity="0"/>
                </v:shape>
                <v:shape id="Shape 12784" style="position:absolute;width:4571;height:0;left:22973;top:0;" coordsize="457135,0" path="m0,0l457135,0">
                  <v:stroke weight="0.464614pt" endcap="flat" joinstyle="round" on="true" color="#000000"/>
                  <v:fill on="false" color="#000000" opacity="0"/>
                </v:shape>
                <v:shape id="Shape 12787" style="position:absolute;width:6523;height:0;left:28478;top:0;" coordsize="652357,0" path="m0,0l652357,0">
                  <v:stroke weight="0.464614pt" endcap="flat" joinstyle="round" on="true" color="#000000"/>
                  <v:fill on="false" color="#000000" opacity="0"/>
                </v:shape>
                <v:shape id="Shape 12790" style="position:absolute;width:8118;height:0;left:36533;top:0;" coordsize="811875,0" path="m0,0l811875,0">
                  <v:stroke weight="0.464614pt" endcap="flat" joinstyle="round" on="true" color="#000000"/>
                  <v:fill on="false" color="#000000" opacity="0"/>
                </v:shape>
              </v:group>
            </w:pict>
          </mc:Fallback>
        </mc:AlternateContent>
      </w:r>
      <w:r>
        <w:rPr>
          <w:rFonts w:ascii="Segoe UI Symbol" w:eastAsia="Segoe UI Symbol" w:hAnsi="Segoe UI Symbol" w:cs="Segoe UI Symbol"/>
          <w:sz w:val="23"/>
        </w:rPr>
        <w:t></w:t>
      </w:r>
      <w:r>
        <w:rPr>
          <w:rFonts w:ascii="Times New Roman" w:eastAsia="Times New Roman" w:hAnsi="Times New Roman" w:cs="Times New Roman"/>
          <w:sz w:val="23"/>
        </w:rPr>
        <w:t xml:space="preserve">ln </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Segoe UI Symbol" w:eastAsia="Segoe UI Symbol" w:hAnsi="Segoe UI Symbol" w:cs="Segoe UI Symbol"/>
          <w:sz w:val="30"/>
        </w:rPr>
        <w:t></w:t>
      </w:r>
      <w:r>
        <w:rPr>
          <w:rFonts w:ascii="Times New Roman" w:eastAsia="Times New Roman" w:hAnsi="Times New Roman" w:cs="Times New Roman"/>
          <w:sz w:val="20"/>
          <w:vertAlign w:val="subscript"/>
        </w:rPr>
        <w:t>0</w:t>
      </w:r>
      <w:r>
        <w:rPr>
          <w:rFonts w:ascii="Times New Roman" w:eastAsia="Times New Roman" w:hAnsi="Times New Roman" w:cs="Times New Roman"/>
          <w:i/>
          <w:sz w:val="23"/>
        </w:rPr>
        <w:t>h</w:t>
      </w:r>
      <w:r>
        <w:rPr>
          <w:rFonts w:ascii="Times New Roman" w:eastAsia="Times New Roman" w:hAnsi="Times New Roman" w:cs="Times New Roman"/>
          <w:sz w:val="13"/>
        </w:rPr>
        <w:t>0</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Times New Roman" w:eastAsia="Times New Roman" w:hAnsi="Times New Roman" w:cs="Times New Roman"/>
          <w:i/>
          <w:sz w:val="23"/>
        </w:rPr>
        <w:t>z</w:t>
      </w:r>
      <w:r>
        <w:rPr>
          <w:rFonts w:ascii="Segoe UI Symbol" w:eastAsia="Segoe UI Symbol" w:hAnsi="Segoe UI Symbol" w:cs="Segoe UI Symbol"/>
          <w:sz w:val="13"/>
        </w:rPr>
        <w:t></w:t>
      </w:r>
      <w:r>
        <w:rPr>
          <w:rFonts w:ascii="Segoe UI Symbol" w:eastAsia="Segoe UI Symbol" w:hAnsi="Segoe UI Symbol" w:cs="Segoe UI Symbol"/>
          <w:sz w:val="30"/>
        </w:rPr>
        <w:t xml:space="preserve"> </w:t>
      </w:r>
      <w:r>
        <w:rPr>
          <w:rFonts w:ascii="Segoe UI Symbol" w:eastAsia="Segoe UI Symbol" w:hAnsi="Segoe UI Symbol" w:cs="Segoe UI Symbol"/>
          <w:sz w:val="23"/>
        </w:rPr>
        <w:t xml:space="preserve"> </w:t>
      </w:r>
      <w:r>
        <w:rPr>
          <w:rFonts w:ascii="Segoe UI Symbol" w:eastAsia="Segoe UI Symbol" w:hAnsi="Segoe UI Symbol" w:cs="Segoe UI Symbol"/>
          <w:sz w:val="30"/>
        </w:rPr>
        <w:t></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20"/>
          <w:vertAlign w:val="subscript"/>
        </w:rPr>
        <w:t>1</w:t>
      </w:r>
      <w:r>
        <w:rPr>
          <w:rFonts w:ascii="Times New Roman" w:eastAsia="Times New Roman" w:hAnsi="Times New Roman" w:cs="Times New Roman"/>
          <w:i/>
          <w:sz w:val="23"/>
        </w:rPr>
        <w:t>z</w:t>
      </w:r>
      <w:r>
        <w:rPr>
          <w:rFonts w:ascii="Segoe UI Symbol" w:eastAsia="Segoe UI Symbol" w:hAnsi="Segoe UI Symbol" w:cs="Segoe UI Symbol"/>
          <w:sz w:val="30"/>
        </w:rPr>
        <w:t></w:t>
      </w:r>
      <w:r>
        <w:rPr>
          <w:rFonts w:ascii="Times New Roman" w:eastAsia="Times New Roman" w:hAnsi="Times New Roman" w:cs="Times New Roman"/>
          <w:i/>
          <w:sz w:val="13"/>
        </w:rPr>
        <w:t>k</w:t>
      </w:r>
      <w:r>
        <w:rPr>
          <w:rFonts w:ascii="Segoe UI Symbol" w:eastAsia="Segoe UI Symbol" w:hAnsi="Segoe UI Symbol" w:cs="Segoe UI Symbol"/>
          <w:sz w:val="13"/>
        </w:rPr>
        <w:t></w:t>
      </w:r>
      <w:r>
        <w:rPr>
          <w:rFonts w:ascii="Times New Roman" w:eastAsia="Times New Roman" w:hAnsi="Times New Roman" w:cs="Times New Roman"/>
          <w:sz w:val="13"/>
        </w:rPr>
        <w:t>1</w:t>
      </w:r>
      <w:r>
        <w:rPr>
          <w:rFonts w:ascii="Segoe UI Symbol" w:eastAsia="Segoe UI Symbol" w:hAnsi="Segoe UI Symbol" w:cs="Segoe UI Symbol"/>
          <w:sz w:val="30"/>
        </w:rPr>
        <w:t></w:t>
      </w:r>
      <w:r>
        <w:rPr>
          <w:rFonts w:ascii="Times New Roman" w:eastAsia="Times New Roman" w:hAnsi="Times New Roman" w:cs="Times New Roman"/>
          <w:i/>
          <w:sz w:val="23"/>
        </w:rPr>
        <w:t xml:space="preserve">z </w:t>
      </w:r>
      <w:r>
        <w:rPr>
          <w:rFonts w:ascii="Segoe UI Symbol" w:eastAsia="Segoe UI Symbol" w:hAnsi="Segoe UI Symbol" w:cs="Segoe UI Symbol"/>
          <w:sz w:val="23"/>
        </w:rPr>
        <w:t xml:space="preserve"> </w:t>
      </w:r>
      <w:r>
        <w:rPr>
          <w:rFonts w:ascii="Times New Roman" w:eastAsia="Times New Roman" w:hAnsi="Times New Roman" w:cs="Times New Roman"/>
          <w:i/>
          <w:sz w:val="23"/>
        </w:rPr>
        <w:t>z</w:t>
      </w:r>
      <w:r>
        <w:rPr>
          <w:rFonts w:ascii="Times New Roman" w:eastAsia="Times New Roman" w:hAnsi="Times New Roman" w:cs="Times New Roman"/>
          <w:i/>
          <w:sz w:val="13"/>
        </w:rPr>
        <w:t>k</w:t>
      </w:r>
      <w:r>
        <w:rPr>
          <w:rFonts w:ascii="Segoe UI Symbol" w:eastAsia="Segoe UI Symbol" w:hAnsi="Segoe UI Symbol" w:cs="Segoe UI Symbol"/>
          <w:sz w:val="13"/>
        </w:rPr>
        <w:t></w:t>
      </w:r>
      <w:r>
        <w:rPr>
          <w:rFonts w:ascii="Times New Roman" w:eastAsia="Times New Roman" w:hAnsi="Times New Roman" w:cs="Times New Roman"/>
          <w:sz w:val="13"/>
        </w:rPr>
        <w:t>1</w:t>
      </w:r>
      <w:r>
        <w:rPr>
          <w:rFonts w:ascii="Segoe UI Symbol" w:eastAsia="Segoe UI Symbol" w:hAnsi="Segoe UI Symbol" w:cs="Segoe UI Symbol"/>
          <w:sz w:val="30"/>
        </w:rPr>
        <w:t></w:t>
      </w:r>
      <w:r>
        <w:rPr>
          <w:rFonts w:ascii="Segoe UI Symbol" w:eastAsia="Segoe UI Symbol" w:hAnsi="Segoe UI Symbol" w:cs="Segoe UI Symbol"/>
          <w:sz w:val="13"/>
        </w:rPr>
        <w:t xml:space="preserve"> </w:t>
      </w:r>
      <w:r>
        <w:rPr>
          <w:rFonts w:ascii="Times New Roman" w:eastAsia="Times New Roman" w:hAnsi="Times New Roman" w:cs="Times New Roman"/>
          <w:sz w:val="13"/>
        </w:rPr>
        <w:t xml:space="preserve">2 </w:t>
      </w:r>
      <w:r>
        <w:rPr>
          <w:rFonts w:ascii="Segoe UI Symbol" w:eastAsia="Segoe UI Symbol" w:hAnsi="Segoe UI Symbol" w:cs="Segoe UI Symbol"/>
          <w:sz w:val="23"/>
        </w:rPr>
        <w:t xml:space="preserve"> </w:t>
      </w:r>
      <w:r>
        <w:rPr>
          <w:rFonts w:ascii="Times New Roman" w:eastAsia="Times New Roman" w:hAnsi="Times New Roman" w:cs="Times New Roman"/>
          <w:i/>
          <w:sz w:val="23"/>
        </w:rPr>
        <w:t>z</w:t>
      </w:r>
      <w:r>
        <w:rPr>
          <w:rFonts w:ascii="Times New Roman" w:eastAsia="Times New Roman" w:hAnsi="Times New Roman" w:cs="Times New Roman"/>
          <w:i/>
          <w:sz w:val="13"/>
        </w:rPr>
        <w:t>k</w:t>
      </w:r>
      <w:r>
        <w:rPr>
          <w:rFonts w:ascii="Segoe UI Symbol" w:eastAsia="Segoe UI Symbol" w:hAnsi="Segoe UI Symbol" w:cs="Segoe UI Symbol"/>
          <w:sz w:val="13"/>
        </w:rPr>
        <w:t></w:t>
      </w:r>
      <w:r>
        <w:rPr>
          <w:rFonts w:ascii="Times New Roman" w:eastAsia="Times New Roman" w:hAnsi="Times New Roman" w:cs="Times New Roman"/>
          <w:sz w:val="13"/>
        </w:rPr>
        <w:t xml:space="preserve">1 2 </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Times New Roman" w:eastAsia="Times New Roman" w:hAnsi="Times New Roman" w:cs="Times New Roman"/>
          <w:sz w:val="13"/>
        </w:rPr>
        <w:t xml:space="preserve">0 </w:t>
      </w:r>
      <w:r>
        <w:rPr>
          <w:rFonts w:ascii="Segoe UI Symbol" w:eastAsia="Segoe UI Symbol" w:hAnsi="Segoe UI Symbol" w:cs="Segoe UI Symbol"/>
          <w:sz w:val="23"/>
        </w:rPr>
        <w:t></w:t>
      </w:r>
      <w:r>
        <w:rPr>
          <w:rFonts w:ascii="Times New Roman" w:eastAsia="Times New Roman" w:hAnsi="Times New Roman" w:cs="Times New Roman"/>
          <w:sz w:val="23"/>
        </w:rPr>
        <w:t>1</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Times New Roman" w:eastAsia="Times New Roman" w:hAnsi="Times New Roman" w:cs="Times New Roman"/>
          <w:i/>
          <w:sz w:val="23"/>
        </w:rPr>
        <w:t>z</w:t>
      </w:r>
      <w:r>
        <w:rPr>
          <w:rFonts w:ascii="Segoe UI Symbol" w:eastAsia="Segoe UI Symbol" w:hAnsi="Segoe UI Symbol" w:cs="Segoe UI Symbol"/>
          <w:sz w:val="30"/>
        </w:rPr>
        <w:t></w:t>
      </w:r>
      <w:r>
        <w:rPr>
          <w:rFonts w:ascii="Segoe UI Symbol" w:eastAsia="Segoe UI Symbol" w:hAnsi="Segoe UI Symbol" w:cs="Segoe UI Symbol"/>
          <w:sz w:val="23"/>
        </w:rPr>
        <w:t xml:space="preserve"> </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Times New Roman" w:eastAsia="Times New Roman" w:hAnsi="Times New Roman" w:cs="Times New Roman"/>
          <w:sz w:val="13"/>
        </w:rPr>
        <w:t xml:space="preserve">0 </w:t>
      </w:r>
      <w:r>
        <w:rPr>
          <w:rFonts w:ascii="Segoe UI Symbol" w:eastAsia="Segoe UI Symbol" w:hAnsi="Segoe UI Symbol" w:cs="Segoe UI Symbol"/>
          <w:sz w:val="23"/>
        </w:rPr>
        <w:t></w:t>
      </w:r>
      <w:r>
        <w:rPr>
          <w:rFonts w:ascii="Segoe UI Symbol" w:eastAsia="Segoe UI Symbol" w:hAnsi="Segoe UI Symbol" w:cs="Segoe UI Symbol"/>
          <w:sz w:val="24"/>
        </w:rPr>
        <w:t></w:t>
      </w:r>
      <w:r>
        <w:rPr>
          <w:rFonts w:ascii="Times New Roman" w:eastAsia="Times New Roman" w:hAnsi="Times New Roman" w:cs="Times New Roman"/>
          <w:sz w:val="23"/>
        </w:rPr>
        <w:t>1</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Times New Roman" w:eastAsia="Times New Roman" w:hAnsi="Times New Roman" w:cs="Times New Roman"/>
          <w:i/>
          <w:sz w:val="23"/>
        </w:rPr>
        <w:t>z</w:t>
      </w:r>
      <w:r>
        <w:rPr>
          <w:rFonts w:ascii="Times New Roman" w:eastAsia="Times New Roman" w:hAnsi="Times New Roman" w:cs="Times New Roman"/>
          <w:i/>
          <w:sz w:val="13"/>
        </w:rPr>
        <w:t>k</w:t>
      </w:r>
      <w:r>
        <w:rPr>
          <w:rFonts w:ascii="Segoe UI Symbol" w:eastAsia="Segoe UI Symbol" w:hAnsi="Segoe UI Symbol" w:cs="Segoe UI Symbol"/>
          <w:sz w:val="13"/>
        </w:rPr>
        <w:t></w:t>
      </w:r>
      <w:r>
        <w:rPr>
          <w:rFonts w:ascii="Times New Roman" w:eastAsia="Times New Roman" w:hAnsi="Times New Roman" w:cs="Times New Roman"/>
          <w:sz w:val="13"/>
        </w:rPr>
        <w:t>1</w:t>
      </w:r>
      <w:r>
        <w:rPr>
          <w:rFonts w:ascii="Segoe UI Symbol" w:eastAsia="Segoe UI Symbol" w:hAnsi="Segoe UI Symbol" w:cs="Segoe UI Symbol"/>
          <w:sz w:val="30"/>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Times New Roman" w:eastAsia="Times New Roman" w:hAnsi="Times New Roman" w:cs="Times New Roman"/>
          <w:sz w:val="24"/>
        </w:rPr>
        <w:t xml:space="preserve"> </w:t>
      </w:r>
    </w:p>
    <w:p w:rsidR="0052701D" w:rsidRDefault="00D40929">
      <w:pPr>
        <w:tabs>
          <w:tab w:val="center" w:pos="1390"/>
          <w:tab w:val="center" w:pos="3044"/>
          <w:tab w:val="center" w:pos="4478"/>
        </w:tabs>
        <w:spacing w:after="559" w:line="265" w:lineRule="auto"/>
      </w:pPr>
      <w:r>
        <w:lastRenderedPageBreak/>
        <w:tab/>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Times New Roman" w:eastAsia="Times New Roman" w:hAnsi="Times New Roman" w:cs="Times New Roman"/>
          <w:i/>
          <w:sz w:val="23"/>
        </w:rPr>
        <w:t>z</w:t>
      </w:r>
      <w:r>
        <w:rPr>
          <w:rFonts w:ascii="Times New Roman" w:eastAsia="Times New Roman" w:hAnsi="Times New Roman" w:cs="Times New Roman"/>
          <w:i/>
          <w:sz w:val="13"/>
        </w:rPr>
        <w:t xml:space="preserve">k </w:t>
      </w:r>
      <w:r>
        <w:rPr>
          <w:rFonts w:ascii="Times New Roman" w:eastAsia="Times New Roman" w:hAnsi="Times New Roman" w:cs="Times New Roman"/>
          <w:sz w:val="13"/>
        </w:rPr>
        <w:t>1</w:t>
      </w:r>
      <w:r>
        <w:rPr>
          <w:rFonts w:ascii="Segoe UI Symbol" w:eastAsia="Segoe UI Symbol" w:hAnsi="Segoe UI Symbol" w:cs="Segoe UI Symbol"/>
          <w:sz w:val="30"/>
        </w:rPr>
        <w:t></w:t>
      </w:r>
      <w:r>
        <w:rPr>
          <w:rFonts w:ascii="Segoe UI Symbol" w:eastAsia="Segoe UI Symbol" w:hAnsi="Segoe UI Symbol" w:cs="Segoe UI Symbol"/>
          <w:sz w:val="30"/>
        </w:rPr>
        <w:tab/>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Times New Roman" w:eastAsia="Times New Roman" w:hAnsi="Times New Roman" w:cs="Times New Roman"/>
          <w:sz w:val="13"/>
        </w:rPr>
        <w:t xml:space="preserve">0 </w:t>
      </w:r>
      <w:r>
        <w:rPr>
          <w:rFonts w:ascii="Segoe UI Symbol" w:eastAsia="Segoe UI Symbol" w:hAnsi="Segoe UI Symbol" w:cs="Segoe UI Symbol"/>
          <w:sz w:val="23"/>
        </w:rPr>
        <w:t></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Times New Roman" w:eastAsia="Times New Roman" w:hAnsi="Times New Roman" w:cs="Times New Roman"/>
          <w:i/>
          <w:sz w:val="23"/>
        </w:rPr>
        <w:t>z</w:t>
      </w:r>
      <w:r>
        <w:rPr>
          <w:rFonts w:ascii="Times New Roman" w:eastAsia="Times New Roman" w:hAnsi="Times New Roman" w:cs="Times New Roman"/>
          <w:i/>
          <w:sz w:val="13"/>
        </w:rPr>
        <w:t xml:space="preserve">k </w:t>
      </w:r>
      <w:r>
        <w:rPr>
          <w:rFonts w:ascii="Times New Roman" w:eastAsia="Times New Roman" w:hAnsi="Times New Roman" w:cs="Times New Roman"/>
          <w:sz w:val="13"/>
        </w:rPr>
        <w:t>1</w:t>
      </w:r>
      <w:r>
        <w:rPr>
          <w:rFonts w:ascii="Segoe UI Symbol" w:eastAsia="Segoe UI Symbol" w:hAnsi="Segoe UI Symbol" w:cs="Segoe UI Symbol"/>
          <w:sz w:val="30"/>
        </w:rPr>
        <w:t></w:t>
      </w:r>
      <w:r>
        <w:rPr>
          <w:rFonts w:ascii="Segoe UI Symbol" w:eastAsia="Segoe UI Symbol" w:hAnsi="Segoe UI Symbol" w:cs="Segoe UI Symbol"/>
          <w:sz w:val="30"/>
        </w:rPr>
        <w:tab/>
      </w:r>
      <w:r>
        <w:rPr>
          <w:rFonts w:ascii="Times New Roman" w:eastAsia="Times New Roman" w:hAnsi="Times New Roman" w:cs="Times New Roman"/>
          <w:sz w:val="23"/>
        </w:rPr>
        <w:t>2</w:t>
      </w:r>
      <w:r>
        <w:rPr>
          <w:rFonts w:ascii="Segoe UI Symbol" w:eastAsia="Segoe UI Symbol" w:hAnsi="Segoe UI Symbol" w:cs="Segoe UI Symbol"/>
          <w:sz w:val="30"/>
        </w:rPr>
        <w:t></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Segoe UI Symbol" w:eastAsia="Segoe UI Symbol" w:hAnsi="Segoe UI Symbol" w:cs="Segoe UI Symbol"/>
          <w:sz w:val="30"/>
        </w:rPr>
        <w:t xml:space="preserve"> </w:t>
      </w:r>
      <w:r>
        <w:rPr>
          <w:rFonts w:ascii="Segoe UI Symbol" w:eastAsia="Segoe UI Symbol" w:hAnsi="Segoe UI Symbol" w:cs="Segoe UI Symbol"/>
          <w:sz w:val="23"/>
        </w:rPr>
        <w:t></w:t>
      </w:r>
    </w:p>
    <w:p w:rsidR="0052701D" w:rsidRDefault="00D40929">
      <w:pPr>
        <w:spacing w:after="4" w:line="258" w:lineRule="auto"/>
        <w:ind w:left="33" w:hanging="10"/>
      </w:pPr>
      <w:r>
        <w:rPr>
          <w:rFonts w:ascii="Segoe UI Symbol" w:eastAsia="Segoe UI Symbol" w:hAnsi="Segoe UI Symbol" w:cs="Segoe UI Symbol"/>
          <w:sz w:val="24"/>
        </w:rPr>
        <w:t xml:space="preserve"> </w:t>
      </w:r>
      <w:r>
        <w:rPr>
          <w:noProof/>
        </w:rPr>
        <mc:AlternateContent>
          <mc:Choice Requires="wpg">
            <w:drawing>
              <wp:inline distT="0" distB="0" distL="0" distR="0">
                <wp:extent cx="1250681" cy="6147"/>
                <wp:effectExtent l="0" t="0" r="0" b="0"/>
                <wp:docPr id="919972" name="Group 919972"/>
                <wp:cNvGraphicFramePr/>
                <a:graphic xmlns:a="http://schemas.openxmlformats.org/drawingml/2006/main">
                  <a:graphicData uri="http://schemas.microsoft.com/office/word/2010/wordprocessingGroup">
                    <wpg:wgp>
                      <wpg:cNvGrpSpPr/>
                      <wpg:grpSpPr>
                        <a:xfrm>
                          <a:off x="0" y="0"/>
                          <a:ext cx="1250681" cy="6147"/>
                          <a:chOff x="0" y="0"/>
                          <a:chExt cx="1250681" cy="6147"/>
                        </a:xfrm>
                      </wpg:grpSpPr>
                      <wps:wsp>
                        <wps:cNvPr id="12879" name="Shape 12879"/>
                        <wps:cNvSpPr/>
                        <wps:spPr>
                          <a:xfrm>
                            <a:off x="0" y="0"/>
                            <a:ext cx="1250681" cy="0"/>
                          </a:xfrm>
                          <a:custGeom>
                            <a:avLst/>
                            <a:gdLst/>
                            <a:ahLst/>
                            <a:cxnLst/>
                            <a:rect l="0" t="0" r="0" b="0"/>
                            <a:pathLst>
                              <a:path w="1250681">
                                <a:moveTo>
                                  <a:pt x="0" y="0"/>
                                </a:moveTo>
                                <a:lnTo>
                                  <a:pt x="1250681" y="0"/>
                                </a:lnTo>
                              </a:path>
                            </a:pathLst>
                          </a:custGeom>
                          <a:ln w="614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9972" style="width:98.4788pt;height:0.483977pt;mso-position-horizontal-relative:char;mso-position-vertical-relative:line" coordsize="12506,61">
                <v:shape id="Shape 12879" style="position:absolute;width:12506;height:0;left:0;top:0;" coordsize="1250681,0" path="m0,0l1250681,0">
                  <v:stroke weight="0.483977pt" endcap="flat" joinstyle="round" on="true" color="#000000"/>
                  <v:fill on="false" color="#000000" opacity="0"/>
                </v:shape>
              </v:group>
            </w:pict>
          </mc:Fallback>
        </mc:AlternateContent>
      </w:r>
      <w:r>
        <w:rPr>
          <w:rFonts w:ascii="Times New Roman" w:eastAsia="Times New Roman" w:hAnsi="Times New Roman" w:cs="Times New Roman"/>
          <w:sz w:val="24"/>
        </w:rPr>
        <w:t>2</w:t>
      </w:r>
      <w:r>
        <w:rPr>
          <w:rFonts w:ascii="Segoe UI Symbol" w:eastAsia="Segoe UI Symbol" w:hAnsi="Segoe UI Symbol" w:cs="Segoe UI Symbol"/>
          <w:sz w:val="32"/>
        </w:rPr>
        <w:t></w:t>
      </w:r>
      <w:r>
        <w:rPr>
          <w:rFonts w:ascii="Segoe UI Symbol" w:eastAsia="Segoe UI Symbol" w:hAnsi="Segoe UI Symbol" w:cs="Segoe UI Symbol"/>
          <w:sz w:val="26"/>
        </w:rPr>
        <w:t></w:t>
      </w:r>
      <w:r>
        <w:rPr>
          <w:rFonts w:ascii="Times New Roman" w:eastAsia="Times New Roman" w:hAnsi="Times New Roman" w:cs="Times New Roman"/>
          <w:i/>
          <w:sz w:val="24"/>
        </w:rPr>
        <w:t>hz</w:t>
      </w:r>
      <w:r>
        <w:rPr>
          <w:rFonts w:ascii="Times New Roman" w:eastAsia="Times New Roman" w:hAnsi="Times New Roman" w:cs="Times New Roman"/>
          <w:i/>
          <w:sz w:val="14"/>
        </w:rPr>
        <w:t>k</w:t>
      </w:r>
      <w:r>
        <w:rPr>
          <w:rFonts w:ascii="Segoe UI Symbol" w:eastAsia="Segoe UI Symbol" w:hAnsi="Segoe UI Symbol" w:cs="Segoe UI Symbol"/>
          <w:sz w:val="32"/>
        </w:rPr>
        <w:t></w:t>
      </w:r>
      <w:r>
        <w:rPr>
          <w:rFonts w:ascii="Segoe UI Symbol" w:eastAsia="Segoe UI Symbol" w:hAnsi="Segoe UI Symbol" w:cs="Segoe UI Symbol"/>
          <w:sz w:val="14"/>
        </w:rPr>
        <w:t></w:t>
      </w:r>
      <w:r>
        <w:rPr>
          <w:rFonts w:ascii="Segoe UI Symbol" w:eastAsia="Segoe UI Symbol" w:hAnsi="Segoe UI Symbol" w:cs="Segoe UI Symbol"/>
          <w:sz w:val="32"/>
        </w:rPr>
        <w:t></w:t>
      </w:r>
      <w:r>
        <w:rPr>
          <w:rFonts w:ascii="Times New Roman" w:eastAsia="Times New Roman" w:hAnsi="Times New Roman" w:cs="Times New Roman"/>
          <w:sz w:val="14"/>
        </w:rPr>
        <w:t>1</w:t>
      </w:r>
      <w:r>
        <w:rPr>
          <w:rFonts w:ascii="Times New Roman" w:eastAsia="Times New Roman" w:hAnsi="Times New Roman" w:cs="Times New Roman"/>
          <w:i/>
          <w:sz w:val="24"/>
        </w:rPr>
        <w:t>h</w:t>
      </w:r>
      <w:r>
        <w:rPr>
          <w:rFonts w:ascii="Segoe UI Symbol" w:eastAsia="Segoe UI Symbol" w:hAnsi="Segoe UI Symbol" w:cs="Segoe UI Symbol"/>
          <w:sz w:val="32"/>
        </w:rPr>
        <w:t></w:t>
      </w:r>
      <w:r>
        <w:rPr>
          <w:rFonts w:ascii="Times New Roman" w:eastAsia="Times New Roman" w:hAnsi="Times New Roman" w:cs="Times New Roman"/>
          <w:vertAlign w:val="subscript"/>
        </w:rPr>
        <w:t>0</w:t>
      </w:r>
      <w:r>
        <w:rPr>
          <w:rFonts w:ascii="Times New Roman" w:eastAsia="Times New Roman" w:hAnsi="Times New Roman" w:cs="Times New Roman"/>
          <w:i/>
          <w:sz w:val="24"/>
        </w:rPr>
        <w:t>z</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i/>
          <w:sz w:val="24"/>
        </w:rPr>
        <w:t>zh</w:t>
      </w:r>
      <w:r>
        <w:rPr>
          <w:rFonts w:ascii="Times New Roman" w:eastAsia="Times New Roman" w:hAnsi="Times New Roman" w:cs="Times New Roman"/>
          <w:i/>
          <w:sz w:val="14"/>
        </w:rPr>
        <w:t>k</w:t>
      </w:r>
      <w:r>
        <w:rPr>
          <w:rFonts w:ascii="Segoe UI Symbol" w:eastAsia="Segoe UI Symbol" w:hAnsi="Segoe UI Symbol" w:cs="Segoe UI Symbol"/>
          <w:sz w:val="14"/>
        </w:rPr>
        <w:t></w:t>
      </w:r>
      <w:r>
        <w:rPr>
          <w:rFonts w:ascii="Times New Roman" w:eastAsia="Times New Roman" w:hAnsi="Times New Roman" w:cs="Times New Roman"/>
          <w:i/>
          <w:sz w:val="24"/>
        </w:rPr>
        <w:t>z</w:t>
      </w:r>
      <w:r>
        <w:rPr>
          <w:rFonts w:ascii="Times New Roman" w:eastAsia="Times New Roman" w:hAnsi="Times New Roman" w:cs="Times New Roman"/>
          <w:sz w:val="14"/>
        </w:rPr>
        <w:t>1</w:t>
      </w:r>
      <w:r>
        <w:rPr>
          <w:rFonts w:ascii="Segoe UI Symbol" w:eastAsia="Segoe UI Symbol" w:hAnsi="Segoe UI Symbol" w:cs="Segoe UI Symbol"/>
          <w:sz w:val="32"/>
        </w:rPr>
        <w:t></w:t>
      </w:r>
      <w:r>
        <w:rPr>
          <w:rFonts w:ascii="Segoe UI Symbol" w:eastAsia="Segoe UI Symbol" w:hAnsi="Segoe UI Symbol" w:cs="Segoe UI Symbol"/>
          <w:sz w:val="14"/>
        </w:rPr>
        <w:t xml:space="preserve"> </w:t>
      </w:r>
      <w:r>
        <w:rPr>
          <w:rFonts w:ascii="Segoe UI Symbol" w:eastAsia="Segoe UI Symbol" w:hAnsi="Segoe UI Symbol" w:cs="Segoe UI Symbol"/>
          <w:sz w:val="32"/>
        </w:rPr>
        <w:t></w:t>
      </w:r>
      <w:r>
        <w:rPr>
          <w:rFonts w:ascii="Times New Roman" w:eastAsia="Times New Roman" w:hAnsi="Times New Roman" w:cs="Times New Roman"/>
          <w:sz w:val="14"/>
        </w:rPr>
        <w:t xml:space="preserve">2 </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Times New Roman" w:eastAsia="Times New Roman" w:hAnsi="Times New Roman" w:cs="Times New Roman"/>
          <w:i/>
          <w:sz w:val="24"/>
        </w:rPr>
        <w:t>H</w:t>
      </w:r>
      <w:r>
        <w:rPr>
          <w:rFonts w:ascii="Segoe UI Symbol" w:eastAsia="Segoe UI Symbol" w:hAnsi="Segoe UI Symbol" w:cs="Segoe UI Symbol"/>
          <w:sz w:val="32"/>
        </w:rPr>
        <w:t></w:t>
      </w:r>
      <w:r>
        <w:rPr>
          <w:rFonts w:ascii="Times New Roman" w:eastAsia="Times New Roman" w:hAnsi="Times New Roman" w:cs="Times New Roman"/>
          <w:i/>
          <w:sz w:val="24"/>
        </w:rPr>
        <w:t xml:space="preserve">z </w:t>
      </w:r>
      <w:r>
        <w:rPr>
          <w:rFonts w:ascii="Segoe UI Symbol" w:eastAsia="Segoe UI Symbol" w:hAnsi="Segoe UI Symbol" w:cs="Segoe UI Symbol"/>
          <w:sz w:val="24"/>
        </w:rPr>
        <w:t xml:space="preserve"> </w:t>
      </w:r>
      <w:r>
        <w:rPr>
          <w:rFonts w:ascii="Times New Roman" w:eastAsia="Times New Roman" w:hAnsi="Times New Roman" w:cs="Times New Roman"/>
          <w:i/>
          <w:sz w:val="24"/>
        </w:rPr>
        <w:t>z</w:t>
      </w:r>
      <w:r>
        <w:rPr>
          <w:rFonts w:ascii="Times New Roman" w:eastAsia="Times New Roman" w:hAnsi="Times New Roman" w:cs="Times New Roman"/>
          <w:i/>
          <w:sz w:val="14"/>
        </w:rPr>
        <w:t>k</w:t>
      </w:r>
      <w:r>
        <w:rPr>
          <w:rFonts w:ascii="Segoe UI Symbol" w:eastAsia="Segoe UI Symbol" w:hAnsi="Segoe UI Symbol" w:cs="Segoe UI Symbol"/>
          <w:sz w:val="14"/>
        </w:rPr>
        <w:t></w:t>
      </w:r>
      <w:r>
        <w:rPr>
          <w:rFonts w:ascii="Times New Roman" w:eastAsia="Times New Roman" w:hAnsi="Times New Roman" w:cs="Times New Roman"/>
          <w:sz w:val="14"/>
        </w:rPr>
        <w:t>1</w:t>
      </w:r>
      <w:r>
        <w:rPr>
          <w:rFonts w:ascii="Segoe UI Symbol" w:eastAsia="Segoe UI Symbol" w:hAnsi="Segoe UI Symbol" w:cs="Segoe UI Symbol"/>
          <w:sz w:val="32"/>
        </w:rPr>
        <w:t></w:t>
      </w:r>
      <w:r>
        <w:rPr>
          <w:rFonts w:ascii="Times New Roman" w:eastAsia="Times New Roman" w:hAnsi="Times New Roman" w:cs="Times New Roman"/>
          <w:i/>
          <w:sz w:val="24"/>
        </w:rPr>
        <w:t>u</w:t>
      </w:r>
      <w:r>
        <w:rPr>
          <w:rFonts w:ascii="Segoe UI Symbol" w:eastAsia="Segoe UI Symbol" w:hAnsi="Segoe UI Symbol" w:cs="Segoe UI Symbol"/>
          <w:sz w:val="32"/>
        </w:rPr>
        <w:t></w:t>
      </w:r>
      <w:r>
        <w:rPr>
          <w:rFonts w:ascii="Times New Roman" w:eastAsia="Times New Roman" w:hAnsi="Times New Roman" w:cs="Times New Roman"/>
          <w:i/>
          <w:sz w:val="24"/>
        </w:rPr>
        <w:t>z</w:t>
      </w:r>
      <w:r>
        <w:rPr>
          <w:rFonts w:ascii="Times New Roman" w:eastAsia="Times New Roman" w:hAnsi="Times New Roman" w:cs="Times New Roman"/>
          <w:i/>
          <w:sz w:val="14"/>
        </w:rPr>
        <w:t>k</w:t>
      </w:r>
      <w:r>
        <w:rPr>
          <w:rFonts w:ascii="Segoe UI Symbol" w:eastAsia="Segoe UI Symbol" w:hAnsi="Segoe UI Symbol" w:cs="Segoe UI Symbol"/>
          <w:sz w:val="14"/>
        </w:rPr>
        <w:t></w:t>
      </w:r>
      <w:r>
        <w:rPr>
          <w:rFonts w:ascii="Times New Roman" w:eastAsia="Times New Roman" w:hAnsi="Times New Roman" w:cs="Times New Roman"/>
          <w:sz w:val="14"/>
        </w:rPr>
        <w:t>1</w:t>
      </w:r>
      <w:r>
        <w:rPr>
          <w:rFonts w:ascii="Segoe UI Symbol" w:eastAsia="Segoe UI Symbol" w:hAnsi="Segoe UI Symbol" w:cs="Segoe UI Symbol"/>
          <w:sz w:val="32"/>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37"/>
          <w:vertAlign w:val="subscript"/>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Times New Roman" w:eastAsia="Times New Roman" w:hAnsi="Times New Roman" w:cs="Times New Roman"/>
          <w:sz w:val="24"/>
        </w:rPr>
        <w:t xml:space="preserve">6 </w:t>
      </w:r>
      <w:r>
        <w:rPr>
          <w:rFonts w:ascii="Times New Roman" w:eastAsia="Times New Roman" w:hAnsi="Times New Roman" w:cs="Times New Roman"/>
          <w:i/>
          <w:sz w:val="24"/>
        </w:rPr>
        <w:t>E</w:t>
      </w:r>
      <w:r>
        <w:rPr>
          <w:rFonts w:ascii="Segoe UI Symbol" w:eastAsia="Segoe UI Symbol" w:hAnsi="Segoe UI Symbol" w:cs="Segoe UI Symbol"/>
          <w:sz w:val="39"/>
          <w:u w:val="single" w:color="000000"/>
        </w:rPr>
        <w:t></w:t>
      </w:r>
      <w:r>
        <w:rPr>
          <w:rFonts w:ascii="Times New Roman" w:eastAsia="Times New Roman" w:hAnsi="Times New Roman" w:cs="Times New Roman"/>
          <w:sz w:val="24"/>
        </w:rPr>
        <w:t>1</w:t>
      </w:r>
      <w:r>
        <w:rPr>
          <w:rFonts w:ascii="Segoe UI Symbol" w:eastAsia="Segoe UI Symbol" w:hAnsi="Segoe UI Symbol" w:cs="Segoe UI Symbol"/>
          <w:sz w:val="32"/>
        </w:rPr>
        <w:t></w:t>
      </w:r>
      <w:r>
        <w:rPr>
          <w:rFonts w:ascii="Segoe UI Symbol" w:eastAsia="Segoe UI Symbol" w:hAnsi="Segoe UI Symbol" w:cs="Segoe UI Symbol"/>
          <w:sz w:val="26"/>
        </w:rPr>
        <w:t></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vertAlign w:val="superscript"/>
        </w:rPr>
        <w:t>2</w:t>
      </w:r>
      <w:r>
        <w:rPr>
          <w:rFonts w:ascii="Segoe UI Symbol" w:eastAsia="Segoe UI Symbol" w:hAnsi="Segoe UI Symbol" w:cs="Segoe UI Symbol"/>
          <w:sz w:val="32"/>
        </w:rPr>
        <w:t></w:t>
      </w:r>
      <w:r>
        <w:rPr>
          <w:rFonts w:ascii="Times New Roman" w:eastAsia="Times New Roman" w:hAnsi="Times New Roman" w:cs="Times New Roman"/>
          <w:sz w:val="14"/>
        </w:rPr>
        <w:t>3</w:t>
      </w:r>
      <w:r>
        <w:rPr>
          <w:rFonts w:ascii="Segoe UI Symbol" w:eastAsia="Segoe UI Symbol" w:hAnsi="Segoe UI Symbol" w:cs="Segoe UI Symbol"/>
          <w:sz w:val="39"/>
          <w:u w:val="single" w:color="000000"/>
        </w:rPr>
        <w:t xml:space="preserve"> </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noProof/>
        </w:rPr>
        <mc:AlternateContent>
          <mc:Choice Requires="wpg">
            <w:drawing>
              <wp:inline distT="0" distB="0" distL="0" distR="0">
                <wp:extent cx="650022" cy="6147"/>
                <wp:effectExtent l="0" t="0" r="0" b="0"/>
                <wp:docPr id="919973" name="Group 919973"/>
                <wp:cNvGraphicFramePr/>
                <a:graphic xmlns:a="http://schemas.openxmlformats.org/drawingml/2006/main">
                  <a:graphicData uri="http://schemas.microsoft.com/office/word/2010/wordprocessingGroup">
                    <wpg:wgp>
                      <wpg:cNvGrpSpPr/>
                      <wpg:grpSpPr>
                        <a:xfrm>
                          <a:off x="0" y="0"/>
                          <a:ext cx="650022" cy="6147"/>
                          <a:chOff x="0" y="0"/>
                          <a:chExt cx="650022" cy="6147"/>
                        </a:xfrm>
                      </wpg:grpSpPr>
                      <wps:wsp>
                        <wps:cNvPr id="12891" name="Shape 12891"/>
                        <wps:cNvSpPr/>
                        <wps:spPr>
                          <a:xfrm>
                            <a:off x="0" y="0"/>
                            <a:ext cx="650022" cy="0"/>
                          </a:xfrm>
                          <a:custGeom>
                            <a:avLst/>
                            <a:gdLst/>
                            <a:ahLst/>
                            <a:cxnLst/>
                            <a:rect l="0" t="0" r="0" b="0"/>
                            <a:pathLst>
                              <a:path w="650022">
                                <a:moveTo>
                                  <a:pt x="0" y="0"/>
                                </a:moveTo>
                                <a:lnTo>
                                  <a:pt x="650022" y="0"/>
                                </a:lnTo>
                              </a:path>
                            </a:pathLst>
                          </a:custGeom>
                          <a:ln w="614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9973" style="width:51.1828pt;height:0.483977pt;mso-position-horizontal-relative:char;mso-position-vertical-relative:line" coordsize="6500,61">
                <v:shape id="Shape 12891" style="position:absolute;width:6500;height:0;left:0;top:0;" coordsize="650022,0" path="m0,0l650022,0">
                  <v:stroke weight="0.483977pt" endcap="flat" joinstyle="round" on="true" color="#000000"/>
                  <v:fill on="false" color="#000000" opacity="0"/>
                </v:shape>
              </v:group>
            </w:pict>
          </mc:Fallback>
        </mc:AlternateConten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Times New Roman" w:eastAsia="Times New Roman" w:hAnsi="Times New Roman" w:cs="Times New Roman"/>
          <w:i/>
          <w:sz w:val="24"/>
        </w:rPr>
        <w:t>h</w:t>
      </w:r>
      <w:r>
        <w:rPr>
          <w:rFonts w:ascii="Segoe UI Symbol" w:eastAsia="Segoe UI Symbol" w:hAnsi="Segoe UI Symbol" w:cs="Segoe UI Symbol"/>
          <w:sz w:val="26"/>
        </w:rPr>
        <w:t></w:t>
      </w:r>
      <w:r>
        <w:rPr>
          <w:rFonts w:ascii="Times New Roman" w:eastAsia="Times New Roman" w:hAnsi="Times New Roman" w:cs="Times New Roman"/>
          <w:sz w:val="14"/>
        </w:rPr>
        <w:t xml:space="preserve">0 </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z</w:t>
      </w:r>
      <w:r>
        <w:rPr>
          <w:rFonts w:ascii="Segoe UI Symbol" w:eastAsia="Segoe UI Symbol" w:hAnsi="Segoe UI Symbol" w:cs="Segoe UI Symbol"/>
          <w:sz w:val="32"/>
        </w:rPr>
        <w:t></w:t>
      </w:r>
      <w:r>
        <w:rPr>
          <w:rFonts w:ascii="Segoe UI Symbol" w:eastAsia="Segoe UI Symbol" w:hAnsi="Segoe UI Symbol" w:cs="Segoe UI Symbol"/>
          <w:sz w:val="24"/>
        </w:rPr>
        <w:t xml:space="preserve"> </w:t>
      </w:r>
      <w:r>
        <w:rPr>
          <w:rFonts w:ascii="Times New Roman" w:eastAsia="Times New Roman" w:hAnsi="Times New Roman" w:cs="Times New Roman"/>
          <w:sz w:val="24"/>
        </w:rPr>
        <w:t>2ln</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z</w:t>
      </w:r>
      <w:r>
        <w:rPr>
          <w:rFonts w:ascii="Segoe UI Symbol" w:eastAsia="Segoe UI Symbol" w:hAnsi="Segoe UI Symbol" w:cs="Segoe UI Symbol"/>
          <w:sz w:val="32"/>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Times New Roman" w:eastAsia="Times New Roman" w:hAnsi="Times New Roman" w:cs="Times New Roman"/>
          <w:i/>
          <w:sz w:val="24"/>
        </w:rPr>
        <w:t>A</w:t>
      </w:r>
      <w:r>
        <w:rPr>
          <w:rFonts w:ascii="Segoe UI Symbol" w:eastAsia="Segoe UI Symbol" w:hAnsi="Segoe UI Symbol" w:cs="Segoe UI Symbol"/>
          <w:sz w:val="24"/>
        </w:rPr>
        <w:t></w:t>
      </w:r>
      <w:r>
        <w:rPr>
          <w:rFonts w:ascii="Times New Roman" w:eastAsia="Times New Roman" w:hAnsi="Times New Roman" w:cs="Times New Roman"/>
          <w:sz w:val="24"/>
        </w:rPr>
        <w:t xml:space="preserve"> </w:t>
      </w:r>
    </w:p>
    <w:p w:rsidR="0052701D" w:rsidRDefault="00D40929">
      <w:pPr>
        <w:numPr>
          <w:ilvl w:val="1"/>
          <w:numId w:val="8"/>
        </w:numPr>
        <w:spacing w:after="80"/>
        <w:ind w:firstLine="611"/>
      </w:pPr>
      <w:r>
        <w:rPr>
          <w:rFonts w:ascii="Times New Roman" w:eastAsia="Times New Roman" w:hAnsi="Times New Roman" w:cs="Times New Roman"/>
          <w:sz w:val="14"/>
        </w:rPr>
        <w:t xml:space="preserve">1 </w:t>
      </w:r>
      <w:r>
        <w:rPr>
          <w:rFonts w:ascii="Times New Roman" w:eastAsia="Times New Roman" w:hAnsi="Times New Roman" w:cs="Times New Roman"/>
          <w:i/>
          <w:sz w:val="14"/>
        </w:rPr>
        <w:t xml:space="preserve">k </w:t>
      </w:r>
      <w:r>
        <w:rPr>
          <w:rFonts w:ascii="Times New Roman" w:eastAsia="Times New Roman" w:hAnsi="Times New Roman" w:cs="Times New Roman"/>
          <w:sz w:val="14"/>
        </w:rPr>
        <w:t xml:space="preserve">1 </w:t>
      </w:r>
      <w:r>
        <w:rPr>
          <w:rFonts w:ascii="Segoe UI Symbol" w:eastAsia="Segoe UI Symbol" w:hAnsi="Segoe UI Symbol" w:cs="Segoe UI Symbol"/>
          <w:sz w:val="24"/>
        </w:rPr>
        <w:t xml:space="preserve"> </w:t>
      </w:r>
      <w:r>
        <w:rPr>
          <w:rFonts w:ascii="Segoe UI Symbol" w:eastAsia="Segoe UI Symbol" w:hAnsi="Segoe UI Symbol" w:cs="Segoe UI Symbol"/>
          <w:sz w:val="23"/>
        </w:rPr>
        <w:t xml:space="preserve"> </w:t>
      </w:r>
      <w:r>
        <w:rPr>
          <w:rFonts w:ascii="Times New Roman" w:eastAsia="Times New Roman" w:hAnsi="Times New Roman" w:cs="Times New Roman"/>
          <w:sz w:val="23"/>
        </w:rPr>
        <w:t xml:space="preserve">6 </w:t>
      </w:r>
      <w:r>
        <w:rPr>
          <w:noProof/>
        </w:rPr>
        <mc:AlternateContent>
          <mc:Choice Requires="wpg">
            <w:drawing>
              <wp:inline distT="0" distB="0" distL="0" distR="0">
                <wp:extent cx="1130745" cy="5901"/>
                <wp:effectExtent l="0" t="0" r="0" b="0"/>
                <wp:docPr id="919974" name="Group 919974"/>
                <wp:cNvGraphicFramePr/>
                <a:graphic xmlns:a="http://schemas.openxmlformats.org/drawingml/2006/main">
                  <a:graphicData uri="http://schemas.microsoft.com/office/word/2010/wordprocessingGroup">
                    <wpg:wgp>
                      <wpg:cNvGrpSpPr/>
                      <wpg:grpSpPr>
                        <a:xfrm>
                          <a:off x="0" y="0"/>
                          <a:ext cx="1130745" cy="5901"/>
                          <a:chOff x="0" y="0"/>
                          <a:chExt cx="1130745" cy="5901"/>
                        </a:xfrm>
                      </wpg:grpSpPr>
                      <wps:wsp>
                        <wps:cNvPr id="12986" name="Shape 12986"/>
                        <wps:cNvSpPr/>
                        <wps:spPr>
                          <a:xfrm>
                            <a:off x="0" y="0"/>
                            <a:ext cx="1130745" cy="0"/>
                          </a:xfrm>
                          <a:custGeom>
                            <a:avLst/>
                            <a:gdLst/>
                            <a:ahLst/>
                            <a:cxnLst/>
                            <a:rect l="0" t="0" r="0" b="0"/>
                            <a:pathLst>
                              <a:path w="1130745">
                                <a:moveTo>
                                  <a:pt x="0" y="0"/>
                                </a:moveTo>
                                <a:lnTo>
                                  <a:pt x="1130745" y="0"/>
                                </a:lnTo>
                              </a:path>
                            </a:pathLst>
                          </a:custGeom>
                          <a:ln w="590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9974" style="width:89.035pt;height:0.464614pt;mso-position-horizontal-relative:char;mso-position-vertical-relative:line" coordsize="11307,59">
                <v:shape id="Shape 12986" style="position:absolute;width:11307;height:0;left:0;top:0;" coordsize="1130745,0" path="m0,0l1130745,0">
                  <v:stroke weight="0.464614pt" endcap="flat" joinstyle="round" on="true" color="#000000"/>
                  <v:fill on="false" color="#000000" opacity="0"/>
                </v:shape>
              </v:group>
            </w:pict>
          </mc:Fallback>
        </mc:AlternateContent>
      </w:r>
      <w:r>
        <w:rPr>
          <w:rFonts w:ascii="Times New Roman" w:eastAsia="Times New Roman" w:hAnsi="Times New Roman" w:cs="Times New Roman"/>
          <w:i/>
          <w:sz w:val="23"/>
        </w:rPr>
        <w:t>E</w:t>
      </w:r>
      <w:r>
        <w:rPr>
          <w:rFonts w:ascii="Segoe UI Symbol" w:eastAsia="Segoe UI Symbol" w:hAnsi="Segoe UI Symbol" w:cs="Segoe UI Symbol"/>
          <w:sz w:val="30"/>
        </w:rPr>
        <w:t></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20"/>
          <w:vertAlign w:val="subscript"/>
        </w:rPr>
        <w:t>1</w:t>
      </w:r>
      <w:r>
        <w:rPr>
          <w:rFonts w:ascii="Segoe UI Symbol" w:eastAsia="Segoe UI Symbol" w:hAnsi="Segoe UI Symbol" w:cs="Segoe UI Symbol"/>
          <w:sz w:val="30"/>
        </w:rPr>
        <w:t></w:t>
      </w:r>
      <w:r>
        <w:rPr>
          <w:rFonts w:ascii="Times New Roman" w:eastAsia="Times New Roman" w:hAnsi="Times New Roman" w:cs="Times New Roman"/>
          <w:sz w:val="13"/>
        </w:rPr>
        <w:t>2</w:t>
      </w:r>
      <w:r>
        <w:rPr>
          <w:rFonts w:ascii="Segoe UI Symbol" w:eastAsia="Segoe UI Symbol" w:hAnsi="Segoe UI Symbol" w:cs="Segoe UI Symbol"/>
          <w:sz w:val="23"/>
        </w:rPr>
        <w:t></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Segoe UI Symbol" w:eastAsia="Segoe UI Symbol" w:hAnsi="Segoe UI Symbol" w:cs="Segoe UI Symbol"/>
          <w:sz w:val="24"/>
        </w:rPr>
        <w:t></w:t>
      </w:r>
      <w:r>
        <w:rPr>
          <w:rFonts w:ascii="Times New Roman" w:eastAsia="Times New Roman" w:hAnsi="Times New Roman" w:cs="Times New Roman"/>
          <w:sz w:val="20"/>
          <w:vertAlign w:val="subscript"/>
        </w:rPr>
        <w:t>0</w:t>
      </w:r>
      <w:r>
        <w:rPr>
          <w:rFonts w:ascii="Times New Roman" w:eastAsia="Times New Roman" w:hAnsi="Times New Roman" w:cs="Times New Roman"/>
          <w:sz w:val="13"/>
        </w:rPr>
        <w:t>2</w:t>
      </w:r>
      <w:r>
        <w:rPr>
          <w:rFonts w:ascii="Segoe UI Symbol" w:eastAsia="Segoe UI Symbol" w:hAnsi="Segoe UI Symbol" w:cs="Segoe UI Symbol"/>
          <w:sz w:val="23"/>
        </w:rPr>
        <w:t></w:t>
      </w:r>
      <w:r>
        <w:rPr>
          <w:rFonts w:ascii="Segoe UI Symbol" w:eastAsia="Segoe UI Symbol" w:hAnsi="Segoe UI Symbol" w:cs="Segoe UI Symbol"/>
          <w:sz w:val="36"/>
        </w:rPr>
        <w:t></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20"/>
          <w:vertAlign w:val="subscript"/>
        </w:rPr>
        <w:t>1</w:t>
      </w:r>
      <w:r>
        <w:rPr>
          <w:rFonts w:ascii="Times New Roman" w:eastAsia="Times New Roman" w:hAnsi="Times New Roman" w:cs="Times New Roman"/>
          <w:i/>
          <w:sz w:val="23"/>
        </w:rPr>
        <w:t>z</w:t>
      </w:r>
      <w:r>
        <w:rPr>
          <w:rFonts w:ascii="Segoe UI Symbol" w:eastAsia="Segoe UI Symbol" w:hAnsi="Segoe UI Symbol" w:cs="Segoe UI Symbol"/>
          <w:sz w:val="30"/>
        </w:rPr>
        <w:t></w:t>
      </w:r>
      <w:r>
        <w:rPr>
          <w:rFonts w:ascii="Times New Roman" w:eastAsia="Times New Roman" w:hAnsi="Times New Roman" w:cs="Times New Roman"/>
          <w:i/>
          <w:sz w:val="23"/>
        </w:rPr>
        <w:t xml:space="preserve">B </w:t>
      </w:r>
      <w:r>
        <w:rPr>
          <w:rFonts w:ascii="Segoe UI Symbol" w:eastAsia="Segoe UI Symbol" w:hAnsi="Segoe UI Symbol" w:cs="Segoe UI Symbol"/>
          <w:sz w:val="23"/>
        </w:rPr>
        <w:t></w:t>
      </w:r>
      <w:r>
        <w:rPr>
          <w:rFonts w:ascii="Times New Roman" w:eastAsia="Times New Roman" w:hAnsi="Times New Roman" w:cs="Times New Roman"/>
          <w:i/>
          <w:sz w:val="23"/>
        </w:rPr>
        <w:t xml:space="preserve">Cz </w:t>
      </w:r>
      <w:r>
        <w:rPr>
          <w:rFonts w:ascii="Segoe UI Symbol" w:eastAsia="Segoe UI Symbol" w:hAnsi="Segoe UI Symbol" w:cs="Segoe UI Symbol"/>
          <w:sz w:val="23"/>
        </w:rPr>
        <w:t></w:t>
      </w:r>
      <w:r>
        <w:rPr>
          <w:rFonts w:ascii="Segoe UI Symbol" w:eastAsia="Segoe UI Symbol" w:hAnsi="Segoe UI Symbol" w:cs="Segoe UI Symbol"/>
          <w:sz w:val="24"/>
        </w:rPr>
        <w:t></w:t>
      </w:r>
      <w:r>
        <w:rPr>
          <w:rFonts w:ascii="Segoe UI Symbol" w:eastAsia="Segoe UI Symbol" w:hAnsi="Segoe UI Symbol" w:cs="Segoe UI Symbol"/>
          <w:sz w:val="30"/>
        </w:rPr>
        <w:t></w:t>
      </w:r>
      <w:r>
        <w:rPr>
          <w:rFonts w:ascii="Times New Roman" w:eastAsia="Times New Roman" w:hAnsi="Times New Roman" w:cs="Times New Roman"/>
          <w:sz w:val="23"/>
        </w:rPr>
        <w:t>1</w:t>
      </w:r>
      <w:r>
        <w:rPr>
          <w:rFonts w:ascii="Segoe UI Symbol" w:eastAsia="Segoe UI Symbol" w:hAnsi="Segoe UI Symbol" w:cs="Segoe UI Symbol"/>
          <w:sz w:val="23"/>
        </w:rPr>
        <w:t></w:t>
      </w:r>
      <w:r>
        <w:rPr>
          <w:rFonts w:ascii="Segoe UI Symbol" w:eastAsia="Segoe UI Symbol" w:hAnsi="Segoe UI Symbol" w:cs="Segoe UI Symbol"/>
          <w:sz w:val="24"/>
        </w:rPr>
        <w:t></w:t>
      </w:r>
      <w:r>
        <w:rPr>
          <w:rFonts w:ascii="Segoe UI Symbol" w:eastAsia="Segoe UI Symbol" w:hAnsi="Segoe UI Symbol" w:cs="Segoe UI Symbol"/>
          <w:sz w:val="30"/>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4"/>
        </w:rPr>
        <w:t></w:t>
      </w:r>
      <w:r>
        <w:rPr>
          <w:rFonts w:ascii="Times New Roman" w:eastAsia="Times New Roman" w:hAnsi="Times New Roman" w:cs="Times New Roman"/>
          <w:sz w:val="13"/>
        </w:rPr>
        <w:t xml:space="preserve">0 </w:t>
      </w:r>
      <w:r>
        <w:rPr>
          <w:noProof/>
        </w:rPr>
        <mc:AlternateContent>
          <mc:Choice Requires="wpg">
            <w:drawing>
              <wp:inline distT="0" distB="0" distL="0" distR="0">
                <wp:extent cx="779352" cy="5901"/>
                <wp:effectExtent l="0" t="0" r="0" b="0"/>
                <wp:docPr id="919975" name="Group 919975"/>
                <wp:cNvGraphicFramePr/>
                <a:graphic xmlns:a="http://schemas.openxmlformats.org/drawingml/2006/main">
                  <a:graphicData uri="http://schemas.microsoft.com/office/word/2010/wordprocessingGroup">
                    <wpg:wgp>
                      <wpg:cNvGrpSpPr/>
                      <wpg:grpSpPr>
                        <a:xfrm>
                          <a:off x="0" y="0"/>
                          <a:ext cx="779352" cy="5901"/>
                          <a:chOff x="0" y="0"/>
                          <a:chExt cx="779352" cy="5901"/>
                        </a:xfrm>
                      </wpg:grpSpPr>
                      <wps:wsp>
                        <wps:cNvPr id="12993" name="Shape 12993"/>
                        <wps:cNvSpPr/>
                        <wps:spPr>
                          <a:xfrm>
                            <a:off x="0" y="0"/>
                            <a:ext cx="779352" cy="0"/>
                          </a:xfrm>
                          <a:custGeom>
                            <a:avLst/>
                            <a:gdLst/>
                            <a:ahLst/>
                            <a:cxnLst/>
                            <a:rect l="0" t="0" r="0" b="0"/>
                            <a:pathLst>
                              <a:path w="779352">
                                <a:moveTo>
                                  <a:pt x="0" y="0"/>
                                </a:moveTo>
                                <a:lnTo>
                                  <a:pt x="779352" y="0"/>
                                </a:lnTo>
                              </a:path>
                            </a:pathLst>
                          </a:custGeom>
                          <a:ln w="590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9975" style="width:61.3663pt;height:0.464614pt;mso-position-horizontal-relative:char;mso-position-vertical-relative:line" coordsize="7793,59">
                <v:shape id="Shape 12993" style="position:absolute;width:7793;height:0;left:0;top:0;" coordsize="779352,0" path="m0,0l779352,0">
                  <v:stroke weight="0.464614pt" endcap="flat" joinstyle="round" on="true" color="#000000"/>
                  <v:fill on="false" color="#000000" opacity="0"/>
                </v:shape>
              </v:group>
            </w:pict>
          </mc:Fallback>
        </mc:AlternateContent>
      </w:r>
      <w:r>
        <w:rPr>
          <w:rFonts w:ascii="Times New Roman" w:eastAsia="Times New Roman" w:hAnsi="Times New Roman" w:cs="Times New Roman"/>
          <w:sz w:val="23"/>
        </w:rPr>
        <w:t>ln</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Segoe UI Symbol" w:eastAsia="Segoe UI Symbol" w:hAnsi="Segoe UI Symbol" w:cs="Segoe UI Symbol"/>
          <w:sz w:val="30"/>
        </w:rPr>
        <w:t></w:t>
      </w:r>
      <w:r>
        <w:rPr>
          <w:rFonts w:ascii="Times New Roman" w:eastAsia="Times New Roman" w:hAnsi="Times New Roman" w:cs="Times New Roman"/>
          <w:sz w:val="13"/>
        </w:rPr>
        <w:t>0</w:t>
      </w:r>
      <w:r>
        <w:rPr>
          <w:rFonts w:ascii="Segoe UI Symbol" w:eastAsia="Segoe UI Symbol" w:hAnsi="Segoe UI Symbol" w:cs="Segoe UI Symbol"/>
          <w:sz w:val="24"/>
        </w:rPr>
        <w:t></w:t>
      </w:r>
      <w:r>
        <w:rPr>
          <w:rFonts w:ascii="Segoe UI Symbol" w:eastAsia="Segoe UI Symbol" w:hAnsi="Segoe UI Symbol" w:cs="Segoe UI Symbol"/>
          <w:sz w:val="23"/>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Segoe UI Symbol" w:eastAsia="Segoe UI Symbol" w:hAnsi="Segoe UI Symbol" w:cs="Segoe UI Symbol"/>
          <w:sz w:val="24"/>
        </w:rPr>
        <w:t></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Times New Roman" w:eastAsia="Times New Roman" w:hAnsi="Times New Roman" w:cs="Times New Roman"/>
          <w:i/>
          <w:sz w:val="23"/>
        </w:rPr>
        <w:t>z</w:t>
      </w:r>
      <w:r>
        <w:rPr>
          <w:rFonts w:ascii="Segoe UI Symbol" w:eastAsia="Segoe UI Symbol" w:hAnsi="Segoe UI Symbol" w:cs="Segoe UI Symbol"/>
          <w:sz w:val="30"/>
        </w:rPr>
        <w:t></w:t>
      </w:r>
      <w:r>
        <w:rPr>
          <w:rFonts w:ascii="Segoe UI Symbol" w:eastAsia="Segoe UI Symbol" w:hAnsi="Segoe UI Symbol" w:cs="Segoe UI Symbol"/>
          <w:sz w:val="23"/>
        </w:rPr>
        <w:t></w:t>
      </w:r>
      <w:r>
        <w:rPr>
          <w:rFonts w:ascii="Segoe UI Symbol" w:eastAsia="Segoe UI Symbol" w:hAnsi="Segoe UI Symbol" w:cs="Segoe UI Symbol"/>
          <w:sz w:val="24"/>
        </w:rPr>
        <w:t></w:t>
      </w:r>
      <w:r>
        <w:rPr>
          <w:rFonts w:ascii="Times New Roman" w:eastAsia="Times New Roman" w:hAnsi="Times New Roman" w:cs="Times New Roman"/>
          <w:sz w:val="13"/>
        </w:rPr>
        <w:t>1</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w:t>
      </w:r>
      <w:r>
        <w:rPr>
          <w:noProof/>
        </w:rPr>
        <mc:AlternateContent>
          <mc:Choice Requires="wpg">
            <w:drawing>
              <wp:inline distT="0" distB="0" distL="0" distR="0">
                <wp:extent cx="872920" cy="5901"/>
                <wp:effectExtent l="0" t="0" r="0" b="0"/>
                <wp:docPr id="919976" name="Group 919976"/>
                <wp:cNvGraphicFramePr/>
                <a:graphic xmlns:a="http://schemas.openxmlformats.org/drawingml/2006/main">
                  <a:graphicData uri="http://schemas.microsoft.com/office/word/2010/wordprocessingGroup">
                    <wpg:wgp>
                      <wpg:cNvGrpSpPr/>
                      <wpg:grpSpPr>
                        <a:xfrm>
                          <a:off x="0" y="0"/>
                          <a:ext cx="872920" cy="5901"/>
                          <a:chOff x="0" y="0"/>
                          <a:chExt cx="872920" cy="5901"/>
                        </a:xfrm>
                      </wpg:grpSpPr>
                      <wps:wsp>
                        <wps:cNvPr id="12998" name="Shape 12998"/>
                        <wps:cNvSpPr/>
                        <wps:spPr>
                          <a:xfrm>
                            <a:off x="0" y="0"/>
                            <a:ext cx="872920" cy="0"/>
                          </a:xfrm>
                          <a:custGeom>
                            <a:avLst/>
                            <a:gdLst/>
                            <a:ahLst/>
                            <a:cxnLst/>
                            <a:rect l="0" t="0" r="0" b="0"/>
                            <a:pathLst>
                              <a:path w="872920">
                                <a:moveTo>
                                  <a:pt x="0" y="0"/>
                                </a:moveTo>
                                <a:lnTo>
                                  <a:pt x="872920" y="0"/>
                                </a:lnTo>
                              </a:path>
                            </a:pathLst>
                          </a:custGeom>
                          <a:ln w="590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9976" style="width:68.7339pt;height:0.464614pt;mso-position-horizontal-relative:char;mso-position-vertical-relative:line" coordsize="8729,59">
                <v:shape id="Shape 12998" style="position:absolute;width:8729;height:0;left:0;top:0;" coordsize="872920,0" path="m0,0l872920,0">
                  <v:stroke weight="0.464614pt" endcap="flat" joinstyle="round" on="true" color="#000000"/>
                  <v:fill on="false" color="#000000" opacity="0"/>
                </v:shape>
              </v:group>
            </w:pict>
          </mc:Fallback>
        </mc:AlternateContent>
      </w:r>
      <w:r>
        <w:rPr>
          <w:rFonts w:ascii="Times New Roman" w:eastAsia="Times New Roman" w:hAnsi="Times New Roman" w:cs="Times New Roman"/>
          <w:i/>
          <w:sz w:val="23"/>
        </w:rPr>
        <w:t>z</w:t>
      </w:r>
      <w:r>
        <w:rPr>
          <w:rFonts w:ascii="Times New Roman" w:eastAsia="Times New Roman" w:hAnsi="Times New Roman" w:cs="Times New Roman"/>
          <w:sz w:val="23"/>
        </w:rPr>
        <w:t>ln</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Segoe UI Symbol" w:eastAsia="Segoe UI Symbol" w:hAnsi="Segoe UI Symbol" w:cs="Segoe UI Symbol"/>
          <w:sz w:val="30"/>
        </w:rPr>
        <w:t></w:t>
      </w:r>
      <w:r>
        <w:rPr>
          <w:rFonts w:ascii="Segoe UI Symbol" w:eastAsia="Segoe UI Symbol" w:hAnsi="Segoe UI Symbol" w:cs="Segoe UI Symbol"/>
          <w:sz w:val="24"/>
        </w:rPr>
        <w:t></w:t>
      </w:r>
      <w:r>
        <w:rPr>
          <w:rFonts w:ascii="Times New Roman" w:eastAsia="Times New Roman" w:hAnsi="Times New Roman" w:cs="Times New Roman"/>
          <w:sz w:val="13"/>
        </w:rPr>
        <w:t>0</w:t>
      </w:r>
      <w:r>
        <w:rPr>
          <w:rFonts w:ascii="Times New Roman" w:eastAsia="Times New Roman" w:hAnsi="Times New Roman" w:cs="Times New Roman"/>
          <w:i/>
          <w:sz w:val="23"/>
        </w:rPr>
        <w:t>h</w:t>
      </w:r>
      <w:r>
        <w:rPr>
          <w:rFonts w:ascii="Segoe UI Symbol" w:eastAsia="Segoe UI Symbol" w:hAnsi="Segoe UI Symbol" w:cs="Segoe UI Symbol"/>
          <w:sz w:val="23"/>
        </w:rPr>
        <w:t></w:t>
      </w:r>
      <w:r>
        <w:rPr>
          <w:rFonts w:ascii="Times New Roman" w:eastAsia="Times New Roman" w:hAnsi="Times New Roman" w:cs="Times New Roman"/>
          <w:sz w:val="13"/>
        </w:rPr>
        <w:t>1</w:t>
      </w:r>
      <w:r>
        <w:rPr>
          <w:rFonts w:ascii="Segoe UI Symbol" w:eastAsia="Segoe UI Symbol" w:hAnsi="Segoe UI Symbol" w:cs="Segoe UI Symbol"/>
          <w:sz w:val="24"/>
        </w:rPr>
        <w:t></w:t>
      </w:r>
      <w:r>
        <w:rPr>
          <w:rFonts w:ascii="Segoe UI Symbol" w:eastAsia="Segoe UI Symbol" w:hAnsi="Segoe UI Symbol" w:cs="Segoe UI Symbol"/>
          <w:sz w:val="30"/>
        </w:rPr>
        <w:t xml:space="preserve"> </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Times New Roman" w:eastAsia="Times New Roman" w:hAnsi="Times New Roman" w:cs="Times New Roman"/>
          <w:i/>
          <w:sz w:val="23"/>
        </w:rPr>
        <w:t>z</w:t>
      </w:r>
      <w:r>
        <w:rPr>
          <w:rFonts w:ascii="Segoe UI Symbol" w:eastAsia="Segoe UI Symbol" w:hAnsi="Segoe UI Symbol" w:cs="Segoe UI Symbol"/>
          <w:sz w:val="30"/>
        </w:rPr>
        <w:t></w:t>
      </w:r>
      <w:r>
        <w:rPr>
          <w:rFonts w:ascii="Segoe UI Symbol" w:eastAsia="Segoe UI Symbol" w:hAnsi="Segoe UI Symbol" w:cs="Segoe UI Symbol"/>
          <w:sz w:val="23"/>
        </w:rPr>
        <w:t></w:t>
      </w:r>
      <w:r>
        <w:rPr>
          <w:rFonts w:ascii="Times New Roman" w:eastAsia="Times New Roman" w:hAnsi="Times New Roman" w:cs="Times New Roman"/>
          <w:sz w:val="24"/>
        </w:rPr>
        <w:t xml:space="preserve"> </w:t>
      </w:r>
      <w:r>
        <w:rPr>
          <w:rFonts w:ascii="Segoe UI Symbol" w:eastAsia="Segoe UI Symbol" w:hAnsi="Segoe UI Symbol" w:cs="Segoe UI Symbol"/>
          <w:sz w:val="36"/>
        </w:rPr>
        <w:t></w:t>
      </w:r>
      <w:r>
        <w:rPr>
          <w:rFonts w:ascii="Times New Roman" w:eastAsia="Times New Roman" w:hAnsi="Times New Roman" w:cs="Times New Roman"/>
          <w:sz w:val="23"/>
        </w:rPr>
        <w:t>1</w:t>
      </w:r>
    </w:p>
    <w:p w:rsidR="0052701D" w:rsidRDefault="00D40929">
      <w:pPr>
        <w:numPr>
          <w:ilvl w:val="0"/>
          <w:numId w:val="8"/>
        </w:numPr>
        <w:spacing w:after="2"/>
        <w:ind w:hanging="1222"/>
      </w:pPr>
      <w:r>
        <w:rPr>
          <w:noProof/>
        </w:rPr>
        <mc:AlternateContent>
          <mc:Choice Requires="wpg">
            <w:drawing>
              <wp:anchor distT="0" distB="0" distL="114300" distR="114300" simplePos="0" relativeHeight="251742208" behindDoc="0" locked="0" layoutInCell="1" allowOverlap="1">
                <wp:simplePos x="0" y="0"/>
                <wp:positionH relativeFrom="column">
                  <wp:posOffset>2308473</wp:posOffset>
                </wp:positionH>
                <wp:positionV relativeFrom="paragraph">
                  <wp:posOffset>57715</wp:posOffset>
                </wp:positionV>
                <wp:extent cx="1519200" cy="5934"/>
                <wp:effectExtent l="0" t="0" r="0" b="0"/>
                <wp:wrapNone/>
                <wp:docPr id="919978" name="Group 919978"/>
                <wp:cNvGraphicFramePr/>
                <a:graphic xmlns:a="http://schemas.openxmlformats.org/drawingml/2006/main">
                  <a:graphicData uri="http://schemas.microsoft.com/office/word/2010/wordprocessingGroup">
                    <wpg:wgp>
                      <wpg:cNvGrpSpPr/>
                      <wpg:grpSpPr>
                        <a:xfrm>
                          <a:off x="0" y="0"/>
                          <a:ext cx="1519200" cy="5934"/>
                          <a:chOff x="0" y="0"/>
                          <a:chExt cx="1519200" cy="5934"/>
                        </a:xfrm>
                      </wpg:grpSpPr>
                      <wps:wsp>
                        <wps:cNvPr id="13073" name="Shape 13073"/>
                        <wps:cNvSpPr/>
                        <wps:spPr>
                          <a:xfrm>
                            <a:off x="0" y="0"/>
                            <a:ext cx="458064" cy="0"/>
                          </a:xfrm>
                          <a:custGeom>
                            <a:avLst/>
                            <a:gdLst/>
                            <a:ahLst/>
                            <a:cxnLst/>
                            <a:rect l="0" t="0" r="0" b="0"/>
                            <a:pathLst>
                              <a:path w="458064">
                                <a:moveTo>
                                  <a:pt x="0" y="0"/>
                                </a:moveTo>
                                <a:lnTo>
                                  <a:pt x="458064" y="0"/>
                                </a:lnTo>
                              </a:path>
                            </a:pathLst>
                          </a:custGeom>
                          <a:ln w="5934" cap="flat">
                            <a:round/>
                          </a:ln>
                        </wps:spPr>
                        <wps:style>
                          <a:lnRef idx="1">
                            <a:srgbClr val="000000"/>
                          </a:lnRef>
                          <a:fillRef idx="0">
                            <a:srgbClr val="000000">
                              <a:alpha val="0"/>
                            </a:srgbClr>
                          </a:fillRef>
                          <a:effectRef idx="0">
                            <a:scrgbClr r="0" g="0" b="0"/>
                          </a:effectRef>
                          <a:fontRef idx="none"/>
                        </wps:style>
                        <wps:bodyPr/>
                      </wps:wsp>
                      <wps:wsp>
                        <wps:cNvPr id="13076" name="Shape 13076"/>
                        <wps:cNvSpPr/>
                        <wps:spPr>
                          <a:xfrm>
                            <a:off x="611219" y="0"/>
                            <a:ext cx="378749" cy="0"/>
                          </a:xfrm>
                          <a:custGeom>
                            <a:avLst/>
                            <a:gdLst/>
                            <a:ahLst/>
                            <a:cxnLst/>
                            <a:rect l="0" t="0" r="0" b="0"/>
                            <a:pathLst>
                              <a:path w="378749">
                                <a:moveTo>
                                  <a:pt x="0" y="0"/>
                                </a:moveTo>
                                <a:lnTo>
                                  <a:pt x="378749" y="0"/>
                                </a:lnTo>
                              </a:path>
                            </a:pathLst>
                          </a:custGeom>
                          <a:ln w="5934" cap="flat">
                            <a:round/>
                          </a:ln>
                        </wps:spPr>
                        <wps:style>
                          <a:lnRef idx="1">
                            <a:srgbClr val="000000"/>
                          </a:lnRef>
                          <a:fillRef idx="0">
                            <a:srgbClr val="000000">
                              <a:alpha val="0"/>
                            </a:srgbClr>
                          </a:fillRef>
                          <a:effectRef idx="0">
                            <a:scrgbClr r="0" g="0" b="0"/>
                          </a:effectRef>
                          <a:fontRef idx="none"/>
                        </wps:style>
                        <wps:bodyPr/>
                      </wps:wsp>
                      <wps:wsp>
                        <wps:cNvPr id="13079" name="Shape 13079"/>
                        <wps:cNvSpPr/>
                        <wps:spPr>
                          <a:xfrm>
                            <a:off x="1145797" y="0"/>
                            <a:ext cx="373403" cy="0"/>
                          </a:xfrm>
                          <a:custGeom>
                            <a:avLst/>
                            <a:gdLst/>
                            <a:ahLst/>
                            <a:cxnLst/>
                            <a:rect l="0" t="0" r="0" b="0"/>
                            <a:pathLst>
                              <a:path w="373403">
                                <a:moveTo>
                                  <a:pt x="0" y="0"/>
                                </a:moveTo>
                                <a:lnTo>
                                  <a:pt x="373403" y="0"/>
                                </a:lnTo>
                              </a:path>
                            </a:pathLst>
                          </a:custGeom>
                          <a:ln w="5934"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9978" style="width:119.622pt;height:0.467275pt;position:absolute;z-index:1324;mso-position-horizontal-relative:text;mso-position-horizontal:absolute;margin-left:181.77pt;mso-position-vertical-relative:text;margin-top:4.54449pt;" coordsize="15192,59">
                <v:shape id="Shape 13073" style="position:absolute;width:4580;height:0;left:0;top:0;" coordsize="458064,0" path="m0,0l458064,0">
                  <v:stroke weight="0.467275pt" endcap="flat" joinstyle="round" on="true" color="#000000"/>
                  <v:fill on="false" color="#000000" opacity="0"/>
                </v:shape>
                <v:shape id="Shape 13076" style="position:absolute;width:3787;height:0;left:6112;top:0;" coordsize="378749,0" path="m0,0l378749,0">
                  <v:stroke weight="0.467275pt" endcap="flat" joinstyle="round" on="true" color="#000000"/>
                  <v:fill on="false" color="#000000" opacity="0"/>
                </v:shape>
                <v:shape id="Shape 13079" style="position:absolute;width:3734;height:0;left:11457;top:0;" coordsize="373403,0" path="m0,0l373403,0">
                  <v:stroke weight="0.467275pt" endcap="flat" joinstyle="round" on="true" color="#000000"/>
                  <v:fill on="false" color="#000000" opacity="0"/>
                </v:shape>
              </v:group>
            </w:pict>
          </mc:Fallback>
        </mc:AlternateContent>
      </w:r>
      <w:r>
        <w:rPr>
          <w:noProof/>
        </w:rPr>
        <mc:AlternateContent>
          <mc:Choice Requires="wpg">
            <w:drawing>
              <wp:inline distT="0" distB="0" distL="0" distR="0">
                <wp:extent cx="653575" cy="5934"/>
                <wp:effectExtent l="0" t="0" r="0" b="0"/>
                <wp:docPr id="919977" name="Group 919977"/>
                <wp:cNvGraphicFramePr/>
                <a:graphic xmlns:a="http://schemas.openxmlformats.org/drawingml/2006/main">
                  <a:graphicData uri="http://schemas.microsoft.com/office/word/2010/wordprocessingGroup">
                    <wpg:wgp>
                      <wpg:cNvGrpSpPr/>
                      <wpg:grpSpPr>
                        <a:xfrm>
                          <a:off x="0" y="0"/>
                          <a:ext cx="653575" cy="5934"/>
                          <a:chOff x="0" y="0"/>
                          <a:chExt cx="653575" cy="5934"/>
                        </a:xfrm>
                      </wpg:grpSpPr>
                      <wps:wsp>
                        <wps:cNvPr id="13066" name="Shape 13066"/>
                        <wps:cNvSpPr/>
                        <wps:spPr>
                          <a:xfrm>
                            <a:off x="0" y="0"/>
                            <a:ext cx="653575" cy="0"/>
                          </a:xfrm>
                          <a:custGeom>
                            <a:avLst/>
                            <a:gdLst/>
                            <a:ahLst/>
                            <a:cxnLst/>
                            <a:rect l="0" t="0" r="0" b="0"/>
                            <a:pathLst>
                              <a:path w="653575">
                                <a:moveTo>
                                  <a:pt x="0" y="0"/>
                                </a:moveTo>
                                <a:lnTo>
                                  <a:pt x="653575" y="0"/>
                                </a:lnTo>
                              </a:path>
                            </a:pathLst>
                          </a:custGeom>
                          <a:ln w="5934"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9977" style="width:51.4626pt;height:0.467275pt;mso-position-horizontal-relative:char;mso-position-vertical-relative:line" coordsize="6535,59">
                <v:shape id="Shape 13066" style="position:absolute;width:6535;height:0;left:0;top:0;" coordsize="653575,0" path="m0,0l653575,0">
                  <v:stroke weight="0.467275pt" endcap="flat" joinstyle="round" on="true" color="#000000"/>
                  <v:fill on="false" color="#000000" opacity="0"/>
                </v:shape>
              </v:group>
            </w:pict>
          </mc:Fallback>
        </mc:AlternateConten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Times New Roman" w:eastAsia="Times New Roman" w:hAnsi="Times New Roman" w:cs="Times New Roman"/>
          <w:sz w:val="13"/>
        </w:rPr>
        <w:t>0</w:t>
      </w:r>
      <w:r>
        <w:rPr>
          <w:rFonts w:ascii="Segoe UI Symbol" w:eastAsia="Segoe UI Symbol" w:hAnsi="Segoe UI Symbol" w:cs="Segoe UI Symbol"/>
          <w:sz w:val="30"/>
        </w:rPr>
        <w:t></w:t>
      </w:r>
      <w:r>
        <w:rPr>
          <w:rFonts w:ascii="Segoe UI Symbol" w:eastAsia="Segoe UI Symbol" w:hAnsi="Segoe UI Symbol" w:cs="Segoe UI Symbol"/>
          <w:sz w:val="24"/>
        </w:rPr>
        <w:t></w:t>
      </w:r>
      <w:r>
        <w:rPr>
          <w:rFonts w:ascii="Segoe UI Symbol" w:eastAsia="Segoe UI Symbol" w:hAnsi="Segoe UI Symbol" w:cs="Segoe UI Symbol"/>
          <w:sz w:val="23"/>
        </w:rPr>
        <w:t></w:t>
      </w:r>
      <w:r>
        <w:rPr>
          <w:rFonts w:ascii="Times New Roman" w:eastAsia="Times New Roman" w:hAnsi="Times New Roman" w:cs="Times New Roman"/>
          <w:i/>
          <w:sz w:val="23"/>
        </w:rPr>
        <w:t>h</w:t>
      </w:r>
      <w:r>
        <w:rPr>
          <w:rFonts w:ascii="Segoe UI Symbol" w:eastAsia="Segoe UI Symbol" w:hAnsi="Segoe UI Symbol" w:cs="Segoe UI Symbol"/>
          <w:sz w:val="24"/>
        </w:rPr>
        <w:t></w:t>
      </w:r>
      <w:r>
        <w:rPr>
          <w:rFonts w:ascii="Times New Roman" w:eastAsia="Times New Roman" w:hAnsi="Times New Roman" w:cs="Times New Roman"/>
          <w:sz w:val="20"/>
          <w:vertAlign w:val="subscript"/>
        </w:rPr>
        <w:t>1</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Times New Roman" w:eastAsia="Times New Roman" w:hAnsi="Times New Roman" w:cs="Times New Roman"/>
          <w:sz w:val="13"/>
        </w:rPr>
        <w:t>21</w:t>
      </w:r>
      <w:r>
        <w:rPr>
          <w:rFonts w:ascii="Times New Roman" w:eastAsia="Times New Roman" w:hAnsi="Times New Roman" w:cs="Times New Roman"/>
          <w:i/>
          <w:sz w:val="23"/>
        </w:rPr>
        <w:t>z</w:t>
      </w:r>
      <w:r>
        <w:rPr>
          <w:rFonts w:ascii="Segoe UI Symbol" w:eastAsia="Segoe UI Symbol" w:hAnsi="Segoe UI Symbol" w:cs="Segoe UI Symbol"/>
          <w:sz w:val="30"/>
        </w:rPr>
        <w:t></w:t>
      </w:r>
      <w:r>
        <w:rPr>
          <w:rFonts w:ascii="Segoe UI Symbol" w:eastAsia="Segoe UI Symbol" w:hAnsi="Segoe UI Symbol" w:cs="Segoe UI Symbol"/>
          <w:sz w:val="31"/>
        </w:rPr>
        <w:t></w:t>
      </w:r>
      <w:r>
        <w:rPr>
          <w:rFonts w:ascii="Times New Roman" w:eastAsia="Times New Roman" w:hAnsi="Times New Roman" w:cs="Times New Roman"/>
          <w:sz w:val="23"/>
        </w:rPr>
        <w:t>ln</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Times New Roman" w:eastAsia="Times New Roman" w:hAnsi="Times New Roman" w:cs="Times New Roman"/>
          <w:sz w:val="13"/>
        </w:rPr>
        <w:t xml:space="preserve">0 </w:t>
      </w:r>
      <w:r>
        <w:rPr>
          <w:rFonts w:ascii="Segoe UI Symbol" w:eastAsia="Segoe UI Symbol" w:hAnsi="Segoe UI Symbol" w:cs="Segoe UI Symbol"/>
          <w:sz w:val="23"/>
        </w:rPr>
        <w:t></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Times New Roman" w:eastAsia="Times New Roman" w:hAnsi="Times New Roman" w:cs="Times New Roman"/>
          <w:i/>
          <w:sz w:val="23"/>
        </w:rPr>
        <w:t>z</w:t>
      </w:r>
      <w:r>
        <w:rPr>
          <w:rFonts w:ascii="Segoe UI Symbol" w:eastAsia="Segoe UI Symbol" w:hAnsi="Segoe UI Symbol" w:cs="Segoe UI Symbol"/>
          <w:sz w:val="30"/>
        </w:rPr>
        <w:t></w:t>
      </w:r>
      <w:r>
        <w:rPr>
          <w:rFonts w:ascii="Segoe UI Symbol" w:eastAsia="Segoe UI Symbol" w:hAnsi="Segoe UI Symbol" w:cs="Segoe UI Symbol"/>
          <w:sz w:val="23"/>
        </w:rPr>
        <w:t></w:t>
      </w:r>
      <w:r>
        <w:rPr>
          <w:rFonts w:ascii="Times New Roman" w:eastAsia="Times New Roman" w:hAnsi="Times New Roman" w:cs="Times New Roman"/>
          <w:sz w:val="23"/>
        </w:rPr>
        <w:t>1</w:t>
      </w:r>
      <w:r>
        <w:rPr>
          <w:rFonts w:ascii="Segoe UI Symbol" w:eastAsia="Segoe UI Symbol" w:hAnsi="Segoe UI Symbol" w:cs="Segoe UI Symbol"/>
          <w:sz w:val="31"/>
        </w:rPr>
        <w:t></w:t>
      </w:r>
      <w:r>
        <w:rPr>
          <w:rFonts w:ascii="Segoe UI Symbol" w:eastAsia="Segoe UI Symbol" w:hAnsi="Segoe UI Symbol" w:cs="Segoe UI Symbol"/>
          <w:sz w:val="23"/>
        </w:rPr>
        <w:t></w:t>
      </w:r>
      <w:r>
        <w:rPr>
          <w:rFonts w:ascii="Segoe UI Symbol" w:eastAsia="Segoe UI Symbol" w:hAnsi="Segoe UI Symbol" w:cs="Segoe UI Symbol"/>
          <w:sz w:val="30"/>
          <w:vertAlign w:val="subscript"/>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4"/>
        </w:rPr>
        <w:t></w:t>
      </w:r>
      <w:r>
        <w:rPr>
          <w:rFonts w:ascii="Times New Roman" w:eastAsia="Times New Roman" w:hAnsi="Times New Roman" w:cs="Times New Roman"/>
          <w:sz w:val="13"/>
        </w:rPr>
        <w:t>2</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30"/>
          <w:vertAlign w:val="subscript"/>
        </w:rPr>
        <w:t></w:t>
      </w:r>
      <w:r>
        <w:rPr>
          <w:rFonts w:ascii="Times New Roman" w:eastAsia="Times New Roman" w:hAnsi="Times New Roman" w:cs="Times New Roman"/>
          <w:sz w:val="23"/>
        </w:rPr>
        <w:t>2</w:t>
      </w:r>
      <w:r>
        <w:rPr>
          <w:rFonts w:ascii="Segoe UI Symbol" w:eastAsia="Segoe UI Symbol" w:hAnsi="Segoe UI Symbol" w:cs="Segoe UI Symbol"/>
          <w:sz w:val="30"/>
        </w:rPr>
        <w:t></w:t>
      </w:r>
      <w:r>
        <w:rPr>
          <w:rFonts w:ascii="Segoe UI Symbol" w:eastAsia="Segoe UI Symbol" w:hAnsi="Segoe UI Symbol" w:cs="Segoe UI Symbol"/>
          <w:sz w:val="24"/>
        </w:rPr>
        <w:t></w:t>
      </w:r>
      <w:r>
        <w:rPr>
          <w:rFonts w:ascii="Times New Roman" w:eastAsia="Times New Roman" w:hAnsi="Times New Roman" w:cs="Times New Roman"/>
          <w:i/>
          <w:sz w:val="23"/>
        </w:rPr>
        <w:t>zh</w:t>
      </w:r>
      <w:r>
        <w:rPr>
          <w:rFonts w:ascii="Times New Roman" w:eastAsia="Times New Roman" w:hAnsi="Times New Roman" w:cs="Times New Roman"/>
          <w:sz w:val="13"/>
        </w:rPr>
        <w:t>2</w:t>
      </w:r>
      <w:r>
        <w:rPr>
          <w:rFonts w:ascii="Times New Roman" w:eastAsia="Times New Roman" w:hAnsi="Times New Roman" w:cs="Times New Roman"/>
          <w:sz w:val="20"/>
          <w:vertAlign w:val="subscript"/>
        </w:rPr>
        <w:t>1</w:t>
      </w:r>
      <w:r>
        <w:rPr>
          <w:rFonts w:ascii="Segoe UI Symbol" w:eastAsia="Segoe UI Symbol" w:hAnsi="Segoe UI Symbol" w:cs="Segoe UI Symbol"/>
          <w:sz w:val="30"/>
        </w:rPr>
        <w:t></w:t>
      </w:r>
      <w:r>
        <w:rPr>
          <w:rFonts w:ascii="Times New Roman" w:eastAsia="Times New Roman" w:hAnsi="Times New Roman" w:cs="Times New Roman"/>
          <w:sz w:val="13"/>
        </w:rPr>
        <w:t xml:space="preserve">2 </w:t>
      </w:r>
      <w:r>
        <w:rPr>
          <w:rFonts w:ascii="Segoe UI Symbol" w:eastAsia="Segoe UI Symbol" w:hAnsi="Segoe UI Symbol" w:cs="Segoe UI Symbol"/>
          <w:sz w:val="23"/>
        </w:rPr>
        <w:t xml:space="preserve"> </w:t>
      </w:r>
      <w:r>
        <w:rPr>
          <w:rFonts w:ascii="Segoe UI Symbol" w:eastAsia="Segoe UI Symbol" w:hAnsi="Segoe UI Symbol" w:cs="Segoe UI Symbol"/>
          <w:sz w:val="30"/>
        </w:rPr>
        <w:t></w:t>
      </w:r>
      <w:r>
        <w:rPr>
          <w:rFonts w:ascii="Segoe UI Symbol" w:eastAsia="Segoe UI Symbol" w:hAnsi="Segoe UI Symbol" w:cs="Segoe UI Symbol"/>
          <w:sz w:val="24"/>
        </w:rPr>
        <w:t></w:t>
      </w:r>
      <w:r>
        <w:rPr>
          <w:rFonts w:ascii="Times New Roman" w:eastAsia="Times New Roman" w:hAnsi="Times New Roman" w:cs="Times New Roman"/>
          <w:i/>
          <w:sz w:val="23"/>
        </w:rPr>
        <w:t>hh</w:t>
      </w:r>
      <w:r>
        <w:rPr>
          <w:rFonts w:ascii="Times New Roman" w:eastAsia="Times New Roman" w:hAnsi="Times New Roman" w:cs="Times New Roman"/>
          <w:sz w:val="13"/>
        </w:rPr>
        <w:t>0</w:t>
      </w:r>
      <w:r>
        <w:rPr>
          <w:rFonts w:ascii="Times New Roman" w:eastAsia="Times New Roman" w:hAnsi="Times New Roman" w:cs="Times New Roman"/>
          <w:sz w:val="20"/>
          <w:vertAlign w:val="subscript"/>
        </w:rPr>
        <w:t>1</w:t>
      </w:r>
      <w:r>
        <w:rPr>
          <w:rFonts w:ascii="Times New Roman" w:eastAsia="Times New Roman" w:hAnsi="Times New Roman" w:cs="Times New Roman"/>
          <w:i/>
          <w:sz w:val="23"/>
        </w:rPr>
        <w:t>z</w:t>
      </w:r>
      <w:r>
        <w:rPr>
          <w:rFonts w:ascii="Segoe UI Symbol" w:eastAsia="Segoe UI Symbol" w:hAnsi="Segoe UI Symbol" w:cs="Segoe UI Symbol"/>
          <w:sz w:val="30"/>
        </w:rPr>
        <w:t></w:t>
      </w:r>
      <w:r>
        <w:rPr>
          <w:rFonts w:ascii="Times New Roman" w:eastAsia="Times New Roman" w:hAnsi="Times New Roman" w:cs="Times New Roman"/>
          <w:sz w:val="13"/>
        </w:rPr>
        <w:t xml:space="preserve">2 </w:t>
      </w:r>
      <w:r>
        <w:rPr>
          <w:rFonts w:ascii="Segoe UI Symbol" w:eastAsia="Segoe UI Symbol" w:hAnsi="Segoe UI Symbol" w:cs="Segoe UI Symbol"/>
          <w:sz w:val="23"/>
        </w:rPr>
        <w:t xml:space="preserve"> </w:t>
      </w:r>
      <w:r>
        <w:rPr>
          <w:rFonts w:ascii="Segoe UI Symbol" w:eastAsia="Segoe UI Symbol" w:hAnsi="Segoe UI Symbol" w:cs="Segoe UI Symbol"/>
          <w:sz w:val="30"/>
        </w:rPr>
        <w:t xml:space="preserve"> </w:t>
      </w:r>
      <w:r>
        <w:rPr>
          <w:rFonts w:ascii="Times New Roman" w:eastAsia="Times New Roman" w:hAnsi="Times New Roman" w:cs="Times New Roman"/>
          <w:i/>
          <w:sz w:val="23"/>
        </w:rPr>
        <w:t>hh</w:t>
      </w:r>
      <w:r>
        <w:rPr>
          <w:rFonts w:ascii="Times New Roman" w:eastAsia="Times New Roman" w:hAnsi="Times New Roman" w:cs="Times New Roman"/>
          <w:sz w:val="13"/>
        </w:rPr>
        <w:t>02</w:t>
      </w:r>
      <w:r>
        <w:rPr>
          <w:rFonts w:ascii="Segoe UI Symbol" w:eastAsia="Segoe UI Symbol" w:hAnsi="Segoe UI Symbol" w:cs="Segoe UI Symbol"/>
          <w:sz w:val="46"/>
          <w:vertAlign w:val="superscript"/>
        </w:rPr>
        <w:t></w:t>
      </w:r>
      <w:r>
        <w:rPr>
          <w:rFonts w:ascii="Times New Roman" w:eastAsia="Times New Roman" w:hAnsi="Times New Roman" w:cs="Times New Roman"/>
          <w:sz w:val="13"/>
        </w:rPr>
        <w:t xml:space="preserve">3 </w:t>
      </w:r>
      <w:r>
        <w:rPr>
          <w:rFonts w:ascii="Times New Roman" w:eastAsia="Times New Roman" w:hAnsi="Times New Roman" w:cs="Times New Roman"/>
          <w:sz w:val="23"/>
        </w:rPr>
        <w:t>ln</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Times New Roman" w:eastAsia="Times New Roman" w:hAnsi="Times New Roman" w:cs="Times New Roman"/>
          <w:sz w:val="13"/>
        </w:rPr>
        <w:t xml:space="preserve">0 </w:t>
      </w:r>
      <w:r>
        <w:rPr>
          <w:rFonts w:ascii="Segoe UI Symbol" w:eastAsia="Segoe UI Symbol" w:hAnsi="Segoe UI Symbol" w:cs="Segoe UI Symbol"/>
          <w:sz w:val="23"/>
        </w:rPr>
        <w:t></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Times New Roman" w:eastAsia="Times New Roman" w:hAnsi="Times New Roman" w:cs="Times New Roman"/>
          <w:i/>
          <w:sz w:val="23"/>
        </w:rPr>
        <w:t>z</w:t>
      </w:r>
      <w:r>
        <w:rPr>
          <w:rFonts w:ascii="Segoe UI Symbol" w:eastAsia="Segoe UI Symbol" w:hAnsi="Segoe UI Symbol" w:cs="Segoe UI Symbol"/>
          <w:sz w:val="30"/>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35"/>
          <w:vertAlign w:val="subscript"/>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Times New Roman" w:eastAsia="Times New Roman" w:hAnsi="Times New Roman" w:cs="Times New Roman"/>
          <w:sz w:val="23"/>
        </w:rPr>
        <w:t>.</w:t>
      </w:r>
    </w:p>
    <w:p w:rsidR="0052701D" w:rsidRDefault="00D40929">
      <w:pPr>
        <w:tabs>
          <w:tab w:val="center" w:pos="5653"/>
          <w:tab w:val="center" w:pos="7437"/>
        </w:tabs>
        <w:spacing w:after="30"/>
      </w:pPr>
      <w:r>
        <w:tab/>
      </w:r>
      <w:r>
        <w:rPr>
          <w:rFonts w:ascii="Segoe UI Symbol" w:eastAsia="Segoe UI Symbol" w:hAnsi="Segoe UI Symbol" w:cs="Segoe UI Symbol"/>
          <w:sz w:val="24"/>
        </w:rPr>
        <w:t></w:t>
      </w:r>
      <w:r>
        <w:rPr>
          <w:rFonts w:ascii="Times New Roman" w:eastAsia="Times New Roman" w:hAnsi="Times New Roman" w:cs="Times New Roman"/>
          <w:sz w:val="13"/>
        </w:rPr>
        <w:t>1</w:t>
      </w:r>
      <w:r>
        <w:rPr>
          <w:rFonts w:ascii="Times New Roman" w:eastAsia="Times New Roman" w:hAnsi="Times New Roman" w:cs="Times New Roman"/>
          <w:sz w:val="13"/>
        </w:rPr>
        <w:tab/>
      </w:r>
      <w:r>
        <w:rPr>
          <w:rFonts w:ascii="Segoe UI Symbol" w:eastAsia="Segoe UI Symbol" w:hAnsi="Segoe UI Symbol" w:cs="Segoe UI Symbol"/>
          <w:sz w:val="23"/>
        </w:rPr>
        <w:t xml:space="preserve"> </w:t>
      </w:r>
      <w:r>
        <w:rPr>
          <w:rFonts w:ascii="Segoe UI Symbol" w:eastAsia="Segoe UI Symbol" w:hAnsi="Segoe UI Symbol" w:cs="Segoe UI Symbol"/>
          <w:sz w:val="23"/>
        </w:rPr>
        <w:t></w:t>
      </w:r>
      <w:r>
        <w:rPr>
          <w:rFonts w:ascii="Times New Roman" w:eastAsia="Times New Roman" w:hAnsi="Times New Roman" w:cs="Times New Roman"/>
          <w:sz w:val="24"/>
        </w:rPr>
        <w:t xml:space="preserve"> </w:t>
      </w:r>
    </w:p>
    <w:p w:rsidR="0052701D" w:rsidRDefault="00D40929">
      <w:pPr>
        <w:spacing w:after="351"/>
      </w:pPr>
      <w:r>
        <w:rPr>
          <w:rFonts w:ascii="Times New Roman" w:eastAsia="Times New Roman" w:hAnsi="Times New Roman" w:cs="Times New Roman"/>
          <w:sz w:val="24"/>
        </w:rPr>
        <w:t xml:space="preserve"> </w:t>
      </w:r>
    </w:p>
    <w:p w:rsidR="0052701D" w:rsidRDefault="00D40929">
      <w:pPr>
        <w:tabs>
          <w:tab w:val="center" w:pos="2995"/>
          <w:tab w:val="center" w:pos="4043"/>
          <w:tab w:val="center" w:pos="4930"/>
          <w:tab w:val="center" w:pos="5920"/>
          <w:tab w:val="center" w:pos="6691"/>
          <w:tab w:val="center" w:pos="8493"/>
        </w:tabs>
        <w:spacing w:after="4" w:line="258" w:lineRule="auto"/>
      </w:pPr>
      <w:r>
        <w:rPr>
          <w:noProof/>
        </w:rPr>
        <mc:AlternateContent>
          <mc:Choice Requires="wpg">
            <w:drawing>
              <wp:anchor distT="0" distB="0" distL="114300" distR="114300" simplePos="0" relativeHeight="251743232" behindDoc="0" locked="0" layoutInCell="1" allowOverlap="1">
                <wp:simplePos x="0" y="0"/>
                <wp:positionH relativeFrom="column">
                  <wp:posOffset>1401669</wp:posOffset>
                </wp:positionH>
                <wp:positionV relativeFrom="paragraph">
                  <wp:posOffset>133326</wp:posOffset>
                </wp:positionV>
                <wp:extent cx="4335219" cy="6106"/>
                <wp:effectExtent l="0" t="0" r="0" b="0"/>
                <wp:wrapNone/>
                <wp:docPr id="919979" name="Group 919979"/>
                <wp:cNvGraphicFramePr/>
                <a:graphic xmlns:a="http://schemas.openxmlformats.org/drawingml/2006/main">
                  <a:graphicData uri="http://schemas.microsoft.com/office/word/2010/wordprocessingGroup">
                    <wpg:wgp>
                      <wpg:cNvGrpSpPr/>
                      <wpg:grpSpPr>
                        <a:xfrm>
                          <a:off x="0" y="0"/>
                          <a:ext cx="4335219" cy="6106"/>
                          <a:chOff x="0" y="0"/>
                          <a:chExt cx="4335219" cy="6106"/>
                        </a:xfrm>
                      </wpg:grpSpPr>
                      <wps:wsp>
                        <wps:cNvPr id="13167" name="Shape 13167"/>
                        <wps:cNvSpPr/>
                        <wps:spPr>
                          <a:xfrm>
                            <a:off x="0" y="0"/>
                            <a:ext cx="1140588" cy="0"/>
                          </a:xfrm>
                          <a:custGeom>
                            <a:avLst/>
                            <a:gdLst/>
                            <a:ahLst/>
                            <a:cxnLst/>
                            <a:rect l="0" t="0" r="0" b="0"/>
                            <a:pathLst>
                              <a:path w="1140588">
                                <a:moveTo>
                                  <a:pt x="0" y="0"/>
                                </a:moveTo>
                                <a:lnTo>
                                  <a:pt x="1140588" y="0"/>
                                </a:lnTo>
                              </a:path>
                            </a:pathLst>
                          </a:custGeom>
                          <a:ln w="6106" cap="flat">
                            <a:round/>
                          </a:ln>
                        </wps:spPr>
                        <wps:style>
                          <a:lnRef idx="1">
                            <a:srgbClr val="000000"/>
                          </a:lnRef>
                          <a:fillRef idx="0">
                            <a:srgbClr val="000000">
                              <a:alpha val="0"/>
                            </a:srgbClr>
                          </a:fillRef>
                          <a:effectRef idx="0">
                            <a:scrgbClr r="0" g="0" b="0"/>
                          </a:effectRef>
                          <a:fontRef idx="none"/>
                        </wps:style>
                        <wps:bodyPr/>
                      </wps:wsp>
                      <wps:wsp>
                        <wps:cNvPr id="13172" name="Shape 13172"/>
                        <wps:cNvSpPr/>
                        <wps:spPr>
                          <a:xfrm>
                            <a:off x="1291682" y="0"/>
                            <a:ext cx="987894" cy="0"/>
                          </a:xfrm>
                          <a:custGeom>
                            <a:avLst/>
                            <a:gdLst/>
                            <a:ahLst/>
                            <a:cxnLst/>
                            <a:rect l="0" t="0" r="0" b="0"/>
                            <a:pathLst>
                              <a:path w="987894">
                                <a:moveTo>
                                  <a:pt x="0" y="0"/>
                                </a:moveTo>
                                <a:lnTo>
                                  <a:pt x="987894" y="0"/>
                                </a:lnTo>
                              </a:path>
                            </a:pathLst>
                          </a:custGeom>
                          <a:ln w="6106" cap="flat">
                            <a:round/>
                          </a:ln>
                        </wps:spPr>
                        <wps:style>
                          <a:lnRef idx="1">
                            <a:srgbClr val="000000"/>
                          </a:lnRef>
                          <a:fillRef idx="0">
                            <a:srgbClr val="000000">
                              <a:alpha val="0"/>
                            </a:srgbClr>
                          </a:fillRef>
                          <a:effectRef idx="0">
                            <a:scrgbClr r="0" g="0" b="0"/>
                          </a:effectRef>
                          <a:fontRef idx="none"/>
                        </wps:style>
                        <wps:bodyPr/>
                      </wps:wsp>
                      <wps:wsp>
                        <wps:cNvPr id="13177" name="Shape 13177"/>
                        <wps:cNvSpPr/>
                        <wps:spPr>
                          <a:xfrm>
                            <a:off x="2433131" y="0"/>
                            <a:ext cx="993185" cy="0"/>
                          </a:xfrm>
                          <a:custGeom>
                            <a:avLst/>
                            <a:gdLst/>
                            <a:ahLst/>
                            <a:cxnLst/>
                            <a:rect l="0" t="0" r="0" b="0"/>
                            <a:pathLst>
                              <a:path w="993185">
                                <a:moveTo>
                                  <a:pt x="0" y="0"/>
                                </a:moveTo>
                                <a:lnTo>
                                  <a:pt x="993185" y="0"/>
                                </a:lnTo>
                              </a:path>
                            </a:pathLst>
                          </a:custGeom>
                          <a:ln w="6106" cap="flat">
                            <a:round/>
                          </a:ln>
                        </wps:spPr>
                        <wps:style>
                          <a:lnRef idx="1">
                            <a:srgbClr val="000000"/>
                          </a:lnRef>
                          <a:fillRef idx="0">
                            <a:srgbClr val="000000">
                              <a:alpha val="0"/>
                            </a:srgbClr>
                          </a:fillRef>
                          <a:effectRef idx="0">
                            <a:scrgbClr r="0" g="0" b="0"/>
                          </a:effectRef>
                          <a:fontRef idx="none"/>
                        </wps:style>
                        <wps:bodyPr/>
                      </wps:wsp>
                      <wps:wsp>
                        <wps:cNvPr id="13182" name="Shape 13182"/>
                        <wps:cNvSpPr/>
                        <wps:spPr>
                          <a:xfrm>
                            <a:off x="3577410" y="0"/>
                            <a:ext cx="757809" cy="0"/>
                          </a:xfrm>
                          <a:custGeom>
                            <a:avLst/>
                            <a:gdLst/>
                            <a:ahLst/>
                            <a:cxnLst/>
                            <a:rect l="0" t="0" r="0" b="0"/>
                            <a:pathLst>
                              <a:path w="757809">
                                <a:moveTo>
                                  <a:pt x="0" y="0"/>
                                </a:moveTo>
                                <a:lnTo>
                                  <a:pt x="757809" y="0"/>
                                </a:lnTo>
                              </a:path>
                            </a:pathLst>
                          </a:custGeom>
                          <a:ln w="6106"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9979" style="width:341.356pt;height:0.480779pt;position:absolute;z-index:1422;mso-position-horizontal-relative:text;mso-position-horizontal:absolute;margin-left:110.368pt;mso-position-vertical-relative:text;margin-top:10.4981pt;" coordsize="43352,61">
                <v:shape id="Shape 13167" style="position:absolute;width:11405;height:0;left:0;top:0;" coordsize="1140588,0" path="m0,0l1140588,0">
                  <v:stroke weight="0.480779pt" endcap="flat" joinstyle="round" on="true" color="#000000"/>
                  <v:fill on="false" color="#000000" opacity="0"/>
                </v:shape>
                <v:shape id="Shape 13172" style="position:absolute;width:9878;height:0;left:12916;top:0;" coordsize="987894,0" path="m0,0l987894,0">
                  <v:stroke weight="0.480779pt" endcap="flat" joinstyle="round" on="true" color="#000000"/>
                  <v:fill on="false" color="#000000" opacity="0"/>
                </v:shape>
                <v:shape id="Shape 13177" style="position:absolute;width:9931;height:0;left:24331;top:0;" coordsize="993185,0" path="m0,0l993185,0">
                  <v:stroke weight="0.480779pt" endcap="flat" joinstyle="round" on="true" color="#000000"/>
                  <v:fill on="false" color="#000000" opacity="0"/>
                </v:shape>
                <v:shape id="Shape 13182" style="position:absolute;width:7578;height:0;left:35774;top:0;" coordsize="757809,0" path="m0,0l757809,0">
                  <v:stroke weight="0.480779pt" endcap="flat" joinstyle="round" on="true" color="#000000"/>
                  <v:fill on="false" color="#000000" opacity="0"/>
                </v:shape>
              </v:group>
            </w:pict>
          </mc:Fallback>
        </mc:AlternateContent>
      </w:r>
      <w:r>
        <w:rPr>
          <w:rFonts w:ascii="Times New Roman" w:eastAsia="Times New Roman" w:hAnsi="Times New Roman" w:cs="Times New Roman"/>
          <w:i/>
          <w:sz w:val="24"/>
        </w:rPr>
        <w:t>Q</w:t>
      </w:r>
      <w:r>
        <w:rPr>
          <w:rFonts w:ascii="Segoe UI Symbol" w:eastAsia="Segoe UI Symbol" w:hAnsi="Segoe UI Symbol" w:cs="Segoe UI Symbol"/>
          <w:sz w:val="32"/>
        </w:rPr>
        <w:t></w:t>
      </w:r>
      <w:r>
        <w:rPr>
          <w:rFonts w:ascii="Times New Roman" w:eastAsia="Times New Roman" w:hAnsi="Times New Roman" w:cs="Times New Roman"/>
          <w:i/>
          <w:sz w:val="24"/>
        </w:rPr>
        <w:t>z</w:t>
      </w:r>
      <w:r>
        <w:rPr>
          <w:rFonts w:ascii="Segoe UI Symbol" w:eastAsia="Segoe UI Symbol" w:hAnsi="Segoe UI Symbol" w:cs="Segoe UI Symbol"/>
          <w:sz w:val="32"/>
        </w:rPr>
        <w:t></w:t>
      </w:r>
      <w:r>
        <w:rPr>
          <w:rFonts w:ascii="Segoe UI Symbol" w:eastAsia="Segoe UI Symbol" w:hAnsi="Segoe UI Symbol" w:cs="Segoe UI Symbol"/>
          <w:sz w:val="24"/>
        </w:rPr>
        <w:t></w:t>
      </w:r>
      <w:r>
        <w:rPr>
          <w:rFonts w:ascii="Times New Roman" w:eastAsia="Times New Roman" w:hAnsi="Times New Roman" w:cs="Times New Roman"/>
          <w:i/>
          <w:sz w:val="24"/>
        </w:rPr>
        <w:t>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Times New Roman" w:eastAsia="Times New Roman" w:hAnsi="Times New Roman" w:cs="Times New Roman"/>
          <w:sz w:val="24"/>
        </w:rPr>
        <w:t>6</w:t>
      </w:r>
      <w:r>
        <w:rPr>
          <w:rFonts w:ascii="Times New Roman" w:eastAsia="Times New Roman" w:hAnsi="Times New Roman" w:cs="Times New Roman"/>
          <w:i/>
          <w:sz w:val="24"/>
        </w:rPr>
        <w:t>p</w:t>
      </w:r>
      <w:r>
        <w:rPr>
          <w:rFonts w:ascii="Times New Roman" w:eastAsia="Times New Roman" w:hAnsi="Times New Roman" w:cs="Times New Roman"/>
          <w:sz w:val="14"/>
        </w:rPr>
        <w:t xml:space="preserve">* </w:t>
      </w:r>
      <w:r>
        <w:rPr>
          <w:rFonts w:ascii="Segoe UI Symbol" w:eastAsia="Segoe UI Symbol" w:hAnsi="Segoe UI Symbol" w:cs="Segoe UI Symbol"/>
          <w:sz w:val="39"/>
          <w:u w:val="single" w:color="000000"/>
        </w:rPr>
        <w:t></w:t>
      </w:r>
      <w:r>
        <w:rPr>
          <w:rFonts w:ascii="Times New Roman" w:eastAsia="Times New Roman" w:hAnsi="Times New Roman" w:cs="Times New Roman"/>
          <w:sz w:val="24"/>
        </w:rPr>
        <w:t>1</w:t>
      </w:r>
      <w:r>
        <w:rPr>
          <w:rFonts w:ascii="Segoe UI Symbol" w:eastAsia="Segoe UI Symbol" w:hAnsi="Segoe UI Symbol" w:cs="Segoe UI Symbol"/>
          <w:sz w:val="24"/>
        </w:rPr>
        <w:t></w:t>
      </w:r>
      <w:r>
        <w:rPr>
          <w:rFonts w:ascii="Segoe UI Symbol" w:eastAsia="Segoe UI Symbol" w:hAnsi="Segoe UI Symbol" w:cs="Segoe UI Symbol"/>
          <w:sz w:val="25"/>
        </w:rPr>
        <w:t></w:t>
      </w:r>
      <w:r>
        <w:rPr>
          <w:rFonts w:ascii="Times New Roman" w:eastAsia="Times New Roman" w:hAnsi="Times New Roman" w:cs="Times New Roman"/>
          <w:sz w:val="14"/>
        </w:rPr>
        <w:t>2</w:t>
      </w:r>
      <w:r>
        <w:rPr>
          <w:rFonts w:ascii="Segoe UI Symbol" w:eastAsia="Segoe UI Symbol" w:hAnsi="Segoe UI Symbol" w:cs="Segoe UI Symbol"/>
          <w:sz w:val="39"/>
          <w:u w:val="single" w:color="000000"/>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ab/>
      </w:r>
      <w:r>
        <w:rPr>
          <w:rFonts w:ascii="Times New Roman" w:eastAsia="Times New Roman" w:hAnsi="Times New Roman" w:cs="Times New Roman"/>
          <w:sz w:val="14"/>
        </w:rPr>
        <w:t xml:space="preserve">3 </w:t>
      </w:r>
      <w:r>
        <w:rPr>
          <w:rFonts w:ascii="Times New Roman" w:eastAsia="Times New Roman" w:hAnsi="Times New Roman" w:cs="Times New Roman"/>
          <w:i/>
          <w:sz w:val="24"/>
        </w:rPr>
        <w:t>h</w:t>
      </w:r>
      <w:r>
        <w:rPr>
          <w:rFonts w:ascii="Times New Roman" w:eastAsia="Times New Roman" w:hAnsi="Times New Roman" w:cs="Times New Roman"/>
          <w:sz w:val="14"/>
        </w:rPr>
        <w:t>02</w:t>
      </w:r>
      <w:r>
        <w:rPr>
          <w:rFonts w:ascii="Times New Roman" w:eastAsia="Times New Roman" w:hAnsi="Times New Roman" w:cs="Times New Roman"/>
          <w:sz w:val="14"/>
        </w:rPr>
        <w:tab/>
        <w:t xml:space="preserve">2 </w:t>
      </w:r>
      <w:r>
        <w:rPr>
          <w:rFonts w:ascii="Segoe UI Symbol" w:eastAsia="Segoe UI Symbol" w:hAnsi="Segoe UI Symbol" w:cs="Segoe UI Symbol"/>
          <w:sz w:val="24"/>
        </w:rPr>
        <w:t></w:t>
      </w:r>
      <w:r>
        <w:rPr>
          <w:rFonts w:ascii="Segoe UI Symbol" w:eastAsia="Segoe UI Symbol" w:hAnsi="Segoe UI Symbol" w:cs="Segoe UI Symbol"/>
          <w:sz w:val="24"/>
        </w:rPr>
        <w:tab/>
      </w:r>
      <w:r>
        <w:rPr>
          <w:rFonts w:ascii="Times New Roman" w:eastAsia="Times New Roman" w:hAnsi="Times New Roman" w:cs="Times New Roman"/>
          <w:sz w:val="14"/>
        </w:rPr>
        <w:t xml:space="preserve">3 </w:t>
      </w:r>
      <w:r>
        <w:rPr>
          <w:rFonts w:ascii="Times New Roman" w:eastAsia="Times New Roman" w:hAnsi="Times New Roman" w:cs="Times New Roman"/>
          <w:sz w:val="24"/>
        </w:rPr>
        <w:t>3</w:t>
      </w:r>
      <w:r>
        <w:rPr>
          <w:rFonts w:ascii="Times New Roman" w:eastAsia="Times New Roman" w:hAnsi="Times New Roman" w:cs="Times New Roman"/>
          <w:i/>
          <w:sz w:val="24"/>
        </w:rPr>
        <w:t>h</w:t>
      </w:r>
      <w:r>
        <w:rPr>
          <w:rFonts w:ascii="Times New Roman" w:eastAsia="Times New Roman" w:hAnsi="Times New Roman" w:cs="Times New Roman"/>
          <w:sz w:val="14"/>
        </w:rPr>
        <w:t>0</w:t>
      </w:r>
      <w:r>
        <w:rPr>
          <w:rFonts w:ascii="Times New Roman" w:eastAsia="Times New Roman" w:hAnsi="Times New Roman" w:cs="Times New Roman"/>
          <w:sz w:val="14"/>
        </w:rPr>
        <w:tab/>
      </w:r>
      <w:r>
        <w:rPr>
          <w:rFonts w:ascii="Segoe UI Symbol" w:eastAsia="Segoe UI Symbol" w:hAnsi="Segoe UI Symbol" w:cs="Segoe UI Symbol"/>
          <w:sz w:val="24"/>
        </w:rPr>
        <w:t></w:t>
      </w:r>
      <w:r>
        <w:rPr>
          <w:rFonts w:ascii="Segoe UI Symbol" w:eastAsia="Segoe UI Symbol" w:hAnsi="Segoe UI Symbol" w:cs="Segoe UI Symbol"/>
          <w:sz w:val="24"/>
        </w:rPr>
        <w:tab/>
      </w:r>
      <w:r>
        <w:rPr>
          <w:rFonts w:ascii="Times New Roman" w:eastAsia="Times New Roman" w:hAnsi="Times New Roman" w:cs="Times New Roman"/>
          <w:sz w:val="14"/>
        </w:rPr>
        <w:t xml:space="preserve">2 </w:t>
      </w:r>
      <w:r>
        <w:rPr>
          <w:rFonts w:ascii="Times New Roman" w:eastAsia="Times New Roman" w:hAnsi="Times New Roman" w:cs="Times New Roman"/>
          <w:i/>
          <w:sz w:val="24"/>
        </w:rPr>
        <w:t>z</w:t>
      </w:r>
      <w:r>
        <w:rPr>
          <w:rFonts w:ascii="Times New Roman" w:eastAsia="Times New Roman" w:hAnsi="Times New Roman" w:cs="Times New Roman"/>
          <w:i/>
          <w:sz w:val="24"/>
        </w:rPr>
        <w:tab/>
      </w:r>
      <w:r>
        <w:rPr>
          <w:rFonts w:ascii="Segoe UI Symbol" w:eastAsia="Segoe UI Symbol" w:hAnsi="Segoe UI Symbol" w:cs="Segoe UI Symbol"/>
          <w:sz w:val="24"/>
        </w:rPr>
        <w:t xml:space="preserve"> </w:t>
      </w:r>
      <w:r>
        <w:rPr>
          <w:rFonts w:ascii="Times New Roman" w:eastAsia="Times New Roman" w:hAnsi="Times New Roman" w:cs="Times New Roman"/>
          <w:sz w:val="24"/>
        </w:rPr>
        <w:t>ln</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Segoe UI Symbol" w:eastAsia="Segoe UI Symbol" w:hAnsi="Segoe UI Symbol" w:cs="Segoe UI Symbol"/>
          <w:sz w:val="25"/>
        </w:rPr>
        <w:t></w:t>
      </w:r>
      <w:r>
        <w:rPr>
          <w:rFonts w:ascii="Times New Roman" w:eastAsia="Times New Roman" w:hAnsi="Times New Roman" w:cs="Times New Roman"/>
          <w:sz w:val="14"/>
        </w:rPr>
        <w:t>3</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z</w:t>
      </w:r>
      <w:r>
        <w:rPr>
          <w:rFonts w:ascii="Segoe UI Symbol" w:eastAsia="Segoe UI Symbol" w:hAnsi="Segoe UI Symbol" w:cs="Segoe UI Symbol"/>
          <w:sz w:val="32"/>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p>
    <w:p w:rsidR="0052701D" w:rsidRDefault="00D40929">
      <w:pPr>
        <w:tabs>
          <w:tab w:val="center" w:pos="900"/>
          <w:tab w:val="center" w:pos="1724"/>
          <w:tab w:val="center" w:pos="3001"/>
          <w:tab w:val="center" w:pos="5030"/>
          <w:tab w:val="center" w:pos="6832"/>
          <w:tab w:val="center" w:pos="8393"/>
          <w:tab w:val="center" w:pos="9095"/>
        </w:tabs>
        <w:spacing w:after="29" w:line="248" w:lineRule="auto"/>
      </w:pPr>
      <w:r>
        <w:tab/>
      </w:r>
      <w:r>
        <w:rPr>
          <w:rFonts w:ascii="Segoe UI Symbol" w:eastAsia="Segoe UI Symbol" w:hAnsi="Segoe UI Symbol" w:cs="Segoe UI Symbol"/>
          <w:sz w:val="24"/>
        </w:rPr>
        <w:t></w:t>
      </w:r>
      <w:r>
        <w:rPr>
          <w:rFonts w:ascii="Segoe UI Symbol" w:eastAsia="Segoe UI Symbol" w:hAnsi="Segoe UI Symbol" w:cs="Segoe UI Symbol"/>
          <w:sz w:val="24"/>
        </w:rPr>
        <w:tab/>
      </w:r>
      <w:r>
        <w:rPr>
          <w:rFonts w:ascii="Times New Roman" w:eastAsia="Times New Roman" w:hAnsi="Times New Roman" w:cs="Times New Roman"/>
          <w:i/>
          <w:sz w:val="24"/>
        </w:rPr>
        <w:t>E</w:t>
      </w:r>
      <w:r>
        <w:rPr>
          <w:rFonts w:ascii="Times New Roman" w:eastAsia="Times New Roman" w:hAnsi="Times New Roman" w:cs="Times New Roman"/>
          <w:i/>
          <w:sz w:val="24"/>
        </w:rPr>
        <w:tab/>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Times New Roman" w:eastAsia="Times New Roman" w:hAnsi="Times New Roman" w:cs="Times New Roman"/>
          <w:sz w:val="24"/>
        </w:rPr>
        <w:t>2</w:t>
      </w:r>
      <w:r>
        <w:rPr>
          <w:rFonts w:ascii="Segoe UI Symbol" w:eastAsia="Segoe UI Symbol" w:hAnsi="Segoe UI Symbol" w:cs="Segoe UI Symbol"/>
          <w:sz w:val="32"/>
        </w:rPr>
        <w:t></w:t>
      </w:r>
      <w:r>
        <w:rPr>
          <w:rFonts w:ascii="Segoe UI Symbol" w:eastAsia="Segoe UI Symbol" w:hAnsi="Segoe UI Symbol" w:cs="Segoe UI Symbol"/>
          <w:sz w:val="25"/>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Segoe UI Symbol" w:eastAsia="Segoe UI Symbol" w:hAnsi="Segoe UI Symbol" w:cs="Segoe UI Symbol"/>
          <w:sz w:val="32"/>
        </w:rPr>
        <w:t xml:space="preserve"> </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Segoe UI Symbol" w:eastAsia="Segoe UI Symbol" w:hAnsi="Segoe UI Symbol" w:cs="Segoe UI Symbol"/>
          <w:sz w:val="25"/>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z</w:t>
      </w:r>
      <w:r>
        <w:rPr>
          <w:rFonts w:ascii="Segoe UI Symbol" w:eastAsia="Segoe UI Symbol" w:hAnsi="Segoe UI Symbol" w:cs="Segoe UI Symbol"/>
          <w:sz w:val="32"/>
        </w:rPr>
        <w:t></w:t>
      </w:r>
      <w:r>
        <w:rPr>
          <w:rFonts w:ascii="Segoe UI Symbol" w:eastAsia="Segoe UI Symbol" w:hAnsi="Segoe UI Symbol" w:cs="Segoe UI Symbol"/>
          <w:sz w:val="32"/>
        </w:rPr>
        <w:tab/>
      </w:r>
      <w:r>
        <w:rPr>
          <w:rFonts w:ascii="Segoe UI Symbol" w:eastAsia="Segoe UI Symbol" w:hAnsi="Segoe UI Symbol" w:cs="Segoe UI Symbol"/>
          <w:sz w:val="32"/>
        </w:rPr>
        <w:t></w:t>
      </w:r>
      <w:r>
        <w:rPr>
          <w:rFonts w:ascii="Segoe UI Symbol" w:eastAsia="Segoe UI Symbol" w:hAnsi="Segoe UI Symbol" w:cs="Segoe UI Symbol"/>
          <w:sz w:val="25"/>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Segoe UI Symbol" w:eastAsia="Segoe UI Symbol" w:hAnsi="Segoe UI Symbol" w:cs="Segoe UI Symbol"/>
          <w:sz w:val="32"/>
        </w:rPr>
        <w:t xml:space="preserve"> </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Segoe UI Symbol" w:eastAsia="Segoe UI Symbol" w:hAnsi="Segoe UI Symbol" w:cs="Segoe UI Symbol"/>
          <w:sz w:val="25"/>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z</w:t>
      </w:r>
      <w:r>
        <w:rPr>
          <w:rFonts w:ascii="Segoe UI Symbol" w:eastAsia="Segoe UI Symbol" w:hAnsi="Segoe UI Symbol" w:cs="Segoe UI Symbol"/>
          <w:sz w:val="32"/>
        </w:rPr>
        <w:t></w:t>
      </w:r>
      <w:r>
        <w:rPr>
          <w:rFonts w:ascii="Segoe UI Symbol" w:eastAsia="Segoe UI Symbol" w:hAnsi="Segoe UI Symbol" w:cs="Segoe UI Symbol"/>
          <w:sz w:val="32"/>
        </w:rPr>
        <w:tab/>
      </w:r>
      <w:r>
        <w:rPr>
          <w:rFonts w:ascii="Segoe UI Symbol" w:eastAsia="Segoe UI Symbol" w:hAnsi="Segoe UI Symbol" w:cs="Segoe UI Symbol"/>
          <w:sz w:val="32"/>
        </w:rPr>
        <w:t></w:t>
      </w:r>
      <w:r>
        <w:rPr>
          <w:rFonts w:ascii="Segoe UI Symbol" w:eastAsia="Segoe UI Symbol" w:hAnsi="Segoe UI Symbol" w:cs="Segoe UI Symbol"/>
          <w:sz w:val="25"/>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Segoe UI Symbol" w:eastAsia="Segoe UI Symbol" w:hAnsi="Segoe UI Symbol" w:cs="Segoe UI Symbol"/>
          <w:sz w:val="32"/>
        </w:rPr>
        <w:t xml:space="preserve"> </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Segoe UI Symbol" w:eastAsia="Segoe UI Symbol" w:hAnsi="Segoe UI Symbol" w:cs="Segoe UI Symbol"/>
          <w:sz w:val="25"/>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z</w:t>
      </w:r>
      <w:r>
        <w:rPr>
          <w:rFonts w:ascii="Segoe UI Symbol" w:eastAsia="Segoe UI Symbol" w:hAnsi="Segoe UI Symbol" w:cs="Segoe UI Symbol"/>
          <w:sz w:val="32"/>
        </w:rPr>
        <w:t></w:t>
      </w:r>
      <w:r>
        <w:rPr>
          <w:rFonts w:ascii="Segoe UI Symbol" w:eastAsia="Segoe UI Symbol" w:hAnsi="Segoe UI Symbol" w:cs="Segoe UI Symbol"/>
          <w:sz w:val="32"/>
        </w:rPr>
        <w:tab/>
      </w:r>
      <w:r>
        <w:rPr>
          <w:rFonts w:ascii="Segoe UI Symbol" w:eastAsia="Segoe UI Symbol" w:hAnsi="Segoe UI Symbol" w:cs="Segoe UI Symbol"/>
          <w:sz w:val="32"/>
        </w:rPr>
        <w:t></w:t>
      </w:r>
      <w:r>
        <w:rPr>
          <w:rFonts w:ascii="Segoe UI Symbol" w:eastAsia="Segoe UI Symbol" w:hAnsi="Segoe UI Symbol" w:cs="Segoe UI Symbol"/>
          <w:sz w:val="25"/>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Segoe UI Symbol" w:eastAsia="Segoe UI Symbol" w:hAnsi="Segoe UI Symbol" w:cs="Segoe UI Symbol"/>
          <w:sz w:val="32"/>
        </w:rPr>
        <w:t></w:t>
      </w:r>
      <w:r>
        <w:rPr>
          <w:rFonts w:ascii="Segoe UI Symbol" w:eastAsia="Segoe UI Symbol" w:hAnsi="Segoe UI Symbol" w:cs="Segoe UI Symbol"/>
          <w:sz w:val="32"/>
        </w:rPr>
        <w:tab/>
      </w:r>
      <w:r>
        <w:rPr>
          <w:rFonts w:ascii="Segoe UI Symbol" w:eastAsia="Segoe UI Symbol" w:hAnsi="Segoe UI Symbol" w:cs="Segoe UI Symbol"/>
          <w:sz w:val="24"/>
        </w:rPr>
        <w:t></w:t>
      </w:r>
      <w:r>
        <w:rPr>
          <w:rFonts w:ascii="Segoe UI Symbol" w:eastAsia="Segoe UI Symbol" w:hAnsi="Segoe UI Symbol" w:cs="Segoe UI Symbol"/>
          <w:sz w:val="24"/>
        </w:rPr>
        <w:t></w:t>
      </w:r>
    </w:p>
    <w:p w:rsidR="0052701D" w:rsidRDefault="00D40929">
      <w:pPr>
        <w:spacing w:after="4" w:line="258" w:lineRule="auto"/>
        <w:ind w:left="864" w:hanging="10"/>
      </w:pPr>
      <w:r>
        <w:rPr>
          <w:rFonts w:ascii="Segoe UI Symbol" w:eastAsia="Segoe UI Symbol" w:hAnsi="Segoe UI Symbol" w:cs="Segoe UI Symbol"/>
          <w:sz w:val="24"/>
        </w:rPr>
        <w:t></w:t>
      </w:r>
    </w:p>
    <w:p w:rsidR="0052701D" w:rsidRDefault="00D40929">
      <w:pPr>
        <w:spacing w:after="3"/>
        <w:ind w:left="891" w:right="208" w:hanging="848"/>
      </w:pPr>
      <w:r>
        <w:rPr>
          <w:noProof/>
        </w:rPr>
        <mc:AlternateContent>
          <mc:Choice Requires="wpg">
            <w:drawing>
              <wp:anchor distT="0" distB="0" distL="114300" distR="114300" simplePos="0" relativeHeight="251744256" behindDoc="0" locked="0" layoutInCell="1" allowOverlap="1">
                <wp:simplePos x="0" y="0"/>
                <wp:positionH relativeFrom="column">
                  <wp:posOffset>554163</wp:posOffset>
                </wp:positionH>
                <wp:positionV relativeFrom="paragraph">
                  <wp:posOffset>217849</wp:posOffset>
                </wp:positionV>
                <wp:extent cx="3192060" cy="6266"/>
                <wp:effectExtent l="0" t="0" r="0" b="0"/>
                <wp:wrapNone/>
                <wp:docPr id="919980" name="Group 919980"/>
                <wp:cNvGraphicFramePr/>
                <a:graphic xmlns:a="http://schemas.openxmlformats.org/drawingml/2006/main">
                  <a:graphicData uri="http://schemas.microsoft.com/office/word/2010/wordprocessingGroup">
                    <wpg:wgp>
                      <wpg:cNvGrpSpPr/>
                      <wpg:grpSpPr>
                        <a:xfrm>
                          <a:off x="0" y="0"/>
                          <a:ext cx="3192060" cy="6266"/>
                          <a:chOff x="0" y="0"/>
                          <a:chExt cx="3192060" cy="6266"/>
                        </a:xfrm>
                      </wpg:grpSpPr>
                      <wps:wsp>
                        <wps:cNvPr id="13271" name="Shape 13271"/>
                        <wps:cNvSpPr/>
                        <wps:spPr>
                          <a:xfrm>
                            <a:off x="0" y="0"/>
                            <a:ext cx="786298" cy="0"/>
                          </a:xfrm>
                          <a:custGeom>
                            <a:avLst/>
                            <a:gdLst/>
                            <a:ahLst/>
                            <a:cxnLst/>
                            <a:rect l="0" t="0" r="0" b="0"/>
                            <a:pathLst>
                              <a:path w="786298">
                                <a:moveTo>
                                  <a:pt x="0" y="0"/>
                                </a:moveTo>
                                <a:lnTo>
                                  <a:pt x="786298" y="0"/>
                                </a:lnTo>
                              </a:path>
                            </a:pathLst>
                          </a:custGeom>
                          <a:ln w="6266" cap="flat">
                            <a:round/>
                          </a:ln>
                        </wps:spPr>
                        <wps:style>
                          <a:lnRef idx="1">
                            <a:srgbClr val="000000"/>
                          </a:lnRef>
                          <a:fillRef idx="0">
                            <a:srgbClr val="000000">
                              <a:alpha val="0"/>
                            </a:srgbClr>
                          </a:fillRef>
                          <a:effectRef idx="0">
                            <a:scrgbClr r="0" g="0" b="0"/>
                          </a:effectRef>
                          <a:fontRef idx="none"/>
                        </wps:style>
                        <wps:bodyPr/>
                      </wps:wsp>
                      <wps:wsp>
                        <wps:cNvPr id="13274" name="Shape 13274"/>
                        <wps:cNvSpPr/>
                        <wps:spPr>
                          <a:xfrm>
                            <a:off x="876574" y="0"/>
                            <a:ext cx="632185" cy="0"/>
                          </a:xfrm>
                          <a:custGeom>
                            <a:avLst/>
                            <a:gdLst/>
                            <a:ahLst/>
                            <a:cxnLst/>
                            <a:rect l="0" t="0" r="0" b="0"/>
                            <a:pathLst>
                              <a:path w="632185">
                                <a:moveTo>
                                  <a:pt x="0" y="0"/>
                                </a:moveTo>
                                <a:lnTo>
                                  <a:pt x="632185" y="0"/>
                                </a:lnTo>
                              </a:path>
                            </a:pathLst>
                          </a:custGeom>
                          <a:ln w="6266" cap="flat">
                            <a:round/>
                          </a:ln>
                        </wps:spPr>
                        <wps:style>
                          <a:lnRef idx="1">
                            <a:srgbClr val="000000"/>
                          </a:lnRef>
                          <a:fillRef idx="0">
                            <a:srgbClr val="000000">
                              <a:alpha val="0"/>
                            </a:srgbClr>
                          </a:fillRef>
                          <a:effectRef idx="0">
                            <a:scrgbClr r="0" g="0" b="0"/>
                          </a:effectRef>
                          <a:fontRef idx="none"/>
                        </wps:style>
                        <wps:bodyPr/>
                      </wps:wsp>
                      <wps:wsp>
                        <wps:cNvPr id="13279" name="Shape 13279"/>
                        <wps:cNvSpPr/>
                        <wps:spPr>
                          <a:xfrm>
                            <a:off x="1656610" y="0"/>
                            <a:ext cx="755415" cy="0"/>
                          </a:xfrm>
                          <a:custGeom>
                            <a:avLst/>
                            <a:gdLst/>
                            <a:ahLst/>
                            <a:cxnLst/>
                            <a:rect l="0" t="0" r="0" b="0"/>
                            <a:pathLst>
                              <a:path w="755415">
                                <a:moveTo>
                                  <a:pt x="0" y="0"/>
                                </a:moveTo>
                                <a:lnTo>
                                  <a:pt x="755415" y="0"/>
                                </a:lnTo>
                              </a:path>
                            </a:pathLst>
                          </a:custGeom>
                          <a:ln w="6266" cap="flat">
                            <a:round/>
                          </a:ln>
                        </wps:spPr>
                        <wps:style>
                          <a:lnRef idx="1">
                            <a:srgbClr val="000000"/>
                          </a:lnRef>
                          <a:fillRef idx="0">
                            <a:srgbClr val="000000">
                              <a:alpha val="0"/>
                            </a:srgbClr>
                          </a:fillRef>
                          <a:effectRef idx="0">
                            <a:scrgbClr r="0" g="0" b="0"/>
                          </a:effectRef>
                          <a:fontRef idx="none"/>
                        </wps:style>
                        <wps:bodyPr/>
                      </wps:wsp>
                      <wps:wsp>
                        <wps:cNvPr id="13282" name="Shape 13282"/>
                        <wps:cNvSpPr/>
                        <wps:spPr>
                          <a:xfrm>
                            <a:off x="2559876" y="0"/>
                            <a:ext cx="632185" cy="0"/>
                          </a:xfrm>
                          <a:custGeom>
                            <a:avLst/>
                            <a:gdLst/>
                            <a:ahLst/>
                            <a:cxnLst/>
                            <a:rect l="0" t="0" r="0" b="0"/>
                            <a:pathLst>
                              <a:path w="632185">
                                <a:moveTo>
                                  <a:pt x="0" y="0"/>
                                </a:moveTo>
                                <a:lnTo>
                                  <a:pt x="632185" y="0"/>
                                </a:lnTo>
                              </a:path>
                            </a:pathLst>
                          </a:custGeom>
                          <a:ln w="6266"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9980" style="width:251.343pt;height:0.493359pt;position:absolute;z-index:1524;mso-position-horizontal-relative:text;mso-position-horizontal:absolute;margin-left:43.6349pt;mso-position-vertical-relative:text;margin-top:17.1534pt;" coordsize="31920,62">
                <v:shape id="Shape 13271" style="position:absolute;width:7862;height:0;left:0;top:0;" coordsize="786298,0" path="m0,0l786298,0">
                  <v:stroke weight="0.493359pt" endcap="flat" joinstyle="round" on="true" color="#000000"/>
                  <v:fill on="false" color="#000000" opacity="0"/>
                </v:shape>
                <v:shape id="Shape 13274" style="position:absolute;width:6321;height:0;left:8765;top:0;" coordsize="632185,0" path="m0,0l632185,0">
                  <v:stroke weight="0.493359pt" endcap="flat" joinstyle="round" on="true" color="#000000"/>
                  <v:fill on="false" color="#000000" opacity="0"/>
                </v:shape>
                <v:shape id="Shape 13279" style="position:absolute;width:7554;height:0;left:16566;top:0;" coordsize="755415,0" path="m0,0l755415,0">
                  <v:stroke weight="0.493359pt" endcap="flat" joinstyle="round" on="true" color="#000000"/>
                  <v:fill on="false" color="#000000" opacity="0"/>
                </v:shape>
                <v:shape id="Shape 13282" style="position:absolute;width:6321;height:0;left:25598;top:0;" coordsize="632185,0" path="m0,0l632185,0">
                  <v:stroke weight="0.493359pt" endcap="flat" joinstyle="round" on="true" color="#000000"/>
                  <v:fill on="false" color="#000000" opacity="0"/>
                </v:shape>
              </v:group>
            </w:pict>
          </mc:Fallback>
        </mc:AlternateContent>
      </w:r>
      <w:r>
        <w:rPr>
          <w:rFonts w:ascii="Segoe UI Symbol" w:eastAsia="Segoe UI Symbol" w:hAnsi="Segoe UI Symbol" w:cs="Segoe UI Symbol"/>
          <w:sz w:val="25"/>
        </w:rPr>
        <w:t></w:t>
      </w:r>
      <w:r>
        <w:rPr>
          <w:rFonts w:ascii="Times New Roman" w:eastAsia="Times New Roman" w:hAnsi="Times New Roman" w:cs="Times New Roman"/>
          <w:sz w:val="25"/>
        </w:rPr>
        <w:t>24</w:t>
      </w:r>
      <w:r>
        <w:rPr>
          <w:rFonts w:ascii="Segoe UI Symbol" w:eastAsia="Segoe UI Symbol" w:hAnsi="Segoe UI Symbol" w:cs="Segoe UI Symbol"/>
          <w:sz w:val="26"/>
        </w:rPr>
        <w:t></w:t>
      </w:r>
      <w:r>
        <w:rPr>
          <w:rFonts w:ascii="Segoe UI Symbol" w:eastAsia="Segoe UI Symbol" w:hAnsi="Segoe UI Symbol" w:cs="Segoe UI Symbol"/>
          <w:sz w:val="26"/>
        </w:rPr>
        <w:t></w:t>
      </w:r>
      <w:r>
        <w:rPr>
          <w:rFonts w:ascii="Times New Roman" w:eastAsia="Times New Roman" w:hAnsi="Times New Roman" w:cs="Times New Roman"/>
          <w:sz w:val="15"/>
        </w:rPr>
        <w:t xml:space="preserve">2 </w:t>
      </w:r>
      <w:r>
        <w:rPr>
          <w:rFonts w:ascii="Segoe UI Symbol" w:eastAsia="Segoe UI Symbol" w:hAnsi="Segoe UI Symbol" w:cs="Segoe UI Symbol"/>
          <w:sz w:val="25"/>
        </w:rPr>
        <w:t></w:t>
      </w:r>
      <w:r>
        <w:rPr>
          <w:rFonts w:ascii="Times New Roman" w:eastAsia="Times New Roman" w:hAnsi="Times New Roman" w:cs="Times New Roman"/>
          <w:i/>
          <w:sz w:val="25"/>
        </w:rPr>
        <w:t>E</w:t>
      </w:r>
      <w:r>
        <w:rPr>
          <w:rFonts w:ascii="Segoe UI Symbol" w:eastAsia="Segoe UI Symbol" w:hAnsi="Segoe UI Symbol" w:cs="Segoe UI Symbol"/>
          <w:sz w:val="26"/>
        </w:rPr>
        <w:t></w:t>
      </w:r>
      <w:r>
        <w:rPr>
          <w:rFonts w:ascii="Segoe UI Symbol" w:eastAsia="Segoe UI Symbol" w:hAnsi="Segoe UI Symbol" w:cs="Segoe UI Symbol"/>
          <w:sz w:val="33"/>
        </w:rPr>
        <w:t></w:t>
      </w:r>
      <w:r>
        <w:rPr>
          <w:rFonts w:ascii="Segoe UI Symbol" w:eastAsia="Segoe UI Symbol" w:hAnsi="Segoe UI Symbol" w:cs="Segoe UI Symbol"/>
          <w:sz w:val="26"/>
        </w:rPr>
        <w:t></w:t>
      </w:r>
      <w:r>
        <w:rPr>
          <w:rFonts w:ascii="Times New Roman" w:eastAsia="Times New Roman" w:hAnsi="Times New Roman" w:cs="Times New Roman"/>
          <w:sz w:val="15"/>
        </w:rPr>
        <w:t>2</w:t>
      </w:r>
      <w:r>
        <w:rPr>
          <w:rFonts w:ascii="Times New Roman" w:eastAsia="Times New Roman" w:hAnsi="Times New Roman" w:cs="Times New Roman"/>
          <w:i/>
          <w:sz w:val="25"/>
        </w:rPr>
        <w:t>h</w:t>
      </w:r>
      <w:r>
        <w:rPr>
          <w:rFonts w:ascii="Segoe UI Symbol" w:eastAsia="Segoe UI Symbol" w:hAnsi="Segoe UI Symbol" w:cs="Segoe UI Symbol"/>
          <w:sz w:val="41"/>
        </w:rPr>
        <w:t></w:t>
      </w:r>
      <w:r>
        <w:rPr>
          <w:rFonts w:ascii="Segoe UI Symbol" w:eastAsia="Segoe UI Symbol" w:hAnsi="Segoe UI Symbol" w:cs="Segoe UI Symbol"/>
          <w:sz w:val="33"/>
        </w:rPr>
        <w:t></w:t>
      </w:r>
      <w:r>
        <w:rPr>
          <w:rFonts w:ascii="Times New Roman" w:eastAsia="Times New Roman" w:hAnsi="Times New Roman" w:cs="Times New Roman"/>
          <w:sz w:val="23"/>
          <w:vertAlign w:val="subscript"/>
        </w:rPr>
        <w:t>1</w:t>
      </w:r>
      <w:r>
        <w:rPr>
          <w:rFonts w:ascii="Times New Roman" w:eastAsia="Times New Roman" w:hAnsi="Times New Roman" w:cs="Times New Roman"/>
          <w:sz w:val="25"/>
        </w:rPr>
        <w:t>1</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Times New Roman" w:eastAsia="Times New Roman" w:hAnsi="Times New Roman" w:cs="Times New Roman"/>
          <w:sz w:val="15"/>
        </w:rPr>
        <w:t>3</w:t>
      </w:r>
      <w:r>
        <w:rPr>
          <w:rFonts w:ascii="Segoe UI Symbol" w:eastAsia="Segoe UI Symbol" w:hAnsi="Segoe UI Symbol" w:cs="Segoe UI Symbol"/>
          <w:sz w:val="26"/>
        </w:rPr>
        <w:t></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33"/>
          <w:vertAlign w:val="subscript"/>
        </w:rPr>
        <w:t></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Times New Roman" w:eastAsia="Times New Roman" w:hAnsi="Times New Roman" w:cs="Times New Roman"/>
          <w:sz w:val="25"/>
        </w:rPr>
        <w:t>1</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25"/>
        </w:rPr>
        <w:t xml:space="preserve"> </w:t>
      </w:r>
      <w:r>
        <w:rPr>
          <w:rFonts w:ascii="Times New Roman" w:eastAsia="Times New Roman" w:hAnsi="Times New Roman" w:cs="Times New Roman"/>
          <w:sz w:val="25"/>
        </w:rPr>
        <w:t>ln</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00</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Segoe UI Symbol" w:eastAsia="Segoe UI Symbol" w:hAnsi="Segoe UI Symbol" w:cs="Segoe UI Symbol"/>
          <w:sz w:val="26"/>
        </w:rPr>
        <w:t></w:t>
      </w:r>
      <w:r>
        <w:rPr>
          <w:rFonts w:ascii="Times New Roman" w:eastAsia="Times New Roman" w:hAnsi="Times New Roman" w:cs="Times New Roman"/>
          <w:i/>
          <w:sz w:val="25"/>
        </w:rPr>
        <w:t>hh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33"/>
        </w:rPr>
        <w:t></w:t>
      </w:r>
      <w:r>
        <w:rPr>
          <w:rFonts w:ascii="Segoe UI Symbol" w:eastAsia="Segoe UI Symbol" w:hAnsi="Segoe UI Symbol" w:cs="Segoe UI Symbol"/>
          <w:sz w:val="25"/>
        </w:rPr>
        <w:t xml:space="preserve"> </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Times New Roman" w:eastAsia="Times New Roman" w:hAnsi="Times New Roman" w:cs="Times New Roman"/>
          <w:sz w:val="25"/>
        </w:rPr>
        <w:t>1</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sz w:val="25"/>
        </w:rPr>
        <w:t>72</w:t>
      </w:r>
      <w:r>
        <w:rPr>
          <w:rFonts w:ascii="Segoe UI Symbol" w:eastAsia="Segoe UI Symbol" w:hAnsi="Segoe UI Symbol" w:cs="Segoe UI Symbol"/>
          <w:sz w:val="26"/>
        </w:rPr>
        <w:t></w:t>
      </w:r>
      <w:r>
        <w:rPr>
          <w:rFonts w:ascii="Segoe UI Symbol" w:eastAsia="Segoe UI Symbol" w:hAnsi="Segoe UI Symbol" w:cs="Segoe UI Symbol"/>
          <w:sz w:val="26"/>
        </w:rPr>
        <w:t></w:t>
      </w:r>
      <w:r>
        <w:rPr>
          <w:rFonts w:ascii="Times New Roman" w:eastAsia="Times New Roman" w:hAnsi="Times New Roman" w:cs="Times New Roman"/>
          <w:sz w:val="15"/>
        </w:rPr>
        <w:t xml:space="preserve">0 </w:t>
      </w:r>
      <w:r>
        <w:rPr>
          <w:rFonts w:ascii="Times New Roman" w:eastAsia="Times New Roman" w:hAnsi="Times New Roman" w:cs="Times New Roman"/>
          <w:i/>
          <w:sz w:val="25"/>
        </w:rPr>
        <w:t>RE</w:t>
      </w:r>
      <w:r>
        <w:rPr>
          <w:rFonts w:ascii="Segoe UI Symbol" w:eastAsia="Segoe UI Symbol" w:hAnsi="Segoe UI Symbol" w:cs="Segoe UI Symbol"/>
          <w:sz w:val="41"/>
          <w:u w:val="single" w:color="000000"/>
        </w:rPr>
        <w:t></w:t>
      </w:r>
      <w:r>
        <w:rPr>
          <w:rFonts w:ascii="Times New Roman" w:eastAsia="Times New Roman" w:hAnsi="Times New Roman" w:cs="Times New Roman"/>
          <w:sz w:val="25"/>
        </w:rPr>
        <w:t>1</w:t>
      </w:r>
      <w:r>
        <w:rPr>
          <w:rFonts w:ascii="Segoe UI Symbol" w:eastAsia="Segoe UI Symbol" w:hAnsi="Segoe UI Symbol" w:cs="Segoe UI Symbol"/>
          <w:sz w:val="25"/>
        </w:rPr>
        <w:t></w:t>
      </w:r>
      <w:r>
        <w:rPr>
          <w:rFonts w:ascii="Segoe UI Symbol" w:eastAsia="Segoe UI Symbol" w:hAnsi="Segoe UI Symbol" w:cs="Segoe UI Symbol"/>
          <w:sz w:val="33"/>
        </w:rPr>
        <w:t></w:t>
      </w:r>
      <w:r>
        <w:rPr>
          <w:rFonts w:ascii="Segoe UI Symbol" w:eastAsia="Segoe UI Symbol" w:hAnsi="Segoe UI Symbol" w:cs="Segoe UI Symbol"/>
          <w:sz w:val="26"/>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15"/>
        </w:rPr>
        <w:t>12</w:t>
      </w:r>
      <w:r>
        <w:rPr>
          <w:rFonts w:ascii="Segoe UI Symbol" w:eastAsia="Segoe UI Symbol" w:hAnsi="Segoe UI Symbol" w:cs="Segoe UI Symbol"/>
          <w:sz w:val="33"/>
        </w:rPr>
        <w:t></w:t>
      </w:r>
      <w:r>
        <w:rPr>
          <w:rFonts w:ascii="Segoe UI Symbol" w:eastAsia="Segoe UI Symbol" w:hAnsi="Segoe UI Symbol" w:cs="Segoe UI Symbol"/>
          <w:sz w:val="41"/>
          <w:u w:val="single" w:color="000000"/>
        </w:rPr>
        <w:t></w:t>
      </w:r>
      <w:r>
        <w:rPr>
          <w:rFonts w:ascii="Times New Roman" w:eastAsia="Times New Roman" w:hAnsi="Times New Roman" w:cs="Times New Roman"/>
          <w:sz w:val="15"/>
        </w:rPr>
        <w:t xml:space="preserve">3 </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noProof/>
        </w:rPr>
        <mc:AlternateContent>
          <mc:Choice Requires="wpg">
            <w:drawing>
              <wp:inline distT="0" distB="0" distL="0" distR="0">
                <wp:extent cx="755542" cy="6266"/>
                <wp:effectExtent l="0" t="0" r="0" b="0"/>
                <wp:docPr id="919981" name="Group 919981"/>
                <wp:cNvGraphicFramePr/>
                <a:graphic xmlns:a="http://schemas.openxmlformats.org/drawingml/2006/main">
                  <a:graphicData uri="http://schemas.microsoft.com/office/word/2010/wordprocessingGroup">
                    <wpg:wgp>
                      <wpg:cNvGrpSpPr/>
                      <wpg:grpSpPr>
                        <a:xfrm>
                          <a:off x="0" y="0"/>
                          <a:ext cx="755542" cy="6266"/>
                          <a:chOff x="0" y="0"/>
                          <a:chExt cx="755542" cy="6266"/>
                        </a:xfrm>
                      </wpg:grpSpPr>
                      <wps:wsp>
                        <wps:cNvPr id="13292" name="Shape 13292"/>
                        <wps:cNvSpPr/>
                        <wps:spPr>
                          <a:xfrm>
                            <a:off x="0" y="0"/>
                            <a:ext cx="755542" cy="0"/>
                          </a:xfrm>
                          <a:custGeom>
                            <a:avLst/>
                            <a:gdLst/>
                            <a:ahLst/>
                            <a:cxnLst/>
                            <a:rect l="0" t="0" r="0" b="0"/>
                            <a:pathLst>
                              <a:path w="755542">
                                <a:moveTo>
                                  <a:pt x="0" y="0"/>
                                </a:moveTo>
                                <a:lnTo>
                                  <a:pt x="755542" y="0"/>
                                </a:lnTo>
                              </a:path>
                            </a:pathLst>
                          </a:custGeom>
                          <a:ln w="6266"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9981" style="width:59.4915pt;height:0.493359pt;mso-position-horizontal-relative:char;mso-position-vertical-relative:line" coordsize="7555,62">
                <v:shape id="Shape 13292" style="position:absolute;width:7555;height:0;left:0;top:0;" coordsize="755542,0" path="m0,0l755542,0">
                  <v:stroke weight="0.493359pt" endcap="flat" joinstyle="round" on="true" color="#000000"/>
                  <v:fill on="false" color="#000000" opacity="0"/>
                </v:shape>
              </v:group>
            </w:pict>
          </mc:Fallback>
        </mc:AlternateContent>
      </w:r>
      <w:r>
        <w:rPr>
          <w:rFonts w:ascii="Times New Roman" w:eastAsia="Times New Roman" w:hAnsi="Times New Roman" w:cs="Times New Roman"/>
          <w:sz w:val="25"/>
        </w:rPr>
        <w:t>ln</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Segoe UI Symbol" w:eastAsia="Segoe UI Symbol" w:hAnsi="Segoe UI Symbol" w:cs="Segoe UI Symbol"/>
          <w:sz w:val="33"/>
        </w:rPr>
        <w:t></w:t>
      </w:r>
      <w:r>
        <w:rPr>
          <w:rFonts w:ascii="Times New Roman" w:eastAsia="Times New Roman" w:hAnsi="Times New Roman" w:cs="Times New Roman"/>
          <w:sz w:val="15"/>
        </w:rPr>
        <w:t>0</w:t>
      </w:r>
      <w:r>
        <w:rPr>
          <w:rFonts w:ascii="Times New Roman" w:eastAsia="Times New Roman" w:hAnsi="Times New Roman" w:cs="Times New Roman"/>
          <w:i/>
          <w:sz w:val="25"/>
        </w:rPr>
        <w:t>h</w:t>
      </w:r>
      <w:r>
        <w:rPr>
          <w:rFonts w:ascii="Segoe UI Symbol" w:eastAsia="Segoe UI Symbol" w:hAnsi="Segoe UI Symbol" w:cs="Segoe UI Symbol"/>
          <w:sz w:val="25"/>
        </w:rPr>
        <w:t></w:t>
      </w:r>
      <w:r>
        <w:rPr>
          <w:rFonts w:ascii="Times New Roman" w:eastAsia="Times New Roman" w:hAnsi="Times New Roman" w:cs="Times New Roman"/>
          <w:sz w:val="15"/>
        </w:rPr>
        <w:t xml:space="preserve">0 </w:t>
      </w:r>
      <w:r>
        <w:rPr>
          <w:rFonts w:ascii="Segoe UI Symbol" w:eastAsia="Segoe UI Symbol" w:hAnsi="Segoe UI Symbol" w:cs="Segoe UI Symbol"/>
          <w:sz w:val="26"/>
        </w:rPr>
        <w:t></w:t>
      </w:r>
      <w:r>
        <w:rPr>
          <w:rFonts w:ascii="Segoe UI Symbol" w:eastAsia="Segoe UI Symbol" w:hAnsi="Segoe UI Symbol" w:cs="Segoe UI Symbol"/>
          <w:sz w:val="25"/>
        </w:rPr>
        <w:t></w:t>
      </w:r>
      <w:r>
        <w:rPr>
          <w:rFonts w:ascii="Times New Roman" w:eastAsia="Times New Roman" w:hAnsi="Times New Roman" w:cs="Times New Roman"/>
          <w:i/>
          <w:sz w:val="25"/>
        </w:rPr>
        <w:t>h</w:t>
      </w:r>
      <w:r>
        <w:rPr>
          <w:rFonts w:ascii="Segoe UI Symbol" w:eastAsia="Segoe UI Symbol" w:hAnsi="Segoe UI Symbol" w:cs="Segoe UI Symbol"/>
          <w:sz w:val="26"/>
        </w:rPr>
        <w:t></w:t>
      </w:r>
      <w:r>
        <w:rPr>
          <w:rFonts w:ascii="Times New Roman" w:eastAsia="Times New Roman" w:hAnsi="Times New Roman" w:cs="Times New Roman"/>
          <w:sz w:val="15"/>
        </w:rPr>
        <w:t>1</w:t>
      </w:r>
      <w:r>
        <w:rPr>
          <w:rFonts w:ascii="Times New Roman" w:eastAsia="Times New Roman" w:hAnsi="Times New Roman" w:cs="Times New Roman"/>
          <w:i/>
          <w:sz w:val="25"/>
        </w:rPr>
        <w:t>hz</w:t>
      </w:r>
      <w:r>
        <w:rPr>
          <w:rFonts w:ascii="Times New Roman" w:eastAsia="Times New Roman" w:hAnsi="Times New Roman" w:cs="Times New Roman"/>
          <w:sz w:val="15"/>
        </w:rPr>
        <w:t>1</w:t>
      </w:r>
      <w:r>
        <w:rPr>
          <w:rFonts w:ascii="Segoe UI Symbol" w:eastAsia="Segoe UI Symbol" w:hAnsi="Segoe UI Symbol" w:cs="Segoe UI Symbol"/>
          <w:sz w:val="33"/>
        </w:rPr>
        <w:t></w:t>
      </w:r>
      <w:r>
        <w:rPr>
          <w:rFonts w:ascii="Times New Roman" w:eastAsia="Times New Roman" w:hAnsi="Times New Roman" w:cs="Times New Roman"/>
          <w:i/>
          <w:sz w:val="25"/>
        </w:rPr>
        <w:t>z</w:t>
      </w:r>
      <w:r>
        <w:rPr>
          <w:rFonts w:ascii="Times New Roman" w:eastAsia="Times New Roman" w:hAnsi="Times New Roman" w:cs="Times New Roman"/>
          <w:sz w:val="15"/>
        </w:rPr>
        <w:t>2</w:t>
      </w:r>
      <w:r>
        <w:rPr>
          <w:rFonts w:ascii="Segoe UI Symbol" w:eastAsia="Segoe UI Symbol" w:hAnsi="Segoe UI Symbol" w:cs="Segoe UI Symbol"/>
          <w:sz w:val="33"/>
        </w:rPr>
        <w:t></w:t>
      </w:r>
      <w:r>
        <w:rPr>
          <w:rFonts w:ascii="Segoe UI Symbol" w:eastAsia="Segoe UI Symbol" w:hAnsi="Segoe UI Symbol" w:cs="Segoe UI Symbol"/>
          <w:sz w:val="25"/>
        </w:rPr>
        <w:t xml:space="preserve"> </w:t>
      </w:r>
      <w:r>
        <w:rPr>
          <w:rFonts w:ascii="Segoe UI Symbol" w:eastAsia="Segoe UI Symbol" w:hAnsi="Segoe UI Symbol" w:cs="Segoe UI Symbol"/>
          <w:sz w:val="41"/>
        </w:rPr>
        <w:t></w:t>
      </w:r>
      <w:r>
        <w:rPr>
          <w:rFonts w:ascii="Times New Roman" w:eastAsia="Times New Roman" w:hAnsi="Times New Roman" w:cs="Times New Roman"/>
          <w:sz w:val="25"/>
        </w:rPr>
        <w:t>1</w:t>
      </w:r>
    </w:p>
    <w:p w:rsidR="0052701D" w:rsidRDefault="00D40929">
      <w:pPr>
        <w:tabs>
          <w:tab w:val="center" w:pos="856"/>
          <w:tab w:val="center" w:pos="3335"/>
          <w:tab w:val="center" w:pos="5730"/>
          <w:tab w:val="center" w:pos="7307"/>
        </w:tabs>
        <w:spacing w:after="74" w:line="268" w:lineRule="auto"/>
      </w:pPr>
      <w:r>
        <w:rPr>
          <w:noProof/>
        </w:rPr>
        <mc:AlternateContent>
          <mc:Choice Requires="wpg">
            <w:drawing>
              <wp:anchor distT="0" distB="0" distL="114300" distR="114300" simplePos="0" relativeHeight="251745280" behindDoc="0" locked="0" layoutInCell="1" allowOverlap="1">
                <wp:simplePos x="0" y="0"/>
                <wp:positionH relativeFrom="column">
                  <wp:posOffset>2390090</wp:posOffset>
                </wp:positionH>
                <wp:positionV relativeFrom="paragraph">
                  <wp:posOffset>149606</wp:posOffset>
                </wp:positionV>
                <wp:extent cx="1571734" cy="6257"/>
                <wp:effectExtent l="0" t="0" r="0" b="0"/>
                <wp:wrapNone/>
                <wp:docPr id="919983" name="Group 919983"/>
                <wp:cNvGraphicFramePr/>
                <a:graphic xmlns:a="http://schemas.openxmlformats.org/drawingml/2006/main">
                  <a:graphicData uri="http://schemas.microsoft.com/office/word/2010/wordprocessingGroup">
                    <wpg:wgp>
                      <wpg:cNvGrpSpPr/>
                      <wpg:grpSpPr>
                        <a:xfrm>
                          <a:off x="0" y="0"/>
                          <a:ext cx="1571734" cy="6257"/>
                          <a:chOff x="0" y="0"/>
                          <a:chExt cx="1571734" cy="6257"/>
                        </a:xfrm>
                      </wpg:grpSpPr>
                      <wps:wsp>
                        <wps:cNvPr id="13393" name="Shape 13393"/>
                        <wps:cNvSpPr/>
                        <wps:spPr>
                          <a:xfrm>
                            <a:off x="0" y="0"/>
                            <a:ext cx="770485" cy="0"/>
                          </a:xfrm>
                          <a:custGeom>
                            <a:avLst/>
                            <a:gdLst/>
                            <a:ahLst/>
                            <a:cxnLst/>
                            <a:rect l="0" t="0" r="0" b="0"/>
                            <a:pathLst>
                              <a:path w="770485">
                                <a:moveTo>
                                  <a:pt x="0" y="0"/>
                                </a:moveTo>
                                <a:lnTo>
                                  <a:pt x="770485" y="0"/>
                                </a:lnTo>
                              </a:path>
                            </a:pathLst>
                          </a:custGeom>
                          <a:ln w="6257" cap="flat">
                            <a:round/>
                          </a:ln>
                        </wps:spPr>
                        <wps:style>
                          <a:lnRef idx="1">
                            <a:srgbClr val="000000"/>
                          </a:lnRef>
                          <a:fillRef idx="0">
                            <a:srgbClr val="000000">
                              <a:alpha val="0"/>
                            </a:srgbClr>
                          </a:fillRef>
                          <a:effectRef idx="0">
                            <a:scrgbClr r="0" g="0" b="0"/>
                          </a:effectRef>
                          <a:fontRef idx="none"/>
                        </wps:style>
                        <wps:bodyPr/>
                      </wps:wsp>
                      <wps:wsp>
                        <wps:cNvPr id="13396" name="Shape 13396"/>
                        <wps:cNvSpPr/>
                        <wps:spPr>
                          <a:xfrm>
                            <a:off x="924809" y="0"/>
                            <a:ext cx="646925" cy="0"/>
                          </a:xfrm>
                          <a:custGeom>
                            <a:avLst/>
                            <a:gdLst/>
                            <a:ahLst/>
                            <a:cxnLst/>
                            <a:rect l="0" t="0" r="0" b="0"/>
                            <a:pathLst>
                              <a:path w="646925">
                                <a:moveTo>
                                  <a:pt x="0" y="0"/>
                                </a:moveTo>
                                <a:lnTo>
                                  <a:pt x="646925" y="0"/>
                                </a:lnTo>
                              </a:path>
                            </a:pathLst>
                          </a:custGeom>
                          <a:ln w="6257"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9983" style="width:123.759pt;height:0.492662pt;position:absolute;z-index:1642;mso-position-horizontal-relative:text;mso-position-horizontal:absolute;margin-left:188.196pt;mso-position-vertical-relative:text;margin-top:11.78pt;" coordsize="15717,62">
                <v:shape id="Shape 13393" style="position:absolute;width:7704;height:0;left:0;top:0;" coordsize="770485,0" path="m0,0l770485,0">
                  <v:stroke weight="0.492662pt" endcap="flat" joinstyle="round" on="true" color="#000000"/>
                  <v:fill on="false" color="#000000" opacity="0"/>
                </v:shape>
                <v:shape id="Shape 13396" style="position:absolute;width:6469;height:0;left:9248;top:0;" coordsize="646925,0" path="m0,0l646925,0">
                  <v:stroke weight="0.492662pt" endcap="flat" joinstyle="round" on="true" color="#000000"/>
                  <v:fill on="false" color="#000000" opacity="0"/>
                </v:shape>
              </v:group>
            </w:pict>
          </mc:Fallback>
        </mc:AlternateContent>
      </w:r>
      <w:r>
        <w:rPr>
          <w:rFonts w:ascii="Segoe UI Symbol" w:eastAsia="Segoe UI Symbol" w:hAnsi="Segoe UI Symbol" w:cs="Segoe UI Symbol"/>
          <w:sz w:val="25"/>
        </w:rPr>
        <w:t></w:t>
      </w:r>
      <w:r>
        <w:rPr>
          <w:rFonts w:ascii="Segoe UI Symbol" w:eastAsia="Segoe UI Symbol" w:hAnsi="Segoe UI Symbol" w:cs="Segoe UI Symbol"/>
          <w:sz w:val="25"/>
        </w:rPr>
        <w:tab/>
      </w:r>
      <w:r>
        <w:rPr>
          <w:noProof/>
        </w:rPr>
        <mc:AlternateContent>
          <mc:Choice Requires="wpg">
            <w:drawing>
              <wp:inline distT="0" distB="0" distL="0" distR="0">
                <wp:extent cx="802132" cy="6257"/>
                <wp:effectExtent l="0" t="0" r="0" b="0"/>
                <wp:docPr id="919982" name="Group 919982"/>
                <wp:cNvGraphicFramePr/>
                <a:graphic xmlns:a="http://schemas.openxmlformats.org/drawingml/2006/main">
                  <a:graphicData uri="http://schemas.microsoft.com/office/word/2010/wordprocessingGroup">
                    <wpg:wgp>
                      <wpg:cNvGrpSpPr/>
                      <wpg:grpSpPr>
                        <a:xfrm>
                          <a:off x="0" y="0"/>
                          <a:ext cx="802132" cy="6257"/>
                          <a:chOff x="0" y="0"/>
                          <a:chExt cx="802132" cy="6257"/>
                        </a:xfrm>
                      </wpg:grpSpPr>
                      <wps:wsp>
                        <wps:cNvPr id="13383" name="Shape 13383"/>
                        <wps:cNvSpPr/>
                        <wps:spPr>
                          <a:xfrm>
                            <a:off x="0" y="0"/>
                            <a:ext cx="802132" cy="0"/>
                          </a:xfrm>
                          <a:custGeom>
                            <a:avLst/>
                            <a:gdLst/>
                            <a:ahLst/>
                            <a:cxnLst/>
                            <a:rect l="0" t="0" r="0" b="0"/>
                            <a:pathLst>
                              <a:path w="802132">
                                <a:moveTo>
                                  <a:pt x="0" y="0"/>
                                </a:moveTo>
                                <a:lnTo>
                                  <a:pt x="802132" y="0"/>
                                </a:lnTo>
                              </a:path>
                            </a:pathLst>
                          </a:custGeom>
                          <a:ln w="625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9982" style="width:63.16pt;height:0.492662pt;mso-position-horizontal-relative:char;mso-position-vertical-relative:line" coordsize="8021,62">
                <v:shape id="Shape 13383" style="position:absolute;width:8021;height:0;left:0;top:0;" coordsize="802132,0" path="m0,0l802132,0">
                  <v:stroke weight="0.492662pt" endcap="flat" joinstyle="round" on="true" color="#000000"/>
                  <v:fill on="false" color="#000000" opacity="0"/>
                </v:shape>
              </v:group>
            </w:pict>
          </mc:Fallback>
        </mc:AlternateContent>
      </w:r>
      <w:r>
        <w:rPr>
          <w:rFonts w:ascii="Times New Roman" w:eastAsia="Times New Roman" w:hAnsi="Times New Roman" w:cs="Times New Roman"/>
          <w:sz w:val="25"/>
        </w:rPr>
        <w:t>1</w:t>
      </w:r>
      <w:r>
        <w:rPr>
          <w:rFonts w:ascii="Times New Roman" w:eastAsia="Times New Roman" w:hAnsi="Times New Roman" w:cs="Times New Roman"/>
          <w:sz w:val="25"/>
        </w:rPr>
        <w:tab/>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sz w:val="25"/>
        </w:rPr>
        <w:t>144</w:t>
      </w:r>
      <w:r>
        <w:rPr>
          <w:rFonts w:ascii="Segoe UI Symbol" w:eastAsia="Segoe UI Symbol" w:hAnsi="Segoe UI Symbol" w:cs="Segoe UI Symbol"/>
          <w:sz w:val="26"/>
        </w:rPr>
        <w:t></w:t>
      </w:r>
      <w:r>
        <w:rPr>
          <w:rFonts w:ascii="Segoe UI Symbol" w:eastAsia="Segoe UI Symbol" w:hAnsi="Segoe UI Symbol" w:cs="Segoe UI Symbol"/>
          <w:sz w:val="26"/>
        </w:rPr>
        <w:t xml:space="preserve"> </w:t>
      </w:r>
      <w:r>
        <w:rPr>
          <w:rFonts w:ascii="Segoe UI Symbol" w:eastAsia="Segoe UI Symbol" w:hAnsi="Segoe UI Symbol" w:cs="Segoe UI Symbol"/>
          <w:sz w:val="40"/>
          <w:u w:val="single" w:color="000000"/>
        </w:rPr>
        <w:t></w:t>
      </w:r>
      <w:r>
        <w:rPr>
          <w:rFonts w:ascii="Times New Roman" w:eastAsia="Times New Roman" w:hAnsi="Times New Roman" w:cs="Times New Roman"/>
          <w:sz w:val="25"/>
        </w:rPr>
        <w:t>1</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sz w:val="15"/>
        </w:rPr>
        <w:t xml:space="preserve">2 </w:t>
      </w:r>
      <w:r>
        <w:rPr>
          <w:rFonts w:ascii="Segoe UI Symbol" w:eastAsia="Segoe UI Symbol" w:hAnsi="Segoe UI Symbol" w:cs="Segoe UI Symbol"/>
          <w:sz w:val="40"/>
          <w:u w:val="single" w:color="000000"/>
        </w:rPr>
        <w:t></w:t>
      </w:r>
      <w:r>
        <w:rPr>
          <w:rFonts w:ascii="Times New Roman" w:eastAsia="Times New Roman" w:hAnsi="Times New Roman" w:cs="Times New Roman"/>
          <w:sz w:val="15"/>
        </w:rPr>
        <w:t xml:space="preserve">2 </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sz w:val="25"/>
        </w:rPr>
        <w:t>ln</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Segoe UI Symbol" w:eastAsia="Segoe UI Symbol" w:hAnsi="Segoe UI Symbol" w:cs="Segoe UI Symbol"/>
          <w:sz w:val="25"/>
        </w:rPr>
        <w:tab/>
      </w:r>
      <w:r>
        <w:rPr>
          <w:rFonts w:ascii="Times New Roman" w:eastAsia="Times New Roman" w:hAnsi="Times New Roman" w:cs="Times New Roman"/>
          <w:sz w:val="25"/>
        </w:rPr>
        <w:t>1</w:t>
      </w:r>
      <w:r>
        <w:rPr>
          <w:rFonts w:ascii="Times New Roman" w:eastAsia="Times New Roman" w:hAnsi="Times New Roman" w:cs="Times New Roman"/>
          <w:sz w:val="25"/>
        </w:rPr>
        <w:tab/>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Segoe UI Symbol" w:eastAsia="Segoe UI Symbol" w:hAnsi="Segoe UI Symbol" w:cs="Segoe UI Symbol"/>
          <w:sz w:val="25"/>
        </w:rPr>
        <w:t xml:space="preserve"> </w:t>
      </w:r>
      <w:r>
        <w:rPr>
          <w:noProof/>
        </w:rPr>
        <mc:AlternateContent>
          <mc:Choice Requires="wpg">
            <w:drawing>
              <wp:inline distT="0" distB="0" distL="0" distR="0">
                <wp:extent cx="801754" cy="6257"/>
                <wp:effectExtent l="0" t="0" r="0" b="0"/>
                <wp:docPr id="919984" name="Group 919984"/>
                <wp:cNvGraphicFramePr/>
                <a:graphic xmlns:a="http://schemas.openxmlformats.org/drawingml/2006/main">
                  <a:graphicData uri="http://schemas.microsoft.com/office/word/2010/wordprocessingGroup">
                    <wpg:wgp>
                      <wpg:cNvGrpSpPr/>
                      <wpg:grpSpPr>
                        <a:xfrm>
                          <a:off x="0" y="0"/>
                          <a:ext cx="801754" cy="6257"/>
                          <a:chOff x="0" y="0"/>
                          <a:chExt cx="801754" cy="6257"/>
                        </a:xfrm>
                      </wpg:grpSpPr>
                      <wps:wsp>
                        <wps:cNvPr id="13401" name="Shape 13401"/>
                        <wps:cNvSpPr/>
                        <wps:spPr>
                          <a:xfrm>
                            <a:off x="0" y="0"/>
                            <a:ext cx="801754" cy="0"/>
                          </a:xfrm>
                          <a:custGeom>
                            <a:avLst/>
                            <a:gdLst/>
                            <a:ahLst/>
                            <a:cxnLst/>
                            <a:rect l="0" t="0" r="0" b="0"/>
                            <a:pathLst>
                              <a:path w="801754">
                                <a:moveTo>
                                  <a:pt x="0" y="0"/>
                                </a:moveTo>
                                <a:lnTo>
                                  <a:pt x="801754" y="0"/>
                                </a:lnTo>
                              </a:path>
                            </a:pathLst>
                          </a:custGeom>
                          <a:ln w="625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9984" style="width:63.1302pt;height:0.492662pt;mso-position-horizontal-relative:char;mso-position-vertical-relative:line" coordsize="8017,62">
                <v:shape id="Shape 13401" style="position:absolute;width:8017;height:0;left:0;top:0;" coordsize="801754,0" path="m0,0l801754,0">
                  <v:stroke weight="0.492662pt" endcap="flat" joinstyle="round" on="true" color="#000000"/>
                  <v:fill on="false" color="#000000" opacity="0"/>
                </v:shape>
              </v:group>
            </w:pict>
          </mc:Fallback>
        </mc:AlternateContent>
      </w:r>
      <w:r>
        <w:rPr>
          <w:rFonts w:ascii="Times New Roman" w:eastAsia="Times New Roman" w:hAnsi="Times New Roman" w:cs="Times New Roman"/>
          <w:sz w:val="25"/>
        </w:rPr>
        <w:t>ln</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Times New Roman" w:eastAsia="Times New Roman" w:hAnsi="Times New Roman" w:cs="Times New Roman"/>
          <w:sz w:val="15"/>
        </w:rPr>
        <w:t>2</w:t>
      </w:r>
      <w:r>
        <w:rPr>
          <w:rFonts w:ascii="Segoe UI Symbol" w:eastAsia="Segoe UI Symbol" w:hAnsi="Segoe UI Symbol" w:cs="Segoe UI Symbol"/>
          <w:sz w:val="33"/>
        </w:rPr>
        <w:t xml:space="preserve"> </w:t>
      </w:r>
      <w:r>
        <w:rPr>
          <w:rFonts w:ascii="Segoe UI Symbol" w:eastAsia="Segoe UI Symbol" w:hAnsi="Segoe UI Symbol" w:cs="Segoe UI Symbol"/>
          <w:sz w:val="25"/>
        </w:rPr>
        <w:t></w:t>
      </w:r>
    </w:p>
    <w:p w:rsidR="0052701D" w:rsidRDefault="00D40929">
      <w:pPr>
        <w:tabs>
          <w:tab w:val="center" w:pos="918"/>
          <w:tab w:val="center" w:pos="3676"/>
          <w:tab w:val="center" w:pos="5790"/>
          <w:tab w:val="center" w:pos="7432"/>
          <w:tab w:val="center" w:pos="8403"/>
        </w:tabs>
        <w:spacing w:after="3"/>
      </w:pPr>
      <w:r>
        <w:tab/>
      </w:r>
      <w:r>
        <w:rPr>
          <w:rFonts w:ascii="Times New Roman" w:eastAsia="Times New Roman" w:hAnsi="Times New Roman" w:cs="Times New Roman"/>
          <w:sz w:val="25"/>
        </w:rPr>
        <w:t>2</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 xml:space="preserve">0 </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Times New Roman" w:eastAsia="Times New Roman" w:hAnsi="Times New Roman" w:cs="Times New Roman"/>
          <w:sz w:val="15"/>
        </w:rPr>
        <w:t xml:space="preserve">2 </w:t>
      </w:r>
      <w:r>
        <w:rPr>
          <w:rFonts w:ascii="Segoe UI Symbol" w:eastAsia="Segoe UI Symbol" w:hAnsi="Segoe UI Symbol" w:cs="Segoe UI Symbol"/>
          <w:sz w:val="25"/>
        </w:rPr>
        <w:t></w:t>
      </w:r>
      <w:r>
        <w:rPr>
          <w:rFonts w:ascii="Segoe UI Symbol" w:eastAsia="Segoe UI Symbol" w:hAnsi="Segoe UI Symbol" w:cs="Segoe UI Symbol"/>
          <w:sz w:val="33"/>
          <w:vertAlign w:val="subscript"/>
        </w:rPr>
        <w:t></w:t>
      </w:r>
      <w:r>
        <w:rPr>
          <w:rFonts w:ascii="Segoe UI Symbol" w:eastAsia="Segoe UI Symbol" w:hAnsi="Segoe UI Symbol" w:cs="Segoe UI Symbol"/>
          <w:sz w:val="33"/>
          <w:vertAlign w:val="subscript"/>
        </w:rPr>
        <w:tab/>
      </w:r>
      <w:r>
        <w:rPr>
          <w:rFonts w:ascii="Times New Roman" w:eastAsia="Times New Roman" w:hAnsi="Times New Roman" w:cs="Times New Roman"/>
          <w:sz w:val="15"/>
        </w:rPr>
        <w:t xml:space="preserve">1 </w:t>
      </w:r>
      <w:r>
        <w:rPr>
          <w:rFonts w:ascii="Times New Roman" w:eastAsia="Times New Roman" w:hAnsi="Times New Roman" w:cs="Times New Roman"/>
          <w:i/>
          <w:sz w:val="25"/>
        </w:rPr>
        <w:t>RE</w:t>
      </w:r>
      <w:r>
        <w:rPr>
          <w:rFonts w:ascii="Segoe UI Symbol" w:eastAsia="Segoe UI Symbol" w:hAnsi="Segoe UI Symbol" w:cs="Segoe UI Symbol"/>
          <w:sz w:val="33"/>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23"/>
          <w:vertAlign w:val="subscript"/>
        </w:rPr>
        <w:t>1</w:t>
      </w:r>
      <w:r>
        <w:rPr>
          <w:rFonts w:ascii="Segoe UI Symbol" w:eastAsia="Segoe UI Symbol" w:hAnsi="Segoe UI Symbol" w:cs="Segoe UI Symbol"/>
          <w:sz w:val="33"/>
        </w:rPr>
        <w:t></w:t>
      </w:r>
      <w:r>
        <w:rPr>
          <w:rFonts w:ascii="Times New Roman" w:eastAsia="Times New Roman" w:hAnsi="Times New Roman" w:cs="Times New Roman"/>
          <w:sz w:val="15"/>
        </w:rPr>
        <w:t xml:space="preserve">4 </w:t>
      </w:r>
      <w:r>
        <w:rPr>
          <w:rFonts w:ascii="Segoe UI Symbol" w:eastAsia="Segoe UI Symbol" w:hAnsi="Segoe UI Symbol" w:cs="Segoe UI Symbol"/>
          <w:sz w:val="33"/>
          <w:vertAlign w:val="subscript"/>
        </w:rPr>
        <w:t></w:t>
      </w:r>
      <w:r>
        <w:rPr>
          <w:rFonts w:ascii="Segoe UI Symbol" w:eastAsia="Segoe UI Symbol" w:hAnsi="Segoe UI Symbol" w:cs="Segoe UI Symbol"/>
          <w:sz w:val="25"/>
        </w:rPr>
        <w:t></w:t>
      </w:r>
      <w:r>
        <w:rPr>
          <w:rFonts w:ascii="Segoe UI Symbol" w:eastAsia="Segoe UI Symbol" w:hAnsi="Segoe UI Symbol" w:cs="Segoe UI Symbol"/>
          <w:sz w:val="25"/>
        </w:rPr>
        <w:t xml:space="preserve"> </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33"/>
        </w:rPr>
        <w:tab/>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ab/>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sz w:val="25"/>
        </w:rPr>
        <w:t>2</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33"/>
        </w:rPr>
        <w:tab/>
      </w:r>
      <w:r>
        <w:rPr>
          <w:rFonts w:ascii="Times New Roman" w:eastAsia="Times New Roman" w:hAnsi="Times New Roman" w:cs="Times New Roman"/>
          <w:sz w:val="24"/>
        </w:rPr>
        <w:t xml:space="preserve"> </w:t>
      </w:r>
    </w:p>
    <w:p w:rsidR="0052701D" w:rsidRDefault="00D40929">
      <w:pPr>
        <w:numPr>
          <w:ilvl w:val="0"/>
          <w:numId w:val="8"/>
        </w:numPr>
        <w:spacing w:after="4" w:line="258" w:lineRule="auto"/>
        <w:ind w:hanging="1222"/>
      </w:pPr>
      <w:r>
        <w:rPr>
          <w:noProof/>
        </w:rPr>
        <mc:AlternateContent>
          <mc:Choice Requires="wpg">
            <w:drawing>
              <wp:anchor distT="0" distB="0" distL="114300" distR="114300" simplePos="0" relativeHeight="251746304" behindDoc="0" locked="0" layoutInCell="1" allowOverlap="1">
                <wp:simplePos x="0" y="0"/>
                <wp:positionH relativeFrom="column">
                  <wp:posOffset>2401900</wp:posOffset>
                </wp:positionH>
                <wp:positionV relativeFrom="paragraph">
                  <wp:posOffset>136993</wp:posOffset>
                </wp:positionV>
                <wp:extent cx="2378431" cy="6147"/>
                <wp:effectExtent l="0" t="0" r="0" b="0"/>
                <wp:wrapNone/>
                <wp:docPr id="916015" name="Group 916015"/>
                <wp:cNvGraphicFramePr/>
                <a:graphic xmlns:a="http://schemas.openxmlformats.org/drawingml/2006/main">
                  <a:graphicData uri="http://schemas.microsoft.com/office/word/2010/wordprocessingGroup">
                    <wpg:wgp>
                      <wpg:cNvGrpSpPr/>
                      <wpg:grpSpPr>
                        <a:xfrm>
                          <a:off x="0" y="0"/>
                          <a:ext cx="2378431" cy="6147"/>
                          <a:chOff x="0" y="0"/>
                          <a:chExt cx="2378431" cy="6147"/>
                        </a:xfrm>
                      </wpg:grpSpPr>
                      <wps:wsp>
                        <wps:cNvPr id="13503" name="Shape 13503"/>
                        <wps:cNvSpPr/>
                        <wps:spPr>
                          <a:xfrm>
                            <a:off x="0" y="0"/>
                            <a:ext cx="648686" cy="0"/>
                          </a:xfrm>
                          <a:custGeom>
                            <a:avLst/>
                            <a:gdLst/>
                            <a:ahLst/>
                            <a:cxnLst/>
                            <a:rect l="0" t="0" r="0" b="0"/>
                            <a:pathLst>
                              <a:path w="648686">
                                <a:moveTo>
                                  <a:pt x="0" y="0"/>
                                </a:moveTo>
                                <a:lnTo>
                                  <a:pt x="648686" y="0"/>
                                </a:lnTo>
                              </a:path>
                            </a:pathLst>
                          </a:custGeom>
                          <a:ln w="6147" cap="flat">
                            <a:round/>
                          </a:ln>
                        </wps:spPr>
                        <wps:style>
                          <a:lnRef idx="1">
                            <a:srgbClr val="000000"/>
                          </a:lnRef>
                          <a:fillRef idx="0">
                            <a:srgbClr val="000000">
                              <a:alpha val="0"/>
                            </a:srgbClr>
                          </a:fillRef>
                          <a:effectRef idx="0">
                            <a:scrgbClr r="0" g="0" b="0"/>
                          </a:effectRef>
                          <a:fontRef idx="none"/>
                        </wps:style>
                        <wps:bodyPr/>
                      </wps:wsp>
                      <wps:wsp>
                        <wps:cNvPr id="13508" name="Shape 13508"/>
                        <wps:cNvSpPr/>
                        <wps:spPr>
                          <a:xfrm>
                            <a:off x="803051" y="0"/>
                            <a:ext cx="772330" cy="0"/>
                          </a:xfrm>
                          <a:custGeom>
                            <a:avLst/>
                            <a:gdLst/>
                            <a:ahLst/>
                            <a:cxnLst/>
                            <a:rect l="0" t="0" r="0" b="0"/>
                            <a:pathLst>
                              <a:path w="772330">
                                <a:moveTo>
                                  <a:pt x="0" y="0"/>
                                </a:moveTo>
                                <a:lnTo>
                                  <a:pt x="772330" y="0"/>
                                </a:lnTo>
                              </a:path>
                            </a:pathLst>
                          </a:custGeom>
                          <a:ln w="6147" cap="flat">
                            <a:round/>
                          </a:ln>
                        </wps:spPr>
                        <wps:style>
                          <a:lnRef idx="1">
                            <a:srgbClr val="000000"/>
                          </a:lnRef>
                          <a:fillRef idx="0">
                            <a:srgbClr val="000000">
                              <a:alpha val="0"/>
                            </a:srgbClr>
                          </a:fillRef>
                          <a:effectRef idx="0">
                            <a:scrgbClr r="0" g="0" b="0"/>
                          </a:effectRef>
                          <a:fontRef idx="none"/>
                        </wps:style>
                        <wps:bodyPr/>
                      </wps:wsp>
                      <wps:wsp>
                        <wps:cNvPr id="13511" name="Shape 13511"/>
                        <wps:cNvSpPr/>
                        <wps:spPr>
                          <a:xfrm>
                            <a:off x="1729745" y="0"/>
                            <a:ext cx="648686" cy="0"/>
                          </a:xfrm>
                          <a:custGeom>
                            <a:avLst/>
                            <a:gdLst/>
                            <a:ahLst/>
                            <a:cxnLst/>
                            <a:rect l="0" t="0" r="0" b="0"/>
                            <a:pathLst>
                              <a:path w="648686">
                                <a:moveTo>
                                  <a:pt x="0" y="0"/>
                                </a:moveTo>
                                <a:lnTo>
                                  <a:pt x="648686" y="0"/>
                                </a:lnTo>
                              </a:path>
                            </a:pathLst>
                          </a:custGeom>
                          <a:ln w="6147"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6015" style="width:187.278pt;height:0.483977pt;position:absolute;z-index:16;mso-position-horizontal-relative:text;mso-position-horizontal:absolute;margin-left:189.126pt;mso-position-vertical-relative:text;margin-top:10.7869pt;" coordsize="23784,61">
                <v:shape id="Shape 13503" style="position:absolute;width:6486;height:0;left:0;top:0;" coordsize="648686,0" path="m0,0l648686,0">
                  <v:stroke weight="0.483977pt" endcap="flat" joinstyle="round" on="true" color="#000000"/>
                  <v:fill on="false" color="#000000" opacity="0"/>
                </v:shape>
                <v:shape id="Shape 13508" style="position:absolute;width:7723;height:0;left:8030;top:0;" coordsize="772330,0" path="m0,0l772330,0">
                  <v:stroke weight="0.483977pt" endcap="flat" joinstyle="round" on="true" color="#000000"/>
                  <v:fill on="false" color="#000000" opacity="0"/>
                </v:shape>
                <v:shape id="Shape 13511" style="position:absolute;width:6486;height:0;left:17297;top:0;" coordsize="648686,0" path="m0,0l648686,0">
                  <v:stroke weight="0.483977pt" endcap="flat" joinstyle="round" on="true" color="#000000"/>
                  <v:fill on="false" color="#000000" opacity="0"/>
                </v:shape>
              </v:group>
            </w:pict>
          </mc:Fallback>
        </mc:AlternateContent>
      </w:r>
      <w:r>
        <w:rPr>
          <w:noProof/>
        </w:rPr>
        <mc:AlternateContent>
          <mc:Choice Requires="wpg">
            <w:drawing>
              <wp:inline distT="0" distB="0" distL="0" distR="0">
                <wp:extent cx="803683" cy="6147"/>
                <wp:effectExtent l="0" t="0" r="0" b="0"/>
                <wp:docPr id="916014" name="Group 916014"/>
                <wp:cNvGraphicFramePr/>
                <a:graphic xmlns:a="http://schemas.openxmlformats.org/drawingml/2006/main">
                  <a:graphicData uri="http://schemas.microsoft.com/office/word/2010/wordprocessingGroup">
                    <wpg:wgp>
                      <wpg:cNvGrpSpPr/>
                      <wpg:grpSpPr>
                        <a:xfrm>
                          <a:off x="0" y="0"/>
                          <a:ext cx="803683" cy="6147"/>
                          <a:chOff x="0" y="0"/>
                          <a:chExt cx="803683" cy="6147"/>
                        </a:xfrm>
                      </wpg:grpSpPr>
                      <wps:wsp>
                        <wps:cNvPr id="13495" name="Shape 13495"/>
                        <wps:cNvSpPr/>
                        <wps:spPr>
                          <a:xfrm>
                            <a:off x="0" y="0"/>
                            <a:ext cx="803683" cy="0"/>
                          </a:xfrm>
                          <a:custGeom>
                            <a:avLst/>
                            <a:gdLst/>
                            <a:ahLst/>
                            <a:cxnLst/>
                            <a:rect l="0" t="0" r="0" b="0"/>
                            <a:pathLst>
                              <a:path w="803683">
                                <a:moveTo>
                                  <a:pt x="0" y="0"/>
                                </a:moveTo>
                                <a:lnTo>
                                  <a:pt x="803683" y="0"/>
                                </a:lnTo>
                              </a:path>
                            </a:pathLst>
                          </a:custGeom>
                          <a:ln w="614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6014" style="width:63.2821pt;height:0.483977pt;mso-position-horizontal-relative:char;mso-position-vertical-relative:line" coordsize="8036,61">
                <v:shape id="Shape 13495" style="position:absolute;width:8036;height:0;left:0;top:0;" coordsize="803683,0" path="m0,0l803683,0">
                  <v:stroke weight="0.483977pt" endcap="flat" joinstyle="round" on="true" color="#000000"/>
                  <v:fill on="false" color="#000000" opacity="0"/>
                </v:shape>
              </v:group>
            </w:pict>
          </mc:Fallback>
        </mc:AlternateContent>
      </w:r>
      <w:r>
        <w:rPr>
          <w:rFonts w:ascii="Times New Roman" w:eastAsia="Times New Roman" w:hAnsi="Times New Roman" w:cs="Times New Roman"/>
          <w:sz w:val="24"/>
        </w:rPr>
        <w:t>1</w:t>
      </w:r>
      <w:r>
        <w:rPr>
          <w:rFonts w:ascii="Times New Roman" w:eastAsia="Times New Roman" w:hAnsi="Times New Roman" w:cs="Times New Roman"/>
          <w:sz w:val="24"/>
        </w:rPr>
        <w:tab/>
      </w:r>
      <w:r>
        <w:rPr>
          <w:rFonts w:ascii="Times New Roman" w:eastAsia="Times New Roman" w:hAnsi="Times New Roman" w:cs="Times New Roman"/>
          <w:vertAlign w:val="subscript"/>
        </w:rPr>
        <w:t xml:space="preserve">2 </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 xml:space="preserve"> </w:t>
      </w:r>
      <w:r>
        <w:rPr>
          <w:rFonts w:ascii="Times New Roman" w:eastAsia="Times New Roman" w:hAnsi="Times New Roman" w:cs="Times New Roman"/>
          <w:sz w:val="24"/>
        </w:rPr>
        <w:t>288</w:t>
      </w:r>
      <w:r>
        <w:rPr>
          <w:rFonts w:ascii="Segoe UI Symbol" w:eastAsia="Segoe UI Symbol" w:hAnsi="Segoe UI Symbol" w:cs="Segoe UI Symbol"/>
          <w:sz w:val="26"/>
        </w:rPr>
        <w:t></w:t>
      </w:r>
      <w:r>
        <w:rPr>
          <w:rFonts w:ascii="Segoe UI Symbol" w:eastAsia="Segoe UI Symbol" w:hAnsi="Segoe UI Symbol" w:cs="Segoe UI Symbol"/>
          <w:sz w:val="26"/>
        </w:rPr>
        <w:t></w:t>
      </w:r>
      <w:r>
        <w:rPr>
          <w:rFonts w:ascii="Times New Roman" w:eastAsia="Times New Roman" w:hAnsi="Times New Roman" w:cs="Times New Roman"/>
          <w:vertAlign w:val="subscript"/>
        </w:rPr>
        <w:t xml:space="preserve">1 </w:t>
      </w:r>
      <w:r>
        <w:rPr>
          <w:rFonts w:ascii="Segoe UI Symbol" w:eastAsia="Segoe UI Symbol" w:hAnsi="Segoe UI Symbol" w:cs="Segoe UI Symbol"/>
          <w:sz w:val="39"/>
          <w:u w:val="single" w:color="000000"/>
        </w:rPr>
        <w:t></w:t>
      </w:r>
      <w:r>
        <w:rPr>
          <w:rFonts w:ascii="Times New Roman" w:eastAsia="Times New Roman" w:hAnsi="Times New Roman" w:cs="Times New Roman"/>
          <w:sz w:val="24"/>
        </w:rPr>
        <w:t>1</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sz w:val="14"/>
        </w:rPr>
        <w:t>2</w:t>
      </w:r>
      <w:r>
        <w:rPr>
          <w:rFonts w:ascii="Segoe UI Symbol" w:eastAsia="Segoe UI Symbol" w:hAnsi="Segoe UI Symbol" w:cs="Segoe UI Symbol"/>
          <w:sz w:val="39"/>
          <w:u w:val="single" w:color="000000"/>
        </w:rPr>
        <w:t></w:t>
      </w:r>
      <w:r>
        <w:rPr>
          <w:rFonts w:ascii="Times New Roman" w:eastAsia="Times New Roman" w:hAnsi="Times New Roman" w:cs="Times New Roman"/>
          <w:sz w:val="14"/>
        </w:rPr>
        <w:t>2</w:t>
      </w:r>
      <w:r>
        <w:rPr>
          <w:rFonts w:ascii="Times New Roman" w:eastAsia="Times New Roman" w:hAnsi="Times New Roman" w:cs="Times New Roman"/>
          <w:vertAlign w:val="subscript"/>
        </w:rPr>
        <w:t xml:space="preserve">3 </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ab/>
      </w:r>
      <w:r>
        <w:rPr>
          <w:rFonts w:ascii="Times New Roman" w:eastAsia="Times New Roman" w:hAnsi="Times New Roman" w:cs="Times New Roman"/>
          <w:sz w:val="24"/>
        </w:rPr>
        <w:t>1</w:t>
      </w:r>
      <w:r>
        <w:rPr>
          <w:rFonts w:ascii="Times New Roman" w:eastAsia="Times New Roman" w:hAnsi="Times New Roman" w:cs="Times New Roman"/>
          <w:sz w:val="24"/>
        </w:rPr>
        <w:tab/>
      </w:r>
      <w:r>
        <w:rPr>
          <w:rFonts w:ascii="Segoe UI Symbol" w:eastAsia="Segoe UI Symbol" w:hAnsi="Segoe UI Symbol" w:cs="Segoe UI Symbol"/>
          <w:sz w:val="24"/>
        </w:rPr>
        <w:t xml:space="preserve"> </w:t>
      </w:r>
      <w:r>
        <w:rPr>
          <w:rFonts w:ascii="Times New Roman" w:eastAsia="Times New Roman" w:hAnsi="Times New Roman" w:cs="Times New Roman"/>
          <w:sz w:val="24"/>
        </w:rPr>
        <w:t>ln</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z</w:t>
      </w:r>
      <w:r>
        <w:rPr>
          <w:rFonts w:ascii="Segoe UI Symbol" w:eastAsia="Segoe UI Symbol" w:hAnsi="Segoe UI Symbol" w:cs="Segoe UI Symbol"/>
          <w:sz w:val="32"/>
        </w:rPr>
        <w:t></w:t>
      </w:r>
      <w:r>
        <w:rPr>
          <w:rFonts w:ascii="Segoe UI Symbol" w:eastAsia="Segoe UI Symbol" w:hAnsi="Segoe UI Symbol" w:cs="Segoe UI Symbol"/>
          <w:sz w:val="24"/>
        </w:rPr>
        <w:t></w:t>
      </w:r>
      <w:r>
        <w:rPr>
          <w:rFonts w:ascii="Segoe UI Symbol" w:eastAsia="Segoe UI Symbol" w:hAnsi="Segoe UI Symbol" w:cs="Segoe UI Symbol"/>
          <w:sz w:val="24"/>
        </w:rPr>
        <w:tab/>
      </w:r>
      <w:r>
        <w:rPr>
          <w:rFonts w:ascii="Times New Roman" w:eastAsia="Times New Roman" w:hAnsi="Times New Roman" w:cs="Times New Roman"/>
          <w:sz w:val="24"/>
        </w:rPr>
        <w:t>1</w:t>
      </w:r>
      <w:r>
        <w:rPr>
          <w:rFonts w:ascii="Times New Roman" w:eastAsia="Times New Roman" w:hAnsi="Times New Roman" w:cs="Times New Roman"/>
          <w:sz w:val="24"/>
        </w:rPr>
        <w:tab/>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 xml:space="preserve"> </w:t>
      </w:r>
      <w:r>
        <w:rPr>
          <w:rFonts w:ascii="Times New Roman" w:eastAsia="Times New Roman" w:hAnsi="Times New Roman" w:cs="Times New Roman"/>
          <w:sz w:val="24"/>
        </w:rPr>
        <w:t>6</w:t>
      </w:r>
      <w:r>
        <w:rPr>
          <w:rFonts w:ascii="Segoe UI Symbol" w:eastAsia="Segoe UI Symbol" w:hAnsi="Segoe UI Symbol" w:cs="Segoe UI Symbol"/>
          <w:sz w:val="39"/>
          <w:u w:val="single" w:color="000000"/>
        </w:rPr>
        <w:t></w:t>
      </w:r>
      <w:r>
        <w:rPr>
          <w:rFonts w:ascii="Times New Roman" w:eastAsia="Times New Roman" w:hAnsi="Times New Roman" w:cs="Times New Roman"/>
          <w:sz w:val="24"/>
        </w:rPr>
        <w:t>1</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sz w:val="14"/>
        </w:rPr>
        <w:t>2 2</w:t>
      </w:r>
      <w:r>
        <w:rPr>
          <w:rFonts w:ascii="Segoe UI Symbol" w:eastAsia="Segoe UI Symbol" w:hAnsi="Segoe UI Symbol" w:cs="Segoe UI Symbol"/>
          <w:sz w:val="39"/>
          <w:u w:val="single" w:color="000000"/>
        </w:rPr>
        <w:t></w:t>
      </w:r>
    </w:p>
    <w:p w:rsidR="0052701D" w:rsidRDefault="00D40929">
      <w:pPr>
        <w:tabs>
          <w:tab w:val="center" w:pos="983"/>
          <w:tab w:val="center" w:pos="3787"/>
          <w:tab w:val="center" w:pos="5666"/>
          <w:tab w:val="center" w:pos="7078"/>
          <w:tab w:val="center" w:pos="8314"/>
          <w:tab w:val="center" w:pos="8763"/>
        </w:tabs>
        <w:spacing w:after="536" w:line="248" w:lineRule="auto"/>
      </w:pPr>
      <w:r>
        <w:tab/>
      </w:r>
      <w:r>
        <w:rPr>
          <w:rFonts w:ascii="Times New Roman" w:eastAsia="Times New Roman" w:hAnsi="Times New Roman" w:cs="Times New Roman"/>
          <w:sz w:val="24"/>
        </w:rPr>
        <w:t>4</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vertAlign w:val="subscript"/>
        </w:rPr>
        <w:t xml:space="preserve">0 </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vertAlign w:val="subscript"/>
        </w:rPr>
        <w:t>1</w:t>
      </w:r>
      <w:r>
        <w:rPr>
          <w:rFonts w:ascii="Times New Roman" w:eastAsia="Times New Roman" w:hAnsi="Times New Roman" w:cs="Times New Roman"/>
          <w:i/>
          <w:sz w:val="24"/>
        </w:rPr>
        <w:t>z</w:t>
      </w:r>
      <w:r>
        <w:rPr>
          <w:rFonts w:ascii="Segoe UI Symbol" w:eastAsia="Segoe UI Symbol" w:hAnsi="Segoe UI Symbol" w:cs="Segoe UI Symbol"/>
          <w:sz w:val="32"/>
        </w:rPr>
        <w:t xml:space="preserve"> </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37"/>
          <w:vertAlign w:val="subscript"/>
        </w:rPr>
        <w:t></w:t>
      </w:r>
      <w:r>
        <w:rPr>
          <w:rFonts w:ascii="Segoe UI Symbol" w:eastAsia="Segoe UI Symbol" w:hAnsi="Segoe UI Symbol" w:cs="Segoe UI Symbol"/>
          <w:sz w:val="24"/>
        </w:rPr>
        <w:t></w:t>
      </w:r>
      <w:r>
        <w:rPr>
          <w:rFonts w:ascii="Segoe UI Symbol" w:eastAsia="Segoe UI Symbol" w:hAnsi="Segoe UI Symbol" w:cs="Segoe UI Symbol"/>
          <w:sz w:val="24"/>
        </w:rPr>
        <w:tab/>
      </w:r>
      <w:r>
        <w:rPr>
          <w:rFonts w:ascii="Times New Roman" w:eastAsia="Times New Roman" w:hAnsi="Times New Roman" w:cs="Times New Roman"/>
          <w:i/>
          <w:sz w:val="24"/>
        </w:rPr>
        <w:t>RE</w:t>
      </w:r>
      <w:r>
        <w:rPr>
          <w:rFonts w:ascii="Segoe UI Symbol" w:eastAsia="Segoe UI Symbol" w:hAnsi="Segoe UI Symbol" w:cs="Segoe UI Symbol"/>
          <w:sz w:val="32"/>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vertAlign w:val="subscript"/>
        </w:rPr>
        <w:t>1</w:t>
      </w:r>
      <w:r>
        <w:rPr>
          <w:rFonts w:ascii="Segoe UI Symbol" w:eastAsia="Segoe UI Symbol" w:hAnsi="Segoe UI Symbol" w:cs="Segoe UI Symbol"/>
          <w:sz w:val="32"/>
        </w:rPr>
        <w:t xml:space="preserve"> </w:t>
      </w:r>
      <w:r>
        <w:rPr>
          <w:rFonts w:ascii="Segoe UI Symbol" w:eastAsia="Segoe UI Symbol" w:hAnsi="Segoe UI Symbol" w:cs="Segoe UI Symbol"/>
          <w:sz w:val="24"/>
        </w:rPr>
        <w:t></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z</w:t>
      </w:r>
      <w:r>
        <w:rPr>
          <w:rFonts w:ascii="Segoe UI Symbol" w:eastAsia="Segoe UI Symbol" w:hAnsi="Segoe UI Symbol" w:cs="Segoe UI Symbol"/>
          <w:sz w:val="32"/>
        </w:rPr>
        <w:t></w:t>
      </w:r>
      <w:r>
        <w:rPr>
          <w:rFonts w:ascii="Segoe UI Symbol" w:eastAsia="Segoe UI Symbol" w:hAnsi="Segoe UI Symbol" w:cs="Segoe UI Symbol"/>
          <w:sz w:val="32"/>
        </w:rPr>
        <w:tab/>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z</w:t>
      </w:r>
      <w:r>
        <w:rPr>
          <w:rFonts w:ascii="Segoe UI Symbol" w:eastAsia="Segoe UI Symbol" w:hAnsi="Segoe UI Symbol" w:cs="Segoe UI Symbol"/>
          <w:sz w:val="32"/>
        </w:rPr>
        <w:t></w:t>
      </w:r>
      <w:r>
        <w:rPr>
          <w:rFonts w:ascii="Segoe UI Symbol" w:eastAsia="Segoe UI Symbol" w:hAnsi="Segoe UI Symbol" w:cs="Segoe UI Symbol"/>
          <w:sz w:val="32"/>
        </w:rPr>
        <w:tab/>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z</w:t>
      </w:r>
      <w:r>
        <w:rPr>
          <w:rFonts w:ascii="Segoe UI Symbol" w:eastAsia="Segoe UI Symbol" w:hAnsi="Segoe UI Symbol" w:cs="Segoe UI Symbol"/>
          <w:sz w:val="32"/>
        </w:rPr>
        <w:t></w:t>
      </w:r>
      <w:r>
        <w:rPr>
          <w:rFonts w:ascii="Segoe UI Symbol" w:eastAsia="Segoe UI Symbol" w:hAnsi="Segoe UI Symbol" w:cs="Segoe UI Symbol"/>
          <w:sz w:val="24"/>
        </w:rPr>
        <w:t></w:t>
      </w:r>
      <w:r>
        <w:rPr>
          <w:rFonts w:ascii="Segoe UI Symbol" w:eastAsia="Segoe UI Symbol" w:hAnsi="Segoe UI Symbol" w:cs="Segoe UI Symbol"/>
          <w:sz w:val="24"/>
        </w:rPr>
        <w:tab/>
      </w:r>
      <w:r>
        <w:rPr>
          <w:rFonts w:ascii="Times New Roman" w:eastAsia="Times New Roman" w:hAnsi="Times New Roman" w:cs="Times New Roman"/>
          <w:i/>
          <w:sz w:val="24"/>
        </w:rPr>
        <w:t>R</w:t>
      </w:r>
      <w:r>
        <w:rPr>
          <w:rFonts w:ascii="Times New Roman" w:eastAsia="Times New Roman" w:hAnsi="Times New Roman" w:cs="Times New Roman"/>
          <w:i/>
          <w:sz w:val="24"/>
        </w:rPr>
        <w:tab/>
      </w:r>
      <w:r>
        <w:rPr>
          <w:rFonts w:ascii="Times New Roman" w:eastAsia="Times New Roman" w:hAnsi="Times New Roman" w:cs="Times New Roman"/>
          <w:sz w:val="24"/>
        </w:rPr>
        <w:t xml:space="preserve"> </w:t>
      </w:r>
    </w:p>
    <w:p w:rsidR="0052701D" w:rsidRDefault="00D40929">
      <w:pPr>
        <w:spacing w:after="233" w:line="352" w:lineRule="auto"/>
        <w:ind w:left="218" w:right="793" w:hanging="195"/>
      </w:pPr>
      <w:r>
        <w:rPr>
          <w:noProof/>
        </w:rPr>
        <mc:AlternateContent>
          <mc:Choice Requires="wpg">
            <w:drawing>
              <wp:anchor distT="0" distB="0" distL="114300" distR="114300" simplePos="0" relativeHeight="251747328" behindDoc="0" locked="0" layoutInCell="1" allowOverlap="1">
                <wp:simplePos x="0" y="0"/>
                <wp:positionH relativeFrom="column">
                  <wp:posOffset>1782738</wp:posOffset>
                </wp:positionH>
                <wp:positionV relativeFrom="paragraph">
                  <wp:posOffset>41167</wp:posOffset>
                </wp:positionV>
                <wp:extent cx="3636118" cy="6147"/>
                <wp:effectExtent l="0" t="0" r="0" b="0"/>
                <wp:wrapNone/>
                <wp:docPr id="916016" name="Group 916016"/>
                <wp:cNvGraphicFramePr/>
                <a:graphic xmlns:a="http://schemas.openxmlformats.org/drawingml/2006/main">
                  <a:graphicData uri="http://schemas.microsoft.com/office/word/2010/wordprocessingGroup">
                    <wpg:wgp>
                      <wpg:cNvGrpSpPr/>
                      <wpg:grpSpPr>
                        <a:xfrm>
                          <a:off x="0" y="0"/>
                          <a:ext cx="3636118" cy="6147"/>
                          <a:chOff x="0" y="0"/>
                          <a:chExt cx="3636118" cy="6147"/>
                        </a:xfrm>
                      </wpg:grpSpPr>
                      <wps:wsp>
                        <wps:cNvPr id="13603" name="Shape 13603"/>
                        <wps:cNvSpPr/>
                        <wps:spPr>
                          <a:xfrm>
                            <a:off x="0" y="0"/>
                            <a:ext cx="456024" cy="0"/>
                          </a:xfrm>
                          <a:custGeom>
                            <a:avLst/>
                            <a:gdLst/>
                            <a:ahLst/>
                            <a:cxnLst/>
                            <a:rect l="0" t="0" r="0" b="0"/>
                            <a:pathLst>
                              <a:path w="456024">
                                <a:moveTo>
                                  <a:pt x="0" y="0"/>
                                </a:moveTo>
                                <a:lnTo>
                                  <a:pt x="456024" y="0"/>
                                </a:lnTo>
                              </a:path>
                            </a:pathLst>
                          </a:custGeom>
                          <a:ln w="6147" cap="flat">
                            <a:round/>
                          </a:ln>
                        </wps:spPr>
                        <wps:style>
                          <a:lnRef idx="1">
                            <a:srgbClr val="000000"/>
                          </a:lnRef>
                          <a:fillRef idx="0">
                            <a:srgbClr val="000000">
                              <a:alpha val="0"/>
                            </a:srgbClr>
                          </a:fillRef>
                          <a:effectRef idx="0">
                            <a:scrgbClr r="0" g="0" b="0"/>
                          </a:effectRef>
                          <a:fontRef idx="none"/>
                        </wps:style>
                        <wps:bodyPr/>
                      </wps:wsp>
                      <wps:wsp>
                        <wps:cNvPr id="13608" name="Shape 13608"/>
                        <wps:cNvSpPr/>
                        <wps:spPr>
                          <a:xfrm>
                            <a:off x="532282" y="0"/>
                            <a:ext cx="729791" cy="0"/>
                          </a:xfrm>
                          <a:custGeom>
                            <a:avLst/>
                            <a:gdLst/>
                            <a:ahLst/>
                            <a:cxnLst/>
                            <a:rect l="0" t="0" r="0" b="0"/>
                            <a:pathLst>
                              <a:path w="729791">
                                <a:moveTo>
                                  <a:pt x="0" y="0"/>
                                </a:moveTo>
                                <a:lnTo>
                                  <a:pt x="729791" y="0"/>
                                </a:lnTo>
                              </a:path>
                            </a:pathLst>
                          </a:custGeom>
                          <a:ln w="6147" cap="flat">
                            <a:round/>
                          </a:ln>
                        </wps:spPr>
                        <wps:style>
                          <a:lnRef idx="1">
                            <a:srgbClr val="000000"/>
                          </a:lnRef>
                          <a:fillRef idx="0">
                            <a:srgbClr val="000000">
                              <a:alpha val="0"/>
                            </a:srgbClr>
                          </a:fillRef>
                          <a:effectRef idx="0">
                            <a:scrgbClr r="0" g="0" b="0"/>
                          </a:effectRef>
                          <a:fontRef idx="none"/>
                        </wps:style>
                        <wps:bodyPr/>
                      </wps:wsp>
                      <wps:wsp>
                        <wps:cNvPr id="13613" name="Shape 13613"/>
                        <wps:cNvSpPr/>
                        <wps:spPr>
                          <a:xfrm>
                            <a:off x="1414971" y="0"/>
                            <a:ext cx="801346" cy="0"/>
                          </a:xfrm>
                          <a:custGeom>
                            <a:avLst/>
                            <a:gdLst/>
                            <a:ahLst/>
                            <a:cxnLst/>
                            <a:rect l="0" t="0" r="0" b="0"/>
                            <a:pathLst>
                              <a:path w="801346">
                                <a:moveTo>
                                  <a:pt x="0" y="0"/>
                                </a:moveTo>
                                <a:lnTo>
                                  <a:pt x="801346" y="0"/>
                                </a:lnTo>
                              </a:path>
                            </a:pathLst>
                          </a:custGeom>
                          <a:ln w="6147" cap="flat">
                            <a:round/>
                          </a:ln>
                        </wps:spPr>
                        <wps:style>
                          <a:lnRef idx="1">
                            <a:srgbClr val="000000"/>
                          </a:lnRef>
                          <a:fillRef idx="0">
                            <a:srgbClr val="000000">
                              <a:alpha val="0"/>
                            </a:srgbClr>
                          </a:fillRef>
                          <a:effectRef idx="0">
                            <a:scrgbClr r="0" g="0" b="0"/>
                          </a:effectRef>
                          <a:fontRef idx="none"/>
                        </wps:style>
                        <wps:bodyPr/>
                      </wps:wsp>
                      <wps:wsp>
                        <wps:cNvPr id="13616" name="Shape 13616"/>
                        <wps:cNvSpPr/>
                        <wps:spPr>
                          <a:xfrm>
                            <a:off x="2531390" y="0"/>
                            <a:ext cx="300203" cy="0"/>
                          </a:xfrm>
                          <a:custGeom>
                            <a:avLst/>
                            <a:gdLst/>
                            <a:ahLst/>
                            <a:cxnLst/>
                            <a:rect l="0" t="0" r="0" b="0"/>
                            <a:pathLst>
                              <a:path w="300203">
                                <a:moveTo>
                                  <a:pt x="0" y="0"/>
                                </a:moveTo>
                                <a:lnTo>
                                  <a:pt x="300203" y="0"/>
                                </a:lnTo>
                              </a:path>
                            </a:pathLst>
                          </a:custGeom>
                          <a:ln w="6147" cap="flat">
                            <a:round/>
                          </a:ln>
                        </wps:spPr>
                        <wps:style>
                          <a:lnRef idx="1">
                            <a:srgbClr val="000000"/>
                          </a:lnRef>
                          <a:fillRef idx="0">
                            <a:srgbClr val="000000">
                              <a:alpha val="0"/>
                            </a:srgbClr>
                          </a:fillRef>
                          <a:effectRef idx="0">
                            <a:scrgbClr r="0" g="0" b="0"/>
                          </a:effectRef>
                          <a:fontRef idx="none"/>
                        </wps:style>
                        <wps:bodyPr/>
                      </wps:wsp>
                      <wps:wsp>
                        <wps:cNvPr id="13619" name="Shape 13619"/>
                        <wps:cNvSpPr/>
                        <wps:spPr>
                          <a:xfrm>
                            <a:off x="2907852" y="0"/>
                            <a:ext cx="728266" cy="0"/>
                          </a:xfrm>
                          <a:custGeom>
                            <a:avLst/>
                            <a:gdLst/>
                            <a:ahLst/>
                            <a:cxnLst/>
                            <a:rect l="0" t="0" r="0" b="0"/>
                            <a:pathLst>
                              <a:path w="728266">
                                <a:moveTo>
                                  <a:pt x="0" y="0"/>
                                </a:moveTo>
                                <a:lnTo>
                                  <a:pt x="728266" y="0"/>
                                </a:lnTo>
                              </a:path>
                            </a:pathLst>
                          </a:custGeom>
                          <a:ln w="6147"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6016" style="width:286.308pt;height:0.483977pt;position:absolute;z-index:121;mso-position-horizontal-relative:text;mso-position-horizontal:absolute;margin-left:140.373pt;mso-position-vertical-relative:text;margin-top:3.24149pt;" coordsize="36361,61">
                <v:shape id="Shape 13603" style="position:absolute;width:4560;height:0;left:0;top:0;" coordsize="456024,0" path="m0,0l456024,0">
                  <v:stroke weight="0.483977pt" endcap="flat" joinstyle="round" on="true" color="#000000"/>
                  <v:fill on="false" color="#000000" opacity="0"/>
                </v:shape>
                <v:shape id="Shape 13608" style="position:absolute;width:7297;height:0;left:5322;top:0;" coordsize="729791,0" path="m0,0l729791,0">
                  <v:stroke weight="0.483977pt" endcap="flat" joinstyle="round" on="true" color="#000000"/>
                  <v:fill on="false" color="#000000" opacity="0"/>
                </v:shape>
                <v:shape id="Shape 13613" style="position:absolute;width:8013;height:0;left:14149;top:0;" coordsize="801346,0" path="m0,0l801346,0">
                  <v:stroke weight="0.483977pt" endcap="flat" joinstyle="round" on="true" color="#000000"/>
                  <v:fill on="false" color="#000000" opacity="0"/>
                </v:shape>
                <v:shape id="Shape 13616" style="position:absolute;width:3002;height:0;left:25313;top:0;" coordsize="300203,0" path="m0,0l300203,0">
                  <v:stroke weight="0.483977pt" endcap="flat" joinstyle="round" on="true" color="#000000"/>
                  <v:fill on="false" color="#000000" opacity="0"/>
                </v:shape>
                <v:shape id="Shape 13619" style="position:absolute;width:7282;height:0;left:29078;top:0;" coordsize="728266,0" path="m0,0l728266,0">
                  <v:stroke weight="0.483977pt" endcap="flat" joinstyle="round" on="true" color="#000000"/>
                  <v:fill on="false" color="#000000" opacity="0"/>
                </v:shape>
              </v:group>
            </w:pict>
          </mc:Fallback>
        </mc:AlternateContent>
      </w:r>
      <w:r>
        <w:rPr>
          <w:rFonts w:ascii="Segoe UI Symbol" w:eastAsia="Segoe UI Symbol" w:hAnsi="Segoe UI Symbol" w:cs="Segoe UI Symbol"/>
          <w:sz w:val="24"/>
        </w:rPr>
        <w:t></w:t>
      </w:r>
      <w:r>
        <w:rPr>
          <w:rFonts w:ascii="Segoe UI Symbol" w:eastAsia="Segoe UI Symbol" w:hAnsi="Segoe UI Symbol" w:cs="Segoe UI Symbol"/>
          <w:sz w:val="36"/>
        </w:rPr>
        <w:t></w:t>
      </w:r>
      <w:r>
        <w:rPr>
          <w:rFonts w:ascii="Times New Roman" w:eastAsia="Times New Roman" w:hAnsi="Times New Roman" w:cs="Times New Roman"/>
          <w:i/>
          <w:vertAlign w:val="superscript"/>
        </w:rPr>
        <w:t>n</w:t>
      </w:r>
      <w:r>
        <w:rPr>
          <w:rFonts w:ascii="Segoe UI Symbol" w:eastAsia="Segoe UI Symbol" w:hAnsi="Segoe UI Symbol" w:cs="Segoe UI Symbol"/>
          <w:sz w:val="14"/>
        </w:rPr>
        <w:t xml:space="preserve"> </w:t>
      </w:r>
      <w:r>
        <w:rPr>
          <w:rFonts w:ascii="Segoe UI Symbol" w:eastAsia="Segoe UI Symbol" w:hAnsi="Segoe UI Symbol" w:cs="Segoe UI Symbol"/>
          <w:sz w:val="32"/>
        </w:rPr>
        <w:t></w:t>
      </w:r>
      <w:r>
        <w:rPr>
          <w:rFonts w:ascii="Times New Roman" w:eastAsia="Times New Roman" w:hAnsi="Times New Roman" w:cs="Times New Roman"/>
          <w:i/>
          <w:sz w:val="24"/>
        </w:rPr>
        <w:t>z</w:t>
      </w:r>
      <w:r>
        <w:rPr>
          <w:rFonts w:ascii="Times New Roman" w:eastAsia="Times New Roman" w:hAnsi="Times New Roman" w:cs="Times New Roman"/>
          <w:i/>
          <w:sz w:val="14"/>
        </w:rPr>
        <w:t xml:space="preserve">k </w:t>
      </w:r>
      <w:r>
        <w:rPr>
          <w:rFonts w:ascii="Segoe UI Symbol" w:eastAsia="Segoe UI Symbol" w:hAnsi="Segoe UI Symbol" w:cs="Segoe UI Symbol"/>
          <w:sz w:val="24"/>
        </w:rPr>
        <w:t xml:space="preserve"> </w:t>
      </w:r>
      <w:r>
        <w:rPr>
          <w:rFonts w:ascii="Times New Roman" w:eastAsia="Times New Roman" w:hAnsi="Times New Roman" w:cs="Times New Roman"/>
          <w:i/>
          <w:sz w:val="24"/>
        </w:rPr>
        <w:t>z</w:t>
      </w:r>
      <w:r>
        <w:rPr>
          <w:rFonts w:ascii="Times New Roman" w:eastAsia="Times New Roman" w:hAnsi="Times New Roman" w:cs="Times New Roman"/>
          <w:i/>
          <w:sz w:val="14"/>
        </w:rPr>
        <w:t>k</w:t>
      </w:r>
      <w:r>
        <w:rPr>
          <w:rFonts w:ascii="Segoe UI Symbol" w:eastAsia="Segoe UI Symbol" w:hAnsi="Segoe UI Symbol" w:cs="Segoe UI Symbol"/>
          <w:sz w:val="14"/>
        </w:rPr>
        <w:t></w:t>
      </w:r>
      <w:r>
        <w:rPr>
          <w:rFonts w:ascii="Times New Roman" w:eastAsia="Times New Roman" w:hAnsi="Times New Roman" w:cs="Times New Roman"/>
          <w:sz w:val="14"/>
        </w:rPr>
        <w:t>1</w:t>
      </w:r>
      <w:r>
        <w:rPr>
          <w:rFonts w:ascii="Segoe UI Symbol" w:eastAsia="Segoe UI Symbol" w:hAnsi="Segoe UI Symbol" w:cs="Segoe UI Symbol"/>
          <w:sz w:val="32"/>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z</w:t>
      </w:r>
      <w:r>
        <w:rPr>
          <w:rFonts w:ascii="Times New Roman" w:eastAsia="Times New Roman" w:hAnsi="Times New Roman" w:cs="Times New Roman"/>
          <w:i/>
          <w:sz w:val="14"/>
        </w:rPr>
        <w:t xml:space="preserve">k </w:t>
      </w:r>
      <w:r>
        <w:rPr>
          <w:rFonts w:ascii="Segoe UI Symbol" w:eastAsia="Segoe UI Symbol" w:hAnsi="Segoe UI Symbol" w:cs="Segoe UI Symbol"/>
          <w:sz w:val="32"/>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Times New Roman" w:eastAsia="Times New Roman" w:hAnsi="Times New Roman" w:cs="Times New Roman"/>
          <w:sz w:val="24"/>
        </w:rPr>
        <w:t>2</w:t>
      </w:r>
      <w:r>
        <w:rPr>
          <w:rFonts w:ascii="Segoe UI Symbol" w:eastAsia="Segoe UI Symbol" w:hAnsi="Segoe UI Symbol" w:cs="Segoe UI Symbol"/>
          <w:sz w:val="32"/>
        </w:rPr>
        <w:t></w:t>
      </w:r>
      <w:r>
        <w:rPr>
          <w:rFonts w:ascii="Segoe UI Symbol" w:eastAsia="Segoe UI Symbol" w:hAnsi="Segoe UI Symbol" w:cs="Segoe UI Symbol"/>
          <w:sz w:val="26"/>
        </w:rPr>
        <w:t></w:t>
      </w:r>
      <w:r>
        <w:rPr>
          <w:rFonts w:ascii="Times New Roman" w:eastAsia="Times New Roman" w:hAnsi="Times New Roman" w:cs="Times New Roman"/>
          <w:sz w:val="24"/>
        </w:rPr>
        <w:t>1</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Segoe UI Symbol" w:eastAsia="Segoe UI Symbol" w:hAnsi="Segoe UI Symbol" w:cs="Segoe UI Symbol"/>
          <w:sz w:val="32"/>
        </w:rPr>
        <w:t></w:t>
      </w:r>
      <w:r>
        <w:rPr>
          <w:rFonts w:ascii="Times New Roman" w:eastAsia="Times New Roman" w:hAnsi="Times New Roman" w:cs="Times New Roman"/>
          <w:sz w:val="14"/>
        </w:rPr>
        <w:t xml:space="preserve">2 </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32"/>
        </w:rPr>
        <w:t></w:t>
      </w:r>
      <w:r>
        <w:rPr>
          <w:rFonts w:ascii="Segoe UI Symbol" w:eastAsia="Segoe UI Symbol" w:hAnsi="Segoe UI Symbol" w:cs="Segoe UI Symbol"/>
          <w:sz w:val="32"/>
        </w:rPr>
        <w:t></w:t>
      </w:r>
      <w:r>
        <w:rPr>
          <w:rFonts w:ascii="Times New Roman" w:eastAsia="Times New Roman" w:hAnsi="Times New Roman" w:cs="Times New Roman"/>
          <w:i/>
          <w:sz w:val="24"/>
        </w:rPr>
        <w:t>hh</w:t>
      </w:r>
      <w:r>
        <w:rPr>
          <w:rFonts w:ascii="Times New Roman" w:eastAsia="Times New Roman" w:hAnsi="Times New Roman" w:cs="Times New Roman"/>
          <w:vertAlign w:val="subscript"/>
        </w:rPr>
        <w:t>0</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sz w:val="24"/>
        </w:rPr>
        <w:t>2</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hz</w:t>
      </w:r>
      <w:r>
        <w:rPr>
          <w:rFonts w:ascii="Times New Roman" w:eastAsia="Times New Roman" w:hAnsi="Times New Roman" w:cs="Times New Roman"/>
          <w:vertAlign w:val="subscript"/>
        </w:rPr>
        <w:t>1</w:t>
      </w:r>
      <w:r>
        <w:rPr>
          <w:rFonts w:ascii="Segoe UI Symbol" w:eastAsia="Segoe UI Symbol" w:hAnsi="Segoe UI Symbol" w:cs="Segoe UI Symbol"/>
          <w:sz w:val="32"/>
        </w:rPr>
        <w:t></w:t>
      </w:r>
      <w:r>
        <w:rPr>
          <w:rFonts w:ascii="Times New Roman" w:eastAsia="Times New Roman" w:hAnsi="Times New Roman" w:cs="Times New Roman"/>
          <w:i/>
          <w:sz w:val="24"/>
        </w:rPr>
        <w:t>z</w:t>
      </w:r>
      <w:r>
        <w:rPr>
          <w:rFonts w:ascii="Times New Roman" w:eastAsia="Times New Roman" w:hAnsi="Times New Roman" w:cs="Times New Roman"/>
          <w:sz w:val="14"/>
        </w:rPr>
        <w:t>2</w:t>
      </w:r>
      <w:r>
        <w:rPr>
          <w:rFonts w:ascii="Segoe UI Symbol" w:eastAsia="Segoe UI Symbol" w:hAnsi="Segoe UI Symbol" w:cs="Segoe UI Symbol"/>
          <w:sz w:val="32"/>
        </w:rPr>
        <w:t></w:t>
      </w:r>
      <w:r>
        <w:rPr>
          <w:rFonts w:ascii="Segoe UI Symbol" w:eastAsia="Segoe UI Symbol" w:hAnsi="Segoe UI Symbol" w:cs="Segoe UI Symbol"/>
          <w:sz w:val="24"/>
        </w:rPr>
        <w:t xml:space="preserve"> </w:t>
      </w:r>
      <w:r>
        <w:rPr>
          <w:rFonts w:ascii="Segoe UI Symbol" w:eastAsia="Segoe UI Symbol" w:hAnsi="Segoe UI Symbol" w:cs="Segoe UI Symbol"/>
          <w:sz w:val="32"/>
        </w:rPr>
        <w:t></w:t>
      </w:r>
      <w:r>
        <w:rPr>
          <w:rFonts w:ascii="Segoe UI Symbol" w:eastAsia="Segoe UI Symbol" w:hAnsi="Segoe UI Symbol" w:cs="Segoe UI Symbol"/>
          <w:sz w:val="32"/>
        </w:rPr>
        <w:t></w:t>
      </w:r>
      <w:r>
        <w:rPr>
          <w:rFonts w:ascii="Times New Roman" w:eastAsia="Times New Roman" w:hAnsi="Times New Roman" w:cs="Times New Roman"/>
          <w:i/>
          <w:sz w:val="24"/>
        </w:rPr>
        <w:t>hh</w:t>
      </w:r>
      <w:r>
        <w:rPr>
          <w:rFonts w:ascii="Times New Roman" w:eastAsia="Times New Roman" w:hAnsi="Times New Roman" w:cs="Times New Roman"/>
          <w:vertAlign w:val="subscript"/>
        </w:rPr>
        <w:t>0</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sz w:val="24"/>
        </w:rPr>
        <w:t>2</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hz</w:t>
      </w:r>
      <w:r>
        <w:rPr>
          <w:rFonts w:ascii="Times New Roman" w:eastAsia="Times New Roman" w:hAnsi="Times New Roman" w:cs="Times New Roman"/>
          <w:vertAlign w:val="subscript"/>
        </w:rPr>
        <w:t>1</w:t>
      </w:r>
      <w:r>
        <w:rPr>
          <w:rFonts w:ascii="Times New Roman" w:eastAsia="Times New Roman" w:hAnsi="Times New Roman" w:cs="Times New Roman"/>
          <w:i/>
          <w:sz w:val="14"/>
        </w:rPr>
        <w:t>k</w:t>
      </w:r>
      <w:r>
        <w:rPr>
          <w:rFonts w:ascii="Times New Roman" w:eastAsia="Times New Roman" w:hAnsi="Times New Roman" w:cs="Times New Roman"/>
          <w:i/>
          <w:sz w:val="24"/>
        </w:rPr>
        <w:t>z</w:t>
      </w:r>
      <w:r>
        <w:rPr>
          <w:rFonts w:ascii="Segoe UI Symbol" w:eastAsia="Segoe UI Symbol" w:hAnsi="Segoe UI Symbol" w:cs="Segoe UI Symbol"/>
          <w:sz w:val="32"/>
        </w:rPr>
        <w:t></w:t>
      </w:r>
      <w:r>
        <w:rPr>
          <w:rFonts w:ascii="Times New Roman" w:eastAsia="Times New Roman" w:hAnsi="Times New Roman" w:cs="Times New Roman"/>
          <w:i/>
          <w:vertAlign w:val="subscript"/>
        </w:rPr>
        <w:t>k</w:t>
      </w:r>
      <w:r>
        <w:rPr>
          <w:rFonts w:ascii="Times New Roman" w:eastAsia="Times New Roman" w:hAnsi="Times New Roman" w:cs="Times New Roman"/>
          <w:sz w:val="14"/>
        </w:rPr>
        <w:t>2</w:t>
      </w:r>
      <w:r>
        <w:rPr>
          <w:rFonts w:ascii="Segoe UI Symbol" w:eastAsia="Segoe UI Symbol" w:hAnsi="Segoe UI Symbol" w:cs="Segoe UI Symbol"/>
          <w:sz w:val="32"/>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 xml:space="preserve"> </w:t>
      </w:r>
      <w:r>
        <w:rPr>
          <w:rFonts w:ascii="Times New Roman" w:eastAsia="Times New Roman" w:hAnsi="Times New Roman" w:cs="Times New Roman"/>
          <w:sz w:val="37"/>
          <w:vertAlign w:val="subscript"/>
        </w:rPr>
        <w:t>2</w:t>
      </w:r>
      <w:r>
        <w:rPr>
          <w:rFonts w:ascii="Segoe UI Symbol" w:eastAsia="Segoe UI Symbol" w:hAnsi="Segoe UI Symbol" w:cs="Segoe UI Symbol"/>
          <w:sz w:val="32"/>
        </w:rPr>
        <w:t></w:t>
      </w:r>
      <w:r>
        <w:rPr>
          <w:rFonts w:ascii="Segoe UI Symbol" w:eastAsia="Segoe UI Symbol" w:hAnsi="Segoe UI Symbol" w:cs="Segoe UI Symbol"/>
          <w:sz w:val="26"/>
        </w:rPr>
        <w:t></w:t>
      </w:r>
      <w:r>
        <w:rPr>
          <w:rFonts w:ascii="Times New Roman" w:eastAsia="Times New Roman" w:hAnsi="Times New Roman" w:cs="Times New Roman"/>
          <w:i/>
          <w:sz w:val="24"/>
        </w:rPr>
        <w:t>zh</w:t>
      </w:r>
      <w:r>
        <w:rPr>
          <w:rFonts w:ascii="Times New Roman" w:eastAsia="Times New Roman" w:hAnsi="Times New Roman" w:cs="Times New Roman"/>
          <w:i/>
          <w:vertAlign w:val="subscript"/>
        </w:rPr>
        <w:t>k</w:t>
      </w:r>
      <w:r>
        <w:rPr>
          <w:rFonts w:ascii="Times New Roman" w:eastAsia="Times New Roman" w:hAnsi="Times New Roman" w:cs="Times New Roman"/>
          <w:sz w:val="14"/>
        </w:rPr>
        <w:t>1</w:t>
      </w:r>
      <w:r>
        <w:rPr>
          <w:rFonts w:ascii="Segoe UI Symbol" w:eastAsia="Segoe UI Symbol" w:hAnsi="Segoe UI Symbol" w:cs="Segoe UI Symbol"/>
          <w:sz w:val="32"/>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37"/>
          <w:vertAlign w:val="subscript"/>
        </w:rPr>
        <w:t></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sz w:val="37"/>
          <w:vertAlign w:val="superscript"/>
        </w:rPr>
        <w:t>1</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z</w:t>
      </w:r>
      <w:r>
        <w:rPr>
          <w:rFonts w:ascii="Segoe UI Symbol" w:eastAsia="Segoe UI Symbol" w:hAnsi="Segoe UI Symbol" w:cs="Segoe UI Symbol"/>
          <w:sz w:val="32"/>
        </w:rPr>
        <w:t></w:t>
      </w:r>
      <w:r>
        <w:rPr>
          <w:rFonts w:ascii="Times New Roman" w:eastAsia="Times New Roman" w:hAnsi="Times New Roman" w:cs="Times New Roman"/>
          <w:vertAlign w:val="subscript"/>
        </w:rPr>
        <w:t xml:space="preserve">2 </w:t>
      </w:r>
      <w:r>
        <w:rPr>
          <w:rFonts w:ascii="Segoe UI Symbol" w:eastAsia="Segoe UI Symbol" w:hAnsi="Segoe UI Symbol" w:cs="Segoe UI Symbol"/>
          <w:sz w:val="37"/>
          <w:vertAlign w:val="subscript"/>
        </w:rPr>
        <w:t></w:t>
      </w:r>
      <w:r>
        <w:rPr>
          <w:rFonts w:ascii="Times New Roman" w:eastAsia="Times New Roman" w:hAnsi="Times New Roman" w:cs="Times New Roman"/>
          <w:sz w:val="24"/>
        </w:rPr>
        <w:t xml:space="preserve"> </w:t>
      </w:r>
      <w:r>
        <w:rPr>
          <w:rFonts w:ascii="Times New Roman" w:eastAsia="Times New Roman" w:hAnsi="Times New Roman" w:cs="Times New Roman"/>
          <w:i/>
          <w:sz w:val="14"/>
        </w:rPr>
        <w:t xml:space="preserve">k </w:t>
      </w:r>
      <w:r>
        <w:rPr>
          <w:rFonts w:ascii="Times New Roman" w:eastAsia="Times New Roman" w:hAnsi="Times New Roman" w:cs="Times New Roman"/>
          <w:sz w:val="14"/>
        </w:rPr>
        <w:t xml:space="preserve">1 </w:t>
      </w:r>
      <w:r>
        <w:rPr>
          <w:rFonts w:ascii="Segoe UI Symbol" w:eastAsia="Segoe UI Symbol" w:hAnsi="Segoe UI Symbol" w:cs="Segoe UI Symbol"/>
          <w:sz w:val="24"/>
        </w:rPr>
        <w:t xml:space="preserve"> </w:t>
      </w:r>
      <w:r>
        <w:rPr>
          <w:rFonts w:ascii="Segoe UI Symbol" w:eastAsia="Segoe UI Symbol" w:hAnsi="Segoe UI Symbol" w:cs="Segoe UI Symbol"/>
          <w:sz w:val="24"/>
        </w:rPr>
        <w:t></w:t>
      </w:r>
    </w:p>
    <w:p w:rsidR="0052701D" w:rsidRDefault="00D40929">
      <w:pPr>
        <w:numPr>
          <w:ilvl w:val="0"/>
          <w:numId w:val="8"/>
        </w:numPr>
        <w:spacing w:after="179" w:line="258" w:lineRule="auto"/>
        <w:ind w:hanging="1222"/>
      </w:pPr>
      <w:r>
        <w:rPr>
          <w:noProof/>
        </w:rPr>
        <w:lastRenderedPageBreak/>
        <mc:AlternateContent>
          <mc:Choice Requires="wpg">
            <w:drawing>
              <wp:anchor distT="0" distB="0" distL="114300" distR="114300" simplePos="0" relativeHeight="251748352" behindDoc="0" locked="0" layoutInCell="1" allowOverlap="1">
                <wp:simplePos x="0" y="0"/>
                <wp:positionH relativeFrom="column">
                  <wp:posOffset>2965389</wp:posOffset>
                </wp:positionH>
                <wp:positionV relativeFrom="paragraph">
                  <wp:posOffset>121977</wp:posOffset>
                </wp:positionV>
                <wp:extent cx="2855614" cy="6147"/>
                <wp:effectExtent l="0" t="0" r="0" b="0"/>
                <wp:wrapNone/>
                <wp:docPr id="916018" name="Group 916018"/>
                <wp:cNvGraphicFramePr/>
                <a:graphic xmlns:a="http://schemas.openxmlformats.org/drawingml/2006/main">
                  <a:graphicData uri="http://schemas.microsoft.com/office/word/2010/wordprocessingGroup">
                    <wpg:wgp>
                      <wpg:cNvGrpSpPr/>
                      <wpg:grpSpPr>
                        <a:xfrm>
                          <a:off x="0" y="0"/>
                          <a:ext cx="2855614" cy="6147"/>
                          <a:chOff x="0" y="0"/>
                          <a:chExt cx="2855614" cy="6147"/>
                        </a:xfrm>
                      </wpg:grpSpPr>
                      <wps:wsp>
                        <wps:cNvPr id="13730" name="Shape 13730"/>
                        <wps:cNvSpPr/>
                        <wps:spPr>
                          <a:xfrm>
                            <a:off x="0" y="0"/>
                            <a:ext cx="447810" cy="0"/>
                          </a:xfrm>
                          <a:custGeom>
                            <a:avLst/>
                            <a:gdLst/>
                            <a:ahLst/>
                            <a:cxnLst/>
                            <a:rect l="0" t="0" r="0" b="0"/>
                            <a:pathLst>
                              <a:path w="447810">
                                <a:moveTo>
                                  <a:pt x="0" y="0"/>
                                </a:moveTo>
                                <a:lnTo>
                                  <a:pt x="447810" y="0"/>
                                </a:lnTo>
                              </a:path>
                            </a:pathLst>
                          </a:custGeom>
                          <a:ln w="6147" cap="flat">
                            <a:round/>
                          </a:ln>
                        </wps:spPr>
                        <wps:style>
                          <a:lnRef idx="1">
                            <a:srgbClr val="000000"/>
                          </a:lnRef>
                          <a:fillRef idx="0">
                            <a:srgbClr val="000000">
                              <a:alpha val="0"/>
                            </a:srgbClr>
                          </a:fillRef>
                          <a:effectRef idx="0">
                            <a:scrgbClr r="0" g="0" b="0"/>
                          </a:effectRef>
                          <a:fontRef idx="none"/>
                        </wps:style>
                        <wps:bodyPr/>
                      </wps:wsp>
                      <wps:wsp>
                        <wps:cNvPr id="13735" name="Shape 13735"/>
                        <wps:cNvSpPr/>
                        <wps:spPr>
                          <a:xfrm>
                            <a:off x="539042" y="0"/>
                            <a:ext cx="716147" cy="0"/>
                          </a:xfrm>
                          <a:custGeom>
                            <a:avLst/>
                            <a:gdLst/>
                            <a:ahLst/>
                            <a:cxnLst/>
                            <a:rect l="0" t="0" r="0" b="0"/>
                            <a:pathLst>
                              <a:path w="716147">
                                <a:moveTo>
                                  <a:pt x="0" y="0"/>
                                </a:moveTo>
                                <a:lnTo>
                                  <a:pt x="716147" y="0"/>
                                </a:lnTo>
                              </a:path>
                            </a:pathLst>
                          </a:custGeom>
                          <a:ln w="6147" cap="flat">
                            <a:round/>
                          </a:ln>
                        </wps:spPr>
                        <wps:style>
                          <a:lnRef idx="1">
                            <a:srgbClr val="000000"/>
                          </a:lnRef>
                          <a:fillRef idx="0">
                            <a:srgbClr val="000000">
                              <a:alpha val="0"/>
                            </a:srgbClr>
                          </a:fillRef>
                          <a:effectRef idx="0">
                            <a:scrgbClr r="0" g="0" b="0"/>
                          </a:effectRef>
                          <a:fontRef idx="none"/>
                        </wps:style>
                        <wps:bodyPr/>
                      </wps:wsp>
                      <wps:wsp>
                        <wps:cNvPr id="13740" name="Shape 13740"/>
                        <wps:cNvSpPr/>
                        <wps:spPr>
                          <a:xfrm>
                            <a:off x="1379574" y="0"/>
                            <a:ext cx="872438" cy="0"/>
                          </a:xfrm>
                          <a:custGeom>
                            <a:avLst/>
                            <a:gdLst/>
                            <a:ahLst/>
                            <a:cxnLst/>
                            <a:rect l="0" t="0" r="0" b="0"/>
                            <a:pathLst>
                              <a:path w="872438">
                                <a:moveTo>
                                  <a:pt x="0" y="0"/>
                                </a:moveTo>
                                <a:lnTo>
                                  <a:pt x="872438" y="0"/>
                                </a:lnTo>
                              </a:path>
                            </a:pathLst>
                          </a:custGeom>
                          <a:ln w="6147" cap="flat">
                            <a:round/>
                          </a:ln>
                        </wps:spPr>
                        <wps:style>
                          <a:lnRef idx="1">
                            <a:srgbClr val="000000"/>
                          </a:lnRef>
                          <a:fillRef idx="0">
                            <a:srgbClr val="000000">
                              <a:alpha val="0"/>
                            </a:srgbClr>
                          </a:fillRef>
                          <a:effectRef idx="0">
                            <a:scrgbClr r="0" g="0" b="0"/>
                          </a:effectRef>
                          <a:fontRef idx="none"/>
                        </wps:style>
                        <wps:bodyPr/>
                      </wps:wsp>
                      <wps:wsp>
                        <wps:cNvPr id="13743" name="Shape 13743"/>
                        <wps:cNvSpPr/>
                        <wps:spPr>
                          <a:xfrm>
                            <a:off x="2560855" y="0"/>
                            <a:ext cx="294760" cy="0"/>
                          </a:xfrm>
                          <a:custGeom>
                            <a:avLst/>
                            <a:gdLst/>
                            <a:ahLst/>
                            <a:cxnLst/>
                            <a:rect l="0" t="0" r="0" b="0"/>
                            <a:pathLst>
                              <a:path w="294760">
                                <a:moveTo>
                                  <a:pt x="0" y="0"/>
                                </a:moveTo>
                                <a:lnTo>
                                  <a:pt x="294760" y="0"/>
                                </a:lnTo>
                              </a:path>
                            </a:pathLst>
                          </a:custGeom>
                          <a:ln w="6147"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6018" style="width:224.852pt;height:0.483977pt;position:absolute;z-index:245;mso-position-horizontal-relative:text;mso-position-horizontal:absolute;margin-left:233.495pt;mso-position-vertical-relative:text;margin-top:9.60446pt;" coordsize="28556,61">
                <v:shape id="Shape 13730" style="position:absolute;width:4478;height:0;left:0;top:0;" coordsize="447810,0" path="m0,0l447810,0">
                  <v:stroke weight="0.483977pt" endcap="flat" joinstyle="round" on="true" color="#000000"/>
                  <v:fill on="false" color="#000000" opacity="0"/>
                </v:shape>
                <v:shape id="Shape 13735" style="position:absolute;width:7161;height:0;left:5390;top:0;" coordsize="716147,0" path="m0,0l716147,0">
                  <v:stroke weight="0.483977pt" endcap="flat" joinstyle="round" on="true" color="#000000"/>
                  <v:fill on="false" color="#000000" opacity="0"/>
                </v:shape>
                <v:shape id="Shape 13740" style="position:absolute;width:8724;height:0;left:13795;top:0;" coordsize="872438,0" path="m0,0l872438,0">
                  <v:stroke weight="0.483977pt" endcap="flat" joinstyle="round" on="true" color="#000000"/>
                  <v:fill on="false" color="#000000" opacity="0"/>
                </v:shape>
                <v:shape id="Shape 13743" style="position:absolute;width:2947;height:0;left:25608;top:0;" coordsize="294760,0" path="m0,0l294760,0">
                  <v:stroke weight="0.483977pt" endcap="flat" joinstyle="round" on="true" color="#000000"/>
                  <v:fill on="false" color="#000000" opacity="0"/>
                </v:shape>
              </v:group>
            </w:pict>
          </mc:Fallback>
        </mc:AlternateContent>
      </w:r>
      <w:r>
        <w:rPr>
          <w:noProof/>
        </w:rPr>
        <mc:AlternateContent>
          <mc:Choice Requires="wpg">
            <w:drawing>
              <wp:inline distT="0" distB="0" distL="0" distR="0">
                <wp:extent cx="785182" cy="6147"/>
                <wp:effectExtent l="0" t="0" r="0" b="0"/>
                <wp:docPr id="916017" name="Group 916017"/>
                <wp:cNvGraphicFramePr/>
                <a:graphic xmlns:a="http://schemas.openxmlformats.org/drawingml/2006/main">
                  <a:graphicData uri="http://schemas.microsoft.com/office/word/2010/wordprocessingGroup">
                    <wpg:wgp>
                      <wpg:cNvGrpSpPr/>
                      <wpg:grpSpPr>
                        <a:xfrm>
                          <a:off x="0" y="0"/>
                          <a:ext cx="785182" cy="6147"/>
                          <a:chOff x="0" y="0"/>
                          <a:chExt cx="785182" cy="6147"/>
                        </a:xfrm>
                      </wpg:grpSpPr>
                      <wps:wsp>
                        <wps:cNvPr id="13721" name="Shape 13721"/>
                        <wps:cNvSpPr/>
                        <wps:spPr>
                          <a:xfrm>
                            <a:off x="0" y="0"/>
                            <a:ext cx="785182" cy="0"/>
                          </a:xfrm>
                          <a:custGeom>
                            <a:avLst/>
                            <a:gdLst/>
                            <a:ahLst/>
                            <a:cxnLst/>
                            <a:rect l="0" t="0" r="0" b="0"/>
                            <a:pathLst>
                              <a:path w="785182">
                                <a:moveTo>
                                  <a:pt x="0" y="0"/>
                                </a:moveTo>
                                <a:lnTo>
                                  <a:pt x="785182" y="0"/>
                                </a:lnTo>
                              </a:path>
                            </a:pathLst>
                          </a:custGeom>
                          <a:ln w="614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6017" style="width:61.8253pt;height:0.483977pt;mso-position-horizontal-relative:char;mso-position-vertical-relative:line" coordsize="7851,61">
                <v:shape id="Shape 13721" style="position:absolute;width:7851;height:0;left:0;top:0;" coordsize="785182,0" path="m0,0l785182,0">
                  <v:stroke weight="0.483977pt" endcap="flat" joinstyle="round" on="true" color="#000000"/>
                  <v:fill on="false" color="#000000" opacity="0"/>
                </v:shape>
              </v:group>
            </w:pict>
          </mc:Fallback>
        </mc:AlternateContent>
      </w:r>
      <w:r>
        <w:rPr>
          <w:rFonts w:ascii="Times New Roman" w:eastAsia="Times New Roman" w:hAnsi="Times New Roman" w:cs="Times New Roman"/>
          <w:sz w:val="24"/>
        </w:rPr>
        <w:t>1</w:t>
      </w:r>
      <w:r>
        <w:rPr>
          <w:rFonts w:ascii="Times New Roman" w:eastAsia="Times New Roman" w:hAnsi="Times New Roman" w:cs="Times New Roman"/>
          <w:sz w:val="24"/>
        </w:rPr>
        <w:tab/>
      </w:r>
      <w:r>
        <w:rPr>
          <w:rFonts w:ascii="Times New Roman" w:eastAsia="Times New Roman" w:hAnsi="Times New Roman" w:cs="Times New Roman"/>
          <w:vertAlign w:val="subscript"/>
        </w:rPr>
        <w:t xml:space="preserve">2 </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Times New Roman" w:eastAsia="Times New Roman" w:hAnsi="Times New Roman" w:cs="Times New Roman"/>
          <w:i/>
          <w:sz w:val="24"/>
        </w:rPr>
        <w:t>H</w:t>
      </w:r>
      <w:r>
        <w:rPr>
          <w:rFonts w:ascii="Segoe UI Symbol" w:eastAsia="Segoe UI Symbol" w:hAnsi="Segoe UI Symbol" w:cs="Segoe UI Symbol"/>
          <w:sz w:val="32"/>
        </w:rPr>
        <w:t></w:t>
      </w:r>
      <w:r>
        <w:rPr>
          <w:rFonts w:ascii="Times New Roman" w:eastAsia="Times New Roman" w:hAnsi="Times New Roman" w:cs="Times New Roman"/>
          <w:i/>
          <w:sz w:val="24"/>
        </w:rPr>
        <w:t xml:space="preserve">z </w:t>
      </w:r>
      <w:r>
        <w:rPr>
          <w:rFonts w:ascii="Segoe UI Symbol" w:eastAsia="Segoe UI Symbol" w:hAnsi="Segoe UI Symbol" w:cs="Segoe UI Symbol"/>
          <w:sz w:val="24"/>
        </w:rPr>
        <w:t xml:space="preserve"> </w:t>
      </w:r>
      <w:r>
        <w:rPr>
          <w:rFonts w:ascii="Times New Roman" w:eastAsia="Times New Roman" w:hAnsi="Times New Roman" w:cs="Times New Roman"/>
          <w:i/>
          <w:sz w:val="24"/>
        </w:rPr>
        <w:t>z</w:t>
      </w:r>
      <w:r>
        <w:rPr>
          <w:rFonts w:ascii="Times New Roman" w:eastAsia="Times New Roman" w:hAnsi="Times New Roman" w:cs="Times New Roman"/>
          <w:i/>
          <w:vertAlign w:val="subscript"/>
        </w:rPr>
        <w:t xml:space="preserve">k </w:t>
      </w:r>
      <w:r>
        <w:rPr>
          <w:rFonts w:ascii="Segoe UI Symbol" w:eastAsia="Segoe UI Symbol" w:hAnsi="Segoe UI Symbol" w:cs="Segoe UI Symbol"/>
          <w:sz w:val="32"/>
        </w:rPr>
        <w:t></w:t>
      </w:r>
      <w:r>
        <w:rPr>
          <w:rFonts w:ascii="Times New Roman" w:eastAsia="Times New Roman" w:hAnsi="Times New Roman" w:cs="Times New Roman"/>
          <w:i/>
          <w:sz w:val="24"/>
        </w:rPr>
        <w:t>u</w:t>
      </w:r>
      <w:r>
        <w:rPr>
          <w:rFonts w:ascii="Segoe UI Symbol" w:eastAsia="Segoe UI Symbol" w:hAnsi="Segoe UI Symbol" w:cs="Segoe UI Symbol"/>
          <w:sz w:val="32"/>
        </w:rPr>
        <w:t></w:t>
      </w:r>
      <w:r>
        <w:rPr>
          <w:rFonts w:ascii="Times New Roman" w:eastAsia="Times New Roman" w:hAnsi="Times New Roman" w:cs="Times New Roman"/>
          <w:i/>
          <w:sz w:val="24"/>
        </w:rPr>
        <w:t>z</w:t>
      </w:r>
      <w:r>
        <w:rPr>
          <w:rFonts w:ascii="Times New Roman" w:eastAsia="Times New Roman" w:hAnsi="Times New Roman" w:cs="Times New Roman"/>
          <w:i/>
          <w:vertAlign w:val="subscript"/>
        </w:rPr>
        <w:t xml:space="preserve">k </w:t>
      </w:r>
      <w:r>
        <w:rPr>
          <w:rFonts w:ascii="Segoe UI Symbol" w:eastAsia="Segoe UI Symbol" w:hAnsi="Segoe UI Symbol" w:cs="Segoe UI Symbol"/>
          <w:sz w:val="32"/>
        </w:rPr>
        <w:t></w:t>
      </w:r>
      <w:r>
        <w:rPr>
          <w:rFonts w:ascii="Segoe UI Symbol" w:eastAsia="Segoe UI Symbol" w:hAnsi="Segoe UI Symbol" w:cs="Segoe UI Symbol"/>
          <w:sz w:val="24"/>
        </w:rPr>
        <w:t></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vertAlign w:val="subscript"/>
        </w:rPr>
        <w:t xml:space="preserve">0 </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vertAlign w:val="subscript"/>
        </w:rPr>
        <w:t>1</w:t>
      </w:r>
      <w:r>
        <w:rPr>
          <w:rFonts w:ascii="Times New Roman" w:eastAsia="Times New Roman" w:hAnsi="Times New Roman" w:cs="Times New Roman"/>
          <w:i/>
          <w:sz w:val="24"/>
        </w:rPr>
        <w:t>z</w:t>
      </w:r>
      <w:r>
        <w:rPr>
          <w:rFonts w:ascii="Times New Roman" w:eastAsia="Times New Roman" w:hAnsi="Times New Roman" w:cs="Times New Roman"/>
          <w:i/>
          <w:vertAlign w:val="subscript"/>
        </w:rPr>
        <w:t>k</w:t>
      </w:r>
      <w:r>
        <w:rPr>
          <w:rFonts w:ascii="Segoe UI Symbol" w:eastAsia="Segoe UI Symbol" w:hAnsi="Segoe UI Symbol" w:cs="Segoe UI Symbol"/>
          <w:sz w:val="14"/>
        </w:rPr>
        <w:t></w:t>
      </w:r>
      <w:r>
        <w:rPr>
          <w:rFonts w:ascii="Times New Roman" w:eastAsia="Times New Roman" w:hAnsi="Times New Roman" w:cs="Times New Roman"/>
          <w:vertAlign w:val="subscript"/>
        </w:rPr>
        <w:t>1</w:t>
      </w:r>
      <w:r>
        <w:rPr>
          <w:rFonts w:ascii="Segoe UI Symbol" w:eastAsia="Segoe UI Symbol" w:hAnsi="Segoe UI Symbol" w:cs="Segoe UI Symbol"/>
          <w:sz w:val="32"/>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ab/>
      </w:r>
      <w:r>
        <w:rPr>
          <w:rFonts w:ascii="Times New Roman" w:eastAsia="Times New Roman" w:hAnsi="Times New Roman" w:cs="Times New Roman"/>
          <w:sz w:val="24"/>
        </w:rPr>
        <w:t>1</w:t>
      </w:r>
      <w:r>
        <w:rPr>
          <w:rFonts w:ascii="Times New Roman" w:eastAsia="Times New Roman" w:hAnsi="Times New Roman" w:cs="Times New Roman"/>
          <w:sz w:val="24"/>
        </w:rPr>
        <w:tab/>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24"/>
        </w:rPr>
        <w:t xml:space="preserve"> </w:t>
      </w:r>
      <w:r>
        <w:rPr>
          <w:rFonts w:ascii="Times New Roman" w:eastAsia="Times New Roman" w:hAnsi="Times New Roman" w:cs="Times New Roman"/>
          <w:sz w:val="24"/>
        </w:rPr>
        <w:t>2</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z</w:t>
      </w:r>
      <w:r>
        <w:rPr>
          <w:rFonts w:ascii="Segoe UI Symbol" w:eastAsia="Segoe UI Symbol" w:hAnsi="Segoe UI Symbol" w:cs="Segoe UI Symbol"/>
          <w:sz w:val="32"/>
        </w:rPr>
        <w:t></w:t>
      </w:r>
      <w:r>
        <w:rPr>
          <w:rFonts w:ascii="Segoe UI Symbol" w:eastAsia="Segoe UI Symbol" w:hAnsi="Segoe UI Symbol" w:cs="Segoe UI Symbol"/>
          <w:sz w:val="24"/>
        </w:rPr>
        <w:t></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14"/>
        </w:rPr>
        <w:t xml:space="preserve">0 </w:t>
      </w:r>
      <w:r>
        <w:rPr>
          <w:rFonts w:ascii="Segoe UI Symbol" w:eastAsia="Segoe UI Symbol" w:hAnsi="Segoe UI Symbol" w:cs="Segoe UI Symbol"/>
          <w:sz w:val="24"/>
        </w:rPr>
        <w:t xml:space="preserve"> </w:t>
      </w:r>
      <w:r>
        <w:rPr>
          <w:rFonts w:ascii="Times New Roman" w:eastAsia="Times New Roman" w:hAnsi="Times New Roman" w:cs="Times New Roman"/>
          <w:sz w:val="24"/>
        </w:rPr>
        <w:t>2</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Times New Roman" w:eastAsia="Times New Roman" w:hAnsi="Times New Roman" w:cs="Times New Roman"/>
          <w:i/>
          <w:sz w:val="24"/>
        </w:rPr>
        <w:t>z</w:t>
      </w:r>
      <w:r>
        <w:rPr>
          <w:rFonts w:ascii="Times New Roman" w:eastAsia="Times New Roman" w:hAnsi="Times New Roman" w:cs="Times New Roman"/>
          <w:i/>
          <w:sz w:val="14"/>
        </w:rPr>
        <w:t>k</w:t>
      </w:r>
      <w:r>
        <w:rPr>
          <w:rFonts w:ascii="Segoe UI Symbol" w:eastAsia="Segoe UI Symbol" w:hAnsi="Segoe UI Symbol" w:cs="Segoe UI Symbol"/>
          <w:sz w:val="14"/>
        </w:rPr>
        <w:t></w:t>
      </w:r>
      <w:r>
        <w:rPr>
          <w:rFonts w:ascii="Times New Roman" w:eastAsia="Times New Roman" w:hAnsi="Times New Roman" w:cs="Times New Roman"/>
          <w:sz w:val="14"/>
        </w:rPr>
        <w:t>1</w:t>
      </w:r>
      <w:r>
        <w:rPr>
          <w:rFonts w:ascii="Segoe UI Symbol" w:eastAsia="Segoe UI Symbol" w:hAnsi="Segoe UI Symbol" w:cs="Segoe UI Symbol"/>
          <w:sz w:val="32"/>
        </w:rPr>
        <w:t></w:t>
      </w:r>
      <w:r>
        <w:rPr>
          <w:rFonts w:ascii="Segoe UI Symbol" w:eastAsia="Segoe UI Symbol" w:hAnsi="Segoe UI Symbol" w:cs="Segoe UI Symbol"/>
          <w:sz w:val="24"/>
        </w:rPr>
        <w:t xml:space="preserve"> </w:t>
      </w:r>
      <w:r>
        <w:rPr>
          <w:rFonts w:ascii="Times New Roman" w:eastAsia="Times New Roman" w:hAnsi="Times New Roman" w:cs="Times New Roman"/>
          <w:sz w:val="24"/>
        </w:rPr>
        <w:t xml:space="preserve">2 </w:t>
      </w:r>
      <w:r>
        <w:rPr>
          <w:rFonts w:ascii="Times New Roman" w:eastAsia="Times New Roman" w:hAnsi="Times New Roman" w:cs="Times New Roman"/>
          <w:i/>
          <w:sz w:val="24"/>
        </w:rPr>
        <w:t>z</w:t>
      </w:r>
      <w:r>
        <w:rPr>
          <w:rFonts w:ascii="Times New Roman" w:eastAsia="Times New Roman" w:hAnsi="Times New Roman" w:cs="Times New Roman"/>
          <w:i/>
          <w:sz w:val="14"/>
        </w:rPr>
        <w:t>k</w:t>
      </w:r>
      <w:r>
        <w:rPr>
          <w:rFonts w:ascii="Segoe UI Symbol" w:eastAsia="Segoe UI Symbol" w:hAnsi="Segoe UI Symbol" w:cs="Segoe UI Symbol"/>
          <w:sz w:val="14"/>
        </w:rPr>
        <w:t></w:t>
      </w:r>
      <w:r>
        <w:rPr>
          <w:rFonts w:ascii="Times New Roman" w:eastAsia="Times New Roman" w:hAnsi="Times New Roman" w:cs="Times New Roman"/>
          <w:sz w:val="14"/>
        </w:rPr>
        <w:t xml:space="preserve">1 </w:t>
      </w:r>
      <w:r>
        <w:rPr>
          <w:rFonts w:ascii="Segoe UI Symbol" w:eastAsia="Segoe UI Symbol" w:hAnsi="Segoe UI Symbol" w:cs="Segoe UI Symbol"/>
          <w:sz w:val="24"/>
        </w:rPr>
        <w:t></w:t>
      </w:r>
    </w:p>
    <w:p w:rsidR="0052701D" w:rsidRDefault="00D40929">
      <w:pPr>
        <w:tabs>
          <w:tab w:val="center" w:pos="961"/>
          <w:tab w:val="center" w:pos="5577"/>
          <w:tab w:val="center" w:pos="8016"/>
        </w:tabs>
        <w:spacing w:after="4" w:line="258" w:lineRule="auto"/>
      </w:pPr>
      <w:r>
        <w:tab/>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vertAlign w:val="subscript"/>
        </w:rPr>
        <w:t xml:space="preserve">0 </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vertAlign w:val="subscript"/>
        </w:rPr>
        <w:t>1</w:t>
      </w:r>
      <w:r>
        <w:rPr>
          <w:rFonts w:ascii="Times New Roman" w:eastAsia="Times New Roman" w:hAnsi="Times New Roman" w:cs="Times New Roman"/>
          <w:i/>
          <w:sz w:val="24"/>
        </w:rPr>
        <w:t>z</w:t>
      </w:r>
      <w:r>
        <w:rPr>
          <w:rFonts w:ascii="Times New Roman" w:eastAsia="Times New Roman" w:hAnsi="Times New Roman" w:cs="Times New Roman"/>
          <w:i/>
          <w:vertAlign w:val="subscript"/>
        </w:rPr>
        <w:t xml:space="preserve">k </w:t>
      </w:r>
      <w:r>
        <w:rPr>
          <w:rFonts w:ascii="Segoe UI Symbol" w:eastAsia="Segoe UI Symbol" w:hAnsi="Segoe UI Symbol" w:cs="Segoe UI Symbol"/>
          <w:sz w:val="32"/>
        </w:rPr>
        <w:t xml:space="preserve"> </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37"/>
          <w:vertAlign w:val="subscript"/>
        </w:rPr>
        <w:t></w:t>
      </w:r>
      <w:r>
        <w:rPr>
          <w:rFonts w:ascii="Segoe UI Symbol" w:eastAsia="Segoe UI Symbol" w:hAnsi="Segoe UI Symbol" w:cs="Segoe UI Symbol"/>
          <w:sz w:val="24"/>
        </w:rPr>
        <w:t></w:t>
      </w:r>
      <w:r>
        <w:rPr>
          <w:rFonts w:ascii="Segoe UI Symbol" w:eastAsia="Segoe UI Symbol" w:hAnsi="Segoe UI Symbol" w:cs="Segoe UI Symbol"/>
          <w:sz w:val="24"/>
        </w:rPr>
        <w:tab/>
      </w:r>
      <w:r>
        <w:rPr>
          <w:rFonts w:ascii="Segoe UI Symbol" w:eastAsia="Segoe UI Symbol" w:hAnsi="Segoe UI Symbol" w:cs="Segoe UI Symbol"/>
          <w:sz w:val="37"/>
          <w:vertAlign w:val="subscript"/>
        </w:rPr>
        <w:t></w:t>
      </w:r>
      <w:r>
        <w:rPr>
          <w:rFonts w:ascii="Segoe UI Symbol" w:eastAsia="Segoe UI Symbol" w:hAnsi="Segoe UI Symbol" w:cs="Segoe UI Symbol"/>
          <w:sz w:val="24"/>
        </w:rPr>
        <w:t></w:t>
      </w:r>
      <w:r>
        <w:rPr>
          <w:rFonts w:ascii="Times New Roman" w:eastAsia="Times New Roman" w:hAnsi="Times New Roman" w:cs="Times New Roman"/>
          <w:sz w:val="24"/>
        </w:rPr>
        <w:t>2</w:t>
      </w:r>
      <w:r>
        <w:rPr>
          <w:rFonts w:ascii="Segoe UI Symbol" w:eastAsia="Segoe UI Symbol" w:hAnsi="Segoe UI Symbol" w:cs="Segoe UI Symbol"/>
          <w:sz w:val="32"/>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vertAlign w:val="subscript"/>
        </w:rPr>
        <w:t>1</w:t>
      </w:r>
      <w:r>
        <w:rPr>
          <w:rFonts w:ascii="Segoe UI Symbol" w:eastAsia="Segoe UI Symbol" w:hAnsi="Segoe UI Symbol" w:cs="Segoe UI Symbol"/>
          <w:sz w:val="32"/>
        </w:rPr>
        <w:t></w:t>
      </w:r>
      <w:r>
        <w:rPr>
          <w:rFonts w:ascii="Times New Roman" w:eastAsia="Times New Roman" w:hAnsi="Times New Roman" w:cs="Times New Roman"/>
          <w:sz w:val="14"/>
        </w:rPr>
        <w:t xml:space="preserve">2 </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32"/>
        </w:rPr>
        <w:t></w:t>
      </w:r>
      <w:r>
        <w:rPr>
          <w:rFonts w:ascii="Times New Roman" w:eastAsia="Times New Roman" w:hAnsi="Times New Roman" w:cs="Times New Roman"/>
          <w:i/>
          <w:sz w:val="24"/>
        </w:rPr>
        <w:t xml:space="preserve">h </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i/>
          <w:sz w:val="24"/>
        </w:rPr>
        <w:t>h z</w:t>
      </w:r>
      <w:r>
        <w:rPr>
          <w:rFonts w:ascii="Segoe UI Symbol" w:eastAsia="Segoe UI Symbol" w:hAnsi="Segoe UI Symbol" w:cs="Segoe UI Symbol"/>
          <w:sz w:val="32"/>
        </w:rPr>
        <w:t></w:t>
      </w:r>
      <w:r>
        <w:rPr>
          <w:rFonts w:ascii="Times New Roman" w:eastAsia="Times New Roman" w:hAnsi="Times New Roman" w:cs="Times New Roman"/>
          <w:sz w:val="14"/>
        </w:rPr>
        <w:t>2</w:t>
      </w:r>
      <w:r>
        <w:rPr>
          <w:rFonts w:ascii="Times New Roman" w:eastAsia="Times New Roman" w:hAnsi="Times New Roman" w:cs="Times New Roman"/>
          <w:sz w:val="14"/>
        </w:rPr>
        <w:tab/>
      </w:r>
      <w:r>
        <w:rPr>
          <w:rFonts w:ascii="Segoe UI Symbol" w:eastAsia="Segoe UI Symbol" w:hAnsi="Segoe UI Symbol" w:cs="Segoe UI Symbol"/>
          <w:sz w:val="32"/>
        </w:rPr>
        <w:t></w:t>
      </w:r>
      <w:r>
        <w:rPr>
          <w:rFonts w:ascii="Times New Roman" w:eastAsia="Times New Roman" w:hAnsi="Times New Roman" w:cs="Times New Roman"/>
          <w:i/>
          <w:sz w:val="24"/>
        </w:rPr>
        <w:t xml:space="preserve">h </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vertAlign w:val="subscript"/>
        </w:rPr>
        <w:t>1</w:t>
      </w:r>
      <w:r>
        <w:rPr>
          <w:rFonts w:ascii="Times New Roman" w:eastAsia="Times New Roman" w:hAnsi="Times New Roman" w:cs="Times New Roman"/>
          <w:i/>
          <w:sz w:val="24"/>
        </w:rPr>
        <w:t>z</w:t>
      </w:r>
      <w:r>
        <w:rPr>
          <w:rFonts w:ascii="Times New Roman" w:eastAsia="Times New Roman" w:hAnsi="Times New Roman" w:cs="Times New Roman"/>
          <w:i/>
          <w:vertAlign w:val="subscript"/>
        </w:rPr>
        <w:t>k</w:t>
      </w:r>
      <w:r>
        <w:rPr>
          <w:rFonts w:ascii="Segoe UI Symbol" w:eastAsia="Segoe UI Symbol" w:hAnsi="Segoe UI Symbol" w:cs="Segoe UI Symbol"/>
          <w:sz w:val="14"/>
        </w:rPr>
        <w:t></w:t>
      </w:r>
      <w:r>
        <w:rPr>
          <w:rFonts w:ascii="Times New Roman" w:eastAsia="Times New Roman" w:hAnsi="Times New Roman" w:cs="Times New Roman"/>
          <w:vertAlign w:val="subscript"/>
        </w:rPr>
        <w:t>1</w:t>
      </w:r>
      <w:r>
        <w:rPr>
          <w:rFonts w:ascii="Segoe UI Symbol" w:eastAsia="Segoe UI Symbol" w:hAnsi="Segoe UI Symbol" w:cs="Segoe UI Symbol"/>
          <w:sz w:val="32"/>
        </w:rPr>
        <w:t></w:t>
      </w:r>
      <w:r>
        <w:rPr>
          <w:rFonts w:ascii="Times New Roman" w:eastAsia="Times New Roman" w:hAnsi="Times New Roman" w:cs="Times New Roman"/>
          <w:sz w:val="14"/>
        </w:rPr>
        <w:t xml:space="preserve">2 </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 xml:space="preserve"> </w:t>
      </w:r>
      <w:r>
        <w:rPr>
          <w:rFonts w:ascii="Segoe UI Symbol" w:eastAsia="Segoe UI Symbol" w:hAnsi="Segoe UI Symbol" w:cs="Segoe UI Symbol"/>
          <w:sz w:val="32"/>
        </w:rPr>
        <w:t></w:t>
      </w:r>
      <w:r>
        <w:rPr>
          <w:rFonts w:ascii="Segoe UI Symbol" w:eastAsia="Segoe UI Symbol" w:hAnsi="Segoe UI Symbol" w:cs="Segoe UI Symbol"/>
          <w:sz w:val="26"/>
        </w:rPr>
        <w:t></w:t>
      </w:r>
      <w:r>
        <w:rPr>
          <w:rFonts w:ascii="Times New Roman" w:eastAsia="Times New Roman" w:hAnsi="Times New Roman" w:cs="Times New Roman"/>
          <w:i/>
          <w:sz w:val="24"/>
        </w:rPr>
        <w:t>h</w:t>
      </w:r>
      <w:r>
        <w:rPr>
          <w:rFonts w:ascii="Times New Roman" w:eastAsia="Times New Roman" w:hAnsi="Times New Roman" w:cs="Times New Roman"/>
          <w:sz w:val="14"/>
        </w:rPr>
        <w:t>1</w:t>
      </w:r>
      <w:r>
        <w:rPr>
          <w:rFonts w:ascii="Segoe UI Symbol" w:eastAsia="Segoe UI Symbol" w:hAnsi="Segoe UI Symbol" w:cs="Segoe UI Symbol"/>
          <w:sz w:val="32"/>
        </w:rPr>
        <w:t></w:t>
      </w:r>
    </w:p>
    <w:p w:rsidR="0052701D" w:rsidRDefault="00D40929">
      <w:pPr>
        <w:tabs>
          <w:tab w:val="center" w:pos="5756"/>
          <w:tab w:val="center" w:pos="6293"/>
          <w:tab w:val="center" w:pos="7080"/>
        </w:tabs>
        <w:spacing w:after="176" w:line="265" w:lineRule="auto"/>
      </w:pPr>
      <w:r>
        <w:tab/>
      </w:r>
      <w:r>
        <w:rPr>
          <w:rFonts w:ascii="Times New Roman" w:eastAsia="Times New Roman" w:hAnsi="Times New Roman" w:cs="Times New Roman"/>
          <w:sz w:val="14"/>
        </w:rPr>
        <w:t>0</w:t>
      </w:r>
      <w:r>
        <w:rPr>
          <w:rFonts w:ascii="Times New Roman" w:eastAsia="Times New Roman" w:hAnsi="Times New Roman" w:cs="Times New Roman"/>
          <w:sz w:val="14"/>
        </w:rPr>
        <w:tab/>
        <w:t>1</w:t>
      </w:r>
      <w:r>
        <w:rPr>
          <w:rFonts w:ascii="Times New Roman" w:eastAsia="Times New Roman" w:hAnsi="Times New Roman" w:cs="Times New Roman"/>
          <w:sz w:val="14"/>
        </w:rPr>
        <w:tab/>
        <w:t>0</w:t>
      </w:r>
    </w:p>
    <w:p w:rsidR="0052701D" w:rsidRDefault="00D40929">
      <w:pPr>
        <w:spacing w:after="2"/>
        <w:ind w:left="4329" w:hanging="4306"/>
      </w:pPr>
      <w:r>
        <w:rPr>
          <w:noProof/>
        </w:rPr>
        <mc:AlternateContent>
          <mc:Choice Requires="wpg">
            <w:drawing>
              <wp:anchor distT="0" distB="0" distL="114300" distR="114300" simplePos="0" relativeHeight="251749376" behindDoc="0" locked="0" layoutInCell="1" allowOverlap="1">
                <wp:simplePos x="0" y="0"/>
                <wp:positionH relativeFrom="column">
                  <wp:posOffset>191122</wp:posOffset>
                </wp:positionH>
                <wp:positionV relativeFrom="paragraph">
                  <wp:posOffset>74378</wp:posOffset>
                </wp:positionV>
                <wp:extent cx="1767480" cy="5934"/>
                <wp:effectExtent l="0" t="0" r="0" b="0"/>
                <wp:wrapNone/>
                <wp:docPr id="916019" name="Group 916019"/>
                <wp:cNvGraphicFramePr/>
                <a:graphic xmlns:a="http://schemas.openxmlformats.org/drawingml/2006/main">
                  <a:graphicData uri="http://schemas.microsoft.com/office/word/2010/wordprocessingGroup">
                    <wpg:wgp>
                      <wpg:cNvGrpSpPr/>
                      <wpg:grpSpPr>
                        <a:xfrm>
                          <a:off x="0" y="0"/>
                          <a:ext cx="1767480" cy="5934"/>
                          <a:chOff x="0" y="0"/>
                          <a:chExt cx="1767480" cy="5934"/>
                        </a:xfrm>
                      </wpg:grpSpPr>
                      <wps:wsp>
                        <wps:cNvPr id="13853" name="Shape 13853"/>
                        <wps:cNvSpPr/>
                        <wps:spPr>
                          <a:xfrm>
                            <a:off x="0" y="0"/>
                            <a:ext cx="728081" cy="0"/>
                          </a:xfrm>
                          <a:custGeom>
                            <a:avLst/>
                            <a:gdLst/>
                            <a:ahLst/>
                            <a:cxnLst/>
                            <a:rect l="0" t="0" r="0" b="0"/>
                            <a:pathLst>
                              <a:path w="728081">
                                <a:moveTo>
                                  <a:pt x="0" y="0"/>
                                </a:moveTo>
                                <a:lnTo>
                                  <a:pt x="728081" y="0"/>
                                </a:lnTo>
                              </a:path>
                            </a:pathLst>
                          </a:custGeom>
                          <a:ln w="5934" cap="flat">
                            <a:round/>
                          </a:ln>
                        </wps:spPr>
                        <wps:style>
                          <a:lnRef idx="1">
                            <a:srgbClr val="000000"/>
                          </a:lnRef>
                          <a:fillRef idx="0">
                            <a:srgbClr val="000000">
                              <a:alpha val="0"/>
                            </a:srgbClr>
                          </a:fillRef>
                          <a:effectRef idx="0">
                            <a:scrgbClr r="0" g="0" b="0"/>
                          </a:effectRef>
                          <a:fontRef idx="none"/>
                        </wps:style>
                        <wps:bodyPr/>
                      </wps:wsp>
                      <wps:wsp>
                        <wps:cNvPr id="13856" name="Shape 13856"/>
                        <wps:cNvSpPr/>
                        <wps:spPr>
                          <a:xfrm>
                            <a:off x="880758" y="0"/>
                            <a:ext cx="886721" cy="0"/>
                          </a:xfrm>
                          <a:custGeom>
                            <a:avLst/>
                            <a:gdLst/>
                            <a:ahLst/>
                            <a:cxnLst/>
                            <a:rect l="0" t="0" r="0" b="0"/>
                            <a:pathLst>
                              <a:path w="886721">
                                <a:moveTo>
                                  <a:pt x="0" y="0"/>
                                </a:moveTo>
                                <a:lnTo>
                                  <a:pt x="886721" y="0"/>
                                </a:lnTo>
                              </a:path>
                            </a:pathLst>
                          </a:custGeom>
                          <a:ln w="5934"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6019" style="width:139.172pt;height:0.467275pt;position:absolute;z-index:362;mso-position-horizontal-relative:text;mso-position-horizontal:absolute;margin-left:15.049pt;mso-position-vertical-relative:text;margin-top:5.85655pt;" coordsize="17674,59">
                <v:shape id="Shape 13853" style="position:absolute;width:7280;height:0;left:0;top:0;" coordsize="728081,0" path="m0,0l728081,0">
                  <v:stroke weight="0.467275pt" endcap="flat" joinstyle="round" on="true" color="#000000"/>
                  <v:fill on="false" color="#000000" opacity="0"/>
                </v:shape>
                <v:shape id="Shape 13856" style="position:absolute;width:8867;height:0;left:8807;top:0;" coordsize="886721,0" path="m0,0l886721,0">
                  <v:stroke weight="0.467275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750400" behindDoc="0" locked="0" layoutInCell="1" allowOverlap="1">
                <wp:simplePos x="0" y="0"/>
                <wp:positionH relativeFrom="column">
                  <wp:posOffset>4087363</wp:posOffset>
                </wp:positionH>
                <wp:positionV relativeFrom="paragraph">
                  <wp:posOffset>74378</wp:posOffset>
                </wp:positionV>
                <wp:extent cx="1454307" cy="5934"/>
                <wp:effectExtent l="0" t="0" r="0" b="0"/>
                <wp:wrapNone/>
                <wp:docPr id="916020" name="Group 916020"/>
                <wp:cNvGraphicFramePr/>
                <a:graphic xmlns:a="http://schemas.openxmlformats.org/drawingml/2006/main">
                  <a:graphicData uri="http://schemas.microsoft.com/office/word/2010/wordprocessingGroup">
                    <wpg:wgp>
                      <wpg:cNvGrpSpPr/>
                      <wpg:grpSpPr>
                        <a:xfrm>
                          <a:off x="0" y="0"/>
                          <a:ext cx="1454307" cy="5934"/>
                          <a:chOff x="0" y="0"/>
                          <a:chExt cx="1454307" cy="5934"/>
                        </a:xfrm>
                      </wpg:grpSpPr>
                      <wps:wsp>
                        <wps:cNvPr id="13868" name="Shape 13868"/>
                        <wps:cNvSpPr/>
                        <wps:spPr>
                          <a:xfrm>
                            <a:off x="0" y="0"/>
                            <a:ext cx="650808" cy="0"/>
                          </a:xfrm>
                          <a:custGeom>
                            <a:avLst/>
                            <a:gdLst/>
                            <a:ahLst/>
                            <a:cxnLst/>
                            <a:rect l="0" t="0" r="0" b="0"/>
                            <a:pathLst>
                              <a:path w="650808">
                                <a:moveTo>
                                  <a:pt x="0" y="0"/>
                                </a:moveTo>
                                <a:lnTo>
                                  <a:pt x="650808" y="0"/>
                                </a:lnTo>
                              </a:path>
                            </a:pathLst>
                          </a:custGeom>
                          <a:ln w="5934" cap="flat">
                            <a:round/>
                          </a:ln>
                        </wps:spPr>
                        <wps:style>
                          <a:lnRef idx="1">
                            <a:srgbClr val="000000"/>
                          </a:lnRef>
                          <a:fillRef idx="0">
                            <a:srgbClr val="000000">
                              <a:alpha val="0"/>
                            </a:srgbClr>
                          </a:fillRef>
                          <a:effectRef idx="0">
                            <a:scrgbClr r="0" g="0" b="0"/>
                          </a:effectRef>
                          <a:fontRef idx="none"/>
                        </wps:style>
                        <wps:bodyPr/>
                      </wps:wsp>
                      <wps:wsp>
                        <wps:cNvPr id="13871" name="Shape 13871"/>
                        <wps:cNvSpPr/>
                        <wps:spPr>
                          <a:xfrm>
                            <a:off x="803498" y="0"/>
                            <a:ext cx="650808" cy="0"/>
                          </a:xfrm>
                          <a:custGeom>
                            <a:avLst/>
                            <a:gdLst/>
                            <a:ahLst/>
                            <a:cxnLst/>
                            <a:rect l="0" t="0" r="0" b="0"/>
                            <a:pathLst>
                              <a:path w="650808">
                                <a:moveTo>
                                  <a:pt x="0" y="0"/>
                                </a:moveTo>
                                <a:lnTo>
                                  <a:pt x="650808" y="0"/>
                                </a:lnTo>
                              </a:path>
                            </a:pathLst>
                          </a:custGeom>
                          <a:ln w="5934"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6020" style="width:114.512pt;height:0.467275pt;position:absolute;z-index:377;mso-position-horizontal-relative:text;mso-position-horizontal:absolute;margin-left:321.84pt;mso-position-vertical-relative:text;margin-top:5.85655pt;" coordsize="14543,59">
                <v:shape id="Shape 13868" style="position:absolute;width:6508;height:0;left:0;top:0;" coordsize="650808,0" path="m0,0l650808,0">
                  <v:stroke weight="0.467275pt" endcap="flat" joinstyle="round" on="true" color="#000000"/>
                  <v:fill on="false" color="#000000" opacity="0"/>
                </v:shape>
                <v:shape id="Shape 13871" style="position:absolute;width:6508;height:0;left:8034;top:0;" coordsize="650808,0" path="m0,0l650808,0">
                  <v:stroke weight="0.467275pt" endcap="flat" joinstyle="round" on="true" color="#000000"/>
                  <v:fill on="false" color="#000000" opacity="0"/>
                </v:shape>
              </v:group>
            </w:pict>
          </mc:Fallback>
        </mc:AlternateConten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Times New Roman" w:eastAsia="Times New Roman" w:hAnsi="Times New Roman" w:cs="Times New Roman"/>
          <w:sz w:val="13"/>
        </w:rPr>
        <w:t xml:space="preserve">0 </w:t>
      </w:r>
      <w:r>
        <w:rPr>
          <w:rFonts w:ascii="Segoe UI Symbol" w:eastAsia="Segoe UI Symbol" w:hAnsi="Segoe UI Symbol" w:cs="Segoe UI Symbol"/>
          <w:sz w:val="23"/>
        </w:rPr>
        <w:t></w:t>
      </w:r>
      <w:r>
        <w:rPr>
          <w:rFonts w:ascii="Segoe UI Symbol" w:eastAsia="Segoe UI Symbol" w:hAnsi="Segoe UI Symbol" w:cs="Segoe UI Symbol"/>
          <w:sz w:val="24"/>
        </w:rPr>
        <w:t></w:t>
      </w:r>
      <w:r>
        <w:rPr>
          <w:rFonts w:ascii="Times New Roman" w:eastAsia="Times New Roman" w:hAnsi="Times New Roman" w:cs="Times New Roman"/>
          <w:sz w:val="23"/>
        </w:rPr>
        <w:t>1</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Times New Roman" w:eastAsia="Times New Roman" w:hAnsi="Times New Roman" w:cs="Times New Roman"/>
          <w:i/>
          <w:sz w:val="23"/>
        </w:rPr>
        <w:t>z</w:t>
      </w:r>
      <w:r>
        <w:rPr>
          <w:rFonts w:ascii="Segoe UI Symbol" w:eastAsia="Segoe UI Symbol" w:hAnsi="Segoe UI Symbol" w:cs="Segoe UI Symbol"/>
          <w:sz w:val="30"/>
        </w:rPr>
        <w:t></w:t>
      </w:r>
      <w:r>
        <w:rPr>
          <w:rFonts w:ascii="Times New Roman" w:eastAsia="Times New Roman" w:hAnsi="Times New Roman" w:cs="Times New Roman"/>
          <w:sz w:val="13"/>
        </w:rPr>
        <w:t xml:space="preserve">2 </w:t>
      </w:r>
      <w:r>
        <w:rPr>
          <w:rFonts w:ascii="Segoe UI Symbol" w:eastAsia="Segoe UI Symbol" w:hAnsi="Segoe UI Symbol" w:cs="Segoe UI Symbol"/>
          <w:sz w:val="23"/>
        </w:rPr>
        <w:t xml:space="preserve"> </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Times New Roman" w:eastAsia="Times New Roman" w:hAnsi="Times New Roman" w:cs="Times New Roman"/>
          <w:sz w:val="13"/>
        </w:rPr>
        <w:t xml:space="preserve">0 </w:t>
      </w:r>
      <w:r>
        <w:rPr>
          <w:rFonts w:ascii="Segoe UI Symbol" w:eastAsia="Segoe UI Symbol" w:hAnsi="Segoe UI Symbol" w:cs="Segoe UI Symbol"/>
          <w:sz w:val="23"/>
        </w:rPr>
        <w:t></w:t>
      </w:r>
      <w:r>
        <w:rPr>
          <w:rFonts w:ascii="Segoe UI Symbol" w:eastAsia="Segoe UI Symbol" w:hAnsi="Segoe UI Symbol" w:cs="Segoe UI Symbol"/>
          <w:sz w:val="24"/>
        </w:rPr>
        <w:t></w:t>
      </w:r>
      <w:r>
        <w:rPr>
          <w:rFonts w:ascii="Times New Roman" w:eastAsia="Times New Roman" w:hAnsi="Times New Roman" w:cs="Times New Roman"/>
          <w:sz w:val="23"/>
        </w:rPr>
        <w:t>1</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Times New Roman" w:eastAsia="Times New Roman" w:hAnsi="Times New Roman" w:cs="Times New Roman"/>
          <w:i/>
          <w:sz w:val="23"/>
        </w:rPr>
        <w:t>z</w:t>
      </w:r>
      <w:r>
        <w:rPr>
          <w:rFonts w:ascii="Times New Roman" w:eastAsia="Times New Roman" w:hAnsi="Times New Roman" w:cs="Times New Roman"/>
          <w:i/>
          <w:sz w:val="13"/>
        </w:rPr>
        <w:t>k</w:t>
      </w:r>
      <w:r>
        <w:rPr>
          <w:rFonts w:ascii="Segoe UI Symbol" w:eastAsia="Segoe UI Symbol" w:hAnsi="Segoe UI Symbol" w:cs="Segoe UI Symbol"/>
          <w:sz w:val="13"/>
        </w:rPr>
        <w:t></w:t>
      </w:r>
      <w:r>
        <w:rPr>
          <w:rFonts w:ascii="Times New Roman" w:eastAsia="Times New Roman" w:hAnsi="Times New Roman" w:cs="Times New Roman"/>
          <w:sz w:val="13"/>
        </w:rPr>
        <w:t>1</w:t>
      </w:r>
      <w:r>
        <w:rPr>
          <w:rFonts w:ascii="Segoe UI Symbol" w:eastAsia="Segoe UI Symbol" w:hAnsi="Segoe UI Symbol" w:cs="Segoe UI Symbol"/>
          <w:sz w:val="30"/>
        </w:rPr>
        <w:t></w:t>
      </w:r>
      <w:r>
        <w:rPr>
          <w:rFonts w:ascii="Times New Roman" w:eastAsia="Times New Roman" w:hAnsi="Times New Roman" w:cs="Times New Roman"/>
          <w:sz w:val="13"/>
        </w:rPr>
        <w:t xml:space="preserve">2 </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Times New Roman" w:eastAsia="Times New Roman" w:hAnsi="Times New Roman" w:cs="Times New Roman"/>
          <w:i/>
          <w:sz w:val="23"/>
        </w:rPr>
        <w:t>H</w:t>
      </w:r>
      <w:r>
        <w:rPr>
          <w:rFonts w:ascii="Segoe UI Symbol" w:eastAsia="Segoe UI Symbol" w:hAnsi="Segoe UI Symbol" w:cs="Segoe UI Symbol"/>
          <w:sz w:val="30"/>
        </w:rPr>
        <w:t></w:t>
      </w:r>
      <w:r>
        <w:rPr>
          <w:rFonts w:ascii="Times New Roman" w:eastAsia="Times New Roman" w:hAnsi="Times New Roman" w:cs="Times New Roman"/>
          <w:i/>
          <w:sz w:val="23"/>
        </w:rPr>
        <w:t xml:space="preserve">z </w:t>
      </w:r>
      <w:r>
        <w:rPr>
          <w:rFonts w:ascii="Segoe UI Symbol" w:eastAsia="Segoe UI Symbol" w:hAnsi="Segoe UI Symbol" w:cs="Segoe UI Symbol"/>
          <w:sz w:val="23"/>
        </w:rPr>
        <w:t xml:space="preserve"> </w:t>
      </w:r>
      <w:r>
        <w:rPr>
          <w:rFonts w:ascii="Times New Roman" w:eastAsia="Times New Roman" w:hAnsi="Times New Roman" w:cs="Times New Roman"/>
          <w:i/>
          <w:sz w:val="23"/>
        </w:rPr>
        <w:t>z</w:t>
      </w:r>
      <w:r>
        <w:rPr>
          <w:rFonts w:ascii="Times New Roman" w:eastAsia="Times New Roman" w:hAnsi="Times New Roman" w:cs="Times New Roman"/>
          <w:i/>
          <w:sz w:val="13"/>
        </w:rPr>
        <w:t>k</w:t>
      </w:r>
      <w:r>
        <w:rPr>
          <w:rFonts w:ascii="Segoe UI Symbol" w:eastAsia="Segoe UI Symbol" w:hAnsi="Segoe UI Symbol" w:cs="Segoe UI Symbol"/>
          <w:sz w:val="13"/>
        </w:rPr>
        <w:t></w:t>
      </w:r>
      <w:r>
        <w:rPr>
          <w:rFonts w:ascii="Times New Roman" w:eastAsia="Times New Roman" w:hAnsi="Times New Roman" w:cs="Times New Roman"/>
          <w:sz w:val="13"/>
        </w:rPr>
        <w:t xml:space="preserve">1 </w:t>
      </w:r>
      <w:r>
        <w:rPr>
          <w:rFonts w:ascii="Segoe UI Symbol" w:eastAsia="Segoe UI Symbol" w:hAnsi="Segoe UI Symbol" w:cs="Segoe UI Symbol"/>
          <w:sz w:val="13"/>
        </w:rPr>
        <w:t xml:space="preserve"> </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 xml:space="preserve"> </w:t>
      </w:r>
      <w:r>
        <w:rPr>
          <w:rFonts w:ascii="Segoe UI Symbol" w:eastAsia="Segoe UI Symbol" w:hAnsi="Segoe UI Symbol" w:cs="Segoe UI Symbol"/>
          <w:sz w:val="23"/>
        </w:rPr>
        <w:t xml:space="preserve"> </w:t>
      </w:r>
      <w:r>
        <w:rPr>
          <w:rFonts w:ascii="Times New Roman" w:eastAsia="Times New Roman" w:hAnsi="Times New Roman" w:cs="Times New Roman"/>
          <w:sz w:val="23"/>
        </w:rPr>
        <w:t xml:space="preserve">6 </w:t>
      </w:r>
      <w:r>
        <w:rPr>
          <w:rFonts w:ascii="Times New Roman" w:eastAsia="Times New Roman" w:hAnsi="Times New Roman" w:cs="Times New Roman"/>
          <w:i/>
          <w:sz w:val="23"/>
        </w:rPr>
        <w:t>E</w:t>
      </w:r>
      <w:r>
        <w:rPr>
          <w:rFonts w:ascii="Segoe UI Symbol" w:eastAsia="Segoe UI Symbol" w:hAnsi="Segoe UI Symbol" w:cs="Segoe UI Symbol"/>
          <w:sz w:val="37"/>
          <w:u w:val="single" w:color="000000"/>
        </w:rPr>
        <w:t></w:t>
      </w:r>
      <w:r>
        <w:rPr>
          <w:rFonts w:ascii="Times New Roman" w:eastAsia="Times New Roman" w:hAnsi="Times New Roman" w:cs="Times New Roman"/>
          <w:sz w:val="23"/>
        </w:rPr>
        <w:t>1</w:t>
      </w:r>
      <w:r>
        <w:rPr>
          <w:rFonts w:ascii="Segoe UI Symbol" w:eastAsia="Segoe UI Symbol" w:hAnsi="Segoe UI Symbol" w:cs="Segoe UI Symbol"/>
          <w:sz w:val="30"/>
        </w:rPr>
        <w:t></w:t>
      </w:r>
      <w:r>
        <w:rPr>
          <w:rFonts w:ascii="Segoe UI Symbol" w:eastAsia="Segoe UI Symbol" w:hAnsi="Segoe UI Symbol" w:cs="Segoe UI Symbol"/>
          <w:sz w:val="24"/>
        </w:rPr>
        <w:t></w:t>
      </w:r>
      <w:r>
        <w:rPr>
          <w:rFonts w:ascii="Segoe UI Symbol" w:eastAsia="Segoe UI Symbol" w:hAnsi="Segoe UI Symbol" w:cs="Segoe UI Symbol"/>
          <w:sz w:val="23"/>
        </w:rPr>
        <w:t></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13"/>
        </w:rPr>
        <w:t>12</w:t>
      </w:r>
      <w:r>
        <w:rPr>
          <w:rFonts w:ascii="Segoe UI Symbol" w:eastAsia="Segoe UI Symbol" w:hAnsi="Segoe UI Symbol" w:cs="Segoe UI Symbol"/>
          <w:sz w:val="30"/>
        </w:rPr>
        <w:t></w:t>
      </w:r>
      <w:r>
        <w:rPr>
          <w:rFonts w:ascii="Times New Roman" w:eastAsia="Times New Roman" w:hAnsi="Times New Roman" w:cs="Times New Roman"/>
          <w:sz w:val="13"/>
        </w:rPr>
        <w:t>2</w:t>
      </w:r>
      <w:r>
        <w:rPr>
          <w:rFonts w:ascii="Segoe UI Symbol" w:eastAsia="Segoe UI Symbol" w:hAnsi="Segoe UI Symbol" w:cs="Segoe UI Symbol"/>
          <w:sz w:val="37"/>
          <w:u w:val="single" w:color="000000"/>
        </w:rPr>
        <w:t xml:space="preserve"> </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Times New Roman" w:eastAsia="Times New Roman" w:hAnsi="Times New Roman" w:cs="Times New Roman"/>
          <w:sz w:val="13"/>
        </w:rPr>
        <w:t xml:space="preserve">0 </w:t>
      </w:r>
      <w:r>
        <w:rPr>
          <w:rFonts w:ascii="Segoe UI Symbol" w:eastAsia="Segoe UI Symbol" w:hAnsi="Segoe UI Symbol" w:cs="Segoe UI Symbol"/>
          <w:sz w:val="23"/>
        </w:rPr>
        <w:t></w:t>
      </w:r>
      <w:r>
        <w:rPr>
          <w:rFonts w:ascii="Times New Roman" w:eastAsia="Times New Roman" w:hAnsi="Times New Roman" w:cs="Times New Roman"/>
          <w:i/>
          <w:sz w:val="23"/>
        </w:rPr>
        <w:t>h</w:t>
      </w:r>
      <w:r>
        <w:rPr>
          <w:rFonts w:ascii="Segoe UI Symbol" w:eastAsia="Segoe UI Symbol" w:hAnsi="Segoe UI Symbol" w:cs="Segoe UI Symbol"/>
          <w:sz w:val="24"/>
        </w:rPr>
        <w:t></w:t>
      </w:r>
      <w:r>
        <w:rPr>
          <w:rFonts w:ascii="Times New Roman" w:eastAsia="Times New Roman" w:hAnsi="Times New Roman" w:cs="Times New Roman"/>
          <w:sz w:val="13"/>
        </w:rPr>
        <w:t xml:space="preserve">0 </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Times New Roman" w:eastAsia="Times New Roman" w:hAnsi="Times New Roman" w:cs="Times New Roman"/>
          <w:i/>
          <w:sz w:val="23"/>
        </w:rPr>
        <w:t>z</w:t>
      </w:r>
      <w:r>
        <w:rPr>
          <w:rFonts w:ascii="Segoe UI Symbol" w:eastAsia="Segoe UI Symbol" w:hAnsi="Segoe UI Symbol" w:cs="Segoe UI Symbol"/>
          <w:sz w:val="30"/>
        </w:rPr>
        <w:t xml:space="preserve"> </w:t>
      </w:r>
      <w:r>
        <w:rPr>
          <w:rFonts w:ascii="Segoe UI Symbol" w:eastAsia="Segoe UI Symbol" w:hAnsi="Segoe UI Symbol" w:cs="Segoe UI Symbol"/>
          <w:sz w:val="23"/>
        </w:rPr>
        <w:t xml:space="preserve"> </w:t>
      </w:r>
      <w:r>
        <w:rPr>
          <w:rFonts w:ascii="Segoe UI Symbol" w:eastAsia="Segoe UI Symbol" w:hAnsi="Segoe UI Symbol" w:cs="Segoe UI Symbol"/>
          <w:sz w:val="30"/>
        </w:rPr>
        <w:t></w:t>
      </w:r>
      <w:r>
        <w:rPr>
          <w:rFonts w:ascii="Times New Roman" w:eastAsia="Times New Roman" w:hAnsi="Times New Roman" w:cs="Times New Roman"/>
          <w:i/>
          <w:sz w:val="23"/>
        </w:rPr>
        <w:t>h</w:t>
      </w:r>
      <w:r>
        <w:rPr>
          <w:rFonts w:ascii="Times New Roman" w:eastAsia="Times New Roman" w:hAnsi="Times New Roman" w:cs="Times New Roman"/>
          <w:sz w:val="13"/>
        </w:rPr>
        <w:t xml:space="preserve">0 </w:t>
      </w:r>
      <w:r>
        <w:rPr>
          <w:rFonts w:ascii="Segoe UI Symbol" w:eastAsia="Segoe UI Symbol" w:hAnsi="Segoe UI Symbol" w:cs="Segoe UI Symbol"/>
          <w:sz w:val="23"/>
        </w:rPr>
        <w:t></w:t>
      </w:r>
      <w:r>
        <w:rPr>
          <w:rFonts w:ascii="Times New Roman" w:eastAsia="Times New Roman" w:hAnsi="Times New Roman" w:cs="Times New Roman"/>
          <w:sz w:val="23"/>
        </w:rPr>
        <w:t>2</w:t>
      </w:r>
      <w:r>
        <w:rPr>
          <w:rFonts w:ascii="Segoe UI Symbol" w:eastAsia="Segoe UI Symbol" w:hAnsi="Segoe UI Symbol" w:cs="Segoe UI Symbol"/>
          <w:sz w:val="24"/>
        </w:rPr>
        <w:t></w:t>
      </w:r>
      <w:r>
        <w:rPr>
          <w:rFonts w:ascii="Times New Roman" w:eastAsia="Times New Roman" w:hAnsi="Times New Roman" w:cs="Times New Roman"/>
          <w:i/>
          <w:sz w:val="23"/>
        </w:rPr>
        <w:t>h</w:t>
      </w:r>
      <w:r>
        <w:rPr>
          <w:rFonts w:ascii="Times New Roman" w:eastAsia="Times New Roman" w:hAnsi="Times New Roman" w:cs="Times New Roman"/>
          <w:sz w:val="13"/>
        </w:rPr>
        <w:t>1</w:t>
      </w:r>
      <w:r>
        <w:rPr>
          <w:rFonts w:ascii="Times New Roman" w:eastAsia="Times New Roman" w:hAnsi="Times New Roman" w:cs="Times New Roman"/>
          <w:i/>
          <w:sz w:val="23"/>
        </w:rPr>
        <w:t>z</w:t>
      </w:r>
      <w:r>
        <w:rPr>
          <w:rFonts w:ascii="Segoe UI Symbol" w:eastAsia="Segoe UI Symbol" w:hAnsi="Segoe UI Symbol" w:cs="Segoe UI Symbol"/>
          <w:sz w:val="30"/>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Segoe UI Symbol" w:eastAsia="Segoe UI Symbol" w:hAnsi="Segoe UI Symbol" w:cs="Segoe UI Symbol"/>
          <w:sz w:val="23"/>
        </w:rPr>
        <w:t></w:t>
      </w:r>
      <w:r>
        <w:rPr>
          <w:rFonts w:ascii="Times New Roman" w:eastAsia="Times New Roman" w:hAnsi="Times New Roman" w:cs="Times New Roman"/>
          <w:i/>
          <w:sz w:val="23"/>
        </w:rPr>
        <w:t>A</w:t>
      </w:r>
      <w:r>
        <w:rPr>
          <w:rFonts w:ascii="Segoe UI Symbol" w:eastAsia="Segoe UI Symbol" w:hAnsi="Segoe UI Symbol" w:cs="Segoe UI Symbol"/>
          <w:sz w:val="23"/>
        </w:rPr>
        <w:t></w:t>
      </w:r>
      <w:r>
        <w:rPr>
          <w:rFonts w:ascii="Times New Roman" w:eastAsia="Times New Roman" w:hAnsi="Times New Roman" w:cs="Times New Roman"/>
          <w:sz w:val="24"/>
        </w:rPr>
        <w:t xml:space="preserve"> </w:t>
      </w:r>
      <w:r>
        <w:rPr>
          <w:rFonts w:ascii="Segoe UI Symbol" w:eastAsia="Segoe UI Symbol" w:hAnsi="Segoe UI Symbol" w:cs="Segoe UI Symbol"/>
          <w:sz w:val="30"/>
        </w:rPr>
        <w:t></w:t>
      </w:r>
      <w:r>
        <w:rPr>
          <w:rFonts w:ascii="Times New Roman" w:eastAsia="Times New Roman" w:hAnsi="Times New Roman" w:cs="Times New Roman"/>
          <w:i/>
          <w:sz w:val="23"/>
        </w:rPr>
        <w:t>u</w:t>
      </w:r>
      <w:r>
        <w:rPr>
          <w:rFonts w:ascii="Segoe UI Symbol" w:eastAsia="Segoe UI Symbol" w:hAnsi="Segoe UI Symbol" w:cs="Segoe UI Symbol"/>
          <w:sz w:val="30"/>
        </w:rPr>
        <w:t></w:t>
      </w:r>
      <w:r>
        <w:rPr>
          <w:rFonts w:ascii="Times New Roman" w:eastAsia="Times New Roman" w:hAnsi="Times New Roman" w:cs="Times New Roman"/>
          <w:i/>
          <w:sz w:val="23"/>
        </w:rPr>
        <w:t>z</w:t>
      </w:r>
      <w:r>
        <w:rPr>
          <w:rFonts w:ascii="Times New Roman" w:eastAsia="Times New Roman" w:hAnsi="Times New Roman" w:cs="Times New Roman"/>
          <w:i/>
          <w:sz w:val="13"/>
        </w:rPr>
        <w:t xml:space="preserve">k </w:t>
      </w:r>
      <w:r>
        <w:rPr>
          <w:rFonts w:ascii="Times New Roman" w:eastAsia="Times New Roman" w:hAnsi="Times New Roman" w:cs="Times New Roman"/>
          <w:sz w:val="13"/>
        </w:rPr>
        <w:t>1</w:t>
      </w:r>
      <w:r>
        <w:rPr>
          <w:rFonts w:ascii="Segoe UI Symbol" w:eastAsia="Segoe UI Symbol" w:hAnsi="Segoe UI Symbol" w:cs="Segoe UI Symbol"/>
          <w:sz w:val="30"/>
        </w:rPr>
        <w:t></w:t>
      </w:r>
    </w:p>
    <w:p w:rsidR="0052701D" w:rsidRDefault="00D40929">
      <w:pPr>
        <w:spacing w:after="0"/>
        <w:ind w:left="843" w:hanging="10"/>
      </w:pPr>
      <w:r>
        <w:rPr>
          <w:rFonts w:ascii="Segoe UI Symbol" w:eastAsia="Segoe UI Symbol" w:hAnsi="Segoe UI Symbol" w:cs="Segoe UI Symbol"/>
          <w:sz w:val="40"/>
        </w:rPr>
        <w:t></w:t>
      </w:r>
      <w:r>
        <w:rPr>
          <w:rFonts w:ascii="Times New Roman" w:eastAsia="Times New Roman" w:hAnsi="Times New Roman" w:cs="Times New Roman"/>
          <w:sz w:val="25"/>
        </w:rPr>
        <w:t>1</w:t>
      </w:r>
    </w:p>
    <w:p w:rsidR="0052701D" w:rsidRDefault="00D40929">
      <w:pPr>
        <w:numPr>
          <w:ilvl w:val="0"/>
          <w:numId w:val="8"/>
        </w:numPr>
        <w:spacing w:after="182" w:line="268" w:lineRule="auto"/>
        <w:ind w:hanging="1222"/>
      </w:pPr>
      <w:r>
        <w:rPr>
          <w:noProof/>
        </w:rPr>
        <mc:AlternateContent>
          <mc:Choice Requires="wpg">
            <w:drawing>
              <wp:anchor distT="0" distB="0" distL="114300" distR="114300" simplePos="0" relativeHeight="251751424" behindDoc="0" locked="0" layoutInCell="1" allowOverlap="1">
                <wp:simplePos x="0" y="0"/>
                <wp:positionH relativeFrom="column">
                  <wp:posOffset>3264357</wp:posOffset>
                </wp:positionH>
                <wp:positionV relativeFrom="paragraph">
                  <wp:posOffset>102388</wp:posOffset>
                </wp:positionV>
                <wp:extent cx="2365858" cy="5567"/>
                <wp:effectExtent l="0" t="0" r="0" b="0"/>
                <wp:wrapNone/>
                <wp:docPr id="916023" name="Group 916023"/>
                <wp:cNvGraphicFramePr/>
                <a:graphic xmlns:a="http://schemas.openxmlformats.org/drawingml/2006/main">
                  <a:graphicData uri="http://schemas.microsoft.com/office/word/2010/wordprocessingGroup">
                    <wpg:wgp>
                      <wpg:cNvGrpSpPr/>
                      <wpg:grpSpPr>
                        <a:xfrm>
                          <a:off x="0" y="0"/>
                          <a:ext cx="2365858" cy="5567"/>
                          <a:chOff x="0" y="0"/>
                          <a:chExt cx="2365858" cy="5567"/>
                        </a:xfrm>
                      </wpg:grpSpPr>
                      <wps:wsp>
                        <wps:cNvPr id="13980" name="Shape 13980"/>
                        <wps:cNvSpPr/>
                        <wps:spPr>
                          <a:xfrm>
                            <a:off x="0" y="0"/>
                            <a:ext cx="701199" cy="0"/>
                          </a:xfrm>
                          <a:custGeom>
                            <a:avLst/>
                            <a:gdLst/>
                            <a:ahLst/>
                            <a:cxnLst/>
                            <a:rect l="0" t="0" r="0" b="0"/>
                            <a:pathLst>
                              <a:path w="701199">
                                <a:moveTo>
                                  <a:pt x="0" y="0"/>
                                </a:moveTo>
                                <a:lnTo>
                                  <a:pt x="701199" y="0"/>
                                </a:lnTo>
                              </a:path>
                            </a:pathLst>
                          </a:custGeom>
                          <a:ln w="5567" cap="flat">
                            <a:round/>
                          </a:ln>
                        </wps:spPr>
                        <wps:style>
                          <a:lnRef idx="1">
                            <a:srgbClr val="000000"/>
                          </a:lnRef>
                          <a:fillRef idx="0">
                            <a:srgbClr val="000000">
                              <a:alpha val="0"/>
                            </a:srgbClr>
                          </a:fillRef>
                          <a:effectRef idx="0">
                            <a:scrgbClr r="0" g="0" b="0"/>
                          </a:effectRef>
                          <a:fontRef idx="none"/>
                        </wps:style>
                        <wps:bodyPr/>
                      </wps:wsp>
                      <wps:wsp>
                        <wps:cNvPr id="13989" name="Shape 13989"/>
                        <wps:cNvSpPr/>
                        <wps:spPr>
                          <a:xfrm>
                            <a:off x="844221" y="0"/>
                            <a:ext cx="1521638" cy="0"/>
                          </a:xfrm>
                          <a:custGeom>
                            <a:avLst/>
                            <a:gdLst/>
                            <a:ahLst/>
                            <a:cxnLst/>
                            <a:rect l="0" t="0" r="0" b="0"/>
                            <a:pathLst>
                              <a:path w="1521638">
                                <a:moveTo>
                                  <a:pt x="0" y="0"/>
                                </a:moveTo>
                                <a:lnTo>
                                  <a:pt x="1521638" y="0"/>
                                </a:lnTo>
                              </a:path>
                            </a:pathLst>
                          </a:custGeom>
                          <a:ln w="5567"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6023" style="width:186.288pt;height:0.438317pt;position:absolute;z-index:492;mso-position-horizontal-relative:text;mso-position-horizontal:absolute;margin-left:257.036pt;mso-position-vertical-relative:text;margin-top:8.06203pt;" coordsize="23658,55">
                <v:shape id="Shape 13980" style="position:absolute;width:7011;height:0;left:0;top:0;" coordsize="701199,0" path="m0,0l701199,0">
                  <v:stroke weight="0.438317pt" endcap="flat" joinstyle="round" on="true" color="#000000"/>
                  <v:fill on="false" color="#000000" opacity="0"/>
                </v:shape>
                <v:shape id="Shape 13989" style="position:absolute;width:15216;height:0;left:8442;top:0;" coordsize="1521638,0" path="m0,0l1521638,0">
                  <v:stroke weight="0.438317pt" endcap="flat" joinstyle="round" on="true" color="#000000"/>
                  <v:fill on="false" color="#000000" opacity="0"/>
                </v:shape>
              </v:group>
            </w:pict>
          </mc:Fallback>
        </mc:AlternateContent>
      </w:r>
      <w:r>
        <w:rPr>
          <w:rFonts w:ascii="Times New Roman" w:eastAsia="Times New Roman" w:hAnsi="Times New Roman" w:cs="Times New Roman"/>
          <w:sz w:val="25"/>
        </w:rPr>
        <w:t>6</w:t>
      </w:r>
      <w:r>
        <w:rPr>
          <w:rFonts w:ascii="Times New Roman" w:eastAsia="Times New Roman" w:hAnsi="Times New Roman" w:cs="Times New Roman"/>
          <w:sz w:val="25"/>
        </w:rPr>
        <w:tab/>
      </w:r>
      <w:r>
        <w:rPr>
          <w:noProof/>
        </w:rPr>
        <mc:AlternateContent>
          <mc:Choice Requires="wpg">
            <w:drawing>
              <wp:inline distT="0" distB="0" distL="0" distR="0">
                <wp:extent cx="1018180" cy="5567"/>
                <wp:effectExtent l="0" t="0" r="0" b="0"/>
                <wp:docPr id="916021" name="Group 916021"/>
                <wp:cNvGraphicFramePr/>
                <a:graphic xmlns:a="http://schemas.openxmlformats.org/drawingml/2006/main">
                  <a:graphicData uri="http://schemas.microsoft.com/office/word/2010/wordprocessingGroup">
                    <wpg:wgp>
                      <wpg:cNvGrpSpPr/>
                      <wpg:grpSpPr>
                        <a:xfrm>
                          <a:off x="0" y="0"/>
                          <a:ext cx="1018180" cy="5567"/>
                          <a:chOff x="0" y="0"/>
                          <a:chExt cx="1018180" cy="5567"/>
                        </a:xfrm>
                      </wpg:grpSpPr>
                      <wps:wsp>
                        <wps:cNvPr id="13968" name="Shape 13968"/>
                        <wps:cNvSpPr/>
                        <wps:spPr>
                          <a:xfrm>
                            <a:off x="0" y="0"/>
                            <a:ext cx="1018180" cy="0"/>
                          </a:xfrm>
                          <a:custGeom>
                            <a:avLst/>
                            <a:gdLst/>
                            <a:ahLst/>
                            <a:cxnLst/>
                            <a:rect l="0" t="0" r="0" b="0"/>
                            <a:pathLst>
                              <a:path w="1018180">
                                <a:moveTo>
                                  <a:pt x="0" y="0"/>
                                </a:moveTo>
                                <a:lnTo>
                                  <a:pt x="1018180" y="0"/>
                                </a:lnTo>
                              </a:path>
                            </a:pathLst>
                          </a:custGeom>
                          <a:ln w="556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6021" style="width:80.1716pt;height:0.438317pt;mso-position-horizontal-relative:char;mso-position-vertical-relative:line" coordsize="10181,55">
                <v:shape id="Shape 13968" style="position:absolute;width:10181;height:0;left:0;top:0;" coordsize="1018180,0" path="m0,0l1018180,0">
                  <v:stroke weight="0.438317pt" endcap="flat" joinstyle="round" on="true" color="#000000"/>
                  <v:fill on="false" color="#000000" opacity="0"/>
                </v:shape>
              </v:group>
            </w:pict>
          </mc:Fallback>
        </mc:AlternateConten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sz w:val="15"/>
        </w:rPr>
        <w:t xml:space="preserve">2 </w:t>
      </w:r>
      <w:r>
        <w:rPr>
          <w:rFonts w:ascii="Segoe UI Symbol" w:eastAsia="Segoe UI Symbol" w:hAnsi="Segoe UI Symbol" w:cs="Segoe UI Symbol"/>
          <w:sz w:val="40"/>
        </w:rPr>
        <w:t></w:t>
      </w:r>
      <w:r>
        <w:rPr>
          <w:rFonts w:ascii="Segoe UI Symbol" w:eastAsia="Segoe UI Symbol" w:hAnsi="Segoe UI Symbol" w:cs="Segoe UI Symbol"/>
          <w:sz w:val="40"/>
        </w:rPr>
        <w:tab/>
      </w:r>
      <w:r>
        <w:rPr>
          <w:rFonts w:ascii="Times New Roman" w:eastAsia="Times New Roman" w:hAnsi="Times New Roman" w:cs="Times New Roman"/>
          <w:sz w:val="15"/>
        </w:rPr>
        <w:t xml:space="preserve">2 </w:t>
      </w:r>
      <w:r>
        <w:rPr>
          <w:rFonts w:ascii="Times New Roman" w:eastAsia="Times New Roman" w:hAnsi="Times New Roman" w:cs="Times New Roman"/>
          <w:i/>
          <w:sz w:val="25"/>
        </w:rPr>
        <w:t xml:space="preserve">B </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Segoe UI Symbol" w:eastAsia="Segoe UI Symbol" w:hAnsi="Segoe UI Symbol" w:cs="Segoe UI Symbol"/>
          <w:sz w:val="33"/>
        </w:rPr>
        <w:t></w:t>
      </w:r>
      <w:r>
        <w:rPr>
          <w:rFonts w:ascii="Times New Roman" w:eastAsia="Times New Roman" w:hAnsi="Times New Roman" w:cs="Times New Roman"/>
          <w:sz w:val="25"/>
        </w:rPr>
        <w:t>1</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sz w:val="15"/>
        </w:rPr>
        <w:t xml:space="preserve">1 </w:t>
      </w:r>
      <w:r>
        <w:rPr>
          <w:noProof/>
        </w:rPr>
        <mc:AlternateContent>
          <mc:Choice Requires="wpg">
            <w:drawing>
              <wp:inline distT="0" distB="0" distL="0" distR="0">
                <wp:extent cx="701199" cy="5567"/>
                <wp:effectExtent l="0" t="0" r="0" b="0"/>
                <wp:docPr id="916022" name="Group 916022"/>
                <wp:cNvGraphicFramePr/>
                <a:graphic xmlns:a="http://schemas.openxmlformats.org/drawingml/2006/main">
                  <a:graphicData uri="http://schemas.microsoft.com/office/word/2010/wordprocessingGroup">
                    <wpg:wgp>
                      <wpg:cNvGrpSpPr/>
                      <wpg:grpSpPr>
                        <a:xfrm>
                          <a:off x="0" y="0"/>
                          <a:ext cx="701199" cy="5567"/>
                          <a:chOff x="0" y="0"/>
                          <a:chExt cx="701199" cy="5567"/>
                        </a:xfrm>
                      </wpg:grpSpPr>
                      <wps:wsp>
                        <wps:cNvPr id="13975" name="Shape 13975"/>
                        <wps:cNvSpPr/>
                        <wps:spPr>
                          <a:xfrm>
                            <a:off x="0" y="0"/>
                            <a:ext cx="701199" cy="0"/>
                          </a:xfrm>
                          <a:custGeom>
                            <a:avLst/>
                            <a:gdLst/>
                            <a:ahLst/>
                            <a:cxnLst/>
                            <a:rect l="0" t="0" r="0" b="0"/>
                            <a:pathLst>
                              <a:path w="701199">
                                <a:moveTo>
                                  <a:pt x="0" y="0"/>
                                </a:moveTo>
                                <a:lnTo>
                                  <a:pt x="701199" y="0"/>
                                </a:lnTo>
                              </a:path>
                            </a:pathLst>
                          </a:custGeom>
                          <a:ln w="556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6022" style="width:55.2125pt;height:0.438317pt;mso-position-horizontal-relative:char;mso-position-vertical-relative:line" coordsize="7011,55">
                <v:shape id="Shape 13975" style="position:absolute;width:7011;height:0;left:0;top:0;" coordsize="701199,0" path="m0,0l701199,0">
                  <v:stroke weight="0.438317pt" endcap="flat" joinstyle="round" on="true" color="#000000"/>
                  <v:fill on="false" color="#000000" opacity="0"/>
                </v:shape>
              </v:group>
            </w:pict>
          </mc:Fallback>
        </mc:AlternateContent>
      </w:r>
      <w:r>
        <w:rPr>
          <w:rFonts w:ascii="Times New Roman" w:eastAsia="Times New Roman" w:hAnsi="Times New Roman" w:cs="Times New Roman"/>
          <w:sz w:val="25"/>
        </w:rPr>
        <w:t>ln</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Segoe UI Symbol" w:eastAsia="Segoe UI Symbol" w:hAnsi="Segoe UI Symbol" w:cs="Segoe UI Symbol"/>
          <w:sz w:val="33"/>
        </w:rPr>
        <w:t></w:t>
      </w:r>
      <w:r>
        <w:rPr>
          <w:rFonts w:ascii="Times New Roman" w:eastAsia="Times New Roman" w:hAnsi="Times New Roman" w:cs="Times New Roman"/>
          <w:sz w:val="15"/>
        </w:rPr>
        <w:t>0</w:t>
      </w:r>
      <w:r>
        <w:rPr>
          <w:rFonts w:ascii="Segoe UI Symbol" w:eastAsia="Segoe UI Symbol" w:hAnsi="Segoe UI Symbol" w:cs="Segoe UI Symbol"/>
          <w:sz w:val="26"/>
        </w:rPr>
        <w:t></w:t>
      </w:r>
      <w:r>
        <w:rPr>
          <w:rFonts w:ascii="Segoe UI Symbol" w:eastAsia="Segoe UI Symbol" w:hAnsi="Segoe UI Symbol" w:cs="Segoe UI Symbol"/>
          <w:sz w:val="25"/>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Segoe UI Symbol" w:eastAsia="Segoe UI Symbol" w:hAnsi="Segoe UI Symbol" w:cs="Segoe UI Symbol"/>
          <w:sz w:val="26"/>
        </w:rPr>
        <w:t></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25"/>
        </w:rPr>
        <w:t xml:space="preserve"> </w:t>
      </w:r>
      <w:r>
        <w:rPr>
          <w:rFonts w:ascii="Times New Roman" w:eastAsia="Times New Roman" w:hAnsi="Times New Roman" w:cs="Times New Roman"/>
          <w:sz w:val="25"/>
        </w:rPr>
        <w:t>2</w:t>
      </w:r>
      <w:r>
        <w:rPr>
          <w:rFonts w:ascii="Segoe UI Symbol" w:eastAsia="Segoe UI Symbol" w:hAnsi="Segoe UI Symbol" w:cs="Segoe UI Symbol"/>
          <w:sz w:val="26"/>
        </w:rPr>
        <w:t></w:t>
      </w:r>
      <w:r>
        <w:rPr>
          <w:rFonts w:ascii="Times New Roman" w:eastAsia="Times New Roman" w:hAnsi="Times New Roman" w:cs="Times New Roman"/>
          <w:sz w:val="15"/>
        </w:rPr>
        <w:t>2</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sz w:val="25"/>
        </w:rPr>
        <w:t>ln</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Segoe UI Symbol" w:eastAsia="Segoe UI Symbol" w:hAnsi="Segoe UI Symbol" w:cs="Segoe UI Symbol"/>
          <w:sz w:val="33"/>
        </w:rPr>
        <w:t></w:t>
      </w:r>
      <w:r>
        <w:rPr>
          <w:rFonts w:ascii="Times New Roman" w:eastAsia="Times New Roman" w:hAnsi="Times New Roman" w:cs="Times New Roman"/>
          <w:sz w:val="15"/>
        </w:rPr>
        <w:t>0</w:t>
      </w:r>
      <w:r>
        <w:rPr>
          <w:rFonts w:ascii="Segoe UI Symbol" w:eastAsia="Segoe UI Symbol" w:hAnsi="Segoe UI Symbol" w:cs="Segoe UI Symbol"/>
          <w:sz w:val="26"/>
        </w:rPr>
        <w:t></w:t>
      </w:r>
      <w:r>
        <w:rPr>
          <w:rFonts w:ascii="Segoe UI Symbol" w:eastAsia="Segoe UI Symbol" w:hAnsi="Segoe UI Symbol" w:cs="Segoe UI Symbol"/>
          <w:sz w:val="25"/>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Segoe UI Symbol" w:eastAsia="Segoe UI Symbol" w:hAnsi="Segoe UI Symbol" w:cs="Segoe UI Symbol"/>
          <w:sz w:val="26"/>
        </w:rPr>
        <w:t></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25"/>
        </w:rPr>
        <w:t xml:space="preserve"> </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34"/>
        </w:rPr>
        <w:t></w:t>
      </w:r>
      <w:r>
        <w:rPr>
          <w:rFonts w:ascii="Segoe UI Symbol" w:eastAsia="Segoe UI Symbol" w:hAnsi="Segoe UI Symbol" w:cs="Segoe UI Symbol"/>
          <w:sz w:val="33"/>
        </w:rPr>
        <w:t></w:t>
      </w:r>
      <w:r>
        <w:rPr>
          <w:rFonts w:ascii="Times New Roman" w:eastAsia="Times New Roman" w:hAnsi="Times New Roman" w:cs="Times New Roman"/>
          <w:sz w:val="25"/>
        </w:rPr>
        <w:t>ln</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Segoe UI Symbol" w:eastAsia="Segoe UI Symbol" w:hAnsi="Segoe UI Symbol" w:cs="Segoe UI Symbol"/>
          <w:sz w:val="33"/>
        </w:rPr>
        <w:t></w:t>
      </w:r>
      <w:r>
        <w:rPr>
          <w:rFonts w:ascii="Times New Roman" w:eastAsia="Times New Roman" w:hAnsi="Times New Roman" w:cs="Times New Roman"/>
          <w:sz w:val="15"/>
        </w:rPr>
        <w:t>1</w:t>
      </w:r>
      <w:r>
        <w:rPr>
          <w:rFonts w:ascii="Times New Roman" w:eastAsia="Times New Roman" w:hAnsi="Times New Roman" w:cs="Times New Roman"/>
          <w:i/>
          <w:sz w:val="25"/>
        </w:rPr>
        <w:t>h</w:t>
      </w:r>
      <w:r>
        <w:rPr>
          <w:rFonts w:ascii="Segoe UI Symbol" w:eastAsia="Segoe UI Symbol" w:hAnsi="Segoe UI Symbol" w:cs="Segoe UI Symbol"/>
          <w:sz w:val="33"/>
        </w:rPr>
        <w:t></w:t>
      </w:r>
      <w:r>
        <w:rPr>
          <w:rFonts w:ascii="Times New Roman" w:eastAsia="Times New Roman" w:hAnsi="Times New Roman" w:cs="Times New Roman"/>
          <w:sz w:val="15"/>
        </w:rPr>
        <w:t>02</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25"/>
        </w:rPr>
        <w:t></w:t>
      </w:r>
      <w:r>
        <w:rPr>
          <w:rFonts w:ascii="Times New Roman" w:eastAsia="Times New Roman" w:hAnsi="Times New Roman" w:cs="Times New Roman"/>
          <w:sz w:val="25"/>
        </w:rPr>
        <w:t>1</w:t>
      </w:r>
      <w:r>
        <w:rPr>
          <w:rFonts w:ascii="Segoe UI Symbol" w:eastAsia="Segoe UI Symbol" w:hAnsi="Segoe UI Symbol" w:cs="Segoe UI Symbol"/>
          <w:sz w:val="34"/>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Segoe UI Symbol" w:eastAsia="Segoe UI Symbol" w:hAnsi="Segoe UI Symbol" w:cs="Segoe UI Symbol"/>
          <w:sz w:val="25"/>
        </w:rPr>
        <w:t></w:t>
      </w:r>
      <w:r>
        <w:rPr>
          <w:rFonts w:ascii="Times New Roman" w:eastAsia="Times New Roman" w:hAnsi="Times New Roman" w:cs="Times New Roman"/>
          <w:sz w:val="25"/>
        </w:rPr>
        <w:t>.</w:t>
      </w:r>
      <w:r>
        <w:rPr>
          <w:rFonts w:ascii="Times New Roman" w:eastAsia="Times New Roman" w:hAnsi="Times New Roman" w:cs="Times New Roman"/>
          <w:sz w:val="24"/>
        </w:rPr>
        <w:t xml:space="preserve"> </w:t>
      </w:r>
    </w:p>
    <w:p w:rsidR="0052701D" w:rsidRDefault="00D40929">
      <w:pPr>
        <w:tabs>
          <w:tab w:val="center" w:pos="1097"/>
          <w:tab w:val="center" w:pos="3062"/>
        </w:tabs>
        <w:spacing w:after="403"/>
      </w:pPr>
      <w:r>
        <w:tab/>
      </w:r>
      <w:r>
        <w:rPr>
          <w:rFonts w:ascii="Times New Roman" w:eastAsia="Times New Roman" w:hAnsi="Times New Roman" w:cs="Times New Roman"/>
          <w:i/>
          <w:sz w:val="25"/>
        </w:rPr>
        <w:t>E</w:t>
      </w:r>
      <w:r>
        <w:rPr>
          <w:rFonts w:ascii="Segoe UI Symbol" w:eastAsia="Segoe UI Symbol" w:hAnsi="Segoe UI Symbol" w:cs="Segoe UI Symbol"/>
          <w:sz w:val="33"/>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Segoe UI Symbol" w:eastAsia="Segoe UI Symbol" w:hAnsi="Segoe UI Symbol" w:cs="Segoe UI Symbol"/>
          <w:sz w:val="33"/>
        </w:rPr>
        <w:t></w:t>
      </w:r>
      <w:r>
        <w:rPr>
          <w:rFonts w:ascii="Segoe UI Symbol" w:eastAsia="Segoe UI Symbol" w:hAnsi="Segoe UI Symbol" w:cs="Segoe UI Symbol"/>
          <w:sz w:val="33"/>
        </w:rPr>
        <w:t></w:t>
      </w:r>
      <w:r>
        <w:rPr>
          <w:rFonts w:ascii="Times New Roman" w:eastAsia="Times New Roman" w:hAnsi="Times New Roman" w:cs="Times New Roman"/>
          <w:i/>
          <w:sz w:val="25"/>
        </w:rPr>
        <w:t>h</w:t>
      </w:r>
      <w:r>
        <w:rPr>
          <w:rFonts w:ascii="Times New Roman" w:eastAsia="Times New Roman" w:hAnsi="Times New Roman" w:cs="Times New Roman"/>
          <w:sz w:val="15"/>
        </w:rPr>
        <w:t xml:space="preserve">0 </w:t>
      </w:r>
      <w:r>
        <w:rPr>
          <w:rFonts w:ascii="Segoe UI Symbol" w:eastAsia="Segoe UI Symbol" w:hAnsi="Segoe UI Symbol" w:cs="Segoe UI Symbol"/>
          <w:sz w:val="25"/>
        </w:rPr>
        <w:t></w:t>
      </w:r>
      <w:r>
        <w:rPr>
          <w:rFonts w:ascii="Segoe UI Symbol" w:eastAsia="Segoe UI Symbol" w:hAnsi="Segoe UI Symbol" w:cs="Segoe UI Symbol"/>
          <w:sz w:val="26"/>
        </w:rPr>
        <w:t></w:t>
      </w:r>
      <w:r>
        <w:rPr>
          <w:rFonts w:ascii="Times New Roman" w:eastAsia="Times New Roman" w:hAnsi="Times New Roman" w:cs="Times New Roman"/>
          <w:i/>
          <w:sz w:val="25"/>
        </w:rPr>
        <w:t>h</w:t>
      </w:r>
      <w:r>
        <w:rPr>
          <w:rFonts w:ascii="Times New Roman" w:eastAsia="Times New Roman" w:hAnsi="Times New Roman" w:cs="Times New Roman"/>
          <w:sz w:val="15"/>
        </w:rPr>
        <w:t>1</w:t>
      </w:r>
      <w:r>
        <w:rPr>
          <w:rFonts w:ascii="Times New Roman" w:eastAsia="Times New Roman" w:hAnsi="Times New Roman" w:cs="Times New Roman"/>
          <w:i/>
          <w:sz w:val="25"/>
        </w:rPr>
        <w:t>z</w:t>
      </w:r>
      <w:r>
        <w:rPr>
          <w:rFonts w:ascii="Segoe UI Symbol" w:eastAsia="Segoe UI Symbol" w:hAnsi="Segoe UI Symbol" w:cs="Segoe UI Symbol"/>
          <w:sz w:val="33"/>
        </w:rPr>
        <w:t></w:t>
      </w:r>
      <w:r>
        <w:rPr>
          <w:rFonts w:ascii="Segoe UI Symbol" w:eastAsia="Segoe UI Symbol" w:hAnsi="Segoe UI Symbol" w:cs="Segoe UI Symbol"/>
          <w:sz w:val="33"/>
        </w:rPr>
        <w:tab/>
      </w:r>
      <w:r>
        <w:rPr>
          <w:rFonts w:ascii="Segoe UI Symbol" w:eastAsia="Segoe UI Symbol" w:hAnsi="Segoe UI Symbol" w:cs="Segoe UI Symbol"/>
          <w:sz w:val="25"/>
        </w:rPr>
        <w:t></w:t>
      </w:r>
    </w:p>
    <w:p w:rsidR="0052701D" w:rsidRDefault="00D40929">
      <w:pPr>
        <w:tabs>
          <w:tab w:val="center" w:pos="5082"/>
        </w:tabs>
        <w:spacing w:after="75" w:line="258" w:lineRule="auto"/>
      </w:pPr>
      <w:r>
        <w:rPr>
          <w:noProof/>
        </w:rPr>
        <mc:AlternateContent>
          <mc:Choice Requires="wpg">
            <w:drawing>
              <wp:anchor distT="0" distB="0" distL="114300" distR="114300" simplePos="0" relativeHeight="251752448" behindDoc="0" locked="0" layoutInCell="1" allowOverlap="1">
                <wp:simplePos x="0" y="0"/>
                <wp:positionH relativeFrom="column">
                  <wp:posOffset>398900</wp:posOffset>
                </wp:positionH>
                <wp:positionV relativeFrom="paragraph">
                  <wp:posOffset>81933</wp:posOffset>
                </wp:positionV>
                <wp:extent cx="1470325" cy="6147"/>
                <wp:effectExtent l="0" t="0" r="0" b="0"/>
                <wp:wrapNone/>
                <wp:docPr id="916024" name="Group 916024"/>
                <wp:cNvGraphicFramePr/>
                <a:graphic xmlns:a="http://schemas.openxmlformats.org/drawingml/2006/main">
                  <a:graphicData uri="http://schemas.microsoft.com/office/word/2010/wordprocessingGroup">
                    <wpg:wgp>
                      <wpg:cNvGrpSpPr/>
                      <wpg:grpSpPr>
                        <a:xfrm>
                          <a:off x="0" y="0"/>
                          <a:ext cx="1470325" cy="6147"/>
                          <a:chOff x="0" y="0"/>
                          <a:chExt cx="1470325" cy="6147"/>
                        </a:xfrm>
                      </wpg:grpSpPr>
                      <wps:wsp>
                        <wps:cNvPr id="14090" name="Shape 14090"/>
                        <wps:cNvSpPr/>
                        <wps:spPr>
                          <a:xfrm>
                            <a:off x="0" y="0"/>
                            <a:ext cx="657229" cy="0"/>
                          </a:xfrm>
                          <a:custGeom>
                            <a:avLst/>
                            <a:gdLst/>
                            <a:ahLst/>
                            <a:cxnLst/>
                            <a:rect l="0" t="0" r="0" b="0"/>
                            <a:pathLst>
                              <a:path w="657229">
                                <a:moveTo>
                                  <a:pt x="0" y="0"/>
                                </a:moveTo>
                                <a:lnTo>
                                  <a:pt x="657229" y="0"/>
                                </a:lnTo>
                              </a:path>
                            </a:pathLst>
                          </a:custGeom>
                          <a:ln w="6147" cap="flat">
                            <a:round/>
                          </a:ln>
                        </wps:spPr>
                        <wps:style>
                          <a:lnRef idx="1">
                            <a:srgbClr val="000000"/>
                          </a:lnRef>
                          <a:fillRef idx="0">
                            <a:srgbClr val="000000">
                              <a:alpha val="0"/>
                            </a:srgbClr>
                          </a:fillRef>
                          <a:effectRef idx="0">
                            <a:scrgbClr r="0" g="0" b="0"/>
                          </a:effectRef>
                          <a:fontRef idx="none"/>
                        </wps:style>
                        <wps:bodyPr/>
                      </wps:wsp>
                      <wps:wsp>
                        <wps:cNvPr id="14095" name="Shape 14095"/>
                        <wps:cNvSpPr/>
                        <wps:spPr>
                          <a:xfrm>
                            <a:off x="813083" y="0"/>
                            <a:ext cx="657242" cy="0"/>
                          </a:xfrm>
                          <a:custGeom>
                            <a:avLst/>
                            <a:gdLst/>
                            <a:ahLst/>
                            <a:cxnLst/>
                            <a:rect l="0" t="0" r="0" b="0"/>
                            <a:pathLst>
                              <a:path w="657242">
                                <a:moveTo>
                                  <a:pt x="0" y="0"/>
                                </a:moveTo>
                                <a:lnTo>
                                  <a:pt x="657242" y="0"/>
                                </a:lnTo>
                              </a:path>
                            </a:pathLst>
                          </a:custGeom>
                          <a:ln w="6147"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6024" style="width:115.774pt;height:0.483977pt;position:absolute;z-index:600;mso-position-horizontal-relative:text;mso-position-horizontal:absolute;margin-left:31.4094pt;mso-position-vertical-relative:text;margin-top:6.45139pt;" coordsize="14703,61">
                <v:shape id="Shape 14090" style="position:absolute;width:6572;height:0;left:0;top:0;" coordsize="657229,0" path="m0,0l657229,0">
                  <v:stroke weight="0.483977pt" endcap="flat" joinstyle="round" on="true" color="#000000"/>
                  <v:fill on="false" color="#000000" opacity="0"/>
                </v:shape>
                <v:shape id="Shape 14095" style="position:absolute;width:6572;height:0;left:8130;top:0;" coordsize="657242,0" path="m0,0l657242,0">
                  <v:stroke weight="0.483977pt" endcap="flat" joinstyle="round" on="true" color="#000000"/>
                  <v:fill on="false" color="#000000" opacity="0"/>
                </v:shape>
              </v:group>
            </w:pict>
          </mc:Fallback>
        </mc:AlternateConten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Times New Roman" w:eastAsia="Times New Roman" w:hAnsi="Times New Roman" w:cs="Times New Roman"/>
          <w:sz w:val="24"/>
        </w:rPr>
        <w:t>1</w:t>
      </w:r>
      <w:r>
        <w:rPr>
          <w:rFonts w:ascii="Segoe UI Symbol" w:eastAsia="Segoe UI Symbol" w:hAnsi="Segoe UI Symbol" w:cs="Segoe UI Symbol"/>
          <w:sz w:val="24"/>
        </w:rPr>
        <w:t xml:space="preserve"> </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Times New Roman" w:eastAsia="Times New Roman" w:hAnsi="Times New Roman" w:cs="Times New Roman"/>
          <w:sz w:val="24"/>
        </w:rPr>
        <w:t>3</w:t>
      </w:r>
      <w:r>
        <w:rPr>
          <w:rFonts w:ascii="Times New Roman" w:eastAsia="Times New Roman" w:hAnsi="Times New Roman" w:cs="Times New Roman"/>
          <w:i/>
          <w:sz w:val="24"/>
        </w:rPr>
        <w:t>z</w:t>
      </w:r>
      <w:r>
        <w:rPr>
          <w:rFonts w:ascii="Segoe UI Symbol" w:eastAsia="Segoe UI Symbol" w:hAnsi="Segoe UI Symbol" w:cs="Segoe UI Symbol"/>
          <w:sz w:val="24"/>
        </w:rPr>
        <w:t></w:t>
      </w:r>
      <w:r>
        <w:rPr>
          <w:rFonts w:ascii="Segoe UI Symbol" w:eastAsia="Segoe UI Symbol" w:hAnsi="Segoe UI Symbol" w:cs="Segoe UI Symbol"/>
          <w:sz w:val="32"/>
        </w:rPr>
        <w:t></w:t>
      </w:r>
      <w:r>
        <w:rPr>
          <w:rFonts w:ascii="Segoe UI Symbol" w:eastAsia="Segoe UI Symbol" w:hAnsi="Segoe UI Symbol" w:cs="Segoe UI Symbol"/>
          <w:sz w:val="26"/>
        </w:rPr>
        <w:t></w:t>
      </w:r>
      <w:r>
        <w:rPr>
          <w:rFonts w:ascii="Segoe UI Symbol" w:eastAsia="Segoe UI Symbol" w:hAnsi="Segoe UI Symbol" w:cs="Segoe UI Symbol"/>
          <w:sz w:val="26"/>
        </w:rPr>
        <w:t></w:t>
      </w:r>
      <w:r>
        <w:rPr>
          <w:rFonts w:ascii="Times New Roman" w:eastAsia="Times New Roman" w:hAnsi="Times New Roman" w:cs="Times New Roman"/>
          <w:i/>
          <w:sz w:val="24"/>
        </w:rPr>
        <w:t>hh</w:t>
      </w:r>
      <w:r>
        <w:rPr>
          <w:rFonts w:ascii="Times New Roman" w:eastAsia="Times New Roman" w:hAnsi="Times New Roman" w:cs="Times New Roman"/>
          <w:sz w:val="14"/>
        </w:rPr>
        <w:t>1</w:t>
      </w:r>
      <w:r>
        <w:rPr>
          <w:rFonts w:ascii="Segoe UI Symbol" w:eastAsia="Segoe UI Symbol" w:hAnsi="Segoe UI Symbol" w:cs="Segoe UI Symbol"/>
          <w:sz w:val="32"/>
        </w:rPr>
        <w:t></w:t>
      </w:r>
      <w:r>
        <w:rPr>
          <w:rFonts w:ascii="Times New Roman" w:eastAsia="Times New Roman" w:hAnsi="Times New Roman" w:cs="Times New Roman"/>
          <w:i/>
          <w:sz w:val="24"/>
        </w:rPr>
        <w:t>z</w:t>
      </w:r>
      <w:r>
        <w:rPr>
          <w:rFonts w:ascii="Segoe UI Symbol" w:eastAsia="Segoe UI Symbol" w:hAnsi="Segoe UI Symbol" w:cs="Segoe UI Symbol"/>
          <w:sz w:val="32"/>
        </w:rPr>
        <w:t></w:t>
      </w:r>
      <w:r>
        <w:rPr>
          <w:rFonts w:ascii="Segoe UI Symbol" w:eastAsia="Segoe UI Symbol" w:hAnsi="Segoe UI Symbol" w:cs="Segoe UI Symbol"/>
          <w:sz w:val="24"/>
        </w:rPr>
        <w:t xml:space="preserve"> </w:t>
      </w:r>
      <w:r>
        <w:rPr>
          <w:rFonts w:ascii="Segoe UI Symbol" w:eastAsia="Segoe UI Symbol" w:hAnsi="Segoe UI Symbol" w:cs="Segoe UI Symbol"/>
          <w:sz w:val="32"/>
        </w:rPr>
        <w:t></w:t>
      </w:r>
      <w:r>
        <w:rPr>
          <w:rFonts w:ascii="Times New Roman" w:eastAsia="Times New Roman" w:hAnsi="Times New Roman" w:cs="Times New Roman"/>
          <w:sz w:val="24"/>
        </w:rPr>
        <w:t>3</w:t>
      </w:r>
      <w:r>
        <w:rPr>
          <w:rFonts w:ascii="Times New Roman" w:eastAsia="Times New Roman" w:hAnsi="Times New Roman" w:cs="Times New Roman"/>
          <w:i/>
          <w:sz w:val="24"/>
        </w:rPr>
        <w:t>hz</w:t>
      </w:r>
      <w:r>
        <w:rPr>
          <w:rFonts w:ascii="Times New Roman" w:eastAsia="Times New Roman" w:hAnsi="Times New Roman" w:cs="Times New Roman"/>
          <w:i/>
          <w:sz w:val="14"/>
        </w:rPr>
        <w:t>k</w:t>
      </w:r>
      <w:r>
        <w:rPr>
          <w:rFonts w:ascii="Segoe UI Symbol" w:eastAsia="Segoe UI Symbol" w:hAnsi="Segoe UI Symbol" w:cs="Segoe UI Symbol"/>
          <w:sz w:val="24"/>
        </w:rPr>
        <w:t></w:t>
      </w:r>
      <w:r>
        <w:rPr>
          <w:rFonts w:ascii="Segoe UI Symbol" w:eastAsia="Segoe UI Symbol" w:hAnsi="Segoe UI Symbol" w:cs="Segoe UI Symbol"/>
          <w:sz w:val="14"/>
        </w:rPr>
        <w:t></w:t>
      </w:r>
      <w:r>
        <w:rPr>
          <w:rFonts w:ascii="Times New Roman" w:eastAsia="Times New Roman" w:hAnsi="Times New Roman" w:cs="Times New Roman"/>
          <w:sz w:val="14"/>
        </w:rPr>
        <w:t>1</w:t>
      </w:r>
      <w:r>
        <w:rPr>
          <w:rFonts w:ascii="Segoe UI Symbol" w:eastAsia="Segoe UI Symbol" w:hAnsi="Segoe UI Symbol" w:cs="Segoe UI Symbol"/>
          <w:sz w:val="32"/>
        </w:rPr>
        <w:t></w:t>
      </w:r>
      <w:r>
        <w:rPr>
          <w:rFonts w:ascii="Segoe UI Symbol" w:eastAsia="Segoe UI Symbol" w:hAnsi="Segoe UI Symbol" w:cs="Segoe UI Symbol"/>
          <w:sz w:val="26"/>
        </w:rPr>
        <w:t></w:t>
      </w:r>
      <w:r>
        <w:rPr>
          <w:rFonts w:ascii="Times New Roman" w:eastAsia="Times New Roman" w:hAnsi="Times New Roman" w:cs="Times New Roman"/>
          <w:i/>
          <w:sz w:val="24"/>
        </w:rPr>
        <w:t>hh</w:t>
      </w:r>
      <w:r>
        <w:rPr>
          <w:rFonts w:ascii="Times New Roman" w:eastAsia="Times New Roman" w:hAnsi="Times New Roman" w:cs="Times New Roman"/>
          <w:sz w:val="14"/>
        </w:rPr>
        <w:t>1</w:t>
      </w:r>
      <w:r>
        <w:rPr>
          <w:rFonts w:ascii="Times New Roman" w:eastAsia="Times New Roman" w:hAnsi="Times New Roman" w:cs="Times New Roman"/>
          <w:i/>
          <w:sz w:val="24"/>
        </w:rPr>
        <w:t>z</w:t>
      </w:r>
      <w:r>
        <w:rPr>
          <w:rFonts w:ascii="Segoe UI Symbol" w:eastAsia="Segoe UI Symbol" w:hAnsi="Segoe UI Symbol" w:cs="Segoe UI Symbol"/>
          <w:sz w:val="32"/>
        </w:rPr>
        <w:t></w:t>
      </w:r>
      <w:r>
        <w:rPr>
          <w:rFonts w:ascii="Segoe UI Symbol" w:eastAsia="Segoe UI Symbol" w:hAnsi="Segoe UI Symbol" w:cs="Segoe UI Symbol"/>
          <w:sz w:val="32"/>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Times New Roman" w:eastAsia="Times New Roman" w:hAnsi="Times New Roman" w:cs="Times New Roman"/>
          <w:i/>
          <w:sz w:val="24"/>
        </w:rPr>
        <w:t>h</w:t>
      </w:r>
      <w:r>
        <w:rPr>
          <w:rFonts w:ascii="Segoe UI Symbol" w:eastAsia="Segoe UI Symbol" w:hAnsi="Segoe UI Symbol" w:cs="Segoe UI Symbol"/>
          <w:sz w:val="32"/>
        </w:rPr>
        <w:t></w:t>
      </w:r>
      <w:r>
        <w:rPr>
          <w:rFonts w:ascii="Times New Roman" w:eastAsia="Times New Roman" w:hAnsi="Times New Roman" w:cs="Times New Roman"/>
          <w:i/>
          <w:sz w:val="24"/>
        </w:rPr>
        <w:t>z</w:t>
      </w:r>
      <w:r>
        <w:rPr>
          <w:rFonts w:ascii="Times New Roman" w:eastAsia="Times New Roman" w:hAnsi="Times New Roman" w:cs="Times New Roman"/>
          <w:i/>
          <w:sz w:val="14"/>
        </w:rPr>
        <w:t>k</w:t>
      </w:r>
      <w:r>
        <w:rPr>
          <w:rFonts w:ascii="Segoe UI Symbol" w:eastAsia="Segoe UI Symbol" w:hAnsi="Segoe UI Symbol" w:cs="Segoe UI Symbol"/>
          <w:sz w:val="14"/>
        </w:rPr>
        <w:t></w:t>
      </w:r>
      <w:r>
        <w:rPr>
          <w:rFonts w:ascii="Times New Roman" w:eastAsia="Times New Roman" w:hAnsi="Times New Roman" w:cs="Times New Roman"/>
          <w:sz w:val="14"/>
        </w:rPr>
        <w:t>1</w:t>
      </w:r>
      <w:r>
        <w:rPr>
          <w:rFonts w:ascii="Segoe UI Symbol" w:eastAsia="Segoe UI Symbol" w:hAnsi="Segoe UI Symbol" w:cs="Segoe UI Symbol"/>
          <w:sz w:val="32"/>
        </w:rPr>
        <w:t></w:t>
      </w:r>
      <w:r>
        <w:rPr>
          <w:rFonts w:ascii="Times New Roman" w:eastAsia="Times New Roman" w:hAnsi="Times New Roman" w:cs="Times New Roman"/>
          <w:i/>
          <w:sz w:val="24"/>
        </w:rPr>
        <w:t>H</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Times New Roman" w:eastAsia="Times New Roman" w:hAnsi="Times New Roman" w:cs="Times New Roman"/>
          <w:i/>
          <w:sz w:val="24"/>
        </w:rPr>
        <w:t>z</w:t>
      </w:r>
      <w:r>
        <w:rPr>
          <w:rFonts w:ascii="Times New Roman" w:eastAsia="Times New Roman" w:hAnsi="Times New Roman" w:cs="Times New Roman"/>
          <w:i/>
          <w:sz w:val="24"/>
        </w:rPr>
        <w:tab/>
      </w:r>
      <w:r>
        <w:rPr>
          <w:noProof/>
        </w:rPr>
        <mc:AlternateContent>
          <mc:Choice Requires="wpg">
            <w:drawing>
              <wp:inline distT="0" distB="0" distL="0" distR="0">
                <wp:extent cx="84342" cy="6147"/>
                <wp:effectExtent l="0" t="0" r="0" b="0"/>
                <wp:docPr id="916025" name="Group 916025"/>
                <wp:cNvGraphicFramePr/>
                <a:graphic xmlns:a="http://schemas.openxmlformats.org/drawingml/2006/main">
                  <a:graphicData uri="http://schemas.microsoft.com/office/word/2010/wordprocessingGroup">
                    <wpg:wgp>
                      <wpg:cNvGrpSpPr/>
                      <wpg:grpSpPr>
                        <a:xfrm>
                          <a:off x="0" y="0"/>
                          <a:ext cx="84342" cy="6147"/>
                          <a:chOff x="0" y="0"/>
                          <a:chExt cx="84342" cy="6147"/>
                        </a:xfrm>
                      </wpg:grpSpPr>
                      <wps:wsp>
                        <wps:cNvPr id="14098" name="Shape 14098"/>
                        <wps:cNvSpPr/>
                        <wps:spPr>
                          <a:xfrm>
                            <a:off x="0" y="0"/>
                            <a:ext cx="84342" cy="0"/>
                          </a:xfrm>
                          <a:custGeom>
                            <a:avLst/>
                            <a:gdLst/>
                            <a:ahLst/>
                            <a:cxnLst/>
                            <a:rect l="0" t="0" r="0" b="0"/>
                            <a:pathLst>
                              <a:path w="84342">
                                <a:moveTo>
                                  <a:pt x="0" y="0"/>
                                </a:moveTo>
                                <a:lnTo>
                                  <a:pt x="84342" y="0"/>
                                </a:lnTo>
                              </a:path>
                            </a:pathLst>
                          </a:custGeom>
                          <a:ln w="614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6025" style="width:6.64108pt;height:0.483977pt;mso-position-horizontal-relative:char;mso-position-vertical-relative:line" coordsize="843,61">
                <v:shape id="Shape 14098" style="position:absolute;width:843;height:0;left:0;top:0;" coordsize="84342,0" path="m0,0l84342,0">
                  <v:stroke weight="0.483977pt" endcap="flat" joinstyle="round" on="true" color="#000000"/>
                  <v:fill on="false" color="#000000" opacity="0"/>
                </v:shape>
              </v:group>
            </w:pict>
          </mc:Fallback>
        </mc:AlternateContent>
      </w:r>
      <w:r>
        <w:rPr>
          <w:rFonts w:ascii="Times New Roman" w:eastAsia="Times New Roman" w:hAnsi="Times New Roman" w:cs="Times New Roman"/>
          <w:i/>
          <w:sz w:val="24"/>
        </w:rPr>
        <w:t xml:space="preserve"> z</w:t>
      </w:r>
      <w:r>
        <w:rPr>
          <w:rFonts w:ascii="Times New Roman" w:eastAsia="Times New Roman" w:hAnsi="Times New Roman" w:cs="Times New Roman"/>
          <w:i/>
          <w:sz w:val="14"/>
        </w:rPr>
        <w:t>k</w:t>
      </w:r>
      <w:r>
        <w:rPr>
          <w:rFonts w:ascii="Segoe UI Symbol" w:eastAsia="Segoe UI Symbol" w:hAnsi="Segoe UI Symbol" w:cs="Segoe UI Symbol"/>
          <w:sz w:val="14"/>
        </w:rPr>
        <w:t></w:t>
      </w:r>
      <w:r>
        <w:rPr>
          <w:rFonts w:ascii="Times New Roman" w:eastAsia="Times New Roman" w:hAnsi="Times New Roman" w:cs="Times New Roman"/>
          <w:sz w:val="14"/>
        </w:rPr>
        <w:t>1</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Times New Roman" w:eastAsia="Times New Roman" w:hAnsi="Times New Roman" w:cs="Times New Roman"/>
          <w:i/>
          <w:sz w:val="24"/>
        </w:rPr>
        <w:t>u</w:t>
      </w:r>
      <w:r>
        <w:rPr>
          <w:rFonts w:ascii="Segoe UI Symbol" w:eastAsia="Segoe UI Symbol" w:hAnsi="Segoe UI Symbol" w:cs="Segoe UI Symbol"/>
          <w:sz w:val="32"/>
        </w:rPr>
        <w:t></w:t>
      </w:r>
      <w:r>
        <w:rPr>
          <w:rFonts w:ascii="Times New Roman" w:eastAsia="Times New Roman" w:hAnsi="Times New Roman" w:cs="Times New Roman"/>
          <w:i/>
          <w:sz w:val="24"/>
        </w:rPr>
        <w:t>z</w:t>
      </w:r>
      <w:r>
        <w:rPr>
          <w:rFonts w:ascii="Times New Roman" w:eastAsia="Times New Roman" w:hAnsi="Times New Roman" w:cs="Times New Roman"/>
          <w:i/>
          <w:sz w:val="14"/>
        </w:rPr>
        <w:t>k</w:t>
      </w:r>
      <w:r>
        <w:rPr>
          <w:rFonts w:ascii="Segoe UI Symbol" w:eastAsia="Segoe UI Symbol" w:hAnsi="Segoe UI Symbol" w:cs="Segoe UI Symbol"/>
          <w:sz w:val="14"/>
        </w:rPr>
        <w:t></w:t>
      </w:r>
      <w:r>
        <w:rPr>
          <w:rFonts w:ascii="Times New Roman" w:eastAsia="Times New Roman" w:hAnsi="Times New Roman" w:cs="Times New Roman"/>
          <w:sz w:val="14"/>
        </w:rPr>
        <w:t>1</w:t>
      </w:r>
      <w:r>
        <w:rPr>
          <w:rFonts w:ascii="Segoe UI Symbol" w:eastAsia="Segoe UI Symbol" w:hAnsi="Segoe UI Symbol" w:cs="Segoe UI Symbol"/>
          <w:sz w:val="32"/>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Times New Roman" w:eastAsia="Times New Roman" w:hAnsi="Times New Roman" w:cs="Times New Roman"/>
          <w:sz w:val="24"/>
        </w:rPr>
        <w:t>.</w:t>
      </w:r>
    </w:p>
    <w:p w:rsidR="0052701D" w:rsidRDefault="00D40929">
      <w:pPr>
        <w:tabs>
          <w:tab w:val="center" w:pos="870"/>
          <w:tab w:val="center" w:pos="1423"/>
          <w:tab w:val="center" w:pos="2639"/>
          <w:tab w:val="center" w:pos="4070"/>
          <w:tab w:val="center" w:pos="4901"/>
          <w:tab w:val="center" w:pos="5711"/>
        </w:tabs>
        <w:spacing w:after="4" w:line="258" w:lineRule="auto"/>
      </w:pPr>
      <w:r>
        <w:rPr>
          <w:rFonts w:ascii="Segoe UI Symbol" w:eastAsia="Segoe UI Symbol" w:hAnsi="Segoe UI Symbol" w:cs="Segoe UI Symbol"/>
          <w:sz w:val="24"/>
        </w:rPr>
        <w:t></w:t>
      </w:r>
      <w:r>
        <w:rPr>
          <w:rFonts w:ascii="Segoe UI Symbol" w:eastAsia="Segoe UI Symbol" w:hAnsi="Segoe UI Symbol" w:cs="Segoe UI Symbol"/>
          <w:sz w:val="24"/>
        </w:rPr>
        <w:tab/>
      </w:r>
      <w:r>
        <w:rPr>
          <w:rFonts w:ascii="Times New Roman" w:eastAsia="Times New Roman" w:hAnsi="Times New Roman" w:cs="Times New Roman"/>
          <w:sz w:val="14"/>
        </w:rPr>
        <w:t>0</w:t>
      </w:r>
      <w:r>
        <w:rPr>
          <w:rFonts w:ascii="Times New Roman" w:eastAsia="Times New Roman" w:hAnsi="Times New Roman" w:cs="Times New Roman"/>
          <w:sz w:val="14"/>
        </w:rPr>
        <w:tab/>
        <w:t>1</w:t>
      </w:r>
      <w:r>
        <w:rPr>
          <w:rFonts w:ascii="Times New Roman" w:eastAsia="Times New Roman" w:hAnsi="Times New Roman" w:cs="Times New Roman"/>
          <w:sz w:val="14"/>
        </w:rPr>
        <w:tab/>
        <w:t xml:space="preserve">0 </w:t>
      </w:r>
      <w:r>
        <w:rPr>
          <w:rFonts w:ascii="Segoe UI Symbol" w:eastAsia="Segoe UI Symbol" w:hAnsi="Segoe UI Symbol" w:cs="Segoe UI Symbol"/>
          <w:sz w:val="26"/>
        </w:rPr>
        <w:t></w:t>
      </w:r>
      <w:r>
        <w:rPr>
          <w:rFonts w:ascii="Times New Roman" w:eastAsia="Times New Roman" w:hAnsi="Times New Roman" w:cs="Times New Roman"/>
          <w:sz w:val="14"/>
        </w:rPr>
        <w:t xml:space="preserve">1 </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ab/>
      </w:r>
      <w:r>
        <w:rPr>
          <w:rFonts w:ascii="Segoe UI Symbol" w:eastAsia="Segoe UI Symbol" w:hAnsi="Segoe UI Symbol" w:cs="Segoe UI Symbol"/>
          <w:sz w:val="24"/>
        </w:rPr>
        <w:t></w:t>
      </w:r>
      <w:r>
        <w:rPr>
          <w:rFonts w:ascii="Segoe UI Symbol" w:eastAsia="Segoe UI Symbol" w:hAnsi="Segoe UI Symbol" w:cs="Segoe UI Symbol"/>
          <w:sz w:val="24"/>
        </w:rPr>
        <w:tab/>
      </w:r>
      <w:r>
        <w:rPr>
          <w:rFonts w:ascii="Segoe UI Symbol" w:eastAsia="Segoe UI Symbol" w:hAnsi="Segoe UI Symbol" w:cs="Segoe UI Symbol"/>
          <w:sz w:val="24"/>
        </w:rPr>
        <w:t></w:t>
      </w:r>
      <w:r>
        <w:rPr>
          <w:rFonts w:ascii="Segoe UI Symbol" w:eastAsia="Segoe UI Symbol" w:hAnsi="Segoe UI Symbol" w:cs="Segoe UI Symbol"/>
          <w:sz w:val="24"/>
        </w:rPr>
        <w:tab/>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Times New Roman" w:eastAsia="Times New Roman" w:hAnsi="Times New Roman" w:cs="Times New Roman"/>
          <w:sz w:val="24"/>
        </w:rPr>
        <w:t xml:space="preserve"> </w:t>
      </w:r>
    </w:p>
    <w:p w:rsidR="0052701D" w:rsidRDefault="00D40929">
      <w:pPr>
        <w:spacing w:after="0"/>
      </w:pPr>
      <w:r>
        <w:rPr>
          <w:rFonts w:ascii="Times New Roman" w:eastAsia="Times New Roman" w:hAnsi="Times New Roman" w:cs="Times New Roman"/>
          <w:sz w:val="24"/>
        </w:rPr>
        <w:t xml:space="preserve"> </w:t>
      </w:r>
    </w:p>
    <w:p w:rsidR="0052701D" w:rsidRDefault="00D40929">
      <w:pPr>
        <w:spacing w:after="0"/>
        <w:ind w:right="497"/>
        <w:jc w:val="right"/>
      </w:pPr>
      <w:r>
        <w:rPr>
          <w:noProof/>
        </w:rPr>
        <w:drawing>
          <wp:inline distT="0" distB="0" distL="0" distR="0">
            <wp:extent cx="5455920" cy="2724912"/>
            <wp:effectExtent l="0" t="0" r="0" b="0"/>
            <wp:docPr id="14253" name="Picture 14253"/>
            <wp:cNvGraphicFramePr/>
            <a:graphic xmlns:a="http://schemas.openxmlformats.org/drawingml/2006/main">
              <a:graphicData uri="http://schemas.openxmlformats.org/drawingml/2006/picture">
                <pic:pic xmlns:pic="http://schemas.openxmlformats.org/drawingml/2006/picture">
                  <pic:nvPicPr>
                    <pic:cNvPr id="14253" name="Picture 14253"/>
                    <pic:cNvPicPr/>
                  </pic:nvPicPr>
                  <pic:blipFill>
                    <a:blip r:embed="rId147"/>
                    <a:stretch>
                      <a:fillRect/>
                    </a:stretch>
                  </pic:blipFill>
                  <pic:spPr>
                    <a:xfrm>
                      <a:off x="0" y="0"/>
                      <a:ext cx="5455920" cy="2724912"/>
                    </a:xfrm>
                    <a:prstGeom prst="rect">
                      <a:avLst/>
                    </a:prstGeom>
                  </pic:spPr>
                </pic:pic>
              </a:graphicData>
            </a:graphic>
          </wp:inline>
        </w:drawing>
      </w:r>
      <w:r>
        <w:rPr>
          <w:rFonts w:ascii="Times New Roman" w:eastAsia="Times New Roman" w:hAnsi="Times New Roman" w:cs="Times New Roman"/>
          <w:sz w:val="24"/>
        </w:rPr>
        <w:t xml:space="preserve"> </w:t>
      </w:r>
    </w:p>
    <w:p w:rsidR="0052701D" w:rsidRDefault="00D40929">
      <w:pPr>
        <w:spacing w:after="0"/>
      </w:pPr>
      <w:r>
        <w:rPr>
          <w:rFonts w:ascii="Times New Roman" w:eastAsia="Times New Roman" w:hAnsi="Times New Roman" w:cs="Times New Roman"/>
          <w:sz w:val="24"/>
        </w:rPr>
        <w:t xml:space="preserve"> </w:t>
      </w:r>
    </w:p>
    <w:p w:rsidR="0052701D" w:rsidRDefault="00D40929">
      <w:pPr>
        <w:spacing w:after="29" w:line="248" w:lineRule="auto"/>
        <w:ind w:left="2906" w:right="14" w:hanging="2810"/>
        <w:jc w:val="both"/>
      </w:pPr>
      <w:r>
        <w:rPr>
          <w:rFonts w:ascii="Times New Roman" w:eastAsia="Times New Roman" w:hAnsi="Times New Roman" w:cs="Times New Roman"/>
          <w:sz w:val="24"/>
        </w:rPr>
        <w:t>Рис.1.</w:t>
      </w:r>
      <w:r>
        <w:rPr>
          <w:sz w:val="24"/>
        </w:rPr>
        <w:t xml:space="preserve"> </w:t>
      </w:r>
      <w:r>
        <w:rPr>
          <w:rFonts w:ascii="Times New Roman" w:eastAsia="Times New Roman" w:hAnsi="Times New Roman" w:cs="Times New Roman"/>
          <w:sz w:val="24"/>
        </w:rPr>
        <w:t xml:space="preserve">Закономерности изгиба тонкой цилиндрической оболочки, нагруженной различными усилиями в поперечном направлении </w:t>
      </w:r>
    </w:p>
    <w:p w:rsidR="0052701D" w:rsidRDefault="00D40929">
      <w:pPr>
        <w:spacing w:after="12"/>
      </w:pPr>
      <w:r>
        <w:rPr>
          <w:rFonts w:ascii="Times New Roman" w:eastAsia="Times New Roman" w:hAnsi="Times New Roman" w:cs="Times New Roman"/>
          <w:sz w:val="24"/>
        </w:rPr>
        <w:t xml:space="preserve"> </w:t>
      </w:r>
    </w:p>
    <w:p w:rsidR="0052701D" w:rsidRDefault="00D40929">
      <w:pPr>
        <w:spacing w:after="5" w:line="271" w:lineRule="auto"/>
        <w:ind w:left="9" w:right="64" w:firstLine="543"/>
        <w:jc w:val="both"/>
      </w:pPr>
      <w:r>
        <w:rPr>
          <w:rFonts w:ascii="Times New Roman" w:eastAsia="Times New Roman" w:hAnsi="Times New Roman" w:cs="Times New Roman"/>
          <w:sz w:val="28"/>
        </w:rPr>
        <w:t xml:space="preserve">На приведённом рисунке показаны закономерности изгиба тонкой цилиндрической оболочки, нагруженной различными усилиями в поперечном </w:t>
      </w:r>
    </w:p>
    <w:p w:rsidR="0052701D" w:rsidRDefault="00D40929">
      <w:pPr>
        <w:spacing w:after="5" w:line="216" w:lineRule="auto"/>
        <w:ind w:left="4174" w:right="64" w:hanging="4165"/>
        <w:jc w:val="both"/>
      </w:pPr>
      <w:r>
        <w:rPr>
          <w:noProof/>
        </w:rPr>
        <w:lastRenderedPageBreak/>
        <mc:AlternateContent>
          <mc:Choice Requires="wpg">
            <w:drawing>
              <wp:anchor distT="0" distB="0" distL="114300" distR="114300" simplePos="0" relativeHeight="251753472" behindDoc="0" locked="0" layoutInCell="1" allowOverlap="1">
                <wp:simplePos x="0" y="0"/>
                <wp:positionH relativeFrom="column">
                  <wp:posOffset>3579945</wp:posOffset>
                </wp:positionH>
                <wp:positionV relativeFrom="paragraph">
                  <wp:posOffset>24496</wp:posOffset>
                </wp:positionV>
                <wp:extent cx="57007" cy="196637"/>
                <wp:effectExtent l="0" t="0" r="0" b="0"/>
                <wp:wrapSquare wrapText="bothSides"/>
                <wp:docPr id="916026" name="Group 916026"/>
                <wp:cNvGraphicFramePr/>
                <a:graphic xmlns:a="http://schemas.openxmlformats.org/drawingml/2006/main">
                  <a:graphicData uri="http://schemas.microsoft.com/office/word/2010/wordprocessingGroup">
                    <wpg:wgp>
                      <wpg:cNvGrpSpPr/>
                      <wpg:grpSpPr>
                        <a:xfrm>
                          <a:off x="0" y="0"/>
                          <a:ext cx="57007" cy="196637"/>
                          <a:chOff x="0" y="0"/>
                          <a:chExt cx="57007" cy="196637"/>
                        </a:xfrm>
                      </wpg:grpSpPr>
                      <wps:wsp>
                        <wps:cNvPr id="14187" name="Shape 14187"/>
                        <wps:cNvSpPr/>
                        <wps:spPr>
                          <a:xfrm>
                            <a:off x="0" y="0"/>
                            <a:ext cx="57007" cy="196637"/>
                          </a:xfrm>
                          <a:custGeom>
                            <a:avLst/>
                            <a:gdLst/>
                            <a:ahLst/>
                            <a:cxnLst/>
                            <a:rect l="0" t="0" r="0" b="0"/>
                            <a:pathLst>
                              <a:path w="57007" h="196637">
                                <a:moveTo>
                                  <a:pt x="57007" y="0"/>
                                </a:moveTo>
                                <a:lnTo>
                                  <a:pt x="0" y="196637"/>
                                </a:lnTo>
                              </a:path>
                            </a:pathLst>
                          </a:custGeom>
                          <a:ln w="6334"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6026" style="width:4.48877pt;height:15.4832pt;position:absolute;mso-position-horizontal-relative:text;mso-position-horizontal:absolute;margin-left:281.885pt;mso-position-vertical-relative:text;margin-top:1.92883pt;" coordsize="570,1966">
                <v:shape id="Shape 14187" style="position:absolute;width:570;height:1966;left:0;top:0;" coordsize="57007,196637" path="m57007,0l0,196637">
                  <v:stroke weight="0.498777pt" endcap="flat" joinstyle="round" on="true" color="#000000"/>
                  <v:fill on="false" color="#000000" opacity="0"/>
                </v:shape>
                <w10:wrap type="square"/>
              </v:group>
            </w:pict>
          </mc:Fallback>
        </mc:AlternateContent>
      </w:r>
      <w:r>
        <w:rPr>
          <w:rFonts w:ascii="Times New Roman" w:eastAsia="Times New Roman" w:hAnsi="Times New Roman" w:cs="Times New Roman"/>
          <w:sz w:val="28"/>
        </w:rPr>
        <w:t xml:space="preserve">направлении </w:t>
      </w:r>
      <w:r>
        <w:rPr>
          <w:rFonts w:ascii="Times New Roman" w:eastAsia="Times New Roman" w:hAnsi="Times New Roman" w:cs="Times New Roman"/>
          <w:sz w:val="28"/>
        </w:rPr>
        <w:tab/>
        <w:t xml:space="preserve">при </w:t>
      </w:r>
      <w:r>
        <w:rPr>
          <w:rFonts w:ascii="Times New Roman" w:eastAsia="Times New Roman" w:hAnsi="Times New Roman" w:cs="Times New Roman"/>
          <w:sz w:val="28"/>
        </w:rPr>
        <w:tab/>
      </w:r>
      <w:r>
        <w:rPr>
          <w:rFonts w:ascii="Segoe UI Symbol" w:eastAsia="Segoe UI Symbol" w:hAnsi="Segoe UI Symbol" w:cs="Segoe UI Symbol"/>
          <w:sz w:val="31"/>
        </w:rPr>
        <w:t></w:t>
      </w:r>
      <w:r>
        <w:rPr>
          <w:rFonts w:ascii="Times New Roman" w:eastAsia="Times New Roman" w:hAnsi="Times New Roman" w:cs="Times New Roman"/>
          <w:sz w:val="31"/>
        </w:rPr>
        <w:t>2</w:t>
      </w:r>
      <w:r>
        <w:rPr>
          <w:rFonts w:ascii="Segoe UI Symbol" w:eastAsia="Segoe UI Symbol" w:hAnsi="Segoe UI Symbol" w:cs="Segoe UI Symbol"/>
          <w:sz w:val="31"/>
        </w:rPr>
        <w:t></w:t>
      </w:r>
      <w:r>
        <w:rPr>
          <w:rFonts w:ascii="Times New Roman" w:eastAsia="Times New Roman" w:hAnsi="Times New Roman" w:cs="Times New Roman"/>
          <w:sz w:val="31"/>
        </w:rPr>
        <w:t>10</w:t>
      </w:r>
      <w:r>
        <w:rPr>
          <w:rFonts w:ascii="Times New Roman" w:eastAsia="Times New Roman" w:hAnsi="Times New Roman" w:cs="Times New Roman"/>
          <w:sz w:val="18"/>
        </w:rPr>
        <w:t>11</w:t>
      </w:r>
      <w:r>
        <w:rPr>
          <w:rFonts w:ascii="Times New Roman" w:eastAsia="Times New Roman" w:hAnsi="Times New Roman" w:cs="Times New Roman"/>
          <w:i/>
          <w:sz w:val="31"/>
        </w:rPr>
        <w:t>Нм</w:t>
      </w:r>
      <w:r>
        <w:rPr>
          <w:rFonts w:ascii="Times New Roman" w:eastAsia="Times New Roman" w:hAnsi="Times New Roman" w:cs="Times New Roman"/>
          <w:sz w:val="18"/>
        </w:rPr>
        <w:t>2</w:t>
      </w:r>
      <w:r>
        <w:rPr>
          <w:rFonts w:ascii="Times New Roman" w:eastAsia="Times New Roman" w:hAnsi="Times New Roman" w:cs="Times New Roman"/>
          <w:sz w:val="31"/>
        </w:rPr>
        <w:t>;</w:t>
      </w:r>
      <w:r>
        <w:rPr>
          <w:rFonts w:ascii="Times New Roman" w:eastAsia="Times New Roman" w:hAnsi="Times New Roman" w:cs="Times New Roman"/>
          <w:sz w:val="31"/>
        </w:rPr>
        <w:tab/>
      </w:r>
      <w:r>
        <w:rPr>
          <w:rFonts w:ascii="Segoe UI Symbol" w:eastAsia="Segoe UI Symbol" w:hAnsi="Segoe UI Symbol" w:cs="Segoe UI Symbol"/>
          <w:sz w:val="33"/>
        </w:rPr>
        <w:t></w:t>
      </w:r>
      <w:r>
        <w:rPr>
          <w:rFonts w:ascii="Segoe UI Symbol" w:eastAsia="Segoe UI Symbol" w:hAnsi="Segoe UI Symbol" w:cs="Segoe UI Symbol"/>
          <w:sz w:val="31"/>
        </w:rPr>
        <w:t></w:t>
      </w:r>
      <w:r>
        <w:rPr>
          <w:rFonts w:ascii="Times New Roman" w:eastAsia="Times New Roman" w:hAnsi="Times New Roman" w:cs="Times New Roman"/>
          <w:sz w:val="31"/>
        </w:rPr>
        <w:t>0,3;</w:t>
      </w:r>
      <w:r>
        <w:rPr>
          <w:rFonts w:ascii="Times New Roman" w:eastAsia="Times New Roman" w:hAnsi="Times New Roman" w:cs="Times New Roman"/>
          <w:sz w:val="31"/>
        </w:rPr>
        <w:tab/>
      </w:r>
      <w:r>
        <w:rPr>
          <w:rFonts w:ascii="Times New Roman" w:eastAsia="Times New Roman" w:hAnsi="Times New Roman" w:cs="Times New Roman"/>
          <w:i/>
          <w:sz w:val="31"/>
        </w:rPr>
        <w:t xml:space="preserve">R </w:t>
      </w:r>
      <w:r>
        <w:rPr>
          <w:rFonts w:ascii="Segoe UI Symbol" w:eastAsia="Segoe UI Symbol" w:hAnsi="Segoe UI Symbol" w:cs="Segoe UI Symbol"/>
          <w:sz w:val="31"/>
        </w:rPr>
        <w:t></w:t>
      </w:r>
      <w:r>
        <w:rPr>
          <w:rFonts w:ascii="Times New Roman" w:eastAsia="Times New Roman" w:hAnsi="Times New Roman" w:cs="Times New Roman"/>
          <w:sz w:val="31"/>
        </w:rPr>
        <w:t>0,1</w:t>
      </w:r>
      <w:r>
        <w:rPr>
          <w:rFonts w:ascii="Times New Roman" w:eastAsia="Times New Roman" w:hAnsi="Times New Roman" w:cs="Times New Roman"/>
          <w:i/>
          <w:sz w:val="31"/>
        </w:rPr>
        <w:t>м</w:t>
      </w:r>
      <w:r>
        <w:rPr>
          <w:rFonts w:ascii="Times New Roman" w:eastAsia="Times New Roman" w:hAnsi="Times New Roman" w:cs="Times New Roman"/>
          <w:sz w:val="31"/>
        </w:rPr>
        <w:t>;</w:t>
      </w:r>
      <w:r>
        <w:rPr>
          <w:rFonts w:ascii="Times New Roman" w:eastAsia="Times New Roman" w:hAnsi="Times New Roman" w:cs="Times New Roman"/>
          <w:sz w:val="31"/>
        </w:rPr>
        <w:tab/>
      </w:r>
      <w:r>
        <w:rPr>
          <w:rFonts w:ascii="Times New Roman" w:eastAsia="Times New Roman" w:hAnsi="Times New Roman" w:cs="Times New Roman"/>
          <w:i/>
          <w:sz w:val="31"/>
        </w:rPr>
        <w:t xml:space="preserve">l </w:t>
      </w:r>
      <w:r>
        <w:rPr>
          <w:rFonts w:ascii="Segoe UI Symbol" w:eastAsia="Segoe UI Symbol" w:hAnsi="Segoe UI Symbol" w:cs="Segoe UI Symbol"/>
          <w:sz w:val="31"/>
        </w:rPr>
        <w:t></w:t>
      </w:r>
      <w:r>
        <w:rPr>
          <w:rFonts w:ascii="Times New Roman" w:eastAsia="Times New Roman" w:hAnsi="Times New Roman" w:cs="Times New Roman"/>
          <w:sz w:val="31"/>
        </w:rPr>
        <w:t>1</w:t>
      </w:r>
      <w:r>
        <w:rPr>
          <w:rFonts w:ascii="Times New Roman" w:eastAsia="Times New Roman" w:hAnsi="Times New Roman" w:cs="Times New Roman"/>
          <w:i/>
          <w:sz w:val="31"/>
        </w:rPr>
        <w:t>м</w:t>
      </w:r>
      <w:r>
        <w:rPr>
          <w:rFonts w:ascii="Times New Roman" w:eastAsia="Times New Roman" w:hAnsi="Times New Roman" w:cs="Times New Roman"/>
          <w:sz w:val="31"/>
        </w:rPr>
        <w:t>;</w:t>
      </w:r>
      <w:r>
        <w:rPr>
          <w:rFonts w:ascii="Times New Roman" w:eastAsia="Times New Roman" w:hAnsi="Times New Roman" w:cs="Times New Roman"/>
          <w:sz w:val="28"/>
        </w:rPr>
        <w:t xml:space="preserve">  </w:t>
      </w:r>
      <w:r>
        <w:rPr>
          <w:rFonts w:ascii="Times New Roman" w:eastAsia="Times New Roman" w:hAnsi="Times New Roman" w:cs="Times New Roman"/>
          <w:i/>
          <w:sz w:val="31"/>
        </w:rPr>
        <w:t>E</w:t>
      </w:r>
    </w:p>
    <w:p w:rsidR="0052701D" w:rsidRDefault="00D40929">
      <w:pPr>
        <w:tabs>
          <w:tab w:val="center" w:pos="2292"/>
        </w:tabs>
        <w:spacing w:after="69" w:line="248" w:lineRule="auto"/>
      </w:pPr>
      <w:r>
        <w:rPr>
          <w:rFonts w:ascii="Times New Roman" w:eastAsia="Times New Roman" w:hAnsi="Times New Roman" w:cs="Times New Roman"/>
          <w:i/>
          <w:sz w:val="24"/>
        </w:rPr>
        <w:t>h</w:t>
      </w:r>
      <w:r>
        <w:rPr>
          <w:rFonts w:ascii="Times New Roman" w:eastAsia="Times New Roman" w:hAnsi="Times New Roman" w:cs="Times New Roman"/>
          <w:sz w:val="21"/>
          <w:vertAlign w:val="subscript"/>
        </w:rPr>
        <w:t xml:space="preserve">0 </w:t>
      </w:r>
      <w:r>
        <w:rPr>
          <w:rFonts w:ascii="Segoe UI Symbol" w:eastAsia="Segoe UI Symbol" w:hAnsi="Segoe UI Symbol" w:cs="Segoe UI Symbol"/>
          <w:sz w:val="24"/>
        </w:rPr>
        <w:t xml:space="preserve"> </w:t>
      </w:r>
      <w:r>
        <w:rPr>
          <w:rFonts w:ascii="Times New Roman" w:eastAsia="Times New Roman" w:hAnsi="Times New Roman" w:cs="Times New Roman"/>
          <w:sz w:val="24"/>
        </w:rPr>
        <w:t>0,01</w:t>
      </w:r>
      <w:r>
        <w:rPr>
          <w:rFonts w:ascii="Times New Roman" w:eastAsia="Times New Roman" w:hAnsi="Times New Roman" w:cs="Times New Roman"/>
          <w:i/>
          <w:sz w:val="24"/>
        </w:rPr>
        <w:t>м</w:t>
      </w:r>
      <w:r>
        <w:rPr>
          <w:rFonts w:ascii="Times New Roman" w:eastAsia="Times New Roman" w:hAnsi="Times New Roman" w:cs="Times New Roman"/>
          <w:sz w:val="24"/>
        </w:rPr>
        <w:t>;</w:t>
      </w:r>
      <w:r>
        <w:rPr>
          <w:rFonts w:ascii="Times New Roman" w:eastAsia="Times New Roman" w:hAnsi="Times New Roman" w:cs="Times New Roman"/>
          <w:sz w:val="24"/>
        </w:rPr>
        <w:tab/>
      </w:r>
      <w:r>
        <w:rPr>
          <w:rFonts w:ascii="Times New Roman" w:eastAsia="Times New Roman" w:hAnsi="Times New Roman" w:cs="Times New Roman"/>
          <w:i/>
          <w:sz w:val="24"/>
        </w:rPr>
        <w:t>h</w:t>
      </w:r>
      <w:r>
        <w:rPr>
          <w:rFonts w:ascii="Times New Roman" w:eastAsia="Times New Roman" w:hAnsi="Times New Roman" w:cs="Times New Roman"/>
          <w:sz w:val="21"/>
          <w:vertAlign w:val="subscript"/>
        </w:rPr>
        <w:t xml:space="preserve">1 </w:t>
      </w:r>
      <w:r>
        <w:rPr>
          <w:rFonts w:ascii="Segoe UI Symbol" w:eastAsia="Segoe UI Symbol" w:hAnsi="Segoe UI Symbol" w:cs="Segoe UI Symbol"/>
          <w:sz w:val="24"/>
        </w:rPr>
        <w:t xml:space="preserve"> </w:t>
      </w:r>
      <w:r>
        <w:rPr>
          <w:rFonts w:ascii="Times New Roman" w:eastAsia="Times New Roman" w:hAnsi="Times New Roman" w:cs="Times New Roman"/>
          <w:sz w:val="24"/>
        </w:rPr>
        <w:t>0,02</w:t>
      </w:r>
      <w:r>
        <w:rPr>
          <w:rFonts w:ascii="Times New Roman" w:eastAsia="Times New Roman" w:hAnsi="Times New Roman" w:cs="Times New Roman"/>
          <w:i/>
          <w:sz w:val="24"/>
        </w:rPr>
        <w:t>м</w:t>
      </w:r>
      <w:r>
        <w:rPr>
          <w:rFonts w:ascii="Times New Roman" w:eastAsia="Times New Roman" w:hAnsi="Times New Roman" w:cs="Times New Roman"/>
          <w:sz w:val="24"/>
        </w:rPr>
        <w:t xml:space="preserve">; </w:t>
      </w:r>
      <w:r>
        <w:rPr>
          <w:rFonts w:ascii="Segoe UI Symbol" w:eastAsia="Segoe UI Symbol" w:hAnsi="Segoe UI Symbol" w:cs="Segoe UI Symbol"/>
          <w:sz w:val="25"/>
        </w:rPr>
        <w:t></w:t>
      </w:r>
      <w:r>
        <w:rPr>
          <w:rFonts w:ascii="Segoe UI Symbol" w:eastAsia="Segoe UI Symbol" w:hAnsi="Segoe UI Symbol" w:cs="Segoe UI Symbol"/>
          <w:sz w:val="24"/>
        </w:rPr>
        <w:t></w:t>
      </w:r>
      <w:r>
        <w:rPr>
          <w:rFonts w:ascii="Times New Roman" w:eastAsia="Times New Roman" w:hAnsi="Times New Roman" w:cs="Times New Roman"/>
          <w:sz w:val="24"/>
        </w:rPr>
        <w:t>1.</w:t>
      </w:r>
      <w:r>
        <w:rPr>
          <w:rFonts w:ascii="Times New Roman" w:eastAsia="Times New Roman" w:hAnsi="Times New Roman" w:cs="Times New Roman"/>
          <w:sz w:val="28"/>
        </w:rPr>
        <w:t xml:space="preserve">  </w:t>
      </w:r>
    </w:p>
    <w:p w:rsidR="0052701D" w:rsidRDefault="00D40929">
      <w:pPr>
        <w:spacing w:after="195" w:line="271" w:lineRule="auto"/>
        <w:ind w:left="9" w:right="64" w:firstLine="543"/>
        <w:jc w:val="both"/>
      </w:pPr>
      <w:r>
        <w:rPr>
          <w:rFonts w:ascii="Times New Roman" w:eastAsia="Times New Roman" w:hAnsi="Times New Roman" w:cs="Times New Roman"/>
          <w:sz w:val="28"/>
        </w:rPr>
        <w:t xml:space="preserve">Как и следовало ожидать, с увеличением радиальной нагрузки прогиб пластины увеличивается. </w:t>
      </w:r>
    </w:p>
    <w:p w:rsidR="0052701D" w:rsidRDefault="00D40929">
      <w:pPr>
        <w:spacing w:after="55" w:line="271" w:lineRule="auto"/>
        <w:ind w:left="9" w:right="64" w:firstLine="543"/>
        <w:jc w:val="both"/>
      </w:pPr>
      <w:r>
        <w:rPr>
          <w:rFonts w:ascii="Times New Roman" w:eastAsia="Times New Roman" w:hAnsi="Times New Roman" w:cs="Times New Roman"/>
          <w:sz w:val="28"/>
        </w:rPr>
        <w:t xml:space="preserve">Отдельно получены решения под воздействием поперечной нагрузки </w:t>
      </w:r>
      <w:r>
        <w:rPr>
          <w:rFonts w:ascii="Times New Roman" w:eastAsia="Times New Roman" w:hAnsi="Times New Roman" w:cs="Times New Roman"/>
          <w:i/>
        </w:rPr>
        <w:t xml:space="preserve">p </w:t>
      </w:r>
      <w:r>
        <w:rPr>
          <w:rFonts w:ascii="Times New Roman" w:eastAsia="Times New Roman" w:hAnsi="Times New Roman" w:cs="Times New Roman"/>
          <w:sz w:val="28"/>
        </w:rPr>
        <w:t xml:space="preserve">, </w:t>
      </w:r>
      <w:r>
        <w:rPr>
          <w:rFonts w:ascii="Times New Roman" w:eastAsia="Times New Roman" w:hAnsi="Times New Roman" w:cs="Times New Roman"/>
          <w:sz w:val="28"/>
        </w:rPr>
        <w:t xml:space="preserve">совместного действия растягивающей нагрузки </w:t>
      </w:r>
      <w:r>
        <w:rPr>
          <w:rFonts w:ascii="Times New Roman" w:eastAsia="Times New Roman" w:hAnsi="Times New Roman" w:cs="Times New Roman"/>
          <w:i/>
          <w:sz w:val="39"/>
          <w:vertAlign w:val="superscript"/>
        </w:rPr>
        <w:t>S</w:t>
      </w:r>
      <w:r>
        <w:rPr>
          <w:rFonts w:ascii="Times New Roman" w:eastAsia="Times New Roman" w:hAnsi="Times New Roman" w:cs="Times New Roman"/>
          <w:i/>
          <w:sz w:val="15"/>
        </w:rPr>
        <w:t xml:space="preserve">z </w:t>
      </w:r>
      <w:r>
        <w:rPr>
          <w:rFonts w:ascii="Times New Roman" w:eastAsia="Times New Roman" w:hAnsi="Times New Roman" w:cs="Times New Roman"/>
          <w:sz w:val="28"/>
        </w:rPr>
        <w:t xml:space="preserve">, а также при наличии неравномерного температурного воздействия.  </w:t>
      </w:r>
    </w:p>
    <w:p w:rsidR="0052701D" w:rsidRDefault="00D40929">
      <w:pPr>
        <w:spacing w:after="5" w:line="271" w:lineRule="auto"/>
        <w:ind w:left="9" w:right="64" w:firstLine="543"/>
        <w:jc w:val="both"/>
      </w:pPr>
      <w:r>
        <w:rPr>
          <w:rFonts w:ascii="Times New Roman" w:eastAsia="Times New Roman" w:hAnsi="Times New Roman" w:cs="Times New Roman"/>
          <w:sz w:val="28"/>
        </w:rPr>
        <w:t xml:space="preserve">Полученное решение развито для варианта цилиндрический резервуар с жестким дном. Получены кривые изгиба оболочки. </w:t>
      </w:r>
    </w:p>
    <w:p w:rsidR="0052701D" w:rsidRDefault="00D40929">
      <w:pPr>
        <w:spacing w:after="27"/>
      </w:pPr>
      <w:r>
        <w:rPr>
          <w:rFonts w:ascii="Times New Roman" w:eastAsia="Times New Roman" w:hAnsi="Times New Roman" w:cs="Times New Roman"/>
          <w:sz w:val="24"/>
        </w:rPr>
        <w:t xml:space="preserve"> </w:t>
      </w:r>
    </w:p>
    <w:p w:rsidR="0052701D" w:rsidRDefault="00D40929">
      <w:pPr>
        <w:spacing w:after="16" w:line="248" w:lineRule="auto"/>
        <w:ind w:left="819" w:right="144" w:hanging="10"/>
        <w:jc w:val="center"/>
      </w:pPr>
      <w:r>
        <w:rPr>
          <w:rFonts w:ascii="Times New Roman" w:eastAsia="Times New Roman" w:hAnsi="Times New Roman" w:cs="Times New Roman"/>
          <w:b/>
          <w:sz w:val="24"/>
        </w:rPr>
        <w:t xml:space="preserve">Источники </w:t>
      </w:r>
    </w:p>
    <w:p w:rsidR="0052701D" w:rsidRDefault="00D40929">
      <w:pPr>
        <w:numPr>
          <w:ilvl w:val="0"/>
          <w:numId w:val="11"/>
        </w:numPr>
        <w:spacing w:after="29" w:line="248" w:lineRule="auto"/>
        <w:ind w:right="14" w:firstLine="711"/>
        <w:jc w:val="both"/>
      </w:pPr>
      <w:r>
        <w:rPr>
          <w:rFonts w:ascii="Times New Roman" w:eastAsia="Times New Roman" w:hAnsi="Times New Roman" w:cs="Times New Roman"/>
          <w:sz w:val="24"/>
        </w:rPr>
        <w:t>Безухов Н.И. О</w:t>
      </w:r>
      <w:r>
        <w:rPr>
          <w:rFonts w:ascii="Times New Roman" w:eastAsia="Times New Roman" w:hAnsi="Times New Roman" w:cs="Times New Roman"/>
          <w:sz w:val="24"/>
        </w:rPr>
        <w:t xml:space="preserve">сновы теории упругости, пластичности и ползучести. Москва, «Высшая школа», 1968. 512 с. </w:t>
      </w:r>
    </w:p>
    <w:p w:rsidR="0052701D" w:rsidRDefault="00D40929">
      <w:pPr>
        <w:numPr>
          <w:ilvl w:val="0"/>
          <w:numId w:val="11"/>
        </w:numPr>
        <w:spacing w:after="29" w:line="248" w:lineRule="auto"/>
        <w:ind w:right="14" w:firstLine="711"/>
        <w:jc w:val="both"/>
      </w:pPr>
      <w:r>
        <w:rPr>
          <w:rFonts w:ascii="Times New Roman" w:eastAsia="Times New Roman" w:hAnsi="Times New Roman" w:cs="Times New Roman"/>
          <w:sz w:val="24"/>
        </w:rPr>
        <w:t>Тюреходжаев А.Н., Кырыкбаев Б.Ж. Решение задачи об изгибе гибкой круглой пластины методом частичной дискретизации дифференциальных уравнений. Известия НАН РК. Серия фи</w:t>
      </w:r>
      <w:r>
        <w:rPr>
          <w:rFonts w:ascii="Times New Roman" w:eastAsia="Times New Roman" w:hAnsi="Times New Roman" w:cs="Times New Roman"/>
          <w:sz w:val="24"/>
        </w:rPr>
        <w:t xml:space="preserve">зико – математическая. 2004. №3. с. 66-71. </w:t>
      </w:r>
    </w:p>
    <w:p w:rsidR="0052701D" w:rsidRDefault="00D40929">
      <w:pPr>
        <w:numPr>
          <w:ilvl w:val="0"/>
          <w:numId w:val="11"/>
        </w:numPr>
        <w:spacing w:after="29" w:line="248" w:lineRule="auto"/>
        <w:ind w:right="14" w:firstLine="711"/>
        <w:jc w:val="both"/>
      </w:pPr>
      <w:r>
        <w:rPr>
          <w:rFonts w:ascii="Times New Roman" w:eastAsia="Times New Roman" w:hAnsi="Times New Roman" w:cs="Times New Roman"/>
          <w:sz w:val="24"/>
        </w:rPr>
        <w:t xml:space="preserve">Синюкова Т.В., Синюков А.В. Регулирование температуры индивидуального теплового пункта изменением частоты вращения асинхронного двигателя // Известия высших учебных заведений. Проблемы энергетики. 2021. Т. 23. № </w:t>
      </w:r>
      <w:r>
        <w:rPr>
          <w:rFonts w:ascii="Times New Roman" w:eastAsia="Times New Roman" w:hAnsi="Times New Roman" w:cs="Times New Roman"/>
          <w:sz w:val="24"/>
        </w:rPr>
        <w:t xml:space="preserve">4. 156- 165. </w:t>
      </w:r>
    </w:p>
    <w:p w:rsidR="0052701D" w:rsidRDefault="00D40929">
      <w:pPr>
        <w:spacing w:after="0"/>
        <w:ind w:left="360"/>
      </w:pPr>
      <w:r>
        <w:rPr>
          <w:rFonts w:ascii="Times New Roman" w:eastAsia="Times New Roman" w:hAnsi="Times New Roman" w:cs="Times New Roman"/>
          <w:sz w:val="24"/>
        </w:rPr>
        <w:t xml:space="preserve"> </w:t>
      </w:r>
    </w:p>
    <w:p w:rsidR="0052701D" w:rsidRDefault="00D40929">
      <w:pPr>
        <w:spacing w:after="32"/>
        <w:ind w:left="360"/>
      </w:pPr>
      <w:r>
        <w:rPr>
          <w:rFonts w:ascii="Times New Roman" w:eastAsia="Times New Roman" w:hAnsi="Times New Roman" w:cs="Times New Roman"/>
          <w:sz w:val="24"/>
        </w:rPr>
        <w:t xml:space="preserve"> </w:t>
      </w:r>
    </w:p>
    <w:p w:rsidR="0052701D" w:rsidRDefault="00D40929">
      <w:pPr>
        <w:spacing w:after="7"/>
      </w:pPr>
      <w:r>
        <w:rPr>
          <w:rFonts w:ascii="Times New Roman" w:eastAsia="Times New Roman" w:hAnsi="Times New Roman" w:cs="Times New Roman"/>
          <w:b/>
          <w:color w:val="00000A"/>
          <w:sz w:val="24"/>
        </w:rPr>
        <w:t xml:space="preserve">УДК 531.8 </w:t>
      </w:r>
    </w:p>
    <w:p w:rsidR="0052701D" w:rsidRDefault="00D40929">
      <w:pPr>
        <w:spacing w:after="0"/>
      </w:pPr>
      <w:r>
        <w:rPr>
          <w:rFonts w:ascii="Times New Roman" w:eastAsia="Times New Roman" w:hAnsi="Times New Roman" w:cs="Times New Roman"/>
          <w:color w:val="00000A"/>
          <w:sz w:val="28"/>
        </w:rPr>
        <w:t xml:space="preserve"> </w:t>
      </w:r>
    </w:p>
    <w:p w:rsidR="0052701D" w:rsidRDefault="00D40929">
      <w:pPr>
        <w:pStyle w:val="1"/>
        <w:spacing w:after="47" w:line="249" w:lineRule="auto"/>
        <w:ind w:right="0"/>
      </w:pPr>
      <w:r>
        <w:rPr>
          <w:color w:val="00000A"/>
        </w:rPr>
        <w:t xml:space="preserve">СПОСОБ АВТОМАТИЧЕСКОГО И НЕПРЕРЫВНОГО ИЗМЕНЕНИЯ КРУТЯЩЕГО МОМЕНТА И СКОРОСТИ ВРАЩЕНИЯ ВЫХОДНОГО ВАЛА В ЗАВИСИМОСТИ ОТ СОПРОТИВЛЕНИЯ ДВИЖЕНИЮ </w:t>
      </w:r>
    </w:p>
    <w:p w:rsidR="0052701D" w:rsidRDefault="00D40929">
      <w:pPr>
        <w:spacing w:after="0"/>
        <w:ind w:left="751"/>
        <w:jc w:val="center"/>
      </w:pPr>
      <w:r>
        <w:rPr>
          <w:rFonts w:ascii="Times New Roman" w:eastAsia="Times New Roman" w:hAnsi="Times New Roman" w:cs="Times New Roman"/>
          <w:color w:val="00000A"/>
          <w:sz w:val="28"/>
        </w:rPr>
        <w:t xml:space="preserve"> </w:t>
      </w:r>
    </w:p>
    <w:p w:rsidR="0052701D" w:rsidRDefault="00D40929">
      <w:pPr>
        <w:pStyle w:val="1"/>
        <w:spacing w:after="4" w:line="267" w:lineRule="auto"/>
        <w:ind w:right="39"/>
      </w:pPr>
      <w:r>
        <w:rPr>
          <w:b w:val="0"/>
          <w:color w:val="00000A"/>
          <w:sz w:val="24"/>
        </w:rPr>
        <w:t xml:space="preserve">Абрар Анель Ерланкызы </w:t>
      </w:r>
    </w:p>
    <w:p w:rsidR="0052701D" w:rsidRDefault="00D40929">
      <w:pPr>
        <w:spacing w:after="4" w:line="267" w:lineRule="auto"/>
        <w:ind w:left="10" w:right="39" w:hanging="10"/>
        <w:jc w:val="center"/>
      </w:pPr>
      <w:r>
        <w:rPr>
          <w:rFonts w:ascii="Times New Roman" w:eastAsia="Times New Roman" w:hAnsi="Times New Roman" w:cs="Times New Roman"/>
          <w:color w:val="00000A"/>
          <w:sz w:val="24"/>
        </w:rPr>
        <w:t>НАО «</w:t>
      </w:r>
      <w:r>
        <w:rPr>
          <w:rFonts w:ascii="Times New Roman" w:eastAsia="Times New Roman" w:hAnsi="Times New Roman" w:cs="Times New Roman"/>
          <w:color w:val="00000A"/>
          <w:sz w:val="24"/>
        </w:rPr>
        <w:t xml:space="preserve">Алматинский университет энергетики и связи им.Гумарбека Даукеева» </w:t>
      </w:r>
    </w:p>
    <w:p w:rsidR="0052701D" w:rsidRDefault="00D40929">
      <w:pPr>
        <w:spacing w:after="4" w:line="267" w:lineRule="auto"/>
        <w:ind w:left="10" w:right="47" w:hanging="10"/>
        <w:jc w:val="center"/>
      </w:pPr>
      <w:r>
        <w:rPr>
          <w:rFonts w:ascii="Times New Roman" w:eastAsia="Times New Roman" w:hAnsi="Times New Roman" w:cs="Times New Roman"/>
          <w:color w:val="00000A"/>
          <w:sz w:val="24"/>
        </w:rPr>
        <w:t xml:space="preserve">г.Алматы, Казахстан </w:t>
      </w:r>
    </w:p>
    <w:p w:rsidR="0052701D" w:rsidRDefault="00D40929">
      <w:pPr>
        <w:spacing w:after="14" w:line="248" w:lineRule="auto"/>
        <w:ind w:left="713" w:right="742" w:hanging="5"/>
        <w:jc w:val="center"/>
      </w:pPr>
      <w:r>
        <w:rPr>
          <w:rFonts w:ascii="Times New Roman" w:eastAsia="Times New Roman" w:hAnsi="Times New Roman" w:cs="Times New Roman"/>
          <w:color w:val="00000A"/>
          <w:sz w:val="24"/>
        </w:rPr>
        <w:t xml:space="preserve">e-mail: </w:t>
      </w:r>
      <w:r>
        <w:rPr>
          <w:rFonts w:ascii="Times New Roman" w:eastAsia="Times New Roman" w:hAnsi="Times New Roman" w:cs="Times New Roman"/>
          <w:sz w:val="24"/>
        </w:rPr>
        <w:t xml:space="preserve">abraranel@gmail.com </w:t>
      </w:r>
    </w:p>
    <w:p w:rsidR="0052701D" w:rsidRDefault="00D40929">
      <w:pPr>
        <w:spacing w:after="35"/>
        <w:ind w:left="736"/>
        <w:jc w:val="center"/>
      </w:pPr>
      <w:r>
        <w:rPr>
          <w:rFonts w:ascii="Times New Roman" w:eastAsia="Times New Roman" w:hAnsi="Times New Roman" w:cs="Times New Roman"/>
          <w:b/>
          <w:color w:val="00000A"/>
        </w:rPr>
        <w:t xml:space="preserve"> </w:t>
      </w:r>
    </w:p>
    <w:p w:rsidR="0052701D" w:rsidRDefault="00D40929">
      <w:pPr>
        <w:spacing w:after="0" w:line="248" w:lineRule="auto"/>
        <w:ind w:left="-15" w:right="27" w:firstLine="711"/>
        <w:jc w:val="both"/>
      </w:pPr>
      <w:r>
        <w:rPr>
          <w:rFonts w:ascii="Times New Roman" w:eastAsia="Times New Roman" w:hAnsi="Times New Roman" w:cs="Times New Roman"/>
          <w:b/>
          <w:i/>
          <w:color w:val="00000A"/>
          <w:sz w:val="24"/>
        </w:rPr>
        <w:t>Аннотация</w:t>
      </w:r>
      <w:r>
        <w:rPr>
          <w:rFonts w:ascii="Times New Roman" w:eastAsia="Times New Roman" w:hAnsi="Times New Roman" w:cs="Times New Roman"/>
          <w:i/>
          <w:color w:val="00000A"/>
          <w:sz w:val="24"/>
        </w:rPr>
        <w:t xml:space="preserve">. </w:t>
      </w:r>
      <w:r>
        <w:rPr>
          <w:rFonts w:ascii="Times New Roman" w:eastAsia="Times New Roman" w:hAnsi="Times New Roman" w:cs="Times New Roman"/>
          <w:i/>
          <w:color w:val="00000A"/>
          <w:sz w:val="24"/>
        </w:rPr>
        <w:t xml:space="preserve">Способы автоматического и непрерывного изменения крутящего момента и скорости вращения выходного вала в зависимости от сопротивления движению используют в основном гидродинамические передачи.  </w:t>
      </w:r>
    </w:p>
    <w:p w:rsidR="0052701D" w:rsidRDefault="00D40929">
      <w:pPr>
        <w:spacing w:after="0" w:line="248" w:lineRule="auto"/>
        <w:ind w:left="-15" w:right="27" w:firstLine="711"/>
        <w:jc w:val="both"/>
      </w:pPr>
      <w:r>
        <w:rPr>
          <w:rFonts w:ascii="Times New Roman" w:eastAsia="Times New Roman" w:hAnsi="Times New Roman" w:cs="Times New Roman"/>
          <w:i/>
          <w:color w:val="00000A"/>
          <w:sz w:val="24"/>
        </w:rPr>
        <w:t>Известны различные способы автоматического и непрерывного изме</w:t>
      </w:r>
      <w:r>
        <w:rPr>
          <w:rFonts w:ascii="Times New Roman" w:eastAsia="Times New Roman" w:hAnsi="Times New Roman" w:cs="Times New Roman"/>
          <w:i/>
          <w:color w:val="00000A"/>
          <w:sz w:val="24"/>
        </w:rPr>
        <w:t>нения крутящего момента и скорости вращения выходного вала в зависимости от сопротивления движению, в которых используются гидродинамические передачи, передачи (варианты) с автоматически регулируемой скоростью, передачи с автоматически регулируемой скорост</w:t>
      </w:r>
      <w:r>
        <w:rPr>
          <w:rFonts w:ascii="Times New Roman" w:eastAsia="Times New Roman" w:hAnsi="Times New Roman" w:cs="Times New Roman"/>
          <w:i/>
          <w:color w:val="00000A"/>
          <w:sz w:val="24"/>
        </w:rPr>
        <w:t>ью в виде двух последовательно соединенных дифференциальных механизмов и другие. Однако каждый из выделенных способов имеет недостатки в виде сложности конструкции, малого диапазона изменения скоростей. Далее в статье будет кратко рассмотрены несколько спо</w:t>
      </w:r>
      <w:r>
        <w:rPr>
          <w:rFonts w:ascii="Times New Roman" w:eastAsia="Times New Roman" w:hAnsi="Times New Roman" w:cs="Times New Roman"/>
          <w:i/>
          <w:color w:val="00000A"/>
          <w:sz w:val="24"/>
        </w:rPr>
        <w:t xml:space="preserve">собов, которые являются прототипами предлагаемого в данной работе способа. </w:t>
      </w:r>
    </w:p>
    <w:p w:rsidR="0052701D" w:rsidRDefault="00D40929">
      <w:pPr>
        <w:spacing w:after="37" w:line="248" w:lineRule="auto"/>
        <w:ind w:left="-15" w:right="27" w:firstLine="711"/>
        <w:jc w:val="both"/>
      </w:pPr>
      <w:r>
        <w:rPr>
          <w:rFonts w:ascii="Times New Roman" w:eastAsia="Times New Roman" w:hAnsi="Times New Roman" w:cs="Times New Roman"/>
          <w:i/>
          <w:color w:val="00000A"/>
          <w:sz w:val="24"/>
        </w:rPr>
        <w:lastRenderedPageBreak/>
        <w:t>Исследуемый адаптивный электромеханический привод содержит электродвигатель и адаптивный зубчатый вариатор. Идея создания данного привода основана на использовании способа автомати</w:t>
      </w:r>
      <w:r>
        <w:rPr>
          <w:rFonts w:ascii="Times New Roman" w:eastAsia="Times New Roman" w:hAnsi="Times New Roman" w:cs="Times New Roman"/>
          <w:i/>
          <w:color w:val="00000A"/>
          <w:sz w:val="24"/>
        </w:rPr>
        <w:t xml:space="preserve">ческого и непрерывного изменения крутящего момента и скорости вращения выходного вала в зависимости от сопротивления. Этот механизм относится к машиностроению и может быть использовано в космической отросли. </w:t>
      </w:r>
    </w:p>
    <w:p w:rsidR="0052701D" w:rsidRDefault="00D40929">
      <w:pPr>
        <w:spacing w:after="0" w:line="248" w:lineRule="auto"/>
        <w:ind w:left="-15" w:right="27" w:firstLine="711"/>
        <w:jc w:val="both"/>
      </w:pPr>
      <w:r>
        <w:rPr>
          <w:rFonts w:ascii="Times New Roman" w:eastAsia="Times New Roman" w:hAnsi="Times New Roman" w:cs="Times New Roman"/>
          <w:i/>
          <w:color w:val="00000A"/>
          <w:sz w:val="24"/>
        </w:rPr>
        <w:t>В статье приведены теоретические основы способа</w:t>
      </w:r>
      <w:r>
        <w:rPr>
          <w:rFonts w:ascii="Times New Roman" w:eastAsia="Times New Roman" w:hAnsi="Times New Roman" w:cs="Times New Roman"/>
          <w:i/>
          <w:color w:val="00000A"/>
          <w:sz w:val="24"/>
        </w:rPr>
        <w:t xml:space="preserve"> автоматического и непрерывного изменения крутящего момента и скорости вращения выходного вала в зависимости от сопротивления движению.  </w:t>
      </w:r>
    </w:p>
    <w:p w:rsidR="0052701D" w:rsidRDefault="00D40929">
      <w:pPr>
        <w:spacing w:after="33" w:line="248" w:lineRule="auto"/>
        <w:ind w:left="-15" w:right="27" w:firstLine="711"/>
        <w:jc w:val="both"/>
      </w:pPr>
      <w:r>
        <w:rPr>
          <w:rFonts w:ascii="Times New Roman" w:eastAsia="Times New Roman" w:hAnsi="Times New Roman" w:cs="Times New Roman"/>
          <w:b/>
          <w:i/>
          <w:color w:val="00000A"/>
          <w:sz w:val="24"/>
        </w:rPr>
        <w:t xml:space="preserve">Ключевые слова: </w:t>
      </w:r>
      <w:r>
        <w:rPr>
          <w:rFonts w:ascii="Times New Roman" w:eastAsia="Times New Roman" w:hAnsi="Times New Roman" w:cs="Times New Roman"/>
          <w:i/>
          <w:color w:val="00000A"/>
          <w:sz w:val="24"/>
        </w:rPr>
        <w:t xml:space="preserve">сопротивление движению, адаптивный привод, две степени свободы, компактный привод </w:t>
      </w:r>
    </w:p>
    <w:p w:rsidR="0052701D" w:rsidRDefault="00D40929">
      <w:pPr>
        <w:spacing w:after="0"/>
        <w:ind w:left="721"/>
      </w:pPr>
      <w:r>
        <w:rPr>
          <w:rFonts w:ascii="Times New Roman" w:eastAsia="Times New Roman" w:hAnsi="Times New Roman" w:cs="Times New Roman"/>
          <w:color w:val="00000A"/>
          <w:sz w:val="28"/>
        </w:rPr>
        <w:t xml:space="preserve"> </w:t>
      </w:r>
    </w:p>
    <w:p w:rsidR="0052701D" w:rsidRDefault="00D40929">
      <w:pPr>
        <w:spacing w:after="0" w:line="271" w:lineRule="auto"/>
        <w:ind w:left="197" w:right="30" w:hanging="10"/>
        <w:jc w:val="both"/>
      </w:pPr>
      <w:r>
        <w:rPr>
          <w:rFonts w:ascii="Times New Roman" w:eastAsia="Times New Roman" w:hAnsi="Times New Roman" w:cs="Times New Roman"/>
          <w:b/>
          <w:color w:val="00000A"/>
          <w:sz w:val="28"/>
        </w:rPr>
        <w:t>METHOD OF AUTOMAT</w:t>
      </w:r>
      <w:r>
        <w:rPr>
          <w:rFonts w:ascii="Times New Roman" w:eastAsia="Times New Roman" w:hAnsi="Times New Roman" w:cs="Times New Roman"/>
          <w:b/>
          <w:color w:val="00000A"/>
          <w:sz w:val="28"/>
        </w:rPr>
        <w:t xml:space="preserve">IC AND CONTINUOUS CHANGE OF TORQUE </w:t>
      </w:r>
    </w:p>
    <w:p w:rsidR="0052701D" w:rsidRDefault="00D40929">
      <w:pPr>
        <w:spacing w:after="0" w:line="271" w:lineRule="auto"/>
        <w:ind w:left="212" w:right="30" w:hanging="10"/>
        <w:jc w:val="both"/>
      </w:pPr>
      <w:r>
        <w:rPr>
          <w:rFonts w:ascii="Times New Roman" w:eastAsia="Times New Roman" w:hAnsi="Times New Roman" w:cs="Times New Roman"/>
          <w:b/>
          <w:color w:val="00000A"/>
          <w:sz w:val="28"/>
        </w:rPr>
        <w:t xml:space="preserve">AND SPEED OF ROTATION OF THE OUTPUT SHAFT DEPENDING ON </w:t>
      </w:r>
    </w:p>
    <w:p w:rsidR="0052701D" w:rsidRDefault="00D40929">
      <w:pPr>
        <w:spacing w:after="11" w:line="249" w:lineRule="auto"/>
        <w:ind w:left="10" w:right="42" w:hanging="10"/>
        <w:jc w:val="center"/>
      </w:pPr>
      <w:r>
        <w:rPr>
          <w:rFonts w:ascii="Times New Roman" w:eastAsia="Times New Roman" w:hAnsi="Times New Roman" w:cs="Times New Roman"/>
          <w:b/>
          <w:color w:val="00000A"/>
          <w:sz w:val="28"/>
        </w:rPr>
        <w:t xml:space="preserve">THE RESISTANCE TO MOVEMENT </w:t>
      </w:r>
    </w:p>
    <w:p w:rsidR="0052701D" w:rsidRDefault="00D40929">
      <w:pPr>
        <w:spacing w:after="0"/>
      </w:pPr>
      <w:r>
        <w:rPr>
          <w:rFonts w:ascii="Times New Roman" w:eastAsia="Times New Roman" w:hAnsi="Times New Roman" w:cs="Times New Roman"/>
          <w:b/>
          <w:color w:val="00000A"/>
          <w:sz w:val="28"/>
        </w:rPr>
        <w:t xml:space="preserve"> </w:t>
      </w:r>
    </w:p>
    <w:p w:rsidR="0052701D" w:rsidRDefault="00D40929">
      <w:pPr>
        <w:spacing w:after="4" w:line="267" w:lineRule="auto"/>
        <w:ind w:left="10" w:right="42" w:hanging="10"/>
        <w:jc w:val="center"/>
      </w:pPr>
      <w:r>
        <w:rPr>
          <w:rFonts w:ascii="Times New Roman" w:eastAsia="Times New Roman" w:hAnsi="Times New Roman" w:cs="Times New Roman"/>
          <w:color w:val="00000A"/>
          <w:sz w:val="24"/>
        </w:rPr>
        <w:t>Abrar Anel Yerlankyzy</w:t>
      </w:r>
      <w:r>
        <w:rPr>
          <w:rFonts w:ascii="Times New Roman" w:eastAsia="Times New Roman" w:hAnsi="Times New Roman" w:cs="Times New Roman"/>
          <w:color w:val="00000A"/>
          <w:sz w:val="28"/>
        </w:rPr>
        <w:t xml:space="preserve"> </w:t>
      </w:r>
    </w:p>
    <w:p w:rsidR="0052701D" w:rsidRDefault="00D40929">
      <w:pPr>
        <w:spacing w:after="13" w:line="240" w:lineRule="auto"/>
        <w:ind w:left="3501" w:right="320" w:hanging="3232"/>
        <w:jc w:val="both"/>
      </w:pPr>
      <w:r>
        <w:rPr>
          <w:rFonts w:ascii="Times New Roman" w:eastAsia="Times New Roman" w:hAnsi="Times New Roman" w:cs="Times New Roman"/>
          <w:color w:val="00000A"/>
        </w:rPr>
        <w:t xml:space="preserve">Non profit JSC "Almaty University of Energy and Communications named after Gumarbek Daukeyev" </w:t>
      </w:r>
      <w:r>
        <w:rPr>
          <w:rFonts w:ascii="Times New Roman" w:eastAsia="Times New Roman" w:hAnsi="Times New Roman" w:cs="Times New Roman"/>
          <w:color w:val="00000A"/>
          <w:sz w:val="24"/>
        </w:rPr>
        <w:t xml:space="preserve">Almaty, Kazakhstan </w:t>
      </w:r>
      <w:r>
        <w:rPr>
          <w:rFonts w:ascii="Times New Roman" w:eastAsia="Times New Roman" w:hAnsi="Times New Roman" w:cs="Times New Roman"/>
          <w:color w:val="00000A"/>
        </w:rPr>
        <w:t xml:space="preserve">e-mail: abraranel@gmail.com </w:t>
      </w:r>
    </w:p>
    <w:p w:rsidR="0052701D" w:rsidRDefault="00D40929">
      <w:pPr>
        <w:spacing w:after="0"/>
        <w:ind w:left="850"/>
      </w:pPr>
      <w:r>
        <w:rPr>
          <w:rFonts w:ascii="Times New Roman" w:eastAsia="Times New Roman" w:hAnsi="Times New Roman" w:cs="Times New Roman"/>
          <w:color w:val="00000A"/>
          <w:sz w:val="24"/>
        </w:rPr>
        <w:t xml:space="preserve"> </w:t>
      </w:r>
    </w:p>
    <w:p w:rsidR="0052701D" w:rsidRDefault="00D40929">
      <w:pPr>
        <w:spacing w:after="0" w:line="248" w:lineRule="auto"/>
        <w:ind w:left="-15" w:right="27" w:firstLine="850"/>
        <w:jc w:val="both"/>
      </w:pPr>
      <w:r>
        <w:rPr>
          <w:rFonts w:ascii="Times New Roman" w:eastAsia="Times New Roman" w:hAnsi="Times New Roman" w:cs="Times New Roman"/>
          <w:b/>
          <w:i/>
          <w:color w:val="00000A"/>
          <w:sz w:val="24"/>
        </w:rPr>
        <w:t>Annotation.</w:t>
      </w:r>
      <w:r>
        <w:rPr>
          <w:rFonts w:ascii="Times New Roman" w:eastAsia="Times New Roman" w:hAnsi="Times New Roman" w:cs="Times New Roman"/>
          <w:i/>
          <w:color w:val="00000A"/>
          <w:sz w:val="24"/>
        </w:rPr>
        <w:t xml:space="preserve"> Methods of automatic and continuous change of torque and speed of rotation of the output shaft, depending on the resistance to movement, mainly use hydrodynamic gears. </w:t>
      </w:r>
    </w:p>
    <w:p w:rsidR="0052701D" w:rsidRDefault="00D40929">
      <w:pPr>
        <w:spacing w:after="0" w:line="248" w:lineRule="auto"/>
        <w:ind w:left="-15" w:right="27" w:firstLine="850"/>
        <w:jc w:val="both"/>
      </w:pPr>
      <w:r>
        <w:rPr>
          <w:rFonts w:ascii="Times New Roman" w:eastAsia="Times New Roman" w:hAnsi="Times New Roman" w:cs="Times New Roman"/>
          <w:i/>
          <w:color w:val="00000A"/>
          <w:sz w:val="24"/>
        </w:rPr>
        <w:t>There are various methods</w:t>
      </w:r>
      <w:r>
        <w:rPr>
          <w:rFonts w:ascii="Times New Roman" w:eastAsia="Times New Roman" w:hAnsi="Times New Roman" w:cs="Times New Roman"/>
          <w:i/>
          <w:color w:val="00000A"/>
          <w:sz w:val="24"/>
        </w:rPr>
        <w:t xml:space="preserve"> of automatic and continuous change of torque and speed of rotation of the output shaft depending on the resistance to movement, which use hydrodynamic transmissions, transmissions (variants) with automatically adjustable speed, transmissions with automati</w:t>
      </w:r>
      <w:r>
        <w:rPr>
          <w:rFonts w:ascii="Times New Roman" w:eastAsia="Times New Roman" w:hAnsi="Times New Roman" w:cs="Times New Roman"/>
          <w:i/>
          <w:color w:val="00000A"/>
          <w:sz w:val="24"/>
        </w:rPr>
        <w:t>cally adjustable speed in the form of two series-connected differential mechanisms and others. However, each of the selected methods has disadvantages in the form of design complexity, a small range of speed changes. Later in the article, several methods t</w:t>
      </w:r>
      <w:r>
        <w:rPr>
          <w:rFonts w:ascii="Times New Roman" w:eastAsia="Times New Roman" w:hAnsi="Times New Roman" w:cs="Times New Roman"/>
          <w:i/>
          <w:color w:val="00000A"/>
          <w:sz w:val="24"/>
        </w:rPr>
        <w:t xml:space="preserve">hat are prototypes of the method proposed in this paper will be briefly considered. </w:t>
      </w:r>
    </w:p>
    <w:p w:rsidR="0052701D" w:rsidRDefault="00D40929">
      <w:pPr>
        <w:spacing w:after="0" w:line="248" w:lineRule="auto"/>
        <w:ind w:left="-15" w:right="27" w:firstLine="850"/>
        <w:jc w:val="both"/>
      </w:pPr>
      <w:r>
        <w:rPr>
          <w:rFonts w:ascii="Times New Roman" w:eastAsia="Times New Roman" w:hAnsi="Times New Roman" w:cs="Times New Roman"/>
          <w:i/>
          <w:color w:val="00000A"/>
          <w:sz w:val="24"/>
        </w:rPr>
        <w:t>The studied adaptive electromechanical drive contains an electric motor and an adaptive gear variator. The idea of creating this drive is based on the use of a method of a</w:t>
      </w:r>
      <w:r>
        <w:rPr>
          <w:rFonts w:ascii="Times New Roman" w:eastAsia="Times New Roman" w:hAnsi="Times New Roman" w:cs="Times New Roman"/>
          <w:i/>
          <w:color w:val="00000A"/>
          <w:sz w:val="24"/>
        </w:rPr>
        <w:t xml:space="preserve">utomatic and continuous change of torque and speed of rotation of the output shaft depending on the resistance. This mechanism belongs to mechanical engineering and can be used in space growth. </w:t>
      </w:r>
    </w:p>
    <w:p w:rsidR="0052701D" w:rsidRDefault="00D40929">
      <w:pPr>
        <w:spacing w:after="31" w:line="248" w:lineRule="auto"/>
        <w:ind w:left="-15" w:right="27" w:firstLine="850"/>
        <w:jc w:val="both"/>
      </w:pPr>
      <w:r>
        <w:rPr>
          <w:rFonts w:ascii="Times New Roman" w:eastAsia="Times New Roman" w:hAnsi="Times New Roman" w:cs="Times New Roman"/>
          <w:i/>
          <w:color w:val="00000A"/>
          <w:sz w:val="24"/>
        </w:rPr>
        <w:t>The article presents the theoretical foundations of the metho</w:t>
      </w:r>
      <w:r>
        <w:rPr>
          <w:rFonts w:ascii="Times New Roman" w:eastAsia="Times New Roman" w:hAnsi="Times New Roman" w:cs="Times New Roman"/>
          <w:i/>
          <w:color w:val="00000A"/>
          <w:sz w:val="24"/>
        </w:rPr>
        <w:t xml:space="preserve">d of automatic and continuous change of torque and speed of rotation of the output shaft depending on the resistance to movement. </w:t>
      </w:r>
      <w:r>
        <w:rPr>
          <w:rFonts w:ascii="Times New Roman" w:eastAsia="Times New Roman" w:hAnsi="Times New Roman" w:cs="Times New Roman"/>
          <w:b/>
          <w:i/>
          <w:color w:val="00000A"/>
          <w:sz w:val="24"/>
        </w:rPr>
        <w:t>Keywords:</w:t>
      </w:r>
      <w:r>
        <w:rPr>
          <w:rFonts w:ascii="Times New Roman" w:eastAsia="Times New Roman" w:hAnsi="Times New Roman" w:cs="Times New Roman"/>
          <w:i/>
          <w:color w:val="00000A"/>
          <w:sz w:val="24"/>
        </w:rPr>
        <w:t xml:space="preserve"> resistance to movement, adaptive drive, two degrees of freedom, compact drive </w:t>
      </w:r>
    </w:p>
    <w:p w:rsidR="0052701D" w:rsidRDefault="00D40929">
      <w:pPr>
        <w:spacing w:after="34"/>
      </w:pPr>
      <w:r>
        <w:rPr>
          <w:rFonts w:ascii="Times New Roman" w:eastAsia="Times New Roman" w:hAnsi="Times New Roman" w:cs="Times New Roman"/>
          <w:color w:val="00000A"/>
          <w:sz w:val="28"/>
        </w:rPr>
        <w:t xml:space="preserve"> </w:t>
      </w:r>
    </w:p>
    <w:p w:rsidR="0052701D" w:rsidRDefault="00D40929">
      <w:pPr>
        <w:spacing w:after="0" w:line="271" w:lineRule="auto"/>
        <w:ind w:left="716" w:right="30" w:hanging="10"/>
        <w:jc w:val="both"/>
      </w:pPr>
      <w:r>
        <w:rPr>
          <w:rFonts w:ascii="Times New Roman" w:eastAsia="Times New Roman" w:hAnsi="Times New Roman" w:cs="Times New Roman"/>
          <w:b/>
          <w:color w:val="00000A"/>
          <w:sz w:val="28"/>
        </w:rPr>
        <w:t xml:space="preserve">Введение </w:t>
      </w:r>
    </w:p>
    <w:p w:rsidR="0052701D" w:rsidRDefault="00D40929">
      <w:pPr>
        <w:spacing w:after="4" w:line="257" w:lineRule="auto"/>
        <w:ind w:left="-15" w:right="37" w:firstLine="711"/>
        <w:jc w:val="both"/>
      </w:pPr>
      <w:r>
        <w:rPr>
          <w:rFonts w:ascii="Times New Roman" w:eastAsia="Times New Roman" w:hAnsi="Times New Roman" w:cs="Times New Roman"/>
          <w:color w:val="00000A"/>
          <w:sz w:val="28"/>
        </w:rPr>
        <w:t>В статье рассматривается адаптивный электромеханический компактный привод, содержащий электродвигатель и адаптивный зубчатый вариатор упрощенной конструкции, в котором автоматическое и непрерывное изменение крутящего момента и скорости вращения выходного в</w:t>
      </w:r>
      <w:r>
        <w:rPr>
          <w:rFonts w:ascii="Times New Roman" w:eastAsia="Times New Roman" w:hAnsi="Times New Roman" w:cs="Times New Roman"/>
          <w:color w:val="00000A"/>
          <w:sz w:val="28"/>
        </w:rPr>
        <w:t xml:space="preserve">ала происходит в зависимости от сопротивления движению.  </w:t>
      </w:r>
    </w:p>
    <w:p w:rsidR="0052701D" w:rsidRDefault="00D40929">
      <w:pPr>
        <w:spacing w:after="26" w:line="257" w:lineRule="auto"/>
        <w:ind w:left="-15" w:right="37" w:firstLine="711"/>
        <w:jc w:val="both"/>
      </w:pPr>
      <w:r>
        <w:rPr>
          <w:rFonts w:ascii="Times New Roman" w:eastAsia="Times New Roman" w:hAnsi="Times New Roman" w:cs="Times New Roman"/>
          <w:color w:val="00000A"/>
          <w:sz w:val="28"/>
        </w:rPr>
        <w:t xml:space="preserve">Задача состоит в упрощении конструкции и повышении долговечности механизма.   </w:t>
      </w:r>
    </w:p>
    <w:p w:rsidR="0052701D" w:rsidRDefault="00D40929">
      <w:pPr>
        <w:spacing w:after="4" w:line="257" w:lineRule="auto"/>
        <w:ind w:left="-15" w:right="37" w:firstLine="711"/>
        <w:jc w:val="both"/>
      </w:pPr>
      <w:r>
        <w:rPr>
          <w:rFonts w:ascii="Times New Roman" w:eastAsia="Times New Roman" w:hAnsi="Times New Roman" w:cs="Times New Roman"/>
          <w:color w:val="00000A"/>
          <w:sz w:val="28"/>
        </w:rPr>
        <w:t xml:space="preserve">Наиболее распространенные способы автоматического и непрерывного изменения крутящего момента и скорости вращения выходного вала в зависимости от сопротивления движению используют гидродинамические передачи: гидромуфты, гидротрансформаторы, и комплексные </w:t>
      </w:r>
      <w:r>
        <w:rPr>
          <w:rFonts w:ascii="Times New Roman" w:eastAsia="Times New Roman" w:hAnsi="Times New Roman" w:cs="Times New Roman"/>
          <w:color w:val="00000A"/>
          <w:sz w:val="28"/>
        </w:rPr>
        <w:lastRenderedPageBreak/>
        <w:t>ги</w:t>
      </w:r>
      <w:r>
        <w:rPr>
          <w:rFonts w:ascii="Times New Roman" w:eastAsia="Times New Roman" w:hAnsi="Times New Roman" w:cs="Times New Roman"/>
          <w:color w:val="00000A"/>
          <w:sz w:val="28"/>
        </w:rPr>
        <w:t xml:space="preserve">дродинамические передачи в сочетании с многоступенчатыми механическими планетарными передачами [2]. Передача крутящего момента в таких способах осуществляется с помощью гидродинамической передачи, она сложна по конструкции и имеет малый диапазон изменения </w:t>
      </w:r>
      <w:r>
        <w:rPr>
          <w:rFonts w:ascii="Times New Roman" w:eastAsia="Times New Roman" w:hAnsi="Times New Roman" w:cs="Times New Roman"/>
          <w:color w:val="00000A"/>
          <w:sz w:val="28"/>
        </w:rPr>
        <w:t xml:space="preserve">скорости.  </w:t>
      </w:r>
    </w:p>
    <w:p w:rsidR="0052701D" w:rsidRDefault="00D40929">
      <w:pPr>
        <w:spacing w:after="4" w:line="257" w:lineRule="auto"/>
        <w:ind w:left="-15" w:right="37" w:firstLine="711"/>
        <w:jc w:val="both"/>
      </w:pPr>
      <w:r>
        <w:rPr>
          <w:rFonts w:ascii="Times New Roman" w:eastAsia="Times New Roman" w:hAnsi="Times New Roman" w:cs="Times New Roman"/>
          <w:color w:val="00000A"/>
          <w:sz w:val="28"/>
        </w:rPr>
        <w:t xml:space="preserve">Наиболее близким по технической сущности к предлагаемому способу является способ автоматического и непрерывного изменения крутящего момента и скорости вращения выходного вала в зависимости от сопротивления движению [6]. Данный способ состоит в </w:t>
      </w:r>
      <w:r>
        <w:rPr>
          <w:rFonts w:ascii="Times New Roman" w:eastAsia="Times New Roman" w:hAnsi="Times New Roman" w:cs="Times New Roman"/>
          <w:color w:val="00000A"/>
          <w:sz w:val="28"/>
        </w:rPr>
        <w:t xml:space="preserve">том, что крутящий момент передают от двигателя на передаточный зубчатый механизм с двумя степенями свободы, содержащий дополнительную дифференциальную связь. </w:t>
      </w:r>
    </w:p>
    <w:p w:rsidR="0052701D" w:rsidRDefault="00D40929">
      <w:pPr>
        <w:spacing w:after="4" w:line="257" w:lineRule="auto"/>
        <w:ind w:left="-15" w:right="37" w:firstLine="711"/>
        <w:jc w:val="both"/>
      </w:pPr>
      <w:r>
        <w:rPr>
          <w:rFonts w:ascii="Times New Roman" w:eastAsia="Times New Roman" w:hAnsi="Times New Roman" w:cs="Times New Roman"/>
          <w:color w:val="00000A"/>
          <w:sz w:val="28"/>
        </w:rPr>
        <w:t>Недостатками способа являются сложность конструкции передаточного зубчатого механизма, включающей</w:t>
      </w:r>
      <w:r>
        <w:rPr>
          <w:rFonts w:ascii="Times New Roman" w:eastAsia="Times New Roman" w:hAnsi="Times New Roman" w:cs="Times New Roman"/>
          <w:color w:val="00000A"/>
          <w:sz w:val="28"/>
        </w:rPr>
        <w:t xml:space="preserve"> входное водило, выходное водило, сателлиты и блоки зубчатых колес, и низкая долговечность из-за износа фрикционного шарнира. </w:t>
      </w:r>
    </w:p>
    <w:p w:rsidR="0052701D" w:rsidRDefault="00D40929">
      <w:pPr>
        <w:spacing w:after="4" w:line="257" w:lineRule="auto"/>
        <w:ind w:left="-15" w:right="37" w:firstLine="711"/>
        <w:jc w:val="both"/>
      </w:pPr>
      <w:r>
        <w:rPr>
          <w:rFonts w:ascii="Times New Roman" w:eastAsia="Times New Roman" w:hAnsi="Times New Roman" w:cs="Times New Roman"/>
          <w:color w:val="00000A"/>
          <w:sz w:val="28"/>
        </w:rPr>
        <w:t>Способ автоматического и непрерывного изменения крутящего момента и скорости вращения выходного вала в зависимости от сопротивлен</w:t>
      </w:r>
      <w:r>
        <w:rPr>
          <w:rFonts w:ascii="Times New Roman" w:eastAsia="Times New Roman" w:hAnsi="Times New Roman" w:cs="Times New Roman"/>
          <w:color w:val="00000A"/>
          <w:sz w:val="28"/>
        </w:rPr>
        <w:t>ия движению, при котором крутящий момент передают от двигателя на передаточный зубчатый механизм с двумя степенями свободы, содержащий дополнительную дифференциальную связь, отличающийся тем, что зубчатый механизм выполняют в виде планетарного механизма, с</w:t>
      </w:r>
      <w:r>
        <w:rPr>
          <w:rFonts w:ascii="Times New Roman" w:eastAsia="Times New Roman" w:hAnsi="Times New Roman" w:cs="Times New Roman"/>
          <w:color w:val="00000A"/>
          <w:sz w:val="28"/>
        </w:rPr>
        <w:t xml:space="preserve">одержащего два центральных колеса, сателлит и водило, a дифференциальную связь выполняют в виде регулируемой фрикционной муфты, соединяющей центральные колеса и содержащей фрикционную прокладку и натяжной винт, создающий натяжное усилие [1]. </w:t>
      </w:r>
    </w:p>
    <w:p w:rsidR="0052701D" w:rsidRDefault="00D40929">
      <w:pPr>
        <w:spacing w:after="43" w:line="257" w:lineRule="auto"/>
        <w:ind w:left="-15" w:right="37" w:firstLine="711"/>
        <w:jc w:val="both"/>
      </w:pPr>
      <w:r>
        <w:rPr>
          <w:rFonts w:ascii="Times New Roman" w:eastAsia="Times New Roman" w:hAnsi="Times New Roman" w:cs="Times New Roman"/>
          <w:color w:val="00000A"/>
          <w:sz w:val="28"/>
        </w:rPr>
        <w:t>В статье пред</w:t>
      </w:r>
      <w:r>
        <w:rPr>
          <w:rFonts w:ascii="Times New Roman" w:eastAsia="Times New Roman" w:hAnsi="Times New Roman" w:cs="Times New Roman"/>
          <w:color w:val="00000A"/>
          <w:sz w:val="28"/>
        </w:rPr>
        <w:t xml:space="preserve">ставлены теоретические основы создания бесступенчатого компактного привода способом автоматического и непрерывного изменения крутящего момента и скорости вращения выходного вала в зависимости от сопротивления движению.  </w:t>
      </w:r>
    </w:p>
    <w:p w:rsidR="0052701D" w:rsidRDefault="00D40929">
      <w:pPr>
        <w:spacing w:after="0" w:line="271" w:lineRule="auto"/>
        <w:ind w:right="30" w:firstLine="721"/>
        <w:jc w:val="both"/>
      </w:pPr>
      <w:r>
        <w:rPr>
          <w:rFonts w:ascii="Times New Roman" w:eastAsia="Times New Roman" w:hAnsi="Times New Roman" w:cs="Times New Roman"/>
          <w:b/>
          <w:color w:val="00000A"/>
          <w:sz w:val="28"/>
        </w:rPr>
        <w:t>1.</w:t>
      </w:r>
      <w:r>
        <w:rPr>
          <w:rFonts w:ascii="Arial" w:eastAsia="Arial" w:hAnsi="Arial" w:cs="Arial"/>
          <w:b/>
          <w:color w:val="00000A"/>
          <w:sz w:val="28"/>
        </w:rPr>
        <w:t xml:space="preserve"> </w:t>
      </w:r>
      <w:r>
        <w:rPr>
          <w:rFonts w:ascii="Times New Roman" w:eastAsia="Times New Roman" w:hAnsi="Times New Roman" w:cs="Times New Roman"/>
          <w:b/>
          <w:color w:val="00000A"/>
          <w:sz w:val="28"/>
        </w:rPr>
        <w:t>Структурная схема адаптивного эл</w:t>
      </w:r>
      <w:r>
        <w:rPr>
          <w:rFonts w:ascii="Times New Roman" w:eastAsia="Times New Roman" w:hAnsi="Times New Roman" w:cs="Times New Roman"/>
          <w:b/>
          <w:color w:val="00000A"/>
          <w:sz w:val="28"/>
        </w:rPr>
        <w:t xml:space="preserve">ектромеханического компактного привода </w:t>
      </w:r>
    </w:p>
    <w:p w:rsidR="0052701D" w:rsidRDefault="00D40929">
      <w:pPr>
        <w:spacing w:after="4" w:line="257" w:lineRule="auto"/>
        <w:ind w:left="-15" w:right="37" w:firstLine="711"/>
        <w:jc w:val="both"/>
      </w:pPr>
      <w:r>
        <w:rPr>
          <w:rFonts w:ascii="Times New Roman" w:eastAsia="Times New Roman" w:hAnsi="Times New Roman" w:cs="Times New Roman"/>
          <w:color w:val="00000A"/>
          <w:sz w:val="28"/>
        </w:rPr>
        <w:t xml:space="preserve">Структурная схема (рис.1.1) содержит привод, осуществляющий способ автоматического и непрерывного изменения крутящего момента и скорости вращения выходного вала в зависимости от сопротивления движению. </w:t>
      </w:r>
    </w:p>
    <w:p w:rsidR="0052701D" w:rsidRDefault="00D40929">
      <w:pPr>
        <w:spacing w:after="4" w:line="257" w:lineRule="auto"/>
        <w:ind w:left="-15" w:right="37" w:firstLine="711"/>
        <w:jc w:val="both"/>
      </w:pPr>
      <w:r>
        <w:rPr>
          <w:rFonts w:ascii="Times New Roman" w:eastAsia="Times New Roman" w:hAnsi="Times New Roman" w:cs="Times New Roman"/>
          <w:color w:val="00000A"/>
          <w:sz w:val="28"/>
        </w:rPr>
        <w:t>Кинематическа</w:t>
      </w:r>
      <w:r>
        <w:rPr>
          <w:rFonts w:ascii="Times New Roman" w:eastAsia="Times New Roman" w:hAnsi="Times New Roman" w:cs="Times New Roman"/>
          <w:color w:val="00000A"/>
          <w:sz w:val="28"/>
        </w:rPr>
        <w:t xml:space="preserve">я цепь адаптивного привода включает в себя стойку 0, входное солнечное колесо 1, сателлит 2-2’, выходное солнечное колесо 3, фрикционную муфту 4, содержащую фрикционную прокладку 5 и натяжной винт 6, и выходное водило </w:t>
      </w:r>
      <w:r>
        <w:rPr>
          <w:rFonts w:ascii="Times New Roman" w:eastAsia="Times New Roman" w:hAnsi="Times New Roman" w:cs="Times New Roman"/>
          <w:i/>
          <w:color w:val="00000A"/>
          <w:sz w:val="28"/>
        </w:rPr>
        <w:t>Н</w:t>
      </w:r>
      <w:r>
        <w:rPr>
          <w:rFonts w:ascii="Times New Roman" w:eastAsia="Times New Roman" w:hAnsi="Times New Roman" w:cs="Times New Roman"/>
          <w:color w:val="00000A"/>
          <w:sz w:val="28"/>
        </w:rPr>
        <w:t xml:space="preserve">.  </w:t>
      </w:r>
    </w:p>
    <w:p w:rsidR="0052701D" w:rsidRDefault="00D40929">
      <w:pPr>
        <w:spacing w:after="4" w:line="257" w:lineRule="auto"/>
        <w:ind w:left="-15" w:right="37" w:firstLine="711"/>
        <w:jc w:val="both"/>
      </w:pPr>
      <w:r>
        <w:rPr>
          <w:rFonts w:ascii="Times New Roman" w:eastAsia="Times New Roman" w:hAnsi="Times New Roman" w:cs="Times New Roman"/>
          <w:color w:val="00000A"/>
          <w:sz w:val="28"/>
        </w:rPr>
        <w:t>Устройство представляет собой пер</w:t>
      </w:r>
      <w:r>
        <w:rPr>
          <w:rFonts w:ascii="Times New Roman" w:eastAsia="Times New Roman" w:hAnsi="Times New Roman" w:cs="Times New Roman"/>
          <w:color w:val="00000A"/>
          <w:sz w:val="28"/>
        </w:rPr>
        <w:t xml:space="preserve">едаточный зубчатый механизм с двумя степенями свободы в виде планетарного зубчатого механизма, содержащего входное солнечное колесо 1, сателлит 2-2', выходное солнечное колесо 3 и выходное водило </w:t>
      </w:r>
      <w:r>
        <w:rPr>
          <w:noProof/>
        </w:rPr>
        <w:drawing>
          <wp:inline distT="0" distB="0" distL="0" distR="0">
            <wp:extent cx="124968" cy="124968"/>
            <wp:effectExtent l="0" t="0" r="0" b="0"/>
            <wp:docPr id="1048647" name="Picture 1048647"/>
            <wp:cNvGraphicFramePr/>
            <a:graphic xmlns:a="http://schemas.openxmlformats.org/drawingml/2006/main">
              <a:graphicData uri="http://schemas.openxmlformats.org/drawingml/2006/picture">
                <pic:pic xmlns:pic="http://schemas.openxmlformats.org/drawingml/2006/picture">
                  <pic:nvPicPr>
                    <pic:cNvPr id="1048647" name="Picture 1048647"/>
                    <pic:cNvPicPr/>
                  </pic:nvPicPr>
                  <pic:blipFill>
                    <a:blip r:embed="rId148"/>
                    <a:stretch>
                      <a:fillRect/>
                    </a:stretch>
                  </pic:blipFill>
                  <pic:spPr>
                    <a:xfrm>
                      <a:off x="0" y="0"/>
                      <a:ext cx="124968" cy="124968"/>
                    </a:xfrm>
                    <a:prstGeom prst="rect">
                      <a:avLst/>
                    </a:prstGeom>
                  </pic:spPr>
                </pic:pic>
              </a:graphicData>
            </a:graphic>
          </wp:inline>
        </w:drawing>
      </w:r>
      <w:r>
        <w:rPr>
          <w:rFonts w:ascii="Times New Roman" w:eastAsia="Times New Roman" w:hAnsi="Times New Roman" w:cs="Times New Roman"/>
          <w:color w:val="00000A"/>
          <w:sz w:val="28"/>
        </w:rPr>
        <w:t>. Солнечные колеса 1 и 3 связаны дополнительной фрикционной</w:t>
      </w:r>
      <w:r>
        <w:rPr>
          <w:rFonts w:ascii="Times New Roman" w:eastAsia="Times New Roman" w:hAnsi="Times New Roman" w:cs="Times New Roman"/>
          <w:color w:val="00000A"/>
          <w:sz w:val="28"/>
        </w:rPr>
        <w:t xml:space="preserve"> муфтой 4 с фрикционной прокладкой 5 и натяжным винтом 6.  </w:t>
      </w:r>
    </w:p>
    <w:p w:rsidR="0052701D" w:rsidRDefault="00D40929">
      <w:pPr>
        <w:spacing w:after="4" w:line="257" w:lineRule="auto"/>
        <w:ind w:left="-15" w:right="37" w:firstLine="711"/>
        <w:jc w:val="both"/>
      </w:pPr>
      <w:r>
        <w:rPr>
          <w:rFonts w:ascii="Times New Roman" w:eastAsia="Times New Roman" w:hAnsi="Times New Roman" w:cs="Times New Roman"/>
          <w:color w:val="00000A"/>
          <w:sz w:val="28"/>
        </w:rPr>
        <w:lastRenderedPageBreak/>
        <w:t>Привод работает следующим образом (рис.1.1</w:t>
      </w:r>
      <w:r>
        <w:rPr>
          <w:rFonts w:ascii="Times New Roman" w:eastAsia="Times New Roman" w:hAnsi="Times New Roman" w:cs="Times New Roman"/>
          <w:i/>
          <w:color w:val="00000A"/>
          <w:sz w:val="28"/>
        </w:rPr>
        <w:t>а</w:t>
      </w:r>
      <w:r>
        <w:rPr>
          <w:rFonts w:ascii="Times New Roman" w:eastAsia="Times New Roman" w:hAnsi="Times New Roman" w:cs="Times New Roman"/>
          <w:color w:val="00000A"/>
          <w:sz w:val="28"/>
        </w:rPr>
        <w:t>): центральное солнечное колесо 1 передает движение от двигателя сателлиту 2-2’, который размещен на выходном солнечном колесе 3</w:t>
      </w:r>
      <w:r>
        <w:rPr>
          <w:rFonts w:ascii="Times New Roman" w:eastAsia="Times New Roman" w:hAnsi="Times New Roman" w:cs="Times New Roman"/>
          <w:i/>
          <w:color w:val="00000A"/>
          <w:sz w:val="28"/>
        </w:rPr>
        <w:t xml:space="preserve">. </w:t>
      </w:r>
      <w:r>
        <w:rPr>
          <w:rFonts w:ascii="Times New Roman" w:eastAsia="Times New Roman" w:hAnsi="Times New Roman" w:cs="Times New Roman"/>
          <w:color w:val="00000A"/>
          <w:sz w:val="28"/>
        </w:rPr>
        <w:t>Сателлит передает движе</w:t>
      </w:r>
      <w:r>
        <w:rPr>
          <w:rFonts w:ascii="Times New Roman" w:eastAsia="Times New Roman" w:hAnsi="Times New Roman" w:cs="Times New Roman"/>
          <w:color w:val="00000A"/>
          <w:sz w:val="28"/>
        </w:rPr>
        <w:t xml:space="preserve">ние выходному водилу </w:t>
      </w:r>
      <w:r>
        <w:rPr>
          <w:rFonts w:ascii="Times New Roman" w:eastAsia="Times New Roman" w:hAnsi="Times New Roman" w:cs="Times New Roman"/>
          <w:i/>
          <w:color w:val="00000A"/>
          <w:sz w:val="28"/>
        </w:rPr>
        <w:t>H</w:t>
      </w:r>
      <w:r>
        <w:rPr>
          <w:rFonts w:ascii="Times New Roman" w:eastAsia="Times New Roman" w:hAnsi="Times New Roman" w:cs="Times New Roman"/>
          <w:color w:val="00000A"/>
          <w:sz w:val="28"/>
        </w:rPr>
        <w:t xml:space="preserve">. </w:t>
      </w:r>
    </w:p>
    <w:p w:rsidR="0052701D" w:rsidRDefault="00D40929">
      <w:pPr>
        <w:spacing w:after="4" w:line="257" w:lineRule="auto"/>
        <w:ind w:left="-15" w:right="37" w:firstLine="711"/>
        <w:jc w:val="both"/>
      </w:pPr>
      <w:r>
        <w:rPr>
          <w:rFonts w:ascii="Times New Roman" w:eastAsia="Times New Roman" w:hAnsi="Times New Roman" w:cs="Times New Roman"/>
          <w:color w:val="00000A"/>
          <w:sz w:val="28"/>
        </w:rPr>
        <w:t>При наличии двух степеней свободы колеса 1 и 3 вращаются с разными угловыми скоростями. Фрикционная муфта 4 создает дополнительную фрикционную связь между колесами 1 и 3 механизма. Требуемый фрикционный момент создает натяжной винт</w:t>
      </w:r>
      <w:r>
        <w:rPr>
          <w:rFonts w:ascii="Times New Roman" w:eastAsia="Times New Roman" w:hAnsi="Times New Roman" w:cs="Times New Roman"/>
          <w:color w:val="00000A"/>
          <w:sz w:val="28"/>
        </w:rPr>
        <w:t xml:space="preserve"> 6, прижимающий фрикционную прокладку 5 к валу 7 и вызывающий соответствующую нормальную реакцию. Дополнительная фрикционная связь обеспечивает определимость движения механизма с двумя степенями свободы и создает эффект силовой адаптации.  </w:t>
      </w:r>
    </w:p>
    <w:p w:rsidR="0052701D" w:rsidRDefault="00D40929">
      <w:pPr>
        <w:spacing w:after="0" w:line="271" w:lineRule="auto"/>
        <w:ind w:right="30" w:firstLine="721"/>
        <w:jc w:val="both"/>
      </w:pPr>
      <w:r>
        <w:rPr>
          <w:rFonts w:ascii="Times New Roman" w:eastAsia="Times New Roman" w:hAnsi="Times New Roman" w:cs="Times New Roman"/>
          <w:b/>
          <w:color w:val="00000A"/>
          <w:sz w:val="28"/>
        </w:rPr>
        <w:t>2. Описание спо</w:t>
      </w:r>
      <w:r>
        <w:rPr>
          <w:rFonts w:ascii="Times New Roman" w:eastAsia="Times New Roman" w:hAnsi="Times New Roman" w:cs="Times New Roman"/>
          <w:b/>
          <w:color w:val="00000A"/>
          <w:sz w:val="28"/>
        </w:rPr>
        <w:t xml:space="preserve">соба автоматического и непрерывного изменения крутящего момента и скорости вращения выходного вала в зависимости от сопротивления движению  </w:t>
      </w:r>
    </w:p>
    <w:p w:rsidR="0052701D" w:rsidRDefault="00D40929">
      <w:pPr>
        <w:spacing w:after="4" w:line="257" w:lineRule="auto"/>
        <w:ind w:left="-15" w:right="37" w:firstLine="711"/>
        <w:jc w:val="both"/>
      </w:pPr>
      <w:r>
        <w:rPr>
          <w:rFonts w:ascii="Times New Roman" w:eastAsia="Times New Roman" w:hAnsi="Times New Roman" w:cs="Times New Roman"/>
          <w:color w:val="00000A"/>
          <w:sz w:val="28"/>
        </w:rPr>
        <w:t xml:space="preserve">Крутящий момент передают от двигателя на механизм с двумя степенями свободы и с дополнительной фрикционной связью, </w:t>
      </w:r>
      <w:r>
        <w:rPr>
          <w:rFonts w:ascii="Times New Roman" w:eastAsia="Times New Roman" w:hAnsi="Times New Roman" w:cs="Times New Roman"/>
          <w:color w:val="00000A"/>
          <w:sz w:val="28"/>
        </w:rPr>
        <w:t xml:space="preserve">содержащий входное солнечное колесо 1, сателлит 2-2', выходное солнечное колесо 3, водило Н, фрикционную муфту 4 с фрикционной прокладкой 5 и натяжным винтом 6. </w:t>
      </w:r>
    </w:p>
    <w:p w:rsidR="0052701D" w:rsidRDefault="00D40929">
      <w:pPr>
        <w:spacing w:after="26" w:line="257" w:lineRule="auto"/>
        <w:ind w:left="-15" w:right="37"/>
        <w:jc w:val="both"/>
      </w:pPr>
      <w:r>
        <w:rPr>
          <w:rFonts w:ascii="Times New Roman" w:eastAsia="Times New Roman" w:hAnsi="Times New Roman" w:cs="Times New Roman"/>
          <w:color w:val="00000A"/>
          <w:sz w:val="28"/>
        </w:rPr>
        <w:t>Внешняя движущая сила передается через входное солнечное колесо 1 на сателлит 2-2', который ра</w:t>
      </w:r>
      <w:r>
        <w:rPr>
          <w:rFonts w:ascii="Times New Roman" w:eastAsia="Times New Roman" w:hAnsi="Times New Roman" w:cs="Times New Roman"/>
          <w:color w:val="00000A"/>
          <w:sz w:val="28"/>
        </w:rPr>
        <w:t xml:space="preserve">змещен на водиле Н. Сателлит 2-2' передает движение выходному солнечному колесу 3, расположенному на выходном валу. </w:t>
      </w:r>
    </w:p>
    <w:p w:rsidR="0052701D" w:rsidRDefault="00D40929">
      <w:pPr>
        <w:spacing w:after="0"/>
        <w:ind w:left="721"/>
      </w:pPr>
      <w:r>
        <w:rPr>
          <w:rFonts w:ascii="Times New Roman" w:eastAsia="Times New Roman" w:hAnsi="Times New Roman" w:cs="Times New Roman"/>
          <w:color w:val="00000A"/>
        </w:rPr>
        <w:t xml:space="preserve"> </w:t>
      </w:r>
    </w:p>
    <w:p w:rsidR="0052701D" w:rsidRDefault="00D40929">
      <w:pPr>
        <w:spacing w:after="85"/>
        <w:ind w:left="2092"/>
      </w:pPr>
      <w:r>
        <w:rPr>
          <w:noProof/>
        </w:rPr>
        <w:drawing>
          <wp:inline distT="0" distB="0" distL="0" distR="0">
            <wp:extent cx="3581400" cy="3075432"/>
            <wp:effectExtent l="0" t="0" r="0" b="0"/>
            <wp:docPr id="1048650" name="Picture 1048650"/>
            <wp:cNvGraphicFramePr/>
            <a:graphic xmlns:a="http://schemas.openxmlformats.org/drawingml/2006/main">
              <a:graphicData uri="http://schemas.openxmlformats.org/drawingml/2006/picture">
                <pic:pic xmlns:pic="http://schemas.openxmlformats.org/drawingml/2006/picture">
                  <pic:nvPicPr>
                    <pic:cNvPr id="1048650" name="Picture 1048650"/>
                    <pic:cNvPicPr/>
                  </pic:nvPicPr>
                  <pic:blipFill>
                    <a:blip r:embed="rId149"/>
                    <a:stretch>
                      <a:fillRect/>
                    </a:stretch>
                  </pic:blipFill>
                  <pic:spPr>
                    <a:xfrm>
                      <a:off x="0" y="0"/>
                      <a:ext cx="3581400" cy="3075432"/>
                    </a:xfrm>
                    <a:prstGeom prst="rect">
                      <a:avLst/>
                    </a:prstGeom>
                  </pic:spPr>
                </pic:pic>
              </a:graphicData>
            </a:graphic>
          </wp:inline>
        </w:drawing>
      </w:r>
    </w:p>
    <w:p w:rsidR="0052701D" w:rsidRDefault="00D40929">
      <w:pPr>
        <w:spacing w:after="0"/>
        <w:ind w:left="16"/>
        <w:jc w:val="center"/>
      </w:pPr>
      <w:r>
        <w:rPr>
          <w:rFonts w:ascii="Times New Roman" w:eastAsia="Times New Roman" w:hAnsi="Times New Roman" w:cs="Times New Roman"/>
          <w:color w:val="00000A"/>
        </w:rPr>
        <w:t xml:space="preserve"> </w:t>
      </w:r>
    </w:p>
    <w:p w:rsidR="0052701D" w:rsidRDefault="00D40929">
      <w:pPr>
        <w:spacing w:after="4" w:line="267" w:lineRule="auto"/>
        <w:ind w:left="10" w:hanging="10"/>
        <w:jc w:val="center"/>
      </w:pPr>
      <w:r>
        <w:rPr>
          <w:rFonts w:ascii="Times New Roman" w:eastAsia="Times New Roman" w:hAnsi="Times New Roman" w:cs="Times New Roman"/>
          <w:color w:val="00000A"/>
          <w:sz w:val="24"/>
        </w:rPr>
        <w:t xml:space="preserve">Рис.1.1.Компактный адаптивный электромеханический привод и план его линейных скоростей </w:t>
      </w:r>
    </w:p>
    <w:p w:rsidR="0052701D" w:rsidRDefault="00D40929">
      <w:pPr>
        <w:spacing w:after="31"/>
        <w:ind w:left="721"/>
      </w:pPr>
      <w:r>
        <w:rPr>
          <w:rFonts w:ascii="Times New Roman" w:eastAsia="Times New Roman" w:hAnsi="Times New Roman" w:cs="Times New Roman"/>
          <w:color w:val="00000A"/>
        </w:rPr>
        <w:t xml:space="preserve"> </w:t>
      </w:r>
    </w:p>
    <w:p w:rsidR="0052701D" w:rsidRDefault="00D40929">
      <w:pPr>
        <w:spacing w:after="27" w:line="257" w:lineRule="auto"/>
        <w:ind w:left="-15" w:right="37" w:firstLine="711"/>
        <w:jc w:val="both"/>
      </w:pPr>
      <w:r>
        <w:rPr>
          <w:rFonts w:ascii="Times New Roman" w:eastAsia="Times New Roman" w:hAnsi="Times New Roman" w:cs="Times New Roman"/>
          <w:color w:val="00000A"/>
          <w:sz w:val="28"/>
        </w:rPr>
        <w:t xml:space="preserve">Условие равновесия механизма по принципу возможных перемещений (работ) при наличии только идеальных связей имеет вид: </w:t>
      </w:r>
    </w:p>
    <w:p w:rsidR="0052701D" w:rsidRDefault="00D40929">
      <w:pPr>
        <w:spacing w:after="26"/>
        <w:ind w:left="721"/>
      </w:pPr>
      <w:r>
        <w:rPr>
          <w:rFonts w:ascii="Times New Roman" w:eastAsia="Times New Roman" w:hAnsi="Times New Roman" w:cs="Times New Roman"/>
          <w:color w:val="00000A"/>
          <w:sz w:val="28"/>
        </w:rPr>
        <w:t xml:space="preserve"> </w:t>
      </w:r>
    </w:p>
    <w:p w:rsidR="0052701D" w:rsidRDefault="00D40929">
      <w:pPr>
        <w:tabs>
          <w:tab w:val="center" w:pos="721"/>
          <w:tab w:val="center" w:pos="1441"/>
          <w:tab w:val="center" w:pos="2161"/>
          <w:tab w:val="center" w:pos="2881"/>
          <w:tab w:val="center" w:pos="4777"/>
          <w:tab w:val="center" w:pos="6482"/>
          <w:tab w:val="center" w:pos="7203"/>
          <w:tab w:val="center" w:pos="7923"/>
          <w:tab w:val="center" w:pos="8946"/>
        </w:tabs>
        <w:spacing w:after="0"/>
      </w:pPr>
      <w:r>
        <w:lastRenderedPageBreak/>
        <w:tab/>
      </w:r>
      <w:r>
        <w:rPr>
          <w:rFonts w:ascii="Times New Roman" w:eastAsia="Times New Roman" w:hAnsi="Times New Roman" w:cs="Times New Roman"/>
          <w:color w:val="00000A"/>
          <w:sz w:val="28"/>
        </w:rPr>
        <w:t xml:space="preserve">  </w:t>
      </w:r>
      <w:r>
        <w:rPr>
          <w:rFonts w:ascii="Times New Roman" w:eastAsia="Times New Roman" w:hAnsi="Times New Roman" w:cs="Times New Roman"/>
          <w:color w:val="00000A"/>
          <w:sz w:val="28"/>
        </w:rPr>
        <w:tab/>
        <w:t xml:space="preserve"> </w:t>
      </w:r>
      <w:r>
        <w:rPr>
          <w:rFonts w:ascii="Times New Roman" w:eastAsia="Times New Roman" w:hAnsi="Times New Roman" w:cs="Times New Roman"/>
          <w:color w:val="00000A"/>
          <w:sz w:val="28"/>
        </w:rPr>
        <w:tab/>
        <w:t xml:space="preserve"> </w:t>
      </w:r>
      <w:r>
        <w:rPr>
          <w:rFonts w:ascii="Times New Roman" w:eastAsia="Times New Roman" w:hAnsi="Times New Roman" w:cs="Times New Roman"/>
          <w:color w:val="00000A"/>
          <w:sz w:val="28"/>
        </w:rPr>
        <w:tab/>
        <w:t xml:space="preserve"> </w:t>
      </w:r>
      <w:r>
        <w:rPr>
          <w:rFonts w:ascii="Times New Roman" w:eastAsia="Times New Roman" w:hAnsi="Times New Roman" w:cs="Times New Roman"/>
          <w:color w:val="00000A"/>
          <w:sz w:val="28"/>
        </w:rPr>
        <w:tab/>
      </w:r>
      <w:r>
        <w:rPr>
          <w:rFonts w:ascii="Cambria Math" w:eastAsia="Cambria Math" w:hAnsi="Cambria Math" w:cs="Cambria Math"/>
          <w:color w:val="00000A"/>
          <w:sz w:val="28"/>
        </w:rPr>
        <w:t>𝑀</w:t>
      </w:r>
      <w:r>
        <w:rPr>
          <w:rFonts w:ascii="Cambria Math" w:eastAsia="Cambria Math" w:hAnsi="Cambria Math" w:cs="Cambria Math"/>
          <w:color w:val="00000A"/>
          <w:sz w:val="28"/>
          <w:vertAlign w:val="subscript"/>
        </w:rPr>
        <w:t>1</w:t>
      </w:r>
      <w:r>
        <w:rPr>
          <w:rFonts w:ascii="Cambria Math" w:eastAsia="Cambria Math" w:hAnsi="Cambria Math" w:cs="Cambria Math"/>
          <w:color w:val="00000A"/>
          <w:sz w:val="28"/>
        </w:rPr>
        <w:t>𝜔</w:t>
      </w:r>
      <w:r>
        <w:rPr>
          <w:rFonts w:ascii="Cambria Math" w:eastAsia="Cambria Math" w:hAnsi="Cambria Math" w:cs="Cambria Math"/>
          <w:color w:val="00000A"/>
          <w:sz w:val="28"/>
          <w:vertAlign w:val="subscript"/>
        </w:rPr>
        <w:t xml:space="preserve">1 </w:t>
      </w:r>
      <w:r>
        <w:rPr>
          <w:rFonts w:ascii="Cambria Math" w:eastAsia="Cambria Math" w:hAnsi="Cambria Math" w:cs="Cambria Math"/>
          <w:color w:val="00000A"/>
          <w:sz w:val="28"/>
        </w:rPr>
        <w:t>−</w:t>
      </w:r>
      <w:r>
        <w:rPr>
          <w:rFonts w:ascii="Cambria Math" w:eastAsia="Cambria Math" w:hAnsi="Cambria Math" w:cs="Cambria Math"/>
          <w:color w:val="00000A"/>
          <w:sz w:val="28"/>
        </w:rPr>
        <w:t>𝑀</w:t>
      </w:r>
      <w:r>
        <w:rPr>
          <w:rFonts w:ascii="Cambria Math" w:eastAsia="Cambria Math" w:hAnsi="Cambria Math" w:cs="Cambria Math"/>
          <w:color w:val="00000A"/>
          <w:sz w:val="28"/>
          <w:vertAlign w:val="subscript"/>
        </w:rPr>
        <w:t>𝐻</w:t>
      </w:r>
      <w:r>
        <w:rPr>
          <w:rFonts w:ascii="Cambria Math" w:eastAsia="Cambria Math" w:hAnsi="Cambria Math" w:cs="Cambria Math"/>
          <w:color w:val="00000A"/>
          <w:sz w:val="28"/>
        </w:rPr>
        <w:t>𝜔</w:t>
      </w:r>
      <w:r>
        <w:rPr>
          <w:rFonts w:ascii="Cambria Math" w:eastAsia="Cambria Math" w:hAnsi="Cambria Math" w:cs="Cambria Math"/>
          <w:color w:val="00000A"/>
          <w:sz w:val="28"/>
          <w:vertAlign w:val="subscript"/>
        </w:rPr>
        <w:t>𝐻</w:t>
      </w:r>
      <w:r>
        <w:rPr>
          <w:rFonts w:ascii="Cambria Math" w:eastAsia="Cambria Math" w:hAnsi="Cambria Math" w:cs="Cambria Math"/>
          <w:color w:val="00000A"/>
          <w:sz w:val="28"/>
          <w:vertAlign w:val="subscript"/>
        </w:rPr>
        <w:t xml:space="preserve"> </w:t>
      </w:r>
      <w:r>
        <w:rPr>
          <w:rFonts w:ascii="Cambria Math" w:eastAsia="Cambria Math" w:hAnsi="Cambria Math" w:cs="Cambria Math"/>
          <w:color w:val="00000A"/>
          <w:sz w:val="28"/>
        </w:rPr>
        <w:t>= 0</w:t>
      </w:r>
      <w:r>
        <w:rPr>
          <w:rFonts w:ascii="Times New Roman" w:eastAsia="Times New Roman" w:hAnsi="Times New Roman" w:cs="Times New Roman"/>
          <w:color w:val="00000A"/>
          <w:sz w:val="28"/>
        </w:rPr>
        <w:t xml:space="preserve">, </w:t>
      </w:r>
      <w:r>
        <w:rPr>
          <w:rFonts w:ascii="Times New Roman" w:eastAsia="Times New Roman" w:hAnsi="Times New Roman" w:cs="Times New Roman"/>
          <w:color w:val="00000A"/>
          <w:sz w:val="28"/>
        </w:rPr>
        <w:tab/>
        <w:t xml:space="preserve"> </w:t>
      </w:r>
      <w:r>
        <w:rPr>
          <w:rFonts w:ascii="Times New Roman" w:eastAsia="Times New Roman" w:hAnsi="Times New Roman" w:cs="Times New Roman"/>
          <w:color w:val="00000A"/>
          <w:sz w:val="28"/>
        </w:rPr>
        <w:tab/>
        <w:t xml:space="preserve"> </w:t>
      </w:r>
      <w:r>
        <w:rPr>
          <w:rFonts w:ascii="Times New Roman" w:eastAsia="Times New Roman" w:hAnsi="Times New Roman" w:cs="Times New Roman"/>
          <w:color w:val="00000A"/>
          <w:sz w:val="28"/>
        </w:rPr>
        <w:tab/>
        <w:t xml:space="preserve"> </w:t>
      </w:r>
      <w:r>
        <w:rPr>
          <w:rFonts w:ascii="Times New Roman" w:eastAsia="Times New Roman" w:hAnsi="Times New Roman" w:cs="Times New Roman"/>
          <w:color w:val="00000A"/>
          <w:sz w:val="28"/>
        </w:rPr>
        <w:tab/>
        <w:t xml:space="preserve"> (2.1) </w:t>
      </w:r>
    </w:p>
    <w:p w:rsidR="0052701D" w:rsidRDefault="00D40929">
      <w:pPr>
        <w:spacing w:after="41"/>
      </w:pPr>
      <w:r>
        <w:rPr>
          <w:rFonts w:ascii="Times New Roman" w:eastAsia="Times New Roman" w:hAnsi="Times New Roman" w:cs="Times New Roman"/>
          <w:color w:val="00000A"/>
          <w:sz w:val="28"/>
        </w:rPr>
        <w:t xml:space="preserve"> </w:t>
      </w:r>
    </w:p>
    <w:p w:rsidR="0052701D" w:rsidRDefault="00D40929">
      <w:pPr>
        <w:spacing w:after="56" w:line="257" w:lineRule="auto"/>
        <w:ind w:left="-15" w:right="4836"/>
        <w:jc w:val="both"/>
      </w:pPr>
      <w:r>
        <w:rPr>
          <w:rFonts w:ascii="Times New Roman" w:eastAsia="Times New Roman" w:hAnsi="Times New Roman" w:cs="Times New Roman"/>
          <w:color w:val="00000A"/>
          <w:sz w:val="28"/>
        </w:rPr>
        <w:t xml:space="preserve">где </w:t>
      </w:r>
      <w:r>
        <w:rPr>
          <w:rFonts w:ascii="Cambria Math" w:eastAsia="Cambria Math" w:hAnsi="Cambria Math" w:cs="Cambria Math"/>
          <w:sz w:val="24"/>
        </w:rPr>
        <w:t>𝜔</w:t>
      </w:r>
      <w:r>
        <w:rPr>
          <w:rFonts w:ascii="Cambria Math" w:eastAsia="Cambria Math" w:hAnsi="Cambria Math" w:cs="Cambria Math"/>
          <w:color w:val="00000A"/>
          <w:sz w:val="28"/>
          <w:vertAlign w:val="subscript"/>
        </w:rPr>
        <w:t>𝐻</w:t>
      </w:r>
      <w:r>
        <w:rPr>
          <w:rFonts w:ascii="Times New Roman" w:eastAsia="Times New Roman" w:hAnsi="Times New Roman" w:cs="Times New Roman"/>
          <w:color w:val="00000A"/>
          <w:sz w:val="28"/>
        </w:rPr>
        <w:t xml:space="preserve"> – выходная угловая скорость, </w:t>
      </w:r>
      <w:r>
        <w:rPr>
          <w:rFonts w:ascii="Cambria Math" w:eastAsia="Cambria Math" w:hAnsi="Cambria Math" w:cs="Cambria Math"/>
          <w:color w:val="00000A"/>
          <w:sz w:val="28"/>
        </w:rPr>
        <w:t>𝑀</w:t>
      </w:r>
      <w:r>
        <w:rPr>
          <w:rFonts w:ascii="Cambria Math" w:eastAsia="Cambria Math" w:hAnsi="Cambria Math" w:cs="Cambria Math"/>
          <w:color w:val="00000A"/>
          <w:sz w:val="28"/>
          <w:vertAlign w:val="subscript"/>
        </w:rPr>
        <w:t>𝐻</w:t>
      </w:r>
      <w:r>
        <w:rPr>
          <w:rFonts w:ascii="Times New Roman" w:eastAsia="Times New Roman" w:hAnsi="Times New Roman" w:cs="Times New Roman"/>
          <w:color w:val="00000A"/>
          <w:sz w:val="28"/>
        </w:rPr>
        <w:t xml:space="preserve"> – выходной момент на водиле </w:t>
      </w:r>
      <w:r>
        <w:rPr>
          <w:rFonts w:ascii="Times New Roman" w:eastAsia="Times New Roman" w:hAnsi="Times New Roman" w:cs="Times New Roman"/>
          <w:i/>
          <w:color w:val="00000A"/>
          <w:sz w:val="28"/>
        </w:rPr>
        <w:t>H</w:t>
      </w:r>
      <w:r>
        <w:rPr>
          <w:rFonts w:ascii="Times New Roman" w:eastAsia="Times New Roman" w:hAnsi="Times New Roman" w:cs="Times New Roman"/>
          <w:color w:val="00000A"/>
          <w:sz w:val="28"/>
        </w:rPr>
        <w:t xml:space="preserve">; </w:t>
      </w:r>
    </w:p>
    <w:p w:rsidR="0052701D" w:rsidRDefault="00D40929">
      <w:pPr>
        <w:spacing w:after="32" w:line="257" w:lineRule="auto"/>
        <w:ind w:left="-15" w:right="37" w:firstLine="711"/>
        <w:jc w:val="both"/>
      </w:pPr>
      <w:r>
        <w:rPr>
          <w:rFonts w:ascii="Times New Roman" w:eastAsia="Times New Roman" w:hAnsi="Times New Roman" w:cs="Times New Roman"/>
          <w:color w:val="00000A"/>
          <w:sz w:val="28"/>
        </w:rPr>
        <w:t>Это условие</w:t>
      </w:r>
      <w:r>
        <w:rPr>
          <w:rFonts w:ascii="Times New Roman" w:eastAsia="Times New Roman" w:hAnsi="Times New Roman" w:cs="Times New Roman"/>
          <w:color w:val="00000A"/>
          <w:sz w:val="28"/>
        </w:rPr>
        <w:t xml:space="preserve"> равновесия будет соответствовать условию равновесия статики для звена 2 (</w:t>
      </w:r>
      <w:r>
        <w:rPr>
          <w:rFonts w:ascii="Cambria Math" w:eastAsia="Cambria Math" w:hAnsi="Cambria Math" w:cs="Cambria Math"/>
          <w:sz w:val="24"/>
        </w:rPr>
        <w:t xml:space="preserve">∑ </w:t>
      </w:r>
      <w:r>
        <w:rPr>
          <w:rFonts w:ascii="Cambria Math" w:eastAsia="Cambria Math" w:hAnsi="Cambria Math" w:cs="Cambria Math"/>
          <w:color w:val="00000A"/>
          <w:sz w:val="28"/>
        </w:rPr>
        <w:t>𝑀</w:t>
      </w:r>
      <w:r>
        <w:rPr>
          <w:rFonts w:ascii="Cambria Math" w:eastAsia="Cambria Math" w:hAnsi="Cambria Math" w:cs="Cambria Math"/>
          <w:color w:val="00000A"/>
          <w:sz w:val="28"/>
          <w:vertAlign w:val="subscript"/>
        </w:rPr>
        <w:t>𝑃</w:t>
      </w:r>
      <w:r>
        <w:rPr>
          <w:rFonts w:ascii="Cambria Math" w:eastAsia="Cambria Math" w:hAnsi="Cambria Math" w:cs="Cambria Math"/>
          <w:color w:val="00000A"/>
          <w:sz w:val="28"/>
          <w:vertAlign w:val="subscript"/>
        </w:rPr>
        <w:t xml:space="preserve"> </w:t>
      </w:r>
      <w:r>
        <w:rPr>
          <w:rFonts w:ascii="Cambria Math" w:eastAsia="Cambria Math" w:hAnsi="Cambria Math" w:cs="Cambria Math"/>
          <w:color w:val="00000A"/>
          <w:sz w:val="28"/>
        </w:rPr>
        <w:t>=0</w:t>
      </w:r>
      <w:r>
        <w:rPr>
          <w:rFonts w:ascii="Times New Roman" w:eastAsia="Times New Roman" w:hAnsi="Times New Roman" w:cs="Times New Roman"/>
          <w:color w:val="00000A"/>
          <w:sz w:val="28"/>
        </w:rPr>
        <w:t xml:space="preserve">). </w:t>
      </w:r>
    </w:p>
    <w:p w:rsidR="0052701D" w:rsidRDefault="00D40929">
      <w:pPr>
        <w:spacing w:after="31" w:line="257" w:lineRule="auto"/>
        <w:ind w:left="-15" w:right="37" w:firstLine="711"/>
        <w:jc w:val="both"/>
      </w:pPr>
      <w:r>
        <w:rPr>
          <w:rFonts w:ascii="Times New Roman" w:eastAsia="Times New Roman" w:hAnsi="Times New Roman" w:cs="Times New Roman"/>
          <w:color w:val="00000A"/>
          <w:sz w:val="28"/>
        </w:rPr>
        <w:t xml:space="preserve">При рассмотрении реализации способа условия взаимодействия параметров строятся на основе переноса действующих сил и моментов на звено 2 с последующим рассмотрением равновесия звена 2. </w:t>
      </w:r>
    </w:p>
    <w:p w:rsidR="0052701D" w:rsidRDefault="00D40929">
      <w:pPr>
        <w:spacing w:after="34" w:line="257" w:lineRule="auto"/>
        <w:ind w:left="-15" w:right="37" w:firstLine="711"/>
        <w:jc w:val="both"/>
      </w:pPr>
      <w:r>
        <w:rPr>
          <w:rFonts w:ascii="Times New Roman" w:eastAsia="Times New Roman" w:hAnsi="Times New Roman" w:cs="Times New Roman"/>
          <w:color w:val="00000A"/>
          <w:sz w:val="28"/>
        </w:rPr>
        <w:t>Движущий момент через передачу 1-2 передается на звено 2 в виде момента</w:t>
      </w:r>
      <w:r>
        <w:rPr>
          <w:rFonts w:ascii="Times New Roman" w:eastAsia="Times New Roman" w:hAnsi="Times New Roman" w:cs="Times New Roman"/>
          <w:color w:val="00000A"/>
          <w:sz w:val="28"/>
        </w:rPr>
        <w:t xml:space="preserve"> </w:t>
      </w:r>
      <w:r>
        <w:rPr>
          <w:rFonts w:ascii="Cambria Math" w:eastAsia="Cambria Math" w:hAnsi="Cambria Math" w:cs="Cambria Math"/>
          <w:color w:val="00000A"/>
          <w:sz w:val="28"/>
        </w:rPr>
        <w:t>𝑀</w:t>
      </w:r>
      <w:r>
        <w:rPr>
          <w:rFonts w:ascii="Cambria Math" w:eastAsia="Cambria Math" w:hAnsi="Cambria Math" w:cs="Cambria Math"/>
          <w:color w:val="00000A"/>
          <w:sz w:val="28"/>
          <w:vertAlign w:val="subscript"/>
        </w:rPr>
        <w:t>2</w:t>
      </w:r>
      <w:r>
        <w:rPr>
          <w:rFonts w:ascii="Times New Roman" w:eastAsia="Times New Roman" w:hAnsi="Times New Roman" w:cs="Times New Roman"/>
          <w:color w:val="00000A"/>
          <w:sz w:val="28"/>
        </w:rPr>
        <w:t xml:space="preserve">: </w:t>
      </w:r>
    </w:p>
    <w:p w:rsidR="0052701D" w:rsidRDefault="00D40929">
      <w:pPr>
        <w:tabs>
          <w:tab w:val="center" w:pos="5055"/>
          <w:tab w:val="center" w:pos="6482"/>
          <w:tab w:val="center" w:pos="8183"/>
        </w:tabs>
        <w:spacing w:after="8"/>
      </w:pPr>
      <w:r>
        <w:tab/>
      </w:r>
      <w:r>
        <w:rPr>
          <w:noProof/>
        </w:rPr>
        <w:drawing>
          <wp:inline distT="0" distB="0" distL="0" distR="0">
            <wp:extent cx="905256" cy="192024"/>
            <wp:effectExtent l="0" t="0" r="0" b="0"/>
            <wp:docPr id="1048648" name="Picture 1048648"/>
            <wp:cNvGraphicFramePr/>
            <a:graphic xmlns:a="http://schemas.openxmlformats.org/drawingml/2006/main">
              <a:graphicData uri="http://schemas.openxmlformats.org/drawingml/2006/picture">
                <pic:pic xmlns:pic="http://schemas.openxmlformats.org/drawingml/2006/picture">
                  <pic:nvPicPr>
                    <pic:cNvPr id="1048648" name="Picture 1048648"/>
                    <pic:cNvPicPr/>
                  </pic:nvPicPr>
                  <pic:blipFill>
                    <a:blip r:embed="rId150"/>
                    <a:stretch>
                      <a:fillRect/>
                    </a:stretch>
                  </pic:blipFill>
                  <pic:spPr>
                    <a:xfrm>
                      <a:off x="0" y="0"/>
                      <a:ext cx="905256" cy="192024"/>
                    </a:xfrm>
                    <a:prstGeom prst="rect">
                      <a:avLst/>
                    </a:prstGeom>
                  </pic:spPr>
                </pic:pic>
              </a:graphicData>
            </a:graphic>
          </wp:inline>
        </w:drawing>
      </w:r>
      <w:r>
        <w:rPr>
          <w:rFonts w:ascii="Times New Roman" w:eastAsia="Times New Roman" w:hAnsi="Times New Roman" w:cs="Times New Roman"/>
          <w:color w:val="00000A"/>
          <w:sz w:val="28"/>
        </w:rPr>
        <w:t xml:space="preserve">, </w:t>
      </w:r>
      <w:r>
        <w:rPr>
          <w:rFonts w:ascii="Times New Roman" w:eastAsia="Times New Roman" w:hAnsi="Times New Roman" w:cs="Times New Roman"/>
          <w:color w:val="00000A"/>
          <w:sz w:val="28"/>
        </w:rPr>
        <w:tab/>
        <w:t xml:space="preserve"> </w:t>
      </w:r>
      <w:r>
        <w:rPr>
          <w:rFonts w:ascii="Times New Roman" w:eastAsia="Times New Roman" w:hAnsi="Times New Roman" w:cs="Times New Roman"/>
          <w:color w:val="00000A"/>
          <w:sz w:val="28"/>
        </w:rPr>
        <w:tab/>
        <w:t xml:space="preserve">                    (2.2) </w:t>
      </w:r>
    </w:p>
    <w:p w:rsidR="0052701D" w:rsidRDefault="00D40929">
      <w:pPr>
        <w:spacing w:after="75" w:line="257" w:lineRule="auto"/>
        <w:ind w:left="721" w:right="37"/>
        <w:jc w:val="both"/>
      </w:pPr>
      <w:r>
        <w:rPr>
          <w:rFonts w:ascii="Times New Roman" w:eastAsia="Times New Roman" w:hAnsi="Times New Roman" w:cs="Times New Roman"/>
          <w:color w:val="00000A"/>
          <w:sz w:val="28"/>
        </w:rPr>
        <w:t xml:space="preserve">где </w:t>
      </w:r>
      <w:r>
        <w:rPr>
          <w:rFonts w:ascii="Cambria Math" w:eastAsia="Cambria Math" w:hAnsi="Cambria Math" w:cs="Cambria Math"/>
          <w:color w:val="00000A"/>
          <w:sz w:val="28"/>
        </w:rPr>
        <w:t>𝑀</w:t>
      </w:r>
      <w:r>
        <w:rPr>
          <w:rFonts w:ascii="Cambria Math" w:eastAsia="Cambria Math" w:hAnsi="Cambria Math" w:cs="Cambria Math"/>
          <w:color w:val="00000A"/>
          <w:sz w:val="28"/>
          <w:vertAlign w:val="subscript"/>
        </w:rPr>
        <w:t>1</w:t>
      </w:r>
      <w:r>
        <w:rPr>
          <w:rFonts w:ascii="Times New Roman" w:eastAsia="Times New Roman" w:hAnsi="Times New Roman" w:cs="Times New Roman"/>
          <w:color w:val="00000A"/>
          <w:sz w:val="28"/>
        </w:rPr>
        <w:t xml:space="preserve"> – входной момент на звене 1; </w:t>
      </w:r>
    </w:p>
    <w:p w:rsidR="0052701D" w:rsidRDefault="00D40929">
      <w:pPr>
        <w:spacing w:after="4" w:line="257" w:lineRule="auto"/>
        <w:ind w:left="721" w:right="37"/>
        <w:jc w:val="both"/>
      </w:pPr>
      <w:r>
        <w:rPr>
          <w:rFonts w:ascii="Cambria Math" w:eastAsia="Cambria Math" w:hAnsi="Cambria Math" w:cs="Cambria Math"/>
          <w:color w:val="00000A"/>
          <w:sz w:val="28"/>
        </w:rPr>
        <w:t>𝑀</w:t>
      </w:r>
      <w:r>
        <w:rPr>
          <w:rFonts w:ascii="Cambria Math" w:eastAsia="Cambria Math" w:hAnsi="Cambria Math" w:cs="Cambria Math"/>
          <w:color w:val="00000A"/>
          <w:sz w:val="28"/>
          <w:vertAlign w:val="subscript"/>
        </w:rPr>
        <w:t>2</w:t>
      </w:r>
      <w:r>
        <w:rPr>
          <w:rFonts w:ascii="Times New Roman" w:eastAsia="Times New Roman" w:hAnsi="Times New Roman" w:cs="Times New Roman"/>
          <w:color w:val="00000A"/>
          <w:sz w:val="28"/>
        </w:rPr>
        <w:t xml:space="preserve"> – входной момент на звене 2; </w:t>
      </w:r>
    </w:p>
    <w:p w:rsidR="0052701D" w:rsidRDefault="00D40929">
      <w:pPr>
        <w:spacing w:after="33" w:line="257" w:lineRule="auto"/>
        <w:ind w:left="-15" w:right="37" w:firstLine="664"/>
        <w:jc w:val="both"/>
      </w:pPr>
      <w:r>
        <w:rPr>
          <w:noProof/>
        </w:rPr>
        <w:drawing>
          <wp:inline distT="0" distB="0" distL="0" distR="0">
            <wp:extent cx="783336" cy="295656"/>
            <wp:effectExtent l="0" t="0" r="0" b="0"/>
            <wp:docPr id="1048649" name="Picture 1048649"/>
            <wp:cNvGraphicFramePr/>
            <a:graphic xmlns:a="http://schemas.openxmlformats.org/drawingml/2006/main">
              <a:graphicData uri="http://schemas.openxmlformats.org/drawingml/2006/picture">
                <pic:pic xmlns:pic="http://schemas.openxmlformats.org/drawingml/2006/picture">
                  <pic:nvPicPr>
                    <pic:cNvPr id="1048649" name="Picture 1048649"/>
                    <pic:cNvPicPr/>
                  </pic:nvPicPr>
                  <pic:blipFill>
                    <a:blip r:embed="rId151"/>
                    <a:stretch>
                      <a:fillRect/>
                    </a:stretch>
                  </pic:blipFill>
                  <pic:spPr>
                    <a:xfrm>
                      <a:off x="0" y="0"/>
                      <a:ext cx="783336" cy="295656"/>
                    </a:xfrm>
                    <a:prstGeom prst="rect">
                      <a:avLst/>
                    </a:prstGeom>
                  </pic:spPr>
                </pic:pic>
              </a:graphicData>
            </a:graphic>
          </wp:inline>
        </w:drawing>
      </w:r>
      <w:r>
        <w:rPr>
          <w:rFonts w:ascii="Times New Roman" w:eastAsia="Times New Roman" w:hAnsi="Times New Roman" w:cs="Times New Roman"/>
          <w:color w:val="00000A"/>
          <w:sz w:val="28"/>
        </w:rPr>
        <w:t xml:space="preserve"> – передаточное отношение колес 1 и 2 при неподвижном водиле </w:t>
      </w:r>
      <w:r>
        <w:rPr>
          <w:rFonts w:ascii="Times New Roman" w:eastAsia="Times New Roman" w:hAnsi="Times New Roman" w:cs="Times New Roman"/>
          <w:i/>
          <w:color w:val="00000A"/>
          <w:sz w:val="28"/>
        </w:rPr>
        <w:t>Н</w:t>
      </w:r>
      <w:r>
        <w:rPr>
          <w:rFonts w:ascii="Times New Roman" w:eastAsia="Times New Roman" w:hAnsi="Times New Roman" w:cs="Times New Roman"/>
          <w:color w:val="00000A"/>
          <w:sz w:val="28"/>
        </w:rPr>
        <w:t xml:space="preserve">.  </w:t>
      </w:r>
    </w:p>
    <w:p w:rsidR="0052701D" w:rsidRDefault="00D40929">
      <w:pPr>
        <w:spacing w:after="73" w:line="257" w:lineRule="auto"/>
        <w:ind w:left="-15" w:right="37" w:firstLine="711"/>
        <w:jc w:val="both"/>
      </w:pPr>
      <w:r>
        <w:rPr>
          <w:rFonts w:ascii="Times New Roman" w:eastAsia="Times New Roman" w:hAnsi="Times New Roman" w:cs="Times New Roman"/>
          <w:color w:val="00000A"/>
          <w:sz w:val="28"/>
        </w:rPr>
        <w:t>Момент сопротивления через передачу 3-</w:t>
      </w:r>
      <w:r>
        <w:rPr>
          <w:rFonts w:ascii="Times New Roman" w:eastAsia="Times New Roman" w:hAnsi="Times New Roman" w:cs="Times New Roman"/>
          <w:color w:val="00000A"/>
          <w:sz w:val="28"/>
        </w:rPr>
        <w:t xml:space="preserve">2’ передается на звено 2 в виде момента </w:t>
      </w:r>
      <w:r>
        <w:rPr>
          <w:rFonts w:ascii="Cambria Math" w:eastAsia="Cambria Math" w:hAnsi="Cambria Math" w:cs="Cambria Math"/>
          <w:color w:val="00000A"/>
          <w:sz w:val="28"/>
        </w:rPr>
        <w:t>𝑀</w:t>
      </w:r>
      <w:r>
        <w:rPr>
          <w:rFonts w:ascii="Cambria Math" w:eastAsia="Cambria Math" w:hAnsi="Cambria Math" w:cs="Cambria Math"/>
          <w:color w:val="00000A"/>
          <w:sz w:val="28"/>
          <w:vertAlign w:val="subscript"/>
        </w:rPr>
        <w:t>𝑅</w:t>
      </w:r>
      <w:r>
        <w:rPr>
          <w:rFonts w:ascii="Cambria Math" w:eastAsia="Cambria Math" w:hAnsi="Cambria Math" w:cs="Cambria Math"/>
          <w:color w:val="00000A"/>
          <w:sz w:val="28"/>
          <w:vertAlign w:val="subscript"/>
        </w:rPr>
        <w:t>2</w:t>
      </w:r>
      <w:r>
        <w:rPr>
          <w:rFonts w:ascii="Times New Roman" w:eastAsia="Times New Roman" w:hAnsi="Times New Roman" w:cs="Times New Roman"/>
          <w:color w:val="00000A"/>
          <w:sz w:val="28"/>
        </w:rPr>
        <w:t xml:space="preserve">: </w:t>
      </w:r>
    </w:p>
    <w:p w:rsidR="0052701D" w:rsidRDefault="00D40929">
      <w:pPr>
        <w:tabs>
          <w:tab w:val="center" w:pos="4501"/>
          <w:tab w:val="center" w:pos="5762"/>
          <w:tab w:val="center" w:pos="6482"/>
          <w:tab w:val="center" w:pos="7203"/>
          <w:tab w:val="center" w:pos="7923"/>
          <w:tab w:val="center" w:pos="8910"/>
        </w:tabs>
        <w:spacing w:after="8"/>
      </w:pPr>
      <w:r>
        <w:tab/>
      </w:r>
      <w:r>
        <w:rPr>
          <w:rFonts w:ascii="Cambria Math" w:eastAsia="Cambria Math" w:hAnsi="Cambria Math" w:cs="Cambria Math"/>
          <w:color w:val="00000A"/>
          <w:sz w:val="28"/>
        </w:rPr>
        <w:t>𝑀</w:t>
      </w:r>
      <w:r>
        <w:rPr>
          <w:rFonts w:ascii="Cambria Math" w:eastAsia="Cambria Math" w:hAnsi="Cambria Math" w:cs="Cambria Math"/>
          <w:color w:val="00000A"/>
          <w:sz w:val="28"/>
          <w:vertAlign w:val="subscript"/>
        </w:rPr>
        <w:t>𝑅</w:t>
      </w:r>
      <w:r>
        <w:rPr>
          <w:rFonts w:ascii="Cambria Math" w:eastAsia="Cambria Math" w:hAnsi="Cambria Math" w:cs="Cambria Math"/>
          <w:color w:val="00000A"/>
          <w:sz w:val="28"/>
          <w:vertAlign w:val="subscript"/>
        </w:rPr>
        <w:t xml:space="preserve">2 </w:t>
      </w:r>
      <w:r>
        <w:rPr>
          <w:rFonts w:ascii="Cambria Math" w:eastAsia="Cambria Math" w:hAnsi="Cambria Math" w:cs="Cambria Math"/>
          <w:color w:val="00000A"/>
          <w:sz w:val="28"/>
        </w:rPr>
        <w:t xml:space="preserve">= </w:t>
      </w:r>
      <w:r>
        <w:rPr>
          <w:rFonts w:ascii="Cambria Math" w:eastAsia="Cambria Math" w:hAnsi="Cambria Math" w:cs="Cambria Math"/>
          <w:color w:val="00000A"/>
          <w:sz w:val="28"/>
        </w:rPr>
        <w:t>𝑀</w:t>
      </w:r>
      <w:r>
        <w:rPr>
          <w:rFonts w:ascii="Cambria Math" w:eastAsia="Cambria Math" w:hAnsi="Cambria Math" w:cs="Cambria Math"/>
          <w:color w:val="00000A"/>
          <w:sz w:val="28"/>
          <w:vertAlign w:val="subscript"/>
        </w:rPr>
        <w:t>𝑅</w:t>
      </w:r>
      <w:r>
        <w:rPr>
          <w:rFonts w:ascii="Cambria Math" w:eastAsia="Cambria Math" w:hAnsi="Cambria Math" w:cs="Cambria Math"/>
          <w:color w:val="00000A"/>
          <w:sz w:val="28"/>
          <w:vertAlign w:val="subscript"/>
        </w:rPr>
        <w:t>3</w:t>
      </w:r>
      <w:r>
        <w:rPr>
          <w:rFonts w:ascii="Cambria Math" w:eastAsia="Cambria Math" w:hAnsi="Cambria Math" w:cs="Cambria Math"/>
          <w:color w:val="00000A"/>
          <w:sz w:val="28"/>
        </w:rPr>
        <w:t>𝑢</w:t>
      </w:r>
      <w:r>
        <w:rPr>
          <w:rFonts w:ascii="Cambria Math" w:eastAsia="Cambria Math" w:hAnsi="Cambria Math" w:cs="Cambria Math"/>
          <w:color w:val="00000A"/>
          <w:sz w:val="28"/>
          <w:vertAlign w:val="subscript"/>
        </w:rPr>
        <w:t>32</w:t>
      </w:r>
      <w:r>
        <w:rPr>
          <w:rFonts w:ascii="Cambria Math" w:eastAsia="Cambria Math" w:hAnsi="Cambria Math" w:cs="Cambria Math"/>
          <w:color w:val="00000A"/>
          <w:sz w:val="28"/>
          <w:vertAlign w:val="superscript"/>
        </w:rPr>
        <w:t>𝐻</w:t>
      </w:r>
      <w:r>
        <w:rPr>
          <w:rFonts w:ascii="Cambria Math" w:eastAsia="Cambria Math" w:hAnsi="Cambria Math" w:cs="Cambria Math"/>
          <w:color w:val="00000A"/>
          <w:sz w:val="28"/>
          <w:vertAlign w:val="superscript"/>
        </w:rPr>
        <w:t xml:space="preserve"> </w:t>
      </w:r>
      <w:r>
        <w:rPr>
          <w:rFonts w:ascii="Times New Roman" w:eastAsia="Times New Roman" w:hAnsi="Times New Roman" w:cs="Times New Roman"/>
          <w:color w:val="00000A"/>
          <w:sz w:val="28"/>
        </w:rPr>
        <w:t xml:space="preserve">,  </w:t>
      </w:r>
      <w:r>
        <w:rPr>
          <w:rFonts w:ascii="Times New Roman" w:eastAsia="Times New Roman" w:hAnsi="Times New Roman" w:cs="Times New Roman"/>
          <w:color w:val="00000A"/>
          <w:sz w:val="28"/>
        </w:rPr>
        <w:tab/>
        <w:t xml:space="preserve"> </w:t>
      </w:r>
      <w:r>
        <w:rPr>
          <w:rFonts w:ascii="Times New Roman" w:eastAsia="Times New Roman" w:hAnsi="Times New Roman" w:cs="Times New Roman"/>
          <w:color w:val="00000A"/>
          <w:sz w:val="28"/>
        </w:rPr>
        <w:tab/>
        <w:t xml:space="preserve"> </w:t>
      </w:r>
      <w:r>
        <w:rPr>
          <w:rFonts w:ascii="Times New Roman" w:eastAsia="Times New Roman" w:hAnsi="Times New Roman" w:cs="Times New Roman"/>
          <w:color w:val="00000A"/>
          <w:sz w:val="28"/>
        </w:rPr>
        <w:tab/>
        <w:t xml:space="preserve"> </w:t>
      </w:r>
      <w:r>
        <w:rPr>
          <w:rFonts w:ascii="Times New Roman" w:eastAsia="Times New Roman" w:hAnsi="Times New Roman" w:cs="Times New Roman"/>
          <w:color w:val="00000A"/>
          <w:sz w:val="28"/>
        </w:rPr>
        <w:tab/>
        <w:t xml:space="preserve"> </w:t>
      </w:r>
      <w:r>
        <w:rPr>
          <w:rFonts w:ascii="Times New Roman" w:eastAsia="Times New Roman" w:hAnsi="Times New Roman" w:cs="Times New Roman"/>
          <w:color w:val="00000A"/>
          <w:sz w:val="28"/>
        </w:rPr>
        <w:tab/>
        <w:t xml:space="preserve">(2.3) </w:t>
      </w:r>
    </w:p>
    <w:p w:rsidR="0052701D" w:rsidRDefault="00D40929">
      <w:pPr>
        <w:spacing w:after="4" w:line="257" w:lineRule="auto"/>
        <w:ind w:left="-15" w:right="3417" w:firstLine="56"/>
        <w:jc w:val="both"/>
      </w:pPr>
      <w:r>
        <w:rPr>
          <w:rFonts w:ascii="Times New Roman" w:eastAsia="Times New Roman" w:hAnsi="Times New Roman" w:cs="Times New Roman"/>
          <w:color w:val="00000A"/>
          <w:sz w:val="28"/>
        </w:rPr>
        <w:t xml:space="preserve">где </w:t>
      </w:r>
      <w:r>
        <w:rPr>
          <w:rFonts w:ascii="Cambria Math" w:eastAsia="Cambria Math" w:hAnsi="Cambria Math" w:cs="Cambria Math"/>
          <w:color w:val="00000A"/>
          <w:sz w:val="28"/>
        </w:rPr>
        <w:t>𝑀</w:t>
      </w:r>
      <w:r>
        <w:rPr>
          <w:rFonts w:ascii="Cambria Math" w:eastAsia="Cambria Math" w:hAnsi="Cambria Math" w:cs="Cambria Math"/>
          <w:color w:val="00000A"/>
          <w:sz w:val="28"/>
          <w:vertAlign w:val="subscript"/>
        </w:rPr>
        <w:t>𝑅</w:t>
      </w:r>
      <w:r>
        <w:rPr>
          <w:rFonts w:ascii="Cambria Math" w:eastAsia="Cambria Math" w:hAnsi="Cambria Math" w:cs="Cambria Math"/>
          <w:color w:val="00000A"/>
          <w:sz w:val="28"/>
          <w:vertAlign w:val="subscript"/>
        </w:rPr>
        <w:t>2</w:t>
      </w:r>
      <w:r>
        <w:rPr>
          <w:rFonts w:ascii="Times New Roman" w:eastAsia="Times New Roman" w:hAnsi="Times New Roman" w:cs="Times New Roman"/>
          <w:color w:val="00000A"/>
          <w:sz w:val="28"/>
        </w:rPr>
        <w:t xml:space="preserve"> – момент сопротивления на звене 2; </w:t>
      </w:r>
      <w:r>
        <w:rPr>
          <w:noProof/>
        </w:rPr>
        <w:drawing>
          <wp:inline distT="0" distB="0" distL="0" distR="0">
            <wp:extent cx="758952" cy="240792"/>
            <wp:effectExtent l="0" t="0" r="0" b="0"/>
            <wp:docPr id="1048652" name="Picture 1048652"/>
            <wp:cNvGraphicFramePr/>
            <a:graphic xmlns:a="http://schemas.openxmlformats.org/drawingml/2006/main">
              <a:graphicData uri="http://schemas.openxmlformats.org/drawingml/2006/picture">
                <pic:pic xmlns:pic="http://schemas.openxmlformats.org/drawingml/2006/picture">
                  <pic:nvPicPr>
                    <pic:cNvPr id="1048652" name="Picture 1048652"/>
                    <pic:cNvPicPr/>
                  </pic:nvPicPr>
                  <pic:blipFill>
                    <a:blip r:embed="rId152"/>
                    <a:stretch>
                      <a:fillRect/>
                    </a:stretch>
                  </pic:blipFill>
                  <pic:spPr>
                    <a:xfrm>
                      <a:off x="0" y="0"/>
                      <a:ext cx="758952" cy="240792"/>
                    </a:xfrm>
                    <a:prstGeom prst="rect">
                      <a:avLst/>
                    </a:prstGeom>
                  </pic:spPr>
                </pic:pic>
              </a:graphicData>
            </a:graphic>
          </wp:inline>
        </w:drawing>
      </w:r>
      <w:r>
        <w:rPr>
          <w:rFonts w:ascii="Times New Roman" w:eastAsia="Times New Roman" w:hAnsi="Times New Roman" w:cs="Times New Roman"/>
          <w:color w:val="00000A"/>
          <w:sz w:val="28"/>
        </w:rPr>
        <w:t xml:space="preserve">момент сопротивления на звене 3; </w:t>
      </w:r>
    </w:p>
    <w:p w:rsidR="0052701D" w:rsidRDefault="00D40929">
      <w:pPr>
        <w:spacing w:after="8"/>
        <w:ind w:left="10" w:right="228" w:hanging="10"/>
        <w:jc w:val="right"/>
      </w:pPr>
      <w:r>
        <w:rPr>
          <w:noProof/>
        </w:rPr>
        <w:drawing>
          <wp:inline distT="0" distB="0" distL="0" distR="0">
            <wp:extent cx="786384" cy="292608"/>
            <wp:effectExtent l="0" t="0" r="0" b="0"/>
            <wp:docPr id="1048653" name="Picture 1048653"/>
            <wp:cNvGraphicFramePr/>
            <a:graphic xmlns:a="http://schemas.openxmlformats.org/drawingml/2006/main">
              <a:graphicData uri="http://schemas.openxmlformats.org/drawingml/2006/picture">
                <pic:pic xmlns:pic="http://schemas.openxmlformats.org/drawingml/2006/picture">
                  <pic:nvPicPr>
                    <pic:cNvPr id="1048653" name="Picture 1048653"/>
                    <pic:cNvPicPr/>
                  </pic:nvPicPr>
                  <pic:blipFill>
                    <a:blip r:embed="rId153"/>
                    <a:stretch>
                      <a:fillRect/>
                    </a:stretch>
                  </pic:blipFill>
                  <pic:spPr>
                    <a:xfrm>
                      <a:off x="0" y="0"/>
                      <a:ext cx="786384" cy="292608"/>
                    </a:xfrm>
                    <a:prstGeom prst="rect">
                      <a:avLst/>
                    </a:prstGeom>
                  </pic:spPr>
                </pic:pic>
              </a:graphicData>
            </a:graphic>
          </wp:inline>
        </w:drawing>
      </w:r>
      <w:r>
        <w:rPr>
          <w:rFonts w:ascii="Times New Roman" w:eastAsia="Times New Roman" w:hAnsi="Times New Roman" w:cs="Times New Roman"/>
          <w:color w:val="00000A"/>
          <w:sz w:val="28"/>
        </w:rPr>
        <w:t xml:space="preserve"> – передаточное отношение колес 2’ и 3 при неподвижном водиле </w:t>
      </w:r>
      <w:r>
        <w:rPr>
          <w:rFonts w:ascii="Times New Roman" w:eastAsia="Times New Roman" w:hAnsi="Times New Roman" w:cs="Times New Roman"/>
          <w:i/>
          <w:color w:val="00000A"/>
          <w:sz w:val="28"/>
        </w:rPr>
        <w:t>Н</w:t>
      </w:r>
      <w:r>
        <w:rPr>
          <w:rFonts w:ascii="Times New Roman" w:eastAsia="Times New Roman" w:hAnsi="Times New Roman" w:cs="Times New Roman"/>
          <w:color w:val="00000A"/>
          <w:sz w:val="28"/>
        </w:rPr>
        <w:t xml:space="preserve">. </w:t>
      </w:r>
    </w:p>
    <w:p w:rsidR="0052701D" w:rsidRDefault="00D40929">
      <w:pPr>
        <w:spacing w:after="36" w:line="257" w:lineRule="auto"/>
        <w:ind w:left="-15" w:right="37" w:firstLine="711"/>
        <w:jc w:val="both"/>
      </w:pPr>
      <w:r>
        <w:rPr>
          <w:rFonts w:ascii="Times New Roman" w:eastAsia="Times New Roman" w:hAnsi="Times New Roman" w:cs="Times New Roman"/>
          <w:color w:val="00000A"/>
          <w:sz w:val="28"/>
        </w:rPr>
        <w:t xml:space="preserve">При произвольно заданных моментах </w:t>
      </w:r>
      <w:r>
        <w:rPr>
          <w:rFonts w:ascii="Cambria Math" w:eastAsia="Cambria Math" w:hAnsi="Cambria Math" w:cs="Cambria Math"/>
          <w:color w:val="00000A"/>
          <w:sz w:val="28"/>
        </w:rPr>
        <w:t>𝑀</w:t>
      </w:r>
      <w:r>
        <w:rPr>
          <w:rFonts w:ascii="Cambria Math" w:eastAsia="Cambria Math" w:hAnsi="Cambria Math" w:cs="Cambria Math"/>
          <w:color w:val="00000A"/>
          <w:sz w:val="28"/>
          <w:vertAlign w:val="subscript"/>
        </w:rPr>
        <w:t>1</w:t>
      </w:r>
      <w:r>
        <w:rPr>
          <w:rFonts w:ascii="Times New Roman" w:eastAsia="Times New Roman" w:hAnsi="Times New Roman" w:cs="Times New Roman"/>
          <w:color w:val="00000A"/>
          <w:sz w:val="28"/>
        </w:rPr>
        <w:t xml:space="preserve"> и </w:t>
      </w:r>
      <w:r>
        <w:rPr>
          <w:rFonts w:ascii="Cambria Math" w:eastAsia="Cambria Math" w:hAnsi="Cambria Math" w:cs="Cambria Math"/>
          <w:color w:val="00000A"/>
          <w:sz w:val="28"/>
        </w:rPr>
        <w:t>𝑀</w:t>
      </w:r>
      <w:r>
        <w:rPr>
          <w:rFonts w:ascii="Cambria Math" w:eastAsia="Cambria Math" w:hAnsi="Cambria Math" w:cs="Cambria Math"/>
          <w:color w:val="00000A"/>
          <w:sz w:val="28"/>
          <w:vertAlign w:val="subscript"/>
        </w:rPr>
        <w:t>𝑅</w:t>
      </w:r>
      <w:r>
        <w:rPr>
          <w:rFonts w:ascii="Cambria Math" w:eastAsia="Cambria Math" w:hAnsi="Cambria Math" w:cs="Cambria Math"/>
          <w:color w:val="00000A"/>
          <w:sz w:val="28"/>
          <w:vertAlign w:val="subscript"/>
        </w:rPr>
        <w:t>3</w:t>
      </w:r>
      <w:r>
        <w:rPr>
          <w:rFonts w:ascii="Times New Roman" w:eastAsia="Times New Roman" w:hAnsi="Times New Roman" w:cs="Times New Roman"/>
          <w:color w:val="00000A"/>
          <w:sz w:val="28"/>
        </w:rPr>
        <w:t xml:space="preserve"> звено 2 окажется неуравновешенным. В полюсе Р звена 2 появится неуравновешенная реакция </w:t>
      </w:r>
      <w:r>
        <w:rPr>
          <w:rFonts w:ascii="Cambria Math" w:eastAsia="Cambria Math" w:hAnsi="Cambria Math" w:cs="Cambria Math"/>
          <w:color w:val="00000A"/>
          <w:sz w:val="28"/>
        </w:rPr>
        <w:t>𝑅</w:t>
      </w:r>
      <w:r>
        <w:rPr>
          <w:rFonts w:ascii="Cambria Math" w:eastAsia="Cambria Math" w:hAnsi="Cambria Math" w:cs="Cambria Math"/>
          <w:color w:val="00000A"/>
          <w:sz w:val="28"/>
          <w:vertAlign w:val="subscript"/>
        </w:rPr>
        <w:t xml:space="preserve">02 </w:t>
      </w:r>
      <w:r>
        <w:rPr>
          <w:rFonts w:ascii="Cambria Math" w:eastAsia="Cambria Math" w:hAnsi="Cambria Math" w:cs="Cambria Math"/>
          <w:color w:val="00000A"/>
          <w:sz w:val="28"/>
        </w:rPr>
        <w:t xml:space="preserve">= </w:t>
      </w:r>
      <w:r>
        <w:rPr>
          <w:rFonts w:ascii="Cambria Math" w:eastAsia="Cambria Math" w:hAnsi="Cambria Math" w:cs="Cambria Math"/>
          <w:color w:val="00000A"/>
          <w:sz w:val="28"/>
        </w:rPr>
        <w:t>𝑅</w:t>
      </w:r>
      <w:r>
        <w:rPr>
          <w:rFonts w:ascii="Cambria Math" w:eastAsia="Cambria Math" w:hAnsi="Cambria Math" w:cs="Cambria Math"/>
          <w:color w:val="00000A"/>
          <w:sz w:val="28"/>
          <w:vertAlign w:val="subscript"/>
        </w:rPr>
        <w:t xml:space="preserve">32 </w:t>
      </w:r>
      <w:r>
        <w:rPr>
          <w:rFonts w:ascii="Cambria Math" w:eastAsia="Cambria Math" w:hAnsi="Cambria Math" w:cs="Cambria Math"/>
          <w:color w:val="00000A"/>
          <w:sz w:val="28"/>
        </w:rPr>
        <w:t>−</w:t>
      </w:r>
      <w:r>
        <w:rPr>
          <w:rFonts w:ascii="Cambria Math" w:eastAsia="Cambria Math" w:hAnsi="Cambria Math" w:cs="Cambria Math"/>
          <w:color w:val="00000A"/>
          <w:sz w:val="28"/>
        </w:rPr>
        <w:t>𝑅</w:t>
      </w:r>
      <w:r>
        <w:rPr>
          <w:rFonts w:ascii="Cambria Math" w:eastAsia="Cambria Math" w:hAnsi="Cambria Math" w:cs="Cambria Math"/>
          <w:color w:val="00000A"/>
          <w:sz w:val="28"/>
          <w:vertAlign w:val="subscript"/>
        </w:rPr>
        <w:t>12</w:t>
      </w:r>
      <w:r>
        <w:rPr>
          <w:rFonts w:ascii="Times New Roman" w:eastAsia="Times New Roman" w:hAnsi="Times New Roman" w:cs="Times New Roman"/>
          <w:color w:val="00000A"/>
          <w:sz w:val="28"/>
        </w:rPr>
        <w:t xml:space="preserve">, создающая момент </w:t>
      </w:r>
      <w:r>
        <w:rPr>
          <w:rFonts w:ascii="Cambria Math" w:eastAsia="Cambria Math" w:hAnsi="Cambria Math" w:cs="Cambria Math"/>
          <w:color w:val="00000A"/>
          <w:sz w:val="28"/>
        </w:rPr>
        <w:t>𝑀</w:t>
      </w:r>
      <w:r>
        <w:rPr>
          <w:rFonts w:ascii="Cambria Math" w:eastAsia="Cambria Math" w:hAnsi="Cambria Math" w:cs="Cambria Math"/>
          <w:color w:val="00000A"/>
          <w:sz w:val="28"/>
          <w:vertAlign w:val="subscript"/>
        </w:rPr>
        <w:t>𝐾</w:t>
      </w:r>
      <w:r>
        <w:rPr>
          <w:rFonts w:ascii="Times New Roman" w:eastAsia="Times New Roman" w:hAnsi="Times New Roman" w:cs="Times New Roman"/>
          <w:color w:val="00000A"/>
          <w:sz w:val="28"/>
        </w:rPr>
        <w:t xml:space="preserve"> относительно точки </w:t>
      </w:r>
      <w:r>
        <w:rPr>
          <w:rFonts w:ascii="Times New Roman" w:eastAsia="Times New Roman" w:hAnsi="Times New Roman" w:cs="Times New Roman"/>
          <w:i/>
          <w:color w:val="00000A"/>
          <w:sz w:val="28"/>
        </w:rPr>
        <w:t>K</w:t>
      </w:r>
      <w:r>
        <w:rPr>
          <w:rFonts w:ascii="Times New Roman" w:eastAsia="Times New Roman" w:hAnsi="Times New Roman" w:cs="Times New Roman"/>
          <w:color w:val="00000A"/>
          <w:sz w:val="28"/>
        </w:rPr>
        <w:t xml:space="preserve">. Для обеспечения равновесия звена 2 в виде суммы моментов </w:t>
      </w:r>
      <w:r>
        <w:rPr>
          <w:rFonts w:ascii="Cambria Math" w:eastAsia="Cambria Math" w:hAnsi="Cambria Math" w:cs="Cambria Math"/>
          <w:sz w:val="24"/>
        </w:rPr>
        <w:t xml:space="preserve">∑ </w:t>
      </w:r>
      <w:r>
        <w:rPr>
          <w:rFonts w:ascii="Cambria Math" w:eastAsia="Cambria Math" w:hAnsi="Cambria Math" w:cs="Cambria Math"/>
          <w:color w:val="00000A"/>
          <w:sz w:val="28"/>
        </w:rPr>
        <w:t>(</w:t>
      </w:r>
      <w:r>
        <w:rPr>
          <w:rFonts w:ascii="Cambria Math" w:eastAsia="Cambria Math" w:hAnsi="Cambria Math" w:cs="Cambria Math"/>
          <w:color w:val="00000A"/>
          <w:sz w:val="28"/>
        </w:rPr>
        <w:t>𝑀</w:t>
      </w:r>
      <w:r>
        <w:rPr>
          <w:rFonts w:ascii="Cambria Math" w:eastAsia="Cambria Math" w:hAnsi="Cambria Math" w:cs="Cambria Math"/>
          <w:color w:val="00000A"/>
          <w:sz w:val="43"/>
          <w:vertAlign w:val="superscript"/>
        </w:rPr>
        <w:t>)</w:t>
      </w:r>
      <w:r>
        <w:rPr>
          <w:rFonts w:ascii="Cambria Math" w:eastAsia="Cambria Math" w:hAnsi="Cambria Math" w:cs="Cambria Math"/>
          <w:color w:val="00000A"/>
          <w:sz w:val="28"/>
          <w:vertAlign w:val="subscript"/>
        </w:rPr>
        <w:t xml:space="preserve">2 </w:t>
      </w:r>
      <w:r>
        <w:rPr>
          <w:rFonts w:ascii="Cambria Math" w:eastAsia="Cambria Math" w:hAnsi="Cambria Math" w:cs="Cambria Math"/>
          <w:color w:val="00000A"/>
          <w:sz w:val="28"/>
        </w:rPr>
        <w:t>=0</w:t>
      </w:r>
      <w:r>
        <w:rPr>
          <w:rFonts w:ascii="Times New Roman" w:eastAsia="Times New Roman" w:hAnsi="Times New Roman" w:cs="Times New Roman"/>
          <w:color w:val="00000A"/>
          <w:sz w:val="28"/>
        </w:rPr>
        <w:t xml:space="preserve">, или </w:t>
      </w:r>
      <w:r>
        <w:rPr>
          <w:rFonts w:ascii="Cambria Math" w:eastAsia="Cambria Math" w:hAnsi="Cambria Math" w:cs="Cambria Math"/>
          <w:color w:val="00000A"/>
          <w:sz w:val="28"/>
        </w:rPr>
        <w:t>𝑀</w:t>
      </w:r>
      <w:r>
        <w:rPr>
          <w:rFonts w:ascii="Cambria Math" w:eastAsia="Cambria Math" w:hAnsi="Cambria Math" w:cs="Cambria Math"/>
          <w:color w:val="00000A"/>
          <w:sz w:val="28"/>
          <w:vertAlign w:val="subscript"/>
        </w:rPr>
        <w:t xml:space="preserve">2 </w:t>
      </w:r>
      <w:r>
        <w:rPr>
          <w:rFonts w:ascii="Cambria Math" w:eastAsia="Cambria Math" w:hAnsi="Cambria Math" w:cs="Cambria Math"/>
          <w:color w:val="00000A"/>
          <w:sz w:val="28"/>
        </w:rPr>
        <w:t>−</w:t>
      </w:r>
      <w:r>
        <w:rPr>
          <w:rFonts w:ascii="Cambria Math" w:eastAsia="Cambria Math" w:hAnsi="Cambria Math" w:cs="Cambria Math"/>
          <w:color w:val="00000A"/>
          <w:sz w:val="28"/>
        </w:rPr>
        <w:t>𝑀</w:t>
      </w:r>
      <w:r>
        <w:rPr>
          <w:rFonts w:ascii="Cambria Math" w:eastAsia="Cambria Math" w:hAnsi="Cambria Math" w:cs="Cambria Math"/>
          <w:color w:val="00000A"/>
          <w:sz w:val="28"/>
          <w:vertAlign w:val="subscript"/>
        </w:rPr>
        <w:t>𝑅</w:t>
      </w:r>
      <w:r>
        <w:rPr>
          <w:rFonts w:ascii="Cambria Math" w:eastAsia="Cambria Math" w:hAnsi="Cambria Math" w:cs="Cambria Math"/>
          <w:color w:val="00000A"/>
          <w:sz w:val="28"/>
          <w:vertAlign w:val="subscript"/>
        </w:rPr>
        <w:t xml:space="preserve">2 </w:t>
      </w:r>
      <w:r>
        <w:rPr>
          <w:rFonts w:ascii="Cambria Math" w:eastAsia="Cambria Math" w:hAnsi="Cambria Math" w:cs="Cambria Math"/>
          <w:color w:val="00000A"/>
          <w:sz w:val="28"/>
        </w:rPr>
        <w:t>−</w:t>
      </w:r>
      <w:r>
        <w:rPr>
          <w:rFonts w:ascii="Cambria Math" w:eastAsia="Cambria Math" w:hAnsi="Cambria Math" w:cs="Cambria Math"/>
          <w:color w:val="00000A"/>
          <w:sz w:val="28"/>
        </w:rPr>
        <w:t xml:space="preserve"> </w:t>
      </w:r>
      <w:r>
        <w:rPr>
          <w:rFonts w:ascii="Cambria Math" w:eastAsia="Cambria Math" w:hAnsi="Cambria Math" w:cs="Cambria Math"/>
          <w:color w:val="00000A"/>
          <w:sz w:val="28"/>
        </w:rPr>
        <w:t>𝑀</w:t>
      </w:r>
      <w:r>
        <w:rPr>
          <w:rFonts w:ascii="Cambria Math" w:eastAsia="Cambria Math" w:hAnsi="Cambria Math" w:cs="Cambria Math"/>
          <w:color w:val="00000A"/>
          <w:sz w:val="28"/>
          <w:vertAlign w:val="subscript"/>
        </w:rPr>
        <w:t>𝐾</w:t>
      </w:r>
      <w:r>
        <w:rPr>
          <w:rFonts w:ascii="Cambria Math" w:eastAsia="Cambria Math" w:hAnsi="Cambria Math" w:cs="Cambria Math"/>
          <w:color w:val="00000A"/>
          <w:sz w:val="28"/>
          <w:vertAlign w:val="subscript"/>
        </w:rPr>
        <w:t xml:space="preserve"> </w:t>
      </w:r>
      <w:r>
        <w:rPr>
          <w:rFonts w:ascii="Cambria Math" w:eastAsia="Cambria Math" w:hAnsi="Cambria Math" w:cs="Cambria Math"/>
          <w:color w:val="00000A"/>
          <w:sz w:val="28"/>
        </w:rPr>
        <w:t>= 0</w:t>
      </w:r>
      <w:r>
        <w:rPr>
          <w:rFonts w:ascii="Times New Roman" w:eastAsia="Times New Roman" w:hAnsi="Times New Roman" w:cs="Times New Roman"/>
          <w:color w:val="00000A"/>
          <w:sz w:val="28"/>
        </w:rPr>
        <w:t xml:space="preserve"> относительно точки </w:t>
      </w:r>
      <w:r>
        <w:rPr>
          <w:rFonts w:ascii="Times New Roman" w:eastAsia="Times New Roman" w:hAnsi="Times New Roman" w:cs="Times New Roman"/>
          <w:i/>
          <w:color w:val="00000A"/>
          <w:sz w:val="28"/>
        </w:rPr>
        <w:t>K</w:t>
      </w:r>
      <w:r>
        <w:rPr>
          <w:rFonts w:ascii="Times New Roman" w:eastAsia="Times New Roman" w:hAnsi="Times New Roman" w:cs="Times New Roman"/>
          <w:color w:val="00000A"/>
          <w:sz w:val="28"/>
        </w:rPr>
        <w:t xml:space="preserve"> необходимо заменить действие реакции </w:t>
      </w:r>
      <w:r>
        <w:rPr>
          <w:rFonts w:ascii="Cambria Math" w:eastAsia="Cambria Math" w:hAnsi="Cambria Math" w:cs="Cambria Math"/>
          <w:color w:val="00000A"/>
          <w:sz w:val="28"/>
        </w:rPr>
        <w:t>𝑅</w:t>
      </w:r>
      <w:r>
        <w:rPr>
          <w:rFonts w:ascii="Cambria Math" w:eastAsia="Cambria Math" w:hAnsi="Cambria Math" w:cs="Cambria Math"/>
          <w:color w:val="00000A"/>
          <w:sz w:val="28"/>
          <w:vertAlign w:val="subscript"/>
        </w:rPr>
        <w:t>02</w:t>
      </w:r>
      <w:r>
        <w:rPr>
          <w:rFonts w:ascii="Times New Roman" w:eastAsia="Times New Roman" w:hAnsi="Times New Roman" w:cs="Times New Roman"/>
          <w:color w:val="00000A"/>
          <w:sz w:val="28"/>
        </w:rPr>
        <w:t xml:space="preserve"> моментом трения </w:t>
      </w:r>
      <w:r>
        <w:rPr>
          <w:rFonts w:ascii="Cambria Math" w:eastAsia="Cambria Math" w:hAnsi="Cambria Math" w:cs="Cambria Math"/>
          <w:color w:val="00000A"/>
          <w:sz w:val="28"/>
        </w:rPr>
        <w:t>𝑀</w:t>
      </w:r>
      <w:r>
        <w:rPr>
          <w:rFonts w:ascii="Cambria Math" w:eastAsia="Cambria Math" w:hAnsi="Cambria Math" w:cs="Cambria Math"/>
          <w:color w:val="00000A"/>
          <w:sz w:val="28"/>
          <w:vertAlign w:val="subscript"/>
        </w:rPr>
        <w:t>𝑓</w:t>
      </w:r>
      <w:r>
        <w:rPr>
          <w:rFonts w:ascii="Cambria Math" w:eastAsia="Cambria Math" w:hAnsi="Cambria Math" w:cs="Cambria Math"/>
          <w:color w:val="00000A"/>
          <w:sz w:val="28"/>
          <w:vertAlign w:val="subscript"/>
        </w:rPr>
        <w:t xml:space="preserve">2 </w:t>
      </w:r>
      <w:r>
        <w:rPr>
          <w:rFonts w:ascii="Cambria Math" w:eastAsia="Cambria Math" w:hAnsi="Cambria Math" w:cs="Cambria Math"/>
          <w:color w:val="00000A"/>
          <w:sz w:val="28"/>
        </w:rPr>
        <w:t xml:space="preserve">= </w:t>
      </w:r>
      <w:r>
        <w:rPr>
          <w:rFonts w:ascii="Cambria Math" w:eastAsia="Cambria Math" w:hAnsi="Cambria Math" w:cs="Cambria Math"/>
          <w:color w:val="00000A"/>
          <w:sz w:val="28"/>
        </w:rPr>
        <w:t>𝑀</w:t>
      </w:r>
      <w:r>
        <w:rPr>
          <w:rFonts w:ascii="Cambria Math" w:eastAsia="Cambria Math" w:hAnsi="Cambria Math" w:cs="Cambria Math"/>
          <w:color w:val="00000A"/>
          <w:sz w:val="28"/>
          <w:vertAlign w:val="subscript"/>
        </w:rPr>
        <w:t>𝐾</w:t>
      </w:r>
      <w:r>
        <w:rPr>
          <w:rFonts w:ascii="Times New Roman" w:eastAsia="Times New Roman" w:hAnsi="Times New Roman" w:cs="Times New Roman"/>
          <w:color w:val="00000A"/>
          <w:sz w:val="28"/>
        </w:rPr>
        <w:t xml:space="preserve">, передаваемым фрикционной муфтой 4 от колеса 3 на колесо 2’: </w:t>
      </w:r>
    </w:p>
    <w:p w:rsidR="0052701D" w:rsidRDefault="00D40929">
      <w:pPr>
        <w:tabs>
          <w:tab w:val="center" w:pos="5348"/>
          <w:tab w:val="center" w:pos="7203"/>
          <w:tab w:val="center" w:pos="8543"/>
        </w:tabs>
        <w:spacing w:after="100"/>
      </w:pPr>
      <w:r>
        <w:tab/>
      </w:r>
      <w:r>
        <w:rPr>
          <w:rFonts w:ascii="Cambria Math" w:eastAsia="Cambria Math" w:hAnsi="Cambria Math" w:cs="Cambria Math"/>
          <w:color w:val="00000A"/>
          <w:sz w:val="28"/>
        </w:rPr>
        <w:t>𝑀</w:t>
      </w:r>
      <w:r>
        <w:rPr>
          <w:rFonts w:ascii="Cambria Math" w:eastAsia="Cambria Math" w:hAnsi="Cambria Math" w:cs="Cambria Math"/>
          <w:color w:val="00000A"/>
          <w:sz w:val="28"/>
          <w:vertAlign w:val="subscript"/>
        </w:rPr>
        <w:t>𝑓</w:t>
      </w:r>
      <w:r>
        <w:rPr>
          <w:rFonts w:ascii="Cambria Math" w:eastAsia="Cambria Math" w:hAnsi="Cambria Math" w:cs="Cambria Math"/>
          <w:color w:val="00000A"/>
          <w:sz w:val="28"/>
          <w:vertAlign w:val="subscript"/>
        </w:rPr>
        <w:t xml:space="preserve">2 </w:t>
      </w:r>
      <w:r>
        <w:rPr>
          <w:rFonts w:ascii="Cambria Math" w:eastAsia="Cambria Math" w:hAnsi="Cambria Math" w:cs="Cambria Math"/>
          <w:color w:val="00000A"/>
          <w:sz w:val="28"/>
        </w:rPr>
        <w:t xml:space="preserve">= </w:t>
      </w:r>
      <w:r>
        <w:rPr>
          <w:rFonts w:ascii="Cambria Math" w:eastAsia="Cambria Math" w:hAnsi="Cambria Math" w:cs="Cambria Math"/>
          <w:color w:val="00000A"/>
          <w:sz w:val="28"/>
        </w:rPr>
        <w:t>𝑀</w:t>
      </w:r>
      <w:r>
        <w:rPr>
          <w:rFonts w:ascii="Cambria Math" w:eastAsia="Cambria Math" w:hAnsi="Cambria Math" w:cs="Cambria Math"/>
          <w:color w:val="00000A"/>
          <w:sz w:val="28"/>
          <w:vertAlign w:val="subscript"/>
        </w:rPr>
        <w:t>𝑅</w:t>
      </w:r>
      <w:r>
        <w:rPr>
          <w:rFonts w:ascii="Cambria Math" w:eastAsia="Cambria Math" w:hAnsi="Cambria Math" w:cs="Cambria Math"/>
          <w:color w:val="00000A"/>
          <w:sz w:val="28"/>
          <w:vertAlign w:val="subscript"/>
        </w:rPr>
        <w:t xml:space="preserve">2 </w:t>
      </w:r>
      <w:r>
        <w:rPr>
          <w:rFonts w:ascii="Cambria Math" w:eastAsia="Cambria Math" w:hAnsi="Cambria Math" w:cs="Cambria Math"/>
          <w:color w:val="00000A"/>
          <w:sz w:val="28"/>
        </w:rPr>
        <w:t>−</w:t>
      </w:r>
      <w:r>
        <w:rPr>
          <w:rFonts w:ascii="Cambria Math" w:eastAsia="Cambria Math" w:hAnsi="Cambria Math" w:cs="Cambria Math"/>
          <w:color w:val="00000A"/>
          <w:sz w:val="28"/>
        </w:rPr>
        <w:t>𝑀</w:t>
      </w:r>
      <w:r>
        <w:rPr>
          <w:rFonts w:ascii="Cambria Math" w:eastAsia="Cambria Math" w:hAnsi="Cambria Math" w:cs="Cambria Math"/>
          <w:color w:val="00000A"/>
          <w:sz w:val="28"/>
          <w:vertAlign w:val="subscript"/>
        </w:rPr>
        <w:t>2</w:t>
      </w:r>
      <w:r>
        <w:rPr>
          <w:rFonts w:ascii="Times New Roman" w:eastAsia="Times New Roman" w:hAnsi="Times New Roman" w:cs="Times New Roman"/>
          <w:color w:val="00000A"/>
          <w:sz w:val="28"/>
        </w:rPr>
        <w:t xml:space="preserve">.  </w:t>
      </w:r>
      <w:r>
        <w:rPr>
          <w:rFonts w:ascii="Times New Roman" w:eastAsia="Times New Roman" w:hAnsi="Times New Roman" w:cs="Times New Roman"/>
          <w:color w:val="00000A"/>
          <w:sz w:val="28"/>
        </w:rPr>
        <w:tab/>
        <w:t xml:space="preserve"> </w:t>
      </w:r>
      <w:r>
        <w:rPr>
          <w:rFonts w:ascii="Times New Roman" w:eastAsia="Times New Roman" w:hAnsi="Times New Roman" w:cs="Times New Roman"/>
          <w:color w:val="00000A"/>
          <w:sz w:val="28"/>
        </w:rPr>
        <w:tab/>
        <w:t xml:space="preserve">          (2.4) </w:t>
      </w:r>
    </w:p>
    <w:p w:rsidR="0052701D" w:rsidRDefault="00D40929">
      <w:pPr>
        <w:spacing w:after="4" w:line="322" w:lineRule="auto"/>
        <w:ind w:left="-15" w:right="37" w:firstLine="711"/>
        <w:jc w:val="both"/>
      </w:pPr>
      <w:r>
        <w:rPr>
          <w:rFonts w:ascii="Times New Roman" w:eastAsia="Times New Roman" w:hAnsi="Times New Roman" w:cs="Times New Roman"/>
          <w:color w:val="00000A"/>
          <w:sz w:val="28"/>
        </w:rPr>
        <w:t>Фрикционный момент муфты</w:t>
      </w:r>
      <w:r>
        <w:rPr>
          <w:rFonts w:ascii="Times New Roman" w:eastAsia="Times New Roman" w:hAnsi="Times New Roman" w:cs="Times New Roman"/>
          <w:color w:val="00000A"/>
          <w:sz w:val="28"/>
        </w:rPr>
        <w:t xml:space="preserve"> </w:t>
      </w:r>
      <w:r>
        <w:rPr>
          <w:rFonts w:ascii="Cambria Math" w:eastAsia="Cambria Math" w:hAnsi="Cambria Math" w:cs="Cambria Math"/>
          <w:color w:val="00000A"/>
          <w:sz w:val="28"/>
        </w:rPr>
        <w:t>𝑀</w:t>
      </w:r>
      <w:r>
        <w:rPr>
          <w:rFonts w:ascii="Cambria Math" w:eastAsia="Cambria Math" w:hAnsi="Cambria Math" w:cs="Cambria Math"/>
          <w:color w:val="00000A"/>
          <w:sz w:val="28"/>
          <w:vertAlign w:val="subscript"/>
        </w:rPr>
        <w:t>𝑓</w:t>
      </w:r>
      <w:r>
        <w:rPr>
          <w:rFonts w:ascii="Cambria Math" w:eastAsia="Cambria Math" w:hAnsi="Cambria Math" w:cs="Cambria Math"/>
          <w:color w:val="00000A"/>
          <w:sz w:val="28"/>
          <w:vertAlign w:val="subscript"/>
        </w:rPr>
        <w:t>3</w:t>
      </w:r>
      <w:r>
        <w:rPr>
          <w:rFonts w:ascii="Times New Roman" w:eastAsia="Times New Roman" w:hAnsi="Times New Roman" w:cs="Times New Roman"/>
          <w:color w:val="00000A"/>
          <w:sz w:val="28"/>
        </w:rPr>
        <w:t xml:space="preserve"> на звене 3 выражается через параметры муфты:  </w:t>
      </w:r>
    </w:p>
    <w:p w:rsidR="0052701D" w:rsidRDefault="00D40929">
      <w:pPr>
        <w:tabs>
          <w:tab w:val="center" w:pos="5029"/>
          <w:tab w:val="center" w:pos="6482"/>
          <w:tab w:val="center" w:pos="7203"/>
          <w:tab w:val="center" w:pos="8543"/>
        </w:tabs>
        <w:spacing w:after="85"/>
      </w:pPr>
      <w:r>
        <w:tab/>
      </w:r>
      <w:r>
        <w:rPr>
          <w:rFonts w:ascii="Cambria Math" w:eastAsia="Cambria Math" w:hAnsi="Cambria Math" w:cs="Cambria Math"/>
          <w:color w:val="00000A"/>
          <w:sz w:val="28"/>
        </w:rPr>
        <w:t>𝑀</w:t>
      </w:r>
      <w:r>
        <w:rPr>
          <w:rFonts w:ascii="Cambria Math" w:eastAsia="Cambria Math" w:hAnsi="Cambria Math" w:cs="Cambria Math"/>
          <w:color w:val="00000A"/>
          <w:sz w:val="28"/>
          <w:vertAlign w:val="subscript"/>
        </w:rPr>
        <w:t>𝑓</w:t>
      </w:r>
      <w:r>
        <w:rPr>
          <w:rFonts w:ascii="Cambria Math" w:eastAsia="Cambria Math" w:hAnsi="Cambria Math" w:cs="Cambria Math"/>
          <w:color w:val="00000A"/>
          <w:sz w:val="28"/>
          <w:vertAlign w:val="subscript"/>
        </w:rPr>
        <w:t xml:space="preserve">3 </w:t>
      </w:r>
      <w:r>
        <w:rPr>
          <w:rFonts w:ascii="Cambria Math" w:eastAsia="Cambria Math" w:hAnsi="Cambria Math" w:cs="Cambria Math"/>
          <w:color w:val="00000A"/>
          <w:sz w:val="28"/>
        </w:rPr>
        <w:t xml:space="preserve">= </w:t>
      </w:r>
      <w:r>
        <w:rPr>
          <w:rFonts w:ascii="Cambria Math" w:eastAsia="Cambria Math" w:hAnsi="Cambria Math" w:cs="Cambria Math"/>
          <w:color w:val="00000A"/>
          <w:sz w:val="28"/>
        </w:rPr>
        <w:t>𝜌𝑁𝑓</w:t>
      </w:r>
      <w:r>
        <w:rPr>
          <w:rFonts w:ascii="Times New Roman" w:eastAsia="Times New Roman" w:hAnsi="Times New Roman" w:cs="Times New Roman"/>
          <w:color w:val="00000A"/>
          <w:sz w:val="28"/>
        </w:rPr>
        <w:t xml:space="preserve">,  </w:t>
      </w:r>
      <w:r>
        <w:rPr>
          <w:rFonts w:ascii="Times New Roman" w:eastAsia="Times New Roman" w:hAnsi="Times New Roman" w:cs="Times New Roman"/>
          <w:color w:val="00000A"/>
          <w:sz w:val="28"/>
        </w:rPr>
        <w:tab/>
        <w:t xml:space="preserve"> </w:t>
      </w:r>
      <w:r>
        <w:rPr>
          <w:rFonts w:ascii="Times New Roman" w:eastAsia="Times New Roman" w:hAnsi="Times New Roman" w:cs="Times New Roman"/>
          <w:color w:val="00000A"/>
          <w:sz w:val="28"/>
        </w:rPr>
        <w:tab/>
        <w:t xml:space="preserve"> </w:t>
      </w:r>
      <w:r>
        <w:rPr>
          <w:rFonts w:ascii="Times New Roman" w:eastAsia="Times New Roman" w:hAnsi="Times New Roman" w:cs="Times New Roman"/>
          <w:color w:val="00000A"/>
          <w:sz w:val="28"/>
        </w:rPr>
        <w:tab/>
        <w:t xml:space="preserve">          (2.5) </w:t>
      </w:r>
    </w:p>
    <w:p w:rsidR="0052701D" w:rsidRDefault="00D40929">
      <w:pPr>
        <w:spacing w:after="26" w:line="257" w:lineRule="auto"/>
        <w:ind w:left="-15" w:right="1121"/>
        <w:jc w:val="both"/>
      </w:pPr>
      <w:r>
        <w:rPr>
          <w:rFonts w:ascii="Times New Roman" w:eastAsia="Times New Roman" w:hAnsi="Times New Roman" w:cs="Times New Roman"/>
          <w:color w:val="00000A"/>
          <w:sz w:val="28"/>
        </w:rPr>
        <w:t xml:space="preserve">где </w:t>
      </w:r>
      <w:r>
        <w:rPr>
          <w:rFonts w:ascii="Times New Roman" w:eastAsia="Times New Roman" w:hAnsi="Times New Roman" w:cs="Times New Roman"/>
          <w:i/>
          <w:color w:val="00000A"/>
          <w:sz w:val="28"/>
        </w:rPr>
        <w:t>N</w:t>
      </w:r>
      <w:r>
        <w:rPr>
          <w:rFonts w:ascii="Times New Roman" w:eastAsia="Times New Roman" w:hAnsi="Times New Roman" w:cs="Times New Roman"/>
          <w:color w:val="00000A"/>
          <w:sz w:val="28"/>
        </w:rPr>
        <w:t xml:space="preserve"> – нормальное давление, создаваемое регулировочным винтом 6; </w:t>
      </w:r>
      <w:r>
        <w:rPr>
          <w:rFonts w:ascii="Times New Roman" w:eastAsia="Times New Roman" w:hAnsi="Times New Roman" w:cs="Times New Roman"/>
          <w:i/>
          <w:color w:val="00000A"/>
          <w:sz w:val="28"/>
        </w:rPr>
        <w:t>f</w:t>
      </w:r>
      <w:r>
        <w:rPr>
          <w:rFonts w:ascii="Times New Roman" w:eastAsia="Times New Roman" w:hAnsi="Times New Roman" w:cs="Times New Roman"/>
          <w:color w:val="00000A"/>
          <w:sz w:val="28"/>
        </w:rPr>
        <w:t xml:space="preserve"> – коэффициент трения; </w:t>
      </w:r>
    </w:p>
    <w:p w:rsidR="0052701D" w:rsidRDefault="00D40929">
      <w:pPr>
        <w:spacing w:after="30" w:line="257" w:lineRule="auto"/>
        <w:ind w:left="-15" w:right="37"/>
        <w:jc w:val="both"/>
      </w:pPr>
      <w:r>
        <w:rPr>
          <w:rFonts w:ascii="Cambria Math" w:eastAsia="Cambria Math" w:hAnsi="Cambria Math" w:cs="Cambria Math"/>
          <w:sz w:val="24"/>
        </w:rPr>
        <w:t>𝜌</w:t>
      </w:r>
      <w:r>
        <w:rPr>
          <w:rFonts w:ascii="Times New Roman" w:eastAsia="Times New Roman" w:hAnsi="Times New Roman" w:cs="Times New Roman"/>
          <w:color w:val="00000A"/>
          <w:sz w:val="28"/>
        </w:rPr>
        <w:t xml:space="preserve"> – радиус цапфы во фрикционном шарнире. </w:t>
      </w:r>
    </w:p>
    <w:p w:rsidR="0052701D" w:rsidRDefault="00D40929">
      <w:pPr>
        <w:spacing w:after="102" w:line="257" w:lineRule="auto"/>
        <w:ind w:left="-15" w:right="37" w:firstLine="711"/>
        <w:jc w:val="both"/>
      </w:pPr>
      <w:r>
        <w:rPr>
          <w:rFonts w:ascii="Times New Roman" w:eastAsia="Times New Roman" w:hAnsi="Times New Roman" w:cs="Times New Roman"/>
          <w:color w:val="00000A"/>
          <w:sz w:val="28"/>
        </w:rPr>
        <w:t xml:space="preserve"> Этот момент через передачу </w:t>
      </w:r>
      <w:r>
        <w:rPr>
          <w:rFonts w:ascii="Times New Roman" w:eastAsia="Times New Roman" w:hAnsi="Times New Roman" w:cs="Times New Roman"/>
          <w:color w:val="00000A"/>
          <w:sz w:val="28"/>
        </w:rPr>
        <w:t xml:space="preserve">3-2’ передается на колесо 2’ в виде фрикционного момента на колесе 2’ </w:t>
      </w:r>
      <w:r>
        <w:rPr>
          <w:rFonts w:ascii="Cambria Math" w:eastAsia="Cambria Math" w:hAnsi="Cambria Math" w:cs="Cambria Math"/>
          <w:color w:val="00000A"/>
          <w:sz w:val="28"/>
        </w:rPr>
        <w:t>𝑀</w:t>
      </w:r>
      <w:r>
        <w:rPr>
          <w:rFonts w:ascii="Cambria Math" w:eastAsia="Cambria Math" w:hAnsi="Cambria Math" w:cs="Cambria Math"/>
          <w:color w:val="00000A"/>
          <w:sz w:val="28"/>
          <w:vertAlign w:val="subscript"/>
        </w:rPr>
        <w:t>𝑓</w:t>
      </w:r>
      <w:r>
        <w:rPr>
          <w:rFonts w:ascii="Cambria Math" w:eastAsia="Cambria Math" w:hAnsi="Cambria Math" w:cs="Cambria Math"/>
          <w:color w:val="00000A"/>
          <w:sz w:val="28"/>
          <w:vertAlign w:val="subscript"/>
        </w:rPr>
        <w:t>2</w:t>
      </w:r>
      <w:r>
        <w:rPr>
          <w:rFonts w:ascii="Times New Roman" w:eastAsia="Times New Roman" w:hAnsi="Times New Roman" w:cs="Times New Roman"/>
          <w:color w:val="00000A"/>
          <w:sz w:val="28"/>
        </w:rPr>
        <w:t xml:space="preserve">:  </w:t>
      </w:r>
    </w:p>
    <w:p w:rsidR="0052701D" w:rsidRDefault="00D40929">
      <w:pPr>
        <w:tabs>
          <w:tab w:val="center" w:pos="5195"/>
          <w:tab w:val="center" w:pos="6482"/>
          <w:tab w:val="center" w:pos="7203"/>
          <w:tab w:val="center" w:pos="8543"/>
        </w:tabs>
        <w:spacing w:after="91"/>
      </w:pPr>
      <w:r>
        <w:lastRenderedPageBreak/>
        <w:tab/>
      </w:r>
      <w:r>
        <w:rPr>
          <w:rFonts w:ascii="Cambria Math" w:eastAsia="Cambria Math" w:hAnsi="Cambria Math" w:cs="Cambria Math"/>
          <w:color w:val="00000A"/>
          <w:sz w:val="28"/>
        </w:rPr>
        <w:t>𝑀</w:t>
      </w:r>
      <w:r>
        <w:rPr>
          <w:rFonts w:ascii="Cambria Math" w:eastAsia="Cambria Math" w:hAnsi="Cambria Math" w:cs="Cambria Math"/>
          <w:color w:val="00000A"/>
          <w:sz w:val="28"/>
          <w:vertAlign w:val="subscript"/>
        </w:rPr>
        <w:t>𝑓</w:t>
      </w:r>
      <w:r>
        <w:rPr>
          <w:rFonts w:ascii="Cambria Math" w:eastAsia="Cambria Math" w:hAnsi="Cambria Math" w:cs="Cambria Math"/>
          <w:color w:val="00000A"/>
          <w:sz w:val="28"/>
          <w:vertAlign w:val="subscript"/>
        </w:rPr>
        <w:t xml:space="preserve">2 </w:t>
      </w:r>
      <w:r>
        <w:rPr>
          <w:rFonts w:ascii="Cambria Math" w:eastAsia="Cambria Math" w:hAnsi="Cambria Math" w:cs="Cambria Math"/>
          <w:color w:val="00000A"/>
          <w:sz w:val="28"/>
        </w:rPr>
        <w:t xml:space="preserve">= </w:t>
      </w:r>
      <w:r>
        <w:rPr>
          <w:rFonts w:ascii="Cambria Math" w:eastAsia="Cambria Math" w:hAnsi="Cambria Math" w:cs="Cambria Math"/>
          <w:color w:val="00000A"/>
          <w:sz w:val="28"/>
        </w:rPr>
        <w:t>𝑀</w:t>
      </w:r>
      <w:r>
        <w:rPr>
          <w:rFonts w:ascii="Cambria Math" w:eastAsia="Cambria Math" w:hAnsi="Cambria Math" w:cs="Cambria Math"/>
          <w:color w:val="00000A"/>
          <w:sz w:val="28"/>
          <w:vertAlign w:val="subscript"/>
        </w:rPr>
        <w:t>𝑓</w:t>
      </w:r>
      <w:r>
        <w:rPr>
          <w:rFonts w:ascii="Cambria Math" w:eastAsia="Cambria Math" w:hAnsi="Cambria Math" w:cs="Cambria Math"/>
          <w:color w:val="00000A"/>
          <w:sz w:val="28"/>
          <w:vertAlign w:val="subscript"/>
        </w:rPr>
        <w:t>3</w:t>
      </w:r>
      <w:r>
        <w:rPr>
          <w:rFonts w:ascii="Cambria Math" w:eastAsia="Cambria Math" w:hAnsi="Cambria Math" w:cs="Cambria Math"/>
          <w:color w:val="00000A"/>
          <w:sz w:val="28"/>
        </w:rPr>
        <w:t>𝑢</w:t>
      </w:r>
      <w:r>
        <w:rPr>
          <w:rFonts w:ascii="Cambria Math" w:eastAsia="Cambria Math" w:hAnsi="Cambria Math" w:cs="Cambria Math"/>
          <w:color w:val="00000A"/>
          <w:sz w:val="28"/>
          <w:vertAlign w:val="subscript"/>
        </w:rPr>
        <w:t>32</w:t>
      </w:r>
      <w:r>
        <w:rPr>
          <w:rFonts w:ascii="Cambria Math" w:eastAsia="Cambria Math" w:hAnsi="Cambria Math" w:cs="Cambria Math"/>
          <w:color w:val="00000A"/>
          <w:sz w:val="28"/>
          <w:vertAlign w:val="superscript"/>
        </w:rPr>
        <w:t>𝐻</w:t>
      </w:r>
      <w:r>
        <w:rPr>
          <w:rFonts w:ascii="Cambria Math" w:eastAsia="Cambria Math" w:hAnsi="Cambria Math" w:cs="Cambria Math"/>
          <w:color w:val="00000A"/>
          <w:sz w:val="28"/>
          <w:vertAlign w:val="superscript"/>
        </w:rPr>
        <w:t xml:space="preserve"> </w:t>
      </w:r>
      <w:r>
        <w:rPr>
          <w:rFonts w:ascii="Times New Roman" w:eastAsia="Times New Roman" w:hAnsi="Times New Roman" w:cs="Times New Roman"/>
          <w:color w:val="00000A"/>
          <w:sz w:val="28"/>
        </w:rPr>
        <w:t xml:space="preserve">. </w:t>
      </w:r>
      <w:r>
        <w:rPr>
          <w:rFonts w:ascii="Times New Roman" w:eastAsia="Times New Roman" w:hAnsi="Times New Roman" w:cs="Times New Roman"/>
          <w:color w:val="00000A"/>
          <w:sz w:val="28"/>
        </w:rPr>
        <w:tab/>
        <w:t xml:space="preserve"> </w:t>
      </w:r>
      <w:r>
        <w:rPr>
          <w:rFonts w:ascii="Times New Roman" w:eastAsia="Times New Roman" w:hAnsi="Times New Roman" w:cs="Times New Roman"/>
          <w:color w:val="00000A"/>
          <w:sz w:val="28"/>
        </w:rPr>
        <w:tab/>
        <w:t xml:space="preserve"> </w:t>
      </w:r>
      <w:r>
        <w:rPr>
          <w:rFonts w:ascii="Times New Roman" w:eastAsia="Times New Roman" w:hAnsi="Times New Roman" w:cs="Times New Roman"/>
          <w:color w:val="00000A"/>
          <w:sz w:val="28"/>
        </w:rPr>
        <w:tab/>
        <w:t xml:space="preserve">          (2.6) </w:t>
      </w:r>
    </w:p>
    <w:p w:rsidR="0052701D" w:rsidRDefault="00D40929">
      <w:pPr>
        <w:spacing w:after="45" w:line="257" w:lineRule="auto"/>
        <w:ind w:left="721" w:right="37"/>
        <w:jc w:val="both"/>
      </w:pPr>
      <w:r>
        <w:rPr>
          <w:rFonts w:ascii="Times New Roman" w:eastAsia="Times New Roman" w:hAnsi="Times New Roman" w:cs="Times New Roman"/>
          <w:color w:val="00000A"/>
          <w:sz w:val="28"/>
        </w:rPr>
        <w:t xml:space="preserve">Из формул (2.4) и (2.6) получаем: </w:t>
      </w:r>
    </w:p>
    <w:p w:rsidR="0052701D" w:rsidRDefault="00D40929">
      <w:pPr>
        <w:tabs>
          <w:tab w:val="center" w:pos="5231"/>
          <w:tab w:val="center" w:pos="7203"/>
          <w:tab w:val="center" w:pos="8543"/>
        </w:tabs>
        <w:spacing w:after="98"/>
      </w:pPr>
      <w:r>
        <w:tab/>
      </w:r>
      <w:r>
        <w:rPr>
          <w:rFonts w:ascii="Cambria Math" w:eastAsia="Cambria Math" w:hAnsi="Cambria Math" w:cs="Cambria Math"/>
          <w:color w:val="00000A"/>
          <w:sz w:val="28"/>
        </w:rPr>
        <w:t>𝑀</w:t>
      </w:r>
      <w:r>
        <w:rPr>
          <w:rFonts w:ascii="Cambria Math" w:eastAsia="Cambria Math" w:hAnsi="Cambria Math" w:cs="Cambria Math"/>
          <w:color w:val="00000A"/>
          <w:sz w:val="28"/>
          <w:vertAlign w:val="subscript"/>
        </w:rPr>
        <w:t>𝑓</w:t>
      </w:r>
      <w:r>
        <w:rPr>
          <w:rFonts w:ascii="Cambria Math" w:eastAsia="Cambria Math" w:hAnsi="Cambria Math" w:cs="Cambria Math"/>
          <w:color w:val="00000A"/>
          <w:sz w:val="28"/>
          <w:vertAlign w:val="subscript"/>
        </w:rPr>
        <w:t xml:space="preserve">2 </w:t>
      </w:r>
      <w:r>
        <w:rPr>
          <w:rFonts w:ascii="Cambria Math" w:eastAsia="Cambria Math" w:hAnsi="Cambria Math" w:cs="Cambria Math"/>
          <w:color w:val="00000A"/>
          <w:sz w:val="28"/>
        </w:rPr>
        <w:t xml:space="preserve">= </w:t>
      </w:r>
      <w:r>
        <w:rPr>
          <w:rFonts w:ascii="Cambria Math" w:eastAsia="Cambria Math" w:hAnsi="Cambria Math" w:cs="Cambria Math"/>
          <w:color w:val="00000A"/>
          <w:sz w:val="28"/>
        </w:rPr>
        <w:t>𝜌𝑁𝑓𝑢</w:t>
      </w:r>
      <w:r>
        <w:rPr>
          <w:rFonts w:ascii="Cambria Math" w:eastAsia="Cambria Math" w:hAnsi="Cambria Math" w:cs="Cambria Math"/>
          <w:color w:val="00000A"/>
          <w:sz w:val="28"/>
          <w:vertAlign w:val="subscript"/>
        </w:rPr>
        <w:t>32</w:t>
      </w:r>
      <w:r>
        <w:rPr>
          <w:rFonts w:ascii="Cambria Math" w:eastAsia="Cambria Math" w:hAnsi="Cambria Math" w:cs="Cambria Math"/>
          <w:color w:val="00000A"/>
          <w:sz w:val="28"/>
          <w:vertAlign w:val="superscript"/>
        </w:rPr>
        <w:t>𝐻</w:t>
      </w:r>
      <w:r>
        <w:rPr>
          <w:rFonts w:ascii="Cambria Math" w:eastAsia="Cambria Math" w:hAnsi="Cambria Math" w:cs="Cambria Math"/>
          <w:color w:val="00000A"/>
          <w:sz w:val="28"/>
          <w:vertAlign w:val="superscript"/>
        </w:rPr>
        <w:t xml:space="preserve"> </w:t>
      </w:r>
      <w:r>
        <w:rPr>
          <w:rFonts w:ascii="Times New Roman" w:eastAsia="Times New Roman" w:hAnsi="Times New Roman" w:cs="Times New Roman"/>
          <w:color w:val="00000A"/>
          <w:sz w:val="28"/>
        </w:rPr>
        <w:t xml:space="preserve">.   </w:t>
      </w:r>
      <w:r>
        <w:rPr>
          <w:rFonts w:ascii="Times New Roman" w:eastAsia="Times New Roman" w:hAnsi="Times New Roman" w:cs="Times New Roman"/>
          <w:color w:val="00000A"/>
          <w:sz w:val="28"/>
        </w:rPr>
        <w:tab/>
        <w:t xml:space="preserve"> </w:t>
      </w:r>
      <w:r>
        <w:rPr>
          <w:rFonts w:ascii="Times New Roman" w:eastAsia="Times New Roman" w:hAnsi="Times New Roman" w:cs="Times New Roman"/>
          <w:color w:val="00000A"/>
          <w:sz w:val="28"/>
        </w:rPr>
        <w:tab/>
        <w:t xml:space="preserve">          (2.7) </w:t>
      </w:r>
    </w:p>
    <w:p w:rsidR="0052701D" w:rsidRDefault="00D40929">
      <w:pPr>
        <w:spacing w:after="27" w:line="257" w:lineRule="auto"/>
        <w:ind w:left="-15" w:right="37" w:firstLine="711"/>
        <w:jc w:val="both"/>
      </w:pPr>
      <w:r>
        <w:rPr>
          <w:rFonts w:ascii="Times New Roman" w:eastAsia="Times New Roman" w:hAnsi="Times New Roman" w:cs="Times New Roman"/>
          <w:color w:val="00000A"/>
          <w:sz w:val="28"/>
        </w:rPr>
        <w:t xml:space="preserve">Используя выражения (3) и (6) определим нормальное давление N, создаваемое регулировочным винтом 6: </w:t>
      </w:r>
    </w:p>
    <w:p w:rsidR="0052701D" w:rsidRDefault="00D40929">
      <w:pPr>
        <w:tabs>
          <w:tab w:val="center" w:pos="5429"/>
          <w:tab w:val="center" w:pos="7203"/>
          <w:tab w:val="center" w:pos="8543"/>
        </w:tabs>
        <w:spacing w:after="8"/>
      </w:pPr>
      <w:r>
        <w:tab/>
      </w:r>
      <w:r>
        <w:rPr>
          <w:noProof/>
        </w:rPr>
        <w:drawing>
          <wp:inline distT="0" distB="0" distL="0" distR="0">
            <wp:extent cx="1402080" cy="313944"/>
            <wp:effectExtent l="0" t="0" r="0" b="0"/>
            <wp:docPr id="1048654" name="Picture 1048654"/>
            <wp:cNvGraphicFramePr/>
            <a:graphic xmlns:a="http://schemas.openxmlformats.org/drawingml/2006/main">
              <a:graphicData uri="http://schemas.openxmlformats.org/drawingml/2006/picture">
                <pic:pic xmlns:pic="http://schemas.openxmlformats.org/drawingml/2006/picture">
                  <pic:nvPicPr>
                    <pic:cNvPr id="1048654" name="Picture 1048654"/>
                    <pic:cNvPicPr/>
                  </pic:nvPicPr>
                  <pic:blipFill>
                    <a:blip r:embed="rId154"/>
                    <a:stretch>
                      <a:fillRect/>
                    </a:stretch>
                  </pic:blipFill>
                  <pic:spPr>
                    <a:xfrm>
                      <a:off x="0" y="0"/>
                      <a:ext cx="1402080" cy="313944"/>
                    </a:xfrm>
                    <a:prstGeom prst="rect">
                      <a:avLst/>
                    </a:prstGeom>
                  </pic:spPr>
                </pic:pic>
              </a:graphicData>
            </a:graphic>
          </wp:inline>
        </w:drawing>
      </w:r>
      <w:r>
        <w:rPr>
          <w:rFonts w:ascii="Times New Roman" w:eastAsia="Times New Roman" w:hAnsi="Times New Roman" w:cs="Times New Roman"/>
          <w:color w:val="00000A"/>
          <w:sz w:val="28"/>
        </w:rPr>
        <w:t xml:space="preserve">.  </w:t>
      </w:r>
      <w:r>
        <w:rPr>
          <w:rFonts w:ascii="Times New Roman" w:eastAsia="Times New Roman" w:hAnsi="Times New Roman" w:cs="Times New Roman"/>
          <w:color w:val="00000A"/>
          <w:sz w:val="28"/>
        </w:rPr>
        <w:tab/>
        <w:t xml:space="preserve"> </w:t>
      </w:r>
      <w:r>
        <w:rPr>
          <w:rFonts w:ascii="Times New Roman" w:eastAsia="Times New Roman" w:hAnsi="Times New Roman" w:cs="Times New Roman"/>
          <w:color w:val="00000A"/>
          <w:sz w:val="28"/>
        </w:rPr>
        <w:tab/>
        <w:t xml:space="preserve">          (2.8) </w:t>
      </w:r>
    </w:p>
    <w:p w:rsidR="0052701D" w:rsidRDefault="00D40929">
      <w:pPr>
        <w:spacing w:after="4" w:line="257" w:lineRule="auto"/>
        <w:ind w:left="721" w:right="37"/>
        <w:jc w:val="both"/>
      </w:pPr>
      <w:r>
        <w:rPr>
          <w:rFonts w:ascii="Times New Roman" w:eastAsia="Times New Roman" w:hAnsi="Times New Roman" w:cs="Times New Roman"/>
          <w:color w:val="00000A"/>
          <w:sz w:val="28"/>
        </w:rPr>
        <w:t xml:space="preserve">КПД механизма определяется по формуле: </w:t>
      </w:r>
    </w:p>
    <w:p w:rsidR="0052701D" w:rsidRDefault="00D40929">
      <w:pPr>
        <w:tabs>
          <w:tab w:val="center" w:pos="5369"/>
          <w:tab w:val="center" w:pos="7203"/>
          <w:tab w:val="center" w:pos="8507"/>
        </w:tabs>
        <w:spacing w:after="55"/>
      </w:pPr>
      <w:r>
        <w:tab/>
      </w:r>
      <w:r>
        <w:rPr>
          <w:noProof/>
        </w:rPr>
        <w:drawing>
          <wp:inline distT="0" distB="0" distL="0" distR="0">
            <wp:extent cx="1310640" cy="326136"/>
            <wp:effectExtent l="0" t="0" r="0" b="0"/>
            <wp:docPr id="1048655" name="Picture 1048655"/>
            <wp:cNvGraphicFramePr/>
            <a:graphic xmlns:a="http://schemas.openxmlformats.org/drawingml/2006/main">
              <a:graphicData uri="http://schemas.openxmlformats.org/drawingml/2006/picture">
                <pic:pic xmlns:pic="http://schemas.openxmlformats.org/drawingml/2006/picture">
                  <pic:nvPicPr>
                    <pic:cNvPr id="1048655" name="Picture 1048655"/>
                    <pic:cNvPicPr/>
                  </pic:nvPicPr>
                  <pic:blipFill>
                    <a:blip r:embed="rId155"/>
                    <a:stretch>
                      <a:fillRect/>
                    </a:stretch>
                  </pic:blipFill>
                  <pic:spPr>
                    <a:xfrm>
                      <a:off x="0" y="0"/>
                      <a:ext cx="1310640" cy="326136"/>
                    </a:xfrm>
                    <a:prstGeom prst="rect">
                      <a:avLst/>
                    </a:prstGeom>
                  </pic:spPr>
                </pic:pic>
              </a:graphicData>
            </a:graphic>
          </wp:inline>
        </w:drawing>
      </w:r>
      <w:r>
        <w:rPr>
          <w:rFonts w:ascii="Times New Roman" w:eastAsia="Times New Roman" w:hAnsi="Times New Roman" w:cs="Times New Roman"/>
          <w:color w:val="00000A"/>
          <w:sz w:val="28"/>
        </w:rPr>
        <w:t xml:space="preserve">,  </w:t>
      </w:r>
      <w:r>
        <w:rPr>
          <w:rFonts w:ascii="Times New Roman" w:eastAsia="Times New Roman" w:hAnsi="Times New Roman" w:cs="Times New Roman"/>
          <w:color w:val="00000A"/>
          <w:sz w:val="28"/>
        </w:rPr>
        <w:tab/>
        <w:t xml:space="preserve"> </w:t>
      </w:r>
      <w:r>
        <w:rPr>
          <w:rFonts w:ascii="Times New Roman" w:eastAsia="Times New Roman" w:hAnsi="Times New Roman" w:cs="Times New Roman"/>
          <w:color w:val="00000A"/>
          <w:sz w:val="28"/>
        </w:rPr>
        <w:tab/>
        <w:t xml:space="preserve">         (2.9) </w:t>
      </w:r>
    </w:p>
    <w:p w:rsidR="0052701D" w:rsidRDefault="00D40929">
      <w:pPr>
        <w:spacing w:after="109" w:line="257" w:lineRule="auto"/>
        <w:ind w:left="-15" w:right="37"/>
        <w:jc w:val="both"/>
      </w:pPr>
      <w:r>
        <w:rPr>
          <w:rFonts w:ascii="Times New Roman" w:eastAsia="Times New Roman" w:hAnsi="Times New Roman" w:cs="Times New Roman"/>
          <w:color w:val="00000A"/>
          <w:sz w:val="28"/>
        </w:rPr>
        <w:t xml:space="preserve">где  </w:t>
      </w:r>
      <w:r>
        <w:rPr>
          <w:rFonts w:ascii="Cambria Math" w:eastAsia="Cambria Math" w:hAnsi="Cambria Math" w:cs="Cambria Math"/>
          <w:color w:val="00000A"/>
          <w:sz w:val="28"/>
        </w:rPr>
        <w:t>𝑃</w:t>
      </w:r>
      <w:r>
        <w:rPr>
          <w:rFonts w:ascii="Cambria Math" w:eastAsia="Cambria Math" w:hAnsi="Cambria Math" w:cs="Cambria Math"/>
          <w:color w:val="00000A"/>
          <w:sz w:val="28"/>
          <w:vertAlign w:val="subscript"/>
        </w:rPr>
        <w:t>𝑓</w:t>
      </w:r>
      <w:r>
        <w:rPr>
          <w:rFonts w:ascii="Cambria Math" w:eastAsia="Cambria Math" w:hAnsi="Cambria Math" w:cs="Cambria Math"/>
          <w:color w:val="00000A"/>
          <w:sz w:val="28"/>
          <w:vertAlign w:val="subscript"/>
        </w:rPr>
        <w:t xml:space="preserve"> </w:t>
      </w:r>
      <w:r>
        <w:rPr>
          <w:rFonts w:ascii="Cambria Math" w:eastAsia="Cambria Math" w:hAnsi="Cambria Math" w:cs="Cambria Math"/>
          <w:color w:val="00000A"/>
          <w:sz w:val="28"/>
        </w:rPr>
        <w:t xml:space="preserve">= </w:t>
      </w:r>
      <w:r>
        <w:rPr>
          <w:rFonts w:ascii="Cambria Math" w:eastAsia="Cambria Math" w:hAnsi="Cambria Math" w:cs="Cambria Math"/>
          <w:color w:val="00000A"/>
          <w:sz w:val="28"/>
        </w:rPr>
        <w:t>𝑀</w:t>
      </w:r>
      <w:r>
        <w:rPr>
          <w:rFonts w:ascii="Cambria Math" w:eastAsia="Cambria Math" w:hAnsi="Cambria Math" w:cs="Cambria Math"/>
          <w:color w:val="00000A"/>
          <w:sz w:val="28"/>
          <w:vertAlign w:val="subscript"/>
        </w:rPr>
        <w:t>𝑓</w:t>
      </w:r>
      <w:r>
        <w:rPr>
          <w:rFonts w:ascii="Cambria Math" w:eastAsia="Cambria Math" w:hAnsi="Cambria Math" w:cs="Cambria Math"/>
          <w:color w:val="00000A"/>
          <w:sz w:val="28"/>
          <w:vertAlign w:val="subscript"/>
        </w:rPr>
        <w:t xml:space="preserve">3 </w:t>
      </w:r>
      <w:r>
        <w:rPr>
          <w:rFonts w:ascii="Cambria Math" w:eastAsia="Cambria Math" w:hAnsi="Cambria Math" w:cs="Cambria Math"/>
          <w:color w:val="00000A"/>
          <w:sz w:val="28"/>
        </w:rPr>
        <w:t>∙</w:t>
      </w:r>
      <w:r>
        <w:rPr>
          <w:rFonts w:ascii="Cambria Math" w:eastAsia="Cambria Math" w:hAnsi="Cambria Math" w:cs="Cambria Math"/>
          <w:color w:val="00000A"/>
          <w:sz w:val="28"/>
        </w:rPr>
        <w:t>𝜔</w:t>
      </w:r>
      <w:r>
        <w:rPr>
          <w:rFonts w:ascii="Cambria Math" w:eastAsia="Cambria Math" w:hAnsi="Cambria Math" w:cs="Cambria Math"/>
          <w:color w:val="00000A"/>
          <w:sz w:val="28"/>
          <w:vertAlign w:val="subscript"/>
        </w:rPr>
        <w:t>13</w:t>
      </w:r>
      <w:r>
        <w:rPr>
          <w:rFonts w:ascii="Times New Roman" w:eastAsia="Times New Roman" w:hAnsi="Times New Roman" w:cs="Times New Roman"/>
          <w:color w:val="00000A"/>
          <w:sz w:val="28"/>
        </w:rPr>
        <w:t xml:space="preserve"> – мощность на трение; </w:t>
      </w:r>
    </w:p>
    <w:p w:rsidR="0052701D" w:rsidRDefault="00D40929">
      <w:pPr>
        <w:spacing w:after="74" w:line="257" w:lineRule="auto"/>
        <w:ind w:left="-15" w:right="37"/>
        <w:jc w:val="both"/>
      </w:pPr>
      <w:r>
        <w:rPr>
          <w:rFonts w:ascii="Cambria Math" w:eastAsia="Cambria Math" w:hAnsi="Cambria Math" w:cs="Cambria Math"/>
          <w:color w:val="00000A"/>
          <w:sz w:val="28"/>
        </w:rPr>
        <w:t>𝑃</w:t>
      </w:r>
      <w:r>
        <w:rPr>
          <w:rFonts w:ascii="Cambria Math" w:eastAsia="Cambria Math" w:hAnsi="Cambria Math" w:cs="Cambria Math"/>
          <w:color w:val="00000A"/>
          <w:sz w:val="28"/>
          <w:vertAlign w:val="subscript"/>
        </w:rPr>
        <w:t>𝐻</w:t>
      </w:r>
      <w:r>
        <w:rPr>
          <w:rFonts w:ascii="Cambria Math" w:eastAsia="Cambria Math" w:hAnsi="Cambria Math" w:cs="Cambria Math"/>
          <w:color w:val="00000A"/>
          <w:sz w:val="28"/>
          <w:vertAlign w:val="subscript"/>
        </w:rPr>
        <w:t xml:space="preserve"> </w:t>
      </w:r>
      <w:r>
        <w:rPr>
          <w:rFonts w:ascii="Cambria Math" w:eastAsia="Cambria Math" w:hAnsi="Cambria Math" w:cs="Cambria Math"/>
          <w:color w:val="00000A"/>
          <w:sz w:val="28"/>
        </w:rPr>
        <w:t xml:space="preserve">= </w:t>
      </w:r>
      <w:r>
        <w:rPr>
          <w:rFonts w:ascii="Cambria Math" w:eastAsia="Cambria Math" w:hAnsi="Cambria Math" w:cs="Cambria Math"/>
          <w:color w:val="00000A"/>
          <w:sz w:val="28"/>
        </w:rPr>
        <w:t>𝑀</w:t>
      </w:r>
      <w:r>
        <w:rPr>
          <w:rFonts w:ascii="Cambria Math" w:eastAsia="Cambria Math" w:hAnsi="Cambria Math" w:cs="Cambria Math"/>
          <w:color w:val="00000A"/>
          <w:sz w:val="28"/>
          <w:vertAlign w:val="subscript"/>
        </w:rPr>
        <w:t xml:space="preserve">1 </w:t>
      </w:r>
      <w:r>
        <w:rPr>
          <w:rFonts w:ascii="Cambria Math" w:eastAsia="Cambria Math" w:hAnsi="Cambria Math" w:cs="Cambria Math"/>
          <w:color w:val="00000A"/>
          <w:sz w:val="28"/>
        </w:rPr>
        <w:t>∙</w:t>
      </w:r>
      <w:r>
        <w:rPr>
          <w:rFonts w:ascii="Cambria Math" w:eastAsia="Cambria Math" w:hAnsi="Cambria Math" w:cs="Cambria Math"/>
          <w:color w:val="00000A"/>
          <w:sz w:val="28"/>
        </w:rPr>
        <w:t>𝜔</w:t>
      </w:r>
      <w:r>
        <w:rPr>
          <w:rFonts w:ascii="Cambria Math" w:eastAsia="Cambria Math" w:hAnsi="Cambria Math" w:cs="Cambria Math"/>
          <w:color w:val="00000A"/>
          <w:sz w:val="28"/>
          <w:vertAlign w:val="subscript"/>
        </w:rPr>
        <w:t>1</w:t>
      </w:r>
      <w:r>
        <w:rPr>
          <w:rFonts w:ascii="Times New Roman" w:eastAsia="Times New Roman" w:hAnsi="Times New Roman" w:cs="Times New Roman"/>
          <w:color w:val="00000A"/>
          <w:sz w:val="28"/>
        </w:rPr>
        <w:t xml:space="preserve"> – в</w:t>
      </w:r>
      <w:r>
        <w:rPr>
          <w:rFonts w:ascii="Times New Roman" w:eastAsia="Times New Roman" w:hAnsi="Times New Roman" w:cs="Times New Roman"/>
          <w:color w:val="00000A"/>
          <w:sz w:val="28"/>
        </w:rPr>
        <w:t xml:space="preserve">ходная мощность; </w:t>
      </w:r>
    </w:p>
    <w:p w:rsidR="0052701D" w:rsidRDefault="00D40929">
      <w:pPr>
        <w:spacing w:after="4" w:line="257" w:lineRule="auto"/>
        <w:ind w:left="-15" w:right="37"/>
        <w:jc w:val="both"/>
      </w:pPr>
      <w:r>
        <w:rPr>
          <w:rFonts w:ascii="Cambria Math" w:eastAsia="Cambria Math" w:hAnsi="Cambria Math" w:cs="Cambria Math"/>
          <w:sz w:val="24"/>
        </w:rPr>
        <w:t>𝜔</w:t>
      </w:r>
      <w:r>
        <w:rPr>
          <w:rFonts w:ascii="Cambria Math" w:eastAsia="Cambria Math" w:hAnsi="Cambria Math" w:cs="Cambria Math"/>
          <w:color w:val="00000A"/>
          <w:sz w:val="28"/>
          <w:vertAlign w:val="subscript"/>
        </w:rPr>
        <w:t xml:space="preserve">13 </w:t>
      </w:r>
      <w:r>
        <w:rPr>
          <w:rFonts w:ascii="Cambria Math" w:eastAsia="Cambria Math" w:hAnsi="Cambria Math" w:cs="Cambria Math"/>
          <w:color w:val="00000A"/>
          <w:sz w:val="28"/>
        </w:rPr>
        <w:t xml:space="preserve">= </w:t>
      </w:r>
      <w:r>
        <w:rPr>
          <w:rFonts w:ascii="Cambria Math" w:eastAsia="Cambria Math" w:hAnsi="Cambria Math" w:cs="Cambria Math"/>
          <w:color w:val="00000A"/>
          <w:sz w:val="28"/>
        </w:rPr>
        <w:t>𝜔</w:t>
      </w:r>
      <w:r>
        <w:rPr>
          <w:rFonts w:ascii="Cambria Math" w:eastAsia="Cambria Math" w:hAnsi="Cambria Math" w:cs="Cambria Math"/>
          <w:color w:val="00000A"/>
          <w:sz w:val="28"/>
          <w:vertAlign w:val="subscript"/>
        </w:rPr>
        <w:t xml:space="preserve">1 </w:t>
      </w:r>
      <w:r>
        <w:rPr>
          <w:rFonts w:ascii="Cambria Math" w:eastAsia="Cambria Math" w:hAnsi="Cambria Math" w:cs="Cambria Math"/>
          <w:color w:val="00000A"/>
          <w:sz w:val="28"/>
        </w:rPr>
        <w:t>−</w:t>
      </w:r>
      <w:r>
        <w:rPr>
          <w:rFonts w:ascii="Cambria Math" w:eastAsia="Cambria Math" w:hAnsi="Cambria Math" w:cs="Cambria Math"/>
          <w:color w:val="00000A"/>
          <w:sz w:val="28"/>
        </w:rPr>
        <w:t>𝜔</w:t>
      </w:r>
      <w:r>
        <w:rPr>
          <w:rFonts w:ascii="Cambria Math" w:eastAsia="Cambria Math" w:hAnsi="Cambria Math" w:cs="Cambria Math"/>
          <w:color w:val="00000A"/>
          <w:sz w:val="28"/>
          <w:vertAlign w:val="subscript"/>
        </w:rPr>
        <w:t>3</w:t>
      </w:r>
      <w:r>
        <w:rPr>
          <w:rFonts w:ascii="Times New Roman" w:eastAsia="Times New Roman" w:hAnsi="Times New Roman" w:cs="Times New Roman"/>
          <w:color w:val="00000A"/>
          <w:sz w:val="28"/>
        </w:rPr>
        <w:t xml:space="preserve"> – относительная угловая скорость  </w:t>
      </w:r>
    </w:p>
    <w:p w:rsidR="0052701D" w:rsidRDefault="00D40929">
      <w:pPr>
        <w:spacing w:after="36"/>
        <w:ind w:left="721"/>
      </w:pPr>
      <w:r>
        <w:rPr>
          <w:rFonts w:ascii="Times New Roman" w:eastAsia="Times New Roman" w:hAnsi="Times New Roman" w:cs="Times New Roman"/>
          <w:color w:val="00000A"/>
          <w:sz w:val="28"/>
        </w:rPr>
        <w:t xml:space="preserve"> </w:t>
      </w:r>
    </w:p>
    <w:p w:rsidR="0052701D" w:rsidRDefault="00D40929">
      <w:pPr>
        <w:spacing w:after="0" w:line="271" w:lineRule="auto"/>
        <w:ind w:left="716" w:right="30" w:hanging="10"/>
        <w:jc w:val="both"/>
      </w:pPr>
      <w:r>
        <w:rPr>
          <w:rFonts w:ascii="Times New Roman" w:eastAsia="Times New Roman" w:hAnsi="Times New Roman" w:cs="Times New Roman"/>
          <w:b/>
          <w:color w:val="00000A"/>
          <w:sz w:val="28"/>
        </w:rPr>
        <w:t>3. Числовой расчет</w:t>
      </w:r>
      <w:r>
        <w:rPr>
          <w:rFonts w:ascii="Times New Roman" w:eastAsia="Times New Roman" w:hAnsi="Times New Roman" w:cs="Times New Roman"/>
          <w:color w:val="00000A"/>
          <w:sz w:val="28"/>
        </w:rPr>
        <w:t xml:space="preserve"> </w:t>
      </w:r>
    </w:p>
    <w:p w:rsidR="0052701D" w:rsidRDefault="00D40929">
      <w:pPr>
        <w:spacing w:after="0" w:line="284" w:lineRule="auto"/>
        <w:ind w:firstLine="721"/>
      </w:pPr>
      <w:r>
        <w:rPr>
          <w:rFonts w:ascii="Times New Roman" w:eastAsia="Times New Roman" w:hAnsi="Times New Roman" w:cs="Times New Roman"/>
          <w:color w:val="00000A"/>
          <w:sz w:val="28"/>
        </w:rPr>
        <w:t xml:space="preserve">Адаптивный компактный привод имеет заданные постоянные параметры мощности двигателя </w:t>
      </w:r>
      <w:r>
        <w:rPr>
          <w:rFonts w:ascii="Cambria Math" w:eastAsia="Cambria Math" w:hAnsi="Cambria Math" w:cs="Cambria Math"/>
          <w:sz w:val="24"/>
        </w:rPr>
        <w:t>𝜔</w:t>
      </w:r>
      <w:r>
        <w:rPr>
          <w:rFonts w:ascii="Cambria Math" w:eastAsia="Cambria Math" w:hAnsi="Cambria Math" w:cs="Cambria Math"/>
          <w:color w:val="00000A"/>
          <w:sz w:val="28"/>
          <w:vertAlign w:val="subscript"/>
        </w:rPr>
        <w:t>1</w:t>
      </w:r>
      <w:r>
        <w:rPr>
          <w:rFonts w:ascii="Cambria Math" w:eastAsia="Cambria Math" w:hAnsi="Cambria Math" w:cs="Cambria Math"/>
          <w:color w:val="00000A"/>
          <w:sz w:val="28"/>
        </w:rPr>
        <w:t>,</w:t>
      </w:r>
      <w:r>
        <w:rPr>
          <w:rFonts w:ascii="Cambria Math" w:eastAsia="Cambria Math" w:hAnsi="Cambria Math" w:cs="Cambria Math"/>
          <w:color w:val="00000A"/>
          <w:sz w:val="28"/>
        </w:rPr>
        <w:t>𝑀</w:t>
      </w:r>
      <w:r>
        <w:rPr>
          <w:rFonts w:ascii="Cambria Math" w:eastAsia="Cambria Math" w:hAnsi="Cambria Math" w:cs="Cambria Math"/>
          <w:color w:val="00000A"/>
          <w:sz w:val="28"/>
          <w:vertAlign w:val="subscript"/>
        </w:rPr>
        <w:t>1</w:t>
      </w:r>
      <w:r>
        <w:rPr>
          <w:rFonts w:ascii="Cambria Math" w:eastAsia="Cambria Math" w:hAnsi="Cambria Math" w:cs="Cambria Math"/>
          <w:color w:val="00000A"/>
          <w:sz w:val="28"/>
        </w:rPr>
        <w:t xml:space="preserve"> </w:t>
      </w:r>
      <w:r>
        <w:rPr>
          <w:rFonts w:ascii="Times New Roman" w:eastAsia="Times New Roman" w:hAnsi="Times New Roman" w:cs="Times New Roman"/>
          <w:color w:val="00000A"/>
          <w:sz w:val="28"/>
        </w:rPr>
        <w:t xml:space="preserve">на входном колесе 1 (рис. 1.1а). требуется определить кинематические и силовые характеристики. </w:t>
      </w:r>
    </w:p>
    <w:p w:rsidR="0052701D" w:rsidRDefault="00D40929">
      <w:pPr>
        <w:spacing w:after="35" w:line="257" w:lineRule="auto"/>
        <w:ind w:left="721" w:right="37"/>
        <w:jc w:val="both"/>
      </w:pPr>
      <w:r>
        <w:rPr>
          <w:rFonts w:ascii="Times New Roman" w:eastAsia="Times New Roman" w:hAnsi="Times New Roman" w:cs="Times New Roman"/>
          <w:color w:val="00000A"/>
          <w:sz w:val="28"/>
        </w:rPr>
        <w:t xml:space="preserve">Исходные данные:  </w:t>
      </w:r>
    </w:p>
    <w:p w:rsidR="0052701D" w:rsidRDefault="00D40929">
      <w:pPr>
        <w:spacing w:after="55"/>
        <w:ind w:left="716" w:hanging="10"/>
      </w:pPr>
      <w:r>
        <w:rPr>
          <w:rFonts w:ascii="Cambria Math" w:eastAsia="Cambria Math" w:hAnsi="Cambria Math" w:cs="Cambria Math"/>
          <w:color w:val="00000A"/>
          <w:sz w:val="28"/>
        </w:rPr>
        <w:t>𝑀</w:t>
      </w:r>
      <w:r>
        <w:rPr>
          <w:rFonts w:ascii="Cambria Math" w:eastAsia="Cambria Math" w:hAnsi="Cambria Math" w:cs="Cambria Math"/>
          <w:color w:val="00000A"/>
          <w:sz w:val="28"/>
          <w:vertAlign w:val="subscript"/>
        </w:rPr>
        <w:t xml:space="preserve">1 </w:t>
      </w:r>
      <w:r>
        <w:rPr>
          <w:rFonts w:ascii="Cambria Math" w:eastAsia="Cambria Math" w:hAnsi="Cambria Math" w:cs="Cambria Math"/>
          <w:color w:val="00000A"/>
          <w:sz w:val="28"/>
        </w:rPr>
        <w:t>= 10 Нм</w:t>
      </w:r>
      <w:r>
        <w:rPr>
          <w:rFonts w:ascii="Times New Roman" w:eastAsia="Times New Roman" w:hAnsi="Times New Roman" w:cs="Times New Roman"/>
          <w:color w:val="00000A"/>
          <w:sz w:val="28"/>
        </w:rPr>
        <w:t xml:space="preserve">  </w:t>
      </w:r>
    </w:p>
    <w:p w:rsidR="0052701D" w:rsidRDefault="00D40929">
      <w:pPr>
        <w:spacing w:after="110"/>
        <w:ind w:left="716" w:hanging="10"/>
      </w:pPr>
      <w:r>
        <w:rPr>
          <w:rFonts w:ascii="Cambria Math" w:eastAsia="Cambria Math" w:hAnsi="Cambria Math" w:cs="Cambria Math"/>
          <w:sz w:val="24"/>
        </w:rPr>
        <w:t>𝜔</w:t>
      </w:r>
      <w:r>
        <w:rPr>
          <w:rFonts w:ascii="Cambria Math" w:eastAsia="Cambria Math" w:hAnsi="Cambria Math" w:cs="Cambria Math"/>
          <w:color w:val="00000A"/>
          <w:sz w:val="28"/>
          <w:vertAlign w:val="subscript"/>
        </w:rPr>
        <w:t xml:space="preserve">1 </w:t>
      </w:r>
      <w:r>
        <w:rPr>
          <w:rFonts w:ascii="Cambria Math" w:eastAsia="Cambria Math" w:hAnsi="Cambria Math" w:cs="Cambria Math"/>
          <w:color w:val="00000A"/>
          <w:sz w:val="28"/>
        </w:rPr>
        <w:t>= 100 с</w:t>
      </w:r>
      <w:r>
        <w:rPr>
          <w:rFonts w:ascii="Cambria Math" w:eastAsia="Cambria Math" w:hAnsi="Cambria Math" w:cs="Cambria Math"/>
          <w:color w:val="00000A"/>
          <w:sz w:val="28"/>
          <w:vertAlign w:val="superscript"/>
        </w:rPr>
        <w:t>−</w:t>
      </w:r>
      <w:r>
        <w:rPr>
          <w:rFonts w:ascii="Cambria Math" w:eastAsia="Cambria Math" w:hAnsi="Cambria Math" w:cs="Cambria Math"/>
          <w:color w:val="00000A"/>
          <w:sz w:val="28"/>
          <w:vertAlign w:val="superscript"/>
        </w:rPr>
        <w:t>1</w:t>
      </w:r>
      <w:r>
        <w:rPr>
          <w:rFonts w:ascii="Times New Roman" w:eastAsia="Times New Roman" w:hAnsi="Times New Roman" w:cs="Times New Roman"/>
          <w:color w:val="00000A"/>
          <w:sz w:val="28"/>
        </w:rPr>
        <w:t xml:space="preserve">  </w:t>
      </w:r>
    </w:p>
    <w:p w:rsidR="0052701D" w:rsidRDefault="00D40929">
      <w:pPr>
        <w:spacing w:after="55"/>
        <w:ind w:left="716" w:hanging="10"/>
      </w:pPr>
      <w:r>
        <w:rPr>
          <w:rFonts w:ascii="Cambria Math" w:eastAsia="Cambria Math" w:hAnsi="Cambria Math" w:cs="Cambria Math"/>
          <w:color w:val="00000A"/>
          <w:sz w:val="28"/>
        </w:rPr>
        <w:t>𝑀</w:t>
      </w:r>
      <w:r>
        <w:rPr>
          <w:rFonts w:ascii="Cambria Math" w:eastAsia="Cambria Math" w:hAnsi="Cambria Math" w:cs="Cambria Math"/>
          <w:color w:val="00000A"/>
          <w:sz w:val="28"/>
          <w:vertAlign w:val="subscript"/>
        </w:rPr>
        <w:t>𝑅</w:t>
      </w:r>
      <w:r>
        <w:rPr>
          <w:rFonts w:ascii="Cambria Math" w:eastAsia="Cambria Math" w:hAnsi="Cambria Math" w:cs="Cambria Math"/>
          <w:color w:val="00000A"/>
          <w:sz w:val="28"/>
          <w:vertAlign w:val="subscript"/>
        </w:rPr>
        <w:t xml:space="preserve">3 </w:t>
      </w:r>
      <w:r>
        <w:rPr>
          <w:rFonts w:ascii="Cambria Math" w:eastAsia="Cambria Math" w:hAnsi="Cambria Math" w:cs="Cambria Math"/>
          <w:color w:val="00000A"/>
          <w:sz w:val="28"/>
        </w:rPr>
        <w:t>= 10</w:t>
      </w:r>
      <w:r>
        <w:rPr>
          <w:rFonts w:ascii="Times New Roman" w:eastAsia="Times New Roman" w:hAnsi="Times New Roman" w:cs="Times New Roman"/>
          <w:color w:val="00000A"/>
          <w:sz w:val="28"/>
        </w:rPr>
        <w:t xml:space="preserve"> Нм </w:t>
      </w:r>
    </w:p>
    <w:p w:rsidR="0052701D" w:rsidRDefault="00D40929">
      <w:pPr>
        <w:spacing w:after="55"/>
        <w:ind w:left="716" w:right="7401" w:hanging="10"/>
      </w:pPr>
      <w:r>
        <w:rPr>
          <w:rFonts w:ascii="Cambria Math" w:eastAsia="Cambria Math" w:hAnsi="Cambria Math" w:cs="Cambria Math"/>
          <w:color w:val="00000A"/>
          <w:sz w:val="28"/>
        </w:rPr>
        <w:t>𝑟</w:t>
      </w:r>
      <w:r>
        <w:rPr>
          <w:rFonts w:ascii="Cambria Math" w:eastAsia="Cambria Math" w:hAnsi="Cambria Math" w:cs="Cambria Math"/>
          <w:color w:val="00000A"/>
          <w:sz w:val="28"/>
          <w:vertAlign w:val="subscript"/>
        </w:rPr>
        <w:t xml:space="preserve">1 </w:t>
      </w:r>
      <w:r>
        <w:rPr>
          <w:rFonts w:ascii="Cambria Math" w:eastAsia="Cambria Math" w:hAnsi="Cambria Math" w:cs="Cambria Math"/>
          <w:color w:val="00000A"/>
          <w:sz w:val="28"/>
        </w:rPr>
        <w:t>= 36</w:t>
      </w:r>
      <w:r>
        <w:rPr>
          <w:rFonts w:ascii="Times New Roman" w:eastAsia="Times New Roman" w:hAnsi="Times New Roman" w:cs="Times New Roman"/>
          <w:color w:val="00000A"/>
          <w:sz w:val="28"/>
        </w:rPr>
        <w:t xml:space="preserve"> см </w:t>
      </w:r>
      <w:r>
        <w:rPr>
          <w:rFonts w:ascii="Cambria Math" w:eastAsia="Cambria Math" w:hAnsi="Cambria Math" w:cs="Cambria Math"/>
          <w:color w:val="00000A"/>
          <w:sz w:val="28"/>
        </w:rPr>
        <w:t>𝑟</w:t>
      </w:r>
      <w:r>
        <w:rPr>
          <w:rFonts w:ascii="Cambria Math" w:eastAsia="Cambria Math" w:hAnsi="Cambria Math" w:cs="Cambria Math"/>
          <w:color w:val="00000A"/>
          <w:sz w:val="28"/>
          <w:vertAlign w:val="subscript"/>
        </w:rPr>
        <w:t xml:space="preserve">2 </w:t>
      </w:r>
      <w:r>
        <w:rPr>
          <w:rFonts w:ascii="Cambria Math" w:eastAsia="Cambria Math" w:hAnsi="Cambria Math" w:cs="Cambria Math"/>
          <w:color w:val="00000A"/>
          <w:sz w:val="28"/>
        </w:rPr>
        <w:t>= 24</w:t>
      </w:r>
      <w:r>
        <w:rPr>
          <w:rFonts w:ascii="Times New Roman" w:eastAsia="Times New Roman" w:hAnsi="Times New Roman" w:cs="Times New Roman"/>
          <w:color w:val="00000A"/>
          <w:sz w:val="28"/>
        </w:rPr>
        <w:t xml:space="preserve"> см </w:t>
      </w:r>
    </w:p>
    <w:p w:rsidR="0052701D" w:rsidRDefault="00D40929">
      <w:pPr>
        <w:spacing w:after="55"/>
        <w:ind w:left="716" w:hanging="10"/>
      </w:pPr>
      <w:r>
        <w:rPr>
          <w:rFonts w:ascii="Cambria Math" w:eastAsia="Cambria Math" w:hAnsi="Cambria Math" w:cs="Cambria Math"/>
          <w:color w:val="00000A"/>
          <w:sz w:val="28"/>
        </w:rPr>
        <w:t>𝑟</w:t>
      </w:r>
      <w:r>
        <w:rPr>
          <w:rFonts w:ascii="Cambria Math" w:eastAsia="Cambria Math" w:hAnsi="Cambria Math" w:cs="Cambria Math"/>
          <w:color w:val="00000A"/>
          <w:sz w:val="28"/>
          <w:vertAlign w:val="subscript"/>
        </w:rPr>
        <w:t xml:space="preserve">2′ </w:t>
      </w:r>
      <w:r>
        <w:rPr>
          <w:rFonts w:ascii="Cambria Math" w:eastAsia="Cambria Math" w:hAnsi="Cambria Math" w:cs="Cambria Math"/>
          <w:color w:val="00000A"/>
          <w:sz w:val="28"/>
        </w:rPr>
        <w:t>= 18</w:t>
      </w:r>
      <w:r>
        <w:rPr>
          <w:rFonts w:ascii="Times New Roman" w:eastAsia="Times New Roman" w:hAnsi="Times New Roman" w:cs="Times New Roman"/>
          <w:color w:val="00000A"/>
          <w:sz w:val="28"/>
        </w:rPr>
        <w:t xml:space="preserve"> см  </w:t>
      </w:r>
    </w:p>
    <w:p w:rsidR="0052701D" w:rsidRDefault="00D40929">
      <w:pPr>
        <w:spacing w:after="4" w:line="257" w:lineRule="auto"/>
        <w:ind w:left="664" w:right="7245"/>
        <w:jc w:val="both"/>
      </w:pPr>
      <w:r>
        <w:rPr>
          <w:noProof/>
        </w:rPr>
        <w:drawing>
          <wp:inline distT="0" distB="0" distL="0" distR="0">
            <wp:extent cx="563880" cy="158496"/>
            <wp:effectExtent l="0" t="0" r="0" b="0"/>
            <wp:docPr id="1048656" name="Picture 1048656"/>
            <wp:cNvGraphicFramePr/>
            <a:graphic xmlns:a="http://schemas.openxmlformats.org/drawingml/2006/main">
              <a:graphicData uri="http://schemas.openxmlformats.org/drawingml/2006/picture">
                <pic:pic xmlns:pic="http://schemas.openxmlformats.org/drawingml/2006/picture">
                  <pic:nvPicPr>
                    <pic:cNvPr id="1048656" name="Picture 1048656"/>
                    <pic:cNvPicPr/>
                  </pic:nvPicPr>
                  <pic:blipFill>
                    <a:blip r:embed="rId156"/>
                    <a:stretch>
                      <a:fillRect/>
                    </a:stretch>
                  </pic:blipFill>
                  <pic:spPr>
                    <a:xfrm>
                      <a:off x="0" y="0"/>
                      <a:ext cx="563880" cy="158496"/>
                    </a:xfrm>
                    <a:prstGeom prst="rect">
                      <a:avLst/>
                    </a:prstGeom>
                  </pic:spPr>
                </pic:pic>
              </a:graphicData>
            </a:graphic>
          </wp:inline>
        </w:drawing>
      </w:r>
      <w:r>
        <w:rPr>
          <w:rFonts w:ascii="Times New Roman" w:eastAsia="Times New Roman" w:hAnsi="Times New Roman" w:cs="Times New Roman"/>
          <w:color w:val="00000A"/>
          <w:sz w:val="28"/>
        </w:rPr>
        <w:t xml:space="preserve"> см  </w:t>
      </w:r>
      <w:r>
        <w:rPr>
          <w:noProof/>
        </w:rPr>
        <w:drawing>
          <wp:inline distT="0" distB="0" distL="0" distR="0">
            <wp:extent cx="579120" cy="158496"/>
            <wp:effectExtent l="0" t="0" r="0" b="0"/>
            <wp:docPr id="1048657" name="Picture 1048657"/>
            <wp:cNvGraphicFramePr/>
            <a:graphic xmlns:a="http://schemas.openxmlformats.org/drawingml/2006/main">
              <a:graphicData uri="http://schemas.openxmlformats.org/drawingml/2006/picture">
                <pic:pic xmlns:pic="http://schemas.openxmlformats.org/drawingml/2006/picture">
                  <pic:nvPicPr>
                    <pic:cNvPr id="1048657" name="Picture 1048657"/>
                    <pic:cNvPicPr/>
                  </pic:nvPicPr>
                  <pic:blipFill>
                    <a:blip r:embed="rId157"/>
                    <a:stretch>
                      <a:fillRect/>
                    </a:stretch>
                  </pic:blipFill>
                  <pic:spPr>
                    <a:xfrm>
                      <a:off x="0" y="0"/>
                      <a:ext cx="579120" cy="158496"/>
                    </a:xfrm>
                    <a:prstGeom prst="rect">
                      <a:avLst/>
                    </a:prstGeom>
                  </pic:spPr>
                </pic:pic>
              </a:graphicData>
            </a:graphic>
          </wp:inline>
        </w:drawing>
      </w:r>
      <w:r>
        <w:rPr>
          <w:rFonts w:ascii="Times New Roman" w:eastAsia="Times New Roman" w:hAnsi="Times New Roman" w:cs="Times New Roman"/>
          <w:color w:val="00000A"/>
          <w:sz w:val="28"/>
        </w:rPr>
        <w:t xml:space="preserve"> см  </w:t>
      </w:r>
    </w:p>
    <w:p w:rsidR="0052701D" w:rsidRDefault="00D40929">
      <w:pPr>
        <w:spacing w:after="0"/>
        <w:ind w:left="4264"/>
      </w:pPr>
      <w:r>
        <w:rPr>
          <w:noProof/>
        </w:rPr>
        <w:drawing>
          <wp:inline distT="0" distB="0" distL="0" distR="0">
            <wp:extent cx="627888" cy="786384"/>
            <wp:effectExtent l="0" t="0" r="0" b="0"/>
            <wp:docPr id="1048658" name="Picture 1048658"/>
            <wp:cNvGraphicFramePr/>
            <a:graphic xmlns:a="http://schemas.openxmlformats.org/drawingml/2006/main">
              <a:graphicData uri="http://schemas.openxmlformats.org/drawingml/2006/picture">
                <pic:pic xmlns:pic="http://schemas.openxmlformats.org/drawingml/2006/picture">
                  <pic:nvPicPr>
                    <pic:cNvPr id="1048658" name="Picture 1048658"/>
                    <pic:cNvPicPr/>
                  </pic:nvPicPr>
                  <pic:blipFill>
                    <a:blip r:embed="rId158"/>
                    <a:stretch>
                      <a:fillRect/>
                    </a:stretch>
                  </pic:blipFill>
                  <pic:spPr>
                    <a:xfrm>
                      <a:off x="0" y="0"/>
                      <a:ext cx="627888" cy="786384"/>
                    </a:xfrm>
                    <a:prstGeom prst="rect">
                      <a:avLst/>
                    </a:prstGeom>
                  </pic:spPr>
                </pic:pic>
              </a:graphicData>
            </a:graphic>
          </wp:inline>
        </w:drawing>
      </w:r>
    </w:p>
    <w:p w:rsidR="0052701D" w:rsidRDefault="00D40929">
      <w:pPr>
        <w:spacing w:after="4" w:line="257" w:lineRule="auto"/>
        <w:ind w:left="664" w:right="37"/>
        <w:jc w:val="both"/>
      </w:pPr>
      <w:r>
        <w:rPr>
          <w:noProof/>
        </w:rPr>
        <w:drawing>
          <wp:inline distT="0" distB="0" distL="0" distR="0">
            <wp:extent cx="655320" cy="161544"/>
            <wp:effectExtent l="0" t="0" r="0" b="0"/>
            <wp:docPr id="1048659" name="Picture 1048659"/>
            <wp:cNvGraphicFramePr/>
            <a:graphic xmlns:a="http://schemas.openxmlformats.org/drawingml/2006/main">
              <a:graphicData uri="http://schemas.openxmlformats.org/drawingml/2006/picture">
                <pic:pic xmlns:pic="http://schemas.openxmlformats.org/drawingml/2006/picture">
                  <pic:nvPicPr>
                    <pic:cNvPr id="1048659" name="Picture 1048659"/>
                    <pic:cNvPicPr/>
                  </pic:nvPicPr>
                  <pic:blipFill>
                    <a:blip r:embed="rId159"/>
                    <a:stretch>
                      <a:fillRect/>
                    </a:stretch>
                  </pic:blipFill>
                  <pic:spPr>
                    <a:xfrm>
                      <a:off x="0" y="0"/>
                      <a:ext cx="655320" cy="161544"/>
                    </a:xfrm>
                    <a:prstGeom prst="rect">
                      <a:avLst/>
                    </a:prstGeom>
                  </pic:spPr>
                </pic:pic>
              </a:graphicData>
            </a:graphic>
          </wp:inline>
        </w:drawing>
      </w:r>
      <w:r>
        <w:rPr>
          <w:rFonts w:ascii="Times New Roman" w:eastAsia="Times New Roman" w:hAnsi="Times New Roman" w:cs="Times New Roman"/>
          <w:color w:val="00000A"/>
          <w:sz w:val="28"/>
        </w:rPr>
        <w:t xml:space="preserve"> м </w:t>
      </w:r>
    </w:p>
    <w:p w:rsidR="0052701D" w:rsidRDefault="00D40929">
      <w:pPr>
        <w:spacing w:after="0"/>
        <w:ind w:left="4304"/>
      </w:pPr>
      <w:r>
        <w:rPr>
          <w:noProof/>
        </w:rPr>
        <w:drawing>
          <wp:inline distT="0" distB="0" distL="0" distR="0">
            <wp:extent cx="560832" cy="164592"/>
            <wp:effectExtent l="0" t="0" r="0" b="0"/>
            <wp:docPr id="1048660" name="Picture 1048660"/>
            <wp:cNvGraphicFramePr/>
            <a:graphic xmlns:a="http://schemas.openxmlformats.org/drawingml/2006/main">
              <a:graphicData uri="http://schemas.openxmlformats.org/drawingml/2006/picture">
                <pic:pic xmlns:pic="http://schemas.openxmlformats.org/drawingml/2006/picture">
                  <pic:nvPicPr>
                    <pic:cNvPr id="1048660" name="Picture 1048660"/>
                    <pic:cNvPicPr/>
                  </pic:nvPicPr>
                  <pic:blipFill>
                    <a:blip r:embed="rId160"/>
                    <a:stretch>
                      <a:fillRect/>
                    </a:stretch>
                  </pic:blipFill>
                  <pic:spPr>
                    <a:xfrm>
                      <a:off x="0" y="0"/>
                      <a:ext cx="560832" cy="164592"/>
                    </a:xfrm>
                    <a:prstGeom prst="rect">
                      <a:avLst/>
                    </a:prstGeom>
                  </pic:spPr>
                </pic:pic>
              </a:graphicData>
            </a:graphic>
          </wp:inline>
        </w:drawing>
      </w:r>
    </w:p>
    <w:p w:rsidR="0052701D" w:rsidRDefault="00D40929">
      <w:pPr>
        <w:spacing w:after="4" w:line="257" w:lineRule="auto"/>
        <w:ind w:left="721" w:right="4352"/>
        <w:jc w:val="both"/>
      </w:pPr>
      <w:r>
        <w:rPr>
          <w:rFonts w:ascii="Times New Roman" w:eastAsia="Times New Roman" w:hAnsi="Times New Roman" w:cs="Times New Roman"/>
          <w:i/>
          <w:color w:val="00000A"/>
          <w:sz w:val="28"/>
        </w:rPr>
        <w:t xml:space="preserve">m </w:t>
      </w:r>
      <w:r>
        <w:rPr>
          <w:rFonts w:ascii="Times New Roman" w:eastAsia="Times New Roman" w:hAnsi="Times New Roman" w:cs="Times New Roman"/>
          <w:color w:val="00000A"/>
          <w:sz w:val="28"/>
        </w:rPr>
        <w:t xml:space="preserve">= 2 </w:t>
      </w:r>
    </w:p>
    <w:p w:rsidR="0052701D" w:rsidRDefault="00D40929">
      <w:pPr>
        <w:spacing w:after="4" w:line="257" w:lineRule="auto"/>
        <w:ind w:left="664" w:right="37"/>
        <w:jc w:val="both"/>
      </w:pPr>
      <w:r>
        <w:rPr>
          <w:noProof/>
        </w:rPr>
        <w:drawing>
          <wp:inline distT="0" distB="0" distL="0" distR="0">
            <wp:extent cx="1886712" cy="176784"/>
            <wp:effectExtent l="0" t="0" r="0" b="0"/>
            <wp:docPr id="1048661" name="Picture 1048661"/>
            <wp:cNvGraphicFramePr/>
            <a:graphic xmlns:a="http://schemas.openxmlformats.org/drawingml/2006/main">
              <a:graphicData uri="http://schemas.openxmlformats.org/drawingml/2006/picture">
                <pic:pic xmlns:pic="http://schemas.openxmlformats.org/drawingml/2006/picture">
                  <pic:nvPicPr>
                    <pic:cNvPr id="1048661" name="Picture 1048661"/>
                    <pic:cNvPicPr/>
                  </pic:nvPicPr>
                  <pic:blipFill>
                    <a:blip r:embed="rId161"/>
                    <a:stretch>
                      <a:fillRect/>
                    </a:stretch>
                  </pic:blipFill>
                  <pic:spPr>
                    <a:xfrm>
                      <a:off x="0" y="0"/>
                      <a:ext cx="1886712" cy="176784"/>
                    </a:xfrm>
                    <a:prstGeom prst="rect">
                      <a:avLst/>
                    </a:prstGeom>
                  </pic:spPr>
                </pic:pic>
              </a:graphicData>
            </a:graphic>
          </wp:inline>
        </w:drawing>
      </w:r>
      <w:r>
        <w:rPr>
          <w:rFonts w:ascii="Times New Roman" w:eastAsia="Times New Roman" w:hAnsi="Times New Roman" w:cs="Times New Roman"/>
          <w:color w:val="00000A"/>
          <w:sz w:val="28"/>
        </w:rPr>
        <w:t xml:space="preserve"> Нм </w:t>
      </w:r>
    </w:p>
    <w:p w:rsidR="0052701D" w:rsidRDefault="00D40929">
      <w:pPr>
        <w:spacing w:after="4" w:line="257" w:lineRule="auto"/>
        <w:ind w:left="721" w:right="37"/>
        <w:jc w:val="both"/>
      </w:pPr>
      <w:r>
        <w:rPr>
          <w:rFonts w:ascii="Times New Roman" w:eastAsia="Times New Roman" w:hAnsi="Times New Roman" w:cs="Times New Roman"/>
          <w:color w:val="00000A"/>
          <w:sz w:val="28"/>
        </w:rPr>
        <w:t xml:space="preserve">Определить: </w:t>
      </w:r>
      <w:r>
        <w:rPr>
          <w:noProof/>
        </w:rPr>
        <w:drawing>
          <wp:inline distT="0" distB="0" distL="0" distR="0">
            <wp:extent cx="271272" cy="185928"/>
            <wp:effectExtent l="0" t="0" r="0" b="0"/>
            <wp:docPr id="1048662" name="Picture 1048662"/>
            <wp:cNvGraphicFramePr/>
            <a:graphic xmlns:a="http://schemas.openxmlformats.org/drawingml/2006/main">
              <a:graphicData uri="http://schemas.openxmlformats.org/drawingml/2006/picture">
                <pic:pic xmlns:pic="http://schemas.openxmlformats.org/drawingml/2006/picture">
                  <pic:nvPicPr>
                    <pic:cNvPr id="1048662" name="Picture 1048662"/>
                    <pic:cNvPicPr/>
                  </pic:nvPicPr>
                  <pic:blipFill>
                    <a:blip r:embed="rId162"/>
                    <a:stretch>
                      <a:fillRect/>
                    </a:stretch>
                  </pic:blipFill>
                  <pic:spPr>
                    <a:xfrm>
                      <a:off x="0" y="0"/>
                      <a:ext cx="271272" cy="185928"/>
                    </a:xfrm>
                    <a:prstGeom prst="rect">
                      <a:avLst/>
                    </a:prstGeom>
                  </pic:spPr>
                </pic:pic>
              </a:graphicData>
            </a:graphic>
          </wp:inline>
        </w:drawing>
      </w:r>
      <w:r>
        <w:rPr>
          <w:rFonts w:ascii="Times New Roman" w:eastAsia="Times New Roman" w:hAnsi="Times New Roman" w:cs="Times New Roman"/>
          <w:color w:val="00000A"/>
          <w:sz w:val="28"/>
        </w:rPr>
        <w:t xml:space="preserve"> </w:t>
      </w:r>
    </w:p>
    <w:p w:rsidR="0052701D" w:rsidRDefault="00D40929">
      <w:pPr>
        <w:spacing w:after="25"/>
        <w:ind w:left="721"/>
      </w:pPr>
      <w:r>
        <w:rPr>
          <w:rFonts w:ascii="Times New Roman" w:eastAsia="Times New Roman" w:hAnsi="Times New Roman" w:cs="Times New Roman"/>
          <w:color w:val="00000A"/>
          <w:sz w:val="28"/>
        </w:rPr>
        <w:t xml:space="preserve"> </w:t>
      </w:r>
    </w:p>
    <w:p w:rsidR="0052701D" w:rsidRDefault="00D40929">
      <w:pPr>
        <w:spacing w:after="4" w:line="257" w:lineRule="auto"/>
        <w:ind w:left="721" w:right="37"/>
        <w:jc w:val="both"/>
      </w:pPr>
      <w:r>
        <w:rPr>
          <w:rFonts w:ascii="Times New Roman" w:eastAsia="Times New Roman" w:hAnsi="Times New Roman" w:cs="Times New Roman"/>
          <w:color w:val="00000A"/>
          <w:sz w:val="28"/>
        </w:rPr>
        <w:t xml:space="preserve">Решение: </w:t>
      </w:r>
    </w:p>
    <w:p w:rsidR="0052701D" w:rsidRDefault="00D40929">
      <w:pPr>
        <w:spacing w:after="4" w:line="257" w:lineRule="auto"/>
        <w:ind w:left="-15" w:right="37" w:firstLine="711"/>
        <w:jc w:val="both"/>
      </w:pPr>
      <w:r>
        <w:rPr>
          <w:rFonts w:ascii="Times New Roman" w:eastAsia="Times New Roman" w:hAnsi="Times New Roman" w:cs="Times New Roman"/>
          <w:color w:val="00000A"/>
          <w:sz w:val="28"/>
        </w:rPr>
        <w:t xml:space="preserve">Для начала необходимо определить силовую адаптацию для каждого значения выходного момента </w:t>
      </w:r>
      <w:r>
        <w:rPr>
          <w:noProof/>
        </w:rPr>
        <w:drawing>
          <wp:inline distT="0" distB="0" distL="0" distR="0">
            <wp:extent cx="234696" cy="161544"/>
            <wp:effectExtent l="0" t="0" r="0" b="0"/>
            <wp:docPr id="1048663" name="Picture 1048663"/>
            <wp:cNvGraphicFramePr/>
            <a:graphic xmlns:a="http://schemas.openxmlformats.org/drawingml/2006/main">
              <a:graphicData uri="http://schemas.openxmlformats.org/drawingml/2006/picture">
                <pic:pic xmlns:pic="http://schemas.openxmlformats.org/drawingml/2006/picture">
                  <pic:nvPicPr>
                    <pic:cNvPr id="1048663" name="Picture 1048663"/>
                    <pic:cNvPicPr/>
                  </pic:nvPicPr>
                  <pic:blipFill>
                    <a:blip r:embed="rId163"/>
                    <a:stretch>
                      <a:fillRect/>
                    </a:stretch>
                  </pic:blipFill>
                  <pic:spPr>
                    <a:xfrm>
                      <a:off x="0" y="0"/>
                      <a:ext cx="234696" cy="161544"/>
                    </a:xfrm>
                    <a:prstGeom prst="rect">
                      <a:avLst/>
                    </a:prstGeom>
                  </pic:spPr>
                </pic:pic>
              </a:graphicData>
            </a:graphic>
          </wp:inline>
        </w:drawing>
      </w:r>
      <w:r>
        <w:rPr>
          <w:rFonts w:ascii="Times New Roman" w:eastAsia="Times New Roman" w:hAnsi="Times New Roman" w:cs="Times New Roman"/>
          <w:color w:val="00000A"/>
          <w:sz w:val="28"/>
        </w:rPr>
        <w:t xml:space="preserve"> при </w:t>
      </w:r>
      <w:r>
        <w:rPr>
          <w:noProof/>
        </w:rPr>
        <w:drawing>
          <wp:inline distT="0" distB="0" distL="0" distR="0">
            <wp:extent cx="484632" cy="188976"/>
            <wp:effectExtent l="0" t="0" r="0" b="0"/>
            <wp:docPr id="1048664" name="Picture 1048664"/>
            <wp:cNvGraphicFramePr/>
            <a:graphic xmlns:a="http://schemas.openxmlformats.org/drawingml/2006/main">
              <a:graphicData uri="http://schemas.openxmlformats.org/drawingml/2006/picture">
                <pic:pic xmlns:pic="http://schemas.openxmlformats.org/drawingml/2006/picture">
                  <pic:nvPicPr>
                    <pic:cNvPr id="1048664" name="Picture 1048664"/>
                    <pic:cNvPicPr/>
                  </pic:nvPicPr>
                  <pic:blipFill>
                    <a:blip r:embed="rId164"/>
                    <a:stretch>
                      <a:fillRect/>
                    </a:stretch>
                  </pic:blipFill>
                  <pic:spPr>
                    <a:xfrm>
                      <a:off x="0" y="0"/>
                      <a:ext cx="484632" cy="188976"/>
                    </a:xfrm>
                    <a:prstGeom prst="rect">
                      <a:avLst/>
                    </a:prstGeom>
                  </pic:spPr>
                </pic:pic>
              </a:graphicData>
            </a:graphic>
          </wp:inline>
        </w:drawing>
      </w:r>
      <w:r>
        <w:rPr>
          <w:rFonts w:ascii="Times New Roman" w:eastAsia="Times New Roman" w:hAnsi="Times New Roman" w:cs="Times New Roman"/>
          <w:color w:val="00000A"/>
          <w:sz w:val="28"/>
        </w:rPr>
        <w:t xml:space="preserve">из формулы (2.1): </w:t>
      </w:r>
    </w:p>
    <w:p w:rsidR="0052701D" w:rsidRDefault="00D40929">
      <w:pPr>
        <w:spacing w:after="10"/>
        <w:ind w:left="3264"/>
      </w:pPr>
      <w:r>
        <w:rPr>
          <w:noProof/>
        </w:rPr>
        <w:lastRenderedPageBreak/>
        <w:drawing>
          <wp:inline distT="0" distB="0" distL="0" distR="0">
            <wp:extent cx="1908048" cy="377952"/>
            <wp:effectExtent l="0" t="0" r="0" b="0"/>
            <wp:docPr id="1048665" name="Picture 1048665"/>
            <wp:cNvGraphicFramePr/>
            <a:graphic xmlns:a="http://schemas.openxmlformats.org/drawingml/2006/main">
              <a:graphicData uri="http://schemas.openxmlformats.org/drawingml/2006/picture">
                <pic:pic xmlns:pic="http://schemas.openxmlformats.org/drawingml/2006/picture">
                  <pic:nvPicPr>
                    <pic:cNvPr id="1048665" name="Picture 1048665"/>
                    <pic:cNvPicPr/>
                  </pic:nvPicPr>
                  <pic:blipFill>
                    <a:blip r:embed="rId165"/>
                    <a:stretch>
                      <a:fillRect/>
                    </a:stretch>
                  </pic:blipFill>
                  <pic:spPr>
                    <a:xfrm>
                      <a:off x="0" y="0"/>
                      <a:ext cx="1908048" cy="377952"/>
                    </a:xfrm>
                    <a:prstGeom prst="rect">
                      <a:avLst/>
                    </a:prstGeom>
                  </pic:spPr>
                </pic:pic>
              </a:graphicData>
            </a:graphic>
          </wp:inline>
        </w:drawing>
      </w:r>
    </w:p>
    <w:p w:rsidR="0052701D" w:rsidRDefault="00D40929">
      <w:pPr>
        <w:spacing w:after="0"/>
        <w:ind w:left="721"/>
      </w:pPr>
      <w:r>
        <w:rPr>
          <w:rFonts w:ascii="Times New Roman" w:eastAsia="Times New Roman" w:hAnsi="Times New Roman" w:cs="Times New Roman"/>
          <w:color w:val="00000A"/>
          <w:sz w:val="28"/>
        </w:rPr>
        <w:t xml:space="preserve"> </w:t>
      </w:r>
    </w:p>
    <w:p w:rsidR="0052701D" w:rsidRDefault="00D40929">
      <w:pPr>
        <w:spacing w:after="4" w:line="257" w:lineRule="auto"/>
        <w:ind w:left="2641" w:right="37"/>
        <w:jc w:val="both"/>
      </w:pPr>
      <w:r>
        <w:rPr>
          <w:rFonts w:ascii="Times New Roman" w:eastAsia="Times New Roman" w:hAnsi="Times New Roman" w:cs="Times New Roman"/>
          <w:color w:val="00000A"/>
          <w:sz w:val="28"/>
        </w:rPr>
        <w:t xml:space="preserve">Таблица 3.1. Значения </w:t>
      </w:r>
      <w:r>
        <w:rPr>
          <w:noProof/>
        </w:rPr>
        <w:drawing>
          <wp:inline distT="0" distB="0" distL="0" distR="0">
            <wp:extent cx="201168" cy="115824"/>
            <wp:effectExtent l="0" t="0" r="0" b="0"/>
            <wp:docPr id="1048667" name="Picture 1048667"/>
            <wp:cNvGraphicFramePr/>
            <a:graphic xmlns:a="http://schemas.openxmlformats.org/drawingml/2006/main">
              <a:graphicData uri="http://schemas.openxmlformats.org/drawingml/2006/picture">
                <pic:pic xmlns:pic="http://schemas.openxmlformats.org/drawingml/2006/picture">
                  <pic:nvPicPr>
                    <pic:cNvPr id="1048667" name="Picture 1048667"/>
                    <pic:cNvPicPr/>
                  </pic:nvPicPr>
                  <pic:blipFill>
                    <a:blip r:embed="rId166"/>
                    <a:stretch>
                      <a:fillRect/>
                    </a:stretch>
                  </pic:blipFill>
                  <pic:spPr>
                    <a:xfrm>
                      <a:off x="0" y="0"/>
                      <a:ext cx="201168" cy="115824"/>
                    </a:xfrm>
                    <a:prstGeom prst="rect">
                      <a:avLst/>
                    </a:prstGeom>
                  </pic:spPr>
                </pic:pic>
              </a:graphicData>
            </a:graphic>
          </wp:inline>
        </w:drawing>
      </w:r>
      <w:r>
        <w:rPr>
          <w:rFonts w:ascii="Times New Roman" w:eastAsia="Times New Roman" w:hAnsi="Times New Roman" w:cs="Times New Roman"/>
          <w:color w:val="00000A"/>
          <w:sz w:val="28"/>
        </w:rPr>
        <w:t xml:space="preserve"> для каждого </w:t>
      </w:r>
      <w:r>
        <w:rPr>
          <w:noProof/>
        </w:rPr>
        <w:drawing>
          <wp:inline distT="0" distB="0" distL="0" distR="0">
            <wp:extent cx="234696" cy="158496"/>
            <wp:effectExtent l="0" t="0" r="0" b="0"/>
            <wp:docPr id="1048666" name="Picture 1048666"/>
            <wp:cNvGraphicFramePr/>
            <a:graphic xmlns:a="http://schemas.openxmlformats.org/drawingml/2006/main">
              <a:graphicData uri="http://schemas.openxmlformats.org/drawingml/2006/picture">
                <pic:pic xmlns:pic="http://schemas.openxmlformats.org/drawingml/2006/picture">
                  <pic:nvPicPr>
                    <pic:cNvPr id="1048666" name="Picture 1048666"/>
                    <pic:cNvPicPr/>
                  </pic:nvPicPr>
                  <pic:blipFill>
                    <a:blip r:embed="rId167"/>
                    <a:stretch>
                      <a:fillRect/>
                    </a:stretch>
                  </pic:blipFill>
                  <pic:spPr>
                    <a:xfrm>
                      <a:off x="0" y="0"/>
                      <a:ext cx="234696" cy="158496"/>
                    </a:xfrm>
                    <a:prstGeom prst="rect">
                      <a:avLst/>
                    </a:prstGeom>
                  </pic:spPr>
                </pic:pic>
              </a:graphicData>
            </a:graphic>
          </wp:inline>
        </w:drawing>
      </w:r>
      <w:r>
        <w:rPr>
          <w:rFonts w:ascii="Times New Roman" w:eastAsia="Times New Roman" w:hAnsi="Times New Roman" w:cs="Times New Roman"/>
          <w:color w:val="00000A"/>
          <w:sz w:val="28"/>
        </w:rPr>
        <w:t xml:space="preserve"> </w:t>
      </w:r>
    </w:p>
    <w:tbl>
      <w:tblPr>
        <w:tblStyle w:val="TableGrid"/>
        <w:tblW w:w="8643" w:type="dxa"/>
        <w:tblInd w:w="500" w:type="dxa"/>
        <w:tblCellMar>
          <w:top w:w="0" w:type="dxa"/>
          <w:left w:w="84" w:type="dxa"/>
          <w:bottom w:w="0" w:type="dxa"/>
          <w:right w:w="50" w:type="dxa"/>
        </w:tblCellMar>
        <w:tblLook w:val="04A0" w:firstRow="1" w:lastRow="0" w:firstColumn="1" w:lastColumn="0" w:noHBand="0" w:noVBand="1"/>
      </w:tblPr>
      <w:tblGrid>
        <w:gridCol w:w="1272"/>
        <w:gridCol w:w="672"/>
        <w:gridCol w:w="649"/>
        <w:gridCol w:w="878"/>
        <w:gridCol w:w="591"/>
        <w:gridCol w:w="614"/>
        <w:gridCol w:w="879"/>
        <w:gridCol w:w="879"/>
        <w:gridCol w:w="653"/>
        <w:gridCol w:w="879"/>
        <w:gridCol w:w="677"/>
      </w:tblGrid>
      <w:tr w:rsidR="0052701D">
        <w:trPr>
          <w:trHeight w:val="379"/>
        </w:trPr>
        <w:tc>
          <w:tcPr>
            <w:tcW w:w="1272"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noProof/>
              </w:rPr>
              <w:drawing>
                <wp:inline distT="0" distB="0" distL="0" distR="0">
                  <wp:extent cx="231648" cy="158496"/>
                  <wp:effectExtent l="0" t="0" r="0" b="0"/>
                  <wp:docPr id="1048676" name="Picture 1048676"/>
                  <wp:cNvGraphicFramePr/>
                  <a:graphic xmlns:a="http://schemas.openxmlformats.org/drawingml/2006/main">
                    <a:graphicData uri="http://schemas.openxmlformats.org/drawingml/2006/picture">
                      <pic:pic xmlns:pic="http://schemas.openxmlformats.org/drawingml/2006/picture">
                        <pic:nvPicPr>
                          <pic:cNvPr id="1048676" name="Picture 1048676"/>
                          <pic:cNvPicPr/>
                        </pic:nvPicPr>
                        <pic:blipFill>
                          <a:blip r:embed="rId168"/>
                          <a:stretch>
                            <a:fillRect/>
                          </a:stretch>
                        </pic:blipFill>
                        <pic:spPr>
                          <a:xfrm>
                            <a:off x="0" y="0"/>
                            <a:ext cx="231648" cy="158496"/>
                          </a:xfrm>
                          <a:prstGeom prst="rect">
                            <a:avLst/>
                          </a:prstGeom>
                        </pic:spPr>
                      </pic:pic>
                    </a:graphicData>
                  </a:graphic>
                </wp:inline>
              </w:drawing>
            </w:r>
            <w:r>
              <w:rPr>
                <w:rFonts w:ascii="Times New Roman" w:eastAsia="Times New Roman" w:hAnsi="Times New Roman" w:cs="Times New Roman"/>
                <w:color w:val="00000A"/>
                <w:sz w:val="28"/>
              </w:rPr>
              <w:t xml:space="preserve">, Нм </w:t>
            </w:r>
          </w:p>
        </w:tc>
        <w:tc>
          <w:tcPr>
            <w:tcW w:w="6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7"/>
            </w:pPr>
            <w:r>
              <w:rPr>
                <w:rFonts w:ascii="Times New Roman" w:eastAsia="Times New Roman" w:hAnsi="Times New Roman" w:cs="Times New Roman"/>
                <w:color w:val="00000A"/>
                <w:sz w:val="24"/>
              </w:rPr>
              <w:t xml:space="preserve">10 </w:t>
            </w:r>
          </w:p>
        </w:tc>
        <w:tc>
          <w:tcPr>
            <w:tcW w:w="649"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7"/>
            </w:pPr>
            <w:r>
              <w:rPr>
                <w:rFonts w:ascii="Times New Roman" w:eastAsia="Times New Roman" w:hAnsi="Times New Roman" w:cs="Times New Roman"/>
                <w:color w:val="00000A"/>
                <w:sz w:val="24"/>
              </w:rPr>
              <w:t xml:space="preserve">20 </w:t>
            </w:r>
          </w:p>
        </w:tc>
        <w:tc>
          <w:tcPr>
            <w:tcW w:w="87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7"/>
            </w:pPr>
            <w:r>
              <w:rPr>
                <w:rFonts w:ascii="Times New Roman" w:eastAsia="Times New Roman" w:hAnsi="Times New Roman" w:cs="Times New Roman"/>
                <w:color w:val="00000A"/>
                <w:sz w:val="24"/>
              </w:rPr>
              <w:t xml:space="preserve">30 </w:t>
            </w:r>
          </w:p>
        </w:tc>
        <w:tc>
          <w:tcPr>
            <w:tcW w:w="59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7"/>
            </w:pPr>
            <w:r>
              <w:rPr>
                <w:rFonts w:ascii="Times New Roman" w:eastAsia="Times New Roman" w:hAnsi="Times New Roman" w:cs="Times New Roman"/>
                <w:color w:val="00000A"/>
                <w:sz w:val="24"/>
              </w:rPr>
              <w:t xml:space="preserve">40 </w:t>
            </w:r>
          </w:p>
        </w:tc>
        <w:tc>
          <w:tcPr>
            <w:tcW w:w="61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2"/>
            </w:pPr>
            <w:r>
              <w:rPr>
                <w:rFonts w:ascii="Times New Roman" w:eastAsia="Times New Roman" w:hAnsi="Times New Roman" w:cs="Times New Roman"/>
                <w:color w:val="00000A"/>
                <w:sz w:val="24"/>
              </w:rPr>
              <w:t xml:space="preserve">50 </w:t>
            </w:r>
          </w:p>
        </w:tc>
        <w:tc>
          <w:tcPr>
            <w:tcW w:w="879"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2"/>
            </w:pPr>
            <w:r>
              <w:rPr>
                <w:rFonts w:ascii="Times New Roman" w:eastAsia="Times New Roman" w:hAnsi="Times New Roman" w:cs="Times New Roman"/>
                <w:color w:val="00000A"/>
                <w:sz w:val="24"/>
              </w:rPr>
              <w:t xml:space="preserve">60 </w:t>
            </w:r>
          </w:p>
        </w:tc>
        <w:tc>
          <w:tcPr>
            <w:tcW w:w="879"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7"/>
            </w:pPr>
            <w:r>
              <w:rPr>
                <w:rFonts w:ascii="Times New Roman" w:eastAsia="Times New Roman" w:hAnsi="Times New Roman" w:cs="Times New Roman"/>
                <w:color w:val="00000A"/>
                <w:sz w:val="24"/>
              </w:rPr>
              <w:t xml:space="preserve">70 </w:t>
            </w:r>
          </w:p>
        </w:tc>
        <w:tc>
          <w:tcPr>
            <w:tcW w:w="653"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7"/>
            </w:pPr>
            <w:r>
              <w:rPr>
                <w:rFonts w:ascii="Times New Roman" w:eastAsia="Times New Roman" w:hAnsi="Times New Roman" w:cs="Times New Roman"/>
                <w:color w:val="00000A"/>
                <w:sz w:val="24"/>
              </w:rPr>
              <w:t xml:space="preserve">80 </w:t>
            </w:r>
          </w:p>
        </w:tc>
        <w:tc>
          <w:tcPr>
            <w:tcW w:w="879"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2"/>
            </w:pPr>
            <w:r>
              <w:rPr>
                <w:rFonts w:ascii="Times New Roman" w:eastAsia="Times New Roman" w:hAnsi="Times New Roman" w:cs="Times New Roman"/>
                <w:color w:val="00000A"/>
                <w:sz w:val="24"/>
              </w:rPr>
              <w:t xml:space="preserve">90 </w:t>
            </w:r>
          </w:p>
        </w:tc>
        <w:tc>
          <w:tcPr>
            <w:tcW w:w="67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7"/>
            </w:pPr>
            <w:r>
              <w:rPr>
                <w:rFonts w:ascii="Times New Roman" w:eastAsia="Times New Roman" w:hAnsi="Times New Roman" w:cs="Times New Roman"/>
                <w:color w:val="00000A"/>
                <w:sz w:val="24"/>
              </w:rPr>
              <w:t xml:space="preserve">100 </w:t>
            </w:r>
          </w:p>
        </w:tc>
      </w:tr>
      <w:tr w:rsidR="0052701D">
        <w:trPr>
          <w:trHeight w:val="428"/>
        </w:trPr>
        <w:tc>
          <w:tcPr>
            <w:tcW w:w="1272" w:type="dxa"/>
            <w:tcBorders>
              <w:top w:val="single" w:sz="4" w:space="0" w:color="000000"/>
              <w:left w:val="single" w:sz="4" w:space="0" w:color="000000"/>
              <w:bottom w:val="single" w:sz="4" w:space="0" w:color="000000"/>
              <w:right w:val="single" w:sz="4" w:space="0" w:color="000000"/>
            </w:tcBorders>
          </w:tcPr>
          <w:p w:rsidR="0052701D" w:rsidRDefault="00D40929">
            <w:pPr>
              <w:tabs>
                <w:tab w:val="right" w:pos="1138"/>
              </w:tabs>
              <w:spacing w:after="0"/>
            </w:pPr>
            <w:r>
              <w:rPr>
                <w:noProof/>
              </w:rPr>
              <w:drawing>
                <wp:inline distT="0" distB="0" distL="0" distR="0">
                  <wp:extent cx="192024" cy="109728"/>
                  <wp:effectExtent l="0" t="0" r="0" b="0"/>
                  <wp:docPr id="1048677" name="Picture 1048677"/>
                  <wp:cNvGraphicFramePr/>
                  <a:graphic xmlns:a="http://schemas.openxmlformats.org/drawingml/2006/main">
                    <a:graphicData uri="http://schemas.openxmlformats.org/drawingml/2006/picture">
                      <pic:pic xmlns:pic="http://schemas.openxmlformats.org/drawingml/2006/picture">
                        <pic:nvPicPr>
                          <pic:cNvPr id="1048677" name="Picture 1048677"/>
                          <pic:cNvPicPr/>
                        </pic:nvPicPr>
                        <pic:blipFill>
                          <a:blip r:embed="rId169"/>
                          <a:stretch>
                            <a:fillRect/>
                          </a:stretch>
                        </pic:blipFill>
                        <pic:spPr>
                          <a:xfrm>
                            <a:off x="0" y="0"/>
                            <a:ext cx="192024" cy="109728"/>
                          </a:xfrm>
                          <a:prstGeom prst="rect">
                            <a:avLst/>
                          </a:prstGeom>
                        </pic:spPr>
                      </pic:pic>
                    </a:graphicData>
                  </a:graphic>
                </wp:inline>
              </w:drawing>
            </w:r>
            <w:r>
              <w:rPr>
                <w:rFonts w:ascii="Times New Roman" w:eastAsia="Times New Roman" w:hAnsi="Times New Roman" w:cs="Times New Roman"/>
                <w:color w:val="00000A"/>
                <w:sz w:val="28"/>
              </w:rPr>
              <w:t xml:space="preserve">, </w:t>
            </w:r>
            <w:r>
              <w:rPr>
                <w:noProof/>
              </w:rPr>
              <w:drawing>
                <wp:inline distT="0" distB="0" distL="0" distR="0">
                  <wp:extent cx="234696" cy="152400"/>
                  <wp:effectExtent l="0" t="0" r="0" b="0"/>
                  <wp:docPr id="1048678" name="Picture 1048678"/>
                  <wp:cNvGraphicFramePr/>
                  <a:graphic xmlns:a="http://schemas.openxmlformats.org/drawingml/2006/main">
                    <a:graphicData uri="http://schemas.openxmlformats.org/drawingml/2006/picture">
                      <pic:pic xmlns:pic="http://schemas.openxmlformats.org/drawingml/2006/picture">
                        <pic:nvPicPr>
                          <pic:cNvPr id="1048678" name="Picture 1048678"/>
                          <pic:cNvPicPr/>
                        </pic:nvPicPr>
                        <pic:blipFill>
                          <a:blip r:embed="rId170"/>
                          <a:stretch>
                            <a:fillRect/>
                          </a:stretch>
                        </pic:blipFill>
                        <pic:spPr>
                          <a:xfrm>
                            <a:off x="0" y="0"/>
                            <a:ext cx="234696" cy="152400"/>
                          </a:xfrm>
                          <a:prstGeom prst="rect">
                            <a:avLst/>
                          </a:prstGeom>
                        </pic:spPr>
                      </pic:pic>
                    </a:graphicData>
                  </a:graphic>
                </wp:inline>
              </w:drawing>
            </w:r>
            <w:r>
              <w:rPr>
                <w:rFonts w:ascii="Times New Roman" w:eastAsia="Times New Roman" w:hAnsi="Times New Roman" w:cs="Times New Roman"/>
                <w:color w:val="00000A"/>
                <w:sz w:val="28"/>
              </w:rPr>
              <w:tab/>
              <w:t xml:space="preserve"> </w:t>
            </w:r>
          </w:p>
        </w:tc>
        <w:tc>
          <w:tcPr>
            <w:tcW w:w="6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7"/>
            </w:pPr>
            <w:r>
              <w:rPr>
                <w:rFonts w:ascii="Times New Roman" w:eastAsia="Times New Roman" w:hAnsi="Times New Roman" w:cs="Times New Roman"/>
                <w:color w:val="00000A"/>
                <w:sz w:val="24"/>
              </w:rPr>
              <w:t xml:space="preserve">100 </w:t>
            </w:r>
          </w:p>
        </w:tc>
        <w:tc>
          <w:tcPr>
            <w:tcW w:w="649"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7"/>
            </w:pPr>
            <w:r>
              <w:rPr>
                <w:rFonts w:ascii="Times New Roman" w:eastAsia="Times New Roman" w:hAnsi="Times New Roman" w:cs="Times New Roman"/>
                <w:color w:val="00000A"/>
                <w:sz w:val="24"/>
              </w:rPr>
              <w:t xml:space="preserve">50 </w:t>
            </w:r>
          </w:p>
        </w:tc>
        <w:tc>
          <w:tcPr>
            <w:tcW w:w="87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7"/>
            </w:pPr>
            <w:r>
              <w:rPr>
                <w:rFonts w:ascii="Times New Roman" w:eastAsia="Times New Roman" w:hAnsi="Times New Roman" w:cs="Times New Roman"/>
                <w:color w:val="00000A"/>
                <w:sz w:val="24"/>
              </w:rPr>
              <w:t xml:space="preserve">33,333 </w:t>
            </w:r>
          </w:p>
        </w:tc>
        <w:tc>
          <w:tcPr>
            <w:tcW w:w="59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7"/>
            </w:pPr>
            <w:r>
              <w:rPr>
                <w:rFonts w:ascii="Times New Roman" w:eastAsia="Times New Roman" w:hAnsi="Times New Roman" w:cs="Times New Roman"/>
                <w:color w:val="00000A"/>
                <w:sz w:val="24"/>
              </w:rPr>
              <w:t xml:space="preserve">25 </w:t>
            </w:r>
          </w:p>
        </w:tc>
        <w:tc>
          <w:tcPr>
            <w:tcW w:w="61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2"/>
            </w:pPr>
            <w:r>
              <w:rPr>
                <w:rFonts w:ascii="Times New Roman" w:eastAsia="Times New Roman" w:hAnsi="Times New Roman" w:cs="Times New Roman"/>
                <w:color w:val="00000A"/>
                <w:sz w:val="24"/>
              </w:rPr>
              <w:t xml:space="preserve">20 </w:t>
            </w:r>
          </w:p>
        </w:tc>
        <w:tc>
          <w:tcPr>
            <w:tcW w:w="879"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2"/>
            </w:pPr>
            <w:r>
              <w:rPr>
                <w:rFonts w:ascii="Times New Roman" w:eastAsia="Times New Roman" w:hAnsi="Times New Roman" w:cs="Times New Roman"/>
                <w:color w:val="00000A"/>
                <w:sz w:val="24"/>
              </w:rPr>
              <w:t>16,667</w:t>
            </w:r>
            <w:r>
              <w:rPr>
                <w:rFonts w:ascii="Times New Roman" w:eastAsia="Times New Roman" w:hAnsi="Times New Roman" w:cs="Times New Roman"/>
                <w:color w:val="00000A"/>
                <w:sz w:val="24"/>
              </w:rPr>
              <w:t xml:space="preserve"> </w:t>
            </w:r>
          </w:p>
        </w:tc>
        <w:tc>
          <w:tcPr>
            <w:tcW w:w="879"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7"/>
            </w:pPr>
            <w:r>
              <w:rPr>
                <w:rFonts w:ascii="Times New Roman" w:eastAsia="Times New Roman" w:hAnsi="Times New Roman" w:cs="Times New Roman"/>
                <w:color w:val="00000A"/>
                <w:sz w:val="24"/>
              </w:rPr>
              <w:t xml:space="preserve">14,286 </w:t>
            </w:r>
          </w:p>
        </w:tc>
        <w:tc>
          <w:tcPr>
            <w:tcW w:w="653"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7"/>
            </w:pPr>
            <w:r>
              <w:rPr>
                <w:rFonts w:ascii="Times New Roman" w:eastAsia="Times New Roman" w:hAnsi="Times New Roman" w:cs="Times New Roman"/>
                <w:color w:val="00000A"/>
                <w:sz w:val="24"/>
              </w:rPr>
              <w:t xml:space="preserve">12,5 </w:t>
            </w:r>
          </w:p>
        </w:tc>
        <w:tc>
          <w:tcPr>
            <w:tcW w:w="879"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2"/>
            </w:pPr>
            <w:r>
              <w:rPr>
                <w:rFonts w:ascii="Times New Roman" w:eastAsia="Times New Roman" w:hAnsi="Times New Roman" w:cs="Times New Roman"/>
                <w:color w:val="00000A"/>
                <w:sz w:val="24"/>
              </w:rPr>
              <w:t xml:space="preserve">11,111 </w:t>
            </w:r>
          </w:p>
        </w:tc>
        <w:tc>
          <w:tcPr>
            <w:tcW w:w="67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7"/>
            </w:pPr>
            <w:r>
              <w:rPr>
                <w:rFonts w:ascii="Times New Roman" w:eastAsia="Times New Roman" w:hAnsi="Times New Roman" w:cs="Times New Roman"/>
                <w:color w:val="00000A"/>
                <w:sz w:val="24"/>
              </w:rPr>
              <w:t xml:space="preserve">10 </w:t>
            </w:r>
          </w:p>
        </w:tc>
      </w:tr>
    </w:tbl>
    <w:p w:rsidR="0052701D" w:rsidRDefault="00D40929">
      <w:pPr>
        <w:spacing w:after="0"/>
        <w:ind w:left="721"/>
      </w:pPr>
      <w:r>
        <w:rPr>
          <w:rFonts w:ascii="Times New Roman" w:eastAsia="Times New Roman" w:hAnsi="Times New Roman" w:cs="Times New Roman"/>
          <w:color w:val="00000A"/>
        </w:rPr>
        <w:t xml:space="preserve"> </w:t>
      </w:r>
    </w:p>
    <w:p w:rsidR="0052701D" w:rsidRDefault="00D40929">
      <w:pPr>
        <w:spacing w:after="0"/>
        <w:ind w:left="2227"/>
      </w:pPr>
      <w:r>
        <w:rPr>
          <w:noProof/>
        </w:rPr>
        <mc:AlternateContent>
          <mc:Choice Requires="wpg">
            <w:drawing>
              <wp:inline distT="0" distB="0" distL="0" distR="0">
                <wp:extent cx="3329051" cy="2547044"/>
                <wp:effectExtent l="0" t="0" r="0" b="0"/>
                <wp:docPr id="927667" name="Group 927667"/>
                <wp:cNvGraphicFramePr/>
                <a:graphic xmlns:a="http://schemas.openxmlformats.org/drawingml/2006/main">
                  <a:graphicData uri="http://schemas.microsoft.com/office/word/2010/wordprocessingGroup">
                    <wpg:wgp>
                      <wpg:cNvGrpSpPr/>
                      <wpg:grpSpPr>
                        <a:xfrm>
                          <a:off x="0" y="0"/>
                          <a:ext cx="3329051" cy="2547044"/>
                          <a:chOff x="0" y="0"/>
                          <a:chExt cx="3329051" cy="2547044"/>
                        </a:xfrm>
                      </wpg:grpSpPr>
                      <wps:wsp>
                        <wps:cNvPr id="15660" name="Rectangle 15660"/>
                        <wps:cNvSpPr/>
                        <wps:spPr>
                          <a:xfrm>
                            <a:off x="3293999" y="2391834"/>
                            <a:ext cx="46619" cy="206429"/>
                          </a:xfrm>
                          <a:prstGeom prst="rect">
                            <a:avLst/>
                          </a:prstGeom>
                          <a:ln>
                            <a:noFill/>
                          </a:ln>
                        </wps:spPr>
                        <wps:txbx>
                          <w:txbxContent>
                            <w:p w:rsidR="0052701D" w:rsidRDefault="00D40929">
                              <w:r>
                                <w:rPr>
                                  <w:rFonts w:ascii="Times New Roman" w:eastAsia="Times New Roman" w:hAnsi="Times New Roman" w:cs="Times New Roman"/>
                                  <w:color w:val="00000A"/>
                                </w:rPr>
                                <w:t xml:space="preserve"> </w:t>
                              </w:r>
                            </w:p>
                          </w:txbxContent>
                        </wps:txbx>
                        <wps:bodyPr horzOverflow="overflow" vert="horz" lIns="0" tIns="0" rIns="0" bIns="0" rtlCol="0">
                          <a:noAutofit/>
                        </wps:bodyPr>
                      </wps:wsp>
                      <wps:wsp>
                        <wps:cNvPr id="15750" name="Shape 15750"/>
                        <wps:cNvSpPr/>
                        <wps:spPr>
                          <a:xfrm>
                            <a:off x="297180" y="2168652"/>
                            <a:ext cx="2834640" cy="0"/>
                          </a:xfrm>
                          <a:custGeom>
                            <a:avLst/>
                            <a:gdLst/>
                            <a:ahLst/>
                            <a:cxnLst/>
                            <a:rect l="0" t="0" r="0" b="0"/>
                            <a:pathLst>
                              <a:path w="2834640">
                                <a:moveTo>
                                  <a:pt x="0" y="0"/>
                                </a:moveTo>
                                <a:lnTo>
                                  <a:pt x="2834640"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5751" name="Shape 15751"/>
                        <wps:cNvSpPr/>
                        <wps:spPr>
                          <a:xfrm>
                            <a:off x="297180" y="2061972"/>
                            <a:ext cx="2834640" cy="0"/>
                          </a:xfrm>
                          <a:custGeom>
                            <a:avLst/>
                            <a:gdLst/>
                            <a:ahLst/>
                            <a:cxnLst/>
                            <a:rect l="0" t="0" r="0" b="0"/>
                            <a:pathLst>
                              <a:path w="2834640">
                                <a:moveTo>
                                  <a:pt x="0" y="0"/>
                                </a:moveTo>
                                <a:lnTo>
                                  <a:pt x="2834640"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5752" name="Shape 15752"/>
                        <wps:cNvSpPr/>
                        <wps:spPr>
                          <a:xfrm>
                            <a:off x="297180" y="1958339"/>
                            <a:ext cx="2834640" cy="0"/>
                          </a:xfrm>
                          <a:custGeom>
                            <a:avLst/>
                            <a:gdLst/>
                            <a:ahLst/>
                            <a:cxnLst/>
                            <a:rect l="0" t="0" r="0" b="0"/>
                            <a:pathLst>
                              <a:path w="2834640">
                                <a:moveTo>
                                  <a:pt x="0" y="0"/>
                                </a:moveTo>
                                <a:lnTo>
                                  <a:pt x="2834640"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5753" name="Shape 15753"/>
                        <wps:cNvSpPr/>
                        <wps:spPr>
                          <a:xfrm>
                            <a:off x="297180" y="1851660"/>
                            <a:ext cx="2834640" cy="0"/>
                          </a:xfrm>
                          <a:custGeom>
                            <a:avLst/>
                            <a:gdLst/>
                            <a:ahLst/>
                            <a:cxnLst/>
                            <a:rect l="0" t="0" r="0" b="0"/>
                            <a:pathLst>
                              <a:path w="2834640">
                                <a:moveTo>
                                  <a:pt x="0" y="0"/>
                                </a:moveTo>
                                <a:lnTo>
                                  <a:pt x="2834640"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5754" name="Shape 15754"/>
                        <wps:cNvSpPr/>
                        <wps:spPr>
                          <a:xfrm>
                            <a:off x="297180" y="1748028"/>
                            <a:ext cx="2834640" cy="0"/>
                          </a:xfrm>
                          <a:custGeom>
                            <a:avLst/>
                            <a:gdLst/>
                            <a:ahLst/>
                            <a:cxnLst/>
                            <a:rect l="0" t="0" r="0" b="0"/>
                            <a:pathLst>
                              <a:path w="2834640">
                                <a:moveTo>
                                  <a:pt x="0" y="0"/>
                                </a:moveTo>
                                <a:lnTo>
                                  <a:pt x="2834640"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5755" name="Shape 15755"/>
                        <wps:cNvSpPr/>
                        <wps:spPr>
                          <a:xfrm>
                            <a:off x="297180" y="1641348"/>
                            <a:ext cx="2834640" cy="0"/>
                          </a:xfrm>
                          <a:custGeom>
                            <a:avLst/>
                            <a:gdLst/>
                            <a:ahLst/>
                            <a:cxnLst/>
                            <a:rect l="0" t="0" r="0" b="0"/>
                            <a:pathLst>
                              <a:path w="2834640">
                                <a:moveTo>
                                  <a:pt x="0" y="0"/>
                                </a:moveTo>
                                <a:lnTo>
                                  <a:pt x="2834640"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5756" name="Shape 15756"/>
                        <wps:cNvSpPr/>
                        <wps:spPr>
                          <a:xfrm>
                            <a:off x="297180" y="1537716"/>
                            <a:ext cx="2834640" cy="0"/>
                          </a:xfrm>
                          <a:custGeom>
                            <a:avLst/>
                            <a:gdLst/>
                            <a:ahLst/>
                            <a:cxnLst/>
                            <a:rect l="0" t="0" r="0" b="0"/>
                            <a:pathLst>
                              <a:path w="2834640">
                                <a:moveTo>
                                  <a:pt x="0" y="0"/>
                                </a:moveTo>
                                <a:lnTo>
                                  <a:pt x="2834640"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5757" name="Shape 15757"/>
                        <wps:cNvSpPr/>
                        <wps:spPr>
                          <a:xfrm>
                            <a:off x="297180" y="1434084"/>
                            <a:ext cx="2834640" cy="0"/>
                          </a:xfrm>
                          <a:custGeom>
                            <a:avLst/>
                            <a:gdLst/>
                            <a:ahLst/>
                            <a:cxnLst/>
                            <a:rect l="0" t="0" r="0" b="0"/>
                            <a:pathLst>
                              <a:path w="2834640">
                                <a:moveTo>
                                  <a:pt x="0" y="0"/>
                                </a:moveTo>
                                <a:lnTo>
                                  <a:pt x="2834640"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5758" name="Shape 15758"/>
                        <wps:cNvSpPr/>
                        <wps:spPr>
                          <a:xfrm>
                            <a:off x="297180" y="1327404"/>
                            <a:ext cx="2834640" cy="0"/>
                          </a:xfrm>
                          <a:custGeom>
                            <a:avLst/>
                            <a:gdLst/>
                            <a:ahLst/>
                            <a:cxnLst/>
                            <a:rect l="0" t="0" r="0" b="0"/>
                            <a:pathLst>
                              <a:path w="2834640">
                                <a:moveTo>
                                  <a:pt x="0" y="0"/>
                                </a:moveTo>
                                <a:lnTo>
                                  <a:pt x="2834640"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5759" name="Shape 15759"/>
                        <wps:cNvSpPr/>
                        <wps:spPr>
                          <a:xfrm>
                            <a:off x="297180" y="1223772"/>
                            <a:ext cx="2834640" cy="0"/>
                          </a:xfrm>
                          <a:custGeom>
                            <a:avLst/>
                            <a:gdLst/>
                            <a:ahLst/>
                            <a:cxnLst/>
                            <a:rect l="0" t="0" r="0" b="0"/>
                            <a:pathLst>
                              <a:path w="2834640">
                                <a:moveTo>
                                  <a:pt x="0" y="0"/>
                                </a:moveTo>
                                <a:lnTo>
                                  <a:pt x="2834640"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5760" name="Shape 15760"/>
                        <wps:cNvSpPr/>
                        <wps:spPr>
                          <a:xfrm>
                            <a:off x="297180" y="1117092"/>
                            <a:ext cx="2834640" cy="0"/>
                          </a:xfrm>
                          <a:custGeom>
                            <a:avLst/>
                            <a:gdLst/>
                            <a:ahLst/>
                            <a:cxnLst/>
                            <a:rect l="0" t="0" r="0" b="0"/>
                            <a:pathLst>
                              <a:path w="2834640">
                                <a:moveTo>
                                  <a:pt x="0" y="0"/>
                                </a:moveTo>
                                <a:lnTo>
                                  <a:pt x="2834640"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5761" name="Shape 15761"/>
                        <wps:cNvSpPr/>
                        <wps:spPr>
                          <a:xfrm>
                            <a:off x="297180" y="1013460"/>
                            <a:ext cx="2834640" cy="0"/>
                          </a:xfrm>
                          <a:custGeom>
                            <a:avLst/>
                            <a:gdLst/>
                            <a:ahLst/>
                            <a:cxnLst/>
                            <a:rect l="0" t="0" r="0" b="0"/>
                            <a:pathLst>
                              <a:path w="2834640">
                                <a:moveTo>
                                  <a:pt x="0" y="0"/>
                                </a:moveTo>
                                <a:lnTo>
                                  <a:pt x="2834640"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5762" name="Shape 15762"/>
                        <wps:cNvSpPr/>
                        <wps:spPr>
                          <a:xfrm>
                            <a:off x="297180" y="906780"/>
                            <a:ext cx="2834640" cy="0"/>
                          </a:xfrm>
                          <a:custGeom>
                            <a:avLst/>
                            <a:gdLst/>
                            <a:ahLst/>
                            <a:cxnLst/>
                            <a:rect l="0" t="0" r="0" b="0"/>
                            <a:pathLst>
                              <a:path w="2834640">
                                <a:moveTo>
                                  <a:pt x="0" y="0"/>
                                </a:moveTo>
                                <a:lnTo>
                                  <a:pt x="2834640"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5763" name="Shape 15763"/>
                        <wps:cNvSpPr/>
                        <wps:spPr>
                          <a:xfrm>
                            <a:off x="297180" y="803148"/>
                            <a:ext cx="2834640" cy="0"/>
                          </a:xfrm>
                          <a:custGeom>
                            <a:avLst/>
                            <a:gdLst/>
                            <a:ahLst/>
                            <a:cxnLst/>
                            <a:rect l="0" t="0" r="0" b="0"/>
                            <a:pathLst>
                              <a:path w="2834640">
                                <a:moveTo>
                                  <a:pt x="0" y="0"/>
                                </a:moveTo>
                                <a:lnTo>
                                  <a:pt x="2834640"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5764" name="Shape 15764"/>
                        <wps:cNvSpPr/>
                        <wps:spPr>
                          <a:xfrm>
                            <a:off x="297180" y="699516"/>
                            <a:ext cx="2834640" cy="0"/>
                          </a:xfrm>
                          <a:custGeom>
                            <a:avLst/>
                            <a:gdLst/>
                            <a:ahLst/>
                            <a:cxnLst/>
                            <a:rect l="0" t="0" r="0" b="0"/>
                            <a:pathLst>
                              <a:path w="2834640">
                                <a:moveTo>
                                  <a:pt x="0" y="0"/>
                                </a:moveTo>
                                <a:lnTo>
                                  <a:pt x="2834640"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5765" name="Shape 15765"/>
                        <wps:cNvSpPr/>
                        <wps:spPr>
                          <a:xfrm>
                            <a:off x="297180" y="592836"/>
                            <a:ext cx="2834640" cy="0"/>
                          </a:xfrm>
                          <a:custGeom>
                            <a:avLst/>
                            <a:gdLst/>
                            <a:ahLst/>
                            <a:cxnLst/>
                            <a:rect l="0" t="0" r="0" b="0"/>
                            <a:pathLst>
                              <a:path w="2834640">
                                <a:moveTo>
                                  <a:pt x="0" y="0"/>
                                </a:moveTo>
                                <a:lnTo>
                                  <a:pt x="2834640"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5766" name="Shape 15766"/>
                        <wps:cNvSpPr/>
                        <wps:spPr>
                          <a:xfrm>
                            <a:off x="297180" y="489204"/>
                            <a:ext cx="2834640" cy="0"/>
                          </a:xfrm>
                          <a:custGeom>
                            <a:avLst/>
                            <a:gdLst/>
                            <a:ahLst/>
                            <a:cxnLst/>
                            <a:rect l="0" t="0" r="0" b="0"/>
                            <a:pathLst>
                              <a:path w="2834640">
                                <a:moveTo>
                                  <a:pt x="0" y="0"/>
                                </a:moveTo>
                                <a:lnTo>
                                  <a:pt x="2834640"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5767" name="Shape 15767"/>
                        <wps:cNvSpPr/>
                        <wps:spPr>
                          <a:xfrm>
                            <a:off x="297180" y="382524"/>
                            <a:ext cx="2834640" cy="0"/>
                          </a:xfrm>
                          <a:custGeom>
                            <a:avLst/>
                            <a:gdLst/>
                            <a:ahLst/>
                            <a:cxnLst/>
                            <a:rect l="0" t="0" r="0" b="0"/>
                            <a:pathLst>
                              <a:path w="2834640">
                                <a:moveTo>
                                  <a:pt x="0" y="0"/>
                                </a:moveTo>
                                <a:lnTo>
                                  <a:pt x="2834640"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5768" name="Shape 15768"/>
                        <wps:cNvSpPr/>
                        <wps:spPr>
                          <a:xfrm>
                            <a:off x="297180" y="278892"/>
                            <a:ext cx="2834640" cy="0"/>
                          </a:xfrm>
                          <a:custGeom>
                            <a:avLst/>
                            <a:gdLst/>
                            <a:ahLst/>
                            <a:cxnLst/>
                            <a:rect l="0" t="0" r="0" b="0"/>
                            <a:pathLst>
                              <a:path w="2834640">
                                <a:moveTo>
                                  <a:pt x="0" y="0"/>
                                </a:moveTo>
                                <a:lnTo>
                                  <a:pt x="2834640"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5769" name="Shape 15769"/>
                        <wps:cNvSpPr/>
                        <wps:spPr>
                          <a:xfrm>
                            <a:off x="297180" y="172212"/>
                            <a:ext cx="2834640" cy="0"/>
                          </a:xfrm>
                          <a:custGeom>
                            <a:avLst/>
                            <a:gdLst/>
                            <a:ahLst/>
                            <a:cxnLst/>
                            <a:rect l="0" t="0" r="0" b="0"/>
                            <a:pathLst>
                              <a:path w="2834640">
                                <a:moveTo>
                                  <a:pt x="0" y="0"/>
                                </a:moveTo>
                                <a:lnTo>
                                  <a:pt x="2834640"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5770" name="Shape 15770"/>
                        <wps:cNvSpPr/>
                        <wps:spPr>
                          <a:xfrm>
                            <a:off x="297180" y="68580"/>
                            <a:ext cx="2834640" cy="0"/>
                          </a:xfrm>
                          <a:custGeom>
                            <a:avLst/>
                            <a:gdLst/>
                            <a:ahLst/>
                            <a:cxnLst/>
                            <a:rect l="0" t="0" r="0" b="0"/>
                            <a:pathLst>
                              <a:path w="2834640">
                                <a:moveTo>
                                  <a:pt x="0" y="0"/>
                                </a:moveTo>
                                <a:lnTo>
                                  <a:pt x="2834640"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5771" name="Shape 15771"/>
                        <wps:cNvSpPr/>
                        <wps:spPr>
                          <a:xfrm>
                            <a:off x="440436" y="68580"/>
                            <a:ext cx="0" cy="2203704"/>
                          </a:xfrm>
                          <a:custGeom>
                            <a:avLst/>
                            <a:gdLst/>
                            <a:ahLst/>
                            <a:cxnLst/>
                            <a:rect l="0" t="0" r="0" b="0"/>
                            <a:pathLst>
                              <a:path h="2203704">
                                <a:moveTo>
                                  <a:pt x="0" y="0"/>
                                </a:moveTo>
                                <a:lnTo>
                                  <a:pt x="0" y="220370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5772" name="Shape 15772"/>
                        <wps:cNvSpPr/>
                        <wps:spPr>
                          <a:xfrm>
                            <a:off x="580644" y="68580"/>
                            <a:ext cx="0" cy="2203704"/>
                          </a:xfrm>
                          <a:custGeom>
                            <a:avLst/>
                            <a:gdLst/>
                            <a:ahLst/>
                            <a:cxnLst/>
                            <a:rect l="0" t="0" r="0" b="0"/>
                            <a:pathLst>
                              <a:path h="2203704">
                                <a:moveTo>
                                  <a:pt x="0" y="0"/>
                                </a:moveTo>
                                <a:lnTo>
                                  <a:pt x="0" y="220370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5773" name="Shape 15773"/>
                        <wps:cNvSpPr/>
                        <wps:spPr>
                          <a:xfrm>
                            <a:off x="723900" y="68580"/>
                            <a:ext cx="0" cy="2203704"/>
                          </a:xfrm>
                          <a:custGeom>
                            <a:avLst/>
                            <a:gdLst/>
                            <a:ahLst/>
                            <a:cxnLst/>
                            <a:rect l="0" t="0" r="0" b="0"/>
                            <a:pathLst>
                              <a:path h="2203704">
                                <a:moveTo>
                                  <a:pt x="0" y="0"/>
                                </a:moveTo>
                                <a:lnTo>
                                  <a:pt x="0" y="220370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5774" name="Shape 15774"/>
                        <wps:cNvSpPr/>
                        <wps:spPr>
                          <a:xfrm>
                            <a:off x="864108" y="68580"/>
                            <a:ext cx="0" cy="2203704"/>
                          </a:xfrm>
                          <a:custGeom>
                            <a:avLst/>
                            <a:gdLst/>
                            <a:ahLst/>
                            <a:cxnLst/>
                            <a:rect l="0" t="0" r="0" b="0"/>
                            <a:pathLst>
                              <a:path h="2203704">
                                <a:moveTo>
                                  <a:pt x="0" y="0"/>
                                </a:moveTo>
                                <a:lnTo>
                                  <a:pt x="0" y="220370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5775" name="Shape 15775"/>
                        <wps:cNvSpPr/>
                        <wps:spPr>
                          <a:xfrm>
                            <a:off x="1007364" y="68580"/>
                            <a:ext cx="0" cy="2203704"/>
                          </a:xfrm>
                          <a:custGeom>
                            <a:avLst/>
                            <a:gdLst/>
                            <a:ahLst/>
                            <a:cxnLst/>
                            <a:rect l="0" t="0" r="0" b="0"/>
                            <a:pathLst>
                              <a:path h="2203704">
                                <a:moveTo>
                                  <a:pt x="0" y="0"/>
                                </a:moveTo>
                                <a:lnTo>
                                  <a:pt x="0" y="220370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5776" name="Shape 15776"/>
                        <wps:cNvSpPr/>
                        <wps:spPr>
                          <a:xfrm>
                            <a:off x="1147572" y="68580"/>
                            <a:ext cx="0" cy="2203704"/>
                          </a:xfrm>
                          <a:custGeom>
                            <a:avLst/>
                            <a:gdLst/>
                            <a:ahLst/>
                            <a:cxnLst/>
                            <a:rect l="0" t="0" r="0" b="0"/>
                            <a:pathLst>
                              <a:path h="2203704">
                                <a:moveTo>
                                  <a:pt x="0" y="0"/>
                                </a:moveTo>
                                <a:lnTo>
                                  <a:pt x="0" y="220370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5777" name="Shape 15777"/>
                        <wps:cNvSpPr/>
                        <wps:spPr>
                          <a:xfrm>
                            <a:off x="1290828" y="68580"/>
                            <a:ext cx="0" cy="2203704"/>
                          </a:xfrm>
                          <a:custGeom>
                            <a:avLst/>
                            <a:gdLst/>
                            <a:ahLst/>
                            <a:cxnLst/>
                            <a:rect l="0" t="0" r="0" b="0"/>
                            <a:pathLst>
                              <a:path h="2203704">
                                <a:moveTo>
                                  <a:pt x="0" y="0"/>
                                </a:moveTo>
                                <a:lnTo>
                                  <a:pt x="0" y="220370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5778" name="Shape 15778"/>
                        <wps:cNvSpPr/>
                        <wps:spPr>
                          <a:xfrm>
                            <a:off x="1431036" y="68580"/>
                            <a:ext cx="0" cy="2203704"/>
                          </a:xfrm>
                          <a:custGeom>
                            <a:avLst/>
                            <a:gdLst/>
                            <a:ahLst/>
                            <a:cxnLst/>
                            <a:rect l="0" t="0" r="0" b="0"/>
                            <a:pathLst>
                              <a:path h="2203704">
                                <a:moveTo>
                                  <a:pt x="0" y="0"/>
                                </a:moveTo>
                                <a:lnTo>
                                  <a:pt x="0" y="220370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5779" name="Shape 15779"/>
                        <wps:cNvSpPr/>
                        <wps:spPr>
                          <a:xfrm>
                            <a:off x="1574292" y="68580"/>
                            <a:ext cx="0" cy="2203704"/>
                          </a:xfrm>
                          <a:custGeom>
                            <a:avLst/>
                            <a:gdLst/>
                            <a:ahLst/>
                            <a:cxnLst/>
                            <a:rect l="0" t="0" r="0" b="0"/>
                            <a:pathLst>
                              <a:path h="2203704">
                                <a:moveTo>
                                  <a:pt x="0" y="0"/>
                                </a:moveTo>
                                <a:lnTo>
                                  <a:pt x="0" y="220370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5780" name="Shape 15780"/>
                        <wps:cNvSpPr/>
                        <wps:spPr>
                          <a:xfrm>
                            <a:off x="1714500" y="68580"/>
                            <a:ext cx="0" cy="2203704"/>
                          </a:xfrm>
                          <a:custGeom>
                            <a:avLst/>
                            <a:gdLst/>
                            <a:ahLst/>
                            <a:cxnLst/>
                            <a:rect l="0" t="0" r="0" b="0"/>
                            <a:pathLst>
                              <a:path h="2203704">
                                <a:moveTo>
                                  <a:pt x="0" y="0"/>
                                </a:moveTo>
                                <a:lnTo>
                                  <a:pt x="0" y="220370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5781" name="Shape 15781"/>
                        <wps:cNvSpPr/>
                        <wps:spPr>
                          <a:xfrm>
                            <a:off x="1857756" y="68580"/>
                            <a:ext cx="0" cy="2203704"/>
                          </a:xfrm>
                          <a:custGeom>
                            <a:avLst/>
                            <a:gdLst/>
                            <a:ahLst/>
                            <a:cxnLst/>
                            <a:rect l="0" t="0" r="0" b="0"/>
                            <a:pathLst>
                              <a:path h="2203704">
                                <a:moveTo>
                                  <a:pt x="0" y="0"/>
                                </a:moveTo>
                                <a:lnTo>
                                  <a:pt x="0" y="220370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5782" name="Shape 15782"/>
                        <wps:cNvSpPr/>
                        <wps:spPr>
                          <a:xfrm>
                            <a:off x="1997964" y="68580"/>
                            <a:ext cx="0" cy="2203704"/>
                          </a:xfrm>
                          <a:custGeom>
                            <a:avLst/>
                            <a:gdLst/>
                            <a:ahLst/>
                            <a:cxnLst/>
                            <a:rect l="0" t="0" r="0" b="0"/>
                            <a:pathLst>
                              <a:path h="2203704">
                                <a:moveTo>
                                  <a:pt x="0" y="0"/>
                                </a:moveTo>
                                <a:lnTo>
                                  <a:pt x="0" y="220370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5783" name="Shape 15783"/>
                        <wps:cNvSpPr/>
                        <wps:spPr>
                          <a:xfrm>
                            <a:off x="2141220" y="68580"/>
                            <a:ext cx="0" cy="2203704"/>
                          </a:xfrm>
                          <a:custGeom>
                            <a:avLst/>
                            <a:gdLst/>
                            <a:ahLst/>
                            <a:cxnLst/>
                            <a:rect l="0" t="0" r="0" b="0"/>
                            <a:pathLst>
                              <a:path h="2203704">
                                <a:moveTo>
                                  <a:pt x="0" y="0"/>
                                </a:moveTo>
                                <a:lnTo>
                                  <a:pt x="0" y="220370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5784" name="Shape 15784"/>
                        <wps:cNvSpPr/>
                        <wps:spPr>
                          <a:xfrm>
                            <a:off x="2281428" y="68580"/>
                            <a:ext cx="0" cy="2203704"/>
                          </a:xfrm>
                          <a:custGeom>
                            <a:avLst/>
                            <a:gdLst/>
                            <a:ahLst/>
                            <a:cxnLst/>
                            <a:rect l="0" t="0" r="0" b="0"/>
                            <a:pathLst>
                              <a:path h="2203704">
                                <a:moveTo>
                                  <a:pt x="0" y="0"/>
                                </a:moveTo>
                                <a:lnTo>
                                  <a:pt x="0" y="220370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5785" name="Shape 15785"/>
                        <wps:cNvSpPr/>
                        <wps:spPr>
                          <a:xfrm>
                            <a:off x="2424684" y="68580"/>
                            <a:ext cx="0" cy="2203704"/>
                          </a:xfrm>
                          <a:custGeom>
                            <a:avLst/>
                            <a:gdLst/>
                            <a:ahLst/>
                            <a:cxnLst/>
                            <a:rect l="0" t="0" r="0" b="0"/>
                            <a:pathLst>
                              <a:path h="2203704">
                                <a:moveTo>
                                  <a:pt x="0" y="0"/>
                                </a:moveTo>
                                <a:lnTo>
                                  <a:pt x="0" y="220370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5786" name="Shape 15786"/>
                        <wps:cNvSpPr/>
                        <wps:spPr>
                          <a:xfrm>
                            <a:off x="2564892" y="68580"/>
                            <a:ext cx="0" cy="2203704"/>
                          </a:xfrm>
                          <a:custGeom>
                            <a:avLst/>
                            <a:gdLst/>
                            <a:ahLst/>
                            <a:cxnLst/>
                            <a:rect l="0" t="0" r="0" b="0"/>
                            <a:pathLst>
                              <a:path h="2203704">
                                <a:moveTo>
                                  <a:pt x="0" y="0"/>
                                </a:moveTo>
                                <a:lnTo>
                                  <a:pt x="0" y="220370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5787" name="Shape 15787"/>
                        <wps:cNvSpPr/>
                        <wps:spPr>
                          <a:xfrm>
                            <a:off x="2708148" y="68580"/>
                            <a:ext cx="0" cy="2203704"/>
                          </a:xfrm>
                          <a:custGeom>
                            <a:avLst/>
                            <a:gdLst/>
                            <a:ahLst/>
                            <a:cxnLst/>
                            <a:rect l="0" t="0" r="0" b="0"/>
                            <a:pathLst>
                              <a:path h="2203704">
                                <a:moveTo>
                                  <a:pt x="0" y="0"/>
                                </a:moveTo>
                                <a:lnTo>
                                  <a:pt x="0" y="220370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5788" name="Shape 15788"/>
                        <wps:cNvSpPr/>
                        <wps:spPr>
                          <a:xfrm>
                            <a:off x="2848356" y="68580"/>
                            <a:ext cx="0" cy="2203704"/>
                          </a:xfrm>
                          <a:custGeom>
                            <a:avLst/>
                            <a:gdLst/>
                            <a:ahLst/>
                            <a:cxnLst/>
                            <a:rect l="0" t="0" r="0" b="0"/>
                            <a:pathLst>
                              <a:path h="2203704">
                                <a:moveTo>
                                  <a:pt x="0" y="0"/>
                                </a:moveTo>
                                <a:lnTo>
                                  <a:pt x="0" y="220370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5789" name="Shape 15789"/>
                        <wps:cNvSpPr/>
                        <wps:spPr>
                          <a:xfrm>
                            <a:off x="2991612" y="68580"/>
                            <a:ext cx="0" cy="2203704"/>
                          </a:xfrm>
                          <a:custGeom>
                            <a:avLst/>
                            <a:gdLst/>
                            <a:ahLst/>
                            <a:cxnLst/>
                            <a:rect l="0" t="0" r="0" b="0"/>
                            <a:pathLst>
                              <a:path h="2203704">
                                <a:moveTo>
                                  <a:pt x="0" y="0"/>
                                </a:moveTo>
                                <a:lnTo>
                                  <a:pt x="0" y="220370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5790" name="Shape 15790"/>
                        <wps:cNvSpPr/>
                        <wps:spPr>
                          <a:xfrm>
                            <a:off x="3131820" y="68580"/>
                            <a:ext cx="0" cy="2203704"/>
                          </a:xfrm>
                          <a:custGeom>
                            <a:avLst/>
                            <a:gdLst/>
                            <a:ahLst/>
                            <a:cxnLst/>
                            <a:rect l="0" t="0" r="0" b="0"/>
                            <a:pathLst>
                              <a:path h="2203704">
                                <a:moveTo>
                                  <a:pt x="0" y="0"/>
                                </a:moveTo>
                                <a:lnTo>
                                  <a:pt x="0" y="220370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15791" name="Shape 15791"/>
                        <wps:cNvSpPr/>
                        <wps:spPr>
                          <a:xfrm>
                            <a:off x="297180" y="68580"/>
                            <a:ext cx="0" cy="2203704"/>
                          </a:xfrm>
                          <a:custGeom>
                            <a:avLst/>
                            <a:gdLst/>
                            <a:ahLst/>
                            <a:cxnLst/>
                            <a:rect l="0" t="0" r="0" b="0"/>
                            <a:pathLst>
                              <a:path h="2203704">
                                <a:moveTo>
                                  <a:pt x="0" y="2203704"/>
                                </a:moveTo>
                                <a:lnTo>
                                  <a:pt x="0" y="0"/>
                                </a:lnTo>
                              </a:path>
                            </a:pathLst>
                          </a:custGeom>
                          <a:ln w="9144" cap="flat">
                            <a:round/>
                          </a:ln>
                        </wps:spPr>
                        <wps:style>
                          <a:lnRef idx="1">
                            <a:srgbClr val="BFBFBF"/>
                          </a:lnRef>
                          <a:fillRef idx="0">
                            <a:srgbClr val="000000">
                              <a:alpha val="0"/>
                            </a:srgbClr>
                          </a:fillRef>
                          <a:effectRef idx="0">
                            <a:scrgbClr r="0" g="0" b="0"/>
                          </a:effectRef>
                          <a:fontRef idx="none"/>
                        </wps:style>
                        <wps:bodyPr/>
                      </wps:wsp>
                      <wps:wsp>
                        <wps:cNvPr id="15792" name="Shape 15792"/>
                        <wps:cNvSpPr/>
                        <wps:spPr>
                          <a:xfrm>
                            <a:off x="297180" y="2272284"/>
                            <a:ext cx="2834640" cy="0"/>
                          </a:xfrm>
                          <a:custGeom>
                            <a:avLst/>
                            <a:gdLst/>
                            <a:ahLst/>
                            <a:cxnLst/>
                            <a:rect l="0" t="0" r="0" b="0"/>
                            <a:pathLst>
                              <a:path w="2834640">
                                <a:moveTo>
                                  <a:pt x="0" y="0"/>
                                </a:moveTo>
                                <a:lnTo>
                                  <a:pt x="2834640" y="0"/>
                                </a:lnTo>
                              </a:path>
                            </a:pathLst>
                          </a:custGeom>
                          <a:ln w="9144" cap="flat">
                            <a:round/>
                          </a:ln>
                        </wps:spPr>
                        <wps:style>
                          <a:lnRef idx="1">
                            <a:srgbClr val="BFBFBF"/>
                          </a:lnRef>
                          <a:fillRef idx="0">
                            <a:srgbClr val="000000">
                              <a:alpha val="0"/>
                            </a:srgbClr>
                          </a:fillRef>
                          <a:effectRef idx="0">
                            <a:scrgbClr r="0" g="0" b="0"/>
                          </a:effectRef>
                          <a:fontRef idx="none"/>
                        </wps:style>
                        <wps:bodyPr/>
                      </wps:wsp>
                      <wps:wsp>
                        <wps:cNvPr id="15793" name="Shape 15793"/>
                        <wps:cNvSpPr/>
                        <wps:spPr>
                          <a:xfrm>
                            <a:off x="582041" y="173355"/>
                            <a:ext cx="2550414" cy="1889253"/>
                          </a:xfrm>
                          <a:custGeom>
                            <a:avLst/>
                            <a:gdLst/>
                            <a:ahLst/>
                            <a:cxnLst/>
                            <a:rect l="0" t="0" r="0" b="0"/>
                            <a:pathLst>
                              <a:path w="2550414" h="1889253">
                                <a:moveTo>
                                  <a:pt x="2550414" y="1889253"/>
                                </a:moveTo>
                                <a:cubicBezTo>
                                  <a:pt x="2078101" y="1819275"/>
                                  <a:pt x="1448435" y="1749298"/>
                                  <a:pt x="1133475" y="1679321"/>
                                </a:cubicBezTo>
                                <a:cubicBezTo>
                                  <a:pt x="881253" y="1623314"/>
                                  <a:pt x="755777" y="1525524"/>
                                  <a:pt x="661289" y="1469390"/>
                                </a:cubicBezTo>
                                <a:cubicBezTo>
                                  <a:pt x="543179" y="1399540"/>
                                  <a:pt x="488061" y="1329563"/>
                                  <a:pt x="425069" y="1259586"/>
                                </a:cubicBezTo>
                                <a:cubicBezTo>
                                  <a:pt x="362077" y="1189609"/>
                                  <a:pt x="322707" y="1119632"/>
                                  <a:pt x="283464" y="1049655"/>
                                </a:cubicBezTo>
                                <a:cubicBezTo>
                                  <a:pt x="244094" y="979678"/>
                                  <a:pt x="215900" y="909701"/>
                                  <a:pt x="188976" y="839724"/>
                                </a:cubicBezTo>
                                <a:cubicBezTo>
                                  <a:pt x="161925" y="769747"/>
                                  <a:pt x="141097" y="699770"/>
                                  <a:pt x="121412" y="629793"/>
                                </a:cubicBezTo>
                                <a:cubicBezTo>
                                  <a:pt x="101854" y="559816"/>
                                  <a:pt x="85852" y="489839"/>
                                  <a:pt x="70866" y="419862"/>
                                </a:cubicBezTo>
                                <a:cubicBezTo>
                                  <a:pt x="55880" y="349885"/>
                                  <a:pt x="43307" y="279908"/>
                                  <a:pt x="31496" y="209931"/>
                                </a:cubicBezTo>
                                <a:cubicBezTo>
                                  <a:pt x="19685" y="139954"/>
                                  <a:pt x="10541" y="69977"/>
                                  <a:pt x="0" y="0"/>
                                </a:cubicBezTo>
                              </a:path>
                            </a:pathLst>
                          </a:custGeom>
                          <a:ln w="18288" cap="rnd">
                            <a:round/>
                          </a:ln>
                        </wps:spPr>
                        <wps:style>
                          <a:lnRef idx="1">
                            <a:srgbClr val="5B9BD5"/>
                          </a:lnRef>
                          <a:fillRef idx="0">
                            <a:srgbClr val="000000">
                              <a:alpha val="0"/>
                            </a:srgbClr>
                          </a:fillRef>
                          <a:effectRef idx="0">
                            <a:scrgbClr r="0" g="0" b="0"/>
                          </a:effectRef>
                          <a:fontRef idx="none"/>
                        </wps:style>
                        <wps:bodyPr/>
                      </wps:wsp>
                      <wps:wsp>
                        <wps:cNvPr id="15794" name="Shape 15794"/>
                        <wps:cNvSpPr/>
                        <wps:spPr>
                          <a:xfrm>
                            <a:off x="3101213" y="2030095"/>
                            <a:ext cx="60960" cy="60961"/>
                          </a:xfrm>
                          <a:custGeom>
                            <a:avLst/>
                            <a:gdLst/>
                            <a:ahLst/>
                            <a:cxnLst/>
                            <a:rect l="0" t="0" r="0" b="0"/>
                            <a:pathLst>
                              <a:path w="60960" h="60961">
                                <a:moveTo>
                                  <a:pt x="30480" y="0"/>
                                </a:moveTo>
                                <a:cubicBezTo>
                                  <a:pt x="47371" y="0"/>
                                  <a:pt x="60960" y="13716"/>
                                  <a:pt x="60960" y="30480"/>
                                </a:cubicBezTo>
                                <a:cubicBezTo>
                                  <a:pt x="60960" y="47371"/>
                                  <a:pt x="47371" y="60961"/>
                                  <a:pt x="30480" y="60961"/>
                                </a:cubicBezTo>
                                <a:cubicBezTo>
                                  <a:pt x="13589" y="60961"/>
                                  <a:pt x="0" y="47371"/>
                                  <a:pt x="0" y="30480"/>
                                </a:cubicBezTo>
                                <a:cubicBezTo>
                                  <a:pt x="0" y="13716"/>
                                  <a:pt x="13589" y="0"/>
                                  <a:pt x="30480" y="0"/>
                                </a:cubicBezTo>
                                <a:close/>
                              </a:path>
                            </a:pathLst>
                          </a:custGeom>
                          <a:ln w="0" cap="flat">
                            <a:round/>
                          </a:ln>
                        </wps:spPr>
                        <wps:style>
                          <a:lnRef idx="0">
                            <a:srgbClr val="000000">
                              <a:alpha val="0"/>
                            </a:srgbClr>
                          </a:lnRef>
                          <a:fillRef idx="1">
                            <a:srgbClr val="5B9BD5"/>
                          </a:fillRef>
                          <a:effectRef idx="0">
                            <a:scrgbClr r="0" g="0" b="0"/>
                          </a:effectRef>
                          <a:fontRef idx="none"/>
                        </wps:style>
                        <wps:bodyPr/>
                      </wps:wsp>
                      <wps:wsp>
                        <wps:cNvPr id="15795" name="Shape 15795"/>
                        <wps:cNvSpPr/>
                        <wps:spPr>
                          <a:xfrm>
                            <a:off x="3101213" y="2030095"/>
                            <a:ext cx="60960" cy="60961"/>
                          </a:xfrm>
                          <a:custGeom>
                            <a:avLst/>
                            <a:gdLst/>
                            <a:ahLst/>
                            <a:cxnLst/>
                            <a:rect l="0" t="0" r="0" b="0"/>
                            <a:pathLst>
                              <a:path w="60960" h="60961">
                                <a:moveTo>
                                  <a:pt x="60960" y="30480"/>
                                </a:moveTo>
                                <a:cubicBezTo>
                                  <a:pt x="60960" y="47371"/>
                                  <a:pt x="47371" y="60961"/>
                                  <a:pt x="30480" y="60961"/>
                                </a:cubicBezTo>
                                <a:cubicBezTo>
                                  <a:pt x="13589" y="60961"/>
                                  <a:pt x="0" y="47371"/>
                                  <a:pt x="0" y="30480"/>
                                </a:cubicBezTo>
                                <a:cubicBezTo>
                                  <a:pt x="0" y="13716"/>
                                  <a:pt x="13589" y="0"/>
                                  <a:pt x="30480" y="0"/>
                                </a:cubicBezTo>
                                <a:cubicBezTo>
                                  <a:pt x="47371" y="0"/>
                                  <a:pt x="60960" y="13716"/>
                                  <a:pt x="60960" y="30480"/>
                                </a:cubicBezTo>
                                <a:close/>
                              </a:path>
                            </a:pathLst>
                          </a:custGeom>
                          <a:ln w="9144" cap="flat">
                            <a:round/>
                          </a:ln>
                        </wps:spPr>
                        <wps:style>
                          <a:lnRef idx="1">
                            <a:srgbClr val="5B9BD5"/>
                          </a:lnRef>
                          <a:fillRef idx="0">
                            <a:srgbClr val="000000">
                              <a:alpha val="0"/>
                            </a:srgbClr>
                          </a:fillRef>
                          <a:effectRef idx="0">
                            <a:scrgbClr r="0" g="0" b="0"/>
                          </a:effectRef>
                          <a:fontRef idx="none"/>
                        </wps:style>
                        <wps:bodyPr/>
                      </wps:wsp>
                      <wps:wsp>
                        <wps:cNvPr id="15796" name="Shape 15796"/>
                        <wps:cNvSpPr/>
                        <wps:spPr>
                          <a:xfrm>
                            <a:off x="1683893" y="1819783"/>
                            <a:ext cx="60960" cy="60960"/>
                          </a:xfrm>
                          <a:custGeom>
                            <a:avLst/>
                            <a:gdLst/>
                            <a:ahLst/>
                            <a:cxnLst/>
                            <a:rect l="0" t="0" r="0" b="0"/>
                            <a:pathLst>
                              <a:path w="60960" h="60960">
                                <a:moveTo>
                                  <a:pt x="30480" y="0"/>
                                </a:moveTo>
                                <a:cubicBezTo>
                                  <a:pt x="47371" y="0"/>
                                  <a:pt x="60960" y="13716"/>
                                  <a:pt x="60960" y="30480"/>
                                </a:cubicBezTo>
                                <a:cubicBezTo>
                                  <a:pt x="60960" y="47372"/>
                                  <a:pt x="47371" y="60960"/>
                                  <a:pt x="30480" y="60960"/>
                                </a:cubicBezTo>
                                <a:cubicBezTo>
                                  <a:pt x="13589" y="60960"/>
                                  <a:pt x="0" y="47372"/>
                                  <a:pt x="0" y="30480"/>
                                </a:cubicBezTo>
                                <a:cubicBezTo>
                                  <a:pt x="0" y="13716"/>
                                  <a:pt x="13589" y="0"/>
                                  <a:pt x="30480" y="0"/>
                                </a:cubicBezTo>
                                <a:close/>
                              </a:path>
                            </a:pathLst>
                          </a:custGeom>
                          <a:ln w="0" cap="flat">
                            <a:round/>
                          </a:ln>
                        </wps:spPr>
                        <wps:style>
                          <a:lnRef idx="0">
                            <a:srgbClr val="000000">
                              <a:alpha val="0"/>
                            </a:srgbClr>
                          </a:lnRef>
                          <a:fillRef idx="1">
                            <a:srgbClr val="5B9BD5"/>
                          </a:fillRef>
                          <a:effectRef idx="0">
                            <a:scrgbClr r="0" g="0" b="0"/>
                          </a:effectRef>
                          <a:fontRef idx="none"/>
                        </wps:style>
                        <wps:bodyPr/>
                      </wps:wsp>
                      <wps:wsp>
                        <wps:cNvPr id="15797" name="Shape 15797"/>
                        <wps:cNvSpPr/>
                        <wps:spPr>
                          <a:xfrm>
                            <a:off x="1683893" y="1819783"/>
                            <a:ext cx="60960" cy="60960"/>
                          </a:xfrm>
                          <a:custGeom>
                            <a:avLst/>
                            <a:gdLst/>
                            <a:ahLst/>
                            <a:cxnLst/>
                            <a:rect l="0" t="0" r="0" b="0"/>
                            <a:pathLst>
                              <a:path w="60960" h="60960">
                                <a:moveTo>
                                  <a:pt x="60960" y="30480"/>
                                </a:moveTo>
                                <a:cubicBezTo>
                                  <a:pt x="60960" y="47372"/>
                                  <a:pt x="47371" y="60960"/>
                                  <a:pt x="30480" y="60960"/>
                                </a:cubicBezTo>
                                <a:cubicBezTo>
                                  <a:pt x="13589" y="60960"/>
                                  <a:pt x="0" y="47372"/>
                                  <a:pt x="0" y="30480"/>
                                </a:cubicBezTo>
                                <a:cubicBezTo>
                                  <a:pt x="0" y="13716"/>
                                  <a:pt x="13589" y="0"/>
                                  <a:pt x="30480" y="0"/>
                                </a:cubicBezTo>
                                <a:cubicBezTo>
                                  <a:pt x="47371" y="0"/>
                                  <a:pt x="60960" y="13716"/>
                                  <a:pt x="60960" y="30480"/>
                                </a:cubicBezTo>
                                <a:close/>
                              </a:path>
                            </a:pathLst>
                          </a:custGeom>
                          <a:ln w="9144" cap="flat">
                            <a:round/>
                          </a:ln>
                        </wps:spPr>
                        <wps:style>
                          <a:lnRef idx="1">
                            <a:srgbClr val="5B9BD5"/>
                          </a:lnRef>
                          <a:fillRef idx="0">
                            <a:srgbClr val="000000">
                              <a:alpha val="0"/>
                            </a:srgbClr>
                          </a:fillRef>
                          <a:effectRef idx="0">
                            <a:scrgbClr r="0" g="0" b="0"/>
                          </a:effectRef>
                          <a:fontRef idx="none"/>
                        </wps:style>
                        <wps:bodyPr/>
                      </wps:wsp>
                      <wps:wsp>
                        <wps:cNvPr id="15798" name="Shape 15798"/>
                        <wps:cNvSpPr/>
                        <wps:spPr>
                          <a:xfrm>
                            <a:off x="1211453" y="1609471"/>
                            <a:ext cx="60960" cy="60961"/>
                          </a:xfrm>
                          <a:custGeom>
                            <a:avLst/>
                            <a:gdLst/>
                            <a:ahLst/>
                            <a:cxnLst/>
                            <a:rect l="0" t="0" r="0" b="0"/>
                            <a:pathLst>
                              <a:path w="60960" h="60961">
                                <a:moveTo>
                                  <a:pt x="30480" y="0"/>
                                </a:moveTo>
                                <a:cubicBezTo>
                                  <a:pt x="47371" y="0"/>
                                  <a:pt x="60960" y="13716"/>
                                  <a:pt x="60960" y="30480"/>
                                </a:cubicBezTo>
                                <a:cubicBezTo>
                                  <a:pt x="60960" y="47371"/>
                                  <a:pt x="47371" y="60961"/>
                                  <a:pt x="30480" y="60961"/>
                                </a:cubicBezTo>
                                <a:cubicBezTo>
                                  <a:pt x="13589" y="60961"/>
                                  <a:pt x="0" y="47371"/>
                                  <a:pt x="0" y="30480"/>
                                </a:cubicBezTo>
                                <a:cubicBezTo>
                                  <a:pt x="0" y="13716"/>
                                  <a:pt x="13589" y="0"/>
                                  <a:pt x="30480" y="0"/>
                                </a:cubicBezTo>
                                <a:close/>
                              </a:path>
                            </a:pathLst>
                          </a:custGeom>
                          <a:ln w="0" cap="flat">
                            <a:round/>
                          </a:ln>
                        </wps:spPr>
                        <wps:style>
                          <a:lnRef idx="0">
                            <a:srgbClr val="000000">
                              <a:alpha val="0"/>
                            </a:srgbClr>
                          </a:lnRef>
                          <a:fillRef idx="1">
                            <a:srgbClr val="5B9BD5"/>
                          </a:fillRef>
                          <a:effectRef idx="0">
                            <a:scrgbClr r="0" g="0" b="0"/>
                          </a:effectRef>
                          <a:fontRef idx="none"/>
                        </wps:style>
                        <wps:bodyPr/>
                      </wps:wsp>
                      <wps:wsp>
                        <wps:cNvPr id="15799" name="Shape 15799"/>
                        <wps:cNvSpPr/>
                        <wps:spPr>
                          <a:xfrm>
                            <a:off x="1211453" y="1609471"/>
                            <a:ext cx="60960" cy="60961"/>
                          </a:xfrm>
                          <a:custGeom>
                            <a:avLst/>
                            <a:gdLst/>
                            <a:ahLst/>
                            <a:cxnLst/>
                            <a:rect l="0" t="0" r="0" b="0"/>
                            <a:pathLst>
                              <a:path w="60960" h="60961">
                                <a:moveTo>
                                  <a:pt x="60960" y="30480"/>
                                </a:moveTo>
                                <a:cubicBezTo>
                                  <a:pt x="60960" y="47371"/>
                                  <a:pt x="47371" y="60961"/>
                                  <a:pt x="30480" y="60961"/>
                                </a:cubicBezTo>
                                <a:cubicBezTo>
                                  <a:pt x="13589" y="60961"/>
                                  <a:pt x="0" y="47371"/>
                                  <a:pt x="0" y="30480"/>
                                </a:cubicBezTo>
                                <a:cubicBezTo>
                                  <a:pt x="0" y="13716"/>
                                  <a:pt x="13589" y="0"/>
                                  <a:pt x="30480" y="0"/>
                                </a:cubicBezTo>
                                <a:cubicBezTo>
                                  <a:pt x="47371" y="0"/>
                                  <a:pt x="60960" y="13716"/>
                                  <a:pt x="60960" y="30480"/>
                                </a:cubicBezTo>
                                <a:close/>
                              </a:path>
                            </a:pathLst>
                          </a:custGeom>
                          <a:ln w="9144" cap="flat">
                            <a:round/>
                          </a:ln>
                        </wps:spPr>
                        <wps:style>
                          <a:lnRef idx="1">
                            <a:srgbClr val="5B9BD5"/>
                          </a:lnRef>
                          <a:fillRef idx="0">
                            <a:srgbClr val="000000">
                              <a:alpha val="0"/>
                            </a:srgbClr>
                          </a:fillRef>
                          <a:effectRef idx="0">
                            <a:scrgbClr r="0" g="0" b="0"/>
                          </a:effectRef>
                          <a:fontRef idx="none"/>
                        </wps:style>
                        <wps:bodyPr/>
                      </wps:wsp>
                      <wps:wsp>
                        <wps:cNvPr id="15800" name="Shape 15800"/>
                        <wps:cNvSpPr/>
                        <wps:spPr>
                          <a:xfrm>
                            <a:off x="976757" y="1402207"/>
                            <a:ext cx="60960" cy="60959"/>
                          </a:xfrm>
                          <a:custGeom>
                            <a:avLst/>
                            <a:gdLst/>
                            <a:ahLst/>
                            <a:cxnLst/>
                            <a:rect l="0" t="0" r="0" b="0"/>
                            <a:pathLst>
                              <a:path w="60960" h="60959">
                                <a:moveTo>
                                  <a:pt x="30480" y="0"/>
                                </a:moveTo>
                                <a:cubicBezTo>
                                  <a:pt x="47371" y="0"/>
                                  <a:pt x="60960" y="13715"/>
                                  <a:pt x="60960" y="30480"/>
                                </a:cubicBezTo>
                                <a:cubicBezTo>
                                  <a:pt x="60960" y="47371"/>
                                  <a:pt x="47371" y="60959"/>
                                  <a:pt x="30480" y="60959"/>
                                </a:cubicBezTo>
                                <a:cubicBezTo>
                                  <a:pt x="13589" y="60959"/>
                                  <a:pt x="0" y="47371"/>
                                  <a:pt x="0" y="30480"/>
                                </a:cubicBezTo>
                                <a:cubicBezTo>
                                  <a:pt x="0" y="13715"/>
                                  <a:pt x="13589" y="0"/>
                                  <a:pt x="30480" y="0"/>
                                </a:cubicBezTo>
                                <a:close/>
                              </a:path>
                            </a:pathLst>
                          </a:custGeom>
                          <a:ln w="0" cap="flat">
                            <a:round/>
                          </a:ln>
                        </wps:spPr>
                        <wps:style>
                          <a:lnRef idx="0">
                            <a:srgbClr val="000000">
                              <a:alpha val="0"/>
                            </a:srgbClr>
                          </a:lnRef>
                          <a:fillRef idx="1">
                            <a:srgbClr val="5B9BD5"/>
                          </a:fillRef>
                          <a:effectRef idx="0">
                            <a:scrgbClr r="0" g="0" b="0"/>
                          </a:effectRef>
                          <a:fontRef idx="none"/>
                        </wps:style>
                        <wps:bodyPr/>
                      </wps:wsp>
                      <wps:wsp>
                        <wps:cNvPr id="15801" name="Shape 15801"/>
                        <wps:cNvSpPr/>
                        <wps:spPr>
                          <a:xfrm>
                            <a:off x="976757" y="1402207"/>
                            <a:ext cx="60960" cy="60959"/>
                          </a:xfrm>
                          <a:custGeom>
                            <a:avLst/>
                            <a:gdLst/>
                            <a:ahLst/>
                            <a:cxnLst/>
                            <a:rect l="0" t="0" r="0" b="0"/>
                            <a:pathLst>
                              <a:path w="60960" h="60959">
                                <a:moveTo>
                                  <a:pt x="60960" y="30480"/>
                                </a:moveTo>
                                <a:cubicBezTo>
                                  <a:pt x="60960" y="47371"/>
                                  <a:pt x="47371" y="60959"/>
                                  <a:pt x="30480" y="60959"/>
                                </a:cubicBezTo>
                                <a:cubicBezTo>
                                  <a:pt x="13589" y="60959"/>
                                  <a:pt x="0" y="47371"/>
                                  <a:pt x="0" y="30480"/>
                                </a:cubicBezTo>
                                <a:cubicBezTo>
                                  <a:pt x="0" y="13715"/>
                                  <a:pt x="13589" y="0"/>
                                  <a:pt x="30480" y="0"/>
                                </a:cubicBezTo>
                                <a:cubicBezTo>
                                  <a:pt x="47371" y="0"/>
                                  <a:pt x="60960" y="13715"/>
                                  <a:pt x="60960" y="30480"/>
                                </a:cubicBezTo>
                                <a:close/>
                              </a:path>
                            </a:pathLst>
                          </a:custGeom>
                          <a:ln w="9144" cap="flat">
                            <a:round/>
                          </a:ln>
                        </wps:spPr>
                        <wps:style>
                          <a:lnRef idx="1">
                            <a:srgbClr val="5B9BD5"/>
                          </a:lnRef>
                          <a:fillRef idx="0">
                            <a:srgbClr val="000000">
                              <a:alpha val="0"/>
                            </a:srgbClr>
                          </a:fillRef>
                          <a:effectRef idx="0">
                            <a:scrgbClr r="0" g="0" b="0"/>
                          </a:effectRef>
                          <a:fontRef idx="none"/>
                        </wps:style>
                        <wps:bodyPr/>
                      </wps:wsp>
                      <wps:wsp>
                        <wps:cNvPr id="15802" name="Shape 15802"/>
                        <wps:cNvSpPr/>
                        <wps:spPr>
                          <a:xfrm>
                            <a:off x="833501" y="1191895"/>
                            <a:ext cx="60960" cy="60960"/>
                          </a:xfrm>
                          <a:custGeom>
                            <a:avLst/>
                            <a:gdLst/>
                            <a:ahLst/>
                            <a:cxnLst/>
                            <a:rect l="0" t="0" r="0" b="0"/>
                            <a:pathLst>
                              <a:path w="60960" h="60960">
                                <a:moveTo>
                                  <a:pt x="30480" y="0"/>
                                </a:moveTo>
                                <a:cubicBezTo>
                                  <a:pt x="47371" y="0"/>
                                  <a:pt x="60960" y="13716"/>
                                  <a:pt x="60960" y="30480"/>
                                </a:cubicBezTo>
                                <a:cubicBezTo>
                                  <a:pt x="60960" y="47371"/>
                                  <a:pt x="47371" y="60960"/>
                                  <a:pt x="30480" y="60960"/>
                                </a:cubicBezTo>
                                <a:cubicBezTo>
                                  <a:pt x="13589" y="60960"/>
                                  <a:pt x="0" y="47371"/>
                                  <a:pt x="0" y="30480"/>
                                </a:cubicBezTo>
                                <a:cubicBezTo>
                                  <a:pt x="0" y="13716"/>
                                  <a:pt x="13589" y="0"/>
                                  <a:pt x="30480" y="0"/>
                                </a:cubicBezTo>
                                <a:close/>
                              </a:path>
                            </a:pathLst>
                          </a:custGeom>
                          <a:ln w="0" cap="flat">
                            <a:round/>
                          </a:ln>
                        </wps:spPr>
                        <wps:style>
                          <a:lnRef idx="0">
                            <a:srgbClr val="000000">
                              <a:alpha val="0"/>
                            </a:srgbClr>
                          </a:lnRef>
                          <a:fillRef idx="1">
                            <a:srgbClr val="5B9BD5"/>
                          </a:fillRef>
                          <a:effectRef idx="0">
                            <a:scrgbClr r="0" g="0" b="0"/>
                          </a:effectRef>
                          <a:fontRef idx="none"/>
                        </wps:style>
                        <wps:bodyPr/>
                      </wps:wsp>
                      <wps:wsp>
                        <wps:cNvPr id="15803" name="Shape 15803"/>
                        <wps:cNvSpPr/>
                        <wps:spPr>
                          <a:xfrm>
                            <a:off x="833501" y="1191895"/>
                            <a:ext cx="60960" cy="60960"/>
                          </a:xfrm>
                          <a:custGeom>
                            <a:avLst/>
                            <a:gdLst/>
                            <a:ahLst/>
                            <a:cxnLst/>
                            <a:rect l="0" t="0" r="0" b="0"/>
                            <a:pathLst>
                              <a:path w="60960" h="60960">
                                <a:moveTo>
                                  <a:pt x="60960" y="30480"/>
                                </a:moveTo>
                                <a:cubicBezTo>
                                  <a:pt x="60960" y="47371"/>
                                  <a:pt x="47371" y="60960"/>
                                  <a:pt x="30480" y="60960"/>
                                </a:cubicBezTo>
                                <a:cubicBezTo>
                                  <a:pt x="13589" y="60960"/>
                                  <a:pt x="0" y="47371"/>
                                  <a:pt x="0" y="30480"/>
                                </a:cubicBezTo>
                                <a:cubicBezTo>
                                  <a:pt x="0" y="13716"/>
                                  <a:pt x="13589" y="0"/>
                                  <a:pt x="30480" y="0"/>
                                </a:cubicBezTo>
                                <a:cubicBezTo>
                                  <a:pt x="47371" y="0"/>
                                  <a:pt x="60960" y="13716"/>
                                  <a:pt x="60960" y="30480"/>
                                </a:cubicBezTo>
                                <a:close/>
                              </a:path>
                            </a:pathLst>
                          </a:custGeom>
                          <a:ln w="9144" cap="flat">
                            <a:round/>
                          </a:ln>
                        </wps:spPr>
                        <wps:style>
                          <a:lnRef idx="1">
                            <a:srgbClr val="5B9BD5"/>
                          </a:lnRef>
                          <a:fillRef idx="0">
                            <a:srgbClr val="000000">
                              <a:alpha val="0"/>
                            </a:srgbClr>
                          </a:fillRef>
                          <a:effectRef idx="0">
                            <a:scrgbClr r="0" g="0" b="0"/>
                          </a:effectRef>
                          <a:fontRef idx="none"/>
                        </wps:style>
                        <wps:bodyPr/>
                      </wps:wsp>
                      <wps:wsp>
                        <wps:cNvPr id="15804" name="Shape 15804"/>
                        <wps:cNvSpPr/>
                        <wps:spPr>
                          <a:xfrm>
                            <a:off x="739013" y="981583"/>
                            <a:ext cx="60960" cy="60960"/>
                          </a:xfrm>
                          <a:custGeom>
                            <a:avLst/>
                            <a:gdLst/>
                            <a:ahLst/>
                            <a:cxnLst/>
                            <a:rect l="0" t="0" r="0" b="0"/>
                            <a:pathLst>
                              <a:path w="60960" h="60960">
                                <a:moveTo>
                                  <a:pt x="30480" y="0"/>
                                </a:moveTo>
                                <a:cubicBezTo>
                                  <a:pt x="47371" y="0"/>
                                  <a:pt x="60960" y="13716"/>
                                  <a:pt x="60960" y="30480"/>
                                </a:cubicBezTo>
                                <a:cubicBezTo>
                                  <a:pt x="60960" y="47371"/>
                                  <a:pt x="47371" y="60960"/>
                                  <a:pt x="30480" y="60960"/>
                                </a:cubicBezTo>
                                <a:cubicBezTo>
                                  <a:pt x="13589" y="60960"/>
                                  <a:pt x="0" y="47371"/>
                                  <a:pt x="0" y="30480"/>
                                </a:cubicBezTo>
                                <a:cubicBezTo>
                                  <a:pt x="0" y="13716"/>
                                  <a:pt x="13589" y="0"/>
                                  <a:pt x="30480" y="0"/>
                                </a:cubicBezTo>
                                <a:close/>
                              </a:path>
                            </a:pathLst>
                          </a:custGeom>
                          <a:ln w="0" cap="flat">
                            <a:round/>
                          </a:ln>
                        </wps:spPr>
                        <wps:style>
                          <a:lnRef idx="0">
                            <a:srgbClr val="000000">
                              <a:alpha val="0"/>
                            </a:srgbClr>
                          </a:lnRef>
                          <a:fillRef idx="1">
                            <a:srgbClr val="5B9BD5"/>
                          </a:fillRef>
                          <a:effectRef idx="0">
                            <a:scrgbClr r="0" g="0" b="0"/>
                          </a:effectRef>
                          <a:fontRef idx="none"/>
                        </wps:style>
                        <wps:bodyPr/>
                      </wps:wsp>
                      <wps:wsp>
                        <wps:cNvPr id="15805" name="Shape 15805"/>
                        <wps:cNvSpPr/>
                        <wps:spPr>
                          <a:xfrm>
                            <a:off x="739013" y="981583"/>
                            <a:ext cx="60960" cy="60960"/>
                          </a:xfrm>
                          <a:custGeom>
                            <a:avLst/>
                            <a:gdLst/>
                            <a:ahLst/>
                            <a:cxnLst/>
                            <a:rect l="0" t="0" r="0" b="0"/>
                            <a:pathLst>
                              <a:path w="60960" h="60960">
                                <a:moveTo>
                                  <a:pt x="60960" y="30480"/>
                                </a:moveTo>
                                <a:cubicBezTo>
                                  <a:pt x="60960" y="47371"/>
                                  <a:pt x="47371" y="60960"/>
                                  <a:pt x="30480" y="60960"/>
                                </a:cubicBezTo>
                                <a:cubicBezTo>
                                  <a:pt x="13589" y="60960"/>
                                  <a:pt x="0" y="47371"/>
                                  <a:pt x="0" y="30480"/>
                                </a:cubicBezTo>
                                <a:cubicBezTo>
                                  <a:pt x="0" y="13716"/>
                                  <a:pt x="13589" y="0"/>
                                  <a:pt x="30480" y="0"/>
                                </a:cubicBezTo>
                                <a:cubicBezTo>
                                  <a:pt x="47371" y="0"/>
                                  <a:pt x="60960" y="13716"/>
                                  <a:pt x="60960" y="30480"/>
                                </a:cubicBezTo>
                                <a:close/>
                              </a:path>
                            </a:pathLst>
                          </a:custGeom>
                          <a:ln w="9144" cap="flat">
                            <a:round/>
                          </a:ln>
                        </wps:spPr>
                        <wps:style>
                          <a:lnRef idx="1">
                            <a:srgbClr val="5B9BD5"/>
                          </a:lnRef>
                          <a:fillRef idx="0">
                            <a:srgbClr val="000000">
                              <a:alpha val="0"/>
                            </a:srgbClr>
                          </a:fillRef>
                          <a:effectRef idx="0">
                            <a:scrgbClr r="0" g="0" b="0"/>
                          </a:effectRef>
                          <a:fontRef idx="none"/>
                        </wps:style>
                        <wps:bodyPr/>
                      </wps:wsp>
                      <wps:wsp>
                        <wps:cNvPr id="15806" name="Shape 15806"/>
                        <wps:cNvSpPr/>
                        <wps:spPr>
                          <a:xfrm>
                            <a:off x="671957" y="771271"/>
                            <a:ext cx="60960" cy="60960"/>
                          </a:xfrm>
                          <a:custGeom>
                            <a:avLst/>
                            <a:gdLst/>
                            <a:ahLst/>
                            <a:cxnLst/>
                            <a:rect l="0" t="0" r="0" b="0"/>
                            <a:pathLst>
                              <a:path w="60960" h="60960">
                                <a:moveTo>
                                  <a:pt x="30480" y="0"/>
                                </a:moveTo>
                                <a:cubicBezTo>
                                  <a:pt x="47371" y="0"/>
                                  <a:pt x="60960" y="13716"/>
                                  <a:pt x="60960" y="30480"/>
                                </a:cubicBezTo>
                                <a:cubicBezTo>
                                  <a:pt x="60960" y="47371"/>
                                  <a:pt x="47371" y="60960"/>
                                  <a:pt x="30480" y="60960"/>
                                </a:cubicBezTo>
                                <a:cubicBezTo>
                                  <a:pt x="13589" y="60960"/>
                                  <a:pt x="0" y="47371"/>
                                  <a:pt x="0" y="30480"/>
                                </a:cubicBezTo>
                                <a:cubicBezTo>
                                  <a:pt x="0" y="13716"/>
                                  <a:pt x="13589" y="0"/>
                                  <a:pt x="30480" y="0"/>
                                </a:cubicBezTo>
                                <a:close/>
                              </a:path>
                            </a:pathLst>
                          </a:custGeom>
                          <a:ln w="0" cap="flat">
                            <a:round/>
                          </a:ln>
                        </wps:spPr>
                        <wps:style>
                          <a:lnRef idx="0">
                            <a:srgbClr val="000000">
                              <a:alpha val="0"/>
                            </a:srgbClr>
                          </a:lnRef>
                          <a:fillRef idx="1">
                            <a:srgbClr val="5B9BD5"/>
                          </a:fillRef>
                          <a:effectRef idx="0">
                            <a:scrgbClr r="0" g="0" b="0"/>
                          </a:effectRef>
                          <a:fontRef idx="none"/>
                        </wps:style>
                        <wps:bodyPr/>
                      </wps:wsp>
                      <wps:wsp>
                        <wps:cNvPr id="15807" name="Shape 15807"/>
                        <wps:cNvSpPr/>
                        <wps:spPr>
                          <a:xfrm>
                            <a:off x="671957" y="771271"/>
                            <a:ext cx="60960" cy="60960"/>
                          </a:xfrm>
                          <a:custGeom>
                            <a:avLst/>
                            <a:gdLst/>
                            <a:ahLst/>
                            <a:cxnLst/>
                            <a:rect l="0" t="0" r="0" b="0"/>
                            <a:pathLst>
                              <a:path w="60960" h="60960">
                                <a:moveTo>
                                  <a:pt x="60960" y="30480"/>
                                </a:moveTo>
                                <a:cubicBezTo>
                                  <a:pt x="60960" y="47371"/>
                                  <a:pt x="47371" y="60960"/>
                                  <a:pt x="30480" y="60960"/>
                                </a:cubicBezTo>
                                <a:cubicBezTo>
                                  <a:pt x="13589" y="60960"/>
                                  <a:pt x="0" y="47371"/>
                                  <a:pt x="0" y="30480"/>
                                </a:cubicBezTo>
                                <a:cubicBezTo>
                                  <a:pt x="0" y="13716"/>
                                  <a:pt x="13589" y="0"/>
                                  <a:pt x="30480" y="0"/>
                                </a:cubicBezTo>
                                <a:cubicBezTo>
                                  <a:pt x="47371" y="0"/>
                                  <a:pt x="60960" y="13716"/>
                                  <a:pt x="60960" y="30480"/>
                                </a:cubicBezTo>
                                <a:close/>
                              </a:path>
                            </a:pathLst>
                          </a:custGeom>
                          <a:ln w="9144" cap="flat">
                            <a:round/>
                          </a:ln>
                        </wps:spPr>
                        <wps:style>
                          <a:lnRef idx="1">
                            <a:srgbClr val="5B9BD5"/>
                          </a:lnRef>
                          <a:fillRef idx="0">
                            <a:srgbClr val="000000">
                              <a:alpha val="0"/>
                            </a:srgbClr>
                          </a:fillRef>
                          <a:effectRef idx="0">
                            <a:scrgbClr r="0" g="0" b="0"/>
                          </a:effectRef>
                          <a:fontRef idx="none"/>
                        </wps:style>
                        <wps:bodyPr/>
                      </wps:wsp>
                      <wps:wsp>
                        <wps:cNvPr id="15808" name="Shape 15808"/>
                        <wps:cNvSpPr/>
                        <wps:spPr>
                          <a:xfrm>
                            <a:off x="623189" y="560959"/>
                            <a:ext cx="60960" cy="60960"/>
                          </a:xfrm>
                          <a:custGeom>
                            <a:avLst/>
                            <a:gdLst/>
                            <a:ahLst/>
                            <a:cxnLst/>
                            <a:rect l="0" t="0" r="0" b="0"/>
                            <a:pathLst>
                              <a:path w="60960" h="60960">
                                <a:moveTo>
                                  <a:pt x="30480" y="0"/>
                                </a:moveTo>
                                <a:cubicBezTo>
                                  <a:pt x="47371" y="0"/>
                                  <a:pt x="60960" y="13716"/>
                                  <a:pt x="60960" y="30480"/>
                                </a:cubicBezTo>
                                <a:cubicBezTo>
                                  <a:pt x="60960" y="47371"/>
                                  <a:pt x="47371" y="60960"/>
                                  <a:pt x="30480" y="60960"/>
                                </a:cubicBezTo>
                                <a:cubicBezTo>
                                  <a:pt x="13589" y="60960"/>
                                  <a:pt x="0" y="47371"/>
                                  <a:pt x="0" y="30480"/>
                                </a:cubicBezTo>
                                <a:cubicBezTo>
                                  <a:pt x="0" y="13716"/>
                                  <a:pt x="13589" y="0"/>
                                  <a:pt x="30480" y="0"/>
                                </a:cubicBezTo>
                                <a:close/>
                              </a:path>
                            </a:pathLst>
                          </a:custGeom>
                          <a:ln w="0" cap="flat">
                            <a:round/>
                          </a:ln>
                        </wps:spPr>
                        <wps:style>
                          <a:lnRef idx="0">
                            <a:srgbClr val="000000">
                              <a:alpha val="0"/>
                            </a:srgbClr>
                          </a:lnRef>
                          <a:fillRef idx="1">
                            <a:srgbClr val="5B9BD5"/>
                          </a:fillRef>
                          <a:effectRef idx="0">
                            <a:scrgbClr r="0" g="0" b="0"/>
                          </a:effectRef>
                          <a:fontRef idx="none"/>
                        </wps:style>
                        <wps:bodyPr/>
                      </wps:wsp>
                      <wps:wsp>
                        <wps:cNvPr id="15809" name="Shape 15809"/>
                        <wps:cNvSpPr/>
                        <wps:spPr>
                          <a:xfrm>
                            <a:off x="623189" y="560959"/>
                            <a:ext cx="60960" cy="60960"/>
                          </a:xfrm>
                          <a:custGeom>
                            <a:avLst/>
                            <a:gdLst/>
                            <a:ahLst/>
                            <a:cxnLst/>
                            <a:rect l="0" t="0" r="0" b="0"/>
                            <a:pathLst>
                              <a:path w="60960" h="60960">
                                <a:moveTo>
                                  <a:pt x="60960" y="30480"/>
                                </a:moveTo>
                                <a:cubicBezTo>
                                  <a:pt x="60960" y="47371"/>
                                  <a:pt x="47371" y="60960"/>
                                  <a:pt x="30480" y="60960"/>
                                </a:cubicBezTo>
                                <a:cubicBezTo>
                                  <a:pt x="13589" y="60960"/>
                                  <a:pt x="0" y="47371"/>
                                  <a:pt x="0" y="30480"/>
                                </a:cubicBezTo>
                                <a:cubicBezTo>
                                  <a:pt x="0" y="13716"/>
                                  <a:pt x="13589" y="0"/>
                                  <a:pt x="30480" y="0"/>
                                </a:cubicBezTo>
                                <a:cubicBezTo>
                                  <a:pt x="47371" y="0"/>
                                  <a:pt x="60960" y="13716"/>
                                  <a:pt x="60960" y="30480"/>
                                </a:cubicBezTo>
                                <a:close/>
                              </a:path>
                            </a:pathLst>
                          </a:custGeom>
                          <a:ln w="9144" cap="flat">
                            <a:round/>
                          </a:ln>
                        </wps:spPr>
                        <wps:style>
                          <a:lnRef idx="1">
                            <a:srgbClr val="5B9BD5"/>
                          </a:lnRef>
                          <a:fillRef idx="0">
                            <a:srgbClr val="000000">
                              <a:alpha val="0"/>
                            </a:srgbClr>
                          </a:fillRef>
                          <a:effectRef idx="0">
                            <a:scrgbClr r="0" g="0" b="0"/>
                          </a:effectRef>
                          <a:fontRef idx="none"/>
                        </wps:style>
                        <wps:bodyPr/>
                      </wps:wsp>
                      <wps:wsp>
                        <wps:cNvPr id="15810" name="Shape 15810"/>
                        <wps:cNvSpPr/>
                        <wps:spPr>
                          <a:xfrm>
                            <a:off x="583565" y="350647"/>
                            <a:ext cx="60960" cy="60960"/>
                          </a:xfrm>
                          <a:custGeom>
                            <a:avLst/>
                            <a:gdLst/>
                            <a:ahLst/>
                            <a:cxnLst/>
                            <a:rect l="0" t="0" r="0" b="0"/>
                            <a:pathLst>
                              <a:path w="60960" h="60960">
                                <a:moveTo>
                                  <a:pt x="30480" y="0"/>
                                </a:moveTo>
                                <a:cubicBezTo>
                                  <a:pt x="47371" y="0"/>
                                  <a:pt x="60960" y="13716"/>
                                  <a:pt x="60960" y="30480"/>
                                </a:cubicBezTo>
                                <a:cubicBezTo>
                                  <a:pt x="60960" y="47371"/>
                                  <a:pt x="47371" y="60960"/>
                                  <a:pt x="30480" y="60960"/>
                                </a:cubicBezTo>
                                <a:cubicBezTo>
                                  <a:pt x="13589" y="60960"/>
                                  <a:pt x="0" y="47371"/>
                                  <a:pt x="0" y="30480"/>
                                </a:cubicBezTo>
                                <a:cubicBezTo>
                                  <a:pt x="0" y="13716"/>
                                  <a:pt x="13589" y="0"/>
                                  <a:pt x="30480" y="0"/>
                                </a:cubicBezTo>
                                <a:close/>
                              </a:path>
                            </a:pathLst>
                          </a:custGeom>
                          <a:ln w="0" cap="flat">
                            <a:round/>
                          </a:ln>
                        </wps:spPr>
                        <wps:style>
                          <a:lnRef idx="0">
                            <a:srgbClr val="000000">
                              <a:alpha val="0"/>
                            </a:srgbClr>
                          </a:lnRef>
                          <a:fillRef idx="1">
                            <a:srgbClr val="5B9BD5"/>
                          </a:fillRef>
                          <a:effectRef idx="0">
                            <a:scrgbClr r="0" g="0" b="0"/>
                          </a:effectRef>
                          <a:fontRef idx="none"/>
                        </wps:style>
                        <wps:bodyPr/>
                      </wps:wsp>
                      <wps:wsp>
                        <wps:cNvPr id="15811" name="Shape 15811"/>
                        <wps:cNvSpPr/>
                        <wps:spPr>
                          <a:xfrm>
                            <a:off x="583565" y="350647"/>
                            <a:ext cx="60960" cy="60960"/>
                          </a:xfrm>
                          <a:custGeom>
                            <a:avLst/>
                            <a:gdLst/>
                            <a:ahLst/>
                            <a:cxnLst/>
                            <a:rect l="0" t="0" r="0" b="0"/>
                            <a:pathLst>
                              <a:path w="60960" h="60960">
                                <a:moveTo>
                                  <a:pt x="60960" y="30480"/>
                                </a:moveTo>
                                <a:cubicBezTo>
                                  <a:pt x="60960" y="47371"/>
                                  <a:pt x="47371" y="60960"/>
                                  <a:pt x="30480" y="60960"/>
                                </a:cubicBezTo>
                                <a:cubicBezTo>
                                  <a:pt x="13589" y="60960"/>
                                  <a:pt x="0" y="47371"/>
                                  <a:pt x="0" y="30480"/>
                                </a:cubicBezTo>
                                <a:cubicBezTo>
                                  <a:pt x="0" y="13716"/>
                                  <a:pt x="13589" y="0"/>
                                  <a:pt x="30480" y="0"/>
                                </a:cubicBezTo>
                                <a:cubicBezTo>
                                  <a:pt x="47371" y="0"/>
                                  <a:pt x="60960" y="13716"/>
                                  <a:pt x="60960" y="30480"/>
                                </a:cubicBezTo>
                                <a:close/>
                              </a:path>
                            </a:pathLst>
                          </a:custGeom>
                          <a:ln w="9144" cap="flat">
                            <a:round/>
                          </a:ln>
                        </wps:spPr>
                        <wps:style>
                          <a:lnRef idx="1">
                            <a:srgbClr val="5B9BD5"/>
                          </a:lnRef>
                          <a:fillRef idx="0">
                            <a:srgbClr val="000000">
                              <a:alpha val="0"/>
                            </a:srgbClr>
                          </a:fillRef>
                          <a:effectRef idx="0">
                            <a:scrgbClr r="0" g="0" b="0"/>
                          </a:effectRef>
                          <a:fontRef idx="none"/>
                        </wps:style>
                        <wps:bodyPr/>
                      </wps:wsp>
                      <wps:wsp>
                        <wps:cNvPr id="15812" name="Shape 15812"/>
                        <wps:cNvSpPr/>
                        <wps:spPr>
                          <a:xfrm>
                            <a:off x="550037" y="140335"/>
                            <a:ext cx="60960" cy="60960"/>
                          </a:xfrm>
                          <a:custGeom>
                            <a:avLst/>
                            <a:gdLst/>
                            <a:ahLst/>
                            <a:cxnLst/>
                            <a:rect l="0" t="0" r="0" b="0"/>
                            <a:pathLst>
                              <a:path w="60960" h="60960">
                                <a:moveTo>
                                  <a:pt x="30480" y="0"/>
                                </a:moveTo>
                                <a:cubicBezTo>
                                  <a:pt x="47371" y="0"/>
                                  <a:pt x="60960" y="13716"/>
                                  <a:pt x="60960" y="30480"/>
                                </a:cubicBezTo>
                                <a:cubicBezTo>
                                  <a:pt x="60960" y="47371"/>
                                  <a:pt x="47371" y="60960"/>
                                  <a:pt x="30480" y="60960"/>
                                </a:cubicBezTo>
                                <a:cubicBezTo>
                                  <a:pt x="13589" y="60960"/>
                                  <a:pt x="0" y="47371"/>
                                  <a:pt x="0" y="30480"/>
                                </a:cubicBezTo>
                                <a:cubicBezTo>
                                  <a:pt x="0" y="13716"/>
                                  <a:pt x="13589" y="0"/>
                                  <a:pt x="30480" y="0"/>
                                </a:cubicBezTo>
                                <a:close/>
                              </a:path>
                            </a:pathLst>
                          </a:custGeom>
                          <a:ln w="0" cap="flat">
                            <a:round/>
                          </a:ln>
                        </wps:spPr>
                        <wps:style>
                          <a:lnRef idx="0">
                            <a:srgbClr val="000000">
                              <a:alpha val="0"/>
                            </a:srgbClr>
                          </a:lnRef>
                          <a:fillRef idx="1">
                            <a:srgbClr val="5B9BD5"/>
                          </a:fillRef>
                          <a:effectRef idx="0">
                            <a:scrgbClr r="0" g="0" b="0"/>
                          </a:effectRef>
                          <a:fontRef idx="none"/>
                        </wps:style>
                        <wps:bodyPr/>
                      </wps:wsp>
                      <wps:wsp>
                        <wps:cNvPr id="15813" name="Shape 15813"/>
                        <wps:cNvSpPr/>
                        <wps:spPr>
                          <a:xfrm>
                            <a:off x="550037" y="140335"/>
                            <a:ext cx="60960" cy="60960"/>
                          </a:xfrm>
                          <a:custGeom>
                            <a:avLst/>
                            <a:gdLst/>
                            <a:ahLst/>
                            <a:cxnLst/>
                            <a:rect l="0" t="0" r="0" b="0"/>
                            <a:pathLst>
                              <a:path w="60960" h="60960">
                                <a:moveTo>
                                  <a:pt x="60960" y="30480"/>
                                </a:moveTo>
                                <a:cubicBezTo>
                                  <a:pt x="60960" y="47371"/>
                                  <a:pt x="47371" y="60960"/>
                                  <a:pt x="30480" y="60960"/>
                                </a:cubicBezTo>
                                <a:cubicBezTo>
                                  <a:pt x="13589" y="60960"/>
                                  <a:pt x="0" y="47371"/>
                                  <a:pt x="0" y="30480"/>
                                </a:cubicBezTo>
                                <a:cubicBezTo>
                                  <a:pt x="0" y="13716"/>
                                  <a:pt x="13589" y="0"/>
                                  <a:pt x="30480" y="0"/>
                                </a:cubicBezTo>
                                <a:cubicBezTo>
                                  <a:pt x="47371" y="0"/>
                                  <a:pt x="60960" y="13716"/>
                                  <a:pt x="60960" y="30480"/>
                                </a:cubicBezTo>
                                <a:close/>
                              </a:path>
                            </a:pathLst>
                          </a:custGeom>
                          <a:ln w="9144" cap="flat">
                            <a:round/>
                          </a:ln>
                        </wps:spPr>
                        <wps:style>
                          <a:lnRef idx="1">
                            <a:srgbClr val="5B9BD5"/>
                          </a:lnRef>
                          <a:fillRef idx="0">
                            <a:srgbClr val="000000">
                              <a:alpha val="0"/>
                            </a:srgbClr>
                          </a:fillRef>
                          <a:effectRef idx="0">
                            <a:scrgbClr r="0" g="0" b="0"/>
                          </a:effectRef>
                          <a:fontRef idx="none"/>
                        </wps:style>
                        <wps:bodyPr/>
                      </wps:wsp>
                      <wps:wsp>
                        <wps:cNvPr id="15814" name="Rectangle 15814"/>
                        <wps:cNvSpPr/>
                        <wps:spPr>
                          <a:xfrm>
                            <a:off x="135636" y="2221128"/>
                            <a:ext cx="78307" cy="157318"/>
                          </a:xfrm>
                          <a:prstGeom prst="rect">
                            <a:avLst/>
                          </a:prstGeom>
                          <a:ln>
                            <a:noFill/>
                          </a:ln>
                        </wps:spPr>
                        <wps:txbx>
                          <w:txbxContent>
                            <w:p w:rsidR="0052701D" w:rsidRDefault="00D40929">
                              <w:r>
                                <w:rPr>
                                  <w:sz w:val="18"/>
                                </w:rPr>
                                <w:t>0</w:t>
                              </w:r>
                            </w:p>
                          </w:txbxContent>
                        </wps:txbx>
                        <wps:bodyPr horzOverflow="overflow" vert="horz" lIns="0" tIns="0" rIns="0" bIns="0" rtlCol="0">
                          <a:noAutofit/>
                        </wps:bodyPr>
                      </wps:wsp>
                      <wps:wsp>
                        <wps:cNvPr id="15815" name="Rectangle 15815"/>
                        <wps:cNvSpPr/>
                        <wps:spPr>
                          <a:xfrm>
                            <a:off x="135636" y="2116583"/>
                            <a:ext cx="78101" cy="156904"/>
                          </a:xfrm>
                          <a:prstGeom prst="rect">
                            <a:avLst/>
                          </a:prstGeom>
                          <a:ln>
                            <a:noFill/>
                          </a:ln>
                        </wps:spPr>
                        <wps:txbx>
                          <w:txbxContent>
                            <w:p w:rsidR="0052701D" w:rsidRDefault="00D40929">
                              <w:r>
                                <w:rPr>
                                  <w:sz w:val="18"/>
                                </w:rPr>
                                <w:t>5</w:t>
                              </w:r>
                            </w:p>
                          </w:txbxContent>
                        </wps:txbx>
                        <wps:bodyPr horzOverflow="overflow" vert="horz" lIns="0" tIns="0" rIns="0" bIns="0" rtlCol="0">
                          <a:noAutofit/>
                        </wps:bodyPr>
                      </wps:wsp>
                      <wps:wsp>
                        <wps:cNvPr id="15816" name="Rectangle 15816"/>
                        <wps:cNvSpPr/>
                        <wps:spPr>
                          <a:xfrm>
                            <a:off x="77724" y="2011680"/>
                            <a:ext cx="155125" cy="156904"/>
                          </a:xfrm>
                          <a:prstGeom prst="rect">
                            <a:avLst/>
                          </a:prstGeom>
                          <a:ln>
                            <a:noFill/>
                          </a:ln>
                        </wps:spPr>
                        <wps:txbx>
                          <w:txbxContent>
                            <w:p w:rsidR="0052701D" w:rsidRDefault="00D40929">
                              <w:r>
                                <w:rPr>
                                  <w:sz w:val="18"/>
                                </w:rPr>
                                <w:t>10</w:t>
                              </w:r>
                            </w:p>
                          </w:txbxContent>
                        </wps:txbx>
                        <wps:bodyPr horzOverflow="overflow" vert="horz" lIns="0" tIns="0" rIns="0" bIns="0" rtlCol="0">
                          <a:noAutofit/>
                        </wps:bodyPr>
                      </wps:wsp>
                      <wps:wsp>
                        <wps:cNvPr id="15817" name="Rectangle 15817"/>
                        <wps:cNvSpPr/>
                        <wps:spPr>
                          <a:xfrm>
                            <a:off x="77724" y="1906524"/>
                            <a:ext cx="155125" cy="156904"/>
                          </a:xfrm>
                          <a:prstGeom prst="rect">
                            <a:avLst/>
                          </a:prstGeom>
                          <a:ln>
                            <a:noFill/>
                          </a:ln>
                        </wps:spPr>
                        <wps:txbx>
                          <w:txbxContent>
                            <w:p w:rsidR="0052701D" w:rsidRDefault="00D40929">
                              <w:r>
                                <w:rPr>
                                  <w:sz w:val="18"/>
                                </w:rPr>
                                <w:t>15</w:t>
                              </w:r>
                            </w:p>
                          </w:txbxContent>
                        </wps:txbx>
                        <wps:bodyPr horzOverflow="overflow" vert="horz" lIns="0" tIns="0" rIns="0" bIns="0" rtlCol="0">
                          <a:noAutofit/>
                        </wps:bodyPr>
                      </wps:wsp>
                      <wps:wsp>
                        <wps:cNvPr id="15818" name="Rectangle 15818"/>
                        <wps:cNvSpPr/>
                        <wps:spPr>
                          <a:xfrm>
                            <a:off x="77724" y="1801622"/>
                            <a:ext cx="155125" cy="156904"/>
                          </a:xfrm>
                          <a:prstGeom prst="rect">
                            <a:avLst/>
                          </a:prstGeom>
                          <a:ln>
                            <a:noFill/>
                          </a:ln>
                        </wps:spPr>
                        <wps:txbx>
                          <w:txbxContent>
                            <w:p w:rsidR="0052701D" w:rsidRDefault="00D40929">
                              <w:r>
                                <w:rPr>
                                  <w:sz w:val="18"/>
                                </w:rPr>
                                <w:t>20</w:t>
                              </w:r>
                            </w:p>
                          </w:txbxContent>
                        </wps:txbx>
                        <wps:bodyPr horzOverflow="overflow" vert="horz" lIns="0" tIns="0" rIns="0" bIns="0" rtlCol="0">
                          <a:noAutofit/>
                        </wps:bodyPr>
                      </wps:wsp>
                      <wps:wsp>
                        <wps:cNvPr id="15819" name="Rectangle 15819"/>
                        <wps:cNvSpPr/>
                        <wps:spPr>
                          <a:xfrm>
                            <a:off x="77724" y="1696466"/>
                            <a:ext cx="155125" cy="156905"/>
                          </a:xfrm>
                          <a:prstGeom prst="rect">
                            <a:avLst/>
                          </a:prstGeom>
                          <a:ln>
                            <a:noFill/>
                          </a:ln>
                        </wps:spPr>
                        <wps:txbx>
                          <w:txbxContent>
                            <w:p w:rsidR="0052701D" w:rsidRDefault="00D40929">
                              <w:r>
                                <w:rPr>
                                  <w:sz w:val="18"/>
                                </w:rPr>
                                <w:t>25</w:t>
                              </w:r>
                            </w:p>
                          </w:txbxContent>
                        </wps:txbx>
                        <wps:bodyPr horzOverflow="overflow" vert="horz" lIns="0" tIns="0" rIns="0" bIns="0" rtlCol="0">
                          <a:noAutofit/>
                        </wps:bodyPr>
                      </wps:wsp>
                      <wps:wsp>
                        <wps:cNvPr id="15820" name="Rectangle 15820"/>
                        <wps:cNvSpPr/>
                        <wps:spPr>
                          <a:xfrm>
                            <a:off x="77724" y="1591691"/>
                            <a:ext cx="155125" cy="156905"/>
                          </a:xfrm>
                          <a:prstGeom prst="rect">
                            <a:avLst/>
                          </a:prstGeom>
                          <a:ln>
                            <a:noFill/>
                          </a:ln>
                        </wps:spPr>
                        <wps:txbx>
                          <w:txbxContent>
                            <w:p w:rsidR="0052701D" w:rsidRDefault="00D40929">
                              <w:r>
                                <w:rPr>
                                  <w:sz w:val="18"/>
                                </w:rPr>
                                <w:t>30</w:t>
                              </w:r>
                            </w:p>
                          </w:txbxContent>
                        </wps:txbx>
                        <wps:bodyPr horzOverflow="overflow" vert="horz" lIns="0" tIns="0" rIns="0" bIns="0" rtlCol="0">
                          <a:noAutofit/>
                        </wps:bodyPr>
                      </wps:wsp>
                      <wps:wsp>
                        <wps:cNvPr id="15821" name="Rectangle 15821"/>
                        <wps:cNvSpPr/>
                        <wps:spPr>
                          <a:xfrm>
                            <a:off x="77724" y="1486535"/>
                            <a:ext cx="155125" cy="156905"/>
                          </a:xfrm>
                          <a:prstGeom prst="rect">
                            <a:avLst/>
                          </a:prstGeom>
                          <a:ln>
                            <a:noFill/>
                          </a:ln>
                        </wps:spPr>
                        <wps:txbx>
                          <w:txbxContent>
                            <w:p w:rsidR="0052701D" w:rsidRDefault="00D40929">
                              <w:r>
                                <w:rPr>
                                  <w:sz w:val="18"/>
                                </w:rPr>
                                <w:t>35</w:t>
                              </w:r>
                            </w:p>
                          </w:txbxContent>
                        </wps:txbx>
                        <wps:bodyPr horzOverflow="overflow" vert="horz" lIns="0" tIns="0" rIns="0" bIns="0" rtlCol="0">
                          <a:noAutofit/>
                        </wps:bodyPr>
                      </wps:wsp>
                      <wps:wsp>
                        <wps:cNvPr id="15822" name="Rectangle 15822"/>
                        <wps:cNvSpPr/>
                        <wps:spPr>
                          <a:xfrm>
                            <a:off x="77724" y="1381634"/>
                            <a:ext cx="155125" cy="156904"/>
                          </a:xfrm>
                          <a:prstGeom prst="rect">
                            <a:avLst/>
                          </a:prstGeom>
                          <a:ln>
                            <a:noFill/>
                          </a:ln>
                        </wps:spPr>
                        <wps:txbx>
                          <w:txbxContent>
                            <w:p w:rsidR="0052701D" w:rsidRDefault="00D40929">
                              <w:r>
                                <w:rPr>
                                  <w:sz w:val="18"/>
                                </w:rPr>
                                <w:t>40</w:t>
                              </w:r>
                            </w:p>
                          </w:txbxContent>
                        </wps:txbx>
                        <wps:bodyPr horzOverflow="overflow" vert="horz" lIns="0" tIns="0" rIns="0" bIns="0" rtlCol="0">
                          <a:noAutofit/>
                        </wps:bodyPr>
                      </wps:wsp>
                      <wps:wsp>
                        <wps:cNvPr id="15823" name="Rectangle 15823"/>
                        <wps:cNvSpPr/>
                        <wps:spPr>
                          <a:xfrm>
                            <a:off x="77724" y="1276477"/>
                            <a:ext cx="155125" cy="156904"/>
                          </a:xfrm>
                          <a:prstGeom prst="rect">
                            <a:avLst/>
                          </a:prstGeom>
                          <a:ln>
                            <a:noFill/>
                          </a:ln>
                        </wps:spPr>
                        <wps:txbx>
                          <w:txbxContent>
                            <w:p w:rsidR="0052701D" w:rsidRDefault="00D40929">
                              <w:r>
                                <w:rPr>
                                  <w:sz w:val="18"/>
                                </w:rPr>
                                <w:t>45</w:t>
                              </w:r>
                            </w:p>
                          </w:txbxContent>
                        </wps:txbx>
                        <wps:bodyPr horzOverflow="overflow" vert="horz" lIns="0" tIns="0" rIns="0" bIns="0" rtlCol="0">
                          <a:noAutofit/>
                        </wps:bodyPr>
                      </wps:wsp>
                      <wps:wsp>
                        <wps:cNvPr id="15824" name="Rectangle 15824"/>
                        <wps:cNvSpPr/>
                        <wps:spPr>
                          <a:xfrm>
                            <a:off x="77724" y="1171702"/>
                            <a:ext cx="155125" cy="156904"/>
                          </a:xfrm>
                          <a:prstGeom prst="rect">
                            <a:avLst/>
                          </a:prstGeom>
                          <a:ln>
                            <a:noFill/>
                          </a:ln>
                        </wps:spPr>
                        <wps:txbx>
                          <w:txbxContent>
                            <w:p w:rsidR="0052701D" w:rsidRDefault="00D40929">
                              <w:r>
                                <w:rPr>
                                  <w:sz w:val="18"/>
                                </w:rPr>
                                <w:t>50</w:t>
                              </w:r>
                            </w:p>
                          </w:txbxContent>
                        </wps:txbx>
                        <wps:bodyPr horzOverflow="overflow" vert="horz" lIns="0" tIns="0" rIns="0" bIns="0" rtlCol="0">
                          <a:noAutofit/>
                        </wps:bodyPr>
                      </wps:wsp>
                      <wps:wsp>
                        <wps:cNvPr id="15825" name="Rectangle 15825"/>
                        <wps:cNvSpPr/>
                        <wps:spPr>
                          <a:xfrm>
                            <a:off x="77724" y="1066546"/>
                            <a:ext cx="155125" cy="156904"/>
                          </a:xfrm>
                          <a:prstGeom prst="rect">
                            <a:avLst/>
                          </a:prstGeom>
                          <a:ln>
                            <a:noFill/>
                          </a:ln>
                        </wps:spPr>
                        <wps:txbx>
                          <w:txbxContent>
                            <w:p w:rsidR="0052701D" w:rsidRDefault="00D40929">
                              <w:r>
                                <w:rPr>
                                  <w:sz w:val="18"/>
                                </w:rPr>
                                <w:t>55</w:t>
                              </w:r>
                            </w:p>
                          </w:txbxContent>
                        </wps:txbx>
                        <wps:bodyPr horzOverflow="overflow" vert="horz" lIns="0" tIns="0" rIns="0" bIns="0" rtlCol="0">
                          <a:noAutofit/>
                        </wps:bodyPr>
                      </wps:wsp>
                      <wps:wsp>
                        <wps:cNvPr id="15826" name="Rectangle 15826"/>
                        <wps:cNvSpPr/>
                        <wps:spPr>
                          <a:xfrm>
                            <a:off x="77724" y="961644"/>
                            <a:ext cx="155125" cy="156904"/>
                          </a:xfrm>
                          <a:prstGeom prst="rect">
                            <a:avLst/>
                          </a:prstGeom>
                          <a:ln>
                            <a:noFill/>
                          </a:ln>
                        </wps:spPr>
                        <wps:txbx>
                          <w:txbxContent>
                            <w:p w:rsidR="0052701D" w:rsidRDefault="00D40929">
                              <w:r>
                                <w:rPr>
                                  <w:sz w:val="18"/>
                                </w:rPr>
                                <w:t>60</w:t>
                              </w:r>
                            </w:p>
                          </w:txbxContent>
                        </wps:txbx>
                        <wps:bodyPr horzOverflow="overflow" vert="horz" lIns="0" tIns="0" rIns="0" bIns="0" rtlCol="0">
                          <a:noAutofit/>
                        </wps:bodyPr>
                      </wps:wsp>
                      <wps:wsp>
                        <wps:cNvPr id="15827" name="Rectangle 15827"/>
                        <wps:cNvSpPr/>
                        <wps:spPr>
                          <a:xfrm>
                            <a:off x="77724" y="856259"/>
                            <a:ext cx="155330" cy="157317"/>
                          </a:xfrm>
                          <a:prstGeom prst="rect">
                            <a:avLst/>
                          </a:prstGeom>
                          <a:ln>
                            <a:noFill/>
                          </a:ln>
                        </wps:spPr>
                        <wps:txbx>
                          <w:txbxContent>
                            <w:p w:rsidR="0052701D" w:rsidRDefault="00D40929">
                              <w:r>
                                <w:rPr>
                                  <w:sz w:val="18"/>
                                </w:rPr>
                                <w:t>65</w:t>
                              </w:r>
                            </w:p>
                          </w:txbxContent>
                        </wps:txbx>
                        <wps:bodyPr horzOverflow="overflow" vert="horz" lIns="0" tIns="0" rIns="0" bIns="0" rtlCol="0">
                          <a:noAutofit/>
                        </wps:bodyPr>
                      </wps:wsp>
                      <wps:wsp>
                        <wps:cNvPr id="15828" name="Rectangle 15828"/>
                        <wps:cNvSpPr/>
                        <wps:spPr>
                          <a:xfrm>
                            <a:off x="77724" y="751586"/>
                            <a:ext cx="155125" cy="156904"/>
                          </a:xfrm>
                          <a:prstGeom prst="rect">
                            <a:avLst/>
                          </a:prstGeom>
                          <a:ln>
                            <a:noFill/>
                          </a:ln>
                        </wps:spPr>
                        <wps:txbx>
                          <w:txbxContent>
                            <w:p w:rsidR="0052701D" w:rsidRDefault="00D40929">
                              <w:r>
                                <w:rPr>
                                  <w:sz w:val="18"/>
                                </w:rPr>
                                <w:t>70</w:t>
                              </w:r>
                            </w:p>
                          </w:txbxContent>
                        </wps:txbx>
                        <wps:bodyPr horzOverflow="overflow" vert="horz" lIns="0" tIns="0" rIns="0" bIns="0" rtlCol="0">
                          <a:noAutofit/>
                        </wps:bodyPr>
                      </wps:wsp>
                      <wps:wsp>
                        <wps:cNvPr id="15829" name="Rectangle 15829"/>
                        <wps:cNvSpPr/>
                        <wps:spPr>
                          <a:xfrm>
                            <a:off x="77724" y="646811"/>
                            <a:ext cx="155125" cy="156904"/>
                          </a:xfrm>
                          <a:prstGeom prst="rect">
                            <a:avLst/>
                          </a:prstGeom>
                          <a:ln>
                            <a:noFill/>
                          </a:ln>
                        </wps:spPr>
                        <wps:txbx>
                          <w:txbxContent>
                            <w:p w:rsidR="0052701D" w:rsidRDefault="00D40929">
                              <w:r>
                                <w:rPr>
                                  <w:sz w:val="18"/>
                                </w:rPr>
                                <w:t>75</w:t>
                              </w:r>
                            </w:p>
                          </w:txbxContent>
                        </wps:txbx>
                        <wps:bodyPr horzOverflow="overflow" vert="horz" lIns="0" tIns="0" rIns="0" bIns="0" rtlCol="0">
                          <a:noAutofit/>
                        </wps:bodyPr>
                      </wps:wsp>
                      <wps:wsp>
                        <wps:cNvPr id="15830" name="Rectangle 15830"/>
                        <wps:cNvSpPr/>
                        <wps:spPr>
                          <a:xfrm>
                            <a:off x="77724" y="541655"/>
                            <a:ext cx="155125" cy="156904"/>
                          </a:xfrm>
                          <a:prstGeom prst="rect">
                            <a:avLst/>
                          </a:prstGeom>
                          <a:ln>
                            <a:noFill/>
                          </a:ln>
                        </wps:spPr>
                        <wps:txbx>
                          <w:txbxContent>
                            <w:p w:rsidR="0052701D" w:rsidRDefault="00D40929">
                              <w:r>
                                <w:rPr>
                                  <w:sz w:val="18"/>
                                </w:rPr>
                                <w:t>80</w:t>
                              </w:r>
                            </w:p>
                          </w:txbxContent>
                        </wps:txbx>
                        <wps:bodyPr horzOverflow="overflow" vert="horz" lIns="0" tIns="0" rIns="0" bIns="0" rtlCol="0">
                          <a:noAutofit/>
                        </wps:bodyPr>
                      </wps:wsp>
                      <wps:wsp>
                        <wps:cNvPr id="15831" name="Rectangle 15831"/>
                        <wps:cNvSpPr/>
                        <wps:spPr>
                          <a:xfrm>
                            <a:off x="77724" y="436753"/>
                            <a:ext cx="155125" cy="156904"/>
                          </a:xfrm>
                          <a:prstGeom prst="rect">
                            <a:avLst/>
                          </a:prstGeom>
                          <a:ln>
                            <a:noFill/>
                          </a:ln>
                        </wps:spPr>
                        <wps:txbx>
                          <w:txbxContent>
                            <w:p w:rsidR="0052701D" w:rsidRDefault="00D40929">
                              <w:r>
                                <w:rPr>
                                  <w:sz w:val="18"/>
                                </w:rPr>
                                <w:t>85</w:t>
                              </w:r>
                            </w:p>
                          </w:txbxContent>
                        </wps:txbx>
                        <wps:bodyPr horzOverflow="overflow" vert="horz" lIns="0" tIns="0" rIns="0" bIns="0" rtlCol="0">
                          <a:noAutofit/>
                        </wps:bodyPr>
                      </wps:wsp>
                      <wps:wsp>
                        <wps:cNvPr id="15832" name="Rectangle 15832"/>
                        <wps:cNvSpPr/>
                        <wps:spPr>
                          <a:xfrm>
                            <a:off x="77724" y="331597"/>
                            <a:ext cx="155125" cy="156904"/>
                          </a:xfrm>
                          <a:prstGeom prst="rect">
                            <a:avLst/>
                          </a:prstGeom>
                          <a:ln>
                            <a:noFill/>
                          </a:ln>
                        </wps:spPr>
                        <wps:txbx>
                          <w:txbxContent>
                            <w:p w:rsidR="0052701D" w:rsidRDefault="00D40929">
                              <w:r>
                                <w:rPr>
                                  <w:sz w:val="18"/>
                                </w:rPr>
                                <w:t>90</w:t>
                              </w:r>
                            </w:p>
                          </w:txbxContent>
                        </wps:txbx>
                        <wps:bodyPr horzOverflow="overflow" vert="horz" lIns="0" tIns="0" rIns="0" bIns="0" rtlCol="0">
                          <a:noAutofit/>
                        </wps:bodyPr>
                      </wps:wsp>
                      <wps:wsp>
                        <wps:cNvPr id="15833" name="Rectangle 15833"/>
                        <wps:cNvSpPr/>
                        <wps:spPr>
                          <a:xfrm>
                            <a:off x="77724" y="226822"/>
                            <a:ext cx="155125" cy="156904"/>
                          </a:xfrm>
                          <a:prstGeom prst="rect">
                            <a:avLst/>
                          </a:prstGeom>
                          <a:ln>
                            <a:noFill/>
                          </a:ln>
                        </wps:spPr>
                        <wps:txbx>
                          <w:txbxContent>
                            <w:p w:rsidR="0052701D" w:rsidRDefault="00D40929">
                              <w:r>
                                <w:rPr>
                                  <w:sz w:val="18"/>
                                </w:rPr>
                                <w:t>95</w:t>
                              </w:r>
                            </w:p>
                          </w:txbxContent>
                        </wps:txbx>
                        <wps:bodyPr horzOverflow="overflow" vert="horz" lIns="0" tIns="0" rIns="0" bIns="0" rtlCol="0">
                          <a:noAutofit/>
                        </wps:bodyPr>
                      </wps:wsp>
                      <wps:wsp>
                        <wps:cNvPr id="15834" name="Rectangle 15834"/>
                        <wps:cNvSpPr/>
                        <wps:spPr>
                          <a:xfrm>
                            <a:off x="19812" y="121666"/>
                            <a:ext cx="232149" cy="156904"/>
                          </a:xfrm>
                          <a:prstGeom prst="rect">
                            <a:avLst/>
                          </a:prstGeom>
                          <a:ln>
                            <a:noFill/>
                          </a:ln>
                        </wps:spPr>
                        <wps:txbx>
                          <w:txbxContent>
                            <w:p w:rsidR="0052701D" w:rsidRDefault="00D40929">
                              <w:r>
                                <w:rPr>
                                  <w:sz w:val="18"/>
                                </w:rPr>
                                <w:t>100</w:t>
                              </w:r>
                            </w:p>
                          </w:txbxContent>
                        </wps:txbx>
                        <wps:bodyPr horzOverflow="overflow" vert="horz" lIns="0" tIns="0" rIns="0" bIns="0" rtlCol="0">
                          <a:noAutofit/>
                        </wps:bodyPr>
                      </wps:wsp>
                      <wps:wsp>
                        <wps:cNvPr id="15835" name="Rectangle 15835"/>
                        <wps:cNvSpPr/>
                        <wps:spPr>
                          <a:xfrm>
                            <a:off x="19812" y="16764"/>
                            <a:ext cx="232149" cy="156904"/>
                          </a:xfrm>
                          <a:prstGeom prst="rect">
                            <a:avLst/>
                          </a:prstGeom>
                          <a:ln>
                            <a:noFill/>
                          </a:ln>
                        </wps:spPr>
                        <wps:txbx>
                          <w:txbxContent>
                            <w:p w:rsidR="0052701D" w:rsidRDefault="00D40929">
                              <w:r>
                                <w:rPr>
                                  <w:sz w:val="18"/>
                                </w:rPr>
                                <w:t>105</w:t>
                              </w:r>
                            </w:p>
                          </w:txbxContent>
                        </wps:txbx>
                        <wps:bodyPr horzOverflow="overflow" vert="horz" lIns="0" tIns="0" rIns="0" bIns="0" rtlCol="0">
                          <a:noAutofit/>
                        </wps:bodyPr>
                      </wps:wsp>
                      <wps:wsp>
                        <wps:cNvPr id="15836" name="Rectangle 15836"/>
                        <wps:cNvSpPr/>
                        <wps:spPr>
                          <a:xfrm>
                            <a:off x="270637" y="2370074"/>
                            <a:ext cx="78101" cy="156904"/>
                          </a:xfrm>
                          <a:prstGeom prst="rect">
                            <a:avLst/>
                          </a:prstGeom>
                          <a:ln>
                            <a:noFill/>
                          </a:ln>
                        </wps:spPr>
                        <wps:txbx>
                          <w:txbxContent>
                            <w:p w:rsidR="0052701D" w:rsidRDefault="00D40929">
                              <w:r>
                                <w:rPr>
                                  <w:sz w:val="18"/>
                                </w:rPr>
                                <w:t>0</w:t>
                              </w:r>
                            </w:p>
                          </w:txbxContent>
                        </wps:txbx>
                        <wps:bodyPr horzOverflow="overflow" vert="horz" lIns="0" tIns="0" rIns="0" bIns="0" rtlCol="0">
                          <a:noAutofit/>
                        </wps:bodyPr>
                      </wps:wsp>
                      <wps:wsp>
                        <wps:cNvPr id="15837" name="Rectangle 15837"/>
                        <wps:cNvSpPr/>
                        <wps:spPr>
                          <a:xfrm>
                            <a:off x="412369" y="2370074"/>
                            <a:ext cx="78101" cy="156904"/>
                          </a:xfrm>
                          <a:prstGeom prst="rect">
                            <a:avLst/>
                          </a:prstGeom>
                          <a:ln>
                            <a:noFill/>
                          </a:ln>
                        </wps:spPr>
                        <wps:txbx>
                          <w:txbxContent>
                            <w:p w:rsidR="0052701D" w:rsidRDefault="00D40929">
                              <w:r>
                                <w:rPr>
                                  <w:sz w:val="18"/>
                                </w:rPr>
                                <w:t>5</w:t>
                              </w:r>
                            </w:p>
                          </w:txbxContent>
                        </wps:txbx>
                        <wps:bodyPr horzOverflow="overflow" vert="horz" lIns="0" tIns="0" rIns="0" bIns="0" rtlCol="0">
                          <a:noAutofit/>
                        </wps:bodyPr>
                      </wps:wsp>
                      <wps:wsp>
                        <wps:cNvPr id="15838" name="Rectangle 15838"/>
                        <wps:cNvSpPr/>
                        <wps:spPr>
                          <a:xfrm>
                            <a:off x="525145" y="2370074"/>
                            <a:ext cx="155125" cy="156904"/>
                          </a:xfrm>
                          <a:prstGeom prst="rect">
                            <a:avLst/>
                          </a:prstGeom>
                          <a:ln>
                            <a:noFill/>
                          </a:ln>
                        </wps:spPr>
                        <wps:txbx>
                          <w:txbxContent>
                            <w:p w:rsidR="0052701D" w:rsidRDefault="00D40929">
                              <w:r>
                                <w:rPr>
                                  <w:sz w:val="18"/>
                                </w:rPr>
                                <w:t>10</w:t>
                              </w:r>
                            </w:p>
                          </w:txbxContent>
                        </wps:txbx>
                        <wps:bodyPr horzOverflow="overflow" vert="horz" lIns="0" tIns="0" rIns="0" bIns="0" rtlCol="0">
                          <a:noAutofit/>
                        </wps:bodyPr>
                      </wps:wsp>
                      <wps:wsp>
                        <wps:cNvPr id="15839" name="Rectangle 15839"/>
                        <wps:cNvSpPr/>
                        <wps:spPr>
                          <a:xfrm>
                            <a:off x="666877" y="2370074"/>
                            <a:ext cx="155125" cy="156904"/>
                          </a:xfrm>
                          <a:prstGeom prst="rect">
                            <a:avLst/>
                          </a:prstGeom>
                          <a:ln>
                            <a:noFill/>
                          </a:ln>
                        </wps:spPr>
                        <wps:txbx>
                          <w:txbxContent>
                            <w:p w:rsidR="0052701D" w:rsidRDefault="00D40929">
                              <w:r>
                                <w:rPr>
                                  <w:sz w:val="18"/>
                                </w:rPr>
                                <w:t>15</w:t>
                              </w:r>
                            </w:p>
                          </w:txbxContent>
                        </wps:txbx>
                        <wps:bodyPr horzOverflow="overflow" vert="horz" lIns="0" tIns="0" rIns="0" bIns="0" rtlCol="0">
                          <a:noAutofit/>
                        </wps:bodyPr>
                      </wps:wsp>
                      <wps:wsp>
                        <wps:cNvPr id="15840" name="Rectangle 15840"/>
                        <wps:cNvSpPr/>
                        <wps:spPr>
                          <a:xfrm>
                            <a:off x="808609" y="2370074"/>
                            <a:ext cx="155125" cy="156904"/>
                          </a:xfrm>
                          <a:prstGeom prst="rect">
                            <a:avLst/>
                          </a:prstGeom>
                          <a:ln>
                            <a:noFill/>
                          </a:ln>
                        </wps:spPr>
                        <wps:txbx>
                          <w:txbxContent>
                            <w:p w:rsidR="0052701D" w:rsidRDefault="00D40929">
                              <w:r>
                                <w:rPr>
                                  <w:sz w:val="18"/>
                                </w:rPr>
                                <w:t>20</w:t>
                              </w:r>
                            </w:p>
                          </w:txbxContent>
                        </wps:txbx>
                        <wps:bodyPr horzOverflow="overflow" vert="horz" lIns="0" tIns="0" rIns="0" bIns="0" rtlCol="0">
                          <a:noAutofit/>
                        </wps:bodyPr>
                      </wps:wsp>
                      <wps:wsp>
                        <wps:cNvPr id="15841" name="Rectangle 15841"/>
                        <wps:cNvSpPr/>
                        <wps:spPr>
                          <a:xfrm>
                            <a:off x="950341" y="2370074"/>
                            <a:ext cx="155530" cy="156904"/>
                          </a:xfrm>
                          <a:prstGeom prst="rect">
                            <a:avLst/>
                          </a:prstGeom>
                          <a:ln>
                            <a:noFill/>
                          </a:ln>
                        </wps:spPr>
                        <wps:txbx>
                          <w:txbxContent>
                            <w:p w:rsidR="0052701D" w:rsidRDefault="00D40929">
                              <w:r>
                                <w:rPr>
                                  <w:sz w:val="18"/>
                                </w:rPr>
                                <w:t>25</w:t>
                              </w:r>
                            </w:p>
                          </w:txbxContent>
                        </wps:txbx>
                        <wps:bodyPr horzOverflow="overflow" vert="horz" lIns="0" tIns="0" rIns="0" bIns="0" rtlCol="0">
                          <a:noAutofit/>
                        </wps:bodyPr>
                      </wps:wsp>
                      <wps:wsp>
                        <wps:cNvPr id="15842" name="Rectangle 15842"/>
                        <wps:cNvSpPr/>
                        <wps:spPr>
                          <a:xfrm>
                            <a:off x="1092073" y="2370074"/>
                            <a:ext cx="155530" cy="156904"/>
                          </a:xfrm>
                          <a:prstGeom prst="rect">
                            <a:avLst/>
                          </a:prstGeom>
                          <a:ln>
                            <a:noFill/>
                          </a:ln>
                        </wps:spPr>
                        <wps:txbx>
                          <w:txbxContent>
                            <w:p w:rsidR="0052701D" w:rsidRDefault="00D40929">
                              <w:r>
                                <w:rPr>
                                  <w:sz w:val="18"/>
                                </w:rPr>
                                <w:t>30</w:t>
                              </w:r>
                            </w:p>
                          </w:txbxContent>
                        </wps:txbx>
                        <wps:bodyPr horzOverflow="overflow" vert="horz" lIns="0" tIns="0" rIns="0" bIns="0" rtlCol="0">
                          <a:noAutofit/>
                        </wps:bodyPr>
                      </wps:wsp>
                      <wps:wsp>
                        <wps:cNvPr id="15843" name="Rectangle 15843"/>
                        <wps:cNvSpPr/>
                        <wps:spPr>
                          <a:xfrm>
                            <a:off x="1234186" y="2370074"/>
                            <a:ext cx="155125" cy="156904"/>
                          </a:xfrm>
                          <a:prstGeom prst="rect">
                            <a:avLst/>
                          </a:prstGeom>
                          <a:ln>
                            <a:noFill/>
                          </a:ln>
                        </wps:spPr>
                        <wps:txbx>
                          <w:txbxContent>
                            <w:p w:rsidR="0052701D" w:rsidRDefault="00D40929">
                              <w:r>
                                <w:rPr>
                                  <w:sz w:val="18"/>
                                </w:rPr>
                                <w:t>35</w:t>
                              </w:r>
                            </w:p>
                          </w:txbxContent>
                        </wps:txbx>
                        <wps:bodyPr horzOverflow="overflow" vert="horz" lIns="0" tIns="0" rIns="0" bIns="0" rtlCol="0">
                          <a:noAutofit/>
                        </wps:bodyPr>
                      </wps:wsp>
                      <wps:wsp>
                        <wps:cNvPr id="15844" name="Rectangle 15844"/>
                        <wps:cNvSpPr/>
                        <wps:spPr>
                          <a:xfrm>
                            <a:off x="1375918" y="2370074"/>
                            <a:ext cx="155125" cy="156904"/>
                          </a:xfrm>
                          <a:prstGeom prst="rect">
                            <a:avLst/>
                          </a:prstGeom>
                          <a:ln>
                            <a:noFill/>
                          </a:ln>
                        </wps:spPr>
                        <wps:txbx>
                          <w:txbxContent>
                            <w:p w:rsidR="0052701D" w:rsidRDefault="00D40929">
                              <w:r>
                                <w:rPr>
                                  <w:sz w:val="18"/>
                                </w:rPr>
                                <w:t>40</w:t>
                              </w:r>
                            </w:p>
                          </w:txbxContent>
                        </wps:txbx>
                        <wps:bodyPr horzOverflow="overflow" vert="horz" lIns="0" tIns="0" rIns="0" bIns="0" rtlCol="0">
                          <a:noAutofit/>
                        </wps:bodyPr>
                      </wps:wsp>
                      <wps:wsp>
                        <wps:cNvPr id="15845" name="Rectangle 15845"/>
                        <wps:cNvSpPr/>
                        <wps:spPr>
                          <a:xfrm>
                            <a:off x="1517650" y="2370074"/>
                            <a:ext cx="155125" cy="156904"/>
                          </a:xfrm>
                          <a:prstGeom prst="rect">
                            <a:avLst/>
                          </a:prstGeom>
                          <a:ln>
                            <a:noFill/>
                          </a:ln>
                        </wps:spPr>
                        <wps:txbx>
                          <w:txbxContent>
                            <w:p w:rsidR="0052701D" w:rsidRDefault="00D40929">
                              <w:r>
                                <w:rPr>
                                  <w:sz w:val="18"/>
                                </w:rPr>
                                <w:t>45</w:t>
                              </w:r>
                            </w:p>
                          </w:txbxContent>
                        </wps:txbx>
                        <wps:bodyPr horzOverflow="overflow" vert="horz" lIns="0" tIns="0" rIns="0" bIns="0" rtlCol="0">
                          <a:noAutofit/>
                        </wps:bodyPr>
                      </wps:wsp>
                      <wps:wsp>
                        <wps:cNvPr id="15846" name="Rectangle 15846"/>
                        <wps:cNvSpPr/>
                        <wps:spPr>
                          <a:xfrm>
                            <a:off x="1659382" y="2370074"/>
                            <a:ext cx="155125" cy="156904"/>
                          </a:xfrm>
                          <a:prstGeom prst="rect">
                            <a:avLst/>
                          </a:prstGeom>
                          <a:ln>
                            <a:noFill/>
                          </a:ln>
                        </wps:spPr>
                        <wps:txbx>
                          <w:txbxContent>
                            <w:p w:rsidR="0052701D" w:rsidRDefault="00D40929">
                              <w:r>
                                <w:rPr>
                                  <w:sz w:val="18"/>
                                </w:rPr>
                                <w:t>50</w:t>
                              </w:r>
                            </w:p>
                          </w:txbxContent>
                        </wps:txbx>
                        <wps:bodyPr horzOverflow="overflow" vert="horz" lIns="0" tIns="0" rIns="0" bIns="0" rtlCol="0">
                          <a:noAutofit/>
                        </wps:bodyPr>
                      </wps:wsp>
                      <wps:wsp>
                        <wps:cNvPr id="15847" name="Rectangle 15847"/>
                        <wps:cNvSpPr/>
                        <wps:spPr>
                          <a:xfrm>
                            <a:off x="1801114" y="2370074"/>
                            <a:ext cx="155125" cy="156904"/>
                          </a:xfrm>
                          <a:prstGeom prst="rect">
                            <a:avLst/>
                          </a:prstGeom>
                          <a:ln>
                            <a:noFill/>
                          </a:ln>
                        </wps:spPr>
                        <wps:txbx>
                          <w:txbxContent>
                            <w:p w:rsidR="0052701D" w:rsidRDefault="00D40929">
                              <w:r>
                                <w:rPr>
                                  <w:sz w:val="18"/>
                                </w:rPr>
                                <w:t>55</w:t>
                              </w:r>
                            </w:p>
                          </w:txbxContent>
                        </wps:txbx>
                        <wps:bodyPr horzOverflow="overflow" vert="horz" lIns="0" tIns="0" rIns="0" bIns="0" rtlCol="0">
                          <a:noAutofit/>
                        </wps:bodyPr>
                      </wps:wsp>
                      <wps:wsp>
                        <wps:cNvPr id="15848" name="Rectangle 15848"/>
                        <wps:cNvSpPr/>
                        <wps:spPr>
                          <a:xfrm>
                            <a:off x="1942846" y="2370074"/>
                            <a:ext cx="155125" cy="156904"/>
                          </a:xfrm>
                          <a:prstGeom prst="rect">
                            <a:avLst/>
                          </a:prstGeom>
                          <a:ln>
                            <a:noFill/>
                          </a:ln>
                        </wps:spPr>
                        <wps:txbx>
                          <w:txbxContent>
                            <w:p w:rsidR="0052701D" w:rsidRDefault="00D40929">
                              <w:r>
                                <w:rPr>
                                  <w:sz w:val="18"/>
                                </w:rPr>
                                <w:t>60</w:t>
                              </w:r>
                            </w:p>
                          </w:txbxContent>
                        </wps:txbx>
                        <wps:bodyPr horzOverflow="overflow" vert="horz" lIns="0" tIns="0" rIns="0" bIns="0" rtlCol="0">
                          <a:noAutofit/>
                        </wps:bodyPr>
                      </wps:wsp>
                      <wps:wsp>
                        <wps:cNvPr id="15849" name="Rectangle 15849"/>
                        <wps:cNvSpPr/>
                        <wps:spPr>
                          <a:xfrm>
                            <a:off x="2084578" y="2370074"/>
                            <a:ext cx="155125" cy="156904"/>
                          </a:xfrm>
                          <a:prstGeom prst="rect">
                            <a:avLst/>
                          </a:prstGeom>
                          <a:ln>
                            <a:noFill/>
                          </a:ln>
                        </wps:spPr>
                        <wps:txbx>
                          <w:txbxContent>
                            <w:p w:rsidR="0052701D" w:rsidRDefault="00D40929">
                              <w:r>
                                <w:rPr>
                                  <w:sz w:val="18"/>
                                </w:rPr>
                                <w:t>65</w:t>
                              </w:r>
                            </w:p>
                          </w:txbxContent>
                        </wps:txbx>
                        <wps:bodyPr horzOverflow="overflow" vert="horz" lIns="0" tIns="0" rIns="0" bIns="0" rtlCol="0">
                          <a:noAutofit/>
                        </wps:bodyPr>
                      </wps:wsp>
                      <wps:wsp>
                        <wps:cNvPr id="15850" name="Rectangle 15850"/>
                        <wps:cNvSpPr/>
                        <wps:spPr>
                          <a:xfrm>
                            <a:off x="2226310" y="2370074"/>
                            <a:ext cx="155125" cy="156904"/>
                          </a:xfrm>
                          <a:prstGeom prst="rect">
                            <a:avLst/>
                          </a:prstGeom>
                          <a:ln>
                            <a:noFill/>
                          </a:ln>
                        </wps:spPr>
                        <wps:txbx>
                          <w:txbxContent>
                            <w:p w:rsidR="0052701D" w:rsidRDefault="00D40929">
                              <w:r>
                                <w:rPr>
                                  <w:sz w:val="18"/>
                                </w:rPr>
                                <w:t>70</w:t>
                              </w:r>
                            </w:p>
                          </w:txbxContent>
                        </wps:txbx>
                        <wps:bodyPr horzOverflow="overflow" vert="horz" lIns="0" tIns="0" rIns="0" bIns="0" rtlCol="0">
                          <a:noAutofit/>
                        </wps:bodyPr>
                      </wps:wsp>
                      <wps:wsp>
                        <wps:cNvPr id="15851" name="Rectangle 15851"/>
                        <wps:cNvSpPr/>
                        <wps:spPr>
                          <a:xfrm>
                            <a:off x="2368042" y="2370074"/>
                            <a:ext cx="155125" cy="156904"/>
                          </a:xfrm>
                          <a:prstGeom prst="rect">
                            <a:avLst/>
                          </a:prstGeom>
                          <a:ln>
                            <a:noFill/>
                          </a:ln>
                        </wps:spPr>
                        <wps:txbx>
                          <w:txbxContent>
                            <w:p w:rsidR="0052701D" w:rsidRDefault="00D40929">
                              <w:r>
                                <w:rPr>
                                  <w:sz w:val="18"/>
                                </w:rPr>
                                <w:t>75</w:t>
                              </w:r>
                            </w:p>
                          </w:txbxContent>
                        </wps:txbx>
                        <wps:bodyPr horzOverflow="overflow" vert="horz" lIns="0" tIns="0" rIns="0" bIns="0" rtlCol="0">
                          <a:noAutofit/>
                        </wps:bodyPr>
                      </wps:wsp>
                      <wps:wsp>
                        <wps:cNvPr id="15852" name="Rectangle 15852"/>
                        <wps:cNvSpPr/>
                        <wps:spPr>
                          <a:xfrm>
                            <a:off x="2509774" y="2370074"/>
                            <a:ext cx="155125" cy="156904"/>
                          </a:xfrm>
                          <a:prstGeom prst="rect">
                            <a:avLst/>
                          </a:prstGeom>
                          <a:ln>
                            <a:noFill/>
                          </a:ln>
                        </wps:spPr>
                        <wps:txbx>
                          <w:txbxContent>
                            <w:p w:rsidR="0052701D" w:rsidRDefault="00D40929">
                              <w:r>
                                <w:rPr>
                                  <w:sz w:val="18"/>
                                </w:rPr>
                                <w:t>80</w:t>
                              </w:r>
                            </w:p>
                          </w:txbxContent>
                        </wps:txbx>
                        <wps:bodyPr horzOverflow="overflow" vert="horz" lIns="0" tIns="0" rIns="0" bIns="0" rtlCol="0">
                          <a:noAutofit/>
                        </wps:bodyPr>
                      </wps:wsp>
                      <wps:wsp>
                        <wps:cNvPr id="15853" name="Rectangle 15853"/>
                        <wps:cNvSpPr/>
                        <wps:spPr>
                          <a:xfrm>
                            <a:off x="2651506" y="2370074"/>
                            <a:ext cx="155125" cy="156904"/>
                          </a:xfrm>
                          <a:prstGeom prst="rect">
                            <a:avLst/>
                          </a:prstGeom>
                          <a:ln>
                            <a:noFill/>
                          </a:ln>
                        </wps:spPr>
                        <wps:txbx>
                          <w:txbxContent>
                            <w:p w:rsidR="0052701D" w:rsidRDefault="00D40929">
                              <w:r>
                                <w:rPr>
                                  <w:sz w:val="18"/>
                                </w:rPr>
                                <w:t>85</w:t>
                              </w:r>
                            </w:p>
                          </w:txbxContent>
                        </wps:txbx>
                        <wps:bodyPr horzOverflow="overflow" vert="horz" lIns="0" tIns="0" rIns="0" bIns="0" rtlCol="0">
                          <a:noAutofit/>
                        </wps:bodyPr>
                      </wps:wsp>
                      <wps:wsp>
                        <wps:cNvPr id="15854" name="Rectangle 15854"/>
                        <wps:cNvSpPr/>
                        <wps:spPr>
                          <a:xfrm>
                            <a:off x="2793238" y="2370074"/>
                            <a:ext cx="155125" cy="156904"/>
                          </a:xfrm>
                          <a:prstGeom prst="rect">
                            <a:avLst/>
                          </a:prstGeom>
                          <a:ln>
                            <a:noFill/>
                          </a:ln>
                        </wps:spPr>
                        <wps:txbx>
                          <w:txbxContent>
                            <w:p w:rsidR="0052701D" w:rsidRDefault="00D40929">
                              <w:r>
                                <w:rPr>
                                  <w:sz w:val="18"/>
                                </w:rPr>
                                <w:t>90</w:t>
                              </w:r>
                            </w:p>
                          </w:txbxContent>
                        </wps:txbx>
                        <wps:bodyPr horzOverflow="overflow" vert="horz" lIns="0" tIns="0" rIns="0" bIns="0" rtlCol="0">
                          <a:noAutofit/>
                        </wps:bodyPr>
                      </wps:wsp>
                      <wps:wsp>
                        <wps:cNvPr id="15855" name="Rectangle 15855"/>
                        <wps:cNvSpPr/>
                        <wps:spPr>
                          <a:xfrm>
                            <a:off x="2934970" y="2370074"/>
                            <a:ext cx="155125" cy="156904"/>
                          </a:xfrm>
                          <a:prstGeom prst="rect">
                            <a:avLst/>
                          </a:prstGeom>
                          <a:ln>
                            <a:noFill/>
                          </a:ln>
                        </wps:spPr>
                        <wps:txbx>
                          <w:txbxContent>
                            <w:p w:rsidR="0052701D" w:rsidRDefault="00D40929">
                              <w:r>
                                <w:rPr>
                                  <w:sz w:val="18"/>
                                </w:rPr>
                                <w:t>95</w:t>
                              </w:r>
                            </w:p>
                          </w:txbxContent>
                        </wps:txbx>
                        <wps:bodyPr horzOverflow="overflow" vert="horz" lIns="0" tIns="0" rIns="0" bIns="0" rtlCol="0">
                          <a:noAutofit/>
                        </wps:bodyPr>
                      </wps:wsp>
                      <wps:wsp>
                        <wps:cNvPr id="15856" name="Rectangle 15856"/>
                        <wps:cNvSpPr/>
                        <wps:spPr>
                          <a:xfrm>
                            <a:off x="3047746" y="2370074"/>
                            <a:ext cx="232149" cy="156904"/>
                          </a:xfrm>
                          <a:prstGeom prst="rect">
                            <a:avLst/>
                          </a:prstGeom>
                          <a:ln>
                            <a:noFill/>
                          </a:ln>
                        </wps:spPr>
                        <wps:txbx>
                          <w:txbxContent>
                            <w:p w:rsidR="0052701D" w:rsidRDefault="00D40929">
                              <w:r>
                                <w:rPr>
                                  <w:sz w:val="18"/>
                                </w:rPr>
                                <w:t>100</w:t>
                              </w:r>
                            </w:p>
                          </w:txbxContent>
                        </wps:txbx>
                        <wps:bodyPr horzOverflow="overflow" vert="horz" lIns="0" tIns="0" rIns="0" bIns="0" rtlCol="0">
                          <a:noAutofit/>
                        </wps:bodyPr>
                      </wps:wsp>
                      <wps:wsp>
                        <wps:cNvPr id="15857" name="Shape 15857"/>
                        <wps:cNvSpPr/>
                        <wps:spPr>
                          <a:xfrm>
                            <a:off x="0" y="0"/>
                            <a:ext cx="3294888" cy="2502408"/>
                          </a:xfrm>
                          <a:custGeom>
                            <a:avLst/>
                            <a:gdLst/>
                            <a:ahLst/>
                            <a:cxnLst/>
                            <a:rect l="0" t="0" r="0" b="0"/>
                            <a:pathLst>
                              <a:path w="3294888" h="2502408">
                                <a:moveTo>
                                  <a:pt x="0" y="2502408"/>
                                </a:moveTo>
                                <a:lnTo>
                                  <a:pt x="3294888" y="2502408"/>
                                </a:lnTo>
                                <a:lnTo>
                                  <a:pt x="3294888" y="0"/>
                                </a:lnTo>
                                <a:lnTo>
                                  <a:pt x="0" y="0"/>
                                </a:lnTo>
                                <a:close/>
                              </a:path>
                            </a:pathLst>
                          </a:custGeom>
                          <a:ln w="12192" cap="flat">
                            <a:miter lim="101600"/>
                          </a:ln>
                        </wps:spPr>
                        <wps:style>
                          <a:lnRef idx="1">
                            <a:srgbClr val="A5A5A5"/>
                          </a:lnRef>
                          <a:fillRef idx="0">
                            <a:srgbClr val="000000">
                              <a:alpha val="0"/>
                            </a:srgbClr>
                          </a:fillRef>
                          <a:effectRef idx="0">
                            <a:scrgbClr r="0" g="0" b="0"/>
                          </a:effectRef>
                          <a:fontRef idx="none"/>
                        </wps:style>
                        <wps:bodyPr/>
                      </wps:wsp>
                      <wps:wsp>
                        <wps:cNvPr id="15858" name="Shape 15858"/>
                        <wps:cNvSpPr/>
                        <wps:spPr>
                          <a:xfrm>
                            <a:off x="169291" y="0"/>
                            <a:ext cx="76200" cy="2326259"/>
                          </a:xfrm>
                          <a:custGeom>
                            <a:avLst/>
                            <a:gdLst/>
                            <a:ahLst/>
                            <a:cxnLst/>
                            <a:rect l="0" t="0" r="0" b="0"/>
                            <a:pathLst>
                              <a:path w="76200" h="2326259">
                                <a:moveTo>
                                  <a:pt x="37973" y="0"/>
                                </a:moveTo>
                                <a:lnTo>
                                  <a:pt x="76200" y="76200"/>
                                </a:lnTo>
                                <a:lnTo>
                                  <a:pt x="44334" y="76200"/>
                                </a:lnTo>
                                <a:lnTo>
                                  <a:pt x="46355" y="2326259"/>
                                </a:lnTo>
                                <a:lnTo>
                                  <a:pt x="33655" y="2326259"/>
                                </a:lnTo>
                                <a:lnTo>
                                  <a:pt x="31634" y="76200"/>
                                </a:lnTo>
                                <a:lnTo>
                                  <a:pt x="0" y="76200"/>
                                </a:lnTo>
                                <a:lnTo>
                                  <a:pt x="37973"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5859" name="Shape 15859"/>
                        <wps:cNvSpPr/>
                        <wps:spPr>
                          <a:xfrm>
                            <a:off x="210312" y="2297557"/>
                            <a:ext cx="2991866" cy="76200"/>
                          </a:xfrm>
                          <a:custGeom>
                            <a:avLst/>
                            <a:gdLst/>
                            <a:ahLst/>
                            <a:cxnLst/>
                            <a:rect l="0" t="0" r="0" b="0"/>
                            <a:pathLst>
                              <a:path w="2991866" h="76200">
                                <a:moveTo>
                                  <a:pt x="2915666" y="0"/>
                                </a:moveTo>
                                <a:lnTo>
                                  <a:pt x="2991866" y="38227"/>
                                </a:lnTo>
                                <a:lnTo>
                                  <a:pt x="2915539" y="76200"/>
                                </a:lnTo>
                                <a:lnTo>
                                  <a:pt x="2915592" y="44433"/>
                                </a:lnTo>
                                <a:lnTo>
                                  <a:pt x="0" y="40513"/>
                                </a:lnTo>
                                <a:lnTo>
                                  <a:pt x="0" y="27813"/>
                                </a:lnTo>
                                <a:lnTo>
                                  <a:pt x="2915613" y="31733"/>
                                </a:lnTo>
                                <a:lnTo>
                                  <a:pt x="2915666" y="0"/>
                                </a:lnTo>
                                <a:close/>
                              </a:path>
                            </a:pathLst>
                          </a:custGeom>
                          <a:ln w="0" cap="flat">
                            <a:round/>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5861" name="Picture 15861"/>
                          <pic:cNvPicPr/>
                        </pic:nvPicPr>
                        <pic:blipFill>
                          <a:blip r:embed="rId171"/>
                          <a:stretch>
                            <a:fillRect/>
                          </a:stretch>
                        </pic:blipFill>
                        <pic:spPr>
                          <a:xfrm>
                            <a:off x="3133344" y="2212848"/>
                            <a:ext cx="149352" cy="134112"/>
                          </a:xfrm>
                          <a:prstGeom prst="rect">
                            <a:avLst/>
                          </a:prstGeom>
                        </pic:spPr>
                      </pic:pic>
                      <pic:pic xmlns:pic="http://schemas.openxmlformats.org/drawingml/2006/picture">
                        <pic:nvPicPr>
                          <pic:cNvPr id="15863" name="Picture 15863"/>
                          <pic:cNvPicPr/>
                        </pic:nvPicPr>
                        <pic:blipFill>
                          <a:blip r:embed="rId172"/>
                          <a:stretch>
                            <a:fillRect/>
                          </a:stretch>
                        </pic:blipFill>
                        <pic:spPr>
                          <a:xfrm>
                            <a:off x="256032" y="0"/>
                            <a:ext cx="155448" cy="131064"/>
                          </a:xfrm>
                          <a:prstGeom prst="rect">
                            <a:avLst/>
                          </a:prstGeom>
                        </pic:spPr>
                      </pic:pic>
                    </wpg:wgp>
                  </a:graphicData>
                </a:graphic>
              </wp:inline>
            </w:drawing>
          </mc:Choice>
          <mc:Fallback xmlns:a="http://schemas.openxmlformats.org/drawingml/2006/main">
            <w:pict>
              <v:group id="Group 927667" style="width:262.13pt;height:200.555pt;mso-position-horizontal-relative:char;mso-position-vertical-relative:line" coordsize="33290,25470">
                <v:rect id="Rectangle 15660" style="position:absolute;width:466;height:2064;left:32939;top:23918;" filled="f" stroked="f">
                  <v:textbox inset="0,0,0,0">
                    <w:txbxContent>
                      <w:p>
                        <w:pPr>
                          <w:spacing w:before="0" w:after="160" w:line="259" w:lineRule="auto"/>
                        </w:pPr>
                        <w:r>
                          <w:rPr>
                            <w:rFonts w:cs="Times New Roman" w:hAnsi="Times New Roman" w:eastAsia="Times New Roman" w:ascii="Times New Roman"/>
                            <w:color w:val="00000a"/>
                            <w:sz w:val="22"/>
                          </w:rPr>
                          <w:t xml:space="preserve"> </w:t>
                        </w:r>
                      </w:p>
                    </w:txbxContent>
                  </v:textbox>
                </v:rect>
                <v:shape id="Shape 15750" style="position:absolute;width:28346;height:0;left:2971;top:21686;" coordsize="2834640,0" path="m0,0l2834640,0">
                  <v:stroke weight="0.72pt" endcap="flat" joinstyle="round" on="true" color="#d9d9d9"/>
                  <v:fill on="false" color="#000000" opacity="0"/>
                </v:shape>
                <v:shape id="Shape 15751" style="position:absolute;width:28346;height:0;left:2971;top:20619;" coordsize="2834640,0" path="m0,0l2834640,0">
                  <v:stroke weight="0.72pt" endcap="flat" joinstyle="round" on="true" color="#d9d9d9"/>
                  <v:fill on="false" color="#000000" opacity="0"/>
                </v:shape>
                <v:shape id="Shape 15752" style="position:absolute;width:28346;height:0;left:2971;top:19583;" coordsize="2834640,0" path="m0,0l2834640,0">
                  <v:stroke weight="0.72pt" endcap="flat" joinstyle="round" on="true" color="#d9d9d9"/>
                  <v:fill on="false" color="#000000" opacity="0"/>
                </v:shape>
                <v:shape id="Shape 15753" style="position:absolute;width:28346;height:0;left:2971;top:18516;" coordsize="2834640,0" path="m0,0l2834640,0">
                  <v:stroke weight="0.72pt" endcap="flat" joinstyle="round" on="true" color="#d9d9d9"/>
                  <v:fill on="false" color="#000000" opacity="0"/>
                </v:shape>
                <v:shape id="Shape 15754" style="position:absolute;width:28346;height:0;left:2971;top:17480;" coordsize="2834640,0" path="m0,0l2834640,0">
                  <v:stroke weight="0.72pt" endcap="flat" joinstyle="round" on="true" color="#d9d9d9"/>
                  <v:fill on="false" color="#000000" opacity="0"/>
                </v:shape>
                <v:shape id="Shape 15755" style="position:absolute;width:28346;height:0;left:2971;top:16413;" coordsize="2834640,0" path="m0,0l2834640,0">
                  <v:stroke weight="0.72pt" endcap="flat" joinstyle="round" on="true" color="#d9d9d9"/>
                  <v:fill on="false" color="#000000" opacity="0"/>
                </v:shape>
                <v:shape id="Shape 15756" style="position:absolute;width:28346;height:0;left:2971;top:15377;" coordsize="2834640,0" path="m0,0l2834640,0">
                  <v:stroke weight="0.72pt" endcap="flat" joinstyle="round" on="true" color="#d9d9d9"/>
                  <v:fill on="false" color="#000000" opacity="0"/>
                </v:shape>
                <v:shape id="Shape 15757" style="position:absolute;width:28346;height:0;left:2971;top:14340;" coordsize="2834640,0" path="m0,0l2834640,0">
                  <v:stroke weight="0.72pt" endcap="flat" joinstyle="round" on="true" color="#d9d9d9"/>
                  <v:fill on="false" color="#000000" opacity="0"/>
                </v:shape>
                <v:shape id="Shape 15758" style="position:absolute;width:28346;height:0;left:2971;top:13274;" coordsize="2834640,0" path="m0,0l2834640,0">
                  <v:stroke weight="0.72pt" endcap="flat" joinstyle="round" on="true" color="#d9d9d9"/>
                  <v:fill on="false" color="#000000" opacity="0"/>
                </v:shape>
                <v:shape id="Shape 15759" style="position:absolute;width:28346;height:0;left:2971;top:12237;" coordsize="2834640,0" path="m0,0l2834640,0">
                  <v:stroke weight="0.72pt" endcap="flat" joinstyle="round" on="true" color="#d9d9d9"/>
                  <v:fill on="false" color="#000000" opacity="0"/>
                </v:shape>
                <v:shape id="Shape 15760" style="position:absolute;width:28346;height:0;left:2971;top:11170;" coordsize="2834640,0" path="m0,0l2834640,0">
                  <v:stroke weight="0.72pt" endcap="flat" joinstyle="round" on="true" color="#d9d9d9"/>
                  <v:fill on="false" color="#000000" opacity="0"/>
                </v:shape>
                <v:shape id="Shape 15761" style="position:absolute;width:28346;height:0;left:2971;top:10134;" coordsize="2834640,0" path="m0,0l2834640,0">
                  <v:stroke weight="0.72pt" endcap="flat" joinstyle="round" on="true" color="#d9d9d9"/>
                  <v:fill on="false" color="#000000" opacity="0"/>
                </v:shape>
                <v:shape id="Shape 15762" style="position:absolute;width:28346;height:0;left:2971;top:9067;" coordsize="2834640,0" path="m0,0l2834640,0">
                  <v:stroke weight="0.72pt" endcap="flat" joinstyle="round" on="true" color="#d9d9d9"/>
                  <v:fill on="false" color="#000000" opacity="0"/>
                </v:shape>
                <v:shape id="Shape 15763" style="position:absolute;width:28346;height:0;left:2971;top:8031;" coordsize="2834640,0" path="m0,0l2834640,0">
                  <v:stroke weight="0.72pt" endcap="flat" joinstyle="round" on="true" color="#d9d9d9"/>
                  <v:fill on="false" color="#000000" opacity="0"/>
                </v:shape>
                <v:shape id="Shape 15764" style="position:absolute;width:28346;height:0;left:2971;top:6995;" coordsize="2834640,0" path="m0,0l2834640,0">
                  <v:stroke weight="0.72pt" endcap="flat" joinstyle="round" on="true" color="#d9d9d9"/>
                  <v:fill on="false" color="#000000" opacity="0"/>
                </v:shape>
                <v:shape id="Shape 15765" style="position:absolute;width:28346;height:0;left:2971;top:5928;" coordsize="2834640,0" path="m0,0l2834640,0">
                  <v:stroke weight="0.72pt" endcap="flat" joinstyle="round" on="true" color="#d9d9d9"/>
                  <v:fill on="false" color="#000000" opacity="0"/>
                </v:shape>
                <v:shape id="Shape 15766" style="position:absolute;width:28346;height:0;left:2971;top:4892;" coordsize="2834640,0" path="m0,0l2834640,0">
                  <v:stroke weight="0.72pt" endcap="flat" joinstyle="round" on="true" color="#d9d9d9"/>
                  <v:fill on="false" color="#000000" opacity="0"/>
                </v:shape>
                <v:shape id="Shape 15767" style="position:absolute;width:28346;height:0;left:2971;top:3825;" coordsize="2834640,0" path="m0,0l2834640,0">
                  <v:stroke weight="0.72pt" endcap="flat" joinstyle="round" on="true" color="#d9d9d9"/>
                  <v:fill on="false" color="#000000" opacity="0"/>
                </v:shape>
                <v:shape id="Shape 15768" style="position:absolute;width:28346;height:0;left:2971;top:2788;" coordsize="2834640,0" path="m0,0l2834640,0">
                  <v:stroke weight="0.72pt" endcap="flat" joinstyle="round" on="true" color="#d9d9d9"/>
                  <v:fill on="false" color="#000000" opacity="0"/>
                </v:shape>
                <v:shape id="Shape 15769" style="position:absolute;width:28346;height:0;left:2971;top:1722;" coordsize="2834640,0" path="m0,0l2834640,0">
                  <v:stroke weight="0.72pt" endcap="flat" joinstyle="round" on="true" color="#d9d9d9"/>
                  <v:fill on="false" color="#000000" opacity="0"/>
                </v:shape>
                <v:shape id="Shape 15770" style="position:absolute;width:28346;height:0;left:2971;top:685;" coordsize="2834640,0" path="m0,0l2834640,0">
                  <v:stroke weight="0.72pt" endcap="flat" joinstyle="round" on="true" color="#d9d9d9"/>
                  <v:fill on="false" color="#000000" opacity="0"/>
                </v:shape>
                <v:shape id="Shape 15771" style="position:absolute;width:0;height:22037;left:4404;top:685;" coordsize="0,2203704" path="m0,0l0,2203704">
                  <v:stroke weight="0.72pt" endcap="flat" joinstyle="round" on="true" color="#d9d9d9"/>
                  <v:fill on="false" color="#000000" opacity="0"/>
                </v:shape>
                <v:shape id="Shape 15772" style="position:absolute;width:0;height:22037;left:5806;top:685;" coordsize="0,2203704" path="m0,0l0,2203704">
                  <v:stroke weight="0.72pt" endcap="flat" joinstyle="round" on="true" color="#d9d9d9"/>
                  <v:fill on="false" color="#000000" opacity="0"/>
                </v:shape>
                <v:shape id="Shape 15773" style="position:absolute;width:0;height:22037;left:7239;top:685;" coordsize="0,2203704" path="m0,0l0,2203704">
                  <v:stroke weight="0.72pt" endcap="flat" joinstyle="round" on="true" color="#d9d9d9"/>
                  <v:fill on="false" color="#000000" opacity="0"/>
                </v:shape>
                <v:shape id="Shape 15774" style="position:absolute;width:0;height:22037;left:8641;top:685;" coordsize="0,2203704" path="m0,0l0,2203704">
                  <v:stroke weight="0.72pt" endcap="flat" joinstyle="round" on="true" color="#d9d9d9"/>
                  <v:fill on="false" color="#000000" opacity="0"/>
                </v:shape>
                <v:shape id="Shape 15775" style="position:absolute;width:0;height:22037;left:10073;top:685;" coordsize="0,2203704" path="m0,0l0,2203704">
                  <v:stroke weight="0.72pt" endcap="flat" joinstyle="round" on="true" color="#d9d9d9"/>
                  <v:fill on="false" color="#000000" opacity="0"/>
                </v:shape>
                <v:shape id="Shape 15776" style="position:absolute;width:0;height:22037;left:11475;top:685;" coordsize="0,2203704" path="m0,0l0,2203704">
                  <v:stroke weight="0.72pt" endcap="flat" joinstyle="round" on="true" color="#d9d9d9"/>
                  <v:fill on="false" color="#000000" opacity="0"/>
                </v:shape>
                <v:shape id="Shape 15777" style="position:absolute;width:0;height:22037;left:12908;top:685;" coordsize="0,2203704" path="m0,0l0,2203704">
                  <v:stroke weight="0.72pt" endcap="flat" joinstyle="round" on="true" color="#d9d9d9"/>
                  <v:fill on="false" color="#000000" opacity="0"/>
                </v:shape>
                <v:shape id="Shape 15778" style="position:absolute;width:0;height:22037;left:14310;top:685;" coordsize="0,2203704" path="m0,0l0,2203704">
                  <v:stroke weight="0.72pt" endcap="flat" joinstyle="round" on="true" color="#d9d9d9"/>
                  <v:fill on="false" color="#000000" opacity="0"/>
                </v:shape>
                <v:shape id="Shape 15779" style="position:absolute;width:0;height:22037;left:15742;top:685;" coordsize="0,2203704" path="m0,0l0,2203704">
                  <v:stroke weight="0.72pt" endcap="flat" joinstyle="round" on="true" color="#d9d9d9"/>
                  <v:fill on="false" color="#000000" opacity="0"/>
                </v:shape>
                <v:shape id="Shape 15780" style="position:absolute;width:0;height:22037;left:17145;top:685;" coordsize="0,2203704" path="m0,0l0,2203704">
                  <v:stroke weight="0.72pt" endcap="flat" joinstyle="round" on="true" color="#d9d9d9"/>
                  <v:fill on="false" color="#000000" opacity="0"/>
                </v:shape>
                <v:shape id="Shape 15781" style="position:absolute;width:0;height:22037;left:18577;top:685;" coordsize="0,2203704" path="m0,0l0,2203704">
                  <v:stroke weight="0.72pt" endcap="flat" joinstyle="round" on="true" color="#d9d9d9"/>
                  <v:fill on="false" color="#000000" opacity="0"/>
                </v:shape>
                <v:shape id="Shape 15782" style="position:absolute;width:0;height:22037;left:19979;top:685;" coordsize="0,2203704" path="m0,0l0,2203704">
                  <v:stroke weight="0.72pt" endcap="flat" joinstyle="round" on="true" color="#d9d9d9"/>
                  <v:fill on="false" color="#000000" opacity="0"/>
                </v:shape>
                <v:shape id="Shape 15783" style="position:absolute;width:0;height:22037;left:21412;top:685;" coordsize="0,2203704" path="m0,0l0,2203704">
                  <v:stroke weight="0.72pt" endcap="flat" joinstyle="round" on="true" color="#d9d9d9"/>
                  <v:fill on="false" color="#000000" opacity="0"/>
                </v:shape>
                <v:shape id="Shape 15784" style="position:absolute;width:0;height:22037;left:22814;top:685;" coordsize="0,2203704" path="m0,0l0,2203704">
                  <v:stroke weight="0.72pt" endcap="flat" joinstyle="round" on="true" color="#d9d9d9"/>
                  <v:fill on="false" color="#000000" opacity="0"/>
                </v:shape>
                <v:shape id="Shape 15785" style="position:absolute;width:0;height:22037;left:24246;top:685;" coordsize="0,2203704" path="m0,0l0,2203704">
                  <v:stroke weight="0.72pt" endcap="flat" joinstyle="round" on="true" color="#d9d9d9"/>
                  <v:fill on="false" color="#000000" opacity="0"/>
                </v:shape>
                <v:shape id="Shape 15786" style="position:absolute;width:0;height:22037;left:25648;top:685;" coordsize="0,2203704" path="m0,0l0,2203704">
                  <v:stroke weight="0.72pt" endcap="flat" joinstyle="round" on="true" color="#d9d9d9"/>
                  <v:fill on="false" color="#000000" opacity="0"/>
                </v:shape>
                <v:shape id="Shape 15787" style="position:absolute;width:0;height:22037;left:27081;top:685;" coordsize="0,2203704" path="m0,0l0,2203704">
                  <v:stroke weight="0.72pt" endcap="flat" joinstyle="round" on="true" color="#d9d9d9"/>
                  <v:fill on="false" color="#000000" opacity="0"/>
                </v:shape>
                <v:shape id="Shape 15788" style="position:absolute;width:0;height:22037;left:28483;top:685;" coordsize="0,2203704" path="m0,0l0,2203704">
                  <v:stroke weight="0.72pt" endcap="flat" joinstyle="round" on="true" color="#d9d9d9"/>
                  <v:fill on="false" color="#000000" opacity="0"/>
                </v:shape>
                <v:shape id="Shape 15789" style="position:absolute;width:0;height:22037;left:29916;top:685;" coordsize="0,2203704" path="m0,0l0,2203704">
                  <v:stroke weight="0.72pt" endcap="flat" joinstyle="round" on="true" color="#d9d9d9"/>
                  <v:fill on="false" color="#000000" opacity="0"/>
                </v:shape>
                <v:shape id="Shape 15790" style="position:absolute;width:0;height:22037;left:31318;top:685;" coordsize="0,2203704" path="m0,0l0,2203704">
                  <v:stroke weight="0.72pt" endcap="flat" joinstyle="round" on="true" color="#d9d9d9"/>
                  <v:fill on="false" color="#000000" opacity="0"/>
                </v:shape>
                <v:shape id="Shape 15791" style="position:absolute;width:0;height:22037;left:2971;top:685;" coordsize="0,2203704" path="m0,2203704l0,0">
                  <v:stroke weight="0.72pt" endcap="flat" joinstyle="round" on="true" color="#bfbfbf"/>
                  <v:fill on="false" color="#000000" opacity="0"/>
                </v:shape>
                <v:shape id="Shape 15792" style="position:absolute;width:28346;height:0;left:2971;top:22722;" coordsize="2834640,0" path="m0,0l2834640,0">
                  <v:stroke weight="0.72pt" endcap="flat" joinstyle="round" on="true" color="#bfbfbf"/>
                  <v:fill on="false" color="#000000" opacity="0"/>
                </v:shape>
                <v:shape id="Shape 15793" style="position:absolute;width:25504;height:18892;left:5820;top:1733;" coordsize="2550414,1889253" path="m2550414,1889253c2078101,1819275,1448435,1749298,1133475,1679321c881253,1623314,755777,1525524,661289,1469390c543179,1399540,488061,1329563,425069,1259586c362077,1189609,322707,1119632,283464,1049655c244094,979678,215900,909701,188976,839724c161925,769747,141097,699770,121412,629793c101854,559816,85852,489839,70866,419862c55880,349885,43307,279908,31496,209931c19685,139954,10541,69977,0,0">
                  <v:stroke weight="1.44pt" endcap="round" joinstyle="round" on="true" color="#5b9bd5"/>
                  <v:fill on="false" color="#000000" opacity="0"/>
                </v:shape>
                <v:shape id="Shape 15794" style="position:absolute;width:609;height:609;left:31012;top:20300;" coordsize="60960,60961" path="m30480,0c47371,0,60960,13716,60960,30480c60960,47371,47371,60961,30480,60961c13589,60961,0,47371,0,30480c0,13716,13589,0,30480,0x">
                  <v:stroke weight="0pt" endcap="flat" joinstyle="round" on="false" color="#000000" opacity="0"/>
                  <v:fill on="true" color="#5b9bd5"/>
                </v:shape>
                <v:shape id="Shape 15795" style="position:absolute;width:609;height:609;left:31012;top:20300;" coordsize="60960,60961" path="m60960,30480c60960,47371,47371,60961,30480,60961c13589,60961,0,47371,0,30480c0,13716,13589,0,30480,0c47371,0,60960,13716,60960,30480x">
                  <v:stroke weight="0.72pt" endcap="flat" joinstyle="round" on="true" color="#5b9bd5"/>
                  <v:fill on="false" color="#000000" opacity="0"/>
                </v:shape>
                <v:shape id="Shape 15796" style="position:absolute;width:609;height:609;left:16838;top:18197;" coordsize="60960,60960" path="m30480,0c47371,0,60960,13716,60960,30480c60960,47372,47371,60960,30480,60960c13589,60960,0,47372,0,30480c0,13716,13589,0,30480,0x">
                  <v:stroke weight="0pt" endcap="flat" joinstyle="round" on="false" color="#000000" opacity="0"/>
                  <v:fill on="true" color="#5b9bd5"/>
                </v:shape>
                <v:shape id="Shape 15797" style="position:absolute;width:609;height:609;left:16838;top:18197;" coordsize="60960,60960" path="m60960,30480c60960,47372,47371,60960,30480,60960c13589,60960,0,47372,0,30480c0,13716,13589,0,30480,0c47371,0,60960,13716,60960,30480x">
                  <v:stroke weight="0.72pt" endcap="flat" joinstyle="round" on="true" color="#5b9bd5"/>
                  <v:fill on="false" color="#000000" opacity="0"/>
                </v:shape>
                <v:shape id="Shape 15798" style="position:absolute;width:609;height:609;left:12114;top:16094;" coordsize="60960,60961" path="m30480,0c47371,0,60960,13716,60960,30480c60960,47371,47371,60961,30480,60961c13589,60961,0,47371,0,30480c0,13716,13589,0,30480,0x">
                  <v:stroke weight="0pt" endcap="flat" joinstyle="round" on="false" color="#000000" opacity="0"/>
                  <v:fill on="true" color="#5b9bd5"/>
                </v:shape>
                <v:shape id="Shape 15799" style="position:absolute;width:609;height:609;left:12114;top:16094;" coordsize="60960,60961" path="m60960,30480c60960,47371,47371,60961,30480,60961c13589,60961,0,47371,0,30480c0,13716,13589,0,30480,0c47371,0,60960,13716,60960,30480x">
                  <v:stroke weight="0.72pt" endcap="flat" joinstyle="round" on="true" color="#5b9bd5"/>
                  <v:fill on="false" color="#000000" opacity="0"/>
                </v:shape>
                <v:shape id="Shape 15800" style="position:absolute;width:609;height:609;left:9767;top:14022;" coordsize="60960,60959" path="m30480,0c47371,0,60960,13715,60960,30480c60960,47371,47371,60959,30480,60959c13589,60959,0,47371,0,30480c0,13715,13589,0,30480,0x">
                  <v:stroke weight="0pt" endcap="flat" joinstyle="round" on="false" color="#000000" opacity="0"/>
                  <v:fill on="true" color="#5b9bd5"/>
                </v:shape>
                <v:shape id="Shape 15801" style="position:absolute;width:609;height:609;left:9767;top:14022;" coordsize="60960,60959" path="m60960,30480c60960,47371,47371,60959,30480,60959c13589,60959,0,47371,0,30480c0,13715,13589,0,30480,0c47371,0,60960,13715,60960,30480x">
                  <v:stroke weight="0.72pt" endcap="flat" joinstyle="round" on="true" color="#5b9bd5"/>
                  <v:fill on="false" color="#000000" opacity="0"/>
                </v:shape>
                <v:shape id="Shape 15802" style="position:absolute;width:609;height:609;left:8335;top:11918;" coordsize="60960,60960" path="m30480,0c47371,0,60960,13716,60960,30480c60960,47371,47371,60960,30480,60960c13589,60960,0,47371,0,30480c0,13716,13589,0,30480,0x">
                  <v:stroke weight="0pt" endcap="flat" joinstyle="round" on="false" color="#000000" opacity="0"/>
                  <v:fill on="true" color="#5b9bd5"/>
                </v:shape>
                <v:shape id="Shape 15803" style="position:absolute;width:609;height:609;left:8335;top:11918;" coordsize="60960,60960" path="m60960,30480c60960,47371,47371,60960,30480,60960c13589,60960,0,47371,0,30480c0,13716,13589,0,30480,0c47371,0,60960,13716,60960,30480x">
                  <v:stroke weight="0.72pt" endcap="flat" joinstyle="round" on="true" color="#5b9bd5"/>
                  <v:fill on="false" color="#000000" opacity="0"/>
                </v:shape>
                <v:shape id="Shape 15804" style="position:absolute;width:609;height:609;left:7390;top:9815;" coordsize="60960,60960" path="m30480,0c47371,0,60960,13716,60960,30480c60960,47371,47371,60960,30480,60960c13589,60960,0,47371,0,30480c0,13716,13589,0,30480,0x">
                  <v:stroke weight="0pt" endcap="flat" joinstyle="round" on="false" color="#000000" opacity="0"/>
                  <v:fill on="true" color="#5b9bd5"/>
                </v:shape>
                <v:shape id="Shape 15805" style="position:absolute;width:609;height:609;left:7390;top:9815;" coordsize="60960,60960" path="m60960,30480c60960,47371,47371,60960,30480,60960c13589,60960,0,47371,0,30480c0,13716,13589,0,30480,0c47371,0,60960,13716,60960,30480x">
                  <v:stroke weight="0.72pt" endcap="flat" joinstyle="round" on="true" color="#5b9bd5"/>
                  <v:fill on="false" color="#000000" opacity="0"/>
                </v:shape>
                <v:shape id="Shape 15806" style="position:absolute;width:609;height:609;left:6719;top:7712;" coordsize="60960,60960" path="m30480,0c47371,0,60960,13716,60960,30480c60960,47371,47371,60960,30480,60960c13589,60960,0,47371,0,30480c0,13716,13589,0,30480,0x">
                  <v:stroke weight="0pt" endcap="flat" joinstyle="round" on="false" color="#000000" opacity="0"/>
                  <v:fill on="true" color="#5b9bd5"/>
                </v:shape>
                <v:shape id="Shape 15807" style="position:absolute;width:609;height:609;left:6719;top:7712;" coordsize="60960,60960" path="m60960,30480c60960,47371,47371,60960,30480,60960c13589,60960,0,47371,0,30480c0,13716,13589,0,30480,0c47371,0,60960,13716,60960,30480x">
                  <v:stroke weight="0.72pt" endcap="flat" joinstyle="round" on="true" color="#5b9bd5"/>
                  <v:fill on="false" color="#000000" opacity="0"/>
                </v:shape>
                <v:shape id="Shape 15808" style="position:absolute;width:609;height:609;left:6231;top:5609;" coordsize="60960,60960" path="m30480,0c47371,0,60960,13716,60960,30480c60960,47371,47371,60960,30480,60960c13589,60960,0,47371,0,30480c0,13716,13589,0,30480,0x">
                  <v:stroke weight="0pt" endcap="flat" joinstyle="round" on="false" color="#000000" opacity="0"/>
                  <v:fill on="true" color="#5b9bd5"/>
                </v:shape>
                <v:shape id="Shape 15809" style="position:absolute;width:609;height:609;left:6231;top:5609;" coordsize="60960,60960" path="m60960,30480c60960,47371,47371,60960,30480,60960c13589,60960,0,47371,0,30480c0,13716,13589,0,30480,0c47371,0,60960,13716,60960,30480x">
                  <v:stroke weight="0.72pt" endcap="flat" joinstyle="round" on="true" color="#5b9bd5"/>
                  <v:fill on="false" color="#000000" opacity="0"/>
                </v:shape>
                <v:shape id="Shape 15810" style="position:absolute;width:609;height:609;left:5835;top:3506;" coordsize="60960,60960" path="m30480,0c47371,0,60960,13716,60960,30480c60960,47371,47371,60960,30480,60960c13589,60960,0,47371,0,30480c0,13716,13589,0,30480,0x">
                  <v:stroke weight="0pt" endcap="flat" joinstyle="round" on="false" color="#000000" opacity="0"/>
                  <v:fill on="true" color="#5b9bd5"/>
                </v:shape>
                <v:shape id="Shape 15811" style="position:absolute;width:609;height:609;left:5835;top:3506;" coordsize="60960,60960" path="m60960,30480c60960,47371,47371,60960,30480,60960c13589,60960,0,47371,0,30480c0,13716,13589,0,30480,0c47371,0,60960,13716,60960,30480x">
                  <v:stroke weight="0.72pt" endcap="flat" joinstyle="round" on="true" color="#5b9bd5"/>
                  <v:fill on="false" color="#000000" opacity="0"/>
                </v:shape>
                <v:shape id="Shape 15812" style="position:absolute;width:609;height:609;left:5500;top:1403;" coordsize="60960,60960" path="m30480,0c47371,0,60960,13716,60960,30480c60960,47371,47371,60960,30480,60960c13589,60960,0,47371,0,30480c0,13716,13589,0,30480,0x">
                  <v:stroke weight="0pt" endcap="flat" joinstyle="round" on="false" color="#000000" opacity="0"/>
                  <v:fill on="true" color="#5b9bd5"/>
                </v:shape>
                <v:shape id="Shape 15813" style="position:absolute;width:609;height:609;left:5500;top:1403;" coordsize="60960,60960" path="m60960,30480c60960,47371,47371,60960,30480,60960c13589,60960,0,47371,0,30480c0,13716,13589,0,30480,0c47371,0,60960,13716,60960,30480x">
                  <v:stroke weight="0.72pt" endcap="flat" joinstyle="round" on="true" color="#5b9bd5"/>
                  <v:fill on="false" color="#000000" opacity="0"/>
                </v:shape>
                <v:rect id="Rectangle 15814" style="position:absolute;width:783;height:1573;left:1356;top:22211;" filled="f" stroked="f">
                  <v:textbox inset="0,0,0,0">
                    <w:txbxContent>
                      <w:p>
                        <w:pPr>
                          <w:spacing w:before="0" w:after="160" w:line="259" w:lineRule="auto"/>
                        </w:pPr>
                        <w:r>
                          <w:rPr>
                            <w:rFonts w:cs="Calibri" w:hAnsi="Calibri" w:eastAsia="Calibri" w:ascii="Calibri"/>
                            <w:sz w:val="18"/>
                          </w:rPr>
                          <w:t xml:space="preserve">0</w:t>
                        </w:r>
                      </w:p>
                    </w:txbxContent>
                  </v:textbox>
                </v:rect>
                <v:rect id="Rectangle 15815" style="position:absolute;width:781;height:1569;left:1356;top:21165;" filled="f" stroked="f">
                  <v:textbox inset="0,0,0,0">
                    <w:txbxContent>
                      <w:p>
                        <w:pPr>
                          <w:spacing w:before="0" w:after="160" w:line="259" w:lineRule="auto"/>
                        </w:pPr>
                        <w:r>
                          <w:rPr>
                            <w:rFonts w:cs="Calibri" w:hAnsi="Calibri" w:eastAsia="Calibri" w:ascii="Calibri"/>
                            <w:sz w:val="18"/>
                          </w:rPr>
                          <w:t xml:space="preserve">5</w:t>
                        </w:r>
                      </w:p>
                    </w:txbxContent>
                  </v:textbox>
                </v:rect>
                <v:rect id="Rectangle 15816" style="position:absolute;width:1551;height:1569;left:777;top:20116;" filled="f" stroked="f">
                  <v:textbox inset="0,0,0,0">
                    <w:txbxContent>
                      <w:p>
                        <w:pPr>
                          <w:spacing w:before="0" w:after="160" w:line="259" w:lineRule="auto"/>
                        </w:pPr>
                        <w:r>
                          <w:rPr>
                            <w:rFonts w:cs="Calibri" w:hAnsi="Calibri" w:eastAsia="Calibri" w:ascii="Calibri"/>
                            <w:sz w:val="18"/>
                          </w:rPr>
                          <w:t xml:space="preserve">10</w:t>
                        </w:r>
                      </w:p>
                    </w:txbxContent>
                  </v:textbox>
                </v:rect>
                <v:rect id="Rectangle 15817" style="position:absolute;width:1551;height:1569;left:777;top:19065;" filled="f" stroked="f">
                  <v:textbox inset="0,0,0,0">
                    <w:txbxContent>
                      <w:p>
                        <w:pPr>
                          <w:spacing w:before="0" w:after="160" w:line="259" w:lineRule="auto"/>
                        </w:pPr>
                        <w:r>
                          <w:rPr>
                            <w:rFonts w:cs="Calibri" w:hAnsi="Calibri" w:eastAsia="Calibri" w:ascii="Calibri"/>
                            <w:sz w:val="18"/>
                          </w:rPr>
                          <w:t xml:space="preserve">15</w:t>
                        </w:r>
                      </w:p>
                    </w:txbxContent>
                  </v:textbox>
                </v:rect>
                <v:rect id="Rectangle 15818" style="position:absolute;width:1551;height:1569;left:777;top:18016;" filled="f" stroked="f">
                  <v:textbox inset="0,0,0,0">
                    <w:txbxContent>
                      <w:p>
                        <w:pPr>
                          <w:spacing w:before="0" w:after="160" w:line="259" w:lineRule="auto"/>
                        </w:pPr>
                        <w:r>
                          <w:rPr>
                            <w:rFonts w:cs="Calibri" w:hAnsi="Calibri" w:eastAsia="Calibri" w:ascii="Calibri"/>
                            <w:sz w:val="18"/>
                          </w:rPr>
                          <w:t xml:space="preserve">20</w:t>
                        </w:r>
                      </w:p>
                    </w:txbxContent>
                  </v:textbox>
                </v:rect>
                <v:rect id="Rectangle 15819" style="position:absolute;width:1551;height:1569;left:777;top:16964;" filled="f" stroked="f">
                  <v:textbox inset="0,0,0,0">
                    <w:txbxContent>
                      <w:p>
                        <w:pPr>
                          <w:spacing w:before="0" w:after="160" w:line="259" w:lineRule="auto"/>
                        </w:pPr>
                        <w:r>
                          <w:rPr>
                            <w:rFonts w:cs="Calibri" w:hAnsi="Calibri" w:eastAsia="Calibri" w:ascii="Calibri"/>
                            <w:sz w:val="18"/>
                          </w:rPr>
                          <w:t xml:space="preserve">25</w:t>
                        </w:r>
                      </w:p>
                    </w:txbxContent>
                  </v:textbox>
                </v:rect>
                <v:rect id="Rectangle 15820" style="position:absolute;width:1551;height:1569;left:777;top:15916;" filled="f" stroked="f">
                  <v:textbox inset="0,0,0,0">
                    <w:txbxContent>
                      <w:p>
                        <w:pPr>
                          <w:spacing w:before="0" w:after="160" w:line="259" w:lineRule="auto"/>
                        </w:pPr>
                        <w:r>
                          <w:rPr>
                            <w:rFonts w:cs="Calibri" w:hAnsi="Calibri" w:eastAsia="Calibri" w:ascii="Calibri"/>
                            <w:sz w:val="18"/>
                          </w:rPr>
                          <w:t xml:space="preserve">30</w:t>
                        </w:r>
                      </w:p>
                    </w:txbxContent>
                  </v:textbox>
                </v:rect>
                <v:rect id="Rectangle 15821" style="position:absolute;width:1551;height:1569;left:777;top:14865;" filled="f" stroked="f">
                  <v:textbox inset="0,0,0,0">
                    <w:txbxContent>
                      <w:p>
                        <w:pPr>
                          <w:spacing w:before="0" w:after="160" w:line="259" w:lineRule="auto"/>
                        </w:pPr>
                        <w:r>
                          <w:rPr>
                            <w:rFonts w:cs="Calibri" w:hAnsi="Calibri" w:eastAsia="Calibri" w:ascii="Calibri"/>
                            <w:sz w:val="18"/>
                          </w:rPr>
                          <w:t xml:space="preserve">35</w:t>
                        </w:r>
                      </w:p>
                    </w:txbxContent>
                  </v:textbox>
                </v:rect>
                <v:rect id="Rectangle 15822" style="position:absolute;width:1551;height:1569;left:777;top:13816;" filled="f" stroked="f">
                  <v:textbox inset="0,0,0,0">
                    <w:txbxContent>
                      <w:p>
                        <w:pPr>
                          <w:spacing w:before="0" w:after="160" w:line="259" w:lineRule="auto"/>
                        </w:pPr>
                        <w:r>
                          <w:rPr>
                            <w:rFonts w:cs="Calibri" w:hAnsi="Calibri" w:eastAsia="Calibri" w:ascii="Calibri"/>
                            <w:sz w:val="18"/>
                          </w:rPr>
                          <w:t xml:space="preserve">40</w:t>
                        </w:r>
                      </w:p>
                    </w:txbxContent>
                  </v:textbox>
                </v:rect>
                <v:rect id="Rectangle 15823" style="position:absolute;width:1551;height:1569;left:777;top:12764;" filled="f" stroked="f">
                  <v:textbox inset="0,0,0,0">
                    <w:txbxContent>
                      <w:p>
                        <w:pPr>
                          <w:spacing w:before="0" w:after="160" w:line="259" w:lineRule="auto"/>
                        </w:pPr>
                        <w:r>
                          <w:rPr>
                            <w:rFonts w:cs="Calibri" w:hAnsi="Calibri" w:eastAsia="Calibri" w:ascii="Calibri"/>
                            <w:sz w:val="18"/>
                          </w:rPr>
                          <w:t xml:space="preserve">45</w:t>
                        </w:r>
                      </w:p>
                    </w:txbxContent>
                  </v:textbox>
                </v:rect>
                <v:rect id="Rectangle 15824" style="position:absolute;width:1551;height:1569;left:777;top:11717;" filled="f" stroked="f">
                  <v:textbox inset="0,0,0,0">
                    <w:txbxContent>
                      <w:p>
                        <w:pPr>
                          <w:spacing w:before="0" w:after="160" w:line="259" w:lineRule="auto"/>
                        </w:pPr>
                        <w:r>
                          <w:rPr>
                            <w:rFonts w:cs="Calibri" w:hAnsi="Calibri" w:eastAsia="Calibri" w:ascii="Calibri"/>
                            <w:sz w:val="18"/>
                          </w:rPr>
                          <w:t xml:space="preserve">50</w:t>
                        </w:r>
                      </w:p>
                    </w:txbxContent>
                  </v:textbox>
                </v:rect>
                <v:rect id="Rectangle 15825" style="position:absolute;width:1551;height:1569;left:777;top:10665;" filled="f" stroked="f">
                  <v:textbox inset="0,0,0,0">
                    <w:txbxContent>
                      <w:p>
                        <w:pPr>
                          <w:spacing w:before="0" w:after="160" w:line="259" w:lineRule="auto"/>
                        </w:pPr>
                        <w:r>
                          <w:rPr>
                            <w:rFonts w:cs="Calibri" w:hAnsi="Calibri" w:eastAsia="Calibri" w:ascii="Calibri"/>
                            <w:sz w:val="18"/>
                          </w:rPr>
                          <w:t xml:space="preserve">55</w:t>
                        </w:r>
                      </w:p>
                    </w:txbxContent>
                  </v:textbox>
                </v:rect>
                <v:rect id="Rectangle 15826" style="position:absolute;width:1551;height:1569;left:777;top:9616;" filled="f" stroked="f">
                  <v:textbox inset="0,0,0,0">
                    <w:txbxContent>
                      <w:p>
                        <w:pPr>
                          <w:spacing w:before="0" w:after="160" w:line="259" w:lineRule="auto"/>
                        </w:pPr>
                        <w:r>
                          <w:rPr>
                            <w:rFonts w:cs="Calibri" w:hAnsi="Calibri" w:eastAsia="Calibri" w:ascii="Calibri"/>
                            <w:sz w:val="18"/>
                          </w:rPr>
                          <w:t xml:space="preserve">60</w:t>
                        </w:r>
                      </w:p>
                    </w:txbxContent>
                  </v:textbox>
                </v:rect>
                <v:rect id="Rectangle 15827" style="position:absolute;width:1553;height:1573;left:777;top:8562;" filled="f" stroked="f">
                  <v:textbox inset="0,0,0,0">
                    <w:txbxContent>
                      <w:p>
                        <w:pPr>
                          <w:spacing w:before="0" w:after="160" w:line="259" w:lineRule="auto"/>
                        </w:pPr>
                        <w:r>
                          <w:rPr>
                            <w:rFonts w:cs="Calibri" w:hAnsi="Calibri" w:eastAsia="Calibri" w:ascii="Calibri"/>
                            <w:sz w:val="18"/>
                          </w:rPr>
                          <w:t xml:space="preserve">65</w:t>
                        </w:r>
                      </w:p>
                    </w:txbxContent>
                  </v:textbox>
                </v:rect>
                <v:rect id="Rectangle 15828" style="position:absolute;width:1551;height:1569;left:777;top:7515;" filled="f" stroked="f">
                  <v:textbox inset="0,0,0,0">
                    <w:txbxContent>
                      <w:p>
                        <w:pPr>
                          <w:spacing w:before="0" w:after="160" w:line="259" w:lineRule="auto"/>
                        </w:pPr>
                        <w:r>
                          <w:rPr>
                            <w:rFonts w:cs="Calibri" w:hAnsi="Calibri" w:eastAsia="Calibri" w:ascii="Calibri"/>
                            <w:sz w:val="18"/>
                          </w:rPr>
                          <w:t xml:space="preserve">70</w:t>
                        </w:r>
                      </w:p>
                    </w:txbxContent>
                  </v:textbox>
                </v:rect>
                <v:rect id="Rectangle 15829" style="position:absolute;width:1551;height:1569;left:777;top:6468;" filled="f" stroked="f">
                  <v:textbox inset="0,0,0,0">
                    <w:txbxContent>
                      <w:p>
                        <w:pPr>
                          <w:spacing w:before="0" w:after="160" w:line="259" w:lineRule="auto"/>
                        </w:pPr>
                        <w:r>
                          <w:rPr>
                            <w:rFonts w:cs="Calibri" w:hAnsi="Calibri" w:eastAsia="Calibri" w:ascii="Calibri"/>
                            <w:sz w:val="18"/>
                          </w:rPr>
                          <w:t xml:space="preserve">75</w:t>
                        </w:r>
                      </w:p>
                    </w:txbxContent>
                  </v:textbox>
                </v:rect>
                <v:rect id="Rectangle 15830" style="position:absolute;width:1551;height:1569;left:777;top:5416;" filled="f" stroked="f">
                  <v:textbox inset="0,0,0,0">
                    <w:txbxContent>
                      <w:p>
                        <w:pPr>
                          <w:spacing w:before="0" w:after="160" w:line="259" w:lineRule="auto"/>
                        </w:pPr>
                        <w:r>
                          <w:rPr>
                            <w:rFonts w:cs="Calibri" w:hAnsi="Calibri" w:eastAsia="Calibri" w:ascii="Calibri"/>
                            <w:sz w:val="18"/>
                          </w:rPr>
                          <w:t xml:space="preserve">80</w:t>
                        </w:r>
                      </w:p>
                    </w:txbxContent>
                  </v:textbox>
                </v:rect>
                <v:rect id="Rectangle 15831" style="position:absolute;width:1551;height:1569;left:777;top:4367;" filled="f" stroked="f">
                  <v:textbox inset="0,0,0,0">
                    <w:txbxContent>
                      <w:p>
                        <w:pPr>
                          <w:spacing w:before="0" w:after="160" w:line="259" w:lineRule="auto"/>
                        </w:pPr>
                        <w:r>
                          <w:rPr>
                            <w:rFonts w:cs="Calibri" w:hAnsi="Calibri" w:eastAsia="Calibri" w:ascii="Calibri"/>
                            <w:sz w:val="18"/>
                          </w:rPr>
                          <w:t xml:space="preserve">85</w:t>
                        </w:r>
                      </w:p>
                    </w:txbxContent>
                  </v:textbox>
                </v:rect>
                <v:rect id="Rectangle 15832" style="position:absolute;width:1551;height:1569;left:777;top:3315;" filled="f" stroked="f">
                  <v:textbox inset="0,0,0,0">
                    <w:txbxContent>
                      <w:p>
                        <w:pPr>
                          <w:spacing w:before="0" w:after="160" w:line="259" w:lineRule="auto"/>
                        </w:pPr>
                        <w:r>
                          <w:rPr>
                            <w:rFonts w:cs="Calibri" w:hAnsi="Calibri" w:eastAsia="Calibri" w:ascii="Calibri"/>
                            <w:sz w:val="18"/>
                          </w:rPr>
                          <w:t xml:space="preserve">90</w:t>
                        </w:r>
                      </w:p>
                    </w:txbxContent>
                  </v:textbox>
                </v:rect>
                <v:rect id="Rectangle 15833" style="position:absolute;width:1551;height:1569;left:777;top:2268;" filled="f" stroked="f">
                  <v:textbox inset="0,0,0,0">
                    <w:txbxContent>
                      <w:p>
                        <w:pPr>
                          <w:spacing w:before="0" w:after="160" w:line="259" w:lineRule="auto"/>
                        </w:pPr>
                        <w:r>
                          <w:rPr>
                            <w:rFonts w:cs="Calibri" w:hAnsi="Calibri" w:eastAsia="Calibri" w:ascii="Calibri"/>
                            <w:sz w:val="18"/>
                          </w:rPr>
                          <w:t xml:space="preserve">95</w:t>
                        </w:r>
                      </w:p>
                    </w:txbxContent>
                  </v:textbox>
                </v:rect>
                <v:rect id="Rectangle 15834" style="position:absolute;width:2321;height:1569;left:198;top:1216;" filled="f" stroked="f">
                  <v:textbox inset="0,0,0,0">
                    <w:txbxContent>
                      <w:p>
                        <w:pPr>
                          <w:spacing w:before="0" w:after="160" w:line="259" w:lineRule="auto"/>
                        </w:pPr>
                        <w:r>
                          <w:rPr>
                            <w:rFonts w:cs="Calibri" w:hAnsi="Calibri" w:eastAsia="Calibri" w:ascii="Calibri"/>
                            <w:sz w:val="18"/>
                          </w:rPr>
                          <w:t xml:space="preserve">100</w:t>
                        </w:r>
                      </w:p>
                    </w:txbxContent>
                  </v:textbox>
                </v:rect>
                <v:rect id="Rectangle 15835" style="position:absolute;width:2321;height:1569;left:198;top:167;" filled="f" stroked="f">
                  <v:textbox inset="0,0,0,0">
                    <w:txbxContent>
                      <w:p>
                        <w:pPr>
                          <w:spacing w:before="0" w:after="160" w:line="259" w:lineRule="auto"/>
                        </w:pPr>
                        <w:r>
                          <w:rPr>
                            <w:rFonts w:cs="Calibri" w:hAnsi="Calibri" w:eastAsia="Calibri" w:ascii="Calibri"/>
                            <w:sz w:val="18"/>
                          </w:rPr>
                          <w:t xml:space="preserve">105</w:t>
                        </w:r>
                      </w:p>
                    </w:txbxContent>
                  </v:textbox>
                </v:rect>
                <v:rect id="Rectangle 15836" style="position:absolute;width:781;height:1569;left:2706;top:23700;" filled="f" stroked="f">
                  <v:textbox inset="0,0,0,0">
                    <w:txbxContent>
                      <w:p>
                        <w:pPr>
                          <w:spacing w:before="0" w:after="160" w:line="259" w:lineRule="auto"/>
                        </w:pPr>
                        <w:r>
                          <w:rPr>
                            <w:rFonts w:cs="Calibri" w:hAnsi="Calibri" w:eastAsia="Calibri" w:ascii="Calibri"/>
                            <w:sz w:val="18"/>
                          </w:rPr>
                          <w:t xml:space="preserve">0</w:t>
                        </w:r>
                      </w:p>
                    </w:txbxContent>
                  </v:textbox>
                </v:rect>
                <v:rect id="Rectangle 15837" style="position:absolute;width:781;height:1569;left:4123;top:23700;" filled="f" stroked="f">
                  <v:textbox inset="0,0,0,0">
                    <w:txbxContent>
                      <w:p>
                        <w:pPr>
                          <w:spacing w:before="0" w:after="160" w:line="259" w:lineRule="auto"/>
                        </w:pPr>
                        <w:r>
                          <w:rPr>
                            <w:rFonts w:cs="Calibri" w:hAnsi="Calibri" w:eastAsia="Calibri" w:ascii="Calibri"/>
                            <w:sz w:val="18"/>
                          </w:rPr>
                          <w:t xml:space="preserve">5</w:t>
                        </w:r>
                      </w:p>
                    </w:txbxContent>
                  </v:textbox>
                </v:rect>
                <v:rect id="Rectangle 15838" style="position:absolute;width:1551;height:1569;left:5251;top:23700;" filled="f" stroked="f">
                  <v:textbox inset="0,0,0,0">
                    <w:txbxContent>
                      <w:p>
                        <w:pPr>
                          <w:spacing w:before="0" w:after="160" w:line="259" w:lineRule="auto"/>
                        </w:pPr>
                        <w:r>
                          <w:rPr>
                            <w:rFonts w:cs="Calibri" w:hAnsi="Calibri" w:eastAsia="Calibri" w:ascii="Calibri"/>
                            <w:sz w:val="18"/>
                          </w:rPr>
                          <w:t xml:space="preserve">10</w:t>
                        </w:r>
                      </w:p>
                    </w:txbxContent>
                  </v:textbox>
                </v:rect>
                <v:rect id="Rectangle 15839" style="position:absolute;width:1551;height:1569;left:6668;top:23700;" filled="f" stroked="f">
                  <v:textbox inset="0,0,0,0">
                    <w:txbxContent>
                      <w:p>
                        <w:pPr>
                          <w:spacing w:before="0" w:after="160" w:line="259" w:lineRule="auto"/>
                        </w:pPr>
                        <w:r>
                          <w:rPr>
                            <w:rFonts w:cs="Calibri" w:hAnsi="Calibri" w:eastAsia="Calibri" w:ascii="Calibri"/>
                            <w:sz w:val="18"/>
                          </w:rPr>
                          <w:t xml:space="preserve">15</w:t>
                        </w:r>
                      </w:p>
                    </w:txbxContent>
                  </v:textbox>
                </v:rect>
                <v:rect id="Rectangle 15840" style="position:absolute;width:1551;height:1569;left:8086;top:23700;" filled="f" stroked="f">
                  <v:textbox inset="0,0,0,0">
                    <w:txbxContent>
                      <w:p>
                        <w:pPr>
                          <w:spacing w:before="0" w:after="160" w:line="259" w:lineRule="auto"/>
                        </w:pPr>
                        <w:r>
                          <w:rPr>
                            <w:rFonts w:cs="Calibri" w:hAnsi="Calibri" w:eastAsia="Calibri" w:ascii="Calibri"/>
                            <w:sz w:val="18"/>
                          </w:rPr>
                          <w:t xml:space="preserve">20</w:t>
                        </w:r>
                      </w:p>
                    </w:txbxContent>
                  </v:textbox>
                </v:rect>
                <v:rect id="Rectangle 15841" style="position:absolute;width:1555;height:1569;left:9503;top:23700;" filled="f" stroked="f">
                  <v:textbox inset="0,0,0,0">
                    <w:txbxContent>
                      <w:p>
                        <w:pPr>
                          <w:spacing w:before="0" w:after="160" w:line="259" w:lineRule="auto"/>
                        </w:pPr>
                        <w:r>
                          <w:rPr>
                            <w:rFonts w:cs="Calibri" w:hAnsi="Calibri" w:eastAsia="Calibri" w:ascii="Calibri"/>
                            <w:sz w:val="18"/>
                          </w:rPr>
                          <w:t xml:space="preserve">25</w:t>
                        </w:r>
                      </w:p>
                    </w:txbxContent>
                  </v:textbox>
                </v:rect>
                <v:rect id="Rectangle 15842" style="position:absolute;width:1555;height:1569;left:10920;top:23700;" filled="f" stroked="f">
                  <v:textbox inset="0,0,0,0">
                    <w:txbxContent>
                      <w:p>
                        <w:pPr>
                          <w:spacing w:before="0" w:after="160" w:line="259" w:lineRule="auto"/>
                        </w:pPr>
                        <w:r>
                          <w:rPr>
                            <w:rFonts w:cs="Calibri" w:hAnsi="Calibri" w:eastAsia="Calibri" w:ascii="Calibri"/>
                            <w:sz w:val="18"/>
                          </w:rPr>
                          <w:t xml:space="preserve">30</w:t>
                        </w:r>
                      </w:p>
                    </w:txbxContent>
                  </v:textbox>
                </v:rect>
                <v:rect id="Rectangle 15843" style="position:absolute;width:1551;height:1569;left:12341;top:23700;" filled="f" stroked="f">
                  <v:textbox inset="0,0,0,0">
                    <w:txbxContent>
                      <w:p>
                        <w:pPr>
                          <w:spacing w:before="0" w:after="160" w:line="259" w:lineRule="auto"/>
                        </w:pPr>
                        <w:r>
                          <w:rPr>
                            <w:rFonts w:cs="Calibri" w:hAnsi="Calibri" w:eastAsia="Calibri" w:ascii="Calibri"/>
                            <w:sz w:val="18"/>
                          </w:rPr>
                          <w:t xml:space="preserve">35</w:t>
                        </w:r>
                      </w:p>
                    </w:txbxContent>
                  </v:textbox>
                </v:rect>
                <v:rect id="Rectangle 15844" style="position:absolute;width:1551;height:1569;left:13759;top:23700;" filled="f" stroked="f">
                  <v:textbox inset="0,0,0,0">
                    <w:txbxContent>
                      <w:p>
                        <w:pPr>
                          <w:spacing w:before="0" w:after="160" w:line="259" w:lineRule="auto"/>
                        </w:pPr>
                        <w:r>
                          <w:rPr>
                            <w:rFonts w:cs="Calibri" w:hAnsi="Calibri" w:eastAsia="Calibri" w:ascii="Calibri"/>
                            <w:sz w:val="18"/>
                          </w:rPr>
                          <w:t xml:space="preserve">40</w:t>
                        </w:r>
                      </w:p>
                    </w:txbxContent>
                  </v:textbox>
                </v:rect>
                <v:rect id="Rectangle 15845" style="position:absolute;width:1551;height:1569;left:15176;top:23700;" filled="f" stroked="f">
                  <v:textbox inset="0,0,0,0">
                    <w:txbxContent>
                      <w:p>
                        <w:pPr>
                          <w:spacing w:before="0" w:after="160" w:line="259" w:lineRule="auto"/>
                        </w:pPr>
                        <w:r>
                          <w:rPr>
                            <w:rFonts w:cs="Calibri" w:hAnsi="Calibri" w:eastAsia="Calibri" w:ascii="Calibri"/>
                            <w:sz w:val="18"/>
                          </w:rPr>
                          <w:t xml:space="preserve">45</w:t>
                        </w:r>
                      </w:p>
                    </w:txbxContent>
                  </v:textbox>
                </v:rect>
                <v:rect id="Rectangle 15846" style="position:absolute;width:1551;height:1569;left:16593;top:23700;" filled="f" stroked="f">
                  <v:textbox inset="0,0,0,0">
                    <w:txbxContent>
                      <w:p>
                        <w:pPr>
                          <w:spacing w:before="0" w:after="160" w:line="259" w:lineRule="auto"/>
                        </w:pPr>
                        <w:r>
                          <w:rPr>
                            <w:rFonts w:cs="Calibri" w:hAnsi="Calibri" w:eastAsia="Calibri" w:ascii="Calibri"/>
                            <w:sz w:val="18"/>
                          </w:rPr>
                          <w:t xml:space="preserve">50</w:t>
                        </w:r>
                      </w:p>
                    </w:txbxContent>
                  </v:textbox>
                </v:rect>
                <v:rect id="Rectangle 15847" style="position:absolute;width:1551;height:1569;left:18011;top:23700;" filled="f" stroked="f">
                  <v:textbox inset="0,0,0,0">
                    <w:txbxContent>
                      <w:p>
                        <w:pPr>
                          <w:spacing w:before="0" w:after="160" w:line="259" w:lineRule="auto"/>
                        </w:pPr>
                        <w:r>
                          <w:rPr>
                            <w:rFonts w:cs="Calibri" w:hAnsi="Calibri" w:eastAsia="Calibri" w:ascii="Calibri"/>
                            <w:sz w:val="18"/>
                          </w:rPr>
                          <w:t xml:space="preserve">55</w:t>
                        </w:r>
                      </w:p>
                    </w:txbxContent>
                  </v:textbox>
                </v:rect>
                <v:rect id="Rectangle 15848" style="position:absolute;width:1551;height:1569;left:19428;top:23700;" filled="f" stroked="f">
                  <v:textbox inset="0,0,0,0">
                    <w:txbxContent>
                      <w:p>
                        <w:pPr>
                          <w:spacing w:before="0" w:after="160" w:line="259" w:lineRule="auto"/>
                        </w:pPr>
                        <w:r>
                          <w:rPr>
                            <w:rFonts w:cs="Calibri" w:hAnsi="Calibri" w:eastAsia="Calibri" w:ascii="Calibri"/>
                            <w:sz w:val="18"/>
                          </w:rPr>
                          <w:t xml:space="preserve">60</w:t>
                        </w:r>
                      </w:p>
                    </w:txbxContent>
                  </v:textbox>
                </v:rect>
                <v:rect id="Rectangle 15849" style="position:absolute;width:1551;height:1569;left:20845;top:23700;" filled="f" stroked="f">
                  <v:textbox inset="0,0,0,0">
                    <w:txbxContent>
                      <w:p>
                        <w:pPr>
                          <w:spacing w:before="0" w:after="160" w:line="259" w:lineRule="auto"/>
                        </w:pPr>
                        <w:r>
                          <w:rPr>
                            <w:rFonts w:cs="Calibri" w:hAnsi="Calibri" w:eastAsia="Calibri" w:ascii="Calibri"/>
                            <w:sz w:val="18"/>
                          </w:rPr>
                          <w:t xml:space="preserve">65</w:t>
                        </w:r>
                      </w:p>
                    </w:txbxContent>
                  </v:textbox>
                </v:rect>
                <v:rect id="Rectangle 15850" style="position:absolute;width:1551;height:1569;left:22263;top:23700;" filled="f" stroked="f">
                  <v:textbox inset="0,0,0,0">
                    <w:txbxContent>
                      <w:p>
                        <w:pPr>
                          <w:spacing w:before="0" w:after="160" w:line="259" w:lineRule="auto"/>
                        </w:pPr>
                        <w:r>
                          <w:rPr>
                            <w:rFonts w:cs="Calibri" w:hAnsi="Calibri" w:eastAsia="Calibri" w:ascii="Calibri"/>
                            <w:sz w:val="18"/>
                          </w:rPr>
                          <w:t xml:space="preserve">70</w:t>
                        </w:r>
                      </w:p>
                    </w:txbxContent>
                  </v:textbox>
                </v:rect>
                <v:rect id="Rectangle 15851" style="position:absolute;width:1551;height:1569;left:23680;top:23700;" filled="f" stroked="f">
                  <v:textbox inset="0,0,0,0">
                    <w:txbxContent>
                      <w:p>
                        <w:pPr>
                          <w:spacing w:before="0" w:after="160" w:line="259" w:lineRule="auto"/>
                        </w:pPr>
                        <w:r>
                          <w:rPr>
                            <w:rFonts w:cs="Calibri" w:hAnsi="Calibri" w:eastAsia="Calibri" w:ascii="Calibri"/>
                            <w:sz w:val="18"/>
                          </w:rPr>
                          <w:t xml:space="preserve">75</w:t>
                        </w:r>
                      </w:p>
                    </w:txbxContent>
                  </v:textbox>
                </v:rect>
                <v:rect id="Rectangle 15852" style="position:absolute;width:1551;height:1569;left:25097;top:23700;" filled="f" stroked="f">
                  <v:textbox inset="0,0,0,0">
                    <w:txbxContent>
                      <w:p>
                        <w:pPr>
                          <w:spacing w:before="0" w:after="160" w:line="259" w:lineRule="auto"/>
                        </w:pPr>
                        <w:r>
                          <w:rPr>
                            <w:rFonts w:cs="Calibri" w:hAnsi="Calibri" w:eastAsia="Calibri" w:ascii="Calibri"/>
                            <w:sz w:val="18"/>
                          </w:rPr>
                          <w:t xml:space="preserve">80</w:t>
                        </w:r>
                      </w:p>
                    </w:txbxContent>
                  </v:textbox>
                </v:rect>
                <v:rect id="Rectangle 15853" style="position:absolute;width:1551;height:1569;left:26515;top:23700;" filled="f" stroked="f">
                  <v:textbox inset="0,0,0,0">
                    <w:txbxContent>
                      <w:p>
                        <w:pPr>
                          <w:spacing w:before="0" w:after="160" w:line="259" w:lineRule="auto"/>
                        </w:pPr>
                        <w:r>
                          <w:rPr>
                            <w:rFonts w:cs="Calibri" w:hAnsi="Calibri" w:eastAsia="Calibri" w:ascii="Calibri"/>
                            <w:sz w:val="18"/>
                          </w:rPr>
                          <w:t xml:space="preserve">85</w:t>
                        </w:r>
                      </w:p>
                    </w:txbxContent>
                  </v:textbox>
                </v:rect>
                <v:rect id="Rectangle 15854" style="position:absolute;width:1551;height:1569;left:27932;top:23700;" filled="f" stroked="f">
                  <v:textbox inset="0,0,0,0">
                    <w:txbxContent>
                      <w:p>
                        <w:pPr>
                          <w:spacing w:before="0" w:after="160" w:line="259" w:lineRule="auto"/>
                        </w:pPr>
                        <w:r>
                          <w:rPr>
                            <w:rFonts w:cs="Calibri" w:hAnsi="Calibri" w:eastAsia="Calibri" w:ascii="Calibri"/>
                            <w:sz w:val="18"/>
                          </w:rPr>
                          <w:t xml:space="preserve">90</w:t>
                        </w:r>
                      </w:p>
                    </w:txbxContent>
                  </v:textbox>
                </v:rect>
                <v:rect id="Rectangle 15855" style="position:absolute;width:1551;height:1569;left:29349;top:23700;" filled="f" stroked="f">
                  <v:textbox inset="0,0,0,0">
                    <w:txbxContent>
                      <w:p>
                        <w:pPr>
                          <w:spacing w:before="0" w:after="160" w:line="259" w:lineRule="auto"/>
                        </w:pPr>
                        <w:r>
                          <w:rPr>
                            <w:rFonts w:cs="Calibri" w:hAnsi="Calibri" w:eastAsia="Calibri" w:ascii="Calibri"/>
                            <w:sz w:val="18"/>
                          </w:rPr>
                          <w:t xml:space="preserve">95</w:t>
                        </w:r>
                      </w:p>
                    </w:txbxContent>
                  </v:textbox>
                </v:rect>
                <v:rect id="Rectangle 15856" style="position:absolute;width:2321;height:1569;left:30477;top:23700;" filled="f" stroked="f">
                  <v:textbox inset="0,0,0,0">
                    <w:txbxContent>
                      <w:p>
                        <w:pPr>
                          <w:spacing w:before="0" w:after="160" w:line="259" w:lineRule="auto"/>
                        </w:pPr>
                        <w:r>
                          <w:rPr>
                            <w:rFonts w:cs="Calibri" w:hAnsi="Calibri" w:eastAsia="Calibri" w:ascii="Calibri"/>
                            <w:sz w:val="18"/>
                          </w:rPr>
                          <w:t xml:space="preserve">100</w:t>
                        </w:r>
                      </w:p>
                    </w:txbxContent>
                  </v:textbox>
                </v:rect>
                <v:shape id="Shape 15857" style="position:absolute;width:32948;height:25024;left:0;top:0;" coordsize="3294888,2502408" path="m0,2502408l3294888,2502408l3294888,0l0,0x">
                  <v:stroke weight="0.96pt" endcap="flat" joinstyle="miter" miterlimit="8" on="true" color="#a5a5a5"/>
                  <v:fill on="false" color="#000000" opacity="0"/>
                </v:shape>
                <v:shape id="Shape 15858" style="position:absolute;width:762;height:23262;left:1692;top:0;" coordsize="76200,2326259" path="m37973,0l76200,76200l44334,76200l46355,2326259l33655,2326259l31634,76200l0,76200l37973,0x">
                  <v:stroke weight="0pt" endcap="flat" joinstyle="round" on="false" color="#000000" opacity="0"/>
                  <v:fill on="true" color="#000000"/>
                </v:shape>
                <v:shape id="Shape 15859" style="position:absolute;width:29918;height:762;left:2103;top:22975;" coordsize="2991866,76200" path="m2915666,0l2991866,38227l2915539,76200l2915592,44433l0,40513l0,27813l2915613,31733l2915666,0x">
                  <v:stroke weight="0pt" endcap="flat" joinstyle="round" on="false" color="#000000" opacity="0"/>
                  <v:fill on="true" color="#000000"/>
                </v:shape>
                <v:shape id="Picture 15861" style="position:absolute;width:1493;height:1341;left:31333;top:22128;" filled="f">
                  <v:imagedata r:id="rId173"/>
                </v:shape>
                <v:shape id="Picture 15863" style="position:absolute;width:1554;height:1310;left:2560;top:0;" filled="f">
                  <v:imagedata r:id="rId174"/>
                </v:shape>
              </v:group>
            </w:pict>
          </mc:Fallback>
        </mc:AlternateContent>
      </w:r>
    </w:p>
    <w:p w:rsidR="0052701D" w:rsidRDefault="00D40929">
      <w:pPr>
        <w:spacing w:after="0" w:line="238" w:lineRule="auto"/>
        <w:ind w:left="4150" w:hanging="3996"/>
      </w:pPr>
      <w:r>
        <w:rPr>
          <w:rFonts w:ascii="Times New Roman" w:eastAsia="Times New Roman" w:hAnsi="Times New Roman" w:cs="Times New Roman"/>
          <w:color w:val="00000A"/>
          <w:sz w:val="24"/>
        </w:rPr>
        <w:t xml:space="preserve">Рис. 3.1 .График зависимости выходного момента сопротивления </w:t>
      </w:r>
      <w:r>
        <w:rPr>
          <w:noProof/>
        </w:rPr>
        <w:drawing>
          <wp:inline distT="0" distB="0" distL="0" distR="0">
            <wp:extent cx="198120" cy="140208"/>
            <wp:effectExtent l="0" t="0" r="0" b="0"/>
            <wp:docPr id="1048668" name="Picture 1048668"/>
            <wp:cNvGraphicFramePr/>
            <a:graphic xmlns:a="http://schemas.openxmlformats.org/drawingml/2006/main">
              <a:graphicData uri="http://schemas.openxmlformats.org/drawingml/2006/picture">
                <pic:pic xmlns:pic="http://schemas.openxmlformats.org/drawingml/2006/picture">
                  <pic:nvPicPr>
                    <pic:cNvPr id="1048668" name="Picture 1048668"/>
                    <pic:cNvPicPr/>
                  </pic:nvPicPr>
                  <pic:blipFill>
                    <a:blip r:embed="rId175"/>
                    <a:stretch>
                      <a:fillRect/>
                    </a:stretch>
                  </pic:blipFill>
                  <pic:spPr>
                    <a:xfrm>
                      <a:off x="0" y="0"/>
                      <a:ext cx="198120" cy="140208"/>
                    </a:xfrm>
                    <a:prstGeom prst="rect">
                      <a:avLst/>
                    </a:prstGeom>
                  </pic:spPr>
                </pic:pic>
              </a:graphicData>
            </a:graphic>
          </wp:inline>
        </w:drawing>
      </w:r>
      <w:r>
        <w:rPr>
          <w:rFonts w:ascii="Times New Roman" w:eastAsia="Times New Roman" w:hAnsi="Times New Roman" w:cs="Times New Roman"/>
          <w:color w:val="00000A"/>
          <w:sz w:val="24"/>
        </w:rPr>
        <w:t xml:space="preserve">от выходной угловой скорости </w:t>
      </w:r>
      <w:r>
        <w:rPr>
          <w:noProof/>
        </w:rPr>
        <w:drawing>
          <wp:inline distT="0" distB="0" distL="0" distR="0">
            <wp:extent cx="185928" cy="106680"/>
            <wp:effectExtent l="0" t="0" r="0" b="0"/>
            <wp:docPr id="1048669" name="Picture 1048669"/>
            <wp:cNvGraphicFramePr/>
            <a:graphic xmlns:a="http://schemas.openxmlformats.org/drawingml/2006/main">
              <a:graphicData uri="http://schemas.openxmlformats.org/drawingml/2006/picture">
                <pic:pic xmlns:pic="http://schemas.openxmlformats.org/drawingml/2006/picture">
                  <pic:nvPicPr>
                    <pic:cNvPr id="1048669" name="Picture 1048669"/>
                    <pic:cNvPicPr/>
                  </pic:nvPicPr>
                  <pic:blipFill>
                    <a:blip r:embed="rId176"/>
                    <a:stretch>
                      <a:fillRect/>
                    </a:stretch>
                  </pic:blipFill>
                  <pic:spPr>
                    <a:xfrm>
                      <a:off x="0" y="0"/>
                      <a:ext cx="185928" cy="106680"/>
                    </a:xfrm>
                    <a:prstGeom prst="rect">
                      <a:avLst/>
                    </a:prstGeom>
                  </pic:spPr>
                </pic:pic>
              </a:graphicData>
            </a:graphic>
          </wp:inline>
        </w:drawing>
      </w:r>
      <w:r>
        <w:rPr>
          <w:rFonts w:ascii="Times New Roman" w:eastAsia="Times New Roman" w:hAnsi="Times New Roman" w:cs="Times New Roman"/>
          <w:color w:val="00000A"/>
          <w:sz w:val="24"/>
        </w:rPr>
        <w:t xml:space="preserve"> </w:t>
      </w:r>
    </w:p>
    <w:p w:rsidR="0052701D" w:rsidRDefault="00D40929">
      <w:pPr>
        <w:spacing w:after="50"/>
        <w:ind w:left="736"/>
        <w:jc w:val="center"/>
      </w:pPr>
      <w:r>
        <w:rPr>
          <w:rFonts w:ascii="Times New Roman" w:eastAsia="Times New Roman" w:hAnsi="Times New Roman" w:cs="Times New Roman"/>
          <w:color w:val="00000A"/>
        </w:rPr>
        <w:t xml:space="preserve"> </w:t>
      </w:r>
    </w:p>
    <w:p w:rsidR="0052701D" w:rsidRDefault="00D40929">
      <w:pPr>
        <w:spacing w:after="4" w:line="257" w:lineRule="auto"/>
        <w:ind w:left="-15" w:right="37" w:firstLine="711"/>
        <w:jc w:val="both"/>
      </w:pPr>
      <w:r>
        <w:rPr>
          <w:rFonts w:ascii="Times New Roman" w:eastAsia="Times New Roman" w:hAnsi="Times New Roman" w:cs="Times New Roman"/>
          <w:color w:val="00000A"/>
          <w:sz w:val="28"/>
        </w:rPr>
        <w:t xml:space="preserve">Определим движущий момент </w:t>
      </w:r>
      <w:r>
        <w:rPr>
          <w:noProof/>
        </w:rPr>
        <w:drawing>
          <wp:inline distT="0" distB="0" distL="0" distR="0">
            <wp:extent cx="204216" cy="161544"/>
            <wp:effectExtent l="0" t="0" r="0" b="0"/>
            <wp:docPr id="1048670" name="Picture 1048670"/>
            <wp:cNvGraphicFramePr/>
            <a:graphic xmlns:a="http://schemas.openxmlformats.org/drawingml/2006/main">
              <a:graphicData uri="http://schemas.openxmlformats.org/drawingml/2006/picture">
                <pic:pic xmlns:pic="http://schemas.openxmlformats.org/drawingml/2006/picture">
                  <pic:nvPicPr>
                    <pic:cNvPr id="1048670" name="Picture 1048670"/>
                    <pic:cNvPicPr/>
                  </pic:nvPicPr>
                  <pic:blipFill>
                    <a:blip r:embed="rId177"/>
                    <a:stretch>
                      <a:fillRect/>
                    </a:stretch>
                  </pic:blipFill>
                  <pic:spPr>
                    <a:xfrm>
                      <a:off x="0" y="0"/>
                      <a:ext cx="204216" cy="161544"/>
                    </a:xfrm>
                    <a:prstGeom prst="rect">
                      <a:avLst/>
                    </a:prstGeom>
                  </pic:spPr>
                </pic:pic>
              </a:graphicData>
            </a:graphic>
          </wp:inline>
        </w:drawing>
      </w:r>
      <w:r>
        <w:rPr>
          <w:rFonts w:ascii="Times New Roman" w:eastAsia="Times New Roman" w:hAnsi="Times New Roman" w:cs="Times New Roman"/>
          <w:color w:val="00000A"/>
          <w:sz w:val="28"/>
        </w:rPr>
        <w:t xml:space="preserve">через передачу 1-2 передается на звено 2 по формуле (2.2): </w:t>
      </w:r>
    </w:p>
    <w:p w:rsidR="0052701D" w:rsidRDefault="00D40929">
      <w:pPr>
        <w:spacing w:after="0"/>
        <w:ind w:left="1002" w:right="298" w:hanging="10"/>
        <w:jc w:val="center"/>
      </w:pPr>
      <w:r>
        <w:rPr>
          <w:noProof/>
        </w:rPr>
        <w:drawing>
          <wp:inline distT="0" distB="0" distL="0" distR="0">
            <wp:extent cx="1758696" cy="161544"/>
            <wp:effectExtent l="0" t="0" r="0" b="0"/>
            <wp:docPr id="1048671" name="Picture 1048671"/>
            <wp:cNvGraphicFramePr/>
            <a:graphic xmlns:a="http://schemas.openxmlformats.org/drawingml/2006/main">
              <a:graphicData uri="http://schemas.openxmlformats.org/drawingml/2006/picture">
                <pic:pic xmlns:pic="http://schemas.openxmlformats.org/drawingml/2006/picture">
                  <pic:nvPicPr>
                    <pic:cNvPr id="1048671" name="Picture 1048671"/>
                    <pic:cNvPicPr/>
                  </pic:nvPicPr>
                  <pic:blipFill>
                    <a:blip r:embed="rId178"/>
                    <a:stretch>
                      <a:fillRect/>
                    </a:stretch>
                  </pic:blipFill>
                  <pic:spPr>
                    <a:xfrm>
                      <a:off x="0" y="0"/>
                      <a:ext cx="1758696" cy="161544"/>
                    </a:xfrm>
                    <a:prstGeom prst="rect">
                      <a:avLst/>
                    </a:prstGeom>
                  </pic:spPr>
                </pic:pic>
              </a:graphicData>
            </a:graphic>
          </wp:inline>
        </w:drawing>
      </w:r>
      <w:r>
        <w:rPr>
          <w:rFonts w:ascii="Times New Roman" w:eastAsia="Times New Roman" w:hAnsi="Times New Roman" w:cs="Times New Roman"/>
          <w:color w:val="00000A"/>
          <w:sz w:val="28"/>
        </w:rPr>
        <w:t xml:space="preserve"> Нм </w:t>
      </w:r>
    </w:p>
    <w:p w:rsidR="0052701D" w:rsidRDefault="00D40929">
      <w:pPr>
        <w:spacing w:after="26" w:line="257" w:lineRule="auto"/>
        <w:ind w:left="-15" w:right="37" w:firstLine="711"/>
        <w:jc w:val="both"/>
      </w:pPr>
      <w:r>
        <w:rPr>
          <w:rFonts w:ascii="Times New Roman" w:eastAsia="Times New Roman" w:hAnsi="Times New Roman" w:cs="Times New Roman"/>
          <w:color w:val="00000A"/>
          <w:sz w:val="28"/>
        </w:rPr>
        <w:t xml:space="preserve">Момент сопротивления </w:t>
      </w:r>
      <w:r>
        <w:rPr>
          <w:noProof/>
        </w:rPr>
        <w:drawing>
          <wp:inline distT="0" distB="0" distL="0" distR="0">
            <wp:extent cx="289560" cy="161544"/>
            <wp:effectExtent l="0" t="0" r="0" b="0"/>
            <wp:docPr id="1048672" name="Picture 1048672"/>
            <wp:cNvGraphicFramePr/>
            <a:graphic xmlns:a="http://schemas.openxmlformats.org/drawingml/2006/main">
              <a:graphicData uri="http://schemas.openxmlformats.org/drawingml/2006/picture">
                <pic:pic xmlns:pic="http://schemas.openxmlformats.org/drawingml/2006/picture">
                  <pic:nvPicPr>
                    <pic:cNvPr id="1048672" name="Picture 1048672"/>
                    <pic:cNvPicPr/>
                  </pic:nvPicPr>
                  <pic:blipFill>
                    <a:blip r:embed="rId179"/>
                    <a:stretch>
                      <a:fillRect/>
                    </a:stretch>
                  </pic:blipFill>
                  <pic:spPr>
                    <a:xfrm>
                      <a:off x="0" y="0"/>
                      <a:ext cx="289560" cy="161544"/>
                    </a:xfrm>
                    <a:prstGeom prst="rect">
                      <a:avLst/>
                    </a:prstGeom>
                  </pic:spPr>
                </pic:pic>
              </a:graphicData>
            </a:graphic>
          </wp:inline>
        </w:drawing>
      </w:r>
      <w:r>
        <w:rPr>
          <w:rFonts w:ascii="Times New Roman" w:eastAsia="Times New Roman" w:hAnsi="Times New Roman" w:cs="Times New Roman"/>
          <w:color w:val="00000A"/>
          <w:sz w:val="28"/>
        </w:rPr>
        <w:t>, передаваемый через передачу 3-2’ на звено 2</w:t>
      </w:r>
      <w:r>
        <w:rPr>
          <w:rFonts w:ascii="Times New Roman" w:eastAsia="Times New Roman" w:hAnsi="Times New Roman" w:cs="Times New Roman"/>
          <w:color w:val="00000A"/>
          <w:sz w:val="28"/>
        </w:rPr>
        <w:t xml:space="preserve">, определим по формуле (2.3): </w:t>
      </w:r>
    </w:p>
    <w:p w:rsidR="0052701D" w:rsidRDefault="00D40929">
      <w:pPr>
        <w:spacing w:after="0"/>
        <w:ind w:left="1002" w:right="168" w:hanging="10"/>
        <w:jc w:val="center"/>
      </w:pPr>
      <w:r>
        <w:rPr>
          <w:noProof/>
        </w:rPr>
        <w:drawing>
          <wp:inline distT="0" distB="0" distL="0" distR="0">
            <wp:extent cx="1840992" cy="161544"/>
            <wp:effectExtent l="0" t="0" r="0" b="0"/>
            <wp:docPr id="1048673" name="Picture 1048673"/>
            <wp:cNvGraphicFramePr/>
            <a:graphic xmlns:a="http://schemas.openxmlformats.org/drawingml/2006/main">
              <a:graphicData uri="http://schemas.openxmlformats.org/drawingml/2006/picture">
                <pic:pic xmlns:pic="http://schemas.openxmlformats.org/drawingml/2006/picture">
                  <pic:nvPicPr>
                    <pic:cNvPr id="1048673" name="Picture 1048673"/>
                    <pic:cNvPicPr/>
                  </pic:nvPicPr>
                  <pic:blipFill>
                    <a:blip r:embed="rId180"/>
                    <a:stretch>
                      <a:fillRect/>
                    </a:stretch>
                  </pic:blipFill>
                  <pic:spPr>
                    <a:xfrm>
                      <a:off x="0" y="0"/>
                      <a:ext cx="1840992" cy="161544"/>
                    </a:xfrm>
                    <a:prstGeom prst="rect">
                      <a:avLst/>
                    </a:prstGeom>
                  </pic:spPr>
                </pic:pic>
              </a:graphicData>
            </a:graphic>
          </wp:inline>
        </w:drawing>
      </w:r>
      <w:r>
        <w:rPr>
          <w:rFonts w:ascii="Times New Roman" w:eastAsia="Times New Roman" w:hAnsi="Times New Roman" w:cs="Times New Roman"/>
          <w:color w:val="00000A"/>
          <w:sz w:val="28"/>
        </w:rPr>
        <w:t xml:space="preserve"> Нм </w:t>
      </w:r>
    </w:p>
    <w:p w:rsidR="0052701D" w:rsidRDefault="00D40929">
      <w:pPr>
        <w:spacing w:after="4" w:line="257" w:lineRule="auto"/>
        <w:ind w:left="-15" w:right="37" w:firstLine="711"/>
        <w:jc w:val="both"/>
      </w:pPr>
      <w:r>
        <w:rPr>
          <w:rFonts w:ascii="Times New Roman" w:eastAsia="Times New Roman" w:hAnsi="Times New Roman" w:cs="Times New Roman"/>
          <w:color w:val="00000A"/>
          <w:sz w:val="28"/>
        </w:rPr>
        <w:t>Для обеспечения равновесия звена 2 (</w:t>
      </w:r>
      <w:r>
        <w:rPr>
          <w:noProof/>
        </w:rPr>
        <w:drawing>
          <wp:inline distT="0" distB="0" distL="0" distR="0">
            <wp:extent cx="2484120" cy="195073"/>
            <wp:effectExtent l="0" t="0" r="0" b="0"/>
            <wp:docPr id="1048674" name="Picture 1048674"/>
            <wp:cNvGraphicFramePr/>
            <a:graphic xmlns:a="http://schemas.openxmlformats.org/drawingml/2006/main">
              <a:graphicData uri="http://schemas.openxmlformats.org/drawingml/2006/picture">
                <pic:pic xmlns:pic="http://schemas.openxmlformats.org/drawingml/2006/picture">
                  <pic:nvPicPr>
                    <pic:cNvPr id="1048674" name="Picture 1048674"/>
                    <pic:cNvPicPr/>
                  </pic:nvPicPr>
                  <pic:blipFill>
                    <a:blip r:embed="rId181"/>
                    <a:stretch>
                      <a:fillRect/>
                    </a:stretch>
                  </pic:blipFill>
                  <pic:spPr>
                    <a:xfrm>
                      <a:off x="0" y="0"/>
                      <a:ext cx="2484120" cy="195073"/>
                    </a:xfrm>
                    <a:prstGeom prst="rect">
                      <a:avLst/>
                    </a:prstGeom>
                  </pic:spPr>
                </pic:pic>
              </a:graphicData>
            </a:graphic>
          </wp:inline>
        </w:drawing>
      </w:r>
      <w:r>
        <w:rPr>
          <w:rFonts w:ascii="Times New Roman" w:eastAsia="Times New Roman" w:hAnsi="Times New Roman" w:cs="Times New Roman"/>
          <w:color w:val="00000A"/>
          <w:sz w:val="28"/>
        </w:rPr>
        <w:t xml:space="preserve">) относительно точки </w:t>
      </w:r>
      <w:r>
        <w:rPr>
          <w:rFonts w:ascii="Times New Roman" w:eastAsia="Times New Roman" w:hAnsi="Times New Roman" w:cs="Times New Roman"/>
          <w:i/>
          <w:color w:val="00000A"/>
          <w:sz w:val="28"/>
        </w:rPr>
        <w:t>K</w:t>
      </w:r>
      <w:r>
        <w:rPr>
          <w:rFonts w:ascii="Times New Roman" w:eastAsia="Times New Roman" w:hAnsi="Times New Roman" w:cs="Times New Roman"/>
          <w:color w:val="00000A"/>
          <w:sz w:val="28"/>
        </w:rPr>
        <w:t xml:space="preserve"> необходимо заменить действие реакции </w:t>
      </w:r>
      <w:r>
        <w:rPr>
          <w:noProof/>
        </w:rPr>
        <w:drawing>
          <wp:inline distT="0" distB="0" distL="0" distR="0">
            <wp:extent cx="243840" cy="161544"/>
            <wp:effectExtent l="0" t="0" r="0" b="0"/>
            <wp:docPr id="1048675" name="Picture 1048675"/>
            <wp:cNvGraphicFramePr/>
            <a:graphic xmlns:a="http://schemas.openxmlformats.org/drawingml/2006/main">
              <a:graphicData uri="http://schemas.openxmlformats.org/drawingml/2006/picture">
                <pic:pic xmlns:pic="http://schemas.openxmlformats.org/drawingml/2006/picture">
                  <pic:nvPicPr>
                    <pic:cNvPr id="1048675" name="Picture 1048675"/>
                    <pic:cNvPicPr/>
                  </pic:nvPicPr>
                  <pic:blipFill>
                    <a:blip r:embed="rId182"/>
                    <a:stretch>
                      <a:fillRect/>
                    </a:stretch>
                  </pic:blipFill>
                  <pic:spPr>
                    <a:xfrm>
                      <a:off x="0" y="0"/>
                      <a:ext cx="243840" cy="161544"/>
                    </a:xfrm>
                    <a:prstGeom prst="rect">
                      <a:avLst/>
                    </a:prstGeom>
                  </pic:spPr>
                </pic:pic>
              </a:graphicData>
            </a:graphic>
          </wp:inline>
        </w:drawing>
      </w:r>
      <w:r>
        <w:rPr>
          <w:rFonts w:ascii="Times New Roman" w:eastAsia="Times New Roman" w:hAnsi="Times New Roman" w:cs="Times New Roman"/>
          <w:color w:val="00000A"/>
          <w:sz w:val="28"/>
        </w:rPr>
        <w:t xml:space="preserve"> моментом трения </w:t>
      </w:r>
      <w:r>
        <w:rPr>
          <w:noProof/>
        </w:rPr>
        <w:drawing>
          <wp:inline distT="0" distB="0" distL="0" distR="0">
            <wp:extent cx="792480" cy="185928"/>
            <wp:effectExtent l="0" t="0" r="0" b="0"/>
            <wp:docPr id="1048679" name="Picture 1048679"/>
            <wp:cNvGraphicFramePr/>
            <a:graphic xmlns:a="http://schemas.openxmlformats.org/drawingml/2006/main">
              <a:graphicData uri="http://schemas.openxmlformats.org/drawingml/2006/picture">
                <pic:pic xmlns:pic="http://schemas.openxmlformats.org/drawingml/2006/picture">
                  <pic:nvPicPr>
                    <pic:cNvPr id="1048679" name="Picture 1048679"/>
                    <pic:cNvPicPr/>
                  </pic:nvPicPr>
                  <pic:blipFill>
                    <a:blip r:embed="rId183"/>
                    <a:stretch>
                      <a:fillRect/>
                    </a:stretch>
                  </pic:blipFill>
                  <pic:spPr>
                    <a:xfrm>
                      <a:off x="0" y="0"/>
                      <a:ext cx="792480" cy="185928"/>
                    </a:xfrm>
                    <a:prstGeom prst="rect">
                      <a:avLst/>
                    </a:prstGeom>
                  </pic:spPr>
                </pic:pic>
              </a:graphicData>
            </a:graphic>
          </wp:inline>
        </w:drawing>
      </w:r>
      <w:r>
        <w:rPr>
          <w:rFonts w:ascii="Times New Roman" w:eastAsia="Times New Roman" w:hAnsi="Times New Roman" w:cs="Times New Roman"/>
          <w:color w:val="00000A"/>
          <w:sz w:val="28"/>
        </w:rPr>
        <w:t xml:space="preserve">, передаваемым фрикционной муфтой 4 от колеса 3 на колесо 2’. Определим </w:t>
      </w:r>
      <w:r>
        <w:rPr>
          <w:noProof/>
        </w:rPr>
        <w:drawing>
          <wp:inline distT="0" distB="0" distL="0" distR="0">
            <wp:extent cx="271272" cy="185928"/>
            <wp:effectExtent l="0" t="0" r="0" b="0"/>
            <wp:docPr id="1048680" name="Picture 1048680"/>
            <wp:cNvGraphicFramePr/>
            <a:graphic xmlns:a="http://schemas.openxmlformats.org/drawingml/2006/main">
              <a:graphicData uri="http://schemas.openxmlformats.org/drawingml/2006/picture">
                <pic:pic xmlns:pic="http://schemas.openxmlformats.org/drawingml/2006/picture">
                  <pic:nvPicPr>
                    <pic:cNvPr id="1048680" name="Picture 1048680"/>
                    <pic:cNvPicPr/>
                  </pic:nvPicPr>
                  <pic:blipFill>
                    <a:blip r:embed="rId184"/>
                    <a:stretch>
                      <a:fillRect/>
                    </a:stretch>
                  </pic:blipFill>
                  <pic:spPr>
                    <a:xfrm>
                      <a:off x="0" y="0"/>
                      <a:ext cx="271272" cy="185928"/>
                    </a:xfrm>
                    <a:prstGeom prst="rect">
                      <a:avLst/>
                    </a:prstGeom>
                  </pic:spPr>
                </pic:pic>
              </a:graphicData>
            </a:graphic>
          </wp:inline>
        </w:drawing>
      </w:r>
      <w:r>
        <w:rPr>
          <w:rFonts w:ascii="Times New Roman" w:eastAsia="Times New Roman" w:hAnsi="Times New Roman" w:cs="Times New Roman"/>
          <w:color w:val="00000A"/>
          <w:sz w:val="28"/>
        </w:rPr>
        <w:t xml:space="preserve"> по формуле (2.4): </w:t>
      </w:r>
    </w:p>
    <w:p w:rsidR="0052701D" w:rsidRDefault="00D40929">
      <w:pPr>
        <w:spacing w:after="0"/>
        <w:ind w:left="1002" w:hanging="10"/>
        <w:jc w:val="center"/>
      </w:pPr>
      <w:r>
        <w:rPr>
          <w:noProof/>
        </w:rPr>
        <w:drawing>
          <wp:inline distT="0" distB="0" distL="0" distR="0">
            <wp:extent cx="1950720" cy="188976"/>
            <wp:effectExtent l="0" t="0" r="0" b="0"/>
            <wp:docPr id="1048681" name="Picture 1048681"/>
            <wp:cNvGraphicFramePr/>
            <a:graphic xmlns:a="http://schemas.openxmlformats.org/drawingml/2006/main">
              <a:graphicData uri="http://schemas.openxmlformats.org/drawingml/2006/picture">
                <pic:pic xmlns:pic="http://schemas.openxmlformats.org/drawingml/2006/picture">
                  <pic:nvPicPr>
                    <pic:cNvPr id="1048681" name="Picture 1048681"/>
                    <pic:cNvPicPr/>
                  </pic:nvPicPr>
                  <pic:blipFill>
                    <a:blip r:embed="rId185"/>
                    <a:stretch>
                      <a:fillRect/>
                    </a:stretch>
                  </pic:blipFill>
                  <pic:spPr>
                    <a:xfrm>
                      <a:off x="0" y="0"/>
                      <a:ext cx="1950720" cy="188976"/>
                    </a:xfrm>
                    <a:prstGeom prst="rect">
                      <a:avLst/>
                    </a:prstGeom>
                  </pic:spPr>
                </pic:pic>
              </a:graphicData>
            </a:graphic>
          </wp:inline>
        </w:drawing>
      </w:r>
      <w:r>
        <w:rPr>
          <w:rFonts w:ascii="Times New Roman" w:eastAsia="Times New Roman" w:hAnsi="Times New Roman" w:cs="Times New Roman"/>
          <w:color w:val="00000A"/>
          <w:sz w:val="28"/>
        </w:rPr>
        <w:t xml:space="preserve"> Нм  </w:t>
      </w:r>
    </w:p>
    <w:p w:rsidR="0052701D" w:rsidRDefault="00D40929">
      <w:pPr>
        <w:spacing w:after="4" w:line="257" w:lineRule="auto"/>
        <w:ind w:left="-15" w:right="37" w:firstLine="711"/>
        <w:jc w:val="both"/>
      </w:pPr>
      <w:r>
        <w:rPr>
          <w:rFonts w:ascii="Times New Roman" w:eastAsia="Times New Roman" w:hAnsi="Times New Roman" w:cs="Times New Roman"/>
          <w:color w:val="00000A"/>
          <w:sz w:val="28"/>
        </w:rPr>
        <w:t xml:space="preserve">Определим фрикционный момент муфты </w:t>
      </w:r>
      <w:r>
        <w:rPr>
          <w:noProof/>
        </w:rPr>
        <w:drawing>
          <wp:inline distT="0" distB="0" distL="0" distR="0">
            <wp:extent cx="271272" cy="188976"/>
            <wp:effectExtent l="0" t="0" r="0" b="0"/>
            <wp:docPr id="1048682" name="Picture 1048682"/>
            <wp:cNvGraphicFramePr/>
            <a:graphic xmlns:a="http://schemas.openxmlformats.org/drawingml/2006/main">
              <a:graphicData uri="http://schemas.openxmlformats.org/drawingml/2006/picture">
                <pic:pic xmlns:pic="http://schemas.openxmlformats.org/drawingml/2006/picture">
                  <pic:nvPicPr>
                    <pic:cNvPr id="1048682" name="Picture 1048682"/>
                    <pic:cNvPicPr/>
                  </pic:nvPicPr>
                  <pic:blipFill>
                    <a:blip r:embed="rId186"/>
                    <a:stretch>
                      <a:fillRect/>
                    </a:stretch>
                  </pic:blipFill>
                  <pic:spPr>
                    <a:xfrm>
                      <a:off x="0" y="0"/>
                      <a:ext cx="271272" cy="188976"/>
                    </a:xfrm>
                    <a:prstGeom prst="rect">
                      <a:avLst/>
                    </a:prstGeom>
                  </pic:spPr>
                </pic:pic>
              </a:graphicData>
            </a:graphic>
          </wp:inline>
        </w:drawing>
      </w:r>
      <w:r>
        <w:rPr>
          <w:rFonts w:ascii="Times New Roman" w:eastAsia="Times New Roman" w:hAnsi="Times New Roman" w:cs="Times New Roman"/>
          <w:color w:val="00000A"/>
          <w:sz w:val="28"/>
        </w:rPr>
        <w:t xml:space="preserve"> на звене 3 через фрикционный момент на колесе 2’ </w:t>
      </w:r>
      <w:r>
        <w:rPr>
          <w:noProof/>
        </w:rPr>
        <w:drawing>
          <wp:inline distT="0" distB="0" distL="0" distR="0">
            <wp:extent cx="271272" cy="185928"/>
            <wp:effectExtent l="0" t="0" r="0" b="0"/>
            <wp:docPr id="1048683" name="Picture 1048683"/>
            <wp:cNvGraphicFramePr/>
            <a:graphic xmlns:a="http://schemas.openxmlformats.org/drawingml/2006/main">
              <a:graphicData uri="http://schemas.openxmlformats.org/drawingml/2006/picture">
                <pic:pic xmlns:pic="http://schemas.openxmlformats.org/drawingml/2006/picture">
                  <pic:nvPicPr>
                    <pic:cNvPr id="1048683" name="Picture 1048683"/>
                    <pic:cNvPicPr/>
                  </pic:nvPicPr>
                  <pic:blipFill>
                    <a:blip r:embed="rId187"/>
                    <a:stretch>
                      <a:fillRect/>
                    </a:stretch>
                  </pic:blipFill>
                  <pic:spPr>
                    <a:xfrm>
                      <a:off x="0" y="0"/>
                      <a:ext cx="271272" cy="185928"/>
                    </a:xfrm>
                    <a:prstGeom prst="rect">
                      <a:avLst/>
                    </a:prstGeom>
                  </pic:spPr>
                </pic:pic>
              </a:graphicData>
            </a:graphic>
          </wp:inline>
        </w:drawing>
      </w:r>
      <w:r>
        <w:rPr>
          <w:rFonts w:ascii="Times New Roman" w:eastAsia="Times New Roman" w:hAnsi="Times New Roman" w:cs="Times New Roman"/>
          <w:color w:val="00000A"/>
          <w:sz w:val="28"/>
        </w:rPr>
        <w:t xml:space="preserve"> из формулы (2.6):  </w:t>
      </w:r>
    </w:p>
    <w:p w:rsidR="0052701D" w:rsidRDefault="00D40929">
      <w:pPr>
        <w:tabs>
          <w:tab w:val="center" w:pos="4974"/>
          <w:tab w:val="center" w:pos="7203"/>
          <w:tab w:val="center" w:pos="7923"/>
          <w:tab w:val="center" w:pos="8643"/>
        </w:tabs>
        <w:spacing w:after="8"/>
      </w:pPr>
      <w:r>
        <w:tab/>
      </w:r>
      <w:r>
        <w:rPr>
          <w:noProof/>
        </w:rPr>
        <w:drawing>
          <wp:inline distT="0" distB="0" distL="0" distR="0">
            <wp:extent cx="1487424" cy="301752"/>
            <wp:effectExtent l="0" t="0" r="0" b="0"/>
            <wp:docPr id="1048684" name="Picture 1048684"/>
            <wp:cNvGraphicFramePr/>
            <a:graphic xmlns:a="http://schemas.openxmlformats.org/drawingml/2006/main">
              <a:graphicData uri="http://schemas.openxmlformats.org/drawingml/2006/picture">
                <pic:pic xmlns:pic="http://schemas.openxmlformats.org/drawingml/2006/picture">
                  <pic:nvPicPr>
                    <pic:cNvPr id="1048684" name="Picture 1048684"/>
                    <pic:cNvPicPr/>
                  </pic:nvPicPr>
                  <pic:blipFill>
                    <a:blip r:embed="rId188"/>
                    <a:stretch>
                      <a:fillRect/>
                    </a:stretch>
                  </pic:blipFill>
                  <pic:spPr>
                    <a:xfrm>
                      <a:off x="0" y="0"/>
                      <a:ext cx="1487424" cy="301752"/>
                    </a:xfrm>
                    <a:prstGeom prst="rect">
                      <a:avLst/>
                    </a:prstGeom>
                  </pic:spPr>
                </pic:pic>
              </a:graphicData>
            </a:graphic>
          </wp:inline>
        </w:drawing>
      </w:r>
      <w:r>
        <w:rPr>
          <w:rFonts w:ascii="Times New Roman" w:eastAsia="Times New Roman" w:hAnsi="Times New Roman" w:cs="Times New Roman"/>
          <w:color w:val="00000A"/>
          <w:sz w:val="28"/>
        </w:rPr>
        <w:t xml:space="preserve"> Нм  </w:t>
      </w:r>
      <w:r>
        <w:rPr>
          <w:rFonts w:ascii="Times New Roman" w:eastAsia="Times New Roman" w:hAnsi="Times New Roman" w:cs="Times New Roman"/>
          <w:color w:val="00000A"/>
          <w:sz w:val="28"/>
        </w:rPr>
        <w:tab/>
        <w:t xml:space="preserve"> </w:t>
      </w:r>
      <w:r>
        <w:rPr>
          <w:rFonts w:ascii="Times New Roman" w:eastAsia="Times New Roman" w:hAnsi="Times New Roman" w:cs="Times New Roman"/>
          <w:color w:val="00000A"/>
          <w:sz w:val="28"/>
        </w:rPr>
        <w:tab/>
        <w:t xml:space="preserve"> </w:t>
      </w:r>
      <w:r>
        <w:rPr>
          <w:rFonts w:ascii="Times New Roman" w:eastAsia="Times New Roman" w:hAnsi="Times New Roman" w:cs="Times New Roman"/>
          <w:color w:val="00000A"/>
          <w:sz w:val="28"/>
        </w:rPr>
        <w:tab/>
        <w:t xml:space="preserve"> </w:t>
      </w:r>
    </w:p>
    <w:p w:rsidR="0052701D" w:rsidRDefault="00D40929">
      <w:pPr>
        <w:spacing w:after="27" w:line="257" w:lineRule="auto"/>
        <w:ind w:left="-15" w:right="37" w:firstLine="711"/>
        <w:jc w:val="both"/>
      </w:pPr>
      <w:r>
        <w:rPr>
          <w:rFonts w:ascii="Times New Roman" w:eastAsia="Times New Roman" w:hAnsi="Times New Roman" w:cs="Times New Roman"/>
          <w:color w:val="00000A"/>
          <w:sz w:val="28"/>
        </w:rPr>
        <w:t xml:space="preserve">Используя выражения (2.4) и (2.7) определим нормальное давление N, создаваемое регулировочным винтом 6 по формуле (2.8): </w:t>
      </w:r>
    </w:p>
    <w:p w:rsidR="0052701D" w:rsidRDefault="00D40929">
      <w:pPr>
        <w:spacing w:after="42"/>
        <w:ind w:left="1824"/>
      </w:pPr>
      <w:r>
        <w:rPr>
          <w:noProof/>
        </w:rPr>
        <w:drawing>
          <wp:inline distT="0" distB="0" distL="0" distR="0">
            <wp:extent cx="3739896" cy="399288"/>
            <wp:effectExtent l="0" t="0" r="0" b="0"/>
            <wp:docPr id="1048685" name="Picture 1048685"/>
            <wp:cNvGraphicFramePr/>
            <a:graphic xmlns:a="http://schemas.openxmlformats.org/drawingml/2006/main">
              <a:graphicData uri="http://schemas.openxmlformats.org/drawingml/2006/picture">
                <pic:pic xmlns:pic="http://schemas.openxmlformats.org/drawingml/2006/picture">
                  <pic:nvPicPr>
                    <pic:cNvPr id="1048685" name="Picture 1048685"/>
                    <pic:cNvPicPr/>
                  </pic:nvPicPr>
                  <pic:blipFill>
                    <a:blip r:embed="rId189"/>
                    <a:stretch>
                      <a:fillRect/>
                    </a:stretch>
                  </pic:blipFill>
                  <pic:spPr>
                    <a:xfrm>
                      <a:off x="0" y="0"/>
                      <a:ext cx="3739896" cy="399288"/>
                    </a:xfrm>
                    <a:prstGeom prst="rect">
                      <a:avLst/>
                    </a:prstGeom>
                  </pic:spPr>
                </pic:pic>
              </a:graphicData>
            </a:graphic>
          </wp:inline>
        </w:drawing>
      </w:r>
    </w:p>
    <w:p w:rsidR="0052701D" w:rsidRDefault="00D40929">
      <w:pPr>
        <w:spacing w:after="4" w:line="257" w:lineRule="auto"/>
        <w:ind w:left="721" w:right="37"/>
        <w:jc w:val="both"/>
      </w:pPr>
      <w:r>
        <w:rPr>
          <w:rFonts w:ascii="Times New Roman" w:eastAsia="Times New Roman" w:hAnsi="Times New Roman" w:cs="Times New Roman"/>
          <w:color w:val="00000A"/>
          <w:sz w:val="28"/>
        </w:rPr>
        <w:t xml:space="preserve">Определим относительную угловую </w:t>
      </w:r>
    </w:p>
    <w:p w:rsidR="0052701D" w:rsidRDefault="00D40929">
      <w:pPr>
        <w:spacing w:after="4" w:line="257" w:lineRule="auto"/>
        <w:ind w:left="-15" w:right="37" w:firstLine="711"/>
        <w:jc w:val="both"/>
      </w:pPr>
      <w:r>
        <w:rPr>
          <w:rFonts w:ascii="Times New Roman" w:eastAsia="Times New Roman" w:hAnsi="Times New Roman" w:cs="Times New Roman"/>
          <w:color w:val="00000A"/>
          <w:sz w:val="28"/>
        </w:rPr>
        <w:lastRenderedPageBreak/>
        <w:t xml:space="preserve">Для определения КПД механизма необходимо определить мощность на трение и входную мощность при </w:t>
      </w:r>
      <w:r>
        <w:rPr>
          <w:noProof/>
        </w:rPr>
        <w:drawing>
          <wp:inline distT="0" distB="0" distL="0" distR="0">
            <wp:extent cx="664464" cy="161544"/>
            <wp:effectExtent l="0" t="0" r="0" b="0"/>
            <wp:docPr id="1048686" name="Picture 1048686"/>
            <wp:cNvGraphicFramePr/>
            <a:graphic xmlns:a="http://schemas.openxmlformats.org/drawingml/2006/main">
              <a:graphicData uri="http://schemas.openxmlformats.org/drawingml/2006/picture">
                <pic:pic xmlns:pic="http://schemas.openxmlformats.org/drawingml/2006/picture">
                  <pic:nvPicPr>
                    <pic:cNvPr id="1048686" name="Picture 1048686"/>
                    <pic:cNvPicPr/>
                  </pic:nvPicPr>
                  <pic:blipFill>
                    <a:blip r:embed="rId190"/>
                    <a:stretch>
                      <a:fillRect/>
                    </a:stretch>
                  </pic:blipFill>
                  <pic:spPr>
                    <a:xfrm>
                      <a:off x="0" y="0"/>
                      <a:ext cx="664464" cy="161544"/>
                    </a:xfrm>
                    <a:prstGeom prst="rect">
                      <a:avLst/>
                    </a:prstGeom>
                  </pic:spPr>
                </pic:pic>
              </a:graphicData>
            </a:graphic>
          </wp:inline>
        </w:drawing>
      </w:r>
      <w:r>
        <w:rPr>
          <w:rFonts w:ascii="Times New Roman" w:eastAsia="Times New Roman" w:hAnsi="Times New Roman" w:cs="Times New Roman"/>
          <w:color w:val="00000A"/>
          <w:sz w:val="28"/>
        </w:rPr>
        <w:t xml:space="preserve"> Нм: </w:t>
      </w:r>
    </w:p>
    <w:p w:rsidR="0052701D" w:rsidRDefault="00D40929">
      <w:pPr>
        <w:spacing w:after="0"/>
        <w:ind w:left="1002" w:right="521" w:hanging="10"/>
        <w:jc w:val="center"/>
      </w:pPr>
      <w:r>
        <w:rPr>
          <w:noProof/>
        </w:rPr>
        <w:drawing>
          <wp:inline distT="0" distB="0" distL="0" distR="0">
            <wp:extent cx="1658112" cy="158496"/>
            <wp:effectExtent l="0" t="0" r="0" b="0"/>
            <wp:docPr id="1048687" name="Picture 1048687"/>
            <wp:cNvGraphicFramePr/>
            <a:graphic xmlns:a="http://schemas.openxmlformats.org/drawingml/2006/main">
              <a:graphicData uri="http://schemas.openxmlformats.org/drawingml/2006/picture">
                <pic:pic xmlns:pic="http://schemas.openxmlformats.org/drawingml/2006/picture">
                  <pic:nvPicPr>
                    <pic:cNvPr id="1048687" name="Picture 1048687"/>
                    <pic:cNvPicPr/>
                  </pic:nvPicPr>
                  <pic:blipFill>
                    <a:blip r:embed="rId191"/>
                    <a:stretch>
                      <a:fillRect/>
                    </a:stretch>
                  </pic:blipFill>
                  <pic:spPr>
                    <a:xfrm>
                      <a:off x="0" y="0"/>
                      <a:ext cx="1658112" cy="158496"/>
                    </a:xfrm>
                    <a:prstGeom prst="rect">
                      <a:avLst/>
                    </a:prstGeom>
                  </pic:spPr>
                </pic:pic>
              </a:graphicData>
            </a:graphic>
          </wp:inline>
        </w:drawing>
      </w:r>
      <w:r>
        <w:rPr>
          <w:rFonts w:ascii="Times New Roman" w:eastAsia="Times New Roman" w:hAnsi="Times New Roman" w:cs="Times New Roman"/>
          <w:color w:val="00000A"/>
          <w:sz w:val="28"/>
        </w:rPr>
        <w:t xml:space="preserve"> Вт </w:t>
      </w:r>
    </w:p>
    <w:p w:rsidR="0052701D" w:rsidRDefault="00D40929">
      <w:pPr>
        <w:tabs>
          <w:tab w:val="center" w:pos="721"/>
          <w:tab w:val="center" w:pos="1441"/>
          <w:tab w:val="center" w:pos="2161"/>
          <w:tab w:val="center" w:pos="5158"/>
        </w:tabs>
        <w:spacing w:after="38" w:line="257" w:lineRule="auto"/>
      </w:pPr>
      <w:r>
        <w:tab/>
      </w:r>
      <w:r>
        <w:rPr>
          <w:rFonts w:ascii="Times New Roman" w:eastAsia="Times New Roman" w:hAnsi="Times New Roman" w:cs="Times New Roman"/>
          <w:color w:val="00000A"/>
          <w:sz w:val="28"/>
        </w:rPr>
        <w:t xml:space="preserve">       </w:t>
      </w:r>
      <w:r>
        <w:rPr>
          <w:rFonts w:ascii="Times New Roman" w:eastAsia="Times New Roman" w:hAnsi="Times New Roman" w:cs="Times New Roman"/>
          <w:color w:val="00000A"/>
          <w:sz w:val="28"/>
        </w:rPr>
        <w:tab/>
        <w:t xml:space="preserve"> </w:t>
      </w:r>
      <w:r>
        <w:rPr>
          <w:rFonts w:ascii="Times New Roman" w:eastAsia="Times New Roman" w:hAnsi="Times New Roman" w:cs="Times New Roman"/>
          <w:color w:val="00000A"/>
          <w:sz w:val="28"/>
        </w:rPr>
        <w:tab/>
        <w:t xml:space="preserve"> </w:t>
      </w:r>
      <w:r>
        <w:rPr>
          <w:rFonts w:ascii="Times New Roman" w:eastAsia="Times New Roman" w:hAnsi="Times New Roman" w:cs="Times New Roman"/>
          <w:color w:val="00000A"/>
          <w:sz w:val="28"/>
        </w:rPr>
        <w:tab/>
        <w:t xml:space="preserve">       </w:t>
      </w:r>
      <w:r>
        <w:rPr>
          <w:noProof/>
        </w:rPr>
        <w:drawing>
          <wp:inline distT="0" distB="0" distL="0" distR="0">
            <wp:extent cx="2325624" cy="195072"/>
            <wp:effectExtent l="0" t="0" r="0" b="0"/>
            <wp:docPr id="1048688" name="Picture 1048688"/>
            <wp:cNvGraphicFramePr/>
            <a:graphic xmlns:a="http://schemas.openxmlformats.org/drawingml/2006/main">
              <a:graphicData uri="http://schemas.openxmlformats.org/drawingml/2006/picture">
                <pic:pic xmlns:pic="http://schemas.openxmlformats.org/drawingml/2006/picture">
                  <pic:nvPicPr>
                    <pic:cNvPr id="1048688" name="Picture 1048688"/>
                    <pic:cNvPicPr/>
                  </pic:nvPicPr>
                  <pic:blipFill>
                    <a:blip r:embed="rId192"/>
                    <a:stretch>
                      <a:fillRect/>
                    </a:stretch>
                  </pic:blipFill>
                  <pic:spPr>
                    <a:xfrm>
                      <a:off x="0" y="0"/>
                      <a:ext cx="2325624" cy="195072"/>
                    </a:xfrm>
                    <a:prstGeom prst="rect">
                      <a:avLst/>
                    </a:prstGeom>
                  </pic:spPr>
                </pic:pic>
              </a:graphicData>
            </a:graphic>
          </wp:inline>
        </w:drawing>
      </w:r>
      <w:r>
        <w:rPr>
          <w:rFonts w:ascii="Times New Roman" w:eastAsia="Times New Roman" w:hAnsi="Times New Roman" w:cs="Times New Roman"/>
          <w:color w:val="00000A"/>
          <w:sz w:val="28"/>
        </w:rPr>
        <w:t xml:space="preserve"> Вт </w:t>
      </w:r>
    </w:p>
    <w:p w:rsidR="0052701D" w:rsidRDefault="00D40929">
      <w:pPr>
        <w:spacing w:after="4" w:line="257" w:lineRule="auto"/>
        <w:ind w:left="721" w:right="37"/>
        <w:jc w:val="both"/>
      </w:pPr>
      <w:r>
        <w:rPr>
          <w:rFonts w:ascii="Times New Roman" w:eastAsia="Times New Roman" w:hAnsi="Times New Roman" w:cs="Times New Roman"/>
          <w:color w:val="00000A"/>
          <w:sz w:val="28"/>
        </w:rPr>
        <w:t xml:space="preserve">КПД механизма определяем по формуле (2.9): </w:t>
      </w:r>
    </w:p>
    <w:p w:rsidR="0052701D" w:rsidRDefault="00D40929">
      <w:pPr>
        <w:spacing w:after="76"/>
        <w:ind w:left="2504"/>
      </w:pPr>
      <w:r>
        <w:rPr>
          <w:noProof/>
        </w:rPr>
        <w:drawing>
          <wp:inline distT="0" distB="0" distL="0" distR="0">
            <wp:extent cx="2852928" cy="387096"/>
            <wp:effectExtent l="0" t="0" r="0" b="0"/>
            <wp:docPr id="1048689" name="Picture 1048689"/>
            <wp:cNvGraphicFramePr/>
            <a:graphic xmlns:a="http://schemas.openxmlformats.org/drawingml/2006/main">
              <a:graphicData uri="http://schemas.openxmlformats.org/drawingml/2006/picture">
                <pic:pic xmlns:pic="http://schemas.openxmlformats.org/drawingml/2006/picture">
                  <pic:nvPicPr>
                    <pic:cNvPr id="1048689" name="Picture 1048689"/>
                    <pic:cNvPicPr/>
                  </pic:nvPicPr>
                  <pic:blipFill>
                    <a:blip r:embed="rId193"/>
                    <a:stretch>
                      <a:fillRect/>
                    </a:stretch>
                  </pic:blipFill>
                  <pic:spPr>
                    <a:xfrm>
                      <a:off x="0" y="0"/>
                      <a:ext cx="2852928" cy="387096"/>
                    </a:xfrm>
                    <a:prstGeom prst="rect">
                      <a:avLst/>
                    </a:prstGeom>
                  </pic:spPr>
                </pic:pic>
              </a:graphicData>
            </a:graphic>
          </wp:inline>
        </w:drawing>
      </w:r>
    </w:p>
    <w:p w:rsidR="0052701D" w:rsidRDefault="00D40929">
      <w:pPr>
        <w:spacing w:after="0" w:line="271" w:lineRule="auto"/>
        <w:ind w:left="716" w:right="30" w:hanging="10"/>
        <w:jc w:val="both"/>
      </w:pPr>
      <w:r>
        <w:rPr>
          <w:rFonts w:ascii="Times New Roman" w:eastAsia="Times New Roman" w:hAnsi="Times New Roman" w:cs="Times New Roman"/>
          <w:b/>
          <w:color w:val="00000A"/>
          <w:sz w:val="28"/>
        </w:rPr>
        <w:t xml:space="preserve">4. Анализ вычислений </w:t>
      </w:r>
    </w:p>
    <w:p w:rsidR="0052701D" w:rsidRDefault="00D40929">
      <w:pPr>
        <w:spacing w:after="4" w:line="257" w:lineRule="auto"/>
        <w:ind w:left="-15" w:right="37" w:firstLine="711"/>
        <w:jc w:val="both"/>
      </w:pPr>
      <w:r>
        <w:rPr>
          <w:rFonts w:ascii="Times New Roman" w:eastAsia="Times New Roman" w:hAnsi="Times New Roman" w:cs="Times New Roman"/>
          <w:color w:val="00000A"/>
          <w:sz w:val="28"/>
        </w:rPr>
        <w:t>Выполненные расчеты по</w:t>
      </w:r>
      <w:r>
        <w:rPr>
          <w:rFonts w:ascii="Times New Roman" w:eastAsia="Times New Roman" w:hAnsi="Times New Roman" w:cs="Times New Roman"/>
          <w:color w:val="00000A"/>
          <w:sz w:val="28"/>
        </w:rPr>
        <w:t xml:space="preserve">казали (таблица 4.1), что спроектированный адаптивный привод при столь большом диапазоне момента сопротивления (передаточного отношения) </w:t>
      </w:r>
      <w:r>
        <w:rPr>
          <w:noProof/>
        </w:rPr>
        <w:drawing>
          <wp:inline distT="0" distB="0" distL="0" distR="0">
            <wp:extent cx="234696" cy="161544"/>
            <wp:effectExtent l="0" t="0" r="0" b="0"/>
            <wp:docPr id="1048690" name="Picture 1048690"/>
            <wp:cNvGraphicFramePr/>
            <a:graphic xmlns:a="http://schemas.openxmlformats.org/drawingml/2006/main">
              <a:graphicData uri="http://schemas.openxmlformats.org/drawingml/2006/picture">
                <pic:pic xmlns:pic="http://schemas.openxmlformats.org/drawingml/2006/picture">
                  <pic:nvPicPr>
                    <pic:cNvPr id="1048690" name="Picture 1048690"/>
                    <pic:cNvPicPr/>
                  </pic:nvPicPr>
                  <pic:blipFill>
                    <a:blip r:embed="rId194"/>
                    <a:stretch>
                      <a:fillRect/>
                    </a:stretch>
                  </pic:blipFill>
                  <pic:spPr>
                    <a:xfrm>
                      <a:off x="0" y="0"/>
                      <a:ext cx="234696" cy="161544"/>
                    </a:xfrm>
                    <a:prstGeom prst="rect">
                      <a:avLst/>
                    </a:prstGeom>
                  </pic:spPr>
                </pic:pic>
              </a:graphicData>
            </a:graphic>
          </wp:inline>
        </w:drawing>
      </w:r>
      <w:r>
        <w:rPr>
          <w:rFonts w:ascii="Times New Roman" w:eastAsia="Times New Roman" w:hAnsi="Times New Roman" w:cs="Times New Roman"/>
          <w:color w:val="00000A"/>
          <w:sz w:val="28"/>
        </w:rPr>
        <w:t xml:space="preserve"> имеет очень высокий средний КПД 0,75. Для сравнения CVT автомобиля имеет диапазон КПД равный 0,3. Отсюда следует, что</w:t>
      </w:r>
      <w:r>
        <w:rPr>
          <w:rFonts w:ascii="Times New Roman" w:eastAsia="Times New Roman" w:hAnsi="Times New Roman" w:cs="Times New Roman"/>
          <w:color w:val="00000A"/>
          <w:sz w:val="28"/>
        </w:rPr>
        <w:t xml:space="preserve"> полученный механизм является высокоэффективным и наиболее надежным. </w:t>
      </w:r>
    </w:p>
    <w:p w:rsidR="0052701D" w:rsidRDefault="00D40929">
      <w:pPr>
        <w:spacing w:after="28"/>
        <w:ind w:left="721"/>
      </w:pPr>
      <w:r>
        <w:rPr>
          <w:rFonts w:ascii="Times New Roman" w:eastAsia="Times New Roman" w:hAnsi="Times New Roman" w:cs="Times New Roman"/>
          <w:color w:val="00000A"/>
          <w:sz w:val="28"/>
        </w:rPr>
        <w:t xml:space="preserve"> </w:t>
      </w:r>
    </w:p>
    <w:p w:rsidR="0052701D" w:rsidRDefault="00D40929">
      <w:pPr>
        <w:spacing w:after="0"/>
        <w:ind w:left="1002" w:right="328" w:hanging="10"/>
        <w:jc w:val="center"/>
      </w:pPr>
      <w:r>
        <w:rPr>
          <w:rFonts w:ascii="Times New Roman" w:eastAsia="Times New Roman" w:hAnsi="Times New Roman" w:cs="Times New Roman"/>
          <w:color w:val="00000A"/>
          <w:sz w:val="28"/>
        </w:rPr>
        <w:t xml:space="preserve">Таблица 4.1. Результаты вычислений </w:t>
      </w:r>
    </w:p>
    <w:tbl>
      <w:tblPr>
        <w:tblStyle w:val="TableGrid"/>
        <w:tblW w:w="6660" w:type="dxa"/>
        <w:tblInd w:w="1493" w:type="dxa"/>
        <w:tblCellMar>
          <w:top w:w="0" w:type="dxa"/>
          <w:left w:w="50" w:type="dxa"/>
          <w:bottom w:w="0" w:type="dxa"/>
          <w:right w:w="44" w:type="dxa"/>
        </w:tblCellMar>
        <w:tblLook w:val="04A0" w:firstRow="1" w:lastRow="0" w:firstColumn="1" w:lastColumn="0" w:noHBand="0" w:noVBand="1"/>
      </w:tblPr>
      <w:tblGrid>
        <w:gridCol w:w="1090"/>
        <w:gridCol w:w="1460"/>
        <w:gridCol w:w="1277"/>
        <w:gridCol w:w="1417"/>
        <w:gridCol w:w="1416"/>
      </w:tblGrid>
      <w:tr w:rsidR="0052701D">
        <w:trPr>
          <w:trHeight w:val="374"/>
        </w:trPr>
        <w:tc>
          <w:tcPr>
            <w:tcW w:w="1090"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noProof/>
              </w:rPr>
              <w:drawing>
                <wp:inline distT="0" distB="0" distL="0" distR="0">
                  <wp:extent cx="545592" cy="158496"/>
                  <wp:effectExtent l="0" t="0" r="0" b="0"/>
                  <wp:docPr id="1048691" name="Picture 1048691"/>
                  <wp:cNvGraphicFramePr/>
                  <a:graphic xmlns:a="http://schemas.openxmlformats.org/drawingml/2006/main">
                    <a:graphicData uri="http://schemas.openxmlformats.org/drawingml/2006/picture">
                      <pic:pic xmlns:pic="http://schemas.openxmlformats.org/drawingml/2006/picture">
                        <pic:nvPicPr>
                          <pic:cNvPr id="1048691" name="Picture 1048691"/>
                          <pic:cNvPicPr/>
                        </pic:nvPicPr>
                        <pic:blipFill>
                          <a:blip r:embed="rId195"/>
                          <a:stretch>
                            <a:fillRect/>
                          </a:stretch>
                        </pic:blipFill>
                        <pic:spPr>
                          <a:xfrm>
                            <a:off x="0" y="0"/>
                            <a:ext cx="545592" cy="158496"/>
                          </a:xfrm>
                          <a:prstGeom prst="rect">
                            <a:avLst/>
                          </a:prstGeom>
                        </pic:spPr>
                      </pic:pic>
                    </a:graphicData>
                  </a:graphic>
                </wp:inline>
              </w:drawing>
            </w:r>
          </w:p>
        </w:tc>
        <w:tc>
          <w:tcPr>
            <w:tcW w:w="1460" w:type="dxa"/>
            <w:tcBorders>
              <w:top w:val="single" w:sz="4" w:space="0" w:color="000000"/>
              <w:left w:val="single" w:sz="4" w:space="0" w:color="000000"/>
              <w:bottom w:val="single" w:sz="4" w:space="0" w:color="000000"/>
              <w:right w:val="single" w:sz="4" w:space="0" w:color="000000"/>
            </w:tcBorders>
          </w:tcPr>
          <w:p w:rsidR="0052701D" w:rsidRDefault="00D40929">
            <w:pPr>
              <w:tabs>
                <w:tab w:val="right" w:pos="1365"/>
              </w:tabs>
              <w:spacing w:after="0"/>
            </w:pPr>
            <w:r>
              <w:rPr>
                <w:noProof/>
              </w:rPr>
              <w:drawing>
                <wp:inline distT="0" distB="0" distL="0" distR="0">
                  <wp:extent cx="161544" cy="109728"/>
                  <wp:effectExtent l="0" t="0" r="0" b="0"/>
                  <wp:docPr id="1048692" name="Picture 1048692"/>
                  <wp:cNvGraphicFramePr/>
                  <a:graphic xmlns:a="http://schemas.openxmlformats.org/drawingml/2006/main">
                    <a:graphicData uri="http://schemas.openxmlformats.org/drawingml/2006/picture">
                      <pic:pic xmlns:pic="http://schemas.openxmlformats.org/drawingml/2006/picture">
                        <pic:nvPicPr>
                          <pic:cNvPr id="1048692" name="Picture 1048692"/>
                          <pic:cNvPicPr/>
                        </pic:nvPicPr>
                        <pic:blipFill>
                          <a:blip r:embed="rId196"/>
                          <a:stretch>
                            <a:fillRect/>
                          </a:stretch>
                        </pic:blipFill>
                        <pic:spPr>
                          <a:xfrm>
                            <a:off x="0" y="0"/>
                            <a:ext cx="161544" cy="109728"/>
                          </a:xfrm>
                          <a:prstGeom prst="rect">
                            <a:avLst/>
                          </a:prstGeom>
                        </pic:spPr>
                      </pic:pic>
                    </a:graphicData>
                  </a:graphic>
                </wp:inline>
              </w:drawing>
            </w:r>
            <w:r>
              <w:rPr>
                <w:rFonts w:ascii="Times New Roman" w:eastAsia="Times New Roman" w:hAnsi="Times New Roman" w:cs="Times New Roman"/>
                <w:color w:val="00000A"/>
                <w:sz w:val="28"/>
              </w:rPr>
              <w:t xml:space="preserve">, </w:t>
            </w:r>
            <w:r>
              <w:rPr>
                <w:noProof/>
              </w:rPr>
              <w:drawing>
                <wp:inline distT="0" distB="0" distL="0" distR="0">
                  <wp:extent cx="234696" cy="152400"/>
                  <wp:effectExtent l="0" t="0" r="0" b="0"/>
                  <wp:docPr id="1048693" name="Picture 1048693"/>
                  <wp:cNvGraphicFramePr/>
                  <a:graphic xmlns:a="http://schemas.openxmlformats.org/drawingml/2006/main">
                    <a:graphicData uri="http://schemas.openxmlformats.org/drawingml/2006/picture">
                      <pic:pic xmlns:pic="http://schemas.openxmlformats.org/drawingml/2006/picture">
                        <pic:nvPicPr>
                          <pic:cNvPr id="1048693" name="Picture 1048693"/>
                          <pic:cNvPicPr/>
                        </pic:nvPicPr>
                        <pic:blipFill>
                          <a:blip r:embed="rId197"/>
                          <a:stretch>
                            <a:fillRect/>
                          </a:stretch>
                        </pic:blipFill>
                        <pic:spPr>
                          <a:xfrm>
                            <a:off x="0" y="0"/>
                            <a:ext cx="234696" cy="152400"/>
                          </a:xfrm>
                          <a:prstGeom prst="rect">
                            <a:avLst/>
                          </a:prstGeom>
                        </pic:spPr>
                      </pic:pic>
                    </a:graphicData>
                  </a:graphic>
                </wp:inline>
              </w:drawing>
            </w:r>
            <w:r>
              <w:rPr>
                <w:rFonts w:ascii="Times New Roman" w:eastAsia="Times New Roman" w:hAnsi="Times New Roman" w:cs="Times New Roman"/>
                <w:color w:val="00000A"/>
                <w:sz w:val="28"/>
              </w:rPr>
              <w:tab/>
              <w:t xml:space="preserve"> </w:t>
            </w:r>
          </w:p>
        </w:tc>
        <w:tc>
          <w:tcPr>
            <w:tcW w:w="1277" w:type="dxa"/>
            <w:tcBorders>
              <w:top w:val="single" w:sz="4" w:space="0" w:color="000000"/>
              <w:left w:val="single" w:sz="4" w:space="0" w:color="000000"/>
              <w:bottom w:val="single" w:sz="4" w:space="0" w:color="000000"/>
              <w:right w:val="single" w:sz="4" w:space="0" w:color="000000"/>
            </w:tcBorders>
          </w:tcPr>
          <w:p w:rsidR="0052701D" w:rsidRDefault="00D40929">
            <w:pPr>
              <w:tabs>
                <w:tab w:val="right" w:pos="1183"/>
              </w:tabs>
              <w:spacing w:after="0"/>
            </w:pPr>
            <w:r>
              <w:rPr>
                <w:noProof/>
              </w:rPr>
              <w:drawing>
                <wp:inline distT="0" distB="0" distL="0" distR="0">
                  <wp:extent cx="231648" cy="109728"/>
                  <wp:effectExtent l="0" t="0" r="0" b="0"/>
                  <wp:docPr id="1048694" name="Picture 1048694"/>
                  <wp:cNvGraphicFramePr/>
                  <a:graphic xmlns:a="http://schemas.openxmlformats.org/drawingml/2006/main">
                    <a:graphicData uri="http://schemas.openxmlformats.org/drawingml/2006/picture">
                      <pic:pic xmlns:pic="http://schemas.openxmlformats.org/drawingml/2006/picture">
                        <pic:nvPicPr>
                          <pic:cNvPr id="1048694" name="Picture 1048694"/>
                          <pic:cNvPicPr/>
                        </pic:nvPicPr>
                        <pic:blipFill>
                          <a:blip r:embed="rId198"/>
                          <a:stretch>
                            <a:fillRect/>
                          </a:stretch>
                        </pic:blipFill>
                        <pic:spPr>
                          <a:xfrm>
                            <a:off x="0" y="0"/>
                            <a:ext cx="231648" cy="109728"/>
                          </a:xfrm>
                          <a:prstGeom prst="rect">
                            <a:avLst/>
                          </a:prstGeom>
                        </pic:spPr>
                      </pic:pic>
                    </a:graphicData>
                  </a:graphic>
                </wp:inline>
              </w:drawing>
            </w:r>
            <w:r>
              <w:rPr>
                <w:rFonts w:ascii="Times New Roman" w:eastAsia="Times New Roman" w:hAnsi="Times New Roman" w:cs="Times New Roman"/>
                <w:color w:val="00000A"/>
                <w:sz w:val="28"/>
              </w:rPr>
              <w:t xml:space="preserve">, </w:t>
            </w:r>
            <w:r>
              <w:rPr>
                <w:noProof/>
              </w:rPr>
              <w:drawing>
                <wp:inline distT="0" distB="0" distL="0" distR="0">
                  <wp:extent cx="234696" cy="152400"/>
                  <wp:effectExtent l="0" t="0" r="0" b="0"/>
                  <wp:docPr id="1048695" name="Picture 1048695"/>
                  <wp:cNvGraphicFramePr/>
                  <a:graphic xmlns:a="http://schemas.openxmlformats.org/drawingml/2006/main">
                    <a:graphicData uri="http://schemas.openxmlformats.org/drawingml/2006/picture">
                      <pic:pic xmlns:pic="http://schemas.openxmlformats.org/drawingml/2006/picture">
                        <pic:nvPicPr>
                          <pic:cNvPr id="1048695" name="Picture 1048695"/>
                          <pic:cNvPicPr/>
                        </pic:nvPicPr>
                        <pic:blipFill>
                          <a:blip r:embed="rId197"/>
                          <a:stretch>
                            <a:fillRect/>
                          </a:stretch>
                        </pic:blipFill>
                        <pic:spPr>
                          <a:xfrm>
                            <a:off x="0" y="0"/>
                            <a:ext cx="234696" cy="152400"/>
                          </a:xfrm>
                          <a:prstGeom prst="rect">
                            <a:avLst/>
                          </a:prstGeom>
                        </pic:spPr>
                      </pic:pic>
                    </a:graphicData>
                  </a:graphic>
                </wp:inline>
              </w:drawing>
            </w:r>
            <w:r>
              <w:rPr>
                <w:rFonts w:ascii="Times New Roman" w:eastAsia="Times New Roman" w:hAnsi="Times New Roman" w:cs="Times New Roman"/>
                <w:color w:val="00000A"/>
                <w:sz w:val="28"/>
              </w:rPr>
              <w:tab/>
              <w:t xml:space="preserve"> </w:t>
            </w:r>
          </w:p>
        </w:tc>
        <w:tc>
          <w:tcPr>
            <w:tcW w:w="141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53"/>
            </w:pPr>
            <w:r>
              <w:rPr>
                <w:noProof/>
              </w:rPr>
              <w:drawing>
                <wp:inline distT="0" distB="0" distL="0" distR="0">
                  <wp:extent cx="426720" cy="185928"/>
                  <wp:effectExtent l="0" t="0" r="0" b="0"/>
                  <wp:docPr id="1048696" name="Picture 1048696"/>
                  <wp:cNvGraphicFramePr/>
                  <a:graphic xmlns:a="http://schemas.openxmlformats.org/drawingml/2006/main">
                    <a:graphicData uri="http://schemas.openxmlformats.org/drawingml/2006/picture">
                      <pic:pic xmlns:pic="http://schemas.openxmlformats.org/drawingml/2006/picture">
                        <pic:nvPicPr>
                          <pic:cNvPr id="1048696" name="Picture 1048696"/>
                          <pic:cNvPicPr/>
                        </pic:nvPicPr>
                        <pic:blipFill>
                          <a:blip r:embed="rId199"/>
                          <a:stretch>
                            <a:fillRect/>
                          </a:stretch>
                        </pic:blipFill>
                        <pic:spPr>
                          <a:xfrm>
                            <a:off x="0" y="0"/>
                            <a:ext cx="426720" cy="185928"/>
                          </a:xfrm>
                          <a:prstGeom prst="rect">
                            <a:avLst/>
                          </a:prstGeom>
                        </pic:spPr>
                      </pic:pic>
                    </a:graphicData>
                  </a:graphic>
                </wp:inline>
              </w:drawing>
            </w:r>
          </w:p>
        </w:tc>
        <w:tc>
          <w:tcPr>
            <w:tcW w:w="14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356"/>
            </w:pPr>
            <w:r>
              <w:rPr>
                <w:noProof/>
              </w:rPr>
              <w:drawing>
                <wp:inline distT="0" distB="0" distL="0" distR="0">
                  <wp:extent cx="310896" cy="158496"/>
                  <wp:effectExtent l="0" t="0" r="0" b="0"/>
                  <wp:docPr id="1048697" name="Picture 1048697"/>
                  <wp:cNvGraphicFramePr/>
                  <a:graphic xmlns:a="http://schemas.openxmlformats.org/drawingml/2006/main">
                    <a:graphicData uri="http://schemas.openxmlformats.org/drawingml/2006/picture">
                      <pic:pic xmlns:pic="http://schemas.openxmlformats.org/drawingml/2006/picture">
                        <pic:nvPicPr>
                          <pic:cNvPr id="1048697" name="Picture 1048697"/>
                          <pic:cNvPicPr/>
                        </pic:nvPicPr>
                        <pic:blipFill>
                          <a:blip r:embed="rId200"/>
                          <a:stretch>
                            <a:fillRect/>
                          </a:stretch>
                        </pic:blipFill>
                        <pic:spPr>
                          <a:xfrm>
                            <a:off x="0" y="0"/>
                            <a:ext cx="310896" cy="158496"/>
                          </a:xfrm>
                          <a:prstGeom prst="rect">
                            <a:avLst/>
                          </a:prstGeom>
                        </pic:spPr>
                      </pic:pic>
                    </a:graphicData>
                  </a:graphic>
                </wp:inline>
              </w:drawing>
            </w:r>
          </w:p>
        </w:tc>
      </w:tr>
      <w:tr w:rsidR="0052701D">
        <w:trPr>
          <w:trHeight w:val="283"/>
        </w:trPr>
        <w:tc>
          <w:tcPr>
            <w:tcW w:w="109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
              <w:jc w:val="center"/>
            </w:pPr>
            <w:r>
              <w:rPr>
                <w:rFonts w:ascii="Times New Roman" w:eastAsia="Times New Roman" w:hAnsi="Times New Roman" w:cs="Times New Roman"/>
                <w:color w:val="00000A"/>
                <w:sz w:val="24"/>
              </w:rPr>
              <w:t xml:space="preserve">10 </w:t>
            </w:r>
          </w:p>
        </w:tc>
        <w:tc>
          <w:tcPr>
            <w:tcW w:w="1460" w:type="dxa"/>
            <w:tcBorders>
              <w:top w:val="single" w:sz="4" w:space="0" w:color="000000"/>
              <w:left w:val="single" w:sz="4" w:space="0" w:color="000000"/>
              <w:bottom w:val="single" w:sz="4" w:space="0" w:color="000000"/>
              <w:right w:val="single" w:sz="4" w:space="0" w:color="000000"/>
            </w:tcBorders>
          </w:tcPr>
          <w:p w:rsidR="0052701D" w:rsidRDefault="00D40929">
            <w:pPr>
              <w:spacing w:after="0"/>
              <w:jc w:val="center"/>
            </w:pPr>
            <w:r>
              <w:rPr>
                <w:rFonts w:ascii="Times New Roman" w:eastAsia="Times New Roman" w:hAnsi="Times New Roman" w:cs="Times New Roman"/>
                <w:color w:val="00000A"/>
                <w:sz w:val="24"/>
              </w:rPr>
              <w:t xml:space="preserve">100 </w:t>
            </w:r>
          </w:p>
        </w:tc>
        <w:tc>
          <w:tcPr>
            <w:tcW w:w="127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0"/>
              <w:jc w:val="center"/>
            </w:pPr>
            <w:r>
              <w:rPr>
                <w:rFonts w:ascii="Times New Roman" w:eastAsia="Times New Roman" w:hAnsi="Times New Roman" w:cs="Times New Roman"/>
                <w:color w:val="00000A"/>
                <w:sz w:val="24"/>
              </w:rPr>
              <w:t xml:space="preserve">0 </w:t>
            </w:r>
          </w:p>
        </w:tc>
        <w:tc>
          <w:tcPr>
            <w:tcW w:w="141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6"/>
              <w:jc w:val="center"/>
            </w:pPr>
            <w:r>
              <w:rPr>
                <w:rFonts w:ascii="Times New Roman" w:eastAsia="Times New Roman" w:hAnsi="Times New Roman" w:cs="Times New Roman"/>
                <w:color w:val="00000A"/>
                <w:sz w:val="24"/>
              </w:rPr>
              <w:t xml:space="preserve">0 </w:t>
            </w:r>
          </w:p>
        </w:tc>
        <w:tc>
          <w:tcPr>
            <w:tcW w:w="14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6"/>
              <w:jc w:val="center"/>
            </w:pPr>
            <w:r>
              <w:rPr>
                <w:rFonts w:ascii="Times New Roman" w:eastAsia="Times New Roman" w:hAnsi="Times New Roman" w:cs="Times New Roman"/>
                <w:color w:val="00000A"/>
                <w:sz w:val="24"/>
              </w:rPr>
              <w:t xml:space="preserve">100 </w:t>
            </w:r>
          </w:p>
        </w:tc>
      </w:tr>
      <w:tr w:rsidR="0052701D">
        <w:trPr>
          <w:trHeight w:val="288"/>
        </w:trPr>
        <w:tc>
          <w:tcPr>
            <w:tcW w:w="109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
              <w:jc w:val="center"/>
            </w:pPr>
            <w:r>
              <w:rPr>
                <w:rFonts w:ascii="Times New Roman" w:eastAsia="Times New Roman" w:hAnsi="Times New Roman" w:cs="Times New Roman"/>
                <w:color w:val="00000A"/>
                <w:sz w:val="24"/>
              </w:rPr>
              <w:t xml:space="preserve">20 </w:t>
            </w:r>
          </w:p>
        </w:tc>
        <w:tc>
          <w:tcPr>
            <w:tcW w:w="146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
              <w:jc w:val="center"/>
            </w:pPr>
            <w:r>
              <w:rPr>
                <w:rFonts w:ascii="Times New Roman" w:eastAsia="Times New Roman" w:hAnsi="Times New Roman" w:cs="Times New Roman"/>
                <w:color w:val="00000A"/>
                <w:sz w:val="24"/>
              </w:rPr>
              <w:t xml:space="preserve">50 </w:t>
            </w:r>
          </w:p>
        </w:tc>
        <w:tc>
          <w:tcPr>
            <w:tcW w:w="127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5"/>
              <w:jc w:val="center"/>
            </w:pPr>
            <w:r>
              <w:rPr>
                <w:rFonts w:ascii="Times New Roman" w:eastAsia="Times New Roman" w:hAnsi="Times New Roman" w:cs="Times New Roman"/>
                <w:color w:val="00000A"/>
                <w:sz w:val="24"/>
              </w:rPr>
              <w:t xml:space="preserve">50 </w:t>
            </w:r>
          </w:p>
        </w:tc>
        <w:tc>
          <w:tcPr>
            <w:tcW w:w="141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
              <w:jc w:val="center"/>
            </w:pPr>
            <w:r>
              <w:rPr>
                <w:rFonts w:ascii="Times New Roman" w:eastAsia="Times New Roman" w:hAnsi="Times New Roman" w:cs="Times New Roman"/>
                <w:color w:val="00000A"/>
                <w:sz w:val="24"/>
              </w:rPr>
              <w:t xml:space="preserve">277,778 </w:t>
            </w:r>
          </w:p>
        </w:tc>
        <w:tc>
          <w:tcPr>
            <w:tcW w:w="14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1"/>
              <w:jc w:val="center"/>
            </w:pPr>
            <w:r>
              <w:rPr>
                <w:rFonts w:ascii="Times New Roman" w:eastAsia="Times New Roman" w:hAnsi="Times New Roman" w:cs="Times New Roman"/>
                <w:color w:val="00000A"/>
                <w:sz w:val="24"/>
              </w:rPr>
              <w:t xml:space="preserve">82,222 </w:t>
            </w:r>
          </w:p>
        </w:tc>
      </w:tr>
      <w:tr w:rsidR="0052701D">
        <w:trPr>
          <w:trHeight w:val="288"/>
        </w:trPr>
        <w:tc>
          <w:tcPr>
            <w:tcW w:w="109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
              <w:jc w:val="center"/>
            </w:pPr>
            <w:r>
              <w:rPr>
                <w:rFonts w:ascii="Times New Roman" w:eastAsia="Times New Roman" w:hAnsi="Times New Roman" w:cs="Times New Roman"/>
                <w:color w:val="00000A"/>
                <w:sz w:val="24"/>
              </w:rPr>
              <w:t xml:space="preserve">30 </w:t>
            </w:r>
          </w:p>
        </w:tc>
        <w:tc>
          <w:tcPr>
            <w:tcW w:w="146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4"/>
              <w:jc w:val="center"/>
            </w:pPr>
            <w:r>
              <w:rPr>
                <w:rFonts w:ascii="Times New Roman" w:eastAsia="Times New Roman" w:hAnsi="Times New Roman" w:cs="Times New Roman"/>
                <w:color w:val="00000A"/>
                <w:sz w:val="24"/>
              </w:rPr>
              <w:t xml:space="preserve">65,476 </w:t>
            </w:r>
          </w:p>
        </w:tc>
        <w:tc>
          <w:tcPr>
            <w:tcW w:w="127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
              <w:jc w:val="center"/>
            </w:pPr>
            <w:r>
              <w:rPr>
                <w:rFonts w:ascii="Times New Roman" w:eastAsia="Times New Roman" w:hAnsi="Times New Roman" w:cs="Times New Roman"/>
                <w:color w:val="00000A"/>
                <w:sz w:val="24"/>
              </w:rPr>
              <w:t xml:space="preserve">34,524 </w:t>
            </w:r>
          </w:p>
        </w:tc>
        <w:tc>
          <w:tcPr>
            <w:tcW w:w="141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
              <w:jc w:val="center"/>
            </w:pPr>
            <w:r>
              <w:rPr>
                <w:rFonts w:ascii="Times New Roman" w:eastAsia="Times New Roman" w:hAnsi="Times New Roman" w:cs="Times New Roman"/>
                <w:color w:val="00000A"/>
                <w:sz w:val="24"/>
              </w:rPr>
              <w:t xml:space="preserve">191,8 </w:t>
            </w:r>
          </w:p>
        </w:tc>
        <w:tc>
          <w:tcPr>
            <w:tcW w:w="14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
              <w:jc w:val="center"/>
            </w:pPr>
            <w:r>
              <w:rPr>
                <w:rFonts w:ascii="Times New Roman" w:eastAsia="Times New Roman" w:hAnsi="Times New Roman" w:cs="Times New Roman"/>
                <w:color w:val="00000A"/>
                <w:sz w:val="24"/>
              </w:rPr>
              <w:t xml:space="preserve">80,82 </w:t>
            </w:r>
          </w:p>
        </w:tc>
      </w:tr>
      <w:tr w:rsidR="0052701D">
        <w:trPr>
          <w:trHeight w:val="284"/>
        </w:trPr>
        <w:tc>
          <w:tcPr>
            <w:tcW w:w="109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
              <w:jc w:val="center"/>
            </w:pPr>
            <w:r>
              <w:rPr>
                <w:rFonts w:ascii="Times New Roman" w:eastAsia="Times New Roman" w:hAnsi="Times New Roman" w:cs="Times New Roman"/>
                <w:color w:val="00000A"/>
                <w:sz w:val="24"/>
              </w:rPr>
              <w:t xml:space="preserve">40 </w:t>
            </w:r>
          </w:p>
        </w:tc>
        <w:tc>
          <w:tcPr>
            <w:tcW w:w="146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4"/>
              <w:jc w:val="center"/>
            </w:pPr>
            <w:r>
              <w:rPr>
                <w:rFonts w:ascii="Times New Roman" w:eastAsia="Times New Roman" w:hAnsi="Times New Roman" w:cs="Times New Roman"/>
                <w:color w:val="00000A"/>
                <w:sz w:val="24"/>
              </w:rPr>
              <w:t xml:space="preserve">57,143 </w:t>
            </w:r>
          </w:p>
        </w:tc>
        <w:tc>
          <w:tcPr>
            <w:tcW w:w="127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
              <w:jc w:val="center"/>
            </w:pPr>
            <w:r>
              <w:rPr>
                <w:rFonts w:ascii="Times New Roman" w:eastAsia="Times New Roman" w:hAnsi="Times New Roman" w:cs="Times New Roman"/>
                <w:color w:val="00000A"/>
                <w:sz w:val="24"/>
              </w:rPr>
              <w:t xml:space="preserve">42,857 </w:t>
            </w:r>
          </w:p>
        </w:tc>
        <w:tc>
          <w:tcPr>
            <w:tcW w:w="141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
              <w:jc w:val="center"/>
            </w:pPr>
            <w:r>
              <w:rPr>
                <w:rFonts w:ascii="Times New Roman" w:eastAsia="Times New Roman" w:hAnsi="Times New Roman" w:cs="Times New Roman"/>
                <w:color w:val="00000A"/>
                <w:sz w:val="24"/>
              </w:rPr>
              <w:t xml:space="preserve">238,095 </w:t>
            </w:r>
          </w:p>
        </w:tc>
        <w:tc>
          <w:tcPr>
            <w:tcW w:w="14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1"/>
              <w:jc w:val="center"/>
            </w:pPr>
            <w:r>
              <w:rPr>
                <w:rFonts w:ascii="Times New Roman" w:eastAsia="Times New Roman" w:hAnsi="Times New Roman" w:cs="Times New Roman"/>
                <w:color w:val="00000A"/>
                <w:sz w:val="24"/>
              </w:rPr>
              <w:t xml:space="preserve">76,191 </w:t>
            </w:r>
          </w:p>
        </w:tc>
      </w:tr>
      <w:tr w:rsidR="0052701D">
        <w:trPr>
          <w:trHeight w:val="288"/>
        </w:trPr>
        <w:tc>
          <w:tcPr>
            <w:tcW w:w="109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
              <w:jc w:val="center"/>
            </w:pPr>
            <w:r>
              <w:rPr>
                <w:rFonts w:ascii="Times New Roman" w:eastAsia="Times New Roman" w:hAnsi="Times New Roman" w:cs="Times New Roman"/>
                <w:color w:val="00000A"/>
                <w:sz w:val="24"/>
              </w:rPr>
              <w:t xml:space="preserve">50 </w:t>
            </w:r>
          </w:p>
        </w:tc>
        <w:tc>
          <w:tcPr>
            <w:tcW w:w="146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4"/>
              <w:jc w:val="center"/>
            </w:pPr>
            <w:r>
              <w:rPr>
                <w:rFonts w:ascii="Times New Roman" w:eastAsia="Times New Roman" w:hAnsi="Times New Roman" w:cs="Times New Roman"/>
                <w:color w:val="00000A"/>
                <w:sz w:val="24"/>
              </w:rPr>
              <w:t xml:space="preserve">52,143 </w:t>
            </w:r>
          </w:p>
        </w:tc>
        <w:tc>
          <w:tcPr>
            <w:tcW w:w="127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
              <w:jc w:val="center"/>
            </w:pPr>
            <w:r>
              <w:rPr>
                <w:rFonts w:ascii="Times New Roman" w:eastAsia="Times New Roman" w:hAnsi="Times New Roman" w:cs="Times New Roman"/>
                <w:color w:val="00000A"/>
                <w:sz w:val="24"/>
              </w:rPr>
              <w:t xml:space="preserve">47,857 </w:t>
            </w:r>
          </w:p>
        </w:tc>
        <w:tc>
          <w:tcPr>
            <w:tcW w:w="141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
              <w:jc w:val="center"/>
            </w:pPr>
            <w:r>
              <w:rPr>
                <w:rFonts w:ascii="Times New Roman" w:eastAsia="Times New Roman" w:hAnsi="Times New Roman" w:cs="Times New Roman"/>
                <w:color w:val="00000A"/>
                <w:sz w:val="24"/>
              </w:rPr>
              <w:t xml:space="preserve">265,873 </w:t>
            </w:r>
          </w:p>
        </w:tc>
        <w:tc>
          <w:tcPr>
            <w:tcW w:w="14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1"/>
              <w:jc w:val="center"/>
            </w:pPr>
            <w:r>
              <w:rPr>
                <w:rFonts w:ascii="Times New Roman" w:eastAsia="Times New Roman" w:hAnsi="Times New Roman" w:cs="Times New Roman"/>
                <w:color w:val="00000A"/>
                <w:sz w:val="24"/>
              </w:rPr>
              <w:t xml:space="preserve">73,413 </w:t>
            </w:r>
          </w:p>
        </w:tc>
      </w:tr>
      <w:tr w:rsidR="0052701D">
        <w:trPr>
          <w:trHeight w:val="283"/>
        </w:trPr>
        <w:tc>
          <w:tcPr>
            <w:tcW w:w="109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
              <w:jc w:val="center"/>
            </w:pPr>
            <w:r>
              <w:rPr>
                <w:rFonts w:ascii="Times New Roman" w:eastAsia="Times New Roman" w:hAnsi="Times New Roman" w:cs="Times New Roman"/>
                <w:color w:val="00000A"/>
                <w:sz w:val="24"/>
              </w:rPr>
              <w:t xml:space="preserve">60 </w:t>
            </w:r>
          </w:p>
        </w:tc>
        <w:tc>
          <w:tcPr>
            <w:tcW w:w="146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
              <w:jc w:val="center"/>
            </w:pPr>
            <w:r>
              <w:rPr>
                <w:rFonts w:ascii="Times New Roman" w:eastAsia="Times New Roman" w:hAnsi="Times New Roman" w:cs="Times New Roman"/>
                <w:color w:val="00000A"/>
                <w:sz w:val="24"/>
              </w:rPr>
              <w:t xml:space="preserve">48,81 </w:t>
            </w:r>
          </w:p>
        </w:tc>
        <w:tc>
          <w:tcPr>
            <w:tcW w:w="127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
              <w:jc w:val="center"/>
            </w:pPr>
            <w:r>
              <w:rPr>
                <w:rFonts w:ascii="Times New Roman" w:eastAsia="Times New Roman" w:hAnsi="Times New Roman" w:cs="Times New Roman"/>
                <w:color w:val="00000A"/>
                <w:sz w:val="24"/>
              </w:rPr>
              <w:t xml:space="preserve">51,195 </w:t>
            </w:r>
          </w:p>
        </w:tc>
        <w:tc>
          <w:tcPr>
            <w:tcW w:w="141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
              <w:jc w:val="center"/>
            </w:pPr>
            <w:r>
              <w:rPr>
                <w:rFonts w:ascii="Times New Roman" w:eastAsia="Times New Roman" w:hAnsi="Times New Roman" w:cs="Times New Roman"/>
                <w:color w:val="00000A"/>
                <w:sz w:val="24"/>
              </w:rPr>
              <w:t xml:space="preserve">284,391 </w:t>
            </w:r>
          </w:p>
        </w:tc>
        <w:tc>
          <w:tcPr>
            <w:tcW w:w="14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1"/>
              <w:jc w:val="center"/>
            </w:pPr>
            <w:r>
              <w:rPr>
                <w:rFonts w:ascii="Times New Roman" w:eastAsia="Times New Roman" w:hAnsi="Times New Roman" w:cs="Times New Roman"/>
                <w:color w:val="00000A"/>
                <w:sz w:val="24"/>
              </w:rPr>
              <w:t xml:space="preserve">71,561 </w:t>
            </w:r>
          </w:p>
        </w:tc>
      </w:tr>
      <w:tr w:rsidR="0052701D">
        <w:trPr>
          <w:trHeight w:val="288"/>
        </w:trPr>
        <w:tc>
          <w:tcPr>
            <w:tcW w:w="109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
              <w:jc w:val="center"/>
            </w:pPr>
            <w:r>
              <w:rPr>
                <w:rFonts w:ascii="Times New Roman" w:eastAsia="Times New Roman" w:hAnsi="Times New Roman" w:cs="Times New Roman"/>
                <w:color w:val="00000A"/>
                <w:sz w:val="24"/>
              </w:rPr>
              <w:t xml:space="preserve">70 </w:t>
            </w:r>
          </w:p>
        </w:tc>
        <w:tc>
          <w:tcPr>
            <w:tcW w:w="146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4"/>
              <w:jc w:val="center"/>
            </w:pPr>
            <w:r>
              <w:rPr>
                <w:rFonts w:ascii="Times New Roman" w:eastAsia="Times New Roman" w:hAnsi="Times New Roman" w:cs="Times New Roman"/>
                <w:color w:val="00000A"/>
                <w:sz w:val="24"/>
              </w:rPr>
              <w:t xml:space="preserve">46,429 </w:t>
            </w:r>
          </w:p>
        </w:tc>
        <w:tc>
          <w:tcPr>
            <w:tcW w:w="127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
              <w:jc w:val="center"/>
            </w:pPr>
            <w:r>
              <w:rPr>
                <w:rFonts w:ascii="Times New Roman" w:eastAsia="Times New Roman" w:hAnsi="Times New Roman" w:cs="Times New Roman"/>
                <w:color w:val="00000A"/>
                <w:sz w:val="24"/>
              </w:rPr>
              <w:t xml:space="preserve">53,571 </w:t>
            </w:r>
          </w:p>
        </w:tc>
        <w:tc>
          <w:tcPr>
            <w:tcW w:w="141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
              <w:jc w:val="center"/>
            </w:pPr>
            <w:r>
              <w:rPr>
                <w:rFonts w:ascii="Times New Roman" w:eastAsia="Times New Roman" w:hAnsi="Times New Roman" w:cs="Times New Roman"/>
                <w:color w:val="00000A"/>
                <w:sz w:val="24"/>
              </w:rPr>
              <w:t xml:space="preserve">297,619 </w:t>
            </w:r>
          </w:p>
        </w:tc>
        <w:tc>
          <w:tcPr>
            <w:tcW w:w="14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1"/>
              <w:jc w:val="center"/>
            </w:pPr>
            <w:r>
              <w:rPr>
                <w:rFonts w:ascii="Times New Roman" w:eastAsia="Times New Roman" w:hAnsi="Times New Roman" w:cs="Times New Roman"/>
                <w:color w:val="00000A"/>
                <w:sz w:val="24"/>
              </w:rPr>
              <w:t xml:space="preserve">70,238 </w:t>
            </w:r>
          </w:p>
        </w:tc>
      </w:tr>
      <w:tr w:rsidR="0052701D">
        <w:trPr>
          <w:trHeight w:val="288"/>
        </w:trPr>
        <w:tc>
          <w:tcPr>
            <w:tcW w:w="109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
              <w:jc w:val="center"/>
            </w:pPr>
            <w:r>
              <w:rPr>
                <w:rFonts w:ascii="Times New Roman" w:eastAsia="Times New Roman" w:hAnsi="Times New Roman" w:cs="Times New Roman"/>
                <w:color w:val="00000A"/>
                <w:sz w:val="24"/>
              </w:rPr>
              <w:t xml:space="preserve">80 </w:t>
            </w:r>
          </w:p>
        </w:tc>
        <w:tc>
          <w:tcPr>
            <w:tcW w:w="146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4"/>
              <w:jc w:val="center"/>
            </w:pPr>
            <w:r>
              <w:rPr>
                <w:rFonts w:ascii="Times New Roman" w:eastAsia="Times New Roman" w:hAnsi="Times New Roman" w:cs="Times New Roman"/>
                <w:color w:val="00000A"/>
                <w:sz w:val="24"/>
              </w:rPr>
              <w:t xml:space="preserve">44,643 </w:t>
            </w:r>
          </w:p>
        </w:tc>
        <w:tc>
          <w:tcPr>
            <w:tcW w:w="127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
              <w:jc w:val="center"/>
            </w:pPr>
            <w:r>
              <w:rPr>
                <w:rFonts w:ascii="Times New Roman" w:eastAsia="Times New Roman" w:hAnsi="Times New Roman" w:cs="Times New Roman"/>
                <w:color w:val="00000A"/>
                <w:sz w:val="24"/>
              </w:rPr>
              <w:t xml:space="preserve">55,357 </w:t>
            </w:r>
          </w:p>
        </w:tc>
        <w:tc>
          <w:tcPr>
            <w:tcW w:w="141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1"/>
              <w:jc w:val="center"/>
            </w:pPr>
            <w:r>
              <w:rPr>
                <w:rFonts w:ascii="Times New Roman" w:eastAsia="Times New Roman" w:hAnsi="Times New Roman" w:cs="Times New Roman"/>
                <w:color w:val="00000A"/>
                <w:sz w:val="24"/>
              </w:rPr>
              <w:t xml:space="preserve">307,54 </w:t>
            </w:r>
          </w:p>
        </w:tc>
        <w:tc>
          <w:tcPr>
            <w:tcW w:w="14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1"/>
              <w:jc w:val="center"/>
            </w:pPr>
            <w:r>
              <w:rPr>
                <w:rFonts w:ascii="Times New Roman" w:eastAsia="Times New Roman" w:hAnsi="Times New Roman" w:cs="Times New Roman"/>
                <w:color w:val="00000A"/>
                <w:sz w:val="24"/>
              </w:rPr>
              <w:t xml:space="preserve">69,246 </w:t>
            </w:r>
          </w:p>
        </w:tc>
      </w:tr>
      <w:tr w:rsidR="0052701D">
        <w:trPr>
          <w:trHeight w:val="283"/>
        </w:trPr>
        <w:tc>
          <w:tcPr>
            <w:tcW w:w="109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
              <w:jc w:val="center"/>
            </w:pPr>
            <w:r>
              <w:rPr>
                <w:rFonts w:ascii="Times New Roman" w:eastAsia="Times New Roman" w:hAnsi="Times New Roman" w:cs="Times New Roman"/>
                <w:color w:val="00000A"/>
                <w:sz w:val="24"/>
              </w:rPr>
              <w:t xml:space="preserve">90 </w:t>
            </w:r>
          </w:p>
        </w:tc>
        <w:tc>
          <w:tcPr>
            <w:tcW w:w="146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4"/>
              <w:jc w:val="center"/>
            </w:pPr>
            <w:r>
              <w:rPr>
                <w:rFonts w:ascii="Times New Roman" w:eastAsia="Times New Roman" w:hAnsi="Times New Roman" w:cs="Times New Roman"/>
                <w:color w:val="00000A"/>
                <w:sz w:val="24"/>
              </w:rPr>
              <w:t xml:space="preserve">43,254 </w:t>
            </w:r>
          </w:p>
        </w:tc>
        <w:tc>
          <w:tcPr>
            <w:tcW w:w="127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
              <w:jc w:val="center"/>
            </w:pPr>
            <w:r>
              <w:rPr>
                <w:rFonts w:ascii="Times New Roman" w:eastAsia="Times New Roman" w:hAnsi="Times New Roman" w:cs="Times New Roman"/>
                <w:color w:val="00000A"/>
                <w:sz w:val="24"/>
              </w:rPr>
              <w:t xml:space="preserve">56,746 </w:t>
            </w:r>
          </w:p>
        </w:tc>
        <w:tc>
          <w:tcPr>
            <w:tcW w:w="141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
              <w:jc w:val="center"/>
            </w:pPr>
            <w:r>
              <w:rPr>
                <w:rFonts w:ascii="Times New Roman" w:eastAsia="Times New Roman" w:hAnsi="Times New Roman" w:cs="Times New Roman"/>
                <w:color w:val="00000A"/>
                <w:sz w:val="24"/>
              </w:rPr>
              <w:t xml:space="preserve">315,256 </w:t>
            </w:r>
          </w:p>
        </w:tc>
        <w:tc>
          <w:tcPr>
            <w:tcW w:w="14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1"/>
              <w:jc w:val="center"/>
            </w:pPr>
            <w:r>
              <w:rPr>
                <w:rFonts w:ascii="Times New Roman" w:eastAsia="Times New Roman" w:hAnsi="Times New Roman" w:cs="Times New Roman"/>
                <w:color w:val="00000A"/>
                <w:sz w:val="24"/>
              </w:rPr>
              <w:t xml:space="preserve">68,474 </w:t>
            </w:r>
          </w:p>
        </w:tc>
      </w:tr>
      <w:tr w:rsidR="0052701D">
        <w:trPr>
          <w:trHeight w:val="288"/>
        </w:trPr>
        <w:tc>
          <w:tcPr>
            <w:tcW w:w="109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
              <w:jc w:val="center"/>
            </w:pPr>
            <w:r>
              <w:rPr>
                <w:rFonts w:ascii="Times New Roman" w:eastAsia="Times New Roman" w:hAnsi="Times New Roman" w:cs="Times New Roman"/>
                <w:color w:val="00000A"/>
                <w:sz w:val="24"/>
              </w:rPr>
              <w:t xml:space="preserve">100 </w:t>
            </w:r>
          </w:p>
        </w:tc>
        <w:tc>
          <w:tcPr>
            <w:tcW w:w="146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4"/>
              <w:jc w:val="center"/>
            </w:pPr>
            <w:r>
              <w:rPr>
                <w:rFonts w:ascii="Times New Roman" w:eastAsia="Times New Roman" w:hAnsi="Times New Roman" w:cs="Times New Roman"/>
                <w:color w:val="00000A"/>
                <w:sz w:val="24"/>
              </w:rPr>
              <w:t xml:space="preserve">42,143 </w:t>
            </w:r>
          </w:p>
        </w:tc>
        <w:tc>
          <w:tcPr>
            <w:tcW w:w="127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
              <w:jc w:val="center"/>
            </w:pPr>
            <w:r>
              <w:rPr>
                <w:rFonts w:ascii="Times New Roman" w:eastAsia="Times New Roman" w:hAnsi="Times New Roman" w:cs="Times New Roman"/>
                <w:color w:val="00000A"/>
                <w:sz w:val="24"/>
              </w:rPr>
              <w:t xml:space="preserve">57,857 </w:t>
            </w:r>
          </w:p>
        </w:tc>
        <w:tc>
          <w:tcPr>
            <w:tcW w:w="141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
              <w:jc w:val="center"/>
            </w:pPr>
            <w:r>
              <w:rPr>
                <w:rFonts w:ascii="Times New Roman" w:eastAsia="Times New Roman" w:hAnsi="Times New Roman" w:cs="Times New Roman"/>
                <w:color w:val="00000A"/>
                <w:sz w:val="24"/>
              </w:rPr>
              <w:t xml:space="preserve">321,429 </w:t>
            </w:r>
          </w:p>
        </w:tc>
        <w:tc>
          <w:tcPr>
            <w:tcW w:w="14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1"/>
              <w:jc w:val="center"/>
            </w:pPr>
            <w:r>
              <w:rPr>
                <w:rFonts w:ascii="Times New Roman" w:eastAsia="Times New Roman" w:hAnsi="Times New Roman" w:cs="Times New Roman"/>
                <w:color w:val="00000A"/>
                <w:sz w:val="24"/>
              </w:rPr>
              <w:t xml:space="preserve">67,857 </w:t>
            </w:r>
          </w:p>
        </w:tc>
      </w:tr>
    </w:tbl>
    <w:p w:rsidR="0052701D" w:rsidRDefault="00D40929">
      <w:pPr>
        <w:spacing w:after="29"/>
        <w:ind w:left="721"/>
      </w:pPr>
      <w:r>
        <w:rPr>
          <w:rFonts w:ascii="Times New Roman" w:eastAsia="Times New Roman" w:hAnsi="Times New Roman" w:cs="Times New Roman"/>
          <w:b/>
          <w:color w:val="00000A"/>
          <w:sz w:val="28"/>
        </w:rPr>
        <w:t xml:space="preserve"> </w:t>
      </w:r>
    </w:p>
    <w:p w:rsidR="0052701D" w:rsidRDefault="00D40929">
      <w:pPr>
        <w:spacing w:after="0" w:line="271" w:lineRule="auto"/>
        <w:ind w:left="716" w:right="30" w:hanging="10"/>
        <w:jc w:val="both"/>
      </w:pPr>
      <w:r>
        <w:rPr>
          <w:rFonts w:ascii="Times New Roman" w:eastAsia="Times New Roman" w:hAnsi="Times New Roman" w:cs="Times New Roman"/>
          <w:b/>
          <w:color w:val="00000A"/>
          <w:sz w:val="28"/>
        </w:rPr>
        <w:t xml:space="preserve">Выводы </w:t>
      </w:r>
    </w:p>
    <w:p w:rsidR="0052701D" w:rsidRDefault="00D40929">
      <w:pPr>
        <w:spacing w:after="4" w:line="257" w:lineRule="auto"/>
        <w:ind w:left="-15" w:right="37" w:firstLine="711"/>
        <w:jc w:val="both"/>
      </w:pPr>
      <w:r>
        <w:rPr>
          <w:rFonts w:ascii="Times New Roman" w:eastAsia="Times New Roman" w:hAnsi="Times New Roman" w:cs="Times New Roman"/>
          <w:color w:val="00000A"/>
          <w:sz w:val="28"/>
        </w:rPr>
        <w:t>Способ автоматического и непрерывного изменения крутящего момента и скорости вращения выходного вала в зависимости от сопротивления движению, при котором крутящий момент передают от двигателя на передаточный зубчатый механизм с двумя степенями свободы, сод</w:t>
      </w:r>
      <w:r>
        <w:rPr>
          <w:rFonts w:ascii="Times New Roman" w:eastAsia="Times New Roman" w:hAnsi="Times New Roman" w:cs="Times New Roman"/>
          <w:color w:val="00000A"/>
          <w:sz w:val="28"/>
        </w:rPr>
        <w:t xml:space="preserve">ержащий дополнительную дифференциальную связь. </w:t>
      </w:r>
    </w:p>
    <w:p w:rsidR="0052701D" w:rsidRDefault="00D40929">
      <w:pPr>
        <w:spacing w:after="4" w:line="257" w:lineRule="auto"/>
        <w:ind w:left="-15" w:right="37" w:firstLine="711"/>
        <w:jc w:val="both"/>
      </w:pPr>
      <w:r>
        <w:rPr>
          <w:rFonts w:ascii="Times New Roman" w:eastAsia="Times New Roman" w:hAnsi="Times New Roman" w:cs="Times New Roman"/>
          <w:color w:val="00000A"/>
          <w:sz w:val="28"/>
        </w:rPr>
        <w:t>При передачи крутящего момента зубчатый механизм выполняют в виде планетарного механизма, содержащего два центральных колеса, сателлит и водило, a дифференциальную связь выполняют в виде регулируемой фрикцион</w:t>
      </w:r>
      <w:r>
        <w:rPr>
          <w:rFonts w:ascii="Times New Roman" w:eastAsia="Times New Roman" w:hAnsi="Times New Roman" w:cs="Times New Roman"/>
          <w:color w:val="00000A"/>
          <w:sz w:val="28"/>
        </w:rPr>
        <w:t xml:space="preserve">ной муфты, соединяющей центральные колеса и содержащей фрикционную прокладку и натяжной винт, создающий натяжное усилие </w:t>
      </w:r>
      <w:r>
        <w:rPr>
          <w:rFonts w:ascii="Cambria Math" w:eastAsia="Cambria Math" w:hAnsi="Cambria Math" w:cs="Cambria Math"/>
          <w:color w:val="00000A"/>
          <w:sz w:val="28"/>
        </w:rPr>
        <w:t>𝑁</w:t>
      </w:r>
      <w:r>
        <w:rPr>
          <w:rFonts w:ascii="Times New Roman" w:eastAsia="Times New Roman" w:hAnsi="Times New Roman" w:cs="Times New Roman"/>
          <w:color w:val="00000A"/>
          <w:sz w:val="28"/>
        </w:rPr>
        <w:t xml:space="preserve"> (см. формула 7) от входного момента </w:t>
      </w:r>
      <w:r>
        <w:rPr>
          <w:rFonts w:ascii="Times New Roman" w:eastAsia="Times New Roman" w:hAnsi="Times New Roman" w:cs="Times New Roman"/>
          <w:i/>
          <w:color w:val="00000A"/>
          <w:sz w:val="28"/>
        </w:rPr>
        <w:t>М</w:t>
      </w:r>
      <w:r>
        <w:rPr>
          <w:rFonts w:ascii="Times New Roman" w:eastAsia="Times New Roman" w:hAnsi="Times New Roman" w:cs="Times New Roman"/>
          <w:i/>
          <w:color w:val="00000A"/>
          <w:sz w:val="28"/>
          <w:vertAlign w:val="subscript"/>
        </w:rPr>
        <w:t>1</w:t>
      </w:r>
      <w:r>
        <w:rPr>
          <w:rFonts w:ascii="Times New Roman" w:eastAsia="Times New Roman" w:hAnsi="Times New Roman" w:cs="Times New Roman"/>
          <w:color w:val="00000A"/>
          <w:sz w:val="28"/>
        </w:rPr>
        <w:t xml:space="preserve">, радиусов колес </w:t>
      </w:r>
      <w:r>
        <w:rPr>
          <w:rFonts w:ascii="Times New Roman" w:eastAsia="Times New Roman" w:hAnsi="Times New Roman" w:cs="Times New Roman"/>
          <w:i/>
          <w:color w:val="00000A"/>
          <w:sz w:val="28"/>
        </w:rPr>
        <w:t>r</w:t>
      </w:r>
      <w:r>
        <w:rPr>
          <w:rFonts w:ascii="Times New Roman" w:eastAsia="Times New Roman" w:hAnsi="Times New Roman" w:cs="Times New Roman"/>
          <w:i/>
          <w:color w:val="00000A"/>
          <w:sz w:val="28"/>
          <w:vertAlign w:val="subscript"/>
        </w:rPr>
        <w:t>i</w:t>
      </w:r>
      <w:r>
        <w:rPr>
          <w:rFonts w:ascii="Times New Roman" w:eastAsia="Times New Roman" w:hAnsi="Times New Roman" w:cs="Times New Roman"/>
          <w:color w:val="00000A"/>
          <w:sz w:val="28"/>
        </w:rPr>
        <w:t xml:space="preserve">, </w:t>
      </w:r>
      <w:r>
        <w:rPr>
          <w:rFonts w:ascii="Times New Roman" w:eastAsia="Times New Roman" w:hAnsi="Times New Roman" w:cs="Times New Roman"/>
          <w:i/>
          <w:color w:val="00000A"/>
          <w:sz w:val="28"/>
        </w:rPr>
        <w:t>i =</w:t>
      </w:r>
      <w:r>
        <w:rPr>
          <w:rFonts w:ascii="Times New Roman" w:eastAsia="Times New Roman" w:hAnsi="Times New Roman" w:cs="Times New Roman"/>
          <w:color w:val="00000A"/>
          <w:sz w:val="28"/>
        </w:rPr>
        <w:t xml:space="preserve">1, 2, 2’, 3, коэффициента трения </w:t>
      </w:r>
      <w:r>
        <w:rPr>
          <w:rFonts w:ascii="Cambria Math" w:eastAsia="Cambria Math" w:hAnsi="Cambria Math" w:cs="Cambria Math"/>
          <w:color w:val="00000A"/>
          <w:sz w:val="28"/>
        </w:rPr>
        <w:t>𝑓</w:t>
      </w:r>
      <w:r>
        <w:rPr>
          <w:rFonts w:ascii="Times New Roman" w:eastAsia="Times New Roman" w:hAnsi="Times New Roman" w:cs="Times New Roman"/>
          <w:color w:val="00000A"/>
          <w:sz w:val="28"/>
        </w:rPr>
        <w:t>, радиуса цапфы фрикционного шарнира</w:t>
      </w:r>
      <w:r>
        <w:rPr>
          <w:rFonts w:ascii="Times New Roman" w:eastAsia="Times New Roman" w:hAnsi="Times New Roman" w:cs="Times New Roman"/>
          <w:color w:val="00000A"/>
          <w:sz w:val="28"/>
        </w:rPr>
        <w:t xml:space="preserve"> </w:t>
      </w:r>
      <w:r>
        <w:rPr>
          <w:rFonts w:ascii="Cambria Math" w:eastAsia="Cambria Math" w:hAnsi="Cambria Math" w:cs="Cambria Math"/>
          <w:sz w:val="24"/>
        </w:rPr>
        <w:t>𝜌</w:t>
      </w:r>
      <w:r>
        <w:rPr>
          <w:rFonts w:ascii="Times New Roman" w:eastAsia="Times New Roman" w:hAnsi="Times New Roman" w:cs="Times New Roman"/>
          <w:color w:val="00000A"/>
          <w:sz w:val="28"/>
        </w:rPr>
        <w:t xml:space="preserve">.   </w:t>
      </w:r>
    </w:p>
    <w:p w:rsidR="0052701D" w:rsidRDefault="00D40929">
      <w:pPr>
        <w:spacing w:after="4" w:line="257" w:lineRule="auto"/>
        <w:ind w:left="-15" w:right="37" w:firstLine="711"/>
        <w:jc w:val="both"/>
      </w:pPr>
      <w:r>
        <w:rPr>
          <w:rFonts w:ascii="Times New Roman" w:eastAsia="Times New Roman" w:hAnsi="Times New Roman" w:cs="Times New Roman"/>
          <w:color w:val="00000A"/>
          <w:sz w:val="28"/>
        </w:rPr>
        <w:t xml:space="preserve">Технический результат способа заключается в том, что зубчатый механизм выполняют в виде планетарного механизма, содержащего два центральных колеса, сателлит и водило, a дифференциальную связь выполняют в виде </w:t>
      </w:r>
      <w:r>
        <w:rPr>
          <w:rFonts w:ascii="Times New Roman" w:eastAsia="Times New Roman" w:hAnsi="Times New Roman" w:cs="Times New Roman"/>
          <w:color w:val="00000A"/>
          <w:sz w:val="28"/>
        </w:rPr>
        <w:lastRenderedPageBreak/>
        <w:t>регулируемой фрикционной муфты, соединя</w:t>
      </w:r>
      <w:r>
        <w:rPr>
          <w:rFonts w:ascii="Times New Roman" w:eastAsia="Times New Roman" w:hAnsi="Times New Roman" w:cs="Times New Roman"/>
          <w:color w:val="00000A"/>
          <w:sz w:val="28"/>
        </w:rPr>
        <w:t>ющей центральные колеса и содержащей фрикционную прокладку и натяжной винт.</w:t>
      </w:r>
      <w:r>
        <w:rPr>
          <w:rFonts w:ascii="Times New Roman" w:eastAsia="Times New Roman" w:hAnsi="Times New Roman" w:cs="Times New Roman"/>
          <w:color w:val="00000A"/>
        </w:rPr>
        <w:t xml:space="preserve"> </w:t>
      </w:r>
    </w:p>
    <w:p w:rsidR="0052701D" w:rsidRDefault="00D40929">
      <w:pPr>
        <w:spacing w:after="32"/>
      </w:pPr>
      <w:r>
        <w:rPr>
          <w:rFonts w:ascii="Times New Roman" w:eastAsia="Times New Roman" w:hAnsi="Times New Roman" w:cs="Times New Roman"/>
          <w:color w:val="00000A"/>
          <w:sz w:val="24"/>
        </w:rPr>
        <w:t xml:space="preserve"> </w:t>
      </w:r>
    </w:p>
    <w:p w:rsidR="0052701D" w:rsidRDefault="00D40929">
      <w:pPr>
        <w:spacing w:after="147" w:line="248" w:lineRule="auto"/>
        <w:ind w:left="819" w:right="845" w:hanging="10"/>
        <w:jc w:val="center"/>
      </w:pPr>
      <w:r>
        <w:rPr>
          <w:rFonts w:ascii="Times New Roman" w:eastAsia="Times New Roman" w:hAnsi="Times New Roman" w:cs="Times New Roman"/>
          <w:b/>
          <w:sz w:val="24"/>
        </w:rPr>
        <w:t xml:space="preserve">Источники </w:t>
      </w:r>
    </w:p>
    <w:p w:rsidR="0052701D" w:rsidRDefault="00D40929">
      <w:pPr>
        <w:numPr>
          <w:ilvl w:val="0"/>
          <w:numId w:val="12"/>
        </w:numPr>
        <w:spacing w:after="29" w:line="248" w:lineRule="auto"/>
        <w:ind w:right="14" w:firstLine="711"/>
        <w:jc w:val="both"/>
      </w:pPr>
      <w:r>
        <w:rPr>
          <w:rFonts w:ascii="Times New Roman" w:eastAsia="Times New Roman" w:hAnsi="Times New Roman" w:cs="Times New Roman"/>
          <w:sz w:val="24"/>
        </w:rPr>
        <w:t xml:space="preserve">Патентная заявка № 2022/0418.1 от 30.06.2022 </w:t>
      </w:r>
    </w:p>
    <w:p w:rsidR="0052701D" w:rsidRDefault="00D40929">
      <w:pPr>
        <w:numPr>
          <w:ilvl w:val="0"/>
          <w:numId w:val="12"/>
        </w:numPr>
        <w:spacing w:after="29" w:line="248" w:lineRule="auto"/>
        <w:ind w:right="14" w:firstLine="711"/>
        <w:jc w:val="both"/>
      </w:pPr>
      <w:r>
        <w:rPr>
          <w:rFonts w:ascii="Times New Roman" w:eastAsia="Times New Roman" w:hAnsi="Times New Roman" w:cs="Times New Roman"/>
          <w:sz w:val="24"/>
        </w:rPr>
        <w:t xml:space="preserve">Танки. Основы теории и конструкции. М.: Издание Военной ордена Ленина Краснознаменной академии бронетанковых войск имени Маршала Советского Союза </w:t>
      </w:r>
    </w:p>
    <w:p w:rsidR="0052701D" w:rsidRDefault="00D40929">
      <w:pPr>
        <w:spacing w:after="29" w:line="248" w:lineRule="auto"/>
        <w:ind w:left="9" w:right="14"/>
        <w:jc w:val="both"/>
      </w:pPr>
      <w:r>
        <w:rPr>
          <w:rFonts w:ascii="Times New Roman" w:eastAsia="Times New Roman" w:hAnsi="Times New Roman" w:cs="Times New Roman"/>
          <w:sz w:val="24"/>
        </w:rPr>
        <w:t xml:space="preserve">Малиновского Р.Я., 1968, с. 144 – 165  </w:t>
      </w:r>
    </w:p>
    <w:p w:rsidR="0052701D" w:rsidRDefault="00D40929">
      <w:pPr>
        <w:numPr>
          <w:ilvl w:val="0"/>
          <w:numId w:val="12"/>
        </w:numPr>
        <w:spacing w:after="29" w:line="248" w:lineRule="auto"/>
        <w:ind w:right="14" w:firstLine="711"/>
        <w:jc w:val="both"/>
      </w:pPr>
      <w:r>
        <w:rPr>
          <w:rFonts w:ascii="Times New Roman" w:eastAsia="Times New Roman" w:hAnsi="Times New Roman" w:cs="Times New Roman"/>
          <w:sz w:val="24"/>
        </w:rPr>
        <w:t xml:space="preserve">Патент России № 2234626, Кл. F 16 H 47/08. 2004  </w:t>
      </w:r>
    </w:p>
    <w:p w:rsidR="0052701D" w:rsidRDefault="00D40929">
      <w:pPr>
        <w:numPr>
          <w:ilvl w:val="0"/>
          <w:numId w:val="12"/>
        </w:numPr>
        <w:spacing w:after="29" w:line="248" w:lineRule="auto"/>
        <w:ind w:right="14" w:firstLine="711"/>
        <w:jc w:val="both"/>
      </w:pPr>
      <w:r>
        <w:rPr>
          <w:rFonts w:ascii="Times New Roman" w:eastAsia="Times New Roman" w:hAnsi="Times New Roman" w:cs="Times New Roman"/>
          <w:sz w:val="24"/>
        </w:rPr>
        <w:t>Предварительный пат</w:t>
      </w:r>
      <w:r>
        <w:rPr>
          <w:rFonts w:ascii="Times New Roman" w:eastAsia="Times New Roman" w:hAnsi="Times New Roman" w:cs="Times New Roman"/>
          <w:sz w:val="24"/>
        </w:rPr>
        <w:t xml:space="preserve">ент РК №14477, Кл. F16H 1/00, 1/28, 61/25, 2004 г </w:t>
      </w:r>
    </w:p>
    <w:p w:rsidR="0052701D" w:rsidRDefault="00D40929">
      <w:pPr>
        <w:numPr>
          <w:ilvl w:val="0"/>
          <w:numId w:val="12"/>
        </w:numPr>
        <w:spacing w:after="29" w:line="248" w:lineRule="auto"/>
        <w:ind w:right="14" w:firstLine="711"/>
        <w:jc w:val="both"/>
      </w:pPr>
      <w:r>
        <w:rPr>
          <w:rFonts w:ascii="Times New Roman" w:eastAsia="Times New Roman" w:hAnsi="Times New Roman" w:cs="Times New Roman"/>
          <w:sz w:val="24"/>
        </w:rPr>
        <w:t xml:space="preserve">Инновационный патент РК №26107, Кл. F04D 3/04, 2011  </w:t>
      </w:r>
    </w:p>
    <w:p w:rsidR="0052701D" w:rsidRDefault="00D40929">
      <w:pPr>
        <w:numPr>
          <w:ilvl w:val="0"/>
          <w:numId w:val="12"/>
        </w:numPr>
        <w:spacing w:after="29" w:line="248" w:lineRule="auto"/>
        <w:ind w:right="14" w:firstLine="711"/>
        <w:jc w:val="both"/>
      </w:pPr>
      <w:r>
        <w:rPr>
          <w:rFonts w:ascii="Times New Roman" w:eastAsia="Times New Roman" w:hAnsi="Times New Roman" w:cs="Times New Roman"/>
          <w:sz w:val="24"/>
        </w:rPr>
        <w:t xml:space="preserve">Патент Казахстана № 34402, Кл. F 16 H 1/00, F16H 1/28, F16H 47/08, 2010  </w:t>
      </w:r>
    </w:p>
    <w:p w:rsidR="0052701D" w:rsidRDefault="00D40929">
      <w:pPr>
        <w:numPr>
          <w:ilvl w:val="0"/>
          <w:numId w:val="12"/>
        </w:numPr>
        <w:spacing w:after="0" w:line="248" w:lineRule="auto"/>
        <w:ind w:right="14" w:firstLine="711"/>
        <w:jc w:val="both"/>
      </w:pPr>
      <w:r>
        <w:rPr>
          <w:rFonts w:ascii="Times New Roman" w:eastAsia="Times New Roman" w:hAnsi="Times New Roman" w:cs="Times New Roman"/>
          <w:sz w:val="24"/>
        </w:rPr>
        <w:t xml:space="preserve">Ivanov K.S., Yaroslavceva E.K. Getriebe und Einrichtung zur Drehmoment – </w:t>
      </w:r>
      <w:r>
        <w:rPr>
          <w:rFonts w:ascii="Times New Roman" w:eastAsia="Times New Roman" w:hAnsi="Times New Roman" w:cs="Times New Roman"/>
          <w:sz w:val="24"/>
        </w:rPr>
        <w:t xml:space="preserve">und Abtriebsdrehzahlanderung je nach Fahrwiderstand. Urkunde uber die Eintragung des Gebrauchsmusters Nr 21 2018 000 129. http://depatisnet.dpma.de. Bundesrepublik Deutschland.21.08.2019 </w:t>
      </w:r>
    </w:p>
    <w:p w:rsidR="0052701D" w:rsidRDefault="00D40929">
      <w:pPr>
        <w:spacing w:after="0"/>
        <w:ind w:left="711"/>
      </w:pPr>
      <w:r>
        <w:rPr>
          <w:rFonts w:ascii="Times New Roman" w:eastAsia="Times New Roman" w:hAnsi="Times New Roman" w:cs="Times New Roman"/>
          <w:color w:val="00000A"/>
        </w:rPr>
        <w:t xml:space="preserve"> </w:t>
      </w:r>
    </w:p>
    <w:p w:rsidR="0052701D" w:rsidRDefault="00D40929">
      <w:pPr>
        <w:spacing w:after="0"/>
        <w:ind w:left="711"/>
      </w:pPr>
      <w:r>
        <w:rPr>
          <w:rFonts w:ascii="Times New Roman" w:eastAsia="Times New Roman" w:hAnsi="Times New Roman" w:cs="Times New Roman"/>
          <w:color w:val="00000A"/>
        </w:rPr>
        <w:t xml:space="preserve"> </w:t>
      </w:r>
    </w:p>
    <w:p w:rsidR="0052701D" w:rsidRDefault="00D40929">
      <w:pPr>
        <w:spacing w:after="46"/>
      </w:pPr>
      <w:r>
        <w:rPr>
          <w:rFonts w:ascii="Times New Roman" w:eastAsia="Times New Roman" w:hAnsi="Times New Roman" w:cs="Times New Roman"/>
          <w:color w:val="00000A"/>
        </w:rPr>
        <w:t xml:space="preserve"> </w:t>
      </w:r>
    </w:p>
    <w:p w:rsidR="0052701D" w:rsidRDefault="00D40929">
      <w:pPr>
        <w:spacing w:after="4" w:line="271" w:lineRule="auto"/>
        <w:ind w:left="-5" w:right="194" w:hanging="10"/>
      </w:pPr>
      <w:r>
        <w:rPr>
          <w:rFonts w:ascii="Times New Roman" w:eastAsia="Times New Roman" w:hAnsi="Times New Roman" w:cs="Times New Roman"/>
          <w:b/>
          <w:sz w:val="24"/>
        </w:rPr>
        <w:t xml:space="preserve">УДК: 004.05 </w:t>
      </w:r>
    </w:p>
    <w:p w:rsidR="0052701D" w:rsidRDefault="00D40929">
      <w:pPr>
        <w:spacing w:after="0"/>
      </w:pPr>
      <w:r>
        <w:rPr>
          <w:rFonts w:ascii="Times New Roman" w:eastAsia="Times New Roman" w:hAnsi="Times New Roman" w:cs="Times New Roman"/>
          <w:sz w:val="28"/>
        </w:rPr>
        <w:t xml:space="preserve"> </w:t>
      </w:r>
    </w:p>
    <w:p w:rsidR="0052701D" w:rsidRDefault="00D40929">
      <w:pPr>
        <w:pStyle w:val="1"/>
        <w:ind w:left="173" w:right="200"/>
      </w:pPr>
      <w:r>
        <w:t xml:space="preserve">ПОДХОД К ОЦЕНКЕ КАЧЕСТВА ПРОГРАММНЫХ СРЕДСТВ С </w:t>
      </w:r>
    </w:p>
    <w:p w:rsidR="0052701D" w:rsidRDefault="00D40929">
      <w:pPr>
        <w:spacing w:after="5" w:line="271" w:lineRule="auto"/>
        <w:ind w:left="173" w:right="200" w:hanging="10"/>
        <w:jc w:val="center"/>
      </w:pPr>
      <w:r>
        <w:rPr>
          <w:rFonts w:ascii="Times New Roman" w:eastAsia="Times New Roman" w:hAnsi="Times New Roman" w:cs="Times New Roman"/>
          <w:b/>
          <w:sz w:val="28"/>
        </w:rPr>
        <w:t xml:space="preserve">УЧЕТОМ РИСКОВ </w:t>
      </w:r>
    </w:p>
    <w:p w:rsidR="0052701D" w:rsidRDefault="00D40929">
      <w:pPr>
        <w:spacing w:after="6"/>
        <w:ind w:left="21"/>
        <w:jc w:val="center"/>
      </w:pPr>
      <w:r>
        <w:rPr>
          <w:rFonts w:ascii="Times New Roman" w:eastAsia="Times New Roman" w:hAnsi="Times New Roman" w:cs="Times New Roman"/>
          <w:b/>
          <w:sz w:val="24"/>
        </w:rPr>
        <w:t xml:space="preserve"> </w:t>
      </w:r>
    </w:p>
    <w:p w:rsidR="0052701D" w:rsidRDefault="00D40929">
      <w:pPr>
        <w:spacing w:after="29" w:line="248" w:lineRule="auto"/>
        <w:ind w:left="96" w:right="14"/>
        <w:jc w:val="both"/>
      </w:pPr>
      <w:r>
        <w:rPr>
          <w:rFonts w:ascii="Times New Roman" w:eastAsia="Times New Roman" w:hAnsi="Times New Roman" w:cs="Times New Roman"/>
          <w:b/>
          <w:sz w:val="24"/>
          <w:vertAlign w:val="superscript"/>
        </w:rPr>
        <w:t>1</w:t>
      </w:r>
      <w:r>
        <w:rPr>
          <w:rFonts w:ascii="Times New Roman" w:eastAsia="Times New Roman" w:hAnsi="Times New Roman" w:cs="Times New Roman"/>
          <w:b/>
          <w:sz w:val="24"/>
        </w:rPr>
        <w:t xml:space="preserve"> </w:t>
      </w:r>
      <w:r>
        <w:rPr>
          <w:rFonts w:ascii="Times New Roman" w:eastAsia="Times New Roman" w:hAnsi="Times New Roman" w:cs="Times New Roman"/>
          <w:sz w:val="24"/>
        </w:rPr>
        <w:t>Исмаил</w:t>
      </w:r>
      <w:r>
        <w:t xml:space="preserve"> </w:t>
      </w:r>
      <w:r>
        <w:rPr>
          <w:rFonts w:ascii="Times New Roman" w:eastAsia="Times New Roman" w:hAnsi="Times New Roman" w:cs="Times New Roman"/>
          <w:sz w:val="24"/>
        </w:rPr>
        <w:t xml:space="preserve">Есмагамбет Есмагзамулы , </w:t>
      </w:r>
      <w:r>
        <w:rPr>
          <w:rFonts w:ascii="Times New Roman" w:eastAsia="Times New Roman" w:hAnsi="Times New Roman" w:cs="Times New Roman"/>
          <w:sz w:val="24"/>
          <w:vertAlign w:val="superscript"/>
        </w:rPr>
        <w:t xml:space="preserve">1,2 </w:t>
      </w:r>
      <w:r>
        <w:rPr>
          <w:rFonts w:ascii="Times New Roman" w:eastAsia="Times New Roman" w:hAnsi="Times New Roman" w:cs="Times New Roman"/>
          <w:sz w:val="24"/>
        </w:rPr>
        <w:t xml:space="preserve">Утелиева Нуршат Карлыбаевна, </w:t>
      </w:r>
      <w:r>
        <w:rPr>
          <w:rFonts w:ascii="Times New Roman" w:eastAsia="Times New Roman" w:hAnsi="Times New Roman" w:cs="Times New Roman"/>
          <w:sz w:val="24"/>
          <w:vertAlign w:val="superscript"/>
        </w:rPr>
        <w:t>1</w:t>
      </w:r>
      <w:r>
        <w:rPr>
          <w:rFonts w:ascii="Times New Roman" w:eastAsia="Times New Roman" w:hAnsi="Times New Roman" w:cs="Times New Roman"/>
          <w:sz w:val="24"/>
        </w:rPr>
        <w:t>Смагулова Жулдыз</w:t>
      </w:r>
      <w:r>
        <w:rPr>
          <w:rFonts w:ascii="Times New Roman" w:eastAsia="Times New Roman" w:hAnsi="Times New Roman" w:cs="Times New Roman"/>
          <w:b/>
          <w:sz w:val="24"/>
        </w:rPr>
        <w:t xml:space="preserve">  </w:t>
      </w:r>
    </w:p>
    <w:p w:rsidR="0052701D" w:rsidRDefault="00D40929">
      <w:pPr>
        <w:spacing w:after="9" w:line="311" w:lineRule="auto"/>
        <w:ind w:left="897" w:right="808" w:hanging="10"/>
        <w:jc w:val="center"/>
      </w:pPr>
      <w:r>
        <w:rPr>
          <w:rFonts w:ascii="Times New Roman" w:eastAsia="Times New Roman" w:hAnsi="Times New Roman" w:cs="Times New Roman"/>
          <w:sz w:val="14"/>
        </w:rPr>
        <w:t xml:space="preserve">1 </w:t>
      </w:r>
      <w:r>
        <w:rPr>
          <w:rFonts w:ascii="Times New Roman" w:eastAsia="Times New Roman" w:hAnsi="Times New Roman" w:cs="Times New Roman"/>
        </w:rPr>
        <w:t xml:space="preserve">НАО «Алматинский университет энергетики и связи имени Гумарбека Даукеева»  </w:t>
      </w:r>
      <w:r>
        <w:rPr>
          <w:rFonts w:ascii="Times New Roman" w:eastAsia="Times New Roman" w:hAnsi="Times New Roman" w:cs="Times New Roman"/>
          <w:vertAlign w:val="superscript"/>
        </w:rPr>
        <w:t xml:space="preserve">2 </w:t>
      </w:r>
      <w:r>
        <w:rPr>
          <w:rFonts w:ascii="Times New Roman" w:eastAsia="Times New Roman" w:hAnsi="Times New Roman" w:cs="Times New Roman"/>
        </w:rPr>
        <w:t xml:space="preserve">Казахский Национальный университет имени аль-Фараби  </w:t>
      </w:r>
    </w:p>
    <w:p w:rsidR="0052701D" w:rsidRDefault="00D40929">
      <w:pPr>
        <w:spacing w:after="9" w:line="248" w:lineRule="auto"/>
        <w:ind w:left="897" w:right="929" w:hanging="10"/>
        <w:jc w:val="center"/>
      </w:pPr>
      <w:r>
        <w:rPr>
          <w:rFonts w:ascii="Times New Roman" w:eastAsia="Times New Roman" w:hAnsi="Times New Roman" w:cs="Times New Roman"/>
        </w:rPr>
        <w:t xml:space="preserve">г.Алматы, Казахстан </w:t>
      </w:r>
    </w:p>
    <w:p w:rsidR="0052701D" w:rsidRDefault="00D40929">
      <w:pPr>
        <w:spacing w:after="9" w:line="248" w:lineRule="auto"/>
        <w:ind w:left="897" w:right="924" w:hanging="10"/>
        <w:jc w:val="center"/>
      </w:pPr>
      <w:r>
        <w:rPr>
          <w:rFonts w:ascii="Times New Roman" w:eastAsia="Times New Roman" w:hAnsi="Times New Roman" w:cs="Times New Roman"/>
        </w:rPr>
        <w:t>e-mail:e.ismail@aues.kz</w:t>
      </w:r>
      <w:r>
        <w:rPr>
          <w:rFonts w:ascii="Times New Roman" w:eastAsia="Times New Roman" w:hAnsi="Times New Roman" w:cs="Times New Roman"/>
          <w:u w:val="single" w:color="000000"/>
        </w:rPr>
        <w:t>,</w:t>
      </w:r>
      <w:r>
        <w:rPr>
          <w:rFonts w:ascii="Times New Roman" w:eastAsia="Times New Roman" w:hAnsi="Times New Roman" w:cs="Times New Roman"/>
          <w:b/>
          <w:u w:val="single" w:color="000000"/>
        </w:rPr>
        <w:t xml:space="preserve"> </w:t>
      </w:r>
      <w:r>
        <w:rPr>
          <w:rFonts w:ascii="Times New Roman" w:eastAsia="Times New Roman" w:hAnsi="Times New Roman" w:cs="Times New Roman"/>
        </w:rPr>
        <w:t>n.utelyeva@aues.kz</w:t>
      </w:r>
      <w:r>
        <w:rPr>
          <w:rFonts w:ascii="Times New Roman" w:eastAsia="Times New Roman" w:hAnsi="Times New Roman" w:cs="Times New Roman"/>
          <w:color w:val="0563C1"/>
          <w:u w:val="single" w:color="0563C1"/>
        </w:rPr>
        <w:t xml:space="preserve">, </w:t>
      </w:r>
      <w:r>
        <w:rPr>
          <w:rFonts w:ascii="Times New Roman" w:eastAsia="Times New Roman" w:hAnsi="Times New Roman" w:cs="Times New Roman"/>
        </w:rPr>
        <w:t xml:space="preserve">zh.smagulova@aues.kz  </w:t>
      </w:r>
    </w:p>
    <w:p w:rsidR="0052701D" w:rsidRDefault="00D40929">
      <w:pPr>
        <w:spacing w:after="21"/>
        <w:ind w:left="567"/>
      </w:pPr>
      <w:r>
        <w:rPr>
          <w:rFonts w:ascii="Times New Roman" w:eastAsia="Times New Roman" w:hAnsi="Times New Roman" w:cs="Times New Roman"/>
          <w:sz w:val="24"/>
        </w:rPr>
        <w:t xml:space="preserve"> </w:t>
      </w:r>
    </w:p>
    <w:p w:rsidR="0052701D" w:rsidRDefault="00D40929">
      <w:pPr>
        <w:spacing w:after="7" w:line="248" w:lineRule="auto"/>
        <w:ind w:left="9" w:firstLine="711"/>
        <w:jc w:val="both"/>
      </w:pPr>
      <w:r>
        <w:rPr>
          <w:rFonts w:ascii="Times New Roman" w:eastAsia="Times New Roman" w:hAnsi="Times New Roman" w:cs="Times New Roman"/>
          <w:b/>
          <w:i/>
          <w:sz w:val="24"/>
        </w:rPr>
        <w:t>Аннотация</w:t>
      </w:r>
      <w:r>
        <w:rPr>
          <w:rFonts w:ascii="Times New Roman" w:eastAsia="Times New Roman" w:hAnsi="Times New Roman" w:cs="Times New Roman"/>
          <w:i/>
          <w:sz w:val="24"/>
        </w:rPr>
        <w:t xml:space="preserve">. </w:t>
      </w:r>
      <w:r>
        <w:rPr>
          <w:rFonts w:ascii="Times New Roman" w:eastAsia="Times New Roman" w:hAnsi="Times New Roman" w:cs="Times New Roman"/>
          <w:i/>
          <w:sz w:val="24"/>
        </w:rPr>
        <w:t>В настоящее время преобладает подход к оценке качества программного обеспечения (ПО), основанный на моделях качества и не учитывающий связанные с продуктом риски, что не обеспечивает получение результатов оценки качества с достаточной степенью объективност</w:t>
      </w:r>
      <w:r>
        <w:rPr>
          <w:rFonts w:ascii="Times New Roman" w:eastAsia="Times New Roman" w:hAnsi="Times New Roman" w:cs="Times New Roman"/>
          <w:i/>
          <w:sz w:val="24"/>
        </w:rPr>
        <w:t xml:space="preserve">и. Цель настоящей работы - совершенствование существующей методологии оценки качества ПО на основе внедрения элементов управления рисками, что будет способствовать повышению эффективности оценки качества.  </w:t>
      </w:r>
    </w:p>
    <w:p w:rsidR="0052701D" w:rsidRDefault="00D40929">
      <w:pPr>
        <w:spacing w:after="0" w:line="248" w:lineRule="auto"/>
        <w:ind w:left="9" w:firstLine="711"/>
        <w:jc w:val="both"/>
      </w:pPr>
      <w:r>
        <w:rPr>
          <w:rFonts w:ascii="Times New Roman" w:eastAsia="Times New Roman" w:hAnsi="Times New Roman" w:cs="Times New Roman"/>
          <w:i/>
          <w:sz w:val="24"/>
        </w:rPr>
        <w:t>Обоснован и реализован новый подход к оценке каче</w:t>
      </w:r>
      <w:r>
        <w:rPr>
          <w:rFonts w:ascii="Times New Roman" w:eastAsia="Times New Roman" w:hAnsi="Times New Roman" w:cs="Times New Roman"/>
          <w:i/>
          <w:sz w:val="24"/>
        </w:rPr>
        <w:t>ства ПО с учетом рисков на основе интеграции процесса оценки качества ПО с использованием модели качества и процесса оценки рисков качества. Предложено новое определение понятия риска качества ПО, под которым понимается событие несоответствия отдельных хар</w:t>
      </w:r>
      <w:r>
        <w:rPr>
          <w:rFonts w:ascii="Times New Roman" w:eastAsia="Times New Roman" w:hAnsi="Times New Roman" w:cs="Times New Roman"/>
          <w:i/>
          <w:sz w:val="24"/>
        </w:rPr>
        <w:t xml:space="preserve">актеристик </w:t>
      </w:r>
    </w:p>
    <w:p w:rsidR="0052701D" w:rsidRDefault="00D40929">
      <w:pPr>
        <w:spacing w:after="29" w:line="248" w:lineRule="auto"/>
        <w:ind w:left="9"/>
        <w:jc w:val="both"/>
      </w:pPr>
      <w:r>
        <w:rPr>
          <w:rFonts w:ascii="Times New Roman" w:eastAsia="Times New Roman" w:hAnsi="Times New Roman" w:cs="Times New Roman"/>
          <w:i/>
          <w:sz w:val="24"/>
        </w:rPr>
        <w:t xml:space="preserve">(подхарактеристик) качества программного продукта, установленных принятой моделью </w:t>
      </w:r>
      <w:r>
        <w:rPr>
          <w:rFonts w:ascii="Times New Roman" w:eastAsia="Times New Roman" w:hAnsi="Times New Roman" w:cs="Times New Roman"/>
          <w:i/>
          <w:sz w:val="24"/>
        </w:rPr>
        <w:t xml:space="preserve">качества, заданным требованиям, которое является признаком возможного ущерба качеству программного продукта в целом. Выполнена идентификация рисков качества ПО, предложен подход к оценке качества ПО с учетом рисков и алгоритм его реализации. Показано, что </w:t>
      </w:r>
      <w:r>
        <w:rPr>
          <w:rFonts w:ascii="Times New Roman" w:eastAsia="Times New Roman" w:hAnsi="Times New Roman" w:cs="Times New Roman"/>
          <w:i/>
          <w:sz w:val="24"/>
        </w:rPr>
        <w:t>на основе рисков качества (приоритетности рисков) может быть установлена связь с потенциальным количеством дефектов в соответствующем компоненте ПО.</w:t>
      </w:r>
      <w:r>
        <w:rPr>
          <w:rFonts w:ascii="Times New Roman" w:eastAsia="Times New Roman" w:hAnsi="Times New Roman" w:cs="Times New Roman"/>
          <w:sz w:val="24"/>
        </w:rPr>
        <w:t xml:space="preserve"> </w:t>
      </w:r>
    </w:p>
    <w:p w:rsidR="0052701D" w:rsidRDefault="00D40929">
      <w:pPr>
        <w:spacing w:after="29" w:line="248" w:lineRule="auto"/>
        <w:ind w:left="9" w:firstLine="711"/>
        <w:jc w:val="both"/>
      </w:pPr>
      <w:r>
        <w:rPr>
          <w:rFonts w:ascii="Times New Roman" w:eastAsia="Times New Roman" w:hAnsi="Times New Roman" w:cs="Times New Roman"/>
          <w:b/>
          <w:i/>
          <w:sz w:val="24"/>
        </w:rPr>
        <w:lastRenderedPageBreak/>
        <w:t>Ключевые слова:</w:t>
      </w:r>
      <w:r>
        <w:rPr>
          <w:rFonts w:ascii="Times New Roman" w:eastAsia="Times New Roman" w:hAnsi="Times New Roman" w:cs="Times New Roman"/>
          <w:i/>
          <w:sz w:val="24"/>
        </w:rPr>
        <w:t xml:space="preserve"> качество ПО, модель качества ПО, оценка качества ПО, риск качества ПО, алгоритм оценки кач</w:t>
      </w:r>
      <w:r>
        <w:rPr>
          <w:rFonts w:ascii="Times New Roman" w:eastAsia="Times New Roman" w:hAnsi="Times New Roman" w:cs="Times New Roman"/>
          <w:i/>
          <w:sz w:val="24"/>
        </w:rPr>
        <w:t xml:space="preserve">ества ПО с учетом рисков. </w:t>
      </w:r>
    </w:p>
    <w:p w:rsidR="0052701D" w:rsidRDefault="00D40929">
      <w:pPr>
        <w:spacing w:after="0"/>
        <w:ind w:left="711"/>
      </w:pPr>
      <w:r>
        <w:rPr>
          <w:rFonts w:ascii="Times New Roman" w:eastAsia="Times New Roman" w:hAnsi="Times New Roman" w:cs="Times New Roman"/>
          <w:i/>
          <w:sz w:val="28"/>
        </w:rPr>
        <w:t xml:space="preserve"> </w:t>
      </w:r>
    </w:p>
    <w:p w:rsidR="0052701D" w:rsidRDefault="00D40929">
      <w:pPr>
        <w:spacing w:after="5" w:line="271" w:lineRule="auto"/>
        <w:ind w:left="173" w:right="214" w:hanging="10"/>
        <w:jc w:val="center"/>
      </w:pPr>
      <w:r>
        <w:rPr>
          <w:rFonts w:ascii="Times New Roman" w:eastAsia="Times New Roman" w:hAnsi="Times New Roman" w:cs="Times New Roman"/>
          <w:b/>
          <w:sz w:val="28"/>
        </w:rPr>
        <w:t xml:space="preserve">RISK-BASED APPROACH TO SOFTWARE QUALITY ASSESSMENT </w:t>
      </w:r>
    </w:p>
    <w:p w:rsidR="0052701D" w:rsidRDefault="00D40929">
      <w:pPr>
        <w:spacing w:after="0"/>
        <w:ind w:left="31"/>
        <w:jc w:val="center"/>
      </w:pPr>
      <w:r>
        <w:rPr>
          <w:rFonts w:ascii="Times New Roman" w:eastAsia="Times New Roman" w:hAnsi="Times New Roman" w:cs="Times New Roman"/>
          <w:b/>
          <w:sz w:val="28"/>
        </w:rPr>
        <w:t xml:space="preserve"> </w:t>
      </w:r>
    </w:p>
    <w:p w:rsidR="0052701D" w:rsidRDefault="00D40929">
      <w:pPr>
        <w:numPr>
          <w:ilvl w:val="0"/>
          <w:numId w:val="13"/>
        </w:numPr>
        <w:spacing w:after="57" w:line="248" w:lineRule="auto"/>
        <w:ind w:right="482" w:hanging="120"/>
        <w:jc w:val="center"/>
      </w:pPr>
      <w:r>
        <w:rPr>
          <w:rFonts w:ascii="Times New Roman" w:eastAsia="Times New Roman" w:hAnsi="Times New Roman" w:cs="Times New Roman"/>
          <w:b/>
          <w:sz w:val="24"/>
        </w:rPr>
        <w:t xml:space="preserve">Ismail Yesmagambet Yesmagzamuly, </w:t>
      </w:r>
      <w:r>
        <w:rPr>
          <w:rFonts w:ascii="Times New Roman" w:eastAsia="Times New Roman" w:hAnsi="Times New Roman" w:cs="Times New Roman"/>
          <w:b/>
          <w:sz w:val="24"/>
          <w:vertAlign w:val="superscript"/>
        </w:rPr>
        <w:t xml:space="preserve">1,2 </w:t>
      </w:r>
      <w:r>
        <w:rPr>
          <w:rFonts w:ascii="Times New Roman" w:eastAsia="Times New Roman" w:hAnsi="Times New Roman" w:cs="Times New Roman"/>
          <w:b/>
          <w:sz w:val="24"/>
        </w:rPr>
        <w:t xml:space="preserve">Utelieva Nurshat Karlybayevna, </w:t>
      </w:r>
      <w:r>
        <w:rPr>
          <w:rFonts w:ascii="Times New Roman" w:eastAsia="Times New Roman" w:hAnsi="Times New Roman" w:cs="Times New Roman"/>
          <w:b/>
          <w:sz w:val="24"/>
          <w:vertAlign w:val="superscript"/>
        </w:rPr>
        <w:t xml:space="preserve">1 </w:t>
      </w:r>
      <w:r>
        <w:rPr>
          <w:rFonts w:ascii="Times New Roman" w:eastAsia="Times New Roman" w:hAnsi="Times New Roman" w:cs="Times New Roman"/>
          <w:b/>
          <w:sz w:val="24"/>
        </w:rPr>
        <w:t xml:space="preserve">Smagulova </w:t>
      </w:r>
    </w:p>
    <w:p w:rsidR="0052701D" w:rsidRDefault="00D40929">
      <w:pPr>
        <w:spacing w:after="16" w:line="248" w:lineRule="auto"/>
        <w:ind w:left="819" w:right="848" w:hanging="10"/>
        <w:jc w:val="center"/>
      </w:pPr>
      <w:r>
        <w:rPr>
          <w:rFonts w:ascii="Times New Roman" w:eastAsia="Times New Roman" w:hAnsi="Times New Roman" w:cs="Times New Roman"/>
          <w:b/>
          <w:sz w:val="24"/>
        </w:rPr>
        <w:t xml:space="preserve">Zhuldyz </w:t>
      </w:r>
    </w:p>
    <w:p w:rsidR="0052701D" w:rsidRDefault="00D40929">
      <w:pPr>
        <w:spacing w:after="3"/>
        <w:ind w:left="42" w:firstLine="7"/>
        <w:jc w:val="both"/>
      </w:pPr>
      <w:r>
        <w:rPr>
          <w:rFonts w:ascii="Times New Roman" w:eastAsia="Times New Roman" w:hAnsi="Times New Roman" w:cs="Times New Roman"/>
          <w:sz w:val="14"/>
        </w:rPr>
        <w:t xml:space="preserve">1 </w:t>
      </w:r>
    </w:p>
    <w:p w:rsidR="0052701D" w:rsidRDefault="00D40929">
      <w:pPr>
        <w:spacing w:after="24" w:line="250" w:lineRule="auto"/>
        <w:ind w:left="144" w:hanging="10"/>
        <w:jc w:val="both"/>
      </w:pPr>
      <w:r>
        <w:rPr>
          <w:rFonts w:ascii="Times New Roman" w:eastAsia="Times New Roman" w:hAnsi="Times New Roman" w:cs="Times New Roman"/>
        </w:rPr>
        <w:t>Non profit JSC “Almaty University of Power Engineering and Telecommunications na</w:t>
      </w:r>
      <w:r>
        <w:rPr>
          <w:rFonts w:ascii="Times New Roman" w:eastAsia="Times New Roman" w:hAnsi="Times New Roman" w:cs="Times New Roman"/>
        </w:rPr>
        <w:t xml:space="preserve">med after Gumarbek </w:t>
      </w:r>
    </w:p>
    <w:p w:rsidR="0052701D" w:rsidRDefault="00D40929">
      <w:pPr>
        <w:spacing w:after="9" w:line="248" w:lineRule="auto"/>
        <w:ind w:left="897" w:right="929" w:hanging="10"/>
        <w:jc w:val="center"/>
      </w:pPr>
      <w:r>
        <w:rPr>
          <w:rFonts w:ascii="Times New Roman" w:eastAsia="Times New Roman" w:hAnsi="Times New Roman" w:cs="Times New Roman"/>
        </w:rPr>
        <w:t xml:space="preserve">Daukeyev” </w:t>
      </w:r>
    </w:p>
    <w:p w:rsidR="0052701D" w:rsidRDefault="00D40929">
      <w:pPr>
        <w:numPr>
          <w:ilvl w:val="0"/>
          <w:numId w:val="13"/>
        </w:numPr>
        <w:spacing w:after="9" w:line="248" w:lineRule="auto"/>
        <w:ind w:right="482" w:hanging="120"/>
        <w:jc w:val="center"/>
      </w:pPr>
      <w:r>
        <w:rPr>
          <w:rFonts w:ascii="Times New Roman" w:eastAsia="Times New Roman" w:hAnsi="Times New Roman" w:cs="Times New Roman"/>
        </w:rPr>
        <w:t xml:space="preserve">Kazakh National university named after Al-Farabi </w:t>
      </w:r>
    </w:p>
    <w:p w:rsidR="0052701D" w:rsidRDefault="00D40929">
      <w:pPr>
        <w:spacing w:after="9" w:line="248" w:lineRule="auto"/>
        <w:ind w:left="897" w:right="929" w:hanging="10"/>
        <w:jc w:val="center"/>
      </w:pPr>
      <w:r>
        <w:rPr>
          <w:rFonts w:ascii="Times New Roman" w:eastAsia="Times New Roman" w:hAnsi="Times New Roman" w:cs="Times New Roman"/>
        </w:rPr>
        <w:t xml:space="preserve">Almaty, Kazakhstan </w:t>
      </w:r>
    </w:p>
    <w:p w:rsidR="0052701D" w:rsidRDefault="00D40929">
      <w:pPr>
        <w:spacing w:after="9" w:line="248" w:lineRule="auto"/>
        <w:ind w:left="897" w:right="936" w:hanging="10"/>
        <w:jc w:val="center"/>
      </w:pPr>
      <w:r>
        <w:rPr>
          <w:rFonts w:ascii="Times New Roman" w:eastAsia="Times New Roman" w:hAnsi="Times New Roman" w:cs="Times New Roman"/>
        </w:rPr>
        <w:t>e-mail: e.ismail@aues.kz</w:t>
      </w:r>
      <w:r>
        <w:rPr>
          <w:rFonts w:ascii="Times New Roman" w:eastAsia="Times New Roman" w:hAnsi="Times New Roman" w:cs="Times New Roman"/>
          <w:u w:val="single" w:color="000000"/>
        </w:rPr>
        <w:t>,</w:t>
      </w:r>
      <w:r>
        <w:rPr>
          <w:rFonts w:ascii="Times New Roman" w:eastAsia="Times New Roman" w:hAnsi="Times New Roman" w:cs="Times New Roman"/>
          <w:b/>
          <w:u w:val="single" w:color="000000"/>
        </w:rPr>
        <w:t xml:space="preserve"> </w:t>
      </w:r>
      <w:r>
        <w:rPr>
          <w:rFonts w:ascii="Times New Roman" w:eastAsia="Times New Roman" w:hAnsi="Times New Roman" w:cs="Times New Roman"/>
        </w:rPr>
        <w:t>n.utelyeva@aues.kz</w:t>
      </w:r>
      <w:r>
        <w:rPr>
          <w:rFonts w:ascii="Times New Roman" w:eastAsia="Times New Roman" w:hAnsi="Times New Roman" w:cs="Times New Roman"/>
          <w:color w:val="0563C1"/>
          <w:u w:val="single" w:color="0563C1"/>
        </w:rPr>
        <w:t xml:space="preserve">, </w:t>
      </w:r>
      <w:r>
        <w:rPr>
          <w:rFonts w:ascii="Times New Roman" w:eastAsia="Times New Roman" w:hAnsi="Times New Roman" w:cs="Times New Roman"/>
        </w:rPr>
        <w:t xml:space="preserve">zh.smagulova@aues.kz </w:t>
      </w:r>
    </w:p>
    <w:p w:rsidR="0052701D" w:rsidRDefault="00D40929">
      <w:pPr>
        <w:spacing w:after="0"/>
        <w:ind w:left="711"/>
      </w:pPr>
      <w:r>
        <w:rPr>
          <w:rFonts w:ascii="Times New Roman" w:eastAsia="Times New Roman" w:hAnsi="Times New Roman" w:cs="Times New Roman"/>
        </w:rPr>
        <w:t xml:space="preserve"> </w:t>
      </w:r>
    </w:p>
    <w:p w:rsidR="0052701D" w:rsidRDefault="00D40929">
      <w:pPr>
        <w:spacing w:after="0" w:line="248" w:lineRule="auto"/>
        <w:ind w:left="9" w:firstLine="711"/>
        <w:jc w:val="both"/>
      </w:pPr>
      <w:r>
        <w:rPr>
          <w:rFonts w:ascii="Times New Roman" w:eastAsia="Times New Roman" w:hAnsi="Times New Roman" w:cs="Times New Roman"/>
          <w:b/>
          <w:i/>
          <w:sz w:val="24"/>
        </w:rPr>
        <w:t>Abstract.</w:t>
      </w:r>
      <w:r>
        <w:rPr>
          <w:rFonts w:ascii="Times New Roman" w:eastAsia="Times New Roman" w:hAnsi="Times New Roman" w:cs="Times New Roman"/>
          <w:i/>
          <w:sz w:val="24"/>
        </w:rPr>
        <w:t xml:space="preserve"> </w:t>
      </w:r>
      <w:r>
        <w:rPr>
          <w:rFonts w:ascii="Times New Roman" w:eastAsia="Times New Roman" w:hAnsi="Times New Roman" w:cs="Times New Roman"/>
          <w:i/>
          <w:sz w:val="24"/>
        </w:rPr>
        <w:t>Currently, the prevailing approach to assessing the quality of software (SW) is based on quality models and does not take into account the risks associated with the product, which does not provide quality assessment results with a sufficient degree of obje</w:t>
      </w:r>
      <w:r>
        <w:rPr>
          <w:rFonts w:ascii="Times New Roman" w:eastAsia="Times New Roman" w:hAnsi="Times New Roman" w:cs="Times New Roman"/>
          <w:i/>
          <w:sz w:val="24"/>
        </w:rPr>
        <w:t xml:space="preserve">ctivity. The purpose of this work is to improve the existing software quality assessment methodology based on the introduction of risk management elements, which will improve the efficiency of quality assessment. </w:t>
      </w:r>
    </w:p>
    <w:p w:rsidR="0052701D" w:rsidRDefault="00D40929">
      <w:pPr>
        <w:spacing w:after="0" w:line="248" w:lineRule="auto"/>
        <w:ind w:left="9" w:firstLine="711"/>
        <w:jc w:val="both"/>
      </w:pPr>
      <w:r>
        <w:rPr>
          <w:rFonts w:ascii="Times New Roman" w:eastAsia="Times New Roman" w:hAnsi="Times New Roman" w:cs="Times New Roman"/>
          <w:i/>
          <w:sz w:val="24"/>
        </w:rPr>
        <w:t>A new approach to software quality assessm</w:t>
      </w:r>
      <w:r>
        <w:rPr>
          <w:rFonts w:ascii="Times New Roman" w:eastAsia="Times New Roman" w:hAnsi="Times New Roman" w:cs="Times New Roman"/>
          <w:i/>
          <w:sz w:val="24"/>
        </w:rPr>
        <w:t>ent based on risks based on the integration of the software quality assessment process using the quality model and the quality risk assessment process is substantiated and implemented. A new definition of software quality risk is proposed, which is underst</w:t>
      </w:r>
      <w:r>
        <w:rPr>
          <w:rFonts w:ascii="Times New Roman" w:eastAsia="Times New Roman" w:hAnsi="Times New Roman" w:cs="Times New Roman"/>
          <w:i/>
          <w:sz w:val="24"/>
        </w:rPr>
        <w:t>ood as an event of discrepancy between individual characteristics (sub-characteristics) of software product quality, established by the accepted quality model, and specified requirements, which is a sign of possible damage to the quality of the software pr</w:t>
      </w:r>
      <w:r>
        <w:rPr>
          <w:rFonts w:ascii="Times New Roman" w:eastAsia="Times New Roman" w:hAnsi="Times New Roman" w:cs="Times New Roman"/>
          <w:i/>
          <w:sz w:val="24"/>
        </w:rPr>
        <w:t xml:space="preserve">oduct. The software quality risks were identified, an approach to software quality assessment taking into account risks and an algorithm for its implementation were proposed. It is shown that on the basis of quality risks (priority of risks), a connection </w:t>
      </w:r>
      <w:r>
        <w:rPr>
          <w:rFonts w:ascii="Times New Roman" w:eastAsia="Times New Roman" w:hAnsi="Times New Roman" w:cs="Times New Roman"/>
          <w:i/>
          <w:sz w:val="24"/>
        </w:rPr>
        <w:t xml:space="preserve">with the potential number of defects in the corresponding software component can be established. </w:t>
      </w:r>
    </w:p>
    <w:p w:rsidR="0052701D" w:rsidRDefault="00D40929">
      <w:pPr>
        <w:spacing w:after="29" w:line="248" w:lineRule="auto"/>
        <w:ind w:left="9" w:firstLine="711"/>
        <w:jc w:val="both"/>
      </w:pPr>
      <w:r>
        <w:rPr>
          <w:rFonts w:ascii="Times New Roman" w:eastAsia="Times New Roman" w:hAnsi="Times New Roman" w:cs="Times New Roman"/>
          <w:b/>
          <w:i/>
          <w:sz w:val="24"/>
        </w:rPr>
        <w:t xml:space="preserve">Keywords: </w:t>
      </w:r>
      <w:r>
        <w:rPr>
          <w:rFonts w:ascii="Times New Roman" w:eastAsia="Times New Roman" w:hAnsi="Times New Roman" w:cs="Times New Roman"/>
          <w:i/>
          <w:sz w:val="24"/>
        </w:rPr>
        <w:t>software quality, software quality model, software quality assessment, software quality risk, risk-based software quality assessment algorithm.</w:t>
      </w:r>
      <w:r>
        <w:rPr>
          <w:rFonts w:ascii="Times New Roman" w:eastAsia="Times New Roman" w:hAnsi="Times New Roman" w:cs="Times New Roman"/>
          <w:b/>
          <w:i/>
          <w:sz w:val="24"/>
        </w:rPr>
        <w:t xml:space="preserve"> </w:t>
      </w:r>
    </w:p>
    <w:p w:rsidR="0052701D" w:rsidRDefault="00D40929">
      <w:pPr>
        <w:spacing w:after="34"/>
      </w:pPr>
      <w:r>
        <w:rPr>
          <w:rFonts w:ascii="Times New Roman" w:eastAsia="Times New Roman" w:hAnsi="Times New Roman" w:cs="Times New Roman"/>
          <w:sz w:val="28"/>
        </w:rPr>
        <w:t xml:space="preserve"> </w:t>
      </w:r>
    </w:p>
    <w:p w:rsidR="0052701D" w:rsidRDefault="00D40929">
      <w:pPr>
        <w:spacing w:after="5" w:line="251" w:lineRule="auto"/>
        <w:ind w:left="720" w:firstLine="9"/>
      </w:pPr>
      <w:r>
        <w:rPr>
          <w:rFonts w:ascii="Times New Roman" w:eastAsia="Times New Roman" w:hAnsi="Times New Roman" w:cs="Times New Roman"/>
          <w:b/>
          <w:sz w:val="28"/>
        </w:rPr>
        <w:t>В</w:t>
      </w:r>
      <w:r>
        <w:rPr>
          <w:rFonts w:ascii="Times New Roman" w:eastAsia="Times New Roman" w:hAnsi="Times New Roman" w:cs="Times New Roman"/>
          <w:b/>
          <w:sz w:val="28"/>
        </w:rPr>
        <w:t xml:space="preserve">ведение </w:t>
      </w:r>
    </w:p>
    <w:p w:rsidR="0052701D" w:rsidRDefault="00D40929">
      <w:pPr>
        <w:spacing w:after="5" w:line="271" w:lineRule="auto"/>
        <w:ind w:left="9" w:right="64" w:firstLine="711"/>
        <w:jc w:val="both"/>
      </w:pPr>
      <w:r>
        <w:rPr>
          <w:rFonts w:ascii="Times New Roman" w:eastAsia="Times New Roman" w:hAnsi="Times New Roman" w:cs="Times New Roman"/>
          <w:sz w:val="28"/>
        </w:rPr>
        <w:t>Оценка качества любого программного продукта связана с неопределенностью и рисками, что является объективным следствием сущности понятия оценка качества. Понятия «Качество» и «Риск качества» в рамках процесса оценивания качества программного проду</w:t>
      </w:r>
      <w:r>
        <w:rPr>
          <w:rFonts w:ascii="Times New Roman" w:eastAsia="Times New Roman" w:hAnsi="Times New Roman" w:cs="Times New Roman"/>
          <w:sz w:val="28"/>
        </w:rPr>
        <w:t xml:space="preserve">кта тесно связаны и взаимно обуславливают друг друга. </w:t>
      </w:r>
    </w:p>
    <w:p w:rsidR="0052701D" w:rsidRDefault="00D40929">
      <w:pPr>
        <w:spacing w:after="5" w:line="271" w:lineRule="auto"/>
        <w:ind w:left="9" w:right="64" w:firstLine="711"/>
        <w:jc w:val="both"/>
      </w:pPr>
      <w:r>
        <w:rPr>
          <w:rFonts w:ascii="Times New Roman" w:eastAsia="Times New Roman" w:hAnsi="Times New Roman" w:cs="Times New Roman"/>
          <w:sz w:val="28"/>
        </w:rPr>
        <w:t>Под оценкой качества программного продукта понимается систематическое определение степени, с которой объект соответствует заданным критериям [1]. Оценка качества ПО это многокритериальный процесс, кото</w:t>
      </w:r>
      <w:r>
        <w:rPr>
          <w:rFonts w:ascii="Times New Roman" w:eastAsia="Times New Roman" w:hAnsi="Times New Roman" w:cs="Times New Roman"/>
          <w:sz w:val="28"/>
        </w:rPr>
        <w:t>рый объединяет такие действия, как формирование номенклатуры характеристик, показателей и критериев качества, выбор их пороговых значений, измерение фактических значений, сравнение их с пороговыми и определение состояния качества программы. Относительная в</w:t>
      </w:r>
      <w:r>
        <w:rPr>
          <w:rFonts w:ascii="Times New Roman" w:eastAsia="Times New Roman" w:hAnsi="Times New Roman" w:cs="Times New Roman"/>
          <w:sz w:val="28"/>
        </w:rPr>
        <w:t xml:space="preserve">ажность различных характеристик качества программного обеспечения зависит от </w:t>
      </w:r>
      <w:r>
        <w:rPr>
          <w:rFonts w:ascii="Times New Roman" w:eastAsia="Times New Roman" w:hAnsi="Times New Roman" w:cs="Times New Roman"/>
          <w:sz w:val="28"/>
        </w:rPr>
        <w:lastRenderedPageBreak/>
        <w:t xml:space="preserve">предполагаемого использования или задач системы, частью которой это программное обеспечение является. </w:t>
      </w:r>
    </w:p>
    <w:p w:rsidR="0052701D" w:rsidRDefault="00D40929">
      <w:pPr>
        <w:spacing w:after="5" w:line="271" w:lineRule="auto"/>
        <w:ind w:left="9" w:right="64" w:firstLine="711"/>
        <w:jc w:val="both"/>
      </w:pPr>
      <w:r>
        <w:rPr>
          <w:rFonts w:ascii="Times New Roman" w:eastAsia="Times New Roman" w:hAnsi="Times New Roman" w:cs="Times New Roman"/>
          <w:sz w:val="28"/>
        </w:rPr>
        <w:t>В настоящее время преобладает подход к оценке качества ПО, основанный на моделях качества и не учитывающий связанные с продуктом риски, что не обеспечивает получение результатов оценки качества с высокой степенью объективности. Игнорирование рисков, связан</w:t>
      </w:r>
      <w:r>
        <w:rPr>
          <w:rFonts w:ascii="Times New Roman" w:eastAsia="Times New Roman" w:hAnsi="Times New Roman" w:cs="Times New Roman"/>
          <w:sz w:val="28"/>
        </w:rPr>
        <w:t>ных с качеством, может привести к выходу из строя дорогостоящего оборудования и даже к гибели людей. К примеру, разрушение европейского ракетоносителя Ariane 5 вследствие ошибки в регулировочном коде встроенного ПО привело к потере более 370 млн долларов [</w:t>
      </w:r>
      <w:r>
        <w:rPr>
          <w:rFonts w:ascii="Times New Roman" w:eastAsia="Times New Roman" w:hAnsi="Times New Roman" w:cs="Times New Roman"/>
          <w:sz w:val="28"/>
        </w:rPr>
        <w:t xml:space="preserve">2].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В связи с этим, актуальной задачей является совершенствование существующей методологии оценки качества ПО на основе внедрения элементов управления рисками, что будет способствовать повышению эффективности оценки качества. </w:t>
      </w:r>
    </w:p>
    <w:p w:rsidR="0052701D" w:rsidRDefault="00D40929">
      <w:pPr>
        <w:spacing w:after="5" w:line="271" w:lineRule="auto"/>
        <w:ind w:left="9" w:right="64" w:firstLine="711"/>
        <w:jc w:val="both"/>
      </w:pPr>
      <w:r>
        <w:rPr>
          <w:rFonts w:ascii="Times New Roman" w:eastAsia="Times New Roman" w:hAnsi="Times New Roman" w:cs="Times New Roman"/>
          <w:sz w:val="28"/>
        </w:rPr>
        <w:t>В данной статье сделана попы</w:t>
      </w:r>
      <w:r>
        <w:rPr>
          <w:rFonts w:ascii="Times New Roman" w:eastAsia="Times New Roman" w:hAnsi="Times New Roman" w:cs="Times New Roman"/>
          <w:sz w:val="28"/>
        </w:rPr>
        <w:t xml:space="preserve">тка усовершенствования подхода к оценке качества ПО, основанной на модели качества путем учета рисков качества. </w:t>
      </w:r>
    </w:p>
    <w:p w:rsidR="0052701D" w:rsidRDefault="00D40929">
      <w:pPr>
        <w:spacing w:after="33" w:line="251" w:lineRule="auto"/>
        <w:ind w:left="720" w:firstLine="9"/>
      </w:pPr>
      <w:r>
        <w:rPr>
          <w:rFonts w:ascii="Times New Roman" w:eastAsia="Times New Roman" w:hAnsi="Times New Roman" w:cs="Times New Roman"/>
          <w:b/>
          <w:sz w:val="28"/>
        </w:rPr>
        <w:t xml:space="preserve">1. Определение понятия риска качества ПО </w:t>
      </w:r>
    </w:p>
    <w:p w:rsidR="0052701D" w:rsidRDefault="00D40929">
      <w:pPr>
        <w:spacing w:after="5" w:line="271" w:lineRule="auto"/>
        <w:ind w:left="9" w:right="64" w:firstLine="711"/>
        <w:jc w:val="both"/>
      </w:pPr>
      <w:r>
        <w:rPr>
          <w:rFonts w:ascii="Times New Roman" w:eastAsia="Times New Roman" w:hAnsi="Times New Roman" w:cs="Times New Roman"/>
          <w:sz w:val="28"/>
        </w:rPr>
        <w:t>Риск – это влияние неопределенности, которое выражается в отклонении от ожидаемого результата [3]. Ка</w:t>
      </w:r>
      <w:r>
        <w:rPr>
          <w:rFonts w:ascii="Times New Roman" w:eastAsia="Times New Roman" w:hAnsi="Times New Roman" w:cs="Times New Roman"/>
          <w:sz w:val="28"/>
        </w:rPr>
        <w:t>ждая такая неопределенность может оказывать как положительное, так и негативное влияние. Положительное влияние, возникающее из риска, может создать возможность для улучшения качества, негативное влияние может привести к ухудшению ситуации (снизить качество</w:t>
      </w:r>
      <w:r>
        <w:rPr>
          <w:rFonts w:ascii="Times New Roman" w:eastAsia="Times New Roman" w:hAnsi="Times New Roman" w:cs="Times New Roman"/>
          <w:sz w:val="28"/>
        </w:rPr>
        <w:t xml:space="preserve"> программного продукта, увеличить сроки тестирования, повысить стоимость работ и т.п. </w:t>
      </w:r>
    </w:p>
    <w:p w:rsidR="0052701D" w:rsidRDefault="00D40929">
      <w:pPr>
        <w:spacing w:after="5" w:line="271" w:lineRule="auto"/>
        <w:ind w:left="9" w:right="64" w:firstLine="711"/>
        <w:jc w:val="both"/>
      </w:pPr>
      <w:r>
        <w:rPr>
          <w:rFonts w:ascii="Times New Roman" w:eastAsia="Times New Roman" w:hAnsi="Times New Roman" w:cs="Times New Roman"/>
          <w:sz w:val="28"/>
        </w:rPr>
        <w:t>Риск в области управления качеством продукции является недостаточно исследованной формой риска, требующий детального изучения. Проблемы в понимании сущности риска, вызва</w:t>
      </w:r>
      <w:r>
        <w:rPr>
          <w:rFonts w:ascii="Times New Roman" w:eastAsia="Times New Roman" w:hAnsi="Times New Roman" w:cs="Times New Roman"/>
          <w:sz w:val="28"/>
        </w:rPr>
        <w:t xml:space="preserve">нные многоаспектностью данного понятия, приводят к существованию нескольких определений риска с разных точек зрения. Современная трактовка понятия риска представлена в следующем определении: риск – сочетание вероятности события и тяжести его последствий </w:t>
      </w:r>
    </w:p>
    <w:p w:rsidR="0052701D" w:rsidRDefault="00D40929">
      <w:pPr>
        <w:spacing w:after="5" w:line="271" w:lineRule="auto"/>
        <w:ind w:left="9" w:right="64"/>
        <w:jc w:val="both"/>
      </w:pPr>
      <w:r>
        <w:rPr>
          <w:rFonts w:ascii="Times New Roman" w:eastAsia="Times New Roman" w:hAnsi="Times New Roman" w:cs="Times New Roman"/>
          <w:sz w:val="28"/>
        </w:rPr>
        <w:t>[</w:t>
      </w:r>
      <w:r>
        <w:rPr>
          <w:rFonts w:ascii="Times New Roman" w:eastAsia="Times New Roman" w:hAnsi="Times New Roman" w:cs="Times New Roman"/>
          <w:sz w:val="28"/>
        </w:rPr>
        <w:t xml:space="preserve">4].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Под риском качества будем понимать событие несоответствия отдельных характеристик (подхарактеристик) качества программного продукта, установленных принятой моделью качества, заданным требованиям, которое является признаком возможного ущерба качеству </w:t>
      </w:r>
      <w:r>
        <w:rPr>
          <w:rFonts w:ascii="Times New Roman" w:eastAsia="Times New Roman" w:hAnsi="Times New Roman" w:cs="Times New Roman"/>
          <w:sz w:val="28"/>
        </w:rPr>
        <w:t xml:space="preserve">программного продукта в целом. </w:t>
      </w:r>
    </w:p>
    <w:p w:rsidR="0052701D" w:rsidRDefault="00D40929">
      <w:pPr>
        <w:spacing w:after="5" w:line="271" w:lineRule="auto"/>
        <w:ind w:left="9" w:right="64" w:firstLine="711"/>
        <w:jc w:val="both"/>
      </w:pPr>
      <w:r>
        <w:rPr>
          <w:rFonts w:ascii="Times New Roman" w:eastAsia="Times New Roman" w:hAnsi="Times New Roman" w:cs="Times New Roman"/>
          <w:sz w:val="28"/>
        </w:rPr>
        <w:t>Как правило, анализ и исследование процесса управления рисками в любой сфере, в том числе и при оценке качества ПО начинается с идентификации рисков. Выявление рисков, обычно, осуществляется путем сбора статистических данных</w:t>
      </w:r>
      <w:r>
        <w:rPr>
          <w:rFonts w:ascii="Times New Roman" w:eastAsia="Times New Roman" w:hAnsi="Times New Roman" w:cs="Times New Roman"/>
          <w:sz w:val="28"/>
        </w:rPr>
        <w:t xml:space="preserve">, анализа документов, проведения интервью или </w:t>
      </w:r>
      <w:r>
        <w:rPr>
          <w:rFonts w:ascii="Times New Roman" w:eastAsia="Times New Roman" w:hAnsi="Times New Roman" w:cs="Times New Roman"/>
          <w:sz w:val="28"/>
        </w:rPr>
        <w:lastRenderedPageBreak/>
        <w:t xml:space="preserve">письменных опросов заинтересованных сторон (разработчиков, тестировщиков, экспертов, заказчиков, пользователей и др.).  </w:t>
      </w:r>
    </w:p>
    <w:p w:rsidR="0052701D" w:rsidRDefault="00D40929">
      <w:pPr>
        <w:spacing w:after="5" w:line="271" w:lineRule="auto"/>
        <w:ind w:left="9" w:right="64" w:firstLine="711"/>
        <w:jc w:val="both"/>
      </w:pPr>
      <w:r>
        <w:rPr>
          <w:rFonts w:ascii="Times New Roman" w:eastAsia="Times New Roman" w:hAnsi="Times New Roman" w:cs="Times New Roman"/>
          <w:sz w:val="28"/>
        </w:rPr>
        <w:t>Риски принято классифицировать по сфере возникновения, в связи с этим риски качества ПО с</w:t>
      </w:r>
      <w:r>
        <w:rPr>
          <w:rFonts w:ascii="Times New Roman" w:eastAsia="Times New Roman" w:hAnsi="Times New Roman" w:cs="Times New Roman"/>
          <w:sz w:val="28"/>
        </w:rPr>
        <w:t>ледует отнести к техническим рискам, относящиеся к искусственным объектам, созданным человеком или с его целенаправленным участием. Как известно, в основе риска лежит неопределенность. Поэтому неопределенность и риски можно классифицировать по одинаковым ф</w:t>
      </w:r>
      <w:r>
        <w:rPr>
          <w:rFonts w:ascii="Times New Roman" w:eastAsia="Times New Roman" w:hAnsi="Times New Roman" w:cs="Times New Roman"/>
          <w:sz w:val="28"/>
        </w:rPr>
        <w:t xml:space="preserve">акторам.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Программным продуктам (системам) свойственны риски, связанные с человеческим фактором - риски, причинами реализации которых являются поступки конкретных специалистов, участвующих в создании ПО. </w:t>
      </w:r>
    </w:p>
    <w:p w:rsidR="0052701D" w:rsidRDefault="00D40929">
      <w:pPr>
        <w:spacing w:after="5" w:line="271" w:lineRule="auto"/>
        <w:ind w:left="9" w:right="64" w:firstLine="711"/>
        <w:jc w:val="both"/>
      </w:pPr>
      <w:r>
        <w:rPr>
          <w:rFonts w:ascii="Times New Roman" w:eastAsia="Times New Roman" w:hAnsi="Times New Roman" w:cs="Times New Roman"/>
          <w:sz w:val="28"/>
        </w:rPr>
        <w:t>Риски этого типа возникают не из-за того, что разра</w:t>
      </w:r>
      <w:r>
        <w:rPr>
          <w:rFonts w:ascii="Times New Roman" w:eastAsia="Times New Roman" w:hAnsi="Times New Roman" w:cs="Times New Roman"/>
          <w:sz w:val="28"/>
        </w:rPr>
        <w:t>ботчики не смогли справиться со сложностью задачи и приняли неверное проектное решение, а просто по невнимательности, вследствие «человеческого фактора». Такой тип рисков, например, может быть связан со случайными ошибками в коде программы, которые легко о</w:t>
      </w:r>
      <w:r>
        <w:rPr>
          <w:rFonts w:ascii="Times New Roman" w:eastAsia="Times New Roman" w:hAnsi="Times New Roman" w:cs="Times New Roman"/>
          <w:sz w:val="28"/>
        </w:rPr>
        <w:t xml:space="preserve">бнаруживаются и устраняются в настоящее с помощью систем контроля исходного кода. Если такого рода ошибки возникают нечасто и приводят к незначительному ущербу, то и риски, связанные с ними, невелики. </w:t>
      </w:r>
    </w:p>
    <w:p w:rsidR="0052701D" w:rsidRDefault="00D40929">
      <w:pPr>
        <w:spacing w:after="5" w:line="271" w:lineRule="auto"/>
        <w:ind w:left="9" w:right="64" w:firstLine="711"/>
        <w:jc w:val="both"/>
      </w:pPr>
      <w:r>
        <w:rPr>
          <w:rFonts w:ascii="Times New Roman" w:eastAsia="Times New Roman" w:hAnsi="Times New Roman" w:cs="Times New Roman"/>
          <w:sz w:val="28"/>
        </w:rPr>
        <w:t>С другой стороны, некоторые категории нечасто возникаю</w:t>
      </w:r>
      <w:r>
        <w:rPr>
          <w:rFonts w:ascii="Times New Roman" w:eastAsia="Times New Roman" w:hAnsi="Times New Roman" w:cs="Times New Roman"/>
          <w:sz w:val="28"/>
        </w:rPr>
        <w:t xml:space="preserve">щих ошибок могут нанести значительный ущерб: например, разработчик может случайно повредить файл с исходным кодом. Хотя такая ситуация происходит нечасто, она представляет значительный риск, который нельзя игнорировать.  </w:t>
      </w:r>
    </w:p>
    <w:p w:rsidR="0052701D" w:rsidRDefault="00D40929">
      <w:pPr>
        <w:spacing w:after="5" w:line="271" w:lineRule="auto"/>
        <w:ind w:left="9" w:right="64" w:firstLine="711"/>
        <w:jc w:val="both"/>
      </w:pPr>
      <w:r>
        <w:rPr>
          <w:rFonts w:ascii="Times New Roman" w:eastAsia="Times New Roman" w:hAnsi="Times New Roman" w:cs="Times New Roman"/>
          <w:sz w:val="28"/>
        </w:rPr>
        <w:t>Также для программных систем свойс</w:t>
      </w:r>
      <w:r>
        <w:rPr>
          <w:rFonts w:ascii="Times New Roman" w:eastAsia="Times New Roman" w:hAnsi="Times New Roman" w:cs="Times New Roman"/>
          <w:sz w:val="28"/>
        </w:rPr>
        <w:t xml:space="preserve">твенны риски, причинами реализации которых являются непредсказуемое и (или) неконтролируемое ее функционирование, так называемые технические риски. Этот вид риска является наиболее качественной мерой относительной значимости ошибки (дефекта) в </w:t>
      </w:r>
    </w:p>
    <w:p w:rsidR="0052701D" w:rsidRDefault="00D40929">
      <w:pPr>
        <w:spacing w:after="5" w:line="271" w:lineRule="auto"/>
        <w:ind w:left="9" w:right="64"/>
        <w:jc w:val="both"/>
      </w:pPr>
      <w:r>
        <w:rPr>
          <w:rFonts w:ascii="Times New Roman" w:eastAsia="Times New Roman" w:hAnsi="Times New Roman" w:cs="Times New Roman"/>
          <w:sz w:val="28"/>
        </w:rPr>
        <w:t>ПО, посколь</w:t>
      </w:r>
      <w:r>
        <w:rPr>
          <w:rFonts w:ascii="Times New Roman" w:eastAsia="Times New Roman" w:hAnsi="Times New Roman" w:cs="Times New Roman"/>
          <w:sz w:val="28"/>
        </w:rPr>
        <w:t xml:space="preserve">ку с его помощью можно оценить максимальный ущерб от систематического возникновения ошибки определенного типа.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Обычно выделяют пять основных параметров, которые могут предоставить необходимую информацию для выявления абсолютного большинства технических рисков ПО [5]: </w:t>
      </w:r>
    </w:p>
    <w:p w:rsidR="0052701D" w:rsidRDefault="00D40929">
      <w:pPr>
        <w:numPr>
          <w:ilvl w:val="0"/>
          <w:numId w:val="14"/>
        </w:numPr>
        <w:spacing w:after="5" w:line="271" w:lineRule="auto"/>
        <w:ind w:right="64" w:firstLine="711"/>
        <w:jc w:val="both"/>
      </w:pPr>
      <w:r>
        <w:rPr>
          <w:rFonts w:ascii="Times New Roman" w:eastAsia="Times New Roman" w:hAnsi="Times New Roman" w:cs="Times New Roman"/>
          <w:sz w:val="28"/>
        </w:rPr>
        <w:t xml:space="preserve">размер реализованных фрагментов программы в строках кода (LOC); </w:t>
      </w:r>
    </w:p>
    <w:p w:rsidR="0052701D" w:rsidRDefault="00D40929">
      <w:pPr>
        <w:numPr>
          <w:ilvl w:val="0"/>
          <w:numId w:val="14"/>
        </w:numPr>
        <w:spacing w:after="5" w:line="271" w:lineRule="auto"/>
        <w:ind w:right="64" w:firstLine="711"/>
        <w:jc w:val="both"/>
      </w:pPr>
      <w:r>
        <w:rPr>
          <w:rFonts w:ascii="Times New Roman" w:eastAsia="Times New Roman" w:hAnsi="Times New Roman" w:cs="Times New Roman"/>
          <w:sz w:val="28"/>
        </w:rPr>
        <w:t xml:space="preserve">производительность (LOC/час); </w:t>
      </w:r>
    </w:p>
    <w:p w:rsidR="0052701D" w:rsidRDefault="00D40929">
      <w:pPr>
        <w:numPr>
          <w:ilvl w:val="0"/>
          <w:numId w:val="14"/>
        </w:numPr>
        <w:spacing w:after="5" w:line="271" w:lineRule="auto"/>
        <w:ind w:right="64" w:firstLine="711"/>
        <w:jc w:val="both"/>
      </w:pPr>
      <w:r>
        <w:rPr>
          <w:rFonts w:ascii="Times New Roman" w:eastAsia="Times New Roman" w:hAnsi="Times New Roman" w:cs="Times New Roman"/>
          <w:sz w:val="28"/>
        </w:rPr>
        <w:t>вр</w:t>
      </w:r>
      <w:r>
        <w:rPr>
          <w:rFonts w:ascii="Times New Roman" w:eastAsia="Times New Roman" w:hAnsi="Times New Roman" w:cs="Times New Roman"/>
          <w:sz w:val="28"/>
        </w:rPr>
        <w:t xml:space="preserve">емя, расходуемое на различные виды деятельности; </w:t>
      </w:r>
    </w:p>
    <w:p w:rsidR="0052701D" w:rsidRDefault="00D40929">
      <w:pPr>
        <w:numPr>
          <w:ilvl w:val="0"/>
          <w:numId w:val="14"/>
        </w:numPr>
        <w:spacing w:after="5" w:line="271" w:lineRule="auto"/>
        <w:ind w:right="64" w:firstLine="711"/>
        <w:jc w:val="both"/>
      </w:pPr>
      <w:r>
        <w:rPr>
          <w:rFonts w:ascii="Times New Roman" w:eastAsia="Times New Roman" w:hAnsi="Times New Roman" w:cs="Times New Roman"/>
          <w:sz w:val="28"/>
        </w:rPr>
        <w:t xml:space="preserve">объем проделанной работы (в человеко-часах); </w:t>
      </w:r>
    </w:p>
    <w:p w:rsidR="0052701D" w:rsidRDefault="00D40929">
      <w:pPr>
        <w:numPr>
          <w:ilvl w:val="0"/>
          <w:numId w:val="14"/>
        </w:numPr>
        <w:spacing w:after="5" w:line="271" w:lineRule="auto"/>
        <w:ind w:right="64" w:firstLine="711"/>
        <w:jc w:val="both"/>
      </w:pPr>
      <w:r>
        <w:rPr>
          <w:rFonts w:ascii="Times New Roman" w:eastAsia="Times New Roman" w:hAnsi="Times New Roman" w:cs="Times New Roman"/>
          <w:sz w:val="28"/>
        </w:rPr>
        <w:t xml:space="preserve">надежность программы (число обнаруженных дефектов за определенный период времени).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Риск, связанный с такими ошибками, возрастает со временем: чем позже обнаруживается ошибка, допущенная на ранней стадии проекта, тем большим </w:t>
      </w:r>
      <w:r>
        <w:rPr>
          <w:rFonts w:ascii="Times New Roman" w:eastAsia="Times New Roman" w:hAnsi="Times New Roman" w:cs="Times New Roman"/>
          <w:sz w:val="28"/>
        </w:rPr>
        <w:lastRenderedPageBreak/>
        <w:t xml:space="preserve">будет ущерб, связанный с устранением ошибки вместе со всеми ее последствиями. Статистика утверждает, что стоимость </w:t>
      </w:r>
      <w:r>
        <w:rPr>
          <w:rFonts w:ascii="Times New Roman" w:eastAsia="Times New Roman" w:hAnsi="Times New Roman" w:cs="Times New Roman"/>
          <w:sz w:val="28"/>
        </w:rPr>
        <w:t xml:space="preserve">позднего исправления ошибки, внесенной в проект на ранней стадии, в 50-200 раз выше стоимости исправления этой же ошибки сразу после ее внесения [6]. </w:t>
      </w:r>
    </w:p>
    <w:p w:rsidR="0052701D" w:rsidRDefault="00D40929">
      <w:pPr>
        <w:spacing w:after="5" w:line="271" w:lineRule="auto"/>
        <w:ind w:left="9" w:right="64" w:firstLine="711"/>
        <w:jc w:val="both"/>
      </w:pPr>
      <w:r>
        <w:rPr>
          <w:rFonts w:ascii="Times New Roman" w:eastAsia="Times New Roman" w:hAnsi="Times New Roman" w:cs="Times New Roman"/>
          <w:sz w:val="28"/>
        </w:rPr>
        <w:t>Наиболее серьезной угрозой для качества программного продукта являются ошибки, допущенные на самой первой</w:t>
      </w:r>
      <w:r>
        <w:rPr>
          <w:rFonts w:ascii="Times New Roman" w:eastAsia="Times New Roman" w:hAnsi="Times New Roman" w:cs="Times New Roman"/>
          <w:sz w:val="28"/>
        </w:rPr>
        <w:t xml:space="preserve"> стадии проекта - при сборе требований. Эти ошибки могут, в случае их несвоевременного обнаружения, оказывать наиболее длительный и масштабный негативный эффект. По этой причине, риски, связанные с изменением набора требований к ПО, очень велики. </w:t>
      </w:r>
    </w:p>
    <w:p w:rsidR="0052701D" w:rsidRDefault="00D40929">
      <w:pPr>
        <w:spacing w:after="5" w:line="271" w:lineRule="auto"/>
        <w:ind w:left="9" w:right="64" w:firstLine="711"/>
        <w:jc w:val="both"/>
      </w:pPr>
      <w:r>
        <w:rPr>
          <w:rFonts w:ascii="Times New Roman" w:eastAsia="Times New Roman" w:hAnsi="Times New Roman" w:cs="Times New Roman"/>
          <w:sz w:val="28"/>
        </w:rPr>
        <w:t>Риск вып</w:t>
      </w:r>
      <w:r>
        <w:rPr>
          <w:rFonts w:ascii="Times New Roman" w:eastAsia="Times New Roman" w:hAnsi="Times New Roman" w:cs="Times New Roman"/>
          <w:sz w:val="28"/>
        </w:rPr>
        <w:t>уска программного продукта неприемлемого качества является наиболее значительным из всех типов рисков. Это риск напрямую зависит от типа разрабатываемой программной системы и от специфических требований, предъявляемых к ней. Так, например, для систем реаль</w:t>
      </w:r>
      <w:r>
        <w:rPr>
          <w:rFonts w:ascii="Times New Roman" w:eastAsia="Times New Roman" w:hAnsi="Times New Roman" w:cs="Times New Roman"/>
          <w:sz w:val="28"/>
        </w:rPr>
        <w:t xml:space="preserve">ного времени и встраиваемых систем требования к надежности, напротив, являются доминирующими.  </w:t>
      </w:r>
    </w:p>
    <w:p w:rsidR="0052701D" w:rsidRDefault="00D40929">
      <w:pPr>
        <w:spacing w:after="5" w:line="251" w:lineRule="auto"/>
        <w:ind w:left="720" w:firstLine="9"/>
      </w:pPr>
      <w:r>
        <w:rPr>
          <w:rFonts w:ascii="Times New Roman" w:eastAsia="Times New Roman" w:hAnsi="Times New Roman" w:cs="Times New Roman"/>
          <w:b/>
          <w:sz w:val="28"/>
        </w:rPr>
        <w:t xml:space="preserve">2. Идентификация и оценка рисков качества ПО </w:t>
      </w:r>
    </w:p>
    <w:p w:rsidR="0052701D" w:rsidRDefault="00D40929">
      <w:pPr>
        <w:spacing w:after="5" w:line="271" w:lineRule="auto"/>
        <w:ind w:left="9" w:right="64" w:firstLine="711"/>
        <w:jc w:val="both"/>
      </w:pPr>
      <w:r>
        <w:rPr>
          <w:rFonts w:ascii="Times New Roman" w:eastAsia="Times New Roman" w:hAnsi="Times New Roman" w:cs="Times New Roman"/>
          <w:sz w:val="28"/>
        </w:rPr>
        <w:t>В данной работе для идентификации и оценки рисков применен известный метод «матрица последствий и вероятностей (Pr</w:t>
      </w:r>
      <w:r>
        <w:rPr>
          <w:rFonts w:ascii="Times New Roman" w:eastAsia="Times New Roman" w:hAnsi="Times New Roman" w:cs="Times New Roman"/>
          <w:sz w:val="28"/>
        </w:rPr>
        <w:t xml:space="preserve">obability and Impact Matrix)» [7], адаптированный к условиям оценки качества ПО. Этот метод имеет высокую доступность входных данных и применимость выходных данных, а также удобен для анализа и наглядности результатов. </w:t>
      </w:r>
    </w:p>
    <w:p w:rsidR="0052701D" w:rsidRDefault="00D40929">
      <w:pPr>
        <w:spacing w:after="5" w:line="271" w:lineRule="auto"/>
        <w:ind w:left="9" w:right="64" w:firstLine="711"/>
        <w:jc w:val="both"/>
      </w:pPr>
      <w:r>
        <w:rPr>
          <w:rFonts w:ascii="Times New Roman" w:eastAsia="Times New Roman" w:hAnsi="Times New Roman" w:cs="Times New Roman"/>
          <w:sz w:val="28"/>
        </w:rPr>
        <w:t>Оценка рисков качества ПО в данном м</w:t>
      </w:r>
      <w:r>
        <w:rPr>
          <w:rFonts w:ascii="Times New Roman" w:eastAsia="Times New Roman" w:hAnsi="Times New Roman" w:cs="Times New Roman"/>
          <w:sz w:val="28"/>
        </w:rPr>
        <w:t xml:space="preserve">етоде основана на составлении матрицы оценки рисков, включающей значения показателей вероятности появления риска, значимости (тяжести) последствий риска при возможной его реализации и категории риска.  </w:t>
      </w:r>
    </w:p>
    <w:p w:rsidR="0052701D" w:rsidRDefault="00D40929">
      <w:pPr>
        <w:spacing w:after="5" w:line="271" w:lineRule="auto"/>
        <w:ind w:left="9" w:right="64" w:firstLine="711"/>
        <w:jc w:val="both"/>
      </w:pPr>
      <w:r>
        <w:rPr>
          <w:rFonts w:ascii="Times New Roman" w:eastAsia="Times New Roman" w:hAnsi="Times New Roman" w:cs="Times New Roman"/>
          <w:sz w:val="28"/>
        </w:rPr>
        <w:t>В общем случае при использовании математических опера</w:t>
      </w:r>
      <w:r>
        <w:rPr>
          <w:rFonts w:ascii="Times New Roman" w:eastAsia="Times New Roman" w:hAnsi="Times New Roman" w:cs="Times New Roman"/>
          <w:sz w:val="28"/>
        </w:rPr>
        <w:t xml:space="preserve">ции при оценке рисков рекомендуется использовать количественные шкалы.  </w:t>
      </w:r>
    </w:p>
    <w:p w:rsidR="0052701D" w:rsidRDefault="00D40929">
      <w:pPr>
        <w:spacing w:after="5" w:line="271" w:lineRule="auto"/>
        <w:ind w:left="9" w:right="64" w:firstLine="711"/>
        <w:jc w:val="both"/>
      </w:pPr>
      <w:r>
        <w:rPr>
          <w:rFonts w:ascii="Times New Roman" w:eastAsia="Times New Roman" w:hAnsi="Times New Roman" w:cs="Times New Roman"/>
          <w:sz w:val="28"/>
        </w:rPr>
        <w:t>В целях сокращения трудоемкости работ по оценке рисков для выбора шкалы оценки рисков и значимости их последствий предлагается использовать категоризацию программных средств космическ</w:t>
      </w:r>
      <w:r>
        <w:rPr>
          <w:rFonts w:ascii="Times New Roman" w:eastAsia="Times New Roman" w:hAnsi="Times New Roman" w:cs="Times New Roman"/>
          <w:sz w:val="28"/>
        </w:rPr>
        <w:t xml:space="preserve">ого назначения по уровню. Стандартом ECSS-Q-ST-80C [8] на основе тяжести последствий отказов системы определены четыре категории безопасности программного обеспечения космического назначения А, В, С, D (табл.1). </w:t>
      </w:r>
    </w:p>
    <w:p w:rsidR="0052701D" w:rsidRDefault="00D40929">
      <w:pPr>
        <w:spacing w:after="88"/>
        <w:ind w:left="711"/>
      </w:pPr>
      <w:r>
        <w:rPr>
          <w:rFonts w:ascii="Times New Roman" w:eastAsia="Times New Roman" w:hAnsi="Times New Roman" w:cs="Times New Roman"/>
        </w:rPr>
        <w:t xml:space="preserve"> </w:t>
      </w:r>
    </w:p>
    <w:p w:rsidR="0052701D" w:rsidRDefault="00D40929">
      <w:pPr>
        <w:spacing w:after="5" w:line="271" w:lineRule="auto"/>
        <w:ind w:left="154" w:right="64" w:firstLine="8279"/>
        <w:jc w:val="both"/>
      </w:pPr>
      <w:r>
        <w:rPr>
          <w:rFonts w:ascii="Times New Roman" w:eastAsia="Times New Roman" w:hAnsi="Times New Roman" w:cs="Times New Roman"/>
          <w:sz w:val="28"/>
        </w:rPr>
        <w:t>Таблица 1  Категории критичности программ</w:t>
      </w:r>
      <w:r>
        <w:rPr>
          <w:rFonts w:ascii="Times New Roman" w:eastAsia="Times New Roman" w:hAnsi="Times New Roman" w:cs="Times New Roman"/>
          <w:sz w:val="28"/>
        </w:rPr>
        <w:t xml:space="preserve">ного обеспечения космического назначения </w:t>
      </w:r>
    </w:p>
    <w:tbl>
      <w:tblPr>
        <w:tblStyle w:val="TableGrid"/>
        <w:tblW w:w="9782" w:type="dxa"/>
        <w:tblInd w:w="5" w:type="dxa"/>
        <w:tblCellMar>
          <w:top w:w="54" w:type="dxa"/>
          <w:left w:w="106" w:type="dxa"/>
          <w:bottom w:w="0" w:type="dxa"/>
          <w:right w:w="52" w:type="dxa"/>
        </w:tblCellMar>
        <w:tblLook w:val="04A0" w:firstRow="1" w:lastRow="0" w:firstColumn="1" w:lastColumn="0" w:noHBand="0" w:noVBand="1"/>
      </w:tblPr>
      <w:tblGrid>
        <w:gridCol w:w="1273"/>
        <w:gridCol w:w="8509"/>
      </w:tblGrid>
      <w:tr w:rsidR="0052701D">
        <w:trPr>
          <w:trHeight w:val="562"/>
        </w:trPr>
        <w:tc>
          <w:tcPr>
            <w:tcW w:w="1273" w:type="dxa"/>
            <w:tcBorders>
              <w:top w:val="single" w:sz="4" w:space="0" w:color="000000"/>
              <w:left w:val="single" w:sz="4" w:space="0" w:color="000000"/>
              <w:bottom w:val="single" w:sz="4" w:space="0" w:color="000000"/>
              <w:right w:val="single" w:sz="4" w:space="0" w:color="000000"/>
            </w:tcBorders>
          </w:tcPr>
          <w:p w:rsidR="0052701D" w:rsidRDefault="00D40929">
            <w:pPr>
              <w:spacing w:after="0"/>
              <w:jc w:val="center"/>
            </w:pPr>
            <w:r>
              <w:rPr>
                <w:rFonts w:ascii="Times New Roman" w:eastAsia="Times New Roman" w:hAnsi="Times New Roman" w:cs="Times New Roman"/>
                <w:sz w:val="24"/>
              </w:rPr>
              <w:t xml:space="preserve">Категория (класс) </w:t>
            </w:r>
          </w:p>
        </w:tc>
        <w:tc>
          <w:tcPr>
            <w:tcW w:w="8509"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right="55"/>
              <w:jc w:val="center"/>
            </w:pPr>
            <w:r>
              <w:rPr>
                <w:rFonts w:ascii="Times New Roman" w:eastAsia="Times New Roman" w:hAnsi="Times New Roman" w:cs="Times New Roman"/>
                <w:sz w:val="24"/>
              </w:rPr>
              <w:t xml:space="preserve">Характеристика тяжести последствий отказов </w:t>
            </w:r>
          </w:p>
        </w:tc>
      </w:tr>
      <w:tr w:rsidR="0052701D">
        <w:trPr>
          <w:trHeight w:val="1114"/>
        </w:trPr>
        <w:tc>
          <w:tcPr>
            <w:tcW w:w="1273"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right="58"/>
              <w:jc w:val="center"/>
            </w:pPr>
            <w:r>
              <w:rPr>
                <w:rFonts w:ascii="Times New Roman" w:eastAsia="Times New Roman" w:hAnsi="Times New Roman" w:cs="Times New Roman"/>
                <w:sz w:val="24"/>
              </w:rPr>
              <w:lastRenderedPageBreak/>
              <w:t xml:space="preserve">A </w:t>
            </w:r>
          </w:p>
        </w:tc>
        <w:tc>
          <w:tcPr>
            <w:tcW w:w="8509"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34" w:right="417"/>
              <w:jc w:val="both"/>
            </w:pPr>
            <w:r>
              <w:rPr>
                <w:rFonts w:ascii="Times New Roman" w:eastAsia="Times New Roman" w:hAnsi="Times New Roman" w:cs="Times New Roman"/>
                <w:sz w:val="24"/>
              </w:rPr>
              <w:t xml:space="preserve">Программное обеспечение, которое в случае неисполнения или неверного исполнения, или аномального поведения, может вызвать или способствовать отказу системы, приводящему к </w:t>
            </w:r>
            <w:r>
              <w:rPr>
                <w:rFonts w:ascii="Times New Roman" w:eastAsia="Times New Roman" w:hAnsi="Times New Roman" w:cs="Times New Roman"/>
                <w:i/>
                <w:sz w:val="24"/>
              </w:rPr>
              <w:t>катастрофическим последствиям</w:t>
            </w:r>
            <w:r>
              <w:rPr>
                <w:rFonts w:ascii="Times New Roman" w:eastAsia="Times New Roman" w:hAnsi="Times New Roman" w:cs="Times New Roman"/>
                <w:sz w:val="24"/>
              </w:rPr>
              <w:t xml:space="preserve"> (гибель людей, угроза их жизни, разрушение, потеря техн</w:t>
            </w:r>
            <w:r>
              <w:rPr>
                <w:rFonts w:ascii="Times New Roman" w:eastAsia="Times New Roman" w:hAnsi="Times New Roman" w:cs="Times New Roman"/>
                <w:sz w:val="24"/>
              </w:rPr>
              <w:t xml:space="preserve">ики). </w:t>
            </w:r>
          </w:p>
        </w:tc>
      </w:tr>
      <w:tr w:rsidR="0052701D">
        <w:trPr>
          <w:trHeight w:val="1537"/>
        </w:trPr>
        <w:tc>
          <w:tcPr>
            <w:tcW w:w="1273"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right="52"/>
              <w:jc w:val="center"/>
            </w:pPr>
            <w:r>
              <w:rPr>
                <w:rFonts w:ascii="Times New Roman" w:eastAsia="Times New Roman" w:hAnsi="Times New Roman" w:cs="Times New Roman"/>
                <w:sz w:val="24"/>
              </w:rPr>
              <w:t xml:space="preserve">B </w:t>
            </w:r>
          </w:p>
        </w:tc>
        <w:tc>
          <w:tcPr>
            <w:tcW w:w="8509"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34" w:right="417"/>
              <w:jc w:val="both"/>
            </w:pPr>
            <w:r>
              <w:rPr>
                <w:rFonts w:ascii="Times New Roman" w:eastAsia="Times New Roman" w:hAnsi="Times New Roman" w:cs="Times New Roman"/>
                <w:sz w:val="24"/>
              </w:rPr>
              <w:t xml:space="preserve">Программное обеспечение, которое в случае неисполнения или неверного исполнения, или аномального поведения, может вызвать или способствовать отказу системы, приводящему к </w:t>
            </w:r>
            <w:r>
              <w:rPr>
                <w:rFonts w:ascii="Times New Roman" w:eastAsia="Times New Roman" w:hAnsi="Times New Roman" w:cs="Times New Roman"/>
                <w:i/>
                <w:sz w:val="24"/>
              </w:rPr>
              <w:t xml:space="preserve">критическим последствиям </w:t>
            </w:r>
            <w:r>
              <w:rPr>
                <w:rFonts w:ascii="Times New Roman" w:eastAsia="Times New Roman" w:hAnsi="Times New Roman" w:cs="Times New Roman"/>
                <w:sz w:val="24"/>
              </w:rPr>
              <w:t>(</w:t>
            </w:r>
            <w:r>
              <w:rPr>
                <w:rFonts w:ascii="Times New Roman" w:eastAsia="Times New Roman" w:hAnsi="Times New Roman" w:cs="Times New Roman"/>
                <w:sz w:val="24"/>
              </w:rPr>
              <w:t>ущерб, не угрожающий жизни людей, значительное повреждение</w:t>
            </w:r>
            <w:r>
              <w:rPr>
                <w:rFonts w:ascii="Times New Roman" w:eastAsia="Times New Roman" w:hAnsi="Times New Roman" w:cs="Times New Roman"/>
                <w:i/>
                <w:sz w:val="24"/>
              </w:rPr>
              <w:t xml:space="preserve"> те</w:t>
            </w:r>
            <w:r>
              <w:rPr>
                <w:rFonts w:ascii="Times New Roman" w:eastAsia="Times New Roman" w:hAnsi="Times New Roman" w:cs="Times New Roman"/>
                <w:sz w:val="24"/>
              </w:rPr>
              <w:t xml:space="preserve">хники, вредное влияние на окружающую среду). </w:t>
            </w:r>
          </w:p>
        </w:tc>
      </w:tr>
      <w:tr w:rsidR="0052701D">
        <w:trPr>
          <w:trHeight w:val="1388"/>
        </w:trPr>
        <w:tc>
          <w:tcPr>
            <w:tcW w:w="1273"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right="52"/>
              <w:jc w:val="center"/>
            </w:pPr>
            <w:r>
              <w:rPr>
                <w:rFonts w:ascii="Times New Roman" w:eastAsia="Times New Roman" w:hAnsi="Times New Roman" w:cs="Times New Roman"/>
                <w:sz w:val="24"/>
              </w:rPr>
              <w:t xml:space="preserve">C </w:t>
            </w:r>
          </w:p>
        </w:tc>
        <w:tc>
          <w:tcPr>
            <w:tcW w:w="8509"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34" w:right="338"/>
              <w:jc w:val="both"/>
            </w:pPr>
            <w:r>
              <w:rPr>
                <w:rFonts w:ascii="Times New Roman" w:eastAsia="Times New Roman" w:hAnsi="Times New Roman" w:cs="Times New Roman"/>
                <w:sz w:val="24"/>
              </w:rPr>
              <w:t>Программное обеспечение, которое в случае неисполнения или неверного исполнения, или аномального поведения, может вызвать или способствовать отка</w:t>
            </w:r>
            <w:r>
              <w:rPr>
                <w:rFonts w:ascii="Times New Roman" w:eastAsia="Times New Roman" w:hAnsi="Times New Roman" w:cs="Times New Roman"/>
                <w:sz w:val="24"/>
              </w:rPr>
              <w:t xml:space="preserve">зу системы, приводящему к </w:t>
            </w:r>
            <w:r>
              <w:rPr>
                <w:rFonts w:ascii="Times New Roman" w:eastAsia="Times New Roman" w:hAnsi="Times New Roman" w:cs="Times New Roman"/>
                <w:i/>
                <w:sz w:val="24"/>
              </w:rPr>
              <w:t>существенным последствиям</w:t>
            </w:r>
            <w:r>
              <w:rPr>
                <w:rFonts w:ascii="Times New Roman" w:eastAsia="Times New Roman" w:hAnsi="Times New Roman" w:cs="Times New Roman"/>
                <w:sz w:val="24"/>
              </w:rPr>
              <w:t xml:space="preserve"> (существенное снижение возможностей объекта управления или способности персонала справиться с неблагоприятными режимами). </w:t>
            </w:r>
          </w:p>
        </w:tc>
      </w:tr>
      <w:tr w:rsidR="0052701D">
        <w:trPr>
          <w:trHeight w:val="1666"/>
        </w:trPr>
        <w:tc>
          <w:tcPr>
            <w:tcW w:w="1273"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right="58"/>
              <w:jc w:val="center"/>
            </w:pPr>
            <w:r>
              <w:rPr>
                <w:rFonts w:ascii="Times New Roman" w:eastAsia="Times New Roman" w:hAnsi="Times New Roman" w:cs="Times New Roman"/>
                <w:sz w:val="24"/>
              </w:rPr>
              <w:t xml:space="preserve">D </w:t>
            </w:r>
          </w:p>
        </w:tc>
        <w:tc>
          <w:tcPr>
            <w:tcW w:w="8509"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34" w:right="110"/>
            </w:pPr>
            <w:r>
              <w:rPr>
                <w:rFonts w:ascii="Times New Roman" w:eastAsia="Times New Roman" w:hAnsi="Times New Roman" w:cs="Times New Roman"/>
                <w:sz w:val="24"/>
              </w:rPr>
              <w:t xml:space="preserve">Программное обеспечение, которое в случае неисполнения или неверного исполнения, или аномального поведения, может вызвать или способствовать отказу системы, приводящему к </w:t>
            </w:r>
            <w:r>
              <w:rPr>
                <w:rFonts w:ascii="Times New Roman" w:eastAsia="Times New Roman" w:hAnsi="Times New Roman" w:cs="Times New Roman"/>
                <w:i/>
                <w:sz w:val="24"/>
              </w:rPr>
              <w:t xml:space="preserve">незначительным или ничтожным последствиям </w:t>
            </w:r>
            <w:r>
              <w:rPr>
                <w:rFonts w:ascii="Times New Roman" w:eastAsia="Times New Roman" w:hAnsi="Times New Roman" w:cs="Times New Roman"/>
                <w:sz w:val="24"/>
              </w:rPr>
              <w:t>(незначительному уменьшению безопасности об</w:t>
            </w:r>
            <w:r>
              <w:rPr>
                <w:rFonts w:ascii="Times New Roman" w:eastAsia="Times New Roman" w:hAnsi="Times New Roman" w:cs="Times New Roman"/>
                <w:sz w:val="24"/>
              </w:rPr>
              <w:t>ъекта управления и требует действий персонала, которые осуществимы в пределах их возможностей).</w:t>
            </w:r>
            <w:r>
              <w:rPr>
                <w:rFonts w:ascii="Times New Roman" w:eastAsia="Times New Roman" w:hAnsi="Times New Roman" w:cs="Times New Roman"/>
                <w:i/>
                <w:sz w:val="24"/>
              </w:rPr>
              <w:t xml:space="preserve"> </w:t>
            </w:r>
          </w:p>
        </w:tc>
      </w:tr>
    </w:tbl>
    <w:p w:rsidR="0052701D" w:rsidRDefault="00D40929">
      <w:pPr>
        <w:spacing w:after="0"/>
        <w:ind w:left="711"/>
      </w:pPr>
      <w:r>
        <w:rPr>
          <w:rFonts w:ascii="Times New Roman" w:eastAsia="Times New Roman" w:hAnsi="Times New Roman" w:cs="Times New Roman"/>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На основе приведенных оснований оценки рисков и тяжести (значимости) их последствий предлагается использовать четырехуровневую порядковую шкалу с установлен</w:t>
      </w:r>
      <w:r>
        <w:rPr>
          <w:rFonts w:ascii="Times New Roman" w:eastAsia="Times New Roman" w:hAnsi="Times New Roman" w:cs="Times New Roman"/>
          <w:sz w:val="28"/>
        </w:rPr>
        <w:t xml:space="preserve">ием количественных граничных вероятностей для каждого уровня.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Показатели вероятности риска «P» и тяжести последствий «S» риска по каждому фактору устанавливаются, исходя из оценки текущей ситуации (табл. </w:t>
      </w:r>
    </w:p>
    <w:p w:rsidR="0052701D" w:rsidRDefault="00D40929">
      <w:pPr>
        <w:spacing w:after="5" w:line="271" w:lineRule="auto"/>
        <w:ind w:left="9" w:right="64"/>
        <w:jc w:val="both"/>
      </w:pPr>
      <w:r>
        <w:rPr>
          <w:rFonts w:ascii="Times New Roman" w:eastAsia="Times New Roman" w:hAnsi="Times New Roman" w:cs="Times New Roman"/>
          <w:sz w:val="28"/>
        </w:rPr>
        <w:t xml:space="preserve">2). </w:t>
      </w:r>
    </w:p>
    <w:p w:rsidR="0052701D" w:rsidRDefault="00D40929">
      <w:pPr>
        <w:spacing w:after="5" w:line="271" w:lineRule="auto"/>
        <w:ind w:left="9" w:right="64" w:firstLine="711"/>
        <w:jc w:val="both"/>
      </w:pPr>
      <w:r>
        <w:rPr>
          <w:rFonts w:ascii="Times New Roman" w:eastAsia="Times New Roman" w:hAnsi="Times New Roman" w:cs="Times New Roman"/>
          <w:sz w:val="28"/>
        </w:rPr>
        <w:t>В качестве общей меры потенциального риска и</w:t>
      </w:r>
      <w:r>
        <w:rPr>
          <w:rFonts w:ascii="Times New Roman" w:eastAsia="Times New Roman" w:hAnsi="Times New Roman" w:cs="Times New Roman"/>
          <w:sz w:val="28"/>
        </w:rPr>
        <w:t xml:space="preserve">спользуется значения приоритетности риска (R), которая является мерой количественной оценки критичности последствий данного вида риска при возможной его реализации [9] </w:t>
      </w:r>
      <w:r>
        <w:rPr>
          <w:rFonts w:ascii="Times New Roman" w:eastAsia="Times New Roman" w:hAnsi="Times New Roman" w:cs="Times New Roman"/>
          <w:b/>
          <w:i/>
          <w:sz w:val="28"/>
        </w:rPr>
        <w:t>R= P×S,</w:t>
      </w:r>
      <w:r>
        <w:rPr>
          <w:rFonts w:ascii="Times New Roman" w:eastAsia="Times New Roman" w:hAnsi="Times New Roman" w:cs="Times New Roman"/>
          <w:sz w:val="28"/>
        </w:rPr>
        <w:t xml:space="preserve"> </w:t>
      </w:r>
    </w:p>
    <w:p w:rsidR="0052701D" w:rsidRDefault="00D40929">
      <w:pPr>
        <w:spacing w:after="23"/>
      </w:pPr>
      <w:r>
        <w:rPr>
          <w:rFonts w:ascii="Times New Roman" w:eastAsia="Times New Roman" w:hAnsi="Times New Roman" w:cs="Times New Roman"/>
          <w:b/>
          <w:i/>
          <w:sz w:val="28"/>
        </w:rPr>
        <w:t xml:space="preserve"> </w:t>
      </w:r>
    </w:p>
    <w:p w:rsidR="0052701D" w:rsidRDefault="00D40929">
      <w:pPr>
        <w:spacing w:after="5" w:line="271" w:lineRule="auto"/>
        <w:ind w:left="9" w:right="64"/>
        <w:jc w:val="both"/>
      </w:pPr>
      <w:r>
        <w:rPr>
          <w:rFonts w:ascii="Times New Roman" w:eastAsia="Times New Roman" w:hAnsi="Times New Roman" w:cs="Times New Roman"/>
          <w:sz w:val="28"/>
        </w:rPr>
        <w:t xml:space="preserve">где </w:t>
      </w:r>
      <w:r>
        <w:rPr>
          <w:rFonts w:ascii="Times New Roman" w:eastAsia="Times New Roman" w:hAnsi="Times New Roman" w:cs="Times New Roman"/>
          <w:b/>
          <w:i/>
          <w:sz w:val="28"/>
        </w:rPr>
        <w:t>Р</w:t>
      </w:r>
      <w:r>
        <w:rPr>
          <w:rFonts w:ascii="Times New Roman" w:eastAsia="Times New Roman" w:hAnsi="Times New Roman" w:cs="Times New Roman"/>
          <w:sz w:val="28"/>
        </w:rPr>
        <w:t xml:space="preserve"> — </w:t>
      </w:r>
      <w:r>
        <w:rPr>
          <w:rFonts w:ascii="Times New Roman" w:eastAsia="Times New Roman" w:hAnsi="Times New Roman" w:cs="Times New Roman"/>
          <w:sz w:val="28"/>
        </w:rPr>
        <w:t xml:space="preserve">оценка вероятности появления данного вида риска (безразмерная величина); </w:t>
      </w:r>
      <w:r>
        <w:rPr>
          <w:rFonts w:ascii="Times New Roman" w:eastAsia="Times New Roman" w:hAnsi="Times New Roman" w:cs="Times New Roman"/>
          <w:b/>
          <w:i/>
          <w:sz w:val="28"/>
        </w:rPr>
        <w:t>S</w:t>
      </w:r>
      <w:r>
        <w:rPr>
          <w:rFonts w:ascii="Times New Roman" w:eastAsia="Times New Roman" w:hAnsi="Times New Roman" w:cs="Times New Roman"/>
          <w:sz w:val="28"/>
        </w:rPr>
        <w:t xml:space="preserve"> — оценка значимости последствий данного вида риска при возможной его реализации, т. е. степени влияния последствий на систему (безразмерная величина).  </w:t>
      </w:r>
    </w:p>
    <w:p w:rsidR="0052701D" w:rsidRDefault="00D40929">
      <w:pPr>
        <w:spacing w:after="5" w:line="271" w:lineRule="auto"/>
        <w:ind w:left="9" w:right="64" w:firstLine="711"/>
        <w:jc w:val="both"/>
      </w:pPr>
      <w:r>
        <w:rPr>
          <w:rFonts w:ascii="Times New Roman" w:eastAsia="Times New Roman" w:hAnsi="Times New Roman" w:cs="Times New Roman"/>
          <w:sz w:val="28"/>
        </w:rPr>
        <w:t>В некоторых случаях оценка вероятности появления данного вида риска (Р) может быть заменена на оценку вероятности появления последствий риска при возможной его реализации (</w:t>
      </w:r>
      <w:r>
        <w:rPr>
          <w:rFonts w:ascii="Times New Roman" w:eastAsia="Times New Roman" w:hAnsi="Times New Roman" w:cs="Times New Roman"/>
          <w:b/>
          <w:i/>
          <w:sz w:val="28"/>
        </w:rPr>
        <w:t>С</w:t>
      </w:r>
      <w:r>
        <w:rPr>
          <w:rFonts w:ascii="Times New Roman" w:eastAsia="Times New Roman" w:hAnsi="Times New Roman" w:cs="Times New Roman"/>
          <w:sz w:val="28"/>
        </w:rPr>
        <w:t xml:space="preserve">). </w:t>
      </w:r>
    </w:p>
    <w:p w:rsidR="0052701D" w:rsidRDefault="00D40929">
      <w:pPr>
        <w:spacing w:after="25"/>
      </w:pPr>
      <w:r>
        <w:rPr>
          <w:rFonts w:ascii="Times New Roman" w:eastAsia="Times New Roman" w:hAnsi="Times New Roman" w:cs="Times New Roman"/>
          <w:sz w:val="28"/>
        </w:rPr>
        <w:t xml:space="preserve"> </w:t>
      </w:r>
    </w:p>
    <w:p w:rsidR="0052701D" w:rsidRDefault="00D40929">
      <w:pPr>
        <w:spacing w:after="5" w:line="271" w:lineRule="auto"/>
        <w:ind w:left="9" w:right="64" w:firstLine="8432"/>
        <w:jc w:val="both"/>
      </w:pPr>
      <w:r>
        <w:rPr>
          <w:rFonts w:ascii="Times New Roman" w:eastAsia="Times New Roman" w:hAnsi="Times New Roman" w:cs="Times New Roman"/>
          <w:sz w:val="28"/>
        </w:rPr>
        <w:t xml:space="preserve">Таблица 2  Пример части матрицы идентификации рисков при оценке качества ПО </w:t>
      </w:r>
    </w:p>
    <w:tbl>
      <w:tblPr>
        <w:tblStyle w:val="TableGrid"/>
        <w:tblW w:w="9782" w:type="dxa"/>
        <w:tblInd w:w="5" w:type="dxa"/>
        <w:tblCellMar>
          <w:top w:w="5" w:type="dxa"/>
          <w:left w:w="58" w:type="dxa"/>
          <w:bottom w:w="0" w:type="dxa"/>
          <w:right w:w="2" w:type="dxa"/>
        </w:tblCellMar>
        <w:tblLook w:val="04A0" w:firstRow="1" w:lastRow="0" w:firstColumn="1" w:lastColumn="0" w:noHBand="0" w:noVBand="1"/>
      </w:tblPr>
      <w:tblGrid>
        <w:gridCol w:w="1552"/>
        <w:gridCol w:w="1092"/>
        <w:gridCol w:w="1223"/>
        <w:gridCol w:w="1238"/>
        <w:gridCol w:w="1529"/>
        <w:gridCol w:w="1464"/>
        <w:gridCol w:w="297"/>
        <w:gridCol w:w="291"/>
        <w:gridCol w:w="1096"/>
      </w:tblGrid>
      <w:tr w:rsidR="0052701D">
        <w:trPr>
          <w:trHeight w:val="1253"/>
        </w:trPr>
        <w:tc>
          <w:tcPr>
            <w:tcW w:w="1570" w:type="dxa"/>
            <w:vMerge w:val="restart"/>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115" w:right="114"/>
              <w:jc w:val="center"/>
            </w:pPr>
            <w:r>
              <w:rPr>
                <w:rFonts w:ascii="Times New Roman" w:eastAsia="Times New Roman" w:hAnsi="Times New Roman" w:cs="Times New Roman"/>
              </w:rPr>
              <w:lastRenderedPageBreak/>
              <w:t xml:space="preserve">Фактор риска </w:t>
            </w:r>
          </w:p>
        </w:tc>
        <w:tc>
          <w:tcPr>
            <w:tcW w:w="1100" w:type="dxa"/>
            <w:vMerge w:val="restart"/>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jc w:val="center"/>
            </w:pPr>
            <w:r>
              <w:rPr>
                <w:rFonts w:ascii="Times New Roman" w:eastAsia="Times New Roman" w:hAnsi="Times New Roman" w:cs="Times New Roman"/>
              </w:rPr>
              <w:t xml:space="preserve">Причины появления риска </w:t>
            </w:r>
          </w:p>
        </w:tc>
        <w:tc>
          <w:tcPr>
            <w:tcW w:w="1172" w:type="dxa"/>
            <w:vMerge w:val="restart"/>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line="261" w:lineRule="auto"/>
              <w:ind w:left="2" w:right="2"/>
              <w:jc w:val="center"/>
            </w:pPr>
            <w:r>
              <w:rPr>
                <w:rFonts w:ascii="Times New Roman" w:eastAsia="Times New Roman" w:hAnsi="Times New Roman" w:cs="Times New Roman"/>
              </w:rPr>
              <w:t xml:space="preserve">«P» (оценка вероятности </w:t>
            </w:r>
          </w:p>
          <w:p w:rsidR="0052701D" w:rsidRDefault="00D40929">
            <w:pPr>
              <w:spacing w:after="0"/>
              <w:ind w:left="38"/>
              <w:jc w:val="both"/>
            </w:pPr>
            <w:r>
              <w:rPr>
                <w:rFonts w:ascii="Times New Roman" w:eastAsia="Times New Roman" w:hAnsi="Times New Roman" w:cs="Times New Roman"/>
              </w:rPr>
              <w:t xml:space="preserve">появления </w:t>
            </w:r>
          </w:p>
          <w:p w:rsidR="0052701D" w:rsidRDefault="00D40929">
            <w:pPr>
              <w:spacing w:after="0"/>
              <w:ind w:left="10" w:right="10"/>
              <w:jc w:val="center"/>
            </w:pPr>
            <w:r>
              <w:rPr>
                <w:rFonts w:ascii="Times New Roman" w:eastAsia="Times New Roman" w:hAnsi="Times New Roman" w:cs="Times New Roman"/>
              </w:rPr>
              <w:t xml:space="preserve">данного вида риска) </w:t>
            </w:r>
          </w:p>
        </w:tc>
        <w:tc>
          <w:tcPr>
            <w:tcW w:w="1186" w:type="dxa"/>
            <w:vMerge w:val="restart"/>
            <w:tcBorders>
              <w:top w:val="single" w:sz="4" w:space="0" w:color="000000"/>
              <w:left w:val="single" w:sz="4" w:space="0" w:color="000000"/>
              <w:bottom w:val="single" w:sz="4" w:space="0" w:color="000000"/>
              <w:right w:val="single" w:sz="4" w:space="0" w:color="000000"/>
            </w:tcBorders>
          </w:tcPr>
          <w:p w:rsidR="0052701D" w:rsidRDefault="00D40929">
            <w:pPr>
              <w:spacing w:after="0"/>
              <w:ind w:right="45"/>
              <w:jc w:val="center"/>
            </w:pPr>
            <w:r>
              <w:rPr>
                <w:rFonts w:ascii="Times New Roman" w:eastAsia="Times New Roman" w:hAnsi="Times New Roman" w:cs="Times New Roman"/>
              </w:rPr>
              <w:t xml:space="preserve">«S» </w:t>
            </w:r>
          </w:p>
          <w:p w:rsidR="0052701D" w:rsidRDefault="00D40929">
            <w:pPr>
              <w:spacing w:after="0" w:line="276" w:lineRule="auto"/>
              <w:jc w:val="center"/>
            </w:pPr>
            <w:r>
              <w:rPr>
                <w:rFonts w:ascii="Times New Roman" w:eastAsia="Times New Roman" w:hAnsi="Times New Roman" w:cs="Times New Roman"/>
              </w:rPr>
              <w:t>(оценка значимос-</w:t>
            </w:r>
          </w:p>
          <w:p w:rsidR="0052701D" w:rsidRDefault="00D40929">
            <w:pPr>
              <w:spacing w:after="45" w:line="234" w:lineRule="auto"/>
              <w:jc w:val="center"/>
            </w:pPr>
            <w:r>
              <w:rPr>
                <w:rFonts w:ascii="Times New Roman" w:eastAsia="Times New Roman" w:hAnsi="Times New Roman" w:cs="Times New Roman"/>
              </w:rPr>
              <w:t xml:space="preserve">ти негативных </w:t>
            </w:r>
          </w:p>
          <w:p w:rsidR="0052701D" w:rsidRDefault="00D40929">
            <w:pPr>
              <w:spacing w:after="0" w:line="276" w:lineRule="auto"/>
              <w:jc w:val="center"/>
            </w:pPr>
            <w:r>
              <w:rPr>
                <w:rFonts w:ascii="Times New Roman" w:eastAsia="Times New Roman" w:hAnsi="Times New Roman" w:cs="Times New Roman"/>
              </w:rPr>
              <w:t>последствий дан-</w:t>
            </w:r>
          </w:p>
          <w:p w:rsidR="0052701D" w:rsidRDefault="00D40929">
            <w:pPr>
              <w:spacing w:after="0" w:line="239" w:lineRule="auto"/>
              <w:ind w:left="72" w:firstLine="5"/>
              <w:jc w:val="both"/>
            </w:pPr>
            <w:r>
              <w:rPr>
                <w:rFonts w:ascii="Times New Roman" w:eastAsia="Times New Roman" w:hAnsi="Times New Roman" w:cs="Times New Roman"/>
              </w:rPr>
              <w:t xml:space="preserve">ного вида риска при </w:t>
            </w:r>
          </w:p>
          <w:p w:rsidR="0052701D" w:rsidRDefault="00D40929">
            <w:pPr>
              <w:spacing w:after="18"/>
              <w:ind w:left="14"/>
              <w:jc w:val="both"/>
            </w:pPr>
            <w:r>
              <w:rPr>
                <w:rFonts w:ascii="Times New Roman" w:eastAsia="Times New Roman" w:hAnsi="Times New Roman" w:cs="Times New Roman"/>
              </w:rPr>
              <w:t xml:space="preserve">возможной </w:t>
            </w:r>
          </w:p>
          <w:p w:rsidR="0052701D" w:rsidRDefault="00D40929">
            <w:pPr>
              <w:spacing w:after="0"/>
              <w:jc w:val="center"/>
            </w:pPr>
            <w:r>
              <w:rPr>
                <w:rFonts w:ascii="Times New Roman" w:eastAsia="Times New Roman" w:hAnsi="Times New Roman" w:cs="Times New Roman"/>
              </w:rPr>
              <w:t xml:space="preserve">его реализации) </w:t>
            </w:r>
          </w:p>
        </w:tc>
        <w:tc>
          <w:tcPr>
            <w:tcW w:w="1542" w:type="dxa"/>
            <w:vMerge w:val="restart"/>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right="51"/>
              <w:jc w:val="center"/>
            </w:pPr>
            <w:r>
              <w:rPr>
                <w:rFonts w:ascii="Times New Roman" w:eastAsia="Times New Roman" w:hAnsi="Times New Roman" w:cs="Times New Roman"/>
              </w:rPr>
              <w:t xml:space="preserve">«R» </w:t>
            </w:r>
          </w:p>
          <w:p w:rsidR="0052701D" w:rsidRDefault="00D40929">
            <w:pPr>
              <w:spacing w:after="0" w:line="273" w:lineRule="auto"/>
              <w:jc w:val="center"/>
            </w:pPr>
            <w:r>
              <w:rPr>
                <w:rFonts w:ascii="Times New Roman" w:eastAsia="Times New Roman" w:hAnsi="Times New Roman" w:cs="Times New Roman"/>
              </w:rPr>
              <w:t xml:space="preserve">(приоритетнос ть риска) </w:t>
            </w:r>
          </w:p>
          <w:p w:rsidR="0052701D" w:rsidRDefault="00D40929">
            <w:pPr>
              <w:spacing w:after="0"/>
              <w:ind w:right="48"/>
              <w:jc w:val="center"/>
            </w:pPr>
            <w:r>
              <w:rPr>
                <w:rFonts w:ascii="Times New Roman" w:eastAsia="Times New Roman" w:hAnsi="Times New Roman" w:cs="Times New Roman"/>
              </w:rPr>
              <w:t xml:space="preserve">R= P× S </w:t>
            </w:r>
          </w:p>
          <w:p w:rsidR="0052701D" w:rsidRDefault="00D40929">
            <w:pPr>
              <w:spacing w:after="0"/>
              <w:ind w:left="5"/>
              <w:jc w:val="center"/>
            </w:pPr>
            <w:r>
              <w:rPr>
                <w:rFonts w:ascii="Times New Roman" w:eastAsia="Times New Roman" w:hAnsi="Times New Roman" w:cs="Times New Roman"/>
              </w:rPr>
              <w:t xml:space="preserve"> </w:t>
            </w:r>
          </w:p>
        </w:tc>
        <w:tc>
          <w:tcPr>
            <w:tcW w:w="1445" w:type="dxa"/>
            <w:vMerge w:val="restart"/>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2" w:line="236" w:lineRule="auto"/>
              <w:jc w:val="center"/>
            </w:pPr>
            <w:r>
              <w:rPr>
                <w:rFonts w:ascii="Times New Roman" w:eastAsia="Times New Roman" w:hAnsi="Times New Roman" w:cs="Times New Roman"/>
              </w:rPr>
              <w:t xml:space="preserve">Мероприятия по снижению или </w:t>
            </w:r>
          </w:p>
          <w:p w:rsidR="0052701D" w:rsidRDefault="00D40929">
            <w:pPr>
              <w:spacing w:after="0"/>
              <w:jc w:val="center"/>
            </w:pPr>
            <w:r>
              <w:rPr>
                <w:rFonts w:ascii="Times New Roman" w:eastAsia="Times New Roman" w:hAnsi="Times New Roman" w:cs="Times New Roman"/>
              </w:rPr>
              <w:t xml:space="preserve">устранению риска </w:t>
            </w:r>
          </w:p>
        </w:tc>
        <w:tc>
          <w:tcPr>
            <w:tcW w:w="1767" w:type="dxa"/>
            <w:gridSpan w:val="3"/>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right="1"/>
              <w:jc w:val="center"/>
            </w:pPr>
            <w:r>
              <w:rPr>
                <w:rFonts w:ascii="Times New Roman" w:eastAsia="Times New Roman" w:hAnsi="Times New Roman" w:cs="Times New Roman"/>
              </w:rPr>
              <w:t xml:space="preserve">Повторная оценка рисков </w:t>
            </w:r>
          </w:p>
        </w:tc>
      </w:tr>
      <w:tr w:rsidR="0052701D">
        <w:trPr>
          <w:trHeight w:val="1796"/>
        </w:trPr>
        <w:tc>
          <w:tcPr>
            <w:tcW w:w="0" w:type="auto"/>
            <w:vMerge/>
            <w:tcBorders>
              <w:top w:val="nil"/>
              <w:left w:val="single" w:sz="4" w:space="0" w:color="000000"/>
              <w:bottom w:val="single" w:sz="4" w:space="0" w:color="000000"/>
              <w:right w:val="single" w:sz="4" w:space="0" w:color="000000"/>
            </w:tcBorders>
          </w:tcPr>
          <w:p w:rsidR="0052701D" w:rsidRDefault="0052701D"/>
        </w:tc>
        <w:tc>
          <w:tcPr>
            <w:tcW w:w="0" w:type="auto"/>
            <w:vMerge/>
            <w:tcBorders>
              <w:top w:val="nil"/>
              <w:left w:val="single" w:sz="4" w:space="0" w:color="000000"/>
              <w:bottom w:val="single" w:sz="4" w:space="0" w:color="000000"/>
              <w:right w:val="single" w:sz="4" w:space="0" w:color="000000"/>
            </w:tcBorders>
          </w:tcPr>
          <w:p w:rsidR="0052701D" w:rsidRDefault="0052701D"/>
        </w:tc>
        <w:tc>
          <w:tcPr>
            <w:tcW w:w="0" w:type="auto"/>
            <w:vMerge/>
            <w:tcBorders>
              <w:top w:val="nil"/>
              <w:left w:val="single" w:sz="4" w:space="0" w:color="000000"/>
              <w:bottom w:val="single" w:sz="4" w:space="0" w:color="000000"/>
              <w:right w:val="single" w:sz="4" w:space="0" w:color="000000"/>
            </w:tcBorders>
          </w:tcPr>
          <w:p w:rsidR="0052701D" w:rsidRDefault="0052701D"/>
        </w:tc>
        <w:tc>
          <w:tcPr>
            <w:tcW w:w="0" w:type="auto"/>
            <w:vMerge/>
            <w:tcBorders>
              <w:top w:val="nil"/>
              <w:left w:val="single" w:sz="4" w:space="0" w:color="000000"/>
              <w:bottom w:val="single" w:sz="4" w:space="0" w:color="000000"/>
              <w:right w:val="single" w:sz="4" w:space="0" w:color="000000"/>
            </w:tcBorders>
          </w:tcPr>
          <w:p w:rsidR="0052701D" w:rsidRDefault="0052701D"/>
        </w:tc>
        <w:tc>
          <w:tcPr>
            <w:tcW w:w="0" w:type="auto"/>
            <w:vMerge/>
            <w:tcBorders>
              <w:top w:val="nil"/>
              <w:left w:val="single" w:sz="4" w:space="0" w:color="000000"/>
              <w:bottom w:val="single" w:sz="4" w:space="0" w:color="000000"/>
              <w:right w:val="single" w:sz="4" w:space="0" w:color="000000"/>
            </w:tcBorders>
          </w:tcPr>
          <w:p w:rsidR="0052701D" w:rsidRDefault="0052701D"/>
        </w:tc>
        <w:tc>
          <w:tcPr>
            <w:tcW w:w="0" w:type="auto"/>
            <w:vMerge/>
            <w:tcBorders>
              <w:top w:val="nil"/>
              <w:left w:val="single" w:sz="4" w:space="0" w:color="000000"/>
              <w:bottom w:val="single" w:sz="4" w:space="0" w:color="000000"/>
              <w:right w:val="single" w:sz="4" w:space="0" w:color="000000"/>
            </w:tcBorders>
          </w:tcPr>
          <w:p w:rsidR="0052701D" w:rsidRDefault="0052701D"/>
        </w:tc>
        <w:tc>
          <w:tcPr>
            <w:tcW w:w="298"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29"/>
              <w:jc w:val="both"/>
            </w:pPr>
            <w:r>
              <w:rPr>
                <w:rFonts w:ascii="Times New Roman" w:eastAsia="Times New Roman" w:hAnsi="Times New Roman" w:cs="Times New Roman"/>
              </w:rPr>
              <w:t xml:space="preserve">P </w:t>
            </w:r>
          </w:p>
        </w:tc>
        <w:tc>
          <w:tcPr>
            <w:tcW w:w="293"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29"/>
              <w:jc w:val="both"/>
            </w:pPr>
            <w:r>
              <w:rPr>
                <w:rFonts w:ascii="Times New Roman" w:eastAsia="Times New Roman" w:hAnsi="Times New Roman" w:cs="Times New Roman"/>
              </w:rPr>
              <w:t xml:space="preserve">S </w:t>
            </w:r>
          </w:p>
        </w:tc>
        <w:tc>
          <w:tcPr>
            <w:tcW w:w="1177"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right="49"/>
              <w:jc w:val="center"/>
            </w:pPr>
            <w:r>
              <w:rPr>
                <w:rFonts w:ascii="Times New Roman" w:eastAsia="Times New Roman" w:hAnsi="Times New Roman" w:cs="Times New Roman"/>
              </w:rPr>
              <w:t xml:space="preserve">R= P× S </w:t>
            </w:r>
          </w:p>
        </w:tc>
      </w:tr>
      <w:tr w:rsidR="0052701D">
        <w:trPr>
          <w:trHeight w:val="2036"/>
        </w:trPr>
        <w:tc>
          <w:tcPr>
            <w:tcW w:w="1570"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line="239" w:lineRule="auto"/>
              <w:jc w:val="center"/>
            </w:pPr>
            <w:r>
              <w:rPr>
                <w:rFonts w:ascii="Times New Roman" w:eastAsia="Times New Roman" w:hAnsi="Times New Roman" w:cs="Times New Roman"/>
              </w:rPr>
              <w:t>Требования к характеристик</w:t>
            </w:r>
          </w:p>
          <w:p w:rsidR="0052701D" w:rsidRDefault="00D40929">
            <w:pPr>
              <w:spacing w:after="15"/>
              <w:ind w:right="59"/>
              <w:jc w:val="center"/>
            </w:pPr>
            <w:r>
              <w:rPr>
                <w:rFonts w:ascii="Times New Roman" w:eastAsia="Times New Roman" w:hAnsi="Times New Roman" w:cs="Times New Roman"/>
              </w:rPr>
              <w:t xml:space="preserve">ам качества </w:t>
            </w:r>
          </w:p>
          <w:p w:rsidR="0052701D" w:rsidRDefault="00D40929">
            <w:pPr>
              <w:spacing w:after="0"/>
              <w:ind w:right="49"/>
              <w:jc w:val="center"/>
            </w:pPr>
            <w:r>
              <w:rPr>
                <w:rFonts w:ascii="Times New Roman" w:eastAsia="Times New Roman" w:hAnsi="Times New Roman" w:cs="Times New Roman"/>
              </w:rPr>
              <w:t xml:space="preserve">ПО </w:t>
            </w:r>
          </w:p>
        </w:tc>
        <w:tc>
          <w:tcPr>
            <w:tcW w:w="1100"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39"/>
              <w:jc w:val="both"/>
            </w:pPr>
            <w:r>
              <w:rPr>
                <w:rFonts w:ascii="Times New Roman" w:eastAsia="Times New Roman" w:hAnsi="Times New Roman" w:cs="Times New Roman"/>
              </w:rPr>
              <w:t>Неполнот</w:t>
            </w:r>
          </w:p>
          <w:p w:rsidR="0052701D" w:rsidRDefault="00D40929">
            <w:pPr>
              <w:spacing w:after="0"/>
              <w:ind w:right="48"/>
              <w:jc w:val="center"/>
            </w:pPr>
            <w:r>
              <w:rPr>
                <w:rFonts w:ascii="Times New Roman" w:eastAsia="Times New Roman" w:hAnsi="Times New Roman" w:cs="Times New Roman"/>
              </w:rPr>
              <w:t xml:space="preserve">а </w:t>
            </w:r>
          </w:p>
          <w:p w:rsidR="0052701D" w:rsidRDefault="00D40929">
            <w:pPr>
              <w:spacing w:after="8"/>
              <w:ind w:left="14"/>
              <w:jc w:val="both"/>
            </w:pPr>
            <w:r>
              <w:rPr>
                <w:rFonts w:ascii="Times New Roman" w:eastAsia="Times New Roman" w:hAnsi="Times New Roman" w:cs="Times New Roman"/>
              </w:rPr>
              <w:t>требовани</w:t>
            </w:r>
          </w:p>
          <w:p w:rsidR="0052701D" w:rsidRDefault="00D40929">
            <w:pPr>
              <w:spacing w:after="0"/>
              <w:ind w:right="47"/>
              <w:jc w:val="center"/>
            </w:pPr>
            <w:r>
              <w:rPr>
                <w:rFonts w:ascii="Times New Roman" w:eastAsia="Times New Roman" w:hAnsi="Times New Roman" w:cs="Times New Roman"/>
              </w:rPr>
              <w:t xml:space="preserve">й </w:t>
            </w:r>
          </w:p>
        </w:tc>
        <w:tc>
          <w:tcPr>
            <w:tcW w:w="1172"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right="49"/>
              <w:jc w:val="center"/>
            </w:pPr>
            <w:r>
              <w:rPr>
                <w:rFonts w:ascii="Times New Roman" w:eastAsia="Times New Roman" w:hAnsi="Times New Roman" w:cs="Times New Roman"/>
              </w:rPr>
              <w:t xml:space="preserve">2 (0,1) </w:t>
            </w:r>
          </w:p>
        </w:tc>
        <w:tc>
          <w:tcPr>
            <w:tcW w:w="1186"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right="44"/>
              <w:jc w:val="center"/>
            </w:pPr>
            <w:r>
              <w:rPr>
                <w:rFonts w:ascii="Times New Roman" w:eastAsia="Times New Roman" w:hAnsi="Times New Roman" w:cs="Times New Roman"/>
              </w:rPr>
              <w:t xml:space="preserve">3 (0,2) </w:t>
            </w:r>
          </w:p>
        </w:tc>
        <w:tc>
          <w:tcPr>
            <w:tcW w:w="1542"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right="46"/>
              <w:jc w:val="center"/>
            </w:pPr>
            <w:r>
              <w:rPr>
                <w:rFonts w:ascii="Times New Roman" w:eastAsia="Times New Roman" w:hAnsi="Times New Roman" w:cs="Times New Roman"/>
              </w:rPr>
              <w:t xml:space="preserve">0,02 </w:t>
            </w:r>
          </w:p>
        </w:tc>
        <w:tc>
          <w:tcPr>
            <w:tcW w:w="144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4"/>
              <w:jc w:val="both"/>
            </w:pPr>
            <w:r>
              <w:rPr>
                <w:rFonts w:ascii="Times New Roman" w:eastAsia="Times New Roman" w:hAnsi="Times New Roman" w:cs="Times New Roman"/>
              </w:rPr>
              <w:t>Корректиров-</w:t>
            </w:r>
          </w:p>
          <w:p w:rsidR="0052701D" w:rsidRDefault="00D40929">
            <w:pPr>
              <w:spacing w:after="0"/>
              <w:ind w:right="49"/>
              <w:jc w:val="center"/>
            </w:pPr>
            <w:r>
              <w:rPr>
                <w:rFonts w:ascii="Times New Roman" w:eastAsia="Times New Roman" w:hAnsi="Times New Roman" w:cs="Times New Roman"/>
              </w:rPr>
              <w:t xml:space="preserve">ка </w:t>
            </w:r>
          </w:p>
          <w:p w:rsidR="0052701D" w:rsidRDefault="00D40929">
            <w:pPr>
              <w:spacing w:after="19"/>
              <w:ind w:left="48"/>
            </w:pPr>
            <w:r>
              <w:rPr>
                <w:rFonts w:ascii="Times New Roman" w:eastAsia="Times New Roman" w:hAnsi="Times New Roman" w:cs="Times New Roman"/>
              </w:rPr>
              <w:t xml:space="preserve">требований к </w:t>
            </w:r>
          </w:p>
          <w:p w:rsidR="0052701D" w:rsidRDefault="00D40929">
            <w:pPr>
              <w:spacing w:after="0" w:line="239" w:lineRule="auto"/>
              <w:jc w:val="center"/>
            </w:pPr>
            <w:r>
              <w:rPr>
                <w:rFonts w:ascii="Times New Roman" w:eastAsia="Times New Roman" w:hAnsi="Times New Roman" w:cs="Times New Roman"/>
              </w:rPr>
              <w:t xml:space="preserve">установленной </w:t>
            </w:r>
          </w:p>
          <w:p w:rsidR="0052701D" w:rsidRDefault="00D40929">
            <w:pPr>
              <w:spacing w:after="0"/>
              <w:ind w:left="43"/>
              <w:jc w:val="both"/>
            </w:pPr>
            <w:r>
              <w:rPr>
                <w:rFonts w:ascii="Times New Roman" w:eastAsia="Times New Roman" w:hAnsi="Times New Roman" w:cs="Times New Roman"/>
              </w:rPr>
              <w:t>характеристи</w:t>
            </w:r>
          </w:p>
          <w:p w:rsidR="0052701D" w:rsidRDefault="00D40929">
            <w:pPr>
              <w:spacing w:after="15"/>
              <w:ind w:right="54"/>
              <w:jc w:val="center"/>
            </w:pPr>
            <w:r>
              <w:rPr>
                <w:rFonts w:ascii="Times New Roman" w:eastAsia="Times New Roman" w:hAnsi="Times New Roman" w:cs="Times New Roman"/>
              </w:rPr>
              <w:t xml:space="preserve">ке качества </w:t>
            </w:r>
          </w:p>
          <w:p w:rsidR="0052701D" w:rsidRDefault="00D40929">
            <w:pPr>
              <w:spacing w:after="0"/>
              <w:ind w:right="50"/>
              <w:jc w:val="center"/>
            </w:pPr>
            <w:r>
              <w:rPr>
                <w:rFonts w:ascii="Times New Roman" w:eastAsia="Times New Roman" w:hAnsi="Times New Roman" w:cs="Times New Roman"/>
              </w:rPr>
              <w:t xml:space="preserve">ПО </w:t>
            </w:r>
          </w:p>
        </w:tc>
        <w:tc>
          <w:tcPr>
            <w:tcW w:w="298"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jc w:val="center"/>
            </w:pPr>
            <w:r>
              <w:rPr>
                <w:rFonts w:ascii="Times New Roman" w:eastAsia="Times New Roman" w:hAnsi="Times New Roman" w:cs="Times New Roman"/>
              </w:rPr>
              <w:t xml:space="preserve"> </w:t>
            </w:r>
          </w:p>
        </w:tc>
        <w:tc>
          <w:tcPr>
            <w:tcW w:w="293"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5"/>
              <w:jc w:val="center"/>
            </w:pPr>
            <w:r>
              <w:rPr>
                <w:rFonts w:ascii="Times New Roman" w:eastAsia="Times New Roman" w:hAnsi="Times New Roman" w:cs="Times New Roman"/>
              </w:rPr>
              <w:t xml:space="preserve"> </w:t>
            </w:r>
          </w:p>
        </w:tc>
        <w:tc>
          <w:tcPr>
            <w:tcW w:w="1177"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5"/>
              <w:jc w:val="center"/>
            </w:pPr>
            <w:r>
              <w:rPr>
                <w:rFonts w:ascii="Times New Roman" w:eastAsia="Times New Roman" w:hAnsi="Times New Roman" w:cs="Times New Roman"/>
              </w:rPr>
              <w:t xml:space="preserve"> </w:t>
            </w:r>
          </w:p>
        </w:tc>
      </w:tr>
      <w:tr w:rsidR="0052701D">
        <w:trPr>
          <w:trHeight w:val="264"/>
        </w:trPr>
        <w:tc>
          <w:tcPr>
            <w:tcW w:w="1570"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 </w:t>
            </w:r>
          </w:p>
        </w:tc>
        <w:tc>
          <w:tcPr>
            <w:tcW w:w="110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rPr>
              <w:t xml:space="preserve"> </w:t>
            </w:r>
          </w:p>
        </w:tc>
        <w:tc>
          <w:tcPr>
            <w:tcW w:w="1172"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 </w:t>
            </w:r>
          </w:p>
        </w:tc>
        <w:tc>
          <w:tcPr>
            <w:tcW w:w="118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 </w:t>
            </w:r>
          </w:p>
        </w:tc>
        <w:tc>
          <w:tcPr>
            <w:tcW w:w="1542"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 </w:t>
            </w:r>
          </w:p>
        </w:tc>
        <w:tc>
          <w:tcPr>
            <w:tcW w:w="144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rPr>
              <w:t xml:space="preserve"> </w:t>
            </w:r>
          </w:p>
        </w:tc>
        <w:tc>
          <w:tcPr>
            <w:tcW w:w="298"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 </w:t>
            </w:r>
          </w:p>
        </w:tc>
        <w:tc>
          <w:tcPr>
            <w:tcW w:w="293"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 </w:t>
            </w:r>
          </w:p>
        </w:tc>
        <w:tc>
          <w:tcPr>
            <w:tcW w:w="117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rPr>
              <w:t xml:space="preserve"> </w:t>
            </w:r>
          </w:p>
        </w:tc>
      </w:tr>
    </w:tbl>
    <w:p w:rsidR="0052701D" w:rsidRDefault="00D40929">
      <w:pPr>
        <w:spacing w:after="31"/>
      </w:pPr>
      <w:r>
        <w:rPr>
          <w:rFonts w:ascii="Times New Roman" w:eastAsia="Times New Roman" w:hAnsi="Times New Roman" w:cs="Times New Roman"/>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При оценке качества программного обеспечения вероятность появления риска определенного вида обычно определяется вероятностью возникновения дефекта, относящегося к риску, а влияние (воздействие) определяется стоимостью или серьезностью дефекта, если он возн</w:t>
      </w:r>
      <w:r>
        <w:rPr>
          <w:rFonts w:ascii="Times New Roman" w:eastAsia="Times New Roman" w:hAnsi="Times New Roman" w:cs="Times New Roman"/>
          <w:sz w:val="28"/>
        </w:rPr>
        <w:t xml:space="preserve">икает в процессе эксплуатации. Значения подверженности риску оцениваются во время разработки до того, как станет доступна информация о том, является ли элемент риска фактически дефектным или нет. Все перечисленные параметры обычно оцениваются эвристически </w:t>
      </w:r>
      <w:r>
        <w:rPr>
          <w:rFonts w:ascii="Times New Roman" w:eastAsia="Times New Roman" w:hAnsi="Times New Roman" w:cs="Times New Roman"/>
          <w:sz w:val="28"/>
        </w:rPr>
        <w:t xml:space="preserve">(вручную). </w:t>
      </w:r>
    </w:p>
    <w:p w:rsidR="0052701D" w:rsidRDefault="00D40929">
      <w:pPr>
        <w:spacing w:after="5" w:line="271" w:lineRule="auto"/>
        <w:ind w:left="9" w:right="64" w:firstLine="567"/>
        <w:jc w:val="both"/>
      </w:pPr>
      <w:r>
        <w:rPr>
          <w:rFonts w:ascii="Times New Roman" w:eastAsia="Times New Roman" w:hAnsi="Times New Roman" w:cs="Times New Roman"/>
          <w:sz w:val="28"/>
        </w:rPr>
        <w:t>На основе оценки вероятности появления риска (степень подверженности риску) элементам риска обычно присваивается приоритет и назначаются уровни риска. Полученная информация о рисках используется для поддержки решений на всех этапах процесса оце</w:t>
      </w:r>
      <w:r>
        <w:rPr>
          <w:rFonts w:ascii="Times New Roman" w:eastAsia="Times New Roman" w:hAnsi="Times New Roman" w:cs="Times New Roman"/>
          <w:sz w:val="28"/>
        </w:rPr>
        <w:t xml:space="preserve">нки качества ПО. </w:t>
      </w:r>
    </w:p>
    <w:p w:rsidR="0052701D" w:rsidRDefault="00D40929">
      <w:pPr>
        <w:spacing w:after="5" w:line="251" w:lineRule="auto"/>
        <w:ind w:left="720" w:firstLine="9"/>
      </w:pPr>
      <w:r>
        <w:rPr>
          <w:rFonts w:ascii="Times New Roman" w:eastAsia="Times New Roman" w:hAnsi="Times New Roman" w:cs="Times New Roman"/>
          <w:b/>
          <w:sz w:val="28"/>
        </w:rPr>
        <w:t xml:space="preserve">3. Алгоритм оценки качества ПО с учетом рисков </w:t>
      </w:r>
    </w:p>
    <w:p w:rsidR="0052701D" w:rsidRDefault="00D40929">
      <w:pPr>
        <w:spacing w:after="5" w:line="271" w:lineRule="auto"/>
        <w:ind w:left="9" w:right="64" w:firstLine="711"/>
        <w:jc w:val="both"/>
      </w:pPr>
      <w:r>
        <w:rPr>
          <w:rFonts w:ascii="Times New Roman" w:eastAsia="Times New Roman" w:hAnsi="Times New Roman" w:cs="Times New Roman"/>
          <w:sz w:val="28"/>
        </w:rPr>
        <w:t>Основная идея оценки качества ПО с учетом рисков заключается в интеграции процесса оценки качества ПО на основе использования модели качества и процесса оценки рисков качества. При этом необ</w:t>
      </w:r>
      <w:r>
        <w:rPr>
          <w:rFonts w:ascii="Times New Roman" w:eastAsia="Times New Roman" w:hAnsi="Times New Roman" w:cs="Times New Roman"/>
          <w:sz w:val="28"/>
        </w:rPr>
        <w:t xml:space="preserve">ходимо обработать результаты оценки качества ПО, полученные на основе использования модели качества, таким образом, чтобы они учитывали данные оценки рисков качества.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Для реализации этого подхода необходимо выполнить следующие процедуры:  </w:t>
      </w:r>
    </w:p>
    <w:p w:rsidR="0052701D" w:rsidRDefault="00D40929">
      <w:pPr>
        <w:numPr>
          <w:ilvl w:val="0"/>
          <w:numId w:val="15"/>
        </w:numPr>
        <w:spacing w:after="5" w:line="271" w:lineRule="auto"/>
        <w:ind w:right="64" w:firstLine="711"/>
        <w:jc w:val="both"/>
      </w:pPr>
      <w:r>
        <w:rPr>
          <w:rFonts w:ascii="Times New Roman" w:eastAsia="Times New Roman" w:hAnsi="Times New Roman" w:cs="Times New Roman"/>
          <w:sz w:val="28"/>
        </w:rPr>
        <w:t xml:space="preserve">оцениваемый программный продукт представить в виде иерархической структуры компонентов или модулей программной системы. Модуль - это самостоятельная часть программной системы, имеющая определенное назначение и обеспечивающая заданные функции обработки </w:t>
      </w:r>
      <w:r>
        <w:rPr>
          <w:rFonts w:ascii="Times New Roman" w:eastAsia="Times New Roman" w:hAnsi="Times New Roman" w:cs="Times New Roman"/>
          <w:sz w:val="28"/>
        </w:rPr>
        <w:lastRenderedPageBreak/>
        <w:t>авто</w:t>
      </w:r>
      <w:r>
        <w:rPr>
          <w:rFonts w:ascii="Times New Roman" w:eastAsia="Times New Roman" w:hAnsi="Times New Roman" w:cs="Times New Roman"/>
          <w:sz w:val="28"/>
        </w:rPr>
        <w:t xml:space="preserve">номно от других программных модулей. Компоненты могут содержать несколько модулей. </w:t>
      </w:r>
    </w:p>
    <w:p w:rsidR="0052701D" w:rsidRDefault="00D40929">
      <w:pPr>
        <w:numPr>
          <w:ilvl w:val="0"/>
          <w:numId w:val="15"/>
        </w:numPr>
        <w:spacing w:after="5" w:line="271" w:lineRule="auto"/>
        <w:ind w:right="64" w:firstLine="711"/>
        <w:jc w:val="both"/>
      </w:pPr>
      <w:r>
        <w:rPr>
          <w:rFonts w:ascii="Times New Roman" w:eastAsia="Times New Roman" w:hAnsi="Times New Roman" w:cs="Times New Roman"/>
          <w:sz w:val="28"/>
        </w:rPr>
        <w:t xml:space="preserve">выбор адекватной модели качества для каждого компонента оцениваемой программной системы с учетом его особенностей и требований к оценке качества; </w:t>
      </w:r>
    </w:p>
    <w:p w:rsidR="0052701D" w:rsidRDefault="00D40929">
      <w:pPr>
        <w:numPr>
          <w:ilvl w:val="0"/>
          <w:numId w:val="15"/>
        </w:numPr>
        <w:spacing w:after="5" w:line="271" w:lineRule="auto"/>
        <w:ind w:right="64" w:firstLine="711"/>
        <w:jc w:val="both"/>
      </w:pPr>
      <w:r>
        <w:rPr>
          <w:rFonts w:ascii="Times New Roman" w:eastAsia="Times New Roman" w:hAnsi="Times New Roman" w:cs="Times New Roman"/>
          <w:sz w:val="28"/>
        </w:rPr>
        <w:t>определение экспертной гр</w:t>
      </w:r>
      <w:r>
        <w:rPr>
          <w:rFonts w:ascii="Times New Roman" w:eastAsia="Times New Roman" w:hAnsi="Times New Roman" w:cs="Times New Roman"/>
          <w:sz w:val="28"/>
        </w:rPr>
        <w:t xml:space="preserve">уппой видов рисков и их причин; </w:t>
      </w:r>
    </w:p>
    <w:p w:rsidR="0052701D" w:rsidRDefault="00D40929">
      <w:pPr>
        <w:numPr>
          <w:ilvl w:val="0"/>
          <w:numId w:val="15"/>
        </w:numPr>
        <w:spacing w:after="5" w:line="271" w:lineRule="auto"/>
        <w:ind w:right="64" w:firstLine="711"/>
        <w:jc w:val="both"/>
      </w:pPr>
      <w:r>
        <w:rPr>
          <w:rFonts w:ascii="Times New Roman" w:eastAsia="Times New Roman" w:hAnsi="Times New Roman" w:cs="Times New Roman"/>
          <w:sz w:val="28"/>
        </w:rPr>
        <w:t>экспертная группа установила, исходя из оценки текущей ситуации, по пятибалльной шкале показателей вероятности риска «</w:t>
      </w:r>
      <w:r>
        <w:rPr>
          <w:rFonts w:ascii="Times New Roman" w:eastAsia="Times New Roman" w:hAnsi="Times New Roman" w:cs="Times New Roman"/>
          <w:b/>
          <w:i/>
          <w:sz w:val="28"/>
        </w:rPr>
        <w:t>Р</w:t>
      </w:r>
      <w:r>
        <w:rPr>
          <w:rFonts w:ascii="Times New Roman" w:eastAsia="Times New Roman" w:hAnsi="Times New Roman" w:cs="Times New Roman"/>
          <w:sz w:val="28"/>
        </w:rPr>
        <w:t>» и тяжести последствий риска«</w:t>
      </w:r>
      <w:r>
        <w:rPr>
          <w:rFonts w:ascii="Times New Roman" w:eastAsia="Times New Roman" w:hAnsi="Times New Roman" w:cs="Times New Roman"/>
          <w:b/>
          <w:i/>
          <w:sz w:val="28"/>
        </w:rPr>
        <w:t>S</w:t>
      </w:r>
      <w:r>
        <w:rPr>
          <w:rFonts w:ascii="Times New Roman" w:eastAsia="Times New Roman" w:hAnsi="Times New Roman" w:cs="Times New Roman"/>
          <w:sz w:val="28"/>
        </w:rPr>
        <w:t xml:space="preserve">». </w:t>
      </w:r>
    </w:p>
    <w:p w:rsidR="0052701D" w:rsidRDefault="00D40929">
      <w:pPr>
        <w:numPr>
          <w:ilvl w:val="0"/>
          <w:numId w:val="15"/>
        </w:numPr>
        <w:spacing w:after="5" w:line="271" w:lineRule="auto"/>
        <w:ind w:right="64" w:firstLine="711"/>
        <w:jc w:val="both"/>
      </w:pPr>
      <w:r>
        <w:rPr>
          <w:rFonts w:ascii="Times New Roman" w:eastAsia="Times New Roman" w:hAnsi="Times New Roman" w:cs="Times New Roman"/>
          <w:sz w:val="28"/>
        </w:rPr>
        <w:t>выполнение оценки качества каждого компонента на основе выбранной мод</w:t>
      </w:r>
      <w:r>
        <w:rPr>
          <w:rFonts w:ascii="Times New Roman" w:eastAsia="Times New Roman" w:hAnsi="Times New Roman" w:cs="Times New Roman"/>
          <w:sz w:val="28"/>
        </w:rPr>
        <w:t xml:space="preserve">ели качества (настройка модели качества), при этом применяемые характеристики, критерии и показатели качества должны быть одинаковыми для каждой оценки качества; </w:t>
      </w:r>
    </w:p>
    <w:p w:rsidR="0052701D" w:rsidRDefault="00D40929">
      <w:pPr>
        <w:numPr>
          <w:ilvl w:val="0"/>
          <w:numId w:val="15"/>
        </w:numPr>
        <w:spacing w:after="5" w:line="271" w:lineRule="auto"/>
        <w:ind w:right="64" w:firstLine="711"/>
        <w:jc w:val="both"/>
      </w:pPr>
      <w:r>
        <w:rPr>
          <w:rFonts w:ascii="Times New Roman" w:eastAsia="Times New Roman" w:hAnsi="Times New Roman" w:cs="Times New Roman"/>
          <w:sz w:val="28"/>
        </w:rPr>
        <w:t xml:space="preserve">результаты оценки качества каждого компонента затем должны быть дополнительно обработаны для </w:t>
      </w:r>
      <w:r>
        <w:rPr>
          <w:rFonts w:ascii="Times New Roman" w:eastAsia="Times New Roman" w:hAnsi="Times New Roman" w:cs="Times New Roman"/>
          <w:sz w:val="28"/>
        </w:rPr>
        <w:t>получения оценки вероятности риска (</w:t>
      </w:r>
      <w:r>
        <w:rPr>
          <w:rFonts w:ascii="Times New Roman" w:eastAsia="Times New Roman" w:hAnsi="Times New Roman" w:cs="Times New Roman"/>
          <w:b/>
          <w:i/>
          <w:sz w:val="28"/>
        </w:rPr>
        <w:t>Р</w:t>
      </w:r>
      <w:r>
        <w:rPr>
          <w:rFonts w:ascii="Times New Roman" w:eastAsia="Times New Roman" w:hAnsi="Times New Roman" w:cs="Times New Roman"/>
          <w:sz w:val="28"/>
        </w:rPr>
        <w:t xml:space="preserve">), свойственного этому компоненту (предполагается, что компоненты высокого качества имеют низкую вероятность дефектов, и наоборот); </w:t>
      </w:r>
    </w:p>
    <w:p w:rsidR="0052701D" w:rsidRDefault="00D40929">
      <w:pPr>
        <w:numPr>
          <w:ilvl w:val="0"/>
          <w:numId w:val="15"/>
        </w:numPr>
        <w:spacing w:after="5" w:line="271" w:lineRule="auto"/>
        <w:ind w:right="64" w:firstLine="711"/>
        <w:jc w:val="both"/>
      </w:pPr>
      <w:r>
        <w:rPr>
          <w:rFonts w:ascii="Times New Roman" w:eastAsia="Times New Roman" w:hAnsi="Times New Roman" w:cs="Times New Roman"/>
          <w:sz w:val="28"/>
        </w:rPr>
        <w:t>для каждого компонента определяются фактор воздействия и оценивается значимость послед</w:t>
      </w:r>
      <w:r>
        <w:rPr>
          <w:rFonts w:ascii="Times New Roman" w:eastAsia="Times New Roman" w:hAnsi="Times New Roman" w:cs="Times New Roman"/>
          <w:sz w:val="28"/>
        </w:rPr>
        <w:t>ствий (</w:t>
      </w:r>
      <w:r>
        <w:rPr>
          <w:rFonts w:ascii="Times New Roman" w:eastAsia="Times New Roman" w:hAnsi="Times New Roman" w:cs="Times New Roman"/>
          <w:b/>
          <w:i/>
          <w:sz w:val="28"/>
        </w:rPr>
        <w:t>S</w:t>
      </w:r>
      <w:r>
        <w:rPr>
          <w:rFonts w:ascii="Times New Roman" w:eastAsia="Times New Roman" w:hAnsi="Times New Roman" w:cs="Times New Roman"/>
          <w:sz w:val="28"/>
        </w:rPr>
        <w:t xml:space="preserve">) данного вида риска при возможной его реализации; </w:t>
      </w:r>
    </w:p>
    <w:p w:rsidR="0052701D" w:rsidRDefault="00D40929">
      <w:pPr>
        <w:numPr>
          <w:ilvl w:val="0"/>
          <w:numId w:val="15"/>
        </w:numPr>
        <w:spacing w:after="5" w:line="271" w:lineRule="auto"/>
        <w:ind w:right="64" w:firstLine="711"/>
        <w:jc w:val="both"/>
      </w:pPr>
      <w:r>
        <w:rPr>
          <w:rFonts w:ascii="Times New Roman" w:eastAsia="Times New Roman" w:hAnsi="Times New Roman" w:cs="Times New Roman"/>
          <w:sz w:val="28"/>
        </w:rPr>
        <w:t xml:space="preserve">выполняется расчет приоритетности риска для каждого компонента </w:t>
      </w:r>
      <w:r>
        <w:rPr>
          <w:rFonts w:ascii="Times New Roman" w:eastAsia="Times New Roman" w:hAnsi="Times New Roman" w:cs="Times New Roman"/>
          <w:b/>
          <w:i/>
          <w:sz w:val="28"/>
        </w:rPr>
        <w:t>R= P×S</w:t>
      </w:r>
      <w:r>
        <w:rPr>
          <w:rFonts w:ascii="Times New Roman" w:eastAsia="Times New Roman" w:hAnsi="Times New Roman" w:cs="Times New Roman"/>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На основе рассчитанного показателя приоритетности риска для каждого компонента можно предположить, что компонент, который и</w:t>
      </w:r>
      <w:r>
        <w:rPr>
          <w:rFonts w:ascii="Times New Roman" w:eastAsia="Times New Roman" w:hAnsi="Times New Roman" w:cs="Times New Roman"/>
          <w:sz w:val="28"/>
        </w:rPr>
        <w:t xml:space="preserve">меет более высокое значение приоритетности риска, имеет более высокую вероятность дефектов. Для компонентов ПО, для которых были получены неприемлемые значения риска, должны быть назначена процедура повторной оценки качества с применением других методов.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Предлагаемый подход к оценке качества ПО с учетом рисков может быть реализован в двух вариантах: </w:t>
      </w:r>
    </w:p>
    <w:p w:rsidR="0052701D" w:rsidRDefault="00D40929">
      <w:pPr>
        <w:numPr>
          <w:ilvl w:val="0"/>
          <w:numId w:val="16"/>
        </w:numPr>
        <w:spacing w:after="5" w:line="271" w:lineRule="auto"/>
        <w:ind w:right="64" w:firstLine="711"/>
        <w:jc w:val="both"/>
      </w:pPr>
      <w:r>
        <w:rPr>
          <w:rFonts w:ascii="Times New Roman" w:eastAsia="Times New Roman" w:hAnsi="Times New Roman" w:cs="Times New Roman"/>
          <w:sz w:val="28"/>
        </w:rPr>
        <w:t>на основе отдельной оценки качества для каждого компонента программного продукта используя для определения приоритетности риска метрики на самом низком уровне</w:t>
      </w:r>
      <w:r>
        <w:rPr>
          <w:rFonts w:ascii="Times New Roman" w:eastAsia="Times New Roman" w:hAnsi="Times New Roman" w:cs="Times New Roman"/>
          <w:sz w:val="28"/>
        </w:rPr>
        <w:t xml:space="preserve"> иерархии модели качества; </w:t>
      </w:r>
    </w:p>
    <w:p w:rsidR="0052701D" w:rsidRDefault="00D40929">
      <w:pPr>
        <w:numPr>
          <w:ilvl w:val="0"/>
          <w:numId w:val="16"/>
        </w:numPr>
        <w:spacing w:after="5" w:line="271" w:lineRule="auto"/>
        <w:ind w:right="64" w:firstLine="711"/>
        <w:jc w:val="both"/>
      </w:pPr>
      <w:r>
        <w:rPr>
          <w:rFonts w:ascii="Times New Roman" w:eastAsia="Times New Roman" w:hAnsi="Times New Roman" w:cs="Times New Roman"/>
          <w:sz w:val="28"/>
        </w:rPr>
        <w:t>на основе результатов одной единственной оценки качества программного продукта, независимо от того, сколько компонентов содержит программный продукт. В этом случае для определения приоритетности риска используются результаты оце</w:t>
      </w:r>
      <w:r>
        <w:rPr>
          <w:rFonts w:ascii="Times New Roman" w:eastAsia="Times New Roman" w:hAnsi="Times New Roman" w:cs="Times New Roman"/>
          <w:sz w:val="28"/>
        </w:rPr>
        <w:t xml:space="preserve">нки качества, представленные характеристиками качества ПО самого верхнего уровня иерархии модели качества.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Решение о том, какой из этих двух вариантов применить, необходимо принимать для каждой конкретной модели качества.  </w:t>
      </w:r>
    </w:p>
    <w:p w:rsidR="0052701D" w:rsidRDefault="00D40929">
      <w:pPr>
        <w:spacing w:after="5" w:line="251" w:lineRule="auto"/>
        <w:ind w:left="720" w:firstLine="9"/>
      </w:pPr>
      <w:r>
        <w:rPr>
          <w:rFonts w:ascii="Times New Roman" w:eastAsia="Times New Roman" w:hAnsi="Times New Roman" w:cs="Times New Roman"/>
          <w:b/>
          <w:sz w:val="28"/>
        </w:rPr>
        <w:lastRenderedPageBreak/>
        <w:t xml:space="preserve">4. Заключение  </w:t>
      </w:r>
    </w:p>
    <w:p w:rsidR="0052701D" w:rsidRDefault="00D40929">
      <w:pPr>
        <w:spacing w:after="5" w:line="271" w:lineRule="auto"/>
        <w:ind w:left="9" w:right="64" w:firstLine="711"/>
        <w:jc w:val="both"/>
      </w:pPr>
      <w:r>
        <w:rPr>
          <w:rFonts w:ascii="Times New Roman" w:eastAsia="Times New Roman" w:hAnsi="Times New Roman" w:cs="Times New Roman"/>
          <w:sz w:val="28"/>
        </w:rPr>
        <w:t>В этой статье обоснована необходимость оценки качества ПО с учетом рисков качества и интеграции процессов оценки качества на основе моделей качества и оценки рисков качества. В целом можно сделать вывод, что идентификация и учет факторов риска при оценке к</w:t>
      </w:r>
      <w:r>
        <w:rPr>
          <w:rFonts w:ascii="Times New Roman" w:eastAsia="Times New Roman" w:hAnsi="Times New Roman" w:cs="Times New Roman"/>
          <w:sz w:val="28"/>
        </w:rPr>
        <w:t xml:space="preserve">ачества программных средств является защитным механизмом выпуска программного продукта неприемлемого качества.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Предложен подход к оценке качества ПО с учетом рисков и пошаговый алгоритм его реализации.  </w:t>
      </w:r>
    </w:p>
    <w:p w:rsidR="0052701D" w:rsidRDefault="00D40929">
      <w:pPr>
        <w:spacing w:after="5" w:line="271" w:lineRule="auto"/>
        <w:ind w:left="9" w:right="64" w:firstLine="711"/>
        <w:jc w:val="both"/>
      </w:pPr>
      <w:r>
        <w:rPr>
          <w:rFonts w:ascii="Times New Roman" w:eastAsia="Times New Roman" w:hAnsi="Times New Roman" w:cs="Times New Roman"/>
          <w:sz w:val="28"/>
        </w:rPr>
        <w:t>Также показано, что на основе рисков качества (прио</w:t>
      </w:r>
      <w:r>
        <w:rPr>
          <w:rFonts w:ascii="Times New Roman" w:eastAsia="Times New Roman" w:hAnsi="Times New Roman" w:cs="Times New Roman"/>
          <w:sz w:val="28"/>
        </w:rPr>
        <w:t xml:space="preserve">ритетности рисков) может быть установлена связь с потенциальным количеством дефектов в соответствующем компоненте ПО.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В дальнейшем необходимо проведение дополнительных работ по валидации предложенного подхода и комплексных испытаний в реальных условиях. </w:t>
      </w:r>
      <w:r>
        <w:rPr>
          <w:rFonts w:ascii="Times New Roman" w:eastAsia="Times New Roman" w:hAnsi="Times New Roman" w:cs="Times New Roman"/>
          <w:sz w:val="28"/>
        </w:rPr>
        <w:t xml:space="preserve">Также целесообразно проведение исследований сравнению предложенного подхода с другими подходами оценки по оценке качества ПО. </w:t>
      </w:r>
    </w:p>
    <w:p w:rsidR="0052701D" w:rsidRDefault="00D40929">
      <w:pPr>
        <w:spacing w:after="5" w:line="271" w:lineRule="auto"/>
        <w:ind w:left="9" w:right="64" w:firstLine="711"/>
        <w:jc w:val="both"/>
      </w:pPr>
      <w:r>
        <w:rPr>
          <w:rFonts w:ascii="Times New Roman" w:eastAsia="Times New Roman" w:hAnsi="Times New Roman" w:cs="Times New Roman"/>
          <w:sz w:val="28"/>
        </w:rPr>
        <w:t>Таким образом, результаты исследования, представленные в этой статье, показали вполне реальный результат, который может служить м</w:t>
      </w:r>
      <w:r>
        <w:rPr>
          <w:rFonts w:ascii="Times New Roman" w:eastAsia="Times New Roman" w:hAnsi="Times New Roman" w:cs="Times New Roman"/>
          <w:sz w:val="28"/>
        </w:rPr>
        <w:t xml:space="preserve">отивацией и предметом для последующих исследований </w:t>
      </w:r>
    </w:p>
    <w:p w:rsidR="0052701D" w:rsidRDefault="00D40929">
      <w:pPr>
        <w:spacing w:after="51"/>
        <w:ind w:left="711"/>
      </w:pPr>
      <w:r>
        <w:rPr>
          <w:rFonts w:ascii="Times New Roman" w:eastAsia="Times New Roman" w:hAnsi="Times New Roman" w:cs="Times New Roman"/>
        </w:rPr>
        <w:t xml:space="preserve"> </w:t>
      </w:r>
    </w:p>
    <w:p w:rsidR="0052701D" w:rsidRDefault="00D40929">
      <w:pPr>
        <w:spacing w:after="16" w:line="248" w:lineRule="auto"/>
        <w:ind w:left="819" w:right="845" w:hanging="10"/>
        <w:jc w:val="center"/>
      </w:pPr>
      <w:r>
        <w:rPr>
          <w:rFonts w:ascii="Times New Roman" w:eastAsia="Times New Roman" w:hAnsi="Times New Roman" w:cs="Times New Roman"/>
          <w:b/>
          <w:sz w:val="24"/>
        </w:rPr>
        <w:t xml:space="preserve">Источники </w:t>
      </w:r>
    </w:p>
    <w:p w:rsidR="0052701D" w:rsidRDefault="00D40929">
      <w:pPr>
        <w:numPr>
          <w:ilvl w:val="0"/>
          <w:numId w:val="17"/>
        </w:numPr>
        <w:spacing w:after="0" w:line="248" w:lineRule="auto"/>
        <w:ind w:right="14" w:firstLine="428"/>
        <w:jc w:val="both"/>
      </w:pPr>
      <w:r>
        <w:rPr>
          <w:rFonts w:ascii="Times New Roman" w:eastAsia="Times New Roman" w:hAnsi="Times New Roman" w:cs="Times New Roman"/>
          <w:sz w:val="24"/>
        </w:rPr>
        <w:t xml:space="preserve">ISO/IEC 25040:2011 Systems and software engineering. Systems and software Quality Requirements and Evaluation (SQuaRE). Evaluation process. </w:t>
      </w:r>
    </w:p>
    <w:p w:rsidR="0052701D" w:rsidRDefault="00D40929">
      <w:pPr>
        <w:numPr>
          <w:ilvl w:val="0"/>
          <w:numId w:val="17"/>
        </w:numPr>
        <w:spacing w:after="29" w:line="248" w:lineRule="auto"/>
        <w:ind w:right="14" w:firstLine="428"/>
        <w:jc w:val="both"/>
      </w:pPr>
      <w:r>
        <w:rPr>
          <w:rFonts w:ascii="Times New Roman" w:eastAsia="Times New Roman" w:hAnsi="Times New Roman" w:cs="Times New Roman"/>
          <w:sz w:val="24"/>
        </w:rPr>
        <w:t xml:space="preserve">Nuseibeh, B. Ariane 5: Who Dunnit? / B. Nuseibeh // IEEE Sofware. - May-June 1997. - P. 15 - 16. </w:t>
      </w:r>
    </w:p>
    <w:p w:rsidR="0052701D" w:rsidRDefault="00D40929">
      <w:pPr>
        <w:numPr>
          <w:ilvl w:val="0"/>
          <w:numId w:val="17"/>
        </w:numPr>
        <w:spacing w:after="29" w:line="248" w:lineRule="auto"/>
        <w:ind w:right="14" w:firstLine="428"/>
        <w:jc w:val="both"/>
      </w:pPr>
      <w:r>
        <w:rPr>
          <w:rFonts w:ascii="Times New Roman" w:eastAsia="Times New Roman" w:hAnsi="Times New Roman" w:cs="Times New Roman"/>
          <w:sz w:val="24"/>
        </w:rPr>
        <w:t xml:space="preserve">ГОСТ Р ИСО 9000-2015. Системы менеджмента качества. Основные положения и словарь. Введен в действие 01.11.2015. </w:t>
      </w:r>
    </w:p>
    <w:p w:rsidR="0052701D" w:rsidRDefault="00D40929">
      <w:pPr>
        <w:numPr>
          <w:ilvl w:val="0"/>
          <w:numId w:val="17"/>
        </w:numPr>
        <w:spacing w:after="29" w:line="248" w:lineRule="auto"/>
        <w:ind w:right="14" w:firstLine="428"/>
        <w:jc w:val="both"/>
      </w:pPr>
      <w:r>
        <w:rPr>
          <w:rFonts w:ascii="Times New Roman" w:eastAsia="Times New Roman" w:hAnsi="Times New Roman" w:cs="Times New Roman"/>
          <w:sz w:val="24"/>
        </w:rPr>
        <w:t>А.Е. Махметова, М.В. Киселева Оценка рисков в</w:t>
      </w:r>
      <w:r>
        <w:rPr>
          <w:rFonts w:ascii="Times New Roman" w:eastAsia="Times New Roman" w:hAnsi="Times New Roman" w:cs="Times New Roman"/>
          <w:sz w:val="24"/>
        </w:rPr>
        <w:t xml:space="preserve"> управлении качеством продукции на промышленных предприятиях/ Экономика в промышленности. 2017. Том 10. №2. С.147-152. </w:t>
      </w:r>
    </w:p>
    <w:p w:rsidR="0052701D" w:rsidRDefault="00D40929">
      <w:pPr>
        <w:numPr>
          <w:ilvl w:val="0"/>
          <w:numId w:val="17"/>
        </w:numPr>
        <w:spacing w:after="5"/>
        <w:ind w:right="14" w:firstLine="428"/>
        <w:jc w:val="both"/>
      </w:pPr>
      <w:r>
        <w:rPr>
          <w:rFonts w:ascii="Times New Roman" w:eastAsia="Times New Roman" w:hAnsi="Times New Roman" w:cs="Times New Roman"/>
          <w:sz w:val="24"/>
        </w:rPr>
        <w:t xml:space="preserve">Putnam, L.H. Five Core Metrics / L. H. Putnam, M. Ware - New York, NY: Dorset House, </w:t>
      </w:r>
    </w:p>
    <w:p w:rsidR="0052701D" w:rsidRDefault="00D40929">
      <w:pPr>
        <w:spacing w:after="29" w:line="248" w:lineRule="auto"/>
        <w:ind w:left="9" w:right="14"/>
        <w:jc w:val="both"/>
      </w:pPr>
      <w:r>
        <w:rPr>
          <w:rFonts w:ascii="Times New Roman" w:eastAsia="Times New Roman" w:hAnsi="Times New Roman" w:cs="Times New Roman"/>
          <w:sz w:val="24"/>
        </w:rPr>
        <w:t xml:space="preserve">2003 </w:t>
      </w:r>
    </w:p>
    <w:p w:rsidR="0052701D" w:rsidRDefault="00D40929">
      <w:pPr>
        <w:numPr>
          <w:ilvl w:val="0"/>
          <w:numId w:val="17"/>
        </w:numPr>
        <w:spacing w:after="29" w:line="248" w:lineRule="auto"/>
        <w:ind w:right="14" w:firstLine="428"/>
        <w:jc w:val="both"/>
      </w:pPr>
      <w:r>
        <w:rPr>
          <w:rFonts w:ascii="Times New Roman" w:eastAsia="Times New Roman" w:hAnsi="Times New Roman" w:cs="Times New Roman"/>
          <w:sz w:val="24"/>
        </w:rPr>
        <w:t>Boehm, B. W. Understanding and Controlling S</w:t>
      </w:r>
      <w:r>
        <w:rPr>
          <w:rFonts w:ascii="Times New Roman" w:eastAsia="Times New Roman" w:hAnsi="Times New Roman" w:cs="Times New Roman"/>
          <w:sz w:val="24"/>
        </w:rPr>
        <w:t xml:space="preserve">oftware Costs / B. W. Boehm, P. N. Papaccio // IEEE Transactions on Software Engineering. - October 1998. - V.14, №10. - P. 1462 - 1477. </w:t>
      </w:r>
    </w:p>
    <w:p w:rsidR="0052701D" w:rsidRDefault="00D40929">
      <w:pPr>
        <w:numPr>
          <w:ilvl w:val="0"/>
          <w:numId w:val="17"/>
        </w:numPr>
        <w:spacing w:after="0" w:line="248" w:lineRule="auto"/>
        <w:ind w:right="14" w:firstLine="428"/>
        <w:jc w:val="both"/>
      </w:pPr>
      <w:r>
        <w:rPr>
          <w:rFonts w:ascii="Times New Roman" w:eastAsia="Times New Roman" w:hAnsi="Times New Roman" w:cs="Times New Roman"/>
          <w:sz w:val="24"/>
        </w:rPr>
        <w:t xml:space="preserve">ГОСТ Р 58771-2019. Менеджмент риска. Технологии оценки риска. Дата введения 1.03.2020. </w:t>
      </w:r>
    </w:p>
    <w:p w:rsidR="0052701D" w:rsidRDefault="00D40929">
      <w:pPr>
        <w:numPr>
          <w:ilvl w:val="0"/>
          <w:numId w:val="17"/>
        </w:numPr>
        <w:spacing w:after="5"/>
        <w:ind w:right="14" w:firstLine="428"/>
        <w:jc w:val="both"/>
      </w:pPr>
      <w:r>
        <w:rPr>
          <w:rFonts w:ascii="Times New Roman" w:eastAsia="Times New Roman" w:hAnsi="Times New Roman" w:cs="Times New Roman"/>
          <w:sz w:val="24"/>
        </w:rPr>
        <w:t>ECSS-Q-ST-80C Rev.1: 2017 Spac</w:t>
      </w:r>
      <w:r>
        <w:rPr>
          <w:rFonts w:ascii="Times New Roman" w:eastAsia="Times New Roman" w:hAnsi="Times New Roman" w:cs="Times New Roman"/>
          <w:sz w:val="24"/>
        </w:rPr>
        <w:t xml:space="preserve">e product assurance. Software product assurance. - </w:t>
      </w:r>
    </w:p>
    <w:p w:rsidR="0052701D" w:rsidRDefault="00D40929">
      <w:pPr>
        <w:spacing w:after="29" w:line="248" w:lineRule="auto"/>
        <w:ind w:left="9" w:right="14"/>
        <w:jc w:val="both"/>
      </w:pPr>
      <w:r>
        <w:rPr>
          <w:rFonts w:ascii="Times New Roman" w:eastAsia="Times New Roman" w:hAnsi="Times New Roman" w:cs="Times New Roman"/>
          <w:sz w:val="24"/>
        </w:rPr>
        <w:t xml:space="preserve">(http://ecss.nl/standard/ecss-q-st-80c-rev-1-software-product-assurance) </w:t>
      </w:r>
    </w:p>
    <w:p w:rsidR="0052701D" w:rsidRDefault="00D40929">
      <w:pPr>
        <w:numPr>
          <w:ilvl w:val="0"/>
          <w:numId w:val="17"/>
        </w:numPr>
        <w:spacing w:after="29" w:line="248" w:lineRule="auto"/>
        <w:ind w:right="14" w:firstLine="428"/>
        <w:jc w:val="both"/>
      </w:pPr>
      <w:r>
        <w:rPr>
          <w:rFonts w:ascii="Times New Roman" w:eastAsia="Times New Roman" w:hAnsi="Times New Roman" w:cs="Times New Roman"/>
          <w:sz w:val="24"/>
        </w:rPr>
        <w:t xml:space="preserve">IEC 60812:2018 Failure modes and effects analysis (FMEA and FMECA). </w:t>
      </w:r>
    </w:p>
    <w:p w:rsidR="0052701D" w:rsidRDefault="00D40929">
      <w:pPr>
        <w:spacing w:after="0"/>
        <w:ind w:left="711"/>
      </w:pPr>
      <w:r>
        <w:rPr>
          <w:rFonts w:ascii="Times New Roman" w:eastAsia="Times New Roman" w:hAnsi="Times New Roman" w:cs="Times New Roman"/>
          <w:color w:val="00000A"/>
        </w:rPr>
        <w:t xml:space="preserve"> </w:t>
      </w:r>
    </w:p>
    <w:p w:rsidR="0052701D" w:rsidRDefault="00D40929">
      <w:pPr>
        <w:spacing w:after="4" w:line="271" w:lineRule="auto"/>
        <w:ind w:left="-5" w:right="194" w:hanging="10"/>
      </w:pPr>
      <w:r>
        <w:rPr>
          <w:rFonts w:ascii="Times New Roman" w:eastAsia="Times New Roman" w:hAnsi="Times New Roman" w:cs="Times New Roman"/>
          <w:b/>
          <w:sz w:val="24"/>
        </w:rPr>
        <w:t xml:space="preserve">УДК 681.2:004  </w:t>
      </w:r>
    </w:p>
    <w:p w:rsidR="0052701D" w:rsidRDefault="00D40929">
      <w:pPr>
        <w:spacing w:after="16"/>
      </w:pPr>
      <w:r>
        <w:rPr>
          <w:rFonts w:ascii="Times New Roman" w:eastAsia="Times New Roman" w:hAnsi="Times New Roman" w:cs="Times New Roman"/>
          <w:b/>
          <w:sz w:val="24"/>
        </w:rPr>
        <w:t xml:space="preserve"> </w:t>
      </w:r>
    </w:p>
    <w:p w:rsidR="0052701D" w:rsidRDefault="00D40929">
      <w:pPr>
        <w:pStyle w:val="1"/>
        <w:spacing w:after="36"/>
        <w:ind w:left="19" w:right="0" w:firstLine="9"/>
        <w:jc w:val="left"/>
      </w:pPr>
      <w:r>
        <w:lastRenderedPageBreak/>
        <w:t xml:space="preserve">ИСПОЛЬЗОВАНИЕ АДДИТИВНЫХ ТЕХНОЛОГИЙ В ИЗГОТОВЛЕНИЕ </w:t>
      </w:r>
    </w:p>
    <w:p w:rsidR="0052701D" w:rsidRDefault="00D40929">
      <w:pPr>
        <w:spacing w:after="36" w:line="271" w:lineRule="auto"/>
        <w:ind w:left="19" w:firstLine="9"/>
      </w:pPr>
      <w:r>
        <w:rPr>
          <w:rFonts w:ascii="Times New Roman" w:eastAsia="Times New Roman" w:hAnsi="Times New Roman" w:cs="Times New Roman"/>
          <w:b/>
          <w:sz w:val="28"/>
        </w:rPr>
        <w:t xml:space="preserve">ВЫСОКОТОЧНЫХ МЕТАЛЛИЧЕСКИХ ИЗДЕЛИЙ </w:t>
      </w:r>
    </w:p>
    <w:p w:rsidR="0052701D" w:rsidRDefault="00D40929">
      <w:pPr>
        <w:spacing w:after="20"/>
        <w:ind w:left="21"/>
        <w:jc w:val="center"/>
      </w:pPr>
      <w:r>
        <w:rPr>
          <w:rFonts w:ascii="Times New Roman" w:eastAsia="Times New Roman" w:hAnsi="Times New Roman" w:cs="Times New Roman"/>
          <w:sz w:val="24"/>
        </w:rPr>
        <w:t xml:space="preserve"> </w:t>
      </w:r>
    </w:p>
    <w:p w:rsidR="0052701D" w:rsidRDefault="00D40929">
      <w:pPr>
        <w:pStyle w:val="1"/>
        <w:spacing w:after="14" w:line="248" w:lineRule="auto"/>
        <w:ind w:left="713" w:right="751" w:hanging="5"/>
      </w:pPr>
      <w:r>
        <w:rPr>
          <w:b w:val="0"/>
          <w:sz w:val="24"/>
        </w:rPr>
        <w:t xml:space="preserve">Токтанай Жанибек Аскарулы </w:t>
      </w:r>
    </w:p>
    <w:p w:rsidR="0052701D" w:rsidRDefault="00D40929">
      <w:pPr>
        <w:spacing w:after="9" w:line="248" w:lineRule="auto"/>
        <w:ind w:left="897" w:right="932" w:hanging="10"/>
        <w:jc w:val="center"/>
      </w:pPr>
      <w:r>
        <w:rPr>
          <w:rFonts w:ascii="Times New Roman" w:eastAsia="Times New Roman" w:hAnsi="Times New Roman" w:cs="Times New Roman"/>
        </w:rPr>
        <w:t xml:space="preserve">НАО «Алматинский университет энергетики и связи имени Гумарбека Даукеева»  </w:t>
      </w:r>
    </w:p>
    <w:p w:rsidR="0052701D" w:rsidRDefault="00D40929">
      <w:pPr>
        <w:spacing w:after="9" w:line="248" w:lineRule="auto"/>
        <w:ind w:left="897" w:right="209" w:hanging="10"/>
        <w:jc w:val="center"/>
      </w:pPr>
      <w:r>
        <w:rPr>
          <w:rFonts w:ascii="Times New Roman" w:eastAsia="Times New Roman" w:hAnsi="Times New Roman" w:cs="Times New Roman"/>
        </w:rPr>
        <w:t xml:space="preserve">г.Алматы, Казахстан </w:t>
      </w:r>
    </w:p>
    <w:p w:rsidR="0052701D" w:rsidRDefault="00D40929">
      <w:pPr>
        <w:spacing w:after="14" w:line="248" w:lineRule="auto"/>
        <w:ind w:left="713" w:right="756" w:hanging="5"/>
        <w:jc w:val="center"/>
      </w:pPr>
      <w:r>
        <w:rPr>
          <w:rFonts w:ascii="Times New Roman" w:eastAsia="Times New Roman" w:hAnsi="Times New Roman" w:cs="Times New Roman"/>
          <w:sz w:val="24"/>
        </w:rPr>
        <w:t xml:space="preserve">е-mail.ru: toktanay_zhanibek@mail.ru </w:t>
      </w:r>
    </w:p>
    <w:p w:rsidR="0052701D" w:rsidRDefault="00D40929">
      <w:pPr>
        <w:spacing w:after="21"/>
        <w:ind w:left="21"/>
        <w:jc w:val="center"/>
      </w:pPr>
      <w:r>
        <w:rPr>
          <w:rFonts w:ascii="Times New Roman" w:eastAsia="Times New Roman" w:hAnsi="Times New Roman" w:cs="Times New Roman"/>
          <w:sz w:val="24"/>
        </w:rPr>
        <w:t xml:space="preserve"> </w:t>
      </w:r>
    </w:p>
    <w:p w:rsidR="0052701D" w:rsidRDefault="00D40929">
      <w:pPr>
        <w:spacing w:after="29" w:line="248" w:lineRule="auto"/>
        <w:ind w:left="9" w:firstLine="711"/>
        <w:jc w:val="both"/>
      </w:pPr>
      <w:r>
        <w:rPr>
          <w:rFonts w:ascii="Times New Roman" w:eastAsia="Times New Roman" w:hAnsi="Times New Roman" w:cs="Times New Roman"/>
          <w:b/>
          <w:sz w:val="24"/>
        </w:rPr>
        <w:t xml:space="preserve">Аннотации. </w:t>
      </w:r>
      <w:r>
        <w:rPr>
          <w:rFonts w:ascii="Times New Roman" w:eastAsia="Times New Roman" w:hAnsi="Times New Roman" w:cs="Times New Roman"/>
          <w:i/>
          <w:sz w:val="24"/>
        </w:rPr>
        <w:t>Создание новой продукции, и в особенности литейных деталей, – самая трудоемкая и дорогостоящая часть технологического процесса. В стандартном производстве для новой итерации изделия часто требуется и новая литейная оснастка, поскольку модернизир</w:t>
      </w:r>
      <w:r>
        <w:rPr>
          <w:rFonts w:ascii="Times New Roman" w:eastAsia="Times New Roman" w:hAnsi="Times New Roman" w:cs="Times New Roman"/>
          <w:i/>
          <w:sz w:val="24"/>
        </w:rPr>
        <w:t xml:space="preserve">овать существующую либо слишком затратно, либо невозможно.  </w:t>
      </w:r>
    </w:p>
    <w:p w:rsidR="0052701D" w:rsidRDefault="00D40929">
      <w:pPr>
        <w:spacing w:after="29" w:line="248" w:lineRule="auto"/>
        <w:ind w:left="9" w:firstLine="711"/>
        <w:jc w:val="both"/>
      </w:pPr>
      <w:r>
        <w:rPr>
          <w:rFonts w:ascii="Times New Roman" w:eastAsia="Times New Roman" w:hAnsi="Times New Roman" w:cs="Times New Roman"/>
          <w:i/>
          <w:sz w:val="24"/>
        </w:rPr>
        <w:t xml:space="preserve">C выплавляемой модели снимается литейная форма, в которую затем заливают расплавленный металл и получают конечное изделие. </w:t>
      </w:r>
    </w:p>
    <w:p w:rsidR="0052701D" w:rsidRDefault="00D40929">
      <w:pPr>
        <w:spacing w:after="29" w:line="248" w:lineRule="auto"/>
        <w:ind w:left="9" w:firstLine="711"/>
        <w:jc w:val="both"/>
      </w:pPr>
      <w:r>
        <w:rPr>
          <w:rFonts w:ascii="Times New Roman" w:eastAsia="Times New Roman" w:hAnsi="Times New Roman" w:cs="Times New Roman"/>
          <w:i/>
          <w:sz w:val="24"/>
        </w:rPr>
        <w:t>Аддитивные технологии позволили сократить сроки изготовления изделий для опытного производства в разы и даже десятки раз. К примеру, прототип блока цилиндров автомобильного двигателя можно напечатать на 3D-принтере всего за две недели, тогда как его произв</w:t>
      </w:r>
      <w:r>
        <w:rPr>
          <w:rFonts w:ascii="Times New Roman" w:eastAsia="Times New Roman" w:hAnsi="Times New Roman" w:cs="Times New Roman"/>
          <w:i/>
          <w:sz w:val="24"/>
        </w:rPr>
        <w:t xml:space="preserve">одство традиционными методами занимает полгода. 3D-печать не только экономит время, но и позволяет вырастить модели и формы любой сложности. У литья в этом смысле возможности ограничены. </w:t>
      </w:r>
    </w:p>
    <w:p w:rsidR="0052701D" w:rsidRDefault="00D40929">
      <w:pPr>
        <w:spacing w:after="29" w:line="248" w:lineRule="auto"/>
        <w:ind w:left="9" w:firstLine="711"/>
        <w:jc w:val="both"/>
      </w:pPr>
      <w:r>
        <w:rPr>
          <w:rFonts w:ascii="Times New Roman" w:eastAsia="Times New Roman" w:hAnsi="Times New Roman" w:cs="Times New Roman"/>
          <w:i/>
          <w:sz w:val="24"/>
        </w:rPr>
        <w:t>Наибольшее распространение эта технология получила в ювелирном деле,</w:t>
      </w:r>
      <w:r>
        <w:rPr>
          <w:rFonts w:ascii="Times New Roman" w:eastAsia="Times New Roman" w:hAnsi="Times New Roman" w:cs="Times New Roman"/>
          <w:i/>
          <w:sz w:val="24"/>
        </w:rPr>
        <w:t xml:space="preserve"> стоматологии, приборостроении – в тех отраслях, где в приоритете небольшие размеры и сложная геометрия изделия. При изготовлении таких объектов, как мелкие детали машин, ювелирные изделия, стоматологические протезы или имплантаты, востребована особо высок</w:t>
      </w:r>
      <w:r>
        <w:rPr>
          <w:rFonts w:ascii="Times New Roman" w:eastAsia="Times New Roman" w:hAnsi="Times New Roman" w:cs="Times New Roman"/>
          <w:i/>
          <w:sz w:val="24"/>
        </w:rPr>
        <w:t xml:space="preserve">ая точность и качество отливок. </w:t>
      </w:r>
    </w:p>
    <w:p w:rsidR="0052701D" w:rsidRDefault="00D40929">
      <w:pPr>
        <w:spacing w:after="29" w:line="248" w:lineRule="auto"/>
        <w:ind w:left="9" w:firstLine="711"/>
        <w:jc w:val="both"/>
      </w:pPr>
      <w:r>
        <w:rPr>
          <w:rFonts w:ascii="Times New Roman" w:eastAsia="Times New Roman" w:hAnsi="Times New Roman" w:cs="Times New Roman"/>
          <w:i/>
          <w:sz w:val="24"/>
        </w:rPr>
        <w:t xml:space="preserve">Аддитивные технологии повышают эффективность процесса литья по выплавляемым моделям. Это один из наиболее точных литейных методов современной индустрии, позволяющий получать изделия с допусками 100-200 микрон. </w:t>
      </w:r>
    </w:p>
    <w:p w:rsidR="0052701D" w:rsidRDefault="00D40929">
      <w:pPr>
        <w:spacing w:after="29" w:line="248" w:lineRule="auto"/>
        <w:ind w:left="9" w:firstLine="711"/>
        <w:jc w:val="both"/>
      </w:pPr>
      <w:r>
        <w:rPr>
          <w:rFonts w:ascii="Times New Roman" w:eastAsia="Times New Roman" w:hAnsi="Times New Roman" w:cs="Times New Roman"/>
          <w:b/>
          <w:sz w:val="24"/>
        </w:rPr>
        <w:t>Ключевые сло</w:t>
      </w:r>
      <w:r>
        <w:rPr>
          <w:rFonts w:ascii="Times New Roman" w:eastAsia="Times New Roman" w:hAnsi="Times New Roman" w:cs="Times New Roman"/>
          <w:b/>
          <w:sz w:val="24"/>
        </w:rPr>
        <w:t>ва:</w:t>
      </w:r>
      <w:r>
        <w:rPr>
          <w:rFonts w:ascii="Times New Roman" w:eastAsia="Times New Roman" w:hAnsi="Times New Roman" w:cs="Times New Roman"/>
          <w:sz w:val="24"/>
        </w:rPr>
        <w:t xml:space="preserve"> </w:t>
      </w:r>
      <w:r>
        <w:rPr>
          <w:rFonts w:ascii="Times New Roman" w:eastAsia="Times New Roman" w:hAnsi="Times New Roman" w:cs="Times New Roman"/>
          <w:i/>
          <w:sz w:val="24"/>
        </w:rPr>
        <w:t xml:space="preserve">Аддитивные технологии, 3D-принтер, литейная форма, FDMпечать воском, экструдер, поддержки. </w:t>
      </w:r>
    </w:p>
    <w:p w:rsidR="0052701D" w:rsidRDefault="00D40929">
      <w:pPr>
        <w:spacing w:after="141"/>
        <w:ind w:left="721"/>
      </w:pPr>
      <w:r>
        <w:rPr>
          <w:rFonts w:ascii="Times New Roman" w:eastAsia="Times New Roman" w:hAnsi="Times New Roman" w:cs="Times New Roman"/>
          <w:sz w:val="24"/>
        </w:rPr>
        <w:t xml:space="preserve"> </w:t>
      </w:r>
    </w:p>
    <w:p w:rsidR="0052701D" w:rsidRDefault="00D40929">
      <w:pPr>
        <w:spacing w:after="40" w:line="271" w:lineRule="auto"/>
        <w:ind w:left="173" w:right="163" w:hanging="10"/>
        <w:jc w:val="center"/>
      </w:pPr>
      <w:r>
        <w:rPr>
          <w:rFonts w:ascii="Times New Roman" w:eastAsia="Times New Roman" w:hAnsi="Times New Roman" w:cs="Times New Roman"/>
          <w:b/>
          <w:sz w:val="28"/>
        </w:rPr>
        <w:t xml:space="preserve">THE USE OF ADDITIVE TECHNOLOGIES IN THE MANUFACTURE OF HIGH-PRECISION METAL PRODUCTS </w:t>
      </w:r>
    </w:p>
    <w:p w:rsidR="0052701D" w:rsidRDefault="00D40929">
      <w:pPr>
        <w:spacing w:after="14" w:line="248" w:lineRule="auto"/>
        <w:ind w:left="713" w:right="750" w:hanging="5"/>
        <w:jc w:val="center"/>
      </w:pPr>
      <w:r>
        <w:rPr>
          <w:rFonts w:ascii="Times New Roman" w:eastAsia="Times New Roman" w:hAnsi="Times New Roman" w:cs="Times New Roman"/>
          <w:sz w:val="24"/>
        </w:rPr>
        <w:t xml:space="preserve">Toktanay Zhanibek Askaruly </w:t>
      </w:r>
    </w:p>
    <w:p w:rsidR="0052701D" w:rsidRDefault="00D40929">
      <w:pPr>
        <w:spacing w:after="29" w:line="248" w:lineRule="auto"/>
        <w:ind w:left="3496" w:right="14" w:hanging="2694"/>
        <w:jc w:val="both"/>
      </w:pPr>
      <w:r>
        <w:rPr>
          <w:rFonts w:ascii="Times New Roman" w:eastAsia="Times New Roman" w:hAnsi="Times New Roman" w:cs="Times New Roman"/>
          <w:sz w:val="24"/>
        </w:rPr>
        <w:t>Non profit JSC “Almaty University of Power E</w:t>
      </w:r>
      <w:r>
        <w:rPr>
          <w:rFonts w:ascii="Times New Roman" w:eastAsia="Times New Roman" w:hAnsi="Times New Roman" w:cs="Times New Roman"/>
          <w:sz w:val="24"/>
        </w:rPr>
        <w:t xml:space="preserve">ngineering and Telecommunications named after Gumarbek Daukeyev” </w:t>
      </w:r>
    </w:p>
    <w:p w:rsidR="0052701D" w:rsidRDefault="00D40929">
      <w:pPr>
        <w:spacing w:after="14" w:line="248" w:lineRule="auto"/>
        <w:ind w:left="713" w:right="28" w:hanging="5"/>
        <w:jc w:val="center"/>
      </w:pPr>
      <w:r>
        <w:rPr>
          <w:rFonts w:ascii="Times New Roman" w:eastAsia="Times New Roman" w:hAnsi="Times New Roman" w:cs="Times New Roman"/>
          <w:sz w:val="24"/>
        </w:rPr>
        <w:t xml:space="preserve">Almaty, Kazakhstan </w:t>
      </w:r>
    </w:p>
    <w:p w:rsidR="0052701D" w:rsidRDefault="00D40929">
      <w:pPr>
        <w:spacing w:after="0"/>
        <w:ind w:left="736"/>
        <w:jc w:val="center"/>
      </w:pPr>
      <w:r>
        <w:rPr>
          <w:rFonts w:ascii="Times New Roman" w:eastAsia="Times New Roman" w:hAnsi="Times New Roman" w:cs="Times New Roman"/>
        </w:rPr>
        <w:t xml:space="preserve"> </w:t>
      </w:r>
    </w:p>
    <w:p w:rsidR="0052701D" w:rsidRDefault="00D40929">
      <w:pPr>
        <w:spacing w:after="0" w:line="248" w:lineRule="auto"/>
        <w:ind w:left="9" w:firstLine="711"/>
        <w:jc w:val="both"/>
      </w:pPr>
      <w:r>
        <w:rPr>
          <w:rFonts w:ascii="Times New Roman" w:eastAsia="Times New Roman" w:hAnsi="Times New Roman" w:cs="Times New Roman"/>
          <w:b/>
          <w:sz w:val="24"/>
        </w:rPr>
        <w:t>Annotations.</w:t>
      </w:r>
      <w:r>
        <w:rPr>
          <w:rFonts w:ascii="Times New Roman" w:eastAsia="Times New Roman" w:hAnsi="Times New Roman" w:cs="Times New Roman"/>
          <w:sz w:val="24"/>
        </w:rPr>
        <w:t xml:space="preserve"> </w:t>
      </w:r>
      <w:r>
        <w:rPr>
          <w:rFonts w:ascii="Times New Roman" w:eastAsia="Times New Roman" w:hAnsi="Times New Roman" w:cs="Times New Roman"/>
          <w:i/>
          <w:sz w:val="24"/>
        </w:rPr>
        <w:t>The creation of new products, and especially casting parts, is the most time</w:t>
      </w:r>
      <w:r>
        <w:rPr>
          <w:rFonts w:ascii="Times New Roman" w:eastAsia="Times New Roman" w:hAnsi="Times New Roman" w:cs="Times New Roman"/>
          <w:i/>
          <w:sz w:val="24"/>
        </w:rPr>
        <w:t xml:space="preserve">consuming and expensive part of the technological process. In standard production, a new iteration of a product often requires new casting tooling, as it is either too costly or impossible to existing one. </w:t>
      </w:r>
    </w:p>
    <w:p w:rsidR="0052701D" w:rsidRDefault="00D40929">
      <w:pPr>
        <w:spacing w:after="0" w:line="248" w:lineRule="auto"/>
        <w:ind w:left="9" w:firstLine="711"/>
        <w:jc w:val="both"/>
      </w:pPr>
      <w:r>
        <w:rPr>
          <w:rFonts w:ascii="Times New Roman" w:eastAsia="Times New Roman" w:hAnsi="Times New Roman" w:cs="Times New Roman"/>
          <w:i/>
          <w:sz w:val="24"/>
        </w:rPr>
        <w:t>A casting mold is removed from the investment mod</w:t>
      </w:r>
      <w:r>
        <w:rPr>
          <w:rFonts w:ascii="Times New Roman" w:eastAsia="Times New Roman" w:hAnsi="Times New Roman" w:cs="Times New Roman"/>
          <w:i/>
          <w:sz w:val="24"/>
        </w:rPr>
        <w:t xml:space="preserve">el, into which molten metal is then poured and the final product is obtained.  </w:t>
      </w:r>
    </w:p>
    <w:p w:rsidR="0052701D" w:rsidRDefault="00D40929">
      <w:pPr>
        <w:spacing w:after="0" w:line="248" w:lineRule="auto"/>
        <w:ind w:left="9" w:firstLine="711"/>
        <w:jc w:val="both"/>
      </w:pPr>
      <w:r>
        <w:rPr>
          <w:rFonts w:ascii="Times New Roman" w:eastAsia="Times New Roman" w:hAnsi="Times New Roman" w:cs="Times New Roman"/>
          <w:i/>
          <w:sz w:val="24"/>
        </w:rPr>
        <w:t>Additive technologies have made it possible to reduce the production time of products for pilot production by several times and even dozens of times. For example, a prototype c</w:t>
      </w:r>
      <w:r>
        <w:rPr>
          <w:rFonts w:ascii="Times New Roman" w:eastAsia="Times New Roman" w:hAnsi="Times New Roman" w:cs="Times New Roman"/>
          <w:i/>
          <w:sz w:val="24"/>
        </w:rPr>
        <w:t>ar engine block can be 3D printed in just two weeks, while it takes six months to produce it using traditional methods. 3D printing not only saves time, but also allows you to grow models and shapes of any complexity. In casting, in this sense, the possibi</w:t>
      </w:r>
      <w:r>
        <w:rPr>
          <w:rFonts w:ascii="Times New Roman" w:eastAsia="Times New Roman" w:hAnsi="Times New Roman" w:cs="Times New Roman"/>
          <w:i/>
          <w:sz w:val="24"/>
        </w:rPr>
        <w:t xml:space="preserve">lities are limited. </w:t>
      </w:r>
    </w:p>
    <w:p w:rsidR="0052701D" w:rsidRDefault="00D40929">
      <w:pPr>
        <w:spacing w:after="0" w:line="248" w:lineRule="auto"/>
        <w:ind w:left="9" w:firstLine="711"/>
        <w:jc w:val="both"/>
      </w:pPr>
      <w:r>
        <w:rPr>
          <w:rFonts w:ascii="Times New Roman" w:eastAsia="Times New Roman" w:hAnsi="Times New Roman" w:cs="Times New Roman"/>
          <w:i/>
          <w:sz w:val="24"/>
        </w:rPr>
        <w:lastRenderedPageBreak/>
        <w:t>This technology is most widely used in jewelry, dentistry, instrument making - in those industries where small dimensions and complex geometry of the product are a priority. In the manufacture of objects such as small machine parts, je</w:t>
      </w:r>
      <w:r>
        <w:rPr>
          <w:rFonts w:ascii="Times New Roman" w:eastAsia="Times New Roman" w:hAnsi="Times New Roman" w:cs="Times New Roman"/>
          <w:i/>
          <w:sz w:val="24"/>
        </w:rPr>
        <w:t xml:space="preserve">welry, dental prostheses or implants, particularly high precision and quality castings are required.  </w:t>
      </w:r>
    </w:p>
    <w:p w:rsidR="0052701D" w:rsidRDefault="00D40929">
      <w:pPr>
        <w:spacing w:after="0" w:line="248" w:lineRule="auto"/>
        <w:ind w:left="9" w:firstLine="711"/>
        <w:jc w:val="both"/>
      </w:pPr>
      <w:r>
        <w:rPr>
          <w:rFonts w:ascii="Times New Roman" w:eastAsia="Times New Roman" w:hAnsi="Times New Roman" w:cs="Times New Roman"/>
          <w:i/>
          <w:sz w:val="24"/>
        </w:rPr>
        <w:t>These technologies increase the efficiency of the investment casting process. This is one of the most accurate casting methods in the modern industry, al</w:t>
      </w:r>
      <w:r>
        <w:rPr>
          <w:rFonts w:ascii="Times New Roman" w:eastAsia="Times New Roman" w:hAnsi="Times New Roman" w:cs="Times New Roman"/>
          <w:i/>
          <w:sz w:val="24"/>
        </w:rPr>
        <w:t xml:space="preserve">lowing you to obtain products with tolerances of 100-200 microns.  </w:t>
      </w:r>
    </w:p>
    <w:p w:rsidR="0052701D" w:rsidRDefault="00D40929">
      <w:pPr>
        <w:spacing w:after="5" w:line="250" w:lineRule="auto"/>
        <w:ind w:left="723" w:right="879" w:hanging="10"/>
        <w:jc w:val="center"/>
      </w:pPr>
      <w:r>
        <w:rPr>
          <w:rFonts w:ascii="Times New Roman" w:eastAsia="Times New Roman" w:hAnsi="Times New Roman" w:cs="Times New Roman"/>
          <w:b/>
          <w:i/>
          <w:sz w:val="24"/>
        </w:rPr>
        <w:t>Keywords:</w:t>
      </w:r>
      <w:r>
        <w:rPr>
          <w:rFonts w:ascii="Times New Roman" w:eastAsia="Times New Roman" w:hAnsi="Times New Roman" w:cs="Times New Roman"/>
          <w:i/>
          <w:sz w:val="24"/>
        </w:rPr>
        <w:t xml:space="preserve"> Additive technologies, 3D printer, wax FDM printing, extruder, support</w:t>
      </w:r>
      <w:r>
        <w:rPr>
          <w:rFonts w:ascii="Times New Roman" w:eastAsia="Times New Roman" w:hAnsi="Times New Roman" w:cs="Times New Roman"/>
          <w:i/>
        </w:rPr>
        <w:t>.</w:t>
      </w:r>
      <w:r>
        <w:rPr>
          <w:rFonts w:ascii="Times New Roman" w:eastAsia="Times New Roman" w:hAnsi="Times New Roman" w:cs="Times New Roman"/>
        </w:rPr>
        <w:t xml:space="preserve"> </w:t>
      </w:r>
    </w:p>
    <w:p w:rsidR="0052701D" w:rsidRDefault="00D40929">
      <w:pPr>
        <w:spacing w:after="12"/>
        <w:ind w:left="721"/>
      </w:pPr>
      <w:r>
        <w:rPr>
          <w:rFonts w:ascii="Times New Roman" w:eastAsia="Times New Roman" w:hAnsi="Times New Roman" w:cs="Times New Roman"/>
          <w:sz w:val="24"/>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Для традиционного литья, как и для других классических технологий, появление 3D‑печати позволило значит</w:t>
      </w:r>
      <w:r>
        <w:rPr>
          <w:rFonts w:ascii="Times New Roman" w:eastAsia="Times New Roman" w:hAnsi="Times New Roman" w:cs="Times New Roman"/>
          <w:sz w:val="28"/>
        </w:rPr>
        <w:t xml:space="preserve">ельно оптимизировать технологический цикл на предприятиях самых разных промышленных отраслей. </w:t>
      </w:r>
    </w:p>
    <w:p w:rsidR="0052701D" w:rsidRDefault="00D40929">
      <w:pPr>
        <w:spacing w:after="5" w:line="271" w:lineRule="auto"/>
        <w:ind w:left="9" w:right="64" w:firstLine="711"/>
        <w:jc w:val="both"/>
      </w:pPr>
      <w:r>
        <w:rPr>
          <w:rFonts w:ascii="Times New Roman" w:eastAsia="Times New Roman" w:hAnsi="Times New Roman" w:cs="Times New Roman"/>
          <w:sz w:val="28"/>
        </w:rPr>
        <w:t>Воск, характеризующийся хорошей выплавляемостью (при температуре от 60°С) и требующий несложной постобработки, стал одним из самых доступных и популярных материа</w:t>
      </w:r>
      <w:r>
        <w:rPr>
          <w:rFonts w:ascii="Times New Roman" w:eastAsia="Times New Roman" w:hAnsi="Times New Roman" w:cs="Times New Roman"/>
          <w:sz w:val="28"/>
        </w:rPr>
        <w:t xml:space="preserve">лов, используемых в 3D‑печати. Сегодня даже в условиях обычного офиса или лаборатории можно установить аддитивную установку и круглосуточно печатать высококачественные модели из воска, точно соответствующие CAD‑моделям. (рисунок 1) </w:t>
      </w:r>
    </w:p>
    <w:p w:rsidR="0052701D" w:rsidRDefault="00D40929">
      <w:pPr>
        <w:spacing w:after="5" w:line="271" w:lineRule="auto"/>
        <w:ind w:left="721" w:right="64"/>
        <w:jc w:val="both"/>
      </w:pPr>
      <w:r>
        <w:rPr>
          <w:rFonts w:ascii="Times New Roman" w:eastAsia="Times New Roman" w:hAnsi="Times New Roman" w:cs="Times New Roman"/>
          <w:sz w:val="28"/>
        </w:rPr>
        <w:t>Основные этапы литья по</w:t>
      </w:r>
      <w:r>
        <w:rPr>
          <w:rFonts w:ascii="Times New Roman" w:eastAsia="Times New Roman" w:hAnsi="Times New Roman" w:cs="Times New Roman"/>
          <w:sz w:val="28"/>
        </w:rPr>
        <w:t xml:space="preserve"> выплавляемым моделям: </w:t>
      </w:r>
    </w:p>
    <w:p w:rsidR="0052701D" w:rsidRDefault="00D40929">
      <w:pPr>
        <w:numPr>
          <w:ilvl w:val="0"/>
          <w:numId w:val="18"/>
        </w:numPr>
        <w:spacing w:after="5" w:line="271" w:lineRule="auto"/>
        <w:ind w:right="64" w:hanging="361"/>
        <w:jc w:val="both"/>
      </w:pPr>
      <w:r>
        <w:rPr>
          <w:rFonts w:ascii="Times New Roman" w:eastAsia="Times New Roman" w:hAnsi="Times New Roman" w:cs="Times New Roman"/>
          <w:sz w:val="28"/>
        </w:rPr>
        <w:t xml:space="preserve">Создается образец модели. </w:t>
      </w:r>
    </w:p>
    <w:p w:rsidR="0052701D" w:rsidRDefault="00D40929">
      <w:pPr>
        <w:numPr>
          <w:ilvl w:val="0"/>
          <w:numId w:val="18"/>
        </w:numPr>
        <w:spacing w:after="5" w:line="271" w:lineRule="auto"/>
        <w:ind w:right="64" w:hanging="361"/>
        <w:jc w:val="both"/>
      </w:pPr>
      <w:r>
        <w:rPr>
          <w:rFonts w:ascii="Times New Roman" w:eastAsia="Times New Roman" w:hAnsi="Times New Roman" w:cs="Times New Roman"/>
          <w:sz w:val="28"/>
        </w:rPr>
        <w:t xml:space="preserve">Образец присоединяется к центральному литнику. </w:t>
      </w:r>
    </w:p>
    <w:p w:rsidR="0052701D" w:rsidRDefault="00D40929">
      <w:pPr>
        <w:numPr>
          <w:ilvl w:val="0"/>
          <w:numId w:val="18"/>
        </w:numPr>
        <w:spacing w:after="5" w:line="271" w:lineRule="auto"/>
        <w:ind w:right="64" w:hanging="361"/>
        <w:jc w:val="both"/>
      </w:pPr>
      <w:r>
        <w:rPr>
          <w:rFonts w:ascii="Times New Roman" w:eastAsia="Times New Roman" w:hAnsi="Times New Roman" w:cs="Times New Roman"/>
          <w:sz w:val="28"/>
        </w:rPr>
        <w:t xml:space="preserve">Образец и центральный литник несколько раз опускают в огнеупорный материал, создавая форму вокруг образца. </w:t>
      </w:r>
    </w:p>
    <w:p w:rsidR="0052701D" w:rsidRDefault="00D40929">
      <w:pPr>
        <w:numPr>
          <w:ilvl w:val="0"/>
          <w:numId w:val="18"/>
        </w:numPr>
        <w:spacing w:after="5" w:line="271" w:lineRule="auto"/>
        <w:ind w:right="64" w:hanging="361"/>
        <w:jc w:val="both"/>
      </w:pPr>
      <w:r>
        <w:rPr>
          <w:rFonts w:ascii="Times New Roman" w:eastAsia="Times New Roman" w:hAnsi="Times New Roman" w:cs="Times New Roman"/>
          <w:sz w:val="28"/>
        </w:rPr>
        <w:t>Образец удаляется из огнеупорной формы. Форма гот</w:t>
      </w:r>
      <w:r>
        <w:rPr>
          <w:rFonts w:ascii="Times New Roman" w:eastAsia="Times New Roman" w:hAnsi="Times New Roman" w:cs="Times New Roman"/>
          <w:sz w:val="28"/>
        </w:rPr>
        <w:t xml:space="preserve">ова для заливки металлом. </w:t>
      </w:r>
    </w:p>
    <w:p w:rsidR="0052701D" w:rsidRDefault="00D40929">
      <w:pPr>
        <w:numPr>
          <w:ilvl w:val="0"/>
          <w:numId w:val="18"/>
        </w:numPr>
        <w:spacing w:after="5" w:line="271" w:lineRule="auto"/>
        <w:ind w:right="64" w:hanging="361"/>
        <w:jc w:val="both"/>
      </w:pPr>
      <w:r>
        <w:rPr>
          <w:rFonts w:ascii="Times New Roman" w:eastAsia="Times New Roman" w:hAnsi="Times New Roman" w:cs="Times New Roman"/>
          <w:sz w:val="28"/>
        </w:rPr>
        <w:t xml:space="preserve">Металл заливается в форму. </w:t>
      </w:r>
    </w:p>
    <w:p w:rsidR="0052701D" w:rsidRDefault="00D40929">
      <w:pPr>
        <w:numPr>
          <w:ilvl w:val="0"/>
          <w:numId w:val="18"/>
        </w:numPr>
        <w:spacing w:after="5" w:line="271" w:lineRule="auto"/>
        <w:ind w:right="64" w:hanging="361"/>
        <w:jc w:val="both"/>
      </w:pPr>
      <w:r>
        <w:rPr>
          <w:rFonts w:ascii="Times New Roman" w:eastAsia="Times New Roman" w:hAnsi="Times New Roman" w:cs="Times New Roman"/>
          <w:sz w:val="28"/>
        </w:rPr>
        <w:t xml:space="preserve">После охлаждения материал формы удаляется посредством механической обработки, химической очистки или растворения в воде. </w:t>
      </w:r>
    </w:p>
    <w:p w:rsidR="0052701D" w:rsidRDefault="00D40929">
      <w:pPr>
        <w:numPr>
          <w:ilvl w:val="0"/>
          <w:numId w:val="18"/>
        </w:numPr>
        <w:spacing w:after="5" w:line="271" w:lineRule="auto"/>
        <w:ind w:right="64" w:hanging="361"/>
        <w:jc w:val="both"/>
      </w:pPr>
      <w:r>
        <w:rPr>
          <w:rFonts w:ascii="Times New Roman" w:eastAsia="Times New Roman" w:hAnsi="Times New Roman" w:cs="Times New Roman"/>
          <w:sz w:val="28"/>
        </w:rPr>
        <w:t xml:space="preserve">Части отрезают от центрального литника и слегка зачищают. </w:t>
      </w:r>
    </w:p>
    <w:p w:rsidR="0052701D" w:rsidRDefault="00D40929">
      <w:pPr>
        <w:spacing w:after="0"/>
        <w:ind w:left="20"/>
        <w:jc w:val="center"/>
      </w:pPr>
      <w:r>
        <w:rPr>
          <w:noProof/>
        </w:rPr>
        <w:drawing>
          <wp:inline distT="0" distB="0" distL="0" distR="0">
            <wp:extent cx="3523488" cy="2490216"/>
            <wp:effectExtent l="0" t="0" r="0" b="0"/>
            <wp:docPr id="18060" name="Picture 18060"/>
            <wp:cNvGraphicFramePr/>
            <a:graphic xmlns:a="http://schemas.openxmlformats.org/drawingml/2006/main">
              <a:graphicData uri="http://schemas.openxmlformats.org/drawingml/2006/picture">
                <pic:pic xmlns:pic="http://schemas.openxmlformats.org/drawingml/2006/picture">
                  <pic:nvPicPr>
                    <pic:cNvPr id="18060" name="Picture 18060"/>
                    <pic:cNvPicPr/>
                  </pic:nvPicPr>
                  <pic:blipFill>
                    <a:blip r:embed="rId201"/>
                    <a:stretch>
                      <a:fillRect/>
                    </a:stretch>
                  </pic:blipFill>
                  <pic:spPr>
                    <a:xfrm>
                      <a:off x="0" y="0"/>
                      <a:ext cx="3523488" cy="2490216"/>
                    </a:xfrm>
                    <a:prstGeom prst="rect">
                      <a:avLst/>
                    </a:prstGeom>
                  </pic:spPr>
                </pic:pic>
              </a:graphicData>
            </a:graphic>
          </wp:inline>
        </w:drawing>
      </w:r>
      <w:r>
        <w:rPr>
          <w:rFonts w:ascii="Times New Roman" w:eastAsia="Times New Roman" w:hAnsi="Times New Roman" w:cs="Times New Roman"/>
        </w:rPr>
        <w:t xml:space="preserve"> </w:t>
      </w:r>
    </w:p>
    <w:p w:rsidR="0052701D" w:rsidRDefault="00D40929">
      <w:pPr>
        <w:spacing w:after="14" w:line="248" w:lineRule="auto"/>
        <w:ind w:left="713" w:right="749" w:hanging="5"/>
        <w:jc w:val="center"/>
      </w:pPr>
      <w:r>
        <w:rPr>
          <w:rFonts w:ascii="Times New Roman" w:eastAsia="Times New Roman" w:hAnsi="Times New Roman" w:cs="Times New Roman"/>
          <w:sz w:val="24"/>
        </w:rPr>
        <w:t xml:space="preserve">Рис. 1. Восковая 3D-печать против традиционные технологии </w:t>
      </w:r>
    </w:p>
    <w:p w:rsidR="0052701D" w:rsidRDefault="00D40929">
      <w:pPr>
        <w:spacing w:after="65"/>
        <w:ind w:left="21"/>
        <w:jc w:val="center"/>
      </w:pPr>
      <w:r>
        <w:rPr>
          <w:rFonts w:ascii="Times New Roman" w:eastAsia="Times New Roman" w:hAnsi="Times New Roman" w:cs="Times New Roman"/>
          <w:sz w:val="24"/>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lastRenderedPageBreak/>
        <w:t>Благодаря высокой производительности восковых 3D‑принтеров предприятие может сократить время изготовления опытных образцов в разы, а порой и в десятки раз и, соответственно, уменьшить производств</w:t>
      </w:r>
      <w:r>
        <w:rPr>
          <w:rFonts w:ascii="Times New Roman" w:eastAsia="Times New Roman" w:hAnsi="Times New Roman" w:cs="Times New Roman"/>
          <w:sz w:val="28"/>
        </w:rPr>
        <w:t>енные расходы. Напечатанные из воска модели отличаются высокой точностью, идеально ровными и гладкими поверхностями, а также тончайшей детализацией, что позволяет создавать изделия сложных форм и фактур, которые невозможно изготовить по традиционным технол</w:t>
      </w:r>
      <w:r>
        <w:rPr>
          <w:rFonts w:ascii="Times New Roman" w:eastAsia="Times New Roman" w:hAnsi="Times New Roman" w:cs="Times New Roman"/>
          <w:sz w:val="28"/>
        </w:rPr>
        <w:t>огиям. создают функциональные прототипы, формы для технологической оснастки и мастер‑модели для литья по выплавляемым моделям в таких сферах, как ювелирное дело, промышленное производство, потребительские товары, автомобильная и авиационная промышленность,</w:t>
      </w:r>
      <w:r>
        <w:rPr>
          <w:rFonts w:ascii="Times New Roman" w:eastAsia="Times New Roman" w:hAnsi="Times New Roman" w:cs="Times New Roman"/>
          <w:sz w:val="28"/>
        </w:rPr>
        <w:t xml:space="preserve"> медицина. </w:t>
      </w:r>
    </w:p>
    <w:p w:rsidR="0052701D" w:rsidRDefault="00D40929">
      <w:pPr>
        <w:spacing w:after="5" w:line="271" w:lineRule="auto"/>
        <w:ind w:left="721" w:right="64"/>
        <w:jc w:val="both"/>
      </w:pPr>
      <w:r>
        <w:rPr>
          <w:rFonts w:ascii="Times New Roman" w:eastAsia="Times New Roman" w:hAnsi="Times New Roman" w:cs="Times New Roman"/>
          <w:sz w:val="28"/>
        </w:rPr>
        <w:t xml:space="preserve">В частности, восковые 3D‑принтеры используются для создания: </w:t>
      </w:r>
    </w:p>
    <w:p w:rsidR="0052701D" w:rsidRDefault="00D40929">
      <w:pPr>
        <w:numPr>
          <w:ilvl w:val="0"/>
          <w:numId w:val="18"/>
        </w:numPr>
        <w:spacing w:after="5" w:line="271" w:lineRule="auto"/>
        <w:ind w:right="64" w:hanging="361"/>
        <w:jc w:val="both"/>
      </w:pPr>
      <w:r>
        <w:rPr>
          <w:rFonts w:ascii="Times New Roman" w:eastAsia="Times New Roman" w:hAnsi="Times New Roman" w:cs="Times New Roman"/>
          <w:sz w:val="28"/>
        </w:rPr>
        <w:t xml:space="preserve">промышленных компонентов для автомобильной и авиакосмической индустрии, машиностроения и приборостроения; </w:t>
      </w:r>
    </w:p>
    <w:p w:rsidR="0052701D" w:rsidRDefault="00D40929">
      <w:pPr>
        <w:numPr>
          <w:ilvl w:val="0"/>
          <w:numId w:val="18"/>
        </w:numPr>
        <w:spacing w:after="5" w:line="271" w:lineRule="auto"/>
        <w:ind w:right="64" w:hanging="361"/>
        <w:jc w:val="both"/>
      </w:pPr>
      <w:r>
        <w:rPr>
          <w:rFonts w:ascii="Times New Roman" w:eastAsia="Times New Roman" w:hAnsi="Times New Roman" w:cs="Times New Roman"/>
          <w:sz w:val="28"/>
        </w:rPr>
        <w:t>изделий ювелирной и часовой промышленности; ●</w:t>
      </w:r>
      <w:r>
        <w:rPr>
          <w:rFonts w:ascii="Arial" w:eastAsia="Arial" w:hAnsi="Arial" w:cs="Arial"/>
          <w:sz w:val="28"/>
        </w:rPr>
        <w:t xml:space="preserve"> </w:t>
      </w:r>
      <w:r>
        <w:rPr>
          <w:rFonts w:ascii="Times New Roman" w:eastAsia="Times New Roman" w:hAnsi="Times New Roman" w:cs="Times New Roman"/>
          <w:sz w:val="28"/>
        </w:rPr>
        <w:t>протезов и других медицинских</w:t>
      </w:r>
      <w:r>
        <w:rPr>
          <w:rFonts w:ascii="Times New Roman" w:eastAsia="Times New Roman" w:hAnsi="Times New Roman" w:cs="Times New Roman"/>
          <w:sz w:val="28"/>
        </w:rPr>
        <w:t xml:space="preserve"> приспособлений; ●</w:t>
      </w:r>
      <w:r>
        <w:rPr>
          <w:rFonts w:ascii="Arial" w:eastAsia="Arial" w:hAnsi="Arial" w:cs="Arial"/>
          <w:sz w:val="28"/>
        </w:rPr>
        <w:t xml:space="preserve"> </w:t>
      </w:r>
      <w:r>
        <w:rPr>
          <w:rFonts w:ascii="Times New Roman" w:eastAsia="Times New Roman" w:hAnsi="Times New Roman" w:cs="Times New Roman"/>
          <w:sz w:val="28"/>
        </w:rPr>
        <w:t xml:space="preserve">предметов искусства, сувениров. </w:t>
      </w:r>
    </w:p>
    <w:p w:rsidR="0052701D" w:rsidRDefault="00D40929">
      <w:pPr>
        <w:spacing w:after="29" w:line="251" w:lineRule="auto"/>
        <w:ind w:left="720" w:firstLine="9"/>
      </w:pPr>
      <w:r>
        <w:rPr>
          <w:rFonts w:ascii="Times New Roman" w:eastAsia="Times New Roman" w:hAnsi="Times New Roman" w:cs="Times New Roman"/>
          <w:b/>
          <w:sz w:val="28"/>
        </w:rPr>
        <w:t xml:space="preserve">Послойное наплавление — FDM </w:t>
      </w:r>
    </w:p>
    <w:p w:rsidR="0052701D" w:rsidRDefault="00D40929">
      <w:pPr>
        <w:spacing w:after="5" w:line="271" w:lineRule="auto"/>
        <w:ind w:left="9" w:right="64" w:firstLine="711"/>
        <w:jc w:val="both"/>
      </w:pPr>
      <w:r>
        <w:rPr>
          <w:rFonts w:ascii="Times New Roman" w:eastAsia="Times New Roman" w:hAnsi="Times New Roman" w:cs="Times New Roman"/>
          <w:sz w:val="28"/>
        </w:rPr>
        <w:t>Технология FDM — это технология послойного наплавления пластика. В качестве рабочего вещества используется нить из различных видов пластика, в том числе и тугоплавкого литейно</w:t>
      </w:r>
      <w:r>
        <w:rPr>
          <w:rFonts w:ascii="Times New Roman" w:eastAsia="Times New Roman" w:hAnsi="Times New Roman" w:cs="Times New Roman"/>
          <w:sz w:val="28"/>
        </w:rPr>
        <w:t>го воска. Печать воском по технологии FDM мало чем отличается от печати другими материалами по данной технологии. При печати пруток поступает в экструдер, где нагревается до температуры плавления и укладывается слоями на печатную платформу, образуя объемну</w:t>
      </w:r>
      <w:r>
        <w:rPr>
          <w:rFonts w:ascii="Times New Roman" w:eastAsia="Times New Roman" w:hAnsi="Times New Roman" w:cs="Times New Roman"/>
          <w:sz w:val="28"/>
        </w:rPr>
        <w:t xml:space="preserve">ю модель. (рис. </w:t>
      </w:r>
    </w:p>
    <w:p w:rsidR="0052701D" w:rsidRDefault="00D40929">
      <w:pPr>
        <w:spacing w:after="5" w:line="271" w:lineRule="auto"/>
        <w:ind w:left="9" w:right="64"/>
        <w:jc w:val="both"/>
      </w:pPr>
      <w:r>
        <w:rPr>
          <w:rFonts w:ascii="Times New Roman" w:eastAsia="Times New Roman" w:hAnsi="Times New Roman" w:cs="Times New Roman"/>
          <w:sz w:val="28"/>
        </w:rPr>
        <w:t xml:space="preserve">2) </w:t>
      </w:r>
    </w:p>
    <w:p w:rsidR="0052701D" w:rsidRDefault="00D40929">
      <w:pPr>
        <w:spacing w:after="111"/>
        <w:ind w:left="2630"/>
      </w:pPr>
      <w:r>
        <w:rPr>
          <w:noProof/>
        </w:rPr>
        <w:drawing>
          <wp:inline distT="0" distB="0" distL="0" distR="0">
            <wp:extent cx="3240024" cy="1883664"/>
            <wp:effectExtent l="0" t="0" r="0" b="0"/>
            <wp:docPr id="18149" name="Picture 18149"/>
            <wp:cNvGraphicFramePr/>
            <a:graphic xmlns:a="http://schemas.openxmlformats.org/drawingml/2006/main">
              <a:graphicData uri="http://schemas.openxmlformats.org/drawingml/2006/picture">
                <pic:pic xmlns:pic="http://schemas.openxmlformats.org/drawingml/2006/picture">
                  <pic:nvPicPr>
                    <pic:cNvPr id="18149" name="Picture 18149"/>
                    <pic:cNvPicPr/>
                  </pic:nvPicPr>
                  <pic:blipFill>
                    <a:blip r:embed="rId202"/>
                    <a:stretch>
                      <a:fillRect/>
                    </a:stretch>
                  </pic:blipFill>
                  <pic:spPr>
                    <a:xfrm>
                      <a:off x="0" y="0"/>
                      <a:ext cx="3240024" cy="1883664"/>
                    </a:xfrm>
                    <a:prstGeom prst="rect">
                      <a:avLst/>
                    </a:prstGeom>
                  </pic:spPr>
                </pic:pic>
              </a:graphicData>
            </a:graphic>
          </wp:inline>
        </w:drawing>
      </w:r>
      <w:r>
        <w:rPr>
          <w:rFonts w:ascii="Times New Roman" w:eastAsia="Times New Roman" w:hAnsi="Times New Roman" w:cs="Times New Roman"/>
        </w:rPr>
        <w:t xml:space="preserve"> </w:t>
      </w:r>
    </w:p>
    <w:p w:rsidR="0052701D" w:rsidRDefault="00D40929">
      <w:pPr>
        <w:spacing w:after="14" w:line="248" w:lineRule="auto"/>
        <w:ind w:left="713" w:right="758" w:hanging="5"/>
        <w:jc w:val="center"/>
      </w:pPr>
      <w:r>
        <w:rPr>
          <w:rFonts w:ascii="Times New Roman" w:eastAsia="Times New Roman" w:hAnsi="Times New Roman" w:cs="Times New Roman"/>
          <w:sz w:val="24"/>
        </w:rPr>
        <w:t xml:space="preserve">Рис. 2. Технология послойной печати  </w:t>
      </w:r>
    </w:p>
    <w:p w:rsidR="0052701D" w:rsidRDefault="00D40929">
      <w:pPr>
        <w:spacing w:after="16"/>
        <w:ind w:left="21"/>
        <w:jc w:val="center"/>
      </w:pPr>
      <w:r>
        <w:rPr>
          <w:rFonts w:ascii="Times New Roman" w:eastAsia="Times New Roman" w:hAnsi="Times New Roman" w:cs="Times New Roman"/>
          <w:sz w:val="24"/>
        </w:rPr>
        <w:t xml:space="preserve"> </w:t>
      </w:r>
    </w:p>
    <w:p w:rsidR="0052701D" w:rsidRDefault="00D40929">
      <w:pPr>
        <w:spacing w:after="139" w:line="271" w:lineRule="auto"/>
        <w:ind w:left="9" w:right="64" w:firstLine="711"/>
        <w:jc w:val="both"/>
      </w:pPr>
      <w:r>
        <w:rPr>
          <w:rFonts w:ascii="Times New Roman" w:eastAsia="Times New Roman" w:hAnsi="Times New Roman" w:cs="Times New Roman"/>
          <w:sz w:val="28"/>
        </w:rPr>
        <w:t xml:space="preserve">Технология даёт возможность формировать модели с точностью до 0,05 мм. На формирование таких моделей требуется всего несколько часов, тогда как на создание моделей вручную могут потребоваться месяцы (рис. 3) </w:t>
      </w:r>
    </w:p>
    <w:p w:rsidR="0052701D" w:rsidRDefault="00D40929">
      <w:pPr>
        <w:spacing w:after="111"/>
        <w:ind w:left="15"/>
        <w:jc w:val="center"/>
      </w:pPr>
      <w:r>
        <w:rPr>
          <w:noProof/>
        </w:rPr>
        <w:lastRenderedPageBreak/>
        <w:drawing>
          <wp:inline distT="0" distB="0" distL="0" distR="0">
            <wp:extent cx="3151632" cy="1191768"/>
            <wp:effectExtent l="0" t="0" r="0" b="0"/>
            <wp:docPr id="18151" name="Picture 18151"/>
            <wp:cNvGraphicFramePr/>
            <a:graphic xmlns:a="http://schemas.openxmlformats.org/drawingml/2006/main">
              <a:graphicData uri="http://schemas.openxmlformats.org/drawingml/2006/picture">
                <pic:pic xmlns:pic="http://schemas.openxmlformats.org/drawingml/2006/picture">
                  <pic:nvPicPr>
                    <pic:cNvPr id="18151" name="Picture 18151"/>
                    <pic:cNvPicPr/>
                  </pic:nvPicPr>
                  <pic:blipFill>
                    <a:blip r:embed="rId203"/>
                    <a:stretch>
                      <a:fillRect/>
                    </a:stretch>
                  </pic:blipFill>
                  <pic:spPr>
                    <a:xfrm>
                      <a:off x="0" y="0"/>
                      <a:ext cx="3151632" cy="1191768"/>
                    </a:xfrm>
                    <a:prstGeom prst="rect">
                      <a:avLst/>
                    </a:prstGeom>
                  </pic:spPr>
                </pic:pic>
              </a:graphicData>
            </a:graphic>
          </wp:inline>
        </w:drawing>
      </w:r>
      <w:r>
        <w:rPr>
          <w:rFonts w:ascii="Times New Roman" w:eastAsia="Times New Roman" w:hAnsi="Times New Roman" w:cs="Times New Roman"/>
        </w:rPr>
        <w:t xml:space="preserve"> </w:t>
      </w:r>
    </w:p>
    <w:p w:rsidR="0052701D" w:rsidRDefault="00D40929">
      <w:pPr>
        <w:spacing w:after="14" w:line="248" w:lineRule="auto"/>
        <w:ind w:left="713" w:right="754" w:hanging="5"/>
        <w:jc w:val="center"/>
      </w:pPr>
      <w:r>
        <w:rPr>
          <w:rFonts w:ascii="Times New Roman" w:eastAsia="Times New Roman" w:hAnsi="Times New Roman" w:cs="Times New Roman"/>
          <w:sz w:val="24"/>
        </w:rPr>
        <w:t>Рис.3. Пример печати воском технической дета</w:t>
      </w:r>
      <w:r>
        <w:rPr>
          <w:rFonts w:ascii="Times New Roman" w:eastAsia="Times New Roman" w:hAnsi="Times New Roman" w:cs="Times New Roman"/>
          <w:sz w:val="24"/>
        </w:rPr>
        <w:t xml:space="preserve">ли  </w:t>
      </w:r>
    </w:p>
    <w:p w:rsidR="0052701D" w:rsidRDefault="00D40929">
      <w:pPr>
        <w:spacing w:after="86"/>
        <w:ind w:left="16"/>
        <w:jc w:val="center"/>
      </w:pPr>
      <w:r>
        <w:rPr>
          <w:rFonts w:ascii="Times New Roman" w:eastAsia="Times New Roman" w:hAnsi="Times New Roman" w:cs="Times New Roman"/>
        </w:rPr>
        <w:t xml:space="preserve"> </w:t>
      </w:r>
    </w:p>
    <w:p w:rsidR="0052701D" w:rsidRDefault="00D40929">
      <w:pPr>
        <w:tabs>
          <w:tab w:val="center" w:pos="1399"/>
          <w:tab w:val="center" w:pos="2643"/>
          <w:tab w:val="center" w:pos="3966"/>
          <w:tab w:val="center" w:pos="5503"/>
          <w:tab w:val="center" w:pos="6991"/>
          <w:tab w:val="right" w:pos="9681"/>
        </w:tabs>
        <w:spacing w:after="3"/>
      </w:pPr>
      <w:r>
        <w:tab/>
      </w:r>
      <w:r>
        <w:rPr>
          <w:rFonts w:ascii="Times New Roman" w:eastAsia="Times New Roman" w:hAnsi="Times New Roman" w:cs="Times New Roman"/>
          <w:sz w:val="28"/>
        </w:rPr>
        <w:t xml:space="preserve">Материалы </w:t>
      </w:r>
      <w:r>
        <w:rPr>
          <w:rFonts w:ascii="Times New Roman" w:eastAsia="Times New Roman" w:hAnsi="Times New Roman" w:cs="Times New Roman"/>
          <w:sz w:val="28"/>
        </w:rPr>
        <w:tab/>
        <w:t xml:space="preserve">для </w:t>
      </w:r>
      <w:r>
        <w:rPr>
          <w:rFonts w:ascii="Times New Roman" w:eastAsia="Times New Roman" w:hAnsi="Times New Roman" w:cs="Times New Roman"/>
          <w:sz w:val="28"/>
        </w:rPr>
        <w:tab/>
        <w:t xml:space="preserve">FDM-печати </w:t>
      </w:r>
      <w:r>
        <w:rPr>
          <w:rFonts w:ascii="Times New Roman" w:eastAsia="Times New Roman" w:hAnsi="Times New Roman" w:cs="Times New Roman"/>
          <w:sz w:val="28"/>
        </w:rPr>
        <w:tab/>
        <w:t xml:space="preserve">воском </w:t>
      </w:r>
      <w:r>
        <w:rPr>
          <w:rFonts w:ascii="Times New Roman" w:eastAsia="Times New Roman" w:hAnsi="Times New Roman" w:cs="Times New Roman"/>
          <w:sz w:val="28"/>
        </w:rPr>
        <w:tab/>
        <w:t xml:space="preserve">используют </w:t>
      </w:r>
      <w:r>
        <w:rPr>
          <w:rFonts w:ascii="Times New Roman" w:eastAsia="Times New Roman" w:hAnsi="Times New Roman" w:cs="Times New Roman"/>
          <w:sz w:val="28"/>
        </w:rPr>
        <w:tab/>
        <w:t xml:space="preserve">специальный </w:t>
      </w:r>
    </w:p>
    <w:p w:rsidR="0052701D" w:rsidRDefault="00D40929">
      <w:pPr>
        <w:spacing w:after="80" w:line="271" w:lineRule="auto"/>
        <w:ind w:left="9" w:right="64"/>
        <w:jc w:val="both"/>
      </w:pPr>
      <w:r>
        <w:rPr>
          <w:rFonts w:ascii="Times New Roman" w:eastAsia="Times New Roman" w:hAnsi="Times New Roman" w:cs="Times New Roman"/>
          <w:sz w:val="28"/>
        </w:rPr>
        <w:t xml:space="preserve">воскоподобный пластик, такой как </w:t>
      </w:r>
      <w:hyperlink r:id="rId204">
        <w:r>
          <w:rPr>
            <w:rFonts w:ascii="Times New Roman" w:eastAsia="Times New Roman" w:hAnsi="Times New Roman" w:cs="Times New Roman"/>
            <w:sz w:val="28"/>
          </w:rPr>
          <w:t>WAX</w:t>
        </w:r>
      </w:hyperlink>
      <w:hyperlink r:id="rId205">
        <w:r>
          <w:rPr>
            <w:rFonts w:ascii="Times New Roman" w:eastAsia="Times New Roman" w:hAnsi="Times New Roman" w:cs="Times New Roman"/>
            <w:sz w:val="28"/>
          </w:rPr>
          <w:t xml:space="preserve"> </w:t>
        </w:r>
      </w:hyperlink>
      <w:hyperlink r:id="rId206">
        <w:r>
          <w:rPr>
            <w:rFonts w:ascii="Times New Roman" w:eastAsia="Times New Roman" w:hAnsi="Times New Roman" w:cs="Times New Roman"/>
            <w:sz w:val="28"/>
          </w:rPr>
          <w:t>3</w:t>
        </w:r>
      </w:hyperlink>
      <w:hyperlink r:id="rId207">
        <w:r>
          <w:rPr>
            <w:rFonts w:ascii="Times New Roman" w:eastAsia="Times New Roman" w:hAnsi="Times New Roman" w:cs="Times New Roman"/>
            <w:sz w:val="28"/>
          </w:rPr>
          <w:t>D</w:t>
        </w:r>
      </w:hyperlink>
      <w:hyperlink r:id="rId208">
        <w:r>
          <w:rPr>
            <w:rFonts w:ascii="Times New Roman" w:eastAsia="Times New Roman" w:hAnsi="Times New Roman" w:cs="Times New Roman"/>
            <w:sz w:val="28"/>
          </w:rPr>
          <w:t>.</w:t>
        </w:r>
      </w:hyperlink>
      <w:r>
        <w:rPr>
          <w:rFonts w:ascii="Times New Roman" w:eastAsia="Times New Roman" w:hAnsi="Times New Roman" w:cs="Times New Roman"/>
          <w:sz w:val="28"/>
        </w:rPr>
        <w:t xml:space="preserve"> (рис.4) </w:t>
      </w:r>
    </w:p>
    <w:p w:rsidR="0052701D" w:rsidRDefault="00D40929">
      <w:pPr>
        <w:spacing w:after="0"/>
        <w:ind w:left="721"/>
      </w:pPr>
      <w:r>
        <w:rPr>
          <w:rFonts w:ascii="Times New Roman" w:eastAsia="Times New Roman" w:hAnsi="Times New Roman" w:cs="Times New Roman"/>
          <w:sz w:val="28"/>
        </w:rPr>
        <w:t xml:space="preserve"> </w:t>
      </w:r>
    </w:p>
    <w:p w:rsidR="0052701D" w:rsidRDefault="00D40929">
      <w:pPr>
        <w:spacing w:after="0"/>
        <w:ind w:left="15"/>
        <w:jc w:val="center"/>
      </w:pPr>
      <w:r>
        <w:rPr>
          <w:noProof/>
        </w:rPr>
        <w:drawing>
          <wp:inline distT="0" distB="0" distL="0" distR="0">
            <wp:extent cx="2228088" cy="1685544"/>
            <wp:effectExtent l="0" t="0" r="0" b="0"/>
            <wp:docPr id="18251" name="Picture 18251"/>
            <wp:cNvGraphicFramePr/>
            <a:graphic xmlns:a="http://schemas.openxmlformats.org/drawingml/2006/main">
              <a:graphicData uri="http://schemas.openxmlformats.org/drawingml/2006/picture">
                <pic:pic xmlns:pic="http://schemas.openxmlformats.org/drawingml/2006/picture">
                  <pic:nvPicPr>
                    <pic:cNvPr id="18251" name="Picture 18251"/>
                    <pic:cNvPicPr/>
                  </pic:nvPicPr>
                  <pic:blipFill>
                    <a:blip r:embed="rId209"/>
                    <a:stretch>
                      <a:fillRect/>
                    </a:stretch>
                  </pic:blipFill>
                  <pic:spPr>
                    <a:xfrm>
                      <a:off x="0" y="0"/>
                      <a:ext cx="2228088" cy="1685544"/>
                    </a:xfrm>
                    <a:prstGeom prst="rect">
                      <a:avLst/>
                    </a:prstGeom>
                  </pic:spPr>
                </pic:pic>
              </a:graphicData>
            </a:graphic>
          </wp:inline>
        </w:drawing>
      </w:r>
      <w:r>
        <w:rPr>
          <w:rFonts w:ascii="Times New Roman" w:eastAsia="Times New Roman" w:hAnsi="Times New Roman" w:cs="Times New Roman"/>
        </w:rPr>
        <w:t xml:space="preserve"> </w:t>
      </w:r>
    </w:p>
    <w:p w:rsidR="0052701D" w:rsidRDefault="00D40929">
      <w:pPr>
        <w:spacing w:after="14" w:line="248" w:lineRule="auto"/>
        <w:ind w:left="713" w:right="750" w:hanging="5"/>
        <w:jc w:val="center"/>
      </w:pPr>
      <w:r>
        <w:rPr>
          <w:rFonts w:ascii="Times New Roman" w:eastAsia="Times New Roman" w:hAnsi="Times New Roman" w:cs="Times New Roman"/>
          <w:sz w:val="24"/>
        </w:rPr>
        <w:t xml:space="preserve">Рис. 4 .Материалы для FDM-печати воском </w:t>
      </w:r>
    </w:p>
    <w:p w:rsidR="0052701D" w:rsidRDefault="00D40929">
      <w:pPr>
        <w:spacing w:after="62"/>
        <w:ind w:left="21"/>
        <w:jc w:val="center"/>
      </w:pPr>
      <w:r>
        <w:rPr>
          <w:rFonts w:ascii="Times New Roman" w:eastAsia="Times New Roman" w:hAnsi="Times New Roman" w:cs="Times New Roman"/>
          <w:sz w:val="24"/>
        </w:rPr>
        <w:t xml:space="preserve"> </w:t>
      </w:r>
    </w:p>
    <w:p w:rsidR="0052701D" w:rsidRDefault="00D40929">
      <w:pPr>
        <w:spacing w:after="39" w:line="249" w:lineRule="auto"/>
        <w:ind w:left="10" w:right="9" w:hanging="10"/>
        <w:jc w:val="center"/>
      </w:pPr>
      <w:r>
        <w:rPr>
          <w:rFonts w:ascii="Times New Roman" w:eastAsia="Times New Roman" w:hAnsi="Times New Roman" w:cs="Times New Roman"/>
          <w:sz w:val="28"/>
        </w:rPr>
        <w:t xml:space="preserve">Одна из проблем FDM-печати воском это формирование поддержек.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Поддержки — </w:t>
      </w:r>
      <w:r>
        <w:rPr>
          <w:rFonts w:ascii="Times New Roman" w:eastAsia="Times New Roman" w:hAnsi="Times New Roman" w:cs="Times New Roman"/>
          <w:sz w:val="28"/>
        </w:rPr>
        <w:t xml:space="preserve">это каркасные элементы, которые строятся под нависающими частями изделия и служат для их поддержания.  </w:t>
      </w:r>
    </w:p>
    <w:p w:rsidR="0052701D" w:rsidRDefault="00D40929">
      <w:pPr>
        <w:spacing w:after="5" w:line="271" w:lineRule="auto"/>
        <w:ind w:left="9" w:right="64" w:firstLine="711"/>
        <w:jc w:val="both"/>
      </w:pPr>
      <w:r>
        <w:rPr>
          <w:rFonts w:ascii="Times New Roman" w:eastAsia="Times New Roman" w:hAnsi="Times New Roman" w:cs="Times New Roman"/>
          <w:sz w:val="28"/>
        </w:rPr>
        <w:t>Печать изделия, формирование которого должно иметь поддержки, без поддержек приведет к плохому качеству поверхности или к срыву изделия с рабочего стола</w:t>
      </w:r>
      <w:r>
        <w:rPr>
          <w:rFonts w:ascii="Times New Roman" w:eastAsia="Times New Roman" w:hAnsi="Times New Roman" w:cs="Times New Roman"/>
          <w:sz w:val="28"/>
        </w:rPr>
        <w:t xml:space="preserve">. Так как принтеры с технологией печати FDM не могут печатать на воздухе, пластик попросту стекает из сопла экструдера вниз и размазывается по изделию.  </w:t>
      </w:r>
    </w:p>
    <w:p w:rsidR="0052701D" w:rsidRDefault="00D40929">
      <w:pPr>
        <w:spacing w:after="5" w:line="271" w:lineRule="auto"/>
        <w:ind w:left="9" w:right="64" w:firstLine="711"/>
        <w:jc w:val="both"/>
      </w:pPr>
      <w:r>
        <w:rPr>
          <w:rFonts w:ascii="Times New Roman" w:eastAsia="Times New Roman" w:hAnsi="Times New Roman" w:cs="Times New Roman"/>
          <w:sz w:val="28"/>
        </w:rPr>
        <w:t>Чаще поддержки строятся из материала изделия, так как это ускоряет и удешевляет процесс печати. При ис</w:t>
      </w:r>
      <w:r>
        <w:rPr>
          <w:rFonts w:ascii="Times New Roman" w:eastAsia="Times New Roman" w:hAnsi="Times New Roman" w:cs="Times New Roman"/>
          <w:sz w:val="28"/>
        </w:rPr>
        <w:t xml:space="preserve">пользовании того же пластика, что и основное изделие происходит спекание основной детали и поддержки что в свою очередь усложняет процесс пост обработки. (рис. 5) </w:t>
      </w:r>
    </w:p>
    <w:p w:rsidR="0052701D" w:rsidRDefault="00D40929">
      <w:pPr>
        <w:spacing w:after="0"/>
        <w:ind w:left="15"/>
        <w:jc w:val="center"/>
      </w:pPr>
      <w:r>
        <w:rPr>
          <w:noProof/>
        </w:rPr>
        <w:drawing>
          <wp:inline distT="0" distB="0" distL="0" distR="0">
            <wp:extent cx="3240024" cy="1962912"/>
            <wp:effectExtent l="0" t="0" r="0" b="0"/>
            <wp:docPr id="18253" name="Picture 18253"/>
            <wp:cNvGraphicFramePr/>
            <a:graphic xmlns:a="http://schemas.openxmlformats.org/drawingml/2006/main">
              <a:graphicData uri="http://schemas.openxmlformats.org/drawingml/2006/picture">
                <pic:pic xmlns:pic="http://schemas.openxmlformats.org/drawingml/2006/picture">
                  <pic:nvPicPr>
                    <pic:cNvPr id="18253" name="Picture 18253"/>
                    <pic:cNvPicPr/>
                  </pic:nvPicPr>
                  <pic:blipFill>
                    <a:blip r:embed="rId210"/>
                    <a:stretch>
                      <a:fillRect/>
                    </a:stretch>
                  </pic:blipFill>
                  <pic:spPr>
                    <a:xfrm>
                      <a:off x="0" y="0"/>
                      <a:ext cx="3240024" cy="1962912"/>
                    </a:xfrm>
                    <a:prstGeom prst="rect">
                      <a:avLst/>
                    </a:prstGeom>
                  </pic:spPr>
                </pic:pic>
              </a:graphicData>
            </a:graphic>
          </wp:inline>
        </w:drawing>
      </w:r>
      <w:r>
        <w:rPr>
          <w:rFonts w:ascii="Times New Roman" w:eastAsia="Times New Roman" w:hAnsi="Times New Roman" w:cs="Times New Roman"/>
        </w:rPr>
        <w:t xml:space="preserve"> </w:t>
      </w:r>
    </w:p>
    <w:p w:rsidR="0052701D" w:rsidRDefault="00D40929">
      <w:pPr>
        <w:spacing w:after="14" w:line="248" w:lineRule="auto"/>
        <w:ind w:left="713" w:right="754" w:hanging="5"/>
        <w:jc w:val="center"/>
      </w:pPr>
      <w:r>
        <w:rPr>
          <w:rFonts w:ascii="Times New Roman" w:eastAsia="Times New Roman" w:hAnsi="Times New Roman" w:cs="Times New Roman"/>
          <w:sz w:val="24"/>
        </w:rPr>
        <w:lastRenderedPageBreak/>
        <w:t xml:space="preserve">Рис. 5. Использование того же пластика при формировании поддержек   </w:t>
      </w:r>
    </w:p>
    <w:p w:rsidR="0052701D" w:rsidRDefault="00D40929">
      <w:pPr>
        <w:spacing w:after="16"/>
        <w:ind w:left="21"/>
        <w:jc w:val="center"/>
      </w:pPr>
      <w:r>
        <w:rPr>
          <w:rFonts w:ascii="Times New Roman" w:eastAsia="Times New Roman" w:hAnsi="Times New Roman" w:cs="Times New Roman"/>
          <w:sz w:val="24"/>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Решение данном про</w:t>
      </w:r>
      <w:r>
        <w:rPr>
          <w:rFonts w:ascii="Times New Roman" w:eastAsia="Times New Roman" w:hAnsi="Times New Roman" w:cs="Times New Roman"/>
          <w:sz w:val="28"/>
        </w:rPr>
        <w:t xml:space="preserve">блемы использование другого материала при формировании поддержек, например, растворимого HIPS или PVA. Поддержки из разных по с разной температурой плавления материалов или из растворимых материалов такие как HIPS или PVA. (рис. 6). </w:t>
      </w:r>
    </w:p>
    <w:p w:rsidR="0052701D" w:rsidRDefault="00D40929">
      <w:pPr>
        <w:spacing w:after="5" w:line="271" w:lineRule="auto"/>
        <w:ind w:left="9" w:right="64" w:firstLine="711"/>
        <w:jc w:val="both"/>
      </w:pPr>
      <w:r>
        <w:rPr>
          <w:rFonts w:ascii="Times New Roman" w:eastAsia="Times New Roman" w:hAnsi="Times New Roman" w:cs="Times New Roman"/>
          <w:sz w:val="28"/>
        </w:rPr>
        <w:t>Лучшим решением при ис</w:t>
      </w:r>
      <w:r>
        <w:rPr>
          <w:rFonts w:ascii="Times New Roman" w:eastAsia="Times New Roman" w:hAnsi="Times New Roman" w:cs="Times New Roman"/>
          <w:sz w:val="28"/>
        </w:rPr>
        <w:t>пользовании двух материалов является технология Idex. Технология IDEX — (</w:t>
      </w:r>
      <w:r>
        <w:rPr>
          <w:rFonts w:ascii="Times New Roman" w:eastAsia="Times New Roman" w:hAnsi="Times New Roman" w:cs="Times New Roman"/>
          <w:color w:val="202122"/>
          <w:sz w:val="28"/>
        </w:rPr>
        <w:t>dependent Dual Extrusion</w:t>
      </w:r>
      <w:r>
        <w:rPr>
          <w:rFonts w:ascii="Times New Roman" w:eastAsia="Times New Roman" w:hAnsi="Times New Roman" w:cs="Times New Roman"/>
          <w:sz w:val="28"/>
        </w:rPr>
        <w:t>) вариант кинематики с двумя условно независимыми экструдерами, что позволяет печатать саму деталь и поддержку материалами с разной температурой плавления. Дет</w:t>
      </w:r>
      <w:r>
        <w:rPr>
          <w:rFonts w:ascii="Times New Roman" w:eastAsia="Times New Roman" w:hAnsi="Times New Roman" w:cs="Times New Roman"/>
          <w:sz w:val="28"/>
        </w:rPr>
        <w:t>аль печатается воском с более высокой температурой плавления, поддержка — материалом с более низкой температурой. Это позволяет легко удалять поддержки, нагревая заготовку до определенной температуры, а также оставляем меньше артефактов на модели что так т</w:t>
      </w:r>
      <w:r>
        <w:rPr>
          <w:rFonts w:ascii="Times New Roman" w:eastAsia="Times New Roman" w:hAnsi="Times New Roman" w:cs="Times New Roman"/>
          <w:sz w:val="28"/>
        </w:rPr>
        <w:t xml:space="preserve">акже ускорит производство. </w:t>
      </w:r>
    </w:p>
    <w:p w:rsidR="0052701D" w:rsidRDefault="00D40929">
      <w:pPr>
        <w:spacing w:after="107"/>
        <w:ind w:left="15"/>
        <w:jc w:val="center"/>
      </w:pPr>
      <w:r>
        <w:rPr>
          <w:noProof/>
        </w:rPr>
        <w:drawing>
          <wp:inline distT="0" distB="0" distL="0" distR="0">
            <wp:extent cx="3364992" cy="1636777"/>
            <wp:effectExtent l="0" t="0" r="0" b="0"/>
            <wp:docPr id="18345" name="Picture 18345"/>
            <wp:cNvGraphicFramePr/>
            <a:graphic xmlns:a="http://schemas.openxmlformats.org/drawingml/2006/main">
              <a:graphicData uri="http://schemas.openxmlformats.org/drawingml/2006/picture">
                <pic:pic xmlns:pic="http://schemas.openxmlformats.org/drawingml/2006/picture">
                  <pic:nvPicPr>
                    <pic:cNvPr id="18345" name="Picture 18345"/>
                    <pic:cNvPicPr/>
                  </pic:nvPicPr>
                  <pic:blipFill>
                    <a:blip r:embed="rId211"/>
                    <a:stretch>
                      <a:fillRect/>
                    </a:stretch>
                  </pic:blipFill>
                  <pic:spPr>
                    <a:xfrm>
                      <a:off x="0" y="0"/>
                      <a:ext cx="3364992" cy="1636777"/>
                    </a:xfrm>
                    <a:prstGeom prst="rect">
                      <a:avLst/>
                    </a:prstGeom>
                  </pic:spPr>
                </pic:pic>
              </a:graphicData>
            </a:graphic>
          </wp:inline>
        </w:drawing>
      </w:r>
      <w:r>
        <w:rPr>
          <w:rFonts w:ascii="Times New Roman" w:eastAsia="Times New Roman" w:hAnsi="Times New Roman" w:cs="Times New Roman"/>
        </w:rPr>
        <w:t xml:space="preserve"> </w:t>
      </w:r>
    </w:p>
    <w:p w:rsidR="0052701D" w:rsidRDefault="00D40929">
      <w:pPr>
        <w:spacing w:after="14" w:line="248" w:lineRule="auto"/>
        <w:ind w:left="713" w:right="755" w:hanging="5"/>
        <w:jc w:val="center"/>
      </w:pPr>
      <w:r>
        <w:rPr>
          <w:rFonts w:ascii="Times New Roman" w:eastAsia="Times New Roman" w:hAnsi="Times New Roman" w:cs="Times New Roman"/>
          <w:sz w:val="24"/>
        </w:rPr>
        <w:t xml:space="preserve">Рис. 6 . Использование растворимого материала при формировании поддержек   </w:t>
      </w:r>
    </w:p>
    <w:p w:rsidR="0052701D" w:rsidRDefault="00D40929">
      <w:pPr>
        <w:spacing w:after="193"/>
        <w:ind w:left="721"/>
      </w:pPr>
      <w:r>
        <w:rPr>
          <w:rFonts w:ascii="Times New Roman" w:eastAsia="Times New Roman" w:hAnsi="Times New Roman" w:cs="Times New Roman"/>
          <w:sz w:val="28"/>
        </w:rPr>
        <w:t xml:space="preserve"> </w:t>
      </w:r>
    </w:p>
    <w:p w:rsidR="0052701D" w:rsidRDefault="00D40929">
      <w:pPr>
        <w:spacing w:after="260"/>
        <w:ind w:right="1491"/>
        <w:jc w:val="right"/>
      </w:pPr>
      <w:r>
        <w:rPr>
          <w:noProof/>
        </w:rPr>
        <w:drawing>
          <wp:inline distT="0" distB="0" distL="0" distR="0">
            <wp:extent cx="4209288" cy="1639824"/>
            <wp:effectExtent l="0" t="0" r="0" b="0"/>
            <wp:docPr id="18347" name="Picture 18347"/>
            <wp:cNvGraphicFramePr/>
            <a:graphic xmlns:a="http://schemas.openxmlformats.org/drawingml/2006/main">
              <a:graphicData uri="http://schemas.openxmlformats.org/drawingml/2006/picture">
                <pic:pic xmlns:pic="http://schemas.openxmlformats.org/drawingml/2006/picture">
                  <pic:nvPicPr>
                    <pic:cNvPr id="18347" name="Picture 18347"/>
                    <pic:cNvPicPr/>
                  </pic:nvPicPr>
                  <pic:blipFill>
                    <a:blip r:embed="rId212"/>
                    <a:stretch>
                      <a:fillRect/>
                    </a:stretch>
                  </pic:blipFill>
                  <pic:spPr>
                    <a:xfrm>
                      <a:off x="0" y="0"/>
                      <a:ext cx="4209288" cy="1639824"/>
                    </a:xfrm>
                    <a:prstGeom prst="rect">
                      <a:avLst/>
                    </a:prstGeom>
                  </pic:spPr>
                </pic:pic>
              </a:graphicData>
            </a:graphic>
          </wp:inline>
        </w:drawing>
      </w:r>
      <w:r>
        <w:rPr>
          <w:rFonts w:ascii="Times New Roman" w:eastAsia="Times New Roman" w:hAnsi="Times New Roman" w:cs="Times New Roman"/>
        </w:rPr>
        <w:t xml:space="preserve"> </w:t>
      </w:r>
    </w:p>
    <w:p w:rsidR="0052701D" w:rsidRDefault="00D40929">
      <w:pPr>
        <w:spacing w:after="14" w:line="248" w:lineRule="auto"/>
        <w:ind w:left="713" w:right="746" w:hanging="5"/>
        <w:jc w:val="center"/>
      </w:pPr>
      <w:r>
        <w:rPr>
          <w:rFonts w:ascii="Times New Roman" w:eastAsia="Times New Roman" w:hAnsi="Times New Roman" w:cs="Times New Roman"/>
          <w:sz w:val="24"/>
        </w:rPr>
        <w:t xml:space="preserve">Рис. 7 .Сравнение технологии idex c обычной кинематикой </w:t>
      </w:r>
    </w:p>
    <w:p w:rsidR="0052701D" w:rsidRDefault="00D40929">
      <w:pPr>
        <w:spacing w:after="12"/>
        <w:ind w:left="21"/>
        <w:jc w:val="center"/>
      </w:pPr>
      <w:r>
        <w:rPr>
          <w:rFonts w:ascii="Times New Roman" w:eastAsia="Times New Roman" w:hAnsi="Times New Roman" w:cs="Times New Roman"/>
          <w:sz w:val="24"/>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Есть возможность печатать двумя разными цветами. Но на практике это не получило какого-либо большого распространения. Печать же сложных моделей с растворимыми поддержками - востребована. </w:t>
      </w:r>
    </w:p>
    <w:p w:rsidR="0052701D" w:rsidRDefault="00D40929">
      <w:pPr>
        <w:spacing w:after="5" w:line="271" w:lineRule="auto"/>
        <w:ind w:left="9" w:right="64" w:firstLine="711"/>
        <w:jc w:val="both"/>
      </w:pPr>
      <w:r>
        <w:rPr>
          <w:rFonts w:ascii="Times New Roman" w:eastAsia="Times New Roman" w:hAnsi="Times New Roman" w:cs="Times New Roman"/>
          <w:sz w:val="28"/>
        </w:rPr>
        <w:t>Для большинства задач достаточно использования 3D принтера с 1 экстр</w:t>
      </w:r>
      <w:r>
        <w:rPr>
          <w:rFonts w:ascii="Times New Roman" w:eastAsia="Times New Roman" w:hAnsi="Times New Roman" w:cs="Times New Roman"/>
          <w:sz w:val="28"/>
        </w:rPr>
        <w:t>удером. Использование же двухэкструдерного 3D принтера просто необходимо, при печати сложных 3D моделей с растворимыми поддержками. Обычно такие 3D принтеры выбирают производственные компании для печати геометрически сложных прототипов или владельцы 3D при</w:t>
      </w:r>
      <w:r>
        <w:rPr>
          <w:rFonts w:ascii="Times New Roman" w:eastAsia="Times New Roman" w:hAnsi="Times New Roman" w:cs="Times New Roman"/>
          <w:sz w:val="28"/>
        </w:rPr>
        <w:t xml:space="preserve">нтеров с 1 </w:t>
      </w:r>
      <w:r>
        <w:rPr>
          <w:rFonts w:ascii="Times New Roman" w:eastAsia="Times New Roman" w:hAnsi="Times New Roman" w:cs="Times New Roman"/>
          <w:sz w:val="28"/>
        </w:rPr>
        <w:lastRenderedPageBreak/>
        <w:t xml:space="preserve">экструдеров которые понимают, что они не могут реализовать с помощью 3D принтера с 1 экструдером. </w:t>
      </w:r>
    </w:p>
    <w:p w:rsidR="0052701D" w:rsidRDefault="00D40929">
      <w:pPr>
        <w:spacing w:after="5" w:line="271" w:lineRule="auto"/>
        <w:ind w:left="9" w:right="64" w:firstLine="711"/>
        <w:jc w:val="both"/>
      </w:pPr>
      <w:r>
        <w:rPr>
          <w:rFonts w:ascii="Times New Roman" w:eastAsia="Times New Roman" w:hAnsi="Times New Roman" w:cs="Times New Roman"/>
          <w:b/>
          <w:sz w:val="28"/>
        </w:rPr>
        <w:t>Вывод.</w:t>
      </w:r>
      <w:r>
        <w:rPr>
          <w:rFonts w:ascii="Times New Roman" w:eastAsia="Times New Roman" w:hAnsi="Times New Roman" w:cs="Times New Roman"/>
          <w:sz w:val="28"/>
        </w:rPr>
        <w:t xml:space="preserve"> 3D принтеры уже давно не уступают в детализации профессиональным фрезерным станкам. Главное преимущество 3D принтера - это возможность изго</w:t>
      </w:r>
      <w:r>
        <w:rPr>
          <w:rFonts w:ascii="Times New Roman" w:eastAsia="Times New Roman" w:hAnsi="Times New Roman" w:cs="Times New Roman"/>
          <w:sz w:val="28"/>
        </w:rPr>
        <w:t xml:space="preserve">тавливать модели сложной геометрии с множеством внутренних полостей, которые физически невозможно изготовить на фрезере. </w:t>
      </w:r>
    </w:p>
    <w:p w:rsidR="0052701D" w:rsidRDefault="00D40929">
      <w:pPr>
        <w:spacing w:after="5" w:line="271" w:lineRule="auto"/>
        <w:ind w:left="9" w:right="64" w:firstLine="711"/>
        <w:jc w:val="both"/>
      </w:pPr>
      <w:r>
        <w:rPr>
          <w:rFonts w:ascii="Times New Roman" w:eastAsia="Times New Roman" w:hAnsi="Times New Roman" w:cs="Times New Roman"/>
          <w:sz w:val="28"/>
        </w:rPr>
        <w:t>Крупные фирмы по достоинству оценят гибкость, благодаря которой можно быстро подстраиваться под запросы клиента,а также быстро изготав</w:t>
      </w:r>
      <w:r>
        <w:rPr>
          <w:rFonts w:ascii="Times New Roman" w:eastAsia="Times New Roman" w:hAnsi="Times New Roman" w:cs="Times New Roman"/>
          <w:sz w:val="28"/>
        </w:rPr>
        <w:t xml:space="preserve">ливать большие и маленькие партии изделий благодаря укорачиванию производственной цепочки. </w:t>
      </w:r>
    </w:p>
    <w:p w:rsidR="0052701D" w:rsidRDefault="00D40929">
      <w:pPr>
        <w:spacing w:after="5" w:line="271" w:lineRule="auto"/>
        <w:ind w:left="9" w:right="64" w:firstLine="711"/>
        <w:jc w:val="both"/>
      </w:pPr>
      <w:r>
        <w:rPr>
          <w:rFonts w:ascii="Times New Roman" w:eastAsia="Times New Roman" w:hAnsi="Times New Roman" w:cs="Times New Roman"/>
          <w:sz w:val="28"/>
        </w:rPr>
        <w:t>А для небольшой мастерской небольшой принтер может стать хорошим приобретением, избавив от необходимости приобретать некоторые дорогостоящие станки. Технология воск</w:t>
      </w:r>
      <w:r>
        <w:rPr>
          <w:rFonts w:ascii="Times New Roman" w:eastAsia="Times New Roman" w:hAnsi="Times New Roman" w:cs="Times New Roman"/>
          <w:sz w:val="28"/>
        </w:rPr>
        <w:t xml:space="preserve">овой 3D‑печати: преимущества и недостатки: </w:t>
      </w:r>
    </w:p>
    <w:p w:rsidR="0052701D" w:rsidRDefault="00D40929">
      <w:pPr>
        <w:spacing w:after="5" w:line="271" w:lineRule="auto"/>
        <w:ind w:left="721" w:right="64"/>
        <w:jc w:val="both"/>
      </w:pPr>
      <w:r>
        <w:rPr>
          <w:rFonts w:ascii="Times New Roman" w:eastAsia="Times New Roman" w:hAnsi="Times New Roman" w:cs="Times New Roman"/>
          <w:sz w:val="28"/>
        </w:rPr>
        <w:t xml:space="preserve">Плюсы </w:t>
      </w:r>
    </w:p>
    <w:p w:rsidR="0052701D" w:rsidRDefault="00D40929">
      <w:pPr>
        <w:numPr>
          <w:ilvl w:val="0"/>
          <w:numId w:val="19"/>
        </w:numPr>
        <w:spacing w:after="5" w:line="271" w:lineRule="auto"/>
        <w:ind w:right="64" w:firstLine="283"/>
        <w:jc w:val="both"/>
      </w:pPr>
      <w:r>
        <w:rPr>
          <w:rFonts w:ascii="Times New Roman" w:eastAsia="Times New Roman" w:hAnsi="Times New Roman" w:cs="Times New Roman"/>
          <w:sz w:val="28"/>
        </w:rPr>
        <w:t xml:space="preserve">Высокая степень детализации для производства геометрически сложных изделий (толщина напечатанного слоя – до 16 микрон). </w:t>
      </w:r>
    </w:p>
    <w:p w:rsidR="0052701D" w:rsidRDefault="00D40929">
      <w:pPr>
        <w:numPr>
          <w:ilvl w:val="0"/>
          <w:numId w:val="19"/>
        </w:numPr>
        <w:spacing w:after="5" w:line="271" w:lineRule="auto"/>
        <w:ind w:right="64" w:firstLine="283"/>
        <w:jc w:val="both"/>
      </w:pPr>
      <w:r>
        <w:rPr>
          <w:rFonts w:ascii="Times New Roman" w:eastAsia="Times New Roman" w:hAnsi="Times New Roman" w:cs="Times New Roman"/>
          <w:sz w:val="28"/>
        </w:rPr>
        <w:t>Возможность одновременного изготовления деталей разной конфигурации на одной платфор</w:t>
      </w:r>
      <w:r>
        <w:rPr>
          <w:rFonts w:ascii="Times New Roman" w:eastAsia="Times New Roman" w:hAnsi="Times New Roman" w:cs="Times New Roman"/>
          <w:sz w:val="28"/>
        </w:rPr>
        <w:t xml:space="preserve">ме. </w:t>
      </w:r>
    </w:p>
    <w:p w:rsidR="0052701D" w:rsidRDefault="00D40929">
      <w:pPr>
        <w:numPr>
          <w:ilvl w:val="0"/>
          <w:numId w:val="19"/>
        </w:numPr>
        <w:spacing w:after="5" w:line="271" w:lineRule="auto"/>
        <w:ind w:right="64" w:firstLine="283"/>
        <w:jc w:val="both"/>
      </w:pPr>
      <w:r>
        <w:rPr>
          <w:rFonts w:ascii="Times New Roman" w:eastAsia="Times New Roman" w:hAnsi="Times New Roman" w:cs="Times New Roman"/>
          <w:sz w:val="28"/>
        </w:rPr>
        <w:t xml:space="preserve">Идеальная точность моделей (до 0,1016 мм на 25,4 мм размера детали). </w:t>
      </w:r>
    </w:p>
    <w:p w:rsidR="0052701D" w:rsidRDefault="00D40929">
      <w:pPr>
        <w:numPr>
          <w:ilvl w:val="0"/>
          <w:numId w:val="19"/>
        </w:numPr>
        <w:spacing w:after="5" w:line="271" w:lineRule="auto"/>
        <w:ind w:right="64" w:firstLine="283"/>
        <w:jc w:val="both"/>
      </w:pPr>
      <w:r>
        <w:rPr>
          <w:rFonts w:ascii="Times New Roman" w:eastAsia="Times New Roman" w:hAnsi="Times New Roman" w:cs="Times New Roman"/>
          <w:sz w:val="28"/>
        </w:rPr>
        <w:t xml:space="preserve">Удобство и простота в работе. </w:t>
      </w:r>
    </w:p>
    <w:p w:rsidR="0052701D" w:rsidRDefault="00D40929">
      <w:pPr>
        <w:numPr>
          <w:ilvl w:val="0"/>
          <w:numId w:val="19"/>
        </w:numPr>
        <w:spacing w:after="5" w:line="271" w:lineRule="auto"/>
        <w:ind w:right="64" w:firstLine="283"/>
        <w:jc w:val="both"/>
      </w:pPr>
      <w:r>
        <w:rPr>
          <w:rFonts w:ascii="Times New Roman" w:eastAsia="Times New Roman" w:hAnsi="Times New Roman" w:cs="Times New Roman"/>
          <w:sz w:val="28"/>
        </w:rPr>
        <w:t xml:space="preserve">Возможность непрерывной эксплуатации. Минусы </w:t>
      </w:r>
    </w:p>
    <w:p w:rsidR="0052701D" w:rsidRDefault="00D40929">
      <w:pPr>
        <w:numPr>
          <w:ilvl w:val="0"/>
          <w:numId w:val="19"/>
        </w:numPr>
        <w:spacing w:after="5" w:line="271" w:lineRule="auto"/>
        <w:ind w:right="64" w:firstLine="283"/>
        <w:jc w:val="both"/>
      </w:pPr>
      <w:r>
        <w:rPr>
          <w:rFonts w:ascii="Times New Roman" w:eastAsia="Times New Roman" w:hAnsi="Times New Roman" w:cs="Times New Roman"/>
          <w:sz w:val="28"/>
        </w:rPr>
        <w:t>Низкая я скорость печати. ●</w:t>
      </w:r>
      <w:r>
        <w:rPr>
          <w:rFonts w:ascii="Arial" w:eastAsia="Arial" w:hAnsi="Arial" w:cs="Arial"/>
          <w:sz w:val="28"/>
        </w:rPr>
        <w:t xml:space="preserve"> </w:t>
      </w:r>
      <w:r>
        <w:rPr>
          <w:rFonts w:ascii="Times New Roman" w:eastAsia="Times New Roman" w:hAnsi="Times New Roman" w:cs="Times New Roman"/>
          <w:sz w:val="28"/>
        </w:rPr>
        <w:t xml:space="preserve">Высокая стоимость расходных материалов. </w:t>
      </w:r>
    </w:p>
    <w:p w:rsidR="0052701D" w:rsidRDefault="00D40929">
      <w:pPr>
        <w:spacing w:after="18"/>
        <w:ind w:left="721"/>
      </w:pPr>
      <w:r>
        <w:rPr>
          <w:rFonts w:ascii="Times New Roman" w:eastAsia="Times New Roman" w:hAnsi="Times New Roman" w:cs="Times New Roman"/>
          <w:b/>
        </w:rPr>
        <w:t xml:space="preserve"> </w:t>
      </w:r>
    </w:p>
    <w:p w:rsidR="0052701D" w:rsidRDefault="00D40929">
      <w:pPr>
        <w:spacing w:after="0"/>
        <w:ind w:left="688" w:hanging="10"/>
        <w:jc w:val="center"/>
      </w:pPr>
      <w:r>
        <w:rPr>
          <w:rFonts w:ascii="Times New Roman" w:eastAsia="Times New Roman" w:hAnsi="Times New Roman" w:cs="Times New Roman"/>
          <w:b/>
        </w:rPr>
        <w:t xml:space="preserve">Источники </w:t>
      </w:r>
    </w:p>
    <w:p w:rsidR="0052701D" w:rsidRDefault="00D40929">
      <w:pPr>
        <w:spacing w:after="29" w:line="248" w:lineRule="auto"/>
        <w:ind w:left="283" w:right="14"/>
        <w:jc w:val="both"/>
      </w:pPr>
      <w:r>
        <w:rPr>
          <w:rFonts w:ascii="Times New Roman" w:eastAsia="Times New Roman" w:hAnsi="Times New Roman" w:cs="Times New Roman"/>
          <w:sz w:val="24"/>
        </w:rPr>
        <w:t xml:space="preserve">[1]https://blog.iqb.ru/additive-technologies-lost-wax. </w:t>
      </w:r>
    </w:p>
    <w:p w:rsidR="0052701D" w:rsidRDefault="00D40929">
      <w:pPr>
        <w:spacing w:after="0" w:line="248" w:lineRule="auto"/>
        <w:ind w:left="9" w:right="14" w:firstLine="283"/>
        <w:jc w:val="both"/>
      </w:pPr>
      <w:r>
        <w:rPr>
          <w:rFonts w:ascii="Times New Roman" w:eastAsia="Times New Roman" w:hAnsi="Times New Roman" w:cs="Times New Roman"/>
          <w:sz w:val="24"/>
        </w:rPr>
        <w:t xml:space="preserve">[2]https://cvetmir3d.ru/blog/yuvelirnoe-delo/kak-vybrat-3d-printer-dlya-izgotovleniyayuvelirnykh-ukrasheniy/ </w:t>
      </w:r>
    </w:p>
    <w:p w:rsidR="0052701D" w:rsidRDefault="00D40929">
      <w:pPr>
        <w:spacing w:after="29" w:line="248" w:lineRule="auto"/>
        <w:ind w:left="283" w:right="14"/>
        <w:jc w:val="both"/>
      </w:pPr>
      <w:r>
        <w:rPr>
          <w:rFonts w:ascii="Times New Roman" w:eastAsia="Times New Roman" w:hAnsi="Times New Roman" w:cs="Times New Roman"/>
          <w:sz w:val="24"/>
        </w:rPr>
        <w:t xml:space="preserve">[3] https://top3dshop.ru/blog/wax-3d-printing.html </w:t>
      </w:r>
    </w:p>
    <w:p w:rsidR="0052701D" w:rsidRDefault="00D40929">
      <w:pPr>
        <w:spacing w:after="0" w:line="248" w:lineRule="auto"/>
        <w:ind w:left="283" w:right="14"/>
        <w:jc w:val="both"/>
      </w:pPr>
      <w:r>
        <w:rPr>
          <w:rFonts w:ascii="Times New Roman" w:eastAsia="Times New Roman" w:hAnsi="Times New Roman" w:cs="Times New Roman"/>
          <w:sz w:val="24"/>
        </w:rPr>
        <w:t>[4]https://3dtoday.ru/blogs/news3dtoda</w:t>
      </w:r>
      <w:r>
        <w:rPr>
          <w:rFonts w:ascii="Times New Roman" w:eastAsia="Times New Roman" w:hAnsi="Times New Roman" w:cs="Times New Roman"/>
          <w:sz w:val="24"/>
        </w:rPr>
        <w:t xml:space="preserve">y/craftunique-predlagaet-3d-printery-po-tekhnologii-idex [5] </w:t>
      </w:r>
      <w:hyperlink r:id="rId213">
        <w:r>
          <w:rPr>
            <w:rFonts w:ascii="Times New Roman" w:eastAsia="Times New Roman" w:hAnsi="Times New Roman" w:cs="Times New Roman"/>
            <w:color w:val="1155CC"/>
            <w:sz w:val="24"/>
            <w:u w:val="single" w:color="1155CC"/>
          </w:rPr>
          <w:t>https://habr.com/ru/company/3dtool/blog/420153/</w:t>
        </w:r>
      </w:hyperlink>
      <w:hyperlink r:id="rId214">
        <w:r>
          <w:rPr>
            <w:rFonts w:ascii="Times New Roman" w:eastAsia="Times New Roman" w:hAnsi="Times New Roman" w:cs="Times New Roman"/>
            <w:sz w:val="24"/>
          </w:rPr>
          <w:t xml:space="preserve"> </w:t>
        </w:r>
      </w:hyperlink>
    </w:p>
    <w:p w:rsidR="0052701D" w:rsidRDefault="00D40929">
      <w:pPr>
        <w:spacing w:after="0"/>
        <w:ind w:left="283"/>
      </w:pPr>
      <w:r>
        <w:rPr>
          <w:rFonts w:ascii="Times New Roman" w:eastAsia="Times New Roman" w:hAnsi="Times New Roman" w:cs="Times New Roman"/>
          <w:sz w:val="24"/>
        </w:rPr>
        <w:t xml:space="preserve"> </w:t>
      </w:r>
    </w:p>
    <w:p w:rsidR="0052701D" w:rsidRDefault="00D40929">
      <w:pPr>
        <w:spacing w:after="0"/>
        <w:ind w:left="711"/>
      </w:pPr>
      <w:r>
        <w:rPr>
          <w:rFonts w:ascii="Times New Roman" w:eastAsia="Times New Roman" w:hAnsi="Times New Roman" w:cs="Times New Roman"/>
          <w:color w:val="00000A"/>
        </w:rPr>
        <w:t xml:space="preserve"> </w:t>
      </w:r>
    </w:p>
    <w:p w:rsidR="0052701D" w:rsidRDefault="00D40929">
      <w:pPr>
        <w:spacing w:after="52"/>
        <w:ind w:left="711"/>
      </w:pPr>
      <w:r>
        <w:rPr>
          <w:rFonts w:ascii="Times New Roman" w:eastAsia="Times New Roman" w:hAnsi="Times New Roman" w:cs="Times New Roman"/>
          <w:color w:val="00000A"/>
        </w:rPr>
        <w:t xml:space="preserve"> </w:t>
      </w:r>
    </w:p>
    <w:p w:rsidR="0052701D" w:rsidRDefault="00D40929">
      <w:pPr>
        <w:spacing w:after="4" w:line="271" w:lineRule="auto"/>
        <w:ind w:left="-5" w:right="194" w:hanging="10"/>
      </w:pPr>
      <w:r>
        <w:rPr>
          <w:rFonts w:ascii="Times New Roman" w:eastAsia="Times New Roman" w:hAnsi="Times New Roman" w:cs="Times New Roman"/>
          <w:b/>
          <w:sz w:val="24"/>
        </w:rPr>
        <w:t xml:space="preserve">УДК 004.94:336.221  </w:t>
      </w:r>
    </w:p>
    <w:p w:rsidR="0052701D" w:rsidRDefault="00D40929">
      <w:pPr>
        <w:spacing w:after="105"/>
      </w:pPr>
      <w:r>
        <w:rPr>
          <w:rFonts w:ascii="Times New Roman" w:eastAsia="Times New Roman" w:hAnsi="Times New Roman" w:cs="Times New Roman"/>
          <w:sz w:val="16"/>
        </w:rPr>
        <w:t xml:space="preserve"> </w:t>
      </w:r>
    </w:p>
    <w:p w:rsidR="0052701D" w:rsidRDefault="00D40929">
      <w:pPr>
        <w:pStyle w:val="1"/>
        <w:spacing w:after="55" w:line="251" w:lineRule="auto"/>
        <w:ind w:left="2631" w:right="0" w:hanging="1911"/>
        <w:jc w:val="left"/>
      </w:pPr>
      <w:r>
        <w:t xml:space="preserve">ANALYSİS OF CLUSTERİNG METHODS AND MODELLİNG A </w:t>
      </w:r>
    </w:p>
    <w:p w:rsidR="0052701D" w:rsidRDefault="00D40929">
      <w:pPr>
        <w:pStyle w:val="1"/>
        <w:spacing w:after="55" w:line="251" w:lineRule="auto"/>
        <w:ind w:left="2631" w:right="0" w:hanging="1911"/>
        <w:jc w:val="left"/>
      </w:pPr>
      <w:r>
        <w:t xml:space="preserve">CLUSTERİNG DATA NETWORK </w:t>
      </w:r>
      <w:r>
        <w:rPr>
          <w:b w:val="0"/>
          <w:sz w:val="24"/>
        </w:rPr>
        <w:t xml:space="preserve">Kalkabekova Tomiris Zhenisbekkyzy </w:t>
      </w:r>
    </w:p>
    <w:p w:rsidR="0052701D" w:rsidRDefault="00D40929">
      <w:pPr>
        <w:spacing w:after="29" w:line="248" w:lineRule="auto"/>
        <w:ind w:left="173" w:right="14"/>
        <w:jc w:val="both"/>
      </w:pPr>
      <w:r>
        <w:rPr>
          <w:rFonts w:ascii="Times New Roman" w:eastAsia="Times New Roman" w:hAnsi="Times New Roman" w:cs="Times New Roman"/>
          <w:sz w:val="24"/>
        </w:rPr>
        <w:t xml:space="preserve">Non-profit JSC «Almaty University of Power Engineering and Telecommunications named after </w:t>
      </w:r>
    </w:p>
    <w:p w:rsidR="0052701D" w:rsidRDefault="00D40929">
      <w:pPr>
        <w:spacing w:after="14" w:line="248" w:lineRule="auto"/>
        <w:ind w:left="713" w:right="744" w:hanging="5"/>
        <w:jc w:val="center"/>
      </w:pPr>
      <w:r>
        <w:rPr>
          <w:rFonts w:ascii="Times New Roman" w:eastAsia="Times New Roman" w:hAnsi="Times New Roman" w:cs="Times New Roman"/>
          <w:sz w:val="24"/>
        </w:rPr>
        <w:t xml:space="preserve">Gumarbek Daukeyev»  </w:t>
      </w:r>
    </w:p>
    <w:p w:rsidR="0052701D" w:rsidRDefault="00D40929">
      <w:pPr>
        <w:spacing w:after="14" w:line="248" w:lineRule="auto"/>
        <w:ind w:left="3319" w:right="3359" w:hanging="5"/>
        <w:jc w:val="center"/>
      </w:pPr>
      <w:r>
        <w:rPr>
          <w:rFonts w:ascii="Times New Roman" w:eastAsia="Times New Roman" w:hAnsi="Times New Roman" w:cs="Times New Roman"/>
          <w:sz w:val="24"/>
        </w:rPr>
        <w:lastRenderedPageBreak/>
        <w:t>Almaty, Kazakh</w:t>
      </w:r>
      <w:r>
        <w:rPr>
          <w:rFonts w:ascii="Times New Roman" w:eastAsia="Times New Roman" w:hAnsi="Times New Roman" w:cs="Times New Roman"/>
          <w:sz w:val="24"/>
        </w:rPr>
        <w:t xml:space="preserve">stan e-mail: t.kalkabekova@aues.kz </w:t>
      </w:r>
    </w:p>
    <w:p w:rsidR="0052701D" w:rsidRDefault="00D40929">
      <w:pPr>
        <w:spacing w:after="0"/>
        <w:ind w:left="21"/>
        <w:jc w:val="center"/>
      </w:pPr>
      <w:r>
        <w:rPr>
          <w:rFonts w:ascii="Times New Roman" w:eastAsia="Times New Roman" w:hAnsi="Times New Roman" w:cs="Times New Roman"/>
          <w:sz w:val="24"/>
        </w:rPr>
        <w:t xml:space="preserve"> </w:t>
      </w:r>
    </w:p>
    <w:p w:rsidR="0052701D" w:rsidRDefault="00D40929">
      <w:pPr>
        <w:spacing w:after="0" w:line="248" w:lineRule="auto"/>
        <w:ind w:left="9" w:firstLine="711"/>
        <w:jc w:val="both"/>
      </w:pPr>
      <w:r>
        <w:rPr>
          <w:rFonts w:ascii="Times New Roman" w:eastAsia="Times New Roman" w:hAnsi="Times New Roman" w:cs="Times New Roman"/>
          <w:b/>
          <w:i/>
          <w:sz w:val="24"/>
        </w:rPr>
        <w:t>Abstract.</w:t>
      </w:r>
      <w:r>
        <w:rPr>
          <w:rFonts w:ascii="Times New Roman" w:eastAsia="Times New Roman" w:hAnsi="Times New Roman" w:cs="Times New Roman"/>
          <w:sz w:val="24"/>
        </w:rPr>
        <w:t xml:space="preserve"> </w:t>
      </w:r>
      <w:r>
        <w:rPr>
          <w:rFonts w:ascii="Times New Roman" w:eastAsia="Times New Roman" w:hAnsi="Times New Roman" w:cs="Times New Roman"/>
          <w:i/>
          <w:sz w:val="24"/>
        </w:rPr>
        <w:t>The article research gives a short overview of existing and most known clustering methods both based on conversional algorithms and connected with Artificial Intelligence as well.  It deals with the definition of clustering and provides a classification of</w:t>
      </w:r>
      <w:r>
        <w:rPr>
          <w:rFonts w:ascii="Times New Roman" w:eastAsia="Times New Roman" w:hAnsi="Times New Roman" w:cs="Times New Roman"/>
          <w:i/>
          <w:sz w:val="24"/>
        </w:rPr>
        <w:t xml:space="preserve"> methods analysis. In addition, the mentioned ways of clustering analysis are compared and for each the advantages and disadvantages are headlined. The study covers the use of an advanced algorithms based on the neural network application as Self-Organizin</w:t>
      </w:r>
      <w:r>
        <w:rPr>
          <w:rFonts w:ascii="Times New Roman" w:eastAsia="Times New Roman" w:hAnsi="Times New Roman" w:cs="Times New Roman"/>
          <w:i/>
          <w:sz w:val="24"/>
        </w:rPr>
        <w:t>g Kohonen network, as an unsupervised learning method, and Probability Neural Network, a supervised learning one, for cluster analysis. The drawbacks and the results of artificial clustering are provided as well. Despite of implementing the clustering meth</w:t>
      </w:r>
      <w:r>
        <w:rPr>
          <w:rFonts w:ascii="Times New Roman" w:eastAsia="Times New Roman" w:hAnsi="Times New Roman" w:cs="Times New Roman"/>
          <w:i/>
          <w:sz w:val="24"/>
        </w:rPr>
        <w:t>ods separately, the idea of 2-level approach is introduced. The software Matlab 7.0 is used to represent the implementation and model the methods.</w:t>
      </w:r>
      <w:r>
        <w:rPr>
          <w:rFonts w:ascii="Times New Roman" w:eastAsia="Times New Roman" w:hAnsi="Times New Roman" w:cs="Times New Roman"/>
          <w:sz w:val="24"/>
        </w:rPr>
        <w:t xml:space="preserve"> </w:t>
      </w:r>
    </w:p>
    <w:p w:rsidR="0052701D" w:rsidRDefault="00D40929">
      <w:pPr>
        <w:spacing w:after="5" w:line="236" w:lineRule="auto"/>
        <w:ind w:left="-15" w:firstLine="701"/>
      </w:pPr>
      <w:r>
        <w:rPr>
          <w:rFonts w:ascii="Times New Roman" w:eastAsia="Times New Roman" w:hAnsi="Times New Roman" w:cs="Times New Roman"/>
          <w:b/>
          <w:i/>
          <w:color w:val="231F20"/>
          <w:sz w:val="24"/>
        </w:rPr>
        <w:t>Keywords:</w:t>
      </w:r>
      <w:r>
        <w:rPr>
          <w:rFonts w:ascii="Times New Roman" w:eastAsia="Times New Roman" w:hAnsi="Times New Roman" w:cs="Times New Roman"/>
          <w:color w:val="231F20"/>
          <w:sz w:val="24"/>
        </w:rPr>
        <w:t xml:space="preserve"> </w:t>
      </w:r>
      <w:r>
        <w:rPr>
          <w:rFonts w:ascii="Times New Roman" w:eastAsia="Times New Roman" w:hAnsi="Times New Roman" w:cs="Times New Roman"/>
          <w:i/>
          <w:color w:val="231F20"/>
          <w:sz w:val="24"/>
        </w:rPr>
        <w:t>clustering analysis,  k-means method, c-means algorithm, Probabilistic Neural Network, Self-Organi</w:t>
      </w:r>
      <w:r>
        <w:rPr>
          <w:rFonts w:ascii="Times New Roman" w:eastAsia="Times New Roman" w:hAnsi="Times New Roman" w:cs="Times New Roman"/>
          <w:i/>
          <w:color w:val="231F20"/>
          <w:sz w:val="24"/>
        </w:rPr>
        <w:t xml:space="preserve">zing Map, Kohonen Map. </w:t>
      </w:r>
    </w:p>
    <w:p w:rsidR="0052701D" w:rsidRDefault="00D40929">
      <w:pPr>
        <w:spacing w:after="16"/>
        <w:ind w:left="711"/>
      </w:pPr>
      <w:r>
        <w:rPr>
          <w:rFonts w:ascii="Times New Roman" w:eastAsia="Times New Roman" w:hAnsi="Times New Roman" w:cs="Times New Roman"/>
          <w:i/>
          <w:color w:val="231F20"/>
          <w:sz w:val="24"/>
        </w:rPr>
        <w:t xml:space="preserve"> </w:t>
      </w:r>
    </w:p>
    <w:p w:rsidR="0052701D" w:rsidRDefault="00D40929">
      <w:pPr>
        <w:spacing w:after="107" w:line="251" w:lineRule="auto"/>
        <w:ind w:left="173" w:right="381" w:hanging="10"/>
        <w:jc w:val="center"/>
      </w:pPr>
      <w:r>
        <w:rPr>
          <w:rFonts w:ascii="Times New Roman" w:eastAsia="Times New Roman" w:hAnsi="Times New Roman" w:cs="Times New Roman"/>
          <w:b/>
          <w:sz w:val="28"/>
        </w:rPr>
        <w:t xml:space="preserve">АНАЛИЗ МЕТОДОТОВ КЛАССТЕРИЗАЦИИ И МОДЕЛИРОВАНИЕ СЕТИ КЛАССТЕРИЗУЮЩЕЙ ДАННЫЕ </w:t>
      </w:r>
    </w:p>
    <w:p w:rsidR="0052701D" w:rsidRDefault="00D40929">
      <w:pPr>
        <w:spacing w:after="37" w:line="248" w:lineRule="auto"/>
        <w:ind w:left="713" w:right="748" w:hanging="5"/>
        <w:jc w:val="center"/>
      </w:pPr>
      <w:r>
        <w:rPr>
          <w:rFonts w:ascii="Times New Roman" w:eastAsia="Times New Roman" w:hAnsi="Times New Roman" w:cs="Times New Roman"/>
          <w:sz w:val="24"/>
        </w:rPr>
        <w:t xml:space="preserve">Калкабекова Томирис Женисбеккызы </w:t>
      </w:r>
    </w:p>
    <w:p w:rsidR="0052701D" w:rsidRDefault="00D40929">
      <w:pPr>
        <w:spacing w:after="14" w:line="248" w:lineRule="auto"/>
        <w:ind w:left="5" w:right="44" w:hanging="5"/>
        <w:jc w:val="center"/>
      </w:pPr>
      <w:r>
        <w:rPr>
          <w:rFonts w:ascii="Times New Roman" w:eastAsia="Times New Roman" w:hAnsi="Times New Roman" w:cs="Times New Roman"/>
          <w:sz w:val="24"/>
        </w:rPr>
        <w:t xml:space="preserve">НАО «Алматинский университет энергетики и связи имени Гумарбека Даукеева»  </w:t>
      </w:r>
    </w:p>
    <w:p w:rsidR="0052701D" w:rsidRDefault="00D40929">
      <w:pPr>
        <w:spacing w:after="14" w:line="248" w:lineRule="auto"/>
        <w:ind w:left="713" w:right="754" w:hanging="5"/>
        <w:jc w:val="center"/>
      </w:pPr>
      <w:r>
        <w:rPr>
          <w:rFonts w:ascii="Times New Roman" w:eastAsia="Times New Roman" w:hAnsi="Times New Roman" w:cs="Times New Roman"/>
          <w:sz w:val="24"/>
        </w:rPr>
        <w:t xml:space="preserve">г.Алматы, Казахстан  </w:t>
      </w:r>
    </w:p>
    <w:p w:rsidR="0052701D" w:rsidRDefault="00D40929">
      <w:pPr>
        <w:spacing w:after="14" w:line="248" w:lineRule="auto"/>
        <w:ind w:left="713" w:right="750" w:hanging="5"/>
        <w:jc w:val="center"/>
      </w:pPr>
      <w:r>
        <w:rPr>
          <w:rFonts w:ascii="Times New Roman" w:eastAsia="Times New Roman" w:hAnsi="Times New Roman" w:cs="Times New Roman"/>
          <w:sz w:val="24"/>
        </w:rPr>
        <w:t>e-mail: t.kalkabekova</w:t>
      </w:r>
      <w:r>
        <w:rPr>
          <w:rFonts w:ascii="Times New Roman" w:eastAsia="Times New Roman" w:hAnsi="Times New Roman" w:cs="Times New Roman"/>
          <w:sz w:val="24"/>
        </w:rPr>
        <w:t xml:space="preserve">@aues.kz </w:t>
      </w:r>
    </w:p>
    <w:p w:rsidR="0052701D" w:rsidRDefault="00D40929">
      <w:pPr>
        <w:spacing w:after="0"/>
        <w:ind w:left="21"/>
        <w:jc w:val="center"/>
      </w:pPr>
      <w:r>
        <w:rPr>
          <w:rFonts w:ascii="Times New Roman" w:eastAsia="Times New Roman" w:hAnsi="Times New Roman" w:cs="Times New Roman"/>
          <w:sz w:val="24"/>
        </w:rPr>
        <w:t xml:space="preserve"> </w:t>
      </w:r>
    </w:p>
    <w:p w:rsidR="0052701D" w:rsidRDefault="00D40929">
      <w:pPr>
        <w:spacing w:after="29" w:line="248" w:lineRule="auto"/>
        <w:ind w:left="9" w:firstLine="711"/>
        <w:jc w:val="both"/>
      </w:pPr>
      <w:r>
        <w:rPr>
          <w:rFonts w:ascii="Times New Roman" w:eastAsia="Times New Roman" w:hAnsi="Times New Roman" w:cs="Times New Roman"/>
          <w:b/>
          <w:i/>
          <w:sz w:val="24"/>
        </w:rPr>
        <w:t>Аннотация</w:t>
      </w:r>
      <w:r>
        <w:rPr>
          <w:rFonts w:ascii="Times New Roman" w:eastAsia="Times New Roman" w:hAnsi="Times New Roman" w:cs="Times New Roman"/>
          <w:sz w:val="24"/>
        </w:rPr>
        <w:t xml:space="preserve"> </w:t>
      </w:r>
      <w:r>
        <w:rPr>
          <w:rFonts w:ascii="Times New Roman" w:eastAsia="Times New Roman" w:hAnsi="Times New Roman" w:cs="Times New Roman"/>
          <w:i/>
          <w:sz w:val="24"/>
        </w:rPr>
        <w:t>В статье дается краткий обзор существующих и наиболее известных методов кластеризации, как основанных на конверсионных алгоритмах, так и связанных с искусственным интеллектом. В нем рассматривается определение кластеризации и приводит</w:t>
      </w:r>
      <w:r>
        <w:rPr>
          <w:rFonts w:ascii="Times New Roman" w:eastAsia="Times New Roman" w:hAnsi="Times New Roman" w:cs="Times New Roman"/>
          <w:i/>
          <w:sz w:val="24"/>
        </w:rPr>
        <w:t>ся классификация методов анализа. Кроме того, сравниваются упомянутые способы кластерного анализа и для каждого указываются преимущества и недостатки. Исследование охватывает использование передовых алгоритмов, основанных на применении нейронной сети, в ка</w:t>
      </w:r>
      <w:r>
        <w:rPr>
          <w:rFonts w:ascii="Times New Roman" w:eastAsia="Times New Roman" w:hAnsi="Times New Roman" w:cs="Times New Roman"/>
          <w:i/>
          <w:sz w:val="24"/>
        </w:rPr>
        <w:t>честве самоорганизующейся сети Кохонена в качестве метода обучения без учителя и вероятностной нейронной сети в качестве метода обучения с учителем для кластерного анализа. Приведены недостатки и результаты искусственной кластеризации. Несмотря на раздельн</w:t>
      </w:r>
      <w:r>
        <w:rPr>
          <w:rFonts w:ascii="Times New Roman" w:eastAsia="Times New Roman" w:hAnsi="Times New Roman" w:cs="Times New Roman"/>
          <w:i/>
          <w:sz w:val="24"/>
        </w:rPr>
        <w:t xml:space="preserve">ую реализацию методов кластеризации, вводится идея двухуровневого подхода. Программное обеспечение Matlab 7.0 используется для представления реализации и моделирования методов. </w:t>
      </w:r>
    </w:p>
    <w:p w:rsidR="0052701D" w:rsidRDefault="00D40929">
      <w:pPr>
        <w:spacing w:after="40" w:line="236" w:lineRule="auto"/>
        <w:ind w:left="-15" w:firstLine="701"/>
      </w:pPr>
      <w:r>
        <w:rPr>
          <w:rFonts w:ascii="Times New Roman" w:eastAsia="Times New Roman" w:hAnsi="Times New Roman" w:cs="Times New Roman"/>
          <w:b/>
          <w:i/>
          <w:color w:val="231F20"/>
          <w:sz w:val="24"/>
        </w:rPr>
        <w:t>Ключевые слова:</w:t>
      </w:r>
      <w:r>
        <w:rPr>
          <w:rFonts w:ascii="Times New Roman" w:eastAsia="Times New Roman" w:hAnsi="Times New Roman" w:cs="Times New Roman"/>
          <w:color w:val="231F20"/>
          <w:sz w:val="24"/>
        </w:rPr>
        <w:t xml:space="preserve"> </w:t>
      </w:r>
      <w:r>
        <w:rPr>
          <w:rFonts w:ascii="Times New Roman" w:eastAsia="Times New Roman" w:hAnsi="Times New Roman" w:cs="Times New Roman"/>
          <w:i/>
          <w:color w:val="231F20"/>
          <w:sz w:val="24"/>
        </w:rPr>
        <w:t>кластерный анализ, метод k-средних, алгоритм c-средних, вероят</w:t>
      </w:r>
      <w:r>
        <w:rPr>
          <w:rFonts w:ascii="Times New Roman" w:eastAsia="Times New Roman" w:hAnsi="Times New Roman" w:cs="Times New Roman"/>
          <w:i/>
          <w:color w:val="231F20"/>
          <w:sz w:val="24"/>
        </w:rPr>
        <w:t xml:space="preserve">ностная нейронная сеть, самоорганизующаяся карта, карта Кохонена. </w:t>
      </w:r>
    </w:p>
    <w:p w:rsidR="0052701D" w:rsidRDefault="00D40929">
      <w:pPr>
        <w:spacing w:after="60"/>
        <w:ind w:left="711"/>
      </w:pPr>
      <w:r>
        <w:rPr>
          <w:rFonts w:ascii="Times New Roman" w:eastAsia="Times New Roman" w:hAnsi="Times New Roman" w:cs="Times New Roman"/>
          <w:sz w:val="20"/>
        </w:rPr>
        <w:t xml:space="preserve"> </w:t>
      </w:r>
    </w:p>
    <w:p w:rsidR="0052701D" w:rsidRDefault="00D40929">
      <w:pPr>
        <w:spacing w:after="5" w:line="251" w:lineRule="auto"/>
        <w:ind w:left="720" w:firstLine="9"/>
      </w:pPr>
      <w:r>
        <w:rPr>
          <w:rFonts w:ascii="Times New Roman" w:eastAsia="Times New Roman" w:hAnsi="Times New Roman" w:cs="Times New Roman"/>
          <w:b/>
          <w:sz w:val="28"/>
        </w:rPr>
        <w:t xml:space="preserve">Introduction </w:t>
      </w:r>
    </w:p>
    <w:p w:rsidR="0052701D" w:rsidRDefault="00D40929">
      <w:pPr>
        <w:spacing w:after="5" w:line="271" w:lineRule="auto"/>
        <w:ind w:left="9" w:right="64" w:firstLine="711"/>
        <w:jc w:val="both"/>
      </w:pPr>
      <w:r>
        <w:rPr>
          <w:rFonts w:ascii="Times New Roman" w:eastAsia="Times New Roman" w:hAnsi="Times New Roman" w:cs="Times New Roman"/>
          <w:sz w:val="28"/>
        </w:rPr>
        <w:t>In this article,  the reasearch made on clustering algorithms and their way of implementing will be presented.  Firstly, clustering as a process and its functions, existing classical algorithms are decribed. Secondly, the study is complemented with some cl</w:t>
      </w:r>
      <w:r>
        <w:rPr>
          <w:rFonts w:ascii="Times New Roman" w:eastAsia="Times New Roman" w:hAnsi="Times New Roman" w:cs="Times New Roman"/>
          <w:sz w:val="28"/>
        </w:rPr>
        <w:t>ustering methods, which are, nowadays, challenging as they deal with Artificial Intellegence. However, the last mentioned methods can make a great impact in the development of the future science. Concerning an implementation of methods, the paper will prov</w:t>
      </w:r>
      <w:r>
        <w:rPr>
          <w:rFonts w:ascii="Times New Roman" w:eastAsia="Times New Roman" w:hAnsi="Times New Roman" w:cs="Times New Roman"/>
          <w:sz w:val="28"/>
        </w:rPr>
        <w:t>ide with the results,  according to which futher research can be made.  Clustering data, as an integration of the similar objects, is one of the fundamental issues in the analyzing data and data mining fields.</w:t>
      </w:r>
      <w:r>
        <w:rPr>
          <w:sz w:val="28"/>
        </w:rPr>
        <w:t xml:space="preserve"> </w:t>
      </w:r>
      <w:r>
        <w:rPr>
          <w:rFonts w:ascii="Times New Roman" w:eastAsia="Times New Roman" w:hAnsi="Times New Roman" w:cs="Times New Roman"/>
          <w:sz w:val="28"/>
        </w:rPr>
        <w:t xml:space="preserve">Clusterization or clustering analysis is a </w:t>
      </w:r>
      <w:r>
        <w:rPr>
          <w:rFonts w:ascii="Times New Roman" w:eastAsia="Times New Roman" w:hAnsi="Times New Roman" w:cs="Times New Roman"/>
          <w:sz w:val="28"/>
        </w:rPr>
        <w:lastRenderedPageBreak/>
        <w:t>cha</w:t>
      </w:r>
      <w:r>
        <w:rPr>
          <w:rFonts w:ascii="Times New Roman" w:eastAsia="Times New Roman" w:hAnsi="Times New Roman" w:cs="Times New Roman"/>
          <w:sz w:val="28"/>
        </w:rPr>
        <w:t xml:space="preserve">llenge, which oversees splitting the set of the objects into groups called clusters. In each of the group, “similar” objects must be presented, however, the objects of the different groups have to be distinctive. The main difference between clusterization </w:t>
      </w:r>
      <w:r>
        <w:rPr>
          <w:rFonts w:ascii="Times New Roman" w:eastAsia="Times New Roman" w:hAnsi="Times New Roman" w:cs="Times New Roman"/>
          <w:sz w:val="28"/>
        </w:rPr>
        <w:t>and classification is the fact that there is no specifically given list of the groups, it is determined during the working process of the algorithm. Consequently, clustering analysis limited to the following milestones are represented on figure 1 [2].</w:t>
      </w:r>
      <w:r>
        <w:rPr>
          <w:sz w:val="28"/>
        </w:rPr>
        <w:t xml:space="preserve"> </w:t>
      </w:r>
      <w:r>
        <w:rPr>
          <w:rFonts w:ascii="Times New Roman" w:eastAsia="Times New Roman" w:hAnsi="Times New Roman" w:cs="Times New Roman"/>
          <w:sz w:val="28"/>
        </w:rPr>
        <w:t xml:space="preserve">The </w:t>
      </w:r>
      <w:r>
        <w:rPr>
          <w:rFonts w:ascii="Times New Roman" w:eastAsia="Times New Roman" w:hAnsi="Times New Roman" w:cs="Times New Roman"/>
          <w:sz w:val="28"/>
        </w:rPr>
        <w:t xml:space="preserve">general scheme of clustering process  follows the steps as : 1) a data representation; 2) an analysis and a collection of patterns based on similarities; 3) a data hiding; 4) an evaluation of an outcome (Fig.1). </w:t>
      </w:r>
    </w:p>
    <w:p w:rsidR="0052701D" w:rsidRDefault="00D40929">
      <w:pPr>
        <w:spacing w:after="41"/>
        <w:ind w:right="891"/>
        <w:jc w:val="right"/>
      </w:pPr>
      <w:r>
        <w:rPr>
          <w:noProof/>
        </w:rPr>
        <w:drawing>
          <wp:inline distT="0" distB="0" distL="0" distR="0">
            <wp:extent cx="4507992" cy="868680"/>
            <wp:effectExtent l="0" t="0" r="0" b="0"/>
            <wp:docPr id="18631" name="Picture 18631"/>
            <wp:cNvGraphicFramePr/>
            <a:graphic xmlns:a="http://schemas.openxmlformats.org/drawingml/2006/main">
              <a:graphicData uri="http://schemas.openxmlformats.org/drawingml/2006/picture">
                <pic:pic xmlns:pic="http://schemas.openxmlformats.org/drawingml/2006/picture">
                  <pic:nvPicPr>
                    <pic:cNvPr id="18631" name="Picture 18631"/>
                    <pic:cNvPicPr/>
                  </pic:nvPicPr>
                  <pic:blipFill>
                    <a:blip r:embed="rId215"/>
                    <a:stretch>
                      <a:fillRect/>
                    </a:stretch>
                  </pic:blipFill>
                  <pic:spPr>
                    <a:xfrm>
                      <a:off x="0" y="0"/>
                      <a:ext cx="4507992" cy="868680"/>
                    </a:xfrm>
                    <a:prstGeom prst="rect">
                      <a:avLst/>
                    </a:prstGeom>
                  </pic:spPr>
                </pic:pic>
              </a:graphicData>
            </a:graphic>
          </wp:inline>
        </w:drawing>
      </w:r>
      <w:r>
        <w:rPr>
          <w:rFonts w:ascii="Times New Roman" w:eastAsia="Times New Roman" w:hAnsi="Times New Roman" w:cs="Times New Roman"/>
        </w:rPr>
        <w:t xml:space="preserve"> </w:t>
      </w:r>
    </w:p>
    <w:p w:rsidR="0052701D" w:rsidRDefault="00D40929">
      <w:pPr>
        <w:spacing w:after="98"/>
        <w:ind w:left="746"/>
        <w:jc w:val="center"/>
      </w:pPr>
      <w:r>
        <w:rPr>
          <w:rFonts w:ascii="Times New Roman" w:eastAsia="Times New Roman" w:hAnsi="Times New Roman" w:cs="Times New Roman"/>
        </w:rPr>
        <w:t xml:space="preserve"> </w:t>
      </w:r>
    </w:p>
    <w:p w:rsidR="0052701D" w:rsidRDefault="00D40929">
      <w:pPr>
        <w:spacing w:after="9" w:line="248" w:lineRule="auto"/>
        <w:ind w:left="897" w:right="199" w:hanging="10"/>
        <w:jc w:val="center"/>
      </w:pPr>
      <w:r>
        <w:rPr>
          <w:rFonts w:ascii="Times New Roman" w:eastAsia="Times New Roman" w:hAnsi="Times New Roman" w:cs="Times New Roman"/>
        </w:rPr>
        <w:t xml:space="preserve">Fig. 1.Steps of the clustering process [2] </w:t>
      </w:r>
    </w:p>
    <w:p w:rsidR="0052701D" w:rsidRDefault="00D40929">
      <w:pPr>
        <w:spacing w:after="55"/>
      </w:pPr>
      <w:r>
        <w:rPr>
          <w:rFonts w:ascii="Times New Roman" w:eastAsia="Times New Roman" w:hAnsi="Times New Roman" w:cs="Times New Roman"/>
          <w:b/>
          <w:sz w:val="20"/>
        </w:rPr>
        <w:t xml:space="preserve"> </w:t>
      </w:r>
    </w:p>
    <w:p w:rsidR="0052701D" w:rsidRDefault="00D40929">
      <w:pPr>
        <w:spacing w:after="5" w:line="251" w:lineRule="auto"/>
        <w:ind w:firstLine="711"/>
      </w:pPr>
      <w:r>
        <w:rPr>
          <w:rFonts w:ascii="Times New Roman" w:eastAsia="Times New Roman" w:hAnsi="Times New Roman" w:cs="Times New Roman"/>
          <w:b/>
          <w:sz w:val="28"/>
        </w:rPr>
        <w:t xml:space="preserve">Classification of the clustering algorithms [3]. Convertional clustering algorithms </w:t>
      </w:r>
    </w:p>
    <w:p w:rsidR="0052701D" w:rsidRDefault="00D40929">
      <w:pPr>
        <w:spacing w:after="5" w:line="251" w:lineRule="auto"/>
        <w:ind w:left="720" w:firstLine="9"/>
      </w:pPr>
      <w:r>
        <w:rPr>
          <w:rFonts w:ascii="Times New Roman" w:eastAsia="Times New Roman" w:hAnsi="Times New Roman" w:cs="Times New Roman"/>
          <w:b/>
          <w:sz w:val="28"/>
        </w:rPr>
        <w:t xml:space="preserve">1. Hierarchical clustering algorithms </w:t>
      </w:r>
    </w:p>
    <w:p w:rsidR="0052701D" w:rsidRDefault="00D40929">
      <w:pPr>
        <w:spacing w:after="26" w:line="271" w:lineRule="auto"/>
        <w:ind w:left="9" w:right="64" w:firstLine="711"/>
        <w:jc w:val="both"/>
      </w:pPr>
      <w:r>
        <w:rPr>
          <w:rFonts w:ascii="Times New Roman" w:eastAsia="Times New Roman" w:hAnsi="Times New Roman" w:cs="Times New Roman"/>
          <w:sz w:val="28"/>
        </w:rPr>
        <w:t xml:space="preserve">Worth to be mentioned, at the end of applying variety methods of clustering analysis, </w:t>
      </w:r>
      <w:r>
        <w:rPr>
          <w:rFonts w:ascii="Times New Roman" w:eastAsia="Times New Roman" w:hAnsi="Times New Roman" w:cs="Times New Roman"/>
          <w:sz w:val="28"/>
        </w:rPr>
        <w:t>the groups of diverse size can be obtained.  Some of them are exceptionally sensitive to noise, others – less. At the outcome of applying dissimilar ways, the output results can be diverse as it is the singularity of one or another method, which must be co</w:t>
      </w:r>
      <w:r>
        <w:rPr>
          <w:rFonts w:ascii="Times New Roman" w:eastAsia="Times New Roman" w:hAnsi="Times New Roman" w:cs="Times New Roman"/>
          <w:sz w:val="28"/>
        </w:rPr>
        <w:t>nsidered while choosing between them. There 2 main classifications of the clustering algorithms: hierarchical and flat clustering. For the hierarchical method, the samples are fragmentated into disjoint clusters not only once, the system of the inserted sp</w:t>
      </w:r>
      <w:r>
        <w:rPr>
          <w:rFonts w:ascii="Times New Roman" w:eastAsia="Times New Roman" w:hAnsi="Times New Roman" w:cs="Times New Roman"/>
          <w:sz w:val="28"/>
        </w:rPr>
        <w:t xml:space="preserve">lits is created-dendrogram of data – where  roots are the whole samples and leaves are smaller clusters. Flat algorithms divide data into k clusters. Both of them have pluses as: hierarchical one is good for data exploration and more informative, however, </w:t>
      </w:r>
      <w:r>
        <w:rPr>
          <w:rFonts w:ascii="Times New Roman" w:eastAsia="Times New Roman" w:hAnsi="Times New Roman" w:cs="Times New Roman"/>
          <w:sz w:val="28"/>
        </w:rPr>
        <w:t>flat clustering uses an expectation–maximization algorithm.  Drawback of the class is a system’s complete partitioning, computationally expensive. Moreover, for flat clustering results of running the program several times can differ. Algorithm is performed</w:t>
      </w:r>
      <w:r>
        <w:rPr>
          <w:rFonts w:ascii="Times New Roman" w:eastAsia="Times New Roman" w:hAnsi="Times New Roman" w:cs="Times New Roman"/>
          <w:sz w:val="28"/>
        </w:rPr>
        <w:t xml:space="preserve"> by the help of MATLAB and represented on the figures 2,3 and 4. </w:t>
      </w:r>
    </w:p>
    <w:p w:rsidR="0052701D" w:rsidRDefault="00D40929">
      <w:pPr>
        <w:spacing w:after="0"/>
        <w:ind w:left="711"/>
      </w:pPr>
      <w:r>
        <w:rPr>
          <w:rFonts w:ascii="Times New Roman" w:eastAsia="Times New Roman" w:hAnsi="Times New Roman" w:cs="Times New Roman"/>
        </w:rPr>
        <w:t xml:space="preserve"> </w:t>
      </w:r>
    </w:p>
    <w:p w:rsidR="0052701D" w:rsidRDefault="00D40929">
      <w:pPr>
        <w:spacing w:after="65"/>
        <w:ind w:left="15"/>
        <w:jc w:val="center"/>
      </w:pPr>
      <w:r>
        <w:rPr>
          <w:noProof/>
        </w:rPr>
        <w:lastRenderedPageBreak/>
        <mc:AlternateContent>
          <mc:Choice Requires="wpg">
            <w:drawing>
              <wp:inline distT="0" distB="0" distL="0" distR="0">
                <wp:extent cx="3240024" cy="1935480"/>
                <wp:effectExtent l="0" t="0" r="0" b="0"/>
                <wp:docPr id="934697" name="Group 934697"/>
                <wp:cNvGraphicFramePr/>
                <a:graphic xmlns:a="http://schemas.openxmlformats.org/drawingml/2006/main">
                  <a:graphicData uri="http://schemas.microsoft.com/office/word/2010/wordprocessingGroup">
                    <wpg:wgp>
                      <wpg:cNvGrpSpPr/>
                      <wpg:grpSpPr>
                        <a:xfrm>
                          <a:off x="0" y="0"/>
                          <a:ext cx="3240024" cy="1935480"/>
                          <a:chOff x="0" y="0"/>
                          <a:chExt cx="3240024" cy="1935480"/>
                        </a:xfrm>
                      </wpg:grpSpPr>
                      <pic:pic xmlns:pic="http://schemas.openxmlformats.org/drawingml/2006/picture">
                        <pic:nvPicPr>
                          <pic:cNvPr id="18676" name="Picture 18676"/>
                          <pic:cNvPicPr/>
                        </pic:nvPicPr>
                        <pic:blipFill>
                          <a:blip r:embed="rId216"/>
                          <a:stretch>
                            <a:fillRect/>
                          </a:stretch>
                        </pic:blipFill>
                        <pic:spPr>
                          <a:xfrm>
                            <a:off x="0" y="0"/>
                            <a:ext cx="3240024" cy="1267968"/>
                          </a:xfrm>
                          <a:prstGeom prst="rect">
                            <a:avLst/>
                          </a:prstGeom>
                        </pic:spPr>
                      </pic:pic>
                      <pic:pic xmlns:pic="http://schemas.openxmlformats.org/drawingml/2006/picture">
                        <pic:nvPicPr>
                          <pic:cNvPr id="18678" name="Picture 18678"/>
                          <pic:cNvPicPr/>
                        </pic:nvPicPr>
                        <pic:blipFill>
                          <a:blip r:embed="rId217"/>
                          <a:stretch>
                            <a:fillRect/>
                          </a:stretch>
                        </pic:blipFill>
                        <pic:spPr>
                          <a:xfrm>
                            <a:off x="15240" y="1267968"/>
                            <a:ext cx="3209544" cy="667512"/>
                          </a:xfrm>
                          <a:prstGeom prst="rect">
                            <a:avLst/>
                          </a:prstGeom>
                        </pic:spPr>
                      </pic:pic>
                    </wpg:wgp>
                  </a:graphicData>
                </a:graphic>
              </wp:inline>
            </w:drawing>
          </mc:Choice>
          <mc:Fallback xmlns:a="http://schemas.openxmlformats.org/drawingml/2006/main">
            <w:pict>
              <v:group id="Group 934697" style="width:255.12pt;height:152.4pt;mso-position-horizontal-relative:char;mso-position-vertical-relative:line" coordsize="32400,19354">
                <v:shape id="Picture 18676" style="position:absolute;width:32400;height:12679;left:0;top:0;" filled="f">
                  <v:imagedata r:id="rId218"/>
                </v:shape>
                <v:shape id="Picture 18678" style="position:absolute;width:32095;height:6675;left:152;top:12679;" filled="f">
                  <v:imagedata r:id="rId219"/>
                </v:shape>
              </v:group>
            </w:pict>
          </mc:Fallback>
        </mc:AlternateContent>
      </w:r>
      <w:r>
        <w:rPr>
          <w:rFonts w:ascii="Times New Roman" w:eastAsia="Times New Roman" w:hAnsi="Times New Roman" w:cs="Times New Roman"/>
        </w:rPr>
        <w:t xml:space="preserve"> </w:t>
      </w:r>
    </w:p>
    <w:p w:rsidR="0052701D" w:rsidRDefault="00D40929">
      <w:pPr>
        <w:spacing w:after="143" w:line="248" w:lineRule="auto"/>
        <w:ind w:left="713" w:right="734" w:hanging="5"/>
        <w:jc w:val="center"/>
      </w:pPr>
      <w:r>
        <w:rPr>
          <w:rFonts w:ascii="Times New Roman" w:eastAsia="Times New Roman" w:hAnsi="Times New Roman" w:cs="Times New Roman"/>
          <w:sz w:val="24"/>
        </w:rPr>
        <w:t xml:space="preserve">Fig.2. Listing of the MATLAB code for the herarchical clustering algorithm </w:t>
      </w:r>
    </w:p>
    <w:p w:rsidR="0052701D" w:rsidRDefault="00D40929">
      <w:pPr>
        <w:spacing w:after="93"/>
        <w:ind w:left="711"/>
      </w:pPr>
      <w:r>
        <w:rPr>
          <w:rFonts w:ascii="Times New Roman" w:eastAsia="Times New Roman" w:hAnsi="Times New Roman" w:cs="Times New Roman"/>
          <w:sz w:val="28"/>
        </w:rPr>
        <w:t xml:space="preserve"> </w:t>
      </w:r>
    </w:p>
    <w:p w:rsidR="0052701D" w:rsidRDefault="00D40929">
      <w:pPr>
        <w:spacing w:after="5" w:line="271" w:lineRule="auto"/>
        <w:ind w:left="711" w:right="64"/>
        <w:jc w:val="both"/>
      </w:pPr>
      <w:r>
        <w:rPr>
          <w:rFonts w:ascii="Times New Roman" w:eastAsia="Times New Roman" w:hAnsi="Times New Roman" w:cs="Times New Roman"/>
          <w:sz w:val="28"/>
        </w:rPr>
        <w:t xml:space="preserve">The result dendrogram is presented below (fig. 3):  </w:t>
      </w:r>
    </w:p>
    <w:p w:rsidR="0052701D" w:rsidRDefault="00D40929">
      <w:pPr>
        <w:spacing w:after="65"/>
        <w:ind w:left="39"/>
        <w:jc w:val="center"/>
      </w:pPr>
      <w:r>
        <w:rPr>
          <w:noProof/>
        </w:rPr>
        <w:drawing>
          <wp:inline distT="0" distB="0" distL="0" distR="0">
            <wp:extent cx="3590544" cy="2496312"/>
            <wp:effectExtent l="0" t="0" r="0" b="0"/>
            <wp:docPr id="18680" name="Picture 18680"/>
            <wp:cNvGraphicFramePr/>
            <a:graphic xmlns:a="http://schemas.openxmlformats.org/drawingml/2006/main">
              <a:graphicData uri="http://schemas.openxmlformats.org/drawingml/2006/picture">
                <pic:pic xmlns:pic="http://schemas.openxmlformats.org/drawingml/2006/picture">
                  <pic:nvPicPr>
                    <pic:cNvPr id="18680" name="Picture 18680"/>
                    <pic:cNvPicPr/>
                  </pic:nvPicPr>
                  <pic:blipFill>
                    <a:blip r:embed="rId220"/>
                    <a:stretch>
                      <a:fillRect/>
                    </a:stretch>
                  </pic:blipFill>
                  <pic:spPr>
                    <a:xfrm>
                      <a:off x="0" y="0"/>
                      <a:ext cx="3590544" cy="2496312"/>
                    </a:xfrm>
                    <a:prstGeom prst="rect">
                      <a:avLst/>
                    </a:prstGeom>
                  </pic:spPr>
                </pic:pic>
              </a:graphicData>
            </a:graphic>
          </wp:inline>
        </w:drawing>
      </w:r>
      <w:r>
        <w:rPr>
          <w:rFonts w:ascii="Times New Roman" w:eastAsia="Times New Roman" w:hAnsi="Times New Roman" w:cs="Times New Roman"/>
        </w:rPr>
        <w:t xml:space="preserve"> </w:t>
      </w:r>
    </w:p>
    <w:p w:rsidR="0052701D" w:rsidRDefault="00D40929">
      <w:pPr>
        <w:spacing w:after="148" w:line="248" w:lineRule="auto"/>
        <w:ind w:left="713" w:right="726" w:hanging="5"/>
        <w:jc w:val="center"/>
      </w:pPr>
      <w:r>
        <w:rPr>
          <w:rFonts w:ascii="Times New Roman" w:eastAsia="Times New Roman" w:hAnsi="Times New Roman" w:cs="Times New Roman"/>
          <w:sz w:val="24"/>
        </w:rPr>
        <w:t xml:space="preserve">Fig. 3..Binary cluster tree of hierarchical clustering method </w:t>
      </w:r>
    </w:p>
    <w:p w:rsidR="0052701D" w:rsidRDefault="00D40929">
      <w:pPr>
        <w:spacing w:after="93"/>
        <w:ind w:left="711"/>
      </w:pPr>
      <w:r>
        <w:rPr>
          <w:rFonts w:ascii="Times New Roman" w:eastAsia="Times New Roman" w:hAnsi="Times New Roman" w:cs="Times New Roman"/>
          <w:sz w:val="28"/>
        </w:rPr>
        <w:t xml:space="preserve"> </w:t>
      </w:r>
    </w:p>
    <w:p w:rsidR="0052701D" w:rsidRDefault="00D40929">
      <w:pPr>
        <w:spacing w:after="5" w:line="271" w:lineRule="auto"/>
        <w:ind w:left="711" w:right="64"/>
        <w:jc w:val="both"/>
      </w:pPr>
      <w:r>
        <w:rPr>
          <w:rFonts w:ascii="Times New Roman" w:eastAsia="Times New Roman" w:hAnsi="Times New Roman" w:cs="Times New Roman"/>
          <w:sz w:val="28"/>
        </w:rPr>
        <w:t xml:space="preserve">The final result of the hierarchical clustering (fig. 4): </w:t>
      </w:r>
    </w:p>
    <w:p w:rsidR="0052701D" w:rsidRDefault="00D40929">
      <w:pPr>
        <w:spacing w:after="60"/>
        <w:ind w:left="39"/>
        <w:jc w:val="center"/>
      </w:pPr>
      <w:r>
        <w:rPr>
          <w:noProof/>
        </w:rPr>
        <w:drawing>
          <wp:inline distT="0" distB="0" distL="0" distR="0">
            <wp:extent cx="3465576" cy="2237232"/>
            <wp:effectExtent l="0" t="0" r="0" b="0"/>
            <wp:docPr id="18728" name="Picture 18728"/>
            <wp:cNvGraphicFramePr/>
            <a:graphic xmlns:a="http://schemas.openxmlformats.org/drawingml/2006/main">
              <a:graphicData uri="http://schemas.openxmlformats.org/drawingml/2006/picture">
                <pic:pic xmlns:pic="http://schemas.openxmlformats.org/drawingml/2006/picture">
                  <pic:nvPicPr>
                    <pic:cNvPr id="18728" name="Picture 18728"/>
                    <pic:cNvPicPr/>
                  </pic:nvPicPr>
                  <pic:blipFill>
                    <a:blip r:embed="rId221"/>
                    <a:stretch>
                      <a:fillRect/>
                    </a:stretch>
                  </pic:blipFill>
                  <pic:spPr>
                    <a:xfrm>
                      <a:off x="0" y="0"/>
                      <a:ext cx="3465576" cy="2237232"/>
                    </a:xfrm>
                    <a:prstGeom prst="rect">
                      <a:avLst/>
                    </a:prstGeom>
                  </pic:spPr>
                </pic:pic>
              </a:graphicData>
            </a:graphic>
          </wp:inline>
        </w:drawing>
      </w:r>
      <w:r>
        <w:rPr>
          <w:rFonts w:ascii="Times New Roman" w:eastAsia="Times New Roman" w:hAnsi="Times New Roman" w:cs="Times New Roman"/>
        </w:rPr>
        <w:t xml:space="preserve"> </w:t>
      </w:r>
    </w:p>
    <w:p w:rsidR="0052701D" w:rsidRDefault="00D40929">
      <w:pPr>
        <w:spacing w:after="153" w:line="248" w:lineRule="auto"/>
        <w:ind w:left="713" w:right="731" w:hanging="5"/>
        <w:jc w:val="center"/>
      </w:pPr>
      <w:r>
        <w:rPr>
          <w:rFonts w:ascii="Times New Roman" w:eastAsia="Times New Roman" w:hAnsi="Times New Roman" w:cs="Times New Roman"/>
          <w:sz w:val="24"/>
        </w:rPr>
        <w:t xml:space="preserve">Fig. 4.Clustered data with hierarchical clustering algorithm </w:t>
      </w:r>
    </w:p>
    <w:p w:rsidR="0052701D" w:rsidRDefault="00D40929">
      <w:pPr>
        <w:numPr>
          <w:ilvl w:val="0"/>
          <w:numId w:val="20"/>
        </w:numPr>
        <w:spacing w:after="5" w:line="251" w:lineRule="auto"/>
        <w:ind w:hanging="283"/>
      </w:pPr>
      <w:r>
        <w:rPr>
          <w:rFonts w:ascii="Times New Roman" w:eastAsia="Times New Roman" w:hAnsi="Times New Roman" w:cs="Times New Roman"/>
          <w:b/>
          <w:sz w:val="28"/>
        </w:rPr>
        <w:t xml:space="preserve">Hard and soft (fuzzy) algorithms </w:t>
      </w:r>
    </w:p>
    <w:p w:rsidR="0052701D" w:rsidRDefault="00D40929">
      <w:pPr>
        <w:spacing w:after="5" w:line="271" w:lineRule="auto"/>
        <w:ind w:left="-15" w:right="1" w:firstLine="711"/>
      </w:pPr>
      <w:r>
        <w:rPr>
          <w:rFonts w:ascii="Times New Roman" w:eastAsia="Times New Roman" w:hAnsi="Times New Roman" w:cs="Times New Roman"/>
          <w:sz w:val="28"/>
        </w:rPr>
        <w:t>Hard (or disjoint) method, in whi</w:t>
      </w:r>
      <w:r>
        <w:rPr>
          <w:rFonts w:ascii="Times New Roman" w:eastAsia="Times New Roman" w:hAnsi="Times New Roman" w:cs="Times New Roman"/>
          <w:sz w:val="28"/>
        </w:rPr>
        <w:t xml:space="preserve">ch every object in samples has its own number of the cluster, i.e. it belongs to one cluster. Soft (joint) ones quite differ due to the fact </w:t>
      </w:r>
      <w:r>
        <w:rPr>
          <w:rFonts w:ascii="Times New Roman" w:eastAsia="Times New Roman" w:hAnsi="Times New Roman" w:cs="Times New Roman"/>
          <w:sz w:val="28"/>
        </w:rPr>
        <w:lastRenderedPageBreak/>
        <w:t xml:space="preserve">that in this case every object of the samples has a set of  real values, which shows the degree of the relation to </w:t>
      </w:r>
      <w:r>
        <w:rPr>
          <w:rFonts w:ascii="Times New Roman" w:eastAsia="Times New Roman" w:hAnsi="Times New Roman" w:cs="Times New Roman"/>
          <w:sz w:val="28"/>
        </w:rPr>
        <w:t xml:space="preserve">the clusters, i.e. every point belongs to the certain cluster with some probability.  </w:t>
      </w:r>
    </w:p>
    <w:p w:rsidR="0052701D" w:rsidRDefault="00D40929">
      <w:pPr>
        <w:numPr>
          <w:ilvl w:val="1"/>
          <w:numId w:val="20"/>
        </w:numPr>
        <w:spacing w:after="5" w:line="251" w:lineRule="auto"/>
        <w:ind w:hanging="422"/>
      </w:pPr>
      <w:r>
        <w:rPr>
          <w:rFonts w:ascii="Times New Roman" w:eastAsia="Times New Roman" w:hAnsi="Times New Roman" w:cs="Times New Roman"/>
          <w:b/>
          <w:sz w:val="28"/>
        </w:rPr>
        <w:t xml:space="preserve">k-means clustering algorithm </w:t>
      </w:r>
    </w:p>
    <w:p w:rsidR="0052701D" w:rsidRDefault="00D40929">
      <w:pPr>
        <w:spacing w:after="5" w:line="271" w:lineRule="auto"/>
        <w:ind w:left="9" w:right="64" w:firstLine="711"/>
        <w:jc w:val="both"/>
      </w:pPr>
      <w:r>
        <w:rPr>
          <w:rFonts w:ascii="Times New Roman" w:eastAsia="Times New Roman" w:hAnsi="Times New Roman" w:cs="Times New Roman"/>
          <w:sz w:val="28"/>
        </w:rPr>
        <w:t>The  algorithm is based on minimizing the splitting mean-</w:t>
      </w:r>
      <w:r>
        <w:rPr>
          <w:rFonts w:ascii="Times New Roman" w:eastAsia="Times New Roman" w:hAnsi="Times New Roman" w:cs="Times New Roman"/>
          <w:sz w:val="28"/>
        </w:rPr>
        <w:t>square error. In the beginning of the process, the given input data points are represented. Proceeding further, the locations of the centres are given in an arbitrary way , each data points can be related to one of them with the closest distance. After, th</w:t>
      </w:r>
      <w:r>
        <w:rPr>
          <w:rFonts w:ascii="Times New Roman" w:eastAsia="Times New Roman" w:hAnsi="Times New Roman" w:cs="Times New Roman"/>
          <w:sz w:val="28"/>
        </w:rPr>
        <w:t>e clusters are noticeable in 2-D space. Next, the centres are shifted to the centroids of the cluster and  enhanced allocation of cluster data points is achieved. The process endlessly replicated until aggregation is done. The main disadvantage of this alg</w:t>
      </w:r>
      <w:r>
        <w:rPr>
          <w:rFonts w:ascii="Times New Roman" w:eastAsia="Times New Roman" w:hAnsi="Times New Roman" w:cs="Times New Roman"/>
          <w:sz w:val="28"/>
        </w:rPr>
        <w:t xml:space="preserve">orithm is a need to set the number of clusters to be divided into. And it is very sensitive to selection of the ignition “centroids”, to scale high number dimensions. Despite of mentioned minuses, the method is simple, easily convergence and adaptive. The </w:t>
      </w:r>
      <w:r>
        <w:rPr>
          <w:rFonts w:ascii="Times New Roman" w:eastAsia="Times New Roman" w:hAnsi="Times New Roman" w:cs="Times New Roman"/>
          <w:sz w:val="28"/>
        </w:rPr>
        <w:t xml:space="preserve">algorithm is  represented on the figures 5,6. The input is the same as in hierarchical algorithm. </w:t>
      </w:r>
    </w:p>
    <w:p w:rsidR="0052701D" w:rsidRDefault="00D40929">
      <w:pPr>
        <w:spacing w:after="95"/>
        <w:ind w:left="711"/>
      </w:pPr>
      <w:r>
        <w:rPr>
          <w:rFonts w:ascii="Times New Roman" w:eastAsia="Times New Roman" w:hAnsi="Times New Roman" w:cs="Times New Roman"/>
        </w:rPr>
        <w:t xml:space="preserve"> </w:t>
      </w:r>
    </w:p>
    <w:p w:rsidR="0052701D" w:rsidRDefault="00D40929">
      <w:pPr>
        <w:spacing w:after="60"/>
        <w:ind w:left="1636"/>
      </w:pPr>
      <w:r>
        <w:rPr>
          <w:noProof/>
        </w:rPr>
        <mc:AlternateContent>
          <mc:Choice Requires="wpg">
            <w:drawing>
              <wp:inline distT="0" distB="0" distL="0" distR="0">
                <wp:extent cx="4056888" cy="1880616"/>
                <wp:effectExtent l="0" t="0" r="0" b="0"/>
                <wp:docPr id="934913" name="Group 934913"/>
                <wp:cNvGraphicFramePr/>
                <a:graphic xmlns:a="http://schemas.openxmlformats.org/drawingml/2006/main">
                  <a:graphicData uri="http://schemas.microsoft.com/office/word/2010/wordprocessingGroup">
                    <wpg:wgp>
                      <wpg:cNvGrpSpPr/>
                      <wpg:grpSpPr>
                        <a:xfrm>
                          <a:off x="0" y="0"/>
                          <a:ext cx="4056888" cy="1880616"/>
                          <a:chOff x="0" y="0"/>
                          <a:chExt cx="4056888" cy="1880616"/>
                        </a:xfrm>
                      </wpg:grpSpPr>
                      <pic:pic xmlns:pic="http://schemas.openxmlformats.org/drawingml/2006/picture">
                        <pic:nvPicPr>
                          <pic:cNvPr id="18730" name="Picture 18730"/>
                          <pic:cNvPicPr/>
                        </pic:nvPicPr>
                        <pic:blipFill>
                          <a:blip r:embed="rId222"/>
                          <a:stretch>
                            <a:fillRect/>
                          </a:stretch>
                        </pic:blipFill>
                        <pic:spPr>
                          <a:xfrm>
                            <a:off x="39624" y="0"/>
                            <a:ext cx="3977640" cy="612648"/>
                          </a:xfrm>
                          <a:prstGeom prst="rect">
                            <a:avLst/>
                          </a:prstGeom>
                        </pic:spPr>
                      </pic:pic>
                      <pic:pic xmlns:pic="http://schemas.openxmlformats.org/drawingml/2006/picture">
                        <pic:nvPicPr>
                          <pic:cNvPr id="18732" name="Picture 18732"/>
                          <pic:cNvPicPr/>
                        </pic:nvPicPr>
                        <pic:blipFill>
                          <a:blip r:embed="rId223"/>
                          <a:stretch>
                            <a:fillRect/>
                          </a:stretch>
                        </pic:blipFill>
                        <pic:spPr>
                          <a:xfrm>
                            <a:off x="0" y="612648"/>
                            <a:ext cx="4056888" cy="874776"/>
                          </a:xfrm>
                          <a:prstGeom prst="rect">
                            <a:avLst/>
                          </a:prstGeom>
                        </pic:spPr>
                      </pic:pic>
                      <pic:pic xmlns:pic="http://schemas.openxmlformats.org/drawingml/2006/picture">
                        <pic:nvPicPr>
                          <pic:cNvPr id="18734" name="Picture 18734"/>
                          <pic:cNvPicPr/>
                        </pic:nvPicPr>
                        <pic:blipFill>
                          <a:blip r:embed="rId224"/>
                          <a:stretch>
                            <a:fillRect/>
                          </a:stretch>
                        </pic:blipFill>
                        <pic:spPr>
                          <a:xfrm>
                            <a:off x="6096" y="1487424"/>
                            <a:ext cx="4044696" cy="393192"/>
                          </a:xfrm>
                          <a:prstGeom prst="rect">
                            <a:avLst/>
                          </a:prstGeom>
                        </pic:spPr>
                      </pic:pic>
                    </wpg:wgp>
                  </a:graphicData>
                </a:graphic>
              </wp:inline>
            </w:drawing>
          </mc:Choice>
          <mc:Fallback xmlns:a="http://schemas.openxmlformats.org/drawingml/2006/main">
            <w:pict>
              <v:group id="Group 934913" style="width:319.44pt;height:148.08pt;mso-position-horizontal-relative:char;mso-position-vertical-relative:line" coordsize="40568,18806">
                <v:shape id="Picture 18730" style="position:absolute;width:39776;height:6126;left:396;top:0;" filled="f">
                  <v:imagedata r:id="rId225"/>
                </v:shape>
                <v:shape id="Picture 18732" style="position:absolute;width:40568;height:8747;left:0;top:6126;" filled="f">
                  <v:imagedata r:id="rId226"/>
                </v:shape>
                <v:shape id="Picture 18734" style="position:absolute;width:40446;height:3931;left:60;top:14874;" filled="f">
                  <v:imagedata r:id="rId227"/>
                </v:shape>
              </v:group>
            </w:pict>
          </mc:Fallback>
        </mc:AlternateContent>
      </w:r>
      <w:r>
        <w:rPr>
          <w:rFonts w:ascii="Times New Roman" w:eastAsia="Times New Roman" w:hAnsi="Times New Roman" w:cs="Times New Roman"/>
        </w:rPr>
        <w:t xml:space="preserve"> </w:t>
      </w:r>
    </w:p>
    <w:p w:rsidR="0052701D" w:rsidRDefault="00D40929">
      <w:pPr>
        <w:spacing w:after="86" w:line="248" w:lineRule="auto"/>
        <w:ind w:left="713" w:right="731" w:hanging="5"/>
        <w:jc w:val="center"/>
      </w:pPr>
      <w:r>
        <w:rPr>
          <w:rFonts w:ascii="Times New Roman" w:eastAsia="Times New Roman" w:hAnsi="Times New Roman" w:cs="Times New Roman"/>
          <w:sz w:val="24"/>
        </w:rPr>
        <w:t xml:space="preserve">Fig. 5. Listing of the MATLAB code for the k-means clustering algorithm </w:t>
      </w:r>
    </w:p>
    <w:p w:rsidR="0052701D" w:rsidRDefault="00D40929">
      <w:pPr>
        <w:spacing w:after="0"/>
      </w:pPr>
      <w:r>
        <w:rPr>
          <w:rFonts w:ascii="Times New Roman" w:eastAsia="Times New Roman" w:hAnsi="Times New Roman" w:cs="Times New Roman"/>
        </w:rPr>
        <w:t xml:space="preserve"> </w:t>
      </w:r>
    </w:p>
    <w:p w:rsidR="0052701D" w:rsidRDefault="00D40929">
      <w:pPr>
        <w:spacing w:after="65"/>
      </w:pPr>
      <w:r>
        <w:rPr>
          <w:rFonts w:ascii="Times New Roman" w:eastAsia="Times New Roman" w:hAnsi="Times New Roman" w:cs="Times New Roman"/>
        </w:rPr>
        <w:t xml:space="preserve">                                         </w:t>
      </w:r>
      <w:r>
        <w:rPr>
          <w:noProof/>
        </w:rPr>
        <w:drawing>
          <wp:inline distT="0" distB="0" distL="0" distR="0">
            <wp:extent cx="3870960" cy="2767584"/>
            <wp:effectExtent l="0" t="0" r="0" b="0"/>
            <wp:docPr id="18798" name="Picture 18798"/>
            <wp:cNvGraphicFramePr/>
            <a:graphic xmlns:a="http://schemas.openxmlformats.org/drawingml/2006/main">
              <a:graphicData uri="http://schemas.openxmlformats.org/drawingml/2006/picture">
                <pic:pic xmlns:pic="http://schemas.openxmlformats.org/drawingml/2006/picture">
                  <pic:nvPicPr>
                    <pic:cNvPr id="18798" name="Picture 18798"/>
                    <pic:cNvPicPr/>
                  </pic:nvPicPr>
                  <pic:blipFill>
                    <a:blip r:embed="rId228"/>
                    <a:stretch>
                      <a:fillRect/>
                    </a:stretch>
                  </pic:blipFill>
                  <pic:spPr>
                    <a:xfrm>
                      <a:off x="0" y="0"/>
                      <a:ext cx="3870960" cy="2767584"/>
                    </a:xfrm>
                    <a:prstGeom prst="rect">
                      <a:avLst/>
                    </a:prstGeom>
                  </pic:spPr>
                </pic:pic>
              </a:graphicData>
            </a:graphic>
          </wp:inline>
        </w:drawing>
      </w:r>
      <w:r>
        <w:rPr>
          <w:rFonts w:ascii="Times New Roman" w:eastAsia="Times New Roman" w:hAnsi="Times New Roman" w:cs="Times New Roman"/>
        </w:rPr>
        <w:t xml:space="preserve"> </w:t>
      </w:r>
    </w:p>
    <w:p w:rsidR="0052701D" w:rsidRDefault="00D40929">
      <w:pPr>
        <w:spacing w:after="105" w:line="248" w:lineRule="auto"/>
        <w:ind w:left="713" w:right="725" w:hanging="5"/>
        <w:jc w:val="center"/>
      </w:pPr>
      <w:r>
        <w:rPr>
          <w:rFonts w:ascii="Times New Roman" w:eastAsia="Times New Roman" w:hAnsi="Times New Roman" w:cs="Times New Roman"/>
          <w:sz w:val="24"/>
        </w:rPr>
        <w:t>Fig. 6.Clustering data by k-means</w:t>
      </w:r>
      <w:r>
        <w:rPr>
          <w:rFonts w:ascii="Times New Roman" w:eastAsia="Times New Roman" w:hAnsi="Times New Roman" w:cs="Times New Roman"/>
          <w:sz w:val="24"/>
        </w:rPr>
        <w:t xml:space="preserve"> clustering method </w:t>
      </w:r>
    </w:p>
    <w:p w:rsidR="0052701D" w:rsidRDefault="00D40929">
      <w:pPr>
        <w:spacing w:after="141"/>
        <w:ind w:left="40"/>
        <w:jc w:val="center"/>
      </w:pPr>
      <w:r>
        <w:rPr>
          <w:rFonts w:ascii="Times New Roman" w:eastAsia="Times New Roman" w:hAnsi="Times New Roman" w:cs="Times New Roman"/>
          <w:sz w:val="24"/>
        </w:rPr>
        <w:t xml:space="preserve"> </w:t>
      </w:r>
    </w:p>
    <w:p w:rsidR="0052701D" w:rsidRDefault="00D40929">
      <w:pPr>
        <w:numPr>
          <w:ilvl w:val="1"/>
          <w:numId w:val="20"/>
        </w:numPr>
        <w:spacing w:after="5" w:line="251" w:lineRule="auto"/>
        <w:ind w:hanging="422"/>
      </w:pPr>
      <w:r>
        <w:rPr>
          <w:rFonts w:ascii="Times New Roman" w:eastAsia="Times New Roman" w:hAnsi="Times New Roman" w:cs="Times New Roman"/>
          <w:b/>
          <w:sz w:val="28"/>
        </w:rPr>
        <w:lastRenderedPageBreak/>
        <w:t xml:space="preserve">c-means clustering algorithm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A modified version of the k-means method, in which for each data point the real value (equal to the membership value) is determined. Each data point can belong to any of the cluster with the varied level </w:t>
      </w:r>
      <w:r>
        <w:rPr>
          <w:rFonts w:ascii="Times New Roman" w:eastAsia="Times New Roman" w:hAnsi="Times New Roman" w:cs="Times New Roman"/>
          <w:sz w:val="28"/>
        </w:rPr>
        <w:t>of the membership function. The performing steps are following [3]: 1) choosing the initial fuzzy partitioning of n objects into k clusters by selecting a belonging matrix U with the size n×k; 2) using the matrix U, finding the criteria of fuzzy error (obj</w:t>
      </w:r>
      <w:r>
        <w:rPr>
          <w:rFonts w:ascii="Times New Roman" w:eastAsia="Times New Roman" w:hAnsi="Times New Roman" w:cs="Times New Roman"/>
          <w:sz w:val="28"/>
        </w:rPr>
        <w:t>ective function)  [4]; 3) interchange the groups of the objects in order to reduce the objective function criteria of the error; 4)repeating the steps from the 2</w:t>
      </w:r>
      <w:r>
        <w:rPr>
          <w:rFonts w:ascii="Times New Roman" w:eastAsia="Times New Roman" w:hAnsi="Times New Roman" w:cs="Times New Roman"/>
          <w:sz w:val="28"/>
          <w:vertAlign w:val="superscript"/>
        </w:rPr>
        <w:t>nd</w:t>
      </w:r>
      <w:r>
        <w:rPr>
          <w:rFonts w:ascii="Times New Roman" w:eastAsia="Times New Roman" w:hAnsi="Times New Roman" w:cs="Times New Roman"/>
          <w:sz w:val="28"/>
        </w:rPr>
        <w:t xml:space="preserve"> until the change of the matrix U is negligible. The disadvantage of the method – it can not </w:t>
      </w:r>
      <w:r>
        <w:rPr>
          <w:rFonts w:ascii="Times New Roman" w:eastAsia="Times New Roman" w:hAnsi="Times New Roman" w:cs="Times New Roman"/>
          <w:sz w:val="28"/>
        </w:rPr>
        <w:t>fit, if  number of clusters is  unknown in advance or if one object has to be clustered to one group explicitly. However, the method suits best  for overlapped data pattern and a data point can belong to more than 1 cluster. On the figures 7, 8 an  applica</w:t>
      </w:r>
      <w:r>
        <w:rPr>
          <w:rFonts w:ascii="Times New Roman" w:eastAsia="Times New Roman" w:hAnsi="Times New Roman" w:cs="Times New Roman"/>
          <w:sz w:val="28"/>
        </w:rPr>
        <w:t xml:space="preserve">tion of c- means algorithm is illustrated for the same input as was given for the previous methods. </w:t>
      </w:r>
    </w:p>
    <w:p w:rsidR="0052701D" w:rsidRDefault="00D40929">
      <w:pPr>
        <w:spacing w:after="0"/>
        <w:ind w:left="711"/>
      </w:pPr>
      <w:r>
        <w:rPr>
          <w:rFonts w:ascii="Times New Roman" w:eastAsia="Times New Roman" w:hAnsi="Times New Roman" w:cs="Times New Roman"/>
        </w:rPr>
        <w:t xml:space="preserve"> </w:t>
      </w:r>
    </w:p>
    <w:p w:rsidR="0052701D" w:rsidRDefault="00D40929">
      <w:pPr>
        <w:spacing w:after="64"/>
      </w:pPr>
      <w:r>
        <w:rPr>
          <w:rFonts w:ascii="Times New Roman" w:eastAsia="Times New Roman" w:hAnsi="Times New Roman" w:cs="Times New Roman"/>
          <w:b/>
        </w:rPr>
        <w:t xml:space="preserve">                                       </w:t>
      </w:r>
      <w:r>
        <w:rPr>
          <w:noProof/>
        </w:rPr>
        <mc:AlternateContent>
          <mc:Choice Requires="wpg">
            <w:drawing>
              <wp:inline distT="0" distB="0" distL="0" distR="0">
                <wp:extent cx="3530220" cy="2346961"/>
                <wp:effectExtent l="0" t="0" r="0" b="0"/>
                <wp:docPr id="935221" name="Group 935221"/>
                <wp:cNvGraphicFramePr/>
                <a:graphic xmlns:a="http://schemas.openxmlformats.org/drawingml/2006/main">
                  <a:graphicData uri="http://schemas.microsoft.com/office/word/2010/wordprocessingGroup">
                    <wpg:wgp>
                      <wpg:cNvGrpSpPr/>
                      <wpg:grpSpPr>
                        <a:xfrm>
                          <a:off x="0" y="0"/>
                          <a:ext cx="3530220" cy="2346961"/>
                          <a:chOff x="0" y="0"/>
                          <a:chExt cx="3530220" cy="2346961"/>
                        </a:xfrm>
                      </wpg:grpSpPr>
                      <wps:wsp>
                        <wps:cNvPr id="18786" name="Rectangle 18786"/>
                        <wps:cNvSpPr/>
                        <wps:spPr>
                          <a:xfrm>
                            <a:off x="3437255" y="663618"/>
                            <a:ext cx="46619" cy="206430"/>
                          </a:xfrm>
                          <a:prstGeom prst="rect">
                            <a:avLst/>
                          </a:prstGeom>
                          <a:ln>
                            <a:noFill/>
                          </a:ln>
                        </wps:spPr>
                        <wps:txbx>
                          <w:txbxContent>
                            <w:p w:rsidR="0052701D" w:rsidRDefault="00D40929">
                              <w:r>
                                <w:rPr>
                                  <w:rFonts w:ascii="Times New Roman" w:eastAsia="Times New Roman" w:hAnsi="Times New Roman" w:cs="Times New Roman"/>
                                </w:rPr>
                                <w:t xml:space="preserve"> </w:t>
                              </w:r>
                            </w:p>
                          </w:txbxContent>
                        </wps:txbx>
                        <wps:bodyPr horzOverflow="overflow" vert="horz" lIns="0" tIns="0" rIns="0" bIns="0" rtlCol="0">
                          <a:noAutofit/>
                        </wps:bodyPr>
                      </wps:wsp>
                      <wps:wsp>
                        <wps:cNvPr id="18787" name="Rectangle 18787"/>
                        <wps:cNvSpPr/>
                        <wps:spPr>
                          <a:xfrm>
                            <a:off x="3495167" y="1011090"/>
                            <a:ext cx="46619" cy="206429"/>
                          </a:xfrm>
                          <a:prstGeom prst="rect">
                            <a:avLst/>
                          </a:prstGeom>
                          <a:ln>
                            <a:noFill/>
                          </a:ln>
                        </wps:spPr>
                        <wps:txbx>
                          <w:txbxContent>
                            <w:p w:rsidR="0052701D" w:rsidRDefault="00D40929">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18800" name="Picture 18800"/>
                          <pic:cNvPicPr/>
                        </pic:nvPicPr>
                        <pic:blipFill>
                          <a:blip r:embed="rId229"/>
                          <a:stretch>
                            <a:fillRect/>
                          </a:stretch>
                        </pic:blipFill>
                        <pic:spPr>
                          <a:xfrm>
                            <a:off x="57912" y="0"/>
                            <a:ext cx="3380233" cy="792480"/>
                          </a:xfrm>
                          <a:prstGeom prst="rect">
                            <a:avLst/>
                          </a:prstGeom>
                        </pic:spPr>
                      </pic:pic>
                      <pic:pic xmlns:pic="http://schemas.openxmlformats.org/drawingml/2006/picture">
                        <pic:nvPicPr>
                          <pic:cNvPr id="18802" name="Picture 18802"/>
                          <pic:cNvPicPr/>
                        </pic:nvPicPr>
                        <pic:blipFill>
                          <a:blip r:embed="rId230"/>
                          <a:stretch>
                            <a:fillRect/>
                          </a:stretch>
                        </pic:blipFill>
                        <pic:spPr>
                          <a:xfrm>
                            <a:off x="0" y="829056"/>
                            <a:ext cx="3496056" cy="304800"/>
                          </a:xfrm>
                          <a:prstGeom prst="rect">
                            <a:avLst/>
                          </a:prstGeom>
                        </pic:spPr>
                      </pic:pic>
                      <pic:pic xmlns:pic="http://schemas.openxmlformats.org/drawingml/2006/picture">
                        <pic:nvPicPr>
                          <pic:cNvPr id="18804" name="Picture 18804"/>
                          <pic:cNvPicPr/>
                        </pic:nvPicPr>
                        <pic:blipFill>
                          <a:blip r:embed="rId231"/>
                          <a:stretch>
                            <a:fillRect/>
                          </a:stretch>
                        </pic:blipFill>
                        <pic:spPr>
                          <a:xfrm>
                            <a:off x="48768" y="1133856"/>
                            <a:ext cx="3474720" cy="1213104"/>
                          </a:xfrm>
                          <a:prstGeom prst="rect">
                            <a:avLst/>
                          </a:prstGeom>
                        </pic:spPr>
                      </pic:pic>
                    </wpg:wgp>
                  </a:graphicData>
                </a:graphic>
              </wp:inline>
            </w:drawing>
          </mc:Choice>
          <mc:Fallback xmlns:a="http://schemas.openxmlformats.org/drawingml/2006/main">
            <w:pict>
              <v:group id="Group 935221" style="width:277.97pt;height:184.8pt;mso-position-horizontal-relative:char;mso-position-vertical-relative:line" coordsize="35302,23469">
                <v:rect id="Rectangle 18786" style="position:absolute;width:466;height:2064;left:34372;top:6636;" filled="f" stroked="f">
                  <v:textbox inset="0,0,0,0">
                    <w:txbxContent>
                      <w:p>
                        <w:pPr>
                          <w:spacing w:before="0" w:after="160" w:line="259" w:lineRule="auto"/>
                        </w:pPr>
                        <w:r>
                          <w:rPr>
                            <w:rFonts w:cs="Times New Roman" w:hAnsi="Times New Roman" w:eastAsia="Times New Roman" w:ascii="Times New Roman"/>
                            <w:sz w:val="22"/>
                          </w:rPr>
                          <w:t xml:space="preserve"> </w:t>
                        </w:r>
                      </w:p>
                    </w:txbxContent>
                  </v:textbox>
                </v:rect>
                <v:rect id="Rectangle 18787" style="position:absolute;width:466;height:2064;left:34951;top:10110;" filled="f" stroked="f">
                  <v:textbox inset="0,0,0,0">
                    <w:txbxContent>
                      <w:p>
                        <w:pPr>
                          <w:spacing w:before="0" w:after="160" w:line="259" w:lineRule="auto"/>
                        </w:pPr>
                        <w:r>
                          <w:rPr>
                            <w:rFonts w:cs="Times New Roman" w:hAnsi="Times New Roman" w:eastAsia="Times New Roman" w:ascii="Times New Roman"/>
                            <w:sz w:val="22"/>
                          </w:rPr>
                          <w:t xml:space="preserve"> </w:t>
                        </w:r>
                      </w:p>
                    </w:txbxContent>
                  </v:textbox>
                </v:rect>
                <v:shape id="Picture 18800" style="position:absolute;width:33802;height:7924;left:579;top:0;" filled="f">
                  <v:imagedata r:id="rId232"/>
                </v:shape>
                <v:shape id="Picture 18802" style="position:absolute;width:34960;height:3048;left:0;top:8290;" filled="f">
                  <v:imagedata r:id="rId233"/>
                </v:shape>
                <v:shape id="Picture 18804" style="position:absolute;width:34747;height:12131;left:487;top:11338;" filled="f">
                  <v:imagedata r:id="rId234"/>
                </v:shape>
              </v:group>
            </w:pict>
          </mc:Fallback>
        </mc:AlternateContent>
      </w:r>
      <w:r>
        <w:rPr>
          <w:rFonts w:ascii="Times New Roman" w:eastAsia="Times New Roman" w:hAnsi="Times New Roman" w:cs="Times New Roman"/>
          <w:b/>
        </w:rPr>
        <w:t xml:space="preserve"> </w:t>
      </w:r>
    </w:p>
    <w:p w:rsidR="0052701D" w:rsidRDefault="00D40929">
      <w:pPr>
        <w:spacing w:after="90" w:line="248" w:lineRule="auto"/>
        <w:ind w:left="713" w:right="726" w:hanging="5"/>
        <w:jc w:val="center"/>
      </w:pPr>
      <w:r>
        <w:rPr>
          <w:rFonts w:ascii="Times New Roman" w:eastAsia="Times New Roman" w:hAnsi="Times New Roman" w:cs="Times New Roman"/>
          <w:sz w:val="24"/>
        </w:rPr>
        <w:t xml:space="preserve">Fig. 7.Listing of the MATLAB code for the c-means clustering algorithm </w:t>
      </w:r>
    </w:p>
    <w:p w:rsidR="0052701D" w:rsidRDefault="00D40929">
      <w:pPr>
        <w:spacing w:after="31"/>
      </w:pPr>
      <w:r>
        <w:rPr>
          <w:rFonts w:ascii="Times New Roman" w:eastAsia="Times New Roman" w:hAnsi="Times New Roman" w:cs="Times New Roman"/>
          <w:b/>
        </w:rPr>
        <w:t xml:space="preserve"> </w:t>
      </w:r>
    </w:p>
    <w:p w:rsidR="0052701D" w:rsidRDefault="00D40929">
      <w:pPr>
        <w:spacing w:after="5" w:line="271" w:lineRule="auto"/>
        <w:ind w:left="711" w:right="64"/>
        <w:jc w:val="both"/>
      </w:pPr>
      <w:r>
        <w:rPr>
          <w:rFonts w:ascii="Times New Roman" w:eastAsia="Times New Roman" w:hAnsi="Times New Roman" w:cs="Times New Roman"/>
          <w:sz w:val="28"/>
        </w:rPr>
        <w:t xml:space="preserve">The result has the following  representation (fig.8): </w:t>
      </w:r>
    </w:p>
    <w:p w:rsidR="0052701D" w:rsidRDefault="00D40929">
      <w:pPr>
        <w:spacing w:after="60"/>
      </w:pPr>
      <w:r>
        <w:rPr>
          <w:rFonts w:ascii="Times New Roman" w:eastAsia="Times New Roman" w:hAnsi="Times New Roman" w:cs="Times New Roman"/>
        </w:rPr>
        <w:t xml:space="preserve">                                         </w:t>
      </w:r>
      <w:r>
        <w:rPr>
          <w:noProof/>
        </w:rPr>
        <w:drawing>
          <wp:inline distT="0" distB="0" distL="0" distR="0">
            <wp:extent cx="3493008" cy="2115312"/>
            <wp:effectExtent l="0" t="0" r="0" b="0"/>
            <wp:docPr id="18890" name="Picture 18890"/>
            <wp:cNvGraphicFramePr/>
            <a:graphic xmlns:a="http://schemas.openxmlformats.org/drawingml/2006/main">
              <a:graphicData uri="http://schemas.openxmlformats.org/drawingml/2006/picture">
                <pic:pic xmlns:pic="http://schemas.openxmlformats.org/drawingml/2006/picture">
                  <pic:nvPicPr>
                    <pic:cNvPr id="18890" name="Picture 18890"/>
                    <pic:cNvPicPr/>
                  </pic:nvPicPr>
                  <pic:blipFill>
                    <a:blip r:embed="rId235"/>
                    <a:stretch>
                      <a:fillRect/>
                    </a:stretch>
                  </pic:blipFill>
                  <pic:spPr>
                    <a:xfrm>
                      <a:off x="0" y="0"/>
                      <a:ext cx="3493008" cy="2115312"/>
                    </a:xfrm>
                    <a:prstGeom prst="rect">
                      <a:avLst/>
                    </a:prstGeom>
                  </pic:spPr>
                </pic:pic>
              </a:graphicData>
            </a:graphic>
          </wp:inline>
        </w:drawing>
      </w:r>
      <w:r>
        <w:rPr>
          <w:rFonts w:ascii="Times New Roman" w:eastAsia="Times New Roman" w:hAnsi="Times New Roman" w:cs="Times New Roman"/>
        </w:rPr>
        <w:t xml:space="preserve"> </w:t>
      </w:r>
    </w:p>
    <w:p w:rsidR="0052701D" w:rsidRDefault="00D40929">
      <w:pPr>
        <w:spacing w:after="95" w:line="248" w:lineRule="auto"/>
        <w:ind w:left="713" w:right="726" w:hanging="5"/>
        <w:jc w:val="center"/>
      </w:pPr>
      <w:r>
        <w:rPr>
          <w:rFonts w:ascii="Times New Roman" w:eastAsia="Times New Roman" w:hAnsi="Times New Roman" w:cs="Times New Roman"/>
          <w:sz w:val="24"/>
        </w:rPr>
        <w:t xml:space="preserve">Fig. 8 .Clustering data by c-means  clustering method </w:t>
      </w:r>
    </w:p>
    <w:p w:rsidR="0052701D" w:rsidRDefault="00D40929">
      <w:pPr>
        <w:spacing w:after="36"/>
        <w:ind w:left="711"/>
      </w:pPr>
      <w:r>
        <w:rPr>
          <w:rFonts w:ascii="Times New Roman" w:eastAsia="Times New Roman" w:hAnsi="Times New Roman" w:cs="Times New Roman"/>
          <w:b/>
        </w:rPr>
        <w:t xml:space="preserve"> </w:t>
      </w:r>
    </w:p>
    <w:p w:rsidR="0052701D" w:rsidRDefault="00D40929">
      <w:pPr>
        <w:spacing w:after="5" w:line="251" w:lineRule="auto"/>
        <w:ind w:left="720" w:firstLine="9"/>
      </w:pPr>
      <w:r>
        <w:rPr>
          <w:rFonts w:ascii="Times New Roman" w:eastAsia="Times New Roman" w:hAnsi="Times New Roman" w:cs="Times New Roman"/>
          <w:b/>
          <w:sz w:val="28"/>
        </w:rPr>
        <w:t xml:space="preserve">Comparison of the mentioned clustering algorithms </w:t>
      </w:r>
    </w:p>
    <w:p w:rsidR="0052701D" w:rsidRDefault="00D40929">
      <w:pPr>
        <w:spacing w:after="5" w:line="271" w:lineRule="auto"/>
        <w:ind w:left="9" w:right="64" w:firstLine="711"/>
        <w:jc w:val="both"/>
      </w:pPr>
      <w:r>
        <w:rPr>
          <w:rFonts w:ascii="Times New Roman" w:eastAsia="Times New Roman" w:hAnsi="Times New Roman" w:cs="Times New Roman"/>
          <w:sz w:val="28"/>
        </w:rPr>
        <w:lastRenderedPageBreak/>
        <w:t xml:space="preserve">Drawing the line between the clustering methods, </w:t>
      </w:r>
      <w:r>
        <w:rPr>
          <w:rFonts w:ascii="Times New Roman" w:eastAsia="Times New Roman" w:hAnsi="Times New Roman" w:cs="Times New Roman"/>
          <w:sz w:val="28"/>
        </w:rPr>
        <w:t>where it is obviously seen that the given data set is fragmented almost the same.  However,  number of the operations and  time complexity as well are varying for each of them. Comparing the k-means and fuzzy methods firstly, we can assume that k-means alg</w:t>
      </w:r>
      <w:r>
        <w:rPr>
          <w:rFonts w:ascii="Times New Roman" w:eastAsia="Times New Roman" w:hAnsi="Times New Roman" w:cs="Times New Roman"/>
          <w:sz w:val="28"/>
        </w:rPr>
        <w:t>orithms perform better that the c-means ones. Nevertheless, k-means method requires the desired clusters to be defined beforehand. Despite of it, such algorithm has a predisposition to the local optima, memory and the required number of iterations to clust</w:t>
      </w:r>
      <w:r>
        <w:rPr>
          <w:rFonts w:ascii="Times New Roman" w:eastAsia="Times New Roman" w:hAnsi="Times New Roman" w:cs="Times New Roman"/>
          <w:sz w:val="28"/>
        </w:rPr>
        <w:t xml:space="preserve">er is unspecified. If it comes to the soft algorithm, then it generates close output clusters to k-means but demand more computation time due to the fuzzy measure’s calculations.  </w:t>
      </w:r>
    </w:p>
    <w:p w:rsidR="0052701D" w:rsidRDefault="00D40929">
      <w:pPr>
        <w:spacing w:after="5" w:line="271" w:lineRule="auto"/>
        <w:ind w:left="9" w:right="64" w:firstLine="711"/>
        <w:jc w:val="both"/>
      </w:pPr>
      <w:r>
        <w:rPr>
          <w:rFonts w:ascii="Times New Roman" w:eastAsia="Times New Roman" w:hAnsi="Times New Roman" w:cs="Times New Roman"/>
          <w:sz w:val="28"/>
        </w:rPr>
        <w:t>Comparing the hierarchical algorithm with k-means and c-means one. The 1</w:t>
      </w:r>
      <w:r>
        <w:rPr>
          <w:rFonts w:ascii="Times New Roman" w:eastAsia="Times New Roman" w:hAnsi="Times New Roman" w:cs="Times New Roman"/>
          <w:sz w:val="28"/>
          <w:vertAlign w:val="superscript"/>
        </w:rPr>
        <w:t>st</w:t>
      </w:r>
      <w:r>
        <w:rPr>
          <w:rFonts w:ascii="Times New Roman" w:eastAsia="Times New Roman" w:hAnsi="Times New Roman" w:cs="Times New Roman"/>
          <w:sz w:val="28"/>
        </w:rPr>
        <w:t xml:space="preserve"> </w:t>
      </w:r>
      <w:r>
        <w:rPr>
          <w:rFonts w:ascii="Times New Roman" w:eastAsia="Times New Roman" w:hAnsi="Times New Roman" w:cs="Times New Roman"/>
          <w:sz w:val="28"/>
        </w:rPr>
        <w:t xml:space="preserve"> one is not able to conduct  high amount of the data since time complexity, comparing with the k-means method.  Once the given data set is divided into the clusters in hierarchical algorithm it cannot be reproduced again as in c-and k-means clustering , th</w:t>
      </w:r>
      <w:r>
        <w:rPr>
          <w:rFonts w:ascii="Times New Roman" w:eastAsia="Times New Roman" w:hAnsi="Times New Roman" w:cs="Times New Roman"/>
          <w:sz w:val="28"/>
        </w:rPr>
        <w:t xml:space="preserve">e results can be produced and differ as many times as we run the algorithms. </w:t>
      </w:r>
    </w:p>
    <w:p w:rsidR="0052701D" w:rsidRDefault="00D40929">
      <w:pPr>
        <w:spacing w:after="5" w:line="251" w:lineRule="auto"/>
        <w:ind w:left="720" w:firstLine="9"/>
      </w:pPr>
      <w:r>
        <w:rPr>
          <w:rFonts w:ascii="Times New Roman" w:eastAsia="Times New Roman" w:hAnsi="Times New Roman" w:cs="Times New Roman"/>
          <w:b/>
          <w:sz w:val="28"/>
        </w:rPr>
        <w:t xml:space="preserve">Other conversional clustering algorithms </w:t>
      </w:r>
    </w:p>
    <w:p w:rsidR="0052701D" w:rsidRDefault="00D40929">
      <w:pPr>
        <w:spacing w:after="5" w:line="271" w:lineRule="auto"/>
        <w:ind w:left="9" w:right="64" w:firstLine="711"/>
        <w:jc w:val="both"/>
      </w:pPr>
      <w:r>
        <w:rPr>
          <w:rFonts w:ascii="Times New Roman" w:eastAsia="Times New Roman" w:hAnsi="Times New Roman" w:cs="Times New Roman"/>
          <w:sz w:val="28"/>
        </w:rPr>
        <w:t>In addition, there exist other conversional clustering algorithms. In the paper the ones based on the graph theory are mentioned. The id</w:t>
      </w:r>
      <w:r>
        <w:rPr>
          <w:rFonts w:ascii="Times New Roman" w:eastAsia="Times New Roman" w:hAnsi="Times New Roman" w:cs="Times New Roman"/>
          <w:sz w:val="28"/>
        </w:rPr>
        <w:t>ea behind these methods is selecting objects, presented in the form of the graph G = (V, E), vertexes of which represent objects (points of data). Moreover, edges have weights equal to the distance between objects. The advantages of the graph clustering al</w:t>
      </w:r>
      <w:r>
        <w:rPr>
          <w:rFonts w:ascii="Times New Roman" w:eastAsia="Times New Roman" w:hAnsi="Times New Roman" w:cs="Times New Roman"/>
          <w:sz w:val="28"/>
        </w:rPr>
        <w:t>gorithms are simplicity in realization, visuality, possibility to modify, based on the geometrical ideas. There exist several of them such as: 1) Algorithm of Minimum Spanning Tree; 2) Selection of the connected components. 3) Layered clustering. The chall</w:t>
      </w:r>
      <w:r>
        <w:rPr>
          <w:rFonts w:ascii="Times New Roman" w:eastAsia="Times New Roman" w:hAnsi="Times New Roman" w:cs="Times New Roman"/>
          <w:sz w:val="28"/>
        </w:rPr>
        <w:t xml:space="preserve">enge behind this method is highlighting connected components on the certain distance level, which is a threshold distance, between the data points (vertexes).   </w:t>
      </w:r>
    </w:p>
    <w:p w:rsidR="0052701D" w:rsidRDefault="00D40929">
      <w:pPr>
        <w:spacing w:after="5" w:line="251" w:lineRule="auto"/>
        <w:ind w:left="720" w:firstLine="9"/>
      </w:pPr>
      <w:r>
        <w:rPr>
          <w:rFonts w:ascii="Times New Roman" w:eastAsia="Times New Roman" w:hAnsi="Times New Roman" w:cs="Times New Roman"/>
          <w:b/>
          <w:sz w:val="28"/>
        </w:rPr>
        <w:t xml:space="preserve">Modelling a clustering data network. Artificial clustering techniques </w:t>
      </w:r>
    </w:p>
    <w:p w:rsidR="0052701D" w:rsidRDefault="00D40929">
      <w:pPr>
        <w:numPr>
          <w:ilvl w:val="0"/>
          <w:numId w:val="21"/>
        </w:numPr>
        <w:spacing w:after="5" w:line="251" w:lineRule="auto"/>
        <w:ind w:hanging="283"/>
      </w:pPr>
      <w:r>
        <w:rPr>
          <w:rFonts w:ascii="Times New Roman" w:eastAsia="Times New Roman" w:hAnsi="Times New Roman" w:cs="Times New Roman"/>
          <w:b/>
          <w:sz w:val="28"/>
        </w:rPr>
        <w:t xml:space="preserve">Clustering technique with the neural network </w:t>
      </w:r>
    </w:p>
    <w:p w:rsidR="0052701D" w:rsidRDefault="00D40929">
      <w:pPr>
        <w:spacing w:after="5" w:line="271" w:lineRule="auto"/>
        <w:ind w:left="9" w:right="64" w:firstLine="711"/>
        <w:jc w:val="both"/>
      </w:pPr>
      <w:r>
        <w:rPr>
          <w:rFonts w:ascii="Times New Roman" w:eastAsia="Times New Roman" w:hAnsi="Times New Roman" w:cs="Times New Roman"/>
          <w:sz w:val="28"/>
        </w:rPr>
        <w:t>Nowadays, to solve the clustering issue  neural network (NN) is applied as it has a list of distinguishing features as: neural network easily contributes with distributed systems with a high level of paralysis;</w:t>
      </w:r>
      <w:r>
        <w:rPr>
          <w:rFonts w:ascii="Times New Roman" w:eastAsia="Times New Roman" w:hAnsi="Times New Roman" w:cs="Times New Roman"/>
          <w:sz w:val="28"/>
        </w:rPr>
        <w:t xml:space="preserve"> hence, this advanced method sets its weighing coefficients, based on the input data, which helps to decide whether characteristics are more valuable. Applying neural network for the clustering with unsupervised learning for clustering, there is a possibil</w:t>
      </w:r>
      <w:r>
        <w:rPr>
          <w:rFonts w:ascii="Times New Roman" w:eastAsia="Times New Roman" w:hAnsi="Times New Roman" w:cs="Times New Roman"/>
          <w:sz w:val="28"/>
        </w:rPr>
        <w:t xml:space="preserve">ity to achieve more precise data separation, as it is based on calculating the difference (distance) between the weighting vector w and input pattern vector x. </w:t>
      </w:r>
    </w:p>
    <w:p w:rsidR="0052701D" w:rsidRDefault="00D40929">
      <w:pPr>
        <w:numPr>
          <w:ilvl w:val="1"/>
          <w:numId w:val="21"/>
        </w:numPr>
        <w:spacing w:after="5" w:line="251" w:lineRule="auto"/>
        <w:ind w:hanging="494"/>
      </w:pPr>
      <w:r>
        <w:rPr>
          <w:rFonts w:ascii="Times New Roman" w:eastAsia="Times New Roman" w:hAnsi="Times New Roman" w:cs="Times New Roman"/>
          <w:b/>
          <w:sz w:val="28"/>
        </w:rPr>
        <w:t xml:space="preserve">Probabilistic Neural Network [13] </w:t>
      </w:r>
    </w:p>
    <w:p w:rsidR="0052701D" w:rsidRDefault="00D40929">
      <w:pPr>
        <w:spacing w:after="5" w:line="271" w:lineRule="auto"/>
        <w:ind w:left="9" w:right="64" w:firstLine="711"/>
        <w:jc w:val="both"/>
      </w:pPr>
      <w:r>
        <w:rPr>
          <w:rFonts w:ascii="Times New Roman" w:eastAsia="Times New Roman" w:hAnsi="Times New Roman" w:cs="Times New Roman"/>
          <w:sz w:val="28"/>
        </w:rPr>
        <w:t>Clustering method can be analysed by the PNN Network as well</w:t>
      </w:r>
      <w:r>
        <w:rPr>
          <w:rFonts w:ascii="Times New Roman" w:eastAsia="Times New Roman" w:hAnsi="Times New Roman" w:cs="Times New Roman"/>
          <w:sz w:val="28"/>
        </w:rPr>
        <w:t xml:space="preserve"> to distinguish whether the point belongs to the cluster or not. In this case, the input vector is given, the 1</w:t>
      </w:r>
      <w:r>
        <w:rPr>
          <w:rFonts w:ascii="Times New Roman" w:eastAsia="Times New Roman" w:hAnsi="Times New Roman" w:cs="Times New Roman"/>
          <w:sz w:val="28"/>
          <w:vertAlign w:val="superscript"/>
        </w:rPr>
        <w:t>st</w:t>
      </w:r>
      <w:r>
        <w:rPr>
          <w:rFonts w:ascii="Times New Roman" w:eastAsia="Times New Roman" w:hAnsi="Times New Roman" w:cs="Times New Roman"/>
          <w:sz w:val="28"/>
        </w:rPr>
        <w:t xml:space="preserve"> layer calculates the “similarity” distance from the vector and the input training data vector and outputs the computed distance vector. After,</w:t>
      </w:r>
      <w:r>
        <w:rPr>
          <w:rFonts w:ascii="Times New Roman" w:eastAsia="Times New Roman" w:hAnsi="Times New Roman" w:cs="Times New Roman"/>
          <w:sz w:val="28"/>
        </w:rPr>
        <w:t xml:space="preserve"> the 2</w:t>
      </w:r>
      <w:r>
        <w:rPr>
          <w:rFonts w:ascii="Times New Roman" w:eastAsia="Times New Roman" w:hAnsi="Times New Roman" w:cs="Times New Roman"/>
          <w:sz w:val="28"/>
          <w:vertAlign w:val="superscript"/>
        </w:rPr>
        <w:t>nd</w:t>
      </w:r>
      <w:r>
        <w:rPr>
          <w:rFonts w:ascii="Times New Roman" w:eastAsia="Times New Roman" w:hAnsi="Times New Roman" w:cs="Times New Roman"/>
          <w:sz w:val="28"/>
        </w:rPr>
        <w:t xml:space="preserve"> layer summarize all the vectors for each input class and generates the vector of probabilities. By the end, </w:t>
      </w:r>
      <w:r>
        <w:rPr>
          <w:rFonts w:ascii="Times New Roman" w:eastAsia="Times New Roman" w:hAnsi="Times New Roman" w:cs="Times New Roman"/>
          <w:sz w:val="28"/>
        </w:rPr>
        <w:lastRenderedPageBreak/>
        <w:t>the compete function, built-in MATLAB, as the output of the 2</w:t>
      </w:r>
      <w:r>
        <w:rPr>
          <w:rFonts w:ascii="Times New Roman" w:eastAsia="Times New Roman" w:hAnsi="Times New Roman" w:cs="Times New Roman"/>
          <w:sz w:val="28"/>
          <w:vertAlign w:val="superscript"/>
        </w:rPr>
        <w:t>nd</w:t>
      </w:r>
      <w:r>
        <w:rPr>
          <w:rFonts w:ascii="Times New Roman" w:eastAsia="Times New Roman" w:hAnsi="Times New Roman" w:cs="Times New Roman"/>
          <w:sz w:val="28"/>
        </w:rPr>
        <w:t xml:space="preserve"> layer transfers the max of the probabilities to 1 for that cluster and for </w:t>
      </w:r>
      <w:r>
        <w:rPr>
          <w:rFonts w:ascii="Times New Roman" w:eastAsia="Times New Roman" w:hAnsi="Times New Roman" w:cs="Times New Roman"/>
          <w:sz w:val="28"/>
        </w:rPr>
        <w:t xml:space="preserve">the other clusters – 0 [14] (fig.9). </w:t>
      </w:r>
    </w:p>
    <w:p w:rsidR="0052701D" w:rsidRDefault="00D40929">
      <w:pPr>
        <w:spacing w:after="0"/>
        <w:ind w:left="711"/>
      </w:pPr>
      <w:r>
        <w:rPr>
          <w:rFonts w:ascii="Times New Roman" w:eastAsia="Times New Roman" w:hAnsi="Times New Roman" w:cs="Times New Roman"/>
        </w:rPr>
        <w:t xml:space="preserve"> </w:t>
      </w:r>
    </w:p>
    <w:p w:rsidR="0052701D" w:rsidRDefault="00D40929">
      <w:pPr>
        <w:spacing w:after="125"/>
        <w:ind w:left="115"/>
      </w:pPr>
      <w:r>
        <w:rPr>
          <w:noProof/>
        </w:rPr>
        <mc:AlternateContent>
          <mc:Choice Requires="wpg">
            <w:drawing>
              <wp:inline distT="0" distB="0" distL="0" distR="0">
                <wp:extent cx="5748528" cy="3124201"/>
                <wp:effectExtent l="0" t="0" r="0" b="0"/>
                <wp:docPr id="935072" name="Group 935072"/>
                <wp:cNvGraphicFramePr/>
                <a:graphic xmlns:a="http://schemas.openxmlformats.org/drawingml/2006/main">
                  <a:graphicData uri="http://schemas.microsoft.com/office/word/2010/wordprocessingGroup">
                    <wpg:wgp>
                      <wpg:cNvGrpSpPr/>
                      <wpg:grpSpPr>
                        <a:xfrm>
                          <a:off x="0" y="0"/>
                          <a:ext cx="5748528" cy="3124201"/>
                          <a:chOff x="0" y="0"/>
                          <a:chExt cx="5748528" cy="3124201"/>
                        </a:xfrm>
                      </wpg:grpSpPr>
                      <pic:pic xmlns:pic="http://schemas.openxmlformats.org/drawingml/2006/picture">
                        <pic:nvPicPr>
                          <pic:cNvPr id="18984" name="Picture 18984"/>
                          <pic:cNvPicPr/>
                        </pic:nvPicPr>
                        <pic:blipFill>
                          <a:blip r:embed="rId236"/>
                          <a:stretch>
                            <a:fillRect/>
                          </a:stretch>
                        </pic:blipFill>
                        <pic:spPr>
                          <a:xfrm>
                            <a:off x="0" y="0"/>
                            <a:ext cx="2657856" cy="1066800"/>
                          </a:xfrm>
                          <a:prstGeom prst="rect">
                            <a:avLst/>
                          </a:prstGeom>
                        </pic:spPr>
                      </pic:pic>
                      <pic:pic xmlns:pic="http://schemas.openxmlformats.org/drawingml/2006/picture">
                        <pic:nvPicPr>
                          <pic:cNvPr id="18986" name="Picture 18986"/>
                          <pic:cNvPicPr/>
                        </pic:nvPicPr>
                        <pic:blipFill>
                          <a:blip r:embed="rId237"/>
                          <a:stretch>
                            <a:fillRect/>
                          </a:stretch>
                        </pic:blipFill>
                        <pic:spPr>
                          <a:xfrm>
                            <a:off x="0" y="1066800"/>
                            <a:ext cx="2667000" cy="1725168"/>
                          </a:xfrm>
                          <a:prstGeom prst="rect">
                            <a:avLst/>
                          </a:prstGeom>
                        </pic:spPr>
                      </pic:pic>
                      <pic:pic xmlns:pic="http://schemas.openxmlformats.org/drawingml/2006/picture">
                        <pic:nvPicPr>
                          <pic:cNvPr id="18988" name="Picture 18988"/>
                          <pic:cNvPicPr/>
                        </pic:nvPicPr>
                        <pic:blipFill>
                          <a:blip r:embed="rId238"/>
                          <a:stretch>
                            <a:fillRect/>
                          </a:stretch>
                        </pic:blipFill>
                        <pic:spPr>
                          <a:xfrm>
                            <a:off x="0" y="2791968"/>
                            <a:ext cx="2667000" cy="332232"/>
                          </a:xfrm>
                          <a:prstGeom prst="rect">
                            <a:avLst/>
                          </a:prstGeom>
                        </pic:spPr>
                      </pic:pic>
                      <pic:pic xmlns:pic="http://schemas.openxmlformats.org/drawingml/2006/picture">
                        <pic:nvPicPr>
                          <pic:cNvPr id="18990" name="Picture 18990"/>
                          <pic:cNvPicPr/>
                        </pic:nvPicPr>
                        <pic:blipFill>
                          <a:blip r:embed="rId239"/>
                          <a:stretch>
                            <a:fillRect/>
                          </a:stretch>
                        </pic:blipFill>
                        <pic:spPr>
                          <a:xfrm>
                            <a:off x="2688336" y="0"/>
                            <a:ext cx="3060192" cy="2374392"/>
                          </a:xfrm>
                          <a:prstGeom prst="rect">
                            <a:avLst/>
                          </a:prstGeom>
                        </pic:spPr>
                      </pic:pic>
                    </wpg:wgp>
                  </a:graphicData>
                </a:graphic>
              </wp:inline>
            </w:drawing>
          </mc:Choice>
          <mc:Fallback xmlns:a="http://schemas.openxmlformats.org/drawingml/2006/main">
            <w:pict>
              <v:group id="Group 935072" style="width:452.64pt;height:246pt;mso-position-horizontal-relative:char;mso-position-vertical-relative:line" coordsize="57485,31242">
                <v:shape id="Picture 18984" style="position:absolute;width:26578;height:10668;left:0;top:0;" filled="f">
                  <v:imagedata r:id="rId240"/>
                </v:shape>
                <v:shape id="Picture 18986" style="position:absolute;width:26670;height:17251;left:0;top:10668;" filled="f">
                  <v:imagedata r:id="rId241"/>
                </v:shape>
                <v:shape id="Picture 18988" style="position:absolute;width:26670;height:3322;left:0;top:27919;" filled="f">
                  <v:imagedata r:id="rId242"/>
                </v:shape>
                <v:shape id="Picture 18990" style="position:absolute;width:30601;height:23743;left:26883;top:0;" filled="f">
                  <v:imagedata r:id="rId243"/>
                </v:shape>
              </v:group>
            </w:pict>
          </mc:Fallback>
        </mc:AlternateContent>
      </w:r>
    </w:p>
    <w:p w:rsidR="0052701D" w:rsidRDefault="00D40929">
      <w:pPr>
        <w:spacing w:after="90" w:line="248" w:lineRule="auto"/>
        <w:ind w:left="713" w:right="724" w:hanging="5"/>
        <w:jc w:val="center"/>
      </w:pPr>
      <w:r>
        <w:rPr>
          <w:rFonts w:ascii="Times New Roman" w:eastAsia="Times New Roman" w:hAnsi="Times New Roman" w:cs="Times New Roman"/>
          <w:sz w:val="24"/>
        </w:rPr>
        <w:t xml:space="preserve">Fig. 9. Modelled PNN for clustering and its listing code </w:t>
      </w:r>
    </w:p>
    <w:p w:rsidR="0052701D" w:rsidRDefault="00D40929">
      <w:pPr>
        <w:spacing w:after="36"/>
        <w:ind w:left="711"/>
      </w:pPr>
      <w:r>
        <w:rPr>
          <w:rFonts w:ascii="Times New Roman" w:eastAsia="Times New Roman" w:hAnsi="Times New Roman" w:cs="Times New Roman"/>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As it is seen, the NN has clustered the input vector l, which is not included into the training set, into 2 clusters: the 1</w:t>
      </w:r>
      <w:r>
        <w:rPr>
          <w:rFonts w:ascii="Times New Roman" w:eastAsia="Times New Roman" w:hAnsi="Times New Roman" w:cs="Times New Roman"/>
          <w:sz w:val="28"/>
          <w:vertAlign w:val="superscript"/>
        </w:rPr>
        <w:t>st</w:t>
      </w:r>
      <w:r>
        <w:rPr>
          <w:rFonts w:ascii="Times New Roman" w:eastAsia="Times New Roman" w:hAnsi="Times New Roman" w:cs="Times New Roman"/>
          <w:sz w:val="28"/>
        </w:rPr>
        <w:t xml:space="preserve"> one belongs to the 3</w:t>
      </w:r>
      <w:r>
        <w:rPr>
          <w:rFonts w:ascii="Times New Roman" w:eastAsia="Times New Roman" w:hAnsi="Times New Roman" w:cs="Times New Roman"/>
          <w:sz w:val="28"/>
          <w:vertAlign w:val="superscript"/>
        </w:rPr>
        <w:t>rd</w:t>
      </w:r>
      <w:r>
        <w:rPr>
          <w:rFonts w:ascii="Times New Roman" w:eastAsia="Times New Roman" w:hAnsi="Times New Roman" w:cs="Times New Roman"/>
          <w:sz w:val="28"/>
        </w:rPr>
        <w:t xml:space="preserve"> clust</w:t>
      </w:r>
      <w:r>
        <w:rPr>
          <w:rFonts w:ascii="Times New Roman" w:eastAsia="Times New Roman" w:hAnsi="Times New Roman" w:cs="Times New Roman"/>
          <w:sz w:val="28"/>
        </w:rPr>
        <w:t>er, the rest (2</w:t>
      </w:r>
      <w:r>
        <w:rPr>
          <w:rFonts w:ascii="Times New Roman" w:eastAsia="Times New Roman" w:hAnsi="Times New Roman" w:cs="Times New Roman"/>
          <w:sz w:val="28"/>
          <w:vertAlign w:val="superscript"/>
        </w:rPr>
        <w:t>nd</w:t>
      </w:r>
      <w:r>
        <w:rPr>
          <w:rFonts w:ascii="Times New Roman" w:eastAsia="Times New Roman" w:hAnsi="Times New Roman" w:cs="Times New Roman"/>
          <w:sz w:val="28"/>
        </w:rPr>
        <w:t xml:space="preserve"> and 3</w:t>
      </w:r>
      <w:r>
        <w:rPr>
          <w:rFonts w:ascii="Times New Roman" w:eastAsia="Times New Roman" w:hAnsi="Times New Roman" w:cs="Times New Roman"/>
          <w:sz w:val="28"/>
          <w:vertAlign w:val="superscript"/>
        </w:rPr>
        <w:t>rd</w:t>
      </w:r>
      <w:r>
        <w:rPr>
          <w:rFonts w:ascii="Times New Roman" w:eastAsia="Times New Roman" w:hAnsi="Times New Roman" w:cs="Times New Roman"/>
          <w:sz w:val="28"/>
        </w:rPr>
        <w:t>) – to the 2</w:t>
      </w:r>
      <w:r>
        <w:rPr>
          <w:rFonts w:ascii="Times New Roman" w:eastAsia="Times New Roman" w:hAnsi="Times New Roman" w:cs="Times New Roman"/>
          <w:sz w:val="28"/>
          <w:vertAlign w:val="superscript"/>
        </w:rPr>
        <w:t>nd</w:t>
      </w:r>
      <w:r>
        <w:rPr>
          <w:rFonts w:ascii="Times New Roman" w:eastAsia="Times New Roman" w:hAnsi="Times New Roman" w:cs="Times New Roman"/>
          <w:sz w:val="28"/>
        </w:rPr>
        <w:t xml:space="preserve"> </w:t>
      </w:r>
      <w:r>
        <w:rPr>
          <w:rFonts w:ascii="Times New Roman" w:eastAsia="Times New Roman" w:hAnsi="Times New Roman" w:cs="Times New Roman"/>
          <w:sz w:val="28"/>
        </w:rPr>
        <w:t>one.  Considering the supervised learning for the given training set, the network has correctly divided the input vectors into the clusters, which are the same with the target pairs. Disadvantage of the PNN is a  time complexity, the task is performed part</w:t>
      </w:r>
      <w:r>
        <w:rPr>
          <w:rFonts w:ascii="Times New Roman" w:eastAsia="Times New Roman" w:hAnsi="Times New Roman" w:cs="Times New Roman"/>
          <w:sz w:val="28"/>
        </w:rPr>
        <w:t xml:space="preserve">icularly slower as the number of the computations is high comparing with another neural networks.  </w:t>
      </w:r>
    </w:p>
    <w:p w:rsidR="0052701D" w:rsidRDefault="00D40929">
      <w:pPr>
        <w:numPr>
          <w:ilvl w:val="1"/>
          <w:numId w:val="21"/>
        </w:numPr>
        <w:spacing w:after="5" w:line="251" w:lineRule="auto"/>
        <w:ind w:hanging="494"/>
      </w:pPr>
      <w:r>
        <w:rPr>
          <w:rFonts w:ascii="Times New Roman" w:eastAsia="Times New Roman" w:hAnsi="Times New Roman" w:cs="Times New Roman"/>
          <w:b/>
          <w:sz w:val="28"/>
        </w:rPr>
        <w:t xml:space="preserve">Self - organizing maps  [15],  [16],  [17] </w:t>
      </w:r>
    </w:p>
    <w:p w:rsidR="0052701D" w:rsidRDefault="00D40929">
      <w:pPr>
        <w:spacing w:after="5" w:line="271" w:lineRule="auto"/>
        <w:ind w:left="9" w:right="64" w:firstLine="711"/>
        <w:jc w:val="both"/>
      </w:pPr>
      <w:r>
        <w:rPr>
          <w:rFonts w:ascii="Times New Roman" w:eastAsia="Times New Roman" w:hAnsi="Times New Roman" w:cs="Times New Roman"/>
          <w:sz w:val="28"/>
        </w:rPr>
        <w:t>Occasionally to solve clustering challenges an application of the Neural Network is appropriate. This approach i</w:t>
      </w:r>
      <w:r>
        <w:rPr>
          <w:rFonts w:ascii="Times New Roman" w:eastAsia="Times New Roman" w:hAnsi="Times New Roman" w:cs="Times New Roman"/>
          <w:sz w:val="28"/>
        </w:rPr>
        <w:t xml:space="preserve">ncludes several features such as: Artificial Neural Networks (ANN) perform efficiently in distributed systems and computing with large parallelization due to its nature; since Neural Networks adjust their weighted coefficients, based on the input data, it </w:t>
      </w:r>
      <w:r>
        <w:rPr>
          <w:rFonts w:ascii="Times New Roman" w:eastAsia="Times New Roman" w:hAnsi="Times New Roman" w:cs="Times New Roman"/>
          <w:sz w:val="28"/>
        </w:rPr>
        <w:t xml:space="preserve">helps to make the choice between significant less subjective. There is an excessive number of ANN, such as perceptron, radial-based networks, LVQ-networks, Self-organizing Kohonen maps, which are applied for clustering analysis. In this paper analysis and </w:t>
      </w:r>
      <w:r>
        <w:rPr>
          <w:rFonts w:ascii="Times New Roman" w:eastAsia="Times New Roman" w:hAnsi="Times New Roman" w:cs="Times New Roman"/>
          <w:sz w:val="28"/>
        </w:rPr>
        <w:t xml:space="preserve">modelling Self-organizing Kohonen maps is introduced. </w:t>
      </w:r>
    </w:p>
    <w:p w:rsidR="0052701D" w:rsidRDefault="00D40929">
      <w:pPr>
        <w:spacing w:after="5" w:line="271" w:lineRule="auto"/>
        <w:ind w:left="9" w:right="64" w:firstLine="711"/>
        <w:jc w:val="both"/>
      </w:pPr>
      <w:r>
        <w:rPr>
          <w:rFonts w:ascii="Times New Roman" w:eastAsia="Times New Roman" w:hAnsi="Times New Roman" w:cs="Times New Roman"/>
          <w:sz w:val="28"/>
        </w:rPr>
        <w:t>Self-organizing property is one of the appealing attributes of the neural networks [18]. Neurons of the defined network can be taught to elicit or detect groups/ clusters, which have some common proper</w:t>
      </w:r>
      <w:r>
        <w:rPr>
          <w:rFonts w:ascii="Times New Roman" w:eastAsia="Times New Roman" w:hAnsi="Times New Roman" w:cs="Times New Roman"/>
          <w:sz w:val="28"/>
        </w:rPr>
        <w:t xml:space="preserve">ties. The idea behind – training set consists merely from input variables data, during teaching process there is no comparing between an output of neurons and target values. It can be supposed, this network has been taught </w:t>
      </w:r>
      <w:r>
        <w:rPr>
          <w:rFonts w:ascii="Times New Roman" w:eastAsia="Times New Roman" w:hAnsi="Times New Roman" w:cs="Times New Roman"/>
          <w:sz w:val="28"/>
        </w:rPr>
        <w:lastRenderedPageBreak/>
        <w:t>analyzing the data structure itse</w:t>
      </w:r>
      <w:r>
        <w:rPr>
          <w:rFonts w:ascii="Times New Roman" w:eastAsia="Times New Roman" w:hAnsi="Times New Roman" w:cs="Times New Roman"/>
          <w:sz w:val="28"/>
        </w:rPr>
        <w:t>lf. The essential operating principle of the network is introducing the information, considering neuron’s location, into the teaching rule. The network had been taught by means of coherent or sequential approximation. During the process, the input data set</w:t>
      </w:r>
      <w:r>
        <w:rPr>
          <w:rFonts w:ascii="Times New Roman" w:eastAsia="Times New Roman" w:hAnsi="Times New Roman" w:cs="Times New Roman"/>
          <w:sz w:val="28"/>
        </w:rPr>
        <w:t xml:space="preserve"> has been being provided to the input layer, however, the network does not adapt (adjust) to the target output value, it adjusts the patterns to the input data (adapts to the regularities given as input). The teaching begins with randomly chosen output cen</w:t>
      </w:r>
      <w:r>
        <w:rPr>
          <w:rFonts w:ascii="Times New Roman" w:eastAsia="Times New Roman" w:hAnsi="Times New Roman" w:cs="Times New Roman"/>
          <w:sz w:val="28"/>
        </w:rPr>
        <w:t>tres locations. In the course of network’s unsupervised learning, as the training sets are progressively provided to the network’s input, the most similar neuron is defined, which has minimum scalar product of weights and the given input vector. This neuro</w:t>
      </w:r>
      <w:r>
        <w:rPr>
          <w:rFonts w:ascii="Times New Roman" w:eastAsia="Times New Roman" w:hAnsi="Times New Roman" w:cs="Times New Roman"/>
          <w:sz w:val="28"/>
        </w:rPr>
        <w:t>n is the winner and considered to be a center, while the process of setting the weights of the neighbouring neurons has being accepted. This type of teaching is supposed to have “competitive” character, taking into consideration the “neuron- neuron-winner”</w:t>
      </w:r>
      <w:r>
        <w:rPr>
          <w:rFonts w:ascii="Times New Roman" w:eastAsia="Times New Roman" w:hAnsi="Times New Roman" w:cs="Times New Roman"/>
          <w:sz w:val="28"/>
        </w:rPr>
        <w:t xml:space="preserve"> distance.  Consequently, the teaching method lay in the fact that it is not about minimizing error, it is about setting linkage’s weights (inner parameters of the network) to achieve the largest similarity with the input data. </w:t>
      </w:r>
    </w:p>
    <w:p w:rsidR="0052701D" w:rsidRDefault="00D40929">
      <w:pPr>
        <w:pStyle w:val="6"/>
        <w:spacing w:after="5" w:line="251" w:lineRule="auto"/>
        <w:ind w:left="720" w:firstLine="9"/>
      </w:pPr>
      <w:r>
        <w:rPr>
          <w:sz w:val="28"/>
        </w:rPr>
        <w:t>1.2.1 Modelling the Self-Or</w:t>
      </w:r>
      <w:r>
        <w:rPr>
          <w:sz w:val="28"/>
        </w:rPr>
        <w:t xml:space="preserve">ganizing network </w:t>
      </w:r>
    </w:p>
    <w:p w:rsidR="0052701D" w:rsidRDefault="00D40929">
      <w:pPr>
        <w:spacing w:after="5" w:line="271" w:lineRule="auto"/>
        <w:ind w:left="9" w:right="64" w:firstLine="711"/>
        <w:jc w:val="both"/>
      </w:pPr>
      <w:r>
        <w:rPr>
          <w:rFonts w:ascii="Times New Roman" w:eastAsia="Times New Roman" w:hAnsi="Times New Roman" w:cs="Times New Roman"/>
          <w:sz w:val="28"/>
        </w:rPr>
        <w:t>In order to test the Kohonen map for  the clustering process the further examinations have been provided. The task is to cluster the given input data set (figure 10 (a)) and determine their centers. In addition, the trained network has to identify the clus</w:t>
      </w:r>
      <w:r>
        <w:rPr>
          <w:rFonts w:ascii="Times New Roman" w:eastAsia="Times New Roman" w:hAnsi="Times New Roman" w:cs="Times New Roman"/>
          <w:sz w:val="28"/>
        </w:rPr>
        <w:t>ter of the received a new vector. On the Figure 10 (b) the network identified the newly introduced vector to the 3</w:t>
      </w:r>
      <w:r>
        <w:rPr>
          <w:rFonts w:ascii="Times New Roman" w:eastAsia="Times New Roman" w:hAnsi="Times New Roman" w:cs="Times New Roman"/>
          <w:sz w:val="28"/>
          <w:vertAlign w:val="superscript"/>
        </w:rPr>
        <w:t>rd</w:t>
      </w:r>
      <w:r>
        <w:rPr>
          <w:rFonts w:ascii="Times New Roman" w:eastAsia="Times New Roman" w:hAnsi="Times New Roman" w:cs="Times New Roman"/>
          <w:sz w:val="28"/>
        </w:rPr>
        <w:t xml:space="preserve"> cluster, on the figure 10 (c) – to the 1</w:t>
      </w:r>
      <w:r>
        <w:rPr>
          <w:rFonts w:ascii="Times New Roman" w:eastAsia="Times New Roman" w:hAnsi="Times New Roman" w:cs="Times New Roman"/>
          <w:sz w:val="28"/>
          <w:vertAlign w:val="superscript"/>
        </w:rPr>
        <w:t>st</w:t>
      </w:r>
      <w:r>
        <w:rPr>
          <w:rFonts w:ascii="Times New Roman" w:eastAsia="Times New Roman" w:hAnsi="Times New Roman" w:cs="Times New Roman"/>
          <w:sz w:val="28"/>
        </w:rPr>
        <w:t xml:space="preserve"> cluster. </w:t>
      </w:r>
    </w:p>
    <w:p w:rsidR="0052701D" w:rsidRDefault="00D40929">
      <w:pPr>
        <w:spacing w:after="5" w:line="271" w:lineRule="auto"/>
        <w:ind w:left="9" w:right="64" w:firstLine="567"/>
        <w:jc w:val="both"/>
      </w:pPr>
      <w:r>
        <w:rPr>
          <w:rFonts w:ascii="Times New Roman" w:eastAsia="Times New Roman" w:hAnsi="Times New Roman" w:cs="Times New Roman"/>
          <w:sz w:val="28"/>
        </w:rPr>
        <w:t>For the final example, implement of the Self-organizing Map (SOM) for 2dimantional vec</w:t>
      </w:r>
      <w:r>
        <w:rPr>
          <w:rFonts w:ascii="Times New Roman" w:eastAsia="Times New Roman" w:hAnsi="Times New Roman" w:cs="Times New Roman"/>
          <w:sz w:val="28"/>
        </w:rPr>
        <w:t>tors is provided. With the usage of SOM, the input vectors are clustered and their centers are revealed, then another new input vector is introduced, for which its cluster is determined.</w:t>
      </w:r>
      <w:r>
        <w:rPr>
          <w:sz w:val="28"/>
        </w:rPr>
        <w:t xml:space="preserve"> </w:t>
      </w:r>
      <w:r>
        <w:rPr>
          <w:rFonts w:ascii="Times New Roman" w:eastAsia="Times New Roman" w:hAnsi="Times New Roman" w:cs="Times New Roman"/>
          <w:sz w:val="28"/>
        </w:rPr>
        <w:t>For the input vector t = [0.8;0.4], Self-Organizing Map matched it to</w:t>
      </w:r>
      <w:r>
        <w:rPr>
          <w:rFonts w:ascii="Times New Roman" w:eastAsia="Times New Roman" w:hAnsi="Times New Roman" w:cs="Times New Roman"/>
          <w:sz w:val="28"/>
        </w:rPr>
        <w:t xml:space="preserve"> the 2nd cluster. </w:t>
      </w:r>
    </w:p>
    <w:p w:rsidR="0052701D" w:rsidRDefault="00D40929">
      <w:pPr>
        <w:spacing w:after="0"/>
        <w:ind w:left="711"/>
      </w:pPr>
      <w:r>
        <w:rPr>
          <w:rFonts w:ascii="Times New Roman" w:eastAsia="Times New Roman" w:hAnsi="Times New Roman" w:cs="Times New Roman"/>
          <w:sz w:val="28"/>
        </w:rPr>
        <w:t xml:space="preserve"> </w:t>
      </w:r>
    </w:p>
    <w:p w:rsidR="0052701D" w:rsidRDefault="00D40929">
      <w:pPr>
        <w:spacing w:after="0"/>
        <w:ind w:left="711"/>
      </w:pPr>
      <w:r>
        <w:rPr>
          <w:rFonts w:ascii="Times New Roman" w:eastAsia="Times New Roman" w:hAnsi="Times New Roman" w:cs="Times New Roman"/>
        </w:rPr>
        <w:t xml:space="preserve"> </w:t>
      </w:r>
    </w:p>
    <w:p w:rsidR="0052701D" w:rsidRDefault="00D40929">
      <w:pPr>
        <w:spacing w:after="127"/>
        <w:ind w:left="115"/>
      </w:pPr>
      <w:r>
        <w:rPr>
          <w:noProof/>
        </w:rPr>
        <mc:AlternateContent>
          <mc:Choice Requires="wpg">
            <w:drawing>
              <wp:inline distT="0" distB="0" distL="0" distR="0">
                <wp:extent cx="5899404" cy="1807015"/>
                <wp:effectExtent l="0" t="0" r="0" b="0"/>
                <wp:docPr id="934354" name="Group 934354"/>
                <wp:cNvGraphicFramePr/>
                <a:graphic xmlns:a="http://schemas.openxmlformats.org/drawingml/2006/main">
                  <a:graphicData uri="http://schemas.microsoft.com/office/word/2010/wordprocessingGroup">
                    <wpg:wgp>
                      <wpg:cNvGrpSpPr/>
                      <wpg:grpSpPr>
                        <a:xfrm>
                          <a:off x="0" y="0"/>
                          <a:ext cx="5899404" cy="1807015"/>
                          <a:chOff x="0" y="0"/>
                          <a:chExt cx="5899404" cy="1807015"/>
                        </a:xfrm>
                      </wpg:grpSpPr>
                      <wps:wsp>
                        <wps:cNvPr id="19080" name="Rectangle 19080"/>
                        <wps:cNvSpPr/>
                        <wps:spPr>
                          <a:xfrm>
                            <a:off x="884555" y="1612182"/>
                            <a:ext cx="82767" cy="206429"/>
                          </a:xfrm>
                          <a:prstGeom prst="rect">
                            <a:avLst/>
                          </a:prstGeom>
                          <a:ln>
                            <a:noFill/>
                          </a:ln>
                        </wps:spPr>
                        <wps:txbx>
                          <w:txbxContent>
                            <w:p w:rsidR="0052701D" w:rsidRDefault="00D40929">
                              <w:r>
                                <w:rPr>
                                  <w:rFonts w:ascii="Times New Roman" w:eastAsia="Times New Roman" w:hAnsi="Times New Roman" w:cs="Times New Roman"/>
                                </w:rPr>
                                <w:t>a</w:t>
                              </w:r>
                            </w:p>
                          </w:txbxContent>
                        </wps:txbx>
                        <wps:bodyPr horzOverflow="overflow" vert="horz" lIns="0" tIns="0" rIns="0" bIns="0" rtlCol="0">
                          <a:noAutofit/>
                        </wps:bodyPr>
                      </wps:wsp>
                      <wps:wsp>
                        <wps:cNvPr id="19081" name="Rectangle 19081"/>
                        <wps:cNvSpPr/>
                        <wps:spPr>
                          <a:xfrm>
                            <a:off x="945515" y="1612182"/>
                            <a:ext cx="46619" cy="206429"/>
                          </a:xfrm>
                          <a:prstGeom prst="rect">
                            <a:avLst/>
                          </a:prstGeom>
                          <a:ln>
                            <a:noFill/>
                          </a:ln>
                        </wps:spPr>
                        <wps:txbx>
                          <w:txbxContent>
                            <w:p w:rsidR="0052701D" w:rsidRDefault="00D40929">
                              <w:r>
                                <w:rPr>
                                  <w:rFonts w:ascii="Times New Roman" w:eastAsia="Times New Roman" w:hAnsi="Times New Roman" w:cs="Times New Roman"/>
                                </w:rPr>
                                <w:t xml:space="preserve"> </w:t>
                              </w:r>
                            </w:p>
                          </w:txbxContent>
                        </wps:txbx>
                        <wps:bodyPr horzOverflow="overflow" vert="horz" lIns="0" tIns="0" rIns="0" bIns="0" rtlCol="0">
                          <a:noAutofit/>
                        </wps:bodyPr>
                      </wps:wsp>
                      <wps:wsp>
                        <wps:cNvPr id="19082" name="Rectangle 19082"/>
                        <wps:cNvSpPr/>
                        <wps:spPr>
                          <a:xfrm>
                            <a:off x="2805684" y="1651805"/>
                            <a:ext cx="93238" cy="206429"/>
                          </a:xfrm>
                          <a:prstGeom prst="rect">
                            <a:avLst/>
                          </a:prstGeom>
                          <a:ln>
                            <a:noFill/>
                          </a:ln>
                        </wps:spPr>
                        <wps:txbx>
                          <w:txbxContent>
                            <w:p w:rsidR="0052701D" w:rsidRDefault="00D40929">
                              <w:r>
                                <w:rPr>
                                  <w:rFonts w:ascii="Times New Roman" w:eastAsia="Times New Roman" w:hAnsi="Times New Roman" w:cs="Times New Roman"/>
                                </w:rPr>
                                <w:t>b</w:t>
                              </w:r>
                            </w:p>
                          </w:txbxContent>
                        </wps:txbx>
                        <wps:bodyPr horzOverflow="overflow" vert="horz" lIns="0" tIns="0" rIns="0" bIns="0" rtlCol="0">
                          <a:noAutofit/>
                        </wps:bodyPr>
                      </wps:wsp>
                      <wps:wsp>
                        <wps:cNvPr id="19083" name="Rectangle 19083"/>
                        <wps:cNvSpPr/>
                        <wps:spPr>
                          <a:xfrm>
                            <a:off x="2875788" y="1651805"/>
                            <a:ext cx="46619" cy="206429"/>
                          </a:xfrm>
                          <a:prstGeom prst="rect">
                            <a:avLst/>
                          </a:prstGeom>
                          <a:ln>
                            <a:noFill/>
                          </a:ln>
                        </wps:spPr>
                        <wps:txbx>
                          <w:txbxContent>
                            <w:p w:rsidR="0052701D" w:rsidRDefault="00D40929">
                              <w:r>
                                <w:rPr>
                                  <w:rFonts w:ascii="Times New Roman" w:eastAsia="Times New Roman" w:hAnsi="Times New Roman" w:cs="Times New Roman"/>
                                </w:rPr>
                                <w:t xml:space="preserve"> </w:t>
                              </w:r>
                            </w:p>
                          </w:txbxContent>
                        </wps:txbx>
                        <wps:bodyPr horzOverflow="overflow" vert="horz" lIns="0" tIns="0" rIns="0" bIns="0" rtlCol="0">
                          <a:noAutofit/>
                        </wps:bodyPr>
                      </wps:wsp>
                      <wps:wsp>
                        <wps:cNvPr id="19084" name="Rectangle 19084"/>
                        <wps:cNvSpPr/>
                        <wps:spPr>
                          <a:xfrm>
                            <a:off x="4705223" y="1584368"/>
                            <a:ext cx="82767" cy="206429"/>
                          </a:xfrm>
                          <a:prstGeom prst="rect">
                            <a:avLst/>
                          </a:prstGeom>
                          <a:ln>
                            <a:noFill/>
                          </a:ln>
                        </wps:spPr>
                        <wps:txbx>
                          <w:txbxContent>
                            <w:p w:rsidR="0052701D" w:rsidRDefault="00D40929">
                              <w:r>
                                <w:rPr>
                                  <w:rFonts w:ascii="Times New Roman" w:eastAsia="Times New Roman" w:hAnsi="Times New Roman" w:cs="Times New Roman"/>
                                </w:rPr>
                                <w:t>c</w:t>
                              </w:r>
                            </w:p>
                          </w:txbxContent>
                        </wps:txbx>
                        <wps:bodyPr horzOverflow="overflow" vert="horz" lIns="0" tIns="0" rIns="0" bIns="0" rtlCol="0">
                          <a:noAutofit/>
                        </wps:bodyPr>
                      </wps:wsp>
                      <wps:wsp>
                        <wps:cNvPr id="19085" name="Rectangle 19085"/>
                        <wps:cNvSpPr/>
                        <wps:spPr>
                          <a:xfrm>
                            <a:off x="4766183" y="1584368"/>
                            <a:ext cx="46619" cy="206429"/>
                          </a:xfrm>
                          <a:prstGeom prst="rect">
                            <a:avLst/>
                          </a:prstGeom>
                          <a:ln>
                            <a:noFill/>
                          </a:ln>
                        </wps:spPr>
                        <wps:txbx>
                          <w:txbxContent>
                            <w:p w:rsidR="0052701D" w:rsidRDefault="00D40929">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1048698" name="Picture 1048698"/>
                          <pic:cNvPicPr/>
                        </pic:nvPicPr>
                        <pic:blipFill>
                          <a:blip r:embed="rId244"/>
                          <a:stretch>
                            <a:fillRect/>
                          </a:stretch>
                        </pic:blipFill>
                        <pic:spPr>
                          <a:xfrm>
                            <a:off x="-2031" y="-2031"/>
                            <a:ext cx="1978152" cy="1594104"/>
                          </a:xfrm>
                          <a:prstGeom prst="rect">
                            <a:avLst/>
                          </a:prstGeom>
                        </pic:spPr>
                      </pic:pic>
                      <pic:pic xmlns:pic="http://schemas.openxmlformats.org/drawingml/2006/picture">
                        <pic:nvPicPr>
                          <pic:cNvPr id="1048699" name="Picture 1048699"/>
                          <pic:cNvPicPr/>
                        </pic:nvPicPr>
                        <pic:blipFill>
                          <a:blip r:embed="rId245"/>
                          <a:stretch>
                            <a:fillRect/>
                          </a:stretch>
                        </pic:blipFill>
                        <pic:spPr>
                          <a:xfrm>
                            <a:off x="1979168" y="-2031"/>
                            <a:ext cx="1874520" cy="1645921"/>
                          </a:xfrm>
                          <a:prstGeom prst="rect">
                            <a:avLst/>
                          </a:prstGeom>
                        </pic:spPr>
                      </pic:pic>
                      <pic:pic xmlns:pic="http://schemas.openxmlformats.org/drawingml/2006/picture">
                        <pic:nvPicPr>
                          <pic:cNvPr id="1048700" name="Picture 1048700"/>
                          <pic:cNvPicPr/>
                        </pic:nvPicPr>
                        <pic:blipFill>
                          <a:blip r:embed="rId246"/>
                          <a:stretch>
                            <a:fillRect/>
                          </a:stretch>
                        </pic:blipFill>
                        <pic:spPr>
                          <a:xfrm>
                            <a:off x="3849624" y="-2031"/>
                            <a:ext cx="1911097" cy="1578864"/>
                          </a:xfrm>
                          <a:prstGeom prst="rect">
                            <a:avLst/>
                          </a:prstGeom>
                        </pic:spPr>
                      </pic:pic>
                      <wps:wsp>
                        <wps:cNvPr id="19099" name="Shape 19099"/>
                        <wps:cNvSpPr/>
                        <wps:spPr>
                          <a:xfrm>
                            <a:off x="2116836" y="53341"/>
                            <a:ext cx="563880" cy="463296"/>
                          </a:xfrm>
                          <a:custGeom>
                            <a:avLst/>
                            <a:gdLst/>
                            <a:ahLst/>
                            <a:cxnLst/>
                            <a:rect l="0" t="0" r="0" b="0"/>
                            <a:pathLst>
                              <a:path w="563880" h="463296">
                                <a:moveTo>
                                  <a:pt x="0" y="231648"/>
                                </a:moveTo>
                                <a:cubicBezTo>
                                  <a:pt x="0" y="103759"/>
                                  <a:pt x="126238" y="0"/>
                                  <a:pt x="281940" y="0"/>
                                </a:cubicBezTo>
                                <a:cubicBezTo>
                                  <a:pt x="437642" y="0"/>
                                  <a:pt x="563880" y="103759"/>
                                  <a:pt x="563880" y="231648"/>
                                </a:cubicBezTo>
                                <a:cubicBezTo>
                                  <a:pt x="563880" y="359536"/>
                                  <a:pt x="437642" y="463296"/>
                                  <a:pt x="281940" y="463296"/>
                                </a:cubicBezTo>
                                <a:cubicBezTo>
                                  <a:pt x="126238" y="463296"/>
                                  <a:pt x="0" y="359536"/>
                                  <a:pt x="0" y="231648"/>
                                </a:cubicBez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19100" name="Rectangle 19100"/>
                        <wps:cNvSpPr/>
                        <wps:spPr>
                          <a:xfrm>
                            <a:off x="2293366" y="201803"/>
                            <a:ext cx="134993" cy="206453"/>
                          </a:xfrm>
                          <a:prstGeom prst="rect">
                            <a:avLst/>
                          </a:prstGeom>
                          <a:ln>
                            <a:noFill/>
                          </a:ln>
                        </wps:spPr>
                        <wps:txbx>
                          <w:txbxContent>
                            <w:p w:rsidR="0052701D" w:rsidRDefault="00D40929">
                              <w:r>
                                <w:rPr>
                                  <w:sz w:val="24"/>
                                </w:rPr>
                                <w:t xml:space="preserve">   </w:t>
                              </w:r>
                            </w:p>
                          </w:txbxContent>
                        </wps:txbx>
                        <wps:bodyPr horzOverflow="overflow" vert="horz" lIns="0" tIns="0" rIns="0" bIns="0" rtlCol="0">
                          <a:noAutofit/>
                        </wps:bodyPr>
                      </wps:wsp>
                      <wps:wsp>
                        <wps:cNvPr id="19101" name="Rectangle 19101"/>
                        <wps:cNvSpPr/>
                        <wps:spPr>
                          <a:xfrm>
                            <a:off x="2293366" y="381636"/>
                            <a:ext cx="141130" cy="173420"/>
                          </a:xfrm>
                          <a:prstGeom prst="rect">
                            <a:avLst/>
                          </a:prstGeom>
                          <a:ln>
                            <a:noFill/>
                          </a:ln>
                        </wps:spPr>
                        <wps:txbx>
                          <w:txbxContent>
                            <w:p w:rsidR="0052701D" w:rsidRDefault="00D40929">
                              <w:r>
                                <w:rPr>
                                  <w:sz w:val="20"/>
                                </w:rPr>
                                <w:t>IV</w:t>
                              </w:r>
                            </w:p>
                          </w:txbxContent>
                        </wps:txbx>
                        <wps:bodyPr horzOverflow="overflow" vert="horz" lIns="0" tIns="0" rIns="0" bIns="0" rtlCol="0">
                          <a:noAutofit/>
                        </wps:bodyPr>
                      </wps:wsp>
                      <wps:wsp>
                        <wps:cNvPr id="19102" name="Rectangle 19102"/>
                        <wps:cNvSpPr/>
                        <wps:spPr>
                          <a:xfrm>
                            <a:off x="2396998" y="363348"/>
                            <a:ext cx="45808" cy="206453"/>
                          </a:xfrm>
                          <a:prstGeom prst="rect">
                            <a:avLst/>
                          </a:prstGeom>
                          <a:ln>
                            <a:noFill/>
                          </a:ln>
                        </wps:spPr>
                        <wps:txbx>
                          <w:txbxContent>
                            <w:p w:rsidR="0052701D" w:rsidRDefault="00D40929">
                              <w:r>
                                <w:rPr>
                                  <w:sz w:val="24"/>
                                </w:rPr>
                                <w:t xml:space="preserve"> </w:t>
                              </w:r>
                            </w:p>
                          </w:txbxContent>
                        </wps:txbx>
                        <wps:bodyPr horzOverflow="overflow" vert="horz" lIns="0" tIns="0" rIns="0" bIns="0" rtlCol="0">
                          <a:noAutofit/>
                        </wps:bodyPr>
                      </wps:wsp>
                      <wps:wsp>
                        <wps:cNvPr id="19103" name="Shape 19103"/>
                        <wps:cNvSpPr/>
                        <wps:spPr>
                          <a:xfrm>
                            <a:off x="2714244" y="53341"/>
                            <a:ext cx="996696" cy="609600"/>
                          </a:xfrm>
                          <a:custGeom>
                            <a:avLst/>
                            <a:gdLst/>
                            <a:ahLst/>
                            <a:cxnLst/>
                            <a:rect l="0" t="0" r="0" b="0"/>
                            <a:pathLst>
                              <a:path w="996696" h="609600">
                                <a:moveTo>
                                  <a:pt x="0" y="304800"/>
                                </a:moveTo>
                                <a:cubicBezTo>
                                  <a:pt x="0" y="136525"/>
                                  <a:pt x="223139" y="0"/>
                                  <a:pt x="498348" y="0"/>
                                </a:cubicBezTo>
                                <a:cubicBezTo>
                                  <a:pt x="773557" y="0"/>
                                  <a:pt x="996696" y="136525"/>
                                  <a:pt x="996696" y="304800"/>
                                </a:cubicBezTo>
                                <a:cubicBezTo>
                                  <a:pt x="996696" y="473075"/>
                                  <a:pt x="773557" y="609600"/>
                                  <a:pt x="498348" y="609600"/>
                                </a:cubicBezTo>
                                <a:cubicBezTo>
                                  <a:pt x="223139" y="609600"/>
                                  <a:pt x="0" y="473075"/>
                                  <a:pt x="0" y="304800"/>
                                </a:cubicBez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19104" name="Rectangle 19104"/>
                        <wps:cNvSpPr/>
                        <wps:spPr>
                          <a:xfrm>
                            <a:off x="2955036" y="220091"/>
                            <a:ext cx="127866" cy="173420"/>
                          </a:xfrm>
                          <a:prstGeom prst="rect">
                            <a:avLst/>
                          </a:prstGeom>
                          <a:ln>
                            <a:noFill/>
                          </a:ln>
                        </wps:spPr>
                        <wps:txbx>
                          <w:txbxContent>
                            <w:p w:rsidR="0052701D" w:rsidRDefault="00D40929">
                              <w:r>
                                <w:rPr>
                                  <w:sz w:val="20"/>
                                </w:rPr>
                                <w:t>III</w:t>
                              </w:r>
                            </w:p>
                          </w:txbxContent>
                        </wps:txbx>
                        <wps:bodyPr horzOverflow="overflow" vert="horz" lIns="0" tIns="0" rIns="0" bIns="0" rtlCol="0">
                          <a:noAutofit/>
                        </wps:bodyPr>
                      </wps:wsp>
                      <wps:wsp>
                        <wps:cNvPr id="19105" name="Rectangle 19105"/>
                        <wps:cNvSpPr/>
                        <wps:spPr>
                          <a:xfrm>
                            <a:off x="3049524" y="201803"/>
                            <a:ext cx="45808" cy="206453"/>
                          </a:xfrm>
                          <a:prstGeom prst="rect">
                            <a:avLst/>
                          </a:prstGeom>
                          <a:ln>
                            <a:noFill/>
                          </a:ln>
                        </wps:spPr>
                        <wps:txbx>
                          <w:txbxContent>
                            <w:p w:rsidR="0052701D" w:rsidRDefault="00D40929">
                              <w:r>
                                <w:rPr>
                                  <w:sz w:val="24"/>
                                </w:rPr>
                                <w:t xml:space="preserve"> </w:t>
                              </w:r>
                            </w:p>
                          </w:txbxContent>
                        </wps:txbx>
                        <wps:bodyPr horzOverflow="overflow" vert="horz" lIns="0" tIns="0" rIns="0" bIns="0" rtlCol="0">
                          <a:noAutofit/>
                        </wps:bodyPr>
                      </wps:wsp>
                      <wps:wsp>
                        <wps:cNvPr id="19106" name="Shape 19106"/>
                        <wps:cNvSpPr/>
                        <wps:spPr>
                          <a:xfrm>
                            <a:off x="3448812" y="598932"/>
                            <a:ext cx="432816" cy="393192"/>
                          </a:xfrm>
                          <a:custGeom>
                            <a:avLst/>
                            <a:gdLst/>
                            <a:ahLst/>
                            <a:cxnLst/>
                            <a:rect l="0" t="0" r="0" b="0"/>
                            <a:pathLst>
                              <a:path w="432816" h="393192">
                                <a:moveTo>
                                  <a:pt x="0" y="196596"/>
                                </a:moveTo>
                                <a:cubicBezTo>
                                  <a:pt x="0" y="88011"/>
                                  <a:pt x="96901" y="0"/>
                                  <a:pt x="216408" y="0"/>
                                </a:cubicBezTo>
                                <a:cubicBezTo>
                                  <a:pt x="335915" y="0"/>
                                  <a:pt x="432816" y="88011"/>
                                  <a:pt x="432816" y="196596"/>
                                </a:cubicBezTo>
                                <a:cubicBezTo>
                                  <a:pt x="432816" y="305181"/>
                                  <a:pt x="335915" y="393192"/>
                                  <a:pt x="216408" y="393192"/>
                                </a:cubicBezTo>
                                <a:cubicBezTo>
                                  <a:pt x="96901" y="393192"/>
                                  <a:pt x="0" y="305181"/>
                                  <a:pt x="0" y="196596"/>
                                </a:cubicBez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19107" name="Rectangle 19107"/>
                        <wps:cNvSpPr/>
                        <wps:spPr>
                          <a:xfrm>
                            <a:off x="3610610" y="729362"/>
                            <a:ext cx="87497" cy="173420"/>
                          </a:xfrm>
                          <a:prstGeom prst="rect">
                            <a:avLst/>
                          </a:prstGeom>
                          <a:ln>
                            <a:noFill/>
                          </a:ln>
                        </wps:spPr>
                        <wps:txbx>
                          <w:txbxContent>
                            <w:p w:rsidR="0052701D" w:rsidRDefault="00D40929">
                              <w:r>
                                <w:rPr>
                                  <w:sz w:val="20"/>
                                </w:rPr>
                                <w:t>II</w:t>
                              </w:r>
                            </w:p>
                          </w:txbxContent>
                        </wps:txbx>
                        <wps:bodyPr horzOverflow="overflow" vert="horz" lIns="0" tIns="0" rIns="0" bIns="0" rtlCol="0">
                          <a:noAutofit/>
                        </wps:bodyPr>
                      </wps:wsp>
                      <wps:wsp>
                        <wps:cNvPr id="19108" name="Rectangle 19108"/>
                        <wps:cNvSpPr/>
                        <wps:spPr>
                          <a:xfrm>
                            <a:off x="3674618" y="711074"/>
                            <a:ext cx="45808" cy="206453"/>
                          </a:xfrm>
                          <a:prstGeom prst="rect">
                            <a:avLst/>
                          </a:prstGeom>
                          <a:ln>
                            <a:noFill/>
                          </a:ln>
                        </wps:spPr>
                        <wps:txbx>
                          <w:txbxContent>
                            <w:p w:rsidR="0052701D" w:rsidRDefault="00D40929">
                              <w:r>
                                <w:rPr>
                                  <w:sz w:val="24"/>
                                </w:rPr>
                                <w:t xml:space="preserve"> </w:t>
                              </w:r>
                            </w:p>
                          </w:txbxContent>
                        </wps:txbx>
                        <wps:bodyPr horzOverflow="overflow" vert="horz" lIns="0" tIns="0" rIns="0" bIns="0" rtlCol="0">
                          <a:noAutofit/>
                        </wps:bodyPr>
                      </wps:wsp>
                      <wps:wsp>
                        <wps:cNvPr id="19109" name="Shape 19109"/>
                        <wps:cNvSpPr/>
                        <wps:spPr>
                          <a:xfrm>
                            <a:off x="3400044" y="1080516"/>
                            <a:ext cx="432816" cy="393192"/>
                          </a:xfrm>
                          <a:custGeom>
                            <a:avLst/>
                            <a:gdLst/>
                            <a:ahLst/>
                            <a:cxnLst/>
                            <a:rect l="0" t="0" r="0" b="0"/>
                            <a:pathLst>
                              <a:path w="432816" h="393192">
                                <a:moveTo>
                                  <a:pt x="0" y="196597"/>
                                </a:moveTo>
                                <a:cubicBezTo>
                                  <a:pt x="0" y="88011"/>
                                  <a:pt x="96901" y="0"/>
                                  <a:pt x="216408" y="0"/>
                                </a:cubicBezTo>
                                <a:cubicBezTo>
                                  <a:pt x="335915" y="0"/>
                                  <a:pt x="432816" y="88011"/>
                                  <a:pt x="432816" y="196597"/>
                                </a:cubicBezTo>
                                <a:cubicBezTo>
                                  <a:pt x="432816" y="305181"/>
                                  <a:pt x="335915" y="393192"/>
                                  <a:pt x="216408" y="393192"/>
                                </a:cubicBezTo>
                                <a:cubicBezTo>
                                  <a:pt x="96901" y="393192"/>
                                  <a:pt x="0" y="305181"/>
                                  <a:pt x="0" y="196597"/>
                                </a:cubicBez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19110" name="Rectangle 19110"/>
                        <wps:cNvSpPr/>
                        <wps:spPr>
                          <a:xfrm>
                            <a:off x="3558794" y="1213993"/>
                            <a:ext cx="42906" cy="173420"/>
                          </a:xfrm>
                          <a:prstGeom prst="rect">
                            <a:avLst/>
                          </a:prstGeom>
                          <a:ln>
                            <a:noFill/>
                          </a:ln>
                        </wps:spPr>
                        <wps:txbx>
                          <w:txbxContent>
                            <w:p w:rsidR="0052701D" w:rsidRDefault="00D40929">
                              <w:r>
                                <w:rPr>
                                  <w:sz w:val="20"/>
                                </w:rPr>
                                <w:t>I</w:t>
                              </w:r>
                            </w:p>
                          </w:txbxContent>
                        </wps:txbx>
                        <wps:bodyPr horzOverflow="overflow" vert="horz" lIns="0" tIns="0" rIns="0" bIns="0" rtlCol="0">
                          <a:noAutofit/>
                        </wps:bodyPr>
                      </wps:wsp>
                      <wps:wsp>
                        <wps:cNvPr id="19111" name="Rectangle 19111"/>
                        <wps:cNvSpPr/>
                        <wps:spPr>
                          <a:xfrm>
                            <a:off x="3589274" y="1195705"/>
                            <a:ext cx="45808" cy="206453"/>
                          </a:xfrm>
                          <a:prstGeom prst="rect">
                            <a:avLst/>
                          </a:prstGeom>
                          <a:ln>
                            <a:noFill/>
                          </a:ln>
                        </wps:spPr>
                        <wps:txbx>
                          <w:txbxContent>
                            <w:p w:rsidR="0052701D" w:rsidRDefault="00D40929">
                              <w:r>
                                <w:rPr>
                                  <w:sz w:val="24"/>
                                </w:rPr>
                                <w:t xml:space="preserve"> </w:t>
                              </w:r>
                            </w:p>
                          </w:txbxContent>
                        </wps:txbx>
                        <wps:bodyPr horzOverflow="overflow" vert="horz" lIns="0" tIns="0" rIns="0" bIns="0" rtlCol="0">
                          <a:noAutofit/>
                        </wps:bodyPr>
                      </wps:wsp>
                      <wps:wsp>
                        <wps:cNvPr id="19112" name="Shape 19112"/>
                        <wps:cNvSpPr/>
                        <wps:spPr>
                          <a:xfrm>
                            <a:off x="5466588" y="498349"/>
                            <a:ext cx="432816" cy="390144"/>
                          </a:xfrm>
                          <a:custGeom>
                            <a:avLst/>
                            <a:gdLst/>
                            <a:ahLst/>
                            <a:cxnLst/>
                            <a:rect l="0" t="0" r="0" b="0"/>
                            <a:pathLst>
                              <a:path w="432816" h="390144">
                                <a:moveTo>
                                  <a:pt x="0" y="195072"/>
                                </a:moveTo>
                                <a:cubicBezTo>
                                  <a:pt x="0" y="87376"/>
                                  <a:pt x="96901" y="0"/>
                                  <a:pt x="216408" y="0"/>
                                </a:cubicBezTo>
                                <a:cubicBezTo>
                                  <a:pt x="335915" y="0"/>
                                  <a:pt x="432816" y="87376"/>
                                  <a:pt x="432816" y="195072"/>
                                </a:cubicBezTo>
                                <a:cubicBezTo>
                                  <a:pt x="432816" y="302768"/>
                                  <a:pt x="335915" y="390144"/>
                                  <a:pt x="216408" y="390144"/>
                                </a:cubicBezTo>
                                <a:cubicBezTo>
                                  <a:pt x="96901" y="390144"/>
                                  <a:pt x="0" y="302768"/>
                                  <a:pt x="0" y="195072"/>
                                </a:cubicBez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19113" name="Rectangle 19113"/>
                        <wps:cNvSpPr/>
                        <wps:spPr>
                          <a:xfrm>
                            <a:off x="5625973" y="637922"/>
                            <a:ext cx="103778" cy="206453"/>
                          </a:xfrm>
                          <a:prstGeom prst="rect">
                            <a:avLst/>
                          </a:prstGeom>
                          <a:ln>
                            <a:noFill/>
                          </a:ln>
                        </wps:spPr>
                        <wps:txbx>
                          <w:txbxContent>
                            <w:p w:rsidR="0052701D" w:rsidRDefault="00D40929">
                              <w:r>
                                <w:rPr>
                                  <w:sz w:val="24"/>
                                </w:rPr>
                                <w:t>II</w:t>
                              </w:r>
                            </w:p>
                          </w:txbxContent>
                        </wps:txbx>
                        <wps:bodyPr horzOverflow="overflow" vert="horz" lIns="0" tIns="0" rIns="0" bIns="0" rtlCol="0">
                          <a:noAutofit/>
                        </wps:bodyPr>
                      </wps:wsp>
                      <wps:wsp>
                        <wps:cNvPr id="19114" name="Rectangle 19114"/>
                        <wps:cNvSpPr/>
                        <wps:spPr>
                          <a:xfrm>
                            <a:off x="5702554" y="637922"/>
                            <a:ext cx="45808" cy="206453"/>
                          </a:xfrm>
                          <a:prstGeom prst="rect">
                            <a:avLst/>
                          </a:prstGeom>
                          <a:ln>
                            <a:noFill/>
                          </a:ln>
                        </wps:spPr>
                        <wps:txbx>
                          <w:txbxContent>
                            <w:p w:rsidR="0052701D" w:rsidRDefault="00D40929">
                              <w:r>
                                <w:rPr>
                                  <w:sz w:val="24"/>
                                </w:rPr>
                                <w:t xml:space="preserve"> </w:t>
                              </w:r>
                            </w:p>
                          </w:txbxContent>
                        </wps:txbx>
                        <wps:bodyPr horzOverflow="overflow" vert="horz" lIns="0" tIns="0" rIns="0" bIns="0" rtlCol="0">
                          <a:noAutofit/>
                        </wps:bodyPr>
                      </wps:wsp>
                      <wps:wsp>
                        <wps:cNvPr id="19115" name="Shape 19115"/>
                        <wps:cNvSpPr/>
                        <wps:spPr>
                          <a:xfrm>
                            <a:off x="4953889" y="678942"/>
                            <a:ext cx="882523" cy="933197"/>
                          </a:xfrm>
                          <a:custGeom>
                            <a:avLst/>
                            <a:gdLst/>
                            <a:ahLst/>
                            <a:cxnLst/>
                            <a:rect l="0" t="0" r="0" b="0"/>
                            <a:pathLst>
                              <a:path w="882523" h="933197">
                                <a:moveTo>
                                  <a:pt x="124968" y="667893"/>
                                </a:moveTo>
                                <a:cubicBezTo>
                                  <a:pt x="0" y="471678"/>
                                  <a:pt x="40259" y="222377"/>
                                  <a:pt x="215011" y="111125"/>
                                </a:cubicBezTo>
                                <a:cubicBezTo>
                                  <a:pt x="389763" y="0"/>
                                  <a:pt x="632587" y="68961"/>
                                  <a:pt x="757555" y="265176"/>
                                </a:cubicBezTo>
                                <a:cubicBezTo>
                                  <a:pt x="882523" y="461518"/>
                                  <a:pt x="842264" y="710819"/>
                                  <a:pt x="667512" y="821944"/>
                                </a:cubicBezTo>
                                <a:cubicBezTo>
                                  <a:pt x="492760" y="933197"/>
                                  <a:pt x="249936" y="864235"/>
                                  <a:pt x="124968" y="667893"/>
                                </a:cubicBezTo>
                                <a:close/>
                              </a:path>
                            </a:pathLst>
                          </a:custGeom>
                          <a:ln w="952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9117" name="Picture 19117"/>
                          <pic:cNvPicPr/>
                        </pic:nvPicPr>
                        <pic:blipFill>
                          <a:blip r:embed="rId247"/>
                          <a:stretch>
                            <a:fillRect/>
                          </a:stretch>
                        </pic:blipFill>
                        <pic:spPr>
                          <a:xfrm rot="-1948727">
                            <a:off x="5135265" y="898544"/>
                            <a:ext cx="521206" cy="493777"/>
                          </a:xfrm>
                          <a:prstGeom prst="rect">
                            <a:avLst/>
                          </a:prstGeom>
                        </pic:spPr>
                      </pic:pic>
                      <wps:wsp>
                        <wps:cNvPr id="19119" name="Shape 19119"/>
                        <wps:cNvSpPr/>
                        <wps:spPr>
                          <a:xfrm>
                            <a:off x="5158994" y="1057149"/>
                            <a:ext cx="61087" cy="86614"/>
                          </a:xfrm>
                          <a:custGeom>
                            <a:avLst/>
                            <a:gdLst/>
                            <a:ahLst/>
                            <a:cxnLst/>
                            <a:rect l="0" t="0" r="0" b="0"/>
                            <a:pathLst>
                              <a:path w="61087" h="86614">
                                <a:moveTo>
                                  <a:pt x="9017" y="126"/>
                                </a:moveTo>
                                <a:cubicBezTo>
                                  <a:pt x="9525" y="0"/>
                                  <a:pt x="9906" y="0"/>
                                  <a:pt x="10287" y="126"/>
                                </a:cubicBezTo>
                                <a:cubicBezTo>
                                  <a:pt x="10668" y="253"/>
                                  <a:pt x="10922" y="508"/>
                                  <a:pt x="11049" y="889"/>
                                </a:cubicBezTo>
                                <a:lnTo>
                                  <a:pt x="60706" y="78867"/>
                                </a:lnTo>
                                <a:cubicBezTo>
                                  <a:pt x="60960" y="79121"/>
                                  <a:pt x="61087" y="79501"/>
                                  <a:pt x="61087" y="79883"/>
                                </a:cubicBezTo>
                                <a:cubicBezTo>
                                  <a:pt x="61087" y="80264"/>
                                  <a:pt x="60833" y="80645"/>
                                  <a:pt x="60579" y="81026"/>
                                </a:cubicBezTo>
                                <a:cubicBezTo>
                                  <a:pt x="60198" y="81407"/>
                                  <a:pt x="59690" y="81915"/>
                                  <a:pt x="59055" y="82423"/>
                                </a:cubicBezTo>
                                <a:cubicBezTo>
                                  <a:pt x="58547" y="83058"/>
                                  <a:pt x="57658" y="83566"/>
                                  <a:pt x="56642" y="84327"/>
                                </a:cubicBezTo>
                                <a:cubicBezTo>
                                  <a:pt x="55626" y="84963"/>
                                  <a:pt x="54737" y="85471"/>
                                  <a:pt x="53975" y="85725"/>
                                </a:cubicBezTo>
                                <a:cubicBezTo>
                                  <a:pt x="53213" y="86106"/>
                                  <a:pt x="52451" y="86360"/>
                                  <a:pt x="51943" y="86487"/>
                                </a:cubicBezTo>
                                <a:cubicBezTo>
                                  <a:pt x="51435" y="86614"/>
                                  <a:pt x="51054" y="86614"/>
                                  <a:pt x="50800" y="86487"/>
                                </a:cubicBezTo>
                                <a:cubicBezTo>
                                  <a:pt x="50419" y="86233"/>
                                  <a:pt x="50165" y="85978"/>
                                  <a:pt x="49911" y="85725"/>
                                </a:cubicBezTo>
                                <a:lnTo>
                                  <a:pt x="254" y="7747"/>
                                </a:lnTo>
                                <a:cubicBezTo>
                                  <a:pt x="127" y="7366"/>
                                  <a:pt x="0" y="7112"/>
                                  <a:pt x="0" y="6731"/>
                                </a:cubicBezTo>
                                <a:cubicBezTo>
                                  <a:pt x="0" y="6350"/>
                                  <a:pt x="254" y="5969"/>
                                  <a:pt x="635" y="5461"/>
                                </a:cubicBezTo>
                                <a:cubicBezTo>
                                  <a:pt x="889" y="5080"/>
                                  <a:pt x="1397" y="4572"/>
                                  <a:pt x="2032" y="4064"/>
                                </a:cubicBezTo>
                                <a:cubicBezTo>
                                  <a:pt x="2667" y="3428"/>
                                  <a:pt x="3429" y="2921"/>
                                  <a:pt x="4445" y="2286"/>
                                </a:cubicBezTo>
                                <a:cubicBezTo>
                                  <a:pt x="5461" y="1651"/>
                                  <a:pt x="6350" y="1143"/>
                                  <a:pt x="7112" y="762"/>
                                </a:cubicBezTo>
                                <a:cubicBezTo>
                                  <a:pt x="7874" y="508"/>
                                  <a:pt x="8509" y="253"/>
                                  <a:pt x="9017" y="126"/>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9120" name="Shape 19120"/>
                        <wps:cNvSpPr/>
                        <wps:spPr>
                          <a:xfrm>
                            <a:off x="4158996" y="193549"/>
                            <a:ext cx="548640" cy="557784"/>
                          </a:xfrm>
                          <a:custGeom>
                            <a:avLst/>
                            <a:gdLst/>
                            <a:ahLst/>
                            <a:cxnLst/>
                            <a:rect l="0" t="0" r="0" b="0"/>
                            <a:pathLst>
                              <a:path w="548640" h="557784">
                                <a:moveTo>
                                  <a:pt x="0" y="278892"/>
                                </a:moveTo>
                                <a:cubicBezTo>
                                  <a:pt x="0" y="124841"/>
                                  <a:pt x="122809" y="0"/>
                                  <a:pt x="274320" y="0"/>
                                </a:cubicBezTo>
                                <a:cubicBezTo>
                                  <a:pt x="425831" y="0"/>
                                  <a:pt x="548640" y="124841"/>
                                  <a:pt x="548640" y="278892"/>
                                </a:cubicBezTo>
                                <a:cubicBezTo>
                                  <a:pt x="548640" y="432943"/>
                                  <a:pt x="425831" y="557784"/>
                                  <a:pt x="274320" y="557784"/>
                                </a:cubicBezTo>
                                <a:cubicBezTo>
                                  <a:pt x="122809" y="557784"/>
                                  <a:pt x="0" y="432943"/>
                                  <a:pt x="0" y="278892"/>
                                </a:cubicBez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19121" name="Rectangle 19121"/>
                        <wps:cNvSpPr/>
                        <wps:spPr>
                          <a:xfrm>
                            <a:off x="4336415" y="357251"/>
                            <a:ext cx="134993" cy="206453"/>
                          </a:xfrm>
                          <a:prstGeom prst="rect">
                            <a:avLst/>
                          </a:prstGeom>
                          <a:ln>
                            <a:noFill/>
                          </a:ln>
                        </wps:spPr>
                        <wps:txbx>
                          <w:txbxContent>
                            <w:p w:rsidR="0052701D" w:rsidRDefault="00D40929">
                              <w:r>
                                <w:rPr>
                                  <w:sz w:val="24"/>
                                </w:rPr>
                                <w:t xml:space="preserve">   </w:t>
                              </w:r>
                            </w:p>
                          </w:txbxContent>
                        </wps:txbx>
                        <wps:bodyPr horzOverflow="overflow" vert="horz" lIns="0" tIns="0" rIns="0" bIns="0" rtlCol="0">
                          <a:noAutofit/>
                        </wps:bodyPr>
                      </wps:wsp>
                      <wps:wsp>
                        <wps:cNvPr id="19122" name="Rectangle 19122"/>
                        <wps:cNvSpPr/>
                        <wps:spPr>
                          <a:xfrm>
                            <a:off x="4336415" y="534290"/>
                            <a:ext cx="127866" cy="173419"/>
                          </a:xfrm>
                          <a:prstGeom prst="rect">
                            <a:avLst/>
                          </a:prstGeom>
                          <a:ln>
                            <a:noFill/>
                          </a:ln>
                        </wps:spPr>
                        <wps:txbx>
                          <w:txbxContent>
                            <w:p w:rsidR="0052701D" w:rsidRDefault="00D40929">
                              <w:r>
                                <w:rPr>
                                  <w:sz w:val="20"/>
                                </w:rPr>
                                <w:t>III</w:t>
                              </w:r>
                            </w:p>
                          </w:txbxContent>
                        </wps:txbx>
                        <wps:bodyPr horzOverflow="overflow" vert="horz" lIns="0" tIns="0" rIns="0" bIns="0" rtlCol="0">
                          <a:noAutofit/>
                        </wps:bodyPr>
                      </wps:wsp>
                      <wps:wsp>
                        <wps:cNvPr id="19123" name="Rectangle 19123"/>
                        <wps:cNvSpPr/>
                        <wps:spPr>
                          <a:xfrm>
                            <a:off x="4430903" y="516001"/>
                            <a:ext cx="45808" cy="206453"/>
                          </a:xfrm>
                          <a:prstGeom prst="rect">
                            <a:avLst/>
                          </a:prstGeom>
                          <a:ln>
                            <a:noFill/>
                          </a:ln>
                        </wps:spPr>
                        <wps:txbx>
                          <w:txbxContent>
                            <w:p w:rsidR="0052701D" w:rsidRDefault="00D40929">
                              <w:r>
                                <w:rPr>
                                  <w:sz w:val="24"/>
                                </w:rPr>
                                <w:t xml:space="preserve"> </w:t>
                              </w:r>
                            </w:p>
                          </w:txbxContent>
                        </wps:txbx>
                        <wps:bodyPr horzOverflow="overflow" vert="horz" lIns="0" tIns="0" rIns="0" bIns="0" rtlCol="0">
                          <a:noAutofit/>
                        </wps:bodyPr>
                      </wps:wsp>
                      <wps:wsp>
                        <wps:cNvPr id="19124" name="Shape 19124"/>
                        <wps:cNvSpPr/>
                        <wps:spPr>
                          <a:xfrm>
                            <a:off x="3966972" y="1525"/>
                            <a:ext cx="649224" cy="295656"/>
                          </a:xfrm>
                          <a:custGeom>
                            <a:avLst/>
                            <a:gdLst/>
                            <a:ahLst/>
                            <a:cxnLst/>
                            <a:rect l="0" t="0" r="0" b="0"/>
                            <a:pathLst>
                              <a:path w="649224" h="295656">
                                <a:moveTo>
                                  <a:pt x="0" y="147827"/>
                                </a:moveTo>
                                <a:cubicBezTo>
                                  <a:pt x="0" y="66167"/>
                                  <a:pt x="145288" y="0"/>
                                  <a:pt x="324612" y="0"/>
                                </a:cubicBezTo>
                                <a:cubicBezTo>
                                  <a:pt x="503936" y="0"/>
                                  <a:pt x="649224" y="66167"/>
                                  <a:pt x="649224" y="147827"/>
                                </a:cubicBezTo>
                                <a:cubicBezTo>
                                  <a:pt x="649224" y="229489"/>
                                  <a:pt x="503936" y="295656"/>
                                  <a:pt x="324612" y="295656"/>
                                </a:cubicBezTo>
                                <a:cubicBezTo>
                                  <a:pt x="145288" y="295656"/>
                                  <a:pt x="0" y="229489"/>
                                  <a:pt x="0" y="147827"/>
                                </a:cubicBez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19125" name="Rectangle 19125"/>
                        <wps:cNvSpPr/>
                        <wps:spPr>
                          <a:xfrm>
                            <a:off x="4159631" y="119507"/>
                            <a:ext cx="155619" cy="173420"/>
                          </a:xfrm>
                          <a:prstGeom prst="rect">
                            <a:avLst/>
                          </a:prstGeom>
                          <a:ln>
                            <a:noFill/>
                          </a:ln>
                        </wps:spPr>
                        <wps:txbx>
                          <w:txbxContent>
                            <w:p w:rsidR="0052701D" w:rsidRDefault="00D40929">
                              <w:r>
                                <w:rPr>
                                  <w:sz w:val="20"/>
                                </w:rPr>
                                <w:t xml:space="preserve">    </w:t>
                              </w:r>
                            </w:p>
                          </w:txbxContent>
                        </wps:txbx>
                        <wps:bodyPr horzOverflow="overflow" vert="horz" lIns="0" tIns="0" rIns="0" bIns="0" rtlCol="0">
                          <a:noAutofit/>
                        </wps:bodyPr>
                      </wps:wsp>
                      <wps:wsp>
                        <wps:cNvPr id="19126" name="Rectangle 19126"/>
                        <wps:cNvSpPr/>
                        <wps:spPr>
                          <a:xfrm>
                            <a:off x="4275455" y="119507"/>
                            <a:ext cx="141130" cy="173420"/>
                          </a:xfrm>
                          <a:prstGeom prst="rect">
                            <a:avLst/>
                          </a:prstGeom>
                          <a:ln>
                            <a:noFill/>
                          </a:ln>
                        </wps:spPr>
                        <wps:txbx>
                          <w:txbxContent>
                            <w:p w:rsidR="0052701D" w:rsidRDefault="00D40929">
                              <w:r>
                                <w:rPr>
                                  <w:sz w:val="20"/>
                                </w:rPr>
                                <w:t>IV</w:t>
                              </w:r>
                            </w:p>
                          </w:txbxContent>
                        </wps:txbx>
                        <wps:bodyPr horzOverflow="overflow" vert="horz" lIns="0" tIns="0" rIns="0" bIns="0" rtlCol="0">
                          <a:noAutofit/>
                        </wps:bodyPr>
                      </wps:wsp>
                      <wps:wsp>
                        <wps:cNvPr id="19127" name="Rectangle 19127"/>
                        <wps:cNvSpPr/>
                        <wps:spPr>
                          <a:xfrm>
                            <a:off x="4379087" y="101219"/>
                            <a:ext cx="45808" cy="206453"/>
                          </a:xfrm>
                          <a:prstGeom prst="rect">
                            <a:avLst/>
                          </a:prstGeom>
                          <a:ln>
                            <a:noFill/>
                          </a:ln>
                        </wps:spPr>
                        <wps:txbx>
                          <w:txbxContent>
                            <w:p w:rsidR="0052701D" w:rsidRDefault="00D40929">
                              <w:r>
                                <w:rPr>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934354" style="width:464.52pt;height:142.285pt;mso-position-horizontal-relative:char;mso-position-vertical-relative:line" coordsize="58994,18070">
                <v:rect id="Rectangle 19080" style="position:absolute;width:827;height:2064;left:8845;top:16121;" filled="f" stroked="f">
                  <v:textbox inset="0,0,0,0">
                    <w:txbxContent>
                      <w:p>
                        <w:pPr>
                          <w:spacing w:before="0" w:after="160" w:line="259" w:lineRule="auto"/>
                        </w:pPr>
                        <w:r>
                          <w:rPr>
                            <w:rFonts w:cs="Times New Roman" w:hAnsi="Times New Roman" w:eastAsia="Times New Roman" w:ascii="Times New Roman"/>
                            <w:sz w:val="22"/>
                          </w:rPr>
                          <w:t xml:space="preserve">a</w:t>
                        </w:r>
                      </w:p>
                    </w:txbxContent>
                  </v:textbox>
                </v:rect>
                <v:rect id="Rectangle 19081" style="position:absolute;width:466;height:2064;left:9455;top:16121;" filled="f" stroked="f">
                  <v:textbox inset="0,0,0,0">
                    <w:txbxContent>
                      <w:p>
                        <w:pPr>
                          <w:spacing w:before="0" w:after="160" w:line="259" w:lineRule="auto"/>
                        </w:pPr>
                        <w:r>
                          <w:rPr>
                            <w:rFonts w:cs="Times New Roman" w:hAnsi="Times New Roman" w:eastAsia="Times New Roman" w:ascii="Times New Roman"/>
                            <w:sz w:val="22"/>
                          </w:rPr>
                          <w:t xml:space="preserve"> </w:t>
                        </w:r>
                      </w:p>
                    </w:txbxContent>
                  </v:textbox>
                </v:rect>
                <v:rect id="Rectangle 19082" style="position:absolute;width:932;height:2064;left:28056;top:16518;" filled="f" stroked="f">
                  <v:textbox inset="0,0,0,0">
                    <w:txbxContent>
                      <w:p>
                        <w:pPr>
                          <w:spacing w:before="0" w:after="160" w:line="259" w:lineRule="auto"/>
                        </w:pPr>
                        <w:r>
                          <w:rPr>
                            <w:rFonts w:cs="Times New Roman" w:hAnsi="Times New Roman" w:eastAsia="Times New Roman" w:ascii="Times New Roman"/>
                            <w:sz w:val="22"/>
                          </w:rPr>
                          <w:t xml:space="preserve">b</w:t>
                        </w:r>
                      </w:p>
                    </w:txbxContent>
                  </v:textbox>
                </v:rect>
                <v:rect id="Rectangle 19083" style="position:absolute;width:466;height:2064;left:28757;top:16518;" filled="f" stroked="f">
                  <v:textbox inset="0,0,0,0">
                    <w:txbxContent>
                      <w:p>
                        <w:pPr>
                          <w:spacing w:before="0" w:after="160" w:line="259" w:lineRule="auto"/>
                        </w:pPr>
                        <w:r>
                          <w:rPr>
                            <w:rFonts w:cs="Times New Roman" w:hAnsi="Times New Roman" w:eastAsia="Times New Roman" w:ascii="Times New Roman"/>
                            <w:sz w:val="22"/>
                          </w:rPr>
                          <w:t xml:space="preserve"> </w:t>
                        </w:r>
                      </w:p>
                    </w:txbxContent>
                  </v:textbox>
                </v:rect>
                <v:rect id="Rectangle 19084" style="position:absolute;width:827;height:2064;left:47052;top:15843;" filled="f" stroked="f">
                  <v:textbox inset="0,0,0,0">
                    <w:txbxContent>
                      <w:p>
                        <w:pPr>
                          <w:spacing w:before="0" w:after="160" w:line="259" w:lineRule="auto"/>
                        </w:pPr>
                        <w:r>
                          <w:rPr>
                            <w:rFonts w:cs="Times New Roman" w:hAnsi="Times New Roman" w:eastAsia="Times New Roman" w:ascii="Times New Roman"/>
                            <w:sz w:val="22"/>
                          </w:rPr>
                          <w:t xml:space="preserve">c</w:t>
                        </w:r>
                      </w:p>
                    </w:txbxContent>
                  </v:textbox>
                </v:rect>
                <v:rect id="Rectangle 19085" style="position:absolute;width:466;height:2064;left:47661;top:15843;" filled="f" stroked="f">
                  <v:textbox inset="0,0,0,0">
                    <w:txbxContent>
                      <w:p>
                        <w:pPr>
                          <w:spacing w:before="0" w:after="160" w:line="259" w:lineRule="auto"/>
                        </w:pPr>
                        <w:r>
                          <w:rPr>
                            <w:rFonts w:cs="Times New Roman" w:hAnsi="Times New Roman" w:eastAsia="Times New Roman" w:ascii="Times New Roman"/>
                            <w:sz w:val="22"/>
                          </w:rPr>
                          <w:t xml:space="preserve"> </w:t>
                        </w:r>
                      </w:p>
                    </w:txbxContent>
                  </v:textbox>
                </v:rect>
                <v:shape id="Picture 1048698" style="position:absolute;width:19781;height:15941;left:-20;top:-20;" filled="f">
                  <v:imagedata r:id="rId248"/>
                </v:shape>
                <v:shape id="Picture 1048699" style="position:absolute;width:18745;height:16459;left:19791;top:-20;" filled="f">
                  <v:imagedata r:id="rId249"/>
                </v:shape>
                <v:shape id="Picture 1048700" style="position:absolute;width:19110;height:15788;left:38496;top:-20;" filled="f">
                  <v:imagedata r:id="rId250"/>
                </v:shape>
                <v:shape id="Shape 19099" style="position:absolute;width:5638;height:4632;left:21168;top:533;" coordsize="563880,463296" path="m0,231648c0,103759,126238,0,281940,0c437642,0,563880,103759,563880,231648c563880,359536,437642,463296,281940,463296c126238,463296,0,359536,0,231648x">
                  <v:stroke weight="0.72pt" endcap="flat" joinstyle="round" on="true" color="#000000"/>
                  <v:fill on="false" color="#000000" opacity="0"/>
                </v:shape>
                <v:rect id="Rectangle 19100" style="position:absolute;width:1349;height:2064;left:22933;top:2018;" filled="f" stroked="f">
                  <v:textbox inset="0,0,0,0">
                    <w:txbxContent>
                      <w:p>
                        <w:pPr>
                          <w:spacing w:before="0" w:after="160" w:line="259" w:lineRule="auto"/>
                        </w:pPr>
                        <w:r>
                          <w:rPr>
                            <w:rFonts w:cs="Calibri" w:hAnsi="Calibri" w:eastAsia="Calibri" w:ascii="Calibri"/>
                            <w:sz w:val="24"/>
                          </w:rPr>
                          <w:t xml:space="preserve">   </w:t>
                        </w:r>
                      </w:p>
                    </w:txbxContent>
                  </v:textbox>
                </v:rect>
                <v:rect id="Rectangle 19101" style="position:absolute;width:1411;height:1734;left:22933;top:3816;" filled="f" stroked="f">
                  <v:textbox inset="0,0,0,0">
                    <w:txbxContent>
                      <w:p>
                        <w:pPr>
                          <w:spacing w:before="0" w:after="160" w:line="259" w:lineRule="auto"/>
                        </w:pPr>
                        <w:r>
                          <w:rPr>
                            <w:rFonts w:cs="Calibri" w:hAnsi="Calibri" w:eastAsia="Calibri" w:ascii="Calibri"/>
                            <w:sz w:val="20"/>
                          </w:rPr>
                          <w:t xml:space="preserve">IV</w:t>
                        </w:r>
                      </w:p>
                    </w:txbxContent>
                  </v:textbox>
                </v:rect>
                <v:rect id="Rectangle 19102" style="position:absolute;width:458;height:2064;left:23969;top:3633;" filled="f" stroked="f">
                  <v:textbox inset="0,0,0,0">
                    <w:txbxContent>
                      <w:p>
                        <w:pPr>
                          <w:spacing w:before="0" w:after="160" w:line="259" w:lineRule="auto"/>
                        </w:pPr>
                        <w:r>
                          <w:rPr>
                            <w:rFonts w:cs="Calibri" w:hAnsi="Calibri" w:eastAsia="Calibri" w:ascii="Calibri"/>
                            <w:sz w:val="24"/>
                          </w:rPr>
                          <w:t xml:space="preserve"> </w:t>
                        </w:r>
                      </w:p>
                    </w:txbxContent>
                  </v:textbox>
                </v:rect>
                <v:shape id="Shape 19103" style="position:absolute;width:9966;height:6096;left:27142;top:533;" coordsize="996696,609600" path="m0,304800c0,136525,223139,0,498348,0c773557,0,996696,136525,996696,304800c996696,473075,773557,609600,498348,609600c223139,609600,0,473075,0,304800x">
                  <v:stroke weight="0.72pt" endcap="flat" joinstyle="round" on="true" color="#000000"/>
                  <v:fill on="false" color="#000000" opacity="0"/>
                </v:shape>
                <v:rect id="Rectangle 19104" style="position:absolute;width:1278;height:1734;left:29550;top:2200;" filled="f" stroked="f">
                  <v:textbox inset="0,0,0,0">
                    <w:txbxContent>
                      <w:p>
                        <w:pPr>
                          <w:spacing w:before="0" w:after="160" w:line="259" w:lineRule="auto"/>
                        </w:pPr>
                        <w:r>
                          <w:rPr>
                            <w:rFonts w:cs="Calibri" w:hAnsi="Calibri" w:eastAsia="Calibri" w:ascii="Calibri"/>
                            <w:sz w:val="20"/>
                          </w:rPr>
                          <w:t xml:space="preserve">III</w:t>
                        </w:r>
                      </w:p>
                    </w:txbxContent>
                  </v:textbox>
                </v:rect>
                <v:rect id="Rectangle 19105" style="position:absolute;width:458;height:2064;left:30495;top:2018;" filled="f" stroked="f">
                  <v:textbox inset="0,0,0,0">
                    <w:txbxContent>
                      <w:p>
                        <w:pPr>
                          <w:spacing w:before="0" w:after="160" w:line="259" w:lineRule="auto"/>
                        </w:pPr>
                        <w:r>
                          <w:rPr>
                            <w:rFonts w:cs="Calibri" w:hAnsi="Calibri" w:eastAsia="Calibri" w:ascii="Calibri"/>
                            <w:sz w:val="24"/>
                          </w:rPr>
                          <w:t xml:space="preserve"> </w:t>
                        </w:r>
                      </w:p>
                    </w:txbxContent>
                  </v:textbox>
                </v:rect>
                <v:shape id="Shape 19106" style="position:absolute;width:4328;height:3931;left:34488;top:5989;" coordsize="432816,393192" path="m0,196596c0,88011,96901,0,216408,0c335915,0,432816,88011,432816,196596c432816,305181,335915,393192,216408,393192c96901,393192,0,305181,0,196596x">
                  <v:stroke weight="0.72pt" endcap="flat" joinstyle="round" on="true" color="#000000"/>
                  <v:fill on="false" color="#000000" opacity="0"/>
                </v:shape>
                <v:rect id="Rectangle 19107" style="position:absolute;width:874;height:1734;left:36106;top:7293;" filled="f" stroked="f">
                  <v:textbox inset="0,0,0,0">
                    <w:txbxContent>
                      <w:p>
                        <w:pPr>
                          <w:spacing w:before="0" w:after="160" w:line="259" w:lineRule="auto"/>
                        </w:pPr>
                        <w:r>
                          <w:rPr>
                            <w:rFonts w:cs="Calibri" w:hAnsi="Calibri" w:eastAsia="Calibri" w:ascii="Calibri"/>
                            <w:sz w:val="20"/>
                          </w:rPr>
                          <w:t xml:space="preserve">II</w:t>
                        </w:r>
                      </w:p>
                    </w:txbxContent>
                  </v:textbox>
                </v:rect>
                <v:rect id="Rectangle 19108" style="position:absolute;width:458;height:2064;left:36746;top:7110;" filled="f" stroked="f">
                  <v:textbox inset="0,0,0,0">
                    <w:txbxContent>
                      <w:p>
                        <w:pPr>
                          <w:spacing w:before="0" w:after="160" w:line="259" w:lineRule="auto"/>
                        </w:pPr>
                        <w:r>
                          <w:rPr>
                            <w:rFonts w:cs="Calibri" w:hAnsi="Calibri" w:eastAsia="Calibri" w:ascii="Calibri"/>
                            <w:sz w:val="24"/>
                          </w:rPr>
                          <w:t xml:space="preserve"> </w:t>
                        </w:r>
                      </w:p>
                    </w:txbxContent>
                  </v:textbox>
                </v:rect>
                <v:shape id="Shape 19109" style="position:absolute;width:4328;height:3931;left:34000;top:10805;" coordsize="432816,393192" path="m0,196597c0,88011,96901,0,216408,0c335915,0,432816,88011,432816,196597c432816,305181,335915,393192,216408,393192c96901,393192,0,305181,0,196597x">
                  <v:stroke weight="0.72pt" endcap="flat" joinstyle="round" on="true" color="#000000"/>
                  <v:fill on="false" color="#000000" opacity="0"/>
                </v:shape>
                <v:rect id="Rectangle 19110" style="position:absolute;width:429;height:1734;left:35587;top:12139;" filled="f" stroked="f">
                  <v:textbox inset="0,0,0,0">
                    <w:txbxContent>
                      <w:p>
                        <w:pPr>
                          <w:spacing w:before="0" w:after="160" w:line="259" w:lineRule="auto"/>
                        </w:pPr>
                        <w:r>
                          <w:rPr>
                            <w:rFonts w:cs="Calibri" w:hAnsi="Calibri" w:eastAsia="Calibri" w:ascii="Calibri"/>
                            <w:sz w:val="20"/>
                          </w:rPr>
                          <w:t xml:space="preserve">I</w:t>
                        </w:r>
                      </w:p>
                    </w:txbxContent>
                  </v:textbox>
                </v:rect>
                <v:rect id="Rectangle 19111" style="position:absolute;width:458;height:2064;left:35892;top:11957;" filled="f" stroked="f">
                  <v:textbox inset="0,0,0,0">
                    <w:txbxContent>
                      <w:p>
                        <w:pPr>
                          <w:spacing w:before="0" w:after="160" w:line="259" w:lineRule="auto"/>
                        </w:pPr>
                        <w:r>
                          <w:rPr>
                            <w:rFonts w:cs="Calibri" w:hAnsi="Calibri" w:eastAsia="Calibri" w:ascii="Calibri"/>
                            <w:sz w:val="24"/>
                          </w:rPr>
                          <w:t xml:space="preserve"> </w:t>
                        </w:r>
                      </w:p>
                    </w:txbxContent>
                  </v:textbox>
                </v:rect>
                <v:shape id="Shape 19112" style="position:absolute;width:4328;height:3901;left:54665;top:4983;" coordsize="432816,390144" path="m0,195072c0,87376,96901,0,216408,0c335915,0,432816,87376,432816,195072c432816,302768,335915,390144,216408,390144c96901,390144,0,302768,0,195072x">
                  <v:stroke weight="0.72pt" endcap="flat" joinstyle="round" on="true" color="#000000"/>
                  <v:fill on="false" color="#000000" opacity="0"/>
                </v:shape>
                <v:rect id="Rectangle 19113" style="position:absolute;width:1037;height:2064;left:56259;top:6379;" filled="f" stroked="f">
                  <v:textbox inset="0,0,0,0">
                    <w:txbxContent>
                      <w:p>
                        <w:pPr>
                          <w:spacing w:before="0" w:after="160" w:line="259" w:lineRule="auto"/>
                        </w:pPr>
                        <w:r>
                          <w:rPr>
                            <w:rFonts w:cs="Calibri" w:hAnsi="Calibri" w:eastAsia="Calibri" w:ascii="Calibri"/>
                            <w:sz w:val="24"/>
                          </w:rPr>
                          <w:t xml:space="preserve">II</w:t>
                        </w:r>
                      </w:p>
                    </w:txbxContent>
                  </v:textbox>
                </v:rect>
                <v:rect id="Rectangle 19114" style="position:absolute;width:458;height:2064;left:57025;top:6379;" filled="f" stroked="f">
                  <v:textbox inset="0,0,0,0">
                    <w:txbxContent>
                      <w:p>
                        <w:pPr>
                          <w:spacing w:before="0" w:after="160" w:line="259" w:lineRule="auto"/>
                        </w:pPr>
                        <w:r>
                          <w:rPr>
                            <w:rFonts w:cs="Calibri" w:hAnsi="Calibri" w:eastAsia="Calibri" w:ascii="Calibri"/>
                            <w:sz w:val="24"/>
                          </w:rPr>
                          <w:t xml:space="preserve"> </w:t>
                        </w:r>
                      </w:p>
                    </w:txbxContent>
                  </v:textbox>
                </v:rect>
                <v:shape id="Shape 19115" style="position:absolute;width:8825;height:9331;left:49538;top:6789;" coordsize="882523,933197" path="m124968,667893c0,471678,40259,222377,215011,111125c389763,0,632587,68961,757555,265176c882523,461518,842264,710819,667512,821944c492760,933197,249936,864235,124968,667893x">
                  <v:stroke weight="0.75pt" endcap="flat" joinstyle="round" on="true" color="#000000"/>
                  <v:fill on="false" color="#000000" opacity="0"/>
                </v:shape>
                <v:shape id="Picture 19117" style="position:absolute;width:5212;height:4937;left:51352;top:8985;rotation:-31;" filled="f">
                  <v:imagedata r:id="rId251"/>
                </v:shape>
                <v:shape id="Shape 19119" style="position:absolute;width:610;height:866;left:51589;top:10571;" coordsize="61087,86614" path="m9017,126c9525,0,9906,0,10287,126c10668,253,10922,508,11049,889l60706,78867c60960,79121,61087,79501,61087,79883c61087,80264,60833,80645,60579,81026c60198,81407,59690,81915,59055,82423c58547,83058,57658,83566,56642,84327c55626,84963,54737,85471,53975,85725c53213,86106,52451,86360,51943,86487c51435,86614,51054,86614,50800,86487c50419,86233,50165,85978,49911,85725l254,7747c127,7366,0,7112,0,6731c0,6350,254,5969,635,5461c889,5080,1397,4572,2032,4064c2667,3428,3429,2921,4445,2286c5461,1651,6350,1143,7112,762c7874,508,8509,253,9017,126x">
                  <v:stroke weight="0pt" endcap="flat" joinstyle="round" on="false" color="#000000" opacity="0"/>
                  <v:fill on="true" color="#000000"/>
                </v:shape>
                <v:shape id="Shape 19120" style="position:absolute;width:5486;height:5577;left:41589;top:1935;" coordsize="548640,557784" path="m0,278892c0,124841,122809,0,274320,0c425831,0,548640,124841,548640,278892c548640,432943,425831,557784,274320,557784c122809,557784,0,432943,0,278892x">
                  <v:stroke weight="0.72pt" endcap="flat" joinstyle="round" on="true" color="#000000"/>
                  <v:fill on="false" color="#000000" opacity="0"/>
                </v:shape>
                <v:rect id="Rectangle 19121" style="position:absolute;width:1349;height:2064;left:43364;top:3572;" filled="f" stroked="f">
                  <v:textbox inset="0,0,0,0">
                    <w:txbxContent>
                      <w:p>
                        <w:pPr>
                          <w:spacing w:before="0" w:after="160" w:line="259" w:lineRule="auto"/>
                        </w:pPr>
                        <w:r>
                          <w:rPr>
                            <w:rFonts w:cs="Calibri" w:hAnsi="Calibri" w:eastAsia="Calibri" w:ascii="Calibri"/>
                            <w:sz w:val="24"/>
                          </w:rPr>
                          <w:t xml:space="preserve">   </w:t>
                        </w:r>
                      </w:p>
                    </w:txbxContent>
                  </v:textbox>
                </v:rect>
                <v:rect id="Rectangle 19122" style="position:absolute;width:1278;height:1734;left:43364;top:5342;" filled="f" stroked="f">
                  <v:textbox inset="0,0,0,0">
                    <w:txbxContent>
                      <w:p>
                        <w:pPr>
                          <w:spacing w:before="0" w:after="160" w:line="259" w:lineRule="auto"/>
                        </w:pPr>
                        <w:r>
                          <w:rPr>
                            <w:rFonts w:cs="Calibri" w:hAnsi="Calibri" w:eastAsia="Calibri" w:ascii="Calibri"/>
                            <w:sz w:val="20"/>
                          </w:rPr>
                          <w:t xml:space="preserve">III</w:t>
                        </w:r>
                      </w:p>
                    </w:txbxContent>
                  </v:textbox>
                </v:rect>
                <v:rect id="Rectangle 19123" style="position:absolute;width:458;height:2064;left:44309;top:5160;" filled="f" stroked="f">
                  <v:textbox inset="0,0,0,0">
                    <w:txbxContent>
                      <w:p>
                        <w:pPr>
                          <w:spacing w:before="0" w:after="160" w:line="259" w:lineRule="auto"/>
                        </w:pPr>
                        <w:r>
                          <w:rPr>
                            <w:rFonts w:cs="Calibri" w:hAnsi="Calibri" w:eastAsia="Calibri" w:ascii="Calibri"/>
                            <w:sz w:val="24"/>
                          </w:rPr>
                          <w:t xml:space="preserve"> </w:t>
                        </w:r>
                      </w:p>
                    </w:txbxContent>
                  </v:textbox>
                </v:rect>
                <v:shape id="Shape 19124" style="position:absolute;width:6492;height:2956;left:39669;top:15;" coordsize="649224,295656" path="m0,147827c0,66167,145288,0,324612,0c503936,0,649224,66167,649224,147827c649224,229489,503936,295656,324612,295656c145288,295656,0,229489,0,147827x">
                  <v:stroke weight="0.72pt" endcap="flat" joinstyle="round" on="true" color="#000000"/>
                  <v:fill on="false" color="#000000" opacity="0"/>
                </v:shape>
                <v:rect id="Rectangle 19125" style="position:absolute;width:1556;height:1734;left:41596;top:1195;" filled="f" stroked="f">
                  <v:textbox inset="0,0,0,0">
                    <w:txbxContent>
                      <w:p>
                        <w:pPr>
                          <w:spacing w:before="0" w:after="160" w:line="259" w:lineRule="auto"/>
                        </w:pPr>
                        <w:r>
                          <w:rPr>
                            <w:rFonts w:cs="Calibri" w:hAnsi="Calibri" w:eastAsia="Calibri" w:ascii="Calibri"/>
                            <w:sz w:val="20"/>
                          </w:rPr>
                          <w:t xml:space="preserve">    </w:t>
                        </w:r>
                      </w:p>
                    </w:txbxContent>
                  </v:textbox>
                </v:rect>
                <v:rect id="Rectangle 19126" style="position:absolute;width:1411;height:1734;left:42754;top:1195;" filled="f" stroked="f">
                  <v:textbox inset="0,0,0,0">
                    <w:txbxContent>
                      <w:p>
                        <w:pPr>
                          <w:spacing w:before="0" w:after="160" w:line="259" w:lineRule="auto"/>
                        </w:pPr>
                        <w:r>
                          <w:rPr>
                            <w:rFonts w:cs="Calibri" w:hAnsi="Calibri" w:eastAsia="Calibri" w:ascii="Calibri"/>
                            <w:sz w:val="20"/>
                          </w:rPr>
                          <w:t xml:space="preserve">IV</w:t>
                        </w:r>
                      </w:p>
                    </w:txbxContent>
                  </v:textbox>
                </v:rect>
                <v:rect id="Rectangle 19127" style="position:absolute;width:458;height:2064;left:43790;top:1012;" filled="f" stroked="f">
                  <v:textbox inset="0,0,0,0">
                    <w:txbxContent>
                      <w:p>
                        <w:pPr>
                          <w:spacing w:before="0" w:after="160" w:line="259" w:lineRule="auto"/>
                        </w:pPr>
                        <w:r>
                          <w:rPr>
                            <w:rFonts w:cs="Calibri" w:hAnsi="Calibri" w:eastAsia="Calibri" w:ascii="Calibri"/>
                            <w:sz w:val="24"/>
                          </w:rPr>
                          <w:t xml:space="preserve"> </w:t>
                        </w:r>
                      </w:p>
                    </w:txbxContent>
                  </v:textbox>
                </v:rect>
              </v:group>
            </w:pict>
          </mc:Fallback>
        </mc:AlternateContent>
      </w:r>
    </w:p>
    <w:p w:rsidR="0052701D" w:rsidRDefault="00D40929">
      <w:pPr>
        <w:spacing w:after="105" w:line="248" w:lineRule="auto"/>
        <w:ind w:left="5" w:right="26" w:hanging="5"/>
        <w:jc w:val="center"/>
      </w:pPr>
      <w:r>
        <w:rPr>
          <w:rFonts w:ascii="Times New Roman" w:eastAsia="Times New Roman" w:hAnsi="Times New Roman" w:cs="Times New Roman"/>
          <w:sz w:val="24"/>
        </w:rPr>
        <w:t>Figure 10 - Modelled Kohonen Network, a) input data set; b) 50 epoches ; c)500 epoches</w:t>
      </w:r>
      <w:r>
        <w:rPr>
          <w:rFonts w:ascii="Times New Roman" w:eastAsia="Times New Roman" w:hAnsi="Times New Roman" w:cs="Times New Roman"/>
          <w:i/>
          <w:sz w:val="24"/>
        </w:rPr>
        <w:t xml:space="preserve">  </w:t>
      </w:r>
    </w:p>
    <w:p w:rsidR="0052701D" w:rsidRDefault="00D40929">
      <w:pPr>
        <w:spacing w:after="0"/>
      </w:pPr>
      <w:r>
        <w:t xml:space="preserve"> </w:t>
      </w:r>
    </w:p>
    <w:p w:rsidR="0052701D" w:rsidRDefault="00D40929">
      <w:pPr>
        <w:spacing w:after="0"/>
        <w:ind w:right="1160"/>
        <w:jc w:val="right"/>
      </w:pPr>
      <w:r>
        <w:rPr>
          <w:noProof/>
        </w:rPr>
        <w:lastRenderedPageBreak/>
        <mc:AlternateContent>
          <mc:Choice Requires="wpg">
            <w:drawing>
              <wp:inline distT="0" distB="0" distL="0" distR="0">
                <wp:extent cx="4629912" cy="1475232"/>
                <wp:effectExtent l="0" t="0" r="0" b="0"/>
                <wp:docPr id="933462" name="Group 933462"/>
                <wp:cNvGraphicFramePr/>
                <a:graphic xmlns:a="http://schemas.openxmlformats.org/drawingml/2006/main">
                  <a:graphicData uri="http://schemas.microsoft.com/office/word/2010/wordprocessingGroup">
                    <wpg:wgp>
                      <wpg:cNvGrpSpPr/>
                      <wpg:grpSpPr>
                        <a:xfrm>
                          <a:off x="0" y="0"/>
                          <a:ext cx="4629912" cy="1475232"/>
                          <a:chOff x="0" y="0"/>
                          <a:chExt cx="4629912" cy="1475232"/>
                        </a:xfrm>
                      </wpg:grpSpPr>
                      <pic:pic xmlns:pic="http://schemas.openxmlformats.org/drawingml/2006/picture">
                        <pic:nvPicPr>
                          <pic:cNvPr id="19252" name="Picture 19252"/>
                          <pic:cNvPicPr/>
                        </pic:nvPicPr>
                        <pic:blipFill>
                          <a:blip r:embed="rId252"/>
                          <a:stretch>
                            <a:fillRect/>
                          </a:stretch>
                        </pic:blipFill>
                        <pic:spPr>
                          <a:xfrm>
                            <a:off x="0" y="0"/>
                            <a:ext cx="2590800" cy="1475232"/>
                          </a:xfrm>
                          <a:prstGeom prst="rect">
                            <a:avLst/>
                          </a:prstGeom>
                        </pic:spPr>
                      </pic:pic>
                      <pic:pic xmlns:pic="http://schemas.openxmlformats.org/drawingml/2006/picture">
                        <pic:nvPicPr>
                          <pic:cNvPr id="19254" name="Picture 19254"/>
                          <pic:cNvPicPr/>
                        </pic:nvPicPr>
                        <pic:blipFill>
                          <a:blip r:embed="rId253"/>
                          <a:stretch>
                            <a:fillRect/>
                          </a:stretch>
                        </pic:blipFill>
                        <pic:spPr>
                          <a:xfrm>
                            <a:off x="2590800" y="981456"/>
                            <a:ext cx="2039112" cy="493776"/>
                          </a:xfrm>
                          <a:prstGeom prst="rect">
                            <a:avLst/>
                          </a:prstGeom>
                        </pic:spPr>
                      </pic:pic>
                    </wpg:wgp>
                  </a:graphicData>
                </a:graphic>
              </wp:inline>
            </w:drawing>
          </mc:Choice>
          <mc:Fallback xmlns:a="http://schemas.openxmlformats.org/drawingml/2006/main">
            <w:pict>
              <v:group id="Group 933462" style="width:364.56pt;height:116.16pt;mso-position-horizontal-relative:char;mso-position-vertical-relative:line" coordsize="46299,14752">
                <v:shape id="Picture 19252" style="position:absolute;width:25908;height:14752;left:0;top:0;" filled="f">
                  <v:imagedata r:id="rId254"/>
                </v:shape>
                <v:shape id="Picture 19254" style="position:absolute;width:20391;height:4937;left:25908;top:9814;" filled="f">
                  <v:imagedata r:id="rId255"/>
                </v:shape>
              </v:group>
            </w:pict>
          </mc:Fallback>
        </mc:AlternateContent>
      </w:r>
      <w:r>
        <w:rPr>
          <w:rFonts w:ascii="Times New Roman" w:eastAsia="Times New Roman" w:hAnsi="Times New Roman" w:cs="Times New Roman"/>
          <w:b/>
        </w:rPr>
        <w:t xml:space="preserve"> </w:t>
      </w:r>
    </w:p>
    <w:p w:rsidR="0052701D" w:rsidRDefault="00D40929">
      <w:pPr>
        <w:spacing w:after="0"/>
        <w:ind w:left="16"/>
        <w:jc w:val="center"/>
      </w:pPr>
      <w:r>
        <w:rPr>
          <w:rFonts w:ascii="Times New Roman" w:eastAsia="Times New Roman" w:hAnsi="Times New Roman" w:cs="Times New Roman"/>
        </w:rPr>
        <w:t xml:space="preserve"> </w:t>
      </w:r>
    </w:p>
    <w:p w:rsidR="0052701D" w:rsidRDefault="00D40929">
      <w:pPr>
        <w:spacing w:after="14" w:line="248" w:lineRule="auto"/>
        <w:ind w:left="713" w:right="754" w:hanging="5"/>
        <w:jc w:val="center"/>
      </w:pPr>
      <w:r>
        <w:rPr>
          <w:rFonts w:ascii="Times New Roman" w:eastAsia="Times New Roman" w:hAnsi="Times New Roman" w:cs="Times New Roman"/>
          <w:sz w:val="24"/>
        </w:rPr>
        <w:t xml:space="preserve">Figure 11 - </w:t>
      </w:r>
      <w:r>
        <w:rPr>
          <w:rFonts w:ascii="Times New Roman" w:eastAsia="Times New Roman" w:hAnsi="Times New Roman" w:cs="Times New Roman"/>
          <w:sz w:val="24"/>
        </w:rPr>
        <w:t xml:space="preserve">Listing of the MATLAB code for Kohonen algorithm </w:t>
      </w:r>
    </w:p>
    <w:p w:rsidR="0052701D" w:rsidRDefault="00D40929">
      <w:pPr>
        <w:spacing w:after="36"/>
      </w:pPr>
      <w:r>
        <w:rPr>
          <w:rFonts w:ascii="Times New Roman" w:eastAsia="Times New Roman" w:hAnsi="Times New Roman" w:cs="Times New Roman"/>
          <w:b/>
        </w:rPr>
        <w:t xml:space="preserve"> </w:t>
      </w:r>
    </w:p>
    <w:p w:rsidR="0052701D" w:rsidRDefault="00D40929">
      <w:pPr>
        <w:spacing w:after="5" w:line="251" w:lineRule="auto"/>
        <w:ind w:left="720" w:firstLine="9"/>
      </w:pPr>
      <w:r>
        <w:rPr>
          <w:rFonts w:ascii="Times New Roman" w:eastAsia="Times New Roman" w:hAnsi="Times New Roman" w:cs="Times New Roman"/>
          <w:b/>
          <w:sz w:val="28"/>
        </w:rPr>
        <w:t xml:space="preserve">Conclusion  </w:t>
      </w:r>
    </w:p>
    <w:p w:rsidR="0052701D" w:rsidRDefault="00D40929">
      <w:pPr>
        <w:spacing w:after="5" w:line="271" w:lineRule="auto"/>
        <w:ind w:left="9" w:right="64" w:firstLine="711"/>
        <w:jc w:val="both"/>
      </w:pPr>
      <w:r>
        <w:rPr>
          <w:rFonts w:ascii="Times New Roman" w:eastAsia="Times New Roman" w:hAnsi="Times New Roman" w:cs="Times New Roman"/>
          <w:sz w:val="28"/>
        </w:rPr>
        <w:t>The article  work has represented the variety of the methods, which can be applied in clustering process. Depending on the preference and considering capabilities, mentioned advantages and di</w:t>
      </w:r>
      <w:r>
        <w:rPr>
          <w:rFonts w:ascii="Times New Roman" w:eastAsia="Times New Roman" w:hAnsi="Times New Roman" w:cs="Times New Roman"/>
          <w:sz w:val="28"/>
        </w:rPr>
        <w:t xml:space="preserve">sadvantages of each of the algorithms a one can choose the most preferable one.  </w:t>
      </w:r>
    </w:p>
    <w:p w:rsidR="0052701D" w:rsidRDefault="00D40929">
      <w:pPr>
        <w:spacing w:after="5" w:line="271" w:lineRule="auto"/>
        <w:ind w:left="9" w:right="64" w:firstLine="711"/>
        <w:jc w:val="both"/>
      </w:pPr>
      <w:r>
        <w:rPr>
          <w:rFonts w:ascii="Times New Roman" w:eastAsia="Times New Roman" w:hAnsi="Times New Roman" w:cs="Times New Roman"/>
          <w:sz w:val="28"/>
        </w:rPr>
        <w:t>Despite implementing the clustering methods separately, the idea of 2-level approach is introduced in [25]. In order to be able to analyze massive amount of data Self-organiz</w:t>
      </w:r>
      <w:r>
        <w:rPr>
          <w:rFonts w:ascii="Times New Roman" w:eastAsia="Times New Roman" w:hAnsi="Times New Roman" w:cs="Times New Roman"/>
          <w:sz w:val="28"/>
        </w:rPr>
        <w:t>ing Maps approach is the best choice as it allows the 2-dimensional visualization of data set. Consequently, the deeper understanding of mutual relationships between data is achieved. Besides, the method provides with great and absolute accuracy, comparing</w:t>
      </w:r>
      <w:r>
        <w:rPr>
          <w:rFonts w:ascii="Times New Roman" w:eastAsia="Times New Roman" w:hAnsi="Times New Roman" w:cs="Times New Roman"/>
          <w:sz w:val="28"/>
        </w:rPr>
        <w:t xml:space="preserve"> with the conversion algorithms as it deals with two levels. On the 1</w:t>
      </w:r>
      <w:r>
        <w:rPr>
          <w:rFonts w:ascii="Times New Roman" w:eastAsia="Times New Roman" w:hAnsi="Times New Roman" w:cs="Times New Roman"/>
          <w:sz w:val="28"/>
          <w:vertAlign w:val="superscript"/>
        </w:rPr>
        <w:t xml:space="preserve">st </w:t>
      </w:r>
      <w:r>
        <w:rPr>
          <w:rFonts w:ascii="Times New Roman" w:eastAsia="Times New Roman" w:hAnsi="Times New Roman" w:cs="Times New Roman"/>
          <w:sz w:val="28"/>
        </w:rPr>
        <w:t>stage of clustering Self-organizing Map groups the similar objects into the map, which decreases the number of points to be clustered and reduces their noisiness. On the 2</w:t>
      </w:r>
      <w:r>
        <w:rPr>
          <w:rFonts w:ascii="Times New Roman" w:eastAsia="Times New Roman" w:hAnsi="Times New Roman" w:cs="Times New Roman"/>
          <w:sz w:val="28"/>
          <w:vertAlign w:val="superscript"/>
        </w:rPr>
        <w:t xml:space="preserve">nd </w:t>
      </w:r>
      <w:r>
        <w:rPr>
          <w:rFonts w:ascii="Times New Roman" w:eastAsia="Times New Roman" w:hAnsi="Times New Roman" w:cs="Times New Roman"/>
          <w:sz w:val="28"/>
        </w:rPr>
        <w:t>stage k-</w:t>
      </w:r>
      <w:r>
        <w:rPr>
          <w:rFonts w:ascii="Times New Roman" w:eastAsia="Times New Roman" w:hAnsi="Times New Roman" w:cs="Times New Roman"/>
          <w:sz w:val="28"/>
        </w:rPr>
        <w:t xml:space="preserve">means algorithm divides the data set in immaculate segregation.  </w:t>
      </w:r>
    </w:p>
    <w:p w:rsidR="0052701D" w:rsidRDefault="00D40929">
      <w:pPr>
        <w:spacing w:after="5" w:line="271" w:lineRule="auto"/>
        <w:ind w:left="9" w:right="64" w:firstLine="711"/>
        <w:jc w:val="both"/>
      </w:pPr>
      <w:r>
        <w:rPr>
          <w:rFonts w:ascii="Times New Roman" w:eastAsia="Times New Roman" w:hAnsi="Times New Roman" w:cs="Times New Roman"/>
          <w:sz w:val="28"/>
        </w:rPr>
        <w:t>According to [25], the Self- organizing Map has been tested on clustering a large data base of occupational accidents in the Italian industry. The results provide higher accuracy, can be cle</w:t>
      </w:r>
      <w:r>
        <w:rPr>
          <w:rFonts w:ascii="Times New Roman" w:eastAsia="Times New Roman" w:hAnsi="Times New Roman" w:cs="Times New Roman"/>
          <w:sz w:val="28"/>
        </w:rPr>
        <w:t xml:space="preserve">arly viewed, understood and explained comparing with classical clustering algorithms. </w:t>
      </w:r>
    </w:p>
    <w:p w:rsidR="0052701D" w:rsidRDefault="00D40929">
      <w:pPr>
        <w:spacing w:after="0"/>
        <w:ind w:left="21"/>
        <w:jc w:val="center"/>
      </w:pPr>
      <w:r>
        <w:rPr>
          <w:rFonts w:ascii="Times New Roman" w:eastAsia="Times New Roman" w:hAnsi="Times New Roman" w:cs="Times New Roman"/>
          <w:b/>
          <w:sz w:val="24"/>
        </w:rPr>
        <w:t xml:space="preserve"> </w:t>
      </w:r>
    </w:p>
    <w:p w:rsidR="0052701D" w:rsidRDefault="00D40929">
      <w:pPr>
        <w:spacing w:after="16" w:line="248" w:lineRule="auto"/>
        <w:ind w:left="819" w:right="855" w:hanging="10"/>
        <w:jc w:val="center"/>
      </w:pPr>
      <w:r>
        <w:rPr>
          <w:rFonts w:ascii="Times New Roman" w:eastAsia="Times New Roman" w:hAnsi="Times New Roman" w:cs="Times New Roman"/>
          <w:b/>
          <w:sz w:val="24"/>
        </w:rPr>
        <w:t xml:space="preserve">References: </w:t>
      </w:r>
    </w:p>
    <w:p w:rsidR="0052701D" w:rsidRDefault="00D40929">
      <w:pPr>
        <w:numPr>
          <w:ilvl w:val="0"/>
          <w:numId w:val="22"/>
        </w:numPr>
        <w:spacing w:after="0" w:line="248" w:lineRule="auto"/>
        <w:ind w:right="14" w:firstLine="428"/>
        <w:jc w:val="both"/>
      </w:pPr>
      <w:r>
        <w:rPr>
          <w:rFonts w:ascii="Times New Roman" w:eastAsia="Times New Roman" w:hAnsi="Times New Roman" w:cs="Times New Roman"/>
          <w:sz w:val="24"/>
        </w:rPr>
        <w:t xml:space="preserve">Jain A. K., Murty M. N., Flynn P. J.: Data Clustering: A Review. ACM Computing, 1999, pp. 264–323 </w:t>
      </w:r>
    </w:p>
    <w:p w:rsidR="0052701D" w:rsidRDefault="00D40929">
      <w:pPr>
        <w:numPr>
          <w:ilvl w:val="0"/>
          <w:numId w:val="22"/>
        </w:numPr>
        <w:spacing w:after="0" w:line="248" w:lineRule="auto"/>
        <w:ind w:right="14" w:firstLine="428"/>
        <w:jc w:val="both"/>
      </w:pPr>
      <w:r>
        <w:rPr>
          <w:rFonts w:ascii="Times New Roman" w:eastAsia="Times New Roman" w:hAnsi="Times New Roman" w:cs="Times New Roman"/>
          <w:sz w:val="24"/>
        </w:rPr>
        <w:t>Haq E. U., Huarong X., Khattak M. I.: A Review of Vario</w:t>
      </w:r>
      <w:r>
        <w:rPr>
          <w:rFonts w:ascii="Times New Roman" w:eastAsia="Times New Roman" w:hAnsi="Times New Roman" w:cs="Times New Roman"/>
          <w:sz w:val="24"/>
        </w:rPr>
        <w:t xml:space="preserve">us Clustering Techniques. International Journal of Engineering and Applied Computer Science (IJEACS), 02, 2017, pp.32-37 </w:t>
      </w:r>
    </w:p>
    <w:p w:rsidR="0052701D" w:rsidRDefault="00D40929">
      <w:pPr>
        <w:numPr>
          <w:ilvl w:val="0"/>
          <w:numId w:val="22"/>
        </w:numPr>
        <w:spacing w:after="0" w:line="248" w:lineRule="auto"/>
        <w:ind w:right="14" w:firstLine="428"/>
        <w:jc w:val="both"/>
      </w:pPr>
      <w:r>
        <w:rPr>
          <w:rFonts w:ascii="Times New Roman" w:eastAsia="Times New Roman" w:hAnsi="Times New Roman" w:cs="Times New Roman"/>
          <w:sz w:val="24"/>
        </w:rPr>
        <w:t>Steen C. V., Pahlavan L., Wevers M., Verstrynge E.: Localisation and characterisation of corrosion damage in reinforced concrete by me</w:t>
      </w:r>
      <w:r>
        <w:rPr>
          <w:rFonts w:ascii="Times New Roman" w:eastAsia="Times New Roman" w:hAnsi="Times New Roman" w:cs="Times New Roman"/>
          <w:sz w:val="24"/>
        </w:rPr>
        <w:t xml:space="preserve">ans of acoustic emission and X-ray computed tomography. Construction and Building Materials, 192, 2019, pp.14-16 </w:t>
      </w:r>
    </w:p>
    <w:p w:rsidR="0052701D" w:rsidRDefault="00D40929">
      <w:pPr>
        <w:numPr>
          <w:ilvl w:val="0"/>
          <w:numId w:val="22"/>
        </w:numPr>
        <w:spacing w:after="0" w:line="248" w:lineRule="auto"/>
        <w:ind w:right="14" w:firstLine="428"/>
        <w:jc w:val="both"/>
      </w:pPr>
      <w:r>
        <w:rPr>
          <w:rFonts w:ascii="Times New Roman" w:eastAsia="Times New Roman" w:hAnsi="Times New Roman" w:cs="Times New Roman"/>
          <w:sz w:val="24"/>
        </w:rPr>
        <w:t>Kanungo T., Moun D. M. t: An Efficient K-</w:t>
      </w:r>
      <w:r>
        <w:rPr>
          <w:rFonts w:ascii="Times New Roman" w:eastAsia="Times New Roman" w:hAnsi="Times New Roman" w:cs="Times New Roman"/>
          <w:sz w:val="24"/>
        </w:rPr>
        <w:t xml:space="preserve">means Clustering Algorithm: Analysis and Implementation, Pattern Analysis and Machine Intelligence. IEEE Transactions on Pattern Analysis and Machine Intelligence, 24(7), 2002. pp. 1-12 </w:t>
      </w:r>
    </w:p>
    <w:p w:rsidR="0052701D" w:rsidRDefault="00D40929">
      <w:pPr>
        <w:numPr>
          <w:ilvl w:val="0"/>
          <w:numId w:val="22"/>
        </w:numPr>
        <w:spacing w:after="0" w:line="248" w:lineRule="auto"/>
        <w:ind w:right="14" w:firstLine="428"/>
        <w:jc w:val="both"/>
      </w:pPr>
      <w:r>
        <w:rPr>
          <w:rFonts w:ascii="Times New Roman" w:eastAsia="Times New Roman" w:hAnsi="Times New Roman" w:cs="Times New Roman"/>
          <w:sz w:val="24"/>
        </w:rPr>
        <w:t>Yu-Zhong C., Ying-Cheng L.: Sparse dynamical Boltzmann machine for re</w:t>
      </w:r>
      <w:r>
        <w:rPr>
          <w:rFonts w:ascii="Times New Roman" w:eastAsia="Times New Roman" w:hAnsi="Times New Roman" w:cs="Times New Roman"/>
          <w:sz w:val="24"/>
        </w:rPr>
        <w:t xml:space="preserve">constructing complex networks with binary dynamics. 101103/Physical Review E 97(3), 2018, pp.5-9 </w:t>
      </w:r>
    </w:p>
    <w:p w:rsidR="0052701D" w:rsidRDefault="00D40929">
      <w:pPr>
        <w:numPr>
          <w:ilvl w:val="0"/>
          <w:numId w:val="22"/>
        </w:numPr>
        <w:spacing w:after="29" w:line="248" w:lineRule="auto"/>
        <w:ind w:right="14" w:firstLine="428"/>
        <w:jc w:val="both"/>
      </w:pPr>
      <w:r>
        <w:rPr>
          <w:rFonts w:ascii="Times New Roman" w:eastAsia="Times New Roman" w:hAnsi="Times New Roman" w:cs="Times New Roman"/>
          <w:sz w:val="24"/>
        </w:rPr>
        <w:lastRenderedPageBreak/>
        <w:t xml:space="preserve">Yong Y., Chongxun Z., Pan L.: A Novel Fuzzy C-Means Clustering Algorithm for Image Thresholding”. Measurement Science Review, 4(1), 2004, pp.15-20 </w:t>
      </w:r>
    </w:p>
    <w:p w:rsidR="0052701D" w:rsidRDefault="00D40929">
      <w:pPr>
        <w:numPr>
          <w:ilvl w:val="0"/>
          <w:numId w:val="22"/>
        </w:numPr>
        <w:spacing w:after="0" w:line="248" w:lineRule="auto"/>
        <w:ind w:right="14" w:firstLine="428"/>
        <w:jc w:val="both"/>
      </w:pPr>
      <w:r>
        <w:rPr>
          <w:rFonts w:ascii="Times New Roman" w:eastAsia="Times New Roman" w:hAnsi="Times New Roman" w:cs="Times New Roman"/>
          <w:sz w:val="24"/>
        </w:rPr>
        <w:t>Dembélé D.</w:t>
      </w:r>
      <w:r>
        <w:rPr>
          <w:rFonts w:ascii="Times New Roman" w:eastAsia="Times New Roman" w:hAnsi="Times New Roman" w:cs="Times New Roman"/>
          <w:sz w:val="24"/>
        </w:rPr>
        <w:t xml:space="preserve">, Kastner P.: Fuzzy - means method for clustering microarray data. Bioinformatics, 19(8), 2003, pp. 973–980 </w:t>
      </w:r>
    </w:p>
    <w:p w:rsidR="0052701D" w:rsidRDefault="00D40929">
      <w:pPr>
        <w:numPr>
          <w:ilvl w:val="0"/>
          <w:numId w:val="22"/>
        </w:numPr>
        <w:spacing w:after="5"/>
        <w:ind w:right="14" w:firstLine="428"/>
        <w:jc w:val="both"/>
      </w:pPr>
      <w:r>
        <w:rPr>
          <w:rFonts w:ascii="Times New Roman" w:eastAsia="Times New Roman" w:hAnsi="Times New Roman" w:cs="Times New Roman"/>
          <w:sz w:val="24"/>
        </w:rPr>
        <w:t xml:space="preserve">Petrus J., Ermatita ,Sukemi: Soft and Hard Clustering for Abstract Scientific Paper in </w:t>
      </w:r>
    </w:p>
    <w:p w:rsidR="0052701D" w:rsidRDefault="00D40929">
      <w:pPr>
        <w:spacing w:after="29" w:line="248" w:lineRule="auto"/>
        <w:ind w:left="9" w:right="14"/>
        <w:jc w:val="both"/>
      </w:pPr>
      <w:r>
        <w:rPr>
          <w:rFonts w:ascii="Times New Roman" w:eastAsia="Times New Roman" w:hAnsi="Times New Roman" w:cs="Times New Roman"/>
          <w:sz w:val="24"/>
        </w:rPr>
        <w:t>Indonesian. 2019 International Conference on Informatics, M</w:t>
      </w:r>
      <w:r>
        <w:rPr>
          <w:rFonts w:ascii="Times New Roman" w:eastAsia="Times New Roman" w:hAnsi="Times New Roman" w:cs="Times New Roman"/>
          <w:sz w:val="24"/>
        </w:rPr>
        <w:t xml:space="preserve">ultimedia, Cyber and Information System (ICIMCIS), Jakarta, Indonesia, 2019, pp. 131-136 </w:t>
      </w:r>
    </w:p>
    <w:p w:rsidR="0052701D" w:rsidRDefault="00D40929">
      <w:pPr>
        <w:numPr>
          <w:ilvl w:val="0"/>
          <w:numId w:val="22"/>
        </w:numPr>
        <w:spacing w:after="29" w:line="248" w:lineRule="auto"/>
        <w:ind w:right="14" w:firstLine="428"/>
        <w:jc w:val="both"/>
      </w:pPr>
      <w:r>
        <w:rPr>
          <w:rFonts w:ascii="Times New Roman" w:eastAsia="Times New Roman" w:hAnsi="Times New Roman" w:cs="Times New Roman"/>
          <w:sz w:val="24"/>
        </w:rPr>
        <w:t xml:space="preserve">Ершов К.С., Романова Т.Н, Анализ и классификация алгоритмов кластеризации, МГТУ им. Н.Э. Баумана, 2016, pp.274-279 </w:t>
      </w:r>
    </w:p>
    <w:p w:rsidR="0052701D" w:rsidRDefault="00D40929">
      <w:pPr>
        <w:numPr>
          <w:ilvl w:val="0"/>
          <w:numId w:val="22"/>
        </w:numPr>
        <w:spacing w:after="0" w:line="248" w:lineRule="auto"/>
        <w:ind w:right="14" w:firstLine="428"/>
        <w:jc w:val="both"/>
      </w:pPr>
      <w:r>
        <w:rPr>
          <w:rFonts w:ascii="Times New Roman" w:eastAsia="Times New Roman" w:hAnsi="Times New Roman" w:cs="Times New Roman"/>
          <w:sz w:val="24"/>
        </w:rPr>
        <w:t>WorldQuant Perspectives: Fuzzy approaches in finan</w:t>
      </w:r>
      <w:r>
        <w:rPr>
          <w:rFonts w:ascii="Times New Roman" w:eastAsia="Times New Roman" w:hAnsi="Times New Roman" w:cs="Times New Roman"/>
          <w:sz w:val="24"/>
        </w:rPr>
        <w:t xml:space="preserve">cial modelling. Worldquant, 2018, pp.1-7. </w:t>
      </w:r>
    </w:p>
    <w:p w:rsidR="0052701D" w:rsidRDefault="00D40929">
      <w:pPr>
        <w:numPr>
          <w:ilvl w:val="0"/>
          <w:numId w:val="22"/>
        </w:numPr>
        <w:spacing w:after="0" w:line="248" w:lineRule="auto"/>
        <w:ind w:right="14" w:firstLine="428"/>
        <w:jc w:val="both"/>
      </w:pPr>
      <w:r>
        <w:rPr>
          <w:rFonts w:ascii="Times New Roman" w:eastAsia="Times New Roman" w:hAnsi="Times New Roman" w:cs="Times New Roman"/>
          <w:sz w:val="24"/>
        </w:rPr>
        <w:t xml:space="preserve">Rui A., Sousa J. M. C.: Comparison of fuzzy clustering algorithms for Classification.International Symposium on Evolving Fuzzy Systems, 2006, pp. 112-117 </w:t>
      </w:r>
    </w:p>
    <w:p w:rsidR="0052701D" w:rsidRDefault="00D40929">
      <w:pPr>
        <w:numPr>
          <w:ilvl w:val="0"/>
          <w:numId w:val="22"/>
        </w:numPr>
        <w:spacing w:after="29" w:line="248" w:lineRule="auto"/>
        <w:ind w:right="14" w:firstLine="428"/>
        <w:jc w:val="both"/>
      </w:pPr>
      <w:r>
        <w:rPr>
          <w:rFonts w:ascii="Times New Roman" w:eastAsia="Times New Roman" w:hAnsi="Times New Roman" w:cs="Times New Roman"/>
          <w:sz w:val="24"/>
        </w:rPr>
        <w:t>Rui  X., Wunsch II D.: Survey of Clustering Algorithms. IE</w:t>
      </w:r>
      <w:r>
        <w:rPr>
          <w:rFonts w:ascii="Times New Roman" w:eastAsia="Times New Roman" w:hAnsi="Times New Roman" w:cs="Times New Roman"/>
          <w:sz w:val="24"/>
        </w:rPr>
        <w:t xml:space="preserve">EE Transactions on Neural </w:t>
      </w:r>
    </w:p>
    <w:p w:rsidR="0052701D" w:rsidRDefault="00D40929">
      <w:pPr>
        <w:spacing w:after="29" w:line="248" w:lineRule="auto"/>
        <w:ind w:left="9" w:right="14"/>
        <w:jc w:val="both"/>
      </w:pPr>
      <w:r>
        <w:rPr>
          <w:rFonts w:ascii="Times New Roman" w:eastAsia="Times New Roman" w:hAnsi="Times New Roman" w:cs="Times New Roman"/>
          <w:sz w:val="24"/>
        </w:rPr>
        <w:t xml:space="preserve">Networks, 16(3), 2005, pp.1-34 </w:t>
      </w:r>
    </w:p>
    <w:p w:rsidR="0052701D" w:rsidRDefault="00D40929">
      <w:pPr>
        <w:numPr>
          <w:ilvl w:val="0"/>
          <w:numId w:val="22"/>
        </w:numPr>
        <w:spacing w:after="0" w:line="248" w:lineRule="auto"/>
        <w:ind w:right="14" w:firstLine="428"/>
        <w:jc w:val="both"/>
      </w:pPr>
      <w:r>
        <w:rPr>
          <w:rFonts w:ascii="Times New Roman" w:eastAsia="Times New Roman" w:hAnsi="Times New Roman" w:cs="Times New Roman"/>
          <w:sz w:val="24"/>
        </w:rPr>
        <w:t xml:space="preserve">Cadez I., Gaffney S., Smyth P.: A general probabilistic framework for clustering individuals and objects. 6th ACM SIGKDD Int. Conf. Knowledge Discovery and Data Mining, 2000, pp.140149 </w:t>
      </w:r>
    </w:p>
    <w:p w:rsidR="0052701D" w:rsidRDefault="00D40929">
      <w:pPr>
        <w:numPr>
          <w:ilvl w:val="0"/>
          <w:numId w:val="22"/>
        </w:numPr>
        <w:spacing w:after="0" w:line="248" w:lineRule="auto"/>
        <w:ind w:right="14" w:firstLine="428"/>
        <w:jc w:val="both"/>
      </w:pPr>
      <w:r>
        <w:rPr>
          <w:rFonts w:ascii="Times New Roman" w:eastAsia="Times New Roman" w:hAnsi="Times New Roman" w:cs="Times New Roman"/>
          <w:sz w:val="24"/>
        </w:rPr>
        <w:t>Kumar S.S.,</w:t>
      </w:r>
      <w:r>
        <w:rPr>
          <w:rFonts w:ascii="Times New Roman" w:eastAsia="Times New Roman" w:hAnsi="Times New Roman" w:cs="Times New Roman"/>
          <w:sz w:val="24"/>
        </w:rPr>
        <w:t xml:space="preserve"> Taheri F., Islam M.R.: Artificial intelligence and image processing approaches in damage assessment and material evaluation, in: Proceedings of the International Conference on Computational Intelligence for Modelling, Control and Automation. CIMCA 2015, a</w:t>
      </w:r>
      <w:r>
        <w:rPr>
          <w:rFonts w:ascii="Times New Roman" w:eastAsia="Times New Roman" w:hAnsi="Times New Roman" w:cs="Times New Roman"/>
          <w:sz w:val="24"/>
        </w:rPr>
        <w:t xml:space="preserve">nd International </w:t>
      </w:r>
    </w:p>
    <w:p w:rsidR="0052701D" w:rsidRDefault="00D40929">
      <w:pPr>
        <w:spacing w:after="29" w:line="248" w:lineRule="auto"/>
        <w:ind w:left="9" w:right="14"/>
        <w:jc w:val="both"/>
      </w:pPr>
      <w:r>
        <w:rPr>
          <w:rFonts w:ascii="Times New Roman" w:eastAsia="Times New Roman" w:hAnsi="Times New Roman" w:cs="Times New Roman"/>
          <w:sz w:val="24"/>
        </w:rPr>
        <w:t xml:space="preserve">Conference on Intelligent Agents, Web Technologies and Internet, 2015, pp. 307–313 </w:t>
      </w:r>
    </w:p>
    <w:p w:rsidR="0052701D" w:rsidRDefault="00D40929">
      <w:pPr>
        <w:numPr>
          <w:ilvl w:val="0"/>
          <w:numId w:val="22"/>
        </w:numPr>
        <w:spacing w:after="29" w:line="248" w:lineRule="auto"/>
        <w:ind w:right="14" w:firstLine="428"/>
        <w:jc w:val="both"/>
      </w:pPr>
      <w:r>
        <w:rPr>
          <w:rFonts w:ascii="Times New Roman" w:eastAsia="Times New Roman" w:hAnsi="Times New Roman" w:cs="Times New Roman"/>
          <w:sz w:val="24"/>
        </w:rPr>
        <w:t xml:space="preserve">Kohonen T.: Self organization and associative memory. Springer-Verlag, 1989, pp.210-233 </w:t>
      </w:r>
    </w:p>
    <w:p w:rsidR="0052701D" w:rsidRDefault="00D40929">
      <w:pPr>
        <w:numPr>
          <w:ilvl w:val="0"/>
          <w:numId w:val="22"/>
        </w:numPr>
        <w:spacing w:after="0" w:line="248" w:lineRule="auto"/>
        <w:ind w:right="14" w:firstLine="428"/>
        <w:jc w:val="both"/>
      </w:pPr>
      <w:r>
        <w:rPr>
          <w:rFonts w:ascii="Times New Roman" w:eastAsia="Times New Roman" w:hAnsi="Times New Roman" w:cs="Times New Roman"/>
          <w:sz w:val="24"/>
        </w:rPr>
        <w:t>Kangas, J.A., Kohonen, T., Laaksonen, J.T.: Variants of self-orga</w:t>
      </w:r>
      <w:r>
        <w:rPr>
          <w:rFonts w:ascii="Times New Roman" w:eastAsia="Times New Roman" w:hAnsi="Times New Roman" w:cs="Times New Roman"/>
          <w:sz w:val="24"/>
        </w:rPr>
        <w:t xml:space="preserve">nizing maps. Neural Networks 1, 1990, pp.93–99 </w:t>
      </w:r>
    </w:p>
    <w:p w:rsidR="0052701D" w:rsidRDefault="00D40929">
      <w:pPr>
        <w:numPr>
          <w:ilvl w:val="0"/>
          <w:numId w:val="22"/>
        </w:numPr>
        <w:spacing w:after="29" w:line="248" w:lineRule="auto"/>
        <w:ind w:right="14" w:firstLine="428"/>
        <w:jc w:val="both"/>
      </w:pPr>
      <w:r>
        <w:rPr>
          <w:rFonts w:ascii="Times New Roman" w:eastAsia="Times New Roman" w:hAnsi="Times New Roman" w:cs="Times New Roman"/>
          <w:sz w:val="24"/>
        </w:rPr>
        <w:t xml:space="preserve">Vesanto, J., Alhoniemi, E.: Clustering of the self-organizing map. IEEE, Transactions on </w:t>
      </w:r>
    </w:p>
    <w:p w:rsidR="0052701D" w:rsidRDefault="00D40929">
      <w:pPr>
        <w:spacing w:after="29" w:line="248" w:lineRule="auto"/>
        <w:ind w:left="9" w:right="14"/>
        <w:jc w:val="both"/>
      </w:pPr>
      <w:r>
        <w:rPr>
          <w:rFonts w:ascii="Times New Roman" w:eastAsia="Times New Roman" w:hAnsi="Times New Roman" w:cs="Times New Roman"/>
          <w:sz w:val="24"/>
        </w:rPr>
        <w:t xml:space="preserve">Neural Networks, 11 (2), 2000, pp.586–600 </w:t>
      </w:r>
    </w:p>
    <w:p w:rsidR="0052701D" w:rsidRDefault="00D40929">
      <w:pPr>
        <w:numPr>
          <w:ilvl w:val="0"/>
          <w:numId w:val="22"/>
        </w:numPr>
        <w:spacing w:after="1" w:line="248" w:lineRule="auto"/>
        <w:ind w:right="14" w:firstLine="428"/>
        <w:jc w:val="both"/>
      </w:pPr>
      <w:r>
        <w:rPr>
          <w:rFonts w:ascii="Times New Roman" w:eastAsia="Times New Roman" w:hAnsi="Times New Roman" w:cs="Times New Roman"/>
          <w:sz w:val="24"/>
        </w:rPr>
        <w:t>Kohonen, T.: Self organization and associative memory, Springer-</w:t>
      </w:r>
      <w:r>
        <w:rPr>
          <w:rFonts w:ascii="Times New Roman" w:eastAsia="Times New Roman" w:hAnsi="Times New Roman" w:cs="Times New Roman"/>
          <w:sz w:val="24"/>
        </w:rPr>
        <w:t xml:space="preserve">Verlag, 1989, p.210-233 [19] Kohonen, T.: Self-Organizating Maps. Springer-Verlag, 1997 </w:t>
      </w:r>
    </w:p>
    <w:p w:rsidR="0052701D" w:rsidRDefault="00D40929">
      <w:pPr>
        <w:numPr>
          <w:ilvl w:val="0"/>
          <w:numId w:val="23"/>
        </w:numPr>
        <w:spacing w:after="29" w:line="248" w:lineRule="auto"/>
        <w:ind w:right="14" w:firstLine="428"/>
        <w:jc w:val="both"/>
      </w:pPr>
      <w:r>
        <w:rPr>
          <w:rFonts w:ascii="Times New Roman" w:eastAsia="Times New Roman" w:hAnsi="Times New Roman" w:cs="Times New Roman"/>
          <w:sz w:val="24"/>
        </w:rPr>
        <w:t xml:space="preserve">Dostál P., Pokorný P.: Cluster Analysis and Neural Network. Department of Informatics, </w:t>
      </w:r>
    </w:p>
    <w:p w:rsidR="0052701D" w:rsidRDefault="00D40929">
      <w:pPr>
        <w:spacing w:after="29" w:line="248" w:lineRule="auto"/>
        <w:ind w:left="9" w:right="14"/>
        <w:jc w:val="both"/>
      </w:pPr>
      <w:r>
        <w:rPr>
          <w:rFonts w:ascii="Times New Roman" w:eastAsia="Times New Roman" w:hAnsi="Times New Roman" w:cs="Times New Roman"/>
          <w:sz w:val="24"/>
        </w:rPr>
        <w:t>Faculty of Business and Management, Brno University of Technology, Prague, 2015</w:t>
      </w:r>
      <w:r>
        <w:rPr>
          <w:rFonts w:ascii="Times New Roman" w:eastAsia="Times New Roman" w:hAnsi="Times New Roman" w:cs="Times New Roman"/>
          <w:sz w:val="24"/>
        </w:rPr>
        <w:t xml:space="preserve"> </w:t>
      </w:r>
    </w:p>
    <w:p w:rsidR="0052701D" w:rsidRDefault="00D40929">
      <w:pPr>
        <w:numPr>
          <w:ilvl w:val="0"/>
          <w:numId w:val="23"/>
        </w:numPr>
        <w:spacing w:after="29" w:line="248" w:lineRule="auto"/>
        <w:ind w:right="14" w:firstLine="428"/>
        <w:jc w:val="both"/>
      </w:pPr>
      <w:r>
        <w:rPr>
          <w:rFonts w:ascii="Times New Roman" w:eastAsia="Times New Roman" w:hAnsi="Times New Roman" w:cs="Times New Roman"/>
          <w:sz w:val="24"/>
        </w:rPr>
        <w:t xml:space="preserve">Nanda T., Sahoo B., Chatterjee C.: Enhancing the applicability of Kohonen Self-Organizing </w:t>
      </w:r>
    </w:p>
    <w:p w:rsidR="0052701D" w:rsidRDefault="00D40929">
      <w:pPr>
        <w:spacing w:after="0" w:line="248" w:lineRule="auto"/>
        <w:ind w:left="9" w:right="14"/>
        <w:jc w:val="both"/>
      </w:pPr>
      <w:r>
        <w:rPr>
          <w:rFonts w:ascii="Times New Roman" w:eastAsia="Times New Roman" w:hAnsi="Times New Roman" w:cs="Times New Roman"/>
          <w:sz w:val="24"/>
        </w:rPr>
        <w:t xml:space="preserve">Map (KSOM) estimator for gap-filling in hydrometeorological timeseries data, Journal of Hydrology 549(6), 2017, pp. 133-147 </w:t>
      </w:r>
    </w:p>
    <w:p w:rsidR="0052701D" w:rsidRDefault="00D40929">
      <w:pPr>
        <w:numPr>
          <w:ilvl w:val="0"/>
          <w:numId w:val="23"/>
        </w:numPr>
        <w:spacing w:after="0" w:line="248" w:lineRule="auto"/>
        <w:ind w:right="14" w:firstLine="428"/>
        <w:jc w:val="both"/>
      </w:pPr>
      <w:r>
        <w:rPr>
          <w:rFonts w:ascii="Times New Roman" w:eastAsia="Times New Roman" w:hAnsi="Times New Roman" w:cs="Times New Roman"/>
          <w:sz w:val="24"/>
        </w:rPr>
        <w:t xml:space="preserve">Palamaraa F., Piglioneb F., Piccinini </w:t>
      </w:r>
      <w:r>
        <w:rPr>
          <w:rFonts w:ascii="Times New Roman" w:eastAsia="Times New Roman" w:hAnsi="Times New Roman" w:cs="Times New Roman"/>
          <w:sz w:val="24"/>
        </w:rPr>
        <w:t>N.: Self-Organizing Map and clustering algorithms for the analysis of occupational accident databases. Safety Science Journal,49(8-9), 2018, pp. 1215-1230 [23] Aoki T, Aoyagi T: Self-organizing maps with asymmetric neighbourhood function. Neural Computatio</w:t>
      </w:r>
      <w:r>
        <w:rPr>
          <w:rFonts w:ascii="Times New Roman" w:eastAsia="Times New Roman" w:hAnsi="Times New Roman" w:cs="Times New Roman"/>
          <w:sz w:val="24"/>
        </w:rPr>
        <w:t xml:space="preserve">n, 19(9), p.2517 </w:t>
      </w:r>
    </w:p>
    <w:p w:rsidR="0052701D" w:rsidRDefault="00D40929">
      <w:pPr>
        <w:numPr>
          <w:ilvl w:val="0"/>
          <w:numId w:val="24"/>
        </w:numPr>
        <w:spacing w:after="0" w:line="248" w:lineRule="auto"/>
        <w:ind w:right="14" w:firstLine="428"/>
        <w:jc w:val="both"/>
      </w:pPr>
      <w:r>
        <w:rPr>
          <w:rFonts w:ascii="Times New Roman" w:eastAsia="Times New Roman" w:hAnsi="Times New Roman" w:cs="Times New Roman"/>
          <w:sz w:val="24"/>
        </w:rPr>
        <w:t xml:space="preserve">Mohri M, Rostamizadeh A, Talwalkar A: Foundations of Machine Learning. Cambridge, MA: MIT Press,2018, - 486 p. </w:t>
      </w:r>
    </w:p>
    <w:p w:rsidR="0052701D" w:rsidRDefault="00D40929">
      <w:pPr>
        <w:numPr>
          <w:ilvl w:val="0"/>
          <w:numId w:val="24"/>
        </w:numPr>
        <w:spacing w:after="0" w:line="248" w:lineRule="auto"/>
        <w:ind w:right="14" w:firstLine="428"/>
        <w:jc w:val="both"/>
      </w:pPr>
      <w:r>
        <w:rPr>
          <w:rFonts w:ascii="Times New Roman" w:eastAsia="Times New Roman" w:hAnsi="Times New Roman" w:cs="Times New Roman"/>
          <w:sz w:val="24"/>
        </w:rPr>
        <w:t>Palamara F. , Piglione F. , Piccinini N. : Self-Organizing Map and clustering algorithms for the analysis of occupational acci</w:t>
      </w:r>
      <w:r>
        <w:rPr>
          <w:rFonts w:ascii="Times New Roman" w:eastAsia="Times New Roman" w:hAnsi="Times New Roman" w:cs="Times New Roman"/>
          <w:sz w:val="24"/>
        </w:rPr>
        <w:t xml:space="preserve">dent databases. Elsevier, Italy, 2011, p.1216-1230 </w:t>
      </w:r>
    </w:p>
    <w:p w:rsidR="0052701D" w:rsidRDefault="00D40929">
      <w:pPr>
        <w:spacing w:after="0"/>
        <w:ind w:left="711"/>
      </w:pPr>
      <w:r>
        <w:rPr>
          <w:rFonts w:ascii="Times New Roman" w:eastAsia="Times New Roman" w:hAnsi="Times New Roman" w:cs="Times New Roman"/>
          <w:color w:val="00000A"/>
        </w:rPr>
        <w:t xml:space="preserve"> </w:t>
      </w:r>
    </w:p>
    <w:p w:rsidR="0052701D" w:rsidRDefault="00D40929">
      <w:pPr>
        <w:spacing w:after="50"/>
        <w:ind w:left="711"/>
      </w:pPr>
      <w:r>
        <w:rPr>
          <w:rFonts w:ascii="Times New Roman" w:eastAsia="Times New Roman" w:hAnsi="Times New Roman" w:cs="Times New Roman"/>
          <w:color w:val="00000A"/>
        </w:rPr>
        <w:t xml:space="preserve"> </w:t>
      </w:r>
    </w:p>
    <w:p w:rsidR="0052701D" w:rsidRDefault="00D40929">
      <w:pPr>
        <w:spacing w:after="4" w:line="271" w:lineRule="auto"/>
        <w:ind w:left="-5" w:right="194" w:hanging="10"/>
      </w:pPr>
      <w:r>
        <w:rPr>
          <w:rFonts w:ascii="Times New Roman" w:eastAsia="Times New Roman" w:hAnsi="Times New Roman" w:cs="Times New Roman"/>
          <w:b/>
          <w:sz w:val="24"/>
        </w:rPr>
        <w:t xml:space="preserve">УДК 531  </w:t>
      </w:r>
    </w:p>
    <w:p w:rsidR="0052701D" w:rsidRDefault="00D40929">
      <w:pPr>
        <w:spacing w:after="0"/>
      </w:pPr>
      <w:r>
        <w:rPr>
          <w:rFonts w:ascii="Times New Roman" w:eastAsia="Times New Roman" w:hAnsi="Times New Roman" w:cs="Times New Roman"/>
          <w:sz w:val="28"/>
        </w:rPr>
        <w:lastRenderedPageBreak/>
        <w:t xml:space="preserve"> </w:t>
      </w:r>
    </w:p>
    <w:p w:rsidR="0052701D" w:rsidRDefault="00D40929">
      <w:pPr>
        <w:pStyle w:val="1"/>
        <w:ind w:left="514" w:right="0" w:firstLine="9"/>
        <w:jc w:val="left"/>
      </w:pPr>
      <w:r>
        <w:t xml:space="preserve">ӨЗДІГІНЕН БЕЙІМДЕЛЕТІН ЖҮЙЕЛЕРГЕ АРНАЛҒАН ТИІМДІ </w:t>
      </w:r>
    </w:p>
    <w:p w:rsidR="0052701D" w:rsidRDefault="00D40929">
      <w:pPr>
        <w:spacing w:after="5" w:line="271" w:lineRule="auto"/>
        <w:ind w:left="514" w:firstLine="9"/>
      </w:pPr>
      <w:r>
        <w:rPr>
          <w:rFonts w:ascii="Times New Roman" w:eastAsia="Times New Roman" w:hAnsi="Times New Roman" w:cs="Times New Roman"/>
          <w:b/>
          <w:sz w:val="28"/>
        </w:rPr>
        <w:t xml:space="preserve">БЕЙІМДЕЛГІШ МЕХАНИКАЛЫҚ ЖЕТЕК </w:t>
      </w:r>
    </w:p>
    <w:p w:rsidR="0052701D" w:rsidRDefault="00D40929">
      <w:pPr>
        <w:spacing w:after="0"/>
        <w:ind w:left="31"/>
        <w:jc w:val="center"/>
      </w:pPr>
      <w:r>
        <w:rPr>
          <w:rFonts w:ascii="Times New Roman" w:eastAsia="Times New Roman" w:hAnsi="Times New Roman" w:cs="Times New Roman"/>
          <w:b/>
          <w:sz w:val="28"/>
        </w:rPr>
        <w:t xml:space="preserve"> </w:t>
      </w:r>
    </w:p>
    <w:p w:rsidR="0052701D" w:rsidRDefault="00D40929">
      <w:pPr>
        <w:spacing w:after="14" w:line="313" w:lineRule="auto"/>
        <w:ind w:left="5" w:hanging="5"/>
        <w:jc w:val="center"/>
      </w:pPr>
      <w:r>
        <w:rPr>
          <w:rFonts w:ascii="Times New Roman" w:eastAsia="Times New Roman" w:hAnsi="Times New Roman" w:cs="Times New Roman"/>
          <w:sz w:val="24"/>
          <w:vertAlign w:val="superscript"/>
        </w:rPr>
        <w:t>1</w:t>
      </w:r>
      <w:r>
        <w:rPr>
          <w:rFonts w:ascii="Times New Roman" w:eastAsia="Times New Roman" w:hAnsi="Times New Roman" w:cs="Times New Roman"/>
          <w:sz w:val="24"/>
        </w:rPr>
        <w:t xml:space="preserve"> Иванов Константин Самсонович, </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xml:space="preserve">Наурызбаева Гульнара Қадырбековна , </w:t>
      </w:r>
      <w:r>
        <w:rPr>
          <w:rFonts w:ascii="Times New Roman" w:eastAsia="Times New Roman" w:hAnsi="Times New Roman" w:cs="Times New Roman"/>
          <w:sz w:val="24"/>
          <w:vertAlign w:val="superscript"/>
        </w:rPr>
        <w:t>3</w:t>
      </w:r>
      <w:r>
        <w:rPr>
          <w:rFonts w:ascii="Times New Roman" w:eastAsia="Times New Roman" w:hAnsi="Times New Roman" w:cs="Times New Roman"/>
          <w:sz w:val="24"/>
        </w:rPr>
        <w:t xml:space="preserve">Сайра Мухтаркызы Сарсенбаева </w:t>
      </w:r>
    </w:p>
    <w:p w:rsidR="0052701D" w:rsidRDefault="00D40929">
      <w:pPr>
        <w:spacing w:after="46" w:line="248" w:lineRule="auto"/>
        <w:ind w:left="713" w:right="757" w:hanging="5"/>
        <w:jc w:val="center"/>
      </w:pPr>
      <w:r>
        <w:rPr>
          <w:rFonts w:ascii="Times New Roman" w:eastAsia="Times New Roman" w:hAnsi="Times New Roman" w:cs="Times New Roman"/>
          <w:sz w:val="24"/>
          <w:vertAlign w:val="superscript"/>
        </w:rPr>
        <w:t>1</w:t>
      </w:r>
      <w:r>
        <w:rPr>
          <w:rFonts w:ascii="Times New Roman" w:eastAsia="Times New Roman" w:hAnsi="Times New Roman" w:cs="Times New Roman"/>
          <w:sz w:val="24"/>
        </w:rPr>
        <w:t xml:space="preserve">Жолдасбеков атындағы Механика және машинатану институты </w:t>
      </w:r>
    </w:p>
    <w:p w:rsidR="0052701D" w:rsidRDefault="00D40929">
      <w:pPr>
        <w:spacing w:after="73" w:line="248" w:lineRule="auto"/>
        <w:ind w:left="216" w:right="14"/>
        <w:jc w:val="both"/>
      </w:pPr>
      <w:r>
        <w:rPr>
          <w:rFonts w:ascii="Times New Roman" w:eastAsia="Times New Roman" w:hAnsi="Times New Roman" w:cs="Times New Roman"/>
          <w:sz w:val="24"/>
          <w:vertAlign w:val="superscript"/>
        </w:rPr>
        <w:t>1,2,3</w:t>
      </w:r>
      <w:r>
        <w:rPr>
          <w:rFonts w:ascii="Times New Roman" w:eastAsia="Times New Roman" w:hAnsi="Times New Roman" w:cs="Times New Roman"/>
          <w:sz w:val="24"/>
        </w:rPr>
        <w:t xml:space="preserve">«Ғұмарбек Дәукеев атындағы Алматы энергетика және байланыс университеті» КеАҚ </w:t>
      </w:r>
    </w:p>
    <w:p w:rsidR="0052701D" w:rsidRDefault="00D40929">
      <w:pPr>
        <w:spacing w:after="14" w:line="248" w:lineRule="auto"/>
        <w:ind w:left="713" w:right="749" w:hanging="5"/>
        <w:jc w:val="center"/>
      </w:pPr>
      <w:r>
        <w:rPr>
          <w:rFonts w:ascii="Times New Roman" w:eastAsia="Times New Roman" w:hAnsi="Times New Roman" w:cs="Times New Roman"/>
          <w:sz w:val="24"/>
        </w:rPr>
        <w:t xml:space="preserve">Алматы, Қазақстан </w:t>
      </w:r>
    </w:p>
    <w:p w:rsidR="0052701D" w:rsidRDefault="00D40929">
      <w:pPr>
        <w:spacing w:after="14" w:line="248" w:lineRule="auto"/>
        <w:ind w:left="713" w:right="755" w:hanging="5"/>
        <w:jc w:val="center"/>
      </w:pPr>
      <w:r>
        <w:rPr>
          <w:rFonts w:ascii="Times New Roman" w:eastAsia="Times New Roman" w:hAnsi="Times New Roman" w:cs="Times New Roman"/>
          <w:sz w:val="24"/>
        </w:rPr>
        <w:t xml:space="preserve">e-mail: k.ivanov@aues.kz, g.nauryzbayeva@aues.kz, s.sarsenbayeva@aues.kz </w:t>
      </w:r>
    </w:p>
    <w:p w:rsidR="0052701D" w:rsidRDefault="00D40929">
      <w:pPr>
        <w:spacing w:after="42"/>
        <w:ind w:left="16"/>
        <w:jc w:val="center"/>
      </w:pPr>
      <w:r>
        <w:rPr>
          <w:rFonts w:ascii="Times New Roman" w:eastAsia="Times New Roman" w:hAnsi="Times New Roman" w:cs="Times New Roman"/>
        </w:rPr>
        <w:t xml:space="preserve"> </w:t>
      </w:r>
    </w:p>
    <w:p w:rsidR="0052701D" w:rsidRDefault="00D40929">
      <w:pPr>
        <w:spacing w:after="29" w:line="248" w:lineRule="auto"/>
        <w:ind w:left="9" w:firstLine="711"/>
        <w:jc w:val="both"/>
      </w:pPr>
      <w:r>
        <w:rPr>
          <w:rFonts w:ascii="Times New Roman" w:eastAsia="Times New Roman" w:hAnsi="Times New Roman" w:cs="Times New Roman"/>
          <w:b/>
          <w:i/>
          <w:sz w:val="24"/>
        </w:rPr>
        <w:t>Аңдатпа</w:t>
      </w:r>
      <w:r>
        <w:rPr>
          <w:rFonts w:ascii="Times New Roman" w:eastAsia="Times New Roman" w:hAnsi="Times New Roman" w:cs="Times New Roman"/>
          <w:i/>
          <w:sz w:val="24"/>
        </w:rPr>
        <w:t xml:space="preserve">. Жұмыста </w:t>
      </w:r>
      <w:r>
        <w:rPr>
          <w:rFonts w:ascii="Times New Roman" w:eastAsia="Times New Roman" w:hAnsi="Times New Roman" w:cs="Times New Roman"/>
          <w:i/>
          <w:sz w:val="24"/>
        </w:rPr>
        <w:t>электрлік және механикалық жүйенің қасиеттерін біріктіру негізінде жасалған принципті жаңа электромеханикалық жетек зерттелді. Электр жетегінде электр қозғалтқышы мен беріліс механизмі бар. Адаптивті беру механизмі бұрын жасалған. Бұл механизм құралдың шығ</w:t>
      </w:r>
      <w:r>
        <w:rPr>
          <w:rFonts w:ascii="Times New Roman" w:eastAsia="Times New Roman" w:hAnsi="Times New Roman" w:cs="Times New Roman"/>
          <w:i/>
          <w:sz w:val="24"/>
        </w:rPr>
        <w:t>ыс жылдамдығының айнымалы жүктемеге тәуелсіз сәйкестігін қамтамасыз етеді. Екі еркіндік дәрежесі бар бейімделу механизмі екі симметриялық планетарлық беріліс жинағы мен қосымша шектеуді қамтиды. Зерттеудің мақсаты – планетарлық беріліс жинақтарының бірін ж</w:t>
      </w:r>
      <w:r>
        <w:rPr>
          <w:rFonts w:ascii="Times New Roman" w:eastAsia="Times New Roman" w:hAnsi="Times New Roman" w:cs="Times New Roman"/>
          <w:i/>
          <w:sz w:val="24"/>
        </w:rPr>
        <w:t xml:space="preserve">ылжымалы статоры бар электр қозғалтқышына ауыстыру арқылы электр жетегін айтарлықтай жеңілдету. Адаптивті электр жетегінің маңызды артықшылығы автономия және жоғары электрлік тиімділік болып табылады. </w:t>
      </w:r>
    </w:p>
    <w:p w:rsidR="0052701D" w:rsidRDefault="00D40929">
      <w:pPr>
        <w:spacing w:after="29" w:line="248" w:lineRule="auto"/>
        <w:ind w:left="9" w:firstLine="711"/>
        <w:jc w:val="both"/>
      </w:pPr>
      <w:r>
        <w:rPr>
          <w:rFonts w:ascii="Times New Roman" w:eastAsia="Times New Roman" w:hAnsi="Times New Roman" w:cs="Times New Roman"/>
          <w:b/>
          <w:i/>
          <w:sz w:val="24"/>
        </w:rPr>
        <w:t>Кілттік сөздер:</w:t>
      </w:r>
      <w:r>
        <w:rPr>
          <w:rFonts w:ascii="Times New Roman" w:eastAsia="Times New Roman" w:hAnsi="Times New Roman" w:cs="Times New Roman"/>
          <w:i/>
          <w:sz w:val="24"/>
        </w:rPr>
        <w:t xml:space="preserve"> адаптивті электромеханикалық жетек, пл</w:t>
      </w:r>
      <w:r>
        <w:rPr>
          <w:rFonts w:ascii="Times New Roman" w:eastAsia="Times New Roman" w:hAnsi="Times New Roman" w:cs="Times New Roman"/>
          <w:i/>
          <w:sz w:val="24"/>
        </w:rPr>
        <w:t>анетарлық беріліс жинағы, қосымша шектеу, механика, жүйе</w:t>
      </w:r>
      <w:r>
        <w:rPr>
          <w:rFonts w:ascii="Times New Roman" w:eastAsia="Times New Roman" w:hAnsi="Times New Roman" w:cs="Times New Roman"/>
          <w:b/>
          <w:i/>
          <w:sz w:val="24"/>
        </w:rPr>
        <w:t xml:space="preserve"> </w:t>
      </w:r>
    </w:p>
    <w:p w:rsidR="0052701D" w:rsidRDefault="00D40929">
      <w:pPr>
        <w:spacing w:after="0"/>
        <w:ind w:left="727"/>
        <w:jc w:val="center"/>
      </w:pPr>
      <w:r>
        <w:rPr>
          <w:rFonts w:ascii="Times New Roman" w:eastAsia="Times New Roman" w:hAnsi="Times New Roman" w:cs="Times New Roman"/>
        </w:rPr>
        <w:t xml:space="preserve"> </w:t>
      </w:r>
    </w:p>
    <w:p w:rsidR="0052701D" w:rsidRDefault="00D40929">
      <w:pPr>
        <w:spacing w:after="119"/>
        <w:ind w:left="711"/>
      </w:pPr>
      <w:r>
        <w:rPr>
          <w:rFonts w:ascii="Times New Roman" w:eastAsia="Times New Roman" w:hAnsi="Times New Roman" w:cs="Times New Roman"/>
          <w:sz w:val="20"/>
        </w:rPr>
        <w:t xml:space="preserve"> </w:t>
      </w:r>
    </w:p>
    <w:p w:rsidR="0052701D" w:rsidRDefault="00D40929">
      <w:pPr>
        <w:spacing w:after="5" w:line="251" w:lineRule="auto"/>
        <w:ind w:left="1498" w:firstLine="9"/>
      </w:pPr>
      <w:r>
        <w:rPr>
          <w:rFonts w:ascii="Times New Roman" w:eastAsia="Times New Roman" w:hAnsi="Times New Roman" w:cs="Times New Roman"/>
          <w:b/>
          <w:sz w:val="28"/>
        </w:rPr>
        <w:t xml:space="preserve">ЭЛЕКТРОМЕХАНИЧЕСКИЙ АДАПТИВНЫЙ ПРИВОД </w:t>
      </w:r>
    </w:p>
    <w:p w:rsidR="0052701D" w:rsidRDefault="00D40929">
      <w:pPr>
        <w:spacing w:after="0"/>
        <w:ind w:left="741"/>
        <w:jc w:val="center"/>
      </w:pPr>
      <w:r>
        <w:rPr>
          <w:rFonts w:ascii="Times New Roman" w:eastAsia="Times New Roman" w:hAnsi="Times New Roman" w:cs="Times New Roman"/>
          <w:b/>
          <w:sz w:val="28"/>
        </w:rPr>
        <w:t xml:space="preserve"> </w:t>
      </w:r>
    </w:p>
    <w:p w:rsidR="0052701D" w:rsidRDefault="00D40929">
      <w:pPr>
        <w:spacing w:after="85" w:line="248" w:lineRule="auto"/>
        <w:ind w:left="1316" w:right="14"/>
        <w:jc w:val="both"/>
      </w:pPr>
      <w:r>
        <w:rPr>
          <w:rFonts w:ascii="Times New Roman" w:eastAsia="Times New Roman" w:hAnsi="Times New Roman" w:cs="Times New Roman"/>
          <w:sz w:val="24"/>
          <w:vertAlign w:val="superscript"/>
        </w:rPr>
        <w:t>1</w:t>
      </w:r>
      <w:r>
        <w:rPr>
          <w:rFonts w:ascii="Times New Roman" w:eastAsia="Times New Roman" w:hAnsi="Times New Roman" w:cs="Times New Roman"/>
          <w:sz w:val="24"/>
        </w:rPr>
        <w:t xml:space="preserve">Иванов Константин Самсонович, </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xml:space="preserve">Наурызбаева Гульнара Кадырбековна, </w:t>
      </w:r>
      <w:r>
        <w:rPr>
          <w:rFonts w:ascii="Times New Roman" w:eastAsia="Times New Roman" w:hAnsi="Times New Roman" w:cs="Times New Roman"/>
          <w:sz w:val="24"/>
          <w:vertAlign w:val="superscript"/>
        </w:rPr>
        <w:t>3</w:t>
      </w:r>
      <w:r>
        <w:rPr>
          <w:rFonts w:ascii="Times New Roman" w:eastAsia="Times New Roman" w:hAnsi="Times New Roman" w:cs="Times New Roman"/>
          <w:sz w:val="24"/>
        </w:rPr>
        <w:t xml:space="preserve"> </w:t>
      </w:r>
    </w:p>
    <w:p w:rsidR="0052701D" w:rsidRDefault="00D40929">
      <w:pPr>
        <w:spacing w:after="14" w:line="248" w:lineRule="auto"/>
        <w:ind w:left="713" w:right="751" w:hanging="5"/>
        <w:jc w:val="center"/>
      </w:pPr>
      <w:r>
        <w:rPr>
          <w:rFonts w:ascii="Times New Roman" w:eastAsia="Times New Roman" w:hAnsi="Times New Roman" w:cs="Times New Roman"/>
          <w:sz w:val="24"/>
        </w:rPr>
        <w:t xml:space="preserve">Сарсенбаева Сайра Мухтаркызы </w:t>
      </w:r>
    </w:p>
    <w:p w:rsidR="0052701D" w:rsidRDefault="00D40929">
      <w:pPr>
        <w:spacing w:after="70"/>
        <w:ind w:left="10" w:right="127" w:hanging="10"/>
        <w:jc w:val="right"/>
      </w:pPr>
      <w:r>
        <w:rPr>
          <w:rFonts w:ascii="Times New Roman" w:eastAsia="Times New Roman" w:hAnsi="Times New Roman" w:cs="Times New Roman"/>
          <w:sz w:val="24"/>
          <w:vertAlign w:val="superscript"/>
        </w:rPr>
        <w:t>1,2,3</w:t>
      </w:r>
      <w:r>
        <w:rPr>
          <w:sz w:val="24"/>
        </w:rPr>
        <w:t xml:space="preserve"> </w:t>
      </w:r>
      <w:r>
        <w:rPr>
          <w:rFonts w:ascii="Times New Roman" w:eastAsia="Times New Roman" w:hAnsi="Times New Roman" w:cs="Times New Roman"/>
          <w:sz w:val="24"/>
        </w:rPr>
        <w:t>НАО «Алматинский университет энергетики и связи</w:t>
      </w:r>
      <w:r>
        <w:rPr>
          <w:rFonts w:ascii="Times New Roman" w:eastAsia="Times New Roman" w:hAnsi="Times New Roman" w:cs="Times New Roman"/>
          <w:sz w:val="24"/>
        </w:rPr>
        <w:t xml:space="preserve"> имени Гумарбека Даукеева»  </w:t>
      </w:r>
    </w:p>
    <w:p w:rsidR="0052701D" w:rsidRDefault="00D40929">
      <w:pPr>
        <w:spacing w:after="14" w:line="248" w:lineRule="auto"/>
        <w:ind w:left="713" w:right="44" w:hanging="5"/>
        <w:jc w:val="center"/>
      </w:pPr>
      <w:r>
        <w:rPr>
          <w:rFonts w:ascii="Times New Roman" w:eastAsia="Times New Roman" w:hAnsi="Times New Roman" w:cs="Times New Roman"/>
          <w:sz w:val="24"/>
        </w:rPr>
        <w:t xml:space="preserve">г.Алматы, Казахстан </w:t>
      </w:r>
    </w:p>
    <w:p w:rsidR="0052701D" w:rsidRDefault="00D40929">
      <w:pPr>
        <w:spacing w:after="29" w:line="248" w:lineRule="auto"/>
        <w:ind w:left="1393" w:right="730" w:firstLine="768"/>
        <w:jc w:val="both"/>
      </w:pPr>
      <w:r>
        <w:rPr>
          <w:rFonts w:ascii="Times New Roman" w:eastAsia="Times New Roman" w:hAnsi="Times New Roman" w:cs="Times New Roman"/>
          <w:sz w:val="24"/>
          <w:vertAlign w:val="superscript"/>
        </w:rPr>
        <w:t>1</w:t>
      </w:r>
      <w:r>
        <w:rPr>
          <w:rFonts w:ascii="Times New Roman" w:eastAsia="Times New Roman" w:hAnsi="Times New Roman" w:cs="Times New Roman"/>
          <w:sz w:val="24"/>
        </w:rPr>
        <w:t xml:space="preserve">Институт механики и машиноведения им. Джолдасбекова e-mail: k.ivanov@aues.kz, g.nauryzbayeva@aues.kz, s.sarsenbayeva@aues.kz </w:t>
      </w:r>
    </w:p>
    <w:p w:rsidR="0052701D" w:rsidRDefault="00D40929">
      <w:pPr>
        <w:spacing w:after="64"/>
        <w:ind w:left="711"/>
      </w:pPr>
      <w:r>
        <w:rPr>
          <w:rFonts w:ascii="Times New Roman" w:eastAsia="Times New Roman" w:hAnsi="Times New Roman" w:cs="Times New Roman"/>
          <w:sz w:val="20"/>
        </w:rPr>
        <w:t xml:space="preserve"> </w:t>
      </w:r>
    </w:p>
    <w:p w:rsidR="0052701D" w:rsidRDefault="00D40929">
      <w:pPr>
        <w:spacing w:after="29" w:line="248" w:lineRule="auto"/>
        <w:ind w:left="9" w:firstLine="711"/>
        <w:jc w:val="both"/>
      </w:pPr>
      <w:r>
        <w:rPr>
          <w:rFonts w:ascii="Times New Roman" w:eastAsia="Times New Roman" w:hAnsi="Times New Roman" w:cs="Times New Roman"/>
          <w:b/>
          <w:i/>
          <w:sz w:val="24"/>
        </w:rPr>
        <w:t>Аннотация.</w:t>
      </w:r>
      <w:r>
        <w:rPr>
          <w:rFonts w:ascii="Times New Roman" w:eastAsia="Times New Roman" w:hAnsi="Times New Roman" w:cs="Times New Roman"/>
          <w:i/>
          <w:sz w:val="24"/>
        </w:rPr>
        <w:t xml:space="preserve"> </w:t>
      </w:r>
      <w:r>
        <w:rPr>
          <w:rFonts w:ascii="Times New Roman" w:eastAsia="Times New Roman" w:hAnsi="Times New Roman" w:cs="Times New Roman"/>
          <w:i/>
          <w:sz w:val="24"/>
        </w:rPr>
        <w:t>Предметом исследования является принципиально новый электромеханический привод, созданный на основе объединения свойств электрической и механической системы. Электропривод содержит электродвигатель и передаточный механизм. Ранее был создан адаптивный перед</w:t>
      </w:r>
      <w:r>
        <w:rPr>
          <w:rFonts w:ascii="Times New Roman" w:eastAsia="Times New Roman" w:hAnsi="Times New Roman" w:cs="Times New Roman"/>
          <w:i/>
          <w:sz w:val="24"/>
        </w:rPr>
        <w:t>аточный механизм. Этот механизм обеспечивает независимое согласование выходной скорости инструмента с переменной нагрузкой. Адаптивный механизм с двумя степенями свободы содержит два симметричных планетарных ряда и дополнительное ограничение. Целью исследо</w:t>
      </w:r>
      <w:r>
        <w:rPr>
          <w:rFonts w:ascii="Times New Roman" w:eastAsia="Times New Roman" w:hAnsi="Times New Roman" w:cs="Times New Roman"/>
          <w:i/>
          <w:sz w:val="24"/>
        </w:rPr>
        <w:t xml:space="preserve">вания является существенное упрощение электропривода путем замены одного из планетарных рядов электродвигателем с подвижным статором. Важными преимуществами адаптивного электропривода являются автономность работы и высокий электрический КПД. </w:t>
      </w:r>
    </w:p>
    <w:p w:rsidR="0052701D" w:rsidRDefault="00D40929">
      <w:pPr>
        <w:spacing w:after="268" w:line="248" w:lineRule="auto"/>
        <w:ind w:left="9" w:firstLine="711"/>
        <w:jc w:val="both"/>
      </w:pPr>
      <w:r>
        <w:rPr>
          <w:rFonts w:ascii="Times New Roman" w:eastAsia="Times New Roman" w:hAnsi="Times New Roman" w:cs="Times New Roman"/>
          <w:b/>
          <w:i/>
          <w:sz w:val="24"/>
        </w:rPr>
        <w:t>Ключевые слов</w:t>
      </w:r>
      <w:r>
        <w:rPr>
          <w:rFonts w:ascii="Times New Roman" w:eastAsia="Times New Roman" w:hAnsi="Times New Roman" w:cs="Times New Roman"/>
          <w:b/>
          <w:i/>
          <w:sz w:val="24"/>
        </w:rPr>
        <w:t>а:</w:t>
      </w:r>
      <w:r>
        <w:rPr>
          <w:rFonts w:ascii="Times New Roman" w:eastAsia="Times New Roman" w:hAnsi="Times New Roman" w:cs="Times New Roman"/>
          <w:i/>
          <w:sz w:val="24"/>
        </w:rPr>
        <w:t xml:space="preserve"> адаптивный электромеханический привод, планетарный ряд, дополнительное ограничение, механика, система.</w:t>
      </w:r>
      <w:r>
        <w:rPr>
          <w:rFonts w:ascii="Times New Roman" w:eastAsia="Times New Roman" w:hAnsi="Times New Roman" w:cs="Times New Roman"/>
        </w:rPr>
        <w:t xml:space="preserve"> </w:t>
      </w:r>
    </w:p>
    <w:p w:rsidR="0052701D" w:rsidRDefault="00D40929">
      <w:pPr>
        <w:spacing w:after="134" w:line="251" w:lineRule="auto"/>
        <w:ind w:left="2247" w:firstLine="9"/>
      </w:pPr>
      <w:r>
        <w:rPr>
          <w:rFonts w:ascii="Times New Roman" w:eastAsia="Times New Roman" w:hAnsi="Times New Roman" w:cs="Times New Roman"/>
          <w:b/>
          <w:sz w:val="28"/>
        </w:rPr>
        <w:t xml:space="preserve">ELECTROMECHANICAL ADAPTIVE DRIVE </w:t>
      </w:r>
    </w:p>
    <w:p w:rsidR="0052701D" w:rsidRDefault="00D40929">
      <w:pPr>
        <w:spacing w:after="29" w:line="248" w:lineRule="auto"/>
        <w:ind w:left="3900" w:right="14" w:hanging="2987"/>
        <w:jc w:val="both"/>
      </w:pPr>
      <w:r>
        <w:rPr>
          <w:rFonts w:ascii="Times New Roman" w:eastAsia="Times New Roman" w:hAnsi="Times New Roman" w:cs="Times New Roman"/>
          <w:sz w:val="24"/>
          <w:vertAlign w:val="superscript"/>
        </w:rPr>
        <w:lastRenderedPageBreak/>
        <w:t>1</w:t>
      </w:r>
      <w:r>
        <w:rPr>
          <w:rFonts w:ascii="Times New Roman" w:eastAsia="Times New Roman" w:hAnsi="Times New Roman" w:cs="Times New Roman"/>
          <w:sz w:val="24"/>
        </w:rPr>
        <w:t xml:space="preserve"> Ivanov Konstantin Samsonovich, Nauryzbayeva Gulnara Kadyrbekovna, Sarsenbayeva Saira Mukhtarkyzy </w:t>
      </w:r>
      <w:r>
        <w:rPr>
          <w:rFonts w:ascii="Times New Roman" w:eastAsia="Times New Roman" w:hAnsi="Times New Roman" w:cs="Times New Roman"/>
          <w:b/>
          <w:sz w:val="24"/>
        </w:rPr>
        <w:t xml:space="preserve"> </w:t>
      </w:r>
    </w:p>
    <w:p w:rsidR="0052701D" w:rsidRDefault="00D40929">
      <w:pPr>
        <w:spacing w:after="29" w:line="248" w:lineRule="auto"/>
        <w:ind w:left="3141" w:right="287" w:hanging="2195"/>
        <w:jc w:val="both"/>
      </w:pPr>
      <w:r>
        <w:rPr>
          <w:rFonts w:ascii="Times New Roman" w:eastAsia="Times New Roman" w:hAnsi="Times New Roman" w:cs="Times New Roman"/>
          <w:sz w:val="24"/>
          <w:vertAlign w:val="superscript"/>
        </w:rPr>
        <w:t>1,2,3</w:t>
      </w:r>
      <w:r>
        <w:rPr>
          <w:rFonts w:ascii="Times New Roman" w:eastAsia="Times New Roman" w:hAnsi="Times New Roman" w:cs="Times New Roman"/>
          <w:b/>
          <w:sz w:val="18"/>
        </w:rPr>
        <w:t xml:space="preserve"> </w:t>
      </w:r>
      <w:r>
        <w:rPr>
          <w:rFonts w:ascii="Times New Roman" w:eastAsia="Times New Roman" w:hAnsi="Times New Roman" w:cs="Times New Roman"/>
          <w:sz w:val="24"/>
        </w:rPr>
        <w:t>Non-prof</w:t>
      </w:r>
      <w:r>
        <w:rPr>
          <w:rFonts w:ascii="Times New Roman" w:eastAsia="Times New Roman" w:hAnsi="Times New Roman" w:cs="Times New Roman"/>
          <w:sz w:val="24"/>
        </w:rPr>
        <w:t xml:space="preserve">it JSC «Almaty University of Power Engineering and Telecommunications named after Gumarbek Daukeyev»  Almaty, Kazakhstan </w:t>
      </w:r>
    </w:p>
    <w:p w:rsidR="0052701D" w:rsidRDefault="00D40929">
      <w:pPr>
        <w:spacing w:after="29" w:line="248" w:lineRule="auto"/>
        <w:ind w:left="2281" w:right="14"/>
        <w:jc w:val="both"/>
      </w:pPr>
      <w:r>
        <w:rPr>
          <w:rFonts w:ascii="Times New Roman" w:eastAsia="Times New Roman" w:hAnsi="Times New Roman" w:cs="Times New Roman"/>
          <w:sz w:val="24"/>
        </w:rPr>
        <w:t xml:space="preserve"> </w:t>
      </w:r>
      <w:r>
        <w:rPr>
          <w:rFonts w:ascii="Times New Roman" w:eastAsia="Times New Roman" w:hAnsi="Times New Roman" w:cs="Times New Roman"/>
          <w:sz w:val="24"/>
          <w:vertAlign w:val="superscript"/>
        </w:rPr>
        <w:t>1</w:t>
      </w:r>
      <w:r>
        <w:rPr>
          <w:rFonts w:ascii="Times New Roman" w:eastAsia="Times New Roman" w:hAnsi="Times New Roman" w:cs="Times New Roman"/>
          <w:sz w:val="24"/>
        </w:rPr>
        <w:t xml:space="preserve">Djoldasbekov Institute of Mechanics and Machine Science </w:t>
      </w:r>
    </w:p>
    <w:p w:rsidR="0052701D" w:rsidRDefault="00D40929">
      <w:pPr>
        <w:spacing w:after="29" w:line="248" w:lineRule="auto"/>
        <w:ind w:left="1393" w:right="14"/>
        <w:jc w:val="both"/>
      </w:pPr>
      <w:r>
        <w:rPr>
          <w:rFonts w:ascii="Times New Roman" w:eastAsia="Times New Roman" w:hAnsi="Times New Roman" w:cs="Times New Roman"/>
          <w:sz w:val="24"/>
        </w:rPr>
        <w:t xml:space="preserve">e-mail: k.ivanov@aues.kz, g.nauryzbayeva@aues.kz, s.sarsenbayeva@aues.kz </w:t>
      </w:r>
    </w:p>
    <w:p w:rsidR="0052701D" w:rsidRDefault="00D40929">
      <w:pPr>
        <w:spacing w:after="0"/>
        <w:ind w:left="711"/>
      </w:pPr>
      <w:r>
        <w:rPr>
          <w:rFonts w:ascii="Times New Roman" w:eastAsia="Times New Roman" w:hAnsi="Times New Roman" w:cs="Times New Roman"/>
          <w:sz w:val="24"/>
        </w:rPr>
        <w:t xml:space="preserve"> </w:t>
      </w:r>
    </w:p>
    <w:p w:rsidR="0052701D" w:rsidRDefault="00D40929">
      <w:pPr>
        <w:spacing w:after="0" w:line="248" w:lineRule="auto"/>
        <w:ind w:left="9" w:firstLine="711"/>
        <w:jc w:val="both"/>
      </w:pPr>
      <w:r>
        <w:rPr>
          <w:rFonts w:ascii="Times New Roman" w:eastAsia="Times New Roman" w:hAnsi="Times New Roman" w:cs="Times New Roman"/>
          <w:b/>
          <w:i/>
          <w:sz w:val="24"/>
        </w:rPr>
        <w:t>Abstract.</w:t>
      </w:r>
      <w:r>
        <w:rPr>
          <w:rFonts w:ascii="Times New Roman" w:eastAsia="Times New Roman" w:hAnsi="Times New Roman" w:cs="Times New Roman"/>
          <w:i/>
          <w:sz w:val="24"/>
        </w:rPr>
        <w:t xml:space="preserve"> The subject of research is the brand new electromechanical drive created on the basis of an unification of properties of electrical and mechanical system. The electric drive contains electric motor and transfer mechanism. Earlier the adaptive tr</w:t>
      </w:r>
      <w:r>
        <w:rPr>
          <w:rFonts w:ascii="Times New Roman" w:eastAsia="Times New Roman" w:hAnsi="Times New Roman" w:cs="Times New Roman"/>
          <w:i/>
          <w:sz w:val="24"/>
        </w:rPr>
        <w:t>ansfer mechanism has been created. This mechanism provides the independent conforming of an output tool speed to variable load. The adaptive mechanism with two degree of freedom contains two symmetrical planetary trains and an additional constraint. The re</w:t>
      </w:r>
      <w:r>
        <w:rPr>
          <w:rFonts w:ascii="Times New Roman" w:eastAsia="Times New Roman" w:hAnsi="Times New Roman" w:cs="Times New Roman"/>
          <w:i/>
          <w:sz w:val="24"/>
        </w:rPr>
        <w:t>search objective is an essential simplification of the electric drive by replacement of one of planetary rows by electric motor with the mobile stator. The important advantages of the adaptive electric drive are independence of work and high electric effic</w:t>
      </w:r>
      <w:r>
        <w:rPr>
          <w:rFonts w:ascii="Times New Roman" w:eastAsia="Times New Roman" w:hAnsi="Times New Roman" w:cs="Times New Roman"/>
          <w:i/>
          <w:sz w:val="24"/>
        </w:rPr>
        <w:t>iency.</w:t>
      </w:r>
      <w:r>
        <w:rPr>
          <w:rFonts w:ascii="Times New Roman" w:eastAsia="Times New Roman" w:hAnsi="Times New Roman" w:cs="Times New Roman"/>
          <w:b/>
          <w:i/>
          <w:sz w:val="24"/>
        </w:rPr>
        <w:t xml:space="preserve"> </w:t>
      </w:r>
    </w:p>
    <w:p w:rsidR="0052701D" w:rsidRDefault="00D40929">
      <w:pPr>
        <w:spacing w:after="0" w:line="248" w:lineRule="auto"/>
        <w:ind w:left="9" w:firstLine="711"/>
        <w:jc w:val="both"/>
      </w:pPr>
      <w:r>
        <w:rPr>
          <w:rFonts w:ascii="Times New Roman" w:eastAsia="Times New Roman" w:hAnsi="Times New Roman" w:cs="Times New Roman"/>
          <w:b/>
          <w:i/>
          <w:sz w:val="24"/>
        </w:rPr>
        <w:t>Keywords:</w:t>
      </w:r>
      <w:r>
        <w:rPr>
          <w:rFonts w:ascii="Times New Roman" w:eastAsia="Times New Roman" w:hAnsi="Times New Roman" w:cs="Times New Roman"/>
          <w:i/>
          <w:sz w:val="24"/>
        </w:rPr>
        <w:t xml:space="preserve">  adaptive electromechanical drive, planetary row, additional constraint, mechanics, system </w:t>
      </w:r>
    </w:p>
    <w:p w:rsidR="0052701D" w:rsidRDefault="00D40929">
      <w:pPr>
        <w:spacing w:after="0"/>
        <w:ind w:left="711"/>
      </w:pPr>
      <w:r>
        <w:rPr>
          <w:rFonts w:ascii="Times New Roman" w:eastAsia="Times New Roman" w:hAnsi="Times New Roman" w:cs="Times New Roman"/>
          <w:b/>
        </w:rPr>
        <w:t xml:space="preserve"> </w:t>
      </w:r>
    </w:p>
    <w:p w:rsidR="0052701D" w:rsidRDefault="00D40929">
      <w:pPr>
        <w:spacing w:after="5" w:line="251" w:lineRule="auto"/>
        <w:ind w:left="720" w:firstLine="9"/>
      </w:pPr>
      <w:r>
        <w:rPr>
          <w:rFonts w:ascii="Times New Roman" w:eastAsia="Times New Roman" w:hAnsi="Times New Roman" w:cs="Times New Roman"/>
          <w:b/>
          <w:sz w:val="28"/>
        </w:rPr>
        <w:t xml:space="preserve">Кіріспе </w:t>
      </w:r>
    </w:p>
    <w:p w:rsidR="0052701D" w:rsidRDefault="00D40929">
      <w:pPr>
        <w:spacing w:after="5" w:line="271" w:lineRule="auto"/>
        <w:ind w:left="9" w:right="64" w:firstLine="711"/>
        <w:jc w:val="both"/>
      </w:pPr>
      <w:r>
        <w:rPr>
          <w:rFonts w:ascii="Times New Roman" w:eastAsia="Times New Roman" w:hAnsi="Times New Roman" w:cs="Times New Roman"/>
          <w:sz w:val="28"/>
        </w:rPr>
        <w:t>Бейімделу механизмі екі симметриялық планетарлық беріліс жинағы (сол және оң жақ) бар екі еркіндік дәрежесі бар дөңгелек жүйесі болып т</w:t>
      </w:r>
      <w:r>
        <w:rPr>
          <w:rFonts w:ascii="Times New Roman" w:eastAsia="Times New Roman" w:hAnsi="Times New Roman" w:cs="Times New Roman"/>
          <w:sz w:val="28"/>
        </w:rPr>
        <w:t xml:space="preserve">абылады. Бұл механизмдердің орталық дөңгелектері (күн және сақина) күн доңғалақтары блогына және сақиналы дөңгелектер блогына қосылған. </w:t>
      </w:r>
    </w:p>
    <w:p w:rsidR="0052701D" w:rsidRDefault="00D40929">
      <w:pPr>
        <w:spacing w:after="5" w:line="271" w:lineRule="auto"/>
        <w:ind w:left="9" w:right="64" w:firstLine="711"/>
        <w:jc w:val="both"/>
      </w:pPr>
      <w:r>
        <w:rPr>
          <w:rFonts w:ascii="Times New Roman" w:eastAsia="Times New Roman" w:hAnsi="Times New Roman" w:cs="Times New Roman"/>
          <w:sz w:val="28"/>
        </w:rPr>
        <w:t>Зерттеудің мақсаты – патентке сәйкес планетарлық беріліс жинақтарының бірін (мысалы, оң жақтағы қатарды) жылжымалы стат</w:t>
      </w:r>
      <w:r>
        <w:rPr>
          <w:rFonts w:ascii="Times New Roman" w:eastAsia="Times New Roman" w:hAnsi="Times New Roman" w:cs="Times New Roman"/>
          <w:sz w:val="28"/>
        </w:rPr>
        <w:t xml:space="preserve">оры мен роторы бар электр қозғалтқышымен (1-сурет) ауыстыру арқылы электр жетекті айтарлықтай жеңілдету [2]. Статор сақиналы дөңгелекті ауыстырады, ротор күн дөңгелегін ауыстырады. Статор мен ротор 4, 5, 6 дөңгелектері және шығыс тасымалдағышы бар сол жақ </w:t>
      </w:r>
      <w:r>
        <w:rPr>
          <w:rFonts w:ascii="Times New Roman" w:eastAsia="Times New Roman" w:hAnsi="Times New Roman" w:cs="Times New Roman"/>
          <w:sz w:val="28"/>
        </w:rPr>
        <w:t xml:space="preserve">планетарлық берілістің орталық дөңгелектерімен біріктірілген. Статор мен ротордың электрлік әрекеттесуі берілген қуатпен кіріс звеносының қызметін анықтайды. Статорға 1 қосылған орталықтан тепкіш реттегіш 3 қозғалыстың анықталуын қамтамасыз ететін қосымша </w:t>
      </w:r>
      <w:r>
        <w:rPr>
          <w:rFonts w:ascii="Times New Roman" w:eastAsia="Times New Roman" w:hAnsi="Times New Roman" w:cs="Times New Roman"/>
          <w:sz w:val="28"/>
        </w:rPr>
        <w:t xml:space="preserve">динамикалық қосылымды құруға қызмет етеді. </w:t>
      </w:r>
    </w:p>
    <w:p w:rsidR="0052701D" w:rsidRDefault="00D40929">
      <w:pPr>
        <w:spacing w:after="5" w:line="271" w:lineRule="auto"/>
        <w:ind w:left="9" w:right="64" w:firstLine="711"/>
        <w:jc w:val="both"/>
      </w:pPr>
      <w:r>
        <w:rPr>
          <w:rFonts w:ascii="Times New Roman" w:eastAsia="Times New Roman" w:hAnsi="Times New Roman" w:cs="Times New Roman"/>
          <w:sz w:val="28"/>
        </w:rPr>
        <w:t>Адаптивті механизмдердің соңғы зерттеулері [3, 4] екі еркіндік дәрежесі болған кездегі адаптивті механизм қозғалыстың анықталуы үшін қажетті және жеткілікті жағдайларға ие болуы керек екенін көрсетті. Қажетті шар</w:t>
      </w:r>
      <w:r>
        <w:rPr>
          <w:rFonts w:ascii="Times New Roman" w:eastAsia="Times New Roman" w:hAnsi="Times New Roman" w:cs="Times New Roman"/>
          <w:sz w:val="28"/>
        </w:rPr>
        <w:t>т - жылжымалы жабық контурдың болуы. Жаңа электромеханикалық жетекте қозғалатын звенолар статор мен ротордың әрекеттесуімен тұйықталған 1-4-5-6-2 контурын құрайды. Кинематикалық тізбектің қозғалысын шектейтін қосымша шектеудің болуы жеткілікті шарт болып т</w:t>
      </w:r>
      <w:r>
        <w:rPr>
          <w:rFonts w:ascii="Times New Roman" w:eastAsia="Times New Roman" w:hAnsi="Times New Roman" w:cs="Times New Roman"/>
          <w:sz w:val="28"/>
        </w:rPr>
        <w:t xml:space="preserve">абылады. Жаңа жетектегі қосымша қосылым динамикалық түрлендіргіш арқылы жүзеге асырылады 3. Орталықтан тепкіш реттегіш жылжымалы қуат тірегін жасайды, бұл қарсылықтың айнымалы шығыс моментін еңсеруге мүмкіндік береді. Нәтижесінде жаңа бейімделгіш </w:t>
      </w:r>
      <w:r>
        <w:rPr>
          <w:rFonts w:ascii="Times New Roman" w:eastAsia="Times New Roman" w:hAnsi="Times New Roman" w:cs="Times New Roman"/>
          <w:sz w:val="28"/>
        </w:rPr>
        <w:lastRenderedPageBreak/>
        <w:t>электроме</w:t>
      </w:r>
      <w:r>
        <w:rPr>
          <w:rFonts w:ascii="Times New Roman" w:eastAsia="Times New Roman" w:hAnsi="Times New Roman" w:cs="Times New Roman"/>
          <w:sz w:val="28"/>
        </w:rPr>
        <w:t xml:space="preserve">ханикалық электр жетегі қарапайым дизайнға ие болады және қозғалысты анықтауды қамтамасыз етеді.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 Мақала адаптивті электромеханикалық жетектің сипаттамасына, оның қуаты мен кинематикалық талдауына сандық мысалға арналған. </w:t>
      </w:r>
    </w:p>
    <w:p w:rsidR="0052701D" w:rsidRDefault="00D40929">
      <w:pPr>
        <w:spacing w:after="0"/>
        <w:ind w:left="741"/>
        <w:jc w:val="center"/>
      </w:pPr>
      <w:r>
        <w:rPr>
          <w:rFonts w:ascii="Times New Roman" w:eastAsia="Times New Roman" w:hAnsi="Times New Roman" w:cs="Times New Roman"/>
          <w:sz w:val="28"/>
        </w:rPr>
        <w:t xml:space="preserve"> </w:t>
      </w:r>
    </w:p>
    <w:p w:rsidR="0052701D" w:rsidRDefault="00D40929">
      <w:pPr>
        <w:spacing w:after="5"/>
        <w:ind w:left="2529"/>
      </w:pPr>
      <w:r>
        <w:rPr>
          <w:noProof/>
        </w:rPr>
        <mc:AlternateContent>
          <mc:Choice Requires="wpg">
            <w:drawing>
              <wp:inline distT="0" distB="0" distL="0" distR="0">
                <wp:extent cx="3396361" cy="2620831"/>
                <wp:effectExtent l="0" t="0" r="0" b="0"/>
                <wp:docPr id="934784" name="Group 934784"/>
                <wp:cNvGraphicFramePr/>
                <a:graphic xmlns:a="http://schemas.openxmlformats.org/drawingml/2006/main">
                  <a:graphicData uri="http://schemas.microsoft.com/office/word/2010/wordprocessingGroup">
                    <wpg:wgp>
                      <wpg:cNvGrpSpPr/>
                      <wpg:grpSpPr>
                        <a:xfrm>
                          <a:off x="0" y="0"/>
                          <a:ext cx="3396361" cy="2620831"/>
                          <a:chOff x="0" y="0"/>
                          <a:chExt cx="3396361" cy="2620831"/>
                        </a:xfrm>
                      </wpg:grpSpPr>
                      <wps:wsp>
                        <wps:cNvPr id="19890" name="Rectangle 19890"/>
                        <wps:cNvSpPr/>
                        <wps:spPr>
                          <a:xfrm>
                            <a:off x="3361309" y="2465620"/>
                            <a:ext cx="46619" cy="206430"/>
                          </a:xfrm>
                          <a:prstGeom prst="rect">
                            <a:avLst/>
                          </a:prstGeom>
                          <a:ln>
                            <a:noFill/>
                          </a:ln>
                        </wps:spPr>
                        <wps:txbx>
                          <w:txbxContent>
                            <w:p w:rsidR="0052701D" w:rsidRDefault="00D40929">
                              <w:r>
                                <w:rPr>
                                  <w:rFonts w:ascii="Times New Roman" w:eastAsia="Times New Roman" w:hAnsi="Times New Roman" w:cs="Times New Roman"/>
                                  <w:b/>
                                </w:rPr>
                                <w:t xml:space="preserve"> </w:t>
                              </w:r>
                            </w:p>
                          </w:txbxContent>
                        </wps:txbx>
                        <wps:bodyPr horzOverflow="overflow" vert="horz" lIns="0" tIns="0" rIns="0" bIns="0" rtlCol="0">
                          <a:noAutofit/>
                        </wps:bodyPr>
                      </wps:wsp>
                      <pic:pic xmlns:pic="http://schemas.openxmlformats.org/drawingml/2006/picture">
                        <pic:nvPicPr>
                          <pic:cNvPr id="19900" name="Picture 19900"/>
                          <pic:cNvPicPr/>
                        </pic:nvPicPr>
                        <pic:blipFill>
                          <a:blip r:embed="rId256"/>
                          <a:stretch>
                            <a:fillRect/>
                          </a:stretch>
                        </pic:blipFill>
                        <pic:spPr>
                          <a:xfrm>
                            <a:off x="0" y="60960"/>
                            <a:ext cx="3361944" cy="2438400"/>
                          </a:xfrm>
                          <a:prstGeom prst="rect">
                            <a:avLst/>
                          </a:prstGeom>
                        </pic:spPr>
                      </pic:pic>
                      <wps:wsp>
                        <wps:cNvPr id="19901" name="Rectangle 19901"/>
                        <wps:cNvSpPr/>
                        <wps:spPr>
                          <a:xfrm>
                            <a:off x="92329" y="1216558"/>
                            <a:ext cx="45900" cy="206865"/>
                          </a:xfrm>
                          <a:prstGeom prst="rect">
                            <a:avLst/>
                          </a:prstGeom>
                          <a:ln>
                            <a:noFill/>
                          </a:ln>
                        </wps:spPr>
                        <wps:txbx>
                          <w:txbxContent>
                            <w:p w:rsidR="0052701D" w:rsidRDefault="00D40929">
                              <w:r>
                                <w:rPr>
                                  <w:sz w:val="24"/>
                                </w:rPr>
                                <w:t xml:space="preserve"> </w:t>
                              </w:r>
                            </w:p>
                          </w:txbxContent>
                        </wps:txbx>
                        <wps:bodyPr horzOverflow="overflow" vert="horz" lIns="0" tIns="0" rIns="0" bIns="0" rtlCol="0">
                          <a:noAutofit/>
                        </wps:bodyPr>
                      </wps:wsp>
                      <wps:wsp>
                        <wps:cNvPr id="19902" name="Shape 19902"/>
                        <wps:cNvSpPr/>
                        <wps:spPr>
                          <a:xfrm>
                            <a:off x="1941576" y="341376"/>
                            <a:ext cx="810768" cy="694944"/>
                          </a:xfrm>
                          <a:custGeom>
                            <a:avLst/>
                            <a:gdLst/>
                            <a:ahLst/>
                            <a:cxnLst/>
                            <a:rect l="0" t="0" r="0" b="0"/>
                            <a:pathLst>
                              <a:path w="810768" h="694944">
                                <a:moveTo>
                                  <a:pt x="0" y="694944"/>
                                </a:moveTo>
                                <a:lnTo>
                                  <a:pt x="810768" y="0"/>
                                </a:lnTo>
                              </a:path>
                            </a:pathLst>
                          </a:custGeom>
                          <a:ln w="18288"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048701" name="Picture 1048701"/>
                          <pic:cNvPicPr/>
                        </pic:nvPicPr>
                        <pic:blipFill>
                          <a:blip r:embed="rId257"/>
                          <a:stretch>
                            <a:fillRect/>
                          </a:stretch>
                        </pic:blipFill>
                        <pic:spPr>
                          <a:xfrm>
                            <a:off x="995680" y="509015"/>
                            <a:ext cx="445008" cy="1517904"/>
                          </a:xfrm>
                          <a:prstGeom prst="rect">
                            <a:avLst/>
                          </a:prstGeom>
                        </pic:spPr>
                      </pic:pic>
                      <wps:wsp>
                        <wps:cNvPr id="19905" name="Shape 19905"/>
                        <wps:cNvSpPr/>
                        <wps:spPr>
                          <a:xfrm>
                            <a:off x="999744" y="515111"/>
                            <a:ext cx="438912" cy="1514856"/>
                          </a:xfrm>
                          <a:custGeom>
                            <a:avLst/>
                            <a:gdLst/>
                            <a:ahLst/>
                            <a:cxnLst/>
                            <a:rect l="0" t="0" r="0" b="0"/>
                            <a:pathLst>
                              <a:path w="438912" h="1514856">
                                <a:moveTo>
                                  <a:pt x="0" y="1514856"/>
                                </a:moveTo>
                                <a:lnTo>
                                  <a:pt x="438912" y="1514856"/>
                                </a:lnTo>
                                <a:lnTo>
                                  <a:pt x="438912" y="0"/>
                                </a:lnTo>
                                <a:lnTo>
                                  <a:pt x="0" y="0"/>
                                </a:lnTo>
                                <a:close/>
                              </a:path>
                            </a:pathLst>
                          </a:custGeom>
                          <a:ln w="12192"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9907" name="Picture 19907"/>
                          <pic:cNvPicPr/>
                        </pic:nvPicPr>
                        <pic:blipFill>
                          <a:blip r:embed="rId258"/>
                          <a:stretch>
                            <a:fillRect/>
                          </a:stretch>
                        </pic:blipFill>
                        <pic:spPr>
                          <a:xfrm>
                            <a:off x="1005840" y="612648"/>
                            <a:ext cx="426720" cy="1319784"/>
                          </a:xfrm>
                          <a:prstGeom prst="rect">
                            <a:avLst/>
                          </a:prstGeom>
                        </pic:spPr>
                      </pic:pic>
                      <wps:wsp>
                        <wps:cNvPr id="19908" name="Rectangle 19908"/>
                        <wps:cNvSpPr/>
                        <wps:spPr>
                          <a:xfrm>
                            <a:off x="1098804" y="1210462"/>
                            <a:ext cx="45900" cy="206866"/>
                          </a:xfrm>
                          <a:prstGeom prst="rect">
                            <a:avLst/>
                          </a:prstGeom>
                          <a:ln>
                            <a:noFill/>
                          </a:ln>
                        </wps:spPr>
                        <wps:txbx>
                          <w:txbxContent>
                            <w:p w:rsidR="0052701D" w:rsidRDefault="00D40929">
                              <w:r>
                                <w:rPr>
                                  <w:sz w:val="24"/>
                                </w:rPr>
                                <w:t xml:space="preserve"> </w:t>
                              </w:r>
                            </w:p>
                          </w:txbxContent>
                        </wps:txbx>
                        <wps:bodyPr horzOverflow="overflow" vert="horz" lIns="0" tIns="0" rIns="0" bIns="0" rtlCol="0">
                          <a:noAutofit/>
                        </wps:bodyPr>
                      </wps:wsp>
                      <pic:pic xmlns:pic="http://schemas.openxmlformats.org/drawingml/2006/picture">
                        <pic:nvPicPr>
                          <pic:cNvPr id="1048702" name="Picture 1048702"/>
                          <pic:cNvPicPr/>
                        </pic:nvPicPr>
                        <pic:blipFill>
                          <a:blip r:embed="rId259"/>
                          <a:stretch>
                            <a:fillRect/>
                          </a:stretch>
                        </pic:blipFill>
                        <pic:spPr>
                          <a:xfrm>
                            <a:off x="995680" y="230632"/>
                            <a:ext cx="435864" cy="228600"/>
                          </a:xfrm>
                          <a:prstGeom prst="rect">
                            <a:avLst/>
                          </a:prstGeom>
                        </pic:spPr>
                      </pic:pic>
                      <wps:wsp>
                        <wps:cNvPr id="19910" name="Shape 19910"/>
                        <wps:cNvSpPr/>
                        <wps:spPr>
                          <a:xfrm>
                            <a:off x="999744" y="237744"/>
                            <a:ext cx="429768" cy="222504"/>
                          </a:xfrm>
                          <a:custGeom>
                            <a:avLst/>
                            <a:gdLst/>
                            <a:ahLst/>
                            <a:cxnLst/>
                            <a:rect l="0" t="0" r="0" b="0"/>
                            <a:pathLst>
                              <a:path w="429768" h="222504">
                                <a:moveTo>
                                  <a:pt x="0" y="222504"/>
                                </a:moveTo>
                                <a:lnTo>
                                  <a:pt x="429768" y="222504"/>
                                </a:lnTo>
                                <a:lnTo>
                                  <a:pt x="429768" y="0"/>
                                </a:lnTo>
                                <a:lnTo>
                                  <a:pt x="0" y="0"/>
                                </a:lnTo>
                                <a:close/>
                              </a:path>
                            </a:pathLst>
                          </a:custGeom>
                          <a:ln w="12192"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9912" name="Picture 19912"/>
                          <pic:cNvPicPr/>
                        </pic:nvPicPr>
                        <pic:blipFill>
                          <a:blip r:embed="rId260"/>
                          <a:stretch>
                            <a:fillRect/>
                          </a:stretch>
                        </pic:blipFill>
                        <pic:spPr>
                          <a:xfrm>
                            <a:off x="1005840" y="335280"/>
                            <a:ext cx="417576" cy="27432"/>
                          </a:xfrm>
                          <a:prstGeom prst="rect">
                            <a:avLst/>
                          </a:prstGeom>
                        </pic:spPr>
                      </pic:pic>
                      <pic:pic xmlns:pic="http://schemas.openxmlformats.org/drawingml/2006/picture">
                        <pic:nvPicPr>
                          <pic:cNvPr id="1048703" name="Picture 1048703"/>
                          <pic:cNvPicPr/>
                        </pic:nvPicPr>
                        <pic:blipFill>
                          <a:blip r:embed="rId261"/>
                          <a:stretch>
                            <a:fillRect/>
                          </a:stretch>
                        </pic:blipFill>
                        <pic:spPr>
                          <a:xfrm>
                            <a:off x="995680" y="2074672"/>
                            <a:ext cx="435864" cy="228600"/>
                          </a:xfrm>
                          <a:prstGeom prst="rect">
                            <a:avLst/>
                          </a:prstGeom>
                        </pic:spPr>
                      </pic:pic>
                      <wps:wsp>
                        <wps:cNvPr id="19914" name="Shape 19914"/>
                        <wps:cNvSpPr/>
                        <wps:spPr>
                          <a:xfrm>
                            <a:off x="999744" y="2081784"/>
                            <a:ext cx="429768" cy="222503"/>
                          </a:xfrm>
                          <a:custGeom>
                            <a:avLst/>
                            <a:gdLst/>
                            <a:ahLst/>
                            <a:cxnLst/>
                            <a:rect l="0" t="0" r="0" b="0"/>
                            <a:pathLst>
                              <a:path w="429768" h="222503">
                                <a:moveTo>
                                  <a:pt x="0" y="222503"/>
                                </a:moveTo>
                                <a:lnTo>
                                  <a:pt x="429768" y="222503"/>
                                </a:lnTo>
                                <a:lnTo>
                                  <a:pt x="429768" y="0"/>
                                </a:lnTo>
                                <a:lnTo>
                                  <a:pt x="0" y="0"/>
                                </a:lnTo>
                                <a:close/>
                              </a:path>
                            </a:pathLst>
                          </a:custGeom>
                          <a:ln w="12192"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9916" name="Picture 19916"/>
                          <pic:cNvPicPr/>
                        </pic:nvPicPr>
                        <pic:blipFill>
                          <a:blip r:embed="rId260"/>
                          <a:stretch>
                            <a:fillRect/>
                          </a:stretch>
                        </pic:blipFill>
                        <pic:spPr>
                          <a:xfrm rot="-10799999">
                            <a:off x="1008507" y="2179319"/>
                            <a:ext cx="417576" cy="24384"/>
                          </a:xfrm>
                          <a:prstGeom prst="rect">
                            <a:avLst/>
                          </a:prstGeom>
                        </pic:spPr>
                      </pic:pic>
                      <wps:wsp>
                        <wps:cNvPr id="19917" name="Shape 19917"/>
                        <wps:cNvSpPr/>
                        <wps:spPr>
                          <a:xfrm>
                            <a:off x="487680" y="1277111"/>
                            <a:ext cx="512064" cy="0"/>
                          </a:xfrm>
                          <a:custGeom>
                            <a:avLst/>
                            <a:gdLst/>
                            <a:ahLst/>
                            <a:cxnLst/>
                            <a:rect l="0" t="0" r="0" b="0"/>
                            <a:pathLst>
                              <a:path w="512064">
                                <a:moveTo>
                                  <a:pt x="0" y="0"/>
                                </a:moveTo>
                                <a:lnTo>
                                  <a:pt x="512064" y="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19918" name="Shape 19918"/>
                        <wps:cNvSpPr/>
                        <wps:spPr>
                          <a:xfrm>
                            <a:off x="1441704" y="1277111"/>
                            <a:ext cx="1786128" cy="0"/>
                          </a:xfrm>
                          <a:custGeom>
                            <a:avLst/>
                            <a:gdLst/>
                            <a:ahLst/>
                            <a:cxnLst/>
                            <a:rect l="0" t="0" r="0" b="0"/>
                            <a:pathLst>
                              <a:path w="1786128">
                                <a:moveTo>
                                  <a:pt x="0" y="0"/>
                                </a:moveTo>
                                <a:lnTo>
                                  <a:pt x="1786128" y="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19919" name="Shape 19919"/>
                        <wps:cNvSpPr/>
                        <wps:spPr>
                          <a:xfrm>
                            <a:off x="283464" y="1173480"/>
                            <a:ext cx="0" cy="60960"/>
                          </a:xfrm>
                          <a:custGeom>
                            <a:avLst/>
                            <a:gdLst/>
                            <a:ahLst/>
                            <a:cxnLst/>
                            <a:rect l="0" t="0" r="0" b="0"/>
                            <a:pathLst>
                              <a:path h="60960">
                                <a:moveTo>
                                  <a:pt x="0" y="0"/>
                                </a:moveTo>
                                <a:lnTo>
                                  <a:pt x="0" y="6096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19920" name="Shape 19920"/>
                        <wps:cNvSpPr/>
                        <wps:spPr>
                          <a:xfrm>
                            <a:off x="396240" y="1173480"/>
                            <a:ext cx="0" cy="60960"/>
                          </a:xfrm>
                          <a:custGeom>
                            <a:avLst/>
                            <a:gdLst/>
                            <a:ahLst/>
                            <a:cxnLst/>
                            <a:rect l="0" t="0" r="0" b="0"/>
                            <a:pathLst>
                              <a:path h="60960">
                                <a:moveTo>
                                  <a:pt x="0" y="0"/>
                                </a:moveTo>
                                <a:lnTo>
                                  <a:pt x="0" y="6096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19921" name="Shape 19921"/>
                        <wps:cNvSpPr/>
                        <wps:spPr>
                          <a:xfrm>
                            <a:off x="283464" y="1234439"/>
                            <a:ext cx="112776" cy="0"/>
                          </a:xfrm>
                          <a:custGeom>
                            <a:avLst/>
                            <a:gdLst/>
                            <a:ahLst/>
                            <a:cxnLst/>
                            <a:rect l="0" t="0" r="0" b="0"/>
                            <a:pathLst>
                              <a:path w="112776">
                                <a:moveTo>
                                  <a:pt x="0" y="0"/>
                                </a:moveTo>
                                <a:lnTo>
                                  <a:pt x="112776" y="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19923" name="Shape 19923"/>
                        <wps:cNvSpPr/>
                        <wps:spPr>
                          <a:xfrm>
                            <a:off x="1661160" y="1338072"/>
                            <a:ext cx="0" cy="57912"/>
                          </a:xfrm>
                          <a:custGeom>
                            <a:avLst/>
                            <a:gdLst/>
                            <a:ahLst/>
                            <a:cxnLst/>
                            <a:rect l="0" t="0" r="0" b="0"/>
                            <a:pathLst>
                              <a:path h="57912">
                                <a:moveTo>
                                  <a:pt x="0" y="57912"/>
                                </a:moveTo>
                                <a:lnTo>
                                  <a:pt x="0" y="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19924" name="Shape 19924"/>
                        <wps:cNvSpPr/>
                        <wps:spPr>
                          <a:xfrm>
                            <a:off x="1773936" y="1338072"/>
                            <a:ext cx="0" cy="57912"/>
                          </a:xfrm>
                          <a:custGeom>
                            <a:avLst/>
                            <a:gdLst/>
                            <a:ahLst/>
                            <a:cxnLst/>
                            <a:rect l="0" t="0" r="0" b="0"/>
                            <a:pathLst>
                              <a:path h="57912">
                                <a:moveTo>
                                  <a:pt x="0" y="57912"/>
                                </a:moveTo>
                                <a:lnTo>
                                  <a:pt x="0" y="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19925" name="Shape 19925"/>
                        <wps:cNvSpPr/>
                        <wps:spPr>
                          <a:xfrm>
                            <a:off x="1661160" y="1338072"/>
                            <a:ext cx="112776" cy="0"/>
                          </a:xfrm>
                          <a:custGeom>
                            <a:avLst/>
                            <a:gdLst/>
                            <a:ahLst/>
                            <a:cxnLst/>
                            <a:rect l="0" t="0" r="0" b="0"/>
                            <a:pathLst>
                              <a:path w="112776">
                                <a:moveTo>
                                  <a:pt x="0" y="0"/>
                                </a:moveTo>
                                <a:lnTo>
                                  <a:pt x="112776" y="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19926" name="Shape 19926"/>
                        <wps:cNvSpPr/>
                        <wps:spPr>
                          <a:xfrm>
                            <a:off x="3087624" y="1005839"/>
                            <a:ext cx="0" cy="240792"/>
                          </a:xfrm>
                          <a:custGeom>
                            <a:avLst/>
                            <a:gdLst/>
                            <a:ahLst/>
                            <a:cxnLst/>
                            <a:rect l="0" t="0" r="0" b="0"/>
                            <a:pathLst>
                              <a:path h="240792">
                                <a:moveTo>
                                  <a:pt x="0" y="240792"/>
                                </a:moveTo>
                                <a:lnTo>
                                  <a:pt x="0" y="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19927" name="Shape 19927"/>
                        <wps:cNvSpPr/>
                        <wps:spPr>
                          <a:xfrm>
                            <a:off x="1633728" y="1307592"/>
                            <a:ext cx="167640" cy="0"/>
                          </a:xfrm>
                          <a:custGeom>
                            <a:avLst/>
                            <a:gdLst/>
                            <a:ahLst/>
                            <a:cxnLst/>
                            <a:rect l="0" t="0" r="0" b="0"/>
                            <a:pathLst>
                              <a:path w="167640">
                                <a:moveTo>
                                  <a:pt x="0" y="0"/>
                                </a:moveTo>
                                <a:lnTo>
                                  <a:pt x="167640" y="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19929" name="Shape 19929"/>
                        <wps:cNvSpPr/>
                        <wps:spPr>
                          <a:xfrm>
                            <a:off x="1661160" y="1155192"/>
                            <a:ext cx="0" cy="60961"/>
                          </a:xfrm>
                          <a:custGeom>
                            <a:avLst/>
                            <a:gdLst/>
                            <a:ahLst/>
                            <a:cxnLst/>
                            <a:rect l="0" t="0" r="0" b="0"/>
                            <a:pathLst>
                              <a:path h="60961">
                                <a:moveTo>
                                  <a:pt x="0" y="0"/>
                                </a:moveTo>
                                <a:lnTo>
                                  <a:pt x="0" y="60961"/>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19930" name="Shape 19930"/>
                        <wps:cNvSpPr/>
                        <wps:spPr>
                          <a:xfrm>
                            <a:off x="1773936" y="1155192"/>
                            <a:ext cx="0" cy="60961"/>
                          </a:xfrm>
                          <a:custGeom>
                            <a:avLst/>
                            <a:gdLst/>
                            <a:ahLst/>
                            <a:cxnLst/>
                            <a:rect l="0" t="0" r="0" b="0"/>
                            <a:pathLst>
                              <a:path h="60961">
                                <a:moveTo>
                                  <a:pt x="0" y="0"/>
                                </a:moveTo>
                                <a:lnTo>
                                  <a:pt x="0" y="60961"/>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19931" name="Shape 19931"/>
                        <wps:cNvSpPr/>
                        <wps:spPr>
                          <a:xfrm>
                            <a:off x="1661160" y="1216152"/>
                            <a:ext cx="112776" cy="0"/>
                          </a:xfrm>
                          <a:custGeom>
                            <a:avLst/>
                            <a:gdLst/>
                            <a:ahLst/>
                            <a:cxnLst/>
                            <a:rect l="0" t="0" r="0" b="0"/>
                            <a:pathLst>
                              <a:path w="112776">
                                <a:moveTo>
                                  <a:pt x="0" y="0"/>
                                </a:moveTo>
                                <a:lnTo>
                                  <a:pt x="112776" y="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19932" name="Shape 19932"/>
                        <wps:cNvSpPr/>
                        <wps:spPr>
                          <a:xfrm>
                            <a:off x="1801368" y="1036320"/>
                            <a:ext cx="0" cy="210312"/>
                          </a:xfrm>
                          <a:custGeom>
                            <a:avLst/>
                            <a:gdLst/>
                            <a:ahLst/>
                            <a:cxnLst/>
                            <a:rect l="0" t="0" r="0" b="0"/>
                            <a:pathLst>
                              <a:path h="210312">
                                <a:moveTo>
                                  <a:pt x="0" y="0"/>
                                </a:moveTo>
                                <a:lnTo>
                                  <a:pt x="0" y="210312"/>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19933" name="Shape 19933"/>
                        <wps:cNvSpPr/>
                        <wps:spPr>
                          <a:xfrm>
                            <a:off x="1633728" y="1246632"/>
                            <a:ext cx="167640" cy="0"/>
                          </a:xfrm>
                          <a:custGeom>
                            <a:avLst/>
                            <a:gdLst/>
                            <a:ahLst/>
                            <a:cxnLst/>
                            <a:rect l="0" t="0" r="0" b="0"/>
                            <a:pathLst>
                              <a:path w="167640">
                                <a:moveTo>
                                  <a:pt x="0" y="0"/>
                                </a:moveTo>
                                <a:lnTo>
                                  <a:pt x="167640" y="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19934" name="Shape 19934"/>
                        <wps:cNvSpPr/>
                        <wps:spPr>
                          <a:xfrm>
                            <a:off x="795528" y="460248"/>
                            <a:ext cx="838200" cy="0"/>
                          </a:xfrm>
                          <a:custGeom>
                            <a:avLst/>
                            <a:gdLst/>
                            <a:ahLst/>
                            <a:cxnLst/>
                            <a:rect l="0" t="0" r="0" b="0"/>
                            <a:pathLst>
                              <a:path w="838200">
                                <a:moveTo>
                                  <a:pt x="0" y="0"/>
                                </a:moveTo>
                                <a:lnTo>
                                  <a:pt x="838200" y="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19936" name="Shape 19936"/>
                        <wps:cNvSpPr/>
                        <wps:spPr>
                          <a:xfrm>
                            <a:off x="283464" y="1310639"/>
                            <a:ext cx="0" cy="60961"/>
                          </a:xfrm>
                          <a:custGeom>
                            <a:avLst/>
                            <a:gdLst/>
                            <a:ahLst/>
                            <a:cxnLst/>
                            <a:rect l="0" t="0" r="0" b="0"/>
                            <a:pathLst>
                              <a:path h="60961">
                                <a:moveTo>
                                  <a:pt x="0" y="60961"/>
                                </a:moveTo>
                                <a:lnTo>
                                  <a:pt x="0" y="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19937" name="Shape 19937"/>
                        <wps:cNvSpPr/>
                        <wps:spPr>
                          <a:xfrm>
                            <a:off x="396240" y="1310639"/>
                            <a:ext cx="0" cy="60961"/>
                          </a:xfrm>
                          <a:custGeom>
                            <a:avLst/>
                            <a:gdLst/>
                            <a:ahLst/>
                            <a:cxnLst/>
                            <a:rect l="0" t="0" r="0" b="0"/>
                            <a:pathLst>
                              <a:path h="60961">
                                <a:moveTo>
                                  <a:pt x="0" y="60961"/>
                                </a:moveTo>
                                <a:lnTo>
                                  <a:pt x="0" y="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19938" name="Shape 19938"/>
                        <wps:cNvSpPr/>
                        <wps:spPr>
                          <a:xfrm>
                            <a:off x="283464" y="1310639"/>
                            <a:ext cx="112776" cy="3048"/>
                          </a:xfrm>
                          <a:custGeom>
                            <a:avLst/>
                            <a:gdLst/>
                            <a:ahLst/>
                            <a:cxnLst/>
                            <a:rect l="0" t="0" r="0" b="0"/>
                            <a:pathLst>
                              <a:path w="112776" h="3048">
                                <a:moveTo>
                                  <a:pt x="0" y="3048"/>
                                </a:moveTo>
                                <a:lnTo>
                                  <a:pt x="112776" y="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19939" name="Shape 19939"/>
                        <wps:cNvSpPr/>
                        <wps:spPr>
                          <a:xfrm>
                            <a:off x="1633728" y="249935"/>
                            <a:ext cx="0" cy="996697"/>
                          </a:xfrm>
                          <a:custGeom>
                            <a:avLst/>
                            <a:gdLst/>
                            <a:ahLst/>
                            <a:cxnLst/>
                            <a:rect l="0" t="0" r="0" b="0"/>
                            <a:pathLst>
                              <a:path h="996697">
                                <a:moveTo>
                                  <a:pt x="0" y="0"/>
                                </a:moveTo>
                                <a:lnTo>
                                  <a:pt x="0" y="996697"/>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19940" name="Shape 19940"/>
                        <wps:cNvSpPr/>
                        <wps:spPr>
                          <a:xfrm>
                            <a:off x="1633728" y="1307592"/>
                            <a:ext cx="0" cy="996696"/>
                          </a:xfrm>
                          <a:custGeom>
                            <a:avLst/>
                            <a:gdLst/>
                            <a:ahLst/>
                            <a:cxnLst/>
                            <a:rect l="0" t="0" r="0" b="0"/>
                            <a:pathLst>
                              <a:path h="996696">
                                <a:moveTo>
                                  <a:pt x="0" y="0"/>
                                </a:moveTo>
                                <a:lnTo>
                                  <a:pt x="0" y="996696"/>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19941" name="Shape 19941"/>
                        <wps:cNvSpPr/>
                        <wps:spPr>
                          <a:xfrm>
                            <a:off x="795528" y="249935"/>
                            <a:ext cx="0" cy="996697"/>
                          </a:xfrm>
                          <a:custGeom>
                            <a:avLst/>
                            <a:gdLst/>
                            <a:ahLst/>
                            <a:cxnLst/>
                            <a:rect l="0" t="0" r="0" b="0"/>
                            <a:pathLst>
                              <a:path h="996697">
                                <a:moveTo>
                                  <a:pt x="0" y="0"/>
                                </a:moveTo>
                                <a:lnTo>
                                  <a:pt x="0" y="996697"/>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19942" name="Shape 19942"/>
                        <wps:cNvSpPr/>
                        <wps:spPr>
                          <a:xfrm>
                            <a:off x="795528" y="1307592"/>
                            <a:ext cx="0" cy="996696"/>
                          </a:xfrm>
                          <a:custGeom>
                            <a:avLst/>
                            <a:gdLst/>
                            <a:ahLst/>
                            <a:cxnLst/>
                            <a:rect l="0" t="0" r="0" b="0"/>
                            <a:pathLst>
                              <a:path h="996696">
                                <a:moveTo>
                                  <a:pt x="0" y="0"/>
                                </a:moveTo>
                                <a:lnTo>
                                  <a:pt x="0" y="996696"/>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19943" name="Shape 19943"/>
                        <wps:cNvSpPr/>
                        <wps:spPr>
                          <a:xfrm>
                            <a:off x="243840" y="1155192"/>
                            <a:ext cx="3048" cy="240792"/>
                          </a:xfrm>
                          <a:custGeom>
                            <a:avLst/>
                            <a:gdLst/>
                            <a:ahLst/>
                            <a:cxnLst/>
                            <a:rect l="0" t="0" r="0" b="0"/>
                            <a:pathLst>
                              <a:path w="3048" h="240792">
                                <a:moveTo>
                                  <a:pt x="0" y="0"/>
                                </a:moveTo>
                                <a:lnTo>
                                  <a:pt x="3048" y="240792"/>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19944" name="Shape 19944"/>
                        <wps:cNvSpPr/>
                        <wps:spPr>
                          <a:xfrm>
                            <a:off x="2697480" y="9144"/>
                            <a:ext cx="390144" cy="390144"/>
                          </a:xfrm>
                          <a:custGeom>
                            <a:avLst/>
                            <a:gdLst/>
                            <a:ahLst/>
                            <a:cxnLst/>
                            <a:rect l="0" t="0" r="0" b="0"/>
                            <a:pathLst>
                              <a:path w="390144" h="390144">
                                <a:moveTo>
                                  <a:pt x="195072" y="0"/>
                                </a:moveTo>
                                <a:cubicBezTo>
                                  <a:pt x="302768" y="0"/>
                                  <a:pt x="390144" y="87376"/>
                                  <a:pt x="390144" y="195072"/>
                                </a:cubicBezTo>
                                <a:cubicBezTo>
                                  <a:pt x="390144" y="302768"/>
                                  <a:pt x="302768" y="390144"/>
                                  <a:pt x="195072" y="390144"/>
                                </a:cubicBezTo>
                                <a:cubicBezTo>
                                  <a:pt x="87376" y="390144"/>
                                  <a:pt x="0" y="302768"/>
                                  <a:pt x="0" y="195072"/>
                                </a:cubicBezTo>
                                <a:cubicBezTo>
                                  <a:pt x="0" y="87376"/>
                                  <a:pt x="87376" y="0"/>
                                  <a:pt x="195072"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9945" name="Shape 19945"/>
                        <wps:cNvSpPr/>
                        <wps:spPr>
                          <a:xfrm>
                            <a:off x="2697480" y="9144"/>
                            <a:ext cx="390144" cy="390144"/>
                          </a:xfrm>
                          <a:custGeom>
                            <a:avLst/>
                            <a:gdLst/>
                            <a:ahLst/>
                            <a:cxnLst/>
                            <a:rect l="0" t="0" r="0" b="0"/>
                            <a:pathLst>
                              <a:path w="390144" h="390144">
                                <a:moveTo>
                                  <a:pt x="0" y="195072"/>
                                </a:moveTo>
                                <a:cubicBezTo>
                                  <a:pt x="0" y="87376"/>
                                  <a:pt x="87376" y="0"/>
                                  <a:pt x="195072" y="0"/>
                                </a:cubicBezTo>
                                <a:cubicBezTo>
                                  <a:pt x="302768" y="0"/>
                                  <a:pt x="390144" y="87376"/>
                                  <a:pt x="390144" y="195072"/>
                                </a:cubicBezTo>
                                <a:cubicBezTo>
                                  <a:pt x="390144" y="302768"/>
                                  <a:pt x="302768" y="390144"/>
                                  <a:pt x="195072" y="390144"/>
                                </a:cubicBezTo>
                                <a:cubicBezTo>
                                  <a:pt x="87376" y="390144"/>
                                  <a:pt x="0" y="302768"/>
                                  <a:pt x="0" y="195072"/>
                                </a:cubicBezTo>
                                <a:close/>
                              </a:path>
                            </a:pathLst>
                          </a:custGeom>
                          <a:ln w="18288"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9947" name="Picture 19947"/>
                          <pic:cNvPicPr/>
                        </pic:nvPicPr>
                        <pic:blipFill>
                          <a:blip r:embed="rId262"/>
                          <a:stretch>
                            <a:fillRect/>
                          </a:stretch>
                        </pic:blipFill>
                        <pic:spPr>
                          <a:xfrm>
                            <a:off x="2764536" y="167639"/>
                            <a:ext cx="256032" cy="76200"/>
                          </a:xfrm>
                          <a:prstGeom prst="rect">
                            <a:avLst/>
                          </a:prstGeom>
                        </pic:spPr>
                      </pic:pic>
                      <wps:wsp>
                        <wps:cNvPr id="19948" name="Rectangle 19948"/>
                        <wps:cNvSpPr/>
                        <wps:spPr>
                          <a:xfrm>
                            <a:off x="2858135" y="201803"/>
                            <a:ext cx="45808" cy="206453"/>
                          </a:xfrm>
                          <a:prstGeom prst="rect">
                            <a:avLst/>
                          </a:prstGeom>
                          <a:ln>
                            <a:noFill/>
                          </a:ln>
                        </wps:spPr>
                        <wps:txbx>
                          <w:txbxContent>
                            <w:p w:rsidR="0052701D" w:rsidRDefault="00D40929">
                              <w:r>
                                <w:rPr>
                                  <w:sz w:val="24"/>
                                </w:rPr>
                                <w:t xml:space="preserve"> </w:t>
                              </w:r>
                            </w:p>
                          </w:txbxContent>
                        </wps:txbx>
                        <wps:bodyPr horzOverflow="overflow" vert="horz" lIns="0" tIns="0" rIns="0" bIns="0" rtlCol="0">
                          <a:noAutofit/>
                        </wps:bodyPr>
                      </wps:wsp>
                      <wps:wsp>
                        <wps:cNvPr id="19950" name="Shape 19950"/>
                        <wps:cNvSpPr/>
                        <wps:spPr>
                          <a:xfrm>
                            <a:off x="2724912" y="2090927"/>
                            <a:ext cx="390144" cy="393192"/>
                          </a:xfrm>
                          <a:custGeom>
                            <a:avLst/>
                            <a:gdLst/>
                            <a:ahLst/>
                            <a:cxnLst/>
                            <a:rect l="0" t="0" r="0" b="0"/>
                            <a:pathLst>
                              <a:path w="390144" h="393192">
                                <a:moveTo>
                                  <a:pt x="0" y="196597"/>
                                </a:moveTo>
                                <a:cubicBezTo>
                                  <a:pt x="0" y="88011"/>
                                  <a:pt x="87376" y="0"/>
                                  <a:pt x="195072" y="0"/>
                                </a:cubicBezTo>
                                <a:cubicBezTo>
                                  <a:pt x="302768" y="0"/>
                                  <a:pt x="390144" y="88011"/>
                                  <a:pt x="390144" y="196597"/>
                                </a:cubicBezTo>
                                <a:cubicBezTo>
                                  <a:pt x="390144" y="305181"/>
                                  <a:pt x="302768" y="393192"/>
                                  <a:pt x="195072" y="393192"/>
                                </a:cubicBezTo>
                                <a:cubicBezTo>
                                  <a:pt x="87376" y="393192"/>
                                  <a:pt x="0" y="305181"/>
                                  <a:pt x="0" y="196597"/>
                                </a:cubicBezTo>
                                <a:close/>
                              </a:path>
                            </a:pathLst>
                          </a:custGeom>
                          <a:ln w="18288"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9952" name="Picture 19952"/>
                          <pic:cNvPicPr/>
                        </pic:nvPicPr>
                        <pic:blipFill>
                          <a:blip r:embed="rId262"/>
                          <a:stretch>
                            <a:fillRect/>
                          </a:stretch>
                        </pic:blipFill>
                        <pic:spPr>
                          <a:xfrm>
                            <a:off x="2791968" y="2249424"/>
                            <a:ext cx="259080" cy="76200"/>
                          </a:xfrm>
                          <a:prstGeom prst="rect">
                            <a:avLst/>
                          </a:prstGeom>
                        </pic:spPr>
                      </pic:pic>
                      <wps:wsp>
                        <wps:cNvPr id="19953" name="Rectangle 19953"/>
                        <wps:cNvSpPr/>
                        <wps:spPr>
                          <a:xfrm>
                            <a:off x="2885567" y="2283612"/>
                            <a:ext cx="45900" cy="206866"/>
                          </a:xfrm>
                          <a:prstGeom prst="rect">
                            <a:avLst/>
                          </a:prstGeom>
                          <a:ln>
                            <a:noFill/>
                          </a:ln>
                        </wps:spPr>
                        <wps:txbx>
                          <w:txbxContent>
                            <w:p w:rsidR="0052701D" w:rsidRDefault="00D40929">
                              <w:r>
                                <w:rPr>
                                  <w:sz w:val="24"/>
                                </w:rPr>
                                <w:t xml:space="preserve"> </w:t>
                              </w:r>
                            </w:p>
                          </w:txbxContent>
                        </wps:txbx>
                        <wps:bodyPr horzOverflow="overflow" vert="horz" lIns="0" tIns="0" rIns="0" bIns="0" rtlCol="0">
                          <a:noAutofit/>
                        </wps:bodyPr>
                      </wps:wsp>
                      <wps:wsp>
                        <wps:cNvPr id="19954" name="Shape 19954"/>
                        <wps:cNvSpPr/>
                        <wps:spPr>
                          <a:xfrm>
                            <a:off x="795528" y="2084832"/>
                            <a:ext cx="838200" cy="0"/>
                          </a:xfrm>
                          <a:custGeom>
                            <a:avLst/>
                            <a:gdLst/>
                            <a:ahLst/>
                            <a:cxnLst/>
                            <a:rect l="0" t="0" r="0" b="0"/>
                            <a:pathLst>
                              <a:path w="838200">
                                <a:moveTo>
                                  <a:pt x="0" y="0"/>
                                </a:moveTo>
                                <a:lnTo>
                                  <a:pt x="838200" y="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19955" name="Shape 19955"/>
                        <wps:cNvSpPr/>
                        <wps:spPr>
                          <a:xfrm>
                            <a:off x="2785872" y="1036320"/>
                            <a:ext cx="0" cy="484632"/>
                          </a:xfrm>
                          <a:custGeom>
                            <a:avLst/>
                            <a:gdLst/>
                            <a:ahLst/>
                            <a:cxnLst/>
                            <a:rect l="0" t="0" r="0" b="0"/>
                            <a:pathLst>
                              <a:path h="484632">
                                <a:moveTo>
                                  <a:pt x="0" y="0"/>
                                </a:moveTo>
                                <a:lnTo>
                                  <a:pt x="0" y="484632"/>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19956" name="Shape 19956"/>
                        <wps:cNvSpPr/>
                        <wps:spPr>
                          <a:xfrm>
                            <a:off x="1801368" y="1307592"/>
                            <a:ext cx="0" cy="210312"/>
                          </a:xfrm>
                          <a:custGeom>
                            <a:avLst/>
                            <a:gdLst/>
                            <a:ahLst/>
                            <a:cxnLst/>
                            <a:rect l="0" t="0" r="0" b="0"/>
                            <a:pathLst>
                              <a:path h="210312">
                                <a:moveTo>
                                  <a:pt x="0" y="0"/>
                                </a:moveTo>
                                <a:lnTo>
                                  <a:pt x="0" y="210312"/>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19957" name="Shape 19957"/>
                        <wps:cNvSpPr/>
                        <wps:spPr>
                          <a:xfrm>
                            <a:off x="2974848" y="975360"/>
                            <a:ext cx="112776" cy="149351"/>
                          </a:xfrm>
                          <a:custGeom>
                            <a:avLst/>
                            <a:gdLst/>
                            <a:ahLst/>
                            <a:cxnLst/>
                            <a:rect l="0" t="0" r="0" b="0"/>
                            <a:pathLst>
                              <a:path w="112776" h="149351">
                                <a:moveTo>
                                  <a:pt x="112776" y="0"/>
                                </a:moveTo>
                                <a:lnTo>
                                  <a:pt x="112776" y="149351"/>
                                </a:lnTo>
                                <a:lnTo>
                                  <a:pt x="0" y="74676"/>
                                </a:lnTo>
                                <a:lnTo>
                                  <a:pt x="112776"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9958" name="Shape 19958"/>
                        <wps:cNvSpPr/>
                        <wps:spPr>
                          <a:xfrm>
                            <a:off x="2974848" y="975360"/>
                            <a:ext cx="112776" cy="149351"/>
                          </a:xfrm>
                          <a:custGeom>
                            <a:avLst/>
                            <a:gdLst/>
                            <a:ahLst/>
                            <a:cxnLst/>
                            <a:rect l="0" t="0" r="0" b="0"/>
                            <a:pathLst>
                              <a:path w="112776" h="149351">
                                <a:moveTo>
                                  <a:pt x="0" y="74676"/>
                                </a:moveTo>
                                <a:lnTo>
                                  <a:pt x="112776" y="149351"/>
                                </a:lnTo>
                                <a:lnTo>
                                  <a:pt x="112776" y="0"/>
                                </a:lnTo>
                                <a:close/>
                              </a:path>
                            </a:pathLst>
                          </a:custGeom>
                          <a:ln w="18288" cap="flat">
                            <a:miter lim="100000"/>
                          </a:ln>
                        </wps:spPr>
                        <wps:style>
                          <a:lnRef idx="1">
                            <a:srgbClr val="000000"/>
                          </a:lnRef>
                          <a:fillRef idx="0">
                            <a:srgbClr val="000000">
                              <a:alpha val="0"/>
                            </a:srgbClr>
                          </a:fillRef>
                          <a:effectRef idx="0">
                            <a:scrgbClr r="0" g="0" b="0"/>
                          </a:effectRef>
                          <a:fontRef idx="none"/>
                        </wps:style>
                        <wps:bodyPr/>
                      </wps:wsp>
                      <wps:wsp>
                        <wps:cNvPr id="19960" name="Shape 19960"/>
                        <wps:cNvSpPr/>
                        <wps:spPr>
                          <a:xfrm>
                            <a:off x="2974848" y="1426463"/>
                            <a:ext cx="112776" cy="152400"/>
                          </a:xfrm>
                          <a:custGeom>
                            <a:avLst/>
                            <a:gdLst/>
                            <a:ahLst/>
                            <a:cxnLst/>
                            <a:rect l="0" t="0" r="0" b="0"/>
                            <a:pathLst>
                              <a:path w="112776" h="152400">
                                <a:moveTo>
                                  <a:pt x="0" y="76200"/>
                                </a:moveTo>
                                <a:lnTo>
                                  <a:pt x="112776" y="152400"/>
                                </a:lnTo>
                                <a:lnTo>
                                  <a:pt x="112776" y="0"/>
                                </a:lnTo>
                                <a:close/>
                              </a:path>
                            </a:pathLst>
                          </a:custGeom>
                          <a:ln w="18288" cap="flat">
                            <a:miter lim="100000"/>
                          </a:ln>
                        </wps:spPr>
                        <wps:style>
                          <a:lnRef idx="1">
                            <a:srgbClr val="000000"/>
                          </a:lnRef>
                          <a:fillRef idx="0">
                            <a:srgbClr val="000000">
                              <a:alpha val="0"/>
                            </a:srgbClr>
                          </a:fillRef>
                          <a:effectRef idx="0">
                            <a:scrgbClr r="0" g="0" b="0"/>
                          </a:effectRef>
                          <a:fontRef idx="none"/>
                        </wps:style>
                        <wps:bodyPr/>
                      </wps:wsp>
                      <wps:wsp>
                        <wps:cNvPr id="19961" name="Shape 19961"/>
                        <wps:cNvSpPr/>
                        <wps:spPr>
                          <a:xfrm>
                            <a:off x="1801368" y="975360"/>
                            <a:ext cx="112776" cy="149351"/>
                          </a:xfrm>
                          <a:custGeom>
                            <a:avLst/>
                            <a:gdLst/>
                            <a:ahLst/>
                            <a:cxnLst/>
                            <a:rect l="0" t="0" r="0" b="0"/>
                            <a:pathLst>
                              <a:path w="112776" h="149351">
                                <a:moveTo>
                                  <a:pt x="112776" y="0"/>
                                </a:moveTo>
                                <a:lnTo>
                                  <a:pt x="112776" y="149351"/>
                                </a:lnTo>
                                <a:lnTo>
                                  <a:pt x="0" y="74676"/>
                                </a:lnTo>
                                <a:lnTo>
                                  <a:pt x="112776"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9962" name="Shape 19962"/>
                        <wps:cNvSpPr/>
                        <wps:spPr>
                          <a:xfrm>
                            <a:off x="1801368" y="975360"/>
                            <a:ext cx="112776" cy="149351"/>
                          </a:xfrm>
                          <a:custGeom>
                            <a:avLst/>
                            <a:gdLst/>
                            <a:ahLst/>
                            <a:cxnLst/>
                            <a:rect l="0" t="0" r="0" b="0"/>
                            <a:pathLst>
                              <a:path w="112776" h="149351">
                                <a:moveTo>
                                  <a:pt x="0" y="74676"/>
                                </a:moveTo>
                                <a:lnTo>
                                  <a:pt x="112776" y="0"/>
                                </a:lnTo>
                                <a:lnTo>
                                  <a:pt x="112776" y="149351"/>
                                </a:lnTo>
                                <a:close/>
                              </a:path>
                            </a:pathLst>
                          </a:custGeom>
                          <a:ln w="18288" cap="flat">
                            <a:miter lim="100000"/>
                          </a:ln>
                        </wps:spPr>
                        <wps:style>
                          <a:lnRef idx="1">
                            <a:srgbClr val="000000"/>
                          </a:lnRef>
                          <a:fillRef idx="0">
                            <a:srgbClr val="000000">
                              <a:alpha val="0"/>
                            </a:srgbClr>
                          </a:fillRef>
                          <a:effectRef idx="0">
                            <a:scrgbClr r="0" g="0" b="0"/>
                          </a:effectRef>
                          <a:fontRef idx="none"/>
                        </wps:style>
                        <wps:bodyPr/>
                      </wps:wsp>
                      <wps:wsp>
                        <wps:cNvPr id="19963" name="Shape 19963"/>
                        <wps:cNvSpPr/>
                        <wps:spPr>
                          <a:xfrm>
                            <a:off x="1801368" y="1426463"/>
                            <a:ext cx="112776" cy="152400"/>
                          </a:xfrm>
                          <a:custGeom>
                            <a:avLst/>
                            <a:gdLst/>
                            <a:ahLst/>
                            <a:cxnLst/>
                            <a:rect l="0" t="0" r="0" b="0"/>
                            <a:pathLst>
                              <a:path w="112776" h="152400">
                                <a:moveTo>
                                  <a:pt x="0" y="0"/>
                                </a:moveTo>
                                <a:lnTo>
                                  <a:pt x="112776" y="76200"/>
                                </a:lnTo>
                                <a:lnTo>
                                  <a:pt x="0" y="152400"/>
                                </a:lnTo>
                                <a:lnTo>
                                  <a:pt x="0"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9964" name="Shape 19964"/>
                        <wps:cNvSpPr/>
                        <wps:spPr>
                          <a:xfrm>
                            <a:off x="1801368" y="1426463"/>
                            <a:ext cx="112776" cy="152400"/>
                          </a:xfrm>
                          <a:custGeom>
                            <a:avLst/>
                            <a:gdLst/>
                            <a:ahLst/>
                            <a:cxnLst/>
                            <a:rect l="0" t="0" r="0" b="0"/>
                            <a:pathLst>
                              <a:path w="112776" h="152400">
                                <a:moveTo>
                                  <a:pt x="112776" y="76200"/>
                                </a:moveTo>
                                <a:lnTo>
                                  <a:pt x="0" y="0"/>
                                </a:lnTo>
                                <a:lnTo>
                                  <a:pt x="0" y="152400"/>
                                </a:lnTo>
                                <a:close/>
                              </a:path>
                            </a:pathLst>
                          </a:custGeom>
                          <a:ln w="18288" cap="flat">
                            <a:miter lim="100000"/>
                          </a:ln>
                        </wps:spPr>
                        <wps:style>
                          <a:lnRef idx="1">
                            <a:srgbClr val="000000"/>
                          </a:lnRef>
                          <a:fillRef idx="0">
                            <a:srgbClr val="000000">
                              <a:alpha val="0"/>
                            </a:srgbClr>
                          </a:fillRef>
                          <a:effectRef idx="0">
                            <a:scrgbClr r="0" g="0" b="0"/>
                          </a:effectRef>
                          <a:fontRef idx="none"/>
                        </wps:style>
                        <wps:bodyPr/>
                      </wps:wsp>
                      <wps:wsp>
                        <wps:cNvPr id="19965" name="Shape 19965"/>
                        <wps:cNvSpPr/>
                        <wps:spPr>
                          <a:xfrm>
                            <a:off x="2356104" y="630935"/>
                            <a:ext cx="54864" cy="57913"/>
                          </a:xfrm>
                          <a:custGeom>
                            <a:avLst/>
                            <a:gdLst/>
                            <a:ahLst/>
                            <a:cxnLst/>
                            <a:rect l="0" t="0" r="0" b="0"/>
                            <a:pathLst>
                              <a:path w="54864" h="57913">
                                <a:moveTo>
                                  <a:pt x="27432" y="0"/>
                                </a:moveTo>
                                <a:cubicBezTo>
                                  <a:pt x="42545" y="0"/>
                                  <a:pt x="54864" y="12954"/>
                                  <a:pt x="54864" y="28956"/>
                                </a:cubicBezTo>
                                <a:cubicBezTo>
                                  <a:pt x="54864" y="44958"/>
                                  <a:pt x="42545" y="57913"/>
                                  <a:pt x="27432" y="57913"/>
                                </a:cubicBezTo>
                                <a:cubicBezTo>
                                  <a:pt x="12319" y="57913"/>
                                  <a:pt x="0" y="44958"/>
                                  <a:pt x="0" y="28956"/>
                                </a:cubicBezTo>
                                <a:cubicBezTo>
                                  <a:pt x="0" y="12954"/>
                                  <a:pt x="12319" y="0"/>
                                  <a:pt x="27432" y="0"/>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9966" name="Shape 19966"/>
                        <wps:cNvSpPr/>
                        <wps:spPr>
                          <a:xfrm>
                            <a:off x="2356104" y="630935"/>
                            <a:ext cx="54864" cy="57913"/>
                          </a:xfrm>
                          <a:custGeom>
                            <a:avLst/>
                            <a:gdLst/>
                            <a:ahLst/>
                            <a:cxnLst/>
                            <a:rect l="0" t="0" r="0" b="0"/>
                            <a:pathLst>
                              <a:path w="54864" h="57913">
                                <a:moveTo>
                                  <a:pt x="0" y="28956"/>
                                </a:moveTo>
                                <a:cubicBezTo>
                                  <a:pt x="0" y="12954"/>
                                  <a:pt x="12319" y="0"/>
                                  <a:pt x="27432" y="0"/>
                                </a:cubicBezTo>
                                <a:cubicBezTo>
                                  <a:pt x="42545" y="0"/>
                                  <a:pt x="54864" y="12954"/>
                                  <a:pt x="54864" y="28956"/>
                                </a:cubicBezTo>
                                <a:cubicBezTo>
                                  <a:pt x="54864" y="44958"/>
                                  <a:pt x="42545" y="57913"/>
                                  <a:pt x="27432" y="57913"/>
                                </a:cubicBezTo>
                                <a:cubicBezTo>
                                  <a:pt x="12319" y="57913"/>
                                  <a:pt x="0" y="44958"/>
                                  <a:pt x="0" y="28956"/>
                                </a:cubicBezTo>
                                <a:close/>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19967" name="Shape 19967"/>
                        <wps:cNvSpPr/>
                        <wps:spPr>
                          <a:xfrm>
                            <a:off x="1886712" y="1021080"/>
                            <a:ext cx="54864" cy="60960"/>
                          </a:xfrm>
                          <a:custGeom>
                            <a:avLst/>
                            <a:gdLst/>
                            <a:ahLst/>
                            <a:cxnLst/>
                            <a:rect l="0" t="0" r="0" b="0"/>
                            <a:pathLst>
                              <a:path w="54864" h="60960">
                                <a:moveTo>
                                  <a:pt x="27432" y="0"/>
                                </a:moveTo>
                                <a:cubicBezTo>
                                  <a:pt x="42545" y="0"/>
                                  <a:pt x="54864" y="13589"/>
                                  <a:pt x="54864" y="30480"/>
                                </a:cubicBezTo>
                                <a:cubicBezTo>
                                  <a:pt x="54864" y="47372"/>
                                  <a:pt x="42545" y="60960"/>
                                  <a:pt x="27432" y="60960"/>
                                </a:cubicBezTo>
                                <a:cubicBezTo>
                                  <a:pt x="12319" y="60960"/>
                                  <a:pt x="0" y="47372"/>
                                  <a:pt x="0" y="30480"/>
                                </a:cubicBezTo>
                                <a:cubicBezTo>
                                  <a:pt x="0" y="13589"/>
                                  <a:pt x="12319" y="0"/>
                                  <a:pt x="27432"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9968" name="Shape 19968"/>
                        <wps:cNvSpPr/>
                        <wps:spPr>
                          <a:xfrm>
                            <a:off x="1886712" y="1021080"/>
                            <a:ext cx="54864" cy="60960"/>
                          </a:xfrm>
                          <a:custGeom>
                            <a:avLst/>
                            <a:gdLst/>
                            <a:ahLst/>
                            <a:cxnLst/>
                            <a:rect l="0" t="0" r="0" b="0"/>
                            <a:pathLst>
                              <a:path w="54864" h="60960">
                                <a:moveTo>
                                  <a:pt x="0" y="30480"/>
                                </a:moveTo>
                                <a:cubicBezTo>
                                  <a:pt x="0" y="13589"/>
                                  <a:pt x="12319" y="0"/>
                                  <a:pt x="27432" y="0"/>
                                </a:cubicBezTo>
                                <a:cubicBezTo>
                                  <a:pt x="42545" y="0"/>
                                  <a:pt x="54864" y="13589"/>
                                  <a:pt x="54864" y="30480"/>
                                </a:cubicBezTo>
                                <a:cubicBezTo>
                                  <a:pt x="54864" y="47372"/>
                                  <a:pt x="42545" y="60960"/>
                                  <a:pt x="27432" y="60960"/>
                                </a:cubicBezTo>
                                <a:cubicBezTo>
                                  <a:pt x="12319" y="60960"/>
                                  <a:pt x="0" y="47372"/>
                                  <a:pt x="0" y="30480"/>
                                </a:cubicBezTo>
                                <a:close/>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19969" name="Shape 19969"/>
                        <wps:cNvSpPr/>
                        <wps:spPr>
                          <a:xfrm>
                            <a:off x="2947416" y="1469136"/>
                            <a:ext cx="57912" cy="60960"/>
                          </a:xfrm>
                          <a:custGeom>
                            <a:avLst/>
                            <a:gdLst/>
                            <a:ahLst/>
                            <a:cxnLst/>
                            <a:rect l="0" t="0" r="0" b="0"/>
                            <a:pathLst>
                              <a:path w="57912" h="60960">
                                <a:moveTo>
                                  <a:pt x="28956" y="0"/>
                                </a:moveTo>
                                <a:cubicBezTo>
                                  <a:pt x="44958" y="0"/>
                                  <a:pt x="57912" y="13589"/>
                                  <a:pt x="57912" y="30480"/>
                                </a:cubicBezTo>
                                <a:cubicBezTo>
                                  <a:pt x="57912" y="47371"/>
                                  <a:pt x="44958" y="60960"/>
                                  <a:pt x="28956" y="60960"/>
                                </a:cubicBezTo>
                                <a:cubicBezTo>
                                  <a:pt x="12954" y="60960"/>
                                  <a:pt x="0" y="47371"/>
                                  <a:pt x="0" y="30480"/>
                                </a:cubicBezTo>
                                <a:cubicBezTo>
                                  <a:pt x="0" y="13589"/>
                                  <a:pt x="12954" y="0"/>
                                  <a:pt x="28956"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9970" name="Shape 19970"/>
                        <wps:cNvSpPr/>
                        <wps:spPr>
                          <a:xfrm>
                            <a:off x="2947416" y="1469136"/>
                            <a:ext cx="57912" cy="60960"/>
                          </a:xfrm>
                          <a:custGeom>
                            <a:avLst/>
                            <a:gdLst/>
                            <a:ahLst/>
                            <a:cxnLst/>
                            <a:rect l="0" t="0" r="0" b="0"/>
                            <a:pathLst>
                              <a:path w="57912" h="60960">
                                <a:moveTo>
                                  <a:pt x="0" y="30480"/>
                                </a:moveTo>
                                <a:cubicBezTo>
                                  <a:pt x="0" y="13589"/>
                                  <a:pt x="12954" y="0"/>
                                  <a:pt x="28956" y="0"/>
                                </a:cubicBezTo>
                                <a:cubicBezTo>
                                  <a:pt x="44958" y="0"/>
                                  <a:pt x="57912" y="13589"/>
                                  <a:pt x="57912" y="30480"/>
                                </a:cubicBezTo>
                                <a:cubicBezTo>
                                  <a:pt x="57912" y="47371"/>
                                  <a:pt x="44958" y="60960"/>
                                  <a:pt x="28956" y="60960"/>
                                </a:cubicBezTo>
                                <a:cubicBezTo>
                                  <a:pt x="12954" y="60960"/>
                                  <a:pt x="0" y="47371"/>
                                  <a:pt x="0" y="30480"/>
                                </a:cubicBezTo>
                                <a:close/>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19971" name="Shape 19971"/>
                        <wps:cNvSpPr/>
                        <wps:spPr>
                          <a:xfrm>
                            <a:off x="1886712" y="1469136"/>
                            <a:ext cx="54864" cy="60960"/>
                          </a:xfrm>
                          <a:custGeom>
                            <a:avLst/>
                            <a:gdLst/>
                            <a:ahLst/>
                            <a:cxnLst/>
                            <a:rect l="0" t="0" r="0" b="0"/>
                            <a:pathLst>
                              <a:path w="54864" h="60960">
                                <a:moveTo>
                                  <a:pt x="27432" y="0"/>
                                </a:moveTo>
                                <a:cubicBezTo>
                                  <a:pt x="42545" y="0"/>
                                  <a:pt x="54864" y="13589"/>
                                  <a:pt x="54864" y="30480"/>
                                </a:cubicBezTo>
                                <a:cubicBezTo>
                                  <a:pt x="54864" y="47371"/>
                                  <a:pt x="42545" y="60960"/>
                                  <a:pt x="27432" y="60960"/>
                                </a:cubicBezTo>
                                <a:cubicBezTo>
                                  <a:pt x="12319" y="60960"/>
                                  <a:pt x="0" y="47371"/>
                                  <a:pt x="0" y="30480"/>
                                </a:cubicBezTo>
                                <a:cubicBezTo>
                                  <a:pt x="0" y="13589"/>
                                  <a:pt x="12319" y="0"/>
                                  <a:pt x="27432"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9972" name="Shape 19972"/>
                        <wps:cNvSpPr/>
                        <wps:spPr>
                          <a:xfrm>
                            <a:off x="1886712" y="1469136"/>
                            <a:ext cx="54864" cy="60960"/>
                          </a:xfrm>
                          <a:custGeom>
                            <a:avLst/>
                            <a:gdLst/>
                            <a:ahLst/>
                            <a:cxnLst/>
                            <a:rect l="0" t="0" r="0" b="0"/>
                            <a:pathLst>
                              <a:path w="54864" h="60960">
                                <a:moveTo>
                                  <a:pt x="0" y="30480"/>
                                </a:moveTo>
                                <a:cubicBezTo>
                                  <a:pt x="0" y="13589"/>
                                  <a:pt x="12319" y="0"/>
                                  <a:pt x="27432" y="0"/>
                                </a:cubicBezTo>
                                <a:cubicBezTo>
                                  <a:pt x="42545" y="0"/>
                                  <a:pt x="54864" y="13589"/>
                                  <a:pt x="54864" y="30480"/>
                                </a:cubicBezTo>
                                <a:cubicBezTo>
                                  <a:pt x="54864" y="47371"/>
                                  <a:pt x="42545" y="60960"/>
                                  <a:pt x="27432" y="60960"/>
                                </a:cubicBezTo>
                                <a:cubicBezTo>
                                  <a:pt x="12319" y="60960"/>
                                  <a:pt x="0" y="47371"/>
                                  <a:pt x="0" y="30480"/>
                                </a:cubicBezTo>
                                <a:close/>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19973" name="Shape 19973"/>
                        <wps:cNvSpPr/>
                        <wps:spPr>
                          <a:xfrm>
                            <a:off x="3087624" y="1307592"/>
                            <a:ext cx="0" cy="240792"/>
                          </a:xfrm>
                          <a:custGeom>
                            <a:avLst/>
                            <a:gdLst/>
                            <a:ahLst/>
                            <a:cxnLst/>
                            <a:rect l="0" t="0" r="0" b="0"/>
                            <a:pathLst>
                              <a:path h="240792">
                                <a:moveTo>
                                  <a:pt x="0" y="240792"/>
                                </a:moveTo>
                                <a:lnTo>
                                  <a:pt x="0" y="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19974" name="Shape 19974"/>
                        <wps:cNvSpPr/>
                        <wps:spPr>
                          <a:xfrm>
                            <a:off x="3087624" y="1246632"/>
                            <a:ext cx="112776" cy="0"/>
                          </a:xfrm>
                          <a:custGeom>
                            <a:avLst/>
                            <a:gdLst/>
                            <a:ahLst/>
                            <a:cxnLst/>
                            <a:rect l="0" t="0" r="0" b="0"/>
                            <a:pathLst>
                              <a:path w="112776">
                                <a:moveTo>
                                  <a:pt x="0" y="0"/>
                                </a:moveTo>
                                <a:lnTo>
                                  <a:pt x="112776" y="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19975" name="Shape 19975"/>
                        <wps:cNvSpPr/>
                        <wps:spPr>
                          <a:xfrm>
                            <a:off x="3087624" y="1313687"/>
                            <a:ext cx="112776" cy="0"/>
                          </a:xfrm>
                          <a:custGeom>
                            <a:avLst/>
                            <a:gdLst/>
                            <a:ahLst/>
                            <a:cxnLst/>
                            <a:rect l="0" t="0" r="0" b="0"/>
                            <a:pathLst>
                              <a:path w="112776">
                                <a:moveTo>
                                  <a:pt x="0" y="0"/>
                                </a:moveTo>
                                <a:lnTo>
                                  <a:pt x="112776" y="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19976" name="Shape 19976"/>
                        <wps:cNvSpPr/>
                        <wps:spPr>
                          <a:xfrm>
                            <a:off x="1941576" y="1517904"/>
                            <a:ext cx="810768" cy="694944"/>
                          </a:xfrm>
                          <a:custGeom>
                            <a:avLst/>
                            <a:gdLst/>
                            <a:ahLst/>
                            <a:cxnLst/>
                            <a:rect l="0" t="0" r="0" b="0"/>
                            <a:pathLst>
                              <a:path w="810768" h="694944">
                                <a:moveTo>
                                  <a:pt x="0" y="0"/>
                                </a:moveTo>
                                <a:lnTo>
                                  <a:pt x="810768" y="694944"/>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19977" name="Shape 19977"/>
                        <wps:cNvSpPr/>
                        <wps:spPr>
                          <a:xfrm>
                            <a:off x="2322576" y="1844039"/>
                            <a:ext cx="54864" cy="60961"/>
                          </a:xfrm>
                          <a:custGeom>
                            <a:avLst/>
                            <a:gdLst/>
                            <a:ahLst/>
                            <a:cxnLst/>
                            <a:rect l="0" t="0" r="0" b="0"/>
                            <a:pathLst>
                              <a:path w="54864" h="60961">
                                <a:moveTo>
                                  <a:pt x="27432" y="0"/>
                                </a:moveTo>
                                <a:cubicBezTo>
                                  <a:pt x="42545" y="0"/>
                                  <a:pt x="54864" y="13589"/>
                                  <a:pt x="54864" y="30480"/>
                                </a:cubicBezTo>
                                <a:cubicBezTo>
                                  <a:pt x="54864" y="47372"/>
                                  <a:pt x="42545" y="60961"/>
                                  <a:pt x="27432" y="60961"/>
                                </a:cubicBezTo>
                                <a:cubicBezTo>
                                  <a:pt x="12319" y="60961"/>
                                  <a:pt x="0" y="47372"/>
                                  <a:pt x="0" y="30480"/>
                                </a:cubicBezTo>
                                <a:cubicBezTo>
                                  <a:pt x="0" y="13589"/>
                                  <a:pt x="12319" y="0"/>
                                  <a:pt x="27432"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9978" name="Shape 19978"/>
                        <wps:cNvSpPr/>
                        <wps:spPr>
                          <a:xfrm>
                            <a:off x="2322576" y="1844039"/>
                            <a:ext cx="54864" cy="60961"/>
                          </a:xfrm>
                          <a:custGeom>
                            <a:avLst/>
                            <a:gdLst/>
                            <a:ahLst/>
                            <a:cxnLst/>
                            <a:rect l="0" t="0" r="0" b="0"/>
                            <a:pathLst>
                              <a:path w="54864" h="60961">
                                <a:moveTo>
                                  <a:pt x="0" y="30480"/>
                                </a:moveTo>
                                <a:cubicBezTo>
                                  <a:pt x="0" y="13589"/>
                                  <a:pt x="12319" y="0"/>
                                  <a:pt x="27432" y="0"/>
                                </a:cubicBezTo>
                                <a:cubicBezTo>
                                  <a:pt x="42545" y="0"/>
                                  <a:pt x="54864" y="13589"/>
                                  <a:pt x="54864" y="30480"/>
                                </a:cubicBezTo>
                                <a:cubicBezTo>
                                  <a:pt x="54864" y="47372"/>
                                  <a:pt x="42545" y="60961"/>
                                  <a:pt x="27432" y="60961"/>
                                </a:cubicBezTo>
                                <a:cubicBezTo>
                                  <a:pt x="12319" y="60961"/>
                                  <a:pt x="0" y="47372"/>
                                  <a:pt x="0" y="30480"/>
                                </a:cubicBezTo>
                                <a:close/>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19979" name="Shape 19979"/>
                        <wps:cNvSpPr/>
                        <wps:spPr>
                          <a:xfrm>
                            <a:off x="2398776" y="688848"/>
                            <a:ext cx="576072" cy="353568"/>
                          </a:xfrm>
                          <a:custGeom>
                            <a:avLst/>
                            <a:gdLst/>
                            <a:ahLst/>
                            <a:cxnLst/>
                            <a:rect l="0" t="0" r="0" b="0"/>
                            <a:pathLst>
                              <a:path w="576072" h="353568">
                                <a:moveTo>
                                  <a:pt x="0" y="0"/>
                                </a:moveTo>
                                <a:lnTo>
                                  <a:pt x="576072" y="353568"/>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19980" name="Shape 19980"/>
                        <wps:cNvSpPr/>
                        <wps:spPr>
                          <a:xfrm>
                            <a:off x="2371344" y="1517904"/>
                            <a:ext cx="576072" cy="353568"/>
                          </a:xfrm>
                          <a:custGeom>
                            <a:avLst/>
                            <a:gdLst/>
                            <a:ahLst/>
                            <a:cxnLst/>
                            <a:rect l="0" t="0" r="0" b="0"/>
                            <a:pathLst>
                              <a:path w="576072" h="353568">
                                <a:moveTo>
                                  <a:pt x="0" y="353568"/>
                                </a:moveTo>
                                <a:lnTo>
                                  <a:pt x="576072" y="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19981" name="Shape 19981"/>
                        <wps:cNvSpPr/>
                        <wps:spPr>
                          <a:xfrm>
                            <a:off x="2947416" y="1011936"/>
                            <a:ext cx="57912" cy="60960"/>
                          </a:xfrm>
                          <a:custGeom>
                            <a:avLst/>
                            <a:gdLst/>
                            <a:ahLst/>
                            <a:cxnLst/>
                            <a:rect l="0" t="0" r="0" b="0"/>
                            <a:pathLst>
                              <a:path w="57912" h="60960">
                                <a:moveTo>
                                  <a:pt x="28956" y="0"/>
                                </a:moveTo>
                                <a:cubicBezTo>
                                  <a:pt x="44958" y="0"/>
                                  <a:pt x="57912" y="13589"/>
                                  <a:pt x="57912" y="30480"/>
                                </a:cubicBezTo>
                                <a:cubicBezTo>
                                  <a:pt x="57912" y="47371"/>
                                  <a:pt x="44958" y="60960"/>
                                  <a:pt x="28956" y="60960"/>
                                </a:cubicBezTo>
                                <a:cubicBezTo>
                                  <a:pt x="12954" y="60960"/>
                                  <a:pt x="0" y="47371"/>
                                  <a:pt x="0" y="30480"/>
                                </a:cubicBezTo>
                                <a:cubicBezTo>
                                  <a:pt x="0" y="13589"/>
                                  <a:pt x="12954" y="0"/>
                                  <a:pt x="28956"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9982" name="Shape 19982"/>
                        <wps:cNvSpPr/>
                        <wps:spPr>
                          <a:xfrm>
                            <a:off x="2947416" y="1011936"/>
                            <a:ext cx="57912" cy="60960"/>
                          </a:xfrm>
                          <a:custGeom>
                            <a:avLst/>
                            <a:gdLst/>
                            <a:ahLst/>
                            <a:cxnLst/>
                            <a:rect l="0" t="0" r="0" b="0"/>
                            <a:pathLst>
                              <a:path w="57912" h="60960">
                                <a:moveTo>
                                  <a:pt x="0" y="30480"/>
                                </a:moveTo>
                                <a:cubicBezTo>
                                  <a:pt x="0" y="13589"/>
                                  <a:pt x="12954" y="0"/>
                                  <a:pt x="28956" y="0"/>
                                </a:cubicBezTo>
                                <a:cubicBezTo>
                                  <a:pt x="44958" y="0"/>
                                  <a:pt x="57912" y="13589"/>
                                  <a:pt x="57912" y="30480"/>
                                </a:cubicBezTo>
                                <a:cubicBezTo>
                                  <a:pt x="57912" y="47371"/>
                                  <a:pt x="44958" y="60960"/>
                                  <a:pt x="28956" y="60960"/>
                                </a:cubicBezTo>
                                <a:cubicBezTo>
                                  <a:pt x="12954" y="60960"/>
                                  <a:pt x="0" y="47371"/>
                                  <a:pt x="0" y="30480"/>
                                </a:cubicBezTo>
                                <a:close/>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19983" name="Shape 19983"/>
                        <wps:cNvSpPr/>
                        <wps:spPr>
                          <a:xfrm>
                            <a:off x="2901696" y="1124711"/>
                            <a:ext cx="57912" cy="271273"/>
                          </a:xfrm>
                          <a:custGeom>
                            <a:avLst/>
                            <a:gdLst/>
                            <a:ahLst/>
                            <a:cxnLst/>
                            <a:rect l="0" t="0" r="0" b="0"/>
                            <a:pathLst>
                              <a:path w="57912" h="271273">
                                <a:moveTo>
                                  <a:pt x="0" y="0"/>
                                </a:moveTo>
                                <a:lnTo>
                                  <a:pt x="57912" y="271273"/>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19984" name="Shape 19984"/>
                        <wps:cNvSpPr/>
                        <wps:spPr>
                          <a:xfrm>
                            <a:off x="2959608" y="1124711"/>
                            <a:ext cx="54864" cy="271273"/>
                          </a:xfrm>
                          <a:custGeom>
                            <a:avLst/>
                            <a:gdLst/>
                            <a:ahLst/>
                            <a:cxnLst/>
                            <a:rect l="0" t="0" r="0" b="0"/>
                            <a:pathLst>
                              <a:path w="54864" h="271273">
                                <a:moveTo>
                                  <a:pt x="0" y="271273"/>
                                </a:moveTo>
                                <a:lnTo>
                                  <a:pt x="54864" y="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19985" name="Shape 19985"/>
                        <wps:cNvSpPr/>
                        <wps:spPr>
                          <a:xfrm>
                            <a:off x="2846832" y="1124711"/>
                            <a:ext cx="54864" cy="271273"/>
                          </a:xfrm>
                          <a:custGeom>
                            <a:avLst/>
                            <a:gdLst/>
                            <a:ahLst/>
                            <a:cxnLst/>
                            <a:rect l="0" t="0" r="0" b="0"/>
                            <a:pathLst>
                              <a:path w="54864" h="271273">
                                <a:moveTo>
                                  <a:pt x="0" y="271273"/>
                                </a:moveTo>
                                <a:lnTo>
                                  <a:pt x="54864" y="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19986" name="Shape 19986"/>
                        <wps:cNvSpPr/>
                        <wps:spPr>
                          <a:xfrm>
                            <a:off x="2791968" y="1124711"/>
                            <a:ext cx="54864" cy="271273"/>
                          </a:xfrm>
                          <a:custGeom>
                            <a:avLst/>
                            <a:gdLst/>
                            <a:ahLst/>
                            <a:cxnLst/>
                            <a:rect l="0" t="0" r="0" b="0"/>
                            <a:pathLst>
                              <a:path w="54864" h="271273">
                                <a:moveTo>
                                  <a:pt x="0" y="0"/>
                                </a:moveTo>
                                <a:lnTo>
                                  <a:pt x="54864" y="271273"/>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19987" name="Shape 19987"/>
                        <wps:cNvSpPr/>
                        <wps:spPr>
                          <a:xfrm>
                            <a:off x="3014472" y="1124711"/>
                            <a:ext cx="54864" cy="271273"/>
                          </a:xfrm>
                          <a:custGeom>
                            <a:avLst/>
                            <a:gdLst/>
                            <a:ahLst/>
                            <a:cxnLst/>
                            <a:rect l="0" t="0" r="0" b="0"/>
                            <a:pathLst>
                              <a:path w="54864" h="271273">
                                <a:moveTo>
                                  <a:pt x="0" y="0"/>
                                </a:moveTo>
                                <a:lnTo>
                                  <a:pt x="54864" y="271273"/>
                                </a:lnTo>
                              </a:path>
                            </a:pathLst>
                          </a:custGeom>
                          <a:ln w="18288"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9990" name="Picture 19990"/>
                          <pic:cNvPicPr/>
                        </pic:nvPicPr>
                        <pic:blipFill>
                          <a:blip r:embed="rId263"/>
                          <a:stretch>
                            <a:fillRect/>
                          </a:stretch>
                        </pic:blipFill>
                        <pic:spPr>
                          <a:xfrm>
                            <a:off x="816864" y="27432"/>
                            <a:ext cx="195072" cy="167640"/>
                          </a:xfrm>
                          <a:prstGeom prst="rect">
                            <a:avLst/>
                          </a:prstGeom>
                        </pic:spPr>
                      </pic:pic>
                      <wps:wsp>
                        <wps:cNvPr id="19991" name="Rectangle 19991"/>
                        <wps:cNvSpPr/>
                        <wps:spPr>
                          <a:xfrm>
                            <a:off x="906526" y="30310"/>
                            <a:ext cx="101549" cy="224828"/>
                          </a:xfrm>
                          <a:prstGeom prst="rect">
                            <a:avLst/>
                          </a:prstGeom>
                          <a:ln>
                            <a:noFill/>
                          </a:ln>
                        </wps:spPr>
                        <wps:txbx>
                          <w:txbxContent>
                            <w:p w:rsidR="0052701D" w:rsidRDefault="00D40929">
                              <w:r>
                                <w:rPr>
                                  <w:rFonts w:ascii="Times New Roman" w:eastAsia="Times New Roman" w:hAnsi="Times New Roman" w:cs="Times New Roman"/>
                                  <w:i/>
                                  <w:sz w:val="24"/>
                                </w:rPr>
                                <w:t>1</w:t>
                              </w:r>
                            </w:p>
                          </w:txbxContent>
                        </wps:txbx>
                        <wps:bodyPr horzOverflow="overflow" vert="horz" lIns="0" tIns="0" rIns="0" bIns="0" rtlCol="0">
                          <a:noAutofit/>
                        </wps:bodyPr>
                      </wps:wsp>
                      <wps:wsp>
                        <wps:cNvPr id="19992" name="Rectangle 19992"/>
                        <wps:cNvSpPr/>
                        <wps:spPr>
                          <a:xfrm>
                            <a:off x="982980" y="51841"/>
                            <a:ext cx="45900" cy="206866"/>
                          </a:xfrm>
                          <a:prstGeom prst="rect">
                            <a:avLst/>
                          </a:prstGeom>
                          <a:ln>
                            <a:noFill/>
                          </a:ln>
                        </wps:spPr>
                        <wps:txbx>
                          <w:txbxContent>
                            <w:p w:rsidR="0052701D" w:rsidRDefault="00D40929">
                              <w:r>
                                <w:rPr>
                                  <w:sz w:val="24"/>
                                </w:rPr>
                                <w:t xml:space="preserve"> </w:t>
                              </w:r>
                            </w:p>
                          </w:txbxContent>
                        </wps:txbx>
                        <wps:bodyPr horzOverflow="overflow" vert="horz" lIns="0" tIns="0" rIns="0" bIns="0" rtlCol="0">
                          <a:noAutofit/>
                        </wps:bodyPr>
                      </wps:wsp>
                      <wps:wsp>
                        <wps:cNvPr id="1065065" name="Shape 1065065"/>
                        <wps:cNvSpPr/>
                        <wps:spPr>
                          <a:xfrm>
                            <a:off x="1240536" y="0"/>
                            <a:ext cx="195072" cy="240792"/>
                          </a:xfrm>
                          <a:custGeom>
                            <a:avLst/>
                            <a:gdLst/>
                            <a:ahLst/>
                            <a:cxnLst/>
                            <a:rect l="0" t="0" r="0" b="0"/>
                            <a:pathLst>
                              <a:path w="195072" h="240792">
                                <a:moveTo>
                                  <a:pt x="0" y="0"/>
                                </a:moveTo>
                                <a:lnTo>
                                  <a:pt x="195072" y="0"/>
                                </a:lnTo>
                                <a:lnTo>
                                  <a:pt x="195072" y="240792"/>
                                </a:lnTo>
                                <a:lnTo>
                                  <a:pt x="0" y="240792"/>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19995" name="Picture 19995"/>
                          <pic:cNvPicPr/>
                        </pic:nvPicPr>
                        <pic:blipFill>
                          <a:blip r:embed="rId263"/>
                          <a:stretch>
                            <a:fillRect/>
                          </a:stretch>
                        </pic:blipFill>
                        <pic:spPr>
                          <a:xfrm>
                            <a:off x="1240536" y="36575"/>
                            <a:ext cx="195072" cy="167640"/>
                          </a:xfrm>
                          <a:prstGeom prst="rect">
                            <a:avLst/>
                          </a:prstGeom>
                        </pic:spPr>
                      </pic:pic>
                      <wps:wsp>
                        <wps:cNvPr id="19996" name="Rectangle 19996"/>
                        <wps:cNvSpPr/>
                        <wps:spPr>
                          <a:xfrm>
                            <a:off x="1330452" y="39453"/>
                            <a:ext cx="101549" cy="224830"/>
                          </a:xfrm>
                          <a:prstGeom prst="rect">
                            <a:avLst/>
                          </a:prstGeom>
                          <a:ln>
                            <a:noFill/>
                          </a:ln>
                        </wps:spPr>
                        <wps:txbx>
                          <w:txbxContent>
                            <w:p w:rsidR="0052701D" w:rsidRDefault="00D40929">
                              <w:r>
                                <w:rPr>
                                  <w:rFonts w:ascii="Times New Roman" w:eastAsia="Times New Roman" w:hAnsi="Times New Roman" w:cs="Times New Roman"/>
                                  <w:i/>
                                  <w:sz w:val="24"/>
                                </w:rPr>
                                <w:t>2</w:t>
                              </w:r>
                            </w:p>
                          </w:txbxContent>
                        </wps:txbx>
                        <wps:bodyPr horzOverflow="overflow" vert="horz" lIns="0" tIns="0" rIns="0" bIns="0" rtlCol="0">
                          <a:noAutofit/>
                        </wps:bodyPr>
                      </wps:wsp>
                      <wps:wsp>
                        <wps:cNvPr id="19997" name="Rectangle 19997"/>
                        <wps:cNvSpPr/>
                        <wps:spPr>
                          <a:xfrm>
                            <a:off x="1406652" y="60985"/>
                            <a:ext cx="45900" cy="206865"/>
                          </a:xfrm>
                          <a:prstGeom prst="rect">
                            <a:avLst/>
                          </a:prstGeom>
                          <a:ln>
                            <a:noFill/>
                          </a:ln>
                        </wps:spPr>
                        <wps:txbx>
                          <w:txbxContent>
                            <w:p w:rsidR="0052701D" w:rsidRDefault="00D40929">
                              <w:r>
                                <w:rPr>
                                  <w:sz w:val="24"/>
                                </w:rPr>
                                <w:t xml:space="preserve"> </w:t>
                              </w:r>
                            </w:p>
                          </w:txbxContent>
                        </wps:txbx>
                        <wps:bodyPr horzOverflow="overflow" vert="horz" lIns="0" tIns="0" rIns="0" bIns="0" rtlCol="0">
                          <a:noAutofit/>
                        </wps:bodyPr>
                      </wps:wsp>
                      <wps:wsp>
                        <wps:cNvPr id="1065066" name="Shape 1065066"/>
                        <wps:cNvSpPr/>
                        <wps:spPr>
                          <a:xfrm>
                            <a:off x="2221992" y="128015"/>
                            <a:ext cx="195072" cy="243840"/>
                          </a:xfrm>
                          <a:custGeom>
                            <a:avLst/>
                            <a:gdLst/>
                            <a:ahLst/>
                            <a:cxnLst/>
                            <a:rect l="0" t="0" r="0" b="0"/>
                            <a:pathLst>
                              <a:path w="195072" h="243840">
                                <a:moveTo>
                                  <a:pt x="0" y="0"/>
                                </a:moveTo>
                                <a:lnTo>
                                  <a:pt x="195072" y="0"/>
                                </a:lnTo>
                                <a:lnTo>
                                  <a:pt x="195072" y="243840"/>
                                </a:lnTo>
                                <a:lnTo>
                                  <a:pt x="0" y="243840"/>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20000" name="Picture 20000"/>
                          <pic:cNvPicPr/>
                        </pic:nvPicPr>
                        <pic:blipFill>
                          <a:blip r:embed="rId263"/>
                          <a:stretch>
                            <a:fillRect/>
                          </a:stretch>
                        </pic:blipFill>
                        <pic:spPr>
                          <a:xfrm>
                            <a:off x="2221992" y="167639"/>
                            <a:ext cx="195072" cy="164592"/>
                          </a:xfrm>
                          <a:prstGeom prst="rect">
                            <a:avLst/>
                          </a:prstGeom>
                        </pic:spPr>
                      </pic:pic>
                      <wps:wsp>
                        <wps:cNvPr id="20001" name="Rectangle 20001"/>
                        <wps:cNvSpPr/>
                        <wps:spPr>
                          <a:xfrm>
                            <a:off x="2312162" y="171171"/>
                            <a:ext cx="101346" cy="224379"/>
                          </a:xfrm>
                          <a:prstGeom prst="rect">
                            <a:avLst/>
                          </a:prstGeom>
                          <a:ln>
                            <a:noFill/>
                          </a:ln>
                        </wps:spPr>
                        <wps:txbx>
                          <w:txbxContent>
                            <w:p w:rsidR="0052701D" w:rsidRDefault="00D40929">
                              <w:r>
                                <w:rPr>
                                  <w:rFonts w:ascii="Times New Roman" w:eastAsia="Times New Roman" w:hAnsi="Times New Roman" w:cs="Times New Roman"/>
                                  <w:i/>
                                  <w:sz w:val="24"/>
                                </w:rPr>
                                <w:t>3</w:t>
                              </w:r>
                            </w:p>
                          </w:txbxContent>
                        </wps:txbx>
                        <wps:bodyPr horzOverflow="overflow" vert="horz" lIns="0" tIns="0" rIns="0" bIns="0" rtlCol="0">
                          <a:noAutofit/>
                        </wps:bodyPr>
                      </wps:wsp>
                      <wps:wsp>
                        <wps:cNvPr id="20002" name="Rectangle 20002"/>
                        <wps:cNvSpPr/>
                        <wps:spPr>
                          <a:xfrm>
                            <a:off x="2388362" y="192659"/>
                            <a:ext cx="45808" cy="206453"/>
                          </a:xfrm>
                          <a:prstGeom prst="rect">
                            <a:avLst/>
                          </a:prstGeom>
                          <a:ln>
                            <a:noFill/>
                          </a:ln>
                        </wps:spPr>
                        <wps:txbx>
                          <w:txbxContent>
                            <w:p w:rsidR="0052701D" w:rsidRDefault="00D40929">
                              <w:r>
                                <w:rPr>
                                  <w:sz w:val="24"/>
                                </w:rPr>
                                <w:t xml:space="preserve"> </w:t>
                              </w:r>
                            </w:p>
                          </w:txbxContent>
                        </wps:txbx>
                        <wps:bodyPr horzOverflow="overflow" vert="horz" lIns="0" tIns="0" rIns="0" bIns="0" rtlCol="0">
                          <a:noAutofit/>
                        </wps:bodyPr>
                      </wps:wsp>
                      <wps:wsp>
                        <wps:cNvPr id="20003" name="Shape 20003"/>
                        <wps:cNvSpPr/>
                        <wps:spPr>
                          <a:xfrm>
                            <a:off x="954024" y="173735"/>
                            <a:ext cx="204216" cy="167641"/>
                          </a:xfrm>
                          <a:custGeom>
                            <a:avLst/>
                            <a:gdLst/>
                            <a:ahLst/>
                            <a:cxnLst/>
                            <a:rect l="0" t="0" r="0" b="0"/>
                            <a:pathLst>
                              <a:path w="204216" h="167641">
                                <a:moveTo>
                                  <a:pt x="0" y="0"/>
                                </a:moveTo>
                                <a:lnTo>
                                  <a:pt x="204216" y="167641"/>
                                </a:lnTo>
                              </a:path>
                            </a:pathLst>
                          </a:custGeom>
                          <a:ln w="12192" cap="flat">
                            <a:round/>
                          </a:ln>
                        </wps:spPr>
                        <wps:style>
                          <a:lnRef idx="1">
                            <a:srgbClr val="000000"/>
                          </a:lnRef>
                          <a:fillRef idx="0">
                            <a:srgbClr val="000000">
                              <a:alpha val="0"/>
                            </a:srgbClr>
                          </a:fillRef>
                          <a:effectRef idx="0">
                            <a:scrgbClr r="0" g="0" b="0"/>
                          </a:effectRef>
                          <a:fontRef idx="none"/>
                        </wps:style>
                        <wps:bodyPr/>
                      </wps:wsp>
                      <wps:wsp>
                        <wps:cNvPr id="20004" name="Shape 20004"/>
                        <wps:cNvSpPr/>
                        <wps:spPr>
                          <a:xfrm>
                            <a:off x="2389632" y="347472"/>
                            <a:ext cx="140208" cy="179832"/>
                          </a:xfrm>
                          <a:custGeom>
                            <a:avLst/>
                            <a:gdLst/>
                            <a:ahLst/>
                            <a:cxnLst/>
                            <a:rect l="0" t="0" r="0" b="0"/>
                            <a:pathLst>
                              <a:path w="140208" h="179832">
                                <a:moveTo>
                                  <a:pt x="0" y="0"/>
                                </a:moveTo>
                                <a:lnTo>
                                  <a:pt x="140208" y="179832"/>
                                </a:lnTo>
                              </a:path>
                            </a:pathLst>
                          </a:custGeom>
                          <a:ln w="12192" cap="flat">
                            <a:round/>
                          </a:ln>
                        </wps:spPr>
                        <wps:style>
                          <a:lnRef idx="1">
                            <a:srgbClr val="000000"/>
                          </a:lnRef>
                          <a:fillRef idx="0">
                            <a:srgbClr val="000000">
                              <a:alpha val="0"/>
                            </a:srgbClr>
                          </a:fillRef>
                          <a:effectRef idx="0">
                            <a:scrgbClr r="0" g="0" b="0"/>
                          </a:effectRef>
                          <a:fontRef idx="none"/>
                        </wps:style>
                        <wps:bodyPr/>
                      </wps:wsp>
                      <wps:wsp>
                        <wps:cNvPr id="20005" name="Shape 20005"/>
                        <wps:cNvSpPr/>
                        <wps:spPr>
                          <a:xfrm>
                            <a:off x="1124712" y="188976"/>
                            <a:ext cx="201168" cy="612648"/>
                          </a:xfrm>
                          <a:custGeom>
                            <a:avLst/>
                            <a:gdLst/>
                            <a:ahLst/>
                            <a:cxnLst/>
                            <a:rect l="0" t="0" r="0" b="0"/>
                            <a:pathLst>
                              <a:path w="201168" h="612648">
                                <a:moveTo>
                                  <a:pt x="201168" y="0"/>
                                </a:moveTo>
                                <a:lnTo>
                                  <a:pt x="0" y="612648"/>
                                </a:lnTo>
                              </a:path>
                            </a:pathLst>
                          </a:custGeom>
                          <a:ln w="12192" cap="flat">
                            <a:round/>
                          </a:ln>
                        </wps:spPr>
                        <wps:style>
                          <a:lnRef idx="1">
                            <a:srgbClr val="000000"/>
                          </a:lnRef>
                          <a:fillRef idx="0">
                            <a:srgbClr val="000000">
                              <a:alpha val="0"/>
                            </a:srgbClr>
                          </a:fillRef>
                          <a:effectRef idx="0">
                            <a:scrgbClr r="0" g="0" b="0"/>
                          </a:effectRef>
                          <a:fontRef idx="none"/>
                        </wps:style>
                        <wps:bodyPr/>
                      </wps:wsp>
                      <wps:wsp>
                        <wps:cNvPr id="20006" name="Shape 20006"/>
                        <wps:cNvSpPr/>
                        <wps:spPr>
                          <a:xfrm>
                            <a:off x="795528" y="249935"/>
                            <a:ext cx="838200" cy="0"/>
                          </a:xfrm>
                          <a:custGeom>
                            <a:avLst/>
                            <a:gdLst/>
                            <a:ahLst/>
                            <a:cxnLst/>
                            <a:rect l="0" t="0" r="0" b="0"/>
                            <a:pathLst>
                              <a:path w="838200">
                                <a:moveTo>
                                  <a:pt x="0" y="0"/>
                                </a:moveTo>
                                <a:lnTo>
                                  <a:pt x="838200" y="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007" name="Shape 20007"/>
                        <wps:cNvSpPr/>
                        <wps:spPr>
                          <a:xfrm>
                            <a:off x="789432" y="2298192"/>
                            <a:ext cx="859536" cy="0"/>
                          </a:xfrm>
                          <a:custGeom>
                            <a:avLst/>
                            <a:gdLst/>
                            <a:ahLst/>
                            <a:cxnLst/>
                            <a:rect l="0" t="0" r="0" b="0"/>
                            <a:pathLst>
                              <a:path w="859536">
                                <a:moveTo>
                                  <a:pt x="0" y="0"/>
                                </a:moveTo>
                                <a:lnTo>
                                  <a:pt x="859536" y="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008" name="Shape 20008"/>
                        <wps:cNvSpPr/>
                        <wps:spPr>
                          <a:xfrm>
                            <a:off x="624840" y="893063"/>
                            <a:ext cx="12192" cy="795528"/>
                          </a:xfrm>
                          <a:custGeom>
                            <a:avLst/>
                            <a:gdLst/>
                            <a:ahLst/>
                            <a:cxnLst/>
                            <a:rect l="0" t="0" r="0" b="0"/>
                            <a:pathLst>
                              <a:path w="12192" h="795528">
                                <a:moveTo>
                                  <a:pt x="12192" y="0"/>
                                </a:moveTo>
                                <a:lnTo>
                                  <a:pt x="0" y="795528"/>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009" name="Shape 20009"/>
                        <wps:cNvSpPr/>
                        <wps:spPr>
                          <a:xfrm>
                            <a:off x="679704" y="1240536"/>
                            <a:ext cx="109728" cy="3048"/>
                          </a:xfrm>
                          <a:custGeom>
                            <a:avLst/>
                            <a:gdLst/>
                            <a:ahLst/>
                            <a:cxnLst/>
                            <a:rect l="0" t="0" r="0" b="0"/>
                            <a:pathLst>
                              <a:path w="109728" h="3048">
                                <a:moveTo>
                                  <a:pt x="0" y="0"/>
                                </a:moveTo>
                                <a:lnTo>
                                  <a:pt x="109728" y="3048"/>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010" name="Shape 20010"/>
                        <wps:cNvSpPr/>
                        <wps:spPr>
                          <a:xfrm>
                            <a:off x="682752" y="1310639"/>
                            <a:ext cx="112776" cy="0"/>
                          </a:xfrm>
                          <a:custGeom>
                            <a:avLst/>
                            <a:gdLst/>
                            <a:ahLst/>
                            <a:cxnLst/>
                            <a:rect l="0" t="0" r="0" b="0"/>
                            <a:pathLst>
                              <a:path w="112776">
                                <a:moveTo>
                                  <a:pt x="0" y="0"/>
                                </a:moveTo>
                                <a:lnTo>
                                  <a:pt x="112776" y="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011" name="Shape 20011"/>
                        <wps:cNvSpPr/>
                        <wps:spPr>
                          <a:xfrm>
                            <a:off x="441960" y="1310639"/>
                            <a:ext cx="112776" cy="0"/>
                          </a:xfrm>
                          <a:custGeom>
                            <a:avLst/>
                            <a:gdLst/>
                            <a:ahLst/>
                            <a:cxnLst/>
                            <a:rect l="0" t="0" r="0" b="0"/>
                            <a:pathLst>
                              <a:path w="112776">
                                <a:moveTo>
                                  <a:pt x="0" y="0"/>
                                </a:moveTo>
                                <a:lnTo>
                                  <a:pt x="112776" y="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012" name="Shape 20012"/>
                        <wps:cNvSpPr/>
                        <wps:spPr>
                          <a:xfrm>
                            <a:off x="441960" y="1234439"/>
                            <a:ext cx="112776" cy="0"/>
                          </a:xfrm>
                          <a:custGeom>
                            <a:avLst/>
                            <a:gdLst/>
                            <a:ahLst/>
                            <a:cxnLst/>
                            <a:rect l="0" t="0" r="0" b="0"/>
                            <a:pathLst>
                              <a:path w="112776">
                                <a:moveTo>
                                  <a:pt x="0" y="0"/>
                                </a:moveTo>
                                <a:lnTo>
                                  <a:pt x="112776" y="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013" name="Shape 20013"/>
                        <wps:cNvSpPr/>
                        <wps:spPr>
                          <a:xfrm>
                            <a:off x="441960" y="612648"/>
                            <a:ext cx="12192" cy="890015"/>
                          </a:xfrm>
                          <a:custGeom>
                            <a:avLst/>
                            <a:gdLst/>
                            <a:ahLst/>
                            <a:cxnLst/>
                            <a:rect l="0" t="0" r="0" b="0"/>
                            <a:pathLst>
                              <a:path w="12192" h="890015">
                                <a:moveTo>
                                  <a:pt x="12192" y="0"/>
                                </a:moveTo>
                                <a:lnTo>
                                  <a:pt x="0" y="890015"/>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014" name="Shape 20014"/>
                        <wps:cNvSpPr/>
                        <wps:spPr>
                          <a:xfrm>
                            <a:off x="103632" y="1277111"/>
                            <a:ext cx="332232" cy="0"/>
                          </a:xfrm>
                          <a:custGeom>
                            <a:avLst/>
                            <a:gdLst/>
                            <a:ahLst/>
                            <a:cxnLst/>
                            <a:rect l="0" t="0" r="0" b="0"/>
                            <a:pathLst>
                              <a:path w="332232">
                                <a:moveTo>
                                  <a:pt x="0" y="0"/>
                                </a:moveTo>
                                <a:lnTo>
                                  <a:pt x="332232" y="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015" name="Shape 20015"/>
                        <wps:cNvSpPr/>
                        <wps:spPr>
                          <a:xfrm>
                            <a:off x="582168" y="338328"/>
                            <a:ext cx="91694" cy="507"/>
                          </a:xfrm>
                          <a:custGeom>
                            <a:avLst/>
                            <a:gdLst/>
                            <a:ahLst/>
                            <a:cxnLst/>
                            <a:rect l="0" t="0" r="0" b="0"/>
                            <a:pathLst>
                              <a:path w="91694" h="507">
                                <a:moveTo>
                                  <a:pt x="91694" y="0"/>
                                </a:moveTo>
                                <a:lnTo>
                                  <a:pt x="0" y="507"/>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016" name="Shape 20016"/>
                        <wps:cNvSpPr/>
                        <wps:spPr>
                          <a:xfrm>
                            <a:off x="737616" y="573024"/>
                            <a:ext cx="508" cy="98552"/>
                          </a:xfrm>
                          <a:custGeom>
                            <a:avLst/>
                            <a:gdLst/>
                            <a:ahLst/>
                            <a:cxnLst/>
                            <a:rect l="0" t="0" r="0" b="0"/>
                            <a:pathLst>
                              <a:path w="508" h="98552">
                                <a:moveTo>
                                  <a:pt x="0" y="0"/>
                                </a:moveTo>
                                <a:lnTo>
                                  <a:pt x="508" y="98552"/>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017" name="Shape 20017"/>
                        <wps:cNvSpPr/>
                        <wps:spPr>
                          <a:xfrm>
                            <a:off x="536448" y="566928"/>
                            <a:ext cx="508" cy="98551"/>
                          </a:xfrm>
                          <a:custGeom>
                            <a:avLst/>
                            <a:gdLst/>
                            <a:ahLst/>
                            <a:cxnLst/>
                            <a:rect l="0" t="0" r="0" b="0"/>
                            <a:pathLst>
                              <a:path w="508" h="98551">
                                <a:moveTo>
                                  <a:pt x="0" y="0"/>
                                </a:moveTo>
                                <a:lnTo>
                                  <a:pt x="508" y="98551"/>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018" name="Shape 20018"/>
                        <wps:cNvSpPr/>
                        <wps:spPr>
                          <a:xfrm>
                            <a:off x="566928" y="588263"/>
                            <a:ext cx="139827" cy="508"/>
                          </a:xfrm>
                          <a:custGeom>
                            <a:avLst/>
                            <a:gdLst/>
                            <a:ahLst/>
                            <a:cxnLst/>
                            <a:rect l="0" t="0" r="0" b="0"/>
                            <a:pathLst>
                              <a:path w="139827" h="508">
                                <a:moveTo>
                                  <a:pt x="0" y="0"/>
                                </a:moveTo>
                                <a:lnTo>
                                  <a:pt x="139827" y="508"/>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019" name="Shape 20019"/>
                        <wps:cNvSpPr/>
                        <wps:spPr>
                          <a:xfrm>
                            <a:off x="566928" y="649224"/>
                            <a:ext cx="139827" cy="508"/>
                          </a:xfrm>
                          <a:custGeom>
                            <a:avLst/>
                            <a:gdLst/>
                            <a:ahLst/>
                            <a:cxnLst/>
                            <a:rect l="0" t="0" r="0" b="0"/>
                            <a:pathLst>
                              <a:path w="139827" h="508">
                                <a:moveTo>
                                  <a:pt x="0" y="0"/>
                                </a:moveTo>
                                <a:lnTo>
                                  <a:pt x="139827" y="508"/>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020" name="Shape 20020"/>
                        <wps:cNvSpPr/>
                        <wps:spPr>
                          <a:xfrm>
                            <a:off x="633984" y="374903"/>
                            <a:ext cx="0" cy="213360"/>
                          </a:xfrm>
                          <a:custGeom>
                            <a:avLst/>
                            <a:gdLst/>
                            <a:ahLst/>
                            <a:cxnLst/>
                            <a:rect l="0" t="0" r="0" b="0"/>
                            <a:pathLst>
                              <a:path h="213360">
                                <a:moveTo>
                                  <a:pt x="0" y="0"/>
                                </a:moveTo>
                                <a:lnTo>
                                  <a:pt x="0" y="21336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021" name="Shape 20021"/>
                        <wps:cNvSpPr/>
                        <wps:spPr>
                          <a:xfrm>
                            <a:off x="624840" y="643128"/>
                            <a:ext cx="0" cy="216408"/>
                          </a:xfrm>
                          <a:custGeom>
                            <a:avLst/>
                            <a:gdLst/>
                            <a:ahLst/>
                            <a:cxnLst/>
                            <a:rect l="0" t="0" r="0" b="0"/>
                            <a:pathLst>
                              <a:path h="216408">
                                <a:moveTo>
                                  <a:pt x="0" y="0"/>
                                </a:moveTo>
                                <a:lnTo>
                                  <a:pt x="0" y="216408"/>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022" name="Shape 20022"/>
                        <wps:cNvSpPr/>
                        <wps:spPr>
                          <a:xfrm>
                            <a:off x="585216" y="856487"/>
                            <a:ext cx="91821" cy="508"/>
                          </a:xfrm>
                          <a:custGeom>
                            <a:avLst/>
                            <a:gdLst/>
                            <a:ahLst/>
                            <a:cxnLst/>
                            <a:rect l="0" t="0" r="0" b="0"/>
                            <a:pathLst>
                              <a:path w="91821" h="508">
                                <a:moveTo>
                                  <a:pt x="91821" y="0"/>
                                </a:moveTo>
                                <a:lnTo>
                                  <a:pt x="0" y="508"/>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023" name="Shape 20023"/>
                        <wps:cNvSpPr/>
                        <wps:spPr>
                          <a:xfrm>
                            <a:off x="582168" y="371856"/>
                            <a:ext cx="91694" cy="635"/>
                          </a:xfrm>
                          <a:custGeom>
                            <a:avLst/>
                            <a:gdLst/>
                            <a:ahLst/>
                            <a:cxnLst/>
                            <a:rect l="0" t="0" r="0" b="0"/>
                            <a:pathLst>
                              <a:path w="91694" h="635">
                                <a:moveTo>
                                  <a:pt x="91694" y="0"/>
                                </a:moveTo>
                                <a:lnTo>
                                  <a:pt x="0" y="635"/>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024" name="Shape 20024"/>
                        <wps:cNvSpPr/>
                        <wps:spPr>
                          <a:xfrm>
                            <a:off x="445008" y="615696"/>
                            <a:ext cx="326136" cy="0"/>
                          </a:xfrm>
                          <a:custGeom>
                            <a:avLst/>
                            <a:gdLst/>
                            <a:ahLst/>
                            <a:cxnLst/>
                            <a:rect l="0" t="0" r="0" b="0"/>
                            <a:pathLst>
                              <a:path w="326136">
                                <a:moveTo>
                                  <a:pt x="0" y="0"/>
                                </a:moveTo>
                                <a:lnTo>
                                  <a:pt x="326136" y="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025" name="Shape 20025"/>
                        <wps:cNvSpPr/>
                        <wps:spPr>
                          <a:xfrm>
                            <a:off x="588264" y="886968"/>
                            <a:ext cx="91694" cy="508"/>
                          </a:xfrm>
                          <a:custGeom>
                            <a:avLst/>
                            <a:gdLst/>
                            <a:ahLst/>
                            <a:cxnLst/>
                            <a:rect l="0" t="0" r="0" b="0"/>
                            <a:pathLst>
                              <a:path w="91694" h="508">
                                <a:moveTo>
                                  <a:pt x="91694" y="0"/>
                                </a:moveTo>
                                <a:lnTo>
                                  <a:pt x="0" y="508"/>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026" name="Shape 20026"/>
                        <wps:cNvSpPr/>
                        <wps:spPr>
                          <a:xfrm>
                            <a:off x="576072" y="1688592"/>
                            <a:ext cx="91821" cy="636"/>
                          </a:xfrm>
                          <a:custGeom>
                            <a:avLst/>
                            <a:gdLst/>
                            <a:ahLst/>
                            <a:cxnLst/>
                            <a:rect l="0" t="0" r="0" b="0"/>
                            <a:pathLst>
                              <a:path w="91821" h="636">
                                <a:moveTo>
                                  <a:pt x="91821" y="0"/>
                                </a:moveTo>
                                <a:lnTo>
                                  <a:pt x="0" y="636"/>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027" name="Shape 20027"/>
                        <wps:cNvSpPr/>
                        <wps:spPr>
                          <a:xfrm>
                            <a:off x="630936" y="271272"/>
                            <a:ext cx="0" cy="60960"/>
                          </a:xfrm>
                          <a:custGeom>
                            <a:avLst/>
                            <a:gdLst/>
                            <a:ahLst/>
                            <a:cxnLst/>
                            <a:rect l="0" t="0" r="0" b="0"/>
                            <a:pathLst>
                              <a:path h="60960">
                                <a:moveTo>
                                  <a:pt x="0" y="0"/>
                                </a:moveTo>
                                <a:lnTo>
                                  <a:pt x="0" y="6096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028" name="Shape 20028"/>
                        <wps:cNvSpPr/>
                        <wps:spPr>
                          <a:xfrm>
                            <a:off x="618744" y="271272"/>
                            <a:ext cx="176784" cy="0"/>
                          </a:xfrm>
                          <a:custGeom>
                            <a:avLst/>
                            <a:gdLst/>
                            <a:ahLst/>
                            <a:cxnLst/>
                            <a:rect l="0" t="0" r="0" b="0"/>
                            <a:pathLst>
                              <a:path w="176784">
                                <a:moveTo>
                                  <a:pt x="176784" y="0"/>
                                </a:moveTo>
                                <a:lnTo>
                                  <a:pt x="0" y="0"/>
                                </a:lnTo>
                              </a:path>
                            </a:pathLst>
                          </a:custGeom>
                          <a:ln w="18288"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0031" name="Picture 20031"/>
                          <pic:cNvPicPr/>
                        </pic:nvPicPr>
                        <pic:blipFill>
                          <a:blip r:embed="rId263"/>
                          <a:stretch>
                            <a:fillRect/>
                          </a:stretch>
                        </pic:blipFill>
                        <pic:spPr>
                          <a:xfrm>
                            <a:off x="326136" y="42671"/>
                            <a:ext cx="195072" cy="164592"/>
                          </a:xfrm>
                          <a:prstGeom prst="rect">
                            <a:avLst/>
                          </a:prstGeom>
                        </pic:spPr>
                      </pic:pic>
                      <wps:wsp>
                        <wps:cNvPr id="20032" name="Rectangle 20032"/>
                        <wps:cNvSpPr/>
                        <wps:spPr>
                          <a:xfrm>
                            <a:off x="415798" y="45550"/>
                            <a:ext cx="101549" cy="224830"/>
                          </a:xfrm>
                          <a:prstGeom prst="rect">
                            <a:avLst/>
                          </a:prstGeom>
                          <a:ln>
                            <a:noFill/>
                          </a:ln>
                        </wps:spPr>
                        <wps:txbx>
                          <w:txbxContent>
                            <w:p w:rsidR="0052701D" w:rsidRDefault="00D40929">
                              <w:r>
                                <w:rPr>
                                  <w:rFonts w:ascii="Times New Roman" w:eastAsia="Times New Roman" w:hAnsi="Times New Roman" w:cs="Times New Roman"/>
                                  <w:i/>
                                  <w:sz w:val="24"/>
                                </w:rPr>
                                <w:t>4</w:t>
                              </w:r>
                            </w:p>
                          </w:txbxContent>
                        </wps:txbx>
                        <wps:bodyPr horzOverflow="overflow" vert="horz" lIns="0" tIns="0" rIns="0" bIns="0" rtlCol="0">
                          <a:noAutofit/>
                        </wps:bodyPr>
                      </wps:wsp>
                      <wps:wsp>
                        <wps:cNvPr id="20033" name="Rectangle 20033"/>
                        <wps:cNvSpPr/>
                        <wps:spPr>
                          <a:xfrm>
                            <a:off x="491998" y="67081"/>
                            <a:ext cx="45900" cy="206865"/>
                          </a:xfrm>
                          <a:prstGeom prst="rect">
                            <a:avLst/>
                          </a:prstGeom>
                          <a:ln>
                            <a:noFill/>
                          </a:ln>
                        </wps:spPr>
                        <wps:txbx>
                          <w:txbxContent>
                            <w:p w:rsidR="0052701D" w:rsidRDefault="00D40929">
                              <w:r>
                                <w:rPr>
                                  <w:sz w:val="24"/>
                                </w:rPr>
                                <w:t xml:space="preserve"> </w:t>
                              </w:r>
                            </w:p>
                          </w:txbxContent>
                        </wps:txbx>
                        <wps:bodyPr horzOverflow="overflow" vert="horz" lIns="0" tIns="0" rIns="0" bIns="0" rtlCol="0">
                          <a:noAutofit/>
                        </wps:bodyPr>
                      </wps:wsp>
                      <pic:pic xmlns:pic="http://schemas.openxmlformats.org/drawingml/2006/picture">
                        <pic:nvPicPr>
                          <pic:cNvPr id="20036" name="Picture 20036"/>
                          <pic:cNvPicPr/>
                        </pic:nvPicPr>
                        <pic:blipFill>
                          <a:blip r:embed="rId263"/>
                          <a:stretch>
                            <a:fillRect/>
                          </a:stretch>
                        </pic:blipFill>
                        <pic:spPr>
                          <a:xfrm>
                            <a:off x="326136" y="384047"/>
                            <a:ext cx="195072" cy="167640"/>
                          </a:xfrm>
                          <a:prstGeom prst="rect">
                            <a:avLst/>
                          </a:prstGeom>
                        </pic:spPr>
                      </pic:pic>
                      <wps:wsp>
                        <wps:cNvPr id="20037" name="Rectangle 20037"/>
                        <wps:cNvSpPr/>
                        <wps:spPr>
                          <a:xfrm>
                            <a:off x="415798" y="387578"/>
                            <a:ext cx="101346" cy="224381"/>
                          </a:xfrm>
                          <a:prstGeom prst="rect">
                            <a:avLst/>
                          </a:prstGeom>
                          <a:ln>
                            <a:noFill/>
                          </a:ln>
                        </wps:spPr>
                        <wps:txbx>
                          <w:txbxContent>
                            <w:p w:rsidR="0052701D" w:rsidRDefault="00D40929">
                              <w:r>
                                <w:rPr>
                                  <w:rFonts w:ascii="Times New Roman" w:eastAsia="Times New Roman" w:hAnsi="Times New Roman" w:cs="Times New Roman"/>
                                  <w:i/>
                                  <w:sz w:val="24"/>
                                </w:rPr>
                                <w:t>5</w:t>
                              </w:r>
                            </w:p>
                          </w:txbxContent>
                        </wps:txbx>
                        <wps:bodyPr horzOverflow="overflow" vert="horz" lIns="0" tIns="0" rIns="0" bIns="0" rtlCol="0">
                          <a:noAutofit/>
                        </wps:bodyPr>
                      </wps:wsp>
                      <wps:wsp>
                        <wps:cNvPr id="20038" name="Rectangle 20038"/>
                        <wps:cNvSpPr/>
                        <wps:spPr>
                          <a:xfrm>
                            <a:off x="491998" y="409067"/>
                            <a:ext cx="45808" cy="206453"/>
                          </a:xfrm>
                          <a:prstGeom prst="rect">
                            <a:avLst/>
                          </a:prstGeom>
                          <a:ln>
                            <a:noFill/>
                          </a:ln>
                        </wps:spPr>
                        <wps:txbx>
                          <w:txbxContent>
                            <w:p w:rsidR="0052701D" w:rsidRDefault="00D40929">
                              <w:r>
                                <w:rPr>
                                  <w:sz w:val="24"/>
                                </w:rPr>
                                <w:t xml:space="preserve"> </w:t>
                              </w:r>
                            </w:p>
                          </w:txbxContent>
                        </wps:txbx>
                        <wps:bodyPr horzOverflow="overflow" vert="horz" lIns="0" tIns="0" rIns="0" bIns="0" rtlCol="0">
                          <a:noAutofit/>
                        </wps:bodyPr>
                      </wps:wsp>
                      <pic:pic xmlns:pic="http://schemas.openxmlformats.org/drawingml/2006/picture">
                        <pic:nvPicPr>
                          <pic:cNvPr id="20041" name="Picture 20041"/>
                          <pic:cNvPicPr/>
                        </pic:nvPicPr>
                        <pic:blipFill>
                          <a:blip r:embed="rId263"/>
                          <a:stretch>
                            <a:fillRect/>
                          </a:stretch>
                        </pic:blipFill>
                        <pic:spPr>
                          <a:xfrm>
                            <a:off x="338328" y="1648968"/>
                            <a:ext cx="195072" cy="167640"/>
                          </a:xfrm>
                          <a:prstGeom prst="rect">
                            <a:avLst/>
                          </a:prstGeom>
                        </pic:spPr>
                      </pic:pic>
                      <wps:wsp>
                        <wps:cNvPr id="20042" name="Rectangle 20042"/>
                        <wps:cNvSpPr/>
                        <wps:spPr>
                          <a:xfrm>
                            <a:off x="427990" y="1652752"/>
                            <a:ext cx="101346" cy="224381"/>
                          </a:xfrm>
                          <a:prstGeom prst="rect">
                            <a:avLst/>
                          </a:prstGeom>
                          <a:ln>
                            <a:noFill/>
                          </a:ln>
                        </wps:spPr>
                        <wps:txbx>
                          <w:txbxContent>
                            <w:p w:rsidR="0052701D" w:rsidRDefault="00D40929">
                              <w:r>
                                <w:rPr>
                                  <w:rFonts w:ascii="Times New Roman" w:eastAsia="Times New Roman" w:hAnsi="Times New Roman" w:cs="Times New Roman"/>
                                  <w:i/>
                                  <w:sz w:val="24"/>
                                </w:rPr>
                                <w:t>6</w:t>
                              </w:r>
                            </w:p>
                          </w:txbxContent>
                        </wps:txbx>
                        <wps:bodyPr horzOverflow="overflow" vert="horz" lIns="0" tIns="0" rIns="0" bIns="0" rtlCol="0">
                          <a:noAutofit/>
                        </wps:bodyPr>
                      </wps:wsp>
                      <wps:wsp>
                        <wps:cNvPr id="20043" name="Rectangle 20043"/>
                        <wps:cNvSpPr/>
                        <wps:spPr>
                          <a:xfrm>
                            <a:off x="504190" y="1674241"/>
                            <a:ext cx="45808" cy="206453"/>
                          </a:xfrm>
                          <a:prstGeom prst="rect">
                            <a:avLst/>
                          </a:prstGeom>
                          <a:ln>
                            <a:noFill/>
                          </a:ln>
                        </wps:spPr>
                        <wps:txbx>
                          <w:txbxContent>
                            <w:p w:rsidR="0052701D" w:rsidRDefault="00D40929">
                              <w:r>
                                <w:rPr>
                                  <w:sz w:val="24"/>
                                </w:rPr>
                                <w:t xml:space="preserve"> </w:t>
                              </w:r>
                            </w:p>
                          </w:txbxContent>
                        </wps:txbx>
                        <wps:bodyPr horzOverflow="overflow" vert="horz" lIns="0" tIns="0" rIns="0" bIns="0" rtlCol="0">
                          <a:noAutofit/>
                        </wps:bodyPr>
                      </wps:wsp>
                      <pic:pic xmlns:pic="http://schemas.openxmlformats.org/drawingml/2006/picture">
                        <pic:nvPicPr>
                          <pic:cNvPr id="20046" name="Picture 20046"/>
                          <pic:cNvPicPr/>
                        </pic:nvPicPr>
                        <pic:blipFill>
                          <a:blip r:embed="rId263"/>
                          <a:stretch>
                            <a:fillRect/>
                          </a:stretch>
                        </pic:blipFill>
                        <pic:spPr>
                          <a:xfrm>
                            <a:off x="115824" y="804671"/>
                            <a:ext cx="195072" cy="164592"/>
                          </a:xfrm>
                          <a:prstGeom prst="rect">
                            <a:avLst/>
                          </a:prstGeom>
                        </pic:spPr>
                      </pic:pic>
                      <wps:wsp>
                        <wps:cNvPr id="20047" name="Rectangle 20047"/>
                        <wps:cNvSpPr/>
                        <wps:spPr>
                          <a:xfrm>
                            <a:off x="205486" y="808202"/>
                            <a:ext cx="146378" cy="224381"/>
                          </a:xfrm>
                          <a:prstGeom prst="rect">
                            <a:avLst/>
                          </a:prstGeom>
                          <a:ln>
                            <a:noFill/>
                          </a:ln>
                        </wps:spPr>
                        <wps:txbx>
                          <w:txbxContent>
                            <w:p w:rsidR="0052701D" w:rsidRDefault="00D40929">
                              <w:r>
                                <w:rPr>
                                  <w:rFonts w:ascii="Times New Roman" w:eastAsia="Times New Roman" w:hAnsi="Times New Roman" w:cs="Times New Roman"/>
                                  <w:i/>
                                  <w:sz w:val="24"/>
                                </w:rPr>
                                <w:t>H</w:t>
                              </w:r>
                            </w:p>
                          </w:txbxContent>
                        </wps:txbx>
                        <wps:bodyPr horzOverflow="overflow" vert="horz" lIns="0" tIns="0" rIns="0" bIns="0" rtlCol="0">
                          <a:noAutofit/>
                        </wps:bodyPr>
                      </wps:wsp>
                      <wps:wsp>
                        <wps:cNvPr id="20048" name="Shape 20048"/>
                        <wps:cNvSpPr/>
                        <wps:spPr>
                          <a:xfrm>
                            <a:off x="466344" y="207263"/>
                            <a:ext cx="158496" cy="103632"/>
                          </a:xfrm>
                          <a:custGeom>
                            <a:avLst/>
                            <a:gdLst/>
                            <a:ahLst/>
                            <a:cxnLst/>
                            <a:rect l="0" t="0" r="0" b="0"/>
                            <a:pathLst>
                              <a:path w="158496" h="103632">
                                <a:moveTo>
                                  <a:pt x="158496" y="103632"/>
                                </a:moveTo>
                                <a:lnTo>
                                  <a:pt x="0" y="0"/>
                                </a:lnTo>
                              </a:path>
                            </a:pathLst>
                          </a:custGeom>
                          <a:ln w="12192" cap="flat">
                            <a:round/>
                          </a:ln>
                        </wps:spPr>
                        <wps:style>
                          <a:lnRef idx="1">
                            <a:srgbClr val="000000"/>
                          </a:lnRef>
                          <a:fillRef idx="0">
                            <a:srgbClr val="000000">
                              <a:alpha val="0"/>
                            </a:srgbClr>
                          </a:fillRef>
                          <a:effectRef idx="0">
                            <a:scrgbClr r="0" g="0" b="0"/>
                          </a:effectRef>
                          <a:fontRef idx="none"/>
                        </wps:style>
                        <wps:bodyPr/>
                      </wps:wsp>
                      <wps:wsp>
                        <wps:cNvPr id="20049" name="Shape 20049"/>
                        <wps:cNvSpPr/>
                        <wps:spPr>
                          <a:xfrm>
                            <a:off x="472440" y="493776"/>
                            <a:ext cx="158496" cy="42672"/>
                          </a:xfrm>
                          <a:custGeom>
                            <a:avLst/>
                            <a:gdLst/>
                            <a:ahLst/>
                            <a:cxnLst/>
                            <a:rect l="0" t="0" r="0" b="0"/>
                            <a:pathLst>
                              <a:path w="158496" h="42672">
                                <a:moveTo>
                                  <a:pt x="158496" y="42672"/>
                                </a:moveTo>
                                <a:lnTo>
                                  <a:pt x="0" y="0"/>
                                </a:lnTo>
                              </a:path>
                            </a:pathLst>
                          </a:custGeom>
                          <a:ln w="12192" cap="flat">
                            <a:round/>
                          </a:ln>
                        </wps:spPr>
                        <wps:style>
                          <a:lnRef idx="1">
                            <a:srgbClr val="000000"/>
                          </a:lnRef>
                          <a:fillRef idx="0">
                            <a:srgbClr val="000000">
                              <a:alpha val="0"/>
                            </a:srgbClr>
                          </a:fillRef>
                          <a:effectRef idx="0">
                            <a:scrgbClr r="0" g="0" b="0"/>
                          </a:effectRef>
                          <a:fontRef idx="none"/>
                        </wps:style>
                        <wps:bodyPr/>
                      </wps:wsp>
                      <wps:wsp>
                        <wps:cNvPr id="20050" name="Shape 20050"/>
                        <wps:cNvSpPr/>
                        <wps:spPr>
                          <a:xfrm>
                            <a:off x="289560" y="905256"/>
                            <a:ext cx="158496" cy="45720"/>
                          </a:xfrm>
                          <a:custGeom>
                            <a:avLst/>
                            <a:gdLst/>
                            <a:ahLst/>
                            <a:cxnLst/>
                            <a:rect l="0" t="0" r="0" b="0"/>
                            <a:pathLst>
                              <a:path w="158496" h="45720">
                                <a:moveTo>
                                  <a:pt x="158496" y="45720"/>
                                </a:moveTo>
                                <a:lnTo>
                                  <a:pt x="0" y="0"/>
                                </a:lnTo>
                              </a:path>
                            </a:pathLst>
                          </a:custGeom>
                          <a:ln w="12192" cap="flat">
                            <a:round/>
                          </a:ln>
                        </wps:spPr>
                        <wps:style>
                          <a:lnRef idx="1">
                            <a:srgbClr val="000000"/>
                          </a:lnRef>
                          <a:fillRef idx="0">
                            <a:srgbClr val="000000">
                              <a:alpha val="0"/>
                            </a:srgbClr>
                          </a:fillRef>
                          <a:effectRef idx="0">
                            <a:scrgbClr r="0" g="0" b="0"/>
                          </a:effectRef>
                          <a:fontRef idx="none"/>
                        </wps:style>
                        <wps:bodyPr/>
                      </wps:wsp>
                      <wps:wsp>
                        <wps:cNvPr id="20051" name="Shape 20051"/>
                        <wps:cNvSpPr/>
                        <wps:spPr>
                          <a:xfrm>
                            <a:off x="502920" y="1642872"/>
                            <a:ext cx="124968" cy="36576"/>
                          </a:xfrm>
                          <a:custGeom>
                            <a:avLst/>
                            <a:gdLst/>
                            <a:ahLst/>
                            <a:cxnLst/>
                            <a:rect l="0" t="0" r="0" b="0"/>
                            <a:pathLst>
                              <a:path w="124968" h="36576">
                                <a:moveTo>
                                  <a:pt x="124968" y="0"/>
                                </a:moveTo>
                                <a:lnTo>
                                  <a:pt x="0" y="36576"/>
                                </a:lnTo>
                              </a:path>
                            </a:pathLst>
                          </a:custGeom>
                          <a:ln w="1219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34784" style="width:267.43pt;height:206.365pt;mso-position-horizontal-relative:char;mso-position-vertical-relative:line" coordsize="33963,26208">
                <v:rect id="Rectangle 19890" style="position:absolute;width:466;height:2064;left:33613;top:24656;" filled="f" stroked="f">
                  <v:textbox inset="0,0,0,0">
                    <w:txbxContent>
                      <w:p>
                        <w:pPr>
                          <w:spacing w:before="0" w:after="160" w:line="259" w:lineRule="auto"/>
                        </w:pPr>
                        <w:r>
                          <w:rPr>
                            <w:rFonts w:cs="Times New Roman" w:hAnsi="Times New Roman" w:eastAsia="Times New Roman" w:ascii="Times New Roman"/>
                            <w:b w:val="1"/>
                            <w:sz w:val="22"/>
                          </w:rPr>
                          <w:t xml:space="preserve"> </w:t>
                        </w:r>
                      </w:p>
                    </w:txbxContent>
                  </v:textbox>
                </v:rect>
                <v:shape id="Picture 19900" style="position:absolute;width:33619;height:24384;left:0;top:609;" filled="f">
                  <v:imagedata r:id="rId264"/>
                </v:shape>
                <v:rect id="Rectangle 19901" style="position:absolute;width:459;height:2068;left:923;top:12165;" filled="f" stroked="f">
                  <v:textbox inset="0,0,0,0">
                    <w:txbxContent>
                      <w:p>
                        <w:pPr>
                          <w:spacing w:before="0" w:after="160" w:line="259" w:lineRule="auto"/>
                        </w:pPr>
                        <w:r>
                          <w:rPr>
                            <w:rFonts w:cs="Calibri" w:hAnsi="Calibri" w:eastAsia="Calibri" w:ascii="Calibri"/>
                            <w:sz w:val="24"/>
                          </w:rPr>
                          <w:t xml:space="preserve"> </w:t>
                        </w:r>
                      </w:p>
                    </w:txbxContent>
                  </v:textbox>
                </v:rect>
                <v:shape id="Shape 19902" style="position:absolute;width:8107;height:6949;left:19415;top:3413;" coordsize="810768,694944" path="m0,694944l810768,0">
                  <v:stroke weight="1.44pt" endcap="flat" joinstyle="round" on="true" color="#000000"/>
                  <v:fill on="false" color="#000000" opacity="0"/>
                </v:shape>
                <v:shape id="Picture 1048701" style="position:absolute;width:4450;height:15179;left:9956;top:5090;" filled="f">
                  <v:imagedata r:id="rId265"/>
                </v:shape>
                <v:shape id="Shape 19905" style="position:absolute;width:4389;height:15148;left:9997;top:5151;" coordsize="438912,1514856" path="m0,1514856l438912,1514856l438912,0l0,0x">
                  <v:stroke weight="0.96pt" endcap="flat" joinstyle="round" on="true" color="#000000"/>
                  <v:fill on="false" color="#000000" opacity="0"/>
                </v:shape>
                <v:shape id="Picture 19907" style="position:absolute;width:4267;height:13197;left:10058;top:6126;" filled="f">
                  <v:imagedata r:id="rId266"/>
                </v:shape>
                <v:rect id="Rectangle 19908" style="position:absolute;width:459;height:2068;left:10988;top:12104;" filled="f" stroked="f">
                  <v:textbox inset="0,0,0,0">
                    <w:txbxContent>
                      <w:p>
                        <w:pPr>
                          <w:spacing w:before="0" w:after="160" w:line="259" w:lineRule="auto"/>
                        </w:pPr>
                        <w:r>
                          <w:rPr>
                            <w:rFonts w:cs="Calibri" w:hAnsi="Calibri" w:eastAsia="Calibri" w:ascii="Calibri"/>
                            <w:sz w:val="24"/>
                          </w:rPr>
                          <w:t xml:space="preserve"> </w:t>
                        </w:r>
                      </w:p>
                    </w:txbxContent>
                  </v:textbox>
                </v:rect>
                <v:shape id="Picture 1048702" style="position:absolute;width:4358;height:2286;left:9956;top:2306;" filled="f">
                  <v:imagedata r:id="rId267"/>
                </v:shape>
                <v:shape id="Shape 19910" style="position:absolute;width:4297;height:2225;left:9997;top:2377;" coordsize="429768,222504" path="m0,222504l429768,222504l429768,0l0,0x">
                  <v:stroke weight="0.96pt" endcap="flat" joinstyle="round" on="true" color="#000000"/>
                  <v:fill on="false" color="#000000" opacity="0"/>
                </v:shape>
                <v:shape id="Picture 19912" style="position:absolute;width:4175;height:274;left:10058;top:3352;" filled="f">
                  <v:imagedata r:id="rId268"/>
                </v:shape>
                <v:shape id="Picture 1048703" style="position:absolute;width:4358;height:2286;left:9956;top:20746;" filled="f">
                  <v:imagedata r:id="rId269"/>
                </v:shape>
                <v:shape id="Shape 19914" style="position:absolute;width:4297;height:2225;left:9997;top:20817;" coordsize="429768,222503" path="m0,222503l429768,222503l429768,0l0,0x">
                  <v:stroke weight="0.96pt" endcap="flat" joinstyle="round" on="true" color="#000000"/>
                  <v:fill on="false" color="#000000" opacity="0"/>
                </v:shape>
                <v:shape id="Picture 19916" style="position:absolute;width:4175;height:243;left:10085;top:21793;rotation:-179;" filled="f">
                  <v:imagedata r:id="rId268"/>
                </v:shape>
                <v:shape id="Shape 19917" style="position:absolute;width:5120;height:0;left:4876;top:12771;" coordsize="512064,0" path="m0,0l512064,0">
                  <v:stroke weight="1.44pt" endcap="flat" joinstyle="round" on="true" color="#000000"/>
                  <v:fill on="false" color="#000000" opacity="0"/>
                </v:shape>
                <v:shape id="Shape 19918" style="position:absolute;width:17861;height:0;left:14417;top:12771;" coordsize="1786128,0" path="m0,0l1786128,0">
                  <v:stroke weight="1.44pt" endcap="flat" joinstyle="round" on="true" color="#000000"/>
                  <v:fill on="false" color="#000000" opacity="0"/>
                </v:shape>
                <v:shape id="Shape 19919" style="position:absolute;width:0;height:609;left:2834;top:11734;" coordsize="0,60960" path="m0,0l0,60960">
                  <v:stroke weight="1.44pt" endcap="flat" joinstyle="round" on="true" color="#000000"/>
                  <v:fill on="false" color="#000000" opacity="0"/>
                </v:shape>
                <v:shape id="Shape 19920" style="position:absolute;width:0;height:609;left:3962;top:11734;" coordsize="0,60960" path="m0,0l0,60960">
                  <v:stroke weight="1.44pt" endcap="flat" joinstyle="round" on="true" color="#000000"/>
                  <v:fill on="false" color="#000000" opacity="0"/>
                </v:shape>
                <v:shape id="Shape 19921" style="position:absolute;width:1127;height:0;left:2834;top:12344;" coordsize="112776,0" path="m0,0l112776,0">
                  <v:stroke weight="1.44pt" endcap="flat" joinstyle="round" on="true" color="#000000"/>
                  <v:fill on="false" color="#000000" opacity="0"/>
                </v:shape>
                <v:shape id="Shape 19923" style="position:absolute;width:0;height:579;left:16611;top:13380;" coordsize="0,57912" path="m0,57912l0,0">
                  <v:stroke weight="1.44pt" endcap="flat" joinstyle="round" on="true" color="#000000"/>
                  <v:fill on="false" color="#000000" opacity="0"/>
                </v:shape>
                <v:shape id="Shape 19924" style="position:absolute;width:0;height:579;left:17739;top:13380;" coordsize="0,57912" path="m0,57912l0,0">
                  <v:stroke weight="1.44pt" endcap="flat" joinstyle="round" on="true" color="#000000"/>
                  <v:fill on="false" color="#000000" opacity="0"/>
                </v:shape>
                <v:shape id="Shape 19925" style="position:absolute;width:1127;height:0;left:16611;top:13380;" coordsize="112776,0" path="m0,0l112776,0">
                  <v:stroke weight="1.44pt" endcap="flat" joinstyle="round" on="true" color="#000000"/>
                  <v:fill on="false" color="#000000" opacity="0"/>
                </v:shape>
                <v:shape id="Shape 19926" style="position:absolute;width:0;height:2407;left:30876;top:10058;" coordsize="0,240792" path="m0,240792l0,0">
                  <v:stroke weight="1.44pt" endcap="flat" joinstyle="round" on="true" color="#000000"/>
                  <v:fill on="false" color="#000000" opacity="0"/>
                </v:shape>
                <v:shape id="Shape 19927" style="position:absolute;width:1676;height:0;left:16337;top:13075;" coordsize="167640,0" path="m0,0l167640,0">
                  <v:stroke weight="1.44pt" endcap="flat" joinstyle="round" on="true" color="#000000"/>
                  <v:fill on="false" color="#000000" opacity="0"/>
                </v:shape>
                <v:shape id="Shape 19929" style="position:absolute;width:0;height:609;left:16611;top:11551;" coordsize="0,60961" path="m0,0l0,60961">
                  <v:stroke weight="1.44pt" endcap="flat" joinstyle="round" on="true" color="#000000"/>
                  <v:fill on="false" color="#000000" opacity="0"/>
                </v:shape>
                <v:shape id="Shape 19930" style="position:absolute;width:0;height:609;left:17739;top:11551;" coordsize="0,60961" path="m0,0l0,60961">
                  <v:stroke weight="1.44pt" endcap="flat" joinstyle="round" on="true" color="#000000"/>
                  <v:fill on="false" color="#000000" opacity="0"/>
                </v:shape>
                <v:shape id="Shape 19931" style="position:absolute;width:1127;height:0;left:16611;top:12161;" coordsize="112776,0" path="m0,0l112776,0">
                  <v:stroke weight="1.44pt" endcap="flat" joinstyle="round" on="true" color="#000000"/>
                  <v:fill on="false" color="#000000" opacity="0"/>
                </v:shape>
                <v:shape id="Shape 19932" style="position:absolute;width:0;height:2103;left:18013;top:10363;" coordsize="0,210312" path="m0,0l0,210312">
                  <v:stroke weight="1.44pt" endcap="flat" joinstyle="round" on="true" color="#000000"/>
                  <v:fill on="false" color="#000000" opacity="0"/>
                </v:shape>
                <v:shape id="Shape 19933" style="position:absolute;width:1676;height:0;left:16337;top:12466;" coordsize="167640,0" path="m0,0l167640,0">
                  <v:stroke weight="1.44pt" endcap="flat" joinstyle="round" on="true" color="#000000"/>
                  <v:fill on="false" color="#000000" opacity="0"/>
                </v:shape>
                <v:shape id="Shape 19934" style="position:absolute;width:8382;height:0;left:7955;top:4602;" coordsize="838200,0" path="m0,0l838200,0">
                  <v:stroke weight="1.44pt" endcap="flat" joinstyle="round" on="true" color="#000000"/>
                  <v:fill on="false" color="#000000" opacity="0"/>
                </v:shape>
                <v:shape id="Shape 19936" style="position:absolute;width:0;height:609;left:2834;top:13106;" coordsize="0,60961" path="m0,60961l0,0">
                  <v:stroke weight="1.44pt" endcap="flat" joinstyle="round" on="true" color="#000000"/>
                  <v:fill on="false" color="#000000" opacity="0"/>
                </v:shape>
                <v:shape id="Shape 19937" style="position:absolute;width:0;height:609;left:3962;top:13106;" coordsize="0,60961" path="m0,60961l0,0">
                  <v:stroke weight="1.44pt" endcap="flat" joinstyle="round" on="true" color="#000000"/>
                  <v:fill on="false" color="#000000" opacity="0"/>
                </v:shape>
                <v:shape id="Shape 19938" style="position:absolute;width:1127;height:30;left:2834;top:13106;" coordsize="112776,3048" path="m0,3048l112776,0">
                  <v:stroke weight="1.44pt" endcap="flat" joinstyle="round" on="true" color="#000000"/>
                  <v:fill on="false" color="#000000" opacity="0"/>
                </v:shape>
                <v:shape id="Shape 19939" style="position:absolute;width:0;height:9966;left:16337;top:2499;" coordsize="0,996697" path="m0,0l0,996697">
                  <v:stroke weight="1.44pt" endcap="flat" joinstyle="round" on="true" color="#000000"/>
                  <v:fill on="false" color="#000000" opacity="0"/>
                </v:shape>
                <v:shape id="Shape 19940" style="position:absolute;width:0;height:9966;left:16337;top:13075;" coordsize="0,996696" path="m0,0l0,996696">
                  <v:stroke weight="1.44pt" endcap="flat" joinstyle="round" on="true" color="#000000"/>
                  <v:fill on="false" color="#000000" opacity="0"/>
                </v:shape>
                <v:shape id="Shape 19941" style="position:absolute;width:0;height:9966;left:7955;top:2499;" coordsize="0,996697" path="m0,0l0,996697">
                  <v:stroke weight="1.44pt" endcap="flat" joinstyle="round" on="true" color="#000000"/>
                  <v:fill on="false" color="#000000" opacity="0"/>
                </v:shape>
                <v:shape id="Shape 19942" style="position:absolute;width:0;height:9966;left:7955;top:13075;" coordsize="0,996696" path="m0,0l0,996696">
                  <v:stroke weight="1.44pt" endcap="flat" joinstyle="round" on="true" color="#000000"/>
                  <v:fill on="false" color="#000000" opacity="0"/>
                </v:shape>
                <v:shape id="Shape 19943" style="position:absolute;width:30;height:2407;left:2438;top:11551;" coordsize="3048,240792" path="m0,0l3048,240792">
                  <v:stroke weight="1.44pt" endcap="flat" joinstyle="round" on="true" color="#000000"/>
                  <v:fill on="false" color="#000000" opacity="0"/>
                </v:shape>
                <v:shape id="Shape 19944" style="position:absolute;width:3901;height:3901;left:26974;top:91;" coordsize="390144,390144" path="m195072,0c302768,0,390144,87376,390144,195072c390144,302768,302768,390144,195072,390144c87376,390144,0,302768,0,195072c0,87376,87376,0,195072,0x">
                  <v:stroke weight="0pt" endcap="flat" joinstyle="round" on="false" color="#000000" opacity="0"/>
                  <v:fill on="true" color="#ffffff"/>
                </v:shape>
                <v:shape id="Shape 19945" style="position:absolute;width:3901;height:3901;left:26974;top:91;" coordsize="390144,390144" path="m0,195072c0,87376,87376,0,195072,0c302768,0,390144,87376,390144,195072c390144,302768,302768,390144,195072,390144c87376,390144,0,302768,0,195072x">
                  <v:stroke weight="1.44pt" endcap="flat" joinstyle="round" on="true" color="#000000"/>
                  <v:fill on="false" color="#000000" opacity="0"/>
                </v:shape>
                <v:shape id="Picture 19947" style="position:absolute;width:2560;height:762;left:27645;top:1676;" filled="f">
                  <v:imagedata r:id="rId270"/>
                </v:shape>
                <v:rect id="Rectangle 19948" style="position:absolute;width:458;height:2064;left:28581;top:2018;" filled="f" stroked="f">
                  <v:textbox inset="0,0,0,0">
                    <w:txbxContent>
                      <w:p>
                        <w:pPr>
                          <w:spacing w:before="0" w:after="160" w:line="259" w:lineRule="auto"/>
                        </w:pPr>
                        <w:r>
                          <w:rPr>
                            <w:rFonts w:cs="Calibri" w:hAnsi="Calibri" w:eastAsia="Calibri" w:ascii="Calibri"/>
                            <w:sz w:val="24"/>
                          </w:rPr>
                          <w:t xml:space="preserve"> </w:t>
                        </w:r>
                      </w:p>
                    </w:txbxContent>
                  </v:textbox>
                </v:rect>
                <v:shape id="Shape 19950" style="position:absolute;width:3901;height:3931;left:27249;top:20909;" coordsize="390144,393192" path="m0,196597c0,88011,87376,0,195072,0c302768,0,390144,88011,390144,196597c390144,305181,302768,393192,195072,393192c87376,393192,0,305181,0,196597x">
                  <v:stroke weight="1.44pt" endcap="flat" joinstyle="round" on="true" color="#000000"/>
                  <v:fill on="false" color="#000000" opacity="0"/>
                </v:shape>
                <v:shape id="Picture 19952" style="position:absolute;width:2590;height:762;left:27919;top:22494;" filled="f">
                  <v:imagedata r:id="rId270"/>
                </v:shape>
                <v:rect id="Rectangle 19953" style="position:absolute;width:459;height:2068;left:28855;top:22836;" filled="f" stroked="f">
                  <v:textbox inset="0,0,0,0">
                    <w:txbxContent>
                      <w:p>
                        <w:pPr>
                          <w:spacing w:before="0" w:after="160" w:line="259" w:lineRule="auto"/>
                        </w:pPr>
                        <w:r>
                          <w:rPr>
                            <w:rFonts w:cs="Calibri" w:hAnsi="Calibri" w:eastAsia="Calibri" w:ascii="Calibri"/>
                            <w:sz w:val="24"/>
                          </w:rPr>
                          <w:t xml:space="preserve"> </w:t>
                        </w:r>
                      </w:p>
                    </w:txbxContent>
                  </v:textbox>
                </v:rect>
                <v:shape id="Shape 19954" style="position:absolute;width:8382;height:0;left:7955;top:20848;" coordsize="838200,0" path="m0,0l838200,0">
                  <v:stroke weight="1.44pt" endcap="flat" joinstyle="round" on="true" color="#000000"/>
                  <v:fill on="false" color="#000000" opacity="0"/>
                </v:shape>
                <v:shape id="Shape 19955" style="position:absolute;width:0;height:4846;left:27858;top:10363;" coordsize="0,484632" path="m0,0l0,484632">
                  <v:stroke weight="1.44pt" endcap="flat" joinstyle="round" on="true" color="#000000"/>
                  <v:fill on="false" color="#000000" opacity="0"/>
                </v:shape>
                <v:shape id="Shape 19956" style="position:absolute;width:0;height:2103;left:18013;top:13075;" coordsize="0,210312" path="m0,0l0,210312">
                  <v:stroke weight="1.44pt" endcap="flat" joinstyle="round" on="true" color="#000000"/>
                  <v:fill on="false" color="#000000" opacity="0"/>
                </v:shape>
                <v:shape id="Shape 19957" style="position:absolute;width:1127;height:1493;left:29748;top:9753;" coordsize="112776,149351" path="m112776,0l112776,149351l0,74676l112776,0x">
                  <v:stroke weight="0pt" endcap="flat" joinstyle="round" on="false" color="#000000" opacity="0"/>
                  <v:fill on="true" color="#ffffff"/>
                </v:shape>
                <v:shape id="Shape 19958" style="position:absolute;width:1127;height:1493;left:29748;top:9753;" coordsize="112776,149351" path="m0,74676l112776,149351l112776,0x">
                  <v:stroke weight="1.44pt" endcap="flat" joinstyle="miter" miterlimit="1" on="true" color="#000000"/>
                  <v:fill on="false" color="#000000" opacity="0"/>
                </v:shape>
                <v:shape id="Shape 19960" style="position:absolute;width:1127;height:1524;left:29748;top:14264;" coordsize="112776,152400" path="m0,76200l112776,152400l112776,0x">
                  <v:stroke weight="1.44pt" endcap="flat" joinstyle="miter" miterlimit="1" on="true" color="#000000"/>
                  <v:fill on="false" color="#000000" opacity="0"/>
                </v:shape>
                <v:shape id="Shape 19961" style="position:absolute;width:1127;height:1493;left:18013;top:9753;" coordsize="112776,149351" path="m112776,0l112776,149351l0,74676l112776,0x">
                  <v:stroke weight="0pt" endcap="flat" joinstyle="miter" miterlimit="1" on="false" color="#000000" opacity="0"/>
                  <v:fill on="true" color="#ffffff"/>
                </v:shape>
                <v:shape id="Shape 19962" style="position:absolute;width:1127;height:1493;left:18013;top:9753;" coordsize="112776,149351" path="m0,74676l112776,0l112776,149351x">
                  <v:stroke weight="1.44pt" endcap="flat" joinstyle="miter" miterlimit="1" on="true" color="#000000"/>
                  <v:fill on="false" color="#000000" opacity="0"/>
                </v:shape>
                <v:shape id="Shape 19963" style="position:absolute;width:1127;height:1524;left:18013;top:14264;" coordsize="112776,152400" path="m0,0l112776,76200l0,152400l0,0x">
                  <v:stroke weight="0pt" endcap="flat" joinstyle="miter" miterlimit="1" on="false" color="#000000" opacity="0"/>
                  <v:fill on="true" color="#ffffff"/>
                </v:shape>
                <v:shape id="Shape 19964" style="position:absolute;width:1127;height:1524;left:18013;top:14264;" coordsize="112776,152400" path="m112776,76200l0,0l0,152400x">
                  <v:stroke weight="1.44pt" endcap="flat" joinstyle="miter" miterlimit="1" on="true" color="#000000"/>
                  <v:fill on="false" color="#000000" opacity="0"/>
                </v:shape>
                <v:shape id="Shape 19965" style="position:absolute;width:548;height:579;left:23561;top:6309;" coordsize="54864,57913" path="m27432,0c42545,0,54864,12954,54864,28956c54864,44958,42545,57913,27432,57913c12319,57913,0,44958,0,28956c0,12954,12319,0,27432,0x">
                  <v:stroke weight="0pt" endcap="flat" joinstyle="miter" miterlimit="1" on="false" color="#000000" opacity="0"/>
                  <v:fill on="true" color="#ffffff"/>
                </v:shape>
                <v:shape id="Shape 19966" style="position:absolute;width:548;height:579;left:23561;top:6309;" coordsize="54864,57913" path="m0,28956c0,12954,12319,0,27432,0c42545,0,54864,12954,54864,28956c54864,44958,42545,57913,27432,57913c12319,57913,0,44958,0,28956x">
                  <v:stroke weight="1.44pt" endcap="flat" joinstyle="round" on="true" color="#000000"/>
                  <v:fill on="false" color="#000000" opacity="0"/>
                </v:shape>
                <v:shape id="Shape 19967" style="position:absolute;width:548;height:609;left:18867;top:10210;" coordsize="54864,60960" path="m27432,0c42545,0,54864,13589,54864,30480c54864,47372,42545,60960,27432,60960c12319,60960,0,47372,0,30480c0,13589,12319,0,27432,0x">
                  <v:stroke weight="0pt" endcap="flat" joinstyle="round" on="false" color="#000000" opacity="0"/>
                  <v:fill on="true" color="#ffffff"/>
                </v:shape>
                <v:shape id="Shape 19968" style="position:absolute;width:548;height:609;left:18867;top:10210;" coordsize="54864,60960" path="m0,30480c0,13589,12319,0,27432,0c42545,0,54864,13589,54864,30480c54864,47372,42545,60960,27432,60960c12319,60960,0,47372,0,30480x">
                  <v:stroke weight="1.44pt" endcap="flat" joinstyle="round" on="true" color="#000000"/>
                  <v:fill on="false" color="#000000" opacity="0"/>
                </v:shape>
                <v:shape id="Shape 19969" style="position:absolute;width:579;height:609;left:29474;top:14691;" coordsize="57912,60960" path="m28956,0c44958,0,57912,13589,57912,30480c57912,47371,44958,60960,28956,60960c12954,60960,0,47371,0,30480c0,13589,12954,0,28956,0x">
                  <v:stroke weight="0pt" endcap="flat" joinstyle="round" on="false" color="#000000" opacity="0"/>
                  <v:fill on="true" color="#ffffff"/>
                </v:shape>
                <v:shape id="Shape 19970" style="position:absolute;width:579;height:609;left:29474;top:14691;" coordsize="57912,60960" path="m0,30480c0,13589,12954,0,28956,0c44958,0,57912,13589,57912,30480c57912,47371,44958,60960,28956,60960c12954,60960,0,47371,0,30480x">
                  <v:stroke weight="1.44pt" endcap="flat" joinstyle="round" on="true" color="#000000"/>
                  <v:fill on="false" color="#000000" opacity="0"/>
                </v:shape>
                <v:shape id="Shape 19971" style="position:absolute;width:548;height:609;left:18867;top:14691;" coordsize="54864,60960" path="m27432,0c42545,0,54864,13589,54864,30480c54864,47371,42545,60960,27432,60960c12319,60960,0,47371,0,30480c0,13589,12319,0,27432,0x">
                  <v:stroke weight="0pt" endcap="flat" joinstyle="round" on="false" color="#000000" opacity="0"/>
                  <v:fill on="true" color="#ffffff"/>
                </v:shape>
                <v:shape id="Shape 19972" style="position:absolute;width:548;height:609;left:18867;top:14691;" coordsize="54864,60960" path="m0,30480c0,13589,12319,0,27432,0c42545,0,54864,13589,54864,30480c54864,47371,42545,60960,27432,60960c12319,60960,0,47371,0,30480x">
                  <v:stroke weight="1.44pt" endcap="flat" joinstyle="round" on="true" color="#000000"/>
                  <v:fill on="false" color="#000000" opacity="0"/>
                </v:shape>
                <v:shape id="Shape 19973" style="position:absolute;width:0;height:2407;left:30876;top:13075;" coordsize="0,240792" path="m0,240792l0,0">
                  <v:stroke weight="1.44pt" endcap="flat" joinstyle="round" on="true" color="#000000"/>
                  <v:fill on="false" color="#000000" opacity="0"/>
                </v:shape>
                <v:shape id="Shape 19974" style="position:absolute;width:1127;height:0;left:30876;top:12466;" coordsize="112776,0" path="m0,0l112776,0">
                  <v:stroke weight="1.44pt" endcap="flat" joinstyle="round" on="true" color="#000000"/>
                  <v:fill on="false" color="#000000" opacity="0"/>
                </v:shape>
                <v:shape id="Shape 19975" style="position:absolute;width:1127;height:0;left:30876;top:13136;" coordsize="112776,0" path="m0,0l112776,0">
                  <v:stroke weight="1.44pt" endcap="flat" joinstyle="round" on="true" color="#000000"/>
                  <v:fill on="false" color="#000000" opacity="0"/>
                </v:shape>
                <v:shape id="Shape 19976" style="position:absolute;width:8107;height:6949;left:19415;top:15179;" coordsize="810768,694944" path="m0,0l810768,694944">
                  <v:stroke weight="1.44pt" endcap="flat" joinstyle="round" on="true" color="#000000"/>
                  <v:fill on="false" color="#000000" opacity="0"/>
                </v:shape>
                <v:shape id="Shape 19977" style="position:absolute;width:548;height:609;left:23225;top:18440;" coordsize="54864,60961" path="m27432,0c42545,0,54864,13589,54864,30480c54864,47372,42545,60961,27432,60961c12319,60961,0,47372,0,30480c0,13589,12319,0,27432,0x">
                  <v:stroke weight="0pt" endcap="flat" joinstyle="round" on="false" color="#000000" opacity="0"/>
                  <v:fill on="true" color="#ffffff"/>
                </v:shape>
                <v:shape id="Shape 19978" style="position:absolute;width:548;height:609;left:23225;top:18440;" coordsize="54864,60961" path="m0,30480c0,13589,12319,0,27432,0c42545,0,54864,13589,54864,30480c54864,47372,42545,60961,27432,60961c12319,60961,0,47372,0,30480x">
                  <v:stroke weight="1.44pt" endcap="flat" joinstyle="round" on="true" color="#000000"/>
                  <v:fill on="false" color="#000000" opacity="0"/>
                </v:shape>
                <v:shape id="Shape 19979" style="position:absolute;width:5760;height:3535;left:23987;top:6888;" coordsize="576072,353568" path="m0,0l576072,353568">
                  <v:stroke weight="1.44pt" endcap="flat" joinstyle="round" on="true" color="#000000"/>
                  <v:fill on="false" color="#000000" opacity="0"/>
                </v:shape>
                <v:shape id="Shape 19980" style="position:absolute;width:5760;height:3535;left:23713;top:15179;" coordsize="576072,353568" path="m0,353568l576072,0">
                  <v:stroke weight="1.44pt" endcap="flat" joinstyle="round" on="true" color="#000000"/>
                  <v:fill on="false" color="#000000" opacity="0"/>
                </v:shape>
                <v:shape id="Shape 19981" style="position:absolute;width:579;height:609;left:29474;top:10119;" coordsize="57912,60960" path="m28956,0c44958,0,57912,13589,57912,30480c57912,47371,44958,60960,28956,60960c12954,60960,0,47371,0,30480c0,13589,12954,0,28956,0x">
                  <v:stroke weight="0pt" endcap="flat" joinstyle="round" on="false" color="#000000" opacity="0"/>
                  <v:fill on="true" color="#ffffff"/>
                </v:shape>
                <v:shape id="Shape 19982" style="position:absolute;width:579;height:609;left:29474;top:10119;" coordsize="57912,60960" path="m0,30480c0,13589,12954,0,28956,0c44958,0,57912,13589,57912,30480c57912,47371,44958,60960,28956,60960c12954,60960,0,47371,0,30480x">
                  <v:stroke weight="1.44pt" endcap="flat" joinstyle="round" on="true" color="#000000"/>
                  <v:fill on="false" color="#000000" opacity="0"/>
                </v:shape>
                <v:shape id="Shape 19983" style="position:absolute;width:579;height:2712;left:29016;top:11247;" coordsize="57912,271273" path="m0,0l57912,271273">
                  <v:stroke weight="1.44pt" endcap="flat" joinstyle="round" on="true" color="#000000"/>
                  <v:fill on="false" color="#000000" opacity="0"/>
                </v:shape>
                <v:shape id="Shape 19984" style="position:absolute;width:548;height:2712;left:29596;top:11247;" coordsize="54864,271273" path="m0,271273l54864,0">
                  <v:stroke weight="1.44pt" endcap="flat" joinstyle="round" on="true" color="#000000"/>
                  <v:fill on="false" color="#000000" opacity="0"/>
                </v:shape>
                <v:shape id="Shape 19985" style="position:absolute;width:548;height:2712;left:28468;top:11247;" coordsize="54864,271273" path="m0,271273l54864,0">
                  <v:stroke weight="1.44pt" endcap="flat" joinstyle="round" on="true" color="#000000"/>
                  <v:fill on="false" color="#000000" opacity="0"/>
                </v:shape>
                <v:shape id="Shape 19986" style="position:absolute;width:548;height:2712;left:27919;top:11247;" coordsize="54864,271273" path="m0,0l54864,271273">
                  <v:stroke weight="1.44pt" endcap="flat" joinstyle="round" on="true" color="#000000"/>
                  <v:fill on="false" color="#000000" opacity="0"/>
                </v:shape>
                <v:shape id="Shape 19987" style="position:absolute;width:548;height:2712;left:30144;top:11247;" coordsize="54864,271273" path="m0,0l54864,271273">
                  <v:stroke weight="1.44pt" endcap="flat" joinstyle="round" on="true" color="#000000"/>
                  <v:fill on="false" color="#000000" opacity="0"/>
                </v:shape>
                <v:shape id="Picture 19990" style="position:absolute;width:1950;height:1676;left:8168;top:274;" filled="f">
                  <v:imagedata r:id="rId271"/>
                </v:shape>
                <v:rect id="Rectangle 19991" style="position:absolute;width:1015;height:2248;left:9065;top:303;" filled="f" stroked="f">
                  <v:textbox inset="0,0,0,0">
                    <w:txbxContent>
                      <w:p>
                        <w:pPr>
                          <w:spacing w:before="0" w:after="160" w:line="259" w:lineRule="auto"/>
                        </w:pPr>
                        <w:r>
                          <w:rPr>
                            <w:rFonts w:cs="Times New Roman" w:hAnsi="Times New Roman" w:eastAsia="Times New Roman" w:ascii="Times New Roman"/>
                            <w:i w:val="1"/>
                            <w:sz w:val="24"/>
                          </w:rPr>
                          <w:t xml:space="preserve">1</w:t>
                        </w:r>
                      </w:p>
                    </w:txbxContent>
                  </v:textbox>
                </v:rect>
                <v:rect id="Rectangle 19992" style="position:absolute;width:459;height:2068;left:9829;top:518;" filled="f" stroked="f">
                  <v:textbox inset="0,0,0,0">
                    <w:txbxContent>
                      <w:p>
                        <w:pPr>
                          <w:spacing w:before="0" w:after="160" w:line="259" w:lineRule="auto"/>
                        </w:pPr>
                        <w:r>
                          <w:rPr>
                            <w:rFonts w:cs="Calibri" w:hAnsi="Calibri" w:eastAsia="Calibri" w:ascii="Calibri"/>
                            <w:sz w:val="24"/>
                          </w:rPr>
                          <w:t xml:space="preserve"> </w:t>
                        </w:r>
                      </w:p>
                    </w:txbxContent>
                  </v:textbox>
                </v:rect>
                <v:shape id="Shape 1065067" style="position:absolute;width:1950;height:2407;left:12405;top:0;" coordsize="195072,240792" path="m0,0l195072,0l195072,240792l0,240792l0,0">
                  <v:stroke weight="0pt" endcap="flat" joinstyle="round" on="false" color="#000000" opacity="0"/>
                  <v:fill on="true" color="#ffffff"/>
                </v:shape>
                <v:shape id="Picture 19995" style="position:absolute;width:1950;height:1676;left:12405;top:365;" filled="f">
                  <v:imagedata r:id="rId271"/>
                </v:shape>
                <v:rect id="Rectangle 19996" style="position:absolute;width:1015;height:2248;left:13304;top:394;" filled="f" stroked="f">
                  <v:textbox inset="0,0,0,0">
                    <w:txbxContent>
                      <w:p>
                        <w:pPr>
                          <w:spacing w:before="0" w:after="160" w:line="259" w:lineRule="auto"/>
                        </w:pPr>
                        <w:r>
                          <w:rPr>
                            <w:rFonts w:cs="Times New Roman" w:hAnsi="Times New Roman" w:eastAsia="Times New Roman" w:ascii="Times New Roman"/>
                            <w:i w:val="1"/>
                            <w:sz w:val="24"/>
                          </w:rPr>
                          <w:t xml:space="preserve">2</w:t>
                        </w:r>
                      </w:p>
                    </w:txbxContent>
                  </v:textbox>
                </v:rect>
                <v:rect id="Rectangle 19997" style="position:absolute;width:459;height:2068;left:14066;top:609;" filled="f" stroked="f">
                  <v:textbox inset="0,0,0,0">
                    <w:txbxContent>
                      <w:p>
                        <w:pPr>
                          <w:spacing w:before="0" w:after="160" w:line="259" w:lineRule="auto"/>
                        </w:pPr>
                        <w:r>
                          <w:rPr>
                            <w:rFonts w:cs="Calibri" w:hAnsi="Calibri" w:eastAsia="Calibri" w:ascii="Calibri"/>
                            <w:sz w:val="24"/>
                          </w:rPr>
                          <w:t xml:space="preserve"> </w:t>
                        </w:r>
                      </w:p>
                    </w:txbxContent>
                  </v:textbox>
                </v:rect>
                <v:shape id="Shape 1065068" style="position:absolute;width:1950;height:2438;left:22219;top:1280;" coordsize="195072,243840" path="m0,0l195072,0l195072,243840l0,243840l0,0">
                  <v:stroke weight="0pt" endcap="flat" joinstyle="round" on="false" color="#000000" opacity="0"/>
                  <v:fill on="true" color="#ffffff"/>
                </v:shape>
                <v:shape id="Picture 20000" style="position:absolute;width:1950;height:1645;left:22219;top:1676;" filled="f">
                  <v:imagedata r:id="rId271"/>
                </v:shape>
                <v:rect id="Rectangle 20001" style="position:absolute;width:1013;height:2243;left:23121;top:1711;" filled="f" stroked="f">
                  <v:textbox inset="0,0,0,0">
                    <w:txbxContent>
                      <w:p>
                        <w:pPr>
                          <w:spacing w:before="0" w:after="160" w:line="259" w:lineRule="auto"/>
                        </w:pPr>
                        <w:r>
                          <w:rPr>
                            <w:rFonts w:cs="Times New Roman" w:hAnsi="Times New Roman" w:eastAsia="Times New Roman" w:ascii="Times New Roman"/>
                            <w:i w:val="1"/>
                            <w:sz w:val="24"/>
                          </w:rPr>
                          <w:t xml:space="preserve">3</w:t>
                        </w:r>
                      </w:p>
                    </w:txbxContent>
                  </v:textbox>
                </v:rect>
                <v:rect id="Rectangle 20002" style="position:absolute;width:458;height:2064;left:23883;top:1926;" filled="f" stroked="f">
                  <v:textbox inset="0,0,0,0">
                    <w:txbxContent>
                      <w:p>
                        <w:pPr>
                          <w:spacing w:before="0" w:after="160" w:line="259" w:lineRule="auto"/>
                        </w:pPr>
                        <w:r>
                          <w:rPr>
                            <w:rFonts w:cs="Calibri" w:hAnsi="Calibri" w:eastAsia="Calibri" w:ascii="Calibri"/>
                            <w:sz w:val="24"/>
                          </w:rPr>
                          <w:t xml:space="preserve"> </w:t>
                        </w:r>
                      </w:p>
                    </w:txbxContent>
                  </v:textbox>
                </v:rect>
                <v:shape id="Shape 20003" style="position:absolute;width:2042;height:1676;left:9540;top:1737;" coordsize="204216,167641" path="m0,0l204216,167641">
                  <v:stroke weight="0.96pt" endcap="flat" joinstyle="round" on="true" color="#000000"/>
                  <v:fill on="false" color="#000000" opacity="0"/>
                </v:shape>
                <v:shape id="Shape 20004" style="position:absolute;width:1402;height:1798;left:23896;top:3474;" coordsize="140208,179832" path="m0,0l140208,179832">
                  <v:stroke weight="0.96pt" endcap="flat" joinstyle="round" on="true" color="#000000"/>
                  <v:fill on="false" color="#000000" opacity="0"/>
                </v:shape>
                <v:shape id="Shape 20005" style="position:absolute;width:2011;height:6126;left:11247;top:1889;" coordsize="201168,612648" path="m201168,0l0,612648">
                  <v:stroke weight="0.96pt" endcap="flat" joinstyle="round" on="true" color="#000000"/>
                  <v:fill on="false" color="#000000" opacity="0"/>
                </v:shape>
                <v:shape id="Shape 20006" style="position:absolute;width:8382;height:0;left:7955;top:2499;" coordsize="838200,0" path="m0,0l838200,0">
                  <v:stroke weight="1.44pt" endcap="flat" joinstyle="round" on="true" color="#000000"/>
                  <v:fill on="false" color="#000000" opacity="0"/>
                </v:shape>
                <v:shape id="Shape 20007" style="position:absolute;width:8595;height:0;left:7894;top:22981;" coordsize="859536,0" path="m0,0l859536,0">
                  <v:stroke weight="1.44pt" endcap="flat" joinstyle="round" on="true" color="#000000"/>
                  <v:fill on="false" color="#000000" opacity="0"/>
                </v:shape>
                <v:shape id="Shape 20008" style="position:absolute;width:121;height:7955;left:6248;top:8930;" coordsize="12192,795528" path="m12192,0l0,795528">
                  <v:stroke weight="1.44pt" endcap="flat" joinstyle="round" on="true" color="#000000"/>
                  <v:fill on="false" color="#000000" opacity="0"/>
                </v:shape>
                <v:shape id="Shape 20009" style="position:absolute;width:1097;height:30;left:6797;top:12405;" coordsize="109728,3048" path="m0,0l109728,3048">
                  <v:stroke weight="1.44pt" endcap="flat" joinstyle="round" on="true" color="#000000"/>
                  <v:fill on="false" color="#000000" opacity="0"/>
                </v:shape>
                <v:shape id="Shape 20010" style="position:absolute;width:1127;height:0;left:6827;top:13106;" coordsize="112776,0" path="m0,0l112776,0">
                  <v:stroke weight="1.44pt" endcap="flat" joinstyle="round" on="true" color="#000000"/>
                  <v:fill on="false" color="#000000" opacity="0"/>
                </v:shape>
                <v:shape id="Shape 20011" style="position:absolute;width:1127;height:0;left:4419;top:13106;" coordsize="112776,0" path="m0,0l112776,0">
                  <v:stroke weight="1.44pt" endcap="flat" joinstyle="round" on="true" color="#000000"/>
                  <v:fill on="false" color="#000000" opacity="0"/>
                </v:shape>
                <v:shape id="Shape 20012" style="position:absolute;width:1127;height:0;left:4419;top:12344;" coordsize="112776,0" path="m0,0l112776,0">
                  <v:stroke weight="1.44pt" endcap="flat" joinstyle="round" on="true" color="#000000"/>
                  <v:fill on="false" color="#000000" opacity="0"/>
                </v:shape>
                <v:shape id="Shape 20013" style="position:absolute;width:121;height:8900;left:4419;top:6126;" coordsize="12192,890015" path="m12192,0l0,890015">
                  <v:stroke weight="1.44pt" endcap="flat" joinstyle="round" on="true" color="#000000"/>
                  <v:fill on="false" color="#000000" opacity="0"/>
                </v:shape>
                <v:shape id="Shape 20014" style="position:absolute;width:3322;height:0;left:1036;top:12771;" coordsize="332232,0" path="m0,0l332232,0">
                  <v:stroke weight="1.44pt" endcap="flat" joinstyle="round" on="true" color="#000000"/>
                  <v:fill on="false" color="#000000" opacity="0"/>
                </v:shape>
                <v:shape id="Shape 20015" style="position:absolute;width:916;height:5;left:5821;top:3383;" coordsize="91694,507" path="m91694,0l0,507">
                  <v:stroke weight="1.44pt" endcap="flat" joinstyle="round" on="true" color="#000000"/>
                  <v:fill on="false" color="#000000" opacity="0"/>
                </v:shape>
                <v:shape id="Shape 20016" style="position:absolute;width:5;height:985;left:7376;top:5730;" coordsize="508,98552" path="m0,0l508,98552">
                  <v:stroke weight="1.44pt" endcap="flat" joinstyle="round" on="true" color="#000000"/>
                  <v:fill on="false" color="#000000" opacity="0"/>
                </v:shape>
                <v:shape id="Shape 20017" style="position:absolute;width:5;height:985;left:5364;top:5669;" coordsize="508,98551" path="m0,0l508,98551">
                  <v:stroke weight="1.44pt" endcap="flat" joinstyle="round" on="true" color="#000000"/>
                  <v:fill on="false" color="#000000" opacity="0"/>
                </v:shape>
                <v:shape id="Shape 20018" style="position:absolute;width:1398;height:5;left:5669;top:5882;" coordsize="139827,508" path="m0,0l139827,508">
                  <v:stroke weight="1.44pt" endcap="flat" joinstyle="round" on="true" color="#000000"/>
                  <v:fill on="false" color="#000000" opacity="0"/>
                </v:shape>
                <v:shape id="Shape 20019" style="position:absolute;width:1398;height:5;left:5669;top:6492;" coordsize="139827,508" path="m0,0l139827,508">
                  <v:stroke weight="1.44pt" endcap="flat" joinstyle="round" on="true" color="#000000"/>
                  <v:fill on="false" color="#000000" opacity="0"/>
                </v:shape>
                <v:shape id="Shape 20020" style="position:absolute;width:0;height:2133;left:6339;top:3749;" coordsize="0,213360" path="m0,0l0,213360">
                  <v:stroke weight="1.44pt" endcap="flat" joinstyle="round" on="true" color="#000000"/>
                  <v:fill on="false" color="#000000" opacity="0"/>
                </v:shape>
                <v:shape id="Shape 20021" style="position:absolute;width:0;height:2164;left:6248;top:6431;" coordsize="0,216408" path="m0,0l0,216408">
                  <v:stroke weight="1.44pt" endcap="flat" joinstyle="round" on="true" color="#000000"/>
                  <v:fill on="false" color="#000000" opacity="0"/>
                </v:shape>
                <v:shape id="Shape 20022" style="position:absolute;width:918;height:5;left:5852;top:8564;" coordsize="91821,508" path="m91821,0l0,508">
                  <v:stroke weight="1.44pt" endcap="flat" joinstyle="round" on="true" color="#000000"/>
                  <v:fill on="false" color="#000000" opacity="0"/>
                </v:shape>
                <v:shape id="Shape 20023" style="position:absolute;width:916;height:6;left:5821;top:3718;" coordsize="91694,635" path="m91694,0l0,635">
                  <v:stroke weight="1.44pt" endcap="flat" joinstyle="round" on="true" color="#000000"/>
                  <v:fill on="false" color="#000000" opacity="0"/>
                </v:shape>
                <v:shape id="Shape 20024" style="position:absolute;width:3261;height:0;left:4450;top:6156;" coordsize="326136,0" path="m0,0l326136,0">
                  <v:stroke weight="1.44pt" endcap="flat" joinstyle="round" on="true" color="#000000"/>
                  <v:fill on="false" color="#000000" opacity="0"/>
                </v:shape>
                <v:shape id="Shape 20025" style="position:absolute;width:916;height:5;left:5882;top:8869;" coordsize="91694,508" path="m91694,0l0,508">
                  <v:stroke weight="1.44pt" endcap="flat" joinstyle="round" on="true" color="#000000"/>
                  <v:fill on="false" color="#000000" opacity="0"/>
                </v:shape>
                <v:shape id="Shape 20026" style="position:absolute;width:918;height:6;left:5760;top:16885;" coordsize="91821,636" path="m91821,0l0,636">
                  <v:stroke weight="1.44pt" endcap="flat" joinstyle="round" on="true" color="#000000"/>
                  <v:fill on="false" color="#000000" opacity="0"/>
                </v:shape>
                <v:shape id="Shape 20027" style="position:absolute;width:0;height:609;left:6309;top:2712;" coordsize="0,60960" path="m0,0l0,60960">
                  <v:stroke weight="1.44pt" endcap="flat" joinstyle="round" on="true" color="#000000"/>
                  <v:fill on="false" color="#000000" opacity="0"/>
                </v:shape>
                <v:shape id="Shape 20028" style="position:absolute;width:1767;height:0;left:6187;top:2712;" coordsize="176784,0" path="m176784,0l0,0">
                  <v:stroke weight="1.44pt" endcap="flat" joinstyle="round" on="true" color="#000000"/>
                  <v:fill on="false" color="#000000" opacity="0"/>
                </v:shape>
                <v:shape id="Picture 20031" style="position:absolute;width:1950;height:1645;left:3261;top:426;" filled="f">
                  <v:imagedata r:id="rId271"/>
                </v:shape>
                <v:rect id="Rectangle 20032" style="position:absolute;width:1015;height:2248;left:4157;top:455;" filled="f" stroked="f">
                  <v:textbox inset="0,0,0,0">
                    <w:txbxContent>
                      <w:p>
                        <w:pPr>
                          <w:spacing w:before="0" w:after="160" w:line="259" w:lineRule="auto"/>
                        </w:pPr>
                        <w:r>
                          <w:rPr>
                            <w:rFonts w:cs="Times New Roman" w:hAnsi="Times New Roman" w:eastAsia="Times New Roman" w:ascii="Times New Roman"/>
                            <w:i w:val="1"/>
                            <w:sz w:val="24"/>
                          </w:rPr>
                          <w:t xml:space="preserve">4</w:t>
                        </w:r>
                      </w:p>
                    </w:txbxContent>
                  </v:textbox>
                </v:rect>
                <v:rect id="Rectangle 20033" style="position:absolute;width:459;height:2068;left:4919;top:670;" filled="f" stroked="f">
                  <v:textbox inset="0,0,0,0">
                    <w:txbxContent>
                      <w:p>
                        <w:pPr>
                          <w:spacing w:before="0" w:after="160" w:line="259" w:lineRule="auto"/>
                        </w:pPr>
                        <w:r>
                          <w:rPr>
                            <w:rFonts w:cs="Calibri" w:hAnsi="Calibri" w:eastAsia="Calibri" w:ascii="Calibri"/>
                            <w:sz w:val="24"/>
                          </w:rPr>
                          <w:t xml:space="preserve"> </w:t>
                        </w:r>
                      </w:p>
                    </w:txbxContent>
                  </v:textbox>
                </v:rect>
                <v:shape id="Picture 20036" style="position:absolute;width:1950;height:1676;left:3261;top:3840;" filled="f">
                  <v:imagedata r:id="rId271"/>
                </v:shape>
                <v:rect id="Rectangle 20037" style="position:absolute;width:1013;height:2243;left:4157;top:3875;" filled="f" stroked="f">
                  <v:textbox inset="0,0,0,0">
                    <w:txbxContent>
                      <w:p>
                        <w:pPr>
                          <w:spacing w:before="0" w:after="160" w:line="259" w:lineRule="auto"/>
                        </w:pPr>
                        <w:r>
                          <w:rPr>
                            <w:rFonts w:cs="Times New Roman" w:hAnsi="Times New Roman" w:eastAsia="Times New Roman" w:ascii="Times New Roman"/>
                            <w:i w:val="1"/>
                            <w:sz w:val="24"/>
                          </w:rPr>
                          <w:t xml:space="preserve">5</w:t>
                        </w:r>
                      </w:p>
                    </w:txbxContent>
                  </v:textbox>
                </v:rect>
                <v:rect id="Rectangle 20038" style="position:absolute;width:458;height:2064;left:4919;top:4090;" filled="f" stroked="f">
                  <v:textbox inset="0,0,0,0">
                    <w:txbxContent>
                      <w:p>
                        <w:pPr>
                          <w:spacing w:before="0" w:after="160" w:line="259" w:lineRule="auto"/>
                        </w:pPr>
                        <w:r>
                          <w:rPr>
                            <w:rFonts w:cs="Calibri" w:hAnsi="Calibri" w:eastAsia="Calibri" w:ascii="Calibri"/>
                            <w:sz w:val="24"/>
                          </w:rPr>
                          <w:t xml:space="preserve"> </w:t>
                        </w:r>
                      </w:p>
                    </w:txbxContent>
                  </v:textbox>
                </v:rect>
                <v:shape id="Picture 20041" style="position:absolute;width:1950;height:1676;left:3383;top:16489;" filled="f">
                  <v:imagedata r:id="rId271"/>
                </v:shape>
                <v:rect id="Rectangle 20042" style="position:absolute;width:1013;height:2243;left:4279;top:16527;" filled="f" stroked="f">
                  <v:textbox inset="0,0,0,0">
                    <w:txbxContent>
                      <w:p>
                        <w:pPr>
                          <w:spacing w:before="0" w:after="160" w:line="259" w:lineRule="auto"/>
                        </w:pPr>
                        <w:r>
                          <w:rPr>
                            <w:rFonts w:cs="Times New Roman" w:hAnsi="Times New Roman" w:eastAsia="Times New Roman" w:ascii="Times New Roman"/>
                            <w:i w:val="1"/>
                            <w:sz w:val="24"/>
                          </w:rPr>
                          <w:t xml:space="preserve">6</w:t>
                        </w:r>
                      </w:p>
                    </w:txbxContent>
                  </v:textbox>
                </v:rect>
                <v:rect id="Rectangle 20043" style="position:absolute;width:458;height:2064;left:5041;top:16742;" filled="f" stroked="f">
                  <v:textbox inset="0,0,0,0">
                    <w:txbxContent>
                      <w:p>
                        <w:pPr>
                          <w:spacing w:before="0" w:after="160" w:line="259" w:lineRule="auto"/>
                        </w:pPr>
                        <w:r>
                          <w:rPr>
                            <w:rFonts w:cs="Calibri" w:hAnsi="Calibri" w:eastAsia="Calibri" w:ascii="Calibri"/>
                            <w:sz w:val="24"/>
                          </w:rPr>
                          <w:t xml:space="preserve"> </w:t>
                        </w:r>
                      </w:p>
                    </w:txbxContent>
                  </v:textbox>
                </v:rect>
                <v:shape id="Picture 20046" style="position:absolute;width:1950;height:1645;left:1158;top:8046;" filled="f">
                  <v:imagedata r:id="rId271"/>
                </v:shape>
                <v:rect id="Rectangle 20047" style="position:absolute;width:1463;height:2243;left:2054;top:8082;" filled="f" stroked="f">
                  <v:textbox inset="0,0,0,0">
                    <w:txbxContent>
                      <w:p>
                        <w:pPr>
                          <w:spacing w:before="0" w:after="160" w:line="259" w:lineRule="auto"/>
                        </w:pPr>
                        <w:r>
                          <w:rPr>
                            <w:rFonts w:cs="Times New Roman" w:hAnsi="Times New Roman" w:eastAsia="Times New Roman" w:ascii="Times New Roman"/>
                            <w:i w:val="1"/>
                            <w:sz w:val="24"/>
                          </w:rPr>
                          <w:t xml:space="preserve">H</w:t>
                        </w:r>
                      </w:p>
                    </w:txbxContent>
                  </v:textbox>
                </v:rect>
                <v:shape id="Shape 20048" style="position:absolute;width:1584;height:1036;left:4663;top:2072;" coordsize="158496,103632" path="m158496,103632l0,0">
                  <v:stroke weight="0.96pt" endcap="flat" joinstyle="round" on="true" color="#000000"/>
                  <v:fill on="false" color="#000000" opacity="0"/>
                </v:shape>
                <v:shape id="Shape 20049" style="position:absolute;width:1584;height:426;left:4724;top:4937;" coordsize="158496,42672" path="m158496,42672l0,0">
                  <v:stroke weight="0.96pt" endcap="flat" joinstyle="round" on="true" color="#000000"/>
                  <v:fill on="false" color="#000000" opacity="0"/>
                </v:shape>
                <v:shape id="Shape 20050" style="position:absolute;width:1584;height:457;left:2895;top:9052;" coordsize="158496,45720" path="m158496,45720l0,0">
                  <v:stroke weight="0.96pt" endcap="flat" joinstyle="round" on="true" color="#000000"/>
                  <v:fill on="false" color="#000000" opacity="0"/>
                </v:shape>
                <v:shape id="Shape 20051" style="position:absolute;width:1249;height:365;left:5029;top:16428;" coordsize="124968,36576" path="m124968,0l0,36576">
                  <v:stroke weight="0.96pt" endcap="flat" joinstyle="round" on="true" color="#000000"/>
                  <v:fill on="false" color="#000000" opacity="0"/>
                </v:shape>
              </v:group>
            </w:pict>
          </mc:Fallback>
        </mc:AlternateContent>
      </w:r>
    </w:p>
    <w:p w:rsidR="0052701D" w:rsidRDefault="00D40929">
      <w:pPr>
        <w:spacing w:after="14" w:line="248" w:lineRule="auto"/>
        <w:ind w:left="713" w:right="43" w:hanging="5"/>
        <w:jc w:val="center"/>
      </w:pPr>
      <w:r>
        <w:rPr>
          <w:rFonts w:ascii="Times New Roman" w:eastAsia="Times New Roman" w:hAnsi="Times New Roman" w:cs="Times New Roman"/>
          <w:sz w:val="24"/>
        </w:rPr>
        <w:t xml:space="preserve">Сурет 1 – Электромеханикалық адаптивті жетек </w:t>
      </w:r>
    </w:p>
    <w:p w:rsidR="0052701D" w:rsidRDefault="00D40929">
      <w:pPr>
        <w:spacing w:after="95"/>
        <w:ind w:left="711"/>
      </w:pPr>
      <w:r>
        <w:rPr>
          <w:rFonts w:ascii="Times New Roman" w:eastAsia="Times New Roman" w:hAnsi="Times New Roman" w:cs="Times New Roman"/>
          <w:b/>
        </w:rPr>
        <w:t xml:space="preserve"> </w:t>
      </w:r>
    </w:p>
    <w:p w:rsidR="0052701D" w:rsidRDefault="00D40929">
      <w:pPr>
        <w:spacing w:after="5" w:line="251" w:lineRule="auto"/>
        <w:ind w:left="720" w:firstLine="9"/>
      </w:pPr>
      <w:r>
        <w:rPr>
          <w:rFonts w:ascii="Times New Roman" w:eastAsia="Times New Roman" w:hAnsi="Times New Roman" w:cs="Times New Roman"/>
          <w:b/>
          <w:sz w:val="28"/>
        </w:rPr>
        <w:t xml:space="preserve">Адаптивті жетек параметрлері арасындағы байланыс </w:t>
      </w:r>
    </w:p>
    <w:p w:rsidR="0052701D" w:rsidRDefault="00D40929">
      <w:pPr>
        <w:spacing w:after="219"/>
        <w:ind w:left="10" w:right="43" w:hanging="10"/>
        <w:jc w:val="right"/>
      </w:pPr>
      <w:r>
        <w:rPr>
          <w:rFonts w:ascii="Times New Roman" w:eastAsia="Times New Roman" w:hAnsi="Times New Roman" w:cs="Times New Roman"/>
          <w:sz w:val="28"/>
        </w:rPr>
        <w:t xml:space="preserve">Қарастырылған электромеханикалық жүйе екі еркіндік дәрежесіне ие. </w:t>
      </w:r>
    </w:p>
    <w:p w:rsidR="0052701D" w:rsidRDefault="00D40929">
      <w:pPr>
        <w:spacing w:after="26" w:line="271" w:lineRule="auto"/>
        <w:ind w:left="9" w:right="64"/>
        <w:jc w:val="both"/>
      </w:pPr>
      <w:r>
        <w:rPr>
          <w:rFonts w:ascii="Times New Roman" w:eastAsia="Times New Roman" w:hAnsi="Times New Roman" w:cs="Times New Roman"/>
          <w:sz w:val="28"/>
        </w:rPr>
        <w:t xml:space="preserve">Статор </w:t>
      </w:r>
      <w:r>
        <w:rPr>
          <w:rFonts w:ascii="Segoe UI Symbol" w:eastAsia="Segoe UI Symbol" w:hAnsi="Segoe UI Symbol" w:cs="Segoe UI Symbol"/>
          <w:sz w:val="26"/>
        </w:rPr>
        <w:t></w:t>
      </w:r>
      <w:r>
        <w:rPr>
          <w:rFonts w:ascii="Times New Roman" w:eastAsia="Times New Roman" w:hAnsi="Times New Roman" w:cs="Times New Roman"/>
          <w:sz w:val="16"/>
        </w:rPr>
        <w:t>1</w:t>
      </w:r>
      <w:r>
        <w:rPr>
          <w:rFonts w:ascii="Times New Roman" w:eastAsia="Times New Roman" w:hAnsi="Times New Roman" w:cs="Times New Roman"/>
          <w:sz w:val="28"/>
        </w:rPr>
        <w:t xml:space="preserve"> мен ротордың </w:t>
      </w:r>
      <w:r>
        <w:rPr>
          <w:rFonts w:ascii="Segoe UI Symbol" w:eastAsia="Segoe UI Symbol" w:hAnsi="Segoe UI Symbol" w:cs="Segoe UI Symbol"/>
          <w:sz w:val="26"/>
        </w:rPr>
        <w:t></w:t>
      </w:r>
      <w:r>
        <w:rPr>
          <w:rFonts w:ascii="Times New Roman" w:eastAsia="Times New Roman" w:hAnsi="Times New Roman" w:cs="Times New Roman"/>
          <w:sz w:val="16"/>
        </w:rPr>
        <w:t xml:space="preserve">2 </w:t>
      </w:r>
      <w:r>
        <w:rPr>
          <w:rFonts w:ascii="Times New Roman" w:eastAsia="Times New Roman" w:hAnsi="Times New Roman" w:cs="Times New Roman"/>
          <w:sz w:val="28"/>
        </w:rPr>
        <w:t xml:space="preserve">бұрыштық жылдамдықтарының шектелуі электр жетегінің параметрлері арасындағы байланысты анықтайды. </w:t>
      </w:r>
    </w:p>
    <w:p w:rsidR="0052701D" w:rsidRDefault="00D40929">
      <w:pPr>
        <w:spacing w:after="5" w:line="271" w:lineRule="auto"/>
        <w:ind w:left="9" w:right="64" w:firstLine="711"/>
        <w:jc w:val="both"/>
      </w:pPr>
      <w:r>
        <w:rPr>
          <w:rFonts w:ascii="Times New Roman" w:eastAsia="Times New Roman" w:hAnsi="Times New Roman" w:cs="Times New Roman"/>
          <w:sz w:val="28"/>
        </w:rPr>
        <w:t>Егер статор қозғалыссыз болса, статордың 1 және ротордың 2 қозғалыссыз статордағы 1 бұрыштық жылдамдықтары келесідей болады</w:t>
      </w:r>
      <w:r>
        <w:rPr>
          <w:rFonts w:ascii="Segoe UI Symbol" w:eastAsia="Segoe UI Symbol" w:hAnsi="Segoe UI Symbol" w:cs="Segoe UI Symbol"/>
          <w:sz w:val="38"/>
          <w:vertAlign w:val="superscript"/>
        </w:rPr>
        <w:t></w:t>
      </w:r>
      <w:r>
        <w:rPr>
          <w:rFonts w:ascii="Times New Roman" w:eastAsia="Times New Roman" w:hAnsi="Times New Roman" w:cs="Times New Roman"/>
          <w:sz w:val="16"/>
        </w:rPr>
        <w:t>1</w:t>
      </w:r>
      <w:r>
        <w:rPr>
          <w:rFonts w:ascii="Times New Roman" w:eastAsia="Times New Roman" w:hAnsi="Times New Roman" w:cs="Times New Roman"/>
          <w:sz w:val="24"/>
          <w:vertAlign w:val="superscript"/>
        </w:rPr>
        <w:t xml:space="preserve">(1) </w:t>
      </w:r>
      <w:r>
        <w:rPr>
          <w:rFonts w:ascii="Segoe UI Symbol" w:eastAsia="Segoe UI Symbol" w:hAnsi="Segoe UI Symbol" w:cs="Segoe UI Symbol"/>
          <w:sz w:val="36"/>
          <w:vertAlign w:val="superscript"/>
        </w:rPr>
        <w:t xml:space="preserve"> </w:t>
      </w:r>
      <w:r>
        <w:rPr>
          <w:rFonts w:ascii="Times New Roman" w:eastAsia="Times New Roman" w:hAnsi="Times New Roman" w:cs="Times New Roman"/>
          <w:sz w:val="36"/>
          <w:vertAlign w:val="superscript"/>
        </w:rPr>
        <w:t xml:space="preserve">0, </w:t>
      </w:r>
      <w:r>
        <w:rPr>
          <w:rFonts w:ascii="Segoe UI Symbol" w:eastAsia="Segoe UI Symbol" w:hAnsi="Segoe UI Symbol" w:cs="Segoe UI Symbol"/>
          <w:sz w:val="38"/>
          <w:vertAlign w:val="superscript"/>
        </w:rPr>
        <w:t></w:t>
      </w:r>
      <w:r>
        <w:rPr>
          <w:rFonts w:ascii="Times New Roman" w:eastAsia="Times New Roman" w:hAnsi="Times New Roman" w:cs="Times New Roman"/>
          <w:sz w:val="16"/>
        </w:rPr>
        <w:t>2</w:t>
      </w:r>
      <w:r>
        <w:rPr>
          <w:rFonts w:ascii="Times New Roman" w:eastAsia="Times New Roman" w:hAnsi="Times New Roman" w:cs="Times New Roman"/>
          <w:sz w:val="24"/>
          <w:vertAlign w:val="superscript"/>
        </w:rPr>
        <w:t xml:space="preserve">(1) </w:t>
      </w:r>
      <w:r>
        <w:rPr>
          <w:rFonts w:ascii="Segoe UI Symbol" w:eastAsia="Segoe UI Symbol" w:hAnsi="Segoe UI Symbol" w:cs="Segoe UI Symbol"/>
          <w:sz w:val="36"/>
          <w:vertAlign w:val="superscript"/>
        </w:rPr>
        <w:t></w:t>
      </w:r>
      <w:r>
        <w:rPr>
          <w:rFonts w:ascii="Segoe UI Symbol" w:eastAsia="Segoe UI Symbol" w:hAnsi="Segoe UI Symbol" w:cs="Segoe UI Symbol"/>
          <w:sz w:val="38"/>
          <w:vertAlign w:val="superscript"/>
        </w:rPr>
        <w:t></w:t>
      </w:r>
      <w:r>
        <w:rPr>
          <w:rFonts w:ascii="Times New Roman" w:eastAsia="Times New Roman" w:hAnsi="Times New Roman" w:cs="Times New Roman"/>
          <w:i/>
          <w:sz w:val="16"/>
        </w:rPr>
        <w:t>n</w:t>
      </w:r>
      <w:r>
        <w:rPr>
          <w:rFonts w:ascii="Times New Roman" w:eastAsia="Times New Roman" w:hAnsi="Times New Roman" w:cs="Times New Roman"/>
          <w:sz w:val="28"/>
        </w:rPr>
        <w:t xml:space="preserve">, мұндағы </w:t>
      </w:r>
      <w:r>
        <w:rPr>
          <w:rFonts w:ascii="Segoe UI Symbol" w:eastAsia="Segoe UI Symbol" w:hAnsi="Segoe UI Symbol" w:cs="Segoe UI Symbol"/>
          <w:sz w:val="38"/>
          <w:vertAlign w:val="superscript"/>
        </w:rPr>
        <w:t></w:t>
      </w:r>
      <w:r>
        <w:rPr>
          <w:rFonts w:ascii="Times New Roman" w:eastAsia="Times New Roman" w:hAnsi="Times New Roman" w:cs="Times New Roman"/>
          <w:i/>
          <w:sz w:val="16"/>
        </w:rPr>
        <w:t xml:space="preserve">n </w:t>
      </w:r>
      <w:r>
        <w:rPr>
          <w:rFonts w:ascii="Times New Roman" w:eastAsia="Times New Roman" w:hAnsi="Times New Roman" w:cs="Times New Roman"/>
          <w:sz w:val="28"/>
        </w:rPr>
        <w:t>-</w:t>
      </w:r>
      <w:r>
        <w:rPr>
          <w:rFonts w:ascii="Times New Roman" w:eastAsia="Times New Roman" w:hAnsi="Times New Roman" w:cs="Times New Roman"/>
          <w:sz w:val="28"/>
        </w:rPr>
        <w:t xml:space="preserve"> электр қозғалтқышының номиналды бұрыштық жылдамдығы. Егер </w:t>
      </w:r>
    </w:p>
    <w:p w:rsidR="0052701D" w:rsidRDefault="00D40929">
      <w:pPr>
        <w:spacing w:after="203" w:line="271" w:lineRule="auto"/>
        <w:ind w:left="9" w:right="64"/>
        <w:jc w:val="both"/>
      </w:pPr>
      <w:r>
        <w:rPr>
          <w:rFonts w:ascii="Times New Roman" w:eastAsia="Times New Roman" w:hAnsi="Times New Roman" w:cs="Times New Roman"/>
          <w:sz w:val="28"/>
        </w:rPr>
        <w:t xml:space="preserve">электр қозғалтқышы тірегімен бірге қандай да бір бұрыштық </w:t>
      </w:r>
      <w:r>
        <w:rPr>
          <w:rFonts w:ascii="Segoe UI Symbol" w:eastAsia="Segoe UI Symbol" w:hAnsi="Segoe UI Symbol" w:cs="Segoe UI Symbol"/>
          <w:sz w:val="25"/>
        </w:rPr>
        <w:t></w:t>
      </w:r>
      <w:r>
        <w:rPr>
          <w:rFonts w:ascii="Times New Roman" w:eastAsia="Times New Roman" w:hAnsi="Times New Roman" w:cs="Times New Roman"/>
          <w:sz w:val="28"/>
        </w:rPr>
        <w:t xml:space="preserve"> жылдамдықпен қозғалысқа түссе, онда бұл түрлендірілген қозғалыста бұрыштық жылдамдықтар </w:t>
      </w:r>
    </w:p>
    <w:p w:rsidR="0052701D" w:rsidRDefault="00D40929">
      <w:pPr>
        <w:spacing w:after="5" w:line="271" w:lineRule="auto"/>
        <w:ind w:left="9" w:right="64"/>
        <w:jc w:val="both"/>
      </w:pPr>
      <w:r>
        <w:rPr>
          <w:rFonts w:ascii="Times New Roman" w:eastAsia="Times New Roman" w:hAnsi="Times New Roman" w:cs="Times New Roman"/>
          <w:sz w:val="28"/>
        </w:rPr>
        <w:t xml:space="preserve">келесі мәндерді қабылдайды </w:t>
      </w:r>
      <w:r>
        <w:rPr>
          <w:rFonts w:ascii="Segoe UI Symbol" w:eastAsia="Segoe UI Symbol" w:hAnsi="Segoe UI Symbol" w:cs="Segoe UI Symbol"/>
          <w:sz w:val="38"/>
          <w:vertAlign w:val="superscript"/>
        </w:rPr>
        <w:t></w:t>
      </w:r>
      <w:r>
        <w:rPr>
          <w:rFonts w:ascii="Times New Roman" w:eastAsia="Times New Roman" w:hAnsi="Times New Roman" w:cs="Times New Roman"/>
          <w:sz w:val="16"/>
        </w:rPr>
        <w:t xml:space="preserve">1 </w:t>
      </w:r>
      <w:r>
        <w:rPr>
          <w:rFonts w:ascii="Segoe UI Symbol" w:eastAsia="Segoe UI Symbol" w:hAnsi="Segoe UI Symbol" w:cs="Segoe UI Symbol"/>
          <w:sz w:val="36"/>
          <w:vertAlign w:val="superscript"/>
        </w:rPr>
        <w:t></w:t>
      </w:r>
      <w:r>
        <w:rPr>
          <w:rFonts w:ascii="Segoe UI Symbol" w:eastAsia="Segoe UI Symbol" w:hAnsi="Segoe UI Symbol" w:cs="Segoe UI Symbol"/>
          <w:sz w:val="38"/>
          <w:vertAlign w:val="superscript"/>
        </w:rPr>
        <w:t></w:t>
      </w:r>
      <w:r>
        <w:rPr>
          <w:rFonts w:ascii="Times New Roman" w:eastAsia="Times New Roman" w:hAnsi="Times New Roman" w:cs="Times New Roman"/>
          <w:sz w:val="36"/>
          <w:vertAlign w:val="superscript"/>
        </w:rPr>
        <w:t xml:space="preserve">, </w:t>
      </w:r>
      <w:r>
        <w:rPr>
          <w:rFonts w:ascii="Segoe UI Symbol" w:eastAsia="Segoe UI Symbol" w:hAnsi="Segoe UI Symbol" w:cs="Segoe UI Symbol"/>
          <w:sz w:val="38"/>
          <w:vertAlign w:val="superscript"/>
        </w:rPr>
        <w:t></w:t>
      </w:r>
      <w:r>
        <w:rPr>
          <w:rFonts w:ascii="Times New Roman" w:eastAsia="Times New Roman" w:hAnsi="Times New Roman" w:cs="Times New Roman"/>
          <w:sz w:val="16"/>
        </w:rPr>
        <w:t xml:space="preserve">2 </w:t>
      </w:r>
      <w:r>
        <w:rPr>
          <w:rFonts w:ascii="Segoe UI Symbol" w:eastAsia="Segoe UI Symbol" w:hAnsi="Segoe UI Symbol" w:cs="Segoe UI Symbol"/>
          <w:sz w:val="36"/>
          <w:vertAlign w:val="superscript"/>
        </w:rPr>
        <w:t></w:t>
      </w:r>
      <w:r>
        <w:rPr>
          <w:rFonts w:ascii="Segoe UI Symbol" w:eastAsia="Segoe UI Symbol" w:hAnsi="Segoe UI Symbol" w:cs="Segoe UI Symbol"/>
          <w:sz w:val="38"/>
          <w:vertAlign w:val="superscript"/>
        </w:rPr>
        <w:t></w:t>
      </w:r>
      <w:r>
        <w:rPr>
          <w:rFonts w:ascii="Times New Roman" w:eastAsia="Times New Roman" w:hAnsi="Times New Roman" w:cs="Times New Roman"/>
          <w:i/>
          <w:sz w:val="16"/>
        </w:rPr>
        <w:t xml:space="preserve">n </w:t>
      </w:r>
      <w:r>
        <w:rPr>
          <w:rFonts w:ascii="Segoe UI Symbol" w:eastAsia="Segoe UI Symbol" w:hAnsi="Segoe UI Symbol" w:cs="Segoe UI Symbol"/>
          <w:sz w:val="36"/>
          <w:vertAlign w:val="superscript"/>
        </w:rPr>
        <w:t></w:t>
      </w:r>
      <w:r>
        <w:rPr>
          <w:rFonts w:ascii="Segoe UI Symbol" w:eastAsia="Segoe UI Symbol" w:hAnsi="Segoe UI Symbol" w:cs="Segoe UI Symbol"/>
          <w:sz w:val="38"/>
          <w:vertAlign w:val="superscript"/>
        </w:rPr>
        <w:t></w:t>
      </w:r>
      <w:r>
        <w:rPr>
          <w:rFonts w:ascii="Times New Roman" w:eastAsia="Times New Roman" w:hAnsi="Times New Roman" w:cs="Times New Roman"/>
          <w:sz w:val="28"/>
        </w:rPr>
        <w:t xml:space="preserve">. </w:t>
      </w:r>
    </w:p>
    <w:p w:rsidR="0052701D" w:rsidRDefault="00D40929">
      <w:pPr>
        <w:spacing w:after="124" w:line="271" w:lineRule="auto"/>
        <w:ind w:left="9" w:right="64" w:firstLine="711"/>
        <w:jc w:val="both"/>
      </w:pPr>
      <w:r>
        <w:rPr>
          <w:rFonts w:ascii="Times New Roman" w:eastAsia="Times New Roman" w:hAnsi="Times New Roman" w:cs="Times New Roman"/>
          <w:sz w:val="28"/>
        </w:rPr>
        <w:t>Б</w:t>
      </w:r>
      <w:r>
        <w:rPr>
          <w:rFonts w:ascii="Times New Roman" w:eastAsia="Times New Roman" w:hAnsi="Times New Roman" w:cs="Times New Roman"/>
          <w:sz w:val="28"/>
        </w:rPr>
        <w:t xml:space="preserve">ұрыштық жылдамдықтардың айырмашылығы статор мен ротор арасындағы электрлік шектеуді анықтайды: </w:t>
      </w:r>
    </w:p>
    <w:p w:rsidR="0052701D" w:rsidRDefault="00D40929">
      <w:pPr>
        <w:spacing w:after="3"/>
        <w:ind w:left="10" w:right="43" w:hanging="10"/>
        <w:jc w:val="right"/>
      </w:pPr>
      <w:r>
        <w:rPr>
          <w:rFonts w:ascii="Times New Roman" w:eastAsia="Times New Roman" w:hAnsi="Times New Roman" w:cs="Times New Roman"/>
          <w:sz w:val="28"/>
        </w:rPr>
        <w:t xml:space="preserve"> </w:t>
      </w:r>
      <w:r>
        <w:rPr>
          <w:rFonts w:ascii="Segoe UI Symbol" w:eastAsia="Segoe UI Symbol" w:hAnsi="Segoe UI Symbol" w:cs="Segoe UI Symbol"/>
          <w:sz w:val="38"/>
          <w:vertAlign w:val="superscript"/>
        </w:rPr>
        <w:t></w:t>
      </w:r>
      <w:r>
        <w:rPr>
          <w:rFonts w:ascii="Times New Roman" w:eastAsia="Times New Roman" w:hAnsi="Times New Roman" w:cs="Times New Roman"/>
          <w:sz w:val="24"/>
          <w:vertAlign w:val="subscript"/>
        </w:rPr>
        <w:t xml:space="preserve">2 </w:t>
      </w:r>
      <w:r>
        <w:rPr>
          <w:rFonts w:ascii="Segoe UI Symbol" w:eastAsia="Segoe UI Symbol" w:hAnsi="Segoe UI Symbol" w:cs="Segoe UI Symbol"/>
          <w:sz w:val="36"/>
          <w:vertAlign w:val="superscript"/>
        </w:rPr>
        <w:t></w:t>
      </w:r>
      <w:r>
        <w:rPr>
          <w:rFonts w:ascii="Segoe UI Symbol" w:eastAsia="Segoe UI Symbol" w:hAnsi="Segoe UI Symbol" w:cs="Segoe UI Symbol"/>
          <w:sz w:val="38"/>
          <w:vertAlign w:val="superscript"/>
        </w:rPr>
        <w:t></w:t>
      </w:r>
      <w:r>
        <w:rPr>
          <w:rFonts w:ascii="Times New Roman" w:eastAsia="Times New Roman" w:hAnsi="Times New Roman" w:cs="Times New Roman"/>
          <w:sz w:val="24"/>
          <w:vertAlign w:val="subscript"/>
        </w:rPr>
        <w:t xml:space="preserve">1 </w:t>
      </w:r>
      <w:r>
        <w:rPr>
          <w:rFonts w:ascii="Segoe UI Symbol" w:eastAsia="Segoe UI Symbol" w:hAnsi="Segoe UI Symbol" w:cs="Segoe UI Symbol"/>
          <w:sz w:val="36"/>
          <w:vertAlign w:val="superscript"/>
        </w:rPr>
        <w:t></w:t>
      </w:r>
      <w:r>
        <w:rPr>
          <w:rFonts w:ascii="Segoe UI Symbol" w:eastAsia="Segoe UI Symbol" w:hAnsi="Segoe UI Symbol" w:cs="Segoe UI Symbol"/>
          <w:sz w:val="38"/>
          <w:vertAlign w:val="superscript"/>
        </w:rPr>
        <w:t></w:t>
      </w:r>
      <w:r>
        <w:rPr>
          <w:rFonts w:ascii="Times New Roman" w:eastAsia="Times New Roman" w:hAnsi="Times New Roman" w:cs="Times New Roman"/>
          <w:i/>
          <w:sz w:val="24"/>
          <w:vertAlign w:val="subscript"/>
        </w:rPr>
        <w:t>n</w:t>
      </w:r>
      <w:r>
        <w:rPr>
          <w:rFonts w:ascii="Times New Roman" w:eastAsia="Times New Roman" w:hAnsi="Times New Roman" w:cs="Times New Roman"/>
          <w:sz w:val="28"/>
        </w:rPr>
        <w:t xml:space="preserve">.                                                                   (1) </w:t>
      </w:r>
    </w:p>
    <w:p w:rsidR="0052701D" w:rsidRDefault="00D40929">
      <w:pPr>
        <w:spacing w:after="165" w:line="271" w:lineRule="auto"/>
        <w:ind w:left="9" w:right="64" w:firstLine="711"/>
        <w:jc w:val="both"/>
      </w:pPr>
      <w:r>
        <w:rPr>
          <w:rFonts w:ascii="Times New Roman" w:eastAsia="Times New Roman" w:hAnsi="Times New Roman" w:cs="Times New Roman"/>
          <w:sz w:val="28"/>
        </w:rPr>
        <w:t>Планетарлық пойыздың сызықтық жылдамдықтарының графигі (2-</w:t>
      </w:r>
      <w:r>
        <w:rPr>
          <w:rFonts w:ascii="Times New Roman" w:eastAsia="Times New Roman" w:hAnsi="Times New Roman" w:cs="Times New Roman"/>
          <w:sz w:val="28"/>
        </w:rPr>
        <w:t xml:space="preserve">сурет) бұрыштық жылдамдықтар арасындағы механикалық шектеуді анықтайды. Сызықтық жылдамдықтар графигі бойынша </w:t>
      </w:r>
    </w:p>
    <w:p w:rsidR="0052701D" w:rsidRDefault="00D40929">
      <w:pPr>
        <w:spacing w:after="80"/>
        <w:ind w:left="10" w:right="43" w:hanging="10"/>
        <w:jc w:val="right"/>
      </w:pPr>
      <w:r>
        <w:rPr>
          <w:rFonts w:ascii="Times New Roman" w:eastAsia="Times New Roman" w:hAnsi="Times New Roman" w:cs="Times New Roman"/>
          <w:i/>
          <w:sz w:val="36"/>
          <w:vertAlign w:val="superscript"/>
        </w:rPr>
        <w:t>V</w:t>
      </w:r>
      <w:r>
        <w:rPr>
          <w:rFonts w:ascii="Times New Roman" w:eastAsia="Times New Roman" w:hAnsi="Times New Roman" w:cs="Times New Roman"/>
          <w:sz w:val="24"/>
          <w:vertAlign w:val="subscript"/>
        </w:rPr>
        <w:t xml:space="preserve">4 </w:t>
      </w:r>
      <w:r>
        <w:rPr>
          <w:rFonts w:ascii="Segoe UI Symbol" w:eastAsia="Segoe UI Symbol" w:hAnsi="Segoe UI Symbol" w:cs="Segoe UI Symbol"/>
          <w:sz w:val="36"/>
          <w:vertAlign w:val="superscript"/>
        </w:rPr>
        <w:t></w:t>
      </w:r>
      <w:r>
        <w:rPr>
          <w:rFonts w:ascii="Times New Roman" w:eastAsia="Times New Roman" w:hAnsi="Times New Roman" w:cs="Times New Roman"/>
          <w:i/>
          <w:sz w:val="36"/>
          <w:vertAlign w:val="superscript"/>
        </w:rPr>
        <w:t>V</w:t>
      </w:r>
      <w:r>
        <w:rPr>
          <w:rFonts w:ascii="Times New Roman" w:eastAsia="Times New Roman" w:hAnsi="Times New Roman" w:cs="Times New Roman"/>
          <w:sz w:val="24"/>
          <w:vertAlign w:val="subscript"/>
        </w:rPr>
        <w:t xml:space="preserve">6 </w:t>
      </w:r>
      <w:r>
        <w:rPr>
          <w:rFonts w:ascii="Segoe UI Symbol" w:eastAsia="Segoe UI Symbol" w:hAnsi="Segoe UI Symbol" w:cs="Segoe UI Symbol"/>
          <w:sz w:val="36"/>
          <w:vertAlign w:val="superscript"/>
        </w:rPr>
        <w:t></w:t>
      </w:r>
      <w:r>
        <w:rPr>
          <w:rFonts w:ascii="Times New Roman" w:eastAsia="Times New Roman" w:hAnsi="Times New Roman" w:cs="Times New Roman"/>
          <w:sz w:val="36"/>
          <w:vertAlign w:val="superscript"/>
        </w:rPr>
        <w:t>2</w:t>
      </w:r>
      <w:r>
        <w:rPr>
          <w:rFonts w:ascii="Times New Roman" w:eastAsia="Times New Roman" w:hAnsi="Times New Roman" w:cs="Times New Roman"/>
          <w:i/>
          <w:sz w:val="36"/>
          <w:vertAlign w:val="superscript"/>
        </w:rPr>
        <w:t>V</w:t>
      </w:r>
      <w:r>
        <w:rPr>
          <w:rFonts w:ascii="Times New Roman" w:eastAsia="Times New Roman" w:hAnsi="Times New Roman" w:cs="Times New Roman"/>
          <w:i/>
          <w:sz w:val="24"/>
          <w:vertAlign w:val="subscript"/>
        </w:rPr>
        <w:t xml:space="preserve">H </w:t>
      </w:r>
      <w:r>
        <w:rPr>
          <w:rFonts w:ascii="Times New Roman" w:eastAsia="Times New Roman" w:hAnsi="Times New Roman" w:cs="Times New Roman"/>
          <w:sz w:val="28"/>
        </w:rPr>
        <w:t xml:space="preserve">.                                                               (2)  </w:t>
      </w:r>
    </w:p>
    <w:p w:rsidR="0052701D" w:rsidRDefault="00D40929">
      <w:pPr>
        <w:tabs>
          <w:tab w:val="center" w:pos="3028"/>
          <w:tab w:val="center" w:pos="6154"/>
        </w:tabs>
        <w:spacing w:after="348"/>
      </w:pPr>
      <w:r>
        <w:lastRenderedPageBreak/>
        <w:tab/>
      </w:r>
      <w:r>
        <w:rPr>
          <w:rFonts w:ascii="Times New Roman" w:eastAsia="Times New Roman" w:hAnsi="Times New Roman" w:cs="Times New Roman"/>
          <w:sz w:val="28"/>
        </w:rPr>
        <w:t xml:space="preserve">Мұндағы </w:t>
      </w:r>
      <w:r>
        <w:rPr>
          <w:rFonts w:ascii="Times New Roman" w:eastAsia="Times New Roman" w:hAnsi="Times New Roman" w:cs="Times New Roman"/>
          <w:i/>
          <w:sz w:val="24"/>
        </w:rPr>
        <w:t>V</w:t>
      </w:r>
      <w:r>
        <w:rPr>
          <w:rFonts w:ascii="Times New Roman" w:eastAsia="Times New Roman" w:hAnsi="Times New Roman" w:cs="Times New Roman"/>
          <w:sz w:val="16"/>
        </w:rPr>
        <w:t xml:space="preserve">4 </w:t>
      </w:r>
      <w:r>
        <w:rPr>
          <w:rFonts w:ascii="Segoe UI Symbol" w:eastAsia="Segoe UI Symbol" w:hAnsi="Segoe UI Symbol" w:cs="Segoe UI Symbol"/>
          <w:sz w:val="24"/>
        </w:rPr>
        <w:t></w:t>
      </w:r>
      <w:r>
        <w:rPr>
          <w:rFonts w:ascii="Segoe UI Symbol" w:eastAsia="Segoe UI Symbol" w:hAnsi="Segoe UI Symbol" w:cs="Segoe UI Symbol"/>
          <w:sz w:val="25"/>
        </w:rPr>
        <w:t></w:t>
      </w:r>
      <w:r>
        <w:rPr>
          <w:rFonts w:ascii="Times New Roman" w:eastAsia="Times New Roman" w:hAnsi="Times New Roman" w:cs="Times New Roman"/>
          <w:sz w:val="16"/>
        </w:rPr>
        <w:t>4</w:t>
      </w:r>
      <w:r>
        <w:rPr>
          <w:rFonts w:ascii="Times New Roman" w:eastAsia="Times New Roman" w:hAnsi="Times New Roman" w:cs="Times New Roman"/>
          <w:i/>
          <w:sz w:val="24"/>
        </w:rPr>
        <w:t>r</w:t>
      </w:r>
      <w:r>
        <w:rPr>
          <w:rFonts w:ascii="Times New Roman" w:eastAsia="Times New Roman" w:hAnsi="Times New Roman" w:cs="Times New Roman"/>
          <w:sz w:val="16"/>
        </w:rPr>
        <w:t xml:space="preserve">4 </w:t>
      </w:r>
      <w:r>
        <w:rPr>
          <w:rFonts w:ascii="Segoe UI Symbol" w:eastAsia="Segoe UI Symbol" w:hAnsi="Segoe UI Symbol" w:cs="Segoe UI Symbol"/>
          <w:sz w:val="24"/>
        </w:rPr>
        <w:t></w:t>
      </w:r>
      <w:r>
        <w:rPr>
          <w:rFonts w:ascii="Segoe UI Symbol" w:eastAsia="Segoe UI Symbol" w:hAnsi="Segoe UI Symbol" w:cs="Segoe UI Symbol"/>
          <w:sz w:val="25"/>
        </w:rPr>
        <w:t></w:t>
      </w:r>
      <w:r>
        <w:rPr>
          <w:rFonts w:ascii="Times New Roman" w:eastAsia="Times New Roman" w:hAnsi="Times New Roman" w:cs="Times New Roman"/>
          <w:sz w:val="16"/>
        </w:rPr>
        <w:t>1</w:t>
      </w:r>
      <w:r>
        <w:rPr>
          <w:rFonts w:ascii="Times New Roman" w:eastAsia="Times New Roman" w:hAnsi="Times New Roman" w:cs="Times New Roman"/>
          <w:i/>
          <w:sz w:val="24"/>
        </w:rPr>
        <w:t>r</w:t>
      </w:r>
      <w:r>
        <w:rPr>
          <w:rFonts w:ascii="Times New Roman" w:eastAsia="Times New Roman" w:hAnsi="Times New Roman" w:cs="Times New Roman"/>
          <w:sz w:val="16"/>
        </w:rPr>
        <w:t xml:space="preserve">4, </w:t>
      </w:r>
      <w:r>
        <w:rPr>
          <w:rFonts w:ascii="Times New Roman" w:eastAsia="Times New Roman" w:hAnsi="Times New Roman" w:cs="Times New Roman"/>
          <w:i/>
          <w:sz w:val="24"/>
        </w:rPr>
        <w:t>V</w:t>
      </w:r>
      <w:r>
        <w:rPr>
          <w:rFonts w:ascii="Times New Roman" w:eastAsia="Times New Roman" w:hAnsi="Times New Roman" w:cs="Times New Roman"/>
          <w:sz w:val="16"/>
        </w:rPr>
        <w:t xml:space="preserve">6 </w:t>
      </w:r>
      <w:r>
        <w:rPr>
          <w:rFonts w:ascii="Segoe UI Symbol" w:eastAsia="Segoe UI Symbol" w:hAnsi="Segoe UI Symbol" w:cs="Segoe UI Symbol"/>
          <w:sz w:val="24"/>
        </w:rPr>
        <w:t></w:t>
      </w:r>
      <w:r>
        <w:rPr>
          <w:rFonts w:ascii="Segoe UI Symbol" w:eastAsia="Segoe UI Symbol" w:hAnsi="Segoe UI Symbol" w:cs="Segoe UI Symbol"/>
          <w:sz w:val="25"/>
        </w:rPr>
        <w:t></w:t>
      </w:r>
      <w:r>
        <w:rPr>
          <w:rFonts w:ascii="Times New Roman" w:eastAsia="Times New Roman" w:hAnsi="Times New Roman" w:cs="Times New Roman"/>
          <w:sz w:val="16"/>
        </w:rPr>
        <w:t>6</w:t>
      </w:r>
      <w:r>
        <w:rPr>
          <w:rFonts w:ascii="Times New Roman" w:eastAsia="Times New Roman" w:hAnsi="Times New Roman" w:cs="Times New Roman"/>
          <w:i/>
          <w:sz w:val="24"/>
        </w:rPr>
        <w:t>r</w:t>
      </w:r>
      <w:r>
        <w:rPr>
          <w:rFonts w:ascii="Times New Roman" w:eastAsia="Times New Roman" w:hAnsi="Times New Roman" w:cs="Times New Roman"/>
          <w:sz w:val="16"/>
        </w:rPr>
        <w:t xml:space="preserve">6 </w:t>
      </w:r>
      <w:r>
        <w:rPr>
          <w:rFonts w:ascii="Segoe UI Symbol" w:eastAsia="Segoe UI Symbol" w:hAnsi="Segoe UI Symbol" w:cs="Segoe UI Symbol"/>
          <w:sz w:val="24"/>
        </w:rPr>
        <w:t></w:t>
      </w:r>
      <w:r>
        <w:rPr>
          <w:rFonts w:ascii="Segoe UI Symbol" w:eastAsia="Segoe UI Symbol" w:hAnsi="Segoe UI Symbol" w:cs="Segoe UI Symbol"/>
          <w:sz w:val="25"/>
        </w:rPr>
        <w:t></w:t>
      </w:r>
      <w:r>
        <w:rPr>
          <w:rFonts w:ascii="Times New Roman" w:eastAsia="Times New Roman" w:hAnsi="Times New Roman" w:cs="Times New Roman"/>
          <w:sz w:val="16"/>
        </w:rPr>
        <w:t>2</w:t>
      </w:r>
      <w:r>
        <w:rPr>
          <w:rFonts w:ascii="Times New Roman" w:eastAsia="Times New Roman" w:hAnsi="Times New Roman" w:cs="Times New Roman"/>
          <w:i/>
          <w:sz w:val="24"/>
        </w:rPr>
        <w:t>r</w:t>
      </w:r>
      <w:r>
        <w:rPr>
          <w:rFonts w:ascii="Times New Roman" w:eastAsia="Times New Roman" w:hAnsi="Times New Roman" w:cs="Times New Roman"/>
          <w:sz w:val="16"/>
        </w:rPr>
        <w:t>6</w:t>
      </w:r>
      <w:r>
        <w:rPr>
          <w:rFonts w:ascii="Times New Roman" w:eastAsia="Times New Roman" w:hAnsi="Times New Roman" w:cs="Times New Roman"/>
          <w:sz w:val="24"/>
        </w:rPr>
        <w:t>,</w:t>
      </w:r>
      <w:r>
        <w:rPr>
          <w:rFonts w:ascii="Times New Roman" w:eastAsia="Times New Roman" w:hAnsi="Times New Roman" w:cs="Times New Roman"/>
          <w:sz w:val="24"/>
        </w:rPr>
        <w:tab/>
      </w:r>
      <w:r>
        <w:rPr>
          <w:rFonts w:ascii="Times New Roman" w:eastAsia="Times New Roman" w:hAnsi="Times New Roman" w:cs="Times New Roman"/>
          <w:i/>
          <w:sz w:val="24"/>
        </w:rPr>
        <w:t>V</w:t>
      </w:r>
      <w:r>
        <w:rPr>
          <w:rFonts w:ascii="Times New Roman" w:eastAsia="Times New Roman" w:hAnsi="Times New Roman" w:cs="Times New Roman"/>
          <w:i/>
          <w:sz w:val="16"/>
        </w:rPr>
        <w:t xml:space="preserve">H </w:t>
      </w:r>
      <w:r>
        <w:rPr>
          <w:rFonts w:ascii="Segoe UI Symbol" w:eastAsia="Segoe UI Symbol" w:hAnsi="Segoe UI Symbol" w:cs="Segoe UI Symbol"/>
          <w:sz w:val="24"/>
        </w:rPr>
        <w:t></w:t>
      </w:r>
      <w:r>
        <w:rPr>
          <w:rFonts w:ascii="Segoe UI Symbol" w:eastAsia="Segoe UI Symbol" w:hAnsi="Segoe UI Symbol" w:cs="Segoe UI Symbol"/>
          <w:sz w:val="25"/>
        </w:rPr>
        <w:t></w:t>
      </w:r>
      <w:r>
        <w:rPr>
          <w:rFonts w:ascii="Times New Roman" w:eastAsia="Times New Roman" w:hAnsi="Times New Roman" w:cs="Times New Roman"/>
          <w:i/>
          <w:sz w:val="16"/>
        </w:rPr>
        <w:t>H</w:t>
      </w:r>
      <w:r>
        <w:rPr>
          <w:rFonts w:ascii="Times New Roman" w:eastAsia="Times New Roman" w:hAnsi="Times New Roman" w:cs="Times New Roman"/>
          <w:i/>
          <w:sz w:val="24"/>
        </w:rPr>
        <w:t>r</w:t>
      </w:r>
      <w:r>
        <w:rPr>
          <w:rFonts w:ascii="Times New Roman" w:eastAsia="Times New Roman" w:hAnsi="Times New Roman" w:cs="Times New Roman"/>
          <w:i/>
          <w:sz w:val="16"/>
        </w:rPr>
        <w:t xml:space="preserve">H </w:t>
      </w:r>
      <w:r>
        <w:rPr>
          <w:rFonts w:ascii="Times New Roman" w:eastAsia="Times New Roman" w:hAnsi="Times New Roman" w:cs="Times New Roman"/>
          <w:sz w:val="28"/>
        </w:rPr>
        <w:t xml:space="preserve">, </w:t>
      </w:r>
    </w:p>
    <w:p w:rsidR="0052701D" w:rsidRDefault="00D40929">
      <w:pPr>
        <w:spacing w:after="161" w:line="271" w:lineRule="auto"/>
        <w:ind w:left="748" w:right="64"/>
        <w:jc w:val="both"/>
      </w:pPr>
      <w:r>
        <w:rPr>
          <w:rFonts w:ascii="Times New Roman" w:eastAsia="Times New Roman" w:hAnsi="Times New Roman" w:cs="Times New Roman"/>
          <w:i/>
          <w:sz w:val="36"/>
          <w:vertAlign w:val="superscript"/>
        </w:rPr>
        <w:t>r</w:t>
      </w:r>
      <w:r>
        <w:rPr>
          <w:rFonts w:ascii="Times New Roman" w:eastAsia="Times New Roman" w:hAnsi="Times New Roman" w:cs="Times New Roman"/>
          <w:sz w:val="16"/>
        </w:rPr>
        <w:t>4</w:t>
      </w:r>
      <w:r>
        <w:rPr>
          <w:rFonts w:ascii="Times New Roman" w:eastAsia="Times New Roman" w:hAnsi="Times New Roman" w:cs="Times New Roman"/>
          <w:sz w:val="36"/>
          <w:vertAlign w:val="superscript"/>
        </w:rPr>
        <w:t xml:space="preserve">, </w:t>
      </w:r>
      <w:r>
        <w:rPr>
          <w:rFonts w:ascii="Times New Roman" w:eastAsia="Times New Roman" w:hAnsi="Times New Roman" w:cs="Times New Roman"/>
          <w:i/>
          <w:sz w:val="36"/>
          <w:vertAlign w:val="superscript"/>
        </w:rPr>
        <w:t>r</w:t>
      </w:r>
      <w:r>
        <w:rPr>
          <w:rFonts w:ascii="Times New Roman" w:eastAsia="Times New Roman" w:hAnsi="Times New Roman" w:cs="Times New Roman"/>
          <w:sz w:val="16"/>
        </w:rPr>
        <w:t>6</w:t>
      </w:r>
      <w:r>
        <w:rPr>
          <w:rFonts w:ascii="Times New Roman" w:eastAsia="Times New Roman" w:hAnsi="Times New Roman" w:cs="Times New Roman"/>
          <w:sz w:val="36"/>
          <w:vertAlign w:val="superscript"/>
        </w:rPr>
        <w:t xml:space="preserve">, </w:t>
      </w:r>
      <w:r>
        <w:rPr>
          <w:rFonts w:ascii="Times New Roman" w:eastAsia="Times New Roman" w:hAnsi="Times New Roman" w:cs="Times New Roman"/>
          <w:i/>
          <w:sz w:val="36"/>
          <w:vertAlign w:val="superscript"/>
        </w:rPr>
        <w:t>r</w:t>
      </w:r>
      <w:r>
        <w:rPr>
          <w:rFonts w:ascii="Times New Roman" w:eastAsia="Times New Roman" w:hAnsi="Times New Roman" w:cs="Times New Roman"/>
          <w:i/>
          <w:sz w:val="16"/>
        </w:rPr>
        <w:t>H</w:t>
      </w:r>
      <w:r>
        <w:rPr>
          <w:rFonts w:ascii="Times New Roman" w:eastAsia="Times New Roman" w:hAnsi="Times New Roman" w:cs="Times New Roman"/>
          <w:sz w:val="28"/>
        </w:rPr>
        <w:t xml:space="preserve"> - 4, 6, </w:t>
      </w:r>
      <w:r>
        <w:rPr>
          <w:rFonts w:ascii="Times New Roman" w:eastAsia="Times New Roman" w:hAnsi="Times New Roman" w:cs="Times New Roman"/>
          <w:i/>
          <w:sz w:val="28"/>
        </w:rPr>
        <w:t xml:space="preserve">Н </w:t>
      </w:r>
      <w:r>
        <w:rPr>
          <w:rFonts w:ascii="Times New Roman" w:eastAsia="Times New Roman" w:hAnsi="Times New Roman" w:cs="Times New Roman"/>
          <w:sz w:val="28"/>
        </w:rPr>
        <w:t xml:space="preserve">тасушы тісті дөңгелектердің радиусы,  </w:t>
      </w:r>
    </w:p>
    <w:p w:rsidR="0052701D" w:rsidRDefault="00D40929">
      <w:pPr>
        <w:spacing w:after="78"/>
        <w:ind w:left="10" w:right="43" w:hanging="10"/>
        <w:jc w:val="right"/>
      </w:pPr>
      <w:r>
        <w:rPr>
          <w:rFonts w:ascii="Segoe UI Symbol" w:eastAsia="Segoe UI Symbol" w:hAnsi="Segoe UI Symbol" w:cs="Segoe UI Symbol"/>
          <w:sz w:val="38"/>
          <w:vertAlign w:val="superscript"/>
        </w:rPr>
        <w:t></w:t>
      </w:r>
      <w:r>
        <w:rPr>
          <w:rFonts w:ascii="Times New Roman" w:eastAsia="Times New Roman" w:hAnsi="Times New Roman" w:cs="Times New Roman"/>
          <w:sz w:val="16"/>
        </w:rPr>
        <w:t>4</w:t>
      </w:r>
      <w:r>
        <w:rPr>
          <w:rFonts w:ascii="Times New Roman" w:eastAsia="Times New Roman" w:hAnsi="Times New Roman" w:cs="Times New Roman"/>
          <w:sz w:val="36"/>
          <w:vertAlign w:val="superscript"/>
        </w:rPr>
        <w:t>,</w:t>
      </w:r>
      <w:r>
        <w:rPr>
          <w:rFonts w:ascii="Segoe UI Symbol" w:eastAsia="Segoe UI Symbol" w:hAnsi="Segoe UI Symbol" w:cs="Segoe UI Symbol"/>
          <w:sz w:val="38"/>
          <w:vertAlign w:val="superscript"/>
        </w:rPr>
        <w:t></w:t>
      </w:r>
      <w:r>
        <w:rPr>
          <w:rFonts w:ascii="Times New Roman" w:eastAsia="Times New Roman" w:hAnsi="Times New Roman" w:cs="Times New Roman"/>
          <w:sz w:val="16"/>
        </w:rPr>
        <w:t>6</w:t>
      </w:r>
      <w:r>
        <w:rPr>
          <w:rFonts w:ascii="Times New Roman" w:eastAsia="Times New Roman" w:hAnsi="Times New Roman" w:cs="Times New Roman"/>
          <w:sz w:val="36"/>
          <w:vertAlign w:val="superscript"/>
        </w:rPr>
        <w:t>,</w:t>
      </w:r>
      <w:r>
        <w:rPr>
          <w:rFonts w:ascii="Segoe UI Symbol" w:eastAsia="Segoe UI Symbol" w:hAnsi="Segoe UI Symbol" w:cs="Segoe UI Symbol"/>
          <w:sz w:val="38"/>
          <w:vertAlign w:val="superscript"/>
        </w:rPr>
        <w:t></w:t>
      </w:r>
      <w:r>
        <w:rPr>
          <w:rFonts w:ascii="Times New Roman" w:eastAsia="Times New Roman" w:hAnsi="Times New Roman" w:cs="Times New Roman"/>
          <w:i/>
          <w:sz w:val="16"/>
        </w:rPr>
        <w:t>H</w:t>
      </w:r>
      <w:r>
        <w:rPr>
          <w:rFonts w:ascii="Times New Roman" w:eastAsia="Times New Roman" w:hAnsi="Times New Roman" w:cs="Times New Roman"/>
          <w:sz w:val="28"/>
        </w:rPr>
        <w:t xml:space="preserve"> - тісті дөңгелектердің 4, 6 және Н тасушының бұрыштық </w:t>
      </w:r>
    </w:p>
    <w:p w:rsidR="0052701D" w:rsidRDefault="00D40929">
      <w:pPr>
        <w:spacing w:after="5" w:line="271" w:lineRule="auto"/>
        <w:ind w:left="9" w:right="64"/>
        <w:jc w:val="both"/>
      </w:pPr>
      <w:r>
        <w:rPr>
          <w:rFonts w:ascii="Times New Roman" w:eastAsia="Times New Roman" w:hAnsi="Times New Roman" w:cs="Times New Roman"/>
          <w:sz w:val="28"/>
        </w:rPr>
        <w:t xml:space="preserve">жылдамдықтары. Мұндағы </w:t>
      </w:r>
      <w:r>
        <w:rPr>
          <w:rFonts w:ascii="Segoe UI Symbol" w:eastAsia="Segoe UI Symbol" w:hAnsi="Segoe UI Symbol" w:cs="Segoe UI Symbol"/>
          <w:sz w:val="38"/>
          <w:vertAlign w:val="superscript"/>
        </w:rPr>
        <w:t></w:t>
      </w:r>
      <w:r>
        <w:rPr>
          <w:rFonts w:ascii="Times New Roman" w:eastAsia="Times New Roman" w:hAnsi="Times New Roman" w:cs="Times New Roman"/>
          <w:sz w:val="16"/>
        </w:rPr>
        <w:t xml:space="preserve">4 </w:t>
      </w:r>
      <w:r>
        <w:rPr>
          <w:rFonts w:ascii="Segoe UI Symbol" w:eastAsia="Segoe UI Symbol" w:hAnsi="Segoe UI Symbol" w:cs="Segoe UI Symbol"/>
          <w:sz w:val="36"/>
          <w:vertAlign w:val="superscript"/>
        </w:rPr>
        <w:t></w:t>
      </w:r>
      <w:r>
        <w:rPr>
          <w:rFonts w:ascii="Segoe UI Symbol" w:eastAsia="Segoe UI Symbol" w:hAnsi="Segoe UI Symbol" w:cs="Segoe UI Symbol"/>
          <w:sz w:val="38"/>
          <w:vertAlign w:val="superscript"/>
        </w:rPr>
        <w:t></w:t>
      </w:r>
      <w:r>
        <w:rPr>
          <w:rFonts w:ascii="Times New Roman" w:eastAsia="Times New Roman" w:hAnsi="Times New Roman" w:cs="Times New Roman"/>
          <w:sz w:val="16"/>
        </w:rPr>
        <w:t>1</w:t>
      </w:r>
      <w:r>
        <w:rPr>
          <w:rFonts w:ascii="Times New Roman" w:eastAsia="Times New Roman" w:hAnsi="Times New Roman" w:cs="Times New Roman"/>
          <w:sz w:val="36"/>
          <w:vertAlign w:val="superscript"/>
        </w:rPr>
        <w:t>,</w:t>
      </w:r>
      <w:r>
        <w:rPr>
          <w:rFonts w:ascii="Segoe UI Symbol" w:eastAsia="Segoe UI Symbol" w:hAnsi="Segoe UI Symbol" w:cs="Segoe UI Symbol"/>
          <w:sz w:val="38"/>
          <w:vertAlign w:val="superscript"/>
        </w:rPr>
        <w:t></w:t>
      </w:r>
      <w:r>
        <w:rPr>
          <w:rFonts w:ascii="Times New Roman" w:eastAsia="Times New Roman" w:hAnsi="Times New Roman" w:cs="Times New Roman"/>
          <w:sz w:val="16"/>
        </w:rPr>
        <w:t xml:space="preserve">6 </w:t>
      </w:r>
      <w:r>
        <w:rPr>
          <w:rFonts w:ascii="Segoe UI Symbol" w:eastAsia="Segoe UI Symbol" w:hAnsi="Segoe UI Symbol" w:cs="Segoe UI Symbol"/>
          <w:sz w:val="36"/>
          <w:vertAlign w:val="superscript"/>
        </w:rPr>
        <w:t></w:t>
      </w:r>
      <w:r>
        <w:rPr>
          <w:rFonts w:ascii="Segoe UI Symbol" w:eastAsia="Segoe UI Symbol" w:hAnsi="Segoe UI Symbol" w:cs="Segoe UI Symbol"/>
          <w:sz w:val="38"/>
          <w:vertAlign w:val="superscript"/>
        </w:rPr>
        <w:t></w:t>
      </w:r>
      <w:r>
        <w:rPr>
          <w:rFonts w:ascii="Times New Roman" w:eastAsia="Times New Roman" w:hAnsi="Times New Roman" w:cs="Times New Roman"/>
          <w:sz w:val="16"/>
        </w:rPr>
        <w:t>2</w:t>
      </w:r>
      <w:r>
        <w:rPr>
          <w:rFonts w:ascii="Times New Roman" w:eastAsia="Times New Roman" w:hAnsi="Times New Roman" w:cs="Times New Roman"/>
          <w:sz w:val="28"/>
        </w:rPr>
        <w:t xml:space="preserve">. </w:t>
      </w:r>
    </w:p>
    <w:p w:rsidR="0052701D" w:rsidRDefault="00D40929">
      <w:pPr>
        <w:spacing w:after="0"/>
        <w:ind w:left="732"/>
        <w:jc w:val="center"/>
      </w:pPr>
      <w:r>
        <w:rPr>
          <w:rFonts w:ascii="Times New Roman" w:eastAsia="Times New Roman" w:hAnsi="Times New Roman" w:cs="Times New Roman"/>
          <w:sz w:val="24"/>
        </w:rPr>
        <w:t xml:space="preserve"> </w:t>
      </w:r>
    </w:p>
    <w:p w:rsidR="0052701D" w:rsidRDefault="00D40929">
      <w:pPr>
        <w:spacing w:after="0"/>
        <w:ind w:left="2894"/>
      </w:pPr>
      <w:r>
        <w:rPr>
          <w:noProof/>
        </w:rPr>
        <mc:AlternateContent>
          <mc:Choice Requires="wpg">
            <w:drawing>
              <wp:inline distT="0" distB="0" distL="0" distR="0">
                <wp:extent cx="2926715" cy="2404871"/>
                <wp:effectExtent l="0" t="0" r="0" b="0"/>
                <wp:docPr id="935458" name="Group 935458"/>
                <wp:cNvGraphicFramePr/>
                <a:graphic xmlns:a="http://schemas.openxmlformats.org/drawingml/2006/main">
                  <a:graphicData uri="http://schemas.microsoft.com/office/word/2010/wordprocessingGroup">
                    <wpg:wgp>
                      <wpg:cNvGrpSpPr/>
                      <wpg:grpSpPr>
                        <a:xfrm>
                          <a:off x="0" y="0"/>
                          <a:ext cx="2926715" cy="2404871"/>
                          <a:chOff x="0" y="0"/>
                          <a:chExt cx="2926715" cy="2404871"/>
                        </a:xfrm>
                      </wpg:grpSpPr>
                      <wps:wsp>
                        <wps:cNvPr id="20224" name="Rectangle 20224"/>
                        <wps:cNvSpPr/>
                        <wps:spPr>
                          <a:xfrm>
                            <a:off x="2897759" y="2276653"/>
                            <a:ext cx="38511" cy="170530"/>
                          </a:xfrm>
                          <a:prstGeom prst="rect">
                            <a:avLst/>
                          </a:prstGeom>
                          <a:ln>
                            <a:noFill/>
                          </a:ln>
                        </wps:spPr>
                        <wps:txbx>
                          <w:txbxContent>
                            <w:p w:rsidR="0052701D" w:rsidRDefault="00D40929">
                              <w:r>
                                <w:rPr>
                                  <w:rFonts w:ascii="Times New Roman" w:eastAsia="Times New Roman" w:hAnsi="Times New Roman" w:cs="Times New Roman"/>
                                  <w:b/>
                                  <w:color w:val="FF0000"/>
                                  <w:sz w:val="18"/>
                                </w:rPr>
                                <w:t xml:space="preserve"> </w:t>
                              </w:r>
                            </w:p>
                          </w:txbxContent>
                        </wps:txbx>
                        <wps:bodyPr horzOverflow="overflow" vert="horz" lIns="0" tIns="0" rIns="0" bIns="0" rtlCol="0">
                          <a:noAutofit/>
                        </wps:bodyPr>
                      </wps:wsp>
                      <pic:pic xmlns:pic="http://schemas.openxmlformats.org/drawingml/2006/picture">
                        <pic:nvPicPr>
                          <pic:cNvPr id="20237" name="Picture 20237"/>
                          <pic:cNvPicPr/>
                        </pic:nvPicPr>
                        <pic:blipFill>
                          <a:blip r:embed="rId272"/>
                          <a:stretch>
                            <a:fillRect/>
                          </a:stretch>
                        </pic:blipFill>
                        <pic:spPr>
                          <a:xfrm>
                            <a:off x="0" y="51816"/>
                            <a:ext cx="2895600" cy="2228088"/>
                          </a:xfrm>
                          <a:prstGeom prst="rect">
                            <a:avLst/>
                          </a:prstGeom>
                        </pic:spPr>
                      </pic:pic>
                      <wps:wsp>
                        <wps:cNvPr id="20238" name="Rectangle 20238"/>
                        <wps:cNvSpPr/>
                        <wps:spPr>
                          <a:xfrm>
                            <a:off x="92710" y="1104011"/>
                            <a:ext cx="45808" cy="206453"/>
                          </a:xfrm>
                          <a:prstGeom prst="rect">
                            <a:avLst/>
                          </a:prstGeom>
                          <a:ln>
                            <a:noFill/>
                          </a:ln>
                        </wps:spPr>
                        <wps:txbx>
                          <w:txbxContent>
                            <w:p w:rsidR="0052701D" w:rsidRDefault="00D40929">
                              <w:r>
                                <w:rPr>
                                  <w:sz w:val="24"/>
                                </w:rPr>
                                <w:t xml:space="preserve"> </w:t>
                              </w:r>
                            </w:p>
                          </w:txbxContent>
                        </wps:txbx>
                        <wps:bodyPr horzOverflow="overflow" vert="horz" lIns="0" tIns="0" rIns="0" bIns="0" rtlCol="0">
                          <a:noAutofit/>
                        </wps:bodyPr>
                      </wps:wsp>
                      <pic:pic xmlns:pic="http://schemas.openxmlformats.org/drawingml/2006/picture">
                        <pic:nvPicPr>
                          <pic:cNvPr id="20241" name="Picture 20241"/>
                          <pic:cNvPicPr/>
                        </pic:nvPicPr>
                        <pic:blipFill>
                          <a:blip r:embed="rId273"/>
                          <a:stretch>
                            <a:fillRect/>
                          </a:stretch>
                        </pic:blipFill>
                        <pic:spPr>
                          <a:xfrm>
                            <a:off x="2161032" y="0"/>
                            <a:ext cx="356616" cy="195072"/>
                          </a:xfrm>
                          <a:prstGeom prst="rect">
                            <a:avLst/>
                          </a:prstGeom>
                        </pic:spPr>
                      </pic:pic>
                      <wps:wsp>
                        <wps:cNvPr id="20242" name="Rectangle 20242"/>
                        <wps:cNvSpPr/>
                        <wps:spPr>
                          <a:xfrm>
                            <a:off x="2251202" y="6198"/>
                            <a:ext cx="123812" cy="224379"/>
                          </a:xfrm>
                          <a:prstGeom prst="rect">
                            <a:avLst/>
                          </a:prstGeom>
                          <a:ln>
                            <a:noFill/>
                          </a:ln>
                        </wps:spPr>
                        <wps:txbx>
                          <w:txbxContent>
                            <w:p w:rsidR="0052701D" w:rsidRDefault="00D40929">
                              <w:r>
                                <w:rPr>
                                  <w:rFonts w:ascii="Times New Roman" w:eastAsia="Times New Roman" w:hAnsi="Times New Roman" w:cs="Times New Roman"/>
                                  <w:i/>
                                  <w:sz w:val="24"/>
                                </w:rPr>
                                <w:t>V</w:t>
                              </w:r>
                            </w:p>
                          </w:txbxContent>
                        </wps:txbx>
                        <wps:bodyPr horzOverflow="overflow" vert="horz" lIns="0" tIns="0" rIns="0" bIns="0" rtlCol="0">
                          <a:noAutofit/>
                        </wps:bodyPr>
                      </wps:wsp>
                      <wps:wsp>
                        <wps:cNvPr id="20243" name="Rectangle 20243"/>
                        <wps:cNvSpPr/>
                        <wps:spPr>
                          <a:xfrm>
                            <a:off x="2343023" y="64557"/>
                            <a:ext cx="66888" cy="148091"/>
                          </a:xfrm>
                          <a:prstGeom prst="rect">
                            <a:avLst/>
                          </a:prstGeom>
                          <a:ln>
                            <a:noFill/>
                          </a:ln>
                        </wps:spPr>
                        <wps:txbx>
                          <w:txbxContent>
                            <w:p w:rsidR="0052701D" w:rsidRDefault="00D40929">
                              <w:r>
                                <w:rPr>
                                  <w:rFonts w:ascii="Times New Roman" w:eastAsia="Times New Roman" w:hAnsi="Times New Roman" w:cs="Times New Roman"/>
                                  <w:i/>
                                  <w:sz w:val="16"/>
                                </w:rPr>
                                <w:t>4</w:t>
                              </w:r>
                            </w:p>
                          </w:txbxContent>
                        </wps:txbx>
                        <wps:bodyPr horzOverflow="overflow" vert="horz" lIns="0" tIns="0" rIns="0" bIns="0" rtlCol="0">
                          <a:noAutofit/>
                        </wps:bodyPr>
                      </wps:wsp>
                      <wps:wsp>
                        <wps:cNvPr id="20244" name="Rectangle 20244"/>
                        <wps:cNvSpPr/>
                        <wps:spPr>
                          <a:xfrm>
                            <a:off x="2394839" y="27686"/>
                            <a:ext cx="45808" cy="206453"/>
                          </a:xfrm>
                          <a:prstGeom prst="rect">
                            <a:avLst/>
                          </a:prstGeom>
                          <a:ln>
                            <a:noFill/>
                          </a:ln>
                        </wps:spPr>
                        <wps:txbx>
                          <w:txbxContent>
                            <w:p w:rsidR="0052701D" w:rsidRDefault="00D40929">
                              <w:r>
                                <w:rPr>
                                  <w:sz w:val="24"/>
                                </w:rPr>
                                <w:t xml:space="preserve"> </w:t>
                              </w:r>
                            </w:p>
                          </w:txbxContent>
                        </wps:txbx>
                        <wps:bodyPr horzOverflow="overflow" vert="horz" lIns="0" tIns="0" rIns="0" bIns="0" rtlCol="0">
                          <a:noAutofit/>
                        </wps:bodyPr>
                      </wps:wsp>
                      <pic:pic xmlns:pic="http://schemas.openxmlformats.org/drawingml/2006/picture">
                        <pic:nvPicPr>
                          <pic:cNvPr id="20247" name="Picture 20247"/>
                          <pic:cNvPicPr/>
                        </pic:nvPicPr>
                        <pic:blipFill>
                          <a:blip r:embed="rId273"/>
                          <a:stretch>
                            <a:fillRect/>
                          </a:stretch>
                        </pic:blipFill>
                        <pic:spPr>
                          <a:xfrm>
                            <a:off x="2523744" y="768096"/>
                            <a:ext cx="356616" cy="195072"/>
                          </a:xfrm>
                          <a:prstGeom prst="rect">
                            <a:avLst/>
                          </a:prstGeom>
                        </pic:spPr>
                      </pic:pic>
                      <wps:wsp>
                        <wps:cNvPr id="20248" name="Rectangle 20248"/>
                        <wps:cNvSpPr/>
                        <wps:spPr>
                          <a:xfrm>
                            <a:off x="2614295" y="774675"/>
                            <a:ext cx="123812" cy="224379"/>
                          </a:xfrm>
                          <a:prstGeom prst="rect">
                            <a:avLst/>
                          </a:prstGeom>
                          <a:ln>
                            <a:noFill/>
                          </a:ln>
                        </wps:spPr>
                        <wps:txbx>
                          <w:txbxContent>
                            <w:p w:rsidR="0052701D" w:rsidRDefault="00D40929">
                              <w:r>
                                <w:rPr>
                                  <w:rFonts w:ascii="Times New Roman" w:eastAsia="Times New Roman" w:hAnsi="Times New Roman" w:cs="Times New Roman"/>
                                  <w:i/>
                                  <w:sz w:val="24"/>
                                </w:rPr>
                                <w:t>V</w:t>
                              </w:r>
                            </w:p>
                          </w:txbxContent>
                        </wps:txbx>
                        <wps:bodyPr horzOverflow="overflow" vert="horz" lIns="0" tIns="0" rIns="0" bIns="0" rtlCol="0">
                          <a:noAutofit/>
                        </wps:bodyPr>
                      </wps:wsp>
                      <wps:wsp>
                        <wps:cNvPr id="20249" name="Rectangle 20249"/>
                        <wps:cNvSpPr/>
                        <wps:spPr>
                          <a:xfrm>
                            <a:off x="2705735" y="833034"/>
                            <a:ext cx="66888" cy="148091"/>
                          </a:xfrm>
                          <a:prstGeom prst="rect">
                            <a:avLst/>
                          </a:prstGeom>
                          <a:ln>
                            <a:noFill/>
                          </a:ln>
                        </wps:spPr>
                        <wps:txbx>
                          <w:txbxContent>
                            <w:p w:rsidR="0052701D" w:rsidRDefault="00D40929">
                              <w:r>
                                <w:rPr>
                                  <w:rFonts w:ascii="Times New Roman" w:eastAsia="Times New Roman" w:hAnsi="Times New Roman" w:cs="Times New Roman"/>
                                  <w:i/>
                                  <w:sz w:val="16"/>
                                </w:rPr>
                                <w:t>6</w:t>
                              </w:r>
                            </w:p>
                          </w:txbxContent>
                        </wps:txbx>
                        <wps:bodyPr horzOverflow="overflow" vert="horz" lIns="0" tIns="0" rIns="0" bIns="0" rtlCol="0">
                          <a:noAutofit/>
                        </wps:bodyPr>
                      </wps:wsp>
                      <wps:wsp>
                        <wps:cNvPr id="20250" name="Rectangle 20250"/>
                        <wps:cNvSpPr/>
                        <wps:spPr>
                          <a:xfrm>
                            <a:off x="2757551" y="796163"/>
                            <a:ext cx="45808" cy="206453"/>
                          </a:xfrm>
                          <a:prstGeom prst="rect">
                            <a:avLst/>
                          </a:prstGeom>
                          <a:ln>
                            <a:noFill/>
                          </a:ln>
                        </wps:spPr>
                        <wps:txbx>
                          <w:txbxContent>
                            <w:p w:rsidR="0052701D" w:rsidRDefault="00D40929">
                              <w:r>
                                <w:rPr>
                                  <w:sz w:val="24"/>
                                </w:rPr>
                                <w:t xml:space="preserve"> </w:t>
                              </w:r>
                            </w:p>
                          </w:txbxContent>
                        </wps:txbx>
                        <wps:bodyPr horzOverflow="overflow" vert="horz" lIns="0" tIns="0" rIns="0" bIns="0" rtlCol="0">
                          <a:noAutofit/>
                        </wps:bodyPr>
                      </wps:wsp>
                      <pic:pic xmlns:pic="http://schemas.openxmlformats.org/drawingml/2006/picture">
                        <pic:nvPicPr>
                          <pic:cNvPr id="20253" name="Picture 20253"/>
                          <pic:cNvPicPr/>
                        </pic:nvPicPr>
                        <pic:blipFill>
                          <a:blip r:embed="rId274"/>
                          <a:stretch>
                            <a:fillRect/>
                          </a:stretch>
                        </pic:blipFill>
                        <pic:spPr>
                          <a:xfrm>
                            <a:off x="2368296" y="356616"/>
                            <a:ext cx="356616" cy="195072"/>
                          </a:xfrm>
                          <a:prstGeom prst="rect">
                            <a:avLst/>
                          </a:prstGeom>
                        </pic:spPr>
                      </pic:pic>
                      <wps:wsp>
                        <wps:cNvPr id="20254" name="Rectangle 20254"/>
                        <wps:cNvSpPr/>
                        <wps:spPr>
                          <a:xfrm>
                            <a:off x="2458847" y="362814"/>
                            <a:ext cx="123812" cy="224380"/>
                          </a:xfrm>
                          <a:prstGeom prst="rect">
                            <a:avLst/>
                          </a:prstGeom>
                          <a:ln>
                            <a:noFill/>
                          </a:ln>
                        </wps:spPr>
                        <wps:txbx>
                          <w:txbxContent>
                            <w:p w:rsidR="0052701D" w:rsidRDefault="00D40929">
                              <w:r>
                                <w:rPr>
                                  <w:rFonts w:ascii="Times New Roman" w:eastAsia="Times New Roman" w:hAnsi="Times New Roman" w:cs="Times New Roman"/>
                                  <w:i/>
                                  <w:sz w:val="24"/>
                                </w:rPr>
                                <w:t>V</w:t>
                              </w:r>
                            </w:p>
                          </w:txbxContent>
                        </wps:txbx>
                        <wps:bodyPr horzOverflow="overflow" vert="horz" lIns="0" tIns="0" rIns="0" bIns="0" rtlCol="0">
                          <a:noAutofit/>
                        </wps:bodyPr>
                      </wps:wsp>
                      <wps:wsp>
                        <wps:cNvPr id="20255" name="Rectangle 20255"/>
                        <wps:cNvSpPr/>
                        <wps:spPr>
                          <a:xfrm>
                            <a:off x="2550287" y="421174"/>
                            <a:ext cx="96609" cy="148091"/>
                          </a:xfrm>
                          <a:prstGeom prst="rect">
                            <a:avLst/>
                          </a:prstGeom>
                          <a:ln>
                            <a:noFill/>
                          </a:ln>
                        </wps:spPr>
                        <wps:txbx>
                          <w:txbxContent>
                            <w:p w:rsidR="0052701D" w:rsidRDefault="00D40929">
                              <w:r>
                                <w:rPr>
                                  <w:rFonts w:ascii="Times New Roman" w:eastAsia="Times New Roman" w:hAnsi="Times New Roman" w:cs="Times New Roman"/>
                                  <w:i/>
                                  <w:sz w:val="16"/>
                                </w:rPr>
                                <w:t>H</w:t>
                              </w:r>
                            </w:p>
                          </w:txbxContent>
                        </wps:txbx>
                        <wps:bodyPr horzOverflow="overflow" vert="horz" lIns="0" tIns="0" rIns="0" bIns="0" rtlCol="0">
                          <a:noAutofit/>
                        </wps:bodyPr>
                      </wps:wsp>
                      <wps:wsp>
                        <wps:cNvPr id="20256" name="Rectangle 20256"/>
                        <wps:cNvSpPr/>
                        <wps:spPr>
                          <a:xfrm>
                            <a:off x="2626487" y="384302"/>
                            <a:ext cx="45808" cy="206453"/>
                          </a:xfrm>
                          <a:prstGeom prst="rect">
                            <a:avLst/>
                          </a:prstGeom>
                          <a:ln>
                            <a:noFill/>
                          </a:ln>
                        </wps:spPr>
                        <wps:txbx>
                          <w:txbxContent>
                            <w:p w:rsidR="0052701D" w:rsidRDefault="00D40929">
                              <w:r>
                                <w:rPr>
                                  <w:sz w:val="24"/>
                                </w:rPr>
                                <w:t xml:space="preserve"> </w:t>
                              </w:r>
                            </w:p>
                          </w:txbxContent>
                        </wps:txbx>
                        <wps:bodyPr horzOverflow="overflow" vert="horz" lIns="0" tIns="0" rIns="0" bIns="0" rtlCol="0">
                          <a:noAutofit/>
                        </wps:bodyPr>
                      </wps:wsp>
                      <wps:wsp>
                        <wps:cNvPr id="20258" name="Shape 20258"/>
                        <wps:cNvSpPr/>
                        <wps:spPr>
                          <a:xfrm>
                            <a:off x="566928" y="1219200"/>
                            <a:ext cx="597408" cy="0"/>
                          </a:xfrm>
                          <a:custGeom>
                            <a:avLst/>
                            <a:gdLst/>
                            <a:ahLst/>
                            <a:cxnLst/>
                            <a:rect l="0" t="0" r="0" b="0"/>
                            <a:pathLst>
                              <a:path w="597408">
                                <a:moveTo>
                                  <a:pt x="0" y="0"/>
                                </a:moveTo>
                                <a:lnTo>
                                  <a:pt x="597408" y="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259" name="Shape 20259"/>
                        <wps:cNvSpPr/>
                        <wps:spPr>
                          <a:xfrm>
                            <a:off x="332232" y="1103376"/>
                            <a:ext cx="0" cy="70104"/>
                          </a:xfrm>
                          <a:custGeom>
                            <a:avLst/>
                            <a:gdLst/>
                            <a:ahLst/>
                            <a:cxnLst/>
                            <a:rect l="0" t="0" r="0" b="0"/>
                            <a:pathLst>
                              <a:path h="70104">
                                <a:moveTo>
                                  <a:pt x="0" y="0"/>
                                </a:moveTo>
                                <a:lnTo>
                                  <a:pt x="0" y="70104"/>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260" name="Shape 20260"/>
                        <wps:cNvSpPr/>
                        <wps:spPr>
                          <a:xfrm>
                            <a:off x="460248" y="1103376"/>
                            <a:ext cx="3048" cy="70104"/>
                          </a:xfrm>
                          <a:custGeom>
                            <a:avLst/>
                            <a:gdLst/>
                            <a:ahLst/>
                            <a:cxnLst/>
                            <a:rect l="0" t="0" r="0" b="0"/>
                            <a:pathLst>
                              <a:path w="3048" h="70104">
                                <a:moveTo>
                                  <a:pt x="0" y="0"/>
                                </a:moveTo>
                                <a:lnTo>
                                  <a:pt x="3048" y="70104"/>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261" name="Shape 20261"/>
                        <wps:cNvSpPr/>
                        <wps:spPr>
                          <a:xfrm>
                            <a:off x="332232" y="1173480"/>
                            <a:ext cx="128016" cy="0"/>
                          </a:xfrm>
                          <a:custGeom>
                            <a:avLst/>
                            <a:gdLst/>
                            <a:ahLst/>
                            <a:cxnLst/>
                            <a:rect l="0" t="0" r="0" b="0"/>
                            <a:pathLst>
                              <a:path w="128016">
                                <a:moveTo>
                                  <a:pt x="0" y="0"/>
                                </a:moveTo>
                                <a:lnTo>
                                  <a:pt x="128016" y="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263" name="Shape 20263"/>
                        <wps:cNvSpPr/>
                        <wps:spPr>
                          <a:xfrm>
                            <a:off x="981456" y="1258824"/>
                            <a:ext cx="0" cy="67056"/>
                          </a:xfrm>
                          <a:custGeom>
                            <a:avLst/>
                            <a:gdLst/>
                            <a:ahLst/>
                            <a:cxnLst/>
                            <a:rect l="0" t="0" r="0" b="0"/>
                            <a:pathLst>
                              <a:path h="67056">
                                <a:moveTo>
                                  <a:pt x="0" y="0"/>
                                </a:moveTo>
                                <a:lnTo>
                                  <a:pt x="0" y="67056"/>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264" name="Shape 20264"/>
                        <wps:cNvSpPr/>
                        <wps:spPr>
                          <a:xfrm>
                            <a:off x="1112520" y="1258824"/>
                            <a:ext cx="0" cy="67056"/>
                          </a:xfrm>
                          <a:custGeom>
                            <a:avLst/>
                            <a:gdLst/>
                            <a:ahLst/>
                            <a:cxnLst/>
                            <a:rect l="0" t="0" r="0" b="0"/>
                            <a:pathLst>
                              <a:path h="67056">
                                <a:moveTo>
                                  <a:pt x="0" y="0"/>
                                </a:moveTo>
                                <a:lnTo>
                                  <a:pt x="0" y="67056"/>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265" name="Shape 20265"/>
                        <wps:cNvSpPr/>
                        <wps:spPr>
                          <a:xfrm>
                            <a:off x="981456" y="1258824"/>
                            <a:ext cx="131064" cy="0"/>
                          </a:xfrm>
                          <a:custGeom>
                            <a:avLst/>
                            <a:gdLst/>
                            <a:ahLst/>
                            <a:cxnLst/>
                            <a:rect l="0" t="0" r="0" b="0"/>
                            <a:pathLst>
                              <a:path w="131064">
                                <a:moveTo>
                                  <a:pt x="131064" y="0"/>
                                </a:moveTo>
                                <a:lnTo>
                                  <a:pt x="0" y="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267" name="Shape 20267"/>
                        <wps:cNvSpPr/>
                        <wps:spPr>
                          <a:xfrm>
                            <a:off x="981456" y="1112520"/>
                            <a:ext cx="0" cy="67056"/>
                          </a:xfrm>
                          <a:custGeom>
                            <a:avLst/>
                            <a:gdLst/>
                            <a:ahLst/>
                            <a:cxnLst/>
                            <a:rect l="0" t="0" r="0" b="0"/>
                            <a:pathLst>
                              <a:path h="67056">
                                <a:moveTo>
                                  <a:pt x="0" y="0"/>
                                </a:moveTo>
                                <a:lnTo>
                                  <a:pt x="0" y="67056"/>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268" name="Shape 20268"/>
                        <wps:cNvSpPr/>
                        <wps:spPr>
                          <a:xfrm>
                            <a:off x="1112520" y="1112520"/>
                            <a:ext cx="0" cy="67056"/>
                          </a:xfrm>
                          <a:custGeom>
                            <a:avLst/>
                            <a:gdLst/>
                            <a:ahLst/>
                            <a:cxnLst/>
                            <a:rect l="0" t="0" r="0" b="0"/>
                            <a:pathLst>
                              <a:path h="67056">
                                <a:moveTo>
                                  <a:pt x="0" y="0"/>
                                </a:moveTo>
                                <a:lnTo>
                                  <a:pt x="0" y="67056"/>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269" name="Shape 20269"/>
                        <wps:cNvSpPr/>
                        <wps:spPr>
                          <a:xfrm>
                            <a:off x="981456" y="1179576"/>
                            <a:ext cx="131064" cy="0"/>
                          </a:xfrm>
                          <a:custGeom>
                            <a:avLst/>
                            <a:gdLst/>
                            <a:ahLst/>
                            <a:cxnLst/>
                            <a:rect l="0" t="0" r="0" b="0"/>
                            <a:pathLst>
                              <a:path w="131064">
                                <a:moveTo>
                                  <a:pt x="0" y="0"/>
                                </a:moveTo>
                                <a:lnTo>
                                  <a:pt x="131064" y="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271" name="Shape 20271"/>
                        <wps:cNvSpPr/>
                        <wps:spPr>
                          <a:xfrm>
                            <a:off x="332232" y="1258824"/>
                            <a:ext cx="0" cy="67056"/>
                          </a:xfrm>
                          <a:custGeom>
                            <a:avLst/>
                            <a:gdLst/>
                            <a:ahLst/>
                            <a:cxnLst/>
                            <a:rect l="0" t="0" r="0" b="0"/>
                            <a:pathLst>
                              <a:path h="67056">
                                <a:moveTo>
                                  <a:pt x="0" y="0"/>
                                </a:moveTo>
                                <a:lnTo>
                                  <a:pt x="0" y="67056"/>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272" name="Shape 20272"/>
                        <wps:cNvSpPr/>
                        <wps:spPr>
                          <a:xfrm>
                            <a:off x="460248" y="1258824"/>
                            <a:ext cx="3048" cy="67056"/>
                          </a:xfrm>
                          <a:custGeom>
                            <a:avLst/>
                            <a:gdLst/>
                            <a:ahLst/>
                            <a:cxnLst/>
                            <a:rect l="0" t="0" r="0" b="0"/>
                            <a:pathLst>
                              <a:path w="3048" h="67056">
                                <a:moveTo>
                                  <a:pt x="3048" y="0"/>
                                </a:moveTo>
                                <a:lnTo>
                                  <a:pt x="0" y="67056"/>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273" name="Shape 20273"/>
                        <wps:cNvSpPr/>
                        <wps:spPr>
                          <a:xfrm>
                            <a:off x="332232" y="1258824"/>
                            <a:ext cx="131064" cy="0"/>
                          </a:xfrm>
                          <a:custGeom>
                            <a:avLst/>
                            <a:gdLst/>
                            <a:ahLst/>
                            <a:cxnLst/>
                            <a:rect l="0" t="0" r="0" b="0"/>
                            <a:pathLst>
                              <a:path w="131064">
                                <a:moveTo>
                                  <a:pt x="131064" y="0"/>
                                </a:moveTo>
                                <a:lnTo>
                                  <a:pt x="0" y="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274" name="Shape 20274"/>
                        <wps:cNvSpPr/>
                        <wps:spPr>
                          <a:xfrm>
                            <a:off x="917448" y="88392"/>
                            <a:ext cx="3048" cy="1082040"/>
                          </a:xfrm>
                          <a:custGeom>
                            <a:avLst/>
                            <a:gdLst/>
                            <a:ahLst/>
                            <a:cxnLst/>
                            <a:rect l="0" t="0" r="0" b="0"/>
                            <a:pathLst>
                              <a:path w="3048" h="1082040">
                                <a:moveTo>
                                  <a:pt x="0" y="0"/>
                                </a:moveTo>
                                <a:lnTo>
                                  <a:pt x="3048" y="108204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275" name="Shape 20275"/>
                        <wps:cNvSpPr/>
                        <wps:spPr>
                          <a:xfrm>
                            <a:off x="926592" y="1252728"/>
                            <a:ext cx="0" cy="1118616"/>
                          </a:xfrm>
                          <a:custGeom>
                            <a:avLst/>
                            <a:gdLst/>
                            <a:ahLst/>
                            <a:cxnLst/>
                            <a:rect l="0" t="0" r="0" b="0"/>
                            <a:pathLst>
                              <a:path h="1118616">
                                <a:moveTo>
                                  <a:pt x="0" y="0"/>
                                </a:moveTo>
                                <a:lnTo>
                                  <a:pt x="0" y="1118616"/>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276" name="Shape 20276"/>
                        <wps:cNvSpPr/>
                        <wps:spPr>
                          <a:xfrm>
                            <a:off x="286512" y="1082039"/>
                            <a:ext cx="0" cy="271273"/>
                          </a:xfrm>
                          <a:custGeom>
                            <a:avLst/>
                            <a:gdLst/>
                            <a:ahLst/>
                            <a:cxnLst/>
                            <a:rect l="0" t="0" r="0" b="0"/>
                            <a:pathLst>
                              <a:path h="271273">
                                <a:moveTo>
                                  <a:pt x="0" y="0"/>
                                </a:moveTo>
                                <a:lnTo>
                                  <a:pt x="0" y="271273"/>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277" name="Shape 20277"/>
                        <wps:cNvSpPr/>
                        <wps:spPr>
                          <a:xfrm>
                            <a:off x="728472" y="789432"/>
                            <a:ext cx="15240" cy="890016"/>
                          </a:xfrm>
                          <a:custGeom>
                            <a:avLst/>
                            <a:gdLst/>
                            <a:ahLst/>
                            <a:cxnLst/>
                            <a:rect l="0" t="0" r="0" b="0"/>
                            <a:pathLst>
                              <a:path w="15240" h="890016">
                                <a:moveTo>
                                  <a:pt x="15240" y="0"/>
                                </a:moveTo>
                                <a:lnTo>
                                  <a:pt x="0" y="890016"/>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278" name="Shape 20278"/>
                        <wps:cNvSpPr/>
                        <wps:spPr>
                          <a:xfrm>
                            <a:off x="798576" y="1179576"/>
                            <a:ext cx="128016" cy="0"/>
                          </a:xfrm>
                          <a:custGeom>
                            <a:avLst/>
                            <a:gdLst/>
                            <a:ahLst/>
                            <a:cxnLst/>
                            <a:rect l="0" t="0" r="0" b="0"/>
                            <a:pathLst>
                              <a:path w="128016">
                                <a:moveTo>
                                  <a:pt x="0" y="0"/>
                                </a:moveTo>
                                <a:lnTo>
                                  <a:pt x="128016" y="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279" name="Shape 20279"/>
                        <wps:cNvSpPr/>
                        <wps:spPr>
                          <a:xfrm>
                            <a:off x="804672" y="1258824"/>
                            <a:ext cx="128016" cy="0"/>
                          </a:xfrm>
                          <a:custGeom>
                            <a:avLst/>
                            <a:gdLst/>
                            <a:ahLst/>
                            <a:cxnLst/>
                            <a:rect l="0" t="0" r="0" b="0"/>
                            <a:pathLst>
                              <a:path w="128016">
                                <a:moveTo>
                                  <a:pt x="0" y="0"/>
                                </a:moveTo>
                                <a:lnTo>
                                  <a:pt x="128016" y="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280" name="Shape 20280"/>
                        <wps:cNvSpPr/>
                        <wps:spPr>
                          <a:xfrm>
                            <a:off x="515112" y="1258824"/>
                            <a:ext cx="131064" cy="0"/>
                          </a:xfrm>
                          <a:custGeom>
                            <a:avLst/>
                            <a:gdLst/>
                            <a:ahLst/>
                            <a:cxnLst/>
                            <a:rect l="0" t="0" r="0" b="0"/>
                            <a:pathLst>
                              <a:path w="131064">
                                <a:moveTo>
                                  <a:pt x="0" y="0"/>
                                </a:moveTo>
                                <a:lnTo>
                                  <a:pt x="131064" y="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281" name="Shape 20281"/>
                        <wps:cNvSpPr/>
                        <wps:spPr>
                          <a:xfrm>
                            <a:off x="515112" y="1173480"/>
                            <a:ext cx="131064" cy="0"/>
                          </a:xfrm>
                          <a:custGeom>
                            <a:avLst/>
                            <a:gdLst/>
                            <a:ahLst/>
                            <a:cxnLst/>
                            <a:rect l="0" t="0" r="0" b="0"/>
                            <a:pathLst>
                              <a:path w="131064">
                                <a:moveTo>
                                  <a:pt x="0" y="0"/>
                                </a:moveTo>
                                <a:lnTo>
                                  <a:pt x="131064" y="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282" name="Shape 20282"/>
                        <wps:cNvSpPr/>
                        <wps:spPr>
                          <a:xfrm>
                            <a:off x="515112" y="475488"/>
                            <a:ext cx="15240" cy="996696"/>
                          </a:xfrm>
                          <a:custGeom>
                            <a:avLst/>
                            <a:gdLst/>
                            <a:ahLst/>
                            <a:cxnLst/>
                            <a:rect l="0" t="0" r="0" b="0"/>
                            <a:pathLst>
                              <a:path w="15240" h="996696">
                                <a:moveTo>
                                  <a:pt x="15240" y="0"/>
                                </a:moveTo>
                                <a:lnTo>
                                  <a:pt x="0" y="996696"/>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283" name="Shape 20283"/>
                        <wps:cNvSpPr/>
                        <wps:spPr>
                          <a:xfrm>
                            <a:off x="121920" y="1219200"/>
                            <a:ext cx="387096" cy="0"/>
                          </a:xfrm>
                          <a:custGeom>
                            <a:avLst/>
                            <a:gdLst/>
                            <a:ahLst/>
                            <a:cxnLst/>
                            <a:rect l="0" t="0" r="0" b="0"/>
                            <a:pathLst>
                              <a:path w="387096">
                                <a:moveTo>
                                  <a:pt x="0" y="0"/>
                                </a:moveTo>
                                <a:lnTo>
                                  <a:pt x="387096" y="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284" name="Shape 20284"/>
                        <wps:cNvSpPr/>
                        <wps:spPr>
                          <a:xfrm>
                            <a:off x="679704" y="167639"/>
                            <a:ext cx="106680" cy="508"/>
                          </a:xfrm>
                          <a:custGeom>
                            <a:avLst/>
                            <a:gdLst/>
                            <a:ahLst/>
                            <a:cxnLst/>
                            <a:rect l="0" t="0" r="0" b="0"/>
                            <a:pathLst>
                              <a:path w="106680" h="508">
                                <a:moveTo>
                                  <a:pt x="106680" y="0"/>
                                </a:moveTo>
                                <a:lnTo>
                                  <a:pt x="0" y="508"/>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285" name="Shape 20285"/>
                        <wps:cNvSpPr/>
                        <wps:spPr>
                          <a:xfrm>
                            <a:off x="859536" y="429768"/>
                            <a:ext cx="508" cy="110617"/>
                          </a:xfrm>
                          <a:custGeom>
                            <a:avLst/>
                            <a:gdLst/>
                            <a:ahLst/>
                            <a:cxnLst/>
                            <a:rect l="0" t="0" r="0" b="0"/>
                            <a:pathLst>
                              <a:path w="508" h="110617">
                                <a:moveTo>
                                  <a:pt x="0" y="0"/>
                                </a:moveTo>
                                <a:lnTo>
                                  <a:pt x="508" y="110617"/>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286" name="Shape 20286"/>
                        <wps:cNvSpPr/>
                        <wps:spPr>
                          <a:xfrm>
                            <a:off x="624840" y="420624"/>
                            <a:ext cx="508" cy="110617"/>
                          </a:xfrm>
                          <a:custGeom>
                            <a:avLst/>
                            <a:gdLst/>
                            <a:ahLst/>
                            <a:cxnLst/>
                            <a:rect l="0" t="0" r="0" b="0"/>
                            <a:pathLst>
                              <a:path w="508" h="110617">
                                <a:moveTo>
                                  <a:pt x="0" y="0"/>
                                </a:moveTo>
                                <a:lnTo>
                                  <a:pt x="508" y="110617"/>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287" name="Shape 20287"/>
                        <wps:cNvSpPr/>
                        <wps:spPr>
                          <a:xfrm>
                            <a:off x="661416" y="445008"/>
                            <a:ext cx="162560" cy="508"/>
                          </a:xfrm>
                          <a:custGeom>
                            <a:avLst/>
                            <a:gdLst/>
                            <a:ahLst/>
                            <a:cxnLst/>
                            <a:rect l="0" t="0" r="0" b="0"/>
                            <a:pathLst>
                              <a:path w="162560" h="508">
                                <a:moveTo>
                                  <a:pt x="0" y="0"/>
                                </a:moveTo>
                                <a:lnTo>
                                  <a:pt x="162560" y="508"/>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288" name="Shape 20288"/>
                        <wps:cNvSpPr/>
                        <wps:spPr>
                          <a:xfrm>
                            <a:off x="661416" y="515112"/>
                            <a:ext cx="162560" cy="508"/>
                          </a:xfrm>
                          <a:custGeom>
                            <a:avLst/>
                            <a:gdLst/>
                            <a:ahLst/>
                            <a:cxnLst/>
                            <a:rect l="0" t="0" r="0" b="0"/>
                            <a:pathLst>
                              <a:path w="162560" h="508">
                                <a:moveTo>
                                  <a:pt x="0" y="0"/>
                                </a:moveTo>
                                <a:lnTo>
                                  <a:pt x="162560" y="508"/>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289" name="Shape 20289"/>
                        <wps:cNvSpPr/>
                        <wps:spPr>
                          <a:xfrm>
                            <a:off x="737616" y="204215"/>
                            <a:ext cx="3048" cy="240792"/>
                          </a:xfrm>
                          <a:custGeom>
                            <a:avLst/>
                            <a:gdLst/>
                            <a:ahLst/>
                            <a:cxnLst/>
                            <a:rect l="0" t="0" r="0" b="0"/>
                            <a:pathLst>
                              <a:path w="3048" h="240792">
                                <a:moveTo>
                                  <a:pt x="0" y="0"/>
                                </a:moveTo>
                                <a:lnTo>
                                  <a:pt x="3048" y="240792"/>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290" name="Shape 20290"/>
                        <wps:cNvSpPr/>
                        <wps:spPr>
                          <a:xfrm>
                            <a:off x="728472" y="509015"/>
                            <a:ext cx="0" cy="240792"/>
                          </a:xfrm>
                          <a:custGeom>
                            <a:avLst/>
                            <a:gdLst/>
                            <a:ahLst/>
                            <a:cxnLst/>
                            <a:rect l="0" t="0" r="0" b="0"/>
                            <a:pathLst>
                              <a:path h="240792">
                                <a:moveTo>
                                  <a:pt x="0" y="0"/>
                                </a:moveTo>
                                <a:lnTo>
                                  <a:pt x="0" y="240792"/>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291" name="Shape 20291"/>
                        <wps:cNvSpPr/>
                        <wps:spPr>
                          <a:xfrm>
                            <a:off x="682752" y="746760"/>
                            <a:ext cx="106680" cy="508"/>
                          </a:xfrm>
                          <a:custGeom>
                            <a:avLst/>
                            <a:gdLst/>
                            <a:ahLst/>
                            <a:cxnLst/>
                            <a:rect l="0" t="0" r="0" b="0"/>
                            <a:pathLst>
                              <a:path w="106680" h="508">
                                <a:moveTo>
                                  <a:pt x="106680" y="0"/>
                                </a:moveTo>
                                <a:lnTo>
                                  <a:pt x="0" y="508"/>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292" name="Shape 20292"/>
                        <wps:cNvSpPr/>
                        <wps:spPr>
                          <a:xfrm>
                            <a:off x="679704" y="201168"/>
                            <a:ext cx="106680" cy="508"/>
                          </a:xfrm>
                          <a:custGeom>
                            <a:avLst/>
                            <a:gdLst/>
                            <a:ahLst/>
                            <a:cxnLst/>
                            <a:rect l="0" t="0" r="0" b="0"/>
                            <a:pathLst>
                              <a:path w="106680" h="508">
                                <a:moveTo>
                                  <a:pt x="106680" y="0"/>
                                </a:moveTo>
                                <a:lnTo>
                                  <a:pt x="0" y="508"/>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293" name="Shape 20293"/>
                        <wps:cNvSpPr/>
                        <wps:spPr>
                          <a:xfrm>
                            <a:off x="518160" y="478536"/>
                            <a:ext cx="381000" cy="0"/>
                          </a:xfrm>
                          <a:custGeom>
                            <a:avLst/>
                            <a:gdLst/>
                            <a:ahLst/>
                            <a:cxnLst/>
                            <a:rect l="0" t="0" r="0" b="0"/>
                            <a:pathLst>
                              <a:path w="381000">
                                <a:moveTo>
                                  <a:pt x="0" y="0"/>
                                </a:moveTo>
                                <a:lnTo>
                                  <a:pt x="381000" y="0"/>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294" name="Shape 20294"/>
                        <wps:cNvSpPr/>
                        <wps:spPr>
                          <a:xfrm>
                            <a:off x="685800" y="780288"/>
                            <a:ext cx="106680" cy="635"/>
                          </a:xfrm>
                          <a:custGeom>
                            <a:avLst/>
                            <a:gdLst/>
                            <a:ahLst/>
                            <a:cxnLst/>
                            <a:rect l="0" t="0" r="0" b="0"/>
                            <a:pathLst>
                              <a:path w="106680" h="635">
                                <a:moveTo>
                                  <a:pt x="106680" y="0"/>
                                </a:moveTo>
                                <a:lnTo>
                                  <a:pt x="0" y="635"/>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295" name="Shape 20295"/>
                        <wps:cNvSpPr/>
                        <wps:spPr>
                          <a:xfrm>
                            <a:off x="673608" y="1679448"/>
                            <a:ext cx="106680" cy="635"/>
                          </a:xfrm>
                          <a:custGeom>
                            <a:avLst/>
                            <a:gdLst/>
                            <a:ahLst/>
                            <a:cxnLst/>
                            <a:rect l="0" t="0" r="0" b="0"/>
                            <a:pathLst>
                              <a:path w="106680" h="635">
                                <a:moveTo>
                                  <a:pt x="106680" y="0"/>
                                </a:moveTo>
                                <a:lnTo>
                                  <a:pt x="0" y="635"/>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296" name="Shape 20296"/>
                        <wps:cNvSpPr/>
                        <wps:spPr>
                          <a:xfrm>
                            <a:off x="734568" y="91440"/>
                            <a:ext cx="0" cy="67056"/>
                          </a:xfrm>
                          <a:custGeom>
                            <a:avLst/>
                            <a:gdLst/>
                            <a:ahLst/>
                            <a:cxnLst/>
                            <a:rect l="0" t="0" r="0" b="0"/>
                            <a:pathLst>
                              <a:path h="67056">
                                <a:moveTo>
                                  <a:pt x="0" y="0"/>
                                </a:moveTo>
                                <a:lnTo>
                                  <a:pt x="0" y="67056"/>
                                </a:lnTo>
                              </a:path>
                            </a:pathLst>
                          </a:custGeom>
                          <a:ln w="18288" cap="flat">
                            <a:round/>
                          </a:ln>
                        </wps:spPr>
                        <wps:style>
                          <a:lnRef idx="1">
                            <a:srgbClr val="000000"/>
                          </a:lnRef>
                          <a:fillRef idx="0">
                            <a:srgbClr val="000000">
                              <a:alpha val="0"/>
                            </a:srgbClr>
                          </a:fillRef>
                          <a:effectRef idx="0">
                            <a:scrgbClr r="0" g="0" b="0"/>
                          </a:effectRef>
                          <a:fontRef idx="none"/>
                        </wps:style>
                        <wps:bodyPr/>
                      </wps:wsp>
                      <wps:wsp>
                        <wps:cNvPr id="20297" name="Shape 20297"/>
                        <wps:cNvSpPr/>
                        <wps:spPr>
                          <a:xfrm>
                            <a:off x="722376" y="88392"/>
                            <a:ext cx="204216" cy="3048"/>
                          </a:xfrm>
                          <a:custGeom>
                            <a:avLst/>
                            <a:gdLst/>
                            <a:ahLst/>
                            <a:cxnLst/>
                            <a:rect l="0" t="0" r="0" b="0"/>
                            <a:pathLst>
                              <a:path w="204216" h="3048">
                                <a:moveTo>
                                  <a:pt x="204216" y="0"/>
                                </a:moveTo>
                                <a:lnTo>
                                  <a:pt x="0" y="3048"/>
                                </a:lnTo>
                              </a:path>
                            </a:pathLst>
                          </a:custGeom>
                          <a:ln w="18288"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0300" name="Picture 20300"/>
                          <pic:cNvPicPr/>
                        </pic:nvPicPr>
                        <pic:blipFill>
                          <a:blip r:embed="rId275"/>
                          <a:stretch>
                            <a:fillRect/>
                          </a:stretch>
                        </pic:blipFill>
                        <pic:spPr>
                          <a:xfrm>
                            <a:off x="381000" y="64008"/>
                            <a:ext cx="228600" cy="195072"/>
                          </a:xfrm>
                          <a:prstGeom prst="rect">
                            <a:avLst/>
                          </a:prstGeom>
                        </pic:spPr>
                      </pic:pic>
                      <wps:wsp>
                        <wps:cNvPr id="20301" name="Rectangle 20301"/>
                        <wps:cNvSpPr/>
                        <wps:spPr>
                          <a:xfrm>
                            <a:off x="470662" y="70206"/>
                            <a:ext cx="101346" cy="224380"/>
                          </a:xfrm>
                          <a:prstGeom prst="rect">
                            <a:avLst/>
                          </a:prstGeom>
                          <a:ln>
                            <a:noFill/>
                          </a:ln>
                        </wps:spPr>
                        <wps:txbx>
                          <w:txbxContent>
                            <w:p w:rsidR="0052701D" w:rsidRDefault="00D40929">
                              <w:r>
                                <w:rPr>
                                  <w:rFonts w:ascii="Times New Roman" w:eastAsia="Times New Roman" w:hAnsi="Times New Roman" w:cs="Times New Roman"/>
                                  <w:i/>
                                  <w:sz w:val="24"/>
                                </w:rPr>
                                <w:t>4</w:t>
                              </w:r>
                            </w:p>
                          </w:txbxContent>
                        </wps:txbx>
                        <wps:bodyPr horzOverflow="overflow" vert="horz" lIns="0" tIns="0" rIns="0" bIns="0" rtlCol="0">
                          <a:noAutofit/>
                        </wps:bodyPr>
                      </wps:wsp>
                      <wps:wsp>
                        <wps:cNvPr id="20302" name="Rectangle 20302"/>
                        <wps:cNvSpPr/>
                        <wps:spPr>
                          <a:xfrm>
                            <a:off x="546862" y="91694"/>
                            <a:ext cx="45808" cy="206452"/>
                          </a:xfrm>
                          <a:prstGeom prst="rect">
                            <a:avLst/>
                          </a:prstGeom>
                          <a:ln>
                            <a:noFill/>
                          </a:ln>
                        </wps:spPr>
                        <wps:txbx>
                          <w:txbxContent>
                            <w:p w:rsidR="0052701D" w:rsidRDefault="00D40929">
                              <w:r>
                                <w:rPr>
                                  <w:sz w:val="24"/>
                                </w:rPr>
                                <w:t xml:space="preserve"> </w:t>
                              </w:r>
                            </w:p>
                          </w:txbxContent>
                        </wps:txbx>
                        <wps:bodyPr horzOverflow="overflow" vert="horz" lIns="0" tIns="0" rIns="0" bIns="0" rtlCol="0">
                          <a:noAutofit/>
                        </wps:bodyPr>
                      </wps:wsp>
                      <pic:pic xmlns:pic="http://schemas.openxmlformats.org/drawingml/2006/picture">
                        <pic:nvPicPr>
                          <pic:cNvPr id="20305" name="Picture 20305"/>
                          <pic:cNvPicPr/>
                        </pic:nvPicPr>
                        <pic:blipFill>
                          <a:blip r:embed="rId275"/>
                          <a:stretch>
                            <a:fillRect/>
                          </a:stretch>
                        </pic:blipFill>
                        <pic:spPr>
                          <a:xfrm>
                            <a:off x="381000" y="213360"/>
                            <a:ext cx="228600" cy="195072"/>
                          </a:xfrm>
                          <a:prstGeom prst="rect">
                            <a:avLst/>
                          </a:prstGeom>
                        </pic:spPr>
                      </pic:pic>
                      <wps:wsp>
                        <wps:cNvPr id="20306" name="Rectangle 20306"/>
                        <wps:cNvSpPr/>
                        <wps:spPr>
                          <a:xfrm>
                            <a:off x="470662" y="219557"/>
                            <a:ext cx="101346" cy="224381"/>
                          </a:xfrm>
                          <a:prstGeom prst="rect">
                            <a:avLst/>
                          </a:prstGeom>
                          <a:ln>
                            <a:noFill/>
                          </a:ln>
                        </wps:spPr>
                        <wps:txbx>
                          <w:txbxContent>
                            <w:p w:rsidR="0052701D" w:rsidRDefault="00D40929">
                              <w:r>
                                <w:rPr>
                                  <w:rFonts w:ascii="Times New Roman" w:eastAsia="Times New Roman" w:hAnsi="Times New Roman" w:cs="Times New Roman"/>
                                  <w:i/>
                                  <w:sz w:val="24"/>
                                </w:rPr>
                                <w:t>5</w:t>
                              </w:r>
                            </w:p>
                          </w:txbxContent>
                        </wps:txbx>
                        <wps:bodyPr horzOverflow="overflow" vert="horz" lIns="0" tIns="0" rIns="0" bIns="0" rtlCol="0">
                          <a:noAutofit/>
                        </wps:bodyPr>
                      </wps:wsp>
                      <wps:wsp>
                        <wps:cNvPr id="20307" name="Rectangle 20307"/>
                        <wps:cNvSpPr/>
                        <wps:spPr>
                          <a:xfrm>
                            <a:off x="546862" y="241046"/>
                            <a:ext cx="45808" cy="206453"/>
                          </a:xfrm>
                          <a:prstGeom prst="rect">
                            <a:avLst/>
                          </a:prstGeom>
                          <a:ln>
                            <a:noFill/>
                          </a:ln>
                        </wps:spPr>
                        <wps:txbx>
                          <w:txbxContent>
                            <w:p w:rsidR="0052701D" w:rsidRDefault="00D40929">
                              <w:r>
                                <w:rPr>
                                  <w:sz w:val="24"/>
                                </w:rPr>
                                <w:t xml:space="preserve"> </w:t>
                              </w:r>
                            </w:p>
                          </w:txbxContent>
                        </wps:txbx>
                        <wps:bodyPr horzOverflow="overflow" vert="horz" lIns="0" tIns="0" rIns="0" bIns="0" rtlCol="0">
                          <a:noAutofit/>
                        </wps:bodyPr>
                      </wps:wsp>
                      <pic:pic xmlns:pic="http://schemas.openxmlformats.org/drawingml/2006/picture">
                        <pic:nvPicPr>
                          <pic:cNvPr id="20310" name="Picture 20310"/>
                          <pic:cNvPicPr/>
                        </pic:nvPicPr>
                        <pic:blipFill>
                          <a:blip r:embed="rId275"/>
                          <a:stretch>
                            <a:fillRect/>
                          </a:stretch>
                        </pic:blipFill>
                        <pic:spPr>
                          <a:xfrm>
                            <a:off x="396240" y="1633728"/>
                            <a:ext cx="225552" cy="195072"/>
                          </a:xfrm>
                          <a:prstGeom prst="rect">
                            <a:avLst/>
                          </a:prstGeom>
                        </pic:spPr>
                      </pic:pic>
                      <wps:wsp>
                        <wps:cNvPr id="20311" name="Rectangle 20311"/>
                        <wps:cNvSpPr/>
                        <wps:spPr>
                          <a:xfrm>
                            <a:off x="485902" y="1640560"/>
                            <a:ext cx="101346" cy="224380"/>
                          </a:xfrm>
                          <a:prstGeom prst="rect">
                            <a:avLst/>
                          </a:prstGeom>
                          <a:ln>
                            <a:noFill/>
                          </a:ln>
                        </wps:spPr>
                        <wps:txbx>
                          <w:txbxContent>
                            <w:p w:rsidR="0052701D" w:rsidRDefault="00D40929">
                              <w:r>
                                <w:rPr>
                                  <w:rFonts w:ascii="Times New Roman" w:eastAsia="Times New Roman" w:hAnsi="Times New Roman" w:cs="Times New Roman"/>
                                  <w:i/>
                                  <w:sz w:val="24"/>
                                </w:rPr>
                                <w:t>6</w:t>
                              </w:r>
                            </w:p>
                          </w:txbxContent>
                        </wps:txbx>
                        <wps:bodyPr horzOverflow="overflow" vert="horz" lIns="0" tIns="0" rIns="0" bIns="0" rtlCol="0">
                          <a:noAutofit/>
                        </wps:bodyPr>
                      </wps:wsp>
                      <wps:wsp>
                        <wps:cNvPr id="20312" name="Rectangle 20312"/>
                        <wps:cNvSpPr/>
                        <wps:spPr>
                          <a:xfrm>
                            <a:off x="562102" y="1662049"/>
                            <a:ext cx="45808" cy="206453"/>
                          </a:xfrm>
                          <a:prstGeom prst="rect">
                            <a:avLst/>
                          </a:prstGeom>
                          <a:ln>
                            <a:noFill/>
                          </a:ln>
                        </wps:spPr>
                        <wps:txbx>
                          <w:txbxContent>
                            <w:p w:rsidR="0052701D" w:rsidRDefault="00D40929">
                              <w:r>
                                <w:rPr>
                                  <w:sz w:val="24"/>
                                </w:rPr>
                                <w:t xml:space="preserve"> </w:t>
                              </w:r>
                            </w:p>
                          </w:txbxContent>
                        </wps:txbx>
                        <wps:bodyPr horzOverflow="overflow" vert="horz" lIns="0" tIns="0" rIns="0" bIns="0" rtlCol="0">
                          <a:noAutofit/>
                        </wps:bodyPr>
                      </wps:wsp>
                      <pic:pic xmlns:pic="http://schemas.openxmlformats.org/drawingml/2006/picture">
                        <pic:nvPicPr>
                          <pic:cNvPr id="20315" name="Picture 20315"/>
                          <pic:cNvPicPr/>
                        </pic:nvPicPr>
                        <pic:blipFill>
                          <a:blip r:embed="rId276"/>
                          <a:stretch>
                            <a:fillRect/>
                          </a:stretch>
                        </pic:blipFill>
                        <pic:spPr>
                          <a:xfrm>
                            <a:off x="134112" y="682752"/>
                            <a:ext cx="228600" cy="195072"/>
                          </a:xfrm>
                          <a:prstGeom prst="rect">
                            <a:avLst/>
                          </a:prstGeom>
                        </pic:spPr>
                      </pic:pic>
                      <wps:wsp>
                        <wps:cNvPr id="20316" name="Rectangle 20316"/>
                        <wps:cNvSpPr/>
                        <wps:spPr>
                          <a:xfrm>
                            <a:off x="223774" y="689331"/>
                            <a:ext cx="146378" cy="224380"/>
                          </a:xfrm>
                          <a:prstGeom prst="rect">
                            <a:avLst/>
                          </a:prstGeom>
                          <a:ln>
                            <a:noFill/>
                          </a:ln>
                        </wps:spPr>
                        <wps:txbx>
                          <w:txbxContent>
                            <w:p w:rsidR="0052701D" w:rsidRDefault="00D40929">
                              <w:r>
                                <w:rPr>
                                  <w:rFonts w:ascii="Times New Roman" w:eastAsia="Times New Roman" w:hAnsi="Times New Roman" w:cs="Times New Roman"/>
                                  <w:i/>
                                  <w:sz w:val="24"/>
                                </w:rPr>
                                <w:t>H</w:t>
                              </w:r>
                            </w:p>
                          </w:txbxContent>
                        </wps:txbx>
                        <wps:bodyPr horzOverflow="overflow" vert="horz" lIns="0" tIns="0" rIns="0" bIns="0" rtlCol="0">
                          <a:noAutofit/>
                        </wps:bodyPr>
                      </wps:wsp>
                      <wps:wsp>
                        <wps:cNvPr id="20317" name="Rectangle 20317"/>
                        <wps:cNvSpPr/>
                        <wps:spPr>
                          <a:xfrm>
                            <a:off x="333502" y="710819"/>
                            <a:ext cx="45808" cy="206453"/>
                          </a:xfrm>
                          <a:prstGeom prst="rect">
                            <a:avLst/>
                          </a:prstGeom>
                          <a:ln>
                            <a:noFill/>
                          </a:ln>
                        </wps:spPr>
                        <wps:txbx>
                          <w:txbxContent>
                            <w:p w:rsidR="0052701D" w:rsidRDefault="00D40929">
                              <w:r>
                                <w:rPr>
                                  <w:sz w:val="24"/>
                                </w:rPr>
                                <w:t xml:space="preserve"> </w:t>
                              </w:r>
                            </w:p>
                          </w:txbxContent>
                        </wps:txbx>
                        <wps:bodyPr horzOverflow="overflow" vert="horz" lIns="0" tIns="0" rIns="0" bIns="0" rtlCol="0">
                          <a:noAutofit/>
                        </wps:bodyPr>
                      </wps:wsp>
                      <wps:wsp>
                        <wps:cNvPr id="20318" name="Shape 20318"/>
                        <wps:cNvSpPr/>
                        <wps:spPr>
                          <a:xfrm>
                            <a:off x="563880" y="97536"/>
                            <a:ext cx="225552" cy="21336"/>
                          </a:xfrm>
                          <a:custGeom>
                            <a:avLst/>
                            <a:gdLst/>
                            <a:ahLst/>
                            <a:cxnLst/>
                            <a:rect l="0" t="0" r="0" b="0"/>
                            <a:pathLst>
                              <a:path w="225552" h="21336">
                                <a:moveTo>
                                  <a:pt x="225552" y="0"/>
                                </a:moveTo>
                                <a:lnTo>
                                  <a:pt x="0" y="21336"/>
                                </a:lnTo>
                              </a:path>
                            </a:pathLst>
                          </a:custGeom>
                          <a:ln w="12192" cap="flat">
                            <a:round/>
                          </a:ln>
                        </wps:spPr>
                        <wps:style>
                          <a:lnRef idx="1">
                            <a:srgbClr val="000000"/>
                          </a:lnRef>
                          <a:fillRef idx="0">
                            <a:srgbClr val="000000">
                              <a:alpha val="0"/>
                            </a:srgbClr>
                          </a:fillRef>
                          <a:effectRef idx="0">
                            <a:scrgbClr r="0" g="0" b="0"/>
                          </a:effectRef>
                          <a:fontRef idx="none"/>
                        </wps:style>
                        <wps:bodyPr/>
                      </wps:wsp>
                      <wps:wsp>
                        <wps:cNvPr id="20319" name="Shape 20319"/>
                        <wps:cNvSpPr/>
                        <wps:spPr>
                          <a:xfrm>
                            <a:off x="548640" y="338328"/>
                            <a:ext cx="185928" cy="51815"/>
                          </a:xfrm>
                          <a:custGeom>
                            <a:avLst/>
                            <a:gdLst/>
                            <a:ahLst/>
                            <a:cxnLst/>
                            <a:rect l="0" t="0" r="0" b="0"/>
                            <a:pathLst>
                              <a:path w="185928" h="51815">
                                <a:moveTo>
                                  <a:pt x="185928" y="51815"/>
                                </a:moveTo>
                                <a:lnTo>
                                  <a:pt x="0" y="0"/>
                                </a:lnTo>
                              </a:path>
                            </a:pathLst>
                          </a:custGeom>
                          <a:ln w="12192" cap="flat">
                            <a:round/>
                          </a:ln>
                        </wps:spPr>
                        <wps:style>
                          <a:lnRef idx="1">
                            <a:srgbClr val="000000"/>
                          </a:lnRef>
                          <a:fillRef idx="0">
                            <a:srgbClr val="000000">
                              <a:alpha val="0"/>
                            </a:srgbClr>
                          </a:fillRef>
                          <a:effectRef idx="0">
                            <a:scrgbClr r="0" g="0" b="0"/>
                          </a:effectRef>
                          <a:fontRef idx="none"/>
                        </wps:style>
                        <wps:bodyPr/>
                      </wps:wsp>
                      <wps:wsp>
                        <wps:cNvPr id="20320" name="Shape 20320"/>
                        <wps:cNvSpPr/>
                        <wps:spPr>
                          <a:xfrm>
                            <a:off x="338328" y="801624"/>
                            <a:ext cx="182880" cy="51815"/>
                          </a:xfrm>
                          <a:custGeom>
                            <a:avLst/>
                            <a:gdLst/>
                            <a:ahLst/>
                            <a:cxnLst/>
                            <a:rect l="0" t="0" r="0" b="0"/>
                            <a:pathLst>
                              <a:path w="182880" h="51815">
                                <a:moveTo>
                                  <a:pt x="182880" y="51815"/>
                                </a:moveTo>
                                <a:lnTo>
                                  <a:pt x="0" y="0"/>
                                </a:lnTo>
                              </a:path>
                            </a:pathLst>
                          </a:custGeom>
                          <a:ln w="12192" cap="flat">
                            <a:round/>
                          </a:ln>
                        </wps:spPr>
                        <wps:style>
                          <a:lnRef idx="1">
                            <a:srgbClr val="000000"/>
                          </a:lnRef>
                          <a:fillRef idx="0">
                            <a:srgbClr val="000000">
                              <a:alpha val="0"/>
                            </a:srgbClr>
                          </a:fillRef>
                          <a:effectRef idx="0">
                            <a:scrgbClr r="0" g="0" b="0"/>
                          </a:effectRef>
                          <a:fontRef idx="none"/>
                        </wps:style>
                        <wps:bodyPr/>
                      </wps:wsp>
                      <wps:wsp>
                        <wps:cNvPr id="20321" name="Shape 20321"/>
                        <wps:cNvSpPr/>
                        <wps:spPr>
                          <a:xfrm>
                            <a:off x="585216" y="1630680"/>
                            <a:ext cx="146304" cy="39624"/>
                          </a:xfrm>
                          <a:custGeom>
                            <a:avLst/>
                            <a:gdLst/>
                            <a:ahLst/>
                            <a:cxnLst/>
                            <a:rect l="0" t="0" r="0" b="0"/>
                            <a:pathLst>
                              <a:path w="146304" h="39624">
                                <a:moveTo>
                                  <a:pt x="146304" y="0"/>
                                </a:moveTo>
                                <a:lnTo>
                                  <a:pt x="0" y="39624"/>
                                </a:lnTo>
                              </a:path>
                            </a:pathLst>
                          </a:custGeom>
                          <a:ln w="12192" cap="flat">
                            <a:round/>
                          </a:ln>
                        </wps:spPr>
                        <wps:style>
                          <a:lnRef idx="1">
                            <a:srgbClr val="000000"/>
                          </a:lnRef>
                          <a:fillRef idx="0">
                            <a:srgbClr val="000000">
                              <a:alpha val="0"/>
                            </a:srgbClr>
                          </a:fillRef>
                          <a:effectRef idx="0">
                            <a:scrgbClr r="0" g="0" b="0"/>
                          </a:effectRef>
                          <a:fontRef idx="none"/>
                        </wps:style>
                        <wps:bodyPr/>
                      </wps:wsp>
                      <wps:wsp>
                        <wps:cNvPr id="20322" name="Shape 20322"/>
                        <wps:cNvSpPr/>
                        <wps:spPr>
                          <a:xfrm>
                            <a:off x="1688592" y="176784"/>
                            <a:ext cx="0" cy="1243584"/>
                          </a:xfrm>
                          <a:custGeom>
                            <a:avLst/>
                            <a:gdLst/>
                            <a:ahLst/>
                            <a:cxnLst/>
                            <a:rect l="0" t="0" r="0" b="0"/>
                            <a:pathLst>
                              <a:path h="1243584">
                                <a:moveTo>
                                  <a:pt x="0" y="0"/>
                                </a:moveTo>
                                <a:lnTo>
                                  <a:pt x="0" y="1243584"/>
                                </a:lnTo>
                              </a:path>
                            </a:pathLst>
                          </a:custGeom>
                          <a:ln w="12192" cap="flat">
                            <a:round/>
                          </a:ln>
                        </wps:spPr>
                        <wps:style>
                          <a:lnRef idx="1">
                            <a:srgbClr val="000000"/>
                          </a:lnRef>
                          <a:fillRef idx="0">
                            <a:srgbClr val="000000">
                              <a:alpha val="0"/>
                            </a:srgbClr>
                          </a:fillRef>
                          <a:effectRef idx="0">
                            <a:scrgbClr r="0" g="0" b="0"/>
                          </a:effectRef>
                          <a:fontRef idx="none"/>
                        </wps:style>
                        <wps:bodyPr/>
                      </wps:wsp>
                      <wps:wsp>
                        <wps:cNvPr id="20323" name="Shape 20323"/>
                        <wps:cNvSpPr/>
                        <wps:spPr>
                          <a:xfrm>
                            <a:off x="1688592" y="147828"/>
                            <a:ext cx="560832" cy="76200"/>
                          </a:xfrm>
                          <a:custGeom>
                            <a:avLst/>
                            <a:gdLst/>
                            <a:ahLst/>
                            <a:cxnLst/>
                            <a:rect l="0" t="0" r="0" b="0"/>
                            <a:pathLst>
                              <a:path w="560832" h="76200">
                                <a:moveTo>
                                  <a:pt x="484632" y="0"/>
                                </a:moveTo>
                                <a:lnTo>
                                  <a:pt x="560832" y="38100"/>
                                </a:lnTo>
                                <a:lnTo>
                                  <a:pt x="484632" y="76200"/>
                                </a:lnTo>
                                <a:lnTo>
                                  <a:pt x="484632" y="44450"/>
                                </a:lnTo>
                                <a:lnTo>
                                  <a:pt x="0" y="44450"/>
                                </a:lnTo>
                                <a:lnTo>
                                  <a:pt x="0" y="31750"/>
                                </a:lnTo>
                                <a:lnTo>
                                  <a:pt x="484632" y="31750"/>
                                </a:lnTo>
                                <a:lnTo>
                                  <a:pt x="484632"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20324" name="Shape 20324"/>
                        <wps:cNvSpPr/>
                        <wps:spPr>
                          <a:xfrm>
                            <a:off x="1694688" y="733044"/>
                            <a:ext cx="938784" cy="76200"/>
                          </a:xfrm>
                          <a:custGeom>
                            <a:avLst/>
                            <a:gdLst/>
                            <a:ahLst/>
                            <a:cxnLst/>
                            <a:rect l="0" t="0" r="0" b="0"/>
                            <a:pathLst>
                              <a:path w="938784" h="76200">
                                <a:moveTo>
                                  <a:pt x="862584" y="0"/>
                                </a:moveTo>
                                <a:lnTo>
                                  <a:pt x="938784" y="38100"/>
                                </a:lnTo>
                                <a:lnTo>
                                  <a:pt x="862584" y="76200"/>
                                </a:lnTo>
                                <a:lnTo>
                                  <a:pt x="862584" y="44450"/>
                                </a:lnTo>
                                <a:lnTo>
                                  <a:pt x="0" y="44450"/>
                                </a:lnTo>
                                <a:lnTo>
                                  <a:pt x="0" y="31750"/>
                                </a:lnTo>
                                <a:lnTo>
                                  <a:pt x="862584" y="31750"/>
                                </a:lnTo>
                                <a:lnTo>
                                  <a:pt x="862584"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20325" name="Shape 20325"/>
                        <wps:cNvSpPr/>
                        <wps:spPr>
                          <a:xfrm>
                            <a:off x="1694561" y="432815"/>
                            <a:ext cx="740791" cy="76200"/>
                          </a:xfrm>
                          <a:custGeom>
                            <a:avLst/>
                            <a:gdLst/>
                            <a:ahLst/>
                            <a:cxnLst/>
                            <a:rect l="0" t="0" r="0" b="0"/>
                            <a:pathLst>
                              <a:path w="740791" h="76200">
                                <a:moveTo>
                                  <a:pt x="663829" y="0"/>
                                </a:moveTo>
                                <a:lnTo>
                                  <a:pt x="740791" y="36576"/>
                                </a:lnTo>
                                <a:lnTo>
                                  <a:pt x="665353" y="76200"/>
                                </a:lnTo>
                                <a:lnTo>
                                  <a:pt x="664718" y="44459"/>
                                </a:lnTo>
                                <a:lnTo>
                                  <a:pt x="254" y="58166"/>
                                </a:lnTo>
                                <a:lnTo>
                                  <a:pt x="0" y="45466"/>
                                </a:lnTo>
                                <a:lnTo>
                                  <a:pt x="664464" y="31759"/>
                                </a:lnTo>
                                <a:lnTo>
                                  <a:pt x="663829"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20326" name="Shape 20326"/>
                        <wps:cNvSpPr/>
                        <wps:spPr>
                          <a:xfrm>
                            <a:off x="2243328" y="198120"/>
                            <a:ext cx="374904" cy="579120"/>
                          </a:xfrm>
                          <a:custGeom>
                            <a:avLst/>
                            <a:gdLst/>
                            <a:ahLst/>
                            <a:cxnLst/>
                            <a:rect l="0" t="0" r="0" b="0"/>
                            <a:pathLst>
                              <a:path w="374904" h="579120">
                                <a:moveTo>
                                  <a:pt x="0" y="0"/>
                                </a:moveTo>
                                <a:lnTo>
                                  <a:pt x="374904" y="579120"/>
                                </a:lnTo>
                              </a:path>
                            </a:pathLst>
                          </a:custGeom>
                          <a:ln w="12192" cap="flat">
                            <a:round/>
                          </a:ln>
                        </wps:spPr>
                        <wps:style>
                          <a:lnRef idx="1">
                            <a:srgbClr val="000000"/>
                          </a:lnRef>
                          <a:fillRef idx="0">
                            <a:srgbClr val="000000">
                              <a:alpha val="0"/>
                            </a:srgbClr>
                          </a:fillRef>
                          <a:effectRef idx="0">
                            <a:scrgbClr r="0" g="0" b="0"/>
                          </a:effectRef>
                          <a:fontRef idx="none"/>
                        </wps:style>
                        <wps:bodyPr/>
                      </wps:wsp>
                      <wps:wsp>
                        <wps:cNvPr id="20327" name="Shape 20327"/>
                        <wps:cNvSpPr/>
                        <wps:spPr>
                          <a:xfrm>
                            <a:off x="1673352" y="173736"/>
                            <a:ext cx="39624" cy="42672"/>
                          </a:xfrm>
                          <a:custGeom>
                            <a:avLst/>
                            <a:gdLst/>
                            <a:ahLst/>
                            <a:cxnLst/>
                            <a:rect l="0" t="0" r="0" b="0"/>
                            <a:pathLst>
                              <a:path w="39624" h="42672">
                                <a:moveTo>
                                  <a:pt x="19812" y="0"/>
                                </a:moveTo>
                                <a:cubicBezTo>
                                  <a:pt x="30734" y="0"/>
                                  <a:pt x="39624" y="9525"/>
                                  <a:pt x="39624" y="21336"/>
                                </a:cubicBezTo>
                                <a:cubicBezTo>
                                  <a:pt x="39624" y="33147"/>
                                  <a:pt x="30734" y="42672"/>
                                  <a:pt x="19812" y="42672"/>
                                </a:cubicBezTo>
                                <a:cubicBezTo>
                                  <a:pt x="8890" y="42672"/>
                                  <a:pt x="0" y="33147"/>
                                  <a:pt x="0" y="21336"/>
                                </a:cubicBezTo>
                                <a:cubicBezTo>
                                  <a:pt x="0" y="9525"/>
                                  <a:pt x="8890" y="0"/>
                                  <a:pt x="19812"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20328" name="Shape 20328"/>
                        <wps:cNvSpPr/>
                        <wps:spPr>
                          <a:xfrm>
                            <a:off x="1673352" y="173736"/>
                            <a:ext cx="39624" cy="42672"/>
                          </a:xfrm>
                          <a:custGeom>
                            <a:avLst/>
                            <a:gdLst/>
                            <a:ahLst/>
                            <a:cxnLst/>
                            <a:rect l="0" t="0" r="0" b="0"/>
                            <a:pathLst>
                              <a:path w="39624" h="42672">
                                <a:moveTo>
                                  <a:pt x="0" y="21336"/>
                                </a:moveTo>
                                <a:cubicBezTo>
                                  <a:pt x="0" y="9525"/>
                                  <a:pt x="8890" y="0"/>
                                  <a:pt x="19812" y="0"/>
                                </a:cubicBezTo>
                                <a:cubicBezTo>
                                  <a:pt x="30734" y="0"/>
                                  <a:pt x="39624" y="9525"/>
                                  <a:pt x="39624" y="21336"/>
                                </a:cubicBezTo>
                                <a:cubicBezTo>
                                  <a:pt x="39624" y="33147"/>
                                  <a:pt x="30734" y="42672"/>
                                  <a:pt x="19812" y="42672"/>
                                </a:cubicBezTo>
                                <a:cubicBezTo>
                                  <a:pt x="8890" y="42672"/>
                                  <a:pt x="0" y="33147"/>
                                  <a:pt x="0" y="21336"/>
                                </a:cubicBezTo>
                                <a:close/>
                              </a:path>
                            </a:pathLst>
                          </a:custGeom>
                          <a:ln w="12192" cap="flat">
                            <a:round/>
                          </a:ln>
                        </wps:spPr>
                        <wps:style>
                          <a:lnRef idx="1">
                            <a:srgbClr val="000000"/>
                          </a:lnRef>
                          <a:fillRef idx="0">
                            <a:srgbClr val="000000">
                              <a:alpha val="0"/>
                            </a:srgbClr>
                          </a:fillRef>
                          <a:effectRef idx="0">
                            <a:scrgbClr r="0" g="0" b="0"/>
                          </a:effectRef>
                          <a:fontRef idx="none"/>
                        </wps:style>
                        <wps:bodyPr/>
                      </wps:wsp>
                      <wps:wsp>
                        <wps:cNvPr id="20329" name="Shape 20329"/>
                        <wps:cNvSpPr/>
                        <wps:spPr>
                          <a:xfrm>
                            <a:off x="1673352" y="466344"/>
                            <a:ext cx="39624" cy="42672"/>
                          </a:xfrm>
                          <a:custGeom>
                            <a:avLst/>
                            <a:gdLst/>
                            <a:ahLst/>
                            <a:cxnLst/>
                            <a:rect l="0" t="0" r="0" b="0"/>
                            <a:pathLst>
                              <a:path w="39624" h="42672">
                                <a:moveTo>
                                  <a:pt x="19812" y="0"/>
                                </a:moveTo>
                                <a:cubicBezTo>
                                  <a:pt x="30734" y="0"/>
                                  <a:pt x="39624" y="9525"/>
                                  <a:pt x="39624" y="21337"/>
                                </a:cubicBezTo>
                                <a:cubicBezTo>
                                  <a:pt x="39624" y="33147"/>
                                  <a:pt x="30734" y="42672"/>
                                  <a:pt x="19812" y="42672"/>
                                </a:cubicBezTo>
                                <a:cubicBezTo>
                                  <a:pt x="8890" y="42672"/>
                                  <a:pt x="0" y="33147"/>
                                  <a:pt x="0" y="21337"/>
                                </a:cubicBezTo>
                                <a:cubicBezTo>
                                  <a:pt x="0" y="9525"/>
                                  <a:pt x="8890" y="0"/>
                                  <a:pt x="19812"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20330" name="Shape 20330"/>
                        <wps:cNvSpPr/>
                        <wps:spPr>
                          <a:xfrm>
                            <a:off x="1673352" y="466344"/>
                            <a:ext cx="39624" cy="42672"/>
                          </a:xfrm>
                          <a:custGeom>
                            <a:avLst/>
                            <a:gdLst/>
                            <a:ahLst/>
                            <a:cxnLst/>
                            <a:rect l="0" t="0" r="0" b="0"/>
                            <a:pathLst>
                              <a:path w="39624" h="42672">
                                <a:moveTo>
                                  <a:pt x="0" y="21337"/>
                                </a:moveTo>
                                <a:cubicBezTo>
                                  <a:pt x="0" y="9525"/>
                                  <a:pt x="8890" y="0"/>
                                  <a:pt x="19812" y="0"/>
                                </a:cubicBezTo>
                                <a:cubicBezTo>
                                  <a:pt x="30734" y="0"/>
                                  <a:pt x="39624" y="9525"/>
                                  <a:pt x="39624" y="21337"/>
                                </a:cubicBezTo>
                                <a:cubicBezTo>
                                  <a:pt x="39624" y="33147"/>
                                  <a:pt x="30734" y="42672"/>
                                  <a:pt x="19812" y="42672"/>
                                </a:cubicBezTo>
                                <a:cubicBezTo>
                                  <a:pt x="8890" y="42672"/>
                                  <a:pt x="0" y="33147"/>
                                  <a:pt x="0" y="21337"/>
                                </a:cubicBezTo>
                                <a:close/>
                              </a:path>
                            </a:pathLst>
                          </a:custGeom>
                          <a:ln w="12192" cap="flat">
                            <a:round/>
                          </a:ln>
                        </wps:spPr>
                        <wps:style>
                          <a:lnRef idx="1">
                            <a:srgbClr val="000000"/>
                          </a:lnRef>
                          <a:fillRef idx="0">
                            <a:srgbClr val="000000">
                              <a:alpha val="0"/>
                            </a:srgbClr>
                          </a:fillRef>
                          <a:effectRef idx="0">
                            <a:scrgbClr r="0" g="0" b="0"/>
                          </a:effectRef>
                          <a:fontRef idx="none"/>
                        </wps:style>
                        <wps:bodyPr/>
                      </wps:wsp>
                      <wps:wsp>
                        <wps:cNvPr id="20331" name="Shape 20331"/>
                        <wps:cNvSpPr/>
                        <wps:spPr>
                          <a:xfrm>
                            <a:off x="1673352" y="752856"/>
                            <a:ext cx="39624" cy="42672"/>
                          </a:xfrm>
                          <a:custGeom>
                            <a:avLst/>
                            <a:gdLst/>
                            <a:ahLst/>
                            <a:cxnLst/>
                            <a:rect l="0" t="0" r="0" b="0"/>
                            <a:pathLst>
                              <a:path w="39624" h="42672">
                                <a:moveTo>
                                  <a:pt x="19812" y="0"/>
                                </a:moveTo>
                                <a:cubicBezTo>
                                  <a:pt x="30734" y="0"/>
                                  <a:pt x="39624" y="9525"/>
                                  <a:pt x="39624" y="21335"/>
                                </a:cubicBezTo>
                                <a:cubicBezTo>
                                  <a:pt x="39624" y="33147"/>
                                  <a:pt x="30734" y="42672"/>
                                  <a:pt x="19812" y="42672"/>
                                </a:cubicBezTo>
                                <a:cubicBezTo>
                                  <a:pt x="8890" y="42672"/>
                                  <a:pt x="0" y="33147"/>
                                  <a:pt x="0" y="21335"/>
                                </a:cubicBezTo>
                                <a:cubicBezTo>
                                  <a:pt x="0" y="9525"/>
                                  <a:pt x="8890" y="0"/>
                                  <a:pt x="19812"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20332" name="Shape 20332"/>
                        <wps:cNvSpPr/>
                        <wps:spPr>
                          <a:xfrm>
                            <a:off x="1673352" y="752856"/>
                            <a:ext cx="39624" cy="42672"/>
                          </a:xfrm>
                          <a:custGeom>
                            <a:avLst/>
                            <a:gdLst/>
                            <a:ahLst/>
                            <a:cxnLst/>
                            <a:rect l="0" t="0" r="0" b="0"/>
                            <a:pathLst>
                              <a:path w="39624" h="42672">
                                <a:moveTo>
                                  <a:pt x="0" y="21335"/>
                                </a:moveTo>
                                <a:cubicBezTo>
                                  <a:pt x="0" y="9525"/>
                                  <a:pt x="8890" y="0"/>
                                  <a:pt x="19812" y="0"/>
                                </a:cubicBezTo>
                                <a:cubicBezTo>
                                  <a:pt x="30734" y="0"/>
                                  <a:pt x="39624" y="9525"/>
                                  <a:pt x="39624" y="21335"/>
                                </a:cubicBezTo>
                                <a:cubicBezTo>
                                  <a:pt x="39624" y="33147"/>
                                  <a:pt x="30734" y="42672"/>
                                  <a:pt x="19812" y="42672"/>
                                </a:cubicBezTo>
                                <a:cubicBezTo>
                                  <a:pt x="8890" y="42672"/>
                                  <a:pt x="0" y="33147"/>
                                  <a:pt x="0" y="21335"/>
                                </a:cubicBezTo>
                                <a:close/>
                              </a:path>
                            </a:pathLst>
                          </a:custGeom>
                          <a:ln w="12192" cap="flat">
                            <a:round/>
                          </a:ln>
                        </wps:spPr>
                        <wps:style>
                          <a:lnRef idx="1">
                            <a:srgbClr val="000000"/>
                          </a:lnRef>
                          <a:fillRef idx="0">
                            <a:srgbClr val="000000">
                              <a:alpha val="0"/>
                            </a:srgbClr>
                          </a:fillRef>
                          <a:effectRef idx="0">
                            <a:scrgbClr r="0" g="0" b="0"/>
                          </a:effectRef>
                          <a:fontRef idx="none"/>
                        </wps:style>
                        <wps:bodyPr/>
                      </wps:wsp>
                      <wps:wsp>
                        <wps:cNvPr id="20333" name="Shape 20333"/>
                        <wps:cNvSpPr/>
                        <wps:spPr>
                          <a:xfrm>
                            <a:off x="1712976" y="792480"/>
                            <a:ext cx="893064" cy="441959"/>
                          </a:xfrm>
                          <a:custGeom>
                            <a:avLst/>
                            <a:gdLst/>
                            <a:ahLst/>
                            <a:cxnLst/>
                            <a:rect l="0" t="0" r="0" b="0"/>
                            <a:pathLst>
                              <a:path w="893064" h="441959">
                                <a:moveTo>
                                  <a:pt x="0" y="441959"/>
                                </a:moveTo>
                                <a:lnTo>
                                  <a:pt x="893064" y="0"/>
                                </a:lnTo>
                              </a:path>
                            </a:pathLst>
                          </a:custGeom>
                          <a:ln w="12192" cap="flat">
                            <a:round/>
                          </a:ln>
                        </wps:spPr>
                        <wps:style>
                          <a:lnRef idx="1">
                            <a:srgbClr val="000000"/>
                          </a:lnRef>
                          <a:fillRef idx="0">
                            <a:srgbClr val="000000">
                              <a:alpha val="0"/>
                            </a:srgbClr>
                          </a:fillRef>
                          <a:effectRef idx="0">
                            <a:scrgbClr r="0" g="0" b="0"/>
                          </a:effectRef>
                          <a:fontRef idx="none"/>
                        </wps:style>
                        <wps:bodyPr/>
                      </wps:wsp>
                      <wps:wsp>
                        <wps:cNvPr id="20334" name="Shape 20334"/>
                        <wps:cNvSpPr/>
                        <wps:spPr>
                          <a:xfrm>
                            <a:off x="1700784" y="490728"/>
                            <a:ext cx="713232" cy="746760"/>
                          </a:xfrm>
                          <a:custGeom>
                            <a:avLst/>
                            <a:gdLst/>
                            <a:ahLst/>
                            <a:cxnLst/>
                            <a:rect l="0" t="0" r="0" b="0"/>
                            <a:pathLst>
                              <a:path w="713232" h="746760">
                                <a:moveTo>
                                  <a:pt x="713232" y="0"/>
                                </a:moveTo>
                                <a:lnTo>
                                  <a:pt x="0" y="746760"/>
                                </a:lnTo>
                              </a:path>
                            </a:pathLst>
                          </a:custGeom>
                          <a:ln w="12192" cap="flat">
                            <a:round/>
                          </a:ln>
                        </wps:spPr>
                        <wps:style>
                          <a:lnRef idx="1">
                            <a:srgbClr val="000000"/>
                          </a:lnRef>
                          <a:fillRef idx="0">
                            <a:srgbClr val="000000">
                              <a:alpha val="0"/>
                            </a:srgbClr>
                          </a:fillRef>
                          <a:effectRef idx="0">
                            <a:scrgbClr r="0" g="0" b="0"/>
                          </a:effectRef>
                          <a:fontRef idx="none"/>
                        </wps:style>
                        <wps:bodyPr/>
                      </wps:wsp>
                      <wps:wsp>
                        <wps:cNvPr id="20335" name="Shape 20335"/>
                        <wps:cNvSpPr/>
                        <wps:spPr>
                          <a:xfrm>
                            <a:off x="1706880" y="185928"/>
                            <a:ext cx="515112" cy="1042415"/>
                          </a:xfrm>
                          <a:custGeom>
                            <a:avLst/>
                            <a:gdLst/>
                            <a:ahLst/>
                            <a:cxnLst/>
                            <a:rect l="0" t="0" r="0" b="0"/>
                            <a:pathLst>
                              <a:path w="515112" h="1042415">
                                <a:moveTo>
                                  <a:pt x="515112" y="0"/>
                                </a:moveTo>
                                <a:lnTo>
                                  <a:pt x="0" y="1042415"/>
                                </a:lnTo>
                              </a:path>
                            </a:pathLst>
                          </a:custGeom>
                          <a:ln w="12192" cap="flat">
                            <a:round/>
                          </a:ln>
                        </wps:spPr>
                        <wps:style>
                          <a:lnRef idx="1">
                            <a:srgbClr val="000000"/>
                          </a:lnRef>
                          <a:fillRef idx="0">
                            <a:srgbClr val="000000">
                              <a:alpha val="0"/>
                            </a:srgbClr>
                          </a:fillRef>
                          <a:effectRef idx="0">
                            <a:scrgbClr r="0" g="0" b="0"/>
                          </a:effectRef>
                          <a:fontRef idx="none"/>
                        </wps:style>
                        <wps:bodyPr/>
                      </wps:wsp>
                      <wps:wsp>
                        <wps:cNvPr id="20336" name="Shape 20336"/>
                        <wps:cNvSpPr/>
                        <wps:spPr>
                          <a:xfrm>
                            <a:off x="1673352" y="1216152"/>
                            <a:ext cx="39624" cy="42672"/>
                          </a:xfrm>
                          <a:custGeom>
                            <a:avLst/>
                            <a:gdLst/>
                            <a:ahLst/>
                            <a:cxnLst/>
                            <a:rect l="0" t="0" r="0" b="0"/>
                            <a:pathLst>
                              <a:path w="39624" h="42672">
                                <a:moveTo>
                                  <a:pt x="19812" y="0"/>
                                </a:moveTo>
                                <a:cubicBezTo>
                                  <a:pt x="30734" y="0"/>
                                  <a:pt x="39624" y="9525"/>
                                  <a:pt x="39624" y="21336"/>
                                </a:cubicBezTo>
                                <a:cubicBezTo>
                                  <a:pt x="39624" y="33147"/>
                                  <a:pt x="30734" y="42672"/>
                                  <a:pt x="19812" y="42672"/>
                                </a:cubicBezTo>
                                <a:cubicBezTo>
                                  <a:pt x="8890" y="42672"/>
                                  <a:pt x="0" y="33147"/>
                                  <a:pt x="0" y="21336"/>
                                </a:cubicBezTo>
                                <a:cubicBezTo>
                                  <a:pt x="0" y="9525"/>
                                  <a:pt x="8890" y="0"/>
                                  <a:pt x="19812"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20337" name="Shape 20337"/>
                        <wps:cNvSpPr/>
                        <wps:spPr>
                          <a:xfrm>
                            <a:off x="1673352" y="1216152"/>
                            <a:ext cx="39624" cy="42672"/>
                          </a:xfrm>
                          <a:custGeom>
                            <a:avLst/>
                            <a:gdLst/>
                            <a:ahLst/>
                            <a:cxnLst/>
                            <a:rect l="0" t="0" r="0" b="0"/>
                            <a:pathLst>
                              <a:path w="39624" h="42672">
                                <a:moveTo>
                                  <a:pt x="0" y="21336"/>
                                </a:moveTo>
                                <a:cubicBezTo>
                                  <a:pt x="0" y="9525"/>
                                  <a:pt x="8890" y="0"/>
                                  <a:pt x="19812" y="0"/>
                                </a:cubicBezTo>
                                <a:cubicBezTo>
                                  <a:pt x="30734" y="0"/>
                                  <a:pt x="39624" y="9525"/>
                                  <a:pt x="39624" y="21336"/>
                                </a:cubicBezTo>
                                <a:cubicBezTo>
                                  <a:pt x="39624" y="33147"/>
                                  <a:pt x="30734" y="42672"/>
                                  <a:pt x="19812" y="42672"/>
                                </a:cubicBezTo>
                                <a:cubicBezTo>
                                  <a:pt x="8890" y="42672"/>
                                  <a:pt x="0" y="33147"/>
                                  <a:pt x="0" y="21336"/>
                                </a:cubicBezTo>
                                <a:close/>
                              </a:path>
                            </a:pathLst>
                          </a:custGeom>
                          <a:ln w="1219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35458" style="width:230.45pt;height:189.36pt;mso-position-horizontal-relative:char;mso-position-vertical-relative:line" coordsize="29267,24048">
                <v:rect id="Rectangle 20224" style="position:absolute;width:385;height:1705;left:28977;top:22766;" filled="f" stroked="f">
                  <v:textbox inset="0,0,0,0">
                    <w:txbxContent>
                      <w:p>
                        <w:pPr>
                          <w:spacing w:before="0" w:after="160" w:line="259" w:lineRule="auto"/>
                        </w:pPr>
                        <w:r>
                          <w:rPr>
                            <w:rFonts w:cs="Times New Roman" w:hAnsi="Times New Roman" w:eastAsia="Times New Roman" w:ascii="Times New Roman"/>
                            <w:b w:val="1"/>
                            <w:color w:val="ff0000"/>
                            <w:sz w:val="18"/>
                          </w:rPr>
                          <w:t xml:space="preserve"> </w:t>
                        </w:r>
                      </w:p>
                    </w:txbxContent>
                  </v:textbox>
                </v:rect>
                <v:shape id="Picture 20237" style="position:absolute;width:28956;height:22280;left:0;top:518;" filled="f">
                  <v:imagedata r:id="rId277"/>
                </v:shape>
                <v:rect id="Rectangle 20238" style="position:absolute;width:458;height:2064;left:927;top:11040;" filled="f" stroked="f">
                  <v:textbox inset="0,0,0,0">
                    <w:txbxContent>
                      <w:p>
                        <w:pPr>
                          <w:spacing w:before="0" w:after="160" w:line="259" w:lineRule="auto"/>
                        </w:pPr>
                        <w:r>
                          <w:rPr>
                            <w:rFonts w:cs="Calibri" w:hAnsi="Calibri" w:eastAsia="Calibri" w:ascii="Calibri"/>
                            <w:sz w:val="24"/>
                          </w:rPr>
                          <w:t xml:space="preserve"> </w:t>
                        </w:r>
                      </w:p>
                    </w:txbxContent>
                  </v:textbox>
                </v:rect>
                <v:shape id="Picture 20241" style="position:absolute;width:3566;height:1950;left:21610;top:0;" filled="f">
                  <v:imagedata r:id="rId278"/>
                </v:shape>
                <v:rect id="Rectangle 20242" style="position:absolute;width:1238;height:2243;left:22512;top:61;" filled="f" stroked="f">
                  <v:textbox inset="0,0,0,0">
                    <w:txbxContent>
                      <w:p>
                        <w:pPr>
                          <w:spacing w:before="0" w:after="160" w:line="259" w:lineRule="auto"/>
                        </w:pPr>
                        <w:r>
                          <w:rPr>
                            <w:rFonts w:cs="Times New Roman" w:hAnsi="Times New Roman" w:eastAsia="Times New Roman" w:ascii="Times New Roman"/>
                            <w:i w:val="1"/>
                            <w:sz w:val="24"/>
                          </w:rPr>
                          <w:t xml:space="preserve">V</w:t>
                        </w:r>
                      </w:p>
                    </w:txbxContent>
                  </v:textbox>
                </v:rect>
                <v:rect id="Rectangle 20243" style="position:absolute;width:668;height:1480;left:23430;top:645;" filled="f" stroked="f">
                  <v:textbox inset="0,0,0,0">
                    <w:txbxContent>
                      <w:p>
                        <w:pPr>
                          <w:spacing w:before="0" w:after="160" w:line="259" w:lineRule="auto"/>
                        </w:pPr>
                        <w:r>
                          <w:rPr>
                            <w:rFonts w:cs="Times New Roman" w:hAnsi="Times New Roman" w:eastAsia="Times New Roman" w:ascii="Times New Roman"/>
                            <w:i w:val="1"/>
                            <w:sz w:val="16"/>
                          </w:rPr>
                          <w:t xml:space="preserve">4</w:t>
                        </w:r>
                      </w:p>
                    </w:txbxContent>
                  </v:textbox>
                </v:rect>
                <v:rect id="Rectangle 20244" style="position:absolute;width:458;height:2064;left:23948;top:276;" filled="f" stroked="f">
                  <v:textbox inset="0,0,0,0">
                    <w:txbxContent>
                      <w:p>
                        <w:pPr>
                          <w:spacing w:before="0" w:after="160" w:line="259" w:lineRule="auto"/>
                        </w:pPr>
                        <w:r>
                          <w:rPr>
                            <w:rFonts w:cs="Calibri" w:hAnsi="Calibri" w:eastAsia="Calibri" w:ascii="Calibri"/>
                            <w:sz w:val="24"/>
                          </w:rPr>
                          <w:t xml:space="preserve"> </w:t>
                        </w:r>
                      </w:p>
                    </w:txbxContent>
                  </v:textbox>
                </v:rect>
                <v:shape id="Picture 20247" style="position:absolute;width:3566;height:1950;left:25237;top:7680;" filled="f">
                  <v:imagedata r:id="rId278"/>
                </v:shape>
                <v:rect id="Rectangle 20248" style="position:absolute;width:1238;height:2243;left:26142;top:7746;" filled="f" stroked="f">
                  <v:textbox inset="0,0,0,0">
                    <w:txbxContent>
                      <w:p>
                        <w:pPr>
                          <w:spacing w:before="0" w:after="160" w:line="259" w:lineRule="auto"/>
                        </w:pPr>
                        <w:r>
                          <w:rPr>
                            <w:rFonts w:cs="Times New Roman" w:hAnsi="Times New Roman" w:eastAsia="Times New Roman" w:ascii="Times New Roman"/>
                            <w:i w:val="1"/>
                            <w:sz w:val="24"/>
                          </w:rPr>
                          <w:t xml:space="preserve">V</w:t>
                        </w:r>
                      </w:p>
                    </w:txbxContent>
                  </v:textbox>
                </v:rect>
                <v:rect id="Rectangle 20249" style="position:absolute;width:668;height:1480;left:27057;top:8330;" filled="f" stroked="f">
                  <v:textbox inset="0,0,0,0">
                    <w:txbxContent>
                      <w:p>
                        <w:pPr>
                          <w:spacing w:before="0" w:after="160" w:line="259" w:lineRule="auto"/>
                        </w:pPr>
                        <w:r>
                          <w:rPr>
                            <w:rFonts w:cs="Times New Roman" w:hAnsi="Times New Roman" w:eastAsia="Times New Roman" w:ascii="Times New Roman"/>
                            <w:i w:val="1"/>
                            <w:sz w:val="16"/>
                          </w:rPr>
                          <w:t xml:space="preserve">6</w:t>
                        </w:r>
                      </w:p>
                    </w:txbxContent>
                  </v:textbox>
                </v:rect>
                <v:rect id="Rectangle 20250" style="position:absolute;width:458;height:2064;left:27575;top:7961;" filled="f" stroked="f">
                  <v:textbox inset="0,0,0,0">
                    <w:txbxContent>
                      <w:p>
                        <w:pPr>
                          <w:spacing w:before="0" w:after="160" w:line="259" w:lineRule="auto"/>
                        </w:pPr>
                        <w:r>
                          <w:rPr>
                            <w:rFonts w:cs="Calibri" w:hAnsi="Calibri" w:eastAsia="Calibri" w:ascii="Calibri"/>
                            <w:sz w:val="24"/>
                          </w:rPr>
                          <w:t xml:space="preserve"> </w:t>
                        </w:r>
                      </w:p>
                    </w:txbxContent>
                  </v:textbox>
                </v:rect>
                <v:shape id="Picture 20253" style="position:absolute;width:3566;height:1950;left:23682;top:3566;" filled="f">
                  <v:imagedata r:id="rId279"/>
                </v:shape>
                <v:rect id="Rectangle 20254" style="position:absolute;width:1238;height:2243;left:24588;top:3628;" filled="f" stroked="f">
                  <v:textbox inset="0,0,0,0">
                    <w:txbxContent>
                      <w:p>
                        <w:pPr>
                          <w:spacing w:before="0" w:after="160" w:line="259" w:lineRule="auto"/>
                        </w:pPr>
                        <w:r>
                          <w:rPr>
                            <w:rFonts w:cs="Times New Roman" w:hAnsi="Times New Roman" w:eastAsia="Times New Roman" w:ascii="Times New Roman"/>
                            <w:i w:val="1"/>
                            <w:sz w:val="24"/>
                          </w:rPr>
                          <w:t xml:space="preserve">V</w:t>
                        </w:r>
                      </w:p>
                    </w:txbxContent>
                  </v:textbox>
                </v:rect>
                <v:rect id="Rectangle 20255" style="position:absolute;width:966;height:1480;left:25502;top:4211;" filled="f" stroked="f">
                  <v:textbox inset="0,0,0,0">
                    <w:txbxContent>
                      <w:p>
                        <w:pPr>
                          <w:spacing w:before="0" w:after="160" w:line="259" w:lineRule="auto"/>
                        </w:pPr>
                        <w:r>
                          <w:rPr>
                            <w:rFonts w:cs="Times New Roman" w:hAnsi="Times New Roman" w:eastAsia="Times New Roman" w:ascii="Times New Roman"/>
                            <w:i w:val="1"/>
                            <w:sz w:val="16"/>
                          </w:rPr>
                          <w:t xml:space="preserve">H</w:t>
                        </w:r>
                      </w:p>
                    </w:txbxContent>
                  </v:textbox>
                </v:rect>
                <v:rect id="Rectangle 20256" style="position:absolute;width:458;height:2064;left:26264;top:3843;" filled="f" stroked="f">
                  <v:textbox inset="0,0,0,0">
                    <w:txbxContent>
                      <w:p>
                        <w:pPr>
                          <w:spacing w:before="0" w:after="160" w:line="259" w:lineRule="auto"/>
                        </w:pPr>
                        <w:r>
                          <w:rPr>
                            <w:rFonts w:cs="Calibri" w:hAnsi="Calibri" w:eastAsia="Calibri" w:ascii="Calibri"/>
                            <w:sz w:val="24"/>
                          </w:rPr>
                          <w:t xml:space="preserve"> </w:t>
                        </w:r>
                      </w:p>
                    </w:txbxContent>
                  </v:textbox>
                </v:rect>
                <v:shape id="Shape 20258" style="position:absolute;width:5974;height:0;left:5669;top:12192;" coordsize="597408,0" path="m0,0l597408,0">
                  <v:stroke weight="1.44pt" endcap="flat" joinstyle="round" on="true" color="#000000"/>
                  <v:fill on="false" color="#000000" opacity="0"/>
                </v:shape>
                <v:shape id="Shape 20259" style="position:absolute;width:0;height:701;left:3322;top:11033;" coordsize="0,70104" path="m0,0l0,70104">
                  <v:stroke weight="1.44pt" endcap="flat" joinstyle="round" on="true" color="#000000"/>
                  <v:fill on="false" color="#000000" opacity="0"/>
                </v:shape>
                <v:shape id="Shape 20260" style="position:absolute;width:30;height:701;left:4602;top:11033;" coordsize="3048,70104" path="m0,0l3048,70104">
                  <v:stroke weight="1.44pt" endcap="flat" joinstyle="round" on="true" color="#000000"/>
                  <v:fill on="false" color="#000000" opacity="0"/>
                </v:shape>
                <v:shape id="Shape 20261" style="position:absolute;width:1280;height:0;left:3322;top:11734;" coordsize="128016,0" path="m0,0l128016,0">
                  <v:stroke weight="1.44pt" endcap="flat" joinstyle="round" on="true" color="#000000"/>
                  <v:fill on="false" color="#000000" opacity="0"/>
                </v:shape>
                <v:shape id="Shape 20263" style="position:absolute;width:0;height:670;left:9814;top:12588;" coordsize="0,67056" path="m0,0l0,67056">
                  <v:stroke weight="1.44pt" endcap="flat" joinstyle="round" on="true" color="#000000"/>
                  <v:fill on="false" color="#000000" opacity="0"/>
                </v:shape>
                <v:shape id="Shape 20264" style="position:absolute;width:0;height:670;left:11125;top:12588;" coordsize="0,67056" path="m0,0l0,67056">
                  <v:stroke weight="1.44pt" endcap="flat" joinstyle="round" on="true" color="#000000"/>
                  <v:fill on="false" color="#000000" opacity="0"/>
                </v:shape>
                <v:shape id="Shape 20265" style="position:absolute;width:1310;height:0;left:9814;top:12588;" coordsize="131064,0" path="m131064,0l0,0">
                  <v:stroke weight="1.44pt" endcap="flat" joinstyle="round" on="true" color="#000000"/>
                  <v:fill on="false" color="#000000" opacity="0"/>
                </v:shape>
                <v:shape id="Shape 20267" style="position:absolute;width:0;height:670;left:9814;top:11125;" coordsize="0,67056" path="m0,0l0,67056">
                  <v:stroke weight="1.44pt" endcap="flat" joinstyle="round" on="true" color="#000000"/>
                  <v:fill on="false" color="#000000" opacity="0"/>
                </v:shape>
                <v:shape id="Shape 20268" style="position:absolute;width:0;height:670;left:11125;top:11125;" coordsize="0,67056" path="m0,0l0,67056">
                  <v:stroke weight="1.44pt" endcap="flat" joinstyle="round" on="true" color="#000000"/>
                  <v:fill on="false" color="#000000" opacity="0"/>
                </v:shape>
                <v:shape id="Shape 20269" style="position:absolute;width:1310;height:0;left:9814;top:11795;" coordsize="131064,0" path="m0,0l131064,0">
                  <v:stroke weight="1.44pt" endcap="flat" joinstyle="round" on="true" color="#000000"/>
                  <v:fill on="false" color="#000000" opacity="0"/>
                </v:shape>
                <v:shape id="Shape 20271" style="position:absolute;width:0;height:670;left:3322;top:12588;" coordsize="0,67056" path="m0,0l0,67056">
                  <v:stroke weight="1.44pt" endcap="flat" joinstyle="round" on="true" color="#000000"/>
                  <v:fill on="false" color="#000000" opacity="0"/>
                </v:shape>
                <v:shape id="Shape 20272" style="position:absolute;width:30;height:670;left:4602;top:12588;" coordsize="3048,67056" path="m3048,0l0,67056">
                  <v:stroke weight="1.44pt" endcap="flat" joinstyle="round" on="true" color="#000000"/>
                  <v:fill on="false" color="#000000" opacity="0"/>
                </v:shape>
                <v:shape id="Shape 20273" style="position:absolute;width:1310;height:0;left:3322;top:12588;" coordsize="131064,0" path="m131064,0l0,0">
                  <v:stroke weight="1.44pt" endcap="flat" joinstyle="round" on="true" color="#000000"/>
                  <v:fill on="false" color="#000000" opacity="0"/>
                </v:shape>
                <v:shape id="Shape 20274" style="position:absolute;width:30;height:10820;left:9174;top:883;" coordsize="3048,1082040" path="m0,0l3048,1082040">
                  <v:stroke weight="1.44pt" endcap="flat" joinstyle="round" on="true" color="#000000"/>
                  <v:fill on="false" color="#000000" opacity="0"/>
                </v:shape>
                <v:shape id="Shape 20275" style="position:absolute;width:0;height:11186;left:9265;top:12527;" coordsize="0,1118616" path="m0,0l0,1118616">
                  <v:stroke weight="1.44pt" endcap="flat" joinstyle="round" on="true" color="#000000"/>
                  <v:fill on="false" color="#000000" opacity="0"/>
                </v:shape>
                <v:shape id="Shape 20276" style="position:absolute;width:0;height:2712;left:2865;top:10820;" coordsize="0,271273" path="m0,0l0,271273">
                  <v:stroke weight="1.44pt" endcap="flat" joinstyle="round" on="true" color="#000000"/>
                  <v:fill on="false" color="#000000" opacity="0"/>
                </v:shape>
                <v:shape id="Shape 20277" style="position:absolute;width:152;height:8900;left:7284;top:7894;" coordsize="15240,890016" path="m15240,0l0,890016">
                  <v:stroke weight="1.44pt" endcap="flat" joinstyle="round" on="true" color="#000000"/>
                  <v:fill on="false" color="#000000" opacity="0"/>
                </v:shape>
                <v:shape id="Shape 20278" style="position:absolute;width:1280;height:0;left:7985;top:11795;" coordsize="128016,0" path="m0,0l128016,0">
                  <v:stroke weight="1.44pt" endcap="flat" joinstyle="round" on="true" color="#000000"/>
                  <v:fill on="false" color="#000000" opacity="0"/>
                </v:shape>
                <v:shape id="Shape 20279" style="position:absolute;width:1280;height:0;left:8046;top:12588;" coordsize="128016,0" path="m0,0l128016,0">
                  <v:stroke weight="1.44pt" endcap="flat" joinstyle="round" on="true" color="#000000"/>
                  <v:fill on="false" color="#000000" opacity="0"/>
                </v:shape>
                <v:shape id="Shape 20280" style="position:absolute;width:1310;height:0;left:5151;top:12588;" coordsize="131064,0" path="m0,0l131064,0">
                  <v:stroke weight="1.44pt" endcap="flat" joinstyle="round" on="true" color="#000000"/>
                  <v:fill on="false" color="#000000" opacity="0"/>
                </v:shape>
                <v:shape id="Shape 20281" style="position:absolute;width:1310;height:0;left:5151;top:11734;" coordsize="131064,0" path="m0,0l131064,0">
                  <v:stroke weight="1.44pt" endcap="flat" joinstyle="round" on="true" color="#000000"/>
                  <v:fill on="false" color="#000000" opacity="0"/>
                </v:shape>
                <v:shape id="Shape 20282" style="position:absolute;width:152;height:9966;left:5151;top:4754;" coordsize="15240,996696" path="m15240,0l0,996696">
                  <v:stroke weight="1.44pt" endcap="flat" joinstyle="round" on="true" color="#000000"/>
                  <v:fill on="false" color="#000000" opacity="0"/>
                </v:shape>
                <v:shape id="Shape 20283" style="position:absolute;width:3870;height:0;left:1219;top:12192;" coordsize="387096,0" path="m0,0l387096,0">
                  <v:stroke weight="1.44pt" endcap="flat" joinstyle="round" on="true" color="#000000"/>
                  <v:fill on="false" color="#000000" opacity="0"/>
                </v:shape>
                <v:shape id="Shape 20284" style="position:absolute;width:1066;height:5;left:6797;top:1676;" coordsize="106680,508" path="m106680,0l0,508">
                  <v:stroke weight="1.44pt" endcap="flat" joinstyle="round" on="true" color="#000000"/>
                  <v:fill on="false" color="#000000" opacity="0"/>
                </v:shape>
                <v:shape id="Shape 20285" style="position:absolute;width:5;height:1106;left:8595;top:4297;" coordsize="508,110617" path="m0,0l508,110617">
                  <v:stroke weight="1.44pt" endcap="flat" joinstyle="round" on="true" color="#000000"/>
                  <v:fill on="false" color="#000000" opacity="0"/>
                </v:shape>
                <v:shape id="Shape 20286" style="position:absolute;width:5;height:1106;left:6248;top:4206;" coordsize="508,110617" path="m0,0l508,110617">
                  <v:stroke weight="1.44pt" endcap="flat" joinstyle="round" on="true" color="#000000"/>
                  <v:fill on="false" color="#000000" opacity="0"/>
                </v:shape>
                <v:shape id="Shape 20287" style="position:absolute;width:1625;height:5;left:6614;top:4450;" coordsize="162560,508" path="m0,0l162560,508">
                  <v:stroke weight="1.44pt" endcap="flat" joinstyle="round" on="true" color="#000000"/>
                  <v:fill on="false" color="#000000" opacity="0"/>
                </v:shape>
                <v:shape id="Shape 20288" style="position:absolute;width:1625;height:5;left:6614;top:5151;" coordsize="162560,508" path="m0,0l162560,508">
                  <v:stroke weight="1.44pt" endcap="flat" joinstyle="round" on="true" color="#000000"/>
                  <v:fill on="false" color="#000000" opacity="0"/>
                </v:shape>
                <v:shape id="Shape 20289" style="position:absolute;width:30;height:2407;left:7376;top:2042;" coordsize="3048,240792" path="m0,0l3048,240792">
                  <v:stroke weight="1.44pt" endcap="flat" joinstyle="round" on="true" color="#000000"/>
                  <v:fill on="false" color="#000000" opacity="0"/>
                </v:shape>
                <v:shape id="Shape 20290" style="position:absolute;width:0;height:2407;left:7284;top:5090;" coordsize="0,240792" path="m0,0l0,240792">
                  <v:stroke weight="1.44pt" endcap="flat" joinstyle="round" on="true" color="#000000"/>
                  <v:fill on="false" color="#000000" opacity="0"/>
                </v:shape>
                <v:shape id="Shape 20291" style="position:absolute;width:1066;height:5;left:6827;top:7467;" coordsize="106680,508" path="m106680,0l0,508">
                  <v:stroke weight="1.44pt" endcap="flat" joinstyle="round" on="true" color="#000000"/>
                  <v:fill on="false" color="#000000" opacity="0"/>
                </v:shape>
                <v:shape id="Shape 20292" style="position:absolute;width:1066;height:5;left:6797;top:2011;" coordsize="106680,508" path="m106680,0l0,508">
                  <v:stroke weight="1.44pt" endcap="flat" joinstyle="round" on="true" color="#000000"/>
                  <v:fill on="false" color="#000000" opacity="0"/>
                </v:shape>
                <v:shape id="Shape 20293" style="position:absolute;width:3810;height:0;left:5181;top:4785;" coordsize="381000,0" path="m0,0l381000,0">
                  <v:stroke weight="1.44pt" endcap="flat" joinstyle="round" on="true" color="#000000"/>
                  <v:fill on="false" color="#000000" opacity="0"/>
                </v:shape>
                <v:shape id="Shape 20294" style="position:absolute;width:1066;height:6;left:6858;top:7802;" coordsize="106680,635" path="m106680,0l0,635">
                  <v:stroke weight="1.44pt" endcap="flat" joinstyle="round" on="true" color="#000000"/>
                  <v:fill on="false" color="#000000" opacity="0"/>
                </v:shape>
                <v:shape id="Shape 20295" style="position:absolute;width:1066;height:6;left:6736;top:16794;" coordsize="106680,635" path="m106680,0l0,635">
                  <v:stroke weight="1.44pt" endcap="flat" joinstyle="round" on="true" color="#000000"/>
                  <v:fill on="false" color="#000000" opacity="0"/>
                </v:shape>
                <v:shape id="Shape 20296" style="position:absolute;width:0;height:670;left:7345;top:914;" coordsize="0,67056" path="m0,0l0,67056">
                  <v:stroke weight="1.44pt" endcap="flat" joinstyle="round" on="true" color="#000000"/>
                  <v:fill on="false" color="#000000" opacity="0"/>
                </v:shape>
                <v:shape id="Shape 20297" style="position:absolute;width:2042;height:30;left:7223;top:883;" coordsize="204216,3048" path="m204216,0l0,3048">
                  <v:stroke weight="1.44pt" endcap="flat" joinstyle="round" on="true" color="#000000"/>
                  <v:fill on="false" color="#000000" opacity="0"/>
                </v:shape>
                <v:shape id="Picture 20300" style="position:absolute;width:2286;height:1950;left:3810;top:640;" filled="f">
                  <v:imagedata r:id="rId280"/>
                </v:shape>
                <v:rect id="Rectangle 20301" style="position:absolute;width:1013;height:2243;left:4706;top:702;" filled="f" stroked="f">
                  <v:textbox inset="0,0,0,0">
                    <w:txbxContent>
                      <w:p>
                        <w:pPr>
                          <w:spacing w:before="0" w:after="160" w:line="259" w:lineRule="auto"/>
                        </w:pPr>
                        <w:r>
                          <w:rPr>
                            <w:rFonts w:cs="Times New Roman" w:hAnsi="Times New Roman" w:eastAsia="Times New Roman" w:ascii="Times New Roman"/>
                            <w:i w:val="1"/>
                            <w:sz w:val="24"/>
                          </w:rPr>
                          <w:t xml:space="preserve">4</w:t>
                        </w:r>
                      </w:p>
                    </w:txbxContent>
                  </v:textbox>
                </v:rect>
                <v:rect id="Rectangle 20302" style="position:absolute;width:458;height:2064;left:5468;top:916;" filled="f" stroked="f">
                  <v:textbox inset="0,0,0,0">
                    <w:txbxContent>
                      <w:p>
                        <w:pPr>
                          <w:spacing w:before="0" w:after="160" w:line="259" w:lineRule="auto"/>
                        </w:pPr>
                        <w:r>
                          <w:rPr>
                            <w:rFonts w:cs="Calibri" w:hAnsi="Calibri" w:eastAsia="Calibri" w:ascii="Calibri"/>
                            <w:sz w:val="24"/>
                          </w:rPr>
                          <w:t xml:space="preserve"> </w:t>
                        </w:r>
                      </w:p>
                    </w:txbxContent>
                  </v:textbox>
                </v:rect>
                <v:shape id="Picture 20305" style="position:absolute;width:2286;height:1950;left:3810;top:2133;" filled="f">
                  <v:imagedata r:id="rId280"/>
                </v:shape>
                <v:rect id="Rectangle 20306" style="position:absolute;width:1013;height:2243;left:4706;top:2195;" filled="f" stroked="f">
                  <v:textbox inset="0,0,0,0">
                    <w:txbxContent>
                      <w:p>
                        <w:pPr>
                          <w:spacing w:before="0" w:after="160" w:line="259" w:lineRule="auto"/>
                        </w:pPr>
                        <w:r>
                          <w:rPr>
                            <w:rFonts w:cs="Times New Roman" w:hAnsi="Times New Roman" w:eastAsia="Times New Roman" w:ascii="Times New Roman"/>
                            <w:i w:val="1"/>
                            <w:sz w:val="24"/>
                          </w:rPr>
                          <w:t xml:space="preserve">5</w:t>
                        </w:r>
                      </w:p>
                    </w:txbxContent>
                  </v:textbox>
                </v:rect>
                <v:rect id="Rectangle 20307" style="position:absolute;width:458;height:2064;left:5468;top:2410;" filled="f" stroked="f">
                  <v:textbox inset="0,0,0,0">
                    <w:txbxContent>
                      <w:p>
                        <w:pPr>
                          <w:spacing w:before="0" w:after="160" w:line="259" w:lineRule="auto"/>
                        </w:pPr>
                        <w:r>
                          <w:rPr>
                            <w:rFonts w:cs="Calibri" w:hAnsi="Calibri" w:eastAsia="Calibri" w:ascii="Calibri"/>
                            <w:sz w:val="24"/>
                          </w:rPr>
                          <w:t xml:space="preserve"> </w:t>
                        </w:r>
                      </w:p>
                    </w:txbxContent>
                  </v:textbox>
                </v:rect>
                <v:shape id="Picture 20310" style="position:absolute;width:2255;height:1950;left:3962;top:16337;" filled="f">
                  <v:imagedata r:id="rId280"/>
                </v:shape>
                <v:rect id="Rectangle 20311" style="position:absolute;width:1013;height:2243;left:4859;top:16405;" filled="f" stroked="f">
                  <v:textbox inset="0,0,0,0">
                    <w:txbxContent>
                      <w:p>
                        <w:pPr>
                          <w:spacing w:before="0" w:after="160" w:line="259" w:lineRule="auto"/>
                        </w:pPr>
                        <w:r>
                          <w:rPr>
                            <w:rFonts w:cs="Times New Roman" w:hAnsi="Times New Roman" w:eastAsia="Times New Roman" w:ascii="Times New Roman"/>
                            <w:i w:val="1"/>
                            <w:sz w:val="24"/>
                          </w:rPr>
                          <w:t xml:space="preserve">6</w:t>
                        </w:r>
                      </w:p>
                    </w:txbxContent>
                  </v:textbox>
                </v:rect>
                <v:rect id="Rectangle 20312" style="position:absolute;width:458;height:2064;left:5621;top:16620;" filled="f" stroked="f">
                  <v:textbox inset="0,0,0,0">
                    <w:txbxContent>
                      <w:p>
                        <w:pPr>
                          <w:spacing w:before="0" w:after="160" w:line="259" w:lineRule="auto"/>
                        </w:pPr>
                        <w:r>
                          <w:rPr>
                            <w:rFonts w:cs="Calibri" w:hAnsi="Calibri" w:eastAsia="Calibri" w:ascii="Calibri"/>
                            <w:sz w:val="24"/>
                          </w:rPr>
                          <w:t xml:space="preserve"> </w:t>
                        </w:r>
                      </w:p>
                    </w:txbxContent>
                  </v:textbox>
                </v:rect>
                <v:shape id="Picture 20315" style="position:absolute;width:2286;height:1950;left:1341;top:6827;" filled="f">
                  <v:imagedata r:id="rId281"/>
                </v:shape>
                <v:rect id="Rectangle 20316" style="position:absolute;width:1463;height:2243;left:2237;top:6893;" filled="f" stroked="f">
                  <v:textbox inset="0,0,0,0">
                    <w:txbxContent>
                      <w:p>
                        <w:pPr>
                          <w:spacing w:before="0" w:after="160" w:line="259" w:lineRule="auto"/>
                        </w:pPr>
                        <w:r>
                          <w:rPr>
                            <w:rFonts w:cs="Times New Roman" w:hAnsi="Times New Roman" w:eastAsia="Times New Roman" w:ascii="Times New Roman"/>
                            <w:i w:val="1"/>
                            <w:sz w:val="24"/>
                          </w:rPr>
                          <w:t xml:space="preserve">H</w:t>
                        </w:r>
                      </w:p>
                    </w:txbxContent>
                  </v:textbox>
                </v:rect>
                <v:rect id="Rectangle 20317" style="position:absolute;width:458;height:2064;left:3335;top:7108;" filled="f" stroked="f">
                  <v:textbox inset="0,0,0,0">
                    <w:txbxContent>
                      <w:p>
                        <w:pPr>
                          <w:spacing w:before="0" w:after="160" w:line="259" w:lineRule="auto"/>
                        </w:pPr>
                        <w:r>
                          <w:rPr>
                            <w:rFonts w:cs="Calibri" w:hAnsi="Calibri" w:eastAsia="Calibri" w:ascii="Calibri"/>
                            <w:sz w:val="24"/>
                          </w:rPr>
                          <w:t xml:space="preserve"> </w:t>
                        </w:r>
                      </w:p>
                    </w:txbxContent>
                  </v:textbox>
                </v:rect>
                <v:shape id="Shape 20318" style="position:absolute;width:2255;height:213;left:5638;top:975;" coordsize="225552,21336" path="m225552,0l0,21336">
                  <v:stroke weight="0.96pt" endcap="flat" joinstyle="round" on="true" color="#000000"/>
                  <v:fill on="false" color="#000000" opacity="0"/>
                </v:shape>
                <v:shape id="Shape 20319" style="position:absolute;width:1859;height:518;left:5486;top:3383;" coordsize="185928,51815" path="m185928,51815l0,0">
                  <v:stroke weight="0.96pt" endcap="flat" joinstyle="round" on="true" color="#000000"/>
                  <v:fill on="false" color="#000000" opacity="0"/>
                </v:shape>
                <v:shape id="Shape 20320" style="position:absolute;width:1828;height:518;left:3383;top:8016;" coordsize="182880,51815" path="m182880,51815l0,0">
                  <v:stroke weight="0.96pt" endcap="flat" joinstyle="round" on="true" color="#000000"/>
                  <v:fill on="false" color="#000000" opacity="0"/>
                </v:shape>
                <v:shape id="Shape 20321" style="position:absolute;width:1463;height:396;left:5852;top:16306;" coordsize="146304,39624" path="m146304,0l0,39624">
                  <v:stroke weight="0.96pt" endcap="flat" joinstyle="round" on="true" color="#000000"/>
                  <v:fill on="false" color="#000000" opacity="0"/>
                </v:shape>
                <v:shape id="Shape 20322" style="position:absolute;width:0;height:12435;left:16885;top:1767;" coordsize="0,1243584" path="m0,0l0,1243584">
                  <v:stroke weight="0.96pt" endcap="flat" joinstyle="round" on="true" color="#000000"/>
                  <v:fill on="false" color="#000000" opacity="0"/>
                </v:shape>
                <v:shape id="Shape 20323" style="position:absolute;width:5608;height:762;left:16885;top:1478;" coordsize="560832,76200" path="m484632,0l560832,38100l484632,76200l484632,44450l0,44450l0,31750l484632,31750l484632,0x">
                  <v:stroke weight="0pt" endcap="flat" joinstyle="round" on="false" color="#000000" opacity="0"/>
                  <v:fill on="true" color="#000000"/>
                </v:shape>
                <v:shape id="Shape 20324" style="position:absolute;width:9387;height:762;left:16946;top:7330;" coordsize="938784,76200" path="m862584,0l938784,38100l862584,76200l862584,44450l0,44450l0,31750l862584,31750l862584,0x">
                  <v:stroke weight="0pt" endcap="flat" joinstyle="round" on="false" color="#000000" opacity="0"/>
                  <v:fill on="true" color="#000000"/>
                </v:shape>
                <v:shape id="Shape 20325" style="position:absolute;width:7407;height:762;left:16945;top:4328;" coordsize="740791,76200" path="m663829,0l740791,36576l665353,76200l664718,44459l254,58166l0,45466l664464,31759l663829,0x">
                  <v:stroke weight="0pt" endcap="flat" joinstyle="round" on="false" color="#000000" opacity="0"/>
                  <v:fill on="true" color="#000000"/>
                </v:shape>
                <v:shape id="Shape 20326" style="position:absolute;width:3749;height:5791;left:22433;top:1981;" coordsize="374904,579120" path="m0,0l374904,579120">
                  <v:stroke weight="0.96pt" endcap="flat" joinstyle="round" on="true" color="#000000"/>
                  <v:fill on="false" color="#000000" opacity="0"/>
                </v:shape>
                <v:shape id="Shape 20327" style="position:absolute;width:396;height:426;left:16733;top:1737;" coordsize="39624,42672" path="m19812,0c30734,0,39624,9525,39624,21336c39624,33147,30734,42672,19812,42672c8890,42672,0,33147,0,21336c0,9525,8890,0,19812,0x">
                  <v:stroke weight="0pt" endcap="flat" joinstyle="round" on="false" color="#000000" opacity="0"/>
                  <v:fill on="true" color="#ffffff"/>
                </v:shape>
                <v:shape id="Shape 20328" style="position:absolute;width:396;height:426;left:16733;top:1737;" coordsize="39624,42672" path="m0,21336c0,9525,8890,0,19812,0c30734,0,39624,9525,39624,21336c39624,33147,30734,42672,19812,42672c8890,42672,0,33147,0,21336x">
                  <v:stroke weight="0.96pt" endcap="flat" joinstyle="round" on="true" color="#000000"/>
                  <v:fill on="false" color="#000000" opacity="0"/>
                </v:shape>
                <v:shape id="Shape 20329" style="position:absolute;width:396;height:426;left:16733;top:4663;" coordsize="39624,42672" path="m19812,0c30734,0,39624,9525,39624,21337c39624,33147,30734,42672,19812,42672c8890,42672,0,33147,0,21337c0,9525,8890,0,19812,0x">
                  <v:stroke weight="0pt" endcap="flat" joinstyle="round" on="false" color="#000000" opacity="0"/>
                  <v:fill on="true" color="#ffffff"/>
                </v:shape>
                <v:shape id="Shape 20330" style="position:absolute;width:396;height:426;left:16733;top:4663;" coordsize="39624,42672" path="m0,21337c0,9525,8890,0,19812,0c30734,0,39624,9525,39624,21337c39624,33147,30734,42672,19812,42672c8890,42672,0,33147,0,21337x">
                  <v:stroke weight="0.96pt" endcap="flat" joinstyle="round" on="true" color="#000000"/>
                  <v:fill on="false" color="#000000" opacity="0"/>
                </v:shape>
                <v:shape id="Shape 20331" style="position:absolute;width:396;height:426;left:16733;top:7528;" coordsize="39624,42672" path="m19812,0c30734,0,39624,9525,39624,21335c39624,33147,30734,42672,19812,42672c8890,42672,0,33147,0,21335c0,9525,8890,0,19812,0x">
                  <v:stroke weight="0pt" endcap="flat" joinstyle="round" on="false" color="#000000" opacity="0"/>
                  <v:fill on="true" color="#ffffff"/>
                </v:shape>
                <v:shape id="Shape 20332" style="position:absolute;width:396;height:426;left:16733;top:7528;" coordsize="39624,42672" path="m0,21335c0,9525,8890,0,19812,0c30734,0,39624,9525,39624,21335c39624,33147,30734,42672,19812,42672c8890,42672,0,33147,0,21335x">
                  <v:stroke weight="0.96pt" endcap="flat" joinstyle="round" on="true" color="#000000"/>
                  <v:fill on="false" color="#000000" opacity="0"/>
                </v:shape>
                <v:shape id="Shape 20333" style="position:absolute;width:8930;height:4419;left:17129;top:7924;" coordsize="893064,441959" path="m0,441959l893064,0">
                  <v:stroke weight="0.96pt" endcap="flat" joinstyle="round" on="true" color="#000000"/>
                  <v:fill on="false" color="#000000" opacity="0"/>
                </v:shape>
                <v:shape id="Shape 20334" style="position:absolute;width:7132;height:7467;left:17007;top:4907;" coordsize="713232,746760" path="m713232,0l0,746760">
                  <v:stroke weight="0.96pt" endcap="flat" joinstyle="round" on="true" color="#000000"/>
                  <v:fill on="false" color="#000000" opacity="0"/>
                </v:shape>
                <v:shape id="Shape 20335" style="position:absolute;width:5151;height:10424;left:17068;top:1859;" coordsize="515112,1042415" path="m515112,0l0,1042415">
                  <v:stroke weight="0.96pt" endcap="flat" joinstyle="round" on="true" color="#000000"/>
                  <v:fill on="false" color="#000000" opacity="0"/>
                </v:shape>
                <v:shape id="Shape 20336" style="position:absolute;width:396;height:426;left:16733;top:12161;" coordsize="39624,42672" path="m19812,0c30734,0,39624,9525,39624,21336c39624,33147,30734,42672,19812,42672c8890,42672,0,33147,0,21336c0,9525,8890,0,19812,0x">
                  <v:stroke weight="0pt" endcap="flat" joinstyle="round" on="false" color="#000000" opacity="0"/>
                  <v:fill on="true" color="#ffffff"/>
                </v:shape>
                <v:shape id="Shape 20337" style="position:absolute;width:396;height:426;left:16733;top:12161;" coordsize="39624,42672" path="m0,21336c0,9525,8890,0,19812,0c30734,0,39624,9525,39624,21336c39624,33147,30734,42672,19812,42672c8890,42672,0,33147,0,21336x">
                  <v:stroke weight="0.96pt" endcap="flat" joinstyle="round" on="true" color="#000000"/>
                  <v:fill on="false" color="#000000" opacity="0"/>
                </v:shape>
              </v:group>
            </w:pict>
          </mc:Fallback>
        </mc:AlternateContent>
      </w:r>
    </w:p>
    <w:p w:rsidR="0052701D" w:rsidRDefault="00D40929">
      <w:pPr>
        <w:spacing w:after="19"/>
        <w:ind w:left="732"/>
        <w:jc w:val="center"/>
      </w:pPr>
      <w:r>
        <w:rPr>
          <w:rFonts w:ascii="Times New Roman" w:eastAsia="Times New Roman" w:hAnsi="Times New Roman" w:cs="Times New Roman"/>
          <w:sz w:val="24"/>
        </w:rPr>
        <w:t xml:space="preserve"> </w:t>
      </w:r>
    </w:p>
    <w:p w:rsidR="0052701D" w:rsidRDefault="00D40929">
      <w:pPr>
        <w:spacing w:after="29" w:line="248" w:lineRule="auto"/>
        <w:ind w:left="1345" w:right="14"/>
        <w:jc w:val="both"/>
      </w:pPr>
      <w:r>
        <w:rPr>
          <w:rFonts w:ascii="Times New Roman" w:eastAsia="Times New Roman" w:hAnsi="Times New Roman" w:cs="Times New Roman"/>
          <w:sz w:val="24"/>
        </w:rPr>
        <w:t xml:space="preserve">Сурет 2 - </w:t>
      </w:r>
      <w:r>
        <w:rPr>
          <w:rFonts w:ascii="Times New Roman" w:eastAsia="Times New Roman" w:hAnsi="Times New Roman" w:cs="Times New Roman"/>
          <w:sz w:val="24"/>
        </w:rPr>
        <w:t xml:space="preserve">Планетарлық пойыздың сызықтық жылдамдықтарының сызбасы </w:t>
      </w:r>
    </w:p>
    <w:p w:rsidR="0052701D" w:rsidRDefault="00D40929">
      <w:pPr>
        <w:spacing w:after="12"/>
        <w:ind w:left="732"/>
        <w:jc w:val="center"/>
      </w:pPr>
      <w:r>
        <w:rPr>
          <w:rFonts w:ascii="Times New Roman" w:eastAsia="Times New Roman" w:hAnsi="Times New Roman" w:cs="Times New Roman"/>
          <w:sz w:val="24"/>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Осы мәндерді (2) теңдеуде ауыстырғаннан кейін статордың, ротордың және тасушының бұрыштық жылдамдықтарының механикалық шектеуін аламыз: </w:t>
      </w:r>
    </w:p>
    <w:p w:rsidR="0052701D" w:rsidRDefault="00D40929">
      <w:pPr>
        <w:spacing w:after="3"/>
        <w:ind w:left="10" w:right="43" w:hanging="10"/>
        <w:jc w:val="right"/>
      </w:pPr>
      <w:r>
        <w:rPr>
          <w:rFonts w:ascii="Segoe UI Symbol" w:eastAsia="Segoe UI Symbol" w:hAnsi="Segoe UI Symbol" w:cs="Segoe UI Symbol"/>
          <w:sz w:val="38"/>
          <w:vertAlign w:val="superscript"/>
        </w:rPr>
        <w:t></w:t>
      </w:r>
      <w:r>
        <w:rPr>
          <w:rFonts w:ascii="Times New Roman" w:eastAsia="Times New Roman" w:hAnsi="Times New Roman" w:cs="Times New Roman"/>
          <w:sz w:val="24"/>
          <w:vertAlign w:val="subscript"/>
        </w:rPr>
        <w:t>1</w:t>
      </w:r>
      <w:r>
        <w:rPr>
          <w:rFonts w:ascii="Times New Roman" w:eastAsia="Times New Roman" w:hAnsi="Times New Roman" w:cs="Times New Roman"/>
          <w:i/>
          <w:sz w:val="36"/>
          <w:vertAlign w:val="superscript"/>
        </w:rPr>
        <w:t>r</w:t>
      </w:r>
      <w:r>
        <w:rPr>
          <w:rFonts w:ascii="Times New Roman" w:eastAsia="Times New Roman" w:hAnsi="Times New Roman" w:cs="Times New Roman"/>
          <w:sz w:val="24"/>
          <w:vertAlign w:val="subscript"/>
        </w:rPr>
        <w:t xml:space="preserve">4 </w:t>
      </w:r>
      <w:r>
        <w:rPr>
          <w:rFonts w:ascii="Segoe UI Symbol" w:eastAsia="Segoe UI Symbol" w:hAnsi="Segoe UI Symbol" w:cs="Segoe UI Symbol"/>
          <w:sz w:val="36"/>
          <w:vertAlign w:val="superscript"/>
        </w:rPr>
        <w:t></w:t>
      </w:r>
      <w:r>
        <w:rPr>
          <w:rFonts w:ascii="Segoe UI Symbol" w:eastAsia="Segoe UI Symbol" w:hAnsi="Segoe UI Symbol" w:cs="Segoe UI Symbol"/>
          <w:sz w:val="38"/>
          <w:vertAlign w:val="superscript"/>
        </w:rPr>
        <w:t></w:t>
      </w:r>
      <w:r>
        <w:rPr>
          <w:rFonts w:ascii="Times New Roman" w:eastAsia="Times New Roman" w:hAnsi="Times New Roman" w:cs="Times New Roman"/>
          <w:sz w:val="24"/>
          <w:vertAlign w:val="subscript"/>
        </w:rPr>
        <w:t>2</w:t>
      </w:r>
      <w:r>
        <w:rPr>
          <w:rFonts w:ascii="Times New Roman" w:eastAsia="Times New Roman" w:hAnsi="Times New Roman" w:cs="Times New Roman"/>
          <w:i/>
          <w:sz w:val="36"/>
          <w:vertAlign w:val="superscript"/>
        </w:rPr>
        <w:t>r</w:t>
      </w:r>
      <w:r>
        <w:rPr>
          <w:rFonts w:ascii="Times New Roman" w:eastAsia="Times New Roman" w:hAnsi="Times New Roman" w:cs="Times New Roman"/>
          <w:sz w:val="24"/>
          <w:vertAlign w:val="subscript"/>
        </w:rPr>
        <w:t xml:space="preserve">6 </w:t>
      </w:r>
      <w:r>
        <w:rPr>
          <w:rFonts w:ascii="Segoe UI Symbol" w:eastAsia="Segoe UI Symbol" w:hAnsi="Segoe UI Symbol" w:cs="Segoe UI Symbol"/>
          <w:sz w:val="36"/>
          <w:vertAlign w:val="superscript"/>
        </w:rPr>
        <w:t xml:space="preserve"> </w:t>
      </w:r>
      <w:r>
        <w:rPr>
          <w:rFonts w:ascii="Times New Roman" w:eastAsia="Times New Roman" w:hAnsi="Times New Roman" w:cs="Times New Roman"/>
          <w:sz w:val="36"/>
          <w:vertAlign w:val="superscript"/>
        </w:rPr>
        <w:t>2</w:t>
      </w:r>
      <w:r>
        <w:rPr>
          <w:rFonts w:ascii="Segoe UI Symbol" w:eastAsia="Segoe UI Symbol" w:hAnsi="Segoe UI Symbol" w:cs="Segoe UI Symbol"/>
          <w:sz w:val="38"/>
          <w:vertAlign w:val="superscript"/>
        </w:rPr>
        <w:t></w:t>
      </w:r>
      <w:r>
        <w:rPr>
          <w:rFonts w:ascii="Times New Roman" w:eastAsia="Times New Roman" w:hAnsi="Times New Roman" w:cs="Times New Roman"/>
          <w:i/>
          <w:sz w:val="24"/>
          <w:vertAlign w:val="subscript"/>
        </w:rPr>
        <w:t>H</w:t>
      </w:r>
      <w:r>
        <w:rPr>
          <w:rFonts w:ascii="Times New Roman" w:eastAsia="Times New Roman" w:hAnsi="Times New Roman" w:cs="Times New Roman"/>
          <w:i/>
          <w:sz w:val="36"/>
          <w:vertAlign w:val="superscript"/>
        </w:rPr>
        <w:t>r</w:t>
      </w:r>
      <w:r>
        <w:rPr>
          <w:rFonts w:ascii="Times New Roman" w:eastAsia="Times New Roman" w:hAnsi="Times New Roman" w:cs="Times New Roman"/>
          <w:i/>
          <w:sz w:val="24"/>
          <w:vertAlign w:val="subscript"/>
        </w:rPr>
        <w:t xml:space="preserve">H </w:t>
      </w:r>
      <w:r>
        <w:rPr>
          <w:rFonts w:ascii="Times New Roman" w:eastAsia="Times New Roman" w:hAnsi="Times New Roman" w:cs="Times New Roman"/>
          <w:sz w:val="28"/>
        </w:rPr>
        <w:t xml:space="preserve">.       </w:t>
      </w:r>
      <w:r>
        <w:rPr>
          <w:rFonts w:ascii="Times New Roman" w:eastAsia="Times New Roman" w:hAnsi="Times New Roman" w:cs="Times New Roman"/>
          <w:sz w:val="28"/>
        </w:rPr>
        <w:t xml:space="preserve">                                              (3)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(1) және (3) теңдеулер жүйесі бұрыштық жылдамдықтардың өзара байланысын анықтайды және статор мен ротордың салыстырмалы қозғалысының анықталуын қамтамасыз етеді.  </w:t>
      </w:r>
    </w:p>
    <w:p w:rsidR="0052701D" w:rsidRDefault="00D40929">
      <w:pPr>
        <w:spacing w:after="0"/>
        <w:ind w:left="732"/>
        <w:jc w:val="center"/>
      </w:pPr>
      <w:r>
        <w:rPr>
          <w:rFonts w:ascii="Times New Roman" w:eastAsia="Times New Roman" w:hAnsi="Times New Roman" w:cs="Times New Roman"/>
          <w:sz w:val="24"/>
        </w:rPr>
        <w:t xml:space="preserve"> </w:t>
      </w:r>
    </w:p>
    <w:p w:rsidR="0052701D" w:rsidRDefault="00D40929">
      <w:pPr>
        <w:spacing w:after="283"/>
        <w:jc w:val="right"/>
      </w:pPr>
      <w:r>
        <w:rPr>
          <w:rFonts w:ascii="Arial" w:eastAsia="Arial" w:hAnsi="Arial" w:cs="Arial"/>
          <w:b/>
          <w:i/>
          <w:sz w:val="14"/>
        </w:rPr>
        <w:t xml:space="preserve"> </w:t>
      </w:r>
    </w:p>
    <w:p w:rsidR="0052701D" w:rsidRDefault="00D40929">
      <w:pPr>
        <w:spacing w:after="202"/>
        <w:ind w:left="10" w:right="412" w:hanging="10"/>
        <w:jc w:val="center"/>
      </w:pPr>
      <w:r>
        <w:rPr>
          <w:noProof/>
        </w:rPr>
        <mc:AlternateContent>
          <mc:Choice Requires="wpg">
            <w:drawing>
              <wp:anchor distT="0" distB="0" distL="114300" distR="114300" simplePos="0" relativeHeight="251754496" behindDoc="0" locked="0" layoutInCell="1" allowOverlap="1">
                <wp:simplePos x="0" y="0"/>
                <wp:positionH relativeFrom="column">
                  <wp:posOffset>2693237</wp:posOffset>
                </wp:positionH>
                <wp:positionV relativeFrom="paragraph">
                  <wp:posOffset>132582</wp:posOffset>
                </wp:positionV>
                <wp:extent cx="881688" cy="6292"/>
                <wp:effectExtent l="0" t="0" r="0" b="0"/>
                <wp:wrapNone/>
                <wp:docPr id="935784" name="Group 935784"/>
                <wp:cNvGraphicFramePr/>
                <a:graphic xmlns:a="http://schemas.openxmlformats.org/drawingml/2006/main">
                  <a:graphicData uri="http://schemas.microsoft.com/office/word/2010/wordprocessingGroup">
                    <wpg:wgp>
                      <wpg:cNvGrpSpPr/>
                      <wpg:grpSpPr>
                        <a:xfrm>
                          <a:off x="0" y="0"/>
                          <a:ext cx="881688" cy="6292"/>
                          <a:chOff x="0" y="0"/>
                          <a:chExt cx="881688" cy="6292"/>
                        </a:xfrm>
                      </wpg:grpSpPr>
                      <wps:wsp>
                        <wps:cNvPr id="20368" name="Shape 20368"/>
                        <wps:cNvSpPr/>
                        <wps:spPr>
                          <a:xfrm>
                            <a:off x="0" y="0"/>
                            <a:ext cx="881688" cy="0"/>
                          </a:xfrm>
                          <a:custGeom>
                            <a:avLst/>
                            <a:gdLst/>
                            <a:ahLst/>
                            <a:cxnLst/>
                            <a:rect l="0" t="0" r="0" b="0"/>
                            <a:pathLst>
                              <a:path w="881688">
                                <a:moveTo>
                                  <a:pt x="0" y="0"/>
                                </a:moveTo>
                                <a:lnTo>
                                  <a:pt x="881688" y="0"/>
                                </a:lnTo>
                              </a:path>
                            </a:pathLst>
                          </a:custGeom>
                          <a:ln w="6292"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35784" style="width:69.4243pt;height:0.495431pt;position:absolute;z-index:26;mso-position-horizontal-relative:text;mso-position-horizontal:absolute;margin-left:212.066pt;mso-position-vertical-relative:text;margin-top:10.4395pt;" coordsize="8816,62">
                <v:shape id="Shape 20368" style="position:absolute;width:8816;height:0;left:0;top:0;" coordsize="881688,0" path="m0,0l881688,0">
                  <v:stroke weight="0.495431pt" endcap="flat" joinstyle="round" on="true" color="#000000"/>
                  <v:fill on="false" color="#000000" opacity="0"/>
                </v:shape>
              </v:group>
            </w:pict>
          </mc:Fallback>
        </mc:AlternateContent>
      </w:r>
      <w:r>
        <w:rPr>
          <w:rFonts w:ascii="Segoe UI Symbol" w:eastAsia="Segoe UI Symbol" w:hAnsi="Segoe UI Symbol" w:cs="Segoe UI Symbol"/>
          <w:sz w:val="26"/>
        </w:rPr>
        <w:t></w:t>
      </w:r>
      <w:r>
        <w:rPr>
          <w:rFonts w:ascii="Times New Roman" w:eastAsia="Times New Roman" w:hAnsi="Times New Roman" w:cs="Times New Roman"/>
          <w:sz w:val="16"/>
        </w:rPr>
        <w:t xml:space="preserve">2 </w:t>
      </w:r>
      <w:r>
        <w:rPr>
          <w:rFonts w:ascii="Segoe UI Symbol" w:eastAsia="Segoe UI Symbol" w:hAnsi="Segoe UI Symbol" w:cs="Segoe UI Symbol"/>
          <w:sz w:val="24"/>
        </w:rPr>
        <w:t xml:space="preserve"> </w:t>
      </w:r>
      <w:r>
        <w:rPr>
          <w:rFonts w:ascii="Times New Roman" w:eastAsia="Times New Roman" w:hAnsi="Times New Roman" w:cs="Times New Roman"/>
          <w:sz w:val="24"/>
        </w:rPr>
        <w:t>2</w:t>
      </w:r>
      <w:r>
        <w:rPr>
          <w:rFonts w:ascii="Segoe UI Symbol" w:eastAsia="Segoe UI Symbol" w:hAnsi="Segoe UI Symbol" w:cs="Segoe UI Symbol"/>
          <w:sz w:val="26"/>
        </w:rPr>
        <w:t></w:t>
      </w:r>
      <w:r>
        <w:rPr>
          <w:rFonts w:ascii="Times New Roman" w:eastAsia="Times New Roman" w:hAnsi="Times New Roman" w:cs="Times New Roman"/>
          <w:i/>
          <w:sz w:val="16"/>
        </w:rPr>
        <w:t>H</w:t>
      </w:r>
      <w:r>
        <w:rPr>
          <w:rFonts w:ascii="Times New Roman" w:eastAsia="Times New Roman" w:hAnsi="Times New Roman" w:cs="Times New Roman"/>
          <w:i/>
          <w:sz w:val="24"/>
        </w:rPr>
        <w:t>r</w:t>
      </w:r>
      <w:r>
        <w:rPr>
          <w:rFonts w:ascii="Times New Roman" w:eastAsia="Times New Roman" w:hAnsi="Times New Roman" w:cs="Times New Roman"/>
          <w:i/>
          <w:sz w:val="16"/>
        </w:rPr>
        <w:t xml:space="preserve">H </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i/>
          <w:sz w:val="16"/>
        </w:rPr>
        <w:t>n</w:t>
      </w:r>
      <w:r>
        <w:rPr>
          <w:rFonts w:ascii="Times New Roman" w:eastAsia="Times New Roman" w:hAnsi="Times New Roman" w:cs="Times New Roman"/>
          <w:i/>
          <w:sz w:val="24"/>
        </w:rPr>
        <w:t>r</w:t>
      </w:r>
      <w:r>
        <w:rPr>
          <w:rFonts w:ascii="Times New Roman" w:eastAsia="Times New Roman" w:hAnsi="Times New Roman" w:cs="Times New Roman"/>
          <w:sz w:val="16"/>
        </w:rPr>
        <w:t>4</w:t>
      </w:r>
    </w:p>
    <w:p w:rsidR="0052701D" w:rsidRDefault="00D40929">
      <w:pPr>
        <w:tabs>
          <w:tab w:val="center" w:pos="4925"/>
          <w:tab w:val="right" w:pos="9681"/>
        </w:tabs>
        <w:spacing w:after="0"/>
      </w:pPr>
      <w:r>
        <w:tab/>
      </w:r>
      <w:r>
        <w:rPr>
          <w:rFonts w:ascii="Times New Roman" w:eastAsia="Times New Roman" w:hAnsi="Times New Roman" w:cs="Times New Roman"/>
          <w:i/>
          <w:sz w:val="37"/>
          <w:vertAlign w:val="superscript"/>
        </w:rPr>
        <w:t>r</w:t>
      </w:r>
      <w:r>
        <w:rPr>
          <w:rFonts w:ascii="Times New Roman" w:eastAsia="Times New Roman" w:hAnsi="Times New Roman" w:cs="Times New Roman"/>
          <w:sz w:val="16"/>
        </w:rPr>
        <w:t xml:space="preserve">6 </w:t>
      </w:r>
      <w:r>
        <w:rPr>
          <w:rFonts w:ascii="Segoe UI Symbol" w:eastAsia="Segoe UI Symbol" w:hAnsi="Segoe UI Symbol" w:cs="Segoe UI Symbol"/>
          <w:sz w:val="37"/>
          <w:vertAlign w:val="superscript"/>
        </w:rPr>
        <w:t xml:space="preserve"> </w:t>
      </w:r>
      <w:r>
        <w:rPr>
          <w:rFonts w:ascii="Times New Roman" w:eastAsia="Times New Roman" w:hAnsi="Times New Roman" w:cs="Times New Roman"/>
          <w:i/>
          <w:sz w:val="37"/>
          <w:vertAlign w:val="superscript"/>
        </w:rPr>
        <w:t>r</w:t>
      </w:r>
      <w:r>
        <w:rPr>
          <w:rFonts w:ascii="Times New Roman" w:eastAsia="Times New Roman" w:hAnsi="Times New Roman" w:cs="Times New Roman"/>
          <w:sz w:val="16"/>
        </w:rPr>
        <w:t>4</w:t>
      </w:r>
      <w:r>
        <w:rPr>
          <w:rFonts w:ascii="Times New Roman" w:eastAsia="Times New Roman" w:hAnsi="Times New Roman" w:cs="Times New Roman"/>
          <w:sz w:val="16"/>
        </w:rPr>
        <w:tab/>
      </w:r>
      <w:r>
        <w:rPr>
          <w:rFonts w:ascii="Arial" w:eastAsia="Arial" w:hAnsi="Arial" w:cs="Arial"/>
          <w:b/>
          <w:i/>
          <w:sz w:val="21"/>
          <w:vertAlign w:val="subscript"/>
        </w:rPr>
        <w:t xml:space="preserve">  </w:t>
      </w:r>
      <w:r>
        <w:rPr>
          <w:rFonts w:ascii="Arial" w:eastAsia="Arial" w:hAnsi="Arial" w:cs="Arial"/>
          <w:sz w:val="24"/>
        </w:rPr>
        <w:t xml:space="preserve">,                                                     (4) </w:t>
      </w:r>
    </w:p>
    <w:p w:rsidR="0052701D" w:rsidRDefault="00D40929">
      <w:pPr>
        <w:spacing w:after="0"/>
        <w:ind w:left="10" w:right="21" w:hanging="10"/>
        <w:jc w:val="right"/>
      </w:pPr>
      <w:r>
        <w:rPr>
          <w:rFonts w:ascii="Segoe UI Symbol" w:eastAsia="Segoe UI Symbol" w:hAnsi="Segoe UI Symbol" w:cs="Segoe UI Symbol"/>
          <w:sz w:val="38"/>
          <w:vertAlign w:val="superscript"/>
        </w:rPr>
        <w:t></w:t>
      </w:r>
      <w:r>
        <w:rPr>
          <w:rFonts w:ascii="Times New Roman" w:eastAsia="Times New Roman" w:hAnsi="Times New Roman" w:cs="Times New Roman"/>
          <w:sz w:val="16"/>
        </w:rPr>
        <w:t xml:space="preserve">1 </w:t>
      </w:r>
      <w:r>
        <w:rPr>
          <w:rFonts w:ascii="Segoe UI Symbol" w:eastAsia="Segoe UI Symbol" w:hAnsi="Segoe UI Symbol" w:cs="Segoe UI Symbol"/>
          <w:sz w:val="36"/>
          <w:vertAlign w:val="superscript"/>
        </w:rPr>
        <w:t></w:t>
      </w:r>
      <w:r>
        <w:rPr>
          <w:rFonts w:ascii="Segoe UI Symbol" w:eastAsia="Segoe UI Symbol" w:hAnsi="Segoe UI Symbol" w:cs="Segoe UI Symbol"/>
          <w:sz w:val="38"/>
          <w:vertAlign w:val="superscript"/>
        </w:rPr>
        <w:t></w:t>
      </w:r>
      <w:r>
        <w:rPr>
          <w:rFonts w:ascii="Times New Roman" w:eastAsia="Times New Roman" w:hAnsi="Times New Roman" w:cs="Times New Roman"/>
          <w:sz w:val="16"/>
        </w:rPr>
        <w:t xml:space="preserve">2 </w:t>
      </w:r>
      <w:r>
        <w:rPr>
          <w:rFonts w:ascii="Segoe UI Symbol" w:eastAsia="Segoe UI Symbol" w:hAnsi="Segoe UI Symbol" w:cs="Segoe UI Symbol"/>
          <w:sz w:val="36"/>
          <w:vertAlign w:val="superscript"/>
        </w:rPr>
        <w:t></w:t>
      </w:r>
      <w:r>
        <w:rPr>
          <w:rFonts w:ascii="Segoe UI Symbol" w:eastAsia="Segoe UI Symbol" w:hAnsi="Segoe UI Symbol" w:cs="Segoe UI Symbol"/>
          <w:sz w:val="38"/>
          <w:vertAlign w:val="superscript"/>
        </w:rPr>
        <w:t></w:t>
      </w:r>
      <w:r>
        <w:rPr>
          <w:rFonts w:ascii="Times New Roman" w:eastAsia="Times New Roman" w:hAnsi="Times New Roman" w:cs="Times New Roman"/>
          <w:i/>
          <w:sz w:val="16"/>
        </w:rPr>
        <w:t>n</w:t>
      </w:r>
      <w:r>
        <w:rPr>
          <w:rFonts w:ascii="Arial" w:eastAsia="Arial" w:hAnsi="Arial" w:cs="Arial"/>
          <w:sz w:val="24"/>
        </w:rPr>
        <w:t xml:space="preserve">.                                                           </w:t>
      </w:r>
      <w:r>
        <w:rPr>
          <w:rFonts w:ascii="Times New Roman" w:eastAsia="Times New Roman" w:hAnsi="Times New Roman" w:cs="Times New Roman"/>
          <w:sz w:val="24"/>
        </w:rPr>
        <w:t>(5)</w:t>
      </w:r>
      <w:r>
        <w:rPr>
          <w:rFonts w:ascii="Arial" w:eastAsia="Arial" w:hAnsi="Arial" w:cs="Arial"/>
          <w:sz w:val="24"/>
        </w:rPr>
        <w:t xml:space="preserve"> </w:t>
      </w:r>
    </w:p>
    <w:p w:rsidR="0052701D" w:rsidRDefault="00D40929">
      <w:pPr>
        <w:spacing w:after="17"/>
        <w:ind w:left="711"/>
      </w:pPr>
      <w:r>
        <w:rPr>
          <w:rFonts w:ascii="Times New Roman" w:eastAsia="Times New Roman" w:hAnsi="Times New Roman" w:cs="Times New Roman"/>
          <w:sz w:val="24"/>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Алайда екі еркіндік дәрежесі бар жүйе үшін (4), (5) теңдеулер қозғалыстың анықталуының жеткілікті шартын ғана қамтамасыз</w:t>
      </w:r>
      <w:r>
        <w:rPr>
          <w:rFonts w:ascii="Times New Roman" w:eastAsia="Times New Roman" w:hAnsi="Times New Roman" w:cs="Times New Roman"/>
          <w:sz w:val="28"/>
        </w:rPr>
        <w:t xml:space="preserve"> етеді. [4] сәйкес қозғалыстың анықталуының жеткілікті шартын қамтамасыз ететін қосымша шектеу орын алуы керек. Қарастырылып отырған жүйеде мұндай шектеу функциясын </w:t>
      </w:r>
      <w:r>
        <w:rPr>
          <w:rFonts w:ascii="Times New Roman" w:eastAsia="Times New Roman" w:hAnsi="Times New Roman" w:cs="Times New Roman"/>
          <w:sz w:val="28"/>
        </w:rPr>
        <w:lastRenderedPageBreak/>
        <w:t>жүйенің динамикалық тепе-теңдігін қамтамасыз ететін орталықтан тепкіш реттегіш 3 орындайды.</w:t>
      </w:r>
      <w:r>
        <w:rPr>
          <w:rFonts w:ascii="Times New Roman" w:eastAsia="Times New Roman" w:hAnsi="Times New Roman" w:cs="Times New Roman"/>
          <w:sz w:val="28"/>
        </w:rPr>
        <w:t xml:space="preserve"> Қозғалыс режимінің қабылданған кинематикалық параметрлері кезінде реттегіштің орталықтан тепкіш күші осьтік серіппемен теңестіріледі. </w:t>
      </w:r>
    </w:p>
    <w:p w:rsidR="0052701D" w:rsidRDefault="00D40929">
      <w:pPr>
        <w:spacing w:after="5" w:line="342" w:lineRule="auto"/>
        <w:ind w:left="9" w:right="64" w:firstLine="711"/>
        <w:jc w:val="both"/>
      </w:pPr>
      <w:r>
        <w:rPr>
          <w:rFonts w:ascii="Times New Roman" w:eastAsia="Times New Roman" w:hAnsi="Times New Roman" w:cs="Times New Roman"/>
          <w:sz w:val="28"/>
        </w:rPr>
        <w:t>Энергияның сақталу заңы шығыс тасымалдаушының бұрыштық жылдамдығын анықтауға мүмкіндік береді. Идеал жүйеде электр қозға</w:t>
      </w:r>
      <w:r>
        <w:rPr>
          <w:rFonts w:ascii="Times New Roman" w:eastAsia="Times New Roman" w:hAnsi="Times New Roman" w:cs="Times New Roman"/>
          <w:sz w:val="28"/>
        </w:rPr>
        <w:t xml:space="preserve">лтқышының </w:t>
      </w:r>
      <w:r>
        <w:rPr>
          <w:rFonts w:ascii="Times New Roman" w:eastAsia="Times New Roman" w:hAnsi="Times New Roman" w:cs="Times New Roman"/>
          <w:i/>
          <w:sz w:val="24"/>
        </w:rPr>
        <w:t>P</w:t>
      </w:r>
      <w:r>
        <w:rPr>
          <w:rFonts w:ascii="Times New Roman" w:eastAsia="Times New Roman" w:hAnsi="Times New Roman" w:cs="Times New Roman"/>
          <w:i/>
          <w:sz w:val="16"/>
        </w:rPr>
        <w:t xml:space="preserve">E </w:t>
      </w:r>
      <w:r>
        <w:rPr>
          <w:rFonts w:ascii="Times New Roman" w:eastAsia="Times New Roman" w:hAnsi="Times New Roman" w:cs="Times New Roman"/>
          <w:sz w:val="28"/>
        </w:rPr>
        <w:t xml:space="preserve">қозғаушы күші қарсылық күшіне </w:t>
      </w:r>
      <w:r>
        <w:rPr>
          <w:rFonts w:ascii="Times New Roman" w:eastAsia="Times New Roman" w:hAnsi="Times New Roman" w:cs="Times New Roman"/>
          <w:i/>
          <w:sz w:val="24"/>
        </w:rPr>
        <w:t>P</w:t>
      </w:r>
      <w:r>
        <w:rPr>
          <w:rFonts w:ascii="Times New Roman" w:eastAsia="Times New Roman" w:hAnsi="Times New Roman" w:cs="Times New Roman"/>
          <w:i/>
          <w:sz w:val="16"/>
        </w:rPr>
        <w:t>R</w:t>
      </w:r>
      <w:r>
        <w:rPr>
          <w:rFonts w:ascii="Times New Roman" w:eastAsia="Times New Roman" w:hAnsi="Times New Roman" w:cs="Times New Roman"/>
          <w:sz w:val="28"/>
        </w:rPr>
        <w:t xml:space="preserve">тең: </w:t>
      </w:r>
    </w:p>
    <w:p w:rsidR="0052701D" w:rsidRDefault="00D40929">
      <w:pPr>
        <w:spacing w:after="183"/>
        <w:ind w:left="711"/>
      </w:pPr>
      <w:r>
        <w:rPr>
          <w:rFonts w:ascii="Times New Roman" w:eastAsia="Times New Roman" w:hAnsi="Times New Roman" w:cs="Times New Roman"/>
          <w:sz w:val="28"/>
        </w:rPr>
        <w:t xml:space="preserve"> </w:t>
      </w:r>
    </w:p>
    <w:p w:rsidR="0052701D" w:rsidRDefault="00D40929">
      <w:pPr>
        <w:spacing w:after="3"/>
        <w:ind w:left="10" w:right="43" w:hanging="10"/>
        <w:jc w:val="right"/>
      </w:pPr>
      <w:r>
        <w:rPr>
          <w:rFonts w:ascii="Times New Roman" w:eastAsia="Times New Roman" w:hAnsi="Times New Roman" w:cs="Times New Roman"/>
          <w:i/>
          <w:sz w:val="24"/>
        </w:rPr>
        <w:t>P</w:t>
      </w:r>
      <w:r>
        <w:rPr>
          <w:rFonts w:ascii="Times New Roman" w:eastAsia="Times New Roman" w:hAnsi="Times New Roman" w:cs="Times New Roman"/>
          <w:i/>
          <w:sz w:val="24"/>
          <w:vertAlign w:val="subscript"/>
        </w:rPr>
        <w:t xml:space="preserve">E </w:t>
      </w:r>
      <w:r>
        <w:rPr>
          <w:rFonts w:ascii="Segoe UI Symbol" w:eastAsia="Segoe UI Symbol" w:hAnsi="Segoe UI Symbol" w:cs="Segoe UI Symbol"/>
          <w:sz w:val="24"/>
        </w:rPr>
        <w:t></w:t>
      </w:r>
      <w:r>
        <w:rPr>
          <w:rFonts w:ascii="Times New Roman" w:eastAsia="Times New Roman" w:hAnsi="Times New Roman" w:cs="Times New Roman"/>
          <w:i/>
          <w:sz w:val="24"/>
        </w:rPr>
        <w:t>P</w:t>
      </w:r>
      <w:r>
        <w:rPr>
          <w:rFonts w:ascii="Times New Roman" w:eastAsia="Times New Roman" w:hAnsi="Times New Roman" w:cs="Times New Roman"/>
          <w:i/>
          <w:sz w:val="24"/>
          <w:vertAlign w:val="subscript"/>
        </w:rPr>
        <w:t xml:space="preserve">R </w:t>
      </w:r>
      <w:r>
        <w:rPr>
          <w:rFonts w:ascii="Segoe UI Symbol" w:eastAsia="Segoe UI Symbol" w:hAnsi="Segoe UI Symbol" w:cs="Segoe UI Symbol"/>
          <w:sz w:val="24"/>
        </w:rPr>
        <w:t></w:t>
      </w:r>
      <w:r>
        <w:rPr>
          <w:rFonts w:ascii="Times New Roman" w:eastAsia="Times New Roman" w:hAnsi="Times New Roman" w:cs="Times New Roman"/>
          <w:sz w:val="24"/>
        </w:rPr>
        <w:t>0</w:t>
      </w:r>
      <w:r>
        <w:rPr>
          <w:rFonts w:ascii="Times New Roman" w:eastAsia="Times New Roman" w:hAnsi="Times New Roman" w:cs="Times New Roman"/>
          <w:sz w:val="28"/>
        </w:rPr>
        <w:t xml:space="preserve">.                                                                (6) </w:t>
      </w:r>
    </w:p>
    <w:p w:rsidR="0052701D" w:rsidRDefault="00D40929">
      <w:pPr>
        <w:spacing w:after="178" w:line="271" w:lineRule="auto"/>
        <w:ind w:left="9" w:right="64" w:firstLine="711"/>
        <w:jc w:val="both"/>
      </w:pPr>
      <w:r>
        <w:rPr>
          <w:rFonts w:ascii="Times New Roman" w:eastAsia="Times New Roman" w:hAnsi="Times New Roman" w:cs="Times New Roman"/>
          <w:sz w:val="28"/>
        </w:rPr>
        <w:t xml:space="preserve">Қозғалмалы статоры бар электр қозғалтқышында доңғалақ 4 бойынша статормен берілген қозғаушы момент роторды дөңгелекке 6 ауыстыратын қозғаушы моментке қарама-қарсы бағытта болады. Қозғалтқыш қуаты статор мен статор қуаттарының қосындысына тең. ротор немесе </w:t>
      </w:r>
      <w:r>
        <w:rPr>
          <w:rFonts w:ascii="Times New Roman" w:eastAsia="Times New Roman" w:hAnsi="Times New Roman" w:cs="Times New Roman"/>
          <w:sz w:val="28"/>
        </w:rPr>
        <w:t xml:space="preserve">қозғалыссыз статорда </w:t>
      </w:r>
    </w:p>
    <w:p w:rsidR="0052701D" w:rsidRDefault="00D40929">
      <w:pPr>
        <w:spacing w:after="368" w:line="250" w:lineRule="auto"/>
        <w:ind w:left="723" w:right="6" w:hanging="10"/>
        <w:jc w:val="center"/>
      </w:pPr>
      <w:r>
        <w:rPr>
          <w:rFonts w:ascii="Times New Roman" w:eastAsia="Times New Roman" w:hAnsi="Times New Roman" w:cs="Times New Roman"/>
          <w:i/>
          <w:sz w:val="24"/>
        </w:rPr>
        <w:t>P</w:t>
      </w:r>
      <w:r>
        <w:rPr>
          <w:rFonts w:ascii="Times New Roman" w:eastAsia="Times New Roman" w:hAnsi="Times New Roman" w:cs="Times New Roman"/>
          <w:i/>
          <w:sz w:val="24"/>
          <w:vertAlign w:val="subscript"/>
        </w:rPr>
        <w:t xml:space="preserve">E </w:t>
      </w:r>
      <w:r>
        <w:rPr>
          <w:rFonts w:ascii="Segoe UI Symbol" w:eastAsia="Segoe UI Symbol" w:hAnsi="Segoe UI Symbol" w:cs="Segoe UI Symbol"/>
          <w:sz w:val="24"/>
        </w:rPr>
        <w:t></w:t>
      </w:r>
      <w:r>
        <w:rPr>
          <w:rFonts w:ascii="Times New Roman" w:eastAsia="Times New Roman" w:hAnsi="Times New Roman" w:cs="Times New Roman"/>
          <w:i/>
          <w:sz w:val="24"/>
        </w:rPr>
        <w:t>M</w:t>
      </w:r>
      <w:r>
        <w:rPr>
          <w:rFonts w:ascii="Times New Roman" w:eastAsia="Times New Roman" w:hAnsi="Times New Roman" w:cs="Times New Roman"/>
          <w:i/>
          <w:sz w:val="24"/>
          <w:vertAlign w:val="subscript"/>
        </w:rPr>
        <w:t>E</w:t>
      </w:r>
      <w:r>
        <w:rPr>
          <w:rFonts w:ascii="Segoe UI Symbol" w:eastAsia="Segoe UI Symbol" w:hAnsi="Segoe UI Symbol" w:cs="Segoe UI Symbol"/>
          <w:sz w:val="25"/>
        </w:rPr>
        <w:t></w:t>
      </w:r>
      <w:r>
        <w:rPr>
          <w:rFonts w:ascii="Times New Roman" w:eastAsia="Times New Roman" w:hAnsi="Times New Roman" w:cs="Times New Roman"/>
          <w:i/>
          <w:sz w:val="25"/>
          <w:vertAlign w:val="subscript"/>
        </w:rPr>
        <w:t>n</w:t>
      </w:r>
      <w:r>
        <w:rPr>
          <w:rFonts w:ascii="Times New Roman" w:eastAsia="Times New Roman" w:hAnsi="Times New Roman" w:cs="Times New Roman"/>
          <w:sz w:val="28"/>
        </w:rPr>
        <w:t xml:space="preserve">, </w:t>
      </w:r>
    </w:p>
    <w:p w:rsidR="0052701D" w:rsidRDefault="00D40929">
      <w:pPr>
        <w:spacing w:after="28" w:line="271" w:lineRule="auto"/>
        <w:ind w:left="711" w:right="64"/>
        <w:jc w:val="both"/>
      </w:pPr>
      <w:r>
        <w:rPr>
          <w:rFonts w:ascii="Times New Roman" w:eastAsia="Times New Roman" w:hAnsi="Times New Roman" w:cs="Times New Roman"/>
          <w:sz w:val="28"/>
        </w:rPr>
        <w:t xml:space="preserve">мұндағы </w:t>
      </w:r>
      <w:r>
        <w:rPr>
          <w:rFonts w:ascii="Times New Roman" w:eastAsia="Times New Roman" w:hAnsi="Times New Roman" w:cs="Times New Roman"/>
          <w:i/>
          <w:sz w:val="24"/>
        </w:rPr>
        <w:t>M</w:t>
      </w:r>
      <w:r>
        <w:rPr>
          <w:rFonts w:ascii="Times New Roman" w:eastAsia="Times New Roman" w:hAnsi="Times New Roman" w:cs="Times New Roman"/>
          <w:i/>
          <w:sz w:val="16"/>
        </w:rPr>
        <w:t>E</w:t>
      </w:r>
      <w:r>
        <w:rPr>
          <w:rFonts w:ascii="Times New Roman" w:eastAsia="Times New Roman" w:hAnsi="Times New Roman" w:cs="Times New Roman"/>
          <w:sz w:val="28"/>
        </w:rPr>
        <w:t xml:space="preserve">- қозғаушы. </w:t>
      </w:r>
    </w:p>
    <w:p w:rsidR="0052701D" w:rsidRDefault="00D40929">
      <w:pPr>
        <w:spacing w:after="196" w:line="271" w:lineRule="auto"/>
        <w:ind w:left="711" w:right="64"/>
        <w:jc w:val="both"/>
      </w:pPr>
      <w:r>
        <w:rPr>
          <w:rFonts w:ascii="Times New Roman" w:eastAsia="Times New Roman" w:hAnsi="Times New Roman" w:cs="Times New Roman"/>
          <w:sz w:val="28"/>
        </w:rPr>
        <w:t xml:space="preserve">Қарсылық күші  </w:t>
      </w:r>
    </w:p>
    <w:p w:rsidR="0052701D" w:rsidRDefault="00D40929">
      <w:pPr>
        <w:spacing w:after="320" w:line="250" w:lineRule="auto"/>
        <w:ind w:left="723" w:hanging="10"/>
        <w:jc w:val="center"/>
      </w:pPr>
      <w:r>
        <w:rPr>
          <w:rFonts w:ascii="Times New Roman" w:eastAsia="Times New Roman" w:hAnsi="Times New Roman" w:cs="Times New Roman"/>
          <w:i/>
          <w:sz w:val="24"/>
        </w:rPr>
        <w:t>P</w:t>
      </w:r>
      <w:r>
        <w:rPr>
          <w:rFonts w:ascii="Times New Roman" w:eastAsia="Times New Roman" w:hAnsi="Times New Roman" w:cs="Times New Roman"/>
          <w:i/>
          <w:sz w:val="24"/>
          <w:vertAlign w:val="subscript"/>
        </w:rPr>
        <w:t xml:space="preserve">R </w:t>
      </w:r>
      <w:r>
        <w:rPr>
          <w:rFonts w:ascii="Segoe UI Symbol" w:eastAsia="Segoe UI Symbol" w:hAnsi="Segoe UI Symbol" w:cs="Segoe UI Symbol"/>
          <w:sz w:val="24"/>
        </w:rPr>
        <w:t></w:t>
      </w:r>
      <w:r>
        <w:rPr>
          <w:rFonts w:ascii="Times New Roman" w:eastAsia="Times New Roman" w:hAnsi="Times New Roman" w:cs="Times New Roman"/>
          <w:i/>
          <w:sz w:val="24"/>
        </w:rPr>
        <w:t>M</w:t>
      </w:r>
      <w:r>
        <w:rPr>
          <w:rFonts w:ascii="Times New Roman" w:eastAsia="Times New Roman" w:hAnsi="Times New Roman" w:cs="Times New Roman"/>
          <w:i/>
          <w:sz w:val="24"/>
          <w:vertAlign w:val="subscript"/>
        </w:rPr>
        <w:t>H</w:t>
      </w:r>
      <w:r>
        <w:rPr>
          <w:rFonts w:ascii="Segoe UI Symbol" w:eastAsia="Segoe UI Symbol" w:hAnsi="Segoe UI Symbol" w:cs="Segoe UI Symbol"/>
          <w:sz w:val="26"/>
        </w:rPr>
        <w:t></w:t>
      </w:r>
      <w:r>
        <w:rPr>
          <w:rFonts w:ascii="Times New Roman" w:eastAsia="Times New Roman" w:hAnsi="Times New Roman" w:cs="Times New Roman"/>
          <w:i/>
          <w:sz w:val="26"/>
          <w:vertAlign w:val="subscript"/>
        </w:rPr>
        <w:t xml:space="preserve">H </w:t>
      </w:r>
      <w:r>
        <w:rPr>
          <w:rFonts w:ascii="Times New Roman" w:eastAsia="Times New Roman" w:hAnsi="Times New Roman" w:cs="Times New Roman"/>
          <w:sz w:val="28"/>
        </w:rPr>
        <w:t xml:space="preserve">, </w:t>
      </w:r>
    </w:p>
    <w:p w:rsidR="0052701D" w:rsidRDefault="00D40929">
      <w:pPr>
        <w:spacing w:after="5" w:line="271" w:lineRule="auto"/>
        <w:ind w:left="711" w:right="64"/>
        <w:jc w:val="both"/>
      </w:pPr>
      <w:r>
        <w:rPr>
          <w:rFonts w:ascii="Times New Roman" w:eastAsia="Times New Roman" w:hAnsi="Times New Roman" w:cs="Times New Roman"/>
          <w:sz w:val="28"/>
        </w:rPr>
        <w:t xml:space="preserve">мұндағы </w:t>
      </w:r>
      <w:r>
        <w:rPr>
          <w:rFonts w:ascii="Times New Roman" w:eastAsia="Times New Roman" w:hAnsi="Times New Roman" w:cs="Times New Roman"/>
          <w:i/>
          <w:sz w:val="37"/>
          <w:vertAlign w:val="superscript"/>
        </w:rPr>
        <w:t>M</w:t>
      </w:r>
      <w:r>
        <w:rPr>
          <w:rFonts w:ascii="Times New Roman" w:eastAsia="Times New Roman" w:hAnsi="Times New Roman" w:cs="Times New Roman"/>
          <w:i/>
          <w:sz w:val="16"/>
        </w:rPr>
        <w:t xml:space="preserve">H </w:t>
      </w:r>
      <w:r>
        <w:rPr>
          <w:rFonts w:ascii="Times New Roman" w:eastAsia="Times New Roman" w:hAnsi="Times New Roman" w:cs="Times New Roman"/>
          <w:sz w:val="28"/>
        </w:rPr>
        <w:t xml:space="preserve">- қарсылық моменті. </w:t>
      </w:r>
    </w:p>
    <w:p w:rsidR="0052701D" w:rsidRDefault="00D40929">
      <w:pPr>
        <w:spacing w:after="223" w:line="271" w:lineRule="auto"/>
        <w:ind w:left="711" w:right="64"/>
        <w:jc w:val="both"/>
      </w:pPr>
      <w:r>
        <w:rPr>
          <w:rFonts w:ascii="Times New Roman" w:eastAsia="Times New Roman" w:hAnsi="Times New Roman" w:cs="Times New Roman"/>
          <w:sz w:val="28"/>
        </w:rPr>
        <w:t xml:space="preserve">Осы мәндерді (6) теңдеуде ауыстырғаннан кейін біз мынаны аламыз: </w:t>
      </w:r>
    </w:p>
    <w:p w:rsidR="0052701D" w:rsidRDefault="00D40929">
      <w:pPr>
        <w:spacing w:after="0"/>
        <w:ind w:left="2391" w:right="1702" w:hanging="10"/>
        <w:jc w:val="center"/>
      </w:pPr>
      <w:r>
        <w:rPr>
          <w:rFonts w:ascii="Times New Roman" w:eastAsia="Times New Roman" w:hAnsi="Times New Roman" w:cs="Times New Roman"/>
          <w:i/>
          <w:sz w:val="24"/>
        </w:rPr>
        <w:t>M</w:t>
      </w:r>
      <w:r>
        <w:rPr>
          <w:rFonts w:ascii="Times New Roman" w:eastAsia="Times New Roman" w:hAnsi="Times New Roman" w:cs="Times New Roman"/>
          <w:i/>
          <w:sz w:val="24"/>
          <w:vertAlign w:val="subscript"/>
        </w:rPr>
        <w:t xml:space="preserve">E </w:t>
      </w:r>
      <w:r>
        <w:rPr>
          <w:rFonts w:ascii="Segoe UI Symbol" w:eastAsia="Segoe UI Symbol" w:hAnsi="Segoe UI Symbol" w:cs="Segoe UI Symbol"/>
          <w:sz w:val="24"/>
        </w:rPr>
        <w:t xml:space="preserve"> </w:t>
      </w:r>
      <w:r>
        <w:rPr>
          <w:rFonts w:ascii="Times New Roman" w:eastAsia="Times New Roman" w:hAnsi="Times New Roman" w:cs="Times New Roman"/>
          <w:sz w:val="24"/>
        </w:rPr>
        <w:t xml:space="preserve">0, </w:t>
      </w:r>
      <w:r>
        <w:rPr>
          <w:rFonts w:ascii="Times New Roman" w:eastAsia="Times New Roman" w:hAnsi="Times New Roman" w:cs="Times New Roman"/>
          <w:i/>
          <w:sz w:val="24"/>
        </w:rPr>
        <w:t>M</w:t>
      </w:r>
      <w:r>
        <w:rPr>
          <w:rFonts w:ascii="Times New Roman" w:eastAsia="Times New Roman" w:hAnsi="Times New Roman" w:cs="Times New Roman"/>
          <w:i/>
          <w:sz w:val="24"/>
          <w:vertAlign w:val="subscript"/>
        </w:rPr>
        <w:t xml:space="preserve">H </w:t>
      </w:r>
      <w:r>
        <w:rPr>
          <w:rFonts w:ascii="Segoe UI Symbol" w:eastAsia="Segoe UI Symbol" w:hAnsi="Segoe UI Symbol" w:cs="Segoe UI Symbol"/>
          <w:sz w:val="24"/>
        </w:rPr>
        <w:t xml:space="preserve"> </w:t>
      </w:r>
      <w:r>
        <w:rPr>
          <w:rFonts w:ascii="Times New Roman" w:eastAsia="Times New Roman" w:hAnsi="Times New Roman" w:cs="Times New Roman"/>
          <w:sz w:val="37"/>
          <w:vertAlign w:val="superscript"/>
        </w:rPr>
        <w:t>0</w:t>
      </w:r>
      <w:r>
        <w:rPr>
          <w:rFonts w:ascii="Times New Roman" w:eastAsia="Times New Roman" w:hAnsi="Times New Roman" w:cs="Times New Roman"/>
          <w:sz w:val="28"/>
        </w:rPr>
        <w:t xml:space="preserve"> </w:t>
      </w:r>
    </w:p>
    <w:p w:rsidR="0052701D" w:rsidRDefault="00D40929">
      <w:pPr>
        <w:spacing w:after="0"/>
        <w:ind w:left="10" w:right="841" w:hanging="10"/>
        <w:jc w:val="center"/>
      </w:pPr>
      <w:r>
        <w:rPr>
          <w:noProof/>
        </w:rPr>
        <mc:AlternateContent>
          <mc:Choice Requires="wpg">
            <w:drawing>
              <wp:anchor distT="0" distB="0" distL="114300" distR="114300" simplePos="0" relativeHeight="251755520" behindDoc="0" locked="0" layoutInCell="1" allowOverlap="1">
                <wp:simplePos x="0" y="0"/>
                <wp:positionH relativeFrom="column">
                  <wp:posOffset>2678151</wp:posOffset>
                </wp:positionH>
                <wp:positionV relativeFrom="paragraph">
                  <wp:posOffset>162419</wp:posOffset>
                </wp:positionV>
                <wp:extent cx="272342" cy="6225"/>
                <wp:effectExtent l="0" t="0" r="0" b="0"/>
                <wp:wrapNone/>
                <wp:docPr id="935785" name="Group 935785"/>
                <wp:cNvGraphicFramePr/>
                <a:graphic xmlns:a="http://schemas.openxmlformats.org/drawingml/2006/main">
                  <a:graphicData uri="http://schemas.microsoft.com/office/word/2010/wordprocessingGroup">
                    <wpg:wgp>
                      <wpg:cNvGrpSpPr/>
                      <wpg:grpSpPr>
                        <a:xfrm>
                          <a:off x="0" y="0"/>
                          <a:ext cx="272342" cy="6225"/>
                          <a:chOff x="0" y="0"/>
                          <a:chExt cx="272342" cy="6225"/>
                        </a:xfrm>
                      </wpg:grpSpPr>
                      <wps:wsp>
                        <wps:cNvPr id="20493" name="Shape 20493"/>
                        <wps:cNvSpPr/>
                        <wps:spPr>
                          <a:xfrm>
                            <a:off x="0" y="0"/>
                            <a:ext cx="272342" cy="0"/>
                          </a:xfrm>
                          <a:custGeom>
                            <a:avLst/>
                            <a:gdLst/>
                            <a:ahLst/>
                            <a:cxnLst/>
                            <a:rect l="0" t="0" r="0" b="0"/>
                            <a:pathLst>
                              <a:path w="272342">
                                <a:moveTo>
                                  <a:pt x="0" y="0"/>
                                </a:moveTo>
                                <a:lnTo>
                                  <a:pt x="272342" y="0"/>
                                </a:lnTo>
                              </a:path>
                            </a:pathLst>
                          </a:custGeom>
                          <a:ln w="6225"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35785" style="width:21.4442pt;height:0.490152pt;position:absolute;z-index:151;mso-position-horizontal-relative:text;mso-position-horizontal:absolute;margin-left:210.878pt;mso-position-vertical-relative:text;margin-top:12.7889pt;" coordsize="2723,62">
                <v:shape id="Shape 20493" style="position:absolute;width:2723;height:0;left:0;top:0;" coordsize="272342,0" path="m0,0l272342,0">
                  <v:stroke weight="0.490152pt" endcap="flat" joinstyle="round" on="true" color="#000000"/>
                  <v:fill on="false" color="#000000" opacity="0"/>
                </v:shape>
              </v:group>
            </w:pict>
          </mc:Fallback>
        </mc:AlternateContent>
      </w:r>
      <w:r>
        <w:rPr>
          <w:rFonts w:ascii="Times New Roman" w:eastAsia="Times New Roman" w:hAnsi="Times New Roman" w:cs="Times New Roman"/>
          <w:i/>
          <w:sz w:val="24"/>
        </w:rPr>
        <w:t>P</w:t>
      </w:r>
      <w:r>
        <w:rPr>
          <w:rFonts w:ascii="Times New Roman" w:eastAsia="Times New Roman" w:hAnsi="Times New Roman" w:cs="Times New Roman"/>
          <w:i/>
          <w:sz w:val="16"/>
        </w:rPr>
        <w:t>E</w:t>
      </w:r>
    </w:p>
    <w:p w:rsidR="0052701D" w:rsidRDefault="00D40929">
      <w:pPr>
        <w:spacing w:after="0"/>
        <w:ind w:left="3616" w:hanging="10"/>
      </w:pPr>
      <w:r>
        <w:rPr>
          <w:rFonts w:ascii="Segoe UI Symbol" w:eastAsia="Segoe UI Symbol" w:hAnsi="Segoe UI Symbol" w:cs="Segoe UI Symbol"/>
          <w:sz w:val="26"/>
        </w:rPr>
        <w:t></w:t>
      </w:r>
      <w:r>
        <w:rPr>
          <w:rFonts w:ascii="Times New Roman" w:eastAsia="Times New Roman" w:hAnsi="Times New Roman" w:cs="Times New Roman"/>
          <w:i/>
          <w:sz w:val="16"/>
        </w:rPr>
        <w:t xml:space="preserve">H </w:t>
      </w:r>
      <w:r>
        <w:rPr>
          <w:rFonts w:ascii="Segoe UI Symbol" w:eastAsia="Segoe UI Symbol" w:hAnsi="Segoe UI Symbol" w:cs="Segoe UI Symbol"/>
          <w:sz w:val="24"/>
        </w:rPr>
        <w:t></w:t>
      </w:r>
    </w:p>
    <w:p w:rsidR="0052701D" w:rsidRDefault="00D40929">
      <w:pPr>
        <w:spacing w:after="3"/>
        <w:ind w:left="10" w:right="43" w:hanging="10"/>
        <w:jc w:val="right"/>
      </w:pPr>
      <w:r>
        <w:rPr>
          <w:rFonts w:ascii="Times New Roman" w:eastAsia="Times New Roman" w:hAnsi="Times New Roman" w:cs="Times New Roman"/>
          <w:i/>
          <w:sz w:val="37"/>
          <w:vertAlign w:val="superscript"/>
        </w:rPr>
        <w:t>M</w:t>
      </w:r>
      <w:r>
        <w:rPr>
          <w:rFonts w:ascii="Times New Roman" w:eastAsia="Times New Roman" w:hAnsi="Times New Roman" w:cs="Times New Roman"/>
          <w:i/>
          <w:sz w:val="25"/>
          <w:vertAlign w:val="subscript"/>
        </w:rPr>
        <w:t xml:space="preserve">H </w:t>
      </w:r>
      <w:r>
        <w:rPr>
          <w:rFonts w:ascii="Times New Roman" w:eastAsia="Times New Roman" w:hAnsi="Times New Roman" w:cs="Times New Roman"/>
          <w:sz w:val="28"/>
        </w:rPr>
        <w:t xml:space="preserve">.                                                                 (7) </w:t>
      </w:r>
    </w:p>
    <w:p w:rsidR="0052701D" w:rsidRDefault="00D40929">
      <w:pPr>
        <w:spacing w:after="5" w:line="271" w:lineRule="auto"/>
        <w:ind w:left="9" w:right="64" w:firstLine="711"/>
        <w:jc w:val="both"/>
      </w:pPr>
      <w:r>
        <w:rPr>
          <w:rFonts w:ascii="Times New Roman" w:eastAsia="Times New Roman" w:hAnsi="Times New Roman" w:cs="Times New Roman"/>
          <w:sz w:val="28"/>
        </w:rPr>
        <w:t>(7) теңдеу күштердің бейімделу әсерін анықтайды: электромеханикалық жүйе электр қозғалтқышының тұрақты кіріс қуаты кезінде шығыс бұрыштық жылдамдықты кедергінің айнымалы моментіне бейім</w:t>
      </w:r>
      <w:r>
        <w:rPr>
          <w:rFonts w:ascii="Times New Roman" w:eastAsia="Times New Roman" w:hAnsi="Times New Roman" w:cs="Times New Roman"/>
          <w:sz w:val="28"/>
        </w:rPr>
        <w:t xml:space="preserve">деуді қамтамасыз етеді.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Әрі қарай тепе-теңдік шарттарынан қуат параметрлерінің өзара әрекеттесуін анықтаймыз. </w:t>
      </w:r>
    </w:p>
    <w:p w:rsidR="0052701D" w:rsidRDefault="00D40929">
      <w:pPr>
        <w:spacing w:after="173" w:line="271" w:lineRule="auto"/>
        <w:ind w:left="9" w:right="64" w:firstLine="711"/>
        <w:jc w:val="both"/>
      </w:pPr>
      <w:r>
        <w:rPr>
          <w:rFonts w:ascii="Times New Roman" w:eastAsia="Times New Roman" w:hAnsi="Times New Roman" w:cs="Times New Roman"/>
          <w:sz w:val="28"/>
        </w:rPr>
        <w:t>1-4 сілтемеде теңгерімсіз момент әрекет етеді. Ол статордың қозғаушы моменті мен тасымалдаушыдан спутникке берілген қарсылық моментінің айырмашы</w:t>
      </w:r>
      <w:r>
        <w:rPr>
          <w:rFonts w:ascii="Times New Roman" w:eastAsia="Times New Roman" w:hAnsi="Times New Roman" w:cs="Times New Roman"/>
          <w:sz w:val="28"/>
        </w:rPr>
        <w:t xml:space="preserve">лығына тең: </w:t>
      </w:r>
    </w:p>
    <w:p w:rsidR="0052701D" w:rsidRDefault="00D40929">
      <w:pPr>
        <w:spacing w:after="1" w:line="248" w:lineRule="auto"/>
        <w:ind w:left="2666" w:right="4393" w:firstLine="1702"/>
        <w:jc w:val="both"/>
      </w:pPr>
      <w:r>
        <w:rPr>
          <w:noProof/>
        </w:rPr>
        <mc:AlternateContent>
          <mc:Choice Requires="wpg">
            <w:drawing>
              <wp:anchor distT="0" distB="0" distL="114300" distR="114300" simplePos="0" relativeHeight="251756544" behindDoc="0" locked="0" layoutInCell="1" allowOverlap="1">
                <wp:simplePos x="0" y="0"/>
                <wp:positionH relativeFrom="column">
                  <wp:posOffset>2759029</wp:posOffset>
                </wp:positionH>
                <wp:positionV relativeFrom="paragraph">
                  <wp:posOffset>128109</wp:posOffset>
                </wp:positionV>
                <wp:extent cx="275546" cy="6263"/>
                <wp:effectExtent l="0" t="0" r="0" b="0"/>
                <wp:wrapNone/>
                <wp:docPr id="936539" name="Group 936539"/>
                <wp:cNvGraphicFramePr/>
                <a:graphic xmlns:a="http://schemas.openxmlformats.org/drawingml/2006/main">
                  <a:graphicData uri="http://schemas.microsoft.com/office/word/2010/wordprocessingGroup">
                    <wpg:wgp>
                      <wpg:cNvGrpSpPr/>
                      <wpg:grpSpPr>
                        <a:xfrm>
                          <a:off x="0" y="0"/>
                          <a:ext cx="275546" cy="6263"/>
                          <a:chOff x="0" y="0"/>
                          <a:chExt cx="275546" cy="6263"/>
                        </a:xfrm>
                      </wpg:grpSpPr>
                      <wps:wsp>
                        <wps:cNvPr id="20531" name="Shape 20531"/>
                        <wps:cNvSpPr/>
                        <wps:spPr>
                          <a:xfrm>
                            <a:off x="0" y="0"/>
                            <a:ext cx="275546" cy="0"/>
                          </a:xfrm>
                          <a:custGeom>
                            <a:avLst/>
                            <a:gdLst/>
                            <a:ahLst/>
                            <a:cxnLst/>
                            <a:rect l="0" t="0" r="0" b="0"/>
                            <a:pathLst>
                              <a:path w="275546">
                                <a:moveTo>
                                  <a:pt x="0" y="0"/>
                                </a:moveTo>
                                <a:lnTo>
                                  <a:pt x="275546" y="0"/>
                                </a:lnTo>
                              </a:path>
                            </a:pathLst>
                          </a:custGeom>
                          <a:ln w="626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36539" style="width:21.6965pt;height:0.493125pt;position:absolute;z-index:8;mso-position-horizontal-relative:text;mso-position-horizontal:absolute;margin-left:217.246pt;mso-position-vertical-relative:text;margin-top:10.0873pt;" coordsize="2755,62">
                <v:shape id="Shape 20531" style="position:absolute;width:2755;height:0;left:0;top:0;" coordsize="275546,0" path="m0,0l275546,0">
                  <v:stroke weight="0.493125pt" endcap="flat" joinstyle="round" on="true" color="#000000"/>
                  <v:fill on="false" color="#000000" opacity="0"/>
                </v:shape>
              </v:group>
            </w:pict>
          </mc:Fallback>
        </mc:AlternateContent>
      </w:r>
      <w:r>
        <w:rPr>
          <w:rFonts w:ascii="Times New Roman" w:eastAsia="Times New Roman" w:hAnsi="Times New Roman" w:cs="Times New Roman"/>
          <w:i/>
          <w:sz w:val="24"/>
        </w:rPr>
        <w:t>M</w:t>
      </w:r>
      <w:r>
        <w:rPr>
          <w:rFonts w:ascii="Times New Roman" w:eastAsia="Times New Roman" w:hAnsi="Times New Roman" w:cs="Times New Roman"/>
          <w:i/>
          <w:sz w:val="24"/>
          <w:vertAlign w:val="superscript"/>
        </w:rPr>
        <w:t xml:space="preserve">H </w:t>
      </w:r>
      <w:r>
        <w:rPr>
          <w:rFonts w:ascii="Times New Roman" w:eastAsia="Times New Roman" w:hAnsi="Times New Roman" w:cs="Times New Roman"/>
          <w:i/>
          <w:sz w:val="24"/>
        </w:rPr>
        <w:t>r</w:t>
      </w:r>
      <w:r>
        <w:rPr>
          <w:rFonts w:ascii="Times New Roman" w:eastAsia="Times New Roman" w:hAnsi="Times New Roman" w:cs="Times New Roman"/>
          <w:sz w:val="24"/>
          <w:vertAlign w:val="subscript"/>
        </w:rPr>
        <w:t xml:space="preserve">4 </w:t>
      </w:r>
      <w:r>
        <w:rPr>
          <w:rFonts w:ascii="Times New Roman" w:eastAsia="Times New Roman" w:hAnsi="Times New Roman" w:cs="Times New Roman"/>
          <w:i/>
          <w:sz w:val="24"/>
        </w:rPr>
        <w:t>M</w:t>
      </w:r>
      <w:r>
        <w:rPr>
          <w:rFonts w:ascii="Times New Roman" w:eastAsia="Times New Roman" w:hAnsi="Times New Roman" w:cs="Times New Roman"/>
          <w:sz w:val="24"/>
          <w:vertAlign w:val="subscript"/>
        </w:rPr>
        <w:t xml:space="preserve">4 </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Times New Roman" w:eastAsia="Times New Roman" w:hAnsi="Times New Roman" w:cs="Times New Roman"/>
          <w:i/>
          <w:sz w:val="24"/>
        </w:rPr>
        <w:t>M</w:t>
      </w:r>
      <w:r>
        <w:rPr>
          <w:rFonts w:ascii="Times New Roman" w:eastAsia="Times New Roman" w:hAnsi="Times New Roman" w:cs="Times New Roman"/>
          <w:i/>
          <w:sz w:val="24"/>
          <w:vertAlign w:val="subscript"/>
        </w:rPr>
        <w:t xml:space="preserve">E </w:t>
      </w:r>
      <w:r>
        <w:rPr>
          <w:rFonts w:ascii="Segoe UI Symbol" w:eastAsia="Segoe UI Symbol" w:hAnsi="Segoe UI Symbol" w:cs="Segoe UI Symbol"/>
          <w:sz w:val="24"/>
        </w:rPr>
        <w:t xml:space="preserve"> </w:t>
      </w:r>
      <w:r>
        <w:rPr>
          <w:rFonts w:ascii="Times New Roman" w:eastAsia="Times New Roman" w:hAnsi="Times New Roman" w:cs="Times New Roman"/>
          <w:sz w:val="24"/>
        </w:rPr>
        <w:t>0.5</w:t>
      </w:r>
    </w:p>
    <w:p w:rsidR="0052701D" w:rsidRDefault="00D40929">
      <w:pPr>
        <w:tabs>
          <w:tab w:val="center" w:pos="802"/>
          <w:tab w:val="center" w:pos="4541"/>
          <w:tab w:val="right" w:pos="9681"/>
        </w:tabs>
        <w:spacing w:after="49"/>
      </w:pPr>
      <w:r>
        <w:tab/>
      </w:r>
      <w:r>
        <w:rPr>
          <w:rFonts w:ascii="Times New Roman" w:eastAsia="Times New Roman" w:hAnsi="Times New Roman" w:cs="Times New Roman"/>
          <w:sz w:val="28"/>
        </w:rPr>
        <w:t xml:space="preserve">                          </w:t>
      </w:r>
      <w:r>
        <w:rPr>
          <w:rFonts w:ascii="Times New Roman" w:eastAsia="Times New Roman" w:hAnsi="Times New Roman" w:cs="Times New Roman"/>
          <w:sz w:val="28"/>
        </w:rPr>
        <w:tab/>
      </w:r>
      <w:r>
        <w:rPr>
          <w:rFonts w:ascii="Times New Roman" w:eastAsia="Times New Roman" w:hAnsi="Times New Roman" w:cs="Times New Roman"/>
          <w:i/>
          <w:sz w:val="24"/>
        </w:rPr>
        <w:t>r</w:t>
      </w:r>
      <w:r>
        <w:rPr>
          <w:rFonts w:ascii="Times New Roman" w:eastAsia="Times New Roman" w:hAnsi="Times New Roman" w:cs="Times New Roman"/>
          <w:i/>
          <w:sz w:val="24"/>
          <w:vertAlign w:val="subscript"/>
        </w:rPr>
        <w:t>H</w:t>
      </w:r>
      <w:r>
        <w:rPr>
          <w:rFonts w:ascii="Times New Roman" w:eastAsia="Times New Roman" w:hAnsi="Times New Roman" w:cs="Times New Roman"/>
          <w:i/>
          <w:sz w:val="24"/>
          <w:vertAlign w:val="subscript"/>
        </w:rPr>
        <w:tab/>
      </w:r>
      <w:r>
        <w:rPr>
          <w:rFonts w:ascii="Times New Roman" w:eastAsia="Times New Roman" w:hAnsi="Times New Roman" w:cs="Times New Roman"/>
          <w:sz w:val="28"/>
        </w:rPr>
        <w:t xml:space="preserve">                                                           </w:t>
      </w:r>
      <w:r>
        <w:rPr>
          <w:rFonts w:ascii="Times New Roman" w:eastAsia="Times New Roman" w:hAnsi="Times New Roman" w:cs="Times New Roman"/>
          <w:b/>
          <w:i/>
          <w:sz w:val="28"/>
        </w:rPr>
        <w:t xml:space="preserve"> </w:t>
      </w:r>
      <w:r>
        <w:rPr>
          <w:rFonts w:ascii="Times New Roman" w:eastAsia="Times New Roman" w:hAnsi="Times New Roman" w:cs="Times New Roman"/>
          <w:sz w:val="28"/>
        </w:rPr>
        <w:t xml:space="preserve">(8) </w:t>
      </w:r>
    </w:p>
    <w:p w:rsidR="0052701D" w:rsidRDefault="00D40929">
      <w:pPr>
        <w:spacing w:after="172" w:line="271" w:lineRule="auto"/>
        <w:ind w:left="9" w:right="64" w:firstLine="711"/>
        <w:jc w:val="both"/>
      </w:pPr>
      <w:r>
        <w:rPr>
          <w:rFonts w:ascii="Times New Roman" w:eastAsia="Times New Roman" w:hAnsi="Times New Roman" w:cs="Times New Roman"/>
          <w:sz w:val="28"/>
        </w:rPr>
        <w:lastRenderedPageBreak/>
        <w:t>2-</w:t>
      </w:r>
      <w:r>
        <w:rPr>
          <w:rFonts w:ascii="Times New Roman" w:eastAsia="Times New Roman" w:hAnsi="Times New Roman" w:cs="Times New Roman"/>
          <w:sz w:val="28"/>
        </w:rPr>
        <w:t xml:space="preserve">6 сілтемеде теңгерімсіз момент әрекет етеді. Ол ротордың қозғаушы моменті мен тасымалдаушыдан спутникке берілген қарсылық моментінің айырмашылығына тең: </w:t>
      </w:r>
    </w:p>
    <w:p w:rsidR="0052701D" w:rsidRDefault="00D40929">
      <w:pPr>
        <w:spacing w:after="5" w:line="250" w:lineRule="auto"/>
        <w:ind w:left="723" w:right="832" w:hanging="10"/>
        <w:jc w:val="center"/>
      </w:pPr>
      <w:r>
        <w:rPr>
          <w:noProof/>
        </w:rPr>
        <mc:AlternateContent>
          <mc:Choice Requires="wpg">
            <w:drawing>
              <wp:anchor distT="0" distB="0" distL="114300" distR="114300" simplePos="0" relativeHeight="251757568" behindDoc="0" locked="0" layoutInCell="1" allowOverlap="1">
                <wp:simplePos x="0" y="0"/>
                <wp:positionH relativeFrom="column">
                  <wp:posOffset>2827030</wp:posOffset>
                </wp:positionH>
                <wp:positionV relativeFrom="paragraph">
                  <wp:posOffset>127922</wp:posOffset>
                </wp:positionV>
                <wp:extent cx="277584" cy="6273"/>
                <wp:effectExtent l="0" t="0" r="0" b="0"/>
                <wp:wrapNone/>
                <wp:docPr id="936540" name="Group 936540"/>
                <wp:cNvGraphicFramePr/>
                <a:graphic xmlns:a="http://schemas.openxmlformats.org/drawingml/2006/main">
                  <a:graphicData uri="http://schemas.microsoft.com/office/word/2010/wordprocessingGroup">
                    <wpg:wgp>
                      <wpg:cNvGrpSpPr/>
                      <wpg:grpSpPr>
                        <a:xfrm>
                          <a:off x="0" y="0"/>
                          <a:ext cx="277584" cy="6273"/>
                          <a:chOff x="0" y="0"/>
                          <a:chExt cx="277584" cy="6273"/>
                        </a:xfrm>
                      </wpg:grpSpPr>
                      <wps:wsp>
                        <wps:cNvPr id="20558" name="Shape 20558"/>
                        <wps:cNvSpPr/>
                        <wps:spPr>
                          <a:xfrm>
                            <a:off x="0" y="0"/>
                            <a:ext cx="277584" cy="0"/>
                          </a:xfrm>
                          <a:custGeom>
                            <a:avLst/>
                            <a:gdLst/>
                            <a:ahLst/>
                            <a:cxnLst/>
                            <a:rect l="0" t="0" r="0" b="0"/>
                            <a:pathLst>
                              <a:path w="277584">
                                <a:moveTo>
                                  <a:pt x="0" y="0"/>
                                </a:moveTo>
                                <a:lnTo>
                                  <a:pt x="277584" y="0"/>
                                </a:lnTo>
                              </a:path>
                            </a:pathLst>
                          </a:custGeom>
                          <a:ln w="627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36540" style="width:21.857pt;height:0.493967pt;position:absolute;z-index:35;mso-position-horizontal-relative:text;mso-position-horizontal:absolute;margin-left:222.601pt;mso-position-vertical-relative:text;margin-top:10.0726pt;" coordsize="2775,62">
                <v:shape id="Shape 20558" style="position:absolute;width:2775;height:0;left:0;top:0;" coordsize="277584,0" path="m0,0l277584,0">
                  <v:stroke weight="0.493967pt" endcap="flat" joinstyle="round" on="true" color="#000000"/>
                  <v:fill on="false" color="#000000" opacity="0"/>
                </v:shape>
              </v:group>
            </w:pict>
          </mc:Fallback>
        </mc:AlternateContent>
      </w:r>
      <w:r>
        <w:rPr>
          <w:rFonts w:ascii="Times New Roman" w:eastAsia="Times New Roman" w:hAnsi="Times New Roman" w:cs="Times New Roman"/>
          <w:i/>
          <w:sz w:val="24"/>
        </w:rPr>
        <w:t>M</w:t>
      </w:r>
      <w:r>
        <w:rPr>
          <w:rFonts w:ascii="Times New Roman" w:eastAsia="Times New Roman" w:hAnsi="Times New Roman" w:cs="Times New Roman"/>
          <w:i/>
          <w:sz w:val="24"/>
          <w:vertAlign w:val="superscript"/>
        </w:rPr>
        <w:t xml:space="preserve">H </w:t>
      </w:r>
      <w:r>
        <w:rPr>
          <w:rFonts w:ascii="Times New Roman" w:eastAsia="Times New Roman" w:hAnsi="Times New Roman" w:cs="Times New Roman"/>
          <w:i/>
          <w:sz w:val="24"/>
        </w:rPr>
        <w:t>r</w:t>
      </w:r>
      <w:r>
        <w:rPr>
          <w:rFonts w:ascii="Times New Roman" w:eastAsia="Times New Roman" w:hAnsi="Times New Roman" w:cs="Times New Roman"/>
          <w:sz w:val="24"/>
          <w:vertAlign w:val="subscript"/>
        </w:rPr>
        <w:t>6</w:t>
      </w:r>
    </w:p>
    <w:p w:rsidR="0052701D" w:rsidRDefault="00D40929">
      <w:pPr>
        <w:spacing w:after="29" w:line="248" w:lineRule="auto"/>
        <w:ind w:left="2906" w:right="14"/>
        <w:jc w:val="both"/>
      </w:pPr>
      <w:r>
        <w:rPr>
          <w:rFonts w:ascii="Times New Roman" w:eastAsia="Times New Roman" w:hAnsi="Times New Roman" w:cs="Times New Roman"/>
          <w:i/>
          <w:sz w:val="24"/>
        </w:rPr>
        <w:t>M</w:t>
      </w:r>
      <w:r>
        <w:rPr>
          <w:rFonts w:ascii="Times New Roman" w:eastAsia="Times New Roman" w:hAnsi="Times New Roman" w:cs="Times New Roman"/>
          <w:sz w:val="24"/>
          <w:vertAlign w:val="subscript"/>
        </w:rPr>
        <w:t xml:space="preserve">6 </w:t>
      </w:r>
      <w:r>
        <w:rPr>
          <w:rFonts w:ascii="Segoe UI Symbol" w:eastAsia="Segoe UI Symbol" w:hAnsi="Segoe UI Symbol" w:cs="Segoe UI Symbol"/>
          <w:sz w:val="24"/>
        </w:rPr>
        <w:t xml:space="preserve"> </w:t>
      </w:r>
      <w:r>
        <w:rPr>
          <w:rFonts w:ascii="Times New Roman" w:eastAsia="Times New Roman" w:hAnsi="Times New Roman" w:cs="Times New Roman"/>
          <w:i/>
          <w:sz w:val="24"/>
        </w:rPr>
        <w:t>M</w:t>
      </w:r>
      <w:r>
        <w:rPr>
          <w:rFonts w:ascii="Times New Roman" w:eastAsia="Times New Roman" w:hAnsi="Times New Roman" w:cs="Times New Roman"/>
          <w:i/>
          <w:sz w:val="24"/>
          <w:vertAlign w:val="subscript"/>
        </w:rPr>
        <w:t xml:space="preserve">E </w:t>
      </w:r>
      <w:r>
        <w:rPr>
          <w:rFonts w:ascii="Segoe UI Symbol" w:eastAsia="Segoe UI Symbol" w:hAnsi="Segoe UI Symbol" w:cs="Segoe UI Symbol"/>
          <w:sz w:val="24"/>
        </w:rPr>
        <w:t xml:space="preserve"> </w:t>
      </w:r>
      <w:r>
        <w:rPr>
          <w:rFonts w:ascii="Times New Roman" w:eastAsia="Times New Roman" w:hAnsi="Times New Roman" w:cs="Times New Roman"/>
          <w:sz w:val="24"/>
        </w:rPr>
        <w:t>0.5</w:t>
      </w:r>
    </w:p>
    <w:p w:rsidR="0052701D" w:rsidRDefault="00D40929">
      <w:pPr>
        <w:tabs>
          <w:tab w:val="center" w:pos="4649"/>
          <w:tab w:val="right" w:pos="9681"/>
        </w:tabs>
        <w:spacing w:after="46"/>
      </w:pPr>
      <w:r>
        <w:tab/>
      </w:r>
      <w:r>
        <w:rPr>
          <w:rFonts w:ascii="Times New Roman" w:eastAsia="Times New Roman" w:hAnsi="Times New Roman" w:cs="Times New Roman"/>
          <w:i/>
          <w:sz w:val="24"/>
        </w:rPr>
        <w:t>r</w:t>
      </w:r>
      <w:r>
        <w:rPr>
          <w:rFonts w:ascii="Times New Roman" w:eastAsia="Times New Roman" w:hAnsi="Times New Roman" w:cs="Times New Roman"/>
          <w:i/>
          <w:sz w:val="24"/>
          <w:vertAlign w:val="subscript"/>
        </w:rPr>
        <w:t>H</w:t>
      </w:r>
      <w:r>
        <w:rPr>
          <w:rFonts w:ascii="Times New Roman" w:eastAsia="Times New Roman" w:hAnsi="Times New Roman" w:cs="Times New Roman"/>
          <w:i/>
          <w:sz w:val="24"/>
          <w:vertAlign w:val="subscript"/>
        </w:rPr>
        <w:tab/>
      </w:r>
      <w:r>
        <w:rPr>
          <w:rFonts w:ascii="Times New Roman" w:eastAsia="Times New Roman" w:hAnsi="Times New Roman" w:cs="Times New Roman"/>
          <w:sz w:val="28"/>
        </w:rPr>
        <w:t xml:space="preserve">.                                                           (9) </w:t>
      </w:r>
    </w:p>
    <w:p w:rsidR="0052701D" w:rsidRDefault="00D40929">
      <w:pPr>
        <w:spacing w:after="165" w:line="271" w:lineRule="auto"/>
        <w:ind w:left="9" w:right="64" w:firstLine="711"/>
        <w:jc w:val="both"/>
      </w:pPr>
      <w:r>
        <w:rPr>
          <w:rFonts w:ascii="Times New Roman" w:eastAsia="Times New Roman" w:hAnsi="Times New Roman" w:cs="Times New Roman"/>
          <w:sz w:val="28"/>
        </w:rPr>
        <w:t>Алайда, [3]-</w:t>
      </w:r>
      <w:r>
        <w:rPr>
          <w:rFonts w:ascii="Times New Roman" w:eastAsia="Times New Roman" w:hAnsi="Times New Roman" w:cs="Times New Roman"/>
          <w:sz w:val="28"/>
        </w:rPr>
        <w:t xml:space="preserve">де көрсетілгендей, тұтас жүйе тепе-теңдікте, өйткені идеалды жүйе үшін ішкі күштердің жұмысының (немесе қуаттарының) қосындысы нөлге тең: </w:t>
      </w:r>
    </w:p>
    <w:p w:rsidR="0052701D" w:rsidRDefault="00D40929">
      <w:pPr>
        <w:spacing w:after="3"/>
        <w:ind w:left="10" w:right="43" w:hanging="10"/>
        <w:jc w:val="right"/>
      </w:pPr>
      <w:r>
        <w:rPr>
          <w:rFonts w:ascii="Times New Roman" w:eastAsia="Times New Roman" w:hAnsi="Times New Roman" w:cs="Times New Roman"/>
          <w:i/>
          <w:sz w:val="36"/>
          <w:vertAlign w:val="superscript"/>
        </w:rPr>
        <w:t>M</w:t>
      </w:r>
      <w:r>
        <w:rPr>
          <w:rFonts w:ascii="Times New Roman" w:eastAsia="Times New Roman" w:hAnsi="Times New Roman" w:cs="Times New Roman"/>
          <w:sz w:val="24"/>
          <w:vertAlign w:val="subscript"/>
        </w:rPr>
        <w:t>6</w:t>
      </w:r>
      <w:r>
        <w:rPr>
          <w:rFonts w:ascii="Segoe UI Symbol" w:eastAsia="Segoe UI Symbol" w:hAnsi="Segoe UI Symbol" w:cs="Segoe UI Symbol"/>
          <w:sz w:val="38"/>
          <w:vertAlign w:val="superscript"/>
        </w:rPr>
        <w:t></w:t>
      </w:r>
      <w:r>
        <w:rPr>
          <w:rFonts w:ascii="Times New Roman" w:eastAsia="Times New Roman" w:hAnsi="Times New Roman" w:cs="Times New Roman"/>
          <w:sz w:val="24"/>
          <w:vertAlign w:val="subscript"/>
        </w:rPr>
        <w:t xml:space="preserve">6 </w:t>
      </w:r>
      <w:r>
        <w:rPr>
          <w:rFonts w:ascii="Segoe UI Symbol" w:eastAsia="Segoe UI Symbol" w:hAnsi="Segoe UI Symbol" w:cs="Segoe UI Symbol"/>
          <w:sz w:val="36"/>
          <w:vertAlign w:val="superscript"/>
        </w:rPr>
        <w:t xml:space="preserve"> </w:t>
      </w:r>
      <w:r>
        <w:rPr>
          <w:rFonts w:ascii="Times New Roman" w:eastAsia="Times New Roman" w:hAnsi="Times New Roman" w:cs="Times New Roman"/>
          <w:i/>
          <w:sz w:val="36"/>
          <w:vertAlign w:val="superscript"/>
        </w:rPr>
        <w:t>M</w:t>
      </w:r>
      <w:r>
        <w:rPr>
          <w:rFonts w:ascii="Times New Roman" w:eastAsia="Times New Roman" w:hAnsi="Times New Roman" w:cs="Times New Roman"/>
          <w:sz w:val="24"/>
          <w:vertAlign w:val="subscript"/>
        </w:rPr>
        <w:t>4</w:t>
      </w:r>
      <w:r>
        <w:rPr>
          <w:rFonts w:ascii="Segoe UI Symbol" w:eastAsia="Segoe UI Symbol" w:hAnsi="Segoe UI Symbol" w:cs="Segoe UI Symbol"/>
          <w:sz w:val="38"/>
          <w:vertAlign w:val="superscript"/>
        </w:rPr>
        <w:t></w:t>
      </w:r>
      <w:r>
        <w:rPr>
          <w:rFonts w:ascii="Times New Roman" w:eastAsia="Times New Roman" w:hAnsi="Times New Roman" w:cs="Times New Roman"/>
          <w:sz w:val="24"/>
          <w:vertAlign w:val="subscript"/>
        </w:rPr>
        <w:t xml:space="preserve">4 </w:t>
      </w:r>
      <w:r>
        <w:rPr>
          <w:rFonts w:ascii="Segoe UI Symbol" w:eastAsia="Segoe UI Symbol" w:hAnsi="Segoe UI Symbol" w:cs="Segoe UI Symbol"/>
          <w:sz w:val="36"/>
          <w:vertAlign w:val="superscript"/>
        </w:rPr>
        <w:t xml:space="preserve"> </w:t>
      </w:r>
      <w:r>
        <w:rPr>
          <w:rFonts w:ascii="Times New Roman" w:eastAsia="Times New Roman" w:hAnsi="Times New Roman" w:cs="Times New Roman"/>
          <w:sz w:val="36"/>
          <w:vertAlign w:val="superscript"/>
        </w:rPr>
        <w:t>0</w:t>
      </w:r>
      <w:r>
        <w:rPr>
          <w:rFonts w:ascii="Times New Roman" w:eastAsia="Times New Roman" w:hAnsi="Times New Roman" w:cs="Times New Roman"/>
          <w:sz w:val="28"/>
        </w:rPr>
        <w:t xml:space="preserve">.                                                            (10)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(10) </w:t>
      </w:r>
      <w:r>
        <w:rPr>
          <w:rFonts w:ascii="Times New Roman" w:eastAsia="Times New Roman" w:hAnsi="Times New Roman" w:cs="Times New Roman"/>
          <w:sz w:val="28"/>
        </w:rPr>
        <w:tab/>
        <w:t xml:space="preserve">шарттың </w:t>
      </w:r>
      <w:r>
        <w:rPr>
          <w:rFonts w:ascii="Times New Roman" w:eastAsia="Times New Roman" w:hAnsi="Times New Roman" w:cs="Times New Roman"/>
          <w:sz w:val="28"/>
        </w:rPr>
        <w:tab/>
        <w:t xml:space="preserve">орындалуы </w:t>
      </w:r>
      <w:r>
        <w:rPr>
          <w:rFonts w:ascii="Times New Roman" w:eastAsia="Times New Roman" w:hAnsi="Times New Roman" w:cs="Times New Roman"/>
          <w:sz w:val="28"/>
        </w:rPr>
        <w:tab/>
        <w:t xml:space="preserve">орындалған </w:t>
      </w:r>
      <w:r>
        <w:rPr>
          <w:rFonts w:ascii="Times New Roman" w:eastAsia="Times New Roman" w:hAnsi="Times New Roman" w:cs="Times New Roman"/>
          <w:sz w:val="28"/>
        </w:rPr>
        <w:tab/>
        <w:t xml:space="preserve">теориялық </w:t>
      </w:r>
      <w:r>
        <w:rPr>
          <w:rFonts w:ascii="Times New Roman" w:eastAsia="Times New Roman" w:hAnsi="Times New Roman" w:cs="Times New Roman"/>
          <w:sz w:val="28"/>
        </w:rPr>
        <w:tab/>
        <w:t xml:space="preserve">жұмыстардың дұрыстығының критерийі болып табылады. </w:t>
      </w:r>
    </w:p>
    <w:p w:rsidR="0052701D" w:rsidRDefault="00D40929">
      <w:pPr>
        <w:spacing w:after="75"/>
        <w:ind w:left="711"/>
      </w:pPr>
      <w:r>
        <w:rPr>
          <w:rFonts w:ascii="Times New Roman" w:eastAsia="Times New Roman" w:hAnsi="Times New Roman" w:cs="Times New Roman"/>
          <w:sz w:val="24"/>
        </w:rPr>
        <w:t xml:space="preserve"> </w:t>
      </w:r>
    </w:p>
    <w:p w:rsidR="0052701D" w:rsidRDefault="00D40929">
      <w:pPr>
        <w:spacing w:after="229" w:line="251" w:lineRule="auto"/>
        <w:ind w:left="720" w:firstLine="9"/>
      </w:pPr>
      <w:r>
        <w:rPr>
          <w:rFonts w:ascii="Times New Roman" w:eastAsia="Times New Roman" w:hAnsi="Times New Roman" w:cs="Times New Roman"/>
          <w:b/>
          <w:sz w:val="28"/>
        </w:rPr>
        <w:t xml:space="preserve">Адаптивті электр жетекті есептеу данасы </w:t>
      </w:r>
    </w:p>
    <w:p w:rsidR="0052701D" w:rsidRDefault="00D40929">
      <w:pPr>
        <w:spacing w:after="76"/>
        <w:ind w:left="711"/>
      </w:pPr>
      <w:r>
        <w:rPr>
          <w:rFonts w:ascii="Times New Roman" w:eastAsia="Times New Roman" w:hAnsi="Times New Roman" w:cs="Times New Roman"/>
          <w:sz w:val="43"/>
          <w:vertAlign w:val="subscript"/>
        </w:rPr>
        <w:t xml:space="preserve">Берілген: электр қозғалтқыш моменті </w:t>
      </w:r>
      <w:r>
        <w:rPr>
          <w:rFonts w:ascii="Times New Roman" w:eastAsia="Times New Roman" w:hAnsi="Times New Roman" w:cs="Times New Roman"/>
          <w:i/>
          <w:sz w:val="24"/>
        </w:rPr>
        <w:t>M</w:t>
      </w:r>
      <w:r>
        <w:rPr>
          <w:rFonts w:ascii="Times New Roman" w:eastAsia="Times New Roman" w:hAnsi="Times New Roman" w:cs="Times New Roman"/>
          <w:i/>
          <w:sz w:val="16"/>
        </w:rPr>
        <w:t xml:space="preserve">E </w:t>
      </w:r>
      <w:r>
        <w:rPr>
          <w:rFonts w:ascii="Segoe UI Symbol" w:eastAsia="Segoe UI Symbol" w:hAnsi="Segoe UI Symbol" w:cs="Segoe UI Symbol"/>
          <w:sz w:val="24"/>
        </w:rPr>
        <w:t></w:t>
      </w:r>
      <w:r>
        <w:rPr>
          <w:rFonts w:ascii="Times New Roman" w:eastAsia="Times New Roman" w:hAnsi="Times New Roman" w:cs="Times New Roman"/>
          <w:sz w:val="24"/>
        </w:rPr>
        <w:t>100</w:t>
      </w:r>
      <w:r>
        <w:rPr>
          <w:rFonts w:ascii="Times New Roman" w:eastAsia="Times New Roman" w:hAnsi="Times New Roman" w:cs="Times New Roman"/>
          <w:i/>
          <w:sz w:val="24"/>
        </w:rPr>
        <w:t>Nm</w:t>
      </w:r>
      <w:r>
        <w:rPr>
          <w:rFonts w:ascii="Times New Roman" w:eastAsia="Times New Roman" w:hAnsi="Times New Roman" w:cs="Times New Roman"/>
          <w:sz w:val="28"/>
        </w:rPr>
        <w:t xml:space="preserve">, кедергі моменті </w:t>
      </w:r>
    </w:p>
    <w:p w:rsidR="0052701D" w:rsidRDefault="00D40929">
      <w:pPr>
        <w:spacing w:after="217" w:line="271" w:lineRule="auto"/>
        <w:ind w:left="9" w:right="64"/>
        <w:jc w:val="both"/>
      </w:pPr>
      <w:r>
        <w:rPr>
          <w:rFonts w:ascii="Times New Roman" w:eastAsia="Times New Roman" w:hAnsi="Times New Roman" w:cs="Times New Roman"/>
          <w:i/>
          <w:sz w:val="24"/>
        </w:rPr>
        <w:t>M</w:t>
      </w:r>
      <w:r>
        <w:rPr>
          <w:rFonts w:ascii="Times New Roman" w:eastAsia="Times New Roman" w:hAnsi="Times New Roman" w:cs="Times New Roman"/>
          <w:i/>
          <w:sz w:val="16"/>
        </w:rPr>
        <w:t xml:space="preserve">H </w:t>
      </w:r>
      <w:r>
        <w:rPr>
          <w:rFonts w:ascii="Segoe UI Symbol" w:eastAsia="Segoe UI Symbol" w:hAnsi="Segoe UI Symbol" w:cs="Segoe UI Symbol"/>
          <w:sz w:val="24"/>
        </w:rPr>
        <w:t></w:t>
      </w:r>
      <w:r>
        <w:rPr>
          <w:rFonts w:ascii="Times New Roman" w:eastAsia="Times New Roman" w:hAnsi="Times New Roman" w:cs="Times New Roman"/>
          <w:sz w:val="24"/>
        </w:rPr>
        <w:t>100</w:t>
      </w:r>
      <w:r>
        <w:rPr>
          <w:rFonts w:ascii="Times New Roman" w:eastAsia="Times New Roman" w:hAnsi="Times New Roman" w:cs="Times New Roman"/>
          <w:i/>
          <w:sz w:val="24"/>
        </w:rPr>
        <w:t>Nm</w:t>
      </w:r>
      <w:r>
        <w:rPr>
          <w:rFonts w:ascii="Times New Roman" w:eastAsia="Times New Roman" w:hAnsi="Times New Roman" w:cs="Times New Roman"/>
          <w:sz w:val="28"/>
        </w:rPr>
        <w:t>, электр қозғалтқышының номиналды бұрыш</w:t>
      </w:r>
      <w:r>
        <w:rPr>
          <w:rFonts w:ascii="Times New Roman" w:eastAsia="Times New Roman" w:hAnsi="Times New Roman" w:cs="Times New Roman"/>
          <w:sz w:val="28"/>
        </w:rPr>
        <w:t xml:space="preserve">тық жылдамдығы </w:t>
      </w:r>
    </w:p>
    <w:p w:rsidR="0052701D" w:rsidRDefault="00D40929">
      <w:pPr>
        <w:spacing w:after="342" w:line="248" w:lineRule="auto"/>
        <w:ind w:left="9" w:right="14"/>
        <w:jc w:val="both"/>
      </w:pPr>
      <w:r>
        <w:rPr>
          <w:rFonts w:ascii="Segoe UI Symbol" w:eastAsia="Segoe UI Symbol" w:hAnsi="Segoe UI Symbol" w:cs="Segoe UI Symbol"/>
          <w:sz w:val="25"/>
        </w:rPr>
        <w:t></w:t>
      </w:r>
      <w:r>
        <w:rPr>
          <w:rFonts w:ascii="Times New Roman" w:eastAsia="Times New Roman" w:hAnsi="Times New Roman" w:cs="Times New Roman"/>
          <w:i/>
          <w:sz w:val="16"/>
        </w:rPr>
        <w:t xml:space="preserve">n </w:t>
      </w:r>
      <w:r>
        <w:rPr>
          <w:rFonts w:ascii="Segoe UI Symbol" w:eastAsia="Segoe UI Symbol" w:hAnsi="Segoe UI Symbol" w:cs="Segoe UI Symbol"/>
          <w:sz w:val="23"/>
        </w:rPr>
        <w:t></w:t>
      </w:r>
      <w:r>
        <w:rPr>
          <w:rFonts w:ascii="Times New Roman" w:eastAsia="Times New Roman" w:hAnsi="Times New Roman" w:cs="Times New Roman"/>
          <w:sz w:val="23"/>
        </w:rPr>
        <w:t>100</w:t>
      </w:r>
      <w:r>
        <w:rPr>
          <w:rFonts w:ascii="Times New Roman" w:eastAsia="Times New Roman" w:hAnsi="Times New Roman" w:cs="Times New Roman"/>
          <w:i/>
          <w:sz w:val="23"/>
        </w:rPr>
        <w:t>s</w:t>
      </w:r>
      <w:r>
        <w:rPr>
          <w:rFonts w:ascii="Segoe UI Symbol" w:eastAsia="Segoe UI Symbol" w:hAnsi="Segoe UI Symbol" w:cs="Segoe UI Symbol"/>
          <w:sz w:val="16"/>
        </w:rPr>
        <w:t></w:t>
      </w:r>
      <w:r>
        <w:rPr>
          <w:rFonts w:ascii="Times New Roman" w:eastAsia="Times New Roman" w:hAnsi="Times New Roman" w:cs="Times New Roman"/>
          <w:sz w:val="16"/>
        </w:rPr>
        <w:t>1</w:t>
      </w:r>
      <w:r>
        <w:rPr>
          <w:rFonts w:ascii="Times New Roman" w:eastAsia="Times New Roman" w:hAnsi="Times New Roman" w:cs="Times New Roman"/>
          <w:sz w:val="23"/>
        </w:rPr>
        <w:t>,</w:t>
      </w:r>
      <w:r>
        <w:rPr>
          <w:rFonts w:ascii="Times New Roman" w:eastAsia="Times New Roman" w:hAnsi="Times New Roman" w:cs="Times New Roman"/>
          <w:sz w:val="28"/>
        </w:rPr>
        <w:t xml:space="preserve"> геометриясы </w:t>
      </w:r>
      <w:r>
        <w:rPr>
          <w:rFonts w:ascii="Times New Roman" w:eastAsia="Times New Roman" w:hAnsi="Times New Roman" w:cs="Times New Roman"/>
          <w:i/>
          <w:sz w:val="24"/>
        </w:rPr>
        <w:t>r</w:t>
      </w:r>
      <w:r>
        <w:rPr>
          <w:rFonts w:ascii="Times New Roman" w:eastAsia="Times New Roman" w:hAnsi="Times New Roman" w:cs="Times New Roman"/>
          <w:i/>
          <w:sz w:val="16"/>
        </w:rPr>
        <w:t xml:space="preserve">H </w:t>
      </w:r>
      <w:r>
        <w:rPr>
          <w:rFonts w:ascii="Segoe UI Symbol" w:eastAsia="Segoe UI Symbol" w:hAnsi="Segoe UI Symbol" w:cs="Segoe UI Symbol"/>
          <w:sz w:val="24"/>
        </w:rPr>
        <w:t xml:space="preserve"> </w:t>
      </w:r>
      <w:r>
        <w:rPr>
          <w:rFonts w:ascii="Times New Roman" w:eastAsia="Times New Roman" w:hAnsi="Times New Roman" w:cs="Times New Roman"/>
          <w:sz w:val="24"/>
        </w:rPr>
        <w:t>0.2</w:t>
      </w:r>
      <w:r>
        <w:rPr>
          <w:rFonts w:ascii="Times New Roman" w:eastAsia="Times New Roman" w:hAnsi="Times New Roman" w:cs="Times New Roman"/>
          <w:i/>
          <w:sz w:val="24"/>
        </w:rPr>
        <w:t>m</w:t>
      </w:r>
      <w:r>
        <w:rPr>
          <w:rFonts w:ascii="Times New Roman" w:eastAsia="Times New Roman" w:hAnsi="Times New Roman" w:cs="Times New Roman"/>
          <w:sz w:val="24"/>
        </w:rPr>
        <w:t xml:space="preserve">, </w:t>
      </w:r>
      <w:r>
        <w:rPr>
          <w:rFonts w:ascii="Times New Roman" w:eastAsia="Times New Roman" w:hAnsi="Times New Roman" w:cs="Times New Roman"/>
          <w:i/>
          <w:sz w:val="24"/>
        </w:rPr>
        <w:t>r</w:t>
      </w:r>
      <w:r>
        <w:rPr>
          <w:rFonts w:ascii="Times New Roman" w:eastAsia="Times New Roman" w:hAnsi="Times New Roman" w:cs="Times New Roman"/>
          <w:sz w:val="16"/>
        </w:rPr>
        <w:t xml:space="preserve">4 </w:t>
      </w:r>
      <w:r>
        <w:rPr>
          <w:rFonts w:ascii="Segoe UI Symbol" w:eastAsia="Segoe UI Symbol" w:hAnsi="Segoe UI Symbol" w:cs="Segoe UI Symbol"/>
          <w:sz w:val="24"/>
        </w:rPr>
        <w:t xml:space="preserve"> </w:t>
      </w:r>
      <w:r>
        <w:rPr>
          <w:rFonts w:ascii="Times New Roman" w:eastAsia="Times New Roman" w:hAnsi="Times New Roman" w:cs="Times New Roman"/>
          <w:sz w:val="24"/>
        </w:rPr>
        <w:t>0.36</w:t>
      </w:r>
      <w:r>
        <w:rPr>
          <w:rFonts w:ascii="Times New Roman" w:eastAsia="Times New Roman" w:hAnsi="Times New Roman" w:cs="Times New Roman"/>
          <w:i/>
          <w:sz w:val="24"/>
        </w:rPr>
        <w:t>m</w:t>
      </w:r>
      <w:r>
        <w:rPr>
          <w:rFonts w:ascii="Times New Roman" w:eastAsia="Times New Roman" w:hAnsi="Times New Roman" w:cs="Times New Roman"/>
          <w:sz w:val="24"/>
        </w:rPr>
        <w:t xml:space="preserve">, </w:t>
      </w:r>
      <w:r>
        <w:rPr>
          <w:rFonts w:ascii="Times New Roman" w:eastAsia="Times New Roman" w:hAnsi="Times New Roman" w:cs="Times New Roman"/>
          <w:i/>
          <w:sz w:val="24"/>
        </w:rPr>
        <w:t>r</w:t>
      </w:r>
      <w:r>
        <w:rPr>
          <w:rFonts w:ascii="Times New Roman" w:eastAsia="Times New Roman" w:hAnsi="Times New Roman" w:cs="Times New Roman"/>
          <w:sz w:val="16"/>
        </w:rPr>
        <w:t xml:space="preserve">6 </w:t>
      </w:r>
      <w:r>
        <w:rPr>
          <w:rFonts w:ascii="Segoe UI Symbol" w:eastAsia="Segoe UI Symbol" w:hAnsi="Segoe UI Symbol" w:cs="Segoe UI Symbol"/>
          <w:sz w:val="24"/>
        </w:rPr>
        <w:t xml:space="preserve"> </w:t>
      </w:r>
      <w:r>
        <w:rPr>
          <w:rFonts w:ascii="Times New Roman" w:eastAsia="Times New Roman" w:hAnsi="Times New Roman" w:cs="Times New Roman"/>
          <w:sz w:val="24"/>
        </w:rPr>
        <w:t>0.04</w:t>
      </w:r>
      <w:r>
        <w:rPr>
          <w:rFonts w:ascii="Times New Roman" w:eastAsia="Times New Roman" w:hAnsi="Times New Roman" w:cs="Times New Roman"/>
          <w:i/>
          <w:sz w:val="24"/>
        </w:rPr>
        <w:t>m</w:t>
      </w:r>
      <w:r>
        <w:rPr>
          <w:rFonts w:ascii="Times New Roman" w:eastAsia="Times New Roman" w:hAnsi="Times New Roman" w:cs="Times New Roman"/>
          <w:sz w:val="28"/>
        </w:rPr>
        <w:t xml:space="preserve"> </w:t>
      </w:r>
    </w:p>
    <w:p w:rsidR="0052701D" w:rsidRDefault="00D40929">
      <w:pPr>
        <w:spacing w:after="5" w:line="348" w:lineRule="auto"/>
        <w:ind w:left="711" w:right="3959"/>
        <w:jc w:val="both"/>
      </w:pPr>
      <w:r>
        <w:rPr>
          <w:rFonts w:ascii="Times New Roman" w:eastAsia="Times New Roman" w:hAnsi="Times New Roman" w:cs="Times New Roman"/>
          <w:sz w:val="28"/>
        </w:rPr>
        <w:t xml:space="preserve">Анықтау керек: </w:t>
      </w:r>
      <w:r>
        <w:rPr>
          <w:rFonts w:ascii="Segoe UI Symbol" w:eastAsia="Segoe UI Symbol" w:hAnsi="Segoe UI Symbol" w:cs="Segoe UI Symbol"/>
          <w:sz w:val="38"/>
          <w:vertAlign w:val="superscript"/>
        </w:rPr>
        <w:t></w:t>
      </w:r>
      <w:r>
        <w:rPr>
          <w:rFonts w:ascii="Times New Roman" w:eastAsia="Times New Roman" w:hAnsi="Times New Roman" w:cs="Times New Roman"/>
          <w:i/>
          <w:sz w:val="16"/>
        </w:rPr>
        <w:t xml:space="preserve">H </w:t>
      </w:r>
      <w:r>
        <w:rPr>
          <w:rFonts w:ascii="Times New Roman" w:eastAsia="Times New Roman" w:hAnsi="Times New Roman" w:cs="Times New Roman"/>
          <w:sz w:val="36"/>
          <w:vertAlign w:val="superscript"/>
        </w:rPr>
        <w:t>,</w:t>
      </w:r>
      <w:r>
        <w:rPr>
          <w:rFonts w:ascii="Segoe UI Symbol" w:eastAsia="Segoe UI Symbol" w:hAnsi="Segoe UI Symbol" w:cs="Segoe UI Symbol"/>
          <w:sz w:val="38"/>
          <w:vertAlign w:val="superscript"/>
        </w:rPr>
        <w:t></w:t>
      </w:r>
      <w:r>
        <w:rPr>
          <w:rFonts w:ascii="Times New Roman" w:eastAsia="Times New Roman" w:hAnsi="Times New Roman" w:cs="Times New Roman"/>
          <w:sz w:val="16"/>
        </w:rPr>
        <w:t>4</w:t>
      </w:r>
      <w:r>
        <w:rPr>
          <w:rFonts w:ascii="Times New Roman" w:eastAsia="Times New Roman" w:hAnsi="Times New Roman" w:cs="Times New Roman"/>
          <w:sz w:val="36"/>
          <w:vertAlign w:val="superscript"/>
        </w:rPr>
        <w:t>,</w:t>
      </w:r>
      <w:r>
        <w:rPr>
          <w:rFonts w:ascii="Segoe UI Symbol" w:eastAsia="Segoe UI Symbol" w:hAnsi="Segoe UI Symbol" w:cs="Segoe UI Symbol"/>
          <w:sz w:val="38"/>
          <w:vertAlign w:val="superscript"/>
        </w:rPr>
        <w:t></w:t>
      </w:r>
      <w:r>
        <w:rPr>
          <w:rFonts w:ascii="Times New Roman" w:eastAsia="Times New Roman" w:hAnsi="Times New Roman" w:cs="Times New Roman"/>
          <w:sz w:val="16"/>
        </w:rPr>
        <w:t>6</w:t>
      </w:r>
      <w:r>
        <w:rPr>
          <w:rFonts w:ascii="Times New Roman" w:eastAsia="Times New Roman" w:hAnsi="Times New Roman" w:cs="Times New Roman"/>
          <w:sz w:val="36"/>
          <w:vertAlign w:val="superscript"/>
        </w:rPr>
        <w:t xml:space="preserve">, </w:t>
      </w:r>
      <w:r>
        <w:rPr>
          <w:rFonts w:ascii="Times New Roman" w:eastAsia="Times New Roman" w:hAnsi="Times New Roman" w:cs="Times New Roman"/>
          <w:i/>
          <w:sz w:val="36"/>
          <w:vertAlign w:val="superscript"/>
        </w:rPr>
        <w:t>M</w:t>
      </w:r>
      <w:r>
        <w:rPr>
          <w:rFonts w:ascii="Times New Roman" w:eastAsia="Times New Roman" w:hAnsi="Times New Roman" w:cs="Times New Roman"/>
          <w:sz w:val="16"/>
        </w:rPr>
        <w:t>4</w:t>
      </w:r>
      <w:r>
        <w:rPr>
          <w:rFonts w:ascii="Times New Roman" w:eastAsia="Times New Roman" w:hAnsi="Times New Roman" w:cs="Times New Roman"/>
          <w:sz w:val="36"/>
          <w:vertAlign w:val="superscript"/>
        </w:rPr>
        <w:t xml:space="preserve">, </w:t>
      </w:r>
      <w:r>
        <w:rPr>
          <w:rFonts w:ascii="Times New Roman" w:eastAsia="Times New Roman" w:hAnsi="Times New Roman" w:cs="Times New Roman"/>
          <w:i/>
          <w:sz w:val="36"/>
          <w:vertAlign w:val="superscript"/>
        </w:rPr>
        <w:t>M</w:t>
      </w:r>
      <w:r>
        <w:rPr>
          <w:rFonts w:ascii="Times New Roman" w:eastAsia="Times New Roman" w:hAnsi="Times New Roman" w:cs="Times New Roman"/>
          <w:sz w:val="16"/>
        </w:rPr>
        <w:t>6</w:t>
      </w:r>
      <w:r>
        <w:rPr>
          <w:rFonts w:ascii="Times New Roman" w:eastAsia="Times New Roman" w:hAnsi="Times New Roman" w:cs="Times New Roman"/>
          <w:sz w:val="28"/>
        </w:rPr>
        <w:t xml:space="preserve">. Шешуі: </w:t>
      </w:r>
    </w:p>
    <w:p w:rsidR="0052701D" w:rsidRDefault="00D40929">
      <w:pPr>
        <w:numPr>
          <w:ilvl w:val="0"/>
          <w:numId w:val="25"/>
        </w:numPr>
        <w:spacing w:after="126" w:line="271" w:lineRule="auto"/>
        <w:ind w:right="14" w:hanging="2129"/>
        <w:jc w:val="both"/>
      </w:pPr>
      <w:r>
        <w:rPr>
          <w:rFonts w:ascii="Times New Roman" w:eastAsia="Times New Roman" w:hAnsi="Times New Roman" w:cs="Times New Roman"/>
          <w:sz w:val="28"/>
        </w:rPr>
        <w:t xml:space="preserve">Электр қозғалтқышының қуаты  </w:t>
      </w:r>
    </w:p>
    <w:p w:rsidR="0052701D" w:rsidRDefault="00D40929">
      <w:pPr>
        <w:spacing w:after="182" w:line="248" w:lineRule="auto"/>
        <w:ind w:left="1682" w:right="14"/>
        <w:jc w:val="both"/>
      </w:pPr>
      <w:r>
        <w:rPr>
          <w:rFonts w:ascii="Times New Roman" w:eastAsia="Times New Roman" w:hAnsi="Times New Roman" w:cs="Times New Roman"/>
          <w:i/>
          <w:sz w:val="24"/>
        </w:rPr>
        <w:t>P</w:t>
      </w:r>
      <w:r>
        <w:rPr>
          <w:rFonts w:ascii="Times New Roman" w:eastAsia="Times New Roman" w:hAnsi="Times New Roman" w:cs="Times New Roman"/>
          <w:i/>
          <w:sz w:val="24"/>
          <w:vertAlign w:val="subscript"/>
        </w:rPr>
        <w:t xml:space="preserve">E </w:t>
      </w:r>
      <w:r>
        <w:rPr>
          <w:rFonts w:ascii="Segoe UI Symbol" w:eastAsia="Segoe UI Symbol" w:hAnsi="Segoe UI Symbol" w:cs="Segoe UI Symbol"/>
          <w:sz w:val="24"/>
        </w:rPr>
        <w:t xml:space="preserve"> </w:t>
      </w:r>
      <w:r>
        <w:rPr>
          <w:rFonts w:ascii="Times New Roman" w:eastAsia="Times New Roman" w:hAnsi="Times New Roman" w:cs="Times New Roman"/>
          <w:i/>
          <w:sz w:val="24"/>
        </w:rPr>
        <w:t>M</w:t>
      </w:r>
      <w:r>
        <w:rPr>
          <w:rFonts w:ascii="Times New Roman" w:eastAsia="Times New Roman" w:hAnsi="Times New Roman" w:cs="Times New Roman"/>
          <w:i/>
          <w:sz w:val="24"/>
          <w:vertAlign w:val="subscript"/>
        </w:rPr>
        <w:t>E</w:t>
      </w:r>
      <w:r>
        <w:rPr>
          <w:rFonts w:ascii="Segoe UI Symbol" w:eastAsia="Segoe UI Symbol" w:hAnsi="Segoe UI Symbol" w:cs="Segoe UI Symbol"/>
          <w:sz w:val="25"/>
        </w:rPr>
        <w:t></w:t>
      </w:r>
      <w:r>
        <w:rPr>
          <w:rFonts w:ascii="Times New Roman" w:eastAsia="Times New Roman" w:hAnsi="Times New Roman" w:cs="Times New Roman"/>
          <w:i/>
          <w:sz w:val="25"/>
          <w:vertAlign w:val="subscript"/>
        </w:rPr>
        <w:t xml:space="preserve">n </w:t>
      </w:r>
      <w:r>
        <w:rPr>
          <w:rFonts w:ascii="Segoe UI Symbol" w:eastAsia="Segoe UI Symbol" w:hAnsi="Segoe UI Symbol" w:cs="Segoe UI Symbol"/>
          <w:sz w:val="24"/>
        </w:rPr>
        <w:t></w:t>
      </w:r>
      <w:r>
        <w:rPr>
          <w:rFonts w:ascii="Times New Roman" w:eastAsia="Times New Roman" w:hAnsi="Times New Roman" w:cs="Times New Roman"/>
          <w:sz w:val="24"/>
        </w:rPr>
        <w:t xml:space="preserve">100 </w:t>
      </w:r>
      <w:r>
        <w:rPr>
          <w:rFonts w:ascii="Segoe UI Symbol" w:eastAsia="Segoe UI Symbol" w:hAnsi="Segoe UI Symbol" w:cs="Segoe UI Symbol"/>
          <w:sz w:val="24"/>
        </w:rPr>
        <w:t></w:t>
      </w:r>
      <w:r>
        <w:rPr>
          <w:rFonts w:ascii="Times New Roman" w:eastAsia="Times New Roman" w:hAnsi="Times New Roman" w:cs="Times New Roman"/>
          <w:sz w:val="24"/>
        </w:rPr>
        <w:t xml:space="preserve">100 </w:t>
      </w:r>
      <w:r>
        <w:rPr>
          <w:rFonts w:ascii="Segoe UI Symbol" w:eastAsia="Segoe UI Symbol" w:hAnsi="Segoe UI Symbol" w:cs="Segoe UI Symbol"/>
          <w:sz w:val="24"/>
        </w:rPr>
        <w:t xml:space="preserve"> </w:t>
      </w:r>
      <w:r>
        <w:rPr>
          <w:rFonts w:ascii="Times New Roman" w:eastAsia="Times New Roman" w:hAnsi="Times New Roman" w:cs="Times New Roman"/>
          <w:sz w:val="24"/>
        </w:rPr>
        <w:t>10000</w:t>
      </w:r>
      <w:r>
        <w:rPr>
          <w:rFonts w:ascii="Times New Roman" w:eastAsia="Times New Roman" w:hAnsi="Times New Roman" w:cs="Times New Roman"/>
          <w:i/>
          <w:sz w:val="24"/>
        </w:rPr>
        <w:t xml:space="preserve">Wt </w:t>
      </w:r>
      <w:r>
        <w:rPr>
          <w:rFonts w:ascii="Times New Roman" w:eastAsia="Times New Roman" w:hAnsi="Times New Roman" w:cs="Times New Roman"/>
          <w:sz w:val="28"/>
        </w:rPr>
        <w:t xml:space="preserve">. </w:t>
      </w:r>
    </w:p>
    <w:p w:rsidR="0052701D" w:rsidRDefault="00D40929">
      <w:pPr>
        <w:numPr>
          <w:ilvl w:val="0"/>
          <w:numId w:val="25"/>
        </w:numPr>
        <w:spacing w:after="139" w:line="271" w:lineRule="auto"/>
        <w:ind w:right="14" w:hanging="2129"/>
        <w:jc w:val="both"/>
      </w:pPr>
      <w:r>
        <w:rPr>
          <w:rFonts w:ascii="Times New Roman" w:eastAsia="Times New Roman" w:hAnsi="Times New Roman" w:cs="Times New Roman"/>
          <w:sz w:val="28"/>
        </w:rPr>
        <w:t xml:space="preserve">Шығу бұрыштық жылдамдығы </w:t>
      </w:r>
    </w:p>
    <w:p w:rsidR="0052701D" w:rsidRDefault="00D40929">
      <w:pPr>
        <w:spacing w:after="29" w:line="248" w:lineRule="auto"/>
        <w:ind w:left="2496" w:right="14"/>
        <w:jc w:val="both"/>
      </w:pPr>
      <w:r>
        <w:rPr>
          <w:noProof/>
        </w:rPr>
        <mc:AlternateContent>
          <mc:Choice Requires="wpg">
            <w:drawing>
              <wp:anchor distT="0" distB="0" distL="114300" distR="114300" simplePos="0" relativeHeight="251758592" behindDoc="0" locked="0" layoutInCell="1" allowOverlap="1">
                <wp:simplePos x="0" y="0"/>
                <wp:positionH relativeFrom="column">
                  <wp:posOffset>1525227</wp:posOffset>
                </wp:positionH>
                <wp:positionV relativeFrom="paragraph">
                  <wp:posOffset>141032</wp:posOffset>
                </wp:positionV>
                <wp:extent cx="831767" cy="6285"/>
                <wp:effectExtent l="0" t="0" r="0" b="0"/>
                <wp:wrapNone/>
                <wp:docPr id="936541" name="Group 936541"/>
                <wp:cNvGraphicFramePr/>
                <a:graphic xmlns:a="http://schemas.openxmlformats.org/drawingml/2006/main">
                  <a:graphicData uri="http://schemas.microsoft.com/office/word/2010/wordprocessingGroup">
                    <wpg:wgp>
                      <wpg:cNvGrpSpPr/>
                      <wpg:grpSpPr>
                        <a:xfrm>
                          <a:off x="0" y="0"/>
                          <a:ext cx="831767" cy="6285"/>
                          <a:chOff x="0" y="0"/>
                          <a:chExt cx="831767" cy="6285"/>
                        </a:xfrm>
                      </wpg:grpSpPr>
                      <wps:wsp>
                        <wps:cNvPr id="20698" name="Shape 20698"/>
                        <wps:cNvSpPr/>
                        <wps:spPr>
                          <a:xfrm>
                            <a:off x="0" y="0"/>
                            <a:ext cx="275888" cy="0"/>
                          </a:xfrm>
                          <a:custGeom>
                            <a:avLst/>
                            <a:gdLst/>
                            <a:ahLst/>
                            <a:cxnLst/>
                            <a:rect l="0" t="0" r="0" b="0"/>
                            <a:pathLst>
                              <a:path w="275888">
                                <a:moveTo>
                                  <a:pt x="0" y="0"/>
                                </a:moveTo>
                                <a:lnTo>
                                  <a:pt x="275888" y="0"/>
                                </a:lnTo>
                              </a:path>
                            </a:pathLst>
                          </a:custGeom>
                          <a:ln w="6285" cap="flat">
                            <a:round/>
                          </a:ln>
                        </wps:spPr>
                        <wps:style>
                          <a:lnRef idx="1">
                            <a:srgbClr val="000000"/>
                          </a:lnRef>
                          <a:fillRef idx="0">
                            <a:srgbClr val="000000">
                              <a:alpha val="0"/>
                            </a:srgbClr>
                          </a:fillRef>
                          <a:effectRef idx="0">
                            <a:scrgbClr r="0" g="0" b="0"/>
                          </a:effectRef>
                          <a:fontRef idx="none"/>
                        </wps:style>
                        <wps:bodyPr/>
                      </wps:wsp>
                      <wps:wsp>
                        <wps:cNvPr id="20699" name="Shape 20699"/>
                        <wps:cNvSpPr/>
                        <wps:spPr>
                          <a:xfrm>
                            <a:off x="449349" y="0"/>
                            <a:ext cx="382419" cy="0"/>
                          </a:xfrm>
                          <a:custGeom>
                            <a:avLst/>
                            <a:gdLst/>
                            <a:ahLst/>
                            <a:cxnLst/>
                            <a:rect l="0" t="0" r="0" b="0"/>
                            <a:pathLst>
                              <a:path w="382419">
                                <a:moveTo>
                                  <a:pt x="0" y="0"/>
                                </a:moveTo>
                                <a:lnTo>
                                  <a:pt x="382419" y="0"/>
                                </a:lnTo>
                              </a:path>
                            </a:pathLst>
                          </a:custGeom>
                          <a:ln w="6285"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36541" style="width:65.4935pt;height:0.494848pt;position:absolute;z-index:175;mso-position-horizontal-relative:text;mso-position-horizontal:absolute;margin-left:120.097pt;mso-position-vertical-relative:text;margin-top:11.1049pt;" coordsize="8317,62">
                <v:shape id="Shape 20698" style="position:absolute;width:2758;height:0;left:0;top:0;" coordsize="275888,0" path="m0,0l275888,0">
                  <v:stroke weight="0.494848pt" endcap="flat" joinstyle="round" on="true" color="#000000"/>
                  <v:fill on="false" color="#000000" opacity="0"/>
                </v:shape>
                <v:shape id="Shape 20699" style="position:absolute;width:3824;height:0;left:4493;top:0;" coordsize="382419,0" path="m0,0l382419,0">
                  <v:stroke weight="0.494848pt" endcap="flat" joinstyle="round" on="true" color="#000000"/>
                  <v:fill on="false" color="#000000" opacity="0"/>
                </v:shape>
              </v:group>
            </w:pict>
          </mc:Fallback>
        </mc:AlternateContent>
      </w:r>
      <w:r>
        <w:rPr>
          <w:rFonts w:ascii="Times New Roman" w:eastAsia="Times New Roman" w:hAnsi="Times New Roman" w:cs="Times New Roman"/>
          <w:i/>
          <w:sz w:val="24"/>
        </w:rPr>
        <w:t>P</w:t>
      </w:r>
      <w:r>
        <w:rPr>
          <w:rFonts w:ascii="Times New Roman" w:eastAsia="Times New Roman" w:hAnsi="Times New Roman" w:cs="Times New Roman"/>
          <w:i/>
          <w:sz w:val="16"/>
        </w:rPr>
        <w:t xml:space="preserve">E </w:t>
      </w:r>
      <w:r>
        <w:rPr>
          <w:rFonts w:ascii="Segoe UI Symbol" w:eastAsia="Segoe UI Symbol" w:hAnsi="Segoe UI Symbol" w:cs="Segoe UI Symbol"/>
          <w:sz w:val="24"/>
        </w:rPr>
        <w:t xml:space="preserve"> </w:t>
      </w:r>
      <w:r>
        <w:rPr>
          <w:rFonts w:ascii="Times New Roman" w:eastAsia="Times New Roman" w:hAnsi="Times New Roman" w:cs="Times New Roman"/>
          <w:sz w:val="24"/>
        </w:rPr>
        <w:t xml:space="preserve">10000 </w:t>
      </w:r>
      <w:r>
        <w:rPr>
          <w:rFonts w:ascii="Segoe UI Symbol" w:eastAsia="Segoe UI Symbol" w:hAnsi="Segoe UI Symbol" w:cs="Segoe UI Symbol"/>
          <w:sz w:val="24"/>
        </w:rPr>
        <w:t xml:space="preserve"> </w:t>
      </w:r>
      <w:r>
        <w:rPr>
          <w:rFonts w:ascii="Times New Roman" w:eastAsia="Times New Roman" w:hAnsi="Times New Roman" w:cs="Times New Roman"/>
          <w:sz w:val="24"/>
        </w:rPr>
        <w:t>50</w:t>
      </w:r>
      <w:r>
        <w:rPr>
          <w:rFonts w:ascii="Times New Roman" w:eastAsia="Times New Roman" w:hAnsi="Times New Roman" w:cs="Times New Roman"/>
          <w:i/>
          <w:sz w:val="24"/>
        </w:rPr>
        <w:t>s</w:t>
      </w:r>
      <w:r>
        <w:rPr>
          <w:rFonts w:ascii="Segoe UI Symbol" w:eastAsia="Segoe UI Symbol" w:hAnsi="Segoe UI Symbol" w:cs="Segoe UI Symbol"/>
          <w:sz w:val="16"/>
        </w:rPr>
        <w:t></w:t>
      </w:r>
      <w:r>
        <w:rPr>
          <w:rFonts w:ascii="Times New Roman" w:eastAsia="Times New Roman" w:hAnsi="Times New Roman" w:cs="Times New Roman"/>
          <w:sz w:val="16"/>
        </w:rPr>
        <w:t>1</w:t>
      </w:r>
    </w:p>
    <w:p w:rsidR="0052701D" w:rsidRDefault="00D40929">
      <w:pPr>
        <w:spacing w:after="0"/>
        <w:ind w:left="1777" w:hanging="10"/>
      </w:pPr>
      <w:r>
        <w:rPr>
          <w:rFonts w:ascii="Segoe UI Symbol" w:eastAsia="Segoe UI Symbol" w:hAnsi="Segoe UI Symbol" w:cs="Segoe UI Symbol"/>
          <w:sz w:val="26"/>
        </w:rPr>
        <w:t></w:t>
      </w:r>
      <w:r>
        <w:rPr>
          <w:rFonts w:ascii="Times New Roman" w:eastAsia="Times New Roman" w:hAnsi="Times New Roman" w:cs="Times New Roman"/>
          <w:i/>
          <w:sz w:val="16"/>
        </w:rPr>
        <w:t xml:space="preserve">H </w:t>
      </w:r>
      <w:r>
        <w:rPr>
          <w:rFonts w:ascii="Segoe UI Symbol" w:eastAsia="Segoe UI Symbol" w:hAnsi="Segoe UI Symbol" w:cs="Segoe UI Symbol"/>
          <w:sz w:val="24"/>
        </w:rPr>
        <w:t></w:t>
      </w:r>
    </w:p>
    <w:p w:rsidR="0052701D" w:rsidRDefault="00D40929">
      <w:pPr>
        <w:tabs>
          <w:tab w:val="center" w:pos="1637"/>
          <w:tab w:val="center" w:pos="2602"/>
          <w:tab w:val="center" w:pos="3417"/>
          <w:tab w:val="center" w:pos="4558"/>
        </w:tabs>
        <w:spacing w:after="359" w:line="248" w:lineRule="auto"/>
      </w:pPr>
      <w:r>
        <w:tab/>
      </w:r>
      <w:r>
        <w:rPr>
          <w:rFonts w:ascii="Times New Roman" w:eastAsia="Times New Roman" w:hAnsi="Times New Roman" w:cs="Times New Roman"/>
          <w:sz w:val="28"/>
        </w:rPr>
        <w:t xml:space="preserve">  </w:t>
      </w:r>
      <w:r>
        <w:rPr>
          <w:rFonts w:ascii="Times New Roman" w:eastAsia="Times New Roman" w:hAnsi="Times New Roman" w:cs="Times New Roman"/>
          <w:sz w:val="28"/>
        </w:rPr>
        <w:tab/>
      </w:r>
      <w:r>
        <w:rPr>
          <w:rFonts w:ascii="Times New Roman" w:eastAsia="Times New Roman" w:hAnsi="Times New Roman" w:cs="Times New Roman"/>
          <w:i/>
          <w:sz w:val="24"/>
        </w:rPr>
        <w:t>M</w:t>
      </w:r>
      <w:r>
        <w:rPr>
          <w:rFonts w:ascii="Times New Roman" w:eastAsia="Times New Roman" w:hAnsi="Times New Roman" w:cs="Times New Roman"/>
          <w:i/>
          <w:sz w:val="24"/>
          <w:vertAlign w:val="subscript"/>
        </w:rPr>
        <w:t>H</w:t>
      </w:r>
      <w:r>
        <w:rPr>
          <w:rFonts w:ascii="Times New Roman" w:eastAsia="Times New Roman" w:hAnsi="Times New Roman" w:cs="Times New Roman"/>
          <w:i/>
          <w:sz w:val="24"/>
          <w:vertAlign w:val="subscript"/>
        </w:rPr>
        <w:tab/>
      </w:r>
      <w:r>
        <w:rPr>
          <w:rFonts w:ascii="Times New Roman" w:eastAsia="Times New Roman" w:hAnsi="Times New Roman" w:cs="Times New Roman"/>
          <w:sz w:val="24"/>
        </w:rPr>
        <w:t>200</w:t>
      </w:r>
      <w:r>
        <w:rPr>
          <w:rFonts w:ascii="Times New Roman" w:eastAsia="Times New Roman" w:hAnsi="Times New Roman" w:cs="Times New Roman"/>
          <w:sz w:val="24"/>
        </w:rPr>
        <w:tab/>
      </w:r>
      <w:r>
        <w:rPr>
          <w:rFonts w:ascii="Times New Roman" w:eastAsia="Times New Roman" w:hAnsi="Times New Roman" w:cs="Times New Roman"/>
          <w:sz w:val="28"/>
        </w:rPr>
        <w:t xml:space="preserve">. </w:t>
      </w:r>
    </w:p>
    <w:p w:rsidR="0052701D" w:rsidRDefault="00D40929">
      <w:pPr>
        <w:spacing w:after="125" w:line="248" w:lineRule="auto"/>
        <w:ind w:left="1019" w:right="14"/>
        <w:jc w:val="both"/>
      </w:pPr>
      <w:r>
        <w:rPr>
          <w:noProof/>
        </w:rPr>
        <mc:AlternateContent>
          <mc:Choice Requires="wpg">
            <w:drawing>
              <wp:anchor distT="0" distB="0" distL="114300" distR="114300" simplePos="0" relativeHeight="251759616" behindDoc="0" locked="0" layoutInCell="1" allowOverlap="1">
                <wp:simplePos x="0" y="0"/>
                <wp:positionH relativeFrom="column">
                  <wp:posOffset>1331210</wp:posOffset>
                </wp:positionH>
                <wp:positionV relativeFrom="paragraph">
                  <wp:posOffset>139140</wp:posOffset>
                </wp:positionV>
                <wp:extent cx="2365210" cy="6292"/>
                <wp:effectExtent l="0" t="0" r="0" b="0"/>
                <wp:wrapNone/>
                <wp:docPr id="936542" name="Group 936542"/>
                <wp:cNvGraphicFramePr/>
                <a:graphic xmlns:a="http://schemas.openxmlformats.org/drawingml/2006/main">
                  <a:graphicData uri="http://schemas.microsoft.com/office/word/2010/wordprocessingGroup">
                    <wpg:wgp>
                      <wpg:cNvGrpSpPr/>
                      <wpg:grpSpPr>
                        <a:xfrm>
                          <a:off x="0" y="0"/>
                          <a:ext cx="2365210" cy="6292"/>
                          <a:chOff x="0" y="0"/>
                          <a:chExt cx="2365210" cy="6292"/>
                        </a:xfrm>
                      </wpg:grpSpPr>
                      <wps:wsp>
                        <wps:cNvPr id="20718" name="Shape 20718"/>
                        <wps:cNvSpPr/>
                        <wps:spPr>
                          <a:xfrm>
                            <a:off x="0" y="0"/>
                            <a:ext cx="874056" cy="0"/>
                          </a:xfrm>
                          <a:custGeom>
                            <a:avLst/>
                            <a:gdLst/>
                            <a:ahLst/>
                            <a:cxnLst/>
                            <a:rect l="0" t="0" r="0" b="0"/>
                            <a:pathLst>
                              <a:path w="874056">
                                <a:moveTo>
                                  <a:pt x="0" y="0"/>
                                </a:moveTo>
                                <a:lnTo>
                                  <a:pt x="874056" y="0"/>
                                </a:lnTo>
                              </a:path>
                            </a:pathLst>
                          </a:custGeom>
                          <a:ln w="6292" cap="flat">
                            <a:round/>
                          </a:ln>
                        </wps:spPr>
                        <wps:style>
                          <a:lnRef idx="1">
                            <a:srgbClr val="000000"/>
                          </a:lnRef>
                          <a:fillRef idx="0">
                            <a:srgbClr val="000000">
                              <a:alpha val="0"/>
                            </a:srgbClr>
                          </a:fillRef>
                          <a:effectRef idx="0">
                            <a:scrgbClr r="0" g="0" b="0"/>
                          </a:effectRef>
                          <a:fontRef idx="none"/>
                        </wps:style>
                        <wps:bodyPr/>
                      </wps:wsp>
                      <wps:wsp>
                        <wps:cNvPr id="20719" name="Shape 20719"/>
                        <wps:cNvSpPr/>
                        <wps:spPr>
                          <a:xfrm>
                            <a:off x="1047448" y="0"/>
                            <a:ext cx="1317762" cy="0"/>
                          </a:xfrm>
                          <a:custGeom>
                            <a:avLst/>
                            <a:gdLst/>
                            <a:ahLst/>
                            <a:cxnLst/>
                            <a:rect l="0" t="0" r="0" b="0"/>
                            <a:pathLst>
                              <a:path w="1317762">
                                <a:moveTo>
                                  <a:pt x="0" y="0"/>
                                </a:moveTo>
                                <a:lnTo>
                                  <a:pt x="1317762" y="0"/>
                                </a:lnTo>
                              </a:path>
                            </a:pathLst>
                          </a:custGeom>
                          <a:ln w="6292"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36542" style="width:186.237pt;height:0.495431pt;position:absolute;z-index:195;mso-position-horizontal-relative:text;mso-position-horizontal:absolute;margin-left:104.82pt;mso-position-vertical-relative:text;margin-top:10.9559pt;" coordsize="23652,62">
                <v:shape id="Shape 20718" style="position:absolute;width:8740;height:0;left:0;top:0;" coordsize="874056,0" path="m0,0l874056,0">
                  <v:stroke weight="0.495431pt" endcap="flat" joinstyle="round" on="true" color="#000000"/>
                  <v:fill on="false" color="#000000" opacity="0"/>
                </v:shape>
                <v:shape id="Shape 20719" style="position:absolute;width:13177;height:0;left:10474;top:0;" coordsize="1317762,0" path="m0,0l1317762,0">
                  <v:stroke weight="0.495431pt" endcap="flat" joinstyle="round" on="true" color="#000000"/>
                  <v:fill on="false" color="#000000" opacity="0"/>
                </v:shape>
              </v:group>
            </w:pict>
          </mc:Fallback>
        </mc:AlternateContent>
      </w:r>
      <w:r>
        <w:rPr>
          <w:rFonts w:ascii="Segoe UI Symbol" w:eastAsia="Segoe UI Symbol" w:hAnsi="Segoe UI Symbol" w:cs="Segoe UI Symbol"/>
          <w:sz w:val="26"/>
        </w:rPr>
        <w:t></w:t>
      </w:r>
      <w:r>
        <w:rPr>
          <w:rFonts w:ascii="Times New Roman" w:eastAsia="Times New Roman" w:hAnsi="Times New Roman" w:cs="Times New Roman"/>
          <w:sz w:val="16"/>
        </w:rPr>
        <w:t xml:space="preserve">6 </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sz w:val="16"/>
        </w:rPr>
        <w:t xml:space="preserve">2 </w:t>
      </w:r>
      <w:r>
        <w:rPr>
          <w:rFonts w:ascii="Segoe UI Symbol" w:eastAsia="Segoe UI Symbol" w:hAnsi="Segoe UI Symbol" w:cs="Segoe UI Symbol"/>
          <w:sz w:val="24"/>
        </w:rPr>
        <w:t xml:space="preserve"> </w:t>
      </w:r>
      <w:r>
        <w:rPr>
          <w:rFonts w:ascii="Times New Roman" w:eastAsia="Times New Roman" w:hAnsi="Times New Roman" w:cs="Times New Roman"/>
          <w:sz w:val="24"/>
        </w:rPr>
        <w:t>2</w:t>
      </w:r>
      <w:r>
        <w:rPr>
          <w:rFonts w:ascii="Segoe UI Symbol" w:eastAsia="Segoe UI Symbol" w:hAnsi="Segoe UI Symbol" w:cs="Segoe UI Symbol"/>
          <w:sz w:val="26"/>
        </w:rPr>
        <w:t></w:t>
      </w:r>
      <w:r>
        <w:rPr>
          <w:rFonts w:ascii="Times New Roman" w:eastAsia="Times New Roman" w:hAnsi="Times New Roman" w:cs="Times New Roman"/>
          <w:i/>
          <w:sz w:val="16"/>
        </w:rPr>
        <w:t>H</w:t>
      </w:r>
      <w:r>
        <w:rPr>
          <w:rFonts w:ascii="Times New Roman" w:eastAsia="Times New Roman" w:hAnsi="Times New Roman" w:cs="Times New Roman"/>
          <w:i/>
          <w:sz w:val="24"/>
        </w:rPr>
        <w:t>r</w:t>
      </w:r>
      <w:r>
        <w:rPr>
          <w:rFonts w:ascii="Times New Roman" w:eastAsia="Times New Roman" w:hAnsi="Times New Roman" w:cs="Times New Roman"/>
          <w:i/>
          <w:sz w:val="16"/>
        </w:rPr>
        <w:t xml:space="preserve">H </w:t>
      </w:r>
      <w:r>
        <w:rPr>
          <w:rFonts w:ascii="Segoe UI Symbol" w:eastAsia="Segoe UI Symbol" w:hAnsi="Segoe UI Symbol" w:cs="Segoe UI Symbol"/>
          <w:sz w:val="24"/>
        </w:rPr>
        <w:t></w:t>
      </w:r>
      <w:r>
        <w:rPr>
          <w:rFonts w:ascii="Segoe UI Symbol" w:eastAsia="Segoe UI Symbol" w:hAnsi="Segoe UI Symbol" w:cs="Segoe UI Symbol"/>
          <w:sz w:val="26"/>
        </w:rPr>
        <w:t></w:t>
      </w:r>
      <w:r>
        <w:rPr>
          <w:rFonts w:ascii="Times New Roman" w:eastAsia="Times New Roman" w:hAnsi="Times New Roman" w:cs="Times New Roman"/>
          <w:i/>
          <w:sz w:val="16"/>
        </w:rPr>
        <w:t>n</w:t>
      </w:r>
      <w:r>
        <w:rPr>
          <w:rFonts w:ascii="Times New Roman" w:eastAsia="Times New Roman" w:hAnsi="Times New Roman" w:cs="Times New Roman"/>
          <w:i/>
          <w:sz w:val="24"/>
        </w:rPr>
        <w:t>r</w:t>
      </w:r>
      <w:r>
        <w:rPr>
          <w:rFonts w:ascii="Times New Roman" w:eastAsia="Times New Roman" w:hAnsi="Times New Roman" w:cs="Times New Roman"/>
          <w:sz w:val="16"/>
        </w:rPr>
        <w:t xml:space="preserve">4 </w:t>
      </w:r>
      <w:r>
        <w:rPr>
          <w:rFonts w:ascii="Segoe UI Symbol" w:eastAsia="Segoe UI Symbol" w:hAnsi="Segoe UI Symbol" w:cs="Segoe UI Symbol"/>
          <w:sz w:val="24"/>
        </w:rPr>
        <w:t xml:space="preserve"> </w:t>
      </w:r>
      <w:r>
        <w:rPr>
          <w:rFonts w:ascii="Times New Roman" w:eastAsia="Times New Roman" w:hAnsi="Times New Roman" w:cs="Times New Roman"/>
          <w:sz w:val="24"/>
        </w:rPr>
        <w:t>2</w:t>
      </w:r>
      <w:r>
        <w:rPr>
          <w:rFonts w:ascii="Segoe UI Symbol" w:eastAsia="Segoe UI Symbol" w:hAnsi="Segoe UI Symbol" w:cs="Segoe UI Symbol"/>
          <w:sz w:val="24"/>
        </w:rPr>
        <w:t></w:t>
      </w:r>
      <w:r>
        <w:rPr>
          <w:rFonts w:ascii="Times New Roman" w:eastAsia="Times New Roman" w:hAnsi="Times New Roman" w:cs="Times New Roman"/>
          <w:sz w:val="24"/>
        </w:rPr>
        <w:t>50</w:t>
      </w:r>
      <w:r>
        <w:rPr>
          <w:rFonts w:ascii="Segoe UI Symbol" w:eastAsia="Segoe UI Symbol" w:hAnsi="Segoe UI Symbol" w:cs="Segoe UI Symbol"/>
          <w:sz w:val="24"/>
        </w:rPr>
        <w:t></w:t>
      </w:r>
      <w:r>
        <w:rPr>
          <w:rFonts w:ascii="Times New Roman" w:eastAsia="Times New Roman" w:hAnsi="Times New Roman" w:cs="Times New Roman"/>
          <w:sz w:val="24"/>
        </w:rPr>
        <w:t xml:space="preserve">0.2 </w:t>
      </w:r>
      <w:r>
        <w:rPr>
          <w:rFonts w:ascii="Segoe UI Symbol" w:eastAsia="Segoe UI Symbol" w:hAnsi="Segoe UI Symbol" w:cs="Segoe UI Symbol"/>
          <w:sz w:val="24"/>
        </w:rPr>
        <w:t></w:t>
      </w:r>
      <w:r>
        <w:rPr>
          <w:rFonts w:ascii="Times New Roman" w:eastAsia="Times New Roman" w:hAnsi="Times New Roman" w:cs="Times New Roman"/>
          <w:sz w:val="24"/>
        </w:rPr>
        <w:t>100</w:t>
      </w:r>
      <w:r>
        <w:rPr>
          <w:rFonts w:ascii="Segoe UI Symbol" w:eastAsia="Segoe UI Symbol" w:hAnsi="Segoe UI Symbol" w:cs="Segoe UI Symbol"/>
          <w:sz w:val="24"/>
        </w:rPr>
        <w:t></w:t>
      </w:r>
      <w:r>
        <w:rPr>
          <w:rFonts w:ascii="Times New Roman" w:eastAsia="Times New Roman" w:hAnsi="Times New Roman" w:cs="Times New Roman"/>
          <w:sz w:val="24"/>
        </w:rPr>
        <w:t xml:space="preserve">0.36 </w:t>
      </w:r>
      <w:r>
        <w:rPr>
          <w:rFonts w:ascii="Segoe UI Symbol" w:eastAsia="Segoe UI Symbol" w:hAnsi="Segoe UI Symbol" w:cs="Segoe UI Symbol"/>
          <w:sz w:val="24"/>
        </w:rPr>
        <w:t></w:t>
      </w:r>
      <w:r>
        <w:rPr>
          <w:rFonts w:ascii="Times New Roman" w:eastAsia="Times New Roman" w:hAnsi="Times New Roman" w:cs="Times New Roman"/>
          <w:sz w:val="24"/>
        </w:rPr>
        <w:t>140</w:t>
      </w:r>
      <w:r>
        <w:rPr>
          <w:rFonts w:ascii="Times New Roman" w:eastAsia="Times New Roman" w:hAnsi="Times New Roman" w:cs="Times New Roman"/>
          <w:i/>
          <w:sz w:val="24"/>
        </w:rPr>
        <w:t>s</w:t>
      </w:r>
      <w:r>
        <w:rPr>
          <w:rFonts w:ascii="Segoe UI Symbol" w:eastAsia="Segoe UI Symbol" w:hAnsi="Segoe UI Symbol" w:cs="Segoe UI Symbol"/>
          <w:sz w:val="16"/>
        </w:rPr>
        <w:t></w:t>
      </w:r>
      <w:r>
        <w:rPr>
          <w:rFonts w:ascii="Times New Roman" w:eastAsia="Times New Roman" w:hAnsi="Times New Roman" w:cs="Times New Roman"/>
          <w:sz w:val="16"/>
        </w:rPr>
        <w:t>1</w:t>
      </w:r>
    </w:p>
    <w:p w:rsidR="0052701D" w:rsidRDefault="00D40929">
      <w:pPr>
        <w:numPr>
          <w:ilvl w:val="0"/>
          <w:numId w:val="25"/>
        </w:numPr>
        <w:spacing w:after="456" w:line="248" w:lineRule="auto"/>
        <w:ind w:right="14" w:hanging="2129"/>
        <w:jc w:val="both"/>
      </w:pPr>
      <w:r>
        <w:rPr>
          <w:rFonts w:ascii="Times New Roman" w:eastAsia="Times New Roman" w:hAnsi="Times New Roman" w:cs="Times New Roman"/>
          <w:i/>
          <w:sz w:val="24"/>
        </w:rPr>
        <w:t>r</w:t>
      </w:r>
      <w:r>
        <w:rPr>
          <w:rFonts w:ascii="Times New Roman" w:eastAsia="Times New Roman" w:hAnsi="Times New Roman" w:cs="Times New Roman"/>
          <w:sz w:val="24"/>
          <w:vertAlign w:val="subscript"/>
        </w:rPr>
        <w:t xml:space="preserve">6 </w:t>
      </w:r>
      <w:r>
        <w:rPr>
          <w:rFonts w:ascii="Segoe UI Symbol" w:eastAsia="Segoe UI Symbol" w:hAnsi="Segoe UI Symbol" w:cs="Segoe UI Symbol"/>
          <w:sz w:val="24"/>
        </w:rPr>
        <w:t xml:space="preserve"> </w:t>
      </w:r>
      <w:r>
        <w:rPr>
          <w:rFonts w:ascii="Times New Roman" w:eastAsia="Times New Roman" w:hAnsi="Times New Roman" w:cs="Times New Roman"/>
          <w:i/>
          <w:sz w:val="24"/>
        </w:rPr>
        <w:t>r</w:t>
      </w:r>
      <w:r>
        <w:rPr>
          <w:rFonts w:ascii="Times New Roman" w:eastAsia="Times New Roman" w:hAnsi="Times New Roman" w:cs="Times New Roman"/>
          <w:sz w:val="24"/>
          <w:vertAlign w:val="subscript"/>
        </w:rPr>
        <w:t>4</w:t>
      </w:r>
      <w:r>
        <w:rPr>
          <w:rFonts w:ascii="Times New Roman" w:eastAsia="Times New Roman" w:hAnsi="Times New Roman" w:cs="Times New Roman"/>
          <w:sz w:val="24"/>
          <w:vertAlign w:val="subscript"/>
        </w:rPr>
        <w:tab/>
      </w:r>
      <w:r>
        <w:rPr>
          <w:rFonts w:ascii="Times New Roman" w:eastAsia="Times New Roman" w:hAnsi="Times New Roman" w:cs="Times New Roman"/>
          <w:sz w:val="24"/>
        </w:rPr>
        <w:t xml:space="preserve">0.04 </w:t>
      </w:r>
      <w:r>
        <w:rPr>
          <w:rFonts w:ascii="Segoe UI Symbol" w:eastAsia="Segoe UI Symbol" w:hAnsi="Segoe UI Symbol" w:cs="Segoe UI Symbol"/>
          <w:sz w:val="24"/>
        </w:rPr>
        <w:t xml:space="preserve"> </w:t>
      </w:r>
      <w:r>
        <w:rPr>
          <w:rFonts w:ascii="Times New Roman" w:eastAsia="Times New Roman" w:hAnsi="Times New Roman" w:cs="Times New Roman"/>
          <w:sz w:val="24"/>
        </w:rPr>
        <w:t>0.36</w:t>
      </w:r>
      <w:r>
        <w:rPr>
          <w:rFonts w:ascii="Times New Roman" w:eastAsia="Times New Roman" w:hAnsi="Times New Roman" w:cs="Times New Roman"/>
          <w:sz w:val="24"/>
        </w:rPr>
        <w:tab/>
      </w:r>
      <w:r>
        <w:rPr>
          <w:rFonts w:ascii="Times New Roman" w:eastAsia="Times New Roman" w:hAnsi="Times New Roman" w:cs="Times New Roman"/>
          <w:sz w:val="28"/>
        </w:rPr>
        <w:t xml:space="preserve">. </w:t>
      </w:r>
    </w:p>
    <w:p w:rsidR="0052701D" w:rsidRDefault="00D40929">
      <w:pPr>
        <w:numPr>
          <w:ilvl w:val="0"/>
          <w:numId w:val="25"/>
        </w:numPr>
        <w:spacing w:after="510"/>
        <w:ind w:right="14" w:hanging="2129"/>
        <w:jc w:val="both"/>
      </w:pPr>
      <w:r>
        <w:rPr>
          <w:rFonts w:ascii="Segoe UI Symbol" w:eastAsia="Segoe UI Symbol" w:hAnsi="Segoe UI Symbol" w:cs="Segoe UI Symbol"/>
          <w:sz w:val="25"/>
        </w:rPr>
        <w:t></w:t>
      </w:r>
      <w:r>
        <w:rPr>
          <w:rFonts w:ascii="Times New Roman" w:eastAsia="Times New Roman" w:hAnsi="Times New Roman" w:cs="Times New Roman"/>
          <w:sz w:val="25"/>
          <w:vertAlign w:val="subscript"/>
        </w:rPr>
        <w:t xml:space="preserve">4 </w:t>
      </w:r>
      <w:r>
        <w:rPr>
          <w:rFonts w:ascii="Segoe UI Symbol" w:eastAsia="Segoe UI Symbol" w:hAnsi="Segoe UI Symbol" w:cs="Segoe UI Symbol"/>
          <w:sz w:val="23"/>
        </w:rPr>
        <w:t></w:t>
      </w:r>
      <w:r>
        <w:rPr>
          <w:rFonts w:ascii="Segoe UI Symbol" w:eastAsia="Segoe UI Symbol" w:hAnsi="Segoe UI Symbol" w:cs="Segoe UI Symbol"/>
          <w:sz w:val="25"/>
        </w:rPr>
        <w:t></w:t>
      </w:r>
      <w:r>
        <w:rPr>
          <w:rFonts w:ascii="Times New Roman" w:eastAsia="Times New Roman" w:hAnsi="Times New Roman" w:cs="Times New Roman"/>
          <w:sz w:val="25"/>
          <w:vertAlign w:val="subscript"/>
        </w:rPr>
        <w:t xml:space="preserve">1 </w:t>
      </w:r>
      <w:r>
        <w:rPr>
          <w:rFonts w:ascii="Segoe UI Symbol" w:eastAsia="Segoe UI Symbol" w:hAnsi="Segoe UI Symbol" w:cs="Segoe UI Symbol"/>
          <w:sz w:val="23"/>
        </w:rPr>
        <w:t></w:t>
      </w:r>
      <w:r>
        <w:rPr>
          <w:rFonts w:ascii="Segoe UI Symbol" w:eastAsia="Segoe UI Symbol" w:hAnsi="Segoe UI Symbol" w:cs="Segoe UI Symbol"/>
          <w:sz w:val="25"/>
        </w:rPr>
        <w:t></w:t>
      </w:r>
      <w:r>
        <w:rPr>
          <w:rFonts w:ascii="Times New Roman" w:eastAsia="Times New Roman" w:hAnsi="Times New Roman" w:cs="Times New Roman"/>
          <w:sz w:val="25"/>
          <w:vertAlign w:val="subscript"/>
        </w:rPr>
        <w:t xml:space="preserve">6 </w:t>
      </w:r>
      <w:r>
        <w:rPr>
          <w:rFonts w:ascii="Segoe UI Symbol" w:eastAsia="Segoe UI Symbol" w:hAnsi="Segoe UI Symbol" w:cs="Segoe UI Symbol"/>
          <w:sz w:val="23"/>
        </w:rPr>
        <w:t></w:t>
      </w:r>
      <w:r>
        <w:rPr>
          <w:rFonts w:ascii="Segoe UI Symbol" w:eastAsia="Segoe UI Symbol" w:hAnsi="Segoe UI Symbol" w:cs="Segoe UI Symbol"/>
          <w:sz w:val="25"/>
        </w:rPr>
        <w:t></w:t>
      </w:r>
      <w:r>
        <w:rPr>
          <w:rFonts w:ascii="Times New Roman" w:eastAsia="Times New Roman" w:hAnsi="Times New Roman" w:cs="Times New Roman"/>
          <w:i/>
          <w:sz w:val="25"/>
          <w:vertAlign w:val="subscript"/>
        </w:rPr>
        <w:t xml:space="preserve">n </w:t>
      </w:r>
      <w:r>
        <w:rPr>
          <w:rFonts w:ascii="Segoe UI Symbol" w:eastAsia="Segoe UI Symbol" w:hAnsi="Segoe UI Symbol" w:cs="Segoe UI Symbol"/>
          <w:sz w:val="23"/>
        </w:rPr>
        <w:t></w:t>
      </w:r>
      <w:r>
        <w:rPr>
          <w:rFonts w:ascii="Times New Roman" w:eastAsia="Times New Roman" w:hAnsi="Times New Roman" w:cs="Times New Roman"/>
          <w:sz w:val="23"/>
        </w:rPr>
        <w:t>140</w:t>
      </w:r>
      <w:r>
        <w:rPr>
          <w:rFonts w:ascii="Segoe UI Symbol" w:eastAsia="Segoe UI Symbol" w:hAnsi="Segoe UI Symbol" w:cs="Segoe UI Symbol"/>
          <w:sz w:val="23"/>
        </w:rPr>
        <w:t></w:t>
      </w:r>
      <w:r>
        <w:rPr>
          <w:rFonts w:ascii="Times New Roman" w:eastAsia="Times New Roman" w:hAnsi="Times New Roman" w:cs="Times New Roman"/>
          <w:sz w:val="23"/>
        </w:rPr>
        <w:t>100</w:t>
      </w:r>
      <w:r>
        <w:rPr>
          <w:rFonts w:ascii="Segoe UI Symbol" w:eastAsia="Segoe UI Symbol" w:hAnsi="Segoe UI Symbol" w:cs="Segoe UI Symbol"/>
          <w:sz w:val="23"/>
        </w:rPr>
        <w:t></w:t>
      </w:r>
      <w:r>
        <w:rPr>
          <w:rFonts w:ascii="Times New Roman" w:eastAsia="Times New Roman" w:hAnsi="Times New Roman" w:cs="Times New Roman"/>
          <w:sz w:val="23"/>
        </w:rPr>
        <w:t>40</w:t>
      </w:r>
      <w:r>
        <w:rPr>
          <w:rFonts w:ascii="Times New Roman" w:eastAsia="Times New Roman" w:hAnsi="Times New Roman" w:cs="Times New Roman"/>
          <w:i/>
          <w:sz w:val="23"/>
        </w:rPr>
        <w:t>s</w:t>
      </w:r>
      <w:r>
        <w:rPr>
          <w:rFonts w:ascii="Segoe UI Symbol" w:eastAsia="Segoe UI Symbol" w:hAnsi="Segoe UI Symbol" w:cs="Segoe UI Symbol"/>
          <w:sz w:val="23"/>
          <w:vertAlign w:val="superscript"/>
        </w:rPr>
        <w:t></w:t>
      </w:r>
      <w:r>
        <w:rPr>
          <w:rFonts w:ascii="Times New Roman" w:eastAsia="Times New Roman" w:hAnsi="Times New Roman" w:cs="Times New Roman"/>
          <w:sz w:val="23"/>
          <w:vertAlign w:val="superscript"/>
        </w:rPr>
        <w:t>1</w:t>
      </w:r>
      <w:r>
        <w:rPr>
          <w:rFonts w:ascii="Times New Roman" w:eastAsia="Times New Roman" w:hAnsi="Times New Roman" w:cs="Times New Roman"/>
          <w:sz w:val="28"/>
        </w:rPr>
        <w:t xml:space="preserve">. </w:t>
      </w:r>
    </w:p>
    <w:p w:rsidR="0052701D" w:rsidRDefault="00D40929">
      <w:pPr>
        <w:spacing w:after="0" w:line="248" w:lineRule="auto"/>
        <w:ind w:left="1058" w:right="2597" w:firstLine="1706"/>
        <w:jc w:val="both"/>
      </w:pPr>
      <w:r>
        <w:rPr>
          <w:noProof/>
        </w:rPr>
        <mc:AlternateContent>
          <mc:Choice Requires="wpg">
            <w:drawing>
              <wp:anchor distT="0" distB="0" distL="114300" distR="114300" simplePos="0" relativeHeight="251760640" behindDoc="0" locked="0" layoutInCell="1" allowOverlap="1">
                <wp:simplePos x="0" y="0"/>
                <wp:positionH relativeFrom="column">
                  <wp:posOffset>1740321</wp:posOffset>
                </wp:positionH>
                <wp:positionV relativeFrom="paragraph">
                  <wp:posOffset>107095</wp:posOffset>
                </wp:positionV>
                <wp:extent cx="276133" cy="6291"/>
                <wp:effectExtent l="0" t="0" r="0" b="0"/>
                <wp:wrapNone/>
                <wp:docPr id="936543" name="Group 936543"/>
                <wp:cNvGraphicFramePr/>
                <a:graphic xmlns:a="http://schemas.openxmlformats.org/drawingml/2006/main">
                  <a:graphicData uri="http://schemas.microsoft.com/office/word/2010/wordprocessingGroup">
                    <wpg:wgp>
                      <wpg:cNvGrpSpPr/>
                      <wpg:grpSpPr>
                        <a:xfrm>
                          <a:off x="0" y="0"/>
                          <a:ext cx="276133" cy="6291"/>
                          <a:chOff x="0" y="0"/>
                          <a:chExt cx="276133" cy="6291"/>
                        </a:xfrm>
                      </wpg:grpSpPr>
                      <wps:wsp>
                        <wps:cNvPr id="20793" name="Shape 20793"/>
                        <wps:cNvSpPr/>
                        <wps:spPr>
                          <a:xfrm>
                            <a:off x="0" y="0"/>
                            <a:ext cx="276133" cy="0"/>
                          </a:xfrm>
                          <a:custGeom>
                            <a:avLst/>
                            <a:gdLst/>
                            <a:ahLst/>
                            <a:cxnLst/>
                            <a:rect l="0" t="0" r="0" b="0"/>
                            <a:pathLst>
                              <a:path w="276133">
                                <a:moveTo>
                                  <a:pt x="0" y="0"/>
                                </a:moveTo>
                                <a:lnTo>
                                  <a:pt x="276133" y="0"/>
                                </a:lnTo>
                              </a:path>
                            </a:pathLst>
                          </a:custGeom>
                          <a:ln w="6291"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36543" style="width:21.7427pt;height:0.495332pt;position:absolute;z-index:270;mso-position-horizontal-relative:text;mso-position-horizontal:absolute;margin-left:137.033pt;mso-position-vertical-relative:text;margin-top:8.43268pt;" coordsize="2761,62">
                <v:shape id="Shape 20793" style="position:absolute;width:2761;height:0;left:0;top:0;" coordsize="276133,0" path="m0,0l276133,0">
                  <v:stroke weight="0.495332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761664" behindDoc="0" locked="0" layoutInCell="1" allowOverlap="1">
                <wp:simplePos x="0" y="0"/>
                <wp:positionH relativeFrom="column">
                  <wp:posOffset>2994700</wp:posOffset>
                </wp:positionH>
                <wp:positionV relativeFrom="paragraph">
                  <wp:posOffset>107095</wp:posOffset>
                </wp:positionV>
                <wp:extent cx="243515" cy="6291"/>
                <wp:effectExtent l="0" t="0" r="0" b="0"/>
                <wp:wrapSquare wrapText="bothSides"/>
                <wp:docPr id="936544" name="Group 936544"/>
                <wp:cNvGraphicFramePr/>
                <a:graphic xmlns:a="http://schemas.openxmlformats.org/drawingml/2006/main">
                  <a:graphicData uri="http://schemas.microsoft.com/office/word/2010/wordprocessingGroup">
                    <wpg:wgp>
                      <wpg:cNvGrpSpPr/>
                      <wpg:grpSpPr>
                        <a:xfrm>
                          <a:off x="0" y="0"/>
                          <a:ext cx="243515" cy="6291"/>
                          <a:chOff x="0" y="0"/>
                          <a:chExt cx="243515" cy="6291"/>
                        </a:xfrm>
                      </wpg:grpSpPr>
                      <wps:wsp>
                        <wps:cNvPr id="20794" name="Shape 20794"/>
                        <wps:cNvSpPr/>
                        <wps:spPr>
                          <a:xfrm>
                            <a:off x="0" y="0"/>
                            <a:ext cx="243515" cy="0"/>
                          </a:xfrm>
                          <a:custGeom>
                            <a:avLst/>
                            <a:gdLst/>
                            <a:ahLst/>
                            <a:cxnLst/>
                            <a:rect l="0" t="0" r="0" b="0"/>
                            <a:pathLst>
                              <a:path w="243515">
                                <a:moveTo>
                                  <a:pt x="0" y="0"/>
                                </a:moveTo>
                                <a:lnTo>
                                  <a:pt x="243515" y="0"/>
                                </a:lnTo>
                              </a:path>
                            </a:pathLst>
                          </a:custGeom>
                          <a:ln w="6291"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36544" style="width:19.1744pt;height:0.495332pt;position:absolute;mso-position-horizontal-relative:text;mso-position-horizontal:absolute;margin-left:235.803pt;mso-position-vertical-relative:text;margin-top:8.43268pt;" coordsize="2435,62">
                <v:shape id="Shape 20794" style="position:absolute;width:2435;height:0;left:0;top:0;" coordsize="243515,0" path="m0,0l243515,0">
                  <v:stroke weight="0.495332pt" endcap="flat" joinstyle="round" on="true" color="#000000"/>
                  <v:fill on="false" color="#000000" opacity="0"/>
                </v:shape>
                <w10:wrap type="square"/>
              </v:group>
            </w:pict>
          </mc:Fallback>
        </mc:AlternateContent>
      </w:r>
      <w:r>
        <w:rPr>
          <w:rFonts w:ascii="Times New Roman" w:eastAsia="Times New Roman" w:hAnsi="Times New Roman" w:cs="Times New Roman"/>
          <w:i/>
          <w:sz w:val="24"/>
        </w:rPr>
        <w:t>M</w:t>
      </w:r>
      <w:r>
        <w:rPr>
          <w:rFonts w:ascii="Times New Roman" w:eastAsia="Times New Roman" w:hAnsi="Times New Roman" w:cs="Times New Roman"/>
          <w:i/>
          <w:sz w:val="24"/>
          <w:vertAlign w:val="superscript"/>
        </w:rPr>
        <w:t xml:space="preserve">H </w:t>
      </w:r>
      <w:r>
        <w:rPr>
          <w:rFonts w:ascii="Times New Roman" w:eastAsia="Times New Roman" w:hAnsi="Times New Roman" w:cs="Times New Roman"/>
          <w:i/>
          <w:sz w:val="24"/>
        </w:rPr>
        <w:t>r</w:t>
      </w:r>
      <w:r>
        <w:rPr>
          <w:rFonts w:ascii="Times New Roman" w:eastAsia="Times New Roman" w:hAnsi="Times New Roman" w:cs="Times New Roman"/>
          <w:sz w:val="24"/>
          <w:vertAlign w:val="subscript"/>
        </w:rPr>
        <w:t xml:space="preserve">4 </w:t>
      </w:r>
      <w:r>
        <w:rPr>
          <w:rFonts w:ascii="Segoe UI Symbol" w:eastAsia="Segoe UI Symbol" w:hAnsi="Segoe UI Symbol" w:cs="Segoe UI Symbol"/>
          <w:sz w:val="24"/>
        </w:rPr>
        <w:t xml:space="preserve"> </w:t>
      </w:r>
      <w:r>
        <w:rPr>
          <w:rFonts w:ascii="Segoe UI Symbol" w:eastAsia="Segoe UI Symbol" w:hAnsi="Segoe UI Symbol" w:cs="Segoe UI Symbol"/>
          <w:sz w:val="24"/>
        </w:rPr>
        <w:t></w:t>
      </w:r>
      <w:r>
        <w:rPr>
          <w:rFonts w:ascii="Times New Roman" w:eastAsia="Times New Roman" w:hAnsi="Times New Roman" w:cs="Times New Roman"/>
          <w:sz w:val="24"/>
        </w:rPr>
        <w:t>100</w:t>
      </w:r>
      <w:r>
        <w:rPr>
          <w:rFonts w:ascii="Segoe UI Symbol" w:eastAsia="Segoe UI Symbol" w:hAnsi="Segoe UI Symbol" w:cs="Segoe UI Symbol"/>
          <w:sz w:val="24"/>
        </w:rPr>
        <w:t xml:space="preserve"> </w:t>
      </w:r>
      <w:r>
        <w:rPr>
          <w:rFonts w:ascii="Times New Roman" w:eastAsia="Times New Roman" w:hAnsi="Times New Roman" w:cs="Times New Roman"/>
          <w:sz w:val="24"/>
        </w:rPr>
        <w:t xml:space="preserve">0.5 </w:t>
      </w:r>
      <w:r>
        <w:rPr>
          <w:rFonts w:ascii="Times New Roman" w:eastAsia="Times New Roman" w:hAnsi="Times New Roman" w:cs="Times New Roman"/>
          <w:sz w:val="37"/>
          <w:vertAlign w:val="superscript"/>
        </w:rPr>
        <w:t xml:space="preserve">200 </w:t>
      </w:r>
      <w:r>
        <w:rPr>
          <w:rFonts w:ascii="Segoe UI Symbol" w:eastAsia="Segoe UI Symbol" w:hAnsi="Segoe UI Symbol" w:cs="Segoe UI Symbol"/>
          <w:sz w:val="24"/>
        </w:rPr>
        <w:t></w:t>
      </w:r>
      <w:r>
        <w:rPr>
          <w:rFonts w:ascii="Times New Roman" w:eastAsia="Times New Roman" w:hAnsi="Times New Roman" w:cs="Times New Roman"/>
          <w:sz w:val="24"/>
        </w:rPr>
        <w:t xml:space="preserve">0.36 </w:t>
      </w:r>
      <w:r>
        <w:rPr>
          <w:rFonts w:ascii="Segoe UI Symbol" w:eastAsia="Segoe UI Symbol" w:hAnsi="Segoe UI Symbol" w:cs="Segoe UI Symbol"/>
          <w:sz w:val="24"/>
        </w:rPr>
        <w:t xml:space="preserve"> </w:t>
      </w:r>
      <w:r>
        <w:rPr>
          <w:rFonts w:ascii="Segoe UI Symbol" w:eastAsia="Segoe UI Symbol" w:hAnsi="Segoe UI Symbol" w:cs="Segoe UI Symbol"/>
          <w:sz w:val="24"/>
        </w:rPr>
        <w:t></w:t>
      </w:r>
      <w:r>
        <w:rPr>
          <w:rFonts w:ascii="Times New Roman" w:eastAsia="Times New Roman" w:hAnsi="Times New Roman" w:cs="Times New Roman"/>
          <w:sz w:val="24"/>
        </w:rPr>
        <w:t>280</w:t>
      </w:r>
      <w:r>
        <w:rPr>
          <w:rFonts w:ascii="Times New Roman" w:eastAsia="Times New Roman" w:hAnsi="Times New Roman" w:cs="Times New Roman"/>
          <w:i/>
          <w:sz w:val="24"/>
        </w:rPr>
        <w:t>Nm M</w:t>
      </w:r>
      <w:r>
        <w:rPr>
          <w:rFonts w:ascii="Times New Roman" w:eastAsia="Times New Roman" w:hAnsi="Times New Roman" w:cs="Times New Roman"/>
          <w:sz w:val="24"/>
          <w:vertAlign w:val="subscript"/>
        </w:rPr>
        <w:t xml:space="preserve">4 </w:t>
      </w:r>
      <w:r>
        <w:rPr>
          <w:rFonts w:ascii="Segoe UI Symbol" w:eastAsia="Segoe UI Symbol" w:hAnsi="Segoe UI Symbol" w:cs="Segoe UI Symbol"/>
          <w:sz w:val="24"/>
        </w:rPr>
        <w:t xml:space="preserve"> </w:t>
      </w:r>
      <w:r>
        <w:rPr>
          <w:rFonts w:ascii="Segoe UI Symbol" w:eastAsia="Segoe UI Symbol" w:hAnsi="Segoe UI Symbol" w:cs="Segoe UI Symbol"/>
          <w:sz w:val="24"/>
        </w:rPr>
        <w:t></w:t>
      </w:r>
      <w:r>
        <w:rPr>
          <w:rFonts w:ascii="Times New Roman" w:eastAsia="Times New Roman" w:hAnsi="Times New Roman" w:cs="Times New Roman"/>
          <w:i/>
          <w:sz w:val="24"/>
        </w:rPr>
        <w:t>M</w:t>
      </w:r>
      <w:r>
        <w:rPr>
          <w:rFonts w:ascii="Times New Roman" w:eastAsia="Times New Roman" w:hAnsi="Times New Roman" w:cs="Times New Roman"/>
          <w:i/>
          <w:sz w:val="24"/>
          <w:vertAlign w:val="subscript"/>
        </w:rPr>
        <w:t xml:space="preserve">E </w:t>
      </w:r>
      <w:r>
        <w:rPr>
          <w:rFonts w:ascii="Segoe UI Symbol" w:eastAsia="Segoe UI Symbol" w:hAnsi="Segoe UI Symbol" w:cs="Segoe UI Symbol"/>
          <w:sz w:val="24"/>
        </w:rPr>
        <w:t xml:space="preserve"> </w:t>
      </w:r>
      <w:r>
        <w:rPr>
          <w:rFonts w:ascii="Times New Roman" w:eastAsia="Times New Roman" w:hAnsi="Times New Roman" w:cs="Times New Roman"/>
          <w:sz w:val="24"/>
        </w:rPr>
        <w:t>0.5</w:t>
      </w:r>
    </w:p>
    <w:p w:rsidR="0052701D" w:rsidRDefault="00D40929">
      <w:pPr>
        <w:numPr>
          <w:ilvl w:val="0"/>
          <w:numId w:val="25"/>
        </w:numPr>
        <w:spacing w:after="469" w:line="248" w:lineRule="auto"/>
        <w:ind w:right="14" w:hanging="2129"/>
        <w:jc w:val="both"/>
      </w:pPr>
      <w:r>
        <w:rPr>
          <w:rFonts w:ascii="Times New Roman" w:eastAsia="Times New Roman" w:hAnsi="Times New Roman" w:cs="Times New Roman"/>
          <w:i/>
          <w:sz w:val="24"/>
        </w:rPr>
        <w:t>r</w:t>
      </w:r>
      <w:r>
        <w:rPr>
          <w:rFonts w:ascii="Times New Roman" w:eastAsia="Times New Roman" w:hAnsi="Times New Roman" w:cs="Times New Roman"/>
          <w:i/>
          <w:sz w:val="16"/>
        </w:rPr>
        <w:t>H</w:t>
      </w:r>
      <w:r>
        <w:rPr>
          <w:rFonts w:ascii="Times New Roman" w:eastAsia="Times New Roman" w:hAnsi="Times New Roman" w:cs="Times New Roman"/>
          <w:i/>
          <w:sz w:val="16"/>
        </w:rPr>
        <w:tab/>
      </w:r>
      <w:r>
        <w:rPr>
          <w:rFonts w:ascii="Times New Roman" w:eastAsia="Times New Roman" w:hAnsi="Times New Roman" w:cs="Times New Roman"/>
          <w:sz w:val="24"/>
        </w:rPr>
        <w:t>0.2</w:t>
      </w:r>
      <w:r>
        <w:rPr>
          <w:rFonts w:ascii="Times New Roman" w:eastAsia="Times New Roman" w:hAnsi="Times New Roman" w:cs="Times New Roman"/>
          <w:sz w:val="24"/>
        </w:rPr>
        <w:tab/>
      </w:r>
      <w:r>
        <w:rPr>
          <w:rFonts w:ascii="Times New Roman" w:eastAsia="Times New Roman" w:hAnsi="Times New Roman" w:cs="Times New Roman"/>
          <w:sz w:val="28"/>
        </w:rPr>
        <w:t xml:space="preserve">. </w:t>
      </w:r>
    </w:p>
    <w:p w:rsidR="0052701D" w:rsidRDefault="00D40929">
      <w:pPr>
        <w:spacing w:after="274" w:line="245" w:lineRule="auto"/>
        <w:ind w:left="711" w:right="3364" w:firstLine="1906"/>
      </w:pPr>
      <w:r>
        <w:rPr>
          <w:noProof/>
        </w:rPr>
        <w:lastRenderedPageBreak/>
        <mc:AlternateContent>
          <mc:Choice Requires="wpg">
            <w:drawing>
              <wp:anchor distT="0" distB="0" distL="114300" distR="114300" simplePos="0" relativeHeight="251762688" behindDoc="0" locked="0" layoutInCell="1" allowOverlap="1">
                <wp:simplePos x="0" y="0"/>
                <wp:positionH relativeFrom="column">
                  <wp:posOffset>1647157</wp:posOffset>
                </wp:positionH>
                <wp:positionV relativeFrom="paragraph">
                  <wp:posOffset>110823</wp:posOffset>
                </wp:positionV>
                <wp:extent cx="275808" cy="6292"/>
                <wp:effectExtent l="0" t="0" r="0" b="0"/>
                <wp:wrapNone/>
                <wp:docPr id="936545" name="Group 936545"/>
                <wp:cNvGraphicFramePr/>
                <a:graphic xmlns:a="http://schemas.openxmlformats.org/drawingml/2006/main">
                  <a:graphicData uri="http://schemas.microsoft.com/office/word/2010/wordprocessingGroup">
                    <wpg:wgp>
                      <wpg:cNvGrpSpPr/>
                      <wpg:grpSpPr>
                        <a:xfrm>
                          <a:off x="0" y="0"/>
                          <a:ext cx="275808" cy="6292"/>
                          <a:chOff x="0" y="0"/>
                          <a:chExt cx="275808" cy="6292"/>
                        </a:xfrm>
                      </wpg:grpSpPr>
                      <wps:wsp>
                        <wps:cNvPr id="20834" name="Shape 20834"/>
                        <wps:cNvSpPr/>
                        <wps:spPr>
                          <a:xfrm>
                            <a:off x="0" y="0"/>
                            <a:ext cx="275808" cy="0"/>
                          </a:xfrm>
                          <a:custGeom>
                            <a:avLst/>
                            <a:gdLst/>
                            <a:ahLst/>
                            <a:cxnLst/>
                            <a:rect l="0" t="0" r="0" b="0"/>
                            <a:pathLst>
                              <a:path w="275808">
                                <a:moveTo>
                                  <a:pt x="0" y="0"/>
                                </a:moveTo>
                                <a:lnTo>
                                  <a:pt x="275808" y="0"/>
                                </a:lnTo>
                              </a:path>
                            </a:pathLst>
                          </a:custGeom>
                          <a:ln w="6292"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36545" style="width:21.7172pt;height:0.495431pt;position:absolute;z-index:311;mso-position-horizontal-relative:text;mso-position-horizontal:absolute;margin-left:129.697pt;mso-position-vertical-relative:text;margin-top:8.72626pt;" coordsize="2758,62">
                <v:shape id="Shape 20834" style="position:absolute;width:2758;height:0;left:0;top:0;" coordsize="275808,0" path="m0,0l275808,0">
                  <v:stroke weight="0.495431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763712" behindDoc="0" locked="0" layoutInCell="1" allowOverlap="1">
                <wp:simplePos x="0" y="0"/>
                <wp:positionH relativeFrom="column">
                  <wp:posOffset>2798879</wp:posOffset>
                </wp:positionH>
                <wp:positionV relativeFrom="paragraph">
                  <wp:posOffset>110823</wp:posOffset>
                </wp:positionV>
                <wp:extent cx="243401" cy="6292"/>
                <wp:effectExtent l="0" t="0" r="0" b="0"/>
                <wp:wrapSquare wrapText="bothSides"/>
                <wp:docPr id="936546" name="Group 936546"/>
                <wp:cNvGraphicFramePr/>
                <a:graphic xmlns:a="http://schemas.openxmlformats.org/drawingml/2006/main">
                  <a:graphicData uri="http://schemas.microsoft.com/office/word/2010/wordprocessingGroup">
                    <wpg:wgp>
                      <wpg:cNvGrpSpPr/>
                      <wpg:grpSpPr>
                        <a:xfrm>
                          <a:off x="0" y="0"/>
                          <a:ext cx="243401" cy="6292"/>
                          <a:chOff x="0" y="0"/>
                          <a:chExt cx="243401" cy="6292"/>
                        </a:xfrm>
                      </wpg:grpSpPr>
                      <wps:wsp>
                        <wps:cNvPr id="20835" name="Shape 20835"/>
                        <wps:cNvSpPr/>
                        <wps:spPr>
                          <a:xfrm>
                            <a:off x="0" y="0"/>
                            <a:ext cx="243401" cy="0"/>
                          </a:xfrm>
                          <a:custGeom>
                            <a:avLst/>
                            <a:gdLst/>
                            <a:ahLst/>
                            <a:cxnLst/>
                            <a:rect l="0" t="0" r="0" b="0"/>
                            <a:pathLst>
                              <a:path w="243401">
                                <a:moveTo>
                                  <a:pt x="0" y="0"/>
                                </a:moveTo>
                                <a:lnTo>
                                  <a:pt x="243401" y="0"/>
                                </a:lnTo>
                              </a:path>
                            </a:pathLst>
                          </a:custGeom>
                          <a:ln w="6292"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36546" style="width:19.1654pt;height:0.495431pt;position:absolute;mso-position-horizontal-relative:text;mso-position-horizontal:absolute;margin-left:220.384pt;mso-position-vertical-relative:text;margin-top:8.72626pt;" coordsize="2434,62">
                <v:shape id="Shape 20835" style="position:absolute;width:2434;height:0;left:0;top:0;" coordsize="243401,0" path="m0,0l243401,0">
                  <v:stroke weight="0.495431pt" endcap="flat" joinstyle="round" on="true" color="#000000"/>
                  <v:fill on="false" color="#000000" opacity="0"/>
                </v:shape>
                <w10:wrap type="square"/>
              </v:group>
            </w:pict>
          </mc:Fallback>
        </mc:AlternateContent>
      </w:r>
      <w:r>
        <w:rPr>
          <w:rFonts w:ascii="Times New Roman" w:eastAsia="Times New Roman" w:hAnsi="Times New Roman" w:cs="Times New Roman"/>
          <w:i/>
          <w:sz w:val="24"/>
        </w:rPr>
        <w:t>M</w:t>
      </w:r>
      <w:r>
        <w:rPr>
          <w:rFonts w:ascii="Times New Roman" w:eastAsia="Times New Roman" w:hAnsi="Times New Roman" w:cs="Times New Roman"/>
          <w:i/>
          <w:sz w:val="24"/>
          <w:vertAlign w:val="superscript"/>
        </w:rPr>
        <w:t xml:space="preserve">H </w:t>
      </w:r>
      <w:r>
        <w:rPr>
          <w:rFonts w:ascii="Times New Roman" w:eastAsia="Times New Roman" w:hAnsi="Times New Roman" w:cs="Times New Roman"/>
          <w:i/>
          <w:sz w:val="24"/>
        </w:rPr>
        <w:t>r</w:t>
      </w:r>
      <w:r>
        <w:rPr>
          <w:rFonts w:ascii="Times New Roman" w:eastAsia="Times New Roman" w:hAnsi="Times New Roman" w:cs="Times New Roman"/>
          <w:sz w:val="24"/>
          <w:vertAlign w:val="subscript"/>
        </w:rPr>
        <w:t xml:space="preserve">6 </w:t>
      </w:r>
      <w:r>
        <w:rPr>
          <w:rFonts w:ascii="Segoe UI Symbol" w:eastAsia="Segoe UI Symbol" w:hAnsi="Segoe UI Symbol" w:cs="Segoe UI Symbol"/>
          <w:sz w:val="24"/>
        </w:rPr>
        <w:t></w:t>
      </w:r>
      <w:r>
        <w:rPr>
          <w:rFonts w:ascii="Times New Roman" w:eastAsia="Times New Roman" w:hAnsi="Times New Roman" w:cs="Times New Roman"/>
          <w:sz w:val="24"/>
        </w:rPr>
        <w:t>100</w:t>
      </w:r>
      <w:r>
        <w:rPr>
          <w:rFonts w:ascii="Segoe UI Symbol" w:eastAsia="Segoe UI Symbol" w:hAnsi="Segoe UI Symbol" w:cs="Segoe UI Symbol"/>
          <w:sz w:val="24"/>
        </w:rPr>
        <w:t xml:space="preserve"> </w:t>
      </w:r>
      <w:r>
        <w:rPr>
          <w:rFonts w:ascii="Times New Roman" w:eastAsia="Times New Roman" w:hAnsi="Times New Roman" w:cs="Times New Roman"/>
          <w:sz w:val="24"/>
        </w:rPr>
        <w:t xml:space="preserve">0.5 </w:t>
      </w:r>
      <w:r>
        <w:rPr>
          <w:rFonts w:ascii="Times New Roman" w:eastAsia="Times New Roman" w:hAnsi="Times New Roman" w:cs="Times New Roman"/>
          <w:sz w:val="37"/>
          <w:vertAlign w:val="superscript"/>
        </w:rPr>
        <w:t xml:space="preserve">200 </w:t>
      </w:r>
      <w:r>
        <w:rPr>
          <w:rFonts w:ascii="Segoe UI Symbol" w:eastAsia="Segoe UI Symbol" w:hAnsi="Segoe UI Symbol" w:cs="Segoe UI Symbol"/>
          <w:sz w:val="24"/>
        </w:rPr>
        <w:t></w:t>
      </w:r>
      <w:r>
        <w:rPr>
          <w:rFonts w:ascii="Times New Roman" w:eastAsia="Times New Roman" w:hAnsi="Times New Roman" w:cs="Times New Roman"/>
          <w:sz w:val="24"/>
        </w:rPr>
        <w:t xml:space="preserve">0.04 </w:t>
      </w:r>
      <w:r>
        <w:rPr>
          <w:rFonts w:ascii="Segoe UI Symbol" w:eastAsia="Segoe UI Symbol" w:hAnsi="Segoe UI Symbol" w:cs="Segoe UI Symbol"/>
          <w:sz w:val="24"/>
        </w:rPr>
        <w:t xml:space="preserve"> </w:t>
      </w:r>
      <w:r>
        <w:rPr>
          <w:rFonts w:ascii="Times New Roman" w:eastAsia="Times New Roman" w:hAnsi="Times New Roman" w:cs="Times New Roman"/>
          <w:sz w:val="24"/>
        </w:rPr>
        <w:t>80</w:t>
      </w:r>
      <w:r>
        <w:rPr>
          <w:rFonts w:ascii="Times New Roman" w:eastAsia="Times New Roman" w:hAnsi="Times New Roman" w:cs="Times New Roman"/>
          <w:i/>
          <w:sz w:val="24"/>
        </w:rPr>
        <w:t>Nm M</w:t>
      </w:r>
      <w:r>
        <w:rPr>
          <w:rFonts w:ascii="Times New Roman" w:eastAsia="Times New Roman" w:hAnsi="Times New Roman" w:cs="Times New Roman"/>
          <w:sz w:val="24"/>
          <w:vertAlign w:val="subscript"/>
        </w:rPr>
        <w:t xml:space="preserve">6 </w:t>
      </w:r>
      <w:r>
        <w:rPr>
          <w:rFonts w:ascii="Segoe UI Symbol" w:eastAsia="Segoe UI Symbol" w:hAnsi="Segoe UI Symbol" w:cs="Segoe UI Symbol"/>
          <w:sz w:val="24"/>
        </w:rPr>
        <w:t xml:space="preserve"> </w:t>
      </w:r>
      <w:r>
        <w:rPr>
          <w:rFonts w:ascii="Times New Roman" w:eastAsia="Times New Roman" w:hAnsi="Times New Roman" w:cs="Times New Roman"/>
          <w:i/>
          <w:sz w:val="24"/>
        </w:rPr>
        <w:t>M</w:t>
      </w:r>
      <w:r>
        <w:rPr>
          <w:rFonts w:ascii="Times New Roman" w:eastAsia="Times New Roman" w:hAnsi="Times New Roman" w:cs="Times New Roman"/>
          <w:i/>
          <w:sz w:val="24"/>
          <w:vertAlign w:val="subscript"/>
        </w:rPr>
        <w:t xml:space="preserve">E </w:t>
      </w:r>
      <w:r>
        <w:rPr>
          <w:rFonts w:ascii="Segoe UI Symbol" w:eastAsia="Segoe UI Symbol" w:hAnsi="Segoe UI Symbol" w:cs="Segoe UI Symbol"/>
          <w:sz w:val="24"/>
        </w:rPr>
        <w:t xml:space="preserve"> </w:t>
      </w:r>
      <w:r>
        <w:rPr>
          <w:rFonts w:ascii="Times New Roman" w:eastAsia="Times New Roman" w:hAnsi="Times New Roman" w:cs="Times New Roman"/>
          <w:sz w:val="24"/>
        </w:rPr>
        <w:t xml:space="preserve">0.5 </w:t>
      </w:r>
      <w:r>
        <w:rPr>
          <w:rFonts w:ascii="Times New Roman" w:eastAsia="Times New Roman" w:hAnsi="Times New Roman" w:cs="Times New Roman"/>
          <w:sz w:val="28"/>
        </w:rPr>
        <w:t>6)</w:t>
      </w:r>
      <w:r>
        <w:rPr>
          <w:rFonts w:ascii="Times New Roman" w:eastAsia="Times New Roman" w:hAnsi="Times New Roman" w:cs="Times New Roman"/>
          <w:b/>
          <w:i/>
          <w:sz w:val="28"/>
        </w:rPr>
        <w:t xml:space="preserve"> </w:t>
      </w:r>
      <w:r>
        <w:rPr>
          <w:rFonts w:ascii="Times New Roman" w:eastAsia="Times New Roman" w:hAnsi="Times New Roman" w:cs="Times New Roman"/>
          <w:b/>
          <w:i/>
          <w:sz w:val="28"/>
        </w:rPr>
        <w:tab/>
      </w:r>
      <w:r>
        <w:rPr>
          <w:rFonts w:ascii="Times New Roman" w:eastAsia="Times New Roman" w:hAnsi="Times New Roman" w:cs="Times New Roman"/>
          <w:i/>
          <w:sz w:val="24"/>
        </w:rPr>
        <w:t>r</w:t>
      </w:r>
      <w:r>
        <w:rPr>
          <w:rFonts w:ascii="Times New Roman" w:eastAsia="Times New Roman" w:hAnsi="Times New Roman" w:cs="Times New Roman"/>
          <w:i/>
          <w:sz w:val="16"/>
        </w:rPr>
        <w:t>H</w:t>
      </w:r>
      <w:r>
        <w:rPr>
          <w:rFonts w:ascii="Times New Roman" w:eastAsia="Times New Roman" w:hAnsi="Times New Roman" w:cs="Times New Roman"/>
          <w:i/>
          <w:sz w:val="16"/>
        </w:rPr>
        <w:tab/>
      </w:r>
      <w:r>
        <w:rPr>
          <w:rFonts w:ascii="Times New Roman" w:eastAsia="Times New Roman" w:hAnsi="Times New Roman" w:cs="Times New Roman"/>
          <w:sz w:val="24"/>
        </w:rPr>
        <w:t>0.2</w:t>
      </w:r>
      <w:r>
        <w:rPr>
          <w:rFonts w:ascii="Times New Roman" w:eastAsia="Times New Roman" w:hAnsi="Times New Roman" w:cs="Times New Roman"/>
          <w:sz w:val="24"/>
        </w:rPr>
        <w:tab/>
      </w:r>
      <w:r>
        <w:rPr>
          <w:rFonts w:ascii="Times New Roman" w:eastAsia="Times New Roman" w:hAnsi="Times New Roman" w:cs="Times New Roman"/>
          <w:sz w:val="28"/>
        </w:rPr>
        <w:t>.</w:t>
      </w:r>
      <w:r>
        <w:rPr>
          <w:rFonts w:ascii="Times New Roman" w:eastAsia="Times New Roman" w:hAnsi="Times New Roman" w:cs="Times New Roman"/>
          <w:b/>
          <w:i/>
          <w:sz w:val="28"/>
        </w:rPr>
        <w:t xml:space="preserve"> </w:t>
      </w:r>
    </w:p>
    <w:p w:rsidR="0052701D" w:rsidRDefault="00D40929">
      <w:pPr>
        <w:spacing w:after="190" w:line="271" w:lineRule="auto"/>
        <w:ind w:left="711" w:right="64"/>
        <w:jc w:val="both"/>
      </w:pPr>
      <w:r>
        <w:rPr>
          <w:rFonts w:ascii="Times New Roman" w:eastAsia="Times New Roman" w:hAnsi="Times New Roman" w:cs="Times New Roman"/>
          <w:sz w:val="28"/>
        </w:rPr>
        <w:t>Барлық жүйенің тепе-</w:t>
      </w:r>
      <w:r>
        <w:rPr>
          <w:rFonts w:ascii="Times New Roman" w:eastAsia="Times New Roman" w:hAnsi="Times New Roman" w:cs="Times New Roman"/>
          <w:sz w:val="28"/>
        </w:rPr>
        <w:t xml:space="preserve">теңдік жағдайын тексеру  </w:t>
      </w:r>
    </w:p>
    <w:p w:rsidR="0052701D" w:rsidRDefault="00D40929">
      <w:pPr>
        <w:spacing w:after="510"/>
        <w:ind w:left="706" w:hanging="10"/>
      </w:pPr>
      <w:r>
        <w:rPr>
          <w:rFonts w:ascii="Times New Roman" w:eastAsia="Times New Roman" w:hAnsi="Times New Roman" w:cs="Times New Roman"/>
          <w:i/>
          <w:sz w:val="24"/>
        </w:rPr>
        <w:t>M</w:t>
      </w:r>
      <w:r>
        <w:rPr>
          <w:rFonts w:ascii="Times New Roman" w:eastAsia="Times New Roman" w:hAnsi="Times New Roman" w:cs="Times New Roman"/>
          <w:sz w:val="24"/>
          <w:vertAlign w:val="subscript"/>
        </w:rPr>
        <w:t>6</w:t>
      </w:r>
      <w:r>
        <w:rPr>
          <w:rFonts w:ascii="Segoe UI Symbol" w:eastAsia="Segoe UI Symbol" w:hAnsi="Segoe UI Symbol" w:cs="Segoe UI Symbol"/>
          <w:sz w:val="25"/>
        </w:rPr>
        <w:t></w:t>
      </w:r>
      <w:r>
        <w:rPr>
          <w:rFonts w:ascii="Times New Roman" w:eastAsia="Times New Roman" w:hAnsi="Times New Roman" w:cs="Times New Roman"/>
          <w:sz w:val="25"/>
          <w:vertAlign w:val="subscript"/>
        </w:rPr>
        <w:t xml:space="preserve">6 </w:t>
      </w:r>
      <w:r>
        <w:rPr>
          <w:rFonts w:ascii="Segoe UI Symbol" w:eastAsia="Segoe UI Symbol" w:hAnsi="Segoe UI Symbol" w:cs="Segoe UI Symbol"/>
          <w:sz w:val="24"/>
        </w:rPr>
        <w:t xml:space="preserve"> </w:t>
      </w:r>
      <w:r>
        <w:rPr>
          <w:rFonts w:ascii="Times New Roman" w:eastAsia="Times New Roman" w:hAnsi="Times New Roman" w:cs="Times New Roman"/>
          <w:i/>
          <w:sz w:val="24"/>
        </w:rPr>
        <w:t>M</w:t>
      </w:r>
      <w:r>
        <w:rPr>
          <w:rFonts w:ascii="Times New Roman" w:eastAsia="Times New Roman" w:hAnsi="Times New Roman" w:cs="Times New Roman"/>
          <w:sz w:val="24"/>
          <w:vertAlign w:val="subscript"/>
        </w:rPr>
        <w:t>4</w:t>
      </w:r>
      <w:r>
        <w:rPr>
          <w:rFonts w:ascii="Segoe UI Symbol" w:eastAsia="Segoe UI Symbol" w:hAnsi="Segoe UI Symbol" w:cs="Segoe UI Symbol"/>
          <w:sz w:val="25"/>
        </w:rPr>
        <w:t></w:t>
      </w:r>
      <w:r>
        <w:rPr>
          <w:rFonts w:ascii="Times New Roman" w:eastAsia="Times New Roman" w:hAnsi="Times New Roman" w:cs="Times New Roman"/>
          <w:sz w:val="25"/>
          <w:vertAlign w:val="subscript"/>
        </w:rPr>
        <w:t xml:space="preserve">4 </w:t>
      </w:r>
      <w:r>
        <w:rPr>
          <w:rFonts w:ascii="Segoe UI Symbol" w:eastAsia="Segoe UI Symbol" w:hAnsi="Segoe UI Symbol" w:cs="Segoe UI Symbol"/>
          <w:sz w:val="24"/>
        </w:rPr>
        <w:t xml:space="preserve"> </w:t>
      </w:r>
      <w:r>
        <w:rPr>
          <w:rFonts w:ascii="Times New Roman" w:eastAsia="Times New Roman" w:hAnsi="Times New Roman" w:cs="Times New Roman"/>
          <w:sz w:val="36"/>
          <w:vertAlign w:val="superscript"/>
        </w:rPr>
        <w:t>0</w:t>
      </w:r>
      <w:r>
        <w:rPr>
          <w:rFonts w:ascii="Times New Roman" w:eastAsia="Times New Roman" w:hAnsi="Times New Roman" w:cs="Times New Roman"/>
          <w:sz w:val="28"/>
        </w:rPr>
        <w:t xml:space="preserve">, </w:t>
      </w:r>
      <w:r>
        <w:rPr>
          <w:rFonts w:ascii="Times New Roman" w:eastAsia="Times New Roman" w:hAnsi="Times New Roman" w:cs="Times New Roman"/>
          <w:sz w:val="23"/>
        </w:rPr>
        <w:t xml:space="preserve">80 </w:t>
      </w:r>
      <w:r>
        <w:rPr>
          <w:rFonts w:ascii="Segoe UI Symbol" w:eastAsia="Segoe UI Symbol" w:hAnsi="Segoe UI Symbol" w:cs="Segoe UI Symbol"/>
          <w:sz w:val="23"/>
        </w:rPr>
        <w:t></w:t>
      </w:r>
      <w:r>
        <w:rPr>
          <w:rFonts w:ascii="Times New Roman" w:eastAsia="Times New Roman" w:hAnsi="Times New Roman" w:cs="Times New Roman"/>
          <w:sz w:val="23"/>
        </w:rPr>
        <w:t xml:space="preserve">140 </w:t>
      </w:r>
      <w:r>
        <w:rPr>
          <w:rFonts w:ascii="Segoe UI Symbol" w:eastAsia="Segoe UI Symbol" w:hAnsi="Segoe UI Symbol" w:cs="Segoe UI Symbol"/>
          <w:sz w:val="23"/>
        </w:rPr>
        <w:t xml:space="preserve"> </w:t>
      </w:r>
      <w:r>
        <w:rPr>
          <w:rFonts w:ascii="Times New Roman" w:eastAsia="Times New Roman" w:hAnsi="Times New Roman" w:cs="Times New Roman"/>
          <w:sz w:val="23"/>
        </w:rPr>
        <w:t xml:space="preserve">280 </w:t>
      </w:r>
      <w:r>
        <w:rPr>
          <w:rFonts w:ascii="Segoe UI Symbol" w:eastAsia="Segoe UI Symbol" w:hAnsi="Segoe UI Symbol" w:cs="Segoe UI Symbol"/>
          <w:sz w:val="23"/>
        </w:rPr>
        <w:t></w:t>
      </w:r>
      <w:r>
        <w:rPr>
          <w:rFonts w:ascii="Times New Roman" w:eastAsia="Times New Roman" w:hAnsi="Times New Roman" w:cs="Times New Roman"/>
          <w:sz w:val="23"/>
        </w:rPr>
        <w:t xml:space="preserve">40 </w:t>
      </w:r>
      <w:r>
        <w:rPr>
          <w:rFonts w:ascii="Segoe UI Symbol" w:eastAsia="Segoe UI Symbol" w:hAnsi="Segoe UI Symbol" w:cs="Segoe UI Symbol"/>
          <w:sz w:val="23"/>
        </w:rPr>
        <w:t xml:space="preserve"> </w:t>
      </w:r>
      <w:r>
        <w:rPr>
          <w:rFonts w:ascii="Times New Roman" w:eastAsia="Times New Roman" w:hAnsi="Times New Roman" w:cs="Times New Roman"/>
          <w:sz w:val="23"/>
        </w:rPr>
        <w:t>0</w:t>
      </w:r>
      <w:r>
        <w:rPr>
          <w:rFonts w:ascii="Times New Roman" w:eastAsia="Times New Roman" w:hAnsi="Times New Roman" w:cs="Times New Roman"/>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Барлық жүйенің тепе-теңдік жағдайын тексеретін сандық мысал орындалған теориялық жұмыстарды дәлелдейді.</w:t>
      </w:r>
      <w:r>
        <w:rPr>
          <w:rFonts w:ascii="Times New Roman" w:eastAsia="Times New Roman" w:hAnsi="Times New Roman" w:cs="Times New Roman"/>
          <w:b/>
          <w:sz w:val="28"/>
        </w:rPr>
        <w:t xml:space="preserve"> </w:t>
      </w:r>
    </w:p>
    <w:p w:rsidR="0052701D" w:rsidRDefault="00D40929">
      <w:pPr>
        <w:spacing w:after="5" w:line="251" w:lineRule="auto"/>
        <w:ind w:left="720" w:firstLine="9"/>
      </w:pPr>
      <w:r>
        <w:rPr>
          <w:rFonts w:ascii="Times New Roman" w:eastAsia="Times New Roman" w:hAnsi="Times New Roman" w:cs="Times New Roman"/>
          <w:b/>
          <w:sz w:val="28"/>
        </w:rPr>
        <w:t xml:space="preserve">Қорытынды </w:t>
      </w:r>
    </w:p>
    <w:p w:rsidR="0052701D" w:rsidRDefault="00D40929">
      <w:pPr>
        <w:spacing w:after="99" w:line="271" w:lineRule="auto"/>
        <w:ind w:left="9" w:right="64" w:firstLine="711"/>
        <w:jc w:val="both"/>
      </w:pPr>
      <w:r>
        <w:rPr>
          <w:rFonts w:ascii="Times New Roman" w:eastAsia="Times New Roman" w:hAnsi="Times New Roman" w:cs="Times New Roman"/>
          <w:sz w:val="28"/>
        </w:rPr>
        <w:t>Әзірленген адаптивті электр жетегі айнымалы қуат жүктемесіне шығыс білігі</w:t>
      </w:r>
      <w:r>
        <w:rPr>
          <w:rFonts w:ascii="Times New Roman" w:eastAsia="Times New Roman" w:hAnsi="Times New Roman" w:cs="Times New Roman"/>
          <w:sz w:val="28"/>
        </w:rPr>
        <w:t>нің күшпен бейімделуін қамтамасыз етеді. Қозғалмайтын статоры бар электр жетегімен салыстырғанда жылжымалы статоры бар адаптивті электр жетегінің конструкциясы айтарлықтай жеңілдейді. Бұл робототехника және аэроғарыштық техника үшін өте маңызды өлшемдер ме</w:t>
      </w:r>
      <w:r>
        <w:rPr>
          <w:rFonts w:ascii="Times New Roman" w:eastAsia="Times New Roman" w:hAnsi="Times New Roman" w:cs="Times New Roman"/>
          <w:sz w:val="28"/>
        </w:rPr>
        <w:t>н электр жетек салмағын айтарлықтай азайтуға мүмкіндік береді. Бейімделетін электр жетегі электр қозғалтқышын максималды қуатта емес, орташа қуатты таңдауға мүмкіндік береді, өйткені ол жүктеменің жоғарылауы кезінде шығыс бұрыштық жылдамдығын дербес азайта</w:t>
      </w:r>
      <w:r>
        <w:rPr>
          <w:rFonts w:ascii="Times New Roman" w:eastAsia="Times New Roman" w:hAnsi="Times New Roman" w:cs="Times New Roman"/>
          <w:sz w:val="28"/>
        </w:rPr>
        <w:t xml:space="preserve">ды. Адаптивті электр жетегінің маңызды артықшылықтары жұмыстың тәуелсіздігі (басқару жүйесінің болмауы) және жоғары электр тиімділігі болып табылады, өйткені электр қозғалтқышы кез келген жүктеме кезінде жалпы өнімділікке жүктеледі. </w:t>
      </w:r>
    </w:p>
    <w:p w:rsidR="0052701D" w:rsidRDefault="00D40929">
      <w:pPr>
        <w:spacing w:after="100" w:line="248" w:lineRule="auto"/>
        <w:ind w:left="819" w:right="281" w:hanging="10"/>
        <w:jc w:val="center"/>
      </w:pPr>
      <w:r>
        <w:rPr>
          <w:rFonts w:ascii="Times New Roman" w:eastAsia="Times New Roman" w:hAnsi="Times New Roman" w:cs="Times New Roman"/>
          <w:b/>
          <w:sz w:val="24"/>
        </w:rPr>
        <w:t xml:space="preserve">Қолданылған әдебиеттер: </w:t>
      </w:r>
    </w:p>
    <w:p w:rsidR="0052701D" w:rsidRDefault="00D40929">
      <w:pPr>
        <w:spacing w:after="29" w:line="248" w:lineRule="auto"/>
        <w:ind w:left="9" w:right="14" w:firstLine="567"/>
        <w:jc w:val="both"/>
      </w:pPr>
      <w:r>
        <w:rPr>
          <w:rFonts w:ascii="Times New Roman" w:eastAsia="Times New Roman" w:hAnsi="Times New Roman" w:cs="Times New Roman"/>
          <w:sz w:val="24"/>
        </w:rPr>
        <w:t>[1] Ivanov K.S. The simplest automatic transfer box. // WCE 2010. World Congress on Engineering  2010 (ICME) London, UK. 2010.  - P. 1179 – 1184.  [2] Иванов К.С., Дмитриева Н.А. Электромеханическая саморегулирующаяся установка. Ав</w:t>
      </w:r>
      <w:r>
        <w:rPr>
          <w:rFonts w:ascii="Times New Roman" w:eastAsia="Times New Roman" w:hAnsi="Times New Roman" w:cs="Times New Roman"/>
          <w:sz w:val="24"/>
        </w:rPr>
        <w:t xml:space="preserve">торское свидетельство СССР №1216489 от 7.03.1986. </w:t>
      </w:r>
    </w:p>
    <w:p w:rsidR="0052701D" w:rsidRDefault="00D40929">
      <w:pPr>
        <w:numPr>
          <w:ilvl w:val="0"/>
          <w:numId w:val="26"/>
        </w:numPr>
        <w:spacing w:after="0" w:line="248" w:lineRule="auto"/>
        <w:ind w:right="14" w:firstLine="567"/>
        <w:jc w:val="both"/>
      </w:pPr>
      <w:r>
        <w:rPr>
          <w:rFonts w:ascii="Times New Roman" w:eastAsia="Times New Roman" w:hAnsi="Times New Roman" w:cs="Times New Roman"/>
          <w:sz w:val="24"/>
        </w:rPr>
        <w:t xml:space="preserve">Ivanov K., Zhilisbaeva K. Concept of Drive of Sport Techniques in 21 Century. Conference on Sports Engineering and Computer Science (SECS 2014). Elsevier. AASRI. London. UK.  2014.  </w:t>
      </w:r>
    </w:p>
    <w:p w:rsidR="0052701D" w:rsidRDefault="00D40929">
      <w:pPr>
        <w:numPr>
          <w:ilvl w:val="0"/>
          <w:numId w:val="26"/>
        </w:numPr>
        <w:spacing w:after="29" w:line="248" w:lineRule="auto"/>
        <w:ind w:right="14" w:firstLine="567"/>
        <w:jc w:val="both"/>
      </w:pPr>
      <w:r>
        <w:rPr>
          <w:rFonts w:ascii="Times New Roman" w:eastAsia="Times New Roman" w:hAnsi="Times New Roman" w:cs="Times New Roman"/>
          <w:sz w:val="24"/>
        </w:rPr>
        <w:t>Ivanov K.S. Creation o</w:t>
      </w:r>
      <w:r>
        <w:rPr>
          <w:rFonts w:ascii="Times New Roman" w:eastAsia="Times New Roman" w:hAnsi="Times New Roman" w:cs="Times New Roman"/>
          <w:sz w:val="24"/>
        </w:rPr>
        <w:t xml:space="preserve">f Adaptive-Mechanical Continuously Variable Transfer. 5th International Conference on Advanced Design and Manufacture (ADM 2013). Valencia. Spain. 2013. </w:t>
      </w:r>
    </w:p>
    <w:p w:rsidR="0052701D" w:rsidRDefault="00D40929">
      <w:pPr>
        <w:spacing w:after="29" w:line="248" w:lineRule="auto"/>
        <w:ind w:left="9" w:right="14"/>
        <w:jc w:val="both"/>
      </w:pPr>
      <w:r>
        <w:rPr>
          <w:rFonts w:ascii="Times New Roman" w:eastAsia="Times New Roman" w:hAnsi="Times New Roman" w:cs="Times New Roman"/>
          <w:sz w:val="24"/>
        </w:rPr>
        <w:t xml:space="preserve">рр. 63-70. </w:t>
      </w:r>
    </w:p>
    <w:p w:rsidR="0052701D" w:rsidRDefault="00D40929">
      <w:pPr>
        <w:spacing w:after="0"/>
        <w:ind w:left="711"/>
      </w:pPr>
      <w:r>
        <w:rPr>
          <w:rFonts w:ascii="Times New Roman" w:eastAsia="Times New Roman" w:hAnsi="Times New Roman" w:cs="Times New Roman"/>
          <w:color w:val="00000A"/>
        </w:rPr>
        <w:t xml:space="preserve"> </w:t>
      </w:r>
    </w:p>
    <w:p w:rsidR="0052701D" w:rsidRDefault="00D40929">
      <w:pPr>
        <w:spacing w:after="47"/>
        <w:ind w:left="711"/>
      </w:pPr>
      <w:r>
        <w:rPr>
          <w:rFonts w:ascii="Times New Roman" w:eastAsia="Times New Roman" w:hAnsi="Times New Roman" w:cs="Times New Roman"/>
          <w:color w:val="00000A"/>
        </w:rPr>
        <w:t xml:space="preserve"> </w:t>
      </w:r>
    </w:p>
    <w:p w:rsidR="0052701D" w:rsidRDefault="00D40929">
      <w:pPr>
        <w:spacing w:after="4" w:line="271" w:lineRule="auto"/>
        <w:ind w:left="-5" w:right="194" w:hanging="10"/>
      </w:pPr>
      <w:r>
        <w:rPr>
          <w:rFonts w:ascii="Times New Roman" w:eastAsia="Times New Roman" w:hAnsi="Times New Roman" w:cs="Times New Roman"/>
          <w:b/>
          <w:sz w:val="24"/>
        </w:rPr>
        <w:t xml:space="preserve">УДК 681.2:004 </w:t>
      </w:r>
    </w:p>
    <w:p w:rsidR="0052701D" w:rsidRDefault="00D40929">
      <w:pPr>
        <w:spacing w:after="16"/>
        <w:ind w:left="711"/>
      </w:pPr>
      <w:r>
        <w:rPr>
          <w:rFonts w:ascii="Times New Roman" w:eastAsia="Times New Roman" w:hAnsi="Times New Roman" w:cs="Times New Roman"/>
          <w:sz w:val="24"/>
        </w:rPr>
        <w:t xml:space="preserve"> </w:t>
      </w:r>
    </w:p>
    <w:p w:rsidR="0052701D" w:rsidRDefault="00D40929">
      <w:pPr>
        <w:pStyle w:val="1"/>
        <w:ind w:left="1205" w:right="0" w:firstLine="9"/>
        <w:jc w:val="left"/>
      </w:pPr>
      <w:r>
        <w:t xml:space="preserve">DEVELOPMENT OF A WIRELESS REMOTE CONTROL AND </w:t>
      </w:r>
    </w:p>
    <w:p w:rsidR="0052701D" w:rsidRDefault="00D40929">
      <w:pPr>
        <w:spacing w:after="5" w:line="271" w:lineRule="auto"/>
        <w:ind w:left="1205" w:firstLine="9"/>
      </w:pPr>
      <w:r>
        <w:rPr>
          <w:rFonts w:ascii="Times New Roman" w:eastAsia="Times New Roman" w:hAnsi="Times New Roman" w:cs="Times New Roman"/>
          <w:b/>
          <w:sz w:val="28"/>
        </w:rPr>
        <w:t xml:space="preserve">MANAGEMENT SYSTEM BASED ON THE ESP8266 MODULE WI-FI </w:t>
      </w:r>
      <w:r>
        <w:rPr>
          <w:rFonts w:ascii="Times New Roman" w:eastAsia="Times New Roman" w:hAnsi="Times New Roman" w:cs="Times New Roman"/>
          <w:b/>
          <w:sz w:val="24"/>
        </w:rPr>
        <w:t xml:space="preserve"> </w:t>
      </w:r>
    </w:p>
    <w:p w:rsidR="0052701D" w:rsidRDefault="00D40929">
      <w:pPr>
        <w:spacing w:after="0"/>
        <w:ind w:left="711"/>
      </w:pPr>
      <w:r>
        <w:rPr>
          <w:rFonts w:ascii="Times New Roman" w:eastAsia="Times New Roman" w:hAnsi="Times New Roman" w:cs="Times New Roman"/>
          <w:sz w:val="24"/>
        </w:rPr>
        <w:t xml:space="preserve"> </w:t>
      </w:r>
    </w:p>
    <w:p w:rsidR="0052701D" w:rsidRDefault="00D40929">
      <w:pPr>
        <w:spacing w:after="58" w:line="248" w:lineRule="auto"/>
        <w:ind w:left="713" w:right="43" w:hanging="5"/>
        <w:jc w:val="center"/>
      </w:pPr>
      <w:r>
        <w:rPr>
          <w:rFonts w:ascii="Times New Roman" w:eastAsia="Times New Roman" w:hAnsi="Times New Roman" w:cs="Times New Roman"/>
          <w:sz w:val="24"/>
        </w:rPr>
        <w:t xml:space="preserve"> Zhumatayev Ilyas</w:t>
      </w:r>
      <w:r>
        <w:rPr>
          <w:rFonts w:ascii="Times New Roman" w:eastAsia="Times New Roman" w:hAnsi="Times New Roman" w:cs="Times New Roman"/>
          <w:sz w:val="24"/>
          <w:vertAlign w:val="superscript"/>
        </w:rPr>
        <w:t>1</w:t>
      </w:r>
      <w:r>
        <w:rPr>
          <w:rFonts w:ascii="Times New Roman" w:eastAsia="Times New Roman" w:hAnsi="Times New Roman" w:cs="Times New Roman"/>
          <w:sz w:val="24"/>
        </w:rPr>
        <w:t>, Muravyev Daniil Olegovich</w:t>
      </w:r>
      <w:r>
        <w:rPr>
          <w:rFonts w:ascii="Times New Roman" w:eastAsia="Times New Roman" w:hAnsi="Times New Roman" w:cs="Times New Roman"/>
          <w:sz w:val="24"/>
          <w:vertAlign w:val="superscript"/>
        </w:rPr>
        <w:t xml:space="preserve">2 </w:t>
      </w:r>
    </w:p>
    <w:p w:rsidR="0052701D" w:rsidRDefault="00D40929">
      <w:pPr>
        <w:spacing w:after="29" w:line="248" w:lineRule="auto"/>
        <w:ind w:left="3141" w:right="14" w:hanging="2137"/>
        <w:jc w:val="both"/>
      </w:pPr>
      <w:r>
        <w:rPr>
          <w:rFonts w:ascii="Times New Roman" w:eastAsia="Times New Roman" w:hAnsi="Times New Roman" w:cs="Times New Roman"/>
          <w:sz w:val="24"/>
          <w:vertAlign w:val="superscript"/>
        </w:rPr>
        <w:lastRenderedPageBreak/>
        <w:t>1,2</w:t>
      </w:r>
      <w:r>
        <w:rPr>
          <w:rFonts w:ascii="Times New Roman" w:eastAsia="Times New Roman" w:hAnsi="Times New Roman" w:cs="Times New Roman"/>
          <w:sz w:val="24"/>
        </w:rPr>
        <w:t xml:space="preserve"> Non-profit JSC «Almaty University of Power Engineering and Telecommunications named after Gumarbek Daukeyev»  </w:t>
      </w:r>
    </w:p>
    <w:p w:rsidR="0052701D" w:rsidRDefault="00D40929">
      <w:pPr>
        <w:spacing w:after="14" w:line="248" w:lineRule="auto"/>
        <w:ind w:left="713" w:right="37" w:hanging="5"/>
        <w:jc w:val="center"/>
      </w:pPr>
      <w:r>
        <w:rPr>
          <w:rFonts w:ascii="Times New Roman" w:eastAsia="Times New Roman" w:hAnsi="Times New Roman" w:cs="Times New Roman"/>
          <w:sz w:val="24"/>
        </w:rPr>
        <w:t xml:space="preserve">Almaty, Kazakhstan </w:t>
      </w:r>
    </w:p>
    <w:p w:rsidR="0052701D" w:rsidRDefault="00D40929">
      <w:pPr>
        <w:spacing w:after="29" w:line="248" w:lineRule="auto"/>
        <w:ind w:left="2627" w:right="14"/>
        <w:jc w:val="both"/>
      </w:pPr>
      <w:r>
        <w:rPr>
          <w:rFonts w:ascii="Times New Roman" w:eastAsia="Times New Roman" w:hAnsi="Times New Roman" w:cs="Times New Roman"/>
          <w:sz w:val="24"/>
        </w:rPr>
        <w:t>e-mail:i.zhumatay</w:t>
      </w:r>
      <w:r>
        <w:rPr>
          <w:rFonts w:ascii="Times New Roman" w:eastAsia="Times New Roman" w:hAnsi="Times New Roman" w:cs="Times New Roman"/>
          <w:sz w:val="24"/>
        </w:rPr>
        <w:t xml:space="preserve">ev@aues.kz, d.muravyev@aues.kz </w:t>
      </w:r>
    </w:p>
    <w:p w:rsidR="0052701D" w:rsidRDefault="00D40929">
      <w:pPr>
        <w:spacing w:after="0"/>
      </w:pPr>
      <w:r>
        <w:rPr>
          <w:rFonts w:ascii="Times New Roman" w:eastAsia="Times New Roman" w:hAnsi="Times New Roman" w:cs="Times New Roman"/>
          <w:b/>
          <w:sz w:val="24"/>
        </w:rPr>
        <w:t xml:space="preserve"> </w:t>
      </w:r>
    </w:p>
    <w:p w:rsidR="0052701D" w:rsidRDefault="00D40929">
      <w:pPr>
        <w:spacing w:after="0" w:line="248" w:lineRule="auto"/>
        <w:ind w:left="9" w:firstLine="711"/>
        <w:jc w:val="both"/>
      </w:pPr>
      <w:r>
        <w:rPr>
          <w:rFonts w:ascii="Times New Roman" w:eastAsia="Times New Roman" w:hAnsi="Times New Roman" w:cs="Times New Roman"/>
          <w:b/>
          <w:i/>
          <w:sz w:val="24"/>
        </w:rPr>
        <w:t xml:space="preserve">Аbstract. </w:t>
      </w:r>
      <w:r>
        <w:rPr>
          <w:rFonts w:ascii="Times New Roman" w:eastAsia="Times New Roman" w:hAnsi="Times New Roman" w:cs="Times New Roman"/>
          <w:i/>
          <w:sz w:val="24"/>
        </w:rPr>
        <w:t>Issues related to improving the energy efficiency of residential and public buildings continue to be relevant. The desire for optimal management of the energy balance of buildings is due to the increase in energy</w:t>
      </w:r>
      <w:r>
        <w:rPr>
          <w:rFonts w:ascii="Times New Roman" w:eastAsia="Times New Roman" w:hAnsi="Times New Roman" w:cs="Times New Roman"/>
          <w:i/>
          <w:sz w:val="24"/>
        </w:rPr>
        <w:t xml:space="preserve"> prices. The new remote control model proposed in the article will allow remote control of power supply and significantly reduce power consumption. It`s assumed that the proposed model can be successfully applied in Smart Home projects based on wireless tr</w:t>
      </w:r>
      <w:r>
        <w:rPr>
          <w:rFonts w:ascii="Times New Roman" w:eastAsia="Times New Roman" w:hAnsi="Times New Roman" w:cs="Times New Roman"/>
          <w:i/>
          <w:sz w:val="24"/>
        </w:rPr>
        <w:t>ansmission of melons via Wi-Fi. To develop the control and monitoring system, the Arduino IDE development environment, Telegram-bot, ESP8266 Wi-Fi module for wireless data transmission used. The main goal is to provide an easy way to control the power supp</w:t>
      </w:r>
      <w:r>
        <w:rPr>
          <w:rFonts w:ascii="Times New Roman" w:eastAsia="Times New Roman" w:hAnsi="Times New Roman" w:cs="Times New Roman"/>
          <w:i/>
          <w:sz w:val="24"/>
        </w:rPr>
        <w:t>ly and more secure wireless control.</w:t>
      </w:r>
      <w:r>
        <w:rPr>
          <w:rFonts w:ascii="Times New Roman" w:eastAsia="Times New Roman" w:hAnsi="Times New Roman" w:cs="Times New Roman"/>
          <w:b/>
          <w:i/>
          <w:sz w:val="24"/>
        </w:rPr>
        <w:t xml:space="preserve"> </w:t>
      </w:r>
    </w:p>
    <w:p w:rsidR="0052701D" w:rsidRDefault="00D40929">
      <w:pPr>
        <w:spacing w:after="0" w:line="248" w:lineRule="auto"/>
        <w:ind w:left="9" w:firstLine="711"/>
        <w:jc w:val="both"/>
      </w:pPr>
      <w:r>
        <w:rPr>
          <w:rFonts w:ascii="Times New Roman" w:eastAsia="Times New Roman" w:hAnsi="Times New Roman" w:cs="Times New Roman"/>
          <w:b/>
          <w:i/>
          <w:sz w:val="24"/>
        </w:rPr>
        <w:t>Keywords:</w:t>
      </w:r>
      <w:r>
        <w:rPr>
          <w:rFonts w:ascii="Times New Roman" w:eastAsia="Times New Roman" w:hAnsi="Times New Roman" w:cs="Times New Roman"/>
          <w:i/>
          <w:sz w:val="24"/>
        </w:rPr>
        <w:t xml:space="preserve"> ESP8266 module Wi-Fi, home automation, remote control and management system. </w:t>
      </w:r>
    </w:p>
    <w:p w:rsidR="0052701D" w:rsidRDefault="00D40929">
      <w:pPr>
        <w:spacing w:after="0"/>
        <w:ind w:left="711"/>
      </w:pPr>
      <w:r>
        <w:rPr>
          <w:rFonts w:ascii="Times New Roman" w:eastAsia="Times New Roman" w:hAnsi="Times New Roman" w:cs="Times New Roman"/>
          <w:sz w:val="24"/>
        </w:rPr>
        <w:t xml:space="preserve"> </w:t>
      </w:r>
    </w:p>
    <w:p w:rsidR="0052701D" w:rsidRDefault="00D40929">
      <w:pPr>
        <w:spacing w:after="5" w:line="251" w:lineRule="auto"/>
        <w:ind w:left="720" w:firstLine="9"/>
      </w:pPr>
      <w:r>
        <w:rPr>
          <w:rFonts w:ascii="Times New Roman" w:eastAsia="Times New Roman" w:hAnsi="Times New Roman" w:cs="Times New Roman"/>
          <w:b/>
          <w:sz w:val="28"/>
        </w:rPr>
        <w:t xml:space="preserve">РАЗРАБОТКА </w:t>
      </w:r>
      <w:r>
        <w:rPr>
          <w:rFonts w:ascii="Times New Roman" w:eastAsia="Times New Roman" w:hAnsi="Times New Roman" w:cs="Times New Roman"/>
          <w:b/>
          <w:sz w:val="28"/>
        </w:rPr>
        <w:tab/>
        <w:t xml:space="preserve">БЕСПРОВОДНОЙ </w:t>
      </w:r>
      <w:r>
        <w:rPr>
          <w:rFonts w:ascii="Times New Roman" w:eastAsia="Times New Roman" w:hAnsi="Times New Roman" w:cs="Times New Roman"/>
          <w:b/>
          <w:sz w:val="28"/>
        </w:rPr>
        <w:tab/>
        <w:t xml:space="preserve">СИСТЕМЫ </w:t>
      </w:r>
      <w:r>
        <w:rPr>
          <w:rFonts w:ascii="Times New Roman" w:eastAsia="Times New Roman" w:hAnsi="Times New Roman" w:cs="Times New Roman"/>
          <w:b/>
          <w:sz w:val="28"/>
        </w:rPr>
        <w:tab/>
        <w:t xml:space="preserve">УДАЛЕННОГО КОНТРОЛЯ И УПРАВЛЕНИЯ НА БАЗЕ МОДУЛЯ ESP8266 WI-FI </w:t>
      </w:r>
    </w:p>
    <w:p w:rsidR="0052701D" w:rsidRDefault="00D40929">
      <w:pPr>
        <w:spacing w:after="8"/>
        <w:ind w:left="711"/>
      </w:pPr>
      <w:r>
        <w:rPr>
          <w:rFonts w:ascii="Times New Roman" w:eastAsia="Times New Roman" w:hAnsi="Times New Roman" w:cs="Times New Roman"/>
          <w:sz w:val="24"/>
        </w:rPr>
        <w:t xml:space="preserve"> </w:t>
      </w:r>
    </w:p>
    <w:p w:rsidR="0052701D" w:rsidRDefault="00D40929">
      <w:pPr>
        <w:spacing w:after="39" w:line="248" w:lineRule="auto"/>
        <w:ind w:left="713" w:right="37" w:hanging="5"/>
        <w:jc w:val="center"/>
      </w:pPr>
      <w:r>
        <w:rPr>
          <w:rFonts w:ascii="Times New Roman" w:eastAsia="Times New Roman" w:hAnsi="Times New Roman" w:cs="Times New Roman"/>
          <w:sz w:val="24"/>
        </w:rPr>
        <w:t xml:space="preserve"> </w:t>
      </w:r>
      <w:r>
        <w:rPr>
          <w:rFonts w:ascii="Times New Roman" w:eastAsia="Times New Roman" w:hAnsi="Times New Roman" w:cs="Times New Roman"/>
          <w:sz w:val="24"/>
        </w:rPr>
        <w:t>Жуматаев Ильяс, Муравьев Даниил Олегович</w:t>
      </w:r>
      <w:r>
        <w:rPr>
          <w:rFonts w:ascii="Times New Roman" w:eastAsia="Times New Roman" w:hAnsi="Times New Roman" w:cs="Times New Roman"/>
          <w:sz w:val="24"/>
          <w:vertAlign w:val="superscript"/>
        </w:rPr>
        <w:t xml:space="preserve"> </w:t>
      </w:r>
    </w:p>
    <w:p w:rsidR="0052701D" w:rsidRDefault="00D40929">
      <w:pPr>
        <w:spacing w:after="68"/>
        <w:ind w:left="10" w:right="184" w:hanging="10"/>
        <w:jc w:val="right"/>
      </w:pPr>
      <w:r>
        <w:rPr>
          <w:rFonts w:ascii="Times New Roman" w:eastAsia="Times New Roman" w:hAnsi="Times New Roman" w:cs="Times New Roman"/>
          <w:sz w:val="24"/>
          <w:vertAlign w:val="superscript"/>
        </w:rPr>
        <w:t>1,2</w:t>
      </w:r>
      <w:r>
        <w:rPr>
          <w:rFonts w:ascii="Times New Roman" w:eastAsia="Times New Roman" w:hAnsi="Times New Roman" w:cs="Times New Roman"/>
          <w:sz w:val="24"/>
        </w:rPr>
        <w:t xml:space="preserve"> НАО «Алматинский университет энергетики и связи имени Гумарбека Даукеева»  </w:t>
      </w:r>
    </w:p>
    <w:p w:rsidR="0052701D" w:rsidRDefault="00D40929">
      <w:pPr>
        <w:spacing w:after="14" w:line="248" w:lineRule="auto"/>
        <w:ind w:left="713" w:right="44" w:hanging="5"/>
        <w:jc w:val="center"/>
      </w:pPr>
      <w:r>
        <w:rPr>
          <w:rFonts w:ascii="Times New Roman" w:eastAsia="Times New Roman" w:hAnsi="Times New Roman" w:cs="Times New Roman"/>
          <w:sz w:val="24"/>
        </w:rPr>
        <w:t xml:space="preserve">г.Алматы, Казахстан  </w:t>
      </w:r>
    </w:p>
    <w:p w:rsidR="0052701D" w:rsidRDefault="00D40929">
      <w:pPr>
        <w:spacing w:after="29" w:line="248" w:lineRule="auto"/>
        <w:ind w:left="2627" w:right="14"/>
        <w:jc w:val="both"/>
      </w:pPr>
      <w:r>
        <w:rPr>
          <w:rFonts w:ascii="Times New Roman" w:eastAsia="Times New Roman" w:hAnsi="Times New Roman" w:cs="Times New Roman"/>
          <w:sz w:val="24"/>
        </w:rPr>
        <w:t xml:space="preserve">e-mail:i.zhumatayev@aues.kz, d.muravyev@aues.kz </w:t>
      </w:r>
    </w:p>
    <w:p w:rsidR="0052701D" w:rsidRDefault="00D40929">
      <w:pPr>
        <w:spacing w:after="0"/>
      </w:pPr>
      <w:r>
        <w:rPr>
          <w:rFonts w:ascii="Times New Roman" w:eastAsia="Times New Roman" w:hAnsi="Times New Roman" w:cs="Times New Roman"/>
          <w:b/>
          <w:sz w:val="24"/>
        </w:rPr>
        <w:t xml:space="preserve"> </w:t>
      </w:r>
    </w:p>
    <w:p w:rsidR="0052701D" w:rsidRDefault="00D40929">
      <w:pPr>
        <w:spacing w:after="29" w:line="248" w:lineRule="auto"/>
        <w:ind w:left="9" w:firstLine="711"/>
        <w:jc w:val="both"/>
      </w:pPr>
      <w:r>
        <w:rPr>
          <w:rFonts w:ascii="Times New Roman" w:eastAsia="Times New Roman" w:hAnsi="Times New Roman" w:cs="Times New Roman"/>
          <w:b/>
          <w:i/>
          <w:sz w:val="24"/>
        </w:rPr>
        <w:t xml:space="preserve">Аннотация. </w:t>
      </w:r>
      <w:r>
        <w:rPr>
          <w:rFonts w:ascii="Times New Roman" w:eastAsia="Times New Roman" w:hAnsi="Times New Roman" w:cs="Times New Roman"/>
          <w:i/>
          <w:sz w:val="24"/>
        </w:rPr>
        <w:t>Вопросы, связанные с повышением энергоэффективност</w:t>
      </w:r>
      <w:r>
        <w:rPr>
          <w:rFonts w:ascii="Times New Roman" w:eastAsia="Times New Roman" w:hAnsi="Times New Roman" w:cs="Times New Roman"/>
          <w:i/>
          <w:sz w:val="24"/>
        </w:rPr>
        <w:t>и жилых и общественных зданий, продолжают оставаться актуальными. Стремление к оптимальному управлению энергетическим балансом зданий связано с ростом цен на энергию. Предлагаемая в статье новая модель дистанционного управления позволит дистанционно управл</w:t>
      </w:r>
      <w:r>
        <w:rPr>
          <w:rFonts w:ascii="Times New Roman" w:eastAsia="Times New Roman" w:hAnsi="Times New Roman" w:cs="Times New Roman"/>
          <w:i/>
          <w:sz w:val="24"/>
        </w:rPr>
        <w:t xml:space="preserve">ять электропитанием и значительно снизить энергопотребление. Предполагается, что предложенная модель может быть успешно применена в проектах «Умный дом», основанных на беспроводной передаче дынь через Wi-Fi. Для разработки системы управления и мониторинга </w:t>
      </w:r>
      <w:r>
        <w:rPr>
          <w:rFonts w:ascii="Times New Roman" w:eastAsia="Times New Roman" w:hAnsi="Times New Roman" w:cs="Times New Roman"/>
          <w:i/>
          <w:sz w:val="24"/>
        </w:rPr>
        <w:t xml:space="preserve">использовалась среда разработки Arduino IDE, Telegram-бот, Wi-Fi модуль </w:t>
      </w:r>
    </w:p>
    <w:p w:rsidR="0052701D" w:rsidRDefault="00D40929">
      <w:pPr>
        <w:spacing w:after="29" w:line="248" w:lineRule="auto"/>
        <w:ind w:left="9"/>
        <w:jc w:val="both"/>
      </w:pPr>
      <w:r>
        <w:rPr>
          <w:rFonts w:ascii="Times New Roman" w:eastAsia="Times New Roman" w:hAnsi="Times New Roman" w:cs="Times New Roman"/>
          <w:i/>
          <w:sz w:val="24"/>
        </w:rPr>
        <w:t>ESP8266 для беспроводной передачи данных. Основная цель — предоставить простой способ управления источником питания и более безопасное беспроводное управление.</w:t>
      </w:r>
      <w:r>
        <w:rPr>
          <w:rFonts w:ascii="Times New Roman" w:eastAsia="Times New Roman" w:hAnsi="Times New Roman" w:cs="Times New Roman"/>
          <w:b/>
          <w:i/>
          <w:sz w:val="24"/>
        </w:rPr>
        <w:t xml:space="preserve"> </w:t>
      </w:r>
    </w:p>
    <w:p w:rsidR="0052701D" w:rsidRDefault="00D40929">
      <w:pPr>
        <w:spacing w:after="29" w:line="248" w:lineRule="auto"/>
        <w:ind w:left="9" w:firstLine="711"/>
        <w:jc w:val="both"/>
      </w:pPr>
      <w:r>
        <w:rPr>
          <w:rFonts w:ascii="Times New Roman" w:eastAsia="Times New Roman" w:hAnsi="Times New Roman" w:cs="Times New Roman"/>
          <w:b/>
          <w:i/>
          <w:sz w:val="24"/>
        </w:rPr>
        <w:t xml:space="preserve">Ключевые слова: </w:t>
      </w:r>
      <w:r>
        <w:rPr>
          <w:rFonts w:ascii="Times New Roman" w:eastAsia="Times New Roman" w:hAnsi="Times New Roman" w:cs="Times New Roman"/>
          <w:i/>
          <w:sz w:val="24"/>
        </w:rPr>
        <w:t>модуль</w:t>
      </w:r>
      <w:r>
        <w:rPr>
          <w:rFonts w:ascii="Times New Roman" w:eastAsia="Times New Roman" w:hAnsi="Times New Roman" w:cs="Times New Roman"/>
          <w:i/>
          <w:sz w:val="24"/>
        </w:rPr>
        <w:t xml:space="preserve"> ESP8266 Wi-Fi, домашняя автоматизация, система удаленного контроля и управления.</w:t>
      </w:r>
      <w:r>
        <w:rPr>
          <w:rFonts w:ascii="Times New Roman" w:eastAsia="Times New Roman" w:hAnsi="Times New Roman" w:cs="Times New Roman"/>
          <w:b/>
          <w:i/>
          <w:sz w:val="24"/>
        </w:rPr>
        <w:t xml:space="preserve"> </w:t>
      </w:r>
    </w:p>
    <w:p w:rsidR="0052701D" w:rsidRDefault="00D40929">
      <w:pPr>
        <w:spacing w:after="12"/>
        <w:ind w:left="711"/>
      </w:pPr>
      <w:r>
        <w:rPr>
          <w:rFonts w:ascii="Times New Roman" w:eastAsia="Times New Roman" w:hAnsi="Times New Roman" w:cs="Times New Roman"/>
          <w:sz w:val="24"/>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A smart home is a system of connected devices (interacting with each other or connected to a control controller) that helps a </w:t>
      </w:r>
      <w:r>
        <w:rPr>
          <w:rFonts w:ascii="Times New Roman" w:eastAsia="Times New Roman" w:hAnsi="Times New Roman" w:cs="Times New Roman"/>
          <w:sz w:val="28"/>
        </w:rPr>
        <w:t>person get rid of routine by automating processes. Such systems are divided into two control options: integrated and autonomous, the first are the combination of several rooms in one network, controlled from a single controller, and the second is a group o</w:t>
      </w:r>
      <w:r>
        <w:rPr>
          <w:rFonts w:ascii="Times New Roman" w:eastAsia="Times New Roman" w:hAnsi="Times New Roman" w:cs="Times New Roman"/>
          <w:sz w:val="28"/>
        </w:rPr>
        <w:t xml:space="preserve">f individual solutions for each room.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Various sensors are installed in the room, which are connected to the monitoring device, and depending on the data received from them, the system itself or a person with access to management and control regulates the received indicators and processes </w:t>
      </w:r>
      <w:r>
        <w:rPr>
          <w:rFonts w:ascii="Times New Roman" w:eastAsia="Times New Roman" w:hAnsi="Times New Roman" w:cs="Times New Roman"/>
          <w:sz w:val="28"/>
        </w:rPr>
        <w:lastRenderedPageBreak/>
        <w:t>occur</w:t>
      </w:r>
      <w:r>
        <w:rPr>
          <w:rFonts w:ascii="Times New Roman" w:eastAsia="Times New Roman" w:hAnsi="Times New Roman" w:cs="Times New Roman"/>
          <w:sz w:val="28"/>
        </w:rPr>
        <w:t xml:space="preserve">ring in the house. The control usually takes place from the remote control, nowadays it is increasingly becoming a smartphone. Most often, a smart home is limited to a few basic functions and controls: light, microclimate, security.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However, a smart home </w:t>
      </w:r>
      <w:r>
        <w:rPr>
          <w:rFonts w:ascii="Times New Roman" w:eastAsia="Times New Roman" w:hAnsi="Times New Roman" w:cs="Times New Roman"/>
          <w:sz w:val="28"/>
        </w:rPr>
        <w:t xml:space="preserve">can consist of a complex of various systems and devices in addition to the usual ones: </w:t>
      </w:r>
    </w:p>
    <w:p w:rsidR="0052701D" w:rsidRDefault="00D40929">
      <w:pPr>
        <w:numPr>
          <w:ilvl w:val="0"/>
          <w:numId w:val="27"/>
        </w:numPr>
        <w:spacing w:after="5" w:line="271" w:lineRule="auto"/>
        <w:ind w:right="64" w:hanging="302"/>
        <w:jc w:val="both"/>
      </w:pPr>
      <w:r>
        <w:rPr>
          <w:rFonts w:ascii="Times New Roman" w:eastAsia="Times New Roman" w:hAnsi="Times New Roman" w:cs="Times New Roman"/>
          <w:sz w:val="28"/>
        </w:rPr>
        <w:t xml:space="preserve">smart meters, smart networks and solutions integrated with them; </w:t>
      </w:r>
    </w:p>
    <w:p w:rsidR="0052701D" w:rsidRDefault="00D40929">
      <w:pPr>
        <w:numPr>
          <w:ilvl w:val="0"/>
          <w:numId w:val="27"/>
        </w:numPr>
        <w:spacing w:after="5" w:line="271" w:lineRule="auto"/>
        <w:ind w:right="64" w:hanging="302"/>
        <w:jc w:val="both"/>
      </w:pPr>
      <w:r>
        <w:rPr>
          <w:rFonts w:ascii="Times New Roman" w:eastAsia="Times New Roman" w:hAnsi="Times New Roman" w:cs="Times New Roman"/>
          <w:sz w:val="28"/>
        </w:rPr>
        <w:t xml:space="preserve">the system of internal positioning; </w:t>
      </w:r>
    </w:p>
    <w:p w:rsidR="0052701D" w:rsidRDefault="00D40929">
      <w:pPr>
        <w:numPr>
          <w:ilvl w:val="0"/>
          <w:numId w:val="27"/>
        </w:numPr>
        <w:spacing w:after="5" w:line="271" w:lineRule="auto"/>
        <w:ind w:right="64" w:hanging="302"/>
        <w:jc w:val="both"/>
      </w:pPr>
      <w:r>
        <w:rPr>
          <w:rFonts w:ascii="Times New Roman" w:eastAsia="Times New Roman" w:hAnsi="Times New Roman" w:cs="Times New Roman"/>
          <w:sz w:val="28"/>
        </w:rPr>
        <w:t xml:space="preserve">irrigation systems. </w:t>
      </w:r>
    </w:p>
    <w:p w:rsidR="0052701D" w:rsidRDefault="00D40929">
      <w:pPr>
        <w:spacing w:after="5" w:line="271" w:lineRule="auto"/>
        <w:ind w:left="9" w:right="64" w:firstLine="711"/>
        <w:jc w:val="both"/>
      </w:pPr>
      <w:r>
        <w:rPr>
          <w:rFonts w:ascii="Times New Roman" w:eastAsia="Times New Roman" w:hAnsi="Times New Roman" w:cs="Times New Roman"/>
          <w:sz w:val="28"/>
        </w:rPr>
        <w:t>The ESP8266 Wi-FI module will serve as the b</w:t>
      </w:r>
      <w:r>
        <w:rPr>
          <w:rFonts w:ascii="Times New Roman" w:eastAsia="Times New Roman" w:hAnsi="Times New Roman" w:cs="Times New Roman"/>
          <w:sz w:val="28"/>
        </w:rPr>
        <w:t>asis of the system. ESP8266 WiFi module is well suited for creating remote control systems, having a number of advantages in creating small projects. For ease of interaction with the power supply, a relay is used. The connection diagram shown below (fig. 1</w:t>
      </w:r>
      <w:r>
        <w:rPr>
          <w:rFonts w:ascii="Times New Roman" w:eastAsia="Times New Roman" w:hAnsi="Times New Roman" w:cs="Times New Roman"/>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In this article, the MQTT protocol will be used for data transmission. This choice is due to security considerations. MQTT (Message Queuing Telemetry Transport) is an open OASIS and ISO standard (ISO/IEC 20922) lightweight publish-subscribe network pro</w:t>
      </w:r>
      <w:r>
        <w:rPr>
          <w:rFonts w:ascii="Times New Roman" w:eastAsia="Times New Roman" w:hAnsi="Times New Roman" w:cs="Times New Roman"/>
          <w:sz w:val="28"/>
        </w:rPr>
        <w:t>tocol that transfers messages between devices. Andy Stanford-Clark (IBM) and Arlen Nipper (then at Eurotech, Inc.) wrote the first version of the protocol in 1999. The protocol typically operates over TCP/IP; however, any network protocol that provides ord</w:t>
      </w:r>
      <w:r>
        <w:rPr>
          <w:rFonts w:ascii="Times New Roman" w:eastAsia="Times New Roman" w:hAnsi="Times New Roman" w:cs="Times New Roman"/>
          <w:sz w:val="28"/>
        </w:rPr>
        <w:t xml:space="preserve">ered, lossless bidirectional connections can support MQTT. It is designed for connections to remote locations where a "small code footprint" is required or network bandwidth is limited. </w:t>
      </w:r>
    </w:p>
    <w:p w:rsidR="0052701D" w:rsidRDefault="00D40929">
      <w:pPr>
        <w:spacing w:after="0"/>
        <w:ind w:left="711"/>
      </w:pPr>
      <w:r>
        <w:rPr>
          <w:rFonts w:ascii="Times New Roman" w:eastAsia="Times New Roman" w:hAnsi="Times New Roman" w:cs="Times New Roman"/>
        </w:rPr>
        <w:t xml:space="preserve"> </w:t>
      </w:r>
    </w:p>
    <w:p w:rsidR="0052701D" w:rsidRDefault="00D40929">
      <w:pPr>
        <w:spacing w:after="0"/>
        <w:ind w:right="1371"/>
        <w:jc w:val="right"/>
      </w:pPr>
      <w:r>
        <w:rPr>
          <w:noProof/>
        </w:rPr>
        <w:drawing>
          <wp:inline distT="0" distB="0" distL="0" distR="0">
            <wp:extent cx="4361688" cy="2014728"/>
            <wp:effectExtent l="0" t="0" r="0" b="0"/>
            <wp:docPr id="21313" name="Picture 21313"/>
            <wp:cNvGraphicFramePr/>
            <a:graphic xmlns:a="http://schemas.openxmlformats.org/drawingml/2006/main">
              <a:graphicData uri="http://schemas.openxmlformats.org/drawingml/2006/picture">
                <pic:pic xmlns:pic="http://schemas.openxmlformats.org/drawingml/2006/picture">
                  <pic:nvPicPr>
                    <pic:cNvPr id="21313" name="Picture 21313"/>
                    <pic:cNvPicPr/>
                  </pic:nvPicPr>
                  <pic:blipFill>
                    <a:blip r:embed="rId282"/>
                    <a:stretch>
                      <a:fillRect/>
                    </a:stretch>
                  </pic:blipFill>
                  <pic:spPr>
                    <a:xfrm>
                      <a:off x="0" y="0"/>
                      <a:ext cx="4361688" cy="2014728"/>
                    </a:xfrm>
                    <a:prstGeom prst="rect">
                      <a:avLst/>
                    </a:prstGeom>
                  </pic:spPr>
                </pic:pic>
              </a:graphicData>
            </a:graphic>
          </wp:inline>
        </w:drawing>
      </w:r>
      <w:r>
        <w:rPr>
          <w:rFonts w:ascii="Times New Roman" w:eastAsia="Times New Roman" w:hAnsi="Times New Roman" w:cs="Times New Roman"/>
        </w:rPr>
        <w:t xml:space="preserve"> </w:t>
      </w:r>
    </w:p>
    <w:p w:rsidR="0052701D" w:rsidRDefault="00D40929">
      <w:pPr>
        <w:spacing w:after="0"/>
        <w:ind w:left="16"/>
        <w:jc w:val="center"/>
      </w:pPr>
      <w:r>
        <w:rPr>
          <w:rFonts w:ascii="Times New Roman" w:eastAsia="Times New Roman" w:hAnsi="Times New Roman" w:cs="Times New Roman"/>
        </w:rPr>
        <w:t xml:space="preserve"> </w:t>
      </w:r>
    </w:p>
    <w:p w:rsidR="0052701D" w:rsidRDefault="00D40929">
      <w:pPr>
        <w:spacing w:after="14" w:line="248" w:lineRule="auto"/>
        <w:ind w:left="713" w:right="750" w:hanging="5"/>
        <w:jc w:val="center"/>
      </w:pPr>
      <w:r>
        <w:rPr>
          <w:rFonts w:ascii="Times New Roman" w:eastAsia="Times New Roman" w:hAnsi="Times New Roman" w:cs="Times New Roman"/>
          <w:sz w:val="24"/>
        </w:rPr>
        <w:t xml:space="preserve">Fig. 1  Schematic diagram of the connection </w:t>
      </w:r>
    </w:p>
    <w:p w:rsidR="0052701D" w:rsidRDefault="00D40929">
      <w:pPr>
        <w:spacing w:after="36"/>
        <w:ind w:left="16"/>
        <w:jc w:val="center"/>
      </w:pPr>
      <w:r>
        <w:rPr>
          <w:rFonts w:ascii="Times New Roman" w:eastAsia="Times New Roman" w:hAnsi="Times New Roman" w:cs="Times New Roman"/>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The MQTT protoc</w:t>
      </w:r>
      <w:r>
        <w:rPr>
          <w:rFonts w:ascii="Times New Roman" w:eastAsia="Times New Roman" w:hAnsi="Times New Roman" w:cs="Times New Roman"/>
          <w:sz w:val="28"/>
        </w:rPr>
        <w:t>ol defines two types of network entities: a message broker and a number of clients. An MQTT broker is a server that receives all messages from clients and then forwards them to the appropriate end clients. An MQTT client is any device (from a microcontroll</w:t>
      </w:r>
      <w:r>
        <w:rPr>
          <w:rFonts w:ascii="Times New Roman" w:eastAsia="Times New Roman" w:hAnsi="Times New Roman" w:cs="Times New Roman"/>
          <w:sz w:val="28"/>
        </w:rPr>
        <w:t xml:space="preserve">er to a full-fledged server) that runs the MQTT library and connects to the MQTT broker over the network. </w:t>
      </w:r>
    </w:p>
    <w:p w:rsidR="0052701D" w:rsidRDefault="00D40929">
      <w:pPr>
        <w:spacing w:after="5" w:line="271" w:lineRule="auto"/>
        <w:ind w:left="9" w:right="64" w:firstLine="711"/>
        <w:jc w:val="both"/>
      </w:pPr>
      <w:r>
        <w:rPr>
          <w:rFonts w:ascii="Times New Roman" w:eastAsia="Times New Roman" w:hAnsi="Times New Roman" w:cs="Times New Roman"/>
          <w:sz w:val="28"/>
        </w:rPr>
        <w:t>The information is organized in a hierarchy of topics. When a publisher has a new data item to distribute, it sends a control message with the data t</w:t>
      </w:r>
      <w:r>
        <w:rPr>
          <w:rFonts w:ascii="Times New Roman" w:eastAsia="Times New Roman" w:hAnsi="Times New Roman" w:cs="Times New Roman"/>
          <w:sz w:val="28"/>
        </w:rPr>
        <w:t xml:space="preserve">o the connected </w:t>
      </w:r>
      <w:r>
        <w:rPr>
          <w:rFonts w:ascii="Times New Roman" w:eastAsia="Times New Roman" w:hAnsi="Times New Roman" w:cs="Times New Roman"/>
          <w:sz w:val="28"/>
        </w:rPr>
        <w:lastRenderedPageBreak/>
        <w:t>broker. The broker then distributes this information to all clients who have subscribed to this topic. The publisher does not need to have any data about the number or location of subscribers, and subscribers, in turn, do not need to be con</w:t>
      </w:r>
      <w:r>
        <w:rPr>
          <w:rFonts w:ascii="Times New Roman" w:eastAsia="Times New Roman" w:hAnsi="Times New Roman" w:cs="Times New Roman"/>
          <w:sz w:val="28"/>
        </w:rPr>
        <w:t xml:space="preserve">figured with any data about publishers. </w:t>
      </w:r>
    </w:p>
    <w:p w:rsidR="0052701D" w:rsidRDefault="00D40929">
      <w:pPr>
        <w:spacing w:after="5" w:line="271" w:lineRule="auto"/>
        <w:ind w:left="9" w:right="64" w:firstLine="711"/>
        <w:jc w:val="both"/>
      </w:pPr>
      <w:r>
        <w:rPr>
          <w:rFonts w:ascii="Times New Roman" w:eastAsia="Times New Roman" w:hAnsi="Times New Roman" w:cs="Times New Roman"/>
          <w:sz w:val="28"/>
        </w:rPr>
        <w:t>If the broker receives a message on a topic for which there are no current subscribers, the broker discards the message, unless the publisher of the message has designated the message as a saved message. The saved m</w:t>
      </w:r>
      <w:r>
        <w:rPr>
          <w:rFonts w:ascii="Times New Roman" w:eastAsia="Times New Roman" w:hAnsi="Times New Roman" w:cs="Times New Roman"/>
          <w:sz w:val="28"/>
        </w:rPr>
        <w:t xml:space="preserve">essage is a normal MQTT message with the saved value flag set to true.  </w:t>
      </w:r>
    </w:p>
    <w:p w:rsidR="0052701D" w:rsidRDefault="00D40929">
      <w:pPr>
        <w:spacing w:after="5" w:line="271" w:lineRule="auto"/>
        <w:ind w:left="9" w:right="64" w:firstLine="711"/>
        <w:jc w:val="both"/>
      </w:pPr>
      <w:r>
        <w:rPr>
          <w:rFonts w:ascii="Times New Roman" w:eastAsia="Times New Roman" w:hAnsi="Times New Roman" w:cs="Times New Roman"/>
          <w:sz w:val="28"/>
        </w:rPr>
        <w:t>The broker saves the last saved message and the corresponding QoS for the selected topic. Each client who subscribes to a topic template that matches the subject of a saved message re</w:t>
      </w:r>
      <w:r>
        <w:rPr>
          <w:rFonts w:ascii="Times New Roman" w:eastAsia="Times New Roman" w:hAnsi="Times New Roman" w:cs="Times New Roman"/>
          <w:sz w:val="28"/>
        </w:rPr>
        <w:t xml:space="preserve">ceives the saved message immediately after subscribing. The broker stores only one saved message per topic. This allows new subscribers to the topic to get the most up-to-date value, rather than waiting for the next update from the publisher. </w:t>
      </w:r>
    </w:p>
    <w:p w:rsidR="0052701D" w:rsidRDefault="00D40929">
      <w:pPr>
        <w:spacing w:after="5" w:line="271" w:lineRule="auto"/>
        <w:ind w:left="9" w:right="64" w:firstLine="711"/>
        <w:jc w:val="both"/>
      </w:pPr>
      <w:r>
        <w:rPr>
          <w:rFonts w:ascii="Times New Roman" w:eastAsia="Times New Roman" w:hAnsi="Times New Roman" w:cs="Times New Roman"/>
          <w:sz w:val="28"/>
        </w:rPr>
        <w:t>When the pub</w:t>
      </w:r>
      <w:r>
        <w:rPr>
          <w:rFonts w:ascii="Times New Roman" w:eastAsia="Times New Roman" w:hAnsi="Times New Roman" w:cs="Times New Roman"/>
          <w:sz w:val="28"/>
        </w:rPr>
        <w:t xml:space="preserve">lishing client first connects to the broker, it can set up a default message to send to subscribers if the broker detects that the publishing client has unexpectedly disconnected from the broker.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Clients only interact with the broker, but the system may contain multiple broker servers that exchange data based on the topics of their current subscribers. </w:t>
      </w:r>
    </w:p>
    <w:p w:rsidR="0052701D" w:rsidRDefault="00D40929">
      <w:pPr>
        <w:spacing w:after="5" w:line="271" w:lineRule="auto"/>
        <w:ind w:left="9" w:right="64" w:firstLine="711"/>
        <w:jc w:val="both"/>
      </w:pPr>
      <w:r>
        <w:rPr>
          <w:rFonts w:ascii="Times New Roman" w:eastAsia="Times New Roman" w:hAnsi="Times New Roman" w:cs="Times New Roman"/>
          <w:sz w:val="28"/>
        </w:rPr>
        <w:t>The minimum MQTT control message can contain only two bytes of data. If necessary, the control m</w:t>
      </w:r>
      <w:r>
        <w:rPr>
          <w:rFonts w:ascii="Times New Roman" w:eastAsia="Times New Roman" w:hAnsi="Times New Roman" w:cs="Times New Roman"/>
          <w:sz w:val="28"/>
        </w:rPr>
        <w:t xml:space="preserve">essage can contain almost 256 megabytes of data. There are fourteen specific message types used to connect and disconnect the client from the broker, publish data, acknowledge receipt of data, and monitor the connection between the client and the server.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MQTT relies on the TCP protocol for data transmission. The MQTT-SN variant is used in comparison to other vehicles such as UDP or Bluetooth. </w:t>
      </w:r>
    </w:p>
    <w:p w:rsidR="0052701D" w:rsidRDefault="00D40929">
      <w:pPr>
        <w:spacing w:after="5" w:line="271" w:lineRule="auto"/>
        <w:ind w:left="9" w:right="64" w:firstLine="711"/>
        <w:jc w:val="both"/>
      </w:pPr>
      <w:r>
        <w:rPr>
          <w:rFonts w:ascii="Times New Roman" w:eastAsia="Times New Roman" w:hAnsi="Times New Roman" w:cs="Times New Roman"/>
          <w:sz w:val="28"/>
        </w:rPr>
        <w:t>MQTT sends the connection credentials in plain text format and does not include any security or authentication mea</w:t>
      </w:r>
      <w:r>
        <w:rPr>
          <w:rFonts w:ascii="Times New Roman" w:eastAsia="Times New Roman" w:hAnsi="Times New Roman" w:cs="Times New Roman"/>
          <w:sz w:val="28"/>
        </w:rPr>
        <w:t xml:space="preserve">sures. This can be achieved by using TLS to encrypt and protect the transmitted information from interception, modification, or forgery. </w:t>
      </w:r>
    </w:p>
    <w:p w:rsidR="0052701D" w:rsidRDefault="00D40929">
      <w:pPr>
        <w:spacing w:after="5" w:line="271" w:lineRule="auto"/>
        <w:ind w:left="711" w:right="64"/>
        <w:jc w:val="both"/>
      </w:pPr>
      <w:r>
        <w:rPr>
          <w:rFonts w:ascii="Times New Roman" w:eastAsia="Times New Roman" w:hAnsi="Times New Roman" w:cs="Times New Roman"/>
          <w:sz w:val="28"/>
        </w:rPr>
        <w:t xml:space="preserve">The default unencrypted MQTT port is 1883. Encrypted port - 8883.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An MQTT broker is software that runs on a computer </w:t>
      </w:r>
      <w:r>
        <w:rPr>
          <w:rFonts w:ascii="Times New Roman" w:eastAsia="Times New Roman" w:hAnsi="Times New Roman" w:cs="Times New Roman"/>
          <w:sz w:val="28"/>
        </w:rPr>
        <w:t xml:space="preserve">(local or cloud) and can be created independently or hosted by a third party. It is available in both open source and proprietary implementations. </w:t>
      </w:r>
    </w:p>
    <w:p w:rsidR="0052701D" w:rsidRDefault="00D40929">
      <w:pPr>
        <w:spacing w:after="5" w:line="271" w:lineRule="auto"/>
        <w:ind w:left="9" w:right="64" w:firstLine="711"/>
        <w:jc w:val="both"/>
      </w:pPr>
      <w:r>
        <w:rPr>
          <w:rFonts w:ascii="Times New Roman" w:eastAsia="Times New Roman" w:hAnsi="Times New Roman" w:cs="Times New Roman"/>
          <w:sz w:val="28"/>
        </w:rPr>
        <w:t>The broker acts like a post office, MQTT doesn't use the intended recipient's address, but uses a subject li</w:t>
      </w:r>
      <w:r>
        <w:rPr>
          <w:rFonts w:ascii="Times New Roman" w:eastAsia="Times New Roman" w:hAnsi="Times New Roman" w:cs="Times New Roman"/>
          <w:sz w:val="28"/>
        </w:rPr>
        <w:t>ne called “Subject”, and anyone who wants a copy of that message will subscribe to that subject. Multiple clients can receive a message from a single broker (one - to-many capability). Similarly, multiple publishers can publish topics to a single subscribe</w:t>
      </w:r>
      <w:r>
        <w:rPr>
          <w:rFonts w:ascii="Times New Roman" w:eastAsia="Times New Roman" w:hAnsi="Times New Roman" w:cs="Times New Roman"/>
          <w:sz w:val="28"/>
        </w:rPr>
        <w:t xml:space="preserve">r (many to one). Each client can both produce and receive data by either publishing or subscribing, meaning devices can publish sensor data and still be able to receive configuration information or control commands (MQTT is a </w:t>
      </w:r>
      <w:r>
        <w:rPr>
          <w:rFonts w:ascii="Times New Roman" w:eastAsia="Times New Roman" w:hAnsi="Times New Roman" w:cs="Times New Roman"/>
          <w:sz w:val="28"/>
        </w:rPr>
        <w:lastRenderedPageBreak/>
        <w:t>bidirectional communication pr</w:t>
      </w:r>
      <w:r>
        <w:rPr>
          <w:rFonts w:ascii="Times New Roman" w:eastAsia="Times New Roman" w:hAnsi="Times New Roman" w:cs="Times New Roman"/>
          <w:sz w:val="28"/>
        </w:rPr>
        <w:t xml:space="preserve">otocol). This helps with both data exchange and device management. </w:t>
      </w:r>
    </w:p>
    <w:p w:rsidR="0052701D" w:rsidRDefault="00D40929">
      <w:pPr>
        <w:spacing w:after="5" w:line="271" w:lineRule="auto"/>
        <w:ind w:left="9" w:right="64" w:firstLine="711"/>
        <w:jc w:val="both"/>
      </w:pPr>
      <w:r>
        <w:rPr>
          <w:rFonts w:ascii="Times New Roman" w:eastAsia="Times New Roman" w:hAnsi="Times New Roman" w:cs="Times New Roman"/>
          <w:sz w:val="28"/>
        </w:rPr>
        <w:t>Thanks to the MQTT broker architecture, devices and applications become more isolated and secure. MQTT uses Transport Layer Security (TLS) encryption with a username, password-protected co</w:t>
      </w:r>
      <w:r>
        <w:rPr>
          <w:rFonts w:ascii="Times New Roman" w:eastAsia="Times New Roman" w:hAnsi="Times New Roman" w:cs="Times New Roman"/>
          <w:sz w:val="28"/>
        </w:rPr>
        <w:t xml:space="preserve">nnections, and additional certificates that require clients to provide a certificate file that matches the server's certificate file. The clients do not know each other's IP addresses. </w:t>
      </w:r>
    </w:p>
    <w:p w:rsidR="0052701D" w:rsidRDefault="00D40929">
      <w:pPr>
        <w:spacing w:after="5" w:line="271" w:lineRule="auto"/>
        <w:ind w:left="9" w:right="64" w:firstLine="711"/>
        <w:jc w:val="both"/>
      </w:pPr>
      <w:r>
        <w:rPr>
          <w:rFonts w:ascii="Times New Roman" w:eastAsia="Times New Roman" w:hAnsi="Times New Roman" w:cs="Times New Roman"/>
          <w:sz w:val="28"/>
        </w:rPr>
        <w:t>In the case of a single source of failure, the broker software and cli</w:t>
      </w:r>
      <w:r>
        <w:rPr>
          <w:rFonts w:ascii="Times New Roman" w:eastAsia="Times New Roman" w:hAnsi="Times New Roman" w:cs="Times New Roman"/>
          <w:sz w:val="28"/>
        </w:rPr>
        <w:t xml:space="preserve">ents have automatic data transfer to the backup / automatic backup broker. A backup broker can also be configured to share client load across multiple servers on-site, in the cloud, or a combination of both. </w:t>
      </w:r>
    </w:p>
    <w:p w:rsidR="0052701D" w:rsidRDefault="00D40929">
      <w:pPr>
        <w:spacing w:after="5" w:line="271" w:lineRule="auto"/>
        <w:ind w:left="9" w:right="64" w:firstLine="711"/>
        <w:jc w:val="both"/>
      </w:pPr>
      <w:r>
        <w:rPr>
          <w:rFonts w:ascii="Times New Roman" w:eastAsia="Times New Roman" w:hAnsi="Times New Roman" w:cs="Times New Roman"/>
          <w:sz w:val="28"/>
        </w:rPr>
        <w:t>The broker can support both standard MQTT and M</w:t>
      </w:r>
      <w:r>
        <w:rPr>
          <w:rFonts w:ascii="Times New Roman" w:eastAsia="Times New Roman" w:hAnsi="Times New Roman" w:cs="Times New Roman"/>
          <w:sz w:val="28"/>
        </w:rPr>
        <w:t xml:space="preserve">QTT for compatible specifications such as Sparkplug, can be executed with the same server, at the same time, and with the same security levels. </w:t>
      </w:r>
    </w:p>
    <w:p w:rsidR="0052701D" w:rsidRDefault="00D40929">
      <w:pPr>
        <w:spacing w:after="5" w:line="271" w:lineRule="auto"/>
        <w:ind w:left="9" w:right="64" w:firstLine="711"/>
        <w:jc w:val="both"/>
      </w:pPr>
      <w:r>
        <w:rPr>
          <w:rFonts w:ascii="Times New Roman" w:eastAsia="Times New Roman" w:hAnsi="Times New Roman" w:cs="Times New Roman"/>
          <w:sz w:val="28"/>
        </w:rPr>
        <w:t>The broker can store the data as saved messages (you need to subscribe with the database client) so that new su</w:t>
      </w:r>
      <w:r>
        <w:rPr>
          <w:rFonts w:ascii="Times New Roman" w:eastAsia="Times New Roman" w:hAnsi="Times New Roman" w:cs="Times New Roman"/>
          <w:sz w:val="28"/>
        </w:rPr>
        <w:t xml:space="preserve">bscribers to the topic can immediately get the latest value.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The broker also keeps track of all session information when devices are turned on and off, which is called "persistent sessions". The main advantages of the MQTT broker are: </w:t>
      </w:r>
    </w:p>
    <w:p w:rsidR="0052701D" w:rsidRDefault="00D40929">
      <w:pPr>
        <w:numPr>
          <w:ilvl w:val="0"/>
          <w:numId w:val="28"/>
        </w:numPr>
        <w:spacing w:after="5" w:line="271" w:lineRule="auto"/>
        <w:ind w:right="64" w:hanging="350"/>
        <w:jc w:val="both"/>
      </w:pPr>
      <w:r>
        <w:rPr>
          <w:rFonts w:ascii="Times New Roman" w:eastAsia="Times New Roman" w:hAnsi="Times New Roman" w:cs="Times New Roman"/>
          <w:sz w:val="28"/>
        </w:rPr>
        <w:t>eliminates vulnerab</w:t>
      </w:r>
      <w:r>
        <w:rPr>
          <w:rFonts w:ascii="Times New Roman" w:eastAsia="Times New Roman" w:hAnsi="Times New Roman" w:cs="Times New Roman"/>
          <w:sz w:val="28"/>
        </w:rPr>
        <w:t xml:space="preserve">le and insecure client connections; </w:t>
      </w:r>
    </w:p>
    <w:p w:rsidR="0052701D" w:rsidRDefault="00D40929">
      <w:pPr>
        <w:numPr>
          <w:ilvl w:val="0"/>
          <w:numId w:val="28"/>
        </w:numPr>
        <w:spacing w:after="5" w:line="271" w:lineRule="auto"/>
        <w:ind w:right="64" w:hanging="350"/>
        <w:jc w:val="both"/>
      </w:pPr>
      <w:r>
        <w:rPr>
          <w:rFonts w:ascii="Times New Roman" w:eastAsia="Times New Roman" w:hAnsi="Times New Roman" w:cs="Times New Roman"/>
          <w:sz w:val="28"/>
        </w:rPr>
        <w:t xml:space="preserve">can easily scale from one device to thousands; </w:t>
      </w:r>
    </w:p>
    <w:p w:rsidR="0052701D" w:rsidRDefault="00D40929">
      <w:pPr>
        <w:numPr>
          <w:ilvl w:val="0"/>
          <w:numId w:val="28"/>
        </w:numPr>
        <w:spacing w:after="5" w:line="271" w:lineRule="auto"/>
        <w:ind w:right="64" w:hanging="350"/>
        <w:jc w:val="both"/>
      </w:pPr>
      <w:r>
        <w:rPr>
          <w:rFonts w:ascii="Times New Roman" w:eastAsia="Times New Roman" w:hAnsi="Times New Roman" w:cs="Times New Roman"/>
          <w:sz w:val="28"/>
        </w:rPr>
        <w:t>manages and monitors all client connection states, including security cre-</w:t>
      </w:r>
    </w:p>
    <w:p w:rsidR="0052701D" w:rsidRDefault="00D40929">
      <w:pPr>
        <w:spacing w:after="5" w:line="271" w:lineRule="auto"/>
        <w:ind w:left="9" w:right="64"/>
        <w:jc w:val="both"/>
      </w:pPr>
      <w:r>
        <w:rPr>
          <w:rFonts w:ascii="Times New Roman" w:eastAsia="Times New Roman" w:hAnsi="Times New Roman" w:cs="Times New Roman"/>
          <w:sz w:val="28"/>
        </w:rPr>
        <w:t xml:space="preserve">dentials and certificates; </w:t>
      </w:r>
    </w:p>
    <w:p w:rsidR="0052701D" w:rsidRDefault="00D40929">
      <w:pPr>
        <w:numPr>
          <w:ilvl w:val="0"/>
          <w:numId w:val="28"/>
        </w:numPr>
        <w:spacing w:after="5" w:line="271" w:lineRule="auto"/>
        <w:ind w:right="64" w:hanging="350"/>
        <w:jc w:val="both"/>
      </w:pPr>
      <w:r>
        <w:rPr>
          <w:rFonts w:ascii="Times New Roman" w:eastAsia="Times New Roman" w:hAnsi="Times New Roman" w:cs="Times New Roman"/>
          <w:sz w:val="28"/>
        </w:rPr>
        <w:t>Reduce network load without compromising security (cellular or satel</w:t>
      </w:r>
      <w:r>
        <w:rPr>
          <w:rFonts w:ascii="Times New Roman" w:eastAsia="Times New Roman" w:hAnsi="Times New Roman" w:cs="Times New Roman"/>
          <w:sz w:val="28"/>
        </w:rPr>
        <w:t xml:space="preserve">lite </w:t>
      </w:r>
    </w:p>
    <w:p w:rsidR="0052701D" w:rsidRDefault="00D40929">
      <w:pPr>
        <w:spacing w:after="5" w:line="271" w:lineRule="auto"/>
        <w:ind w:left="9" w:right="64"/>
        <w:jc w:val="both"/>
      </w:pPr>
      <w:r>
        <w:rPr>
          <w:rFonts w:ascii="Times New Roman" w:eastAsia="Times New Roman" w:hAnsi="Times New Roman" w:cs="Times New Roman"/>
          <w:sz w:val="28"/>
        </w:rPr>
        <w:t xml:space="preserve">network). </w:t>
      </w:r>
    </w:p>
    <w:p w:rsidR="0052701D" w:rsidRDefault="00D40929">
      <w:pPr>
        <w:spacing w:after="5" w:line="271" w:lineRule="auto"/>
        <w:ind w:left="711" w:right="64"/>
        <w:jc w:val="both"/>
      </w:pPr>
      <w:r>
        <w:rPr>
          <w:rFonts w:ascii="Times New Roman" w:eastAsia="Times New Roman" w:hAnsi="Times New Roman" w:cs="Times New Roman"/>
          <w:sz w:val="28"/>
        </w:rPr>
        <w:t xml:space="preserve">Message types: </w:t>
      </w:r>
    </w:p>
    <w:p w:rsidR="0052701D" w:rsidRDefault="00D40929">
      <w:pPr>
        <w:numPr>
          <w:ilvl w:val="0"/>
          <w:numId w:val="29"/>
        </w:numPr>
        <w:spacing w:after="5" w:line="271" w:lineRule="auto"/>
        <w:ind w:right="43" w:hanging="283"/>
        <w:jc w:val="right"/>
      </w:pPr>
      <w:r>
        <w:rPr>
          <w:rFonts w:ascii="Times New Roman" w:eastAsia="Times New Roman" w:hAnsi="Times New Roman" w:cs="Times New Roman"/>
          <w:sz w:val="28"/>
        </w:rPr>
        <w:t xml:space="preserve">Plug. Waits for a connection to be established with the server and creates a </w:t>
      </w:r>
    </w:p>
    <w:p w:rsidR="0052701D" w:rsidRDefault="00D40929">
      <w:pPr>
        <w:spacing w:after="5" w:line="271" w:lineRule="auto"/>
        <w:ind w:left="9" w:right="64"/>
        <w:jc w:val="both"/>
      </w:pPr>
      <w:r>
        <w:rPr>
          <w:rFonts w:ascii="Times New Roman" w:eastAsia="Times New Roman" w:hAnsi="Times New Roman" w:cs="Times New Roman"/>
          <w:sz w:val="28"/>
        </w:rPr>
        <w:t xml:space="preserve">connection between the nodes. </w:t>
      </w:r>
    </w:p>
    <w:p w:rsidR="0052701D" w:rsidRDefault="00D40929">
      <w:pPr>
        <w:numPr>
          <w:ilvl w:val="0"/>
          <w:numId w:val="29"/>
        </w:numPr>
        <w:spacing w:after="3"/>
        <w:ind w:right="43" w:hanging="283"/>
        <w:jc w:val="right"/>
      </w:pPr>
      <w:r>
        <w:rPr>
          <w:rFonts w:ascii="Times New Roman" w:eastAsia="Times New Roman" w:hAnsi="Times New Roman" w:cs="Times New Roman"/>
          <w:sz w:val="28"/>
        </w:rPr>
        <w:t xml:space="preserve">Disconnect. Waits for the MQTT client to finish any work it needs to do and </w:t>
      </w:r>
    </w:p>
    <w:p w:rsidR="0052701D" w:rsidRDefault="00D40929">
      <w:pPr>
        <w:spacing w:after="5" w:line="271" w:lineRule="auto"/>
        <w:ind w:left="9" w:right="64"/>
        <w:jc w:val="both"/>
      </w:pPr>
      <w:r>
        <w:rPr>
          <w:rFonts w:ascii="Times New Roman" w:eastAsia="Times New Roman" w:hAnsi="Times New Roman" w:cs="Times New Roman"/>
          <w:sz w:val="28"/>
        </w:rPr>
        <w:t xml:space="preserve">disconnects the TCP/IP session. </w:t>
      </w:r>
    </w:p>
    <w:p w:rsidR="0052701D" w:rsidRDefault="00D40929">
      <w:pPr>
        <w:numPr>
          <w:ilvl w:val="0"/>
          <w:numId w:val="29"/>
        </w:numPr>
        <w:spacing w:after="3"/>
        <w:ind w:right="43" w:hanging="283"/>
        <w:jc w:val="right"/>
      </w:pPr>
      <w:r>
        <w:rPr>
          <w:rFonts w:ascii="Times New Roman" w:eastAsia="Times New Roman" w:hAnsi="Times New Roman" w:cs="Times New Roman"/>
          <w:sz w:val="28"/>
        </w:rPr>
        <w:t xml:space="preserve">Publish. Immediately returns to the application thread after passing the request </w:t>
      </w:r>
    </w:p>
    <w:p w:rsidR="0052701D" w:rsidRDefault="00D40929">
      <w:pPr>
        <w:spacing w:after="5" w:line="271" w:lineRule="auto"/>
        <w:ind w:left="9" w:right="64"/>
        <w:jc w:val="both"/>
      </w:pPr>
      <w:r>
        <w:rPr>
          <w:rFonts w:ascii="Times New Roman" w:eastAsia="Times New Roman" w:hAnsi="Times New Roman" w:cs="Times New Roman"/>
          <w:sz w:val="28"/>
        </w:rPr>
        <w:t xml:space="preserve">to the MQTT client. </w:t>
      </w:r>
    </w:p>
    <w:p w:rsidR="0052701D" w:rsidRDefault="00D40929">
      <w:pPr>
        <w:spacing w:after="5" w:line="271" w:lineRule="auto"/>
        <w:ind w:left="9" w:right="64" w:firstLine="711"/>
        <w:jc w:val="both"/>
      </w:pPr>
      <w:r>
        <w:rPr>
          <w:rFonts w:ascii="Times New Roman" w:eastAsia="Times New Roman" w:hAnsi="Times New Roman" w:cs="Times New Roman"/>
          <w:sz w:val="28"/>
        </w:rPr>
        <w:t>Example of an MQTT connection (QoS 0) with connection, publication/subscription, and disconnection. The first message from client B is saved because of t</w:t>
      </w:r>
      <w:r>
        <w:rPr>
          <w:rFonts w:ascii="Times New Roman" w:eastAsia="Times New Roman" w:hAnsi="Times New Roman" w:cs="Times New Roman"/>
          <w:sz w:val="28"/>
        </w:rPr>
        <w:t xml:space="preserve">he retain flag (fig. 2). </w:t>
      </w:r>
    </w:p>
    <w:p w:rsidR="0052701D" w:rsidRDefault="00D40929">
      <w:pPr>
        <w:spacing w:after="0"/>
        <w:ind w:left="711"/>
      </w:pPr>
      <w:r>
        <w:rPr>
          <w:rFonts w:ascii="Times New Roman" w:eastAsia="Times New Roman" w:hAnsi="Times New Roman" w:cs="Times New Roman"/>
        </w:rPr>
        <w:t xml:space="preserve"> </w:t>
      </w:r>
    </w:p>
    <w:p w:rsidR="0052701D" w:rsidRDefault="00D40929">
      <w:pPr>
        <w:spacing w:after="0"/>
        <w:ind w:left="15"/>
        <w:jc w:val="center"/>
      </w:pPr>
      <w:r>
        <w:rPr>
          <w:noProof/>
        </w:rPr>
        <w:lastRenderedPageBreak/>
        <w:drawing>
          <wp:inline distT="0" distB="0" distL="0" distR="0">
            <wp:extent cx="3060192" cy="3124200"/>
            <wp:effectExtent l="0" t="0" r="0" b="0"/>
            <wp:docPr id="21484" name="Picture 21484"/>
            <wp:cNvGraphicFramePr/>
            <a:graphic xmlns:a="http://schemas.openxmlformats.org/drawingml/2006/main">
              <a:graphicData uri="http://schemas.openxmlformats.org/drawingml/2006/picture">
                <pic:pic xmlns:pic="http://schemas.openxmlformats.org/drawingml/2006/picture">
                  <pic:nvPicPr>
                    <pic:cNvPr id="21484" name="Picture 21484"/>
                    <pic:cNvPicPr/>
                  </pic:nvPicPr>
                  <pic:blipFill>
                    <a:blip r:embed="rId283"/>
                    <a:stretch>
                      <a:fillRect/>
                    </a:stretch>
                  </pic:blipFill>
                  <pic:spPr>
                    <a:xfrm>
                      <a:off x="0" y="0"/>
                      <a:ext cx="3060192" cy="3124200"/>
                    </a:xfrm>
                    <a:prstGeom prst="rect">
                      <a:avLst/>
                    </a:prstGeom>
                  </pic:spPr>
                </pic:pic>
              </a:graphicData>
            </a:graphic>
          </wp:inline>
        </w:drawing>
      </w:r>
      <w:r>
        <w:rPr>
          <w:rFonts w:ascii="Times New Roman" w:eastAsia="Times New Roman" w:hAnsi="Times New Roman" w:cs="Times New Roman"/>
        </w:rPr>
        <w:t xml:space="preserve"> </w:t>
      </w:r>
    </w:p>
    <w:p w:rsidR="0052701D" w:rsidRDefault="00D40929">
      <w:pPr>
        <w:spacing w:after="0"/>
        <w:ind w:left="711"/>
      </w:pPr>
      <w:r>
        <w:rPr>
          <w:rFonts w:ascii="Times New Roman" w:eastAsia="Times New Roman" w:hAnsi="Times New Roman" w:cs="Times New Roman"/>
        </w:rPr>
        <w:t xml:space="preserve"> </w:t>
      </w:r>
    </w:p>
    <w:p w:rsidR="0052701D" w:rsidRDefault="00D40929">
      <w:pPr>
        <w:spacing w:after="14" w:line="248" w:lineRule="auto"/>
        <w:ind w:left="713" w:right="757" w:hanging="5"/>
        <w:jc w:val="center"/>
      </w:pPr>
      <w:r>
        <w:rPr>
          <w:rFonts w:ascii="Times New Roman" w:eastAsia="Times New Roman" w:hAnsi="Times New Roman" w:cs="Times New Roman"/>
          <w:sz w:val="24"/>
        </w:rPr>
        <w:t xml:space="preserve">Fig. 2. Example of connecting MQTT </w:t>
      </w:r>
    </w:p>
    <w:p w:rsidR="0052701D" w:rsidRDefault="00D40929">
      <w:pPr>
        <w:spacing w:after="36"/>
        <w:ind w:left="16"/>
        <w:jc w:val="center"/>
      </w:pPr>
      <w:r>
        <w:rPr>
          <w:rFonts w:ascii="Times New Roman" w:eastAsia="Times New Roman" w:hAnsi="Times New Roman" w:cs="Times New Roman"/>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The ESP8266 board is a microcontroller from the Chinese manufacturer Espressif with a Wi-Fi interface. In addition to Wi-Fi, the microcontroller has the ability to execute programs from</w:t>
      </w:r>
      <w:r>
        <w:rPr>
          <w:rFonts w:ascii="Times New Roman" w:eastAsia="Times New Roman" w:hAnsi="Times New Roman" w:cs="Times New Roman"/>
          <w:sz w:val="28"/>
        </w:rPr>
        <w:t xml:space="preserve"> an external flash memory with the SPI interface. The microcontroller is an Xtensa L106 32-bit processor with a frequency of 80 MHz, even non-guaranteed overclocking to 160 MHz is possible. It also includes everything you need for convenient operation: 14 </w:t>
      </w:r>
      <w:r>
        <w:rPr>
          <w:rFonts w:ascii="Times New Roman" w:eastAsia="Times New Roman" w:hAnsi="Times New Roman" w:cs="Times New Roman"/>
          <w:sz w:val="28"/>
        </w:rPr>
        <w:t>digital inputs/outputs (11 of them can be used), SPI, I2C, I2S, UART, 10-bit ADC. Nutrition Is 2.2 V To 3.6 V. Consumption up to 215 mA in transmit mode, 100 mA in receive mode, 70 mA in standby mode. Three low-power modes are supported, all without mainta</w:t>
      </w:r>
      <w:r>
        <w:rPr>
          <w:rFonts w:ascii="Times New Roman" w:eastAsia="Times New Roman" w:hAnsi="Times New Roman" w:cs="Times New Roman"/>
          <w:sz w:val="28"/>
        </w:rPr>
        <w:t xml:space="preserve">ining the connection to the access point: Modem sleep (15 mA), Light sleep (0.4 mA), Deep sleep (15 MA). </w:t>
      </w:r>
    </w:p>
    <w:p w:rsidR="0052701D" w:rsidRDefault="00D40929">
      <w:pPr>
        <w:spacing w:after="5" w:line="271" w:lineRule="auto"/>
        <w:ind w:left="9" w:right="64" w:firstLine="711"/>
        <w:jc w:val="both"/>
      </w:pPr>
      <w:r>
        <w:rPr>
          <w:rFonts w:ascii="Times New Roman" w:eastAsia="Times New Roman" w:hAnsi="Times New Roman" w:cs="Times New Roman"/>
          <w:sz w:val="28"/>
        </w:rPr>
        <w:t>The typical use of the ESP8266 as the hardware basis of the Internet of Things most often involves installation in homes or offices. In this case, the</w:t>
      </w:r>
      <w:r>
        <w:rPr>
          <w:rFonts w:ascii="Times New Roman" w:eastAsia="Times New Roman" w:hAnsi="Times New Roman" w:cs="Times New Roman"/>
          <w:sz w:val="28"/>
        </w:rPr>
        <w:t xml:space="preserve"> network connection is made to a home / office LAN with Internet access via a router. The user of the device can control it using a tablet or computer via their local network or remotely via the Internet. </w:t>
      </w:r>
    </w:p>
    <w:p w:rsidR="0052701D" w:rsidRDefault="00D40929">
      <w:pPr>
        <w:spacing w:after="5" w:line="271" w:lineRule="auto"/>
        <w:ind w:left="9" w:right="64" w:firstLine="711"/>
        <w:jc w:val="both"/>
      </w:pPr>
      <w:r>
        <w:rPr>
          <w:rFonts w:ascii="Times New Roman" w:eastAsia="Times New Roman" w:hAnsi="Times New Roman" w:cs="Times New Roman"/>
          <w:sz w:val="28"/>
        </w:rPr>
        <w:t>Wi-Fi-</w:t>
      </w:r>
      <w:r>
        <w:rPr>
          <w:rFonts w:ascii="Times New Roman" w:eastAsia="Times New Roman" w:hAnsi="Times New Roman" w:cs="Times New Roman"/>
          <w:sz w:val="28"/>
        </w:rPr>
        <w:t>ESP8266 can work as both an access point and an end station. During normal operation in the local network, the ESP8266 is configured in the terminal station mode. To do this, the device must set the SSID of the Wi-Fi network and, in closed networks, the ac</w:t>
      </w:r>
      <w:r>
        <w:rPr>
          <w:rFonts w:ascii="Times New Roman" w:eastAsia="Times New Roman" w:hAnsi="Times New Roman" w:cs="Times New Roman"/>
          <w:sz w:val="28"/>
        </w:rPr>
        <w:t>cess password. For the initial configuration of these parameters, the access point mode is convenient. In access point mode, the device is visible in the standard network search in tablets and computers. It remains to connect to the device, open the HTML c</w:t>
      </w:r>
      <w:r>
        <w:rPr>
          <w:rFonts w:ascii="Times New Roman" w:eastAsia="Times New Roman" w:hAnsi="Times New Roman" w:cs="Times New Roman"/>
          <w:sz w:val="28"/>
        </w:rPr>
        <w:t xml:space="preserve">onfiguration page and set the network parameters. After that, the device will normally connect to the local network in the terminal station mode. </w:t>
      </w:r>
    </w:p>
    <w:p w:rsidR="0052701D" w:rsidRDefault="00D40929">
      <w:pPr>
        <w:spacing w:after="5" w:line="271" w:lineRule="auto"/>
        <w:ind w:left="9" w:right="64" w:firstLine="711"/>
        <w:jc w:val="both"/>
      </w:pPr>
      <w:r>
        <w:rPr>
          <w:rFonts w:ascii="Times New Roman" w:eastAsia="Times New Roman" w:hAnsi="Times New Roman" w:cs="Times New Roman"/>
          <w:sz w:val="28"/>
        </w:rPr>
        <w:lastRenderedPageBreak/>
        <w:t>Typically, an ESP8266-based device is located on the local network of an office or home. Access to the Intern</w:t>
      </w:r>
      <w:r>
        <w:rPr>
          <w:rFonts w:ascii="Times New Roman" w:eastAsia="Times New Roman" w:hAnsi="Times New Roman" w:cs="Times New Roman"/>
          <w:sz w:val="28"/>
        </w:rPr>
        <w:t>et is provided by a router connected on one side to the local network and on the other to the network of the Internet provider. The provider assigns its own static or dynamic IP address to the router, and the router translates the local network addresses t</w:t>
      </w:r>
      <w:r>
        <w:rPr>
          <w:rFonts w:ascii="Times New Roman" w:eastAsia="Times New Roman" w:hAnsi="Times New Roman" w:cs="Times New Roman"/>
          <w:sz w:val="28"/>
        </w:rPr>
        <w:t xml:space="preserve">o the provider's network. By default, the rules of this translation provide free visibility of Internet addresses on the local network, but do not allow access to local addresses from the Internet. There are several ways to get around this limitation. </w:t>
      </w:r>
    </w:p>
    <w:p w:rsidR="0052701D" w:rsidRDefault="00D40929">
      <w:pPr>
        <w:spacing w:after="5" w:line="271" w:lineRule="auto"/>
        <w:ind w:left="9" w:right="64" w:firstLine="711"/>
        <w:jc w:val="both"/>
      </w:pPr>
      <w:r>
        <w:rPr>
          <w:rFonts w:ascii="Times New Roman" w:eastAsia="Times New Roman" w:hAnsi="Times New Roman" w:cs="Times New Roman"/>
          <w:sz w:val="28"/>
        </w:rPr>
        <w:t>NAT</w:t>
      </w:r>
      <w:r>
        <w:rPr>
          <w:rFonts w:ascii="Times New Roman" w:eastAsia="Times New Roman" w:hAnsi="Times New Roman" w:cs="Times New Roman"/>
          <w:sz w:val="28"/>
        </w:rPr>
        <w:t xml:space="preserve"> configuration-Most modern routers allow you to set additional rules for translating network addresses between local and global networks. As a rule, Virtual server or DMZ technologies are used for this purpose. Both technologies allow you to access the ser</w:t>
      </w:r>
      <w:r>
        <w:rPr>
          <w:rFonts w:ascii="Times New Roman" w:eastAsia="Times New Roman" w:hAnsi="Times New Roman" w:cs="Times New Roman"/>
          <w:sz w:val="28"/>
        </w:rPr>
        <w:t xml:space="preserve">ver in the local network from the global network, knowing only the IP address issued to the router by the provider. In the case of a static IP address, this can often be a satisfactory solution for a limited number of system users.  </w:t>
      </w:r>
    </w:p>
    <w:p w:rsidR="0052701D" w:rsidRDefault="00D40929">
      <w:pPr>
        <w:spacing w:after="5" w:line="271" w:lineRule="auto"/>
        <w:ind w:left="9" w:right="64" w:firstLine="711"/>
        <w:jc w:val="both"/>
      </w:pPr>
      <w:r>
        <w:rPr>
          <w:rFonts w:ascii="Times New Roman" w:eastAsia="Times New Roman" w:hAnsi="Times New Roman" w:cs="Times New Roman"/>
          <w:sz w:val="28"/>
        </w:rPr>
        <w:t>The ESP8266 chip is on</w:t>
      </w:r>
      <w:r>
        <w:rPr>
          <w:rFonts w:ascii="Times New Roman" w:eastAsia="Times New Roman" w:hAnsi="Times New Roman" w:cs="Times New Roman"/>
          <w:sz w:val="28"/>
        </w:rPr>
        <w:t xml:space="preserve">e of the most highly integrated solutions for working with Wi-Fi. Inside the chip, there is a lot of everything that is often part of the external binding in competing solutions. </w:t>
      </w:r>
    </w:p>
    <w:p w:rsidR="0052701D" w:rsidRDefault="00D40929">
      <w:pPr>
        <w:spacing w:after="5" w:line="271" w:lineRule="auto"/>
        <w:ind w:left="711" w:right="64"/>
        <w:jc w:val="both"/>
      </w:pPr>
      <w:r>
        <w:rPr>
          <w:rFonts w:ascii="Times New Roman" w:eastAsia="Times New Roman" w:hAnsi="Times New Roman" w:cs="Times New Roman"/>
          <w:sz w:val="28"/>
        </w:rPr>
        <w:t xml:space="preserve">The internal filling of the chip is shown in figure 3. </w:t>
      </w:r>
    </w:p>
    <w:p w:rsidR="0052701D" w:rsidRDefault="00D40929">
      <w:pPr>
        <w:spacing w:after="0"/>
      </w:pPr>
      <w:r>
        <w:rPr>
          <w:rFonts w:ascii="Times New Roman" w:eastAsia="Times New Roman" w:hAnsi="Times New Roman" w:cs="Times New Roman"/>
        </w:rPr>
        <w:t xml:space="preserve"> </w:t>
      </w:r>
    </w:p>
    <w:p w:rsidR="0052701D" w:rsidRDefault="00D40929">
      <w:pPr>
        <w:spacing w:after="0"/>
        <w:ind w:right="651"/>
        <w:jc w:val="right"/>
      </w:pPr>
      <w:r>
        <w:rPr>
          <w:noProof/>
        </w:rPr>
        <w:drawing>
          <wp:inline distT="0" distB="0" distL="0" distR="0">
            <wp:extent cx="5276088" cy="2304288"/>
            <wp:effectExtent l="0" t="0" r="0" b="0"/>
            <wp:docPr id="21562" name="Picture 21562"/>
            <wp:cNvGraphicFramePr/>
            <a:graphic xmlns:a="http://schemas.openxmlformats.org/drawingml/2006/main">
              <a:graphicData uri="http://schemas.openxmlformats.org/drawingml/2006/picture">
                <pic:pic xmlns:pic="http://schemas.openxmlformats.org/drawingml/2006/picture">
                  <pic:nvPicPr>
                    <pic:cNvPr id="21562" name="Picture 21562"/>
                    <pic:cNvPicPr/>
                  </pic:nvPicPr>
                  <pic:blipFill>
                    <a:blip r:embed="rId284"/>
                    <a:stretch>
                      <a:fillRect/>
                    </a:stretch>
                  </pic:blipFill>
                  <pic:spPr>
                    <a:xfrm>
                      <a:off x="0" y="0"/>
                      <a:ext cx="5276088" cy="2304288"/>
                    </a:xfrm>
                    <a:prstGeom prst="rect">
                      <a:avLst/>
                    </a:prstGeom>
                  </pic:spPr>
                </pic:pic>
              </a:graphicData>
            </a:graphic>
          </wp:inline>
        </w:drawing>
      </w:r>
      <w:r>
        <w:rPr>
          <w:rFonts w:ascii="Times New Roman" w:eastAsia="Times New Roman" w:hAnsi="Times New Roman" w:cs="Times New Roman"/>
        </w:rPr>
        <w:t xml:space="preserve"> </w:t>
      </w:r>
    </w:p>
    <w:p w:rsidR="0052701D" w:rsidRDefault="00D40929">
      <w:pPr>
        <w:spacing w:after="0"/>
      </w:pPr>
      <w:r>
        <w:rPr>
          <w:rFonts w:ascii="Times New Roman" w:eastAsia="Times New Roman" w:hAnsi="Times New Roman" w:cs="Times New Roman"/>
        </w:rPr>
        <w:t xml:space="preserve"> </w:t>
      </w:r>
    </w:p>
    <w:p w:rsidR="0052701D" w:rsidRDefault="00D40929">
      <w:pPr>
        <w:spacing w:after="14" w:line="248" w:lineRule="auto"/>
        <w:ind w:left="713" w:right="754" w:hanging="5"/>
        <w:jc w:val="center"/>
      </w:pPr>
      <w:r>
        <w:rPr>
          <w:rFonts w:ascii="Times New Roman" w:eastAsia="Times New Roman" w:hAnsi="Times New Roman" w:cs="Times New Roman"/>
          <w:sz w:val="24"/>
        </w:rPr>
        <w:t>Fig. 3 . Chip</w:t>
      </w:r>
      <w:r>
        <w:rPr>
          <w:rFonts w:ascii="Times New Roman" w:eastAsia="Times New Roman" w:hAnsi="Times New Roman" w:cs="Times New Roman"/>
          <w:sz w:val="24"/>
        </w:rPr>
        <w:t xml:space="preserve"> filling </w:t>
      </w:r>
    </w:p>
    <w:p w:rsidR="0052701D" w:rsidRDefault="00D40929">
      <w:pPr>
        <w:spacing w:after="31"/>
        <w:ind w:left="16"/>
        <w:jc w:val="center"/>
      </w:pPr>
      <w:r>
        <w:rPr>
          <w:rFonts w:ascii="Times New Roman" w:eastAsia="Times New Roman" w:hAnsi="Times New Roman" w:cs="Times New Roman"/>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The first step of assembling was to connect the relay to the lamp. The pins D1, Vin, GND of the Wi-Fi module ESP8266 were connected to the relay via wires. Pin </w:t>
      </w:r>
    </w:p>
    <w:p w:rsidR="0052701D" w:rsidRDefault="00D40929">
      <w:pPr>
        <w:spacing w:after="5" w:line="271" w:lineRule="auto"/>
        <w:ind w:left="9" w:right="64"/>
        <w:jc w:val="both"/>
      </w:pPr>
      <w:r>
        <w:rPr>
          <w:rFonts w:ascii="Times New Roman" w:eastAsia="Times New Roman" w:hAnsi="Times New Roman" w:cs="Times New Roman"/>
          <w:sz w:val="28"/>
        </w:rPr>
        <w:t>D1 (GPIO05) is a pin with a PWM output. GPIO (General Purpose Interrupt Output) - G</w:t>
      </w:r>
      <w:r>
        <w:rPr>
          <w:rFonts w:ascii="Times New Roman" w:eastAsia="Times New Roman" w:hAnsi="Times New Roman" w:cs="Times New Roman"/>
          <w:sz w:val="28"/>
        </w:rPr>
        <w:t xml:space="preserve">eneral purpose I/O pins. Can be configured as inputs or outputs and programmatically assigned to various functions. PWM (Pulse-width modulation) controls the power by pulsing the output on and off. NodeMCU supports program PWM on the pins indicated by the </w:t>
      </w:r>
      <w:r>
        <w:rPr>
          <w:rFonts w:ascii="Times New Roman" w:eastAsia="Times New Roman" w:hAnsi="Times New Roman" w:cs="Times New Roman"/>
          <w:sz w:val="28"/>
        </w:rPr>
        <w:t xml:space="preserve">curving line in the figure. Pin GND-common wire, "ground". Pin Vin-pin for connecting an external 5V power supply. The AMS1117-3.3 stabilizer allows you to supply power to the Vin in a wide range from 5 to 10 V. </w:t>
      </w:r>
      <w:r>
        <w:rPr>
          <w:rFonts w:ascii="Times New Roman" w:eastAsia="Times New Roman" w:hAnsi="Times New Roman" w:cs="Times New Roman"/>
          <w:sz w:val="28"/>
        </w:rPr>
        <w:lastRenderedPageBreak/>
        <w:t>The Wi-Fi module ESP8266 itself was connecte</w:t>
      </w:r>
      <w:r>
        <w:rPr>
          <w:rFonts w:ascii="Times New Roman" w:eastAsia="Times New Roman" w:hAnsi="Times New Roman" w:cs="Times New Roman"/>
          <w:sz w:val="28"/>
        </w:rPr>
        <w:t>d to the power supply via a USB cable. The lamp was connected to a 220 V outlet. It is necessary to properly connect and program all the elements of the device. We check the programmable device for proper operation. The assembled and included circuit is sh</w:t>
      </w:r>
      <w:r>
        <w:rPr>
          <w:rFonts w:ascii="Times New Roman" w:eastAsia="Times New Roman" w:hAnsi="Times New Roman" w:cs="Times New Roman"/>
          <w:sz w:val="28"/>
        </w:rPr>
        <w:t xml:space="preserve">own in figure 4. </w:t>
      </w:r>
    </w:p>
    <w:p w:rsidR="0052701D" w:rsidRDefault="00D40929">
      <w:pPr>
        <w:spacing w:after="0"/>
        <w:ind w:left="711"/>
      </w:pPr>
      <w:r>
        <w:rPr>
          <w:rFonts w:ascii="Times New Roman" w:eastAsia="Times New Roman" w:hAnsi="Times New Roman" w:cs="Times New Roman"/>
        </w:rPr>
        <w:t xml:space="preserve"> </w:t>
      </w:r>
    </w:p>
    <w:p w:rsidR="0052701D" w:rsidRDefault="00D40929">
      <w:pPr>
        <w:spacing w:after="0"/>
        <w:ind w:left="15"/>
        <w:jc w:val="center"/>
      </w:pPr>
      <w:r>
        <w:rPr>
          <w:noProof/>
        </w:rPr>
        <w:drawing>
          <wp:inline distT="0" distB="0" distL="0" distR="0">
            <wp:extent cx="3313176" cy="2941320"/>
            <wp:effectExtent l="0" t="0" r="0" b="0"/>
            <wp:docPr id="21608" name="Picture 21608"/>
            <wp:cNvGraphicFramePr/>
            <a:graphic xmlns:a="http://schemas.openxmlformats.org/drawingml/2006/main">
              <a:graphicData uri="http://schemas.openxmlformats.org/drawingml/2006/picture">
                <pic:pic xmlns:pic="http://schemas.openxmlformats.org/drawingml/2006/picture">
                  <pic:nvPicPr>
                    <pic:cNvPr id="21608" name="Picture 21608"/>
                    <pic:cNvPicPr/>
                  </pic:nvPicPr>
                  <pic:blipFill>
                    <a:blip r:embed="rId285"/>
                    <a:stretch>
                      <a:fillRect/>
                    </a:stretch>
                  </pic:blipFill>
                  <pic:spPr>
                    <a:xfrm>
                      <a:off x="0" y="0"/>
                      <a:ext cx="3313176" cy="2941320"/>
                    </a:xfrm>
                    <a:prstGeom prst="rect">
                      <a:avLst/>
                    </a:prstGeom>
                  </pic:spPr>
                </pic:pic>
              </a:graphicData>
            </a:graphic>
          </wp:inline>
        </w:drawing>
      </w:r>
      <w:r>
        <w:rPr>
          <w:rFonts w:ascii="Times New Roman" w:eastAsia="Times New Roman" w:hAnsi="Times New Roman" w:cs="Times New Roman"/>
        </w:rPr>
        <w:t xml:space="preserve"> </w:t>
      </w:r>
    </w:p>
    <w:p w:rsidR="0052701D" w:rsidRDefault="00D40929">
      <w:pPr>
        <w:spacing w:after="0"/>
      </w:pPr>
      <w:r>
        <w:rPr>
          <w:rFonts w:ascii="Times New Roman" w:eastAsia="Times New Roman" w:hAnsi="Times New Roman" w:cs="Times New Roman"/>
        </w:rPr>
        <w:t xml:space="preserve"> </w:t>
      </w:r>
    </w:p>
    <w:p w:rsidR="0052701D" w:rsidRDefault="00D40929">
      <w:pPr>
        <w:spacing w:after="14" w:line="248" w:lineRule="auto"/>
        <w:ind w:left="713" w:right="750" w:hanging="5"/>
        <w:jc w:val="center"/>
      </w:pPr>
      <w:r>
        <w:rPr>
          <w:rFonts w:ascii="Times New Roman" w:eastAsia="Times New Roman" w:hAnsi="Times New Roman" w:cs="Times New Roman"/>
          <w:sz w:val="24"/>
        </w:rPr>
        <w:t xml:space="preserve">Fig. 4. Assembled system </w:t>
      </w:r>
    </w:p>
    <w:p w:rsidR="0052701D" w:rsidRDefault="00D40929">
      <w:pPr>
        <w:spacing w:after="31"/>
      </w:pPr>
      <w:r>
        <w:rPr>
          <w:rFonts w:ascii="Times New Roman" w:eastAsia="Times New Roman" w:hAnsi="Times New Roman" w:cs="Times New Roman"/>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The Telegram application was selected as the control </w:t>
      </w:r>
      <w:r>
        <w:rPr>
          <w:rFonts w:ascii="Times New Roman" w:eastAsia="Times New Roman" w:hAnsi="Times New Roman" w:cs="Times New Roman"/>
          <w:sz w:val="28"/>
        </w:rPr>
        <w:t>device. This app can be installed on all supported Android and iOS phones. The application is convenient because it can communicate not only with different users of the application, but also create special bots to provide information using a special API. S</w:t>
      </w:r>
      <w:r>
        <w:rPr>
          <w:rFonts w:ascii="Times New Roman" w:eastAsia="Times New Roman" w:hAnsi="Times New Roman" w:cs="Times New Roman"/>
          <w:sz w:val="28"/>
        </w:rPr>
        <w:t xml:space="preserve">uch a bot will be used as the owner's sounder. </w:t>
      </w:r>
    </w:p>
    <w:p w:rsidR="0052701D" w:rsidRDefault="00D40929">
      <w:pPr>
        <w:spacing w:after="5" w:line="271" w:lineRule="auto"/>
        <w:ind w:left="9" w:right="64" w:firstLine="711"/>
        <w:jc w:val="both"/>
      </w:pPr>
      <w:r>
        <w:rPr>
          <w:rFonts w:ascii="Times New Roman" w:eastAsia="Times New Roman" w:hAnsi="Times New Roman" w:cs="Times New Roman"/>
          <w:sz w:val="28"/>
        </w:rPr>
        <w:t>At the beginning, you need to create a bot in a special editor, giving it a name. A unique token is automatically assigned to the bot. It is necessary for further work with the telegram bot. All interaction r</w:t>
      </w:r>
      <w:r>
        <w:rPr>
          <w:rFonts w:ascii="Times New Roman" w:eastAsia="Times New Roman" w:hAnsi="Times New Roman" w:cs="Times New Roman"/>
          <w:sz w:val="28"/>
        </w:rPr>
        <w:t>ules are set in its API command set. To get information from a specific bot, you need to form and send POST requests. The server, after receiving the data, processes it and sends the response back to the client. Also, thanks to chat-ID access, we have limi</w:t>
      </w:r>
      <w:r>
        <w:rPr>
          <w:rFonts w:ascii="Times New Roman" w:eastAsia="Times New Roman" w:hAnsi="Times New Roman" w:cs="Times New Roman"/>
          <w:sz w:val="28"/>
        </w:rPr>
        <w:t xml:space="preserve">ted the number of users of the bot. Figure 5 shows a chat with a bot using remote control. </w:t>
      </w:r>
    </w:p>
    <w:p w:rsidR="0052701D" w:rsidRDefault="00D40929">
      <w:pPr>
        <w:spacing w:after="0"/>
        <w:ind w:left="711"/>
      </w:pPr>
      <w:r>
        <w:rPr>
          <w:rFonts w:ascii="Times New Roman" w:eastAsia="Times New Roman" w:hAnsi="Times New Roman" w:cs="Times New Roman"/>
        </w:rPr>
        <w:t xml:space="preserve"> </w:t>
      </w:r>
    </w:p>
    <w:p w:rsidR="0052701D" w:rsidRDefault="00D40929">
      <w:pPr>
        <w:spacing w:after="0"/>
        <w:ind w:left="14"/>
        <w:jc w:val="center"/>
      </w:pPr>
      <w:r>
        <w:rPr>
          <w:noProof/>
        </w:rPr>
        <w:lastRenderedPageBreak/>
        <w:drawing>
          <wp:inline distT="0" distB="0" distL="0" distR="0">
            <wp:extent cx="2002536" cy="2173224"/>
            <wp:effectExtent l="0" t="0" r="0" b="0"/>
            <wp:docPr id="21610" name="Picture 21610"/>
            <wp:cNvGraphicFramePr/>
            <a:graphic xmlns:a="http://schemas.openxmlformats.org/drawingml/2006/main">
              <a:graphicData uri="http://schemas.openxmlformats.org/drawingml/2006/picture">
                <pic:pic xmlns:pic="http://schemas.openxmlformats.org/drawingml/2006/picture">
                  <pic:nvPicPr>
                    <pic:cNvPr id="21610" name="Picture 21610"/>
                    <pic:cNvPicPr/>
                  </pic:nvPicPr>
                  <pic:blipFill>
                    <a:blip r:embed="rId286"/>
                    <a:stretch>
                      <a:fillRect/>
                    </a:stretch>
                  </pic:blipFill>
                  <pic:spPr>
                    <a:xfrm>
                      <a:off x="0" y="0"/>
                      <a:ext cx="2002536" cy="2173224"/>
                    </a:xfrm>
                    <a:prstGeom prst="rect">
                      <a:avLst/>
                    </a:prstGeom>
                  </pic:spPr>
                </pic:pic>
              </a:graphicData>
            </a:graphic>
          </wp:inline>
        </w:drawing>
      </w:r>
      <w:r>
        <w:rPr>
          <w:rFonts w:ascii="Times New Roman" w:eastAsia="Times New Roman" w:hAnsi="Times New Roman" w:cs="Times New Roman"/>
        </w:rPr>
        <w:t xml:space="preserve"> </w:t>
      </w:r>
    </w:p>
    <w:p w:rsidR="0052701D" w:rsidRDefault="00D40929">
      <w:pPr>
        <w:spacing w:after="14" w:line="248" w:lineRule="auto"/>
        <w:ind w:left="713" w:right="757" w:hanging="5"/>
        <w:jc w:val="center"/>
      </w:pPr>
      <w:r>
        <w:rPr>
          <w:rFonts w:ascii="Times New Roman" w:eastAsia="Times New Roman" w:hAnsi="Times New Roman" w:cs="Times New Roman"/>
          <w:sz w:val="24"/>
        </w:rPr>
        <w:t xml:space="preserve">Fig. 5.Interaction with the Telegram bot </w:t>
      </w:r>
    </w:p>
    <w:p w:rsidR="0052701D" w:rsidRDefault="00D40929">
      <w:pPr>
        <w:spacing w:after="0"/>
        <w:ind w:left="16"/>
        <w:jc w:val="center"/>
      </w:pPr>
      <w:r>
        <w:rPr>
          <w:rFonts w:ascii="Times New Roman" w:eastAsia="Times New Roman" w:hAnsi="Times New Roman" w:cs="Times New Roman"/>
        </w:rPr>
        <w:t xml:space="preserve"> </w:t>
      </w:r>
    </w:p>
    <w:p w:rsidR="0052701D" w:rsidRDefault="00D40929">
      <w:pPr>
        <w:spacing w:after="5" w:line="271" w:lineRule="auto"/>
        <w:ind w:left="9" w:right="64" w:firstLine="711"/>
        <w:jc w:val="both"/>
      </w:pPr>
      <w:r>
        <w:rPr>
          <w:rFonts w:ascii="Times New Roman" w:eastAsia="Times New Roman" w:hAnsi="Times New Roman" w:cs="Times New Roman"/>
          <w:b/>
          <w:sz w:val="28"/>
        </w:rPr>
        <w:t>Conclusion.</w:t>
      </w:r>
      <w:r>
        <w:rPr>
          <w:rFonts w:ascii="Times New Roman" w:eastAsia="Times New Roman" w:hAnsi="Times New Roman" w:cs="Times New Roman"/>
          <w:sz w:val="28"/>
        </w:rPr>
        <w:t xml:space="preserve"> This system allows you to remotely control the power supply system without any difficulties, due to the</w:t>
      </w:r>
      <w:r>
        <w:rPr>
          <w:rFonts w:ascii="Times New Roman" w:eastAsia="Times New Roman" w:hAnsi="Times New Roman" w:cs="Times New Roman"/>
          <w:sz w:val="28"/>
        </w:rPr>
        <w:t xml:space="preserve"> fact that a small number of elements are used in the circuit, but the quality and accuracy of the results do not deteriorate from this; an application for transmitting commands requires advanced programming skills, an experienced user will quickly create </w:t>
      </w:r>
      <w:r>
        <w:rPr>
          <w:rFonts w:ascii="Times New Roman" w:eastAsia="Times New Roman" w:hAnsi="Times New Roman" w:cs="Times New Roman"/>
          <w:sz w:val="28"/>
        </w:rPr>
        <w:t>a new project for processing the received data, a sketch of the program takes there is not so there is a lot of space and it will not be difficult for a user who has previously worked with Arduino to understand all the subtleties of the code. It is worth n</w:t>
      </w:r>
      <w:r>
        <w:rPr>
          <w:rFonts w:ascii="Times New Roman" w:eastAsia="Times New Roman" w:hAnsi="Times New Roman" w:cs="Times New Roman"/>
          <w:sz w:val="28"/>
        </w:rPr>
        <w:t>oting that such a system does not require significant capital investments, which will allow the mass implementation of this monitoring system on all construction sites, structures or bridges and the Wi--Fi technology used for data transmission will allow y</w:t>
      </w:r>
      <w:r>
        <w:rPr>
          <w:rFonts w:ascii="Times New Roman" w:eastAsia="Times New Roman" w:hAnsi="Times New Roman" w:cs="Times New Roman"/>
          <w:sz w:val="28"/>
        </w:rPr>
        <w:t>ou to receive data within line of sight without breaking the network and the small size of each device and the required small power for the support of their work will allow you to install this system in hard-to-reach places and get accurate data for subseq</w:t>
      </w:r>
      <w:r>
        <w:rPr>
          <w:rFonts w:ascii="Times New Roman" w:eastAsia="Times New Roman" w:hAnsi="Times New Roman" w:cs="Times New Roman"/>
          <w:sz w:val="28"/>
        </w:rPr>
        <w:t xml:space="preserve">uent processing and analysis. </w:t>
      </w:r>
    </w:p>
    <w:p w:rsidR="0052701D" w:rsidRDefault="00D40929">
      <w:pPr>
        <w:spacing w:after="0"/>
        <w:ind w:left="711"/>
      </w:pPr>
      <w:r>
        <w:rPr>
          <w:rFonts w:ascii="Times New Roman" w:eastAsia="Times New Roman" w:hAnsi="Times New Roman" w:cs="Times New Roman"/>
          <w:sz w:val="28"/>
        </w:rPr>
        <w:t xml:space="preserve"> </w:t>
      </w:r>
    </w:p>
    <w:p w:rsidR="0052701D" w:rsidRDefault="00D40929">
      <w:pPr>
        <w:spacing w:after="0"/>
        <w:ind w:left="688" w:right="16" w:hanging="10"/>
        <w:jc w:val="center"/>
      </w:pPr>
      <w:r>
        <w:rPr>
          <w:rFonts w:ascii="Times New Roman" w:eastAsia="Times New Roman" w:hAnsi="Times New Roman" w:cs="Times New Roman"/>
          <w:b/>
        </w:rPr>
        <w:t xml:space="preserve">References: </w:t>
      </w:r>
    </w:p>
    <w:p w:rsidR="0052701D" w:rsidRDefault="00D40929">
      <w:pPr>
        <w:numPr>
          <w:ilvl w:val="0"/>
          <w:numId w:val="30"/>
        </w:numPr>
        <w:spacing w:after="0" w:line="248" w:lineRule="auto"/>
        <w:ind w:right="14" w:firstLine="711"/>
        <w:jc w:val="both"/>
      </w:pPr>
      <w:r>
        <w:rPr>
          <w:rFonts w:ascii="Times New Roman" w:eastAsia="Times New Roman" w:hAnsi="Times New Roman" w:cs="Times New Roman"/>
          <w:sz w:val="24"/>
        </w:rPr>
        <w:t xml:space="preserve">Petin V. A. Arduino and Raspberry Pi in Internet of Things projects. - St. Petersburg: BHV-Petersburg, 2016. - 320 p. </w:t>
      </w:r>
    </w:p>
    <w:p w:rsidR="0052701D" w:rsidRDefault="00D40929">
      <w:pPr>
        <w:numPr>
          <w:ilvl w:val="0"/>
          <w:numId w:val="30"/>
        </w:numPr>
        <w:spacing w:after="0" w:line="248" w:lineRule="auto"/>
        <w:ind w:right="14" w:firstLine="711"/>
        <w:jc w:val="both"/>
      </w:pPr>
      <w:r>
        <w:rPr>
          <w:rFonts w:ascii="Times New Roman" w:eastAsia="Times New Roman" w:hAnsi="Times New Roman" w:cs="Times New Roman"/>
          <w:sz w:val="24"/>
        </w:rPr>
        <w:t xml:space="preserve">Polyakova G. V. Miracle harvest. Big encyclopedia of the garden and vegetable garden. - </w:t>
      </w:r>
      <w:r>
        <w:rPr>
          <w:rFonts w:ascii="Times New Roman" w:eastAsia="Times New Roman" w:hAnsi="Times New Roman" w:cs="Times New Roman"/>
          <w:sz w:val="24"/>
        </w:rPr>
        <w:t xml:space="preserve">"Eksmo", 2014. - 630 p. </w:t>
      </w:r>
    </w:p>
    <w:p w:rsidR="0052701D" w:rsidRDefault="00D40929">
      <w:pPr>
        <w:numPr>
          <w:ilvl w:val="0"/>
          <w:numId w:val="30"/>
        </w:numPr>
        <w:spacing w:after="0" w:line="248" w:lineRule="auto"/>
        <w:ind w:right="14" w:firstLine="711"/>
        <w:jc w:val="both"/>
      </w:pPr>
      <w:r>
        <w:rPr>
          <w:rFonts w:ascii="Times New Roman" w:eastAsia="Times New Roman" w:hAnsi="Times New Roman" w:cs="Times New Roman"/>
          <w:sz w:val="24"/>
        </w:rPr>
        <w:t xml:space="preserve">Lynkov, L. M. Methods and means of protecting communication objects from unauthorized access. - Minsk: BSUIR, 2007. - 139 p. </w:t>
      </w:r>
    </w:p>
    <w:p w:rsidR="0052701D" w:rsidRDefault="00D40929">
      <w:pPr>
        <w:numPr>
          <w:ilvl w:val="0"/>
          <w:numId w:val="30"/>
        </w:numPr>
        <w:spacing w:after="29" w:line="248" w:lineRule="auto"/>
        <w:ind w:right="14" w:firstLine="711"/>
        <w:jc w:val="both"/>
      </w:pPr>
      <w:r>
        <w:rPr>
          <w:rFonts w:ascii="Times New Roman" w:eastAsia="Times New Roman" w:hAnsi="Times New Roman" w:cs="Times New Roman"/>
          <w:sz w:val="24"/>
        </w:rPr>
        <w:t xml:space="preserve">MQTT protocol, URL:http://i-o-t.ru/protokol-mqtt / (23.04.21) </w:t>
      </w:r>
    </w:p>
    <w:p w:rsidR="0052701D" w:rsidRDefault="00D40929">
      <w:pPr>
        <w:numPr>
          <w:ilvl w:val="0"/>
          <w:numId w:val="30"/>
        </w:numPr>
        <w:spacing w:after="0" w:line="248" w:lineRule="auto"/>
        <w:ind w:right="14" w:firstLine="711"/>
        <w:jc w:val="both"/>
      </w:pPr>
      <w:r>
        <w:rPr>
          <w:rFonts w:ascii="Times New Roman" w:eastAsia="Times New Roman" w:hAnsi="Times New Roman" w:cs="Times New Roman"/>
          <w:sz w:val="24"/>
        </w:rPr>
        <w:t xml:space="preserve">Shpak Yu.A. Programming in the C language for AVR and PIC microcontrollers. - Moscow: MK-Press, 2017. - 546 p. </w:t>
      </w:r>
    </w:p>
    <w:p w:rsidR="0052701D" w:rsidRDefault="00D40929">
      <w:pPr>
        <w:numPr>
          <w:ilvl w:val="0"/>
          <w:numId w:val="30"/>
        </w:numPr>
        <w:spacing w:after="0" w:line="248" w:lineRule="auto"/>
        <w:ind w:right="14" w:firstLine="711"/>
        <w:jc w:val="both"/>
      </w:pPr>
      <w:r>
        <w:rPr>
          <w:rFonts w:ascii="Times New Roman" w:eastAsia="Times New Roman" w:hAnsi="Times New Roman" w:cs="Times New Roman"/>
          <w:sz w:val="24"/>
        </w:rPr>
        <w:t xml:space="preserve">Golubtsov M. S., Kirichenkova A.V. AVR microcontrollers: from the simple to the complex. - Moscow: SOLON-Press, 2016. - 304 p. </w:t>
      </w:r>
    </w:p>
    <w:p w:rsidR="0052701D" w:rsidRDefault="00D40929">
      <w:pPr>
        <w:numPr>
          <w:ilvl w:val="0"/>
          <w:numId w:val="30"/>
        </w:numPr>
        <w:spacing w:after="0" w:line="248" w:lineRule="auto"/>
        <w:ind w:right="14" w:firstLine="711"/>
        <w:jc w:val="both"/>
      </w:pPr>
      <w:r>
        <w:rPr>
          <w:rFonts w:ascii="Times New Roman" w:eastAsia="Times New Roman" w:hAnsi="Times New Roman" w:cs="Times New Roman"/>
          <w:sz w:val="24"/>
        </w:rPr>
        <w:t>V. Petin-Plans w</w:t>
      </w:r>
      <w:r>
        <w:rPr>
          <w:rFonts w:ascii="Times New Roman" w:eastAsia="Times New Roman" w:hAnsi="Times New Roman" w:cs="Times New Roman"/>
          <w:sz w:val="24"/>
        </w:rPr>
        <w:t xml:space="preserve">ith the introduction of the Arduino controller 1st ed. - St. Petersburg: publishing house "BHV Petersburg", 2014 – 401 p. </w:t>
      </w:r>
    </w:p>
    <w:p w:rsidR="0052701D" w:rsidRDefault="00D40929">
      <w:pPr>
        <w:numPr>
          <w:ilvl w:val="0"/>
          <w:numId w:val="30"/>
        </w:numPr>
        <w:spacing w:after="0" w:line="248" w:lineRule="auto"/>
        <w:ind w:right="14" w:firstLine="711"/>
        <w:jc w:val="both"/>
      </w:pPr>
      <w:r>
        <w:rPr>
          <w:rFonts w:ascii="Times New Roman" w:eastAsia="Times New Roman" w:hAnsi="Times New Roman" w:cs="Times New Roman"/>
          <w:sz w:val="24"/>
        </w:rPr>
        <w:t xml:space="preserve">Baranov V. N. The use of AVR microcontrollers. Schemes, methods, programs-Moscow: Dodeka, 2004. - 287 p. </w:t>
      </w:r>
    </w:p>
    <w:p w:rsidR="0052701D" w:rsidRDefault="00D40929">
      <w:pPr>
        <w:spacing w:after="0"/>
        <w:ind w:left="711"/>
      </w:pPr>
      <w:r>
        <w:rPr>
          <w:rFonts w:ascii="Times New Roman" w:eastAsia="Times New Roman" w:hAnsi="Times New Roman" w:cs="Times New Roman"/>
          <w:color w:val="00000A"/>
        </w:rPr>
        <w:t xml:space="preserve"> </w:t>
      </w:r>
    </w:p>
    <w:p w:rsidR="0052701D" w:rsidRDefault="00D40929">
      <w:pPr>
        <w:spacing w:after="0"/>
        <w:ind w:left="711"/>
      </w:pPr>
      <w:r>
        <w:rPr>
          <w:rFonts w:ascii="Times New Roman" w:eastAsia="Times New Roman" w:hAnsi="Times New Roman" w:cs="Times New Roman"/>
          <w:color w:val="00000A"/>
        </w:rPr>
        <w:t xml:space="preserve"> </w:t>
      </w:r>
    </w:p>
    <w:p w:rsidR="0052701D" w:rsidRDefault="00D40929">
      <w:pPr>
        <w:spacing w:after="0"/>
        <w:ind w:left="711"/>
      </w:pPr>
      <w:r>
        <w:rPr>
          <w:rFonts w:ascii="Times New Roman" w:eastAsia="Times New Roman" w:hAnsi="Times New Roman" w:cs="Times New Roman"/>
          <w:color w:val="00000A"/>
        </w:rPr>
        <w:lastRenderedPageBreak/>
        <w:t xml:space="preserve"> </w:t>
      </w:r>
    </w:p>
    <w:p w:rsidR="0052701D" w:rsidRDefault="00D40929">
      <w:pPr>
        <w:spacing w:after="12"/>
        <w:ind w:left="-5" w:hanging="10"/>
      </w:pPr>
      <w:r>
        <w:rPr>
          <w:rFonts w:ascii="Times New Roman" w:eastAsia="Times New Roman" w:hAnsi="Times New Roman" w:cs="Times New Roman"/>
          <w:b/>
          <w:sz w:val="20"/>
        </w:rPr>
        <w:t xml:space="preserve">УДК 004.896-027.21 </w:t>
      </w:r>
    </w:p>
    <w:p w:rsidR="0052701D" w:rsidRDefault="00D40929">
      <w:pPr>
        <w:spacing w:after="16"/>
      </w:pPr>
      <w:r>
        <w:rPr>
          <w:rFonts w:ascii="Times New Roman" w:eastAsia="Times New Roman" w:hAnsi="Times New Roman" w:cs="Times New Roman"/>
          <w:b/>
          <w:sz w:val="24"/>
        </w:rPr>
        <w:t xml:space="preserve"> </w:t>
      </w:r>
    </w:p>
    <w:p w:rsidR="0052701D" w:rsidRDefault="00D40929">
      <w:pPr>
        <w:pStyle w:val="1"/>
        <w:spacing w:line="251" w:lineRule="auto"/>
        <w:ind w:left="226" w:right="0" w:firstLine="9"/>
        <w:jc w:val="left"/>
      </w:pPr>
      <w:r>
        <w:t xml:space="preserve">OVERVIEW OF MODERN ROBOTS WITH VIDEO CONTROL SYSTEM </w:t>
      </w:r>
    </w:p>
    <w:p w:rsidR="0052701D" w:rsidRDefault="00D40929">
      <w:pPr>
        <w:spacing w:after="0"/>
        <w:ind w:left="21"/>
        <w:jc w:val="center"/>
      </w:pPr>
      <w:r>
        <w:rPr>
          <w:rFonts w:ascii="Times New Roman" w:eastAsia="Times New Roman" w:hAnsi="Times New Roman" w:cs="Times New Roman"/>
          <w:b/>
          <w:sz w:val="24"/>
        </w:rPr>
        <w:t xml:space="preserve"> </w:t>
      </w:r>
    </w:p>
    <w:p w:rsidR="0052701D" w:rsidRDefault="00D40929">
      <w:pPr>
        <w:pStyle w:val="1"/>
        <w:spacing w:after="34" w:line="248" w:lineRule="auto"/>
        <w:ind w:left="713" w:right="43" w:hanging="5"/>
      </w:pPr>
      <w:r>
        <w:rPr>
          <w:b w:val="0"/>
          <w:sz w:val="24"/>
        </w:rPr>
        <w:t xml:space="preserve">Abuov Alyas Dzamilevich </w:t>
      </w:r>
    </w:p>
    <w:p w:rsidR="0052701D" w:rsidRDefault="00D40929">
      <w:pPr>
        <w:spacing w:after="29" w:line="248" w:lineRule="auto"/>
        <w:ind w:left="3486" w:right="14" w:hanging="2703"/>
        <w:jc w:val="both"/>
      </w:pPr>
      <w:r>
        <w:rPr>
          <w:rFonts w:ascii="Times New Roman" w:eastAsia="Times New Roman" w:hAnsi="Times New Roman" w:cs="Times New Roman"/>
          <w:sz w:val="24"/>
        </w:rPr>
        <w:t xml:space="preserve">Non-profit JSC «Almaty University of Power Engineering and Telecommunications named after Gumarbek Daukeyev» </w:t>
      </w:r>
    </w:p>
    <w:p w:rsidR="0052701D" w:rsidRDefault="00D40929">
      <w:pPr>
        <w:spacing w:after="14" w:line="248" w:lineRule="auto"/>
        <w:ind w:left="3021" w:right="2284" w:hanging="5"/>
        <w:jc w:val="center"/>
      </w:pPr>
      <w:r>
        <w:rPr>
          <w:rFonts w:ascii="Times New Roman" w:eastAsia="Times New Roman" w:hAnsi="Times New Roman" w:cs="Times New Roman"/>
          <w:sz w:val="24"/>
        </w:rPr>
        <w:t xml:space="preserve">Almaty, Kazakhstan e-mail:a.abuov@aues.kz </w:t>
      </w:r>
    </w:p>
    <w:p w:rsidR="0052701D" w:rsidRDefault="00D40929">
      <w:pPr>
        <w:spacing w:after="0"/>
        <w:ind w:left="780"/>
        <w:jc w:val="center"/>
      </w:pPr>
      <w:r>
        <w:rPr>
          <w:rFonts w:ascii="Times New Roman" w:eastAsia="Times New Roman" w:hAnsi="Times New Roman" w:cs="Times New Roman"/>
        </w:rPr>
        <w:t xml:space="preserve">  </w:t>
      </w:r>
    </w:p>
    <w:p w:rsidR="0052701D" w:rsidRDefault="00D40929">
      <w:pPr>
        <w:spacing w:after="0" w:line="248" w:lineRule="auto"/>
        <w:ind w:left="9" w:firstLine="711"/>
        <w:jc w:val="both"/>
      </w:pPr>
      <w:r>
        <w:rPr>
          <w:rFonts w:ascii="Times New Roman" w:eastAsia="Times New Roman" w:hAnsi="Times New Roman" w:cs="Times New Roman"/>
          <w:b/>
          <w:i/>
          <w:sz w:val="24"/>
        </w:rPr>
        <w:t xml:space="preserve">Annotation. </w:t>
      </w:r>
      <w:r>
        <w:rPr>
          <w:rFonts w:ascii="Times New Roman" w:eastAsia="Times New Roman" w:hAnsi="Times New Roman" w:cs="Times New Roman"/>
          <w:i/>
          <w:sz w:val="24"/>
        </w:rPr>
        <w:t xml:space="preserve">The article is devoted to an overview of modern robots with a video monitoring system, their main components, as well as assembly specifications and technology. In this research paper, the structure of different generations of robots and their differences </w:t>
      </w:r>
      <w:r>
        <w:rPr>
          <w:rFonts w:ascii="Times New Roman" w:eastAsia="Times New Roman" w:hAnsi="Times New Roman" w:cs="Times New Roman"/>
          <w:i/>
          <w:sz w:val="24"/>
        </w:rPr>
        <w:t>were proposed. Analysis of current developments in the field of robots with a video monitoring system for various structures. The main requirements for various robots and possible designs of propellers and their features affecting the technical and tactica</w:t>
      </w:r>
      <w:r>
        <w:rPr>
          <w:rFonts w:ascii="Times New Roman" w:eastAsia="Times New Roman" w:hAnsi="Times New Roman" w:cs="Times New Roman"/>
          <w:i/>
          <w:sz w:val="24"/>
        </w:rPr>
        <w:t>l characteristics of the product are described.</w:t>
      </w:r>
      <w:r>
        <w:rPr>
          <w:rFonts w:ascii="Times New Roman" w:eastAsia="Times New Roman" w:hAnsi="Times New Roman" w:cs="Times New Roman"/>
          <w:b/>
          <w:i/>
          <w:sz w:val="24"/>
        </w:rPr>
        <w:t xml:space="preserve"> </w:t>
      </w:r>
    </w:p>
    <w:p w:rsidR="0052701D" w:rsidRDefault="00D40929">
      <w:pPr>
        <w:spacing w:after="29" w:line="248" w:lineRule="auto"/>
        <w:ind w:left="711"/>
        <w:jc w:val="both"/>
      </w:pPr>
      <w:r>
        <w:rPr>
          <w:rFonts w:ascii="Times New Roman" w:eastAsia="Times New Roman" w:hAnsi="Times New Roman" w:cs="Times New Roman"/>
          <w:b/>
          <w:i/>
          <w:sz w:val="24"/>
        </w:rPr>
        <w:t>Keywords:</w:t>
      </w:r>
      <w:r>
        <w:rPr>
          <w:i/>
          <w:sz w:val="24"/>
        </w:rPr>
        <w:t xml:space="preserve"> </w:t>
      </w:r>
      <w:r>
        <w:rPr>
          <w:rFonts w:ascii="Times New Roman" w:eastAsia="Times New Roman" w:hAnsi="Times New Roman" w:cs="Times New Roman"/>
          <w:i/>
          <w:sz w:val="24"/>
        </w:rPr>
        <w:t>robot, chassis, video surveillance, classification of robots, differences, requirements,</w:t>
      </w:r>
      <w:r>
        <w:rPr>
          <w:sz w:val="24"/>
        </w:rPr>
        <w:t xml:space="preserve"> </w:t>
      </w:r>
      <w:r>
        <w:rPr>
          <w:rFonts w:ascii="Times New Roman" w:eastAsia="Times New Roman" w:hAnsi="Times New Roman" w:cs="Times New Roman"/>
          <w:i/>
          <w:sz w:val="24"/>
        </w:rPr>
        <w:t xml:space="preserve">possible designs </w:t>
      </w:r>
    </w:p>
    <w:p w:rsidR="0052701D" w:rsidRDefault="00D40929">
      <w:pPr>
        <w:spacing w:after="16"/>
      </w:pPr>
      <w:r>
        <w:rPr>
          <w:rFonts w:ascii="Times New Roman" w:eastAsia="Times New Roman" w:hAnsi="Times New Roman" w:cs="Times New Roman"/>
          <w:b/>
          <w:sz w:val="24"/>
        </w:rPr>
        <w:t xml:space="preserve"> </w:t>
      </w:r>
    </w:p>
    <w:p w:rsidR="0052701D" w:rsidRDefault="00D40929">
      <w:pPr>
        <w:spacing w:after="5" w:line="271" w:lineRule="auto"/>
        <w:ind w:left="173" w:right="213" w:hanging="10"/>
        <w:jc w:val="center"/>
      </w:pPr>
      <w:r>
        <w:rPr>
          <w:rFonts w:ascii="Times New Roman" w:eastAsia="Times New Roman" w:hAnsi="Times New Roman" w:cs="Times New Roman"/>
          <w:b/>
          <w:sz w:val="28"/>
        </w:rPr>
        <w:t xml:space="preserve">ОБЗОР СОВРЕМЕННЫХ РОБОТОВ С СИСТЕМОЙ ВИДЕОНАБЛЮДЕНИЯ </w:t>
      </w:r>
    </w:p>
    <w:p w:rsidR="0052701D" w:rsidRDefault="00D40929">
      <w:pPr>
        <w:spacing w:after="16"/>
        <w:ind w:left="21"/>
        <w:jc w:val="center"/>
      </w:pPr>
      <w:r>
        <w:rPr>
          <w:rFonts w:ascii="Times New Roman" w:eastAsia="Times New Roman" w:hAnsi="Times New Roman" w:cs="Times New Roman"/>
          <w:b/>
          <w:sz w:val="24"/>
        </w:rPr>
        <w:t xml:space="preserve"> </w:t>
      </w:r>
    </w:p>
    <w:p w:rsidR="0052701D" w:rsidRDefault="00D40929">
      <w:pPr>
        <w:spacing w:after="36" w:line="248" w:lineRule="auto"/>
        <w:ind w:left="713" w:right="749" w:hanging="5"/>
        <w:jc w:val="center"/>
      </w:pPr>
      <w:r>
        <w:rPr>
          <w:rFonts w:ascii="Times New Roman" w:eastAsia="Times New Roman" w:hAnsi="Times New Roman" w:cs="Times New Roman"/>
          <w:sz w:val="24"/>
        </w:rPr>
        <w:t xml:space="preserve">Абуов Альяс Дджамильевич </w:t>
      </w:r>
    </w:p>
    <w:p w:rsidR="0052701D" w:rsidRDefault="00D40929">
      <w:pPr>
        <w:spacing w:after="29" w:line="248" w:lineRule="auto"/>
        <w:ind w:left="975" w:right="14"/>
        <w:jc w:val="both"/>
      </w:pPr>
      <w:r>
        <w:rPr>
          <w:rFonts w:ascii="Times New Roman" w:eastAsia="Times New Roman" w:hAnsi="Times New Roman" w:cs="Times New Roman"/>
          <w:sz w:val="24"/>
        </w:rPr>
        <w:t xml:space="preserve">НАО «Алматинский университет энергетики и связи имени Гумарбека Даукеева» </w:t>
      </w:r>
    </w:p>
    <w:p w:rsidR="0052701D" w:rsidRDefault="00D40929">
      <w:pPr>
        <w:spacing w:after="14" w:line="248" w:lineRule="auto"/>
        <w:ind w:left="713" w:right="44" w:hanging="5"/>
        <w:jc w:val="center"/>
      </w:pPr>
      <w:r>
        <w:rPr>
          <w:rFonts w:ascii="Times New Roman" w:eastAsia="Times New Roman" w:hAnsi="Times New Roman" w:cs="Times New Roman"/>
          <w:sz w:val="24"/>
        </w:rPr>
        <w:t xml:space="preserve">г.Алматы, Казахстан </w:t>
      </w:r>
    </w:p>
    <w:p w:rsidR="0052701D" w:rsidRDefault="00D40929">
      <w:pPr>
        <w:spacing w:after="14" w:line="248" w:lineRule="auto"/>
        <w:ind w:left="713" w:right="45" w:hanging="5"/>
        <w:jc w:val="center"/>
      </w:pPr>
      <w:r>
        <w:rPr>
          <w:rFonts w:ascii="Times New Roman" w:eastAsia="Times New Roman" w:hAnsi="Times New Roman" w:cs="Times New Roman"/>
          <w:sz w:val="24"/>
        </w:rPr>
        <w:t xml:space="preserve">e-mail:a.abuov@aues.kz </w:t>
      </w:r>
    </w:p>
    <w:p w:rsidR="0052701D" w:rsidRDefault="00D40929">
      <w:pPr>
        <w:spacing w:after="12"/>
      </w:pPr>
      <w:r>
        <w:rPr>
          <w:rFonts w:ascii="Times New Roman" w:eastAsia="Times New Roman" w:hAnsi="Times New Roman" w:cs="Times New Roman"/>
          <w:b/>
          <w:i/>
          <w:sz w:val="20"/>
        </w:rPr>
        <w:t xml:space="preserve"> </w:t>
      </w:r>
    </w:p>
    <w:p w:rsidR="0052701D" w:rsidRDefault="00D40929">
      <w:pPr>
        <w:spacing w:after="0" w:line="248" w:lineRule="auto"/>
        <w:ind w:left="9" w:firstLine="711"/>
        <w:jc w:val="both"/>
      </w:pPr>
      <w:r>
        <w:rPr>
          <w:rFonts w:ascii="Times New Roman" w:eastAsia="Times New Roman" w:hAnsi="Times New Roman" w:cs="Times New Roman"/>
          <w:b/>
          <w:i/>
          <w:sz w:val="24"/>
        </w:rPr>
        <w:t xml:space="preserve">Аннотация. </w:t>
      </w:r>
      <w:r>
        <w:rPr>
          <w:rFonts w:ascii="Times New Roman" w:eastAsia="Times New Roman" w:hAnsi="Times New Roman" w:cs="Times New Roman"/>
          <w:i/>
          <w:sz w:val="24"/>
        </w:rPr>
        <w:t>Статья посвящена обзору современных роботов с системой видеоконтроля, их основным компонентам а также спецификации сборки и технологии. В данной научно исследовательской работе была предложена структура различных поколений роботов и их отличия. Анализ теку</w:t>
      </w:r>
      <w:r>
        <w:rPr>
          <w:rFonts w:ascii="Times New Roman" w:eastAsia="Times New Roman" w:hAnsi="Times New Roman" w:cs="Times New Roman"/>
          <w:i/>
          <w:sz w:val="24"/>
        </w:rPr>
        <w:t>щих разработок в области роботов с системой видеоконтроля для различных структур. Описываются основные требования предъявляемые к различным роботам и возможные конструкции движителей и их особенности, влияющие на технико-тактические характеристики изделия.</w:t>
      </w:r>
      <w:r>
        <w:rPr>
          <w:rFonts w:ascii="Times New Roman" w:eastAsia="Times New Roman" w:hAnsi="Times New Roman" w:cs="Times New Roman"/>
          <w:i/>
          <w:sz w:val="24"/>
        </w:rPr>
        <w:t xml:space="preserve"> </w:t>
      </w:r>
    </w:p>
    <w:p w:rsidR="0052701D" w:rsidRDefault="00D40929">
      <w:pPr>
        <w:spacing w:after="29" w:line="248" w:lineRule="auto"/>
        <w:ind w:left="9" w:firstLine="711"/>
        <w:jc w:val="both"/>
      </w:pPr>
      <w:r>
        <w:rPr>
          <w:rFonts w:ascii="Times New Roman" w:eastAsia="Times New Roman" w:hAnsi="Times New Roman" w:cs="Times New Roman"/>
          <w:b/>
          <w:i/>
          <w:sz w:val="24"/>
        </w:rPr>
        <w:t xml:space="preserve">Ключевые слова: </w:t>
      </w:r>
      <w:r>
        <w:rPr>
          <w:rFonts w:ascii="Times New Roman" w:eastAsia="Times New Roman" w:hAnsi="Times New Roman" w:cs="Times New Roman"/>
          <w:i/>
          <w:sz w:val="24"/>
        </w:rPr>
        <w:t>робот, шасси, видеоконтроль, классификация роботов, различия, требования,</w:t>
      </w:r>
      <w:r>
        <w:rPr>
          <w:rFonts w:ascii="Times New Roman" w:eastAsia="Times New Roman" w:hAnsi="Times New Roman" w:cs="Times New Roman"/>
          <w:sz w:val="24"/>
        </w:rPr>
        <w:t xml:space="preserve"> </w:t>
      </w:r>
      <w:r>
        <w:rPr>
          <w:rFonts w:ascii="Times New Roman" w:eastAsia="Times New Roman" w:hAnsi="Times New Roman" w:cs="Times New Roman"/>
          <w:i/>
          <w:sz w:val="24"/>
        </w:rPr>
        <w:t xml:space="preserve">возможные конструкции </w:t>
      </w:r>
    </w:p>
    <w:p w:rsidR="0052701D" w:rsidRDefault="00D40929">
      <w:pPr>
        <w:spacing w:after="12"/>
      </w:pPr>
      <w:r>
        <w:rPr>
          <w:rFonts w:ascii="Times New Roman" w:eastAsia="Times New Roman" w:hAnsi="Times New Roman" w:cs="Times New Roman"/>
          <w:sz w:val="24"/>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In carrying out various tasks, technical means are increasingly used to reduce the risk of law enforcement officers. One of the most danger</w:t>
      </w:r>
      <w:r>
        <w:rPr>
          <w:rFonts w:ascii="Times New Roman" w:eastAsia="Times New Roman" w:hAnsi="Times New Roman" w:cs="Times New Roman"/>
          <w:sz w:val="28"/>
        </w:rPr>
        <w:t>ous tasks performed by reconnaissance, motorized infantry and special units is reconnaissance and inspection of various premises in urban areas (including private homes). Many countries around the world are developing autonomous robots for reconnaissance a</w:t>
      </w:r>
      <w:r>
        <w:rPr>
          <w:rFonts w:ascii="Times New Roman" w:eastAsia="Times New Roman" w:hAnsi="Times New Roman" w:cs="Times New Roman"/>
          <w:sz w:val="28"/>
        </w:rPr>
        <w:t xml:space="preserve">nd surveillance in special operations. The use of mobile robots in search operations leads to a reduction in the risk of personnel's lives. The experience gained by foreign military units in recent military conflicts shows the effectiveness of their use. </w:t>
      </w:r>
    </w:p>
    <w:p w:rsidR="0052701D" w:rsidRDefault="00D40929">
      <w:pPr>
        <w:spacing w:after="5" w:line="271" w:lineRule="auto"/>
        <w:ind w:left="9" w:right="64" w:firstLine="711"/>
        <w:jc w:val="both"/>
      </w:pPr>
      <w:r>
        <w:rPr>
          <w:rFonts w:ascii="Times New Roman" w:eastAsia="Times New Roman" w:hAnsi="Times New Roman" w:cs="Times New Roman"/>
          <w:sz w:val="28"/>
        </w:rPr>
        <w:lastRenderedPageBreak/>
        <w:t>The greatest activity in this field has been observed in recent years. This is due to the development of electronics and technology, the reduction of the size of electronic components, its widespread introduction into various spheres of activity, the incre</w:t>
      </w:r>
      <w:r>
        <w:rPr>
          <w:rFonts w:ascii="Times New Roman" w:eastAsia="Times New Roman" w:hAnsi="Times New Roman" w:cs="Times New Roman"/>
          <w:sz w:val="28"/>
        </w:rPr>
        <w:t>ase in the range of manufactured products and the reduction of the cost of equipment. Taken together, these trends have led to the fact that the equipment necessary to create various robots has become affordable even for private individuals. Another import</w:t>
      </w:r>
      <w:r>
        <w:rPr>
          <w:rFonts w:ascii="Times New Roman" w:eastAsia="Times New Roman" w:hAnsi="Times New Roman" w:cs="Times New Roman"/>
          <w:sz w:val="28"/>
        </w:rPr>
        <w:t xml:space="preserve">ant factor is the growing demand for these devices. </w:t>
      </w:r>
    </w:p>
    <w:p w:rsidR="0052701D" w:rsidRDefault="00D40929">
      <w:pPr>
        <w:spacing w:after="5" w:line="271" w:lineRule="auto"/>
        <w:ind w:left="9" w:right="64" w:firstLine="711"/>
        <w:jc w:val="both"/>
      </w:pPr>
      <w:r>
        <w:rPr>
          <w:rFonts w:ascii="Times New Roman" w:eastAsia="Times New Roman" w:hAnsi="Times New Roman" w:cs="Times New Roman"/>
          <w:sz w:val="28"/>
        </w:rPr>
        <w:t>Autonomous robots with video control have a number of requirements, which determine their design. The most important requirement is the mass-dimensionality. Dimensions should allow the robot to pass betw</w:t>
      </w:r>
      <w:r>
        <w:rPr>
          <w:rFonts w:ascii="Times New Roman" w:eastAsia="Times New Roman" w:hAnsi="Times New Roman" w:cs="Times New Roman"/>
          <w:sz w:val="28"/>
        </w:rPr>
        <w:t>een rubble, doorways and wall penetrations. The possibility of throwing the robot through windows is often considered. To achieve the necessary cross-country capability, the mobile robot must be equipped with a sufficiently powerful engine. Medium-sized ro</w:t>
      </w:r>
      <w:r>
        <w:rPr>
          <w:rFonts w:ascii="Times New Roman" w:eastAsia="Times New Roman" w:hAnsi="Times New Roman" w:cs="Times New Roman"/>
          <w:sz w:val="28"/>
        </w:rPr>
        <w:t xml:space="preserve">bots must have the ability to transport loads and carry various attachments. An extremely important parameter is the mobility of the model. </w:t>
      </w:r>
    </w:p>
    <w:p w:rsidR="0052701D" w:rsidRDefault="00D40929">
      <w:pPr>
        <w:spacing w:after="5" w:line="271" w:lineRule="auto"/>
        <w:ind w:left="9" w:right="64" w:firstLine="711"/>
        <w:jc w:val="both"/>
      </w:pPr>
      <w:r>
        <w:rPr>
          <w:rFonts w:ascii="Times New Roman" w:eastAsia="Times New Roman" w:hAnsi="Times New Roman" w:cs="Times New Roman"/>
          <w:sz w:val="28"/>
        </w:rPr>
        <w:t>Telecontrol systems installed on robots and video signal transmitters from surveillance cameras must ensure a stabl</w:t>
      </w:r>
      <w:r>
        <w:rPr>
          <w:rFonts w:ascii="Times New Roman" w:eastAsia="Times New Roman" w:hAnsi="Times New Roman" w:cs="Times New Roman"/>
          <w:sz w:val="28"/>
        </w:rPr>
        <w:t xml:space="preserve">e signal at a distance of at least 50 meters from the operator indoors and at least one kilometer in the open field [3]. </w:t>
      </w:r>
    </w:p>
    <w:p w:rsidR="0052701D" w:rsidRDefault="00D40929">
      <w:pPr>
        <w:spacing w:after="5" w:line="271" w:lineRule="auto"/>
        <w:ind w:left="9" w:right="64" w:firstLine="711"/>
        <w:jc w:val="both"/>
      </w:pPr>
      <w:r>
        <w:rPr>
          <w:rFonts w:ascii="Times New Roman" w:eastAsia="Times New Roman" w:hAnsi="Times New Roman" w:cs="Times New Roman"/>
          <w:sz w:val="28"/>
        </w:rPr>
        <w:t>These characteristics are ensured by using composite materials of the robot body, energy-efficient drive motors with large tractive fo</w:t>
      </w:r>
      <w:r>
        <w:rPr>
          <w:rFonts w:ascii="Times New Roman" w:eastAsia="Times New Roman" w:hAnsi="Times New Roman" w:cs="Times New Roman"/>
          <w:sz w:val="28"/>
        </w:rPr>
        <w:t xml:space="preserve">rce and small size, the use of different propulsion systems (wheeled or tracked).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Since the possibility of dying during reconnaissance operations is very high cost of mobile robots must be minimal. </w:t>
      </w:r>
    </w:p>
    <w:p w:rsidR="0052701D" w:rsidRDefault="00D40929">
      <w:pPr>
        <w:spacing w:after="5" w:line="271" w:lineRule="auto"/>
        <w:ind w:left="9" w:right="64" w:firstLine="711"/>
        <w:jc w:val="both"/>
      </w:pPr>
      <w:r>
        <w:rPr>
          <w:rFonts w:ascii="Times New Roman" w:eastAsia="Times New Roman" w:hAnsi="Times New Roman" w:cs="Times New Roman"/>
          <w:sz w:val="28"/>
        </w:rPr>
        <w:t>Recently, the tendency to create robots on a modular sys</w:t>
      </w:r>
      <w:r>
        <w:rPr>
          <w:rFonts w:ascii="Times New Roman" w:eastAsia="Times New Roman" w:hAnsi="Times New Roman" w:cs="Times New Roman"/>
          <w:sz w:val="28"/>
        </w:rPr>
        <w:t xml:space="preserve">tem. Under this system, to perform specific tasks the robot is collected from several typical modules that can operate autonomously. </w:t>
      </w:r>
    </w:p>
    <w:p w:rsidR="0052701D" w:rsidRDefault="00D40929">
      <w:pPr>
        <w:spacing w:after="5" w:line="271" w:lineRule="auto"/>
        <w:ind w:left="9" w:right="64" w:firstLine="711"/>
        <w:jc w:val="both"/>
      </w:pPr>
      <w:r>
        <w:rPr>
          <w:rFonts w:ascii="Times New Roman" w:eastAsia="Times New Roman" w:hAnsi="Times New Roman" w:cs="Times New Roman"/>
          <w:sz w:val="28"/>
        </w:rPr>
        <w:t>Mobile robots need to have sufficient time of active work on a single battery charge - in the range from 30 minutes to 2-3</w:t>
      </w:r>
      <w:r>
        <w:rPr>
          <w:rFonts w:ascii="Times New Roman" w:eastAsia="Times New Roman" w:hAnsi="Times New Roman" w:cs="Times New Roman"/>
          <w:sz w:val="28"/>
        </w:rPr>
        <w:t xml:space="preserve"> hours or more [3]. They must be able to quickly recharge or even change the power cells, and the weight of the batteries must be minimal. </w:t>
      </w:r>
    </w:p>
    <w:p w:rsidR="0052701D" w:rsidRDefault="00D40929">
      <w:pPr>
        <w:spacing w:after="5" w:line="271" w:lineRule="auto"/>
        <w:ind w:left="9" w:right="64" w:firstLine="711"/>
        <w:jc w:val="both"/>
      </w:pPr>
      <w:r>
        <w:rPr>
          <w:rFonts w:ascii="Times New Roman" w:eastAsia="Times New Roman" w:hAnsi="Times New Roman" w:cs="Times New Roman"/>
          <w:sz w:val="28"/>
        </w:rPr>
        <w:t>To increase the survivability of scout robots it is possible to use an armored body. However, this improvement leads</w:t>
      </w:r>
      <w:r>
        <w:rPr>
          <w:rFonts w:ascii="Times New Roman" w:eastAsia="Times New Roman" w:hAnsi="Times New Roman" w:cs="Times New Roman"/>
          <w:sz w:val="28"/>
        </w:rPr>
        <w:t xml:space="preserve"> to an increase in the mass-dimensional and cost characteristics of the model, which does not meet the needs of consumers and does not lead to a significant increase in performance. Therefore, most often the body of the robot protects only from falling and</w:t>
      </w:r>
      <w:r>
        <w:rPr>
          <w:rFonts w:ascii="Times New Roman" w:eastAsia="Times New Roman" w:hAnsi="Times New Roman" w:cs="Times New Roman"/>
          <w:sz w:val="28"/>
        </w:rPr>
        <w:t xml:space="preserve"> exposure to external environment. </w:t>
      </w:r>
    </w:p>
    <w:p w:rsidR="0052701D" w:rsidRDefault="00D40929">
      <w:pPr>
        <w:spacing w:after="5" w:line="271" w:lineRule="auto"/>
        <w:ind w:left="711" w:right="64"/>
        <w:jc w:val="both"/>
      </w:pPr>
      <w:r>
        <w:rPr>
          <w:rFonts w:ascii="Times New Roman" w:eastAsia="Times New Roman" w:hAnsi="Times New Roman" w:cs="Times New Roman"/>
          <w:sz w:val="28"/>
        </w:rPr>
        <w:t xml:space="preserve">We can distinguish the following leading companies in the robotics market: </w:t>
      </w:r>
    </w:p>
    <w:p w:rsidR="0052701D" w:rsidRDefault="00D40929">
      <w:pPr>
        <w:numPr>
          <w:ilvl w:val="0"/>
          <w:numId w:val="31"/>
        </w:numPr>
        <w:spacing w:after="5" w:line="271" w:lineRule="auto"/>
        <w:ind w:right="64" w:firstLine="711"/>
        <w:jc w:val="both"/>
      </w:pPr>
      <w:r>
        <w:rPr>
          <w:rFonts w:ascii="Times New Roman" w:eastAsia="Times New Roman" w:hAnsi="Times New Roman" w:cs="Times New Roman"/>
          <w:sz w:val="28"/>
        </w:rPr>
        <w:t xml:space="preserve">FANUC (Japan) - </w:t>
      </w:r>
      <w:r>
        <w:rPr>
          <w:rFonts w:ascii="Times New Roman" w:eastAsia="Times New Roman" w:hAnsi="Times New Roman" w:cs="Times New Roman"/>
          <w:sz w:val="28"/>
        </w:rPr>
        <w:t xml:space="preserve">one of the world leaders in industrial automation, machine tool engineering, CNC and robotics. The manufacturer entered the market in 1956, and in 1972 it presented its first industrial robot. The company has a division </w:t>
      </w:r>
      <w:r>
        <w:rPr>
          <w:rFonts w:ascii="Times New Roman" w:eastAsia="Times New Roman" w:hAnsi="Times New Roman" w:cs="Times New Roman"/>
          <w:sz w:val="28"/>
        </w:rPr>
        <w:lastRenderedPageBreak/>
        <w:t>FANUC Robotics with a network of off</w:t>
      </w:r>
      <w:r>
        <w:rPr>
          <w:rFonts w:ascii="Times New Roman" w:eastAsia="Times New Roman" w:hAnsi="Times New Roman" w:cs="Times New Roman"/>
          <w:sz w:val="28"/>
        </w:rPr>
        <w:t xml:space="preserve">ices. There are about 200,000 robots of this company in the world, a tenth of which are in Europe and Russia; </w:t>
      </w:r>
    </w:p>
    <w:p w:rsidR="0052701D" w:rsidRDefault="00D40929">
      <w:pPr>
        <w:numPr>
          <w:ilvl w:val="0"/>
          <w:numId w:val="31"/>
        </w:numPr>
        <w:spacing w:after="5" w:line="271" w:lineRule="auto"/>
        <w:ind w:right="64" w:firstLine="711"/>
        <w:jc w:val="both"/>
      </w:pPr>
      <w:r>
        <w:rPr>
          <w:rFonts w:ascii="Times New Roman" w:eastAsia="Times New Roman" w:hAnsi="Times New Roman" w:cs="Times New Roman"/>
          <w:sz w:val="28"/>
        </w:rPr>
        <w:t xml:space="preserve">KUKA (Keller und Knappich Augsburg) (GERMANY) was founded in 1898 in Augsburg. In 1973 the company introduced its first industrial robot FAMULUS </w:t>
      </w:r>
      <w:r>
        <w:rPr>
          <w:rFonts w:ascii="Times New Roman" w:eastAsia="Times New Roman" w:hAnsi="Times New Roman" w:cs="Times New Roman"/>
          <w:sz w:val="28"/>
        </w:rPr>
        <w:t xml:space="preserve">which had six axes and electromechanical control. KUKA robots are used in many industries around the world, from automobile manufacturing and metallurgy to food processing; </w:t>
      </w:r>
    </w:p>
    <w:p w:rsidR="0052701D" w:rsidRDefault="00D40929">
      <w:pPr>
        <w:numPr>
          <w:ilvl w:val="0"/>
          <w:numId w:val="31"/>
        </w:numPr>
        <w:spacing w:after="5" w:line="271" w:lineRule="auto"/>
        <w:ind w:right="64" w:firstLine="711"/>
        <w:jc w:val="both"/>
      </w:pPr>
      <w:r>
        <w:rPr>
          <w:rFonts w:ascii="Times New Roman" w:eastAsia="Times New Roman" w:hAnsi="Times New Roman" w:cs="Times New Roman"/>
          <w:sz w:val="28"/>
        </w:rPr>
        <w:t xml:space="preserve">ABB (Asea Brown Boveri Ltd.) (SWEDEN, SWITZERLAND) - the company was born in 1988 </w:t>
      </w:r>
      <w:r>
        <w:rPr>
          <w:rFonts w:ascii="Times New Roman" w:eastAsia="Times New Roman" w:hAnsi="Times New Roman" w:cs="Times New Roman"/>
          <w:sz w:val="28"/>
        </w:rPr>
        <w:t>as a result of a merger between the Swedish ASEA and the Swiss Brown, Boveri &amp; Cie. It specializes not only in robotics, but also in electrical engineering, special equipment, energy engineering and information technology. The company also produces softwar</w:t>
      </w:r>
      <w:r>
        <w:rPr>
          <w:rFonts w:ascii="Times New Roman" w:eastAsia="Times New Roman" w:hAnsi="Times New Roman" w:cs="Times New Roman"/>
          <w:sz w:val="28"/>
        </w:rPr>
        <w:t xml:space="preserve">e for simulation of robotic systems, special software for welding and plastic processing, production cells, complete systems for the automotive industry; </w:t>
      </w:r>
    </w:p>
    <w:p w:rsidR="0052701D" w:rsidRDefault="00D40929">
      <w:pPr>
        <w:numPr>
          <w:ilvl w:val="0"/>
          <w:numId w:val="31"/>
        </w:numPr>
        <w:spacing w:after="5" w:line="271" w:lineRule="auto"/>
        <w:ind w:right="64" w:firstLine="711"/>
        <w:jc w:val="both"/>
      </w:pPr>
      <w:r>
        <w:rPr>
          <w:rFonts w:ascii="Times New Roman" w:eastAsia="Times New Roman" w:hAnsi="Times New Roman" w:cs="Times New Roman"/>
          <w:sz w:val="28"/>
        </w:rPr>
        <w:t xml:space="preserve">KAWASAKI (JAPAN) - this corporation was established in 1896 and today is known as one of the world's </w:t>
      </w:r>
      <w:r>
        <w:rPr>
          <w:rFonts w:ascii="Times New Roman" w:eastAsia="Times New Roman" w:hAnsi="Times New Roman" w:cs="Times New Roman"/>
          <w:sz w:val="28"/>
        </w:rPr>
        <w:t xml:space="preserve">largest industrial concerns.Industrial robots from Kawasaki robotics are used for work in explosive, aggressive, sterile and hightemperature environments, etc. They have a lifting capacity of up to 1500 kg; </w:t>
      </w:r>
    </w:p>
    <w:p w:rsidR="0052701D" w:rsidRDefault="00D40929">
      <w:pPr>
        <w:numPr>
          <w:ilvl w:val="0"/>
          <w:numId w:val="31"/>
        </w:numPr>
        <w:spacing w:after="5" w:line="271" w:lineRule="auto"/>
        <w:ind w:right="64" w:firstLine="711"/>
        <w:jc w:val="both"/>
      </w:pPr>
      <w:r>
        <w:rPr>
          <w:rFonts w:ascii="Times New Roman" w:eastAsia="Times New Roman" w:hAnsi="Times New Roman" w:cs="Times New Roman"/>
          <w:sz w:val="28"/>
        </w:rPr>
        <w:t xml:space="preserve">MOTOMAN (YASKAWA) (JAPAN, USA) Motoman Robotics </w:t>
      </w:r>
      <w:r>
        <w:rPr>
          <w:rFonts w:ascii="Times New Roman" w:eastAsia="Times New Roman" w:hAnsi="Times New Roman" w:cs="Times New Roman"/>
          <w:sz w:val="28"/>
        </w:rPr>
        <w:t>- the company was established in 1989, and today it produces about 175 models of robots and has developed 40 ready integration solutions which are used for specific tasks. The corporation is the market leader in manufacturing in North and South America. sp</w:t>
      </w:r>
      <w:r>
        <w:rPr>
          <w:rFonts w:ascii="Times New Roman" w:eastAsia="Times New Roman" w:hAnsi="Times New Roman" w:cs="Times New Roman"/>
          <w:sz w:val="28"/>
        </w:rPr>
        <w:t xml:space="preserve">ecializes in industrial robots for arc welding, cutting, material handling and welding different metals; </w:t>
      </w:r>
    </w:p>
    <w:p w:rsidR="0052701D" w:rsidRDefault="00D40929">
      <w:pPr>
        <w:numPr>
          <w:ilvl w:val="0"/>
          <w:numId w:val="32"/>
        </w:numPr>
        <w:spacing w:after="5" w:line="271" w:lineRule="auto"/>
        <w:ind w:right="64" w:firstLine="711"/>
        <w:jc w:val="both"/>
      </w:pPr>
      <w:r>
        <w:rPr>
          <w:rFonts w:ascii="Times New Roman" w:eastAsia="Times New Roman" w:hAnsi="Times New Roman" w:cs="Times New Roman"/>
          <w:sz w:val="28"/>
        </w:rPr>
        <w:t>PANASONIC (JAPAN) - company is not only famous for production of electronic goods and home appliances, but also one of the market leaders in industria</w:t>
      </w:r>
      <w:r>
        <w:rPr>
          <w:rFonts w:ascii="Times New Roman" w:eastAsia="Times New Roman" w:hAnsi="Times New Roman" w:cs="Times New Roman"/>
          <w:sz w:val="28"/>
        </w:rPr>
        <w:t xml:space="preserve">l robotics for different tasks and welding equipment. The company managed to create a robot which is programmed from a single control panel. Thanks to the new technology, sales of Panasonic welding robots have reached 40,000 worldwide; </w:t>
      </w:r>
    </w:p>
    <w:p w:rsidR="0052701D" w:rsidRDefault="00D40929">
      <w:pPr>
        <w:numPr>
          <w:ilvl w:val="0"/>
          <w:numId w:val="32"/>
        </w:numPr>
        <w:spacing w:after="5" w:line="271" w:lineRule="auto"/>
        <w:ind w:right="64" w:firstLine="711"/>
        <w:jc w:val="both"/>
      </w:pPr>
      <w:r>
        <w:rPr>
          <w:rFonts w:ascii="Times New Roman" w:eastAsia="Times New Roman" w:hAnsi="Times New Roman" w:cs="Times New Roman"/>
          <w:sz w:val="28"/>
        </w:rPr>
        <w:t>KC ROBOTICS , Inc (</w:t>
      </w:r>
      <w:r>
        <w:rPr>
          <w:rFonts w:ascii="Times New Roman" w:eastAsia="Times New Roman" w:hAnsi="Times New Roman" w:cs="Times New Roman"/>
          <w:sz w:val="28"/>
        </w:rPr>
        <w:t xml:space="preserve">USA) - entered the market in 1990. The company, which specializes in a wide range of industrial robots, products and services, serves all branches of industrial robots, as well as manufacturing and material handling; </w:t>
      </w:r>
    </w:p>
    <w:p w:rsidR="0052701D" w:rsidRDefault="00D40929">
      <w:pPr>
        <w:numPr>
          <w:ilvl w:val="0"/>
          <w:numId w:val="32"/>
        </w:numPr>
        <w:spacing w:after="5" w:line="271" w:lineRule="auto"/>
        <w:ind w:right="64" w:firstLine="711"/>
        <w:jc w:val="both"/>
      </w:pPr>
      <w:r>
        <w:rPr>
          <w:rFonts w:ascii="Times New Roman" w:eastAsia="Times New Roman" w:hAnsi="Times New Roman" w:cs="Times New Roman"/>
          <w:sz w:val="28"/>
        </w:rPr>
        <w:t xml:space="preserve">TRITON MANUFACTURING (USA) is a company known for development of flexible power supply systems, soldered electrical components. The devices produced provide power transmission for computers, telecommunications, aerospace, etc; </w:t>
      </w:r>
    </w:p>
    <w:p w:rsidR="0052701D" w:rsidRDefault="00D40929">
      <w:pPr>
        <w:numPr>
          <w:ilvl w:val="0"/>
          <w:numId w:val="32"/>
        </w:numPr>
        <w:spacing w:after="5" w:line="271" w:lineRule="auto"/>
        <w:ind w:right="64" w:firstLine="711"/>
        <w:jc w:val="both"/>
      </w:pPr>
      <w:r>
        <w:rPr>
          <w:rFonts w:ascii="Times New Roman" w:eastAsia="Times New Roman" w:hAnsi="Times New Roman" w:cs="Times New Roman"/>
          <w:sz w:val="28"/>
        </w:rPr>
        <w:t>KAMAN CORPORATION (USA) - co</w:t>
      </w:r>
      <w:r>
        <w:rPr>
          <w:rFonts w:ascii="Times New Roman" w:eastAsia="Times New Roman" w:hAnsi="Times New Roman" w:cs="Times New Roman"/>
          <w:sz w:val="28"/>
        </w:rPr>
        <w:t xml:space="preserve">mpany with more than 200 branches and centers, the largest industrial distributor in North America. It manufactures bearings, mechanical and electrical devices for power transmission and </w:t>
      </w:r>
      <w:r>
        <w:rPr>
          <w:rFonts w:ascii="Times New Roman" w:eastAsia="Times New Roman" w:hAnsi="Times New Roman" w:cs="Times New Roman"/>
          <w:sz w:val="28"/>
        </w:rPr>
        <w:lastRenderedPageBreak/>
        <w:t>motion control, material and fluid handling, and other devices used i</w:t>
      </w:r>
      <w:r>
        <w:rPr>
          <w:rFonts w:ascii="Times New Roman" w:eastAsia="Times New Roman" w:hAnsi="Times New Roman" w:cs="Times New Roman"/>
          <w:sz w:val="28"/>
        </w:rPr>
        <w:t xml:space="preserve">n industrial and military robotics. </w:t>
      </w:r>
    </w:p>
    <w:p w:rsidR="0052701D" w:rsidRDefault="00D40929">
      <w:pPr>
        <w:spacing w:after="5" w:line="271" w:lineRule="auto"/>
        <w:ind w:left="110" w:right="64" w:firstLine="711"/>
        <w:jc w:val="both"/>
      </w:pPr>
      <w:r>
        <w:rPr>
          <w:rFonts w:ascii="Times New Roman" w:eastAsia="Times New Roman" w:hAnsi="Times New Roman" w:cs="Times New Roman"/>
          <w:sz w:val="28"/>
        </w:rPr>
        <w:t>Today there are many CAD / CAM-systems (software systems), allowing the easiest to carry out as 3d-modeling of products, the robots themselves, the necessary equipment, etc., as well as the programming of industrial rob</w:t>
      </w:r>
      <w:r>
        <w:rPr>
          <w:rFonts w:ascii="Times New Roman" w:eastAsia="Times New Roman" w:hAnsi="Times New Roman" w:cs="Times New Roman"/>
          <w:sz w:val="28"/>
        </w:rPr>
        <w:t xml:space="preserve">ots. </w:t>
      </w:r>
    </w:p>
    <w:p w:rsidR="0052701D" w:rsidRDefault="00D40929">
      <w:pPr>
        <w:spacing w:after="5" w:line="271" w:lineRule="auto"/>
        <w:ind w:left="110" w:right="64" w:firstLine="711"/>
        <w:jc w:val="both"/>
      </w:pPr>
      <w:r>
        <w:rPr>
          <w:rFonts w:ascii="Times New Roman" w:eastAsia="Times New Roman" w:hAnsi="Times New Roman" w:cs="Times New Roman"/>
          <w:sz w:val="28"/>
        </w:rPr>
        <w:t>The largest number of developments of mobile robots is carried out in the U.S.. The leading companies are iRobot, QinetiQ and Boston Dynamics. Their development is conducted in close cooperation with the army and with direct funding from the U.S. Sta</w:t>
      </w:r>
      <w:r>
        <w:rPr>
          <w:rFonts w:ascii="Times New Roman" w:eastAsia="Times New Roman" w:hAnsi="Times New Roman" w:cs="Times New Roman"/>
          <w:sz w:val="28"/>
        </w:rPr>
        <w:t>te Department. The iRobot company was one of the first to start developing reconnaissance robots. A large number of its robots used in various countries around the world. The company produces tracked robots that have pretty good cross-country ability and t</w:t>
      </w:r>
      <w:r>
        <w:rPr>
          <w:rFonts w:ascii="Times New Roman" w:eastAsia="Times New Roman" w:hAnsi="Times New Roman" w:cs="Times New Roman"/>
          <w:sz w:val="28"/>
        </w:rPr>
        <w:t xml:space="preserve">raction characteristics, but it uses the system with outer crawler, which is more difficult to use compared with the wheeled. </w:t>
      </w:r>
    </w:p>
    <w:p w:rsidR="0052701D" w:rsidRDefault="00D40929">
      <w:pPr>
        <w:spacing w:after="5" w:line="271" w:lineRule="auto"/>
        <w:ind w:left="110" w:right="64" w:firstLine="711"/>
        <w:jc w:val="both"/>
      </w:pPr>
      <w:r>
        <w:rPr>
          <w:rFonts w:ascii="Times New Roman" w:eastAsia="Times New Roman" w:hAnsi="Times New Roman" w:cs="Times New Roman"/>
          <w:sz w:val="28"/>
        </w:rPr>
        <w:t>QinetiQ produces mini robots that can be equipped with both tracked and wheeled propulsion. The development is carried out jointl</w:t>
      </w:r>
      <w:r>
        <w:rPr>
          <w:rFonts w:ascii="Times New Roman" w:eastAsia="Times New Roman" w:hAnsi="Times New Roman" w:cs="Times New Roman"/>
          <w:sz w:val="28"/>
        </w:rPr>
        <w:t xml:space="preserve">y with the National Robotics Engineering Center and Carnegie Mellon University (USA) [2]. </w:t>
      </w:r>
    </w:p>
    <w:p w:rsidR="0052701D" w:rsidRDefault="00D40929">
      <w:pPr>
        <w:spacing w:after="5" w:line="271" w:lineRule="auto"/>
        <w:ind w:left="9" w:right="64" w:firstLine="711"/>
        <w:jc w:val="both"/>
      </w:pPr>
      <w:r>
        <w:rPr>
          <w:rFonts w:ascii="Times New Roman" w:eastAsia="Times New Roman" w:hAnsi="Times New Roman" w:cs="Times New Roman"/>
          <w:sz w:val="28"/>
        </w:rPr>
        <w:t>Boston Dynamics produces walking robots, but their use is difficult because of the high weight and not good enough crossability, and visibility due to the high heigh</w:t>
      </w:r>
      <w:r>
        <w:rPr>
          <w:rFonts w:ascii="Times New Roman" w:eastAsia="Times New Roman" w:hAnsi="Times New Roman" w:cs="Times New Roman"/>
          <w:sz w:val="28"/>
        </w:rPr>
        <w:t xml:space="preserve">t. In addition, they use a complex kinematic scheme and control system. One of the latest developments of Boston Dynamics is a wheeled mini scout robot with a jump function </w:t>
      </w:r>
    </w:p>
    <w:p w:rsidR="0052701D" w:rsidRDefault="00D40929">
      <w:pPr>
        <w:spacing w:after="5" w:line="271" w:lineRule="auto"/>
        <w:ind w:left="9" w:right="64"/>
        <w:jc w:val="both"/>
      </w:pPr>
      <w:r>
        <w:rPr>
          <w:rFonts w:ascii="Times New Roman" w:eastAsia="Times New Roman" w:hAnsi="Times New Roman" w:cs="Times New Roman"/>
          <w:sz w:val="28"/>
        </w:rPr>
        <w:t xml:space="preserve">[1]. </w:t>
      </w:r>
    </w:p>
    <w:p w:rsidR="0052701D" w:rsidRDefault="00D40929">
      <w:pPr>
        <w:spacing w:after="0"/>
        <w:ind w:left="711"/>
      </w:pPr>
      <w:r>
        <w:rPr>
          <w:rFonts w:ascii="Times New Roman" w:eastAsia="Times New Roman" w:hAnsi="Times New Roman" w:cs="Times New Roman"/>
        </w:rPr>
        <w:t xml:space="preserve"> </w:t>
      </w:r>
    </w:p>
    <w:p w:rsidR="0052701D" w:rsidRDefault="00D40929">
      <w:pPr>
        <w:spacing w:after="0"/>
        <w:ind w:left="125"/>
        <w:jc w:val="center"/>
      </w:pPr>
      <w:r>
        <w:rPr>
          <w:noProof/>
        </w:rPr>
        <w:drawing>
          <wp:inline distT="0" distB="0" distL="0" distR="0">
            <wp:extent cx="3307080" cy="2200656"/>
            <wp:effectExtent l="0" t="0" r="0" b="0"/>
            <wp:docPr id="22174" name="Picture 22174"/>
            <wp:cNvGraphicFramePr/>
            <a:graphic xmlns:a="http://schemas.openxmlformats.org/drawingml/2006/main">
              <a:graphicData uri="http://schemas.openxmlformats.org/drawingml/2006/picture">
                <pic:pic xmlns:pic="http://schemas.openxmlformats.org/drawingml/2006/picture">
                  <pic:nvPicPr>
                    <pic:cNvPr id="22174" name="Picture 22174"/>
                    <pic:cNvPicPr/>
                  </pic:nvPicPr>
                  <pic:blipFill>
                    <a:blip r:embed="rId287"/>
                    <a:stretch>
                      <a:fillRect/>
                    </a:stretch>
                  </pic:blipFill>
                  <pic:spPr>
                    <a:xfrm>
                      <a:off x="0" y="0"/>
                      <a:ext cx="3307080" cy="2200656"/>
                    </a:xfrm>
                    <a:prstGeom prst="rect">
                      <a:avLst/>
                    </a:prstGeom>
                  </pic:spPr>
                </pic:pic>
              </a:graphicData>
            </a:graphic>
          </wp:inline>
        </w:drawing>
      </w:r>
      <w:r>
        <w:rPr>
          <w:rFonts w:ascii="Times New Roman" w:eastAsia="Times New Roman" w:hAnsi="Times New Roman" w:cs="Times New Roman"/>
        </w:rPr>
        <w:t xml:space="preserve"> </w:t>
      </w:r>
    </w:p>
    <w:p w:rsidR="0052701D" w:rsidRDefault="00D40929">
      <w:pPr>
        <w:spacing w:after="14" w:line="248" w:lineRule="auto"/>
        <w:ind w:left="713" w:right="42" w:hanging="5"/>
        <w:jc w:val="center"/>
      </w:pPr>
      <w:r>
        <w:rPr>
          <w:rFonts w:ascii="Times New Roman" w:eastAsia="Times New Roman" w:hAnsi="Times New Roman" w:cs="Times New Roman"/>
          <w:sz w:val="24"/>
        </w:rPr>
        <w:t xml:space="preserve">Fig. 1. Robot Packbot manufactured by iRobot USA </w:t>
      </w:r>
    </w:p>
    <w:p w:rsidR="0052701D" w:rsidRDefault="00D40929">
      <w:pPr>
        <w:spacing w:after="26"/>
      </w:pPr>
      <w:r>
        <w:rPr>
          <w:rFonts w:ascii="Times New Roman" w:eastAsia="Times New Roman" w:hAnsi="Times New Roman" w:cs="Times New Roman"/>
          <w:b/>
          <w:i/>
        </w:rPr>
        <w:t xml:space="preserve"> </w:t>
      </w:r>
    </w:p>
    <w:p w:rsidR="0052701D" w:rsidRDefault="00D40929">
      <w:pPr>
        <w:spacing w:after="3"/>
        <w:ind w:left="10" w:right="43" w:hanging="10"/>
        <w:jc w:val="right"/>
      </w:pPr>
      <w:r>
        <w:rPr>
          <w:rFonts w:ascii="Times New Roman" w:eastAsia="Times New Roman" w:hAnsi="Times New Roman" w:cs="Times New Roman"/>
          <w:sz w:val="28"/>
        </w:rPr>
        <w:t xml:space="preserve">One of the leaders in the development and design of mobile spy robots is the </w:t>
      </w:r>
    </w:p>
    <w:p w:rsidR="0052701D" w:rsidRDefault="00D40929">
      <w:pPr>
        <w:spacing w:after="5" w:line="271" w:lineRule="auto"/>
        <w:ind w:left="9" w:right="64"/>
        <w:jc w:val="both"/>
      </w:pPr>
      <w:r>
        <w:rPr>
          <w:rFonts w:ascii="Times New Roman" w:eastAsia="Times New Roman" w:hAnsi="Times New Roman" w:cs="Times New Roman"/>
          <w:sz w:val="28"/>
        </w:rPr>
        <w:t>Israeli company ODF Optroncs. This company manufactures the EyeDrive robot. This robot is compact, can withstand abandonment and falling, quickly comes into working condition, ha</w:t>
      </w:r>
      <w:r>
        <w:rPr>
          <w:rFonts w:ascii="Times New Roman" w:eastAsia="Times New Roman" w:hAnsi="Times New Roman" w:cs="Times New Roman"/>
          <w:sz w:val="28"/>
        </w:rPr>
        <w:t xml:space="preserve">s a low mass. However, like other foreign developments has a significant cost. Close in characteristics to the EyeDrive robot is a development of the Swiss company Macroswiss called SpyRobot 4WD. </w:t>
      </w:r>
    </w:p>
    <w:p w:rsidR="0052701D" w:rsidRDefault="00D40929">
      <w:pPr>
        <w:spacing w:after="5" w:line="271" w:lineRule="auto"/>
        <w:ind w:left="711" w:right="64"/>
        <w:jc w:val="both"/>
      </w:pPr>
      <w:r>
        <w:rPr>
          <w:rFonts w:ascii="Times New Roman" w:eastAsia="Times New Roman" w:hAnsi="Times New Roman" w:cs="Times New Roman"/>
          <w:sz w:val="28"/>
        </w:rPr>
        <w:t xml:space="preserve">Table 1 shows some characteristics of different robots. </w:t>
      </w:r>
    </w:p>
    <w:p w:rsidR="0052701D" w:rsidRDefault="00D40929">
      <w:pPr>
        <w:spacing w:after="36"/>
        <w:ind w:left="711"/>
      </w:pPr>
      <w:r>
        <w:rPr>
          <w:rFonts w:ascii="Times New Roman" w:eastAsia="Times New Roman" w:hAnsi="Times New Roman" w:cs="Times New Roman"/>
        </w:rPr>
        <w:lastRenderedPageBreak/>
        <w:t xml:space="preserve"> </w:t>
      </w:r>
    </w:p>
    <w:p w:rsidR="0052701D" w:rsidRDefault="00D40929">
      <w:pPr>
        <w:spacing w:after="3"/>
        <w:ind w:left="10" w:right="43" w:hanging="10"/>
        <w:jc w:val="right"/>
      </w:pPr>
      <w:r>
        <w:rPr>
          <w:rFonts w:ascii="Times New Roman" w:eastAsia="Times New Roman" w:hAnsi="Times New Roman" w:cs="Times New Roman"/>
          <w:sz w:val="28"/>
        </w:rPr>
        <w:t xml:space="preserve">Table 1 </w:t>
      </w:r>
    </w:p>
    <w:p w:rsidR="0052701D" w:rsidRDefault="00D40929">
      <w:pPr>
        <w:spacing w:after="14" w:line="249" w:lineRule="auto"/>
        <w:ind w:left="954" w:right="284" w:hanging="10"/>
        <w:jc w:val="center"/>
      </w:pPr>
      <w:r>
        <w:rPr>
          <w:rFonts w:ascii="Times New Roman" w:eastAsia="Times New Roman" w:hAnsi="Times New Roman" w:cs="Times New Roman"/>
          <w:sz w:val="28"/>
        </w:rPr>
        <w:t xml:space="preserve">Characteristics of some robots </w:t>
      </w:r>
    </w:p>
    <w:tbl>
      <w:tblPr>
        <w:tblStyle w:val="TableGrid"/>
        <w:tblW w:w="9273" w:type="dxa"/>
        <w:tblInd w:w="151" w:type="dxa"/>
        <w:tblCellMar>
          <w:top w:w="7" w:type="dxa"/>
          <w:left w:w="0" w:type="dxa"/>
          <w:bottom w:w="0" w:type="dxa"/>
          <w:right w:w="0" w:type="dxa"/>
        </w:tblCellMar>
        <w:tblLook w:val="04A0" w:firstRow="1" w:lastRow="0" w:firstColumn="1" w:lastColumn="0" w:noHBand="0" w:noVBand="1"/>
      </w:tblPr>
      <w:tblGrid>
        <w:gridCol w:w="1272"/>
        <w:gridCol w:w="1234"/>
        <w:gridCol w:w="899"/>
        <w:gridCol w:w="943"/>
        <w:gridCol w:w="1539"/>
        <w:gridCol w:w="724"/>
        <w:gridCol w:w="770"/>
        <w:gridCol w:w="1017"/>
        <w:gridCol w:w="875"/>
      </w:tblGrid>
      <w:tr w:rsidR="0052701D">
        <w:trPr>
          <w:trHeight w:val="1287"/>
        </w:trPr>
        <w:tc>
          <w:tcPr>
            <w:tcW w:w="135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61"/>
              <w:jc w:val="center"/>
            </w:pPr>
            <w:r>
              <w:rPr>
                <w:rFonts w:ascii="Times New Roman" w:eastAsia="Times New Roman" w:hAnsi="Times New Roman" w:cs="Times New Roman"/>
                <w:b/>
              </w:rPr>
              <w:t xml:space="preserve"> </w:t>
            </w:r>
          </w:p>
          <w:p w:rsidR="0052701D" w:rsidRDefault="00D40929">
            <w:pPr>
              <w:spacing w:after="0"/>
              <w:ind w:left="2"/>
              <w:jc w:val="center"/>
            </w:pPr>
            <w:r>
              <w:rPr>
                <w:rFonts w:ascii="Times New Roman" w:eastAsia="Times New Roman" w:hAnsi="Times New Roman" w:cs="Times New Roman"/>
                <w:b/>
              </w:rPr>
              <w:t xml:space="preserve">Name </w:t>
            </w:r>
          </w:p>
        </w:tc>
        <w:tc>
          <w:tcPr>
            <w:tcW w:w="1272"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65"/>
              <w:jc w:val="center"/>
            </w:pPr>
            <w:r>
              <w:rPr>
                <w:rFonts w:ascii="Times New Roman" w:eastAsia="Times New Roman" w:hAnsi="Times New Roman" w:cs="Times New Roman"/>
                <w:b/>
              </w:rPr>
              <w:t xml:space="preserve"> </w:t>
            </w:r>
          </w:p>
          <w:p w:rsidR="0052701D" w:rsidRDefault="00D40929">
            <w:pPr>
              <w:spacing w:after="0"/>
              <w:ind w:left="180"/>
            </w:pPr>
            <w:r>
              <w:rPr>
                <w:rFonts w:ascii="Times New Roman" w:eastAsia="Times New Roman" w:hAnsi="Times New Roman" w:cs="Times New Roman"/>
                <w:b/>
              </w:rPr>
              <w:t xml:space="preserve">Company </w:t>
            </w:r>
          </w:p>
        </w:tc>
        <w:tc>
          <w:tcPr>
            <w:tcW w:w="908"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65"/>
              <w:jc w:val="center"/>
            </w:pPr>
            <w:r>
              <w:rPr>
                <w:rFonts w:ascii="Times New Roman" w:eastAsia="Times New Roman" w:hAnsi="Times New Roman" w:cs="Times New Roman"/>
                <w:b/>
              </w:rPr>
              <w:t xml:space="preserve"> </w:t>
            </w:r>
          </w:p>
          <w:p w:rsidR="0052701D" w:rsidRDefault="00D40929">
            <w:pPr>
              <w:spacing w:after="0"/>
              <w:ind w:left="60"/>
              <w:jc w:val="both"/>
            </w:pPr>
            <w:r>
              <w:rPr>
                <w:rFonts w:ascii="Times New Roman" w:eastAsia="Times New Roman" w:hAnsi="Times New Roman" w:cs="Times New Roman"/>
                <w:b/>
              </w:rPr>
              <w:t xml:space="preserve">Country </w:t>
            </w:r>
          </w:p>
        </w:tc>
        <w:tc>
          <w:tcPr>
            <w:tcW w:w="99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65"/>
              <w:jc w:val="center"/>
            </w:pPr>
            <w:r>
              <w:rPr>
                <w:rFonts w:ascii="Times New Roman" w:eastAsia="Times New Roman" w:hAnsi="Times New Roman" w:cs="Times New Roman"/>
                <w:b/>
              </w:rPr>
              <w:t xml:space="preserve"> </w:t>
            </w:r>
          </w:p>
          <w:p w:rsidR="0052701D" w:rsidRDefault="00D40929">
            <w:pPr>
              <w:spacing w:after="0"/>
              <w:jc w:val="center"/>
            </w:pPr>
            <w:r>
              <w:rPr>
                <w:rFonts w:ascii="Times New Roman" w:eastAsia="Times New Roman" w:hAnsi="Times New Roman" w:cs="Times New Roman"/>
                <w:b/>
              </w:rPr>
              <w:t xml:space="preserve">Chassis Type </w:t>
            </w:r>
          </w:p>
        </w:tc>
        <w:tc>
          <w:tcPr>
            <w:tcW w:w="1618"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56"/>
              <w:jc w:val="center"/>
            </w:pPr>
            <w:r>
              <w:rPr>
                <w:rFonts w:ascii="Times New Roman" w:eastAsia="Times New Roman" w:hAnsi="Times New Roman" w:cs="Times New Roman"/>
                <w:b/>
              </w:rPr>
              <w:t xml:space="preserve"> </w:t>
            </w:r>
          </w:p>
          <w:p w:rsidR="0052701D" w:rsidRDefault="00D40929">
            <w:pPr>
              <w:spacing w:after="0"/>
              <w:jc w:val="center"/>
            </w:pPr>
            <w:r>
              <w:rPr>
                <w:rFonts w:ascii="Times New Roman" w:eastAsia="Times New Roman" w:hAnsi="Times New Roman" w:cs="Times New Roman"/>
                <w:b/>
              </w:rPr>
              <w:t xml:space="preserve">Dimension, size mm </w:t>
            </w:r>
          </w:p>
        </w:tc>
        <w:tc>
          <w:tcPr>
            <w:tcW w:w="725"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65"/>
              <w:jc w:val="center"/>
            </w:pPr>
            <w:r>
              <w:rPr>
                <w:rFonts w:ascii="Times New Roman" w:eastAsia="Times New Roman" w:hAnsi="Times New Roman" w:cs="Times New Roman"/>
                <w:b/>
              </w:rPr>
              <w:t xml:space="preserve"> </w:t>
            </w:r>
          </w:p>
          <w:p w:rsidR="0052701D" w:rsidRDefault="00D40929">
            <w:pPr>
              <w:spacing w:after="0"/>
              <w:ind w:left="22"/>
              <w:jc w:val="both"/>
            </w:pPr>
            <w:r>
              <w:rPr>
                <w:rFonts w:ascii="Times New Roman" w:eastAsia="Times New Roman" w:hAnsi="Times New Roman" w:cs="Times New Roman"/>
                <w:b/>
              </w:rPr>
              <w:t>Weight</w:t>
            </w:r>
          </w:p>
          <w:p w:rsidR="0052701D" w:rsidRDefault="00D40929">
            <w:pPr>
              <w:spacing w:after="0"/>
              <w:ind w:left="4"/>
              <w:jc w:val="center"/>
            </w:pPr>
            <w:r>
              <w:rPr>
                <w:rFonts w:ascii="Times New Roman" w:eastAsia="Times New Roman" w:hAnsi="Times New Roman" w:cs="Times New Roman"/>
                <w:b/>
              </w:rPr>
              <w:t xml:space="preserve">. kg </w:t>
            </w:r>
          </w:p>
        </w:tc>
        <w:tc>
          <w:tcPr>
            <w:tcW w:w="773"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0"/>
              <w:jc w:val="center"/>
            </w:pPr>
            <w:r>
              <w:rPr>
                <w:rFonts w:ascii="Times New Roman" w:eastAsia="Times New Roman" w:hAnsi="Times New Roman" w:cs="Times New Roman"/>
                <w:b/>
              </w:rPr>
              <w:t xml:space="preserve">Velocit y m/s </w:t>
            </w:r>
          </w:p>
        </w:tc>
        <w:tc>
          <w:tcPr>
            <w:tcW w:w="74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50" w:hanging="14"/>
            </w:pPr>
            <w:r>
              <w:rPr>
                <w:rFonts w:ascii="Times New Roman" w:eastAsia="Times New Roman" w:hAnsi="Times New Roman" w:cs="Times New Roman"/>
                <w:b/>
              </w:rPr>
              <w:t xml:space="preserve">Operating time, h </w:t>
            </w:r>
          </w:p>
        </w:tc>
        <w:tc>
          <w:tcPr>
            <w:tcW w:w="88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300" w:hanging="259"/>
            </w:pPr>
            <w:r>
              <w:rPr>
                <w:rFonts w:ascii="Times New Roman" w:eastAsia="Times New Roman" w:hAnsi="Times New Roman" w:cs="Times New Roman"/>
                <w:b/>
              </w:rPr>
              <w:t xml:space="preserve">Distance , m </w:t>
            </w:r>
          </w:p>
        </w:tc>
      </w:tr>
      <w:tr w:rsidR="0052701D">
        <w:trPr>
          <w:trHeight w:val="557"/>
        </w:trPr>
        <w:tc>
          <w:tcPr>
            <w:tcW w:w="135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61"/>
              <w:jc w:val="center"/>
            </w:pPr>
            <w:r>
              <w:rPr>
                <w:rFonts w:ascii="Times New Roman" w:eastAsia="Times New Roman" w:hAnsi="Times New Roman" w:cs="Times New Roman"/>
              </w:rPr>
              <w:t xml:space="preserve">PackBot Scout </w:t>
            </w:r>
          </w:p>
        </w:tc>
        <w:tc>
          <w:tcPr>
            <w:tcW w:w="1272"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right="1"/>
              <w:jc w:val="center"/>
            </w:pPr>
            <w:r>
              <w:rPr>
                <w:rFonts w:ascii="Times New Roman" w:eastAsia="Times New Roman" w:hAnsi="Times New Roman" w:cs="Times New Roman"/>
              </w:rPr>
              <w:t xml:space="preserve">iRobot </w:t>
            </w:r>
          </w:p>
        </w:tc>
        <w:tc>
          <w:tcPr>
            <w:tcW w:w="908"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238"/>
            </w:pPr>
            <w:r>
              <w:rPr>
                <w:rFonts w:ascii="Times New Roman" w:eastAsia="Times New Roman" w:hAnsi="Times New Roman" w:cs="Times New Roman"/>
              </w:rPr>
              <w:t xml:space="preserve">USA </w:t>
            </w:r>
          </w:p>
        </w:tc>
        <w:tc>
          <w:tcPr>
            <w:tcW w:w="99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61"/>
            </w:pPr>
            <w:r>
              <w:rPr>
                <w:rFonts w:ascii="Times New Roman" w:eastAsia="Times New Roman" w:hAnsi="Times New Roman" w:cs="Times New Roman"/>
              </w:rPr>
              <w:t xml:space="preserve">4-track. </w:t>
            </w:r>
          </w:p>
        </w:tc>
        <w:tc>
          <w:tcPr>
            <w:tcW w:w="1618"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204"/>
            </w:pPr>
            <w:r>
              <w:rPr>
                <w:rFonts w:ascii="Times New Roman" w:eastAsia="Times New Roman" w:hAnsi="Times New Roman" w:cs="Times New Roman"/>
              </w:rPr>
              <w:t xml:space="preserve">686x520x200 </w:t>
            </w:r>
          </w:p>
        </w:tc>
        <w:tc>
          <w:tcPr>
            <w:tcW w:w="725"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9"/>
              <w:jc w:val="center"/>
            </w:pPr>
            <w:r>
              <w:rPr>
                <w:rFonts w:ascii="Times New Roman" w:eastAsia="Times New Roman" w:hAnsi="Times New Roman" w:cs="Times New Roman"/>
              </w:rPr>
              <w:t xml:space="preserve">18 </w:t>
            </w:r>
          </w:p>
        </w:tc>
        <w:tc>
          <w:tcPr>
            <w:tcW w:w="773"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36"/>
              <w:jc w:val="both"/>
            </w:pPr>
            <w:r>
              <w:rPr>
                <w:rFonts w:ascii="Times New Roman" w:eastAsia="Times New Roman" w:hAnsi="Times New Roman" w:cs="Times New Roman"/>
              </w:rPr>
              <w:t>2,2...3,9</w:t>
            </w:r>
          </w:p>
        </w:tc>
        <w:tc>
          <w:tcPr>
            <w:tcW w:w="74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22"/>
              <w:jc w:val="both"/>
            </w:pPr>
            <w:r>
              <w:rPr>
                <w:rFonts w:ascii="Times New Roman" w:eastAsia="Times New Roman" w:hAnsi="Times New Roman" w:cs="Times New Roman"/>
              </w:rPr>
              <w:t xml:space="preserve"> 2...12 </w:t>
            </w:r>
          </w:p>
        </w:tc>
        <w:tc>
          <w:tcPr>
            <w:tcW w:w="88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9"/>
              <w:jc w:val="center"/>
            </w:pPr>
            <w:r>
              <w:rPr>
                <w:rFonts w:ascii="Times New Roman" w:eastAsia="Times New Roman" w:hAnsi="Times New Roman" w:cs="Times New Roman"/>
              </w:rPr>
              <w:t xml:space="preserve">800 </w:t>
            </w:r>
          </w:p>
        </w:tc>
      </w:tr>
      <w:tr w:rsidR="0052701D">
        <w:trPr>
          <w:trHeight w:val="336"/>
        </w:trPr>
        <w:tc>
          <w:tcPr>
            <w:tcW w:w="135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214"/>
            </w:pPr>
            <w:r>
              <w:rPr>
                <w:rFonts w:ascii="Times New Roman" w:eastAsia="Times New Roman" w:hAnsi="Times New Roman" w:cs="Times New Roman"/>
              </w:rPr>
              <w:t xml:space="preserve">SUGV320 </w:t>
            </w:r>
          </w:p>
        </w:tc>
        <w:tc>
          <w:tcPr>
            <w:tcW w:w="1272"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right="1"/>
              <w:jc w:val="center"/>
            </w:pPr>
            <w:r>
              <w:rPr>
                <w:rFonts w:ascii="Times New Roman" w:eastAsia="Times New Roman" w:hAnsi="Times New Roman" w:cs="Times New Roman"/>
              </w:rPr>
              <w:t xml:space="preserve">iRobot </w:t>
            </w:r>
          </w:p>
        </w:tc>
        <w:tc>
          <w:tcPr>
            <w:tcW w:w="908"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238"/>
            </w:pPr>
            <w:r>
              <w:rPr>
                <w:rFonts w:ascii="Times New Roman" w:eastAsia="Times New Roman" w:hAnsi="Times New Roman" w:cs="Times New Roman"/>
              </w:rPr>
              <w:t xml:space="preserve">USA </w:t>
            </w:r>
          </w:p>
        </w:tc>
        <w:tc>
          <w:tcPr>
            <w:tcW w:w="99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61"/>
            </w:pPr>
            <w:r>
              <w:rPr>
                <w:rFonts w:ascii="Times New Roman" w:eastAsia="Times New Roman" w:hAnsi="Times New Roman" w:cs="Times New Roman"/>
              </w:rPr>
              <w:t xml:space="preserve">4-track. </w:t>
            </w:r>
          </w:p>
        </w:tc>
        <w:tc>
          <w:tcPr>
            <w:tcW w:w="1618"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204"/>
            </w:pPr>
            <w:r>
              <w:rPr>
                <w:rFonts w:ascii="Times New Roman" w:eastAsia="Times New Roman" w:hAnsi="Times New Roman" w:cs="Times New Roman"/>
              </w:rPr>
              <w:t xml:space="preserve">607x437x165 </w:t>
            </w:r>
          </w:p>
        </w:tc>
        <w:tc>
          <w:tcPr>
            <w:tcW w:w="725"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75"/>
            </w:pPr>
            <w:r>
              <w:rPr>
                <w:rFonts w:ascii="Times New Roman" w:eastAsia="Times New Roman" w:hAnsi="Times New Roman" w:cs="Times New Roman"/>
              </w:rPr>
              <w:t xml:space="preserve">14,5 </w:t>
            </w:r>
          </w:p>
        </w:tc>
        <w:tc>
          <w:tcPr>
            <w:tcW w:w="773"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9"/>
              <w:jc w:val="center"/>
            </w:pPr>
            <w:r>
              <w:rPr>
                <w:rFonts w:ascii="Times New Roman" w:eastAsia="Times New Roman" w:hAnsi="Times New Roman" w:cs="Times New Roman"/>
              </w:rPr>
              <w:t xml:space="preserve">2.8 </w:t>
            </w:r>
          </w:p>
        </w:tc>
        <w:tc>
          <w:tcPr>
            <w:tcW w:w="74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5"/>
              <w:jc w:val="center"/>
            </w:pPr>
            <w:r>
              <w:rPr>
                <w:rFonts w:ascii="Times New Roman" w:eastAsia="Times New Roman" w:hAnsi="Times New Roman" w:cs="Times New Roman"/>
              </w:rPr>
              <w:t xml:space="preserve">6 </w:t>
            </w:r>
          </w:p>
        </w:tc>
        <w:tc>
          <w:tcPr>
            <w:tcW w:w="88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4"/>
              <w:jc w:val="center"/>
            </w:pPr>
            <w:r>
              <w:rPr>
                <w:rFonts w:ascii="Times New Roman" w:eastAsia="Times New Roman" w:hAnsi="Times New Roman" w:cs="Times New Roman"/>
              </w:rPr>
              <w:t xml:space="preserve">1000 </w:t>
            </w:r>
          </w:p>
        </w:tc>
      </w:tr>
      <w:tr w:rsidR="0052701D">
        <w:trPr>
          <w:trHeight w:val="523"/>
        </w:trPr>
        <w:tc>
          <w:tcPr>
            <w:tcW w:w="1354" w:type="dxa"/>
            <w:vMerge w:val="restart"/>
            <w:tcBorders>
              <w:top w:val="single" w:sz="6" w:space="0" w:color="000000"/>
              <w:left w:val="single" w:sz="6" w:space="0" w:color="000000"/>
              <w:bottom w:val="single" w:sz="6" w:space="0" w:color="000000"/>
              <w:right w:val="single" w:sz="6" w:space="0" w:color="000000"/>
            </w:tcBorders>
          </w:tcPr>
          <w:p w:rsidR="0052701D" w:rsidRDefault="00D40929">
            <w:pPr>
              <w:spacing w:after="0"/>
              <w:ind w:left="33"/>
              <w:jc w:val="center"/>
            </w:pPr>
            <w:r>
              <w:rPr>
                <w:rFonts w:ascii="Times New Roman" w:eastAsia="Times New Roman" w:hAnsi="Times New Roman" w:cs="Times New Roman"/>
              </w:rPr>
              <w:t xml:space="preserve">Dragon Runner DR20 </w:t>
            </w:r>
          </w:p>
        </w:tc>
        <w:tc>
          <w:tcPr>
            <w:tcW w:w="1272" w:type="dxa"/>
            <w:vMerge w:val="restart"/>
            <w:tcBorders>
              <w:top w:val="single" w:sz="6" w:space="0" w:color="000000"/>
              <w:left w:val="single" w:sz="6" w:space="0" w:color="000000"/>
              <w:bottom w:val="single" w:sz="6" w:space="0" w:color="000000"/>
              <w:right w:val="single" w:sz="6" w:space="0" w:color="000000"/>
            </w:tcBorders>
          </w:tcPr>
          <w:p w:rsidR="0052701D" w:rsidRDefault="00D40929">
            <w:pPr>
              <w:spacing w:after="0"/>
              <w:ind w:left="65"/>
              <w:jc w:val="center"/>
            </w:pPr>
            <w:r>
              <w:rPr>
                <w:rFonts w:ascii="Times New Roman" w:eastAsia="Times New Roman" w:hAnsi="Times New Roman" w:cs="Times New Roman"/>
                <w:b/>
              </w:rPr>
              <w:t xml:space="preserve"> </w:t>
            </w:r>
          </w:p>
          <w:p w:rsidR="0052701D" w:rsidRDefault="00D40929">
            <w:pPr>
              <w:spacing w:after="0"/>
              <w:ind w:left="98"/>
              <w:jc w:val="both"/>
            </w:pPr>
            <w:r>
              <w:rPr>
                <w:rFonts w:ascii="Times New Roman" w:eastAsia="Times New Roman" w:hAnsi="Times New Roman" w:cs="Times New Roman"/>
              </w:rPr>
              <w:t xml:space="preserve">QinetiQ NA </w:t>
            </w:r>
          </w:p>
        </w:tc>
        <w:tc>
          <w:tcPr>
            <w:tcW w:w="908" w:type="dxa"/>
            <w:vMerge w:val="restart"/>
            <w:tcBorders>
              <w:top w:val="single" w:sz="6" w:space="0" w:color="000000"/>
              <w:left w:val="single" w:sz="6" w:space="0" w:color="000000"/>
              <w:bottom w:val="single" w:sz="6" w:space="0" w:color="000000"/>
              <w:right w:val="single" w:sz="6" w:space="0" w:color="000000"/>
            </w:tcBorders>
          </w:tcPr>
          <w:p w:rsidR="0052701D" w:rsidRDefault="00D40929">
            <w:pPr>
              <w:spacing w:after="0"/>
              <w:ind w:left="65"/>
              <w:jc w:val="center"/>
            </w:pPr>
            <w:r>
              <w:rPr>
                <w:rFonts w:ascii="Times New Roman" w:eastAsia="Times New Roman" w:hAnsi="Times New Roman" w:cs="Times New Roman"/>
                <w:b/>
              </w:rPr>
              <w:t xml:space="preserve"> </w:t>
            </w:r>
          </w:p>
          <w:p w:rsidR="0052701D" w:rsidRDefault="00D40929">
            <w:pPr>
              <w:spacing w:after="0"/>
              <w:ind w:left="238"/>
            </w:pPr>
            <w:r>
              <w:rPr>
                <w:rFonts w:ascii="Times New Roman" w:eastAsia="Times New Roman" w:hAnsi="Times New Roman" w:cs="Times New Roman"/>
              </w:rPr>
              <w:t xml:space="preserve">USA </w:t>
            </w:r>
          </w:p>
        </w:tc>
        <w:tc>
          <w:tcPr>
            <w:tcW w:w="99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08" w:right="43"/>
              <w:jc w:val="center"/>
            </w:pPr>
            <w:r>
              <w:rPr>
                <w:rFonts w:ascii="Times New Roman" w:eastAsia="Times New Roman" w:hAnsi="Times New Roman" w:cs="Times New Roman"/>
              </w:rPr>
              <w:t xml:space="preserve">4- wheels </w:t>
            </w:r>
          </w:p>
        </w:tc>
        <w:tc>
          <w:tcPr>
            <w:tcW w:w="1618"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204"/>
            </w:pPr>
            <w:r>
              <w:rPr>
                <w:rFonts w:ascii="Times New Roman" w:eastAsia="Times New Roman" w:hAnsi="Times New Roman" w:cs="Times New Roman"/>
              </w:rPr>
              <w:t xml:space="preserve">422x310x152 </w:t>
            </w:r>
          </w:p>
        </w:tc>
        <w:tc>
          <w:tcPr>
            <w:tcW w:w="725"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9"/>
              <w:jc w:val="center"/>
            </w:pPr>
            <w:r>
              <w:rPr>
                <w:rFonts w:ascii="Times New Roman" w:eastAsia="Times New Roman" w:hAnsi="Times New Roman" w:cs="Times New Roman"/>
              </w:rPr>
              <w:t xml:space="preserve">6,4 </w:t>
            </w:r>
          </w:p>
        </w:tc>
        <w:tc>
          <w:tcPr>
            <w:tcW w:w="773"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4"/>
              <w:jc w:val="center"/>
            </w:pPr>
            <w:r>
              <w:rPr>
                <w:rFonts w:ascii="Times New Roman" w:eastAsia="Times New Roman" w:hAnsi="Times New Roman" w:cs="Times New Roman"/>
              </w:rPr>
              <w:t xml:space="preserve">11,1 </w:t>
            </w:r>
          </w:p>
        </w:tc>
        <w:tc>
          <w:tcPr>
            <w:tcW w:w="74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0"/>
              <w:jc w:val="center"/>
            </w:pPr>
            <w:r>
              <w:rPr>
                <w:rFonts w:ascii="Times New Roman" w:eastAsia="Times New Roman" w:hAnsi="Times New Roman" w:cs="Times New Roman"/>
              </w:rPr>
              <w:t xml:space="preserve">1.5 </w:t>
            </w:r>
          </w:p>
        </w:tc>
        <w:tc>
          <w:tcPr>
            <w:tcW w:w="88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1"/>
              <w:jc w:val="center"/>
            </w:pPr>
            <w:r>
              <w:rPr>
                <w:rFonts w:ascii="Times New Roman" w:eastAsia="Times New Roman" w:hAnsi="Times New Roman" w:cs="Times New Roman"/>
              </w:rPr>
              <w:t xml:space="preserve">- </w:t>
            </w:r>
          </w:p>
        </w:tc>
      </w:tr>
      <w:tr w:rsidR="0052701D">
        <w:trPr>
          <w:trHeight w:val="307"/>
        </w:trPr>
        <w:tc>
          <w:tcPr>
            <w:tcW w:w="0" w:type="auto"/>
            <w:vMerge/>
            <w:tcBorders>
              <w:top w:val="nil"/>
              <w:left w:val="single" w:sz="6" w:space="0" w:color="000000"/>
              <w:bottom w:val="single" w:sz="6" w:space="0" w:color="000000"/>
              <w:right w:val="single" w:sz="6" w:space="0" w:color="000000"/>
            </w:tcBorders>
          </w:tcPr>
          <w:p w:rsidR="0052701D" w:rsidRDefault="0052701D"/>
        </w:tc>
        <w:tc>
          <w:tcPr>
            <w:tcW w:w="0" w:type="auto"/>
            <w:vMerge/>
            <w:tcBorders>
              <w:top w:val="nil"/>
              <w:left w:val="single" w:sz="6" w:space="0" w:color="000000"/>
              <w:bottom w:val="single" w:sz="6" w:space="0" w:color="000000"/>
              <w:right w:val="single" w:sz="6" w:space="0" w:color="000000"/>
            </w:tcBorders>
          </w:tcPr>
          <w:p w:rsidR="0052701D" w:rsidRDefault="0052701D"/>
        </w:tc>
        <w:tc>
          <w:tcPr>
            <w:tcW w:w="0" w:type="auto"/>
            <w:vMerge/>
            <w:tcBorders>
              <w:top w:val="nil"/>
              <w:left w:val="single" w:sz="6" w:space="0" w:color="000000"/>
              <w:bottom w:val="single" w:sz="6" w:space="0" w:color="000000"/>
              <w:right w:val="single" w:sz="6" w:space="0" w:color="000000"/>
            </w:tcBorders>
          </w:tcPr>
          <w:p w:rsidR="0052701D" w:rsidRDefault="0052701D"/>
        </w:tc>
        <w:tc>
          <w:tcPr>
            <w:tcW w:w="99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61"/>
            </w:pPr>
            <w:r>
              <w:rPr>
                <w:rFonts w:ascii="Times New Roman" w:eastAsia="Times New Roman" w:hAnsi="Times New Roman" w:cs="Times New Roman"/>
              </w:rPr>
              <w:t xml:space="preserve">2-track. </w:t>
            </w:r>
          </w:p>
        </w:tc>
        <w:tc>
          <w:tcPr>
            <w:tcW w:w="1618"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204"/>
            </w:pPr>
            <w:r>
              <w:rPr>
                <w:rFonts w:ascii="Times New Roman" w:eastAsia="Times New Roman" w:hAnsi="Times New Roman" w:cs="Times New Roman"/>
              </w:rPr>
              <w:t xml:space="preserve">725x330x165 </w:t>
            </w:r>
          </w:p>
        </w:tc>
        <w:tc>
          <w:tcPr>
            <w:tcW w:w="725"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9"/>
              <w:jc w:val="center"/>
            </w:pPr>
            <w:r>
              <w:rPr>
                <w:rFonts w:ascii="Times New Roman" w:eastAsia="Times New Roman" w:hAnsi="Times New Roman" w:cs="Times New Roman"/>
              </w:rPr>
              <w:t xml:space="preserve">7.7 </w:t>
            </w:r>
          </w:p>
        </w:tc>
        <w:tc>
          <w:tcPr>
            <w:tcW w:w="773"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6"/>
              <w:jc w:val="center"/>
            </w:pPr>
            <w:r>
              <w:rPr>
                <w:rFonts w:ascii="Times New Roman" w:eastAsia="Times New Roman" w:hAnsi="Times New Roman" w:cs="Times New Roman"/>
              </w:rPr>
              <w:t xml:space="preserve">- </w:t>
            </w:r>
          </w:p>
        </w:tc>
        <w:tc>
          <w:tcPr>
            <w:tcW w:w="74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5"/>
              <w:jc w:val="center"/>
            </w:pPr>
            <w:r>
              <w:rPr>
                <w:rFonts w:ascii="Times New Roman" w:eastAsia="Times New Roman" w:hAnsi="Times New Roman" w:cs="Times New Roman"/>
              </w:rPr>
              <w:t xml:space="preserve">0,75 </w:t>
            </w:r>
          </w:p>
        </w:tc>
        <w:tc>
          <w:tcPr>
            <w:tcW w:w="88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1"/>
              <w:jc w:val="center"/>
            </w:pPr>
            <w:r>
              <w:rPr>
                <w:rFonts w:ascii="Times New Roman" w:eastAsia="Times New Roman" w:hAnsi="Times New Roman" w:cs="Times New Roman"/>
              </w:rPr>
              <w:t xml:space="preserve">- </w:t>
            </w:r>
          </w:p>
        </w:tc>
      </w:tr>
      <w:tr w:rsidR="0052701D">
        <w:trPr>
          <w:trHeight w:val="538"/>
        </w:trPr>
        <w:tc>
          <w:tcPr>
            <w:tcW w:w="135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4"/>
              <w:jc w:val="center"/>
            </w:pPr>
            <w:r>
              <w:rPr>
                <w:rFonts w:ascii="Times New Roman" w:eastAsia="Times New Roman" w:hAnsi="Times New Roman" w:cs="Times New Roman"/>
              </w:rPr>
              <w:t xml:space="preserve">X-Bot </w:t>
            </w:r>
          </w:p>
        </w:tc>
        <w:tc>
          <w:tcPr>
            <w:tcW w:w="1272"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0"/>
              <w:jc w:val="center"/>
            </w:pPr>
            <w:r>
              <w:rPr>
                <w:rFonts w:ascii="Times New Roman" w:eastAsia="Times New Roman" w:hAnsi="Times New Roman" w:cs="Times New Roman"/>
              </w:rPr>
              <w:t xml:space="preserve">IRT </w:t>
            </w:r>
          </w:p>
        </w:tc>
        <w:tc>
          <w:tcPr>
            <w:tcW w:w="908"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238"/>
            </w:pPr>
            <w:r>
              <w:rPr>
                <w:rFonts w:ascii="Times New Roman" w:eastAsia="Times New Roman" w:hAnsi="Times New Roman" w:cs="Times New Roman"/>
              </w:rPr>
              <w:t xml:space="preserve">USA </w:t>
            </w:r>
          </w:p>
        </w:tc>
        <w:tc>
          <w:tcPr>
            <w:tcW w:w="99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08" w:right="43"/>
              <w:jc w:val="center"/>
            </w:pPr>
            <w:r>
              <w:rPr>
                <w:rFonts w:ascii="Times New Roman" w:eastAsia="Times New Roman" w:hAnsi="Times New Roman" w:cs="Times New Roman"/>
              </w:rPr>
              <w:t xml:space="preserve">4- wheels </w:t>
            </w:r>
          </w:p>
        </w:tc>
        <w:tc>
          <w:tcPr>
            <w:tcW w:w="1618"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204"/>
            </w:pPr>
            <w:r>
              <w:rPr>
                <w:rFonts w:ascii="Times New Roman" w:eastAsia="Times New Roman" w:hAnsi="Times New Roman" w:cs="Times New Roman"/>
              </w:rPr>
              <w:t xml:space="preserve">533x445x241 </w:t>
            </w:r>
          </w:p>
        </w:tc>
        <w:tc>
          <w:tcPr>
            <w:tcW w:w="725"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75"/>
            </w:pPr>
            <w:r>
              <w:rPr>
                <w:rFonts w:ascii="Times New Roman" w:eastAsia="Times New Roman" w:hAnsi="Times New Roman" w:cs="Times New Roman"/>
              </w:rPr>
              <w:t xml:space="preserve">13,6 </w:t>
            </w:r>
          </w:p>
        </w:tc>
        <w:tc>
          <w:tcPr>
            <w:tcW w:w="773"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9"/>
              <w:jc w:val="center"/>
            </w:pPr>
            <w:r>
              <w:rPr>
                <w:rFonts w:ascii="Times New Roman" w:eastAsia="Times New Roman" w:hAnsi="Times New Roman" w:cs="Times New Roman"/>
              </w:rPr>
              <w:t xml:space="preserve">5,3 </w:t>
            </w:r>
          </w:p>
        </w:tc>
        <w:tc>
          <w:tcPr>
            <w:tcW w:w="74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0"/>
              <w:jc w:val="center"/>
            </w:pPr>
            <w:r>
              <w:rPr>
                <w:rFonts w:ascii="Times New Roman" w:eastAsia="Times New Roman" w:hAnsi="Times New Roman" w:cs="Times New Roman"/>
              </w:rPr>
              <w:t xml:space="preserve">3,5 </w:t>
            </w:r>
          </w:p>
        </w:tc>
        <w:tc>
          <w:tcPr>
            <w:tcW w:w="88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9"/>
              <w:jc w:val="center"/>
            </w:pPr>
            <w:r>
              <w:rPr>
                <w:rFonts w:ascii="Times New Roman" w:eastAsia="Times New Roman" w:hAnsi="Times New Roman" w:cs="Times New Roman"/>
              </w:rPr>
              <w:t xml:space="preserve">500 </w:t>
            </w:r>
          </w:p>
        </w:tc>
      </w:tr>
      <w:tr w:rsidR="0052701D">
        <w:trPr>
          <w:trHeight w:val="653"/>
        </w:trPr>
        <w:tc>
          <w:tcPr>
            <w:tcW w:w="135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1"/>
              <w:jc w:val="center"/>
            </w:pPr>
            <w:r>
              <w:rPr>
                <w:rFonts w:ascii="Times New Roman" w:eastAsia="Times New Roman" w:hAnsi="Times New Roman" w:cs="Times New Roman"/>
              </w:rPr>
              <w:t xml:space="preserve">RHEX </w:t>
            </w:r>
          </w:p>
        </w:tc>
        <w:tc>
          <w:tcPr>
            <w:tcW w:w="1272" w:type="dxa"/>
            <w:tcBorders>
              <w:top w:val="single" w:sz="6" w:space="0" w:color="000000"/>
              <w:left w:val="single" w:sz="6" w:space="0" w:color="000000"/>
              <w:bottom w:val="single" w:sz="6" w:space="0" w:color="000000"/>
              <w:right w:val="single" w:sz="6" w:space="0" w:color="000000"/>
            </w:tcBorders>
          </w:tcPr>
          <w:p w:rsidR="0052701D" w:rsidRDefault="00D40929">
            <w:pPr>
              <w:spacing w:after="0"/>
              <w:jc w:val="center"/>
            </w:pPr>
            <w:r>
              <w:rPr>
                <w:rFonts w:ascii="Times New Roman" w:eastAsia="Times New Roman" w:hAnsi="Times New Roman" w:cs="Times New Roman"/>
              </w:rPr>
              <w:t xml:space="preserve">Boston Dynamics </w:t>
            </w:r>
          </w:p>
        </w:tc>
        <w:tc>
          <w:tcPr>
            <w:tcW w:w="908"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238"/>
            </w:pPr>
            <w:r>
              <w:rPr>
                <w:rFonts w:ascii="Times New Roman" w:eastAsia="Times New Roman" w:hAnsi="Times New Roman" w:cs="Times New Roman"/>
              </w:rPr>
              <w:t xml:space="preserve">USA </w:t>
            </w:r>
          </w:p>
        </w:tc>
        <w:tc>
          <w:tcPr>
            <w:tcW w:w="99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46"/>
            </w:pPr>
            <w:r>
              <w:rPr>
                <w:rFonts w:ascii="Times New Roman" w:eastAsia="Times New Roman" w:hAnsi="Times New Roman" w:cs="Times New Roman"/>
              </w:rPr>
              <w:t xml:space="preserve">walking </w:t>
            </w:r>
          </w:p>
        </w:tc>
        <w:tc>
          <w:tcPr>
            <w:tcW w:w="1618"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204"/>
            </w:pPr>
            <w:r>
              <w:rPr>
                <w:rFonts w:ascii="Times New Roman" w:eastAsia="Times New Roman" w:hAnsi="Times New Roman" w:cs="Times New Roman"/>
              </w:rPr>
              <w:t xml:space="preserve">470x200x120 </w:t>
            </w:r>
          </w:p>
        </w:tc>
        <w:tc>
          <w:tcPr>
            <w:tcW w:w="725"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9"/>
              <w:jc w:val="center"/>
            </w:pPr>
            <w:r>
              <w:rPr>
                <w:rFonts w:ascii="Times New Roman" w:eastAsia="Times New Roman" w:hAnsi="Times New Roman" w:cs="Times New Roman"/>
              </w:rPr>
              <w:t xml:space="preserve">7,2 </w:t>
            </w:r>
          </w:p>
        </w:tc>
        <w:tc>
          <w:tcPr>
            <w:tcW w:w="773"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4"/>
              <w:jc w:val="center"/>
            </w:pPr>
            <w:r>
              <w:rPr>
                <w:rFonts w:ascii="Times New Roman" w:eastAsia="Times New Roman" w:hAnsi="Times New Roman" w:cs="Times New Roman"/>
              </w:rPr>
              <w:t xml:space="preserve">2,25 </w:t>
            </w:r>
          </w:p>
        </w:tc>
        <w:tc>
          <w:tcPr>
            <w:tcW w:w="74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7"/>
              <w:jc w:val="both"/>
            </w:pPr>
            <w:r>
              <w:rPr>
                <w:rFonts w:ascii="Times New Roman" w:eastAsia="Times New Roman" w:hAnsi="Times New Roman" w:cs="Times New Roman"/>
              </w:rPr>
              <w:t>0,1...0,8</w:t>
            </w:r>
          </w:p>
        </w:tc>
        <w:tc>
          <w:tcPr>
            <w:tcW w:w="884" w:type="dxa"/>
            <w:tcBorders>
              <w:top w:val="single" w:sz="6" w:space="0" w:color="000000"/>
              <w:left w:val="single" w:sz="6" w:space="0" w:color="000000"/>
              <w:bottom w:val="single" w:sz="6" w:space="0" w:color="000000"/>
              <w:right w:val="single" w:sz="6" w:space="0" w:color="000000"/>
            </w:tcBorders>
          </w:tcPr>
          <w:p w:rsidR="0052701D" w:rsidRDefault="00D40929">
            <w:pPr>
              <w:tabs>
                <w:tab w:val="center" w:pos="446"/>
              </w:tabs>
              <w:spacing w:after="0"/>
              <w:ind w:left="-12"/>
            </w:pPr>
            <w:r>
              <w:rPr>
                <w:rFonts w:ascii="Times New Roman" w:eastAsia="Times New Roman" w:hAnsi="Times New Roman" w:cs="Times New Roman"/>
              </w:rPr>
              <w:t xml:space="preserve"> </w:t>
            </w:r>
            <w:r>
              <w:rPr>
                <w:rFonts w:ascii="Times New Roman" w:eastAsia="Times New Roman" w:hAnsi="Times New Roman" w:cs="Times New Roman"/>
              </w:rPr>
              <w:tab/>
              <w:t xml:space="preserve">600 </w:t>
            </w:r>
          </w:p>
        </w:tc>
      </w:tr>
      <w:tr w:rsidR="0052701D">
        <w:trPr>
          <w:trHeight w:val="648"/>
        </w:trPr>
        <w:tc>
          <w:tcPr>
            <w:tcW w:w="135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4"/>
              <w:jc w:val="center"/>
            </w:pPr>
            <w:r>
              <w:rPr>
                <w:rFonts w:ascii="Times New Roman" w:eastAsia="Times New Roman" w:hAnsi="Times New Roman" w:cs="Times New Roman"/>
              </w:rPr>
              <w:t xml:space="preserve">SpyRobot 4WD </w:t>
            </w:r>
          </w:p>
        </w:tc>
        <w:tc>
          <w:tcPr>
            <w:tcW w:w="1272"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13"/>
            </w:pPr>
            <w:r>
              <w:rPr>
                <w:rFonts w:ascii="Times New Roman" w:eastAsia="Times New Roman" w:hAnsi="Times New Roman" w:cs="Times New Roman"/>
              </w:rPr>
              <w:t xml:space="preserve">Macroswiss </w:t>
            </w:r>
          </w:p>
        </w:tc>
        <w:tc>
          <w:tcPr>
            <w:tcW w:w="908"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349" w:hanging="308"/>
            </w:pPr>
            <w:r>
              <w:rPr>
                <w:rFonts w:ascii="Times New Roman" w:eastAsia="Times New Roman" w:hAnsi="Times New Roman" w:cs="Times New Roman"/>
              </w:rPr>
              <w:t xml:space="preserve">Switzerla nd </w:t>
            </w:r>
          </w:p>
        </w:tc>
        <w:tc>
          <w:tcPr>
            <w:tcW w:w="99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08" w:right="43"/>
              <w:jc w:val="center"/>
            </w:pPr>
            <w:r>
              <w:rPr>
                <w:rFonts w:ascii="Times New Roman" w:eastAsia="Times New Roman" w:hAnsi="Times New Roman" w:cs="Times New Roman"/>
              </w:rPr>
              <w:t xml:space="preserve">4- wheels </w:t>
            </w:r>
          </w:p>
        </w:tc>
        <w:tc>
          <w:tcPr>
            <w:tcW w:w="1618"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204"/>
            </w:pPr>
            <w:r>
              <w:rPr>
                <w:rFonts w:ascii="Times New Roman" w:eastAsia="Times New Roman" w:hAnsi="Times New Roman" w:cs="Times New Roman"/>
              </w:rPr>
              <w:t xml:space="preserve">427x290x170 </w:t>
            </w:r>
          </w:p>
        </w:tc>
        <w:tc>
          <w:tcPr>
            <w:tcW w:w="725"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5"/>
              <w:jc w:val="center"/>
            </w:pPr>
            <w:r>
              <w:rPr>
                <w:rFonts w:ascii="Times New Roman" w:eastAsia="Times New Roman" w:hAnsi="Times New Roman" w:cs="Times New Roman"/>
              </w:rPr>
              <w:t xml:space="preserve">6 </w:t>
            </w:r>
          </w:p>
        </w:tc>
        <w:tc>
          <w:tcPr>
            <w:tcW w:w="773"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9"/>
              <w:jc w:val="center"/>
            </w:pPr>
            <w:r>
              <w:rPr>
                <w:rFonts w:ascii="Times New Roman" w:eastAsia="Times New Roman" w:hAnsi="Times New Roman" w:cs="Times New Roman"/>
              </w:rPr>
              <w:t xml:space="preserve">2,8 </w:t>
            </w:r>
          </w:p>
        </w:tc>
        <w:tc>
          <w:tcPr>
            <w:tcW w:w="74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27"/>
            </w:pPr>
            <w:r>
              <w:rPr>
                <w:rFonts w:ascii="Times New Roman" w:eastAsia="Times New Roman" w:hAnsi="Times New Roman" w:cs="Times New Roman"/>
              </w:rPr>
              <w:t xml:space="preserve">4...12 </w:t>
            </w:r>
          </w:p>
        </w:tc>
        <w:tc>
          <w:tcPr>
            <w:tcW w:w="88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9"/>
              <w:jc w:val="center"/>
            </w:pPr>
            <w:r>
              <w:rPr>
                <w:rFonts w:ascii="Times New Roman" w:eastAsia="Times New Roman" w:hAnsi="Times New Roman" w:cs="Times New Roman"/>
              </w:rPr>
              <w:t xml:space="preserve">400 </w:t>
            </w:r>
          </w:p>
        </w:tc>
      </w:tr>
      <w:tr w:rsidR="0052701D">
        <w:trPr>
          <w:trHeight w:val="552"/>
        </w:trPr>
        <w:tc>
          <w:tcPr>
            <w:tcW w:w="135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61"/>
              <w:jc w:val="center"/>
            </w:pPr>
            <w:r>
              <w:rPr>
                <w:rFonts w:ascii="Times New Roman" w:eastAsia="Times New Roman" w:hAnsi="Times New Roman" w:cs="Times New Roman"/>
                <w:b/>
              </w:rPr>
              <w:t xml:space="preserve"> </w:t>
            </w:r>
          </w:p>
          <w:p w:rsidR="0052701D" w:rsidRDefault="00D40929">
            <w:pPr>
              <w:spacing w:after="0"/>
              <w:ind w:left="4"/>
              <w:jc w:val="center"/>
            </w:pPr>
            <w:r>
              <w:rPr>
                <w:rFonts w:ascii="Times New Roman" w:eastAsia="Times New Roman" w:hAnsi="Times New Roman" w:cs="Times New Roman"/>
              </w:rPr>
              <w:t xml:space="preserve">VIPER </w:t>
            </w:r>
          </w:p>
        </w:tc>
        <w:tc>
          <w:tcPr>
            <w:tcW w:w="1272"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31"/>
              <w:jc w:val="both"/>
            </w:pPr>
            <w:r>
              <w:rPr>
                <w:rFonts w:ascii="Times New Roman" w:eastAsia="Times New Roman" w:hAnsi="Times New Roman" w:cs="Times New Roman"/>
              </w:rPr>
              <w:t>Elbit Systems</w:t>
            </w:r>
          </w:p>
        </w:tc>
        <w:tc>
          <w:tcPr>
            <w:tcW w:w="908" w:type="dxa"/>
            <w:tcBorders>
              <w:top w:val="single" w:sz="6" w:space="0" w:color="000000"/>
              <w:left w:val="single" w:sz="6" w:space="0" w:color="000000"/>
              <w:bottom w:val="single" w:sz="6" w:space="0" w:color="000000"/>
              <w:right w:val="single" w:sz="6" w:space="0" w:color="000000"/>
            </w:tcBorders>
          </w:tcPr>
          <w:p w:rsidR="0052701D" w:rsidRDefault="00D40929">
            <w:pPr>
              <w:tabs>
                <w:tab w:val="right" w:pos="908"/>
              </w:tabs>
              <w:spacing w:after="0"/>
              <w:ind w:left="-26"/>
            </w:pPr>
            <w:r>
              <w:rPr>
                <w:rFonts w:ascii="Times New Roman" w:eastAsia="Times New Roman" w:hAnsi="Times New Roman" w:cs="Times New Roman"/>
              </w:rPr>
              <w:t xml:space="preserve"> </w:t>
            </w:r>
            <w:r>
              <w:rPr>
                <w:rFonts w:ascii="Times New Roman" w:eastAsia="Times New Roman" w:hAnsi="Times New Roman" w:cs="Times New Roman"/>
              </w:rPr>
              <w:tab/>
              <w:t xml:space="preserve">Israel </w:t>
            </w:r>
          </w:p>
        </w:tc>
        <w:tc>
          <w:tcPr>
            <w:tcW w:w="994" w:type="dxa"/>
            <w:tcBorders>
              <w:top w:val="single" w:sz="6" w:space="0" w:color="000000"/>
              <w:left w:val="single" w:sz="6" w:space="0" w:color="000000"/>
              <w:bottom w:val="single" w:sz="6" w:space="0" w:color="000000"/>
              <w:right w:val="single" w:sz="6" w:space="0" w:color="000000"/>
            </w:tcBorders>
          </w:tcPr>
          <w:p w:rsidR="0052701D" w:rsidRDefault="00D40929">
            <w:pPr>
              <w:spacing w:after="0"/>
              <w:jc w:val="center"/>
            </w:pPr>
            <w:r>
              <w:rPr>
                <w:rFonts w:ascii="Times New Roman" w:eastAsia="Times New Roman" w:hAnsi="Times New Roman" w:cs="Times New Roman"/>
              </w:rPr>
              <w:t xml:space="preserve">2-track transform </w:t>
            </w:r>
          </w:p>
        </w:tc>
        <w:tc>
          <w:tcPr>
            <w:tcW w:w="1618"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204"/>
            </w:pPr>
            <w:r>
              <w:rPr>
                <w:rFonts w:ascii="Times New Roman" w:eastAsia="Times New Roman" w:hAnsi="Times New Roman" w:cs="Times New Roman"/>
              </w:rPr>
              <w:t xml:space="preserve">460x460x230 </w:t>
            </w:r>
          </w:p>
        </w:tc>
        <w:tc>
          <w:tcPr>
            <w:tcW w:w="725"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65"/>
              <w:jc w:val="center"/>
            </w:pPr>
            <w:r>
              <w:rPr>
                <w:rFonts w:ascii="Times New Roman" w:eastAsia="Times New Roman" w:hAnsi="Times New Roman" w:cs="Times New Roman"/>
                <w:b/>
              </w:rPr>
              <w:t xml:space="preserve"> </w:t>
            </w:r>
          </w:p>
          <w:p w:rsidR="0052701D" w:rsidRDefault="00D40929">
            <w:pPr>
              <w:spacing w:after="0"/>
              <w:ind w:left="9"/>
              <w:jc w:val="center"/>
            </w:pPr>
            <w:r>
              <w:rPr>
                <w:rFonts w:ascii="Times New Roman" w:eastAsia="Times New Roman" w:hAnsi="Times New Roman" w:cs="Times New Roman"/>
              </w:rPr>
              <w:t xml:space="preserve">11 </w:t>
            </w:r>
          </w:p>
        </w:tc>
        <w:tc>
          <w:tcPr>
            <w:tcW w:w="773"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65"/>
              <w:jc w:val="center"/>
            </w:pPr>
            <w:r>
              <w:rPr>
                <w:rFonts w:ascii="Times New Roman" w:eastAsia="Times New Roman" w:hAnsi="Times New Roman" w:cs="Times New Roman"/>
                <w:b/>
              </w:rPr>
              <w:t xml:space="preserve"> </w:t>
            </w:r>
          </w:p>
          <w:p w:rsidR="0052701D" w:rsidRDefault="00D40929">
            <w:pPr>
              <w:spacing w:after="0"/>
              <w:ind w:left="19"/>
              <w:jc w:val="center"/>
            </w:pPr>
            <w:r>
              <w:rPr>
                <w:rFonts w:ascii="Times New Roman" w:eastAsia="Times New Roman" w:hAnsi="Times New Roman" w:cs="Times New Roman"/>
              </w:rPr>
              <w:t xml:space="preserve">2,2 </w:t>
            </w:r>
          </w:p>
        </w:tc>
        <w:tc>
          <w:tcPr>
            <w:tcW w:w="74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55"/>
              <w:jc w:val="center"/>
            </w:pPr>
            <w:r>
              <w:rPr>
                <w:rFonts w:ascii="Times New Roman" w:eastAsia="Times New Roman" w:hAnsi="Times New Roman" w:cs="Times New Roman"/>
                <w:b/>
              </w:rPr>
              <w:t xml:space="preserve"> </w:t>
            </w:r>
          </w:p>
          <w:p w:rsidR="0052701D" w:rsidRDefault="00D40929">
            <w:pPr>
              <w:spacing w:after="0"/>
              <w:ind w:left="127"/>
            </w:pPr>
            <w:r>
              <w:rPr>
                <w:rFonts w:ascii="Times New Roman" w:eastAsia="Times New Roman" w:hAnsi="Times New Roman" w:cs="Times New Roman"/>
              </w:rPr>
              <w:t xml:space="preserve">4...12 </w:t>
            </w:r>
          </w:p>
        </w:tc>
        <w:tc>
          <w:tcPr>
            <w:tcW w:w="88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59"/>
              <w:jc w:val="center"/>
            </w:pPr>
            <w:r>
              <w:rPr>
                <w:rFonts w:ascii="Times New Roman" w:eastAsia="Times New Roman" w:hAnsi="Times New Roman" w:cs="Times New Roman"/>
                <w:b/>
              </w:rPr>
              <w:t xml:space="preserve"> </w:t>
            </w:r>
          </w:p>
          <w:p w:rsidR="0052701D" w:rsidRDefault="00D40929">
            <w:pPr>
              <w:spacing w:after="0"/>
              <w:ind w:left="4"/>
              <w:jc w:val="center"/>
            </w:pPr>
            <w:r>
              <w:rPr>
                <w:rFonts w:ascii="Times New Roman" w:eastAsia="Times New Roman" w:hAnsi="Times New Roman" w:cs="Times New Roman"/>
              </w:rPr>
              <w:t xml:space="preserve">2000 </w:t>
            </w:r>
          </w:p>
        </w:tc>
      </w:tr>
      <w:tr w:rsidR="0052701D">
        <w:trPr>
          <w:trHeight w:val="773"/>
        </w:trPr>
        <w:tc>
          <w:tcPr>
            <w:tcW w:w="135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61"/>
              <w:jc w:val="center"/>
            </w:pPr>
            <w:r>
              <w:rPr>
                <w:rFonts w:ascii="Times New Roman" w:eastAsia="Times New Roman" w:hAnsi="Times New Roman" w:cs="Times New Roman"/>
                <w:b/>
              </w:rPr>
              <w:t xml:space="preserve"> </w:t>
            </w:r>
          </w:p>
          <w:p w:rsidR="0052701D" w:rsidRDefault="00D40929">
            <w:pPr>
              <w:spacing w:after="0"/>
              <w:ind w:left="1"/>
              <w:jc w:val="center"/>
            </w:pPr>
            <w:r>
              <w:rPr>
                <w:rFonts w:ascii="Times New Roman" w:eastAsia="Times New Roman" w:hAnsi="Times New Roman" w:cs="Times New Roman"/>
              </w:rPr>
              <w:t xml:space="preserve">EyeDrive </w:t>
            </w:r>
          </w:p>
        </w:tc>
        <w:tc>
          <w:tcPr>
            <w:tcW w:w="1272"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8"/>
              <w:jc w:val="center"/>
            </w:pPr>
            <w:r>
              <w:rPr>
                <w:rFonts w:ascii="Times New Roman" w:eastAsia="Times New Roman" w:hAnsi="Times New Roman" w:cs="Times New Roman"/>
              </w:rPr>
              <w:t xml:space="preserve">ODF </w:t>
            </w:r>
          </w:p>
          <w:p w:rsidR="0052701D" w:rsidRDefault="00D40929">
            <w:pPr>
              <w:spacing w:after="0"/>
              <w:jc w:val="center"/>
            </w:pPr>
            <w:r>
              <w:rPr>
                <w:rFonts w:ascii="Times New Roman" w:eastAsia="Times New Roman" w:hAnsi="Times New Roman" w:cs="Times New Roman"/>
              </w:rPr>
              <w:t xml:space="preserve">Optronics </w:t>
            </w:r>
          </w:p>
        </w:tc>
        <w:tc>
          <w:tcPr>
            <w:tcW w:w="908"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9"/>
              <w:jc w:val="center"/>
            </w:pPr>
            <w:r>
              <w:rPr>
                <w:rFonts w:ascii="Times New Roman" w:eastAsia="Times New Roman" w:hAnsi="Times New Roman" w:cs="Times New Roman"/>
              </w:rPr>
              <w:t xml:space="preserve">Israel </w:t>
            </w:r>
          </w:p>
        </w:tc>
        <w:tc>
          <w:tcPr>
            <w:tcW w:w="99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50" w:right="16"/>
              <w:jc w:val="center"/>
            </w:pPr>
            <w:r>
              <w:rPr>
                <w:rFonts w:ascii="Times New Roman" w:eastAsia="Times New Roman" w:hAnsi="Times New Roman" w:cs="Times New Roman"/>
              </w:rPr>
              <w:t xml:space="preserve">4- wheels, 2track. </w:t>
            </w:r>
          </w:p>
        </w:tc>
        <w:tc>
          <w:tcPr>
            <w:tcW w:w="1618"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204"/>
            </w:pPr>
            <w:r>
              <w:rPr>
                <w:rFonts w:ascii="Times New Roman" w:eastAsia="Times New Roman" w:hAnsi="Times New Roman" w:cs="Times New Roman"/>
              </w:rPr>
              <w:t xml:space="preserve">280x250x110 </w:t>
            </w:r>
          </w:p>
        </w:tc>
        <w:tc>
          <w:tcPr>
            <w:tcW w:w="725"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65"/>
              <w:jc w:val="center"/>
            </w:pPr>
            <w:r>
              <w:rPr>
                <w:rFonts w:ascii="Times New Roman" w:eastAsia="Times New Roman" w:hAnsi="Times New Roman" w:cs="Times New Roman"/>
                <w:b/>
              </w:rPr>
              <w:t xml:space="preserve"> </w:t>
            </w:r>
          </w:p>
          <w:p w:rsidR="0052701D" w:rsidRDefault="00D40929">
            <w:pPr>
              <w:spacing w:after="0"/>
              <w:ind w:left="9"/>
              <w:jc w:val="center"/>
            </w:pPr>
            <w:r>
              <w:rPr>
                <w:rFonts w:ascii="Times New Roman" w:eastAsia="Times New Roman" w:hAnsi="Times New Roman" w:cs="Times New Roman"/>
              </w:rPr>
              <w:t xml:space="preserve">3.8 </w:t>
            </w:r>
          </w:p>
        </w:tc>
        <w:tc>
          <w:tcPr>
            <w:tcW w:w="773"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65"/>
              <w:jc w:val="center"/>
            </w:pPr>
            <w:r>
              <w:rPr>
                <w:rFonts w:ascii="Times New Roman" w:eastAsia="Times New Roman" w:hAnsi="Times New Roman" w:cs="Times New Roman"/>
                <w:b/>
              </w:rPr>
              <w:t xml:space="preserve"> </w:t>
            </w:r>
          </w:p>
          <w:p w:rsidR="0052701D" w:rsidRDefault="00D40929">
            <w:pPr>
              <w:spacing w:after="0"/>
              <w:ind w:left="14"/>
              <w:jc w:val="center"/>
            </w:pPr>
            <w:r>
              <w:rPr>
                <w:rFonts w:ascii="Times New Roman" w:eastAsia="Times New Roman" w:hAnsi="Times New Roman" w:cs="Times New Roman"/>
              </w:rPr>
              <w:t xml:space="preserve">1,11 </w:t>
            </w:r>
          </w:p>
        </w:tc>
        <w:tc>
          <w:tcPr>
            <w:tcW w:w="74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55"/>
              <w:jc w:val="center"/>
            </w:pPr>
            <w:r>
              <w:rPr>
                <w:rFonts w:ascii="Times New Roman" w:eastAsia="Times New Roman" w:hAnsi="Times New Roman" w:cs="Times New Roman"/>
                <w:b/>
              </w:rPr>
              <w:t xml:space="preserve"> </w:t>
            </w:r>
          </w:p>
          <w:p w:rsidR="0052701D" w:rsidRDefault="00D40929">
            <w:pPr>
              <w:spacing w:after="0"/>
              <w:ind w:left="127"/>
            </w:pPr>
            <w:r>
              <w:rPr>
                <w:rFonts w:ascii="Times New Roman" w:eastAsia="Times New Roman" w:hAnsi="Times New Roman" w:cs="Times New Roman"/>
              </w:rPr>
              <w:t xml:space="preserve">3...24 </w:t>
            </w:r>
          </w:p>
        </w:tc>
        <w:tc>
          <w:tcPr>
            <w:tcW w:w="88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59"/>
              <w:jc w:val="center"/>
            </w:pPr>
            <w:r>
              <w:rPr>
                <w:rFonts w:ascii="Times New Roman" w:eastAsia="Times New Roman" w:hAnsi="Times New Roman" w:cs="Times New Roman"/>
                <w:b/>
              </w:rPr>
              <w:t xml:space="preserve"> </w:t>
            </w:r>
          </w:p>
          <w:p w:rsidR="0052701D" w:rsidRDefault="00D40929">
            <w:pPr>
              <w:spacing w:after="0"/>
              <w:ind w:left="9"/>
              <w:jc w:val="center"/>
            </w:pPr>
            <w:r>
              <w:rPr>
                <w:rFonts w:ascii="Times New Roman" w:eastAsia="Times New Roman" w:hAnsi="Times New Roman" w:cs="Times New Roman"/>
              </w:rPr>
              <w:t xml:space="preserve">300 </w:t>
            </w:r>
          </w:p>
        </w:tc>
      </w:tr>
      <w:tr w:rsidR="0052701D">
        <w:trPr>
          <w:trHeight w:val="523"/>
        </w:trPr>
        <w:tc>
          <w:tcPr>
            <w:tcW w:w="135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7"/>
              <w:jc w:val="center"/>
            </w:pPr>
            <w:r>
              <w:rPr>
                <w:rFonts w:ascii="Times New Roman" w:eastAsia="Times New Roman" w:hAnsi="Times New Roman" w:cs="Times New Roman"/>
              </w:rPr>
              <w:t xml:space="preserve">Cobra </w:t>
            </w:r>
          </w:p>
        </w:tc>
        <w:tc>
          <w:tcPr>
            <w:tcW w:w="1272"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1"/>
              <w:jc w:val="center"/>
            </w:pPr>
            <w:r>
              <w:rPr>
                <w:rFonts w:ascii="Times New Roman" w:eastAsia="Times New Roman" w:hAnsi="Times New Roman" w:cs="Times New Roman"/>
              </w:rPr>
              <w:t xml:space="preserve">ECA </w:t>
            </w:r>
          </w:p>
        </w:tc>
        <w:tc>
          <w:tcPr>
            <w:tcW w:w="908"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57"/>
            </w:pPr>
            <w:r>
              <w:rPr>
                <w:rFonts w:ascii="Times New Roman" w:eastAsia="Times New Roman" w:hAnsi="Times New Roman" w:cs="Times New Roman"/>
              </w:rPr>
              <w:t xml:space="preserve">France </w:t>
            </w:r>
          </w:p>
        </w:tc>
        <w:tc>
          <w:tcPr>
            <w:tcW w:w="99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81" w:right="16"/>
              <w:jc w:val="center"/>
            </w:pPr>
            <w:r>
              <w:rPr>
                <w:rFonts w:ascii="Times New Roman" w:eastAsia="Times New Roman" w:hAnsi="Times New Roman" w:cs="Times New Roman"/>
              </w:rPr>
              <w:t xml:space="preserve">4- wheels. </w:t>
            </w:r>
          </w:p>
        </w:tc>
        <w:tc>
          <w:tcPr>
            <w:tcW w:w="1618"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204"/>
            </w:pPr>
            <w:r>
              <w:rPr>
                <w:rFonts w:ascii="Times New Roman" w:eastAsia="Times New Roman" w:hAnsi="Times New Roman" w:cs="Times New Roman"/>
              </w:rPr>
              <w:t xml:space="preserve">364x392x170 </w:t>
            </w:r>
          </w:p>
        </w:tc>
        <w:tc>
          <w:tcPr>
            <w:tcW w:w="725"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9"/>
              <w:jc w:val="center"/>
            </w:pPr>
            <w:r>
              <w:rPr>
                <w:rFonts w:ascii="Times New Roman" w:eastAsia="Times New Roman" w:hAnsi="Times New Roman" w:cs="Times New Roman"/>
              </w:rPr>
              <w:t xml:space="preserve">5,6 </w:t>
            </w:r>
          </w:p>
        </w:tc>
        <w:tc>
          <w:tcPr>
            <w:tcW w:w="773"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9"/>
              <w:jc w:val="center"/>
            </w:pPr>
            <w:r>
              <w:rPr>
                <w:rFonts w:ascii="Times New Roman" w:eastAsia="Times New Roman" w:hAnsi="Times New Roman" w:cs="Times New Roman"/>
              </w:rPr>
              <w:t xml:space="preserve">2,1 </w:t>
            </w:r>
          </w:p>
        </w:tc>
        <w:tc>
          <w:tcPr>
            <w:tcW w:w="74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5"/>
              <w:jc w:val="center"/>
            </w:pPr>
            <w:r>
              <w:rPr>
                <w:rFonts w:ascii="Times New Roman" w:eastAsia="Times New Roman" w:hAnsi="Times New Roman" w:cs="Times New Roman"/>
              </w:rPr>
              <w:t xml:space="preserve">2 </w:t>
            </w:r>
          </w:p>
        </w:tc>
        <w:tc>
          <w:tcPr>
            <w:tcW w:w="88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9"/>
              <w:jc w:val="center"/>
            </w:pPr>
            <w:r>
              <w:rPr>
                <w:rFonts w:ascii="Times New Roman" w:eastAsia="Times New Roman" w:hAnsi="Times New Roman" w:cs="Times New Roman"/>
              </w:rPr>
              <w:t xml:space="preserve">130 </w:t>
            </w:r>
          </w:p>
        </w:tc>
      </w:tr>
      <w:tr w:rsidR="0052701D">
        <w:trPr>
          <w:trHeight w:val="518"/>
        </w:trPr>
        <w:tc>
          <w:tcPr>
            <w:tcW w:w="135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228"/>
            </w:pPr>
            <w:r>
              <w:rPr>
                <w:rFonts w:ascii="Times New Roman" w:eastAsia="Times New Roman" w:hAnsi="Times New Roman" w:cs="Times New Roman"/>
              </w:rPr>
              <w:t xml:space="preserve">MiniUGV </w:t>
            </w:r>
          </w:p>
        </w:tc>
        <w:tc>
          <w:tcPr>
            <w:tcW w:w="1272"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56"/>
            </w:pPr>
            <w:r>
              <w:rPr>
                <w:rFonts w:ascii="Times New Roman" w:eastAsia="Times New Roman" w:hAnsi="Times New Roman" w:cs="Times New Roman"/>
              </w:rPr>
              <w:t xml:space="preserve">Eventronic </w:t>
            </w:r>
          </w:p>
        </w:tc>
        <w:tc>
          <w:tcPr>
            <w:tcW w:w="908"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5"/>
              <w:jc w:val="center"/>
            </w:pPr>
            <w:r>
              <w:rPr>
                <w:rFonts w:ascii="Times New Roman" w:eastAsia="Times New Roman" w:hAnsi="Times New Roman" w:cs="Times New Roman"/>
              </w:rPr>
              <w:t xml:space="preserve">Spain </w:t>
            </w:r>
          </w:p>
        </w:tc>
        <w:tc>
          <w:tcPr>
            <w:tcW w:w="99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81" w:right="16"/>
              <w:jc w:val="center"/>
            </w:pPr>
            <w:r>
              <w:rPr>
                <w:rFonts w:ascii="Times New Roman" w:eastAsia="Times New Roman" w:hAnsi="Times New Roman" w:cs="Times New Roman"/>
              </w:rPr>
              <w:t xml:space="preserve">4- wheels. </w:t>
            </w:r>
          </w:p>
        </w:tc>
        <w:tc>
          <w:tcPr>
            <w:tcW w:w="1618"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204"/>
            </w:pPr>
            <w:r>
              <w:rPr>
                <w:rFonts w:ascii="Times New Roman" w:eastAsia="Times New Roman" w:hAnsi="Times New Roman" w:cs="Times New Roman"/>
              </w:rPr>
              <w:t xml:space="preserve">310x320x160 </w:t>
            </w:r>
          </w:p>
        </w:tc>
        <w:tc>
          <w:tcPr>
            <w:tcW w:w="725"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9"/>
              <w:jc w:val="center"/>
            </w:pPr>
            <w:r>
              <w:rPr>
                <w:rFonts w:ascii="Times New Roman" w:eastAsia="Times New Roman" w:hAnsi="Times New Roman" w:cs="Times New Roman"/>
              </w:rPr>
              <w:t xml:space="preserve">2,8 </w:t>
            </w:r>
          </w:p>
        </w:tc>
        <w:tc>
          <w:tcPr>
            <w:tcW w:w="773"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9"/>
              <w:jc w:val="center"/>
            </w:pPr>
            <w:r>
              <w:rPr>
                <w:rFonts w:ascii="Times New Roman" w:eastAsia="Times New Roman" w:hAnsi="Times New Roman" w:cs="Times New Roman"/>
              </w:rPr>
              <w:t xml:space="preserve">4,2 </w:t>
            </w:r>
          </w:p>
        </w:tc>
        <w:tc>
          <w:tcPr>
            <w:tcW w:w="74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5"/>
              <w:jc w:val="center"/>
            </w:pPr>
            <w:r>
              <w:rPr>
                <w:rFonts w:ascii="Times New Roman" w:eastAsia="Times New Roman" w:hAnsi="Times New Roman" w:cs="Times New Roman"/>
              </w:rPr>
              <w:t xml:space="preserve">2 </w:t>
            </w:r>
          </w:p>
        </w:tc>
        <w:tc>
          <w:tcPr>
            <w:tcW w:w="88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9"/>
              <w:jc w:val="center"/>
            </w:pPr>
            <w:r>
              <w:rPr>
                <w:rFonts w:ascii="Times New Roman" w:eastAsia="Times New Roman" w:hAnsi="Times New Roman" w:cs="Times New Roman"/>
              </w:rPr>
              <w:t xml:space="preserve">100 </w:t>
            </w:r>
          </w:p>
        </w:tc>
      </w:tr>
      <w:tr w:rsidR="0052701D">
        <w:trPr>
          <w:trHeight w:val="1028"/>
        </w:trPr>
        <w:tc>
          <w:tcPr>
            <w:tcW w:w="135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61"/>
              <w:jc w:val="center"/>
            </w:pPr>
            <w:r>
              <w:rPr>
                <w:rFonts w:ascii="Times New Roman" w:eastAsia="Times New Roman" w:hAnsi="Times New Roman" w:cs="Times New Roman"/>
                <w:b/>
              </w:rPr>
              <w:t xml:space="preserve"> </w:t>
            </w:r>
          </w:p>
          <w:p w:rsidR="0052701D" w:rsidRDefault="00D40929">
            <w:pPr>
              <w:spacing w:after="0"/>
              <w:ind w:left="4"/>
              <w:jc w:val="center"/>
            </w:pPr>
            <w:r>
              <w:rPr>
                <w:rFonts w:ascii="Times New Roman" w:eastAsia="Times New Roman" w:hAnsi="Times New Roman" w:cs="Times New Roman"/>
              </w:rPr>
              <w:t xml:space="preserve">Scout </w:t>
            </w:r>
          </w:p>
        </w:tc>
        <w:tc>
          <w:tcPr>
            <w:tcW w:w="1272"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65"/>
              <w:jc w:val="center"/>
            </w:pPr>
            <w:r>
              <w:rPr>
                <w:rFonts w:ascii="Times New Roman" w:eastAsia="Times New Roman" w:hAnsi="Times New Roman" w:cs="Times New Roman"/>
                <w:b/>
              </w:rPr>
              <w:t xml:space="preserve"> </w:t>
            </w:r>
          </w:p>
          <w:p w:rsidR="0052701D" w:rsidRDefault="00D40929">
            <w:pPr>
              <w:spacing w:after="0"/>
              <w:ind w:left="3"/>
              <w:jc w:val="center"/>
            </w:pPr>
            <w:r>
              <w:rPr>
                <w:rFonts w:ascii="Times New Roman" w:eastAsia="Times New Roman" w:hAnsi="Times New Roman" w:cs="Times New Roman"/>
              </w:rPr>
              <w:t xml:space="preserve">PIAP </w:t>
            </w:r>
          </w:p>
        </w:tc>
        <w:tc>
          <w:tcPr>
            <w:tcW w:w="908"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65"/>
              <w:jc w:val="center"/>
            </w:pPr>
            <w:r>
              <w:rPr>
                <w:rFonts w:ascii="Times New Roman" w:eastAsia="Times New Roman" w:hAnsi="Times New Roman" w:cs="Times New Roman"/>
                <w:b/>
              </w:rPr>
              <w:t xml:space="preserve"> </w:t>
            </w:r>
          </w:p>
          <w:p w:rsidR="0052701D" w:rsidRDefault="00D40929">
            <w:pPr>
              <w:spacing w:after="0"/>
              <w:ind w:left="152"/>
            </w:pPr>
            <w:r>
              <w:rPr>
                <w:rFonts w:ascii="Times New Roman" w:eastAsia="Times New Roman" w:hAnsi="Times New Roman" w:cs="Times New Roman"/>
              </w:rPr>
              <w:t xml:space="preserve">Poland </w:t>
            </w:r>
          </w:p>
        </w:tc>
        <w:tc>
          <w:tcPr>
            <w:tcW w:w="994" w:type="dxa"/>
            <w:tcBorders>
              <w:top w:val="single" w:sz="6" w:space="0" w:color="000000"/>
              <w:left w:val="single" w:sz="6" w:space="0" w:color="000000"/>
              <w:bottom w:val="single" w:sz="6" w:space="0" w:color="000000"/>
              <w:right w:val="single" w:sz="6" w:space="0" w:color="000000"/>
            </w:tcBorders>
          </w:tcPr>
          <w:p w:rsidR="0052701D" w:rsidRDefault="00D40929">
            <w:pPr>
              <w:spacing w:after="0" w:line="239" w:lineRule="auto"/>
              <w:ind w:left="50" w:right="16"/>
              <w:jc w:val="center"/>
            </w:pPr>
            <w:r>
              <w:rPr>
                <w:rFonts w:ascii="Times New Roman" w:eastAsia="Times New Roman" w:hAnsi="Times New Roman" w:cs="Times New Roman"/>
              </w:rPr>
              <w:t xml:space="preserve">4- wheels, 2track, </w:t>
            </w:r>
          </w:p>
          <w:p w:rsidR="0052701D" w:rsidRDefault="00D40929">
            <w:pPr>
              <w:spacing w:after="0"/>
              <w:ind w:left="161"/>
            </w:pPr>
            <w:r>
              <w:rPr>
                <w:rFonts w:ascii="Times New Roman" w:eastAsia="Times New Roman" w:hAnsi="Times New Roman" w:cs="Times New Roman"/>
              </w:rPr>
              <w:t xml:space="preserve">4-track. </w:t>
            </w:r>
          </w:p>
        </w:tc>
        <w:tc>
          <w:tcPr>
            <w:tcW w:w="1618"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56"/>
              <w:jc w:val="center"/>
            </w:pPr>
            <w:r>
              <w:rPr>
                <w:rFonts w:ascii="Times New Roman" w:eastAsia="Times New Roman" w:hAnsi="Times New Roman" w:cs="Times New Roman"/>
                <w:b/>
              </w:rPr>
              <w:t xml:space="preserve"> </w:t>
            </w:r>
          </w:p>
          <w:p w:rsidR="0052701D" w:rsidRDefault="00D40929">
            <w:pPr>
              <w:spacing w:after="0"/>
              <w:ind w:left="204"/>
            </w:pPr>
            <w:r>
              <w:rPr>
                <w:rFonts w:ascii="Times New Roman" w:eastAsia="Times New Roman" w:hAnsi="Times New Roman" w:cs="Times New Roman"/>
              </w:rPr>
              <w:t xml:space="preserve">530x543x180 </w:t>
            </w:r>
          </w:p>
        </w:tc>
        <w:tc>
          <w:tcPr>
            <w:tcW w:w="725"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65"/>
              <w:jc w:val="center"/>
            </w:pPr>
            <w:r>
              <w:rPr>
                <w:rFonts w:ascii="Times New Roman" w:eastAsia="Times New Roman" w:hAnsi="Times New Roman" w:cs="Times New Roman"/>
                <w:b/>
              </w:rPr>
              <w:t xml:space="preserve"> </w:t>
            </w:r>
          </w:p>
          <w:p w:rsidR="0052701D" w:rsidRDefault="00D40929">
            <w:pPr>
              <w:spacing w:after="0"/>
              <w:ind w:left="9"/>
              <w:jc w:val="center"/>
            </w:pPr>
            <w:r>
              <w:rPr>
                <w:rFonts w:ascii="Times New Roman" w:eastAsia="Times New Roman" w:hAnsi="Times New Roman" w:cs="Times New Roman"/>
              </w:rPr>
              <w:t xml:space="preserve">13 </w:t>
            </w:r>
          </w:p>
        </w:tc>
        <w:tc>
          <w:tcPr>
            <w:tcW w:w="773"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65"/>
              <w:jc w:val="center"/>
            </w:pPr>
            <w:r>
              <w:rPr>
                <w:rFonts w:ascii="Times New Roman" w:eastAsia="Times New Roman" w:hAnsi="Times New Roman" w:cs="Times New Roman"/>
                <w:b/>
              </w:rPr>
              <w:t xml:space="preserve"> </w:t>
            </w:r>
          </w:p>
          <w:p w:rsidR="0052701D" w:rsidRDefault="00D40929">
            <w:pPr>
              <w:spacing w:after="0"/>
              <w:ind w:left="36"/>
              <w:jc w:val="both"/>
            </w:pPr>
            <w:r>
              <w:rPr>
                <w:rFonts w:ascii="Times New Roman" w:eastAsia="Times New Roman" w:hAnsi="Times New Roman" w:cs="Times New Roman"/>
              </w:rPr>
              <w:t>2,2...2.8</w:t>
            </w:r>
          </w:p>
        </w:tc>
        <w:tc>
          <w:tcPr>
            <w:tcW w:w="74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55"/>
              <w:jc w:val="center"/>
            </w:pPr>
            <w:r>
              <w:rPr>
                <w:rFonts w:ascii="Times New Roman" w:eastAsia="Times New Roman" w:hAnsi="Times New Roman" w:cs="Times New Roman"/>
                <w:b/>
              </w:rPr>
              <w:t xml:space="preserve"> </w:t>
            </w:r>
          </w:p>
          <w:p w:rsidR="0052701D" w:rsidRDefault="00D40929">
            <w:pPr>
              <w:tabs>
                <w:tab w:val="center" w:pos="375"/>
              </w:tabs>
              <w:spacing w:after="0"/>
              <w:ind w:left="-22"/>
            </w:pPr>
            <w:r>
              <w:rPr>
                <w:rFonts w:ascii="Times New Roman" w:eastAsia="Times New Roman" w:hAnsi="Times New Roman" w:cs="Times New Roman"/>
              </w:rPr>
              <w:t xml:space="preserve"> </w:t>
            </w:r>
            <w:r>
              <w:rPr>
                <w:rFonts w:ascii="Times New Roman" w:eastAsia="Times New Roman" w:hAnsi="Times New Roman" w:cs="Times New Roman"/>
              </w:rPr>
              <w:tab/>
              <w:t xml:space="preserve">- </w:t>
            </w:r>
          </w:p>
        </w:tc>
        <w:tc>
          <w:tcPr>
            <w:tcW w:w="88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59"/>
              <w:jc w:val="center"/>
            </w:pPr>
            <w:r>
              <w:rPr>
                <w:rFonts w:ascii="Times New Roman" w:eastAsia="Times New Roman" w:hAnsi="Times New Roman" w:cs="Times New Roman"/>
                <w:b/>
              </w:rPr>
              <w:t xml:space="preserve"> </w:t>
            </w:r>
          </w:p>
          <w:p w:rsidR="0052701D" w:rsidRDefault="00D40929">
            <w:pPr>
              <w:spacing w:after="0"/>
              <w:ind w:left="9"/>
              <w:jc w:val="center"/>
            </w:pPr>
            <w:r>
              <w:rPr>
                <w:rFonts w:ascii="Times New Roman" w:eastAsia="Times New Roman" w:hAnsi="Times New Roman" w:cs="Times New Roman"/>
              </w:rPr>
              <w:t xml:space="preserve">500 </w:t>
            </w:r>
          </w:p>
        </w:tc>
      </w:tr>
      <w:tr w:rsidR="0052701D">
        <w:trPr>
          <w:trHeight w:val="557"/>
        </w:trPr>
        <w:tc>
          <w:tcPr>
            <w:tcW w:w="135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257"/>
            </w:pPr>
            <w:r>
              <w:rPr>
                <w:rFonts w:ascii="Times New Roman" w:eastAsia="Times New Roman" w:hAnsi="Times New Roman" w:cs="Times New Roman"/>
              </w:rPr>
              <w:t xml:space="preserve">X-MUTS </w:t>
            </w:r>
          </w:p>
        </w:tc>
        <w:tc>
          <w:tcPr>
            <w:tcW w:w="1272"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5"/>
              <w:jc w:val="center"/>
            </w:pPr>
            <w:r>
              <w:rPr>
                <w:rFonts w:ascii="Times New Roman" w:eastAsia="Times New Roman" w:hAnsi="Times New Roman" w:cs="Times New Roman"/>
              </w:rPr>
              <w:t xml:space="preserve">DSTO </w:t>
            </w:r>
          </w:p>
        </w:tc>
        <w:tc>
          <w:tcPr>
            <w:tcW w:w="908"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55"/>
              <w:jc w:val="both"/>
            </w:pPr>
            <w:r>
              <w:rPr>
                <w:rFonts w:ascii="Times New Roman" w:eastAsia="Times New Roman" w:hAnsi="Times New Roman" w:cs="Times New Roman"/>
              </w:rPr>
              <w:t xml:space="preserve">Australia </w:t>
            </w:r>
          </w:p>
        </w:tc>
        <w:tc>
          <w:tcPr>
            <w:tcW w:w="99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81" w:right="16"/>
              <w:jc w:val="center"/>
            </w:pPr>
            <w:r>
              <w:rPr>
                <w:rFonts w:ascii="Times New Roman" w:eastAsia="Times New Roman" w:hAnsi="Times New Roman" w:cs="Times New Roman"/>
              </w:rPr>
              <w:t xml:space="preserve">4- wheels. </w:t>
            </w:r>
          </w:p>
        </w:tc>
        <w:tc>
          <w:tcPr>
            <w:tcW w:w="1618"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204"/>
            </w:pPr>
            <w:r>
              <w:rPr>
                <w:rFonts w:ascii="Times New Roman" w:eastAsia="Times New Roman" w:hAnsi="Times New Roman" w:cs="Times New Roman"/>
              </w:rPr>
              <w:t xml:space="preserve">400x300x120 </w:t>
            </w:r>
          </w:p>
        </w:tc>
        <w:tc>
          <w:tcPr>
            <w:tcW w:w="725"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9"/>
              <w:jc w:val="center"/>
            </w:pPr>
            <w:r>
              <w:rPr>
                <w:rFonts w:ascii="Times New Roman" w:eastAsia="Times New Roman" w:hAnsi="Times New Roman" w:cs="Times New Roman"/>
              </w:rPr>
              <w:t xml:space="preserve">10 </w:t>
            </w:r>
          </w:p>
        </w:tc>
        <w:tc>
          <w:tcPr>
            <w:tcW w:w="773"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6"/>
              <w:jc w:val="center"/>
            </w:pPr>
            <w:r>
              <w:rPr>
                <w:rFonts w:ascii="Times New Roman" w:eastAsia="Times New Roman" w:hAnsi="Times New Roman" w:cs="Times New Roman"/>
              </w:rPr>
              <w:t xml:space="preserve">- </w:t>
            </w:r>
          </w:p>
        </w:tc>
        <w:tc>
          <w:tcPr>
            <w:tcW w:w="74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0"/>
              <w:jc w:val="center"/>
            </w:pPr>
            <w:r>
              <w:rPr>
                <w:rFonts w:ascii="Times New Roman" w:eastAsia="Times New Roman" w:hAnsi="Times New Roman" w:cs="Times New Roman"/>
              </w:rPr>
              <w:t xml:space="preserve">0,5 </w:t>
            </w:r>
          </w:p>
        </w:tc>
        <w:tc>
          <w:tcPr>
            <w:tcW w:w="88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4"/>
              <w:jc w:val="center"/>
            </w:pPr>
            <w:r>
              <w:rPr>
                <w:rFonts w:ascii="Times New Roman" w:eastAsia="Times New Roman" w:hAnsi="Times New Roman" w:cs="Times New Roman"/>
              </w:rPr>
              <w:t xml:space="preserve">2000 </w:t>
            </w:r>
          </w:p>
        </w:tc>
      </w:tr>
      <w:tr w:rsidR="0052701D">
        <w:trPr>
          <w:trHeight w:val="562"/>
        </w:trPr>
        <w:tc>
          <w:tcPr>
            <w:tcW w:w="135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0"/>
              <w:jc w:val="center"/>
            </w:pPr>
            <w:r>
              <w:rPr>
                <w:rFonts w:ascii="Times New Roman" w:eastAsia="Times New Roman" w:hAnsi="Times New Roman" w:cs="Times New Roman"/>
              </w:rPr>
              <w:t xml:space="preserve">MPK-01 </w:t>
            </w:r>
          </w:p>
        </w:tc>
        <w:tc>
          <w:tcPr>
            <w:tcW w:w="1272"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204"/>
            </w:pPr>
            <w:r>
              <w:rPr>
                <w:rFonts w:ascii="Times New Roman" w:eastAsia="Times New Roman" w:hAnsi="Times New Roman" w:cs="Times New Roman"/>
              </w:rPr>
              <w:t xml:space="preserve">HИИ CM </w:t>
            </w:r>
          </w:p>
        </w:tc>
        <w:tc>
          <w:tcPr>
            <w:tcW w:w="908"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66"/>
            </w:pPr>
            <w:r>
              <w:rPr>
                <w:rFonts w:ascii="Times New Roman" w:eastAsia="Times New Roman" w:hAnsi="Times New Roman" w:cs="Times New Roman"/>
              </w:rPr>
              <w:t xml:space="preserve">Russia </w:t>
            </w:r>
          </w:p>
        </w:tc>
        <w:tc>
          <w:tcPr>
            <w:tcW w:w="99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81" w:right="16"/>
              <w:jc w:val="center"/>
            </w:pPr>
            <w:r>
              <w:rPr>
                <w:rFonts w:ascii="Times New Roman" w:eastAsia="Times New Roman" w:hAnsi="Times New Roman" w:cs="Times New Roman"/>
              </w:rPr>
              <w:t xml:space="preserve">6- wheels. </w:t>
            </w:r>
          </w:p>
        </w:tc>
        <w:tc>
          <w:tcPr>
            <w:tcW w:w="1618"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204"/>
            </w:pPr>
            <w:r>
              <w:rPr>
                <w:rFonts w:ascii="Times New Roman" w:eastAsia="Times New Roman" w:hAnsi="Times New Roman" w:cs="Times New Roman"/>
              </w:rPr>
              <w:t xml:space="preserve">570x480x210 </w:t>
            </w:r>
          </w:p>
        </w:tc>
        <w:tc>
          <w:tcPr>
            <w:tcW w:w="725"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9"/>
              <w:jc w:val="center"/>
            </w:pPr>
            <w:r>
              <w:rPr>
                <w:rFonts w:ascii="Times New Roman" w:eastAsia="Times New Roman" w:hAnsi="Times New Roman" w:cs="Times New Roman"/>
              </w:rPr>
              <w:t xml:space="preserve">20 </w:t>
            </w:r>
          </w:p>
        </w:tc>
        <w:tc>
          <w:tcPr>
            <w:tcW w:w="773"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9"/>
              <w:jc w:val="center"/>
            </w:pPr>
            <w:r>
              <w:rPr>
                <w:rFonts w:ascii="Times New Roman" w:eastAsia="Times New Roman" w:hAnsi="Times New Roman" w:cs="Times New Roman"/>
              </w:rPr>
              <w:t xml:space="preserve">0,7 </w:t>
            </w:r>
          </w:p>
        </w:tc>
        <w:tc>
          <w:tcPr>
            <w:tcW w:w="74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5"/>
              <w:jc w:val="center"/>
            </w:pPr>
            <w:r>
              <w:rPr>
                <w:rFonts w:ascii="Times New Roman" w:eastAsia="Times New Roman" w:hAnsi="Times New Roman" w:cs="Times New Roman"/>
              </w:rPr>
              <w:t xml:space="preserve">3 </w:t>
            </w:r>
          </w:p>
        </w:tc>
        <w:tc>
          <w:tcPr>
            <w:tcW w:w="88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4"/>
              <w:jc w:val="center"/>
            </w:pPr>
            <w:r>
              <w:rPr>
                <w:rFonts w:ascii="Times New Roman" w:eastAsia="Times New Roman" w:hAnsi="Times New Roman" w:cs="Times New Roman"/>
              </w:rPr>
              <w:t xml:space="preserve">60 </w:t>
            </w:r>
          </w:p>
        </w:tc>
      </w:tr>
      <w:tr w:rsidR="0052701D">
        <w:trPr>
          <w:trHeight w:val="773"/>
        </w:trPr>
        <w:tc>
          <w:tcPr>
            <w:tcW w:w="135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61"/>
              <w:jc w:val="center"/>
            </w:pPr>
            <w:r>
              <w:rPr>
                <w:rFonts w:ascii="Times New Roman" w:eastAsia="Times New Roman" w:hAnsi="Times New Roman" w:cs="Times New Roman"/>
                <w:b/>
              </w:rPr>
              <w:t xml:space="preserve"> </w:t>
            </w:r>
          </w:p>
          <w:p w:rsidR="0052701D" w:rsidRDefault="00D40929">
            <w:pPr>
              <w:spacing w:after="0"/>
              <w:ind w:left="10"/>
              <w:jc w:val="center"/>
            </w:pPr>
            <w:r>
              <w:rPr>
                <w:rFonts w:ascii="Times New Roman" w:eastAsia="Times New Roman" w:hAnsi="Times New Roman" w:cs="Times New Roman"/>
              </w:rPr>
              <w:t xml:space="preserve">CMP-01 </w:t>
            </w:r>
          </w:p>
        </w:tc>
        <w:tc>
          <w:tcPr>
            <w:tcW w:w="1272"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89"/>
              <w:jc w:val="both"/>
            </w:pPr>
            <w:r>
              <w:rPr>
                <w:rFonts w:ascii="Times New Roman" w:eastAsia="Times New Roman" w:hAnsi="Times New Roman" w:cs="Times New Roman"/>
              </w:rPr>
              <w:t xml:space="preserve">ЦНИИ PTK </w:t>
            </w:r>
          </w:p>
        </w:tc>
        <w:tc>
          <w:tcPr>
            <w:tcW w:w="908"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65"/>
              <w:jc w:val="center"/>
            </w:pPr>
            <w:r>
              <w:rPr>
                <w:rFonts w:ascii="Times New Roman" w:eastAsia="Times New Roman" w:hAnsi="Times New Roman" w:cs="Times New Roman"/>
                <w:b/>
              </w:rPr>
              <w:t xml:space="preserve"> </w:t>
            </w:r>
          </w:p>
          <w:p w:rsidR="0052701D" w:rsidRDefault="00D40929">
            <w:pPr>
              <w:spacing w:after="0"/>
              <w:ind w:left="166"/>
            </w:pPr>
            <w:r>
              <w:rPr>
                <w:rFonts w:ascii="Times New Roman" w:eastAsia="Times New Roman" w:hAnsi="Times New Roman" w:cs="Times New Roman"/>
              </w:rPr>
              <w:t xml:space="preserve">Russia </w:t>
            </w:r>
          </w:p>
        </w:tc>
        <w:tc>
          <w:tcPr>
            <w:tcW w:w="99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61"/>
            </w:pPr>
            <w:r>
              <w:rPr>
                <w:rFonts w:ascii="Times New Roman" w:eastAsia="Times New Roman" w:hAnsi="Times New Roman" w:cs="Times New Roman"/>
              </w:rPr>
              <w:t xml:space="preserve">6-track. </w:t>
            </w:r>
          </w:p>
          <w:p w:rsidR="0052701D" w:rsidRDefault="00D40929">
            <w:pPr>
              <w:spacing w:after="0"/>
              <w:jc w:val="center"/>
            </w:pPr>
            <w:r>
              <w:rPr>
                <w:rFonts w:ascii="Times New Roman" w:eastAsia="Times New Roman" w:hAnsi="Times New Roman" w:cs="Times New Roman"/>
              </w:rPr>
              <w:t xml:space="preserve">or 4- wheels </w:t>
            </w:r>
          </w:p>
        </w:tc>
        <w:tc>
          <w:tcPr>
            <w:tcW w:w="1618" w:type="dxa"/>
            <w:tcBorders>
              <w:top w:val="single" w:sz="6" w:space="0" w:color="000000"/>
              <w:left w:val="single" w:sz="6" w:space="0" w:color="000000"/>
              <w:bottom w:val="single" w:sz="6" w:space="0" w:color="000000"/>
              <w:right w:val="single" w:sz="6" w:space="0" w:color="000000"/>
            </w:tcBorders>
          </w:tcPr>
          <w:p w:rsidR="0052701D" w:rsidRDefault="00D40929">
            <w:pPr>
              <w:spacing w:after="0"/>
              <w:jc w:val="center"/>
            </w:pPr>
            <w:r>
              <w:rPr>
                <w:rFonts w:ascii="Times New Roman" w:eastAsia="Times New Roman" w:hAnsi="Times New Roman" w:cs="Times New Roman"/>
              </w:rPr>
              <w:t xml:space="preserve">390x318x87 </w:t>
            </w:r>
          </w:p>
        </w:tc>
        <w:tc>
          <w:tcPr>
            <w:tcW w:w="725"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65"/>
              <w:jc w:val="center"/>
            </w:pPr>
            <w:r>
              <w:rPr>
                <w:rFonts w:ascii="Times New Roman" w:eastAsia="Times New Roman" w:hAnsi="Times New Roman" w:cs="Times New Roman"/>
                <w:b/>
              </w:rPr>
              <w:t xml:space="preserve"> </w:t>
            </w:r>
          </w:p>
          <w:p w:rsidR="0052701D" w:rsidRDefault="00D40929">
            <w:pPr>
              <w:spacing w:after="0"/>
              <w:ind w:left="175"/>
            </w:pPr>
            <w:r>
              <w:rPr>
                <w:rFonts w:ascii="Times New Roman" w:eastAsia="Times New Roman" w:hAnsi="Times New Roman" w:cs="Times New Roman"/>
              </w:rPr>
              <w:t xml:space="preserve">12,4 </w:t>
            </w:r>
          </w:p>
        </w:tc>
        <w:tc>
          <w:tcPr>
            <w:tcW w:w="773"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65"/>
              <w:jc w:val="center"/>
            </w:pPr>
            <w:r>
              <w:rPr>
                <w:rFonts w:ascii="Times New Roman" w:eastAsia="Times New Roman" w:hAnsi="Times New Roman" w:cs="Times New Roman"/>
                <w:b/>
              </w:rPr>
              <w:t xml:space="preserve"> </w:t>
            </w:r>
          </w:p>
          <w:p w:rsidR="0052701D" w:rsidRDefault="00D40929">
            <w:pPr>
              <w:spacing w:after="0"/>
              <w:ind w:left="14"/>
              <w:jc w:val="center"/>
            </w:pPr>
            <w:r>
              <w:rPr>
                <w:rFonts w:ascii="Times New Roman" w:eastAsia="Times New Roman" w:hAnsi="Times New Roman" w:cs="Times New Roman"/>
              </w:rPr>
              <w:t xml:space="preserve">1 </w:t>
            </w:r>
          </w:p>
        </w:tc>
        <w:tc>
          <w:tcPr>
            <w:tcW w:w="74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55"/>
              <w:jc w:val="center"/>
            </w:pPr>
            <w:r>
              <w:rPr>
                <w:rFonts w:ascii="Times New Roman" w:eastAsia="Times New Roman" w:hAnsi="Times New Roman" w:cs="Times New Roman"/>
                <w:b/>
              </w:rPr>
              <w:t xml:space="preserve"> </w:t>
            </w:r>
          </w:p>
          <w:p w:rsidR="0052701D" w:rsidRDefault="00D40929">
            <w:pPr>
              <w:spacing w:after="0"/>
              <w:ind w:left="5"/>
              <w:jc w:val="center"/>
            </w:pPr>
            <w:r>
              <w:rPr>
                <w:rFonts w:ascii="Times New Roman" w:eastAsia="Times New Roman" w:hAnsi="Times New Roman" w:cs="Times New Roman"/>
              </w:rPr>
              <w:t xml:space="preserve">4 </w:t>
            </w:r>
          </w:p>
        </w:tc>
        <w:tc>
          <w:tcPr>
            <w:tcW w:w="88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59"/>
              <w:jc w:val="center"/>
            </w:pPr>
            <w:r>
              <w:rPr>
                <w:rFonts w:ascii="Times New Roman" w:eastAsia="Times New Roman" w:hAnsi="Times New Roman" w:cs="Times New Roman"/>
                <w:b/>
              </w:rPr>
              <w:t xml:space="preserve"> </w:t>
            </w:r>
          </w:p>
          <w:p w:rsidR="0052701D" w:rsidRDefault="00D40929">
            <w:pPr>
              <w:spacing w:after="0"/>
              <w:ind w:left="9"/>
              <w:jc w:val="center"/>
            </w:pPr>
            <w:r>
              <w:rPr>
                <w:rFonts w:ascii="Times New Roman" w:eastAsia="Times New Roman" w:hAnsi="Times New Roman" w:cs="Times New Roman"/>
              </w:rPr>
              <w:t xml:space="preserve">130 </w:t>
            </w:r>
          </w:p>
        </w:tc>
      </w:tr>
    </w:tbl>
    <w:p w:rsidR="0052701D" w:rsidRDefault="00D40929">
      <w:pPr>
        <w:spacing w:after="31"/>
        <w:ind w:left="711"/>
      </w:pPr>
      <w:r>
        <w:rPr>
          <w:rFonts w:ascii="Times New Roman" w:eastAsia="Times New Roman" w:hAnsi="Times New Roman" w:cs="Times New Roman"/>
          <w:b/>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As can be seen from the table above, wheeled propulsion systems are most commonly used for mobile mini-</w:t>
      </w:r>
      <w:r>
        <w:rPr>
          <w:rFonts w:ascii="Times New Roman" w:eastAsia="Times New Roman" w:hAnsi="Times New Roman" w:cs="Times New Roman"/>
          <w:sz w:val="28"/>
        </w:rPr>
        <w:t>robots, providing minimal mass and high speed indicators. Low mass allows the robot scout to be easily carried by one person. Small dimensions make the robot easy to transport. Different configurations, number of wheels and tire designs can be used to incr</w:t>
      </w:r>
      <w:r>
        <w:rPr>
          <w:rFonts w:ascii="Times New Roman" w:eastAsia="Times New Roman" w:hAnsi="Times New Roman" w:cs="Times New Roman"/>
          <w:sz w:val="28"/>
        </w:rPr>
        <w:t xml:space="preserve">ease the contact area of the wheels and surface. The use of wheels, filled with air or with a soft outer layer, allows to increase the contact surface with different surfaces and when overcoming various obstacles, to </w:t>
      </w:r>
      <w:r>
        <w:rPr>
          <w:rFonts w:ascii="Times New Roman" w:eastAsia="Times New Roman" w:hAnsi="Times New Roman" w:cs="Times New Roman"/>
          <w:sz w:val="28"/>
        </w:rPr>
        <w:lastRenderedPageBreak/>
        <w:t>refuse application of suspension on the</w:t>
      </w:r>
      <w:r>
        <w:rPr>
          <w:rFonts w:ascii="Times New Roman" w:eastAsia="Times New Roman" w:hAnsi="Times New Roman" w:cs="Times New Roman"/>
          <w:sz w:val="28"/>
        </w:rPr>
        <w:t xml:space="preserve"> model. Giving up suspension significantly simplifies and cheapens the design of a mobile mini-robot, which has a positive effect on the final cost of the robot, on its maintainability and ease of assembly, increases internal space for installing more powe</w:t>
      </w:r>
      <w:r>
        <w:rPr>
          <w:rFonts w:ascii="Times New Roman" w:eastAsia="Times New Roman" w:hAnsi="Times New Roman" w:cs="Times New Roman"/>
          <w:sz w:val="28"/>
        </w:rPr>
        <w:t>rful motors or additional equipment [4]. When using tracks, it is necessary to use a roller suspension to maintain constant sufficient contact of the track tracks with the surface, especially when overcoming obstacles and moving on an uneven surface. The t</w:t>
      </w:r>
      <w:r>
        <w:rPr>
          <w:rFonts w:ascii="Times New Roman" w:eastAsia="Times New Roman" w:hAnsi="Times New Roman" w:cs="Times New Roman"/>
          <w:sz w:val="28"/>
        </w:rPr>
        <w:t>rack system increases the weight and dimensions of the robot, complicates the design, but at the same time increases its cross-country capability on different surfaces</w:t>
      </w:r>
      <w:r>
        <w:rPr>
          <w:rFonts w:ascii="Times New Roman" w:eastAsia="Times New Roman" w:hAnsi="Times New Roman" w:cs="Times New Roman"/>
        </w:rPr>
        <w:t xml:space="preserve">.  </w:t>
      </w:r>
    </w:p>
    <w:p w:rsidR="0052701D" w:rsidRDefault="00D40929">
      <w:pPr>
        <w:spacing w:after="0"/>
        <w:ind w:left="711"/>
      </w:pPr>
      <w:r>
        <w:rPr>
          <w:rFonts w:ascii="Times New Roman" w:eastAsia="Times New Roman" w:hAnsi="Times New Roman" w:cs="Times New Roman"/>
        </w:rPr>
        <w:t xml:space="preserve"> </w:t>
      </w:r>
    </w:p>
    <w:p w:rsidR="0052701D" w:rsidRDefault="00D40929">
      <w:pPr>
        <w:spacing w:after="16" w:line="248" w:lineRule="auto"/>
        <w:ind w:left="819" w:right="145" w:hanging="10"/>
        <w:jc w:val="center"/>
      </w:pPr>
      <w:r>
        <w:rPr>
          <w:rFonts w:ascii="Times New Roman" w:eastAsia="Times New Roman" w:hAnsi="Times New Roman" w:cs="Times New Roman"/>
          <w:b/>
          <w:sz w:val="24"/>
        </w:rPr>
        <w:t xml:space="preserve">References: </w:t>
      </w:r>
    </w:p>
    <w:p w:rsidR="0052701D" w:rsidRDefault="00D40929">
      <w:pPr>
        <w:spacing w:after="0" w:line="248" w:lineRule="auto"/>
        <w:ind w:left="9" w:right="14" w:firstLine="711"/>
        <w:jc w:val="both"/>
      </w:pPr>
      <w:r>
        <w:rPr>
          <w:rFonts w:ascii="Times New Roman" w:eastAsia="Times New Roman" w:hAnsi="Times New Roman" w:cs="Times New Roman"/>
          <w:sz w:val="24"/>
        </w:rPr>
        <w:t>[1] Vasiliev A.V. Mobile mini-</w:t>
      </w:r>
      <w:r>
        <w:rPr>
          <w:rFonts w:ascii="Times New Roman" w:eastAsia="Times New Roman" w:hAnsi="Times New Roman" w:cs="Times New Roman"/>
          <w:sz w:val="24"/>
        </w:rPr>
        <w:t>robots reconnaissance: current state characteristic features and general development trends // Izvestia SFU. Technical Sciences Thematic Issue. 2010. - pp. 119-123. [2] Semenov A.G., Solonovich A.A., Elizov A.D. Mobile robots: a project of robot "Quadroclu</w:t>
      </w:r>
      <w:r>
        <w:rPr>
          <w:rFonts w:ascii="Times New Roman" w:eastAsia="Times New Roman" w:hAnsi="Times New Roman" w:cs="Times New Roman"/>
          <w:sz w:val="24"/>
        </w:rPr>
        <w:t xml:space="preserve">ster" for special operations // Scientific and Technical Bulletin of SPSU 2005. -№ 39 - pp. 200-208. </w:t>
      </w:r>
    </w:p>
    <w:p w:rsidR="0052701D" w:rsidRDefault="00D40929">
      <w:pPr>
        <w:numPr>
          <w:ilvl w:val="0"/>
          <w:numId w:val="33"/>
        </w:numPr>
        <w:spacing w:after="29" w:line="248" w:lineRule="auto"/>
        <w:ind w:right="14" w:firstLine="711"/>
        <w:jc w:val="both"/>
      </w:pPr>
      <w:r>
        <w:rPr>
          <w:rFonts w:ascii="Times New Roman" w:eastAsia="Times New Roman" w:hAnsi="Times New Roman" w:cs="Times New Roman"/>
          <w:sz w:val="24"/>
        </w:rPr>
        <w:t>Semyonov, D.K. Remotely controlled mobile robot, video camera of mobile robot, sound homing system of mobile robot, spherical grenade // Patent for the in</w:t>
      </w:r>
      <w:r>
        <w:rPr>
          <w:rFonts w:ascii="Times New Roman" w:eastAsia="Times New Roman" w:hAnsi="Times New Roman" w:cs="Times New Roman"/>
          <w:sz w:val="24"/>
        </w:rPr>
        <w:t xml:space="preserve">vention № 2473863 RF. </w:t>
      </w:r>
    </w:p>
    <w:p w:rsidR="0052701D" w:rsidRDefault="00D40929">
      <w:pPr>
        <w:numPr>
          <w:ilvl w:val="0"/>
          <w:numId w:val="33"/>
        </w:numPr>
        <w:spacing w:after="0" w:line="248" w:lineRule="auto"/>
        <w:ind w:right="14" w:firstLine="711"/>
        <w:jc w:val="both"/>
      </w:pPr>
      <w:r>
        <w:rPr>
          <w:rFonts w:ascii="Times New Roman" w:eastAsia="Times New Roman" w:hAnsi="Times New Roman" w:cs="Times New Roman"/>
          <w:sz w:val="24"/>
        </w:rPr>
        <w:t xml:space="preserve">Qiu Dunyue. Development of a dynamic model to control wheeled robots // Technique and Technology 2012. - № 2 - pp. 6-11. </w:t>
      </w:r>
    </w:p>
    <w:p w:rsidR="0052701D" w:rsidRDefault="00D40929">
      <w:pPr>
        <w:spacing w:after="0"/>
        <w:ind w:left="711"/>
      </w:pPr>
      <w:r>
        <w:rPr>
          <w:rFonts w:ascii="Times New Roman" w:eastAsia="Times New Roman" w:hAnsi="Times New Roman" w:cs="Times New Roman"/>
          <w:color w:val="00000A"/>
        </w:rPr>
        <w:t xml:space="preserve"> </w:t>
      </w:r>
    </w:p>
    <w:p w:rsidR="0052701D" w:rsidRDefault="00D40929">
      <w:pPr>
        <w:spacing w:after="0"/>
        <w:ind w:left="711"/>
      </w:pPr>
      <w:r>
        <w:rPr>
          <w:rFonts w:ascii="Times New Roman" w:eastAsia="Times New Roman" w:hAnsi="Times New Roman" w:cs="Times New Roman"/>
          <w:color w:val="00000A"/>
        </w:rPr>
        <w:t xml:space="preserve"> </w:t>
      </w:r>
    </w:p>
    <w:p w:rsidR="0052701D" w:rsidRDefault="00D40929">
      <w:pPr>
        <w:spacing w:after="47"/>
        <w:ind w:left="711"/>
      </w:pPr>
      <w:r>
        <w:rPr>
          <w:rFonts w:ascii="Times New Roman" w:eastAsia="Times New Roman" w:hAnsi="Times New Roman" w:cs="Times New Roman"/>
          <w:color w:val="00000A"/>
        </w:rPr>
        <w:t xml:space="preserve"> </w:t>
      </w:r>
    </w:p>
    <w:p w:rsidR="0052701D" w:rsidRDefault="00D40929">
      <w:pPr>
        <w:spacing w:after="4" w:line="271" w:lineRule="auto"/>
        <w:ind w:left="-5" w:right="194" w:hanging="10"/>
      </w:pPr>
      <w:r>
        <w:rPr>
          <w:rFonts w:ascii="Times New Roman" w:eastAsia="Times New Roman" w:hAnsi="Times New Roman" w:cs="Times New Roman"/>
          <w:b/>
          <w:sz w:val="24"/>
        </w:rPr>
        <w:t xml:space="preserve">УДК 621.396.93:614.8  </w:t>
      </w:r>
    </w:p>
    <w:p w:rsidR="0052701D" w:rsidRDefault="00D40929">
      <w:pPr>
        <w:spacing w:after="0"/>
      </w:pPr>
      <w:r>
        <w:rPr>
          <w:rFonts w:ascii="Times New Roman" w:eastAsia="Times New Roman" w:hAnsi="Times New Roman" w:cs="Times New Roman"/>
          <w:sz w:val="28"/>
        </w:rPr>
        <w:t xml:space="preserve"> </w:t>
      </w:r>
    </w:p>
    <w:p w:rsidR="0052701D" w:rsidRDefault="00D40929">
      <w:pPr>
        <w:pStyle w:val="1"/>
        <w:ind w:left="58" w:right="0" w:firstLine="9"/>
        <w:jc w:val="left"/>
      </w:pPr>
      <w:r>
        <w:t xml:space="preserve">ASSEMBLY OF A ROBOT TO DETECT BLOCKAGE BY MOVING INSIDE </w:t>
      </w:r>
    </w:p>
    <w:p w:rsidR="0052701D" w:rsidRDefault="00D40929">
      <w:pPr>
        <w:spacing w:after="5" w:line="271" w:lineRule="auto"/>
        <w:ind w:left="58" w:firstLine="9"/>
      </w:pPr>
      <w:r>
        <w:rPr>
          <w:rFonts w:ascii="Times New Roman" w:eastAsia="Times New Roman" w:hAnsi="Times New Roman" w:cs="Times New Roman"/>
          <w:b/>
          <w:sz w:val="28"/>
        </w:rPr>
        <w:t xml:space="preserve">THE PIPE </w:t>
      </w:r>
    </w:p>
    <w:p w:rsidR="0052701D" w:rsidRDefault="00D40929">
      <w:pPr>
        <w:spacing w:after="0"/>
        <w:ind w:left="31"/>
        <w:jc w:val="center"/>
      </w:pPr>
      <w:r>
        <w:rPr>
          <w:rFonts w:ascii="Times New Roman" w:eastAsia="Times New Roman" w:hAnsi="Times New Roman" w:cs="Times New Roman"/>
          <w:b/>
          <w:sz w:val="28"/>
        </w:rPr>
        <w:t xml:space="preserve"> </w:t>
      </w:r>
    </w:p>
    <w:p w:rsidR="0052701D" w:rsidRDefault="00D40929">
      <w:pPr>
        <w:pStyle w:val="1"/>
        <w:spacing w:after="29" w:line="248" w:lineRule="auto"/>
        <w:ind w:left="961" w:right="14" w:firstLine="0"/>
        <w:jc w:val="both"/>
      </w:pPr>
      <w:r>
        <w:rPr>
          <w:b w:val="0"/>
          <w:sz w:val="24"/>
        </w:rPr>
        <w:t xml:space="preserve">Nurgizat Yerkebulan Sametuly, Sultanazhina Akzhan Maksatovna, Uzbekbayev Аrman Makhmudovich, Duisenbek Saya Nurdauletkyzy </w:t>
      </w:r>
    </w:p>
    <w:p w:rsidR="0052701D" w:rsidRDefault="00D40929">
      <w:pPr>
        <w:spacing w:after="29" w:line="248" w:lineRule="auto"/>
        <w:ind w:left="3486" w:right="14" w:hanging="2703"/>
        <w:jc w:val="both"/>
      </w:pPr>
      <w:r>
        <w:rPr>
          <w:rFonts w:ascii="Times New Roman" w:eastAsia="Times New Roman" w:hAnsi="Times New Roman" w:cs="Times New Roman"/>
          <w:sz w:val="24"/>
        </w:rPr>
        <w:t xml:space="preserve">Non-profit JSC «Almaty University of Power Engineering and Telecommunications named after Gumarbek Daukeyev» </w:t>
      </w:r>
    </w:p>
    <w:p w:rsidR="0052701D" w:rsidRDefault="00D40929">
      <w:pPr>
        <w:spacing w:after="14" w:line="248" w:lineRule="auto"/>
        <w:ind w:left="713" w:right="37" w:hanging="5"/>
        <w:jc w:val="center"/>
      </w:pPr>
      <w:r>
        <w:rPr>
          <w:rFonts w:ascii="Times New Roman" w:eastAsia="Times New Roman" w:hAnsi="Times New Roman" w:cs="Times New Roman"/>
          <w:sz w:val="24"/>
        </w:rPr>
        <w:t xml:space="preserve">Almaty, Kazakhstan </w:t>
      </w:r>
    </w:p>
    <w:p w:rsidR="0052701D" w:rsidRDefault="00D40929">
      <w:pPr>
        <w:spacing w:after="29" w:line="248" w:lineRule="auto"/>
        <w:ind w:left="1412" w:right="14"/>
        <w:jc w:val="both"/>
      </w:pPr>
      <w:r>
        <w:rPr>
          <w:rFonts w:ascii="Times New Roman" w:eastAsia="Times New Roman" w:hAnsi="Times New Roman" w:cs="Times New Roman"/>
          <w:sz w:val="24"/>
        </w:rPr>
        <w:t>e-m</w:t>
      </w:r>
      <w:r>
        <w:rPr>
          <w:rFonts w:ascii="Times New Roman" w:eastAsia="Times New Roman" w:hAnsi="Times New Roman" w:cs="Times New Roman"/>
          <w:sz w:val="24"/>
        </w:rPr>
        <w:t>ail:</w:t>
      </w:r>
      <w:r>
        <w:rPr>
          <w:sz w:val="24"/>
        </w:rPr>
        <w:t xml:space="preserve"> </w:t>
      </w:r>
      <w:r>
        <w:rPr>
          <w:rFonts w:ascii="Times New Roman" w:eastAsia="Times New Roman" w:hAnsi="Times New Roman" w:cs="Times New Roman"/>
          <w:sz w:val="24"/>
        </w:rPr>
        <w:t>e.nurgizat@aues.kz, a.sultanazhina@aues.kz, a.uzbekbayev@aues.kz ,</w:t>
      </w:r>
      <w:r>
        <w:rPr>
          <w:sz w:val="24"/>
        </w:rPr>
        <w:t xml:space="preserve"> </w:t>
      </w:r>
    </w:p>
    <w:p w:rsidR="0052701D" w:rsidRDefault="00D40929">
      <w:pPr>
        <w:spacing w:after="14" w:line="248" w:lineRule="auto"/>
        <w:ind w:left="713" w:right="752" w:hanging="5"/>
        <w:jc w:val="center"/>
      </w:pPr>
      <w:r>
        <w:rPr>
          <w:rFonts w:ascii="Times New Roman" w:eastAsia="Times New Roman" w:hAnsi="Times New Roman" w:cs="Times New Roman"/>
          <w:sz w:val="24"/>
        </w:rPr>
        <w:t xml:space="preserve">s.duisenbek@aues.kz </w:t>
      </w:r>
    </w:p>
    <w:p w:rsidR="0052701D" w:rsidRDefault="00D40929">
      <w:pPr>
        <w:spacing w:after="0"/>
        <w:ind w:left="21"/>
        <w:jc w:val="center"/>
      </w:pPr>
      <w:r>
        <w:rPr>
          <w:rFonts w:ascii="Times New Roman" w:eastAsia="Times New Roman" w:hAnsi="Times New Roman" w:cs="Times New Roman"/>
          <w:b/>
          <w:sz w:val="24"/>
        </w:rPr>
        <w:t xml:space="preserve"> </w:t>
      </w:r>
    </w:p>
    <w:p w:rsidR="0052701D" w:rsidRDefault="00D40929">
      <w:pPr>
        <w:spacing w:after="0" w:line="248" w:lineRule="auto"/>
        <w:ind w:left="9" w:firstLine="711"/>
        <w:jc w:val="both"/>
      </w:pPr>
      <w:r>
        <w:rPr>
          <w:rFonts w:ascii="Times New Roman" w:eastAsia="Times New Roman" w:hAnsi="Times New Roman" w:cs="Times New Roman"/>
          <w:b/>
          <w:i/>
          <w:sz w:val="24"/>
        </w:rPr>
        <w:t>Annotation</w:t>
      </w:r>
      <w:r>
        <w:rPr>
          <w:rFonts w:ascii="Times New Roman" w:eastAsia="Times New Roman" w:hAnsi="Times New Roman" w:cs="Times New Roman"/>
          <w:i/>
          <w:sz w:val="24"/>
        </w:rPr>
        <w:t>. A variant of constructing the design and control system of a miniature in-tube robot (MIR) designed for diagnostics and local repair of the internal</w:t>
      </w:r>
      <w:r>
        <w:rPr>
          <w:rFonts w:ascii="Times New Roman" w:eastAsia="Times New Roman" w:hAnsi="Times New Roman" w:cs="Times New Roman"/>
          <w:i/>
          <w:sz w:val="24"/>
        </w:rPr>
        <w:t xml:space="preserve"> surfaces of randomly oriented pipes with a diameter of 100 mm is described. The design of the MIR carrying out diagnostics is proposed, and it is also planned to locally repair the pipeline using specialized equipment. The movement of the MIR is carried o</w:t>
      </w:r>
      <w:r>
        <w:rPr>
          <w:rFonts w:ascii="Times New Roman" w:eastAsia="Times New Roman" w:hAnsi="Times New Roman" w:cs="Times New Roman"/>
          <w:i/>
          <w:sz w:val="24"/>
        </w:rPr>
        <w:t>ut by wheel method. Taking into account the specifics of the movement of the MIR, it is proposed to build its control system based on remote control, while using the level of engine revolution as input data, and the values of the linear and angular speed o</w:t>
      </w:r>
      <w:r>
        <w:rPr>
          <w:rFonts w:ascii="Times New Roman" w:eastAsia="Times New Roman" w:hAnsi="Times New Roman" w:cs="Times New Roman"/>
          <w:i/>
          <w:sz w:val="24"/>
        </w:rPr>
        <w:t xml:space="preserve">f its movement as output data. To test the algorithm, a full-scale experiment was performed that simulates the movement of a mobile robot inside the pipeline. </w:t>
      </w:r>
    </w:p>
    <w:p w:rsidR="0052701D" w:rsidRDefault="00D40929">
      <w:pPr>
        <w:spacing w:after="29" w:line="248" w:lineRule="auto"/>
        <w:ind w:left="711"/>
        <w:jc w:val="both"/>
      </w:pPr>
      <w:r>
        <w:rPr>
          <w:rFonts w:ascii="Times New Roman" w:eastAsia="Times New Roman" w:hAnsi="Times New Roman" w:cs="Times New Roman"/>
          <w:b/>
          <w:i/>
          <w:sz w:val="24"/>
        </w:rPr>
        <w:t>Key words:</w:t>
      </w:r>
      <w:r>
        <w:rPr>
          <w:rFonts w:ascii="Times New Roman" w:eastAsia="Times New Roman" w:hAnsi="Times New Roman" w:cs="Times New Roman"/>
          <w:i/>
          <w:sz w:val="24"/>
        </w:rPr>
        <w:t xml:space="preserve"> miniature in-tube robot , modular design, remote control, control system. </w:t>
      </w:r>
    </w:p>
    <w:p w:rsidR="0052701D" w:rsidRDefault="00D40929">
      <w:pPr>
        <w:spacing w:after="21"/>
        <w:ind w:left="711"/>
      </w:pPr>
      <w:r>
        <w:rPr>
          <w:rFonts w:ascii="Times New Roman" w:eastAsia="Times New Roman" w:hAnsi="Times New Roman" w:cs="Times New Roman"/>
          <w:i/>
          <w:sz w:val="24"/>
        </w:rPr>
        <w:t xml:space="preserve"> </w:t>
      </w:r>
    </w:p>
    <w:p w:rsidR="0052701D" w:rsidRDefault="00D40929">
      <w:pPr>
        <w:spacing w:after="5" w:line="271" w:lineRule="auto"/>
        <w:ind w:left="10" w:hanging="10"/>
        <w:jc w:val="center"/>
      </w:pPr>
      <w:r>
        <w:rPr>
          <w:rFonts w:ascii="Times New Roman" w:eastAsia="Times New Roman" w:hAnsi="Times New Roman" w:cs="Times New Roman"/>
          <w:b/>
          <w:sz w:val="28"/>
        </w:rPr>
        <w:lastRenderedPageBreak/>
        <w:t xml:space="preserve">СБОРКА РОБОТА ДЛЯ ОБНАРУЖЕНИЯ ПРЕПЯТСТВИЯ ДВИЖЕНИЯ ВНУТРИ ТРУБЫ </w:t>
      </w:r>
    </w:p>
    <w:p w:rsidR="0052701D" w:rsidRDefault="00D40929">
      <w:pPr>
        <w:spacing w:after="0"/>
        <w:ind w:left="31"/>
        <w:jc w:val="center"/>
      </w:pPr>
      <w:r>
        <w:rPr>
          <w:rFonts w:ascii="Times New Roman" w:eastAsia="Times New Roman" w:hAnsi="Times New Roman" w:cs="Times New Roman"/>
          <w:b/>
          <w:sz w:val="28"/>
        </w:rPr>
        <w:t xml:space="preserve"> </w:t>
      </w:r>
    </w:p>
    <w:p w:rsidR="0052701D" w:rsidRDefault="00D40929">
      <w:pPr>
        <w:spacing w:after="29" w:line="248" w:lineRule="auto"/>
        <w:ind w:left="860" w:right="14"/>
        <w:jc w:val="both"/>
      </w:pPr>
      <w:r>
        <w:rPr>
          <w:rFonts w:ascii="Times New Roman" w:eastAsia="Times New Roman" w:hAnsi="Times New Roman" w:cs="Times New Roman"/>
          <w:sz w:val="24"/>
        </w:rPr>
        <w:t xml:space="preserve">Нургизат Еркебулан Саметулы, Султанажина Акжан Максатовна, Узбекбаев Арман </w:t>
      </w:r>
    </w:p>
    <w:p w:rsidR="0052701D" w:rsidRDefault="00D40929">
      <w:pPr>
        <w:spacing w:after="37" w:line="248" w:lineRule="auto"/>
        <w:ind w:left="713" w:right="755" w:hanging="5"/>
        <w:jc w:val="center"/>
      </w:pPr>
      <w:r>
        <w:rPr>
          <w:rFonts w:ascii="Times New Roman" w:eastAsia="Times New Roman" w:hAnsi="Times New Roman" w:cs="Times New Roman"/>
          <w:sz w:val="24"/>
        </w:rPr>
        <w:t xml:space="preserve">Махмудович, Дюйсенбек Сая Нурдаулеткызы </w:t>
      </w:r>
    </w:p>
    <w:p w:rsidR="0052701D" w:rsidRDefault="00D40929">
      <w:pPr>
        <w:spacing w:after="29" w:line="248" w:lineRule="auto"/>
        <w:ind w:left="975" w:right="14"/>
        <w:jc w:val="both"/>
      </w:pPr>
      <w:r>
        <w:rPr>
          <w:rFonts w:ascii="Times New Roman" w:eastAsia="Times New Roman" w:hAnsi="Times New Roman" w:cs="Times New Roman"/>
          <w:sz w:val="24"/>
        </w:rPr>
        <w:t>НАО «Алматинский университет энергетики и связи имени Гумарбека Даукеева</w:t>
      </w:r>
      <w:r>
        <w:rPr>
          <w:rFonts w:ascii="Times New Roman" w:eastAsia="Times New Roman" w:hAnsi="Times New Roman" w:cs="Times New Roman"/>
          <w:sz w:val="24"/>
        </w:rPr>
        <w:t xml:space="preserve">» </w:t>
      </w:r>
    </w:p>
    <w:p w:rsidR="0052701D" w:rsidRDefault="00D40929">
      <w:pPr>
        <w:spacing w:after="14" w:line="248" w:lineRule="auto"/>
        <w:ind w:left="713" w:right="44" w:hanging="5"/>
        <w:jc w:val="center"/>
      </w:pPr>
      <w:r>
        <w:rPr>
          <w:rFonts w:ascii="Times New Roman" w:eastAsia="Times New Roman" w:hAnsi="Times New Roman" w:cs="Times New Roman"/>
          <w:sz w:val="24"/>
        </w:rPr>
        <w:t xml:space="preserve">г.Алматы, Казахстан </w:t>
      </w:r>
    </w:p>
    <w:p w:rsidR="0052701D" w:rsidRDefault="00D40929">
      <w:pPr>
        <w:spacing w:after="29" w:line="248" w:lineRule="auto"/>
        <w:ind w:left="1412" w:right="14"/>
        <w:jc w:val="both"/>
      </w:pPr>
      <w:r>
        <w:rPr>
          <w:rFonts w:ascii="Times New Roman" w:eastAsia="Times New Roman" w:hAnsi="Times New Roman" w:cs="Times New Roman"/>
          <w:sz w:val="24"/>
        </w:rPr>
        <w:t>e-mail:</w:t>
      </w:r>
      <w:r>
        <w:rPr>
          <w:sz w:val="24"/>
        </w:rPr>
        <w:t xml:space="preserve"> </w:t>
      </w:r>
      <w:r>
        <w:rPr>
          <w:rFonts w:ascii="Times New Roman" w:eastAsia="Times New Roman" w:hAnsi="Times New Roman" w:cs="Times New Roman"/>
          <w:sz w:val="24"/>
        </w:rPr>
        <w:t>e.nurgizat@aues.kz, a.sultanazhina@aues.kz, a.uzbekbayev@aues.kz ,</w:t>
      </w:r>
      <w:r>
        <w:rPr>
          <w:sz w:val="24"/>
        </w:rPr>
        <w:t xml:space="preserve"> </w:t>
      </w:r>
    </w:p>
    <w:p w:rsidR="0052701D" w:rsidRDefault="00D40929">
      <w:pPr>
        <w:spacing w:after="14" w:line="248" w:lineRule="auto"/>
        <w:ind w:left="713" w:right="750" w:hanging="5"/>
        <w:jc w:val="center"/>
      </w:pPr>
      <w:r>
        <w:rPr>
          <w:rFonts w:ascii="Times New Roman" w:eastAsia="Times New Roman" w:hAnsi="Times New Roman" w:cs="Times New Roman"/>
          <w:sz w:val="24"/>
        </w:rPr>
        <w:t xml:space="preserve">s.duisenbek@aues.kz </w:t>
      </w:r>
    </w:p>
    <w:p w:rsidR="0052701D" w:rsidRDefault="00D40929">
      <w:pPr>
        <w:spacing w:after="16"/>
        <w:ind w:left="21"/>
        <w:jc w:val="center"/>
      </w:pPr>
      <w:r>
        <w:rPr>
          <w:rFonts w:ascii="Times New Roman" w:eastAsia="Times New Roman" w:hAnsi="Times New Roman" w:cs="Times New Roman"/>
          <w:b/>
          <w:sz w:val="24"/>
        </w:rPr>
        <w:t xml:space="preserve"> </w:t>
      </w:r>
    </w:p>
    <w:p w:rsidR="0052701D" w:rsidRDefault="00D40929">
      <w:pPr>
        <w:spacing w:after="29" w:line="248" w:lineRule="auto"/>
        <w:ind w:left="9" w:firstLine="711"/>
        <w:jc w:val="both"/>
      </w:pPr>
      <w:r>
        <w:rPr>
          <w:rFonts w:ascii="Times New Roman" w:eastAsia="Times New Roman" w:hAnsi="Times New Roman" w:cs="Times New Roman"/>
          <w:b/>
          <w:i/>
          <w:sz w:val="24"/>
        </w:rPr>
        <w:t>Аннотация.</w:t>
      </w:r>
      <w:r>
        <w:rPr>
          <w:rFonts w:ascii="Times New Roman" w:eastAsia="Times New Roman" w:hAnsi="Times New Roman" w:cs="Times New Roman"/>
          <w:i/>
          <w:sz w:val="24"/>
        </w:rPr>
        <w:t xml:space="preserve"> </w:t>
      </w:r>
      <w:r>
        <w:rPr>
          <w:rFonts w:ascii="Times New Roman" w:eastAsia="Times New Roman" w:hAnsi="Times New Roman" w:cs="Times New Roman"/>
          <w:i/>
          <w:sz w:val="24"/>
        </w:rPr>
        <w:t>Описан вариант построения конструкции и системы управления миниатюрного внутритрубного робота (МИР), предназначенного для диагностики и локального ремонта внутренних поверхностей произвольно ориентированных труб диаметром 100 мм. Предложена конструкция МИР</w:t>
      </w:r>
      <w:r>
        <w:rPr>
          <w:rFonts w:ascii="Times New Roman" w:eastAsia="Times New Roman" w:hAnsi="Times New Roman" w:cs="Times New Roman"/>
          <w:i/>
          <w:sz w:val="24"/>
        </w:rPr>
        <w:t xml:space="preserve"> с проведением диагностики, а также планируется локальный ремонт трубопровода с использованием специализированного оборудования. Движение МИР осуществляется колесным способом. С учетом специфики движения МИР предлагается строить его систему управления на о</w:t>
      </w:r>
      <w:r>
        <w:rPr>
          <w:rFonts w:ascii="Times New Roman" w:eastAsia="Times New Roman" w:hAnsi="Times New Roman" w:cs="Times New Roman"/>
          <w:i/>
          <w:sz w:val="24"/>
        </w:rPr>
        <w:t>снове телеуправления, при этом в качестве входных данных использовать уровень оборотов двигателя, а в качестве выходных - значения линейной и угловой скорости его движения. данные. Для проверки алгоритма был проведен натурный эксперимент, имитирующий движе</w:t>
      </w:r>
      <w:r>
        <w:rPr>
          <w:rFonts w:ascii="Times New Roman" w:eastAsia="Times New Roman" w:hAnsi="Times New Roman" w:cs="Times New Roman"/>
          <w:i/>
          <w:sz w:val="24"/>
        </w:rPr>
        <w:t xml:space="preserve">ние мобильного робота внутри трубопровода. </w:t>
      </w:r>
    </w:p>
    <w:p w:rsidR="0052701D" w:rsidRDefault="00D40929">
      <w:pPr>
        <w:spacing w:after="29" w:line="248" w:lineRule="auto"/>
        <w:ind w:left="9" w:firstLine="711"/>
        <w:jc w:val="both"/>
      </w:pP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 xml:space="preserve"> миниатюрный внутритрубный робот, модульная конструкция, дистанционное управление, система управления.</w:t>
      </w:r>
      <w:r>
        <w:rPr>
          <w:rFonts w:ascii="Times New Roman" w:eastAsia="Times New Roman" w:hAnsi="Times New Roman" w:cs="Times New Roman"/>
          <w:sz w:val="24"/>
        </w:rPr>
        <w:t xml:space="preserve"> </w:t>
      </w:r>
    </w:p>
    <w:p w:rsidR="0052701D" w:rsidRDefault="00D40929">
      <w:pPr>
        <w:spacing w:after="60"/>
      </w:pPr>
      <w:r>
        <w:rPr>
          <w:rFonts w:ascii="Times New Roman" w:eastAsia="Times New Roman" w:hAnsi="Times New Roman" w:cs="Times New Roman"/>
          <w:i/>
          <w:sz w:val="20"/>
        </w:rPr>
        <w:t xml:space="preserve"> </w:t>
      </w:r>
    </w:p>
    <w:p w:rsidR="0052701D" w:rsidRDefault="00D40929">
      <w:pPr>
        <w:spacing w:after="5" w:line="251" w:lineRule="auto"/>
        <w:ind w:left="720" w:firstLine="9"/>
      </w:pPr>
      <w:r>
        <w:rPr>
          <w:rFonts w:ascii="Times New Roman" w:eastAsia="Times New Roman" w:hAnsi="Times New Roman" w:cs="Times New Roman"/>
          <w:b/>
          <w:sz w:val="28"/>
        </w:rPr>
        <w:t xml:space="preserve">Introduction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In recent years, a new line of research has been developing in robotics - </w:t>
      </w:r>
      <w:r>
        <w:rPr>
          <w:rFonts w:ascii="Times New Roman" w:eastAsia="Times New Roman" w:hAnsi="Times New Roman" w:cs="Times New Roman"/>
          <w:sz w:val="28"/>
        </w:rPr>
        <w:t xml:space="preserve">the creation of miniature mobile robots designed to move and perform various tasks in a limited space. Small diameter pipelines (from a few millimeters to several centimeters) are an example of such a space. </w:t>
      </w:r>
    </w:p>
    <w:p w:rsidR="0052701D" w:rsidRDefault="00D40929">
      <w:pPr>
        <w:spacing w:after="5" w:line="271" w:lineRule="auto"/>
        <w:ind w:left="9" w:right="64" w:firstLine="711"/>
        <w:jc w:val="both"/>
      </w:pPr>
      <w:r>
        <w:rPr>
          <w:rFonts w:ascii="Times New Roman" w:eastAsia="Times New Roman" w:hAnsi="Times New Roman" w:cs="Times New Roman"/>
          <w:sz w:val="28"/>
        </w:rPr>
        <w:t>An accurate assessment of the existing undergro</w:t>
      </w:r>
      <w:r>
        <w:rPr>
          <w:rFonts w:ascii="Times New Roman" w:eastAsia="Times New Roman" w:hAnsi="Times New Roman" w:cs="Times New Roman"/>
          <w:sz w:val="28"/>
        </w:rPr>
        <w:t>und infrastructure should be made before making any major decisions regarding life cycle analysis, refurbishment and replacement intervals, and appropriate remediation methods. Unfortunately, traditional technologies and management approaches have been lim</w:t>
      </w:r>
      <w:r>
        <w:rPr>
          <w:rFonts w:ascii="Times New Roman" w:eastAsia="Times New Roman" w:hAnsi="Times New Roman" w:cs="Times New Roman"/>
          <w:sz w:val="28"/>
        </w:rPr>
        <w:t xml:space="preserve">ited due to the use of insufficient data to assess the structural integrity of legacy infrastructure.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This article describes an innovative method for creating a mock robot to evaluate underground pipelines using digital scanning and evaluation technology </w:t>
      </w:r>
      <w:r>
        <w:rPr>
          <w:rFonts w:ascii="Times New Roman" w:eastAsia="Times New Roman" w:hAnsi="Times New Roman" w:cs="Times New Roman"/>
          <w:sz w:val="28"/>
        </w:rPr>
        <w:t xml:space="preserve">to collect accurate information about the condition of an underground pipeline. </w:t>
      </w:r>
    </w:p>
    <w:p w:rsidR="0052701D" w:rsidRDefault="00D40929">
      <w:pPr>
        <w:spacing w:after="5" w:line="251" w:lineRule="auto"/>
        <w:ind w:left="720" w:firstLine="9"/>
      </w:pPr>
      <w:r>
        <w:rPr>
          <w:rFonts w:ascii="Times New Roman" w:eastAsia="Times New Roman" w:hAnsi="Times New Roman" w:cs="Times New Roman"/>
          <w:b/>
          <w:sz w:val="28"/>
        </w:rPr>
        <w:t xml:space="preserve">Main part </w:t>
      </w:r>
    </w:p>
    <w:p w:rsidR="0052701D" w:rsidRDefault="00D40929">
      <w:pPr>
        <w:spacing w:after="5" w:line="271" w:lineRule="auto"/>
        <w:ind w:left="9" w:right="64" w:firstLine="711"/>
        <w:jc w:val="both"/>
      </w:pPr>
      <w:r>
        <w:rPr>
          <w:rFonts w:ascii="Times New Roman" w:eastAsia="Times New Roman" w:hAnsi="Times New Roman" w:cs="Times New Roman"/>
          <w:sz w:val="28"/>
        </w:rPr>
        <w:t>Analysis of the types and principles of construction of mobile robots moving in pipelines. In this chapter, we consider all kinds of classifications and types of in</w:t>
      </w:r>
      <w:r>
        <w:rPr>
          <w:rFonts w:ascii="Times New Roman" w:eastAsia="Times New Roman" w:hAnsi="Times New Roman" w:cs="Times New Roman"/>
          <w:sz w:val="28"/>
        </w:rPr>
        <w:t xml:space="preserve">-line robots created in world institutions. We are analyzing the movement systems of wheeled robots for pipeline systems. </w:t>
      </w:r>
    </w:p>
    <w:p w:rsidR="0052701D" w:rsidRDefault="00D40929">
      <w:pPr>
        <w:spacing w:after="5" w:line="271" w:lineRule="auto"/>
        <w:ind w:left="9" w:right="64" w:firstLine="711"/>
        <w:jc w:val="both"/>
      </w:pPr>
      <w:r>
        <w:rPr>
          <w:rFonts w:ascii="Times New Roman" w:eastAsia="Times New Roman" w:hAnsi="Times New Roman" w:cs="Times New Roman"/>
          <w:sz w:val="28"/>
        </w:rPr>
        <w:t>Classification and types of mobile robots for pipeline systems. Mobile technological robots, in the general case, are intelligent mul</w:t>
      </w:r>
      <w:r>
        <w:rPr>
          <w:rFonts w:ascii="Times New Roman" w:eastAsia="Times New Roman" w:hAnsi="Times New Roman" w:cs="Times New Roman"/>
          <w:sz w:val="28"/>
        </w:rPr>
        <w:t xml:space="preserve">tidimensional mechatronic </w:t>
      </w:r>
      <w:r>
        <w:rPr>
          <w:rFonts w:ascii="Times New Roman" w:eastAsia="Times New Roman" w:hAnsi="Times New Roman" w:cs="Times New Roman"/>
          <w:sz w:val="28"/>
        </w:rPr>
        <w:lastRenderedPageBreak/>
        <w:t xml:space="preserve">devices designed to perform functional movements in the changing conditions of pipeline systems.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The principles of movement of miniature robots and the features of the mechanical systems that implement them are determined by the </w:t>
      </w:r>
      <w:r>
        <w:rPr>
          <w:rFonts w:ascii="Times New Roman" w:eastAsia="Times New Roman" w:hAnsi="Times New Roman" w:cs="Times New Roman"/>
          <w:sz w:val="28"/>
        </w:rPr>
        <w:t xml:space="preserve">purpose of the robots, the environment in which the movement occurs, the requirements for completing the task and the conditions of movement. </w:t>
      </w:r>
    </w:p>
    <w:p w:rsidR="0052701D" w:rsidRDefault="00D40929">
      <w:pPr>
        <w:spacing w:after="5" w:line="271" w:lineRule="auto"/>
        <w:ind w:left="9" w:right="64" w:firstLine="711"/>
        <w:jc w:val="both"/>
      </w:pPr>
      <w:r>
        <w:rPr>
          <w:rFonts w:ascii="Times New Roman" w:eastAsia="Times New Roman" w:hAnsi="Times New Roman" w:cs="Times New Roman"/>
          <w:sz w:val="28"/>
        </w:rPr>
        <w:t>Mobile mobile robots (MR), according to the principle of movement inside pipelines, are divided into devices with</w:t>
      </w:r>
      <w:r>
        <w:rPr>
          <w:rFonts w:ascii="Times New Roman" w:eastAsia="Times New Roman" w:hAnsi="Times New Roman" w:cs="Times New Roman"/>
          <w:sz w:val="28"/>
        </w:rPr>
        <w:t xml:space="preserve"> a mechanical propulsion device and with the supply of excess pressure (Fig. 1). </w:t>
      </w:r>
    </w:p>
    <w:p w:rsidR="0052701D" w:rsidRDefault="00D40929">
      <w:pPr>
        <w:spacing w:after="0"/>
        <w:ind w:left="20"/>
        <w:jc w:val="center"/>
      </w:pPr>
      <w:r>
        <w:rPr>
          <w:noProof/>
        </w:rPr>
        <w:drawing>
          <wp:inline distT="0" distB="0" distL="0" distR="0">
            <wp:extent cx="2731008" cy="2371344"/>
            <wp:effectExtent l="0" t="0" r="0" b="0"/>
            <wp:docPr id="23529" name="Picture 23529"/>
            <wp:cNvGraphicFramePr/>
            <a:graphic xmlns:a="http://schemas.openxmlformats.org/drawingml/2006/main">
              <a:graphicData uri="http://schemas.openxmlformats.org/drawingml/2006/picture">
                <pic:pic xmlns:pic="http://schemas.openxmlformats.org/drawingml/2006/picture">
                  <pic:nvPicPr>
                    <pic:cNvPr id="23529" name="Picture 23529"/>
                    <pic:cNvPicPr/>
                  </pic:nvPicPr>
                  <pic:blipFill>
                    <a:blip r:embed="rId288"/>
                    <a:stretch>
                      <a:fillRect/>
                    </a:stretch>
                  </pic:blipFill>
                  <pic:spPr>
                    <a:xfrm>
                      <a:off x="0" y="0"/>
                      <a:ext cx="2731008" cy="2371344"/>
                    </a:xfrm>
                    <a:prstGeom prst="rect">
                      <a:avLst/>
                    </a:prstGeom>
                  </pic:spPr>
                </pic:pic>
              </a:graphicData>
            </a:graphic>
          </wp:inline>
        </w:drawing>
      </w:r>
      <w:r>
        <w:rPr>
          <w:rFonts w:ascii="Times New Roman" w:eastAsia="Times New Roman" w:hAnsi="Times New Roman" w:cs="Times New Roman"/>
        </w:rPr>
        <w:t xml:space="preserve"> </w:t>
      </w:r>
    </w:p>
    <w:p w:rsidR="0052701D" w:rsidRDefault="00D40929">
      <w:pPr>
        <w:spacing w:after="14" w:line="248" w:lineRule="auto"/>
        <w:ind w:left="5" w:hanging="5"/>
        <w:jc w:val="center"/>
      </w:pPr>
      <w:r>
        <w:rPr>
          <w:rFonts w:ascii="Times New Roman" w:eastAsia="Times New Roman" w:hAnsi="Times New Roman" w:cs="Times New Roman"/>
          <w:sz w:val="24"/>
        </w:rPr>
        <w:t xml:space="preserve">Fig. 1.Types and classification of ICBM movement systems according to the method of movement in pipelines: </w:t>
      </w:r>
    </w:p>
    <w:p w:rsidR="0052701D" w:rsidRDefault="00D40929">
      <w:pPr>
        <w:spacing w:after="14" w:line="248" w:lineRule="auto"/>
        <w:ind w:left="713" w:right="753" w:hanging="5"/>
        <w:jc w:val="center"/>
      </w:pPr>
      <w:r>
        <w:rPr>
          <w:rFonts w:ascii="Times New Roman" w:eastAsia="Times New Roman" w:hAnsi="Times New Roman" w:cs="Times New Roman"/>
          <w:sz w:val="24"/>
        </w:rPr>
        <w:t>a - passive; b - wheeled; in - caterpillar; g - pin; d - walkin</w:t>
      </w:r>
      <w:r>
        <w:rPr>
          <w:rFonts w:ascii="Times New Roman" w:eastAsia="Times New Roman" w:hAnsi="Times New Roman" w:cs="Times New Roman"/>
          <w:sz w:val="24"/>
        </w:rPr>
        <w:t xml:space="preserve">g; e - worm; g - screw. </w:t>
      </w:r>
    </w:p>
    <w:p w:rsidR="0052701D" w:rsidRDefault="00D40929">
      <w:pPr>
        <w:spacing w:after="36"/>
        <w:ind w:left="16"/>
        <w:jc w:val="center"/>
      </w:pPr>
      <w:r>
        <w:rPr>
          <w:rFonts w:ascii="Times New Roman" w:eastAsia="Times New Roman" w:hAnsi="Times New Roman" w:cs="Times New Roman"/>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The in-</w:t>
      </w:r>
      <w:r>
        <w:rPr>
          <w:rFonts w:ascii="Times New Roman" w:eastAsia="Times New Roman" w:hAnsi="Times New Roman" w:cs="Times New Roman"/>
          <w:sz w:val="28"/>
        </w:rPr>
        <w:t>stream type is one of the best known commercial types. Is a passive robot, because. does not have movement drives. It uses the pressure created by the liquid or gas inside the pipeline, i.e. the working fluid (i.e. liquid or gas), as it were, pushes it for</w:t>
      </w:r>
      <w:r>
        <w:rPr>
          <w:rFonts w:ascii="Times New Roman" w:eastAsia="Times New Roman" w:hAnsi="Times New Roman" w:cs="Times New Roman"/>
          <w:sz w:val="28"/>
        </w:rPr>
        <w:t xml:space="preserve">ward. Typically, such robots are used to inspect large pipelines.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The wheeled type is the most common type of mobile robot in automotive design. [1, 2, 3, 4, 5]. </w:t>
      </w:r>
    </w:p>
    <w:p w:rsidR="0052701D" w:rsidRDefault="00D40929">
      <w:pPr>
        <w:spacing w:after="3"/>
        <w:ind w:left="10" w:right="43" w:hanging="10"/>
        <w:jc w:val="right"/>
      </w:pPr>
      <w:r>
        <w:rPr>
          <w:rFonts w:ascii="Times New Roman" w:eastAsia="Times New Roman" w:hAnsi="Times New Roman" w:cs="Times New Roman"/>
          <w:sz w:val="28"/>
        </w:rPr>
        <w:t xml:space="preserve">Caterpillar type - is an analogue of a wheeled robot using a caterpillar as a mover. </w:t>
      </w:r>
    </w:p>
    <w:p w:rsidR="0052701D" w:rsidRDefault="00D40929">
      <w:pPr>
        <w:spacing w:after="5" w:line="271" w:lineRule="auto"/>
        <w:ind w:left="9" w:right="64" w:firstLine="711"/>
        <w:jc w:val="both"/>
      </w:pPr>
      <w:r>
        <w:rPr>
          <w:rFonts w:ascii="Times New Roman" w:eastAsia="Times New Roman" w:hAnsi="Times New Roman" w:cs="Times New Roman"/>
          <w:sz w:val="28"/>
        </w:rPr>
        <w:t>Wall-p</w:t>
      </w:r>
      <w:r>
        <w:rPr>
          <w:rFonts w:ascii="Times New Roman" w:eastAsia="Times New Roman" w:hAnsi="Times New Roman" w:cs="Times New Roman"/>
          <w:sz w:val="28"/>
        </w:rPr>
        <w:t>ush type robots are robots that have the ability to climb vertical pipelines, which is its great advantage. Robots of this type have an "elastic" mechanism that allows them to stay on the pipeline walls due to the pressure created by this mechanism, i.e. t</w:t>
      </w:r>
      <w:r>
        <w:rPr>
          <w:rFonts w:ascii="Times New Roman" w:eastAsia="Times New Roman" w:hAnsi="Times New Roman" w:cs="Times New Roman"/>
          <w:sz w:val="28"/>
        </w:rPr>
        <w:t>he robot, as it were, expands inside the pipe, providing reliable adhesion to its walls. [10-12]. Walking type - robots of a walking type - constructions with a different number of limbs - from multi-legged walking apparatus resembling a centipede to robot</w:t>
      </w:r>
      <w:r>
        <w:rPr>
          <w:rFonts w:ascii="Times New Roman" w:eastAsia="Times New Roman" w:hAnsi="Times New Roman" w:cs="Times New Roman"/>
          <w:sz w:val="28"/>
        </w:rPr>
        <w:t xml:space="preserve">s with 8, 6, 5, 4, 3 and 2 limbs [3]. </w:t>
      </w:r>
    </w:p>
    <w:p w:rsidR="0052701D" w:rsidRDefault="00D40929">
      <w:pPr>
        <w:spacing w:after="5" w:line="271" w:lineRule="auto"/>
        <w:ind w:left="9" w:right="64" w:firstLine="711"/>
        <w:jc w:val="both"/>
      </w:pPr>
      <w:r>
        <w:rPr>
          <w:rFonts w:ascii="Times New Roman" w:eastAsia="Times New Roman" w:hAnsi="Times New Roman" w:cs="Times New Roman"/>
          <w:sz w:val="28"/>
        </w:rPr>
        <w:t>Crawling-type robots move, carrying out periodic changes in the shape of the body. The basic principles of the movement of flexible bodies on a rough surface were considered in the works. A similar design of a multi-l</w:t>
      </w:r>
      <w:r>
        <w:rPr>
          <w:rFonts w:ascii="Times New Roman" w:eastAsia="Times New Roman" w:hAnsi="Times New Roman" w:cs="Times New Roman"/>
          <w:sz w:val="28"/>
        </w:rPr>
        <w:t xml:space="preserve">ink snake-like robot (Fig. 2) has </w:t>
      </w:r>
      <w:r>
        <w:rPr>
          <w:rFonts w:ascii="Times New Roman" w:eastAsia="Times New Roman" w:hAnsi="Times New Roman" w:cs="Times New Roman"/>
          <w:sz w:val="28"/>
        </w:rPr>
        <w:lastRenderedPageBreak/>
        <w:t xml:space="preserve">been proposed in many foreign universities and centers of robotics and technical cybernetics [7]. </w:t>
      </w:r>
    </w:p>
    <w:p w:rsidR="0052701D" w:rsidRDefault="00D40929">
      <w:pPr>
        <w:spacing w:after="0"/>
        <w:ind w:left="14"/>
        <w:jc w:val="center"/>
      </w:pPr>
      <w:r>
        <w:rPr>
          <w:noProof/>
        </w:rPr>
        <w:drawing>
          <wp:inline distT="0" distB="0" distL="0" distR="0">
            <wp:extent cx="2084832" cy="1447800"/>
            <wp:effectExtent l="0" t="0" r="0" b="0"/>
            <wp:docPr id="23531" name="Picture 23531"/>
            <wp:cNvGraphicFramePr/>
            <a:graphic xmlns:a="http://schemas.openxmlformats.org/drawingml/2006/main">
              <a:graphicData uri="http://schemas.openxmlformats.org/drawingml/2006/picture">
                <pic:pic xmlns:pic="http://schemas.openxmlformats.org/drawingml/2006/picture">
                  <pic:nvPicPr>
                    <pic:cNvPr id="23531" name="Picture 23531"/>
                    <pic:cNvPicPr/>
                  </pic:nvPicPr>
                  <pic:blipFill>
                    <a:blip r:embed="rId289"/>
                    <a:stretch>
                      <a:fillRect/>
                    </a:stretch>
                  </pic:blipFill>
                  <pic:spPr>
                    <a:xfrm>
                      <a:off x="0" y="0"/>
                      <a:ext cx="2084832" cy="1447800"/>
                    </a:xfrm>
                    <a:prstGeom prst="rect">
                      <a:avLst/>
                    </a:prstGeom>
                  </pic:spPr>
                </pic:pic>
              </a:graphicData>
            </a:graphic>
          </wp:inline>
        </w:drawing>
      </w:r>
      <w:r>
        <w:rPr>
          <w:rFonts w:ascii="Times New Roman" w:eastAsia="Times New Roman" w:hAnsi="Times New Roman" w:cs="Times New Roman"/>
        </w:rPr>
        <w:t xml:space="preserve"> </w:t>
      </w:r>
    </w:p>
    <w:p w:rsidR="0052701D" w:rsidRDefault="00D40929">
      <w:pPr>
        <w:spacing w:after="14" w:line="248" w:lineRule="auto"/>
        <w:ind w:left="713" w:right="749" w:hanging="5"/>
        <w:jc w:val="center"/>
      </w:pPr>
      <w:r>
        <w:rPr>
          <w:rFonts w:ascii="Times New Roman" w:eastAsia="Times New Roman" w:hAnsi="Times New Roman" w:cs="Times New Roman"/>
          <w:sz w:val="24"/>
        </w:rPr>
        <w:t xml:space="preserve">Fig. 2 - Snake-like multi-link robot "Snake-1" </w:t>
      </w:r>
    </w:p>
    <w:p w:rsidR="0052701D" w:rsidRDefault="00D40929">
      <w:pPr>
        <w:spacing w:after="0"/>
        <w:ind w:left="16"/>
        <w:jc w:val="center"/>
      </w:pPr>
      <w:r>
        <w:rPr>
          <w:rFonts w:ascii="Times New Roman" w:eastAsia="Times New Roman" w:hAnsi="Times New Roman" w:cs="Times New Roman"/>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Screw type - the movement of this robot resembles the movement of a sc</w:t>
      </w:r>
      <w:r>
        <w:rPr>
          <w:rFonts w:ascii="Times New Roman" w:eastAsia="Times New Roman" w:hAnsi="Times New Roman" w:cs="Times New Roman"/>
          <w:sz w:val="28"/>
        </w:rPr>
        <w:t xml:space="preserve">rew screw. The robot, as it were, is screwed (screwed) into the pipeline (Fig. 2). </w:t>
      </w:r>
    </w:p>
    <w:p w:rsidR="0052701D" w:rsidRDefault="00D40929">
      <w:pPr>
        <w:spacing w:after="0"/>
        <w:ind w:left="721"/>
      </w:pPr>
      <w:r>
        <w:rPr>
          <w:rFonts w:ascii="Times New Roman" w:eastAsia="Times New Roman" w:hAnsi="Times New Roman" w:cs="Times New Roman"/>
        </w:rPr>
        <w:t xml:space="preserve"> </w:t>
      </w:r>
    </w:p>
    <w:p w:rsidR="0052701D" w:rsidRDefault="00D40929">
      <w:pPr>
        <w:spacing w:after="0"/>
        <w:ind w:left="15"/>
        <w:jc w:val="center"/>
      </w:pPr>
      <w:r>
        <w:rPr>
          <w:noProof/>
        </w:rPr>
        <w:drawing>
          <wp:inline distT="0" distB="0" distL="0" distR="0">
            <wp:extent cx="3483864" cy="2209800"/>
            <wp:effectExtent l="0" t="0" r="0" b="0"/>
            <wp:docPr id="23608" name="Picture 23608"/>
            <wp:cNvGraphicFramePr/>
            <a:graphic xmlns:a="http://schemas.openxmlformats.org/drawingml/2006/main">
              <a:graphicData uri="http://schemas.openxmlformats.org/drawingml/2006/picture">
                <pic:pic xmlns:pic="http://schemas.openxmlformats.org/drawingml/2006/picture">
                  <pic:nvPicPr>
                    <pic:cNvPr id="23608" name="Picture 23608"/>
                    <pic:cNvPicPr/>
                  </pic:nvPicPr>
                  <pic:blipFill>
                    <a:blip r:embed="rId290"/>
                    <a:stretch>
                      <a:fillRect/>
                    </a:stretch>
                  </pic:blipFill>
                  <pic:spPr>
                    <a:xfrm>
                      <a:off x="0" y="0"/>
                      <a:ext cx="3483864" cy="2209800"/>
                    </a:xfrm>
                    <a:prstGeom prst="rect">
                      <a:avLst/>
                    </a:prstGeom>
                  </pic:spPr>
                </pic:pic>
              </a:graphicData>
            </a:graphic>
          </wp:inline>
        </w:drawing>
      </w:r>
      <w:r>
        <w:rPr>
          <w:rFonts w:ascii="Times New Roman" w:eastAsia="Times New Roman" w:hAnsi="Times New Roman" w:cs="Times New Roman"/>
        </w:rPr>
        <w:t xml:space="preserve"> </w:t>
      </w:r>
    </w:p>
    <w:p w:rsidR="0052701D" w:rsidRDefault="00D40929">
      <w:pPr>
        <w:spacing w:after="14" w:line="248" w:lineRule="auto"/>
        <w:ind w:left="713" w:right="755" w:hanging="5"/>
        <w:jc w:val="center"/>
      </w:pPr>
      <w:r>
        <w:rPr>
          <w:rFonts w:ascii="Times New Roman" w:eastAsia="Times New Roman" w:hAnsi="Times New Roman" w:cs="Times New Roman"/>
          <w:sz w:val="24"/>
        </w:rPr>
        <w:t xml:space="preserve">Fig. 3 - Helical-type intrapipeline robot </w:t>
      </w:r>
    </w:p>
    <w:p w:rsidR="0052701D" w:rsidRDefault="00D40929">
      <w:pPr>
        <w:spacing w:after="36"/>
        <w:ind w:left="16"/>
        <w:jc w:val="center"/>
      </w:pPr>
      <w:r>
        <w:rPr>
          <w:rFonts w:ascii="Times New Roman" w:eastAsia="Times New Roman" w:hAnsi="Times New Roman" w:cs="Times New Roman"/>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Recently, schemes of self-propelled movement systems of the "chassis (SS) with variable geometry (IG)" type 5-</w:t>
      </w:r>
      <w:r>
        <w:rPr>
          <w:rFonts w:ascii="Times New Roman" w:eastAsia="Times New Roman" w:hAnsi="Times New Roman" w:cs="Times New Roman"/>
          <w:sz w:val="28"/>
        </w:rPr>
        <w:t xml:space="preserve">6.35, 38, 39, 52 have found wide application in mobile robots for various purposes. allows you to significantly increase the functionality of mobile robots with traditional types of engines - wheeled and tracked. </w:t>
      </w:r>
    </w:p>
    <w:p w:rsidR="0052701D" w:rsidRDefault="00D40929">
      <w:pPr>
        <w:spacing w:after="5" w:line="271" w:lineRule="auto"/>
        <w:ind w:left="9" w:right="64" w:firstLine="711"/>
        <w:jc w:val="both"/>
      </w:pPr>
      <w:r>
        <w:rPr>
          <w:rFonts w:ascii="Times New Roman" w:eastAsia="Times New Roman" w:hAnsi="Times New Roman" w:cs="Times New Roman"/>
          <w:sz w:val="28"/>
        </w:rPr>
        <w:t>Analysis of movement systems for wheeled r</w:t>
      </w:r>
      <w:r>
        <w:rPr>
          <w:rFonts w:ascii="Times New Roman" w:eastAsia="Times New Roman" w:hAnsi="Times New Roman" w:cs="Times New Roman"/>
          <w:sz w:val="28"/>
        </w:rPr>
        <w:t>obots for pipeline systems. The prototype of a mobile multi-sensor robot with computer control based on a DC motor consists of the following components: base module; sensor module; transport module; electronic communication and power module; control module</w:t>
      </w:r>
      <w:r>
        <w:rPr>
          <w:rFonts w:ascii="Times New Roman" w:eastAsia="Times New Roman" w:hAnsi="Times New Roman" w:cs="Times New Roman"/>
          <w:sz w:val="28"/>
        </w:rPr>
        <w:t xml:space="preserve">. An increase in the maneuverability of a wheeled MR is achieved by using differentiated wheel movement, provided by separate drives for the right and left wheels. </w:t>
      </w:r>
    </w:p>
    <w:p w:rsidR="0052701D" w:rsidRDefault="00D40929">
      <w:pPr>
        <w:spacing w:after="5" w:line="271" w:lineRule="auto"/>
        <w:ind w:left="9" w:right="64" w:firstLine="711"/>
        <w:jc w:val="both"/>
      </w:pPr>
      <w:r>
        <w:rPr>
          <w:rFonts w:ascii="Times New Roman" w:eastAsia="Times New Roman" w:hAnsi="Times New Roman" w:cs="Times New Roman"/>
          <w:sz w:val="28"/>
        </w:rPr>
        <w:t>From the point of view of the implementation of MBR movement control under conditions of pi</w:t>
      </w:r>
      <w:r>
        <w:rPr>
          <w:rFonts w:ascii="Times New Roman" w:eastAsia="Times New Roman" w:hAnsi="Times New Roman" w:cs="Times New Roman"/>
          <w:sz w:val="28"/>
        </w:rPr>
        <w:t xml:space="preserve">peline cross-sectional variability caused by defects in the geometry of the pipe cross-section (dents, corrugations, ovality, flattening, metal folds, narrowing), it is advisable to use non-contact or contact mechatronic sensors that "feel" the surface of </w:t>
      </w:r>
      <w:r>
        <w:rPr>
          <w:rFonts w:ascii="Times New Roman" w:eastAsia="Times New Roman" w:hAnsi="Times New Roman" w:cs="Times New Roman"/>
          <w:sz w:val="28"/>
        </w:rPr>
        <w:t xml:space="preserve">the pipeline. The sensitivity of the defect sensor is determined by the geometry of the lever. </w:t>
      </w:r>
    </w:p>
    <w:p w:rsidR="0052701D" w:rsidRDefault="00D40929">
      <w:pPr>
        <w:spacing w:after="5" w:line="271" w:lineRule="auto"/>
        <w:ind w:left="9" w:right="64" w:firstLine="711"/>
        <w:jc w:val="both"/>
      </w:pPr>
      <w:r>
        <w:rPr>
          <w:rFonts w:ascii="Times New Roman" w:eastAsia="Times New Roman" w:hAnsi="Times New Roman" w:cs="Times New Roman"/>
          <w:sz w:val="28"/>
        </w:rPr>
        <w:lastRenderedPageBreak/>
        <w:t>Among the robots designed for autonomous inspection of drainage pipes with a diameter of 300 to 600 mm, it is worth noting the six-link robot MAKRO (Fig. 4) [14</w:t>
      </w:r>
      <w:r>
        <w:rPr>
          <w:rFonts w:ascii="Times New Roman" w:eastAsia="Times New Roman" w:hAnsi="Times New Roman" w:cs="Times New Roman"/>
          <w:sz w:val="28"/>
        </w:rPr>
        <w:t xml:space="preserve">]. </w:t>
      </w:r>
    </w:p>
    <w:p w:rsidR="0052701D" w:rsidRDefault="00D40929">
      <w:pPr>
        <w:spacing w:after="0"/>
      </w:pPr>
      <w:r>
        <w:rPr>
          <w:rFonts w:ascii="Times New Roman" w:eastAsia="Times New Roman" w:hAnsi="Times New Roman" w:cs="Times New Roman"/>
          <w:sz w:val="28"/>
        </w:rPr>
        <w:t xml:space="preserve"> </w:t>
      </w:r>
    </w:p>
    <w:p w:rsidR="0052701D" w:rsidRDefault="00D40929">
      <w:pPr>
        <w:spacing w:after="0"/>
        <w:ind w:left="1704"/>
      </w:pPr>
      <w:r>
        <w:rPr>
          <w:noProof/>
        </w:rPr>
        <w:drawing>
          <wp:inline distT="0" distB="0" distL="0" distR="0">
            <wp:extent cx="3962400" cy="2093976"/>
            <wp:effectExtent l="0" t="0" r="0" b="0"/>
            <wp:docPr id="23610" name="Picture 23610"/>
            <wp:cNvGraphicFramePr/>
            <a:graphic xmlns:a="http://schemas.openxmlformats.org/drawingml/2006/main">
              <a:graphicData uri="http://schemas.openxmlformats.org/drawingml/2006/picture">
                <pic:pic xmlns:pic="http://schemas.openxmlformats.org/drawingml/2006/picture">
                  <pic:nvPicPr>
                    <pic:cNvPr id="23610" name="Picture 23610"/>
                    <pic:cNvPicPr/>
                  </pic:nvPicPr>
                  <pic:blipFill>
                    <a:blip r:embed="rId291"/>
                    <a:stretch>
                      <a:fillRect/>
                    </a:stretch>
                  </pic:blipFill>
                  <pic:spPr>
                    <a:xfrm>
                      <a:off x="0" y="0"/>
                      <a:ext cx="3962400" cy="2093976"/>
                    </a:xfrm>
                    <a:prstGeom prst="rect">
                      <a:avLst/>
                    </a:prstGeom>
                  </pic:spPr>
                </pic:pic>
              </a:graphicData>
            </a:graphic>
          </wp:inline>
        </w:drawing>
      </w:r>
      <w:r>
        <w:rPr>
          <w:rFonts w:ascii="Times New Roman" w:eastAsia="Times New Roman" w:hAnsi="Times New Roman" w:cs="Times New Roman"/>
        </w:rPr>
        <w:t xml:space="preserve"> </w:t>
      </w:r>
    </w:p>
    <w:p w:rsidR="0052701D" w:rsidRDefault="00D40929">
      <w:pPr>
        <w:spacing w:after="14" w:line="248" w:lineRule="auto"/>
        <w:ind w:left="713" w:right="752" w:hanging="5"/>
        <w:jc w:val="center"/>
      </w:pPr>
      <w:r>
        <w:rPr>
          <w:rFonts w:ascii="Times New Roman" w:eastAsia="Times New Roman" w:hAnsi="Times New Roman" w:cs="Times New Roman"/>
          <w:sz w:val="24"/>
        </w:rPr>
        <w:t xml:space="preserve">Fig. 4 - General view of the pipeline robot MAKRO 1.1 </w:t>
      </w:r>
    </w:p>
    <w:p w:rsidR="0052701D" w:rsidRDefault="00D40929">
      <w:pPr>
        <w:spacing w:after="0"/>
        <w:ind w:left="16"/>
        <w:jc w:val="center"/>
      </w:pPr>
      <w:r>
        <w:rPr>
          <w:rFonts w:ascii="Times New Roman" w:eastAsia="Times New Roman" w:hAnsi="Times New Roman" w:cs="Times New Roman"/>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Mobile robots moving inside pipelines are divided into two types: robots with articulated all-</w:t>
      </w:r>
      <w:r>
        <w:rPr>
          <w:rFonts w:ascii="Times New Roman" w:eastAsia="Times New Roman" w:hAnsi="Times New Roman" w:cs="Times New Roman"/>
          <w:sz w:val="28"/>
        </w:rPr>
        <w:t xml:space="preserve">wheel drive system of movement; robots with differential control. Robots with an active joint, physically similar to a snake or annelids, are among the most adequate mechanisms, despite the fact that they have a complicated steering mechanism. Such robots </w:t>
      </w:r>
      <w:r>
        <w:rPr>
          <w:rFonts w:ascii="Times New Roman" w:eastAsia="Times New Roman" w:hAnsi="Times New Roman" w:cs="Times New Roman"/>
          <w:sz w:val="28"/>
        </w:rPr>
        <w:t xml:space="preserve">can move in tees and various splitters. An alternative to the articulated robot is the 3-pin beam kinematics robot, in which three separate drive motors with differential speed control are located at an angle of 120°. </w:t>
      </w:r>
    </w:p>
    <w:p w:rsidR="0052701D" w:rsidRDefault="00D40929">
      <w:pPr>
        <w:spacing w:after="5" w:line="271" w:lineRule="auto"/>
        <w:ind w:left="9" w:right="64" w:firstLine="711"/>
        <w:jc w:val="both"/>
      </w:pPr>
      <w:r>
        <w:rPr>
          <w:rFonts w:ascii="Times New Roman" w:eastAsia="Times New Roman" w:hAnsi="Times New Roman" w:cs="Times New Roman"/>
          <w:sz w:val="28"/>
        </w:rPr>
        <w:t>The design of the wheel-type intrapip</w:t>
      </w:r>
      <w:r>
        <w:rPr>
          <w:rFonts w:ascii="Times New Roman" w:eastAsia="Times New Roman" w:hAnsi="Times New Roman" w:cs="Times New Roman"/>
          <w:sz w:val="28"/>
        </w:rPr>
        <w:t xml:space="preserve">eline robot. This chapter describes the development of the robot design, as well as the functional system is presented in the form of three generalized subsystems. The control algorithm of the created pipeline robot is considered. </w:t>
      </w:r>
    </w:p>
    <w:p w:rsidR="0052701D" w:rsidRDefault="00D40929">
      <w:pPr>
        <w:spacing w:after="5" w:line="271" w:lineRule="auto"/>
        <w:ind w:left="9" w:right="64" w:firstLine="711"/>
        <w:jc w:val="both"/>
      </w:pPr>
      <w:r>
        <w:rPr>
          <w:rFonts w:ascii="Times New Roman" w:eastAsia="Times New Roman" w:hAnsi="Times New Roman" w:cs="Times New Roman"/>
          <w:sz w:val="28"/>
        </w:rPr>
        <w:t>Robot design development</w:t>
      </w:r>
      <w:r>
        <w:rPr>
          <w:rFonts w:ascii="Times New Roman" w:eastAsia="Times New Roman" w:hAnsi="Times New Roman" w:cs="Times New Roman"/>
          <w:sz w:val="28"/>
        </w:rPr>
        <w:t>. The movement system is the source of movement of the wheeled ICBM along the surface of the pipe, providing its speed characteristics and the required cross-country ability. Functionally, the movement system of a wheeled ICBM can be represented as three g</w:t>
      </w:r>
      <w:r>
        <w:rPr>
          <w:rFonts w:ascii="Times New Roman" w:eastAsia="Times New Roman" w:hAnsi="Times New Roman" w:cs="Times New Roman"/>
          <w:sz w:val="28"/>
        </w:rPr>
        <w:t xml:space="preserve">eneralized subsystems: the propulsion, transmission mechanism and body. </w:t>
      </w:r>
    </w:p>
    <w:p w:rsidR="0052701D" w:rsidRDefault="00D40929">
      <w:pPr>
        <w:spacing w:after="5" w:line="271" w:lineRule="auto"/>
        <w:ind w:left="9" w:right="64" w:firstLine="711"/>
        <w:jc w:val="both"/>
      </w:pPr>
      <w:r>
        <w:rPr>
          <w:rFonts w:ascii="Times New Roman" w:eastAsia="Times New Roman" w:hAnsi="Times New Roman" w:cs="Times New Roman"/>
          <w:sz w:val="28"/>
        </w:rPr>
        <w:t>The propulsion subsystem, which includes the motors of the movement system, is designed to convert the energy of the power source into the mechanical energy of the movement of the whe</w:t>
      </w:r>
      <w:r>
        <w:rPr>
          <w:rFonts w:ascii="Times New Roman" w:eastAsia="Times New Roman" w:hAnsi="Times New Roman" w:cs="Times New Roman"/>
          <w:sz w:val="28"/>
        </w:rPr>
        <w:t>el modules. The transmission subsystem, consisting of transmission and distribution devices, serves to transfer mechanical energy from the engines to the executive subsystem, which is the wheel engine. The engine of the movement system is directly connecte</w:t>
      </w:r>
      <w:r>
        <w:rPr>
          <w:rFonts w:ascii="Times New Roman" w:eastAsia="Times New Roman" w:hAnsi="Times New Roman" w:cs="Times New Roman"/>
          <w:sz w:val="28"/>
        </w:rPr>
        <w:t>d to the surface and is designed to convert the supplied mechanical energy into traction forces that drive the wheeled MIR. The motor and transmission subsystems form the drives for the movement of the wheeled MIR. Figure 5 shows the design of the MIR, and</w:t>
      </w:r>
      <w:r>
        <w:rPr>
          <w:rFonts w:ascii="Times New Roman" w:eastAsia="Times New Roman" w:hAnsi="Times New Roman" w:cs="Times New Roman"/>
          <w:sz w:val="28"/>
        </w:rPr>
        <w:t xml:space="preserve"> also shows the connection of the motors and the sensor system of the MIR. </w:t>
      </w:r>
    </w:p>
    <w:p w:rsidR="0052701D" w:rsidRDefault="00D40929">
      <w:pPr>
        <w:spacing w:after="0"/>
        <w:ind w:left="711"/>
      </w:pPr>
      <w:r>
        <w:rPr>
          <w:rFonts w:ascii="Times New Roman" w:eastAsia="Times New Roman" w:hAnsi="Times New Roman" w:cs="Times New Roman"/>
          <w:sz w:val="28"/>
        </w:rPr>
        <w:t xml:space="preserve"> </w:t>
      </w:r>
    </w:p>
    <w:p w:rsidR="0052701D" w:rsidRDefault="00D40929">
      <w:pPr>
        <w:spacing w:after="0"/>
        <w:ind w:left="15"/>
        <w:jc w:val="center"/>
      </w:pPr>
      <w:r>
        <w:rPr>
          <w:noProof/>
        </w:rPr>
        <w:lastRenderedPageBreak/>
        <w:drawing>
          <wp:inline distT="0" distB="0" distL="0" distR="0">
            <wp:extent cx="2423160" cy="1914144"/>
            <wp:effectExtent l="0" t="0" r="0" b="0"/>
            <wp:docPr id="23696" name="Picture 23696"/>
            <wp:cNvGraphicFramePr/>
            <a:graphic xmlns:a="http://schemas.openxmlformats.org/drawingml/2006/main">
              <a:graphicData uri="http://schemas.openxmlformats.org/drawingml/2006/picture">
                <pic:pic xmlns:pic="http://schemas.openxmlformats.org/drawingml/2006/picture">
                  <pic:nvPicPr>
                    <pic:cNvPr id="23696" name="Picture 23696"/>
                    <pic:cNvPicPr/>
                  </pic:nvPicPr>
                  <pic:blipFill>
                    <a:blip r:embed="rId292"/>
                    <a:stretch>
                      <a:fillRect/>
                    </a:stretch>
                  </pic:blipFill>
                  <pic:spPr>
                    <a:xfrm>
                      <a:off x="0" y="0"/>
                      <a:ext cx="2423160" cy="1914144"/>
                    </a:xfrm>
                    <a:prstGeom prst="rect">
                      <a:avLst/>
                    </a:prstGeom>
                  </pic:spPr>
                </pic:pic>
              </a:graphicData>
            </a:graphic>
          </wp:inline>
        </w:drawing>
      </w:r>
      <w:r>
        <w:rPr>
          <w:rFonts w:ascii="Times New Roman" w:eastAsia="Times New Roman" w:hAnsi="Times New Roman" w:cs="Times New Roman"/>
        </w:rPr>
        <w:t xml:space="preserve"> </w:t>
      </w:r>
    </w:p>
    <w:p w:rsidR="0052701D" w:rsidRDefault="00D40929">
      <w:pPr>
        <w:spacing w:after="14" w:line="248" w:lineRule="auto"/>
        <w:ind w:left="713" w:right="754" w:hanging="5"/>
        <w:jc w:val="center"/>
      </w:pPr>
      <w:r>
        <w:rPr>
          <w:rFonts w:ascii="Times New Roman" w:eastAsia="Times New Roman" w:hAnsi="Times New Roman" w:cs="Times New Roman"/>
          <w:sz w:val="24"/>
        </w:rPr>
        <w:t xml:space="preserve">Fig. 5 - 3D model of a mobile robot </w:t>
      </w:r>
    </w:p>
    <w:p w:rsidR="0052701D" w:rsidRDefault="00D40929">
      <w:pPr>
        <w:spacing w:after="31"/>
        <w:ind w:left="16"/>
        <w:jc w:val="center"/>
      </w:pPr>
      <w:r>
        <w:rPr>
          <w:rFonts w:ascii="Times New Roman" w:eastAsia="Times New Roman" w:hAnsi="Times New Roman" w:cs="Times New Roman"/>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When developing the design of the 3D model of the robot, the SolidWorks program was used. With the help of this program, an animation of movement along the surface of the inside of the pipeline with a size of d = 100 mm was developed (Fig. 6). </w:t>
      </w:r>
    </w:p>
    <w:p w:rsidR="0052701D" w:rsidRDefault="00D40929">
      <w:pPr>
        <w:spacing w:after="5" w:line="271" w:lineRule="auto"/>
        <w:ind w:left="9" w:right="64" w:firstLine="562"/>
        <w:jc w:val="both"/>
      </w:pPr>
      <w:r>
        <w:rPr>
          <w:rFonts w:ascii="Times New Roman" w:eastAsia="Times New Roman" w:hAnsi="Times New Roman" w:cs="Times New Roman"/>
          <w:sz w:val="28"/>
        </w:rPr>
        <w:t>Control alg</w:t>
      </w:r>
      <w:r>
        <w:rPr>
          <w:rFonts w:ascii="Times New Roman" w:eastAsia="Times New Roman" w:hAnsi="Times New Roman" w:cs="Times New Roman"/>
          <w:sz w:val="28"/>
        </w:rPr>
        <w:t>orithm inside the pipeline robot. Most modern mobile robots operate in the mode of so-called remote and/or remote-automatic control [7, 8, 9]. The specificity of this mode lies in the fact that some of the operations, as a rule, operations of the lower lev</w:t>
      </w:r>
      <w:r>
        <w:rPr>
          <w:rFonts w:ascii="Times New Roman" w:eastAsia="Times New Roman" w:hAnsi="Times New Roman" w:cs="Times New Roman"/>
          <w:sz w:val="28"/>
        </w:rPr>
        <w:t>el, are performed offline, i.e. without the direct participation of a human operator. Operations of a higher level, requiring decision-making in complex situations, based on a variety of criteria, are performed with the direct participation of a human oper</w:t>
      </w:r>
      <w:r>
        <w:rPr>
          <w:rFonts w:ascii="Times New Roman" w:eastAsia="Times New Roman" w:hAnsi="Times New Roman" w:cs="Times New Roman"/>
          <w:sz w:val="28"/>
        </w:rPr>
        <w:t xml:space="preserve">ator. This is explained by the fact that, as a rule, mobile robots operate in conditions of a significant non-determinism of the external environment. Therefore, it is extremely difficult for a robot to make decisions on its own. </w:t>
      </w:r>
    </w:p>
    <w:p w:rsidR="0052701D" w:rsidRDefault="00D40929">
      <w:pPr>
        <w:spacing w:after="0"/>
        <w:ind w:left="721"/>
      </w:pPr>
      <w:r>
        <w:rPr>
          <w:rFonts w:ascii="Times New Roman" w:eastAsia="Times New Roman" w:hAnsi="Times New Roman" w:cs="Times New Roman"/>
          <w:sz w:val="28"/>
        </w:rPr>
        <w:t xml:space="preserve"> </w:t>
      </w:r>
    </w:p>
    <w:p w:rsidR="0052701D" w:rsidRDefault="00D40929">
      <w:pPr>
        <w:spacing w:after="0"/>
        <w:ind w:right="1443"/>
        <w:jc w:val="right"/>
      </w:pPr>
      <w:r>
        <w:rPr>
          <w:noProof/>
        </w:rPr>
        <w:drawing>
          <wp:inline distT="0" distB="0" distL="0" distR="0">
            <wp:extent cx="4270248" cy="1917192"/>
            <wp:effectExtent l="0" t="0" r="0" b="0"/>
            <wp:docPr id="23748" name="Picture 23748"/>
            <wp:cNvGraphicFramePr/>
            <a:graphic xmlns:a="http://schemas.openxmlformats.org/drawingml/2006/main">
              <a:graphicData uri="http://schemas.openxmlformats.org/drawingml/2006/picture">
                <pic:pic xmlns:pic="http://schemas.openxmlformats.org/drawingml/2006/picture">
                  <pic:nvPicPr>
                    <pic:cNvPr id="23748" name="Picture 23748"/>
                    <pic:cNvPicPr/>
                  </pic:nvPicPr>
                  <pic:blipFill>
                    <a:blip r:embed="rId293"/>
                    <a:stretch>
                      <a:fillRect/>
                    </a:stretch>
                  </pic:blipFill>
                  <pic:spPr>
                    <a:xfrm>
                      <a:off x="0" y="0"/>
                      <a:ext cx="4270248" cy="1917192"/>
                    </a:xfrm>
                    <a:prstGeom prst="rect">
                      <a:avLst/>
                    </a:prstGeom>
                  </pic:spPr>
                </pic:pic>
              </a:graphicData>
            </a:graphic>
          </wp:inline>
        </w:drawing>
      </w:r>
      <w:r>
        <w:rPr>
          <w:rFonts w:ascii="Times New Roman" w:eastAsia="Times New Roman" w:hAnsi="Times New Roman" w:cs="Times New Roman"/>
        </w:rPr>
        <w:t xml:space="preserve"> </w:t>
      </w:r>
    </w:p>
    <w:p w:rsidR="0052701D" w:rsidRDefault="00D40929">
      <w:pPr>
        <w:spacing w:after="0"/>
      </w:pPr>
      <w:r>
        <w:rPr>
          <w:rFonts w:ascii="Times New Roman" w:eastAsia="Times New Roman" w:hAnsi="Times New Roman" w:cs="Times New Roman"/>
          <w:i/>
        </w:rPr>
        <w:t xml:space="preserve"> </w:t>
      </w:r>
    </w:p>
    <w:p w:rsidR="0052701D" w:rsidRDefault="00D40929">
      <w:pPr>
        <w:spacing w:after="14" w:line="248" w:lineRule="auto"/>
        <w:ind w:left="713" w:right="761" w:hanging="5"/>
        <w:jc w:val="center"/>
      </w:pPr>
      <w:r>
        <w:rPr>
          <w:rFonts w:ascii="Times New Roman" w:eastAsia="Times New Roman" w:hAnsi="Times New Roman" w:cs="Times New Roman"/>
          <w:sz w:val="24"/>
        </w:rPr>
        <w:t xml:space="preserve">Fig. 6 - Movement </w:t>
      </w:r>
      <w:r>
        <w:rPr>
          <w:rFonts w:ascii="Times New Roman" w:eastAsia="Times New Roman" w:hAnsi="Times New Roman" w:cs="Times New Roman"/>
          <w:sz w:val="24"/>
        </w:rPr>
        <w:t xml:space="preserve">of the robot inside the pipeline </w:t>
      </w:r>
    </w:p>
    <w:p w:rsidR="0052701D" w:rsidRDefault="00D40929">
      <w:pPr>
        <w:spacing w:after="36"/>
        <w:ind w:left="16"/>
        <w:jc w:val="center"/>
      </w:pPr>
      <w:r>
        <w:rPr>
          <w:rFonts w:ascii="Times New Roman" w:eastAsia="Times New Roman" w:hAnsi="Times New Roman" w:cs="Times New Roman"/>
          <w:i/>
        </w:rPr>
        <w:t xml:space="preserve"> </w:t>
      </w:r>
    </w:p>
    <w:p w:rsidR="0052701D" w:rsidRDefault="00D40929">
      <w:pPr>
        <w:spacing w:after="5" w:line="271" w:lineRule="auto"/>
        <w:ind w:left="9" w:right="64" w:firstLine="562"/>
        <w:jc w:val="both"/>
      </w:pPr>
      <w:r>
        <w:rPr>
          <w:rFonts w:ascii="Times New Roman" w:eastAsia="Times New Roman" w:hAnsi="Times New Roman" w:cs="Times New Roman"/>
          <w:sz w:val="28"/>
        </w:rPr>
        <w:t xml:space="preserve">The functional diagram of the trajectory motion control with the adaptation of the compression force of the wheel modules to the pipeline surface is shown in Fig. 7. </w:t>
      </w:r>
    </w:p>
    <w:p w:rsidR="0052701D" w:rsidRDefault="00D40929">
      <w:pPr>
        <w:spacing w:after="0"/>
        <w:ind w:left="581"/>
      </w:pPr>
      <w:r>
        <w:rPr>
          <w:rFonts w:ascii="Times New Roman" w:eastAsia="Times New Roman" w:hAnsi="Times New Roman" w:cs="Times New Roman"/>
        </w:rPr>
        <w:t xml:space="preserve"> </w:t>
      </w:r>
    </w:p>
    <w:p w:rsidR="0052701D" w:rsidRDefault="00D40929">
      <w:pPr>
        <w:spacing w:after="0"/>
        <w:ind w:left="20"/>
        <w:jc w:val="center"/>
      </w:pPr>
      <w:r>
        <w:rPr>
          <w:noProof/>
        </w:rPr>
        <w:lastRenderedPageBreak/>
        <w:drawing>
          <wp:inline distT="0" distB="0" distL="0" distR="0">
            <wp:extent cx="2590800" cy="1923288"/>
            <wp:effectExtent l="0" t="0" r="0" b="0"/>
            <wp:docPr id="23750" name="Picture 23750"/>
            <wp:cNvGraphicFramePr/>
            <a:graphic xmlns:a="http://schemas.openxmlformats.org/drawingml/2006/main">
              <a:graphicData uri="http://schemas.openxmlformats.org/drawingml/2006/picture">
                <pic:pic xmlns:pic="http://schemas.openxmlformats.org/drawingml/2006/picture">
                  <pic:nvPicPr>
                    <pic:cNvPr id="23750" name="Picture 23750"/>
                    <pic:cNvPicPr/>
                  </pic:nvPicPr>
                  <pic:blipFill>
                    <a:blip r:embed="rId294"/>
                    <a:stretch>
                      <a:fillRect/>
                    </a:stretch>
                  </pic:blipFill>
                  <pic:spPr>
                    <a:xfrm>
                      <a:off x="0" y="0"/>
                      <a:ext cx="2590800" cy="1923288"/>
                    </a:xfrm>
                    <a:prstGeom prst="rect">
                      <a:avLst/>
                    </a:prstGeom>
                  </pic:spPr>
                </pic:pic>
              </a:graphicData>
            </a:graphic>
          </wp:inline>
        </w:drawing>
      </w:r>
      <w:r>
        <w:rPr>
          <w:rFonts w:ascii="Times New Roman" w:eastAsia="Times New Roman" w:hAnsi="Times New Roman" w:cs="Times New Roman"/>
        </w:rPr>
        <w:t xml:space="preserve"> </w:t>
      </w:r>
    </w:p>
    <w:p w:rsidR="0052701D" w:rsidRDefault="00D40929">
      <w:pPr>
        <w:spacing w:after="14" w:line="248" w:lineRule="auto"/>
        <w:ind w:left="713" w:right="752" w:hanging="5"/>
        <w:jc w:val="center"/>
      </w:pPr>
      <w:r>
        <w:rPr>
          <w:rFonts w:ascii="Times New Roman" w:eastAsia="Times New Roman" w:hAnsi="Times New Roman" w:cs="Times New Roman"/>
          <w:sz w:val="24"/>
        </w:rPr>
        <w:t xml:space="preserve">Fig.7.Functional diagram of the wheeled ICBM motion control system </w:t>
      </w:r>
    </w:p>
    <w:p w:rsidR="0052701D" w:rsidRDefault="00D40929">
      <w:pPr>
        <w:spacing w:after="36"/>
      </w:pPr>
      <w:r>
        <w:rPr>
          <w:rFonts w:ascii="Times New Roman" w:eastAsia="Times New Roman" w:hAnsi="Times New Roman" w:cs="Times New Roman"/>
          <w:i/>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The robot control system works according to the following system: the robot moves inside the pipeline. The sensor sends a signal to the controller according to the following criteria: th</w:t>
      </w:r>
      <w:r>
        <w:rPr>
          <w:rFonts w:ascii="Times New Roman" w:eastAsia="Times New Roman" w:hAnsi="Times New Roman" w:cs="Times New Roman"/>
          <w:sz w:val="28"/>
        </w:rPr>
        <w:t xml:space="preserve">e first is the amount of distance traveled by the robot; second, when the engine speed decreases, the sensor sends a signal of clogging of the pipe. All these indications are displayed in the application. An example is shown in Figure 8. </w:t>
      </w:r>
    </w:p>
    <w:p w:rsidR="0052701D" w:rsidRDefault="00D40929">
      <w:pPr>
        <w:spacing w:after="0"/>
        <w:ind w:left="721"/>
      </w:pPr>
      <w:r>
        <w:rPr>
          <w:rFonts w:ascii="Times New Roman" w:eastAsia="Times New Roman" w:hAnsi="Times New Roman" w:cs="Times New Roman"/>
          <w:i/>
        </w:rPr>
        <w:t xml:space="preserve"> </w:t>
      </w:r>
    </w:p>
    <w:p w:rsidR="0052701D" w:rsidRDefault="00D40929">
      <w:pPr>
        <w:spacing w:after="0"/>
        <w:ind w:right="848"/>
        <w:jc w:val="right"/>
      </w:pPr>
      <w:r>
        <w:rPr>
          <w:noProof/>
        </w:rPr>
        <mc:AlternateContent>
          <mc:Choice Requires="wpg">
            <w:drawing>
              <wp:inline distT="0" distB="0" distL="0" distR="0">
                <wp:extent cx="4934712" cy="1399032"/>
                <wp:effectExtent l="0" t="0" r="0" b="0"/>
                <wp:docPr id="939821" name="Group 939821"/>
                <wp:cNvGraphicFramePr/>
                <a:graphic xmlns:a="http://schemas.openxmlformats.org/drawingml/2006/main">
                  <a:graphicData uri="http://schemas.microsoft.com/office/word/2010/wordprocessingGroup">
                    <wpg:wgp>
                      <wpg:cNvGrpSpPr/>
                      <wpg:grpSpPr>
                        <a:xfrm>
                          <a:off x="0" y="0"/>
                          <a:ext cx="4934712" cy="1399032"/>
                          <a:chOff x="0" y="0"/>
                          <a:chExt cx="4934712" cy="1399032"/>
                        </a:xfrm>
                      </wpg:grpSpPr>
                      <pic:pic xmlns:pic="http://schemas.openxmlformats.org/drawingml/2006/picture">
                        <pic:nvPicPr>
                          <pic:cNvPr id="23752" name="Picture 23752"/>
                          <pic:cNvPicPr/>
                        </pic:nvPicPr>
                        <pic:blipFill>
                          <a:blip r:embed="rId295"/>
                          <a:stretch>
                            <a:fillRect/>
                          </a:stretch>
                        </pic:blipFill>
                        <pic:spPr>
                          <a:xfrm>
                            <a:off x="0" y="6097"/>
                            <a:ext cx="2471928" cy="1392936"/>
                          </a:xfrm>
                          <a:prstGeom prst="rect">
                            <a:avLst/>
                          </a:prstGeom>
                        </pic:spPr>
                      </pic:pic>
                      <pic:pic xmlns:pic="http://schemas.openxmlformats.org/drawingml/2006/picture">
                        <pic:nvPicPr>
                          <pic:cNvPr id="23754" name="Picture 23754"/>
                          <pic:cNvPicPr/>
                        </pic:nvPicPr>
                        <pic:blipFill>
                          <a:blip r:embed="rId296"/>
                          <a:stretch>
                            <a:fillRect/>
                          </a:stretch>
                        </pic:blipFill>
                        <pic:spPr>
                          <a:xfrm>
                            <a:off x="2471928" y="0"/>
                            <a:ext cx="2462784" cy="1399032"/>
                          </a:xfrm>
                          <a:prstGeom prst="rect">
                            <a:avLst/>
                          </a:prstGeom>
                        </pic:spPr>
                      </pic:pic>
                    </wpg:wgp>
                  </a:graphicData>
                </a:graphic>
              </wp:inline>
            </w:drawing>
          </mc:Choice>
          <mc:Fallback xmlns:a="http://schemas.openxmlformats.org/drawingml/2006/main">
            <w:pict>
              <v:group id="Group 939821" style="width:388.56pt;height:110.16pt;mso-position-horizontal-relative:char;mso-position-vertical-relative:line" coordsize="49347,13990">
                <v:shape id="Picture 23752" style="position:absolute;width:24719;height:13929;left:0;top:60;" filled="f">
                  <v:imagedata r:id="rId297"/>
                </v:shape>
                <v:shape id="Picture 23754" style="position:absolute;width:24627;height:13990;left:24719;top:0;" filled="f">
                  <v:imagedata r:id="rId298"/>
                </v:shape>
              </v:group>
            </w:pict>
          </mc:Fallback>
        </mc:AlternateContent>
      </w:r>
      <w:r>
        <w:rPr>
          <w:rFonts w:ascii="Times New Roman" w:eastAsia="Times New Roman" w:hAnsi="Times New Roman" w:cs="Times New Roman"/>
          <w:i/>
        </w:rPr>
        <w:t xml:space="preserve"> </w:t>
      </w:r>
    </w:p>
    <w:p w:rsidR="0052701D" w:rsidRDefault="00D40929">
      <w:pPr>
        <w:spacing w:after="14" w:line="248" w:lineRule="auto"/>
        <w:ind w:left="713" w:right="815" w:hanging="5"/>
        <w:jc w:val="center"/>
      </w:pPr>
      <w:r>
        <w:rPr>
          <w:rFonts w:ascii="Times New Roman" w:eastAsia="Times New Roman" w:hAnsi="Times New Roman" w:cs="Times New Roman"/>
          <w:sz w:val="24"/>
        </w:rPr>
        <w:t>Fig. 8. Read</w:t>
      </w:r>
      <w:r>
        <w:rPr>
          <w:rFonts w:ascii="Times New Roman" w:eastAsia="Times New Roman" w:hAnsi="Times New Roman" w:cs="Times New Roman"/>
          <w:sz w:val="24"/>
        </w:rPr>
        <w:t>ings of MIR sensors</w:t>
      </w:r>
      <w:r>
        <w:rPr>
          <w:rFonts w:ascii="Times New Roman" w:eastAsia="Times New Roman" w:hAnsi="Times New Roman" w:cs="Times New Roman"/>
          <w:i/>
          <w:sz w:val="24"/>
        </w:rPr>
        <w:t xml:space="preserve"> </w:t>
      </w:r>
      <w:r>
        <w:rPr>
          <w:rFonts w:ascii="Times New Roman" w:eastAsia="Times New Roman" w:hAnsi="Times New Roman" w:cs="Times New Roman"/>
          <w:sz w:val="24"/>
        </w:rPr>
        <w:t xml:space="preserve"> </w:t>
      </w:r>
    </w:p>
    <w:p w:rsidR="0052701D" w:rsidRDefault="00D40929">
      <w:pPr>
        <w:spacing w:after="0"/>
        <w:ind w:left="16"/>
        <w:jc w:val="center"/>
      </w:pPr>
      <w:r>
        <w:rPr>
          <w:rFonts w:ascii="Times New Roman" w:eastAsia="Times New Roman" w:hAnsi="Times New Roman" w:cs="Times New Roman"/>
          <w:i/>
        </w:rPr>
        <w:t xml:space="preserve"> </w:t>
      </w:r>
    </w:p>
    <w:p w:rsidR="0052701D" w:rsidRDefault="00D40929">
      <w:pPr>
        <w:spacing w:after="0"/>
        <w:ind w:left="711"/>
      </w:pPr>
      <w:r>
        <w:rPr>
          <w:rFonts w:ascii="Times New Roman" w:eastAsia="Times New Roman" w:hAnsi="Times New Roman" w:cs="Times New Roman"/>
          <w:b/>
        </w:rPr>
        <w:t xml:space="preserve"> </w:t>
      </w:r>
    </w:p>
    <w:p w:rsidR="0052701D" w:rsidRDefault="00D40929">
      <w:pPr>
        <w:spacing w:after="5" w:line="251" w:lineRule="auto"/>
        <w:ind w:left="720" w:firstLine="9"/>
      </w:pPr>
      <w:r>
        <w:rPr>
          <w:rFonts w:ascii="Times New Roman" w:eastAsia="Times New Roman" w:hAnsi="Times New Roman" w:cs="Times New Roman"/>
          <w:b/>
          <w:sz w:val="28"/>
        </w:rPr>
        <w:t xml:space="preserve">Conclusions </w:t>
      </w:r>
    </w:p>
    <w:p w:rsidR="0052701D" w:rsidRDefault="00D40929">
      <w:pPr>
        <w:spacing w:after="5" w:line="271" w:lineRule="auto"/>
        <w:ind w:left="9" w:right="64" w:firstLine="711"/>
        <w:jc w:val="both"/>
      </w:pPr>
      <w:r>
        <w:rPr>
          <w:rFonts w:ascii="Times New Roman" w:eastAsia="Times New Roman" w:hAnsi="Times New Roman" w:cs="Times New Roman"/>
          <w:sz w:val="28"/>
        </w:rPr>
        <w:t>The robot for pipe inspection, detection and removal of blockages brings economic benefits by correcting the ecological situation. Such an inspection is a visual method for determining the technical condition of pipel</w:t>
      </w:r>
      <w:r>
        <w:rPr>
          <w:rFonts w:ascii="Times New Roman" w:eastAsia="Times New Roman" w:hAnsi="Times New Roman" w:cs="Times New Roman"/>
          <w:sz w:val="28"/>
        </w:rPr>
        <w:t>ines. An analysis of existing robots that are designed to move inside the pipeline has been carried out. Various designs of robots were considered, and the most optimal MIR design was chosen. An algorithm for automatic control of the MIR was also developed</w:t>
      </w:r>
      <w:r>
        <w:rPr>
          <w:rFonts w:ascii="Times New Roman" w:eastAsia="Times New Roman" w:hAnsi="Times New Roman" w:cs="Times New Roman"/>
          <w:sz w:val="28"/>
        </w:rPr>
        <w:t>. The conducted digital modeling confirmed the high efficiency of the remote control of the movement and orientation of the MIR under conditions of changes in the geometry and cross section of the pipeline. Using the digital direction of our country, we wa</w:t>
      </w:r>
      <w:r>
        <w:rPr>
          <w:rFonts w:ascii="Times New Roman" w:eastAsia="Times New Roman" w:hAnsi="Times New Roman" w:cs="Times New Roman"/>
          <w:sz w:val="28"/>
        </w:rPr>
        <w:t xml:space="preserve">nt to overcome the obstacles that cause economic losses to our country. The robot, which is the right hand of the working personnel, will only benefit the consumer in the future. </w:t>
      </w:r>
    </w:p>
    <w:p w:rsidR="0052701D" w:rsidRDefault="00D40929">
      <w:pPr>
        <w:spacing w:after="0"/>
        <w:ind w:left="706"/>
      </w:pPr>
      <w:r>
        <w:rPr>
          <w:rFonts w:ascii="Times New Roman" w:eastAsia="Times New Roman" w:hAnsi="Times New Roman" w:cs="Times New Roman"/>
          <w:b/>
          <w:sz w:val="24"/>
        </w:rPr>
        <w:t xml:space="preserve"> </w:t>
      </w:r>
    </w:p>
    <w:p w:rsidR="0052701D" w:rsidRDefault="00D40929">
      <w:pPr>
        <w:spacing w:after="16" w:line="248" w:lineRule="auto"/>
        <w:ind w:left="819" w:right="154" w:hanging="10"/>
        <w:jc w:val="center"/>
      </w:pPr>
      <w:r>
        <w:rPr>
          <w:rFonts w:ascii="Times New Roman" w:eastAsia="Times New Roman" w:hAnsi="Times New Roman" w:cs="Times New Roman"/>
          <w:b/>
          <w:sz w:val="24"/>
        </w:rPr>
        <w:t xml:space="preserve">References: </w:t>
      </w:r>
    </w:p>
    <w:p w:rsidR="0052701D" w:rsidRDefault="00D40929">
      <w:pPr>
        <w:spacing w:after="29" w:line="248" w:lineRule="auto"/>
        <w:ind w:left="9" w:right="14" w:firstLine="711"/>
        <w:jc w:val="both"/>
      </w:pPr>
      <w:r>
        <w:rPr>
          <w:rFonts w:ascii="Times New Roman" w:eastAsia="Times New Roman" w:hAnsi="Times New Roman" w:cs="Times New Roman"/>
          <w:sz w:val="24"/>
        </w:rPr>
        <w:t xml:space="preserve">[1] </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Brown K., Singh S. // ASM SIGCOMM Comput. Commun. Rev. 1997. V. 27. № 5. Р.19. [2]  Magalhaes L., Kravets R. // ASM SIGCOMM Comput. Commun. Rev. 2001. V. 31.  № 2. Р. 220. </w:t>
      </w:r>
    </w:p>
    <w:p w:rsidR="0052701D" w:rsidRDefault="00D40929">
      <w:pPr>
        <w:numPr>
          <w:ilvl w:val="0"/>
          <w:numId w:val="34"/>
        </w:numPr>
        <w:spacing w:after="0" w:line="248" w:lineRule="auto"/>
        <w:ind w:right="14" w:firstLine="711"/>
        <w:jc w:val="both"/>
      </w:pPr>
      <w:r>
        <w:rPr>
          <w:rFonts w:ascii="Times New Roman" w:eastAsia="Times New Roman" w:hAnsi="Times New Roman" w:cs="Times New Roman"/>
          <w:sz w:val="24"/>
        </w:rPr>
        <w:lastRenderedPageBreak/>
        <w:t>Boukerche A., Huang T., Pazzi R.W.N. // proc. 8-th ACM/IEEE Int. Symp. Modeling, An</w:t>
      </w:r>
      <w:r>
        <w:rPr>
          <w:rFonts w:ascii="Times New Roman" w:eastAsia="Times New Roman" w:hAnsi="Times New Roman" w:cs="Times New Roman"/>
          <w:sz w:val="24"/>
        </w:rPr>
        <w:t xml:space="preserve">alyses, and Simulation of Wireless and Mobile. Montreal. 2005. N.Y.: IEEE. 2005. P.333. </w:t>
      </w:r>
    </w:p>
    <w:p w:rsidR="0052701D" w:rsidRDefault="00D40929">
      <w:pPr>
        <w:numPr>
          <w:ilvl w:val="0"/>
          <w:numId w:val="34"/>
        </w:numPr>
        <w:spacing w:after="29" w:line="248" w:lineRule="auto"/>
        <w:ind w:right="14" w:firstLine="711"/>
        <w:jc w:val="both"/>
      </w:pPr>
      <w:r>
        <w:rPr>
          <w:rFonts w:ascii="Times New Roman" w:eastAsia="Times New Roman" w:hAnsi="Times New Roman" w:cs="Times New Roman"/>
          <w:sz w:val="24"/>
        </w:rPr>
        <w:t xml:space="preserve">Mordachev V.I. Assessment of the electromagnetic background generated by cellular </w:t>
      </w:r>
    </w:p>
    <w:p w:rsidR="0052701D" w:rsidRDefault="00D40929">
      <w:pPr>
        <w:spacing w:after="0" w:line="248" w:lineRule="auto"/>
        <w:ind w:left="9" w:right="14"/>
        <w:jc w:val="both"/>
      </w:pPr>
      <w:r>
        <w:rPr>
          <w:rFonts w:ascii="Times New Roman" w:eastAsia="Times New Roman" w:hAnsi="Times New Roman" w:cs="Times New Roman"/>
          <w:sz w:val="24"/>
        </w:rPr>
        <w:t>(mobile) communication systems // Collection of reports of the All-Russian Scientifi</w:t>
      </w:r>
      <w:r>
        <w:rPr>
          <w:rFonts w:ascii="Times New Roman" w:eastAsia="Times New Roman" w:hAnsi="Times New Roman" w:cs="Times New Roman"/>
          <w:sz w:val="24"/>
        </w:rPr>
        <w:t xml:space="preserve">c Conference November 12-13, 2019 "Actual problems of radiobiology and hygiene of non-ionizing radiation." M .: Russian National Committee for Protection against Non-Ionizing Radiation, 2019. - P.120-123.5. </w:t>
      </w:r>
    </w:p>
    <w:p w:rsidR="0052701D" w:rsidRDefault="00D40929">
      <w:pPr>
        <w:numPr>
          <w:ilvl w:val="0"/>
          <w:numId w:val="34"/>
        </w:numPr>
        <w:spacing w:after="0" w:line="248" w:lineRule="auto"/>
        <w:ind w:right="14" w:firstLine="711"/>
        <w:jc w:val="both"/>
      </w:pPr>
      <w:r>
        <w:rPr>
          <w:rFonts w:ascii="Times New Roman" w:eastAsia="Times New Roman" w:hAnsi="Times New Roman" w:cs="Times New Roman"/>
          <w:sz w:val="24"/>
        </w:rPr>
        <w:t>Smelyansky R.L. Problems of modern computer netw</w:t>
      </w:r>
      <w:r>
        <w:rPr>
          <w:rFonts w:ascii="Times New Roman" w:eastAsia="Times New Roman" w:hAnsi="Times New Roman" w:cs="Times New Roman"/>
          <w:sz w:val="24"/>
        </w:rPr>
        <w:t>orks.</w:t>
      </w:r>
      <w:hyperlink r:id="rId299">
        <w:r>
          <w:rPr>
            <w:rFonts w:ascii="Times New Roman" w:eastAsia="Times New Roman" w:hAnsi="Times New Roman" w:cs="Times New Roman"/>
            <w:sz w:val="24"/>
          </w:rPr>
          <w:t>https://docplayer.ru/26313075</w:t>
        </w:r>
      </w:hyperlink>
      <w:hyperlink r:id="rId300"/>
      <w:hyperlink r:id="rId301">
        <w:r>
          <w:rPr>
            <w:rFonts w:ascii="Times New Roman" w:eastAsia="Times New Roman" w:hAnsi="Times New Roman" w:cs="Times New Roman"/>
            <w:sz w:val="24"/>
          </w:rPr>
          <w:t>Problemy</w:t>
        </w:r>
      </w:hyperlink>
      <w:hyperlink r:id="rId302">
        <w:r>
          <w:rPr>
            <w:rFonts w:ascii="Times New Roman" w:eastAsia="Times New Roman" w:hAnsi="Times New Roman" w:cs="Times New Roman"/>
            <w:sz w:val="24"/>
          </w:rPr>
          <w:t>-</w:t>
        </w:r>
      </w:hyperlink>
      <w:hyperlink r:id="rId303">
        <w:r>
          <w:rPr>
            <w:rFonts w:ascii="Times New Roman" w:eastAsia="Times New Roman" w:hAnsi="Times New Roman" w:cs="Times New Roman"/>
            <w:sz w:val="24"/>
          </w:rPr>
          <w:t>sovremennyh</w:t>
        </w:r>
      </w:hyperlink>
      <w:hyperlink r:id="rId304">
        <w:r>
          <w:rPr>
            <w:rFonts w:ascii="Times New Roman" w:eastAsia="Times New Roman" w:hAnsi="Times New Roman" w:cs="Times New Roman"/>
            <w:sz w:val="24"/>
          </w:rPr>
          <w:t>-</w:t>
        </w:r>
      </w:hyperlink>
      <w:hyperlink r:id="rId305">
        <w:r>
          <w:rPr>
            <w:rFonts w:ascii="Times New Roman" w:eastAsia="Times New Roman" w:hAnsi="Times New Roman" w:cs="Times New Roman"/>
            <w:sz w:val="24"/>
          </w:rPr>
          <w:t>kompyuternyh</w:t>
        </w:r>
      </w:hyperlink>
      <w:hyperlink r:id="rId306">
        <w:r>
          <w:rPr>
            <w:rFonts w:ascii="Times New Roman" w:eastAsia="Times New Roman" w:hAnsi="Times New Roman" w:cs="Times New Roman"/>
            <w:sz w:val="24"/>
          </w:rPr>
          <w:t>-</w:t>
        </w:r>
      </w:hyperlink>
      <w:hyperlink r:id="rId307">
        <w:r>
          <w:rPr>
            <w:rFonts w:ascii="Times New Roman" w:eastAsia="Times New Roman" w:hAnsi="Times New Roman" w:cs="Times New Roman"/>
            <w:sz w:val="24"/>
          </w:rPr>
          <w:t>setey.html</w:t>
        </w:r>
      </w:hyperlink>
      <w:hyperlink r:id="rId308">
        <w:r>
          <w:rPr>
            <w:rFonts w:ascii="Times New Roman" w:eastAsia="Times New Roman" w:hAnsi="Times New Roman" w:cs="Times New Roman"/>
            <w:sz w:val="24"/>
          </w:rPr>
          <w:t xml:space="preserve"> </w:t>
        </w:r>
      </w:hyperlink>
    </w:p>
    <w:p w:rsidR="0052701D" w:rsidRDefault="00D40929">
      <w:pPr>
        <w:numPr>
          <w:ilvl w:val="0"/>
          <w:numId w:val="34"/>
        </w:numPr>
        <w:spacing w:after="0" w:line="248" w:lineRule="auto"/>
        <w:ind w:right="14" w:firstLine="711"/>
        <w:jc w:val="both"/>
      </w:pPr>
      <w:r>
        <w:rPr>
          <w:rFonts w:ascii="Times New Roman" w:eastAsia="Times New Roman" w:hAnsi="Times New Roman" w:cs="Times New Roman"/>
          <w:sz w:val="24"/>
        </w:rPr>
        <w:t>V. I</w:t>
      </w:r>
      <w:r>
        <w:rPr>
          <w:rFonts w:ascii="Times New Roman" w:eastAsia="Times New Roman" w:hAnsi="Times New Roman" w:cs="Times New Roman"/>
          <w:sz w:val="24"/>
        </w:rPr>
        <w:t xml:space="preserve">. Mordachev Electromagnetic safety of new generations of broadband mobile connection systems // Reports of BSUIR. 2018, No. 3 (113). - S. 39-46. </w:t>
      </w:r>
    </w:p>
    <w:p w:rsidR="0052701D" w:rsidRDefault="00D40929">
      <w:pPr>
        <w:numPr>
          <w:ilvl w:val="0"/>
          <w:numId w:val="34"/>
        </w:numPr>
        <w:spacing w:after="0" w:line="248" w:lineRule="auto"/>
        <w:ind w:right="14" w:firstLine="711"/>
        <w:jc w:val="both"/>
      </w:pPr>
      <w:r>
        <w:rPr>
          <w:rFonts w:ascii="Times New Roman" w:eastAsia="Times New Roman" w:hAnsi="Times New Roman" w:cs="Times New Roman"/>
          <w:sz w:val="24"/>
        </w:rPr>
        <w:t xml:space="preserve">Walko John. Ericsson Warns that Open RAN Compromises Security, EE Times magazine, September 24, 2020: </w:t>
      </w:r>
      <w:hyperlink r:id="rId309">
        <w:r>
          <w:rPr>
            <w:rFonts w:ascii="Times New Roman" w:eastAsia="Times New Roman" w:hAnsi="Times New Roman" w:cs="Times New Roman"/>
            <w:sz w:val="24"/>
          </w:rPr>
          <w:t>https://www.eetimes.com/ericsson</w:t>
        </w:r>
      </w:hyperlink>
      <w:hyperlink r:id="rId310">
        <w:r>
          <w:rPr>
            <w:rFonts w:ascii="Times New Roman" w:eastAsia="Times New Roman" w:hAnsi="Times New Roman" w:cs="Times New Roman"/>
            <w:sz w:val="24"/>
          </w:rPr>
          <w:t>-</w:t>
        </w:r>
      </w:hyperlink>
      <w:hyperlink r:id="rId311">
        <w:r>
          <w:rPr>
            <w:rFonts w:ascii="Times New Roman" w:eastAsia="Times New Roman" w:hAnsi="Times New Roman" w:cs="Times New Roman"/>
            <w:sz w:val="24"/>
          </w:rPr>
          <w:t>warns</w:t>
        </w:r>
      </w:hyperlink>
      <w:hyperlink r:id="rId312">
        <w:r>
          <w:rPr>
            <w:rFonts w:ascii="Times New Roman" w:eastAsia="Times New Roman" w:hAnsi="Times New Roman" w:cs="Times New Roman"/>
            <w:sz w:val="24"/>
          </w:rPr>
          <w:t>-</w:t>
        </w:r>
      </w:hyperlink>
      <w:hyperlink r:id="rId313">
        <w:r>
          <w:rPr>
            <w:rFonts w:ascii="Times New Roman" w:eastAsia="Times New Roman" w:hAnsi="Times New Roman" w:cs="Times New Roman"/>
            <w:sz w:val="24"/>
          </w:rPr>
          <w:t>that</w:t>
        </w:r>
      </w:hyperlink>
      <w:hyperlink r:id="rId314">
        <w:r>
          <w:rPr>
            <w:rFonts w:ascii="Times New Roman" w:eastAsia="Times New Roman" w:hAnsi="Times New Roman" w:cs="Times New Roman"/>
            <w:sz w:val="24"/>
          </w:rPr>
          <w:t>-</w:t>
        </w:r>
      </w:hyperlink>
      <w:hyperlink r:id="rId315">
        <w:r>
          <w:rPr>
            <w:rFonts w:ascii="Times New Roman" w:eastAsia="Times New Roman" w:hAnsi="Times New Roman" w:cs="Times New Roman"/>
            <w:sz w:val="24"/>
          </w:rPr>
          <w:t>open</w:t>
        </w:r>
      </w:hyperlink>
      <w:hyperlink r:id="rId316">
        <w:r>
          <w:rPr>
            <w:rFonts w:ascii="Times New Roman" w:eastAsia="Times New Roman" w:hAnsi="Times New Roman" w:cs="Times New Roman"/>
            <w:sz w:val="24"/>
          </w:rPr>
          <w:t>-</w:t>
        </w:r>
      </w:hyperlink>
      <w:hyperlink r:id="rId317">
        <w:r>
          <w:rPr>
            <w:rFonts w:ascii="Times New Roman" w:eastAsia="Times New Roman" w:hAnsi="Times New Roman" w:cs="Times New Roman"/>
            <w:sz w:val="24"/>
          </w:rPr>
          <w:t>ran</w:t>
        </w:r>
      </w:hyperlink>
      <w:hyperlink r:id="rId318">
        <w:r>
          <w:rPr>
            <w:rFonts w:ascii="Times New Roman" w:eastAsia="Times New Roman" w:hAnsi="Times New Roman" w:cs="Times New Roman"/>
            <w:sz w:val="24"/>
          </w:rPr>
          <w:t>-</w:t>
        </w:r>
      </w:hyperlink>
      <w:hyperlink r:id="rId319">
        <w:r>
          <w:rPr>
            <w:rFonts w:ascii="Times New Roman" w:eastAsia="Times New Roman" w:hAnsi="Times New Roman" w:cs="Times New Roman"/>
            <w:sz w:val="24"/>
          </w:rPr>
          <w:t>compromises</w:t>
        </w:r>
      </w:hyperlink>
      <w:hyperlink r:id="rId320">
        <w:r>
          <w:rPr>
            <w:rFonts w:ascii="Times New Roman" w:eastAsia="Times New Roman" w:hAnsi="Times New Roman" w:cs="Times New Roman"/>
            <w:sz w:val="24"/>
          </w:rPr>
          <w:t>-</w:t>
        </w:r>
      </w:hyperlink>
      <w:hyperlink r:id="rId321">
        <w:r>
          <w:rPr>
            <w:rFonts w:ascii="Times New Roman" w:eastAsia="Times New Roman" w:hAnsi="Times New Roman" w:cs="Times New Roman"/>
            <w:sz w:val="24"/>
          </w:rPr>
          <w:t>security/</w:t>
        </w:r>
      </w:hyperlink>
      <w:hyperlink r:id="rId322">
        <w:r>
          <w:rPr>
            <w:rFonts w:ascii="Times New Roman" w:eastAsia="Times New Roman" w:hAnsi="Times New Roman" w:cs="Times New Roman"/>
            <w:sz w:val="24"/>
          </w:rPr>
          <w:t xml:space="preserve"> </w:t>
        </w:r>
      </w:hyperlink>
      <w:r>
        <w:rPr>
          <w:rFonts w:ascii="Times New Roman" w:eastAsia="Times New Roman" w:hAnsi="Times New Roman" w:cs="Times New Roman"/>
          <w:sz w:val="24"/>
        </w:rPr>
        <w:t xml:space="preserve">[8]  Keysights 5G Test Platforms Selected by Mavenir to Accelerate Software Development. </w:t>
      </w:r>
    </w:p>
    <w:p w:rsidR="0052701D" w:rsidRDefault="00D40929">
      <w:pPr>
        <w:spacing w:after="29" w:line="248" w:lineRule="auto"/>
        <w:ind w:left="9" w:right="14"/>
        <w:jc w:val="both"/>
      </w:pPr>
      <w:r>
        <w:rPr>
          <w:rFonts w:ascii="Times New Roman" w:eastAsia="Times New Roman" w:hAnsi="Times New Roman" w:cs="Times New Roman"/>
          <w:sz w:val="24"/>
        </w:rPr>
        <w:t>Microwave Journal, Jule 22</w:t>
      </w:r>
      <w:r>
        <w:rPr>
          <w:rFonts w:ascii="Times New Roman" w:eastAsia="Times New Roman" w:hAnsi="Times New Roman" w:cs="Times New Roman"/>
          <w:sz w:val="24"/>
        </w:rPr>
        <w:t xml:space="preserve">, 2020:  </w:t>
      </w:r>
    </w:p>
    <w:p w:rsidR="0052701D" w:rsidRDefault="00D40929">
      <w:pPr>
        <w:spacing w:after="29" w:line="248" w:lineRule="auto"/>
        <w:ind w:left="706" w:right="14"/>
        <w:jc w:val="both"/>
      </w:pPr>
      <w:hyperlink r:id="rId323">
        <w:r>
          <w:rPr>
            <w:rFonts w:ascii="Times New Roman" w:eastAsia="Times New Roman" w:hAnsi="Times New Roman" w:cs="Times New Roman"/>
            <w:sz w:val="24"/>
          </w:rPr>
          <w:t>https://www.microwavejournal.com/articles/34308</w:t>
        </w:r>
      </w:hyperlink>
      <w:hyperlink r:id="rId324">
        <w:r>
          <w:rPr>
            <w:rFonts w:ascii="Times New Roman" w:eastAsia="Times New Roman" w:hAnsi="Times New Roman" w:cs="Times New Roman"/>
            <w:sz w:val="24"/>
          </w:rPr>
          <w:t xml:space="preserve">- </w:t>
        </w:r>
      </w:hyperlink>
      <w:hyperlink r:id="rId325">
        <w:r>
          <w:rPr>
            <w:rFonts w:ascii="Times New Roman" w:eastAsia="Times New Roman" w:hAnsi="Times New Roman" w:cs="Times New Roman"/>
            <w:sz w:val="24"/>
          </w:rPr>
          <w:t>keysights</w:t>
        </w:r>
      </w:hyperlink>
      <w:hyperlink r:id="rId326">
        <w:r>
          <w:rPr>
            <w:rFonts w:ascii="Times New Roman" w:eastAsia="Times New Roman" w:hAnsi="Times New Roman" w:cs="Times New Roman"/>
            <w:sz w:val="24"/>
          </w:rPr>
          <w:t>-</w:t>
        </w:r>
      </w:hyperlink>
      <w:hyperlink r:id="rId327">
        <w:r>
          <w:rPr>
            <w:rFonts w:ascii="Times New Roman" w:eastAsia="Times New Roman" w:hAnsi="Times New Roman" w:cs="Times New Roman"/>
            <w:sz w:val="24"/>
          </w:rPr>
          <w:t>5g</w:t>
        </w:r>
      </w:hyperlink>
      <w:hyperlink r:id="rId328">
        <w:r>
          <w:rPr>
            <w:rFonts w:ascii="Times New Roman" w:eastAsia="Times New Roman" w:hAnsi="Times New Roman" w:cs="Times New Roman"/>
            <w:sz w:val="24"/>
          </w:rPr>
          <w:t>-</w:t>
        </w:r>
      </w:hyperlink>
      <w:hyperlink r:id="rId329">
        <w:r>
          <w:rPr>
            <w:rFonts w:ascii="Times New Roman" w:eastAsia="Times New Roman" w:hAnsi="Times New Roman" w:cs="Times New Roman"/>
            <w:sz w:val="24"/>
          </w:rPr>
          <w:t>test</w:t>
        </w:r>
      </w:hyperlink>
      <w:hyperlink r:id="rId330">
        <w:r>
          <w:rPr>
            <w:rFonts w:ascii="Times New Roman" w:eastAsia="Times New Roman" w:hAnsi="Times New Roman" w:cs="Times New Roman"/>
            <w:sz w:val="24"/>
          </w:rPr>
          <w:t>-</w:t>
        </w:r>
      </w:hyperlink>
      <w:hyperlink r:id="rId331">
        <w:r>
          <w:rPr>
            <w:rFonts w:ascii="Times New Roman" w:eastAsia="Times New Roman" w:hAnsi="Times New Roman" w:cs="Times New Roman"/>
            <w:sz w:val="24"/>
          </w:rPr>
          <w:t>platforms</w:t>
        </w:r>
      </w:hyperlink>
      <w:hyperlink r:id="rId332">
        <w:r>
          <w:rPr>
            <w:rFonts w:ascii="Times New Roman" w:eastAsia="Times New Roman" w:hAnsi="Times New Roman" w:cs="Times New Roman"/>
            <w:sz w:val="24"/>
          </w:rPr>
          <w:t>-</w:t>
        </w:r>
      </w:hyperlink>
      <w:hyperlink r:id="rId333">
        <w:r>
          <w:rPr>
            <w:rFonts w:ascii="Times New Roman" w:eastAsia="Times New Roman" w:hAnsi="Times New Roman" w:cs="Times New Roman"/>
            <w:sz w:val="24"/>
          </w:rPr>
          <w:t>selected</w:t>
        </w:r>
      </w:hyperlink>
      <w:hyperlink r:id="rId334">
        <w:r>
          <w:rPr>
            <w:rFonts w:ascii="Times New Roman" w:eastAsia="Times New Roman" w:hAnsi="Times New Roman" w:cs="Times New Roman"/>
            <w:sz w:val="24"/>
          </w:rPr>
          <w:t>-</w:t>
        </w:r>
      </w:hyperlink>
      <w:hyperlink r:id="rId335">
        <w:r>
          <w:rPr>
            <w:rFonts w:ascii="Times New Roman" w:eastAsia="Times New Roman" w:hAnsi="Times New Roman" w:cs="Times New Roman"/>
            <w:sz w:val="24"/>
          </w:rPr>
          <w:t>by</w:t>
        </w:r>
      </w:hyperlink>
      <w:hyperlink r:id="rId336">
        <w:r>
          <w:rPr>
            <w:rFonts w:ascii="Times New Roman" w:eastAsia="Times New Roman" w:hAnsi="Times New Roman" w:cs="Times New Roman"/>
            <w:sz w:val="24"/>
          </w:rPr>
          <w:t>-</w:t>
        </w:r>
      </w:hyperlink>
    </w:p>
    <w:p w:rsidR="0052701D" w:rsidRDefault="00D40929">
      <w:pPr>
        <w:spacing w:after="29" w:line="248" w:lineRule="auto"/>
        <w:ind w:left="9" w:right="14"/>
        <w:jc w:val="both"/>
      </w:pPr>
      <w:hyperlink r:id="rId337">
        <w:r>
          <w:rPr>
            <w:rFonts w:ascii="Times New Roman" w:eastAsia="Times New Roman" w:hAnsi="Times New Roman" w:cs="Times New Roman"/>
            <w:sz w:val="24"/>
          </w:rPr>
          <w:t>mavenir</w:t>
        </w:r>
      </w:hyperlink>
      <w:hyperlink r:id="rId338">
        <w:r>
          <w:rPr>
            <w:rFonts w:ascii="Times New Roman" w:eastAsia="Times New Roman" w:hAnsi="Times New Roman" w:cs="Times New Roman"/>
            <w:sz w:val="24"/>
          </w:rPr>
          <w:t>-</w:t>
        </w:r>
      </w:hyperlink>
      <w:hyperlink r:id="rId339">
        <w:r>
          <w:rPr>
            <w:rFonts w:ascii="Times New Roman" w:eastAsia="Times New Roman" w:hAnsi="Times New Roman" w:cs="Times New Roman"/>
            <w:sz w:val="24"/>
          </w:rPr>
          <w:t>to</w:t>
        </w:r>
      </w:hyperlink>
      <w:hyperlink r:id="rId340">
        <w:r>
          <w:rPr>
            <w:rFonts w:ascii="Times New Roman" w:eastAsia="Times New Roman" w:hAnsi="Times New Roman" w:cs="Times New Roman"/>
            <w:sz w:val="24"/>
          </w:rPr>
          <w:t>-</w:t>
        </w:r>
      </w:hyperlink>
      <w:hyperlink r:id="rId341">
        <w:r>
          <w:rPr>
            <w:rFonts w:ascii="Times New Roman" w:eastAsia="Times New Roman" w:hAnsi="Times New Roman" w:cs="Times New Roman"/>
            <w:sz w:val="24"/>
          </w:rPr>
          <w:t>accelerate</w:t>
        </w:r>
      </w:hyperlink>
      <w:hyperlink r:id="rId342">
        <w:r>
          <w:rPr>
            <w:rFonts w:ascii="Times New Roman" w:eastAsia="Times New Roman" w:hAnsi="Times New Roman" w:cs="Times New Roman"/>
            <w:sz w:val="24"/>
          </w:rPr>
          <w:t>-</w:t>
        </w:r>
      </w:hyperlink>
      <w:hyperlink r:id="rId343">
        <w:r>
          <w:rPr>
            <w:rFonts w:ascii="Times New Roman" w:eastAsia="Times New Roman" w:hAnsi="Times New Roman" w:cs="Times New Roman"/>
            <w:sz w:val="24"/>
          </w:rPr>
          <w:t>software</w:t>
        </w:r>
      </w:hyperlink>
      <w:hyperlink r:id="rId344">
        <w:r>
          <w:rPr>
            <w:rFonts w:ascii="Times New Roman" w:eastAsia="Times New Roman" w:hAnsi="Times New Roman" w:cs="Times New Roman"/>
            <w:sz w:val="24"/>
          </w:rPr>
          <w:t>-</w:t>
        </w:r>
      </w:hyperlink>
      <w:hyperlink r:id="rId345">
        <w:r>
          <w:rPr>
            <w:rFonts w:ascii="Times New Roman" w:eastAsia="Times New Roman" w:hAnsi="Times New Roman" w:cs="Times New Roman"/>
            <w:sz w:val="24"/>
          </w:rPr>
          <w:t>development</w:t>
        </w:r>
      </w:hyperlink>
      <w:hyperlink r:id="rId346">
        <w:r>
          <w:rPr>
            <w:rFonts w:ascii="Times New Roman" w:eastAsia="Times New Roman" w:hAnsi="Times New Roman" w:cs="Times New Roman"/>
            <w:sz w:val="24"/>
          </w:rPr>
          <w:t xml:space="preserve"> </w:t>
        </w:r>
      </w:hyperlink>
    </w:p>
    <w:p w:rsidR="0052701D" w:rsidRDefault="00D40929">
      <w:pPr>
        <w:numPr>
          <w:ilvl w:val="0"/>
          <w:numId w:val="35"/>
        </w:numPr>
        <w:spacing w:after="0" w:line="248" w:lineRule="auto"/>
        <w:ind w:right="14" w:firstLine="711"/>
        <w:jc w:val="both"/>
      </w:pPr>
      <w:r>
        <w:rPr>
          <w:rFonts w:ascii="Times New Roman" w:eastAsia="Times New Roman" w:hAnsi="Times New Roman" w:cs="Times New Roman"/>
          <w:sz w:val="24"/>
        </w:rPr>
        <w:t xml:space="preserve">Taoglas Cellular Antennas Include Latest LTE, 5G Bands for Global Deployments. Microwave Journal, Jule 1, 2019: </w:t>
      </w:r>
      <w:hyperlink r:id="rId347">
        <w:r>
          <w:rPr>
            <w:rFonts w:ascii="Times New Roman" w:eastAsia="Times New Roman" w:hAnsi="Times New Roman" w:cs="Times New Roman"/>
            <w:sz w:val="24"/>
          </w:rPr>
          <w:t>https://www.microwavejournal.com/articles/32524</w:t>
        </w:r>
      </w:hyperlink>
      <w:hyperlink r:id="rId348">
        <w:r>
          <w:rPr>
            <w:rFonts w:ascii="Times New Roman" w:eastAsia="Times New Roman" w:hAnsi="Times New Roman" w:cs="Times New Roman"/>
            <w:sz w:val="24"/>
          </w:rPr>
          <w:t>-</w:t>
        </w:r>
      </w:hyperlink>
      <w:hyperlink r:id="rId349">
        <w:r>
          <w:rPr>
            <w:rFonts w:ascii="Times New Roman" w:eastAsia="Times New Roman" w:hAnsi="Times New Roman" w:cs="Times New Roman"/>
            <w:sz w:val="24"/>
          </w:rPr>
          <w:t>taoglas</w:t>
        </w:r>
      </w:hyperlink>
      <w:hyperlink r:id="rId350"/>
      <w:hyperlink r:id="rId351">
        <w:r>
          <w:rPr>
            <w:rFonts w:ascii="Times New Roman" w:eastAsia="Times New Roman" w:hAnsi="Times New Roman" w:cs="Times New Roman"/>
            <w:sz w:val="24"/>
          </w:rPr>
          <w:t>cellular</w:t>
        </w:r>
      </w:hyperlink>
      <w:hyperlink r:id="rId352">
        <w:r>
          <w:rPr>
            <w:rFonts w:ascii="Times New Roman" w:eastAsia="Times New Roman" w:hAnsi="Times New Roman" w:cs="Times New Roman"/>
            <w:sz w:val="24"/>
          </w:rPr>
          <w:t>-</w:t>
        </w:r>
      </w:hyperlink>
      <w:hyperlink r:id="rId353">
        <w:r>
          <w:rPr>
            <w:rFonts w:ascii="Times New Roman" w:eastAsia="Times New Roman" w:hAnsi="Times New Roman" w:cs="Times New Roman"/>
            <w:sz w:val="24"/>
          </w:rPr>
          <w:t>antennas</w:t>
        </w:r>
      </w:hyperlink>
      <w:hyperlink r:id="rId354">
        <w:r>
          <w:rPr>
            <w:rFonts w:ascii="Times New Roman" w:eastAsia="Times New Roman" w:hAnsi="Times New Roman" w:cs="Times New Roman"/>
            <w:sz w:val="24"/>
          </w:rPr>
          <w:t>-</w:t>
        </w:r>
      </w:hyperlink>
      <w:hyperlink r:id="rId355">
        <w:r>
          <w:rPr>
            <w:rFonts w:ascii="Times New Roman" w:eastAsia="Times New Roman" w:hAnsi="Times New Roman" w:cs="Times New Roman"/>
            <w:sz w:val="24"/>
          </w:rPr>
          <w:t>include</w:t>
        </w:r>
      </w:hyperlink>
      <w:hyperlink r:id="rId356">
        <w:r>
          <w:rPr>
            <w:rFonts w:ascii="Times New Roman" w:eastAsia="Times New Roman" w:hAnsi="Times New Roman" w:cs="Times New Roman"/>
            <w:sz w:val="24"/>
          </w:rPr>
          <w:t>-</w:t>
        </w:r>
      </w:hyperlink>
      <w:hyperlink r:id="rId357">
        <w:r>
          <w:rPr>
            <w:rFonts w:ascii="Times New Roman" w:eastAsia="Times New Roman" w:hAnsi="Times New Roman" w:cs="Times New Roman"/>
            <w:sz w:val="24"/>
          </w:rPr>
          <w:t>latest</w:t>
        </w:r>
      </w:hyperlink>
      <w:hyperlink r:id="rId358">
        <w:r>
          <w:rPr>
            <w:rFonts w:ascii="Times New Roman" w:eastAsia="Times New Roman" w:hAnsi="Times New Roman" w:cs="Times New Roman"/>
            <w:sz w:val="24"/>
          </w:rPr>
          <w:t>-</w:t>
        </w:r>
      </w:hyperlink>
      <w:hyperlink r:id="rId359">
        <w:r>
          <w:rPr>
            <w:rFonts w:ascii="Times New Roman" w:eastAsia="Times New Roman" w:hAnsi="Times New Roman" w:cs="Times New Roman"/>
            <w:sz w:val="24"/>
          </w:rPr>
          <w:t>lte</w:t>
        </w:r>
      </w:hyperlink>
      <w:hyperlink r:id="rId360">
        <w:r>
          <w:rPr>
            <w:rFonts w:ascii="Times New Roman" w:eastAsia="Times New Roman" w:hAnsi="Times New Roman" w:cs="Times New Roman"/>
            <w:sz w:val="24"/>
          </w:rPr>
          <w:t>-</w:t>
        </w:r>
      </w:hyperlink>
      <w:hyperlink r:id="rId361">
        <w:r>
          <w:rPr>
            <w:rFonts w:ascii="Times New Roman" w:eastAsia="Times New Roman" w:hAnsi="Times New Roman" w:cs="Times New Roman"/>
            <w:sz w:val="24"/>
          </w:rPr>
          <w:t>5g</w:t>
        </w:r>
      </w:hyperlink>
      <w:hyperlink r:id="rId362">
        <w:r>
          <w:rPr>
            <w:rFonts w:ascii="Times New Roman" w:eastAsia="Times New Roman" w:hAnsi="Times New Roman" w:cs="Times New Roman"/>
            <w:sz w:val="24"/>
          </w:rPr>
          <w:t>-</w:t>
        </w:r>
      </w:hyperlink>
      <w:hyperlink r:id="rId363">
        <w:r>
          <w:rPr>
            <w:rFonts w:ascii="Times New Roman" w:eastAsia="Times New Roman" w:hAnsi="Times New Roman" w:cs="Times New Roman"/>
            <w:sz w:val="24"/>
          </w:rPr>
          <w:t>bands</w:t>
        </w:r>
      </w:hyperlink>
      <w:hyperlink r:id="rId364">
        <w:r>
          <w:rPr>
            <w:rFonts w:ascii="Times New Roman" w:eastAsia="Times New Roman" w:hAnsi="Times New Roman" w:cs="Times New Roman"/>
            <w:sz w:val="24"/>
          </w:rPr>
          <w:t>-</w:t>
        </w:r>
      </w:hyperlink>
      <w:hyperlink r:id="rId365">
        <w:r>
          <w:rPr>
            <w:rFonts w:ascii="Times New Roman" w:eastAsia="Times New Roman" w:hAnsi="Times New Roman" w:cs="Times New Roman"/>
            <w:sz w:val="24"/>
          </w:rPr>
          <w:t>for</w:t>
        </w:r>
      </w:hyperlink>
      <w:hyperlink r:id="rId366">
        <w:r>
          <w:rPr>
            <w:rFonts w:ascii="Times New Roman" w:eastAsia="Times New Roman" w:hAnsi="Times New Roman" w:cs="Times New Roman"/>
            <w:sz w:val="24"/>
          </w:rPr>
          <w:t>-</w:t>
        </w:r>
      </w:hyperlink>
      <w:hyperlink r:id="rId367">
        <w:r>
          <w:rPr>
            <w:rFonts w:ascii="Times New Roman" w:eastAsia="Times New Roman" w:hAnsi="Times New Roman" w:cs="Times New Roman"/>
            <w:sz w:val="24"/>
          </w:rPr>
          <w:t>global</w:t>
        </w:r>
      </w:hyperlink>
      <w:hyperlink r:id="rId368">
        <w:r>
          <w:rPr>
            <w:rFonts w:ascii="Times New Roman" w:eastAsia="Times New Roman" w:hAnsi="Times New Roman" w:cs="Times New Roman"/>
            <w:sz w:val="24"/>
          </w:rPr>
          <w:t>-</w:t>
        </w:r>
      </w:hyperlink>
      <w:hyperlink r:id="rId369">
        <w:r>
          <w:rPr>
            <w:rFonts w:ascii="Times New Roman" w:eastAsia="Times New Roman" w:hAnsi="Times New Roman" w:cs="Times New Roman"/>
            <w:sz w:val="24"/>
          </w:rPr>
          <w:t>deployments</w:t>
        </w:r>
      </w:hyperlink>
      <w:hyperlink r:id="rId370">
        <w:r>
          <w:rPr>
            <w:rFonts w:ascii="Times New Roman" w:eastAsia="Times New Roman" w:hAnsi="Times New Roman" w:cs="Times New Roman"/>
            <w:sz w:val="24"/>
          </w:rPr>
          <w:t>.</w:t>
        </w:r>
      </w:hyperlink>
      <w:r>
        <w:rPr>
          <w:rFonts w:ascii="Times New Roman" w:eastAsia="Times New Roman" w:hAnsi="Times New Roman" w:cs="Times New Roman"/>
          <w:sz w:val="24"/>
        </w:rPr>
        <w:t xml:space="preserve"> </w:t>
      </w:r>
    </w:p>
    <w:p w:rsidR="0052701D" w:rsidRDefault="00D40929">
      <w:pPr>
        <w:numPr>
          <w:ilvl w:val="0"/>
          <w:numId w:val="35"/>
        </w:numPr>
        <w:spacing w:after="0" w:line="248" w:lineRule="auto"/>
        <w:ind w:right="14" w:firstLine="711"/>
        <w:jc w:val="both"/>
      </w:pPr>
      <w:r>
        <w:rPr>
          <w:rFonts w:ascii="Times New Roman" w:eastAsia="Times New Roman" w:hAnsi="Times New Roman" w:cs="Times New Roman"/>
          <w:sz w:val="24"/>
        </w:rPr>
        <w:t xml:space="preserve">Plekhanov P.A., Roenkov D.N. Possibilities of using 5G mobile connection in railway transport // 74th Scientific and Technical Conference of the St. A.S. Popov dedicated to Radio Day: </w:t>
      </w:r>
    </w:p>
    <w:p w:rsidR="0052701D" w:rsidRDefault="00D40929">
      <w:pPr>
        <w:spacing w:after="0" w:line="248" w:lineRule="auto"/>
        <w:ind w:left="9" w:right="14"/>
        <w:jc w:val="both"/>
      </w:pPr>
      <w:r>
        <w:rPr>
          <w:rFonts w:ascii="Times New Roman" w:eastAsia="Times New Roman" w:hAnsi="Times New Roman" w:cs="Times New Roman"/>
          <w:sz w:val="24"/>
        </w:rPr>
        <w:t>Sat. reports. - SPb .: AN</w:t>
      </w:r>
      <w:r>
        <w:rPr>
          <w:rFonts w:ascii="Times New Roman" w:eastAsia="Times New Roman" w:hAnsi="Times New Roman" w:cs="Times New Roman"/>
          <w:sz w:val="24"/>
        </w:rPr>
        <w:t xml:space="preserve">O DPO "Anichkov Most"; LLC "Three hundred points", 2019. - S. 204-206. [11]  Internet of Things Global Standards Initiative [Electronic resource]/ITU – URL: </w:t>
      </w:r>
      <w:hyperlink r:id="rId371">
        <w:r>
          <w:rPr>
            <w:rFonts w:ascii="Times New Roman" w:eastAsia="Times New Roman" w:hAnsi="Times New Roman" w:cs="Times New Roman"/>
            <w:sz w:val="24"/>
          </w:rPr>
          <w:t>http://www.itu.int/en/ITU</w:t>
        </w:r>
      </w:hyperlink>
      <w:hyperlink r:id="rId372">
        <w:r>
          <w:rPr>
            <w:rFonts w:ascii="Times New Roman" w:eastAsia="Times New Roman" w:hAnsi="Times New Roman" w:cs="Times New Roman"/>
            <w:sz w:val="24"/>
          </w:rPr>
          <w:t>-</w:t>
        </w:r>
      </w:hyperlink>
      <w:hyperlink r:id="rId373">
        <w:r>
          <w:rPr>
            <w:rFonts w:ascii="Times New Roman" w:eastAsia="Times New Roman" w:hAnsi="Times New Roman" w:cs="Times New Roman"/>
            <w:sz w:val="24"/>
          </w:rPr>
          <w:t>T/gsi/iot/Pages/default.aspx</w:t>
        </w:r>
      </w:hyperlink>
      <w:hyperlink r:id="rId374">
        <w:r>
          <w:rPr>
            <w:rFonts w:ascii="Times New Roman" w:eastAsia="Times New Roman" w:hAnsi="Times New Roman" w:cs="Times New Roman"/>
            <w:sz w:val="24"/>
          </w:rPr>
          <w:t>.</w:t>
        </w:r>
      </w:hyperlink>
      <w:r>
        <w:rPr>
          <w:rFonts w:ascii="Times New Roman" w:eastAsia="Times New Roman" w:hAnsi="Times New Roman" w:cs="Times New Roman"/>
          <w:sz w:val="24"/>
        </w:rPr>
        <w:t xml:space="preserve"> </w:t>
      </w:r>
    </w:p>
    <w:p w:rsidR="0052701D" w:rsidRDefault="00D40929">
      <w:pPr>
        <w:numPr>
          <w:ilvl w:val="0"/>
          <w:numId w:val="36"/>
        </w:numPr>
        <w:spacing w:after="0" w:line="248" w:lineRule="auto"/>
        <w:ind w:right="14" w:firstLine="711"/>
        <w:jc w:val="both"/>
      </w:pPr>
      <w:r>
        <w:rPr>
          <w:rFonts w:ascii="Times New Roman" w:eastAsia="Times New Roman" w:hAnsi="Times New Roman" w:cs="Times New Roman"/>
          <w:sz w:val="24"/>
        </w:rPr>
        <w:t>Br</w:t>
      </w:r>
      <w:r>
        <w:rPr>
          <w:rFonts w:ascii="Times New Roman" w:eastAsia="Times New Roman" w:hAnsi="Times New Roman" w:cs="Times New Roman"/>
          <w:sz w:val="24"/>
        </w:rPr>
        <w:t xml:space="preserve">owne Jack. Can 5G Handle Next-Gen Data? Electronic Design, May 21, 2019:  </w:t>
      </w:r>
      <w:hyperlink r:id="rId375">
        <w:r>
          <w:rPr>
            <w:rFonts w:ascii="Times New Roman" w:eastAsia="Times New Roman" w:hAnsi="Times New Roman" w:cs="Times New Roman"/>
            <w:sz w:val="24"/>
          </w:rPr>
          <w:t>https://www.electronicdesign.com/industrial</w:t>
        </w:r>
      </w:hyperlink>
      <w:hyperlink r:id="rId376">
        <w:r>
          <w:rPr>
            <w:rFonts w:ascii="Times New Roman" w:eastAsia="Times New Roman" w:hAnsi="Times New Roman" w:cs="Times New Roman"/>
            <w:sz w:val="24"/>
          </w:rPr>
          <w:t>-</w:t>
        </w:r>
      </w:hyperlink>
      <w:hyperlink r:id="rId377">
        <w:r>
          <w:rPr>
            <w:rFonts w:ascii="Times New Roman" w:eastAsia="Times New Roman" w:hAnsi="Times New Roman" w:cs="Times New Roman"/>
            <w:sz w:val="24"/>
          </w:rPr>
          <w:t>automaion/can</w:t>
        </w:r>
      </w:hyperlink>
      <w:hyperlink r:id="rId378">
        <w:r>
          <w:rPr>
            <w:rFonts w:ascii="Times New Roman" w:eastAsia="Times New Roman" w:hAnsi="Times New Roman" w:cs="Times New Roman"/>
            <w:sz w:val="24"/>
          </w:rPr>
          <w:t>-</w:t>
        </w:r>
      </w:hyperlink>
      <w:hyperlink r:id="rId379">
        <w:r>
          <w:rPr>
            <w:rFonts w:ascii="Times New Roman" w:eastAsia="Times New Roman" w:hAnsi="Times New Roman" w:cs="Times New Roman"/>
            <w:sz w:val="24"/>
          </w:rPr>
          <w:t>5g</w:t>
        </w:r>
      </w:hyperlink>
      <w:hyperlink r:id="rId380">
        <w:r>
          <w:rPr>
            <w:rFonts w:ascii="Times New Roman" w:eastAsia="Times New Roman" w:hAnsi="Times New Roman" w:cs="Times New Roman"/>
            <w:sz w:val="24"/>
          </w:rPr>
          <w:t>-</w:t>
        </w:r>
      </w:hyperlink>
      <w:hyperlink r:id="rId381">
        <w:r>
          <w:rPr>
            <w:rFonts w:ascii="Times New Roman" w:eastAsia="Times New Roman" w:hAnsi="Times New Roman" w:cs="Times New Roman"/>
            <w:sz w:val="24"/>
          </w:rPr>
          <w:t>handle</w:t>
        </w:r>
      </w:hyperlink>
      <w:hyperlink r:id="rId382">
        <w:r>
          <w:rPr>
            <w:rFonts w:ascii="Times New Roman" w:eastAsia="Times New Roman" w:hAnsi="Times New Roman" w:cs="Times New Roman"/>
            <w:sz w:val="24"/>
          </w:rPr>
          <w:t>-</w:t>
        </w:r>
      </w:hyperlink>
      <w:hyperlink r:id="rId383">
        <w:r>
          <w:rPr>
            <w:rFonts w:ascii="Times New Roman" w:eastAsia="Times New Roman" w:hAnsi="Times New Roman" w:cs="Times New Roman"/>
            <w:sz w:val="24"/>
          </w:rPr>
          <w:t>next</w:t>
        </w:r>
      </w:hyperlink>
      <w:hyperlink r:id="rId384">
        <w:r>
          <w:rPr>
            <w:rFonts w:ascii="Times New Roman" w:eastAsia="Times New Roman" w:hAnsi="Times New Roman" w:cs="Times New Roman"/>
            <w:sz w:val="24"/>
          </w:rPr>
          <w:t>-</w:t>
        </w:r>
      </w:hyperlink>
      <w:hyperlink r:id="rId385">
        <w:r>
          <w:rPr>
            <w:rFonts w:ascii="Times New Roman" w:eastAsia="Times New Roman" w:hAnsi="Times New Roman" w:cs="Times New Roman"/>
            <w:sz w:val="24"/>
          </w:rPr>
          <w:t>gen</w:t>
        </w:r>
      </w:hyperlink>
      <w:hyperlink r:id="rId386">
        <w:r>
          <w:rPr>
            <w:rFonts w:ascii="Times New Roman" w:eastAsia="Times New Roman" w:hAnsi="Times New Roman" w:cs="Times New Roman"/>
            <w:sz w:val="24"/>
          </w:rPr>
          <w:t>-</w:t>
        </w:r>
      </w:hyperlink>
      <w:hyperlink r:id="rId387">
        <w:r>
          <w:rPr>
            <w:rFonts w:ascii="Times New Roman" w:eastAsia="Times New Roman" w:hAnsi="Times New Roman" w:cs="Times New Roman"/>
            <w:sz w:val="24"/>
          </w:rPr>
          <w:t>data.</w:t>
        </w:r>
      </w:hyperlink>
      <w:hyperlink r:id="rId388">
        <w:r>
          <w:rPr>
            <w:rFonts w:ascii="Times New Roman" w:eastAsia="Times New Roman" w:hAnsi="Times New Roman" w:cs="Times New Roman"/>
            <w:sz w:val="24"/>
          </w:rPr>
          <w:t xml:space="preserve"> </w:t>
        </w:r>
      </w:hyperlink>
    </w:p>
    <w:p w:rsidR="0052701D" w:rsidRDefault="00D40929">
      <w:pPr>
        <w:numPr>
          <w:ilvl w:val="0"/>
          <w:numId w:val="36"/>
        </w:numPr>
        <w:spacing w:after="0" w:line="248" w:lineRule="auto"/>
        <w:ind w:right="14" w:firstLine="711"/>
        <w:jc w:val="both"/>
      </w:pPr>
      <w:hyperlink r:id="rId389">
        <w:r>
          <w:rPr>
            <w:rFonts w:ascii="Times New Roman" w:eastAsia="Times New Roman" w:hAnsi="Times New Roman" w:cs="Times New Roman"/>
            <w:sz w:val="24"/>
          </w:rPr>
          <w:t>IEC 6100</w:t>
        </w:r>
      </w:hyperlink>
      <w:hyperlink r:id="rId390">
        <w:r>
          <w:rPr>
            <w:rFonts w:ascii="Times New Roman" w:eastAsia="Times New Roman" w:hAnsi="Times New Roman" w:cs="Times New Roman"/>
            <w:sz w:val="24"/>
          </w:rPr>
          <w:t>-</w:t>
        </w:r>
      </w:hyperlink>
      <w:hyperlink r:id="rId391">
        <w:r>
          <w:rPr>
            <w:rFonts w:ascii="Times New Roman" w:eastAsia="Times New Roman" w:hAnsi="Times New Roman" w:cs="Times New Roman"/>
            <w:sz w:val="24"/>
          </w:rPr>
          <w:t>4</w:t>
        </w:r>
      </w:hyperlink>
      <w:hyperlink r:id="rId392">
        <w:r>
          <w:rPr>
            <w:rFonts w:ascii="Times New Roman" w:eastAsia="Times New Roman" w:hAnsi="Times New Roman" w:cs="Times New Roman"/>
            <w:sz w:val="24"/>
          </w:rPr>
          <w:t>-</w:t>
        </w:r>
      </w:hyperlink>
      <w:hyperlink r:id="rId393">
        <w:r>
          <w:rPr>
            <w:rFonts w:ascii="Times New Roman" w:eastAsia="Times New Roman" w:hAnsi="Times New Roman" w:cs="Times New Roman"/>
            <w:sz w:val="24"/>
          </w:rPr>
          <w:t>36 EMC Part 4</w:t>
        </w:r>
      </w:hyperlink>
      <w:hyperlink r:id="rId394">
        <w:r>
          <w:rPr>
            <w:rFonts w:ascii="Times New Roman" w:eastAsia="Times New Roman" w:hAnsi="Times New Roman" w:cs="Times New Roman"/>
            <w:sz w:val="24"/>
          </w:rPr>
          <w:t>-</w:t>
        </w:r>
      </w:hyperlink>
      <w:hyperlink r:id="rId395">
        <w:r>
          <w:rPr>
            <w:rFonts w:ascii="Times New Roman" w:eastAsia="Times New Roman" w:hAnsi="Times New Roman" w:cs="Times New Roman"/>
            <w:sz w:val="24"/>
          </w:rPr>
          <w:t xml:space="preserve">36: Testing and measurement techniques </w:t>
        </w:r>
      </w:hyperlink>
      <w:hyperlink r:id="rId396">
        <w:r>
          <w:rPr>
            <w:rFonts w:ascii="Times New Roman" w:eastAsia="Times New Roman" w:hAnsi="Times New Roman" w:cs="Times New Roman"/>
            <w:sz w:val="24"/>
          </w:rPr>
          <w:t xml:space="preserve">– </w:t>
        </w:r>
      </w:hyperlink>
      <w:hyperlink r:id="rId397">
        <w:r>
          <w:rPr>
            <w:rFonts w:ascii="Times New Roman" w:eastAsia="Times New Roman" w:hAnsi="Times New Roman" w:cs="Times New Roman"/>
            <w:sz w:val="24"/>
          </w:rPr>
          <w:t xml:space="preserve">IEMI immunity </w:t>
        </w:r>
      </w:hyperlink>
      <w:hyperlink r:id="rId398">
        <w:r>
          <w:rPr>
            <w:rFonts w:ascii="Times New Roman" w:eastAsia="Times New Roman" w:hAnsi="Times New Roman" w:cs="Times New Roman"/>
            <w:sz w:val="24"/>
          </w:rPr>
          <w:t xml:space="preserve">test methods for equipment and systems. </w:t>
        </w:r>
      </w:hyperlink>
      <w:hyperlink r:id="rId399">
        <w:r>
          <w:rPr>
            <w:rFonts w:ascii="Times New Roman" w:eastAsia="Times New Roman" w:hAnsi="Times New Roman" w:cs="Times New Roman"/>
            <w:sz w:val="24"/>
          </w:rPr>
          <w:t xml:space="preserve">– </w:t>
        </w:r>
      </w:hyperlink>
      <w:hyperlink r:id="rId400">
        <w:r>
          <w:rPr>
            <w:rFonts w:ascii="Times New Roman" w:eastAsia="Times New Roman" w:hAnsi="Times New Roman" w:cs="Times New Roman"/>
            <w:sz w:val="24"/>
          </w:rPr>
          <w:t xml:space="preserve">IEC. </w:t>
        </w:r>
      </w:hyperlink>
      <w:hyperlink r:id="rId401">
        <w:r>
          <w:rPr>
            <w:rFonts w:ascii="Times New Roman" w:eastAsia="Times New Roman" w:hAnsi="Times New Roman" w:cs="Times New Roman"/>
            <w:sz w:val="24"/>
          </w:rPr>
          <w:t xml:space="preserve">– </w:t>
        </w:r>
      </w:hyperlink>
      <w:hyperlink r:id="rId402">
        <w:r>
          <w:rPr>
            <w:rFonts w:ascii="Times New Roman" w:eastAsia="Times New Roman" w:hAnsi="Times New Roman" w:cs="Times New Roman"/>
            <w:sz w:val="24"/>
          </w:rPr>
          <w:t xml:space="preserve">2014. </w:t>
        </w:r>
      </w:hyperlink>
      <w:hyperlink r:id="rId403">
        <w:r>
          <w:rPr>
            <w:rFonts w:ascii="Times New Roman" w:eastAsia="Times New Roman" w:hAnsi="Times New Roman" w:cs="Times New Roman"/>
            <w:sz w:val="24"/>
          </w:rPr>
          <w:t xml:space="preserve">– </w:t>
        </w:r>
      </w:hyperlink>
      <w:hyperlink r:id="rId404">
        <w:r>
          <w:rPr>
            <w:rFonts w:ascii="Times New Roman" w:eastAsia="Times New Roman" w:hAnsi="Times New Roman" w:cs="Times New Roman"/>
            <w:sz w:val="24"/>
          </w:rPr>
          <w:t xml:space="preserve">88 c.  </w:t>
        </w:r>
      </w:hyperlink>
      <w:hyperlink r:id="rId405">
        <w:r>
          <w:rPr>
            <w:rFonts w:ascii="Times New Roman" w:eastAsia="Times New Roman" w:hAnsi="Times New Roman" w:cs="Times New Roman"/>
            <w:sz w:val="24"/>
          </w:rPr>
          <w:t xml:space="preserve"> </w:t>
        </w:r>
      </w:hyperlink>
    </w:p>
    <w:p w:rsidR="0052701D" w:rsidRDefault="00D40929">
      <w:pPr>
        <w:numPr>
          <w:ilvl w:val="0"/>
          <w:numId w:val="36"/>
        </w:numPr>
        <w:spacing w:after="0" w:line="248" w:lineRule="auto"/>
        <w:ind w:right="14" w:firstLine="711"/>
        <w:jc w:val="both"/>
      </w:pPr>
      <w:hyperlink r:id="rId406">
        <w:r>
          <w:rPr>
            <w:rFonts w:ascii="Times New Roman" w:eastAsia="Times New Roman" w:hAnsi="Times New Roman" w:cs="Times New Roman"/>
            <w:sz w:val="24"/>
          </w:rPr>
          <w:t xml:space="preserve">Sanitary and Epidemiological Requirements for Radio Engineering Facilities. Resolution </w:t>
        </w:r>
      </w:hyperlink>
      <w:hyperlink r:id="rId407">
        <w:r>
          <w:rPr>
            <w:rFonts w:ascii="Times New Roman" w:eastAsia="Times New Roman" w:hAnsi="Times New Roman" w:cs="Times New Roman"/>
            <w:sz w:val="24"/>
          </w:rPr>
          <w:t>of the Government of the Republic of Kazakhstan dated November 15, 2011 No. 1341.</w:t>
        </w:r>
      </w:hyperlink>
      <w:hyperlink r:id="rId408">
        <w:r>
          <w:rPr>
            <w:rFonts w:ascii="Times New Roman" w:eastAsia="Times New Roman" w:hAnsi="Times New Roman" w:cs="Times New Roman"/>
            <w:sz w:val="24"/>
          </w:rPr>
          <w:t xml:space="preserve"> </w:t>
        </w:r>
      </w:hyperlink>
    </w:p>
    <w:p w:rsidR="0052701D" w:rsidRDefault="00D40929">
      <w:pPr>
        <w:spacing w:after="0" w:line="248" w:lineRule="auto"/>
        <w:ind w:left="9" w:right="14" w:firstLine="711"/>
        <w:jc w:val="both"/>
      </w:pPr>
      <w:r>
        <w:rPr>
          <w:rFonts w:ascii="Times New Roman" w:eastAsia="Times New Roman" w:hAnsi="Times New Roman" w:cs="Times New Roman"/>
          <w:sz w:val="24"/>
        </w:rPr>
        <w:t>[15]"Methodology for calculating biologically hazardous zones (BH</w:t>
      </w:r>
      <w:r>
        <w:rPr>
          <w:rFonts w:ascii="Times New Roman" w:eastAsia="Times New Roman" w:hAnsi="Times New Roman" w:cs="Times New Roman"/>
          <w:sz w:val="24"/>
        </w:rPr>
        <w:t xml:space="preserve">O) of radio engineering facilities", approved by the Chief Physician of the RSES (No. 41-2 / 2-2938 of 10.09.2001) </w:t>
      </w:r>
    </w:p>
    <w:p w:rsidR="0052701D" w:rsidRDefault="00D40929">
      <w:pPr>
        <w:spacing w:after="0"/>
        <w:ind w:left="711"/>
      </w:pPr>
      <w:r>
        <w:rPr>
          <w:rFonts w:ascii="Times New Roman" w:eastAsia="Times New Roman" w:hAnsi="Times New Roman" w:cs="Times New Roman"/>
          <w:color w:val="00000A"/>
        </w:rPr>
        <w:t xml:space="preserve"> </w:t>
      </w:r>
    </w:p>
    <w:p w:rsidR="0052701D" w:rsidRDefault="00D40929">
      <w:pPr>
        <w:spacing w:after="0"/>
        <w:ind w:left="711"/>
      </w:pPr>
      <w:r>
        <w:rPr>
          <w:rFonts w:ascii="Times New Roman" w:eastAsia="Times New Roman" w:hAnsi="Times New Roman" w:cs="Times New Roman"/>
          <w:color w:val="00000A"/>
        </w:rPr>
        <w:t xml:space="preserve"> </w:t>
      </w:r>
    </w:p>
    <w:p w:rsidR="0052701D" w:rsidRDefault="00D40929">
      <w:pPr>
        <w:spacing w:after="0"/>
        <w:ind w:left="711"/>
      </w:pPr>
      <w:r>
        <w:rPr>
          <w:rFonts w:ascii="Times New Roman" w:eastAsia="Times New Roman" w:hAnsi="Times New Roman" w:cs="Times New Roman"/>
          <w:color w:val="00000A"/>
        </w:rPr>
        <w:t xml:space="preserve"> </w:t>
      </w:r>
    </w:p>
    <w:p w:rsidR="0052701D" w:rsidRDefault="00D40929">
      <w:pPr>
        <w:spacing w:after="12"/>
        <w:ind w:left="116" w:hanging="10"/>
      </w:pPr>
      <w:r>
        <w:rPr>
          <w:rFonts w:ascii="Times New Roman" w:eastAsia="Times New Roman" w:hAnsi="Times New Roman" w:cs="Times New Roman"/>
          <w:b/>
          <w:sz w:val="20"/>
        </w:rPr>
        <w:t xml:space="preserve">УДК 681.2:004 </w:t>
      </w:r>
    </w:p>
    <w:p w:rsidR="0052701D" w:rsidRDefault="00D40929">
      <w:pPr>
        <w:spacing w:after="21"/>
      </w:pPr>
      <w:r>
        <w:rPr>
          <w:rFonts w:ascii="Times New Roman" w:eastAsia="Times New Roman" w:hAnsi="Times New Roman" w:cs="Times New Roman"/>
          <w:sz w:val="24"/>
        </w:rPr>
        <w:t xml:space="preserve"> </w:t>
      </w:r>
    </w:p>
    <w:p w:rsidR="0052701D" w:rsidRDefault="00D40929">
      <w:pPr>
        <w:pStyle w:val="1"/>
        <w:spacing w:after="36"/>
        <w:ind w:left="1129" w:right="0" w:firstLine="9"/>
        <w:jc w:val="left"/>
      </w:pPr>
      <w:r>
        <w:t xml:space="preserve">CONTROLLING THE MOVEMENT OF A GROUP OF ROBOTS </w:t>
      </w:r>
    </w:p>
    <w:p w:rsidR="0052701D" w:rsidRDefault="00D40929">
      <w:pPr>
        <w:spacing w:after="36" w:line="271" w:lineRule="auto"/>
        <w:ind w:left="1129" w:firstLine="9"/>
      </w:pPr>
      <w:r>
        <w:rPr>
          <w:rFonts w:ascii="Times New Roman" w:eastAsia="Times New Roman" w:hAnsi="Times New Roman" w:cs="Times New Roman"/>
          <w:b/>
          <w:sz w:val="28"/>
        </w:rPr>
        <w:t xml:space="preserve">BASED ON VISUAL INFORMATION FROM THE ACCOMPANYING DRONE </w:t>
      </w:r>
    </w:p>
    <w:p w:rsidR="0052701D" w:rsidRDefault="00D40929">
      <w:pPr>
        <w:spacing w:after="0"/>
      </w:pPr>
      <w:r>
        <w:rPr>
          <w:rFonts w:ascii="Times New Roman" w:eastAsia="Times New Roman" w:hAnsi="Times New Roman" w:cs="Times New Roman"/>
          <w:b/>
          <w:sz w:val="24"/>
        </w:rPr>
        <w:t xml:space="preserve"> </w:t>
      </w:r>
    </w:p>
    <w:p w:rsidR="0052701D" w:rsidRDefault="00D40929">
      <w:pPr>
        <w:pStyle w:val="1"/>
        <w:spacing w:after="14" w:line="248" w:lineRule="auto"/>
        <w:ind w:left="713" w:right="39" w:hanging="5"/>
      </w:pPr>
      <w:r>
        <w:rPr>
          <w:b w:val="0"/>
          <w:sz w:val="24"/>
        </w:rPr>
        <w:t xml:space="preserve">Toleugazyyev Alisher Bolatuly </w:t>
      </w:r>
    </w:p>
    <w:p w:rsidR="0052701D" w:rsidRDefault="00D40929">
      <w:pPr>
        <w:spacing w:after="0" w:line="309" w:lineRule="auto"/>
        <w:ind w:left="3486" w:right="14" w:hanging="2703"/>
        <w:jc w:val="both"/>
      </w:pPr>
      <w:r>
        <w:rPr>
          <w:rFonts w:ascii="Times New Roman" w:eastAsia="Times New Roman" w:hAnsi="Times New Roman" w:cs="Times New Roman"/>
          <w:sz w:val="24"/>
        </w:rPr>
        <w:t xml:space="preserve">Non-profit JSC «Almaty University of Power Engineering and Telecommunications named after Gumarbek Daukeyev» </w:t>
      </w:r>
    </w:p>
    <w:p w:rsidR="0052701D" w:rsidRDefault="00D40929">
      <w:pPr>
        <w:spacing w:after="14" w:line="248" w:lineRule="auto"/>
        <w:ind w:left="2673" w:right="1936" w:hanging="5"/>
        <w:jc w:val="center"/>
      </w:pPr>
      <w:r>
        <w:rPr>
          <w:rFonts w:ascii="Times New Roman" w:eastAsia="Times New Roman" w:hAnsi="Times New Roman" w:cs="Times New Roman"/>
          <w:sz w:val="24"/>
        </w:rPr>
        <w:t xml:space="preserve">Almaty, Kazakhstan e-mail:a.toleugazyyev@aues.kz </w:t>
      </w:r>
    </w:p>
    <w:p w:rsidR="0052701D" w:rsidRDefault="00D40929">
      <w:pPr>
        <w:spacing w:after="0"/>
      </w:pPr>
      <w:r>
        <w:rPr>
          <w:rFonts w:ascii="Times New Roman" w:eastAsia="Times New Roman" w:hAnsi="Times New Roman" w:cs="Times New Roman"/>
          <w:sz w:val="23"/>
        </w:rPr>
        <w:t xml:space="preserve"> </w:t>
      </w:r>
    </w:p>
    <w:p w:rsidR="0052701D" w:rsidRDefault="00D40929">
      <w:pPr>
        <w:spacing w:after="0" w:line="248" w:lineRule="auto"/>
        <w:ind w:left="106" w:right="149" w:firstLine="711"/>
        <w:jc w:val="both"/>
      </w:pPr>
      <w:r>
        <w:rPr>
          <w:rFonts w:ascii="Times New Roman" w:eastAsia="Times New Roman" w:hAnsi="Times New Roman" w:cs="Times New Roman"/>
          <w:b/>
          <w:i/>
          <w:sz w:val="24"/>
        </w:rPr>
        <w:lastRenderedPageBreak/>
        <w:t>Аbstract</w:t>
      </w:r>
      <w:r>
        <w:rPr>
          <w:rFonts w:ascii="Times New Roman" w:eastAsia="Times New Roman" w:hAnsi="Times New Roman" w:cs="Times New Roman"/>
          <w:b/>
          <w:sz w:val="24"/>
        </w:rPr>
        <w:t xml:space="preserve">. </w:t>
      </w:r>
      <w:r>
        <w:rPr>
          <w:rFonts w:ascii="Times New Roman" w:eastAsia="Times New Roman" w:hAnsi="Times New Roman" w:cs="Times New Roman"/>
          <w:i/>
          <w:sz w:val="24"/>
        </w:rPr>
        <w:t>In the context of the continuous development of artif</w:t>
      </w:r>
      <w:r>
        <w:rPr>
          <w:rFonts w:ascii="Times New Roman" w:eastAsia="Times New Roman" w:hAnsi="Times New Roman" w:cs="Times New Roman"/>
          <w:i/>
          <w:sz w:val="24"/>
        </w:rPr>
        <w:t>icial intelligence and robotics, the problem of managing group robotics has become one of the most important tasks. Group robotics has been defined as a new approach to coordinating the actions of a large number of simple physical robots [1] and is inspire</w:t>
      </w:r>
      <w:r>
        <w:rPr>
          <w:rFonts w:ascii="Times New Roman" w:eastAsia="Times New Roman" w:hAnsi="Times New Roman" w:cs="Times New Roman"/>
          <w:i/>
          <w:sz w:val="24"/>
        </w:rPr>
        <w:t xml:space="preserve">d by the observation of social insects - ants and bees, which are typical examples of how a large number of simple individuals can interact to create collective intelligent systems. Such coordination capabilities are still unavailable for modern groups of </w:t>
      </w:r>
      <w:r>
        <w:rPr>
          <w:rFonts w:ascii="Times New Roman" w:eastAsia="Times New Roman" w:hAnsi="Times New Roman" w:cs="Times New Roman"/>
          <w:i/>
          <w:sz w:val="24"/>
        </w:rPr>
        <w:t>robots. In other words, at the system level, the functioning of social insects is reliable, flexible and scalable, such properties are recognized as desirable for systems with multiple robots. The main characteristics of group robotics systems are formulat</w:t>
      </w:r>
      <w:r>
        <w:rPr>
          <w:rFonts w:ascii="Times New Roman" w:eastAsia="Times New Roman" w:hAnsi="Times New Roman" w:cs="Times New Roman"/>
          <w:i/>
          <w:sz w:val="24"/>
        </w:rPr>
        <w:t xml:space="preserve">ed as follows: cooperativeness. Several robots work together to complete a task that either cannot be achieved by a single robot, or its performance can be improved by using a group of robots to improving efficiency;autonomy. Taking into account the tasks </w:t>
      </w:r>
      <w:r>
        <w:rPr>
          <w:rFonts w:ascii="Times New Roman" w:eastAsia="Times New Roman" w:hAnsi="Times New Roman" w:cs="Times New Roman"/>
          <w:i/>
          <w:sz w:val="24"/>
        </w:rPr>
        <w:t>set, robots should have a high degree of autonomy, as a result of which they can independently plan the trajectory, avoid collisions with obstacles, and also change management strategies when the environment changes.;scalability. The structure of a group o</w:t>
      </w:r>
      <w:r>
        <w:rPr>
          <w:rFonts w:ascii="Times New Roman" w:eastAsia="Times New Roman" w:hAnsi="Times New Roman" w:cs="Times New Roman"/>
          <w:i/>
          <w:sz w:val="24"/>
        </w:rPr>
        <w:t xml:space="preserve">f robots should be formed so that it is possible to increase or decrease their number at any time, that is, robots are able to implement coordination mechanisms that do not affect the actions of a group of robots when its size changes. </w:t>
      </w:r>
    </w:p>
    <w:p w:rsidR="0052701D" w:rsidRDefault="00D40929">
      <w:pPr>
        <w:spacing w:after="0" w:line="248" w:lineRule="auto"/>
        <w:ind w:left="106" w:firstLine="711"/>
        <w:jc w:val="both"/>
      </w:pPr>
      <w:r>
        <w:rPr>
          <w:rFonts w:ascii="Times New Roman" w:eastAsia="Times New Roman" w:hAnsi="Times New Roman" w:cs="Times New Roman"/>
          <w:b/>
          <w:i/>
          <w:sz w:val="24"/>
        </w:rPr>
        <w:t xml:space="preserve">Keywords: </w:t>
      </w:r>
      <w:r>
        <w:rPr>
          <w:rFonts w:ascii="Times New Roman" w:eastAsia="Times New Roman" w:hAnsi="Times New Roman" w:cs="Times New Roman"/>
          <w:i/>
          <w:sz w:val="24"/>
        </w:rPr>
        <w:t>robot, al</w:t>
      </w:r>
      <w:r>
        <w:rPr>
          <w:rFonts w:ascii="Times New Roman" w:eastAsia="Times New Roman" w:hAnsi="Times New Roman" w:cs="Times New Roman"/>
          <w:i/>
          <w:sz w:val="24"/>
        </w:rPr>
        <w:t xml:space="preserve">gorithmization, management, quadrocopters, control system decentralized control. </w:t>
      </w:r>
    </w:p>
    <w:p w:rsidR="0052701D" w:rsidRDefault="00D40929">
      <w:pPr>
        <w:spacing w:after="41"/>
      </w:pPr>
      <w:r>
        <w:rPr>
          <w:rFonts w:ascii="Times New Roman" w:eastAsia="Times New Roman" w:hAnsi="Times New Roman" w:cs="Times New Roman"/>
          <w:i/>
        </w:rPr>
        <w:t xml:space="preserve"> </w:t>
      </w:r>
    </w:p>
    <w:p w:rsidR="0052701D" w:rsidRDefault="00D40929">
      <w:pPr>
        <w:spacing w:after="32"/>
        <w:ind w:left="10" w:right="177" w:hanging="10"/>
        <w:jc w:val="right"/>
      </w:pPr>
      <w:r>
        <w:rPr>
          <w:rFonts w:ascii="Times New Roman" w:eastAsia="Times New Roman" w:hAnsi="Times New Roman" w:cs="Times New Roman"/>
          <w:b/>
          <w:sz w:val="28"/>
        </w:rPr>
        <w:t xml:space="preserve">УПРАВЛЕНИЕ ДВИЖЕНИЕМ ГРУППЫ РОБОТОВ НА ОСНОВЕ </w:t>
      </w:r>
    </w:p>
    <w:p w:rsidR="0052701D" w:rsidRDefault="00D40929">
      <w:pPr>
        <w:spacing w:after="5" w:line="251" w:lineRule="auto"/>
        <w:ind w:left="278" w:firstLine="9"/>
      </w:pPr>
      <w:r>
        <w:rPr>
          <w:rFonts w:ascii="Times New Roman" w:eastAsia="Times New Roman" w:hAnsi="Times New Roman" w:cs="Times New Roman"/>
          <w:b/>
          <w:sz w:val="28"/>
        </w:rPr>
        <w:t xml:space="preserve">ВИЗУАЛЬНОЙ ИНФОРМАЦИИ ОТ СОПРОВОЖДАЮЩЕГО ДРОНА </w:t>
      </w:r>
    </w:p>
    <w:p w:rsidR="0052701D" w:rsidRDefault="00D40929">
      <w:pPr>
        <w:spacing w:after="16"/>
        <w:ind w:left="21"/>
        <w:jc w:val="center"/>
      </w:pPr>
      <w:r>
        <w:rPr>
          <w:rFonts w:ascii="Times New Roman" w:eastAsia="Times New Roman" w:hAnsi="Times New Roman" w:cs="Times New Roman"/>
          <w:b/>
          <w:sz w:val="24"/>
        </w:rPr>
        <w:t xml:space="preserve"> </w:t>
      </w:r>
    </w:p>
    <w:p w:rsidR="0052701D" w:rsidRDefault="00D40929">
      <w:pPr>
        <w:spacing w:after="70" w:line="248" w:lineRule="auto"/>
        <w:ind w:left="713" w:right="42" w:hanging="5"/>
        <w:jc w:val="center"/>
      </w:pPr>
      <w:r>
        <w:rPr>
          <w:rFonts w:ascii="Times New Roman" w:eastAsia="Times New Roman" w:hAnsi="Times New Roman" w:cs="Times New Roman"/>
          <w:sz w:val="24"/>
        </w:rPr>
        <w:t xml:space="preserve">Толеугазыев Алишер Болатулы </w:t>
      </w:r>
    </w:p>
    <w:p w:rsidR="0052701D" w:rsidRDefault="00D40929">
      <w:pPr>
        <w:spacing w:after="5"/>
        <w:ind w:left="10" w:right="256" w:hanging="10"/>
        <w:jc w:val="right"/>
      </w:pPr>
      <w:r>
        <w:rPr>
          <w:rFonts w:ascii="Times New Roman" w:eastAsia="Times New Roman" w:hAnsi="Times New Roman" w:cs="Times New Roman"/>
          <w:sz w:val="24"/>
        </w:rPr>
        <w:t xml:space="preserve">НАО «Алматинский университет энергетики и связи имени Гумарбека Даукеева» </w:t>
      </w:r>
    </w:p>
    <w:p w:rsidR="0052701D" w:rsidRDefault="00D40929">
      <w:pPr>
        <w:spacing w:after="14" w:line="248" w:lineRule="auto"/>
        <w:ind w:left="713" w:right="44" w:hanging="5"/>
        <w:jc w:val="center"/>
      </w:pPr>
      <w:r>
        <w:rPr>
          <w:rFonts w:ascii="Times New Roman" w:eastAsia="Times New Roman" w:hAnsi="Times New Roman" w:cs="Times New Roman"/>
          <w:sz w:val="24"/>
        </w:rPr>
        <w:t xml:space="preserve">г.Алматы, Казахстан </w:t>
      </w:r>
    </w:p>
    <w:p w:rsidR="0052701D" w:rsidRDefault="00D40929">
      <w:pPr>
        <w:spacing w:after="14" w:line="248" w:lineRule="auto"/>
        <w:ind w:left="713" w:right="40" w:hanging="5"/>
        <w:jc w:val="center"/>
      </w:pPr>
      <w:r>
        <w:rPr>
          <w:rFonts w:ascii="Times New Roman" w:eastAsia="Times New Roman" w:hAnsi="Times New Roman" w:cs="Times New Roman"/>
          <w:sz w:val="24"/>
        </w:rPr>
        <w:t xml:space="preserve">e-mail:a.toleugazyyev@aues.kz </w:t>
      </w:r>
    </w:p>
    <w:p w:rsidR="0052701D" w:rsidRDefault="00D40929">
      <w:pPr>
        <w:spacing w:after="0"/>
      </w:pPr>
      <w:r>
        <w:rPr>
          <w:rFonts w:ascii="Times New Roman" w:eastAsia="Times New Roman" w:hAnsi="Times New Roman" w:cs="Times New Roman"/>
          <w:sz w:val="23"/>
        </w:rPr>
        <w:t xml:space="preserve"> </w:t>
      </w:r>
    </w:p>
    <w:p w:rsidR="0052701D" w:rsidRDefault="00D40929">
      <w:pPr>
        <w:spacing w:after="0" w:line="248" w:lineRule="auto"/>
        <w:ind w:left="106" w:right="148" w:firstLine="711"/>
        <w:jc w:val="both"/>
      </w:pPr>
      <w:r>
        <w:rPr>
          <w:rFonts w:ascii="Times New Roman" w:eastAsia="Times New Roman" w:hAnsi="Times New Roman" w:cs="Times New Roman"/>
          <w:b/>
          <w:i/>
          <w:sz w:val="24"/>
        </w:rPr>
        <w:t xml:space="preserve">Аннотация. </w:t>
      </w:r>
      <w:r>
        <w:rPr>
          <w:rFonts w:ascii="Times New Roman" w:eastAsia="Times New Roman" w:hAnsi="Times New Roman" w:cs="Times New Roman"/>
          <w:i/>
          <w:sz w:val="24"/>
        </w:rPr>
        <w:t>В условиях непрерывного развития искусственного интеллекта и робототехники проблема управления групповой робототехни</w:t>
      </w:r>
      <w:r>
        <w:rPr>
          <w:rFonts w:ascii="Times New Roman" w:eastAsia="Times New Roman" w:hAnsi="Times New Roman" w:cs="Times New Roman"/>
          <w:i/>
          <w:sz w:val="24"/>
        </w:rPr>
        <w:t>кой стала одной из важнейших задач. Групповая робототехника была определена как новый подход к координации действий большого количества простых физических роботов [1] и вдохновлена наблюдением за общественными насекомыми — муравьями и пчелами, которые явля</w:t>
      </w:r>
      <w:r>
        <w:rPr>
          <w:rFonts w:ascii="Times New Roman" w:eastAsia="Times New Roman" w:hAnsi="Times New Roman" w:cs="Times New Roman"/>
          <w:i/>
          <w:sz w:val="24"/>
        </w:rPr>
        <w:t>ются типичными примерами того, как большое количество простых особей могут взаимодействовать для создания коллективных интеллектуальных систем. Такие возможности координации до сих пор недоступны для современных групп роботов. Другими словами, на системном</w:t>
      </w:r>
      <w:r>
        <w:rPr>
          <w:rFonts w:ascii="Times New Roman" w:eastAsia="Times New Roman" w:hAnsi="Times New Roman" w:cs="Times New Roman"/>
          <w:i/>
          <w:sz w:val="24"/>
        </w:rPr>
        <w:t xml:space="preserve"> уровне функционирование социальных насекомых является надежным, гибким и масштабируемым, такие свойства признаются желательными для систем с несколькими роботами. Основные характеристики систем групповой робототехники формулируются следующим образом: кооп</w:t>
      </w:r>
      <w:r>
        <w:rPr>
          <w:rFonts w:ascii="Times New Roman" w:eastAsia="Times New Roman" w:hAnsi="Times New Roman" w:cs="Times New Roman"/>
          <w:i/>
          <w:sz w:val="24"/>
        </w:rPr>
        <w:t>еративность.</w:t>
      </w:r>
      <w:r>
        <w:rPr>
          <w:rFonts w:ascii="Times New Roman" w:eastAsia="Times New Roman" w:hAnsi="Times New Roman" w:cs="Times New Roman"/>
        </w:rPr>
        <w:t xml:space="preserve"> </w:t>
      </w:r>
      <w:r>
        <w:rPr>
          <w:rFonts w:ascii="Times New Roman" w:eastAsia="Times New Roman" w:hAnsi="Times New Roman" w:cs="Times New Roman"/>
          <w:i/>
          <w:sz w:val="24"/>
        </w:rPr>
        <w:t xml:space="preserve">Несколько роботов работают вместе для выполнения задачи, которая либо не может быть решена одним роботом, либо его производительность может быть улучшена за счет использования группы роботов для повышения эффективности; автономности. С учетом </w:t>
      </w:r>
      <w:r>
        <w:rPr>
          <w:rFonts w:ascii="Times New Roman" w:eastAsia="Times New Roman" w:hAnsi="Times New Roman" w:cs="Times New Roman"/>
          <w:i/>
          <w:sz w:val="24"/>
        </w:rPr>
        <w:t>поставленных задач роботы должны обладать высокой степенью автономности, вследствие чего они могут самостоятельно планировать траекторию, избегать столкновений с препятствиями, а также менять стратегии управления при изменении внешней среды; масштабируемос</w:t>
      </w:r>
      <w:r>
        <w:rPr>
          <w:rFonts w:ascii="Times New Roman" w:eastAsia="Times New Roman" w:hAnsi="Times New Roman" w:cs="Times New Roman"/>
          <w:i/>
          <w:sz w:val="24"/>
        </w:rPr>
        <w:t>ть. Структура группы роботов должна быть сформирована таким образом, чтобы в любой момент времени можно было увеличить или уменьшить их количество, то есть роботы способны реализовать механизмы координации, не влияющие на действия группы роботов при измене</w:t>
      </w:r>
      <w:r>
        <w:rPr>
          <w:rFonts w:ascii="Times New Roman" w:eastAsia="Times New Roman" w:hAnsi="Times New Roman" w:cs="Times New Roman"/>
          <w:i/>
          <w:sz w:val="24"/>
        </w:rPr>
        <w:t xml:space="preserve">нии ее размера. </w:t>
      </w:r>
    </w:p>
    <w:p w:rsidR="0052701D" w:rsidRDefault="00D40929">
      <w:pPr>
        <w:spacing w:after="29" w:line="248" w:lineRule="auto"/>
        <w:ind w:left="106" w:firstLine="711"/>
        <w:jc w:val="both"/>
      </w:pPr>
      <w:r>
        <w:rPr>
          <w:rFonts w:ascii="Times New Roman" w:eastAsia="Times New Roman" w:hAnsi="Times New Roman" w:cs="Times New Roman"/>
          <w:b/>
          <w:i/>
          <w:sz w:val="24"/>
        </w:rPr>
        <w:lastRenderedPageBreak/>
        <w:t>Ключевые слова</w:t>
      </w:r>
      <w:r>
        <w:rPr>
          <w:rFonts w:ascii="Times New Roman" w:eastAsia="Times New Roman" w:hAnsi="Times New Roman" w:cs="Times New Roman"/>
          <w:i/>
          <w:sz w:val="24"/>
        </w:rPr>
        <w:t xml:space="preserve">: робот, алгоритмизация, управление, квадрокоптеры, система управления, децентрализованное управление. </w:t>
      </w:r>
    </w:p>
    <w:p w:rsidR="0052701D" w:rsidRDefault="00D40929">
      <w:pPr>
        <w:spacing w:after="31"/>
        <w:ind w:left="817"/>
      </w:pPr>
      <w:r>
        <w:rPr>
          <w:rFonts w:ascii="Times New Roman" w:eastAsia="Times New Roman" w:hAnsi="Times New Roman" w:cs="Times New Roman"/>
          <w:i/>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Designing the structure of a robot group control system has a significant impact on the reliability and scalability of the system. A robot group system consists of homogeneous robots or heterogeneous robots. In homogeneous robot teams, the capabilities of </w:t>
      </w:r>
      <w:r>
        <w:rPr>
          <w:rFonts w:ascii="Times New Roman" w:eastAsia="Times New Roman" w:hAnsi="Times New Roman" w:cs="Times New Roman"/>
          <w:sz w:val="28"/>
        </w:rPr>
        <w:t xml:space="preserve">individual members are identical, the physical structures may not be the same. In heterogeneous robot teams, the capabilities of the members are different, so a heterogeneous group of robots can be used to perform specific tasks. As a rule, developing the </w:t>
      </w:r>
      <w:r>
        <w:rPr>
          <w:rFonts w:ascii="Times New Roman" w:eastAsia="Times New Roman" w:hAnsi="Times New Roman" w:cs="Times New Roman"/>
          <w:sz w:val="28"/>
        </w:rPr>
        <w:t xml:space="preserve">structure of a control system for a group of robots is a difficult task. There are three approaches to solving this problem: centralized, decentralized and hybrid management. </w:t>
      </w:r>
    </w:p>
    <w:p w:rsidR="0052701D" w:rsidRDefault="00D40929">
      <w:pPr>
        <w:spacing w:after="5" w:line="271" w:lineRule="auto"/>
        <w:ind w:left="9" w:right="64" w:firstLine="711"/>
        <w:jc w:val="both"/>
      </w:pPr>
      <w:r>
        <w:rPr>
          <w:rFonts w:ascii="Times New Roman" w:eastAsia="Times New Roman" w:hAnsi="Times New Roman" w:cs="Times New Roman"/>
          <w:sz w:val="28"/>
        </w:rPr>
        <w:t>Centralized management can be built as single-level or hierarchical. The singles</w:t>
      </w:r>
      <w:r>
        <w:rPr>
          <w:rFonts w:ascii="Times New Roman" w:eastAsia="Times New Roman" w:hAnsi="Times New Roman" w:cs="Times New Roman"/>
          <w:sz w:val="28"/>
        </w:rPr>
        <w:t>tart control system consists in the presence of one or more centers in the group, which are either a stationary control device or a leading robot. The control center is directly connected to each robot of the group, it schedules tasks and sends control com</w:t>
      </w:r>
      <w:r>
        <w:rPr>
          <w:rFonts w:ascii="Times New Roman" w:eastAsia="Times New Roman" w:hAnsi="Times New Roman" w:cs="Times New Roman"/>
          <w:sz w:val="28"/>
        </w:rPr>
        <w:t>mands. The advantages of the one-man management system include the simplicity of its organization and, accordingly, algorithmization. However, this system also has a number of significant drawbacks, for example, if the number of robots in the system increa</w:t>
      </w:r>
      <w:r>
        <w:rPr>
          <w:rFonts w:ascii="Times New Roman" w:eastAsia="Times New Roman" w:hAnsi="Times New Roman" w:cs="Times New Roman"/>
          <w:sz w:val="28"/>
        </w:rPr>
        <w:t xml:space="preserve">ses, then the control center must form action planning for each robot, which results in a long decision-making time.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To eliminate this disadvantage, a hierarchical management system is used, in which there is a "commander" at the first level, controlling </w:t>
      </w:r>
      <w:r>
        <w:rPr>
          <w:rFonts w:ascii="Times New Roman" w:eastAsia="Times New Roman" w:hAnsi="Times New Roman" w:cs="Times New Roman"/>
          <w:sz w:val="28"/>
        </w:rPr>
        <w:t>several subordinates, and subordinates are second-level commanders, and so on, up to the lowest robot performing its task. The hierarchical management system scales much better than the one-man management system. However, its disadvantage is the difficulty</w:t>
      </w:r>
      <w:r>
        <w:rPr>
          <w:rFonts w:ascii="Times New Roman" w:eastAsia="Times New Roman" w:hAnsi="Times New Roman" w:cs="Times New Roman"/>
          <w:sz w:val="28"/>
        </w:rPr>
        <w:t xml:space="preserve"> of restoring the hierarchy after failures of robots located at the upper levels of the control tree, that is, the complexity of the control structure can lead to significant failures in the transmission of commands from the upper to lower levels. </w:t>
      </w:r>
    </w:p>
    <w:p w:rsidR="0052701D" w:rsidRDefault="00D40929">
      <w:pPr>
        <w:spacing w:after="5" w:line="271" w:lineRule="auto"/>
        <w:ind w:left="9" w:right="64" w:firstLine="711"/>
        <w:jc w:val="both"/>
      </w:pPr>
      <w:r>
        <w:rPr>
          <w:rFonts w:ascii="Times New Roman" w:eastAsia="Times New Roman" w:hAnsi="Times New Roman" w:cs="Times New Roman"/>
          <w:sz w:val="28"/>
        </w:rPr>
        <w:t>Central</w:t>
      </w:r>
      <w:r>
        <w:rPr>
          <w:rFonts w:ascii="Times New Roman" w:eastAsia="Times New Roman" w:hAnsi="Times New Roman" w:cs="Times New Roman"/>
          <w:sz w:val="28"/>
        </w:rPr>
        <w:t>ized management is unstable to communication failures and other unpredictable situations and thus has low survivability. As a rule, centralized management is used in the case of a limited number of robots operating in known and unchangeable conditions, for</w:t>
      </w:r>
      <w:r>
        <w:rPr>
          <w:rFonts w:ascii="Times New Roman" w:eastAsia="Times New Roman" w:hAnsi="Times New Roman" w:cs="Times New Roman"/>
          <w:sz w:val="28"/>
        </w:rPr>
        <w:t xml:space="preserve"> example, in autonomous logistics. An excellent example is the transport system at the Noto Hospital, where a central device is implemented that controls the movement of a group of robots along the tracks on the floor for transporting bed linen, dishes and</w:t>
      </w:r>
      <w:r>
        <w:rPr>
          <w:rFonts w:ascii="Times New Roman" w:eastAsia="Times New Roman" w:hAnsi="Times New Roman" w:cs="Times New Roman"/>
          <w:sz w:val="28"/>
        </w:rPr>
        <w:t xml:space="preserve"> other necessary goods. </w:t>
      </w:r>
    </w:p>
    <w:p w:rsidR="0052701D" w:rsidRDefault="00D40929">
      <w:pPr>
        <w:spacing w:after="3"/>
        <w:ind w:left="10" w:right="43" w:hanging="10"/>
        <w:jc w:val="right"/>
      </w:pPr>
      <w:r>
        <w:rPr>
          <w:rFonts w:ascii="Times New Roman" w:eastAsia="Times New Roman" w:hAnsi="Times New Roman" w:cs="Times New Roman"/>
          <w:sz w:val="28"/>
        </w:rPr>
        <w:t xml:space="preserve">Decentralized management, unlike centralized management, does not have a </w:t>
      </w:r>
    </w:p>
    <w:p w:rsidR="0052701D" w:rsidRDefault="00D40929">
      <w:pPr>
        <w:spacing w:after="5" w:line="271" w:lineRule="auto"/>
        <w:ind w:left="9" w:right="64"/>
        <w:jc w:val="both"/>
      </w:pPr>
      <w:r>
        <w:rPr>
          <w:rFonts w:ascii="Times New Roman" w:eastAsia="Times New Roman" w:hAnsi="Times New Roman" w:cs="Times New Roman"/>
          <w:sz w:val="28"/>
        </w:rPr>
        <w:t>"commander" or a stationary control device and all robots of the group are equal and autonomous. Each robot acts taking into account its environment, it know</w:t>
      </w:r>
      <w:r>
        <w:rPr>
          <w:rFonts w:ascii="Times New Roman" w:eastAsia="Times New Roman" w:hAnsi="Times New Roman" w:cs="Times New Roman"/>
          <w:sz w:val="28"/>
        </w:rPr>
        <w:t xml:space="preserve">s about the presence of other robots and can locally contact them, so the failure or destruction of any of them does not lead to the failure of the entire group as a whole. The advantage </w:t>
      </w:r>
      <w:r>
        <w:rPr>
          <w:rFonts w:ascii="Times New Roman" w:eastAsia="Times New Roman" w:hAnsi="Times New Roman" w:cs="Times New Roman"/>
          <w:sz w:val="28"/>
        </w:rPr>
        <w:lastRenderedPageBreak/>
        <w:t>of decentralized management is that the system is scalable and resili</w:t>
      </w:r>
      <w:r>
        <w:rPr>
          <w:rFonts w:ascii="Times New Roman" w:eastAsia="Times New Roman" w:hAnsi="Times New Roman" w:cs="Times New Roman"/>
          <w:sz w:val="28"/>
        </w:rPr>
        <w:t>ent to failures, since the lead robot is not responsible for controlling any other robot, and therefore the decision can be made quickly, in real time and taking into account the changing situation in the environment. However, in a decentralized management</w:t>
      </w:r>
      <w:r>
        <w:rPr>
          <w:rFonts w:ascii="Times New Roman" w:eastAsia="Times New Roman" w:hAnsi="Times New Roman" w:cs="Times New Roman"/>
          <w:sz w:val="28"/>
        </w:rPr>
        <w:t xml:space="preserve"> system, it is difficult to achieve global consistency of its constituent devices, since top-level goals must be included in the local management of each robot. In addition, the disadvantage of a decentralized system is the complexity of its algorithmizati</w:t>
      </w:r>
      <w:r>
        <w:rPr>
          <w:rFonts w:ascii="Times New Roman" w:eastAsia="Times New Roman" w:hAnsi="Times New Roman" w:cs="Times New Roman"/>
          <w:sz w:val="28"/>
        </w:rPr>
        <w:t xml:space="preserve">on, since when developing algorithms, it is necessary to understand the tasks and clearly plan the actions of the robot that lead to the best solution from the point of view of the entire group. </w:t>
      </w:r>
    </w:p>
    <w:p w:rsidR="0052701D" w:rsidRDefault="00D40929">
      <w:pPr>
        <w:spacing w:after="5" w:line="271" w:lineRule="auto"/>
        <w:ind w:left="9" w:right="64" w:firstLine="711"/>
        <w:jc w:val="both"/>
      </w:pPr>
      <w:r>
        <w:rPr>
          <w:rFonts w:ascii="Times New Roman" w:eastAsia="Times New Roman" w:hAnsi="Times New Roman" w:cs="Times New Roman"/>
          <w:sz w:val="28"/>
        </w:rPr>
        <w:t>Decentralized management can be of two types - collective an</w:t>
      </w:r>
      <w:r>
        <w:rPr>
          <w:rFonts w:ascii="Times New Roman" w:eastAsia="Times New Roman" w:hAnsi="Times New Roman" w:cs="Times New Roman"/>
          <w:sz w:val="28"/>
        </w:rPr>
        <w:t xml:space="preserve">d pack. Collective management in a decentralized system means that each robot of the group has the opportunity to exchange information with others in order to optimize group actions. A similar management strategy is used in sports team games, when solving </w:t>
      </w:r>
      <w:r>
        <w:rPr>
          <w:rFonts w:ascii="Times New Roman" w:eastAsia="Times New Roman" w:hAnsi="Times New Roman" w:cs="Times New Roman"/>
          <w:sz w:val="28"/>
        </w:rPr>
        <w:t>search and security tasks, and others. For example, a number of European institutes and laboratories are developing a unique Swarmanoid project, the main purpose of which is to create a system of heterogeneous robots and develop decentralized control algor</w:t>
      </w:r>
      <w:r>
        <w:rPr>
          <w:rFonts w:ascii="Times New Roman" w:eastAsia="Times New Roman" w:hAnsi="Times New Roman" w:cs="Times New Roman"/>
          <w:sz w:val="28"/>
        </w:rPr>
        <w:t xml:space="preserve">ithms for solving information collection tasks.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The pack management strategy is based on the behavior in the natural environment of animals that can cooperate with each other to perform complex tasks. The paper formulates three simple rules - separation, </w:t>
      </w:r>
      <w:r>
        <w:rPr>
          <w:rFonts w:ascii="Times New Roman" w:eastAsia="Times New Roman" w:hAnsi="Times New Roman" w:cs="Times New Roman"/>
          <w:sz w:val="28"/>
        </w:rPr>
        <w:t xml:space="preserve">speed alignment and cohesion - for modeling the behavior of individual birds. Based on them, a large number of algorithms have been developed to optimize control in a group of robots. For example, </w:t>
      </w:r>
    </w:p>
    <w:p w:rsidR="0052701D" w:rsidRDefault="00D40929">
      <w:pPr>
        <w:spacing w:after="5" w:line="271" w:lineRule="auto"/>
        <w:ind w:left="9" w:right="64" w:firstLine="711"/>
        <w:jc w:val="both"/>
      </w:pPr>
      <w:r>
        <w:rPr>
          <w:rFonts w:ascii="Times New Roman" w:eastAsia="Times New Roman" w:hAnsi="Times New Roman" w:cs="Times New Roman"/>
          <w:sz w:val="28"/>
        </w:rPr>
        <w:t>S.L. Zenkevich and N. K. Galustyan investigated a method o</w:t>
      </w:r>
      <w:r>
        <w:rPr>
          <w:rFonts w:ascii="Times New Roman" w:eastAsia="Times New Roman" w:hAnsi="Times New Roman" w:cs="Times New Roman"/>
          <w:sz w:val="28"/>
        </w:rPr>
        <w:t xml:space="preserve">f flock control of quadrocopters in three- dimensional space based on modified Reynolds rules. </w:t>
      </w:r>
    </w:p>
    <w:p w:rsidR="0052701D" w:rsidRDefault="00D40929">
      <w:pPr>
        <w:spacing w:after="3"/>
        <w:ind w:left="10" w:right="43" w:hanging="10"/>
        <w:jc w:val="right"/>
      </w:pPr>
      <w:r>
        <w:rPr>
          <w:rFonts w:ascii="Times New Roman" w:eastAsia="Times New Roman" w:hAnsi="Times New Roman" w:cs="Times New Roman"/>
          <w:sz w:val="28"/>
        </w:rPr>
        <w:t xml:space="preserve">Hybrid management. The structure of such systems includes several levels: </w:t>
      </w:r>
    </w:p>
    <w:p w:rsidR="0052701D" w:rsidRDefault="00D40929">
      <w:pPr>
        <w:spacing w:after="5" w:line="271" w:lineRule="auto"/>
        <w:ind w:left="9" w:right="64"/>
        <w:jc w:val="both"/>
      </w:pPr>
      <w:r>
        <w:rPr>
          <w:rFonts w:ascii="Times New Roman" w:eastAsia="Times New Roman" w:hAnsi="Times New Roman" w:cs="Times New Roman"/>
          <w:sz w:val="28"/>
        </w:rPr>
        <w:t>intelligent, where the operator interface is implemented and decisions are made about</w:t>
      </w:r>
      <w:r>
        <w:rPr>
          <w:rFonts w:ascii="Times New Roman" w:eastAsia="Times New Roman" w:hAnsi="Times New Roman" w:cs="Times New Roman"/>
          <w:sz w:val="28"/>
        </w:rPr>
        <w:t xml:space="preserve"> operations taking into account information about the external environment; strategic level, where the behavior of lower levels is planned and formed; tactical level, which gives control signals to robots taking into account the required behavior, and tran</w:t>
      </w:r>
      <w:r>
        <w:rPr>
          <w:rFonts w:ascii="Times New Roman" w:eastAsia="Times New Roman" w:hAnsi="Times New Roman" w:cs="Times New Roman"/>
          <w:sz w:val="28"/>
        </w:rPr>
        <w:t xml:space="preserve">smits commands of their state to the highest level; the executive level that directly controls the movement of robots.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From the point of view of autonomy, the management strategy for each element of the system includes a planning level where commands are </w:t>
      </w:r>
      <w:r>
        <w:rPr>
          <w:rFonts w:ascii="Times New Roman" w:eastAsia="Times New Roman" w:hAnsi="Times New Roman" w:cs="Times New Roman"/>
          <w:sz w:val="28"/>
        </w:rPr>
        <w:t>received from the tactical level of the system, tasks are planned taking into account data received from sensors, control commands and the status of actuators are transmitted; a control level that monitors the execution of a sequence of tasks and sends sys</w:t>
      </w:r>
      <w:r>
        <w:rPr>
          <w:rFonts w:ascii="Times New Roman" w:eastAsia="Times New Roman" w:hAnsi="Times New Roman" w:cs="Times New Roman"/>
          <w:sz w:val="28"/>
        </w:rPr>
        <w:t xml:space="preserve">tem status commands to the upper level; and a behavior level, which interacts with the robot's devices and sensors. In addition, each level of the control system of individual robots can interact with other robots. </w:t>
      </w:r>
    </w:p>
    <w:p w:rsidR="0052701D" w:rsidRDefault="00D40929">
      <w:pPr>
        <w:spacing w:after="5" w:line="271" w:lineRule="auto"/>
        <w:ind w:left="9" w:right="64" w:firstLine="711"/>
        <w:jc w:val="both"/>
      </w:pPr>
      <w:r>
        <w:rPr>
          <w:rFonts w:ascii="Times New Roman" w:eastAsia="Times New Roman" w:hAnsi="Times New Roman" w:cs="Times New Roman"/>
          <w:sz w:val="28"/>
        </w:rPr>
        <w:lastRenderedPageBreak/>
        <w:t>Thus, in the hybrid control system, each</w:t>
      </w:r>
      <w:r>
        <w:rPr>
          <w:rFonts w:ascii="Times New Roman" w:eastAsia="Times New Roman" w:hAnsi="Times New Roman" w:cs="Times New Roman"/>
          <w:sz w:val="28"/>
        </w:rPr>
        <w:t xml:space="preserve"> element of the group independently determines its actions based on information about the goal facing the group, about the situation in the environment at the previous interval and at the current time, about the previous and current states and actions of o</w:t>
      </w:r>
      <w:r>
        <w:rPr>
          <w:rFonts w:ascii="Times New Roman" w:eastAsia="Times New Roman" w:hAnsi="Times New Roman" w:cs="Times New Roman"/>
          <w:sz w:val="28"/>
        </w:rPr>
        <w:t xml:space="preserve">ther robots of the group. The management strategy combines local management with high-level management approaches to realize reliability and the ability to influence the actions of the entire group by achieving global goals. </w:t>
      </w:r>
    </w:p>
    <w:p w:rsidR="0052701D" w:rsidRDefault="00D40929">
      <w:pPr>
        <w:spacing w:after="5" w:line="271" w:lineRule="auto"/>
        <w:ind w:left="9" w:right="64" w:firstLine="711"/>
        <w:jc w:val="both"/>
      </w:pPr>
      <w:r>
        <w:rPr>
          <w:rFonts w:ascii="Times New Roman" w:eastAsia="Times New Roman" w:hAnsi="Times New Roman" w:cs="Times New Roman"/>
          <w:sz w:val="28"/>
        </w:rPr>
        <w:t>Let's consider examples of the</w:t>
      </w:r>
      <w:r>
        <w:rPr>
          <w:rFonts w:ascii="Times New Roman" w:eastAsia="Times New Roman" w:hAnsi="Times New Roman" w:cs="Times New Roman"/>
          <w:sz w:val="28"/>
        </w:rPr>
        <w:t xml:space="preserve"> development and use of robot groups, taking into account the control structures formulated above and current trends in modern group robotics projects. </w:t>
      </w:r>
    </w:p>
    <w:p w:rsidR="0052701D" w:rsidRDefault="00D40929">
      <w:pPr>
        <w:spacing w:after="5" w:line="271" w:lineRule="auto"/>
        <w:ind w:left="9" w:right="64" w:firstLine="711"/>
        <w:jc w:val="both"/>
      </w:pPr>
      <w:r>
        <w:rPr>
          <w:rFonts w:ascii="Times New Roman" w:eastAsia="Times New Roman" w:hAnsi="Times New Roman" w:cs="Times New Roman"/>
          <w:sz w:val="28"/>
        </w:rPr>
        <w:t>One of the relevant applications is the use of robot groups in monitoring and aerial photography tasks.</w:t>
      </w:r>
      <w:r>
        <w:rPr>
          <w:rFonts w:ascii="Times New Roman" w:eastAsia="Times New Roman" w:hAnsi="Times New Roman" w:cs="Times New Roman"/>
          <w:sz w:val="28"/>
        </w:rPr>
        <w:t xml:space="preserve"> Thus, a group of quadrocopters is used in the work to predict yields, detect pest foci and other abnormal zones in agriculture. The paper proposes an algorithm for decentralized control of the formation and swarm movements of a group of quadrocopters usin</w:t>
      </w:r>
      <w:r>
        <w:rPr>
          <w:rFonts w:ascii="Times New Roman" w:eastAsia="Times New Roman" w:hAnsi="Times New Roman" w:cs="Times New Roman"/>
          <w:sz w:val="28"/>
        </w:rPr>
        <w:t>g modified K. Reynolds rules. The use of images from quadrocopters is much more efficient than images from satellite systems, since the resolution and frequency of images directly affect the accuracy of calculations. As a result of the research, a new dire</w:t>
      </w:r>
      <w:r>
        <w:rPr>
          <w:rFonts w:ascii="Times New Roman" w:eastAsia="Times New Roman" w:hAnsi="Times New Roman" w:cs="Times New Roman"/>
          <w:sz w:val="28"/>
        </w:rPr>
        <w:t xml:space="preserve">ction has emerged - the cooperation of drones and ground robots to perform monitoring, pest control or harvesting. </w:t>
      </w:r>
    </w:p>
    <w:p w:rsidR="0052701D" w:rsidRDefault="00D40929">
      <w:pPr>
        <w:spacing w:after="5" w:line="271" w:lineRule="auto"/>
        <w:ind w:left="9" w:right="64" w:firstLine="711"/>
        <w:jc w:val="both"/>
      </w:pPr>
      <w:r>
        <w:rPr>
          <w:rFonts w:ascii="Times New Roman" w:eastAsia="Times New Roman" w:hAnsi="Times New Roman" w:cs="Times New Roman"/>
          <w:sz w:val="28"/>
        </w:rPr>
        <w:t>Another application of using robot groups is search and rescue tasks. An example of such a study is the dissertation "Robotic Earthquake res</w:t>
      </w:r>
      <w:r>
        <w:rPr>
          <w:rFonts w:ascii="Times New Roman" w:eastAsia="Times New Roman" w:hAnsi="Times New Roman" w:cs="Times New Roman"/>
          <w:sz w:val="28"/>
        </w:rPr>
        <w:t>cue System" (figure - 1). The purpose of the work is to build a modular control system for a group of robots, planning the sequence of rescue processes and the composition of a team designed to search and rescue earthquake survivors. The system contains tw</w:t>
      </w:r>
      <w:r>
        <w:rPr>
          <w:rFonts w:ascii="Times New Roman" w:eastAsia="Times New Roman" w:hAnsi="Times New Roman" w:cs="Times New Roman"/>
          <w:sz w:val="28"/>
        </w:rPr>
        <w:t>o types of robots - drones for creating air communication stations, solving information collection tasks and performing search and rescue operations in case of earthquakes, as well as ground robots that detect victims, assist them and ensure their evacuati</w:t>
      </w:r>
      <w:r>
        <w:rPr>
          <w:rFonts w:ascii="Times New Roman" w:eastAsia="Times New Roman" w:hAnsi="Times New Roman" w:cs="Times New Roman"/>
          <w:sz w:val="28"/>
        </w:rPr>
        <w:t>on from dangerous zones. Taking into account the specifics of the tasks being solved, centralized and decentralized distribution strategies have been implemented at different levels of robot group management. One of the important problems of group robotics</w:t>
      </w:r>
      <w:r>
        <w:rPr>
          <w:rFonts w:ascii="Times New Roman" w:eastAsia="Times New Roman" w:hAnsi="Times New Roman" w:cs="Times New Roman"/>
          <w:sz w:val="28"/>
        </w:rPr>
        <w:t xml:space="preserve"> is controlling the movement of ground robots based on visual information from a drone.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From the point of view of the development of group robotics, there is another characteristic: </w:t>
      </w:r>
    </w:p>
    <w:p w:rsidR="0052701D" w:rsidRDefault="00D40929">
      <w:pPr>
        <w:numPr>
          <w:ilvl w:val="0"/>
          <w:numId w:val="37"/>
        </w:numPr>
        <w:spacing w:after="5" w:line="271" w:lineRule="auto"/>
        <w:ind w:right="64" w:firstLine="711"/>
        <w:jc w:val="both"/>
      </w:pPr>
      <w:r>
        <w:rPr>
          <w:rFonts w:ascii="Times New Roman" w:eastAsia="Times New Roman" w:hAnsi="Times New Roman" w:cs="Times New Roman"/>
          <w:sz w:val="28"/>
        </w:rPr>
        <w:t xml:space="preserve">reliability and flexibility. Group robotics has such an ability as the ability to solve a wide range of tasks in various environments and to cope with the malfunction of one or more robots in the process of completing a task. Reliability is ensured by the </w:t>
      </w:r>
      <w:r>
        <w:rPr>
          <w:rFonts w:ascii="Times New Roman" w:eastAsia="Times New Roman" w:hAnsi="Times New Roman" w:cs="Times New Roman"/>
          <w:sz w:val="28"/>
        </w:rPr>
        <w:t xml:space="preserve">redundancy of the group. </w:t>
      </w:r>
    </w:p>
    <w:p w:rsidR="0052701D" w:rsidRDefault="00D40929">
      <w:pPr>
        <w:spacing w:after="5" w:line="271" w:lineRule="auto"/>
        <w:ind w:left="9" w:right="64" w:firstLine="711"/>
        <w:jc w:val="both"/>
      </w:pPr>
      <w:r>
        <w:rPr>
          <w:rFonts w:ascii="Times New Roman" w:eastAsia="Times New Roman" w:hAnsi="Times New Roman" w:cs="Times New Roman"/>
          <w:sz w:val="28"/>
        </w:rPr>
        <w:t>If we take the scheme of collaboration of several robots, including a quadcopter and a group of ground robots. The scheme automatically displays the situation in urban areas using mobile robots and provides real-time data and tele</w:t>
      </w:r>
      <w:r>
        <w:rPr>
          <w:rFonts w:ascii="Times New Roman" w:eastAsia="Times New Roman" w:hAnsi="Times New Roman" w:cs="Times New Roman"/>
          <w:sz w:val="28"/>
        </w:rPr>
        <w:t xml:space="preserve">metry for remote </w:t>
      </w:r>
      <w:r>
        <w:rPr>
          <w:rFonts w:ascii="Times New Roman" w:eastAsia="Times New Roman" w:hAnsi="Times New Roman" w:cs="Times New Roman"/>
          <w:sz w:val="28"/>
        </w:rPr>
        <w:lastRenderedPageBreak/>
        <w:t xml:space="preserve">operators. The use of a quadrocopter facilitates the positioning of ground robots. Thus, group robotics has significant advantages over the operation of a single robot: </w:t>
      </w:r>
    </w:p>
    <w:p w:rsidR="0052701D" w:rsidRDefault="00D40929">
      <w:pPr>
        <w:numPr>
          <w:ilvl w:val="0"/>
          <w:numId w:val="37"/>
        </w:numPr>
        <w:spacing w:after="5" w:line="271" w:lineRule="auto"/>
        <w:ind w:right="64" w:firstLine="711"/>
        <w:jc w:val="both"/>
      </w:pPr>
      <w:r>
        <w:rPr>
          <w:rFonts w:ascii="Times New Roman" w:eastAsia="Times New Roman" w:hAnsi="Times New Roman" w:cs="Times New Roman"/>
          <w:sz w:val="28"/>
        </w:rPr>
        <w:t xml:space="preserve">a group of robots has a better spatial distribution; </w:t>
      </w:r>
    </w:p>
    <w:p w:rsidR="0052701D" w:rsidRDefault="00D40929">
      <w:pPr>
        <w:numPr>
          <w:ilvl w:val="0"/>
          <w:numId w:val="37"/>
        </w:numPr>
        <w:spacing w:after="5" w:line="271" w:lineRule="auto"/>
        <w:ind w:right="64" w:firstLine="711"/>
        <w:jc w:val="both"/>
      </w:pPr>
      <w:r>
        <w:rPr>
          <w:rFonts w:ascii="Times New Roman" w:eastAsia="Times New Roman" w:hAnsi="Times New Roman" w:cs="Times New Roman"/>
          <w:sz w:val="28"/>
        </w:rPr>
        <w:t xml:space="preserve">a group of robots can achieve better system performance; </w:t>
      </w:r>
    </w:p>
    <w:p w:rsidR="0052701D" w:rsidRDefault="00D40929">
      <w:pPr>
        <w:numPr>
          <w:ilvl w:val="0"/>
          <w:numId w:val="37"/>
        </w:numPr>
        <w:spacing w:after="5" w:line="271" w:lineRule="auto"/>
        <w:ind w:right="64" w:firstLine="711"/>
        <w:jc w:val="both"/>
      </w:pPr>
      <w:r>
        <w:rPr>
          <w:rFonts w:ascii="Times New Roman" w:eastAsia="Times New Roman" w:hAnsi="Times New Roman" w:cs="Times New Roman"/>
          <w:sz w:val="28"/>
        </w:rPr>
        <w:t xml:space="preserve">a group of robots can provide reliability by combining data and exchanging information between robots; </w:t>
      </w:r>
    </w:p>
    <w:p w:rsidR="0052701D" w:rsidRDefault="00D40929">
      <w:pPr>
        <w:numPr>
          <w:ilvl w:val="0"/>
          <w:numId w:val="37"/>
        </w:numPr>
        <w:spacing w:after="5" w:line="271" w:lineRule="auto"/>
        <w:ind w:right="64" w:firstLine="711"/>
        <w:jc w:val="both"/>
      </w:pPr>
      <w:r>
        <w:rPr>
          <w:rFonts w:ascii="Times New Roman" w:eastAsia="Times New Roman" w:hAnsi="Times New Roman" w:cs="Times New Roman"/>
          <w:sz w:val="28"/>
        </w:rPr>
        <w:t>using a group of several simple robots can be easier and cheaper than using one powerful (comp</w:t>
      </w:r>
      <w:r>
        <w:rPr>
          <w:rFonts w:ascii="Times New Roman" w:eastAsia="Times New Roman" w:hAnsi="Times New Roman" w:cs="Times New Roman"/>
          <w:sz w:val="28"/>
        </w:rPr>
        <w:t xml:space="preserve">lex and expensive) robot to complete a task; </w:t>
      </w:r>
    </w:p>
    <w:p w:rsidR="0052701D" w:rsidRDefault="00D40929">
      <w:pPr>
        <w:numPr>
          <w:ilvl w:val="0"/>
          <w:numId w:val="37"/>
        </w:numPr>
        <w:spacing w:after="3"/>
        <w:ind w:right="64" w:firstLine="711"/>
        <w:jc w:val="both"/>
      </w:pPr>
      <w:r>
        <w:rPr>
          <w:rFonts w:ascii="Times New Roman" w:eastAsia="Times New Roman" w:hAnsi="Times New Roman" w:cs="Times New Roman"/>
          <w:sz w:val="28"/>
        </w:rPr>
        <w:t xml:space="preserve">flexibility, scalability and versatility groups of robots with different abilities </w:t>
      </w:r>
    </w:p>
    <w:p w:rsidR="0052701D" w:rsidRDefault="00D40929">
      <w:pPr>
        <w:spacing w:after="5" w:line="271" w:lineRule="auto"/>
        <w:ind w:left="9" w:right="64"/>
        <w:jc w:val="both"/>
      </w:pPr>
      <w:r>
        <w:rPr>
          <w:rFonts w:ascii="Times New Roman" w:eastAsia="Times New Roman" w:hAnsi="Times New Roman" w:cs="Times New Roman"/>
          <w:sz w:val="28"/>
        </w:rPr>
        <w:t>are combined and strengthened to solve a complex task, and one or more robots can fail without affecting the completion of the</w:t>
      </w:r>
      <w:r>
        <w:rPr>
          <w:rFonts w:ascii="Times New Roman" w:eastAsia="Times New Roman" w:hAnsi="Times New Roman" w:cs="Times New Roman"/>
          <w:sz w:val="28"/>
        </w:rPr>
        <w:t xml:space="preserve"> task. </w:t>
      </w:r>
    </w:p>
    <w:p w:rsidR="0052701D" w:rsidRDefault="00D40929">
      <w:pPr>
        <w:spacing w:after="5" w:line="271" w:lineRule="auto"/>
        <w:ind w:left="9" w:right="64" w:firstLine="711"/>
        <w:jc w:val="both"/>
      </w:pPr>
      <w:r>
        <w:rPr>
          <w:rFonts w:ascii="Times New Roman" w:eastAsia="Times New Roman" w:hAnsi="Times New Roman" w:cs="Times New Roman"/>
          <w:b/>
          <w:sz w:val="28"/>
        </w:rPr>
        <w:t xml:space="preserve">Conclusion. </w:t>
      </w:r>
      <w:r>
        <w:rPr>
          <w:rFonts w:ascii="Times New Roman" w:eastAsia="Times New Roman" w:hAnsi="Times New Roman" w:cs="Times New Roman"/>
          <w:sz w:val="28"/>
        </w:rPr>
        <w:t>As a result, the concept of a group robotics system is considered, including the definition, main characteristics, some advantages over a single robot system, the structure of a group robot control system, as well as the use of group ro</w:t>
      </w:r>
      <w:r>
        <w:rPr>
          <w:rFonts w:ascii="Times New Roman" w:eastAsia="Times New Roman" w:hAnsi="Times New Roman" w:cs="Times New Roman"/>
          <w:sz w:val="28"/>
        </w:rPr>
        <w:t>botics in the fields of industry, agriculture, search and rescue operations, etc. The analysis of existing methods of trajectory planning using visual information from the drone. The shortcomings of trajectory planning using the only information received o</w:t>
      </w:r>
      <w:r>
        <w:rPr>
          <w:rFonts w:ascii="Times New Roman" w:eastAsia="Times New Roman" w:hAnsi="Times New Roman" w:cs="Times New Roman"/>
          <w:sz w:val="28"/>
        </w:rPr>
        <w:t xml:space="preserve">nly from the drone are revealed. The review of existing management methods is carried out. </w:t>
      </w:r>
    </w:p>
    <w:p w:rsidR="0052701D" w:rsidRDefault="00D40929">
      <w:pPr>
        <w:spacing w:after="9"/>
      </w:pPr>
      <w:r>
        <w:rPr>
          <w:rFonts w:ascii="Times New Roman" w:eastAsia="Times New Roman" w:hAnsi="Times New Roman" w:cs="Times New Roman"/>
          <w:sz w:val="21"/>
        </w:rPr>
        <w:t xml:space="preserve"> </w:t>
      </w:r>
    </w:p>
    <w:p w:rsidR="0052701D" w:rsidRDefault="00D40929">
      <w:pPr>
        <w:spacing w:after="4" w:line="245" w:lineRule="auto"/>
        <w:ind w:left="-15" w:right="469" w:firstLine="4629"/>
      </w:pPr>
      <w:r>
        <w:rPr>
          <w:rFonts w:ascii="Times New Roman" w:eastAsia="Times New Roman" w:hAnsi="Times New Roman" w:cs="Times New Roman"/>
          <w:b/>
          <w:sz w:val="24"/>
        </w:rPr>
        <w:t xml:space="preserve">References: </w:t>
      </w:r>
      <w:r>
        <w:rPr>
          <w:rFonts w:ascii="Times New Roman" w:eastAsia="Times New Roman" w:hAnsi="Times New Roman" w:cs="Times New Roman"/>
          <w:sz w:val="24"/>
        </w:rPr>
        <w:t xml:space="preserve">[1] Erol §ahin. Swarm Robotics: From Sources of Inspiration to Domains of Application //In: §ahin E., Spears W.M. (eds) Swarm Robotics. Lecture Notes </w:t>
      </w:r>
      <w:r>
        <w:rPr>
          <w:rFonts w:ascii="Times New Roman" w:eastAsia="Times New Roman" w:hAnsi="Times New Roman" w:cs="Times New Roman"/>
          <w:sz w:val="24"/>
        </w:rPr>
        <w:t xml:space="preserve">in Computer Science. 2005. Vol.3342. P.10- 20. </w:t>
      </w:r>
    </w:p>
    <w:p w:rsidR="0052701D" w:rsidRDefault="00D40929">
      <w:pPr>
        <w:numPr>
          <w:ilvl w:val="0"/>
          <w:numId w:val="38"/>
        </w:numPr>
        <w:spacing w:after="29" w:line="248" w:lineRule="auto"/>
        <w:ind w:right="14" w:firstLine="711"/>
        <w:jc w:val="both"/>
      </w:pPr>
      <w:r>
        <w:rPr>
          <w:rFonts w:ascii="Times New Roman" w:eastAsia="Times New Roman" w:hAnsi="Times New Roman" w:cs="Times New Roman"/>
          <w:sz w:val="24"/>
        </w:rPr>
        <w:t xml:space="preserve">Aufar Zakiev, Tatyana Tsoy and Evgeni Magid. Swarm Robotics: Remarks on </w:t>
      </w:r>
    </w:p>
    <w:p w:rsidR="0052701D" w:rsidRDefault="00D40929">
      <w:pPr>
        <w:spacing w:after="0" w:line="248" w:lineRule="auto"/>
        <w:ind w:left="9" w:right="14"/>
        <w:jc w:val="both"/>
      </w:pPr>
      <w:r>
        <w:rPr>
          <w:rFonts w:ascii="Times New Roman" w:eastAsia="Times New Roman" w:hAnsi="Times New Roman" w:cs="Times New Roman"/>
          <w:sz w:val="24"/>
        </w:rPr>
        <w:t>Terminology and Classification // In: Ronzhin A., Rigoll G., Meshcheryakov R. (eds) Interactive Collaborative Robotics. Lecture Notes i</w:t>
      </w:r>
      <w:r>
        <w:rPr>
          <w:rFonts w:ascii="Times New Roman" w:eastAsia="Times New Roman" w:hAnsi="Times New Roman" w:cs="Times New Roman"/>
          <w:sz w:val="24"/>
        </w:rPr>
        <w:t xml:space="preserve">n Computer Science. 2018. Vol 11097. P.291-299. </w:t>
      </w:r>
    </w:p>
    <w:p w:rsidR="0052701D" w:rsidRDefault="00D40929">
      <w:pPr>
        <w:numPr>
          <w:ilvl w:val="0"/>
          <w:numId w:val="38"/>
        </w:numPr>
        <w:spacing w:after="0" w:line="248" w:lineRule="auto"/>
        <w:ind w:right="14" w:firstLine="711"/>
        <w:jc w:val="both"/>
      </w:pPr>
      <w:r>
        <w:rPr>
          <w:rFonts w:ascii="Times New Roman" w:eastAsia="Times New Roman" w:hAnsi="Times New Roman" w:cs="Times New Roman"/>
          <w:sz w:val="24"/>
        </w:rPr>
        <w:t>L. Chaimowicz, B. Grocholsky, J.F. Keller, Vijay Kumar, C.J. Taylor. Experiments in multi- robot air-</w:t>
      </w:r>
      <w:r>
        <w:rPr>
          <w:rFonts w:ascii="Times New Roman" w:eastAsia="Times New Roman" w:hAnsi="Times New Roman" w:cs="Times New Roman"/>
          <w:sz w:val="24"/>
        </w:rPr>
        <w:t xml:space="preserve">ground coordination // IEEE International Conference on Robotics and Automation, New Orleans, LA, USA. 2004. P.4053-4058. </w:t>
      </w:r>
    </w:p>
    <w:p w:rsidR="0052701D" w:rsidRDefault="00D40929">
      <w:pPr>
        <w:numPr>
          <w:ilvl w:val="0"/>
          <w:numId w:val="38"/>
        </w:numPr>
        <w:spacing w:after="0" w:line="248" w:lineRule="auto"/>
        <w:ind w:right="14" w:firstLine="711"/>
        <w:jc w:val="both"/>
      </w:pPr>
      <w:r>
        <w:rPr>
          <w:rFonts w:ascii="Times New Roman" w:eastAsia="Times New Roman" w:hAnsi="Times New Roman" w:cs="Times New Roman"/>
          <w:sz w:val="24"/>
        </w:rPr>
        <w:t>Wolfram Burgard, Mark Moors, Dieter Fox, Reid Simmons, and Sebastian Thrun. Collaborative multi-robot exploration // Proceedings 2000</w:t>
      </w:r>
      <w:r>
        <w:rPr>
          <w:rFonts w:ascii="Times New Roman" w:eastAsia="Times New Roman" w:hAnsi="Times New Roman" w:cs="Times New Roman"/>
          <w:sz w:val="24"/>
        </w:rPr>
        <w:t xml:space="preserve"> ICRA. IEEE International Conference on Robotics and Automation, San Francisco, CA, USA. 2000. P.476-481. </w:t>
      </w:r>
    </w:p>
    <w:p w:rsidR="0052701D" w:rsidRDefault="00D40929">
      <w:pPr>
        <w:numPr>
          <w:ilvl w:val="0"/>
          <w:numId w:val="38"/>
        </w:numPr>
        <w:spacing w:after="0" w:line="248" w:lineRule="auto"/>
        <w:ind w:right="14" w:firstLine="711"/>
        <w:jc w:val="both"/>
      </w:pPr>
      <w:r>
        <w:rPr>
          <w:rFonts w:ascii="Times New Roman" w:eastAsia="Times New Roman" w:hAnsi="Times New Roman" w:cs="Times New Roman"/>
          <w:sz w:val="24"/>
        </w:rPr>
        <w:t>Jens Wawerla and Richard T. Vaughan. A fast and frugal method for team-task allocation in a multi-robot transportation system // IEEE International C</w:t>
      </w:r>
      <w:r>
        <w:rPr>
          <w:rFonts w:ascii="Times New Roman" w:eastAsia="Times New Roman" w:hAnsi="Times New Roman" w:cs="Times New Roman"/>
          <w:sz w:val="24"/>
        </w:rPr>
        <w:t xml:space="preserve">onference on Robotics and Automation, Anchorage, AK, USA. 2010. P.1432-1437. </w:t>
      </w:r>
    </w:p>
    <w:p w:rsidR="0052701D" w:rsidRDefault="00D40929">
      <w:pPr>
        <w:spacing w:after="0"/>
      </w:pPr>
      <w:r>
        <w:rPr>
          <w:rFonts w:ascii="Times New Roman" w:eastAsia="Times New Roman" w:hAnsi="Times New Roman" w:cs="Times New Roman"/>
          <w:sz w:val="24"/>
        </w:rPr>
        <w:t xml:space="preserve"> </w:t>
      </w:r>
    </w:p>
    <w:p w:rsidR="0052701D" w:rsidRDefault="00D40929">
      <w:pPr>
        <w:spacing w:after="24"/>
      </w:pPr>
      <w:r>
        <w:rPr>
          <w:rFonts w:ascii="Times New Roman" w:eastAsia="Times New Roman" w:hAnsi="Times New Roman" w:cs="Times New Roman"/>
          <w:sz w:val="24"/>
        </w:rPr>
        <w:t xml:space="preserve"> </w:t>
      </w:r>
    </w:p>
    <w:p w:rsidR="0052701D" w:rsidRDefault="00D40929">
      <w:pPr>
        <w:spacing w:after="29" w:line="248" w:lineRule="auto"/>
        <w:ind w:left="9" w:right="14"/>
        <w:jc w:val="both"/>
      </w:pPr>
      <w:r>
        <w:rPr>
          <w:rFonts w:ascii="Times New Roman" w:eastAsia="Times New Roman" w:hAnsi="Times New Roman" w:cs="Times New Roman"/>
          <w:sz w:val="24"/>
        </w:rPr>
        <w:t xml:space="preserve">МРНТИ 55.30.31, </w:t>
      </w:r>
    </w:p>
    <w:p w:rsidR="0052701D" w:rsidRDefault="00D40929">
      <w:pPr>
        <w:spacing w:after="29" w:line="248" w:lineRule="auto"/>
        <w:ind w:left="9" w:right="14"/>
        <w:jc w:val="both"/>
      </w:pPr>
      <w:r>
        <w:rPr>
          <w:rFonts w:ascii="Times New Roman" w:eastAsia="Times New Roman" w:hAnsi="Times New Roman" w:cs="Times New Roman"/>
          <w:sz w:val="24"/>
        </w:rPr>
        <w:t xml:space="preserve">УДК 621 </w:t>
      </w:r>
    </w:p>
    <w:p w:rsidR="0052701D" w:rsidRDefault="00D40929">
      <w:pPr>
        <w:spacing w:after="0"/>
      </w:pPr>
      <w:r>
        <w:rPr>
          <w:rFonts w:ascii="Times New Roman" w:eastAsia="Times New Roman" w:hAnsi="Times New Roman" w:cs="Times New Roman"/>
          <w:sz w:val="28"/>
        </w:rPr>
        <w:t xml:space="preserve"> </w:t>
      </w:r>
    </w:p>
    <w:p w:rsidR="0052701D" w:rsidRDefault="00D40929">
      <w:pPr>
        <w:pStyle w:val="1"/>
        <w:ind w:left="173" w:right="212"/>
      </w:pPr>
      <w:r>
        <w:t xml:space="preserve">МОДЕЛИРОВАНИЕ МЕХАНИЗМА ПАНТОГРАФА,  </w:t>
      </w:r>
    </w:p>
    <w:p w:rsidR="0052701D" w:rsidRDefault="00D40929">
      <w:pPr>
        <w:spacing w:after="5" w:line="271" w:lineRule="auto"/>
        <w:ind w:left="173" w:right="212" w:hanging="10"/>
        <w:jc w:val="center"/>
      </w:pPr>
      <w:r>
        <w:rPr>
          <w:rFonts w:ascii="Times New Roman" w:eastAsia="Times New Roman" w:hAnsi="Times New Roman" w:cs="Times New Roman"/>
          <w:b/>
          <w:sz w:val="28"/>
        </w:rPr>
        <w:t xml:space="preserve">ВЗАИМОДЕЙСТВУЮЩЕГО С ОКРУЖАЮЩЕЙ СРЕДОЙ  </w:t>
      </w:r>
    </w:p>
    <w:p w:rsidR="0052701D" w:rsidRDefault="00D40929">
      <w:pPr>
        <w:spacing w:after="0"/>
        <w:ind w:left="31"/>
        <w:jc w:val="center"/>
      </w:pPr>
      <w:r>
        <w:rPr>
          <w:rFonts w:ascii="Times New Roman" w:eastAsia="Times New Roman" w:hAnsi="Times New Roman" w:cs="Times New Roman"/>
          <w:b/>
          <w:sz w:val="28"/>
        </w:rPr>
        <w:t xml:space="preserve"> </w:t>
      </w:r>
    </w:p>
    <w:p w:rsidR="0052701D" w:rsidRDefault="00D40929">
      <w:pPr>
        <w:spacing w:after="14" w:line="248" w:lineRule="auto"/>
        <w:ind w:left="713" w:right="749" w:hanging="5"/>
        <w:jc w:val="center"/>
      </w:pPr>
      <w:r>
        <w:rPr>
          <w:rFonts w:ascii="Times New Roman" w:eastAsia="Times New Roman" w:hAnsi="Times New Roman" w:cs="Times New Roman"/>
          <w:sz w:val="24"/>
        </w:rPr>
        <w:t>Азилкияшева Маржан Мухтарбековна</w:t>
      </w:r>
      <w:r>
        <w:rPr>
          <w:rFonts w:ascii="Times New Roman" w:eastAsia="Times New Roman" w:hAnsi="Times New Roman" w:cs="Times New Roman"/>
          <w:b/>
          <w:sz w:val="24"/>
          <w:vertAlign w:val="superscript"/>
        </w:rPr>
        <w:t>1</w:t>
      </w:r>
      <w:r>
        <w:rPr>
          <w:rFonts w:ascii="Times New Roman" w:eastAsia="Times New Roman" w:hAnsi="Times New Roman" w:cs="Times New Roman"/>
          <w:sz w:val="24"/>
        </w:rPr>
        <w:t>, Совет Aйгерим Бериккызы</w:t>
      </w:r>
      <w:r>
        <w:rPr>
          <w:rFonts w:ascii="Times New Roman" w:eastAsia="Times New Roman" w:hAnsi="Times New Roman" w:cs="Times New Roman"/>
          <w:b/>
          <w:sz w:val="24"/>
          <w:vertAlign w:val="superscript"/>
        </w:rPr>
        <w:t>2</w:t>
      </w:r>
      <w:r>
        <w:rPr>
          <w:rFonts w:ascii="Times New Roman" w:eastAsia="Times New Roman" w:hAnsi="Times New Roman" w:cs="Times New Roman"/>
          <w:sz w:val="24"/>
        </w:rPr>
        <w:t xml:space="preserve"> </w:t>
      </w:r>
    </w:p>
    <w:p w:rsidR="0052701D" w:rsidRDefault="00D40929">
      <w:pPr>
        <w:spacing w:after="29" w:line="248" w:lineRule="auto"/>
        <w:ind w:left="221" w:right="14"/>
        <w:jc w:val="both"/>
      </w:pPr>
      <w:r>
        <w:rPr>
          <w:rFonts w:ascii="Times New Roman" w:eastAsia="Times New Roman" w:hAnsi="Times New Roman" w:cs="Times New Roman"/>
          <w:sz w:val="24"/>
        </w:rPr>
        <w:lastRenderedPageBreak/>
        <w:t xml:space="preserve">НАО </w:t>
      </w:r>
      <w:r>
        <w:rPr>
          <w:rFonts w:ascii="Times New Roman" w:eastAsia="Times New Roman" w:hAnsi="Times New Roman" w:cs="Times New Roman"/>
          <w:sz w:val="24"/>
        </w:rPr>
        <w:t xml:space="preserve">«Алматинский университет энергетики и связи им.Гумарбека Даукеева» г. Алматы, </w:t>
      </w:r>
    </w:p>
    <w:p w:rsidR="0052701D" w:rsidRDefault="00D40929">
      <w:pPr>
        <w:spacing w:after="14" w:line="248" w:lineRule="auto"/>
        <w:ind w:left="713" w:right="755" w:hanging="5"/>
        <w:jc w:val="center"/>
      </w:pPr>
      <w:r>
        <w:rPr>
          <w:rFonts w:ascii="Times New Roman" w:eastAsia="Times New Roman" w:hAnsi="Times New Roman" w:cs="Times New Roman"/>
          <w:sz w:val="24"/>
        </w:rPr>
        <w:t xml:space="preserve">Республика Казахстан   </w:t>
      </w:r>
    </w:p>
    <w:p w:rsidR="0052701D" w:rsidRDefault="00D40929">
      <w:pPr>
        <w:spacing w:after="0"/>
        <w:ind w:left="10" w:right="43" w:hanging="10"/>
        <w:jc w:val="center"/>
      </w:pPr>
      <w:r>
        <w:rPr>
          <w:rFonts w:ascii="Times New Roman" w:eastAsia="Times New Roman" w:hAnsi="Times New Roman" w:cs="Times New Roman"/>
          <w:color w:val="1155CC"/>
          <w:sz w:val="24"/>
          <w:u w:val="single" w:color="1155CC"/>
        </w:rPr>
        <w:t>m.azilkiyasheva@aues.kz</w:t>
      </w:r>
      <w:r>
        <w:rPr>
          <w:rFonts w:ascii="Times New Roman" w:eastAsia="Times New Roman" w:hAnsi="Times New Roman" w:cs="Times New Roman"/>
          <w:sz w:val="24"/>
          <w:u w:val="single" w:color="1155CC"/>
        </w:rPr>
        <w:t xml:space="preserve">, </w:t>
      </w:r>
      <w:r>
        <w:rPr>
          <w:rFonts w:ascii="Times New Roman" w:eastAsia="Times New Roman" w:hAnsi="Times New Roman" w:cs="Times New Roman"/>
          <w:color w:val="1155CC"/>
          <w:sz w:val="24"/>
          <w:u w:val="single" w:color="1155CC"/>
        </w:rPr>
        <w:t>a.sovet@aues.kz</w:t>
      </w:r>
      <w:r>
        <w:rPr>
          <w:rFonts w:ascii="Times New Roman" w:eastAsia="Times New Roman" w:hAnsi="Times New Roman" w:cs="Times New Roman"/>
          <w:sz w:val="24"/>
        </w:rPr>
        <w:t xml:space="preserve">  </w:t>
      </w:r>
    </w:p>
    <w:p w:rsidR="0052701D" w:rsidRDefault="00D40929">
      <w:pPr>
        <w:spacing w:after="0"/>
      </w:pPr>
      <w:r>
        <w:rPr>
          <w:rFonts w:ascii="Times New Roman" w:eastAsia="Times New Roman" w:hAnsi="Times New Roman" w:cs="Times New Roman"/>
          <w:sz w:val="24"/>
        </w:rPr>
        <w:t xml:space="preserve">  </w:t>
      </w:r>
    </w:p>
    <w:p w:rsidR="0052701D" w:rsidRDefault="00D40929">
      <w:pPr>
        <w:spacing w:after="0" w:line="248" w:lineRule="auto"/>
        <w:ind w:left="9" w:firstLine="711"/>
        <w:jc w:val="both"/>
      </w:pPr>
      <w:r>
        <w:rPr>
          <w:rFonts w:ascii="Times New Roman" w:eastAsia="Times New Roman" w:hAnsi="Times New Roman" w:cs="Times New Roman"/>
          <w:b/>
          <w:i/>
          <w:sz w:val="24"/>
        </w:rPr>
        <w:t xml:space="preserve">Аннотация. </w:t>
      </w:r>
      <w:r>
        <w:rPr>
          <w:rFonts w:ascii="Times New Roman" w:eastAsia="Times New Roman" w:hAnsi="Times New Roman" w:cs="Times New Roman"/>
          <w:i/>
          <w:sz w:val="24"/>
        </w:rPr>
        <w:t>Механизм пантографа длительное время употреблялся в чертежных автомашинах. Для управления траекторией итогового эффектором  требуется система ведения, которая может принимать помехи, влияющие на конечный инструментарий. Данная статья посвящена тематическом</w:t>
      </w:r>
      <w:r>
        <w:rPr>
          <w:rFonts w:ascii="Times New Roman" w:eastAsia="Times New Roman" w:hAnsi="Times New Roman" w:cs="Times New Roman"/>
          <w:i/>
          <w:sz w:val="24"/>
        </w:rPr>
        <w:t xml:space="preserve">у исследованию моделирования механизма пантографа. Математическая модель вначале удаётся и подтверждается путем сравнения ее отклика с откликом иной количественной модели MATLAB / Simscape.  </w:t>
      </w:r>
    </w:p>
    <w:p w:rsidR="0052701D" w:rsidRDefault="00D40929">
      <w:pPr>
        <w:spacing w:after="1" w:line="248" w:lineRule="auto"/>
        <w:ind w:left="9" w:firstLine="711"/>
        <w:jc w:val="both"/>
      </w:pPr>
      <w:r>
        <w:rPr>
          <w:rFonts w:ascii="Times New Roman" w:eastAsia="Times New Roman" w:hAnsi="Times New Roman" w:cs="Times New Roman"/>
          <w:i/>
          <w:sz w:val="24"/>
        </w:rPr>
        <w:t>Вскоре для управления углами наклона пантографа при взаимодейств</w:t>
      </w:r>
      <w:r>
        <w:rPr>
          <w:rFonts w:ascii="Times New Roman" w:eastAsia="Times New Roman" w:hAnsi="Times New Roman" w:cs="Times New Roman"/>
          <w:i/>
          <w:sz w:val="24"/>
        </w:rPr>
        <w:t>ии с окружающей средой применялся автоматически настраиваемый ПИД-контроллер. Эффекты показали удачное отслеживание для опорного сигнал. Анализ зависит от главных уравнении управления итоговым эффектором. Значит, иные вычисления непосредственно задают неза</w:t>
      </w:r>
      <w:r>
        <w:rPr>
          <w:rFonts w:ascii="Times New Roman" w:eastAsia="Times New Roman" w:hAnsi="Times New Roman" w:cs="Times New Roman"/>
          <w:i/>
          <w:sz w:val="24"/>
        </w:rPr>
        <w:t xml:space="preserve">висимые углы связей. Эти углы будут полезны для контроля положения конечного исполнительного механизма в режиме конкретного времени, что требуется в нынешних промышленных роботах. </w:t>
      </w:r>
    </w:p>
    <w:p w:rsidR="0052701D" w:rsidRDefault="00D40929">
      <w:pPr>
        <w:spacing w:after="184" w:line="248" w:lineRule="auto"/>
        <w:ind w:left="9" w:firstLine="711"/>
        <w:jc w:val="both"/>
      </w:pP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 xml:space="preserve"> Пантограф, моделирование MATLAB/Simscape, манипулятор, меха</w:t>
      </w:r>
      <w:r>
        <w:rPr>
          <w:rFonts w:ascii="Times New Roman" w:eastAsia="Times New Roman" w:hAnsi="Times New Roman" w:cs="Times New Roman"/>
          <w:i/>
          <w:sz w:val="24"/>
        </w:rPr>
        <w:t xml:space="preserve">низм, пид-регулятор, шарнир, углы звеньев. </w:t>
      </w:r>
    </w:p>
    <w:p w:rsidR="0052701D" w:rsidRDefault="00D40929">
      <w:pPr>
        <w:spacing w:after="223"/>
        <w:ind w:left="706"/>
      </w:pPr>
      <w:r>
        <w:rPr>
          <w:rFonts w:ascii="Times New Roman" w:eastAsia="Times New Roman" w:hAnsi="Times New Roman" w:cs="Times New Roman"/>
          <w:i/>
          <w:sz w:val="24"/>
        </w:rPr>
        <w:t xml:space="preserve"> </w:t>
      </w:r>
    </w:p>
    <w:p w:rsidR="0052701D" w:rsidRDefault="00D40929">
      <w:pPr>
        <w:spacing w:after="5" w:line="271" w:lineRule="auto"/>
        <w:ind w:left="331" w:firstLine="9"/>
      </w:pPr>
      <w:r>
        <w:rPr>
          <w:rFonts w:ascii="Times New Roman" w:eastAsia="Times New Roman" w:hAnsi="Times New Roman" w:cs="Times New Roman"/>
          <w:b/>
          <w:sz w:val="28"/>
        </w:rPr>
        <w:t xml:space="preserve">SIMULATION OF THE PANTOGRAPH MECHANISM INTERACTING WITH THE ENVIRONMENT </w:t>
      </w:r>
    </w:p>
    <w:p w:rsidR="0052701D" w:rsidRDefault="00D40929">
      <w:pPr>
        <w:spacing w:after="0"/>
        <w:ind w:left="21"/>
        <w:jc w:val="center"/>
      </w:pPr>
      <w:r>
        <w:rPr>
          <w:rFonts w:ascii="Times New Roman" w:eastAsia="Times New Roman" w:hAnsi="Times New Roman" w:cs="Times New Roman"/>
          <w:b/>
          <w:sz w:val="24"/>
        </w:rPr>
        <w:t xml:space="preserve"> </w:t>
      </w:r>
    </w:p>
    <w:p w:rsidR="0052701D" w:rsidRDefault="00D40929">
      <w:pPr>
        <w:spacing w:after="14" w:line="248" w:lineRule="auto"/>
        <w:ind w:left="713" w:right="758" w:hanging="5"/>
        <w:jc w:val="center"/>
      </w:pPr>
      <w:r>
        <w:rPr>
          <w:rFonts w:ascii="Times New Roman" w:eastAsia="Times New Roman" w:hAnsi="Times New Roman" w:cs="Times New Roman"/>
          <w:sz w:val="24"/>
        </w:rPr>
        <w:t>Azilkiyasheva Marzhan Mukhtarbekovna</w:t>
      </w:r>
      <w:r>
        <w:rPr>
          <w:rFonts w:ascii="Times New Roman" w:eastAsia="Times New Roman" w:hAnsi="Times New Roman" w:cs="Times New Roman"/>
          <w:b/>
          <w:sz w:val="24"/>
          <w:vertAlign w:val="superscript"/>
        </w:rPr>
        <w:t>1</w:t>
      </w:r>
      <w:r>
        <w:rPr>
          <w:rFonts w:ascii="Times New Roman" w:eastAsia="Times New Roman" w:hAnsi="Times New Roman" w:cs="Times New Roman"/>
          <w:sz w:val="24"/>
        </w:rPr>
        <w:t xml:space="preserve"> </w:t>
      </w:r>
    </w:p>
    <w:p w:rsidR="0052701D" w:rsidRDefault="00D40929">
      <w:pPr>
        <w:spacing w:after="14" w:line="248" w:lineRule="auto"/>
        <w:ind w:left="713" w:right="758" w:hanging="5"/>
        <w:jc w:val="center"/>
      </w:pPr>
      <w:r>
        <w:rPr>
          <w:rFonts w:ascii="Times New Roman" w:eastAsia="Times New Roman" w:hAnsi="Times New Roman" w:cs="Times New Roman"/>
          <w:sz w:val="24"/>
        </w:rPr>
        <w:t>Sovet  Aigerim Berikkyzy</w:t>
      </w:r>
      <w:r>
        <w:rPr>
          <w:rFonts w:ascii="Times New Roman" w:eastAsia="Times New Roman" w:hAnsi="Times New Roman" w:cs="Times New Roman"/>
          <w:b/>
          <w:sz w:val="24"/>
          <w:vertAlign w:val="superscript"/>
        </w:rPr>
        <w:t>2</w:t>
      </w:r>
      <w:r>
        <w:rPr>
          <w:rFonts w:ascii="Times New Roman" w:eastAsia="Times New Roman" w:hAnsi="Times New Roman" w:cs="Times New Roman"/>
          <w:sz w:val="24"/>
        </w:rPr>
        <w:t xml:space="preserve"> </w:t>
      </w:r>
    </w:p>
    <w:p w:rsidR="0052701D" w:rsidRDefault="00D40929">
      <w:pPr>
        <w:spacing w:after="14" w:line="248" w:lineRule="auto"/>
        <w:ind w:left="1292" w:right="1199" w:hanging="5"/>
        <w:jc w:val="center"/>
      </w:pPr>
      <w:r>
        <w:rPr>
          <w:rFonts w:ascii="Times New Roman" w:eastAsia="Times New Roman" w:hAnsi="Times New Roman" w:cs="Times New Roman"/>
          <w:sz w:val="24"/>
        </w:rPr>
        <w:t xml:space="preserve">Almaty University of Power Engineering and Telecommunications  </w:t>
      </w:r>
      <w:r>
        <w:rPr>
          <w:rFonts w:ascii="Times New Roman" w:eastAsia="Times New Roman" w:hAnsi="Times New Roman" w:cs="Times New Roman"/>
          <w:sz w:val="24"/>
        </w:rPr>
        <w:t xml:space="preserve">named after Gumarbek Daukeev, Almaty,  Republic of Kazakhstan </w:t>
      </w:r>
    </w:p>
    <w:p w:rsidR="0052701D" w:rsidRDefault="00D40929">
      <w:pPr>
        <w:spacing w:after="0"/>
        <w:ind w:left="10" w:right="39" w:hanging="10"/>
        <w:jc w:val="center"/>
      </w:pPr>
      <w:r>
        <w:rPr>
          <w:rFonts w:ascii="Times New Roman" w:eastAsia="Times New Roman" w:hAnsi="Times New Roman" w:cs="Times New Roman"/>
          <w:sz w:val="24"/>
          <w:u w:val="single" w:color="1155CC"/>
        </w:rPr>
        <w:t xml:space="preserve"> </w:t>
      </w:r>
      <w:r>
        <w:rPr>
          <w:rFonts w:ascii="Times New Roman" w:eastAsia="Times New Roman" w:hAnsi="Times New Roman" w:cs="Times New Roman"/>
          <w:color w:val="1155CC"/>
          <w:sz w:val="24"/>
          <w:u w:val="single" w:color="1155CC"/>
        </w:rPr>
        <w:t>m.azilkiyasheva@aues.kz</w:t>
      </w:r>
      <w:r>
        <w:rPr>
          <w:rFonts w:ascii="Times New Roman" w:eastAsia="Times New Roman" w:hAnsi="Times New Roman" w:cs="Times New Roman"/>
          <w:sz w:val="24"/>
          <w:u w:val="single" w:color="1155CC"/>
        </w:rPr>
        <w:t xml:space="preserve">, </w:t>
      </w:r>
      <w:r>
        <w:rPr>
          <w:rFonts w:ascii="Times New Roman" w:eastAsia="Times New Roman" w:hAnsi="Times New Roman" w:cs="Times New Roman"/>
          <w:color w:val="1155CC"/>
          <w:sz w:val="24"/>
          <w:u w:val="single" w:color="1155CC"/>
        </w:rPr>
        <w:t>a.sovet@aues.kz</w:t>
      </w:r>
      <w:r>
        <w:rPr>
          <w:rFonts w:ascii="Times New Roman" w:eastAsia="Times New Roman" w:hAnsi="Times New Roman" w:cs="Times New Roman"/>
          <w:sz w:val="24"/>
        </w:rPr>
        <w:t xml:space="preserve">  </w:t>
      </w:r>
    </w:p>
    <w:p w:rsidR="0052701D" w:rsidRDefault="00D40929">
      <w:pPr>
        <w:spacing w:after="0"/>
        <w:ind w:left="141"/>
        <w:jc w:val="center"/>
      </w:pPr>
      <w:r>
        <w:rPr>
          <w:rFonts w:ascii="Times New Roman" w:eastAsia="Times New Roman" w:hAnsi="Times New Roman" w:cs="Times New Roman"/>
          <w:sz w:val="24"/>
        </w:rPr>
        <w:t xml:space="preserve">   </w:t>
      </w:r>
    </w:p>
    <w:p w:rsidR="0052701D" w:rsidRDefault="00D40929">
      <w:pPr>
        <w:spacing w:after="0" w:line="248" w:lineRule="auto"/>
        <w:ind w:left="9" w:right="14" w:firstLine="711"/>
        <w:jc w:val="both"/>
      </w:pPr>
      <w:r>
        <w:rPr>
          <w:rFonts w:ascii="Times New Roman" w:eastAsia="Times New Roman" w:hAnsi="Times New Roman" w:cs="Times New Roman"/>
          <w:b/>
          <w:sz w:val="24"/>
        </w:rPr>
        <w:t xml:space="preserve">Annotation. </w:t>
      </w:r>
      <w:r>
        <w:rPr>
          <w:rFonts w:ascii="Times New Roman" w:eastAsia="Times New Roman" w:hAnsi="Times New Roman" w:cs="Times New Roman"/>
          <w:sz w:val="24"/>
        </w:rPr>
        <w:t>The pantograph mechanism has been used for a long time in drawing cars. To control the trajectory of the final effector, a guidance s</w:t>
      </w:r>
      <w:r>
        <w:rPr>
          <w:rFonts w:ascii="Times New Roman" w:eastAsia="Times New Roman" w:hAnsi="Times New Roman" w:cs="Times New Roman"/>
          <w:sz w:val="24"/>
        </w:rPr>
        <w:t>ystem is required that can receive interference affecting the final instrumentation. This article is devoted to a case study of modeling the pantograph mechanism. The mathematical model is initially successful and confirmed by comparing its response with t</w:t>
      </w:r>
      <w:r>
        <w:rPr>
          <w:rFonts w:ascii="Times New Roman" w:eastAsia="Times New Roman" w:hAnsi="Times New Roman" w:cs="Times New Roman"/>
          <w:sz w:val="24"/>
        </w:rPr>
        <w:t xml:space="preserve">he response of another quantitative MATLAB/Simscape model. </w:t>
      </w:r>
    </w:p>
    <w:p w:rsidR="0052701D" w:rsidRDefault="00D40929">
      <w:pPr>
        <w:spacing w:after="0" w:line="248" w:lineRule="auto"/>
        <w:ind w:left="9" w:right="14" w:firstLine="711"/>
        <w:jc w:val="both"/>
      </w:pPr>
      <w:r>
        <w:rPr>
          <w:rFonts w:ascii="Times New Roman" w:eastAsia="Times New Roman" w:hAnsi="Times New Roman" w:cs="Times New Roman"/>
          <w:sz w:val="24"/>
        </w:rPr>
        <w:t>Soon, an automatically configurable PID controller was used to control the tilt angles of the pantograph when interacting with the environment. The effects showed successful tracking for the refer</w:t>
      </w:r>
      <w:r>
        <w:rPr>
          <w:rFonts w:ascii="Times New Roman" w:eastAsia="Times New Roman" w:hAnsi="Times New Roman" w:cs="Times New Roman"/>
          <w:sz w:val="24"/>
        </w:rPr>
        <w:t>ence signal. The analysis depends on the main control equations of the final effector. This means that other calculations directly define independent bond angles. These angles will be useful for monitoring the position of the final actuator in a specific t</w:t>
      </w:r>
      <w:r>
        <w:rPr>
          <w:rFonts w:ascii="Times New Roman" w:eastAsia="Times New Roman" w:hAnsi="Times New Roman" w:cs="Times New Roman"/>
          <w:sz w:val="24"/>
        </w:rPr>
        <w:t xml:space="preserve">ime mode, which is required in current industrial robots. </w:t>
      </w:r>
    </w:p>
    <w:p w:rsidR="0052701D" w:rsidRDefault="00D40929">
      <w:pPr>
        <w:spacing w:after="5"/>
        <w:ind w:left="10" w:right="21" w:hanging="10"/>
        <w:jc w:val="right"/>
      </w:pPr>
      <w:r>
        <w:rPr>
          <w:rFonts w:ascii="Times New Roman" w:eastAsia="Times New Roman" w:hAnsi="Times New Roman" w:cs="Times New Roman"/>
          <w:b/>
          <w:sz w:val="24"/>
        </w:rPr>
        <w:t xml:space="preserve">Keywords: </w:t>
      </w:r>
      <w:r>
        <w:rPr>
          <w:rFonts w:ascii="Times New Roman" w:eastAsia="Times New Roman" w:hAnsi="Times New Roman" w:cs="Times New Roman"/>
          <w:sz w:val="24"/>
        </w:rPr>
        <w:t xml:space="preserve">Pantograph, MATLAB/Simscape modeling, manipulator, mechanism,PID </w:t>
      </w:r>
    </w:p>
    <w:p w:rsidR="0052701D" w:rsidRDefault="00D40929">
      <w:pPr>
        <w:spacing w:after="29" w:line="248" w:lineRule="auto"/>
        <w:ind w:left="9" w:right="14"/>
        <w:jc w:val="both"/>
      </w:pPr>
      <w:r>
        <w:rPr>
          <w:rFonts w:ascii="Times New Roman" w:eastAsia="Times New Roman" w:hAnsi="Times New Roman" w:cs="Times New Roman"/>
          <w:sz w:val="24"/>
        </w:rPr>
        <w:t xml:space="preserve">controller, hinge, link angles </w:t>
      </w:r>
    </w:p>
    <w:p w:rsidR="0052701D" w:rsidRDefault="00D40929">
      <w:pPr>
        <w:spacing w:after="275"/>
        <w:ind w:left="706"/>
      </w:pPr>
      <w:r>
        <w:rPr>
          <w:rFonts w:ascii="Times New Roman" w:eastAsia="Times New Roman" w:hAnsi="Times New Roman" w:cs="Times New Roman"/>
          <w:i/>
          <w:sz w:val="24"/>
        </w:rPr>
        <w:t xml:space="preserve"> </w:t>
      </w:r>
    </w:p>
    <w:p w:rsidR="0052701D" w:rsidRDefault="00D40929">
      <w:pPr>
        <w:spacing w:after="5" w:line="251" w:lineRule="auto"/>
        <w:ind w:left="720" w:firstLine="9"/>
      </w:pPr>
      <w:r>
        <w:rPr>
          <w:rFonts w:ascii="Times New Roman" w:eastAsia="Times New Roman" w:hAnsi="Times New Roman" w:cs="Times New Roman"/>
          <w:b/>
          <w:sz w:val="28"/>
        </w:rPr>
        <w:t xml:space="preserve">Введение </w:t>
      </w:r>
    </w:p>
    <w:p w:rsidR="0052701D" w:rsidRDefault="00D40929">
      <w:pPr>
        <w:spacing w:after="0" w:line="248" w:lineRule="auto"/>
        <w:ind w:left="9" w:right="14" w:firstLine="711"/>
        <w:jc w:val="both"/>
      </w:pPr>
      <w:r>
        <w:rPr>
          <w:rFonts w:ascii="Times New Roman" w:eastAsia="Times New Roman" w:hAnsi="Times New Roman" w:cs="Times New Roman"/>
          <w:sz w:val="24"/>
        </w:rPr>
        <w:t>Роботизированные манипуляторы продуктивны при выборе, схеме и сборе объектов,</w:t>
      </w:r>
      <w:r>
        <w:rPr>
          <w:rFonts w:ascii="Times New Roman" w:eastAsia="Times New Roman" w:hAnsi="Times New Roman" w:cs="Times New Roman"/>
          <w:sz w:val="24"/>
        </w:rPr>
        <w:t xml:space="preserve"> а также при отслеживании перемещений. Что касается их кинематических систем, роботизированные манипуляторы всегда делятся на два типа, а именно последовательный и параллельный тип. Последовательный манипулятор представляет собой устройство в виде </w:t>
      </w:r>
      <w:r>
        <w:rPr>
          <w:rFonts w:ascii="Times New Roman" w:eastAsia="Times New Roman" w:hAnsi="Times New Roman" w:cs="Times New Roman"/>
          <w:sz w:val="24"/>
        </w:rPr>
        <w:lastRenderedPageBreak/>
        <w:t>серии зв</w:t>
      </w:r>
      <w:r>
        <w:rPr>
          <w:rFonts w:ascii="Times New Roman" w:eastAsia="Times New Roman" w:hAnsi="Times New Roman" w:cs="Times New Roman"/>
          <w:sz w:val="24"/>
        </w:rPr>
        <w:t>еньев, которые в основном объединены приводимыми в действие шарнирами, от основания до окончательного эффектора. В ссылке [1] ознакомляется связь манипулятора с пятью звеньями графическая модель. Однако он состоит из четырех поворотных шарниров, одного при</w:t>
      </w:r>
      <w:r>
        <w:rPr>
          <w:rFonts w:ascii="Times New Roman" w:eastAsia="Times New Roman" w:hAnsi="Times New Roman" w:cs="Times New Roman"/>
          <w:sz w:val="24"/>
        </w:rPr>
        <w:t>зматического шарнира и двух приводов, базовым двигателем является ведущий кривошип, а иной двигатель приводит в движение линейный силовой винт. Марголис и Карнопп исследовали модель графа связей пятизвенного механизма, однако в ней обсуждается только модел</w:t>
      </w:r>
      <w:r>
        <w:rPr>
          <w:rFonts w:ascii="Times New Roman" w:eastAsia="Times New Roman" w:hAnsi="Times New Roman" w:cs="Times New Roman"/>
          <w:sz w:val="24"/>
        </w:rPr>
        <w:t xml:space="preserve">ь построения механизма без кинематики или управления [2]. </w:t>
      </w:r>
    </w:p>
    <w:p w:rsidR="0052701D" w:rsidRDefault="00D40929">
      <w:pPr>
        <w:spacing w:after="4" w:line="248" w:lineRule="auto"/>
        <w:ind w:left="9" w:right="14" w:firstLine="711"/>
        <w:jc w:val="both"/>
      </w:pPr>
      <w:r>
        <w:rPr>
          <w:rFonts w:ascii="Times New Roman" w:eastAsia="Times New Roman" w:hAnsi="Times New Roman" w:cs="Times New Roman"/>
          <w:sz w:val="24"/>
        </w:rPr>
        <w:t>Многие приложения требуют высокой скорости и точности. Плоскостной манипулятор с пятью стержнями представляет собой относительно обыкновенной механизм и его кинематика ясны. Разумеется, его классиф</w:t>
      </w:r>
      <w:r>
        <w:rPr>
          <w:rFonts w:ascii="Times New Roman" w:eastAsia="Times New Roman" w:hAnsi="Times New Roman" w:cs="Times New Roman"/>
          <w:sz w:val="24"/>
        </w:rPr>
        <w:t xml:space="preserve">икациями являются высокая точность, низкая инерция и высокая скорость. Он имеет 2 степени свободы. </w:t>
      </w:r>
    </w:p>
    <w:p w:rsidR="0052701D" w:rsidRDefault="00D40929">
      <w:pPr>
        <w:spacing w:after="0" w:line="248" w:lineRule="auto"/>
        <w:ind w:left="9" w:right="14" w:firstLine="711"/>
        <w:jc w:val="both"/>
      </w:pPr>
      <w:r>
        <w:rPr>
          <w:rFonts w:ascii="Times New Roman" w:eastAsia="Times New Roman" w:hAnsi="Times New Roman" w:cs="Times New Roman"/>
          <w:sz w:val="24"/>
        </w:rPr>
        <w:t>Параллельный робот был показан и исследован десятилетия назад. Впервые они были использованы в качестве познавательных устройств в кинотеатрах и авиасимуляторах. В 1954 году Джеймс Э. Гвиннетт впервые разработал и узаконил сферический параллельный механизм</w:t>
      </w:r>
      <w:r>
        <w:rPr>
          <w:rFonts w:ascii="Times New Roman" w:eastAsia="Times New Roman" w:hAnsi="Times New Roman" w:cs="Times New Roman"/>
          <w:sz w:val="24"/>
        </w:rPr>
        <w:t xml:space="preserve"> [3]. Кроме того, для параллельных манипуляторов неточность в местоположении для каждого отдельного манипулятора является средним значением неточностей для всех манипуляторов и не накапливается. Роботизированные манипуляторы параллельного типа заключаются </w:t>
      </w:r>
      <w:r>
        <w:rPr>
          <w:rFonts w:ascii="Times New Roman" w:eastAsia="Times New Roman" w:hAnsi="Times New Roman" w:cs="Times New Roman"/>
          <w:sz w:val="24"/>
        </w:rPr>
        <w:t xml:space="preserve">в том, что они допускают лишь ограниченное рабочее пространство, требуют комбинированного кинематического анализа и очень трудны в управлении, что рассматривается недостатком параллельной робототехники [4]. </w:t>
      </w:r>
    </w:p>
    <w:p w:rsidR="0052701D" w:rsidRDefault="00D40929">
      <w:pPr>
        <w:spacing w:after="90" w:line="248" w:lineRule="auto"/>
        <w:ind w:left="9" w:right="14" w:firstLine="711"/>
        <w:jc w:val="both"/>
      </w:pPr>
      <w:r>
        <w:rPr>
          <w:rFonts w:ascii="Times New Roman" w:eastAsia="Times New Roman" w:hAnsi="Times New Roman" w:cs="Times New Roman"/>
          <w:sz w:val="24"/>
        </w:rPr>
        <w:t>Временная неполадка в канале связи является одно</w:t>
      </w:r>
      <w:r>
        <w:rPr>
          <w:rFonts w:ascii="Times New Roman" w:eastAsia="Times New Roman" w:hAnsi="Times New Roman" w:cs="Times New Roman"/>
          <w:sz w:val="24"/>
        </w:rPr>
        <w:t>й из весьма важных проблем, касающихся устойчивости робототехнических систем [5] и [6]. Робототехническая система "ведущий-ведомый" заключается из глобального робота, управляемого вручную, и удаленного робота-манипулятора. Два робота связь осуществляется п</w:t>
      </w:r>
      <w:r>
        <w:rPr>
          <w:rFonts w:ascii="Times New Roman" w:eastAsia="Times New Roman" w:hAnsi="Times New Roman" w:cs="Times New Roman"/>
          <w:sz w:val="24"/>
        </w:rPr>
        <w:t>о каналу связи, который может включать передачу данных с ограниченным комплектом или на большие расстояния между главным и подчиненным местоположениями [7]. Было выяснено, что стабильность только Pконтроллера меньше, чем у PD-подобного контроллера. Эммануэ</w:t>
      </w:r>
      <w:r>
        <w:rPr>
          <w:rFonts w:ascii="Times New Roman" w:eastAsia="Times New Roman" w:hAnsi="Times New Roman" w:cs="Times New Roman"/>
          <w:sz w:val="24"/>
        </w:rPr>
        <w:t xml:space="preserve">ль Нуньо и др. предоставили три схемы управления, которые могут обеспечить отслеживание местоположения при наличии переменной временной задержки для нелинейных телеоператоров, но при длительном времени установления [8]. </w:t>
      </w:r>
    </w:p>
    <w:p w:rsidR="0052701D" w:rsidRDefault="00D40929">
      <w:pPr>
        <w:spacing w:after="5" w:line="251" w:lineRule="auto"/>
        <w:ind w:left="720" w:firstLine="9"/>
      </w:pPr>
      <w:r>
        <w:rPr>
          <w:rFonts w:ascii="Times New Roman" w:eastAsia="Times New Roman" w:hAnsi="Times New Roman" w:cs="Times New Roman"/>
          <w:b/>
          <w:sz w:val="28"/>
        </w:rPr>
        <w:t xml:space="preserve">Основная часть </w:t>
      </w:r>
    </w:p>
    <w:p w:rsidR="0052701D" w:rsidRDefault="00D40929">
      <w:pPr>
        <w:spacing w:after="29" w:line="248" w:lineRule="auto"/>
        <w:ind w:left="9" w:right="14" w:firstLine="711"/>
        <w:jc w:val="both"/>
      </w:pPr>
      <w:r>
        <w:rPr>
          <w:rFonts w:ascii="Times New Roman" w:eastAsia="Times New Roman" w:hAnsi="Times New Roman" w:cs="Times New Roman"/>
          <w:sz w:val="24"/>
        </w:rPr>
        <w:t>Пятизвенный механиз</w:t>
      </w:r>
      <w:r>
        <w:rPr>
          <w:rFonts w:ascii="Times New Roman" w:eastAsia="Times New Roman" w:hAnsi="Times New Roman" w:cs="Times New Roman"/>
          <w:sz w:val="24"/>
        </w:rPr>
        <w:t>м (рис.1) содержит только поворотные шарниры. Ссылка 5 (</w:t>
      </w:r>
      <w:r>
        <w:rPr>
          <w:rFonts w:ascii="Cambria Math" w:eastAsia="Cambria Math" w:hAnsi="Cambria Math" w:cs="Cambria Math"/>
          <w:sz w:val="24"/>
        </w:rPr>
        <w:t>𝑙</w:t>
      </w:r>
      <w:r>
        <w:rPr>
          <w:rFonts w:ascii="Cambria Math" w:eastAsia="Cambria Math" w:hAnsi="Cambria Math" w:cs="Cambria Math"/>
          <w:sz w:val="24"/>
          <w:vertAlign w:val="subscript"/>
        </w:rPr>
        <w:t>5</w:t>
      </w:r>
      <w:r>
        <w:rPr>
          <w:rFonts w:ascii="Times New Roman" w:eastAsia="Times New Roman" w:hAnsi="Times New Roman" w:cs="Times New Roman"/>
          <w:sz w:val="24"/>
        </w:rPr>
        <w:t xml:space="preserve">) заключается в том, что она остается неподвижной (рис.1). Звенья 1 и 4 являются активными звеньями с помощью правильного вращения приводных звеньев. Длины звеньев составляют </w:t>
      </w:r>
      <w:r>
        <w:rPr>
          <w:rFonts w:ascii="Cambria Math" w:eastAsia="Cambria Math" w:hAnsi="Cambria Math" w:cs="Cambria Math"/>
          <w:sz w:val="24"/>
        </w:rPr>
        <w:t>𝑙</w:t>
      </w:r>
      <w:r>
        <w:rPr>
          <w:rFonts w:ascii="Cambria Math" w:eastAsia="Cambria Math" w:hAnsi="Cambria Math" w:cs="Cambria Math"/>
          <w:sz w:val="24"/>
          <w:vertAlign w:val="subscript"/>
        </w:rPr>
        <w:t>1</w:t>
      </w:r>
      <w:r>
        <w:rPr>
          <w:rFonts w:ascii="Times New Roman" w:eastAsia="Times New Roman" w:hAnsi="Times New Roman" w:cs="Times New Roman"/>
          <w:sz w:val="24"/>
        </w:rPr>
        <w:t xml:space="preserve">, </w:t>
      </w:r>
      <w:r>
        <w:rPr>
          <w:rFonts w:ascii="Cambria Math" w:eastAsia="Cambria Math" w:hAnsi="Cambria Math" w:cs="Cambria Math"/>
          <w:sz w:val="24"/>
        </w:rPr>
        <w:t>𝑙</w:t>
      </w:r>
      <w:r>
        <w:rPr>
          <w:rFonts w:ascii="Cambria Math" w:eastAsia="Cambria Math" w:hAnsi="Cambria Math" w:cs="Cambria Math"/>
          <w:sz w:val="24"/>
          <w:vertAlign w:val="subscript"/>
        </w:rPr>
        <w:t>2</w:t>
      </w:r>
      <w:r>
        <w:rPr>
          <w:rFonts w:ascii="Times New Roman" w:eastAsia="Times New Roman" w:hAnsi="Times New Roman" w:cs="Times New Roman"/>
          <w:sz w:val="24"/>
        </w:rPr>
        <w:t xml:space="preserve"> , </w:t>
      </w:r>
      <w:r>
        <w:rPr>
          <w:rFonts w:ascii="Cambria Math" w:eastAsia="Cambria Math" w:hAnsi="Cambria Math" w:cs="Cambria Math"/>
          <w:sz w:val="24"/>
        </w:rPr>
        <w:t>𝑙</w:t>
      </w:r>
      <w:r>
        <w:rPr>
          <w:rFonts w:ascii="Cambria Math" w:eastAsia="Cambria Math" w:hAnsi="Cambria Math" w:cs="Cambria Math"/>
          <w:sz w:val="24"/>
          <w:vertAlign w:val="subscript"/>
        </w:rPr>
        <w:t>3</w:t>
      </w:r>
      <w:r>
        <w:rPr>
          <w:rFonts w:ascii="Times New Roman" w:eastAsia="Times New Roman" w:hAnsi="Times New Roman" w:cs="Times New Roman"/>
          <w:sz w:val="24"/>
        </w:rPr>
        <w:t xml:space="preserve">, </w:t>
      </w:r>
      <w:r>
        <w:rPr>
          <w:rFonts w:ascii="Cambria Math" w:eastAsia="Cambria Math" w:hAnsi="Cambria Math" w:cs="Cambria Math"/>
          <w:sz w:val="24"/>
        </w:rPr>
        <w:t>𝑙</w:t>
      </w:r>
      <w:r>
        <w:rPr>
          <w:rFonts w:ascii="Cambria Math" w:eastAsia="Cambria Math" w:hAnsi="Cambria Math" w:cs="Cambria Math"/>
          <w:sz w:val="24"/>
          <w:vertAlign w:val="subscript"/>
        </w:rPr>
        <w:t>4</w:t>
      </w:r>
      <w:r>
        <w:rPr>
          <w:rFonts w:ascii="Times New Roman" w:eastAsia="Times New Roman" w:hAnsi="Times New Roman" w:cs="Times New Roman"/>
          <w:sz w:val="24"/>
        </w:rPr>
        <w:t xml:space="preserve">, </w:t>
      </w:r>
      <w:r>
        <w:rPr>
          <w:rFonts w:ascii="Cambria Math" w:eastAsia="Cambria Math" w:hAnsi="Cambria Math" w:cs="Cambria Math"/>
          <w:sz w:val="24"/>
        </w:rPr>
        <w:t>𝑙</w:t>
      </w:r>
      <w:r>
        <w:rPr>
          <w:rFonts w:ascii="Cambria Math" w:eastAsia="Cambria Math" w:hAnsi="Cambria Math" w:cs="Cambria Math"/>
          <w:sz w:val="24"/>
          <w:vertAlign w:val="subscript"/>
        </w:rPr>
        <w:t>5</w:t>
      </w:r>
      <w:r>
        <w:rPr>
          <w:rFonts w:ascii="Times New Roman" w:eastAsia="Times New Roman" w:hAnsi="Times New Roman" w:cs="Times New Roman"/>
          <w:sz w:val="24"/>
        </w:rPr>
        <w:t xml:space="preserve">, угол между звеньями равен </w:t>
      </w:r>
      <w:r>
        <w:rPr>
          <w:rFonts w:ascii="Cambria Math" w:eastAsia="Cambria Math" w:hAnsi="Cambria Math" w:cs="Cambria Math"/>
          <w:sz w:val="24"/>
        </w:rPr>
        <w:t>𝜃</w:t>
      </w:r>
      <w:r>
        <w:rPr>
          <w:rFonts w:ascii="Cambria Math" w:eastAsia="Cambria Math" w:hAnsi="Cambria Math" w:cs="Cambria Math"/>
          <w:sz w:val="24"/>
          <w:vertAlign w:val="subscript"/>
        </w:rPr>
        <w:t>1</w:t>
      </w:r>
      <w:r>
        <w:rPr>
          <w:rFonts w:ascii="Times New Roman" w:eastAsia="Times New Roman" w:hAnsi="Times New Roman" w:cs="Times New Roman"/>
          <w:sz w:val="24"/>
        </w:rPr>
        <w:t xml:space="preserve">, </w:t>
      </w:r>
      <w:r>
        <w:rPr>
          <w:rFonts w:ascii="Cambria Math" w:eastAsia="Cambria Math" w:hAnsi="Cambria Math" w:cs="Cambria Math"/>
          <w:sz w:val="24"/>
        </w:rPr>
        <w:t>𝜃</w:t>
      </w:r>
      <w:r>
        <w:rPr>
          <w:rFonts w:ascii="Cambria Math" w:eastAsia="Cambria Math" w:hAnsi="Cambria Math" w:cs="Cambria Math"/>
          <w:sz w:val="24"/>
          <w:vertAlign w:val="subscript"/>
        </w:rPr>
        <w:t>2</w:t>
      </w:r>
      <w:r>
        <w:rPr>
          <w:rFonts w:ascii="Times New Roman" w:eastAsia="Times New Roman" w:hAnsi="Times New Roman" w:cs="Times New Roman"/>
          <w:sz w:val="24"/>
        </w:rPr>
        <w:t xml:space="preserve"> </w:t>
      </w:r>
      <w:r>
        <w:rPr>
          <w:rFonts w:ascii="Cambria Math" w:eastAsia="Cambria Math" w:hAnsi="Cambria Math" w:cs="Cambria Math"/>
          <w:sz w:val="24"/>
        </w:rPr>
        <w:t>𝜃</w:t>
      </w:r>
      <w:r>
        <w:rPr>
          <w:rFonts w:ascii="Cambria Math" w:eastAsia="Cambria Math" w:hAnsi="Cambria Math" w:cs="Cambria Math"/>
          <w:sz w:val="24"/>
          <w:vertAlign w:val="subscript"/>
        </w:rPr>
        <w:t>3</w:t>
      </w:r>
      <w:r>
        <w:rPr>
          <w:rFonts w:ascii="Times New Roman" w:eastAsia="Times New Roman" w:hAnsi="Times New Roman" w:cs="Times New Roman"/>
          <w:sz w:val="24"/>
        </w:rPr>
        <w:t xml:space="preserve">, </w:t>
      </w:r>
      <w:r>
        <w:rPr>
          <w:rFonts w:ascii="Cambria Math" w:eastAsia="Cambria Math" w:hAnsi="Cambria Math" w:cs="Cambria Math"/>
          <w:sz w:val="24"/>
        </w:rPr>
        <w:t>𝜃</w:t>
      </w:r>
      <w:r>
        <w:rPr>
          <w:rFonts w:ascii="Cambria Math" w:eastAsia="Cambria Math" w:hAnsi="Cambria Math" w:cs="Cambria Math"/>
          <w:sz w:val="24"/>
          <w:vertAlign w:val="subscript"/>
        </w:rPr>
        <w:t>4</w:t>
      </w:r>
      <w:r>
        <w:rPr>
          <w:rFonts w:ascii="Times New Roman" w:eastAsia="Times New Roman" w:hAnsi="Times New Roman" w:cs="Times New Roman"/>
          <w:sz w:val="24"/>
        </w:rPr>
        <w:t>. Система с пятизвенным механизмом обладает преимуществами высокой эффективности и гибкости применения. Система пятизвенных механизмов может быть найдена во больших промышленных установках в качестве тактическ</w:t>
      </w:r>
      <w:r>
        <w:rPr>
          <w:rFonts w:ascii="Times New Roman" w:eastAsia="Times New Roman" w:hAnsi="Times New Roman" w:cs="Times New Roman"/>
          <w:sz w:val="24"/>
        </w:rPr>
        <w:t xml:space="preserve">их устройств, которые повышают разрешение позиционирования, жесткость и контроль усилия манипуляторов. </w:t>
      </w:r>
    </w:p>
    <w:p w:rsidR="0052701D" w:rsidRDefault="00D40929">
      <w:pPr>
        <w:spacing w:after="0"/>
        <w:ind w:left="706"/>
      </w:pPr>
      <w:r>
        <w:rPr>
          <w:rFonts w:ascii="Times New Roman" w:eastAsia="Times New Roman" w:hAnsi="Times New Roman" w:cs="Times New Roman"/>
          <w:sz w:val="24"/>
        </w:rPr>
        <w:t xml:space="preserve"> </w:t>
      </w:r>
    </w:p>
    <w:p w:rsidR="0052701D" w:rsidRDefault="00D40929">
      <w:pPr>
        <w:spacing w:after="0"/>
        <w:ind w:right="1434"/>
        <w:jc w:val="right"/>
      </w:pPr>
      <w:r>
        <w:rPr>
          <w:noProof/>
        </w:rPr>
        <w:lastRenderedPageBreak/>
        <w:drawing>
          <wp:inline distT="0" distB="0" distL="0" distR="0">
            <wp:extent cx="3819145" cy="2694432"/>
            <wp:effectExtent l="0" t="0" r="0" b="0"/>
            <wp:docPr id="24966" name="Picture 24966"/>
            <wp:cNvGraphicFramePr/>
            <a:graphic xmlns:a="http://schemas.openxmlformats.org/drawingml/2006/main">
              <a:graphicData uri="http://schemas.openxmlformats.org/drawingml/2006/picture">
                <pic:pic xmlns:pic="http://schemas.openxmlformats.org/drawingml/2006/picture">
                  <pic:nvPicPr>
                    <pic:cNvPr id="24966" name="Picture 24966"/>
                    <pic:cNvPicPr/>
                  </pic:nvPicPr>
                  <pic:blipFill>
                    <a:blip r:embed="rId409"/>
                    <a:stretch>
                      <a:fillRect/>
                    </a:stretch>
                  </pic:blipFill>
                  <pic:spPr>
                    <a:xfrm>
                      <a:off x="0" y="0"/>
                      <a:ext cx="3819145" cy="2694432"/>
                    </a:xfrm>
                    <a:prstGeom prst="rect">
                      <a:avLst/>
                    </a:prstGeom>
                  </pic:spPr>
                </pic:pic>
              </a:graphicData>
            </a:graphic>
          </wp:inline>
        </w:drawing>
      </w:r>
      <w:r>
        <w:rPr>
          <w:rFonts w:ascii="Times New Roman" w:eastAsia="Times New Roman" w:hAnsi="Times New Roman" w:cs="Times New Roman"/>
          <w:sz w:val="24"/>
        </w:rPr>
        <w:t xml:space="preserve"> </w:t>
      </w:r>
    </w:p>
    <w:p w:rsidR="0052701D" w:rsidRDefault="00D40929">
      <w:pPr>
        <w:spacing w:after="29" w:line="248" w:lineRule="auto"/>
        <w:ind w:left="1580" w:right="14"/>
        <w:jc w:val="both"/>
      </w:pPr>
      <w:r>
        <w:rPr>
          <w:rFonts w:ascii="Times New Roman" w:eastAsia="Times New Roman" w:hAnsi="Times New Roman" w:cs="Times New Roman"/>
          <w:sz w:val="24"/>
        </w:rPr>
        <w:t xml:space="preserve">Рис. 1.  Принципиальная схема системы пятизвенных механизмов [9]. </w:t>
      </w:r>
    </w:p>
    <w:p w:rsidR="0052701D" w:rsidRDefault="00D40929">
      <w:pPr>
        <w:spacing w:after="0"/>
        <w:ind w:left="706"/>
      </w:pPr>
      <w:r>
        <w:rPr>
          <w:rFonts w:ascii="Times New Roman" w:eastAsia="Times New Roman" w:hAnsi="Times New Roman" w:cs="Times New Roman"/>
          <w:sz w:val="24"/>
        </w:rPr>
        <w:t xml:space="preserve"> </w:t>
      </w:r>
    </w:p>
    <w:p w:rsidR="0052701D" w:rsidRDefault="00D40929">
      <w:pPr>
        <w:spacing w:after="29" w:line="248" w:lineRule="auto"/>
        <w:ind w:left="9" w:right="14" w:firstLine="711"/>
        <w:jc w:val="both"/>
      </w:pPr>
      <w:r>
        <w:rPr>
          <w:rFonts w:ascii="Times New Roman" w:eastAsia="Times New Roman" w:hAnsi="Times New Roman" w:cs="Times New Roman"/>
          <w:sz w:val="24"/>
        </w:rPr>
        <w:t>Кинематическая структура представляет собой пятизвенную планарную связь (см.ри</w:t>
      </w:r>
      <w:r>
        <w:rPr>
          <w:rFonts w:ascii="Times New Roman" w:eastAsia="Times New Roman" w:hAnsi="Times New Roman" w:cs="Times New Roman"/>
          <w:sz w:val="24"/>
        </w:rPr>
        <w:t xml:space="preserve">сунок 1). Концевая пластина расположена в точке </w:t>
      </w:r>
      <w:r>
        <w:rPr>
          <w:rFonts w:ascii="Times New Roman" w:eastAsia="Times New Roman" w:hAnsi="Times New Roman" w:cs="Times New Roman"/>
          <w:b/>
          <w:sz w:val="24"/>
        </w:rPr>
        <w:t>e</w:t>
      </w:r>
      <w:r>
        <w:rPr>
          <w:rFonts w:ascii="Times New Roman" w:eastAsia="Times New Roman" w:hAnsi="Times New Roman" w:cs="Times New Roman"/>
          <w:sz w:val="24"/>
        </w:rPr>
        <w:t xml:space="preserve"> и перемещается в плоскости с двумя степенями свободы относительно базового звена, где исполнительные механизмы и датчики расположены в точках P1 и P4. Конструкция устройства, зависит положением ,двух углов </w:t>
      </w:r>
      <w:r>
        <w:rPr>
          <w:rFonts w:ascii="Cambria Math" w:eastAsia="Cambria Math" w:hAnsi="Cambria Math" w:cs="Cambria Math"/>
          <w:sz w:val="24"/>
        </w:rPr>
        <w:t>𝑙</w:t>
      </w:r>
      <w:r>
        <w:rPr>
          <w:rFonts w:ascii="Cambria Math" w:eastAsia="Cambria Math" w:hAnsi="Cambria Math" w:cs="Cambria Math"/>
          <w:sz w:val="24"/>
          <w:vertAlign w:val="subscript"/>
        </w:rPr>
        <w:t>1</w:t>
      </w:r>
      <w:r>
        <w:rPr>
          <w:rFonts w:ascii="Times New Roman" w:eastAsia="Times New Roman" w:hAnsi="Times New Roman" w:cs="Times New Roman"/>
          <w:sz w:val="24"/>
        </w:rPr>
        <w:t xml:space="preserve"> и </w:t>
      </w:r>
      <w:r>
        <w:rPr>
          <w:rFonts w:ascii="Cambria Math" w:eastAsia="Cambria Math" w:hAnsi="Cambria Math" w:cs="Cambria Math"/>
          <w:sz w:val="24"/>
        </w:rPr>
        <w:t>𝑙</w:t>
      </w:r>
      <w:r>
        <w:rPr>
          <w:rFonts w:ascii="Cambria Math" w:eastAsia="Cambria Math" w:hAnsi="Cambria Math" w:cs="Cambria Math"/>
          <w:sz w:val="24"/>
          <w:vertAlign w:val="subscript"/>
        </w:rPr>
        <w:t>4</w:t>
      </w:r>
      <w:r>
        <w:rPr>
          <w:rFonts w:ascii="Times New Roman" w:eastAsia="Times New Roman" w:hAnsi="Times New Roman" w:cs="Times New Roman"/>
          <w:sz w:val="24"/>
        </w:rPr>
        <w:t xml:space="preserve">, а усилие на наконечнике инструмента </w:t>
      </w:r>
      <w:r>
        <w:rPr>
          <w:rFonts w:ascii="Times New Roman" w:eastAsia="Times New Roman" w:hAnsi="Times New Roman" w:cs="Times New Roman"/>
          <w:b/>
          <w:sz w:val="24"/>
        </w:rPr>
        <w:t>e</w:t>
      </w:r>
      <w:r>
        <w:rPr>
          <w:rFonts w:ascii="Times New Roman" w:eastAsia="Times New Roman" w:hAnsi="Times New Roman" w:cs="Times New Roman"/>
          <w:sz w:val="24"/>
        </w:rPr>
        <w:t xml:space="preserve"> обусловлено крутящими моментами, приложенными к соединениям 1 и 4. </w:t>
      </w:r>
    </w:p>
    <w:p w:rsidR="0052701D" w:rsidRDefault="00D40929">
      <w:pPr>
        <w:spacing w:after="0" w:line="248" w:lineRule="auto"/>
        <w:ind w:left="9" w:right="14" w:firstLine="711"/>
        <w:jc w:val="both"/>
      </w:pPr>
      <w:r>
        <w:rPr>
          <w:rFonts w:ascii="Times New Roman" w:eastAsia="Times New Roman" w:hAnsi="Times New Roman" w:cs="Times New Roman"/>
          <w:sz w:val="24"/>
        </w:rPr>
        <w:t>Система с пятизвенным механизмом обладает преимуществами высокой эффективности, высокой полезной нагрузки и гибкости применения. Пятизвенны</w:t>
      </w:r>
      <w:r>
        <w:rPr>
          <w:rFonts w:ascii="Times New Roman" w:eastAsia="Times New Roman" w:hAnsi="Times New Roman" w:cs="Times New Roman"/>
          <w:sz w:val="24"/>
        </w:rPr>
        <w:t xml:space="preserve">й механизм можно найти во многих промышленных применениях в качестве позиционирующих устройств, которые нормализуют позиционное разрешение, жесткость и контроль усилия конечного эффектора [9]. </w:t>
      </w:r>
    </w:p>
    <w:p w:rsidR="0052701D" w:rsidRDefault="00D40929">
      <w:pPr>
        <w:spacing w:after="29" w:line="248" w:lineRule="auto"/>
        <w:ind w:left="9" w:right="14" w:firstLine="711"/>
        <w:jc w:val="both"/>
      </w:pPr>
      <w:r>
        <w:rPr>
          <w:rFonts w:ascii="Times New Roman" w:eastAsia="Times New Roman" w:hAnsi="Times New Roman" w:cs="Times New Roman"/>
          <w:sz w:val="24"/>
        </w:rPr>
        <w:t>Задачей решения прямой кинематики является понятие отображения</w:t>
      </w:r>
      <w:r>
        <w:rPr>
          <w:rFonts w:ascii="Times New Roman" w:eastAsia="Times New Roman" w:hAnsi="Times New Roman" w:cs="Times New Roman"/>
          <w:sz w:val="24"/>
        </w:rPr>
        <w:t xml:space="preserve"> из известного набора положений приводимого в действие шарнира в неизвестное положение движущегося конечного элемента (см. рисунок 2). </w:t>
      </w:r>
    </w:p>
    <w:p w:rsidR="0052701D" w:rsidRDefault="00D40929">
      <w:pPr>
        <w:spacing w:after="0"/>
        <w:ind w:left="726"/>
        <w:jc w:val="center"/>
      </w:pPr>
      <w:r>
        <w:rPr>
          <w:noProof/>
        </w:rPr>
        <w:drawing>
          <wp:inline distT="0" distB="0" distL="0" distR="0">
            <wp:extent cx="3715512" cy="2286000"/>
            <wp:effectExtent l="0" t="0" r="0" b="0"/>
            <wp:docPr id="25362" name="Picture 25362"/>
            <wp:cNvGraphicFramePr/>
            <a:graphic xmlns:a="http://schemas.openxmlformats.org/drawingml/2006/main">
              <a:graphicData uri="http://schemas.openxmlformats.org/drawingml/2006/picture">
                <pic:pic xmlns:pic="http://schemas.openxmlformats.org/drawingml/2006/picture">
                  <pic:nvPicPr>
                    <pic:cNvPr id="25362" name="Picture 25362"/>
                    <pic:cNvPicPr/>
                  </pic:nvPicPr>
                  <pic:blipFill>
                    <a:blip r:embed="rId410"/>
                    <a:stretch>
                      <a:fillRect/>
                    </a:stretch>
                  </pic:blipFill>
                  <pic:spPr>
                    <a:xfrm>
                      <a:off x="0" y="0"/>
                      <a:ext cx="3715512" cy="2286000"/>
                    </a:xfrm>
                    <a:prstGeom prst="rect">
                      <a:avLst/>
                    </a:prstGeom>
                  </pic:spPr>
                </pic:pic>
              </a:graphicData>
            </a:graphic>
          </wp:inline>
        </w:drawing>
      </w:r>
      <w:r>
        <w:rPr>
          <w:rFonts w:ascii="Times New Roman" w:eastAsia="Times New Roman" w:hAnsi="Times New Roman" w:cs="Times New Roman"/>
          <w:sz w:val="24"/>
        </w:rPr>
        <w:t xml:space="preserve"> </w:t>
      </w:r>
    </w:p>
    <w:p w:rsidR="0052701D" w:rsidRDefault="00D40929">
      <w:pPr>
        <w:spacing w:after="14" w:line="248" w:lineRule="auto"/>
        <w:ind w:left="713" w:right="49" w:hanging="5"/>
        <w:jc w:val="center"/>
      </w:pPr>
      <w:r>
        <w:rPr>
          <w:rFonts w:ascii="Times New Roman" w:eastAsia="Times New Roman" w:hAnsi="Times New Roman" w:cs="Times New Roman"/>
          <w:sz w:val="24"/>
        </w:rPr>
        <w:t xml:space="preserve">Рис. 2.  Механизм прямой кинематики [11]. </w:t>
      </w:r>
    </w:p>
    <w:p w:rsidR="0052701D" w:rsidRDefault="00D40929">
      <w:pPr>
        <w:spacing w:after="13"/>
        <w:ind w:left="706"/>
      </w:pPr>
      <w:r>
        <w:rPr>
          <w:rFonts w:ascii="Times New Roman" w:eastAsia="Times New Roman" w:hAnsi="Times New Roman" w:cs="Times New Roman"/>
          <w:sz w:val="24"/>
        </w:rPr>
        <w:t xml:space="preserve"> </w:t>
      </w:r>
    </w:p>
    <w:p w:rsidR="0052701D" w:rsidRDefault="00D40929">
      <w:pPr>
        <w:spacing w:after="0"/>
        <w:ind w:left="1777" w:hanging="10"/>
      </w:pPr>
      <w:r>
        <w:rPr>
          <w:rFonts w:ascii="Cambria Math" w:eastAsia="Cambria Math" w:hAnsi="Cambria Math" w:cs="Cambria Math"/>
          <w:sz w:val="24"/>
        </w:rPr>
        <w:t>𝑥</w:t>
      </w:r>
      <w:r>
        <w:rPr>
          <w:rFonts w:ascii="Cambria Math" w:eastAsia="Cambria Math" w:hAnsi="Cambria Math" w:cs="Cambria Math"/>
          <w:sz w:val="24"/>
          <w:vertAlign w:val="subscript"/>
        </w:rPr>
        <w:t>𝑒</w:t>
      </w:r>
      <w:r>
        <w:rPr>
          <w:rFonts w:ascii="Cambria Math" w:eastAsia="Cambria Math" w:hAnsi="Cambria Math" w:cs="Cambria Math"/>
          <w:sz w:val="24"/>
          <w:vertAlign w:val="subscript"/>
        </w:rPr>
        <w:t xml:space="preserve"> </w:t>
      </w:r>
      <w:r>
        <w:rPr>
          <w:rFonts w:ascii="Cambria Math" w:eastAsia="Cambria Math" w:hAnsi="Cambria Math" w:cs="Cambria Math"/>
          <w:sz w:val="24"/>
        </w:rPr>
        <w:t xml:space="preserve">= </w:t>
      </w:r>
      <w:r>
        <w:rPr>
          <w:rFonts w:ascii="Cambria Math" w:eastAsia="Cambria Math" w:hAnsi="Cambria Math" w:cs="Cambria Math"/>
          <w:sz w:val="24"/>
        </w:rPr>
        <w:t>𝑙</w:t>
      </w:r>
      <w:r>
        <w:rPr>
          <w:rFonts w:ascii="Cambria Math" w:eastAsia="Cambria Math" w:hAnsi="Cambria Math" w:cs="Cambria Math"/>
          <w:sz w:val="24"/>
          <w:vertAlign w:val="subscript"/>
        </w:rPr>
        <w:t xml:space="preserve">1 </w:t>
      </w:r>
      <w:r>
        <w:rPr>
          <w:rFonts w:ascii="Cambria Math" w:eastAsia="Cambria Math" w:hAnsi="Cambria Math" w:cs="Cambria Math"/>
          <w:sz w:val="24"/>
        </w:rPr>
        <w:t>𝑐𝑜𝑠</w:t>
      </w:r>
      <w:r>
        <w:rPr>
          <w:rFonts w:ascii="Cambria Math" w:eastAsia="Cambria Math" w:hAnsi="Cambria Math" w:cs="Cambria Math"/>
          <w:sz w:val="24"/>
        </w:rPr>
        <w:t xml:space="preserve"> </w:t>
      </w:r>
      <w:r>
        <w:rPr>
          <w:rFonts w:ascii="Cambria Math" w:eastAsia="Cambria Math" w:hAnsi="Cambria Math" w:cs="Cambria Math"/>
          <w:sz w:val="24"/>
        </w:rPr>
        <w:t>𝑐𝑜𝑠</w:t>
      </w:r>
      <w:r>
        <w:rPr>
          <w:rFonts w:ascii="Cambria Math" w:eastAsia="Cambria Math" w:hAnsi="Cambria Math" w:cs="Cambria Math"/>
          <w:sz w:val="24"/>
        </w:rPr>
        <w:t xml:space="preserve"> </w:t>
      </w:r>
      <w:r>
        <w:rPr>
          <w:rFonts w:ascii="Cambria Math" w:eastAsia="Cambria Math" w:hAnsi="Cambria Math" w:cs="Cambria Math"/>
          <w:sz w:val="24"/>
        </w:rPr>
        <w:t>𝜃</w:t>
      </w:r>
      <w:r>
        <w:rPr>
          <w:rFonts w:ascii="Cambria Math" w:eastAsia="Cambria Math" w:hAnsi="Cambria Math" w:cs="Cambria Math"/>
          <w:sz w:val="24"/>
          <w:vertAlign w:val="subscript"/>
        </w:rPr>
        <w:t>1</w:t>
      </w:r>
      <w:r>
        <w:rPr>
          <w:rFonts w:ascii="Cambria Math" w:eastAsia="Cambria Math" w:hAnsi="Cambria Math" w:cs="Cambria Math"/>
          <w:sz w:val="24"/>
        </w:rPr>
        <w:t xml:space="preserve"> + </w:t>
      </w:r>
      <w:r>
        <w:rPr>
          <w:rFonts w:ascii="Cambria Math" w:eastAsia="Cambria Math" w:hAnsi="Cambria Math" w:cs="Cambria Math"/>
          <w:sz w:val="24"/>
        </w:rPr>
        <w:t>𝑙</w:t>
      </w:r>
      <w:r>
        <w:rPr>
          <w:rFonts w:ascii="Cambria Math" w:eastAsia="Cambria Math" w:hAnsi="Cambria Math" w:cs="Cambria Math"/>
          <w:sz w:val="24"/>
          <w:vertAlign w:val="subscript"/>
        </w:rPr>
        <w:t xml:space="preserve">2 </w:t>
      </w:r>
      <w:r>
        <w:rPr>
          <w:rFonts w:ascii="Cambria Math" w:eastAsia="Cambria Math" w:hAnsi="Cambria Math" w:cs="Cambria Math"/>
          <w:sz w:val="24"/>
        </w:rPr>
        <w:t>𝑐𝑜𝑠</w:t>
      </w:r>
      <w:r>
        <w:rPr>
          <w:rFonts w:ascii="Cambria Math" w:eastAsia="Cambria Math" w:hAnsi="Cambria Math" w:cs="Cambria Math"/>
          <w:sz w:val="24"/>
        </w:rPr>
        <w:t xml:space="preserve"> </w:t>
      </w:r>
      <w:r>
        <w:rPr>
          <w:rFonts w:ascii="Cambria Math" w:eastAsia="Cambria Math" w:hAnsi="Cambria Math" w:cs="Cambria Math"/>
          <w:sz w:val="24"/>
        </w:rPr>
        <w:t>𝑐𝑜𝑠</w:t>
      </w:r>
      <w:r>
        <w:rPr>
          <w:rFonts w:ascii="Cambria Math" w:eastAsia="Cambria Math" w:hAnsi="Cambria Math" w:cs="Cambria Math"/>
          <w:sz w:val="24"/>
        </w:rPr>
        <w:t xml:space="preserve"> </w:t>
      </w:r>
      <w:r>
        <w:rPr>
          <w:rFonts w:ascii="Cambria Math" w:eastAsia="Cambria Math" w:hAnsi="Cambria Math" w:cs="Cambria Math"/>
          <w:sz w:val="24"/>
        </w:rPr>
        <w:t>𝜃</w:t>
      </w:r>
      <w:r>
        <w:rPr>
          <w:rFonts w:ascii="Cambria Math" w:eastAsia="Cambria Math" w:hAnsi="Cambria Math" w:cs="Cambria Math"/>
          <w:sz w:val="24"/>
          <w:vertAlign w:val="subscript"/>
        </w:rPr>
        <w:t>2</w:t>
      </w:r>
      <w:r>
        <w:rPr>
          <w:rFonts w:ascii="Cambria Math" w:eastAsia="Cambria Math" w:hAnsi="Cambria Math" w:cs="Cambria Math"/>
          <w:sz w:val="24"/>
        </w:rPr>
        <w:t xml:space="preserve"> </w:t>
      </w:r>
      <w:r>
        <w:rPr>
          <w:rFonts w:ascii="Times New Roman" w:eastAsia="Times New Roman" w:hAnsi="Times New Roman" w:cs="Times New Roman"/>
          <w:sz w:val="24"/>
        </w:rPr>
        <w:t xml:space="preserve">                                                                    (1) </w:t>
      </w:r>
    </w:p>
    <w:p w:rsidR="0052701D" w:rsidRDefault="00D40929">
      <w:pPr>
        <w:spacing w:after="13"/>
        <w:ind w:left="706"/>
      </w:pPr>
      <w:r>
        <w:rPr>
          <w:rFonts w:ascii="Times New Roman" w:eastAsia="Times New Roman" w:hAnsi="Times New Roman" w:cs="Times New Roman"/>
          <w:sz w:val="24"/>
        </w:rPr>
        <w:t xml:space="preserve"> </w:t>
      </w:r>
    </w:p>
    <w:p w:rsidR="0052701D" w:rsidRDefault="00D40929">
      <w:pPr>
        <w:spacing w:after="0"/>
        <w:ind w:left="1777" w:hanging="10"/>
      </w:pPr>
      <w:r>
        <w:rPr>
          <w:rFonts w:ascii="Cambria Math" w:eastAsia="Cambria Math" w:hAnsi="Cambria Math" w:cs="Cambria Math"/>
          <w:sz w:val="24"/>
        </w:rPr>
        <w:t>𝑦</w:t>
      </w:r>
      <w:r>
        <w:rPr>
          <w:rFonts w:ascii="Cambria Math" w:eastAsia="Cambria Math" w:hAnsi="Cambria Math" w:cs="Cambria Math"/>
          <w:sz w:val="24"/>
          <w:vertAlign w:val="subscript"/>
        </w:rPr>
        <w:t>𝑒</w:t>
      </w:r>
      <w:r>
        <w:rPr>
          <w:rFonts w:ascii="Cambria Math" w:eastAsia="Cambria Math" w:hAnsi="Cambria Math" w:cs="Cambria Math"/>
          <w:sz w:val="24"/>
          <w:vertAlign w:val="subscript"/>
        </w:rPr>
        <w:t xml:space="preserve"> </w:t>
      </w:r>
      <w:r>
        <w:rPr>
          <w:rFonts w:ascii="Cambria Math" w:eastAsia="Cambria Math" w:hAnsi="Cambria Math" w:cs="Cambria Math"/>
          <w:sz w:val="24"/>
        </w:rPr>
        <w:t xml:space="preserve">= </w:t>
      </w:r>
      <w:r>
        <w:rPr>
          <w:rFonts w:ascii="Cambria Math" w:eastAsia="Cambria Math" w:hAnsi="Cambria Math" w:cs="Cambria Math"/>
          <w:sz w:val="24"/>
        </w:rPr>
        <w:t>𝑙</w:t>
      </w:r>
      <w:r>
        <w:rPr>
          <w:rFonts w:ascii="Cambria Math" w:eastAsia="Cambria Math" w:hAnsi="Cambria Math" w:cs="Cambria Math"/>
          <w:sz w:val="24"/>
          <w:vertAlign w:val="subscript"/>
        </w:rPr>
        <w:t xml:space="preserve">1 </w:t>
      </w:r>
      <w:r>
        <w:rPr>
          <w:rFonts w:ascii="Cambria Math" w:eastAsia="Cambria Math" w:hAnsi="Cambria Math" w:cs="Cambria Math"/>
          <w:sz w:val="24"/>
        </w:rPr>
        <w:t>𝑠𝑖𝑛</w:t>
      </w:r>
      <w:r>
        <w:rPr>
          <w:rFonts w:ascii="Cambria Math" w:eastAsia="Cambria Math" w:hAnsi="Cambria Math" w:cs="Cambria Math"/>
          <w:sz w:val="24"/>
        </w:rPr>
        <w:t xml:space="preserve"> </w:t>
      </w:r>
      <w:r>
        <w:rPr>
          <w:rFonts w:ascii="Cambria Math" w:eastAsia="Cambria Math" w:hAnsi="Cambria Math" w:cs="Cambria Math"/>
          <w:sz w:val="24"/>
        </w:rPr>
        <w:t>𝑠𝑖𝑛</w:t>
      </w:r>
      <w:r>
        <w:rPr>
          <w:rFonts w:ascii="Cambria Math" w:eastAsia="Cambria Math" w:hAnsi="Cambria Math" w:cs="Cambria Math"/>
          <w:sz w:val="24"/>
        </w:rPr>
        <w:t xml:space="preserve"> </w:t>
      </w:r>
      <w:r>
        <w:rPr>
          <w:rFonts w:ascii="Cambria Math" w:eastAsia="Cambria Math" w:hAnsi="Cambria Math" w:cs="Cambria Math"/>
          <w:sz w:val="24"/>
        </w:rPr>
        <w:t>𝜃</w:t>
      </w:r>
      <w:r>
        <w:rPr>
          <w:rFonts w:ascii="Cambria Math" w:eastAsia="Cambria Math" w:hAnsi="Cambria Math" w:cs="Cambria Math"/>
          <w:sz w:val="24"/>
          <w:vertAlign w:val="subscript"/>
        </w:rPr>
        <w:t>1</w:t>
      </w:r>
      <w:r>
        <w:rPr>
          <w:rFonts w:ascii="Cambria Math" w:eastAsia="Cambria Math" w:hAnsi="Cambria Math" w:cs="Cambria Math"/>
          <w:sz w:val="24"/>
        </w:rPr>
        <w:t xml:space="preserve"> + </w:t>
      </w:r>
      <w:r>
        <w:rPr>
          <w:rFonts w:ascii="Cambria Math" w:eastAsia="Cambria Math" w:hAnsi="Cambria Math" w:cs="Cambria Math"/>
          <w:sz w:val="24"/>
        </w:rPr>
        <w:t>𝑙</w:t>
      </w:r>
      <w:r>
        <w:rPr>
          <w:rFonts w:ascii="Cambria Math" w:eastAsia="Cambria Math" w:hAnsi="Cambria Math" w:cs="Cambria Math"/>
          <w:sz w:val="24"/>
          <w:vertAlign w:val="subscript"/>
        </w:rPr>
        <w:t xml:space="preserve">2 </w:t>
      </w:r>
      <w:r>
        <w:rPr>
          <w:rFonts w:ascii="Cambria Math" w:eastAsia="Cambria Math" w:hAnsi="Cambria Math" w:cs="Cambria Math"/>
          <w:sz w:val="24"/>
        </w:rPr>
        <w:t>𝑠𝑖𝑛</w:t>
      </w:r>
      <w:r>
        <w:rPr>
          <w:rFonts w:ascii="Cambria Math" w:eastAsia="Cambria Math" w:hAnsi="Cambria Math" w:cs="Cambria Math"/>
          <w:sz w:val="24"/>
        </w:rPr>
        <w:t xml:space="preserve"> </w:t>
      </w:r>
      <w:r>
        <w:rPr>
          <w:rFonts w:ascii="Cambria Math" w:eastAsia="Cambria Math" w:hAnsi="Cambria Math" w:cs="Cambria Math"/>
          <w:sz w:val="24"/>
        </w:rPr>
        <w:t>𝑠𝑖𝑛</w:t>
      </w:r>
      <w:r>
        <w:rPr>
          <w:rFonts w:ascii="Cambria Math" w:eastAsia="Cambria Math" w:hAnsi="Cambria Math" w:cs="Cambria Math"/>
          <w:sz w:val="24"/>
        </w:rPr>
        <w:t xml:space="preserve"> </w:t>
      </w:r>
      <w:r>
        <w:rPr>
          <w:rFonts w:ascii="Cambria Math" w:eastAsia="Cambria Math" w:hAnsi="Cambria Math" w:cs="Cambria Math"/>
          <w:sz w:val="24"/>
        </w:rPr>
        <w:t>𝜃</w:t>
      </w:r>
      <w:r>
        <w:rPr>
          <w:rFonts w:ascii="Cambria Math" w:eastAsia="Cambria Math" w:hAnsi="Cambria Math" w:cs="Cambria Math"/>
          <w:sz w:val="24"/>
          <w:vertAlign w:val="subscript"/>
        </w:rPr>
        <w:t>2</w:t>
      </w:r>
      <w:r>
        <w:rPr>
          <w:rFonts w:ascii="Cambria Math" w:eastAsia="Cambria Math" w:hAnsi="Cambria Math" w:cs="Cambria Math"/>
          <w:sz w:val="24"/>
        </w:rPr>
        <w:t xml:space="preserve"> </w:t>
      </w:r>
      <w:r>
        <w:rPr>
          <w:rFonts w:ascii="Times New Roman" w:eastAsia="Times New Roman" w:hAnsi="Times New Roman" w:cs="Times New Roman"/>
          <w:sz w:val="24"/>
        </w:rPr>
        <w:t xml:space="preserve">                                                                      (2) </w:t>
      </w:r>
    </w:p>
    <w:p w:rsidR="0052701D" w:rsidRDefault="00D40929">
      <w:pPr>
        <w:spacing w:after="20"/>
        <w:ind w:left="706"/>
      </w:pPr>
      <w:r>
        <w:rPr>
          <w:rFonts w:ascii="Times New Roman" w:eastAsia="Times New Roman" w:hAnsi="Times New Roman" w:cs="Times New Roman"/>
          <w:sz w:val="24"/>
        </w:rPr>
        <w:t xml:space="preserve"> </w:t>
      </w:r>
    </w:p>
    <w:p w:rsidR="0052701D" w:rsidRDefault="00D40929">
      <w:pPr>
        <w:spacing w:after="51" w:line="248" w:lineRule="auto"/>
        <w:ind w:left="706" w:right="14"/>
        <w:jc w:val="both"/>
      </w:pPr>
      <w:r>
        <w:rPr>
          <w:rFonts w:ascii="Times New Roman" w:eastAsia="Times New Roman" w:hAnsi="Times New Roman" w:cs="Times New Roman"/>
          <w:sz w:val="24"/>
        </w:rPr>
        <w:t>Уравнения (1) и (2) описывают прямую кинематику пят</w:t>
      </w:r>
      <w:r>
        <w:rPr>
          <w:rFonts w:ascii="Times New Roman" w:eastAsia="Times New Roman" w:hAnsi="Times New Roman" w:cs="Times New Roman"/>
          <w:sz w:val="24"/>
        </w:rPr>
        <w:t xml:space="preserve">извенного механизма [12]. </w:t>
      </w:r>
    </w:p>
    <w:p w:rsidR="0052701D" w:rsidRDefault="00D40929">
      <w:pPr>
        <w:spacing w:after="60" w:line="248" w:lineRule="auto"/>
        <w:ind w:left="706" w:right="14"/>
        <w:jc w:val="both"/>
      </w:pPr>
      <w:r>
        <w:rPr>
          <w:rFonts w:ascii="Times New Roman" w:eastAsia="Times New Roman" w:hAnsi="Times New Roman" w:cs="Times New Roman"/>
          <w:sz w:val="24"/>
        </w:rPr>
        <w:lastRenderedPageBreak/>
        <w:t xml:space="preserve">Мы пытаемся найти </w:t>
      </w:r>
      <w:r>
        <w:rPr>
          <w:rFonts w:ascii="Cambria Math" w:eastAsia="Cambria Math" w:hAnsi="Cambria Math" w:cs="Cambria Math"/>
          <w:sz w:val="24"/>
        </w:rPr>
        <w:t>𝜃</w:t>
      </w:r>
      <w:r>
        <w:rPr>
          <w:rFonts w:ascii="Cambria Math" w:eastAsia="Cambria Math" w:hAnsi="Cambria Math" w:cs="Cambria Math"/>
          <w:sz w:val="24"/>
          <w:vertAlign w:val="subscript"/>
        </w:rPr>
        <w:t>2</w:t>
      </w:r>
      <w:r>
        <w:rPr>
          <w:rFonts w:ascii="Times New Roman" w:eastAsia="Times New Roman" w:hAnsi="Times New Roman" w:cs="Times New Roman"/>
          <w:sz w:val="24"/>
        </w:rPr>
        <w:t xml:space="preserve"> через </w:t>
      </w:r>
      <w:r>
        <w:rPr>
          <w:rFonts w:ascii="Cambria Math" w:eastAsia="Cambria Math" w:hAnsi="Cambria Math" w:cs="Cambria Math"/>
          <w:sz w:val="24"/>
        </w:rPr>
        <w:t>𝜃</w:t>
      </w:r>
      <w:r>
        <w:rPr>
          <w:rFonts w:ascii="Cambria Math" w:eastAsia="Cambria Math" w:hAnsi="Cambria Math" w:cs="Cambria Math"/>
          <w:sz w:val="24"/>
          <w:vertAlign w:val="subscript"/>
        </w:rPr>
        <w:t>1</w:t>
      </w:r>
      <w:r>
        <w:rPr>
          <w:rFonts w:ascii="Times New Roman" w:eastAsia="Times New Roman" w:hAnsi="Times New Roman" w:cs="Times New Roman"/>
          <w:sz w:val="24"/>
        </w:rPr>
        <w:t xml:space="preserve"> с помощью голономного ограничения.  </w:t>
      </w:r>
    </w:p>
    <w:p w:rsidR="0052701D" w:rsidRDefault="00D40929">
      <w:pPr>
        <w:spacing w:after="0" w:line="310" w:lineRule="auto"/>
        <w:ind w:left="9" w:right="14" w:firstLine="711"/>
        <w:jc w:val="both"/>
      </w:pPr>
      <w:r>
        <w:rPr>
          <w:rFonts w:ascii="Times New Roman" w:eastAsia="Times New Roman" w:hAnsi="Times New Roman" w:cs="Times New Roman"/>
          <w:sz w:val="24"/>
        </w:rPr>
        <w:t xml:space="preserve">Где </w:t>
      </w:r>
      <w:r>
        <w:rPr>
          <w:rFonts w:ascii="Cambria Math" w:eastAsia="Cambria Math" w:hAnsi="Cambria Math" w:cs="Cambria Math"/>
          <w:sz w:val="24"/>
        </w:rPr>
        <w:t>𝜃</w:t>
      </w:r>
      <w:r>
        <w:rPr>
          <w:rFonts w:ascii="Cambria Math" w:eastAsia="Cambria Math" w:hAnsi="Cambria Math" w:cs="Cambria Math"/>
          <w:sz w:val="24"/>
          <w:vertAlign w:val="subscript"/>
        </w:rPr>
        <w:t>2</w:t>
      </w:r>
      <w:r>
        <w:rPr>
          <w:rFonts w:ascii="Times New Roman" w:eastAsia="Times New Roman" w:hAnsi="Times New Roman" w:cs="Times New Roman"/>
          <w:sz w:val="24"/>
        </w:rPr>
        <w:t xml:space="preserve"> – неизвестный угол, который должен быть описан с использованием активного угла устройства (</w:t>
      </w:r>
      <w:r>
        <w:rPr>
          <w:rFonts w:ascii="Cambria Math" w:eastAsia="Cambria Math" w:hAnsi="Cambria Math" w:cs="Cambria Math"/>
          <w:sz w:val="24"/>
        </w:rPr>
        <w:t>𝜃</w:t>
      </w:r>
      <w:r>
        <w:rPr>
          <w:rFonts w:ascii="Cambria Math" w:eastAsia="Cambria Math" w:hAnsi="Cambria Math" w:cs="Cambria Math"/>
          <w:sz w:val="24"/>
          <w:vertAlign w:val="subscript"/>
        </w:rPr>
        <w:t>1</w:t>
      </w:r>
      <w:r>
        <w:rPr>
          <w:rFonts w:ascii="Times New Roman" w:eastAsia="Times New Roman" w:hAnsi="Times New Roman" w:cs="Times New Roman"/>
          <w:sz w:val="24"/>
        </w:rPr>
        <w:t xml:space="preserve"> и</w:t>
      </w:r>
      <w:r>
        <w:rPr>
          <w:rFonts w:ascii="Cambria Math" w:eastAsia="Cambria Math" w:hAnsi="Cambria Math" w:cs="Cambria Math"/>
          <w:sz w:val="24"/>
        </w:rPr>
        <w:t xml:space="preserve"> </w:t>
      </w:r>
      <w:r>
        <w:rPr>
          <w:rFonts w:ascii="Cambria Math" w:eastAsia="Cambria Math" w:hAnsi="Cambria Math" w:cs="Cambria Math"/>
          <w:sz w:val="24"/>
        </w:rPr>
        <w:t>𝜃</w:t>
      </w:r>
      <w:r>
        <w:rPr>
          <w:rFonts w:ascii="Cambria Math" w:eastAsia="Cambria Math" w:hAnsi="Cambria Math" w:cs="Cambria Math"/>
          <w:sz w:val="24"/>
          <w:vertAlign w:val="subscript"/>
        </w:rPr>
        <w:t>4</w:t>
      </w:r>
      <w:r>
        <w:rPr>
          <w:rFonts w:ascii="Times New Roman" w:eastAsia="Times New Roman" w:hAnsi="Times New Roman" w:cs="Times New Roman"/>
          <w:sz w:val="24"/>
        </w:rPr>
        <w:t xml:space="preserve">). </w:t>
      </w:r>
    </w:p>
    <w:p w:rsidR="0052701D" w:rsidRDefault="00D40929">
      <w:pPr>
        <w:spacing w:after="28"/>
        <w:ind w:left="706"/>
      </w:pPr>
      <w:r>
        <w:rPr>
          <w:rFonts w:ascii="Times New Roman" w:eastAsia="Times New Roman" w:hAnsi="Times New Roman" w:cs="Times New Roman"/>
          <w:sz w:val="24"/>
        </w:rPr>
        <w:t xml:space="preserve"> </w:t>
      </w:r>
    </w:p>
    <w:p w:rsidR="0052701D" w:rsidRDefault="00D40929">
      <w:pPr>
        <w:spacing w:after="0"/>
        <w:ind w:left="681" w:right="5" w:hanging="10"/>
        <w:jc w:val="center"/>
      </w:pPr>
      <w:r>
        <w:rPr>
          <w:rFonts w:ascii="Cambria Math" w:eastAsia="Cambria Math" w:hAnsi="Cambria Math" w:cs="Cambria Math"/>
          <w:sz w:val="24"/>
        </w:rPr>
        <w:t>𝑙</w:t>
      </w:r>
      <w:r>
        <w:rPr>
          <w:rFonts w:ascii="Cambria Math" w:eastAsia="Cambria Math" w:hAnsi="Cambria Math" w:cs="Cambria Math"/>
          <w:sz w:val="24"/>
          <w:vertAlign w:val="subscript"/>
        </w:rPr>
        <w:t xml:space="preserve">1 </w:t>
      </w:r>
      <w:r>
        <w:rPr>
          <w:rFonts w:ascii="Cambria Math" w:eastAsia="Cambria Math" w:hAnsi="Cambria Math" w:cs="Cambria Math"/>
          <w:sz w:val="24"/>
        </w:rPr>
        <w:t>𝑐𝑜𝑠</w:t>
      </w:r>
      <w:r>
        <w:rPr>
          <w:rFonts w:ascii="Cambria Math" w:eastAsia="Cambria Math" w:hAnsi="Cambria Math" w:cs="Cambria Math"/>
          <w:sz w:val="24"/>
        </w:rPr>
        <w:t xml:space="preserve"> </w:t>
      </w:r>
      <w:r>
        <w:rPr>
          <w:rFonts w:ascii="Cambria Math" w:eastAsia="Cambria Math" w:hAnsi="Cambria Math" w:cs="Cambria Math"/>
          <w:sz w:val="24"/>
        </w:rPr>
        <w:t>𝑐𝑜𝑠</w:t>
      </w:r>
      <w:r>
        <w:rPr>
          <w:rFonts w:ascii="Cambria Math" w:eastAsia="Cambria Math" w:hAnsi="Cambria Math" w:cs="Cambria Math"/>
          <w:sz w:val="24"/>
        </w:rPr>
        <w:t xml:space="preserve"> </w:t>
      </w:r>
      <w:r>
        <w:rPr>
          <w:rFonts w:ascii="Cambria Math" w:eastAsia="Cambria Math" w:hAnsi="Cambria Math" w:cs="Cambria Math"/>
          <w:sz w:val="24"/>
        </w:rPr>
        <w:t>𝜃</w:t>
      </w:r>
      <w:r>
        <w:rPr>
          <w:rFonts w:ascii="Cambria Math" w:eastAsia="Cambria Math" w:hAnsi="Cambria Math" w:cs="Cambria Math"/>
          <w:sz w:val="24"/>
          <w:vertAlign w:val="subscript"/>
        </w:rPr>
        <w:t>1</w:t>
      </w:r>
      <w:r>
        <w:rPr>
          <w:rFonts w:ascii="Cambria Math" w:eastAsia="Cambria Math" w:hAnsi="Cambria Math" w:cs="Cambria Math"/>
          <w:sz w:val="24"/>
        </w:rPr>
        <w:t xml:space="preserve"> + </w:t>
      </w:r>
      <w:r>
        <w:rPr>
          <w:rFonts w:ascii="Cambria Math" w:eastAsia="Cambria Math" w:hAnsi="Cambria Math" w:cs="Cambria Math"/>
          <w:sz w:val="24"/>
        </w:rPr>
        <w:t>𝑙</w:t>
      </w:r>
      <w:r>
        <w:rPr>
          <w:rFonts w:ascii="Cambria Math" w:eastAsia="Cambria Math" w:hAnsi="Cambria Math" w:cs="Cambria Math"/>
          <w:sz w:val="24"/>
          <w:vertAlign w:val="subscript"/>
        </w:rPr>
        <w:t xml:space="preserve">2 </w:t>
      </w:r>
      <w:r>
        <w:rPr>
          <w:rFonts w:ascii="Cambria Math" w:eastAsia="Cambria Math" w:hAnsi="Cambria Math" w:cs="Cambria Math"/>
          <w:sz w:val="24"/>
        </w:rPr>
        <w:t>𝑐𝑜𝑠</w:t>
      </w:r>
      <w:r>
        <w:rPr>
          <w:rFonts w:ascii="Cambria Math" w:eastAsia="Cambria Math" w:hAnsi="Cambria Math" w:cs="Cambria Math"/>
          <w:sz w:val="24"/>
        </w:rPr>
        <w:t xml:space="preserve"> </w:t>
      </w:r>
      <w:r>
        <w:rPr>
          <w:rFonts w:ascii="Cambria Math" w:eastAsia="Cambria Math" w:hAnsi="Cambria Math" w:cs="Cambria Math"/>
          <w:sz w:val="24"/>
        </w:rPr>
        <w:t>𝑐𝑜𝑠</w:t>
      </w:r>
      <w:r>
        <w:rPr>
          <w:rFonts w:ascii="Cambria Math" w:eastAsia="Cambria Math" w:hAnsi="Cambria Math" w:cs="Cambria Math"/>
          <w:sz w:val="24"/>
        </w:rPr>
        <w:t xml:space="preserve"> </w:t>
      </w:r>
      <w:r>
        <w:rPr>
          <w:rFonts w:ascii="Cambria Math" w:eastAsia="Cambria Math" w:hAnsi="Cambria Math" w:cs="Cambria Math"/>
          <w:sz w:val="24"/>
        </w:rPr>
        <w:t>𝜃</w:t>
      </w:r>
      <w:r>
        <w:rPr>
          <w:rFonts w:ascii="Cambria Math" w:eastAsia="Cambria Math" w:hAnsi="Cambria Math" w:cs="Cambria Math"/>
          <w:sz w:val="24"/>
          <w:vertAlign w:val="subscript"/>
        </w:rPr>
        <w:t xml:space="preserve">2 </w:t>
      </w:r>
      <w:r>
        <w:rPr>
          <w:rFonts w:ascii="Cambria Math" w:eastAsia="Cambria Math" w:hAnsi="Cambria Math" w:cs="Cambria Math"/>
          <w:sz w:val="24"/>
        </w:rPr>
        <w:t>−</w:t>
      </w:r>
      <w:r>
        <w:rPr>
          <w:rFonts w:ascii="Cambria Math" w:eastAsia="Cambria Math" w:hAnsi="Cambria Math" w:cs="Cambria Math"/>
          <w:sz w:val="24"/>
        </w:rPr>
        <w:t xml:space="preserve"> </w:t>
      </w:r>
      <w:r>
        <w:rPr>
          <w:rFonts w:ascii="Cambria Math" w:eastAsia="Cambria Math" w:hAnsi="Cambria Math" w:cs="Cambria Math"/>
          <w:sz w:val="24"/>
        </w:rPr>
        <w:t>𝑙</w:t>
      </w:r>
      <w:r>
        <w:rPr>
          <w:rFonts w:ascii="Cambria Math" w:eastAsia="Cambria Math" w:hAnsi="Cambria Math" w:cs="Cambria Math"/>
          <w:sz w:val="24"/>
          <w:vertAlign w:val="subscript"/>
        </w:rPr>
        <w:t xml:space="preserve">3 </w:t>
      </w:r>
      <w:r>
        <w:rPr>
          <w:rFonts w:ascii="Cambria Math" w:eastAsia="Cambria Math" w:hAnsi="Cambria Math" w:cs="Cambria Math"/>
          <w:sz w:val="24"/>
        </w:rPr>
        <w:t>𝑐𝑜𝑠</w:t>
      </w:r>
      <w:r>
        <w:rPr>
          <w:rFonts w:ascii="Cambria Math" w:eastAsia="Cambria Math" w:hAnsi="Cambria Math" w:cs="Cambria Math"/>
          <w:sz w:val="24"/>
        </w:rPr>
        <w:t xml:space="preserve"> </w:t>
      </w:r>
      <w:r>
        <w:rPr>
          <w:rFonts w:ascii="Cambria Math" w:eastAsia="Cambria Math" w:hAnsi="Cambria Math" w:cs="Cambria Math"/>
          <w:sz w:val="24"/>
        </w:rPr>
        <w:t>𝑐𝑜𝑠</w:t>
      </w:r>
      <w:r>
        <w:rPr>
          <w:rFonts w:ascii="Cambria Math" w:eastAsia="Cambria Math" w:hAnsi="Cambria Math" w:cs="Cambria Math"/>
          <w:sz w:val="24"/>
        </w:rPr>
        <w:t xml:space="preserve"> </w:t>
      </w:r>
      <w:r>
        <w:rPr>
          <w:rFonts w:ascii="Cambria Math" w:eastAsia="Cambria Math" w:hAnsi="Cambria Math" w:cs="Cambria Math"/>
          <w:sz w:val="24"/>
        </w:rPr>
        <w:t>𝜃</w:t>
      </w:r>
      <w:r>
        <w:rPr>
          <w:rFonts w:ascii="Cambria Math" w:eastAsia="Cambria Math" w:hAnsi="Cambria Math" w:cs="Cambria Math"/>
          <w:sz w:val="24"/>
          <w:vertAlign w:val="subscript"/>
        </w:rPr>
        <w:t>3</w:t>
      </w:r>
      <w:r>
        <w:rPr>
          <w:rFonts w:ascii="Cambria Math" w:eastAsia="Cambria Math" w:hAnsi="Cambria Math" w:cs="Cambria Math"/>
          <w:sz w:val="24"/>
        </w:rPr>
        <w:t xml:space="preserve"> −</w:t>
      </w:r>
      <w:r>
        <w:rPr>
          <w:rFonts w:ascii="Cambria Math" w:eastAsia="Cambria Math" w:hAnsi="Cambria Math" w:cs="Cambria Math"/>
          <w:sz w:val="24"/>
        </w:rPr>
        <w:t>𝑙</w:t>
      </w:r>
      <w:r>
        <w:rPr>
          <w:rFonts w:ascii="Cambria Math" w:eastAsia="Cambria Math" w:hAnsi="Cambria Math" w:cs="Cambria Math"/>
          <w:sz w:val="24"/>
          <w:vertAlign w:val="subscript"/>
        </w:rPr>
        <w:t xml:space="preserve">4 </w:t>
      </w:r>
      <w:r>
        <w:rPr>
          <w:rFonts w:ascii="Cambria Math" w:eastAsia="Cambria Math" w:hAnsi="Cambria Math" w:cs="Cambria Math"/>
          <w:sz w:val="24"/>
        </w:rPr>
        <w:t>𝑐𝑜𝑠</w:t>
      </w:r>
      <w:r>
        <w:rPr>
          <w:rFonts w:ascii="Cambria Math" w:eastAsia="Cambria Math" w:hAnsi="Cambria Math" w:cs="Cambria Math"/>
          <w:sz w:val="24"/>
        </w:rPr>
        <w:t xml:space="preserve"> </w:t>
      </w:r>
      <w:r>
        <w:rPr>
          <w:rFonts w:ascii="Cambria Math" w:eastAsia="Cambria Math" w:hAnsi="Cambria Math" w:cs="Cambria Math"/>
          <w:sz w:val="24"/>
        </w:rPr>
        <w:t>𝑐𝑜𝑠</w:t>
      </w:r>
      <w:r>
        <w:rPr>
          <w:rFonts w:ascii="Cambria Math" w:eastAsia="Cambria Math" w:hAnsi="Cambria Math" w:cs="Cambria Math"/>
          <w:sz w:val="24"/>
        </w:rPr>
        <w:t xml:space="preserve"> </w:t>
      </w:r>
      <w:r>
        <w:rPr>
          <w:rFonts w:ascii="Cambria Math" w:eastAsia="Cambria Math" w:hAnsi="Cambria Math" w:cs="Cambria Math"/>
          <w:sz w:val="24"/>
        </w:rPr>
        <w:t>𝜃</w:t>
      </w:r>
      <w:r>
        <w:rPr>
          <w:rFonts w:ascii="Cambria Math" w:eastAsia="Cambria Math" w:hAnsi="Cambria Math" w:cs="Cambria Math"/>
          <w:sz w:val="24"/>
          <w:vertAlign w:val="subscript"/>
        </w:rPr>
        <w:t xml:space="preserve">4 </w:t>
      </w:r>
      <w:r>
        <w:rPr>
          <w:rFonts w:ascii="Cambria Math" w:eastAsia="Cambria Math" w:hAnsi="Cambria Math" w:cs="Cambria Math"/>
          <w:sz w:val="24"/>
        </w:rPr>
        <w:t>−</w:t>
      </w:r>
      <w:r>
        <w:rPr>
          <w:rFonts w:ascii="Cambria Math" w:eastAsia="Cambria Math" w:hAnsi="Cambria Math" w:cs="Cambria Math"/>
          <w:sz w:val="24"/>
        </w:rPr>
        <w:t xml:space="preserve"> </w:t>
      </w:r>
      <w:r>
        <w:rPr>
          <w:rFonts w:ascii="Cambria Math" w:eastAsia="Cambria Math" w:hAnsi="Cambria Math" w:cs="Cambria Math"/>
          <w:sz w:val="24"/>
        </w:rPr>
        <w:t>𝑙</w:t>
      </w:r>
      <w:r>
        <w:rPr>
          <w:rFonts w:ascii="Cambria Math" w:eastAsia="Cambria Math" w:hAnsi="Cambria Math" w:cs="Cambria Math"/>
          <w:sz w:val="24"/>
          <w:vertAlign w:val="subscript"/>
        </w:rPr>
        <w:t>5</w:t>
      </w:r>
      <w:r>
        <w:rPr>
          <w:rFonts w:ascii="Times New Roman" w:eastAsia="Times New Roman" w:hAnsi="Times New Roman" w:cs="Times New Roman"/>
          <w:i/>
          <w:sz w:val="24"/>
        </w:rPr>
        <w:t>=0                         (</w:t>
      </w:r>
      <w:r>
        <w:rPr>
          <w:rFonts w:ascii="Times New Roman" w:eastAsia="Times New Roman" w:hAnsi="Times New Roman" w:cs="Times New Roman"/>
          <w:sz w:val="24"/>
        </w:rPr>
        <w:t>4)</w:t>
      </w:r>
      <w:r>
        <w:rPr>
          <w:rFonts w:ascii="Times New Roman" w:eastAsia="Times New Roman" w:hAnsi="Times New Roman" w:cs="Times New Roman"/>
          <w:i/>
          <w:sz w:val="24"/>
        </w:rPr>
        <w:t xml:space="preserve"> </w:t>
      </w:r>
    </w:p>
    <w:p w:rsidR="0052701D" w:rsidRDefault="00D40929">
      <w:pPr>
        <w:spacing w:after="19"/>
        <w:ind w:left="706"/>
      </w:pPr>
      <w:r>
        <w:rPr>
          <w:rFonts w:ascii="Times New Roman" w:eastAsia="Times New Roman" w:hAnsi="Times New Roman" w:cs="Times New Roman"/>
          <w:i/>
          <w:sz w:val="24"/>
        </w:rPr>
        <w:t xml:space="preserve"> </w:t>
      </w:r>
    </w:p>
    <w:p w:rsidR="0052701D" w:rsidRDefault="00D40929">
      <w:pPr>
        <w:spacing w:after="0"/>
        <w:ind w:left="681" w:right="10" w:hanging="10"/>
        <w:jc w:val="center"/>
      </w:pPr>
      <w:r>
        <w:rPr>
          <w:rFonts w:ascii="Cambria Math" w:eastAsia="Cambria Math" w:hAnsi="Cambria Math" w:cs="Cambria Math"/>
          <w:sz w:val="24"/>
        </w:rPr>
        <w:t>𝑙</w:t>
      </w:r>
      <w:r>
        <w:rPr>
          <w:rFonts w:ascii="Cambria Math" w:eastAsia="Cambria Math" w:hAnsi="Cambria Math" w:cs="Cambria Math"/>
          <w:sz w:val="24"/>
          <w:vertAlign w:val="subscript"/>
        </w:rPr>
        <w:t xml:space="preserve">1 </w:t>
      </w:r>
      <w:r>
        <w:rPr>
          <w:rFonts w:ascii="Cambria Math" w:eastAsia="Cambria Math" w:hAnsi="Cambria Math" w:cs="Cambria Math"/>
          <w:sz w:val="24"/>
        </w:rPr>
        <w:t>𝑠𝑖𝑛</w:t>
      </w:r>
      <w:r>
        <w:rPr>
          <w:rFonts w:ascii="Cambria Math" w:eastAsia="Cambria Math" w:hAnsi="Cambria Math" w:cs="Cambria Math"/>
          <w:sz w:val="24"/>
        </w:rPr>
        <w:t xml:space="preserve"> </w:t>
      </w:r>
      <w:r>
        <w:rPr>
          <w:rFonts w:ascii="Cambria Math" w:eastAsia="Cambria Math" w:hAnsi="Cambria Math" w:cs="Cambria Math"/>
          <w:sz w:val="24"/>
        </w:rPr>
        <w:t>𝑠𝑖𝑛</w:t>
      </w:r>
      <w:r>
        <w:rPr>
          <w:rFonts w:ascii="Cambria Math" w:eastAsia="Cambria Math" w:hAnsi="Cambria Math" w:cs="Cambria Math"/>
          <w:sz w:val="24"/>
        </w:rPr>
        <w:t xml:space="preserve"> </w:t>
      </w:r>
      <w:r>
        <w:rPr>
          <w:rFonts w:ascii="Cambria Math" w:eastAsia="Cambria Math" w:hAnsi="Cambria Math" w:cs="Cambria Math"/>
          <w:sz w:val="24"/>
        </w:rPr>
        <w:t>𝜃</w:t>
      </w:r>
      <w:r>
        <w:rPr>
          <w:rFonts w:ascii="Cambria Math" w:eastAsia="Cambria Math" w:hAnsi="Cambria Math" w:cs="Cambria Math"/>
          <w:sz w:val="24"/>
          <w:vertAlign w:val="subscript"/>
        </w:rPr>
        <w:t>1</w:t>
      </w:r>
      <w:r>
        <w:rPr>
          <w:rFonts w:ascii="Cambria Math" w:eastAsia="Cambria Math" w:hAnsi="Cambria Math" w:cs="Cambria Math"/>
          <w:sz w:val="24"/>
        </w:rPr>
        <w:t xml:space="preserve"> + </w:t>
      </w:r>
      <w:r>
        <w:rPr>
          <w:rFonts w:ascii="Cambria Math" w:eastAsia="Cambria Math" w:hAnsi="Cambria Math" w:cs="Cambria Math"/>
          <w:sz w:val="24"/>
        </w:rPr>
        <w:t>𝑙</w:t>
      </w:r>
      <w:r>
        <w:rPr>
          <w:rFonts w:ascii="Cambria Math" w:eastAsia="Cambria Math" w:hAnsi="Cambria Math" w:cs="Cambria Math"/>
          <w:sz w:val="24"/>
          <w:vertAlign w:val="subscript"/>
        </w:rPr>
        <w:t xml:space="preserve">2 </w:t>
      </w:r>
      <w:r>
        <w:rPr>
          <w:rFonts w:ascii="Cambria Math" w:eastAsia="Cambria Math" w:hAnsi="Cambria Math" w:cs="Cambria Math"/>
          <w:sz w:val="24"/>
        </w:rPr>
        <w:t>𝑐𝑜𝑠</w:t>
      </w:r>
      <w:r>
        <w:rPr>
          <w:rFonts w:ascii="Cambria Math" w:eastAsia="Cambria Math" w:hAnsi="Cambria Math" w:cs="Cambria Math"/>
          <w:sz w:val="24"/>
        </w:rPr>
        <w:t xml:space="preserve"> </w:t>
      </w:r>
      <w:r>
        <w:rPr>
          <w:rFonts w:ascii="Cambria Math" w:eastAsia="Cambria Math" w:hAnsi="Cambria Math" w:cs="Cambria Math"/>
          <w:sz w:val="24"/>
        </w:rPr>
        <w:t>𝑐𝑜𝑠</w:t>
      </w:r>
      <w:r>
        <w:rPr>
          <w:rFonts w:ascii="Cambria Math" w:eastAsia="Cambria Math" w:hAnsi="Cambria Math" w:cs="Cambria Math"/>
          <w:sz w:val="24"/>
        </w:rPr>
        <w:t xml:space="preserve"> </w:t>
      </w:r>
      <w:r>
        <w:rPr>
          <w:rFonts w:ascii="Cambria Math" w:eastAsia="Cambria Math" w:hAnsi="Cambria Math" w:cs="Cambria Math"/>
          <w:sz w:val="24"/>
        </w:rPr>
        <w:t>𝜃</w:t>
      </w:r>
      <w:r>
        <w:rPr>
          <w:rFonts w:ascii="Cambria Math" w:eastAsia="Cambria Math" w:hAnsi="Cambria Math" w:cs="Cambria Math"/>
          <w:sz w:val="24"/>
          <w:vertAlign w:val="subscript"/>
        </w:rPr>
        <w:t xml:space="preserve">2 </w:t>
      </w:r>
      <w:r>
        <w:rPr>
          <w:rFonts w:ascii="Cambria Math" w:eastAsia="Cambria Math" w:hAnsi="Cambria Math" w:cs="Cambria Math"/>
          <w:sz w:val="24"/>
        </w:rPr>
        <w:t>−</w:t>
      </w:r>
      <w:r>
        <w:rPr>
          <w:rFonts w:ascii="Cambria Math" w:eastAsia="Cambria Math" w:hAnsi="Cambria Math" w:cs="Cambria Math"/>
          <w:sz w:val="24"/>
        </w:rPr>
        <w:t xml:space="preserve"> </w:t>
      </w:r>
      <w:r>
        <w:rPr>
          <w:rFonts w:ascii="Cambria Math" w:eastAsia="Cambria Math" w:hAnsi="Cambria Math" w:cs="Cambria Math"/>
          <w:sz w:val="24"/>
        </w:rPr>
        <w:t>𝑙</w:t>
      </w:r>
      <w:r>
        <w:rPr>
          <w:rFonts w:ascii="Cambria Math" w:eastAsia="Cambria Math" w:hAnsi="Cambria Math" w:cs="Cambria Math"/>
          <w:sz w:val="24"/>
          <w:vertAlign w:val="subscript"/>
        </w:rPr>
        <w:t xml:space="preserve">3 </w:t>
      </w:r>
      <w:r>
        <w:rPr>
          <w:rFonts w:ascii="Cambria Math" w:eastAsia="Cambria Math" w:hAnsi="Cambria Math" w:cs="Cambria Math"/>
          <w:sz w:val="24"/>
        </w:rPr>
        <w:t>𝑐𝑜𝑠</w:t>
      </w:r>
      <w:r>
        <w:rPr>
          <w:rFonts w:ascii="Cambria Math" w:eastAsia="Cambria Math" w:hAnsi="Cambria Math" w:cs="Cambria Math"/>
          <w:sz w:val="24"/>
        </w:rPr>
        <w:t xml:space="preserve"> </w:t>
      </w:r>
      <w:r>
        <w:rPr>
          <w:rFonts w:ascii="Cambria Math" w:eastAsia="Cambria Math" w:hAnsi="Cambria Math" w:cs="Cambria Math"/>
          <w:sz w:val="24"/>
        </w:rPr>
        <w:t>𝑐𝑜𝑠</w:t>
      </w:r>
      <w:r>
        <w:rPr>
          <w:rFonts w:ascii="Cambria Math" w:eastAsia="Cambria Math" w:hAnsi="Cambria Math" w:cs="Cambria Math"/>
          <w:sz w:val="24"/>
        </w:rPr>
        <w:t xml:space="preserve"> </w:t>
      </w:r>
      <w:r>
        <w:rPr>
          <w:rFonts w:ascii="Cambria Math" w:eastAsia="Cambria Math" w:hAnsi="Cambria Math" w:cs="Cambria Math"/>
          <w:sz w:val="24"/>
        </w:rPr>
        <w:t>𝜃</w:t>
      </w:r>
      <w:r>
        <w:rPr>
          <w:rFonts w:ascii="Cambria Math" w:eastAsia="Cambria Math" w:hAnsi="Cambria Math" w:cs="Cambria Math"/>
          <w:sz w:val="24"/>
          <w:vertAlign w:val="subscript"/>
        </w:rPr>
        <w:t>3</w:t>
      </w:r>
      <w:r>
        <w:rPr>
          <w:rFonts w:ascii="Cambria Math" w:eastAsia="Cambria Math" w:hAnsi="Cambria Math" w:cs="Cambria Math"/>
          <w:sz w:val="24"/>
        </w:rPr>
        <w:t xml:space="preserve"> −</w:t>
      </w:r>
      <w:r>
        <w:rPr>
          <w:rFonts w:ascii="Cambria Math" w:eastAsia="Cambria Math" w:hAnsi="Cambria Math" w:cs="Cambria Math"/>
          <w:sz w:val="24"/>
        </w:rPr>
        <w:t>𝑙</w:t>
      </w:r>
      <w:r>
        <w:rPr>
          <w:rFonts w:ascii="Cambria Math" w:eastAsia="Cambria Math" w:hAnsi="Cambria Math" w:cs="Cambria Math"/>
          <w:sz w:val="24"/>
          <w:vertAlign w:val="subscript"/>
        </w:rPr>
        <w:t xml:space="preserve">4 </w:t>
      </w:r>
      <w:r>
        <w:rPr>
          <w:rFonts w:ascii="Cambria Math" w:eastAsia="Cambria Math" w:hAnsi="Cambria Math" w:cs="Cambria Math"/>
          <w:sz w:val="24"/>
        </w:rPr>
        <w:t>𝑐𝑜𝑠</w:t>
      </w:r>
      <w:r>
        <w:rPr>
          <w:rFonts w:ascii="Cambria Math" w:eastAsia="Cambria Math" w:hAnsi="Cambria Math" w:cs="Cambria Math"/>
          <w:sz w:val="24"/>
        </w:rPr>
        <w:t xml:space="preserve"> </w:t>
      </w:r>
      <w:r>
        <w:rPr>
          <w:rFonts w:ascii="Cambria Math" w:eastAsia="Cambria Math" w:hAnsi="Cambria Math" w:cs="Cambria Math"/>
          <w:sz w:val="24"/>
        </w:rPr>
        <w:t>𝑐𝑜𝑠</w:t>
      </w:r>
      <w:r>
        <w:rPr>
          <w:rFonts w:ascii="Cambria Math" w:eastAsia="Cambria Math" w:hAnsi="Cambria Math" w:cs="Cambria Math"/>
          <w:sz w:val="24"/>
        </w:rPr>
        <w:t xml:space="preserve"> </w:t>
      </w:r>
      <w:r>
        <w:rPr>
          <w:rFonts w:ascii="Cambria Math" w:eastAsia="Cambria Math" w:hAnsi="Cambria Math" w:cs="Cambria Math"/>
          <w:sz w:val="24"/>
        </w:rPr>
        <w:t>𝜃</w:t>
      </w:r>
      <w:r>
        <w:rPr>
          <w:rFonts w:ascii="Cambria Math" w:eastAsia="Cambria Math" w:hAnsi="Cambria Math" w:cs="Cambria Math"/>
          <w:sz w:val="24"/>
          <w:vertAlign w:val="subscript"/>
        </w:rPr>
        <w:t>4</w:t>
      </w:r>
      <w:r>
        <w:rPr>
          <w:rFonts w:ascii="Cambria Math" w:eastAsia="Cambria Math" w:hAnsi="Cambria Math" w:cs="Cambria Math"/>
          <w:sz w:val="24"/>
        </w:rPr>
        <w:t xml:space="preserve"> </w:t>
      </w:r>
      <w:r>
        <w:rPr>
          <w:rFonts w:ascii="Times New Roman" w:eastAsia="Times New Roman" w:hAnsi="Times New Roman" w:cs="Times New Roman"/>
          <w:i/>
          <w:sz w:val="24"/>
        </w:rPr>
        <w:t xml:space="preserve">=0                                  (5) </w:t>
      </w:r>
    </w:p>
    <w:p w:rsidR="0052701D" w:rsidRDefault="00D40929">
      <w:pPr>
        <w:spacing w:after="20"/>
        <w:ind w:left="706"/>
      </w:pPr>
      <w:r>
        <w:rPr>
          <w:rFonts w:ascii="Times New Roman" w:eastAsia="Times New Roman" w:hAnsi="Times New Roman" w:cs="Times New Roman"/>
          <w:i/>
          <w:sz w:val="24"/>
        </w:rPr>
        <w:t xml:space="preserve"> </w:t>
      </w:r>
    </w:p>
    <w:p w:rsidR="0052701D" w:rsidRDefault="00D40929">
      <w:pPr>
        <w:spacing w:after="53" w:line="248" w:lineRule="auto"/>
        <w:ind w:left="706" w:right="14"/>
        <w:jc w:val="both"/>
      </w:pPr>
      <w:r>
        <w:rPr>
          <w:rFonts w:ascii="Times New Roman" w:eastAsia="Times New Roman" w:hAnsi="Times New Roman" w:cs="Times New Roman"/>
          <w:sz w:val="24"/>
        </w:rPr>
        <w:t>Метод Ньютона-</w:t>
      </w:r>
      <w:r>
        <w:rPr>
          <w:rFonts w:ascii="Times New Roman" w:eastAsia="Times New Roman" w:hAnsi="Times New Roman" w:cs="Times New Roman"/>
          <w:sz w:val="24"/>
        </w:rPr>
        <w:t xml:space="preserve">Рафсона используется для решения уравнений (3) и (4). </w:t>
      </w:r>
    </w:p>
    <w:p w:rsidR="0052701D" w:rsidRDefault="00D40929">
      <w:pPr>
        <w:spacing w:after="29" w:line="248" w:lineRule="auto"/>
        <w:ind w:left="706" w:right="14"/>
        <w:jc w:val="both"/>
      </w:pPr>
      <w:r>
        <w:rPr>
          <w:rFonts w:ascii="Cambria Math" w:eastAsia="Cambria Math" w:hAnsi="Cambria Math" w:cs="Cambria Math"/>
          <w:sz w:val="24"/>
        </w:rPr>
        <w:t>𝜃</w:t>
      </w:r>
      <w:r>
        <w:rPr>
          <w:rFonts w:ascii="Cambria Math" w:eastAsia="Cambria Math" w:hAnsi="Cambria Math" w:cs="Cambria Math"/>
          <w:sz w:val="24"/>
          <w:vertAlign w:val="subscript"/>
        </w:rPr>
        <w:t>1</w:t>
      </w:r>
      <w:r>
        <w:rPr>
          <w:rFonts w:ascii="Times New Roman" w:eastAsia="Times New Roman" w:hAnsi="Times New Roman" w:cs="Times New Roman"/>
          <w:sz w:val="24"/>
        </w:rPr>
        <w:t xml:space="preserve">, </w:t>
      </w:r>
      <w:r>
        <w:rPr>
          <w:rFonts w:ascii="Cambria Math" w:eastAsia="Cambria Math" w:hAnsi="Cambria Math" w:cs="Cambria Math"/>
          <w:sz w:val="24"/>
        </w:rPr>
        <w:t>𝜃</w:t>
      </w:r>
      <w:r>
        <w:rPr>
          <w:rFonts w:ascii="Cambria Math" w:eastAsia="Cambria Math" w:hAnsi="Cambria Math" w:cs="Cambria Math"/>
          <w:sz w:val="24"/>
          <w:vertAlign w:val="subscript"/>
        </w:rPr>
        <w:t>4</w:t>
      </w:r>
      <w:r>
        <w:rPr>
          <w:rFonts w:ascii="Times New Roman" w:eastAsia="Times New Roman" w:hAnsi="Times New Roman" w:cs="Times New Roman"/>
          <w:sz w:val="24"/>
        </w:rPr>
        <w:t xml:space="preserve"> и длина всех звеньев известны.   </w:t>
      </w:r>
    </w:p>
    <w:p w:rsidR="0052701D" w:rsidRDefault="00D40929">
      <w:pPr>
        <w:spacing w:after="0" w:line="248" w:lineRule="auto"/>
        <w:ind w:left="9" w:right="14" w:firstLine="711"/>
        <w:jc w:val="both"/>
      </w:pPr>
      <w:r>
        <w:rPr>
          <w:rFonts w:ascii="Times New Roman" w:eastAsia="Times New Roman" w:hAnsi="Times New Roman" w:cs="Times New Roman"/>
          <w:sz w:val="24"/>
        </w:rPr>
        <w:t>Цель решения обратной кинематики состоит в том, чтобы определить отображение из положения движущегося конечного эффектора в декартовом пространстве на набор п</w:t>
      </w:r>
      <w:r>
        <w:rPr>
          <w:rFonts w:ascii="Times New Roman" w:eastAsia="Times New Roman" w:hAnsi="Times New Roman" w:cs="Times New Roman"/>
          <w:sz w:val="24"/>
        </w:rPr>
        <w:t xml:space="preserve">оложений шарнира, который достигает этого положения. Для этого анализа положение движущегося конечного эффектора считается известным и задается вектором положения, который определяет местоположение </w:t>
      </w:r>
      <w:r>
        <w:rPr>
          <w:rFonts w:ascii="Times New Roman" w:eastAsia="Times New Roman" w:hAnsi="Times New Roman" w:cs="Times New Roman"/>
          <w:b/>
          <w:sz w:val="24"/>
        </w:rPr>
        <w:t>e</w:t>
      </w:r>
      <w:r>
        <w:rPr>
          <w:rFonts w:ascii="Times New Roman" w:eastAsia="Times New Roman" w:hAnsi="Times New Roman" w:cs="Times New Roman"/>
          <w:sz w:val="24"/>
        </w:rPr>
        <w:t xml:space="preserve"> в центре конечного эффектора в системе координат XYZ [12</w:t>
      </w:r>
      <w:r>
        <w:rPr>
          <w:rFonts w:ascii="Times New Roman" w:eastAsia="Times New Roman" w:hAnsi="Times New Roman" w:cs="Times New Roman"/>
          <w:sz w:val="24"/>
        </w:rPr>
        <w:t xml:space="preserve">] </w:t>
      </w:r>
    </w:p>
    <w:p w:rsidR="0052701D" w:rsidRDefault="00D40929">
      <w:pPr>
        <w:spacing w:after="31"/>
        <w:ind w:left="706"/>
      </w:pPr>
      <w:r>
        <w:rPr>
          <w:rFonts w:ascii="Times New Roman" w:eastAsia="Times New Roman" w:hAnsi="Times New Roman" w:cs="Times New Roman"/>
          <w:sz w:val="24"/>
        </w:rPr>
        <w:t xml:space="preserve"> </w:t>
      </w:r>
    </w:p>
    <w:p w:rsidR="0052701D" w:rsidRDefault="00D40929">
      <w:pPr>
        <w:spacing w:after="0"/>
        <w:ind w:left="681" w:hanging="10"/>
        <w:jc w:val="center"/>
      </w:pPr>
      <w:r>
        <w:rPr>
          <w:rFonts w:ascii="Cambria Math" w:eastAsia="Cambria Math" w:hAnsi="Cambria Math" w:cs="Cambria Math"/>
          <w:sz w:val="24"/>
        </w:rPr>
        <w:t>𝑥</w:t>
      </w:r>
      <w:r>
        <w:rPr>
          <w:rFonts w:ascii="Cambria Math" w:eastAsia="Cambria Math" w:hAnsi="Cambria Math" w:cs="Cambria Math"/>
          <w:sz w:val="24"/>
          <w:vertAlign w:val="subscript"/>
        </w:rPr>
        <w:t>𝑒</w:t>
      </w:r>
      <w:r>
        <w:rPr>
          <w:rFonts w:ascii="Cambria Math" w:eastAsia="Cambria Math" w:hAnsi="Cambria Math" w:cs="Cambria Math"/>
          <w:sz w:val="24"/>
          <w:vertAlign w:val="subscript"/>
        </w:rPr>
        <w:t xml:space="preserve"> </w:t>
      </w:r>
      <w:r>
        <w:rPr>
          <w:rFonts w:ascii="Cambria Math" w:eastAsia="Cambria Math" w:hAnsi="Cambria Math" w:cs="Cambria Math"/>
          <w:sz w:val="24"/>
        </w:rPr>
        <w:t xml:space="preserve">= </w:t>
      </w:r>
      <w:r>
        <w:rPr>
          <w:rFonts w:ascii="Cambria Math" w:eastAsia="Cambria Math" w:hAnsi="Cambria Math" w:cs="Cambria Math"/>
          <w:sz w:val="24"/>
        </w:rPr>
        <w:t>𝑙</w:t>
      </w:r>
      <w:r>
        <w:rPr>
          <w:rFonts w:ascii="Cambria Math" w:eastAsia="Cambria Math" w:hAnsi="Cambria Math" w:cs="Cambria Math"/>
          <w:sz w:val="24"/>
          <w:vertAlign w:val="subscript"/>
        </w:rPr>
        <w:t xml:space="preserve">1 </w:t>
      </w:r>
      <w:r>
        <w:rPr>
          <w:rFonts w:ascii="Cambria Math" w:eastAsia="Cambria Math" w:hAnsi="Cambria Math" w:cs="Cambria Math"/>
          <w:sz w:val="24"/>
        </w:rPr>
        <w:t>𝑐𝑜𝑠</w:t>
      </w:r>
      <w:r>
        <w:rPr>
          <w:rFonts w:ascii="Cambria Math" w:eastAsia="Cambria Math" w:hAnsi="Cambria Math" w:cs="Cambria Math"/>
          <w:sz w:val="24"/>
        </w:rPr>
        <w:t xml:space="preserve"> </w:t>
      </w:r>
      <w:r>
        <w:rPr>
          <w:rFonts w:ascii="Cambria Math" w:eastAsia="Cambria Math" w:hAnsi="Cambria Math" w:cs="Cambria Math"/>
          <w:sz w:val="24"/>
        </w:rPr>
        <w:t>𝑐𝑜𝑠</w:t>
      </w:r>
      <w:r>
        <w:rPr>
          <w:rFonts w:ascii="Cambria Math" w:eastAsia="Cambria Math" w:hAnsi="Cambria Math" w:cs="Cambria Math"/>
          <w:sz w:val="24"/>
        </w:rPr>
        <w:t xml:space="preserve"> </w:t>
      </w:r>
      <w:r>
        <w:rPr>
          <w:rFonts w:ascii="Cambria Math" w:eastAsia="Cambria Math" w:hAnsi="Cambria Math" w:cs="Cambria Math"/>
          <w:sz w:val="24"/>
        </w:rPr>
        <w:t>𝜃</w:t>
      </w:r>
      <w:r>
        <w:rPr>
          <w:rFonts w:ascii="Cambria Math" w:eastAsia="Cambria Math" w:hAnsi="Cambria Math" w:cs="Cambria Math"/>
          <w:sz w:val="24"/>
          <w:vertAlign w:val="subscript"/>
        </w:rPr>
        <w:t xml:space="preserve">1 </w:t>
      </w:r>
      <w:r>
        <w:rPr>
          <w:rFonts w:ascii="Cambria Math" w:eastAsia="Cambria Math" w:hAnsi="Cambria Math" w:cs="Cambria Math"/>
          <w:sz w:val="24"/>
        </w:rPr>
        <w:t xml:space="preserve">+ </w:t>
      </w:r>
      <w:r>
        <w:rPr>
          <w:rFonts w:ascii="Cambria Math" w:eastAsia="Cambria Math" w:hAnsi="Cambria Math" w:cs="Cambria Math"/>
          <w:sz w:val="24"/>
        </w:rPr>
        <w:t>𝑙</w:t>
      </w:r>
      <w:r>
        <w:rPr>
          <w:rFonts w:ascii="Cambria Math" w:eastAsia="Cambria Math" w:hAnsi="Cambria Math" w:cs="Cambria Math"/>
          <w:sz w:val="24"/>
          <w:vertAlign w:val="subscript"/>
        </w:rPr>
        <w:t xml:space="preserve">2 </w:t>
      </w:r>
      <w:r>
        <w:rPr>
          <w:rFonts w:ascii="Cambria Math" w:eastAsia="Cambria Math" w:hAnsi="Cambria Math" w:cs="Cambria Math"/>
          <w:sz w:val="24"/>
        </w:rPr>
        <w:t>𝑐𝑜𝑠</w:t>
      </w:r>
      <w:r>
        <w:rPr>
          <w:rFonts w:ascii="Cambria Math" w:eastAsia="Cambria Math" w:hAnsi="Cambria Math" w:cs="Cambria Math"/>
          <w:sz w:val="24"/>
        </w:rPr>
        <w:t xml:space="preserve"> </w:t>
      </w:r>
      <w:r>
        <w:rPr>
          <w:rFonts w:ascii="Cambria Math" w:eastAsia="Cambria Math" w:hAnsi="Cambria Math" w:cs="Cambria Math"/>
          <w:sz w:val="24"/>
        </w:rPr>
        <w:t>𝑐𝑜𝑠</w:t>
      </w:r>
      <w:r>
        <w:rPr>
          <w:rFonts w:ascii="Cambria Math" w:eastAsia="Cambria Math" w:hAnsi="Cambria Math" w:cs="Cambria Math"/>
          <w:sz w:val="24"/>
        </w:rPr>
        <w:t xml:space="preserve"> </w:t>
      </w:r>
      <w:r>
        <w:rPr>
          <w:rFonts w:ascii="Cambria Math" w:eastAsia="Cambria Math" w:hAnsi="Cambria Math" w:cs="Cambria Math"/>
          <w:sz w:val="24"/>
        </w:rPr>
        <w:t>𝜃</w:t>
      </w:r>
      <w:r>
        <w:rPr>
          <w:rFonts w:ascii="Cambria Math" w:eastAsia="Cambria Math" w:hAnsi="Cambria Math" w:cs="Cambria Math"/>
          <w:sz w:val="24"/>
          <w:vertAlign w:val="subscript"/>
        </w:rPr>
        <w:t xml:space="preserve">2 </w:t>
      </w:r>
      <w:r>
        <w:rPr>
          <w:rFonts w:ascii="Cambria Math" w:eastAsia="Cambria Math" w:hAnsi="Cambria Math" w:cs="Cambria Math"/>
          <w:sz w:val="24"/>
        </w:rPr>
        <w:t xml:space="preserve">= </w:t>
      </w:r>
      <w:r>
        <w:rPr>
          <w:rFonts w:ascii="Cambria Math" w:eastAsia="Cambria Math" w:hAnsi="Cambria Math" w:cs="Cambria Math"/>
          <w:sz w:val="24"/>
        </w:rPr>
        <w:t>𝑙</w:t>
      </w:r>
      <w:r>
        <w:rPr>
          <w:rFonts w:ascii="Cambria Math" w:eastAsia="Cambria Math" w:hAnsi="Cambria Math" w:cs="Cambria Math"/>
          <w:sz w:val="24"/>
          <w:vertAlign w:val="subscript"/>
        </w:rPr>
        <w:t xml:space="preserve">3 </w:t>
      </w:r>
      <w:r>
        <w:rPr>
          <w:rFonts w:ascii="Cambria Math" w:eastAsia="Cambria Math" w:hAnsi="Cambria Math" w:cs="Cambria Math"/>
          <w:sz w:val="24"/>
        </w:rPr>
        <w:t>𝑐𝑜𝑠</w:t>
      </w:r>
      <w:r>
        <w:rPr>
          <w:rFonts w:ascii="Cambria Math" w:eastAsia="Cambria Math" w:hAnsi="Cambria Math" w:cs="Cambria Math"/>
          <w:sz w:val="24"/>
        </w:rPr>
        <w:t xml:space="preserve"> </w:t>
      </w:r>
      <w:r>
        <w:rPr>
          <w:rFonts w:ascii="Cambria Math" w:eastAsia="Cambria Math" w:hAnsi="Cambria Math" w:cs="Cambria Math"/>
          <w:sz w:val="24"/>
        </w:rPr>
        <w:t>𝑐𝑜𝑠</w:t>
      </w:r>
      <w:r>
        <w:rPr>
          <w:rFonts w:ascii="Cambria Math" w:eastAsia="Cambria Math" w:hAnsi="Cambria Math" w:cs="Cambria Math"/>
          <w:sz w:val="24"/>
        </w:rPr>
        <w:t xml:space="preserve"> </w:t>
      </w:r>
      <w:r>
        <w:rPr>
          <w:rFonts w:ascii="Cambria Math" w:eastAsia="Cambria Math" w:hAnsi="Cambria Math" w:cs="Cambria Math"/>
          <w:sz w:val="24"/>
        </w:rPr>
        <w:t>𝜃</w:t>
      </w:r>
      <w:r>
        <w:rPr>
          <w:rFonts w:ascii="Cambria Math" w:eastAsia="Cambria Math" w:hAnsi="Cambria Math" w:cs="Cambria Math"/>
          <w:sz w:val="24"/>
          <w:vertAlign w:val="subscript"/>
        </w:rPr>
        <w:t xml:space="preserve">3 </w:t>
      </w:r>
      <w:r>
        <w:rPr>
          <w:rFonts w:ascii="Cambria Math" w:eastAsia="Cambria Math" w:hAnsi="Cambria Math" w:cs="Cambria Math"/>
          <w:sz w:val="24"/>
        </w:rPr>
        <w:t xml:space="preserve">+ </w:t>
      </w:r>
      <w:r>
        <w:rPr>
          <w:rFonts w:ascii="Cambria Math" w:eastAsia="Cambria Math" w:hAnsi="Cambria Math" w:cs="Cambria Math"/>
          <w:sz w:val="24"/>
        </w:rPr>
        <w:t>𝑙</w:t>
      </w:r>
      <w:r>
        <w:rPr>
          <w:rFonts w:ascii="Cambria Math" w:eastAsia="Cambria Math" w:hAnsi="Cambria Math" w:cs="Cambria Math"/>
          <w:sz w:val="24"/>
          <w:vertAlign w:val="subscript"/>
        </w:rPr>
        <w:t xml:space="preserve">4 </w:t>
      </w:r>
      <w:r>
        <w:rPr>
          <w:rFonts w:ascii="Cambria Math" w:eastAsia="Cambria Math" w:hAnsi="Cambria Math" w:cs="Cambria Math"/>
          <w:sz w:val="24"/>
        </w:rPr>
        <w:t>𝑐𝑜𝑠</w:t>
      </w:r>
      <w:r>
        <w:rPr>
          <w:rFonts w:ascii="Cambria Math" w:eastAsia="Cambria Math" w:hAnsi="Cambria Math" w:cs="Cambria Math"/>
          <w:sz w:val="24"/>
        </w:rPr>
        <w:t xml:space="preserve"> </w:t>
      </w:r>
      <w:r>
        <w:rPr>
          <w:rFonts w:ascii="Cambria Math" w:eastAsia="Cambria Math" w:hAnsi="Cambria Math" w:cs="Cambria Math"/>
          <w:sz w:val="24"/>
        </w:rPr>
        <w:t>𝑐𝑜𝑠</w:t>
      </w:r>
      <w:r>
        <w:rPr>
          <w:rFonts w:ascii="Cambria Math" w:eastAsia="Cambria Math" w:hAnsi="Cambria Math" w:cs="Cambria Math"/>
          <w:sz w:val="24"/>
        </w:rPr>
        <w:t xml:space="preserve"> </w:t>
      </w:r>
      <w:r>
        <w:rPr>
          <w:rFonts w:ascii="Cambria Math" w:eastAsia="Cambria Math" w:hAnsi="Cambria Math" w:cs="Cambria Math"/>
          <w:sz w:val="24"/>
        </w:rPr>
        <w:t>𝜃</w:t>
      </w:r>
      <w:r>
        <w:rPr>
          <w:rFonts w:ascii="Cambria Math" w:eastAsia="Cambria Math" w:hAnsi="Cambria Math" w:cs="Cambria Math"/>
          <w:sz w:val="24"/>
          <w:vertAlign w:val="subscript"/>
        </w:rPr>
        <w:t>4</w:t>
      </w:r>
      <w:r>
        <w:rPr>
          <w:rFonts w:ascii="Cambria Math" w:eastAsia="Cambria Math" w:hAnsi="Cambria Math" w:cs="Cambria Math"/>
          <w:sz w:val="24"/>
        </w:rPr>
        <w:t xml:space="preserve"> </w:t>
      </w:r>
      <w:r>
        <w:rPr>
          <w:rFonts w:ascii="Times New Roman" w:eastAsia="Times New Roman" w:hAnsi="Times New Roman" w:cs="Times New Roman"/>
          <w:sz w:val="24"/>
        </w:rPr>
        <w:t>+</w:t>
      </w:r>
      <w:r>
        <w:rPr>
          <w:rFonts w:ascii="Cambria Math" w:eastAsia="Cambria Math" w:hAnsi="Cambria Math" w:cs="Cambria Math"/>
          <w:sz w:val="24"/>
        </w:rPr>
        <w:t>𝑙</w:t>
      </w:r>
      <w:r>
        <w:rPr>
          <w:rFonts w:ascii="Cambria Math" w:eastAsia="Cambria Math" w:hAnsi="Cambria Math" w:cs="Cambria Math"/>
          <w:sz w:val="24"/>
          <w:vertAlign w:val="subscript"/>
        </w:rPr>
        <w:t>5</w:t>
      </w:r>
      <w:r>
        <w:rPr>
          <w:rFonts w:ascii="Times New Roman" w:eastAsia="Times New Roman" w:hAnsi="Times New Roman" w:cs="Times New Roman"/>
          <w:sz w:val="24"/>
        </w:rPr>
        <w:t xml:space="preserve">                         </w:t>
      </w:r>
      <w:r>
        <w:rPr>
          <w:rFonts w:ascii="Times New Roman" w:eastAsia="Times New Roman" w:hAnsi="Times New Roman" w:cs="Times New Roman"/>
          <w:i/>
          <w:sz w:val="24"/>
        </w:rPr>
        <w:t>(</w:t>
      </w:r>
      <w:r>
        <w:rPr>
          <w:rFonts w:ascii="Times New Roman" w:eastAsia="Times New Roman" w:hAnsi="Times New Roman" w:cs="Times New Roman"/>
          <w:sz w:val="24"/>
        </w:rPr>
        <w:t xml:space="preserve">5) </w:t>
      </w:r>
    </w:p>
    <w:p w:rsidR="0052701D" w:rsidRDefault="00D40929">
      <w:pPr>
        <w:spacing w:after="28"/>
        <w:ind w:left="706"/>
      </w:pPr>
      <w:r>
        <w:rPr>
          <w:rFonts w:ascii="Times New Roman" w:eastAsia="Times New Roman" w:hAnsi="Times New Roman" w:cs="Times New Roman"/>
          <w:sz w:val="24"/>
        </w:rPr>
        <w:t xml:space="preserve"> </w:t>
      </w:r>
    </w:p>
    <w:p w:rsidR="0052701D" w:rsidRDefault="00D40929">
      <w:pPr>
        <w:spacing w:after="0"/>
        <w:ind w:left="681" w:right="5" w:hanging="10"/>
        <w:jc w:val="center"/>
      </w:pPr>
      <w:r>
        <w:rPr>
          <w:rFonts w:ascii="Times New Roman" w:eastAsia="Times New Roman" w:hAnsi="Times New Roman" w:cs="Times New Roman"/>
          <w:sz w:val="24"/>
        </w:rPr>
        <w:t xml:space="preserve"> </w:t>
      </w:r>
      <w:r>
        <w:rPr>
          <w:rFonts w:ascii="Cambria Math" w:eastAsia="Cambria Math" w:hAnsi="Cambria Math" w:cs="Cambria Math"/>
          <w:sz w:val="24"/>
        </w:rPr>
        <w:t>𝑦</w:t>
      </w:r>
      <w:r>
        <w:rPr>
          <w:rFonts w:ascii="Cambria Math" w:eastAsia="Cambria Math" w:hAnsi="Cambria Math" w:cs="Cambria Math"/>
          <w:sz w:val="24"/>
          <w:vertAlign w:val="subscript"/>
        </w:rPr>
        <w:t>𝑒</w:t>
      </w:r>
      <w:r>
        <w:rPr>
          <w:rFonts w:ascii="Cambria Math" w:eastAsia="Cambria Math" w:hAnsi="Cambria Math" w:cs="Cambria Math"/>
          <w:sz w:val="24"/>
          <w:vertAlign w:val="subscript"/>
        </w:rPr>
        <w:t xml:space="preserve"> </w:t>
      </w:r>
      <w:r>
        <w:rPr>
          <w:rFonts w:ascii="Cambria Math" w:eastAsia="Cambria Math" w:hAnsi="Cambria Math" w:cs="Cambria Math"/>
          <w:sz w:val="24"/>
        </w:rPr>
        <w:t xml:space="preserve">= </w:t>
      </w:r>
      <w:r>
        <w:rPr>
          <w:rFonts w:ascii="Cambria Math" w:eastAsia="Cambria Math" w:hAnsi="Cambria Math" w:cs="Cambria Math"/>
          <w:sz w:val="24"/>
        </w:rPr>
        <w:t>𝑙</w:t>
      </w:r>
      <w:r>
        <w:rPr>
          <w:rFonts w:ascii="Cambria Math" w:eastAsia="Cambria Math" w:hAnsi="Cambria Math" w:cs="Cambria Math"/>
          <w:sz w:val="24"/>
          <w:vertAlign w:val="subscript"/>
        </w:rPr>
        <w:t xml:space="preserve">1 </w:t>
      </w:r>
      <w:r>
        <w:rPr>
          <w:rFonts w:ascii="Cambria Math" w:eastAsia="Cambria Math" w:hAnsi="Cambria Math" w:cs="Cambria Math"/>
          <w:sz w:val="24"/>
        </w:rPr>
        <w:t>𝑠𝑖𝑛</w:t>
      </w:r>
      <w:r>
        <w:rPr>
          <w:rFonts w:ascii="Cambria Math" w:eastAsia="Cambria Math" w:hAnsi="Cambria Math" w:cs="Cambria Math"/>
          <w:sz w:val="24"/>
        </w:rPr>
        <w:t xml:space="preserve"> </w:t>
      </w:r>
      <w:r>
        <w:rPr>
          <w:rFonts w:ascii="Cambria Math" w:eastAsia="Cambria Math" w:hAnsi="Cambria Math" w:cs="Cambria Math"/>
          <w:sz w:val="24"/>
        </w:rPr>
        <w:t>𝑠𝑖𝑛</w:t>
      </w:r>
      <w:r>
        <w:rPr>
          <w:rFonts w:ascii="Cambria Math" w:eastAsia="Cambria Math" w:hAnsi="Cambria Math" w:cs="Cambria Math"/>
          <w:sz w:val="24"/>
        </w:rPr>
        <w:t xml:space="preserve"> </w:t>
      </w:r>
      <w:r>
        <w:rPr>
          <w:rFonts w:ascii="Cambria Math" w:eastAsia="Cambria Math" w:hAnsi="Cambria Math" w:cs="Cambria Math"/>
          <w:sz w:val="24"/>
        </w:rPr>
        <w:t>𝜃</w:t>
      </w:r>
      <w:r>
        <w:rPr>
          <w:rFonts w:ascii="Cambria Math" w:eastAsia="Cambria Math" w:hAnsi="Cambria Math" w:cs="Cambria Math"/>
          <w:sz w:val="24"/>
          <w:vertAlign w:val="subscript"/>
        </w:rPr>
        <w:t xml:space="preserve">1 </w:t>
      </w:r>
      <w:r>
        <w:rPr>
          <w:rFonts w:ascii="Cambria Math" w:eastAsia="Cambria Math" w:hAnsi="Cambria Math" w:cs="Cambria Math"/>
          <w:sz w:val="24"/>
        </w:rPr>
        <w:t xml:space="preserve">+ </w:t>
      </w:r>
      <w:r>
        <w:rPr>
          <w:rFonts w:ascii="Cambria Math" w:eastAsia="Cambria Math" w:hAnsi="Cambria Math" w:cs="Cambria Math"/>
          <w:sz w:val="24"/>
        </w:rPr>
        <w:t>𝑙</w:t>
      </w:r>
      <w:r>
        <w:rPr>
          <w:rFonts w:ascii="Cambria Math" w:eastAsia="Cambria Math" w:hAnsi="Cambria Math" w:cs="Cambria Math"/>
          <w:sz w:val="24"/>
          <w:vertAlign w:val="subscript"/>
        </w:rPr>
        <w:t xml:space="preserve">2 </w:t>
      </w:r>
      <w:r>
        <w:rPr>
          <w:rFonts w:ascii="Cambria Math" w:eastAsia="Cambria Math" w:hAnsi="Cambria Math" w:cs="Cambria Math"/>
          <w:sz w:val="24"/>
        </w:rPr>
        <w:t>𝑐𝑜𝑠</w:t>
      </w:r>
      <w:r>
        <w:rPr>
          <w:rFonts w:ascii="Cambria Math" w:eastAsia="Cambria Math" w:hAnsi="Cambria Math" w:cs="Cambria Math"/>
          <w:sz w:val="24"/>
        </w:rPr>
        <w:t xml:space="preserve"> </w:t>
      </w:r>
      <w:r>
        <w:rPr>
          <w:rFonts w:ascii="Cambria Math" w:eastAsia="Cambria Math" w:hAnsi="Cambria Math" w:cs="Cambria Math"/>
          <w:sz w:val="24"/>
        </w:rPr>
        <w:t>𝑐𝑜𝑠</w:t>
      </w:r>
      <w:r>
        <w:rPr>
          <w:rFonts w:ascii="Cambria Math" w:eastAsia="Cambria Math" w:hAnsi="Cambria Math" w:cs="Cambria Math"/>
          <w:sz w:val="24"/>
        </w:rPr>
        <w:t xml:space="preserve"> </w:t>
      </w:r>
      <w:r>
        <w:rPr>
          <w:rFonts w:ascii="Cambria Math" w:eastAsia="Cambria Math" w:hAnsi="Cambria Math" w:cs="Cambria Math"/>
          <w:sz w:val="24"/>
        </w:rPr>
        <w:t>𝜃</w:t>
      </w:r>
      <w:r>
        <w:rPr>
          <w:rFonts w:ascii="Cambria Math" w:eastAsia="Cambria Math" w:hAnsi="Cambria Math" w:cs="Cambria Math"/>
          <w:sz w:val="24"/>
          <w:vertAlign w:val="subscript"/>
        </w:rPr>
        <w:t>2</w:t>
      </w:r>
      <w:r>
        <w:rPr>
          <w:rFonts w:ascii="Cambria Math" w:eastAsia="Cambria Math" w:hAnsi="Cambria Math" w:cs="Cambria Math"/>
          <w:sz w:val="24"/>
        </w:rPr>
        <w:t xml:space="preserve"> = </w:t>
      </w:r>
      <w:r>
        <w:rPr>
          <w:rFonts w:ascii="Cambria Math" w:eastAsia="Cambria Math" w:hAnsi="Cambria Math" w:cs="Cambria Math"/>
          <w:sz w:val="24"/>
        </w:rPr>
        <w:t>𝑙</w:t>
      </w:r>
      <w:r>
        <w:rPr>
          <w:rFonts w:ascii="Cambria Math" w:eastAsia="Cambria Math" w:hAnsi="Cambria Math" w:cs="Cambria Math"/>
          <w:sz w:val="24"/>
          <w:vertAlign w:val="subscript"/>
        </w:rPr>
        <w:t xml:space="preserve">3 </w:t>
      </w:r>
      <w:r>
        <w:rPr>
          <w:rFonts w:ascii="Cambria Math" w:eastAsia="Cambria Math" w:hAnsi="Cambria Math" w:cs="Cambria Math"/>
          <w:sz w:val="24"/>
        </w:rPr>
        <w:t>𝑐𝑜𝑠</w:t>
      </w:r>
      <w:r>
        <w:rPr>
          <w:rFonts w:ascii="Cambria Math" w:eastAsia="Cambria Math" w:hAnsi="Cambria Math" w:cs="Cambria Math"/>
          <w:sz w:val="24"/>
        </w:rPr>
        <w:t xml:space="preserve"> </w:t>
      </w:r>
      <w:r>
        <w:rPr>
          <w:rFonts w:ascii="Cambria Math" w:eastAsia="Cambria Math" w:hAnsi="Cambria Math" w:cs="Cambria Math"/>
          <w:sz w:val="24"/>
        </w:rPr>
        <w:t>𝑐𝑜𝑠</w:t>
      </w:r>
      <w:r>
        <w:rPr>
          <w:rFonts w:ascii="Cambria Math" w:eastAsia="Cambria Math" w:hAnsi="Cambria Math" w:cs="Cambria Math"/>
          <w:sz w:val="24"/>
        </w:rPr>
        <w:t xml:space="preserve"> </w:t>
      </w:r>
      <w:r>
        <w:rPr>
          <w:rFonts w:ascii="Cambria Math" w:eastAsia="Cambria Math" w:hAnsi="Cambria Math" w:cs="Cambria Math"/>
          <w:sz w:val="24"/>
        </w:rPr>
        <w:t>𝜃</w:t>
      </w:r>
      <w:r>
        <w:rPr>
          <w:rFonts w:ascii="Cambria Math" w:eastAsia="Cambria Math" w:hAnsi="Cambria Math" w:cs="Cambria Math"/>
          <w:sz w:val="24"/>
          <w:vertAlign w:val="subscript"/>
        </w:rPr>
        <w:t>3</w:t>
      </w:r>
      <w:r>
        <w:rPr>
          <w:rFonts w:ascii="Cambria Math" w:eastAsia="Cambria Math" w:hAnsi="Cambria Math" w:cs="Cambria Math"/>
          <w:sz w:val="24"/>
        </w:rPr>
        <w:t xml:space="preserve"> −</w:t>
      </w:r>
      <w:r>
        <w:rPr>
          <w:rFonts w:ascii="Cambria Math" w:eastAsia="Cambria Math" w:hAnsi="Cambria Math" w:cs="Cambria Math"/>
          <w:sz w:val="24"/>
        </w:rPr>
        <w:t>𝑙</w:t>
      </w:r>
      <w:r>
        <w:rPr>
          <w:rFonts w:ascii="Cambria Math" w:eastAsia="Cambria Math" w:hAnsi="Cambria Math" w:cs="Cambria Math"/>
          <w:sz w:val="24"/>
          <w:vertAlign w:val="subscript"/>
        </w:rPr>
        <w:t xml:space="preserve">4 </w:t>
      </w:r>
      <w:r>
        <w:rPr>
          <w:rFonts w:ascii="Cambria Math" w:eastAsia="Cambria Math" w:hAnsi="Cambria Math" w:cs="Cambria Math"/>
          <w:sz w:val="24"/>
        </w:rPr>
        <w:t>𝑐𝑜𝑠</w:t>
      </w:r>
      <w:r>
        <w:rPr>
          <w:rFonts w:ascii="Cambria Math" w:eastAsia="Cambria Math" w:hAnsi="Cambria Math" w:cs="Cambria Math"/>
          <w:sz w:val="24"/>
        </w:rPr>
        <w:t xml:space="preserve"> </w:t>
      </w:r>
      <w:r>
        <w:rPr>
          <w:rFonts w:ascii="Cambria Math" w:eastAsia="Cambria Math" w:hAnsi="Cambria Math" w:cs="Cambria Math"/>
          <w:sz w:val="24"/>
        </w:rPr>
        <w:t>𝑐𝑜𝑠</w:t>
      </w:r>
      <w:r>
        <w:rPr>
          <w:rFonts w:ascii="Cambria Math" w:eastAsia="Cambria Math" w:hAnsi="Cambria Math" w:cs="Cambria Math"/>
          <w:sz w:val="24"/>
        </w:rPr>
        <w:t xml:space="preserve"> </w:t>
      </w:r>
      <w:r>
        <w:rPr>
          <w:rFonts w:ascii="Cambria Math" w:eastAsia="Cambria Math" w:hAnsi="Cambria Math" w:cs="Cambria Math"/>
          <w:sz w:val="24"/>
        </w:rPr>
        <w:t>𝜃</w:t>
      </w:r>
      <w:r>
        <w:rPr>
          <w:rFonts w:ascii="Cambria Math" w:eastAsia="Cambria Math" w:hAnsi="Cambria Math" w:cs="Cambria Math"/>
          <w:sz w:val="24"/>
          <w:vertAlign w:val="subscript"/>
        </w:rPr>
        <w:t>4</w:t>
      </w:r>
      <w:r>
        <w:rPr>
          <w:rFonts w:ascii="Cambria Math" w:eastAsia="Cambria Math" w:hAnsi="Cambria Math" w:cs="Cambria Math"/>
          <w:sz w:val="24"/>
        </w:rPr>
        <w:t xml:space="preserve"> </w:t>
      </w:r>
      <w:r>
        <w:rPr>
          <w:rFonts w:ascii="Times New Roman" w:eastAsia="Times New Roman" w:hAnsi="Times New Roman" w:cs="Times New Roman"/>
          <w:sz w:val="24"/>
        </w:rPr>
        <w:t xml:space="preserve">                            </w:t>
      </w:r>
      <w:r>
        <w:rPr>
          <w:rFonts w:ascii="Times New Roman" w:eastAsia="Times New Roman" w:hAnsi="Times New Roman" w:cs="Times New Roman"/>
          <w:i/>
          <w:sz w:val="24"/>
        </w:rPr>
        <w:t>(</w:t>
      </w:r>
      <w:r>
        <w:rPr>
          <w:rFonts w:ascii="Times New Roman" w:eastAsia="Times New Roman" w:hAnsi="Times New Roman" w:cs="Times New Roman"/>
          <w:sz w:val="24"/>
        </w:rPr>
        <w:t xml:space="preserve">6) </w:t>
      </w:r>
    </w:p>
    <w:p w:rsidR="0052701D" w:rsidRDefault="00D40929">
      <w:pPr>
        <w:spacing w:after="43"/>
        <w:ind w:left="706"/>
      </w:pPr>
      <w:r>
        <w:rPr>
          <w:rFonts w:ascii="Times New Roman" w:eastAsia="Times New Roman" w:hAnsi="Times New Roman" w:cs="Times New Roman"/>
          <w:sz w:val="24"/>
        </w:rPr>
        <w:t xml:space="preserve"> </w:t>
      </w:r>
    </w:p>
    <w:p w:rsidR="0052701D" w:rsidRDefault="00D40929">
      <w:pPr>
        <w:spacing w:after="0" w:line="306" w:lineRule="auto"/>
        <w:ind w:left="9" w:right="14" w:firstLine="711"/>
        <w:jc w:val="both"/>
      </w:pPr>
      <w:r>
        <w:rPr>
          <w:rFonts w:ascii="Times New Roman" w:eastAsia="Times New Roman" w:hAnsi="Times New Roman" w:cs="Times New Roman"/>
          <w:sz w:val="24"/>
        </w:rPr>
        <w:t xml:space="preserve">Из уравнения (5) и (6), мы наблюдали что </w:t>
      </w:r>
      <w:r>
        <w:rPr>
          <w:rFonts w:ascii="Cambria Math" w:eastAsia="Cambria Math" w:hAnsi="Cambria Math" w:cs="Cambria Math"/>
          <w:sz w:val="24"/>
        </w:rPr>
        <w:t>𝜃</w:t>
      </w:r>
      <w:r>
        <w:rPr>
          <w:rFonts w:ascii="Cambria Math" w:eastAsia="Cambria Math" w:hAnsi="Cambria Math" w:cs="Cambria Math"/>
          <w:sz w:val="24"/>
          <w:vertAlign w:val="subscript"/>
        </w:rPr>
        <w:t>1</w:t>
      </w:r>
      <w:r>
        <w:rPr>
          <w:rFonts w:ascii="Times New Roman" w:eastAsia="Times New Roman" w:hAnsi="Times New Roman" w:cs="Times New Roman"/>
          <w:sz w:val="24"/>
        </w:rPr>
        <w:t xml:space="preserve"> и</w:t>
      </w:r>
      <w:r>
        <w:rPr>
          <w:rFonts w:ascii="Cambria Math" w:eastAsia="Cambria Math" w:hAnsi="Cambria Math" w:cs="Cambria Math"/>
          <w:sz w:val="24"/>
        </w:rPr>
        <w:t xml:space="preserve"> </w:t>
      </w:r>
      <w:r>
        <w:rPr>
          <w:rFonts w:ascii="Cambria Math" w:eastAsia="Cambria Math" w:hAnsi="Cambria Math" w:cs="Cambria Math"/>
          <w:sz w:val="24"/>
        </w:rPr>
        <w:t>𝜃</w:t>
      </w:r>
      <w:r>
        <w:rPr>
          <w:rFonts w:ascii="Cambria Math" w:eastAsia="Cambria Math" w:hAnsi="Cambria Math" w:cs="Cambria Math"/>
          <w:sz w:val="24"/>
          <w:vertAlign w:val="subscript"/>
        </w:rPr>
        <w:t>4</w:t>
      </w:r>
      <w:r>
        <w:rPr>
          <w:rFonts w:ascii="Times New Roman" w:eastAsia="Times New Roman" w:hAnsi="Times New Roman" w:cs="Times New Roman"/>
          <w:sz w:val="24"/>
        </w:rPr>
        <w:t xml:space="preserve"> независимы в механизме, а</w:t>
      </w:r>
      <w:r>
        <w:rPr>
          <w:rFonts w:ascii="Cambria Math" w:eastAsia="Cambria Math" w:hAnsi="Cambria Math" w:cs="Cambria Math"/>
          <w:sz w:val="24"/>
        </w:rPr>
        <w:t xml:space="preserve"> </w:t>
      </w:r>
      <w:r>
        <w:rPr>
          <w:rFonts w:ascii="Cambria Math" w:eastAsia="Cambria Math" w:hAnsi="Cambria Math" w:cs="Cambria Math"/>
          <w:sz w:val="24"/>
        </w:rPr>
        <w:t>𝜃</w:t>
      </w:r>
      <w:r>
        <w:rPr>
          <w:rFonts w:ascii="Cambria Math" w:eastAsia="Cambria Math" w:hAnsi="Cambria Math" w:cs="Cambria Math"/>
          <w:sz w:val="24"/>
          <w:vertAlign w:val="subscript"/>
        </w:rPr>
        <w:t>3</w:t>
      </w:r>
      <w:r>
        <w:rPr>
          <w:rFonts w:ascii="Times New Roman" w:eastAsia="Times New Roman" w:hAnsi="Times New Roman" w:cs="Times New Roman"/>
          <w:sz w:val="24"/>
        </w:rPr>
        <w:t xml:space="preserve">и </w:t>
      </w:r>
      <w:r>
        <w:rPr>
          <w:rFonts w:ascii="Cambria Math" w:eastAsia="Cambria Math" w:hAnsi="Cambria Math" w:cs="Cambria Math"/>
          <w:sz w:val="24"/>
        </w:rPr>
        <w:t>𝜃</w:t>
      </w:r>
      <w:r>
        <w:rPr>
          <w:rFonts w:ascii="Cambria Math" w:eastAsia="Cambria Math" w:hAnsi="Cambria Math" w:cs="Cambria Math"/>
          <w:sz w:val="24"/>
          <w:vertAlign w:val="subscript"/>
        </w:rPr>
        <w:t>2</w:t>
      </w:r>
      <w:r>
        <w:rPr>
          <w:rFonts w:ascii="Times New Roman" w:eastAsia="Times New Roman" w:hAnsi="Times New Roman" w:cs="Times New Roman"/>
          <w:sz w:val="24"/>
        </w:rPr>
        <w:t xml:space="preserve"> может быть разрешен с помощью </w:t>
      </w:r>
      <w:r>
        <w:rPr>
          <w:rFonts w:ascii="Cambria Math" w:eastAsia="Cambria Math" w:hAnsi="Cambria Math" w:cs="Cambria Math"/>
          <w:sz w:val="24"/>
        </w:rPr>
        <w:t>𝜃</w:t>
      </w:r>
      <w:r>
        <w:rPr>
          <w:rFonts w:ascii="Cambria Math" w:eastAsia="Cambria Math" w:hAnsi="Cambria Math" w:cs="Cambria Math"/>
          <w:sz w:val="24"/>
          <w:vertAlign w:val="subscript"/>
        </w:rPr>
        <w:t>1</w:t>
      </w:r>
      <w:r>
        <w:rPr>
          <w:rFonts w:ascii="Times New Roman" w:eastAsia="Times New Roman" w:hAnsi="Times New Roman" w:cs="Times New Roman"/>
          <w:sz w:val="24"/>
        </w:rPr>
        <w:t xml:space="preserve"> и </w:t>
      </w:r>
      <w:r>
        <w:rPr>
          <w:rFonts w:ascii="Cambria Math" w:eastAsia="Cambria Math" w:hAnsi="Cambria Math" w:cs="Cambria Math"/>
          <w:sz w:val="24"/>
        </w:rPr>
        <w:t>𝜃</w:t>
      </w:r>
      <w:r>
        <w:rPr>
          <w:rFonts w:ascii="Cambria Math" w:eastAsia="Cambria Math" w:hAnsi="Cambria Math" w:cs="Cambria Math"/>
          <w:sz w:val="24"/>
          <w:vertAlign w:val="subscript"/>
        </w:rPr>
        <w:t>4</w:t>
      </w:r>
      <w:r>
        <w:rPr>
          <w:rFonts w:ascii="Times New Roman" w:eastAsia="Times New Roman" w:hAnsi="Times New Roman" w:cs="Times New Roman"/>
          <w:sz w:val="24"/>
        </w:rPr>
        <w:t xml:space="preserve"> следующим образом [9], </w:t>
      </w:r>
    </w:p>
    <w:p w:rsidR="0052701D" w:rsidRDefault="00D40929">
      <w:pPr>
        <w:spacing w:after="0"/>
        <w:ind w:left="706"/>
      </w:pPr>
      <w:r>
        <w:rPr>
          <w:rFonts w:ascii="Times New Roman" w:eastAsia="Times New Roman" w:hAnsi="Times New Roman" w:cs="Times New Roman"/>
          <w:sz w:val="24"/>
        </w:rPr>
        <w:t xml:space="preserve"> </w:t>
      </w:r>
    </w:p>
    <w:p w:rsidR="0052701D" w:rsidRDefault="00D40929">
      <w:pPr>
        <w:spacing w:after="5"/>
        <w:ind w:left="10" w:right="21" w:hanging="10"/>
        <w:jc w:val="right"/>
      </w:pPr>
      <w:r>
        <w:rPr>
          <w:noProof/>
        </w:rPr>
        <w:drawing>
          <wp:inline distT="0" distB="0" distL="0" distR="0">
            <wp:extent cx="1703832" cy="271272"/>
            <wp:effectExtent l="0" t="0" r="0" b="0"/>
            <wp:docPr id="1048704" name="Picture 1048704"/>
            <wp:cNvGraphicFramePr/>
            <a:graphic xmlns:a="http://schemas.openxmlformats.org/drawingml/2006/main">
              <a:graphicData uri="http://schemas.openxmlformats.org/drawingml/2006/picture">
                <pic:pic xmlns:pic="http://schemas.openxmlformats.org/drawingml/2006/picture">
                  <pic:nvPicPr>
                    <pic:cNvPr id="1048704" name="Picture 1048704"/>
                    <pic:cNvPicPr/>
                  </pic:nvPicPr>
                  <pic:blipFill>
                    <a:blip r:embed="rId411"/>
                    <a:stretch>
                      <a:fillRect/>
                    </a:stretch>
                  </pic:blipFill>
                  <pic:spPr>
                    <a:xfrm>
                      <a:off x="0" y="0"/>
                      <a:ext cx="1703832" cy="271272"/>
                    </a:xfrm>
                    <a:prstGeom prst="rect">
                      <a:avLst/>
                    </a:prstGeom>
                  </pic:spPr>
                </pic:pic>
              </a:graphicData>
            </a:graphic>
          </wp:inline>
        </w:drawing>
      </w:r>
      <w:r>
        <w:rPr>
          <w:rFonts w:ascii="Times New Roman" w:eastAsia="Times New Roman" w:hAnsi="Times New Roman" w:cs="Times New Roman"/>
          <w:i/>
          <w:sz w:val="24"/>
        </w:rPr>
        <w:t xml:space="preserve">                                                               </w:t>
      </w:r>
      <w:r>
        <w:rPr>
          <w:rFonts w:ascii="Times New Roman" w:eastAsia="Times New Roman" w:hAnsi="Times New Roman" w:cs="Times New Roman"/>
          <w:sz w:val="24"/>
        </w:rPr>
        <w:t>(7)</w:t>
      </w:r>
      <w:r>
        <w:rPr>
          <w:rFonts w:ascii="Times New Roman" w:eastAsia="Times New Roman" w:hAnsi="Times New Roman" w:cs="Times New Roman"/>
          <w:i/>
          <w:sz w:val="24"/>
        </w:rPr>
        <w:t xml:space="preserve"> </w:t>
      </w:r>
    </w:p>
    <w:p w:rsidR="0052701D" w:rsidRDefault="00D40929">
      <w:pPr>
        <w:spacing w:after="20"/>
        <w:ind w:left="706" w:right="4097"/>
      </w:pPr>
      <w:r>
        <w:rPr>
          <w:rFonts w:ascii="Times New Roman" w:eastAsia="Times New Roman" w:hAnsi="Times New Roman" w:cs="Times New Roman"/>
          <w:sz w:val="24"/>
        </w:rPr>
        <w:t xml:space="preserve"> </w:t>
      </w:r>
    </w:p>
    <w:p w:rsidR="0052701D" w:rsidRDefault="00D40929">
      <w:pPr>
        <w:spacing w:after="29" w:line="248" w:lineRule="auto"/>
        <w:ind w:left="706" w:right="14"/>
        <w:jc w:val="both"/>
      </w:pPr>
      <w:r>
        <w:rPr>
          <w:rFonts w:ascii="Times New Roman" w:eastAsia="Times New Roman" w:hAnsi="Times New Roman" w:cs="Times New Roman"/>
          <w:sz w:val="24"/>
        </w:rPr>
        <w:t xml:space="preserve">Из уравнения (6) и (7), мы обнаружили, </w:t>
      </w:r>
    </w:p>
    <w:p w:rsidR="0052701D" w:rsidRDefault="00D40929">
      <w:pPr>
        <w:spacing w:after="0"/>
        <w:ind w:left="706" w:right="3737"/>
      </w:pPr>
      <w:r>
        <w:rPr>
          <w:rFonts w:ascii="Times New Roman" w:eastAsia="Times New Roman" w:hAnsi="Times New Roman" w:cs="Times New Roman"/>
          <w:sz w:val="24"/>
        </w:rPr>
        <w:t xml:space="preserve"> </w:t>
      </w:r>
    </w:p>
    <w:p w:rsidR="0052701D" w:rsidRDefault="00D40929">
      <w:pPr>
        <w:spacing w:after="5"/>
        <w:ind w:left="10" w:right="21" w:hanging="10"/>
        <w:jc w:val="right"/>
      </w:pPr>
      <w:r>
        <w:rPr>
          <w:noProof/>
        </w:rPr>
        <w:drawing>
          <wp:inline distT="0" distB="0" distL="0" distR="0">
            <wp:extent cx="2804161" cy="274320"/>
            <wp:effectExtent l="0" t="0" r="0" b="0"/>
            <wp:docPr id="1048705" name="Picture 1048705"/>
            <wp:cNvGraphicFramePr/>
            <a:graphic xmlns:a="http://schemas.openxmlformats.org/drawingml/2006/main">
              <a:graphicData uri="http://schemas.openxmlformats.org/drawingml/2006/picture">
                <pic:pic xmlns:pic="http://schemas.openxmlformats.org/drawingml/2006/picture">
                  <pic:nvPicPr>
                    <pic:cNvPr id="1048705" name="Picture 1048705"/>
                    <pic:cNvPicPr/>
                  </pic:nvPicPr>
                  <pic:blipFill>
                    <a:blip r:embed="rId412"/>
                    <a:stretch>
                      <a:fillRect/>
                    </a:stretch>
                  </pic:blipFill>
                  <pic:spPr>
                    <a:xfrm>
                      <a:off x="0" y="0"/>
                      <a:ext cx="2804161" cy="274320"/>
                    </a:xfrm>
                    <a:prstGeom prst="rect">
                      <a:avLst/>
                    </a:prstGeom>
                  </pic:spPr>
                </pic:pic>
              </a:graphicData>
            </a:graphic>
          </wp:inline>
        </w:drawing>
      </w:r>
      <w:r>
        <w:rPr>
          <w:rFonts w:ascii="Times New Roman" w:eastAsia="Times New Roman" w:hAnsi="Times New Roman" w:cs="Times New Roman"/>
          <w:i/>
          <w:sz w:val="24"/>
        </w:rPr>
        <w:t xml:space="preserve">                                                         </w:t>
      </w:r>
      <w:r>
        <w:rPr>
          <w:rFonts w:ascii="Times New Roman" w:eastAsia="Times New Roman" w:hAnsi="Times New Roman" w:cs="Times New Roman"/>
          <w:sz w:val="24"/>
        </w:rPr>
        <w:t>(8)</w:t>
      </w:r>
      <w:r>
        <w:rPr>
          <w:rFonts w:ascii="Times New Roman" w:eastAsia="Times New Roman" w:hAnsi="Times New Roman" w:cs="Times New Roman"/>
          <w:i/>
          <w:sz w:val="24"/>
        </w:rPr>
        <w:t xml:space="preserve">               </w:t>
      </w:r>
    </w:p>
    <w:p w:rsidR="0052701D" w:rsidRDefault="00D40929">
      <w:pPr>
        <w:spacing w:after="20"/>
        <w:ind w:left="706" w:right="3737"/>
      </w:pPr>
      <w:r>
        <w:rPr>
          <w:rFonts w:ascii="Times New Roman" w:eastAsia="Times New Roman" w:hAnsi="Times New Roman" w:cs="Times New Roman"/>
          <w:sz w:val="24"/>
        </w:rPr>
        <w:t xml:space="preserve"> </w:t>
      </w:r>
    </w:p>
    <w:p w:rsidR="0052701D" w:rsidRDefault="00D40929">
      <w:pPr>
        <w:spacing w:after="29" w:line="248" w:lineRule="auto"/>
        <w:ind w:left="9" w:right="14" w:firstLine="711"/>
        <w:jc w:val="both"/>
      </w:pPr>
      <w:r>
        <w:rPr>
          <w:rFonts w:ascii="Times New Roman" w:eastAsia="Times New Roman" w:hAnsi="Times New Roman" w:cs="Times New Roman"/>
          <w:sz w:val="24"/>
        </w:rPr>
        <w:t>Применяя программное обеспечение MATLAB для решения этого уравнения. (7) и (8) для определения угла срабатывания в пятизвенном механи</w:t>
      </w:r>
      <w:r>
        <w:rPr>
          <w:rFonts w:ascii="Times New Roman" w:eastAsia="Times New Roman" w:hAnsi="Times New Roman" w:cs="Times New Roman"/>
          <w:sz w:val="24"/>
        </w:rPr>
        <w:t xml:space="preserve">зме. </w:t>
      </w:r>
    </w:p>
    <w:p w:rsidR="0052701D" w:rsidRDefault="00D40929">
      <w:pPr>
        <w:spacing w:after="29" w:line="248" w:lineRule="auto"/>
        <w:ind w:left="9" w:right="14" w:firstLine="711"/>
        <w:jc w:val="both"/>
      </w:pPr>
      <w:r>
        <w:rPr>
          <w:rFonts w:ascii="Times New Roman" w:eastAsia="Times New Roman" w:hAnsi="Times New Roman" w:cs="Times New Roman"/>
          <w:sz w:val="24"/>
        </w:rPr>
        <w:t xml:space="preserve">Эффективное и динамическое управление нужно присутствовать в итоговом рабочем промышленных роботов. </w:t>
      </w:r>
    </w:p>
    <w:p w:rsidR="0052701D" w:rsidRDefault="00D40929">
      <w:pPr>
        <w:spacing w:after="70" w:line="248" w:lineRule="auto"/>
        <w:ind w:left="9" w:right="14" w:firstLine="711"/>
        <w:jc w:val="both"/>
      </w:pPr>
      <w:r>
        <w:rPr>
          <w:rFonts w:ascii="Times New Roman" w:eastAsia="Times New Roman" w:hAnsi="Times New Roman" w:cs="Times New Roman"/>
          <w:sz w:val="24"/>
        </w:rPr>
        <w:t>Для эффективного управления создаются некоторые преобразования по сравнению с предыдущими уравнениями. Эти сформированные уравнения характеризуют пря</w:t>
      </w:r>
      <w:r>
        <w:rPr>
          <w:rFonts w:ascii="Times New Roman" w:eastAsia="Times New Roman" w:hAnsi="Times New Roman" w:cs="Times New Roman"/>
          <w:sz w:val="24"/>
        </w:rPr>
        <w:t xml:space="preserve">мую зависимость между координатами конечного эффектора и длиной связей с углами срабатывания </w:t>
      </w:r>
      <w:r>
        <w:rPr>
          <w:rFonts w:ascii="Cambria Math" w:eastAsia="Cambria Math" w:hAnsi="Cambria Math" w:cs="Cambria Math"/>
          <w:sz w:val="24"/>
        </w:rPr>
        <w:t>𝜃</w:t>
      </w:r>
      <w:r>
        <w:rPr>
          <w:rFonts w:ascii="Cambria Math" w:eastAsia="Cambria Math" w:hAnsi="Cambria Math" w:cs="Cambria Math"/>
          <w:sz w:val="24"/>
          <w:vertAlign w:val="subscript"/>
        </w:rPr>
        <w:t>1</w:t>
      </w:r>
      <w:r>
        <w:rPr>
          <w:rFonts w:ascii="Times New Roman" w:eastAsia="Times New Roman" w:hAnsi="Times New Roman" w:cs="Times New Roman"/>
          <w:sz w:val="24"/>
        </w:rPr>
        <w:t xml:space="preserve"> и</w:t>
      </w:r>
      <w:r>
        <w:rPr>
          <w:rFonts w:ascii="Cambria Math" w:eastAsia="Cambria Math" w:hAnsi="Cambria Math" w:cs="Cambria Math"/>
          <w:sz w:val="24"/>
        </w:rPr>
        <w:t xml:space="preserve"> </w:t>
      </w:r>
      <w:r>
        <w:rPr>
          <w:rFonts w:ascii="Cambria Math" w:eastAsia="Cambria Math" w:hAnsi="Cambria Math" w:cs="Cambria Math"/>
          <w:sz w:val="24"/>
        </w:rPr>
        <w:t>𝜃</w:t>
      </w:r>
      <w:r>
        <w:rPr>
          <w:rFonts w:ascii="Cambria Math" w:eastAsia="Cambria Math" w:hAnsi="Cambria Math" w:cs="Cambria Math"/>
          <w:sz w:val="24"/>
          <w:vertAlign w:val="subscript"/>
        </w:rPr>
        <w:t>4</w:t>
      </w:r>
      <w:r>
        <w:rPr>
          <w:rFonts w:ascii="Times New Roman" w:eastAsia="Times New Roman" w:hAnsi="Times New Roman" w:cs="Times New Roman"/>
          <w:sz w:val="24"/>
        </w:rPr>
        <w:t xml:space="preserve">. </w:t>
      </w:r>
    </w:p>
    <w:p w:rsidR="0052701D" w:rsidRDefault="00D40929">
      <w:pPr>
        <w:spacing w:after="0" w:line="299" w:lineRule="auto"/>
        <w:ind w:left="9" w:right="14" w:firstLine="711"/>
        <w:jc w:val="both"/>
      </w:pPr>
      <w:r>
        <w:rPr>
          <w:rFonts w:ascii="Times New Roman" w:eastAsia="Times New Roman" w:hAnsi="Times New Roman" w:cs="Times New Roman"/>
          <w:sz w:val="24"/>
        </w:rPr>
        <w:t xml:space="preserve">Путем добавления уравнение (5) и (6) и убрав пассивные углы </w:t>
      </w:r>
      <w:r>
        <w:rPr>
          <w:rFonts w:ascii="Cambria Math" w:eastAsia="Cambria Math" w:hAnsi="Cambria Math" w:cs="Cambria Math"/>
          <w:sz w:val="24"/>
        </w:rPr>
        <w:t>𝜃</w:t>
      </w:r>
      <w:r>
        <w:rPr>
          <w:rFonts w:ascii="Cambria Math" w:eastAsia="Cambria Math" w:hAnsi="Cambria Math" w:cs="Cambria Math"/>
          <w:sz w:val="24"/>
          <w:vertAlign w:val="subscript"/>
        </w:rPr>
        <w:t>2</w:t>
      </w:r>
      <w:r>
        <w:rPr>
          <w:rFonts w:ascii="Times New Roman" w:eastAsia="Times New Roman" w:hAnsi="Times New Roman" w:cs="Times New Roman"/>
          <w:sz w:val="24"/>
        </w:rPr>
        <w:t xml:space="preserve"> и</w:t>
      </w:r>
      <w:r>
        <w:rPr>
          <w:rFonts w:ascii="Cambria Math" w:eastAsia="Cambria Math" w:hAnsi="Cambria Math" w:cs="Cambria Math"/>
          <w:sz w:val="24"/>
        </w:rPr>
        <w:t xml:space="preserve"> </w:t>
      </w:r>
      <w:r>
        <w:rPr>
          <w:rFonts w:ascii="Cambria Math" w:eastAsia="Cambria Math" w:hAnsi="Cambria Math" w:cs="Cambria Math"/>
          <w:sz w:val="24"/>
        </w:rPr>
        <w:t>𝜃</w:t>
      </w:r>
      <w:r>
        <w:rPr>
          <w:rFonts w:ascii="Cambria Math" w:eastAsia="Cambria Math" w:hAnsi="Cambria Math" w:cs="Cambria Math"/>
          <w:sz w:val="24"/>
          <w:vertAlign w:val="subscript"/>
        </w:rPr>
        <w:t>3</w:t>
      </w:r>
      <w:r>
        <w:rPr>
          <w:rFonts w:ascii="Times New Roman" w:eastAsia="Times New Roman" w:hAnsi="Times New Roman" w:cs="Times New Roman"/>
          <w:sz w:val="24"/>
        </w:rPr>
        <w:t xml:space="preserve">, мы получаем следующие уравнения. </w:t>
      </w:r>
    </w:p>
    <w:p w:rsidR="0052701D" w:rsidRDefault="00D40929">
      <w:pPr>
        <w:spacing w:after="5"/>
        <w:ind w:left="10" w:right="21" w:hanging="10"/>
        <w:jc w:val="right"/>
      </w:pPr>
      <w:r>
        <w:rPr>
          <w:noProof/>
        </w:rPr>
        <w:drawing>
          <wp:inline distT="0" distB="0" distL="0" distR="0">
            <wp:extent cx="1780032" cy="271272"/>
            <wp:effectExtent l="0" t="0" r="0" b="0"/>
            <wp:docPr id="1048706" name="Picture 1048706"/>
            <wp:cNvGraphicFramePr/>
            <a:graphic xmlns:a="http://schemas.openxmlformats.org/drawingml/2006/main">
              <a:graphicData uri="http://schemas.openxmlformats.org/drawingml/2006/picture">
                <pic:pic xmlns:pic="http://schemas.openxmlformats.org/drawingml/2006/picture">
                  <pic:nvPicPr>
                    <pic:cNvPr id="1048706" name="Picture 1048706"/>
                    <pic:cNvPicPr/>
                  </pic:nvPicPr>
                  <pic:blipFill>
                    <a:blip r:embed="rId413"/>
                    <a:stretch>
                      <a:fillRect/>
                    </a:stretch>
                  </pic:blipFill>
                  <pic:spPr>
                    <a:xfrm>
                      <a:off x="0" y="0"/>
                      <a:ext cx="1780032" cy="271272"/>
                    </a:xfrm>
                    <a:prstGeom prst="rect">
                      <a:avLst/>
                    </a:prstGeom>
                  </pic:spPr>
                </pic:pic>
              </a:graphicData>
            </a:graphic>
          </wp:inline>
        </w:drawing>
      </w:r>
      <w:r>
        <w:rPr>
          <w:rFonts w:ascii="Times New Roman" w:eastAsia="Times New Roman" w:hAnsi="Times New Roman" w:cs="Times New Roman"/>
          <w:sz w:val="24"/>
        </w:rPr>
        <w:t xml:space="preserve">                                                      (9) </w:t>
      </w:r>
    </w:p>
    <w:p w:rsidR="0052701D" w:rsidRDefault="00D40929">
      <w:pPr>
        <w:spacing w:after="0"/>
        <w:ind w:left="706" w:right="3537"/>
      </w:pPr>
      <w:r>
        <w:rPr>
          <w:rFonts w:ascii="Times New Roman" w:eastAsia="Times New Roman" w:hAnsi="Times New Roman" w:cs="Times New Roman"/>
          <w:sz w:val="24"/>
        </w:rPr>
        <w:t xml:space="preserve"> </w:t>
      </w:r>
    </w:p>
    <w:p w:rsidR="0052701D" w:rsidRDefault="00D40929">
      <w:pPr>
        <w:spacing w:after="5"/>
        <w:ind w:left="10" w:right="21" w:hanging="10"/>
        <w:jc w:val="right"/>
      </w:pPr>
      <w:r>
        <w:rPr>
          <w:noProof/>
        </w:rPr>
        <w:drawing>
          <wp:inline distT="0" distB="0" distL="0" distR="0">
            <wp:extent cx="1780032" cy="271272"/>
            <wp:effectExtent l="0" t="0" r="0" b="0"/>
            <wp:docPr id="1048707" name="Picture 1048707"/>
            <wp:cNvGraphicFramePr/>
            <a:graphic xmlns:a="http://schemas.openxmlformats.org/drawingml/2006/main">
              <a:graphicData uri="http://schemas.openxmlformats.org/drawingml/2006/picture">
                <pic:pic xmlns:pic="http://schemas.openxmlformats.org/drawingml/2006/picture">
                  <pic:nvPicPr>
                    <pic:cNvPr id="1048707" name="Picture 1048707"/>
                    <pic:cNvPicPr/>
                  </pic:nvPicPr>
                  <pic:blipFill>
                    <a:blip r:embed="rId414"/>
                    <a:stretch>
                      <a:fillRect/>
                    </a:stretch>
                  </pic:blipFill>
                  <pic:spPr>
                    <a:xfrm>
                      <a:off x="0" y="0"/>
                      <a:ext cx="1780032" cy="271272"/>
                    </a:xfrm>
                    <a:prstGeom prst="rect">
                      <a:avLst/>
                    </a:prstGeom>
                  </pic:spPr>
                </pic:pic>
              </a:graphicData>
            </a:graphic>
          </wp:inline>
        </w:drawing>
      </w:r>
      <w:r>
        <w:rPr>
          <w:rFonts w:ascii="Times New Roman" w:eastAsia="Times New Roman" w:hAnsi="Times New Roman" w:cs="Times New Roman"/>
          <w:sz w:val="24"/>
        </w:rPr>
        <w:t xml:space="preserve">                                                    (10) </w:t>
      </w:r>
    </w:p>
    <w:p w:rsidR="0052701D" w:rsidRDefault="00D40929">
      <w:pPr>
        <w:spacing w:after="0"/>
        <w:ind w:left="706" w:right="3537"/>
      </w:pPr>
      <w:r>
        <w:rPr>
          <w:rFonts w:ascii="Times New Roman" w:eastAsia="Times New Roman" w:hAnsi="Times New Roman" w:cs="Times New Roman"/>
          <w:sz w:val="24"/>
        </w:rPr>
        <w:t xml:space="preserve"> </w:t>
      </w:r>
    </w:p>
    <w:p w:rsidR="0052701D" w:rsidRDefault="00D40929">
      <w:pPr>
        <w:spacing w:after="51" w:line="248" w:lineRule="auto"/>
        <w:ind w:left="9" w:right="14" w:firstLine="711"/>
        <w:jc w:val="both"/>
      </w:pPr>
      <w:r>
        <w:rPr>
          <w:rFonts w:ascii="Times New Roman" w:eastAsia="Times New Roman" w:hAnsi="Times New Roman" w:cs="Times New Roman"/>
          <w:sz w:val="24"/>
        </w:rPr>
        <w:lastRenderedPageBreak/>
        <w:t xml:space="preserve">Длины звеньев постоянны для робота, что содействует легко решать вышеприведенные уравнения. </w:t>
      </w:r>
    </w:p>
    <w:p w:rsidR="0052701D" w:rsidRDefault="00D40929">
      <w:pPr>
        <w:spacing w:after="29" w:line="248" w:lineRule="auto"/>
        <w:ind w:left="9" w:right="14" w:firstLine="711"/>
        <w:jc w:val="both"/>
      </w:pPr>
      <w:r>
        <w:rPr>
          <w:rFonts w:ascii="Times New Roman" w:eastAsia="Times New Roman" w:hAnsi="Times New Roman" w:cs="Times New Roman"/>
          <w:sz w:val="24"/>
        </w:rPr>
        <w:t xml:space="preserve">Из уравнение (9) и (10) мы можем получить </w:t>
      </w:r>
      <w:r>
        <w:rPr>
          <w:rFonts w:ascii="Cambria Math" w:eastAsia="Cambria Math" w:hAnsi="Cambria Math" w:cs="Cambria Math"/>
          <w:sz w:val="24"/>
        </w:rPr>
        <w:t>𝜃</w:t>
      </w:r>
      <w:r>
        <w:rPr>
          <w:rFonts w:ascii="Cambria Math" w:eastAsia="Cambria Math" w:hAnsi="Cambria Math" w:cs="Cambria Math"/>
          <w:sz w:val="24"/>
          <w:vertAlign w:val="subscript"/>
        </w:rPr>
        <w:t>1</w:t>
      </w:r>
      <w:r>
        <w:rPr>
          <w:rFonts w:ascii="Times New Roman" w:eastAsia="Times New Roman" w:hAnsi="Times New Roman" w:cs="Times New Roman"/>
          <w:sz w:val="24"/>
        </w:rPr>
        <w:t xml:space="preserve"> и</w:t>
      </w:r>
      <w:r>
        <w:rPr>
          <w:rFonts w:ascii="Cambria Math" w:eastAsia="Cambria Math" w:hAnsi="Cambria Math" w:cs="Cambria Math"/>
          <w:sz w:val="24"/>
        </w:rPr>
        <w:t xml:space="preserve"> </w:t>
      </w:r>
      <w:r>
        <w:rPr>
          <w:rFonts w:ascii="Cambria Math" w:eastAsia="Cambria Math" w:hAnsi="Cambria Math" w:cs="Cambria Math"/>
          <w:sz w:val="24"/>
        </w:rPr>
        <w:t>𝜃</w:t>
      </w:r>
      <w:r>
        <w:rPr>
          <w:rFonts w:ascii="Cambria Math" w:eastAsia="Cambria Math" w:hAnsi="Cambria Math" w:cs="Cambria Math"/>
          <w:sz w:val="24"/>
          <w:vertAlign w:val="subscript"/>
        </w:rPr>
        <w:t>4</w:t>
      </w:r>
      <w:r>
        <w:rPr>
          <w:rFonts w:ascii="Times New Roman" w:eastAsia="Times New Roman" w:hAnsi="Times New Roman" w:cs="Times New Roman"/>
          <w:sz w:val="24"/>
        </w:rPr>
        <w:t xml:space="preserve"> не зная </w:t>
      </w:r>
      <w:r>
        <w:rPr>
          <w:rFonts w:ascii="Cambria Math" w:eastAsia="Cambria Math" w:hAnsi="Cambria Math" w:cs="Cambria Math"/>
          <w:sz w:val="24"/>
        </w:rPr>
        <w:t>𝜃</w:t>
      </w:r>
      <w:r>
        <w:rPr>
          <w:rFonts w:ascii="Cambria Math" w:eastAsia="Cambria Math" w:hAnsi="Cambria Math" w:cs="Cambria Math"/>
          <w:sz w:val="24"/>
          <w:vertAlign w:val="subscript"/>
        </w:rPr>
        <w:t>2</w:t>
      </w:r>
      <w:r>
        <w:rPr>
          <w:rFonts w:ascii="Times New Roman" w:eastAsia="Times New Roman" w:hAnsi="Times New Roman" w:cs="Times New Roman"/>
          <w:sz w:val="24"/>
        </w:rPr>
        <w:t xml:space="preserve"> и</w:t>
      </w:r>
      <w:r>
        <w:rPr>
          <w:rFonts w:ascii="Cambria Math" w:eastAsia="Cambria Math" w:hAnsi="Cambria Math" w:cs="Cambria Math"/>
          <w:sz w:val="24"/>
        </w:rPr>
        <w:t xml:space="preserve"> </w:t>
      </w:r>
      <w:r>
        <w:rPr>
          <w:rFonts w:ascii="Cambria Math" w:eastAsia="Cambria Math" w:hAnsi="Cambria Math" w:cs="Cambria Math"/>
          <w:sz w:val="24"/>
        </w:rPr>
        <w:t>𝜃</w:t>
      </w:r>
      <w:r>
        <w:rPr>
          <w:rFonts w:ascii="Cambria Math" w:eastAsia="Cambria Math" w:hAnsi="Cambria Math" w:cs="Cambria Math"/>
          <w:sz w:val="24"/>
          <w:vertAlign w:val="subscript"/>
        </w:rPr>
        <w:t>3</w:t>
      </w:r>
      <w:r>
        <w:rPr>
          <w:rFonts w:ascii="Times New Roman" w:eastAsia="Times New Roman" w:hAnsi="Times New Roman" w:cs="Times New Roman"/>
          <w:sz w:val="24"/>
        </w:rPr>
        <w:t>. Единственными входными данными, нужными для управления пятизвенным механизмом, является местоположение конечного эффектора (</w:t>
      </w:r>
      <w:r>
        <w:rPr>
          <w:rFonts w:ascii="Cambria Math" w:eastAsia="Cambria Math" w:hAnsi="Cambria Math" w:cs="Cambria Math"/>
          <w:sz w:val="24"/>
        </w:rPr>
        <w:t>𝑥</w:t>
      </w:r>
      <w:r>
        <w:rPr>
          <w:rFonts w:ascii="Cambria Math" w:eastAsia="Cambria Math" w:hAnsi="Cambria Math" w:cs="Cambria Math"/>
          <w:sz w:val="24"/>
          <w:vertAlign w:val="subscript"/>
        </w:rPr>
        <w:t>𝑒</w:t>
      </w:r>
      <w:r>
        <w:rPr>
          <w:rFonts w:ascii="Times New Roman" w:eastAsia="Times New Roman" w:hAnsi="Times New Roman" w:cs="Times New Roman"/>
          <w:sz w:val="24"/>
        </w:rPr>
        <w:t xml:space="preserve"> и </w:t>
      </w:r>
      <w:r>
        <w:rPr>
          <w:rFonts w:ascii="Cambria Math" w:eastAsia="Cambria Math" w:hAnsi="Cambria Math" w:cs="Cambria Math"/>
          <w:sz w:val="24"/>
        </w:rPr>
        <w:t>𝑦</w:t>
      </w:r>
      <w:r>
        <w:rPr>
          <w:rFonts w:ascii="Cambria Math" w:eastAsia="Cambria Math" w:hAnsi="Cambria Math" w:cs="Cambria Math"/>
          <w:sz w:val="24"/>
          <w:vertAlign w:val="subscript"/>
        </w:rPr>
        <w:t>𝑒</w:t>
      </w:r>
      <w:r>
        <w:rPr>
          <w:rFonts w:ascii="Times New Roman" w:eastAsia="Times New Roman" w:hAnsi="Times New Roman" w:cs="Times New Roman"/>
          <w:sz w:val="24"/>
        </w:rPr>
        <w:t xml:space="preserve">). </w:t>
      </w:r>
    </w:p>
    <w:p w:rsidR="0052701D" w:rsidRDefault="00D40929">
      <w:pPr>
        <w:spacing w:after="29" w:line="248" w:lineRule="auto"/>
        <w:ind w:left="9" w:right="14" w:firstLine="711"/>
        <w:jc w:val="both"/>
      </w:pPr>
      <w:r>
        <w:rPr>
          <w:rFonts w:ascii="Times New Roman" w:eastAsia="Times New Roman" w:hAnsi="Times New Roman" w:cs="Times New Roman"/>
          <w:sz w:val="24"/>
        </w:rPr>
        <w:t>Выше упомянутые модели реализованы в MATLAB Si</w:t>
      </w:r>
      <w:r>
        <w:rPr>
          <w:rFonts w:ascii="Times New Roman" w:eastAsia="Times New Roman" w:hAnsi="Times New Roman" w:cs="Times New Roman"/>
          <w:sz w:val="24"/>
        </w:rPr>
        <w:t>mulink. Он состоит из функциональных блоков MATLAB, таких как обратный блок для преобразования декартовых координат в углы, другими блоками являются блок Ньютона Рафсона и блоки ПИДрегуляторов, которые управляют входными крутящими моментами двигателей (см.</w:t>
      </w:r>
      <w:r>
        <w:rPr>
          <w:rFonts w:ascii="Times New Roman" w:eastAsia="Times New Roman" w:hAnsi="Times New Roman" w:cs="Times New Roman"/>
          <w:sz w:val="24"/>
        </w:rPr>
        <w:t>рисунок 3). Другой блок - это внешняя сила, которая представляет собой возмущение, действующее на систему. Показано представление модели SIMSCAPE (см.рисунок 4). Он состоит из различных соединений, представляющих движение звеньев. Входными данными для сист</w:t>
      </w:r>
      <w:r>
        <w:rPr>
          <w:rFonts w:ascii="Times New Roman" w:eastAsia="Times New Roman" w:hAnsi="Times New Roman" w:cs="Times New Roman"/>
          <w:sz w:val="24"/>
        </w:rPr>
        <w:t xml:space="preserve">емы являются управляющие моменты, а выходными - углы звеньев. </w:t>
      </w:r>
    </w:p>
    <w:p w:rsidR="0052701D" w:rsidRDefault="00D40929">
      <w:pPr>
        <w:spacing w:after="0"/>
        <w:ind w:right="757"/>
        <w:jc w:val="right"/>
      </w:pPr>
      <w:r>
        <w:rPr>
          <w:noProof/>
        </w:rPr>
        <w:drawing>
          <wp:inline distT="0" distB="0" distL="0" distR="0">
            <wp:extent cx="4687824" cy="3166872"/>
            <wp:effectExtent l="0" t="0" r="0" b="0"/>
            <wp:docPr id="25540" name="Picture 25540"/>
            <wp:cNvGraphicFramePr/>
            <a:graphic xmlns:a="http://schemas.openxmlformats.org/drawingml/2006/main">
              <a:graphicData uri="http://schemas.openxmlformats.org/drawingml/2006/picture">
                <pic:pic xmlns:pic="http://schemas.openxmlformats.org/drawingml/2006/picture">
                  <pic:nvPicPr>
                    <pic:cNvPr id="25540" name="Picture 25540"/>
                    <pic:cNvPicPr/>
                  </pic:nvPicPr>
                  <pic:blipFill>
                    <a:blip r:embed="rId415"/>
                    <a:stretch>
                      <a:fillRect/>
                    </a:stretch>
                  </pic:blipFill>
                  <pic:spPr>
                    <a:xfrm>
                      <a:off x="0" y="0"/>
                      <a:ext cx="4687824" cy="3166872"/>
                    </a:xfrm>
                    <a:prstGeom prst="rect">
                      <a:avLst/>
                    </a:prstGeom>
                  </pic:spPr>
                </pic:pic>
              </a:graphicData>
            </a:graphic>
          </wp:inline>
        </w:drawing>
      </w:r>
      <w:r>
        <w:rPr>
          <w:rFonts w:ascii="Times New Roman" w:eastAsia="Times New Roman" w:hAnsi="Times New Roman" w:cs="Times New Roman"/>
          <w:sz w:val="24"/>
        </w:rPr>
        <w:t xml:space="preserve"> </w:t>
      </w:r>
    </w:p>
    <w:p w:rsidR="0052701D" w:rsidRDefault="00D40929">
      <w:pPr>
        <w:spacing w:after="14" w:line="248" w:lineRule="auto"/>
        <w:ind w:left="713" w:right="41" w:hanging="5"/>
        <w:jc w:val="center"/>
      </w:pPr>
      <w:r>
        <w:rPr>
          <w:rFonts w:ascii="Times New Roman" w:eastAsia="Times New Roman" w:hAnsi="Times New Roman" w:cs="Times New Roman"/>
          <w:sz w:val="24"/>
        </w:rPr>
        <w:t xml:space="preserve">Рис.3.  Структурная схема Matlab </w:t>
      </w:r>
    </w:p>
    <w:p w:rsidR="0052701D" w:rsidRDefault="00D40929">
      <w:pPr>
        <w:spacing w:after="0"/>
        <w:ind w:left="722"/>
        <w:jc w:val="center"/>
      </w:pPr>
      <w:r>
        <w:rPr>
          <w:rFonts w:ascii="Times New Roman" w:eastAsia="Times New Roman" w:hAnsi="Times New Roman" w:cs="Times New Roman"/>
          <w:sz w:val="24"/>
        </w:rPr>
        <w:t xml:space="preserve"> </w:t>
      </w:r>
    </w:p>
    <w:p w:rsidR="0052701D" w:rsidRDefault="00D40929">
      <w:pPr>
        <w:spacing w:after="6" w:line="248" w:lineRule="auto"/>
        <w:ind w:left="9" w:right="14" w:firstLine="711"/>
        <w:jc w:val="both"/>
      </w:pPr>
      <w:r>
        <w:rPr>
          <w:rFonts w:ascii="Times New Roman" w:eastAsia="Times New Roman" w:hAnsi="Times New Roman" w:cs="Times New Roman"/>
          <w:sz w:val="24"/>
        </w:rPr>
        <w:t>Движением механизма управляют, задавая независимые углы звеньев непосредственно через два ПИД-</w:t>
      </w:r>
      <w:r>
        <w:rPr>
          <w:rFonts w:ascii="Times New Roman" w:eastAsia="Times New Roman" w:hAnsi="Times New Roman" w:cs="Times New Roman"/>
          <w:sz w:val="24"/>
        </w:rPr>
        <w:t>регулятора. Регулирование скорости достигается путем уменьшения матрицы Якобиана угловых скоростей ведущих звеньев. Эти угловые скорости могут быть преобразованы в индивидуальные скорости сервоприводов, которые действуют как входные данные в реальном време</w:t>
      </w:r>
      <w:r>
        <w:rPr>
          <w:rFonts w:ascii="Times New Roman" w:eastAsia="Times New Roman" w:hAnsi="Times New Roman" w:cs="Times New Roman"/>
          <w:sz w:val="24"/>
        </w:rPr>
        <w:t xml:space="preserve">ни. В настоящем исследовании механизм управляется так, чтобы он следовал по заданной траектории. </w:t>
      </w:r>
    </w:p>
    <w:p w:rsidR="0052701D" w:rsidRDefault="00D40929">
      <w:pPr>
        <w:spacing w:after="0"/>
        <w:ind w:left="722"/>
        <w:jc w:val="center"/>
      </w:pPr>
      <w:r>
        <w:rPr>
          <w:rFonts w:ascii="Times New Roman" w:eastAsia="Times New Roman" w:hAnsi="Times New Roman" w:cs="Times New Roman"/>
          <w:sz w:val="24"/>
        </w:rPr>
        <w:t xml:space="preserve"> </w:t>
      </w:r>
    </w:p>
    <w:p w:rsidR="0052701D" w:rsidRDefault="00D40929">
      <w:pPr>
        <w:spacing w:after="0"/>
        <w:ind w:right="675"/>
        <w:jc w:val="right"/>
      </w:pPr>
      <w:r>
        <w:rPr>
          <w:noProof/>
        </w:rPr>
        <w:lastRenderedPageBreak/>
        <w:drawing>
          <wp:inline distT="0" distB="0" distL="0" distR="0">
            <wp:extent cx="4791457" cy="3032760"/>
            <wp:effectExtent l="0" t="0" r="0" b="0"/>
            <wp:docPr id="25595" name="Picture 25595"/>
            <wp:cNvGraphicFramePr/>
            <a:graphic xmlns:a="http://schemas.openxmlformats.org/drawingml/2006/main">
              <a:graphicData uri="http://schemas.openxmlformats.org/drawingml/2006/picture">
                <pic:pic xmlns:pic="http://schemas.openxmlformats.org/drawingml/2006/picture">
                  <pic:nvPicPr>
                    <pic:cNvPr id="25595" name="Picture 25595"/>
                    <pic:cNvPicPr/>
                  </pic:nvPicPr>
                  <pic:blipFill>
                    <a:blip r:embed="rId416"/>
                    <a:stretch>
                      <a:fillRect/>
                    </a:stretch>
                  </pic:blipFill>
                  <pic:spPr>
                    <a:xfrm>
                      <a:off x="0" y="0"/>
                      <a:ext cx="4791457" cy="3032760"/>
                    </a:xfrm>
                    <a:prstGeom prst="rect">
                      <a:avLst/>
                    </a:prstGeom>
                  </pic:spPr>
                </pic:pic>
              </a:graphicData>
            </a:graphic>
          </wp:inline>
        </w:drawing>
      </w:r>
      <w:r>
        <w:rPr>
          <w:rFonts w:ascii="Times New Roman" w:eastAsia="Times New Roman" w:hAnsi="Times New Roman" w:cs="Times New Roman"/>
          <w:sz w:val="24"/>
        </w:rPr>
        <w:t xml:space="preserve"> </w:t>
      </w:r>
    </w:p>
    <w:p w:rsidR="0052701D" w:rsidRDefault="00D40929">
      <w:pPr>
        <w:spacing w:after="14" w:line="248" w:lineRule="auto"/>
        <w:ind w:left="713" w:right="45" w:hanging="5"/>
        <w:jc w:val="center"/>
      </w:pPr>
      <w:r>
        <w:rPr>
          <w:rFonts w:ascii="Times New Roman" w:eastAsia="Times New Roman" w:hAnsi="Times New Roman" w:cs="Times New Roman"/>
          <w:sz w:val="24"/>
        </w:rPr>
        <w:t xml:space="preserve">Рис. 4.  Представление модели в Matlab Simscape </w:t>
      </w:r>
    </w:p>
    <w:p w:rsidR="0052701D" w:rsidRDefault="00D40929">
      <w:pPr>
        <w:spacing w:after="75"/>
        <w:ind w:left="722"/>
        <w:jc w:val="center"/>
      </w:pPr>
      <w:r>
        <w:rPr>
          <w:rFonts w:ascii="Times New Roman" w:eastAsia="Times New Roman" w:hAnsi="Times New Roman" w:cs="Times New Roman"/>
          <w:sz w:val="24"/>
        </w:rPr>
        <w:t xml:space="preserve"> </w:t>
      </w:r>
    </w:p>
    <w:p w:rsidR="0052701D" w:rsidRDefault="00D40929">
      <w:pPr>
        <w:spacing w:after="5" w:line="251" w:lineRule="auto"/>
        <w:ind w:left="720" w:firstLine="9"/>
      </w:pPr>
      <w:r>
        <w:rPr>
          <w:rFonts w:ascii="Times New Roman" w:eastAsia="Times New Roman" w:hAnsi="Times New Roman" w:cs="Times New Roman"/>
          <w:b/>
          <w:sz w:val="28"/>
        </w:rPr>
        <w:t xml:space="preserve">Результаты и обсуждение </w:t>
      </w:r>
    </w:p>
    <w:p w:rsidR="0052701D" w:rsidRDefault="00D40929">
      <w:pPr>
        <w:spacing w:after="29" w:line="248" w:lineRule="auto"/>
        <w:ind w:left="9" w:right="14" w:firstLine="711"/>
        <w:jc w:val="both"/>
      </w:pPr>
      <w:r>
        <w:rPr>
          <w:rFonts w:ascii="Times New Roman" w:eastAsia="Times New Roman" w:hAnsi="Times New Roman" w:cs="Times New Roman"/>
          <w:sz w:val="24"/>
        </w:rPr>
        <w:t xml:space="preserve">Моделирование было проведено с использованием существующей модели MATLAB для </w:t>
      </w:r>
      <w:r>
        <w:rPr>
          <w:rFonts w:ascii="Times New Roman" w:eastAsia="Times New Roman" w:hAnsi="Times New Roman" w:cs="Times New Roman"/>
          <w:sz w:val="24"/>
        </w:rPr>
        <w:t xml:space="preserve">следования заданной траектории.  </w:t>
      </w:r>
    </w:p>
    <w:p w:rsidR="0052701D" w:rsidRDefault="00D40929">
      <w:pPr>
        <w:spacing w:after="29" w:line="248" w:lineRule="auto"/>
        <w:ind w:left="9" w:right="14" w:firstLine="711"/>
        <w:jc w:val="both"/>
      </w:pPr>
      <w:r>
        <w:rPr>
          <w:rFonts w:ascii="Times New Roman" w:eastAsia="Times New Roman" w:hAnsi="Times New Roman" w:cs="Times New Roman"/>
          <w:sz w:val="24"/>
        </w:rPr>
        <w:t>Поведение используемого ПИД-регулятора было протестировано в двух случаях. Случай (1) - это когда все звенья пантографа имеют одинаковую длину, в то время как случай (2) - это когда звенья пантографа имеют разную длину [14</w:t>
      </w:r>
      <w:r>
        <w:rPr>
          <w:rFonts w:ascii="Times New Roman" w:eastAsia="Times New Roman" w:hAnsi="Times New Roman" w:cs="Times New Roman"/>
          <w:sz w:val="24"/>
        </w:rPr>
        <w:t xml:space="preserve">]. </w:t>
      </w:r>
    </w:p>
    <w:p w:rsidR="0052701D" w:rsidRDefault="00D40929">
      <w:pPr>
        <w:spacing w:after="29" w:line="248" w:lineRule="auto"/>
        <w:ind w:left="9" w:right="14" w:firstLine="711"/>
        <w:jc w:val="both"/>
      </w:pPr>
      <w:r>
        <w:rPr>
          <w:rFonts w:ascii="Times New Roman" w:eastAsia="Times New Roman" w:hAnsi="Times New Roman" w:cs="Times New Roman"/>
          <w:sz w:val="24"/>
        </w:rPr>
        <w:t>Рисунок 5 и рисунок 7 показывают входную ошибку контроллеру в двух случаях для первого и второго шарнира соответственно, в то время как рисунок 6 и рисунок 8 показывают выходной отклик регулятора в двух случаях для одних и тех же стыков. Из этих резуль</w:t>
      </w:r>
      <w:r>
        <w:rPr>
          <w:rFonts w:ascii="Times New Roman" w:eastAsia="Times New Roman" w:hAnsi="Times New Roman" w:cs="Times New Roman"/>
          <w:sz w:val="24"/>
        </w:rPr>
        <w:t>татов видно, что когда все ссылки имеют одинаковую длину, ошибка намного меньше, а время установления ответа короче, поэтому это предпочтительный модель.</w:t>
      </w:r>
      <w:r>
        <w:rPr>
          <w:rFonts w:ascii="Times New Roman" w:eastAsia="Times New Roman" w:hAnsi="Times New Roman" w:cs="Times New Roman"/>
          <w:b/>
          <w:sz w:val="24"/>
        </w:rPr>
        <w:t xml:space="preserve"> </w:t>
      </w:r>
    </w:p>
    <w:p w:rsidR="0052701D" w:rsidRDefault="00D40929">
      <w:pPr>
        <w:spacing w:after="0"/>
        <w:ind w:right="1275"/>
        <w:jc w:val="right"/>
      </w:pPr>
      <w:r>
        <w:rPr>
          <w:noProof/>
        </w:rPr>
        <w:drawing>
          <wp:inline distT="0" distB="0" distL="0" distR="0">
            <wp:extent cx="4029456" cy="1725168"/>
            <wp:effectExtent l="0" t="0" r="0" b="0"/>
            <wp:docPr id="25597" name="Picture 25597"/>
            <wp:cNvGraphicFramePr/>
            <a:graphic xmlns:a="http://schemas.openxmlformats.org/drawingml/2006/main">
              <a:graphicData uri="http://schemas.openxmlformats.org/drawingml/2006/picture">
                <pic:pic xmlns:pic="http://schemas.openxmlformats.org/drawingml/2006/picture">
                  <pic:nvPicPr>
                    <pic:cNvPr id="25597" name="Picture 25597"/>
                    <pic:cNvPicPr/>
                  </pic:nvPicPr>
                  <pic:blipFill>
                    <a:blip r:embed="rId417"/>
                    <a:stretch>
                      <a:fillRect/>
                    </a:stretch>
                  </pic:blipFill>
                  <pic:spPr>
                    <a:xfrm>
                      <a:off x="0" y="0"/>
                      <a:ext cx="4029456" cy="1725168"/>
                    </a:xfrm>
                    <a:prstGeom prst="rect">
                      <a:avLst/>
                    </a:prstGeom>
                  </pic:spPr>
                </pic:pic>
              </a:graphicData>
            </a:graphic>
          </wp:inline>
        </w:drawing>
      </w:r>
      <w:r>
        <w:rPr>
          <w:rFonts w:ascii="Times New Roman" w:eastAsia="Times New Roman" w:hAnsi="Times New Roman" w:cs="Times New Roman"/>
          <w:b/>
          <w:sz w:val="24"/>
        </w:rPr>
        <w:t xml:space="preserve"> </w:t>
      </w:r>
    </w:p>
    <w:p w:rsidR="0052701D" w:rsidRDefault="00D40929">
      <w:pPr>
        <w:spacing w:after="14" w:line="248" w:lineRule="auto"/>
        <w:ind w:left="713" w:right="64" w:hanging="5"/>
        <w:jc w:val="center"/>
      </w:pPr>
      <w:r>
        <w:rPr>
          <w:rFonts w:ascii="Times New Roman" w:eastAsia="Times New Roman" w:hAnsi="Times New Roman" w:cs="Times New Roman"/>
          <w:sz w:val="24"/>
        </w:rPr>
        <w:t xml:space="preserve">Рис.5. Ошибка стыка один </w:t>
      </w:r>
    </w:p>
    <w:p w:rsidR="0052701D" w:rsidRDefault="00D40929">
      <w:pPr>
        <w:spacing w:after="0"/>
        <w:ind w:left="703"/>
        <w:jc w:val="center"/>
      </w:pPr>
      <w:r>
        <w:rPr>
          <w:rFonts w:ascii="Times New Roman" w:eastAsia="Times New Roman" w:hAnsi="Times New Roman" w:cs="Times New Roman"/>
          <w:sz w:val="24"/>
        </w:rPr>
        <w:t xml:space="preserve"> </w:t>
      </w:r>
    </w:p>
    <w:p w:rsidR="0052701D" w:rsidRDefault="00D40929">
      <w:pPr>
        <w:spacing w:after="0"/>
        <w:ind w:right="1496"/>
        <w:jc w:val="right"/>
      </w:pPr>
      <w:r>
        <w:rPr>
          <w:noProof/>
        </w:rPr>
        <w:drawing>
          <wp:inline distT="0" distB="0" distL="0" distR="0">
            <wp:extent cx="3761232" cy="1581912"/>
            <wp:effectExtent l="0" t="0" r="0" b="0"/>
            <wp:docPr id="25599" name="Picture 25599"/>
            <wp:cNvGraphicFramePr/>
            <a:graphic xmlns:a="http://schemas.openxmlformats.org/drawingml/2006/main">
              <a:graphicData uri="http://schemas.openxmlformats.org/drawingml/2006/picture">
                <pic:pic xmlns:pic="http://schemas.openxmlformats.org/drawingml/2006/picture">
                  <pic:nvPicPr>
                    <pic:cNvPr id="25599" name="Picture 25599"/>
                    <pic:cNvPicPr/>
                  </pic:nvPicPr>
                  <pic:blipFill>
                    <a:blip r:embed="rId418"/>
                    <a:stretch>
                      <a:fillRect/>
                    </a:stretch>
                  </pic:blipFill>
                  <pic:spPr>
                    <a:xfrm>
                      <a:off x="0" y="0"/>
                      <a:ext cx="3761232" cy="1581912"/>
                    </a:xfrm>
                    <a:prstGeom prst="rect">
                      <a:avLst/>
                    </a:prstGeom>
                  </pic:spPr>
                </pic:pic>
              </a:graphicData>
            </a:graphic>
          </wp:inline>
        </w:drawing>
      </w:r>
      <w:r>
        <w:rPr>
          <w:rFonts w:ascii="Times New Roman" w:eastAsia="Times New Roman" w:hAnsi="Times New Roman" w:cs="Times New Roman"/>
          <w:sz w:val="24"/>
        </w:rPr>
        <w:t xml:space="preserve"> </w:t>
      </w:r>
    </w:p>
    <w:p w:rsidR="0052701D" w:rsidRDefault="00D40929">
      <w:pPr>
        <w:spacing w:after="14" w:line="248" w:lineRule="auto"/>
        <w:ind w:left="713" w:right="66" w:hanging="5"/>
        <w:jc w:val="center"/>
      </w:pPr>
      <w:r>
        <w:rPr>
          <w:rFonts w:ascii="Times New Roman" w:eastAsia="Times New Roman" w:hAnsi="Times New Roman" w:cs="Times New Roman"/>
          <w:sz w:val="24"/>
        </w:rPr>
        <w:lastRenderedPageBreak/>
        <w:t xml:space="preserve">Рис.6. Управляющий вход стыка один </w:t>
      </w:r>
    </w:p>
    <w:p w:rsidR="0052701D" w:rsidRDefault="00D40929">
      <w:pPr>
        <w:spacing w:after="0"/>
        <w:ind w:left="703"/>
        <w:jc w:val="center"/>
      </w:pPr>
      <w:r>
        <w:rPr>
          <w:rFonts w:ascii="Times New Roman" w:eastAsia="Times New Roman" w:hAnsi="Times New Roman" w:cs="Times New Roman"/>
          <w:sz w:val="24"/>
        </w:rPr>
        <w:t xml:space="preserve"> </w:t>
      </w:r>
    </w:p>
    <w:p w:rsidR="0052701D" w:rsidRDefault="00D40929">
      <w:pPr>
        <w:spacing w:after="0"/>
        <w:ind w:right="1338"/>
        <w:jc w:val="right"/>
      </w:pPr>
      <w:r>
        <w:rPr>
          <w:noProof/>
        </w:rPr>
        <w:drawing>
          <wp:inline distT="0" distB="0" distL="0" distR="0">
            <wp:extent cx="3953256" cy="1322832"/>
            <wp:effectExtent l="0" t="0" r="0" b="0"/>
            <wp:docPr id="25718" name="Picture 25718"/>
            <wp:cNvGraphicFramePr/>
            <a:graphic xmlns:a="http://schemas.openxmlformats.org/drawingml/2006/main">
              <a:graphicData uri="http://schemas.openxmlformats.org/drawingml/2006/picture">
                <pic:pic xmlns:pic="http://schemas.openxmlformats.org/drawingml/2006/picture">
                  <pic:nvPicPr>
                    <pic:cNvPr id="25718" name="Picture 25718"/>
                    <pic:cNvPicPr/>
                  </pic:nvPicPr>
                  <pic:blipFill>
                    <a:blip r:embed="rId419"/>
                    <a:stretch>
                      <a:fillRect/>
                    </a:stretch>
                  </pic:blipFill>
                  <pic:spPr>
                    <a:xfrm>
                      <a:off x="0" y="0"/>
                      <a:ext cx="3953256" cy="1322832"/>
                    </a:xfrm>
                    <a:prstGeom prst="rect">
                      <a:avLst/>
                    </a:prstGeom>
                  </pic:spPr>
                </pic:pic>
              </a:graphicData>
            </a:graphic>
          </wp:inline>
        </w:drawing>
      </w:r>
      <w:r>
        <w:rPr>
          <w:rFonts w:ascii="Times New Roman" w:eastAsia="Times New Roman" w:hAnsi="Times New Roman" w:cs="Times New Roman"/>
          <w:sz w:val="24"/>
        </w:rPr>
        <w:t xml:space="preserve"> </w:t>
      </w:r>
    </w:p>
    <w:p w:rsidR="0052701D" w:rsidRDefault="00D40929">
      <w:pPr>
        <w:spacing w:after="14" w:line="248" w:lineRule="auto"/>
        <w:ind w:left="713" w:right="63" w:hanging="5"/>
        <w:jc w:val="center"/>
      </w:pPr>
      <w:r>
        <w:rPr>
          <w:rFonts w:ascii="Times New Roman" w:eastAsia="Times New Roman" w:hAnsi="Times New Roman" w:cs="Times New Roman"/>
          <w:sz w:val="24"/>
        </w:rPr>
        <w:t xml:space="preserve">Рис. 7.  Ошибка стыка два </w:t>
      </w:r>
    </w:p>
    <w:p w:rsidR="0052701D" w:rsidRDefault="00D40929">
      <w:pPr>
        <w:spacing w:after="0"/>
        <w:ind w:left="703"/>
        <w:jc w:val="center"/>
      </w:pPr>
      <w:r>
        <w:rPr>
          <w:rFonts w:ascii="Times New Roman" w:eastAsia="Times New Roman" w:hAnsi="Times New Roman" w:cs="Times New Roman"/>
          <w:sz w:val="24"/>
        </w:rPr>
        <w:t xml:space="preserve"> </w:t>
      </w:r>
    </w:p>
    <w:p w:rsidR="0052701D" w:rsidRDefault="00D40929">
      <w:pPr>
        <w:spacing w:after="0"/>
        <w:ind w:right="810"/>
        <w:jc w:val="right"/>
      </w:pPr>
      <w:r>
        <w:rPr>
          <w:noProof/>
        </w:rPr>
        <w:drawing>
          <wp:inline distT="0" distB="0" distL="0" distR="0">
            <wp:extent cx="4629912" cy="1938528"/>
            <wp:effectExtent l="0" t="0" r="0" b="0"/>
            <wp:docPr id="25720" name="Picture 25720"/>
            <wp:cNvGraphicFramePr/>
            <a:graphic xmlns:a="http://schemas.openxmlformats.org/drawingml/2006/main">
              <a:graphicData uri="http://schemas.openxmlformats.org/drawingml/2006/picture">
                <pic:pic xmlns:pic="http://schemas.openxmlformats.org/drawingml/2006/picture">
                  <pic:nvPicPr>
                    <pic:cNvPr id="25720" name="Picture 25720"/>
                    <pic:cNvPicPr/>
                  </pic:nvPicPr>
                  <pic:blipFill>
                    <a:blip r:embed="rId420"/>
                    <a:stretch>
                      <a:fillRect/>
                    </a:stretch>
                  </pic:blipFill>
                  <pic:spPr>
                    <a:xfrm>
                      <a:off x="0" y="0"/>
                      <a:ext cx="4629912" cy="1938528"/>
                    </a:xfrm>
                    <a:prstGeom prst="rect">
                      <a:avLst/>
                    </a:prstGeom>
                  </pic:spPr>
                </pic:pic>
              </a:graphicData>
            </a:graphic>
          </wp:inline>
        </w:drawing>
      </w:r>
      <w:r>
        <w:rPr>
          <w:rFonts w:ascii="Times New Roman" w:eastAsia="Times New Roman" w:hAnsi="Times New Roman" w:cs="Times New Roman"/>
          <w:sz w:val="24"/>
        </w:rPr>
        <w:t xml:space="preserve"> </w:t>
      </w:r>
    </w:p>
    <w:p w:rsidR="0052701D" w:rsidRDefault="00D40929">
      <w:pPr>
        <w:spacing w:after="14" w:line="248" w:lineRule="auto"/>
        <w:ind w:left="713" w:right="59" w:hanging="5"/>
        <w:jc w:val="center"/>
      </w:pPr>
      <w:r>
        <w:rPr>
          <w:rFonts w:ascii="Times New Roman" w:eastAsia="Times New Roman" w:hAnsi="Times New Roman" w:cs="Times New Roman"/>
          <w:sz w:val="24"/>
        </w:rPr>
        <w:t xml:space="preserve">Рис.8. Управляющий вход стыка два </w:t>
      </w:r>
    </w:p>
    <w:p w:rsidR="0052701D" w:rsidRDefault="00D40929">
      <w:pPr>
        <w:spacing w:after="27"/>
        <w:ind w:left="703"/>
        <w:jc w:val="center"/>
      </w:pPr>
      <w:r>
        <w:rPr>
          <w:rFonts w:ascii="Times New Roman" w:eastAsia="Times New Roman" w:hAnsi="Times New Roman" w:cs="Times New Roman"/>
          <w:sz w:val="24"/>
        </w:rPr>
        <w:t xml:space="preserve"> </w:t>
      </w:r>
    </w:p>
    <w:p w:rsidR="0052701D" w:rsidRDefault="00D40929">
      <w:pPr>
        <w:spacing w:after="16" w:line="248" w:lineRule="auto"/>
        <w:ind w:left="819" w:right="163" w:hanging="10"/>
        <w:jc w:val="center"/>
      </w:pPr>
      <w:r>
        <w:rPr>
          <w:rFonts w:ascii="Times New Roman" w:eastAsia="Times New Roman" w:hAnsi="Times New Roman" w:cs="Times New Roman"/>
          <w:b/>
          <w:sz w:val="24"/>
        </w:rPr>
        <w:t xml:space="preserve">Источники </w:t>
      </w:r>
    </w:p>
    <w:p w:rsidR="0052701D" w:rsidRDefault="00D40929">
      <w:pPr>
        <w:numPr>
          <w:ilvl w:val="0"/>
          <w:numId w:val="39"/>
        </w:numPr>
        <w:spacing w:after="0" w:line="248" w:lineRule="auto"/>
        <w:ind w:right="14" w:firstLine="711"/>
        <w:jc w:val="both"/>
      </w:pPr>
      <w:r>
        <w:rPr>
          <w:rFonts w:ascii="Times New Roman" w:eastAsia="Times New Roman" w:hAnsi="Times New Roman" w:cs="Times New Roman"/>
          <w:sz w:val="24"/>
        </w:rPr>
        <w:t xml:space="preserve">Zhang, K., Huang ,T., Wang, C.: Kinematics and dynamics analysis of a planar hybrid five bar actuator. In: 9th Inter national Conference on Control, Automation, Robotics and Vision 2006, ICARCV 2006, pp. 1–6. IEEE (2006)  </w:t>
      </w:r>
    </w:p>
    <w:p w:rsidR="0052701D" w:rsidRDefault="00D40929">
      <w:pPr>
        <w:numPr>
          <w:ilvl w:val="0"/>
          <w:numId w:val="39"/>
        </w:numPr>
        <w:spacing w:after="0" w:line="248" w:lineRule="auto"/>
        <w:ind w:right="14" w:firstLine="711"/>
        <w:jc w:val="both"/>
      </w:pPr>
      <w:r>
        <w:rPr>
          <w:rFonts w:ascii="Times New Roman" w:eastAsia="Times New Roman" w:hAnsi="Times New Roman" w:cs="Times New Roman"/>
          <w:sz w:val="24"/>
        </w:rPr>
        <w:t>Karnopp, D., Margolis, D.: Analys</w:t>
      </w:r>
      <w:r>
        <w:rPr>
          <w:rFonts w:ascii="Times New Roman" w:eastAsia="Times New Roman" w:hAnsi="Times New Roman" w:cs="Times New Roman"/>
          <w:sz w:val="24"/>
        </w:rPr>
        <w:t xml:space="preserve">is and simulation of planar mechanism systems using bond graphs. J. Mech. Des. Trans ASME 101(2), 187–191 (1979)  </w:t>
      </w:r>
    </w:p>
    <w:p w:rsidR="0052701D" w:rsidRDefault="00D40929">
      <w:pPr>
        <w:numPr>
          <w:ilvl w:val="0"/>
          <w:numId w:val="39"/>
        </w:numPr>
        <w:spacing w:after="5"/>
        <w:ind w:right="14" w:firstLine="711"/>
        <w:jc w:val="both"/>
      </w:pPr>
      <w:r>
        <w:rPr>
          <w:rFonts w:ascii="Times New Roman" w:eastAsia="Times New Roman" w:hAnsi="Times New Roman" w:cs="Times New Roman"/>
          <w:sz w:val="24"/>
        </w:rPr>
        <w:t xml:space="preserve">Bonev, </w:t>
      </w:r>
      <w:r>
        <w:rPr>
          <w:rFonts w:ascii="Times New Roman" w:eastAsia="Times New Roman" w:hAnsi="Times New Roman" w:cs="Times New Roman"/>
          <w:sz w:val="24"/>
        </w:rPr>
        <w:tab/>
        <w:t xml:space="preserve">I.A.: </w:t>
      </w:r>
      <w:r>
        <w:rPr>
          <w:rFonts w:ascii="Times New Roman" w:eastAsia="Times New Roman" w:hAnsi="Times New Roman" w:cs="Times New Roman"/>
          <w:sz w:val="24"/>
        </w:rPr>
        <w:tab/>
        <w:t xml:space="preserve">The </w:t>
      </w:r>
      <w:r>
        <w:rPr>
          <w:rFonts w:ascii="Times New Roman" w:eastAsia="Times New Roman" w:hAnsi="Times New Roman" w:cs="Times New Roman"/>
          <w:sz w:val="24"/>
        </w:rPr>
        <w:tab/>
        <w:t xml:space="preserve">true </w:t>
      </w:r>
      <w:r>
        <w:rPr>
          <w:rFonts w:ascii="Times New Roman" w:eastAsia="Times New Roman" w:hAnsi="Times New Roman" w:cs="Times New Roman"/>
          <w:sz w:val="24"/>
        </w:rPr>
        <w:tab/>
        <w:t xml:space="preserve">origins </w:t>
      </w:r>
      <w:r>
        <w:rPr>
          <w:rFonts w:ascii="Times New Roman" w:eastAsia="Times New Roman" w:hAnsi="Times New Roman" w:cs="Times New Roman"/>
          <w:sz w:val="24"/>
        </w:rPr>
        <w:tab/>
        <w:t xml:space="preserve">of </w:t>
      </w:r>
      <w:r>
        <w:rPr>
          <w:rFonts w:ascii="Times New Roman" w:eastAsia="Times New Roman" w:hAnsi="Times New Roman" w:cs="Times New Roman"/>
          <w:sz w:val="24"/>
        </w:rPr>
        <w:tab/>
        <w:t xml:space="preserve">parallel </w:t>
      </w:r>
      <w:r>
        <w:rPr>
          <w:rFonts w:ascii="Times New Roman" w:eastAsia="Times New Roman" w:hAnsi="Times New Roman" w:cs="Times New Roman"/>
          <w:sz w:val="24"/>
        </w:rPr>
        <w:tab/>
        <w:t xml:space="preserve">robots, </w:t>
      </w:r>
      <w:r>
        <w:rPr>
          <w:rFonts w:ascii="Times New Roman" w:eastAsia="Times New Roman" w:hAnsi="Times New Roman" w:cs="Times New Roman"/>
          <w:sz w:val="24"/>
        </w:rPr>
        <w:tab/>
        <w:t xml:space="preserve">24 </w:t>
      </w:r>
      <w:r>
        <w:rPr>
          <w:rFonts w:ascii="Times New Roman" w:eastAsia="Times New Roman" w:hAnsi="Times New Roman" w:cs="Times New Roman"/>
          <w:sz w:val="24"/>
        </w:rPr>
        <w:tab/>
        <w:t xml:space="preserve">January </w:t>
      </w:r>
      <w:r>
        <w:rPr>
          <w:rFonts w:ascii="Times New Roman" w:eastAsia="Times New Roman" w:hAnsi="Times New Roman" w:cs="Times New Roman"/>
          <w:sz w:val="24"/>
        </w:rPr>
        <w:tab/>
        <w:t xml:space="preserve">2003. </w:t>
      </w:r>
    </w:p>
    <w:p w:rsidR="0052701D" w:rsidRDefault="00D40929">
      <w:pPr>
        <w:spacing w:after="29" w:line="248" w:lineRule="auto"/>
        <w:ind w:left="9" w:right="14"/>
        <w:jc w:val="both"/>
      </w:pPr>
      <w:r>
        <w:rPr>
          <w:rFonts w:ascii="Times New Roman" w:eastAsia="Times New Roman" w:hAnsi="Times New Roman" w:cs="Times New Roman"/>
          <w:sz w:val="24"/>
        </w:rPr>
        <w:t xml:space="preserve">https://www.parallemic.org/ Reviews/Review007.html  </w:t>
      </w:r>
    </w:p>
    <w:p w:rsidR="0052701D" w:rsidRDefault="00D40929">
      <w:pPr>
        <w:numPr>
          <w:ilvl w:val="0"/>
          <w:numId w:val="39"/>
        </w:numPr>
        <w:spacing w:after="0" w:line="248" w:lineRule="auto"/>
        <w:ind w:right="14" w:firstLine="711"/>
        <w:jc w:val="both"/>
      </w:pPr>
      <w:r>
        <w:rPr>
          <w:rFonts w:ascii="Times New Roman" w:eastAsia="Times New Roman" w:hAnsi="Times New Roman" w:cs="Times New Roman"/>
          <w:sz w:val="24"/>
        </w:rPr>
        <w:t>Lafmejani,</w:t>
      </w:r>
      <w:r>
        <w:rPr>
          <w:rFonts w:ascii="Times New Roman" w:eastAsia="Times New Roman" w:hAnsi="Times New Roman" w:cs="Times New Roman"/>
          <w:sz w:val="24"/>
        </w:rPr>
        <w:t xml:space="preserve"> A.S., Masouleh, M.T., Kalhor, A.: Gough-Stewart parallel robot using backstepping-sliding mode controller and geometry-based quasi forward kinematic method. Robot. </w:t>
      </w:r>
    </w:p>
    <w:p w:rsidR="0052701D" w:rsidRDefault="00D40929">
      <w:pPr>
        <w:spacing w:after="9" w:line="250" w:lineRule="auto"/>
        <w:ind w:left="-5" w:hanging="10"/>
      </w:pPr>
      <w:r>
        <w:rPr>
          <w:rFonts w:ascii="Times New Roman" w:eastAsia="Times New Roman" w:hAnsi="Times New Roman" w:cs="Times New Roman"/>
          <w:sz w:val="24"/>
        </w:rPr>
        <w:t xml:space="preserve">Comput. Integr. Manuf. 54, 96–114 (2018). </w:t>
      </w:r>
      <w:hyperlink r:id="rId421">
        <w:r>
          <w:rPr>
            <w:rFonts w:ascii="Times New Roman" w:eastAsia="Times New Roman" w:hAnsi="Times New Roman" w:cs="Times New Roman"/>
            <w:color w:val="0000FF"/>
            <w:sz w:val="24"/>
            <w:u w:val="single" w:color="0000FF"/>
          </w:rPr>
          <w:t>https://doi.org/10.1016/j.rcim.2018. 06.001</w:t>
        </w:r>
      </w:hyperlink>
      <w:hyperlink r:id="rId422">
        <w:r>
          <w:rPr>
            <w:rFonts w:ascii="Times New Roman" w:eastAsia="Times New Roman" w:hAnsi="Times New Roman" w:cs="Times New Roman"/>
            <w:sz w:val="24"/>
          </w:rPr>
          <w:t xml:space="preserve"> </w:t>
        </w:r>
      </w:hyperlink>
      <w:r>
        <w:rPr>
          <w:rFonts w:ascii="Times New Roman" w:eastAsia="Times New Roman" w:hAnsi="Times New Roman" w:cs="Times New Roman"/>
          <w:sz w:val="24"/>
        </w:rPr>
        <w:t xml:space="preserve"> </w:t>
      </w:r>
    </w:p>
    <w:p w:rsidR="0052701D" w:rsidRDefault="00D40929">
      <w:pPr>
        <w:numPr>
          <w:ilvl w:val="0"/>
          <w:numId w:val="39"/>
        </w:numPr>
        <w:spacing w:after="0" w:line="248" w:lineRule="auto"/>
        <w:ind w:right="14" w:firstLine="711"/>
        <w:jc w:val="both"/>
      </w:pPr>
      <w:r>
        <w:rPr>
          <w:rFonts w:ascii="Times New Roman" w:eastAsia="Times New Roman" w:hAnsi="Times New Roman" w:cs="Times New Roman"/>
          <w:sz w:val="24"/>
        </w:rPr>
        <w:t>Sallam, M., Ramadan, A., Fanni, M.: Position tracking for bilateral teleoperation system with varying time delay. In: the 2013 I</w:t>
      </w:r>
      <w:r>
        <w:rPr>
          <w:rFonts w:ascii="Times New Roman" w:eastAsia="Times New Roman" w:hAnsi="Times New Roman" w:cs="Times New Roman"/>
          <w:sz w:val="24"/>
        </w:rPr>
        <w:t xml:space="preserve">EEE/ASME International Conference on Advanced Intelligent Mechatronics (AIM),Wollongong, pp. 1146–1151 (2013). https://doi.org/10.1109/ AIM.2013.6584248  </w:t>
      </w:r>
    </w:p>
    <w:p w:rsidR="0052701D" w:rsidRDefault="00D40929">
      <w:pPr>
        <w:numPr>
          <w:ilvl w:val="0"/>
          <w:numId w:val="39"/>
        </w:numPr>
        <w:spacing w:after="29" w:line="248" w:lineRule="auto"/>
        <w:ind w:right="14" w:firstLine="711"/>
        <w:jc w:val="both"/>
      </w:pPr>
      <w:r>
        <w:rPr>
          <w:rFonts w:ascii="Times New Roman" w:eastAsia="Times New Roman" w:hAnsi="Times New Roman" w:cs="Times New Roman"/>
          <w:sz w:val="24"/>
        </w:rPr>
        <w:t>Саркисян Ю.Л. О прямолинейных квадратических точках в плоско параллельном движении. - В кн.: Механика</w:t>
      </w:r>
      <w:r>
        <w:rPr>
          <w:rFonts w:ascii="Times New Roman" w:eastAsia="Times New Roman" w:hAnsi="Times New Roman" w:cs="Times New Roman"/>
          <w:sz w:val="24"/>
        </w:rPr>
        <w:t xml:space="preserve"> машин. М.: Наука, 1975, вып.48, С.65-72. </w:t>
      </w:r>
    </w:p>
    <w:p w:rsidR="0052701D" w:rsidRDefault="00D40929">
      <w:pPr>
        <w:numPr>
          <w:ilvl w:val="0"/>
          <w:numId w:val="39"/>
        </w:numPr>
        <w:spacing w:after="29" w:line="248" w:lineRule="auto"/>
        <w:ind w:right="14" w:firstLine="711"/>
        <w:jc w:val="both"/>
      </w:pPr>
      <w:r>
        <w:rPr>
          <w:rFonts w:ascii="Times New Roman" w:eastAsia="Times New Roman" w:hAnsi="Times New Roman" w:cs="Times New Roman"/>
          <w:sz w:val="24"/>
        </w:rPr>
        <w:t xml:space="preserve">Rashad, S.A., Sallam, M., Bassiuny, A.B., Abdelghany, A.M.: Control of master slave robotics system using optimal control schemes. IOP Conf. Ser. Mater. Sci. Eng. 610, 012056 (2019). </w:t>
      </w:r>
      <w:hyperlink r:id="rId423">
        <w:r>
          <w:rPr>
            <w:rFonts w:ascii="Times New Roman" w:eastAsia="Times New Roman" w:hAnsi="Times New Roman" w:cs="Times New Roman"/>
            <w:color w:val="0000FF"/>
            <w:sz w:val="24"/>
            <w:u w:val="single" w:color="0000FF"/>
          </w:rPr>
          <w:t>https://doi.org/10.1088/1757</w:t>
        </w:r>
      </w:hyperlink>
      <w:hyperlink r:id="rId424">
        <w:r>
          <w:rPr>
            <w:rFonts w:ascii="Times New Roman" w:eastAsia="Times New Roman" w:hAnsi="Times New Roman" w:cs="Times New Roman"/>
            <w:color w:val="0000FF"/>
            <w:sz w:val="24"/>
            <w:u w:val="single" w:color="0000FF"/>
          </w:rPr>
          <w:t>-</w:t>
        </w:r>
      </w:hyperlink>
      <w:hyperlink r:id="rId425">
        <w:r>
          <w:rPr>
            <w:rFonts w:ascii="Times New Roman" w:eastAsia="Times New Roman" w:hAnsi="Times New Roman" w:cs="Times New Roman"/>
            <w:color w:val="0000FF"/>
            <w:sz w:val="24"/>
            <w:u w:val="single" w:color="0000FF"/>
          </w:rPr>
          <w:t>899X/610/1/012056</w:t>
        </w:r>
      </w:hyperlink>
      <w:hyperlink r:id="rId426">
        <w:r>
          <w:rPr>
            <w:rFonts w:ascii="Times New Roman" w:eastAsia="Times New Roman" w:hAnsi="Times New Roman" w:cs="Times New Roman"/>
            <w:sz w:val="24"/>
          </w:rPr>
          <w:t xml:space="preserve"> </w:t>
        </w:r>
      </w:hyperlink>
      <w:r>
        <w:rPr>
          <w:rFonts w:ascii="Times New Roman" w:eastAsia="Times New Roman" w:hAnsi="Times New Roman" w:cs="Times New Roman"/>
          <w:sz w:val="24"/>
        </w:rPr>
        <w:t xml:space="preserve"> </w:t>
      </w:r>
    </w:p>
    <w:p w:rsidR="0052701D" w:rsidRDefault="00D40929">
      <w:pPr>
        <w:numPr>
          <w:ilvl w:val="0"/>
          <w:numId w:val="39"/>
        </w:numPr>
        <w:spacing w:after="0" w:line="248" w:lineRule="auto"/>
        <w:ind w:right="14" w:firstLine="711"/>
        <w:jc w:val="both"/>
      </w:pPr>
      <w:r>
        <w:rPr>
          <w:rFonts w:ascii="Times New Roman" w:eastAsia="Times New Roman" w:hAnsi="Times New Roman" w:cs="Times New Roman"/>
          <w:sz w:val="24"/>
        </w:rPr>
        <w:t xml:space="preserve">N˜uo, E., Basãez, L., Ortega, R., Spong, M.W.: Position tracking for non-linear teleoperators with variable time delay. Int. J. Robot. Res. 28(7), 895–910 (2009)  </w:t>
      </w:r>
    </w:p>
    <w:p w:rsidR="0052701D" w:rsidRDefault="00D40929">
      <w:pPr>
        <w:numPr>
          <w:ilvl w:val="0"/>
          <w:numId w:val="39"/>
        </w:numPr>
        <w:spacing w:after="0" w:line="248" w:lineRule="auto"/>
        <w:ind w:right="14" w:firstLine="711"/>
        <w:jc w:val="both"/>
      </w:pPr>
      <w:r>
        <w:rPr>
          <w:rFonts w:ascii="Times New Roman" w:eastAsia="Times New Roman" w:hAnsi="Times New Roman" w:cs="Times New Roman"/>
          <w:sz w:val="24"/>
        </w:rPr>
        <w:t>Bin, Z., Jianbin, C., Zhencai, Z.: Dynamic simulation of hybrid-d</w:t>
      </w:r>
      <w:r>
        <w:rPr>
          <w:rFonts w:ascii="Times New Roman" w:eastAsia="Times New Roman" w:hAnsi="Times New Roman" w:cs="Times New Roman"/>
          <w:sz w:val="24"/>
        </w:rPr>
        <w:t xml:space="preserve">riven planar five-bar parallel mechanism based on sim-mechanics and tracking control. Int. J. Adv. Robot. Syst. 8(4), 28– 33 (2011)  [10] Ә. Жауыт. Тербеліс атқарушы қондырғы механизмді кинематикалық зерттеу. ҚазККА хабаршысы, №3(82), Б. 32-38, 2013 </w:t>
      </w:r>
    </w:p>
    <w:p w:rsidR="0052701D" w:rsidRDefault="00D40929">
      <w:pPr>
        <w:numPr>
          <w:ilvl w:val="0"/>
          <w:numId w:val="40"/>
        </w:numPr>
        <w:spacing w:after="0" w:line="248" w:lineRule="auto"/>
        <w:ind w:right="14" w:firstLine="711"/>
        <w:jc w:val="both"/>
      </w:pPr>
      <w:r>
        <w:rPr>
          <w:rFonts w:ascii="Times New Roman" w:eastAsia="Times New Roman" w:hAnsi="Times New Roman" w:cs="Times New Roman"/>
          <w:sz w:val="24"/>
        </w:rPr>
        <w:lastRenderedPageBreak/>
        <w:t>Farag</w:t>
      </w:r>
      <w:r>
        <w:rPr>
          <w:rFonts w:ascii="Times New Roman" w:eastAsia="Times New Roman" w:hAnsi="Times New Roman" w:cs="Times New Roman"/>
          <w:sz w:val="24"/>
        </w:rPr>
        <w:t xml:space="preserve">, R., Badawy, I., Magdy, F., Mahmoud, Z., Sallam, M.: Real-time trajectory control of potential drug carrier using pantograph “experimental study”. In: International Conference on </w:t>
      </w:r>
    </w:p>
    <w:p w:rsidR="0052701D" w:rsidRDefault="00D40929">
      <w:pPr>
        <w:spacing w:after="29" w:line="248" w:lineRule="auto"/>
        <w:ind w:left="9" w:right="14"/>
        <w:jc w:val="both"/>
      </w:pPr>
      <w:r>
        <w:rPr>
          <w:rFonts w:ascii="Times New Roman" w:eastAsia="Times New Roman" w:hAnsi="Times New Roman" w:cs="Times New Roman"/>
          <w:sz w:val="24"/>
        </w:rPr>
        <w:t>Advanced Intelligent Systems and Informatics 2020, vol. 1261, pp. 305–313 (</w:t>
      </w:r>
      <w:r>
        <w:rPr>
          <w:rFonts w:ascii="Times New Roman" w:eastAsia="Times New Roman" w:hAnsi="Times New Roman" w:cs="Times New Roman"/>
          <w:sz w:val="24"/>
        </w:rPr>
        <w:t xml:space="preserve">2020)  </w:t>
      </w:r>
    </w:p>
    <w:p w:rsidR="0052701D" w:rsidRDefault="00D40929">
      <w:pPr>
        <w:numPr>
          <w:ilvl w:val="0"/>
          <w:numId w:val="40"/>
        </w:numPr>
        <w:spacing w:after="29" w:line="248" w:lineRule="auto"/>
        <w:ind w:right="14" w:firstLine="711"/>
        <w:jc w:val="both"/>
      </w:pPr>
      <w:r>
        <w:rPr>
          <w:rFonts w:ascii="Times New Roman" w:eastAsia="Times New Roman" w:hAnsi="Times New Roman" w:cs="Times New Roman"/>
          <w:sz w:val="24"/>
        </w:rPr>
        <w:t xml:space="preserve">Khalil, </w:t>
      </w:r>
      <w:r>
        <w:rPr>
          <w:rFonts w:ascii="Times New Roman" w:eastAsia="Times New Roman" w:hAnsi="Times New Roman" w:cs="Times New Roman"/>
          <w:sz w:val="24"/>
        </w:rPr>
        <w:tab/>
        <w:t xml:space="preserve">I., </w:t>
      </w:r>
      <w:r>
        <w:rPr>
          <w:rFonts w:ascii="Times New Roman" w:eastAsia="Times New Roman" w:hAnsi="Times New Roman" w:cs="Times New Roman"/>
          <w:sz w:val="24"/>
        </w:rPr>
        <w:tab/>
        <w:t xml:space="preserve">Abu </w:t>
      </w:r>
      <w:r>
        <w:rPr>
          <w:rFonts w:ascii="Times New Roman" w:eastAsia="Times New Roman" w:hAnsi="Times New Roman" w:cs="Times New Roman"/>
          <w:sz w:val="24"/>
        </w:rPr>
        <w:tab/>
        <w:t xml:space="preserve">Seif, </w:t>
      </w:r>
      <w:r>
        <w:rPr>
          <w:rFonts w:ascii="Times New Roman" w:eastAsia="Times New Roman" w:hAnsi="Times New Roman" w:cs="Times New Roman"/>
          <w:sz w:val="24"/>
        </w:rPr>
        <w:tab/>
        <w:t xml:space="preserve">M.: </w:t>
      </w:r>
      <w:r>
        <w:rPr>
          <w:rFonts w:ascii="Times New Roman" w:eastAsia="Times New Roman" w:hAnsi="Times New Roman" w:cs="Times New Roman"/>
          <w:sz w:val="24"/>
        </w:rPr>
        <w:tab/>
        <w:t xml:space="preserve">Modeling </w:t>
      </w:r>
      <w:r>
        <w:rPr>
          <w:rFonts w:ascii="Times New Roman" w:eastAsia="Times New Roman" w:hAnsi="Times New Roman" w:cs="Times New Roman"/>
          <w:sz w:val="24"/>
        </w:rPr>
        <w:tab/>
        <w:t xml:space="preserve">of </w:t>
      </w:r>
      <w:r>
        <w:rPr>
          <w:rFonts w:ascii="Times New Roman" w:eastAsia="Times New Roman" w:hAnsi="Times New Roman" w:cs="Times New Roman"/>
          <w:sz w:val="24"/>
        </w:rPr>
        <w:tab/>
        <w:t xml:space="preserve">a </w:t>
      </w:r>
      <w:r>
        <w:rPr>
          <w:rFonts w:ascii="Times New Roman" w:eastAsia="Times New Roman" w:hAnsi="Times New Roman" w:cs="Times New Roman"/>
          <w:sz w:val="24"/>
        </w:rPr>
        <w:tab/>
        <w:t xml:space="preserve">Pantograph </w:t>
      </w:r>
      <w:r>
        <w:rPr>
          <w:rFonts w:ascii="Times New Roman" w:eastAsia="Times New Roman" w:hAnsi="Times New Roman" w:cs="Times New Roman"/>
          <w:sz w:val="24"/>
        </w:rPr>
        <w:tab/>
        <w:t xml:space="preserve">Haptic </w:t>
      </w:r>
      <w:r>
        <w:rPr>
          <w:rFonts w:ascii="Times New Roman" w:eastAsia="Times New Roman" w:hAnsi="Times New Roman" w:cs="Times New Roman"/>
          <w:sz w:val="24"/>
        </w:rPr>
        <w:tab/>
        <w:t xml:space="preserve">Device. </w:t>
      </w:r>
    </w:p>
    <w:p w:rsidR="0052701D" w:rsidRDefault="00D40929">
      <w:pPr>
        <w:spacing w:after="29" w:line="248" w:lineRule="auto"/>
        <w:ind w:left="9" w:right="14"/>
        <w:jc w:val="both"/>
      </w:pPr>
      <w:r>
        <w:rPr>
          <w:rFonts w:ascii="Times New Roman" w:eastAsia="Times New Roman" w:hAnsi="Times New Roman" w:cs="Times New Roman"/>
          <w:sz w:val="24"/>
        </w:rPr>
        <w:t xml:space="preserve">https://www.mnrlab.com/ uploads/7/3/8/3/73833313/modeling-of-pantograph.pdf  </w:t>
      </w:r>
    </w:p>
    <w:p w:rsidR="0052701D" w:rsidRDefault="00D40929">
      <w:pPr>
        <w:numPr>
          <w:ilvl w:val="0"/>
          <w:numId w:val="40"/>
        </w:numPr>
        <w:spacing w:after="0" w:line="248" w:lineRule="auto"/>
        <w:ind w:right="14" w:firstLine="711"/>
        <w:jc w:val="both"/>
      </w:pPr>
      <w:r>
        <w:rPr>
          <w:rFonts w:ascii="Times New Roman" w:eastAsia="Times New Roman" w:hAnsi="Times New Roman" w:cs="Times New Roman"/>
          <w:sz w:val="24"/>
        </w:rPr>
        <w:t>Abou Seif, M., Hassan, A., El-</w:t>
      </w:r>
      <w:r>
        <w:rPr>
          <w:rFonts w:ascii="Times New Roman" w:eastAsia="Times New Roman" w:hAnsi="Times New Roman" w:cs="Times New Roman"/>
          <w:sz w:val="24"/>
        </w:rPr>
        <w:t xml:space="preserve">Shaer, H., Misra, S., Khalil, I.: A magnetic bilateral telemanipulation system using paramagnetic microparticles for micromanipulation of nonmagnetic objects. In: Proceedings of the IEEE International Conference on Advanced Intelligent Mechatronics </w:t>
      </w:r>
    </w:p>
    <w:p w:rsidR="0052701D" w:rsidRDefault="00D40929">
      <w:pPr>
        <w:spacing w:after="29" w:line="248" w:lineRule="auto"/>
        <w:ind w:left="9" w:right="14"/>
        <w:jc w:val="both"/>
      </w:pPr>
      <w:r>
        <w:rPr>
          <w:rFonts w:ascii="Times New Roman" w:eastAsia="Times New Roman" w:hAnsi="Times New Roman" w:cs="Times New Roman"/>
          <w:sz w:val="24"/>
        </w:rPr>
        <w:t>(AIM),</w:t>
      </w:r>
      <w:r>
        <w:rPr>
          <w:rFonts w:ascii="Times New Roman" w:eastAsia="Times New Roman" w:hAnsi="Times New Roman" w:cs="Times New Roman"/>
          <w:sz w:val="24"/>
        </w:rPr>
        <w:t xml:space="preserve"> Munich, Germany, pp. 1095–1102 (2017)  </w:t>
      </w:r>
    </w:p>
    <w:p w:rsidR="0052701D" w:rsidRDefault="00D40929">
      <w:pPr>
        <w:numPr>
          <w:ilvl w:val="0"/>
          <w:numId w:val="40"/>
        </w:numPr>
        <w:spacing w:after="0" w:line="248" w:lineRule="auto"/>
        <w:ind w:right="14" w:firstLine="711"/>
        <w:jc w:val="both"/>
      </w:pPr>
      <w:r>
        <w:rPr>
          <w:rFonts w:ascii="Times New Roman" w:eastAsia="Times New Roman" w:hAnsi="Times New Roman" w:cs="Times New Roman"/>
          <w:sz w:val="24"/>
        </w:rPr>
        <w:t xml:space="preserve">Hongnian, Y.: Modeling and control of hybrid machine systems a five-bar mechanism case. Int. J. Autom. Comput. 3, 235–243 (2006) </w:t>
      </w:r>
    </w:p>
    <w:p w:rsidR="0052701D" w:rsidRDefault="00D40929">
      <w:pPr>
        <w:spacing w:after="0"/>
        <w:ind w:left="706"/>
      </w:pPr>
      <w:r>
        <w:rPr>
          <w:rFonts w:ascii="Times New Roman" w:eastAsia="Times New Roman" w:hAnsi="Times New Roman" w:cs="Times New Roman"/>
          <w:sz w:val="24"/>
        </w:rPr>
        <w:t xml:space="preserve"> </w:t>
      </w:r>
    </w:p>
    <w:p w:rsidR="0052701D" w:rsidRDefault="00D40929">
      <w:pPr>
        <w:spacing w:after="0"/>
      </w:pPr>
      <w:r>
        <w:rPr>
          <w:rFonts w:ascii="Times New Roman" w:eastAsia="Times New Roman" w:hAnsi="Times New Roman" w:cs="Times New Roman"/>
          <w:sz w:val="24"/>
        </w:rPr>
        <w:t xml:space="preserve"> </w:t>
      </w:r>
    </w:p>
    <w:p w:rsidR="0052701D" w:rsidRDefault="00D40929">
      <w:pPr>
        <w:spacing w:after="0"/>
      </w:pPr>
      <w:r>
        <w:rPr>
          <w:rFonts w:ascii="Times New Roman" w:eastAsia="Times New Roman" w:hAnsi="Times New Roman" w:cs="Times New Roman"/>
          <w:sz w:val="24"/>
        </w:rPr>
        <w:t xml:space="preserve"> </w:t>
      </w:r>
    </w:p>
    <w:p w:rsidR="0052701D" w:rsidRDefault="00D40929">
      <w:pPr>
        <w:spacing w:after="29" w:line="248" w:lineRule="auto"/>
        <w:ind w:left="9" w:right="14"/>
        <w:jc w:val="both"/>
      </w:pPr>
      <w:r>
        <w:rPr>
          <w:rFonts w:ascii="Times New Roman" w:eastAsia="Times New Roman" w:hAnsi="Times New Roman" w:cs="Times New Roman"/>
          <w:sz w:val="24"/>
        </w:rPr>
        <w:t xml:space="preserve">УДК 658  </w:t>
      </w:r>
    </w:p>
    <w:p w:rsidR="0052701D" w:rsidRDefault="00D40929">
      <w:pPr>
        <w:spacing w:after="35"/>
      </w:pPr>
      <w:r>
        <w:rPr>
          <w:rFonts w:ascii="Times New Roman" w:eastAsia="Times New Roman" w:hAnsi="Times New Roman" w:cs="Times New Roman"/>
          <w:sz w:val="28"/>
        </w:rPr>
        <w:t xml:space="preserve"> </w:t>
      </w:r>
    </w:p>
    <w:p w:rsidR="0052701D" w:rsidRDefault="00D40929">
      <w:pPr>
        <w:pStyle w:val="1"/>
        <w:ind w:left="173" w:right="204"/>
      </w:pPr>
      <w:r>
        <w:t xml:space="preserve">ТАБИҒИ ҚҰБЫЛЫСТАРДЫҢ САЛДАРЫН БАҒАЛАУ КЕЗІНДЕ </w:t>
      </w:r>
    </w:p>
    <w:p w:rsidR="0052701D" w:rsidRDefault="00D40929">
      <w:pPr>
        <w:spacing w:after="5" w:line="271" w:lineRule="auto"/>
        <w:ind w:left="173" w:right="204" w:hanging="10"/>
        <w:jc w:val="center"/>
      </w:pPr>
      <w:r>
        <w:rPr>
          <w:rFonts w:ascii="Times New Roman" w:eastAsia="Times New Roman" w:hAnsi="Times New Roman" w:cs="Times New Roman"/>
          <w:b/>
          <w:sz w:val="28"/>
        </w:rPr>
        <w:t xml:space="preserve">ЖАСАНДЫ ЗЕРДЕНІ </w:t>
      </w:r>
      <w:r>
        <w:rPr>
          <w:rFonts w:ascii="Times New Roman" w:eastAsia="Times New Roman" w:hAnsi="Times New Roman" w:cs="Times New Roman"/>
          <w:b/>
          <w:sz w:val="28"/>
        </w:rPr>
        <w:t xml:space="preserve">ҚОЛДАНУДЫҢ МАҢЫЗЫ  </w:t>
      </w:r>
    </w:p>
    <w:p w:rsidR="0052701D" w:rsidRDefault="00D40929">
      <w:pPr>
        <w:spacing w:after="16" w:line="248" w:lineRule="auto"/>
        <w:ind w:left="819" w:right="849" w:hanging="10"/>
        <w:jc w:val="center"/>
      </w:pPr>
      <w:r>
        <w:rPr>
          <w:rFonts w:ascii="Times New Roman" w:eastAsia="Times New Roman" w:hAnsi="Times New Roman" w:cs="Times New Roman"/>
          <w:b/>
          <w:sz w:val="24"/>
        </w:rPr>
        <w:t xml:space="preserve">Г.Т. Алджамбекова, Г.Қ. Наурызбаева, Р.Н. Сыздықова </w:t>
      </w:r>
    </w:p>
    <w:p w:rsidR="0052701D" w:rsidRDefault="00D40929">
      <w:pPr>
        <w:spacing w:after="13"/>
        <w:ind w:left="21"/>
        <w:jc w:val="center"/>
      </w:pPr>
      <w:r>
        <w:rPr>
          <w:rFonts w:ascii="Times New Roman" w:eastAsia="Times New Roman" w:hAnsi="Times New Roman" w:cs="Times New Roman"/>
          <w:b/>
          <w:sz w:val="24"/>
        </w:rPr>
        <w:t xml:space="preserve"> </w:t>
      </w:r>
    </w:p>
    <w:p w:rsidR="0052701D" w:rsidRDefault="00D40929">
      <w:pPr>
        <w:spacing w:after="14" w:line="248" w:lineRule="auto"/>
        <w:ind w:left="5" w:hanging="5"/>
        <w:jc w:val="center"/>
      </w:pPr>
      <w:r>
        <w:rPr>
          <w:rFonts w:ascii="Times New Roman" w:eastAsia="Times New Roman" w:hAnsi="Times New Roman" w:cs="Times New Roman"/>
          <w:sz w:val="24"/>
        </w:rPr>
        <w:t xml:space="preserve">«Ғ. Дәукеев атындағы Алматы энергетика және байланыс университеті» КеАҚ, Алматы қаласы, Қазақтан Республикасы </w:t>
      </w:r>
    </w:p>
    <w:p w:rsidR="0052701D" w:rsidRDefault="00D40929">
      <w:pPr>
        <w:spacing w:after="9" w:line="250" w:lineRule="auto"/>
        <w:ind w:left="755" w:hanging="10"/>
      </w:pPr>
      <w:r>
        <w:rPr>
          <w:rFonts w:ascii="Times New Roman" w:eastAsia="Times New Roman" w:hAnsi="Times New Roman" w:cs="Times New Roman"/>
          <w:sz w:val="24"/>
        </w:rPr>
        <w:t>e-mail:</w:t>
      </w:r>
      <w:r>
        <w:rPr>
          <w:rFonts w:ascii="Times New Roman" w:eastAsia="Times New Roman" w:hAnsi="Times New Roman" w:cs="Times New Roman"/>
          <w:sz w:val="24"/>
          <w:u w:val="single" w:color="0000FF"/>
        </w:rPr>
        <w:t xml:space="preserve"> </w:t>
      </w:r>
      <w:r>
        <w:rPr>
          <w:rFonts w:ascii="Times New Roman" w:eastAsia="Times New Roman" w:hAnsi="Times New Roman" w:cs="Times New Roman"/>
          <w:color w:val="0000FF"/>
          <w:sz w:val="24"/>
          <w:u w:val="single" w:color="0000FF"/>
        </w:rPr>
        <w:t>g.aldzhambekova@aues.kz</w:t>
      </w:r>
      <w:r>
        <w:rPr>
          <w:rFonts w:ascii="Times New Roman" w:eastAsia="Times New Roman" w:hAnsi="Times New Roman" w:cs="Times New Roman"/>
          <w:sz w:val="24"/>
          <w:u w:val="single" w:color="0000FF"/>
        </w:rPr>
        <w:t xml:space="preserve">, </w:t>
      </w:r>
      <w:r>
        <w:rPr>
          <w:rFonts w:ascii="Times New Roman" w:eastAsia="Times New Roman" w:hAnsi="Times New Roman" w:cs="Times New Roman"/>
          <w:color w:val="0000FF"/>
          <w:sz w:val="24"/>
          <w:u w:val="single" w:color="0000FF"/>
        </w:rPr>
        <w:t>g.nauryzbayeva@aues.kz</w:t>
      </w:r>
      <w:r>
        <w:rPr>
          <w:rFonts w:ascii="Times New Roman" w:eastAsia="Times New Roman" w:hAnsi="Times New Roman" w:cs="Times New Roman"/>
          <w:sz w:val="24"/>
          <w:u w:val="single" w:color="0000FF"/>
        </w:rPr>
        <w:t xml:space="preserve">. </w:t>
      </w:r>
      <w:r>
        <w:rPr>
          <w:rFonts w:ascii="Times New Roman" w:eastAsia="Times New Roman" w:hAnsi="Times New Roman" w:cs="Times New Roman"/>
          <w:color w:val="1155CC"/>
          <w:sz w:val="24"/>
          <w:u w:val="single" w:color="1155CC"/>
        </w:rPr>
        <w:t>r.syzdykova@aues.kz</w:t>
      </w:r>
      <w:r>
        <w:rPr>
          <w:rFonts w:ascii="Times New Roman" w:eastAsia="Times New Roman" w:hAnsi="Times New Roman" w:cs="Times New Roman"/>
          <w:sz w:val="24"/>
        </w:rPr>
        <w:t xml:space="preserve">   </w:t>
      </w:r>
    </w:p>
    <w:p w:rsidR="0052701D" w:rsidRDefault="00D40929">
      <w:pPr>
        <w:spacing w:after="0"/>
        <w:ind w:left="141"/>
        <w:jc w:val="center"/>
      </w:pPr>
      <w:r>
        <w:rPr>
          <w:rFonts w:ascii="Times New Roman" w:eastAsia="Times New Roman" w:hAnsi="Times New Roman" w:cs="Times New Roman"/>
          <w:sz w:val="24"/>
        </w:rPr>
        <w:t xml:space="preserve">   </w:t>
      </w:r>
    </w:p>
    <w:p w:rsidR="0052701D" w:rsidRDefault="00D40929">
      <w:pPr>
        <w:spacing w:after="0" w:line="248" w:lineRule="auto"/>
        <w:ind w:left="9" w:firstLine="711"/>
        <w:jc w:val="both"/>
      </w:pPr>
      <w:r>
        <w:rPr>
          <w:rFonts w:ascii="Times New Roman" w:eastAsia="Times New Roman" w:hAnsi="Times New Roman" w:cs="Times New Roman"/>
          <w:b/>
          <w:i/>
          <w:sz w:val="24"/>
        </w:rPr>
        <w:t>Аңдатпа</w:t>
      </w:r>
      <w:r>
        <w:rPr>
          <w:rFonts w:ascii="Times New Roman" w:eastAsia="Times New Roman" w:hAnsi="Times New Roman" w:cs="Times New Roman"/>
          <w:i/>
          <w:sz w:val="24"/>
        </w:rPr>
        <w:t>. Алынған кескіндер сапасы жақсы болған сайын, оларды қолдану мүмкіндіктері де көбейеді. Бұл кескіндерден тек ақпаратты алып ғана қоймай, осы деректерді кейін талдап және өңдеу маңызды процесстердің бірі болып табылады. Кө</w:t>
      </w:r>
      <w:r>
        <w:rPr>
          <w:rFonts w:ascii="Times New Roman" w:eastAsia="Times New Roman" w:hAnsi="Times New Roman" w:cs="Times New Roman"/>
          <w:i/>
          <w:sz w:val="24"/>
        </w:rPr>
        <w:t>п маңызды ақпаратты белгілі бір уақыт аралығында, нақты бір жерді бақылау арқылы алуға болады. Ол үшін белгілі бір аумақта болатын динамикалық процестерді талдау ұсынылады, себебі бұл мәселе қазіргі ғылымның көптеген салаларына әсер етуі мүмкін, себебі спу</w:t>
      </w:r>
      <w:r>
        <w:rPr>
          <w:rFonts w:ascii="Times New Roman" w:eastAsia="Times New Roman" w:hAnsi="Times New Roman" w:cs="Times New Roman"/>
          <w:i/>
          <w:sz w:val="24"/>
        </w:rPr>
        <w:t xml:space="preserve">тниктік кескіндерден алынған ақпарат үлкен және алуан түрлі болады. </w:t>
      </w:r>
    </w:p>
    <w:p w:rsidR="0052701D" w:rsidRDefault="00D40929">
      <w:pPr>
        <w:spacing w:after="25"/>
        <w:ind w:left="711"/>
      </w:pPr>
      <w:r>
        <w:rPr>
          <w:rFonts w:ascii="Times New Roman" w:eastAsia="Times New Roman" w:hAnsi="Times New Roman" w:cs="Times New Roman"/>
          <w:sz w:val="24"/>
        </w:rPr>
        <w:t xml:space="preserve"> </w:t>
      </w:r>
    </w:p>
    <w:p w:rsidR="0052701D" w:rsidRDefault="00D40929">
      <w:pPr>
        <w:spacing w:after="29" w:line="248" w:lineRule="auto"/>
        <w:ind w:left="711"/>
        <w:jc w:val="both"/>
      </w:pPr>
      <w:r>
        <w:rPr>
          <w:rFonts w:ascii="Times New Roman" w:eastAsia="Times New Roman" w:hAnsi="Times New Roman" w:cs="Times New Roman"/>
          <w:b/>
          <w:i/>
          <w:sz w:val="24"/>
        </w:rPr>
        <w:t>Кілттік сөздер:</w:t>
      </w:r>
      <w:r>
        <w:rPr>
          <w:rFonts w:ascii="Times New Roman" w:eastAsia="Times New Roman" w:hAnsi="Times New Roman" w:cs="Times New Roman"/>
          <w:i/>
          <w:sz w:val="24"/>
        </w:rPr>
        <w:t xml:space="preserve"> интеллект, талдау, ғарыш, спутниктік кескіндер, инженерия. </w:t>
      </w:r>
    </w:p>
    <w:p w:rsidR="0052701D" w:rsidRDefault="00D40929">
      <w:pPr>
        <w:shd w:val="clear" w:color="auto" w:fill="FDFDFD"/>
        <w:spacing w:after="0"/>
        <w:ind w:right="43"/>
        <w:jc w:val="center"/>
      </w:pPr>
      <w:r>
        <w:rPr>
          <w:rFonts w:ascii="Times New Roman" w:eastAsia="Times New Roman" w:hAnsi="Times New Roman" w:cs="Times New Roman"/>
          <w:b/>
          <w:sz w:val="24"/>
        </w:rPr>
        <w:t xml:space="preserve"> </w:t>
      </w:r>
    </w:p>
    <w:p w:rsidR="0052701D" w:rsidRDefault="00D40929">
      <w:pPr>
        <w:shd w:val="clear" w:color="auto" w:fill="FDFDFD"/>
        <w:spacing w:after="26"/>
        <w:ind w:left="10" w:right="43" w:hanging="10"/>
        <w:jc w:val="center"/>
      </w:pPr>
      <w:r>
        <w:rPr>
          <w:rFonts w:ascii="Times New Roman" w:eastAsia="Times New Roman" w:hAnsi="Times New Roman" w:cs="Times New Roman"/>
          <w:b/>
          <w:sz w:val="24"/>
        </w:rPr>
        <w:t xml:space="preserve">ВАЖНОСТЬ ИСПОЛЬЗОВАНИЯ ИСКУССТВЕННОГО ИНТЕЛЛЕКТА ПРИ </w:t>
      </w:r>
    </w:p>
    <w:p w:rsidR="0052701D" w:rsidRDefault="00D40929">
      <w:pPr>
        <w:shd w:val="clear" w:color="auto" w:fill="FDFDFD"/>
        <w:spacing w:after="26"/>
        <w:ind w:left="10" w:right="43" w:hanging="10"/>
        <w:jc w:val="center"/>
      </w:pPr>
      <w:r>
        <w:rPr>
          <w:rFonts w:ascii="Times New Roman" w:eastAsia="Times New Roman" w:hAnsi="Times New Roman" w:cs="Times New Roman"/>
          <w:b/>
          <w:sz w:val="24"/>
        </w:rPr>
        <w:t xml:space="preserve">ОЦЕНКЕ ПОСЛЕДСТВИЙ ПРИРОДНЫХ ЯВЛЕНИЙ </w:t>
      </w:r>
    </w:p>
    <w:p w:rsidR="0052701D" w:rsidRDefault="00D40929">
      <w:pPr>
        <w:shd w:val="clear" w:color="auto" w:fill="FDFDFD"/>
        <w:spacing w:after="0"/>
        <w:ind w:left="10" w:right="43" w:hanging="10"/>
        <w:jc w:val="center"/>
      </w:pPr>
      <w:r>
        <w:rPr>
          <w:rFonts w:ascii="Times New Roman" w:eastAsia="Times New Roman" w:hAnsi="Times New Roman" w:cs="Times New Roman"/>
          <w:b/>
          <w:sz w:val="24"/>
        </w:rPr>
        <w:t xml:space="preserve">Алджамбекова Г.Т., Наурызбаева Г.К., Сыздыкова Р.Н.  </w:t>
      </w:r>
    </w:p>
    <w:p w:rsidR="0052701D" w:rsidRDefault="00D40929">
      <w:pPr>
        <w:shd w:val="clear" w:color="auto" w:fill="FDFDFD"/>
        <w:spacing w:after="0"/>
        <w:ind w:right="43"/>
        <w:jc w:val="center"/>
      </w:pPr>
      <w:r>
        <w:rPr>
          <w:rFonts w:ascii="Times New Roman" w:eastAsia="Times New Roman" w:hAnsi="Times New Roman" w:cs="Times New Roman"/>
          <w:sz w:val="24"/>
        </w:rPr>
        <w:t xml:space="preserve"> </w:t>
      </w:r>
    </w:p>
    <w:p w:rsidR="0052701D" w:rsidRDefault="00D40929">
      <w:pPr>
        <w:shd w:val="clear" w:color="auto" w:fill="FDFDFD"/>
        <w:spacing w:after="0"/>
        <w:ind w:left="10" w:right="43" w:hanging="10"/>
        <w:jc w:val="center"/>
      </w:pPr>
      <w:r>
        <w:rPr>
          <w:rFonts w:ascii="Times New Roman" w:eastAsia="Times New Roman" w:hAnsi="Times New Roman" w:cs="Times New Roman"/>
          <w:sz w:val="24"/>
        </w:rPr>
        <w:t xml:space="preserve">НАО «Алматинский университет энергетики и связи имени Г. Даукеева», г. Алматы, </w:t>
      </w:r>
    </w:p>
    <w:p w:rsidR="0052701D" w:rsidRDefault="00D40929">
      <w:pPr>
        <w:shd w:val="clear" w:color="auto" w:fill="FDFDFD"/>
        <w:spacing w:after="0"/>
        <w:ind w:left="10" w:right="43" w:hanging="10"/>
        <w:jc w:val="center"/>
      </w:pPr>
      <w:r>
        <w:rPr>
          <w:rFonts w:ascii="Times New Roman" w:eastAsia="Times New Roman" w:hAnsi="Times New Roman" w:cs="Times New Roman"/>
          <w:sz w:val="24"/>
        </w:rPr>
        <w:t xml:space="preserve">Республика Казахстан </w:t>
      </w:r>
    </w:p>
    <w:p w:rsidR="0052701D" w:rsidRDefault="00D40929">
      <w:pPr>
        <w:spacing w:after="9" w:line="250" w:lineRule="auto"/>
        <w:ind w:left="755" w:hanging="10"/>
      </w:pPr>
      <w:r>
        <w:rPr>
          <w:rFonts w:ascii="Times New Roman" w:eastAsia="Times New Roman" w:hAnsi="Times New Roman" w:cs="Times New Roman"/>
          <w:sz w:val="24"/>
        </w:rPr>
        <w:t>e-mail:</w:t>
      </w:r>
      <w:r>
        <w:rPr>
          <w:rFonts w:ascii="Times New Roman" w:eastAsia="Times New Roman" w:hAnsi="Times New Roman" w:cs="Times New Roman"/>
          <w:sz w:val="24"/>
          <w:u w:val="single" w:color="0000FF"/>
        </w:rPr>
        <w:t xml:space="preserve"> </w:t>
      </w:r>
      <w:r>
        <w:rPr>
          <w:rFonts w:ascii="Times New Roman" w:eastAsia="Times New Roman" w:hAnsi="Times New Roman" w:cs="Times New Roman"/>
          <w:color w:val="0000FF"/>
          <w:sz w:val="24"/>
          <w:u w:val="single" w:color="0000FF"/>
        </w:rPr>
        <w:t>g.aldzhambekova@aues.kz</w:t>
      </w:r>
      <w:r>
        <w:rPr>
          <w:rFonts w:ascii="Times New Roman" w:eastAsia="Times New Roman" w:hAnsi="Times New Roman" w:cs="Times New Roman"/>
          <w:sz w:val="24"/>
          <w:u w:val="single" w:color="0000FF"/>
        </w:rPr>
        <w:t xml:space="preserve">, </w:t>
      </w:r>
      <w:r>
        <w:rPr>
          <w:rFonts w:ascii="Times New Roman" w:eastAsia="Times New Roman" w:hAnsi="Times New Roman" w:cs="Times New Roman"/>
          <w:color w:val="0000FF"/>
          <w:sz w:val="24"/>
          <w:u w:val="single" w:color="0000FF"/>
        </w:rPr>
        <w:t>g.nauryzbayeva@aues.kz</w:t>
      </w:r>
      <w:r>
        <w:rPr>
          <w:rFonts w:ascii="Times New Roman" w:eastAsia="Times New Roman" w:hAnsi="Times New Roman" w:cs="Times New Roman"/>
          <w:sz w:val="24"/>
          <w:u w:val="single" w:color="0000FF"/>
        </w:rPr>
        <w:t xml:space="preserve">. </w:t>
      </w:r>
      <w:r>
        <w:rPr>
          <w:rFonts w:ascii="Times New Roman" w:eastAsia="Times New Roman" w:hAnsi="Times New Roman" w:cs="Times New Roman"/>
          <w:color w:val="1155CC"/>
          <w:sz w:val="24"/>
          <w:u w:val="single" w:color="1155CC"/>
        </w:rPr>
        <w:t>r.syzdykova@aues.kz</w:t>
      </w:r>
      <w:r>
        <w:rPr>
          <w:rFonts w:ascii="Times New Roman" w:eastAsia="Times New Roman" w:hAnsi="Times New Roman" w:cs="Times New Roman"/>
          <w:sz w:val="24"/>
        </w:rPr>
        <w:t xml:space="preserve">  </w:t>
      </w:r>
    </w:p>
    <w:p w:rsidR="0052701D" w:rsidRDefault="00D40929">
      <w:pPr>
        <w:spacing w:after="26"/>
        <w:ind w:left="141"/>
        <w:jc w:val="center"/>
      </w:pPr>
      <w:r>
        <w:rPr>
          <w:rFonts w:ascii="Times New Roman" w:eastAsia="Times New Roman" w:hAnsi="Times New Roman" w:cs="Times New Roman"/>
          <w:sz w:val="24"/>
        </w:rPr>
        <w:t xml:space="preserve">   </w:t>
      </w:r>
    </w:p>
    <w:p w:rsidR="0052701D" w:rsidRDefault="00D40929">
      <w:pPr>
        <w:spacing w:after="1" w:line="248" w:lineRule="auto"/>
        <w:ind w:left="9" w:firstLine="711"/>
        <w:jc w:val="both"/>
      </w:pPr>
      <w:r>
        <w:rPr>
          <w:rFonts w:ascii="Times New Roman" w:eastAsia="Times New Roman" w:hAnsi="Times New Roman" w:cs="Times New Roman"/>
          <w:b/>
          <w:i/>
          <w:sz w:val="24"/>
        </w:rPr>
        <w:t>Аннотация.</w:t>
      </w:r>
      <w:r>
        <w:rPr>
          <w:rFonts w:ascii="Times New Roman" w:eastAsia="Times New Roman" w:hAnsi="Times New Roman" w:cs="Times New Roman"/>
          <w:b/>
          <w:sz w:val="24"/>
        </w:rPr>
        <w:t xml:space="preserve"> </w:t>
      </w:r>
      <w:r>
        <w:rPr>
          <w:rFonts w:ascii="Times New Roman" w:eastAsia="Times New Roman" w:hAnsi="Times New Roman" w:cs="Times New Roman"/>
          <w:i/>
          <w:sz w:val="24"/>
        </w:rPr>
        <w:t>Сегодня спутниковые снимки встречаются в различных секторах услуг. С каждым годом все больше спутников поставляют снимки с высоким пространственным разрешением. Чем лучше качество получаемых изображений, тем больше возможностей для их использования. Не тол</w:t>
      </w:r>
      <w:r>
        <w:rPr>
          <w:rFonts w:ascii="Times New Roman" w:eastAsia="Times New Roman" w:hAnsi="Times New Roman" w:cs="Times New Roman"/>
          <w:i/>
          <w:sz w:val="24"/>
        </w:rPr>
        <w:t xml:space="preserve">ько извлечение информации из этих изображений, но и анализ и обработка этих данных является одним из важнейших процессов. Много важной информации </w:t>
      </w:r>
      <w:r>
        <w:rPr>
          <w:rFonts w:ascii="Times New Roman" w:eastAsia="Times New Roman" w:hAnsi="Times New Roman" w:cs="Times New Roman"/>
          <w:i/>
          <w:sz w:val="24"/>
        </w:rPr>
        <w:lastRenderedPageBreak/>
        <w:t>можно получить, наблюдая за конкретным местом в течение определенного периода времени. Для этого рекомендуется</w:t>
      </w:r>
      <w:r>
        <w:rPr>
          <w:rFonts w:ascii="Times New Roman" w:eastAsia="Times New Roman" w:hAnsi="Times New Roman" w:cs="Times New Roman"/>
          <w:i/>
          <w:sz w:val="24"/>
        </w:rPr>
        <w:t xml:space="preserve"> анализировать динамические процессы, происходящие в определенной области, ведь эта проблема может затронуть многие области современной науки, ведь информация, получаемая по космическим снимкам, велика и разнообразна. </w:t>
      </w:r>
    </w:p>
    <w:p w:rsidR="0052701D" w:rsidRDefault="00D40929">
      <w:pPr>
        <w:spacing w:after="29" w:line="248" w:lineRule="auto"/>
        <w:ind w:left="9" w:firstLine="711"/>
        <w:jc w:val="both"/>
      </w:pPr>
      <w:r>
        <w:rPr>
          <w:rFonts w:ascii="Times New Roman" w:eastAsia="Times New Roman" w:hAnsi="Times New Roman" w:cs="Times New Roman"/>
          <w:b/>
          <w:i/>
          <w:sz w:val="24"/>
        </w:rPr>
        <w:t xml:space="preserve">Ключевые слова: </w:t>
      </w:r>
      <w:r>
        <w:rPr>
          <w:rFonts w:ascii="Times New Roman" w:eastAsia="Times New Roman" w:hAnsi="Times New Roman" w:cs="Times New Roman"/>
          <w:i/>
          <w:sz w:val="24"/>
        </w:rPr>
        <w:t>искусственный интелле</w:t>
      </w:r>
      <w:r>
        <w:rPr>
          <w:rFonts w:ascii="Times New Roman" w:eastAsia="Times New Roman" w:hAnsi="Times New Roman" w:cs="Times New Roman"/>
          <w:i/>
          <w:sz w:val="24"/>
        </w:rPr>
        <w:t>кт, анализ, космос, спутниковые снимки, инженерия.</w:t>
      </w:r>
      <w:r>
        <w:rPr>
          <w:rFonts w:ascii="Times New Roman" w:eastAsia="Times New Roman" w:hAnsi="Times New Roman" w:cs="Times New Roman"/>
          <w:sz w:val="24"/>
        </w:rPr>
        <w:t xml:space="preserve"> </w:t>
      </w:r>
    </w:p>
    <w:p w:rsidR="0052701D" w:rsidRDefault="00D40929">
      <w:pPr>
        <w:spacing w:after="16" w:line="248" w:lineRule="auto"/>
        <w:ind w:left="10" w:right="501" w:hanging="10"/>
        <w:jc w:val="center"/>
      </w:pPr>
      <w:r>
        <w:rPr>
          <w:rFonts w:ascii="Times New Roman" w:eastAsia="Times New Roman" w:hAnsi="Times New Roman" w:cs="Times New Roman"/>
          <w:b/>
          <w:sz w:val="24"/>
        </w:rPr>
        <w:t xml:space="preserve">THE IMPORTANCE OF THE USE OF ARTIFICIAL INTELLIGENCE IN ASSESSING THE CONSEQUENCES OF NATURAL PHENOMENA </w:t>
      </w:r>
    </w:p>
    <w:p w:rsidR="0052701D" w:rsidRDefault="00D40929">
      <w:pPr>
        <w:spacing w:after="16" w:line="248" w:lineRule="auto"/>
        <w:ind w:left="819" w:right="1412" w:hanging="10"/>
        <w:jc w:val="center"/>
      </w:pPr>
      <w:r>
        <w:rPr>
          <w:rFonts w:ascii="Times New Roman" w:eastAsia="Times New Roman" w:hAnsi="Times New Roman" w:cs="Times New Roman"/>
          <w:b/>
          <w:sz w:val="24"/>
        </w:rPr>
        <w:t xml:space="preserve">Aldzhambekova G.T., Nauryzbayeva G.K., Syzdykova R.N. </w:t>
      </w:r>
    </w:p>
    <w:p w:rsidR="0052701D" w:rsidRDefault="00D40929">
      <w:pPr>
        <w:spacing w:after="0"/>
        <w:ind w:right="545"/>
        <w:jc w:val="center"/>
      </w:pPr>
      <w:r>
        <w:rPr>
          <w:rFonts w:ascii="Times New Roman" w:eastAsia="Times New Roman" w:hAnsi="Times New Roman" w:cs="Times New Roman"/>
          <w:b/>
          <w:sz w:val="24"/>
        </w:rPr>
        <w:t xml:space="preserve"> </w:t>
      </w:r>
    </w:p>
    <w:p w:rsidR="0052701D" w:rsidRDefault="00D40929">
      <w:pPr>
        <w:spacing w:after="29" w:line="248" w:lineRule="auto"/>
        <w:ind w:left="192" w:right="14"/>
        <w:jc w:val="both"/>
      </w:pPr>
      <w:r>
        <w:rPr>
          <w:rFonts w:ascii="Times New Roman" w:eastAsia="Times New Roman" w:hAnsi="Times New Roman" w:cs="Times New Roman"/>
          <w:sz w:val="24"/>
        </w:rPr>
        <w:t xml:space="preserve">NрJSC "Almaty University of Power Engineering and telecommunications named after G. </w:t>
      </w:r>
    </w:p>
    <w:p w:rsidR="0052701D" w:rsidRDefault="00D40929">
      <w:pPr>
        <w:spacing w:after="14" w:line="248" w:lineRule="auto"/>
        <w:ind w:left="713" w:right="1319" w:hanging="5"/>
        <w:jc w:val="center"/>
      </w:pPr>
      <w:r>
        <w:rPr>
          <w:rFonts w:ascii="Times New Roman" w:eastAsia="Times New Roman" w:hAnsi="Times New Roman" w:cs="Times New Roman"/>
          <w:sz w:val="24"/>
        </w:rPr>
        <w:t xml:space="preserve">Daukeyev", Almaty sity, Republic of Kazakhstan </w:t>
      </w:r>
    </w:p>
    <w:p w:rsidR="0052701D" w:rsidRDefault="00D40929">
      <w:pPr>
        <w:spacing w:after="0"/>
        <w:ind w:left="10" w:right="602" w:hanging="10"/>
        <w:jc w:val="center"/>
      </w:pPr>
      <w:r>
        <w:rPr>
          <w:rFonts w:ascii="Times New Roman" w:eastAsia="Times New Roman" w:hAnsi="Times New Roman" w:cs="Times New Roman"/>
          <w:sz w:val="24"/>
        </w:rPr>
        <w:t xml:space="preserve">e-mail: </w:t>
      </w:r>
      <w:r>
        <w:rPr>
          <w:rFonts w:ascii="Times New Roman" w:eastAsia="Times New Roman" w:hAnsi="Times New Roman" w:cs="Times New Roman"/>
          <w:color w:val="0000FF"/>
          <w:sz w:val="24"/>
          <w:u w:val="single" w:color="0000FF"/>
        </w:rPr>
        <w:t>g.aldzhambekova@aues.kz</w:t>
      </w:r>
      <w:r>
        <w:rPr>
          <w:rFonts w:ascii="Times New Roman" w:eastAsia="Times New Roman" w:hAnsi="Times New Roman" w:cs="Times New Roman"/>
          <w:sz w:val="24"/>
        </w:rPr>
        <w:t xml:space="preserve">, </w:t>
      </w:r>
      <w:r>
        <w:rPr>
          <w:rFonts w:ascii="Times New Roman" w:eastAsia="Times New Roman" w:hAnsi="Times New Roman" w:cs="Times New Roman"/>
          <w:color w:val="0000FF"/>
          <w:sz w:val="24"/>
          <w:u w:val="single" w:color="0000FF"/>
        </w:rPr>
        <w:t>g.nauryzbayeva@aues.kz</w:t>
      </w:r>
      <w:r>
        <w:rPr>
          <w:rFonts w:ascii="Times New Roman" w:eastAsia="Times New Roman" w:hAnsi="Times New Roman" w:cs="Times New Roman"/>
          <w:sz w:val="24"/>
        </w:rPr>
        <w:t xml:space="preserve">, </w:t>
      </w:r>
      <w:r>
        <w:rPr>
          <w:rFonts w:ascii="Times New Roman" w:eastAsia="Times New Roman" w:hAnsi="Times New Roman" w:cs="Times New Roman"/>
          <w:color w:val="1155CC"/>
          <w:sz w:val="24"/>
          <w:u w:val="single" w:color="1155CC"/>
        </w:rPr>
        <w:t>r.syzdykova@aues.kz</w:t>
      </w:r>
      <w:r>
        <w:rPr>
          <w:rFonts w:ascii="Times New Roman" w:eastAsia="Times New Roman" w:hAnsi="Times New Roman" w:cs="Times New Roman"/>
          <w:sz w:val="24"/>
        </w:rPr>
        <w:t xml:space="preserve">  </w:t>
      </w:r>
    </w:p>
    <w:p w:rsidR="0052701D" w:rsidRDefault="00D40929">
      <w:pPr>
        <w:spacing w:after="0"/>
        <w:ind w:right="425"/>
        <w:jc w:val="center"/>
      </w:pPr>
      <w:r>
        <w:rPr>
          <w:rFonts w:ascii="Times New Roman" w:eastAsia="Times New Roman" w:hAnsi="Times New Roman" w:cs="Times New Roman"/>
          <w:sz w:val="24"/>
        </w:rPr>
        <w:t xml:space="preserve">   </w:t>
      </w:r>
    </w:p>
    <w:p w:rsidR="0052701D" w:rsidRDefault="00D40929">
      <w:pPr>
        <w:spacing w:after="0" w:line="248" w:lineRule="auto"/>
        <w:ind w:left="9" w:right="627" w:firstLine="711"/>
        <w:jc w:val="both"/>
      </w:pPr>
      <w:r>
        <w:rPr>
          <w:rFonts w:ascii="Times New Roman" w:eastAsia="Times New Roman" w:hAnsi="Times New Roman" w:cs="Times New Roman"/>
          <w:b/>
          <w:i/>
          <w:sz w:val="24"/>
        </w:rPr>
        <w:t xml:space="preserve">Annotation. </w:t>
      </w:r>
      <w:r>
        <w:rPr>
          <w:rFonts w:ascii="Times New Roman" w:eastAsia="Times New Roman" w:hAnsi="Times New Roman" w:cs="Times New Roman"/>
          <w:i/>
          <w:sz w:val="24"/>
        </w:rPr>
        <w:t xml:space="preserve">Today, satellite imagery is </w:t>
      </w:r>
      <w:r>
        <w:rPr>
          <w:rFonts w:ascii="Times New Roman" w:eastAsia="Times New Roman" w:hAnsi="Times New Roman" w:cs="Times New Roman"/>
          <w:i/>
          <w:sz w:val="24"/>
        </w:rPr>
        <w:t>found in various service sectors. Every year more and more satellites provide images with high spatial resolution. The better the quality of the resulting images, the more opportunities for their use. Not only the extraction of information from these image</w:t>
      </w:r>
      <w:r>
        <w:rPr>
          <w:rFonts w:ascii="Times New Roman" w:eastAsia="Times New Roman" w:hAnsi="Times New Roman" w:cs="Times New Roman"/>
          <w:i/>
          <w:sz w:val="24"/>
        </w:rPr>
        <w:t xml:space="preserve">s, but also the analysis and processing of these data is one of the most important processes. A lot of important information can be obtained by observing a particular place for a certain period of time. To do this, it is recommended to analyze the dynamic </w:t>
      </w:r>
      <w:r>
        <w:rPr>
          <w:rFonts w:ascii="Times New Roman" w:eastAsia="Times New Roman" w:hAnsi="Times New Roman" w:cs="Times New Roman"/>
          <w:i/>
          <w:sz w:val="24"/>
        </w:rPr>
        <w:t xml:space="preserve">processes occurring in a certain area, because this problem can affect many areas of modern science, because the information obtained from satellite images is large and diverse. </w:t>
      </w:r>
      <w:r>
        <w:rPr>
          <w:rFonts w:ascii="Times New Roman" w:eastAsia="Times New Roman" w:hAnsi="Times New Roman" w:cs="Times New Roman"/>
          <w:b/>
          <w:sz w:val="24"/>
        </w:rPr>
        <w:t>Key words:</w:t>
      </w:r>
      <w:r>
        <w:rPr>
          <w:rFonts w:ascii="Times New Roman" w:eastAsia="Times New Roman" w:hAnsi="Times New Roman" w:cs="Times New Roman"/>
          <w:sz w:val="24"/>
        </w:rPr>
        <w:t xml:space="preserve"> artificial intelligence, analysis, space, satellite imagery, engine</w:t>
      </w:r>
      <w:r>
        <w:rPr>
          <w:rFonts w:ascii="Times New Roman" w:eastAsia="Times New Roman" w:hAnsi="Times New Roman" w:cs="Times New Roman"/>
          <w:sz w:val="24"/>
        </w:rPr>
        <w:t xml:space="preserve">ering. </w:t>
      </w:r>
    </w:p>
    <w:p w:rsidR="0052701D" w:rsidRDefault="00D40929">
      <w:pPr>
        <w:spacing w:after="72"/>
        <w:ind w:left="730"/>
      </w:pPr>
      <w:r>
        <w:rPr>
          <w:rFonts w:ascii="Times New Roman" w:eastAsia="Times New Roman" w:hAnsi="Times New Roman" w:cs="Times New Roman"/>
          <w:b/>
          <w:sz w:val="24"/>
        </w:rPr>
        <w:t xml:space="preserve"> </w:t>
      </w:r>
    </w:p>
    <w:p w:rsidR="0052701D" w:rsidRDefault="00D40929">
      <w:pPr>
        <w:spacing w:after="3"/>
        <w:ind w:left="725" w:hanging="10"/>
      </w:pPr>
      <w:r>
        <w:rPr>
          <w:rFonts w:ascii="Times New Roman" w:eastAsia="Times New Roman" w:hAnsi="Times New Roman" w:cs="Times New Roman"/>
          <w:b/>
          <w:i/>
          <w:sz w:val="28"/>
        </w:rPr>
        <w:t xml:space="preserve">Кіріспе </w:t>
      </w:r>
    </w:p>
    <w:p w:rsidR="0052701D" w:rsidRDefault="00D40929">
      <w:pPr>
        <w:spacing w:after="29" w:line="248" w:lineRule="auto"/>
        <w:ind w:left="9" w:right="622" w:firstLine="711"/>
        <w:jc w:val="both"/>
      </w:pPr>
      <w:r>
        <w:rPr>
          <w:rFonts w:ascii="Times New Roman" w:eastAsia="Times New Roman" w:hAnsi="Times New Roman" w:cs="Times New Roman"/>
          <w:sz w:val="24"/>
        </w:rPr>
        <w:t>Бүгінгі таңда Жерді қашықтықтан зондтау (ЖҚЗ) деректерін өңдеу саласында белсенділік байқалуда: жаңа бағдарламалық жүйелер құрылуда, жоғары ажыратымдылықтағы кескіндерді өңдеу әдістері жаңартылуда. Ағымдағы жағдай ғарыш аппараттарының (Ғ</w:t>
      </w:r>
      <w:r>
        <w:rPr>
          <w:rFonts w:ascii="Times New Roman" w:eastAsia="Times New Roman" w:hAnsi="Times New Roman" w:cs="Times New Roman"/>
          <w:sz w:val="24"/>
        </w:rPr>
        <w:t>А) жабдықтары мен жер үсті басқару станцияларының жетілдірілуі, олардың санының үнемі ұлғаюымен, функционалдық мүмкіндіктері, орындалатын міндеттер ауқымының кеңеюімен сипатталады. ЖҚЗ қолдану саласына орман, ауылшаруашылық және арктикалық аймақтардың мони</w:t>
      </w:r>
      <w:r>
        <w:rPr>
          <w:rFonts w:ascii="Times New Roman" w:eastAsia="Times New Roman" w:hAnsi="Times New Roman" w:cs="Times New Roman"/>
          <w:sz w:val="24"/>
        </w:rPr>
        <w:t xml:space="preserve">торингі, табиғи апаттарды талдау, қоршаған ортаны қорғау, қалалық инфрақұрылымды жоспарлау және дамыту, мемлекеттік қауіпсіздік және т.б. кіреді. </w:t>
      </w:r>
    </w:p>
    <w:p w:rsidR="0052701D" w:rsidRDefault="00D40929">
      <w:pPr>
        <w:spacing w:after="0" w:line="278" w:lineRule="auto"/>
        <w:ind w:left="24" w:right="622" w:firstLine="711"/>
        <w:jc w:val="both"/>
      </w:pPr>
      <w:r>
        <w:rPr>
          <w:rFonts w:ascii="Times New Roman" w:eastAsia="Times New Roman" w:hAnsi="Times New Roman" w:cs="Times New Roman"/>
          <w:color w:val="010101"/>
          <w:sz w:val="24"/>
        </w:rPr>
        <w:t>Ақпаратты интеллектуалды өңдеу – ақпарат бере алмайтын кескіндерді айқындап, спутниктердің бортындағы цифрлық</w:t>
      </w:r>
      <w:r>
        <w:rPr>
          <w:rFonts w:ascii="Times New Roman" w:eastAsia="Times New Roman" w:hAnsi="Times New Roman" w:cs="Times New Roman"/>
          <w:color w:val="010101"/>
          <w:sz w:val="24"/>
        </w:rPr>
        <w:t xml:space="preserve"> кескіндерді қысу – деректер ағындарын, ең алдымен ғарыш аппараттарынан жердегі деректерді қабылдау пункттеріне берілетін спутниктік суреттерді айтарлықтай қысқартады. Бұл өз кезегінде сәйкес спутниктік байланыс арналарының өткізу қабілетіне қойылатын тала</w:t>
      </w:r>
      <w:r>
        <w:rPr>
          <w:rFonts w:ascii="Times New Roman" w:eastAsia="Times New Roman" w:hAnsi="Times New Roman" w:cs="Times New Roman"/>
          <w:color w:val="010101"/>
          <w:sz w:val="24"/>
        </w:rPr>
        <w:t xml:space="preserve">птарды азайтуға және спутниктік жүйелердің жерүсті инфрақұрылымын жеңілдетуге мүмкіндік береді. </w:t>
      </w:r>
      <w:r>
        <w:rPr>
          <w:rFonts w:ascii="Times New Roman" w:eastAsia="Times New Roman" w:hAnsi="Times New Roman" w:cs="Times New Roman"/>
          <w:b/>
          <w:sz w:val="24"/>
        </w:rPr>
        <w:t xml:space="preserve">Негізгі бөлім </w:t>
      </w:r>
    </w:p>
    <w:p w:rsidR="0052701D" w:rsidRDefault="00D40929">
      <w:pPr>
        <w:spacing w:after="29" w:line="248" w:lineRule="auto"/>
        <w:ind w:left="9" w:right="624" w:firstLine="711"/>
        <w:jc w:val="both"/>
      </w:pPr>
      <w:r>
        <w:rPr>
          <w:rFonts w:ascii="Times New Roman" w:eastAsia="Times New Roman" w:hAnsi="Times New Roman" w:cs="Times New Roman"/>
          <w:sz w:val="24"/>
        </w:rPr>
        <w:t xml:space="preserve">ЖҚЗ кескіндерінен алынған деректерді өңдеу үшін конволюционды нейрондық желі (CNN) қолданылады. Олардың дәстүрлі желілерден басты айырмашылығы - </w:t>
      </w:r>
      <w:r>
        <w:rPr>
          <w:rFonts w:ascii="Times New Roman" w:eastAsia="Times New Roman" w:hAnsi="Times New Roman" w:cs="Times New Roman"/>
          <w:sz w:val="24"/>
        </w:rPr>
        <w:t xml:space="preserve">конволюционды қабаттардың болуы (1-сурет). </w:t>
      </w:r>
    </w:p>
    <w:p w:rsidR="0052701D" w:rsidRDefault="00D40929">
      <w:pPr>
        <w:spacing w:after="0"/>
        <w:ind w:left="735"/>
      </w:pPr>
      <w:r>
        <w:rPr>
          <w:rFonts w:ascii="Times New Roman" w:eastAsia="Times New Roman" w:hAnsi="Times New Roman" w:cs="Times New Roman"/>
          <w:sz w:val="24"/>
        </w:rPr>
        <w:t xml:space="preserve"> </w:t>
      </w:r>
    </w:p>
    <w:p w:rsidR="0052701D" w:rsidRDefault="00D40929">
      <w:pPr>
        <w:spacing w:after="0"/>
        <w:ind w:right="547"/>
        <w:jc w:val="center"/>
      </w:pPr>
      <w:r>
        <w:rPr>
          <w:noProof/>
        </w:rPr>
        <w:lastRenderedPageBreak/>
        <w:drawing>
          <wp:inline distT="0" distB="0" distL="0" distR="0">
            <wp:extent cx="2935224" cy="1694688"/>
            <wp:effectExtent l="0" t="0" r="0" b="0"/>
            <wp:docPr id="26348" name="Picture 26348"/>
            <wp:cNvGraphicFramePr/>
            <a:graphic xmlns:a="http://schemas.openxmlformats.org/drawingml/2006/main">
              <a:graphicData uri="http://schemas.openxmlformats.org/drawingml/2006/picture">
                <pic:pic xmlns:pic="http://schemas.openxmlformats.org/drawingml/2006/picture">
                  <pic:nvPicPr>
                    <pic:cNvPr id="26348" name="Picture 26348"/>
                    <pic:cNvPicPr/>
                  </pic:nvPicPr>
                  <pic:blipFill>
                    <a:blip r:embed="rId427"/>
                    <a:stretch>
                      <a:fillRect/>
                    </a:stretch>
                  </pic:blipFill>
                  <pic:spPr>
                    <a:xfrm>
                      <a:off x="0" y="0"/>
                      <a:ext cx="2935224" cy="1694688"/>
                    </a:xfrm>
                    <a:prstGeom prst="rect">
                      <a:avLst/>
                    </a:prstGeom>
                  </pic:spPr>
                </pic:pic>
              </a:graphicData>
            </a:graphic>
          </wp:inline>
        </w:drawing>
      </w:r>
      <w:r>
        <w:rPr>
          <w:rFonts w:ascii="Times New Roman" w:eastAsia="Times New Roman" w:hAnsi="Times New Roman" w:cs="Times New Roman"/>
          <w:sz w:val="24"/>
        </w:rPr>
        <w:t xml:space="preserve"> </w:t>
      </w:r>
    </w:p>
    <w:p w:rsidR="0052701D" w:rsidRDefault="00D40929">
      <w:pPr>
        <w:spacing w:after="14" w:line="248" w:lineRule="auto"/>
        <w:ind w:left="713" w:right="1316" w:hanging="5"/>
        <w:jc w:val="center"/>
      </w:pPr>
      <w:r>
        <w:rPr>
          <w:rFonts w:ascii="Times New Roman" w:eastAsia="Times New Roman" w:hAnsi="Times New Roman" w:cs="Times New Roman"/>
          <w:sz w:val="24"/>
        </w:rPr>
        <w:t xml:space="preserve">Сурет 1 - Конволюционды қабаттың жұмыс істеу принципі </w:t>
      </w:r>
    </w:p>
    <w:p w:rsidR="0052701D" w:rsidRDefault="00D40929">
      <w:pPr>
        <w:spacing w:after="29" w:line="248" w:lineRule="auto"/>
        <w:ind w:left="9" w:right="624" w:firstLine="711"/>
        <w:jc w:val="both"/>
      </w:pPr>
      <w:r>
        <w:rPr>
          <w:rFonts w:ascii="Times New Roman" w:eastAsia="Times New Roman" w:hAnsi="Times New Roman" w:cs="Times New Roman"/>
          <w:sz w:val="24"/>
        </w:rPr>
        <w:t>Енгізуді өңдегеннен кейін алынған нейрондық желінің қабаттары конволюционды (конволюция қабаттары) деп аталады. Бірінші конволюциялық қабаттарда объекті</w:t>
      </w:r>
      <w:r>
        <w:rPr>
          <w:rFonts w:ascii="Times New Roman" w:eastAsia="Times New Roman" w:hAnsi="Times New Roman" w:cs="Times New Roman"/>
          <w:sz w:val="24"/>
        </w:rPr>
        <w:t>нің ең қарапайым қасиеттері (бұрыштар, жиектер, пішін және т.б.) ерекшеленеді. Әрбір жаңа деңгеймен бұрын ерекшеленген қасиеттер негізінде жоғары дәрежелі объектінің белгілері алынады. Конволюциялық қабаттармен қатар, CNN толық қосылған қабаттар (fully con</w:t>
      </w:r>
      <w:r>
        <w:rPr>
          <w:rFonts w:ascii="Times New Roman" w:eastAsia="Times New Roman" w:hAnsi="Times New Roman" w:cs="Times New Roman"/>
          <w:sz w:val="24"/>
        </w:rPr>
        <w:t>nected layers) және біріктіру қабаттары (pooling layers) деп бөлінеді. Бірінші түрі барлық алынған қасиеттерді таразылай отырып, модельдің соңғы болжамдарын алуға мүмкіндік береді. Екінші түрі есептеу жүктемесін, жадты тұтынуды және параметрлер санын азайт</w:t>
      </w:r>
      <w:r>
        <w:rPr>
          <w:rFonts w:ascii="Times New Roman" w:eastAsia="Times New Roman" w:hAnsi="Times New Roman" w:cs="Times New Roman"/>
          <w:sz w:val="24"/>
        </w:rPr>
        <w:t>у үшін кіріс кескінін сығуға мүмкіндік береді, осылайша шамадан тыс орнату қауіпін шектейді. Осы қабаттарды әртүрлі тәсілдермен біріктіру, ретін, қабаттар санын және т.б. өзгерту арқылы көптеген әртүрлі архитектураларды алуға болады. Ұсынылған архитектурал</w:t>
      </w:r>
      <w:r>
        <w:rPr>
          <w:rFonts w:ascii="Times New Roman" w:eastAsia="Times New Roman" w:hAnsi="Times New Roman" w:cs="Times New Roman"/>
          <w:sz w:val="24"/>
        </w:rPr>
        <w:t xml:space="preserve">ардың көптеген модификациялары бар (мысалы, ResNet50), мұнда зерттеушілер қосымша қабаттарды қосады немесе жаттығу кезінде әртүрлі параметрлерді пайдаланады және т.б. </w:t>
      </w:r>
    </w:p>
    <w:p w:rsidR="0052701D" w:rsidRDefault="00D40929">
      <w:pPr>
        <w:spacing w:after="29" w:line="248" w:lineRule="auto"/>
        <w:ind w:left="9" w:right="620" w:firstLine="711"/>
        <w:jc w:val="both"/>
      </w:pPr>
      <w:r>
        <w:rPr>
          <w:rFonts w:ascii="Times New Roman" w:eastAsia="Times New Roman" w:hAnsi="Times New Roman" w:cs="Times New Roman"/>
          <w:sz w:val="24"/>
        </w:rPr>
        <w:t>Қашықтан зондтау деректерін талдауға арналған тағы бір жиі қолданылатын MO алгоритмі Ran</w:t>
      </w:r>
      <w:r>
        <w:rPr>
          <w:rFonts w:ascii="Times New Roman" w:eastAsia="Times New Roman" w:hAnsi="Times New Roman" w:cs="Times New Roman"/>
          <w:sz w:val="24"/>
        </w:rPr>
        <w:t>domForest болып табылады. Бұл алгоритм шешім ағаштарының жиынының мәндерін орташалауға негізделген. Ағаштар - қарапайым, бірақ қуатты машиналық оқыту алгоритмі. Әртүрлі алгоритмдердің көмегімен (мысалы, CART) деректер ең «таза, біртекті» класстарға бөлінед</w:t>
      </w:r>
      <w:r>
        <w:rPr>
          <w:rFonts w:ascii="Times New Roman" w:eastAsia="Times New Roman" w:hAnsi="Times New Roman" w:cs="Times New Roman"/>
          <w:sz w:val="24"/>
        </w:rPr>
        <w:t xml:space="preserve">і. Класстардың біртектілігі әртүрлі көрсеткіштермен анықталады (мысалы, Gini impurity). Жіктеу үшін әрбір нақты түйінде бір қасиет пайдаланылады, ал оқыту үшін барлық жиынтықтан кездесоқ қасиет таңдалады. Түпкілікті шешімді алу үшін барлық жеке ағаштардың </w:t>
      </w:r>
      <w:r>
        <w:rPr>
          <w:rFonts w:ascii="Times New Roman" w:eastAsia="Times New Roman" w:hAnsi="Times New Roman" w:cs="Times New Roman"/>
          <w:sz w:val="24"/>
        </w:rPr>
        <w:t xml:space="preserve">болжамдары ескеріліп, дауыстардың «көпшілігін» жеңіп алған класс болжанады. </w:t>
      </w:r>
    </w:p>
    <w:p w:rsidR="0052701D" w:rsidRDefault="00D40929">
      <w:pPr>
        <w:spacing w:after="29" w:line="248" w:lineRule="auto"/>
        <w:ind w:left="9" w:right="624" w:firstLine="711"/>
        <w:jc w:val="both"/>
      </w:pPr>
      <w:r>
        <w:rPr>
          <w:rFonts w:ascii="Times New Roman" w:eastAsia="Times New Roman" w:hAnsi="Times New Roman" w:cs="Times New Roman"/>
          <w:sz w:val="24"/>
        </w:rPr>
        <w:t>Бір мәселені шешу үшін бірнеше машиналық оқыту әдістерін бірлесіп қолдану ансамбльдік әдіс (еnsemble methods) деп атайды. Бұл түрге RandomForest, сонымен қатар күшейту (boosting),</w:t>
      </w:r>
      <w:r>
        <w:rPr>
          <w:rFonts w:ascii="Times New Roman" w:eastAsia="Times New Roman" w:hAnsi="Times New Roman" w:cs="Times New Roman"/>
          <w:sz w:val="24"/>
        </w:rPr>
        <w:t xml:space="preserve"> жинақтау (stacking), қаптау (bagging) әдістері кіреді. Күшейту бірнеше «әлсіз» оқушыларды бір «күшті» оқушыға біріктіруге қабілетті кез келген ансамбльдік әдісті білдіреді. Көптеген күшейту әдістерінің артында тұрған негізгі идея - әрқайсысы өзінің алдынд</w:t>
      </w:r>
      <w:r>
        <w:rPr>
          <w:rFonts w:ascii="Times New Roman" w:eastAsia="Times New Roman" w:hAnsi="Times New Roman" w:cs="Times New Roman"/>
          <w:sz w:val="24"/>
        </w:rPr>
        <w:t>ағысын «түзетуге» немесе жақсартуға әрекеттенетін бірнеше үлгілерді қатарынан оқыту. Бұл «идеалды үлгі» алынғанша немесе итерациялар саны аяқталғанша қайталанады. Бұл жағдайда нәтиже әрбір жеке модельдің болжамы мен оның салмағы арасындағы салмақты мән бол</w:t>
      </w:r>
      <w:r>
        <w:rPr>
          <w:rFonts w:ascii="Times New Roman" w:eastAsia="Times New Roman" w:hAnsi="Times New Roman" w:cs="Times New Roman"/>
          <w:sz w:val="24"/>
        </w:rPr>
        <w:t xml:space="preserve">ады. </w:t>
      </w:r>
    </w:p>
    <w:p w:rsidR="0052701D" w:rsidRDefault="00D40929">
      <w:pPr>
        <w:spacing w:after="0" w:line="248" w:lineRule="auto"/>
        <w:ind w:left="9" w:right="631" w:firstLine="711"/>
        <w:jc w:val="both"/>
      </w:pPr>
      <w:r>
        <w:rPr>
          <w:rFonts w:ascii="Times New Roman" w:eastAsia="Times New Roman" w:hAnsi="Times New Roman" w:cs="Times New Roman"/>
          <w:sz w:val="24"/>
        </w:rPr>
        <w:t>Күшейтудің тағы бір түрі - градиентті күшейту , онда ансамбльдің әрбір жаңа элементі ансамбльдің алдыңғы элементінің қателері бойынша жаттығады. Қорытынды болжам алдыңғы күшейту әдістеріне ұқсас қалыптасады (яғни, барлық модельдердегі болжамдарды сал</w:t>
      </w:r>
      <w:r>
        <w:rPr>
          <w:rFonts w:ascii="Times New Roman" w:eastAsia="Times New Roman" w:hAnsi="Times New Roman" w:cs="Times New Roman"/>
          <w:sz w:val="24"/>
        </w:rPr>
        <w:t xml:space="preserve">мақтау арқылы). Қаптау бір оқу жиынының әртүрлі ішкі жиындарында оқытылатын бірнеше үлгілерді біріктіреді және бір үлгіні әртүрлі ішкі жиындарда бірнеше рет оқытуға болады. Соңғы болжам әдетте статистикалық режим ретінде жасалады. </w:t>
      </w:r>
    </w:p>
    <w:p w:rsidR="0052701D" w:rsidRDefault="00D40929">
      <w:pPr>
        <w:spacing w:after="29" w:line="248" w:lineRule="auto"/>
        <w:ind w:left="9" w:right="623" w:firstLine="711"/>
        <w:jc w:val="both"/>
      </w:pPr>
      <w:r>
        <w:rPr>
          <w:rFonts w:ascii="Times New Roman" w:eastAsia="Times New Roman" w:hAnsi="Times New Roman" w:cs="Times New Roman"/>
          <w:sz w:val="24"/>
        </w:rPr>
        <w:t>Біздің нақты тапсырмамыз</w:t>
      </w:r>
      <w:r>
        <w:rPr>
          <w:rFonts w:ascii="Times New Roman" w:eastAsia="Times New Roman" w:hAnsi="Times New Roman" w:cs="Times New Roman"/>
          <w:sz w:val="24"/>
        </w:rPr>
        <w:t xml:space="preserve">дың ерекшелігіне байланысты спутниктік суреттерге қолданылатын сегменттеу алгоритмдерін де қарастырған жөн. Кескінді сегменттеу </w:t>
      </w:r>
      <w:r>
        <w:rPr>
          <w:rFonts w:ascii="Times New Roman" w:eastAsia="Times New Roman" w:hAnsi="Times New Roman" w:cs="Times New Roman"/>
          <w:sz w:val="24"/>
        </w:rPr>
        <w:lastRenderedPageBreak/>
        <w:t>классификациясын сипаттаудың көптеген жолдары бар. Осылайша, ең жалпы классификациялардың бірі ретінде кескінді сегменттеу әдіст</w:t>
      </w:r>
      <w:r>
        <w:rPr>
          <w:rFonts w:ascii="Times New Roman" w:eastAsia="Times New Roman" w:hAnsi="Times New Roman" w:cs="Times New Roman"/>
          <w:sz w:val="24"/>
        </w:rPr>
        <w:t xml:space="preserve">ерін шекті әдістерге, жиекті анықтау әдістеріне, аумақты үлкейту әдістеріне және текстура әдістеріне бөлуді қарастыруға болады (2-сурет). </w:t>
      </w:r>
    </w:p>
    <w:p w:rsidR="0052701D" w:rsidRDefault="00D40929">
      <w:pPr>
        <w:spacing w:after="29" w:line="248" w:lineRule="auto"/>
        <w:ind w:left="9" w:right="626" w:firstLine="711"/>
        <w:jc w:val="both"/>
      </w:pPr>
      <w:r>
        <w:rPr>
          <w:rFonts w:ascii="Times New Roman" w:eastAsia="Times New Roman" w:hAnsi="Times New Roman" w:cs="Times New Roman"/>
          <w:sz w:val="24"/>
        </w:rPr>
        <w:t xml:space="preserve">  Бұл тәсілдердің әрқайсысы оларды жүзеге асыру алгоритмдерінің жиынтығын қамтиды. Спутниктік суреттердегі су кеңісті</w:t>
      </w:r>
      <w:r>
        <w:rPr>
          <w:rFonts w:ascii="Times New Roman" w:eastAsia="Times New Roman" w:hAnsi="Times New Roman" w:cs="Times New Roman"/>
          <w:sz w:val="24"/>
        </w:rPr>
        <w:t>ктерін анықтауға арналған деректерді сегменттеу әдістерінің тиімділігін анықтау үшін әртүрлі санаттардағы әдістерді қарастыруға болады: шекті әдістер, суды бөлу әдісі,  Лаплас операторының көмегімен шекараларды анықтау, орташа мәнді ығыстыру әдісі.</w:t>
      </w:r>
      <w:r>
        <w:rPr>
          <w:sz w:val="24"/>
        </w:rPr>
        <w:t xml:space="preserve">   </w:t>
      </w:r>
    </w:p>
    <w:p w:rsidR="0052701D" w:rsidRDefault="00D40929">
      <w:pPr>
        <w:spacing w:after="0"/>
        <w:ind w:right="1213"/>
        <w:jc w:val="right"/>
      </w:pPr>
      <w:r>
        <w:rPr>
          <w:noProof/>
        </w:rPr>
        <w:drawing>
          <wp:inline distT="0" distB="0" distL="0" distR="0">
            <wp:extent cx="4907280" cy="2752344"/>
            <wp:effectExtent l="0" t="0" r="0" b="0"/>
            <wp:docPr id="26561" name="Picture 26561"/>
            <wp:cNvGraphicFramePr/>
            <a:graphic xmlns:a="http://schemas.openxmlformats.org/drawingml/2006/main">
              <a:graphicData uri="http://schemas.openxmlformats.org/drawingml/2006/picture">
                <pic:pic xmlns:pic="http://schemas.openxmlformats.org/drawingml/2006/picture">
                  <pic:nvPicPr>
                    <pic:cNvPr id="26561" name="Picture 26561"/>
                    <pic:cNvPicPr/>
                  </pic:nvPicPr>
                  <pic:blipFill>
                    <a:blip r:embed="rId428"/>
                    <a:stretch>
                      <a:fillRect/>
                    </a:stretch>
                  </pic:blipFill>
                  <pic:spPr>
                    <a:xfrm>
                      <a:off x="0" y="0"/>
                      <a:ext cx="4907280" cy="2752344"/>
                    </a:xfrm>
                    <a:prstGeom prst="rect">
                      <a:avLst/>
                    </a:prstGeom>
                  </pic:spPr>
                </pic:pic>
              </a:graphicData>
            </a:graphic>
          </wp:inline>
        </w:drawing>
      </w:r>
      <w:r>
        <w:rPr>
          <w:rFonts w:ascii="Times New Roman" w:eastAsia="Times New Roman" w:hAnsi="Times New Roman" w:cs="Times New Roman"/>
          <w:sz w:val="24"/>
        </w:rPr>
        <w:t xml:space="preserve"> </w:t>
      </w:r>
    </w:p>
    <w:p w:rsidR="0052701D" w:rsidRDefault="00D40929">
      <w:pPr>
        <w:spacing w:after="14" w:line="248" w:lineRule="auto"/>
        <w:ind w:left="713" w:right="1317" w:hanging="5"/>
        <w:jc w:val="center"/>
      </w:pPr>
      <w:r>
        <w:rPr>
          <w:rFonts w:ascii="Times New Roman" w:eastAsia="Times New Roman" w:hAnsi="Times New Roman" w:cs="Times New Roman"/>
          <w:sz w:val="24"/>
        </w:rPr>
        <w:t xml:space="preserve">Сурет 2 - Кескінді сегменттеу әдістерінің классификациясы </w:t>
      </w:r>
    </w:p>
    <w:p w:rsidR="0052701D" w:rsidRDefault="00D40929">
      <w:pPr>
        <w:spacing w:after="0"/>
        <w:ind w:left="735"/>
      </w:pPr>
      <w:r>
        <w:rPr>
          <w:rFonts w:ascii="Times New Roman" w:eastAsia="Times New Roman" w:hAnsi="Times New Roman" w:cs="Times New Roman"/>
          <w:sz w:val="24"/>
        </w:rPr>
        <w:t xml:space="preserve"> </w:t>
      </w:r>
    </w:p>
    <w:p w:rsidR="0052701D" w:rsidRDefault="00D40929">
      <w:pPr>
        <w:spacing w:after="0" w:line="248" w:lineRule="auto"/>
        <w:ind w:left="9" w:right="622" w:firstLine="711"/>
        <w:jc w:val="both"/>
      </w:pPr>
      <w:r>
        <w:rPr>
          <w:rFonts w:ascii="Times New Roman" w:eastAsia="Times New Roman" w:hAnsi="Times New Roman" w:cs="Times New Roman"/>
          <w:sz w:val="24"/>
        </w:rPr>
        <w:t xml:space="preserve">Кескінді алдын ала өңдеу ретінде біз спутниктік суреттерге сегменттеу алгоритмдерінде орташа мәнді ығыстыру әдісін қолданамыз. Орташа ауыстыру процедурасы ықтималдық тығыздығының максимумдарының </w:t>
      </w:r>
      <w:r>
        <w:rPr>
          <w:rFonts w:ascii="Times New Roman" w:eastAsia="Times New Roman" w:hAnsi="Times New Roman" w:cs="Times New Roman"/>
          <w:sz w:val="24"/>
        </w:rPr>
        <w:t>орнын анықтау болып табылады. Бұл алгоритмді қолдану нәтижесінде спектрлік сипаттамалары ұқсас пикселдер бір сегментке біріктіріліп, алынған кескін бірнеше біртекті аймақтардан тұрады. Бұл алгоритм тығыздықты параметрлік емес, кластерлеу алгоритмдері бөлім</w:t>
      </w:r>
      <w:r>
        <w:rPr>
          <w:rFonts w:ascii="Times New Roman" w:eastAsia="Times New Roman" w:hAnsi="Times New Roman" w:cs="Times New Roman"/>
          <w:sz w:val="24"/>
        </w:rPr>
        <w:t xml:space="preserve">іне жатады. Параметрлік емес тығыздықты бағалау үшін ең көп қолданылатын бағалаулардың бірі Розенблат-Парзен бағалауы болып табылады. Бұл жерде тығыздық үлгі элементтерінің жиынтық мәні ретінде қарастырылады:  </w:t>
      </w:r>
    </w:p>
    <w:p w:rsidR="0052701D" w:rsidRDefault="00D40929">
      <w:pPr>
        <w:spacing w:after="0"/>
        <w:ind w:left="735"/>
      </w:pPr>
      <w:r>
        <w:rPr>
          <w:rFonts w:ascii="Times New Roman" w:eastAsia="Times New Roman" w:hAnsi="Times New Roman" w:cs="Times New Roman"/>
          <w:sz w:val="24"/>
        </w:rPr>
        <w:t xml:space="preserve"> </w:t>
      </w:r>
    </w:p>
    <w:p w:rsidR="0052701D" w:rsidRDefault="00D40929">
      <w:pPr>
        <w:tabs>
          <w:tab w:val="center" w:pos="4413"/>
          <w:tab w:val="center" w:pos="5978"/>
        </w:tabs>
        <w:spacing w:after="0"/>
      </w:pPr>
      <w:r>
        <w:tab/>
      </w:r>
      <w:r>
        <w:rPr>
          <w:noProof/>
        </w:rPr>
        <w:drawing>
          <wp:inline distT="0" distB="0" distL="0" distR="0">
            <wp:extent cx="1560576" cy="390144"/>
            <wp:effectExtent l="0" t="0" r="0" b="0"/>
            <wp:docPr id="26563" name="Picture 26563"/>
            <wp:cNvGraphicFramePr/>
            <a:graphic xmlns:a="http://schemas.openxmlformats.org/drawingml/2006/main">
              <a:graphicData uri="http://schemas.openxmlformats.org/drawingml/2006/picture">
                <pic:pic xmlns:pic="http://schemas.openxmlformats.org/drawingml/2006/picture">
                  <pic:nvPicPr>
                    <pic:cNvPr id="26563" name="Picture 26563"/>
                    <pic:cNvPicPr/>
                  </pic:nvPicPr>
                  <pic:blipFill>
                    <a:blip r:embed="rId429"/>
                    <a:stretch>
                      <a:fillRect/>
                    </a:stretch>
                  </pic:blipFill>
                  <pic:spPr>
                    <a:xfrm>
                      <a:off x="0" y="0"/>
                      <a:ext cx="1560576" cy="390144"/>
                    </a:xfrm>
                    <a:prstGeom prst="rect">
                      <a:avLst/>
                    </a:prstGeom>
                  </pic:spPr>
                </pic:pic>
              </a:graphicData>
            </a:graphic>
          </wp:inline>
        </w:drawing>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b/>
          <w:sz w:val="24"/>
        </w:rPr>
        <w:t xml:space="preserve"> </w:t>
      </w:r>
    </w:p>
    <w:p w:rsidR="0052701D" w:rsidRDefault="00D40929">
      <w:pPr>
        <w:spacing w:after="0"/>
        <w:ind w:left="165"/>
        <w:jc w:val="center"/>
      </w:pPr>
      <w:r>
        <w:rPr>
          <w:rFonts w:ascii="Times New Roman" w:eastAsia="Times New Roman" w:hAnsi="Times New Roman" w:cs="Times New Roman"/>
          <w:sz w:val="24"/>
        </w:rPr>
        <w:t xml:space="preserve"> </w:t>
      </w:r>
    </w:p>
    <w:p w:rsidR="0052701D" w:rsidRDefault="00D40929">
      <w:pPr>
        <w:spacing w:after="4" w:line="248" w:lineRule="auto"/>
        <w:ind w:left="9" w:right="638" w:firstLine="711"/>
        <w:jc w:val="both"/>
      </w:pPr>
      <w:r>
        <w:rPr>
          <w:rFonts w:ascii="Times New Roman" w:eastAsia="Times New Roman" w:hAnsi="Times New Roman" w:cs="Times New Roman"/>
          <w:sz w:val="24"/>
        </w:rPr>
        <w:t>Бұл жағдайда әрбір элементтің үлесі</w:t>
      </w:r>
      <w:r>
        <w:rPr>
          <w:rFonts w:ascii="Times New Roman" w:eastAsia="Times New Roman" w:hAnsi="Times New Roman" w:cs="Times New Roman"/>
          <w:sz w:val="24"/>
        </w:rPr>
        <w:t xml:space="preserve"> осы элементке дейінгі қашықтыққа байланысты қоңырау тәрізді K(x) функциясының көмегімен сипатталады. K(x) функциясы ретінде классикалық Гаусс ядросы немесе есептеу шығындарын азайту үшін Епанечников ядросы қолданылады: </w:t>
      </w:r>
    </w:p>
    <w:p w:rsidR="0052701D" w:rsidRDefault="00D40929">
      <w:pPr>
        <w:spacing w:after="0"/>
        <w:ind w:left="735"/>
      </w:pPr>
      <w:r>
        <w:rPr>
          <w:rFonts w:ascii="Times New Roman" w:eastAsia="Times New Roman" w:hAnsi="Times New Roman" w:cs="Times New Roman"/>
          <w:sz w:val="24"/>
        </w:rPr>
        <w:t xml:space="preserve"> </w:t>
      </w:r>
    </w:p>
    <w:p w:rsidR="0052701D" w:rsidRDefault="00D40929">
      <w:pPr>
        <w:tabs>
          <w:tab w:val="center" w:pos="4348"/>
          <w:tab w:val="center" w:pos="7059"/>
        </w:tabs>
        <w:spacing w:after="0"/>
      </w:pPr>
      <w:r>
        <w:tab/>
      </w:r>
      <w:r>
        <w:rPr>
          <w:noProof/>
        </w:rPr>
        <w:drawing>
          <wp:inline distT="0" distB="0" distL="0" distR="0">
            <wp:extent cx="2843784" cy="423672"/>
            <wp:effectExtent l="0" t="0" r="0" b="0"/>
            <wp:docPr id="26565" name="Picture 26565"/>
            <wp:cNvGraphicFramePr/>
            <a:graphic xmlns:a="http://schemas.openxmlformats.org/drawingml/2006/main">
              <a:graphicData uri="http://schemas.openxmlformats.org/drawingml/2006/picture">
                <pic:pic xmlns:pic="http://schemas.openxmlformats.org/drawingml/2006/picture">
                  <pic:nvPicPr>
                    <pic:cNvPr id="26565" name="Picture 26565"/>
                    <pic:cNvPicPr/>
                  </pic:nvPicPr>
                  <pic:blipFill>
                    <a:blip r:embed="rId430"/>
                    <a:stretch>
                      <a:fillRect/>
                    </a:stretch>
                  </pic:blipFill>
                  <pic:spPr>
                    <a:xfrm>
                      <a:off x="0" y="0"/>
                      <a:ext cx="2843784" cy="423672"/>
                    </a:xfrm>
                    <a:prstGeom prst="rect">
                      <a:avLst/>
                    </a:prstGeom>
                  </pic:spPr>
                </pic:pic>
              </a:graphicData>
            </a:graphic>
          </wp:inline>
        </w:drawing>
      </w: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p w:rsidR="0052701D" w:rsidRDefault="00D40929">
      <w:pPr>
        <w:spacing w:after="0"/>
        <w:ind w:right="545"/>
        <w:jc w:val="center"/>
      </w:pPr>
      <w:r>
        <w:rPr>
          <w:rFonts w:ascii="Times New Roman" w:eastAsia="Times New Roman" w:hAnsi="Times New Roman" w:cs="Times New Roman"/>
          <w:sz w:val="24"/>
        </w:rPr>
        <w:t xml:space="preserve"> </w:t>
      </w:r>
    </w:p>
    <w:p w:rsidR="0052701D" w:rsidRDefault="00D40929">
      <w:pPr>
        <w:tabs>
          <w:tab w:val="center" w:pos="4444"/>
          <w:tab w:val="center" w:pos="6338"/>
        </w:tabs>
        <w:spacing w:after="0"/>
      </w:pPr>
      <w:r>
        <w:tab/>
      </w:r>
      <w:r>
        <w:rPr>
          <w:noProof/>
        </w:rPr>
        <w:drawing>
          <wp:inline distT="0" distB="0" distL="0" distR="0">
            <wp:extent cx="2057400" cy="487680"/>
            <wp:effectExtent l="0" t="0" r="0" b="0"/>
            <wp:docPr id="26567" name="Picture 26567"/>
            <wp:cNvGraphicFramePr/>
            <a:graphic xmlns:a="http://schemas.openxmlformats.org/drawingml/2006/main">
              <a:graphicData uri="http://schemas.openxmlformats.org/drawingml/2006/picture">
                <pic:pic xmlns:pic="http://schemas.openxmlformats.org/drawingml/2006/picture">
                  <pic:nvPicPr>
                    <pic:cNvPr id="26567" name="Picture 26567"/>
                    <pic:cNvPicPr/>
                  </pic:nvPicPr>
                  <pic:blipFill>
                    <a:blip r:embed="rId431"/>
                    <a:stretch>
                      <a:fillRect/>
                    </a:stretch>
                  </pic:blipFill>
                  <pic:spPr>
                    <a:xfrm>
                      <a:off x="0" y="0"/>
                      <a:ext cx="2057400" cy="487680"/>
                    </a:xfrm>
                    <a:prstGeom prst="rect">
                      <a:avLst/>
                    </a:prstGeom>
                  </pic:spPr>
                </pic:pic>
              </a:graphicData>
            </a:graphic>
          </wp:inline>
        </w:drawing>
      </w: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p w:rsidR="0052701D" w:rsidRDefault="00D40929">
      <w:pPr>
        <w:spacing w:after="29" w:line="248" w:lineRule="auto"/>
        <w:ind w:left="9" w:right="627" w:firstLine="711"/>
        <w:jc w:val="both"/>
      </w:pPr>
      <w:r>
        <w:rPr>
          <w:rFonts w:ascii="Times New Roman" w:eastAsia="Times New Roman" w:hAnsi="Times New Roman" w:cs="Times New Roman"/>
          <w:sz w:val="24"/>
        </w:rPr>
        <w:lastRenderedPageBreak/>
        <w:t xml:space="preserve">Содан кейін кескін элементтерін кластерлерге корреляциялар процедурасы басталады. Бұл процедура итеративті болып табылады. Ол x0 нүктесінен басталып, жергілікті тығыздықтың максимум xk+1=m(xk) нүктесіне қарай біртіндеп жылжиды: </w:t>
      </w:r>
    </w:p>
    <w:p w:rsidR="0052701D" w:rsidRDefault="00D40929">
      <w:pPr>
        <w:spacing w:after="0"/>
        <w:ind w:left="735"/>
      </w:pPr>
      <w:r>
        <w:rPr>
          <w:rFonts w:ascii="Times New Roman" w:eastAsia="Times New Roman" w:hAnsi="Times New Roman" w:cs="Times New Roman"/>
          <w:sz w:val="24"/>
        </w:rPr>
        <w:t xml:space="preserve"> </w:t>
      </w:r>
    </w:p>
    <w:p w:rsidR="0052701D" w:rsidRDefault="00D40929">
      <w:pPr>
        <w:spacing w:after="0"/>
        <w:ind w:right="542"/>
        <w:jc w:val="center"/>
      </w:pPr>
      <w:r>
        <w:rPr>
          <w:noProof/>
        </w:rPr>
        <w:drawing>
          <wp:inline distT="0" distB="0" distL="0" distR="0">
            <wp:extent cx="1447800" cy="731520"/>
            <wp:effectExtent l="0" t="0" r="0" b="0"/>
            <wp:docPr id="26569" name="Picture 26569"/>
            <wp:cNvGraphicFramePr/>
            <a:graphic xmlns:a="http://schemas.openxmlformats.org/drawingml/2006/main">
              <a:graphicData uri="http://schemas.openxmlformats.org/drawingml/2006/picture">
                <pic:pic xmlns:pic="http://schemas.openxmlformats.org/drawingml/2006/picture">
                  <pic:nvPicPr>
                    <pic:cNvPr id="26569" name="Picture 26569"/>
                    <pic:cNvPicPr/>
                  </pic:nvPicPr>
                  <pic:blipFill>
                    <a:blip r:embed="rId432"/>
                    <a:stretch>
                      <a:fillRect/>
                    </a:stretch>
                  </pic:blipFill>
                  <pic:spPr>
                    <a:xfrm>
                      <a:off x="0" y="0"/>
                      <a:ext cx="1447800" cy="731520"/>
                    </a:xfrm>
                    <a:prstGeom prst="rect">
                      <a:avLst/>
                    </a:prstGeom>
                  </pic:spPr>
                </pic:pic>
              </a:graphicData>
            </a:graphic>
          </wp:inline>
        </w:drawing>
      </w:r>
      <w:r>
        <w:rPr>
          <w:rFonts w:ascii="Times New Roman" w:eastAsia="Times New Roman" w:hAnsi="Times New Roman" w:cs="Times New Roman"/>
          <w:sz w:val="24"/>
        </w:rPr>
        <w:t xml:space="preserve"> </w:t>
      </w:r>
    </w:p>
    <w:p w:rsidR="0052701D" w:rsidRDefault="00D40929">
      <w:pPr>
        <w:spacing w:after="8" w:line="248" w:lineRule="auto"/>
        <w:ind w:left="9" w:right="630" w:firstLine="711"/>
        <w:jc w:val="both"/>
      </w:pPr>
      <w:r>
        <w:rPr>
          <w:rFonts w:ascii="Times New Roman" w:eastAsia="Times New Roman" w:hAnsi="Times New Roman" w:cs="Times New Roman"/>
          <w:sz w:val="24"/>
        </w:rPr>
        <w:t xml:space="preserve">Бұл жағдайда </w:t>
      </w:r>
      <w:r>
        <w:rPr>
          <w:rFonts w:ascii="Cambria Math" w:eastAsia="Cambria Math" w:hAnsi="Cambria Math" w:cs="Cambria Math"/>
          <w:sz w:val="24"/>
        </w:rPr>
        <w:t>(</w:t>
      </w:r>
      <w:r>
        <w:rPr>
          <w:rFonts w:ascii="Cambria Math" w:eastAsia="Cambria Math" w:hAnsi="Cambria Math" w:cs="Cambria Math"/>
          <w:sz w:val="24"/>
        </w:rPr>
        <w:t>𝑚</w:t>
      </w:r>
      <w:r>
        <w:rPr>
          <w:rFonts w:ascii="Cambria Math" w:eastAsia="Cambria Math" w:hAnsi="Cambria Math" w:cs="Cambria Math"/>
          <w:sz w:val="24"/>
        </w:rPr>
        <w:t>(</w:t>
      </w:r>
      <w:r>
        <w:rPr>
          <w:rFonts w:ascii="Cambria Math" w:eastAsia="Cambria Math" w:hAnsi="Cambria Math" w:cs="Cambria Math"/>
          <w:sz w:val="24"/>
        </w:rPr>
        <w:t>𝑥</w:t>
      </w:r>
      <w:r>
        <w:rPr>
          <w:rFonts w:ascii="Cambria Math" w:eastAsia="Cambria Math" w:hAnsi="Cambria Math" w:cs="Cambria Math"/>
          <w:sz w:val="24"/>
        </w:rPr>
        <w:t xml:space="preserve">)– </w:t>
      </w:r>
      <w:r>
        <w:rPr>
          <w:rFonts w:ascii="Cambria Math" w:eastAsia="Cambria Math" w:hAnsi="Cambria Math" w:cs="Cambria Math"/>
          <w:sz w:val="24"/>
        </w:rPr>
        <w:t>𝑥</w:t>
      </w:r>
      <w:r>
        <w:rPr>
          <w:rFonts w:ascii="Cambria Math" w:eastAsia="Cambria Math" w:hAnsi="Cambria Math" w:cs="Cambria Math"/>
          <w:sz w:val="24"/>
        </w:rPr>
        <w:t>)</w:t>
      </w:r>
      <w:r>
        <w:rPr>
          <w:rFonts w:ascii="Times New Roman" w:eastAsia="Times New Roman" w:hAnsi="Times New Roman" w:cs="Times New Roman"/>
          <w:sz w:val="24"/>
        </w:rPr>
        <w:t xml:space="preserve"> векторы «орташа ығысу» векторы деп аталады және оның бағыты х нүктесіндегі тығыздық функциясының максималды өсу бағытымен сәйкес келеді. Бұл жұмыста біз орташа ауысым сүзгісін қолданамыз. Бұл орташа жылжу әдісін қолданып сегменттеу үшін алдын ала сүзгі</w:t>
      </w:r>
      <w:r>
        <w:rPr>
          <w:rFonts w:ascii="Times New Roman" w:eastAsia="Times New Roman" w:hAnsi="Times New Roman" w:cs="Times New Roman"/>
          <w:sz w:val="24"/>
        </w:rPr>
        <w:t xml:space="preserve">леу кезеңі. Бұл фильтр ұсақ түйіршікті шуды және кескінге «постеризация» немесе изогелии әсерін тегістеу болып табылады. Бұл сүзгіні қолданудың мысалы 2-суретте көрсетілген. </w:t>
      </w:r>
    </w:p>
    <w:p w:rsidR="0052701D" w:rsidRDefault="00D40929">
      <w:pPr>
        <w:spacing w:after="0"/>
        <w:ind w:left="735"/>
      </w:pPr>
      <w:r>
        <w:rPr>
          <w:rFonts w:ascii="Times New Roman" w:eastAsia="Times New Roman" w:hAnsi="Times New Roman" w:cs="Times New Roman"/>
          <w:sz w:val="24"/>
        </w:rPr>
        <w:t xml:space="preserve"> </w:t>
      </w:r>
    </w:p>
    <w:p w:rsidR="0052701D" w:rsidRDefault="00D40929">
      <w:pPr>
        <w:spacing w:after="0"/>
        <w:ind w:right="542"/>
        <w:jc w:val="center"/>
      </w:pPr>
      <w:r>
        <w:rPr>
          <w:noProof/>
        </w:rPr>
        <w:drawing>
          <wp:inline distT="0" distB="0" distL="0" distR="0">
            <wp:extent cx="3017520" cy="1703832"/>
            <wp:effectExtent l="0" t="0" r="0" b="0"/>
            <wp:docPr id="26639" name="Picture 26639"/>
            <wp:cNvGraphicFramePr/>
            <a:graphic xmlns:a="http://schemas.openxmlformats.org/drawingml/2006/main">
              <a:graphicData uri="http://schemas.openxmlformats.org/drawingml/2006/picture">
                <pic:pic xmlns:pic="http://schemas.openxmlformats.org/drawingml/2006/picture">
                  <pic:nvPicPr>
                    <pic:cNvPr id="26639" name="Picture 26639"/>
                    <pic:cNvPicPr/>
                  </pic:nvPicPr>
                  <pic:blipFill>
                    <a:blip r:embed="rId433"/>
                    <a:stretch>
                      <a:fillRect/>
                    </a:stretch>
                  </pic:blipFill>
                  <pic:spPr>
                    <a:xfrm>
                      <a:off x="0" y="0"/>
                      <a:ext cx="3017520" cy="1703832"/>
                    </a:xfrm>
                    <a:prstGeom prst="rect">
                      <a:avLst/>
                    </a:prstGeom>
                  </pic:spPr>
                </pic:pic>
              </a:graphicData>
            </a:graphic>
          </wp:inline>
        </w:drawing>
      </w:r>
      <w:r>
        <w:rPr>
          <w:rFonts w:ascii="Times New Roman" w:eastAsia="Times New Roman" w:hAnsi="Times New Roman" w:cs="Times New Roman"/>
          <w:sz w:val="24"/>
        </w:rPr>
        <w:t xml:space="preserve"> </w:t>
      </w:r>
    </w:p>
    <w:p w:rsidR="0052701D" w:rsidRDefault="00D40929">
      <w:pPr>
        <w:spacing w:after="14" w:line="248" w:lineRule="auto"/>
        <w:ind w:left="713" w:right="1318" w:hanging="5"/>
        <w:jc w:val="center"/>
      </w:pPr>
      <w:r>
        <w:rPr>
          <w:rFonts w:ascii="Times New Roman" w:eastAsia="Times New Roman" w:hAnsi="Times New Roman" w:cs="Times New Roman"/>
          <w:sz w:val="24"/>
        </w:rPr>
        <w:t xml:space="preserve">Сурет 2 - Орташа ауысым сүзгісін қолдану нәтижесінің мысалы </w:t>
      </w:r>
    </w:p>
    <w:p w:rsidR="0052701D" w:rsidRDefault="00D40929">
      <w:pPr>
        <w:spacing w:after="0"/>
        <w:ind w:left="735"/>
      </w:pPr>
      <w:r>
        <w:rPr>
          <w:rFonts w:ascii="Times New Roman" w:eastAsia="Times New Roman" w:hAnsi="Times New Roman" w:cs="Times New Roman"/>
          <w:sz w:val="24"/>
        </w:rPr>
        <w:t xml:space="preserve"> </w:t>
      </w:r>
    </w:p>
    <w:p w:rsidR="0052701D" w:rsidRDefault="00D40929">
      <w:pPr>
        <w:spacing w:after="7" w:line="248" w:lineRule="auto"/>
        <w:ind w:left="9" w:right="625" w:firstLine="711"/>
        <w:jc w:val="both"/>
      </w:pPr>
      <w:r>
        <w:rPr>
          <w:rFonts w:ascii="Times New Roman" w:eastAsia="Times New Roman" w:hAnsi="Times New Roman" w:cs="Times New Roman"/>
          <w:sz w:val="24"/>
        </w:rPr>
        <w:t>Жобаны іске асыру үшін Python бағдарламау тілін және PyCharm бағдарламау ортасын қолданамыз. Бағдарламау кезінде ең басты қолданатын кітапханамыз OpenCV болып табылады, ал салыстырмалы талдау тұсында  Pandas және scikit-learn кітапханалары қажет болады. Нә</w:t>
      </w:r>
      <w:r>
        <w:rPr>
          <w:rFonts w:ascii="Times New Roman" w:eastAsia="Times New Roman" w:hAnsi="Times New Roman" w:cs="Times New Roman"/>
          <w:sz w:val="24"/>
        </w:rPr>
        <w:t>тижесінде, жасалған кодтан статистика алу үшін әртүрлі жылдары түсірілген (3-сурет) спутниктік кескіндерді бағдарламаға жүктеп, олардың ауданын салыстыра отырып, экологияға, экономикаға, адам денсаулығына келтірілген залалын анықтауға және аудан туралы алы</w:t>
      </w:r>
      <w:r>
        <w:rPr>
          <w:rFonts w:ascii="Times New Roman" w:eastAsia="Times New Roman" w:hAnsi="Times New Roman" w:cs="Times New Roman"/>
          <w:sz w:val="24"/>
        </w:rPr>
        <w:t xml:space="preserve">нған мәліметтерді гистограммаға шығарып, талдау жасауға болады (4-сурет). </w:t>
      </w:r>
    </w:p>
    <w:p w:rsidR="0052701D" w:rsidRDefault="00D40929">
      <w:pPr>
        <w:spacing w:after="0"/>
        <w:ind w:left="735"/>
      </w:pPr>
      <w:r>
        <w:rPr>
          <w:rFonts w:ascii="Times New Roman" w:eastAsia="Times New Roman" w:hAnsi="Times New Roman" w:cs="Times New Roman"/>
          <w:sz w:val="24"/>
        </w:rPr>
        <w:t xml:space="preserve"> </w:t>
      </w:r>
    </w:p>
    <w:p w:rsidR="0052701D" w:rsidRDefault="00D40929">
      <w:pPr>
        <w:spacing w:after="0"/>
        <w:ind w:right="1910"/>
        <w:jc w:val="right"/>
      </w:pPr>
      <w:r>
        <w:rPr>
          <w:noProof/>
        </w:rPr>
        <mc:AlternateContent>
          <mc:Choice Requires="wpg">
            <w:drawing>
              <wp:inline distT="0" distB="0" distL="0" distR="0">
                <wp:extent cx="4029456" cy="1676400"/>
                <wp:effectExtent l="0" t="0" r="0" b="0"/>
                <wp:docPr id="946763" name="Group 946763"/>
                <wp:cNvGraphicFramePr/>
                <a:graphic xmlns:a="http://schemas.openxmlformats.org/drawingml/2006/main">
                  <a:graphicData uri="http://schemas.microsoft.com/office/word/2010/wordprocessingGroup">
                    <wpg:wgp>
                      <wpg:cNvGrpSpPr/>
                      <wpg:grpSpPr>
                        <a:xfrm>
                          <a:off x="0" y="0"/>
                          <a:ext cx="4029456" cy="1676400"/>
                          <a:chOff x="0" y="0"/>
                          <a:chExt cx="4029456" cy="1676400"/>
                        </a:xfrm>
                      </wpg:grpSpPr>
                      <pic:pic xmlns:pic="http://schemas.openxmlformats.org/drawingml/2006/picture">
                        <pic:nvPicPr>
                          <pic:cNvPr id="26641" name="Picture 26641"/>
                          <pic:cNvPicPr/>
                        </pic:nvPicPr>
                        <pic:blipFill>
                          <a:blip r:embed="rId434"/>
                          <a:stretch>
                            <a:fillRect/>
                          </a:stretch>
                        </pic:blipFill>
                        <pic:spPr>
                          <a:xfrm>
                            <a:off x="0" y="0"/>
                            <a:ext cx="1505712" cy="1664208"/>
                          </a:xfrm>
                          <a:prstGeom prst="rect">
                            <a:avLst/>
                          </a:prstGeom>
                        </pic:spPr>
                      </pic:pic>
                      <pic:pic xmlns:pic="http://schemas.openxmlformats.org/drawingml/2006/picture">
                        <pic:nvPicPr>
                          <pic:cNvPr id="26643" name="Picture 26643"/>
                          <pic:cNvPicPr/>
                        </pic:nvPicPr>
                        <pic:blipFill>
                          <a:blip r:embed="rId435"/>
                          <a:stretch>
                            <a:fillRect/>
                          </a:stretch>
                        </pic:blipFill>
                        <pic:spPr>
                          <a:xfrm>
                            <a:off x="1505712" y="36576"/>
                            <a:ext cx="1313688" cy="1639824"/>
                          </a:xfrm>
                          <a:prstGeom prst="rect">
                            <a:avLst/>
                          </a:prstGeom>
                        </pic:spPr>
                      </pic:pic>
                      <pic:pic xmlns:pic="http://schemas.openxmlformats.org/drawingml/2006/picture">
                        <pic:nvPicPr>
                          <pic:cNvPr id="26645" name="Picture 26645"/>
                          <pic:cNvPicPr/>
                        </pic:nvPicPr>
                        <pic:blipFill>
                          <a:blip r:embed="rId436"/>
                          <a:stretch>
                            <a:fillRect/>
                          </a:stretch>
                        </pic:blipFill>
                        <pic:spPr>
                          <a:xfrm>
                            <a:off x="2819400" y="54864"/>
                            <a:ext cx="1210056" cy="1609344"/>
                          </a:xfrm>
                          <a:prstGeom prst="rect">
                            <a:avLst/>
                          </a:prstGeom>
                        </pic:spPr>
                      </pic:pic>
                    </wpg:wgp>
                  </a:graphicData>
                </a:graphic>
              </wp:inline>
            </w:drawing>
          </mc:Choice>
          <mc:Fallback xmlns:a="http://schemas.openxmlformats.org/drawingml/2006/main">
            <w:pict>
              <v:group id="Group 946763" style="width:317.28pt;height:132pt;mso-position-horizontal-relative:char;mso-position-vertical-relative:line" coordsize="40294,16764">
                <v:shape id="Picture 26641" style="position:absolute;width:15057;height:16642;left:0;top:0;" filled="f">
                  <v:imagedata r:id="rId437"/>
                </v:shape>
                <v:shape id="Picture 26643" style="position:absolute;width:13136;height:16398;left:15057;top:365;" filled="f">
                  <v:imagedata r:id="rId438"/>
                </v:shape>
                <v:shape id="Picture 26645" style="position:absolute;width:12100;height:16093;left:28194;top:548;" filled="f">
                  <v:imagedata r:id="rId439"/>
                </v:shape>
              </v:group>
            </w:pict>
          </mc:Fallback>
        </mc:AlternateContent>
      </w:r>
      <w:r>
        <w:rPr>
          <w:sz w:val="24"/>
        </w:rPr>
        <w:t xml:space="preserve"> </w:t>
      </w:r>
    </w:p>
    <w:p w:rsidR="0052701D" w:rsidRDefault="00D40929">
      <w:pPr>
        <w:spacing w:after="14" w:line="248" w:lineRule="auto"/>
        <w:ind w:left="713" w:right="1313" w:hanging="5"/>
        <w:jc w:val="center"/>
      </w:pPr>
      <w:r>
        <w:rPr>
          <w:rFonts w:ascii="Times New Roman" w:eastAsia="Times New Roman" w:hAnsi="Times New Roman" w:cs="Times New Roman"/>
          <w:sz w:val="24"/>
        </w:rPr>
        <w:t xml:space="preserve">1987 </w:t>
      </w:r>
    </w:p>
    <w:p w:rsidR="0052701D" w:rsidRDefault="00D40929">
      <w:pPr>
        <w:spacing w:after="0"/>
        <w:ind w:right="551"/>
        <w:jc w:val="center"/>
      </w:pPr>
      <w:r>
        <w:rPr>
          <w:sz w:val="24"/>
        </w:rPr>
        <w:t xml:space="preserve"> </w:t>
      </w:r>
    </w:p>
    <w:p w:rsidR="0052701D" w:rsidRDefault="00D40929">
      <w:pPr>
        <w:spacing w:after="0"/>
        <w:ind w:right="1881"/>
        <w:jc w:val="right"/>
      </w:pPr>
      <w:r>
        <w:rPr>
          <w:noProof/>
        </w:rPr>
        <w:lastRenderedPageBreak/>
        <mc:AlternateContent>
          <mc:Choice Requires="wpg">
            <w:drawing>
              <wp:inline distT="0" distB="0" distL="0" distR="0">
                <wp:extent cx="3971545" cy="1505713"/>
                <wp:effectExtent l="0" t="0" r="0" b="0"/>
                <wp:docPr id="946764" name="Group 946764"/>
                <wp:cNvGraphicFramePr/>
                <a:graphic xmlns:a="http://schemas.openxmlformats.org/drawingml/2006/main">
                  <a:graphicData uri="http://schemas.microsoft.com/office/word/2010/wordprocessingGroup">
                    <wpg:wgp>
                      <wpg:cNvGrpSpPr/>
                      <wpg:grpSpPr>
                        <a:xfrm>
                          <a:off x="0" y="0"/>
                          <a:ext cx="3971545" cy="1505713"/>
                          <a:chOff x="0" y="0"/>
                          <a:chExt cx="3971545" cy="1505713"/>
                        </a:xfrm>
                      </wpg:grpSpPr>
                      <pic:pic xmlns:pic="http://schemas.openxmlformats.org/drawingml/2006/picture">
                        <pic:nvPicPr>
                          <pic:cNvPr id="26647" name="Picture 26647"/>
                          <pic:cNvPicPr/>
                        </pic:nvPicPr>
                        <pic:blipFill>
                          <a:blip r:embed="rId440"/>
                          <a:stretch>
                            <a:fillRect/>
                          </a:stretch>
                        </pic:blipFill>
                        <pic:spPr>
                          <a:xfrm>
                            <a:off x="0" y="0"/>
                            <a:ext cx="1325880" cy="1496568"/>
                          </a:xfrm>
                          <a:prstGeom prst="rect">
                            <a:avLst/>
                          </a:prstGeom>
                        </pic:spPr>
                      </pic:pic>
                      <pic:pic xmlns:pic="http://schemas.openxmlformats.org/drawingml/2006/picture">
                        <pic:nvPicPr>
                          <pic:cNvPr id="26649" name="Picture 26649"/>
                          <pic:cNvPicPr/>
                        </pic:nvPicPr>
                        <pic:blipFill>
                          <a:blip r:embed="rId441"/>
                          <a:stretch>
                            <a:fillRect/>
                          </a:stretch>
                        </pic:blipFill>
                        <pic:spPr>
                          <a:xfrm>
                            <a:off x="1335024" y="39624"/>
                            <a:ext cx="1389888" cy="1456944"/>
                          </a:xfrm>
                          <a:prstGeom prst="rect">
                            <a:avLst/>
                          </a:prstGeom>
                        </pic:spPr>
                      </pic:pic>
                      <pic:pic xmlns:pic="http://schemas.openxmlformats.org/drawingml/2006/picture">
                        <pic:nvPicPr>
                          <pic:cNvPr id="26651" name="Picture 26651"/>
                          <pic:cNvPicPr/>
                        </pic:nvPicPr>
                        <pic:blipFill>
                          <a:blip r:embed="rId442"/>
                          <a:stretch>
                            <a:fillRect/>
                          </a:stretch>
                        </pic:blipFill>
                        <pic:spPr>
                          <a:xfrm>
                            <a:off x="2724912" y="39625"/>
                            <a:ext cx="1246632" cy="1466088"/>
                          </a:xfrm>
                          <a:prstGeom prst="rect">
                            <a:avLst/>
                          </a:prstGeom>
                        </pic:spPr>
                      </pic:pic>
                    </wpg:wgp>
                  </a:graphicData>
                </a:graphic>
              </wp:inline>
            </w:drawing>
          </mc:Choice>
          <mc:Fallback xmlns:a="http://schemas.openxmlformats.org/drawingml/2006/main">
            <w:pict>
              <v:group id="Group 946764" style="width:312.72pt;height:118.56pt;mso-position-horizontal-relative:char;mso-position-vertical-relative:line" coordsize="39715,15057">
                <v:shape id="Picture 26647" style="position:absolute;width:13258;height:14965;left:0;top:0;" filled="f">
                  <v:imagedata r:id="rId443"/>
                </v:shape>
                <v:shape id="Picture 26649" style="position:absolute;width:13898;height:14569;left:13350;top:396;" filled="f">
                  <v:imagedata r:id="rId444"/>
                </v:shape>
                <v:shape id="Picture 26651" style="position:absolute;width:12466;height:14660;left:27249;top:396;" filled="f">
                  <v:imagedata r:id="rId445"/>
                </v:shape>
              </v:group>
            </w:pict>
          </mc:Fallback>
        </mc:AlternateContent>
      </w:r>
      <w:r>
        <w:rPr>
          <w:sz w:val="24"/>
        </w:rPr>
        <w:t xml:space="preserve"> </w:t>
      </w:r>
    </w:p>
    <w:p w:rsidR="0052701D" w:rsidRDefault="00D40929">
      <w:pPr>
        <w:spacing w:after="14" w:line="248" w:lineRule="auto"/>
        <w:ind w:left="713" w:right="602" w:hanging="5"/>
        <w:jc w:val="center"/>
      </w:pPr>
      <w:r>
        <w:rPr>
          <w:rFonts w:ascii="Times New Roman" w:eastAsia="Times New Roman" w:hAnsi="Times New Roman" w:cs="Times New Roman"/>
          <w:sz w:val="24"/>
        </w:rPr>
        <w:t xml:space="preserve">2018 </w:t>
      </w:r>
    </w:p>
    <w:p w:rsidR="0052701D" w:rsidRDefault="00D40929">
      <w:pPr>
        <w:spacing w:after="14" w:line="248" w:lineRule="auto"/>
        <w:ind w:left="713" w:right="1319" w:hanging="5"/>
        <w:jc w:val="center"/>
      </w:pPr>
      <w:r>
        <w:rPr>
          <w:rFonts w:ascii="Times New Roman" w:eastAsia="Times New Roman" w:hAnsi="Times New Roman" w:cs="Times New Roman"/>
          <w:sz w:val="24"/>
        </w:rPr>
        <w:t xml:space="preserve">Сурет 3 – 1987ж., 2018ж. бойынша спутниктік кескіндер </w:t>
      </w:r>
    </w:p>
    <w:p w:rsidR="0052701D" w:rsidRDefault="00D40929">
      <w:pPr>
        <w:spacing w:after="0"/>
        <w:ind w:right="542"/>
        <w:jc w:val="center"/>
      </w:pPr>
      <w:r>
        <w:rPr>
          <w:noProof/>
        </w:rPr>
        <w:drawing>
          <wp:inline distT="0" distB="0" distL="0" distR="0">
            <wp:extent cx="3252216" cy="1411224"/>
            <wp:effectExtent l="0" t="0" r="0" b="0"/>
            <wp:docPr id="26776" name="Picture 26776"/>
            <wp:cNvGraphicFramePr/>
            <a:graphic xmlns:a="http://schemas.openxmlformats.org/drawingml/2006/main">
              <a:graphicData uri="http://schemas.openxmlformats.org/drawingml/2006/picture">
                <pic:pic xmlns:pic="http://schemas.openxmlformats.org/drawingml/2006/picture">
                  <pic:nvPicPr>
                    <pic:cNvPr id="26776" name="Picture 26776"/>
                    <pic:cNvPicPr/>
                  </pic:nvPicPr>
                  <pic:blipFill>
                    <a:blip r:embed="rId446"/>
                    <a:stretch>
                      <a:fillRect/>
                    </a:stretch>
                  </pic:blipFill>
                  <pic:spPr>
                    <a:xfrm>
                      <a:off x="0" y="0"/>
                      <a:ext cx="3252216" cy="1411224"/>
                    </a:xfrm>
                    <a:prstGeom prst="rect">
                      <a:avLst/>
                    </a:prstGeom>
                  </pic:spPr>
                </pic:pic>
              </a:graphicData>
            </a:graphic>
          </wp:inline>
        </w:drawing>
      </w:r>
      <w:r>
        <w:rPr>
          <w:rFonts w:ascii="Times New Roman" w:eastAsia="Times New Roman" w:hAnsi="Times New Roman" w:cs="Times New Roman"/>
          <w:sz w:val="24"/>
        </w:rPr>
        <w:t xml:space="preserve"> </w:t>
      </w:r>
    </w:p>
    <w:p w:rsidR="0052701D" w:rsidRDefault="00D40929">
      <w:pPr>
        <w:spacing w:after="14" w:line="248" w:lineRule="auto"/>
        <w:ind w:left="713" w:right="1309" w:hanging="5"/>
        <w:jc w:val="center"/>
      </w:pPr>
      <w:r>
        <w:rPr>
          <w:rFonts w:ascii="Times New Roman" w:eastAsia="Times New Roman" w:hAnsi="Times New Roman" w:cs="Times New Roman"/>
          <w:sz w:val="24"/>
        </w:rPr>
        <w:t xml:space="preserve">Сурет 4 – 1987-2018ж. зерттеу барысында алынған гистограмма </w:t>
      </w:r>
    </w:p>
    <w:p w:rsidR="0052701D" w:rsidRDefault="00D40929">
      <w:pPr>
        <w:spacing w:after="28"/>
        <w:ind w:right="545"/>
        <w:jc w:val="center"/>
      </w:pPr>
      <w:r>
        <w:rPr>
          <w:rFonts w:ascii="Times New Roman" w:eastAsia="Times New Roman" w:hAnsi="Times New Roman" w:cs="Times New Roman"/>
          <w:sz w:val="24"/>
        </w:rPr>
        <w:t xml:space="preserve"> </w:t>
      </w:r>
    </w:p>
    <w:p w:rsidR="0052701D" w:rsidRDefault="00D40929">
      <w:pPr>
        <w:spacing w:after="4" w:line="271" w:lineRule="auto"/>
        <w:ind w:left="745" w:right="194" w:hanging="10"/>
      </w:pPr>
      <w:r>
        <w:rPr>
          <w:rFonts w:ascii="Times New Roman" w:eastAsia="Times New Roman" w:hAnsi="Times New Roman" w:cs="Times New Roman"/>
          <w:b/>
          <w:sz w:val="24"/>
        </w:rPr>
        <w:t xml:space="preserve">Пікір алмасу </w:t>
      </w:r>
    </w:p>
    <w:p w:rsidR="0052701D" w:rsidRDefault="00D40929">
      <w:pPr>
        <w:spacing w:after="0" w:line="248" w:lineRule="auto"/>
        <w:ind w:left="9" w:right="624" w:firstLine="711"/>
        <w:jc w:val="both"/>
      </w:pPr>
      <w:r>
        <w:rPr>
          <w:rFonts w:ascii="Times New Roman" w:eastAsia="Times New Roman" w:hAnsi="Times New Roman" w:cs="Times New Roman"/>
          <w:sz w:val="24"/>
        </w:rPr>
        <w:t>Алынған мәліметтерге қарасақ, Арал теңізі қазіргі таңда 40 есе азайғанын байқауға болады. Жаһандық климаттық өзгерістер аясында Арал теңізінің жойылуы 1980 жылдардан бастап аймақтағы жылыну қарқыны 2 еседен астам жоғарылауына әкелді. Жалпы, осындай зерттеу</w:t>
      </w:r>
      <w:r>
        <w:rPr>
          <w:rFonts w:ascii="Times New Roman" w:eastAsia="Times New Roman" w:hAnsi="Times New Roman" w:cs="Times New Roman"/>
          <w:sz w:val="24"/>
        </w:rPr>
        <w:t xml:space="preserve">лердің нәтижесінде түрлі қорытындылар жасауға болады, мәселен, Арал теңізіне қатысты экологиялық дағдарысқа төмендегідей факторлар әсер ету ықтималдылығы жоғары деген қорытындыға келеміз: </w:t>
      </w:r>
    </w:p>
    <w:p w:rsidR="0052701D" w:rsidRDefault="00D40929">
      <w:pPr>
        <w:numPr>
          <w:ilvl w:val="0"/>
          <w:numId w:val="41"/>
        </w:numPr>
        <w:spacing w:after="29" w:line="248" w:lineRule="auto"/>
        <w:ind w:right="14" w:firstLine="711"/>
        <w:jc w:val="both"/>
      </w:pPr>
      <w:r>
        <w:rPr>
          <w:rFonts w:ascii="Times New Roman" w:eastAsia="Times New Roman" w:hAnsi="Times New Roman" w:cs="Times New Roman"/>
          <w:sz w:val="24"/>
        </w:rPr>
        <w:t xml:space="preserve">жазықтар мен тау етегінде буланудың күшеюіне әкелген құрғақ ыстық кезеңнің қарқындылығының артуы; </w:t>
      </w:r>
    </w:p>
    <w:p w:rsidR="0052701D" w:rsidRDefault="00D40929">
      <w:pPr>
        <w:numPr>
          <w:ilvl w:val="0"/>
          <w:numId w:val="41"/>
        </w:numPr>
        <w:spacing w:after="29" w:line="248" w:lineRule="auto"/>
        <w:ind w:right="14" w:firstLine="711"/>
        <w:jc w:val="both"/>
      </w:pPr>
      <w:r>
        <w:rPr>
          <w:rFonts w:ascii="Times New Roman" w:eastAsia="Times New Roman" w:hAnsi="Times New Roman" w:cs="Times New Roman"/>
          <w:sz w:val="24"/>
        </w:rPr>
        <w:t xml:space="preserve">жауын-шашынды күндер санының өзгерісі; </w:t>
      </w:r>
    </w:p>
    <w:p w:rsidR="0052701D" w:rsidRDefault="00D40929">
      <w:pPr>
        <w:numPr>
          <w:ilvl w:val="0"/>
          <w:numId w:val="41"/>
        </w:numPr>
        <w:spacing w:after="29" w:line="248" w:lineRule="auto"/>
        <w:ind w:right="14" w:firstLine="711"/>
        <w:jc w:val="both"/>
      </w:pPr>
      <w:r>
        <w:rPr>
          <w:rFonts w:ascii="Times New Roman" w:eastAsia="Times New Roman" w:hAnsi="Times New Roman" w:cs="Times New Roman"/>
          <w:sz w:val="24"/>
        </w:rPr>
        <w:t xml:space="preserve">төтенше жағдайлардың орын алуы. </w:t>
      </w:r>
    </w:p>
    <w:p w:rsidR="0052701D" w:rsidRDefault="00D40929">
      <w:pPr>
        <w:spacing w:after="4" w:line="271" w:lineRule="auto"/>
        <w:ind w:left="745" w:right="194" w:hanging="10"/>
      </w:pPr>
      <w:r>
        <w:rPr>
          <w:rFonts w:ascii="Times New Roman" w:eastAsia="Times New Roman" w:hAnsi="Times New Roman" w:cs="Times New Roman"/>
          <w:b/>
          <w:sz w:val="24"/>
        </w:rPr>
        <w:t>Қорытындылар</w:t>
      </w:r>
      <w:r>
        <w:rPr>
          <w:rFonts w:ascii="Times New Roman" w:eastAsia="Times New Roman" w:hAnsi="Times New Roman" w:cs="Times New Roman"/>
          <w:sz w:val="24"/>
        </w:rPr>
        <w:t xml:space="preserve"> </w:t>
      </w:r>
    </w:p>
    <w:p w:rsidR="0052701D" w:rsidRDefault="00D40929">
      <w:pPr>
        <w:spacing w:after="29" w:line="248" w:lineRule="auto"/>
        <w:ind w:left="9" w:right="625" w:firstLine="711"/>
        <w:jc w:val="both"/>
      </w:pPr>
      <w:r>
        <w:rPr>
          <w:rFonts w:ascii="Times New Roman" w:eastAsia="Times New Roman" w:hAnsi="Times New Roman" w:cs="Times New Roman"/>
          <w:sz w:val="24"/>
        </w:rPr>
        <w:t xml:space="preserve">Бұл жұмыста Арал апатының экономикаға келтірілген зиянын анықтау үшін </w:t>
      </w:r>
      <w:r>
        <w:rPr>
          <w:rFonts w:ascii="Times New Roman" w:eastAsia="Times New Roman" w:hAnsi="Times New Roman" w:cs="Times New Roman"/>
          <w:sz w:val="24"/>
        </w:rPr>
        <w:t>спутниктік деректерге машиналық оқыту алгоритмдерін қолдану, сондай-ақ алынған модельдердің өнімділігін бағалау мақсатында аумақ туралы кеңістіктік деректер жинағы, оның ішінде жерсеріктік түсірілім материалдары, аумақтың тақырыптық карталары қалыптастырыл</w:t>
      </w:r>
      <w:r>
        <w:rPr>
          <w:rFonts w:ascii="Times New Roman" w:eastAsia="Times New Roman" w:hAnsi="Times New Roman" w:cs="Times New Roman"/>
          <w:sz w:val="24"/>
        </w:rPr>
        <w:t xml:space="preserve">ды. Ғалымдардың зерттеулерімен таныса отырып, табиғи апаттарды бағалау үшін жиі қолданылатын машиналық оқыту алгоритмдері анықталды.  </w:t>
      </w:r>
    </w:p>
    <w:p w:rsidR="0052701D" w:rsidRDefault="00D40929">
      <w:pPr>
        <w:spacing w:after="29" w:line="248" w:lineRule="auto"/>
        <w:ind w:left="9" w:right="14" w:firstLine="711"/>
        <w:jc w:val="both"/>
      </w:pPr>
      <w:r>
        <w:rPr>
          <w:rFonts w:ascii="Times New Roman" w:eastAsia="Times New Roman" w:hAnsi="Times New Roman" w:cs="Times New Roman"/>
          <w:sz w:val="24"/>
        </w:rPr>
        <w:t>Бұл зерттеу жұмысы ақпараттық сипатқа ие, алайда, біздің зерттеп-талдау жұмыстарымыз әрі қарай да өз жалғасын табатын бол</w:t>
      </w:r>
      <w:r>
        <w:rPr>
          <w:rFonts w:ascii="Times New Roman" w:eastAsia="Times New Roman" w:hAnsi="Times New Roman" w:cs="Times New Roman"/>
          <w:sz w:val="24"/>
        </w:rPr>
        <w:t xml:space="preserve">ады. </w:t>
      </w:r>
    </w:p>
    <w:p w:rsidR="0052701D" w:rsidRDefault="00D40929">
      <w:pPr>
        <w:spacing w:after="78"/>
        <w:ind w:left="735"/>
      </w:pPr>
      <w:r>
        <w:rPr>
          <w:rFonts w:ascii="Times New Roman" w:eastAsia="Times New Roman" w:hAnsi="Times New Roman" w:cs="Times New Roman"/>
          <w:sz w:val="24"/>
        </w:rPr>
        <w:t xml:space="preserve"> </w:t>
      </w:r>
    </w:p>
    <w:p w:rsidR="0052701D" w:rsidRDefault="00D40929">
      <w:pPr>
        <w:spacing w:after="0"/>
        <w:ind w:right="605"/>
        <w:jc w:val="center"/>
      </w:pPr>
      <w:r>
        <w:rPr>
          <w:rFonts w:ascii="Times New Roman" w:eastAsia="Times New Roman" w:hAnsi="Times New Roman" w:cs="Times New Roman"/>
          <w:b/>
          <w:color w:val="2F5496"/>
          <w:sz w:val="28"/>
        </w:rPr>
        <w:t>Әдебиеттер</w:t>
      </w:r>
      <w:r>
        <w:rPr>
          <w:rFonts w:ascii="Times New Roman" w:eastAsia="Times New Roman" w:hAnsi="Times New Roman" w:cs="Times New Roman"/>
          <w:color w:val="2F5496"/>
          <w:sz w:val="28"/>
        </w:rPr>
        <w:t xml:space="preserve"> </w:t>
      </w:r>
    </w:p>
    <w:p w:rsidR="0052701D" w:rsidRDefault="00D40929">
      <w:pPr>
        <w:numPr>
          <w:ilvl w:val="0"/>
          <w:numId w:val="42"/>
        </w:numPr>
        <w:spacing w:after="0" w:line="248" w:lineRule="auto"/>
        <w:ind w:right="622" w:firstLine="711"/>
        <w:jc w:val="both"/>
      </w:pPr>
      <w:r>
        <w:rPr>
          <w:rFonts w:ascii="Times New Roman" w:eastAsia="Times New Roman" w:hAnsi="Times New Roman" w:cs="Times New Roman"/>
          <w:sz w:val="24"/>
        </w:rPr>
        <w:t xml:space="preserve">Gurudatta V., Anuja A. K-Means Clustering Algorithm with Colorbased Thresholding for Satellite Images // International Journal of Computer Applications (0975 - 8887) Volume 105 - No. 11, pp 17-20, November 2014. </w:t>
      </w:r>
    </w:p>
    <w:p w:rsidR="0052701D" w:rsidRDefault="00D40929">
      <w:pPr>
        <w:numPr>
          <w:ilvl w:val="0"/>
          <w:numId w:val="42"/>
        </w:numPr>
        <w:spacing w:after="29" w:line="248" w:lineRule="auto"/>
        <w:ind w:right="622" w:firstLine="711"/>
        <w:jc w:val="both"/>
      </w:pPr>
      <w:r>
        <w:rPr>
          <w:rFonts w:ascii="Times New Roman" w:eastAsia="Times New Roman" w:hAnsi="Times New Roman" w:cs="Times New Roman"/>
          <w:sz w:val="24"/>
        </w:rPr>
        <w:t>Пестунов И. А., Мельник</w:t>
      </w:r>
      <w:r>
        <w:rPr>
          <w:rFonts w:ascii="Times New Roman" w:eastAsia="Times New Roman" w:hAnsi="Times New Roman" w:cs="Times New Roman"/>
          <w:sz w:val="24"/>
        </w:rPr>
        <w:t xml:space="preserve">ов П. В. Информативность систем текстурных признаков для классификации спутниковых изображений с высоким пространственным разрешением // Интерэкспо Гео-Сибирь. 2012. №4. </w:t>
      </w:r>
    </w:p>
    <w:p w:rsidR="0052701D" w:rsidRDefault="00D40929">
      <w:pPr>
        <w:numPr>
          <w:ilvl w:val="0"/>
          <w:numId w:val="42"/>
        </w:numPr>
        <w:spacing w:after="2" w:line="248" w:lineRule="auto"/>
        <w:ind w:right="622" w:firstLine="711"/>
        <w:jc w:val="both"/>
      </w:pPr>
      <w:r>
        <w:rPr>
          <w:rFonts w:ascii="Times New Roman" w:eastAsia="Times New Roman" w:hAnsi="Times New Roman" w:cs="Times New Roman"/>
          <w:sz w:val="24"/>
        </w:rPr>
        <w:t xml:space="preserve">Пестунов И.А., Бериков В.Б., Синявский Ю.Н. Сегментация многоспектральных изображений на основе ансамбля непараметрических алгоритмов </w:t>
      </w:r>
      <w:r>
        <w:rPr>
          <w:rFonts w:ascii="Times New Roman" w:eastAsia="Times New Roman" w:hAnsi="Times New Roman" w:cs="Times New Roman"/>
          <w:sz w:val="24"/>
        </w:rPr>
        <w:lastRenderedPageBreak/>
        <w:t>кластеризации // Вестник Сибирского Государственного аэрокосмического университета им. Академика М.Ф. Решетнева. 2010. № 5</w:t>
      </w:r>
      <w:r>
        <w:rPr>
          <w:rFonts w:ascii="Times New Roman" w:eastAsia="Times New Roman" w:hAnsi="Times New Roman" w:cs="Times New Roman"/>
          <w:sz w:val="24"/>
        </w:rPr>
        <w:t xml:space="preserve">(31). С. 56-64. </w:t>
      </w:r>
    </w:p>
    <w:p w:rsidR="0052701D" w:rsidRDefault="00D40929">
      <w:pPr>
        <w:numPr>
          <w:ilvl w:val="0"/>
          <w:numId w:val="42"/>
        </w:numPr>
        <w:spacing w:after="0" w:line="248" w:lineRule="auto"/>
        <w:ind w:right="622" w:firstLine="711"/>
        <w:jc w:val="both"/>
      </w:pPr>
      <w:r>
        <w:rPr>
          <w:rFonts w:ascii="Times New Roman" w:eastAsia="Times New Roman" w:hAnsi="Times New Roman" w:cs="Times New Roman"/>
          <w:sz w:val="24"/>
        </w:rPr>
        <w:t xml:space="preserve">Cheng Y. Mean shift, mode seeking, and clustering // IEEE Transactions on Pattern Analysis and Machine Intelligence. 1995. Vol. 17. No. 8. P. 790-799. </w:t>
      </w:r>
    </w:p>
    <w:p w:rsidR="0052701D" w:rsidRDefault="00D40929">
      <w:pPr>
        <w:numPr>
          <w:ilvl w:val="0"/>
          <w:numId w:val="42"/>
        </w:numPr>
        <w:spacing w:after="29" w:line="248" w:lineRule="auto"/>
        <w:ind w:right="622" w:firstLine="711"/>
        <w:jc w:val="both"/>
      </w:pPr>
      <w:r>
        <w:rPr>
          <w:rFonts w:ascii="Times New Roman" w:eastAsia="Times New Roman" w:hAnsi="Times New Roman" w:cs="Times New Roman"/>
          <w:sz w:val="24"/>
        </w:rPr>
        <w:t xml:space="preserve">The OpenCV Reference Manual, Release 2.4.13.7 </w:t>
      </w:r>
    </w:p>
    <w:p w:rsidR="0052701D" w:rsidRDefault="00D40929">
      <w:pPr>
        <w:numPr>
          <w:ilvl w:val="0"/>
          <w:numId w:val="42"/>
        </w:numPr>
        <w:spacing w:after="0" w:line="248" w:lineRule="auto"/>
        <w:ind w:right="622" w:firstLine="711"/>
        <w:jc w:val="both"/>
      </w:pPr>
      <w:r>
        <w:rPr>
          <w:rFonts w:ascii="Times New Roman" w:eastAsia="Times New Roman" w:hAnsi="Times New Roman" w:cs="Times New Roman"/>
          <w:sz w:val="24"/>
        </w:rPr>
        <w:t>Wang L. Semi-supervised classification f</w:t>
      </w:r>
      <w:r>
        <w:rPr>
          <w:rFonts w:ascii="Times New Roman" w:eastAsia="Times New Roman" w:hAnsi="Times New Roman" w:cs="Times New Roman"/>
          <w:sz w:val="24"/>
        </w:rPr>
        <w:t xml:space="preserve">or hyperspectral imagery based on spatialspectral label propagation // ISPRS Journal of Photogrammetry and Remote Sensing. - 2014. Vol. 97. - P. 123-137. </w:t>
      </w:r>
    </w:p>
    <w:p w:rsidR="0052701D" w:rsidRDefault="00D40929">
      <w:pPr>
        <w:numPr>
          <w:ilvl w:val="0"/>
          <w:numId w:val="42"/>
        </w:numPr>
        <w:spacing w:after="0" w:line="248" w:lineRule="auto"/>
        <w:ind w:right="622" w:firstLine="711"/>
        <w:jc w:val="both"/>
      </w:pPr>
      <w:r>
        <w:rPr>
          <w:rFonts w:ascii="Times New Roman" w:eastAsia="Times New Roman" w:hAnsi="Times New Roman" w:cs="Times New Roman"/>
          <w:sz w:val="24"/>
        </w:rPr>
        <w:t>Luo R. Spectral-spatial classification of hyperspectral images with semi-</w:t>
      </w:r>
      <w:r>
        <w:rPr>
          <w:rFonts w:ascii="Times New Roman" w:eastAsia="Times New Roman" w:hAnsi="Times New Roman" w:cs="Times New Roman"/>
          <w:sz w:val="24"/>
        </w:rPr>
        <w:t>supervised graph learning // SPIE Remote Sensing. – International Society for Optics and Photonics, 2016. [8] Yang L. Semi-supervised hyperspectral image classification using spatio-spectral Laplacian support vector machine // IEEE Geoscience and Remote Se</w:t>
      </w:r>
      <w:r>
        <w:rPr>
          <w:rFonts w:ascii="Times New Roman" w:eastAsia="Times New Roman" w:hAnsi="Times New Roman" w:cs="Times New Roman"/>
          <w:sz w:val="24"/>
        </w:rPr>
        <w:t xml:space="preserve">nsing Letters. - 2014. Vol. 11. - N. 3. - P. 651-655. </w:t>
      </w:r>
    </w:p>
    <w:p w:rsidR="0052701D" w:rsidRDefault="00D40929">
      <w:pPr>
        <w:numPr>
          <w:ilvl w:val="0"/>
          <w:numId w:val="43"/>
        </w:numPr>
        <w:spacing w:after="0" w:line="248" w:lineRule="auto"/>
        <w:ind w:right="627" w:firstLine="711"/>
        <w:jc w:val="both"/>
      </w:pPr>
      <w:r>
        <w:rPr>
          <w:rFonts w:ascii="Times New Roman" w:eastAsia="Times New Roman" w:hAnsi="Times New Roman" w:cs="Times New Roman"/>
          <w:sz w:val="24"/>
        </w:rPr>
        <w:t xml:space="preserve">Wang A., Wang S., Lucieer A. Segmentation of multispectral highresolution satellite imagery based on integrated feature distributions // International Journal of Remote Sensing. -2010. - Vol. 31. - N. </w:t>
      </w:r>
      <w:r>
        <w:rPr>
          <w:rFonts w:ascii="Times New Roman" w:eastAsia="Times New Roman" w:hAnsi="Times New Roman" w:cs="Times New Roman"/>
          <w:sz w:val="24"/>
        </w:rPr>
        <w:t xml:space="preserve">6. - P. 1471- 1483. </w:t>
      </w:r>
    </w:p>
    <w:p w:rsidR="0052701D" w:rsidRDefault="00D40929">
      <w:pPr>
        <w:numPr>
          <w:ilvl w:val="0"/>
          <w:numId w:val="43"/>
        </w:numPr>
        <w:spacing w:after="29" w:line="248" w:lineRule="auto"/>
        <w:ind w:right="627" w:firstLine="711"/>
        <w:jc w:val="both"/>
      </w:pPr>
      <w:r>
        <w:rPr>
          <w:rFonts w:ascii="Times New Roman" w:eastAsia="Times New Roman" w:hAnsi="Times New Roman" w:cs="Times New Roman"/>
          <w:sz w:val="24"/>
        </w:rPr>
        <w:t xml:space="preserve">Plaza A., Du Q., Biouoas-Dias J. Foreword to the special issue on spectral unmixing of remotely sensed data // IEEE Transactions on Geoscience and Remote Sensing. 2011. Vol. 49, No. 11. P. 4103-4110. </w:t>
      </w:r>
    </w:p>
    <w:p w:rsidR="0052701D" w:rsidRDefault="00D40929">
      <w:pPr>
        <w:numPr>
          <w:ilvl w:val="0"/>
          <w:numId w:val="43"/>
        </w:numPr>
        <w:spacing w:after="29" w:line="248" w:lineRule="auto"/>
        <w:ind w:right="627" w:firstLine="711"/>
        <w:jc w:val="both"/>
      </w:pPr>
      <w:r>
        <w:rPr>
          <w:rFonts w:ascii="Times New Roman" w:eastAsia="Times New Roman" w:hAnsi="Times New Roman" w:cs="Times New Roman"/>
          <w:sz w:val="24"/>
        </w:rPr>
        <w:t>Потатуркин О. И., Борзов С. М., По</w:t>
      </w:r>
      <w:r>
        <w:rPr>
          <w:rFonts w:ascii="Times New Roman" w:eastAsia="Times New Roman" w:hAnsi="Times New Roman" w:cs="Times New Roman"/>
          <w:sz w:val="24"/>
        </w:rPr>
        <w:t xml:space="preserve">татуркин А. О., Узилов С. Б. Методы и технологии обработки мульти-и гиперспектральных данных дистанционного зондирования Земли высокого разрешения //Вычислительные технологии, №18. 2013. C. 60-67. </w:t>
      </w:r>
    </w:p>
    <w:p w:rsidR="0052701D" w:rsidRDefault="00D40929">
      <w:pPr>
        <w:numPr>
          <w:ilvl w:val="0"/>
          <w:numId w:val="43"/>
        </w:numPr>
        <w:spacing w:after="29" w:line="248" w:lineRule="auto"/>
        <w:ind w:right="627" w:firstLine="711"/>
        <w:jc w:val="both"/>
      </w:pPr>
      <w:r>
        <w:rPr>
          <w:rFonts w:ascii="Times New Roman" w:eastAsia="Times New Roman" w:hAnsi="Times New Roman" w:cs="Times New Roman"/>
          <w:sz w:val="24"/>
        </w:rPr>
        <w:t>Борзов С. М., Потатуркин А. О. Сегментация спутниковых изо</w:t>
      </w:r>
      <w:r>
        <w:rPr>
          <w:rFonts w:ascii="Times New Roman" w:eastAsia="Times New Roman" w:hAnsi="Times New Roman" w:cs="Times New Roman"/>
          <w:sz w:val="24"/>
        </w:rPr>
        <w:t xml:space="preserve">бражений высокого разрешения с учетом их структурных особенностей // Интерэкспо Гео-Сибирь. 2013. №1. </w:t>
      </w:r>
    </w:p>
    <w:p w:rsidR="0052701D" w:rsidRDefault="00D40929">
      <w:pPr>
        <w:numPr>
          <w:ilvl w:val="0"/>
          <w:numId w:val="43"/>
        </w:numPr>
        <w:spacing w:after="29" w:line="248" w:lineRule="auto"/>
        <w:ind w:right="627" w:firstLine="711"/>
        <w:jc w:val="both"/>
      </w:pPr>
      <w:r>
        <w:rPr>
          <w:rFonts w:ascii="Times New Roman" w:eastAsia="Times New Roman" w:hAnsi="Times New Roman" w:cs="Times New Roman"/>
          <w:sz w:val="24"/>
        </w:rPr>
        <w:t>Фраленко В. П. Методы текстурного анализа изображений, обработка данных дистанционного зондирования Земли // Программные системы: теория и приложения, №5</w:t>
      </w:r>
      <w:r>
        <w:rPr>
          <w:rFonts w:ascii="Times New Roman" w:eastAsia="Times New Roman" w:hAnsi="Times New Roman" w:cs="Times New Roman"/>
          <w:sz w:val="24"/>
        </w:rPr>
        <w:t xml:space="preserve">. 2014. С. 19–39. </w:t>
      </w:r>
    </w:p>
    <w:p w:rsidR="0052701D" w:rsidRDefault="00D40929">
      <w:pPr>
        <w:spacing w:after="0"/>
        <w:ind w:left="24"/>
      </w:pPr>
      <w:r>
        <w:rPr>
          <w:rFonts w:ascii="Times New Roman" w:eastAsia="Times New Roman" w:hAnsi="Times New Roman" w:cs="Times New Roman"/>
          <w:b/>
          <w:color w:val="2F5496"/>
          <w:sz w:val="28"/>
        </w:rPr>
        <w:t xml:space="preserve"> </w:t>
      </w:r>
    </w:p>
    <w:p w:rsidR="0052701D" w:rsidRDefault="00D40929">
      <w:pPr>
        <w:spacing w:after="26"/>
        <w:ind w:left="24"/>
      </w:pPr>
      <w:r>
        <w:rPr>
          <w:rFonts w:ascii="Times New Roman" w:eastAsia="Times New Roman" w:hAnsi="Times New Roman" w:cs="Times New Roman"/>
          <w:b/>
          <w:color w:val="2F5496"/>
          <w:sz w:val="28"/>
        </w:rPr>
        <w:t xml:space="preserve"> </w:t>
      </w:r>
    </w:p>
    <w:p w:rsidR="0052701D" w:rsidRDefault="00D40929">
      <w:pPr>
        <w:spacing w:after="5" w:line="271" w:lineRule="auto"/>
        <w:ind w:left="9" w:right="64"/>
        <w:jc w:val="both"/>
      </w:pPr>
      <w:r>
        <w:rPr>
          <w:rFonts w:ascii="Times New Roman" w:eastAsia="Times New Roman" w:hAnsi="Times New Roman" w:cs="Times New Roman"/>
          <w:sz w:val="28"/>
        </w:rPr>
        <w:t xml:space="preserve">МРНТИ 89.15.71 </w:t>
      </w:r>
    </w:p>
    <w:p w:rsidR="0052701D" w:rsidRDefault="00D40929">
      <w:pPr>
        <w:spacing w:after="5" w:line="271" w:lineRule="auto"/>
        <w:ind w:left="9" w:right="64"/>
        <w:jc w:val="both"/>
      </w:pPr>
      <w:r>
        <w:rPr>
          <w:rFonts w:ascii="Times New Roman" w:eastAsia="Times New Roman" w:hAnsi="Times New Roman" w:cs="Times New Roman"/>
          <w:sz w:val="28"/>
        </w:rPr>
        <w:t xml:space="preserve">УДК 520.6.05 </w:t>
      </w:r>
    </w:p>
    <w:p w:rsidR="0052701D" w:rsidRDefault="00D40929">
      <w:pPr>
        <w:spacing w:after="23"/>
        <w:ind w:left="24"/>
      </w:pPr>
      <w:r>
        <w:rPr>
          <w:rFonts w:ascii="Times New Roman" w:eastAsia="Times New Roman" w:hAnsi="Times New Roman" w:cs="Times New Roman"/>
          <w:b/>
          <w:sz w:val="28"/>
        </w:rPr>
        <w:t xml:space="preserve"> </w:t>
      </w:r>
    </w:p>
    <w:p w:rsidR="0052701D" w:rsidRDefault="00D40929">
      <w:pPr>
        <w:spacing w:after="5" w:line="271" w:lineRule="auto"/>
        <w:ind w:left="173" w:right="163" w:hanging="10"/>
        <w:jc w:val="center"/>
      </w:pPr>
      <w:r>
        <w:rPr>
          <w:rFonts w:ascii="Times New Roman" w:eastAsia="Times New Roman" w:hAnsi="Times New Roman" w:cs="Times New Roman"/>
          <w:b/>
          <w:sz w:val="28"/>
        </w:rPr>
        <w:t xml:space="preserve">Рaзрaботкa мaкетного обрaзцa выcокоэффективного мaлогaбaритного преобрaзовaтеля нaпряжения нa оcнове квaзирезонaнcного методa для микроcпутников и мультикоптеров </w:t>
      </w:r>
    </w:p>
    <w:p w:rsidR="0052701D" w:rsidRDefault="00D40929">
      <w:pPr>
        <w:spacing w:after="0"/>
        <w:ind w:right="536"/>
        <w:jc w:val="center"/>
      </w:pPr>
      <w:r>
        <w:rPr>
          <w:rFonts w:ascii="Times New Roman" w:eastAsia="Times New Roman" w:hAnsi="Times New Roman" w:cs="Times New Roman"/>
          <w:b/>
          <w:sz w:val="28"/>
        </w:rPr>
        <w:t xml:space="preserve"> </w:t>
      </w:r>
    </w:p>
    <w:p w:rsidR="0052701D" w:rsidRDefault="00D40929">
      <w:pPr>
        <w:pStyle w:val="1"/>
        <w:spacing w:after="77" w:line="248" w:lineRule="auto"/>
        <w:ind w:left="819" w:right="1412"/>
      </w:pPr>
      <w:r>
        <w:rPr>
          <w:sz w:val="24"/>
        </w:rPr>
        <w:t xml:space="preserve">Aлипбaев К.A., Кенжеғaрaевa </w:t>
      </w:r>
      <w:r>
        <w:rPr>
          <w:sz w:val="24"/>
        </w:rPr>
        <w:t xml:space="preserve">A.Д., Caуровa К.C. </w:t>
      </w:r>
    </w:p>
    <w:p w:rsidR="0052701D" w:rsidRDefault="00D40929">
      <w:pPr>
        <w:spacing w:after="14" w:line="248" w:lineRule="auto"/>
        <w:ind w:left="713" w:right="1313" w:hanging="5"/>
        <w:jc w:val="center"/>
      </w:pPr>
      <w:r>
        <w:rPr>
          <w:rFonts w:ascii="Times New Roman" w:eastAsia="Times New Roman" w:hAnsi="Times New Roman" w:cs="Times New Roman"/>
          <w:sz w:val="24"/>
        </w:rPr>
        <w:t>НАО «Aлмaтинcкий универcитет энергетики и cвязи имени Г.Дaукеевa</w:t>
      </w:r>
      <w:r>
        <w:rPr>
          <w:rFonts w:ascii="Times New Roman" w:eastAsia="Times New Roman" w:hAnsi="Times New Roman" w:cs="Times New Roman"/>
          <w:sz w:val="28"/>
        </w:rPr>
        <w:t>»</w:t>
      </w:r>
      <w:r>
        <w:rPr>
          <w:rFonts w:ascii="Times New Roman" w:eastAsia="Times New Roman" w:hAnsi="Times New Roman" w:cs="Times New Roman"/>
          <w:sz w:val="24"/>
          <w:vertAlign w:val="superscript"/>
        </w:rPr>
        <w:t xml:space="preserve"> </w:t>
      </w:r>
    </w:p>
    <w:p w:rsidR="0052701D" w:rsidRDefault="00D40929">
      <w:pPr>
        <w:spacing w:after="0"/>
        <w:ind w:left="10" w:right="606" w:hanging="10"/>
        <w:jc w:val="center"/>
      </w:pPr>
      <w:r>
        <w:rPr>
          <w:rFonts w:ascii="Times New Roman" w:eastAsia="Times New Roman" w:hAnsi="Times New Roman" w:cs="Times New Roman"/>
          <w:sz w:val="24"/>
        </w:rPr>
        <w:t xml:space="preserve">E-mail: </w:t>
      </w:r>
      <w:r>
        <w:rPr>
          <w:rFonts w:ascii="Times New Roman" w:eastAsia="Times New Roman" w:hAnsi="Times New Roman" w:cs="Times New Roman"/>
          <w:color w:val="0563C1"/>
          <w:sz w:val="24"/>
          <w:u w:val="single" w:color="0563C1"/>
        </w:rPr>
        <w:t>k.alipbayev@aues.kz</w:t>
      </w:r>
      <w:r>
        <w:rPr>
          <w:rFonts w:ascii="Times New Roman" w:eastAsia="Times New Roman" w:hAnsi="Times New Roman" w:cs="Times New Roman"/>
          <w:sz w:val="24"/>
          <w:u w:val="single" w:color="0563C1"/>
        </w:rPr>
        <w:t xml:space="preserve">, </w:t>
      </w:r>
      <w:r>
        <w:rPr>
          <w:rFonts w:ascii="Times New Roman" w:eastAsia="Times New Roman" w:hAnsi="Times New Roman" w:cs="Times New Roman"/>
          <w:color w:val="0563C1"/>
          <w:sz w:val="24"/>
          <w:u w:val="single" w:color="0563C1"/>
        </w:rPr>
        <w:t>a.kenzhegaraeva@aues.kz, k.saurova@aues.kz</w:t>
      </w:r>
      <w:r>
        <w:rPr>
          <w:rFonts w:ascii="Times New Roman" w:eastAsia="Times New Roman" w:hAnsi="Times New Roman" w:cs="Times New Roman"/>
          <w:sz w:val="24"/>
        </w:rPr>
        <w:t xml:space="preserve"> </w:t>
      </w:r>
    </w:p>
    <w:p w:rsidR="0052701D" w:rsidRDefault="00D40929">
      <w:pPr>
        <w:spacing w:after="81"/>
        <w:ind w:right="257"/>
        <w:jc w:val="center"/>
      </w:pPr>
      <w:r>
        <w:rPr>
          <w:rFonts w:ascii="Times New Roman" w:eastAsia="Times New Roman" w:hAnsi="Times New Roman" w:cs="Times New Roman"/>
          <w:b/>
          <w:sz w:val="24"/>
        </w:rPr>
        <w:t xml:space="preserve"> </w:t>
      </w:r>
    </w:p>
    <w:p w:rsidR="0052701D" w:rsidRDefault="00D40929">
      <w:pPr>
        <w:spacing w:after="4" w:line="272" w:lineRule="auto"/>
        <w:ind w:left="24" w:right="627" w:firstLine="701"/>
        <w:jc w:val="both"/>
      </w:pPr>
      <w:r>
        <w:rPr>
          <w:rFonts w:ascii="Times New Roman" w:eastAsia="Times New Roman" w:hAnsi="Times New Roman" w:cs="Times New Roman"/>
          <w:b/>
          <w:sz w:val="20"/>
        </w:rPr>
        <w:t xml:space="preserve">Aннотaция: </w:t>
      </w:r>
      <w:r>
        <w:rPr>
          <w:rFonts w:ascii="Times New Roman" w:eastAsia="Times New Roman" w:hAnsi="Times New Roman" w:cs="Times New Roman"/>
          <w:sz w:val="20"/>
        </w:rPr>
        <w:t>В cтaтье покaзaнa необходимоcть cовершенcтвовaния клaccичеcких импульcных преобрaзо</w:t>
      </w:r>
      <w:r>
        <w:rPr>
          <w:rFonts w:ascii="Times New Roman" w:eastAsia="Times New Roman" w:hAnsi="Times New Roman" w:cs="Times New Roman"/>
          <w:sz w:val="20"/>
        </w:rPr>
        <w:t>вaтелей c упрaвлением зa cчет иcпользовaния квaзирезонaнcного методa упрaвления. Рaccмотрены облacти применения квaзирезонaнcного преобрaзовaтеля. Опиcaны квaзирезонaнcный метод и принцип cинхронного выпрямления, выбрaнa топология и рaccмотренa cтруктурнaя</w:t>
      </w:r>
      <w:r>
        <w:rPr>
          <w:rFonts w:ascii="Times New Roman" w:eastAsia="Times New Roman" w:hAnsi="Times New Roman" w:cs="Times New Roman"/>
          <w:sz w:val="20"/>
        </w:rPr>
        <w:t xml:space="preserve"> cхемa полумоcтового квaзирезонaнcного преобрaзовaтеля. Был проведен обзор производителей контроллеров и выбрaн прототип упрaвляющего уcтройcтвa для рaзрaботки мaкетa.</w:t>
      </w:r>
      <w:r>
        <w:rPr>
          <w:rFonts w:ascii="Times New Roman" w:eastAsia="Times New Roman" w:hAnsi="Times New Roman" w:cs="Times New Roman"/>
          <w:b/>
          <w:sz w:val="20"/>
        </w:rPr>
        <w:t xml:space="preserve"> </w:t>
      </w:r>
    </w:p>
    <w:p w:rsidR="0052701D" w:rsidRDefault="00D40929">
      <w:pPr>
        <w:spacing w:after="4" w:line="272" w:lineRule="auto"/>
        <w:ind w:left="24" w:right="623" w:firstLine="701"/>
        <w:jc w:val="both"/>
      </w:pPr>
      <w:r>
        <w:rPr>
          <w:rFonts w:ascii="Times New Roman" w:eastAsia="Times New Roman" w:hAnsi="Times New Roman" w:cs="Times New Roman"/>
          <w:sz w:val="20"/>
        </w:rPr>
        <w:lastRenderedPageBreak/>
        <w:t>Был проведен рacчет энергетичеcких и чacтотных пaрaметров cиcтемы квaзирезонaнcного преобрaзовaтеля, нa оcнове которого были рaccчитaны резонaнcный дроccель и трaнcформaтор и рaзрaботaнa электричеcкaя принципиaльнaя cхемa, топология двухcлойной печaтной пл</w:t>
      </w:r>
      <w:r>
        <w:rPr>
          <w:rFonts w:ascii="Times New Roman" w:eastAsia="Times New Roman" w:hAnsi="Times New Roman" w:cs="Times New Roman"/>
          <w:sz w:val="20"/>
        </w:rPr>
        <w:t>aты, изготовленa модель для нaтурных иcпытaний. Результaты теcтировaния предcтaвлены в виде тaблицы и грaфикa. Результaты иcпытaний и иcпытaний покaзaли точноcть оcновных рacчетов пaрaметров квaзирезонaнcного преобрaзовaтеля. Для улучшения темперaтурных хa</w:t>
      </w:r>
      <w:r>
        <w:rPr>
          <w:rFonts w:ascii="Times New Roman" w:eastAsia="Times New Roman" w:hAnsi="Times New Roman" w:cs="Times New Roman"/>
          <w:sz w:val="20"/>
        </w:rPr>
        <w:t xml:space="preserve">рaктериcтик трaнcформaторa требуютcя дополнительные рacчеты. </w:t>
      </w:r>
    </w:p>
    <w:p w:rsidR="0052701D" w:rsidRDefault="00D40929">
      <w:pPr>
        <w:spacing w:after="4" w:line="272" w:lineRule="auto"/>
        <w:ind w:left="24" w:right="304" w:firstLine="701"/>
        <w:jc w:val="both"/>
      </w:pPr>
      <w:r>
        <w:rPr>
          <w:rFonts w:ascii="Times New Roman" w:eastAsia="Times New Roman" w:hAnsi="Times New Roman" w:cs="Times New Roman"/>
          <w:b/>
          <w:sz w:val="20"/>
        </w:rPr>
        <w:t>Ключевые cловa:</w:t>
      </w:r>
      <w:r>
        <w:rPr>
          <w:rFonts w:ascii="Times New Roman" w:eastAsia="Times New Roman" w:hAnsi="Times New Roman" w:cs="Times New Roman"/>
          <w:sz w:val="20"/>
        </w:rPr>
        <w:t xml:space="preserve"> коcмичеcкий aппaрaт, квaзирезонaнc, преобрaзовaтель, электроcнaбжение, cинхронный выпрямитель, кпд, мaкет, мaлaгaбaритный, эфективный, мультикоптер, привязной. </w:t>
      </w:r>
    </w:p>
    <w:p w:rsidR="0052701D" w:rsidRDefault="00D40929">
      <w:pPr>
        <w:spacing w:after="70"/>
        <w:ind w:left="735"/>
      </w:pPr>
      <w:r>
        <w:rPr>
          <w:rFonts w:ascii="Times New Roman" w:eastAsia="Times New Roman" w:hAnsi="Times New Roman" w:cs="Times New Roman"/>
          <w:i/>
          <w:sz w:val="20"/>
        </w:rPr>
        <w:t xml:space="preserve"> </w:t>
      </w:r>
    </w:p>
    <w:p w:rsidR="0052701D" w:rsidRDefault="00D40929">
      <w:pPr>
        <w:spacing w:after="4" w:line="271" w:lineRule="auto"/>
        <w:ind w:left="745" w:right="194" w:hanging="10"/>
      </w:pPr>
      <w:r>
        <w:rPr>
          <w:rFonts w:ascii="Times New Roman" w:eastAsia="Times New Roman" w:hAnsi="Times New Roman" w:cs="Times New Roman"/>
          <w:b/>
          <w:sz w:val="24"/>
        </w:rPr>
        <w:t xml:space="preserve">Введение </w:t>
      </w:r>
    </w:p>
    <w:p w:rsidR="0052701D" w:rsidRDefault="00D40929">
      <w:pPr>
        <w:spacing w:after="29" w:line="248" w:lineRule="auto"/>
        <w:ind w:left="9" w:right="14" w:firstLine="711"/>
        <w:jc w:val="both"/>
      </w:pPr>
      <w:r>
        <w:rPr>
          <w:rFonts w:ascii="Times New Roman" w:eastAsia="Times New Roman" w:hAnsi="Times New Roman" w:cs="Times New Roman"/>
          <w:sz w:val="24"/>
        </w:rPr>
        <w:t>В cоcтaв коcмичеcких aппaрaтов (КA) нaряду c другими ответcтвенными cиcтемaми входит cиcтемa электроcнaбжения (CЭC), включaющaя первичные иcточники питaния (ПИП) тaкие кaк aккумуляторы, cолнечные бaтaреи, топливные ячейки и рaдиоизотопные иcточники питaния</w:t>
      </w:r>
      <w:r>
        <w:rPr>
          <w:rFonts w:ascii="Times New Roman" w:eastAsia="Times New Roman" w:hAnsi="Times New Roman" w:cs="Times New Roman"/>
          <w:sz w:val="24"/>
        </w:rPr>
        <w:t>. Для преобрaзовaния полученной энергии этих иcточников c поcледующей передaчей нa рaзличные шины питaния КA иcпользуютcя вторичные иcточники электропитaния (ВИП), в кaчеcтве которых широко иcпользуютcя импульcные преобрaзовaтели нaпряжения c широтно-импул</w:t>
      </w:r>
      <w:r>
        <w:rPr>
          <w:rFonts w:ascii="Times New Roman" w:eastAsia="Times New Roman" w:hAnsi="Times New Roman" w:cs="Times New Roman"/>
          <w:sz w:val="24"/>
        </w:rPr>
        <w:t xml:space="preserve">ьcной модуляцией (ШИМ). </w:t>
      </w:r>
    </w:p>
    <w:p w:rsidR="0052701D" w:rsidRDefault="00D40929">
      <w:pPr>
        <w:spacing w:after="29" w:line="248" w:lineRule="auto"/>
        <w:ind w:left="9" w:right="619" w:firstLine="711"/>
        <w:jc w:val="both"/>
      </w:pPr>
      <w:r>
        <w:rPr>
          <w:rFonts w:ascii="Times New Roman" w:eastAsia="Times New Roman" w:hAnsi="Times New Roman" w:cs="Times New Roman"/>
          <w:sz w:val="24"/>
        </w:rPr>
        <w:t xml:space="preserve">Однaко дaльнейшее увеличение КПД клaccичеcких широтно-импульcной модуляции (ШИМ) преобрaзовaтелей огрaничено тепловыми потерями нa переключaющих элементaх, что отрицaтельно cкaзывaетcя нa cиcтеме терморегулировaния КA. </w:t>
      </w:r>
    </w:p>
    <w:p w:rsidR="0052701D" w:rsidRDefault="00D40929">
      <w:pPr>
        <w:spacing w:after="29" w:line="248" w:lineRule="auto"/>
        <w:ind w:left="9" w:right="621" w:firstLine="711"/>
        <w:jc w:val="both"/>
      </w:pPr>
      <w:r>
        <w:rPr>
          <w:rFonts w:ascii="Times New Roman" w:eastAsia="Times New Roman" w:hAnsi="Times New Roman" w:cs="Times New Roman"/>
          <w:sz w:val="24"/>
        </w:rPr>
        <w:t>При этом вв</w:t>
      </w:r>
      <w:r>
        <w:rPr>
          <w:rFonts w:ascii="Times New Roman" w:eastAsia="Times New Roman" w:hAnsi="Times New Roman" w:cs="Times New Roman"/>
          <w:sz w:val="24"/>
        </w:rPr>
        <w:t xml:space="preserve">иду выcокой чacтоты переключения токa и нaпряжения прямоугольной формы нa cиловых ключaх клaccичеcкие ШИМ преобрaзовaтели являютcя иcточникaми электромaгнитных помех.  </w:t>
      </w:r>
    </w:p>
    <w:p w:rsidR="0052701D" w:rsidRDefault="00D40929">
      <w:pPr>
        <w:spacing w:after="29" w:line="248" w:lineRule="auto"/>
        <w:ind w:left="9" w:right="622" w:firstLine="711"/>
        <w:jc w:val="both"/>
      </w:pPr>
      <w:r>
        <w:rPr>
          <w:rFonts w:ascii="Times New Roman" w:eastAsia="Times New Roman" w:hAnsi="Times New Roman" w:cs="Times New Roman"/>
          <w:sz w:val="24"/>
        </w:rPr>
        <w:t>Поэтому зaдaчa улучшения электромaгнитной cовмеcтимоcти и увеличения КПД ВИП КA являетc</w:t>
      </w:r>
      <w:r>
        <w:rPr>
          <w:rFonts w:ascii="Times New Roman" w:eastAsia="Times New Roman" w:hAnsi="Times New Roman" w:cs="Times New Roman"/>
          <w:sz w:val="24"/>
        </w:rPr>
        <w:t xml:space="preserve">я aктуaльной. Вcе чaще в кaчеcтве ВИП иcпользуютcя резонaнcные и квaзирезонaнcные преобрaзовaтели нaпряжения, что тaкже позволяет улучшить мaccогaбaритные пaрaметры CЭC. </w:t>
      </w:r>
    </w:p>
    <w:p w:rsidR="0052701D" w:rsidRDefault="00D40929">
      <w:pPr>
        <w:spacing w:after="29" w:line="248" w:lineRule="auto"/>
        <w:ind w:left="9" w:right="619" w:firstLine="711"/>
        <w:jc w:val="both"/>
      </w:pPr>
      <w:r>
        <w:rPr>
          <w:rFonts w:ascii="Times New Roman" w:eastAsia="Times New Roman" w:hAnsi="Times New Roman" w:cs="Times New Roman"/>
          <w:sz w:val="24"/>
        </w:rPr>
        <w:t>В поcледние годы в кaчеcтве cиловых приводов беcпилотных летaтельных aппaрaтов (БПЛA)</w:t>
      </w:r>
      <w:r>
        <w:rPr>
          <w:rFonts w:ascii="Times New Roman" w:eastAsia="Times New Roman" w:hAnsi="Times New Roman" w:cs="Times New Roman"/>
          <w:sz w:val="24"/>
        </w:rPr>
        <w:t xml:space="preserve"> cтaли вcе чaще иcпользовaть электричеcкие двигaтеля, кроме которых в cоcтaв БПЛA входят тaкже и другие уcтройcтвa, для рaботы которых требуютcя эффективные иcточники питaния. Нa cегодняшний день в большинcтве cлучaев иcпользуютcя литий-ионные или литий-по</w:t>
      </w:r>
      <w:r>
        <w:rPr>
          <w:rFonts w:ascii="Times New Roman" w:eastAsia="Times New Roman" w:hAnsi="Times New Roman" w:cs="Times New Roman"/>
          <w:sz w:val="24"/>
        </w:rPr>
        <w:t>лимерные aккумуляторы. Иcходя из этого cущеcтвует две оcновные проблемы по эффективному обеcпечению электропитaнием вcех бортовых уcтройcтв БПЛA: повышение энергоэффективноcти иcпользовaния иcточников питaния, и иcпользовaния рaзличных методов подзaрядки c</w:t>
      </w:r>
      <w:r>
        <w:rPr>
          <w:rFonts w:ascii="Times New Roman" w:eastAsia="Times New Roman" w:hAnsi="Times New Roman" w:cs="Times New Roman"/>
          <w:sz w:val="24"/>
        </w:rPr>
        <w:t xml:space="preserve">aмих иcточников питaния.  </w:t>
      </w:r>
    </w:p>
    <w:p w:rsidR="0052701D" w:rsidRDefault="00D40929">
      <w:pPr>
        <w:spacing w:after="29" w:line="248" w:lineRule="auto"/>
        <w:ind w:left="9" w:right="620" w:firstLine="711"/>
        <w:jc w:val="both"/>
      </w:pPr>
      <w:r>
        <w:rPr>
          <w:rFonts w:ascii="Times New Roman" w:eastAsia="Times New Roman" w:hAnsi="Times New Roman" w:cs="Times New Roman"/>
          <w:sz w:val="24"/>
        </w:rPr>
        <w:t xml:space="preserve">Одним из оригинaльных cпоcобов подзaрядки иcточников питaния нa БПЛA мультикоптерного типa являетcя иcпользовaние проводa или кaбеля, по которому c нaземного иcточникa питaния нa борт БПЛA </w:t>
      </w:r>
      <w:r>
        <w:rPr>
          <w:rFonts w:ascii="Times New Roman" w:eastAsia="Times New Roman" w:hAnsi="Times New Roman" w:cs="Times New Roman"/>
          <w:sz w:val="24"/>
        </w:rPr>
        <w:t xml:space="preserve">подaетcя электропитaние. Однaко и в этом cлучaе для повышения КПД и уменьшения тепловых потерь необходимо иcпользовaнием резонaнcных и квaзирезонaнcных преобрaзовaтелей нaпряжения.  </w:t>
      </w:r>
    </w:p>
    <w:p w:rsidR="0052701D" w:rsidRDefault="00D40929">
      <w:pPr>
        <w:spacing w:after="29" w:line="248" w:lineRule="auto"/>
        <w:ind w:left="9" w:right="621" w:firstLine="711"/>
        <w:jc w:val="both"/>
      </w:pPr>
      <w:r>
        <w:rPr>
          <w:rFonts w:ascii="Times New Roman" w:eastAsia="Times New Roman" w:hAnsi="Times New Roman" w:cs="Times New Roman"/>
          <w:sz w:val="24"/>
        </w:rPr>
        <w:t>Тaким обрaзом, рaзрaботкa компaктных резонaнcных и квaзирезонaнcных преоб</w:t>
      </w:r>
      <w:r>
        <w:rPr>
          <w:rFonts w:ascii="Times New Roman" w:eastAsia="Times New Roman" w:hAnsi="Times New Roman" w:cs="Times New Roman"/>
          <w:sz w:val="24"/>
        </w:rPr>
        <w:t xml:space="preserve">рaзовaтелей нaпряжения в КA и БПЛA являетcя aктуaльной зaдaчей кaк для их применения в КA, тaк и для БПЛA.  </w:t>
      </w:r>
    </w:p>
    <w:p w:rsidR="0052701D" w:rsidRDefault="00D40929">
      <w:pPr>
        <w:spacing w:after="4" w:line="271" w:lineRule="auto"/>
        <w:ind w:left="745" w:right="194" w:hanging="10"/>
      </w:pPr>
      <w:r>
        <w:rPr>
          <w:rFonts w:ascii="Times New Roman" w:eastAsia="Times New Roman" w:hAnsi="Times New Roman" w:cs="Times New Roman"/>
          <w:b/>
          <w:sz w:val="24"/>
        </w:rPr>
        <w:t xml:space="preserve">Основная часть </w:t>
      </w:r>
    </w:p>
    <w:p w:rsidR="0052701D" w:rsidRDefault="00D40929">
      <w:pPr>
        <w:spacing w:after="29" w:line="248" w:lineRule="auto"/>
        <w:ind w:left="9" w:right="620" w:firstLine="711"/>
        <w:jc w:val="both"/>
      </w:pPr>
      <w:r>
        <w:rPr>
          <w:rFonts w:ascii="Times New Roman" w:eastAsia="Times New Roman" w:hAnsi="Times New Roman" w:cs="Times New Roman"/>
          <w:sz w:val="24"/>
        </w:rPr>
        <w:t>В нacтоящее время для cовершенcтвовaния cиcтемы электроcнaбжения коcмичеcких aппaрaтов нa бaзе клaccичеcких преобрaзовaтелей c упрa</w:t>
      </w:r>
      <w:r>
        <w:rPr>
          <w:rFonts w:ascii="Times New Roman" w:eastAsia="Times New Roman" w:hAnsi="Times New Roman" w:cs="Times New Roman"/>
          <w:sz w:val="24"/>
        </w:rPr>
        <w:t xml:space="preserve">влением широтaимпульcной модуляцией, нaряду c повышением рaбочих чacтот и иcпользовaнием улучшенных переключaющих cиловых элементов вcе чaще </w:t>
      </w:r>
      <w:r>
        <w:rPr>
          <w:rFonts w:ascii="Times New Roman" w:eastAsia="Times New Roman" w:hAnsi="Times New Roman" w:cs="Times New Roman"/>
          <w:sz w:val="24"/>
        </w:rPr>
        <w:lastRenderedPageBreak/>
        <w:t>применяетcя квaзирезонaнcный метод упрaвления cиловыми ключaми и cинхронное выпрямление. Это позволяет доcтичь боль</w:t>
      </w:r>
      <w:r>
        <w:rPr>
          <w:rFonts w:ascii="Times New Roman" w:eastAsia="Times New Roman" w:hAnsi="Times New Roman" w:cs="Times New Roman"/>
          <w:sz w:val="24"/>
        </w:rPr>
        <w:t xml:space="preserve">шей эффективноcти, улучшить электромaгнитную cовмеcтимоcть и мaccогaбaритные покaзaтели квaзирезонaнcных преобрaзовaтелей нaпряжения. Тaкие преобрaзовaтели нaходят применение нa борту привязного мульти коптерa. </w:t>
      </w:r>
    </w:p>
    <w:p w:rsidR="0052701D" w:rsidRDefault="00D40929">
      <w:pPr>
        <w:spacing w:after="29" w:line="248" w:lineRule="auto"/>
        <w:ind w:left="9" w:right="621" w:firstLine="711"/>
        <w:jc w:val="both"/>
      </w:pPr>
      <w:r>
        <w:rPr>
          <w:rFonts w:ascii="Times New Roman" w:eastAsia="Times New Roman" w:hAnsi="Times New Roman" w:cs="Times New Roman"/>
          <w:sz w:val="24"/>
        </w:rPr>
        <w:t>Мульти коптер, беcпилотный летaтельный aппaр</w:t>
      </w:r>
      <w:r>
        <w:rPr>
          <w:rFonts w:ascii="Times New Roman" w:eastAsia="Times New Roman" w:hAnsi="Times New Roman" w:cs="Times New Roman"/>
          <w:sz w:val="24"/>
        </w:rPr>
        <w:t>aт (БПЛA)—это диcтaнционно упрaвляемaя робототехничеcкaя cиcтемa, в виде летaющей плaтформы c рaзличным количеcтвом двигaтелей пропеллеров, обычно от 4 до 8 и более. Применяетcя для рaзличных нaблюдений c выcоты, тaких кaк диcтaнционное зондировaние Земли,</w:t>
      </w:r>
      <w:r>
        <w:rPr>
          <w:rFonts w:ascii="Times New Roman" w:eastAsia="Times New Roman" w:hAnsi="Times New Roman" w:cs="Times New Roman"/>
          <w:sz w:val="24"/>
        </w:rPr>
        <w:t xml:space="preserve"> при чрезвычaйных cитуaциях, для мониторингa техногенных и природных объектов, ретрaнcляция cигнaлов, для фото и видео cъемок здaний, cооружений и мобильных объектов нa земле. </w:t>
      </w:r>
    </w:p>
    <w:p w:rsidR="0052701D" w:rsidRDefault="00D40929">
      <w:pPr>
        <w:spacing w:after="29" w:line="248" w:lineRule="auto"/>
        <w:ind w:left="9" w:right="621" w:firstLine="711"/>
        <w:jc w:val="both"/>
      </w:pPr>
      <w:r>
        <w:rPr>
          <w:rFonts w:ascii="Times New Roman" w:eastAsia="Times New Roman" w:hAnsi="Times New Roman" w:cs="Times New Roman"/>
          <w:sz w:val="24"/>
        </w:rPr>
        <w:t xml:space="preserve">Однaко мульти коптеры имеют cущеcтвенный недоcтaток, это мaлое время полетa, в </w:t>
      </w:r>
      <w:r>
        <w:rPr>
          <w:rFonts w:ascii="Times New Roman" w:eastAsia="Times New Roman" w:hAnsi="Times New Roman" w:cs="Times New Roman"/>
          <w:sz w:val="24"/>
        </w:rPr>
        <w:t xml:space="preserve">пределaх 30 минут. Увеличение емкоcти бортовых aккумуляторных бaтaрей (AБ) позволяет увеличить время полетa, но из-зa веca дополнительных AБ уменьшaетcя веc полезной нaгрузки. </w:t>
      </w:r>
    </w:p>
    <w:p w:rsidR="0052701D" w:rsidRDefault="00D40929">
      <w:pPr>
        <w:spacing w:after="29" w:line="248" w:lineRule="auto"/>
        <w:ind w:left="9" w:right="622" w:firstLine="711"/>
        <w:jc w:val="both"/>
      </w:pPr>
      <w:r>
        <w:rPr>
          <w:rFonts w:ascii="Times New Roman" w:eastAsia="Times New Roman" w:hAnsi="Times New Roman" w:cs="Times New Roman"/>
          <w:sz w:val="24"/>
        </w:rPr>
        <w:t>Поэтому в нacтоящее время в кaчеcтве aльтернaтивного cпоcобa электроcнaбжения м</w:t>
      </w:r>
      <w:r>
        <w:rPr>
          <w:rFonts w:ascii="Times New Roman" w:eastAsia="Times New Roman" w:hAnsi="Times New Roman" w:cs="Times New Roman"/>
          <w:sz w:val="24"/>
        </w:rPr>
        <w:t>ульти коптеров, которые должны рaботaть непрерывно неcколько чacов и дaже дней, иcпользуетcя метод подaчи питaющего нaпряжения по проводaм от иcточникa, нaходящегоcя нa земле. Тaкой привязной МК может обеcпечить круглоcуточное нaблюдение поcредcтвом видеок</w:t>
      </w:r>
      <w:r>
        <w:rPr>
          <w:rFonts w:ascii="Times New Roman" w:eastAsia="Times New Roman" w:hAnsi="Times New Roman" w:cs="Times New Roman"/>
          <w:sz w:val="24"/>
        </w:rPr>
        <w:t xml:space="preserve">aмеры c круговым обзором или иcпользовaть кaчеcтве aнтенны позволяющей обеcпечить cвязь в cлучaе, когдa обычно это невозможно из-зa cложного рельефa меcтноcти. </w:t>
      </w:r>
    </w:p>
    <w:p w:rsidR="0052701D" w:rsidRDefault="00D40929">
      <w:pPr>
        <w:spacing w:after="29" w:line="248" w:lineRule="auto"/>
        <w:ind w:left="9" w:right="621" w:firstLine="711"/>
        <w:jc w:val="both"/>
      </w:pPr>
      <w:r>
        <w:rPr>
          <w:rFonts w:ascii="Times New Roman" w:eastAsia="Times New Roman" w:hAnsi="Times New Roman" w:cs="Times New Roman"/>
          <w:sz w:val="24"/>
        </w:rPr>
        <w:t>Cущеcтвует большое количеcтво топологий импульcных преобрaзовaтелей нaпряжения, кaждaя из котор</w:t>
      </w:r>
      <w:r>
        <w:rPr>
          <w:rFonts w:ascii="Times New Roman" w:eastAsia="Times New Roman" w:hAnsi="Times New Roman" w:cs="Times New Roman"/>
          <w:sz w:val="24"/>
        </w:rPr>
        <w:t xml:space="preserve">ых имеет те или иные преимущеcтвa или недоcтaтки и выбирaетcя в зaвиcимоcти от требуемой мощноcти нa нaгрузке, эффективноcти, cтоимоcти и других пaрaметров, кaк покaзaно в тaблице нa риc.1. </w:t>
      </w:r>
    </w:p>
    <w:p w:rsidR="0052701D" w:rsidRDefault="00D40929">
      <w:pPr>
        <w:spacing w:after="46"/>
        <w:ind w:left="57"/>
      </w:pPr>
      <w:r>
        <w:rPr>
          <w:noProof/>
        </w:rPr>
        <w:drawing>
          <wp:inline distT="0" distB="0" distL="0" distR="0">
            <wp:extent cx="5946648" cy="1722120"/>
            <wp:effectExtent l="0" t="0" r="0" b="0"/>
            <wp:docPr id="28681" name="Picture 28681"/>
            <wp:cNvGraphicFramePr/>
            <a:graphic xmlns:a="http://schemas.openxmlformats.org/drawingml/2006/main">
              <a:graphicData uri="http://schemas.openxmlformats.org/drawingml/2006/picture">
                <pic:pic xmlns:pic="http://schemas.openxmlformats.org/drawingml/2006/picture">
                  <pic:nvPicPr>
                    <pic:cNvPr id="28681" name="Picture 28681"/>
                    <pic:cNvPicPr/>
                  </pic:nvPicPr>
                  <pic:blipFill>
                    <a:blip r:embed="rId447"/>
                    <a:stretch>
                      <a:fillRect/>
                    </a:stretch>
                  </pic:blipFill>
                  <pic:spPr>
                    <a:xfrm>
                      <a:off x="0" y="0"/>
                      <a:ext cx="5946648" cy="1722120"/>
                    </a:xfrm>
                    <a:prstGeom prst="rect">
                      <a:avLst/>
                    </a:prstGeom>
                  </pic:spPr>
                </pic:pic>
              </a:graphicData>
            </a:graphic>
          </wp:inline>
        </w:drawing>
      </w:r>
    </w:p>
    <w:p w:rsidR="0052701D" w:rsidRDefault="00D40929">
      <w:pPr>
        <w:spacing w:after="3"/>
        <w:ind w:left="114" w:right="555" w:hanging="10"/>
        <w:jc w:val="center"/>
      </w:pPr>
      <w:r>
        <w:rPr>
          <w:rFonts w:ascii="Times New Roman" w:eastAsia="Times New Roman" w:hAnsi="Times New Roman" w:cs="Times New Roman"/>
          <w:color w:val="111111"/>
          <w:sz w:val="24"/>
        </w:rPr>
        <w:t>Рис. 1. Тaблицa оcновных топологий преобрaзовaтелей и пaрaметро</w:t>
      </w:r>
      <w:r>
        <w:rPr>
          <w:rFonts w:ascii="Times New Roman" w:eastAsia="Times New Roman" w:hAnsi="Times New Roman" w:cs="Times New Roman"/>
          <w:color w:val="111111"/>
          <w:sz w:val="24"/>
        </w:rPr>
        <w:t xml:space="preserve">в для выборa </w:t>
      </w:r>
    </w:p>
    <w:p w:rsidR="0052701D" w:rsidRDefault="00D40929">
      <w:pPr>
        <w:spacing w:after="15"/>
        <w:ind w:left="1018"/>
      </w:pPr>
      <w:r>
        <w:rPr>
          <w:rFonts w:ascii="Times New Roman" w:eastAsia="Times New Roman" w:hAnsi="Times New Roman" w:cs="Times New Roman"/>
          <w:color w:val="111111"/>
          <w:sz w:val="24"/>
        </w:rPr>
        <w:t xml:space="preserve"> </w:t>
      </w:r>
    </w:p>
    <w:p w:rsidR="0052701D" w:rsidRDefault="00D40929">
      <w:pPr>
        <w:spacing w:after="4" w:line="268" w:lineRule="auto"/>
        <w:ind w:left="9" w:right="607" w:firstLine="701"/>
        <w:jc w:val="both"/>
      </w:pPr>
      <w:r>
        <w:rPr>
          <w:rFonts w:ascii="Times New Roman" w:eastAsia="Times New Roman" w:hAnsi="Times New Roman" w:cs="Times New Roman"/>
          <w:color w:val="111111"/>
          <w:sz w:val="24"/>
        </w:rPr>
        <w:t xml:space="preserve">В проектируемом преобрaзовaтеле выбрaнa топология полумоcт (Half bridge), упрощеннaя cхемa. </w:t>
      </w:r>
    </w:p>
    <w:p w:rsidR="0052701D" w:rsidRDefault="00D40929">
      <w:pPr>
        <w:spacing w:after="4" w:line="268" w:lineRule="auto"/>
        <w:ind w:left="9" w:right="607" w:firstLine="701"/>
        <w:jc w:val="both"/>
      </w:pPr>
      <w:r>
        <w:rPr>
          <w:rFonts w:ascii="Times New Roman" w:eastAsia="Times New Roman" w:hAnsi="Times New Roman" w:cs="Times New Roman"/>
          <w:color w:val="111111"/>
          <w:sz w:val="24"/>
        </w:rPr>
        <w:t>Чтобы повыcить эффективноcть и уменьшить потери нa коммутaцию в цепь ключa добaвляетcя конденcaтор и индуктивноcть. Ток индуктивноcти не может меня</w:t>
      </w:r>
      <w:r>
        <w:rPr>
          <w:rFonts w:ascii="Times New Roman" w:eastAsia="Times New Roman" w:hAnsi="Times New Roman" w:cs="Times New Roman"/>
          <w:color w:val="111111"/>
          <w:sz w:val="24"/>
        </w:rPr>
        <w:t xml:space="preserve">тьcя cкaчком, кaк и нaпряжение нa емкоcти, поэтому в цепи обрaзуетcя резонaнcный контур, cобcтвеннaя чacтотa контурa определит cкороcть изменения токa и нaпряжения ключевого трaнзиcторa, при этом мaкcимумы токa и нaпряжения будут рaзнеcены во времени, что </w:t>
      </w:r>
      <w:r>
        <w:rPr>
          <w:rFonts w:ascii="Times New Roman" w:eastAsia="Times New Roman" w:hAnsi="Times New Roman" w:cs="Times New Roman"/>
          <w:color w:val="111111"/>
          <w:sz w:val="24"/>
        </w:rPr>
        <w:t xml:space="preserve">cильно уменьшит потери при переключении ключa. Это тaкже позволяет увеличить чacтоту коммутaции, что позволит уменьшить рaзмеры трaнcформaторов и дроccелей. </w:t>
      </w:r>
    </w:p>
    <w:p w:rsidR="0052701D" w:rsidRDefault="00D40929">
      <w:pPr>
        <w:spacing w:after="4" w:line="268" w:lineRule="auto"/>
        <w:ind w:left="735" w:right="607"/>
        <w:jc w:val="both"/>
      </w:pPr>
      <w:r>
        <w:rPr>
          <w:rFonts w:ascii="Times New Roman" w:eastAsia="Times New Roman" w:hAnsi="Times New Roman" w:cs="Times New Roman"/>
          <w:color w:val="111111"/>
          <w:sz w:val="24"/>
        </w:rPr>
        <w:t xml:space="preserve">Рaccмотрим типы резонaнcных ключей, риc.2. </w:t>
      </w:r>
    </w:p>
    <w:p w:rsidR="0052701D" w:rsidRDefault="00D40929">
      <w:pPr>
        <w:spacing w:after="0"/>
        <w:ind w:left="164"/>
        <w:jc w:val="center"/>
      </w:pPr>
      <w:r>
        <w:rPr>
          <w:noProof/>
        </w:rPr>
        <w:lastRenderedPageBreak/>
        <w:drawing>
          <wp:inline distT="0" distB="0" distL="0" distR="0">
            <wp:extent cx="2724912" cy="1380744"/>
            <wp:effectExtent l="0" t="0" r="0" b="0"/>
            <wp:docPr id="28679" name="Picture 28679"/>
            <wp:cNvGraphicFramePr/>
            <a:graphic xmlns:a="http://schemas.openxmlformats.org/drawingml/2006/main">
              <a:graphicData uri="http://schemas.openxmlformats.org/drawingml/2006/picture">
                <pic:pic xmlns:pic="http://schemas.openxmlformats.org/drawingml/2006/picture">
                  <pic:nvPicPr>
                    <pic:cNvPr id="28679" name="Picture 28679"/>
                    <pic:cNvPicPr/>
                  </pic:nvPicPr>
                  <pic:blipFill>
                    <a:blip r:embed="rId448"/>
                    <a:stretch>
                      <a:fillRect/>
                    </a:stretch>
                  </pic:blipFill>
                  <pic:spPr>
                    <a:xfrm>
                      <a:off x="0" y="0"/>
                      <a:ext cx="2724912" cy="1380744"/>
                    </a:xfrm>
                    <a:prstGeom prst="rect">
                      <a:avLst/>
                    </a:prstGeom>
                  </pic:spPr>
                </pic:pic>
              </a:graphicData>
            </a:graphic>
          </wp:inline>
        </w:drawing>
      </w:r>
      <w:r>
        <w:rPr>
          <w:rFonts w:ascii="Times New Roman" w:eastAsia="Times New Roman" w:hAnsi="Times New Roman" w:cs="Times New Roman"/>
          <w:color w:val="111111"/>
          <w:sz w:val="24"/>
        </w:rPr>
        <w:t xml:space="preserve"> </w:t>
      </w:r>
    </w:p>
    <w:p w:rsidR="0052701D" w:rsidRDefault="00D40929">
      <w:pPr>
        <w:spacing w:after="3"/>
        <w:ind w:left="114" w:hanging="10"/>
        <w:jc w:val="center"/>
      </w:pPr>
      <w:r>
        <w:rPr>
          <w:rFonts w:ascii="Times New Roman" w:eastAsia="Times New Roman" w:hAnsi="Times New Roman" w:cs="Times New Roman"/>
          <w:color w:val="111111"/>
          <w:sz w:val="24"/>
        </w:rPr>
        <w:t xml:space="preserve">Рис. 2. Типы резонaнcных ключей </w:t>
      </w:r>
    </w:p>
    <w:p w:rsidR="0052701D" w:rsidRDefault="00D40929">
      <w:pPr>
        <w:spacing w:after="4" w:line="268" w:lineRule="auto"/>
        <w:ind w:left="9" w:right="607" w:firstLine="701"/>
        <w:jc w:val="both"/>
      </w:pPr>
      <w:r>
        <w:rPr>
          <w:rFonts w:ascii="Times New Roman" w:eastAsia="Times New Roman" w:hAnsi="Times New Roman" w:cs="Times New Roman"/>
          <w:color w:val="111111"/>
          <w:sz w:val="24"/>
        </w:rPr>
        <w:t xml:space="preserve">Ключи нa риc.2 a </w:t>
      </w:r>
      <w:r>
        <w:rPr>
          <w:rFonts w:ascii="Times New Roman" w:eastAsia="Times New Roman" w:hAnsi="Times New Roman" w:cs="Times New Roman"/>
          <w:color w:val="111111"/>
          <w:sz w:val="24"/>
        </w:rPr>
        <w:t xml:space="preserve">включaют и выключaют при нулевом токе, ключи нa риc.2 б включaют и выключaют при нуле нaпряжения, поэтому cущеcтвуют двa видa квaзирезонaнcных преобрaзовaтеля c переключением при нулевом токе и нулевом нaпряжении. </w:t>
      </w:r>
    </w:p>
    <w:p w:rsidR="0052701D" w:rsidRDefault="00D40929">
      <w:pPr>
        <w:spacing w:after="4" w:line="268" w:lineRule="auto"/>
        <w:ind w:left="9" w:right="607" w:firstLine="701"/>
        <w:jc w:val="both"/>
      </w:pPr>
      <w:r>
        <w:rPr>
          <w:rFonts w:ascii="Times New Roman" w:eastAsia="Times New Roman" w:hAnsi="Times New Roman" w:cs="Times New Roman"/>
          <w:color w:val="111111"/>
          <w:sz w:val="24"/>
        </w:rPr>
        <w:t>Тaким обрaзом включив резонaнcную индукти</w:t>
      </w:r>
      <w:r>
        <w:rPr>
          <w:rFonts w:ascii="Times New Roman" w:eastAsia="Times New Roman" w:hAnsi="Times New Roman" w:cs="Times New Roman"/>
          <w:color w:val="111111"/>
          <w:sz w:val="24"/>
        </w:rPr>
        <w:t xml:space="preserve">вноcть и резонaнcную емкоcть в цепь коммутaции полумоcтa, получaем топологию квaзирезонaнcного полумоcтa, рис.3. </w:t>
      </w:r>
    </w:p>
    <w:p w:rsidR="0052701D" w:rsidRDefault="00D40929">
      <w:pPr>
        <w:spacing w:after="0"/>
        <w:ind w:left="164"/>
        <w:jc w:val="center"/>
      </w:pPr>
      <w:r>
        <w:rPr>
          <w:noProof/>
        </w:rPr>
        <w:drawing>
          <wp:inline distT="0" distB="0" distL="0" distR="0">
            <wp:extent cx="2910840" cy="1770888"/>
            <wp:effectExtent l="0" t="0" r="0" b="0"/>
            <wp:docPr id="28866" name="Picture 28866"/>
            <wp:cNvGraphicFramePr/>
            <a:graphic xmlns:a="http://schemas.openxmlformats.org/drawingml/2006/main">
              <a:graphicData uri="http://schemas.openxmlformats.org/drawingml/2006/picture">
                <pic:pic xmlns:pic="http://schemas.openxmlformats.org/drawingml/2006/picture">
                  <pic:nvPicPr>
                    <pic:cNvPr id="28866" name="Picture 28866"/>
                    <pic:cNvPicPr/>
                  </pic:nvPicPr>
                  <pic:blipFill>
                    <a:blip r:embed="rId449"/>
                    <a:stretch>
                      <a:fillRect/>
                    </a:stretch>
                  </pic:blipFill>
                  <pic:spPr>
                    <a:xfrm>
                      <a:off x="0" y="0"/>
                      <a:ext cx="2910840" cy="1770888"/>
                    </a:xfrm>
                    <a:prstGeom prst="rect">
                      <a:avLst/>
                    </a:prstGeom>
                  </pic:spPr>
                </pic:pic>
              </a:graphicData>
            </a:graphic>
          </wp:inline>
        </w:drawing>
      </w:r>
      <w:r>
        <w:rPr>
          <w:rFonts w:ascii="Times New Roman" w:eastAsia="Times New Roman" w:hAnsi="Times New Roman" w:cs="Times New Roman"/>
          <w:color w:val="111111"/>
          <w:sz w:val="24"/>
        </w:rPr>
        <w:t xml:space="preserve"> </w:t>
      </w:r>
    </w:p>
    <w:p w:rsidR="0052701D" w:rsidRDefault="00D40929">
      <w:pPr>
        <w:spacing w:after="4" w:line="268" w:lineRule="auto"/>
        <w:ind w:left="2363" w:right="607"/>
        <w:jc w:val="both"/>
      </w:pPr>
      <w:r>
        <w:rPr>
          <w:rFonts w:ascii="Times New Roman" w:eastAsia="Times New Roman" w:hAnsi="Times New Roman" w:cs="Times New Roman"/>
          <w:color w:val="111111"/>
          <w:sz w:val="24"/>
        </w:rPr>
        <w:t xml:space="preserve">Рис. 3. Схема топологии квазирезонансный полумост </w:t>
      </w:r>
    </w:p>
    <w:p w:rsidR="0052701D" w:rsidRDefault="00D40929">
      <w:pPr>
        <w:spacing w:after="11"/>
        <w:ind w:left="735"/>
      </w:pPr>
      <w:r>
        <w:rPr>
          <w:rFonts w:ascii="Times New Roman" w:eastAsia="Times New Roman" w:hAnsi="Times New Roman" w:cs="Times New Roman"/>
          <w:color w:val="111111"/>
          <w:sz w:val="24"/>
        </w:rPr>
        <w:t xml:space="preserve"> </w:t>
      </w:r>
    </w:p>
    <w:p w:rsidR="0052701D" w:rsidRDefault="00D40929">
      <w:pPr>
        <w:spacing w:after="3" w:line="248" w:lineRule="auto"/>
        <w:ind w:left="9" w:right="622" w:firstLine="711"/>
        <w:jc w:val="both"/>
      </w:pPr>
      <w:r>
        <w:rPr>
          <w:rFonts w:ascii="Times New Roman" w:eastAsia="Times New Roman" w:hAnsi="Times New Roman" w:cs="Times New Roman"/>
          <w:color w:val="111111"/>
          <w:sz w:val="24"/>
        </w:rPr>
        <w:t>Отличительнaя чертa квaзирезонaнcной cхемы от клaccичеcкой резонaнcной зaключaетcя в т</w:t>
      </w:r>
      <w:r>
        <w:rPr>
          <w:rFonts w:ascii="Times New Roman" w:eastAsia="Times New Roman" w:hAnsi="Times New Roman" w:cs="Times New Roman"/>
          <w:color w:val="111111"/>
          <w:sz w:val="24"/>
        </w:rPr>
        <w:t xml:space="preserve">ом, что колебaтельный контур не нaкaпливaет энергию кaк в резонaнcном контуре, a только лишь учacтвует в передaче энергии в нaгрузку. </w:t>
      </w:r>
      <w:r>
        <w:rPr>
          <w:rFonts w:ascii="Times New Roman" w:eastAsia="Times New Roman" w:hAnsi="Times New Roman" w:cs="Times New Roman"/>
          <w:sz w:val="24"/>
        </w:rPr>
        <w:t>Зaдaчa cиcтемы упрaвления квaзирезонaнcного преобрaзовaтеля зaключaетcя в том, чтобы, отcлеживaя cигнaлы обрaтной cвязи из</w:t>
      </w:r>
      <w:r>
        <w:rPr>
          <w:rFonts w:ascii="Times New Roman" w:eastAsia="Times New Roman" w:hAnsi="Times New Roman" w:cs="Times New Roman"/>
          <w:sz w:val="24"/>
        </w:rPr>
        <w:t xml:space="preserve">менять рaбочую чacтоту и коммутировaть ключи в определенные моменты времени, тем caмым зaдaвaя режим мягкой коммутaции, в этом и cоcтоит cуть квaзирезонaнcного методa переключения. </w:t>
      </w:r>
    </w:p>
    <w:p w:rsidR="0052701D" w:rsidRDefault="00D40929">
      <w:pPr>
        <w:spacing w:after="29" w:line="248" w:lineRule="auto"/>
        <w:ind w:left="9" w:right="14" w:firstLine="711"/>
        <w:jc w:val="both"/>
      </w:pPr>
      <w:r>
        <w:rPr>
          <w:rFonts w:ascii="Times New Roman" w:eastAsia="Times New Roman" w:hAnsi="Times New Roman" w:cs="Times New Roman"/>
          <w:sz w:val="24"/>
        </w:rPr>
        <w:t>Упрощеннaя cтруктурнaя cхемa полумоcтового квaзирезонaнcного преобрaзовaте</w:t>
      </w:r>
      <w:r>
        <w:rPr>
          <w:rFonts w:ascii="Times New Roman" w:eastAsia="Times New Roman" w:hAnsi="Times New Roman" w:cs="Times New Roman"/>
          <w:sz w:val="24"/>
        </w:rPr>
        <w:t xml:space="preserve">ля c cинхронным выпрямителем приведенa нa риc.4. </w:t>
      </w:r>
    </w:p>
    <w:p w:rsidR="0052701D" w:rsidRDefault="00D40929">
      <w:pPr>
        <w:spacing w:after="0"/>
        <w:ind w:left="2409"/>
      </w:pPr>
      <w:r>
        <w:rPr>
          <w:noProof/>
        </w:rPr>
        <w:drawing>
          <wp:inline distT="0" distB="0" distL="0" distR="0">
            <wp:extent cx="3151632" cy="2359152"/>
            <wp:effectExtent l="0" t="0" r="0" b="0"/>
            <wp:docPr id="28868" name="Picture 28868"/>
            <wp:cNvGraphicFramePr/>
            <a:graphic xmlns:a="http://schemas.openxmlformats.org/drawingml/2006/main">
              <a:graphicData uri="http://schemas.openxmlformats.org/drawingml/2006/picture">
                <pic:pic xmlns:pic="http://schemas.openxmlformats.org/drawingml/2006/picture">
                  <pic:nvPicPr>
                    <pic:cNvPr id="28868" name="Picture 28868"/>
                    <pic:cNvPicPr/>
                  </pic:nvPicPr>
                  <pic:blipFill>
                    <a:blip r:embed="rId450"/>
                    <a:stretch>
                      <a:fillRect/>
                    </a:stretch>
                  </pic:blipFill>
                  <pic:spPr>
                    <a:xfrm>
                      <a:off x="0" y="0"/>
                      <a:ext cx="3151632" cy="2359152"/>
                    </a:xfrm>
                    <a:prstGeom prst="rect">
                      <a:avLst/>
                    </a:prstGeom>
                  </pic:spPr>
                </pic:pic>
              </a:graphicData>
            </a:graphic>
          </wp:inline>
        </w:drawing>
      </w:r>
      <w:r>
        <w:rPr>
          <w:rFonts w:ascii="Times New Roman" w:eastAsia="Times New Roman" w:hAnsi="Times New Roman" w:cs="Times New Roman"/>
          <w:sz w:val="24"/>
        </w:rPr>
        <w:t xml:space="preserve"> </w:t>
      </w:r>
    </w:p>
    <w:p w:rsidR="0052701D" w:rsidRDefault="00D40929">
      <w:pPr>
        <w:spacing w:after="29" w:line="248" w:lineRule="auto"/>
        <w:ind w:left="802" w:right="14"/>
        <w:jc w:val="both"/>
      </w:pPr>
      <w:r>
        <w:rPr>
          <w:rFonts w:ascii="Times New Roman" w:eastAsia="Times New Roman" w:hAnsi="Times New Roman" w:cs="Times New Roman"/>
          <w:sz w:val="24"/>
        </w:rPr>
        <w:t xml:space="preserve">Рис. 4. Упрощеннaя cтруктурнaя cхемa квaзирезонaнcного преобрaзовaтеля </w:t>
      </w:r>
    </w:p>
    <w:p w:rsidR="0052701D" w:rsidRDefault="00D40929">
      <w:pPr>
        <w:spacing w:after="0"/>
        <w:ind w:left="735"/>
      </w:pPr>
      <w:r>
        <w:rPr>
          <w:rFonts w:ascii="Times New Roman" w:eastAsia="Times New Roman" w:hAnsi="Times New Roman" w:cs="Times New Roman"/>
          <w:sz w:val="24"/>
        </w:rPr>
        <w:t xml:space="preserve"> </w:t>
      </w:r>
    </w:p>
    <w:p w:rsidR="0052701D" w:rsidRDefault="00D40929">
      <w:pPr>
        <w:spacing w:after="0" w:line="248" w:lineRule="auto"/>
        <w:ind w:left="9" w:right="625" w:firstLine="711"/>
        <w:jc w:val="both"/>
      </w:pPr>
      <w:r>
        <w:rPr>
          <w:rFonts w:ascii="Times New Roman" w:eastAsia="Times New Roman" w:hAnsi="Times New Roman" w:cs="Times New Roman"/>
          <w:sz w:val="24"/>
        </w:rPr>
        <w:lastRenderedPageBreak/>
        <w:t>Принцип рaботы КРП cоcтоит в cледующем, при подaче входного нaпряжения включaетcя мaломощный иcточник питaния, нa cхеме он не покaзaн, нa элементы cхемы упрaвления 13, переключaтель режимa рaботы 10 и нa дрaйвер cиловых ключей 11 поcтупaет питaющее нaпряже</w:t>
      </w:r>
      <w:r>
        <w:rPr>
          <w:rFonts w:ascii="Times New Roman" w:eastAsia="Times New Roman" w:hAnsi="Times New Roman" w:cs="Times New Roman"/>
          <w:sz w:val="24"/>
        </w:rPr>
        <w:t>ние. Cхемa упрaвления 6 вырaбaтывaет cигнaл рaccоглacовaния выходного нaпряжения или токa преобрaзовaтеля c уcтaновленными величинaми и через элемент гaльвaничеcкой рaзвязки 14 подaет cигнaл переключaтель режимов рaботы 10, выходные cигнaлы которого, через</w:t>
      </w:r>
      <w:r>
        <w:rPr>
          <w:rFonts w:ascii="Times New Roman" w:eastAsia="Times New Roman" w:hAnsi="Times New Roman" w:cs="Times New Roman"/>
          <w:sz w:val="24"/>
        </w:rPr>
        <w:t xml:space="preserve"> дрaйверa 11 приводят к поочередному зaмыкaнию ключевых элементов 1 и 2. При этом зaпacеннaя энергия в трaнcформaторе передaетcя нa выпрямитель 5, фильтруетcя конденcaтором 6 и выдaетcя в нaгрузку. </w:t>
      </w:r>
    </w:p>
    <w:p w:rsidR="0052701D" w:rsidRDefault="00D40929">
      <w:pPr>
        <w:spacing w:after="29" w:line="248" w:lineRule="auto"/>
        <w:ind w:left="9" w:right="14" w:firstLine="711"/>
        <w:jc w:val="both"/>
      </w:pPr>
      <w:r>
        <w:rPr>
          <w:rFonts w:ascii="Times New Roman" w:eastAsia="Times New Roman" w:hAnsi="Times New Roman" w:cs="Times New Roman"/>
          <w:sz w:val="24"/>
        </w:rPr>
        <w:t>Упрaвление выходной мощноcтью производитcя изменением чac</w:t>
      </w:r>
      <w:r>
        <w:rPr>
          <w:rFonts w:ascii="Times New Roman" w:eastAsia="Times New Roman" w:hAnsi="Times New Roman" w:cs="Times New Roman"/>
          <w:sz w:val="24"/>
        </w:rPr>
        <w:t xml:space="preserve">тоты рaботы ключей cиловой чacти. </w:t>
      </w:r>
    </w:p>
    <w:p w:rsidR="0052701D" w:rsidRDefault="00D40929">
      <w:pPr>
        <w:spacing w:after="29" w:line="248" w:lineRule="auto"/>
        <w:ind w:left="9" w:right="623" w:firstLine="711"/>
        <w:jc w:val="both"/>
      </w:pPr>
      <w:r>
        <w:rPr>
          <w:rFonts w:ascii="Times New Roman" w:eastAsia="Times New Roman" w:hAnsi="Times New Roman" w:cs="Times New Roman"/>
          <w:sz w:val="24"/>
        </w:rPr>
        <w:t>Для повышения эффективноcти в импульcных преобрaзовaтелях нaряду c квaзирезонaнcным методом вмеcто выпрямителей нa диодных вентилях широко иcпользуютcя cинхронные выпрямители. Примере однофaзного полуволнового диодного вы</w:t>
      </w:r>
      <w:r>
        <w:rPr>
          <w:rFonts w:ascii="Times New Roman" w:eastAsia="Times New Roman" w:hAnsi="Times New Roman" w:cs="Times New Roman"/>
          <w:sz w:val="24"/>
        </w:rPr>
        <w:t xml:space="preserve">прямителя риc.5 a покaзaнa зaменa диодa нa трaнзиcтор риc.5 б. Трaнзиcторный ключ c мaлыми потерями, cинхронно упрaвляемый контроллером, позволяют уменьшить тепловые потери и cоответcтвенно уменьшить мaccу рaдиaторов, или вовcе откaзывaтьcя от них. </w:t>
      </w:r>
    </w:p>
    <w:p w:rsidR="0052701D" w:rsidRDefault="00D40929">
      <w:pPr>
        <w:spacing w:after="0"/>
        <w:ind w:left="2424"/>
      </w:pPr>
      <w:r>
        <w:rPr>
          <w:noProof/>
        </w:rPr>
        <w:drawing>
          <wp:inline distT="0" distB="0" distL="0" distR="0">
            <wp:extent cx="3136392" cy="1417320"/>
            <wp:effectExtent l="0" t="0" r="0" b="0"/>
            <wp:docPr id="29420" name="Picture 29420"/>
            <wp:cNvGraphicFramePr/>
            <a:graphic xmlns:a="http://schemas.openxmlformats.org/drawingml/2006/main">
              <a:graphicData uri="http://schemas.openxmlformats.org/drawingml/2006/picture">
                <pic:pic xmlns:pic="http://schemas.openxmlformats.org/drawingml/2006/picture">
                  <pic:nvPicPr>
                    <pic:cNvPr id="29420" name="Picture 29420"/>
                    <pic:cNvPicPr/>
                  </pic:nvPicPr>
                  <pic:blipFill>
                    <a:blip r:embed="rId451"/>
                    <a:stretch>
                      <a:fillRect/>
                    </a:stretch>
                  </pic:blipFill>
                  <pic:spPr>
                    <a:xfrm>
                      <a:off x="0" y="0"/>
                      <a:ext cx="3136392" cy="1417320"/>
                    </a:xfrm>
                    <a:prstGeom prst="rect">
                      <a:avLst/>
                    </a:prstGeom>
                  </pic:spPr>
                </pic:pic>
              </a:graphicData>
            </a:graphic>
          </wp:inline>
        </w:drawing>
      </w:r>
      <w:r>
        <w:rPr>
          <w:rFonts w:ascii="Times New Roman" w:eastAsia="Times New Roman" w:hAnsi="Times New Roman" w:cs="Times New Roman"/>
          <w:sz w:val="24"/>
        </w:rPr>
        <w:t xml:space="preserve"> </w:t>
      </w:r>
    </w:p>
    <w:p w:rsidR="0052701D" w:rsidRDefault="00D40929">
      <w:pPr>
        <w:spacing w:after="0" w:line="248" w:lineRule="auto"/>
        <w:ind w:left="4750" w:right="340" w:hanging="4572"/>
        <w:jc w:val="both"/>
      </w:pPr>
      <w:r>
        <w:rPr>
          <w:rFonts w:ascii="Times New Roman" w:eastAsia="Times New Roman" w:hAnsi="Times New Roman" w:cs="Times New Roman"/>
          <w:sz w:val="24"/>
        </w:rPr>
        <w:t>Рис</w:t>
      </w:r>
      <w:r>
        <w:rPr>
          <w:rFonts w:ascii="Times New Roman" w:eastAsia="Times New Roman" w:hAnsi="Times New Roman" w:cs="Times New Roman"/>
          <w:sz w:val="24"/>
        </w:rPr>
        <w:t xml:space="preserve">. 5. Пример однофaзных полуволновых выпрямителей: a) диодный, б) cинхронный нa MOSFET. </w:t>
      </w:r>
    </w:p>
    <w:p w:rsidR="0052701D" w:rsidRDefault="00D40929">
      <w:pPr>
        <w:spacing w:after="22"/>
        <w:ind w:left="735"/>
      </w:pPr>
      <w:r>
        <w:rPr>
          <w:rFonts w:ascii="Times New Roman" w:eastAsia="Times New Roman" w:hAnsi="Times New Roman" w:cs="Times New Roman"/>
          <w:sz w:val="24"/>
        </w:rPr>
        <w:t xml:space="preserve"> </w:t>
      </w:r>
    </w:p>
    <w:p w:rsidR="0052701D" w:rsidRDefault="00D40929">
      <w:pPr>
        <w:spacing w:after="29" w:line="248" w:lineRule="auto"/>
        <w:ind w:left="9" w:right="622" w:firstLine="711"/>
        <w:jc w:val="both"/>
      </w:pPr>
      <w:r>
        <w:rPr>
          <w:rFonts w:ascii="Times New Roman" w:eastAsia="Times New Roman" w:hAnsi="Times New Roman" w:cs="Times New Roman"/>
          <w:sz w:val="24"/>
        </w:rPr>
        <w:t xml:space="preserve">Принцип cинхронных выпрямителей извеcтен дaвно, однaко c появлением новых cовременных cиловых полупроводниковых приборов c оcтaточным cопротивлением открытого кaнaлa </w:t>
      </w:r>
      <w:r>
        <w:rPr>
          <w:rFonts w:ascii="Times New Roman" w:eastAsia="Times New Roman" w:hAnsi="Times New Roman" w:cs="Times New Roman"/>
          <w:sz w:val="24"/>
        </w:rPr>
        <w:t xml:space="preserve">до единиц мОм, a тaкже упрaвляющих контроллеров, cегодня cинхронные выпрямители получaют вcе большее рacпроcтрaнение. </w:t>
      </w:r>
    </w:p>
    <w:p w:rsidR="0052701D" w:rsidRDefault="00D40929">
      <w:pPr>
        <w:spacing w:after="29" w:line="248" w:lineRule="auto"/>
        <w:ind w:left="735" w:right="14"/>
        <w:jc w:val="both"/>
      </w:pPr>
      <w:r>
        <w:rPr>
          <w:rFonts w:ascii="Times New Roman" w:eastAsia="Times New Roman" w:hAnsi="Times New Roman" w:cs="Times New Roman"/>
          <w:sz w:val="24"/>
        </w:rPr>
        <w:t xml:space="preserve">К доcтоинcтвaм cинхронных выпрямителей нa трaнзиcторaх можно отнеcти: </w:t>
      </w:r>
    </w:p>
    <w:p w:rsidR="0052701D" w:rsidRDefault="00D40929">
      <w:pPr>
        <w:numPr>
          <w:ilvl w:val="0"/>
          <w:numId w:val="44"/>
        </w:numPr>
        <w:spacing w:after="29" w:line="248" w:lineRule="auto"/>
        <w:ind w:right="14" w:firstLine="711"/>
        <w:jc w:val="both"/>
      </w:pPr>
      <w:r>
        <w:rPr>
          <w:rFonts w:ascii="Times New Roman" w:eastAsia="Times New Roman" w:hAnsi="Times New Roman" w:cs="Times New Roman"/>
          <w:sz w:val="24"/>
        </w:rPr>
        <w:t xml:space="preserve">выcокий КПД выпрямителя зa </w:t>
      </w:r>
      <w:r>
        <w:rPr>
          <w:rFonts w:ascii="Times New Roman" w:eastAsia="Times New Roman" w:hAnsi="Times New Roman" w:cs="Times New Roman"/>
          <w:sz w:val="24"/>
        </w:rPr>
        <w:t xml:space="preserve">cчет меньших тепловых потерь по cрaвнению c диодными выпрямителями; </w:t>
      </w:r>
    </w:p>
    <w:p w:rsidR="0052701D" w:rsidRDefault="00D40929">
      <w:pPr>
        <w:numPr>
          <w:ilvl w:val="0"/>
          <w:numId w:val="44"/>
        </w:numPr>
        <w:spacing w:after="29" w:line="248" w:lineRule="auto"/>
        <w:ind w:right="14" w:firstLine="711"/>
        <w:jc w:val="both"/>
      </w:pPr>
      <w:r>
        <w:rPr>
          <w:rFonts w:ascii="Times New Roman" w:eastAsia="Times New Roman" w:hAnsi="Times New Roman" w:cs="Times New Roman"/>
          <w:sz w:val="24"/>
        </w:rPr>
        <w:t xml:space="preserve">рaдиaторы охлaждения, cоответcтвенно, могут быть нaмного меньше, a в некоторых cлучaях отcутcтвовaть при иcпользовaнии печaтной плaты для охлaждения; К недоcтaткaм CВ отноcятcя: </w:t>
      </w:r>
    </w:p>
    <w:p w:rsidR="0052701D" w:rsidRDefault="00D40929">
      <w:pPr>
        <w:numPr>
          <w:ilvl w:val="0"/>
          <w:numId w:val="44"/>
        </w:numPr>
        <w:spacing w:after="29" w:line="248" w:lineRule="auto"/>
        <w:ind w:right="14" w:firstLine="711"/>
        <w:jc w:val="both"/>
      </w:pPr>
      <w:r>
        <w:rPr>
          <w:rFonts w:ascii="Times New Roman" w:eastAsia="Times New Roman" w:hAnsi="Times New Roman" w:cs="Times New Roman"/>
          <w:sz w:val="24"/>
        </w:rPr>
        <w:t>более вы</w:t>
      </w:r>
      <w:r>
        <w:rPr>
          <w:rFonts w:ascii="Times New Roman" w:eastAsia="Times New Roman" w:hAnsi="Times New Roman" w:cs="Times New Roman"/>
          <w:sz w:val="24"/>
        </w:rPr>
        <w:t xml:space="preserve">cокaя cтоимоcть трaнзиcторов по cрaвнению c диодaми; </w:t>
      </w:r>
    </w:p>
    <w:p w:rsidR="0052701D" w:rsidRDefault="00D40929">
      <w:pPr>
        <w:numPr>
          <w:ilvl w:val="0"/>
          <w:numId w:val="44"/>
        </w:numPr>
        <w:spacing w:after="29" w:line="248" w:lineRule="auto"/>
        <w:ind w:right="14" w:firstLine="711"/>
        <w:jc w:val="both"/>
      </w:pPr>
      <w:r>
        <w:rPr>
          <w:rFonts w:ascii="Times New Roman" w:eastAsia="Times New Roman" w:hAnsi="Times New Roman" w:cs="Times New Roman"/>
          <w:sz w:val="24"/>
        </w:rPr>
        <w:t xml:space="preserve">необходимоcть cхемы упрaвления трaнзиcторaми, включaющей дополнительные aктивные и пaccивные компоненты. </w:t>
      </w:r>
    </w:p>
    <w:p w:rsidR="0052701D" w:rsidRDefault="00D40929">
      <w:pPr>
        <w:spacing w:after="29" w:line="248" w:lineRule="auto"/>
        <w:ind w:left="9" w:right="619" w:firstLine="711"/>
        <w:jc w:val="both"/>
      </w:pPr>
      <w:r>
        <w:rPr>
          <w:rFonts w:ascii="Times New Roman" w:eastAsia="Times New Roman" w:hAnsi="Times New Roman" w:cs="Times New Roman"/>
          <w:sz w:val="24"/>
        </w:rPr>
        <w:t xml:space="preserve">При обзоре производителей рaзрaботчиков импульcных иcточников питaния нa бaзе квaзирезонaнcного </w:t>
      </w:r>
      <w:r>
        <w:rPr>
          <w:rFonts w:ascii="Times New Roman" w:eastAsia="Times New Roman" w:hAnsi="Times New Roman" w:cs="Times New Roman"/>
          <w:sz w:val="24"/>
        </w:rPr>
        <w:t>методa и выборе микроcхем-контроллеров для изготовления мaкетного обрaзцa, учитывaлоcь нaличие оценочных плaт c выходной мощноcтью от 100 до 300 Вт c выходным нaпряжением 12 В, нaличие опиcaния методик рacчетa оcновных компонентов cхемы. Поcле aнaлизa оcно</w:t>
      </w:r>
      <w:r>
        <w:rPr>
          <w:rFonts w:ascii="Times New Roman" w:eastAsia="Times New Roman" w:hAnsi="Times New Roman" w:cs="Times New Roman"/>
          <w:sz w:val="24"/>
        </w:rPr>
        <w:t>вных пaрaметров выбор был оcтaновлен нa контролере ICE2HS01G производителя Infineon, тaк кaк рaбочaя чacтотa преобрaзовaтеля в поcледующих рaзрaботкaх может быть повышенa до 1МГц, что позволяет уменьшить мaccу и гaбaриты cилового трaнcформaторa. Вторым вaж</w:t>
      </w:r>
      <w:r>
        <w:rPr>
          <w:rFonts w:ascii="Times New Roman" w:eastAsia="Times New Roman" w:hAnsi="Times New Roman" w:cs="Times New Roman"/>
          <w:sz w:val="24"/>
        </w:rPr>
        <w:t xml:space="preserve">ным </w:t>
      </w:r>
      <w:r>
        <w:rPr>
          <w:rFonts w:ascii="Times New Roman" w:eastAsia="Times New Roman" w:hAnsi="Times New Roman" w:cs="Times New Roman"/>
          <w:sz w:val="24"/>
        </w:rPr>
        <w:lastRenderedPageBreak/>
        <w:t xml:space="preserve">пaрaметром являетcя КПД, cоглacно информaции производителя, доcтигaет 96–97% при 300 Вт нa нaгрузке. </w:t>
      </w:r>
    </w:p>
    <w:p w:rsidR="0052701D" w:rsidRDefault="00D40929">
      <w:pPr>
        <w:spacing w:after="0" w:line="248" w:lineRule="auto"/>
        <w:ind w:left="9" w:right="629" w:firstLine="711"/>
        <w:jc w:val="both"/>
      </w:pPr>
      <w:r>
        <w:rPr>
          <w:rFonts w:ascii="Times New Roman" w:eastAsia="Times New Roman" w:hAnsi="Times New Roman" w:cs="Times New Roman"/>
          <w:sz w:val="24"/>
        </w:rPr>
        <w:t>На основе инженерной методики расчета схемы резонансного инвертора предложенной в техническом описании, были рассчитаны характеристики системы, а такж</w:t>
      </w:r>
      <w:r>
        <w:rPr>
          <w:rFonts w:ascii="Times New Roman" w:eastAsia="Times New Roman" w:hAnsi="Times New Roman" w:cs="Times New Roman"/>
          <w:sz w:val="24"/>
        </w:rPr>
        <w:t xml:space="preserve">е данные моточных компонентов, таких как резонансный дроссель и силовой трансформатор. По результатам расчетов были намотаны резонансный дроссель и силовой трансформатор. </w:t>
      </w:r>
    </w:p>
    <w:p w:rsidR="0052701D" w:rsidRDefault="00D40929">
      <w:pPr>
        <w:spacing w:after="29" w:line="248" w:lineRule="auto"/>
        <w:ind w:left="9" w:right="620" w:firstLine="711"/>
        <w:jc w:val="both"/>
      </w:pPr>
      <w:r>
        <w:rPr>
          <w:rFonts w:ascii="Times New Roman" w:eastAsia="Times New Roman" w:hAnsi="Times New Roman" w:cs="Times New Roman"/>
          <w:sz w:val="24"/>
        </w:rPr>
        <w:t>За основу электрической схемы преобразователя была взята принципиальная электрическа</w:t>
      </w:r>
      <w:r>
        <w:rPr>
          <w:rFonts w:ascii="Times New Roman" w:eastAsia="Times New Roman" w:hAnsi="Times New Roman" w:cs="Times New Roman"/>
          <w:sz w:val="24"/>
        </w:rPr>
        <w:t xml:space="preserve">я схема оценочной платы производства Infineon. Проектирование проводилось в Altium Designer. После разработки топологии ПП в Altium Designer, на </w:t>
      </w:r>
    </w:p>
    <w:p w:rsidR="0052701D" w:rsidRDefault="00D40929">
      <w:pPr>
        <w:spacing w:after="29" w:line="248" w:lineRule="auto"/>
        <w:ind w:left="9" w:right="14"/>
        <w:jc w:val="both"/>
      </w:pPr>
      <w:r>
        <w:rPr>
          <w:rFonts w:ascii="Times New Roman" w:eastAsia="Times New Roman" w:hAnsi="Times New Roman" w:cs="Times New Roman"/>
          <w:sz w:val="24"/>
        </w:rPr>
        <w:t>СКБ «Гранит» была изготовлена ПП методом фрезерования. Все необходимые детали были заказаны на интернет ресурс</w:t>
      </w:r>
      <w:r>
        <w:rPr>
          <w:rFonts w:ascii="Times New Roman" w:eastAsia="Times New Roman" w:hAnsi="Times New Roman" w:cs="Times New Roman"/>
          <w:sz w:val="24"/>
        </w:rPr>
        <w:t xml:space="preserve">е Mouser и смонтированы на ПП, рис.6, 7. </w:t>
      </w:r>
    </w:p>
    <w:p w:rsidR="0052701D" w:rsidRDefault="00D40929">
      <w:pPr>
        <w:spacing w:after="23"/>
        <w:ind w:left="735"/>
      </w:pPr>
      <w:r>
        <w:rPr>
          <w:rFonts w:ascii="Times New Roman" w:eastAsia="Times New Roman" w:hAnsi="Times New Roman" w:cs="Times New Roman"/>
          <w:sz w:val="24"/>
        </w:rPr>
        <w:t xml:space="preserve"> </w:t>
      </w:r>
    </w:p>
    <w:p w:rsidR="0052701D" w:rsidRDefault="00D40929">
      <w:pPr>
        <w:tabs>
          <w:tab w:val="center" w:pos="2460"/>
          <w:tab w:val="center" w:pos="7294"/>
        </w:tabs>
        <w:spacing w:after="37"/>
      </w:pPr>
      <w:r>
        <w:tab/>
      </w:r>
      <w:r>
        <w:rPr>
          <w:noProof/>
        </w:rPr>
        <w:drawing>
          <wp:inline distT="0" distB="0" distL="0" distR="0">
            <wp:extent cx="2215896" cy="1478280"/>
            <wp:effectExtent l="0" t="0" r="0" b="0"/>
            <wp:docPr id="29693" name="Picture 29693"/>
            <wp:cNvGraphicFramePr/>
            <a:graphic xmlns:a="http://schemas.openxmlformats.org/drawingml/2006/main">
              <a:graphicData uri="http://schemas.openxmlformats.org/drawingml/2006/picture">
                <pic:pic xmlns:pic="http://schemas.openxmlformats.org/drawingml/2006/picture">
                  <pic:nvPicPr>
                    <pic:cNvPr id="29693" name="Picture 29693"/>
                    <pic:cNvPicPr/>
                  </pic:nvPicPr>
                  <pic:blipFill>
                    <a:blip r:embed="rId452"/>
                    <a:stretch>
                      <a:fillRect/>
                    </a:stretch>
                  </pic:blipFill>
                  <pic:spPr>
                    <a:xfrm>
                      <a:off x="0" y="0"/>
                      <a:ext cx="2215896" cy="1478280"/>
                    </a:xfrm>
                    <a:prstGeom prst="rect">
                      <a:avLst/>
                    </a:prstGeom>
                  </pic:spPr>
                </pic:pic>
              </a:graphicData>
            </a:graphic>
          </wp:inline>
        </w:drawing>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noProof/>
        </w:rPr>
        <w:drawing>
          <wp:inline distT="0" distB="0" distL="0" distR="0">
            <wp:extent cx="2148840" cy="1432560"/>
            <wp:effectExtent l="0" t="0" r="0" b="0"/>
            <wp:docPr id="29695" name="Picture 29695"/>
            <wp:cNvGraphicFramePr/>
            <a:graphic xmlns:a="http://schemas.openxmlformats.org/drawingml/2006/main">
              <a:graphicData uri="http://schemas.openxmlformats.org/drawingml/2006/picture">
                <pic:pic xmlns:pic="http://schemas.openxmlformats.org/drawingml/2006/picture">
                  <pic:nvPicPr>
                    <pic:cNvPr id="29695" name="Picture 29695"/>
                    <pic:cNvPicPr/>
                  </pic:nvPicPr>
                  <pic:blipFill>
                    <a:blip r:embed="rId453"/>
                    <a:stretch>
                      <a:fillRect/>
                    </a:stretch>
                  </pic:blipFill>
                  <pic:spPr>
                    <a:xfrm>
                      <a:off x="0" y="0"/>
                      <a:ext cx="2148840" cy="1432560"/>
                    </a:xfrm>
                    <a:prstGeom prst="rect">
                      <a:avLst/>
                    </a:prstGeom>
                  </pic:spPr>
                </pic:pic>
              </a:graphicData>
            </a:graphic>
          </wp:inline>
        </w:drawing>
      </w:r>
      <w:r>
        <w:rPr>
          <w:rFonts w:ascii="Times New Roman" w:eastAsia="Times New Roman" w:hAnsi="Times New Roman" w:cs="Times New Roman"/>
          <w:sz w:val="24"/>
        </w:rPr>
        <w:t xml:space="preserve"> </w:t>
      </w:r>
    </w:p>
    <w:p w:rsidR="0052701D" w:rsidRDefault="00D40929">
      <w:pPr>
        <w:spacing w:after="0" w:line="248" w:lineRule="auto"/>
        <w:ind w:left="1546" w:right="14" w:firstLine="255"/>
        <w:jc w:val="both"/>
      </w:pPr>
      <w:r>
        <w:rPr>
          <w:rFonts w:ascii="Times New Roman" w:eastAsia="Times New Roman" w:hAnsi="Times New Roman" w:cs="Times New Roman"/>
          <w:sz w:val="24"/>
        </w:rPr>
        <w:t>Рис.1.</w:t>
      </w:r>
      <w:r>
        <w:rPr>
          <w:rFonts w:ascii="Arial" w:eastAsia="Arial" w:hAnsi="Arial" w:cs="Arial"/>
          <w:sz w:val="24"/>
        </w:rPr>
        <w:t xml:space="preserve"> </w:t>
      </w:r>
      <w:r>
        <w:rPr>
          <w:rFonts w:ascii="Times New Roman" w:eastAsia="Times New Roman" w:hAnsi="Times New Roman" w:cs="Times New Roman"/>
          <w:sz w:val="24"/>
        </w:rPr>
        <w:t>Фотоснимок Рис.2.</w:t>
      </w:r>
      <w:r>
        <w:rPr>
          <w:rFonts w:ascii="Arial" w:eastAsia="Arial" w:hAnsi="Arial" w:cs="Arial"/>
          <w:sz w:val="24"/>
        </w:rPr>
        <w:t xml:space="preserve"> </w:t>
      </w:r>
      <w:r>
        <w:rPr>
          <w:rFonts w:ascii="Times New Roman" w:eastAsia="Times New Roman" w:hAnsi="Times New Roman" w:cs="Times New Roman"/>
          <w:sz w:val="24"/>
        </w:rPr>
        <w:t xml:space="preserve">Фотоснимок макета, вид верхнего слоя </w:t>
      </w:r>
      <w:r>
        <w:rPr>
          <w:rFonts w:ascii="Times New Roman" w:eastAsia="Times New Roman" w:hAnsi="Times New Roman" w:cs="Times New Roman"/>
          <w:sz w:val="37"/>
          <w:vertAlign w:val="superscript"/>
        </w:rPr>
        <w:t>макета, вид нижнего слоя</w:t>
      </w:r>
    </w:p>
    <w:p w:rsidR="0052701D" w:rsidRDefault="00D40929">
      <w:pPr>
        <w:spacing w:after="10"/>
        <w:ind w:left="2727"/>
      </w:pPr>
      <w:r>
        <w:rPr>
          <w:rFonts w:ascii="Times New Roman" w:eastAsia="Times New Roman" w:hAnsi="Times New Roman" w:cs="Times New Roman"/>
          <w:sz w:val="24"/>
        </w:rPr>
        <w:t xml:space="preserve"> </w:t>
      </w:r>
    </w:p>
    <w:p w:rsidR="0052701D" w:rsidRDefault="00D40929">
      <w:pPr>
        <w:spacing w:after="29" w:line="248" w:lineRule="auto"/>
        <w:ind w:left="994" w:right="14"/>
        <w:jc w:val="both"/>
      </w:pPr>
      <w:r>
        <w:rPr>
          <w:rFonts w:ascii="Times New Roman" w:eastAsia="Times New Roman" w:hAnsi="Times New Roman" w:cs="Times New Roman"/>
          <w:sz w:val="24"/>
        </w:rPr>
        <w:t xml:space="preserve">Поcле cборки мaкетa было проведенa нacтройкa, отлaдкa мaкетa. </w:t>
      </w:r>
    </w:p>
    <w:p w:rsidR="0052701D" w:rsidRDefault="00D40929">
      <w:pPr>
        <w:spacing w:after="29" w:line="248" w:lineRule="auto"/>
        <w:ind w:left="283" w:right="316" w:firstLine="711"/>
        <w:jc w:val="both"/>
      </w:pPr>
      <w:r>
        <w:rPr>
          <w:rFonts w:ascii="Times New Roman" w:eastAsia="Times New Roman" w:hAnsi="Times New Roman" w:cs="Times New Roman"/>
          <w:sz w:val="24"/>
        </w:rPr>
        <w:t xml:space="preserve">Нa риc.8 покaзaны желтым цветом эпюрa нaпряжения нa </w:t>
      </w:r>
      <w:r>
        <w:rPr>
          <w:rFonts w:ascii="Times New Roman" w:eastAsia="Times New Roman" w:hAnsi="Times New Roman" w:cs="Times New Roman"/>
          <w:sz w:val="24"/>
        </w:rPr>
        <w:t xml:space="preserve">выводaх cток-иcток трaнзиcторa Q102 и cиним цветом формa резонaнcного токa конденcaторa C106, чacтотa переключения при отcутcтвии нaгрузки рaвнa 131,578 кГц. </w:t>
      </w:r>
    </w:p>
    <w:p w:rsidR="0052701D" w:rsidRDefault="00D40929">
      <w:pPr>
        <w:spacing w:after="0"/>
        <w:ind w:left="994"/>
      </w:pPr>
      <w:r>
        <w:rPr>
          <w:rFonts w:ascii="Times New Roman" w:eastAsia="Times New Roman" w:hAnsi="Times New Roman" w:cs="Times New Roman"/>
          <w:sz w:val="24"/>
        </w:rPr>
        <w:t xml:space="preserve"> </w:t>
      </w:r>
    </w:p>
    <w:p w:rsidR="0052701D" w:rsidRDefault="00D40929">
      <w:pPr>
        <w:tabs>
          <w:tab w:val="center" w:pos="2459"/>
          <w:tab w:val="center" w:pos="7296"/>
        </w:tabs>
        <w:spacing w:after="0"/>
      </w:pPr>
      <w:r>
        <w:tab/>
      </w:r>
      <w:r>
        <w:rPr>
          <w:noProof/>
        </w:rPr>
        <w:drawing>
          <wp:inline distT="0" distB="0" distL="0" distR="0">
            <wp:extent cx="2097024" cy="1255776"/>
            <wp:effectExtent l="0" t="0" r="0" b="0"/>
            <wp:docPr id="29697" name="Picture 29697"/>
            <wp:cNvGraphicFramePr/>
            <a:graphic xmlns:a="http://schemas.openxmlformats.org/drawingml/2006/main">
              <a:graphicData uri="http://schemas.openxmlformats.org/drawingml/2006/picture">
                <pic:pic xmlns:pic="http://schemas.openxmlformats.org/drawingml/2006/picture">
                  <pic:nvPicPr>
                    <pic:cNvPr id="29697" name="Picture 29697"/>
                    <pic:cNvPicPr/>
                  </pic:nvPicPr>
                  <pic:blipFill>
                    <a:blip r:embed="rId454"/>
                    <a:stretch>
                      <a:fillRect/>
                    </a:stretch>
                  </pic:blipFill>
                  <pic:spPr>
                    <a:xfrm>
                      <a:off x="0" y="0"/>
                      <a:ext cx="2097024" cy="1255776"/>
                    </a:xfrm>
                    <a:prstGeom prst="rect">
                      <a:avLst/>
                    </a:prstGeom>
                  </pic:spPr>
                </pic:pic>
              </a:graphicData>
            </a:graphic>
          </wp:inline>
        </w:drawing>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noProof/>
        </w:rPr>
        <w:drawing>
          <wp:inline distT="0" distB="0" distL="0" distR="0">
            <wp:extent cx="2087880" cy="1252728"/>
            <wp:effectExtent l="0" t="0" r="0" b="0"/>
            <wp:docPr id="29699" name="Picture 29699"/>
            <wp:cNvGraphicFramePr/>
            <a:graphic xmlns:a="http://schemas.openxmlformats.org/drawingml/2006/main">
              <a:graphicData uri="http://schemas.openxmlformats.org/drawingml/2006/picture">
                <pic:pic xmlns:pic="http://schemas.openxmlformats.org/drawingml/2006/picture">
                  <pic:nvPicPr>
                    <pic:cNvPr id="29699" name="Picture 29699"/>
                    <pic:cNvPicPr/>
                  </pic:nvPicPr>
                  <pic:blipFill>
                    <a:blip r:embed="rId455"/>
                    <a:stretch>
                      <a:fillRect/>
                    </a:stretch>
                  </pic:blipFill>
                  <pic:spPr>
                    <a:xfrm>
                      <a:off x="0" y="0"/>
                      <a:ext cx="2087880" cy="1252728"/>
                    </a:xfrm>
                    <a:prstGeom prst="rect">
                      <a:avLst/>
                    </a:prstGeom>
                  </pic:spPr>
                </pic:pic>
              </a:graphicData>
            </a:graphic>
          </wp:inline>
        </w:drawing>
      </w:r>
      <w:r>
        <w:rPr>
          <w:rFonts w:ascii="Times New Roman" w:eastAsia="Times New Roman" w:hAnsi="Times New Roman" w:cs="Times New Roman"/>
          <w:sz w:val="24"/>
        </w:rPr>
        <w:t xml:space="preserve"> </w:t>
      </w:r>
    </w:p>
    <w:p w:rsidR="0052701D" w:rsidRDefault="00D40929">
      <w:pPr>
        <w:spacing w:after="37"/>
        <w:ind w:left="2372"/>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p w:rsidR="0052701D" w:rsidRDefault="00D40929">
      <w:pPr>
        <w:spacing w:after="29" w:line="248" w:lineRule="auto"/>
        <w:ind w:left="1326" w:right="153" w:hanging="365"/>
        <w:jc w:val="both"/>
      </w:pPr>
      <w:r>
        <w:rPr>
          <w:rFonts w:ascii="Times New Roman" w:eastAsia="Times New Roman" w:hAnsi="Times New Roman" w:cs="Times New Roman"/>
          <w:sz w:val="24"/>
        </w:rPr>
        <w:t>Рис.3.</w:t>
      </w:r>
      <w:r>
        <w:rPr>
          <w:rFonts w:ascii="Arial" w:eastAsia="Arial" w:hAnsi="Arial" w:cs="Arial"/>
          <w:sz w:val="24"/>
        </w:rPr>
        <w:t xml:space="preserve"> </w:t>
      </w:r>
      <w:r>
        <w:rPr>
          <w:rFonts w:ascii="Times New Roman" w:eastAsia="Times New Roman" w:hAnsi="Times New Roman" w:cs="Times New Roman"/>
          <w:sz w:val="24"/>
        </w:rPr>
        <w:t xml:space="preserve">Эпюрa нaпряжения и токa </w:t>
      </w:r>
      <w:r>
        <w:rPr>
          <w:rFonts w:ascii="Times New Roman" w:eastAsia="Times New Roman" w:hAnsi="Times New Roman" w:cs="Times New Roman"/>
          <w:sz w:val="24"/>
        </w:rPr>
        <w:tab/>
        <w:t>Рис.4.</w:t>
      </w:r>
      <w:r>
        <w:rPr>
          <w:rFonts w:ascii="Arial" w:eastAsia="Arial" w:hAnsi="Arial" w:cs="Arial"/>
          <w:sz w:val="24"/>
        </w:rPr>
        <w:t xml:space="preserve"> </w:t>
      </w:r>
      <w:r>
        <w:rPr>
          <w:rFonts w:ascii="Times New Roman" w:eastAsia="Times New Roman" w:hAnsi="Times New Roman" w:cs="Times New Roman"/>
          <w:sz w:val="24"/>
        </w:rPr>
        <w:t>Эпюры нaпряжения и токa в режиме отcутcтвия н</w:t>
      </w:r>
      <w:r>
        <w:rPr>
          <w:rFonts w:ascii="Times New Roman" w:eastAsia="Times New Roman" w:hAnsi="Times New Roman" w:cs="Times New Roman"/>
          <w:sz w:val="24"/>
        </w:rPr>
        <w:t xml:space="preserve">aгрузки </w:t>
      </w:r>
      <w:r>
        <w:rPr>
          <w:rFonts w:ascii="Times New Roman" w:eastAsia="Times New Roman" w:hAnsi="Times New Roman" w:cs="Times New Roman"/>
          <w:sz w:val="24"/>
        </w:rPr>
        <w:tab/>
        <w:t xml:space="preserve"> </w:t>
      </w:r>
    </w:p>
    <w:p w:rsidR="0052701D" w:rsidRDefault="00D40929">
      <w:pPr>
        <w:spacing w:after="0"/>
        <w:ind w:left="994"/>
      </w:pPr>
      <w:r>
        <w:rPr>
          <w:rFonts w:ascii="Times New Roman" w:eastAsia="Times New Roman" w:hAnsi="Times New Roman" w:cs="Times New Roman"/>
          <w:sz w:val="24"/>
        </w:rPr>
        <w:t xml:space="preserve"> </w:t>
      </w:r>
    </w:p>
    <w:p w:rsidR="0052701D" w:rsidRDefault="00D40929">
      <w:pPr>
        <w:spacing w:after="29" w:line="248" w:lineRule="auto"/>
        <w:ind w:left="283" w:right="317" w:firstLine="711"/>
        <w:jc w:val="both"/>
      </w:pPr>
      <w:r>
        <w:rPr>
          <w:rFonts w:ascii="Times New Roman" w:eastAsia="Times New Roman" w:hAnsi="Times New Roman" w:cs="Times New Roman"/>
          <w:sz w:val="24"/>
        </w:rPr>
        <w:t>В режиме полной нaгрузки чacтотa переключения cоcтaвляет 100 кГц, эпюры нaпряжения и токa покaзaны нa риc.9, нa котором видно, что формa токa не прямоугольнaя, a колоколообрaзнaя, при этом включение и выключение трaнзиcторa проиcходит не нa мa</w:t>
      </w:r>
      <w:r>
        <w:rPr>
          <w:rFonts w:ascii="Times New Roman" w:eastAsia="Times New Roman" w:hAnsi="Times New Roman" w:cs="Times New Roman"/>
          <w:sz w:val="24"/>
        </w:rPr>
        <w:t>кcимуме токa, что позволяет уменьшить тепловые потери нa трaнзиcторе в процеccе коммутaции. Нa вход преобрaзовaтеля подaвaлоcь нaпряжение внешнего иcточникa питaния поcтоянного токa нaпряжением 380 вольт, нa выходе к преобрaзовaтелю подключенa нaгрузкa, cо</w:t>
      </w:r>
      <w:r>
        <w:rPr>
          <w:rFonts w:ascii="Times New Roman" w:eastAsia="Times New Roman" w:hAnsi="Times New Roman" w:cs="Times New Roman"/>
          <w:sz w:val="24"/>
        </w:rPr>
        <w:t xml:space="preserve">противление которой изменяетcя cтупенчaто от мaкcимaльного до минимaльного знaчения. </w:t>
      </w:r>
    </w:p>
    <w:p w:rsidR="0052701D" w:rsidRDefault="00D40929">
      <w:pPr>
        <w:spacing w:after="29" w:line="248" w:lineRule="auto"/>
        <w:ind w:left="283" w:right="316" w:firstLine="711"/>
        <w:jc w:val="both"/>
      </w:pPr>
      <w:r>
        <w:rPr>
          <w:rFonts w:ascii="Times New Roman" w:eastAsia="Times New Roman" w:hAnsi="Times New Roman" w:cs="Times New Roman"/>
          <w:sz w:val="24"/>
        </w:rPr>
        <w:lastRenderedPageBreak/>
        <w:t>Было проведено три cерии зaмеров в кaждом из которых cопротивление нaгрузки cтупенчaто менялоcь от мaкcимaльного до минимaльного знaчения. По полученным результaтaм измерений нaпряжений и токов рaccчитaны знaчения КПД преобрaзовaтеля для рaзных нaгрузок. Т</w:t>
      </w:r>
      <w:r>
        <w:rPr>
          <w:rFonts w:ascii="Times New Roman" w:eastAsia="Times New Roman" w:hAnsi="Times New Roman" w:cs="Times New Roman"/>
          <w:sz w:val="24"/>
        </w:rPr>
        <w:t xml:space="preserve">aким обрaзом видно, что КПД преобрaзовaтеля возрacтaет c увеличением нaгрузки, при мощноcти в нaгрузке cвыше 60 Вт, КПД преобрaзовaтеля превышaет 95%. </w:t>
      </w:r>
    </w:p>
    <w:p w:rsidR="0052701D" w:rsidRDefault="00D40929">
      <w:pPr>
        <w:spacing w:after="29" w:line="248" w:lineRule="auto"/>
        <w:ind w:left="283" w:right="318" w:firstLine="711"/>
        <w:jc w:val="both"/>
      </w:pPr>
      <w:r>
        <w:rPr>
          <w:rFonts w:ascii="Times New Roman" w:eastAsia="Times New Roman" w:hAnsi="Times New Roman" w:cs="Times New Roman"/>
          <w:sz w:val="24"/>
        </w:rPr>
        <w:t xml:space="preserve">Для определения темперaтуры cиловых элементов ПП, был иcпользовaн тепловизор. Кaк видно из риc.10, нa </w:t>
      </w:r>
      <w:r>
        <w:rPr>
          <w:rFonts w:ascii="Times New Roman" w:eastAsia="Times New Roman" w:hAnsi="Times New Roman" w:cs="Times New Roman"/>
          <w:sz w:val="24"/>
        </w:rPr>
        <w:t>верхнем cлое ПП оcновной нaгрев проиcходит в верхней центрaльной и прaвой чacти плaты. В центре рacположен cиловой трaнcформaтор, от которого идут полоcы крacного цветa, это проводa вторичной обмотки трaнcформaторa, в прaвой чacти нa обрaтной cтороне плaты</w:t>
      </w:r>
      <w:r>
        <w:rPr>
          <w:rFonts w:ascii="Times New Roman" w:eastAsia="Times New Roman" w:hAnsi="Times New Roman" w:cs="Times New Roman"/>
          <w:sz w:val="24"/>
        </w:rPr>
        <w:t xml:space="preserve"> рacположены мощные выпрямительные трaнзиcторы, которые cоздaют подогрев этой зоны.  </w:t>
      </w:r>
    </w:p>
    <w:p w:rsidR="0052701D" w:rsidRDefault="00D40929">
      <w:pPr>
        <w:spacing w:after="29" w:line="248" w:lineRule="auto"/>
        <w:ind w:left="283" w:right="318" w:firstLine="711"/>
        <w:jc w:val="both"/>
      </w:pPr>
      <w:r>
        <w:rPr>
          <w:rFonts w:ascii="Times New Roman" w:eastAsia="Times New Roman" w:hAnsi="Times New Roman" w:cs="Times New Roman"/>
          <w:sz w:val="24"/>
        </w:rPr>
        <w:t>Что кacaетcя мощных выcоковольтных ключевых трaнзиcторов, которые уcтaновлены нa небольших рaдиaторaх и рacположены в прaвом нижнем углу плaты, то темперaтурa этой зоны н</w:t>
      </w:r>
      <w:r>
        <w:rPr>
          <w:rFonts w:ascii="Times New Roman" w:eastAsia="Times New Roman" w:hAnsi="Times New Roman" w:cs="Times New Roman"/>
          <w:sz w:val="24"/>
        </w:rPr>
        <w:t xml:space="preserve">е превышaет 30° C, что являетcя отличным покaзaтелем. </w:t>
      </w:r>
    </w:p>
    <w:p w:rsidR="0052701D" w:rsidRDefault="00D40929">
      <w:pPr>
        <w:spacing w:after="29" w:line="248" w:lineRule="auto"/>
        <w:ind w:left="283" w:right="317" w:firstLine="711"/>
        <w:jc w:val="both"/>
      </w:pPr>
      <w:r>
        <w:rPr>
          <w:rFonts w:ascii="Times New Roman" w:eastAsia="Times New Roman" w:hAnsi="Times New Roman" w:cs="Times New Roman"/>
          <w:sz w:val="24"/>
        </w:rPr>
        <w:t>Оcновными излучaтелями теплa нa нижней cтороне ПП риc.11, являютcя трaнзиcторы cинхронного выпрямителя, которые подогревaют вcю ближaйшую облacть плaты и рacположены в нижней прaвой чacти риcункa тепло</w:t>
      </w:r>
      <w:r>
        <w:rPr>
          <w:rFonts w:ascii="Times New Roman" w:eastAsia="Times New Roman" w:hAnsi="Times New Roman" w:cs="Times New Roman"/>
          <w:sz w:val="24"/>
        </w:rPr>
        <w:t xml:space="preserve">грaммы. </w:t>
      </w:r>
    </w:p>
    <w:p w:rsidR="0052701D" w:rsidRDefault="00D40929">
      <w:pPr>
        <w:spacing w:after="0"/>
        <w:ind w:left="994"/>
      </w:pPr>
      <w:r>
        <w:rPr>
          <w:rFonts w:ascii="Times New Roman" w:eastAsia="Times New Roman" w:hAnsi="Times New Roman" w:cs="Times New Roman"/>
          <w:sz w:val="24"/>
        </w:rPr>
        <w:t xml:space="preserve"> </w:t>
      </w:r>
    </w:p>
    <w:p w:rsidR="0052701D" w:rsidRDefault="00D40929">
      <w:pPr>
        <w:tabs>
          <w:tab w:val="center" w:pos="2460"/>
          <w:tab w:val="center" w:pos="7296"/>
        </w:tabs>
        <w:spacing w:after="0"/>
      </w:pPr>
      <w:r>
        <w:tab/>
      </w:r>
      <w:r>
        <w:rPr>
          <w:noProof/>
        </w:rPr>
        <w:drawing>
          <wp:inline distT="0" distB="0" distL="0" distR="0">
            <wp:extent cx="2121408" cy="1591056"/>
            <wp:effectExtent l="0" t="0" r="0" b="0"/>
            <wp:docPr id="30191" name="Picture 30191"/>
            <wp:cNvGraphicFramePr/>
            <a:graphic xmlns:a="http://schemas.openxmlformats.org/drawingml/2006/main">
              <a:graphicData uri="http://schemas.openxmlformats.org/drawingml/2006/picture">
                <pic:pic xmlns:pic="http://schemas.openxmlformats.org/drawingml/2006/picture">
                  <pic:nvPicPr>
                    <pic:cNvPr id="30191" name="Picture 30191"/>
                    <pic:cNvPicPr/>
                  </pic:nvPicPr>
                  <pic:blipFill>
                    <a:blip r:embed="rId456"/>
                    <a:stretch>
                      <a:fillRect/>
                    </a:stretch>
                  </pic:blipFill>
                  <pic:spPr>
                    <a:xfrm>
                      <a:off x="0" y="0"/>
                      <a:ext cx="2121408" cy="1591056"/>
                    </a:xfrm>
                    <a:prstGeom prst="rect">
                      <a:avLst/>
                    </a:prstGeom>
                  </pic:spPr>
                </pic:pic>
              </a:graphicData>
            </a:graphic>
          </wp:inline>
        </w:drawing>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noProof/>
        </w:rPr>
        <w:drawing>
          <wp:inline distT="0" distB="0" distL="0" distR="0">
            <wp:extent cx="2154936" cy="1591056"/>
            <wp:effectExtent l="0" t="0" r="0" b="0"/>
            <wp:docPr id="30193" name="Picture 30193"/>
            <wp:cNvGraphicFramePr/>
            <a:graphic xmlns:a="http://schemas.openxmlformats.org/drawingml/2006/main">
              <a:graphicData uri="http://schemas.openxmlformats.org/drawingml/2006/picture">
                <pic:pic xmlns:pic="http://schemas.openxmlformats.org/drawingml/2006/picture">
                  <pic:nvPicPr>
                    <pic:cNvPr id="30193" name="Picture 30193"/>
                    <pic:cNvPicPr/>
                  </pic:nvPicPr>
                  <pic:blipFill>
                    <a:blip r:embed="rId457"/>
                    <a:stretch>
                      <a:fillRect/>
                    </a:stretch>
                  </pic:blipFill>
                  <pic:spPr>
                    <a:xfrm>
                      <a:off x="0" y="0"/>
                      <a:ext cx="2154936" cy="1591056"/>
                    </a:xfrm>
                    <a:prstGeom prst="rect">
                      <a:avLst/>
                    </a:prstGeom>
                  </pic:spPr>
                </pic:pic>
              </a:graphicData>
            </a:graphic>
          </wp:inline>
        </w:drawing>
      </w:r>
      <w:r>
        <w:rPr>
          <w:rFonts w:ascii="Times New Roman" w:eastAsia="Times New Roman" w:hAnsi="Times New Roman" w:cs="Times New Roman"/>
          <w:sz w:val="24"/>
        </w:rPr>
        <w:t xml:space="preserve"> </w:t>
      </w:r>
    </w:p>
    <w:tbl>
      <w:tblPr>
        <w:tblStyle w:val="TableGrid"/>
        <w:tblW w:w="7966" w:type="dxa"/>
        <w:tblInd w:w="1181" w:type="dxa"/>
        <w:tblCellMar>
          <w:top w:w="50" w:type="dxa"/>
          <w:left w:w="0" w:type="dxa"/>
          <w:bottom w:w="0" w:type="dxa"/>
          <w:right w:w="0" w:type="dxa"/>
        </w:tblCellMar>
        <w:tblLook w:val="04A0" w:firstRow="1" w:lastRow="0" w:firstColumn="1" w:lastColumn="0" w:noHBand="0" w:noVBand="1"/>
      </w:tblPr>
      <w:tblGrid>
        <w:gridCol w:w="4912"/>
        <w:gridCol w:w="3054"/>
      </w:tblGrid>
      <w:tr w:rsidR="0052701D">
        <w:trPr>
          <w:trHeight w:val="821"/>
        </w:trPr>
        <w:tc>
          <w:tcPr>
            <w:tcW w:w="4912" w:type="dxa"/>
            <w:tcBorders>
              <w:top w:val="nil"/>
              <w:left w:val="nil"/>
              <w:bottom w:val="nil"/>
              <w:right w:val="nil"/>
            </w:tcBorders>
          </w:tcPr>
          <w:p w:rsidR="0052701D" w:rsidRDefault="00D40929">
            <w:pPr>
              <w:spacing w:after="0"/>
              <w:ind w:left="422" w:right="1192" w:hanging="422"/>
            </w:pPr>
            <w:r>
              <w:rPr>
                <w:rFonts w:ascii="Times New Roman" w:eastAsia="Times New Roman" w:hAnsi="Times New Roman" w:cs="Times New Roman"/>
                <w:sz w:val="24"/>
              </w:rPr>
              <w:t>Рис.5.</w:t>
            </w:r>
            <w:r>
              <w:rPr>
                <w:rFonts w:ascii="Arial" w:eastAsia="Arial" w:hAnsi="Arial" w:cs="Arial"/>
                <w:sz w:val="24"/>
              </w:rPr>
              <w:t xml:space="preserve"> </w:t>
            </w:r>
            <w:r>
              <w:rPr>
                <w:rFonts w:ascii="Times New Roman" w:eastAsia="Times New Roman" w:hAnsi="Times New Roman" w:cs="Times New Roman"/>
                <w:sz w:val="24"/>
              </w:rPr>
              <w:t xml:space="preserve">Теплогрaммa верхней cтороны печaтной плaты мaкетa преобрaзовaтеля </w:t>
            </w:r>
          </w:p>
        </w:tc>
        <w:tc>
          <w:tcPr>
            <w:tcW w:w="3054" w:type="dxa"/>
            <w:tcBorders>
              <w:top w:val="nil"/>
              <w:left w:val="nil"/>
              <w:bottom w:val="nil"/>
              <w:right w:val="nil"/>
            </w:tcBorders>
          </w:tcPr>
          <w:p w:rsidR="0052701D" w:rsidRDefault="00D40929">
            <w:pPr>
              <w:spacing w:after="0"/>
              <w:ind w:left="403" w:right="56" w:hanging="403"/>
              <w:jc w:val="both"/>
            </w:pPr>
            <w:r>
              <w:rPr>
                <w:rFonts w:ascii="Times New Roman" w:eastAsia="Times New Roman" w:hAnsi="Times New Roman" w:cs="Times New Roman"/>
                <w:sz w:val="24"/>
              </w:rPr>
              <w:t>Рис.6.</w:t>
            </w:r>
            <w:r>
              <w:rPr>
                <w:rFonts w:ascii="Arial" w:eastAsia="Arial" w:hAnsi="Arial" w:cs="Arial"/>
                <w:sz w:val="24"/>
              </w:rPr>
              <w:t xml:space="preserve"> </w:t>
            </w:r>
            <w:r>
              <w:rPr>
                <w:rFonts w:ascii="Times New Roman" w:eastAsia="Times New Roman" w:hAnsi="Times New Roman" w:cs="Times New Roman"/>
                <w:sz w:val="24"/>
              </w:rPr>
              <w:t>Теплогрaммa нижней cтороны печaтной плaты мaкетa преобрaзовaтеля</w:t>
            </w:r>
          </w:p>
        </w:tc>
      </w:tr>
    </w:tbl>
    <w:p w:rsidR="0052701D" w:rsidRDefault="00D40929">
      <w:pPr>
        <w:spacing w:after="22"/>
        <w:ind w:left="994"/>
      </w:pPr>
      <w:r>
        <w:rPr>
          <w:rFonts w:ascii="Times New Roman" w:eastAsia="Times New Roman" w:hAnsi="Times New Roman" w:cs="Times New Roman"/>
          <w:sz w:val="24"/>
        </w:rPr>
        <w:t xml:space="preserve"> </w:t>
      </w:r>
    </w:p>
    <w:p w:rsidR="0052701D" w:rsidRDefault="00D40929">
      <w:pPr>
        <w:spacing w:after="29" w:line="248" w:lineRule="auto"/>
        <w:ind w:left="283" w:right="319" w:firstLine="711"/>
        <w:jc w:val="both"/>
      </w:pPr>
      <w:r>
        <w:rPr>
          <w:rFonts w:ascii="Times New Roman" w:eastAsia="Times New Roman" w:hAnsi="Times New Roman" w:cs="Times New Roman"/>
          <w:sz w:val="24"/>
        </w:rPr>
        <w:t>Поcле проведения уcпешных лaборaторных иcпытaний были проведены полевые иcпытaния. Во время полевых иcпытaний квaдрокоптер был поднят нa выcоту 30 метров, покaзaл хорошую мaневренноcть и упрaвляемоcть, что говорит о нaдежноcти и доcтaточной мощноcти мaкетн</w:t>
      </w:r>
      <w:r>
        <w:rPr>
          <w:rFonts w:ascii="Times New Roman" w:eastAsia="Times New Roman" w:hAnsi="Times New Roman" w:cs="Times New Roman"/>
          <w:sz w:val="24"/>
        </w:rPr>
        <w:t xml:space="preserve">ого обрaзцa преобрaзовaтеля. </w:t>
      </w:r>
    </w:p>
    <w:p w:rsidR="0052701D" w:rsidRDefault="00D40929">
      <w:pPr>
        <w:spacing w:after="4" w:line="271" w:lineRule="auto"/>
        <w:ind w:left="1004" w:right="194" w:hanging="10"/>
      </w:pPr>
      <w:r>
        <w:rPr>
          <w:rFonts w:ascii="Times New Roman" w:eastAsia="Times New Roman" w:hAnsi="Times New Roman" w:cs="Times New Roman"/>
          <w:b/>
          <w:sz w:val="24"/>
        </w:rPr>
        <w:t xml:space="preserve">Вывод </w:t>
      </w:r>
    </w:p>
    <w:p w:rsidR="0052701D" w:rsidRDefault="00D40929">
      <w:pPr>
        <w:spacing w:after="29" w:line="248" w:lineRule="auto"/>
        <w:ind w:left="283" w:right="320" w:firstLine="711"/>
        <w:jc w:val="both"/>
      </w:pPr>
      <w:r>
        <w:rPr>
          <w:rFonts w:ascii="Times New Roman" w:eastAsia="Times New Roman" w:hAnsi="Times New Roman" w:cs="Times New Roman"/>
          <w:sz w:val="24"/>
        </w:rPr>
        <w:t>В cтaтье покaзaнa необходимоcть улучшения клaccичеcких импульcных преобрaзовaтелей c ШИМ упрaвлением путем иcпользовaния квaзирезонaнcного методa упрaвления. Рaccмотрены облacти применения КРП. Опиcaн квaзирезонaнcный м</w:t>
      </w:r>
      <w:r>
        <w:rPr>
          <w:rFonts w:ascii="Times New Roman" w:eastAsia="Times New Roman" w:hAnsi="Times New Roman" w:cs="Times New Roman"/>
          <w:sz w:val="24"/>
        </w:rPr>
        <w:t xml:space="preserve">етод и принцип cинхронного выпрямления, выбрaнa топология, рaccмотренa cтруктурнaя cхемa полумоcтового КРП. Проведен обзор производителей контроллеров и выбрaн прототип КРП для рaзрaботки мaкетa.  </w:t>
      </w:r>
    </w:p>
    <w:p w:rsidR="0052701D" w:rsidRDefault="00D40929">
      <w:pPr>
        <w:spacing w:after="29" w:line="248" w:lineRule="auto"/>
        <w:ind w:left="283" w:right="316" w:firstLine="711"/>
        <w:jc w:val="both"/>
      </w:pPr>
      <w:r>
        <w:rPr>
          <w:rFonts w:ascii="Times New Roman" w:eastAsia="Times New Roman" w:hAnsi="Times New Roman" w:cs="Times New Roman"/>
          <w:sz w:val="24"/>
        </w:rPr>
        <w:t xml:space="preserve">A тaкже рaccчитaны резонaнcный дроccель и трaнcформaтор и </w:t>
      </w:r>
      <w:r>
        <w:rPr>
          <w:rFonts w:ascii="Times New Roman" w:eastAsia="Times New Roman" w:hAnsi="Times New Roman" w:cs="Times New Roman"/>
          <w:sz w:val="24"/>
        </w:rPr>
        <w:t>рaзрaботaнa принципиaльнaя электричеcкaя cхемa, топология двуcлойной печaтной плaты, изготовлен мaкет полевым иcпытaниям. Приведены результaты теcтов в виде тaблицы. Результaты теcтов и иcпытaний покaзaли, верноcть оcновных рacчетов пaрaметров квaзирезонaн</w:t>
      </w:r>
      <w:r>
        <w:rPr>
          <w:rFonts w:ascii="Times New Roman" w:eastAsia="Times New Roman" w:hAnsi="Times New Roman" w:cs="Times New Roman"/>
          <w:sz w:val="24"/>
        </w:rPr>
        <w:t xml:space="preserve">cного преобрaзовaтеля. Для улучшения темперaтурных покaзaтелей трaнcформaторa требуетcя дополнительный рacчет. </w:t>
      </w:r>
    </w:p>
    <w:p w:rsidR="0052701D" w:rsidRDefault="00D40929">
      <w:pPr>
        <w:spacing w:after="33"/>
        <w:ind w:left="994"/>
      </w:pPr>
      <w:r>
        <w:rPr>
          <w:rFonts w:ascii="Times New Roman" w:eastAsia="Times New Roman" w:hAnsi="Times New Roman" w:cs="Times New Roman"/>
          <w:sz w:val="24"/>
        </w:rPr>
        <w:t xml:space="preserve"> </w:t>
      </w:r>
    </w:p>
    <w:p w:rsidR="0052701D" w:rsidRDefault="00D40929">
      <w:pPr>
        <w:spacing w:after="16" w:line="248" w:lineRule="auto"/>
        <w:ind w:left="819" w:right="148" w:hanging="10"/>
        <w:jc w:val="center"/>
      </w:pPr>
      <w:r>
        <w:rPr>
          <w:rFonts w:ascii="Times New Roman" w:eastAsia="Times New Roman" w:hAnsi="Times New Roman" w:cs="Times New Roman"/>
          <w:b/>
          <w:sz w:val="24"/>
        </w:rPr>
        <w:lastRenderedPageBreak/>
        <w:t>СПИСОК ЛИТЕРАТУРЫ</w:t>
      </w:r>
      <w:r>
        <w:rPr>
          <w:rFonts w:ascii="Times New Roman" w:eastAsia="Times New Roman" w:hAnsi="Times New Roman" w:cs="Times New Roman"/>
          <w:sz w:val="24"/>
        </w:rPr>
        <w:t xml:space="preserve"> </w:t>
      </w:r>
    </w:p>
    <w:p w:rsidR="0052701D" w:rsidRDefault="00D40929">
      <w:pPr>
        <w:numPr>
          <w:ilvl w:val="0"/>
          <w:numId w:val="45"/>
        </w:numPr>
        <w:spacing w:after="29" w:line="248" w:lineRule="auto"/>
        <w:ind w:right="322" w:firstLine="711"/>
        <w:jc w:val="both"/>
      </w:pPr>
      <w:r>
        <w:rPr>
          <w:rFonts w:ascii="Times New Roman" w:eastAsia="Times New Roman" w:hAnsi="Times New Roman" w:cs="Times New Roman"/>
          <w:sz w:val="24"/>
        </w:rPr>
        <w:t>Кулик A.C., Гордин А.Г., Нарожный В.В., Бычкова И.В., Таран А.Н. Проблематика разработки перспективных малогабаритных летаю</w:t>
      </w:r>
      <w:r>
        <w:rPr>
          <w:rFonts w:ascii="Times New Roman" w:eastAsia="Times New Roman" w:hAnsi="Times New Roman" w:cs="Times New Roman"/>
          <w:sz w:val="24"/>
        </w:rPr>
        <w:t>щих роботов. Национальный аэрокосмический университет им. Н.Е. Жуковского «Харьковский авиационный институт», Украина, 2005</w:t>
      </w:r>
      <w:r>
        <w:rPr>
          <w:sz w:val="24"/>
        </w:rPr>
        <w:t xml:space="preserve"> </w:t>
      </w:r>
    </w:p>
    <w:p w:rsidR="0052701D" w:rsidRDefault="00D40929">
      <w:pPr>
        <w:numPr>
          <w:ilvl w:val="0"/>
          <w:numId w:val="45"/>
        </w:numPr>
        <w:spacing w:after="29" w:line="248" w:lineRule="auto"/>
        <w:ind w:right="322" w:firstLine="711"/>
        <w:jc w:val="both"/>
      </w:pPr>
      <w:r>
        <w:rPr>
          <w:rFonts w:ascii="Times New Roman" w:eastAsia="Times New Roman" w:hAnsi="Times New Roman" w:cs="Times New Roman"/>
          <w:sz w:val="24"/>
        </w:rPr>
        <w:t>Сухачев А. Б., Мелькумова Н. Г., Шапиро Б. Л.,- Ерема С. Л. Исследование технико-экономических характеристик перспективных комплекс</w:t>
      </w:r>
      <w:r>
        <w:rPr>
          <w:rFonts w:ascii="Times New Roman" w:eastAsia="Times New Roman" w:hAnsi="Times New Roman" w:cs="Times New Roman"/>
          <w:sz w:val="24"/>
        </w:rPr>
        <w:t>ов беспилотных летательных аппаратов.//Электросвязь,. №5, 2008</w:t>
      </w:r>
      <w:r>
        <w:rPr>
          <w:sz w:val="24"/>
        </w:rPr>
        <w:t xml:space="preserve"> </w:t>
      </w:r>
    </w:p>
    <w:p w:rsidR="0052701D" w:rsidRDefault="00D40929">
      <w:pPr>
        <w:numPr>
          <w:ilvl w:val="0"/>
          <w:numId w:val="45"/>
        </w:numPr>
        <w:spacing w:after="29" w:line="248" w:lineRule="auto"/>
        <w:ind w:right="322" w:firstLine="711"/>
        <w:jc w:val="both"/>
      </w:pPr>
      <w:r>
        <w:rPr>
          <w:rFonts w:ascii="Times New Roman" w:eastAsia="Times New Roman" w:hAnsi="Times New Roman" w:cs="Times New Roman"/>
          <w:sz w:val="24"/>
        </w:rPr>
        <w:t>Управление и наведение беспилотных маневренных летательных аппаратов на основе современных информационных технологий /Под ред. М.Н. Красилыцикова, Г.Г. Себрякова. М.: Физматлит, 2003.</w:t>
      </w:r>
      <w:r>
        <w:rPr>
          <w:sz w:val="24"/>
        </w:rPr>
        <w:t xml:space="preserve"> </w:t>
      </w:r>
    </w:p>
    <w:p w:rsidR="0052701D" w:rsidRDefault="00D40929">
      <w:pPr>
        <w:numPr>
          <w:ilvl w:val="0"/>
          <w:numId w:val="45"/>
        </w:numPr>
        <w:spacing w:after="29" w:line="248" w:lineRule="auto"/>
        <w:ind w:right="322" w:firstLine="711"/>
        <w:jc w:val="both"/>
      </w:pPr>
      <w:r>
        <w:rPr>
          <w:rFonts w:ascii="Times New Roman" w:eastAsia="Times New Roman" w:hAnsi="Times New Roman" w:cs="Times New Roman"/>
          <w:sz w:val="24"/>
        </w:rPr>
        <w:t>Кулагин</w:t>
      </w:r>
      <w:r>
        <w:rPr>
          <w:rFonts w:ascii="Times New Roman" w:eastAsia="Times New Roman" w:hAnsi="Times New Roman" w:cs="Times New Roman"/>
          <w:sz w:val="24"/>
        </w:rPr>
        <w:t xml:space="preserve"> С.Н., Зондовые и спектральные исследования маломощного электрореактивного холловского двигателя, Авиационно-космическая техника и технология, 2017</w:t>
      </w:r>
      <w:r>
        <w:rPr>
          <w:sz w:val="24"/>
        </w:rPr>
        <w:t xml:space="preserve"> </w:t>
      </w:r>
    </w:p>
    <w:p w:rsidR="0052701D" w:rsidRDefault="00D40929">
      <w:pPr>
        <w:numPr>
          <w:ilvl w:val="0"/>
          <w:numId w:val="45"/>
        </w:numPr>
        <w:spacing w:after="29" w:line="248" w:lineRule="auto"/>
        <w:ind w:right="322" w:firstLine="711"/>
        <w:jc w:val="both"/>
      </w:pPr>
      <w:r>
        <w:rPr>
          <w:rFonts w:ascii="Times New Roman" w:eastAsia="Times New Roman" w:hAnsi="Times New Roman" w:cs="Times New Roman"/>
          <w:sz w:val="24"/>
        </w:rPr>
        <w:t>Фетисов В.С., Тагиров М.И., Мухаметзянова А.И., Подзарядка электрических беспилотных летательных аппаратов:</w:t>
      </w:r>
      <w:r>
        <w:rPr>
          <w:rFonts w:ascii="Times New Roman" w:eastAsia="Times New Roman" w:hAnsi="Times New Roman" w:cs="Times New Roman"/>
          <w:sz w:val="24"/>
        </w:rPr>
        <w:t xml:space="preserve"> обзор существующих разработок и перспективных решений, Авиакосмическое приборостроение, 2013, ISSN: 2073-0020</w:t>
      </w:r>
      <w:r>
        <w:rPr>
          <w:sz w:val="24"/>
        </w:rPr>
        <w:t xml:space="preserve"> </w:t>
      </w:r>
    </w:p>
    <w:p w:rsidR="0052701D" w:rsidRDefault="00D40929">
      <w:pPr>
        <w:numPr>
          <w:ilvl w:val="0"/>
          <w:numId w:val="45"/>
        </w:numPr>
        <w:spacing w:after="29" w:line="248" w:lineRule="auto"/>
        <w:ind w:right="322" w:firstLine="711"/>
        <w:jc w:val="both"/>
      </w:pPr>
      <w:r>
        <w:rPr>
          <w:rFonts w:ascii="Times New Roman" w:eastAsia="Times New Roman" w:hAnsi="Times New Roman" w:cs="Times New Roman"/>
          <w:sz w:val="24"/>
        </w:rPr>
        <w:t>Тыныбаев  С.К., Тыныбаев  Г.Н., Тойбазаров Д.О., Оценка и выбор источников питания беспилотных летательных аппаратов, E-Scio, 2020</w:t>
      </w:r>
      <w:r>
        <w:rPr>
          <w:sz w:val="24"/>
        </w:rPr>
        <w:t xml:space="preserve"> </w:t>
      </w:r>
    </w:p>
    <w:p w:rsidR="0052701D" w:rsidRDefault="00D40929">
      <w:pPr>
        <w:numPr>
          <w:ilvl w:val="0"/>
          <w:numId w:val="45"/>
        </w:numPr>
        <w:spacing w:after="5"/>
        <w:ind w:right="322" w:firstLine="711"/>
        <w:jc w:val="both"/>
      </w:pPr>
      <w:r>
        <w:rPr>
          <w:rFonts w:ascii="Times New Roman" w:eastAsia="Times New Roman" w:hAnsi="Times New Roman" w:cs="Times New Roman"/>
          <w:sz w:val="24"/>
        </w:rPr>
        <w:t xml:space="preserve">Расчет емкости АКБ и основные понятия [Электронный ресурс] - </w:t>
      </w:r>
    </w:p>
    <w:p w:rsidR="0052701D" w:rsidRDefault="00D40929">
      <w:pPr>
        <w:spacing w:after="1"/>
        <w:ind w:left="293" w:hanging="10"/>
      </w:pPr>
      <w:r>
        <w:rPr>
          <w:rFonts w:ascii="Times New Roman" w:eastAsia="Times New Roman" w:hAnsi="Times New Roman" w:cs="Times New Roman"/>
          <w:color w:val="0563C1"/>
          <w:sz w:val="24"/>
          <w:u w:val="single" w:color="0563C1"/>
        </w:rPr>
        <w:t>URL:https://www.a-trade.com.ua/text-obzor/raschet-emkosti-akb-i-osnovnye-ponyatiya/</w:t>
      </w:r>
      <w:r>
        <w:rPr>
          <w:sz w:val="24"/>
        </w:rPr>
        <w:t xml:space="preserve"> </w:t>
      </w:r>
    </w:p>
    <w:p w:rsidR="0052701D" w:rsidRDefault="00D40929">
      <w:pPr>
        <w:numPr>
          <w:ilvl w:val="0"/>
          <w:numId w:val="45"/>
        </w:numPr>
        <w:spacing w:after="5"/>
        <w:ind w:right="322" w:firstLine="711"/>
        <w:jc w:val="both"/>
      </w:pPr>
      <w:r>
        <w:rPr>
          <w:rFonts w:ascii="Times New Roman" w:eastAsia="Times New Roman" w:hAnsi="Times New Roman" w:cs="Times New Roman"/>
          <w:sz w:val="24"/>
        </w:rPr>
        <w:t xml:space="preserve">Информационный </w:t>
      </w:r>
      <w:r>
        <w:rPr>
          <w:rFonts w:ascii="Times New Roman" w:eastAsia="Times New Roman" w:hAnsi="Times New Roman" w:cs="Times New Roman"/>
          <w:sz w:val="24"/>
        </w:rPr>
        <w:tab/>
        <w:t xml:space="preserve">сайт </w:t>
      </w:r>
      <w:r>
        <w:rPr>
          <w:rFonts w:ascii="Times New Roman" w:eastAsia="Times New Roman" w:hAnsi="Times New Roman" w:cs="Times New Roman"/>
          <w:sz w:val="24"/>
        </w:rPr>
        <w:tab/>
        <w:t xml:space="preserve">об </w:t>
      </w:r>
      <w:r>
        <w:rPr>
          <w:rFonts w:ascii="Times New Roman" w:eastAsia="Times New Roman" w:hAnsi="Times New Roman" w:cs="Times New Roman"/>
          <w:sz w:val="24"/>
        </w:rPr>
        <w:tab/>
        <w:t xml:space="preserve">аккумуляторах. </w:t>
      </w:r>
      <w:r>
        <w:rPr>
          <w:rFonts w:ascii="Times New Roman" w:eastAsia="Times New Roman" w:hAnsi="Times New Roman" w:cs="Times New Roman"/>
          <w:sz w:val="24"/>
        </w:rPr>
        <w:tab/>
        <w:t xml:space="preserve">[Электронный </w:t>
      </w:r>
      <w:r>
        <w:rPr>
          <w:rFonts w:ascii="Times New Roman" w:eastAsia="Times New Roman" w:hAnsi="Times New Roman" w:cs="Times New Roman"/>
          <w:sz w:val="24"/>
        </w:rPr>
        <w:tab/>
        <w:t xml:space="preserve">ресурс] </w:t>
      </w:r>
    </w:p>
    <w:p w:rsidR="0052701D" w:rsidRDefault="00D40929">
      <w:pPr>
        <w:spacing w:after="29" w:line="248" w:lineRule="auto"/>
        <w:ind w:left="283" w:right="14"/>
        <w:jc w:val="both"/>
      </w:pPr>
      <w:r>
        <w:rPr>
          <w:rFonts w:ascii="Times New Roman" w:eastAsia="Times New Roman" w:hAnsi="Times New Roman" w:cs="Times New Roman"/>
          <w:sz w:val="24"/>
        </w:rPr>
        <w:t>URL:https://akbzona.ru/ litievye/litij-polim</w:t>
      </w:r>
      <w:r>
        <w:rPr>
          <w:rFonts w:ascii="Times New Roman" w:eastAsia="Times New Roman" w:hAnsi="Times New Roman" w:cs="Times New Roman"/>
          <w:sz w:val="24"/>
        </w:rPr>
        <w:t xml:space="preserve">ernyj-akkumulyator </w:t>
      </w:r>
      <w:r>
        <w:rPr>
          <w:sz w:val="24"/>
        </w:rPr>
        <w:t xml:space="preserve"> </w:t>
      </w:r>
    </w:p>
    <w:p w:rsidR="0052701D" w:rsidRDefault="00D40929">
      <w:pPr>
        <w:spacing w:after="0"/>
        <w:ind w:left="572"/>
      </w:pPr>
      <w:r>
        <w:rPr>
          <w:rFonts w:ascii="Times New Roman" w:eastAsia="Times New Roman" w:hAnsi="Times New Roman" w:cs="Times New Roman"/>
          <w:sz w:val="24"/>
        </w:rPr>
        <w:t xml:space="preserve"> </w:t>
      </w:r>
    </w:p>
    <w:p w:rsidR="0052701D" w:rsidRDefault="00D40929">
      <w:pPr>
        <w:spacing w:after="75"/>
        <w:ind w:left="572"/>
      </w:pPr>
      <w:r>
        <w:rPr>
          <w:rFonts w:ascii="Times New Roman" w:eastAsia="Times New Roman" w:hAnsi="Times New Roman" w:cs="Times New Roman"/>
          <w:sz w:val="24"/>
        </w:rPr>
        <w:t xml:space="preserve"> </w:t>
      </w:r>
    </w:p>
    <w:p w:rsidR="0052701D" w:rsidRDefault="00D40929">
      <w:pPr>
        <w:spacing w:after="5" w:line="271" w:lineRule="auto"/>
        <w:ind w:left="173" w:right="205" w:hanging="10"/>
        <w:jc w:val="center"/>
      </w:pPr>
      <w:r>
        <w:rPr>
          <w:rFonts w:ascii="Times New Roman" w:eastAsia="Times New Roman" w:hAnsi="Times New Roman" w:cs="Times New Roman"/>
          <w:b/>
          <w:sz w:val="28"/>
        </w:rPr>
        <w:t xml:space="preserve">Микроспутниктер мен мульти коптерлерге арналған квазирезонанстық әдіс негізінде жоғары тиімді шағын көлемді кернеу түрлендіргішінің макеттік үлгісін жасау </w:t>
      </w:r>
    </w:p>
    <w:p w:rsidR="0052701D" w:rsidRDefault="00D40929">
      <w:pPr>
        <w:spacing w:after="12"/>
        <w:ind w:left="283"/>
      </w:pPr>
      <w:r>
        <w:rPr>
          <w:rFonts w:ascii="Times New Roman" w:eastAsia="Times New Roman" w:hAnsi="Times New Roman" w:cs="Times New Roman"/>
          <w:sz w:val="24"/>
        </w:rPr>
        <w:t xml:space="preserve"> </w:t>
      </w:r>
    </w:p>
    <w:p w:rsidR="0052701D" w:rsidRDefault="00D40929">
      <w:pPr>
        <w:spacing w:after="4" w:line="271" w:lineRule="auto"/>
        <w:ind w:left="2166" w:right="194" w:hanging="10"/>
      </w:pPr>
      <w:r>
        <w:rPr>
          <w:rFonts w:ascii="Times New Roman" w:eastAsia="Times New Roman" w:hAnsi="Times New Roman" w:cs="Times New Roman"/>
          <w:b/>
          <w:sz w:val="24"/>
        </w:rPr>
        <w:t xml:space="preserve">Aлипбaев К.A., Кенжеғaрaевa A.Д., Caуровa К.C. </w:t>
      </w:r>
    </w:p>
    <w:p w:rsidR="0052701D" w:rsidRDefault="00D40929">
      <w:pPr>
        <w:spacing w:after="5"/>
        <w:ind w:left="10" w:right="425" w:hanging="10"/>
        <w:jc w:val="right"/>
      </w:pPr>
      <w:r>
        <w:rPr>
          <w:rFonts w:ascii="Times New Roman" w:eastAsia="Times New Roman" w:hAnsi="Times New Roman" w:cs="Times New Roman"/>
          <w:sz w:val="24"/>
        </w:rPr>
        <w:t xml:space="preserve">«Ғұмарбек Даукеев атындағы Алматы энергетика және байланыс университеті» КеАҚ </w:t>
      </w:r>
    </w:p>
    <w:p w:rsidR="0052701D" w:rsidRDefault="00D40929">
      <w:pPr>
        <w:spacing w:after="1"/>
        <w:ind w:left="1018" w:hanging="10"/>
      </w:pPr>
      <w:r>
        <w:rPr>
          <w:rFonts w:ascii="Times New Roman" w:eastAsia="Times New Roman" w:hAnsi="Times New Roman" w:cs="Times New Roman"/>
          <w:sz w:val="24"/>
        </w:rPr>
        <w:t xml:space="preserve">E-mail: </w:t>
      </w:r>
      <w:r>
        <w:rPr>
          <w:rFonts w:ascii="Times New Roman" w:eastAsia="Times New Roman" w:hAnsi="Times New Roman" w:cs="Times New Roman"/>
          <w:color w:val="0563C1"/>
          <w:sz w:val="24"/>
          <w:u w:val="single" w:color="0563C1"/>
        </w:rPr>
        <w:t>k.alipbayev@aues.kz</w:t>
      </w:r>
      <w:r>
        <w:rPr>
          <w:rFonts w:ascii="Times New Roman" w:eastAsia="Times New Roman" w:hAnsi="Times New Roman" w:cs="Times New Roman"/>
          <w:sz w:val="24"/>
          <w:u w:val="single" w:color="0563C1"/>
        </w:rPr>
        <w:t xml:space="preserve">, </w:t>
      </w:r>
      <w:r>
        <w:rPr>
          <w:rFonts w:ascii="Times New Roman" w:eastAsia="Times New Roman" w:hAnsi="Times New Roman" w:cs="Times New Roman"/>
          <w:color w:val="0563C1"/>
          <w:sz w:val="24"/>
          <w:u w:val="single" w:color="0563C1"/>
        </w:rPr>
        <w:t>a.kenzhegaraeva@aues.kz, k.saurova@aues.kz</w:t>
      </w:r>
      <w:r>
        <w:rPr>
          <w:rFonts w:ascii="Times New Roman" w:eastAsia="Times New Roman" w:hAnsi="Times New Roman" w:cs="Times New Roman"/>
          <w:sz w:val="24"/>
        </w:rPr>
        <w:t xml:space="preserve"> </w:t>
      </w:r>
    </w:p>
    <w:p w:rsidR="0052701D" w:rsidRDefault="00D40929">
      <w:pPr>
        <w:spacing w:after="0"/>
        <w:ind w:left="21"/>
        <w:jc w:val="center"/>
      </w:pPr>
      <w:r>
        <w:rPr>
          <w:rFonts w:ascii="Times New Roman" w:eastAsia="Times New Roman" w:hAnsi="Times New Roman" w:cs="Times New Roman"/>
          <w:sz w:val="24"/>
        </w:rPr>
        <w:t xml:space="preserve"> </w:t>
      </w:r>
    </w:p>
    <w:p w:rsidR="0052701D" w:rsidRDefault="00D40929">
      <w:pPr>
        <w:spacing w:after="4" w:line="272" w:lineRule="auto"/>
        <w:ind w:left="268" w:right="304" w:firstLine="428"/>
        <w:jc w:val="both"/>
      </w:pPr>
      <w:r>
        <w:rPr>
          <w:rFonts w:ascii="Times New Roman" w:eastAsia="Times New Roman" w:hAnsi="Times New Roman" w:cs="Times New Roman"/>
          <w:b/>
          <w:sz w:val="20"/>
        </w:rPr>
        <w:t xml:space="preserve">Аңдатпа. </w:t>
      </w:r>
      <w:r>
        <w:rPr>
          <w:rFonts w:ascii="Times New Roman" w:eastAsia="Times New Roman" w:hAnsi="Times New Roman" w:cs="Times New Roman"/>
          <w:sz w:val="20"/>
        </w:rPr>
        <w:t xml:space="preserve">Мақалада квазирезонанстық басқару әдісін қолдану арқылы импульстің енін модуляциялау </w:t>
      </w:r>
      <w:r>
        <w:rPr>
          <w:rFonts w:ascii="Times New Roman" w:eastAsia="Times New Roman" w:hAnsi="Times New Roman" w:cs="Times New Roman"/>
          <w:sz w:val="20"/>
        </w:rPr>
        <w:t>басқаруымен классикалық импульстік түрлендіргіштерді жетілдіру қажеттілігі көрсетілген. Kвазирезонанстық түрлендіргіш қолдану салалары қарастырылады. Квазирезонанстық әдіс және синхронды ректификация принципі сипатталған, топология таңдалған және квази-рез</w:t>
      </w:r>
      <w:r>
        <w:rPr>
          <w:rFonts w:ascii="Times New Roman" w:eastAsia="Times New Roman" w:hAnsi="Times New Roman" w:cs="Times New Roman"/>
          <w:sz w:val="20"/>
        </w:rPr>
        <w:t xml:space="preserve">онанстық түрлендіргіш жартылай көпірінің блок-схемасы қарастырылған. Контроллер өндірушілеріне шолу жасалды және макетті жасау үшін басқару құрылғысының прототипі таңдалды. </w:t>
      </w:r>
    </w:p>
    <w:p w:rsidR="0052701D" w:rsidRDefault="00D40929">
      <w:pPr>
        <w:spacing w:after="4" w:line="272" w:lineRule="auto"/>
        <w:ind w:left="268" w:right="304"/>
        <w:jc w:val="both"/>
      </w:pPr>
      <w:r>
        <w:rPr>
          <w:rFonts w:ascii="Times New Roman" w:eastAsia="Times New Roman" w:hAnsi="Times New Roman" w:cs="Times New Roman"/>
          <w:sz w:val="20"/>
        </w:rPr>
        <w:t xml:space="preserve"> Сондай-ақ, квазирезонанстық түрлендіргіш жүйесінің энергетикалық және жиіліктік п</w:t>
      </w:r>
      <w:r>
        <w:rPr>
          <w:rFonts w:ascii="Times New Roman" w:eastAsia="Times New Roman" w:hAnsi="Times New Roman" w:cs="Times New Roman"/>
          <w:sz w:val="20"/>
        </w:rPr>
        <w:t>араметрлерін есептеу жүргізілді, соның негізінде резонанстық дроссель мен трансформатор есептелді және электр схемасы, екі қабатты баспа платасының топологиясы әзірленді, далалық сынақтарға арналған модель жасалды. Тест нәтижелері кесте және график түрінде</w:t>
      </w:r>
      <w:r>
        <w:rPr>
          <w:rFonts w:ascii="Times New Roman" w:eastAsia="Times New Roman" w:hAnsi="Times New Roman" w:cs="Times New Roman"/>
          <w:sz w:val="20"/>
        </w:rPr>
        <w:t xml:space="preserve"> ұсынылған. Сынақтар мен сынақтардың нәтижелері квазирезонанстық түрлендіргіштің параметрлерінің негізгі есептеулерінің дәлдігін көрсетті. Трансформатордың температуралық көрсеткіштерін жақсарту үшін қосымша есептеу қажет. </w:t>
      </w:r>
    </w:p>
    <w:p w:rsidR="0052701D" w:rsidRDefault="00D40929">
      <w:pPr>
        <w:spacing w:after="4" w:line="272" w:lineRule="auto"/>
        <w:ind w:left="268" w:right="304"/>
        <w:jc w:val="both"/>
      </w:pPr>
      <w:r>
        <w:rPr>
          <w:rFonts w:ascii="Times New Roman" w:eastAsia="Times New Roman" w:hAnsi="Times New Roman" w:cs="Times New Roman"/>
          <w:b/>
          <w:sz w:val="20"/>
        </w:rPr>
        <w:t>Түйін сөздер:</w:t>
      </w:r>
      <w:r>
        <w:rPr>
          <w:rFonts w:ascii="Times New Roman" w:eastAsia="Times New Roman" w:hAnsi="Times New Roman" w:cs="Times New Roman"/>
          <w:sz w:val="20"/>
        </w:rPr>
        <w:t xml:space="preserve"> ғарыш аппараты, кв</w:t>
      </w:r>
      <w:r>
        <w:rPr>
          <w:rFonts w:ascii="Times New Roman" w:eastAsia="Times New Roman" w:hAnsi="Times New Roman" w:cs="Times New Roman"/>
          <w:sz w:val="20"/>
        </w:rPr>
        <w:t xml:space="preserve">азирезонанс, түрлендіргіш, электрмен жабдықтау, синхронды түзеткіш, пәк, макет, шағын көлемді, тиімді мультикоптер, байлаулы. </w:t>
      </w:r>
    </w:p>
    <w:p w:rsidR="0052701D" w:rsidRDefault="00D40929">
      <w:pPr>
        <w:spacing w:after="17"/>
        <w:ind w:left="19"/>
      </w:pPr>
      <w:r>
        <w:rPr>
          <w:rFonts w:ascii="Times New Roman" w:eastAsia="Times New Roman" w:hAnsi="Times New Roman" w:cs="Times New Roman"/>
          <w:sz w:val="24"/>
        </w:rPr>
        <w:t xml:space="preserve"> </w:t>
      </w:r>
    </w:p>
    <w:p w:rsidR="0052701D" w:rsidRDefault="00D40929">
      <w:pPr>
        <w:spacing w:after="5" w:line="251" w:lineRule="auto"/>
        <w:ind w:left="1589" w:firstLine="365"/>
      </w:pPr>
      <w:r>
        <w:rPr>
          <w:rFonts w:ascii="Times New Roman" w:eastAsia="Times New Roman" w:hAnsi="Times New Roman" w:cs="Times New Roman"/>
          <w:b/>
          <w:sz w:val="28"/>
        </w:rPr>
        <w:lastRenderedPageBreak/>
        <w:t>Development of a mock-up sample of a highly efficient smallsized voltage converter based on a quasi-resonant method for microsa</w:t>
      </w:r>
      <w:r>
        <w:rPr>
          <w:rFonts w:ascii="Times New Roman" w:eastAsia="Times New Roman" w:hAnsi="Times New Roman" w:cs="Times New Roman"/>
          <w:b/>
          <w:sz w:val="28"/>
        </w:rPr>
        <w:t xml:space="preserve">tellites and multi-copters </w:t>
      </w:r>
    </w:p>
    <w:p w:rsidR="0052701D" w:rsidRDefault="00D40929">
      <w:pPr>
        <w:spacing w:after="0"/>
        <w:ind w:left="319"/>
        <w:jc w:val="center"/>
      </w:pPr>
      <w:r>
        <w:rPr>
          <w:rFonts w:ascii="Times New Roman" w:eastAsia="Times New Roman" w:hAnsi="Times New Roman" w:cs="Times New Roman"/>
          <w:b/>
          <w:sz w:val="28"/>
        </w:rPr>
        <w:t xml:space="preserve"> </w:t>
      </w:r>
    </w:p>
    <w:p w:rsidR="0052701D" w:rsidRDefault="00D40929">
      <w:pPr>
        <w:pStyle w:val="6"/>
        <w:ind w:left="2190" w:right="194"/>
      </w:pPr>
      <w:r>
        <w:t xml:space="preserve">K. A. Alipbayev, A.D. Kenzhegarayeva, K. C. Saurova </w:t>
      </w:r>
    </w:p>
    <w:p w:rsidR="0052701D" w:rsidRDefault="00D40929">
      <w:pPr>
        <w:spacing w:after="29" w:line="248" w:lineRule="auto"/>
        <w:ind w:left="466" w:right="14"/>
        <w:jc w:val="both"/>
      </w:pPr>
      <w:r>
        <w:rPr>
          <w:rFonts w:ascii="Times New Roman" w:eastAsia="Times New Roman" w:hAnsi="Times New Roman" w:cs="Times New Roman"/>
          <w:sz w:val="24"/>
        </w:rPr>
        <w:t xml:space="preserve">Almaty University of Power Engineering and Telecommunications named after Gumarbek </w:t>
      </w:r>
    </w:p>
    <w:p w:rsidR="0052701D" w:rsidRDefault="00D40929">
      <w:pPr>
        <w:spacing w:after="14" w:line="248" w:lineRule="auto"/>
        <w:ind w:left="811" w:hanging="5"/>
        <w:jc w:val="center"/>
      </w:pPr>
      <w:r>
        <w:rPr>
          <w:rFonts w:ascii="Times New Roman" w:eastAsia="Times New Roman" w:hAnsi="Times New Roman" w:cs="Times New Roman"/>
          <w:sz w:val="24"/>
        </w:rPr>
        <w:t xml:space="preserve">Daukeev </w:t>
      </w:r>
    </w:p>
    <w:p w:rsidR="0052701D" w:rsidRDefault="00D40929">
      <w:pPr>
        <w:spacing w:after="1"/>
        <w:ind w:left="1018" w:hanging="10"/>
      </w:pPr>
      <w:r>
        <w:rPr>
          <w:rFonts w:ascii="Times New Roman" w:eastAsia="Times New Roman" w:hAnsi="Times New Roman" w:cs="Times New Roman"/>
          <w:sz w:val="24"/>
        </w:rPr>
        <w:t xml:space="preserve">E-mail: </w:t>
      </w:r>
      <w:r>
        <w:rPr>
          <w:rFonts w:ascii="Times New Roman" w:eastAsia="Times New Roman" w:hAnsi="Times New Roman" w:cs="Times New Roman"/>
          <w:color w:val="0563C1"/>
          <w:sz w:val="24"/>
          <w:u w:val="single" w:color="0563C1"/>
        </w:rPr>
        <w:t>k.alipbayev@aues.kz</w:t>
      </w:r>
      <w:r>
        <w:rPr>
          <w:rFonts w:ascii="Times New Roman" w:eastAsia="Times New Roman" w:hAnsi="Times New Roman" w:cs="Times New Roman"/>
          <w:sz w:val="24"/>
          <w:u w:val="single" w:color="0563C1"/>
        </w:rPr>
        <w:t xml:space="preserve">, </w:t>
      </w:r>
      <w:r>
        <w:rPr>
          <w:rFonts w:ascii="Times New Roman" w:eastAsia="Times New Roman" w:hAnsi="Times New Roman" w:cs="Times New Roman"/>
          <w:color w:val="0563C1"/>
          <w:sz w:val="24"/>
          <w:u w:val="single" w:color="0563C1"/>
        </w:rPr>
        <w:t>a.kenzhegaraeva@aues.kz, k.saurova@aues.kz</w:t>
      </w:r>
      <w:r>
        <w:rPr>
          <w:rFonts w:ascii="Times New Roman" w:eastAsia="Times New Roman" w:hAnsi="Times New Roman" w:cs="Times New Roman"/>
          <w:sz w:val="24"/>
        </w:rPr>
        <w:t xml:space="preserve"> </w:t>
      </w:r>
    </w:p>
    <w:p w:rsidR="0052701D" w:rsidRDefault="00D40929">
      <w:pPr>
        <w:spacing w:after="0"/>
        <w:ind w:left="309"/>
        <w:jc w:val="center"/>
      </w:pPr>
      <w:r>
        <w:rPr>
          <w:rFonts w:ascii="Times New Roman" w:eastAsia="Times New Roman" w:hAnsi="Times New Roman" w:cs="Times New Roman"/>
          <w:sz w:val="24"/>
        </w:rPr>
        <w:t xml:space="preserve"> </w:t>
      </w:r>
    </w:p>
    <w:p w:rsidR="0052701D" w:rsidRDefault="00D40929">
      <w:pPr>
        <w:spacing w:after="4" w:line="272" w:lineRule="auto"/>
        <w:ind w:left="268" w:right="304" w:firstLine="701"/>
        <w:jc w:val="both"/>
      </w:pPr>
      <w:r>
        <w:rPr>
          <w:rFonts w:ascii="Times New Roman" w:eastAsia="Times New Roman" w:hAnsi="Times New Roman" w:cs="Times New Roman"/>
          <w:b/>
          <w:sz w:val="20"/>
        </w:rPr>
        <w:t xml:space="preserve">Annotation. </w:t>
      </w:r>
      <w:r>
        <w:rPr>
          <w:rFonts w:ascii="Times New Roman" w:eastAsia="Times New Roman" w:hAnsi="Times New Roman" w:cs="Times New Roman"/>
          <w:sz w:val="20"/>
        </w:rPr>
        <w:t xml:space="preserve"> The article shows the need to improve classical pulse converters with control by using a quasi-resonant control method. The areas of application of the quasi-resonant transducer are considered. The quasiresonant method and the principle of syn</w:t>
      </w:r>
      <w:r>
        <w:rPr>
          <w:rFonts w:ascii="Times New Roman" w:eastAsia="Times New Roman" w:hAnsi="Times New Roman" w:cs="Times New Roman"/>
          <w:sz w:val="20"/>
        </w:rPr>
        <w:t>chronous rectification are described, the topology is selected, and the block diagram of the half-bridge quasi-resonant transducer is considered. A review of the manufacturers of controllers was carried out and a prototype of the control device was selecte</w:t>
      </w:r>
      <w:r>
        <w:rPr>
          <w:rFonts w:ascii="Times New Roman" w:eastAsia="Times New Roman" w:hAnsi="Times New Roman" w:cs="Times New Roman"/>
          <w:sz w:val="20"/>
        </w:rPr>
        <w:t xml:space="preserve">d for the development of the layout. </w:t>
      </w:r>
    </w:p>
    <w:p w:rsidR="0052701D" w:rsidRDefault="00D40929">
      <w:pPr>
        <w:spacing w:after="4" w:line="272" w:lineRule="auto"/>
        <w:ind w:left="268" w:right="304" w:firstLine="701"/>
        <w:jc w:val="both"/>
      </w:pPr>
      <w:r>
        <w:rPr>
          <w:rFonts w:ascii="Times New Roman" w:eastAsia="Times New Roman" w:hAnsi="Times New Roman" w:cs="Times New Roman"/>
          <w:sz w:val="20"/>
        </w:rPr>
        <w:t>And also the calculation of the energy and frequency parameters of the quasi-resonant transducer system was carried out, on the basis of which the resonant choke and the transformer were calculated and the electrical c</w:t>
      </w:r>
      <w:r>
        <w:rPr>
          <w:rFonts w:ascii="Times New Roman" w:eastAsia="Times New Roman" w:hAnsi="Times New Roman" w:cs="Times New Roman"/>
          <w:sz w:val="20"/>
        </w:rPr>
        <w:t>ircuit diagram, the topology of the two-layer printed circuit board were developed, a model was made for field tests. The test results are presented in the form of a table and a graph. The results of tests and tests have shown the accuracy of the basic cal</w:t>
      </w:r>
      <w:r>
        <w:rPr>
          <w:rFonts w:ascii="Times New Roman" w:eastAsia="Times New Roman" w:hAnsi="Times New Roman" w:cs="Times New Roman"/>
          <w:sz w:val="20"/>
        </w:rPr>
        <w:t xml:space="preserve">culations of the parameters of the quasi-resonant converter. To improve the temperature performance of the transformer, additional calculation is required. </w:t>
      </w:r>
    </w:p>
    <w:p w:rsidR="0052701D" w:rsidRDefault="00D40929">
      <w:pPr>
        <w:spacing w:after="4" w:line="272" w:lineRule="auto"/>
        <w:ind w:left="268" w:right="304" w:firstLine="701"/>
        <w:jc w:val="both"/>
      </w:pPr>
      <w:r>
        <w:rPr>
          <w:rFonts w:ascii="Times New Roman" w:eastAsia="Times New Roman" w:hAnsi="Times New Roman" w:cs="Times New Roman"/>
          <w:b/>
          <w:sz w:val="20"/>
        </w:rPr>
        <w:t>Keywords:</w:t>
      </w:r>
      <w:r>
        <w:rPr>
          <w:rFonts w:ascii="Times New Roman" w:eastAsia="Times New Roman" w:hAnsi="Times New Roman" w:cs="Times New Roman"/>
          <w:sz w:val="20"/>
        </w:rPr>
        <w:t xml:space="preserve"> spacecraft, quasi-resonance, converter, power supply, synchronous rectifier, efficiency, </w:t>
      </w:r>
      <w:r>
        <w:rPr>
          <w:rFonts w:ascii="Times New Roman" w:eastAsia="Times New Roman" w:hAnsi="Times New Roman" w:cs="Times New Roman"/>
          <w:sz w:val="20"/>
        </w:rPr>
        <w:t xml:space="preserve">layout, small-sized, effective multicopter, tethered. </w:t>
      </w:r>
    </w:p>
    <w:p w:rsidR="0052701D" w:rsidRDefault="00D40929">
      <w:pPr>
        <w:spacing w:after="0"/>
        <w:ind w:left="283"/>
      </w:pPr>
      <w:r>
        <w:rPr>
          <w:rFonts w:ascii="Times New Roman" w:eastAsia="Times New Roman" w:hAnsi="Times New Roman" w:cs="Times New Roman"/>
          <w:sz w:val="24"/>
        </w:rPr>
        <w:t xml:space="preserve"> </w:t>
      </w:r>
    </w:p>
    <w:p w:rsidR="0052701D" w:rsidRDefault="00D40929">
      <w:pPr>
        <w:spacing w:after="0"/>
        <w:ind w:left="283"/>
      </w:pPr>
      <w:r>
        <w:rPr>
          <w:rFonts w:ascii="Times New Roman" w:eastAsia="Times New Roman" w:hAnsi="Times New Roman" w:cs="Times New Roman"/>
          <w:sz w:val="24"/>
        </w:rPr>
        <w:t xml:space="preserve"> </w:t>
      </w:r>
    </w:p>
    <w:p w:rsidR="0052701D" w:rsidRDefault="00D40929">
      <w:pPr>
        <w:spacing w:after="0"/>
        <w:ind w:left="283"/>
      </w:pPr>
      <w:r>
        <w:rPr>
          <w:rFonts w:ascii="Times New Roman" w:eastAsia="Times New Roman" w:hAnsi="Times New Roman" w:cs="Times New Roman"/>
          <w:b/>
          <w:color w:val="17171A"/>
          <w:sz w:val="24"/>
        </w:rPr>
        <w:t xml:space="preserve"> </w:t>
      </w:r>
    </w:p>
    <w:p w:rsidR="0052701D" w:rsidRDefault="00D40929">
      <w:pPr>
        <w:spacing w:after="29" w:line="248" w:lineRule="auto"/>
        <w:ind w:left="283" w:right="14"/>
        <w:jc w:val="both"/>
      </w:pPr>
      <w:r>
        <w:rPr>
          <w:rFonts w:ascii="Times New Roman" w:eastAsia="Times New Roman" w:hAnsi="Times New Roman" w:cs="Times New Roman"/>
          <w:b/>
          <w:color w:val="17171A"/>
          <w:sz w:val="24"/>
        </w:rPr>
        <w:t xml:space="preserve">УДК 623.465, </w:t>
      </w:r>
      <w:r>
        <w:rPr>
          <w:rFonts w:ascii="Times New Roman" w:eastAsia="Times New Roman" w:hAnsi="Times New Roman" w:cs="Times New Roman"/>
          <w:sz w:val="24"/>
        </w:rPr>
        <w:t xml:space="preserve">681.51, 528.88;629.785; 681.3 </w:t>
      </w:r>
    </w:p>
    <w:p w:rsidR="0052701D" w:rsidRDefault="00D40929">
      <w:pPr>
        <w:spacing w:after="0"/>
        <w:ind w:left="21"/>
        <w:jc w:val="center"/>
      </w:pPr>
      <w:r>
        <w:rPr>
          <w:rFonts w:ascii="Times New Roman" w:eastAsia="Times New Roman" w:hAnsi="Times New Roman" w:cs="Times New Roman"/>
          <w:b/>
          <w:sz w:val="24"/>
        </w:rPr>
        <w:t xml:space="preserve"> </w:t>
      </w:r>
    </w:p>
    <w:p w:rsidR="0052701D" w:rsidRDefault="00D40929">
      <w:pPr>
        <w:pStyle w:val="1"/>
        <w:spacing w:after="16" w:line="248" w:lineRule="auto"/>
        <w:ind w:left="819" w:right="855"/>
      </w:pPr>
      <w:r>
        <w:rPr>
          <w:sz w:val="24"/>
        </w:rPr>
        <w:t xml:space="preserve">РАЗРАБОТКА ИНТЕГРИРОВАННОГО МНОГОФУНКЦИОНАЛЬНОГО </w:t>
      </w:r>
    </w:p>
    <w:p w:rsidR="0052701D" w:rsidRDefault="00D40929">
      <w:pPr>
        <w:spacing w:after="40" w:line="271" w:lineRule="auto"/>
        <w:ind w:left="505" w:right="194" w:hanging="10"/>
      </w:pPr>
      <w:r>
        <w:rPr>
          <w:rFonts w:ascii="Times New Roman" w:eastAsia="Times New Roman" w:hAnsi="Times New Roman" w:cs="Times New Roman"/>
          <w:b/>
          <w:sz w:val="24"/>
        </w:rPr>
        <w:t xml:space="preserve">КОМПЛЕКСА ОСВЕЩЕНИЯ КОСМИЧЕСКОЙ ОБСТАНОВКИ В СЕКТОРЕ </w:t>
      </w:r>
    </w:p>
    <w:p w:rsidR="0052701D" w:rsidRDefault="00D40929">
      <w:pPr>
        <w:spacing w:after="16" w:line="248" w:lineRule="auto"/>
        <w:ind w:left="819" w:right="844" w:hanging="10"/>
        <w:jc w:val="center"/>
      </w:pPr>
      <w:r>
        <w:rPr>
          <w:rFonts w:ascii="Times New Roman" w:eastAsia="Times New Roman" w:hAnsi="Times New Roman" w:cs="Times New Roman"/>
          <w:b/>
          <w:sz w:val="24"/>
        </w:rPr>
        <w:t xml:space="preserve">КАСПИЙСКОГО МОРЯ </w:t>
      </w:r>
    </w:p>
    <w:p w:rsidR="0052701D" w:rsidRDefault="00D40929">
      <w:pPr>
        <w:spacing w:after="39"/>
        <w:ind w:left="21"/>
        <w:jc w:val="center"/>
      </w:pPr>
      <w:r>
        <w:rPr>
          <w:rFonts w:ascii="Times New Roman" w:eastAsia="Times New Roman" w:hAnsi="Times New Roman" w:cs="Times New Roman"/>
          <w:b/>
          <w:sz w:val="24"/>
        </w:rPr>
        <w:t xml:space="preserve"> </w:t>
      </w:r>
    </w:p>
    <w:p w:rsidR="0052701D" w:rsidRDefault="00D40929">
      <w:pPr>
        <w:pStyle w:val="1"/>
        <w:spacing w:after="55" w:line="248" w:lineRule="auto"/>
        <w:ind w:left="713" w:right="762" w:hanging="5"/>
      </w:pPr>
      <w:r>
        <w:rPr>
          <w:b w:val="0"/>
          <w:sz w:val="24"/>
        </w:rPr>
        <w:t xml:space="preserve">Боранбаева АнаргульТалгатовна, Саурова Камила Серикбаевна,  </w:t>
      </w:r>
    </w:p>
    <w:p w:rsidR="0052701D" w:rsidRDefault="00D40929">
      <w:pPr>
        <w:spacing w:after="56" w:line="248" w:lineRule="auto"/>
        <w:ind w:left="713" w:right="755" w:hanging="5"/>
        <w:jc w:val="center"/>
      </w:pPr>
      <w:r>
        <w:rPr>
          <w:rFonts w:ascii="Times New Roman" w:eastAsia="Times New Roman" w:hAnsi="Times New Roman" w:cs="Times New Roman"/>
          <w:sz w:val="24"/>
        </w:rPr>
        <w:t xml:space="preserve">Кенжегараева Ансаган Дарханкызы </w:t>
      </w:r>
    </w:p>
    <w:p w:rsidR="0052701D" w:rsidRDefault="00D40929">
      <w:pPr>
        <w:spacing w:after="55" w:line="248" w:lineRule="auto"/>
        <w:ind w:left="713" w:right="758" w:hanging="5"/>
        <w:jc w:val="center"/>
      </w:pPr>
      <w:r>
        <w:rPr>
          <w:rFonts w:ascii="Times New Roman" w:eastAsia="Times New Roman" w:hAnsi="Times New Roman" w:cs="Times New Roman"/>
          <w:sz w:val="24"/>
        </w:rPr>
        <w:t xml:space="preserve">НАО «Алматинский университет энергетики и связи им Г.Даукеева», </w:t>
      </w:r>
    </w:p>
    <w:p w:rsidR="0052701D" w:rsidRDefault="00D40929">
      <w:pPr>
        <w:spacing w:after="14" w:line="248" w:lineRule="auto"/>
        <w:ind w:left="713" w:right="754" w:hanging="5"/>
        <w:jc w:val="center"/>
      </w:pPr>
      <w:r>
        <w:rPr>
          <w:rFonts w:ascii="Times New Roman" w:eastAsia="Times New Roman" w:hAnsi="Times New Roman" w:cs="Times New Roman"/>
          <w:sz w:val="24"/>
        </w:rPr>
        <w:t xml:space="preserve">г.Алматы, Казахстан </w:t>
      </w:r>
    </w:p>
    <w:p w:rsidR="0052701D" w:rsidRDefault="00D40929">
      <w:pPr>
        <w:spacing w:after="0"/>
        <w:ind w:left="645" w:right="673" w:hanging="10"/>
        <w:jc w:val="center"/>
      </w:pPr>
      <w:r>
        <w:rPr>
          <w:rFonts w:ascii="Times New Roman" w:eastAsia="Times New Roman" w:hAnsi="Times New Roman" w:cs="Times New Roman"/>
          <w:sz w:val="24"/>
        </w:rPr>
        <w:t xml:space="preserve">e-mail: </w:t>
      </w:r>
      <w:r>
        <w:rPr>
          <w:rFonts w:ascii="Times New Roman" w:eastAsia="Times New Roman" w:hAnsi="Times New Roman" w:cs="Times New Roman"/>
          <w:color w:val="0000FF"/>
          <w:sz w:val="24"/>
          <w:u w:val="single" w:color="0000FF"/>
        </w:rPr>
        <w:t>a.boranbayeva@aues.kz</w:t>
      </w:r>
      <w:r>
        <w:rPr>
          <w:rFonts w:ascii="Times New Roman" w:eastAsia="Times New Roman" w:hAnsi="Times New Roman" w:cs="Times New Roman"/>
          <w:sz w:val="24"/>
        </w:rPr>
        <w:t xml:space="preserve">, </w:t>
      </w:r>
      <w:r>
        <w:rPr>
          <w:rFonts w:ascii="Times New Roman" w:eastAsia="Times New Roman" w:hAnsi="Times New Roman" w:cs="Times New Roman"/>
          <w:color w:val="0000FF"/>
          <w:sz w:val="24"/>
          <w:u w:val="single" w:color="0000FF"/>
        </w:rPr>
        <w:t>k.saurova@aues.kz</w:t>
      </w:r>
      <w:r>
        <w:rPr>
          <w:rFonts w:ascii="Times New Roman" w:eastAsia="Times New Roman" w:hAnsi="Times New Roman" w:cs="Times New Roman"/>
          <w:sz w:val="24"/>
        </w:rPr>
        <w:t xml:space="preserve">, </w:t>
      </w:r>
      <w:r>
        <w:rPr>
          <w:rFonts w:ascii="Times New Roman" w:eastAsia="Times New Roman" w:hAnsi="Times New Roman" w:cs="Times New Roman"/>
          <w:color w:val="0000FF"/>
          <w:sz w:val="24"/>
          <w:u w:val="single" w:color="0000FF"/>
        </w:rPr>
        <w:t>a.kenzhegaraeva@aues.kz</w:t>
      </w:r>
      <w:r>
        <w:rPr>
          <w:rFonts w:ascii="Times New Roman" w:eastAsia="Times New Roman" w:hAnsi="Times New Roman" w:cs="Times New Roman"/>
          <w:color w:val="0000FF"/>
          <w:sz w:val="24"/>
        </w:rPr>
        <w:t xml:space="preserve"> </w:t>
      </w:r>
    </w:p>
    <w:p w:rsidR="0052701D" w:rsidRDefault="00D40929">
      <w:pPr>
        <w:spacing w:after="0"/>
        <w:ind w:left="21"/>
        <w:jc w:val="center"/>
      </w:pPr>
      <w:r>
        <w:rPr>
          <w:rFonts w:ascii="Times New Roman" w:eastAsia="Times New Roman" w:hAnsi="Times New Roman" w:cs="Times New Roman"/>
          <w:sz w:val="24"/>
        </w:rPr>
        <w:t xml:space="preserve"> </w:t>
      </w:r>
    </w:p>
    <w:p w:rsidR="0052701D" w:rsidRDefault="00D40929">
      <w:pPr>
        <w:spacing w:after="29" w:line="248" w:lineRule="auto"/>
        <w:ind w:left="283" w:right="325" w:firstLine="711"/>
        <w:jc w:val="both"/>
      </w:pPr>
      <w:r>
        <w:rPr>
          <w:rFonts w:ascii="Times New Roman" w:eastAsia="Times New Roman" w:hAnsi="Times New Roman" w:cs="Times New Roman"/>
          <w:b/>
          <w:i/>
          <w:sz w:val="24"/>
        </w:rPr>
        <w:t xml:space="preserve">Аннатоция. </w:t>
      </w:r>
      <w:r>
        <w:rPr>
          <w:rFonts w:ascii="Times New Roman" w:eastAsia="Times New Roman" w:hAnsi="Times New Roman" w:cs="Times New Roman"/>
          <w:i/>
          <w:sz w:val="24"/>
        </w:rPr>
        <w:t>В данной статье проведен анализ возможных методов оценки параметров движения по данным радиолокационных измерений в условиях априорной неопределенности динамики движения цели и разработана методика расчета показателя качества проведенного оцени</w:t>
      </w:r>
      <w:r>
        <w:rPr>
          <w:rFonts w:ascii="Times New Roman" w:eastAsia="Times New Roman" w:hAnsi="Times New Roman" w:cs="Times New Roman"/>
          <w:i/>
          <w:sz w:val="24"/>
        </w:rPr>
        <w:t xml:space="preserve">вания по данным измерений РЛС путем математического моделирования. </w:t>
      </w:r>
    </w:p>
    <w:p w:rsidR="0052701D" w:rsidRDefault="00D40929">
      <w:pPr>
        <w:spacing w:after="0"/>
        <w:ind w:left="283" w:right="324" w:firstLine="711"/>
        <w:jc w:val="both"/>
      </w:pPr>
      <w:r>
        <w:rPr>
          <w:rFonts w:ascii="Times New Roman" w:eastAsia="Times New Roman" w:hAnsi="Times New Roman" w:cs="Times New Roman"/>
          <w:b/>
          <w:i/>
          <w:sz w:val="24"/>
        </w:rPr>
        <w:t xml:space="preserve">Ключевые слова: </w:t>
      </w:r>
      <w:r>
        <w:rPr>
          <w:rFonts w:ascii="Times New Roman" w:eastAsia="Times New Roman" w:hAnsi="Times New Roman" w:cs="Times New Roman"/>
          <w:i/>
          <w:sz w:val="24"/>
        </w:rPr>
        <w:t xml:space="preserve">РЛС, </w:t>
      </w:r>
      <w:r>
        <w:rPr>
          <w:rFonts w:ascii="Times New Roman" w:eastAsia="Times New Roman" w:hAnsi="Times New Roman" w:cs="Times New Roman"/>
          <w:i/>
          <w:color w:val="202122"/>
          <w:sz w:val="24"/>
        </w:rPr>
        <w:t xml:space="preserve">дальность обнаружения цели на высоте полёта, азимут, угол места, высота, цифровая фазированная антенная, многолучевой клистрон, мощность передатчика. </w:t>
      </w:r>
    </w:p>
    <w:tbl>
      <w:tblPr>
        <w:tblStyle w:val="TableGrid"/>
        <w:tblW w:w="9133" w:type="dxa"/>
        <w:tblInd w:w="254" w:type="dxa"/>
        <w:tblCellMar>
          <w:top w:w="2" w:type="dxa"/>
          <w:left w:w="740" w:type="dxa"/>
          <w:bottom w:w="0" w:type="dxa"/>
          <w:right w:w="115" w:type="dxa"/>
        </w:tblCellMar>
        <w:tblLook w:val="04A0" w:firstRow="1" w:lastRow="0" w:firstColumn="1" w:lastColumn="0" w:noHBand="0" w:noVBand="1"/>
      </w:tblPr>
      <w:tblGrid>
        <w:gridCol w:w="9133"/>
      </w:tblGrid>
      <w:tr w:rsidR="0052701D">
        <w:trPr>
          <w:trHeight w:val="298"/>
        </w:trPr>
        <w:tc>
          <w:tcPr>
            <w:tcW w:w="9133" w:type="dxa"/>
            <w:tcBorders>
              <w:top w:val="nil"/>
              <w:left w:val="nil"/>
              <w:bottom w:val="nil"/>
              <w:right w:val="nil"/>
            </w:tcBorders>
            <w:shd w:val="clear" w:color="auto" w:fill="F8F9FA"/>
          </w:tcPr>
          <w:p w:rsidR="0052701D" w:rsidRDefault="00D40929">
            <w:pPr>
              <w:spacing w:after="0"/>
            </w:pPr>
            <w:r>
              <w:rPr>
                <w:rFonts w:ascii="Times New Roman" w:eastAsia="Times New Roman" w:hAnsi="Times New Roman" w:cs="Times New Roman"/>
                <w:i/>
                <w:color w:val="202124"/>
                <w:sz w:val="24"/>
              </w:rPr>
              <w:t xml:space="preserve"> </w:t>
            </w:r>
          </w:p>
        </w:tc>
      </w:tr>
    </w:tbl>
    <w:p w:rsidR="0052701D" w:rsidRDefault="00D40929">
      <w:pPr>
        <w:spacing w:after="16" w:line="248" w:lineRule="auto"/>
        <w:ind w:left="10" w:hanging="10"/>
        <w:jc w:val="center"/>
      </w:pPr>
      <w:r>
        <w:rPr>
          <w:rFonts w:ascii="Times New Roman" w:eastAsia="Times New Roman" w:hAnsi="Times New Roman" w:cs="Times New Roman"/>
          <w:b/>
          <w:sz w:val="24"/>
        </w:rPr>
        <w:t xml:space="preserve">DEVELOPMENT OF AN INTEGRATED MULTIFUNCTIONAL COMPLEX FOR LIGHTING THE SPACE SITUATION IN THE CASPIAN SEA SECTOR </w:t>
      </w:r>
    </w:p>
    <w:p w:rsidR="0052701D" w:rsidRDefault="00D40929">
      <w:pPr>
        <w:spacing w:after="0"/>
        <w:ind w:left="21"/>
        <w:jc w:val="center"/>
      </w:pPr>
      <w:r>
        <w:rPr>
          <w:rFonts w:ascii="Times New Roman" w:eastAsia="Times New Roman" w:hAnsi="Times New Roman" w:cs="Times New Roman"/>
          <w:b/>
          <w:sz w:val="24"/>
        </w:rPr>
        <w:t xml:space="preserve"> </w:t>
      </w:r>
    </w:p>
    <w:p w:rsidR="0052701D" w:rsidRDefault="00D40929">
      <w:pPr>
        <w:spacing w:after="14" w:line="248" w:lineRule="auto"/>
        <w:ind w:left="713" w:right="757" w:hanging="5"/>
        <w:jc w:val="center"/>
      </w:pPr>
      <w:r>
        <w:rPr>
          <w:rFonts w:ascii="Times New Roman" w:eastAsia="Times New Roman" w:hAnsi="Times New Roman" w:cs="Times New Roman"/>
          <w:sz w:val="24"/>
        </w:rPr>
        <w:lastRenderedPageBreak/>
        <w:t xml:space="preserve">Boranbayeva Anargul Talgatovna, Saurova Kamila Serikbaevna,  </w:t>
      </w:r>
    </w:p>
    <w:p w:rsidR="0052701D" w:rsidRDefault="00D40929">
      <w:pPr>
        <w:spacing w:after="14" w:line="248" w:lineRule="auto"/>
        <w:ind w:left="713" w:right="752" w:hanging="5"/>
        <w:jc w:val="center"/>
      </w:pPr>
      <w:r>
        <w:rPr>
          <w:rFonts w:ascii="Times New Roman" w:eastAsia="Times New Roman" w:hAnsi="Times New Roman" w:cs="Times New Roman"/>
          <w:sz w:val="24"/>
        </w:rPr>
        <w:t xml:space="preserve">Kenzhegaraeva Ansagan Darkhankyzy </w:t>
      </w:r>
    </w:p>
    <w:p w:rsidR="0052701D" w:rsidRDefault="00D40929">
      <w:pPr>
        <w:spacing w:after="14" w:line="248" w:lineRule="auto"/>
        <w:ind w:left="858" w:right="832" w:hanging="5"/>
        <w:jc w:val="center"/>
      </w:pPr>
      <w:r>
        <w:rPr>
          <w:rFonts w:ascii="Times New Roman" w:eastAsia="Times New Roman" w:hAnsi="Times New Roman" w:cs="Times New Roman"/>
          <w:sz w:val="24"/>
        </w:rPr>
        <w:t>Almaty University of Energy and Communicatio</w:t>
      </w:r>
      <w:r>
        <w:rPr>
          <w:rFonts w:ascii="Times New Roman" w:eastAsia="Times New Roman" w:hAnsi="Times New Roman" w:cs="Times New Roman"/>
          <w:sz w:val="24"/>
        </w:rPr>
        <w:t xml:space="preserve">ns named after G.Daukeev e-mail: a.boranbayeva@aues.kz, </w:t>
      </w:r>
      <w:r>
        <w:rPr>
          <w:rFonts w:ascii="Times New Roman" w:eastAsia="Times New Roman" w:hAnsi="Times New Roman" w:cs="Times New Roman"/>
          <w:color w:val="0000FF"/>
          <w:sz w:val="24"/>
          <w:u w:val="single" w:color="0000FF"/>
        </w:rPr>
        <w:t>k.saurova@aues.kz</w:t>
      </w:r>
      <w:r>
        <w:rPr>
          <w:rFonts w:ascii="Times New Roman" w:eastAsia="Times New Roman" w:hAnsi="Times New Roman" w:cs="Times New Roman"/>
          <w:sz w:val="24"/>
        </w:rPr>
        <w:t xml:space="preserve">, a.kenzhegaraeva@aues.kz </w:t>
      </w:r>
    </w:p>
    <w:p w:rsidR="0052701D" w:rsidRDefault="00D40929">
      <w:pPr>
        <w:spacing w:after="0"/>
        <w:ind w:left="21"/>
        <w:jc w:val="center"/>
      </w:pPr>
      <w:r>
        <w:rPr>
          <w:rFonts w:ascii="Times New Roman" w:eastAsia="Times New Roman" w:hAnsi="Times New Roman" w:cs="Times New Roman"/>
          <w:sz w:val="24"/>
        </w:rPr>
        <w:t xml:space="preserve"> </w:t>
      </w:r>
    </w:p>
    <w:p w:rsidR="0052701D" w:rsidRDefault="00D40929">
      <w:pPr>
        <w:shd w:val="clear" w:color="auto" w:fill="F8F9FA"/>
        <w:spacing w:after="3"/>
        <w:ind w:left="268" w:right="307" w:firstLine="701"/>
        <w:jc w:val="both"/>
      </w:pPr>
      <w:r>
        <w:rPr>
          <w:rFonts w:ascii="Times New Roman" w:eastAsia="Times New Roman" w:hAnsi="Times New Roman" w:cs="Times New Roman"/>
          <w:b/>
          <w:i/>
          <w:color w:val="202124"/>
          <w:sz w:val="24"/>
        </w:rPr>
        <w:t>Annatotsiya</w:t>
      </w:r>
      <w:r>
        <w:rPr>
          <w:rFonts w:ascii="Times New Roman" w:eastAsia="Times New Roman" w:hAnsi="Times New Roman" w:cs="Times New Roman"/>
          <w:i/>
          <w:color w:val="202124"/>
          <w:sz w:val="24"/>
        </w:rPr>
        <w:t>. This article analyzes possible methods for estimating motion parameters from radar measurements under conditions of a priori uncertainty in the dynamics of target movement and develops a method for calculating the quality index of the assessment performe</w:t>
      </w:r>
      <w:r>
        <w:rPr>
          <w:rFonts w:ascii="Times New Roman" w:eastAsia="Times New Roman" w:hAnsi="Times New Roman" w:cs="Times New Roman"/>
          <w:i/>
          <w:color w:val="202124"/>
          <w:sz w:val="24"/>
        </w:rPr>
        <w:t xml:space="preserve">d from radar measurements using mathematical modeling. </w:t>
      </w:r>
    </w:p>
    <w:p w:rsidR="0052701D" w:rsidRDefault="00D40929">
      <w:pPr>
        <w:shd w:val="clear" w:color="auto" w:fill="F8F9FA"/>
        <w:spacing w:after="3"/>
        <w:ind w:left="268" w:right="307" w:firstLine="701"/>
        <w:jc w:val="both"/>
      </w:pPr>
      <w:r>
        <w:rPr>
          <w:rFonts w:ascii="Times New Roman" w:eastAsia="Times New Roman" w:hAnsi="Times New Roman" w:cs="Times New Roman"/>
          <w:b/>
          <w:i/>
          <w:color w:val="202124"/>
          <w:sz w:val="24"/>
        </w:rPr>
        <w:t>Keywords:</w:t>
      </w:r>
      <w:r>
        <w:rPr>
          <w:rFonts w:ascii="Times New Roman" w:eastAsia="Times New Roman" w:hAnsi="Times New Roman" w:cs="Times New Roman"/>
          <w:i/>
          <w:color w:val="202124"/>
          <w:sz w:val="24"/>
        </w:rPr>
        <w:t xml:space="preserve"> radar, target detection range at flight altitude, azimuth, elevation, altitude, digital phased antenna, multibeam klystron, transmitter power.</w:t>
      </w:r>
      <w:r>
        <w:rPr>
          <w:rFonts w:ascii="Times New Roman" w:eastAsia="Times New Roman" w:hAnsi="Times New Roman" w:cs="Times New Roman"/>
          <w:sz w:val="24"/>
        </w:rPr>
        <w:t xml:space="preserve"> </w:t>
      </w:r>
    </w:p>
    <w:p w:rsidR="0052701D" w:rsidRDefault="00D40929">
      <w:pPr>
        <w:spacing w:after="48"/>
        <w:ind w:left="989" w:hanging="10"/>
      </w:pPr>
      <w:r>
        <w:rPr>
          <w:rFonts w:ascii="Times New Roman" w:eastAsia="Times New Roman" w:hAnsi="Times New Roman" w:cs="Times New Roman"/>
          <w:b/>
          <w:sz w:val="26"/>
        </w:rPr>
        <w:t xml:space="preserve">Введение </w:t>
      </w:r>
    </w:p>
    <w:p w:rsidR="0052701D" w:rsidRDefault="00D40929">
      <w:pPr>
        <w:spacing w:after="4" w:line="249" w:lineRule="auto"/>
        <w:ind w:left="283" w:right="323" w:firstLine="711"/>
        <w:jc w:val="both"/>
      </w:pPr>
      <w:r>
        <w:rPr>
          <w:rFonts w:ascii="Times New Roman" w:eastAsia="Times New Roman" w:hAnsi="Times New Roman" w:cs="Times New Roman"/>
          <w:sz w:val="26"/>
        </w:rPr>
        <w:t>Создание систем контроля воздушно-ко</w:t>
      </w:r>
      <w:r>
        <w:rPr>
          <w:rFonts w:ascii="Times New Roman" w:eastAsia="Times New Roman" w:hAnsi="Times New Roman" w:cs="Times New Roman"/>
          <w:sz w:val="26"/>
        </w:rPr>
        <w:t xml:space="preserve">смического пространства, дистанционного зондирования Земли, систем ближней навигации и космических систем глобального позиционирования, а также систем связи и телевидения стало возможным благодаря разработке радиотехнических систем различного назначения. </w:t>
      </w:r>
      <w:r>
        <w:rPr>
          <w:rFonts w:ascii="Times New Roman" w:eastAsia="Times New Roman" w:hAnsi="Times New Roman" w:cs="Times New Roman"/>
          <w:i/>
          <w:sz w:val="26"/>
        </w:rPr>
        <w:t>Р</w:t>
      </w:r>
      <w:r>
        <w:rPr>
          <w:rFonts w:ascii="Times New Roman" w:eastAsia="Times New Roman" w:hAnsi="Times New Roman" w:cs="Times New Roman"/>
          <w:i/>
          <w:sz w:val="26"/>
        </w:rPr>
        <w:t xml:space="preserve">адиотехнической системой </w:t>
      </w:r>
      <w:r>
        <w:rPr>
          <w:rFonts w:ascii="Times New Roman" w:eastAsia="Times New Roman" w:hAnsi="Times New Roman" w:cs="Times New Roman"/>
          <w:sz w:val="26"/>
        </w:rPr>
        <w:t>(РТС) называют организованную совокупность устройств, предназначенных для получения, обработки, накопления и передачи информации с использованием радиоволн. Радиоволны, отражаясь от неоднородностей окружающего пространства, наприме</w:t>
      </w:r>
      <w:r>
        <w:rPr>
          <w:rFonts w:ascii="Times New Roman" w:eastAsia="Times New Roman" w:hAnsi="Times New Roman" w:cs="Times New Roman"/>
          <w:sz w:val="26"/>
        </w:rPr>
        <w:t>р, самолетов, кораблей позволяют обнаруживать эти объекты и измерять их положение в пространстве. Такое свойство радиоволн как разный характер отражение от поверхностей различной структуры, например, моря, суши, гор лежит в основе дистанционного зондирован</w:t>
      </w:r>
      <w:r>
        <w:rPr>
          <w:rFonts w:ascii="Times New Roman" w:eastAsia="Times New Roman" w:hAnsi="Times New Roman" w:cs="Times New Roman"/>
          <w:sz w:val="26"/>
        </w:rPr>
        <w:t>ия – научного направления, занимающегося сбором информации о поверхности Земли без фактического контакта с ней. Дистанционные методы делятся на активные и пассивные. При использовании активных методов спутник посылает на Землю сигнал собственного источника</w:t>
      </w:r>
      <w:r>
        <w:rPr>
          <w:rFonts w:ascii="Times New Roman" w:eastAsia="Times New Roman" w:hAnsi="Times New Roman" w:cs="Times New Roman"/>
          <w:sz w:val="26"/>
        </w:rPr>
        <w:t xml:space="preserve"> энергии, например, радиолокационного передатчика и регистрирует его отражение от поверхности.  </w:t>
      </w:r>
    </w:p>
    <w:p w:rsidR="0052701D" w:rsidRDefault="00D40929">
      <w:pPr>
        <w:spacing w:after="64" w:line="249" w:lineRule="auto"/>
        <w:ind w:left="283" w:firstLine="711"/>
        <w:jc w:val="both"/>
      </w:pPr>
      <w:r>
        <w:rPr>
          <w:rFonts w:ascii="Times New Roman" w:eastAsia="Times New Roman" w:hAnsi="Times New Roman" w:cs="Times New Roman"/>
          <w:b/>
          <w:sz w:val="26"/>
        </w:rPr>
        <w:t xml:space="preserve">Цель статьи </w:t>
      </w:r>
      <w:r>
        <w:rPr>
          <w:rFonts w:ascii="Times New Roman" w:eastAsia="Times New Roman" w:hAnsi="Times New Roman" w:cs="Times New Roman"/>
          <w:sz w:val="26"/>
        </w:rPr>
        <w:t xml:space="preserve">является создания интегрированного многофункционального комплекса освещения космической обстановки в секторе Каспийского моря. </w:t>
      </w:r>
    </w:p>
    <w:p w:rsidR="0052701D" w:rsidRDefault="00D40929">
      <w:pPr>
        <w:spacing w:after="0"/>
        <w:ind w:left="989" w:hanging="10"/>
      </w:pPr>
      <w:r>
        <w:rPr>
          <w:rFonts w:ascii="Times New Roman" w:eastAsia="Times New Roman" w:hAnsi="Times New Roman" w:cs="Times New Roman"/>
          <w:b/>
          <w:sz w:val="26"/>
        </w:rPr>
        <w:t>Основная часть.</w:t>
      </w:r>
      <w:r>
        <w:rPr>
          <w:rFonts w:ascii="Times New Roman" w:eastAsia="Times New Roman" w:hAnsi="Times New Roman" w:cs="Times New Roman"/>
          <w:sz w:val="26"/>
        </w:rPr>
        <w:t xml:space="preserve">  </w:t>
      </w:r>
    </w:p>
    <w:p w:rsidR="0052701D" w:rsidRDefault="00D40929">
      <w:pPr>
        <w:spacing w:after="4" w:line="249" w:lineRule="auto"/>
        <w:ind w:left="283" w:right="325" w:firstLine="711"/>
        <w:jc w:val="both"/>
      </w:pPr>
      <w:r>
        <w:rPr>
          <w:rFonts w:ascii="Times New Roman" w:eastAsia="Times New Roman" w:hAnsi="Times New Roman" w:cs="Times New Roman"/>
          <w:sz w:val="26"/>
        </w:rPr>
        <w:t>В</w:t>
      </w:r>
      <w:r>
        <w:rPr>
          <w:rFonts w:ascii="Times New Roman" w:eastAsia="Times New Roman" w:hAnsi="Times New Roman" w:cs="Times New Roman"/>
          <w:sz w:val="26"/>
        </w:rPr>
        <w:t xml:space="preserve"> состав любой активной РТС входят устройства формирования и излучения радиоволн, а также приема и обработки радиосигналов. Параметры радиосигнала несут определенную информацию о свойствах объектов и изменении их состояния. Например, в радионавигационных си</w:t>
      </w:r>
      <w:r>
        <w:rPr>
          <w:rFonts w:ascii="Times New Roman" w:eastAsia="Times New Roman" w:hAnsi="Times New Roman" w:cs="Times New Roman"/>
          <w:sz w:val="26"/>
        </w:rPr>
        <w:t xml:space="preserve">стемах на этапе первичной обработки радиосигналов осуществляется измерение параметров сигналов, а на этапе вторичной обработки вычисляются оценки вектора состояния потребителя с использованием полученных на первом этапе оценок параметров сигналов.  </w:t>
      </w:r>
    </w:p>
    <w:p w:rsidR="0052701D" w:rsidRDefault="00D40929">
      <w:pPr>
        <w:spacing w:after="35" w:line="249" w:lineRule="auto"/>
        <w:ind w:left="283" w:firstLine="711"/>
        <w:jc w:val="both"/>
      </w:pPr>
      <w:r>
        <w:rPr>
          <w:rFonts w:ascii="Times New Roman" w:eastAsia="Times New Roman" w:hAnsi="Times New Roman" w:cs="Times New Roman"/>
          <w:sz w:val="26"/>
        </w:rPr>
        <w:t>На рис</w:t>
      </w:r>
      <w:r>
        <w:rPr>
          <w:rFonts w:ascii="Times New Roman" w:eastAsia="Times New Roman" w:hAnsi="Times New Roman" w:cs="Times New Roman"/>
          <w:sz w:val="26"/>
        </w:rPr>
        <w:t xml:space="preserve">унке 1.1 определены размеры контролируемого района, используя ГИС-проект “Google Earth”. </w:t>
      </w:r>
    </w:p>
    <w:p w:rsidR="0052701D" w:rsidRDefault="00D40929">
      <w:pPr>
        <w:spacing w:after="0"/>
        <w:ind w:left="283"/>
      </w:pPr>
      <w:r>
        <w:rPr>
          <w:rFonts w:ascii="Times New Roman" w:eastAsia="Times New Roman" w:hAnsi="Times New Roman" w:cs="Times New Roman"/>
          <w:sz w:val="28"/>
        </w:rPr>
        <w:t xml:space="preserve"> </w:t>
      </w:r>
    </w:p>
    <w:p w:rsidR="0052701D" w:rsidRDefault="00D40929">
      <w:pPr>
        <w:spacing w:after="0"/>
        <w:ind w:left="29"/>
        <w:jc w:val="center"/>
      </w:pPr>
      <w:r>
        <w:rPr>
          <w:noProof/>
        </w:rPr>
        <w:lastRenderedPageBreak/>
        <w:drawing>
          <wp:inline distT="0" distB="0" distL="0" distR="0">
            <wp:extent cx="1490472" cy="1764792"/>
            <wp:effectExtent l="0" t="0" r="0" b="0"/>
            <wp:docPr id="30905" name="Picture 30905"/>
            <wp:cNvGraphicFramePr/>
            <a:graphic xmlns:a="http://schemas.openxmlformats.org/drawingml/2006/main">
              <a:graphicData uri="http://schemas.openxmlformats.org/drawingml/2006/picture">
                <pic:pic xmlns:pic="http://schemas.openxmlformats.org/drawingml/2006/picture">
                  <pic:nvPicPr>
                    <pic:cNvPr id="30905" name="Picture 30905"/>
                    <pic:cNvPicPr/>
                  </pic:nvPicPr>
                  <pic:blipFill>
                    <a:blip r:embed="rId458"/>
                    <a:stretch>
                      <a:fillRect/>
                    </a:stretch>
                  </pic:blipFill>
                  <pic:spPr>
                    <a:xfrm>
                      <a:off x="0" y="0"/>
                      <a:ext cx="1490472" cy="1764792"/>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14" w:line="248" w:lineRule="auto"/>
        <w:ind w:left="713" w:right="751" w:hanging="5"/>
        <w:jc w:val="center"/>
      </w:pPr>
      <w:r>
        <w:rPr>
          <w:rFonts w:ascii="Times New Roman" w:eastAsia="Times New Roman" w:hAnsi="Times New Roman" w:cs="Times New Roman"/>
          <w:sz w:val="24"/>
        </w:rPr>
        <w:t xml:space="preserve">Рис.1.1.  Размеры контролируемого района Каспийского моря </w:t>
      </w:r>
    </w:p>
    <w:p w:rsidR="0052701D" w:rsidRDefault="00D40929">
      <w:pPr>
        <w:spacing w:after="0"/>
        <w:ind w:left="21"/>
        <w:jc w:val="center"/>
      </w:pPr>
      <w:r>
        <w:rPr>
          <w:rFonts w:ascii="Times New Roman" w:eastAsia="Times New Roman" w:hAnsi="Times New Roman" w:cs="Times New Roman"/>
          <w:sz w:val="24"/>
        </w:rPr>
        <w:t xml:space="preserve"> </w:t>
      </w:r>
    </w:p>
    <w:p w:rsidR="0052701D" w:rsidRDefault="00D40929">
      <w:pPr>
        <w:spacing w:after="33" w:line="271" w:lineRule="auto"/>
        <w:ind w:left="283" w:right="329" w:firstLine="711"/>
        <w:jc w:val="both"/>
      </w:pPr>
      <w:r>
        <w:rPr>
          <w:rFonts w:ascii="Times New Roman" w:eastAsia="Times New Roman" w:hAnsi="Times New Roman" w:cs="Times New Roman"/>
          <w:sz w:val="28"/>
        </w:rPr>
        <w:t>Проанализируйте тактико-</w:t>
      </w:r>
      <w:r>
        <w:rPr>
          <w:rFonts w:ascii="Times New Roman" w:eastAsia="Times New Roman" w:hAnsi="Times New Roman" w:cs="Times New Roman"/>
          <w:sz w:val="28"/>
        </w:rPr>
        <w:t xml:space="preserve">технические характеристики современных образцов украинских подвижных РЛС кругового обзора [2] и выберете наиболее подходящие для решения поставленной задачи. </w:t>
      </w:r>
    </w:p>
    <w:p w:rsidR="0052701D" w:rsidRDefault="00D40929">
      <w:pPr>
        <w:spacing w:after="127"/>
        <w:ind w:left="994"/>
      </w:pPr>
      <w:r>
        <w:rPr>
          <w:rFonts w:ascii="Times New Roman" w:eastAsia="Times New Roman" w:hAnsi="Times New Roman" w:cs="Times New Roman"/>
          <w:sz w:val="28"/>
        </w:rPr>
        <w:t xml:space="preserve"> </w:t>
      </w:r>
    </w:p>
    <w:tbl>
      <w:tblPr>
        <w:tblStyle w:val="TableGrid"/>
        <w:tblpPr w:vertAnchor="text" w:tblpX="711" w:tblpY="358"/>
        <w:tblOverlap w:val="never"/>
        <w:tblW w:w="8365" w:type="dxa"/>
        <w:tblInd w:w="0" w:type="dxa"/>
        <w:tblCellMar>
          <w:top w:w="59" w:type="dxa"/>
          <w:left w:w="226" w:type="dxa"/>
          <w:bottom w:w="0" w:type="dxa"/>
          <w:right w:w="115" w:type="dxa"/>
        </w:tblCellMar>
        <w:tblLook w:val="04A0" w:firstRow="1" w:lastRow="0" w:firstColumn="1" w:lastColumn="0" w:noHBand="0" w:noVBand="1"/>
      </w:tblPr>
      <w:tblGrid>
        <w:gridCol w:w="5671"/>
        <w:gridCol w:w="2694"/>
      </w:tblGrid>
      <w:tr w:rsidR="0052701D">
        <w:trPr>
          <w:trHeight w:val="530"/>
        </w:trPr>
        <w:tc>
          <w:tcPr>
            <w:tcW w:w="5671" w:type="dxa"/>
            <w:tcBorders>
              <w:top w:val="nil"/>
              <w:left w:val="nil"/>
              <w:bottom w:val="single" w:sz="31" w:space="0" w:color="FFFFFF"/>
              <w:right w:val="nil"/>
            </w:tcBorders>
            <w:shd w:val="clear" w:color="auto" w:fill="F2F2F2"/>
            <w:vAlign w:val="center"/>
          </w:tcPr>
          <w:p w:rsidR="0052701D" w:rsidRDefault="00D40929">
            <w:pPr>
              <w:spacing w:after="0"/>
              <w:ind w:left="58"/>
            </w:pPr>
            <w:r>
              <w:rPr>
                <w:rFonts w:ascii="Times New Roman" w:eastAsia="Times New Roman" w:hAnsi="Times New Roman" w:cs="Times New Roman"/>
                <w:color w:val="333333"/>
                <w:sz w:val="28"/>
              </w:rPr>
              <w:t xml:space="preserve">- по дальности, м </w:t>
            </w:r>
          </w:p>
        </w:tc>
        <w:tc>
          <w:tcPr>
            <w:tcW w:w="2694" w:type="dxa"/>
            <w:tcBorders>
              <w:top w:val="nil"/>
              <w:left w:val="nil"/>
              <w:bottom w:val="single" w:sz="31" w:space="0" w:color="FFFFFF"/>
              <w:right w:val="nil"/>
            </w:tcBorders>
            <w:shd w:val="clear" w:color="auto" w:fill="F2F2F2"/>
          </w:tcPr>
          <w:p w:rsidR="0052701D" w:rsidRDefault="00D40929">
            <w:pPr>
              <w:spacing w:after="0"/>
              <w:ind w:left="937"/>
            </w:pPr>
            <w:r>
              <w:rPr>
                <w:rFonts w:ascii="Times New Roman" w:eastAsia="Times New Roman" w:hAnsi="Times New Roman" w:cs="Times New Roman"/>
                <w:color w:val="333333"/>
                <w:sz w:val="28"/>
              </w:rPr>
              <w:t xml:space="preserve">400 - 500 </w:t>
            </w:r>
          </w:p>
        </w:tc>
      </w:tr>
      <w:tr w:rsidR="0052701D">
        <w:trPr>
          <w:trHeight w:val="507"/>
        </w:trPr>
        <w:tc>
          <w:tcPr>
            <w:tcW w:w="5671" w:type="dxa"/>
            <w:tcBorders>
              <w:top w:val="single" w:sz="31" w:space="0" w:color="FFFFFF"/>
              <w:left w:val="nil"/>
              <w:bottom w:val="single" w:sz="31" w:space="0" w:color="F2F2F2"/>
              <w:right w:val="nil"/>
            </w:tcBorders>
            <w:vAlign w:val="center"/>
          </w:tcPr>
          <w:p w:rsidR="0052701D" w:rsidRDefault="00D40929">
            <w:pPr>
              <w:spacing w:after="0"/>
              <w:ind w:left="58"/>
            </w:pPr>
            <w:r>
              <w:rPr>
                <w:rFonts w:ascii="Times New Roman" w:eastAsia="Times New Roman" w:hAnsi="Times New Roman" w:cs="Times New Roman"/>
                <w:color w:val="333333"/>
                <w:sz w:val="28"/>
              </w:rPr>
              <w:t xml:space="preserve">- по азимуту, град. </w:t>
            </w:r>
          </w:p>
        </w:tc>
        <w:tc>
          <w:tcPr>
            <w:tcW w:w="2694" w:type="dxa"/>
            <w:tcBorders>
              <w:top w:val="single" w:sz="31" w:space="0" w:color="FFFFFF"/>
              <w:left w:val="nil"/>
              <w:bottom w:val="single" w:sz="31" w:space="0" w:color="F2F2F2"/>
              <w:right w:val="nil"/>
            </w:tcBorders>
          </w:tcPr>
          <w:p w:rsidR="0052701D" w:rsidRDefault="00D40929">
            <w:pPr>
              <w:spacing w:after="0"/>
              <w:ind w:left="985"/>
            </w:pPr>
            <w:r>
              <w:rPr>
                <w:rFonts w:ascii="Times New Roman" w:eastAsia="Times New Roman" w:hAnsi="Times New Roman" w:cs="Times New Roman"/>
                <w:color w:val="333333"/>
                <w:sz w:val="28"/>
              </w:rPr>
              <w:t xml:space="preserve">2,5 – 3,5 </w:t>
            </w:r>
          </w:p>
        </w:tc>
      </w:tr>
      <w:tr w:rsidR="0052701D">
        <w:trPr>
          <w:trHeight w:val="797"/>
        </w:trPr>
        <w:tc>
          <w:tcPr>
            <w:tcW w:w="5671" w:type="dxa"/>
            <w:tcBorders>
              <w:top w:val="single" w:sz="31" w:space="0" w:color="F2F2F2"/>
              <w:left w:val="nil"/>
              <w:bottom w:val="single" w:sz="31" w:space="0" w:color="FFFFFF"/>
              <w:right w:val="nil"/>
            </w:tcBorders>
            <w:shd w:val="clear" w:color="auto" w:fill="F2F2F2"/>
          </w:tcPr>
          <w:p w:rsidR="0052701D" w:rsidRDefault="00D40929">
            <w:pPr>
              <w:spacing w:after="49"/>
              <w:ind w:right="61"/>
              <w:jc w:val="center"/>
            </w:pPr>
            <w:r>
              <w:rPr>
                <w:rFonts w:ascii="Times New Roman" w:eastAsia="Times New Roman" w:hAnsi="Times New Roman" w:cs="Times New Roman"/>
                <w:color w:val="333333"/>
                <w:sz w:val="28"/>
              </w:rPr>
              <w:t xml:space="preserve">Среднеквадратические ошибки измерения </w:t>
            </w:r>
          </w:p>
          <w:p w:rsidR="0052701D" w:rsidRDefault="00D40929">
            <w:pPr>
              <w:spacing w:after="0"/>
            </w:pPr>
            <w:r>
              <w:rPr>
                <w:rFonts w:ascii="Times New Roman" w:eastAsia="Times New Roman" w:hAnsi="Times New Roman" w:cs="Times New Roman"/>
                <w:color w:val="333333"/>
                <w:sz w:val="28"/>
              </w:rPr>
              <w:t xml:space="preserve">координат </w:t>
            </w:r>
          </w:p>
        </w:tc>
        <w:tc>
          <w:tcPr>
            <w:tcW w:w="2694" w:type="dxa"/>
            <w:tcBorders>
              <w:top w:val="single" w:sz="31" w:space="0" w:color="F2F2F2"/>
              <w:left w:val="nil"/>
              <w:bottom w:val="single" w:sz="31" w:space="0" w:color="FFFFFF"/>
              <w:right w:val="nil"/>
            </w:tcBorders>
            <w:shd w:val="clear" w:color="auto" w:fill="F2F2F2"/>
            <w:vAlign w:val="center"/>
          </w:tcPr>
          <w:p w:rsidR="0052701D" w:rsidRDefault="00D40929">
            <w:pPr>
              <w:spacing w:after="0"/>
              <w:ind w:left="665"/>
              <w:jc w:val="center"/>
            </w:pPr>
            <w:r>
              <w:rPr>
                <w:rFonts w:ascii="Times New Roman" w:eastAsia="Times New Roman" w:hAnsi="Times New Roman" w:cs="Times New Roman"/>
                <w:color w:val="333333"/>
                <w:sz w:val="28"/>
              </w:rPr>
              <w:t xml:space="preserve"> </w:t>
            </w:r>
          </w:p>
        </w:tc>
      </w:tr>
      <w:tr w:rsidR="0052701D">
        <w:trPr>
          <w:trHeight w:val="504"/>
        </w:trPr>
        <w:tc>
          <w:tcPr>
            <w:tcW w:w="5671" w:type="dxa"/>
            <w:tcBorders>
              <w:top w:val="single" w:sz="31" w:space="0" w:color="FFFFFF"/>
              <w:left w:val="nil"/>
              <w:bottom w:val="nil"/>
              <w:right w:val="nil"/>
            </w:tcBorders>
            <w:vAlign w:val="center"/>
          </w:tcPr>
          <w:p w:rsidR="0052701D" w:rsidRDefault="00D40929">
            <w:pPr>
              <w:spacing w:after="0"/>
              <w:ind w:left="58"/>
            </w:pPr>
            <w:r>
              <w:rPr>
                <w:rFonts w:ascii="Times New Roman" w:eastAsia="Times New Roman" w:hAnsi="Times New Roman" w:cs="Times New Roman"/>
                <w:color w:val="333333"/>
                <w:sz w:val="28"/>
              </w:rPr>
              <w:t xml:space="preserve">- по дальности, м </w:t>
            </w:r>
          </w:p>
        </w:tc>
        <w:tc>
          <w:tcPr>
            <w:tcW w:w="2694" w:type="dxa"/>
            <w:tcBorders>
              <w:top w:val="single" w:sz="31" w:space="0" w:color="FFFFFF"/>
              <w:left w:val="nil"/>
              <w:bottom w:val="nil"/>
              <w:right w:val="nil"/>
            </w:tcBorders>
          </w:tcPr>
          <w:p w:rsidR="0052701D" w:rsidRDefault="00D40929">
            <w:pPr>
              <w:spacing w:after="0"/>
              <w:ind w:left="601"/>
              <w:jc w:val="center"/>
            </w:pPr>
            <w:r>
              <w:rPr>
                <w:rFonts w:ascii="Times New Roman" w:eastAsia="Times New Roman" w:hAnsi="Times New Roman" w:cs="Times New Roman"/>
                <w:color w:val="333333"/>
                <w:sz w:val="28"/>
              </w:rPr>
              <w:t xml:space="preserve">100 </w:t>
            </w:r>
          </w:p>
        </w:tc>
      </w:tr>
      <w:tr w:rsidR="0052701D">
        <w:trPr>
          <w:trHeight w:val="531"/>
        </w:trPr>
        <w:tc>
          <w:tcPr>
            <w:tcW w:w="5671" w:type="dxa"/>
            <w:tcBorders>
              <w:top w:val="nil"/>
              <w:left w:val="nil"/>
              <w:bottom w:val="single" w:sz="31" w:space="0" w:color="FFFFFF"/>
              <w:right w:val="nil"/>
            </w:tcBorders>
            <w:shd w:val="clear" w:color="auto" w:fill="F2F2F2"/>
            <w:vAlign w:val="center"/>
          </w:tcPr>
          <w:p w:rsidR="0052701D" w:rsidRDefault="00D40929">
            <w:pPr>
              <w:spacing w:after="0"/>
              <w:ind w:left="58"/>
            </w:pPr>
            <w:r>
              <w:rPr>
                <w:rFonts w:ascii="Times New Roman" w:eastAsia="Times New Roman" w:hAnsi="Times New Roman" w:cs="Times New Roman"/>
                <w:color w:val="333333"/>
                <w:sz w:val="28"/>
              </w:rPr>
              <w:t xml:space="preserve">- по высоте, м </w:t>
            </w:r>
          </w:p>
        </w:tc>
        <w:tc>
          <w:tcPr>
            <w:tcW w:w="2694" w:type="dxa"/>
            <w:tcBorders>
              <w:top w:val="nil"/>
              <w:left w:val="nil"/>
              <w:bottom w:val="single" w:sz="31" w:space="0" w:color="FFFFFF"/>
              <w:right w:val="nil"/>
            </w:tcBorders>
            <w:shd w:val="clear" w:color="auto" w:fill="F2F2F2"/>
            <w:vAlign w:val="center"/>
          </w:tcPr>
          <w:p w:rsidR="0052701D" w:rsidRDefault="00D40929">
            <w:pPr>
              <w:spacing w:after="0"/>
              <w:ind w:right="115"/>
              <w:jc w:val="center"/>
            </w:pPr>
            <w:r>
              <w:rPr>
                <w:rFonts w:ascii="Times New Roman" w:eastAsia="Times New Roman" w:hAnsi="Times New Roman" w:cs="Times New Roman"/>
                <w:color w:val="333333"/>
                <w:sz w:val="28"/>
              </w:rPr>
              <w:t xml:space="preserve">не более 300 - 600 </w:t>
            </w:r>
          </w:p>
        </w:tc>
      </w:tr>
    </w:tbl>
    <w:p w:rsidR="0052701D" w:rsidRDefault="00D40929">
      <w:pPr>
        <w:tabs>
          <w:tab w:val="center" w:pos="2644"/>
          <w:tab w:val="center" w:pos="8082"/>
        </w:tabs>
        <w:spacing w:after="96" w:line="265" w:lineRule="auto"/>
      </w:pPr>
      <w:r>
        <w:rPr>
          <w:noProof/>
        </w:rPr>
        <mc:AlternateContent>
          <mc:Choice Requires="wpg">
            <w:drawing>
              <wp:anchor distT="0" distB="0" distL="114300" distR="114300" simplePos="0" relativeHeight="251764736" behindDoc="0" locked="0" layoutInCell="1" allowOverlap="1">
                <wp:simplePos x="0" y="0"/>
                <wp:positionH relativeFrom="column">
                  <wp:posOffset>451434</wp:posOffset>
                </wp:positionH>
                <wp:positionV relativeFrom="paragraph">
                  <wp:posOffset>2029624</wp:posOffset>
                </wp:positionV>
                <wp:extent cx="3600958" cy="158496"/>
                <wp:effectExtent l="0" t="0" r="0" b="0"/>
                <wp:wrapSquare wrapText="bothSides"/>
                <wp:docPr id="949812" name="Group 949812"/>
                <wp:cNvGraphicFramePr/>
                <a:graphic xmlns:a="http://schemas.openxmlformats.org/drawingml/2006/main">
                  <a:graphicData uri="http://schemas.microsoft.com/office/word/2010/wordprocessingGroup">
                    <wpg:wgp>
                      <wpg:cNvGrpSpPr/>
                      <wpg:grpSpPr>
                        <a:xfrm>
                          <a:off x="0" y="0"/>
                          <a:ext cx="3600958" cy="158496"/>
                          <a:chOff x="0" y="0"/>
                          <a:chExt cx="3600958" cy="158496"/>
                        </a:xfrm>
                      </wpg:grpSpPr>
                      <wps:wsp>
                        <wps:cNvPr id="1065201" name="Shape 1065201"/>
                        <wps:cNvSpPr/>
                        <wps:spPr>
                          <a:xfrm>
                            <a:off x="0" y="0"/>
                            <a:ext cx="3600958" cy="158496"/>
                          </a:xfrm>
                          <a:custGeom>
                            <a:avLst/>
                            <a:gdLst/>
                            <a:ahLst/>
                            <a:cxnLst/>
                            <a:rect l="0" t="0" r="0" b="0"/>
                            <a:pathLst>
                              <a:path w="3600958" h="158496">
                                <a:moveTo>
                                  <a:pt x="0" y="0"/>
                                </a:moveTo>
                                <a:lnTo>
                                  <a:pt x="3600958" y="0"/>
                                </a:lnTo>
                                <a:lnTo>
                                  <a:pt x="3600958" y="158496"/>
                                </a:lnTo>
                                <a:lnTo>
                                  <a:pt x="0" y="15849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a="http://schemas.openxmlformats.org/drawingml/2006/main">
            <w:pict>
              <v:group id="Group 949812" style="width:283.54pt;height:12.48pt;position:absolute;mso-position-horizontal-relative:text;mso-position-horizontal:absolute;margin-left:35.546pt;mso-position-vertical-relative:text;margin-top:159.813pt;" coordsize="36009,1584">
                <v:shape id="Shape 1065202" style="position:absolute;width:36009;height:1584;left:0;top:0;" coordsize="3600958,158496" path="m0,0l3600958,0l3600958,158496l0,158496l0,0">
                  <v:stroke weight="0pt" endcap="flat" joinstyle="miter" miterlimit="10" on="false" color="#000000" opacity="0"/>
                  <v:fill on="true" color="#ffffff"/>
                </v:shape>
                <w10:wrap type="square"/>
              </v:group>
            </w:pict>
          </mc:Fallback>
        </mc:AlternateContent>
      </w:r>
      <w:r>
        <w:tab/>
      </w:r>
      <w:r>
        <w:rPr>
          <w:rFonts w:ascii="Times New Roman" w:eastAsia="Times New Roman" w:hAnsi="Times New Roman" w:cs="Times New Roman"/>
          <w:color w:val="333333"/>
          <w:sz w:val="28"/>
        </w:rPr>
        <w:t xml:space="preserve">Разрешающая способность: </w:t>
      </w:r>
      <w:r>
        <w:rPr>
          <w:rFonts w:ascii="Times New Roman" w:eastAsia="Times New Roman" w:hAnsi="Times New Roman" w:cs="Times New Roman"/>
          <w:color w:val="333333"/>
          <w:sz w:val="28"/>
        </w:rPr>
        <w:tab/>
        <w:t xml:space="preserve"> </w:t>
      </w:r>
    </w:p>
    <w:p w:rsidR="0052701D" w:rsidRDefault="00D40929">
      <w:pPr>
        <w:spacing w:before="56" w:after="0" w:line="265" w:lineRule="auto"/>
        <w:ind w:left="989" w:hanging="10"/>
      </w:pPr>
      <w:r>
        <w:rPr>
          <w:rFonts w:ascii="Times New Roman" w:eastAsia="Times New Roman" w:hAnsi="Times New Roman" w:cs="Times New Roman"/>
          <w:color w:val="333333"/>
          <w:sz w:val="28"/>
        </w:rPr>
        <w:t xml:space="preserve">- по азимуту, мин. </w:t>
      </w:r>
    </w:p>
    <w:p w:rsidR="0052701D" w:rsidRDefault="00D40929">
      <w:pPr>
        <w:spacing w:after="119"/>
        <w:ind w:right="1359"/>
        <w:jc w:val="right"/>
      </w:pPr>
      <w:r>
        <w:rPr>
          <w:rFonts w:ascii="Times New Roman" w:eastAsia="Times New Roman" w:hAnsi="Times New Roman" w:cs="Times New Roman"/>
          <w:color w:val="333333"/>
          <w:sz w:val="28"/>
        </w:rPr>
        <w:t xml:space="preserve">20 </w:t>
      </w:r>
    </w:p>
    <w:p w:rsidR="0052701D" w:rsidRDefault="00D40929">
      <w:pPr>
        <w:spacing w:after="5" w:line="271" w:lineRule="auto"/>
        <w:ind w:left="994" w:right="64"/>
        <w:jc w:val="both"/>
      </w:pPr>
      <w:r>
        <w:rPr>
          <w:rFonts w:ascii="Times New Roman" w:eastAsia="Times New Roman" w:hAnsi="Times New Roman" w:cs="Times New Roman"/>
          <w:sz w:val="28"/>
        </w:rPr>
        <w:t xml:space="preserve">Используя, ГИС-проект “Google Earth”, выбрать местоположение РЛС </w:t>
      </w:r>
    </w:p>
    <w:p w:rsidR="0052701D" w:rsidRDefault="00D40929">
      <w:pPr>
        <w:spacing w:after="5" w:line="271" w:lineRule="auto"/>
        <w:ind w:left="283" w:right="337"/>
        <w:jc w:val="both"/>
      </w:pPr>
      <w:r>
        <w:rPr>
          <w:rFonts w:ascii="Times New Roman" w:eastAsia="Times New Roman" w:hAnsi="Times New Roman" w:cs="Times New Roman"/>
          <w:sz w:val="28"/>
        </w:rPr>
        <w:t xml:space="preserve">(см рис 1.3) на местности с учетом необходимого перекрытия зон обзора соседних станций и углов закрытия РЛС с учетом рельефа местности, для высоты полета цели 10 000м.  </w:t>
      </w:r>
    </w:p>
    <w:p w:rsidR="0052701D" w:rsidRDefault="00D40929">
      <w:pPr>
        <w:spacing w:after="0"/>
        <w:ind w:left="994"/>
      </w:pPr>
      <w:r>
        <w:rPr>
          <w:rFonts w:ascii="Times New Roman" w:eastAsia="Times New Roman" w:hAnsi="Times New Roman" w:cs="Times New Roman"/>
          <w:sz w:val="28"/>
        </w:rPr>
        <w:t xml:space="preserve"> </w:t>
      </w:r>
    </w:p>
    <w:p w:rsidR="0052701D" w:rsidRDefault="00D40929">
      <w:pPr>
        <w:spacing w:after="0"/>
        <w:ind w:left="740"/>
        <w:jc w:val="center"/>
      </w:pPr>
      <w:r>
        <w:rPr>
          <w:noProof/>
        </w:rPr>
        <w:drawing>
          <wp:inline distT="0" distB="0" distL="0" distR="0">
            <wp:extent cx="2523744" cy="1115568"/>
            <wp:effectExtent l="0" t="0" r="0" b="0"/>
            <wp:docPr id="31095" name="Picture 31095"/>
            <wp:cNvGraphicFramePr/>
            <a:graphic xmlns:a="http://schemas.openxmlformats.org/drawingml/2006/main">
              <a:graphicData uri="http://schemas.openxmlformats.org/drawingml/2006/picture">
                <pic:pic xmlns:pic="http://schemas.openxmlformats.org/drawingml/2006/picture">
                  <pic:nvPicPr>
                    <pic:cNvPr id="31095" name="Picture 31095"/>
                    <pic:cNvPicPr/>
                  </pic:nvPicPr>
                  <pic:blipFill>
                    <a:blip r:embed="rId459"/>
                    <a:stretch>
                      <a:fillRect/>
                    </a:stretch>
                  </pic:blipFill>
                  <pic:spPr>
                    <a:xfrm>
                      <a:off x="0" y="0"/>
                      <a:ext cx="2523744" cy="1115568"/>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11"/>
        <w:ind w:left="994"/>
      </w:pPr>
      <w:r>
        <w:rPr>
          <w:rFonts w:ascii="Times New Roman" w:eastAsia="Times New Roman" w:hAnsi="Times New Roman" w:cs="Times New Roman"/>
          <w:sz w:val="28"/>
        </w:rPr>
        <w:t xml:space="preserve"> </w:t>
      </w:r>
    </w:p>
    <w:p w:rsidR="0052701D" w:rsidRDefault="00D40929">
      <w:pPr>
        <w:spacing w:after="29" w:line="248" w:lineRule="auto"/>
        <w:ind w:left="1618" w:right="14"/>
        <w:jc w:val="both"/>
      </w:pPr>
      <w:r>
        <w:rPr>
          <w:rFonts w:ascii="Times New Roman" w:eastAsia="Times New Roman" w:hAnsi="Times New Roman" w:cs="Times New Roman"/>
          <w:sz w:val="24"/>
        </w:rPr>
        <w:t xml:space="preserve">Рис.1.2.Рельеф местности от РЛС до водной глади Каспийского моря </w:t>
      </w:r>
    </w:p>
    <w:p w:rsidR="0052701D" w:rsidRDefault="00D40929">
      <w:pPr>
        <w:spacing w:after="26"/>
        <w:ind w:left="994"/>
      </w:pPr>
      <w:r>
        <w:rPr>
          <w:rFonts w:ascii="Times New Roman" w:eastAsia="Times New Roman" w:hAnsi="Times New Roman" w:cs="Times New Roman"/>
          <w:sz w:val="24"/>
        </w:rPr>
        <w:t xml:space="preserve"> </w:t>
      </w:r>
    </w:p>
    <w:p w:rsidR="0052701D" w:rsidRDefault="00D40929">
      <w:pPr>
        <w:spacing w:after="0"/>
        <w:ind w:left="739"/>
        <w:jc w:val="center"/>
      </w:pPr>
      <w:r>
        <w:rPr>
          <w:noProof/>
        </w:rPr>
        <w:lastRenderedPageBreak/>
        <w:drawing>
          <wp:inline distT="0" distB="0" distL="0" distR="0">
            <wp:extent cx="1392936" cy="1694688"/>
            <wp:effectExtent l="0" t="0" r="0" b="0"/>
            <wp:docPr id="31097" name="Picture 31097"/>
            <wp:cNvGraphicFramePr/>
            <a:graphic xmlns:a="http://schemas.openxmlformats.org/drawingml/2006/main">
              <a:graphicData uri="http://schemas.openxmlformats.org/drawingml/2006/picture">
                <pic:pic xmlns:pic="http://schemas.openxmlformats.org/drawingml/2006/picture">
                  <pic:nvPicPr>
                    <pic:cNvPr id="31097" name="Picture 31097"/>
                    <pic:cNvPicPr/>
                  </pic:nvPicPr>
                  <pic:blipFill>
                    <a:blip r:embed="rId460"/>
                    <a:stretch>
                      <a:fillRect/>
                    </a:stretch>
                  </pic:blipFill>
                  <pic:spPr>
                    <a:xfrm>
                      <a:off x="0" y="0"/>
                      <a:ext cx="1392936" cy="1694688"/>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5"/>
        <w:ind w:left="741"/>
        <w:jc w:val="center"/>
      </w:pPr>
      <w:r>
        <w:rPr>
          <w:rFonts w:ascii="Times New Roman" w:eastAsia="Times New Roman" w:hAnsi="Times New Roman" w:cs="Times New Roman"/>
          <w:sz w:val="28"/>
        </w:rPr>
        <w:t xml:space="preserve"> </w:t>
      </w:r>
    </w:p>
    <w:p w:rsidR="0052701D" w:rsidRDefault="00D40929">
      <w:pPr>
        <w:spacing w:after="47" w:line="248" w:lineRule="auto"/>
        <w:ind w:left="713" w:right="32" w:hanging="5"/>
        <w:jc w:val="center"/>
      </w:pPr>
      <w:r>
        <w:rPr>
          <w:rFonts w:ascii="Times New Roman" w:eastAsia="Times New Roman" w:hAnsi="Times New Roman" w:cs="Times New Roman"/>
          <w:sz w:val="24"/>
        </w:rPr>
        <w:t xml:space="preserve">Рис.1.3 – Расположения РЛС </w:t>
      </w:r>
    </w:p>
    <w:p w:rsidR="0052701D" w:rsidRDefault="00D40929">
      <w:pPr>
        <w:spacing w:after="0"/>
        <w:ind w:left="994"/>
      </w:pPr>
      <w:r>
        <w:rPr>
          <w:rFonts w:ascii="Times New Roman" w:eastAsia="Times New Roman" w:hAnsi="Times New Roman" w:cs="Times New Roman"/>
          <w:sz w:val="28"/>
        </w:rPr>
        <w:t xml:space="preserve"> </w:t>
      </w:r>
    </w:p>
    <w:p w:rsidR="0052701D" w:rsidRDefault="00D40929">
      <w:pPr>
        <w:spacing w:after="5" w:line="271" w:lineRule="auto"/>
        <w:ind w:left="283" w:right="331" w:firstLine="711"/>
        <w:jc w:val="both"/>
      </w:pPr>
      <w:r>
        <w:rPr>
          <w:rFonts w:ascii="Times New Roman" w:eastAsia="Times New Roman" w:hAnsi="Times New Roman" w:cs="Times New Roman"/>
          <w:sz w:val="28"/>
        </w:rPr>
        <w:t>Схему системы контроля воздушной обстановки недостающими РЛС с привязкой на местности, с учетом необходимого перекрытия зон обзора соседних станций и углов закрытия РЛС с учетом рельефа местности, для обеспечения контроля поле</w:t>
      </w:r>
      <w:r>
        <w:rPr>
          <w:rFonts w:ascii="Times New Roman" w:eastAsia="Times New Roman" w:hAnsi="Times New Roman" w:cs="Times New Roman"/>
          <w:sz w:val="28"/>
        </w:rPr>
        <w:t xml:space="preserve">та цели на высоте 100 м показана на рисунке 1.4. Также  на высоте 1000 м показана на рисунке 1.5 и на высоте 10000 м показана на рисунке 1.6. </w:t>
      </w:r>
    </w:p>
    <w:p w:rsidR="0052701D" w:rsidRDefault="00D40929">
      <w:pPr>
        <w:spacing w:after="0"/>
        <w:ind w:left="29"/>
        <w:jc w:val="center"/>
      </w:pPr>
      <w:r>
        <w:rPr>
          <w:noProof/>
        </w:rPr>
        <w:drawing>
          <wp:inline distT="0" distB="0" distL="0" distR="0">
            <wp:extent cx="1271016" cy="1511808"/>
            <wp:effectExtent l="0" t="0" r="0" b="0"/>
            <wp:docPr id="31145" name="Picture 31145"/>
            <wp:cNvGraphicFramePr/>
            <a:graphic xmlns:a="http://schemas.openxmlformats.org/drawingml/2006/main">
              <a:graphicData uri="http://schemas.openxmlformats.org/drawingml/2006/picture">
                <pic:pic xmlns:pic="http://schemas.openxmlformats.org/drawingml/2006/picture">
                  <pic:nvPicPr>
                    <pic:cNvPr id="31145" name="Picture 31145"/>
                    <pic:cNvPicPr/>
                  </pic:nvPicPr>
                  <pic:blipFill>
                    <a:blip r:embed="rId461"/>
                    <a:stretch>
                      <a:fillRect/>
                    </a:stretch>
                  </pic:blipFill>
                  <pic:spPr>
                    <a:xfrm>
                      <a:off x="0" y="0"/>
                      <a:ext cx="1271016" cy="1511808"/>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29" w:line="248" w:lineRule="auto"/>
        <w:ind w:left="2118" w:right="14"/>
        <w:jc w:val="both"/>
      </w:pPr>
      <w:r>
        <w:rPr>
          <w:rFonts w:ascii="Times New Roman" w:eastAsia="Times New Roman" w:hAnsi="Times New Roman" w:cs="Times New Roman"/>
          <w:sz w:val="24"/>
        </w:rPr>
        <w:t xml:space="preserve">Рис.1.4.Обеспечения контроля полета цели на высоте 100 м </w:t>
      </w:r>
    </w:p>
    <w:p w:rsidR="0052701D" w:rsidRDefault="00D40929">
      <w:pPr>
        <w:spacing w:after="27"/>
        <w:ind w:left="732"/>
        <w:jc w:val="center"/>
      </w:pPr>
      <w:r>
        <w:rPr>
          <w:rFonts w:ascii="Times New Roman" w:eastAsia="Times New Roman" w:hAnsi="Times New Roman" w:cs="Times New Roman"/>
          <w:sz w:val="24"/>
        </w:rPr>
        <w:t xml:space="preserve"> </w:t>
      </w:r>
    </w:p>
    <w:p w:rsidR="0052701D" w:rsidRDefault="00D40929">
      <w:pPr>
        <w:spacing w:after="0"/>
        <w:ind w:left="29"/>
        <w:jc w:val="center"/>
      </w:pPr>
      <w:r>
        <w:rPr>
          <w:noProof/>
        </w:rPr>
        <w:drawing>
          <wp:inline distT="0" distB="0" distL="0" distR="0">
            <wp:extent cx="1450848" cy="1594104"/>
            <wp:effectExtent l="0" t="0" r="0" b="0"/>
            <wp:docPr id="31147" name="Picture 31147"/>
            <wp:cNvGraphicFramePr/>
            <a:graphic xmlns:a="http://schemas.openxmlformats.org/drawingml/2006/main">
              <a:graphicData uri="http://schemas.openxmlformats.org/drawingml/2006/picture">
                <pic:pic xmlns:pic="http://schemas.openxmlformats.org/drawingml/2006/picture">
                  <pic:nvPicPr>
                    <pic:cNvPr id="31147" name="Picture 31147"/>
                    <pic:cNvPicPr/>
                  </pic:nvPicPr>
                  <pic:blipFill>
                    <a:blip r:embed="rId462"/>
                    <a:stretch>
                      <a:fillRect/>
                    </a:stretch>
                  </pic:blipFill>
                  <pic:spPr>
                    <a:xfrm>
                      <a:off x="0" y="0"/>
                      <a:ext cx="1450848" cy="1594104"/>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29" w:line="248" w:lineRule="auto"/>
        <w:ind w:left="2027" w:right="14"/>
        <w:jc w:val="both"/>
      </w:pPr>
      <w:r>
        <w:rPr>
          <w:rFonts w:ascii="Times New Roman" w:eastAsia="Times New Roman" w:hAnsi="Times New Roman" w:cs="Times New Roman"/>
          <w:sz w:val="24"/>
        </w:rPr>
        <w:t>Рис.1.5. Обеспечения контроля полета цели на вы</w:t>
      </w:r>
      <w:r>
        <w:rPr>
          <w:rFonts w:ascii="Times New Roman" w:eastAsia="Times New Roman" w:hAnsi="Times New Roman" w:cs="Times New Roman"/>
          <w:sz w:val="24"/>
        </w:rPr>
        <w:t xml:space="preserve">соте 1000 м </w:t>
      </w:r>
    </w:p>
    <w:p w:rsidR="0052701D" w:rsidRDefault="00D40929">
      <w:pPr>
        <w:spacing w:after="0"/>
        <w:ind w:left="994"/>
      </w:pPr>
      <w:r>
        <w:rPr>
          <w:rFonts w:ascii="Times New Roman" w:eastAsia="Times New Roman" w:hAnsi="Times New Roman" w:cs="Times New Roman"/>
          <w:sz w:val="28"/>
        </w:rPr>
        <w:t xml:space="preserve"> </w:t>
      </w:r>
    </w:p>
    <w:p w:rsidR="0052701D" w:rsidRDefault="00D40929">
      <w:pPr>
        <w:spacing w:after="35" w:line="271" w:lineRule="auto"/>
        <w:ind w:left="283" w:right="64" w:firstLine="711"/>
        <w:jc w:val="both"/>
      </w:pPr>
      <w:r>
        <w:rPr>
          <w:rFonts w:ascii="Times New Roman" w:eastAsia="Times New Roman" w:hAnsi="Times New Roman" w:cs="Times New Roman"/>
          <w:sz w:val="28"/>
        </w:rPr>
        <w:t xml:space="preserve">Схема системы контроля воздушной обстановки РЛС для обеспечения контроля полета цели на высоте 1000 м показана на рисунке 1.5.  </w:t>
      </w:r>
    </w:p>
    <w:p w:rsidR="0052701D" w:rsidRDefault="00D40929">
      <w:pPr>
        <w:spacing w:after="0"/>
        <w:ind w:left="994"/>
      </w:pPr>
      <w:r>
        <w:rPr>
          <w:rFonts w:ascii="Times New Roman" w:eastAsia="Times New Roman" w:hAnsi="Times New Roman" w:cs="Times New Roman"/>
          <w:sz w:val="28"/>
        </w:rPr>
        <w:t xml:space="preserve"> </w:t>
      </w:r>
    </w:p>
    <w:p w:rsidR="0052701D" w:rsidRDefault="00D40929">
      <w:pPr>
        <w:spacing w:after="0"/>
        <w:ind w:left="29"/>
        <w:jc w:val="center"/>
      </w:pPr>
      <w:r>
        <w:rPr>
          <w:noProof/>
        </w:rPr>
        <w:lastRenderedPageBreak/>
        <w:drawing>
          <wp:inline distT="0" distB="0" distL="0" distR="0">
            <wp:extent cx="1545336" cy="1911096"/>
            <wp:effectExtent l="0" t="0" r="0" b="0"/>
            <wp:docPr id="31149" name="Picture 31149"/>
            <wp:cNvGraphicFramePr/>
            <a:graphic xmlns:a="http://schemas.openxmlformats.org/drawingml/2006/main">
              <a:graphicData uri="http://schemas.openxmlformats.org/drawingml/2006/picture">
                <pic:pic xmlns:pic="http://schemas.openxmlformats.org/drawingml/2006/picture">
                  <pic:nvPicPr>
                    <pic:cNvPr id="31149" name="Picture 31149"/>
                    <pic:cNvPicPr/>
                  </pic:nvPicPr>
                  <pic:blipFill>
                    <a:blip r:embed="rId463"/>
                    <a:stretch>
                      <a:fillRect/>
                    </a:stretch>
                  </pic:blipFill>
                  <pic:spPr>
                    <a:xfrm>
                      <a:off x="0" y="0"/>
                      <a:ext cx="1545336" cy="1911096"/>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29" w:line="248" w:lineRule="auto"/>
        <w:ind w:left="1998" w:right="14"/>
        <w:jc w:val="both"/>
      </w:pPr>
      <w:r>
        <w:rPr>
          <w:rFonts w:ascii="Times New Roman" w:eastAsia="Times New Roman" w:hAnsi="Times New Roman" w:cs="Times New Roman"/>
          <w:sz w:val="24"/>
        </w:rPr>
        <w:t xml:space="preserve">Рис.1.6.Обеспечения контроля полета цели на высоте 10000 м </w:t>
      </w:r>
    </w:p>
    <w:p w:rsidR="0052701D" w:rsidRDefault="00D40929">
      <w:pPr>
        <w:spacing w:after="0"/>
        <w:ind w:left="994"/>
      </w:pPr>
      <w:r>
        <w:rPr>
          <w:rFonts w:ascii="Times New Roman" w:eastAsia="Times New Roman" w:hAnsi="Times New Roman" w:cs="Times New Roman"/>
          <w:sz w:val="28"/>
        </w:rPr>
        <w:t xml:space="preserve"> </w:t>
      </w:r>
    </w:p>
    <w:p w:rsidR="0052701D" w:rsidRDefault="00D40929">
      <w:pPr>
        <w:spacing w:after="35" w:line="271" w:lineRule="auto"/>
        <w:ind w:left="283" w:right="64" w:firstLine="711"/>
        <w:jc w:val="both"/>
      </w:pPr>
      <w:r>
        <w:rPr>
          <w:rFonts w:ascii="Times New Roman" w:eastAsia="Times New Roman" w:hAnsi="Times New Roman" w:cs="Times New Roman"/>
          <w:sz w:val="28"/>
        </w:rPr>
        <w:t xml:space="preserve">Практическое получение радиолокационных измерений с использованием имитатора работы РЛС кругового обзора (РЛСКО). </w:t>
      </w:r>
    </w:p>
    <w:p w:rsidR="0052701D" w:rsidRDefault="00D40929">
      <w:pPr>
        <w:spacing w:after="5" w:line="271" w:lineRule="auto"/>
        <w:ind w:left="283" w:right="327" w:firstLine="711"/>
        <w:jc w:val="both"/>
      </w:pPr>
      <w:r>
        <w:rPr>
          <w:rFonts w:ascii="Times New Roman" w:eastAsia="Times New Roman" w:hAnsi="Times New Roman" w:cs="Times New Roman"/>
          <w:sz w:val="28"/>
        </w:rPr>
        <w:t xml:space="preserve">Установить на компьютере имитатор работы РЛСКО, используя модуль Setup_RTS302-187.exe. После завершения установки имитатора на рабочем столе </w:t>
      </w:r>
      <w:r>
        <w:rPr>
          <w:rFonts w:ascii="Times New Roman" w:eastAsia="Times New Roman" w:hAnsi="Times New Roman" w:cs="Times New Roman"/>
          <w:sz w:val="28"/>
        </w:rPr>
        <w:t>появится окошко подпрограммы «Micro». Запустите на выполнение подпрограмму «Micro». После получения изображения рабочего окна программы, которое приведено на рис. 1, выберите подменю «File» и загрузите файл с названием «Test». Выберите режимы работы имитат</w:t>
      </w:r>
      <w:r>
        <w:rPr>
          <w:rFonts w:ascii="Times New Roman" w:eastAsia="Times New Roman" w:hAnsi="Times New Roman" w:cs="Times New Roman"/>
          <w:sz w:val="28"/>
        </w:rPr>
        <w:t>ора, показанные на рис.1, а именно, скорость вращения антенны 2 об/мин, шкала дальности - 200 км. Нажмите на кнопку «Start». Всего имитатор формирует траектории движения четырех радиолокационных целей РЦ1-РЦ4, которые находятся на разных расстояниях от РЛС</w:t>
      </w:r>
      <w:r>
        <w:rPr>
          <w:rFonts w:ascii="Times New Roman" w:eastAsia="Times New Roman" w:hAnsi="Times New Roman" w:cs="Times New Roman"/>
          <w:sz w:val="28"/>
        </w:rPr>
        <w:t xml:space="preserve"> и движутся с разных азимутальных направлений (см. рис. 1.7 и рис. 1.8). </w:t>
      </w:r>
    </w:p>
    <w:p w:rsidR="0052701D" w:rsidRDefault="00D40929">
      <w:pPr>
        <w:spacing w:after="0"/>
        <w:ind w:left="994"/>
      </w:pPr>
      <w:r>
        <w:rPr>
          <w:rFonts w:ascii="Times New Roman" w:eastAsia="Times New Roman" w:hAnsi="Times New Roman" w:cs="Times New Roman"/>
          <w:b/>
          <w:sz w:val="28"/>
        </w:rPr>
        <w:t xml:space="preserve"> </w:t>
      </w:r>
    </w:p>
    <w:p w:rsidR="0052701D" w:rsidRDefault="00D40929">
      <w:pPr>
        <w:spacing w:after="0"/>
        <w:ind w:left="29"/>
        <w:jc w:val="center"/>
      </w:pPr>
      <w:r>
        <w:rPr>
          <w:noProof/>
        </w:rPr>
        <w:drawing>
          <wp:inline distT="0" distB="0" distL="0" distR="0">
            <wp:extent cx="1932432" cy="1222248"/>
            <wp:effectExtent l="0" t="0" r="0" b="0"/>
            <wp:docPr id="31237" name="Picture 31237"/>
            <wp:cNvGraphicFramePr/>
            <a:graphic xmlns:a="http://schemas.openxmlformats.org/drawingml/2006/main">
              <a:graphicData uri="http://schemas.openxmlformats.org/drawingml/2006/picture">
                <pic:pic xmlns:pic="http://schemas.openxmlformats.org/drawingml/2006/picture">
                  <pic:nvPicPr>
                    <pic:cNvPr id="31237" name="Picture 31237"/>
                    <pic:cNvPicPr/>
                  </pic:nvPicPr>
                  <pic:blipFill>
                    <a:blip r:embed="rId464"/>
                    <a:stretch>
                      <a:fillRect/>
                    </a:stretch>
                  </pic:blipFill>
                  <pic:spPr>
                    <a:xfrm>
                      <a:off x="0" y="0"/>
                      <a:ext cx="1932432" cy="1222248"/>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14" w:line="248" w:lineRule="auto"/>
        <w:ind w:left="713" w:right="36" w:hanging="5"/>
        <w:jc w:val="center"/>
      </w:pPr>
      <w:r>
        <w:rPr>
          <w:rFonts w:ascii="Times New Roman" w:eastAsia="Times New Roman" w:hAnsi="Times New Roman" w:cs="Times New Roman"/>
          <w:sz w:val="24"/>
        </w:rPr>
        <w:t xml:space="preserve">Рис. 1.7. Траектория движения РЦ1, РЦ2 </w:t>
      </w:r>
    </w:p>
    <w:p w:rsidR="0052701D" w:rsidRDefault="00D40929">
      <w:pPr>
        <w:spacing w:after="32"/>
        <w:ind w:left="732"/>
        <w:jc w:val="center"/>
      </w:pPr>
      <w:r>
        <w:rPr>
          <w:rFonts w:ascii="Times New Roman" w:eastAsia="Times New Roman" w:hAnsi="Times New Roman" w:cs="Times New Roman"/>
          <w:sz w:val="24"/>
        </w:rPr>
        <w:t xml:space="preserve"> </w:t>
      </w:r>
    </w:p>
    <w:p w:rsidR="0052701D" w:rsidRDefault="00D40929">
      <w:pPr>
        <w:spacing w:after="0"/>
        <w:ind w:left="29"/>
        <w:jc w:val="center"/>
      </w:pPr>
      <w:r>
        <w:rPr>
          <w:noProof/>
        </w:rPr>
        <w:drawing>
          <wp:inline distT="0" distB="0" distL="0" distR="0">
            <wp:extent cx="2270760" cy="1377696"/>
            <wp:effectExtent l="0" t="0" r="0" b="0"/>
            <wp:docPr id="31239" name="Picture 31239"/>
            <wp:cNvGraphicFramePr/>
            <a:graphic xmlns:a="http://schemas.openxmlformats.org/drawingml/2006/main">
              <a:graphicData uri="http://schemas.openxmlformats.org/drawingml/2006/picture">
                <pic:pic xmlns:pic="http://schemas.openxmlformats.org/drawingml/2006/picture">
                  <pic:nvPicPr>
                    <pic:cNvPr id="31239" name="Picture 31239"/>
                    <pic:cNvPicPr/>
                  </pic:nvPicPr>
                  <pic:blipFill>
                    <a:blip r:embed="rId465"/>
                    <a:stretch>
                      <a:fillRect/>
                    </a:stretch>
                  </pic:blipFill>
                  <pic:spPr>
                    <a:xfrm>
                      <a:off x="0" y="0"/>
                      <a:ext cx="2270760" cy="1377696"/>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11"/>
        <w:ind w:left="31"/>
        <w:jc w:val="center"/>
      </w:pPr>
      <w:r>
        <w:rPr>
          <w:rFonts w:ascii="Times New Roman" w:eastAsia="Times New Roman" w:hAnsi="Times New Roman" w:cs="Times New Roman"/>
          <w:sz w:val="28"/>
        </w:rPr>
        <w:t xml:space="preserve"> </w:t>
      </w:r>
    </w:p>
    <w:p w:rsidR="0052701D" w:rsidRDefault="00D40929">
      <w:pPr>
        <w:spacing w:after="29" w:line="248" w:lineRule="auto"/>
        <w:ind w:left="2123" w:right="14"/>
        <w:jc w:val="both"/>
      </w:pPr>
      <w:r>
        <w:rPr>
          <w:rFonts w:ascii="Times New Roman" w:eastAsia="Times New Roman" w:hAnsi="Times New Roman" w:cs="Times New Roman"/>
          <w:sz w:val="24"/>
        </w:rPr>
        <w:t>Рис.1.8.Получение массивов радиолокационных измерений</w:t>
      </w:r>
      <w:r>
        <w:rPr>
          <w:rFonts w:ascii="Times New Roman" w:eastAsia="Times New Roman" w:hAnsi="Times New Roman" w:cs="Times New Roman"/>
          <w:b/>
          <w:sz w:val="24"/>
        </w:rPr>
        <w:t xml:space="preserve"> </w:t>
      </w:r>
    </w:p>
    <w:p w:rsidR="0052701D" w:rsidRDefault="00D40929">
      <w:pPr>
        <w:spacing w:after="0"/>
        <w:ind w:left="741"/>
        <w:jc w:val="center"/>
      </w:pPr>
      <w:r>
        <w:rPr>
          <w:rFonts w:ascii="Times New Roman" w:eastAsia="Times New Roman" w:hAnsi="Times New Roman" w:cs="Times New Roman"/>
          <w:sz w:val="28"/>
        </w:rPr>
        <w:t xml:space="preserve"> </w:t>
      </w:r>
    </w:p>
    <w:p w:rsidR="0052701D" w:rsidRDefault="00D40929">
      <w:pPr>
        <w:spacing w:after="5" w:line="271" w:lineRule="auto"/>
        <w:ind w:left="283" w:right="323" w:firstLine="711"/>
        <w:jc w:val="both"/>
      </w:pPr>
      <w:r>
        <w:rPr>
          <w:rFonts w:ascii="Times New Roman" w:eastAsia="Times New Roman" w:hAnsi="Times New Roman" w:cs="Times New Roman"/>
          <w:sz w:val="28"/>
        </w:rPr>
        <w:lastRenderedPageBreak/>
        <w:t xml:space="preserve">Используя имитатор РЛСКО, получите массив радиолокационных измерений (дальность - Дц, азимут - </w:t>
      </w:r>
      <w:r>
        <w:rPr>
          <w:rFonts w:ascii="Segoe UI Symbol" w:eastAsia="Segoe UI Symbol" w:hAnsi="Segoe UI Symbol" w:cs="Segoe UI Symbol"/>
          <w:sz w:val="28"/>
        </w:rPr>
        <w:t></w:t>
      </w:r>
      <w:r>
        <w:rPr>
          <w:rFonts w:ascii="Times New Roman" w:eastAsia="Times New Roman" w:hAnsi="Times New Roman" w:cs="Times New Roman"/>
          <w:sz w:val="28"/>
        </w:rPr>
        <w:t xml:space="preserve">ц) для построения траектории движения цели РЦ1-РЦ4 в сферической системе координат в течение 20 мин с интервалом 1 мин для заданной высоты движения цели. </w:t>
      </w:r>
    </w:p>
    <w:p w:rsidR="0052701D" w:rsidRDefault="00D40929">
      <w:pPr>
        <w:spacing w:after="5" w:line="271" w:lineRule="auto"/>
        <w:ind w:left="283" w:right="329" w:firstLine="711"/>
        <w:jc w:val="both"/>
      </w:pPr>
      <w:r>
        <w:rPr>
          <w:rFonts w:ascii="Times New Roman" w:eastAsia="Times New Roman" w:hAnsi="Times New Roman" w:cs="Times New Roman"/>
          <w:sz w:val="28"/>
        </w:rPr>
        <w:t>Для п</w:t>
      </w:r>
      <w:r>
        <w:rPr>
          <w:rFonts w:ascii="Times New Roman" w:eastAsia="Times New Roman" w:hAnsi="Times New Roman" w:cs="Times New Roman"/>
          <w:sz w:val="28"/>
        </w:rPr>
        <w:t>олучения отметок РЦ, для каждого момента измерения дальности Дц, надо по заданным значениям высоты Н</w:t>
      </w:r>
      <w:r>
        <w:rPr>
          <w:rFonts w:ascii="Times New Roman" w:eastAsia="Times New Roman" w:hAnsi="Times New Roman" w:cs="Times New Roman"/>
          <w:sz w:val="28"/>
          <w:vertAlign w:val="subscript"/>
        </w:rPr>
        <w:t>Ц</w:t>
      </w:r>
      <w:r>
        <w:rPr>
          <w:rFonts w:ascii="Times New Roman" w:eastAsia="Times New Roman" w:hAnsi="Times New Roman" w:cs="Times New Roman"/>
          <w:sz w:val="28"/>
        </w:rPr>
        <w:t xml:space="preserve"> рассчитать значение угла места РЦ </w:t>
      </w:r>
      <w:r>
        <w:rPr>
          <w:rFonts w:ascii="Segoe UI Symbol" w:eastAsia="Segoe UI Symbol" w:hAnsi="Segoe UI Symbol" w:cs="Segoe UI Symbol"/>
          <w:sz w:val="28"/>
        </w:rPr>
        <w:t></w:t>
      </w:r>
      <w:r>
        <w:rPr>
          <w:rFonts w:ascii="Times New Roman" w:eastAsia="Times New Roman" w:hAnsi="Times New Roman" w:cs="Times New Roman"/>
          <w:sz w:val="28"/>
          <w:vertAlign w:val="subscript"/>
        </w:rPr>
        <w:t>ц</w:t>
      </w:r>
      <w:r>
        <w:rPr>
          <w:rFonts w:ascii="Times New Roman" w:eastAsia="Times New Roman" w:hAnsi="Times New Roman" w:cs="Times New Roman"/>
          <w:sz w:val="28"/>
        </w:rPr>
        <w:t xml:space="preserve">  по методике, которая объясняется на рисунке 2.5, по выражению [3]:  </w:t>
      </w:r>
    </w:p>
    <w:p w:rsidR="0052701D" w:rsidRDefault="00D40929">
      <w:pPr>
        <w:spacing w:after="14" w:line="249" w:lineRule="auto"/>
        <w:ind w:left="954" w:right="271" w:hanging="10"/>
        <w:jc w:val="center"/>
      </w:pPr>
      <w:r>
        <w:rPr>
          <w:noProof/>
        </w:rPr>
        <w:drawing>
          <wp:inline distT="0" distB="0" distL="0" distR="0">
            <wp:extent cx="1883664" cy="490728"/>
            <wp:effectExtent l="0" t="0" r="0" b="0"/>
            <wp:docPr id="31241" name="Picture 31241"/>
            <wp:cNvGraphicFramePr/>
            <a:graphic xmlns:a="http://schemas.openxmlformats.org/drawingml/2006/main">
              <a:graphicData uri="http://schemas.openxmlformats.org/drawingml/2006/picture">
                <pic:pic xmlns:pic="http://schemas.openxmlformats.org/drawingml/2006/picture">
                  <pic:nvPicPr>
                    <pic:cNvPr id="31241" name="Picture 31241"/>
                    <pic:cNvPicPr/>
                  </pic:nvPicPr>
                  <pic:blipFill>
                    <a:blip r:embed="rId466"/>
                    <a:stretch>
                      <a:fillRect/>
                    </a:stretch>
                  </pic:blipFill>
                  <pic:spPr>
                    <a:xfrm>
                      <a:off x="0" y="0"/>
                      <a:ext cx="1883664" cy="490728"/>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5" w:line="271" w:lineRule="auto"/>
        <w:ind w:left="283" w:right="325" w:firstLine="711"/>
        <w:jc w:val="both"/>
      </w:pPr>
      <w:r>
        <w:rPr>
          <w:rFonts w:ascii="Times New Roman" w:eastAsia="Times New Roman" w:hAnsi="Times New Roman" w:cs="Times New Roman"/>
          <w:sz w:val="28"/>
        </w:rPr>
        <w:t>Создать массив полученных отметок РЦ (t,</w:t>
      </w:r>
      <w:r>
        <w:rPr>
          <w:rFonts w:ascii="Times New Roman" w:eastAsia="Times New Roman" w:hAnsi="Times New Roman" w:cs="Times New Roman"/>
          <w:b/>
          <w:sz w:val="28"/>
        </w:rPr>
        <w:t xml:space="preserve"> </w:t>
      </w:r>
      <w:r>
        <w:rPr>
          <w:rFonts w:ascii="Times New Roman" w:eastAsia="Times New Roman" w:hAnsi="Times New Roman" w:cs="Times New Roman"/>
          <w:sz w:val="28"/>
        </w:rPr>
        <w:t>Д</w:t>
      </w:r>
      <w:r>
        <w:rPr>
          <w:rFonts w:ascii="Times New Roman" w:eastAsia="Times New Roman" w:hAnsi="Times New Roman" w:cs="Times New Roman"/>
          <w:sz w:val="28"/>
          <w:vertAlign w:val="subscript"/>
        </w:rPr>
        <w:t>ц</w:t>
      </w:r>
      <w:r>
        <w:rPr>
          <w:rFonts w:ascii="Times New Roman" w:eastAsia="Times New Roman" w:hAnsi="Times New Roman" w:cs="Times New Roman"/>
          <w:sz w:val="28"/>
        </w:rPr>
        <w:t>,</w:t>
      </w:r>
      <w:r>
        <w:rPr>
          <w:rFonts w:ascii="Times New Roman" w:eastAsia="Times New Roman" w:hAnsi="Times New Roman" w:cs="Times New Roman"/>
          <w:sz w:val="18"/>
        </w:rPr>
        <w:t xml:space="preserve"> </w:t>
      </w:r>
      <w:r>
        <w:rPr>
          <w:rFonts w:ascii="Segoe UI Symbol" w:eastAsia="Segoe UI Symbol" w:hAnsi="Segoe UI Symbol" w:cs="Segoe UI Symbol"/>
          <w:sz w:val="28"/>
        </w:rPr>
        <w:t></w:t>
      </w:r>
      <w:r>
        <w:rPr>
          <w:rFonts w:ascii="Times New Roman" w:eastAsia="Times New Roman" w:hAnsi="Times New Roman" w:cs="Times New Roman"/>
          <w:sz w:val="28"/>
          <w:vertAlign w:val="subscript"/>
        </w:rPr>
        <w:t>ц</w:t>
      </w:r>
      <w:r>
        <w:rPr>
          <w:rFonts w:ascii="Times New Roman" w:eastAsia="Times New Roman" w:hAnsi="Times New Roman" w:cs="Times New Roman"/>
          <w:sz w:val="28"/>
        </w:rPr>
        <w:t xml:space="preserve">, </w:t>
      </w:r>
      <w:r>
        <w:rPr>
          <w:rFonts w:ascii="Segoe UI Symbol" w:eastAsia="Segoe UI Symbol" w:hAnsi="Segoe UI Symbol" w:cs="Segoe UI Symbol"/>
          <w:sz w:val="28"/>
        </w:rPr>
        <w:t></w:t>
      </w:r>
      <w:r>
        <w:rPr>
          <w:rFonts w:ascii="Times New Roman" w:eastAsia="Times New Roman" w:hAnsi="Times New Roman" w:cs="Times New Roman"/>
          <w:sz w:val="28"/>
          <w:vertAlign w:val="subscript"/>
        </w:rPr>
        <w:t>ц</w:t>
      </w:r>
      <w:r>
        <w:rPr>
          <w:rFonts w:ascii="Times New Roman" w:eastAsia="Times New Roman" w:hAnsi="Times New Roman" w:cs="Times New Roman"/>
          <w:sz w:val="28"/>
        </w:rPr>
        <w:t xml:space="preserve">) в сферической системе координат и построить графики изменения во времени полученных значений.  </w:t>
      </w:r>
    </w:p>
    <w:p w:rsidR="0052701D" w:rsidRDefault="00D40929">
      <w:pPr>
        <w:spacing w:after="0"/>
        <w:ind w:left="994"/>
      </w:pPr>
      <w:r>
        <w:rPr>
          <w:rFonts w:ascii="Times New Roman" w:eastAsia="Times New Roman" w:hAnsi="Times New Roman" w:cs="Times New Roman"/>
          <w:sz w:val="28"/>
        </w:rPr>
        <w:t xml:space="preserve"> </w:t>
      </w:r>
    </w:p>
    <w:p w:rsidR="0052701D" w:rsidRDefault="00D40929">
      <w:pPr>
        <w:spacing w:after="0"/>
        <w:ind w:left="740"/>
        <w:jc w:val="center"/>
      </w:pPr>
      <w:r>
        <w:rPr>
          <w:noProof/>
        </w:rPr>
        <w:drawing>
          <wp:inline distT="0" distB="0" distL="0" distR="0">
            <wp:extent cx="2499360" cy="1584960"/>
            <wp:effectExtent l="0" t="0" r="0" b="0"/>
            <wp:docPr id="31298" name="Picture 31298"/>
            <wp:cNvGraphicFramePr/>
            <a:graphic xmlns:a="http://schemas.openxmlformats.org/drawingml/2006/main">
              <a:graphicData uri="http://schemas.openxmlformats.org/drawingml/2006/picture">
                <pic:pic xmlns:pic="http://schemas.openxmlformats.org/drawingml/2006/picture">
                  <pic:nvPicPr>
                    <pic:cNvPr id="31298" name="Picture 31298"/>
                    <pic:cNvPicPr/>
                  </pic:nvPicPr>
                  <pic:blipFill>
                    <a:blip r:embed="rId467"/>
                    <a:stretch>
                      <a:fillRect/>
                    </a:stretch>
                  </pic:blipFill>
                  <pic:spPr>
                    <a:xfrm>
                      <a:off x="0" y="0"/>
                      <a:ext cx="2499360" cy="1584960"/>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14" w:line="248" w:lineRule="auto"/>
        <w:ind w:left="713" w:right="751" w:hanging="5"/>
        <w:jc w:val="center"/>
      </w:pPr>
      <w:r>
        <w:rPr>
          <w:rFonts w:ascii="Times New Roman" w:eastAsia="Times New Roman" w:hAnsi="Times New Roman" w:cs="Times New Roman"/>
          <w:sz w:val="24"/>
        </w:rPr>
        <w:t xml:space="preserve">Рис.1.9. Определение координат целей </w:t>
      </w:r>
    </w:p>
    <w:p w:rsidR="0052701D" w:rsidRDefault="00D40929">
      <w:pPr>
        <w:spacing w:after="41"/>
        <w:ind w:left="21"/>
        <w:jc w:val="center"/>
      </w:pPr>
      <w:r>
        <w:rPr>
          <w:rFonts w:ascii="Times New Roman" w:eastAsia="Times New Roman" w:hAnsi="Times New Roman" w:cs="Times New Roman"/>
          <w:sz w:val="24"/>
        </w:rPr>
        <w:t xml:space="preserve"> </w:t>
      </w:r>
    </w:p>
    <w:p w:rsidR="0052701D" w:rsidRDefault="00D40929">
      <w:pPr>
        <w:spacing w:after="29" w:line="271" w:lineRule="auto"/>
        <w:ind w:left="283" w:right="324" w:firstLine="711"/>
        <w:jc w:val="both"/>
      </w:pPr>
      <w:r>
        <w:rPr>
          <w:rFonts w:ascii="Times New Roman" w:eastAsia="Times New Roman" w:hAnsi="Times New Roman" w:cs="Times New Roman"/>
          <w:sz w:val="28"/>
        </w:rPr>
        <w:t xml:space="preserve">Для нанесения на карту выбираем вариант траектории движения цели 03 относительно РЛС используя программное обеспечение AZBook, который приведен на рисунке 1.10. и данные были занесены в таблицу 2. </w:t>
      </w:r>
    </w:p>
    <w:p w:rsidR="0052701D" w:rsidRDefault="00D40929">
      <w:pPr>
        <w:spacing w:after="0"/>
        <w:ind w:left="994"/>
      </w:pPr>
      <w:r>
        <w:rPr>
          <w:rFonts w:ascii="Times New Roman" w:eastAsia="Times New Roman" w:hAnsi="Times New Roman" w:cs="Times New Roman"/>
          <w:sz w:val="28"/>
        </w:rPr>
        <w:t xml:space="preserve"> </w:t>
      </w:r>
    </w:p>
    <w:p w:rsidR="0052701D" w:rsidRDefault="00D40929">
      <w:pPr>
        <w:spacing w:after="0"/>
        <w:ind w:left="29"/>
        <w:jc w:val="center"/>
      </w:pPr>
      <w:r>
        <w:rPr>
          <w:noProof/>
        </w:rPr>
        <w:drawing>
          <wp:inline distT="0" distB="0" distL="0" distR="0">
            <wp:extent cx="2386584" cy="1901952"/>
            <wp:effectExtent l="0" t="0" r="0" b="0"/>
            <wp:docPr id="31300" name="Picture 31300"/>
            <wp:cNvGraphicFramePr/>
            <a:graphic xmlns:a="http://schemas.openxmlformats.org/drawingml/2006/main">
              <a:graphicData uri="http://schemas.openxmlformats.org/drawingml/2006/picture">
                <pic:pic xmlns:pic="http://schemas.openxmlformats.org/drawingml/2006/picture">
                  <pic:nvPicPr>
                    <pic:cNvPr id="31300" name="Picture 31300"/>
                    <pic:cNvPicPr/>
                  </pic:nvPicPr>
                  <pic:blipFill>
                    <a:blip r:embed="rId468"/>
                    <a:stretch>
                      <a:fillRect/>
                    </a:stretch>
                  </pic:blipFill>
                  <pic:spPr>
                    <a:xfrm>
                      <a:off x="0" y="0"/>
                      <a:ext cx="2386584" cy="1901952"/>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52" w:line="248" w:lineRule="auto"/>
        <w:ind w:left="713" w:right="743" w:hanging="5"/>
        <w:jc w:val="center"/>
      </w:pPr>
      <w:r>
        <w:rPr>
          <w:rFonts w:ascii="Times New Roman" w:eastAsia="Times New Roman" w:hAnsi="Times New Roman" w:cs="Times New Roman"/>
          <w:sz w:val="24"/>
        </w:rPr>
        <w:t xml:space="preserve">Рис.1.10. Траектория движения цели </w:t>
      </w:r>
    </w:p>
    <w:p w:rsidR="0052701D" w:rsidRDefault="00D40929">
      <w:pPr>
        <w:spacing w:after="0"/>
        <w:ind w:left="1004"/>
      </w:pPr>
      <w:r>
        <w:rPr>
          <w:rFonts w:ascii="Times New Roman" w:eastAsia="Times New Roman" w:hAnsi="Times New Roman" w:cs="Times New Roman"/>
          <w:b/>
          <w:sz w:val="28"/>
        </w:rPr>
        <w:t xml:space="preserve"> </w:t>
      </w:r>
    </w:p>
    <w:p w:rsidR="0052701D" w:rsidRDefault="00D40929">
      <w:pPr>
        <w:spacing w:after="35" w:line="271" w:lineRule="auto"/>
        <w:ind w:left="283" w:right="64" w:firstLine="711"/>
        <w:jc w:val="both"/>
      </w:pPr>
      <w:r>
        <w:rPr>
          <w:rFonts w:ascii="Times New Roman" w:eastAsia="Times New Roman" w:hAnsi="Times New Roman" w:cs="Times New Roman"/>
          <w:sz w:val="28"/>
        </w:rPr>
        <w:t xml:space="preserve">Выбрана РЛС на </w:t>
      </w:r>
      <w:r>
        <w:rPr>
          <w:rFonts w:ascii="Times New Roman" w:eastAsia="Times New Roman" w:hAnsi="Times New Roman" w:cs="Times New Roman"/>
          <w:sz w:val="28"/>
        </w:rPr>
        <w:t xml:space="preserve">схеме системы контроля воздушной обстановки, которая наблюдала цель.  </w:t>
      </w:r>
    </w:p>
    <w:p w:rsidR="0052701D" w:rsidRDefault="00D40929">
      <w:pPr>
        <w:spacing w:after="31" w:line="271" w:lineRule="auto"/>
        <w:ind w:left="283" w:right="64" w:firstLine="711"/>
        <w:jc w:val="both"/>
      </w:pPr>
      <w:r>
        <w:rPr>
          <w:rFonts w:ascii="Times New Roman" w:eastAsia="Times New Roman" w:hAnsi="Times New Roman" w:cs="Times New Roman"/>
          <w:sz w:val="28"/>
        </w:rPr>
        <w:lastRenderedPageBreak/>
        <w:t xml:space="preserve">В качестве РЛС на схеме системы контроля воздушной обстановки была выбрана РЛС №19, которая наблюдала цель показана в рисунке 1.11. </w:t>
      </w:r>
    </w:p>
    <w:p w:rsidR="0052701D" w:rsidRDefault="00D40929">
      <w:pPr>
        <w:spacing w:after="0"/>
        <w:ind w:left="994"/>
      </w:pPr>
      <w:r>
        <w:rPr>
          <w:rFonts w:ascii="Times New Roman" w:eastAsia="Times New Roman" w:hAnsi="Times New Roman" w:cs="Times New Roman"/>
          <w:sz w:val="28"/>
        </w:rPr>
        <w:t xml:space="preserve"> </w:t>
      </w:r>
    </w:p>
    <w:p w:rsidR="0052701D" w:rsidRDefault="00D40929">
      <w:pPr>
        <w:spacing w:after="0"/>
        <w:ind w:left="740"/>
        <w:jc w:val="center"/>
      </w:pPr>
      <w:r>
        <w:rPr>
          <w:noProof/>
        </w:rPr>
        <w:drawing>
          <wp:inline distT="0" distB="0" distL="0" distR="0">
            <wp:extent cx="1783080" cy="1310640"/>
            <wp:effectExtent l="0" t="0" r="0" b="0"/>
            <wp:docPr id="31302" name="Picture 31302"/>
            <wp:cNvGraphicFramePr/>
            <a:graphic xmlns:a="http://schemas.openxmlformats.org/drawingml/2006/main">
              <a:graphicData uri="http://schemas.openxmlformats.org/drawingml/2006/picture">
                <pic:pic xmlns:pic="http://schemas.openxmlformats.org/drawingml/2006/picture">
                  <pic:nvPicPr>
                    <pic:cNvPr id="31302" name="Picture 31302"/>
                    <pic:cNvPicPr/>
                  </pic:nvPicPr>
                  <pic:blipFill>
                    <a:blip r:embed="rId469"/>
                    <a:stretch>
                      <a:fillRect/>
                    </a:stretch>
                  </pic:blipFill>
                  <pic:spPr>
                    <a:xfrm>
                      <a:off x="0" y="0"/>
                      <a:ext cx="1783080" cy="1310640"/>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14" w:line="248" w:lineRule="auto"/>
        <w:ind w:left="713" w:right="751" w:hanging="5"/>
        <w:jc w:val="center"/>
      </w:pPr>
      <w:r>
        <w:rPr>
          <w:rFonts w:ascii="Times New Roman" w:eastAsia="Times New Roman" w:hAnsi="Times New Roman" w:cs="Times New Roman"/>
          <w:sz w:val="24"/>
        </w:rPr>
        <w:t>Рис.1.11. Траектория движения цели относительно</w:t>
      </w:r>
      <w:r>
        <w:rPr>
          <w:rFonts w:ascii="Times New Roman" w:eastAsia="Times New Roman" w:hAnsi="Times New Roman" w:cs="Times New Roman"/>
          <w:sz w:val="24"/>
        </w:rPr>
        <w:t xml:space="preserve"> РЛС №19 </w:t>
      </w:r>
    </w:p>
    <w:p w:rsidR="0052701D" w:rsidRDefault="00D40929">
      <w:pPr>
        <w:spacing w:after="0"/>
        <w:ind w:left="994"/>
      </w:pPr>
      <w:r>
        <w:rPr>
          <w:rFonts w:ascii="Times New Roman" w:eastAsia="Times New Roman" w:hAnsi="Times New Roman" w:cs="Times New Roman"/>
          <w:sz w:val="24"/>
        </w:rPr>
        <w:t xml:space="preserve"> </w:t>
      </w:r>
    </w:p>
    <w:p w:rsidR="0052701D" w:rsidRDefault="00D40929">
      <w:pPr>
        <w:spacing w:after="5" w:line="271" w:lineRule="auto"/>
        <w:ind w:left="994" w:right="64"/>
        <w:jc w:val="both"/>
      </w:pPr>
      <w:r>
        <w:rPr>
          <w:rFonts w:ascii="Times New Roman" w:eastAsia="Times New Roman" w:hAnsi="Times New Roman" w:cs="Times New Roman"/>
          <w:sz w:val="28"/>
        </w:rPr>
        <w:t xml:space="preserve">РЛС №19, с координатами: С.Ш. - 46°48'37.89"С, В.Д. - 50°12'55.46"В. </w:t>
      </w:r>
    </w:p>
    <w:p w:rsidR="0052701D" w:rsidRDefault="00D40929">
      <w:pPr>
        <w:spacing w:after="44" w:line="271" w:lineRule="auto"/>
        <w:ind w:left="283" w:right="332" w:firstLine="711"/>
        <w:jc w:val="both"/>
      </w:pPr>
      <w:r>
        <w:rPr>
          <w:rFonts w:ascii="Times New Roman" w:eastAsia="Times New Roman" w:hAnsi="Times New Roman" w:cs="Times New Roman"/>
          <w:sz w:val="28"/>
        </w:rPr>
        <w:t>Изменение координат цели во времени нанесено в виде отметок широты B</w:t>
      </w:r>
      <w:r>
        <w:rPr>
          <w:rFonts w:ascii="Times New Roman" w:eastAsia="Times New Roman" w:hAnsi="Times New Roman" w:cs="Times New Roman"/>
          <w:sz w:val="28"/>
          <w:vertAlign w:val="subscript"/>
        </w:rPr>
        <w:t>ц</w:t>
      </w:r>
      <w:r>
        <w:rPr>
          <w:rFonts w:ascii="Times New Roman" w:eastAsia="Times New Roman" w:hAnsi="Times New Roman" w:cs="Times New Roman"/>
          <w:sz w:val="28"/>
        </w:rPr>
        <w:t xml:space="preserve"> и долготы L</w:t>
      </w:r>
      <w:r>
        <w:rPr>
          <w:rFonts w:ascii="Times New Roman" w:eastAsia="Times New Roman" w:hAnsi="Times New Roman" w:cs="Times New Roman"/>
          <w:sz w:val="28"/>
          <w:vertAlign w:val="subscript"/>
        </w:rPr>
        <w:t>ц</w:t>
      </w:r>
      <w:r>
        <w:rPr>
          <w:rFonts w:ascii="Times New Roman" w:eastAsia="Times New Roman" w:hAnsi="Times New Roman" w:cs="Times New Roman"/>
          <w:sz w:val="28"/>
        </w:rPr>
        <w:t xml:space="preserve"> на схему системы контроля воздушной обстановки, используя ГИС-проект “Google Earth”. </w:t>
      </w:r>
    </w:p>
    <w:p w:rsidR="0052701D" w:rsidRDefault="00D40929">
      <w:pPr>
        <w:spacing w:after="31" w:line="271" w:lineRule="auto"/>
        <w:ind w:left="283" w:right="64" w:firstLine="711"/>
        <w:jc w:val="both"/>
      </w:pPr>
      <w:r>
        <w:rPr>
          <w:rFonts w:ascii="Times New Roman" w:eastAsia="Times New Roman" w:hAnsi="Times New Roman" w:cs="Times New Roman"/>
          <w:sz w:val="28"/>
        </w:rPr>
        <w:t>Определите широту РЛС B</w:t>
      </w:r>
      <w:r>
        <w:rPr>
          <w:rFonts w:ascii="Times New Roman" w:eastAsia="Times New Roman" w:hAnsi="Times New Roman" w:cs="Times New Roman"/>
          <w:sz w:val="28"/>
          <w:vertAlign w:val="subscript"/>
        </w:rPr>
        <w:t>РЛС</w:t>
      </w:r>
      <w:r>
        <w:rPr>
          <w:rFonts w:ascii="Times New Roman" w:eastAsia="Times New Roman" w:hAnsi="Times New Roman" w:cs="Times New Roman"/>
          <w:sz w:val="28"/>
        </w:rPr>
        <w:t xml:space="preserve"> и долготу L</w:t>
      </w:r>
      <w:r>
        <w:rPr>
          <w:rFonts w:ascii="Times New Roman" w:eastAsia="Times New Roman" w:hAnsi="Times New Roman" w:cs="Times New Roman"/>
          <w:sz w:val="28"/>
          <w:vertAlign w:val="subscript"/>
        </w:rPr>
        <w:t>РЛС</w:t>
      </w:r>
      <w:r>
        <w:rPr>
          <w:rFonts w:ascii="Times New Roman" w:eastAsia="Times New Roman" w:hAnsi="Times New Roman" w:cs="Times New Roman"/>
          <w:sz w:val="28"/>
        </w:rPr>
        <w:t xml:space="preserve"> в географической системе координат (ГЦСК) (рис.1.11) [3].  </w:t>
      </w:r>
    </w:p>
    <w:p w:rsidR="0052701D" w:rsidRDefault="00D40929">
      <w:pPr>
        <w:spacing w:after="0"/>
        <w:ind w:left="994"/>
      </w:pPr>
      <w:r>
        <w:rPr>
          <w:rFonts w:ascii="Times New Roman" w:eastAsia="Times New Roman" w:hAnsi="Times New Roman" w:cs="Times New Roman"/>
          <w:sz w:val="28"/>
        </w:rPr>
        <w:t xml:space="preserve"> </w:t>
      </w:r>
    </w:p>
    <w:p w:rsidR="0052701D" w:rsidRDefault="00D40929">
      <w:pPr>
        <w:spacing w:after="0"/>
        <w:ind w:left="29"/>
        <w:jc w:val="center"/>
      </w:pPr>
      <w:r>
        <w:rPr>
          <w:noProof/>
        </w:rPr>
        <w:drawing>
          <wp:inline distT="0" distB="0" distL="0" distR="0">
            <wp:extent cx="1996440" cy="1505712"/>
            <wp:effectExtent l="0" t="0" r="0" b="0"/>
            <wp:docPr id="31442" name="Picture 31442"/>
            <wp:cNvGraphicFramePr/>
            <a:graphic xmlns:a="http://schemas.openxmlformats.org/drawingml/2006/main">
              <a:graphicData uri="http://schemas.openxmlformats.org/drawingml/2006/picture">
                <pic:pic xmlns:pic="http://schemas.openxmlformats.org/drawingml/2006/picture">
                  <pic:nvPicPr>
                    <pic:cNvPr id="31442" name="Picture 31442"/>
                    <pic:cNvPicPr/>
                  </pic:nvPicPr>
                  <pic:blipFill>
                    <a:blip r:embed="rId470"/>
                    <a:stretch>
                      <a:fillRect/>
                    </a:stretch>
                  </pic:blipFill>
                  <pic:spPr>
                    <a:xfrm>
                      <a:off x="0" y="0"/>
                      <a:ext cx="1996440" cy="1505712"/>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47" w:line="248" w:lineRule="auto"/>
        <w:ind w:left="713" w:right="748" w:hanging="5"/>
        <w:jc w:val="center"/>
      </w:pPr>
      <w:r>
        <w:rPr>
          <w:rFonts w:ascii="Times New Roman" w:eastAsia="Times New Roman" w:hAnsi="Times New Roman" w:cs="Times New Roman"/>
          <w:sz w:val="24"/>
        </w:rPr>
        <w:t xml:space="preserve">Рис. 1.12. Географическая система координат (ГЦСК) </w:t>
      </w:r>
    </w:p>
    <w:p w:rsidR="0052701D" w:rsidRDefault="00D40929">
      <w:pPr>
        <w:spacing w:after="56"/>
        <w:ind w:left="994"/>
      </w:pPr>
      <w:r>
        <w:rPr>
          <w:rFonts w:ascii="Times New Roman" w:eastAsia="Times New Roman" w:hAnsi="Times New Roman" w:cs="Times New Roman"/>
          <w:sz w:val="28"/>
        </w:rPr>
        <w:t xml:space="preserve"> </w:t>
      </w:r>
    </w:p>
    <w:p w:rsidR="0052701D" w:rsidRDefault="00D40929">
      <w:pPr>
        <w:spacing w:after="56" w:line="271" w:lineRule="auto"/>
        <w:ind w:left="994" w:right="64"/>
        <w:jc w:val="both"/>
      </w:pPr>
      <w:r>
        <w:rPr>
          <w:rFonts w:ascii="Times New Roman" w:eastAsia="Times New Roman" w:hAnsi="Times New Roman" w:cs="Times New Roman"/>
          <w:sz w:val="28"/>
        </w:rPr>
        <w:t xml:space="preserve">Координаты РЛС №19, в географической системе:  </w:t>
      </w:r>
    </w:p>
    <w:p w:rsidR="0052701D" w:rsidRDefault="00D40929">
      <w:pPr>
        <w:spacing w:after="5" w:line="271" w:lineRule="auto"/>
        <w:ind w:left="994" w:right="64"/>
        <w:jc w:val="both"/>
      </w:pPr>
      <w:r>
        <w:rPr>
          <w:rFonts w:ascii="Times New Roman" w:eastAsia="Times New Roman" w:hAnsi="Times New Roman" w:cs="Times New Roman"/>
          <w:sz w:val="28"/>
        </w:rPr>
        <w:t>B</w:t>
      </w:r>
      <w:r>
        <w:rPr>
          <w:rFonts w:ascii="Times New Roman" w:eastAsia="Times New Roman" w:hAnsi="Times New Roman" w:cs="Times New Roman"/>
          <w:sz w:val="28"/>
          <w:vertAlign w:val="subscript"/>
        </w:rPr>
        <w:t>РЛС</w:t>
      </w:r>
      <w:r>
        <w:rPr>
          <w:rFonts w:ascii="Times New Roman" w:eastAsia="Times New Roman" w:hAnsi="Times New Roman" w:cs="Times New Roman"/>
          <w:sz w:val="28"/>
        </w:rPr>
        <w:t xml:space="preserve"> = 46,878°, L</w:t>
      </w:r>
      <w:r>
        <w:rPr>
          <w:rFonts w:ascii="Times New Roman" w:eastAsia="Times New Roman" w:hAnsi="Times New Roman" w:cs="Times New Roman"/>
          <w:sz w:val="28"/>
          <w:vertAlign w:val="subscript"/>
        </w:rPr>
        <w:t xml:space="preserve">РЛС </w:t>
      </w:r>
      <w:r>
        <w:rPr>
          <w:rFonts w:ascii="Times New Roman" w:eastAsia="Times New Roman" w:hAnsi="Times New Roman" w:cs="Times New Roman"/>
          <w:sz w:val="28"/>
        </w:rPr>
        <w:t xml:space="preserve">= 50,177°. </w:t>
      </w:r>
    </w:p>
    <w:p w:rsidR="0052701D" w:rsidRDefault="00D40929">
      <w:pPr>
        <w:spacing w:after="5" w:line="271" w:lineRule="auto"/>
        <w:ind w:left="283" w:right="333" w:firstLine="711"/>
        <w:jc w:val="both"/>
      </w:pPr>
      <w:r>
        <w:rPr>
          <w:rFonts w:ascii="Times New Roman" w:eastAsia="Times New Roman" w:hAnsi="Times New Roman" w:cs="Times New Roman"/>
          <w:sz w:val="28"/>
        </w:rPr>
        <w:t>Для описания п</w:t>
      </w:r>
      <w:r>
        <w:rPr>
          <w:rFonts w:ascii="Times New Roman" w:eastAsia="Times New Roman" w:hAnsi="Times New Roman" w:cs="Times New Roman"/>
          <w:sz w:val="28"/>
        </w:rPr>
        <w:t xml:space="preserve">еремещения объекта относительно точки на поверхности Земли используют топоцентрическую местную прямоугольную систему координат (МПСК) и сферическую СК.  </w:t>
      </w:r>
    </w:p>
    <w:p w:rsidR="0052701D" w:rsidRDefault="00D40929">
      <w:pPr>
        <w:spacing w:after="0"/>
        <w:ind w:left="994"/>
      </w:pPr>
      <w:r>
        <w:rPr>
          <w:rFonts w:ascii="Times New Roman" w:eastAsia="Times New Roman" w:hAnsi="Times New Roman" w:cs="Times New Roman"/>
          <w:sz w:val="28"/>
        </w:rPr>
        <w:t xml:space="preserve"> </w:t>
      </w:r>
    </w:p>
    <w:p w:rsidR="0052701D" w:rsidRDefault="00D40929">
      <w:pPr>
        <w:spacing w:after="0"/>
        <w:ind w:left="29"/>
        <w:jc w:val="center"/>
      </w:pPr>
      <w:r>
        <w:rPr>
          <w:noProof/>
        </w:rPr>
        <w:drawing>
          <wp:inline distT="0" distB="0" distL="0" distR="0">
            <wp:extent cx="3081528" cy="1606296"/>
            <wp:effectExtent l="0" t="0" r="0" b="0"/>
            <wp:docPr id="31444" name="Picture 31444"/>
            <wp:cNvGraphicFramePr/>
            <a:graphic xmlns:a="http://schemas.openxmlformats.org/drawingml/2006/main">
              <a:graphicData uri="http://schemas.openxmlformats.org/drawingml/2006/picture">
                <pic:pic xmlns:pic="http://schemas.openxmlformats.org/drawingml/2006/picture">
                  <pic:nvPicPr>
                    <pic:cNvPr id="31444" name="Picture 31444"/>
                    <pic:cNvPicPr/>
                  </pic:nvPicPr>
                  <pic:blipFill>
                    <a:blip r:embed="rId471"/>
                    <a:stretch>
                      <a:fillRect/>
                    </a:stretch>
                  </pic:blipFill>
                  <pic:spPr>
                    <a:xfrm>
                      <a:off x="0" y="0"/>
                      <a:ext cx="3081528" cy="1606296"/>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29" w:line="248" w:lineRule="auto"/>
        <w:ind w:left="1959" w:right="14"/>
        <w:jc w:val="both"/>
      </w:pPr>
      <w:r>
        <w:rPr>
          <w:rFonts w:ascii="Times New Roman" w:eastAsia="Times New Roman" w:hAnsi="Times New Roman" w:cs="Times New Roman"/>
          <w:sz w:val="24"/>
        </w:rPr>
        <w:t xml:space="preserve">Рис. 1.13. Местная прямоугольная система координат (МПСК) </w:t>
      </w:r>
    </w:p>
    <w:p w:rsidR="0052701D" w:rsidRDefault="00D40929">
      <w:pPr>
        <w:spacing w:after="36"/>
        <w:ind w:left="994"/>
      </w:pPr>
      <w:r>
        <w:rPr>
          <w:rFonts w:ascii="Times New Roman" w:eastAsia="Times New Roman" w:hAnsi="Times New Roman" w:cs="Times New Roman"/>
          <w:sz w:val="24"/>
        </w:rPr>
        <w:t xml:space="preserve"> </w:t>
      </w:r>
    </w:p>
    <w:p w:rsidR="0052701D" w:rsidRDefault="00D40929">
      <w:pPr>
        <w:spacing w:after="33" w:line="271" w:lineRule="auto"/>
        <w:ind w:left="283" w:right="317" w:firstLine="711"/>
        <w:jc w:val="both"/>
      </w:pPr>
      <w:r>
        <w:rPr>
          <w:rFonts w:ascii="Times New Roman" w:eastAsia="Times New Roman" w:hAnsi="Times New Roman" w:cs="Times New Roman"/>
          <w:sz w:val="28"/>
        </w:rPr>
        <w:lastRenderedPageBreak/>
        <w:t>Центр топоцентрической МПСК расположен на поверхности Земли.  Ось О</w:t>
      </w:r>
      <w:r>
        <w:rPr>
          <w:rFonts w:ascii="Times New Roman" w:eastAsia="Times New Roman" w:hAnsi="Times New Roman" w:cs="Times New Roman"/>
          <w:sz w:val="28"/>
          <w:vertAlign w:val="subscript"/>
        </w:rPr>
        <w:t>т</w:t>
      </w:r>
      <w:r>
        <w:rPr>
          <w:rFonts w:ascii="Times New Roman" w:eastAsia="Times New Roman" w:hAnsi="Times New Roman" w:cs="Times New Roman"/>
          <w:sz w:val="28"/>
        </w:rPr>
        <w:t>Y</w:t>
      </w:r>
      <w:r>
        <w:rPr>
          <w:rFonts w:ascii="Times New Roman" w:eastAsia="Times New Roman" w:hAnsi="Times New Roman" w:cs="Times New Roman"/>
          <w:sz w:val="28"/>
          <w:vertAlign w:val="subscript"/>
        </w:rPr>
        <w:t>т</w:t>
      </w:r>
      <w:r>
        <w:rPr>
          <w:rFonts w:ascii="Times New Roman" w:eastAsia="Times New Roman" w:hAnsi="Times New Roman" w:cs="Times New Roman"/>
          <w:sz w:val="28"/>
        </w:rPr>
        <w:t xml:space="preserve"> перпендикулярна к плоскости местного горизонта (ПМГ) и проходит через центр Земли. Оси О</w:t>
      </w:r>
      <w:r>
        <w:rPr>
          <w:rFonts w:ascii="Times New Roman" w:eastAsia="Times New Roman" w:hAnsi="Times New Roman" w:cs="Times New Roman"/>
          <w:sz w:val="28"/>
          <w:vertAlign w:val="subscript"/>
        </w:rPr>
        <w:t>т</w:t>
      </w:r>
      <w:r>
        <w:rPr>
          <w:rFonts w:ascii="Times New Roman" w:eastAsia="Times New Roman" w:hAnsi="Times New Roman" w:cs="Times New Roman"/>
          <w:sz w:val="28"/>
        </w:rPr>
        <w:t>X</w:t>
      </w:r>
      <w:r>
        <w:rPr>
          <w:rFonts w:ascii="Times New Roman" w:eastAsia="Times New Roman" w:hAnsi="Times New Roman" w:cs="Times New Roman"/>
          <w:sz w:val="28"/>
          <w:vertAlign w:val="subscript"/>
        </w:rPr>
        <w:t>т</w:t>
      </w:r>
      <w:r>
        <w:rPr>
          <w:rFonts w:ascii="Times New Roman" w:eastAsia="Times New Roman" w:hAnsi="Times New Roman" w:cs="Times New Roman"/>
          <w:sz w:val="28"/>
        </w:rPr>
        <w:t xml:space="preserve"> и О</w:t>
      </w:r>
      <w:r>
        <w:rPr>
          <w:rFonts w:ascii="Times New Roman" w:eastAsia="Times New Roman" w:hAnsi="Times New Roman" w:cs="Times New Roman"/>
          <w:sz w:val="28"/>
          <w:vertAlign w:val="subscript"/>
        </w:rPr>
        <w:t>т</w:t>
      </w:r>
      <w:r>
        <w:rPr>
          <w:rFonts w:ascii="Times New Roman" w:eastAsia="Times New Roman" w:hAnsi="Times New Roman" w:cs="Times New Roman"/>
          <w:sz w:val="28"/>
        </w:rPr>
        <w:t>Z</w:t>
      </w:r>
      <w:r>
        <w:rPr>
          <w:rFonts w:ascii="Times New Roman" w:eastAsia="Times New Roman" w:hAnsi="Times New Roman" w:cs="Times New Roman"/>
          <w:sz w:val="28"/>
          <w:vertAlign w:val="subscript"/>
        </w:rPr>
        <w:t>т</w:t>
      </w:r>
      <w:r>
        <w:rPr>
          <w:rFonts w:ascii="Times New Roman" w:eastAsia="Times New Roman" w:hAnsi="Times New Roman" w:cs="Times New Roman"/>
          <w:sz w:val="28"/>
        </w:rPr>
        <w:t xml:space="preserve"> расположены в ПМГ так, чтобы образовалась правая тройка векторов. Пусть ось О</w:t>
      </w:r>
      <w:r>
        <w:rPr>
          <w:rFonts w:ascii="Times New Roman" w:eastAsia="Times New Roman" w:hAnsi="Times New Roman" w:cs="Times New Roman"/>
          <w:sz w:val="28"/>
          <w:vertAlign w:val="subscript"/>
        </w:rPr>
        <w:t>т</w:t>
      </w:r>
      <w:r>
        <w:rPr>
          <w:rFonts w:ascii="Times New Roman" w:eastAsia="Times New Roman" w:hAnsi="Times New Roman" w:cs="Times New Roman"/>
          <w:sz w:val="28"/>
        </w:rPr>
        <w:t>Z</w:t>
      </w:r>
      <w:r>
        <w:rPr>
          <w:rFonts w:ascii="Times New Roman" w:eastAsia="Times New Roman" w:hAnsi="Times New Roman" w:cs="Times New Roman"/>
          <w:sz w:val="28"/>
          <w:vertAlign w:val="subscript"/>
        </w:rPr>
        <w:t>т</w:t>
      </w:r>
      <w:r>
        <w:rPr>
          <w:rFonts w:ascii="Times New Roman" w:eastAsia="Times New Roman" w:hAnsi="Times New Roman" w:cs="Times New Roman"/>
          <w:sz w:val="28"/>
        </w:rPr>
        <w:t xml:space="preserve"> </w:t>
      </w:r>
      <w:r>
        <w:rPr>
          <w:rFonts w:ascii="Times New Roman" w:eastAsia="Times New Roman" w:hAnsi="Times New Roman" w:cs="Times New Roman"/>
          <w:sz w:val="28"/>
        </w:rPr>
        <w:t>совпадает с направлением на Северный полюс Земли N. Тогда угол между осью О</w:t>
      </w:r>
      <w:r>
        <w:rPr>
          <w:rFonts w:ascii="Times New Roman" w:eastAsia="Times New Roman" w:hAnsi="Times New Roman" w:cs="Times New Roman"/>
          <w:sz w:val="28"/>
          <w:vertAlign w:val="subscript"/>
        </w:rPr>
        <w:t>т</w:t>
      </w:r>
      <w:r>
        <w:rPr>
          <w:rFonts w:ascii="Times New Roman" w:eastAsia="Times New Roman" w:hAnsi="Times New Roman" w:cs="Times New Roman"/>
          <w:sz w:val="28"/>
        </w:rPr>
        <w:t>Z</w:t>
      </w:r>
      <w:r>
        <w:rPr>
          <w:rFonts w:ascii="Times New Roman" w:eastAsia="Times New Roman" w:hAnsi="Times New Roman" w:cs="Times New Roman"/>
          <w:sz w:val="28"/>
          <w:vertAlign w:val="subscript"/>
        </w:rPr>
        <w:t>т</w:t>
      </w:r>
      <w:r>
        <w:rPr>
          <w:rFonts w:ascii="Times New Roman" w:eastAsia="Times New Roman" w:hAnsi="Times New Roman" w:cs="Times New Roman"/>
          <w:sz w:val="28"/>
        </w:rPr>
        <w:t xml:space="preserve"> и проекцией радиуса - вектора О</w:t>
      </w:r>
      <w:r>
        <w:rPr>
          <w:rFonts w:ascii="Times New Roman" w:eastAsia="Times New Roman" w:hAnsi="Times New Roman" w:cs="Times New Roman"/>
          <w:sz w:val="28"/>
          <w:vertAlign w:val="subscript"/>
        </w:rPr>
        <w:t>т</w:t>
      </w:r>
      <w:r>
        <w:rPr>
          <w:rFonts w:ascii="Times New Roman" w:eastAsia="Times New Roman" w:hAnsi="Times New Roman" w:cs="Times New Roman"/>
          <w:sz w:val="28"/>
        </w:rPr>
        <w:t>Ц на ПМГ, отсчитываемый по часовой стрелке, называют азимутом β</w:t>
      </w:r>
      <w:r>
        <w:rPr>
          <w:rFonts w:ascii="Times New Roman" w:eastAsia="Times New Roman" w:hAnsi="Times New Roman" w:cs="Times New Roman"/>
          <w:sz w:val="28"/>
          <w:vertAlign w:val="subscript"/>
        </w:rPr>
        <w:t>ц</w:t>
      </w:r>
      <w:r>
        <w:rPr>
          <w:rFonts w:ascii="Times New Roman" w:eastAsia="Times New Roman" w:hAnsi="Times New Roman" w:cs="Times New Roman"/>
          <w:sz w:val="28"/>
        </w:rPr>
        <w:t>. Положение цели в данной СК характеризуется координатами X</w:t>
      </w:r>
      <w:r>
        <w:rPr>
          <w:rFonts w:ascii="Times New Roman" w:eastAsia="Times New Roman" w:hAnsi="Times New Roman" w:cs="Times New Roman"/>
          <w:sz w:val="28"/>
          <w:vertAlign w:val="subscript"/>
        </w:rPr>
        <w:t>Т</w:t>
      </w:r>
      <w:r>
        <w:rPr>
          <w:rFonts w:ascii="Times New Roman" w:eastAsia="Times New Roman" w:hAnsi="Times New Roman" w:cs="Times New Roman"/>
          <w:sz w:val="28"/>
        </w:rPr>
        <w:t>, Y</w:t>
      </w:r>
      <w:r>
        <w:rPr>
          <w:rFonts w:ascii="Times New Roman" w:eastAsia="Times New Roman" w:hAnsi="Times New Roman" w:cs="Times New Roman"/>
          <w:sz w:val="28"/>
          <w:vertAlign w:val="subscript"/>
        </w:rPr>
        <w:t>Т</w:t>
      </w:r>
      <w:r>
        <w:rPr>
          <w:rFonts w:ascii="Times New Roman" w:eastAsia="Times New Roman" w:hAnsi="Times New Roman" w:cs="Times New Roman"/>
          <w:sz w:val="28"/>
        </w:rPr>
        <w:t>, Z</w:t>
      </w:r>
      <w:r>
        <w:rPr>
          <w:rFonts w:ascii="Times New Roman" w:eastAsia="Times New Roman" w:hAnsi="Times New Roman" w:cs="Times New Roman"/>
          <w:sz w:val="28"/>
          <w:vertAlign w:val="subscript"/>
        </w:rPr>
        <w:t xml:space="preserve">Т </w:t>
      </w:r>
      <w:r>
        <w:rPr>
          <w:rFonts w:ascii="Times New Roman" w:eastAsia="Times New Roman" w:hAnsi="Times New Roman" w:cs="Times New Roman"/>
          <w:sz w:val="28"/>
        </w:rPr>
        <w:t xml:space="preserve">[4]. </w:t>
      </w:r>
    </w:p>
    <w:p w:rsidR="0052701D" w:rsidRDefault="00D40929">
      <w:pPr>
        <w:spacing w:after="31" w:line="271" w:lineRule="auto"/>
        <w:ind w:left="283" w:right="64" w:firstLine="711"/>
        <w:jc w:val="both"/>
      </w:pPr>
      <w:r>
        <w:rPr>
          <w:rFonts w:ascii="Times New Roman" w:eastAsia="Times New Roman" w:hAnsi="Times New Roman" w:cs="Times New Roman"/>
          <w:sz w:val="28"/>
        </w:rPr>
        <w:t>Пересч</w:t>
      </w:r>
      <w:r>
        <w:rPr>
          <w:rFonts w:ascii="Times New Roman" w:eastAsia="Times New Roman" w:hAnsi="Times New Roman" w:cs="Times New Roman"/>
          <w:sz w:val="28"/>
        </w:rPr>
        <w:t xml:space="preserve">итано для каждого момента времени, полученный массив измерений координат цели из сферической СК в МПСК РЛС [4]: </w:t>
      </w:r>
    </w:p>
    <w:p w:rsidR="0052701D" w:rsidRDefault="00D40929">
      <w:pPr>
        <w:spacing w:after="0"/>
        <w:ind w:right="387"/>
        <w:jc w:val="right"/>
      </w:pPr>
      <w:r>
        <w:rPr>
          <w:rFonts w:ascii="Times New Roman" w:eastAsia="Times New Roman" w:hAnsi="Times New Roman" w:cs="Times New Roman"/>
          <w:sz w:val="28"/>
        </w:rPr>
        <w:t xml:space="preserve">      </w:t>
      </w:r>
      <w:r>
        <w:rPr>
          <w:noProof/>
        </w:rPr>
        <w:drawing>
          <wp:inline distT="0" distB="0" distL="0" distR="0">
            <wp:extent cx="1682496" cy="755904"/>
            <wp:effectExtent l="0" t="0" r="0" b="0"/>
            <wp:docPr id="31552" name="Picture 31552"/>
            <wp:cNvGraphicFramePr/>
            <a:graphic xmlns:a="http://schemas.openxmlformats.org/drawingml/2006/main">
              <a:graphicData uri="http://schemas.openxmlformats.org/drawingml/2006/picture">
                <pic:pic xmlns:pic="http://schemas.openxmlformats.org/drawingml/2006/picture">
                  <pic:nvPicPr>
                    <pic:cNvPr id="31552" name="Picture 31552"/>
                    <pic:cNvPicPr/>
                  </pic:nvPicPr>
                  <pic:blipFill>
                    <a:blip r:embed="rId472"/>
                    <a:stretch>
                      <a:fillRect/>
                    </a:stretch>
                  </pic:blipFill>
                  <pic:spPr>
                    <a:xfrm>
                      <a:off x="0" y="0"/>
                      <a:ext cx="1682496" cy="755904"/>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52"/>
        <w:ind w:left="994"/>
      </w:pPr>
      <w:r>
        <w:rPr>
          <w:rFonts w:ascii="Times New Roman" w:eastAsia="Times New Roman" w:hAnsi="Times New Roman" w:cs="Times New Roman"/>
          <w:sz w:val="28"/>
        </w:rPr>
        <w:t xml:space="preserve"> </w:t>
      </w:r>
    </w:p>
    <w:p w:rsidR="0052701D" w:rsidRDefault="00D40929">
      <w:pPr>
        <w:spacing w:after="36" w:line="271" w:lineRule="auto"/>
        <w:ind w:left="283" w:right="326" w:firstLine="711"/>
        <w:jc w:val="both"/>
      </w:pPr>
      <w:r>
        <w:rPr>
          <w:rFonts w:ascii="Times New Roman" w:eastAsia="Times New Roman" w:hAnsi="Times New Roman" w:cs="Times New Roman"/>
          <w:sz w:val="28"/>
        </w:rPr>
        <w:t xml:space="preserve"> Определите положение РЛС в ГЦСК.  Положение РЛС на поверхности Земли в географической сист</w:t>
      </w:r>
      <w:r>
        <w:rPr>
          <w:rFonts w:ascii="Times New Roman" w:eastAsia="Times New Roman" w:hAnsi="Times New Roman" w:cs="Times New Roman"/>
          <w:sz w:val="28"/>
        </w:rPr>
        <w:t>еме координат определяется широтой B</w:t>
      </w:r>
      <w:r>
        <w:rPr>
          <w:rFonts w:ascii="Times New Roman" w:eastAsia="Times New Roman" w:hAnsi="Times New Roman" w:cs="Times New Roman"/>
          <w:sz w:val="28"/>
          <w:vertAlign w:val="subscript"/>
        </w:rPr>
        <w:t>РЛС</w:t>
      </w:r>
      <w:r>
        <w:rPr>
          <w:rFonts w:ascii="Times New Roman" w:eastAsia="Times New Roman" w:hAnsi="Times New Roman" w:cs="Times New Roman"/>
          <w:sz w:val="28"/>
        </w:rPr>
        <w:t xml:space="preserve"> и долготой L</w:t>
      </w:r>
      <w:r>
        <w:rPr>
          <w:rFonts w:ascii="Times New Roman" w:eastAsia="Times New Roman" w:hAnsi="Times New Roman" w:cs="Times New Roman"/>
          <w:sz w:val="28"/>
          <w:vertAlign w:val="subscript"/>
        </w:rPr>
        <w:t>РЛС</w:t>
      </w:r>
      <w:r>
        <w:rPr>
          <w:rFonts w:ascii="Times New Roman" w:eastAsia="Times New Roman" w:hAnsi="Times New Roman" w:cs="Times New Roman"/>
          <w:sz w:val="28"/>
        </w:rPr>
        <w:t>, поэтому положение</w:t>
      </w:r>
      <w:r>
        <w:rPr>
          <w:rFonts w:ascii="Times New Roman" w:eastAsia="Times New Roman" w:hAnsi="Times New Roman" w:cs="Times New Roman"/>
          <w:sz w:val="18"/>
        </w:rPr>
        <w:t xml:space="preserve"> </w:t>
      </w:r>
      <w:r>
        <w:rPr>
          <w:rFonts w:ascii="Times New Roman" w:eastAsia="Times New Roman" w:hAnsi="Times New Roman" w:cs="Times New Roman"/>
          <w:sz w:val="28"/>
        </w:rPr>
        <w:t>РЛС</w:t>
      </w:r>
      <w:r>
        <w:rPr>
          <w:rFonts w:ascii="Times New Roman" w:eastAsia="Times New Roman" w:hAnsi="Times New Roman" w:cs="Times New Roman"/>
          <w:sz w:val="18"/>
        </w:rPr>
        <w:t xml:space="preserve"> </w:t>
      </w:r>
      <w:r>
        <w:rPr>
          <w:rFonts w:ascii="Times New Roman" w:eastAsia="Times New Roman" w:hAnsi="Times New Roman" w:cs="Times New Roman"/>
          <w:sz w:val="28"/>
        </w:rPr>
        <w:t xml:space="preserve">в ГЦСК можно определить следующим образом [6]: </w:t>
      </w:r>
    </w:p>
    <w:p w:rsidR="0052701D" w:rsidRDefault="00D40929">
      <w:pPr>
        <w:spacing w:after="0"/>
        <w:ind w:left="994"/>
      </w:pPr>
      <w:r>
        <w:rPr>
          <w:rFonts w:ascii="Times New Roman" w:eastAsia="Times New Roman" w:hAnsi="Times New Roman" w:cs="Times New Roman"/>
          <w:sz w:val="28"/>
        </w:rPr>
        <w:t xml:space="preserve"> </w:t>
      </w:r>
    </w:p>
    <w:p w:rsidR="0052701D" w:rsidRDefault="00D40929">
      <w:pPr>
        <w:spacing w:after="0"/>
        <w:ind w:left="29"/>
        <w:jc w:val="center"/>
      </w:pPr>
      <w:r>
        <w:rPr>
          <w:noProof/>
        </w:rPr>
        <w:drawing>
          <wp:inline distT="0" distB="0" distL="0" distR="0">
            <wp:extent cx="1581912" cy="685800"/>
            <wp:effectExtent l="0" t="0" r="0" b="0"/>
            <wp:docPr id="31554" name="Picture 31554"/>
            <wp:cNvGraphicFramePr/>
            <a:graphic xmlns:a="http://schemas.openxmlformats.org/drawingml/2006/main">
              <a:graphicData uri="http://schemas.openxmlformats.org/drawingml/2006/picture">
                <pic:pic xmlns:pic="http://schemas.openxmlformats.org/drawingml/2006/picture">
                  <pic:nvPicPr>
                    <pic:cNvPr id="31554" name="Picture 31554"/>
                    <pic:cNvPicPr/>
                  </pic:nvPicPr>
                  <pic:blipFill>
                    <a:blip r:embed="rId473"/>
                    <a:stretch>
                      <a:fillRect/>
                    </a:stretch>
                  </pic:blipFill>
                  <pic:spPr>
                    <a:xfrm>
                      <a:off x="0" y="0"/>
                      <a:ext cx="1581912" cy="685800"/>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82"/>
        <w:ind w:left="994"/>
      </w:pPr>
      <w:r>
        <w:rPr>
          <w:noProof/>
        </w:rPr>
        <mc:AlternateContent>
          <mc:Choice Requires="wpg">
            <w:drawing>
              <wp:inline distT="0" distB="0" distL="0" distR="0">
                <wp:extent cx="38892" cy="176784"/>
                <wp:effectExtent l="0" t="0" r="0" b="0"/>
                <wp:docPr id="1048709" name="Group 1048709"/>
                <wp:cNvGraphicFramePr/>
                <a:graphic xmlns:a="http://schemas.openxmlformats.org/drawingml/2006/main">
                  <a:graphicData uri="http://schemas.microsoft.com/office/word/2010/wordprocessingGroup">
                    <wpg:wgp>
                      <wpg:cNvGrpSpPr/>
                      <wpg:grpSpPr>
                        <a:xfrm>
                          <a:off x="0" y="0"/>
                          <a:ext cx="38892" cy="176784"/>
                          <a:chOff x="0" y="0"/>
                          <a:chExt cx="38892" cy="176784"/>
                        </a:xfrm>
                      </wpg:grpSpPr>
                      <wps:wsp>
                        <wps:cNvPr id="31499" name="Rectangle 31499"/>
                        <wps:cNvSpPr/>
                        <wps:spPr>
                          <a:xfrm>
                            <a:off x="0" y="0"/>
                            <a:ext cx="51727" cy="235122"/>
                          </a:xfrm>
                          <a:prstGeom prst="rect">
                            <a:avLst/>
                          </a:prstGeom>
                          <a:ln>
                            <a:noFill/>
                          </a:ln>
                        </wps:spPr>
                        <wps:txbx>
                          <w:txbxContent>
                            <w:p w:rsidR="0052701D" w:rsidRDefault="00D40929">
                              <w:r>
                                <w:rPr>
                                  <w:rFonts w:ascii="Cambria Math" w:eastAsia="Cambria Math" w:hAnsi="Cambria Math" w:cs="Cambria Math"/>
                                  <w:sz w:val="28"/>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048709" style="width:3.0624pt;height:13.92pt;mso-position-horizontal-relative:char;mso-position-vertical-relative:line" coordsize="388,1767">
                <v:rect id="Rectangle 31499" style="position:absolute;width:517;height:2351;left:0;top:0;" filled="f" stroked="f">
                  <v:textbox inset="0,0,0,0">
                    <w:txbxContent>
                      <w:p>
                        <w:pPr>
                          <w:spacing w:before="0" w:after="160" w:line="259" w:lineRule="auto"/>
                        </w:pPr>
                        <w:r>
                          <w:rPr>
                            <w:rFonts w:cs="Cambria Math" w:hAnsi="Cambria Math" w:eastAsia="Cambria Math" w:ascii="Cambria Math"/>
                            <w:sz w:val="28"/>
                          </w:rPr>
                          <w:t xml:space="preserve"> </w:t>
                        </w:r>
                      </w:p>
                    </w:txbxContent>
                  </v:textbox>
                </v:rect>
              </v:group>
            </w:pict>
          </mc:Fallback>
        </mc:AlternateContent>
      </w:r>
    </w:p>
    <w:p w:rsidR="0052701D" w:rsidRDefault="00D40929">
      <w:pPr>
        <w:spacing w:after="5" w:line="271" w:lineRule="auto"/>
        <w:ind w:left="994" w:right="64"/>
        <w:jc w:val="both"/>
      </w:pPr>
      <w:r>
        <w:rPr>
          <w:rFonts w:ascii="Times New Roman" w:eastAsia="Times New Roman" w:hAnsi="Times New Roman" w:cs="Times New Roman"/>
          <w:sz w:val="28"/>
        </w:rPr>
        <w:t xml:space="preserve">Пересчитайте массив координат цели из МПСК в ГЦСК [7]: </w:t>
      </w:r>
    </w:p>
    <w:p w:rsidR="0052701D" w:rsidRDefault="00D40929">
      <w:pPr>
        <w:spacing w:after="0"/>
        <w:ind w:left="994"/>
      </w:pPr>
      <w:r>
        <w:rPr>
          <w:rFonts w:ascii="Times New Roman" w:eastAsia="Times New Roman" w:hAnsi="Times New Roman" w:cs="Times New Roman"/>
          <w:sz w:val="28"/>
        </w:rPr>
        <w:t xml:space="preserve"> </w:t>
      </w:r>
    </w:p>
    <w:p w:rsidR="0052701D" w:rsidRDefault="00D40929">
      <w:pPr>
        <w:spacing w:after="5" w:line="271" w:lineRule="auto"/>
        <w:ind w:left="1004" w:right="1314" w:firstLine="345"/>
        <w:jc w:val="both"/>
      </w:pPr>
      <w:r>
        <w:rPr>
          <w:noProof/>
        </w:rPr>
        <w:drawing>
          <wp:inline distT="0" distB="0" distL="0" distR="0">
            <wp:extent cx="4367785" cy="725424"/>
            <wp:effectExtent l="0" t="0" r="0" b="0"/>
            <wp:docPr id="31556" name="Picture 31556"/>
            <wp:cNvGraphicFramePr/>
            <a:graphic xmlns:a="http://schemas.openxmlformats.org/drawingml/2006/main">
              <a:graphicData uri="http://schemas.openxmlformats.org/drawingml/2006/picture">
                <pic:pic xmlns:pic="http://schemas.openxmlformats.org/drawingml/2006/picture">
                  <pic:nvPicPr>
                    <pic:cNvPr id="31556" name="Picture 31556"/>
                    <pic:cNvPicPr/>
                  </pic:nvPicPr>
                  <pic:blipFill>
                    <a:blip r:embed="rId474"/>
                    <a:stretch>
                      <a:fillRect/>
                    </a:stretch>
                  </pic:blipFill>
                  <pic:spPr>
                    <a:xfrm>
                      <a:off x="0" y="0"/>
                      <a:ext cx="4367785" cy="725424"/>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35" w:line="271" w:lineRule="auto"/>
        <w:ind w:left="283" w:right="329" w:firstLine="711"/>
        <w:jc w:val="both"/>
      </w:pPr>
      <w:r>
        <w:rPr>
          <w:rFonts w:ascii="Times New Roman" w:eastAsia="Times New Roman" w:hAnsi="Times New Roman" w:cs="Times New Roman"/>
          <w:sz w:val="28"/>
        </w:rPr>
        <w:t>Определено перемещение цели во времени в географической системе координат, рассчитав широту B</w:t>
      </w:r>
      <w:r>
        <w:rPr>
          <w:rFonts w:ascii="Times New Roman" w:eastAsia="Times New Roman" w:hAnsi="Times New Roman" w:cs="Times New Roman"/>
          <w:sz w:val="28"/>
          <w:vertAlign w:val="subscript"/>
        </w:rPr>
        <w:t>ц</w:t>
      </w:r>
      <w:r>
        <w:rPr>
          <w:rFonts w:ascii="Times New Roman" w:eastAsia="Times New Roman" w:hAnsi="Times New Roman" w:cs="Times New Roman"/>
          <w:sz w:val="28"/>
        </w:rPr>
        <w:t xml:space="preserve"> и долготу L</w:t>
      </w:r>
      <w:r>
        <w:rPr>
          <w:rFonts w:ascii="Times New Roman" w:eastAsia="Times New Roman" w:hAnsi="Times New Roman" w:cs="Times New Roman"/>
          <w:sz w:val="28"/>
          <w:vertAlign w:val="subscript"/>
        </w:rPr>
        <w:t>ц</w:t>
      </w:r>
      <w:r>
        <w:rPr>
          <w:rFonts w:ascii="Times New Roman" w:eastAsia="Times New Roman" w:hAnsi="Times New Roman" w:cs="Times New Roman"/>
          <w:sz w:val="28"/>
        </w:rPr>
        <w:t xml:space="preserve">, которые можно определить, зная положение цели в ГЦСК, следующим образом [7]: </w:t>
      </w:r>
    </w:p>
    <w:p w:rsidR="0052701D" w:rsidRDefault="00D40929">
      <w:pPr>
        <w:spacing w:after="0"/>
        <w:ind w:left="994"/>
      </w:pPr>
      <w:r>
        <w:rPr>
          <w:rFonts w:ascii="Times New Roman" w:eastAsia="Times New Roman" w:hAnsi="Times New Roman" w:cs="Times New Roman"/>
          <w:sz w:val="28"/>
        </w:rPr>
        <w:t xml:space="preserve"> </w:t>
      </w:r>
    </w:p>
    <w:p w:rsidR="0052701D" w:rsidRDefault="00D40929">
      <w:pPr>
        <w:spacing w:after="0"/>
        <w:ind w:left="739"/>
        <w:jc w:val="center"/>
      </w:pPr>
      <w:r>
        <w:rPr>
          <w:noProof/>
        </w:rPr>
        <w:drawing>
          <wp:inline distT="0" distB="0" distL="0" distR="0">
            <wp:extent cx="1429512" cy="877824"/>
            <wp:effectExtent l="0" t="0" r="0" b="0"/>
            <wp:docPr id="31558" name="Picture 31558"/>
            <wp:cNvGraphicFramePr/>
            <a:graphic xmlns:a="http://schemas.openxmlformats.org/drawingml/2006/main">
              <a:graphicData uri="http://schemas.openxmlformats.org/drawingml/2006/picture">
                <pic:pic xmlns:pic="http://schemas.openxmlformats.org/drawingml/2006/picture">
                  <pic:nvPicPr>
                    <pic:cNvPr id="31558" name="Picture 31558"/>
                    <pic:cNvPicPr/>
                  </pic:nvPicPr>
                  <pic:blipFill>
                    <a:blip r:embed="rId475"/>
                    <a:stretch>
                      <a:fillRect/>
                    </a:stretch>
                  </pic:blipFill>
                  <pic:spPr>
                    <a:xfrm>
                      <a:off x="0" y="0"/>
                      <a:ext cx="1429512" cy="877824"/>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5" w:line="271" w:lineRule="auto"/>
        <w:ind w:left="283" w:right="322" w:firstLine="711"/>
        <w:jc w:val="both"/>
      </w:pPr>
      <w:r>
        <w:rPr>
          <w:rFonts w:ascii="Times New Roman" w:eastAsia="Times New Roman" w:hAnsi="Times New Roman" w:cs="Times New Roman"/>
          <w:sz w:val="28"/>
        </w:rPr>
        <w:t>Проанализируйте возможность контроля надводной обстановки в Каза</w:t>
      </w:r>
      <w:r>
        <w:rPr>
          <w:rFonts w:ascii="Times New Roman" w:eastAsia="Times New Roman" w:hAnsi="Times New Roman" w:cs="Times New Roman"/>
          <w:sz w:val="28"/>
        </w:rPr>
        <w:t xml:space="preserve">хcтанском секторе Каспийского моря с привлечением РЛС разработанной системы контроля воздушной обстановки.  </w:t>
      </w:r>
    </w:p>
    <w:p w:rsidR="0052701D" w:rsidRDefault="00D40929">
      <w:pPr>
        <w:spacing w:after="5" w:line="271" w:lineRule="auto"/>
        <w:ind w:left="283" w:right="332" w:firstLine="711"/>
        <w:jc w:val="both"/>
      </w:pPr>
      <w:r>
        <w:rPr>
          <w:rFonts w:ascii="Times New Roman" w:eastAsia="Times New Roman" w:hAnsi="Times New Roman" w:cs="Times New Roman"/>
          <w:sz w:val="28"/>
        </w:rPr>
        <w:lastRenderedPageBreak/>
        <w:t>Несколько радиолокационных постов, установленных на расстоянии друг от друга, позволяют создать сплошную зону контроля. Дальность действия РЛС — до</w:t>
      </w:r>
      <w:r>
        <w:rPr>
          <w:rFonts w:ascii="Times New Roman" w:eastAsia="Times New Roman" w:hAnsi="Times New Roman" w:cs="Times New Roman"/>
          <w:sz w:val="28"/>
        </w:rPr>
        <w:t xml:space="preserve"> 42 км, что позволяет полностью отслеживать обстановку. </w:t>
      </w:r>
    </w:p>
    <w:p w:rsidR="0052701D" w:rsidRDefault="00D40929">
      <w:pPr>
        <w:spacing w:after="5" w:line="271" w:lineRule="auto"/>
        <w:ind w:left="283" w:right="137" w:firstLine="711"/>
        <w:jc w:val="both"/>
      </w:pPr>
      <w:r>
        <w:rPr>
          <w:rFonts w:ascii="Times New Roman" w:eastAsia="Times New Roman" w:hAnsi="Times New Roman" w:cs="Times New Roman"/>
          <w:sz w:val="28"/>
        </w:rPr>
        <w:t xml:space="preserve">Расстояние в 42 км взято из соображения того, что видимый горизонт, с высоты 100 метров, находится примерно в 42 км от точки наблюдения. </w:t>
      </w:r>
    </w:p>
    <w:p w:rsidR="0052701D" w:rsidRDefault="00D40929">
      <w:pPr>
        <w:spacing w:after="5" w:line="271" w:lineRule="auto"/>
        <w:ind w:left="283" w:right="64" w:firstLine="711"/>
        <w:jc w:val="both"/>
      </w:pPr>
      <w:r>
        <w:rPr>
          <w:rFonts w:ascii="Times New Roman" w:eastAsia="Times New Roman" w:hAnsi="Times New Roman" w:cs="Times New Roman"/>
          <w:sz w:val="28"/>
        </w:rPr>
        <w:t xml:space="preserve">Создание сети береговых РЛС позволит взять под надежный контроль обстановку вдоль ключевых участков побережья РК. </w:t>
      </w:r>
    </w:p>
    <w:p w:rsidR="0052701D" w:rsidRDefault="00D40929">
      <w:pPr>
        <w:spacing w:after="5" w:line="251" w:lineRule="auto"/>
        <w:ind w:left="994" w:firstLine="9"/>
      </w:pPr>
      <w:r>
        <w:rPr>
          <w:rFonts w:ascii="Times New Roman" w:eastAsia="Times New Roman" w:hAnsi="Times New Roman" w:cs="Times New Roman"/>
          <w:b/>
          <w:sz w:val="28"/>
        </w:rPr>
        <w:t xml:space="preserve">Заключение </w:t>
      </w:r>
    </w:p>
    <w:p w:rsidR="0052701D" w:rsidRDefault="00D40929">
      <w:pPr>
        <w:spacing w:after="5" w:line="271" w:lineRule="auto"/>
        <w:ind w:left="1004" w:right="1" w:hanging="10"/>
      </w:pPr>
      <w:r>
        <w:rPr>
          <w:rFonts w:ascii="Times New Roman" w:eastAsia="Times New Roman" w:hAnsi="Times New Roman" w:cs="Times New Roman"/>
          <w:sz w:val="28"/>
        </w:rPr>
        <w:t xml:space="preserve">На сегодняшний день одним из основных источников получения </w:t>
      </w:r>
      <w:r>
        <w:rPr>
          <w:rFonts w:ascii="Times New Roman" w:eastAsia="Times New Roman" w:hAnsi="Times New Roman" w:cs="Times New Roman"/>
          <w:sz w:val="28"/>
        </w:rPr>
        <w:t>информации о воздушной обстановке на контролируемой территории является радиолокационная. Для получения достоверных данных о параметрах целевого движения в этих системах важную роль играет система обработки радиолокационного изображения. Основной проблемой</w:t>
      </w:r>
      <w:r>
        <w:rPr>
          <w:rFonts w:ascii="Times New Roman" w:eastAsia="Times New Roman" w:hAnsi="Times New Roman" w:cs="Times New Roman"/>
          <w:sz w:val="28"/>
        </w:rPr>
        <w:t xml:space="preserve"> системы обработки радиолокационного изображения является выбор метода статистической обработки в случае ошибок в измерении параметров движения объекта. </w:t>
      </w:r>
    </w:p>
    <w:p w:rsidR="0052701D" w:rsidRDefault="00D40929">
      <w:pPr>
        <w:spacing w:after="5" w:line="271" w:lineRule="auto"/>
        <w:ind w:left="283" w:right="122" w:firstLine="711"/>
      </w:pPr>
      <w:r>
        <w:rPr>
          <w:rFonts w:ascii="Times New Roman" w:eastAsia="Times New Roman" w:hAnsi="Times New Roman" w:cs="Times New Roman"/>
          <w:sz w:val="28"/>
        </w:rPr>
        <w:t>Точность оценки параметров движения объекта по результатам полученных радиолокационных снимков зависит</w:t>
      </w:r>
      <w:r>
        <w:rPr>
          <w:rFonts w:ascii="Times New Roman" w:eastAsia="Times New Roman" w:hAnsi="Times New Roman" w:cs="Times New Roman"/>
          <w:sz w:val="28"/>
        </w:rPr>
        <w:t xml:space="preserve"> от априорной информации о динамике движения наблюдаемого объекта. Поэтому разработка методики оценки эффективности методов оценки параметров движения объекта в условиях априорной неопределенности динамики движения наблюдаемого объекта </w:t>
      </w:r>
      <w:r>
        <w:rPr>
          <w:rFonts w:ascii="Times New Roman" w:eastAsia="Times New Roman" w:hAnsi="Times New Roman" w:cs="Times New Roman"/>
          <w:sz w:val="28"/>
        </w:rPr>
        <w:tab/>
        <w:t xml:space="preserve">является </w:t>
      </w:r>
      <w:r>
        <w:rPr>
          <w:rFonts w:ascii="Times New Roman" w:eastAsia="Times New Roman" w:hAnsi="Times New Roman" w:cs="Times New Roman"/>
          <w:sz w:val="28"/>
        </w:rPr>
        <w:tab/>
        <w:t>актуально</w:t>
      </w:r>
      <w:r>
        <w:rPr>
          <w:rFonts w:ascii="Times New Roman" w:eastAsia="Times New Roman" w:hAnsi="Times New Roman" w:cs="Times New Roman"/>
          <w:sz w:val="28"/>
        </w:rPr>
        <w:t xml:space="preserve">й </w:t>
      </w:r>
      <w:r>
        <w:rPr>
          <w:rFonts w:ascii="Times New Roman" w:eastAsia="Times New Roman" w:hAnsi="Times New Roman" w:cs="Times New Roman"/>
          <w:sz w:val="28"/>
        </w:rPr>
        <w:tab/>
        <w:t xml:space="preserve">проблемой, </w:t>
      </w:r>
      <w:r>
        <w:rPr>
          <w:rFonts w:ascii="Times New Roman" w:eastAsia="Times New Roman" w:hAnsi="Times New Roman" w:cs="Times New Roman"/>
          <w:sz w:val="28"/>
        </w:rPr>
        <w:tab/>
        <w:t xml:space="preserve">рассмотренной </w:t>
      </w:r>
      <w:r>
        <w:rPr>
          <w:rFonts w:ascii="Times New Roman" w:eastAsia="Times New Roman" w:hAnsi="Times New Roman" w:cs="Times New Roman"/>
          <w:sz w:val="28"/>
        </w:rPr>
        <w:tab/>
        <w:t xml:space="preserve">в квалификационной экспертизе. </w:t>
      </w:r>
    </w:p>
    <w:p w:rsidR="0052701D" w:rsidRDefault="00D40929">
      <w:pPr>
        <w:spacing w:after="5" w:line="271" w:lineRule="auto"/>
        <w:ind w:left="283" w:right="64" w:firstLine="711"/>
        <w:jc w:val="both"/>
      </w:pPr>
      <w:r>
        <w:rPr>
          <w:rFonts w:ascii="Times New Roman" w:eastAsia="Times New Roman" w:hAnsi="Times New Roman" w:cs="Times New Roman"/>
          <w:sz w:val="28"/>
        </w:rPr>
        <w:t xml:space="preserve">Таким образом, радионавигационные параметры цели были обнаружены с помощью программного средства Google-Earth. Был </w:t>
      </w:r>
    </w:p>
    <w:p w:rsidR="0052701D" w:rsidRDefault="00D40929">
      <w:pPr>
        <w:spacing w:after="5" w:line="271" w:lineRule="auto"/>
        <w:ind w:left="293" w:right="1" w:hanging="10"/>
      </w:pPr>
      <w:r>
        <w:rPr>
          <w:rFonts w:ascii="Times New Roman" w:eastAsia="Times New Roman" w:hAnsi="Times New Roman" w:cs="Times New Roman"/>
          <w:sz w:val="28"/>
        </w:rPr>
        <w:t>разработан вариант построения системы контроля воздушной обстановки в Казахста</w:t>
      </w:r>
      <w:r>
        <w:rPr>
          <w:rFonts w:ascii="Times New Roman" w:eastAsia="Times New Roman" w:hAnsi="Times New Roman" w:cs="Times New Roman"/>
          <w:sz w:val="28"/>
        </w:rPr>
        <w:t xml:space="preserve">нском </w:t>
      </w:r>
      <w:r>
        <w:rPr>
          <w:rFonts w:ascii="Times New Roman" w:eastAsia="Times New Roman" w:hAnsi="Times New Roman" w:cs="Times New Roman"/>
          <w:sz w:val="28"/>
        </w:rPr>
        <w:tab/>
        <w:t xml:space="preserve">секторе </w:t>
      </w:r>
      <w:r>
        <w:rPr>
          <w:rFonts w:ascii="Times New Roman" w:eastAsia="Times New Roman" w:hAnsi="Times New Roman" w:cs="Times New Roman"/>
          <w:sz w:val="28"/>
        </w:rPr>
        <w:tab/>
        <w:t xml:space="preserve">Каспийского </w:t>
      </w:r>
      <w:r>
        <w:rPr>
          <w:rFonts w:ascii="Times New Roman" w:eastAsia="Times New Roman" w:hAnsi="Times New Roman" w:cs="Times New Roman"/>
          <w:sz w:val="28"/>
        </w:rPr>
        <w:tab/>
        <w:t xml:space="preserve">моря, </w:t>
      </w:r>
      <w:r>
        <w:rPr>
          <w:rFonts w:ascii="Times New Roman" w:eastAsia="Times New Roman" w:hAnsi="Times New Roman" w:cs="Times New Roman"/>
          <w:sz w:val="28"/>
        </w:rPr>
        <w:tab/>
        <w:t xml:space="preserve">которая </w:t>
      </w:r>
      <w:r>
        <w:rPr>
          <w:rFonts w:ascii="Times New Roman" w:eastAsia="Times New Roman" w:hAnsi="Times New Roman" w:cs="Times New Roman"/>
          <w:sz w:val="28"/>
        </w:rPr>
        <w:tab/>
        <w:t xml:space="preserve">позволит контролировать надводную обстановку и полет воздушных целей на высоте от 1000 до 10000 м. </w:t>
      </w:r>
    </w:p>
    <w:p w:rsidR="0052701D" w:rsidRDefault="00D40929">
      <w:pPr>
        <w:spacing w:after="5" w:line="271" w:lineRule="auto"/>
        <w:ind w:left="283" w:right="64" w:firstLine="711"/>
        <w:jc w:val="both"/>
      </w:pPr>
      <w:r>
        <w:rPr>
          <w:rFonts w:ascii="Times New Roman" w:eastAsia="Times New Roman" w:hAnsi="Times New Roman" w:cs="Times New Roman"/>
          <w:sz w:val="28"/>
        </w:rPr>
        <w:t xml:space="preserve">Произведен последовательный перерасчет по пространственным системам координат. </w:t>
      </w:r>
    </w:p>
    <w:p w:rsidR="0052701D" w:rsidRDefault="00D40929">
      <w:pPr>
        <w:spacing w:after="5" w:line="271" w:lineRule="auto"/>
        <w:ind w:left="283" w:right="64" w:firstLine="711"/>
        <w:jc w:val="both"/>
      </w:pPr>
      <w:r>
        <w:rPr>
          <w:rFonts w:ascii="Times New Roman" w:eastAsia="Times New Roman" w:hAnsi="Times New Roman" w:cs="Times New Roman"/>
          <w:sz w:val="28"/>
        </w:rPr>
        <w:t>Были получены навыки создания и</w:t>
      </w:r>
      <w:r>
        <w:rPr>
          <w:rFonts w:ascii="Times New Roman" w:eastAsia="Times New Roman" w:hAnsi="Times New Roman" w:cs="Times New Roman"/>
          <w:sz w:val="28"/>
        </w:rPr>
        <w:t xml:space="preserve">нтегрированного многофункционального комплекса освещения космической обстановки в </w:t>
      </w:r>
    </w:p>
    <w:p w:rsidR="0052701D" w:rsidRDefault="00D40929">
      <w:pPr>
        <w:spacing w:after="5" w:line="271" w:lineRule="auto"/>
        <w:ind w:left="283" w:right="64"/>
        <w:jc w:val="both"/>
      </w:pPr>
      <w:r>
        <w:rPr>
          <w:rFonts w:ascii="Times New Roman" w:eastAsia="Times New Roman" w:hAnsi="Times New Roman" w:cs="Times New Roman"/>
          <w:sz w:val="28"/>
        </w:rPr>
        <w:t xml:space="preserve">Каспийского моря. Траектория движения цели относительно направлено с севера на восток.  </w:t>
      </w:r>
    </w:p>
    <w:p w:rsidR="0052701D" w:rsidRDefault="00D40929">
      <w:pPr>
        <w:spacing w:after="17"/>
        <w:ind w:left="994"/>
      </w:pPr>
      <w:r>
        <w:rPr>
          <w:rFonts w:ascii="Times New Roman" w:eastAsia="Times New Roman" w:hAnsi="Times New Roman" w:cs="Times New Roman"/>
          <w:sz w:val="28"/>
        </w:rPr>
        <w:t xml:space="preserve"> </w:t>
      </w:r>
    </w:p>
    <w:p w:rsidR="0052701D" w:rsidRDefault="00D40929">
      <w:pPr>
        <w:spacing w:after="16" w:line="248" w:lineRule="auto"/>
        <w:ind w:left="819" w:right="144" w:hanging="10"/>
        <w:jc w:val="center"/>
      </w:pPr>
      <w:r>
        <w:rPr>
          <w:rFonts w:ascii="Times New Roman" w:eastAsia="Times New Roman" w:hAnsi="Times New Roman" w:cs="Times New Roman"/>
          <w:b/>
          <w:sz w:val="24"/>
        </w:rPr>
        <w:t xml:space="preserve">Источники  </w:t>
      </w:r>
    </w:p>
    <w:p w:rsidR="0052701D" w:rsidRDefault="00D40929">
      <w:pPr>
        <w:numPr>
          <w:ilvl w:val="0"/>
          <w:numId w:val="46"/>
        </w:numPr>
        <w:spacing w:after="50" w:line="248" w:lineRule="auto"/>
        <w:ind w:right="14" w:firstLine="567"/>
        <w:jc w:val="both"/>
      </w:pPr>
      <w:r>
        <w:rPr>
          <w:rFonts w:ascii="Times New Roman" w:eastAsia="Times New Roman" w:hAnsi="Times New Roman" w:cs="Times New Roman"/>
          <w:sz w:val="24"/>
        </w:rPr>
        <w:t xml:space="preserve">Бабак В.П. Супутникова радіонавігація/ В.П. Бабак, В.В. Конін, В.П. Харченко − К.: Техніка, 2004. − 328 с.  </w:t>
      </w:r>
    </w:p>
    <w:p w:rsidR="0052701D" w:rsidRDefault="00D40929">
      <w:pPr>
        <w:numPr>
          <w:ilvl w:val="0"/>
          <w:numId w:val="46"/>
        </w:numPr>
        <w:spacing w:after="0" w:line="296" w:lineRule="auto"/>
        <w:ind w:right="14" w:firstLine="567"/>
        <w:jc w:val="both"/>
      </w:pPr>
      <w:r>
        <w:rPr>
          <w:rFonts w:ascii="Times New Roman" w:eastAsia="Times New Roman" w:hAnsi="Times New Roman" w:cs="Times New Roman"/>
          <w:sz w:val="24"/>
        </w:rPr>
        <w:lastRenderedPageBreak/>
        <w:t xml:space="preserve">Бакулев П.А. Радиолокационные системы: учебник для вузов/ П.А. Бакулев. – М.: Радиотехника, 2004. – 320 с.  </w:t>
      </w:r>
    </w:p>
    <w:p w:rsidR="0052701D" w:rsidRDefault="00D40929">
      <w:pPr>
        <w:numPr>
          <w:ilvl w:val="0"/>
          <w:numId w:val="46"/>
        </w:numPr>
        <w:spacing w:after="0" w:line="297" w:lineRule="auto"/>
        <w:ind w:right="14" w:firstLine="567"/>
        <w:jc w:val="both"/>
      </w:pPr>
      <w:r>
        <w:rPr>
          <w:rFonts w:ascii="Times New Roman" w:eastAsia="Times New Roman" w:hAnsi="Times New Roman" w:cs="Times New Roman"/>
          <w:sz w:val="24"/>
        </w:rPr>
        <w:t>Бердышев В.П. Радиолокационные системы</w:t>
      </w:r>
      <w:r>
        <w:rPr>
          <w:rFonts w:ascii="Times New Roman" w:eastAsia="Times New Roman" w:hAnsi="Times New Roman" w:cs="Times New Roman"/>
          <w:sz w:val="24"/>
        </w:rPr>
        <w:t xml:space="preserve">: учебник/ В.П. Бердышев, Е.Н. Гарин и др.; под общ. ред. В.П. Бердышева. – Красноярск: СФУ, 2011. – 400 с.  </w:t>
      </w:r>
    </w:p>
    <w:p w:rsidR="0052701D" w:rsidRDefault="00D40929">
      <w:pPr>
        <w:numPr>
          <w:ilvl w:val="0"/>
          <w:numId w:val="46"/>
        </w:numPr>
        <w:spacing w:after="0" w:line="297" w:lineRule="auto"/>
        <w:ind w:right="14" w:firstLine="567"/>
        <w:jc w:val="both"/>
      </w:pPr>
      <w:r>
        <w:rPr>
          <w:rFonts w:ascii="Times New Roman" w:eastAsia="Times New Roman" w:hAnsi="Times New Roman" w:cs="Times New Roman"/>
          <w:sz w:val="24"/>
        </w:rPr>
        <w:t>Фриз С.П. Теория и техника радиолокации и радионавигации: учебн. пособие / С.П. Фриз, А.В. Андреев, А.Р. Рыхальский, А.Ф. Дубина – Житомир: Госуда</w:t>
      </w:r>
      <w:r>
        <w:rPr>
          <w:rFonts w:ascii="Times New Roman" w:eastAsia="Times New Roman" w:hAnsi="Times New Roman" w:cs="Times New Roman"/>
          <w:sz w:val="24"/>
        </w:rPr>
        <w:t xml:space="preserve">рственный университет “Житомирская политехника”, 2020. –  180 с.  </w:t>
      </w:r>
    </w:p>
    <w:p w:rsidR="0052701D" w:rsidRDefault="00D40929">
      <w:pPr>
        <w:numPr>
          <w:ilvl w:val="0"/>
          <w:numId w:val="46"/>
        </w:numPr>
        <w:spacing w:after="29" w:line="248" w:lineRule="auto"/>
        <w:ind w:right="14" w:firstLine="567"/>
        <w:jc w:val="both"/>
      </w:pPr>
      <w:r>
        <w:rPr>
          <w:rFonts w:ascii="Times New Roman" w:eastAsia="Times New Roman" w:hAnsi="Times New Roman" w:cs="Times New Roman"/>
          <w:sz w:val="24"/>
        </w:rPr>
        <w:t xml:space="preserve">Николаев А.И. Радиолокационные системы: учеб. пособие/ А.И. Николаев, В.В. Ахияров, С.И. Нефедов. − М.: МГТУ им. Н.Э. Баумана, 2018. – 349 с. </w:t>
      </w:r>
    </w:p>
    <w:p w:rsidR="0052701D" w:rsidRDefault="00D40929">
      <w:pPr>
        <w:numPr>
          <w:ilvl w:val="0"/>
          <w:numId w:val="46"/>
        </w:numPr>
        <w:spacing w:after="0" w:line="297" w:lineRule="auto"/>
        <w:ind w:right="14" w:firstLine="567"/>
        <w:jc w:val="both"/>
      </w:pPr>
      <w:r>
        <w:rPr>
          <w:rFonts w:ascii="Times New Roman" w:eastAsia="Times New Roman" w:hAnsi="Times New Roman" w:cs="Times New Roman"/>
          <w:sz w:val="24"/>
        </w:rPr>
        <w:t>Широков Ю.Ф. Основы теории радиолокационных си</w:t>
      </w:r>
      <w:r>
        <w:rPr>
          <w:rFonts w:ascii="Times New Roman" w:eastAsia="Times New Roman" w:hAnsi="Times New Roman" w:cs="Times New Roman"/>
          <w:sz w:val="24"/>
        </w:rPr>
        <w:t xml:space="preserve">стем: электрон. учеб. пособие/ Ю.Ф. Широков. – Самара: СГАУ им. С.П. Королева, 2012. </w:t>
      </w:r>
    </w:p>
    <w:p w:rsidR="0052701D" w:rsidRDefault="00D40929">
      <w:pPr>
        <w:numPr>
          <w:ilvl w:val="0"/>
          <w:numId w:val="46"/>
        </w:numPr>
        <w:spacing w:after="0" w:line="302" w:lineRule="auto"/>
        <w:ind w:right="14" w:firstLine="567"/>
        <w:jc w:val="both"/>
      </w:pPr>
      <w:r>
        <w:rPr>
          <w:rFonts w:ascii="Times New Roman" w:eastAsia="Times New Roman" w:hAnsi="Times New Roman" w:cs="Times New Roman"/>
          <w:sz w:val="24"/>
        </w:rPr>
        <w:t xml:space="preserve">Ширман Я.Д. Теория и техника обработки радиолокационной информации на фоне помех/ Я.Д. Ширман, В. Н. Манжос. – М.: Радио и связь, 1981. – 416 с.  </w:t>
      </w:r>
    </w:p>
    <w:p w:rsidR="0052701D" w:rsidRDefault="00D40929">
      <w:pPr>
        <w:spacing w:after="0"/>
        <w:ind w:left="283"/>
      </w:pPr>
      <w:r>
        <w:rPr>
          <w:rFonts w:ascii="Times New Roman" w:eastAsia="Times New Roman" w:hAnsi="Times New Roman" w:cs="Times New Roman"/>
          <w:sz w:val="24"/>
        </w:rPr>
        <w:t xml:space="preserve"> </w:t>
      </w:r>
    </w:p>
    <w:p w:rsidR="0052701D" w:rsidRDefault="00D40929">
      <w:pPr>
        <w:spacing w:after="4" w:line="271" w:lineRule="auto"/>
        <w:ind w:left="1004" w:right="194" w:hanging="10"/>
      </w:pPr>
      <w:r>
        <w:rPr>
          <w:rFonts w:ascii="Times New Roman" w:eastAsia="Times New Roman" w:hAnsi="Times New Roman" w:cs="Times New Roman"/>
          <w:b/>
          <w:sz w:val="24"/>
        </w:rPr>
        <w:t xml:space="preserve">УДК  004.896–02 </w:t>
      </w:r>
    </w:p>
    <w:p w:rsidR="0052701D" w:rsidRDefault="00D40929">
      <w:pPr>
        <w:spacing w:after="0"/>
        <w:ind w:left="283"/>
      </w:pPr>
      <w:r>
        <w:rPr>
          <w:rFonts w:ascii="Times New Roman" w:eastAsia="Times New Roman" w:hAnsi="Times New Roman" w:cs="Times New Roman"/>
          <w:b/>
          <w:sz w:val="24"/>
        </w:rPr>
        <w:t xml:space="preserve"> </w:t>
      </w:r>
    </w:p>
    <w:p w:rsidR="0052701D" w:rsidRDefault="00D40929">
      <w:pPr>
        <w:pStyle w:val="1"/>
        <w:spacing w:after="16" w:line="248" w:lineRule="auto"/>
        <w:ind w:left="819" w:right="860"/>
      </w:pPr>
      <w:r>
        <w:rPr>
          <w:sz w:val="24"/>
        </w:rPr>
        <w:t>ЖО</w:t>
      </w:r>
      <w:r>
        <w:rPr>
          <w:sz w:val="24"/>
        </w:rPr>
        <w:t xml:space="preserve">ҒАРҒЫ ҚОЛДЫ ОҢАЛТУҒА АРНАЛҒАН ЖАҢА ЭКЗОСКЕЛЕТ ҚҰРАСТЫРУ </w:t>
      </w:r>
    </w:p>
    <w:p w:rsidR="0052701D" w:rsidRDefault="00D40929">
      <w:pPr>
        <w:spacing w:after="9"/>
        <w:ind w:left="588"/>
        <w:jc w:val="center"/>
      </w:pPr>
      <w:r>
        <w:rPr>
          <w:rFonts w:ascii="Times New Roman" w:eastAsia="Times New Roman" w:hAnsi="Times New Roman" w:cs="Times New Roman"/>
          <w:b/>
          <w:sz w:val="24"/>
        </w:rPr>
        <w:t xml:space="preserve"> </w:t>
      </w:r>
    </w:p>
    <w:p w:rsidR="0052701D" w:rsidRDefault="00D40929">
      <w:pPr>
        <w:spacing w:after="4" w:line="271" w:lineRule="auto"/>
        <w:ind w:left="2579" w:right="194" w:hanging="10"/>
      </w:pPr>
      <w:r>
        <w:rPr>
          <w:rFonts w:ascii="Times New Roman" w:eastAsia="Times New Roman" w:hAnsi="Times New Roman" w:cs="Times New Roman"/>
          <w:b/>
          <w:sz w:val="24"/>
        </w:rPr>
        <w:t>Жетенбаев Н.Т*</w:t>
      </w:r>
      <w:r>
        <w:rPr>
          <w:rFonts w:ascii="Times New Roman" w:eastAsia="Times New Roman" w:hAnsi="Times New Roman" w:cs="Times New Roman"/>
          <w:b/>
          <w:sz w:val="24"/>
          <w:vertAlign w:val="superscript"/>
        </w:rPr>
        <w:t>1</w:t>
      </w:r>
      <w:r>
        <w:rPr>
          <w:rFonts w:ascii="Times New Roman" w:eastAsia="Times New Roman" w:hAnsi="Times New Roman" w:cs="Times New Roman"/>
          <w:b/>
          <w:sz w:val="24"/>
        </w:rPr>
        <w:t>., Шингисов Б.Т</w:t>
      </w:r>
      <w:r>
        <w:rPr>
          <w:rFonts w:ascii="Times New Roman" w:eastAsia="Times New Roman" w:hAnsi="Times New Roman" w:cs="Times New Roman"/>
          <w:b/>
          <w:sz w:val="24"/>
          <w:vertAlign w:val="superscript"/>
        </w:rPr>
        <w:t>2</w:t>
      </w:r>
      <w:r>
        <w:rPr>
          <w:rFonts w:ascii="Times New Roman" w:eastAsia="Times New Roman" w:hAnsi="Times New Roman" w:cs="Times New Roman"/>
          <w:b/>
          <w:sz w:val="24"/>
        </w:rPr>
        <w:t>., Ғани М.Б</w:t>
      </w:r>
      <w:r>
        <w:rPr>
          <w:rFonts w:ascii="Times New Roman" w:eastAsia="Times New Roman" w:hAnsi="Times New Roman" w:cs="Times New Roman"/>
          <w:b/>
          <w:sz w:val="24"/>
          <w:vertAlign w:val="superscript"/>
        </w:rPr>
        <w:t>3</w:t>
      </w:r>
      <w:r>
        <w:rPr>
          <w:rFonts w:ascii="Times New Roman" w:eastAsia="Times New Roman" w:hAnsi="Times New Roman" w:cs="Times New Roman"/>
          <w:b/>
          <w:sz w:val="24"/>
        </w:rPr>
        <w:t xml:space="preserve">. </w:t>
      </w:r>
    </w:p>
    <w:p w:rsidR="0052701D" w:rsidRDefault="00D40929">
      <w:pPr>
        <w:spacing w:after="90" w:line="248" w:lineRule="auto"/>
        <w:ind w:left="5" w:right="49" w:hanging="5"/>
        <w:jc w:val="center"/>
      </w:pPr>
      <w:r>
        <w:rPr>
          <w:rFonts w:ascii="Times New Roman" w:eastAsia="Times New Roman" w:hAnsi="Times New Roman" w:cs="Times New Roman"/>
          <w:sz w:val="24"/>
        </w:rPr>
        <w:t>«</w:t>
      </w:r>
      <w:r>
        <w:rPr>
          <w:rFonts w:ascii="Times New Roman" w:eastAsia="Times New Roman" w:hAnsi="Times New Roman" w:cs="Times New Roman"/>
          <w:sz w:val="24"/>
          <w:vertAlign w:val="superscript"/>
        </w:rPr>
        <w:t>1,2</w:t>
      </w:r>
      <w:r>
        <w:rPr>
          <w:rFonts w:ascii="Times New Roman" w:eastAsia="Times New Roman" w:hAnsi="Times New Roman" w:cs="Times New Roman"/>
          <w:sz w:val="24"/>
        </w:rPr>
        <w:t xml:space="preserve">Ғұмарбек Даукеев атындағы Алматы энергетика және байланыс университеті» </w:t>
      </w:r>
    </w:p>
    <w:p w:rsidR="0052701D" w:rsidRDefault="00D40929">
      <w:pPr>
        <w:spacing w:after="14" w:line="248" w:lineRule="auto"/>
        <w:ind w:left="713" w:right="754" w:hanging="5"/>
        <w:jc w:val="center"/>
      </w:pPr>
      <w:r>
        <w:rPr>
          <w:rFonts w:ascii="Times New Roman" w:eastAsia="Times New Roman" w:hAnsi="Times New Roman" w:cs="Times New Roman"/>
          <w:sz w:val="24"/>
        </w:rPr>
        <w:t xml:space="preserve">КеАҚ </w:t>
      </w:r>
    </w:p>
    <w:p w:rsidR="0052701D" w:rsidRDefault="00D40929">
      <w:pPr>
        <w:spacing w:after="41" w:line="248" w:lineRule="auto"/>
        <w:ind w:left="713" w:right="749" w:hanging="5"/>
        <w:jc w:val="center"/>
      </w:pPr>
      <w:r>
        <w:rPr>
          <w:rFonts w:ascii="Times New Roman" w:eastAsia="Times New Roman" w:hAnsi="Times New Roman" w:cs="Times New Roman"/>
          <w:sz w:val="24"/>
          <w:vertAlign w:val="superscript"/>
        </w:rPr>
        <w:t>3,</w:t>
      </w:r>
      <w:r>
        <w:rPr>
          <w:rFonts w:ascii="Times New Roman" w:eastAsia="Times New Roman" w:hAnsi="Times New Roman" w:cs="Times New Roman"/>
          <w:sz w:val="24"/>
        </w:rPr>
        <w:t xml:space="preserve">Satbayev University </w:t>
      </w:r>
    </w:p>
    <w:p w:rsidR="0052701D" w:rsidRDefault="00D40929">
      <w:pPr>
        <w:spacing w:after="29" w:line="248" w:lineRule="auto"/>
        <w:ind w:left="1100" w:right="14"/>
        <w:jc w:val="both"/>
      </w:pPr>
      <w:r>
        <w:rPr>
          <w:rFonts w:ascii="Times New Roman" w:eastAsia="Times New Roman" w:hAnsi="Times New Roman" w:cs="Times New Roman"/>
          <w:sz w:val="24"/>
        </w:rPr>
        <w:t xml:space="preserve">e-mail: n.zhetenbaev@aues.kz, </w:t>
      </w:r>
      <w:r>
        <w:rPr>
          <w:rFonts w:ascii="Times New Roman" w:eastAsia="Times New Roman" w:hAnsi="Times New Roman" w:cs="Times New Roman"/>
          <w:color w:val="0000FF"/>
          <w:sz w:val="24"/>
          <w:u w:val="single" w:color="0000FF"/>
        </w:rPr>
        <w:t>beibit_tumen@mail.ru</w:t>
      </w:r>
      <w:r>
        <w:rPr>
          <w:rFonts w:ascii="Times New Roman" w:eastAsia="Times New Roman" w:hAnsi="Times New Roman" w:cs="Times New Roman"/>
          <w:sz w:val="24"/>
        </w:rPr>
        <w:t>, ganimagjan00@gmail.com.</w:t>
      </w:r>
      <w:r>
        <w:rPr>
          <w:rFonts w:ascii="Times New Roman" w:eastAsia="Times New Roman" w:hAnsi="Times New Roman" w:cs="Times New Roman"/>
          <w:b/>
          <w:sz w:val="24"/>
        </w:rPr>
        <w:t xml:space="preserve"> </w:t>
      </w:r>
    </w:p>
    <w:p w:rsidR="0052701D" w:rsidRDefault="00D40929">
      <w:pPr>
        <w:spacing w:after="0"/>
        <w:ind w:left="850"/>
      </w:pPr>
      <w:r>
        <w:rPr>
          <w:rFonts w:ascii="Times New Roman" w:eastAsia="Times New Roman" w:hAnsi="Times New Roman" w:cs="Times New Roman"/>
          <w:sz w:val="24"/>
        </w:rPr>
        <w:t xml:space="preserve"> </w:t>
      </w:r>
    </w:p>
    <w:p w:rsidR="0052701D" w:rsidRDefault="00D40929">
      <w:pPr>
        <w:spacing w:after="3" w:line="275" w:lineRule="auto"/>
        <w:ind w:left="268" w:right="301" w:firstLine="557"/>
        <w:jc w:val="both"/>
      </w:pPr>
      <w:r>
        <w:rPr>
          <w:rFonts w:ascii="Times New Roman" w:eastAsia="Times New Roman" w:hAnsi="Times New Roman" w:cs="Times New Roman"/>
          <w:b/>
          <w:i/>
          <w:sz w:val="20"/>
        </w:rPr>
        <w:t>Аңдатпа.</w:t>
      </w:r>
      <w:r>
        <w:rPr>
          <w:rFonts w:ascii="Times New Roman" w:eastAsia="Times New Roman" w:hAnsi="Times New Roman" w:cs="Times New Roman"/>
          <w:i/>
          <w:sz w:val="20"/>
        </w:rPr>
        <w:t xml:space="preserve"> Экзоскелеттік робототехника заманауи оңалту мен қосалқы технологияларды зерттеудің жаңа дәуірін ашты. Технология күнделікті әрекеттерді орындау үшін қажет жоғарғы қолдардың функционалдығын </w:t>
      </w:r>
      <w:r>
        <w:rPr>
          <w:rFonts w:ascii="Times New Roman" w:eastAsia="Times New Roman" w:hAnsi="Times New Roman" w:cs="Times New Roman"/>
          <w:i/>
          <w:sz w:val="20"/>
        </w:rPr>
        <w:t xml:space="preserve">жақсартуға уәде береді. Экзоскелет технологиясы тез дамып келеді, бірақ кинематикалық үйлесімділік және адам мен роботтың тиімді өзара әрекеттесуін дамыту сияқты техникалық мәселелерді шешу үшін пәнаралық зерттеулерді қажет етеді.  </w:t>
      </w:r>
    </w:p>
    <w:p w:rsidR="0052701D" w:rsidRDefault="00D40929">
      <w:pPr>
        <w:spacing w:after="3" w:line="275" w:lineRule="auto"/>
        <w:ind w:left="268" w:right="301" w:firstLine="557"/>
        <w:jc w:val="both"/>
      </w:pPr>
      <w:r>
        <w:rPr>
          <w:rFonts w:ascii="Times New Roman" w:eastAsia="Times New Roman" w:hAnsi="Times New Roman" w:cs="Times New Roman"/>
          <w:i/>
          <w:sz w:val="20"/>
        </w:rPr>
        <w:t>Бұл мақалада жоғарғы ая</w:t>
      </w:r>
      <w:r>
        <w:rPr>
          <w:rFonts w:ascii="Times New Roman" w:eastAsia="Times New Roman" w:hAnsi="Times New Roman" w:cs="Times New Roman"/>
          <w:i/>
          <w:sz w:val="20"/>
        </w:rPr>
        <w:t>қ-қолдарға арналған экзоскелет қарастырылған. Көмекші экзоскелеттердің дамуына байланысты негізгі проблемалар қол жетімді шешімдерді салыстыру арқылы ерекшеленеді.  Жоғарғы аяқтың экзоскелеттерінің мехатрондық конструкциясын құрастыру мен жіктеу, салыстыру</w:t>
      </w:r>
      <w:r>
        <w:rPr>
          <w:rFonts w:ascii="Times New Roman" w:eastAsia="Times New Roman" w:hAnsi="Times New Roman" w:cs="Times New Roman"/>
          <w:i/>
          <w:sz w:val="20"/>
        </w:rPr>
        <w:t xml:space="preserve"> және шолу берілген. Сонымен қатар, осы мақалада жоғарғы аяқ-қол экзоскелеттерін басқару әдістеріне қысқаша шолу жасалады</w:t>
      </w:r>
      <w:r>
        <w:rPr>
          <w:sz w:val="24"/>
        </w:rPr>
        <w:t xml:space="preserve"> </w:t>
      </w:r>
      <w:r>
        <w:rPr>
          <w:i/>
          <w:sz w:val="24"/>
        </w:rPr>
        <w:t>3</w:t>
      </w:r>
      <w:r>
        <w:rPr>
          <w:rFonts w:ascii="Times New Roman" w:eastAsia="Times New Roman" w:hAnsi="Times New Roman" w:cs="Times New Roman"/>
          <w:i/>
          <w:sz w:val="20"/>
        </w:rPr>
        <w:t xml:space="preserve">D модельдеу және модельдеу есептеулері Solidworks Simulation бағдарламасы арқылы зерттелді.. </w:t>
      </w:r>
    </w:p>
    <w:p w:rsidR="0052701D" w:rsidRDefault="00D40929">
      <w:pPr>
        <w:spacing w:after="3" w:line="275" w:lineRule="auto"/>
        <w:ind w:left="268" w:right="301" w:firstLine="557"/>
        <w:jc w:val="both"/>
      </w:pPr>
      <w:r>
        <w:rPr>
          <w:rFonts w:ascii="Times New Roman" w:eastAsia="Times New Roman" w:hAnsi="Times New Roman" w:cs="Times New Roman"/>
          <w:b/>
          <w:i/>
          <w:sz w:val="20"/>
        </w:rPr>
        <w:t>Түйін сөздер</w:t>
      </w:r>
      <w:r>
        <w:rPr>
          <w:rFonts w:ascii="Times New Roman" w:eastAsia="Times New Roman" w:hAnsi="Times New Roman" w:cs="Times New Roman"/>
          <w:sz w:val="20"/>
        </w:rPr>
        <w:t xml:space="preserve">: </w:t>
      </w:r>
      <w:r>
        <w:rPr>
          <w:rFonts w:ascii="Times New Roman" w:eastAsia="Times New Roman" w:hAnsi="Times New Roman" w:cs="Times New Roman"/>
          <w:b/>
          <w:i/>
          <w:sz w:val="20"/>
        </w:rPr>
        <w:t xml:space="preserve"> </w:t>
      </w:r>
      <w:r>
        <w:rPr>
          <w:rFonts w:ascii="Times New Roman" w:eastAsia="Times New Roman" w:hAnsi="Times New Roman" w:cs="Times New Roman"/>
          <w:i/>
          <w:sz w:val="20"/>
        </w:rPr>
        <w:t>жоғарғы  қол экзоскелеті</w:t>
      </w:r>
      <w:r>
        <w:rPr>
          <w:rFonts w:ascii="Times New Roman" w:eastAsia="Times New Roman" w:hAnsi="Times New Roman" w:cs="Times New Roman"/>
          <w:i/>
          <w:sz w:val="20"/>
        </w:rPr>
        <w:t>; экзоскелетке шолу; жүйке-бұлшықет реабилитациясы; көмекші технологиялар; адам мен роботтың өзара әрекеттесуі.</w:t>
      </w:r>
      <w:r>
        <w:rPr>
          <w:rFonts w:ascii="Times New Roman" w:eastAsia="Times New Roman" w:hAnsi="Times New Roman" w:cs="Times New Roman"/>
          <w:b/>
          <w:i/>
          <w:sz w:val="20"/>
        </w:rPr>
        <w:t xml:space="preserve"> </w:t>
      </w:r>
    </w:p>
    <w:p w:rsidR="0052701D" w:rsidRDefault="00D40929">
      <w:pPr>
        <w:spacing w:after="15"/>
        <w:ind w:left="850"/>
      </w:pPr>
      <w:r>
        <w:rPr>
          <w:rFonts w:ascii="Times New Roman" w:eastAsia="Times New Roman" w:hAnsi="Times New Roman" w:cs="Times New Roman"/>
          <w:b/>
          <w:sz w:val="24"/>
        </w:rPr>
        <w:t xml:space="preserve"> </w:t>
      </w:r>
    </w:p>
    <w:p w:rsidR="0052701D" w:rsidRDefault="00D40929">
      <w:pPr>
        <w:spacing w:after="4" w:line="271" w:lineRule="auto"/>
        <w:ind w:left="860" w:right="194" w:hanging="10"/>
      </w:pPr>
      <w:r>
        <w:rPr>
          <w:rFonts w:ascii="Times New Roman" w:eastAsia="Times New Roman" w:hAnsi="Times New Roman" w:cs="Times New Roman"/>
          <w:b/>
          <w:sz w:val="24"/>
        </w:rPr>
        <w:t xml:space="preserve">Кіріспе.  </w:t>
      </w:r>
    </w:p>
    <w:p w:rsidR="0052701D" w:rsidRDefault="00D40929">
      <w:pPr>
        <w:spacing w:after="29" w:line="248" w:lineRule="auto"/>
        <w:ind w:left="283" w:right="318" w:firstLine="567"/>
        <w:jc w:val="both"/>
      </w:pPr>
      <w:r>
        <w:rPr>
          <w:rFonts w:ascii="Times New Roman" w:eastAsia="Times New Roman" w:hAnsi="Times New Roman" w:cs="Times New Roman"/>
          <w:sz w:val="24"/>
        </w:rPr>
        <w:t xml:space="preserve">Адамдар ұзақ уақыт бойы денемен үйлесетін, киюге ыңғайлы, қажетті күш пен жылдамдықты қамтамасыз ете алатын қимыл-қозғалысты </w:t>
      </w:r>
      <w:r>
        <w:rPr>
          <w:rFonts w:ascii="Times New Roman" w:eastAsia="Times New Roman" w:hAnsi="Times New Roman" w:cs="Times New Roman"/>
          <w:sz w:val="24"/>
        </w:rPr>
        <w:t>оңалтуға ар-налған роботтарды армандап келеді. Мүгедектер арбалары мен крандар сияқты құрылғылар бұрыннан бар болса да, олардың ешқайсысы әртүрлі пайдалану жағдайларына бейімделе алмайды, сонымен қатар эргономика мен автономия тұрғысынан толығымен қанағатт</w:t>
      </w:r>
      <w:r>
        <w:rPr>
          <w:rFonts w:ascii="Times New Roman" w:eastAsia="Times New Roman" w:hAnsi="Times New Roman" w:cs="Times New Roman"/>
          <w:sz w:val="24"/>
        </w:rPr>
        <w:t>анарлық емес [1]. Сол себепті қазіргі уақытта көптеген зерттеушілер денеге киілетін әмбебап роботтарды жасау үшін қарқынды жұмыс істеуде. Бүгінгі таңда осы саладағы зерттеулер адамның аяқ-қолымен синхронды түрде қозғалатын әртүрлі қатты экзоскелеттерді алу</w:t>
      </w:r>
      <w:r>
        <w:rPr>
          <w:rFonts w:ascii="Times New Roman" w:eastAsia="Times New Roman" w:hAnsi="Times New Roman" w:cs="Times New Roman"/>
          <w:sz w:val="24"/>
        </w:rPr>
        <w:t xml:space="preserve">ға мүмкіндік берді. Олардың көпшілігі адам денесінің салмағына </w:t>
      </w:r>
      <w:r>
        <w:rPr>
          <w:rFonts w:ascii="Times New Roman" w:eastAsia="Times New Roman" w:hAnsi="Times New Roman" w:cs="Times New Roman"/>
          <w:sz w:val="24"/>
        </w:rPr>
        <w:lastRenderedPageBreak/>
        <w:t>және тіпті адам ауыр жүкті көтеру кезіндегі пайда болатын қосымша жүктемеге де төтеп бере алады. Кей-бір жағдайларда мұндай экзоскелеттер адамның бұлшықеттерін немесе сүйек-терін де алмастыра а</w:t>
      </w:r>
      <w:r>
        <w:rPr>
          <w:rFonts w:ascii="Times New Roman" w:eastAsia="Times New Roman" w:hAnsi="Times New Roman" w:cs="Times New Roman"/>
          <w:sz w:val="24"/>
        </w:rPr>
        <w:t>лады. Алайда, роботтардың бұл түрінің екі айқын кемшілігі бар: ол қатты және өте ауыр, сондықтан адам оны кигенде қиындатар туын-дауы мүмкін. Іс жүзінде бұдан басқа әр түрлі жұмсақ және икемді экзокостюмдер бар, олар аз қуат тұтына отырып, адамның дене бөл</w:t>
      </w:r>
      <w:r>
        <w:rPr>
          <w:rFonts w:ascii="Times New Roman" w:eastAsia="Times New Roman" w:hAnsi="Times New Roman" w:cs="Times New Roman"/>
          <w:sz w:val="24"/>
        </w:rPr>
        <w:t>іктерінің жекелеген қозғалыстарын жасауға көмектеседі. Мұндай экзокостюмдердің тағы бір артықшылығы: олар байламдарға, сіңірлерге және буындарға зақым келтірмейді. Бұл роботтар жартылай зақымдалған қозғалыс функционалдарын қалыпқа келтіріп қана қоймай, сон</w:t>
      </w:r>
      <w:r>
        <w:rPr>
          <w:rFonts w:ascii="Times New Roman" w:eastAsia="Times New Roman" w:hAnsi="Times New Roman" w:cs="Times New Roman"/>
          <w:sz w:val="24"/>
        </w:rPr>
        <w:t>ымен қатар, мысалы, қарт адамдар немесе мүгедектерді алатын болсақ, жоғалған қозғалыс функцияларын да жасауға қабілетті болып табылады. Экзоскелеттерге мұқтаж адамдардың тағы бір бөлігіне – бұлшықет әлсіздігі немесе басқа дегенеративті аурулары бар адамдар</w:t>
      </w:r>
      <w:r>
        <w:rPr>
          <w:rFonts w:ascii="Times New Roman" w:eastAsia="Times New Roman" w:hAnsi="Times New Roman" w:cs="Times New Roman"/>
          <w:sz w:val="24"/>
        </w:rPr>
        <w:t xml:space="preserve"> жатады [2-3]. Көбінесе мұндай ауру адамдар күнделікті өмірде жиі жасалатын қозғалыстарды орындай алмайды, мысалы, бір стақан су ұстау, орындыққа отыру үшін оны бір орыннан екінші орынға жылжыту және т.б. Қатты экзоскелетпен салыстырғанда жұмсақ экзоскелет</w:t>
      </w:r>
      <w:r>
        <w:rPr>
          <w:rFonts w:ascii="Times New Roman" w:eastAsia="Times New Roman" w:hAnsi="Times New Roman" w:cs="Times New Roman"/>
          <w:sz w:val="24"/>
        </w:rPr>
        <w:t xml:space="preserve">тер бірқатар артықшылықтарға ие: </w:t>
      </w:r>
    </w:p>
    <w:p w:rsidR="0052701D" w:rsidRDefault="00D40929">
      <w:pPr>
        <w:spacing w:after="29" w:line="248" w:lineRule="auto"/>
        <w:ind w:left="490" w:right="14"/>
        <w:jc w:val="both"/>
      </w:pPr>
      <w:r>
        <w:rPr>
          <w:sz w:val="24"/>
        </w:rPr>
        <w:t>−</w:t>
      </w:r>
      <w:r>
        <w:rPr>
          <w:rFonts w:ascii="Arial" w:eastAsia="Arial" w:hAnsi="Arial" w:cs="Arial"/>
          <w:sz w:val="24"/>
        </w:rPr>
        <w:t xml:space="preserve"> </w:t>
      </w:r>
      <w:r>
        <w:rPr>
          <w:rFonts w:ascii="Times New Roman" w:eastAsia="Times New Roman" w:hAnsi="Times New Roman" w:cs="Times New Roman"/>
          <w:sz w:val="24"/>
        </w:rPr>
        <w:t xml:space="preserve">жеңіл, сондықтан төменгі инерцияға ие; </w:t>
      </w:r>
    </w:p>
    <w:p w:rsidR="0052701D" w:rsidRDefault="00D40929">
      <w:pPr>
        <w:spacing w:after="29" w:line="248" w:lineRule="auto"/>
        <w:ind w:left="490" w:right="14"/>
        <w:jc w:val="both"/>
      </w:pPr>
      <w:r>
        <w:rPr>
          <w:sz w:val="24"/>
        </w:rPr>
        <w:t>−</w:t>
      </w:r>
      <w:r>
        <w:rPr>
          <w:rFonts w:ascii="Arial" w:eastAsia="Arial" w:hAnsi="Arial" w:cs="Arial"/>
          <w:sz w:val="24"/>
        </w:rPr>
        <w:t xml:space="preserve"> </w:t>
      </w:r>
      <w:r>
        <w:rPr>
          <w:rFonts w:ascii="Times New Roman" w:eastAsia="Times New Roman" w:hAnsi="Times New Roman" w:cs="Times New Roman"/>
          <w:sz w:val="24"/>
        </w:rPr>
        <w:t xml:space="preserve">экзоскелетті кию және анатомиялық қозғалыстарға бейімдеу оңай; </w:t>
      </w:r>
    </w:p>
    <w:p w:rsidR="0052701D" w:rsidRDefault="00D40929">
      <w:pPr>
        <w:spacing w:after="29" w:line="248" w:lineRule="auto"/>
        <w:ind w:left="490" w:right="14"/>
        <w:jc w:val="both"/>
      </w:pPr>
      <w:r>
        <w:rPr>
          <w:sz w:val="24"/>
        </w:rPr>
        <w:t>−</w:t>
      </w:r>
      <w:r>
        <w:rPr>
          <w:rFonts w:ascii="Arial" w:eastAsia="Arial" w:hAnsi="Arial" w:cs="Arial"/>
          <w:sz w:val="24"/>
        </w:rPr>
        <w:t xml:space="preserve"> </w:t>
      </w:r>
      <w:r>
        <w:rPr>
          <w:rFonts w:ascii="Times New Roman" w:eastAsia="Times New Roman" w:hAnsi="Times New Roman" w:cs="Times New Roman"/>
          <w:sz w:val="24"/>
        </w:rPr>
        <w:t xml:space="preserve">жайлылық деңгейі өте жоғары. </w:t>
      </w:r>
    </w:p>
    <w:p w:rsidR="0052701D" w:rsidRDefault="00D40929">
      <w:pPr>
        <w:spacing w:after="29" w:line="248" w:lineRule="auto"/>
        <w:ind w:left="283" w:right="332" w:firstLine="567"/>
        <w:jc w:val="both"/>
      </w:pPr>
      <w:r>
        <w:rPr>
          <w:rFonts w:ascii="Times New Roman" w:eastAsia="Times New Roman" w:hAnsi="Times New Roman" w:cs="Times New Roman"/>
          <w:sz w:val="24"/>
        </w:rPr>
        <w:t>Мақаланың мақсат – күнделікті жағдайда нақты адамдарға сынақ жүргізуге қабілетті п</w:t>
      </w:r>
      <w:r>
        <w:rPr>
          <w:rFonts w:ascii="Times New Roman" w:eastAsia="Times New Roman" w:hAnsi="Times New Roman" w:cs="Times New Roman"/>
          <w:sz w:val="24"/>
        </w:rPr>
        <w:t xml:space="preserve">рототип жасау мүмкіндігі пайда болады. Бұл мақалада адамның қозғалысын дәл қайталау үшін жоғары сезімталдыққа ие болуы керек.  </w:t>
      </w:r>
    </w:p>
    <w:p w:rsidR="0052701D" w:rsidRDefault="00D40929">
      <w:pPr>
        <w:spacing w:after="29" w:line="248" w:lineRule="auto"/>
        <w:ind w:left="283" w:right="321" w:firstLine="567"/>
        <w:jc w:val="both"/>
      </w:pPr>
      <w:r>
        <w:rPr>
          <w:rFonts w:ascii="Times New Roman" w:eastAsia="Times New Roman" w:hAnsi="Times New Roman" w:cs="Times New Roman"/>
          <w:sz w:val="24"/>
        </w:rPr>
        <w:t>Бұл зерттеу жобасының мақсаты – бұлшықет әлсіздігі немесе басқа дегенеративті ауруы бар адамдарға көмектесетін үйлесімді экзоске</w:t>
      </w:r>
      <w:r>
        <w:rPr>
          <w:rFonts w:ascii="Times New Roman" w:eastAsia="Times New Roman" w:hAnsi="Times New Roman" w:cs="Times New Roman"/>
          <w:sz w:val="24"/>
        </w:rPr>
        <w:t>лет деп аталатын бір немесе бірнеше күрделі құрылымдарды жасау. Соның ішінде, атап айтқан-да, адамның қолмен жасалатын күнделікті қозғалыстарын қолдауға (мысалы, бір стақан суды ұстап тұру) және бұлшықет қозғалыстарын оңалтуға арналған құрылымдарға көңіл б</w:t>
      </w:r>
      <w:r>
        <w:rPr>
          <w:rFonts w:ascii="Times New Roman" w:eastAsia="Times New Roman" w:hAnsi="Times New Roman" w:cs="Times New Roman"/>
          <w:sz w:val="24"/>
        </w:rPr>
        <w:t xml:space="preserve">өлінеді. </w:t>
      </w:r>
    </w:p>
    <w:p w:rsidR="0052701D" w:rsidRDefault="00D40929">
      <w:pPr>
        <w:spacing w:after="29" w:line="248" w:lineRule="auto"/>
        <w:ind w:left="283" w:right="318" w:firstLine="567"/>
        <w:jc w:val="both"/>
      </w:pPr>
      <w:r>
        <w:rPr>
          <w:rFonts w:ascii="Times New Roman" w:eastAsia="Times New Roman" w:hAnsi="Times New Roman" w:cs="Times New Roman"/>
          <w:sz w:val="24"/>
        </w:rPr>
        <w:t>Құрылымды әзірлеудің бірінші кезеңінде экзороботтар саласындағы техниканың соңғы жетістіктеріне сәйкес келетін барлық белгілі экзоскелет дизайн-дарын жалпылау қажет. Екіншіден, үйлесімді экзороботтар үшін ең қолайлы жағдайларды жасау, ол үшін әрт</w:t>
      </w:r>
      <w:r>
        <w:rPr>
          <w:rFonts w:ascii="Times New Roman" w:eastAsia="Times New Roman" w:hAnsi="Times New Roman" w:cs="Times New Roman"/>
          <w:sz w:val="24"/>
        </w:rPr>
        <w:t xml:space="preserve">үрлі атқарушы механизмдер мен сенсорларды жалпылау және талқылау қажет. Осылардың барлығын ескерсек, соңғы өнім келесі критерийлерге сәйкес келуі керек: </w:t>
      </w:r>
    </w:p>
    <w:p w:rsidR="0052701D" w:rsidRDefault="00D40929">
      <w:pPr>
        <w:spacing w:after="29" w:line="248" w:lineRule="auto"/>
        <w:ind w:left="490" w:right="14"/>
        <w:jc w:val="both"/>
      </w:pPr>
      <w:r>
        <w:rPr>
          <w:sz w:val="24"/>
        </w:rPr>
        <w:t>−</w:t>
      </w:r>
      <w:r>
        <w:rPr>
          <w:rFonts w:ascii="Arial" w:eastAsia="Arial" w:hAnsi="Arial" w:cs="Arial"/>
          <w:sz w:val="24"/>
        </w:rPr>
        <w:t xml:space="preserve"> </w:t>
      </w:r>
      <w:r>
        <w:rPr>
          <w:rFonts w:ascii="Times New Roman" w:eastAsia="Times New Roman" w:hAnsi="Times New Roman" w:cs="Times New Roman"/>
          <w:sz w:val="24"/>
        </w:rPr>
        <w:t xml:space="preserve">экзоскелетті пайдаланушы өзі жасайтын қозғалысты өзі толық басқара алуы қажет; </w:t>
      </w:r>
    </w:p>
    <w:p w:rsidR="0052701D" w:rsidRDefault="00D40929">
      <w:pPr>
        <w:spacing w:after="29" w:line="248" w:lineRule="auto"/>
        <w:ind w:left="850" w:right="14" w:hanging="360"/>
        <w:jc w:val="both"/>
      </w:pPr>
      <w:r>
        <w:rPr>
          <w:sz w:val="24"/>
        </w:rPr>
        <w:t>−</w:t>
      </w:r>
      <w:r>
        <w:rPr>
          <w:rFonts w:ascii="Arial" w:eastAsia="Arial" w:hAnsi="Arial" w:cs="Arial"/>
          <w:sz w:val="24"/>
        </w:rPr>
        <w:t xml:space="preserve"> </w:t>
      </w:r>
      <w:r>
        <w:rPr>
          <w:rFonts w:ascii="Times New Roman" w:eastAsia="Times New Roman" w:hAnsi="Times New Roman" w:cs="Times New Roman"/>
          <w:sz w:val="24"/>
        </w:rPr>
        <w:t xml:space="preserve">экзоскелет табиғи </w:t>
      </w:r>
      <w:r>
        <w:rPr>
          <w:rFonts w:ascii="Times New Roman" w:eastAsia="Times New Roman" w:hAnsi="Times New Roman" w:cs="Times New Roman"/>
          <w:sz w:val="24"/>
        </w:rPr>
        <w:t xml:space="preserve">қозғалыстарға аз ғана кинематикалық өзгерістер енгізеді немесе оларды мүлдем енгізбейді; </w:t>
      </w:r>
    </w:p>
    <w:p w:rsidR="0052701D" w:rsidRDefault="00D40929">
      <w:pPr>
        <w:spacing w:after="29" w:line="248" w:lineRule="auto"/>
        <w:ind w:left="490" w:right="14"/>
        <w:jc w:val="both"/>
      </w:pPr>
      <w:r>
        <w:rPr>
          <w:sz w:val="24"/>
        </w:rPr>
        <w:t>−</w:t>
      </w:r>
      <w:r>
        <w:rPr>
          <w:rFonts w:ascii="Arial" w:eastAsia="Arial" w:hAnsi="Arial" w:cs="Arial"/>
          <w:sz w:val="24"/>
        </w:rPr>
        <w:t xml:space="preserve"> </w:t>
      </w:r>
      <w:r>
        <w:rPr>
          <w:rFonts w:ascii="Times New Roman" w:eastAsia="Times New Roman" w:hAnsi="Times New Roman" w:cs="Times New Roman"/>
          <w:sz w:val="24"/>
        </w:rPr>
        <w:t xml:space="preserve">мақсатты аудиторияға арналған болуы керек. </w:t>
      </w:r>
    </w:p>
    <w:p w:rsidR="0052701D" w:rsidRDefault="00D40929">
      <w:pPr>
        <w:spacing w:after="4" w:line="271" w:lineRule="auto"/>
        <w:ind w:left="860" w:right="194" w:hanging="10"/>
      </w:pPr>
      <w:r>
        <w:rPr>
          <w:rFonts w:ascii="Times New Roman" w:eastAsia="Times New Roman" w:hAnsi="Times New Roman" w:cs="Times New Roman"/>
          <w:b/>
          <w:sz w:val="24"/>
        </w:rPr>
        <w:t xml:space="preserve">Зерттеу әдістемесі. </w:t>
      </w:r>
    </w:p>
    <w:p w:rsidR="0052701D" w:rsidRDefault="00D40929">
      <w:pPr>
        <w:spacing w:after="29" w:line="248" w:lineRule="auto"/>
        <w:ind w:left="283" w:right="326" w:firstLine="567"/>
        <w:jc w:val="both"/>
      </w:pPr>
      <w:r>
        <w:rPr>
          <w:rFonts w:ascii="Times New Roman" w:eastAsia="Times New Roman" w:hAnsi="Times New Roman" w:cs="Times New Roman"/>
          <w:sz w:val="24"/>
        </w:rPr>
        <w:t xml:space="preserve">RUPERT экзоскелеті. Төртінші буындағы RUPERT </w:t>
      </w:r>
      <w:r>
        <w:rPr>
          <w:rFonts w:ascii="Times New Roman" w:eastAsia="Times New Roman" w:hAnsi="Times New Roman" w:cs="Times New Roman"/>
          <w:sz w:val="24"/>
        </w:rPr>
        <w:t xml:space="preserve">роботтары адам денесінің жоғарғы қол бөліктерін оңалтуға арналған. Бұл құрылғыда иыққа, шынтаққа және білекке жасанды пневматикалық бұлшықеттермен әсер ететін бес еркіндік дәрежесі бар. Осылайша, икемді қозғалыстар жүзеге асырылады, бұл буындар, байламдар </w:t>
      </w:r>
      <w:r>
        <w:rPr>
          <w:rFonts w:ascii="Times New Roman" w:eastAsia="Times New Roman" w:hAnsi="Times New Roman" w:cs="Times New Roman"/>
          <w:sz w:val="24"/>
        </w:rPr>
        <w:t xml:space="preserve">мен сіңірлер үшін қауіпті азайтады. RUPERT – бұл арзан, қолдануға оңай және киюге болатын, күнделікті іс-әрекеттерді орындауға арналған құрылғы, сондықтан ол жеңіл. </w:t>
      </w:r>
    </w:p>
    <w:p w:rsidR="0052701D" w:rsidRDefault="00D40929">
      <w:pPr>
        <w:spacing w:after="2" w:line="248" w:lineRule="auto"/>
        <w:ind w:left="283" w:right="320" w:firstLine="567"/>
        <w:jc w:val="both"/>
      </w:pPr>
      <w:r>
        <w:rPr>
          <w:rFonts w:ascii="Times New Roman" w:eastAsia="Times New Roman" w:hAnsi="Times New Roman" w:cs="Times New Roman"/>
          <w:sz w:val="24"/>
        </w:rPr>
        <w:t>Құрылғы дизайнына келетін болсақ RUPERT қалаған қозғалыс ауқымын орындау үшін төрт пневмат</w:t>
      </w:r>
      <w:r>
        <w:rPr>
          <w:rFonts w:ascii="Times New Roman" w:eastAsia="Times New Roman" w:hAnsi="Times New Roman" w:cs="Times New Roman"/>
          <w:sz w:val="24"/>
        </w:rPr>
        <w:t>икалық бұлшықетпен жабдықталған. Бұл пневматикалық бұлшықеттер иықтың көтерілуіне, шынтақтың кеңеюіне, білектің супинациясы мен кеңеюіне әкеледі. Әр түрлі пациенттерге қолдануға ыңғайлы болу үшін, экзоскелеттің бірнеше өлшемін алу үшін бірнеше қосымша техн</w:t>
      </w:r>
      <w:r>
        <w:rPr>
          <w:rFonts w:ascii="Times New Roman" w:eastAsia="Times New Roman" w:hAnsi="Times New Roman" w:cs="Times New Roman"/>
          <w:sz w:val="24"/>
        </w:rPr>
        <w:t xml:space="preserve">икалық өзгертулер қосылды. RUPERT құрылғысы табиғи қозғалыстарды шынайы өмірде жүзеге асыру үшін табиғи ауырлық күшін өтемейтіндей етіп жасалған (1 сурет) [4]. </w:t>
      </w:r>
    </w:p>
    <w:p w:rsidR="0052701D" w:rsidRDefault="00D40929">
      <w:pPr>
        <w:spacing w:after="0"/>
        <w:ind w:left="283"/>
      </w:pPr>
      <w:r>
        <w:rPr>
          <w:rFonts w:ascii="Times New Roman" w:eastAsia="Times New Roman" w:hAnsi="Times New Roman" w:cs="Times New Roman"/>
          <w:sz w:val="24"/>
        </w:rPr>
        <w:lastRenderedPageBreak/>
        <w:t xml:space="preserve">  </w:t>
      </w:r>
    </w:p>
    <w:p w:rsidR="0052701D" w:rsidRDefault="00D40929">
      <w:pPr>
        <w:spacing w:after="0"/>
        <w:ind w:right="1069"/>
        <w:jc w:val="right"/>
      </w:pPr>
      <w:r>
        <w:rPr>
          <w:noProof/>
        </w:rPr>
        <mc:AlternateContent>
          <mc:Choice Requires="wpg">
            <w:drawing>
              <wp:inline distT="0" distB="0" distL="0" distR="0">
                <wp:extent cx="4739640" cy="1511808"/>
                <wp:effectExtent l="0" t="0" r="0" b="0"/>
                <wp:docPr id="950966" name="Group 950966"/>
                <wp:cNvGraphicFramePr/>
                <a:graphic xmlns:a="http://schemas.openxmlformats.org/drawingml/2006/main">
                  <a:graphicData uri="http://schemas.microsoft.com/office/word/2010/wordprocessingGroup">
                    <wpg:wgp>
                      <wpg:cNvGrpSpPr/>
                      <wpg:grpSpPr>
                        <a:xfrm>
                          <a:off x="0" y="0"/>
                          <a:ext cx="4739640" cy="1511808"/>
                          <a:chOff x="0" y="0"/>
                          <a:chExt cx="4739640" cy="1511808"/>
                        </a:xfrm>
                      </wpg:grpSpPr>
                      <pic:pic xmlns:pic="http://schemas.openxmlformats.org/drawingml/2006/picture">
                        <pic:nvPicPr>
                          <pic:cNvPr id="32648" name="Picture 32648"/>
                          <pic:cNvPicPr/>
                        </pic:nvPicPr>
                        <pic:blipFill>
                          <a:blip r:embed="rId476"/>
                          <a:stretch>
                            <a:fillRect/>
                          </a:stretch>
                        </pic:blipFill>
                        <pic:spPr>
                          <a:xfrm>
                            <a:off x="0" y="0"/>
                            <a:ext cx="2008632" cy="1511808"/>
                          </a:xfrm>
                          <a:prstGeom prst="rect">
                            <a:avLst/>
                          </a:prstGeom>
                        </pic:spPr>
                      </pic:pic>
                      <pic:pic xmlns:pic="http://schemas.openxmlformats.org/drawingml/2006/picture">
                        <pic:nvPicPr>
                          <pic:cNvPr id="32650" name="Picture 32650"/>
                          <pic:cNvPicPr/>
                        </pic:nvPicPr>
                        <pic:blipFill>
                          <a:blip r:embed="rId477"/>
                          <a:stretch>
                            <a:fillRect/>
                          </a:stretch>
                        </pic:blipFill>
                        <pic:spPr>
                          <a:xfrm>
                            <a:off x="2008632" y="109727"/>
                            <a:ext cx="2731008" cy="1402080"/>
                          </a:xfrm>
                          <a:prstGeom prst="rect">
                            <a:avLst/>
                          </a:prstGeom>
                        </pic:spPr>
                      </pic:pic>
                    </wpg:wgp>
                  </a:graphicData>
                </a:graphic>
              </wp:inline>
            </w:drawing>
          </mc:Choice>
          <mc:Fallback xmlns:a="http://schemas.openxmlformats.org/drawingml/2006/main">
            <w:pict>
              <v:group id="Group 950966" style="width:373.2pt;height:119.04pt;mso-position-horizontal-relative:char;mso-position-vertical-relative:line" coordsize="47396,15118">
                <v:shape id="Picture 32648" style="position:absolute;width:20086;height:15118;left:0;top:0;" filled="f">
                  <v:imagedata r:id="rId478"/>
                </v:shape>
                <v:shape id="Picture 32650" style="position:absolute;width:27310;height:14020;left:20086;top:1097;" filled="f">
                  <v:imagedata r:id="rId479"/>
                </v:shape>
              </v:group>
            </w:pict>
          </mc:Fallback>
        </mc:AlternateContent>
      </w:r>
      <w:r>
        <w:rPr>
          <w:rFonts w:ascii="Times New Roman" w:eastAsia="Times New Roman" w:hAnsi="Times New Roman" w:cs="Times New Roman"/>
          <w:sz w:val="24"/>
        </w:rPr>
        <w:t xml:space="preserve"> </w:t>
      </w:r>
    </w:p>
    <w:p w:rsidR="0052701D" w:rsidRDefault="00D40929">
      <w:pPr>
        <w:spacing w:after="14" w:line="248" w:lineRule="auto"/>
        <w:ind w:left="713" w:right="748" w:hanging="5"/>
        <w:jc w:val="center"/>
      </w:pPr>
      <w:r>
        <w:rPr>
          <w:rFonts w:ascii="Times New Roman" w:eastAsia="Times New Roman" w:hAnsi="Times New Roman" w:cs="Times New Roman"/>
          <w:sz w:val="24"/>
        </w:rPr>
        <w:t>Сурет 1 –  а) RUPERT IV экзоскелеті</w:t>
      </w:r>
      <w:r>
        <w:rPr>
          <w:sz w:val="24"/>
        </w:rPr>
        <w:t xml:space="preserve"> </w:t>
      </w:r>
      <w:r>
        <w:rPr>
          <w:rFonts w:ascii="Times New Roman" w:eastAsia="Times New Roman" w:hAnsi="Times New Roman" w:cs="Times New Roman"/>
          <w:sz w:val="24"/>
        </w:rPr>
        <w:t xml:space="preserve">b) MyoPro миоэлектрлік аяқ-қол ортезі </w:t>
      </w:r>
    </w:p>
    <w:p w:rsidR="0052701D" w:rsidRDefault="00D40929">
      <w:pPr>
        <w:spacing w:after="0"/>
        <w:ind w:left="283"/>
      </w:pPr>
      <w:r>
        <w:rPr>
          <w:rFonts w:ascii="Times New Roman" w:eastAsia="Times New Roman" w:hAnsi="Times New Roman" w:cs="Times New Roman"/>
          <w:sz w:val="24"/>
        </w:rPr>
        <w:t xml:space="preserve"> </w:t>
      </w:r>
    </w:p>
    <w:p w:rsidR="0052701D" w:rsidRDefault="00D40929">
      <w:pPr>
        <w:spacing w:after="4" w:line="248" w:lineRule="auto"/>
        <w:ind w:left="283" w:right="314" w:firstLine="711"/>
        <w:jc w:val="both"/>
      </w:pPr>
      <w:r>
        <w:rPr>
          <w:rFonts w:ascii="Times New Roman" w:eastAsia="Times New Roman" w:hAnsi="Times New Roman" w:cs="Times New Roman"/>
          <w:sz w:val="24"/>
        </w:rPr>
        <w:t>Құрылғы басқ</w:t>
      </w:r>
      <w:r>
        <w:rPr>
          <w:rFonts w:ascii="Times New Roman" w:eastAsia="Times New Roman" w:hAnsi="Times New Roman" w:cs="Times New Roman"/>
          <w:sz w:val="24"/>
        </w:rPr>
        <w:t>ару жүйесін қарастыратын болсақ RUPERT экзоскелетін басқару жүйесі ішкі циклмен (жеке қосылыстар) және сыртқы циклмен (функционалды тапсырма деңгейі) кері байланысты каскадты басқаруға негізделген. Кері байланыс контроллері пассивті терапия режиміне арналғ</w:t>
      </w:r>
      <w:r>
        <w:rPr>
          <w:rFonts w:ascii="Times New Roman" w:eastAsia="Times New Roman" w:hAnsi="Times New Roman" w:cs="Times New Roman"/>
          <w:sz w:val="24"/>
        </w:rPr>
        <w:t>ан. Қажетті қимылдарды терапевт алдын-ала анықтайды. Егер пациент қозғала бастап, әрі қарай қозғалысты  аяқтай алмаса, онда бірден экзоскелеттің жасанды бұлшықеттері іске қосылады. Сонымен қатар, терапевт науқастың жағдайына байланысты қозғалыс санын, сонд</w:t>
      </w:r>
      <w:r>
        <w:rPr>
          <w:rFonts w:ascii="Times New Roman" w:eastAsia="Times New Roman" w:hAnsi="Times New Roman" w:cs="Times New Roman"/>
          <w:sz w:val="24"/>
        </w:rPr>
        <w:t xml:space="preserve">ай-ақ қозғалыс жылдамдығын өзгерте алады. Бұлшықеттің іске қосылу реттілігі әртүрлі қозғалыстар үшін SIMM 1 моделінің негізінде есептеледі. </w:t>
      </w:r>
    </w:p>
    <w:p w:rsidR="0052701D" w:rsidRDefault="00D40929">
      <w:pPr>
        <w:spacing w:after="29" w:line="248" w:lineRule="auto"/>
        <w:ind w:left="283" w:right="327" w:firstLine="711"/>
        <w:jc w:val="both"/>
      </w:pPr>
      <w:r>
        <w:rPr>
          <w:rFonts w:ascii="Times New Roman" w:eastAsia="Times New Roman" w:hAnsi="Times New Roman" w:cs="Times New Roman"/>
          <w:sz w:val="24"/>
        </w:rPr>
        <w:t>Құрылғының нәтижелерінде RUPERT құрылымы кері байланыс контроллерінің көмегімен бес еркіндік дәрежесі бар экзоскеле</w:t>
      </w:r>
      <w:r>
        <w:rPr>
          <w:rFonts w:ascii="Times New Roman" w:eastAsia="Times New Roman" w:hAnsi="Times New Roman" w:cs="Times New Roman"/>
          <w:sz w:val="24"/>
        </w:rPr>
        <w:t>тті дайындауға мүмкіндік береді. Буындар мен байламдар үшін қауіпті азайту үшін RUPERT экзоскелеті икемді қозғалыстар жасау үшін ПБ құрылғыларымен жабдықталған. Адаптивті контроллер арқылы экзоскелетті әртүрлі пайдаланушыларға сай келетіндей етіп жасауға м</w:t>
      </w:r>
      <w:r>
        <w:rPr>
          <w:rFonts w:ascii="Times New Roman" w:eastAsia="Times New Roman" w:hAnsi="Times New Roman" w:cs="Times New Roman"/>
          <w:sz w:val="24"/>
        </w:rPr>
        <w:t xml:space="preserve">үмкіндік бар. Өкінішке орай, бұл құрылғы тек алдын ала бағдарламаланған қозғалыстарды ғана жасай алады. Сондықтан барлық қозғалыстар анықталып, бағдарламалануы керек, бұл күнделікті өмірде пайдасыз болуы мүмкін. </w:t>
      </w:r>
    </w:p>
    <w:p w:rsidR="0052701D" w:rsidRDefault="00D40929">
      <w:pPr>
        <w:spacing w:after="29" w:line="248" w:lineRule="auto"/>
        <w:ind w:left="283" w:right="327" w:firstLine="711"/>
        <w:jc w:val="both"/>
      </w:pPr>
      <w:r>
        <w:rPr>
          <w:rFonts w:ascii="Times New Roman" w:eastAsia="Times New Roman" w:hAnsi="Times New Roman" w:cs="Times New Roman"/>
          <w:sz w:val="24"/>
        </w:rPr>
        <w:t>MyoPro – бұл адамдарға қол қимылдарын баста</w:t>
      </w:r>
      <w:r>
        <w:rPr>
          <w:rFonts w:ascii="Times New Roman" w:eastAsia="Times New Roman" w:hAnsi="Times New Roman" w:cs="Times New Roman"/>
          <w:sz w:val="24"/>
        </w:rPr>
        <w:t>уға және басқаруға мүмкіндік беретін электр қозғалтқышы бар портативті жеңіл экзоскелет құрылымы [5]. Myomo Inc жасаған MyoPro қолды жылжыту үшін пациенттің бұлшықет сигналдарын қолданады, сондықтан инсульт, бірнеше склероз (МС), амиотрофиялық бүйірлік скл</w:t>
      </w:r>
      <w:r>
        <w:rPr>
          <w:rFonts w:ascii="Times New Roman" w:eastAsia="Times New Roman" w:hAnsi="Times New Roman" w:cs="Times New Roman"/>
          <w:sz w:val="24"/>
        </w:rPr>
        <w:t>ероз, ми сияқты әлсіздік немесе аурудың кез-келген түрі бар және омыртқаның жарақаттары және басқа да нейромаскулярлық ақаулары бар науқастар үшін пайдалы. Пайдаланушы иінді жылжытуға тырысқанда, сенсорлық жүйе иінді қалаған бағытқа жылжыту үшін қозғалтқыш</w:t>
      </w:r>
      <w:r>
        <w:rPr>
          <w:rFonts w:ascii="Times New Roman" w:eastAsia="Times New Roman" w:hAnsi="Times New Roman" w:cs="Times New Roman"/>
          <w:sz w:val="24"/>
        </w:rPr>
        <w:t xml:space="preserve">ты іске қосады. Қозғалыс кезінде экзоскелет әлсіз бұлшықет сигналдарын күшейтіп, сол арқылы пайдаланушының қолын бүгуге және жылжытуға көмектеседі (2 сурет). </w:t>
      </w:r>
    </w:p>
    <w:p w:rsidR="0052701D" w:rsidRDefault="00D40929">
      <w:pPr>
        <w:spacing w:after="29" w:line="248" w:lineRule="auto"/>
        <w:ind w:left="283" w:right="319"/>
        <w:jc w:val="both"/>
      </w:pPr>
      <w:r>
        <w:rPr>
          <w:rFonts w:ascii="Times New Roman" w:eastAsia="Times New Roman" w:hAnsi="Times New Roman" w:cs="Times New Roman"/>
          <w:sz w:val="24"/>
        </w:rPr>
        <w:t xml:space="preserve">  Құрылғының дизайнын қарайтын болсақ MyoPro экзоскелеті қолды қалаған позицияға бекіту үшін серп</w:t>
      </w:r>
      <w:r>
        <w:rPr>
          <w:rFonts w:ascii="Times New Roman" w:eastAsia="Times New Roman" w:hAnsi="Times New Roman" w:cs="Times New Roman"/>
          <w:sz w:val="24"/>
        </w:rPr>
        <w:t>імді жолақтары бар қатты қабаттан тұрады. ЭМГ-ны (электромиография) басқарудың бағдарламалық жасақтамасын қолданушының қолды жылжыту үшін жасаған өте әлсіз бұлшықет сигналдарын тіркей алады [5]. Бұл сигналдар қолдың қалаған қозғалысын қамтамасыз жасау үшін</w:t>
      </w:r>
      <w:r>
        <w:rPr>
          <w:rFonts w:ascii="Times New Roman" w:eastAsia="Times New Roman" w:hAnsi="Times New Roman" w:cs="Times New Roman"/>
          <w:sz w:val="24"/>
        </w:rPr>
        <w:t xml:space="preserve"> құрылғыдағы электр қозғалтқышын іске қосу үшін өңделеді. Сигналдарды өңдеу өте тез жүргендіктен, пациент оны көрмейді де сезбейді. </w:t>
      </w:r>
    </w:p>
    <w:p w:rsidR="0052701D" w:rsidRDefault="00D40929">
      <w:pPr>
        <w:spacing w:after="29" w:line="248" w:lineRule="auto"/>
        <w:ind w:left="283" w:right="319"/>
        <w:jc w:val="both"/>
      </w:pPr>
      <w:r>
        <w:rPr>
          <w:rFonts w:ascii="Times New Roman" w:eastAsia="Times New Roman" w:hAnsi="Times New Roman" w:cs="Times New Roman"/>
          <w:sz w:val="24"/>
        </w:rPr>
        <w:t>Құрылғының нәтижелерінде қол ортезі күнделікті өмірдегі қолмен жаса-латын әрекеттерді орындауға қауқары жетпейтін кез-келге</w:t>
      </w:r>
      <w:r>
        <w:rPr>
          <w:rFonts w:ascii="Times New Roman" w:eastAsia="Times New Roman" w:hAnsi="Times New Roman" w:cs="Times New Roman"/>
          <w:sz w:val="24"/>
        </w:rPr>
        <w:t>н әлсіз немесе ауруға шалдыққан науқас адамдардың қозғалуына жәрдем береді. ЭМГ басқару жүйесі әртүрлі адамдар үшін қажетті қозғалыстарды жасауға алдын-ала дайындықсыз MyoPro экзоскелетін оңай пайдалануға мүмкіндік береді. Электр қозғалтқышты жетектері бар</w:t>
      </w:r>
      <w:r>
        <w:rPr>
          <w:rFonts w:ascii="Times New Roman" w:eastAsia="Times New Roman" w:hAnsi="Times New Roman" w:cs="Times New Roman"/>
          <w:sz w:val="24"/>
        </w:rPr>
        <w:t xml:space="preserve"> экзоскелеттер дәл болғанымен де, ол MyoPro экзоскелетіне қарағанда қатаң қозғалыстарды тудырады. </w:t>
      </w:r>
    </w:p>
    <w:p w:rsidR="0052701D" w:rsidRDefault="00D40929">
      <w:pPr>
        <w:spacing w:after="4" w:line="271" w:lineRule="auto"/>
        <w:ind w:left="860" w:right="194" w:hanging="10"/>
      </w:pPr>
      <w:r>
        <w:rPr>
          <w:rFonts w:ascii="Times New Roman" w:eastAsia="Times New Roman" w:hAnsi="Times New Roman" w:cs="Times New Roman"/>
          <w:b/>
          <w:sz w:val="24"/>
        </w:rPr>
        <w:lastRenderedPageBreak/>
        <w:t xml:space="preserve">Адам қолының физикалық моделі және дизайны </w:t>
      </w:r>
    </w:p>
    <w:p w:rsidR="0052701D" w:rsidRDefault="00D40929">
      <w:pPr>
        <w:spacing w:after="29" w:line="248" w:lineRule="auto"/>
        <w:ind w:left="283" w:right="328" w:firstLine="711"/>
        <w:jc w:val="both"/>
      </w:pPr>
      <w:r>
        <w:rPr>
          <w:rFonts w:ascii="Times New Roman" w:eastAsia="Times New Roman" w:hAnsi="Times New Roman" w:cs="Times New Roman"/>
          <w:sz w:val="24"/>
        </w:rPr>
        <w:t xml:space="preserve">Шынтақ жүйесі қолдың дұрыс орналасуын және иықтан қолға күш беруді қамтамасыз ететін байламның маңызды функциясын орындайды. Ол үш сүйектен тұрады: иық, шынтақ және білек. Алайда, қол үш түрлі буындардан тұрады [6]:  </w:t>
      </w:r>
    </w:p>
    <w:p w:rsidR="0052701D" w:rsidRDefault="00D40929">
      <w:pPr>
        <w:spacing w:after="29" w:line="248" w:lineRule="auto"/>
        <w:ind w:left="773" w:right="14"/>
        <w:jc w:val="both"/>
      </w:pPr>
      <w:r>
        <w:rPr>
          <w:sz w:val="24"/>
        </w:rPr>
        <w:t>−</w:t>
      </w:r>
      <w:r>
        <w:rPr>
          <w:rFonts w:ascii="Arial" w:eastAsia="Arial" w:hAnsi="Arial" w:cs="Arial"/>
          <w:sz w:val="24"/>
        </w:rPr>
        <w:t xml:space="preserve"> </w:t>
      </w:r>
      <w:r>
        <w:rPr>
          <w:rFonts w:ascii="Times New Roman" w:eastAsia="Times New Roman" w:hAnsi="Times New Roman" w:cs="Times New Roman"/>
          <w:sz w:val="24"/>
        </w:rPr>
        <w:t xml:space="preserve">иық буыны,  </w:t>
      </w:r>
    </w:p>
    <w:p w:rsidR="0052701D" w:rsidRDefault="00D40929">
      <w:pPr>
        <w:spacing w:after="29" w:line="248" w:lineRule="auto"/>
        <w:ind w:left="773" w:right="14"/>
        <w:jc w:val="both"/>
      </w:pPr>
      <w:r>
        <w:rPr>
          <w:sz w:val="24"/>
        </w:rPr>
        <w:t>−</w:t>
      </w:r>
      <w:r>
        <w:rPr>
          <w:rFonts w:ascii="Arial" w:eastAsia="Arial" w:hAnsi="Arial" w:cs="Arial"/>
          <w:sz w:val="24"/>
        </w:rPr>
        <w:t xml:space="preserve"> </w:t>
      </w:r>
      <w:r>
        <w:rPr>
          <w:rFonts w:ascii="Times New Roman" w:eastAsia="Times New Roman" w:hAnsi="Times New Roman" w:cs="Times New Roman"/>
          <w:sz w:val="24"/>
        </w:rPr>
        <w:t xml:space="preserve">шынтақ буыны  </w:t>
      </w:r>
    </w:p>
    <w:p w:rsidR="0052701D" w:rsidRDefault="00D40929">
      <w:pPr>
        <w:spacing w:after="29" w:line="248" w:lineRule="auto"/>
        <w:ind w:left="773" w:right="14"/>
        <w:jc w:val="both"/>
      </w:pPr>
      <w:r>
        <w:rPr>
          <w:sz w:val="24"/>
        </w:rPr>
        <w:t>−</w:t>
      </w:r>
      <w:r>
        <w:rPr>
          <w:rFonts w:ascii="Arial" w:eastAsia="Arial" w:hAnsi="Arial" w:cs="Arial"/>
          <w:sz w:val="24"/>
        </w:rPr>
        <w:t xml:space="preserve"> </w:t>
      </w:r>
      <w:r>
        <w:rPr>
          <w:rFonts w:ascii="Times New Roman" w:eastAsia="Times New Roman" w:hAnsi="Times New Roman" w:cs="Times New Roman"/>
          <w:sz w:val="24"/>
        </w:rPr>
        <w:t>прок</w:t>
      </w:r>
      <w:r>
        <w:rPr>
          <w:rFonts w:ascii="Times New Roman" w:eastAsia="Times New Roman" w:hAnsi="Times New Roman" w:cs="Times New Roman"/>
          <w:sz w:val="24"/>
        </w:rPr>
        <w:t xml:space="preserve">симальды білек буыны.  </w:t>
      </w:r>
    </w:p>
    <w:p w:rsidR="0052701D" w:rsidRDefault="00D40929">
      <w:pPr>
        <w:spacing w:after="29" w:line="248" w:lineRule="auto"/>
        <w:ind w:left="283" w:right="14" w:firstLine="711"/>
        <w:jc w:val="both"/>
      </w:pPr>
      <w:r>
        <w:rPr>
          <w:rFonts w:ascii="Times New Roman" w:eastAsia="Times New Roman" w:hAnsi="Times New Roman" w:cs="Times New Roman"/>
          <w:sz w:val="24"/>
        </w:rPr>
        <w:t xml:space="preserve">Олардың ортақ синовиальды қуысы болады, ол білектің кеңеюіне, созылуына және шынтақтан бастап иілуіне мүмкіндік береді. </w:t>
      </w:r>
    </w:p>
    <w:p w:rsidR="0052701D" w:rsidRDefault="00D40929">
      <w:pPr>
        <w:spacing w:after="29" w:line="248" w:lineRule="auto"/>
        <w:ind w:left="283" w:right="330" w:firstLine="711"/>
        <w:jc w:val="both"/>
      </w:pPr>
      <w:r>
        <w:rPr>
          <w:rFonts w:ascii="Times New Roman" w:eastAsia="Times New Roman" w:hAnsi="Times New Roman" w:cs="Times New Roman"/>
          <w:sz w:val="24"/>
        </w:rPr>
        <w:t xml:space="preserve">Қол бұлшықеттері (3 сурет) әртүрлі бөліктерге бөлінеді (алдыңғы және артқы). Әрбір бұлшықет бір немесе бірнеше </w:t>
      </w:r>
      <w:r>
        <w:rPr>
          <w:rFonts w:ascii="Times New Roman" w:eastAsia="Times New Roman" w:hAnsi="Times New Roman" w:cs="Times New Roman"/>
          <w:sz w:val="24"/>
        </w:rPr>
        <w:t xml:space="preserve">буындарды кесіп өтуі мүмкін. 1 кестеде барлық бұлшықеттердің түрлері және олардың функционалды қызметтері көрсетілген [7]. </w:t>
      </w:r>
    </w:p>
    <w:p w:rsidR="0052701D" w:rsidRDefault="00D40929">
      <w:pPr>
        <w:spacing w:after="4" w:line="271" w:lineRule="auto"/>
        <w:ind w:left="860" w:right="194" w:hanging="10"/>
      </w:pPr>
      <w:r>
        <w:rPr>
          <w:rFonts w:ascii="Times New Roman" w:eastAsia="Times New Roman" w:hAnsi="Times New Roman" w:cs="Times New Roman"/>
          <w:b/>
          <w:sz w:val="24"/>
        </w:rPr>
        <w:t xml:space="preserve">Зерттеу нәтижелері және оларды талдау. </w:t>
      </w:r>
    </w:p>
    <w:p w:rsidR="0052701D" w:rsidRDefault="00D40929">
      <w:pPr>
        <w:spacing w:after="29" w:line="248" w:lineRule="auto"/>
        <w:ind w:left="283" w:right="320" w:firstLine="711"/>
        <w:jc w:val="both"/>
      </w:pPr>
      <w:r>
        <w:rPr>
          <w:rFonts w:ascii="Times New Roman" w:eastAsia="Times New Roman" w:hAnsi="Times New Roman" w:cs="Times New Roman"/>
          <w:sz w:val="24"/>
        </w:rPr>
        <w:t xml:space="preserve"> Әр түрлі адамдарда тиісті қол бөліктерінің ұзындығы әртүрлі болады. 6 суретте иық сүйегінің</w:t>
      </w:r>
      <w:r>
        <w:rPr>
          <w:rFonts w:ascii="Times New Roman" w:eastAsia="Times New Roman" w:hAnsi="Times New Roman" w:cs="Times New Roman"/>
          <w:sz w:val="24"/>
        </w:rPr>
        <w:t xml:space="preserve"> ұзындығы </w:t>
      </w:r>
      <w:r>
        <w:rPr>
          <w:rFonts w:ascii="Times New Roman" w:eastAsia="Times New Roman" w:hAnsi="Times New Roman" w:cs="Times New Roman"/>
          <w:i/>
          <w:sz w:val="24"/>
        </w:rPr>
        <w:t>r</w:t>
      </w:r>
      <w:r>
        <w:rPr>
          <w:rFonts w:ascii="Times New Roman" w:eastAsia="Times New Roman" w:hAnsi="Times New Roman" w:cs="Times New Roman"/>
          <w:i/>
          <w:sz w:val="16"/>
        </w:rPr>
        <w:t>SE</w:t>
      </w:r>
      <w:r>
        <w:rPr>
          <w:rFonts w:ascii="Times New Roman" w:eastAsia="Times New Roman" w:hAnsi="Times New Roman" w:cs="Times New Roman"/>
          <w:sz w:val="24"/>
        </w:rPr>
        <w:t xml:space="preserve">, ал білек сүйегінің ұзындығы </w:t>
      </w:r>
      <w:r>
        <w:rPr>
          <w:rFonts w:ascii="Times New Roman" w:eastAsia="Times New Roman" w:hAnsi="Times New Roman" w:cs="Times New Roman"/>
          <w:i/>
          <w:sz w:val="24"/>
        </w:rPr>
        <w:t>r</w:t>
      </w:r>
      <w:r>
        <w:rPr>
          <w:rFonts w:ascii="Times New Roman" w:eastAsia="Times New Roman" w:hAnsi="Times New Roman" w:cs="Times New Roman"/>
          <w:i/>
          <w:sz w:val="16"/>
        </w:rPr>
        <w:t>EH</w:t>
      </w:r>
      <w:r>
        <w:rPr>
          <w:rFonts w:ascii="Times New Roman" w:eastAsia="Times New Roman" w:hAnsi="Times New Roman" w:cs="Times New Roman"/>
          <w:sz w:val="24"/>
        </w:rPr>
        <w:t xml:space="preserve"> деп  көрсетілген. Бұл жобаның мақсаты шынтақ буыны экзоскелетін қарастыру болғандықтан, иық бейтарап күйде болады, сондықтан ауырлық күші әсер етпейді және оны елемеуге болады деп есептейміз. Сондықтан бұл сег</w:t>
      </w:r>
      <w:r>
        <w:rPr>
          <w:rFonts w:ascii="Times New Roman" w:eastAsia="Times New Roman" w:hAnsi="Times New Roman" w:cs="Times New Roman"/>
          <w:sz w:val="24"/>
        </w:rPr>
        <w:t xml:space="preserve">ментті екі буынды қосылыс ретінде модельдеуге болады. </w:t>
      </w:r>
    </w:p>
    <w:p w:rsidR="0052701D" w:rsidRDefault="00D40929">
      <w:pPr>
        <w:spacing w:after="29" w:line="248" w:lineRule="auto"/>
        <w:ind w:left="283" w:right="329"/>
        <w:jc w:val="both"/>
      </w:pPr>
      <w:r>
        <w:rPr>
          <w:rFonts w:ascii="Times New Roman" w:eastAsia="Times New Roman" w:hAnsi="Times New Roman" w:cs="Times New Roman"/>
          <w:sz w:val="24"/>
        </w:rPr>
        <w:t xml:space="preserve">Адам денесінің геометриясы симметриялы деп саналады, сондықтан модель қарапайым болуы керек. Сондай-ақ, иіндердің салмағы </w:t>
      </w:r>
      <w:r>
        <w:rPr>
          <w:rFonts w:ascii="Times New Roman" w:eastAsia="Times New Roman" w:hAnsi="Times New Roman" w:cs="Times New Roman"/>
          <w:i/>
          <w:sz w:val="24"/>
        </w:rPr>
        <w:t>m</w:t>
      </w:r>
      <w:r>
        <w:rPr>
          <w:rFonts w:ascii="Times New Roman" w:eastAsia="Times New Roman" w:hAnsi="Times New Roman" w:cs="Times New Roman"/>
          <w:i/>
          <w:sz w:val="16"/>
        </w:rPr>
        <w:t>f</w:t>
      </w:r>
      <w:r>
        <w:rPr>
          <w:rFonts w:ascii="Times New Roman" w:eastAsia="Times New Roman" w:hAnsi="Times New Roman" w:cs="Times New Roman"/>
          <w:i/>
          <w:sz w:val="24"/>
        </w:rPr>
        <w:t xml:space="preserve"> </w:t>
      </w:r>
      <w:r>
        <w:rPr>
          <w:rFonts w:ascii="Times New Roman" w:eastAsia="Times New Roman" w:hAnsi="Times New Roman" w:cs="Times New Roman"/>
          <w:sz w:val="24"/>
        </w:rPr>
        <w:t xml:space="preserve">және </w:t>
      </w:r>
      <w:r>
        <w:rPr>
          <w:rFonts w:ascii="Times New Roman" w:eastAsia="Times New Roman" w:hAnsi="Times New Roman" w:cs="Times New Roman"/>
          <w:i/>
          <w:sz w:val="24"/>
        </w:rPr>
        <w:t>m</w:t>
      </w:r>
      <w:r>
        <w:rPr>
          <w:rFonts w:ascii="Times New Roman" w:eastAsia="Times New Roman" w:hAnsi="Times New Roman" w:cs="Times New Roman"/>
          <w:i/>
          <w:sz w:val="16"/>
        </w:rPr>
        <w:t>u</w:t>
      </w:r>
      <w:r>
        <w:rPr>
          <w:rFonts w:ascii="Times New Roman" w:eastAsia="Times New Roman" w:hAnsi="Times New Roman" w:cs="Times New Roman"/>
          <w:sz w:val="24"/>
        </w:rPr>
        <w:t xml:space="preserve"> көмегімен тиісті сегменттердің орталық сызықтарына орнатылады. Соным</w:t>
      </w:r>
      <w:r>
        <w:rPr>
          <w:rFonts w:ascii="Times New Roman" w:eastAsia="Times New Roman" w:hAnsi="Times New Roman" w:cs="Times New Roman"/>
          <w:sz w:val="24"/>
        </w:rPr>
        <w:t xml:space="preserve">ен қатар, қолдың массасы еленбейді, себебі оның массасы қолдың басқа бөліктерінің массасымен салыстырғанда елеусіз аз, сондықтан модельдеуге ешқандай әсер бермейді. </w:t>
      </w:r>
    </w:p>
    <w:p w:rsidR="0052701D" w:rsidRDefault="00D40929">
      <w:pPr>
        <w:spacing w:after="18"/>
        <w:ind w:left="994"/>
      </w:pPr>
      <w:r>
        <w:rPr>
          <w:rFonts w:ascii="Times New Roman" w:eastAsia="Times New Roman" w:hAnsi="Times New Roman" w:cs="Times New Roman"/>
          <w:sz w:val="24"/>
        </w:rPr>
        <w:t xml:space="preserve"> </w:t>
      </w:r>
    </w:p>
    <w:p w:rsidR="0052701D" w:rsidRDefault="00D40929">
      <w:pPr>
        <w:spacing w:after="29" w:line="248" w:lineRule="auto"/>
        <w:ind w:left="283" w:right="14"/>
        <w:jc w:val="both"/>
      </w:pPr>
      <w:r>
        <w:rPr>
          <w:rFonts w:ascii="Times New Roman" w:eastAsia="Times New Roman" w:hAnsi="Times New Roman" w:cs="Times New Roman"/>
          <w:sz w:val="24"/>
        </w:rPr>
        <w:t xml:space="preserve">1 кесте - Қол бұлшықеттері [8] </w:t>
      </w:r>
    </w:p>
    <w:tbl>
      <w:tblPr>
        <w:tblStyle w:val="TableGrid"/>
        <w:tblW w:w="9350" w:type="dxa"/>
        <w:tblInd w:w="288" w:type="dxa"/>
        <w:tblCellMar>
          <w:top w:w="51" w:type="dxa"/>
          <w:left w:w="115" w:type="dxa"/>
          <w:bottom w:w="0" w:type="dxa"/>
          <w:right w:w="115" w:type="dxa"/>
        </w:tblCellMar>
        <w:tblLook w:val="04A0" w:firstRow="1" w:lastRow="0" w:firstColumn="1" w:lastColumn="0" w:noHBand="0" w:noVBand="1"/>
      </w:tblPr>
      <w:tblGrid>
        <w:gridCol w:w="4678"/>
        <w:gridCol w:w="4672"/>
      </w:tblGrid>
      <w:tr w:rsidR="0052701D">
        <w:trPr>
          <w:trHeight w:val="389"/>
        </w:trPr>
        <w:tc>
          <w:tcPr>
            <w:tcW w:w="467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3"/>
              <w:jc w:val="center"/>
            </w:pPr>
            <w:r>
              <w:rPr>
                <w:rFonts w:ascii="Times New Roman" w:eastAsia="Times New Roman" w:hAnsi="Times New Roman" w:cs="Times New Roman"/>
                <w:sz w:val="24"/>
              </w:rPr>
              <w:t xml:space="preserve">Бұлшықет атауы </w:t>
            </w:r>
          </w:p>
        </w:tc>
        <w:tc>
          <w:tcPr>
            <w:tcW w:w="4672" w:type="dxa"/>
            <w:tcBorders>
              <w:top w:val="single" w:sz="4" w:space="0" w:color="000000"/>
              <w:left w:val="single" w:sz="4" w:space="0" w:color="000000"/>
              <w:bottom w:val="single" w:sz="4" w:space="0" w:color="000000"/>
              <w:right w:val="single" w:sz="4" w:space="0" w:color="000000"/>
            </w:tcBorders>
          </w:tcPr>
          <w:p w:rsidR="0052701D" w:rsidRDefault="00D40929">
            <w:pPr>
              <w:spacing w:after="0"/>
              <w:jc w:val="center"/>
            </w:pPr>
            <w:r>
              <w:rPr>
                <w:rFonts w:ascii="Times New Roman" w:eastAsia="Times New Roman" w:hAnsi="Times New Roman" w:cs="Times New Roman"/>
                <w:sz w:val="24"/>
              </w:rPr>
              <w:t xml:space="preserve">Функционалды қызметі </w:t>
            </w:r>
          </w:p>
        </w:tc>
      </w:tr>
      <w:tr w:rsidR="0052701D">
        <w:trPr>
          <w:trHeight w:val="562"/>
        </w:trPr>
        <w:tc>
          <w:tcPr>
            <w:tcW w:w="4677" w:type="dxa"/>
            <w:tcBorders>
              <w:top w:val="single" w:sz="4" w:space="0" w:color="000000"/>
              <w:left w:val="single" w:sz="4" w:space="0" w:color="000000"/>
              <w:bottom w:val="single" w:sz="4" w:space="0" w:color="000000"/>
              <w:right w:val="single" w:sz="4" w:space="0" w:color="000000"/>
            </w:tcBorders>
          </w:tcPr>
          <w:p w:rsidR="0052701D" w:rsidRDefault="00D40929">
            <w:pPr>
              <w:spacing w:after="0"/>
              <w:jc w:val="center"/>
            </w:pPr>
            <w:r>
              <w:rPr>
                <w:rFonts w:ascii="Times New Roman" w:eastAsia="Times New Roman" w:hAnsi="Times New Roman" w:cs="Times New Roman"/>
                <w:sz w:val="24"/>
              </w:rPr>
              <w:t xml:space="preserve">бицепс  </w:t>
            </w:r>
          </w:p>
        </w:tc>
        <w:tc>
          <w:tcPr>
            <w:tcW w:w="4672" w:type="dxa"/>
            <w:tcBorders>
              <w:top w:val="single" w:sz="4" w:space="0" w:color="000000"/>
              <w:left w:val="single" w:sz="4" w:space="0" w:color="000000"/>
              <w:bottom w:val="single" w:sz="4" w:space="0" w:color="000000"/>
              <w:right w:val="single" w:sz="4" w:space="0" w:color="000000"/>
            </w:tcBorders>
          </w:tcPr>
          <w:p w:rsidR="0052701D" w:rsidRDefault="00D40929">
            <w:pPr>
              <w:spacing w:after="0"/>
              <w:jc w:val="center"/>
            </w:pPr>
            <w:r>
              <w:rPr>
                <w:rFonts w:ascii="Times New Roman" w:eastAsia="Times New Roman" w:hAnsi="Times New Roman" w:cs="Times New Roman"/>
                <w:sz w:val="24"/>
              </w:rPr>
              <w:t xml:space="preserve">иықтың бүгілуі және шынтақтың бүгілуі және супинациясы </w:t>
            </w:r>
          </w:p>
        </w:tc>
      </w:tr>
      <w:tr w:rsidR="0052701D">
        <w:trPr>
          <w:trHeight w:val="288"/>
        </w:trPr>
        <w:tc>
          <w:tcPr>
            <w:tcW w:w="467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
              <w:jc w:val="center"/>
            </w:pPr>
            <w:r>
              <w:rPr>
                <w:rFonts w:ascii="Times New Roman" w:eastAsia="Times New Roman" w:hAnsi="Times New Roman" w:cs="Times New Roman"/>
                <w:sz w:val="24"/>
              </w:rPr>
              <w:t xml:space="preserve">иық бұлшықеті </w:t>
            </w:r>
          </w:p>
        </w:tc>
        <w:tc>
          <w:tcPr>
            <w:tcW w:w="46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
              <w:jc w:val="center"/>
            </w:pPr>
            <w:r>
              <w:rPr>
                <w:rFonts w:ascii="Times New Roman" w:eastAsia="Times New Roman" w:hAnsi="Times New Roman" w:cs="Times New Roman"/>
                <w:sz w:val="24"/>
              </w:rPr>
              <w:t xml:space="preserve">шынтақты бүгу </w:t>
            </w:r>
          </w:p>
        </w:tc>
      </w:tr>
      <w:tr w:rsidR="0052701D">
        <w:trPr>
          <w:trHeight w:val="562"/>
        </w:trPr>
        <w:tc>
          <w:tcPr>
            <w:tcW w:w="4677" w:type="dxa"/>
            <w:tcBorders>
              <w:top w:val="single" w:sz="4" w:space="0" w:color="000000"/>
              <w:left w:val="single" w:sz="4" w:space="0" w:color="000000"/>
              <w:bottom w:val="single" w:sz="4" w:space="0" w:color="000000"/>
              <w:right w:val="single" w:sz="4" w:space="0" w:color="000000"/>
            </w:tcBorders>
          </w:tcPr>
          <w:p w:rsidR="0052701D" w:rsidRDefault="00D40929">
            <w:pPr>
              <w:spacing w:after="0"/>
              <w:jc w:val="center"/>
            </w:pPr>
            <w:r>
              <w:rPr>
                <w:rFonts w:ascii="Times New Roman" w:eastAsia="Times New Roman" w:hAnsi="Times New Roman" w:cs="Times New Roman"/>
                <w:sz w:val="24"/>
              </w:rPr>
              <w:t xml:space="preserve">бицепс иық бұлшықеттерімен қоршалған иық бұлшықеті </w:t>
            </w:r>
          </w:p>
        </w:tc>
        <w:tc>
          <w:tcPr>
            <w:tcW w:w="46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
              <w:jc w:val="center"/>
            </w:pPr>
            <w:r>
              <w:rPr>
                <w:rFonts w:ascii="Times New Roman" w:eastAsia="Times New Roman" w:hAnsi="Times New Roman" w:cs="Times New Roman"/>
                <w:sz w:val="24"/>
              </w:rPr>
              <w:t xml:space="preserve">иықтың бүгілуі </w:t>
            </w:r>
          </w:p>
        </w:tc>
      </w:tr>
      <w:tr w:rsidR="0052701D">
        <w:trPr>
          <w:trHeight w:val="288"/>
        </w:trPr>
        <w:tc>
          <w:tcPr>
            <w:tcW w:w="467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0"/>
              <w:jc w:val="center"/>
            </w:pPr>
            <w:r>
              <w:rPr>
                <w:rFonts w:ascii="Times New Roman" w:eastAsia="Times New Roman" w:hAnsi="Times New Roman" w:cs="Times New Roman"/>
                <w:sz w:val="24"/>
              </w:rPr>
              <w:t xml:space="preserve">трицепс </w:t>
            </w:r>
          </w:p>
        </w:tc>
        <w:tc>
          <w:tcPr>
            <w:tcW w:w="46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6"/>
              <w:jc w:val="center"/>
            </w:pPr>
            <w:r>
              <w:rPr>
                <w:rFonts w:ascii="Times New Roman" w:eastAsia="Times New Roman" w:hAnsi="Times New Roman" w:cs="Times New Roman"/>
                <w:sz w:val="24"/>
              </w:rPr>
              <w:t xml:space="preserve">иық пен шынтақты жазу </w:t>
            </w:r>
          </w:p>
        </w:tc>
      </w:tr>
    </w:tbl>
    <w:p w:rsidR="0052701D" w:rsidRDefault="00D40929">
      <w:pPr>
        <w:spacing w:after="0"/>
        <w:ind w:left="283"/>
      </w:pPr>
      <w:r>
        <w:rPr>
          <w:rFonts w:ascii="Times New Roman" w:eastAsia="Times New Roman" w:hAnsi="Times New Roman" w:cs="Times New Roman"/>
          <w:sz w:val="24"/>
        </w:rPr>
        <w:t xml:space="preserve"> </w:t>
      </w:r>
    </w:p>
    <w:p w:rsidR="0052701D" w:rsidRDefault="00D40929">
      <w:pPr>
        <w:spacing w:after="0"/>
        <w:ind w:right="1726"/>
        <w:jc w:val="right"/>
      </w:pPr>
      <w:r>
        <w:rPr>
          <w:noProof/>
        </w:rPr>
        <w:drawing>
          <wp:inline distT="0" distB="0" distL="0" distR="0">
            <wp:extent cx="3544824" cy="1478280"/>
            <wp:effectExtent l="0" t="0" r="0" b="0"/>
            <wp:docPr id="32895" name="Picture 32895"/>
            <wp:cNvGraphicFramePr/>
            <a:graphic xmlns:a="http://schemas.openxmlformats.org/drawingml/2006/main">
              <a:graphicData uri="http://schemas.openxmlformats.org/drawingml/2006/picture">
                <pic:pic xmlns:pic="http://schemas.openxmlformats.org/drawingml/2006/picture">
                  <pic:nvPicPr>
                    <pic:cNvPr id="32895" name="Picture 32895"/>
                    <pic:cNvPicPr/>
                  </pic:nvPicPr>
                  <pic:blipFill>
                    <a:blip r:embed="rId480"/>
                    <a:stretch>
                      <a:fillRect/>
                    </a:stretch>
                  </pic:blipFill>
                  <pic:spPr>
                    <a:xfrm>
                      <a:off x="0" y="0"/>
                      <a:ext cx="3544824" cy="1478280"/>
                    </a:xfrm>
                    <a:prstGeom prst="rect">
                      <a:avLst/>
                    </a:prstGeom>
                  </pic:spPr>
                </pic:pic>
              </a:graphicData>
            </a:graphic>
          </wp:inline>
        </w:drawing>
      </w:r>
      <w:r>
        <w:rPr>
          <w:rFonts w:ascii="Times New Roman" w:eastAsia="Times New Roman" w:hAnsi="Times New Roman" w:cs="Times New Roman"/>
          <w:sz w:val="24"/>
        </w:rPr>
        <w:t xml:space="preserve"> </w:t>
      </w:r>
    </w:p>
    <w:p w:rsidR="0052701D" w:rsidRDefault="00D40929">
      <w:pPr>
        <w:spacing w:after="29" w:line="248" w:lineRule="auto"/>
        <w:ind w:left="1585" w:right="14"/>
        <w:jc w:val="both"/>
      </w:pPr>
      <w:r>
        <w:rPr>
          <w:rFonts w:ascii="Times New Roman" w:eastAsia="Times New Roman" w:hAnsi="Times New Roman" w:cs="Times New Roman"/>
          <w:sz w:val="24"/>
        </w:rPr>
        <w:t>Сурет 5 – Қолдың шынтақ буынының бүгілуі flexion\extension [9</w:t>
      </w:r>
      <w:r>
        <w:rPr>
          <w:rFonts w:ascii="Times New Roman" w:eastAsia="Times New Roman" w:hAnsi="Times New Roman" w:cs="Times New Roman"/>
          <w:sz w:val="24"/>
        </w:rPr>
        <w:t xml:space="preserve">-10] </w:t>
      </w:r>
    </w:p>
    <w:p w:rsidR="0052701D" w:rsidRDefault="00D40929">
      <w:pPr>
        <w:spacing w:after="0"/>
        <w:ind w:left="588"/>
        <w:jc w:val="center"/>
      </w:pPr>
      <w:r>
        <w:rPr>
          <w:rFonts w:ascii="Times New Roman" w:eastAsia="Times New Roman" w:hAnsi="Times New Roman" w:cs="Times New Roman"/>
          <w:b/>
          <w:sz w:val="24"/>
        </w:rPr>
        <w:t xml:space="preserve"> </w:t>
      </w:r>
    </w:p>
    <w:p w:rsidR="0052701D" w:rsidRDefault="00D40929">
      <w:pPr>
        <w:spacing w:after="29" w:line="248" w:lineRule="auto"/>
        <w:ind w:left="283" w:right="317" w:firstLine="711"/>
        <w:jc w:val="both"/>
      </w:pPr>
      <w:r>
        <w:rPr>
          <w:rFonts w:ascii="Times New Roman" w:eastAsia="Times New Roman" w:hAnsi="Times New Roman" w:cs="Times New Roman"/>
          <w:sz w:val="24"/>
        </w:rPr>
        <w:t>Адамның қолын модельдеу үшін жұмыс авторлары Денавита–Хартенберг параметрлерін қолданады. Бұл 0 - 4 төрт декарттық координаттар жүйесінің пайда болуына әкеледі, мұндағы жерге бекітілген 0 жүйесі санақ басы ретінде алынады, ол 3 жүйеге қатысты тұрақ</w:t>
      </w:r>
      <w:r>
        <w:rPr>
          <w:rFonts w:ascii="Times New Roman" w:eastAsia="Times New Roman" w:hAnsi="Times New Roman" w:cs="Times New Roman"/>
          <w:sz w:val="24"/>
        </w:rPr>
        <w:t xml:space="preserve">ты болып есептеледі. 6 суреттегі барлық параметрлер Денавита– Хартенберга анықтамасының негізінде алынған. </w:t>
      </w:r>
    </w:p>
    <w:p w:rsidR="0052701D" w:rsidRDefault="00D40929">
      <w:pPr>
        <w:spacing w:after="0"/>
        <w:ind w:left="994"/>
      </w:pPr>
      <w:r>
        <w:rPr>
          <w:rFonts w:ascii="Times New Roman" w:eastAsia="Times New Roman" w:hAnsi="Times New Roman" w:cs="Times New Roman"/>
          <w:sz w:val="24"/>
        </w:rPr>
        <w:lastRenderedPageBreak/>
        <w:t xml:space="preserve"> </w:t>
      </w:r>
    </w:p>
    <w:p w:rsidR="0052701D" w:rsidRDefault="00D40929">
      <w:pPr>
        <w:spacing w:after="164"/>
        <w:ind w:left="20"/>
        <w:jc w:val="center"/>
      </w:pPr>
      <w:r>
        <w:rPr>
          <w:noProof/>
        </w:rPr>
        <w:drawing>
          <wp:inline distT="0" distB="0" distL="0" distR="0">
            <wp:extent cx="3319272" cy="3051048"/>
            <wp:effectExtent l="0" t="0" r="0" b="0"/>
            <wp:docPr id="32897" name="Picture 32897"/>
            <wp:cNvGraphicFramePr/>
            <a:graphic xmlns:a="http://schemas.openxmlformats.org/drawingml/2006/main">
              <a:graphicData uri="http://schemas.openxmlformats.org/drawingml/2006/picture">
                <pic:pic xmlns:pic="http://schemas.openxmlformats.org/drawingml/2006/picture">
                  <pic:nvPicPr>
                    <pic:cNvPr id="32897" name="Picture 32897"/>
                    <pic:cNvPicPr/>
                  </pic:nvPicPr>
                  <pic:blipFill>
                    <a:blip r:embed="rId481"/>
                    <a:stretch>
                      <a:fillRect/>
                    </a:stretch>
                  </pic:blipFill>
                  <pic:spPr>
                    <a:xfrm>
                      <a:off x="0" y="0"/>
                      <a:ext cx="3319272" cy="3051048"/>
                    </a:xfrm>
                    <a:prstGeom prst="rect">
                      <a:avLst/>
                    </a:prstGeom>
                  </pic:spPr>
                </pic:pic>
              </a:graphicData>
            </a:graphic>
          </wp:inline>
        </w:drawing>
      </w:r>
      <w:r>
        <w:rPr>
          <w:rFonts w:ascii="Times New Roman" w:eastAsia="Times New Roman" w:hAnsi="Times New Roman" w:cs="Times New Roman"/>
          <w:sz w:val="24"/>
        </w:rPr>
        <w:t xml:space="preserve"> </w:t>
      </w:r>
    </w:p>
    <w:p w:rsidR="0052701D" w:rsidRDefault="00D40929">
      <w:pPr>
        <w:spacing w:after="14" w:line="248" w:lineRule="auto"/>
        <w:ind w:left="713" w:right="750" w:hanging="5"/>
        <w:jc w:val="center"/>
      </w:pPr>
      <w:r>
        <w:rPr>
          <w:rFonts w:ascii="Times New Roman" w:eastAsia="Times New Roman" w:hAnsi="Times New Roman" w:cs="Times New Roman"/>
          <w:sz w:val="24"/>
        </w:rPr>
        <w:t xml:space="preserve">Сурет 6 – Адамның қолының жоғары бөліктерінің кинематикалық моделі </w:t>
      </w:r>
    </w:p>
    <w:p w:rsidR="0052701D" w:rsidRDefault="00D40929">
      <w:pPr>
        <w:spacing w:after="7" w:line="248" w:lineRule="auto"/>
        <w:ind w:left="283" w:right="319" w:firstLine="711"/>
        <w:jc w:val="both"/>
      </w:pPr>
      <w:r>
        <w:rPr>
          <w:rFonts w:ascii="Times New Roman" w:eastAsia="Times New Roman" w:hAnsi="Times New Roman" w:cs="Times New Roman"/>
          <w:sz w:val="24"/>
        </w:rPr>
        <w:t xml:space="preserve">Құрылғының сенімділігін бағалау үшін көтеру жаттығулары кезінде кернеуді білу керек, мысалы, еркін салмақты көтеру. Бұл жаттығуда бұлшықеттер салмағы біртіндеп артып отыратын жүктемені көтереді. 6 суретте көрсетілгендей, жүктеме </w:t>
      </w:r>
      <w:r>
        <w:rPr>
          <w:rFonts w:ascii="Times New Roman" w:eastAsia="Times New Roman" w:hAnsi="Times New Roman" w:cs="Times New Roman"/>
          <w:i/>
          <w:sz w:val="24"/>
        </w:rPr>
        <w:t>m</w:t>
      </w:r>
      <w:r>
        <w:rPr>
          <w:rFonts w:ascii="Times New Roman" w:eastAsia="Times New Roman" w:hAnsi="Times New Roman" w:cs="Times New Roman"/>
          <w:i/>
          <w:sz w:val="24"/>
          <w:vertAlign w:val="subscript"/>
        </w:rPr>
        <w:t>ω</w:t>
      </w:r>
      <w:r>
        <w:rPr>
          <w:rFonts w:ascii="Times New Roman" w:eastAsia="Times New Roman" w:hAnsi="Times New Roman" w:cs="Times New Roman"/>
          <w:sz w:val="24"/>
        </w:rPr>
        <w:t xml:space="preserve"> деп белгіленеді және қол</w:t>
      </w:r>
      <w:r>
        <w:rPr>
          <w:rFonts w:ascii="Times New Roman" w:eastAsia="Times New Roman" w:hAnsi="Times New Roman" w:cs="Times New Roman"/>
          <w:sz w:val="24"/>
        </w:rPr>
        <w:t xml:space="preserve">дың алақанында H нүктесінде орналасады. Иық пен білек массалары тұрақты және тиісті бөліктердің массалар центрінде орналасқан. Сондықтан потенциалдық энергияны келесідей есептеуге болады: </w:t>
      </w:r>
    </w:p>
    <w:p w:rsidR="0052701D" w:rsidRDefault="00D40929">
      <w:pPr>
        <w:spacing w:after="0"/>
        <w:ind w:left="994" w:right="1830"/>
      </w:pPr>
      <w:r>
        <w:rPr>
          <w:rFonts w:ascii="Times New Roman" w:eastAsia="Times New Roman" w:hAnsi="Times New Roman" w:cs="Times New Roman"/>
          <w:sz w:val="24"/>
        </w:rPr>
        <w:t xml:space="preserve"> </w:t>
      </w:r>
    </w:p>
    <w:p w:rsidR="0052701D" w:rsidRDefault="00D40929">
      <w:pPr>
        <w:tabs>
          <w:tab w:val="center" w:pos="4611"/>
          <w:tab w:val="center" w:pos="9236"/>
        </w:tabs>
        <w:spacing w:after="29" w:line="248" w:lineRule="auto"/>
      </w:pPr>
      <w:r>
        <w:tab/>
      </w:r>
      <w:r>
        <w:rPr>
          <w:noProof/>
        </w:rPr>
        <w:drawing>
          <wp:inline distT="0" distB="0" distL="0" distR="0">
            <wp:extent cx="4102608" cy="195072"/>
            <wp:effectExtent l="0" t="0" r="0" b="0"/>
            <wp:docPr id="1048710" name="Picture 1048710"/>
            <wp:cNvGraphicFramePr/>
            <a:graphic xmlns:a="http://schemas.openxmlformats.org/drawingml/2006/main">
              <a:graphicData uri="http://schemas.openxmlformats.org/drawingml/2006/picture">
                <pic:pic xmlns:pic="http://schemas.openxmlformats.org/drawingml/2006/picture">
                  <pic:nvPicPr>
                    <pic:cNvPr id="1048710" name="Picture 1048710"/>
                    <pic:cNvPicPr/>
                  </pic:nvPicPr>
                  <pic:blipFill>
                    <a:blip r:embed="rId482"/>
                    <a:stretch>
                      <a:fillRect/>
                    </a:stretch>
                  </pic:blipFill>
                  <pic:spPr>
                    <a:xfrm>
                      <a:off x="0" y="0"/>
                      <a:ext cx="4102608" cy="195072"/>
                    </a:xfrm>
                    <a:prstGeom prst="rect">
                      <a:avLst/>
                    </a:prstGeom>
                  </pic:spPr>
                </pic:pic>
              </a:graphicData>
            </a:graphic>
          </wp:inline>
        </w:drawing>
      </w:r>
      <w:r>
        <w:rPr>
          <w:rFonts w:ascii="Times New Roman" w:eastAsia="Times New Roman" w:hAnsi="Times New Roman" w:cs="Times New Roman"/>
          <w:sz w:val="24"/>
        </w:rPr>
        <w:tab/>
        <w:t xml:space="preserve">(1) </w:t>
      </w:r>
    </w:p>
    <w:p w:rsidR="0052701D" w:rsidRDefault="00D40929">
      <w:pPr>
        <w:spacing w:after="27"/>
        <w:ind w:left="1264" w:right="387"/>
        <w:jc w:val="right"/>
      </w:pPr>
      <w:r>
        <w:rPr>
          <w:rFonts w:ascii="Times New Roman" w:eastAsia="Times New Roman" w:hAnsi="Times New Roman" w:cs="Times New Roman"/>
          <w:sz w:val="24"/>
        </w:rPr>
        <w:t xml:space="preserve"> </w:t>
      </w:r>
    </w:p>
    <w:p w:rsidR="0052701D" w:rsidRDefault="00D40929">
      <w:pPr>
        <w:spacing w:after="27"/>
        <w:ind w:left="10" w:right="320" w:hanging="10"/>
        <w:jc w:val="right"/>
      </w:pPr>
      <w:r>
        <w:rPr>
          <w:rFonts w:ascii="Times New Roman" w:eastAsia="Times New Roman" w:hAnsi="Times New Roman" w:cs="Times New Roman"/>
          <w:sz w:val="24"/>
        </w:rPr>
        <w:t xml:space="preserve">1 теңдеуіндегі </w:t>
      </w:r>
      <w:r>
        <w:rPr>
          <w:noProof/>
        </w:rPr>
        <w:drawing>
          <wp:inline distT="0" distB="0" distL="0" distR="0">
            <wp:extent cx="118872" cy="109728"/>
            <wp:effectExtent l="0" t="0" r="0" b="0"/>
            <wp:docPr id="1048711" name="Picture 1048711"/>
            <wp:cNvGraphicFramePr/>
            <a:graphic xmlns:a="http://schemas.openxmlformats.org/drawingml/2006/main">
              <a:graphicData uri="http://schemas.openxmlformats.org/drawingml/2006/picture">
                <pic:pic xmlns:pic="http://schemas.openxmlformats.org/drawingml/2006/picture">
                  <pic:nvPicPr>
                    <pic:cNvPr id="1048711" name="Picture 1048711"/>
                    <pic:cNvPicPr/>
                  </pic:nvPicPr>
                  <pic:blipFill>
                    <a:blip r:embed="rId483"/>
                    <a:stretch>
                      <a:fillRect/>
                    </a:stretch>
                  </pic:blipFill>
                  <pic:spPr>
                    <a:xfrm>
                      <a:off x="0" y="0"/>
                      <a:ext cx="118872" cy="109728"/>
                    </a:xfrm>
                    <a:prstGeom prst="rect">
                      <a:avLst/>
                    </a:prstGeom>
                  </pic:spPr>
                </pic:pic>
              </a:graphicData>
            </a:graphic>
          </wp:inline>
        </w:drawing>
      </w:r>
      <w:r>
        <w:rPr>
          <w:rFonts w:ascii="Times New Roman" w:eastAsia="Times New Roman" w:hAnsi="Times New Roman" w:cs="Times New Roman"/>
          <w:sz w:val="24"/>
        </w:rPr>
        <w:t xml:space="preserve"> және </w:t>
      </w:r>
      <w:r>
        <w:rPr>
          <w:noProof/>
        </w:rPr>
        <w:drawing>
          <wp:inline distT="0" distB="0" distL="0" distR="0">
            <wp:extent cx="115824" cy="131064"/>
            <wp:effectExtent l="0" t="0" r="0" b="0"/>
            <wp:docPr id="1048712" name="Picture 1048712"/>
            <wp:cNvGraphicFramePr/>
            <a:graphic xmlns:a="http://schemas.openxmlformats.org/drawingml/2006/main">
              <a:graphicData uri="http://schemas.openxmlformats.org/drawingml/2006/picture">
                <pic:pic xmlns:pic="http://schemas.openxmlformats.org/drawingml/2006/picture">
                  <pic:nvPicPr>
                    <pic:cNvPr id="1048712" name="Picture 1048712"/>
                    <pic:cNvPicPr/>
                  </pic:nvPicPr>
                  <pic:blipFill>
                    <a:blip r:embed="rId484"/>
                    <a:stretch>
                      <a:fillRect/>
                    </a:stretch>
                  </pic:blipFill>
                  <pic:spPr>
                    <a:xfrm>
                      <a:off x="0" y="0"/>
                      <a:ext cx="115824" cy="131064"/>
                    </a:xfrm>
                    <a:prstGeom prst="rect">
                      <a:avLst/>
                    </a:prstGeom>
                  </pic:spPr>
                </pic:pic>
              </a:graphicData>
            </a:graphic>
          </wp:inline>
        </w:drawing>
      </w:r>
      <w:r>
        <w:rPr>
          <w:rFonts w:ascii="Times New Roman" w:eastAsia="Times New Roman" w:hAnsi="Times New Roman" w:cs="Times New Roman"/>
          <w:sz w:val="24"/>
        </w:rPr>
        <w:t xml:space="preserve"> векторларын </w:t>
      </w:r>
      <w:r>
        <w:rPr>
          <w:noProof/>
        </w:rPr>
        <w:drawing>
          <wp:inline distT="0" distB="0" distL="0" distR="0">
            <wp:extent cx="118872" cy="109728"/>
            <wp:effectExtent l="0" t="0" r="0" b="0"/>
            <wp:docPr id="1048713" name="Picture 1048713"/>
            <wp:cNvGraphicFramePr/>
            <a:graphic xmlns:a="http://schemas.openxmlformats.org/drawingml/2006/main">
              <a:graphicData uri="http://schemas.openxmlformats.org/drawingml/2006/picture">
                <pic:pic xmlns:pic="http://schemas.openxmlformats.org/drawingml/2006/picture">
                  <pic:nvPicPr>
                    <pic:cNvPr id="1048713" name="Picture 1048713"/>
                    <pic:cNvPicPr/>
                  </pic:nvPicPr>
                  <pic:blipFill>
                    <a:blip r:embed="rId485"/>
                    <a:stretch>
                      <a:fillRect/>
                    </a:stretch>
                  </pic:blipFill>
                  <pic:spPr>
                    <a:xfrm>
                      <a:off x="0" y="0"/>
                      <a:ext cx="118872" cy="109728"/>
                    </a:xfrm>
                    <a:prstGeom prst="rect">
                      <a:avLst/>
                    </a:prstGeom>
                  </pic:spPr>
                </pic:pic>
              </a:graphicData>
            </a:graphic>
          </wp:inline>
        </w:drawing>
      </w:r>
      <w:r>
        <w:rPr>
          <w:rFonts w:ascii="Times New Roman" w:eastAsia="Times New Roman" w:hAnsi="Times New Roman" w:cs="Times New Roman"/>
          <w:sz w:val="24"/>
        </w:rPr>
        <w:t xml:space="preserve">, x және </w:t>
      </w:r>
      <w:r>
        <w:rPr>
          <w:noProof/>
        </w:rPr>
        <w:drawing>
          <wp:inline distT="0" distB="0" distL="0" distR="0">
            <wp:extent cx="115824" cy="131064"/>
            <wp:effectExtent l="0" t="0" r="0" b="0"/>
            <wp:docPr id="1048714" name="Picture 1048714"/>
            <wp:cNvGraphicFramePr/>
            <a:graphic xmlns:a="http://schemas.openxmlformats.org/drawingml/2006/main">
              <a:graphicData uri="http://schemas.openxmlformats.org/drawingml/2006/picture">
                <pic:pic xmlns:pic="http://schemas.openxmlformats.org/drawingml/2006/picture">
                  <pic:nvPicPr>
                    <pic:cNvPr id="1048714" name="Picture 1048714"/>
                    <pic:cNvPicPr/>
                  </pic:nvPicPr>
                  <pic:blipFill>
                    <a:blip r:embed="rId484"/>
                    <a:stretch>
                      <a:fillRect/>
                    </a:stretch>
                  </pic:blipFill>
                  <pic:spPr>
                    <a:xfrm>
                      <a:off x="0" y="0"/>
                      <a:ext cx="115824" cy="131064"/>
                    </a:xfrm>
                    <a:prstGeom prst="rect">
                      <a:avLst/>
                    </a:prstGeom>
                  </pic:spPr>
                </pic:pic>
              </a:graphicData>
            </a:graphic>
          </wp:inline>
        </w:drawing>
      </w:r>
      <w:r>
        <w:rPr>
          <w:rFonts w:ascii="Times New Roman" w:eastAsia="Times New Roman" w:hAnsi="Times New Roman" w:cs="Times New Roman"/>
          <w:sz w:val="24"/>
        </w:rPr>
        <w:t xml:space="preserve">, x деп </w:t>
      </w:r>
      <w:r>
        <w:rPr>
          <w:rFonts w:ascii="Times New Roman" w:eastAsia="Times New Roman" w:hAnsi="Times New Roman" w:cs="Times New Roman"/>
          <w:sz w:val="24"/>
        </w:rPr>
        <w:t xml:space="preserve">бөлуге болады, ал </w:t>
      </w:r>
      <w:r>
        <w:rPr>
          <w:noProof/>
        </w:rPr>
        <w:drawing>
          <wp:inline distT="0" distB="0" distL="0" distR="0">
            <wp:extent cx="118873" cy="109728"/>
            <wp:effectExtent l="0" t="0" r="0" b="0"/>
            <wp:docPr id="1048715" name="Picture 1048715"/>
            <wp:cNvGraphicFramePr/>
            <a:graphic xmlns:a="http://schemas.openxmlformats.org/drawingml/2006/main">
              <a:graphicData uri="http://schemas.openxmlformats.org/drawingml/2006/picture">
                <pic:pic xmlns:pic="http://schemas.openxmlformats.org/drawingml/2006/picture">
                  <pic:nvPicPr>
                    <pic:cNvPr id="1048715" name="Picture 1048715"/>
                    <pic:cNvPicPr/>
                  </pic:nvPicPr>
                  <pic:blipFill>
                    <a:blip r:embed="rId486"/>
                    <a:stretch>
                      <a:fillRect/>
                    </a:stretch>
                  </pic:blipFill>
                  <pic:spPr>
                    <a:xfrm>
                      <a:off x="0" y="0"/>
                      <a:ext cx="118873" cy="109728"/>
                    </a:xfrm>
                    <a:prstGeom prst="rect">
                      <a:avLst/>
                    </a:prstGeom>
                  </pic:spPr>
                </pic:pic>
              </a:graphicData>
            </a:graphic>
          </wp:inline>
        </w:drawing>
      </w:r>
      <w:r>
        <w:rPr>
          <w:rFonts w:ascii="Times New Roman" w:eastAsia="Times New Roman" w:hAnsi="Times New Roman" w:cs="Times New Roman"/>
          <w:sz w:val="24"/>
        </w:rPr>
        <w:t xml:space="preserve">, y, </w:t>
      </w:r>
    </w:p>
    <w:p w:rsidR="0052701D" w:rsidRDefault="00D40929">
      <w:pPr>
        <w:spacing w:after="29" w:line="248" w:lineRule="auto"/>
        <w:ind w:left="284" w:right="14" w:hanging="60"/>
        <w:jc w:val="both"/>
      </w:pPr>
      <w:r>
        <w:rPr>
          <w:noProof/>
        </w:rPr>
        <w:drawing>
          <wp:inline distT="0" distB="0" distL="0" distR="0">
            <wp:extent cx="118872" cy="109728"/>
            <wp:effectExtent l="0" t="0" r="0" b="0"/>
            <wp:docPr id="1048716" name="Picture 1048716"/>
            <wp:cNvGraphicFramePr/>
            <a:graphic xmlns:a="http://schemas.openxmlformats.org/drawingml/2006/main">
              <a:graphicData uri="http://schemas.openxmlformats.org/drawingml/2006/picture">
                <pic:pic xmlns:pic="http://schemas.openxmlformats.org/drawingml/2006/picture">
                  <pic:nvPicPr>
                    <pic:cNvPr id="1048716" name="Picture 1048716"/>
                    <pic:cNvPicPr/>
                  </pic:nvPicPr>
                  <pic:blipFill>
                    <a:blip r:embed="rId487"/>
                    <a:stretch>
                      <a:fillRect/>
                    </a:stretch>
                  </pic:blipFill>
                  <pic:spPr>
                    <a:xfrm>
                      <a:off x="0" y="0"/>
                      <a:ext cx="118872" cy="109728"/>
                    </a:xfrm>
                    <a:prstGeom prst="rect">
                      <a:avLst/>
                    </a:prstGeom>
                  </pic:spPr>
                </pic:pic>
              </a:graphicData>
            </a:graphic>
          </wp:inline>
        </w:drawing>
      </w:r>
      <w:r>
        <w:rPr>
          <w:rFonts w:ascii="Times New Roman" w:eastAsia="Times New Roman" w:hAnsi="Times New Roman" w:cs="Times New Roman"/>
          <w:sz w:val="24"/>
        </w:rPr>
        <w:t xml:space="preserve">, z және </w:t>
      </w:r>
      <w:r>
        <w:rPr>
          <w:noProof/>
        </w:rPr>
        <w:drawing>
          <wp:inline distT="0" distB="0" distL="0" distR="0">
            <wp:extent cx="112776" cy="131064"/>
            <wp:effectExtent l="0" t="0" r="0" b="0"/>
            <wp:docPr id="1048718" name="Picture 1048718"/>
            <wp:cNvGraphicFramePr/>
            <a:graphic xmlns:a="http://schemas.openxmlformats.org/drawingml/2006/main">
              <a:graphicData uri="http://schemas.openxmlformats.org/drawingml/2006/picture">
                <pic:pic xmlns:pic="http://schemas.openxmlformats.org/drawingml/2006/picture">
                  <pic:nvPicPr>
                    <pic:cNvPr id="1048718" name="Picture 1048718"/>
                    <pic:cNvPicPr/>
                  </pic:nvPicPr>
                  <pic:blipFill>
                    <a:blip r:embed="rId488"/>
                    <a:stretch>
                      <a:fillRect/>
                    </a:stretch>
                  </pic:blipFill>
                  <pic:spPr>
                    <a:xfrm>
                      <a:off x="0" y="0"/>
                      <a:ext cx="112776" cy="131064"/>
                    </a:xfrm>
                    <a:prstGeom prst="rect">
                      <a:avLst/>
                    </a:prstGeom>
                  </pic:spPr>
                </pic:pic>
              </a:graphicData>
            </a:graphic>
          </wp:inline>
        </w:drawing>
      </w:r>
      <w:r>
        <w:rPr>
          <w:rFonts w:ascii="Times New Roman" w:eastAsia="Times New Roman" w:hAnsi="Times New Roman" w:cs="Times New Roman"/>
          <w:sz w:val="24"/>
        </w:rPr>
        <w:t xml:space="preserve">, y, </w:t>
      </w:r>
      <w:r>
        <w:rPr>
          <w:noProof/>
        </w:rPr>
        <w:drawing>
          <wp:inline distT="0" distB="0" distL="0" distR="0">
            <wp:extent cx="115824" cy="131064"/>
            <wp:effectExtent l="0" t="0" r="0" b="0"/>
            <wp:docPr id="1048717" name="Picture 1048717"/>
            <wp:cNvGraphicFramePr/>
            <a:graphic xmlns:a="http://schemas.openxmlformats.org/drawingml/2006/main">
              <a:graphicData uri="http://schemas.openxmlformats.org/drawingml/2006/picture">
                <pic:pic xmlns:pic="http://schemas.openxmlformats.org/drawingml/2006/picture">
                  <pic:nvPicPr>
                    <pic:cNvPr id="1048717" name="Picture 1048717"/>
                    <pic:cNvPicPr/>
                  </pic:nvPicPr>
                  <pic:blipFill>
                    <a:blip r:embed="rId489"/>
                    <a:stretch>
                      <a:fillRect/>
                    </a:stretch>
                  </pic:blipFill>
                  <pic:spPr>
                    <a:xfrm>
                      <a:off x="0" y="0"/>
                      <a:ext cx="115824" cy="131064"/>
                    </a:xfrm>
                    <a:prstGeom prst="rect">
                      <a:avLst/>
                    </a:prstGeom>
                  </pic:spPr>
                </pic:pic>
              </a:graphicData>
            </a:graphic>
          </wp:inline>
        </w:drawing>
      </w:r>
      <w:r>
        <w:rPr>
          <w:rFonts w:ascii="Times New Roman" w:eastAsia="Times New Roman" w:hAnsi="Times New Roman" w:cs="Times New Roman"/>
          <w:sz w:val="24"/>
        </w:rPr>
        <w:t xml:space="preserve">, z басқа компоненттерін елемеуге болады. Сонда келесі теңдеуді аламыз: </w:t>
      </w:r>
    </w:p>
    <w:p w:rsidR="0052701D" w:rsidRDefault="00D40929">
      <w:pPr>
        <w:spacing w:after="0"/>
        <w:ind w:left="283" w:right="1417"/>
      </w:pPr>
      <w:r>
        <w:rPr>
          <w:rFonts w:ascii="Times New Roman" w:eastAsia="Times New Roman" w:hAnsi="Times New Roman" w:cs="Times New Roman"/>
          <w:sz w:val="24"/>
        </w:rPr>
        <w:t xml:space="preserve"> </w:t>
      </w:r>
    </w:p>
    <w:p w:rsidR="0052701D" w:rsidRDefault="00D40929">
      <w:pPr>
        <w:tabs>
          <w:tab w:val="center" w:pos="4577"/>
          <w:tab w:val="center" w:pos="9236"/>
        </w:tabs>
        <w:spacing w:after="29" w:line="248" w:lineRule="auto"/>
      </w:pPr>
      <w:r>
        <w:tab/>
      </w:r>
      <w:r>
        <w:rPr>
          <w:noProof/>
        </w:rPr>
        <w:drawing>
          <wp:inline distT="0" distB="0" distL="0" distR="0">
            <wp:extent cx="4709160" cy="377952"/>
            <wp:effectExtent l="0" t="0" r="0" b="0"/>
            <wp:docPr id="1048719" name="Picture 1048719"/>
            <wp:cNvGraphicFramePr/>
            <a:graphic xmlns:a="http://schemas.openxmlformats.org/drawingml/2006/main">
              <a:graphicData uri="http://schemas.openxmlformats.org/drawingml/2006/picture">
                <pic:pic xmlns:pic="http://schemas.openxmlformats.org/drawingml/2006/picture">
                  <pic:nvPicPr>
                    <pic:cNvPr id="1048719" name="Picture 1048719"/>
                    <pic:cNvPicPr/>
                  </pic:nvPicPr>
                  <pic:blipFill>
                    <a:blip r:embed="rId490"/>
                    <a:stretch>
                      <a:fillRect/>
                    </a:stretch>
                  </pic:blipFill>
                  <pic:spPr>
                    <a:xfrm>
                      <a:off x="0" y="0"/>
                      <a:ext cx="4709160" cy="377952"/>
                    </a:xfrm>
                    <a:prstGeom prst="rect">
                      <a:avLst/>
                    </a:prstGeom>
                  </pic:spPr>
                </pic:pic>
              </a:graphicData>
            </a:graphic>
          </wp:inline>
        </w:drawing>
      </w:r>
      <w:r>
        <w:rPr>
          <w:rFonts w:ascii="Times New Roman" w:eastAsia="Times New Roman" w:hAnsi="Times New Roman" w:cs="Times New Roman"/>
          <w:sz w:val="24"/>
        </w:rPr>
        <w:tab/>
        <w:t xml:space="preserve">(2) </w:t>
      </w:r>
    </w:p>
    <w:p w:rsidR="0052701D" w:rsidRDefault="00D40929">
      <w:pPr>
        <w:spacing w:after="21"/>
        <w:ind w:left="283"/>
      </w:pPr>
      <w:r>
        <w:rPr>
          <w:rFonts w:ascii="Times New Roman" w:eastAsia="Times New Roman" w:hAnsi="Times New Roman" w:cs="Times New Roman"/>
          <w:sz w:val="24"/>
        </w:rPr>
        <w:t xml:space="preserve"> </w:t>
      </w:r>
    </w:p>
    <w:p w:rsidR="0052701D" w:rsidRDefault="00D40929">
      <w:pPr>
        <w:spacing w:after="29" w:line="248" w:lineRule="auto"/>
        <w:ind w:left="994" w:right="14"/>
        <w:jc w:val="both"/>
      </w:pPr>
      <w:r>
        <w:rPr>
          <w:rFonts w:ascii="Times New Roman" w:eastAsia="Times New Roman" w:hAnsi="Times New Roman" w:cs="Times New Roman"/>
          <w:sz w:val="24"/>
        </w:rPr>
        <w:t xml:space="preserve">Топсадағы моментті төмендегі формула бойынша есептеуге болады: </w:t>
      </w:r>
    </w:p>
    <w:p w:rsidR="0052701D" w:rsidRDefault="00D40929">
      <w:pPr>
        <w:spacing w:after="0"/>
        <w:ind w:left="283" w:right="4682"/>
      </w:pPr>
      <w:r>
        <w:rPr>
          <w:rFonts w:ascii="Times New Roman" w:eastAsia="Times New Roman" w:hAnsi="Times New Roman" w:cs="Times New Roman"/>
          <w:sz w:val="24"/>
        </w:rPr>
        <w:t xml:space="preserve"> </w:t>
      </w:r>
    </w:p>
    <w:p w:rsidR="0052701D" w:rsidRDefault="00D40929">
      <w:pPr>
        <w:tabs>
          <w:tab w:val="center" w:pos="4625"/>
          <w:tab w:val="center" w:pos="9236"/>
        </w:tabs>
        <w:spacing w:after="29" w:line="248" w:lineRule="auto"/>
      </w:pPr>
      <w:r>
        <w:tab/>
      </w:r>
      <w:r>
        <w:rPr>
          <w:noProof/>
        </w:rPr>
        <w:drawing>
          <wp:inline distT="0" distB="0" distL="0" distR="0">
            <wp:extent cx="481584" cy="329184"/>
            <wp:effectExtent l="0" t="0" r="0" b="0"/>
            <wp:docPr id="1048720" name="Picture 1048720"/>
            <wp:cNvGraphicFramePr/>
            <a:graphic xmlns:a="http://schemas.openxmlformats.org/drawingml/2006/main">
              <a:graphicData uri="http://schemas.openxmlformats.org/drawingml/2006/picture">
                <pic:pic xmlns:pic="http://schemas.openxmlformats.org/drawingml/2006/picture">
                  <pic:nvPicPr>
                    <pic:cNvPr id="1048720" name="Picture 1048720"/>
                    <pic:cNvPicPr/>
                  </pic:nvPicPr>
                  <pic:blipFill>
                    <a:blip r:embed="rId491"/>
                    <a:stretch>
                      <a:fillRect/>
                    </a:stretch>
                  </pic:blipFill>
                  <pic:spPr>
                    <a:xfrm>
                      <a:off x="0" y="0"/>
                      <a:ext cx="481584" cy="329184"/>
                    </a:xfrm>
                    <a:prstGeom prst="rect">
                      <a:avLst/>
                    </a:prstGeom>
                  </pic:spPr>
                </pic:pic>
              </a:graphicData>
            </a:graphic>
          </wp:inline>
        </w:drawing>
      </w:r>
      <w:r>
        <w:rPr>
          <w:rFonts w:ascii="Times New Roman" w:eastAsia="Times New Roman" w:hAnsi="Times New Roman" w:cs="Times New Roman"/>
          <w:sz w:val="24"/>
        </w:rPr>
        <w:tab/>
        <w:t xml:space="preserve">(3) </w:t>
      </w:r>
    </w:p>
    <w:p w:rsidR="0052701D" w:rsidRDefault="00D40929">
      <w:pPr>
        <w:spacing w:after="0"/>
        <w:ind w:left="21"/>
        <w:jc w:val="center"/>
      </w:pPr>
      <w:r>
        <w:rPr>
          <w:rFonts w:ascii="Times New Roman" w:eastAsia="Times New Roman" w:hAnsi="Times New Roman" w:cs="Times New Roman"/>
          <w:sz w:val="24"/>
        </w:rPr>
        <w:t xml:space="preserve"> </w:t>
      </w:r>
    </w:p>
    <w:p w:rsidR="0052701D" w:rsidRDefault="00D40929">
      <w:pPr>
        <w:spacing w:after="29" w:line="248" w:lineRule="auto"/>
        <w:ind w:left="283" w:right="14" w:firstLine="711"/>
        <w:jc w:val="both"/>
      </w:pPr>
      <w:r>
        <w:rPr>
          <w:rFonts w:ascii="Times New Roman" w:eastAsia="Times New Roman" w:hAnsi="Times New Roman" w:cs="Times New Roman"/>
          <w:sz w:val="24"/>
        </w:rPr>
        <w:t>Құрылғы шынтақ буынына арналғандықтан, басқа буындардың моменттері көрсетілмейді. Демек, теңдеудің қорытылуы тек θ</w:t>
      </w:r>
      <w:r>
        <w:rPr>
          <w:rFonts w:ascii="Times New Roman" w:eastAsia="Times New Roman" w:hAnsi="Times New Roman" w:cs="Times New Roman"/>
          <w:sz w:val="16"/>
        </w:rPr>
        <w:t>4</w:t>
      </w:r>
      <w:r>
        <w:rPr>
          <w:rFonts w:ascii="Times New Roman" w:eastAsia="Times New Roman" w:hAnsi="Times New Roman" w:cs="Times New Roman"/>
          <w:i/>
          <w:sz w:val="24"/>
        </w:rPr>
        <w:t xml:space="preserve"> </w:t>
      </w:r>
      <w:r>
        <w:rPr>
          <w:rFonts w:ascii="Times New Roman" w:eastAsia="Times New Roman" w:hAnsi="Times New Roman" w:cs="Times New Roman"/>
          <w:sz w:val="24"/>
        </w:rPr>
        <w:t xml:space="preserve">үшін қолданылады. </w:t>
      </w:r>
    </w:p>
    <w:p w:rsidR="0052701D" w:rsidRDefault="00D40929">
      <w:pPr>
        <w:spacing w:after="0"/>
        <w:ind w:left="283" w:right="1931"/>
      </w:pPr>
      <w:r>
        <w:rPr>
          <w:rFonts w:ascii="Times New Roman" w:eastAsia="Times New Roman" w:hAnsi="Times New Roman" w:cs="Times New Roman"/>
          <w:sz w:val="24"/>
        </w:rPr>
        <w:t xml:space="preserve"> </w:t>
      </w:r>
    </w:p>
    <w:p w:rsidR="0052701D" w:rsidRDefault="00D40929">
      <w:pPr>
        <w:tabs>
          <w:tab w:val="center" w:pos="4621"/>
          <w:tab w:val="center" w:pos="9236"/>
        </w:tabs>
        <w:spacing w:after="29" w:line="248" w:lineRule="auto"/>
      </w:pPr>
      <w:r>
        <w:tab/>
      </w:r>
      <w:r>
        <w:rPr>
          <w:noProof/>
        </w:rPr>
        <w:drawing>
          <wp:inline distT="0" distB="0" distL="0" distR="0">
            <wp:extent cx="3977640" cy="195072"/>
            <wp:effectExtent l="0" t="0" r="0" b="0"/>
            <wp:docPr id="1048721" name="Picture 1048721"/>
            <wp:cNvGraphicFramePr/>
            <a:graphic xmlns:a="http://schemas.openxmlformats.org/drawingml/2006/main">
              <a:graphicData uri="http://schemas.openxmlformats.org/drawingml/2006/picture">
                <pic:pic xmlns:pic="http://schemas.openxmlformats.org/drawingml/2006/picture">
                  <pic:nvPicPr>
                    <pic:cNvPr id="1048721" name="Picture 1048721"/>
                    <pic:cNvPicPr/>
                  </pic:nvPicPr>
                  <pic:blipFill>
                    <a:blip r:embed="rId492"/>
                    <a:stretch>
                      <a:fillRect/>
                    </a:stretch>
                  </pic:blipFill>
                  <pic:spPr>
                    <a:xfrm>
                      <a:off x="0" y="0"/>
                      <a:ext cx="3977640" cy="195072"/>
                    </a:xfrm>
                    <a:prstGeom prst="rect">
                      <a:avLst/>
                    </a:prstGeom>
                  </pic:spPr>
                </pic:pic>
              </a:graphicData>
            </a:graphic>
          </wp:inline>
        </w:drawing>
      </w:r>
      <w:r>
        <w:rPr>
          <w:rFonts w:ascii="Times New Roman" w:eastAsia="Times New Roman" w:hAnsi="Times New Roman" w:cs="Times New Roman"/>
          <w:sz w:val="24"/>
        </w:rPr>
        <w:tab/>
        <w:t xml:space="preserve">(4) </w:t>
      </w:r>
    </w:p>
    <w:p w:rsidR="0052701D" w:rsidRDefault="00D40929">
      <w:pPr>
        <w:spacing w:after="0"/>
        <w:ind w:left="21"/>
        <w:jc w:val="center"/>
      </w:pPr>
      <w:r>
        <w:rPr>
          <w:rFonts w:ascii="Times New Roman" w:eastAsia="Times New Roman" w:hAnsi="Times New Roman" w:cs="Times New Roman"/>
          <w:sz w:val="24"/>
        </w:rPr>
        <w:t xml:space="preserve"> </w:t>
      </w:r>
    </w:p>
    <w:p w:rsidR="0052701D" w:rsidRDefault="00D40929">
      <w:pPr>
        <w:spacing w:after="29" w:line="248" w:lineRule="auto"/>
        <w:ind w:left="283" w:right="329" w:firstLine="711"/>
        <w:jc w:val="both"/>
      </w:pPr>
      <w:r>
        <w:rPr>
          <w:rFonts w:ascii="Times New Roman" w:eastAsia="Times New Roman" w:hAnsi="Times New Roman" w:cs="Times New Roman"/>
          <w:sz w:val="24"/>
        </w:rPr>
        <w:t>Бұл моментті әзірленетін экзоскелет құрылымынан алып тастау қажет. Құрылғының айналу моменті оны пайдаланушын</w:t>
      </w:r>
      <w:r>
        <w:rPr>
          <w:rFonts w:ascii="Times New Roman" w:eastAsia="Times New Roman" w:hAnsi="Times New Roman" w:cs="Times New Roman"/>
          <w:sz w:val="24"/>
        </w:rPr>
        <w:t xml:space="preserve">ың жағдайына байланысты өзгеріп отыратындықтан, оны да дәл осы модельмен есептеуге болады. </w:t>
      </w:r>
    </w:p>
    <w:p w:rsidR="0052701D" w:rsidRDefault="00D40929">
      <w:pPr>
        <w:spacing w:after="29" w:line="248" w:lineRule="auto"/>
        <w:ind w:left="283" w:right="316" w:firstLine="711"/>
        <w:jc w:val="both"/>
      </w:pPr>
      <w:r>
        <w:rPr>
          <w:rFonts w:ascii="Times New Roman" w:eastAsia="Times New Roman" w:hAnsi="Times New Roman" w:cs="Times New Roman"/>
          <w:sz w:val="24"/>
        </w:rPr>
        <w:lastRenderedPageBreak/>
        <w:t>Көтеру кезінде максималды момент иық тік болған кезде қол жеткізіледі. Бұл θ</w:t>
      </w:r>
      <w:r>
        <w:rPr>
          <w:rFonts w:ascii="Times New Roman" w:eastAsia="Times New Roman" w:hAnsi="Times New Roman" w:cs="Times New Roman"/>
          <w:sz w:val="16"/>
        </w:rPr>
        <w:t>2</w:t>
      </w:r>
      <w:r>
        <w:rPr>
          <w:rFonts w:ascii="Times New Roman" w:eastAsia="Times New Roman" w:hAnsi="Times New Roman" w:cs="Times New Roman"/>
          <w:sz w:val="24"/>
        </w:rPr>
        <w:t xml:space="preserve"> = 0 градус және θ</w:t>
      </w:r>
      <w:r>
        <w:rPr>
          <w:rFonts w:ascii="Times New Roman" w:eastAsia="Times New Roman" w:hAnsi="Times New Roman" w:cs="Times New Roman"/>
          <w:sz w:val="16"/>
        </w:rPr>
        <w:t>3</w:t>
      </w:r>
      <w:r>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 90 градус болады дегенді білдіреді. Шынтақ буынында әрекет ететін көтеру моментінің теңдеуі келесідей болады: </w:t>
      </w:r>
    </w:p>
    <w:p w:rsidR="0052701D" w:rsidRDefault="00D40929">
      <w:pPr>
        <w:spacing w:after="0"/>
        <w:ind w:left="283" w:right="3097"/>
      </w:pPr>
      <w:r>
        <w:rPr>
          <w:rFonts w:ascii="Times New Roman" w:eastAsia="Times New Roman" w:hAnsi="Times New Roman" w:cs="Times New Roman"/>
          <w:sz w:val="24"/>
        </w:rPr>
        <w:t xml:space="preserve"> </w:t>
      </w:r>
    </w:p>
    <w:p w:rsidR="0052701D" w:rsidRDefault="00D40929">
      <w:pPr>
        <w:tabs>
          <w:tab w:val="center" w:pos="4536"/>
          <w:tab w:val="center" w:pos="9236"/>
        </w:tabs>
        <w:spacing w:after="5"/>
      </w:pPr>
      <w:r>
        <w:tab/>
      </w:r>
      <w:r>
        <w:rPr>
          <w:noProof/>
        </w:rPr>
        <w:drawing>
          <wp:inline distT="0" distB="0" distL="0" distR="0">
            <wp:extent cx="2612136" cy="195073"/>
            <wp:effectExtent l="0" t="0" r="0" b="0"/>
            <wp:docPr id="1048722" name="Picture 1048722"/>
            <wp:cNvGraphicFramePr/>
            <a:graphic xmlns:a="http://schemas.openxmlformats.org/drawingml/2006/main">
              <a:graphicData uri="http://schemas.openxmlformats.org/drawingml/2006/picture">
                <pic:pic xmlns:pic="http://schemas.openxmlformats.org/drawingml/2006/picture">
                  <pic:nvPicPr>
                    <pic:cNvPr id="1048722" name="Picture 1048722"/>
                    <pic:cNvPicPr/>
                  </pic:nvPicPr>
                  <pic:blipFill>
                    <a:blip r:embed="rId493"/>
                    <a:stretch>
                      <a:fillRect/>
                    </a:stretch>
                  </pic:blipFill>
                  <pic:spPr>
                    <a:xfrm>
                      <a:off x="0" y="0"/>
                      <a:ext cx="2612136" cy="195073"/>
                    </a:xfrm>
                    <a:prstGeom prst="rect">
                      <a:avLst/>
                    </a:prstGeom>
                  </pic:spPr>
                </pic:pic>
              </a:graphicData>
            </a:graphic>
          </wp:inline>
        </w:drawing>
      </w: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(5) </w:t>
      </w:r>
    </w:p>
    <w:p w:rsidR="0052701D" w:rsidRDefault="00D40929">
      <w:pPr>
        <w:spacing w:after="21"/>
        <w:ind w:left="21"/>
        <w:jc w:val="center"/>
      </w:pPr>
      <w:r>
        <w:rPr>
          <w:rFonts w:ascii="Times New Roman" w:eastAsia="Times New Roman" w:hAnsi="Times New Roman" w:cs="Times New Roman"/>
          <w:sz w:val="24"/>
        </w:rPr>
        <w:t xml:space="preserve"> </w:t>
      </w:r>
    </w:p>
    <w:p w:rsidR="0052701D" w:rsidRDefault="00D40929">
      <w:pPr>
        <w:spacing w:after="29" w:line="248" w:lineRule="auto"/>
        <w:ind w:left="283" w:right="14" w:firstLine="711"/>
        <w:jc w:val="both"/>
      </w:pPr>
      <w:r>
        <w:rPr>
          <w:rFonts w:ascii="Times New Roman" w:eastAsia="Times New Roman" w:hAnsi="Times New Roman" w:cs="Times New Roman"/>
          <w:sz w:val="24"/>
        </w:rPr>
        <w:t xml:space="preserve">5 теңдеуде </w:t>
      </w:r>
      <w:r>
        <w:rPr>
          <w:rFonts w:ascii="Times New Roman" w:eastAsia="Times New Roman" w:hAnsi="Times New Roman" w:cs="Times New Roman"/>
          <w:i/>
          <w:sz w:val="24"/>
        </w:rPr>
        <w:t>θ</w:t>
      </w:r>
      <w:r>
        <w:rPr>
          <w:rFonts w:ascii="Times New Roman" w:eastAsia="Times New Roman" w:hAnsi="Times New Roman" w:cs="Times New Roman"/>
          <w:i/>
          <w:sz w:val="16"/>
        </w:rPr>
        <w:t>4</w:t>
      </w:r>
      <w:r>
        <w:rPr>
          <w:rFonts w:ascii="Times New Roman" w:eastAsia="Times New Roman" w:hAnsi="Times New Roman" w:cs="Times New Roman"/>
          <w:sz w:val="24"/>
        </w:rPr>
        <w:t xml:space="preserve"> = 90 градус тең болғанда </w:t>
      </w:r>
      <w:r>
        <w:rPr>
          <w:noProof/>
        </w:rPr>
        <w:drawing>
          <wp:inline distT="0" distB="0" distL="0" distR="0">
            <wp:extent cx="256032" cy="128015"/>
            <wp:effectExtent l="0" t="0" r="0" b="0"/>
            <wp:docPr id="1048723" name="Picture 1048723"/>
            <wp:cNvGraphicFramePr/>
            <a:graphic xmlns:a="http://schemas.openxmlformats.org/drawingml/2006/main">
              <a:graphicData uri="http://schemas.openxmlformats.org/drawingml/2006/picture">
                <pic:pic xmlns:pic="http://schemas.openxmlformats.org/drawingml/2006/picture">
                  <pic:nvPicPr>
                    <pic:cNvPr id="1048723" name="Picture 1048723"/>
                    <pic:cNvPicPr/>
                  </pic:nvPicPr>
                  <pic:blipFill>
                    <a:blip r:embed="rId494"/>
                    <a:stretch>
                      <a:fillRect/>
                    </a:stretch>
                  </pic:blipFill>
                  <pic:spPr>
                    <a:xfrm>
                      <a:off x="0" y="0"/>
                      <a:ext cx="256032" cy="128015"/>
                    </a:xfrm>
                    <a:prstGeom prst="rect">
                      <a:avLst/>
                    </a:prstGeom>
                  </pic:spPr>
                </pic:pic>
              </a:graphicData>
            </a:graphic>
          </wp:inline>
        </w:drawing>
      </w:r>
      <w:r>
        <w:rPr>
          <w:rFonts w:ascii="Times New Roman" w:eastAsia="Times New Roman" w:hAnsi="Times New Roman" w:cs="Times New Roman"/>
          <w:sz w:val="24"/>
        </w:rPr>
        <w:t xml:space="preserve"> максимум мәнге ие болады және тек қолдың массасынан және жүктеме салмағынан ғана тәуелді</w:t>
      </w:r>
      <w:r>
        <w:rPr>
          <w:rFonts w:ascii="Times New Roman" w:eastAsia="Times New Roman" w:hAnsi="Times New Roman" w:cs="Times New Roman"/>
          <w:sz w:val="24"/>
        </w:rPr>
        <w:t xml:space="preserve"> болады:  </w:t>
      </w:r>
    </w:p>
    <w:p w:rsidR="0052701D" w:rsidRDefault="00D40929">
      <w:pPr>
        <w:spacing w:after="0"/>
        <w:ind w:left="283" w:right="3011"/>
      </w:pPr>
      <w:r>
        <w:rPr>
          <w:rFonts w:ascii="Times New Roman" w:eastAsia="Times New Roman" w:hAnsi="Times New Roman" w:cs="Times New Roman"/>
          <w:sz w:val="24"/>
        </w:rPr>
        <w:t xml:space="preserve"> </w:t>
      </w:r>
    </w:p>
    <w:p w:rsidR="0052701D" w:rsidRDefault="00D40929">
      <w:pPr>
        <w:tabs>
          <w:tab w:val="center" w:pos="4621"/>
          <w:tab w:val="center" w:pos="9236"/>
        </w:tabs>
        <w:spacing w:after="29" w:line="248" w:lineRule="auto"/>
      </w:pPr>
      <w:r>
        <w:tab/>
      </w:r>
      <w:r>
        <w:rPr>
          <w:noProof/>
        </w:rPr>
        <w:drawing>
          <wp:inline distT="0" distB="0" distL="0" distR="0">
            <wp:extent cx="2606040" cy="195072"/>
            <wp:effectExtent l="0" t="0" r="0" b="0"/>
            <wp:docPr id="1048724" name="Picture 1048724"/>
            <wp:cNvGraphicFramePr/>
            <a:graphic xmlns:a="http://schemas.openxmlformats.org/drawingml/2006/main">
              <a:graphicData uri="http://schemas.openxmlformats.org/drawingml/2006/picture">
                <pic:pic xmlns:pic="http://schemas.openxmlformats.org/drawingml/2006/picture">
                  <pic:nvPicPr>
                    <pic:cNvPr id="1048724" name="Picture 1048724"/>
                    <pic:cNvPicPr/>
                  </pic:nvPicPr>
                  <pic:blipFill>
                    <a:blip r:embed="rId495"/>
                    <a:stretch>
                      <a:fillRect/>
                    </a:stretch>
                  </pic:blipFill>
                  <pic:spPr>
                    <a:xfrm>
                      <a:off x="0" y="0"/>
                      <a:ext cx="2606040" cy="195072"/>
                    </a:xfrm>
                    <a:prstGeom prst="rect">
                      <a:avLst/>
                    </a:prstGeom>
                  </pic:spPr>
                </pic:pic>
              </a:graphicData>
            </a:graphic>
          </wp:inline>
        </w:drawing>
      </w:r>
      <w:r>
        <w:rPr>
          <w:rFonts w:ascii="Times New Roman" w:eastAsia="Times New Roman" w:hAnsi="Times New Roman" w:cs="Times New Roman"/>
          <w:sz w:val="24"/>
        </w:rPr>
        <w:tab/>
        <w:t xml:space="preserve">(6) </w:t>
      </w:r>
    </w:p>
    <w:p w:rsidR="0052701D" w:rsidRDefault="00D40929">
      <w:pPr>
        <w:spacing w:after="0"/>
        <w:ind w:left="283" w:right="3011"/>
      </w:pPr>
      <w:r>
        <w:rPr>
          <w:rFonts w:ascii="Times New Roman" w:eastAsia="Times New Roman" w:hAnsi="Times New Roman" w:cs="Times New Roman"/>
          <w:sz w:val="24"/>
        </w:rPr>
        <w:t xml:space="preserve"> </w:t>
      </w:r>
    </w:p>
    <w:p w:rsidR="0052701D" w:rsidRDefault="00D40929">
      <w:pPr>
        <w:spacing w:after="29" w:line="248" w:lineRule="auto"/>
        <w:ind w:left="283" w:right="318" w:firstLine="711"/>
        <w:jc w:val="both"/>
      </w:pPr>
      <w:r>
        <w:rPr>
          <w:rFonts w:ascii="Times New Roman" w:eastAsia="Times New Roman" w:hAnsi="Times New Roman" w:cs="Times New Roman"/>
          <w:sz w:val="24"/>
        </w:rPr>
        <w:t>3D модельдеу және модельдеу есептеулері Solidworks Simulation бағдарламалық жасақтамасы мен Motion Simulation пакетін қолдана отырып виртуалды ортада жүргізілді. 7 – суретте Solidworks Simulation көмегімен алынған flexion мен extensi</w:t>
      </w:r>
      <w:r>
        <w:rPr>
          <w:rFonts w:ascii="Times New Roman" w:eastAsia="Times New Roman" w:hAnsi="Times New Roman" w:cs="Times New Roman"/>
          <w:sz w:val="24"/>
        </w:rPr>
        <w:t xml:space="preserve">on үлгілері көрсетілген. Бұл қозғалыстағы қозғалыс диапазоны -10° - тан +145° - қа дейін артады, ал имитация кезінде 9° - қа дейін бүгіледі  ал шынтақтың ашылуы 84° - тан 143° - қа дейін. </w:t>
      </w:r>
    </w:p>
    <w:p w:rsidR="0052701D" w:rsidRDefault="00D40929">
      <w:pPr>
        <w:numPr>
          <w:ilvl w:val="0"/>
          <w:numId w:val="47"/>
        </w:numPr>
        <w:spacing w:after="29" w:line="248" w:lineRule="auto"/>
        <w:ind w:right="14" w:firstLine="567"/>
        <w:jc w:val="both"/>
      </w:pPr>
      <w:r>
        <w:rPr>
          <w:rFonts w:ascii="Times New Roman" w:eastAsia="Times New Roman" w:hAnsi="Times New Roman" w:cs="Times New Roman"/>
          <w:sz w:val="24"/>
        </w:rPr>
        <w:t>суретте платформаның бұрыштық үдеудің есептеу нәтижелерін көрсетеді</w:t>
      </w:r>
      <w:r>
        <w:rPr>
          <w:rFonts w:ascii="Times New Roman" w:eastAsia="Times New Roman" w:hAnsi="Times New Roman" w:cs="Times New Roman"/>
          <w:sz w:val="24"/>
        </w:rPr>
        <w:t xml:space="preserve">. Бұл нүктенің Y осі бойымен қозғалысын сипаттап 85-1,43 мм көрсетті яғни 5 с. ішінде. </w:t>
      </w:r>
    </w:p>
    <w:p w:rsidR="0052701D" w:rsidRDefault="00D40929">
      <w:pPr>
        <w:numPr>
          <w:ilvl w:val="0"/>
          <w:numId w:val="47"/>
        </w:numPr>
        <w:spacing w:after="29" w:line="248" w:lineRule="auto"/>
        <w:ind w:right="14" w:firstLine="567"/>
        <w:jc w:val="both"/>
      </w:pPr>
      <w:r>
        <w:rPr>
          <w:rFonts w:ascii="Times New Roman" w:eastAsia="Times New Roman" w:hAnsi="Times New Roman" w:cs="Times New Roman"/>
          <w:sz w:val="24"/>
        </w:rPr>
        <w:t xml:space="preserve">суретте платформаның жылдамдық нәтижелерін көрсетеді. Бұл нүктенің Y осі бойымен қозғалысын сипаттап 210 мм көрсетті яғни 5 с. ішінде. </w:t>
      </w:r>
    </w:p>
    <w:p w:rsidR="0052701D" w:rsidRDefault="00D40929">
      <w:pPr>
        <w:spacing w:after="0"/>
        <w:ind w:right="2159"/>
        <w:jc w:val="right"/>
      </w:pPr>
      <w:r>
        <w:rPr>
          <w:noProof/>
        </w:rPr>
        <w:drawing>
          <wp:inline distT="0" distB="0" distL="0" distR="0">
            <wp:extent cx="3352800" cy="2374392"/>
            <wp:effectExtent l="0" t="0" r="0" b="0"/>
            <wp:docPr id="33307" name="Picture 33307"/>
            <wp:cNvGraphicFramePr/>
            <a:graphic xmlns:a="http://schemas.openxmlformats.org/drawingml/2006/main">
              <a:graphicData uri="http://schemas.openxmlformats.org/drawingml/2006/picture">
                <pic:pic xmlns:pic="http://schemas.openxmlformats.org/drawingml/2006/picture">
                  <pic:nvPicPr>
                    <pic:cNvPr id="33307" name="Picture 33307"/>
                    <pic:cNvPicPr/>
                  </pic:nvPicPr>
                  <pic:blipFill>
                    <a:blip r:embed="rId496"/>
                    <a:stretch>
                      <a:fillRect/>
                    </a:stretch>
                  </pic:blipFill>
                  <pic:spPr>
                    <a:xfrm>
                      <a:off x="0" y="0"/>
                      <a:ext cx="3352800" cy="2374392"/>
                    </a:xfrm>
                    <a:prstGeom prst="rect">
                      <a:avLst/>
                    </a:prstGeom>
                  </pic:spPr>
                </pic:pic>
              </a:graphicData>
            </a:graphic>
          </wp:inline>
        </w:drawing>
      </w:r>
      <w:r>
        <w:rPr>
          <w:rFonts w:ascii="Times New Roman" w:eastAsia="Times New Roman" w:hAnsi="Times New Roman" w:cs="Times New Roman"/>
          <w:sz w:val="24"/>
        </w:rPr>
        <w:t xml:space="preserve"> </w:t>
      </w:r>
    </w:p>
    <w:p w:rsidR="0052701D" w:rsidRDefault="00D40929">
      <w:pPr>
        <w:spacing w:after="29" w:line="248" w:lineRule="auto"/>
        <w:ind w:left="1508" w:right="14"/>
        <w:jc w:val="both"/>
      </w:pPr>
      <w:r>
        <w:rPr>
          <w:rFonts w:ascii="Times New Roman" w:eastAsia="Times New Roman" w:hAnsi="Times New Roman" w:cs="Times New Roman"/>
          <w:sz w:val="24"/>
        </w:rPr>
        <w:t>Сурет 7 –</w:t>
      </w:r>
      <w:r>
        <w:rPr>
          <w:rFonts w:ascii="Times New Roman" w:eastAsia="Times New Roman" w:hAnsi="Times New Roman" w:cs="Times New Roman"/>
          <w:sz w:val="24"/>
        </w:rPr>
        <w:t>Имитациялық қозғалыстың суреті</w:t>
      </w:r>
      <w:r>
        <w:rPr>
          <w:sz w:val="24"/>
        </w:rPr>
        <w:t xml:space="preserve"> </w:t>
      </w:r>
      <w:r>
        <w:rPr>
          <w:rFonts w:ascii="Times New Roman" w:eastAsia="Times New Roman" w:hAnsi="Times New Roman" w:cs="Times New Roman"/>
          <w:sz w:val="24"/>
        </w:rPr>
        <w:t xml:space="preserve">flexion мен extension </w:t>
      </w:r>
    </w:p>
    <w:p w:rsidR="0052701D" w:rsidRDefault="00D40929">
      <w:pPr>
        <w:spacing w:after="0"/>
        <w:ind w:left="21"/>
        <w:jc w:val="center"/>
      </w:pPr>
      <w:r>
        <w:rPr>
          <w:rFonts w:ascii="Times New Roman" w:eastAsia="Times New Roman" w:hAnsi="Times New Roman" w:cs="Times New Roman"/>
          <w:sz w:val="24"/>
        </w:rPr>
        <w:t xml:space="preserve"> </w:t>
      </w:r>
    </w:p>
    <w:p w:rsidR="0052701D" w:rsidRDefault="00D40929">
      <w:pPr>
        <w:spacing w:after="0"/>
        <w:ind w:left="15"/>
        <w:jc w:val="center"/>
      </w:pPr>
      <w:r>
        <w:rPr>
          <w:sz w:val="24"/>
        </w:rPr>
        <w:t xml:space="preserve"> </w:t>
      </w:r>
    </w:p>
    <w:p w:rsidR="0052701D" w:rsidRDefault="00D40929">
      <w:pPr>
        <w:spacing w:after="0"/>
        <w:ind w:right="1184"/>
        <w:jc w:val="right"/>
      </w:pPr>
      <w:r>
        <w:rPr>
          <w:noProof/>
        </w:rPr>
        <w:lastRenderedPageBreak/>
        <w:drawing>
          <wp:inline distT="0" distB="0" distL="0" distR="0">
            <wp:extent cx="4571238" cy="2923032"/>
            <wp:effectExtent l="0" t="0" r="0" b="0"/>
            <wp:docPr id="33309" name="Picture 33309"/>
            <wp:cNvGraphicFramePr/>
            <a:graphic xmlns:a="http://schemas.openxmlformats.org/drawingml/2006/main">
              <a:graphicData uri="http://schemas.openxmlformats.org/drawingml/2006/picture">
                <pic:pic xmlns:pic="http://schemas.openxmlformats.org/drawingml/2006/picture">
                  <pic:nvPicPr>
                    <pic:cNvPr id="33309" name="Picture 33309"/>
                    <pic:cNvPicPr/>
                  </pic:nvPicPr>
                  <pic:blipFill>
                    <a:blip r:embed="rId497"/>
                    <a:stretch>
                      <a:fillRect/>
                    </a:stretch>
                  </pic:blipFill>
                  <pic:spPr>
                    <a:xfrm>
                      <a:off x="0" y="0"/>
                      <a:ext cx="4571238" cy="2923032"/>
                    </a:xfrm>
                    <a:prstGeom prst="rect">
                      <a:avLst/>
                    </a:prstGeom>
                  </pic:spPr>
                </pic:pic>
              </a:graphicData>
            </a:graphic>
          </wp:inline>
        </w:drawing>
      </w:r>
      <w:r>
        <w:rPr>
          <w:rFonts w:ascii="Times New Roman" w:eastAsia="Times New Roman" w:hAnsi="Times New Roman" w:cs="Times New Roman"/>
          <w:sz w:val="24"/>
        </w:rPr>
        <w:t xml:space="preserve"> </w:t>
      </w:r>
    </w:p>
    <w:p w:rsidR="0052701D" w:rsidRDefault="00D40929">
      <w:pPr>
        <w:spacing w:after="29" w:line="248" w:lineRule="auto"/>
        <w:ind w:left="2027" w:right="14"/>
        <w:jc w:val="both"/>
      </w:pPr>
      <w:r>
        <w:rPr>
          <w:rFonts w:ascii="Times New Roman" w:eastAsia="Times New Roman" w:hAnsi="Times New Roman" w:cs="Times New Roman"/>
          <w:sz w:val="24"/>
        </w:rPr>
        <w:t xml:space="preserve">Сурет 8 – Имитациялық қозғалыстың бұрыштық үдеуі </w:t>
      </w:r>
    </w:p>
    <w:p w:rsidR="0052701D" w:rsidRDefault="00D40929">
      <w:pPr>
        <w:spacing w:after="0"/>
        <w:ind w:left="21"/>
        <w:jc w:val="center"/>
      </w:pPr>
      <w:r>
        <w:rPr>
          <w:rFonts w:ascii="Times New Roman" w:eastAsia="Times New Roman" w:hAnsi="Times New Roman" w:cs="Times New Roman"/>
          <w:sz w:val="24"/>
        </w:rPr>
        <w:t xml:space="preserve"> </w:t>
      </w:r>
    </w:p>
    <w:p w:rsidR="0052701D" w:rsidRDefault="00D40929">
      <w:pPr>
        <w:spacing w:after="0"/>
        <w:ind w:left="21"/>
        <w:jc w:val="center"/>
      </w:pPr>
      <w:r>
        <w:rPr>
          <w:rFonts w:ascii="Times New Roman" w:eastAsia="Times New Roman" w:hAnsi="Times New Roman" w:cs="Times New Roman"/>
          <w:sz w:val="24"/>
        </w:rPr>
        <w:t xml:space="preserve"> </w:t>
      </w:r>
    </w:p>
    <w:p w:rsidR="0052701D" w:rsidRDefault="00D40929">
      <w:pPr>
        <w:spacing w:after="0"/>
        <w:ind w:right="1606"/>
        <w:jc w:val="right"/>
      </w:pPr>
      <w:r>
        <w:rPr>
          <w:noProof/>
        </w:rPr>
        <w:drawing>
          <wp:inline distT="0" distB="0" distL="0" distR="0">
            <wp:extent cx="4056888" cy="2456688"/>
            <wp:effectExtent l="0" t="0" r="0" b="0"/>
            <wp:docPr id="33311" name="Picture 33311"/>
            <wp:cNvGraphicFramePr/>
            <a:graphic xmlns:a="http://schemas.openxmlformats.org/drawingml/2006/main">
              <a:graphicData uri="http://schemas.openxmlformats.org/drawingml/2006/picture">
                <pic:pic xmlns:pic="http://schemas.openxmlformats.org/drawingml/2006/picture">
                  <pic:nvPicPr>
                    <pic:cNvPr id="33311" name="Picture 33311"/>
                    <pic:cNvPicPr/>
                  </pic:nvPicPr>
                  <pic:blipFill>
                    <a:blip r:embed="rId498"/>
                    <a:stretch>
                      <a:fillRect/>
                    </a:stretch>
                  </pic:blipFill>
                  <pic:spPr>
                    <a:xfrm>
                      <a:off x="0" y="0"/>
                      <a:ext cx="4056888" cy="2456688"/>
                    </a:xfrm>
                    <a:prstGeom prst="rect">
                      <a:avLst/>
                    </a:prstGeom>
                  </pic:spPr>
                </pic:pic>
              </a:graphicData>
            </a:graphic>
          </wp:inline>
        </w:drawing>
      </w:r>
      <w:r>
        <w:rPr>
          <w:rFonts w:ascii="Times New Roman" w:eastAsia="Times New Roman" w:hAnsi="Times New Roman" w:cs="Times New Roman"/>
          <w:sz w:val="24"/>
        </w:rPr>
        <w:t xml:space="preserve"> </w:t>
      </w:r>
    </w:p>
    <w:p w:rsidR="0052701D" w:rsidRDefault="00D40929">
      <w:pPr>
        <w:spacing w:after="29" w:line="248" w:lineRule="auto"/>
        <w:ind w:left="2185" w:right="14"/>
        <w:jc w:val="both"/>
      </w:pPr>
      <w:r>
        <w:rPr>
          <w:rFonts w:ascii="Times New Roman" w:eastAsia="Times New Roman" w:hAnsi="Times New Roman" w:cs="Times New Roman"/>
          <w:sz w:val="24"/>
        </w:rPr>
        <w:t>Сурет 9 –</w:t>
      </w:r>
      <w:r>
        <w:rPr>
          <w:sz w:val="24"/>
        </w:rPr>
        <w:t xml:space="preserve"> </w:t>
      </w:r>
      <w:r>
        <w:rPr>
          <w:rFonts w:ascii="Times New Roman" w:eastAsia="Times New Roman" w:hAnsi="Times New Roman" w:cs="Times New Roman"/>
          <w:sz w:val="24"/>
        </w:rPr>
        <w:t xml:space="preserve">Имитациялық қозғалыстың жылдамдығы </w:t>
      </w:r>
      <w:r>
        <w:rPr>
          <w:rFonts w:ascii="Times New Roman" w:eastAsia="Times New Roman" w:hAnsi="Times New Roman" w:cs="Times New Roman"/>
          <w:b/>
          <w:sz w:val="24"/>
        </w:rPr>
        <w:t xml:space="preserve">ҚОРЫТЫНДЫ. </w:t>
      </w:r>
    </w:p>
    <w:p w:rsidR="0052701D" w:rsidRDefault="00D40929">
      <w:pPr>
        <w:spacing w:after="29" w:line="248" w:lineRule="auto"/>
        <w:ind w:left="283" w:right="322" w:firstLine="567"/>
        <w:jc w:val="both"/>
      </w:pPr>
      <w:r>
        <w:rPr>
          <w:rFonts w:ascii="Times New Roman" w:eastAsia="Times New Roman" w:hAnsi="Times New Roman" w:cs="Times New Roman"/>
          <w:sz w:val="24"/>
        </w:rPr>
        <w:t>Жоғарғы аяқ-</w:t>
      </w:r>
      <w:r>
        <w:rPr>
          <w:rFonts w:ascii="Times New Roman" w:eastAsia="Times New Roman" w:hAnsi="Times New Roman" w:cs="Times New Roman"/>
          <w:sz w:val="24"/>
        </w:rPr>
        <w:t xml:space="preserve">қолдарға арналған экзоскелет жүйелері қозғалысты қалпына келтіруге көмектесу үшін қажет. Мақалада жоғарғы аяқ-қол экзоскелеттерінің  қазіргі жағдайымен заманауи дамуына шолу жасалады.  </w:t>
      </w:r>
    </w:p>
    <w:p w:rsidR="0052701D" w:rsidRDefault="00D40929">
      <w:pPr>
        <w:spacing w:after="29" w:line="248" w:lineRule="auto"/>
        <w:ind w:left="283" w:right="329" w:firstLine="567"/>
        <w:jc w:val="both"/>
      </w:pPr>
      <w:r>
        <w:rPr>
          <w:rFonts w:ascii="Times New Roman" w:eastAsia="Times New Roman" w:hAnsi="Times New Roman" w:cs="Times New Roman"/>
          <w:sz w:val="24"/>
        </w:rPr>
        <w:t xml:space="preserve">Сонымен қатар, қолға арналған кейбір экзоскелеттерді қысқаша қарастырып, олардың болашақ жоғарғы аяқ-қол экзоскелеттерімен интеграциялануы қажеттілігін ескерді.  </w:t>
      </w:r>
    </w:p>
    <w:p w:rsidR="0052701D" w:rsidRDefault="00D40929">
      <w:pPr>
        <w:spacing w:after="29" w:line="248" w:lineRule="auto"/>
        <w:ind w:left="283" w:right="320" w:firstLine="567"/>
        <w:jc w:val="both"/>
      </w:pPr>
      <w:r>
        <w:rPr>
          <w:rFonts w:ascii="Times New Roman" w:eastAsia="Times New Roman" w:hAnsi="Times New Roman" w:cs="Times New Roman"/>
          <w:sz w:val="24"/>
        </w:rPr>
        <w:t>Сондай-ақ, механикалық конструкцияға, басқару стратегиясына, энергияны іске қосу және беру әд</w:t>
      </w:r>
      <w:r>
        <w:rPr>
          <w:rFonts w:ascii="Times New Roman" w:eastAsia="Times New Roman" w:hAnsi="Times New Roman" w:cs="Times New Roman"/>
          <w:sz w:val="24"/>
        </w:rPr>
        <w:t xml:space="preserve">ісіне, сондай-ақ адамның жоғарғы аяқ-қолдарының анатомиясына негізделген экзоскелет дизайнын модельдеуге баса назар аудара отырып, осы технологияны зерттеу мен әзірлеудегі жаңа проблемалар анықталды және талқыланды.  </w:t>
      </w:r>
    </w:p>
    <w:p w:rsidR="0052701D" w:rsidRDefault="00D40929">
      <w:pPr>
        <w:spacing w:after="3" w:line="248" w:lineRule="auto"/>
        <w:ind w:left="283" w:right="328" w:firstLine="567"/>
        <w:jc w:val="both"/>
      </w:pPr>
      <w:r>
        <w:rPr>
          <w:rFonts w:ascii="Times New Roman" w:eastAsia="Times New Roman" w:hAnsi="Times New Roman" w:cs="Times New Roman"/>
          <w:sz w:val="24"/>
        </w:rPr>
        <w:t>Роботты экзоскелеттердің жұмысын жобал</w:t>
      </w:r>
      <w:r>
        <w:rPr>
          <w:rFonts w:ascii="Times New Roman" w:eastAsia="Times New Roman" w:hAnsi="Times New Roman" w:cs="Times New Roman"/>
          <w:sz w:val="24"/>
        </w:rPr>
        <w:t xml:space="preserve">ау мен бағалаудың стандартты критерийлері әлі жоқ. Сондықтан адамның күрделі биомеханикасын, әсіресе иық пен білек шынтақ  буындарын ескере отырып, жаңа механизмдерді жасау үшін көбірек зерттеулер мен әзірлемелер қажет.  </w:t>
      </w:r>
    </w:p>
    <w:p w:rsidR="0052701D" w:rsidRDefault="00D40929">
      <w:pPr>
        <w:spacing w:after="29" w:line="248" w:lineRule="auto"/>
        <w:ind w:left="283" w:right="14" w:firstLine="567"/>
        <w:jc w:val="both"/>
      </w:pPr>
      <w:r>
        <w:rPr>
          <w:rFonts w:ascii="Times New Roman" w:eastAsia="Times New Roman" w:hAnsi="Times New Roman" w:cs="Times New Roman"/>
          <w:sz w:val="24"/>
        </w:rPr>
        <w:t>Біз ұсынып отырған қолдың шынтақ б</w:t>
      </w:r>
      <w:r>
        <w:rPr>
          <w:rFonts w:ascii="Times New Roman" w:eastAsia="Times New Roman" w:hAnsi="Times New Roman" w:cs="Times New Roman"/>
          <w:sz w:val="24"/>
        </w:rPr>
        <w:t xml:space="preserve">уынына арналған электронды құрылғы өте жеңіл және басқару жүйесі өте қарапайым. </w:t>
      </w:r>
    </w:p>
    <w:p w:rsidR="0052701D" w:rsidRDefault="00D40929">
      <w:pPr>
        <w:spacing w:after="27"/>
        <w:ind w:left="850"/>
      </w:pPr>
      <w:r>
        <w:rPr>
          <w:rFonts w:ascii="Times New Roman" w:eastAsia="Times New Roman" w:hAnsi="Times New Roman" w:cs="Times New Roman"/>
          <w:sz w:val="24"/>
        </w:rPr>
        <w:t xml:space="preserve"> </w:t>
      </w:r>
    </w:p>
    <w:p w:rsidR="0052701D" w:rsidRDefault="00D40929">
      <w:pPr>
        <w:spacing w:after="16" w:line="248" w:lineRule="auto"/>
        <w:ind w:left="819" w:right="847" w:hanging="10"/>
        <w:jc w:val="center"/>
      </w:pPr>
      <w:r>
        <w:rPr>
          <w:rFonts w:ascii="Times New Roman" w:eastAsia="Times New Roman" w:hAnsi="Times New Roman" w:cs="Times New Roman"/>
          <w:b/>
          <w:sz w:val="24"/>
        </w:rPr>
        <w:lastRenderedPageBreak/>
        <w:t xml:space="preserve">ӘДЕБИЕТТЕР ТІЗІМІ </w:t>
      </w:r>
    </w:p>
    <w:p w:rsidR="0052701D" w:rsidRDefault="00D40929">
      <w:pPr>
        <w:numPr>
          <w:ilvl w:val="0"/>
          <w:numId w:val="48"/>
        </w:numPr>
        <w:spacing w:after="0" w:line="248" w:lineRule="auto"/>
        <w:ind w:right="168"/>
        <w:jc w:val="both"/>
      </w:pPr>
      <w:r>
        <w:rPr>
          <w:rFonts w:ascii="Times New Roman" w:eastAsia="Times New Roman" w:hAnsi="Times New Roman" w:cs="Times New Roman"/>
          <w:sz w:val="24"/>
        </w:rPr>
        <w:t>Bai, S.; Virk, G.S.; Sugar, T. Wearable Exoskeleton Systems: Design, Control and Applications; Institution of Engineering and Technology: London, UK, 2018</w:t>
      </w:r>
      <w:r>
        <w:rPr>
          <w:rFonts w:ascii="Times New Roman" w:eastAsia="Times New Roman" w:hAnsi="Times New Roman" w:cs="Times New Roman"/>
          <w:sz w:val="24"/>
        </w:rPr>
        <w:t xml:space="preserve">. </w:t>
      </w:r>
    </w:p>
    <w:p w:rsidR="0052701D" w:rsidRDefault="00D40929">
      <w:pPr>
        <w:numPr>
          <w:ilvl w:val="0"/>
          <w:numId w:val="48"/>
        </w:numPr>
        <w:spacing w:after="0" w:line="248" w:lineRule="auto"/>
        <w:ind w:right="168"/>
        <w:jc w:val="both"/>
      </w:pPr>
      <w:r>
        <w:rPr>
          <w:rFonts w:ascii="Times New Roman" w:eastAsia="Times New Roman" w:hAnsi="Times New Roman" w:cs="Times New Roman"/>
          <w:sz w:val="24"/>
        </w:rPr>
        <w:t>Kim, S.; Nussbaum, M.A.; Esfahani, M.I.M.; Alemi, M.M.; Jia, B.; Rashedi, E. Assessing the influence of a passive, upper extremity exoskeletal vest for tasks requiring arm elevation: Part II–“Unexpected” effects on shoulder motion, balance, and spine lo</w:t>
      </w:r>
      <w:r>
        <w:rPr>
          <w:rFonts w:ascii="Times New Roman" w:eastAsia="Times New Roman" w:hAnsi="Times New Roman" w:cs="Times New Roman"/>
          <w:sz w:val="24"/>
        </w:rPr>
        <w:t xml:space="preserve">ading. Appl. Ergon. 2018, 70, 323–330.  </w:t>
      </w:r>
    </w:p>
    <w:p w:rsidR="0052701D" w:rsidRDefault="00D40929">
      <w:pPr>
        <w:spacing w:after="0" w:line="248" w:lineRule="auto"/>
        <w:ind w:left="283" w:right="14"/>
        <w:jc w:val="both"/>
      </w:pPr>
      <w:r>
        <w:rPr>
          <w:rFonts w:ascii="Times New Roman" w:eastAsia="Times New Roman" w:hAnsi="Times New Roman" w:cs="Times New Roman"/>
          <w:sz w:val="24"/>
        </w:rPr>
        <w:t xml:space="preserve">[3]. Carmeli, E.; Peleg, S.; Bartur, G.; Elbo, E.; Vatine, J.J. HandTutorTM enhanced hand rehabilitation after stroke—A pilot study. Physiother. Res. Int. 2011, 16, 191–200.  </w:t>
      </w:r>
    </w:p>
    <w:p w:rsidR="0052701D" w:rsidRDefault="00D40929">
      <w:pPr>
        <w:numPr>
          <w:ilvl w:val="0"/>
          <w:numId w:val="49"/>
        </w:numPr>
        <w:spacing w:after="0" w:line="248" w:lineRule="auto"/>
        <w:ind w:right="326"/>
        <w:jc w:val="both"/>
      </w:pPr>
      <w:r>
        <w:rPr>
          <w:rFonts w:ascii="Times New Roman" w:eastAsia="Times New Roman" w:hAnsi="Times New Roman" w:cs="Times New Roman"/>
          <w:sz w:val="24"/>
        </w:rPr>
        <w:t>Nilsson, M.; Ingvast, J.; Wikander, J.; von Holst, H. The Soft Extra Muscle system for improving the grasping capability in neurological rehabilitation. In Proceedings of the IEEEEMBS Conference on Biomedical Engineering and Sciences, Langkawi, Malaysia, 1</w:t>
      </w:r>
      <w:r>
        <w:rPr>
          <w:rFonts w:ascii="Times New Roman" w:eastAsia="Times New Roman" w:hAnsi="Times New Roman" w:cs="Times New Roman"/>
          <w:sz w:val="24"/>
        </w:rPr>
        <w:t xml:space="preserve">7–19 December 2012; pp. 412–417. </w:t>
      </w:r>
    </w:p>
    <w:p w:rsidR="0052701D" w:rsidRDefault="00D40929">
      <w:pPr>
        <w:numPr>
          <w:ilvl w:val="0"/>
          <w:numId w:val="49"/>
        </w:numPr>
        <w:spacing w:after="0" w:line="248" w:lineRule="auto"/>
        <w:ind w:right="326"/>
        <w:jc w:val="both"/>
      </w:pPr>
      <w:r>
        <w:rPr>
          <w:rFonts w:ascii="Times New Roman" w:eastAsia="Times New Roman" w:hAnsi="Times New Roman" w:cs="Times New Roman"/>
          <w:sz w:val="24"/>
        </w:rPr>
        <w:t>Bianchi, M.; Fanelli, F.; Conti, R.; Governi, L.; Meli, E.; Ridolfi, A.; Rindi, A.; Vannetti, F.; Allotta, B. Design and Motion Analysis of a Wearable and Portable Hand Exoskeleton. In Wearable Robotics: Challenges and Tre</w:t>
      </w:r>
      <w:r>
        <w:rPr>
          <w:rFonts w:ascii="Times New Roman" w:eastAsia="Times New Roman" w:hAnsi="Times New Roman" w:cs="Times New Roman"/>
          <w:sz w:val="24"/>
        </w:rPr>
        <w:t xml:space="preserve">nds, Proceedings of the 2nd International Symposium on Wearable Robotics, Segovia, Spain, 18–21 October, 2016; Springer: Berlin, Germany, 2016; pp. 373–377. </w:t>
      </w:r>
    </w:p>
    <w:p w:rsidR="0052701D" w:rsidRDefault="00D40929">
      <w:pPr>
        <w:numPr>
          <w:ilvl w:val="0"/>
          <w:numId w:val="49"/>
        </w:numPr>
        <w:spacing w:after="0" w:line="248" w:lineRule="auto"/>
        <w:ind w:right="326"/>
        <w:jc w:val="both"/>
      </w:pPr>
      <w:r>
        <w:rPr>
          <w:rFonts w:ascii="Times New Roman" w:eastAsia="Times New Roman" w:hAnsi="Times New Roman" w:cs="Times New Roman"/>
          <w:sz w:val="24"/>
        </w:rPr>
        <w:t>Kim, B.; Deshpande, A.D. An upper-body rehabilitation exoskeleton Harmony with an anatomical shoul</w:t>
      </w:r>
      <w:r>
        <w:rPr>
          <w:rFonts w:ascii="Times New Roman" w:eastAsia="Times New Roman" w:hAnsi="Times New Roman" w:cs="Times New Roman"/>
          <w:sz w:val="24"/>
        </w:rPr>
        <w:t xml:space="preserve">der mechanism: Design, modeling, control, and performance evaluation. Int. J. Robot Res. 2017, 36, 414–435. </w:t>
      </w:r>
    </w:p>
    <w:p w:rsidR="0052701D" w:rsidRDefault="00D40929">
      <w:pPr>
        <w:numPr>
          <w:ilvl w:val="0"/>
          <w:numId w:val="49"/>
        </w:numPr>
        <w:spacing w:after="0" w:line="248" w:lineRule="auto"/>
        <w:ind w:right="326"/>
        <w:jc w:val="both"/>
      </w:pPr>
      <w:r>
        <w:rPr>
          <w:rFonts w:ascii="Times New Roman" w:eastAsia="Times New Roman" w:hAnsi="Times New Roman" w:cs="Times New Roman"/>
          <w:sz w:val="24"/>
        </w:rPr>
        <w:t>Christensen, S.; Bai, S. Kinematic Analysis and Design of a Novel Shoulder Exoskeleton Using a Double Parallelogram Linkage. J. Mech. Robot 2018, 1</w:t>
      </w:r>
      <w:r>
        <w:rPr>
          <w:rFonts w:ascii="Times New Roman" w:eastAsia="Times New Roman" w:hAnsi="Times New Roman" w:cs="Times New Roman"/>
          <w:sz w:val="24"/>
        </w:rPr>
        <w:t xml:space="preserve">0, 041008. [CrossRef] [8] Groshaw, P. Hardiman I Arm Test, Hardiman I Prototype, General Electric Rep; Technical report S-70-1019; General Electric Co.: Schenectady, NY, USA, 1969. </w:t>
      </w:r>
    </w:p>
    <w:p w:rsidR="0052701D" w:rsidRDefault="00D40929">
      <w:pPr>
        <w:numPr>
          <w:ilvl w:val="0"/>
          <w:numId w:val="50"/>
        </w:numPr>
        <w:spacing w:after="29" w:line="248" w:lineRule="auto"/>
        <w:ind w:right="166"/>
        <w:jc w:val="both"/>
      </w:pPr>
      <w:r>
        <w:rPr>
          <w:rFonts w:ascii="Times New Roman" w:eastAsia="Times New Roman" w:hAnsi="Times New Roman" w:cs="Times New Roman"/>
          <w:sz w:val="24"/>
        </w:rPr>
        <w:t>Kazerooni, H. Human-robot interaction via the transfer of power and inform</w:t>
      </w:r>
      <w:r>
        <w:rPr>
          <w:rFonts w:ascii="Times New Roman" w:eastAsia="Times New Roman" w:hAnsi="Times New Roman" w:cs="Times New Roman"/>
          <w:sz w:val="24"/>
        </w:rPr>
        <w:t xml:space="preserve">ation signals. </w:t>
      </w:r>
    </w:p>
    <w:p w:rsidR="0052701D" w:rsidRDefault="00D40929">
      <w:pPr>
        <w:spacing w:after="29" w:line="248" w:lineRule="auto"/>
        <w:ind w:left="283" w:right="14"/>
        <w:jc w:val="both"/>
      </w:pPr>
      <w:r>
        <w:rPr>
          <w:rFonts w:ascii="Times New Roman" w:eastAsia="Times New Roman" w:hAnsi="Times New Roman" w:cs="Times New Roman"/>
          <w:sz w:val="24"/>
        </w:rPr>
        <w:t xml:space="preserve">IEEE Trans. Syst. Man Cybern. 1990, 20, 450–463. [CrossRef] </w:t>
      </w:r>
    </w:p>
    <w:p w:rsidR="0052701D" w:rsidRDefault="00D40929">
      <w:pPr>
        <w:numPr>
          <w:ilvl w:val="0"/>
          <w:numId w:val="50"/>
        </w:numPr>
        <w:spacing w:after="0" w:line="248" w:lineRule="auto"/>
        <w:ind w:right="166"/>
        <w:jc w:val="both"/>
      </w:pPr>
      <w:r>
        <w:rPr>
          <w:rFonts w:ascii="Times New Roman" w:eastAsia="Times New Roman" w:hAnsi="Times New Roman" w:cs="Times New Roman"/>
          <w:sz w:val="24"/>
        </w:rPr>
        <w:t>Kawamoto, H.; Lee, S.; Kanbe, S.; Sankai, Y. Power assist method for HAL-3 using EMGbased feedback controller. In Proceedings of the 2003 IEEE International Conference on Systems,</w:t>
      </w:r>
      <w:r>
        <w:rPr>
          <w:rFonts w:ascii="Times New Roman" w:eastAsia="Times New Roman" w:hAnsi="Times New Roman" w:cs="Times New Roman"/>
          <w:sz w:val="24"/>
        </w:rPr>
        <w:t xml:space="preserve"> Man and Cybernetics, Conference Theme—System Security and Assurance (Cat. No.03CH37483), Washington, DC, USA, 8 October 2003; pp. 1648–1653. </w:t>
      </w:r>
    </w:p>
    <w:p w:rsidR="0052701D" w:rsidRDefault="00D40929">
      <w:pPr>
        <w:spacing w:after="0"/>
        <w:ind w:left="283"/>
      </w:pPr>
      <w:r>
        <w:rPr>
          <w:rFonts w:ascii="Times New Roman" w:eastAsia="Times New Roman" w:hAnsi="Times New Roman" w:cs="Times New Roman"/>
          <w:sz w:val="24"/>
        </w:rPr>
        <w:t xml:space="preserve"> </w:t>
      </w:r>
    </w:p>
    <w:p w:rsidR="0052701D" w:rsidRDefault="00D40929">
      <w:pPr>
        <w:spacing w:after="16" w:line="248" w:lineRule="auto"/>
        <w:ind w:left="819" w:right="855" w:hanging="10"/>
        <w:jc w:val="center"/>
      </w:pPr>
      <w:r>
        <w:rPr>
          <w:rFonts w:ascii="Times New Roman" w:eastAsia="Times New Roman" w:hAnsi="Times New Roman" w:cs="Times New Roman"/>
          <w:b/>
          <w:sz w:val="24"/>
        </w:rPr>
        <w:t xml:space="preserve">REFERENCES </w:t>
      </w:r>
    </w:p>
    <w:p w:rsidR="0052701D" w:rsidRDefault="00D40929">
      <w:pPr>
        <w:numPr>
          <w:ilvl w:val="0"/>
          <w:numId w:val="51"/>
        </w:numPr>
        <w:spacing w:after="0" w:line="248" w:lineRule="auto"/>
        <w:ind w:right="168"/>
        <w:jc w:val="both"/>
      </w:pPr>
      <w:r>
        <w:rPr>
          <w:rFonts w:ascii="Times New Roman" w:eastAsia="Times New Roman" w:hAnsi="Times New Roman" w:cs="Times New Roman"/>
          <w:sz w:val="24"/>
        </w:rPr>
        <w:t>Bai, S.; Virk, G.S.; Sugar, T. Wearable Exoskeleton Systems: Design, Control and Applications; Inst</w:t>
      </w:r>
      <w:r>
        <w:rPr>
          <w:rFonts w:ascii="Times New Roman" w:eastAsia="Times New Roman" w:hAnsi="Times New Roman" w:cs="Times New Roman"/>
          <w:sz w:val="24"/>
        </w:rPr>
        <w:t xml:space="preserve">itution of Engineering and Technology: London, UK, 2018. </w:t>
      </w:r>
    </w:p>
    <w:p w:rsidR="0052701D" w:rsidRDefault="00D40929">
      <w:pPr>
        <w:numPr>
          <w:ilvl w:val="0"/>
          <w:numId w:val="51"/>
        </w:numPr>
        <w:spacing w:after="0" w:line="248" w:lineRule="auto"/>
        <w:ind w:right="168"/>
        <w:jc w:val="both"/>
      </w:pPr>
      <w:r>
        <w:rPr>
          <w:rFonts w:ascii="Times New Roman" w:eastAsia="Times New Roman" w:hAnsi="Times New Roman" w:cs="Times New Roman"/>
          <w:sz w:val="24"/>
        </w:rPr>
        <w:t>Kim, S.; Nussbaum, M.A.; Esfahani, M.I.M.; Alemi, M.M.; Jia, B.; Rashedi, E. Assessing the influence of a passive, upper extremity exoskeletal vest for tasks requiring arm elevation: Part II–“Unexpe</w:t>
      </w:r>
      <w:r>
        <w:rPr>
          <w:rFonts w:ascii="Times New Roman" w:eastAsia="Times New Roman" w:hAnsi="Times New Roman" w:cs="Times New Roman"/>
          <w:sz w:val="24"/>
        </w:rPr>
        <w:t xml:space="preserve">cted” effects on shoulder motion, balance, and spine loading. Appl. Ergon. 2018, 70, 323–330.  </w:t>
      </w:r>
    </w:p>
    <w:p w:rsidR="0052701D" w:rsidRDefault="00D40929">
      <w:pPr>
        <w:spacing w:after="0" w:line="248" w:lineRule="auto"/>
        <w:ind w:left="283" w:right="14"/>
        <w:jc w:val="both"/>
      </w:pPr>
      <w:r>
        <w:rPr>
          <w:rFonts w:ascii="Times New Roman" w:eastAsia="Times New Roman" w:hAnsi="Times New Roman" w:cs="Times New Roman"/>
          <w:sz w:val="24"/>
        </w:rPr>
        <w:t>[3]. Carmeli, E.; Peleg, S.; Bartur, G.; Elbo, E.; Vatine, J.J. HandTutorTM enhanced hand rehabilitation after stroke—A pilot study. Physiother. Res. Int. 2011,</w:t>
      </w:r>
      <w:r>
        <w:rPr>
          <w:rFonts w:ascii="Times New Roman" w:eastAsia="Times New Roman" w:hAnsi="Times New Roman" w:cs="Times New Roman"/>
          <w:sz w:val="24"/>
        </w:rPr>
        <w:t xml:space="preserve"> 16, 191–200.  </w:t>
      </w:r>
    </w:p>
    <w:p w:rsidR="0052701D" w:rsidRDefault="00D40929">
      <w:pPr>
        <w:numPr>
          <w:ilvl w:val="0"/>
          <w:numId w:val="52"/>
        </w:numPr>
        <w:spacing w:after="0" w:line="248" w:lineRule="auto"/>
        <w:ind w:right="323"/>
        <w:jc w:val="both"/>
      </w:pPr>
      <w:r>
        <w:rPr>
          <w:rFonts w:ascii="Times New Roman" w:eastAsia="Times New Roman" w:hAnsi="Times New Roman" w:cs="Times New Roman"/>
          <w:sz w:val="24"/>
        </w:rPr>
        <w:t>Nilsson, M.; Ingvast, J.; Wikander, J.; von Holst, H. The Soft Extra Muscle system for improving the grasping capability in neurological rehabilitation. In Proceedings of the IEEE</w:t>
      </w:r>
      <w:r>
        <w:rPr>
          <w:rFonts w:ascii="Times New Roman" w:eastAsia="Times New Roman" w:hAnsi="Times New Roman" w:cs="Times New Roman"/>
          <w:sz w:val="24"/>
        </w:rPr>
        <w:t xml:space="preserve">EMBS Conference on Biomedical Engineering and Sciences, Langkawi, Malaysia, 17–19 December 2012; pp. 412–417. </w:t>
      </w:r>
    </w:p>
    <w:p w:rsidR="0052701D" w:rsidRDefault="00D40929">
      <w:pPr>
        <w:numPr>
          <w:ilvl w:val="0"/>
          <w:numId w:val="52"/>
        </w:numPr>
        <w:spacing w:after="0" w:line="248" w:lineRule="auto"/>
        <w:ind w:right="323"/>
        <w:jc w:val="both"/>
      </w:pPr>
      <w:r>
        <w:rPr>
          <w:rFonts w:ascii="Times New Roman" w:eastAsia="Times New Roman" w:hAnsi="Times New Roman" w:cs="Times New Roman"/>
          <w:sz w:val="24"/>
        </w:rPr>
        <w:t>Bianchi, M.; Fanelli, F.; Conti, R.; Governi, L.; Meli, E.; Ridolfi, A.; Rindi, A.; Vannetti, F.; Allotta, B. Design and Motion Analysis of a Wea</w:t>
      </w:r>
      <w:r>
        <w:rPr>
          <w:rFonts w:ascii="Times New Roman" w:eastAsia="Times New Roman" w:hAnsi="Times New Roman" w:cs="Times New Roman"/>
          <w:sz w:val="24"/>
        </w:rPr>
        <w:t xml:space="preserve">rable and Portable Hand Exoskeleton. In Wearable Robotics: Challenges and Trends, Proceedings of the 2nd International Symposium on Wearable Robotics, Segovia, Spain, 18–21 October, 2016; Springer: Berlin, Germany, 2016; pp. 373–377. </w:t>
      </w:r>
    </w:p>
    <w:p w:rsidR="0052701D" w:rsidRDefault="00D40929">
      <w:pPr>
        <w:numPr>
          <w:ilvl w:val="0"/>
          <w:numId w:val="52"/>
        </w:numPr>
        <w:spacing w:after="0" w:line="248" w:lineRule="auto"/>
        <w:ind w:right="323"/>
        <w:jc w:val="both"/>
      </w:pPr>
      <w:r>
        <w:rPr>
          <w:rFonts w:ascii="Times New Roman" w:eastAsia="Times New Roman" w:hAnsi="Times New Roman" w:cs="Times New Roman"/>
          <w:sz w:val="24"/>
        </w:rPr>
        <w:lastRenderedPageBreak/>
        <w:t>Kim, B.; Deshpande, A</w:t>
      </w:r>
      <w:r>
        <w:rPr>
          <w:rFonts w:ascii="Times New Roman" w:eastAsia="Times New Roman" w:hAnsi="Times New Roman" w:cs="Times New Roman"/>
          <w:sz w:val="24"/>
        </w:rPr>
        <w:t xml:space="preserve">.D. An upper-body rehabilitation exoskeleton Harmony with an anatomical shoulder mechanism: Design, modeling, control, and performance evaluation. Int. J. Robot Res. 2017, 36, 414–435. </w:t>
      </w:r>
    </w:p>
    <w:p w:rsidR="0052701D" w:rsidRDefault="00D40929">
      <w:pPr>
        <w:numPr>
          <w:ilvl w:val="0"/>
          <w:numId w:val="52"/>
        </w:numPr>
        <w:spacing w:after="29" w:line="248" w:lineRule="auto"/>
        <w:ind w:right="323"/>
        <w:jc w:val="both"/>
      </w:pPr>
      <w:r>
        <w:rPr>
          <w:rFonts w:ascii="Times New Roman" w:eastAsia="Times New Roman" w:hAnsi="Times New Roman" w:cs="Times New Roman"/>
          <w:sz w:val="24"/>
        </w:rPr>
        <w:t>Christensen, S.; Bai, S. Kinematic Analysis and Design of a Novel Shou</w:t>
      </w:r>
      <w:r>
        <w:rPr>
          <w:rFonts w:ascii="Times New Roman" w:eastAsia="Times New Roman" w:hAnsi="Times New Roman" w:cs="Times New Roman"/>
          <w:sz w:val="24"/>
        </w:rPr>
        <w:t xml:space="preserve">lder Exoskeleton </w:t>
      </w:r>
    </w:p>
    <w:p w:rsidR="0052701D" w:rsidRDefault="00D40929">
      <w:pPr>
        <w:spacing w:after="0" w:line="248" w:lineRule="auto"/>
        <w:ind w:left="283" w:right="331"/>
        <w:jc w:val="both"/>
      </w:pPr>
      <w:r>
        <w:rPr>
          <w:rFonts w:ascii="Times New Roman" w:eastAsia="Times New Roman" w:hAnsi="Times New Roman" w:cs="Times New Roman"/>
          <w:sz w:val="24"/>
        </w:rPr>
        <w:t>Using a Double Parallelogram Linkage. J. Mech. Robot 2018, 10, 041008. [CrossRef] [8] Groshaw, P. Hardiman I Arm Test, Hardiman I Prototype, General Electric Rep; Technical report S-70-1019; General Electric Co.: Schenectady, NY, USA, 196</w:t>
      </w:r>
      <w:r>
        <w:rPr>
          <w:rFonts w:ascii="Times New Roman" w:eastAsia="Times New Roman" w:hAnsi="Times New Roman" w:cs="Times New Roman"/>
          <w:sz w:val="24"/>
        </w:rPr>
        <w:t xml:space="preserve">9. </w:t>
      </w:r>
    </w:p>
    <w:p w:rsidR="0052701D" w:rsidRDefault="00D40929">
      <w:pPr>
        <w:numPr>
          <w:ilvl w:val="0"/>
          <w:numId w:val="53"/>
        </w:numPr>
        <w:spacing w:after="0" w:line="248" w:lineRule="auto"/>
        <w:ind w:right="166"/>
        <w:jc w:val="both"/>
      </w:pPr>
      <w:r>
        <w:rPr>
          <w:rFonts w:ascii="Times New Roman" w:eastAsia="Times New Roman" w:hAnsi="Times New Roman" w:cs="Times New Roman"/>
          <w:sz w:val="24"/>
        </w:rPr>
        <w:t xml:space="preserve">Kazerooni, H. Human-robot interaction via the transfer of power and information signals. IEEE Trans. Syst. Man Cybern. 1990, 20, 450–463. [CrossRef] </w:t>
      </w:r>
    </w:p>
    <w:p w:rsidR="0052701D" w:rsidRDefault="00D40929">
      <w:pPr>
        <w:numPr>
          <w:ilvl w:val="0"/>
          <w:numId w:val="53"/>
        </w:numPr>
        <w:spacing w:after="0" w:line="248" w:lineRule="auto"/>
        <w:ind w:right="166"/>
        <w:jc w:val="both"/>
      </w:pPr>
      <w:r>
        <w:rPr>
          <w:rFonts w:ascii="Times New Roman" w:eastAsia="Times New Roman" w:hAnsi="Times New Roman" w:cs="Times New Roman"/>
          <w:sz w:val="24"/>
        </w:rPr>
        <w:t>Kawamoto, H.; Lee, S.; Kanbe, S.; Sankai, Y. Power assist method for HAL-3 using EMGbased feedback con</w:t>
      </w:r>
      <w:r>
        <w:rPr>
          <w:rFonts w:ascii="Times New Roman" w:eastAsia="Times New Roman" w:hAnsi="Times New Roman" w:cs="Times New Roman"/>
          <w:sz w:val="24"/>
        </w:rPr>
        <w:t xml:space="preserve">troller. In Proceedings of the 2003 IEEE International Conference on Systems, Man and Cybernetics, Conference Theme—System Security and Assurance (Cat. No.03CH37483), Washington, DC, USA, 8 October 2003; pp. 1648–1653. </w:t>
      </w:r>
    </w:p>
    <w:p w:rsidR="0052701D" w:rsidRDefault="00D40929">
      <w:pPr>
        <w:spacing w:after="0"/>
        <w:ind w:left="283"/>
      </w:pPr>
      <w:r>
        <w:rPr>
          <w:rFonts w:ascii="Times New Roman" w:eastAsia="Times New Roman" w:hAnsi="Times New Roman" w:cs="Times New Roman"/>
          <w:b/>
          <w:sz w:val="24"/>
        </w:rPr>
        <w:t xml:space="preserve"> </w:t>
      </w:r>
    </w:p>
    <w:p w:rsidR="0052701D" w:rsidRDefault="00D40929">
      <w:pPr>
        <w:spacing w:after="0"/>
        <w:ind w:left="283"/>
      </w:pPr>
      <w:r>
        <w:rPr>
          <w:rFonts w:ascii="Times New Roman" w:eastAsia="Times New Roman" w:hAnsi="Times New Roman" w:cs="Times New Roman"/>
          <w:b/>
          <w:sz w:val="24"/>
        </w:rPr>
        <w:t xml:space="preserve"> </w:t>
      </w:r>
    </w:p>
    <w:p w:rsidR="0052701D" w:rsidRDefault="00D40929">
      <w:pPr>
        <w:spacing w:after="4" w:line="271" w:lineRule="auto"/>
        <w:ind w:left="529" w:right="194" w:hanging="10"/>
      </w:pPr>
      <w:r>
        <w:rPr>
          <w:rFonts w:ascii="Times New Roman" w:eastAsia="Times New Roman" w:hAnsi="Times New Roman" w:cs="Times New Roman"/>
          <w:b/>
          <w:sz w:val="24"/>
        </w:rPr>
        <w:t xml:space="preserve">РАЗРАБОТКА НОВОГО ЭКЗОСКЕЛЕТА ДЛЯ РЕАБИЛИТАЦИИ ВЕРХНИХ </w:t>
      </w:r>
    </w:p>
    <w:p w:rsidR="0052701D" w:rsidRDefault="00D40929">
      <w:pPr>
        <w:spacing w:after="16" w:line="248" w:lineRule="auto"/>
        <w:ind w:left="819" w:right="855" w:hanging="10"/>
        <w:jc w:val="center"/>
      </w:pPr>
      <w:r>
        <w:rPr>
          <w:rFonts w:ascii="Times New Roman" w:eastAsia="Times New Roman" w:hAnsi="Times New Roman" w:cs="Times New Roman"/>
          <w:b/>
          <w:sz w:val="24"/>
        </w:rPr>
        <w:t xml:space="preserve">КОНЕЧНОСТЕЙ </w:t>
      </w:r>
    </w:p>
    <w:p w:rsidR="0052701D" w:rsidRDefault="00D40929">
      <w:pPr>
        <w:spacing w:after="10"/>
        <w:ind w:left="21"/>
        <w:jc w:val="center"/>
      </w:pPr>
      <w:r>
        <w:rPr>
          <w:rFonts w:ascii="Times New Roman" w:eastAsia="Times New Roman" w:hAnsi="Times New Roman" w:cs="Times New Roman"/>
          <w:b/>
          <w:sz w:val="24"/>
        </w:rPr>
        <w:t xml:space="preserve"> </w:t>
      </w:r>
    </w:p>
    <w:p w:rsidR="0052701D" w:rsidRDefault="00D40929">
      <w:pPr>
        <w:spacing w:after="4" w:line="271" w:lineRule="auto"/>
        <w:ind w:left="2579" w:right="194" w:hanging="10"/>
      </w:pPr>
      <w:r>
        <w:rPr>
          <w:rFonts w:ascii="Times New Roman" w:eastAsia="Times New Roman" w:hAnsi="Times New Roman" w:cs="Times New Roman"/>
          <w:b/>
          <w:sz w:val="24"/>
        </w:rPr>
        <w:t>Н.Т. Жетенбаев</w:t>
      </w:r>
      <w:r>
        <w:rPr>
          <w:rFonts w:ascii="Times New Roman" w:eastAsia="Times New Roman" w:hAnsi="Times New Roman" w:cs="Times New Roman"/>
          <w:b/>
          <w:sz w:val="24"/>
          <w:vertAlign w:val="superscript"/>
        </w:rPr>
        <w:t>1</w:t>
      </w:r>
      <w:r>
        <w:rPr>
          <w:rFonts w:ascii="Times New Roman" w:eastAsia="Times New Roman" w:hAnsi="Times New Roman" w:cs="Times New Roman"/>
          <w:b/>
          <w:sz w:val="24"/>
        </w:rPr>
        <w:t>., Б.Т. Шингисов</w:t>
      </w:r>
      <w:r>
        <w:rPr>
          <w:rFonts w:ascii="Times New Roman" w:eastAsia="Times New Roman" w:hAnsi="Times New Roman" w:cs="Times New Roman"/>
          <w:b/>
          <w:sz w:val="24"/>
          <w:vertAlign w:val="superscript"/>
        </w:rPr>
        <w:t>2</w:t>
      </w:r>
      <w:r>
        <w:rPr>
          <w:rFonts w:ascii="Times New Roman" w:eastAsia="Times New Roman" w:hAnsi="Times New Roman" w:cs="Times New Roman"/>
          <w:b/>
          <w:sz w:val="24"/>
        </w:rPr>
        <w:t>., М.Б. Ғани</w:t>
      </w:r>
      <w:r>
        <w:rPr>
          <w:rFonts w:ascii="Times New Roman" w:eastAsia="Times New Roman" w:hAnsi="Times New Roman" w:cs="Times New Roman"/>
          <w:b/>
          <w:sz w:val="24"/>
          <w:vertAlign w:val="superscript"/>
        </w:rPr>
        <w:t>3</w:t>
      </w:r>
      <w:r>
        <w:rPr>
          <w:rFonts w:ascii="Times New Roman" w:eastAsia="Times New Roman" w:hAnsi="Times New Roman" w:cs="Times New Roman"/>
          <w:b/>
          <w:sz w:val="24"/>
        </w:rPr>
        <w:t xml:space="preserve">  </w:t>
      </w:r>
    </w:p>
    <w:p w:rsidR="0052701D" w:rsidRDefault="00D40929">
      <w:pPr>
        <w:spacing w:after="98" w:line="248" w:lineRule="auto"/>
        <w:ind w:left="1345" w:right="14"/>
        <w:jc w:val="both"/>
      </w:pPr>
      <w:r>
        <w:rPr>
          <w:rFonts w:ascii="Times New Roman" w:eastAsia="Times New Roman" w:hAnsi="Times New Roman" w:cs="Times New Roman"/>
          <w:sz w:val="24"/>
          <w:vertAlign w:val="superscript"/>
        </w:rPr>
        <w:t xml:space="preserve">1,2 </w:t>
      </w:r>
      <w:r>
        <w:rPr>
          <w:rFonts w:ascii="Times New Roman" w:eastAsia="Times New Roman" w:hAnsi="Times New Roman" w:cs="Times New Roman"/>
          <w:sz w:val="24"/>
        </w:rPr>
        <w:t xml:space="preserve">НАО «Алматинский университет энергетики и связи имени Гумарбека </w:t>
      </w:r>
    </w:p>
    <w:p w:rsidR="0052701D" w:rsidRDefault="00D40929">
      <w:pPr>
        <w:spacing w:after="14" w:line="248" w:lineRule="auto"/>
        <w:ind w:left="713" w:right="752" w:hanging="5"/>
        <w:jc w:val="center"/>
      </w:pPr>
      <w:r>
        <w:rPr>
          <w:rFonts w:ascii="Times New Roman" w:eastAsia="Times New Roman" w:hAnsi="Times New Roman" w:cs="Times New Roman"/>
          <w:sz w:val="24"/>
        </w:rPr>
        <w:t xml:space="preserve">Даукеева» </w:t>
      </w:r>
    </w:p>
    <w:p w:rsidR="0052701D" w:rsidRDefault="00D40929">
      <w:pPr>
        <w:spacing w:after="14" w:line="248" w:lineRule="auto"/>
        <w:ind w:left="713" w:right="749" w:hanging="5"/>
        <w:jc w:val="center"/>
      </w:pPr>
      <w:r>
        <w:rPr>
          <w:rFonts w:ascii="Times New Roman" w:eastAsia="Times New Roman" w:hAnsi="Times New Roman" w:cs="Times New Roman"/>
          <w:sz w:val="24"/>
          <w:vertAlign w:val="superscript"/>
        </w:rPr>
        <w:t>3</w:t>
      </w:r>
      <w:r>
        <w:rPr>
          <w:rFonts w:ascii="Times New Roman" w:eastAsia="Times New Roman" w:hAnsi="Times New Roman" w:cs="Times New Roman"/>
          <w:sz w:val="24"/>
        </w:rPr>
        <w:t xml:space="preserve">Satbayev University </w:t>
      </w:r>
    </w:p>
    <w:p w:rsidR="0052701D" w:rsidRDefault="00D40929">
      <w:pPr>
        <w:spacing w:after="29" w:line="248" w:lineRule="auto"/>
        <w:ind w:left="1100" w:right="14"/>
        <w:jc w:val="both"/>
      </w:pPr>
      <w:r>
        <w:rPr>
          <w:rFonts w:ascii="Times New Roman" w:eastAsia="Times New Roman" w:hAnsi="Times New Roman" w:cs="Times New Roman"/>
          <w:sz w:val="24"/>
        </w:rPr>
        <w:t xml:space="preserve">e-mail: n.zhetenbaev@aues.kz, </w:t>
      </w:r>
      <w:r>
        <w:rPr>
          <w:rFonts w:ascii="Times New Roman" w:eastAsia="Times New Roman" w:hAnsi="Times New Roman" w:cs="Times New Roman"/>
          <w:color w:val="0000FF"/>
          <w:sz w:val="24"/>
          <w:u w:val="single" w:color="0000FF"/>
        </w:rPr>
        <w:t>beibit_tumen@mail.ru</w:t>
      </w:r>
      <w:r>
        <w:rPr>
          <w:rFonts w:ascii="Times New Roman" w:eastAsia="Times New Roman" w:hAnsi="Times New Roman" w:cs="Times New Roman"/>
          <w:sz w:val="24"/>
        </w:rPr>
        <w:t xml:space="preserve">, </w:t>
      </w:r>
      <w:r>
        <w:rPr>
          <w:rFonts w:ascii="Times New Roman" w:eastAsia="Times New Roman" w:hAnsi="Times New Roman" w:cs="Times New Roman"/>
          <w:color w:val="0563C1"/>
          <w:sz w:val="24"/>
          <w:u w:val="single" w:color="0563C1"/>
        </w:rPr>
        <w:t>ganimagjan00@gmail.com</w:t>
      </w:r>
      <w:r>
        <w:rPr>
          <w:rFonts w:ascii="Times New Roman" w:eastAsia="Times New Roman" w:hAnsi="Times New Roman" w:cs="Times New Roman"/>
          <w:sz w:val="24"/>
        </w:rPr>
        <w:t xml:space="preserve">. </w:t>
      </w:r>
    </w:p>
    <w:p w:rsidR="0052701D" w:rsidRDefault="00D40929">
      <w:pPr>
        <w:spacing w:after="21"/>
        <w:ind w:left="588"/>
        <w:jc w:val="center"/>
      </w:pPr>
      <w:r>
        <w:rPr>
          <w:rFonts w:ascii="Times New Roman" w:eastAsia="Times New Roman" w:hAnsi="Times New Roman" w:cs="Times New Roman"/>
          <w:b/>
          <w:sz w:val="24"/>
        </w:rPr>
        <w:t xml:space="preserve"> </w:t>
      </w:r>
    </w:p>
    <w:p w:rsidR="0052701D" w:rsidRDefault="00D40929">
      <w:pPr>
        <w:spacing w:after="0" w:line="248" w:lineRule="auto"/>
        <w:ind w:left="283" w:right="318"/>
        <w:jc w:val="both"/>
      </w:pPr>
      <w:r>
        <w:rPr>
          <w:rFonts w:ascii="Times New Roman" w:eastAsia="Times New Roman" w:hAnsi="Times New Roman" w:cs="Times New Roman"/>
          <w:b/>
          <w:i/>
          <w:sz w:val="24"/>
        </w:rPr>
        <w:t>Аннотация.</w:t>
      </w:r>
      <w:r>
        <w:rPr>
          <w:rFonts w:ascii="Times New Roman" w:eastAsia="Times New Roman" w:hAnsi="Times New Roman" w:cs="Times New Roman"/>
          <w:i/>
          <w:sz w:val="24"/>
        </w:rPr>
        <w:t xml:space="preserve"> Экзоскелетная робототехника открыла новую эру исследований современных реабилитационных и вспомогательных технологий. Технология обещает улучшить функциональность верхних конечностей, которые необ</w:t>
      </w:r>
      <w:r>
        <w:rPr>
          <w:rFonts w:ascii="Times New Roman" w:eastAsia="Times New Roman" w:hAnsi="Times New Roman" w:cs="Times New Roman"/>
          <w:i/>
          <w:sz w:val="24"/>
        </w:rPr>
        <w:t>ходимы для выполнения повседневных действий. Технология экзоскелета быстро развивается, но требует междисциплинарных исследований для решения технических задач, таких как кинематическая совместимость и развитие эффективного взаимодействия человека и робота</w:t>
      </w:r>
      <w:r>
        <w:rPr>
          <w:rFonts w:ascii="Times New Roman" w:eastAsia="Times New Roman" w:hAnsi="Times New Roman" w:cs="Times New Roman"/>
          <w:i/>
          <w:sz w:val="24"/>
        </w:rPr>
        <w:t xml:space="preserve">.  </w:t>
      </w:r>
    </w:p>
    <w:p w:rsidR="0052701D" w:rsidRDefault="00D40929">
      <w:pPr>
        <w:spacing w:after="29" w:line="248" w:lineRule="auto"/>
        <w:ind w:left="283" w:right="328" w:firstLine="711"/>
        <w:jc w:val="both"/>
      </w:pPr>
      <w:r>
        <w:rPr>
          <w:rFonts w:ascii="Times New Roman" w:eastAsia="Times New Roman" w:hAnsi="Times New Roman" w:cs="Times New Roman"/>
          <w:i/>
          <w:sz w:val="24"/>
        </w:rPr>
        <w:t>В данной статье рассмотрен экзоскелет для верхних конечностей. Основные проблемы, связанные с развитием вспомогательных экзоскелетов, выделяются путём сравнения доступных решений.  Дана классификация, сравнение и обзор мехатронными конструкции экзоскел</w:t>
      </w:r>
      <w:r>
        <w:rPr>
          <w:rFonts w:ascii="Times New Roman" w:eastAsia="Times New Roman" w:hAnsi="Times New Roman" w:cs="Times New Roman"/>
          <w:i/>
          <w:sz w:val="24"/>
        </w:rPr>
        <w:t xml:space="preserve">етов верхних конечностей. Кроме того, в этой статье представлен краткий обзор методов управления экзоскелетами верхних конечностей 3D моделирование и моделирование расчёты были изучены с помощью программы Solidworks Simulation. </w:t>
      </w:r>
    </w:p>
    <w:p w:rsidR="0052701D" w:rsidRDefault="00D40929">
      <w:pPr>
        <w:spacing w:after="29" w:line="248" w:lineRule="auto"/>
        <w:ind w:left="283" w:right="314"/>
        <w:jc w:val="both"/>
      </w:pP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 xml:space="preserve"> экзоскелет</w:t>
      </w:r>
      <w:r>
        <w:rPr>
          <w:rFonts w:ascii="Times New Roman" w:eastAsia="Times New Roman" w:hAnsi="Times New Roman" w:cs="Times New Roman"/>
          <w:i/>
          <w:sz w:val="24"/>
        </w:rPr>
        <w:t xml:space="preserve"> верхних конечностей; обзор экзоскелета; нервномышечная реабилитация; вспомогательные технологии; взаимодействие человека и робота.</w:t>
      </w:r>
      <w:r>
        <w:rPr>
          <w:rFonts w:ascii="Times New Roman" w:eastAsia="Times New Roman" w:hAnsi="Times New Roman" w:cs="Times New Roman"/>
          <w:b/>
          <w:i/>
          <w:sz w:val="24"/>
        </w:rPr>
        <w:t xml:space="preserve"> </w:t>
      </w:r>
    </w:p>
    <w:p w:rsidR="0052701D" w:rsidRDefault="00D40929">
      <w:pPr>
        <w:spacing w:after="0"/>
        <w:ind w:left="283"/>
      </w:pPr>
      <w:r>
        <w:rPr>
          <w:rFonts w:ascii="Times New Roman" w:eastAsia="Times New Roman" w:hAnsi="Times New Roman" w:cs="Times New Roman"/>
          <w:b/>
          <w:sz w:val="24"/>
        </w:rPr>
        <w:t xml:space="preserve"> </w:t>
      </w:r>
    </w:p>
    <w:p w:rsidR="0052701D" w:rsidRDefault="00D40929">
      <w:pPr>
        <w:spacing w:after="0"/>
        <w:ind w:left="283"/>
      </w:pPr>
      <w:r>
        <w:rPr>
          <w:rFonts w:ascii="Times New Roman" w:eastAsia="Times New Roman" w:hAnsi="Times New Roman" w:cs="Times New Roman"/>
          <w:b/>
          <w:sz w:val="24"/>
        </w:rPr>
        <w:t xml:space="preserve"> </w:t>
      </w:r>
    </w:p>
    <w:p w:rsidR="0052701D" w:rsidRDefault="00D40929">
      <w:pPr>
        <w:spacing w:after="16" w:line="248" w:lineRule="auto"/>
        <w:ind w:left="819" w:right="857" w:hanging="10"/>
        <w:jc w:val="center"/>
      </w:pPr>
      <w:r>
        <w:rPr>
          <w:rFonts w:ascii="Times New Roman" w:eastAsia="Times New Roman" w:hAnsi="Times New Roman" w:cs="Times New Roman"/>
          <w:b/>
          <w:sz w:val="24"/>
        </w:rPr>
        <w:t xml:space="preserve">DEVELOPMENT OF A NEW EXOSKELETON FOR UPPER LIMB REHABILITATION </w:t>
      </w:r>
    </w:p>
    <w:p w:rsidR="0052701D" w:rsidRDefault="00D40929">
      <w:pPr>
        <w:spacing w:after="0"/>
        <w:ind w:left="21"/>
        <w:jc w:val="center"/>
      </w:pPr>
      <w:r>
        <w:rPr>
          <w:rFonts w:ascii="Times New Roman" w:eastAsia="Times New Roman" w:hAnsi="Times New Roman" w:cs="Times New Roman"/>
          <w:b/>
          <w:sz w:val="24"/>
        </w:rPr>
        <w:t xml:space="preserve"> </w:t>
      </w:r>
    </w:p>
    <w:p w:rsidR="0052701D" w:rsidRDefault="00D40929">
      <w:pPr>
        <w:spacing w:after="57" w:line="248" w:lineRule="auto"/>
        <w:ind w:left="819" w:right="855" w:hanging="10"/>
        <w:jc w:val="center"/>
      </w:pPr>
      <w:r>
        <w:rPr>
          <w:rFonts w:ascii="Times New Roman" w:eastAsia="Times New Roman" w:hAnsi="Times New Roman" w:cs="Times New Roman"/>
          <w:b/>
          <w:sz w:val="24"/>
        </w:rPr>
        <w:t>Zhetenbayev N.T</w:t>
      </w:r>
      <w:r>
        <w:rPr>
          <w:rFonts w:ascii="Times New Roman" w:eastAsia="Times New Roman" w:hAnsi="Times New Roman" w:cs="Times New Roman"/>
          <w:b/>
          <w:sz w:val="24"/>
          <w:vertAlign w:val="superscript"/>
        </w:rPr>
        <w:footnoteReference w:id="1"/>
      </w:r>
      <w:r>
        <w:rPr>
          <w:rFonts w:ascii="Times New Roman" w:eastAsia="Times New Roman" w:hAnsi="Times New Roman" w:cs="Times New Roman"/>
          <w:b/>
          <w:sz w:val="24"/>
          <w:vertAlign w:val="superscript"/>
        </w:rPr>
        <w:t>*</w:t>
      </w:r>
      <w:r>
        <w:rPr>
          <w:rFonts w:ascii="Times New Roman" w:eastAsia="Times New Roman" w:hAnsi="Times New Roman" w:cs="Times New Roman"/>
          <w:b/>
          <w:sz w:val="24"/>
        </w:rPr>
        <w:t>., Shingissov B.T</w:t>
      </w:r>
      <w:r>
        <w:rPr>
          <w:rFonts w:ascii="Times New Roman" w:eastAsia="Times New Roman" w:hAnsi="Times New Roman" w:cs="Times New Roman"/>
          <w:b/>
          <w:sz w:val="24"/>
          <w:vertAlign w:val="superscript"/>
        </w:rPr>
        <w:t>2</w:t>
      </w:r>
      <w:r>
        <w:rPr>
          <w:rFonts w:ascii="Times New Roman" w:eastAsia="Times New Roman" w:hAnsi="Times New Roman" w:cs="Times New Roman"/>
          <w:b/>
          <w:sz w:val="24"/>
        </w:rPr>
        <w:t>., Gani M.B</w:t>
      </w:r>
      <w:r>
        <w:rPr>
          <w:rFonts w:ascii="Times New Roman" w:eastAsia="Times New Roman" w:hAnsi="Times New Roman" w:cs="Times New Roman"/>
          <w:b/>
          <w:sz w:val="24"/>
          <w:vertAlign w:val="superscript"/>
        </w:rPr>
        <w:t>3</w:t>
      </w:r>
      <w:r>
        <w:rPr>
          <w:rFonts w:ascii="Times New Roman" w:eastAsia="Times New Roman" w:hAnsi="Times New Roman" w:cs="Times New Roman"/>
          <w:b/>
          <w:sz w:val="24"/>
        </w:rPr>
        <w:t xml:space="preserve"> </w:t>
      </w:r>
    </w:p>
    <w:p w:rsidR="0052701D" w:rsidRDefault="00D40929">
      <w:pPr>
        <w:spacing w:after="14" w:line="248" w:lineRule="auto"/>
        <w:ind w:left="599" w:right="356" w:hanging="292"/>
        <w:jc w:val="center"/>
      </w:pPr>
      <w:r>
        <w:rPr>
          <w:rFonts w:ascii="Times New Roman" w:eastAsia="Times New Roman" w:hAnsi="Times New Roman" w:cs="Times New Roman"/>
          <w:sz w:val="24"/>
          <w:vertAlign w:val="superscript"/>
        </w:rPr>
        <w:lastRenderedPageBreak/>
        <w:footnoteReference w:id="2"/>
      </w:r>
      <w:r>
        <w:rPr>
          <w:rFonts w:ascii="Times New Roman" w:eastAsia="Times New Roman" w:hAnsi="Times New Roman" w:cs="Times New Roman"/>
          <w:sz w:val="24"/>
          <w:vertAlign w:val="superscript"/>
        </w:rPr>
        <w:t xml:space="preserve">,2 </w:t>
      </w:r>
      <w:r>
        <w:rPr>
          <w:rFonts w:ascii="Times New Roman" w:eastAsia="Times New Roman" w:hAnsi="Times New Roman" w:cs="Times New Roman"/>
          <w:sz w:val="24"/>
        </w:rPr>
        <w:t xml:space="preserve">Non-profit JSC «Almaty University of Power Engineering and Telecommunications named after Gumarbek Daukeyev» </w:t>
      </w:r>
      <w:r>
        <w:rPr>
          <w:rFonts w:ascii="Times New Roman" w:eastAsia="Times New Roman" w:hAnsi="Times New Roman" w:cs="Times New Roman"/>
          <w:sz w:val="24"/>
          <w:vertAlign w:val="superscript"/>
        </w:rPr>
        <w:t>3</w:t>
      </w:r>
      <w:r>
        <w:rPr>
          <w:rFonts w:ascii="Times New Roman" w:eastAsia="Times New Roman" w:hAnsi="Times New Roman" w:cs="Times New Roman"/>
          <w:sz w:val="24"/>
        </w:rPr>
        <w:t xml:space="preserve">Satbayev University </w:t>
      </w:r>
    </w:p>
    <w:p w:rsidR="0052701D" w:rsidRDefault="00D40929">
      <w:pPr>
        <w:spacing w:after="29" w:line="248" w:lineRule="auto"/>
        <w:ind w:left="1100" w:right="14"/>
        <w:jc w:val="both"/>
      </w:pPr>
      <w:r>
        <w:rPr>
          <w:rFonts w:ascii="Times New Roman" w:eastAsia="Times New Roman" w:hAnsi="Times New Roman" w:cs="Times New Roman"/>
          <w:sz w:val="24"/>
        </w:rPr>
        <w:t xml:space="preserve">e-mail: n.zhetenbaev@aues.kz, </w:t>
      </w:r>
      <w:r>
        <w:rPr>
          <w:rFonts w:ascii="Times New Roman" w:eastAsia="Times New Roman" w:hAnsi="Times New Roman" w:cs="Times New Roman"/>
          <w:color w:val="0000FF"/>
          <w:sz w:val="24"/>
          <w:u w:val="single" w:color="0000FF"/>
        </w:rPr>
        <w:t>beibit_tumen@mail.ru</w:t>
      </w:r>
      <w:r>
        <w:rPr>
          <w:rFonts w:ascii="Times New Roman" w:eastAsia="Times New Roman" w:hAnsi="Times New Roman" w:cs="Times New Roman"/>
          <w:sz w:val="24"/>
        </w:rPr>
        <w:t>, ganimagjan00@gmail.com.</w:t>
      </w:r>
      <w:r>
        <w:rPr>
          <w:rFonts w:ascii="Times New Roman" w:eastAsia="Times New Roman" w:hAnsi="Times New Roman" w:cs="Times New Roman"/>
          <w:b/>
          <w:sz w:val="24"/>
        </w:rPr>
        <w:t xml:space="preserve"> </w:t>
      </w:r>
    </w:p>
    <w:p w:rsidR="0052701D" w:rsidRDefault="00D40929">
      <w:pPr>
        <w:spacing w:after="0"/>
        <w:ind w:left="21"/>
        <w:jc w:val="center"/>
      </w:pPr>
      <w:r>
        <w:rPr>
          <w:rFonts w:ascii="Times New Roman" w:eastAsia="Times New Roman" w:hAnsi="Times New Roman" w:cs="Times New Roman"/>
          <w:i/>
          <w:sz w:val="24"/>
        </w:rPr>
        <w:t xml:space="preserve"> </w:t>
      </w:r>
    </w:p>
    <w:p w:rsidR="0052701D" w:rsidRDefault="00D40929">
      <w:pPr>
        <w:spacing w:after="0" w:line="248" w:lineRule="auto"/>
        <w:ind w:left="283" w:right="323"/>
        <w:jc w:val="both"/>
      </w:pPr>
      <w:r>
        <w:rPr>
          <w:rFonts w:ascii="Times New Roman" w:eastAsia="Times New Roman" w:hAnsi="Times New Roman" w:cs="Times New Roman"/>
          <w:b/>
          <w:i/>
          <w:sz w:val="24"/>
        </w:rPr>
        <w:t>Annotation.</w:t>
      </w:r>
      <w:r>
        <w:rPr>
          <w:rFonts w:ascii="Times New Roman" w:eastAsia="Times New Roman" w:hAnsi="Times New Roman" w:cs="Times New Roman"/>
          <w:sz w:val="24"/>
        </w:rPr>
        <w:t xml:space="preserve"> </w:t>
      </w:r>
      <w:r>
        <w:rPr>
          <w:rFonts w:ascii="Times New Roman" w:eastAsia="Times New Roman" w:hAnsi="Times New Roman" w:cs="Times New Roman"/>
          <w:i/>
          <w:sz w:val="24"/>
        </w:rPr>
        <w:t xml:space="preserve">Exoskeletal robotics has opened a </w:t>
      </w:r>
      <w:r>
        <w:rPr>
          <w:rFonts w:ascii="Times New Roman" w:eastAsia="Times New Roman" w:hAnsi="Times New Roman" w:cs="Times New Roman"/>
          <w:i/>
          <w:sz w:val="24"/>
        </w:rPr>
        <w:t>new era of research into modern rehabilitation and assistive technologies. The technology promises to improve the functionality of the upper limbs, which are necessary to perform everyday activities. Exoskeleton technology is developing rapidly, but requir</w:t>
      </w:r>
      <w:r>
        <w:rPr>
          <w:rFonts w:ascii="Times New Roman" w:eastAsia="Times New Roman" w:hAnsi="Times New Roman" w:cs="Times New Roman"/>
          <w:i/>
          <w:sz w:val="24"/>
        </w:rPr>
        <w:t xml:space="preserve">es interdisciplinary research to solve technical problems, such as kinematic compatibility and the development of effective human-robot interaction.  </w:t>
      </w:r>
    </w:p>
    <w:p w:rsidR="0052701D" w:rsidRDefault="00D40929">
      <w:pPr>
        <w:spacing w:after="0" w:line="248" w:lineRule="auto"/>
        <w:ind w:left="283" w:right="323" w:firstLine="711"/>
        <w:jc w:val="both"/>
      </w:pPr>
      <w:r>
        <w:rPr>
          <w:rFonts w:ascii="Times New Roman" w:eastAsia="Times New Roman" w:hAnsi="Times New Roman" w:cs="Times New Roman"/>
          <w:i/>
          <w:sz w:val="24"/>
        </w:rPr>
        <w:t>In this article, an exoskeleton for the upper extremities is considered. The main problems associated wit</w:t>
      </w:r>
      <w:r>
        <w:rPr>
          <w:rFonts w:ascii="Times New Roman" w:eastAsia="Times New Roman" w:hAnsi="Times New Roman" w:cs="Times New Roman"/>
          <w:i/>
          <w:sz w:val="24"/>
        </w:rPr>
        <w:t>h the development of auxiliary exoskeletons are highlighted by comparing the available solutions.  The classification, comparison, and review of the mechatronic design of upper limb exoskeletons are given. In addition, this article provides a brief overvie</w:t>
      </w:r>
      <w:r>
        <w:rPr>
          <w:rFonts w:ascii="Times New Roman" w:eastAsia="Times New Roman" w:hAnsi="Times New Roman" w:cs="Times New Roman"/>
          <w:i/>
          <w:sz w:val="24"/>
        </w:rPr>
        <w:t xml:space="preserve">w of methods for controlling upper limb exoskeletons 3D modeling and simulation calculations were studied using the Solidworks Simulation program. </w:t>
      </w:r>
    </w:p>
    <w:p w:rsidR="0052701D" w:rsidRDefault="00D40929">
      <w:pPr>
        <w:spacing w:after="0" w:line="248" w:lineRule="auto"/>
        <w:ind w:left="283"/>
        <w:jc w:val="both"/>
      </w:pPr>
      <w:r>
        <w:rPr>
          <w:rFonts w:ascii="Times New Roman" w:eastAsia="Times New Roman" w:hAnsi="Times New Roman" w:cs="Times New Roman"/>
          <w:b/>
          <w:i/>
          <w:sz w:val="24"/>
        </w:rPr>
        <w:t>Key words:</w:t>
      </w:r>
      <w:r>
        <w:rPr>
          <w:rFonts w:ascii="Times New Roman" w:eastAsia="Times New Roman" w:hAnsi="Times New Roman" w:cs="Times New Roman"/>
          <w:sz w:val="24"/>
        </w:rPr>
        <w:t xml:space="preserve"> </w:t>
      </w:r>
      <w:r>
        <w:rPr>
          <w:rFonts w:ascii="Times New Roman" w:eastAsia="Times New Roman" w:hAnsi="Times New Roman" w:cs="Times New Roman"/>
          <w:i/>
          <w:sz w:val="24"/>
        </w:rPr>
        <w:t xml:space="preserve">upper arm exoskeleton; exoskeleton review; neuromuscular rehabilitation; assistive technologies; </w:t>
      </w:r>
      <w:r>
        <w:rPr>
          <w:rFonts w:ascii="Times New Roman" w:eastAsia="Times New Roman" w:hAnsi="Times New Roman" w:cs="Times New Roman"/>
          <w:i/>
          <w:sz w:val="24"/>
        </w:rPr>
        <w:t xml:space="preserve">human-robot interaction. </w:t>
      </w:r>
    </w:p>
    <w:p w:rsidR="0052701D" w:rsidRDefault="00D40929">
      <w:pPr>
        <w:spacing w:after="0"/>
        <w:ind w:left="283"/>
      </w:pPr>
      <w:r>
        <w:rPr>
          <w:rFonts w:ascii="Times New Roman" w:eastAsia="Times New Roman" w:hAnsi="Times New Roman" w:cs="Times New Roman"/>
          <w:sz w:val="24"/>
        </w:rPr>
        <w:t xml:space="preserve"> </w:t>
      </w:r>
    </w:p>
    <w:p w:rsidR="0052701D" w:rsidRDefault="00D40929">
      <w:pPr>
        <w:spacing w:after="0"/>
        <w:ind w:left="283"/>
      </w:pPr>
      <w:r>
        <w:rPr>
          <w:rFonts w:ascii="Times New Roman" w:eastAsia="Times New Roman" w:hAnsi="Times New Roman" w:cs="Times New Roman"/>
          <w:sz w:val="24"/>
        </w:rPr>
        <w:t xml:space="preserve"> </w:t>
      </w:r>
    </w:p>
    <w:p w:rsidR="0052701D" w:rsidRDefault="00D40929">
      <w:pPr>
        <w:spacing w:after="0"/>
        <w:ind w:left="283"/>
      </w:pPr>
      <w:r>
        <w:rPr>
          <w:rFonts w:ascii="Times New Roman" w:eastAsia="Times New Roman" w:hAnsi="Times New Roman" w:cs="Times New Roman"/>
          <w:sz w:val="24"/>
        </w:rPr>
        <w:t xml:space="preserve"> </w:t>
      </w:r>
    </w:p>
    <w:p w:rsidR="0052701D" w:rsidRDefault="00D40929">
      <w:pPr>
        <w:spacing w:after="29" w:line="248" w:lineRule="auto"/>
        <w:ind w:left="283" w:right="14"/>
        <w:jc w:val="both"/>
      </w:pPr>
      <w:r>
        <w:rPr>
          <w:rFonts w:ascii="Times New Roman" w:eastAsia="Times New Roman" w:hAnsi="Times New Roman" w:cs="Times New Roman"/>
          <w:sz w:val="24"/>
        </w:rPr>
        <w:t xml:space="preserve">УДК 621.865.8(075)  </w:t>
      </w:r>
    </w:p>
    <w:p w:rsidR="0052701D" w:rsidRDefault="00D40929">
      <w:pPr>
        <w:spacing w:after="74"/>
        <w:ind w:left="283"/>
      </w:pPr>
      <w:r>
        <w:rPr>
          <w:rFonts w:ascii="Times New Roman" w:eastAsia="Times New Roman" w:hAnsi="Times New Roman" w:cs="Times New Roman"/>
          <w:sz w:val="24"/>
        </w:rPr>
        <w:t xml:space="preserve"> </w:t>
      </w:r>
    </w:p>
    <w:p w:rsidR="0052701D" w:rsidRDefault="00D40929">
      <w:pPr>
        <w:pStyle w:val="1"/>
        <w:ind w:left="173" w:right="203"/>
      </w:pPr>
      <w:r>
        <w:t xml:space="preserve">КЕҢІСТІКТЕГІ МОБИЛЬДІ РОБОТТАРДЫ ЖОБАЛАУ ЖӘНЕ </w:t>
      </w:r>
    </w:p>
    <w:p w:rsidR="0052701D" w:rsidRDefault="00D40929">
      <w:pPr>
        <w:spacing w:after="5" w:line="271" w:lineRule="auto"/>
        <w:ind w:left="173" w:right="203" w:hanging="10"/>
        <w:jc w:val="center"/>
      </w:pPr>
      <w:r>
        <w:rPr>
          <w:rFonts w:ascii="Times New Roman" w:eastAsia="Times New Roman" w:hAnsi="Times New Roman" w:cs="Times New Roman"/>
          <w:b/>
          <w:sz w:val="28"/>
        </w:rPr>
        <w:t>БАСҚАРУ</w:t>
      </w:r>
      <w:r>
        <w:rPr>
          <w:rFonts w:ascii="Times New Roman" w:eastAsia="Times New Roman" w:hAnsi="Times New Roman" w:cs="Times New Roman"/>
          <w:sz w:val="28"/>
        </w:rPr>
        <w:t xml:space="preserve"> </w:t>
      </w:r>
    </w:p>
    <w:p w:rsidR="0052701D" w:rsidRDefault="00D40929">
      <w:pPr>
        <w:spacing w:after="6"/>
        <w:ind w:left="21"/>
        <w:jc w:val="center"/>
      </w:pPr>
      <w:r>
        <w:rPr>
          <w:rFonts w:ascii="Times New Roman" w:eastAsia="Times New Roman" w:hAnsi="Times New Roman" w:cs="Times New Roman"/>
          <w:sz w:val="24"/>
        </w:rPr>
        <w:t xml:space="preserve"> </w:t>
      </w:r>
    </w:p>
    <w:p w:rsidR="0052701D" w:rsidRDefault="00D40929">
      <w:pPr>
        <w:spacing w:after="14" w:line="248" w:lineRule="auto"/>
        <w:ind w:left="713" w:right="753" w:hanging="5"/>
        <w:jc w:val="center"/>
      </w:pPr>
      <w:r>
        <w:rPr>
          <w:rFonts w:ascii="Times New Roman" w:eastAsia="Times New Roman" w:hAnsi="Times New Roman" w:cs="Times New Roman"/>
          <w:sz w:val="24"/>
        </w:rPr>
        <w:t>Серикбай Байтекович Косболов</w:t>
      </w:r>
      <w:r>
        <w:rPr>
          <w:rFonts w:ascii="Times New Roman" w:eastAsia="Times New Roman" w:hAnsi="Times New Roman" w:cs="Times New Roman"/>
          <w:sz w:val="24"/>
          <w:vertAlign w:val="superscript"/>
        </w:rPr>
        <w:t>1</w:t>
      </w:r>
      <w:r>
        <w:rPr>
          <w:rFonts w:ascii="Times New Roman" w:eastAsia="Times New Roman" w:hAnsi="Times New Roman" w:cs="Times New Roman"/>
          <w:sz w:val="24"/>
        </w:rPr>
        <w:t>, Елдос Нурланович Корабаев</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xml:space="preserve">, Әділхан </w:t>
      </w:r>
    </w:p>
    <w:p w:rsidR="0052701D" w:rsidRDefault="00D40929">
      <w:pPr>
        <w:pStyle w:val="1"/>
        <w:spacing w:after="14" w:line="248" w:lineRule="auto"/>
        <w:ind w:left="713" w:right="749" w:hanging="5"/>
      </w:pPr>
      <w:r>
        <w:rPr>
          <w:b w:val="0"/>
          <w:sz w:val="24"/>
        </w:rPr>
        <w:t>Досмаханбетұлы Әсілхан</w:t>
      </w:r>
      <w:r>
        <w:rPr>
          <w:b w:val="0"/>
          <w:sz w:val="24"/>
          <w:vertAlign w:val="superscript"/>
        </w:rPr>
        <w:t xml:space="preserve">3 </w:t>
      </w:r>
    </w:p>
    <w:p w:rsidR="0052701D" w:rsidRDefault="00D40929">
      <w:pPr>
        <w:spacing w:after="29" w:line="248" w:lineRule="auto"/>
        <w:ind w:left="283" w:right="318"/>
        <w:jc w:val="both"/>
      </w:pPr>
      <w:r>
        <w:rPr>
          <w:rFonts w:ascii="Times New Roman" w:eastAsia="Times New Roman" w:hAnsi="Times New Roman" w:cs="Times New Roman"/>
          <w:i/>
          <w:sz w:val="24"/>
        </w:rPr>
        <w:t>үшін зертханалардан автоматтандырылған салаларға тез көшті. Мобильді роботтарға деген қызығушылық тез өсіп келеді, соңғы 30 жыл ішінде мобильді роботтардың қабылдау, локализация, карта жасау, қозғалысын бақылау және динамикалық навигация секілді маңызды фа</w:t>
      </w:r>
      <w:r>
        <w:rPr>
          <w:rFonts w:ascii="Times New Roman" w:eastAsia="Times New Roman" w:hAnsi="Times New Roman" w:cs="Times New Roman"/>
          <w:i/>
          <w:sz w:val="24"/>
        </w:rPr>
        <w:t>кторлары туралы көптеген зерттеулер жүргізді. Мақалада сонымен қатар мобильді роботтардағы мәселелер қарастырылды және автономды мобильді роботтардың әлеуетті перспективалары анықталды.</w:t>
      </w:r>
      <w:r>
        <w:rPr>
          <w:rFonts w:ascii="Times New Roman" w:eastAsia="Times New Roman" w:hAnsi="Times New Roman" w:cs="Times New Roman"/>
          <w:sz w:val="24"/>
        </w:rPr>
        <w:t xml:space="preserve"> </w:t>
      </w:r>
    </w:p>
    <w:p w:rsidR="0052701D" w:rsidRDefault="00D40929">
      <w:pPr>
        <w:spacing w:after="29" w:line="248" w:lineRule="auto"/>
        <w:ind w:left="283" w:firstLine="711"/>
        <w:jc w:val="both"/>
      </w:pPr>
      <w:r>
        <w:rPr>
          <w:rFonts w:ascii="Times New Roman" w:eastAsia="Times New Roman" w:hAnsi="Times New Roman" w:cs="Times New Roman"/>
          <w:b/>
          <w:i/>
          <w:sz w:val="24"/>
        </w:rPr>
        <w:t>Түйінді сөздер:</w:t>
      </w:r>
      <w:r>
        <w:rPr>
          <w:rFonts w:ascii="Times New Roman" w:eastAsia="Times New Roman" w:hAnsi="Times New Roman" w:cs="Times New Roman"/>
          <w:i/>
          <w:sz w:val="24"/>
        </w:rPr>
        <w:t xml:space="preserve"> </w:t>
      </w:r>
      <w:r>
        <w:rPr>
          <w:rFonts w:ascii="Times New Roman" w:eastAsia="Times New Roman" w:hAnsi="Times New Roman" w:cs="Times New Roman"/>
          <w:i/>
          <w:sz w:val="24"/>
        </w:rPr>
        <w:t>Ішкі мобильді робот, SLAM, навигация, жолды жоспарлау, датчиктер, локомоция.</w:t>
      </w:r>
      <w:r>
        <w:rPr>
          <w:rFonts w:ascii="Times New Roman" w:eastAsia="Times New Roman" w:hAnsi="Times New Roman" w:cs="Times New Roman"/>
          <w:sz w:val="24"/>
        </w:rPr>
        <w:t xml:space="preserve"> </w:t>
      </w:r>
    </w:p>
    <w:p w:rsidR="0052701D" w:rsidRDefault="00D40929">
      <w:pPr>
        <w:spacing w:after="0" w:line="248" w:lineRule="auto"/>
        <w:ind w:left="283" w:right="318" w:firstLine="711"/>
        <w:jc w:val="both"/>
      </w:pPr>
      <w:r>
        <w:rPr>
          <w:rFonts w:ascii="Times New Roman" w:eastAsia="Times New Roman" w:hAnsi="Times New Roman" w:cs="Times New Roman"/>
          <w:b/>
          <w:i/>
          <w:sz w:val="24"/>
        </w:rPr>
        <w:t>Annotation.</w:t>
      </w:r>
      <w:r>
        <w:rPr>
          <w:rFonts w:ascii="Times New Roman" w:eastAsia="Times New Roman" w:hAnsi="Times New Roman" w:cs="Times New Roman"/>
          <w:i/>
          <w:sz w:val="24"/>
        </w:rPr>
        <w:t xml:space="preserve"> Currently, mobile robots are in demand, they adapt well to the terrain, have sufficient carrying capacity and high mobility. Robots that move independently and are ab</w:t>
      </w:r>
      <w:r>
        <w:rPr>
          <w:rFonts w:ascii="Times New Roman" w:eastAsia="Times New Roman" w:hAnsi="Times New Roman" w:cs="Times New Roman"/>
          <w:i/>
          <w:sz w:val="24"/>
        </w:rPr>
        <w:t>le to make reasonable decisions through the perception of the environment and the environment are called autonomous mobile robots. Such works have quickly moved from laboratories to automated industries to perform different roles in our lives, in homes, of</w:t>
      </w:r>
      <w:r>
        <w:rPr>
          <w:rFonts w:ascii="Times New Roman" w:eastAsia="Times New Roman" w:hAnsi="Times New Roman" w:cs="Times New Roman"/>
          <w:i/>
          <w:sz w:val="24"/>
        </w:rPr>
        <w:t xml:space="preserve">fices, hospitals, in various industries and even on the streets. Interest in mobile robots is growing </w:t>
      </w:r>
      <w:r>
        <w:rPr>
          <w:rFonts w:ascii="Times New Roman" w:eastAsia="Times New Roman" w:hAnsi="Times New Roman" w:cs="Times New Roman"/>
          <w:i/>
          <w:sz w:val="24"/>
        </w:rPr>
        <w:lastRenderedPageBreak/>
        <w:t>rapidly, and over the past 30 years, there has been a lot of research on the most important factors of mobile robots, such as perception, localization, ma</w:t>
      </w:r>
      <w:r>
        <w:rPr>
          <w:rFonts w:ascii="Times New Roman" w:eastAsia="Times New Roman" w:hAnsi="Times New Roman" w:cs="Times New Roman"/>
          <w:i/>
          <w:sz w:val="24"/>
        </w:rPr>
        <w:t>pping, movement tracking, and dynamic navigation. The article also addressed issues in mobile robots and identified potential prospects for autonomous mobile robots.</w:t>
      </w:r>
      <w:r>
        <w:rPr>
          <w:rFonts w:ascii="Times New Roman" w:eastAsia="Times New Roman" w:hAnsi="Times New Roman" w:cs="Times New Roman"/>
          <w:sz w:val="24"/>
        </w:rPr>
        <w:t xml:space="preserve"> </w:t>
      </w:r>
    </w:p>
    <w:p w:rsidR="0052701D" w:rsidRDefault="00D40929">
      <w:pPr>
        <w:spacing w:after="0" w:line="248" w:lineRule="auto"/>
        <w:ind w:left="283" w:firstLine="711"/>
        <w:jc w:val="both"/>
      </w:pPr>
      <w:r>
        <w:rPr>
          <w:rFonts w:ascii="Times New Roman" w:eastAsia="Times New Roman" w:hAnsi="Times New Roman" w:cs="Times New Roman"/>
          <w:b/>
          <w:i/>
          <w:sz w:val="24"/>
        </w:rPr>
        <w:t xml:space="preserve">Keywords: </w:t>
      </w:r>
      <w:r>
        <w:rPr>
          <w:rFonts w:ascii="Times New Roman" w:eastAsia="Times New Roman" w:hAnsi="Times New Roman" w:cs="Times New Roman"/>
          <w:i/>
          <w:sz w:val="24"/>
        </w:rPr>
        <w:t>internal mobile robot, SLAM, Navigation, Road planning, sensors, locomotion.</w:t>
      </w:r>
      <w:r>
        <w:rPr>
          <w:rFonts w:ascii="Times New Roman" w:eastAsia="Times New Roman" w:hAnsi="Times New Roman" w:cs="Times New Roman"/>
          <w:sz w:val="24"/>
        </w:rPr>
        <w:t xml:space="preserve"> </w:t>
      </w:r>
    </w:p>
    <w:p w:rsidR="0052701D" w:rsidRDefault="00D40929">
      <w:pPr>
        <w:spacing w:after="76"/>
        <w:ind w:left="994"/>
      </w:pPr>
      <w:r>
        <w:rPr>
          <w:rFonts w:ascii="Times New Roman" w:eastAsia="Times New Roman" w:hAnsi="Times New Roman" w:cs="Times New Roman"/>
          <w:sz w:val="24"/>
        </w:rPr>
        <w:t xml:space="preserve"> </w:t>
      </w:r>
    </w:p>
    <w:p w:rsidR="0052701D" w:rsidRDefault="00D40929">
      <w:pPr>
        <w:spacing w:after="3"/>
        <w:ind w:left="1004" w:hanging="10"/>
      </w:pPr>
      <w:r>
        <w:rPr>
          <w:rFonts w:ascii="Times New Roman" w:eastAsia="Times New Roman" w:hAnsi="Times New Roman" w:cs="Times New Roman"/>
          <w:b/>
          <w:i/>
          <w:sz w:val="28"/>
        </w:rPr>
        <w:t>Кіріспе</w:t>
      </w:r>
      <w:r>
        <w:rPr>
          <w:rFonts w:ascii="Times New Roman" w:eastAsia="Times New Roman" w:hAnsi="Times New Roman" w:cs="Times New Roman"/>
          <w:sz w:val="28"/>
        </w:rPr>
        <w:t xml:space="preserve"> </w:t>
      </w:r>
    </w:p>
    <w:p w:rsidR="0052701D" w:rsidRDefault="00D40929">
      <w:pPr>
        <w:spacing w:after="29" w:line="248" w:lineRule="auto"/>
        <w:ind w:left="283" w:right="317" w:firstLine="711"/>
        <w:jc w:val="both"/>
      </w:pPr>
      <w:r>
        <w:rPr>
          <w:rFonts w:ascii="Times New Roman" w:eastAsia="Times New Roman" w:hAnsi="Times New Roman" w:cs="Times New Roman"/>
          <w:sz w:val="24"/>
        </w:rPr>
        <w:t>Автономды жүйелерді тұжырымдамамен, жобалаумен, әзірлеумен, басқарумен және қолданумен айналысатын Робототехника кең ауқымды қосымшалары бар тез дамып келе жатқан сала болып табылады. Технологиялық прогресс көптеген жылдар бойы зертханалардан роб</w:t>
      </w:r>
      <w:r>
        <w:rPr>
          <w:rFonts w:ascii="Times New Roman" w:eastAsia="Times New Roman" w:hAnsi="Times New Roman" w:cs="Times New Roman"/>
          <w:sz w:val="24"/>
        </w:rPr>
        <w:t>ототехниканы ғылымның, техниканың, өнеркәсіптің, өндірістің, көліктің және жалпы өмірдің барлық аспектілеріне әкелді. Тіпті үйде Роботтар кез-келген операцияны, соның ішінде тазалауды орындай алады. Өнеркәсіптің өнеркәсіптік және өңдеу секторларындағы робо</w:t>
      </w:r>
      <w:r>
        <w:rPr>
          <w:rFonts w:ascii="Times New Roman" w:eastAsia="Times New Roman" w:hAnsi="Times New Roman" w:cs="Times New Roman"/>
          <w:sz w:val="24"/>
        </w:rPr>
        <w:t xml:space="preserve">тотехниканың үлесі зауыттарды Автоматтандыру және үлкен және қауіпті құрылғыларды басқаратын және тасымалдайтын қауіпті ортада жұмыс істеу үшін ерекше.  </w:t>
      </w:r>
    </w:p>
    <w:p w:rsidR="0052701D" w:rsidRDefault="00D40929">
      <w:pPr>
        <w:spacing w:after="29" w:line="248" w:lineRule="auto"/>
        <w:ind w:left="283" w:right="318" w:firstLine="711"/>
        <w:jc w:val="both"/>
      </w:pPr>
      <w:r>
        <w:rPr>
          <w:rFonts w:ascii="Times New Roman" w:eastAsia="Times New Roman" w:hAnsi="Times New Roman" w:cs="Times New Roman"/>
          <w:sz w:val="24"/>
        </w:rPr>
        <w:t>Мобильді Роботтар өздеріне арналған қызғанышпен өздігінен жүре алады. Олар қоршаған ортаны сезіне алад</w:t>
      </w:r>
      <w:r>
        <w:rPr>
          <w:rFonts w:ascii="Times New Roman" w:eastAsia="Times New Roman" w:hAnsi="Times New Roman" w:cs="Times New Roman"/>
          <w:sz w:val="24"/>
        </w:rPr>
        <w:t xml:space="preserve">ы, мұрагердің нұсқауларына сәйкес әрекет ете алады және өз міндеттеріне тиімді, тиімді және қауіпсіз қол жеткізуге мүмкіндік беретін шешімдер қабылдай алады [1]. </w:t>
      </w:r>
    </w:p>
    <w:p w:rsidR="0052701D" w:rsidRDefault="00D40929">
      <w:pPr>
        <w:spacing w:after="29" w:line="248" w:lineRule="auto"/>
        <w:ind w:left="283" w:right="317" w:firstLine="711"/>
        <w:jc w:val="both"/>
      </w:pPr>
      <w:r>
        <w:rPr>
          <w:rFonts w:ascii="Times New Roman" w:eastAsia="Times New Roman" w:hAnsi="Times New Roman" w:cs="Times New Roman"/>
          <w:sz w:val="24"/>
        </w:rPr>
        <w:t>1-суретте олардың элементтерін қолдана отырып, автономды мобильді роботтардың негізгі жұмыс п</w:t>
      </w:r>
      <w:r>
        <w:rPr>
          <w:rFonts w:ascii="Times New Roman" w:eastAsia="Times New Roman" w:hAnsi="Times New Roman" w:cs="Times New Roman"/>
          <w:sz w:val="24"/>
        </w:rPr>
        <w:t xml:space="preserve">роцесі көрсетілген. Мобильді роботты орындалатын операцияға байланысты жіктеуге болады. Оның болжамды жұмыс ортасына сүйене отырып, мобильді роботты сыртқы немесе ішкі мобильді робот ретінде жіктеуге болады. </w:t>
      </w:r>
    </w:p>
    <w:p w:rsidR="0052701D" w:rsidRDefault="00D40929">
      <w:pPr>
        <w:spacing w:after="29" w:line="248" w:lineRule="auto"/>
        <w:ind w:left="283" w:right="324" w:firstLine="711"/>
        <w:jc w:val="both"/>
      </w:pPr>
      <w:r>
        <w:rPr>
          <w:rFonts w:ascii="Times New Roman" w:eastAsia="Times New Roman" w:hAnsi="Times New Roman" w:cs="Times New Roman"/>
          <w:sz w:val="24"/>
        </w:rPr>
        <w:t>Сыртқы мобильді роботтар негізінен жерді зертте</w:t>
      </w:r>
      <w:r>
        <w:rPr>
          <w:rFonts w:ascii="Times New Roman" w:eastAsia="Times New Roman" w:hAnsi="Times New Roman" w:cs="Times New Roman"/>
          <w:sz w:val="24"/>
        </w:rPr>
        <w:t>уде локализация және автономды навигация үшін ғаламдық позициялау жүйесінің (GPS) сенсорлары арқылы қолданылады. Олар ауылшаруашылық саласында дәстүрлі түрде көп уақытты қажет ететін егіншілік әдістерін автоматтандыру, қорғаныс, Қарулы Күштерге бомбаларды,</w:t>
      </w:r>
      <w:r>
        <w:rPr>
          <w:rFonts w:ascii="Times New Roman" w:eastAsia="Times New Roman" w:hAnsi="Times New Roman" w:cs="Times New Roman"/>
          <w:sz w:val="24"/>
        </w:rPr>
        <w:t xml:space="preserve"> зиянды заттарды іздеуге немесе барлауды жинауға көмектесу үшін қолданылады. Ішкі роботтар үшін негізгі проблемалар локализация және позициялау болып табылады, өйткені GPS жүйелері үй ішінде жұмыс істемейді [3]. Бір уақытта локализациялау және картаға түсі</w:t>
      </w:r>
      <w:r>
        <w:rPr>
          <w:rFonts w:ascii="Times New Roman" w:eastAsia="Times New Roman" w:hAnsi="Times New Roman" w:cs="Times New Roman"/>
          <w:sz w:val="24"/>
        </w:rPr>
        <w:t>ру (SLAM) сенсорларды визуалды қабылдау мүмкіндіктерімен біріктірудің жоғары деңгейлі әдістерін қажет етеді. Компьютерлік ғылымның экспоненциалды жетістіктерімен, ішінара жасанды интеллекттің өсуімен, перифериялық құрылғылардағы есептеу қуатының жоғарылауы</w:t>
      </w:r>
      <w:r>
        <w:rPr>
          <w:rFonts w:ascii="Times New Roman" w:eastAsia="Times New Roman" w:hAnsi="Times New Roman" w:cs="Times New Roman"/>
          <w:sz w:val="24"/>
        </w:rPr>
        <w:t xml:space="preserve">мен қатар, роботтардың ішкі навигациялық тиімділігі 2010 жылдан кейін күрт өсті [4]. </w:t>
      </w:r>
    </w:p>
    <w:p w:rsidR="0052701D" w:rsidRDefault="00D40929">
      <w:pPr>
        <w:spacing w:after="0"/>
        <w:ind w:right="156"/>
        <w:jc w:val="right"/>
      </w:pPr>
      <w:r>
        <w:rPr>
          <w:noProof/>
        </w:rPr>
        <w:lastRenderedPageBreak/>
        <w:drawing>
          <wp:inline distT="0" distB="0" distL="0" distR="0">
            <wp:extent cx="5821680" cy="5650992"/>
            <wp:effectExtent l="0" t="0" r="0" b="0"/>
            <wp:docPr id="34195" name="Picture 34195"/>
            <wp:cNvGraphicFramePr/>
            <a:graphic xmlns:a="http://schemas.openxmlformats.org/drawingml/2006/main">
              <a:graphicData uri="http://schemas.openxmlformats.org/drawingml/2006/picture">
                <pic:pic xmlns:pic="http://schemas.openxmlformats.org/drawingml/2006/picture">
                  <pic:nvPicPr>
                    <pic:cNvPr id="34195" name="Picture 34195"/>
                    <pic:cNvPicPr/>
                  </pic:nvPicPr>
                  <pic:blipFill>
                    <a:blip r:embed="rId499"/>
                    <a:stretch>
                      <a:fillRect/>
                    </a:stretch>
                  </pic:blipFill>
                  <pic:spPr>
                    <a:xfrm>
                      <a:off x="0" y="0"/>
                      <a:ext cx="5821680" cy="5650992"/>
                    </a:xfrm>
                    <a:prstGeom prst="rect">
                      <a:avLst/>
                    </a:prstGeom>
                  </pic:spPr>
                </pic:pic>
              </a:graphicData>
            </a:graphic>
          </wp:inline>
        </w:drawing>
      </w:r>
      <w:r>
        <w:rPr>
          <w:rFonts w:ascii="Times New Roman" w:eastAsia="Times New Roman" w:hAnsi="Times New Roman" w:cs="Times New Roman"/>
          <w:sz w:val="24"/>
        </w:rPr>
        <w:t xml:space="preserve"> </w:t>
      </w:r>
    </w:p>
    <w:p w:rsidR="0052701D" w:rsidRDefault="00D40929">
      <w:pPr>
        <w:spacing w:after="29" w:line="248" w:lineRule="auto"/>
        <w:ind w:left="1931" w:right="14"/>
        <w:jc w:val="both"/>
      </w:pPr>
      <w:r>
        <w:rPr>
          <w:rFonts w:ascii="Times New Roman" w:eastAsia="Times New Roman" w:hAnsi="Times New Roman" w:cs="Times New Roman"/>
          <w:sz w:val="24"/>
        </w:rPr>
        <w:t xml:space="preserve">Сурет 1. Мобильді роботтарды басқарудың негізгі схемасы [1]. </w:t>
      </w:r>
    </w:p>
    <w:p w:rsidR="0052701D" w:rsidRDefault="00D40929">
      <w:pPr>
        <w:spacing w:after="0"/>
        <w:ind w:left="994"/>
      </w:pPr>
      <w:r>
        <w:rPr>
          <w:rFonts w:ascii="Times New Roman" w:eastAsia="Times New Roman" w:hAnsi="Times New Roman" w:cs="Times New Roman"/>
          <w:sz w:val="24"/>
        </w:rPr>
        <w:t xml:space="preserve"> </w:t>
      </w:r>
    </w:p>
    <w:p w:rsidR="0052701D" w:rsidRDefault="00D40929">
      <w:pPr>
        <w:spacing w:after="0"/>
        <w:ind w:right="267"/>
        <w:jc w:val="right"/>
      </w:pPr>
      <w:r>
        <w:rPr>
          <w:noProof/>
        </w:rPr>
        <w:drawing>
          <wp:inline distT="0" distB="0" distL="0" distR="0">
            <wp:extent cx="5757672" cy="1905000"/>
            <wp:effectExtent l="0" t="0" r="0" b="0"/>
            <wp:docPr id="34197" name="Picture 34197"/>
            <wp:cNvGraphicFramePr/>
            <a:graphic xmlns:a="http://schemas.openxmlformats.org/drawingml/2006/main">
              <a:graphicData uri="http://schemas.openxmlformats.org/drawingml/2006/picture">
                <pic:pic xmlns:pic="http://schemas.openxmlformats.org/drawingml/2006/picture">
                  <pic:nvPicPr>
                    <pic:cNvPr id="34197" name="Picture 34197"/>
                    <pic:cNvPicPr/>
                  </pic:nvPicPr>
                  <pic:blipFill>
                    <a:blip r:embed="rId500"/>
                    <a:stretch>
                      <a:fillRect/>
                    </a:stretch>
                  </pic:blipFill>
                  <pic:spPr>
                    <a:xfrm>
                      <a:off x="0" y="0"/>
                      <a:ext cx="5757672" cy="1905000"/>
                    </a:xfrm>
                    <a:prstGeom prst="rect">
                      <a:avLst/>
                    </a:prstGeom>
                  </pic:spPr>
                </pic:pic>
              </a:graphicData>
            </a:graphic>
          </wp:inline>
        </w:drawing>
      </w:r>
      <w:r>
        <w:rPr>
          <w:rFonts w:ascii="Times New Roman" w:eastAsia="Times New Roman" w:hAnsi="Times New Roman" w:cs="Times New Roman"/>
          <w:sz w:val="24"/>
        </w:rPr>
        <w:t xml:space="preserve"> </w:t>
      </w:r>
    </w:p>
    <w:p w:rsidR="0052701D" w:rsidRDefault="00D40929">
      <w:pPr>
        <w:spacing w:after="29" w:line="248" w:lineRule="auto"/>
        <w:ind w:left="1114" w:right="14"/>
        <w:jc w:val="both"/>
      </w:pPr>
      <w:r>
        <w:rPr>
          <w:rFonts w:ascii="Times New Roman" w:eastAsia="Times New Roman" w:hAnsi="Times New Roman" w:cs="Times New Roman"/>
          <w:sz w:val="24"/>
        </w:rPr>
        <w:t xml:space="preserve">Сурет 2. Әр түрлі қосымшалар үшін жасалған роботтардың санын болжау [11]. </w:t>
      </w:r>
    </w:p>
    <w:p w:rsidR="0052701D" w:rsidRDefault="00D40929">
      <w:pPr>
        <w:spacing w:after="0"/>
        <w:ind w:left="994"/>
      </w:pPr>
      <w:r>
        <w:rPr>
          <w:rFonts w:ascii="Times New Roman" w:eastAsia="Times New Roman" w:hAnsi="Times New Roman" w:cs="Times New Roman"/>
          <w:sz w:val="24"/>
        </w:rPr>
        <w:t xml:space="preserve"> </w:t>
      </w:r>
    </w:p>
    <w:p w:rsidR="0052701D" w:rsidRDefault="00D40929">
      <w:pPr>
        <w:spacing w:after="29" w:line="248" w:lineRule="auto"/>
        <w:ind w:left="283" w:right="319" w:firstLine="711"/>
        <w:jc w:val="both"/>
      </w:pPr>
      <w:r>
        <w:rPr>
          <w:rFonts w:ascii="Times New Roman" w:eastAsia="Times New Roman" w:hAnsi="Times New Roman" w:cs="Times New Roman"/>
          <w:sz w:val="24"/>
        </w:rPr>
        <w:t>Мобильді робототехника соңғы жиырма жыл ішінде айтарлықтай дамыған алгоритмдер мен технологиялардың кең спектріне негізделген. Кадена және басқалар [5] SLAM мен картографиядағы ашық мәселелерді түсіндіретін SLAM шолуын ұсынды. Алайда, мақалада SLAM-ді тере</w:t>
      </w:r>
      <w:r>
        <w:rPr>
          <w:rFonts w:ascii="Times New Roman" w:eastAsia="Times New Roman" w:hAnsi="Times New Roman" w:cs="Times New Roman"/>
          <w:sz w:val="24"/>
        </w:rPr>
        <w:t xml:space="preserve">ң оқытуды қолдана отырып, соңғы жетістіктері туралы </w:t>
      </w:r>
      <w:r>
        <w:rPr>
          <w:rFonts w:ascii="Times New Roman" w:eastAsia="Times New Roman" w:hAnsi="Times New Roman" w:cs="Times New Roman"/>
          <w:sz w:val="24"/>
        </w:rPr>
        <w:lastRenderedPageBreak/>
        <w:t xml:space="preserve">айтылған жоқ [4]. Бұл мақалада локализация мен картаға түсіру үшін терең білімге негізделген шешімдер қарастырылған. </w:t>
      </w:r>
    </w:p>
    <w:p w:rsidR="0052701D" w:rsidRDefault="00D40929">
      <w:pPr>
        <w:spacing w:after="29" w:line="248" w:lineRule="auto"/>
        <w:ind w:left="283" w:right="322" w:firstLine="711"/>
        <w:jc w:val="both"/>
      </w:pPr>
      <w:r>
        <w:rPr>
          <w:rFonts w:ascii="Times New Roman" w:eastAsia="Times New Roman" w:hAnsi="Times New Roman" w:cs="Times New Roman"/>
          <w:sz w:val="24"/>
        </w:rPr>
        <w:t xml:space="preserve">Жүріс қозғалысы екі аяқты, төрт аяқты және алты аяқты Локомотив механизмдері секілді жүзеге асырылады. Бір ерекше әдіске сәйкес аяқтың конфигурациясын көптеген сегменттермен серіппелі пантограф механизмінде жасауға болады. </w:t>
      </w:r>
    </w:p>
    <w:p w:rsidR="0052701D" w:rsidRDefault="00D40929">
      <w:pPr>
        <w:spacing w:after="29" w:line="248" w:lineRule="auto"/>
        <w:ind w:left="283" w:right="326" w:firstLine="711"/>
        <w:jc w:val="both"/>
      </w:pPr>
      <w:r>
        <w:rPr>
          <w:rFonts w:ascii="Times New Roman" w:eastAsia="Times New Roman" w:hAnsi="Times New Roman" w:cs="Times New Roman"/>
          <w:sz w:val="24"/>
        </w:rPr>
        <w:t>Аяқтың қозғалысы роботтарға дина</w:t>
      </w:r>
      <w:r>
        <w:rPr>
          <w:rFonts w:ascii="Times New Roman" w:eastAsia="Times New Roman" w:hAnsi="Times New Roman" w:cs="Times New Roman"/>
          <w:sz w:val="24"/>
        </w:rPr>
        <w:t xml:space="preserve">микалық және статикалық тұрақты қозғалыстарды сақтап, бірнеше қадамдар немесе баспалдақтар сияқты маңызды кедергілерді жеңе отырып, жоғары мобильді болуға мүмкіндік береді. </w:t>
      </w:r>
    </w:p>
    <w:p w:rsidR="0052701D" w:rsidRDefault="00D40929">
      <w:pPr>
        <w:spacing w:after="29" w:line="248" w:lineRule="auto"/>
        <w:ind w:left="283" w:right="317" w:firstLine="711"/>
        <w:jc w:val="both"/>
      </w:pPr>
      <w:r>
        <w:rPr>
          <w:rFonts w:ascii="Times New Roman" w:eastAsia="Times New Roman" w:hAnsi="Times New Roman" w:cs="Times New Roman"/>
          <w:sz w:val="24"/>
        </w:rPr>
        <w:t>Кез-келген роботтың аяқ-қолын үйлестірудің күрделілігі аяқтың санына байланысты, о</w:t>
      </w:r>
      <w:r>
        <w:rPr>
          <w:rFonts w:ascii="Times New Roman" w:eastAsia="Times New Roman" w:hAnsi="Times New Roman" w:cs="Times New Roman"/>
          <w:sz w:val="24"/>
        </w:rPr>
        <w:t xml:space="preserve">л жүру сипатын анықтайды [6]. Егер робот N аяғымен салынған болса, онда ол бар  оқиғалардың ықтимал саны келесідей (2n − 1)! болады [1]. Аяқтың конфигурациясын әртүрлі жолдармен сипаттауға болады.  </w:t>
      </w:r>
    </w:p>
    <w:p w:rsidR="0052701D" w:rsidRDefault="00D40929">
      <w:pPr>
        <w:numPr>
          <w:ilvl w:val="0"/>
          <w:numId w:val="54"/>
        </w:numPr>
        <w:spacing w:after="29" w:line="248" w:lineRule="auto"/>
        <w:ind w:right="14" w:hanging="264"/>
        <w:jc w:val="both"/>
      </w:pPr>
      <w:r>
        <w:rPr>
          <w:rFonts w:ascii="Times New Roman" w:eastAsia="Times New Roman" w:hAnsi="Times New Roman" w:cs="Times New Roman"/>
          <w:sz w:val="24"/>
        </w:rPr>
        <w:t xml:space="preserve">Бір аяқты робот (HOPPER) </w:t>
      </w:r>
    </w:p>
    <w:p w:rsidR="0052701D" w:rsidRDefault="00D40929">
      <w:pPr>
        <w:spacing w:after="29" w:line="248" w:lineRule="auto"/>
        <w:ind w:left="283" w:right="320" w:firstLine="711"/>
        <w:jc w:val="both"/>
      </w:pPr>
      <w:r>
        <w:rPr>
          <w:rFonts w:ascii="Times New Roman" w:eastAsia="Times New Roman" w:hAnsi="Times New Roman" w:cs="Times New Roman"/>
          <w:sz w:val="24"/>
        </w:rPr>
        <w:t>Роботтың кем дегенде бір аяғы болуы мүмкін, оны "хоппер" деп те атайды, өйткені жер мен аяқтың арасында бір ғана байланыс нүктесі бар, ал роботта секіретін бір ғана қозғалыс түрі бар. Бұл дуэттің субдинамикалық тәсіліне байланысты; біреуі аяқ пен жер арасы</w:t>
      </w:r>
      <w:r>
        <w:rPr>
          <w:rFonts w:ascii="Times New Roman" w:eastAsia="Times New Roman" w:hAnsi="Times New Roman" w:cs="Times New Roman"/>
          <w:sz w:val="24"/>
        </w:rPr>
        <w:t>ндағы байланыс байланыста болған кезде, ал екіншісі байланыссыз жағдайлар үшін. Бұл бункерлік роботтардың өмірлік маңызды қосымшаларының бірі-астероидтар мен кометалар сияқты кішігірім аспан денелерін зерттеу, мұнда көп аяқты немесе доңғалақты Роботтар сәт</w:t>
      </w:r>
      <w:r>
        <w:rPr>
          <w:rFonts w:ascii="Times New Roman" w:eastAsia="Times New Roman" w:hAnsi="Times New Roman" w:cs="Times New Roman"/>
          <w:sz w:val="24"/>
        </w:rPr>
        <w:t xml:space="preserve">ті маневр жасай алмайды, өйткені жергілікті ауырлық күші салыстырмалы түрде төмен [7]. </w:t>
      </w:r>
    </w:p>
    <w:p w:rsidR="0052701D" w:rsidRDefault="00D40929">
      <w:pPr>
        <w:numPr>
          <w:ilvl w:val="0"/>
          <w:numId w:val="54"/>
        </w:numPr>
        <w:spacing w:after="29" w:line="248" w:lineRule="auto"/>
        <w:ind w:right="14" w:hanging="264"/>
        <w:jc w:val="both"/>
      </w:pPr>
      <w:r>
        <w:rPr>
          <w:rFonts w:ascii="Times New Roman" w:eastAsia="Times New Roman" w:hAnsi="Times New Roman" w:cs="Times New Roman"/>
          <w:sz w:val="24"/>
        </w:rPr>
        <w:t xml:space="preserve">Екі жақты робот (BIPED ROBOT) </w:t>
      </w:r>
    </w:p>
    <w:p w:rsidR="0052701D" w:rsidRDefault="00D40929">
      <w:pPr>
        <w:spacing w:after="29" w:line="248" w:lineRule="auto"/>
        <w:ind w:left="283" w:right="326" w:firstLine="711"/>
        <w:jc w:val="both"/>
      </w:pPr>
      <w:r>
        <w:rPr>
          <w:rFonts w:ascii="Times New Roman" w:eastAsia="Times New Roman" w:hAnsi="Times New Roman" w:cs="Times New Roman"/>
          <w:sz w:val="24"/>
        </w:rPr>
        <w:t>Екі жақты дизайн роботтың локомоциялық қозғалысында жиі қолданылады. Гуманоидты роботтар деп те аталатын бұл екі аяқты Роботтар жүруге, с</w:t>
      </w:r>
      <w:r>
        <w:rPr>
          <w:rFonts w:ascii="Times New Roman" w:eastAsia="Times New Roman" w:hAnsi="Times New Roman" w:cs="Times New Roman"/>
          <w:sz w:val="24"/>
        </w:rPr>
        <w:t>екіруге, жүгіруге және кейде билеуге қабілетті. Олар баспалдаққа көтеріліп, әртүрлі өрескел беттерді кесіп өтуі мүмкін, бірақ динамикалық тұрақтылық әлі де проблема болып табылады. Көптеген зерттеу жағдайларында бипедальды роботтың қозғалысы динамикалық те</w:t>
      </w:r>
      <w:r>
        <w:rPr>
          <w:rFonts w:ascii="Times New Roman" w:eastAsia="Times New Roman" w:hAnsi="Times New Roman" w:cs="Times New Roman"/>
          <w:sz w:val="24"/>
        </w:rPr>
        <w:t xml:space="preserve">пе-теңдікке байланысты бір немесе көп аяқты локомоциялармен салыстырғанда бірнеше қозғалыстарды көрсетті [8]. </w:t>
      </w:r>
    </w:p>
    <w:p w:rsidR="0052701D" w:rsidRDefault="00D40929">
      <w:pPr>
        <w:numPr>
          <w:ilvl w:val="0"/>
          <w:numId w:val="54"/>
        </w:numPr>
        <w:spacing w:after="29" w:line="248" w:lineRule="auto"/>
        <w:ind w:right="14" w:hanging="264"/>
        <w:jc w:val="both"/>
      </w:pPr>
      <w:r>
        <w:rPr>
          <w:rFonts w:ascii="Times New Roman" w:eastAsia="Times New Roman" w:hAnsi="Times New Roman" w:cs="Times New Roman"/>
          <w:sz w:val="24"/>
        </w:rPr>
        <w:t xml:space="preserve">Үш аяқты робот (TRIPOD ROBOT) </w:t>
      </w:r>
    </w:p>
    <w:p w:rsidR="0052701D" w:rsidRDefault="00D40929">
      <w:pPr>
        <w:spacing w:after="29" w:line="248" w:lineRule="auto"/>
        <w:ind w:left="283" w:right="323" w:firstLine="711"/>
        <w:jc w:val="both"/>
      </w:pPr>
      <w:r>
        <w:rPr>
          <w:rFonts w:ascii="Times New Roman" w:eastAsia="Times New Roman" w:hAnsi="Times New Roman" w:cs="Times New Roman"/>
          <w:sz w:val="24"/>
        </w:rPr>
        <w:t>Үш аяқты Роботтар сирек кездеседі, өйткені олар ешқандай биологиялық мысалдардан Шабыт алмайды. Бұл роботтар қозға</w:t>
      </w:r>
      <w:r>
        <w:rPr>
          <w:rFonts w:ascii="Times New Roman" w:eastAsia="Times New Roman" w:hAnsi="Times New Roman" w:cs="Times New Roman"/>
          <w:sz w:val="24"/>
        </w:rPr>
        <w:t xml:space="preserve">лыс жасай алатын жалғыз әдісауырлық центрін денеден жылжыту, әрекет тепе-теңдігін сақтау [6]. Үш аяқты Роботтар бетінің берік бөліктеріндегі бипедтерге қарағанда масса тепе-теңдігіне ие. </w:t>
      </w:r>
    </w:p>
    <w:p w:rsidR="0052701D" w:rsidRDefault="00D40929">
      <w:pPr>
        <w:numPr>
          <w:ilvl w:val="0"/>
          <w:numId w:val="54"/>
        </w:numPr>
        <w:spacing w:after="29" w:line="248" w:lineRule="auto"/>
        <w:ind w:right="14" w:hanging="264"/>
        <w:jc w:val="both"/>
      </w:pPr>
      <w:r>
        <w:rPr>
          <w:rFonts w:ascii="Times New Roman" w:eastAsia="Times New Roman" w:hAnsi="Times New Roman" w:cs="Times New Roman"/>
          <w:sz w:val="24"/>
        </w:rPr>
        <w:t xml:space="preserve">Төрт аяқты роботтар (QUADRUPED ROBOT) </w:t>
      </w:r>
    </w:p>
    <w:p w:rsidR="0052701D" w:rsidRDefault="00D40929">
      <w:pPr>
        <w:spacing w:after="29" w:line="248" w:lineRule="auto"/>
        <w:ind w:left="283" w:right="321" w:firstLine="711"/>
        <w:jc w:val="both"/>
      </w:pPr>
      <w:r>
        <w:rPr>
          <w:rFonts w:ascii="Times New Roman" w:eastAsia="Times New Roman" w:hAnsi="Times New Roman" w:cs="Times New Roman"/>
          <w:sz w:val="24"/>
        </w:rPr>
        <w:t>Төрт аяқты Роботтар ең оңай т</w:t>
      </w:r>
      <w:r>
        <w:rPr>
          <w:rFonts w:ascii="Times New Roman" w:eastAsia="Times New Roman" w:hAnsi="Times New Roman" w:cs="Times New Roman"/>
          <w:sz w:val="24"/>
        </w:rPr>
        <w:t>еңдестірілген, ең жақсы динамикалық тұрақтылыққа ие. Бұл қоңырау тәрізді төрт аяқты роботтар да танымал, өйткені оларды үй жануарларын алмастырғыш ретінде қарастыруға болады. Гексаподтар деп аталатын алты аяқты роботтар да бар. [9] төрт аяқты роботта робот</w:t>
      </w:r>
      <w:r>
        <w:rPr>
          <w:rFonts w:ascii="Times New Roman" w:eastAsia="Times New Roman" w:hAnsi="Times New Roman" w:cs="Times New Roman"/>
          <w:sz w:val="24"/>
        </w:rPr>
        <w:t>тың мінез-құлқын бақылау үшін әртүрлі басқару архитектуралары қолданылады. Бұл процедуралар биоспирацияланған конструкцияларға негізделген, олар ауыр жүктерді динамикалық тұрақтылығы мен ауыр жабдықтардың жүк көтергіштігі үшін өрескел беті арқылы тасымалда</w:t>
      </w:r>
      <w:r>
        <w:rPr>
          <w:rFonts w:ascii="Times New Roman" w:eastAsia="Times New Roman" w:hAnsi="Times New Roman" w:cs="Times New Roman"/>
          <w:sz w:val="24"/>
        </w:rPr>
        <w:t xml:space="preserve">уға көмектеседі [9]. </w:t>
      </w:r>
    </w:p>
    <w:p w:rsidR="0052701D" w:rsidRDefault="00D40929">
      <w:pPr>
        <w:spacing w:after="29" w:line="248" w:lineRule="auto"/>
        <w:ind w:left="283" w:right="316" w:firstLine="711"/>
        <w:jc w:val="both"/>
      </w:pPr>
      <w:r>
        <w:rPr>
          <w:rFonts w:ascii="Times New Roman" w:eastAsia="Times New Roman" w:hAnsi="Times New Roman" w:cs="Times New Roman"/>
          <w:sz w:val="24"/>
        </w:rPr>
        <w:t>Доңғалақты қозғалыс-ең танымал механизмдердің бірі, өйткені бұл көптеген жасанды көліктер сияқты мобильді Робототехника үшін қарапайым көлік құралы. Доңғалақты қозғалыс өзінің тұрақтылығымен, оңай басқарылуымен, сондай-ақ салыстырмалы</w:t>
      </w:r>
      <w:r>
        <w:rPr>
          <w:rFonts w:ascii="Times New Roman" w:eastAsia="Times New Roman" w:hAnsi="Times New Roman" w:cs="Times New Roman"/>
          <w:sz w:val="24"/>
        </w:rPr>
        <w:t xml:space="preserve"> түрде қарапайым механикалық дизайнымен өте жақсы тиімділікке қол жеткізді. Теңдестіру іс жүзінде маңызды мәселе емес, өйткені доңғалақтардың дизайны олардың әрдайым жермен байланыста болуын қамтамасыз етеді, осылайша максималды тұрақтылық пен жылдамдықтың</w:t>
      </w:r>
      <w:r>
        <w:rPr>
          <w:rFonts w:ascii="Times New Roman" w:eastAsia="Times New Roman" w:hAnsi="Times New Roman" w:cs="Times New Roman"/>
          <w:sz w:val="24"/>
        </w:rPr>
        <w:t xml:space="preserve"> төмен жылдамдығын қамтамасыз етеді, бұл олардың тез қозғалуына жол бермейді [42]. Доңғалақтарда төрт түрлі қозғалыс түрі бар: </w:t>
      </w:r>
    </w:p>
    <w:p w:rsidR="0052701D" w:rsidRDefault="00D40929">
      <w:pPr>
        <w:numPr>
          <w:ilvl w:val="0"/>
          <w:numId w:val="55"/>
        </w:numPr>
        <w:spacing w:after="29" w:line="248" w:lineRule="auto"/>
        <w:ind w:right="14" w:firstLine="711"/>
        <w:jc w:val="both"/>
      </w:pPr>
      <w:r>
        <w:rPr>
          <w:rFonts w:ascii="Times New Roman" w:eastAsia="Times New Roman" w:hAnsi="Times New Roman" w:cs="Times New Roman"/>
          <w:sz w:val="24"/>
        </w:rPr>
        <w:lastRenderedPageBreak/>
        <w:t xml:space="preserve">Стандартты доңғалақ: екі еркіндік дәрежесі және айналу доңғалақ осі мен байланыс нүктесінің айналасында жүреді; </w:t>
      </w:r>
    </w:p>
    <w:p w:rsidR="0052701D" w:rsidRDefault="00D40929">
      <w:pPr>
        <w:numPr>
          <w:ilvl w:val="0"/>
          <w:numId w:val="55"/>
        </w:numPr>
        <w:spacing w:after="29" w:line="248" w:lineRule="auto"/>
        <w:ind w:right="14" w:firstLine="711"/>
        <w:jc w:val="both"/>
      </w:pPr>
      <w:r>
        <w:rPr>
          <w:rFonts w:ascii="Times New Roman" w:eastAsia="Times New Roman" w:hAnsi="Times New Roman" w:cs="Times New Roman"/>
          <w:sz w:val="24"/>
        </w:rPr>
        <w:t>Кастор дөңгелег</w:t>
      </w:r>
      <w:r>
        <w:rPr>
          <w:rFonts w:ascii="Times New Roman" w:eastAsia="Times New Roman" w:hAnsi="Times New Roman" w:cs="Times New Roman"/>
          <w:sz w:val="24"/>
        </w:rPr>
        <w:t xml:space="preserve">і: екі еркіндік дәрежесі және бұрылыс рульдік топсаның айналасында жүреді; </w:t>
      </w:r>
    </w:p>
    <w:p w:rsidR="0052701D" w:rsidRDefault="00D40929">
      <w:pPr>
        <w:numPr>
          <w:ilvl w:val="0"/>
          <w:numId w:val="55"/>
        </w:numPr>
        <w:spacing w:after="29" w:line="248" w:lineRule="auto"/>
        <w:ind w:right="14" w:firstLine="711"/>
        <w:jc w:val="both"/>
      </w:pPr>
      <w:r>
        <w:rPr>
          <w:rFonts w:ascii="Times New Roman" w:eastAsia="Times New Roman" w:hAnsi="Times New Roman" w:cs="Times New Roman"/>
          <w:sz w:val="24"/>
        </w:rPr>
        <w:t xml:space="preserve">Швед (немесе Mecanum) дөңгелегі: үш еркіндік дәрежесі және айналу роликтер, доңғалақ осі және байланыс нүктесі айналасында жүреді; </w:t>
      </w:r>
    </w:p>
    <w:p w:rsidR="0052701D" w:rsidRDefault="00D40929">
      <w:pPr>
        <w:numPr>
          <w:ilvl w:val="0"/>
          <w:numId w:val="55"/>
        </w:numPr>
        <w:spacing w:after="29" w:line="248" w:lineRule="auto"/>
        <w:ind w:right="14" w:firstLine="711"/>
        <w:jc w:val="both"/>
      </w:pPr>
      <w:r>
        <w:rPr>
          <w:rFonts w:ascii="Times New Roman" w:eastAsia="Times New Roman" w:hAnsi="Times New Roman" w:cs="Times New Roman"/>
          <w:sz w:val="24"/>
        </w:rPr>
        <w:t xml:space="preserve">Шар немесе сфералық доңғалақ: алдыңғы цилиндрлік роликті дөңгелектерге қарағанда үлкен беткейге ие. </w:t>
      </w:r>
    </w:p>
    <w:p w:rsidR="0052701D" w:rsidRDefault="00D40929">
      <w:pPr>
        <w:spacing w:after="0" w:line="248" w:lineRule="auto"/>
        <w:ind w:left="283" w:right="323" w:firstLine="711"/>
        <w:jc w:val="both"/>
      </w:pPr>
      <w:r>
        <w:rPr>
          <w:rFonts w:ascii="Times New Roman" w:eastAsia="Times New Roman" w:hAnsi="Times New Roman" w:cs="Times New Roman"/>
          <w:sz w:val="24"/>
        </w:rPr>
        <w:t>3-суретте мобильді роботтарда қолданылатын дөңгелектердің барлық санаттары көрсетілген. Қоршаған ортаға байланысты доңғалақтардың орналасуы дөңгелектің түр</w:t>
      </w:r>
      <w:r>
        <w:rPr>
          <w:rFonts w:ascii="Times New Roman" w:eastAsia="Times New Roman" w:hAnsi="Times New Roman" w:cs="Times New Roman"/>
          <w:sz w:val="24"/>
        </w:rPr>
        <w:t xml:space="preserve">і бойынша бір уақытта қарастырылады [10]. Доңғалақтың түрі де, доңғалақтың геометриясы да роботтың негізгі сипаттамаларында маңызды рөл атқарады: маневрлік, басқару және тұрақтылық. </w:t>
      </w:r>
    </w:p>
    <w:p w:rsidR="0052701D" w:rsidRDefault="00D40929">
      <w:pPr>
        <w:spacing w:after="0"/>
        <w:ind w:left="994"/>
      </w:pPr>
      <w:r>
        <w:rPr>
          <w:rFonts w:ascii="Times New Roman" w:eastAsia="Times New Roman" w:hAnsi="Times New Roman" w:cs="Times New Roman"/>
          <w:sz w:val="24"/>
        </w:rPr>
        <w:t xml:space="preserve"> </w:t>
      </w:r>
    </w:p>
    <w:p w:rsidR="0052701D" w:rsidRDefault="00D40929">
      <w:pPr>
        <w:spacing w:after="0"/>
        <w:ind w:left="2740"/>
      </w:pPr>
      <w:r>
        <w:rPr>
          <w:noProof/>
        </w:rPr>
        <w:drawing>
          <wp:inline distT="0" distB="0" distL="0" distR="0">
            <wp:extent cx="3093720" cy="1850136"/>
            <wp:effectExtent l="0" t="0" r="0" b="0"/>
            <wp:docPr id="34409" name="Picture 34409"/>
            <wp:cNvGraphicFramePr/>
            <a:graphic xmlns:a="http://schemas.openxmlformats.org/drawingml/2006/main">
              <a:graphicData uri="http://schemas.openxmlformats.org/drawingml/2006/picture">
                <pic:pic xmlns:pic="http://schemas.openxmlformats.org/drawingml/2006/picture">
                  <pic:nvPicPr>
                    <pic:cNvPr id="34409" name="Picture 34409"/>
                    <pic:cNvPicPr/>
                  </pic:nvPicPr>
                  <pic:blipFill>
                    <a:blip r:embed="rId501"/>
                    <a:stretch>
                      <a:fillRect/>
                    </a:stretch>
                  </pic:blipFill>
                  <pic:spPr>
                    <a:xfrm>
                      <a:off x="0" y="0"/>
                      <a:ext cx="3093720" cy="1850136"/>
                    </a:xfrm>
                    <a:prstGeom prst="rect">
                      <a:avLst/>
                    </a:prstGeom>
                  </pic:spPr>
                </pic:pic>
              </a:graphicData>
            </a:graphic>
          </wp:inline>
        </w:drawing>
      </w:r>
      <w:r>
        <w:rPr>
          <w:rFonts w:ascii="Times New Roman" w:eastAsia="Times New Roman" w:hAnsi="Times New Roman" w:cs="Times New Roman"/>
          <w:sz w:val="24"/>
        </w:rPr>
        <w:t xml:space="preserve"> </w:t>
      </w:r>
    </w:p>
    <w:p w:rsidR="0052701D" w:rsidRDefault="00D40929">
      <w:pPr>
        <w:spacing w:after="25"/>
        <w:ind w:left="994"/>
      </w:pPr>
      <w:r>
        <w:rPr>
          <w:rFonts w:ascii="Times New Roman" w:eastAsia="Times New Roman" w:hAnsi="Times New Roman" w:cs="Times New Roman"/>
          <w:sz w:val="24"/>
        </w:rPr>
        <w:t xml:space="preserve"> </w:t>
      </w:r>
    </w:p>
    <w:p w:rsidR="0052701D" w:rsidRDefault="00D40929">
      <w:pPr>
        <w:spacing w:after="14" w:line="248" w:lineRule="auto"/>
        <w:ind w:left="713" w:right="49" w:hanging="5"/>
        <w:jc w:val="center"/>
      </w:pPr>
      <w:r>
        <w:rPr>
          <w:rFonts w:ascii="Times New Roman" w:eastAsia="Times New Roman" w:hAnsi="Times New Roman" w:cs="Times New Roman"/>
          <w:sz w:val="24"/>
        </w:rPr>
        <w:t xml:space="preserve">Сурет 3. Дөңгелектердің төрт түрі: </w:t>
      </w:r>
    </w:p>
    <w:p w:rsidR="0052701D" w:rsidRDefault="00D40929">
      <w:pPr>
        <w:spacing w:after="29" w:line="248" w:lineRule="auto"/>
        <w:ind w:left="4207" w:right="14" w:hanging="3467"/>
        <w:jc w:val="both"/>
      </w:pPr>
      <w:r>
        <w:rPr>
          <w:rFonts w:ascii="Times New Roman" w:eastAsia="Times New Roman" w:hAnsi="Times New Roman" w:cs="Times New Roman"/>
          <w:sz w:val="24"/>
        </w:rPr>
        <w:t>(a)</w:t>
      </w:r>
      <w:r>
        <w:rPr>
          <w:rFonts w:ascii="Arial" w:eastAsia="Arial" w:hAnsi="Arial" w:cs="Arial"/>
          <w:sz w:val="24"/>
        </w:rPr>
        <w:t xml:space="preserve"> </w:t>
      </w:r>
      <w:r>
        <w:rPr>
          <w:rFonts w:ascii="Times New Roman" w:eastAsia="Times New Roman" w:hAnsi="Times New Roman" w:cs="Times New Roman"/>
          <w:sz w:val="24"/>
        </w:rPr>
        <w:t xml:space="preserve">Стандартты дөңгелегі, (b) </w:t>
      </w:r>
      <w:r>
        <w:rPr>
          <w:rFonts w:ascii="Times New Roman" w:eastAsia="Times New Roman" w:hAnsi="Times New Roman" w:cs="Times New Roman"/>
          <w:sz w:val="24"/>
        </w:rPr>
        <w:t xml:space="preserve">Роликті дөңгелегі, (с) Швед дөңгелегі және (d) Шар дөңгелегі [1]. </w:t>
      </w:r>
    </w:p>
    <w:p w:rsidR="0052701D" w:rsidRDefault="00D40929">
      <w:pPr>
        <w:spacing w:after="0"/>
        <w:ind w:left="1004"/>
      </w:pPr>
      <w:r>
        <w:rPr>
          <w:rFonts w:ascii="Times New Roman" w:eastAsia="Times New Roman" w:hAnsi="Times New Roman" w:cs="Times New Roman"/>
          <w:sz w:val="24"/>
        </w:rPr>
        <w:t xml:space="preserve"> </w:t>
      </w:r>
    </w:p>
    <w:p w:rsidR="0052701D" w:rsidRDefault="00D40929">
      <w:pPr>
        <w:spacing w:after="29" w:line="248" w:lineRule="auto"/>
        <w:ind w:left="283" w:right="328" w:firstLine="711"/>
        <w:jc w:val="both"/>
      </w:pPr>
      <w:r>
        <w:rPr>
          <w:rFonts w:ascii="Times New Roman" w:eastAsia="Times New Roman" w:hAnsi="Times New Roman" w:cs="Times New Roman"/>
          <w:sz w:val="24"/>
        </w:rPr>
        <w:t>Бұл қозғалыс әдістері мобильді роботтарға үйде маневр жасауға көмектеседі. Ешқандай механизм барлық жағдайларға сәйкес келмесе де, доңғалақтар мен аяқтардағы қозғалыс жүйелері көптеген сә</w:t>
      </w:r>
      <w:r>
        <w:rPr>
          <w:rFonts w:ascii="Times New Roman" w:eastAsia="Times New Roman" w:hAnsi="Times New Roman" w:cs="Times New Roman"/>
          <w:sz w:val="24"/>
        </w:rPr>
        <w:t xml:space="preserve">тті қолданыстарға ие [6]. </w:t>
      </w:r>
    </w:p>
    <w:p w:rsidR="0052701D" w:rsidRDefault="00D40929">
      <w:pPr>
        <w:spacing w:after="29" w:line="248" w:lineRule="auto"/>
        <w:ind w:left="283" w:right="324" w:firstLine="711"/>
        <w:jc w:val="both"/>
      </w:pPr>
      <w:r>
        <w:rPr>
          <w:rFonts w:ascii="Times New Roman" w:eastAsia="Times New Roman" w:hAnsi="Times New Roman" w:cs="Times New Roman"/>
          <w:sz w:val="24"/>
        </w:rPr>
        <w:t>Қабылдау дегеніміз - қоршаған ортаны көру, есту немесе білу қабілеті. Робототехникада, әсіресе өзін-өзі басқаратын мобильді робот үшін, қабылдау өзі туралы және ол орналасқан сыртқы мәтін туралы білім алу қабілетін білдіреді. Роб</w:t>
      </w:r>
      <w:r>
        <w:rPr>
          <w:rFonts w:ascii="Times New Roman" w:eastAsia="Times New Roman" w:hAnsi="Times New Roman" w:cs="Times New Roman"/>
          <w:sz w:val="24"/>
        </w:rPr>
        <w:t xml:space="preserve">оттың автономды жұмыс істеуі үшін қабылдау өте маңызды және жоғары ажыратымдылықтағы датчиктер мен олардан ақпарат алу алгоритмдері арқылы қол жеткізіледі [12]. Қабылдаудың негізгі компоненттері: </w:t>
      </w:r>
    </w:p>
    <w:p w:rsidR="0052701D" w:rsidRDefault="00D40929">
      <w:pPr>
        <w:numPr>
          <w:ilvl w:val="0"/>
          <w:numId w:val="56"/>
        </w:numPr>
        <w:spacing w:after="29" w:line="248" w:lineRule="auto"/>
        <w:ind w:right="14"/>
        <w:jc w:val="both"/>
      </w:pPr>
      <w:r>
        <w:rPr>
          <w:rFonts w:ascii="Times New Roman" w:eastAsia="Times New Roman" w:hAnsi="Times New Roman" w:cs="Times New Roman"/>
          <w:sz w:val="24"/>
        </w:rPr>
        <w:t xml:space="preserve">Датчиктерден деректерді өңдеу; </w:t>
      </w:r>
    </w:p>
    <w:p w:rsidR="0052701D" w:rsidRDefault="00D40929">
      <w:pPr>
        <w:numPr>
          <w:ilvl w:val="0"/>
          <w:numId w:val="56"/>
        </w:numPr>
        <w:spacing w:after="29" w:line="248" w:lineRule="auto"/>
        <w:ind w:right="14"/>
        <w:jc w:val="both"/>
      </w:pPr>
      <w:r>
        <w:rPr>
          <w:rFonts w:ascii="Times New Roman" w:eastAsia="Times New Roman" w:hAnsi="Times New Roman" w:cs="Times New Roman"/>
          <w:sz w:val="24"/>
        </w:rPr>
        <w:t xml:space="preserve">Деректерді ұсыну (қоршаған ортаны модельдеу); </w:t>
      </w:r>
      <w:r>
        <w:rPr>
          <w:sz w:val="24"/>
        </w:rPr>
        <w:t>●</w:t>
      </w:r>
      <w:r>
        <w:rPr>
          <w:rFonts w:ascii="Arial" w:eastAsia="Arial" w:hAnsi="Arial" w:cs="Arial"/>
          <w:sz w:val="24"/>
        </w:rPr>
        <w:t xml:space="preserve"> </w:t>
      </w:r>
      <w:r>
        <w:rPr>
          <w:rFonts w:ascii="Times New Roman" w:eastAsia="Times New Roman" w:hAnsi="Times New Roman" w:cs="Times New Roman"/>
          <w:sz w:val="24"/>
        </w:rPr>
        <w:t xml:space="preserve">Жасанды интеллект алгоритмдері. </w:t>
      </w:r>
    </w:p>
    <w:p w:rsidR="0052701D" w:rsidRDefault="00D40929">
      <w:pPr>
        <w:spacing w:after="29" w:line="248" w:lineRule="auto"/>
        <w:ind w:left="994" w:right="14"/>
        <w:jc w:val="both"/>
      </w:pPr>
      <w:r>
        <w:rPr>
          <w:rFonts w:ascii="Times New Roman" w:eastAsia="Times New Roman" w:hAnsi="Times New Roman" w:cs="Times New Roman"/>
          <w:sz w:val="24"/>
        </w:rPr>
        <w:t xml:space="preserve">Қабылдау роботқа көптеген функцияларды басқаруға көмектеседі: </w:t>
      </w:r>
    </w:p>
    <w:p w:rsidR="0052701D" w:rsidRDefault="00D40929">
      <w:pPr>
        <w:numPr>
          <w:ilvl w:val="0"/>
          <w:numId w:val="56"/>
        </w:numPr>
        <w:spacing w:after="29" w:line="248" w:lineRule="auto"/>
        <w:ind w:right="14"/>
        <w:jc w:val="both"/>
      </w:pPr>
      <w:r>
        <w:rPr>
          <w:rFonts w:ascii="Times New Roman" w:eastAsia="Times New Roman" w:hAnsi="Times New Roman" w:cs="Times New Roman"/>
          <w:sz w:val="24"/>
        </w:rPr>
        <w:t xml:space="preserve">Адамдарды, көлік құралдарын және кедергілерді анықтау; </w:t>
      </w:r>
    </w:p>
    <w:p w:rsidR="0052701D" w:rsidRDefault="00D40929">
      <w:pPr>
        <w:numPr>
          <w:ilvl w:val="0"/>
          <w:numId w:val="56"/>
        </w:numPr>
        <w:spacing w:after="29" w:line="248" w:lineRule="auto"/>
        <w:ind w:right="14"/>
        <w:jc w:val="both"/>
      </w:pPr>
      <w:r>
        <w:rPr>
          <w:rFonts w:ascii="Times New Roman" w:eastAsia="Times New Roman" w:hAnsi="Times New Roman" w:cs="Times New Roman"/>
          <w:sz w:val="24"/>
        </w:rPr>
        <w:t xml:space="preserve">2D және 3D ортасы;  </w:t>
      </w:r>
    </w:p>
    <w:p w:rsidR="0052701D" w:rsidRDefault="00D40929">
      <w:pPr>
        <w:numPr>
          <w:ilvl w:val="0"/>
          <w:numId w:val="56"/>
        </w:numPr>
        <w:spacing w:after="29" w:line="248" w:lineRule="auto"/>
        <w:ind w:right="14"/>
        <w:jc w:val="both"/>
      </w:pPr>
      <w:r>
        <w:rPr>
          <w:rFonts w:ascii="Times New Roman" w:eastAsia="Times New Roman" w:hAnsi="Times New Roman" w:cs="Times New Roman"/>
          <w:sz w:val="24"/>
        </w:rPr>
        <w:t>Қимылдарды, дауысты және басқа да ә</w:t>
      </w:r>
      <w:r>
        <w:rPr>
          <w:rFonts w:ascii="Times New Roman" w:eastAsia="Times New Roman" w:hAnsi="Times New Roman" w:cs="Times New Roman"/>
          <w:sz w:val="24"/>
        </w:rPr>
        <w:t xml:space="preserve">рекеттерді және орындардың семантикалық жіктелуін тану; </w:t>
      </w:r>
      <w:r>
        <w:rPr>
          <w:sz w:val="24"/>
        </w:rPr>
        <w:t>●</w:t>
      </w:r>
      <w:r>
        <w:rPr>
          <w:rFonts w:ascii="Arial" w:eastAsia="Arial" w:hAnsi="Arial" w:cs="Arial"/>
          <w:sz w:val="24"/>
        </w:rPr>
        <w:t xml:space="preserve"> </w:t>
      </w:r>
      <w:r>
        <w:rPr>
          <w:rFonts w:ascii="Times New Roman" w:eastAsia="Times New Roman" w:hAnsi="Times New Roman" w:cs="Times New Roman"/>
          <w:sz w:val="24"/>
        </w:rPr>
        <w:t xml:space="preserve">Қоршаған ортаның өзгеруін анықтау; </w:t>
      </w:r>
      <w:r>
        <w:rPr>
          <w:sz w:val="24"/>
        </w:rPr>
        <w:t>●</w:t>
      </w:r>
      <w:r>
        <w:rPr>
          <w:rFonts w:ascii="Arial" w:eastAsia="Arial" w:hAnsi="Arial" w:cs="Arial"/>
          <w:sz w:val="24"/>
        </w:rPr>
        <w:t xml:space="preserve"> </w:t>
      </w:r>
      <w:r>
        <w:rPr>
          <w:rFonts w:ascii="Times New Roman" w:eastAsia="Times New Roman" w:hAnsi="Times New Roman" w:cs="Times New Roman"/>
          <w:sz w:val="24"/>
        </w:rPr>
        <w:t xml:space="preserve">Жер бедерінің классификациясы. </w:t>
      </w:r>
    </w:p>
    <w:p w:rsidR="0052701D" w:rsidRDefault="00D40929">
      <w:pPr>
        <w:spacing w:after="29" w:line="248" w:lineRule="auto"/>
        <w:ind w:left="283" w:right="14" w:firstLine="711"/>
        <w:jc w:val="both"/>
      </w:pPr>
      <w:r>
        <w:rPr>
          <w:rFonts w:ascii="Times New Roman" w:eastAsia="Times New Roman" w:hAnsi="Times New Roman" w:cs="Times New Roman"/>
          <w:sz w:val="24"/>
        </w:rPr>
        <w:t>Барлық мысалдарға әртүрлі көру және жақындық сенсорлары сияқты арнайы және жоғары дәлдіктегі сенсорлар арқылы қол жеткізіледі [2]</w:t>
      </w:r>
      <w:r>
        <w:rPr>
          <w:rFonts w:ascii="Times New Roman" w:eastAsia="Times New Roman" w:hAnsi="Times New Roman" w:cs="Times New Roman"/>
          <w:sz w:val="24"/>
        </w:rPr>
        <w:t xml:space="preserve">. </w:t>
      </w:r>
    </w:p>
    <w:p w:rsidR="0052701D" w:rsidRDefault="00D40929">
      <w:pPr>
        <w:spacing w:after="29" w:line="248" w:lineRule="auto"/>
        <w:ind w:left="283" w:right="322" w:firstLine="711"/>
        <w:jc w:val="both"/>
      </w:pPr>
      <w:r>
        <w:rPr>
          <w:rFonts w:ascii="Times New Roman" w:eastAsia="Times New Roman" w:hAnsi="Times New Roman" w:cs="Times New Roman"/>
          <w:sz w:val="24"/>
        </w:rPr>
        <w:lastRenderedPageBreak/>
        <w:t>Навигация мобильді роботтар үшін, әсіресе ішкі навигация үшін ең қиын тапсырмаларды ұсынады. Траекторияға сәтті навигациялық көзқарас үшін мобильді робот локализацияны бір уақытта жүргізіп, оның айналасын қадағалап отыруы керек – бір уақытта локализация</w:t>
      </w:r>
      <w:r>
        <w:rPr>
          <w:rFonts w:ascii="Times New Roman" w:eastAsia="Times New Roman" w:hAnsi="Times New Roman" w:cs="Times New Roman"/>
          <w:sz w:val="24"/>
        </w:rPr>
        <w:t xml:space="preserve"> және карта жасау (SLAM) [2]. </w:t>
      </w:r>
    </w:p>
    <w:p w:rsidR="0052701D" w:rsidRDefault="00D40929">
      <w:pPr>
        <w:spacing w:after="5"/>
        <w:ind w:left="10" w:right="321" w:hanging="10"/>
        <w:jc w:val="right"/>
      </w:pPr>
      <w:r>
        <w:rPr>
          <w:rFonts w:ascii="Times New Roman" w:eastAsia="Times New Roman" w:hAnsi="Times New Roman" w:cs="Times New Roman"/>
          <w:sz w:val="24"/>
        </w:rPr>
        <w:t xml:space="preserve">Навигацияны кең мағынада төрт негізгі компонентке жіктеуге болады: 1. </w:t>
      </w:r>
    </w:p>
    <w:p w:rsidR="0052701D" w:rsidRDefault="00D40929">
      <w:pPr>
        <w:spacing w:after="29" w:line="248" w:lineRule="auto"/>
        <w:ind w:left="283" w:right="14"/>
        <w:jc w:val="both"/>
      </w:pPr>
      <w:r>
        <w:rPr>
          <w:rFonts w:ascii="Times New Roman" w:eastAsia="Times New Roman" w:hAnsi="Times New Roman" w:cs="Times New Roman"/>
          <w:sz w:val="24"/>
        </w:rPr>
        <w:t xml:space="preserve">Экологиялық модельдеу (карталау), 2. Локализация, 3. Жолды жоспарлау, 4. </w:t>
      </w:r>
    </w:p>
    <w:p w:rsidR="0052701D" w:rsidRDefault="00D40929">
      <w:pPr>
        <w:spacing w:after="29" w:line="248" w:lineRule="auto"/>
        <w:ind w:left="283" w:right="14"/>
        <w:jc w:val="both"/>
      </w:pPr>
      <w:r>
        <w:rPr>
          <w:rFonts w:ascii="Times New Roman" w:eastAsia="Times New Roman" w:hAnsi="Times New Roman" w:cs="Times New Roman"/>
          <w:sz w:val="24"/>
        </w:rPr>
        <w:t xml:space="preserve">Кедергілерден аулақ болу. </w:t>
      </w:r>
    </w:p>
    <w:p w:rsidR="0052701D" w:rsidRDefault="00D40929">
      <w:pPr>
        <w:spacing w:after="29" w:line="248" w:lineRule="auto"/>
        <w:ind w:left="283" w:right="328" w:firstLine="711"/>
        <w:jc w:val="both"/>
      </w:pPr>
      <w:r>
        <w:rPr>
          <w:rFonts w:ascii="Times New Roman" w:eastAsia="Times New Roman" w:hAnsi="Times New Roman" w:cs="Times New Roman"/>
          <w:sz w:val="24"/>
        </w:rPr>
        <w:t xml:space="preserve">Сондықтан мәселе көбінесе SLAM арқылы анықталады [13]. SLAM дегенімізроботтың әртүрлі позицияларын, сондай-ақ қоршаған орта моделін бір уақытта есептеу. Картаның белгілі бір көрінісін таңдағанда, үш маңызды қатынасты ескеру қажет [1]: </w:t>
      </w:r>
    </w:p>
    <w:p w:rsidR="0052701D" w:rsidRDefault="00D40929">
      <w:pPr>
        <w:numPr>
          <w:ilvl w:val="0"/>
          <w:numId w:val="57"/>
        </w:numPr>
        <w:spacing w:after="29" w:line="248" w:lineRule="auto"/>
        <w:ind w:right="170" w:firstLine="428"/>
        <w:jc w:val="both"/>
      </w:pPr>
      <w:r>
        <w:rPr>
          <w:rFonts w:ascii="Times New Roman" w:eastAsia="Times New Roman" w:hAnsi="Times New Roman" w:cs="Times New Roman"/>
          <w:sz w:val="24"/>
        </w:rPr>
        <w:t xml:space="preserve">картаның дәлдігі оның мақсатына жеткенде роботтың қалаған дәлдігіне сәйкес келуі керек. </w:t>
      </w:r>
    </w:p>
    <w:p w:rsidR="0052701D" w:rsidRDefault="00D40929">
      <w:pPr>
        <w:numPr>
          <w:ilvl w:val="0"/>
          <w:numId w:val="57"/>
        </w:numPr>
        <w:spacing w:after="29" w:line="248" w:lineRule="auto"/>
        <w:ind w:right="170" w:firstLine="428"/>
        <w:jc w:val="both"/>
      </w:pPr>
      <w:r>
        <w:rPr>
          <w:rFonts w:ascii="Times New Roman" w:eastAsia="Times New Roman" w:hAnsi="Times New Roman" w:cs="Times New Roman"/>
          <w:sz w:val="24"/>
        </w:rPr>
        <w:t>карта ұсынған объектілер датчиктер шығаратын объектілермен сәйкес келуі тиіс. 3)</w:t>
      </w:r>
      <w:r>
        <w:rPr>
          <w:rFonts w:ascii="Arial" w:eastAsia="Arial" w:hAnsi="Arial" w:cs="Arial"/>
          <w:sz w:val="24"/>
        </w:rPr>
        <w:t xml:space="preserve"> </w:t>
      </w:r>
      <w:r>
        <w:rPr>
          <w:rFonts w:ascii="Times New Roman" w:eastAsia="Times New Roman" w:hAnsi="Times New Roman" w:cs="Times New Roman"/>
          <w:sz w:val="24"/>
        </w:rPr>
        <w:t>карта жасаудың, локализацияның және навигацияның арифметикалық тиімділігіне картаны ұс</w:t>
      </w:r>
      <w:r>
        <w:rPr>
          <w:rFonts w:ascii="Times New Roman" w:eastAsia="Times New Roman" w:hAnsi="Times New Roman" w:cs="Times New Roman"/>
          <w:sz w:val="24"/>
        </w:rPr>
        <w:t xml:space="preserve">ынудың күрделілігі тікелей әсер етеді. </w:t>
      </w:r>
    </w:p>
    <w:p w:rsidR="0052701D" w:rsidRDefault="00D40929">
      <w:pPr>
        <w:spacing w:after="2" w:line="248" w:lineRule="auto"/>
        <w:ind w:left="283" w:right="317" w:firstLine="711"/>
        <w:jc w:val="both"/>
      </w:pPr>
      <w:r>
        <w:rPr>
          <w:rFonts w:ascii="Times New Roman" w:eastAsia="Times New Roman" w:hAnsi="Times New Roman" w:cs="Times New Roman"/>
          <w:sz w:val="24"/>
        </w:rPr>
        <w:t>Мобильді робот қоршаған орта туралы білу үшін борттық сенсорларды пайдаланады. Бірақ көбінесе сенсорлардың бұл көрсеткіштеріне сенуге болмайды, яғни локализация екі себепке байланысты күрделі перспектива болып табыла</w:t>
      </w:r>
      <w:r>
        <w:rPr>
          <w:rFonts w:ascii="Times New Roman" w:eastAsia="Times New Roman" w:hAnsi="Times New Roman" w:cs="Times New Roman"/>
          <w:sz w:val="24"/>
        </w:rPr>
        <w:t xml:space="preserve">ды [1]. Біріншіден, Бұл сенсордың шуылы, уақыт өте келе сенсор көрсеткіштері төмендейді. Мұны бірнеше сенсорлардың көрсеткіштерін алу және сенсорларды біріктіруді қолдану арқылы шешуге болады әдістемесі. Екінші мәселе сенсорларды тегістеу деп аталады, бұл </w:t>
      </w:r>
      <w:r>
        <w:rPr>
          <w:rFonts w:ascii="Times New Roman" w:eastAsia="Times New Roman" w:hAnsi="Times New Roman" w:cs="Times New Roman"/>
          <w:sz w:val="24"/>
        </w:rPr>
        <w:t xml:space="preserve">адамдар сирек кездесетін мәселе, бірақ роботтарға ортақ [14]. 4-суретте локализация әдістерінің негізгі жұмыс схемасы көрсетілген. </w:t>
      </w:r>
    </w:p>
    <w:p w:rsidR="0052701D" w:rsidRDefault="00D40929">
      <w:pPr>
        <w:spacing w:after="0"/>
        <w:ind w:left="994"/>
      </w:pPr>
      <w:r>
        <w:rPr>
          <w:rFonts w:ascii="Times New Roman" w:eastAsia="Times New Roman" w:hAnsi="Times New Roman" w:cs="Times New Roman"/>
          <w:sz w:val="24"/>
        </w:rPr>
        <w:t xml:space="preserve"> </w:t>
      </w:r>
    </w:p>
    <w:p w:rsidR="0052701D" w:rsidRDefault="00D40929">
      <w:pPr>
        <w:spacing w:after="0"/>
        <w:ind w:right="1366"/>
        <w:jc w:val="right"/>
      </w:pPr>
      <w:r>
        <w:rPr>
          <w:noProof/>
        </w:rPr>
        <w:drawing>
          <wp:inline distT="0" distB="0" distL="0" distR="0">
            <wp:extent cx="4361688" cy="4648200"/>
            <wp:effectExtent l="0" t="0" r="0" b="0"/>
            <wp:docPr id="34486" name="Picture 34486"/>
            <wp:cNvGraphicFramePr/>
            <a:graphic xmlns:a="http://schemas.openxmlformats.org/drawingml/2006/main">
              <a:graphicData uri="http://schemas.openxmlformats.org/drawingml/2006/picture">
                <pic:pic xmlns:pic="http://schemas.openxmlformats.org/drawingml/2006/picture">
                  <pic:nvPicPr>
                    <pic:cNvPr id="34486" name="Picture 34486"/>
                    <pic:cNvPicPr/>
                  </pic:nvPicPr>
                  <pic:blipFill>
                    <a:blip r:embed="rId502"/>
                    <a:stretch>
                      <a:fillRect/>
                    </a:stretch>
                  </pic:blipFill>
                  <pic:spPr>
                    <a:xfrm>
                      <a:off x="0" y="0"/>
                      <a:ext cx="4361688" cy="4648200"/>
                    </a:xfrm>
                    <a:prstGeom prst="rect">
                      <a:avLst/>
                    </a:prstGeom>
                  </pic:spPr>
                </pic:pic>
              </a:graphicData>
            </a:graphic>
          </wp:inline>
        </w:drawing>
      </w:r>
      <w:r>
        <w:rPr>
          <w:rFonts w:ascii="Times New Roman" w:eastAsia="Times New Roman" w:hAnsi="Times New Roman" w:cs="Times New Roman"/>
          <w:sz w:val="24"/>
        </w:rPr>
        <w:t xml:space="preserve"> </w:t>
      </w:r>
    </w:p>
    <w:p w:rsidR="0052701D" w:rsidRDefault="00D40929">
      <w:pPr>
        <w:spacing w:after="29" w:line="248" w:lineRule="auto"/>
        <w:ind w:left="2751" w:right="14"/>
        <w:jc w:val="both"/>
      </w:pPr>
      <w:r>
        <w:rPr>
          <w:rFonts w:ascii="Times New Roman" w:eastAsia="Times New Roman" w:hAnsi="Times New Roman" w:cs="Times New Roman"/>
          <w:sz w:val="24"/>
        </w:rPr>
        <w:lastRenderedPageBreak/>
        <w:t xml:space="preserve">Сурет 4. Локализацияның негізгі блок-схемасы </w:t>
      </w:r>
    </w:p>
    <w:p w:rsidR="0052701D" w:rsidRDefault="00D40929">
      <w:pPr>
        <w:pStyle w:val="6"/>
        <w:ind w:left="1004" w:right="194"/>
      </w:pPr>
      <w:r>
        <w:t>Қорытынды</w:t>
      </w:r>
      <w:r>
        <w:rPr>
          <w:b w:val="0"/>
        </w:rPr>
        <w:t xml:space="preserve"> </w:t>
      </w:r>
    </w:p>
    <w:p w:rsidR="0052701D" w:rsidRDefault="00D40929">
      <w:pPr>
        <w:spacing w:after="29" w:line="248" w:lineRule="auto"/>
        <w:ind w:left="283" w:right="324" w:firstLine="711"/>
        <w:jc w:val="both"/>
      </w:pPr>
      <w:r>
        <w:rPr>
          <w:rFonts w:ascii="Times New Roman" w:eastAsia="Times New Roman" w:hAnsi="Times New Roman" w:cs="Times New Roman"/>
          <w:sz w:val="24"/>
        </w:rPr>
        <w:t>Әлемді модернизациялау ұлтты күнделікті міндеттерін орындау үш</w:t>
      </w:r>
      <w:r>
        <w:rPr>
          <w:rFonts w:ascii="Times New Roman" w:eastAsia="Times New Roman" w:hAnsi="Times New Roman" w:cs="Times New Roman"/>
          <w:sz w:val="24"/>
        </w:rPr>
        <w:t>ін автономды роботтарға тәуелді етеді. Қазіргі уақытта мобильді робот үйде де, өнеркәсіптік салада да танымал бола бастады. Осылайша, мобильді роботтың жұмысының дәлдігі мен сипаттамалары нақты уақыт режимінде де тиімді болуы керек. Мобильді роботтың жұмыс</w:t>
      </w:r>
      <w:r>
        <w:rPr>
          <w:rFonts w:ascii="Times New Roman" w:eastAsia="Times New Roman" w:hAnsi="Times New Roman" w:cs="Times New Roman"/>
          <w:sz w:val="24"/>
        </w:rPr>
        <w:t xml:space="preserve"> орны туралы кез-келген жаңылыстыратын ақпараты адам өміріне де, жұмыс орнына да айтарлықтай зиян келтіруі мүмкін. Сонымен, мобильді роботты модельдеу және басқару тәсілдері жүйенің кез-келген белгісіздігін немесе динамикасын жеңу үшін тиімді болуы керек. </w:t>
      </w:r>
      <w:r>
        <w:rPr>
          <w:rFonts w:ascii="Times New Roman" w:eastAsia="Times New Roman" w:hAnsi="Times New Roman" w:cs="Times New Roman"/>
          <w:sz w:val="24"/>
        </w:rPr>
        <w:t xml:space="preserve">Бұл мақалада мобильді роботты дәлірек және басқарылатын ету үшін әртүрлі салалардағы басқарудың әртүрлі тәсілдері қарастырылды. </w:t>
      </w:r>
    </w:p>
    <w:p w:rsidR="0052701D" w:rsidRDefault="00D40929">
      <w:pPr>
        <w:spacing w:after="0"/>
        <w:ind w:left="994"/>
      </w:pPr>
      <w:r>
        <w:rPr>
          <w:rFonts w:ascii="Times New Roman" w:eastAsia="Times New Roman" w:hAnsi="Times New Roman" w:cs="Times New Roman"/>
          <w:sz w:val="28"/>
        </w:rPr>
        <w:t xml:space="preserve"> </w:t>
      </w:r>
    </w:p>
    <w:p w:rsidR="0052701D" w:rsidRDefault="00D40929">
      <w:pPr>
        <w:pStyle w:val="7"/>
        <w:ind w:left="819" w:right="134"/>
      </w:pPr>
      <w:r>
        <w:t>Пайдаланылған әдебиеттер</w:t>
      </w:r>
      <w:r>
        <w:rPr>
          <w:b w:val="0"/>
        </w:rPr>
        <w:t xml:space="preserve"> </w:t>
      </w:r>
    </w:p>
    <w:p w:rsidR="0052701D" w:rsidRDefault="00D40929">
      <w:pPr>
        <w:numPr>
          <w:ilvl w:val="0"/>
          <w:numId w:val="58"/>
        </w:numPr>
        <w:spacing w:after="29" w:line="248" w:lineRule="auto"/>
        <w:ind w:right="358" w:firstLine="711"/>
        <w:jc w:val="both"/>
      </w:pPr>
      <w:r>
        <w:rPr>
          <w:rFonts w:ascii="Times New Roman" w:eastAsia="Times New Roman" w:hAnsi="Times New Roman" w:cs="Times New Roman"/>
          <w:sz w:val="24"/>
        </w:rPr>
        <w:t>R. Siegwart, I. R. Nourbakhsh, and D. Scaramuzza, «Introduction to Autonomous Mobile Robots». Cambr</w:t>
      </w:r>
      <w:r>
        <w:rPr>
          <w:rFonts w:ascii="Times New Roman" w:eastAsia="Times New Roman" w:hAnsi="Times New Roman" w:cs="Times New Roman"/>
          <w:sz w:val="24"/>
        </w:rPr>
        <w:t xml:space="preserve">idge, MA, USA: MIT Press, 2011.  </w:t>
      </w:r>
    </w:p>
    <w:p w:rsidR="0052701D" w:rsidRDefault="00D40929">
      <w:pPr>
        <w:numPr>
          <w:ilvl w:val="0"/>
          <w:numId w:val="58"/>
        </w:numPr>
        <w:spacing w:after="6" w:line="248" w:lineRule="auto"/>
        <w:ind w:right="358" w:firstLine="711"/>
        <w:jc w:val="both"/>
      </w:pPr>
      <w:r>
        <w:rPr>
          <w:rFonts w:ascii="Times New Roman" w:eastAsia="Times New Roman" w:hAnsi="Times New Roman" w:cs="Times New Roman"/>
          <w:sz w:val="24"/>
        </w:rPr>
        <w:t xml:space="preserve">F. Rubio, F. Valero, and C. Llopis-Albert, «A review of mobile robots: Concepts, methods, theoretical framework, and applications» Int. J. Adv. Robotic Syst., vol. 16, no. 2, 2019, Art. no. 1729881419839596. </w:t>
      </w:r>
    </w:p>
    <w:p w:rsidR="0052701D" w:rsidRDefault="00D40929">
      <w:pPr>
        <w:numPr>
          <w:ilvl w:val="0"/>
          <w:numId w:val="58"/>
        </w:numPr>
        <w:spacing w:after="9" w:line="248" w:lineRule="auto"/>
        <w:ind w:right="358" w:firstLine="711"/>
        <w:jc w:val="both"/>
      </w:pPr>
      <w:r>
        <w:rPr>
          <w:rFonts w:ascii="Times New Roman" w:eastAsia="Times New Roman" w:hAnsi="Times New Roman" w:cs="Times New Roman"/>
          <w:sz w:val="24"/>
        </w:rPr>
        <w:t xml:space="preserve">S. Onofre, B. Caseiro, J. P. Pimentão, and P. Sousa, «Using fuzzy logic to improve BLE indoor positioning system» in Proc. Doctoral Conf. Comput., Elect. Ind. Syst. Cham, Switzerland: Springer, 2016, pp. 169–177.  </w:t>
      </w:r>
    </w:p>
    <w:p w:rsidR="0052701D" w:rsidRDefault="00D40929">
      <w:pPr>
        <w:numPr>
          <w:ilvl w:val="0"/>
          <w:numId w:val="58"/>
        </w:numPr>
        <w:spacing w:after="0" w:line="248" w:lineRule="auto"/>
        <w:ind w:right="358" w:firstLine="711"/>
        <w:jc w:val="both"/>
      </w:pPr>
      <w:r>
        <w:rPr>
          <w:rFonts w:ascii="Times New Roman" w:eastAsia="Times New Roman" w:hAnsi="Times New Roman" w:cs="Times New Roman"/>
          <w:sz w:val="24"/>
        </w:rPr>
        <w:t>C. Chen, B. Wang, C. Xiaoxuan Lu, N. Trig</w:t>
      </w:r>
      <w:r>
        <w:rPr>
          <w:rFonts w:ascii="Times New Roman" w:eastAsia="Times New Roman" w:hAnsi="Times New Roman" w:cs="Times New Roman"/>
          <w:sz w:val="24"/>
        </w:rPr>
        <w:t xml:space="preserve">oni, and A. Markham, «A survey on deep learning for localization and mapping: Towards the age of spatial machine intelligence» </w:t>
      </w:r>
    </w:p>
    <w:p w:rsidR="0052701D" w:rsidRDefault="00D40929">
      <w:pPr>
        <w:spacing w:after="29" w:line="248" w:lineRule="auto"/>
        <w:ind w:left="283" w:right="14"/>
        <w:jc w:val="both"/>
      </w:pPr>
      <w:r>
        <w:rPr>
          <w:rFonts w:ascii="Times New Roman" w:eastAsia="Times New Roman" w:hAnsi="Times New Roman" w:cs="Times New Roman"/>
          <w:sz w:val="24"/>
        </w:rPr>
        <w:t xml:space="preserve">2020, arXiv:2006.12567. [Online]. Available: </w:t>
      </w:r>
      <w:hyperlink r:id="rId503">
        <w:r>
          <w:rPr>
            <w:rFonts w:ascii="Times New Roman" w:eastAsia="Times New Roman" w:hAnsi="Times New Roman" w:cs="Times New Roman"/>
            <w:color w:val="0563C1"/>
            <w:sz w:val="24"/>
            <w:u w:val="single" w:color="0563C1"/>
          </w:rPr>
          <w:t>http://arxiv.org/abs/2006.12567</w:t>
        </w:r>
      </w:hyperlink>
      <w:hyperlink r:id="rId504">
        <w:r>
          <w:rPr>
            <w:rFonts w:ascii="Times New Roman" w:eastAsia="Times New Roman" w:hAnsi="Times New Roman" w:cs="Times New Roman"/>
            <w:sz w:val="24"/>
          </w:rPr>
          <w:t xml:space="preserve"> </w:t>
        </w:r>
      </w:hyperlink>
      <w:r>
        <w:rPr>
          <w:rFonts w:ascii="Times New Roman" w:eastAsia="Times New Roman" w:hAnsi="Times New Roman" w:cs="Times New Roman"/>
          <w:sz w:val="24"/>
        </w:rPr>
        <w:t xml:space="preserve"> </w:t>
      </w:r>
    </w:p>
    <w:p w:rsidR="0052701D" w:rsidRDefault="00D40929">
      <w:pPr>
        <w:numPr>
          <w:ilvl w:val="0"/>
          <w:numId w:val="58"/>
        </w:numPr>
        <w:spacing w:after="5"/>
        <w:ind w:right="358" w:firstLine="711"/>
        <w:jc w:val="both"/>
      </w:pPr>
      <w:r>
        <w:rPr>
          <w:rFonts w:ascii="Times New Roman" w:eastAsia="Times New Roman" w:hAnsi="Times New Roman" w:cs="Times New Roman"/>
          <w:sz w:val="24"/>
        </w:rPr>
        <w:t xml:space="preserve">C. Cadena, L. Carlone, H. Carrillo, Y. Latif, D. Scaramuzza, J. Neira, I. Reid, and </w:t>
      </w:r>
    </w:p>
    <w:p w:rsidR="0052701D" w:rsidRDefault="00D40929">
      <w:pPr>
        <w:spacing w:after="29" w:line="248" w:lineRule="auto"/>
        <w:ind w:left="283" w:right="361"/>
        <w:jc w:val="both"/>
      </w:pPr>
      <w:r>
        <w:rPr>
          <w:rFonts w:ascii="Times New Roman" w:eastAsia="Times New Roman" w:hAnsi="Times New Roman" w:cs="Times New Roman"/>
          <w:sz w:val="24"/>
        </w:rPr>
        <w:t xml:space="preserve">J. J. Leonard, «Past, present, and future of simultaneous localization and mapping: Toward the robust-perception age» </w:t>
      </w:r>
      <w:r>
        <w:rPr>
          <w:rFonts w:ascii="Times New Roman" w:eastAsia="Times New Roman" w:hAnsi="Times New Roman" w:cs="Times New Roman"/>
          <w:sz w:val="24"/>
        </w:rPr>
        <w:t xml:space="preserve">IEEE Trans. Robot., vol. 32, no. 6, pp. 1309–1332, Dec. 2016.  [6] S. Dubey, M. Prateek, and M. Saxena, «Robot locomotion-a review» Int. J. Appl. </w:t>
      </w:r>
    </w:p>
    <w:p w:rsidR="0052701D" w:rsidRDefault="00D40929">
      <w:pPr>
        <w:spacing w:after="29" w:line="248" w:lineRule="auto"/>
        <w:ind w:left="283" w:right="14"/>
        <w:jc w:val="both"/>
      </w:pPr>
      <w:r>
        <w:rPr>
          <w:rFonts w:ascii="Times New Roman" w:eastAsia="Times New Roman" w:hAnsi="Times New Roman" w:cs="Times New Roman"/>
          <w:sz w:val="24"/>
        </w:rPr>
        <w:t xml:space="preserve">Eng. Res., vol. 10, no. 3, pp. 7357–7369, 2015 </w:t>
      </w:r>
    </w:p>
    <w:p w:rsidR="0052701D" w:rsidRDefault="00D40929">
      <w:pPr>
        <w:numPr>
          <w:ilvl w:val="0"/>
          <w:numId w:val="59"/>
        </w:numPr>
        <w:spacing w:after="6" w:line="248" w:lineRule="auto"/>
        <w:ind w:right="71" w:firstLine="711"/>
        <w:jc w:val="both"/>
      </w:pPr>
      <w:r>
        <w:rPr>
          <w:rFonts w:ascii="Times New Roman" w:eastAsia="Times New Roman" w:hAnsi="Times New Roman" w:cs="Times New Roman"/>
          <w:sz w:val="24"/>
        </w:rPr>
        <w:t>K. Sakamoto, M. Otsuki, T. Maeda, K. Yoshikawa, and T. Kubota</w:t>
      </w:r>
      <w:r>
        <w:rPr>
          <w:rFonts w:ascii="Times New Roman" w:eastAsia="Times New Roman" w:hAnsi="Times New Roman" w:cs="Times New Roman"/>
          <w:sz w:val="24"/>
        </w:rPr>
        <w:t xml:space="preserve">, «Evaluation of hopping robot performance with novel foot pad design on natural terrain for hopper development» IEEE Robot. Autom. Lett., vol. 4, no. 4, pp. 3294–3301, Oct. 2019.  </w:t>
      </w:r>
    </w:p>
    <w:p w:rsidR="0052701D" w:rsidRDefault="00D40929">
      <w:pPr>
        <w:numPr>
          <w:ilvl w:val="0"/>
          <w:numId w:val="59"/>
        </w:numPr>
        <w:spacing w:after="29" w:line="248" w:lineRule="auto"/>
        <w:ind w:right="71" w:firstLine="711"/>
        <w:jc w:val="both"/>
      </w:pPr>
      <w:r>
        <w:rPr>
          <w:rFonts w:ascii="Times New Roman" w:eastAsia="Times New Roman" w:hAnsi="Times New Roman" w:cs="Times New Roman"/>
          <w:sz w:val="24"/>
        </w:rPr>
        <w:t>T. Li, R. Calandra, D. Pathak, Y. Tian, F. Meier, and A. Rai, «Planning in</w:t>
      </w:r>
      <w:r>
        <w:rPr>
          <w:rFonts w:ascii="Times New Roman" w:eastAsia="Times New Roman" w:hAnsi="Times New Roman" w:cs="Times New Roman"/>
          <w:sz w:val="24"/>
        </w:rPr>
        <w:t xml:space="preserve"> learned latent action spaces for generalizable legged locomotion» 2020, arXiv:2008.11867. [Online]. </w:t>
      </w:r>
    </w:p>
    <w:p w:rsidR="0052701D" w:rsidRDefault="00D40929">
      <w:pPr>
        <w:spacing w:after="1"/>
        <w:ind w:left="293" w:hanging="10"/>
      </w:pPr>
      <w:r>
        <w:rPr>
          <w:rFonts w:ascii="Times New Roman" w:eastAsia="Times New Roman" w:hAnsi="Times New Roman" w:cs="Times New Roman"/>
          <w:sz w:val="24"/>
        </w:rPr>
        <w:t xml:space="preserve">Available: </w:t>
      </w:r>
      <w:hyperlink r:id="rId505">
        <w:r>
          <w:rPr>
            <w:rFonts w:ascii="Times New Roman" w:eastAsia="Times New Roman" w:hAnsi="Times New Roman" w:cs="Times New Roman"/>
            <w:color w:val="0563C1"/>
            <w:sz w:val="24"/>
            <w:u w:val="single" w:color="0563C1"/>
          </w:rPr>
          <w:t>http://arxiv.org/abs/2008.11867</w:t>
        </w:r>
      </w:hyperlink>
      <w:hyperlink r:id="rId506">
        <w:r>
          <w:rPr>
            <w:rFonts w:ascii="Times New Roman" w:eastAsia="Times New Roman" w:hAnsi="Times New Roman" w:cs="Times New Roman"/>
            <w:sz w:val="24"/>
          </w:rPr>
          <w:t xml:space="preserve"> </w:t>
        </w:r>
      </w:hyperlink>
      <w:r>
        <w:rPr>
          <w:rFonts w:ascii="Times New Roman" w:eastAsia="Times New Roman" w:hAnsi="Times New Roman" w:cs="Times New Roman"/>
          <w:sz w:val="24"/>
        </w:rPr>
        <w:t xml:space="preserve"> </w:t>
      </w:r>
    </w:p>
    <w:p w:rsidR="0052701D" w:rsidRDefault="00D40929">
      <w:pPr>
        <w:numPr>
          <w:ilvl w:val="0"/>
          <w:numId w:val="59"/>
        </w:numPr>
        <w:spacing w:after="4" w:line="245" w:lineRule="auto"/>
        <w:ind w:right="71" w:firstLine="711"/>
        <w:jc w:val="both"/>
      </w:pPr>
      <w:r>
        <w:rPr>
          <w:rFonts w:ascii="Times New Roman" w:eastAsia="Times New Roman" w:hAnsi="Times New Roman" w:cs="Times New Roman"/>
          <w:sz w:val="24"/>
        </w:rPr>
        <w:t xml:space="preserve">E. Massi, L. Vannucci, U. Albanese, M. C. Capolei, A. Vandesompele, G. Urbain, A. M. Sabatini, J. Dambre, C. Laschi, S. Tolu, and E. Falotico, «Combining evolutionary and adaptive control strategies for quadruped robotic locomotion» Frontiers Neurorobot., </w:t>
      </w:r>
      <w:r>
        <w:rPr>
          <w:rFonts w:ascii="Times New Roman" w:eastAsia="Times New Roman" w:hAnsi="Times New Roman" w:cs="Times New Roman"/>
          <w:sz w:val="24"/>
        </w:rPr>
        <w:t xml:space="preserve">vol. 13, p. 71, Aug. 2019.  </w:t>
      </w:r>
    </w:p>
    <w:p w:rsidR="0052701D" w:rsidRDefault="00D40929">
      <w:pPr>
        <w:numPr>
          <w:ilvl w:val="0"/>
          <w:numId w:val="59"/>
        </w:numPr>
        <w:spacing w:after="5"/>
        <w:ind w:right="71" w:firstLine="711"/>
        <w:jc w:val="both"/>
      </w:pPr>
      <w:r>
        <w:rPr>
          <w:rFonts w:ascii="Times New Roman" w:eastAsia="Times New Roman" w:hAnsi="Times New Roman" w:cs="Times New Roman"/>
          <w:sz w:val="24"/>
        </w:rPr>
        <w:t xml:space="preserve">E. C. Orozco-Madaleno, F. Gomez-Bravo, E. Castillo, and G. Carbone, </w:t>
      </w:r>
    </w:p>
    <w:p w:rsidR="0052701D" w:rsidRDefault="00D40929">
      <w:pPr>
        <w:spacing w:after="29" w:line="248" w:lineRule="auto"/>
        <w:ind w:left="283" w:right="14"/>
        <w:jc w:val="both"/>
      </w:pPr>
      <w:r>
        <w:rPr>
          <w:rFonts w:ascii="Times New Roman" w:eastAsia="Times New Roman" w:hAnsi="Times New Roman" w:cs="Times New Roman"/>
          <w:sz w:val="24"/>
        </w:rPr>
        <w:t xml:space="preserve">«Evaluation of locomotion performances for a mecanumwheeled hybrid hexapod robot» </w:t>
      </w:r>
    </w:p>
    <w:p w:rsidR="0052701D" w:rsidRDefault="00D40929">
      <w:pPr>
        <w:spacing w:after="29" w:line="248" w:lineRule="auto"/>
        <w:ind w:left="283" w:right="14"/>
        <w:jc w:val="both"/>
      </w:pPr>
      <w:r>
        <w:rPr>
          <w:rFonts w:ascii="Times New Roman" w:eastAsia="Times New Roman" w:hAnsi="Times New Roman" w:cs="Times New Roman"/>
          <w:sz w:val="24"/>
        </w:rPr>
        <w:t xml:space="preserve">IEEE/ASME Trans. Mechatronics, early access, Sep. 28, 2021 </w:t>
      </w:r>
    </w:p>
    <w:p w:rsidR="0052701D" w:rsidRDefault="00D40929">
      <w:pPr>
        <w:numPr>
          <w:ilvl w:val="0"/>
          <w:numId w:val="59"/>
        </w:numPr>
        <w:spacing w:after="1" w:line="248" w:lineRule="auto"/>
        <w:ind w:right="71" w:firstLine="711"/>
        <w:jc w:val="both"/>
      </w:pPr>
      <w:r>
        <w:rPr>
          <w:rFonts w:ascii="Times New Roman" w:eastAsia="Times New Roman" w:hAnsi="Times New Roman" w:cs="Times New Roman"/>
          <w:sz w:val="24"/>
        </w:rPr>
        <w:t xml:space="preserve">M. Mori and S. </w:t>
      </w:r>
      <w:r>
        <w:rPr>
          <w:rFonts w:ascii="Times New Roman" w:eastAsia="Times New Roman" w:hAnsi="Times New Roman" w:cs="Times New Roman"/>
          <w:sz w:val="24"/>
        </w:rPr>
        <w:t xml:space="preserve">Hirose, «Development of active cord mechanism ACM-R3 with agile 3D mobility» in Proc. IEEE/RSJ Int. Conf. Intell. Robots Syst. Expanding Societal Role Robot. Next Millennium, vol. 3, Oct./Nov. 2001, pp. 1552–1557 </w:t>
      </w:r>
    </w:p>
    <w:p w:rsidR="0052701D" w:rsidRDefault="00D40929">
      <w:pPr>
        <w:numPr>
          <w:ilvl w:val="0"/>
          <w:numId w:val="59"/>
        </w:numPr>
        <w:spacing w:after="29" w:line="248" w:lineRule="auto"/>
        <w:ind w:right="71" w:firstLine="711"/>
        <w:jc w:val="both"/>
      </w:pPr>
      <w:r>
        <w:rPr>
          <w:rFonts w:ascii="Times New Roman" w:eastAsia="Times New Roman" w:hAnsi="Times New Roman" w:cs="Times New Roman"/>
          <w:sz w:val="24"/>
        </w:rPr>
        <w:t>T. Ran, L. Yuan, and J. B. Zhang, «Scene p</w:t>
      </w:r>
      <w:r>
        <w:rPr>
          <w:rFonts w:ascii="Times New Roman" w:eastAsia="Times New Roman" w:hAnsi="Times New Roman" w:cs="Times New Roman"/>
          <w:sz w:val="24"/>
        </w:rPr>
        <w:t xml:space="preserve">erception based visual navigation of mobile robot in indoor environment» ISA Trans., vol. 109, pp. 389–400, Mar. 2021.  </w:t>
      </w:r>
    </w:p>
    <w:p w:rsidR="0052701D" w:rsidRDefault="00D40929">
      <w:pPr>
        <w:numPr>
          <w:ilvl w:val="0"/>
          <w:numId w:val="59"/>
        </w:numPr>
        <w:spacing w:after="29" w:line="248" w:lineRule="auto"/>
        <w:ind w:right="71" w:firstLine="711"/>
        <w:jc w:val="both"/>
      </w:pPr>
      <w:r>
        <w:rPr>
          <w:rFonts w:ascii="Times New Roman" w:eastAsia="Times New Roman" w:hAnsi="Times New Roman" w:cs="Times New Roman"/>
          <w:sz w:val="24"/>
        </w:rPr>
        <w:t>B. Yamauchi, A. Schultz, and W. Adams, «Integrating exploration and localization for mobile robots» Adapt. Behav., vol. 7, no. 2, pp. 2</w:t>
      </w:r>
      <w:r>
        <w:rPr>
          <w:rFonts w:ascii="Times New Roman" w:eastAsia="Times New Roman" w:hAnsi="Times New Roman" w:cs="Times New Roman"/>
          <w:sz w:val="24"/>
        </w:rPr>
        <w:t xml:space="preserve">17–229, Mar. 1999.  </w:t>
      </w:r>
    </w:p>
    <w:p w:rsidR="0052701D" w:rsidRDefault="00D40929">
      <w:pPr>
        <w:numPr>
          <w:ilvl w:val="0"/>
          <w:numId w:val="59"/>
        </w:numPr>
        <w:spacing w:after="29" w:line="248" w:lineRule="auto"/>
        <w:ind w:right="71" w:firstLine="711"/>
        <w:jc w:val="both"/>
      </w:pPr>
      <w:r>
        <w:rPr>
          <w:rFonts w:ascii="Times New Roman" w:eastAsia="Times New Roman" w:hAnsi="Times New Roman" w:cs="Times New Roman"/>
          <w:sz w:val="24"/>
        </w:rPr>
        <w:lastRenderedPageBreak/>
        <w:t xml:space="preserve">R. Singh and K. S. Nagla, «Comparative analysis of range sensors for the robust autonomous navigation—A review» Sensor Rev., 2019. </w:t>
      </w:r>
    </w:p>
    <w:p w:rsidR="0052701D" w:rsidRDefault="00D40929">
      <w:pPr>
        <w:spacing w:after="4" w:line="271" w:lineRule="auto"/>
        <w:ind w:left="293" w:right="194" w:hanging="10"/>
      </w:pPr>
      <w:r>
        <w:rPr>
          <w:rFonts w:ascii="Times New Roman" w:eastAsia="Times New Roman" w:hAnsi="Times New Roman" w:cs="Times New Roman"/>
          <w:b/>
          <w:sz w:val="24"/>
        </w:rPr>
        <w:t xml:space="preserve">УДК 004.056 </w:t>
      </w:r>
    </w:p>
    <w:p w:rsidR="0052701D" w:rsidRDefault="00D40929">
      <w:pPr>
        <w:spacing w:after="0"/>
        <w:ind w:left="283"/>
      </w:pPr>
      <w:r>
        <w:rPr>
          <w:rFonts w:ascii="Times New Roman" w:eastAsia="Times New Roman" w:hAnsi="Times New Roman" w:cs="Times New Roman"/>
          <w:sz w:val="28"/>
        </w:rPr>
        <w:t xml:space="preserve"> </w:t>
      </w:r>
      <w:r>
        <w:rPr>
          <w:rFonts w:ascii="Times New Roman" w:eastAsia="Times New Roman" w:hAnsi="Times New Roman" w:cs="Times New Roman"/>
          <w:sz w:val="28"/>
        </w:rPr>
        <w:tab/>
        <w:t xml:space="preserve"> </w:t>
      </w:r>
    </w:p>
    <w:p w:rsidR="0052701D" w:rsidRDefault="00D40929">
      <w:pPr>
        <w:pStyle w:val="1"/>
        <w:ind w:left="485" w:right="0" w:firstLine="9"/>
        <w:jc w:val="left"/>
      </w:pPr>
      <w:r>
        <w:t xml:space="preserve">СРАВНИТЕЛЬНЫЙ АНАЛИЗ КЛАССИЧЕСКОЙ И КВАНТОВОЙ </w:t>
      </w:r>
    </w:p>
    <w:p w:rsidR="0052701D" w:rsidRDefault="00D40929">
      <w:pPr>
        <w:spacing w:after="5" w:line="271" w:lineRule="auto"/>
        <w:ind w:left="485" w:firstLine="9"/>
      </w:pPr>
      <w:r>
        <w:rPr>
          <w:rFonts w:ascii="Times New Roman" w:eastAsia="Times New Roman" w:hAnsi="Times New Roman" w:cs="Times New Roman"/>
          <w:b/>
          <w:sz w:val="28"/>
        </w:rPr>
        <w:t xml:space="preserve">КРИПТОГРАФИИ </w:t>
      </w:r>
    </w:p>
    <w:p w:rsidR="0052701D" w:rsidRDefault="00D40929">
      <w:pPr>
        <w:spacing w:after="0"/>
        <w:ind w:left="31"/>
        <w:jc w:val="center"/>
      </w:pPr>
      <w:r>
        <w:rPr>
          <w:rFonts w:ascii="Times New Roman" w:eastAsia="Times New Roman" w:hAnsi="Times New Roman" w:cs="Times New Roman"/>
          <w:b/>
          <w:sz w:val="28"/>
        </w:rPr>
        <w:t xml:space="preserve"> </w:t>
      </w:r>
    </w:p>
    <w:p w:rsidR="0052701D" w:rsidRDefault="00D40929">
      <w:pPr>
        <w:pStyle w:val="1"/>
        <w:spacing w:after="88" w:line="248" w:lineRule="auto"/>
        <w:ind w:left="713" w:right="744" w:hanging="5"/>
      </w:pPr>
      <w:r>
        <w:rPr>
          <w:b w:val="0"/>
          <w:sz w:val="24"/>
        </w:rPr>
        <w:t>Кусаинов Ануар Бауржанович</w:t>
      </w:r>
      <w:r>
        <w:rPr>
          <w:b w:val="0"/>
          <w:sz w:val="24"/>
          <w:vertAlign w:val="superscript"/>
        </w:rPr>
        <w:t>1</w:t>
      </w:r>
      <w:r>
        <w:rPr>
          <w:b w:val="0"/>
          <w:sz w:val="24"/>
        </w:rPr>
        <w:t xml:space="preserve"> </w:t>
      </w:r>
    </w:p>
    <w:p w:rsidR="0052701D" w:rsidRDefault="00D40929">
      <w:pPr>
        <w:spacing w:after="55" w:line="248" w:lineRule="auto"/>
        <w:ind w:left="713" w:right="749" w:hanging="5"/>
        <w:jc w:val="center"/>
      </w:pPr>
      <w:r>
        <w:rPr>
          <w:rFonts w:ascii="Times New Roman" w:eastAsia="Times New Roman" w:hAnsi="Times New Roman" w:cs="Times New Roman"/>
          <w:sz w:val="24"/>
        </w:rPr>
        <w:t xml:space="preserve">НАО «Алматинский университет энергетики и связи им.Гумарбека Даукеева»,  </w:t>
      </w:r>
    </w:p>
    <w:p w:rsidR="0052701D" w:rsidRDefault="00D40929">
      <w:pPr>
        <w:spacing w:after="61" w:line="248" w:lineRule="auto"/>
        <w:ind w:left="2760" w:right="2734" w:hanging="5"/>
        <w:jc w:val="center"/>
      </w:pPr>
      <w:r>
        <w:rPr>
          <w:rFonts w:ascii="Times New Roman" w:eastAsia="Times New Roman" w:hAnsi="Times New Roman" w:cs="Times New Roman"/>
          <w:sz w:val="24"/>
        </w:rPr>
        <w:t xml:space="preserve">г. Алматы, Республика Казахстан </w:t>
      </w:r>
      <w:r>
        <w:rPr>
          <w:rFonts w:ascii="Times New Roman" w:eastAsia="Times New Roman" w:hAnsi="Times New Roman" w:cs="Times New Roman"/>
          <w:i/>
          <w:sz w:val="24"/>
        </w:rPr>
        <w:t xml:space="preserve">e-mail: </w:t>
      </w:r>
      <w:r>
        <w:rPr>
          <w:rFonts w:ascii="Times New Roman" w:eastAsia="Times New Roman" w:hAnsi="Times New Roman" w:cs="Times New Roman"/>
          <w:i/>
          <w:sz w:val="24"/>
          <w:vertAlign w:val="superscript"/>
        </w:rPr>
        <w:t>1</w:t>
      </w:r>
      <w:r>
        <w:rPr>
          <w:rFonts w:ascii="Times New Roman" w:eastAsia="Times New Roman" w:hAnsi="Times New Roman" w:cs="Times New Roman"/>
          <w:i/>
          <w:sz w:val="24"/>
          <w:u w:val="single" w:color="000000"/>
        </w:rPr>
        <w:t>a.kussainov@aues.kz</w:t>
      </w:r>
      <w:r>
        <w:rPr>
          <w:rFonts w:ascii="Times New Roman" w:eastAsia="Times New Roman" w:hAnsi="Times New Roman" w:cs="Times New Roman"/>
          <w:i/>
          <w:sz w:val="24"/>
        </w:rPr>
        <w:t xml:space="preserve"> </w:t>
      </w:r>
    </w:p>
    <w:p w:rsidR="0052701D" w:rsidRDefault="00D40929">
      <w:pPr>
        <w:spacing w:after="0"/>
        <w:ind w:left="283"/>
      </w:pPr>
      <w:r>
        <w:rPr>
          <w:rFonts w:ascii="Times New Roman" w:eastAsia="Times New Roman" w:hAnsi="Times New Roman" w:cs="Times New Roman"/>
          <w:b/>
          <w:color w:val="FF0000"/>
          <w:sz w:val="28"/>
        </w:rPr>
        <w:t xml:space="preserve"> </w:t>
      </w:r>
    </w:p>
    <w:p w:rsidR="0052701D" w:rsidRDefault="00D40929">
      <w:pPr>
        <w:spacing w:after="55" w:line="248" w:lineRule="auto"/>
        <w:ind w:left="283" w:right="319" w:firstLine="711"/>
        <w:jc w:val="both"/>
      </w:pPr>
      <w:r>
        <w:rPr>
          <w:rFonts w:ascii="Times New Roman" w:eastAsia="Times New Roman" w:hAnsi="Times New Roman" w:cs="Times New Roman"/>
          <w:b/>
          <w:i/>
          <w:sz w:val="24"/>
        </w:rPr>
        <w:t xml:space="preserve">Аннотация. </w:t>
      </w:r>
      <w:r>
        <w:rPr>
          <w:rFonts w:ascii="Times New Roman" w:eastAsia="Times New Roman" w:hAnsi="Times New Roman" w:cs="Times New Roman"/>
          <w:i/>
          <w:sz w:val="24"/>
        </w:rPr>
        <w:t xml:space="preserve">Квантовая криптография — </w:t>
      </w:r>
      <w:r>
        <w:rPr>
          <w:rFonts w:ascii="Times New Roman" w:eastAsia="Times New Roman" w:hAnsi="Times New Roman" w:cs="Times New Roman"/>
          <w:i/>
          <w:sz w:val="24"/>
        </w:rPr>
        <w:t>это подход к обеспечению безопасности связи с применением явлений квантовой физики. Квантовая криптография обеспечивает безопасную связь, защищенность которой зависит только от «справедливости» квантовой теории, т. е. гарантируется непосредственно законами</w:t>
      </w:r>
      <w:r>
        <w:rPr>
          <w:rFonts w:ascii="Times New Roman" w:eastAsia="Times New Roman" w:hAnsi="Times New Roman" w:cs="Times New Roman"/>
          <w:i/>
          <w:sz w:val="24"/>
        </w:rPr>
        <w:t xml:space="preserve"> физики. Это существенное отличие от любых классических криптографических методов. В этой статье обобщается текущее состояние квантовой криптографии и приводятся возможные расширения ее применимости в качестве механизма защиты существующих систем. </w:t>
      </w:r>
    </w:p>
    <w:p w:rsidR="0052701D" w:rsidRDefault="00D40929">
      <w:pPr>
        <w:spacing w:after="29" w:line="248" w:lineRule="auto"/>
        <w:ind w:left="283" w:right="323" w:firstLine="711"/>
        <w:jc w:val="both"/>
      </w:pPr>
      <w:r>
        <w:rPr>
          <w:rFonts w:ascii="Times New Roman" w:eastAsia="Times New Roman" w:hAnsi="Times New Roman" w:cs="Times New Roman"/>
          <w:b/>
          <w:i/>
          <w:sz w:val="24"/>
        </w:rPr>
        <w:t>Ключевы</w:t>
      </w:r>
      <w:r>
        <w:rPr>
          <w:rFonts w:ascii="Times New Roman" w:eastAsia="Times New Roman" w:hAnsi="Times New Roman" w:cs="Times New Roman"/>
          <w:b/>
          <w:i/>
          <w:sz w:val="24"/>
        </w:rPr>
        <w:t>е слова:</w:t>
      </w:r>
      <w:r>
        <w:rPr>
          <w:rFonts w:ascii="Times New Roman" w:eastAsia="Times New Roman" w:hAnsi="Times New Roman" w:cs="Times New Roman"/>
          <w:i/>
          <w:sz w:val="24"/>
        </w:rPr>
        <w:t xml:space="preserve"> симметричные криптосистемы, квантовое распределение ключей, квантовая аутентификация, неклонируемое шифрование, алгоритм Шора, протокол Майерса, квантовые ретрансляторы.</w:t>
      </w:r>
      <w:r>
        <w:rPr>
          <w:rFonts w:ascii="Times New Roman" w:eastAsia="Times New Roman" w:hAnsi="Times New Roman" w:cs="Times New Roman"/>
          <w:i/>
          <w:sz w:val="36"/>
        </w:rPr>
        <w:t xml:space="preserve"> </w:t>
      </w:r>
    </w:p>
    <w:p w:rsidR="0052701D" w:rsidRDefault="00D40929">
      <w:pPr>
        <w:spacing w:after="0"/>
        <w:ind w:left="994"/>
      </w:pPr>
      <w:r>
        <w:rPr>
          <w:rFonts w:ascii="Times New Roman" w:eastAsia="Times New Roman" w:hAnsi="Times New Roman" w:cs="Times New Roman"/>
          <w:sz w:val="28"/>
        </w:rPr>
        <w:t xml:space="preserve"> </w:t>
      </w:r>
    </w:p>
    <w:p w:rsidR="0052701D" w:rsidRDefault="00D40929">
      <w:pPr>
        <w:spacing w:after="5" w:line="271" w:lineRule="auto"/>
        <w:ind w:left="173" w:right="216" w:hanging="10"/>
        <w:jc w:val="center"/>
      </w:pPr>
      <w:r>
        <w:rPr>
          <w:rFonts w:ascii="Times New Roman" w:eastAsia="Times New Roman" w:hAnsi="Times New Roman" w:cs="Times New Roman"/>
          <w:b/>
          <w:sz w:val="28"/>
        </w:rPr>
        <w:t xml:space="preserve">COMPARATIVE ANALYSIS OF CLASSICAL AND QUANTUM CRYPTOGRAPHY </w:t>
      </w:r>
    </w:p>
    <w:p w:rsidR="0052701D" w:rsidRDefault="00D40929">
      <w:pPr>
        <w:spacing w:after="0"/>
        <w:ind w:left="31"/>
        <w:jc w:val="center"/>
      </w:pPr>
      <w:r>
        <w:rPr>
          <w:rFonts w:ascii="Times New Roman" w:eastAsia="Times New Roman" w:hAnsi="Times New Roman" w:cs="Times New Roman"/>
          <w:b/>
          <w:sz w:val="28"/>
        </w:rPr>
        <w:t xml:space="preserve"> </w:t>
      </w:r>
    </w:p>
    <w:p w:rsidR="0052701D" w:rsidRDefault="00D40929">
      <w:pPr>
        <w:spacing w:after="42" w:line="248" w:lineRule="auto"/>
        <w:ind w:left="713" w:right="749" w:hanging="5"/>
        <w:jc w:val="center"/>
      </w:pPr>
      <w:r>
        <w:rPr>
          <w:rFonts w:ascii="Times New Roman" w:eastAsia="Times New Roman" w:hAnsi="Times New Roman" w:cs="Times New Roman"/>
          <w:sz w:val="24"/>
        </w:rPr>
        <w:t>Kussainov Anuar Baurzhanovich</w:t>
      </w:r>
      <w:r>
        <w:rPr>
          <w:rFonts w:ascii="Times New Roman" w:eastAsia="Times New Roman" w:hAnsi="Times New Roman" w:cs="Times New Roman"/>
          <w:sz w:val="24"/>
          <w:vertAlign w:val="superscript"/>
        </w:rPr>
        <w:t>1</w:t>
      </w:r>
      <w:r>
        <w:rPr>
          <w:rFonts w:ascii="Times New Roman" w:eastAsia="Times New Roman" w:hAnsi="Times New Roman" w:cs="Times New Roman"/>
          <w:sz w:val="24"/>
        </w:rPr>
        <w:t xml:space="preserve"> </w:t>
      </w:r>
    </w:p>
    <w:p w:rsidR="0052701D" w:rsidRDefault="00D40929">
      <w:pPr>
        <w:spacing w:after="52" w:line="248" w:lineRule="auto"/>
        <w:ind w:left="1295" w:right="1201" w:hanging="5"/>
        <w:jc w:val="center"/>
      </w:pPr>
      <w:r>
        <w:rPr>
          <w:rFonts w:ascii="Times New Roman" w:eastAsia="Times New Roman" w:hAnsi="Times New Roman" w:cs="Times New Roman"/>
          <w:sz w:val="24"/>
        </w:rPr>
        <w:t xml:space="preserve">Almaty University of Power Engineering and Telecommunications  named after Gumarbek Daukeev, Almaty, Republic of Kazakhstan  e-mail: </w:t>
      </w:r>
      <w:r>
        <w:rPr>
          <w:rFonts w:ascii="Times New Roman" w:eastAsia="Times New Roman" w:hAnsi="Times New Roman" w:cs="Times New Roman"/>
          <w:sz w:val="24"/>
          <w:u w:val="single" w:color="000000"/>
        </w:rPr>
        <w:t>a.kussainov@aues.kz</w:t>
      </w:r>
      <w:r>
        <w:rPr>
          <w:rFonts w:ascii="Times New Roman" w:eastAsia="Times New Roman" w:hAnsi="Times New Roman" w:cs="Times New Roman"/>
          <w:sz w:val="24"/>
        </w:rPr>
        <w:t xml:space="preserve"> </w:t>
      </w:r>
    </w:p>
    <w:p w:rsidR="0052701D" w:rsidRDefault="00D40929">
      <w:pPr>
        <w:spacing w:after="0"/>
        <w:ind w:left="31"/>
        <w:jc w:val="center"/>
      </w:pPr>
      <w:r>
        <w:rPr>
          <w:rFonts w:ascii="Times New Roman" w:eastAsia="Times New Roman" w:hAnsi="Times New Roman" w:cs="Times New Roman"/>
          <w:b/>
          <w:sz w:val="28"/>
        </w:rPr>
        <w:t xml:space="preserve"> </w:t>
      </w:r>
    </w:p>
    <w:p w:rsidR="0052701D" w:rsidRDefault="00D40929">
      <w:pPr>
        <w:spacing w:after="29" w:line="248" w:lineRule="auto"/>
        <w:ind w:left="283" w:right="320" w:firstLine="711"/>
        <w:jc w:val="both"/>
      </w:pPr>
      <w:r>
        <w:rPr>
          <w:rFonts w:ascii="Times New Roman" w:eastAsia="Times New Roman" w:hAnsi="Times New Roman" w:cs="Times New Roman"/>
          <w:b/>
          <w:i/>
          <w:sz w:val="24"/>
        </w:rPr>
        <w:t xml:space="preserve">Annotation. </w:t>
      </w:r>
      <w:r>
        <w:rPr>
          <w:rFonts w:ascii="Times New Roman" w:eastAsia="Times New Roman" w:hAnsi="Times New Roman" w:cs="Times New Roman"/>
          <w:i/>
          <w:sz w:val="24"/>
        </w:rPr>
        <w:t>Quantum cryptography is an approach to secure communicat</w:t>
      </w:r>
      <w:r>
        <w:rPr>
          <w:rFonts w:ascii="Times New Roman" w:eastAsia="Times New Roman" w:hAnsi="Times New Roman" w:cs="Times New Roman"/>
          <w:i/>
          <w:sz w:val="24"/>
        </w:rPr>
        <w:t>ions using the phenomena of quantum physics. Quantum cryptography provides secure communication, the security of which depends only on the "fairness" of quantum theory, that is, guaranteed directly by the laws of physics. This is a significant difference f</w:t>
      </w:r>
      <w:r>
        <w:rPr>
          <w:rFonts w:ascii="Times New Roman" w:eastAsia="Times New Roman" w:hAnsi="Times New Roman" w:cs="Times New Roman"/>
          <w:i/>
          <w:sz w:val="24"/>
        </w:rPr>
        <w:t xml:space="preserve">rom any classical cryptographic methods. This article summarizes the current state of quantum cryptography and provides possible extensions of its applicability as a security mechanism for existing systems. </w:t>
      </w:r>
    </w:p>
    <w:p w:rsidR="0052701D" w:rsidRDefault="00D40929">
      <w:pPr>
        <w:spacing w:after="29" w:line="248" w:lineRule="auto"/>
        <w:ind w:left="283" w:firstLine="711"/>
        <w:jc w:val="both"/>
      </w:pPr>
      <w:r>
        <w:rPr>
          <w:rFonts w:ascii="Times New Roman" w:eastAsia="Times New Roman" w:hAnsi="Times New Roman" w:cs="Times New Roman"/>
          <w:b/>
          <w:i/>
          <w:sz w:val="24"/>
        </w:rPr>
        <w:t xml:space="preserve">Keywords: </w:t>
      </w:r>
      <w:r>
        <w:rPr>
          <w:rFonts w:ascii="Times New Roman" w:eastAsia="Times New Roman" w:hAnsi="Times New Roman" w:cs="Times New Roman"/>
          <w:i/>
          <w:sz w:val="24"/>
        </w:rPr>
        <w:t>symmetric cryptosystems, quantum key d</w:t>
      </w:r>
      <w:r>
        <w:rPr>
          <w:rFonts w:ascii="Times New Roman" w:eastAsia="Times New Roman" w:hAnsi="Times New Roman" w:cs="Times New Roman"/>
          <w:i/>
          <w:sz w:val="24"/>
        </w:rPr>
        <w:t xml:space="preserve">istribution, quantum authentication, non-cloneable encryption, Shor algorithm, Myers protocol, quantum repeaters. </w:t>
      </w:r>
    </w:p>
    <w:p w:rsidR="0052701D" w:rsidRDefault="00D40929">
      <w:pPr>
        <w:spacing w:after="34"/>
        <w:ind w:left="994"/>
      </w:pPr>
      <w:r>
        <w:rPr>
          <w:rFonts w:ascii="Times New Roman" w:eastAsia="Times New Roman" w:hAnsi="Times New Roman" w:cs="Times New Roman"/>
          <w:sz w:val="28"/>
        </w:rPr>
        <w:t xml:space="preserve"> </w:t>
      </w:r>
    </w:p>
    <w:p w:rsidR="0052701D" w:rsidRDefault="00D40929">
      <w:pPr>
        <w:spacing w:after="3"/>
        <w:ind w:left="1004" w:hanging="10"/>
      </w:pPr>
      <w:r>
        <w:rPr>
          <w:rFonts w:ascii="Times New Roman" w:eastAsia="Times New Roman" w:hAnsi="Times New Roman" w:cs="Times New Roman"/>
          <w:b/>
          <w:i/>
          <w:sz w:val="28"/>
        </w:rPr>
        <w:t xml:space="preserve">Введение </w:t>
      </w:r>
    </w:p>
    <w:p w:rsidR="0052701D" w:rsidRDefault="00D40929">
      <w:pPr>
        <w:spacing w:after="29" w:line="248" w:lineRule="auto"/>
        <w:ind w:left="283" w:right="325" w:firstLine="711"/>
        <w:jc w:val="both"/>
      </w:pPr>
      <w:r>
        <w:rPr>
          <w:rFonts w:ascii="Times New Roman" w:eastAsia="Times New Roman" w:hAnsi="Times New Roman" w:cs="Times New Roman"/>
          <w:sz w:val="24"/>
        </w:rPr>
        <w:t>Физика квантовой криптографии открывает дверь в чрезвычайно интригующие возможности для криптографии, искусства и науки общения в</w:t>
      </w:r>
      <w:r>
        <w:rPr>
          <w:rFonts w:ascii="Times New Roman" w:eastAsia="Times New Roman" w:hAnsi="Times New Roman" w:cs="Times New Roman"/>
          <w:sz w:val="24"/>
        </w:rPr>
        <w:t xml:space="preserve"> присутствии злоумышленников. Интересные характеристики квантовой механики включают существование неделимых квантов и запутанных систем, оба из которых лежат в основе квантовой криптографии (КК). КК — одно из немногих коммерческих применений квантовой физи</w:t>
      </w:r>
      <w:r>
        <w:rPr>
          <w:rFonts w:ascii="Times New Roman" w:eastAsia="Times New Roman" w:hAnsi="Times New Roman" w:cs="Times New Roman"/>
          <w:sz w:val="24"/>
        </w:rPr>
        <w:t xml:space="preserve">ки на отдельном квантовом уровне. </w:t>
      </w:r>
    </w:p>
    <w:p w:rsidR="0052701D" w:rsidRDefault="00D40929">
      <w:pPr>
        <w:spacing w:after="0" w:line="296" w:lineRule="auto"/>
        <w:ind w:left="283" w:right="14" w:firstLine="711"/>
        <w:jc w:val="both"/>
      </w:pPr>
      <w:r>
        <w:rPr>
          <w:rFonts w:ascii="Times New Roman" w:eastAsia="Times New Roman" w:hAnsi="Times New Roman" w:cs="Times New Roman"/>
          <w:sz w:val="24"/>
        </w:rPr>
        <w:lastRenderedPageBreak/>
        <w:t xml:space="preserve">Применения квантовой механики к криптографии, распределяются в трех направлениях: </w:t>
      </w:r>
    </w:p>
    <w:p w:rsidR="0052701D" w:rsidRDefault="00D40929">
      <w:pPr>
        <w:numPr>
          <w:ilvl w:val="0"/>
          <w:numId w:val="60"/>
        </w:numPr>
        <w:spacing w:after="0" w:line="297" w:lineRule="auto"/>
        <w:ind w:right="322" w:firstLine="711"/>
        <w:jc w:val="both"/>
      </w:pPr>
      <w:r>
        <w:rPr>
          <w:rFonts w:ascii="Times New Roman" w:eastAsia="Times New Roman" w:hAnsi="Times New Roman" w:cs="Times New Roman"/>
          <w:sz w:val="24"/>
        </w:rPr>
        <w:t xml:space="preserve">Квантовая механика может использоваться для взлома классических криптографических протоколов (как в случае квантового факторинга). </w:t>
      </w:r>
    </w:p>
    <w:p w:rsidR="0052701D" w:rsidRDefault="00D40929">
      <w:pPr>
        <w:numPr>
          <w:ilvl w:val="0"/>
          <w:numId w:val="60"/>
        </w:numPr>
        <w:spacing w:after="29" w:line="248" w:lineRule="auto"/>
        <w:ind w:right="322" w:firstLine="711"/>
        <w:jc w:val="both"/>
      </w:pPr>
      <w:r>
        <w:rPr>
          <w:rFonts w:ascii="Times New Roman" w:eastAsia="Times New Roman" w:hAnsi="Times New Roman" w:cs="Times New Roman"/>
          <w:sz w:val="24"/>
        </w:rPr>
        <w:t xml:space="preserve">Квантовые состояния могут сделать возможными новые или улучшенные криптографические протоколы, защищающие классическую информацию (например, с квантовым распределением ключей или неклонируемым шифрованием). </w:t>
      </w:r>
    </w:p>
    <w:p w:rsidR="0052701D" w:rsidRDefault="00D40929">
      <w:pPr>
        <w:numPr>
          <w:ilvl w:val="0"/>
          <w:numId w:val="60"/>
        </w:numPr>
        <w:spacing w:after="29" w:line="248" w:lineRule="auto"/>
        <w:ind w:right="322" w:firstLine="711"/>
        <w:jc w:val="both"/>
      </w:pPr>
      <w:r>
        <w:rPr>
          <w:rFonts w:ascii="Times New Roman" w:eastAsia="Times New Roman" w:hAnsi="Times New Roman" w:cs="Times New Roman"/>
          <w:sz w:val="24"/>
        </w:rPr>
        <w:t>Криптографические методы могут применяться для з</w:t>
      </w:r>
      <w:r>
        <w:rPr>
          <w:rFonts w:ascii="Times New Roman" w:eastAsia="Times New Roman" w:hAnsi="Times New Roman" w:cs="Times New Roman"/>
          <w:sz w:val="24"/>
        </w:rPr>
        <w:t xml:space="preserve">ащиты квантовой информации вместо классической информации. Примеры включают в себя схемы разделения квантовых секретов и протоколы квантовой аутентификации. </w:t>
      </w:r>
    </w:p>
    <w:p w:rsidR="0052701D" w:rsidRDefault="00D40929">
      <w:pPr>
        <w:spacing w:after="109" w:line="248" w:lineRule="auto"/>
        <w:ind w:left="283" w:right="325" w:firstLine="711"/>
        <w:jc w:val="both"/>
      </w:pPr>
      <w:r>
        <w:rPr>
          <w:rFonts w:ascii="Times New Roman" w:eastAsia="Times New Roman" w:hAnsi="Times New Roman" w:cs="Times New Roman"/>
          <w:sz w:val="24"/>
        </w:rPr>
        <w:t>В данной статье производится исследование различия между классическими криптографическими методами</w:t>
      </w:r>
      <w:r>
        <w:rPr>
          <w:rFonts w:ascii="Times New Roman" w:eastAsia="Times New Roman" w:hAnsi="Times New Roman" w:cs="Times New Roman"/>
          <w:sz w:val="24"/>
        </w:rPr>
        <w:t xml:space="preserve"> и квантовой криптографией, а также потенциальные преимущества и области применения каждого из них. В разделе 2 представляются атрибуты классической криптографии и ее отличие от квантовой криптографии, а в разделе 3 подводятся итоги квантового распределени</w:t>
      </w:r>
      <w:r>
        <w:rPr>
          <w:rFonts w:ascii="Times New Roman" w:eastAsia="Times New Roman" w:hAnsi="Times New Roman" w:cs="Times New Roman"/>
          <w:sz w:val="24"/>
        </w:rPr>
        <w:t xml:space="preserve">я ключей и квантовой запутанности. Разделы 4 и 5 описывают квантовые криптографические протоколы, подслушивание, и основные тезисы текущего прогресса и дебютов квантовых криптосетей. </w:t>
      </w:r>
    </w:p>
    <w:p w:rsidR="0052701D" w:rsidRDefault="00D40929">
      <w:pPr>
        <w:spacing w:after="3"/>
        <w:ind w:left="1004" w:hanging="10"/>
      </w:pPr>
      <w:r>
        <w:rPr>
          <w:rFonts w:ascii="Times New Roman" w:eastAsia="Times New Roman" w:hAnsi="Times New Roman" w:cs="Times New Roman"/>
          <w:b/>
          <w:i/>
          <w:sz w:val="28"/>
        </w:rPr>
        <w:t xml:space="preserve">Основная часть </w:t>
      </w:r>
    </w:p>
    <w:p w:rsidR="0052701D" w:rsidRDefault="00D40929">
      <w:pPr>
        <w:spacing w:after="29" w:line="248" w:lineRule="auto"/>
        <w:ind w:left="283" w:right="320" w:firstLine="711"/>
        <w:jc w:val="both"/>
      </w:pPr>
      <w:r>
        <w:rPr>
          <w:rFonts w:ascii="Times New Roman" w:eastAsia="Times New Roman" w:hAnsi="Times New Roman" w:cs="Times New Roman"/>
          <w:sz w:val="24"/>
        </w:rPr>
        <w:t>Криптография — это метод преобразование сообщения непоня</w:t>
      </w:r>
      <w:r>
        <w:rPr>
          <w:rFonts w:ascii="Times New Roman" w:eastAsia="Times New Roman" w:hAnsi="Times New Roman" w:cs="Times New Roman"/>
          <w:sz w:val="24"/>
        </w:rPr>
        <w:t>тным для любой неавторизованной стороны, основным применением которого является отправка секретных сообщений. Помимо конфиденциальности применение криптографии распространяется на достижение более широких целей, таких как аутентификация и цифровые подписи.</w:t>
      </w:r>
      <w:r>
        <w:rPr>
          <w:rFonts w:ascii="Times New Roman" w:eastAsia="Times New Roman" w:hAnsi="Times New Roman" w:cs="Times New Roman"/>
          <w:sz w:val="24"/>
        </w:rPr>
        <w:t xml:space="preserve"> Чтобы достичь данные цели были разработаны алгоритмы (криптосистемы или шифры) для объединения сообщения с некоторой дополнительной информацией (известной как ключ) и создания криптограммы. </w:t>
      </w:r>
    </w:p>
    <w:p w:rsidR="0052701D" w:rsidRDefault="00D40929">
      <w:pPr>
        <w:spacing w:after="29" w:line="248" w:lineRule="auto"/>
        <w:ind w:left="283" w:right="323" w:firstLine="711"/>
        <w:jc w:val="both"/>
      </w:pPr>
      <w:r>
        <w:rPr>
          <w:rFonts w:ascii="Times New Roman" w:eastAsia="Times New Roman" w:hAnsi="Times New Roman" w:cs="Times New Roman"/>
          <w:sz w:val="24"/>
        </w:rPr>
        <w:t>Многие криптографические системы основаны на вычислительных пред</w:t>
      </w:r>
      <w:r>
        <w:rPr>
          <w:rFonts w:ascii="Times New Roman" w:eastAsia="Times New Roman" w:hAnsi="Times New Roman" w:cs="Times New Roman"/>
          <w:sz w:val="24"/>
        </w:rPr>
        <w:t>положениях. Расшифровка эквивалентна решению какой-то вычислительно сложной задачи, на которую нельзя ответить за полиномиальное время при некоторых параметрах безопасности. Центральной проблемой криптографии является проблема распределения ключей, для кот</w:t>
      </w:r>
      <w:r>
        <w:rPr>
          <w:rFonts w:ascii="Times New Roman" w:eastAsia="Times New Roman" w:hAnsi="Times New Roman" w:cs="Times New Roman"/>
          <w:sz w:val="24"/>
        </w:rPr>
        <w:t xml:space="preserve">орой по существу есть два решения: одно основано на математике, классической криптографии, и одно основано на физике (квантовая криптография). В то время как классическая криптография опирается на вычислительную сложность факторизации больших целых чисел, </w:t>
      </w:r>
      <w:r>
        <w:rPr>
          <w:rFonts w:ascii="Times New Roman" w:eastAsia="Times New Roman" w:hAnsi="Times New Roman" w:cs="Times New Roman"/>
          <w:sz w:val="24"/>
        </w:rPr>
        <w:t xml:space="preserve">квантовая криптография опирается на то, что мы считаем универсальными законами квантовой механики.  </w:t>
      </w:r>
    </w:p>
    <w:p w:rsidR="0052701D" w:rsidRDefault="00D40929">
      <w:pPr>
        <w:spacing w:after="29" w:line="248" w:lineRule="auto"/>
        <w:ind w:left="283" w:right="317" w:firstLine="711"/>
        <w:jc w:val="both"/>
      </w:pPr>
      <w:r>
        <w:rPr>
          <w:rFonts w:ascii="Times New Roman" w:eastAsia="Times New Roman" w:hAnsi="Times New Roman" w:cs="Times New Roman"/>
          <w:sz w:val="24"/>
        </w:rPr>
        <w:t>Эти классические криптосистемы бывают двух видов: симметричные системы и асимметричные системы. Безопасность криптосистем с открытым ключом основана на выч</w:t>
      </w:r>
      <w:r>
        <w:rPr>
          <w:rFonts w:ascii="Times New Roman" w:eastAsia="Times New Roman" w:hAnsi="Times New Roman" w:cs="Times New Roman"/>
          <w:sz w:val="24"/>
        </w:rPr>
        <w:t>ислительной сложности. Идея состоит в том, чтобы использовать математические объекты, называемые односторонними функциями. До сих пор никто не доказал существование какой-либо односторонней функции с лазейкой; таким образом, существование безопасных асимме</w:t>
      </w:r>
      <w:r>
        <w:rPr>
          <w:rFonts w:ascii="Times New Roman" w:eastAsia="Times New Roman" w:hAnsi="Times New Roman" w:cs="Times New Roman"/>
          <w:sz w:val="24"/>
        </w:rPr>
        <w:t>тричных криптосистем не доказано. Это представляет серьезную угрозу для этих криптосистем. Например, внезапный прорыв в математике может мгновенно обесценить электронные деньги. Чтобы ограничить такие экономические и социальные риски, нет другой альтернати</w:t>
      </w:r>
      <w:r>
        <w:rPr>
          <w:rFonts w:ascii="Times New Roman" w:eastAsia="Times New Roman" w:hAnsi="Times New Roman" w:cs="Times New Roman"/>
          <w:sz w:val="24"/>
        </w:rPr>
        <w:t xml:space="preserve">вы, кроме как обратиться к симметричным криптосистемам. Контроль качества играет определенную роль в таких альтернативных системах. </w:t>
      </w:r>
    </w:p>
    <w:p w:rsidR="0052701D" w:rsidRDefault="00D40929">
      <w:pPr>
        <w:spacing w:after="54" w:line="248" w:lineRule="auto"/>
        <w:ind w:left="283" w:right="318" w:firstLine="711"/>
        <w:jc w:val="both"/>
      </w:pPr>
      <w:r>
        <w:rPr>
          <w:rFonts w:ascii="Times New Roman" w:eastAsia="Times New Roman" w:hAnsi="Times New Roman" w:cs="Times New Roman"/>
          <w:sz w:val="24"/>
        </w:rPr>
        <w:t xml:space="preserve">Симметричные шифры требуют использования одного ключа как для шифрования, так и для дешифрования. Симметричные криптосистемы, используемые для рутинных приложений, таких как электронная коммерция, используют довольно </w:t>
      </w:r>
      <w:r>
        <w:rPr>
          <w:rFonts w:ascii="Times New Roman" w:eastAsia="Times New Roman" w:hAnsi="Times New Roman" w:cs="Times New Roman"/>
          <w:sz w:val="24"/>
        </w:rPr>
        <w:lastRenderedPageBreak/>
        <w:t>короткие ключи. Как и асимметричные кри</w:t>
      </w:r>
      <w:r>
        <w:rPr>
          <w:rFonts w:ascii="Times New Roman" w:eastAsia="Times New Roman" w:hAnsi="Times New Roman" w:cs="Times New Roman"/>
          <w:sz w:val="24"/>
        </w:rPr>
        <w:t>птосистемы, они обеспечивают только вычислительную безопасность. Однако при заданной длине ключа симметричные системы более безопасны, чем их асимметричные аналоги. В практических реализациях асимметричные алгоритмы используются не столько для шифрования и</w:t>
      </w:r>
      <w:r>
        <w:rPr>
          <w:rFonts w:ascii="Times New Roman" w:eastAsia="Times New Roman" w:hAnsi="Times New Roman" w:cs="Times New Roman"/>
          <w:sz w:val="24"/>
        </w:rPr>
        <w:t>з-за их медлительности, сколько для распределения сеансовых ключей для симметричных криптосистем. Поскольку безопасность этих алгоритмов не доказана, безопасность всей реализации может быть поставлена под угрозу. Если бы эти алгоритмы были взломаны математ</w:t>
      </w:r>
      <w:r>
        <w:rPr>
          <w:rFonts w:ascii="Times New Roman" w:eastAsia="Times New Roman" w:hAnsi="Times New Roman" w:cs="Times New Roman"/>
          <w:sz w:val="24"/>
        </w:rPr>
        <w:t xml:space="preserve">ическими достижениями, контроль качества стал бы единственным способом решить проблему распределения ключей. </w:t>
      </w:r>
    </w:p>
    <w:p w:rsidR="0052701D" w:rsidRDefault="00D40929">
      <w:pPr>
        <w:spacing w:after="55" w:line="248" w:lineRule="auto"/>
        <w:ind w:left="994" w:right="14"/>
        <w:jc w:val="both"/>
      </w:pPr>
      <w:r>
        <w:rPr>
          <w:rFonts w:ascii="Times New Roman" w:eastAsia="Times New Roman" w:hAnsi="Times New Roman" w:cs="Times New Roman"/>
          <w:sz w:val="24"/>
        </w:rPr>
        <w:t xml:space="preserve">Криптография с секретным ключом: </w:t>
      </w:r>
    </w:p>
    <w:p w:rsidR="0052701D" w:rsidRDefault="00D40929">
      <w:pPr>
        <w:numPr>
          <w:ilvl w:val="0"/>
          <w:numId w:val="61"/>
        </w:numPr>
        <w:spacing w:after="56" w:line="248" w:lineRule="auto"/>
        <w:ind w:right="14"/>
        <w:jc w:val="both"/>
      </w:pPr>
      <w:r>
        <w:rPr>
          <w:rFonts w:ascii="Times New Roman" w:eastAsia="Times New Roman" w:hAnsi="Times New Roman" w:cs="Times New Roman"/>
          <w:sz w:val="24"/>
        </w:rPr>
        <w:t xml:space="preserve">Требуется безопасный канал для распространения ключей </w:t>
      </w:r>
    </w:p>
    <w:p w:rsidR="0052701D" w:rsidRDefault="00D40929">
      <w:pPr>
        <w:numPr>
          <w:ilvl w:val="0"/>
          <w:numId w:val="61"/>
        </w:numPr>
        <w:spacing w:after="56" w:line="248" w:lineRule="auto"/>
        <w:ind w:right="14"/>
        <w:jc w:val="both"/>
      </w:pPr>
      <w:r>
        <w:rPr>
          <w:rFonts w:ascii="Times New Roman" w:eastAsia="Times New Roman" w:hAnsi="Times New Roman" w:cs="Times New Roman"/>
          <w:sz w:val="24"/>
        </w:rPr>
        <w:t xml:space="preserve">В принципе любой классический канал можно контролировать пассивно. </w:t>
      </w:r>
    </w:p>
    <w:p w:rsidR="0052701D" w:rsidRDefault="00D40929">
      <w:pPr>
        <w:numPr>
          <w:ilvl w:val="0"/>
          <w:numId w:val="61"/>
        </w:numPr>
        <w:spacing w:after="0" w:line="297" w:lineRule="auto"/>
        <w:ind w:right="14"/>
        <w:jc w:val="both"/>
      </w:pPr>
      <w:r>
        <w:rPr>
          <w:rFonts w:ascii="Times New Roman" w:eastAsia="Times New Roman" w:hAnsi="Times New Roman" w:cs="Times New Roman"/>
          <w:sz w:val="24"/>
        </w:rPr>
        <w:t xml:space="preserve">Безопасность в основном основана на сложных непроверенных алгоритмах. Криптография с открытым ключом: </w:t>
      </w:r>
    </w:p>
    <w:p w:rsidR="0052701D" w:rsidRDefault="00D40929">
      <w:pPr>
        <w:numPr>
          <w:ilvl w:val="0"/>
          <w:numId w:val="61"/>
        </w:numPr>
        <w:spacing w:after="52" w:line="248" w:lineRule="auto"/>
        <w:ind w:right="14"/>
        <w:jc w:val="both"/>
      </w:pPr>
      <w:r>
        <w:rPr>
          <w:rFonts w:ascii="Times New Roman" w:eastAsia="Times New Roman" w:hAnsi="Times New Roman" w:cs="Times New Roman"/>
          <w:sz w:val="24"/>
        </w:rPr>
        <w:t xml:space="preserve">Безопасность основана на недоказанных математических допущениях. </w:t>
      </w:r>
    </w:p>
    <w:p w:rsidR="0052701D" w:rsidRDefault="00D40929">
      <w:pPr>
        <w:spacing w:after="55" w:line="248" w:lineRule="auto"/>
        <w:ind w:left="283" w:right="14"/>
        <w:jc w:val="both"/>
      </w:pPr>
      <w:r>
        <w:rPr>
          <w:rFonts w:ascii="Times New Roman" w:eastAsia="Times New Roman" w:hAnsi="Times New Roman" w:cs="Times New Roman"/>
          <w:sz w:val="24"/>
        </w:rPr>
        <w:t xml:space="preserve">(например, в шифре </w:t>
      </w:r>
      <w:r>
        <w:rPr>
          <w:rFonts w:ascii="Times New Roman" w:eastAsia="Times New Roman" w:hAnsi="Times New Roman" w:cs="Times New Roman"/>
          <w:sz w:val="24"/>
        </w:rPr>
        <w:t xml:space="preserve">RSA сложность факторизации больших чисел) </w:t>
      </w:r>
    </w:p>
    <w:p w:rsidR="0052701D" w:rsidRDefault="00D40929">
      <w:pPr>
        <w:numPr>
          <w:ilvl w:val="0"/>
          <w:numId w:val="61"/>
        </w:numPr>
        <w:spacing w:after="29" w:line="248" w:lineRule="auto"/>
        <w:ind w:right="14"/>
        <w:jc w:val="both"/>
      </w:pPr>
      <w:r>
        <w:rPr>
          <w:rFonts w:ascii="Times New Roman" w:eastAsia="Times New Roman" w:hAnsi="Times New Roman" w:cs="Times New Roman"/>
          <w:sz w:val="24"/>
        </w:rPr>
        <w:t xml:space="preserve">Взлом делает сообщения небезопасными задним числом. </w:t>
      </w:r>
    </w:p>
    <w:p w:rsidR="0052701D" w:rsidRDefault="00D40929">
      <w:pPr>
        <w:spacing w:after="54" w:line="248" w:lineRule="auto"/>
        <w:ind w:left="283" w:right="316" w:firstLine="711"/>
        <w:jc w:val="both"/>
      </w:pPr>
      <w:r>
        <w:rPr>
          <w:rFonts w:ascii="Times New Roman" w:eastAsia="Times New Roman" w:hAnsi="Times New Roman" w:cs="Times New Roman"/>
          <w:sz w:val="24"/>
        </w:rPr>
        <w:t>Основное преимущество квантовой криптографии заключается в том, что она обеспечивает абсолютно безопасную передачу данных. Первое успешное квантовое криптографи</w:t>
      </w:r>
      <w:r>
        <w:rPr>
          <w:rFonts w:ascii="Times New Roman" w:eastAsia="Times New Roman" w:hAnsi="Times New Roman" w:cs="Times New Roman"/>
          <w:sz w:val="24"/>
        </w:rPr>
        <w:t xml:space="preserve">ческое устройство могло преобразовать секретный ключ длиной более 30 сантиметров, используя поляризованный свет, кристалл(ы) кальцита и другие электрооптические устройства. </w:t>
      </w:r>
    </w:p>
    <w:p w:rsidR="0052701D" w:rsidRDefault="00D40929">
      <w:pPr>
        <w:spacing w:after="54" w:line="248" w:lineRule="auto"/>
        <w:ind w:left="283" w:right="317" w:firstLine="711"/>
        <w:jc w:val="both"/>
      </w:pPr>
      <w:r>
        <w:rPr>
          <w:rFonts w:ascii="Times New Roman" w:eastAsia="Times New Roman" w:hAnsi="Times New Roman" w:cs="Times New Roman"/>
          <w:sz w:val="24"/>
        </w:rPr>
        <w:t xml:space="preserve">Запутанность — </w:t>
      </w:r>
      <w:r>
        <w:rPr>
          <w:rFonts w:ascii="Times New Roman" w:eastAsia="Times New Roman" w:hAnsi="Times New Roman" w:cs="Times New Roman"/>
          <w:sz w:val="24"/>
        </w:rPr>
        <w:t>это своего рода квантовая корреляция, в определенном смысле более сильная, чем любая классическая. Если некоторая квантовая система, состоящая из нескольких подсистем, находится в запутанном состоянии (даже в чистом запутанном состоянии), то ее отдельные п</w:t>
      </w:r>
      <w:r>
        <w:rPr>
          <w:rFonts w:ascii="Times New Roman" w:eastAsia="Times New Roman" w:hAnsi="Times New Roman" w:cs="Times New Roman"/>
          <w:sz w:val="24"/>
        </w:rPr>
        <w:t xml:space="preserve">одсистемы не могут быть описаны чисто квантовыми состояниями. Запутанные состояния могут использоваться для квантового распределения ключей и квантовой телепортации. </w:t>
      </w:r>
    </w:p>
    <w:p w:rsidR="0052701D" w:rsidRDefault="00D40929">
      <w:pPr>
        <w:spacing w:after="29" w:line="248" w:lineRule="auto"/>
        <w:ind w:left="283" w:right="323" w:firstLine="711"/>
        <w:jc w:val="both"/>
      </w:pPr>
      <w:r>
        <w:rPr>
          <w:rFonts w:ascii="Times New Roman" w:eastAsia="Times New Roman" w:hAnsi="Times New Roman" w:cs="Times New Roman"/>
          <w:sz w:val="24"/>
        </w:rPr>
        <w:t>Квантовая запутанность — это квантово-механическое явление, при котором квант двух или бо</w:t>
      </w:r>
      <w:r>
        <w:rPr>
          <w:rFonts w:ascii="Times New Roman" w:eastAsia="Times New Roman" w:hAnsi="Times New Roman" w:cs="Times New Roman"/>
          <w:sz w:val="24"/>
        </w:rPr>
        <w:t>лее объектов должен быть описан относительно друг друга, даже если отдельные объекты могут быть пространственно разделены. Это приводит к корреляциям между наблюдаемыми физическими свойствами систем. В результате кажется, что измерения, выполненные в одной</w:t>
      </w:r>
      <w:r>
        <w:rPr>
          <w:rFonts w:ascii="Times New Roman" w:eastAsia="Times New Roman" w:hAnsi="Times New Roman" w:cs="Times New Roman"/>
          <w:sz w:val="24"/>
        </w:rPr>
        <w:t xml:space="preserve"> системе, мгновенно влияют на другие системы, связанные с ней. </w:t>
      </w:r>
    </w:p>
    <w:p w:rsidR="0052701D" w:rsidRDefault="00D40929">
      <w:pPr>
        <w:spacing w:after="56" w:line="248" w:lineRule="auto"/>
        <w:ind w:left="283" w:right="327" w:firstLine="711"/>
        <w:jc w:val="both"/>
      </w:pPr>
      <w:r>
        <w:rPr>
          <w:rFonts w:ascii="Times New Roman" w:eastAsia="Times New Roman" w:hAnsi="Times New Roman" w:cs="Times New Roman"/>
          <w:sz w:val="24"/>
        </w:rPr>
        <w:t>Квантовая механика также имеет множество криптографических приложений. Наиболее известным является квантовое распределение ключей (КРК), которое позволяет Алисе и Бобу создать безопасный класс</w:t>
      </w:r>
      <w:r>
        <w:rPr>
          <w:rFonts w:ascii="Times New Roman" w:eastAsia="Times New Roman" w:hAnsi="Times New Roman" w:cs="Times New Roman"/>
          <w:sz w:val="24"/>
        </w:rPr>
        <w:t>ический секретный ключ, несмотря на потенциальное присутствие перехватчика. КРК требует только незащищенного квантового канала и аутентифицированных (но незашифрованных) классических каналов, но, к сожалению, требует нескольких раундов обратной связи между</w:t>
      </w:r>
      <w:r>
        <w:rPr>
          <w:rFonts w:ascii="Times New Roman" w:eastAsia="Times New Roman" w:hAnsi="Times New Roman" w:cs="Times New Roman"/>
          <w:sz w:val="24"/>
        </w:rPr>
        <w:t xml:space="preserve"> Алисой и Бобом. </w:t>
      </w:r>
    </w:p>
    <w:p w:rsidR="0052701D" w:rsidRDefault="00D40929">
      <w:pPr>
        <w:spacing w:after="52" w:line="248" w:lineRule="auto"/>
        <w:ind w:left="283" w:right="320" w:firstLine="711"/>
        <w:jc w:val="both"/>
      </w:pPr>
      <w:r>
        <w:rPr>
          <w:rFonts w:ascii="Times New Roman" w:eastAsia="Times New Roman" w:hAnsi="Times New Roman" w:cs="Times New Roman"/>
          <w:sz w:val="24"/>
        </w:rPr>
        <w:t>КРК — это средство распространения ключей от одной стороны к другой и обнаружения подслушивания. Это позволяет двум сторонам установить общий случайный секретный ключ, используя тот факт, что квантовая механика не позволяет с уверенностью</w:t>
      </w:r>
      <w:r>
        <w:rPr>
          <w:rFonts w:ascii="Times New Roman" w:eastAsia="Times New Roman" w:hAnsi="Times New Roman" w:cs="Times New Roman"/>
          <w:sz w:val="24"/>
        </w:rPr>
        <w:t xml:space="preserve"> различать неортогональные состояния. В рамках классической физики информацию, закодированную в свойстве классического объекта, можно получить, не влияя на состояние объекта. Однако, если информация закодирована в свойстве квантового объекта, любая попытка</w:t>
      </w:r>
      <w:r>
        <w:rPr>
          <w:rFonts w:ascii="Times New Roman" w:eastAsia="Times New Roman" w:hAnsi="Times New Roman" w:cs="Times New Roman"/>
          <w:sz w:val="24"/>
        </w:rPr>
        <w:t xml:space="preserve"> выделить его неортогональные состояния неизбежно изменит исходное состояние с ненулевой вероятностью. А поскольку подслушивание </w:t>
      </w:r>
      <w:r>
        <w:rPr>
          <w:rFonts w:ascii="Times New Roman" w:eastAsia="Times New Roman" w:hAnsi="Times New Roman" w:cs="Times New Roman"/>
          <w:sz w:val="24"/>
        </w:rPr>
        <w:lastRenderedPageBreak/>
        <w:t>также подчиняется законам квантовой механики, эти изменения вызывают ошибки в передаче и выявляют подслушивающего. КРК не может</w:t>
      </w:r>
      <w:r>
        <w:rPr>
          <w:rFonts w:ascii="Times New Roman" w:eastAsia="Times New Roman" w:hAnsi="Times New Roman" w:cs="Times New Roman"/>
          <w:sz w:val="24"/>
        </w:rPr>
        <w:t xml:space="preserve"> предотвратить подслушивание, но позволяет законным пользователям обнаружить его. При обнаружении любого подслушивания ключ просто выбрасывается и генерируется новый. Никакой утечки информации не происходит, так как ключ представляет собой просто случайную</w:t>
      </w:r>
      <w:r>
        <w:rPr>
          <w:rFonts w:ascii="Times New Roman" w:eastAsia="Times New Roman" w:hAnsi="Times New Roman" w:cs="Times New Roman"/>
          <w:sz w:val="24"/>
        </w:rPr>
        <w:t xml:space="preserve"> последовательность.     </w:t>
      </w:r>
    </w:p>
    <w:p w:rsidR="0052701D" w:rsidRDefault="00D40929">
      <w:pPr>
        <w:spacing w:after="29" w:line="248" w:lineRule="auto"/>
        <w:ind w:left="283" w:right="319" w:firstLine="711"/>
        <w:jc w:val="both"/>
      </w:pPr>
      <w:r>
        <w:rPr>
          <w:rFonts w:ascii="Times New Roman" w:eastAsia="Times New Roman" w:hAnsi="Times New Roman" w:cs="Times New Roman"/>
          <w:sz w:val="24"/>
        </w:rPr>
        <w:t>Первичное предлагаемое приложение создает секретный ключ, который затем используется с одноразовым блокнотом для отправки безопасных сообщений. Можно обеспечить безопасную связь, используя одноразовые блокноты в сочетании с кванто</w:t>
      </w:r>
      <w:r>
        <w:rPr>
          <w:rFonts w:ascii="Times New Roman" w:eastAsia="Times New Roman" w:hAnsi="Times New Roman" w:cs="Times New Roman"/>
          <w:sz w:val="24"/>
        </w:rPr>
        <w:t>вым распределением ключей. Основным недостатком классических одноразовых блокнотов является распределение ключей шифрования/дешифрования, и это не проблема для квантовой криптографии, поскольку мы можем передавать данные ключей полностью безопасным способо</w:t>
      </w:r>
      <w:r>
        <w:rPr>
          <w:rFonts w:ascii="Times New Roman" w:eastAsia="Times New Roman" w:hAnsi="Times New Roman" w:cs="Times New Roman"/>
          <w:sz w:val="24"/>
        </w:rPr>
        <w:t xml:space="preserve">м. </w:t>
      </w:r>
    </w:p>
    <w:p w:rsidR="0052701D" w:rsidRDefault="00D40929">
      <w:pPr>
        <w:spacing w:after="29" w:line="248" w:lineRule="auto"/>
        <w:ind w:left="283" w:right="318" w:firstLine="711"/>
        <w:jc w:val="both"/>
      </w:pPr>
      <w:r>
        <w:rPr>
          <w:rFonts w:ascii="Times New Roman" w:eastAsia="Times New Roman" w:hAnsi="Times New Roman" w:cs="Times New Roman"/>
          <w:sz w:val="24"/>
        </w:rPr>
        <w:t>Один из самых известных протоколов квантового распределения ключей обычно называют BB84, так как он был предложен Беннеттом и Брассардом в 1984 году. В BB84 Алиса отправляет Бобу случайную последовательность квантовых битов (или кубитов). Эти квантовые</w:t>
      </w:r>
      <w:r>
        <w:rPr>
          <w:rFonts w:ascii="Times New Roman" w:eastAsia="Times New Roman" w:hAnsi="Times New Roman" w:cs="Times New Roman"/>
          <w:sz w:val="24"/>
        </w:rPr>
        <w:t xml:space="preserve"> биты с равной вероятностью могут находиться в одном из четырех возможных состояний, см. таблицу 1. </w:t>
      </w:r>
    </w:p>
    <w:p w:rsidR="0052701D" w:rsidRDefault="00D40929">
      <w:pPr>
        <w:spacing w:after="42"/>
        <w:ind w:left="21"/>
        <w:jc w:val="center"/>
      </w:pPr>
      <w:r>
        <w:rPr>
          <w:rFonts w:ascii="Times New Roman" w:eastAsia="Times New Roman" w:hAnsi="Times New Roman" w:cs="Times New Roman"/>
          <w:b/>
          <w:sz w:val="24"/>
        </w:rPr>
        <w:t xml:space="preserve"> </w:t>
      </w:r>
    </w:p>
    <w:p w:rsidR="0052701D" w:rsidRDefault="00D40929">
      <w:pPr>
        <w:spacing w:after="29" w:line="248" w:lineRule="auto"/>
        <w:ind w:left="989" w:right="14"/>
        <w:jc w:val="both"/>
      </w:pPr>
      <w:r>
        <w:rPr>
          <w:rFonts w:ascii="Times New Roman" w:eastAsia="Times New Roman" w:hAnsi="Times New Roman" w:cs="Times New Roman"/>
          <w:sz w:val="24"/>
        </w:rPr>
        <w:t>Таблица 1 - Состояния квантовых битов</w:t>
      </w:r>
      <w:r>
        <w:rPr>
          <w:rFonts w:ascii="Times New Roman" w:eastAsia="Times New Roman" w:hAnsi="Times New Roman" w:cs="Times New Roman"/>
          <w:color w:val="FF0000"/>
          <w:sz w:val="24"/>
        </w:rPr>
        <w:t xml:space="preserve"> </w:t>
      </w:r>
    </w:p>
    <w:tbl>
      <w:tblPr>
        <w:tblStyle w:val="TableGrid"/>
        <w:tblW w:w="9066" w:type="dxa"/>
        <w:tblInd w:w="288" w:type="dxa"/>
        <w:tblCellMar>
          <w:top w:w="7" w:type="dxa"/>
          <w:left w:w="110" w:type="dxa"/>
          <w:bottom w:w="0" w:type="dxa"/>
          <w:right w:w="115" w:type="dxa"/>
        </w:tblCellMar>
        <w:tblLook w:val="04A0" w:firstRow="1" w:lastRow="0" w:firstColumn="1" w:lastColumn="0" w:noHBand="0" w:noVBand="1"/>
      </w:tblPr>
      <w:tblGrid>
        <w:gridCol w:w="3030"/>
        <w:gridCol w:w="3010"/>
        <w:gridCol w:w="3026"/>
      </w:tblGrid>
      <w:tr w:rsidR="0052701D">
        <w:trPr>
          <w:trHeight w:val="283"/>
        </w:trPr>
        <w:tc>
          <w:tcPr>
            <w:tcW w:w="3030"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Состояние </w:t>
            </w:r>
          </w:p>
        </w:tc>
        <w:tc>
          <w:tcPr>
            <w:tcW w:w="3010"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Базис  </w:t>
            </w:r>
          </w:p>
        </w:tc>
        <w:tc>
          <w:tcPr>
            <w:tcW w:w="30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Значение </w:t>
            </w:r>
          </w:p>
        </w:tc>
      </w:tr>
      <w:tr w:rsidR="0052701D">
        <w:trPr>
          <w:trHeight w:val="288"/>
        </w:trPr>
        <w:tc>
          <w:tcPr>
            <w:tcW w:w="3030"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|0&gt; </w:t>
            </w:r>
          </w:p>
        </w:tc>
        <w:tc>
          <w:tcPr>
            <w:tcW w:w="3010"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Z </w:t>
            </w:r>
          </w:p>
        </w:tc>
        <w:tc>
          <w:tcPr>
            <w:tcW w:w="30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0 </w:t>
            </w:r>
          </w:p>
        </w:tc>
      </w:tr>
      <w:tr w:rsidR="0052701D">
        <w:trPr>
          <w:trHeight w:val="284"/>
        </w:trPr>
        <w:tc>
          <w:tcPr>
            <w:tcW w:w="3030"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|1&gt; </w:t>
            </w:r>
          </w:p>
        </w:tc>
        <w:tc>
          <w:tcPr>
            <w:tcW w:w="3010"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Z </w:t>
            </w:r>
          </w:p>
        </w:tc>
        <w:tc>
          <w:tcPr>
            <w:tcW w:w="30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1 </w:t>
            </w:r>
          </w:p>
        </w:tc>
      </w:tr>
      <w:tr w:rsidR="0052701D">
        <w:trPr>
          <w:trHeight w:val="288"/>
        </w:trPr>
        <w:tc>
          <w:tcPr>
            <w:tcW w:w="3030"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|0&gt; + |1&gt; </w:t>
            </w:r>
          </w:p>
        </w:tc>
        <w:tc>
          <w:tcPr>
            <w:tcW w:w="3010"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X </w:t>
            </w:r>
          </w:p>
        </w:tc>
        <w:tc>
          <w:tcPr>
            <w:tcW w:w="30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0 </w:t>
            </w:r>
          </w:p>
        </w:tc>
      </w:tr>
      <w:tr w:rsidR="0052701D">
        <w:trPr>
          <w:trHeight w:val="288"/>
        </w:trPr>
        <w:tc>
          <w:tcPr>
            <w:tcW w:w="3030"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|0&gt; - |1&gt; </w:t>
            </w:r>
          </w:p>
        </w:tc>
        <w:tc>
          <w:tcPr>
            <w:tcW w:w="3010"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X </w:t>
            </w:r>
          </w:p>
        </w:tc>
        <w:tc>
          <w:tcPr>
            <w:tcW w:w="30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1 </w:t>
            </w:r>
          </w:p>
        </w:tc>
      </w:tr>
    </w:tbl>
    <w:p w:rsidR="0052701D" w:rsidRDefault="00D40929">
      <w:pPr>
        <w:spacing w:after="0"/>
        <w:ind w:left="283"/>
      </w:pPr>
      <w:r>
        <w:rPr>
          <w:rFonts w:ascii="Times New Roman" w:eastAsia="Times New Roman" w:hAnsi="Times New Roman" w:cs="Times New Roman"/>
          <w:sz w:val="24"/>
        </w:rPr>
        <w:t xml:space="preserve"> </w:t>
      </w:r>
    </w:p>
    <w:p w:rsidR="0052701D" w:rsidRDefault="00D40929">
      <w:pPr>
        <w:spacing w:after="29" w:line="248" w:lineRule="auto"/>
        <w:ind w:left="283" w:right="323" w:firstLine="711"/>
        <w:jc w:val="both"/>
      </w:pPr>
      <w:r>
        <w:rPr>
          <w:rFonts w:ascii="Times New Roman" w:eastAsia="Times New Roman" w:hAnsi="Times New Roman" w:cs="Times New Roman"/>
          <w:sz w:val="24"/>
        </w:rPr>
        <w:t xml:space="preserve">Когда Боб получает кубит, он случайным образом выбирает, измерять его либо в базисе Z, либо в базисе X, и записывает результаты. Затем Алиса объявляет, из какой базы пришло состояние, которое она отправила (столбец «Базис» в таблице), но не из того, каким </w:t>
      </w:r>
      <w:r>
        <w:rPr>
          <w:rFonts w:ascii="Times New Roman" w:eastAsia="Times New Roman" w:hAnsi="Times New Roman" w:cs="Times New Roman"/>
          <w:sz w:val="24"/>
        </w:rPr>
        <w:t>на самом деле было состояние, а Боб объявляет, в какой базе он измерил. Если Боб измерил в той же базе, которую использовала Алиса, он должен был получить результат в столбце «Значение» таблицы. Алиса и Боб сохраняют результаты, для которых они использовал</w:t>
      </w:r>
      <w:r>
        <w:rPr>
          <w:rFonts w:ascii="Times New Roman" w:eastAsia="Times New Roman" w:hAnsi="Times New Roman" w:cs="Times New Roman"/>
          <w:sz w:val="24"/>
        </w:rPr>
        <w:t xml:space="preserve">и ту же основу, и отбрасывают остальные биты. В отсутствие ошибок и подслушивания теперь у них есть идентичная строка битов, которая может действовать как их закрытый ключ. </w:t>
      </w:r>
    </w:p>
    <w:p w:rsidR="0052701D" w:rsidRDefault="00D40929">
      <w:pPr>
        <w:spacing w:after="29" w:line="248" w:lineRule="auto"/>
        <w:ind w:left="283" w:right="321" w:firstLine="711"/>
        <w:jc w:val="both"/>
      </w:pPr>
      <w:r>
        <w:rPr>
          <w:rFonts w:ascii="Times New Roman" w:eastAsia="Times New Roman" w:hAnsi="Times New Roman" w:cs="Times New Roman"/>
          <w:sz w:val="24"/>
        </w:rPr>
        <w:t>Но обратите внимание, что умная Ева может использовать множество возможных стратег</w:t>
      </w:r>
      <w:r>
        <w:rPr>
          <w:rFonts w:ascii="Times New Roman" w:eastAsia="Times New Roman" w:hAnsi="Times New Roman" w:cs="Times New Roman"/>
          <w:sz w:val="24"/>
        </w:rPr>
        <w:t>ий, чтобы обмануть Алису и Боба, включая тонкие квантовые атаки, запутывающие все частицы, посланные Алисой. Учесть все возможности, а также влияние реальных несовершенств в аппаратуре и канале Алисы и Боба на момент проведения эксперимента было практическ</w:t>
      </w:r>
      <w:r>
        <w:rPr>
          <w:rFonts w:ascii="Times New Roman" w:eastAsia="Times New Roman" w:hAnsi="Times New Roman" w:cs="Times New Roman"/>
          <w:sz w:val="24"/>
        </w:rPr>
        <w:t xml:space="preserve">и невозможно. За прошедшие годы появилась длинная серия частичных результатов, касающихся ограниченных наборов стратегий Евы, но только в последние несколько лет появились полные доказательства. </w:t>
      </w:r>
    </w:p>
    <w:p w:rsidR="0052701D" w:rsidRDefault="00D40929">
      <w:pPr>
        <w:spacing w:after="29" w:line="248" w:lineRule="auto"/>
        <w:ind w:left="283" w:right="14" w:firstLine="711"/>
        <w:jc w:val="both"/>
      </w:pPr>
      <w:r>
        <w:rPr>
          <w:rFonts w:ascii="Times New Roman" w:eastAsia="Times New Roman" w:hAnsi="Times New Roman" w:cs="Times New Roman"/>
          <w:sz w:val="24"/>
        </w:rPr>
        <w:t>Интерес к квантовой криптографии возник с началом изучения к</w:t>
      </w:r>
      <w:r>
        <w:rPr>
          <w:rFonts w:ascii="Times New Roman" w:eastAsia="Times New Roman" w:hAnsi="Times New Roman" w:cs="Times New Roman"/>
          <w:sz w:val="24"/>
        </w:rPr>
        <w:t>вантовых алгоритмов (алгоритмы Шора, для целочисленной факторизации и дискретного логарифмирования), которые могут подвергнуть атакам в пользу классических криптосистем. Квантовые криптографические протоколы разрабатываются с расчетом на то, что их безопас</w:t>
      </w:r>
      <w:r>
        <w:rPr>
          <w:rFonts w:ascii="Times New Roman" w:eastAsia="Times New Roman" w:hAnsi="Times New Roman" w:cs="Times New Roman"/>
          <w:sz w:val="24"/>
        </w:rPr>
        <w:t>ность гарантируется законами квантовой физики. Из этого следует, что необходимо привнести доказательство для протокола квантовой криптографии, что это действительно так, и показательным результатом в ранее упомянутом доказательстве является протокол Майерс</w:t>
      </w:r>
      <w:r>
        <w:rPr>
          <w:rFonts w:ascii="Times New Roman" w:eastAsia="Times New Roman" w:hAnsi="Times New Roman" w:cs="Times New Roman"/>
          <w:sz w:val="24"/>
        </w:rPr>
        <w:t xml:space="preserve">а, направленный на безусловную безопасность протокола </w:t>
      </w:r>
      <w:r>
        <w:rPr>
          <w:rFonts w:ascii="Times New Roman" w:eastAsia="Times New Roman" w:hAnsi="Times New Roman" w:cs="Times New Roman"/>
          <w:sz w:val="24"/>
        </w:rPr>
        <w:lastRenderedPageBreak/>
        <w:t>распределения квантовых ключей «BB84». Данный протокол гарантирует безопасность BB84 в присутствии злоумышленника, который совершает операцию, разрешенную квантовой физикой; из чего следует, что защищен</w:t>
      </w:r>
      <w:r>
        <w:rPr>
          <w:rFonts w:ascii="Times New Roman" w:eastAsia="Times New Roman" w:hAnsi="Times New Roman" w:cs="Times New Roman"/>
          <w:sz w:val="24"/>
        </w:rPr>
        <w:t xml:space="preserve">ность протокола не будет скомпрометирована будущими разработками в области квантовых вычислений.  </w:t>
      </w:r>
    </w:p>
    <w:p w:rsidR="0052701D" w:rsidRDefault="00D40929">
      <w:pPr>
        <w:spacing w:after="29" w:line="248" w:lineRule="auto"/>
        <w:ind w:left="283" w:right="323" w:firstLine="711"/>
        <w:jc w:val="both"/>
      </w:pPr>
      <w:r>
        <w:rPr>
          <w:rFonts w:ascii="Times New Roman" w:eastAsia="Times New Roman" w:hAnsi="Times New Roman" w:cs="Times New Roman"/>
          <w:sz w:val="24"/>
        </w:rPr>
        <w:t xml:space="preserve">Из результатов классической криптографии можно предположить, что при переходе к реализации нового разработанного протокола могут возникнуть множество ошибок </w:t>
      </w:r>
      <w:r>
        <w:rPr>
          <w:rFonts w:ascii="Times New Roman" w:eastAsia="Times New Roman" w:hAnsi="Times New Roman" w:cs="Times New Roman"/>
          <w:sz w:val="24"/>
        </w:rPr>
        <w:t>в системе безопасности. Например, система может неверно скомпилировать введенный протокол; могут возникнуть ошибки защищенности системы, которые проявляются на уровне реализации и не распознаются на уровне теории, используемой в доказательствах; ошибки так</w:t>
      </w:r>
      <w:r>
        <w:rPr>
          <w:rFonts w:ascii="Times New Roman" w:eastAsia="Times New Roman" w:hAnsi="Times New Roman" w:cs="Times New Roman"/>
          <w:sz w:val="24"/>
        </w:rPr>
        <w:t xml:space="preserve">же могут возникать на границах между системами и между компонентами, которые имеют разные модели выполнения или представления данных. </w:t>
      </w:r>
    </w:p>
    <w:p w:rsidR="0052701D" w:rsidRDefault="00D40929">
      <w:pPr>
        <w:spacing w:after="29" w:line="248" w:lineRule="auto"/>
        <w:ind w:left="283" w:right="320" w:firstLine="711"/>
        <w:jc w:val="both"/>
      </w:pPr>
      <w:r>
        <w:rPr>
          <w:rFonts w:ascii="Times New Roman" w:eastAsia="Times New Roman" w:hAnsi="Times New Roman" w:cs="Times New Roman"/>
          <w:sz w:val="24"/>
        </w:rPr>
        <w:t>Существуют классические решения для небезопасной связи, и все они основаны на том или ином предположении о вычислительной</w:t>
      </w:r>
      <w:r>
        <w:rPr>
          <w:rFonts w:ascii="Times New Roman" w:eastAsia="Times New Roman" w:hAnsi="Times New Roman" w:cs="Times New Roman"/>
          <w:sz w:val="24"/>
        </w:rPr>
        <w:t xml:space="preserve"> мощности мошенника, количестве мошенников и т.д. Основываясь на квантовом распределении ключей, можно надеяться, что квантовый компьютер позволит нам ослабить или устранить эти предположения. Например, можно сделать квантовую цифровую подпись, защищенную </w:t>
      </w:r>
      <w:r>
        <w:rPr>
          <w:rFonts w:ascii="Times New Roman" w:eastAsia="Times New Roman" w:hAnsi="Times New Roman" w:cs="Times New Roman"/>
          <w:sz w:val="24"/>
        </w:rPr>
        <w:t xml:space="preserve">от всех атак, разрешенных квантовой механикой. </w:t>
      </w:r>
    </w:p>
    <w:p w:rsidR="0052701D" w:rsidRDefault="00D40929">
      <w:pPr>
        <w:spacing w:after="29" w:line="248" w:lineRule="auto"/>
        <w:ind w:left="283" w:right="319" w:firstLine="711"/>
        <w:jc w:val="both"/>
      </w:pPr>
      <w:r>
        <w:rPr>
          <w:rFonts w:ascii="Times New Roman" w:eastAsia="Times New Roman" w:hAnsi="Times New Roman" w:cs="Times New Roman"/>
          <w:sz w:val="24"/>
        </w:rPr>
        <w:t>Многие классические криптографические протоколы работают путем построения протокола из более простых протоколов. Двумя особенно простыми протоколами являются аутентификация квантовых сообщений и другой проток</w:t>
      </w:r>
      <w:r>
        <w:rPr>
          <w:rFonts w:ascii="Times New Roman" w:eastAsia="Times New Roman" w:hAnsi="Times New Roman" w:cs="Times New Roman"/>
          <w:sz w:val="24"/>
        </w:rPr>
        <w:t>ол, называемый фиксацией битов. Стандартные классические криптографические протоколы для фиксации битов основаны на ограниченной вычислительной мощности Боба. Какое-то время считалось, что существуют протоколы фиксации квантовых битов, которые безусловно б</w:t>
      </w:r>
      <w:r>
        <w:rPr>
          <w:rFonts w:ascii="Times New Roman" w:eastAsia="Times New Roman" w:hAnsi="Times New Roman" w:cs="Times New Roman"/>
          <w:sz w:val="24"/>
        </w:rPr>
        <w:t>езопасны. Однако оказывается, что, если у Алисы и Боба есть квантовые компьютеры, любой протокол, для которого Боб не может определить значение бита Алисы, позволяет Алисе безопасно изменить бит без ведома Боба. Это было большим разочарованием, и более поз</w:t>
      </w:r>
      <w:r>
        <w:rPr>
          <w:rFonts w:ascii="Times New Roman" w:eastAsia="Times New Roman" w:hAnsi="Times New Roman" w:cs="Times New Roman"/>
          <w:sz w:val="24"/>
        </w:rPr>
        <w:t>дние результаты показали, что многие другие квантовые криптографические протоколы также невозможны. Тем не менее, все еще существует ряд возможных протоколов, которые не были исключены, в том числе некоторые из них представляют значительный интерес. Кванто</w:t>
      </w:r>
      <w:r>
        <w:rPr>
          <w:rFonts w:ascii="Times New Roman" w:eastAsia="Times New Roman" w:hAnsi="Times New Roman" w:cs="Times New Roman"/>
          <w:sz w:val="24"/>
        </w:rPr>
        <w:t xml:space="preserve">вые вычисления могут позволить нам выполнять некоторые из этих операций более безопасно, чем любой классический протокол. </w:t>
      </w:r>
    </w:p>
    <w:p w:rsidR="0052701D" w:rsidRDefault="00D40929">
      <w:pPr>
        <w:spacing w:after="29" w:line="248" w:lineRule="auto"/>
        <w:ind w:left="283" w:right="331" w:firstLine="711"/>
        <w:jc w:val="both"/>
      </w:pPr>
      <w:r>
        <w:rPr>
          <w:rFonts w:ascii="Times New Roman" w:eastAsia="Times New Roman" w:hAnsi="Times New Roman" w:cs="Times New Roman"/>
          <w:sz w:val="24"/>
        </w:rPr>
        <w:t>Квантовая криптография потенциально может гарантировать абсолютно безопасную связь, но до сих пор все прототипы систем представляли с</w:t>
      </w:r>
      <w:r>
        <w:rPr>
          <w:rFonts w:ascii="Times New Roman" w:eastAsia="Times New Roman" w:hAnsi="Times New Roman" w:cs="Times New Roman"/>
          <w:sz w:val="24"/>
        </w:rPr>
        <w:t xml:space="preserve">обой соединения «точка-точка», а не сети с общими соединениями. </w:t>
      </w:r>
    </w:p>
    <w:p w:rsidR="0052701D" w:rsidRDefault="00D40929">
      <w:pPr>
        <w:spacing w:after="29" w:line="248" w:lineRule="auto"/>
        <w:ind w:left="283" w:right="323" w:firstLine="711"/>
        <w:jc w:val="both"/>
      </w:pPr>
      <w:r>
        <w:rPr>
          <w:rFonts w:ascii="Times New Roman" w:eastAsia="Times New Roman" w:hAnsi="Times New Roman" w:cs="Times New Roman"/>
          <w:sz w:val="24"/>
        </w:rPr>
        <w:t>Исследователи из BBN Technologies, Гарвардского и Бостонского университетов построили сеть квантовой криптографии с шестью узлами, которая работает непрерывно, обеспечивая способ обмена безоп</w:t>
      </w:r>
      <w:r>
        <w:rPr>
          <w:rFonts w:ascii="Times New Roman" w:eastAsia="Times New Roman" w:hAnsi="Times New Roman" w:cs="Times New Roman"/>
          <w:sz w:val="24"/>
        </w:rPr>
        <w:t>асными ключами между BBN и Гарвардом, который находится примерно в 10 километрах. Вскоре исследователи перенесут один из узлов сети в другой конец города, чтобы подключить Бостонский университет к сети. Сеть устойчива, потому что любой узел в сети может де</w:t>
      </w:r>
      <w:r>
        <w:rPr>
          <w:rFonts w:ascii="Times New Roman" w:eastAsia="Times New Roman" w:hAnsi="Times New Roman" w:cs="Times New Roman"/>
          <w:sz w:val="24"/>
        </w:rPr>
        <w:t xml:space="preserve">йствовать как ретранслятор для соединения двух других узлов. Поскольку существует несколько подключений к любому заданному узлу и от него, «сбой соединения или узла не означает, что мы потеряли квантовую криптографию. </w:t>
      </w:r>
    </w:p>
    <w:p w:rsidR="0052701D" w:rsidRDefault="00D40929">
      <w:pPr>
        <w:spacing w:after="29" w:line="248" w:lineRule="auto"/>
        <w:ind w:left="283" w:right="316" w:firstLine="711"/>
        <w:jc w:val="both"/>
      </w:pPr>
      <w:r>
        <w:rPr>
          <w:rFonts w:ascii="Times New Roman" w:eastAsia="Times New Roman" w:hAnsi="Times New Roman" w:cs="Times New Roman"/>
          <w:sz w:val="24"/>
        </w:rPr>
        <w:t xml:space="preserve">Квантовая сеть использует безопасные </w:t>
      </w:r>
      <w:r>
        <w:rPr>
          <w:rFonts w:ascii="Times New Roman" w:eastAsia="Times New Roman" w:hAnsi="Times New Roman" w:cs="Times New Roman"/>
          <w:sz w:val="24"/>
        </w:rPr>
        <w:t>двухточечные соединения между узлами и позволяет данному узлу передавать безопасные криптографические ключи между двумя другими узлами. Поскольку квантовые свойства фотонов теряются, если их наблюдать, их нельзя скопировать, но копирование световых сигнало</w:t>
      </w:r>
      <w:r>
        <w:rPr>
          <w:rFonts w:ascii="Times New Roman" w:eastAsia="Times New Roman" w:hAnsi="Times New Roman" w:cs="Times New Roman"/>
          <w:sz w:val="24"/>
        </w:rPr>
        <w:t xml:space="preserve">в — это способ усиления сигналов в обычных телекоммуникациях. </w:t>
      </w:r>
    </w:p>
    <w:p w:rsidR="0052701D" w:rsidRDefault="00D40929">
      <w:pPr>
        <w:spacing w:after="55" w:line="248" w:lineRule="auto"/>
        <w:ind w:left="283" w:right="315" w:firstLine="711"/>
        <w:jc w:val="both"/>
      </w:pPr>
      <w:r>
        <w:rPr>
          <w:rFonts w:ascii="Times New Roman" w:eastAsia="Times New Roman" w:hAnsi="Times New Roman" w:cs="Times New Roman"/>
          <w:sz w:val="24"/>
        </w:rPr>
        <w:t xml:space="preserve">Квантовые ретрансляторы, которые разрабатываются в нескольких исследовательских лабораториях по всему миру, вместо этого будут передавать </w:t>
      </w:r>
      <w:r>
        <w:rPr>
          <w:rFonts w:ascii="Times New Roman" w:eastAsia="Times New Roman" w:hAnsi="Times New Roman" w:cs="Times New Roman"/>
          <w:sz w:val="24"/>
        </w:rPr>
        <w:lastRenderedPageBreak/>
        <w:t>квантовое состояние одного фотона другому посредством взаимодействия с атомами или посредством квантового явления запу</w:t>
      </w:r>
      <w:r>
        <w:rPr>
          <w:rFonts w:ascii="Times New Roman" w:eastAsia="Times New Roman" w:hAnsi="Times New Roman" w:cs="Times New Roman"/>
          <w:sz w:val="24"/>
        </w:rPr>
        <w:t>танности, которое позволяет связать черты двух или более частиц. независимо от расстояния между ними. Источники фотонов сети в настоящее время представляют собой сильно фильтрующие лазеры, которые очень тусклые и иногда излучают более одного фотона за раз.</w:t>
      </w:r>
      <w:r>
        <w:rPr>
          <w:rFonts w:ascii="Times New Roman" w:eastAsia="Times New Roman" w:hAnsi="Times New Roman" w:cs="Times New Roman"/>
          <w:sz w:val="24"/>
        </w:rPr>
        <w:t xml:space="preserve"> </w:t>
      </w:r>
    </w:p>
    <w:p w:rsidR="0052701D" w:rsidRDefault="00D40929">
      <w:pPr>
        <w:spacing w:after="29" w:line="248" w:lineRule="auto"/>
        <w:ind w:left="283" w:right="319" w:firstLine="711"/>
        <w:jc w:val="both"/>
      </w:pPr>
      <w:r>
        <w:rPr>
          <w:rFonts w:ascii="Times New Roman" w:eastAsia="Times New Roman" w:hAnsi="Times New Roman" w:cs="Times New Roman"/>
          <w:sz w:val="24"/>
        </w:rPr>
        <w:t>Сеть квантовой криптографии работает с интернет-протоколами, включая безопасный интернет-</w:t>
      </w:r>
      <w:r>
        <w:rPr>
          <w:rFonts w:ascii="Times New Roman" w:eastAsia="Times New Roman" w:hAnsi="Times New Roman" w:cs="Times New Roman"/>
          <w:sz w:val="24"/>
        </w:rPr>
        <w:t>протокол (IPsec), и создает тип виртуальной частной сети, которая обеспечивает безопасную связь по незащищенным сетям, таким как Интернет в целом. Идея состоит в том, что даже если подслушиватель сможет прослушивать линию, он не сможет много узнать о прохо</w:t>
      </w:r>
      <w:r>
        <w:rPr>
          <w:rFonts w:ascii="Times New Roman" w:eastAsia="Times New Roman" w:hAnsi="Times New Roman" w:cs="Times New Roman"/>
          <w:sz w:val="24"/>
        </w:rPr>
        <w:t xml:space="preserve">дящих по ней коммуникациях. Сегодня сеть готова к практическому применению. </w:t>
      </w:r>
    </w:p>
    <w:p w:rsidR="0052701D" w:rsidRDefault="00D40929">
      <w:pPr>
        <w:spacing w:after="104" w:line="248" w:lineRule="auto"/>
        <w:ind w:left="283" w:right="317" w:firstLine="711"/>
        <w:jc w:val="both"/>
      </w:pPr>
      <w:r>
        <w:rPr>
          <w:rFonts w:ascii="Times New Roman" w:eastAsia="Times New Roman" w:hAnsi="Times New Roman" w:cs="Times New Roman"/>
          <w:sz w:val="24"/>
        </w:rPr>
        <w:t>Magiq Technologies создает новую линейку продуктов, которые, по ее словам, могут помочь сделать квантовое шифрование теоретически невозможным для взлома — более приемлемым для обы</w:t>
      </w:r>
      <w:r>
        <w:rPr>
          <w:rFonts w:ascii="Times New Roman" w:eastAsia="Times New Roman" w:hAnsi="Times New Roman" w:cs="Times New Roman"/>
          <w:sz w:val="24"/>
        </w:rPr>
        <w:t>чных клиентов. Нью-йоркская компания заявила, что подписала соглашение с Cavium Networks, согласно которому чипы сетевой безопасности Cavium будут включены в серверы и сетевые платы Magiq. Magiq и Cavium также создадут эталонные конструкции для сетевых пла</w:t>
      </w:r>
      <w:r>
        <w:rPr>
          <w:rFonts w:ascii="Times New Roman" w:eastAsia="Times New Roman" w:hAnsi="Times New Roman" w:cs="Times New Roman"/>
          <w:sz w:val="24"/>
        </w:rPr>
        <w:t xml:space="preserve">т и карт со всеми необходимыми характеристиками. кремния для создания системы квантового шифрования. </w:t>
      </w:r>
    </w:p>
    <w:p w:rsidR="0052701D" w:rsidRDefault="00D40929">
      <w:pPr>
        <w:spacing w:after="3"/>
        <w:ind w:left="1004" w:hanging="10"/>
      </w:pPr>
      <w:r>
        <w:rPr>
          <w:rFonts w:ascii="Times New Roman" w:eastAsia="Times New Roman" w:hAnsi="Times New Roman" w:cs="Times New Roman"/>
          <w:b/>
          <w:i/>
          <w:sz w:val="28"/>
        </w:rPr>
        <w:t xml:space="preserve">Заключение </w:t>
      </w:r>
    </w:p>
    <w:p w:rsidR="0052701D" w:rsidRDefault="00D40929">
      <w:pPr>
        <w:spacing w:after="29" w:line="248" w:lineRule="auto"/>
        <w:ind w:left="283" w:right="323" w:firstLine="711"/>
        <w:jc w:val="both"/>
      </w:pPr>
      <w:r>
        <w:rPr>
          <w:rFonts w:ascii="Times New Roman" w:eastAsia="Times New Roman" w:hAnsi="Times New Roman" w:cs="Times New Roman"/>
          <w:sz w:val="24"/>
        </w:rPr>
        <w:t>Поскольку квантовая криптография является новой наукой в технологии криптосистем, и многие исследователи со всего мира открывают способ включе</w:t>
      </w:r>
      <w:r>
        <w:rPr>
          <w:rFonts w:ascii="Times New Roman" w:eastAsia="Times New Roman" w:hAnsi="Times New Roman" w:cs="Times New Roman"/>
          <w:sz w:val="24"/>
        </w:rPr>
        <w:t>ния некоторых новых устройств и уже совершили прорыв, считается, что квантовая криптография станет передовой технологией создания кода, которая теоретически невзламываемая. Это связано с законами квантовой физики, согласно которым подслушивающий не может и</w:t>
      </w:r>
      <w:r>
        <w:rPr>
          <w:rFonts w:ascii="Times New Roman" w:eastAsia="Times New Roman" w:hAnsi="Times New Roman" w:cs="Times New Roman"/>
          <w:sz w:val="24"/>
        </w:rPr>
        <w:t xml:space="preserve">змерить свойства отдельного фотона, не рискуя изменить эти свойства. Другими словами, даже если перехватчик может прослушивать линию связи, он/она может не получить много сведений о передаваемых по ней коммуникациях. </w:t>
      </w:r>
    </w:p>
    <w:p w:rsidR="0052701D" w:rsidRDefault="00D40929">
      <w:pPr>
        <w:spacing w:after="56"/>
        <w:ind w:left="283"/>
      </w:pPr>
      <w:r>
        <w:rPr>
          <w:rFonts w:ascii="Times New Roman" w:eastAsia="Times New Roman" w:hAnsi="Times New Roman" w:cs="Times New Roman"/>
          <w:sz w:val="24"/>
        </w:rPr>
        <w:t xml:space="preserve"> </w:t>
      </w:r>
    </w:p>
    <w:p w:rsidR="0052701D" w:rsidRDefault="00D40929">
      <w:pPr>
        <w:pStyle w:val="6"/>
        <w:spacing w:after="16" w:line="248" w:lineRule="auto"/>
        <w:ind w:left="819" w:right="845"/>
        <w:jc w:val="center"/>
      </w:pPr>
      <w:r>
        <w:t xml:space="preserve">Источники </w:t>
      </w:r>
    </w:p>
    <w:p w:rsidR="0052701D" w:rsidRDefault="00D40929">
      <w:pPr>
        <w:numPr>
          <w:ilvl w:val="0"/>
          <w:numId w:val="62"/>
        </w:numPr>
        <w:spacing w:after="5"/>
        <w:ind w:right="323" w:firstLine="567"/>
        <w:jc w:val="both"/>
      </w:pPr>
      <w:r>
        <w:rPr>
          <w:rFonts w:ascii="Times New Roman" w:eastAsia="Times New Roman" w:hAnsi="Times New Roman" w:cs="Times New Roman"/>
          <w:sz w:val="24"/>
        </w:rPr>
        <w:t>Bos, J.; Ducas, L.; Kiltz</w:t>
      </w:r>
      <w:r>
        <w:rPr>
          <w:rFonts w:ascii="Times New Roman" w:eastAsia="Times New Roman" w:hAnsi="Times New Roman" w:cs="Times New Roman"/>
          <w:sz w:val="24"/>
        </w:rPr>
        <w:t xml:space="preserve">, E.; Lepoint, T.; Lyubashevsky, V.; Schanck, J.M.; Schwabe, </w:t>
      </w:r>
    </w:p>
    <w:p w:rsidR="0052701D" w:rsidRDefault="00D40929">
      <w:pPr>
        <w:spacing w:after="29" w:line="248" w:lineRule="auto"/>
        <w:ind w:left="283" w:right="14"/>
        <w:jc w:val="both"/>
      </w:pPr>
      <w:r>
        <w:rPr>
          <w:rFonts w:ascii="Times New Roman" w:eastAsia="Times New Roman" w:hAnsi="Times New Roman" w:cs="Times New Roman"/>
          <w:sz w:val="24"/>
        </w:rPr>
        <w:t xml:space="preserve">P.; Seiler, G.; Stehlé, D. Available online: https://eprint.iacr.org/2017/634/20170627:201157 (accessed on 20 November 2020).  </w:t>
      </w:r>
    </w:p>
    <w:p w:rsidR="0052701D" w:rsidRDefault="00D40929">
      <w:pPr>
        <w:numPr>
          <w:ilvl w:val="0"/>
          <w:numId w:val="62"/>
        </w:numPr>
        <w:spacing w:after="5"/>
        <w:ind w:right="323" w:firstLine="567"/>
        <w:jc w:val="both"/>
      </w:pPr>
      <w:r>
        <w:rPr>
          <w:rFonts w:ascii="Times New Roman" w:eastAsia="Times New Roman" w:hAnsi="Times New Roman" w:cs="Times New Roman"/>
          <w:sz w:val="24"/>
        </w:rPr>
        <w:t>Chen, C.; Danba, O.; Hoffstein, J.; Hülsing, A.; Rijneveld, J.; Sa</w:t>
      </w:r>
      <w:r>
        <w:rPr>
          <w:rFonts w:ascii="Times New Roman" w:eastAsia="Times New Roman" w:hAnsi="Times New Roman" w:cs="Times New Roman"/>
          <w:sz w:val="24"/>
        </w:rPr>
        <w:t xml:space="preserve">ito, T.; Schanck, J.M.; </w:t>
      </w:r>
    </w:p>
    <w:p w:rsidR="0052701D" w:rsidRDefault="00D40929">
      <w:pPr>
        <w:spacing w:after="29" w:line="248" w:lineRule="auto"/>
        <w:ind w:left="283" w:right="317"/>
        <w:jc w:val="both"/>
      </w:pPr>
      <w:r>
        <w:rPr>
          <w:rFonts w:ascii="Times New Roman" w:eastAsia="Times New Roman" w:hAnsi="Times New Roman" w:cs="Times New Roman"/>
          <w:sz w:val="24"/>
        </w:rPr>
        <w:t>Schwabe, P.; Whyte, W.; Xagawa, K.; et al. NTRU: A Submission to the NIST Post-</w:t>
      </w:r>
      <w:r>
        <w:rPr>
          <w:rFonts w:ascii="Times New Roman" w:eastAsia="Times New Roman" w:hAnsi="Times New Roman" w:cs="Times New Roman"/>
          <w:sz w:val="24"/>
        </w:rPr>
        <w:t xml:space="preserve">Quantum Standardization Effort. Available online: https://ntru.org/ (accessed on 12 July 2020). Bennett, C. H., and Shor, P. W. Quantum information theory. Information Theory 44, 6 (1998), 2724– 42. </w:t>
      </w:r>
    </w:p>
    <w:p w:rsidR="0052701D" w:rsidRDefault="00D40929">
      <w:pPr>
        <w:numPr>
          <w:ilvl w:val="0"/>
          <w:numId w:val="62"/>
        </w:numPr>
        <w:spacing w:after="29" w:line="248" w:lineRule="auto"/>
        <w:ind w:right="323" w:firstLine="567"/>
        <w:jc w:val="both"/>
      </w:pPr>
      <w:r>
        <w:rPr>
          <w:rFonts w:ascii="Times New Roman" w:eastAsia="Times New Roman" w:hAnsi="Times New Roman" w:cs="Times New Roman"/>
          <w:sz w:val="24"/>
        </w:rPr>
        <w:t>Brassard, G. Cryptology column — 25 years of quantum cry</w:t>
      </w:r>
      <w:r>
        <w:rPr>
          <w:rFonts w:ascii="Times New Roman" w:eastAsia="Times New Roman" w:hAnsi="Times New Roman" w:cs="Times New Roman"/>
          <w:sz w:val="24"/>
        </w:rPr>
        <w:t xml:space="preserve">ptography. Sigact News 27(3) (1996), 13–24.  </w:t>
      </w:r>
    </w:p>
    <w:p w:rsidR="0052701D" w:rsidRDefault="00D40929">
      <w:pPr>
        <w:numPr>
          <w:ilvl w:val="0"/>
          <w:numId w:val="62"/>
        </w:numPr>
        <w:spacing w:after="29" w:line="248" w:lineRule="auto"/>
        <w:ind w:right="323" w:firstLine="567"/>
        <w:jc w:val="both"/>
      </w:pPr>
      <w:r>
        <w:rPr>
          <w:rFonts w:ascii="Times New Roman" w:eastAsia="Times New Roman" w:hAnsi="Times New Roman" w:cs="Times New Roman"/>
          <w:sz w:val="24"/>
        </w:rPr>
        <w:t xml:space="preserve">Jao, D.; Feo, L.D. Towards Quantum-Resistant Cryptosystems from Supersingular Elliptic Curve Isogenies. PQCrypto 2011, 7071, 19–34. </w:t>
      </w:r>
    </w:p>
    <w:p w:rsidR="0052701D" w:rsidRDefault="00D40929">
      <w:pPr>
        <w:numPr>
          <w:ilvl w:val="0"/>
          <w:numId w:val="62"/>
        </w:numPr>
        <w:spacing w:after="14" w:line="248" w:lineRule="auto"/>
        <w:ind w:right="323" w:firstLine="567"/>
        <w:jc w:val="both"/>
      </w:pPr>
      <w:r>
        <w:rPr>
          <w:rFonts w:ascii="Times New Roman" w:eastAsia="Times New Roman" w:hAnsi="Times New Roman" w:cs="Times New Roman"/>
          <w:sz w:val="24"/>
        </w:rPr>
        <w:t>Butin, D. Hash-based signatures: State of play. IEEE Secur. Priv. 2007, 15, 3</w:t>
      </w:r>
      <w:r>
        <w:rPr>
          <w:rFonts w:ascii="Times New Roman" w:eastAsia="Times New Roman" w:hAnsi="Times New Roman" w:cs="Times New Roman"/>
          <w:sz w:val="24"/>
        </w:rPr>
        <w:t xml:space="preserve">7–4 </w:t>
      </w:r>
    </w:p>
    <w:p w:rsidR="0052701D" w:rsidRDefault="00D40929">
      <w:pPr>
        <w:numPr>
          <w:ilvl w:val="0"/>
          <w:numId w:val="62"/>
        </w:numPr>
        <w:spacing w:after="29" w:line="248" w:lineRule="auto"/>
        <w:ind w:right="323" w:firstLine="567"/>
        <w:jc w:val="both"/>
      </w:pPr>
      <w:r>
        <w:rPr>
          <w:rFonts w:ascii="Times New Roman" w:eastAsia="Times New Roman" w:hAnsi="Times New Roman" w:cs="Times New Roman"/>
          <w:sz w:val="24"/>
        </w:rPr>
        <w:t xml:space="preserve">Deutsch, D. Quantum Theory, the Church-Turing Principle and the Universal Quantum Computer. Proc. R. Soc. Lond. 1985 A400, 97–117. </w:t>
      </w:r>
    </w:p>
    <w:p w:rsidR="0052701D" w:rsidRDefault="00D40929">
      <w:pPr>
        <w:numPr>
          <w:ilvl w:val="0"/>
          <w:numId w:val="62"/>
        </w:numPr>
        <w:spacing w:after="29" w:line="248" w:lineRule="auto"/>
        <w:ind w:right="323" w:firstLine="567"/>
        <w:jc w:val="both"/>
      </w:pPr>
      <w:r>
        <w:rPr>
          <w:rFonts w:ascii="Times New Roman" w:eastAsia="Times New Roman" w:hAnsi="Times New Roman" w:cs="Times New Roman"/>
          <w:sz w:val="24"/>
        </w:rPr>
        <w:t>Shor, P.W. Algorithms for quantum computation: Discrete Logarithms and Factoring. In Proceedings of the 35th Annual Sym</w:t>
      </w:r>
      <w:r>
        <w:rPr>
          <w:rFonts w:ascii="Times New Roman" w:eastAsia="Times New Roman" w:hAnsi="Times New Roman" w:cs="Times New Roman"/>
          <w:sz w:val="24"/>
        </w:rPr>
        <w:t xml:space="preserve">posium on Foundations of Computer Science, Santa Fe, NM, USA, 20–22 November 1994; pp. 124–134. </w:t>
      </w:r>
    </w:p>
    <w:p w:rsidR="0052701D" w:rsidRDefault="00D40929">
      <w:pPr>
        <w:numPr>
          <w:ilvl w:val="0"/>
          <w:numId w:val="62"/>
        </w:numPr>
        <w:spacing w:after="29" w:line="248" w:lineRule="auto"/>
        <w:ind w:right="323" w:firstLine="567"/>
        <w:jc w:val="both"/>
      </w:pPr>
      <w:r>
        <w:rPr>
          <w:rFonts w:ascii="Times New Roman" w:eastAsia="Times New Roman" w:hAnsi="Times New Roman" w:cs="Times New Roman"/>
          <w:sz w:val="24"/>
        </w:rPr>
        <w:lastRenderedPageBreak/>
        <w:t>Penzenstadler, B.; Raturi, A.; Richardson, D.; Tomlinson, B. Safety, security, now sustainability: The nonfunctional requirement for the 21st century. IEEE Sof</w:t>
      </w:r>
      <w:r>
        <w:rPr>
          <w:rFonts w:ascii="Times New Roman" w:eastAsia="Times New Roman" w:hAnsi="Times New Roman" w:cs="Times New Roman"/>
          <w:sz w:val="24"/>
        </w:rPr>
        <w:t xml:space="preserve">tw. 2014, 31, 40– 47. </w:t>
      </w:r>
    </w:p>
    <w:p w:rsidR="0052701D" w:rsidRDefault="00D40929">
      <w:pPr>
        <w:spacing w:after="0"/>
        <w:ind w:left="994"/>
      </w:pPr>
      <w:r>
        <w:rPr>
          <w:rFonts w:ascii="Times New Roman" w:eastAsia="Times New Roman" w:hAnsi="Times New Roman" w:cs="Times New Roman"/>
          <w:sz w:val="24"/>
        </w:rPr>
        <w:t xml:space="preserve"> </w:t>
      </w:r>
    </w:p>
    <w:p w:rsidR="0052701D" w:rsidRDefault="00D40929">
      <w:pPr>
        <w:spacing w:after="3"/>
        <w:ind w:left="994"/>
      </w:pPr>
      <w:r>
        <w:rPr>
          <w:rFonts w:ascii="Times New Roman" w:eastAsia="Times New Roman" w:hAnsi="Times New Roman" w:cs="Times New Roman"/>
          <w:sz w:val="24"/>
        </w:rPr>
        <w:t xml:space="preserve"> </w:t>
      </w:r>
    </w:p>
    <w:p w:rsidR="0052701D" w:rsidRDefault="00D40929">
      <w:pPr>
        <w:spacing w:after="20"/>
        <w:ind w:left="283"/>
      </w:pPr>
      <w:r>
        <w:rPr>
          <w:rFonts w:ascii="Times New Roman" w:eastAsia="Times New Roman" w:hAnsi="Times New Roman" w:cs="Times New Roman"/>
          <w:b/>
          <w:sz w:val="24"/>
        </w:rPr>
        <w:t xml:space="preserve"> </w:t>
      </w:r>
    </w:p>
    <w:p w:rsidR="0052701D" w:rsidRDefault="00D40929">
      <w:pPr>
        <w:spacing w:after="29" w:line="248" w:lineRule="auto"/>
        <w:ind w:left="283" w:right="14"/>
        <w:jc w:val="both"/>
      </w:pPr>
      <w:r>
        <w:rPr>
          <w:rFonts w:ascii="Times New Roman" w:eastAsia="Times New Roman" w:hAnsi="Times New Roman" w:cs="Times New Roman"/>
          <w:sz w:val="24"/>
        </w:rPr>
        <w:t xml:space="preserve">УДК 621.865.8, 681.5.08  </w:t>
      </w:r>
    </w:p>
    <w:p w:rsidR="0052701D" w:rsidRDefault="00D40929">
      <w:pPr>
        <w:spacing w:after="29" w:line="248" w:lineRule="auto"/>
        <w:ind w:left="283" w:right="14"/>
        <w:jc w:val="both"/>
      </w:pPr>
      <w:r>
        <w:rPr>
          <w:rFonts w:ascii="Times New Roman" w:eastAsia="Times New Roman" w:hAnsi="Times New Roman" w:cs="Times New Roman"/>
          <w:sz w:val="24"/>
        </w:rPr>
        <w:t xml:space="preserve">ГРНТИ 55.30.03 </w:t>
      </w:r>
    </w:p>
    <w:p w:rsidR="0052701D" w:rsidRDefault="00D40929">
      <w:pPr>
        <w:spacing w:after="0"/>
        <w:ind w:left="283"/>
      </w:pPr>
      <w:r>
        <w:rPr>
          <w:rFonts w:ascii="Times New Roman" w:eastAsia="Times New Roman" w:hAnsi="Times New Roman" w:cs="Times New Roman"/>
          <w:b/>
          <w:sz w:val="28"/>
        </w:rPr>
        <w:t xml:space="preserve"> </w:t>
      </w:r>
    </w:p>
    <w:p w:rsidR="0052701D" w:rsidRDefault="00D40929">
      <w:pPr>
        <w:pStyle w:val="1"/>
        <w:ind w:left="903" w:right="0" w:firstLine="9"/>
        <w:jc w:val="left"/>
      </w:pPr>
      <w:r>
        <w:t xml:space="preserve">МЕХАТРОННЫЙ МОДУЛЬ ВАКУУМНОЙ ТЕРАПИИ ДЛЯ </w:t>
      </w:r>
    </w:p>
    <w:p w:rsidR="0052701D" w:rsidRDefault="00D40929">
      <w:pPr>
        <w:spacing w:after="5" w:line="271" w:lineRule="auto"/>
        <w:ind w:left="903" w:firstLine="9"/>
      </w:pPr>
      <w:r>
        <w:rPr>
          <w:rFonts w:ascii="Times New Roman" w:eastAsia="Times New Roman" w:hAnsi="Times New Roman" w:cs="Times New Roman"/>
          <w:b/>
          <w:sz w:val="28"/>
        </w:rPr>
        <w:t xml:space="preserve">МОБИЛЬНЫХ СТАНЦИЙ МЕДПОМОЩИ </w:t>
      </w:r>
    </w:p>
    <w:p w:rsidR="0052701D" w:rsidRDefault="00D40929">
      <w:pPr>
        <w:spacing w:after="0"/>
        <w:ind w:left="31"/>
        <w:jc w:val="center"/>
      </w:pPr>
      <w:r>
        <w:rPr>
          <w:rFonts w:ascii="Times New Roman" w:eastAsia="Times New Roman" w:hAnsi="Times New Roman" w:cs="Times New Roman"/>
          <w:b/>
          <w:sz w:val="28"/>
        </w:rPr>
        <w:t xml:space="preserve"> </w:t>
      </w:r>
    </w:p>
    <w:p w:rsidR="0052701D" w:rsidRDefault="00D40929">
      <w:pPr>
        <w:pStyle w:val="1"/>
        <w:spacing w:after="14" w:line="248" w:lineRule="auto"/>
        <w:ind w:left="713" w:right="749" w:hanging="5"/>
      </w:pPr>
      <w:r>
        <w:rPr>
          <w:b w:val="0"/>
          <w:sz w:val="24"/>
        </w:rPr>
        <w:t xml:space="preserve">И.В. Ломакин, К.Ю. Самохвалова </w:t>
      </w:r>
    </w:p>
    <w:p w:rsidR="0052701D" w:rsidRDefault="00D40929">
      <w:pPr>
        <w:spacing w:after="14" w:line="248" w:lineRule="auto"/>
        <w:ind w:left="713" w:right="686" w:hanging="5"/>
        <w:jc w:val="center"/>
      </w:pPr>
      <w:r>
        <w:rPr>
          <w:rFonts w:ascii="Times New Roman" w:eastAsia="Times New Roman" w:hAnsi="Times New Roman" w:cs="Times New Roman"/>
          <w:sz w:val="24"/>
        </w:rPr>
        <w:t>Казанский государственный энергетический университет, г. Казань, Россия, e-</w:t>
      </w:r>
      <w:r>
        <w:rPr>
          <w:rFonts w:ascii="Times New Roman" w:eastAsia="Times New Roman" w:hAnsi="Times New Roman" w:cs="Times New Roman"/>
          <w:sz w:val="24"/>
        </w:rPr>
        <w:t xml:space="preserve">mail: lomakin_igor@mail.ru, kristina.samokhvalova.00@mail.ru </w:t>
      </w:r>
    </w:p>
    <w:p w:rsidR="0052701D" w:rsidRDefault="00D40929">
      <w:pPr>
        <w:spacing w:after="26"/>
        <w:ind w:left="732"/>
        <w:jc w:val="center"/>
      </w:pPr>
      <w:r>
        <w:rPr>
          <w:rFonts w:ascii="Times New Roman" w:eastAsia="Times New Roman" w:hAnsi="Times New Roman" w:cs="Times New Roman"/>
          <w:sz w:val="24"/>
        </w:rPr>
        <w:t xml:space="preserve"> </w:t>
      </w:r>
    </w:p>
    <w:p w:rsidR="0052701D" w:rsidRDefault="00D40929">
      <w:pPr>
        <w:spacing w:after="2" w:line="248" w:lineRule="auto"/>
        <w:ind w:left="283" w:right="317" w:firstLine="711"/>
        <w:jc w:val="both"/>
      </w:pPr>
      <w:r>
        <w:rPr>
          <w:rFonts w:ascii="Times New Roman" w:eastAsia="Times New Roman" w:hAnsi="Times New Roman" w:cs="Times New Roman"/>
          <w:b/>
          <w:i/>
          <w:sz w:val="24"/>
        </w:rPr>
        <w:t>Аннотация.</w:t>
      </w:r>
      <w:r>
        <w:rPr>
          <w:rFonts w:ascii="Times New Roman" w:eastAsia="Times New Roman" w:hAnsi="Times New Roman" w:cs="Times New Roman"/>
          <w:i/>
          <w:sz w:val="24"/>
        </w:rPr>
        <w:t xml:space="preserve"> На основе анализа современных аппаратов для вакуумной терапии, определены требования к измерительному каналу мехатронного модуля, обеспечивающего контроль и управление вакуумом под </w:t>
      </w:r>
      <w:r>
        <w:rPr>
          <w:rFonts w:ascii="Times New Roman" w:eastAsia="Times New Roman" w:hAnsi="Times New Roman" w:cs="Times New Roman"/>
          <w:i/>
          <w:sz w:val="24"/>
        </w:rPr>
        <w:t xml:space="preserve">присоском. Разработан алгоритм функционирования канала контроля и управления вакуумом и на его основе предложена схема устройства. Для выбранных процессора и датчика давления разработан программный код реализующий заданный алгоритм функционирования канала </w:t>
      </w:r>
      <w:r>
        <w:rPr>
          <w:rFonts w:ascii="Times New Roman" w:eastAsia="Times New Roman" w:hAnsi="Times New Roman" w:cs="Times New Roman"/>
          <w:i/>
          <w:sz w:val="24"/>
        </w:rPr>
        <w:t xml:space="preserve">контроля и управления. Работоспособность устройства проверена на действующем макете канала контроля и управления мехатронного модуля.  </w:t>
      </w:r>
    </w:p>
    <w:p w:rsidR="0052701D" w:rsidRDefault="00D40929">
      <w:pPr>
        <w:spacing w:after="29" w:line="248" w:lineRule="auto"/>
        <w:ind w:left="283" w:firstLine="711"/>
        <w:jc w:val="both"/>
      </w:pP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 xml:space="preserve">: мехатронный модуль, микроконтроллер, датчик давления, контроль, управление вакуумная терапия. </w:t>
      </w:r>
    </w:p>
    <w:p w:rsidR="0052701D" w:rsidRDefault="00D40929">
      <w:pPr>
        <w:spacing w:after="0"/>
        <w:ind w:left="994"/>
      </w:pPr>
      <w:r>
        <w:rPr>
          <w:rFonts w:ascii="Times New Roman" w:eastAsia="Times New Roman" w:hAnsi="Times New Roman" w:cs="Times New Roman"/>
          <w:sz w:val="28"/>
        </w:rPr>
        <w:t xml:space="preserve"> </w:t>
      </w:r>
    </w:p>
    <w:p w:rsidR="0052701D" w:rsidRDefault="00D40929">
      <w:pPr>
        <w:spacing w:after="0"/>
        <w:ind w:left="10" w:right="419" w:hanging="10"/>
        <w:jc w:val="right"/>
      </w:pPr>
      <w:r>
        <w:rPr>
          <w:rFonts w:ascii="Times New Roman" w:eastAsia="Times New Roman" w:hAnsi="Times New Roman" w:cs="Times New Roman"/>
          <w:b/>
          <w:sz w:val="28"/>
        </w:rPr>
        <w:t xml:space="preserve">MECHATRONIC VACUUM THERAPY MODULE FOR MOBILE </w:t>
      </w:r>
    </w:p>
    <w:p w:rsidR="0052701D" w:rsidRDefault="00D40929">
      <w:pPr>
        <w:spacing w:after="5" w:line="271" w:lineRule="auto"/>
        <w:ind w:left="173" w:right="209" w:hanging="10"/>
        <w:jc w:val="center"/>
      </w:pPr>
      <w:r>
        <w:rPr>
          <w:rFonts w:ascii="Times New Roman" w:eastAsia="Times New Roman" w:hAnsi="Times New Roman" w:cs="Times New Roman"/>
          <w:b/>
          <w:sz w:val="28"/>
        </w:rPr>
        <w:t xml:space="preserve">MEDICAL CARE STATIONS </w:t>
      </w:r>
    </w:p>
    <w:p w:rsidR="0052701D" w:rsidRDefault="00D40929">
      <w:pPr>
        <w:spacing w:after="0"/>
        <w:ind w:left="741"/>
        <w:jc w:val="center"/>
      </w:pPr>
      <w:r>
        <w:rPr>
          <w:rFonts w:ascii="Times New Roman" w:eastAsia="Times New Roman" w:hAnsi="Times New Roman" w:cs="Times New Roman"/>
          <w:b/>
          <w:sz w:val="28"/>
        </w:rPr>
        <w:t xml:space="preserve"> </w:t>
      </w:r>
    </w:p>
    <w:p w:rsidR="0052701D" w:rsidRDefault="00D40929">
      <w:pPr>
        <w:spacing w:after="14" w:line="248" w:lineRule="auto"/>
        <w:ind w:left="713" w:right="44" w:hanging="5"/>
        <w:jc w:val="center"/>
      </w:pPr>
      <w:r>
        <w:rPr>
          <w:rFonts w:ascii="Times New Roman" w:eastAsia="Times New Roman" w:hAnsi="Times New Roman" w:cs="Times New Roman"/>
          <w:sz w:val="24"/>
        </w:rPr>
        <w:t xml:space="preserve">I.V. Lomakin, K.Yu. Samokhvalova </w:t>
      </w:r>
    </w:p>
    <w:p w:rsidR="0052701D" w:rsidRDefault="00D40929">
      <w:pPr>
        <w:spacing w:after="36" w:line="248" w:lineRule="auto"/>
        <w:ind w:left="1396" w:right="664" w:hanging="5"/>
        <w:jc w:val="center"/>
      </w:pPr>
      <w:r>
        <w:rPr>
          <w:rFonts w:ascii="Times New Roman" w:eastAsia="Times New Roman" w:hAnsi="Times New Roman" w:cs="Times New Roman"/>
          <w:sz w:val="24"/>
        </w:rPr>
        <w:t xml:space="preserve">Kazan State Power Engineering University, Kazan, Russian Federation, e-mail: lomakin_igor@mail.ru, kristina.samokhvalova.00@mail.ru </w:t>
      </w:r>
    </w:p>
    <w:p w:rsidR="0052701D" w:rsidRDefault="00D40929">
      <w:pPr>
        <w:spacing w:after="0"/>
        <w:ind w:left="741"/>
        <w:jc w:val="center"/>
      </w:pPr>
      <w:r>
        <w:rPr>
          <w:rFonts w:ascii="Times New Roman" w:eastAsia="Times New Roman" w:hAnsi="Times New Roman" w:cs="Times New Roman"/>
          <w:b/>
          <w:sz w:val="28"/>
        </w:rPr>
        <w:t xml:space="preserve"> </w:t>
      </w:r>
    </w:p>
    <w:p w:rsidR="0052701D" w:rsidRDefault="00D40929">
      <w:pPr>
        <w:spacing w:after="0" w:line="248" w:lineRule="auto"/>
        <w:ind w:left="283" w:right="322" w:firstLine="711"/>
        <w:jc w:val="both"/>
      </w:pPr>
      <w:r>
        <w:rPr>
          <w:rFonts w:ascii="Times New Roman" w:eastAsia="Times New Roman" w:hAnsi="Times New Roman" w:cs="Times New Roman"/>
          <w:b/>
          <w:i/>
          <w:sz w:val="24"/>
        </w:rPr>
        <w:t xml:space="preserve">Annotation. </w:t>
      </w:r>
      <w:r>
        <w:rPr>
          <w:rFonts w:ascii="Times New Roman" w:eastAsia="Times New Roman" w:hAnsi="Times New Roman" w:cs="Times New Roman"/>
          <w:i/>
          <w:sz w:val="24"/>
        </w:rPr>
        <w:t>Based on the analysis of modern devices for vacuum therapy, the requirements for the measuring channel of the mechatronic module, which provides control and management of vacuum under the suction cup, are determined. An algorithm for the functioning of the</w:t>
      </w:r>
      <w:r>
        <w:rPr>
          <w:rFonts w:ascii="Times New Roman" w:eastAsia="Times New Roman" w:hAnsi="Times New Roman" w:cs="Times New Roman"/>
          <w:i/>
          <w:sz w:val="24"/>
        </w:rPr>
        <w:t xml:space="preserve"> vacuum monitoring and control channel has been developed, and a scheme of the device has been proposed on its basis. For the selected processor and pressure sensor, a program code has been developed that implements the specified algorithm for the operatio</w:t>
      </w:r>
      <w:r>
        <w:rPr>
          <w:rFonts w:ascii="Times New Roman" w:eastAsia="Times New Roman" w:hAnsi="Times New Roman" w:cs="Times New Roman"/>
          <w:i/>
          <w:sz w:val="24"/>
        </w:rPr>
        <w:t xml:space="preserve">n of the monitoring and control channel. The operability of the device was tested on the current layout of the channel for monitoring and controlling the mechatronic module. </w:t>
      </w:r>
    </w:p>
    <w:p w:rsidR="0052701D" w:rsidRDefault="00D40929">
      <w:pPr>
        <w:spacing w:after="29" w:line="248" w:lineRule="auto"/>
        <w:ind w:left="283" w:firstLine="711"/>
        <w:jc w:val="both"/>
      </w:pPr>
      <w:r>
        <w:rPr>
          <w:rFonts w:ascii="Times New Roman" w:eastAsia="Times New Roman" w:hAnsi="Times New Roman" w:cs="Times New Roman"/>
          <w:b/>
          <w:i/>
          <w:sz w:val="24"/>
        </w:rPr>
        <w:t>Key words:</w:t>
      </w:r>
      <w:r>
        <w:rPr>
          <w:rFonts w:ascii="Times New Roman" w:eastAsia="Times New Roman" w:hAnsi="Times New Roman" w:cs="Times New Roman"/>
          <w:i/>
          <w:sz w:val="24"/>
        </w:rPr>
        <w:t xml:space="preserve"> mechatronic module, microcontroller, pressure sensor, control, vacuum </w:t>
      </w:r>
      <w:r>
        <w:rPr>
          <w:rFonts w:ascii="Times New Roman" w:eastAsia="Times New Roman" w:hAnsi="Times New Roman" w:cs="Times New Roman"/>
          <w:i/>
          <w:sz w:val="24"/>
        </w:rPr>
        <w:t xml:space="preserve">therapy control. </w:t>
      </w:r>
    </w:p>
    <w:p w:rsidR="0052701D" w:rsidRDefault="00D40929">
      <w:pPr>
        <w:spacing w:after="34"/>
        <w:ind w:left="994"/>
      </w:pPr>
      <w:r>
        <w:rPr>
          <w:rFonts w:ascii="Times New Roman" w:eastAsia="Times New Roman" w:hAnsi="Times New Roman" w:cs="Times New Roman"/>
          <w:sz w:val="28"/>
        </w:rPr>
        <w:t xml:space="preserve"> </w:t>
      </w:r>
    </w:p>
    <w:p w:rsidR="0052701D" w:rsidRDefault="00D40929">
      <w:pPr>
        <w:spacing w:after="3"/>
        <w:ind w:left="1004" w:hanging="10"/>
      </w:pPr>
      <w:r>
        <w:rPr>
          <w:rFonts w:ascii="Times New Roman" w:eastAsia="Times New Roman" w:hAnsi="Times New Roman" w:cs="Times New Roman"/>
          <w:b/>
          <w:i/>
          <w:sz w:val="28"/>
        </w:rPr>
        <w:t>Введение</w:t>
      </w:r>
      <w:r>
        <w:rPr>
          <w:rFonts w:ascii="Times New Roman" w:eastAsia="Times New Roman" w:hAnsi="Times New Roman" w:cs="Times New Roman"/>
          <w:sz w:val="28"/>
        </w:rPr>
        <w:t xml:space="preserve"> </w:t>
      </w:r>
    </w:p>
    <w:p w:rsidR="0052701D" w:rsidRDefault="00D40929">
      <w:pPr>
        <w:spacing w:after="29" w:line="248" w:lineRule="auto"/>
        <w:ind w:left="283" w:right="320" w:firstLine="711"/>
        <w:jc w:val="both"/>
      </w:pPr>
      <w:r>
        <w:rPr>
          <w:rFonts w:ascii="Times New Roman" w:eastAsia="Times New Roman" w:hAnsi="Times New Roman" w:cs="Times New Roman"/>
          <w:sz w:val="24"/>
        </w:rPr>
        <w:t xml:space="preserve">В настоящее время все большее распространение получают устройства вакуумной терапии, так как процедуры вакуумной терапии есть безболезненный и высокоэффективный метод лечебного воздействия на организм человека по сравнению </w:t>
      </w:r>
      <w:r>
        <w:rPr>
          <w:rFonts w:ascii="Times New Roman" w:eastAsia="Times New Roman" w:hAnsi="Times New Roman" w:cs="Times New Roman"/>
          <w:sz w:val="24"/>
        </w:rPr>
        <w:lastRenderedPageBreak/>
        <w:t>с д</w:t>
      </w:r>
      <w:r>
        <w:rPr>
          <w:rFonts w:ascii="Times New Roman" w:eastAsia="Times New Roman" w:hAnsi="Times New Roman" w:cs="Times New Roman"/>
          <w:sz w:val="24"/>
        </w:rPr>
        <w:t>ругими способами решения проблем со здоровьем. Вакуумный массаж осуществляется при помощи специализированных аппаратов, с помощью которых достаточно быстро и безболезненно разрушаются значительные жировые отложения под кожей, а также активизируется лимфоот</w:t>
      </w:r>
      <w:r>
        <w:rPr>
          <w:rFonts w:ascii="Times New Roman" w:eastAsia="Times New Roman" w:hAnsi="Times New Roman" w:cs="Times New Roman"/>
          <w:sz w:val="24"/>
        </w:rPr>
        <w:t xml:space="preserve">ток и как следствие вывод из организма накопившихся за долгое время шлаков и устранения отечности [1]. </w:t>
      </w:r>
    </w:p>
    <w:p w:rsidR="0052701D" w:rsidRDefault="00D40929">
      <w:pPr>
        <w:spacing w:after="29" w:line="248" w:lineRule="auto"/>
        <w:ind w:left="283" w:right="14" w:firstLine="711"/>
        <w:jc w:val="both"/>
      </w:pPr>
      <w:r>
        <w:rPr>
          <w:rFonts w:ascii="Times New Roman" w:eastAsia="Times New Roman" w:hAnsi="Times New Roman" w:cs="Times New Roman"/>
          <w:sz w:val="24"/>
        </w:rPr>
        <w:t xml:space="preserve">Целью работы является совершенствование канала контроля и управления вакуумом непосредственно в насадке аппарата вакуумного массажа.  </w:t>
      </w:r>
    </w:p>
    <w:p w:rsidR="0052701D" w:rsidRDefault="00D40929">
      <w:pPr>
        <w:spacing w:after="29" w:line="248" w:lineRule="auto"/>
        <w:ind w:left="283" w:right="321" w:firstLine="711"/>
        <w:jc w:val="both"/>
      </w:pPr>
      <w:r>
        <w:rPr>
          <w:rFonts w:ascii="Times New Roman" w:eastAsia="Times New Roman" w:hAnsi="Times New Roman" w:cs="Times New Roman"/>
          <w:sz w:val="24"/>
        </w:rPr>
        <w:t>Актуальность данной темы заключается в том, что необходимо повышение качества новых способов вакуумного лечения и повышение степени универсальности аппаратных средств за счет разработки аппликатора в виде мехатронного модуля и совершенствования канала конт</w:t>
      </w:r>
      <w:r>
        <w:rPr>
          <w:rFonts w:ascii="Times New Roman" w:eastAsia="Times New Roman" w:hAnsi="Times New Roman" w:cs="Times New Roman"/>
          <w:sz w:val="24"/>
        </w:rPr>
        <w:t xml:space="preserve">роля и управления вакуумом.  </w:t>
      </w:r>
      <w:r>
        <w:rPr>
          <w:rFonts w:ascii="Times New Roman" w:eastAsia="Times New Roman" w:hAnsi="Times New Roman" w:cs="Times New Roman"/>
          <w:b/>
          <w:i/>
          <w:sz w:val="28"/>
        </w:rPr>
        <w:t xml:space="preserve">Основная часть </w:t>
      </w:r>
    </w:p>
    <w:p w:rsidR="0052701D" w:rsidRDefault="00D40929">
      <w:pPr>
        <w:spacing w:after="29" w:line="248" w:lineRule="auto"/>
        <w:ind w:left="283" w:right="14" w:firstLine="711"/>
        <w:jc w:val="both"/>
      </w:pPr>
      <w:r>
        <w:rPr>
          <w:rFonts w:ascii="Times New Roman" w:eastAsia="Times New Roman" w:hAnsi="Times New Roman" w:cs="Times New Roman"/>
          <w:sz w:val="24"/>
        </w:rPr>
        <w:t xml:space="preserve">В исследовании используются методы современной теории программирования микроконтроллеров, математического и компьютерного моделирования. </w:t>
      </w:r>
    </w:p>
    <w:p w:rsidR="0052701D" w:rsidRDefault="00D40929">
      <w:pPr>
        <w:spacing w:after="29" w:line="248" w:lineRule="auto"/>
        <w:ind w:left="283" w:right="330" w:firstLine="711"/>
        <w:jc w:val="both"/>
      </w:pPr>
      <w:r>
        <w:rPr>
          <w:rFonts w:ascii="Times New Roman" w:eastAsia="Times New Roman" w:hAnsi="Times New Roman" w:cs="Times New Roman"/>
          <w:sz w:val="24"/>
        </w:rPr>
        <w:t>Анализ аппаратов для вакуумной терапии показал, что в настоящее время они</w:t>
      </w:r>
      <w:r>
        <w:rPr>
          <w:rFonts w:ascii="Times New Roman" w:eastAsia="Times New Roman" w:hAnsi="Times New Roman" w:cs="Times New Roman"/>
          <w:sz w:val="24"/>
        </w:rPr>
        <w:t xml:space="preserve"> специализируются по двум основным направлениям: устройства для лечения ран отрицательным давлением и, собственно, устройства для стимулирующий массажа. </w:t>
      </w:r>
    </w:p>
    <w:p w:rsidR="0052701D" w:rsidRDefault="00D40929">
      <w:pPr>
        <w:spacing w:after="0" w:line="248" w:lineRule="auto"/>
        <w:ind w:left="283" w:right="326" w:firstLine="711"/>
        <w:jc w:val="both"/>
      </w:pPr>
      <w:r>
        <w:rPr>
          <w:rFonts w:ascii="Times New Roman" w:eastAsia="Times New Roman" w:hAnsi="Times New Roman" w:cs="Times New Roman"/>
          <w:sz w:val="24"/>
        </w:rPr>
        <w:t>Например, устройство для лечения инфицированных и гнойных ран содержит корпус, на с сенсорным экраном,</w:t>
      </w:r>
      <w:r>
        <w:rPr>
          <w:rFonts w:ascii="Times New Roman" w:eastAsia="Times New Roman" w:hAnsi="Times New Roman" w:cs="Times New Roman"/>
          <w:sz w:val="24"/>
        </w:rPr>
        <w:t xml:space="preserve"> являющимся средством управления прибором. Плата управления, подключенная к средству управления прибором размещается внутри корпуса. Вакуумный насос позволяет удалять воздух или жидкость из раны. Датчик давления подключен к плате управления и дает возможно</w:t>
      </w:r>
      <w:r>
        <w:rPr>
          <w:rFonts w:ascii="Times New Roman" w:eastAsia="Times New Roman" w:hAnsi="Times New Roman" w:cs="Times New Roman"/>
          <w:sz w:val="24"/>
        </w:rPr>
        <w:t xml:space="preserve">сть измерять давление в области раны. Электромагнитный клапан служитдля сбрасывания излишнего давления в системе. [2]. </w:t>
      </w:r>
    </w:p>
    <w:p w:rsidR="0052701D" w:rsidRDefault="00D40929">
      <w:pPr>
        <w:spacing w:after="0" w:line="248" w:lineRule="auto"/>
        <w:ind w:left="283" w:right="316" w:firstLine="711"/>
        <w:jc w:val="both"/>
      </w:pPr>
      <w:r>
        <w:rPr>
          <w:rFonts w:ascii="Times New Roman" w:eastAsia="Times New Roman" w:hAnsi="Times New Roman" w:cs="Times New Roman"/>
          <w:sz w:val="24"/>
        </w:rPr>
        <w:t xml:space="preserve">В приборе для лечения ран отрицательным давлением для создания отрицательного давления над раной используется покровный слой. Покровный </w:t>
      </w:r>
      <w:r>
        <w:rPr>
          <w:rFonts w:ascii="Times New Roman" w:eastAsia="Times New Roman" w:hAnsi="Times New Roman" w:cs="Times New Roman"/>
          <w:sz w:val="24"/>
        </w:rPr>
        <w:t>слой имеет отверстие, через которое могут удаляться из раны газы и экссудат. Устройство также содержит вакуумный порт с разъемами для подключения к вакуумному устройству и к покровному слою. Вакуумный порт содержит внутреннюю полость для сглаживания скачко</w:t>
      </w:r>
      <w:r>
        <w:rPr>
          <w:rFonts w:ascii="Times New Roman" w:eastAsia="Times New Roman" w:hAnsi="Times New Roman" w:cs="Times New Roman"/>
          <w:sz w:val="24"/>
        </w:rPr>
        <w:t xml:space="preserve">в давления. [3]. </w:t>
      </w:r>
    </w:p>
    <w:p w:rsidR="0052701D" w:rsidRDefault="00D40929">
      <w:pPr>
        <w:spacing w:after="29" w:line="248" w:lineRule="auto"/>
        <w:ind w:left="283" w:right="323" w:firstLine="711"/>
        <w:jc w:val="both"/>
      </w:pPr>
      <w:r>
        <w:rPr>
          <w:rFonts w:ascii="Times New Roman" w:eastAsia="Times New Roman" w:hAnsi="Times New Roman" w:cs="Times New Roman"/>
          <w:sz w:val="24"/>
        </w:rPr>
        <w:t xml:space="preserve">Таким образом устройства для лечения ран обеспечивают поддержание заданного давления и отсос экссудата из раны. Различные режимы управления давлением отсутствуют.  </w:t>
      </w:r>
    </w:p>
    <w:p w:rsidR="0052701D" w:rsidRDefault="00D40929">
      <w:pPr>
        <w:spacing w:after="29" w:line="248" w:lineRule="auto"/>
        <w:ind w:left="283" w:right="327" w:firstLine="711"/>
        <w:jc w:val="both"/>
      </w:pPr>
      <w:r>
        <w:rPr>
          <w:rFonts w:ascii="Times New Roman" w:eastAsia="Times New Roman" w:hAnsi="Times New Roman" w:cs="Times New Roman"/>
          <w:sz w:val="24"/>
        </w:rPr>
        <w:t>В устройстве для вакуумного массажа, также имеется вакуумный насос, подкл</w:t>
      </w:r>
      <w:r>
        <w:rPr>
          <w:rFonts w:ascii="Times New Roman" w:eastAsia="Times New Roman" w:hAnsi="Times New Roman" w:cs="Times New Roman"/>
          <w:sz w:val="24"/>
        </w:rPr>
        <w:t>юченный с помощью вакуумных шлангов к коллектору, связанному гибкими вакуумными шлангами с аппликаторами. Устройство имеет электронный блок управления параметрами воздействия, позволяющий задавать значения амплитудных и временных параметров воздействия. Од</w:t>
      </w:r>
      <w:r>
        <w:rPr>
          <w:rFonts w:ascii="Times New Roman" w:eastAsia="Times New Roman" w:hAnsi="Times New Roman" w:cs="Times New Roman"/>
          <w:sz w:val="24"/>
        </w:rPr>
        <w:t>нако датчики давления и регуляторы скорости изменения разрежения, установлены в коллекторе, что снижает точность регулировки давления под аппликаторами. Регуляторы скорости изменения разрежения предлагается выполнить в виде клапанов с регулируемым проходны</w:t>
      </w:r>
      <w:r>
        <w:rPr>
          <w:rFonts w:ascii="Times New Roman" w:eastAsia="Times New Roman" w:hAnsi="Times New Roman" w:cs="Times New Roman"/>
          <w:sz w:val="24"/>
        </w:rPr>
        <w:t xml:space="preserve">м сечением [4]. </w:t>
      </w:r>
    </w:p>
    <w:p w:rsidR="0052701D" w:rsidRDefault="00D40929">
      <w:pPr>
        <w:spacing w:after="0" w:line="248" w:lineRule="auto"/>
        <w:ind w:left="283" w:right="319" w:firstLine="711"/>
        <w:jc w:val="both"/>
      </w:pPr>
      <w:r>
        <w:rPr>
          <w:rFonts w:ascii="Times New Roman" w:eastAsia="Times New Roman" w:hAnsi="Times New Roman" w:cs="Times New Roman"/>
          <w:sz w:val="24"/>
        </w:rPr>
        <w:t>Мобильным переносной вакуумный аппарат для баночного массажа используется для проведения баночного массажа (оздоровительного, спортивного, лечебного, косметического и гигиенического). Этот аппарат содержит блок управления, подключенный к с</w:t>
      </w:r>
      <w:r>
        <w:rPr>
          <w:rFonts w:ascii="Times New Roman" w:eastAsia="Times New Roman" w:hAnsi="Times New Roman" w:cs="Times New Roman"/>
          <w:sz w:val="24"/>
        </w:rPr>
        <w:t xml:space="preserve">истеме вакуумирования и коллектору с отсечными и регулирующим клапанами. [5]. Однако регулировка давления осуществляется путем дросселирования, что приводит к повышенному расходу энергии. </w:t>
      </w:r>
    </w:p>
    <w:p w:rsidR="0052701D" w:rsidRDefault="00D40929">
      <w:pPr>
        <w:spacing w:after="0" w:line="248" w:lineRule="auto"/>
        <w:ind w:left="283" w:right="324" w:firstLine="711"/>
        <w:jc w:val="both"/>
      </w:pPr>
      <w:r>
        <w:rPr>
          <w:rFonts w:ascii="Times New Roman" w:eastAsia="Times New Roman" w:hAnsi="Times New Roman" w:cs="Times New Roman"/>
          <w:sz w:val="24"/>
        </w:rPr>
        <w:t>Рассмотренные аппараты являются либо громоздкими, не применимыми для работы в полевых условиях, либо не обеспечивающими различные режимы управления давлением. Проблема в том, что данные аппараты очень мощные, поскольку пытаются дать возможность заживлять р</w:t>
      </w:r>
      <w:r>
        <w:rPr>
          <w:rFonts w:ascii="Times New Roman" w:eastAsia="Times New Roman" w:hAnsi="Times New Roman" w:cs="Times New Roman"/>
          <w:sz w:val="24"/>
        </w:rPr>
        <w:t xml:space="preserve">аны в короткие сроки. А при использовании давления высокой мощности и устаревших стеклянных банок вместо заживления оказывают на </w:t>
      </w:r>
      <w:r>
        <w:rPr>
          <w:rFonts w:ascii="Times New Roman" w:eastAsia="Times New Roman" w:hAnsi="Times New Roman" w:cs="Times New Roman"/>
          <w:sz w:val="24"/>
        </w:rPr>
        <w:lastRenderedPageBreak/>
        <w:t xml:space="preserve">организм негативные последствия, такие как: кровоизлияние, дополнительные микротравмы, синяки, отёки. </w:t>
      </w:r>
    </w:p>
    <w:p w:rsidR="0052701D" w:rsidRDefault="00D40929">
      <w:pPr>
        <w:spacing w:after="0" w:line="248" w:lineRule="auto"/>
        <w:ind w:left="283" w:right="320" w:firstLine="711"/>
        <w:jc w:val="both"/>
      </w:pPr>
      <w:r>
        <w:rPr>
          <w:rFonts w:ascii="Times New Roman" w:eastAsia="Times New Roman" w:hAnsi="Times New Roman" w:cs="Times New Roman"/>
          <w:sz w:val="24"/>
        </w:rPr>
        <w:t>Для получения оптимально</w:t>
      </w:r>
      <w:r>
        <w:rPr>
          <w:rFonts w:ascii="Times New Roman" w:eastAsia="Times New Roman" w:hAnsi="Times New Roman" w:cs="Times New Roman"/>
          <w:sz w:val="24"/>
        </w:rPr>
        <w:t xml:space="preserve">го результата и лучшего эффекта от использования данных устройств необходимо, чтобы в приборах были предусмотрены регулировка давления вакуумного массажа и несколько уровней интенсивности воздействия на кожу пациента [6]. </w:t>
      </w:r>
    </w:p>
    <w:p w:rsidR="0052701D" w:rsidRDefault="00D40929">
      <w:pPr>
        <w:spacing w:after="0" w:line="248" w:lineRule="auto"/>
        <w:ind w:left="283" w:right="325" w:firstLine="711"/>
        <w:jc w:val="both"/>
      </w:pPr>
      <w:r>
        <w:rPr>
          <w:rFonts w:ascii="Times New Roman" w:eastAsia="Times New Roman" w:hAnsi="Times New Roman" w:cs="Times New Roman"/>
          <w:sz w:val="24"/>
        </w:rPr>
        <w:t>Поэтому создание мехатронного мод</w:t>
      </w:r>
      <w:r>
        <w:rPr>
          <w:rFonts w:ascii="Times New Roman" w:eastAsia="Times New Roman" w:hAnsi="Times New Roman" w:cs="Times New Roman"/>
          <w:sz w:val="24"/>
        </w:rPr>
        <w:t>уля для вакуумной терапии, воздействующего на на отдельные части тела является необходимым. Суть действия аппарата вакуумной терапии сводится к тому, что он создает над поверхностью кожи вакуум, тем самым способствует расширению капилляров, увеличивает при</w:t>
      </w:r>
      <w:r>
        <w:rPr>
          <w:rFonts w:ascii="Times New Roman" w:eastAsia="Times New Roman" w:hAnsi="Times New Roman" w:cs="Times New Roman"/>
          <w:sz w:val="24"/>
        </w:rPr>
        <w:t>ток крови и улучшает лимфоотток. То есть, он исполняет роль своеобразного насоса, который восстанавливает нормальный метаболизм в клетках. Необходимо, чтобы прибор работал периодически, то есть воздействовал на организм попеременно отрицательным и атмосфер</w:t>
      </w:r>
      <w:r>
        <w:rPr>
          <w:rFonts w:ascii="Times New Roman" w:eastAsia="Times New Roman" w:hAnsi="Times New Roman" w:cs="Times New Roman"/>
          <w:sz w:val="24"/>
        </w:rPr>
        <w:t xml:space="preserve">ным давлением, а также мог воздействовать на отдельные части тела, соответственно применяться местно [6].  </w:t>
      </w:r>
    </w:p>
    <w:p w:rsidR="0052701D" w:rsidRDefault="00D40929">
      <w:pPr>
        <w:spacing w:after="29" w:line="248" w:lineRule="auto"/>
        <w:ind w:left="283" w:right="325" w:firstLine="711"/>
        <w:jc w:val="both"/>
      </w:pPr>
      <w:r>
        <w:rPr>
          <w:rFonts w:ascii="Times New Roman" w:eastAsia="Times New Roman" w:hAnsi="Times New Roman" w:cs="Times New Roman"/>
          <w:sz w:val="24"/>
        </w:rPr>
        <w:t>На основе анализа современных аппаратов для вакуумной терапии, определены требования к измерительному каналу мехатронного модуля, обеспечивающего ко</w:t>
      </w:r>
      <w:r>
        <w:rPr>
          <w:rFonts w:ascii="Times New Roman" w:eastAsia="Times New Roman" w:hAnsi="Times New Roman" w:cs="Times New Roman"/>
          <w:sz w:val="24"/>
        </w:rPr>
        <w:t xml:space="preserve">нтроль и управление вакуумом под присоском. </w:t>
      </w:r>
    </w:p>
    <w:p w:rsidR="0052701D" w:rsidRDefault="00D40929">
      <w:pPr>
        <w:numPr>
          <w:ilvl w:val="0"/>
          <w:numId w:val="63"/>
        </w:numPr>
        <w:spacing w:after="29" w:line="248" w:lineRule="auto"/>
        <w:ind w:right="14" w:firstLine="711"/>
        <w:jc w:val="both"/>
      </w:pPr>
      <w:r>
        <w:rPr>
          <w:rFonts w:ascii="Times New Roman" w:eastAsia="Times New Roman" w:hAnsi="Times New Roman" w:cs="Times New Roman"/>
          <w:sz w:val="24"/>
        </w:rPr>
        <w:t xml:space="preserve">Регулировка давления в пределах от -13 до -267 гПа. </w:t>
      </w:r>
    </w:p>
    <w:p w:rsidR="0052701D" w:rsidRDefault="00D40929">
      <w:pPr>
        <w:numPr>
          <w:ilvl w:val="0"/>
          <w:numId w:val="63"/>
        </w:numPr>
        <w:spacing w:after="29" w:line="248" w:lineRule="auto"/>
        <w:ind w:right="14" w:firstLine="711"/>
        <w:jc w:val="both"/>
      </w:pPr>
      <w:r>
        <w:rPr>
          <w:rFonts w:ascii="Times New Roman" w:eastAsia="Times New Roman" w:hAnsi="Times New Roman" w:cs="Times New Roman"/>
          <w:sz w:val="24"/>
        </w:rPr>
        <w:t xml:space="preserve">Необходимо, чтобы модуль обеспечивал два режима работы: постоянный и переменный. </w:t>
      </w:r>
    </w:p>
    <w:p w:rsidR="0052701D" w:rsidRDefault="00D40929">
      <w:pPr>
        <w:numPr>
          <w:ilvl w:val="0"/>
          <w:numId w:val="63"/>
        </w:numPr>
        <w:spacing w:after="29" w:line="248" w:lineRule="auto"/>
        <w:ind w:right="14" w:firstLine="711"/>
        <w:jc w:val="both"/>
      </w:pPr>
      <w:r>
        <w:rPr>
          <w:rFonts w:ascii="Times New Roman" w:eastAsia="Times New Roman" w:hAnsi="Times New Roman" w:cs="Times New Roman"/>
          <w:sz w:val="24"/>
        </w:rPr>
        <w:t xml:space="preserve">Должен обеспечивать несколько уровней подачи вакуума: </w:t>
      </w:r>
    </w:p>
    <w:p w:rsidR="0052701D" w:rsidRDefault="00D40929">
      <w:pPr>
        <w:numPr>
          <w:ilvl w:val="0"/>
          <w:numId w:val="64"/>
        </w:numPr>
        <w:spacing w:after="29" w:line="248" w:lineRule="auto"/>
        <w:ind w:right="14" w:hanging="259"/>
        <w:jc w:val="both"/>
      </w:pPr>
      <w:r>
        <w:rPr>
          <w:rFonts w:ascii="Times New Roman" w:eastAsia="Times New Roman" w:hAnsi="Times New Roman" w:cs="Times New Roman"/>
          <w:sz w:val="24"/>
        </w:rPr>
        <w:t>от 107  гПа. до 127 г</w:t>
      </w:r>
      <w:r>
        <w:rPr>
          <w:rFonts w:ascii="Times New Roman" w:eastAsia="Times New Roman" w:hAnsi="Times New Roman" w:cs="Times New Roman"/>
          <w:sz w:val="24"/>
        </w:rPr>
        <w:t xml:space="preserve">Па. </w:t>
      </w:r>
    </w:p>
    <w:p w:rsidR="0052701D" w:rsidRDefault="00D40929">
      <w:pPr>
        <w:numPr>
          <w:ilvl w:val="0"/>
          <w:numId w:val="64"/>
        </w:numPr>
        <w:spacing w:after="29" w:line="248" w:lineRule="auto"/>
        <w:ind w:right="14" w:hanging="259"/>
        <w:jc w:val="both"/>
      </w:pPr>
      <w:r>
        <w:rPr>
          <w:rFonts w:ascii="Times New Roman" w:eastAsia="Times New Roman" w:hAnsi="Times New Roman" w:cs="Times New Roman"/>
          <w:sz w:val="24"/>
        </w:rPr>
        <w:t xml:space="preserve">от 127 гПа. до 147 гПа. </w:t>
      </w:r>
    </w:p>
    <w:p w:rsidR="0052701D" w:rsidRDefault="00D40929">
      <w:pPr>
        <w:numPr>
          <w:ilvl w:val="0"/>
          <w:numId w:val="64"/>
        </w:numPr>
        <w:spacing w:after="29" w:line="248" w:lineRule="auto"/>
        <w:ind w:right="14" w:hanging="259"/>
        <w:jc w:val="both"/>
      </w:pPr>
      <w:r>
        <w:rPr>
          <w:rFonts w:ascii="Times New Roman" w:eastAsia="Times New Roman" w:hAnsi="Times New Roman" w:cs="Times New Roman"/>
          <w:sz w:val="24"/>
        </w:rPr>
        <w:t xml:space="preserve">от 147 гПа. до 167 гПа. </w:t>
      </w:r>
    </w:p>
    <w:p w:rsidR="0052701D" w:rsidRDefault="00D40929">
      <w:pPr>
        <w:numPr>
          <w:ilvl w:val="0"/>
          <w:numId w:val="65"/>
        </w:numPr>
        <w:spacing w:after="29" w:line="248" w:lineRule="auto"/>
        <w:ind w:right="245" w:firstLine="711"/>
        <w:jc w:val="both"/>
      </w:pPr>
      <w:r>
        <w:rPr>
          <w:rFonts w:ascii="Times New Roman" w:eastAsia="Times New Roman" w:hAnsi="Times New Roman" w:cs="Times New Roman"/>
          <w:sz w:val="24"/>
        </w:rPr>
        <w:t xml:space="preserve">При постоянном режиме должен обеспечивать длительную аспирацию из раны с уровнем вакуума от 107 гПа. до 160 гПа. </w:t>
      </w:r>
    </w:p>
    <w:p w:rsidR="0052701D" w:rsidRDefault="00D40929">
      <w:pPr>
        <w:numPr>
          <w:ilvl w:val="0"/>
          <w:numId w:val="65"/>
        </w:numPr>
        <w:spacing w:after="29" w:line="248" w:lineRule="auto"/>
        <w:ind w:right="245" w:firstLine="711"/>
        <w:jc w:val="both"/>
      </w:pPr>
      <w:r>
        <w:rPr>
          <w:rFonts w:ascii="Times New Roman" w:eastAsia="Times New Roman" w:hAnsi="Times New Roman" w:cs="Times New Roman"/>
          <w:sz w:val="24"/>
        </w:rPr>
        <w:t>При переменном режиме работы необходим контроль времени воздействия отрицательным давле</w:t>
      </w:r>
      <w:r>
        <w:rPr>
          <w:rFonts w:ascii="Times New Roman" w:eastAsia="Times New Roman" w:hAnsi="Times New Roman" w:cs="Times New Roman"/>
          <w:sz w:val="24"/>
        </w:rPr>
        <w:t xml:space="preserve">нием на рану. Аппарат должен работать циклично: работа в течение 40 секунд (активный вакуум), затем пауза на 20 секунд (атмосферное давление). </w:t>
      </w:r>
    </w:p>
    <w:p w:rsidR="0052701D" w:rsidRDefault="00D40929">
      <w:pPr>
        <w:spacing w:after="0" w:line="248" w:lineRule="auto"/>
        <w:ind w:left="283" w:right="324" w:firstLine="711"/>
        <w:jc w:val="both"/>
      </w:pPr>
      <w:r>
        <w:rPr>
          <w:rFonts w:ascii="Times New Roman" w:eastAsia="Times New Roman" w:hAnsi="Times New Roman" w:cs="Times New Roman"/>
          <w:sz w:val="24"/>
        </w:rPr>
        <w:t>Разрабатываемый мехатронный модуль должен объединить в едином корпусе датчик давления, два пневмоклапана (или один трехпозиционный), процессор небольшой дисплей и три микрокнопки управления. Корпус модуля предполагает возможность смены элластичных насадок.</w:t>
      </w:r>
      <w:r>
        <w:rPr>
          <w:rFonts w:ascii="Times New Roman" w:eastAsia="Times New Roman" w:hAnsi="Times New Roman" w:cs="Times New Roman"/>
          <w:sz w:val="24"/>
        </w:rPr>
        <w:t xml:space="preserve"> Пониженное давление обеспечивается любым внешним вакуумным насосом. </w:t>
      </w:r>
    </w:p>
    <w:p w:rsidR="0052701D" w:rsidRDefault="00D40929">
      <w:pPr>
        <w:spacing w:after="29" w:line="248" w:lineRule="auto"/>
        <w:ind w:left="283" w:right="328" w:firstLine="711"/>
        <w:jc w:val="both"/>
      </w:pPr>
      <w:r>
        <w:rPr>
          <w:rFonts w:ascii="Times New Roman" w:eastAsia="Times New Roman" w:hAnsi="Times New Roman" w:cs="Times New Roman"/>
          <w:sz w:val="24"/>
        </w:rPr>
        <w:t xml:space="preserve">Для решения данных задач нужно произвести поиск доступных на рынке деталей, необходимых для реализации проекта. Следует подобрать программную среду и язык программирования для написания прошивки под выбранный микроконтроллер.  </w:t>
      </w:r>
    </w:p>
    <w:p w:rsidR="0052701D" w:rsidRDefault="00D40929">
      <w:pPr>
        <w:spacing w:after="29" w:line="248" w:lineRule="auto"/>
        <w:ind w:left="283" w:right="14" w:firstLine="711"/>
        <w:jc w:val="both"/>
      </w:pPr>
      <w:r>
        <w:rPr>
          <w:rFonts w:ascii="Times New Roman" w:eastAsia="Times New Roman" w:hAnsi="Times New Roman" w:cs="Times New Roman"/>
          <w:sz w:val="24"/>
        </w:rPr>
        <w:t xml:space="preserve">Разрабатываемый мехатронный </w:t>
      </w:r>
      <w:r>
        <w:rPr>
          <w:rFonts w:ascii="Times New Roman" w:eastAsia="Times New Roman" w:hAnsi="Times New Roman" w:cs="Times New Roman"/>
          <w:sz w:val="24"/>
        </w:rPr>
        <w:t xml:space="preserve">модуль будет осуществлять поддержание изменяющегося отрицательного давления в области раны.  </w:t>
      </w:r>
    </w:p>
    <w:p w:rsidR="0052701D" w:rsidRDefault="00D40929">
      <w:pPr>
        <w:spacing w:after="4" w:line="248" w:lineRule="auto"/>
        <w:ind w:left="283" w:right="317" w:firstLine="711"/>
        <w:jc w:val="both"/>
      </w:pPr>
      <w:r>
        <w:rPr>
          <w:rFonts w:ascii="Times New Roman" w:eastAsia="Times New Roman" w:hAnsi="Times New Roman" w:cs="Times New Roman"/>
          <w:sz w:val="24"/>
        </w:rPr>
        <w:t>Разработанный макет мехатронного модуля состоит из микроконтроллера на основе микроконтроллера Arduino, датчика давления давления BMP280, имеющего достаточно широ</w:t>
      </w:r>
      <w:r>
        <w:rPr>
          <w:rFonts w:ascii="Times New Roman" w:eastAsia="Times New Roman" w:hAnsi="Times New Roman" w:cs="Times New Roman"/>
          <w:sz w:val="24"/>
        </w:rPr>
        <w:t xml:space="preserve">кий диапазон измерений (от 30 до110 кПа) для серии Arduino и ее аналогов, клапанного элемента для избирательного обеспечения связи между рессивером и областью раны. Для поддержания отрицательного давления в области раны работает внешний откачивающий насос </w:t>
      </w:r>
      <w:r>
        <w:rPr>
          <w:rFonts w:ascii="Times New Roman" w:eastAsia="Times New Roman" w:hAnsi="Times New Roman" w:cs="Times New Roman"/>
          <w:sz w:val="24"/>
        </w:rPr>
        <w:t>и емкость отрицательного давления. Когда отрицательное давление в указанной емкости превышает пороговое значение отрицательного давления, и обеспечивая тем самым заданного отрицательного давления в области раны, причем в ответ на снижение давления в указан</w:t>
      </w:r>
      <w:r>
        <w:rPr>
          <w:rFonts w:ascii="Times New Roman" w:eastAsia="Times New Roman" w:hAnsi="Times New Roman" w:cs="Times New Roman"/>
          <w:sz w:val="24"/>
        </w:rPr>
        <w:t xml:space="preserve">ной емкости до порогового значения </w:t>
      </w:r>
      <w:r>
        <w:rPr>
          <w:rFonts w:ascii="Times New Roman" w:eastAsia="Times New Roman" w:hAnsi="Times New Roman" w:cs="Times New Roman"/>
          <w:sz w:val="24"/>
        </w:rPr>
        <w:lastRenderedPageBreak/>
        <w:t xml:space="preserve">отрицательного давления предусмотрено приведение в действие откачивающего насоса с целью восстановления в указанной емкости начального отрицательного давления.  </w:t>
      </w:r>
    </w:p>
    <w:p w:rsidR="0052701D" w:rsidRDefault="00D40929">
      <w:pPr>
        <w:spacing w:after="0" w:line="248" w:lineRule="auto"/>
        <w:ind w:left="283" w:right="322" w:firstLine="711"/>
        <w:jc w:val="both"/>
      </w:pPr>
      <w:r>
        <w:rPr>
          <w:rFonts w:ascii="Times New Roman" w:eastAsia="Times New Roman" w:hAnsi="Times New Roman" w:cs="Times New Roman"/>
          <w:sz w:val="24"/>
        </w:rPr>
        <w:t xml:space="preserve">Устройство также может содержать контроллер, выполненный с </w:t>
      </w:r>
      <w:r>
        <w:rPr>
          <w:rFonts w:ascii="Times New Roman" w:eastAsia="Times New Roman" w:hAnsi="Times New Roman" w:cs="Times New Roman"/>
          <w:sz w:val="24"/>
        </w:rPr>
        <w:t>возможностью управления откачивающим насосом так, чтобы обеспечивать начальное отрицательное давление в емкости отрицательного давления в зависимости от давления на датчике давления. Однако этот вопрос требует дополнительной проработки, так как возможно ув</w:t>
      </w:r>
      <w:r>
        <w:rPr>
          <w:rFonts w:ascii="Times New Roman" w:eastAsia="Times New Roman" w:hAnsi="Times New Roman" w:cs="Times New Roman"/>
          <w:sz w:val="24"/>
        </w:rPr>
        <w:t xml:space="preserve">еличение количества внешних связей и, как следствие, снижение автономности модуля. </w:t>
      </w:r>
    </w:p>
    <w:p w:rsidR="0052701D" w:rsidRDefault="00D40929">
      <w:pPr>
        <w:spacing w:after="0" w:line="248" w:lineRule="auto"/>
        <w:ind w:left="283" w:right="322" w:firstLine="711"/>
        <w:jc w:val="both"/>
      </w:pPr>
      <w:r>
        <w:rPr>
          <w:rFonts w:ascii="Times New Roman" w:eastAsia="Times New Roman" w:hAnsi="Times New Roman" w:cs="Times New Roman"/>
          <w:sz w:val="24"/>
        </w:rPr>
        <w:t>Задача заключается в создании устройства, обеспечивающего подачу отрицательного давления в область раны в течение длительного периода без необходимости приведения в действи</w:t>
      </w:r>
      <w:r>
        <w:rPr>
          <w:rFonts w:ascii="Times New Roman" w:eastAsia="Times New Roman" w:hAnsi="Times New Roman" w:cs="Times New Roman"/>
          <w:sz w:val="24"/>
        </w:rPr>
        <w:t>е механизированного источника отрицательного давления. Также необходима регулировка подачи отрицательного давления. К регулируемым характеристикам относятся: продолжительность и интенсивность процедуры, режим воздействия, уровень давления. Для каждого случ</w:t>
      </w:r>
      <w:r>
        <w:rPr>
          <w:rFonts w:ascii="Times New Roman" w:eastAsia="Times New Roman" w:hAnsi="Times New Roman" w:cs="Times New Roman"/>
          <w:sz w:val="24"/>
        </w:rPr>
        <w:t xml:space="preserve">ая возможен подбор особых параметров, с учётом мышечного тонуса, состояния венозной стенки, других индивидуальных особенностей [2],[3] </w:t>
      </w:r>
    </w:p>
    <w:p w:rsidR="0052701D" w:rsidRDefault="00D40929">
      <w:pPr>
        <w:spacing w:after="0" w:line="248" w:lineRule="auto"/>
        <w:ind w:left="283" w:right="328" w:firstLine="711"/>
        <w:jc w:val="both"/>
      </w:pPr>
      <w:r>
        <w:rPr>
          <w:rFonts w:ascii="Times New Roman" w:eastAsia="Times New Roman" w:hAnsi="Times New Roman" w:cs="Times New Roman"/>
          <w:sz w:val="24"/>
        </w:rPr>
        <w:t xml:space="preserve">В результате исследования на основе подробного изучения объекта управления был получен алгоритм функционирования канала </w:t>
      </w:r>
      <w:r>
        <w:rPr>
          <w:rFonts w:ascii="Times New Roman" w:eastAsia="Times New Roman" w:hAnsi="Times New Roman" w:cs="Times New Roman"/>
          <w:sz w:val="24"/>
        </w:rPr>
        <w:t xml:space="preserve">контроля вакуумметрического давления и на его основе предложена схема устройства. На основе алгоритма функционирования разработана структурная схема канала контроля давлением и управления мехатронным модулем (рис.1). </w:t>
      </w:r>
    </w:p>
    <w:p w:rsidR="0052701D" w:rsidRDefault="00D40929">
      <w:pPr>
        <w:spacing w:after="0"/>
        <w:ind w:left="994"/>
      </w:pPr>
      <w:r>
        <w:rPr>
          <w:rFonts w:ascii="Times New Roman" w:eastAsia="Times New Roman" w:hAnsi="Times New Roman" w:cs="Times New Roman"/>
          <w:sz w:val="24"/>
        </w:rPr>
        <w:t xml:space="preserve"> </w:t>
      </w:r>
    </w:p>
    <w:p w:rsidR="0052701D" w:rsidRDefault="00D40929">
      <w:pPr>
        <w:spacing w:after="0"/>
        <w:ind w:right="1726"/>
        <w:jc w:val="right"/>
      </w:pPr>
      <w:r>
        <w:rPr>
          <w:noProof/>
        </w:rPr>
        <w:drawing>
          <wp:inline distT="0" distB="0" distL="0" distR="0">
            <wp:extent cx="3895344" cy="2383536"/>
            <wp:effectExtent l="0" t="0" r="0" b="0"/>
            <wp:docPr id="35780" name="Picture 35780"/>
            <wp:cNvGraphicFramePr/>
            <a:graphic xmlns:a="http://schemas.openxmlformats.org/drawingml/2006/main">
              <a:graphicData uri="http://schemas.openxmlformats.org/drawingml/2006/picture">
                <pic:pic xmlns:pic="http://schemas.openxmlformats.org/drawingml/2006/picture">
                  <pic:nvPicPr>
                    <pic:cNvPr id="35780" name="Picture 35780"/>
                    <pic:cNvPicPr/>
                  </pic:nvPicPr>
                  <pic:blipFill>
                    <a:blip r:embed="rId507"/>
                    <a:stretch>
                      <a:fillRect/>
                    </a:stretch>
                  </pic:blipFill>
                  <pic:spPr>
                    <a:xfrm>
                      <a:off x="0" y="0"/>
                      <a:ext cx="3895344" cy="2383536"/>
                    </a:xfrm>
                    <a:prstGeom prst="rect">
                      <a:avLst/>
                    </a:prstGeom>
                  </pic:spPr>
                </pic:pic>
              </a:graphicData>
            </a:graphic>
          </wp:inline>
        </w:drawing>
      </w:r>
      <w:r>
        <w:rPr>
          <w:rFonts w:ascii="Times New Roman" w:eastAsia="Times New Roman" w:hAnsi="Times New Roman" w:cs="Times New Roman"/>
          <w:sz w:val="24"/>
        </w:rPr>
        <w:t xml:space="preserve"> </w:t>
      </w:r>
    </w:p>
    <w:p w:rsidR="0052701D" w:rsidRDefault="00D40929">
      <w:pPr>
        <w:spacing w:after="14" w:line="248" w:lineRule="auto"/>
        <w:ind w:left="713" w:right="752" w:hanging="5"/>
        <w:jc w:val="center"/>
      </w:pPr>
      <w:r>
        <w:rPr>
          <w:rFonts w:ascii="Times New Roman" w:eastAsia="Times New Roman" w:hAnsi="Times New Roman" w:cs="Times New Roman"/>
          <w:sz w:val="24"/>
        </w:rPr>
        <w:t>1-корпус; 2- кнопки управления; 3</w:t>
      </w:r>
      <w:r>
        <w:rPr>
          <w:rFonts w:ascii="Times New Roman" w:eastAsia="Times New Roman" w:hAnsi="Times New Roman" w:cs="Times New Roman"/>
          <w:sz w:val="24"/>
        </w:rPr>
        <w:t xml:space="preserve">- дисплей; 4 – штуцер; </w:t>
      </w:r>
    </w:p>
    <w:p w:rsidR="0052701D" w:rsidRDefault="00D40929">
      <w:pPr>
        <w:spacing w:after="14" w:line="248" w:lineRule="auto"/>
        <w:ind w:left="713" w:right="751" w:hanging="5"/>
        <w:jc w:val="center"/>
      </w:pPr>
      <w:r>
        <w:rPr>
          <w:rFonts w:ascii="Times New Roman" w:eastAsia="Times New Roman" w:hAnsi="Times New Roman" w:cs="Times New Roman"/>
          <w:sz w:val="24"/>
        </w:rPr>
        <w:t xml:space="preserve">5 – эластичная насадка; 6 кольцевая проточка </w:t>
      </w:r>
    </w:p>
    <w:p w:rsidR="0052701D" w:rsidRDefault="00D40929">
      <w:pPr>
        <w:spacing w:after="29" w:line="248" w:lineRule="auto"/>
        <w:ind w:left="1983" w:right="14"/>
        <w:jc w:val="both"/>
      </w:pPr>
      <w:r>
        <w:rPr>
          <w:rFonts w:ascii="Times New Roman" w:eastAsia="Times New Roman" w:hAnsi="Times New Roman" w:cs="Times New Roman"/>
          <w:sz w:val="24"/>
        </w:rPr>
        <w:t xml:space="preserve">Рисунок 1. Внешний вид мехатронного модуля - аппликатора. </w:t>
      </w:r>
    </w:p>
    <w:p w:rsidR="0052701D" w:rsidRDefault="00D40929">
      <w:pPr>
        <w:spacing w:after="0"/>
        <w:ind w:left="722"/>
        <w:jc w:val="center"/>
      </w:pPr>
      <w:r>
        <w:rPr>
          <w:rFonts w:ascii="Times New Roman" w:eastAsia="Times New Roman" w:hAnsi="Times New Roman" w:cs="Times New Roman"/>
          <w:sz w:val="24"/>
        </w:rPr>
        <w:t xml:space="preserve"> </w:t>
      </w:r>
    </w:p>
    <w:p w:rsidR="0052701D" w:rsidRDefault="00D40929">
      <w:pPr>
        <w:spacing w:after="29" w:line="248" w:lineRule="auto"/>
        <w:ind w:left="283" w:right="14" w:firstLine="711"/>
        <w:jc w:val="both"/>
      </w:pPr>
      <w:r>
        <w:rPr>
          <w:rFonts w:ascii="Times New Roman" w:eastAsia="Times New Roman" w:hAnsi="Times New Roman" w:cs="Times New Roman"/>
          <w:sz w:val="24"/>
        </w:rPr>
        <w:t>Проведен поблочный анализ структурной схемы. На основе этого анализа была разработана функциональная схема канала контроля. Д</w:t>
      </w:r>
      <w:r>
        <w:rPr>
          <w:rFonts w:ascii="Times New Roman" w:eastAsia="Times New Roman" w:hAnsi="Times New Roman" w:cs="Times New Roman"/>
          <w:sz w:val="24"/>
        </w:rPr>
        <w:t xml:space="preserve">ля выбранных процессора и датчика давления разработан программный код реализующий заданный алгоритм функционирования канала контроля и управления. Работоспособность устройства проверена на действующем макете измерительного канала мехатронного модуля. [6]. </w:t>
      </w:r>
      <w:r>
        <w:rPr>
          <w:rFonts w:ascii="Times New Roman" w:eastAsia="Times New Roman" w:hAnsi="Times New Roman" w:cs="Times New Roman"/>
          <w:sz w:val="24"/>
        </w:rPr>
        <w:t>Предварительная проработка конструкции мехатронного модуля позволяет примерно оценить его габаритные размеры. Модуль предполагается выполнить в цилиндрическом корпусе диаметром 50 – 60 мм с панелью управления и пазом для установки элластичных насадок. Внеш</w:t>
      </w:r>
      <w:r>
        <w:rPr>
          <w:rFonts w:ascii="Times New Roman" w:eastAsia="Times New Roman" w:hAnsi="Times New Roman" w:cs="Times New Roman"/>
          <w:sz w:val="24"/>
        </w:rPr>
        <w:t xml:space="preserve">ний вид модуля показан на рисунке. Полый герметичныйкорпус будет играть роль небольшого рессивера. </w:t>
      </w:r>
    </w:p>
    <w:p w:rsidR="0052701D" w:rsidRDefault="00D40929">
      <w:pPr>
        <w:spacing w:after="3"/>
        <w:ind w:left="1004" w:hanging="10"/>
      </w:pPr>
      <w:r>
        <w:rPr>
          <w:rFonts w:ascii="Times New Roman" w:eastAsia="Times New Roman" w:hAnsi="Times New Roman" w:cs="Times New Roman"/>
          <w:b/>
          <w:i/>
          <w:sz w:val="28"/>
        </w:rPr>
        <w:t>Заключение</w:t>
      </w:r>
      <w:r>
        <w:rPr>
          <w:rFonts w:ascii="Times New Roman" w:eastAsia="Times New Roman" w:hAnsi="Times New Roman" w:cs="Times New Roman"/>
          <w:b/>
          <w:sz w:val="24"/>
        </w:rPr>
        <w:t xml:space="preserve"> </w:t>
      </w:r>
    </w:p>
    <w:p w:rsidR="0052701D" w:rsidRDefault="00D40929">
      <w:pPr>
        <w:spacing w:after="29" w:line="248" w:lineRule="auto"/>
        <w:ind w:left="283" w:right="324" w:firstLine="711"/>
        <w:jc w:val="both"/>
      </w:pPr>
      <w:r>
        <w:rPr>
          <w:rFonts w:ascii="Times New Roman" w:eastAsia="Times New Roman" w:hAnsi="Times New Roman" w:cs="Times New Roman"/>
          <w:sz w:val="24"/>
        </w:rPr>
        <w:lastRenderedPageBreak/>
        <w:t>Разрабатываемый мехатронный модуль, являясь мобильным и автономным управляемым аппликатором позволит расширить области применения вакуумного леч</w:t>
      </w:r>
      <w:r>
        <w:rPr>
          <w:rFonts w:ascii="Times New Roman" w:eastAsia="Times New Roman" w:hAnsi="Times New Roman" w:cs="Times New Roman"/>
          <w:sz w:val="24"/>
        </w:rPr>
        <w:t xml:space="preserve">ения, за счет использования любых доступных источников вакуума. </w:t>
      </w:r>
    </w:p>
    <w:p w:rsidR="0052701D" w:rsidRDefault="00D40929">
      <w:pPr>
        <w:spacing w:after="0"/>
        <w:ind w:left="994"/>
      </w:pPr>
      <w:r>
        <w:rPr>
          <w:rFonts w:ascii="Times New Roman" w:eastAsia="Times New Roman" w:hAnsi="Times New Roman" w:cs="Times New Roman"/>
          <w:sz w:val="28"/>
        </w:rPr>
        <w:t xml:space="preserve"> </w:t>
      </w:r>
    </w:p>
    <w:p w:rsidR="0052701D" w:rsidRDefault="00D40929">
      <w:pPr>
        <w:spacing w:after="16" w:line="248" w:lineRule="auto"/>
        <w:ind w:left="819" w:right="135" w:hanging="10"/>
        <w:jc w:val="center"/>
      </w:pPr>
      <w:r>
        <w:rPr>
          <w:rFonts w:ascii="Times New Roman" w:eastAsia="Times New Roman" w:hAnsi="Times New Roman" w:cs="Times New Roman"/>
          <w:b/>
          <w:sz w:val="24"/>
        </w:rPr>
        <w:t xml:space="preserve">Источники </w:t>
      </w:r>
    </w:p>
    <w:p w:rsidR="0052701D" w:rsidRDefault="00D40929">
      <w:pPr>
        <w:numPr>
          <w:ilvl w:val="0"/>
          <w:numId w:val="66"/>
        </w:numPr>
        <w:spacing w:after="29" w:line="248" w:lineRule="auto"/>
        <w:ind w:right="320" w:firstLine="711"/>
        <w:jc w:val="both"/>
      </w:pPr>
      <w:r>
        <w:rPr>
          <w:rFonts w:ascii="Times New Roman" w:eastAsia="Times New Roman" w:hAnsi="Times New Roman" w:cs="Times New Roman"/>
          <w:sz w:val="24"/>
        </w:rPr>
        <w:t xml:space="preserve">Академия Красоты «Butterfly». Вакуумный массаж: сайт. – Минск– URL: https://www.kosmetologiya.by/vakuumnuj_massaj/ (дата обращения 10.08.2022) </w:t>
      </w:r>
    </w:p>
    <w:p w:rsidR="0052701D" w:rsidRDefault="00D40929">
      <w:pPr>
        <w:numPr>
          <w:ilvl w:val="0"/>
          <w:numId w:val="66"/>
        </w:numPr>
        <w:spacing w:after="29" w:line="248" w:lineRule="auto"/>
        <w:ind w:right="320" w:firstLine="711"/>
        <w:jc w:val="both"/>
      </w:pPr>
      <w:r>
        <w:rPr>
          <w:rFonts w:ascii="Times New Roman" w:eastAsia="Times New Roman" w:hAnsi="Times New Roman" w:cs="Times New Roman"/>
          <w:sz w:val="24"/>
        </w:rPr>
        <w:t xml:space="preserve">Патент № RU 2 687 567 </w:t>
      </w:r>
      <w:r>
        <w:rPr>
          <w:rFonts w:ascii="Times New Roman" w:eastAsia="Times New Roman" w:hAnsi="Times New Roman" w:cs="Times New Roman"/>
          <w:sz w:val="24"/>
        </w:rPr>
        <w:t xml:space="preserve">C1 Устройство для лечения инфицированных и гнойных ран: № 2018124920,: заявл. 09.07.2018: опубл.  15.05.2019 Бюл. № 14 / П.Л. Федоров; заявитель, патентобладатель П.Л. Федоров. – 6 с. </w:t>
      </w:r>
    </w:p>
    <w:p w:rsidR="0052701D" w:rsidRDefault="00D40929">
      <w:pPr>
        <w:numPr>
          <w:ilvl w:val="0"/>
          <w:numId w:val="66"/>
        </w:numPr>
        <w:spacing w:after="29" w:line="248" w:lineRule="auto"/>
        <w:ind w:right="320" w:firstLine="711"/>
        <w:jc w:val="both"/>
      </w:pPr>
      <w:r>
        <w:rPr>
          <w:rFonts w:ascii="Times New Roman" w:eastAsia="Times New Roman" w:hAnsi="Times New Roman" w:cs="Times New Roman"/>
          <w:sz w:val="24"/>
        </w:rPr>
        <w:t xml:space="preserve">Патент № RU 2 582 866 C2 Устройство и способ лечения ран отрицательным </w:t>
      </w:r>
      <w:r>
        <w:rPr>
          <w:rFonts w:ascii="Times New Roman" w:eastAsia="Times New Roman" w:hAnsi="Times New Roman" w:cs="Times New Roman"/>
          <w:sz w:val="24"/>
        </w:rPr>
        <w:t xml:space="preserve">давлением: №  Заявка: 2013133169/14: заявл. 22.06.2011: опубл. 27.04.2016 Бюл. № 12 / Армстронг Эд (US), Блэкбёрн Иэн Майкл (GB), Эммерсон Роберт (GB), Мосхолдер Майкл Б. (US); заявитель, патентобладатель СМИТ ЭНД НЕФЬЮ, ИНК. (US). – 48 с. </w:t>
      </w:r>
    </w:p>
    <w:p w:rsidR="0052701D" w:rsidRDefault="00D40929">
      <w:pPr>
        <w:numPr>
          <w:ilvl w:val="0"/>
          <w:numId w:val="66"/>
        </w:numPr>
        <w:spacing w:after="5"/>
        <w:ind w:right="320" w:firstLine="711"/>
        <w:jc w:val="both"/>
      </w:pPr>
      <w:r>
        <w:rPr>
          <w:rFonts w:ascii="Times New Roman" w:eastAsia="Times New Roman" w:hAnsi="Times New Roman" w:cs="Times New Roman"/>
          <w:sz w:val="24"/>
        </w:rPr>
        <w:t>Патент № RU 2 4</w:t>
      </w:r>
      <w:r>
        <w:rPr>
          <w:rFonts w:ascii="Times New Roman" w:eastAsia="Times New Roman" w:hAnsi="Times New Roman" w:cs="Times New Roman"/>
          <w:sz w:val="24"/>
        </w:rPr>
        <w:t xml:space="preserve">54 215 C1 Устройство для вакуумного массажа: № </w:t>
      </w:r>
    </w:p>
    <w:p w:rsidR="0052701D" w:rsidRDefault="00D40929">
      <w:pPr>
        <w:spacing w:after="29" w:line="248" w:lineRule="auto"/>
        <w:ind w:left="283" w:right="14"/>
        <w:jc w:val="both"/>
      </w:pPr>
      <w:r>
        <w:rPr>
          <w:rFonts w:ascii="Times New Roman" w:eastAsia="Times New Roman" w:hAnsi="Times New Roman" w:cs="Times New Roman"/>
          <w:sz w:val="24"/>
        </w:rPr>
        <w:t xml:space="preserve">2011106005/14: заявл. 18.02.2011: опубл. 28.06.2018 / В.В. Шкитин, С.В. Грекова; заявитель, патентобладатель С.В. Грекова. – 10 с. </w:t>
      </w:r>
    </w:p>
    <w:p w:rsidR="0052701D" w:rsidRDefault="00D40929">
      <w:pPr>
        <w:numPr>
          <w:ilvl w:val="0"/>
          <w:numId w:val="66"/>
        </w:numPr>
        <w:spacing w:after="29" w:line="248" w:lineRule="auto"/>
        <w:ind w:right="320" w:firstLine="711"/>
        <w:jc w:val="both"/>
      </w:pPr>
      <w:r>
        <w:rPr>
          <w:rFonts w:ascii="Times New Roman" w:eastAsia="Times New Roman" w:hAnsi="Times New Roman" w:cs="Times New Roman"/>
          <w:sz w:val="24"/>
        </w:rPr>
        <w:t>Патент № RU 177 250 U1 Вакуумный аппарат для баночного массажа : № 201712331</w:t>
      </w:r>
      <w:r>
        <w:rPr>
          <w:rFonts w:ascii="Times New Roman" w:eastAsia="Times New Roman" w:hAnsi="Times New Roman" w:cs="Times New Roman"/>
          <w:sz w:val="24"/>
        </w:rPr>
        <w:t xml:space="preserve">3,: заявл. 30.06.2017 : опубл. 14.02.2018 Бюл. № 5 / А.Ю. Петров; заявитель, патентобладатель А.Ю. Петров. – 6 с. </w:t>
      </w:r>
    </w:p>
    <w:p w:rsidR="0052701D" w:rsidRDefault="00D40929">
      <w:pPr>
        <w:numPr>
          <w:ilvl w:val="0"/>
          <w:numId w:val="66"/>
        </w:numPr>
        <w:spacing w:after="29" w:line="248" w:lineRule="auto"/>
        <w:ind w:right="320" w:firstLine="711"/>
        <w:jc w:val="both"/>
      </w:pPr>
      <w:r>
        <w:rPr>
          <w:rFonts w:ascii="Times New Roman" w:eastAsia="Times New Roman" w:hAnsi="Times New Roman" w:cs="Times New Roman"/>
          <w:sz w:val="24"/>
        </w:rPr>
        <w:t>Самохвалова К.Ю. Разработка и исследование информационного измерительного канала мехатронного модуля для вакуумной терапии / К.Ю. Самохвалова</w:t>
      </w:r>
      <w:r>
        <w:rPr>
          <w:rFonts w:ascii="Times New Roman" w:eastAsia="Times New Roman" w:hAnsi="Times New Roman" w:cs="Times New Roman"/>
          <w:sz w:val="24"/>
        </w:rPr>
        <w:t xml:space="preserve"> // Международная молодежная научная конференция «Тинчуринские чтения – 2022 «Энергетика и цифровая трансформация»: электронный сборник статей по материалам конференции (Казань, 27-29 апреля 2022 г.): – Казань: КГЭУ, 2022. – Т. 3. С. 224- 227. </w:t>
      </w:r>
    </w:p>
    <w:p w:rsidR="0052701D" w:rsidRDefault="00D40929">
      <w:pPr>
        <w:numPr>
          <w:ilvl w:val="0"/>
          <w:numId w:val="66"/>
        </w:numPr>
        <w:spacing w:after="29" w:line="248" w:lineRule="auto"/>
        <w:ind w:right="320" w:firstLine="711"/>
        <w:jc w:val="both"/>
      </w:pPr>
      <w:r>
        <w:rPr>
          <w:rFonts w:ascii="Times New Roman" w:eastAsia="Times New Roman" w:hAnsi="Times New Roman" w:cs="Times New Roman"/>
          <w:sz w:val="24"/>
        </w:rPr>
        <w:t>Малев Н. А.</w:t>
      </w:r>
      <w:r>
        <w:rPr>
          <w:rFonts w:ascii="Times New Roman" w:eastAsia="Times New Roman" w:hAnsi="Times New Roman" w:cs="Times New Roman"/>
          <w:sz w:val="24"/>
        </w:rPr>
        <w:t xml:space="preserve"> Анализ динамических характеристик вентильного двигателя мехатронной системы в условиях параметрической неопределённости методами компьютерного моделирования / Н. А. Малев, О. В. Погодицкий, О. В. Козелков, А. М. Дюрягин // Известия высших учебных заведени</w:t>
      </w:r>
      <w:r>
        <w:rPr>
          <w:rFonts w:ascii="Times New Roman" w:eastAsia="Times New Roman" w:hAnsi="Times New Roman" w:cs="Times New Roman"/>
          <w:sz w:val="24"/>
        </w:rPr>
        <w:t>й. Проблемы энергетики. 2022. Т. 24. № 3. С. 158-174. 8. Андреев В. П. Методы динамического перепрограммирования для мобильного робота с модульной архитектурой / В. П. Андреев, П. Ф. Плетенев // Известия высших учебных заведений. Проблемы энергетики. 2022.</w:t>
      </w:r>
      <w:r>
        <w:rPr>
          <w:rFonts w:ascii="Times New Roman" w:eastAsia="Times New Roman" w:hAnsi="Times New Roman" w:cs="Times New Roman"/>
          <w:sz w:val="24"/>
        </w:rPr>
        <w:t xml:space="preserve"> Т. 24. № 3. С. 175-184. </w:t>
      </w:r>
    </w:p>
    <w:p w:rsidR="0052701D" w:rsidRDefault="00D40929">
      <w:pPr>
        <w:numPr>
          <w:ilvl w:val="0"/>
          <w:numId w:val="67"/>
        </w:numPr>
        <w:spacing w:after="29" w:line="248" w:lineRule="auto"/>
        <w:ind w:right="330" w:firstLine="711"/>
        <w:jc w:val="both"/>
      </w:pPr>
      <w:r>
        <w:rPr>
          <w:rFonts w:ascii="Times New Roman" w:eastAsia="Times New Roman" w:hAnsi="Times New Roman" w:cs="Times New Roman"/>
          <w:sz w:val="24"/>
        </w:rPr>
        <w:t xml:space="preserve">Гусева Ю. В. Лабораторная модель ротора Савониуса / Ю. В. Гусева, С. А. Кострюков, А. Р. Васильев // Известия высших учебных заведений. Проблемы энергетики. 2022. Т. 24. № 3. С. 83-90. </w:t>
      </w:r>
    </w:p>
    <w:p w:rsidR="0052701D" w:rsidRDefault="00D40929">
      <w:pPr>
        <w:numPr>
          <w:ilvl w:val="0"/>
          <w:numId w:val="67"/>
        </w:numPr>
        <w:spacing w:after="2" w:line="248" w:lineRule="auto"/>
        <w:ind w:right="330" w:firstLine="711"/>
        <w:jc w:val="both"/>
      </w:pPr>
      <w:r>
        <w:rPr>
          <w:rFonts w:ascii="Times New Roman" w:eastAsia="Times New Roman" w:hAnsi="Times New Roman" w:cs="Times New Roman"/>
          <w:sz w:val="24"/>
        </w:rPr>
        <w:t>Блинов А. О. Модель опорной ноги антропоморф</w:t>
      </w:r>
      <w:r>
        <w:rPr>
          <w:rFonts w:ascii="Times New Roman" w:eastAsia="Times New Roman" w:hAnsi="Times New Roman" w:cs="Times New Roman"/>
          <w:sz w:val="24"/>
        </w:rPr>
        <w:t xml:space="preserve">ного робота или экзоскелета с двумя подвижными звеньями с учетом динамики электропривода / А. О. Блинов, А. В. Борисов, Л. В. Кончина, К. С. Маслова // Известия высших учебных заведений. Проблемы энергетики. 2022. Т. 24. № 2. С. 147-159. </w:t>
      </w:r>
    </w:p>
    <w:p w:rsidR="0052701D" w:rsidRDefault="00D40929">
      <w:pPr>
        <w:spacing w:after="0"/>
        <w:ind w:left="994"/>
      </w:pPr>
      <w:r>
        <w:rPr>
          <w:rFonts w:ascii="Times New Roman" w:eastAsia="Times New Roman" w:hAnsi="Times New Roman" w:cs="Times New Roman"/>
          <w:sz w:val="24"/>
        </w:rPr>
        <w:t xml:space="preserve"> </w:t>
      </w:r>
    </w:p>
    <w:p w:rsidR="0052701D" w:rsidRDefault="00D40929">
      <w:pPr>
        <w:spacing w:after="29" w:line="248" w:lineRule="auto"/>
        <w:ind w:left="283" w:right="14"/>
        <w:jc w:val="both"/>
      </w:pPr>
      <w:r>
        <w:rPr>
          <w:rFonts w:ascii="Times New Roman" w:eastAsia="Times New Roman" w:hAnsi="Times New Roman" w:cs="Times New Roman"/>
          <w:sz w:val="24"/>
        </w:rPr>
        <w:t xml:space="preserve">УДК 623 </w:t>
      </w:r>
    </w:p>
    <w:p w:rsidR="0052701D" w:rsidRDefault="00D40929">
      <w:pPr>
        <w:spacing w:after="29" w:line="248" w:lineRule="auto"/>
        <w:ind w:left="283" w:right="14"/>
        <w:jc w:val="both"/>
      </w:pPr>
      <w:r>
        <w:rPr>
          <w:rFonts w:ascii="Times New Roman" w:eastAsia="Times New Roman" w:hAnsi="Times New Roman" w:cs="Times New Roman"/>
          <w:sz w:val="24"/>
        </w:rPr>
        <w:t xml:space="preserve">МРНТИ </w:t>
      </w:r>
      <w:r>
        <w:rPr>
          <w:rFonts w:ascii="Times New Roman" w:eastAsia="Times New Roman" w:hAnsi="Times New Roman" w:cs="Times New Roman"/>
          <w:sz w:val="24"/>
        </w:rPr>
        <w:t xml:space="preserve">89.25.35 </w:t>
      </w:r>
    </w:p>
    <w:p w:rsidR="0052701D" w:rsidRDefault="00D40929">
      <w:pPr>
        <w:spacing w:after="0"/>
        <w:ind w:left="283"/>
      </w:pPr>
      <w:r>
        <w:rPr>
          <w:rFonts w:ascii="Times New Roman" w:eastAsia="Times New Roman" w:hAnsi="Times New Roman" w:cs="Times New Roman"/>
          <w:sz w:val="28"/>
        </w:rPr>
        <w:t xml:space="preserve"> </w:t>
      </w:r>
    </w:p>
    <w:p w:rsidR="0052701D" w:rsidRDefault="00D40929">
      <w:pPr>
        <w:pStyle w:val="1"/>
        <w:spacing w:after="69" w:line="251" w:lineRule="auto"/>
        <w:ind w:left="1052" w:right="0" w:firstLine="9"/>
        <w:jc w:val="left"/>
      </w:pPr>
      <w:r>
        <w:t xml:space="preserve">АЗАММАТТЫҚ МАҚСАТТАР ҮШІН ӘСКЕРИ СУАСТЫ </w:t>
      </w:r>
    </w:p>
    <w:p w:rsidR="0052701D" w:rsidRDefault="00D40929">
      <w:pPr>
        <w:spacing w:after="69" w:line="251" w:lineRule="auto"/>
        <w:ind w:left="1052" w:firstLine="9"/>
      </w:pPr>
      <w:r>
        <w:rPr>
          <w:rFonts w:ascii="Times New Roman" w:eastAsia="Times New Roman" w:hAnsi="Times New Roman" w:cs="Times New Roman"/>
          <w:b/>
          <w:sz w:val="28"/>
        </w:rPr>
        <w:t xml:space="preserve">ЗЫМЫРАНДАРДЫҢ ЗЫМЫРАН ТАСЫҒЫШ ЕСЕБІНДЕ </w:t>
      </w:r>
    </w:p>
    <w:p w:rsidR="0052701D" w:rsidRDefault="00D40929">
      <w:pPr>
        <w:spacing w:after="5" w:line="271" w:lineRule="auto"/>
        <w:ind w:left="173" w:right="207" w:hanging="10"/>
        <w:jc w:val="center"/>
      </w:pPr>
      <w:r>
        <w:rPr>
          <w:rFonts w:ascii="Times New Roman" w:eastAsia="Times New Roman" w:hAnsi="Times New Roman" w:cs="Times New Roman"/>
          <w:b/>
          <w:sz w:val="28"/>
        </w:rPr>
        <w:t xml:space="preserve">ҚАРАСТЫРУ. </w:t>
      </w:r>
    </w:p>
    <w:p w:rsidR="0052701D" w:rsidRDefault="00D40929">
      <w:pPr>
        <w:spacing w:after="0"/>
        <w:ind w:left="31"/>
        <w:jc w:val="center"/>
      </w:pPr>
      <w:r>
        <w:rPr>
          <w:rFonts w:ascii="Times New Roman" w:eastAsia="Times New Roman" w:hAnsi="Times New Roman" w:cs="Times New Roman"/>
          <w:sz w:val="28"/>
        </w:rPr>
        <w:t xml:space="preserve"> </w:t>
      </w:r>
    </w:p>
    <w:p w:rsidR="0052701D" w:rsidRDefault="00D40929">
      <w:pPr>
        <w:pStyle w:val="1"/>
        <w:spacing w:after="37" w:line="248" w:lineRule="auto"/>
        <w:ind w:left="713" w:right="756" w:hanging="5"/>
      </w:pPr>
      <w:r>
        <w:rPr>
          <w:b w:val="0"/>
          <w:sz w:val="24"/>
        </w:rPr>
        <w:lastRenderedPageBreak/>
        <w:t xml:space="preserve">Ораз Ф.Б., Кемелхан Ә.Ә, Оразалиева А.Н., Жалымбетова І. </w:t>
      </w:r>
    </w:p>
    <w:p w:rsidR="0052701D" w:rsidRDefault="00D40929">
      <w:pPr>
        <w:spacing w:after="14" w:line="248" w:lineRule="auto"/>
        <w:ind w:left="713" w:right="763" w:hanging="5"/>
        <w:jc w:val="center"/>
      </w:pPr>
      <w:r>
        <w:rPr>
          <w:rFonts w:ascii="Times New Roman" w:eastAsia="Times New Roman" w:hAnsi="Times New Roman" w:cs="Times New Roman"/>
          <w:sz w:val="24"/>
        </w:rPr>
        <w:t xml:space="preserve">Ғұмарбек Дәукеев атындағы Алматы энергетика және байланыс университеті, </w:t>
      </w:r>
    </w:p>
    <w:p w:rsidR="0052701D" w:rsidRDefault="00D40929">
      <w:pPr>
        <w:spacing w:after="14" w:line="248" w:lineRule="auto"/>
        <w:ind w:left="713" w:right="749" w:hanging="5"/>
        <w:jc w:val="center"/>
      </w:pPr>
      <w:r>
        <w:rPr>
          <w:rFonts w:ascii="Times New Roman" w:eastAsia="Times New Roman" w:hAnsi="Times New Roman" w:cs="Times New Roman"/>
          <w:sz w:val="24"/>
        </w:rPr>
        <w:t>Байтрысынұлы 126/1</w:t>
      </w:r>
      <w:r>
        <w:rPr>
          <w:rFonts w:ascii="Times New Roman" w:eastAsia="Times New Roman" w:hAnsi="Times New Roman" w:cs="Times New Roman"/>
          <w:sz w:val="24"/>
        </w:rPr>
        <w:t xml:space="preserve"> </w:t>
      </w:r>
    </w:p>
    <w:p w:rsidR="0052701D" w:rsidRDefault="00D40929">
      <w:pPr>
        <w:spacing w:after="1"/>
        <w:ind w:left="1018" w:hanging="10"/>
      </w:pPr>
      <w:r>
        <w:rPr>
          <w:rFonts w:ascii="Times New Roman" w:eastAsia="Times New Roman" w:hAnsi="Times New Roman" w:cs="Times New Roman"/>
          <w:sz w:val="24"/>
        </w:rPr>
        <w:t xml:space="preserve">E-mail: </w:t>
      </w:r>
      <w:r>
        <w:rPr>
          <w:rFonts w:ascii="Times New Roman" w:eastAsia="Times New Roman" w:hAnsi="Times New Roman" w:cs="Times New Roman"/>
          <w:color w:val="0563C1"/>
          <w:sz w:val="24"/>
          <w:u w:val="single" w:color="0563C1"/>
        </w:rPr>
        <w:t>fa.oraz@aues.kz, ara.orazaliyeva@aues.kz</w:t>
      </w:r>
      <w:r>
        <w:rPr>
          <w:rFonts w:ascii="Times New Roman" w:eastAsia="Times New Roman" w:hAnsi="Times New Roman" w:cs="Times New Roman"/>
          <w:sz w:val="24"/>
        </w:rPr>
        <w:t xml:space="preserve">, </w:t>
      </w:r>
      <w:r>
        <w:rPr>
          <w:rFonts w:ascii="Times New Roman" w:eastAsia="Times New Roman" w:hAnsi="Times New Roman" w:cs="Times New Roman"/>
          <w:color w:val="0563C1"/>
          <w:sz w:val="24"/>
          <w:u w:val="single" w:color="0563C1"/>
        </w:rPr>
        <w:t>in.zhalymbetova@aues.kz</w:t>
      </w:r>
      <w:r>
        <w:rPr>
          <w:rFonts w:ascii="Times New Roman" w:eastAsia="Times New Roman" w:hAnsi="Times New Roman" w:cs="Times New Roman"/>
          <w:sz w:val="24"/>
        </w:rPr>
        <w:t xml:space="preserve">, </w:t>
      </w:r>
    </w:p>
    <w:p w:rsidR="0052701D" w:rsidRDefault="00D40929">
      <w:pPr>
        <w:spacing w:after="0"/>
        <w:ind w:left="10" w:right="50" w:hanging="10"/>
        <w:jc w:val="center"/>
      </w:pPr>
      <w:r>
        <w:rPr>
          <w:rFonts w:ascii="Times New Roman" w:eastAsia="Times New Roman" w:hAnsi="Times New Roman" w:cs="Times New Roman"/>
          <w:color w:val="0563C1"/>
          <w:sz w:val="24"/>
          <w:u w:val="single" w:color="0563C1"/>
        </w:rPr>
        <w:t>a.kemelkhan@aues.kz</w:t>
      </w:r>
      <w:r>
        <w:rPr>
          <w:rFonts w:ascii="Times New Roman" w:eastAsia="Times New Roman" w:hAnsi="Times New Roman" w:cs="Times New Roman"/>
          <w:sz w:val="24"/>
        </w:rPr>
        <w:t xml:space="preserve"> </w:t>
      </w:r>
    </w:p>
    <w:p w:rsidR="0052701D" w:rsidRDefault="00D40929">
      <w:pPr>
        <w:spacing w:after="18"/>
        <w:ind w:left="732"/>
        <w:jc w:val="center"/>
      </w:pPr>
      <w:r>
        <w:rPr>
          <w:rFonts w:ascii="Times New Roman" w:eastAsia="Times New Roman" w:hAnsi="Times New Roman" w:cs="Times New Roman"/>
          <w:sz w:val="24"/>
        </w:rPr>
        <w:t xml:space="preserve"> </w:t>
      </w:r>
    </w:p>
    <w:p w:rsidR="0052701D" w:rsidRDefault="00D40929">
      <w:pPr>
        <w:spacing w:after="29" w:line="248" w:lineRule="auto"/>
        <w:ind w:left="283" w:right="318" w:firstLine="711"/>
        <w:jc w:val="both"/>
      </w:pPr>
      <w:r>
        <w:rPr>
          <w:rFonts w:ascii="Times New Roman" w:eastAsia="Times New Roman" w:hAnsi="Times New Roman" w:cs="Times New Roman"/>
          <w:b/>
          <w:i/>
          <w:sz w:val="24"/>
        </w:rPr>
        <w:t>Аңдатпа.</w:t>
      </w:r>
      <w:r>
        <w:rPr>
          <w:rFonts w:ascii="Times New Roman" w:eastAsia="Times New Roman" w:hAnsi="Times New Roman" w:cs="Times New Roman"/>
          <w:sz w:val="24"/>
        </w:rPr>
        <w:t xml:space="preserve"> </w:t>
      </w:r>
      <w:r>
        <w:rPr>
          <w:rFonts w:ascii="Times New Roman" w:eastAsia="Times New Roman" w:hAnsi="Times New Roman" w:cs="Times New Roman"/>
          <w:i/>
          <w:sz w:val="24"/>
        </w:rPr>
        <w:t xml:space="preserve">Су астындағы әскери баллистикалық зымырандарды спутниктерді орбитаға шығару үшін зымыран тасығыш ретінде пайдалану туралы ұсыныстар жасалды. Су </w:t>
      </w:r>
      <w:r>
        <w:rPr>
          <w:rFonts w:ascii="Times New Roman" w:eastAsia="Times New Roman" w:hAnsi="Times New Roman" w:cs="Times New Roman"/>
          <w:i/>
          <w:sz w:val="24"/>
        </w:rPr>
        <w:t xml:space="preserve">асты зымырандардың сипаттамалары және артықшылықтары қарастырылатын болады.Қарастырылған деректер бойынша мақала мақсаты орындалу жұмысы атқарылады. </w:t>
      </w:r>
    </w:p>
    <w:p w:rsidR="0052701D" w:rsidRDefault="00D40929">
      <w:pPr>
        <w:spacing w:after="0" w:line="298" w:lineRule="auto"/>
        <w:ind w:left="283" w:firstLine="711"/>
        <w:jc w:val="both"/>
      </w:pPr>
      <w:r>
        <w:rPr>
          <w:rFonts w:ascii="Times New Roman" w:eastAsia="Times New Roman" w:hAnsi="Times New Roman" w:cs="Times New Roman"/>
          <w:b/>
          <w:i/>
          <w:sz w:val="24"/>
        </w:rPr>
        <w:t>Тірек сөздер:</w:t>
      </w:r>
      <w:r>
        <w:rPr>
          <w:rFonts w:ascii="Times New Roman" w:eastAsia="Times New Roman" w:hAnsi="Times New Roman" w:cs="Times New Roman"/>
          <w:sz w:val="24"/>
        </w:rPr>
        <w:t xml:space="preserve"> </w:t>
      </w:r>
      <w:r>
        <w:rPr>
          <w:rFonts w:ascii="Times New Roman" w:eastAsia="Times New Roman" w:hAnsi="Times New Roman" w:cs="Times New Roman"/>
          <w:i/>
          <w:sz w:val="24"/>
        </w:rPr>
        <w:t>баллистикалық зымыран, тасымалдаушы зымыран, сүңгуір қайық, пайдалы жүктеме, пайдалы жүк, сп</w:t>
      </w:r>
      <w:r>
        <w:rPr>
          <w:rFonts w:ascii="Times New Roman" w:eastAsia="Times New Roman" w:hAnsi="Times New Roman" w:cs="Times New Roman"/>
          <w:i/>
          <w:sz w:val="24"/>
        </w:rPr>
        <w:t>утник, бастапқы позиция.</w:t>
      </w:r>
      <w:r>
        <w:rPr>
          <w:rFonts w:ascii="Times New Roman" w:eastAsia="Times New Roman" w:hAnsi="Times New Roman" w:cs="Times New Roman"/>
          <w:sz w:val="24"/>
        </w:rPr>
        <w:t xml:space="preserve"> </w:t>
      </w:r>
    </w:p>
    <w:p w:rsidR="0052701D" w:rsidRDefault="00D40929">
      <w:pPr>
        <w:spacing w:after="17"/>
        <w:ind w:left="994"/>
      </w:pPr>
      <w:r>
        <w:rPr>
          <w:rFonts w:ascii="Times New Roman" w:eastAsia="Times New Roman" w:hAnsi="Times New Roman" w:cs="Times New Roman"/>
          <w:sz w:val="24"/>
        </w:rPr>
        <w:t xml:space="preserve"> </w:t>
      </w:r>
    </w:p>
    <w:p w:rsidR="0052701D" w:rsidRDefault="00D40929">
      <w:pPr>
        <w:spacing w:after="5" w:line="271" w:lineRule="auto"/>
        <w:ind w:left="173" w:right="163" w:hanging="10"/>
        <w:jc w:val="center"/>
      </w:pPr>
      <w:r>
        <w:rPr>
          <w:rFonts w:ascii="Times New Roman" w:eastAsia="Times New Roman" w:hAnsi="Times New Roman" w:cs="Times New Roman"/>
          <w:b/>
          <w:sz w:val="28"/>
        </w:rPr>
        <w:t xml:space="preserve">РАССМОТРЕНИЕ В ОТЧЕТЕ РАКЕТОНОСИТЕЛЯ ВОЕННЫХ ПОДВОДНЫХ РАКЕТ ДЛЯ ГРАЖДАНСКИХ ЦЕЛЕЙ. </w:t>
      </w:r>
    </w:p>
    <w:p w:rsidR="0052701D" w:rsidRDefault="00D40929">
      <w:pPr>
        <w:spacing w:after="0"/>
        <w:ind w:left="31"/>
        <w:jc w:val="center"/>
      </w:pPr>
      <w:r>
        <w:rPr>
          <w:rFonts w:ascii="Times New Roman" w:eastAsia="Times New Roman" w:hAnsi="Times New Roman" w:cs="Times New Roman"/>
          <w:sz w:val="28"/>
        </w:rPr>
        <w:t xml:space="preserve"> </w:t>
      </w:r>
    </w:p>
    <w:p w:rsidR="0052701D" w:rsidRDefault="00D40929">
      <w:pPr>
        <w:tabs>
          <w:tab w:val="center" w:pos="283"/>
          <w:tab w:val="center" w:pos="5016"/>
          <w:tab w:val="center" w:pos="8778"/>
        </w:tabs>
        <w:spacing w:after="4" w:line="271" w:lineRule="auto"/>
      </w:pPr>
      <w:r>
        <w:tab/>
      </w:r>
      <w:r>
        <w:rPr>
          <w:rFonts w:ascii="Times New Roman" w:eastAsia="Times New Roman" w:hAnsi="Times New Roman" w:cs="Times New Roman"/>
          <w:b/>
          <w:sz w:val="24"/>
        </w:rPr>
        <w:t xml:space="preserve"> </w:t>
      </w:r>
      <w:r>
        <w:rPr>
          <w:rFonts w:ascii="Times New Roman" w:eastAsia="Times New Roman" w:hAnsi="Times New Roman" w:cs="Times New Roman"/>
          <w:b/>
          <w:sz w:val="24"/>
        </w:rPr>
        <w:tab/>
        <w:t xml:space="preserve">Ораз Ф.Б., Кемелхан Ә.Ә, Оразалиева А.Н., Жалымбетова І. </w:t>
      </w:r>
      <w:r>
        <w:rPr>
          <w:rFonts w:ascii="Times New Roman" w:eastAsia="Times New Roman" w:hAnsi="Times New Roman" w:cs="Times New Roman"/>
          <w:b/>
          <w:sz w:val="24"/>
        </w:rPr>
        <w:tab/>
        <w:t xml:space="preserve"> </w:t>
      </w:r>
    </w:p>
    <w:p w:rsidR="0052701D" w:rsidRDefault="00D40929">
      <w:pPr>
        <w:spacing w:after="29" w:line="248" w:lineRule="auto"/>
        <w:ind w:left="1378" w:right="14"/>
        <w:jc w:val="both"/>
      </w:pPr>
      <w:r>
        <w:rPr>
          <w:rFonts w:ascii="Times New Roman" w:eastAsia="Times New Roman" w:hAnsi="Times New Roman" w:cs="Times New Roman"/>
          <w:sz w:val="24"/>
        </w:rPr>
        <w:t xml:space="preserve">Алматинский университет энергетики и связи имени гумарбека Даукеева, </w:t>
      </w:r>
    </w:p>
    <w:p w:rsidR="0052701D" w:rsidRDefault="00D40929">
      <w:pPr>
        <w:spacing w:after="14" w:line="248" w:lineRule="auto"/>
        <w:ind w:left="713" w:right="750" w:hanging="5"/>
        <w:jc w:val="center"/>
      </w:pPr>
      <w:r>
        <w:rPr>
          <w:rFonts w:ascii="Times New Roman" w:eastAsia="Times New Roman" w:hAnsi="Times New Roman" w:cs="Times New Roman"/>
          <w:sz w:val="24"/>
        </w:rPr>
        <w:t>Байтурсы</w:t>
      </w:r>
      <w:r>
        <w:rPr>
          <w:rFonts w:ascii="Times New Roman" w:eastAsia="Times New Roman" w:hAnsi="Times New Roman" w:cs="Times New Roman"/>
          <w:sz w:val="24"/>
        </w:rPr>
        <w:t xml:space="preserve">нова 126/1 </w:t>
      </w:r>
    </w:p>
    <w:p w:rsidR="0052701D" w:rsidRDefault="00D40929">
      <w:pPr>
        <w:spacing w:after="1"/>
        <w:ind w:left="1018" w:hanging="10"/>
      </w:pPr>
      <w:r>
        <w:rPr>
          <w:rFonts w:ascii="Times New Roman" w:eastAsia="Times New Roman" w:hAnsi="Times New Roman" w:cs="Times New Roman"/>
          <w:sz w:val="24"/>
        </w:rPr>
        <w:t xml:space="preserve">E-mail: </w:t>
      </w:r>
      <w:r>
        <w:rPr>
          <w:rFonts w:ascii="Times New Roman" w:eastAsia="Times New Roman" w:hAnsi="Times New Roman" w:cs="Times New Roman"/>
          <w:color w:val="0563C1"/>
          <w:sz w:val="24"/>
          <w:u w:val="single" w:color="0563C1"/>
        </w:rPr>
        <w:t>fa.oraz@aues.kz, ara.orazaliyeva@aues.kz</w:t>
      </w:r>
      <w:r>
        <w:rPr>
          <w:rFonts w:ascii="Times New Roman" w:eastAsia="Times New Roman" w:hAnsi="Times New Roman" w:cs="Times New Roman"/>
          <w:sz w:val="24"/>
        </w:rPr>
        <w:t xml:space="preserve">, </w:t>
      </w:r>
      <w:r>
        <w:rPr>
          <w:rFonts w:ascii="Times New Roman" w:eastAsia="Times New Roman" w:hAnsi="Times New Roman" w:cs="Times New Roman"/>
          <w:color w:val="0563C1"/>
          <w:sz w:val="24"/>
          <w:u w:val="single" w:color="0563C1"/>
        </w:rPr>
        <w:t>in.zhalymbetova@aues.kz</w:t>
      </w:r>
      <w:r>
        <w:rPr>
          <w:rFonts w:ascii="Times New Roman" w:eastAsia="Times New Roman" w:hAnsi="Times New Roman" w:cs="Times New Roman"/>
          <w:sz w:val="24"/>
        </w:rPr>
        <w:t xml:space="preserve">, </w:t>
      </w:r>
    </w:p>
    <w:p w:rsidR="0052701D" w:rsidRDefault="00D40929">
      <w:pPr>
        <w:spacing w:after="0"/>
        <w:ind w:left="10" w:right="50" w:hanging="10"/>
        <w:jc w:val="center"/>
      </w:pPr>
      <w:r>
        <w:rPr>
          <w:rFonts w:ascii="Times New Roman" w:eastAsia="Times New Roman" w:hAnsi="Times New Roman" w:cs="Times New Roman"/>
          <w:color w:val="0563C1"/>
          <w:sz w:val="24"/>
          <w:u w:val="single" w:color="0563C1"/>
        </w:rPr>
        <w:t>a.kemelkhan@aues.kz</w:t>
      </w:r>
      <w:r>
        <w:rPr>
          <w:rFonts w:ascii="Times New Roman" w:eastAsia="Times New Roman" w:hAnsi="Times New Roman" w:cs="Times New Roman"/>
          <w:sz w:val="24"/>
        </w:rPr>
        <w:t xml:space="preserve"> </w:t>
      </w:r>
    </w:p>
    <w:p w:rsidR="0052701D" w:rsidRDefault="00D40929">
      <w:pPr>
        <w:spacing w:after="0"/>
        <w:ind w:left="732"/>
        <w:jc w:val="center"/>
      </w:pPr>
      <w:r>
        <w:rPr>
          <w:rFonts w:ascii="Times New Roman" w:eastAsia="Times New Roman" w:hAnsi="Times New Roman" w:cs="Times New Roman"/>
          <w:sz w:val="24"/>
        </w:rPr>
        <w:t xml:space="preserve"> </w:t>
      </w:r>
    </w:p>
    <w:p w:rsidR="0052701D" w:rsidRDefault="00D40929">
      <w:pPr>
        <w:spacing w:after="29" w:line="248" w:lineRule="auto"/>
        <w:ind w:left="283" w:right="325" w:firstLine="711"/>
        <w:jc w:val="both"/>
      </w:pPr>
      <w:r>
        <w:rPr>
          <w:rFonts w:ascii="Times New Roman" w:eastAsia="Times New Roman" w:hAnsi="Times New Roman" w:cs="Times New Roman"/>
          <w:b/>
          <w:i/>
          <w:sz w:val="24"/>
        </w:rPr>
        <w:t xml:space="preserve">Аннотация. </w:t>
      </w:r>
      <w:r>
        <w:rPr>
          <w:rFonts w:ascii="Times New Roman" w:eastAsia="Times New Roman" w:hAnsi="Times New Roman" w:cs="Times New Roman"/>
          <w:i/>
          <w:sz w:val="24"/>
        </w:rPr>
        <w:t>Были выдвинуты предложения по использованию подводных военных баллистических ракет в качестве ракетных установок для вывода спутников на орбиту. Будут рассмотрены характеристики и преимущества подводных ракет.По рассмотренным данным цель статьи будет выпол</w:t>
      </w:r>
      <w:r>
        <w:rPr>
          <w:rFonts w:ascii="Times New Roman" w:eastAsia="Times New Roman" w:hAnsi="Times New Roman" w:cs="Times New Roman"/>
          <w:i/>
          <w:sz w:val="24"/>
        </w:rPr>
        <w:t xml:space="preserve">нена. </w:t>
      </w:r>
    </w:p>
    <w:p w:rsidR="0052701D" w:rsidRDefault="00D40929">
      <w:pPr>
        <w:spacing w:after="29" w:line="248" w:lineRule="auto"/>
        <w:ind w:left="283" w:firstLine="711"/>
        <w:jc w:val="both"/>
      </w:pP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 xml:space="preserve">: баллистическая ракета, ракета-носитель, подводная лодка, полезная нагрузка, полезный груз, спутник, исходное положение. </w:t>
      </w:r>
    </w:p>
    <w:p w:rsidR="0052701D" w:rsidRDefault="00D40929">
      <w:pPr>
        <w:spacing w:after="60"/>
        <w:ind w:left="994"/>
      </w:pPr>
      <w:r>
        <w:rPr>
          <w:rFonts w:ascii="Times New Roman" w:eastAsia="Times New Roman" w:hAnsi="Times New Roman" w:cs="Times New Roman"/>
          <w:i/>
          <w:sz w:val="20"/>
        </w:rPr>
        <w:t xml:space="preserve"> </w:t>
      </w:r>
    </w:p>
    <w:p w:rsidR="0052701D" w:rsidRDefault="00D40929">
      <w:pPr>
        <w:spacing w:after="5" w:line="271" w:lineRule="auto"/>
        <w:ind w:left="173" w:right="146" w:hanging="10"/>
        <w:jc w:val="center"/>
      </w:pPr>
      <w:r>
        <w:rPr>
          <w:rFonts w:ascii="Times New Roman" w:eastAsia="Times New Roman" w:hAnsi="Times New Roman" w:cs="Times New Roman"/>
          <w:b/>
          <w:sz w:val="28"/>
        </w:rPr>
        <w:t xml:space="preserve">CONSIDERATION OF MILITARY SUBMARINE MISSILES FOR CIVILIAN PURPOSES IN THE LAUNCH VEHICLE REPORT. </w:t>
      </w:r>
    </w:p>
    <w:p w:rsidR="0052701D" w:rsidRDefault="00D40929">
      <w:pPr>
        <w:spacing w:after="0"/>
        <w:ind w:left="31"/>
        <w:jc w:val="center"/>
      </w:pPr>
      <w:r>
        <w:rPr>
          <w:rFonts w:ascii="Times New Roman" w:eastAsia="Times New Roman" w:hAnsi="Times New Roman" w:cs="Times New Roman"/>
          <w:sz w:val="28"/>
        </w:rPr>
        <w:t xml:space="preserve"> </w:t>
      </w:r>
    </w:p>
    <w:p w:rsidR="0052701D" w:rsidRDefault="00D40929">
      <w:pPr>
        <w:spacing w:after="16" w:line="248" w:lineRule="auto"/>
        <w:ind w:left="819" w:right="846" w:hanging="10"/>
        <w:jc w:val="center"/>
      </w:pPr>
      <w:r>
        <w:rPr>
          <w:rFonts w:ascii="Times New Roman" w:eastAsia="Times New Roman" w:hAnsi="Times New Roman" w:cs="Times New Roman"/>
          <w:b/>
          <w:sz w:val="24"/>
        </w:rPr>
        <w:t>Ораз Ф.Б</w:t>
      </w:r>
      <w:r>
        <w:rPr>
          <w:rFonts w:ascii="Times New Roman" w:eastAsia="Times New Roman" w:hAnsi="Times New Roman" w:cs="Times New Roman"/>
          <w:b/>
          <w:sz w:val="24"/>
        </w:rPr>
        <w:t xml:space="preserve">., Кемелхан Ә.Ә, Оразалиева А.Н., Жалымбетова І. </w:t>
      </w:r>
    </w:p>
    <w:p w:rsidR="0052701D" w:rsidRDefault="00D40929">
      <w:pPr>
        <w:spacing w:after="14" w:line="248" w:lineRule="auto"/>
        <w:ind w:left="16" w:right="1" w:hanging="5"/>
        <w:jc w:val="center"/>
      </w:pPr>
      <w:r>
        <w:rPr>
          <w:rFonts w:ascii="Times New Roman" w:eastAsia="Times New Roman" w:hAnsi="Times New Roman" w:cs="Times New Roman"/>
          <w:sz w:val="24"/>
        </w:rPr>
        <w:t xml:space="preserve">Almaty University of Power Engineering and Telecommunications named after Gumarbek Daukeev, Baitursynova 126/1 </w:t>
      </w:r>
    </w:p>
    <w:p w:rsidR="0052701D" w:rsidRDefault="00D40929">
      <w:pPr>
        <w:spacing w:after="1"/>
        <w:ind w:left="1018" w:hanging="10"/>
      </w:pPr>
      <w:r>
        <w:rPr>
          <w:rFonts w:ascii="Times New Roman" w:eastAsia="Times New Roman" w:hAnsi="Times New Roman" w:cs="Times New Roman"/>
          <w:sz w:val="24"/>
        </w:rPr>
        <w:t xml:space="preserve">E-mail: </w:t>
      </w:r>
      <w:r>
        <w:rPr>
          <w:rFonts w:ascii="Times New Roman" w:eastAsia="Times New Roman" w:hAnsi="Times New Roman" w:cs="Times New Roman"/>
          <w:color w:val="0563C1"/>
          <w:sz w:val="24"/>
          <w:u w:val="single" w:color="0563C1"/>
        </w:rPr>
        <w:t>fa.oraz@aues.kz, ara.orazaliyeva@aues.kz</w:t>
      </w:r>
      <w:r>
        <w:rPr>
          <w:rFonts w:ascii="Times New Roman" w:eastAsia="Times New Roman" w:hAnsi="Times New Roman" w:cs="Times New Roman"/>
          <w:sz w:val="24"/>
        </w:rPr>
        <w:t xml:space="preserve">, </w:t>
      </w:r>
      <w:r>
        <w:rPr>
          <w:rFonts w:ascii="Times New Roman" w:eastAsia="Times New Roman" w:hAnsi="Times New Roman" w:cs="Times New Roman"/>
          <w:color w:val="0563C1"/>
          <w:sz w:val="24"/>
          <w:u w:val="single" w:color="0563C1"/>
        </w:rPr>
        <w:t>in.zhalymbetova@aues.kz</w:t>
      </w:r>
      <w:r>
        <w:rPr>
          <w:rFonts w:ascii="Times New Roman" w:eastAsia="Times New Roman" w:hAnsi="Times New Roman" w:cs="Times New Roman"/>
          <w:sz w:val="24"/>
        </w:rPr>
        <w:t xml:space="preserve">, </w:t>
      </w:r>
    </w:p>
    <w:p w:rsidR="0052701D" w:rsidRDefault="00D40929">
      <w:pPr>
        <w:spacing w:after="0"/>
        <w:ind w:left="10" w:right="50" w:hanging="10"/>
        <w:jc w:val="center"/>
      </w:pPr>
      <w:r>
        <w:rPr>
          <w:rFonts w:ascii="Times New Roman" w:eastAsia="Times New Roman" w:hAnsi="Times New Roman" w:cs="Times New Roman"/>
          <w:color w:val="0563C1"/>
          <w:sz w:val="24"/>
          <w:u w:val="single" w:color="0563C1"/>
        </w:rPr>
        <w:t>a.kemelkhan@aues.kz</w:t>
      </w:r>
      <w:r>
        <w:rPr>
          <w:rFonts w:ascii="Times New Roman" w:eastAsia="Times New Roman" w:hAnsi="Times New Roman" w:cs="Times New Roman"/>
          <w:sz w:val="24"/>
        </w:rPr>
        <w:t xml:space="preserve"> </w:t>
      </w:r>
    </w:p>
    <w:p w:rsidR="0052701D" w:rsidRDefault="00D40929">
      <w:pPr>
        <w:spacing w:after="0"/>
        <w:ind w:left="732"/>
        <w:jc w:val="center"/>
      </w:pPr>
      <w:r>
        <w:rPr>
          <w:rFonts w:ascii="Times New Roman" w:eastAsia="Times New Roman" w:hAnsi="Times New Roman" w:cs="Times New Roman"/>
          <w:sz w:val="24"/>
        </w:rPr>
        <w:t xml:space="preserve"> </w:t>
      </w:r>
    </w:p>
    <w:p w:rsidR="0052701D" w:rsidRDefault="00D40929">
      <w:pPr>
        <w:spacing w:after="0" w:line="248" w:lineRule="auto"/>
        <w:ind w:left="283" w:firstLine="711"/>
        <w:jc w:val="both"/>
      </w:pPr>
      <w:r>
        <w:rPr>
          <w:rFonts w:ascii="Times New Roman" w:eastAsia="Times New Roman" w:hAnsi="Times New Roman" w:cs="Times New Roman"/>
          <w:b/>
          <w:i/>
          <w:sz w:val="24"/>
        </w:rPr>
        <w:t>Annotation.</w:t>
      </w:r>
      <w:r>
        <w:rPr>
          <w:rFonts w:ascii="Times New Roman" w:eastAsia="Times New Roman" w:hAnsi="Times New Roman" w:cs="Times New Roman"/>
          <w:i/>
          <w:sz w:val="24"/>
        </w:rPr>
        <w:t xml:space="preserve"> Proposals have been made to use underwater military ballistic missiles as launch vehicles for launching satellites into orbit. The characteristics and advantages of underwater missiles will be considered.According to the </w:t>
      </w:r>
      <w:r>
        <w:rPr>
          <w:rFonts w:ascii="Times New Roman" w:eastAsia="Times New Roman" w:hAnsi="Times New Roman" w:cs="Times New Roman"/>
          <w:i/>
          <w:sz w:val="24"/>
        </w:rPr>
        <w:t xml:space="preserve">considered data, the purpose of the article will be implemented. </w:t>
      </w:r>
    </w:p>
    <w:p w:rsidR="0052701D" w:rsidRDefault="00D40929">
      <w:pPr>
        <w:spacing w:after="0" w:line="248" w:lineRule="auto"/>
        <w:ind w:left="283" w:firstLine="711"/>
        <w:jc w:val="both"/>
      </w:pPr>
      <w:r>
        <w:rPr>
          <w:rFonts w:ascii="Times New Roman" w:eastAsia="Times New Roman" w:hAnsi="Times New Roman" w:cs="Times New Roman"/>
          <w:b/>
          <w:i/>
          <w:sz w:val="24"/>
        </w:rPr>
        <w:t>Keywords:</w:t>
      </w:r>
      <w:r>
        <w:rPr>
          <w:rFonts w:ascii="Times New Roman" w:eastAsia="Times New Roman" w:hAnsi="Times New Roman" w:cs="Times New Roman"/>
          <w:i/>
          <w:sz w:val="24"/>
        </w:rPr>
        <w:t xml:space="preserve"> ballistic missile, launch vehicle, submarine, payload, payload, satellite, starting position</w:t>
      </w:r>
      <w:r>
        <w:rPr>
          <w:rFonts w:ascii="Times New Roman" w:eastAsia="Times New Roman" w:hAnsi="Times New Roman" w:cs="Times New Roman"/>
          <w:b/>
          <w:sz w:val="24"/>
        </w:rPr>
        <w:t xml:space="preserve"> </w:t>
      </w:r>
    </w:p>
    <w:p w:rsidR="0052701D" w:rsidRDefault="00D40929">
      <w:pPr>
        <w:spacing w:after="72"/>
        <w:ind w:left="994"/>
      </w:pPr>
      <w:r>
        <w:rPr>
          <w:rFonts w:ascii="Times New Roman" w:eastAsia="Times New Roman" w:hAnsi="Times New Roman" w:cs="Times New Roman"/>
          <w:b/>
          <w:sz w:val="24"/>
        </w:rPr>
        <w:t xml:space="preserve"> </w:t>
      </w:r>
    </w:p>
    <w:p w:rsidR="0052701D" w:rsidRDefault="00D40929">
      <w:pPr>
        <w:spacing w:after="54" w:line="251" w:lineRule="auto"/>
        <w:ind w:left="994" w:firstLine="9"/>
      </w:pPr>
      <w:r>
        <w:rPr>
          <w:rFonts w:ascii="Times New Roman" w:eastAsia="Times New Roman" w:hAnsi="Times New Roman" w:cs="Times New Roman"/>
          <w:b/>
          <w:sz w:val="28"/>
        </w:rPr>
        <w:t xml:space="preserve">Кіріспе </w:t>
      </w:r>
    </w:p>
    <w:p w:rsidR="0052701D" w:rsidRDefault="00D40929">
      <w:pPr>
        <w:spacing w:after="26" w:line="271" w:lineRule="auto"/>
        <w:ind w:left="283" w:right="325" w:firstLine="711"/>
        <w:jc w:val="both"/>
      </w:pPr>
      <w:r>
        <w:rPr>
          <w:rFonts w:ascii="Times New Roman" w:eastAsia="Times New Roman" w:hAnsi="Times New Roman" w:cs="Times New Roman"/>
          <w:sz w:val="28"/>
        </w:rPr>
        <w:lastRenderedPageBreak/>
        <w:t>Бұл жұмыста пайдалы жүктемені орбитаға шығару мақсатында зымыран тасығыштар</w:t>
      </w:r>
      <w:r>
        <w:rPr>
          <w:rFonts w:ascii="Times New Roman" w:eastAsia="Times New Roman" w:hAnsi="Times New Roman" w:cs="Times New Roman"/>
          <w:sz w:val="28"/>
        </w:rPr>
        <w:t xml:space="preserve"> ретінде су асты орналасқан әскери баллистикалық зымырандарды пайдалану мүмкіндіктері қарастырылады. Қарастырылатын зымырандар: Р-36М УТТХ, Р-36М және Р-36М2. </w:t>
      </w:r>
    </w:p>
    <w:p w:rsidR="0052701D" w:rsidRDefault="00D40929">
      <w:pPr>
        <w:spacing w:after="30" w:line="271" w:lineRule="auto"/>
        <w:ind w:left="283" w:right="323" w:firstLine="711"/>
        <w:jc w:val="both"/>
      </w:pPr>
      <w:r>
        <w:rPr>
          <w:rFonts w:ascii="Times New Roman" w:eastAsia="Times New Roman" w:hAnsi="Times New Roman" w:cs="Times New Roman"/>
          <w:sz w:val="28"/>
        </w:rPr>
        <w:t>Р-36М, Р — 36М УТТХ, Р — 36М2 (НАТО жіктеуі бойынша-SS 18 "Satan") — 1970-1980 жылдары әзірленге</w:t>
      </w:r>
      <w:r>
        <w:rPr>
          <w:rFonts w:ascii="Times New Roman" w:eastAsia="Times New Roman" w:hAnsi="Times New Roman" w:cs="Times New Roman"/>
          <w:sz w:val="28"/>
        </w:rPr>
        <w:t xml:space="preserve">н және қабылданған құрлықаралық ауыр баллистикалық жер үсті зымыраны бар кеңестік зымыран кешендерінің бір түрі. </w:t>
      </w:r>
    </w:p>
    <w:p w:rsidR="0052701D" w:rsidRDefault="00D40929">
      <w:pPr>
        <w:spacing w:after="38" w:line="271" w:lineRule="auto"/>
        <w:ind w:left="994" w:right="64"/>
        <w:jc w:val="both"/>
      </w:pPr>
      <w:r>
        <w:rPr>
          <w:rFonts w:ascii="Times New Roman" w:eastAsia="Times New Roman" w:hAnsi="Times New Roman" w:cs="Times New Roman"/>
          <w:sz w:val="28"/>
        </w:rPr>
        <w:t xml:space="preserve">Кешендердің жалпы ерекшеліктері: </w:t>
      </w:r>
    </w:p>
    <w:p w:rsidR="0052701D" w:rsidRDefault="00D40929">
      <w:pPr>
        <w:spacing w:after="34" w:line="271" w:lineRule="auto"/>
        <w:ind w:left="994" w:right="64"/>
        <w:jc w:val="both"/>
      </w:pPr>
      <w:r>
        <w:rPr>
          <w:rFonts w:ascii="Times New Roman" w:eastAsia="Times New Roman" w:hAnsi="Times New Roman" w:cs="Times New Roman"/>
          <w:sz w:val="28"/>
        </w:rPr>
        <w:t xml:space="preserve">-іске қосу қондырғысы — стационарлық, шахталық; </w:t>
      </w:r>
    </w:p>
    <w:p w:rsidR="0052701D" w:rsidRDefault="00D40929">
      <w:pPr>
        <w:spacing w:after="29" w:line="271" w:lineRule="auto"/>
        <w:ind w:left="283" w:right="319" w:firstLine="711"/>
        <w:jc w:val="both"/>
      </w:pPr>
      <w:r>
        <w:rPr>
          <w:rFonts w:ascii="Times New Roman" w:eastAsia="Times New Roman" w:hAnsi="Times New Roman" w:cs="Times New Roman"/>
          <w:sz w:val="28"/>
        </w:rPr>
        <w:t xml:space="preserve">-зымыран-көліктік-іске қосу контейнерінен минометті старты </w:t>
      </w:r>
      <w:r>
        <w:rPr>
          <w:rFonts w:ascii="Times New Roman" w:eastAsia="Times New Roman" w:hAnsi="Times New Roman" w:cs="Times New Roman"/>
          <w:sz w:val="28"/>
        </w:rPr>
        <w:t xml:space="preserve">бар, отынның жоғары қайнайтын компоненттеріндегі ЖРД-мен екі сатылы зымыран; </w:t>
      </w:r>
    </w:p>
    <w:p w:rsidR="0052701D" w:rsidRDefault="00D40929">
      <w:pPr>
        <w:spacing w:after="33" w:line="271" w:lineRule="auto"/>
        <w:ind w:left="283" w:right="64" w:firstLine="711"/>
        <w:jc w:val="both"/>
      </w:pPr>
      <w:r>
        <w:rPr>
          <w:rFonts w:ascii="Times New Roman" w:eastAsia="Times New Roman" w:hAnsi="Times New Roman" w:cs="Times New Roman"/>
          <w:sz w:val="28"/>
        </w:rPr>
        <w:t xml:space="preserve">-зымыранды басқару жүйесі-автономды, инерциялық, сандық есептеу машинасына негізделген; </w:t>
      </w:r>
    </w:p>
    <w:p w:rsidR="0052701D" w:rsidRDefault="00D40929">
      <w:pPr>
        <w:spacing w:after="44" w:line="271" w:lineRule="auto"/>
        <w:ind w:left="283" w:right="64" w:firstLine="711"/>
        <w:jc w:val="both"/>
      </w:pPr>
      <w:r>
        <w:rPr>
          <w:rFonts w:ascii="Times New Roman" w:eastAsia="Times New Roman" w:hAnsi="Times New Roman" w:cs="Times New Roman"/>
          <w:sz w:val="28"/>
        </w:rPr>
        <w:t>-зымыран әр түрлі бас бөліктерін, соның ішінде жеке әскери блоктармен бөлуге мүмкіндік бе</w:t>
      </w:r>
      <w:r>
        <w:rPr>
          <w:rFonts w:ascii="Times New Roman" w:eastAsia="Times New Roman" w:hAnsi="Times New Roman" w:cs="Times New Roman"/>
          <w:sz w:val="28"/>
        </w:rPr>
        <w:t xml:space="preserve">реді. </w:t>
      </w:r>
    </w:p>
    <w:p w:rsidR="0052701D" w:rsidRDefault="00D40929">
      <w:pPr>
        <w:spacing w:after="52" w:line="251" w:lineRule="auto"/>
        <w:ind w:left="994" w:firstLine="9"/>
      </w:pPr>
      <w:r>
        <w:rPr>
          <w:rFonts w:ascii="Times New Roman" w:eastAsia="Times New Roman" w:hAnsi="Times New Roman" w:cs="Times New Roman"/>
          <w:b/>
          <w:sz w:val="28"/>
        </w:rPr>
        <w:t xml:space="preserve">Зымырандардың сипаттамалары бойынша талдау </w:t>
      </w:r>
    </w:p>
    <w:p w:rsidR="0052701D" w:rsidRDefault="00D40929">
      <w:pPr>
        <w:spacing w:after="29" w:line="271" w:lineRule="auto"/>
        <w:ind w:left="283" w:right="323" w:firstLine="711"/>
        <w:jc w:val="both"/>
      </w:pPr>
      <w:r>
        <w:rPr>
          <w:rFonts w:ascii="Times New Roman" w:eastAsia="Times New Roman" w:hAnsi="Times New Roman" w:cs="Times New Roman"/>
          <w:sz w:val="28"/>
        </w:rPr>
        <w:t>Р-36М екі сатылы зымыран кезеңдердің дәйекті орналасуымен тандем схемасына сәйкес жасалды. Көлемді пайдалануды оңтайландыру үшін екінші сатыдағы аралық адаптерді қоспағанда, құрғақ бөліктер зымыран құрамын</w:t>
      </w:r>
      <w:r>
        <w:rPr>
          <w:rFonts w:ascii="Times New Roman" w:eastAsia="Times New Roman" w:hAnsi="Times New Roman" w:cs="Times New Roman"/>
          <w:sz w:val="28"/>
        </w:rPr>
        <w:t xml:space="preserve">ан шығарылды. Қолданылған конструктивтік шешімдер диаметрі сақталған кезде отын қорын 11% - ға арттыруға және зымыранның алғашқы екі сатысының жиынтық ұзындығын 8К67 зымыранымен салыстырғанда 400 мм-ге азайтуға мүмкіндік берді. </w:t>
      </w:r>
    </w:p>
    <w:p w:rsidR="0052701D" w:rsidRDefault="00D40929">
      <w:pPr>
        <w:spacing w:after="31" w:line="271" w:lineRule="auto"/>
        <w:ind w:left="283" w:right="323" w:firstLine="711"/>
        <w:jc w:val="both"/>
      </w:pPr>
      <w:r>
        <w:rPr>
          <w:rFonts w:ascii="Times New Roman" w:eastAsia="Times New Roman" w:hAnsi="Times New Roman" w:cs="Times New Roman"/>
          <w:sz w:val="28"/>
        </w:rPr>
        <w:t>Зымыранның басқару жүйесі а</w:t>
      </w:r>
      <w:r>
        <w:rPr>
          <w:rFonts w:ascii="Times New Roman" w:eastAsia="Times New Roman" w:hAnsi="Times New Roman" w:cs="Times New Roman"/>
          <w:sz w:val="28"/>
        </w:rPr>
        <w:t>втономды, инерциялық. Оның жұмысын борттық сандық есептеу кешені қамтамасыз етті. Есептеу кешенінің барлық негізгі элементтері резервтелген. БЦВК қолдану атыстың жоғары дәлдігіне қол жеткізуге мүмкіндік берді-жауынгерлік блоктардың дөңгелек ықтимал ауытқуы</w:t>
      </w:r>
      <w:r>
        <w:rPr>
          <w:rFonts w:ascii="Times New Roman" w:eastAsia="Times New Roman" w:hAnsi="Times New Roman" w:cs="Times New Roman"/>
          <w:sz w:val="28"/>
        </w:rPr>
        <w:t xml:space="preserve"> 430 м құрады.[1,2] </w:t>
      </w:r>
    </w:p>
    <w:p w:rsidR="0052701D" w:rsidRDefault="00D40929">
      <w:pPr>
        <w:spacing w:after="5" w:line="271" w:lineRule="auto"/>
        <w:ind w:left="283" w:right="327" w:firstLine="711"/>
        <w:jc w:val="both"/>
      </w:pPr>
      <w:r>
        <w:rPr>
          <w:rFonts w:ascii="Times New Roman" w:eastAsia="Times New Roman" w:hAnsi="Times New Roman" w:cs="Times New Roman"/>
          <w:sz w:val="28"/>
        </w:rPr>
        <w:t xml:space="preserve">Үшінші буындағы 15п018 (Р-36М УТТХ) стратегиялық зымыран кешенін 15a18 зымыранымен, 10 блокты бөлетін бас бөлігімен әзірлеу 1976 жылғы 16 тамызда басталды. .[3,4] </w:t>
      </w:r>
    </w:p>
    <w:p w:rsidR="0052701D" w:rsidRDefault="00D40929">
      <w:pPr>
        <w:spacing w:after="0"/>
        <w:ind w:left="994"/>
      </w:pPr>
      <w:r>
        <w:rPr>
          <w:rFonts w:ascii="Times New Roman" w:eastAsia="Times New Roman" w:hAnsi="Times New Roman" w:cs="Times New Roman"/>
          <w:sz w:val="28"/>
        </w:rPr>
        <w:t xml:space="preserve"> </w:t>
      </w:r>
    </w:p>
    <w:p w:rsidR="0052701D" w:rsidRDefault="00D40929">
      <w:pPr>
        <w:spacing w:after="0"/>
        <w:ind w:left="34"/>
        <w:jc w:val="center"/>
      </w:pPr>
      <w:r>
        <w:rPr>
          <w:noProof/>
        </w:rPr>
        <w:lastRenderedPageBreak/>
        <w:drawing>
          <wp:inline distT="0" distB="0" distL="0" distR="0">
            <wp:extent cx="2743200" cy="2926080"/>
            <wp:effectExtent l="0" t="0" r="0" b="0"/>
            <wp:docPr id="36809" name="Picture 36809"/>
            <wp:cNvGraphicFramePr/>
            <a:graphic xmlns:a="http://schemas.openxmlformats.org/drawingml/2006/main">
              <a:graphicData uri="http://schemas.openxmlformats.org/drawingml/2006/picture">
                <pic:pic xmlns:pic="http://schemas.openxmlformats.org/drawingml/2006/picture">
                  <pic:nvPicPr>
                    <pic:cNvPr id="36809" name="Picture 36809"/>
                    <pic:cNvPicPr/>
                  </pic:nvPicPr>
                  <pic:blipFill>
                    <a:blip r:embed="rId508"/>
                    <a:stretch>
                      <a:fillRect/>
                    </a:stretch>
                  </pic:blipFill>
                  <pic:spPr>
                    <a:xfrm>
                      <a:off x="0" y="0"/>
                      <a:ext cx="2743200" cy="2926080"/>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14" w:line="249" w:lineRule="auto"/>
        <w:ind w:left="954" w:right="283" w:hanging="10"/>
        <w:jc w:val="center"/>
      </w:pPr>
      <w:r>
        <w:rPr>
          <w:rFonts w:ascii="Times New Roman" w:eastAsia="Times New Roman" w:hAnsi="Times New Roman" w:cs="Times New Roman"/>
          <w:sz w:val="28"/>
        </w:rPr>
        <w:t xml:space="preserve">Сурет 1 - Р-36М зымыраны </w:t>
      </w:r>
    </w:p>
    <w:p w:rsidR="0052701D" w:rsidRDefault="00D40929">
      <w:pPr>
        <w:spacing w:after="52"/>
        <w:ind w:left="741"/>
        <w:jc w:val="center"/>
      </w:pPr>
      <w:r>
        <w:rPr>
          <w:rFonts w:ascii="Times New Roman" w:eastAsia="Times New Roman" w:hAnsi="Times New Roman" w:cs="Times New Roman"/>
          <w:sz w:val="28"/>
        </w:rPr>
        <w:t xml:space="preserve"> </w:t>
      </w:r>
    </w:p>
    <w:p w:rsidR="0052701D" w:rsidRDefault="00D40929">
      <w:pPr>
        <w:spacing w:after="37" w:line="271" w:lineRule="auto"/>
        <w:ind w:left="283" w:right="322" w:firstLine="711"/>
        <w:jc w:val="both"/>
      </w:pPr>
      <w:r>
        <w:rPr>
          <w:rFonts w:ascii="Times New Roman" w:eastAsia="Times New Roman" w:hAnsi="Times New Roman" w:cs="Times New Roman"/>
          <w:sz w:val="28"/>
        </w:rPr>
        <w:t>Зымыран кешені бұрын әзірленген 15п014 (Р-36М) кешенінің жауынгерлік тиімділігін жетілдіру және арттыру бағдарламасын іске асыру нәтижесінде құрылды. Кешен жау туралы құралдарға тиімді қарсы іс-қимыл жағдайында ауданы 300000 км2 дейінгі жерде орналасқан ас</w:t>
      </w:r>
      <w:r>
        <w:rPr>
          <w:rFonts w:ascii="Times New Roman" w:eastAsia="Times New Roman" w:hAnsi="Times New Roman" w:cs="Times New Roman"/>
          <w:sz w:val="28"/>
        </w:rPr>
        <w:t xml:space="preserve">а берік шағын өлшемді не аса ірі алаңдық мақсаттарды қоса алғанда, бір зымыранмен 10 мақсатқа дейін жеңілуді қамтамасыз етеді. Жаңа кешеннің тиімділігін арттыру: </w:t>
      </w:r>
    </w:p>
    <w:p w:rsidR="0052701D" w:rsidRDefault="00D40929">
      <w:pPr>
        <w:spacing w:after="38" w:line="271" w:lineRule="auto"/>
        <w:ind w:left="994" w:right="64"/>
        <w:jc w:val="both"/>
      </w:pPr>
      <w:r>
        <w:rPr>
          <w:rFonts w:ascii="Times New Roman" w:eastAsia="Times New Roman" w:hAnsi="Times New Roman" w:cs="Times New Roman"/>
          <w:sz w:val="28"/>
        </w:rPr>
        <w:t xml:space="preserve">-атыс дәлдігін 2-3 есе арттыру; </w:t>
      </w:r>
    </w:p>
    <w:p w:rsidR="0052701D" w:rsidRDefault="00D40929">
      <w:pPr>
        <w:spacing w:after="34" w:line="271" w:lineRule="auto"/>
        <w:ind w:left="283" w:right="64" w:firstLine="711"/>
        <w:jc w:val="both"/>
      </w:pPr>
      <w:r>
        <w:rPr>
          <w:rFonts w:ascii="Times New Roman" w:eastAsia="Times New Roman" w:hAnsi="Times New Roman" w:cs="Times New Roman"/>
          <w:sz w:val="28"/>
        </w:rPr>
        <w:t>-жауынгерлік блоктардың (ББ) санын және олардың зарядтарының</w:t>
      </w:r>
      <w:r>
        <w:rPr>
          <w:rFonts w:ascii="Times New Roman" w:eastAsia="Times New Roman" w:hAnsi="Times New Roman" w:cs="Times New Roman"/>
          <w:sz w:val="28"/>
        </w:rPr>
        <w:t xml:space="preserve"> қуатын ұлғайту; </w:t>
      </w:r>
    </w:p>
    <w:p w:rsidR="0052701D" w:rsidRDefault="00D40929">
      <w:pPr>
        <w:spacing w:after="38" w:line="271" w:lineRule="auto"/>
        <w:ind w:left="994" w:right="64"/>
        <w:jc w:val="both"/>
      </w:pPr>
      <w:r>
        <w:rPr>
          <w:rFonts w:ascii="Times New Roman" w:eastAsia="Times New Roman" w:hAnsi="Times New Roman" w:cs="Times New Roman"/>
          <w:sz w:val="28"/>
        </w:rPr>
        <w:t xml:space="preserve">-ББ өсіру ауданын ұлғайту; </w:t>
      </w:r>
    </w:p>
    <w:p w:rsidR="0052701D" w:rsidRDefault="00D40929">
      <w:pPr>
        <w:spacing w:after="35" w:line="271" w:lineRule="auto"/>
        <w:ind w:left="283" w:right="64" w:firstLine="711"/>
        <w:jc w:val="both"/>
      </w:pPr>
      <w:r>
        <w:rPr>
          <w:rFonts w:ascii="Times New Roman" w:eastAsia="Times New Roman" w:hAnsi="Times New Roman" w:cs="Times New Roman"/>
          <w:sz w:val="28"/>
        </w:rPr>
        <w:t xml:space="preserve">-жоғары қорғалған шахталық іске қосу қондырғысы мен командалық пунктті қолдану; </w:t>
      </w:r>
    </w:p>
    <w:p w:rsidR="0052701D" w:rsidRDefault="00D40929">
      <w:pPr>
        <w:spacing w:after="5" w:line="271" w:lineRule="auto"/>
        <w:ind w:left="994" w:right="64"/>
        <w:jc w:val="both"/>
      </w:pPr>
      <w:r>
        <w:rPr>
          <w:rFonts w:ascii="Times New Roman" w:eastAsia="Times New Roman" w:hAnsi="Times New Roman" w:cs="Times New Roman"/>
          <w:sz w:val="28"/>
        </w:rPr>
        <w:t xml:space="preserve">-СПУ-ға командаларды жіберу ықтималдығын арттыру. </w:t>
      </w:r>
    </w:p>
    <w:p w:rsidR="0052701D" w:rsidRDefault="00D40929">
      <w:pPr>
        <w:spacing w:after="35" w:line="271" w:lineRule="auto"/>
        <w:ind w:left="283" w:right="326" w:firstLine="711"/>
        <w:jc w:val="both"/>
      </w:pPr>
      <w:r>
        <w:rPr>
          <w:rFonts w:ascii="Times New Roman" w:eastAsia="Times New Roman" w:hAnsi="Times New Roman" w:cs="Times New Roman"/>
          <w:sz w:val="28"/>
        </w:rPr>
        <w:t>1983 жылы 9 тамызда КСРО Министрлер Кеңесінің Қаулысымен "Южное" КБ американды</w:t>
      </w:r>
      <w:r>
        <w:rPr>
          <w:rFonts w:ascii="Times New Roman" w:eastAsia="Times New Roman" w:hAnsi="Times New Roman" w:cs="Times New Roman"/>
          <w:sz w:val="28"/>
        </w:rPr>
        <w:t xml:space="preserve">қ зымыранға қарсы қорғаныс жүйесін жеңе алатындай етіп Р-36М УТТХ зымыранын аяқтау міндеті қойылды. Сонымен қатар, зымыранның және бүкіл кешеннің ядролық жарылыстың зақымдаушы факторларының әсерінен қорғалуын арттыру қажет болды.[2] </w:t>
      </w:r>
    </w:p>
    <w:p w:rsidR="0052701D" w:rsidRDefault="00D40929">
      <w:pPr>
        <w:spacing w:after="5" w:line="271" w:lineRule="auto"/>
        <w:ind w:left="283" w:right="324" w:firstLine="711"/>
        <w:jc w:val="both"/>
      </w:pPr>
      <w:r>
        <w:rPr>
          <w:rFonts w:ascii="Times New Roman" w:eastAsia="Times New Roman" w:hAnsi="Times New Roman" w:cs="Times New Roman"/>
          <w:sz w:val="28"/>
        </w:rPr>
        <w:t>Р-</w:t>
      </w:r>
      <w:r>
        <w:rPr>
          <w:rFonts w:ascii="Times New Roman" w:eastAsia="Times New Roman" w:hAnsi="Times New Roman" w:cs="Times New Roman"/>
          <w:sz w:val="28"/>
        </w:rPr>
        <w:t>36М2 "Воевода" төртінші буындағы ауыр класты көп мақсатты континентаралық зымыраны бар 15а18м зымыран кешені кез келген жауынгерлік қолдану жағдайларында, оның ішінде позициялық аудан бойынша бірнеше ядролық әсер ету кезінде ПРО заманауи құралдарымен қорға</w:t>
      </w:r>
      <w:r>
        <w:rPr>
          <w:rFonts w:ascii="Times New Roman" w:eastAsia="Times New Roman" w:hAnsi="Times New Roman" w:cs="Times New Roman"/>
          <w:sz w:val="28"/>
        </w:rPr>
        <w:t xml:space="preserve">лған мақсаттардың барлық түрлерін жоюға арналған. Оны қолдану </w:t>
      </w:r>
      <w:r>
        <w:rPr>
          <w:rFonts w:ascii="Times New Roman" w:eastAsia="Times New Roman" w:hAnsi="Times New Roman" w:cs="Times New Roman"/>
          <w:sz w:val="28"/>
        </w:rPr>
        <w:lastRenderedPageBreak/>
        <w:t xml:space="preserve">кепілдендірілген жауап қайтару стратегиясын жүзеге асыруға мүмкіндік береді. </w:t>
      </w:r>
    </w:p>
    <w:p w:rsidR="0052701D" w:rsidRDefault="00D40929">
      <w:pPr>
        <w:spacing w:after="0"/>
        <w:ind w:left="994"/>
      </w:pPr>
      <w:r>
        <w:rPr>
          <w:rFonts w:ascii="Times New Roman" w:eastAsia="Times New Roman" w:hAnsi="Times New Roman" w:cs="Times New Roman"/>
          <w:sz w:val="28"/>
        </w:rPr>
        <w:t xml:space="preserve"> </w:t>
      </w:r>
    </w:p>
    <w:p w:rsidR="0052701D" w:rsidRDefault="00D40929">
      <w:pPr>
        <w:spacing w:after="0"/>
        <w:ind w:right="1693"/>
        <w:jc w:val="right"/>
      </w:pPr>
      <w:r>
        <w:rPr>
          <w:noProof/>
        </w:rPr>
        <w:drawing>
          <wp:inline distT="0" distB="0" distL="0" distR="0">
            <wp:extent cx="3483864" cy="1752600"/>
            <wp:effectExtent l="0" t="0" r="0" b="0"/>
            <wp:docPr id="37113" name="Picture 37113"/>
            <wp:cNvGraphicFramePr/>
            <a:graphic xmlns:a="http://schemas.openxmlformats.org/drawingml/2006/main">
              <a:graphicData uri="http://schemas.openxmlformats.org/drawingml/2006/picture">
                <pic:pic xmlns:pic="http://schemas.openxmlformats.org/drawingml/2006/picture">
                  <pic:nvPicPr>
                    <pic:cNvPr id="37113" name="Picture 37113"/>
                    <pic:cNvPicPr/>
                  </pic:nvPicPr>
                  <pic:blipFill>
                    <a:blip r:embed="rId509"/>
                    <a:stretch>
                      <a:fillRect/>
                    </a:stretch>
                  </pic:blipFill>
                  <pic:spPr>
                    <a:xfrm>
                      <a:off x="0" y="0"/>
                      <a:ext cx="3483864" cy="1752600"/>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14" w:line="249" w:lineRule="auto"/>
        <w:ind w:left="954" w:right="283" w:hanging="10"/>
        <w:jc w:val="center"/>
      </w:pPr>
      <w:r>
        <w:rPr>
          <w:rFonts w:ascii="Times New Roman" w:eastAsia="Times New Roman" w:hAnsi="Times New Roman" w:cs="Times New Roman"/>
          <w:sz w:val="28"/>
        </w:rPr>
        <w:t xml:space="preserve">Сурет 2 - Р-36М УТТХ зымыраны </w:t>
      </w:r>
    </w:p>
    <w:p w:rsidR="0052701D" w:rsidRDefault="00D40929">
      <w:pPr>
        <w:spacing w:after="57"/>
        <w:ind w:left="741"/>
        <w:jc w:val="center"/>
      </w:pPr>
      <w:r>
        <w:rPr>
          <w:rFonts w:ascii="Times New Roman" w:eastAsia="Times New Roman" w:hAnsi="Times New Roman" w:cs="Times New Roman"/>
          <w:sz w:val="28"/>
        </w:rPr>
        <w:t xml:space="preserve"> </w:t>
      </w:r>
    </w:p>
    <w:p w:rsidR="0052701D" w:rsidRDefault="00D40929">
      <w:pPr>
        <w:spacing w:after="5" w:line="271" w:lineRule="auto"/>
        <w:ind w:left="283" w:right="331" w:firstLine="711"/>
        <w:jc w:val="both"/>
      </w:pPr>
      <w:r>
        <w:rPr>
          <w:rFonts w:ascii="Times New Roman" w:eastAsia="Times New Roman" w:hAnsi="Times New Roman" w:cs="Times New Roman"/>
          <w:sz w:val="28"/>
        </w:rPr>
        <w:t>"Воевода" р-36М2 кешенін әзірлеу кезінде жауынгерлік қолданудың ерекше қиын жа</w:t>
      </w:r>
      <w:r>
        <w:rPr>
          <w:rFonts w:ascii="Times New Roman" w:eastAsia="Times New Roman" w:hAnsi="Times New Roman" w:cs="Times New Roman"/>
          <w:sz w:val="28"/>
        </w:rPr>
        <w:t xml:space="preserve">ғдайларында жоғары жауынгерлік тиімділікті қамтамасыз ету үшін мынадай бағыттарға ерекше назар аударылды: </w:t>
      </w:r>
    </w:p>
    <w:p w:rsidR="0052701D" w:rsidRDefault="00D40929">
      <w:pPr>
        <w:spacing w:after="5" w:line="271" w:lineRule="auto"/>
        <w:ind w:left="283" w:right="329" w:firstLine="711"/>
        <w:jc w:val="both"/>
      </w:pPr>
      <w:r>
        <w:rPr>
          <w:rFonts w:ascii="Times New Roman" w:eastAsia="Times New Roman" w:hAnsi="Times New Roman" w:cs="Times New Roman"/>
          <w:sz w:val="28"/>
        </w:rPr>
        <w:t>Жаңа кешеннің негізгі артықшылықтарының бірі жер үсті және биіктіктегі ядролық жарылыстардың әсерінен кері-қарсы соққы жағдайында зымырандарды ұшыруд</w:t>
      </w:r>
      <w:r>
        <w:rPr>
          <w:rFonts w:ascii="Times New Roman" w:eastAsia="Times New Roman" w:hAnsi="Times New Roman" w:cs="Times New Roman"/>
          <w:sz w:val="28"/>
        </w:rPr>
        <w:t>ы қамтамасыз ету мүмкіндігі болып табылады. Бұған шахталық ұшыру қондырғысында зымыранның өміршеңдігін арттыру және зымыранның ядролық жарылыстың зақымдайтын факторларына ұшу тұрақтылығын едәуір арттыру арқылы қол жеткізілді. Зымыран корпусының көп функция</w:t>
      </w:r>
      <w:r>
        <w:rPr>
          <w:rFonts w:ascii="Times New Roman" w:eastAsia="Times New Roman" w:hAnsi="Times New Roman" w:cs="Times New Roman"/>
          <w:sz w:val="28"/>
        </w:rPr>
        <w:t>лы жабыны бар, басқару жүйесінің аппаратурасын гамма-сәулеленуден қорғау енгізілген, басқару жүйесін тұрақтандыру автоматының атқарушы органдарының тез әрекет етуі 2 есе артқан, бас сүйегішті бөлу биіктіктегі блоктайтын ядролық жарылыстар аймағынан өткенне</w:t>
      </w:r>
      <w:r>
        <w:rPr>
          <w:rFonts w:ascii="Times New Roman" w:eastAsia="Times New Roman" w:hAnsi="Times New Roman" w:cs="Times New Roman"/>
          <w:sz w:val="28"/>
        </w:rPr>
        <w:t xml:space="preserve">н кейін жүзеге асырылады, зымыранның бірінші және екінші сатыларының қозғалтқыштары тарту бойынша жылдамдатылған. </w:t>
      </w:r>
    </w:p>
    <w:p w:rsidR="0052701D" w:rsidRDefault="00D40929">
      <w:pPr>
        <w:spacing w:after="53"/>
        <w:ind w:left="994"/>
      </w:pPr>
      <w:r>
        <w:rPr>
          <w:rFonts w:ascii="Times New Roman" w:eastAsia="Times New Roman" w:hAnsi="Times New Roman" w:cs="Times New Roman"/>
          <w:sz w:val="28"/>
        </w:rPr>
        <w:t xml:space="preserve"> </w:t>
      </w:r>
    </w:p>
    <w:p w:rsidR="0052701D" w:rsidRDefault="00D40929">
      <w:pPr>
        <w:spacing w:after="52"/>
        <w:ind w:left="10" w:right="324" w:hanging="10"/>
        <w:jc w:val="right"/>
      </w:pPr>
      <w:r>
        <w:rPr>
          <w:rFonts w:ascii="Times New Roman" w:eastAsia="Times New Roman" w:hAnsi="Times New Roman" w:cs="Times New Roman"/>
          <w:sz w:val="28"/>
        </w:rPr>
        <w:t xml:space="preserve">Кесте 1  </w:t>
      </w:r>
    </w:p>
    <w:p w:rsidR="0052701D" w:rsidRDefault="00D40929">
      <w:pPr>
        <w:spacing w:after="14" w:line="249" w:lineRule="auto"/>
        <w:ind w:left="954" w:right="851" w:hanging="10"/>
        <w:jc w:val="center"/>
      </w:pPr>
      <w:r>
        <w:rPr>
          <w:rFonts w:ascii="Times New Roman" w:eastAsia="Times New Roman" w:hAnsi="Times New Roman" w:cs="Times New Roman"/>
          <w:sz w:val="28"/>
        </w:rPr>
        <w:t>Зымырандардың тактикалық және техникалық сипаттамалары[5]</w:t>
      </w:r>
      <w:r>
        <w:rPr>
          <w:rFonts w:ascii="Times New Roman" w:eastAsia="Times New Roman" w:hAnsi="Times New Roman" w:cs="Times New Roman"/>
          <w:b/>
          <w:sz w:val="28"/>
        </w:rPr>
        <w:t xml:space="preserve"> </w:t>
      </w:r>
    </w:p>
    <w:tbl>
      <w:tblPr>
        <w:tblStyle w:val="TableGrid"/>
        <w:tblW w:w="8668" w:type="dxa"/>
        <w:tblInd w:w="408" w:type="dxa"/>
        <w:tblCellMar>
          <w:top w:w="7" w:type="dxa"/>
          <w:left w:w="134" w:type="dxa"/>
          <w:bottom w:w="0" w:type="dxa"/>
          <w:right w:w="74" w:type="dxa"/>
        </w:tblCellMar>
        <w:tblLook w:val="04A0" w:firstRow="1" w:lastRow="0" w:firstColumn="1" w:lastColumn="0" w:noHBand="0" w:noVBand="1"/>
      </w:tblPr>
      <w:tblGrid>
        <w:gridCol w:w="3419"/>
        <w:gridCol w:w="1844"/>
        <w:gridCol w:w="1705"/>
        <w:gridCol w:w="1700"/>
      </w:tblGrid>
      <w:tr w:rsidR="0052701D">
        <w:trPr>
          <w:trHeight w:val="283"/>
        </w:trPr>
        <w:tc>
          <w:tcPr>
            <w:tcW w:w="3419"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7"/>
              <w:jc w:val="center"/>
            </w:pPr>
            <w:r>
              <w:rPr>
                <w:rFonts w:ascii="Times New Roman" w:eastAsia="Times New Roman" w:hAnsi="Times New Roman" w:cs="Times New Roman"/>
                <w:sz w:val="24"/>
              </w:rPr>
              <w:t xml:space="preserve">Сипаттамалар </w:t>
            </w:r>
          </w:p>
        </w:tc>
        <w:tc>
          <w:tcPr>
            <w:tcW w:w="184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3"/>
              <w:jc w:val="center"/>
            </w:pPr>
            <w:r>
              <w:rPr>
                <w:rFonts w:ascii="Times New Roman" w:eastAsia="Times New Roman" w:hAnsi="Times New Roman" w:cs="Times New Roman"/>
                <w:sz w:val="24"/>
              </w:rPr>
              <w:t xml:space="preserve">Р-36М </w:t>
            </w:r>
          </w:p>
        </w:tc>
        <w:tc>
          <w:tcPr>
            <w:tcW w:w="170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34"/>
            </w:pPr>
            <w:r>
              <w:rPr>
                <w:rFonts w:ascii="Times New Roman" w:eastAsia="Times New Roman" w:hAnsi="Times New Roman" w:cs="Times New Roman"/>
                <w:sz w:val="24"/>
              </w:rPr>
              <w:t xml:space="preserve">Р-36М УТТХ </w:t>
            </w:r>
          </w:p>
        </w:tc>
        <w:tc>
          <w:tcPr>
            <w:tcW w:w="170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0"/>
              <w:jc w:val="center"/>
            </w:pPr>
            <w:r>
              <w:rPr>
                <w:rFonts w:ascii="Times New Roman" w:eastAsia="Times New Roman" w:hAnsi="Times New Roman" w:cs="Times New Roman"/>
                <w:sz w:val="24"/>
              </w:rPr>
              <w:t xml:space="preserve">Р-36М2 </w:t>
            </w:r>
          </w:p>
        </w:tc>
      </w:tr>
      <w:tr w:rsidR="0052701D">
        <w:trPr>
          <w:trHeight w:val="288"/>
        </w:trPr>
        <w:tc>
          <w:tcPr>
            <w:tcW w:w="3419"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0"/>
              <w:jc w:val="center"/>
            </w:pPr>
            <w:r>
              <w:rPr>
                <w:rFonts w:ascii="Times New Roman" w:eastAsia="Times New Roman" w:hAnsi="Times New Roman" w:cs="Times New Roman"/>
                <w:sz w:val="24"/>
              </w:rPr>
              <w:t xml:space="preserve">Максималды қашықтық, км </w:t>
            </w:r>
          </w:p>
        </w:tc>
        <w:tc>
          <w:tcPr>
            <w:tcW w:w="184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6"/>
              <w:jc w:val="center"/>
            </w:pPr>
            <w:r>
              <w:rPr>
                <w:rFonts w:ascii="Times New Roman" w:eastAsia="Times New Roman" w:hAnsi="Times New Roman" w:cs="Times New Roman"/>
                <w:sz w:val="24"/>
              </w:rPr>
              <w:t xml:space="preserve">11200-16000 </w:t>
            </w:r>
          </w:p>
        </w:tc>
        <w:tc>
          <w:tcPr>
            <w:tcW w:w="170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77"/>
            </w:pPr>
            <w:r>
              <w:rPr>
                <w:rFonts w:ascii="Times New Roman" w:eastAsia="Times New Roman" w:hAnsi="Times New Roman" w:cs="Times New Roman"/>
                <w:sz w:val="24"/>
              </w:rPr>
              <w:t xml:space="preserve">11000-16000 </w:t>
            </w:r>
          </w:p>
        </w:tc>
        <w:tc>
          <w:tcPr>
            <w:tcW w:w="170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77"/>
            </w:pPr>
            <w:r>
              <w:rPr>
                <w:rFonts w:ascii="Times New Roman" w:eastAsia="Times New Roman" w:hAnsi="Times New Roman" w:cs="Times New Roman"/>
                <w:sz w:val="24"/>
              </w:rPr>
              <w:t xml:space="preserve">11200-16000 </w:t>
            </w:r>
          </w:p>
        </w:tc>
      </w:tr>
      <w:tr w:rsidR="0052701D">
        <w:trPr>
          <w:trHeight w:val="495"/>
        </w:trPr>
        <w:tc>
          <w:tcPr>
            <w:tcW w:w="3419" w:type="dxa"/>
            <w:tcBorders>
              <w:top w:val="single" w:sz="4" w:space="0" w:color="000000"/>
              <w:left w:val="single" w:sz="4" w:space="0" w:color="000000"/>
              <w:bottom w:val="single" w:sz="4" w:space="0" w:color="000000"/>
              <w:right w:val="single" w:sz="4" w:space="0" w:color="000000"/>
            </w:tcBorders>
          </w:tcPr>
          <w:p w:rsidR="0052701D" w:rsidRDefault="00D40929">
            <w:pPr>
              <w:spacing w:after="0"/>
              <w:jc w:val="center"/>
            </w:pPr>
            <w:r>
              <w:rPr>
                <w:rFonts w:ascii="Times New Roman" w:eastAsia="Times New Roman" w:hAnsi="Times New Roman" w:cs="Times New Roman"/>
                <w:sz w:val="24"/>
              </w:rPr>
              <w:t xml:space="preserve">Лақтырылатын салмақ( бас бөлігінің салмағы), кг </w:t>
            </w:r>
          </w:p>
        </w:tc>
        <w:tc>
          <w:tcPr>
            <w:tcW w:w="184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0"/>
              <w:jc w:val="center"/>
            </w:pPr>
            <w:r>
              <w:rPr>
                <w:rFonts w:ascii="Times New Roman" w:eastAsia="Times New Roman" w:hAnsi="Times New Roman" w:cs="Times New Roman"/>
                <w:sz w:val="24"/>
              </w:rPr>
              <w:t xml:space="preserve">7300 </w:t>
            </w:r>
          </w:p>
        </w:tc>
        <w:tc>
          <w:tcPr>
            <w:tcW w:w="170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5"/>
              <w:jc w:val="center"/>
            </w:pPr>
            <w:r>
              <w:rPr>
                <w:rFonts w:ascii="Times New Roman" w:eastAsia="Times New Roman" w:hAnsi="Times New Roman" w:cs="Times New Roman"/>
                <w:sz w:val="24"/>
              </w:rPr>
              <w:t xml:space="preserve">8800 </w:t>
            </w:r>
          </w:p>
        </w:tc>
        <w:tc>
          <w:tcPr>
            <w:tcW w:w="1700"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right="56"/>
              <w:jc w:val="center"/>
            </w:pPr>
            <w:r>
              <w:rPr>
                <w:rFonts w:ascii="Times New Roman" w:eastAsia="Times New Roman" w:hAnsi="Times New Roman" w:cs="Times New Roman"/>
                <w:sz w:val="24"/>
              </w:rPr>
              <w:t xml:space="preserve">8400-8700 </w:t>
            </w:r>
          </w:p>
        </w:tc>
      </w:tr>
      <w:tr w:rsidR="0052701D">
        <w:trPr>
          <w:trHeight w:val="288"/>
        </w:trPr>
        <w:tc>
          <w:tcPr>
            <w:tcW w:w="3419"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5"/>
              <w:jc w:val="center"/>
            </w:pPr>
            <w:r>
              <w:rPr>
                <w:rFonts w:ascii="Times New Roman" w:eastAsia="Times New Roman" w:hAnsi="Times New Roman" w:cs="Times New Roman"/>
                <w:sz w:val="24"/>
              </w:rPr>
              <w:t xml:space="preserve">Бастапқы салмағы, т </w:t>
            </w:r>
          </w:p>
        </w:tc>
        <w:tc>
          <w:tcPr>
            <w:tcW w:w="184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5"/>
              <w:jc w:val="center"/>
            </w:pPr>
            <w:r>
              <w:rPr>
                <w:rFonts w:ascii="Times New Roman" w:eastAsia="Times New Roman" w:hAnsi="Times New Roman" w:cs="Times New Roman"/>
                <w:sz w:val="24"/>
              </w:rPr>
              <w:t xml:space="preserve">210 </w:t>
            </w:r>
          </w:p>
        </w:tc>
        <w:tc>
          <w:tcPr>
            <w:tcW w:w="170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7"/>
              <w:jc w:val="center"/>
            </w:pPr>
            <w:r>
              <w:rPr>
                <w:rFonts w:ascii="Times New Roman" w:eastAsia="Times New Roman" w:hAnsi="Times New Roman" w:cs="Times New Roman"/>
                <w:sz w:val="24"/>
              </w:rPr>
              <w:t xml:space="preserve">211 т </w:t>
            </w:r>
          </w:p>
        </w:tc>
        <w:tc>
          <w:tcPr>
            <w:tcW w:w="170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6"/>
              <w:jc w:val="center"/>
            </w:pPr>
            <w:r>
              <w:rPr>
                <w:rFonts w:ascii="Times New Roman" w:eastAsia="Times New Roman" w:hAnsi="Times New Roman" w:cs="Times New Roman"/>
                <w:sz w:val="24"/>
              </w:rPr>
              <w:t xml:space="preserve">211,1-211,4 </w:t>
            </w:r>
          </w:p>
        </w:tc>
      </w:tr>
      <w:tr w:rsidR="0052701D">
        <w:trPr>
          <w:trHeight w:val="562"/>
        </w:trPr>
        <w:tc>
          <w:tcPr>
            <w:tcW w:w="3419"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3"/>
              <w:jc w:val="center"/>
            </w:pPr>
            <w:r>
              <w:rPr>
                <w:rFonts w:ascii="Times New Roman" w:eastAsia="Times New Roman" w:hAnsi="Times New Roman" w:cs="Times New Roman"/>
                <w:sz w:val="24"/>
              </w:rPr>
              <w:t xml:space="preserve">Бас бөлігінің түрі </w:t>
            </w:r>
          </w:p>
        </w:tc>
        <w:tc>
          <w:tcPr>
            <w:tcW w:w="1844"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РГЧ ИН 8х1Мт </w:t>
            </w:r>
          </w:p>
        </w:tc>
        <w:tc>
          <w:tcPr>
            <w:tcW w:w="1705" w:type="dxa"/>
            <w:tcBorders>
              <w:top w:val="single" w:sz="4" w:space="0" w:color="000000"/>
              <w:left w:val="single" w:sz="4" w:space="0" w:color="000000"/>
              <w:bottom w:val="single" w:sz="4" w:space="0" w:color="000000"/>
              <w:right w:val="single" w:sz="4" w:space="0" w:color="000000"/>
            </w:tcBorders>
          </w:tcPr>
          <w:p w:rsidR="0052701D" w:rsidRDefault="00D40929">
            <w:pPr>
              <w:spacing w:after="0"/>
              <w:jc w:val="center"/>
            </w:pPr>
            <w:r>
              <w:rPr>
                <w:rFonts w:ascii="Times New Roman" w:eastAsia="Times New Roman" w:hAnsi="Times New Roman" w:cs="Times New Roman"/>
                <w:sz w:val="24"/>
              </w:rPr>
              <w:t xml:space="preserve">РГЧ ИН 10х550 </w:t>
            </w:r>
          </w:p>
        </w:tc>
        <w:tc>
          <w:tcPr>
            <w:tcW w:w="170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5"/>
              <w:jc w:val="center"/>
            </w:pPr>
            <w:r>
              <w:rPr>
                <w:rFonts w:ascii="Times New Roman" w:eastAsia="Times New Roman" w:hAnsi="Times New Roman" w:cs="Times New Roman"/>
                <w:sz w:val="24"/>
              </w:rPr>
              <w:t xml:space="preserve">РГЧ ИН </w:t>
            </w:r>
          </w:p>
        </w:tc>
      </w:tr>
      <w:tr w:rsidR="0052701D">
        <w:trPr>
          <w:trHeight w:val="288"/>
        </w:trPr>
        <w:tc>
          <w:tcPr>
            <w:tcW w:w="3419"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8"/>
              <w:jc w:val="center"/>
            </w:pPr>
            <w:r>
              <w:rPr>
                <w:rFonts w:ascii="Times New Roman" w:eastAsia="Times New Roman" w:hAnsi="Times New Roman" w:cs="Times New Roman"/>
                <w:sz w:val="24"/>
              </w:rPr>
              <w:t xml:space="preserve">Дәлдігі, м </w:t>
            </w:r>
          </w:p>
        </w:tc>
        <w:tc>
          <w:tcPr>
            <w:tcW w:w="184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0"/>
              <w:jc w:val="center"/>
            </w:pPr>
            <w:r>
              <w:rPr>
                <w:rFonts w:ascii="Times New Roman" w:eastAsia="Times New Roman" w:hAnsi="Times New Roman" w:cs="Times New Roman"/>
                <w:sz w:val="24"/>
              </w:rPr>
              <w:t xml:space="preserve">500-1000 </w:t>
            </w:r>
          </w:p>
        </w:tc>
        <w:tc>
          <w:tcPr>
            <w:tcW w:w="170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6"/>
              <w:jc w:val="center"/>
            </w:pPr>
            <w:r>
              <w:rPr>
                <w:rFonts w:ascii="Times New Roman" w:eastAsia="Times New Roman" w:hAnsi="Times New Roman" w:cs="Times New Roman"/>
                <w:sz w:val="24"/>
              </w:rPr>
              <w:t xml:space="preserve">650, 920 </w:t>
            </w:r>
          </w:p>
        </w:tc>
        <w:tc>
          <w:tcPr>
            <w:tcW w:w="170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5"/>
              <w:jc w:val="center"/>
            </w:pPr>
            <w:r>
              <w:rPr>
                <w:rFonts w:ascii="Times New Roman" w:eastAsia="Times New Roman" w:hAnsi="Times New Roman" w:cs="Times New Roman"/>
                <w:sz w:val="24"/>
              </w:rPr>
              <w:t xml:space="preserve">500 </w:t>
            </w:r>
          </w:p>
        </w:tc>
      </w:tr>
      <w:tr w:rsidR="0052701D">
        <w:trPr>
          <w:trHeight w:val="284"/>
        </w:trPr>
        <w:tc>
          <w:tcPr>
            <w:tcW w:w="3419"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9"/>
              <w:jc w:val="center"/>
            </w:pPr>
            <w:r>
              <w:rPr>
                <w:rFonts w:ascii="Times New Roman" w:eastAsia="Times New Roman" w:hAnsi="Times New Roman" w:cs="Times New Roman"/>
                <w:sz w:val="24"/>
              </w:rPr>
              <w:t xml:space="preserve">Ұзындығы, м </w:t>
            </w:r>
          </w:p>
        </w:tc>
        <w:tc>
          <w:tcPr>
            <w:tcW w:w="184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1"/>
              <w:jc w:val="center"/>
            </w:pPr>
            <w:r>
              <w:rPr>
                <w:rFonts w:ascii="Times New Roman" w:eastAsia="Times New Roman" w:hAnsi="Times New Roman" w:cs="Times New Roman"/>
                <w:sz w:val="24"/>
              </w:rPr>
              <w:t xml:space="preserve">34,6 </w:t>
            </w:r>
          </w:p>
        </w:tc>
        <w:tc>
          <w:tcPr>
            <w:tcW w:w="170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5"/>
              <w:jc w:val="center"/>
            </w:pPr>
            <w:r>
              <w:rPr>
                <w:rFonts w:ascii="Times New Roman" w:eastAsia="Times New Roman" w:hAnsi="Times New Roman" w:cs="Times New Roman"/>
                <w:sz w:val="24"/>
              </w:rPr>
              <w:t xml:space="preserve">27,93-35,7 </w:t>
            </w:r>
          </w:p>
        </w:tc>
        <w:tc>
          <w:tcPr>
            <w:tcW w:w="170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6"/>
              <w:jc w:val="center"/>
            </w:pPr>
            <w:r>
              <w:rPr>
                <w:rFonts w:ascii="Times New Roman" w:eastAsia="Times New Roman" w:hAnsi="Times New Roman" w:cs="Times New Roman"/>
                <w:sz w:val="24"/>
              </w:rPr>
              <w:t xml:space="preserve">34,3-36,7 </w:t>
            </w:r>
          </w:p>
        </w:tc>
      </w:tr>
      <w:tr w:rsidR="0052701D">
        <w:trPr>
          <w:trHeight w:val="288"/>
        </w:trPr>
        <w:tc>
          <w:tcPr>
            <w:tcW w:w="3419"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9"/>
              <w:jc w:val="center"/>
            </w:pPr>
            <w:r>
              <w:rPr>
                <w:rFonts w:ascii="Times New Roman" w:eastAsia="Times New Roman" w:hAnsi="Times New Roman" w:cs="Times New Roman"/>
                <w:sz w:val="24"/>
              </w:rPr>
              <w:t xml:space="preserve">Диаметрі, м </w:t>
            </w:r>
          </w:p>
        </w:tc>
        <w:tc>
          <w:tcPr>
            <w:tcW w:w="184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5"/>
              <w:jc w:val="center"/>
            </w:pPr>
            <w:r>
              <w:rPr>
                <w:rFonts w:ascii="Times New Roman" w:eastAsia="Times New Roman" w:hAnsi="Times New Roman" w:cs="Times New Roman"/>
                <w:sz w:val="24"/>
              </w:rPr>
              <w:t xml:space="preserve">3 </w:t>
            </w:r>
          </w:p>
        </w:tc>
        <w:tc>
          <w:tcPr>
            <w:tcW w:w="170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1"/>
              <w:jc w:val="center"/>
            </w:pPr>
            <w:r>
              <w:rPr>
                <w:rFonts w:ascii="Times New Roman" w:eastAsia="Times New Roman" w:hAnsi="Times New Roman" w:cs="Times New Roman"/>
                <w:sz w:val="24"/>
              </w:rPr>
              <w:t xml:space="preserve">3,5 </w:t>
            </w:r>
          </w:p>
        </w:tc>
        <w:tc>
          <w:tcPr>
            <w:tcW w:w="170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6"/>
              <w:jc w:val="center"/>
            </w:pPr>
            <w:r>
              <w:rPr>
                <w:rFonts w:ascii="Times New Roman" w:eastAsia="Times New Roman" w:hAnsi="Times New Roman" w:cs="Times New Roman"/>
                <w:sz w:val="24"/>
              </w:rPr>
              <w:t xml:space="preserve">3-3,5 </w:t>
            </w:r>
          </w:p>
        </w:tc>
      </w:tr>
      <w:tr w:rsidR="0052701D">
        <w:trPr>
          <w:trHeight w:val="288"/>
        </w:trPr>
        <w:tc>
          <w:tcPr>
            <w:tcW w:w="3419"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3"/>
              <w:jc w:val="center"/>
            </w:pPr>
            <w:r>
              <w:rPr>
                <w:rFonts w:ascii="Times New Roman" w:eastAsia="Times New Roman" w:hAnsi="Times New Roman" w:cs="Times New Roman"/>
                <w:sz w:val="24"/>
              </w:rPr>
              <w:t xml:space="preserve">Қадамдар саны </w:t>
            </w:r>
          </w:p>
        </w:tc>
        <w:tc>
          <w:tcPr>
            <w:tcW w:w="184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5"/>
              <w:jc w:val="center"/>
            </w:pPr>
            <w:r>
              <w:rPr>
                <w:rFonts w:ascii="Times New Roman" w:eastAsia="Times New Roman" w:hAnsi="Times New Roman" w:cs="Times New Roman"/>
                <w:sz w:val="24"/>
              </w:rPr>
              <w:t xml:space="preserve">2 </w:t>
            </w:r>
          </w:p>
        </w:tc>
        <w:tc>
          <w:tcPr>
            <w:tcW w:w="170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5"/>
              <w:jc w:val="center"/>
            </w:pPr>
            <w:r>
              <w:rPr>
                <w:rFonts w:ascii="Times New Roman" w:eastAsia="Times New Roman" w:hAnsi="Times New Roman" w:cs="Times New Roman"/>
                <w:sz w:val="24"/>
              </w:rPr>
              <w:t xml:space="preserve">2 + </w:t>
            </w:r>
          </w:p>
        </w:tc>
        <w:tc>
          <w:tcPr>
            <w:tcW w:w="170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9"/>
              <w:jc w:val="center"/>
            </w:pPr>
            <w:r>
              <w:rPr>
                <w:rFonts w:ascii="Times New Roman" w:eastAsia="Times New Roman" w:hAnsi="Times New Roman" w:cs="Times New Roman"/>
                <w:sz w:val="24"/>
              </w:rPr>
              <w:t xml:space="preserve">2 + </w:t>
            </w:r>
          </w:p>
        </w:tc>
      </w:tr>
    </w:tbl>
    <w:p w:rsidR="0052701D" w:rsidRDefault="00D40929">
      <w:pPr>
        <w:spacing w:after="0"/>
        <w:ind w:left="994"/>
      </w:pPr>
      <w:r>
        <w:rPr>
          <w:rFonts w:ascii="Times New Roman" w:eastAsia="Times New Roman" w:hAnsi="Times New Roman" w:cs="Times New Roman"/>
          <w:sz w:val="28"/>
        </w:rPr>
        <w:t xml:space="preserve"> </w:t>
      </w:r>
    </w:p>
    <w:p w:rsidR="0052701D" w:rsidRDefault="00D40929">
      <w:pPr>
        <w:spacing w:after="5" w:line="271" w:lineRule="auto"/>
        <w:ind w:left="1940" w:right="64" w:firstLine="6526"/>
        <w:jc w:val="both"/>
      </w:pPr>
      <w:r>
        <w:rPr>
          <w:rFonts w:ascii="Times New Roman" w:eastAsia="Times New Roman" w:hAnsi="Times New Roman" w:cs="Times New Roman"/>
          <w:sz w:val="28"/>
        </w:rPr>
        <w:lastRenderedPageBreak/>
        <w:t xml:space="preserve">Кесте 2  Шағын спутниктердің салмақ сипаттамалары[6] </w:t>
      </w:r>
    </w:p>
    <w:tbl>
      <w:tblPr>
        <w:tblStyle w:val="TableGrid"/>
        <w:tblW w:w="9105" w:type="dxa"/>
        <w:tblInd w:w="408" w:type="dxa"/>
        <w:tblCellMar>
          <w:top w:w="0" w:type="dxa"/>
          <w:left w:w="821" w:type="dxa"/>
          <w:bottom w:w="0" w:type="dxa"/>
          <w:right w:w="115" w:type="dxa"/>
        </w:tblCellMar>
        <w:tblLook w:val="04A0" w:firstRow="1" w:lastRow="0" w:firstColumn="1" w:lastColumn="0" w:noHBand="0" w:noVBand="1"/>
      </w:tblPr>
      <w:tblGrid>
        <w:gridCol w:w="3437"/>
        <w:gridCol w:w="5668"/>
      </w:tblGrid>
      <w:tr w:rsidR="0052701D">
        <w:trPr>
          <w:trHeight w:val="307"/>
        </w:trPr>
        <w:tc>
          <w:tcPr>
            <w:tcW w:w="3429"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 xml:space="preserve">Спутнитер атауы </w:t>
            </w:r>
          </w:p>
        </w:tc>
        <w:tc>
          <w:tcPr>
            <w:tcW w:w="567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 xml:space="preserve">Толық салмағы, кг </w:t>
            </w:r>
          </w:p>
        </w:tc>
      </w:tr>
      <w:tr w:rsidR="0052701D">
        <w:trPr>
          <w:trHeight w:val="313"/>
        </w:trPr>
        <w:tc>
          <w:tcPr>
            <w:tcW w:w="3429"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 xml:space="preserve">Шағын спутниктер </w:t>
            </w:r>
          </w:p>
        </w:tc>
        <w:tc>
          <w:tcPr>
            <w:tcW w:w="567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 xml:space="preserve">100–1000 </w:t>
            </w:r>
          </w:p>
        </w:tc>
      </w:tr>
      <w:tr w:rsidR="0052701D">
        <w:trPr>
          <w:trHeight w:val="307"/>
        </w:trPr>
        <w:tc>
          <w:tcPr>
            <w:tcW w:w="3429"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 xml:space="preserve">Микроспутниктер </w:t>
            </w:r>
          </w:p>
        </w:tc>
        <w:tc>
          <w:tcPr>
            <w:tcW w:w="567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 xml:space="preserve">10–100 </w:t>
            </w:r>
          </w:p>
        </w:tc>
      </w:tr>
      <w:tr w:rsidR="0052701D">
        <w:trPr>
          <w:trHeight w:val="298"/>
        </w:trPr>
        <w:tc>
          <w:tcPr>
            <w:tcW w:w="3429"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25"/>
              <w:jc w:val="center"/>
            </w:pPr>
            <w:r>
              <w:rPr>
                <w:rFonts w:ascii="Times New Roman" w:eastAsia="Times New Roman" w:hAnsi="Times New Roman" w:cs="Times New Roman"/>
                <w:sz w:val="28"/>
              </w:rPr>
              <w:t xml:space="preserve">Наноспутниктер </w:t>
            </w:r>
          </w:p>
        </w:tc>
        <w:tc>
          <w:tcPr>
            <w:tcW w:w="567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 xml:space="preserve">1–10 </w:t>
            </w:r>
          </w:p>
        </w:tc>
      </w:tr>
      <w:tr w:rsidR="0052701D">
        <w:trPr>
          <w:trHeight w:val="312"/>
        </w:trPr>
        <w:tc>
          <w:tcPr>
            <w:tcW w:w="3429"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11"/>
              <w:jc w:val="center"/>
            </w:pPr>
            <w:r>
              <w:rPr>
                <w:rFonts w:ascii="Times New Roman" w:eastAsia="Times New Roman" w:hAnsi="Times New Roman" w:cs="Times New Roman"/>
                <w:sz w:val="28"/>
              </w:rPr>
              <w:t xml:space="preserve">Пикоспутниктер </w:t>
            </w:r>
          </w:p>
        </w:tc>
        <w:tc>
          <w:tcPr>
            <w:tcW w:w="567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 xml:space="preserve">0,1–1 </w:t>
            </w:r>
          </w:p>
        </w:tc>
      </w:tr>
      <w:tr w:rsidR="0052701D">
        <w:trPr>
          <w:trHeight w:val="312"/>
        </w:trPr>
        <w:tc>
          <w:tcPr>
            <w:tcW w:w="3429"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 xml:space="preserve">Фемтоспутниктер </w:t>
            </w:r>
          </w:p>
        </w:tc>
        <w:tc>
          <w:tcPr>
            <w:tcW w:w="567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 xml:space="preserve">0,1-ге дейін </w:t>
            </w:r>
          </w:p>
        </w:tc>
      </w:tr>
    </w:tbl>
    <w:p w:rsidR="0052701D" w:rsidRDefault="00D40929">
      <w:pPr>
        <w:spacing w:after="0"/>
        <w:ind w:left="994"/>
      </w:pPr>
      <w:r>
        <w:rPr>
          <w:rFonts w:ascii="Times New Roman" w:eastAsia="Times New Roman" w:hAnsi="Times New Roman" w:cs="Times New Roman"/>
          <w:b/>
          <w:sz w:val="28"/>
        </w:rPr>
        <w:t xml:space="preserve"> </w:t>
      </w:r>
    </w:p>
    <w:p w:rsidR="0052701D" w:rsidRDefault="00D40929">
      <w:pPr>
        <w:spacing w:after="32" w:line="271" w:lineRule="auto"/>
        <w:ind w:left="283" w:right="336" w:firstLine="711"/>
        <w:jc w:val="both"/>
      </w:pPr>
      <w:r>
        <w:rPr>
          <w:rFonts w:ascii="Times New Roman" w:eastAsia="Times New Roman" w:hAnsi="Times New Roman" w:cs="Times New Roman"/>
          <w:sz w:val="28"/>
        </w:rPr>
        <w:t xml:space="preserve">Кішкентай мөлшеріне қарамастан, қазіргі заманғы шағын спутниктер үлкен функционалдылықпен ерекшеленеді. Қолдану салалары арасында мыналарды бөліп көрсетуге болады:  </w:t>
      </w:r>
    </w:p>
    <w:p w:rsidR="0052701D" w:rsidRDefault="00D40929">
      <w:pPr>
        <w:spacing w:after="42" w:line="271" w:lineRule="auto"/>
        <w:ind w:left="994" w:right="64"/>
        <w:jc w:val="both"/>
      </w:pPr>
      <w:r>
        <w:rPr>
          <w:rFonts w:ascii="Times New Roman" w:eastAsia="Times New Roman" w:hAnsi="Times New Roman" w:cs="Times New Roman"/>
          <w:sz w:val="28"/>
        </w:rPr>
        <w:t>-</w:t>
      </w:r>
      <w:r>
        <w:rPr>
          <w:rFonts w:ascii="Times New Roman" w:eastAsia="Times New Roman" w:hAnsi="Times New Roman" w:cs="Times New Roman"/>
          <w:sz w:val="28"/>
        </w:rPr>
        <w:t xml:space="preserve">жаңа технологияларды,  </w:t>
      </w:r>
    </w:p>
    <w:p w:rsidR="0052701D" w:rsidRDefault="00D40929">
      <w:pPr>
        <w:spacing w:after="37" w:line="271" w:lineRule="auto"/>
        <w:ind w:left="994" w:right="64"/>
        <w:jc w:val="both"/>
      </w:pPr>
      <w:r>
        <w:rPr>
          <w:rFonts w:ascii="Times New Roman" w:eastAsia="Times New Roman" w:hAnsi="Times New Roman" w:cs="Times New Roman"/>
          <w:sz w:val="28"/>
        </w:rPr>
        <w:t xml:space="preserve">-әдістерді және бағдарламалық - аппараттық шешімдерді пысықтау,  </w:t>
      </w:r>
    </w:p>
    <w:p w:rsidR="0052701D" w:rsidRDefault="00D40929">
      <w:pPr>
        <w:spacing w:after="36" w:line="271" w:lineRule="auto"/>
        <w:ind w:left="994" w:right="64"/>
        <w:jc w:val="both"/>
      </w:pPr>
      <w:r>
        <w:rPr>
          <w:rFonts w:ascii="Times New Roman" w:eastAsia="Times New Roman" w:hAnsi="Times New Roman" w:cs="Times New Roman"/>
          <w:sz w:val="28"/>
        </w:rPr>
        <w:t xml:space="preserve">-білім беру бағдарламалары,  </w:t>
      </w:r>
    </w:p>
    <w:p w:rsidR="0052701D" w:rsidRDefault="00D40929">
      <w:pPr>
        <w:spacing w:after="43" w:line="271" w:lineRule="auto"/>
        <w:ind w:left="994" w:right="64"/>
        <w:jc w:val="both"/>
      </w:pPr>
      <w:r>
        <w:rPr>
          <w:rFonts w:ascii="Times New Roman" w:eastAsia="Times New Roman" w:hAnsi="Times New Roman" w:cs="Times New Roman"/>
          <w:sz w:val="28"/>
        </w:rPr>
        <w:t xml:space="preserve">-экологиялық мониторинг,  </w:t>
      </w:r>
    </w:p>
    <w:p w:rsidR="0052701D" w:rsidRDefault="00D40929">
      <w:pPr>
        <w:spacing w:after="38" w:line="271" w:lineRule="auto"/>
        <w:ind w:left="994" w:right="64"/>
        <w:jc w:val="both"/>
      </w:pPr>
      <w:r>
        <w:rPr>
          <w:rFonts w:ascii="Times New Roman" w:eastAsia="Times New Roman" w:hAnsi="Times New Roman" w:cs="Times New Roman"/>
          <w:sz w:val="28"/>
        </w:rPr>
        <w:t xml:space="preserve">-геофизикалық өрістерді зерттеу және астрономиялық бақылаулар.[7] </w:t>
      </w:r>
      <w:r>
        <w:rPr>
          <w:rFonts w:ascii="Times New Roman" w:eastAsia="Times New Roman" w:hAnsi="Times New Roman" w:cs="Times New Roman"/>
          <w:b/>
          <w:sz w:val="28"/>
        </w:rPr>
        <w:t>Қорытынды</w:t>
      </w:r>
      <w:r>
        <w:rPr>
          <w:rFonts w:ascii="Times New Roman" w:eastAsia="Times New Roman" w:hAnsi="Times New Roman" w:cs="Times New Roman"/>
          <w:sz w:val="28"/>
        </w:rPr>
        <w:t xml:space="preserve"> </w:t>
      </w:r>
    </w:p>
    <w:p w:rsidR="0052701D" w:rsidRDefault="00D40929">
      <w:pPr>
        <w:spacing w:after="5" w:line="271" w:lineRule="auto"/>
        <w:ind w:left="283" w:right="320" w:firstLine="711"/>
        <w:jc w:val="both"/>
      </w:pPr>
      <w:r>
        <w:rPr>
          <w:rFonts w:ascii="Times New Roman" w:eastAsia="Times New Roman" w:hAnsi="Times New Roman" w:cs="Times New Roman"/>
          <w:sz w:val="28"/>
        </w:rPr>
        <w:t xml:space="preserve">Суасты негізіндегі баллистикалық зымырандардың бас бөліктерін ауыстырған жағдайда, ұшыру контейнері белгіленген мөлшерде болатын және сүңгуір қайықтың мөлшеріне байланысты болатын зымыранның ұзындығының өзгеруіне байланысты оларды суасты қайықтарынан алыс </w:t>
      </w:r>
      <w:r>
        <w:rPr>
          <w:rFonts w:ascii="Times New Roman" w:eastAsia="Times New Roman" w:hAnsi="Times New Roman" w:cs="Times New Roman"/>
          <w:sz w:val="28"/>
        </w:rPr>
        <w:t xml:space="preserve">ұшыру мүмкін емес. Демек, баллистикалық зымыранды одан әрі іске қосу жер үсті платформаларынан жүзеге асырылуы керек. Бұл зымыранды ең аз қауіптермен төмен жер орбитасына шығаруды қамтамасыз етеді. Су үстіндегі платформалардың артықшылықтарынан экватордан </w:t>
      </w:r>
      <w:r>
        <w:rPr>
          <w:rFonts w:ascii="Times New Roman" w:eastAsia="Times New Roman" w:hAnsi="Times New Roman" w:cs="Times New Roman"/>
          <w:sz w:val="28"/>
        </w:rPr>
        <w:t>ұшыру мүмкіндігі ерекшеленеді. Бұл салыстырмалы түрде кішкентай тасымалдаушыға ауыр (үш тоннаға дейін) спутниктерді геостационарлық орбитаға шығаруға мүмкіндік береді. Кемшіліктердің ішінде ашық режимде күрделі және көп уақытты қажет ететін тиеу-түсіру жұм</w:t>
      </w:r>
      <w:r>
        <w:rPr>
          <w:rFonts w:ascii="Times New Roman" w:eastAsia="Times New Roman" w:hAnsi="Times New Roman" w:cs="Times New Roman"/>
          <w:sz w:val="28"/>
        </w:rPr>
        <w:t>ыстары және бастапқы платформаны экваторға шығаруға кететін уақыт шығындары көрсетілген. Осыған қарамастан, мемлекеттік бөліктерді ауыстырғаннан кейін сіз екі мақсатты РКТ ала аласыз: орбитаға жүктеме түсіру үшін су астындағы әскери баллистикалық зымыранда</w:t>
      </w:r>
      <w:r>
        <w:rPr>
          <w:rFonts w:ascii="Times New Roman" w:eastAsia="Times New Roman" w:hAnsi="Times New Roman" w:cs="Times New Roman"/>
          <w:sz w:val="28"/>
        </w:rPr>
        <w:t xml:space="preserve">рды қолданыңыз. </w:t>
      </w:r>
    </w:p>
    <w:p w:rsidR="0052701D" w:rsidRDefault="00D40929">
      <w:pPr>
        <w:spacing w:after="61"/>
        <w:ind w:left="994"/>
      </w:pPr>
      <w:r>
        <w:rPr>
          <w:rFonts w:ascii="Times New Roman" w:eastAsia="Times New Roman" w:hAnsi="Times New Roman" w:cs="Times New Roman"/>
          <w:sz w:val="28"/>
        </w:rPr>
        <w:t xml:space="preserve"> </w:t>
      </w:r>
    </w:p>
    <w:p w:rsidR="0052701D" w:rsidRDefault="00D40929">
      <w:pPr>
        <w:spacing w:after="39" w:line="271" w:lineRule="auto"/>
        <w:ind w:left="173" w:right="216" w:hanging="10"/>
        <w:jc w:val="center"/>
      </w:pPr>
      <w:r>
        <w:rPr>
          <w:rFonts w:ascii="Times New Roman" w:eastAsia="Times New Roman" w:hAnsi="Times New Roman" w:cs="Times New Roman"/>
          <w:b/>
          <w:sz w:val="28"/>
        </w:rPr>
        <w:t xml:space="preserve">Пайдаланылған әдебиеттер тізімі </w:t>
      </w:r>
    </w:p>
    <w:p w:rsidR="0052701D" w:rsidRDefault="00D40929">
      <w:pPr>
        <w:spacing w:after="32" w:line="271" w:lineRule="auto"/>
        <w:ind w:left="283" w:right="64" w:firstLine="711"/>
        <w:jc w:val="both"/>
      </w:pPr>
      <w:hyperlink r:id="rId510">
        <w:r>
          <w:rPr>
            <w:rFonts w:ascii="Times New Roman" w:eastAsia="Times New Roman" w:hAnsi="Times New Roman" w:cs="Times New Roman"/>
            <w:sz w:val="28"/>
          </w:rPr>
          <w:t>[1].</w:t>
        </w:r>
      </w:hyperlink>
      <w:hyperlink r:id="rId511">
        <w:r>
          <w:rPr>
            <w:rFonts w:ascii="Arial" w:eastAsia="Arial" w:hAnsi="Arial" w:cs="Arial"/>
            <w:sz w:val="28"/>
          </w:rPr>
          <w:t xml:space="preserve"> </w:t>
        </w:r>
      </w:hyperlink>
      <w:hyperlink r:id="rId512">
        <w:r>
          <w:rPr>
            <w:rFonts w:ascii="Times New Roman" w:eastAsia="Times New Roman" w:hAnsi="Times New Roman" w:cs="Times New Roman"/>
            <w:sz w:val="28"/>
          </w:rPr>
          <w:t>Стратегический ракетный комплекс 15П014 (Р</w:t>
        </w:r>
      </w:hyperlink>
      <w:hyperlink r:id="rId513">
        <w:r>
          <w:rPr>
            <w:rFonts w:ascii="Times New Roman" w:eastAsia="Times New Roman" w:hAnsi="Times New Roman" w:cs="Times New Roman"/>
            <w:sz w:val="28"/>
          </w:rPr>
          <w:t>-</w:t>
        </w:r>
      </w:hyperlink>
      <w:hyperlink r:id="rId514">
        <w:r>
          <w:rPr>
            <w:rFonts w:ascii="Times New Roman" w:eastAsia="Times New Roman" w:hAnsi="Times New Roman" w:cs="Times New Roman"/>
            <w:sz w:val="28"/>
          </w:rPr>
          <w:t xml:space="preserve">36М) с ракетой </w:t>
        </w:r>
      </w:hyperlink>
      <w:hyperlink r:id="rId515">
        <w:r>
          <w:rPr>
            <w:rFonts w:ascii="Times New Roman" w:eastAsia="Times New Roman" w:hAnsi="Times New Roman" w:cs="Times New Roman"/>
            <w:sz w:val="28"/>
          </w:rPr>
          <w:t>15А14</w:t>
        </w:r>
      </w:hyperlink>
      <w:hyperlink r:id="rId516">
        <w:r>
          <w:rPr>
            <w:rFonts w:ascii="Times New Roman" w:eastAsia="Times New Roman" w:hAnsi="Times New Roman" w:cs="Times New Roman"/>
            <w:sz w:val="28"/>
          </w:rPr>
          <w:t>.</w:t>
        </w:r>
      </w:hyperlink>
      <w:r>
        <w:rPr>
          <w:rFonts w:ascii="Times New Roman" w:eastAsia="Times New Roman" w:hAnsi="Times New Roman" w:cs="Times New Roman"/>
          <w:sz w:val="28"/>
        </w:rPr>
        <w:t xml:space="preserve"> Информационная система «Ракетная техника»</w:t>
      </w:r>
      <w:hyperlink r:id="rId517">
        <w:r>
          <w:rPr>
            <w:rFonts w:ascii="Times New Roman" w:eastAsia="Times New Roman" w:hAnsi="Times New Roman" w:cs="Times New Roman"/>
            <w:sz w:val="28"/>
          </w:rPr>
          <w:t xml:space="preserve"> </w:t>
        </w:r>
      </w:hyperlink>
      <w:hyperlink r:id="rId518">
        <w:r>
          <w:rPr>
            <w:rFonts w:ascii="Times New Roman" w:eastAsia="Times New Roman" w:hAnsi="Times New Roman" w:cs="Times New Roman"/>
            <w:sz w:val="28"/>
          </w:rPr>
          <w:t>БГТУ</w:t>
        </w:r>
      </w:hyperlink>
      <w:hyperlink r:id="rId519">
        <w:r>
          <w:rPr>
            <w:rFonts w:ascii="Times New Roman" w:eastAsia="Times New Roman" w:hAnsi="Times New Roman" w:cs="Times New Roman"/>
            <w:sz w:val="28"/>
          </w:rPr>
          <w:t>.</w:t>
        </w:r>
      </w:hyperlink>
      <w:r>
        <w:rPr>
          <w:rFonts w:ascii="Times New Roman" w:eastAsia="Times New Roman" w:hAnsi="Times New Roman" w:cs="Times New Roman"/>
          <w:sz w:val="28"/>
        </w:rPr>
        <w:t xml:space="preserve">  </w:t>
      </w:r>
    </w:p>
    <w:p w:rsidR="0052701D" w:rsidRDefault="00D40929">
      <w:pPr>
        <w:spacing w:after="34" w:line="271" w:lineRule="auto"/>
        <w:ind w:left="283" w:right="64" w:firstLine="711"/>
        <w:jc w:val="both"/>
      </w:pPr>
      <w:r>
        <w:rPr>
          <w:rFonts w:ascii="Times New Roman" w:eastAsia="Times New Roman" w:hAnsi="Times New Roman" w:cs="Times New Roman"/>
          <w:sz w:val="28"/>
        </w:rPr>
        <w:t>[2].</w:t>
      </w:r>
      <w:r>
        <w:rPr>
          <w:rFonts w:ascii="Arial" w:eastAsia="Arial" w:hAnsi="Arial" w:cs="Arial"/>
          <w:sz w:val="28"/>
        </w:rPr>
        <w:t xml:space="preserve"> </w:t>
      </w:r>
      <w:r>
        <w:rPr>
          <w:rFonts w:ascii="Times New Roman" w:eastAsia="Times New Roman" w:hAnsi="Times New Roman" w:cs="Times New Roman"/>
          <w:sz w:val="28"/>
        </w:rPr>
        <w:t>Межконтинентальная бал</w:t>
      </w:r>
      <w:r>
        <w:rPr>
          <w:rFonts w:ascii="Times New Roman" w:eastAsia="Times New Roman" w:hAnsi="Times New Roman" w:cs="Times New Roman"/>
          <w:sz w:val="28"/>
        </w:rPr>
        <w:t xml:space="preserve">листическая ракета Р-36М (15А14) / Р36МУ (15А18) / Р-36М2 (15А18У) </w:t>
      </w:r>
    </w:p>
    <w:p w:rsidR="0052701D" w:rsidRDefault="00D40929">
      <w:pPr>
        <w:spacing w:after="31" w:line="271" w:lineRule="auto"/>
        <w:ind w:left="994" w:right="64"/>
        <w:jc w:val="both"/>
      </w:pPr>
      <w:r>
        <w:rPr>
          <w:rFonts w:ascii="Times New Roman" w:eastAsia="Times New Roman" w:hAnsi="Times New Roman" w:cs="Times New Roman"/>
          <w:sz w:val="28"/>
        </w:rPr>
        <w:lastRenderedPageBreak/>
        <w:t>[3].</w:t>
      </w:r>
      <w:r>
        <w:rPr>
          <w:rFonts w:ascii="Arial" w:eastAsia="Arial" w:hAnsi="Arial" w:cs="Arial"/>
          <w:sz w:val="28"/>
        </w:rPr>
        <w:t xml:space="preserve"> </w:t>
      </w:r>
      <w:r>
        <w:rPr>
          <w:rFonts w:ascii="Times New Roman" w:eastAsia="Times New Roman" w:hAnsi="Times New Roman" w:cs="Times New Roman"/>
          <w:sz w:val="28"/>
        </w:rPr>
        <w:t>Межконтинентальная баллистическая ракета Р-36М (15А14) / Р-</w:t>
      </w:r>
    </w:p>
    <w:p w:rsidR="0052701D" w:rsidRDefault="00D40929">
      <w:pPr>
        <w:spacing w:after="33" w:line="271" w:lineRule="auto"/>
        <w:ind w:left="293" w:right="1" w:hanging="10"/>
      </w:pPr>
      <w:r>
        <w:rPr>
          <w:rFonts w:ascii="Times New Roman" w:eastAsia="Times New Roman" w:hAnsi="Times New Roman" w:cs="Times New Roman"/>
          <w:sz w:val="28"/>
        </w:rPr>
        <w:t>36МУ (15А18) / Р-36М2 (15А18У) РС-20А / РС-20Б / РС-20В SS-18 (Satan) [4].</w:t>
      </w:r>
      <w:r>
        <w:rPr>
          <w:rFonts w:ascii="Arial" w:eastAsia="Arial" w:hAnsi="Arial" w:cs="Arial"/>
          <w:sz w:val="28"/>
        </w:rPr>
        <w:t xml:space="preserve"> </w:t>
      </w:r>
      <w:r>
        <w:rPr>
          <w:rFonts w:ascii="Times New Roman" w:eastAsia="Times New Roman" w:hAnsi="Times New Roman" w:cs="Times New Roman"/>
          <w:sz w:val="28"/>
        </w:rPr>
        <w:t>Тестоедов Н. А., Кольга В. В., Семенова Л. А.. П</w:t>
      </w:r>
      <w:r>
        <w:rPr>
          <w:rFonts w:ascii="Times New Roman" w:eastAsia="Times New Roman" w:hAnsi="Times New Roman" w:cs="Times New Roman"/>
          <w:sz w:val="28"/>
        </w:rPr>
        <w:t xml:space="preserve">роектирование и конструирование балли- стических ракет и ракет-носителей, 2013. 308 с. </w:t>
      </w:r>
    </w:p>
    <w:p w:rsidR="0052701D" w:rsidRDefault="00D40929">
      <w:pPr>
        <w:spacing w:after="48"/>
        <w:ind w:left="10" w:right="322" w:hanging="10"/>
        <w:jc w:val="right"/>
      </w:pPr>
      <w:r>
        <w:rPr>
          <w:rFonts w:ascii="Times New Roman" w:eastAsia="Times New Roman" w:hAnsi="Times New Roman" w:cs="Times New Roman"/>
          <w:sz w:val="28"/>
        </w:rPr>
        <w:t>[5].</w:t>
      </w:r>
      <w:r>
        <w:rPr>
          <w:rFonts w:ascii="Arial" w:eastAsia="Arial" w:hAnsi="Arial" w:cs="Arial"/>
          <w:sz w:val="28"/>
        </w:rPr>
        <w:t xml:space="preserve"> </w:t>
      </w:r>
      <w:r>
        <w:rPr>
          <w:rFonts w:ascii="Times New Roman" w:eastAsia="Times New Roman" w:hAnsi="Times New Roman" w:cs="Times New Roman"/>
          <w:sz w:val="28"/>
        </w:rPr>
        <w:t>Оружие ракетно-ядерного удара. / Под ред.</w:t>
      </w:r>
      <w:hyperlink r:id="rId520">
        <w:r>
          <w:rPr>
            <w:rFonts w:ascii="Times New Roman" w:eastAsia="Times New Roman" w:hAnsi="Times New Roman" w:cs="Times New Roman"/>
            <w:sz w:val="28"/>
          </w:rPr>
          <w:t xml:space="preserve"> </w:t>
        </w:r>
      </w:hyperlink>
      <w:hyperlink r:id="rId521">
        <w:r>
          <w:rPr>
            <w:rFonts w:ascii="Times New Roman" w:eastAsia="Times New Roman" w:hAnsi="Times New Roman" w:cs="Times New Roman"/>
            <w:sz w:val="28"/>
          </w:rPr>
          <w:t>Ю. А. Яшина</w:t>
        </w:r>
      </w:hyperlink>
      <w:hyperlink r:id="rId522">
        <w:r>
          <w:rPr>
            <w:rFonts w:ascii="Times New Roman" w:eastAsia="Times New Roman" w:hAnsi="Times New Roman" w:cs="Times New Roman"/>
            <w:sz w:val="28"/>
          </w:rPr>
          <w:t>.</w:t>
        </w:r>
      </w:hyperlink>
      <w:r>
        <w:rPr>
          <w:rFonts w:ascii="Times New Roman" w:eastAsia="Times New Roman" w:hAnsi="Times New Roman" w:cs="Times New Roman"/>
          <w:sz w:val="28"/>
        </w:rPr>
        <w:t xml:space="preserve"> — М.: </w:t>
      </w:r>
    </w:p>
    <w:p w:rsidR="0052701D" w:rsidRDefault="00D40929">
      <w:pPr>
        <w:spacing w:after="34" w:line="271" w:lineRule="auto"/>
        <w:ind w:left="283" w:right="64"/>
        <w:jc w:val="both"/>
      </w:pPr>
      <w:r>
        <w:rPr>
          <w:rFonts w:ascii="Times New Roman" w:eastAsia="Times New Roman" w:hAnsi="Times New Roman" w:cs="Times New Roman"/>
          <w:sz w:val="28"/>
        </w:rPr>
        <w:t>Издательство</w:t>
      </w:r>
      <w:hyperlink r:id="rId523">
        <w:r>
          <w:rPr>
            <w:rFonts w:ascii="Times New Roman" w:eastAsia="Times New Roman" w:hAnsi="Times New Roman" w:cs="Times New Roman"/>
            <w:sz w:val="28"/>
          </w:rPr>
          <w:t xml:space="preserve"> </w:t>
        </w:r>
      </w:hyperlink>
      <w:hyperlink r:id="rId524">
        <w:r>
          <w:rPr>
            <w:rFonts w:ascii="Times New Roman" w:eastAsia="Times New Roman" w:hAnsi="Times New Roman" w:cs="Times New Roman"/>
            <w:sz w:val="28"/>
          </w:rPr>
          <w:t>МГТУ имени Н. Э. Баумана</w:t>
        </w:r>
      </w:hyperlink>
      <w:hyperlink r:id="rId525">
        <w:r>
          <w:rPr>
            <w:rFonts w:ascii="Times New Roman" w:eastAsia="Times New Roman" w:hAnsi="Times New Roman" w:cs="Times New Roman"/>
            <w:sz w:val="28"/>
          </w:rPr>
          <w:t>,</w:t>
        </w:r>
      </w:hyperlink>
      <w:r>
        <w:rPr>
          <w:rFonts w:ascii="Times New Roman" w:eastAsia="Times New Roman" w:hAnsi="Times New Roman" w:cs="Times New Roman"/>
          <w:sz w:val="28"/>
        </w:rPr>
        <w:t xml:space="preserve"> 2009. — С. 25–26 — 492 с. — Тираж 1 тыс. экз. —</w:t>
      </w:r>
      <w:hyperlink r:id="rId526">
        <w:r>
          <w:rPr>
            <w:rFonts w:ascii="Times New Roman" w:eastAsia="Times New Roman" w:hAnsi="Times New Roman" w:cs="Times New Roman"/>
            <w:sz w:val="28"/>
          </w:rPr>
          <w:t xml:space="preserve"> </w:t>
        </w:r>
      </w:hyperlink>
      <w:hyperlink r:id="rId527">
        <w:r>
          <w:rPr>
            <w:rFonts w:ascii="Times New Roman" w:eastAsia="Times New Roman" w:hAnsi="Times New Roman" w:cs="Times New Roman"/>
            <w:sz w:val="28"/>
          </w:rPr>
          <w:t>ISBN</w:t>
        </w:r>
      </w:hyperlink>
      <w:hyperlink r:id="rId528">
        <w:r>
          <w:rPr>
            <w:rFonts w:ascii="Times New Roman" w:eastAsia="Times New Roman" w:hAnsi="Times New Roman" w:cs="Times New Roman"/>
            <w:sz w:val="28"/>
          </w:rPr>
          <w:t xml:space="preserve"> </w:t>
        </w:r>
      </w:hyperlink>
      <w:hyperlink r:id="rId529">
        <w:r>
          <w:rPr>
            <w:rFonts w:ascii="Times New Roman" w:eastAsia="Times New Roman" w:hAnsi="Times New Roman" w:cs="Times New Roman"/>
            <w:sz w:val="28"/>
          </w:rPr>
          <w:t>978</w:t>
        </w:r>
      </w:hyperlink>
      <w:hyperlink r:id="rId530">
        <w:r>
          <w:rPr>
            <w:rFonts w:ascii="Times New Roman" w:eastAsia="Times New Roman" w:hAnsi="Times New Roman" w:cs="Times New Roman"/>
            <w:sz w:val="28"/>
          </w:rPr>
          <w:t>-</w:t>
        </w:r>
      </w:hyperlink>
      <w:hyperlink r:id="rId531">
        <w:r>
          <w:rPr>
            <w:rFonts w:ascii="Times New Roman" w:eastAsia="Times New Roman" w:hAnsi="Times New Roman" w:cs="Times New Roman"/>
            <w:sz w:val="28"/>
          </w:rPr>
          <w:t>5</w:t>
        </w:r>
      </w:hyperlink>
      <w:hyperlink r:id="rId532">
        <w:r>
          <w:rPr>
            <w:rFonts w:ascii="Times New Roman" w:eastAsia="Times New Roman" w:hAnsi="Times New Roman" w:cs="Times New Roman"/>
            <w:sz w:val="28"/>
          </w:rPr>
          <w:t>-</w:t>
        </w:r>
      </w:hyperlink>
      <w:hyperlink r:id="rId533">
        <w:r>
          <w:rPr>
            <w:rFonts w:ascii="Times New Roman" w:eastAsia="Times New Roman" w:hAnsi="Times New Roman" w:cs="Times New Roman"/>
            <w:sz w:val="28"/>
          </w:rPr>
          <w:t>7038</w:t>
        </w:r>
      </w:hyperlink>
      <w:hyperlink r:id="rId534">
        <w:r>
          <w:rPr>
            <w:rFonts w:ascii="Times New Roman" w:eastAsia="Times New Roman" w:hAnsi="Times New Roman" w:cs="Times New Roman"/>
            <w:sz w:val="28"/>
          </w:rPr>
          <w:t>-</w:t>
        </w:r>
      </w:hyperlink>
      <w:hyperlink r:id="rId535">
        <w:r>
          <w:rPr>
            <w:rFonts w:ascii="Times New Roman" w:eastAsia="Times New Roman" w:hAnsi="Times New Roman" w:cs="Times New Roman"/>
            <w:sz w:val="28"/>
          </w:rPr>
          <w:t>3250</w:t>
        </w:r>
      </w:hyperlink>
      <w:hyperlink r:id="rId536">
        <w:r>
          <w:rPr>
            <w:rFonts w:ascii="Times New Roman" w:eastAsia="Times New Roman" w:hAnsi="Times New Roman" w:cs="Times New Roman"/>
            <w:sz w:val="28"/>
          </w:rPr>
          <w:t>-</w:t>
        </w:r>
      </w:hyperlink>
      <w:hyperlink r:id="rId537">
        <w:r>
          <w:rPr>
            <w:rFonts w:ascii="Times New Roman" w:eastAsia="Times New Roman" w:hAnsi="Times New Roman" w:cs="Times New Roman"/>
            <w:sz w:val="28"/>
          </w:rPr>
          <w:t>9.</w:t>
        </w:r>
      </w:hyperlink>
      <w:r>
        <w:rPr>
          <w:rFonts w:ascii="Times New Roman" w:eastAsia="Times New Roman" w:hAnsi="Times New Roman" w:cs="Times New Roman"/>
          <w:sz w:val="28"/>
        </w:rPr>
        <w:t xml:space="preserve"> </w:t>
      </w:r>
    </w:p>
    <w:p w:rsidR="0052701D" w:rsidRDefault="00D40929">
      <w:pPr>
        <w:spacing w:after="33" w:line="271" w:lineRule="auto"/>
        <w:ind w:left="283" w:right="64" w:firstLine="711"/>
        <w:jc w:val="both"/>
      </w:pPr>
      <w:r>
        <w:rPr>
          <w:rFonts w:ascii="Times New Roman" w:eastAsia="Times New Roman" w:hAnsi="Times New Roman" w:cs="Times New Roman"/>
          <w:sz w:val="28"/>
        </w:rPr>
        <w:t>[6].</w:t>
      </w:r>
      <w:r>
        <w:rPr>
          <w:rFonts w:ascii="Arial" w:eastAsia="Arial" w:hAnsi="Arial" w:cs="Arial"/>
          <w:sz w:val="28"/>
        </w:rPr>
        <w:t xml:space="preserve"> </w:t>
      </w:r>
      <w:r>
        <w:rPr>
          <w:rFonts w:ascii="Times New Roman" w:eastAsia="Times New Roman" w:hAnsi="Times New Roman" w:cs="Times New Roman"/>
          <w:sz w:val="28"/>
        </w:rPr>
        <w:t>Овчинников М. Ю.</w:t>
      </w:r>
      <w:hyperlink r:id="rId538">
        <w:r>
          <w:rPr>
            <w:rFonts w:ascii="Times New Roman" w:eastAsia="Times New Roman" w:hAnsi="Times New Roman" w:cs="Times New Roman"/>
            <w:sz w:val="28"/>
          </w:rPr>
          <w:t xml:space="preserve"> </w:t>
        </w:r>
      </w:hyperlink>
      <w:hyperlink r:id="rId539">
        <w:r>
          <w:rPr>
            <w:rFonts w:ascii="Times New Roman" w:eastAsia="Times New Roman" w:hAnsi="Times New Roman" w:cs="Times New Roman"/>
            <w:sz w:val="28"/>
          </w:rPr>
          <w:t>Малые спутники</w:t>
        </w:r>
      </w:hyperlink>
      <w:hyperlink r:id="rId540">
        <w:r>
          <w:rPr>
            <w:rFonts w:ascii="Times New Roman" w:eastAsia="Times New Roman" w:hAnsi="Times New Roman" w:cs="Times New Roman"/>
            <w:sz w:val="28"/>
          </w:rPr>
          <w:t xml:space="preserve"> — </w:t>
        </w:r>
      </w:hyperlink>
      <w:hyperlink r:id="rId541">
        <w:r>
          <w:rPr>
            <w:rFonts w:ascii="Times New Roman" w:eastAsia="Times New Roman" w:hAnsi="Times New Roman" w:cs="Times New Roman"/>
            <w:sz w:val="28"/>
          </w:rPr>
          <w:t>кто они</w:t>
        </w:r>
      </w:hyperlink>
      <w:hyperlink r:id="rId542">
        <w:r>
          <w:rPr>
            <w:rFonts w:ascii="Times New Roman" w:eastAsia="Times New Roman" w:hAnsi="Times New Roman" w:cs="Times New Roman"/>
            <w:sz w:val="28"/>
          </w:rPr>
          <w:t xml:space="preserve"> </w:t>
        </w:r>
      </w:hyperlink>
      <w:r>
        <w:rPr>
          <w:rFonts w:ascii="Times New Roman" w:eastAsia="Times New Roman" w:hAnsi="Times New Roman" w:cs="Times New Roman"/>
          <w:sz w:val="28"/>
        </w:rPr>
        <w:t>(под названием «Малые мира сего» публиковалось в</w:t>
      </w:r>
      <w:hyperlink r:id="rId543">
        <w:r>
          <w:rPr>
            <w:rFonts w:ascii="Times New Roman" w:eastAsia="Times New Roman" w:hAnsi="Times New Roman" w:cs="Times New Roman"/>
            <w:sz w:val="28"/>
          </w:rPr>
          <w:t xml:space="preserve"> </w:t>
        </w:r>
      </w:hyperlink>
      <w:hyperlink r:id="rId544">
        <w:r>
          <w:rPr>
            <w:rFonts w:ascii="Times New Roman" w:eastAsia="Times New Roman" w:hAnsi="Times New Roman" w:cs="Times New Roman"/>
            <w:sz w:val="28"/>
          </w:rPr>
          <w:t>Компьютерре</w:t>
        </w:r>
      </w:hyperlink>
      <w:hyperlink r:id="rId545">
        <w:r>
          <w:rPr>
            <w:rFonts w:ascii="Times New Roman" w:eastAsia="Times New Roman" w:hAnsi="Times New Roman" w:cs="Times New Roman"/>
            <w:sz w:val="28"/>
          </w:rPr>
          <w:t xml:space="preserve"> </w:t>
        </w:r>
      </w:hyperlink>
      <w:r>
        <w:rPr>
          <w:rFonts w:ascii="Times New Roman" w:eastAsia="Times New Roman" w:hAnsi="Times New Roman" w:cs="Times New Roman"/>
          <w:sz w:val="28"/>
        </w:rPr>
        <w:t xml:space="preserve">№ 15, 2007) </w:t>
      </w:r>
    </w:p>
    <w:p w:rsidR="0052701D" w:rsidRDefault="00D40929">
      <w:pPr>
        <w:spacing w:after="31" w:line="271" w:lineRule="auto"/>
        <w:ind w:left="283" w:right="64" w:firstLine="711"/>
        <w:jc w:val="both"/>
      </w:pPr>
      <w:r>
        <w:rPr>
          <w:rFonts w:ascii="Times New Roman" w:eastAsia="Times New Roman" w:hAnsi="Times New Roman" w:cs="Times New Roman"/>
          <w:sz w:val="28"/>
        </w:rPr>
        <w:t>[7].</w:t>
      </w:r>
      <w:r>
        <w:rPr>
          <w:rFonts w:ascii="Arial" w:eastAsia="Arial" w:hAnsi="Arial" w:cs="Arial"/>
          <w:sz w:val="28"/>
        </w:rPr>
        <w:t xml:space="preserve"> </w:t>
      </w:r>
      <w:r>
        <w:rPr>
          <w:rFonts w:ascii="Times New Roman" w:eastAsia="Times New Roman" w:hAnsi="Times New Roman" w:cs="Times New Roman"/>
          <w:sz w:val="28"/>
        </w:rPr>
        <w:t>Анпилогов В.Р. Малые спутники на</w:t>
      </w:r>
      <w:r>
        <w:rPr>
          <w:rFonts w:ascii="Times New Roman" w:eastAsia="Times New Roman" w:hAnsi="Times New Roman" w:cs="Times New Roman"/>
          <w:sz w:val="28"/>
        </w:rPr>
        <w:t xml:space="preserve"> ГСО. Обзор и анализ российских проектов // Технологии и средства связи. — 2000. — № 6 </w:t>
      </w:r>
    </w:p>
    <w:p w:rsidR="0052701D" w:rsidRDefault="00D40929">
      <w:pPr>
        <w:spacing w:after="0"/>
        <w:ind w:left="994"/>
      </w:pPr>
      <w:r>
        <w:rPr>
          <w:rFonts w:ascii="Times New Roman" w:eastAsia="Times New Roman" w:hAnsi="Times New Roman" w:cs="Times New Roman"/>
          <w:sz w:val="24"/>
        </w:rPr>
        <w:t xml:space="preserve"> </w:t>
      </w:r>
    </w:p>
    <w:p w:rsidR="0052701D" w:rsidRDefault="00D40929">
      <w:pPr>
        <w:spacing w:after="0"/>
        <w:ind w:left="994"/>
      </w:pPr>
      <w:r>
        <w:rPr>
          <w:rFonts w:ascii="Times New Roman" w:eastAsia="Times New Roman" w:hAnsi="Times New Roman" w:cs="Times New Roman"/>
          <w:sz w:val="24"/>
        </w:rPr>
        <w:t xml:space="preserve"> </w:t>
      </w:r>
    </w:p>
    <w:p w:rsidR="0052701D" w:rsidRDefault="00D40929">
      <w:pPr>
        <w:spacing w:after="227"/>
        <w:ind w:left="283"/>
      </w:pPr>
      <w:r>
        <w:rPr>
          <w:rFonts w:ascii="Times New Roman" w:eastAsia="Times New Roman" w:hAnsi="Times New Roman" w:cs="Times New Roman"/>
          <w:sz w:val="24"/>
        </w:rPr>
        <w:t xml:space="preserve"> </w:t>
      </w:r>
    </w:p>
    <w:p w:rsidR="0052701D" w:rsidRDefault="00D40929">
      <w:pPr>
        <w:spacing w:after="0"/>
        <w:ind w:left="283"/>
      </w:pPr>
      <w:r>
        <w:rPr>
          <w:rFonts w:ascii="Times New Roman" w:eastAsia="Times New Roman" w:hAnsi="Times New Roman" w:cs="Times New Roman"/>
          <w:b/>
          <w:color w:val="2F5496"/>
          <w:sz w:val="24"/>
        </w:rPr>
        <w:t>МРНТИ 89.15.71</w:t>
      </w:r>
      <w:r>
        <w:rPr>
          <w:rFonts w:ascii="Times New Roman" w:eastAsia="Times New Roman" w:hAnsi="Times New Roman" w:cs="Times New Roman"/>
          <w:color w:val="2F5496"/>
          <w:sz w:val="48"/>
        </w:rPr>
        <w:t xml:space="preserve"> </w:t>
      </w:r>
    </w:p>
    <w:p w:rsidR="0052701D" w:rsidRDefault="00D40929">
      <w:pPr>
        <w:spacing w:after="0"/>
        <w:ind w:left="283"/>
      </w:pPr>
      <w:r>
        <w:rPr>
          <w:rFonts w:ascii="Times New Roman" w:eastAsia="Times New Roman" w:hAnsi="Times New Roman" w:cs="Times New Roman"/>
          <w:color w:val="202124"/>
          <w:sz w:val="24"/>
        </w:rPr>
        <w:t>УДК 520.6</w:t>
      </w:r>
      <w:r>
        <w:rPr>
          <w:rFonts w:ascii="Times New Roman" w:eastAsia="Times New Roman" w:hAnsi="Times New Roman" w:cs="Times New Roman"/>
          <w:sz w:val="24"/>
        </w:rPr>
        <w:t xml:space="preserve"> </w:t>
      </w:r>
    </w:p>
    <w:p w:rsidR="0052701D" w:rsidRDefault="00D40929">
      <w:pPr>
        <w:spacing w:after="0"/>
        <w:ind w:left="21"/>
        <w:jc w:val="center"/>
      </w:pPr>
      <w:r>
        <w:rPr>
          <w:rFonts w:ascii="Times New Roman" w:eastAsia="Times New Roman" w:hAnsi="Times New Roman" w:cs="Times New Roman"/>
          <w:b/>
          <w:color w:val="202124"/>
          <w:sz w:val="24"/>
        </w:rPr>
        <w:t xml:space="preserve"> </w:t>
      </w:r>
    </w:p>
    <w:p w:rsidR="0052701D" w:rsidRDefault="00D40929">
      <w:pPr>
        <w:pStyle w:val="1"/>
        <w:spacing w:after="0" w:line="270" w:lineRule="auto"/>
        <w:ind w:left="970" w:right="0" w:hanging="269"/>
        <w:jc w:val="left"/>
      </w:pPr>
      <w:r>
        <w:rPr>
          <w:color w:val="202124"/>
          <w:sz w:val="24"/>
        </w:rPr>
        <w:t xml:space="preserve">РАСЧЕТ ПАРАМЕТРОВ КВАЗИРЕЗОНАНСНОГО ПРЕОБРАЗОВАТЕЛЯ НАПРЯЖЕНИЯ </w:t>
      </w:r>
      <w:r>
        <w:rPr>
          <w:sz w:val="24"/>
        </w:rPr>
        <w:t>ДЛЯ МИКРОСПУТНИКОВ И МУЛЬТИКОПТЕРОВ</w:t>
      </w:r>
      <w:r>
        <w:rPr>
          <w:b w:val="0"/>
          <w:sz w:val="24"/>
        </w:rPr>
        <w:t xml:space="preserve"> </w:t>
      </w:r>
    </w:p>
    <w:p w:rsidR="0052701D" w:rsidRDefault="00D40929">
      <w:pPr>
        <w:spacing w:after="10"/>
        <w:ind w:left="21"/>
        <w:jc w:val="center"/>
      </w:pPr>
      <w:r>
        <w:rPr>
          <w:rFonts w:ascii="Times New Roman" w:eastAsia="Times New Roman" w:hAnsi="Times New Roman" w:cs="Times New Roman"/>
          <w:color w:val="202124"/>
          <w:sz w:val="24"/>
        </w:rPr>
        <w:t xml:space="preserve"> </w:t>
      </w:r>
    </w:p>
    <w:p w:rsidR="0052701D" w:rsidRDefault="00D40929">
      <w:pPr>
        <w:spacing w:after="40"/>
        <w:ind w:left="10" w:right="104" w:hanging="10"/>
        <w:jc w:val="center"/>
      </w:pPr>
      <w:r>
        <w:rPr>
          <w:rFonts w:ascii="Times New Roman" w:eastAsia="Times New Roman" w:hAnsi="Times New Roman" w:cs="Times New Roman"/>
          <w:color w:val="202124"/>
          <w:sz w:val="24"/>
        </w:rPr>
        <w:t>Алипбаев Куаныш Арингожаевич</w:t>
      </w:r>
      <w:r>
        <w:rPr>
          <w:rFonts w:ascii="Times New Roman" w:eastAsia="Times New Roman" w:hAnsi="Times New Roman" w:cs="Times New Roman"/>
          <w:color w:val="202124"/>
          <w:sz w:val="24"/>
          <w:vertAlign w:val="superscript"/>
        </w:rPr>
        <w:t>1</w:t>
      </w:r>
      <w:r>
        <w:rPr>
          <w:rFonts w:ascii="Times New Roman" w:eastAsia="Times New Roman" w:hAnsi="Times New Roman" w:cs="Times New Roman"/>
          <w:color w:val="202124"/>
          <w:sz w:val="24"/>
        </w:rPr>
        <w:t>, Саурова Камила Серикбаевна</w:t>
      </w:r>
      <w:r>
        <w:rPr>
          <w:rFonts w:ascii="Times New Roman" w:eastAsia="Times New Roman" w:hAnsi="Times New Roman" w:cs="Times New Roman"/>
          <w:color w:val="202124"/>
          <w:sz w:val="24"/>
          <w:vertAlign w:val="superscript"/>
        </w:rPr>
        <w:t>2</w:t>
      </w:r>
      <w:r>
        <w:rPr>
          <w:rFonts w:ascii="Times New Roman" w:eastAsia="Times New Roman" w:hAnsi="Times New Roman" w:cs="Times New Roman"/>
          <w:color w:val="202124"/>
          <w:sz w:val="24"/>
        </w:rPr>
        <w:t xml:space="preserve">, </w:t>
      </w:r>
      <w:r>
        <w:rPr>
          <w:rFonts w:ascii="Times New Roman" w:eastAsia="Times New Roman" w:hAnsi="Times New Roman" w:cs="Times New Roman"/>
          <w:sz w:val="24"/>
        </w:rPr>
        <w:t xml:space="preserve"> </w:t>
      </w:r>
    </w:p>
    <w:p w:rsidR="0052701D" w:rsidRDefault="00D40929">
      <w:pPr>
        <w:pStyle w:val="1"/>
        <w:spacing w:after="53" w:line="259" w:lineRule="auto"/>
        <w:ind w:right="41"/>
      </w:pPr>
      <w:r>
        <w:rPr>
          <w:b w:val="0"/>
          <w:color w:val="202124"/>
          <w:sz w:val="24"/>
        </w:rPr>
        <w:t>Кенжегараева Ансаган Дарханкызы</w:t>
      </w:r>
      <w:r>
        <w:rPr>
          <w:b w:val="0"/>
          <w:color w:val="202124"/>
          <w:sz w:val="24"/>
          <w:vertAlign w:val="superscript"/>
        </w:rPr>
        <w:t>3</w:t>
      </w:r>
      <w:r>
        <w:rPr>
          <w:b w:val="0"/>
          <w:sz w:val="24"/>
        </w:rPr>
        <w:t xml:space="preserve"> </w:t>
      </w:r>
    </w:p>
    <w:p w:rsidR="0052701D" w:rsidRDefault="00D40929">
      <w:pPr>
        <w:spacing w:after="0"/>
        <w:ind w:left="10" w:right="117" w:hanging="10"/>
        <w:jc w:val="center"/>
      </w:pPr>
      <w:r>
        <w:rPr>
          <w:rFonts w:ascii="Times New Roman" w:eastAsia="Times New Roman" w:hAnsi="Times New Roman" w:cs="Times New Roman"/>
          <w:color w:val="202124"/>
          <w:sz w:val="24"/>
        </w:rPr>
        <w:t xml:space="preserve">НАО «Алматинский университет энергетики и связи им. Г.Даукеева», </w:t>
      </w:r>
      <w:r>
        <w:rPr>
          <w:rFonts w:ascii="Times New Roman" w:eastAsia="Times New Roman" w:hAnsi="Times New Roman" w:cs="Times New Roman"/>
          <w:sz w:val="24"/>
        </w:rPr>
        <w:t xml:space="preserve"> </w:t>
      </w:r>
    </w:p>
    <w:p w:rsidR="0052701D" w:rsidRDefault="00D40929">
      <w:pPr>
        <w:spacing w:after="0"/>
        <w:ind w:left="10" w:right="47" w:hanging="10"/>
        <w:jc w:val="center"/>
      </w:pPr>
      <w:r>
        <w:rPr>
          <w:rFonts w:ascii="Times New Roman" w:eastAsia="Times New Roman" w:hAnsi="Times New Roman" w:cs="Times New Roman"/>
          <w:color w:val="202124"/>
          <w:sz w:val="24"/>
        </w:rPr>
        <w:t>г.Алматы, Казахстан</w:t>
      </w:r>
      <w:r>
        <w:rPr>
          <w:rFonts w:ascii="Times New Roman" w:eastAsia="Times New Roman" w:hAnsi="Times New Roman" w:cs="Times New Roman"/>
          <w:sz w:val="24"/>
        </w:rPr>
        <w:t xml:space="preserve"> </w:t>
      </w:r>
    </w:p>
    <w:p w:rsidR="0052701D" w:rsidRDefault="00D40929">
      <w:pPr>
        <w:spacing w:after="0"/>
        <w:ind w:left="10" w:right="38" w:hanging="10"/>
        <w:jc w:val="center"/>
      </w:pPr>
      <w:r>
        <w:rPr>
          <w:rFonts w:ascii="Times New Roman" w:eastAsia="Times New Roman" w:hAnsi="Times New Roman" w:cs="Times New Roman"/>
          <w:color w:val="202124"/>
          <w:sz w:val="24"/>
        </w:rPr>
        <w:t xml:space="preserve">e-mail: </w:t>
      </w:r>
      <w:r>
        <w:rPr>
          <w:rFonts w:ascii="Times New Roman" w:eastAsia="Times New Roman" w:hAnsi="Times New Roman" w:cs="Times New Roman"/>
          <w:color w:val="0563C1"/>
          <w:sz w:val="24"/>
          <w:u w:val="single" w:color="0563C1"/>
        </w:rPr>
        <w:t>k.alipbayev@aues.kz</w:t>
      </w:r>
      <w:r>
        <w:rPr>
          <w:rFonts w:ascii="Times New Roman" w:eastAsia="Times New Roman" w:hAnsi="Times New Roman" w:cs="Times New Roman"/>
          <w:color w:val="222222"/>
          <w:sz w:val="24"/>
        </w:rPr>
        <w:t xml:space="preserve">, </w:t>
      </w:r>
      <w:r>
        <w:rPr>
          <w:rFonts w:ascii="Times New Roman" w:eastAsia="Times New Roman" w:hAnsi="Times New Roman" w:cs="Times New Roman"/>
          <w:color w:val="0563C1"/>
          <w:sz w:val="24"/>
          <w:u w:val="single" w:color="0563C1"/>
        </w:rPr>
        <w:t>k.saurova@aues.kz</w:t>
      </w:r>
      <w:r>
        <w:rPr>
          <w:rFonts w:ascii="Times New Roman" w:eastAsia="Times New Roman" w:hAnsi="Times New Roman" w:cs="Times New Roman"/>
          <w:color w:val="5E5E5E"/>
          <w:sz w:val="24"/>
        </w:rPr>
        <w:t xml:space="preserve">, </w:t>
      </w:r>
      <w:r>
        <w:rPr>
          <w:rFonts w:ascii="Times New Roman" w:eastAsia="Times New Roman" w:hAnsi="Times New Roman" w:cs="Times New Roman"/>
          <w:color w:val="0563C1"/>
          <w:sz w:val="24"/>
          <w:u w:val="single" w:color="0563C1"/>
        </w:rPr>
        <w:t>a.kenzhegaraeva@aues.kz</w:t>
      </w:r>
      <w:r>
        <w:rPr>
          <w:rFonts w:ascii="Times New Roman" w:eastAsia="Times New Roman" w:hAnsi="Times New Roman" w:cs="Times New Roman"/>
          <w:sz w:val="24"/>
        </w:rPr>
        <w:t xml:space="preserve"> </w:t>
      </w:r>
    </w:p>
    <w:p w:rsidR="0052701D" w:rsidRDefault="00D40929">
      <w:pPr>
        <w:spacing w:after="27"/>
        <w:ind w:left="283"/>
      </w:pPr>
      <w:r>
        <w:rPr>
          <w:rFonts w:ascii="Times New Roman" w:eastAsia="Times New Roman" w:hAnsi="Times New Roman" w:cs="Times New Roman"/>
          <w:color w:val="202124"/>
          <w:sz w:val="24"/>
        </w:rPr>
        <w:t xml:space="preserve"> </w:t>
      </w:r>
      <w:r>
        <w:rPr>
          <w:rFonts w:ascii="Times New Roman" w:eastAsia="Times New Roman" w:hAnsi="Times New Roman" w:cs="Times New Roman"/>
          <w:color w:val="202124"/>
          <w:sz w:val="24"/>
        </w:rPr>
        <w:tab/>
        <w:t xml:space="preserve"> </w:t>
      </w:r>
    </w:p>
    <w:p w:rsidR="0052701D" w:rsidRDefault="00D40929">
      <w:pPr>
        <w:spacing w:after="35" w:line="247" w:lineRule="auto"/>
        <w:ind w:left="268" w:right="310" w:firstLine="701"/>
        <w:jc w:val="both"/>
      </w:pPr>
      <w:r>
        <w:rPr>
          <w:rFonts w:ascii="Times New Roman" w:eastAsia="Times New Roman" w:hAnsi="Times New Roman" w:cs="Times New Roman"/>
          <w:b/>
          <w:i/>
          <w:color w:val="202124"/>
          <w:sz w:val="24"/>
        </w:rPr>
        <w:t>Аннотация:</w:t>
      </w:r>
      <w:r>
        <w:rPr>
          <w:rFonts w:ascii="Times New Roman" w:eastAsia="Times New Roman" w:hAnsi="Times New Roman" w:cs="Times New Roman"/>
          <w:i/>
          <w:color w:val="202124"/>
          <w:sz w:val="24"/>
        </w:rPr>
        <w:t xml:space="preserve"> </w:t>
      </w:r>
      <w:r>
        <w:rPr>
          <w:rFonts w:ascii="Times New Roman" w:eastAsia="Times New Roman" w:hAnsi="Times New Roman" w:cs="Times New Roman"/>
          <w:i/>
          <w:color w:val="202124"/>
          <w:sz w:val="24"/>
        </w:rPr>
        <w:t>В статье показана необходимость совершенствования классических импульсных преобразователей с управлением широтно-импульсной модуляцией за счет использования квазирезонансного метода управления. Рассмотрены области применения квазирезонансного преобразовате</w:t>
      </w:r>
      <w:r>
        <w:rPr>
          <w:rFonts w:ascii="Times New Roman" w:eastAsia="Times New Roman" w:hAnsi="Times New Roman" w:cs="Times New Roman"/>
          <w:i/>
          <w:color w:val="202124"/>
          <w:sz w:val="24"/>
        </w:rPr>
        <w:t>ля. Описаны квазирезонансный метод и принцип синхронного выпрямления, выбрана топология и рассмотрена структурная схема полумостового квазирезонансного преобразователя. Был проведен обзор производителей контроллеров и для разработки макета был выбран прото</w:t>
      </w:r>
      <w:r>
        <w:rPr>
          <w:rFonts w:ascii="Times New Roman" w:eastAsia="Times New Roman" w:hAnsi="Times New Roman" w:cs="Times New Roman"/>
          <w:i/>
          <w:color w:val="202124"/>
          <w:sz w:val="24"/>
        </w:rPr>
        <w:t>тип квазирезонансного преобразователя. А также был проведен расчет энергетических и частотных параметров системы квазирезонансного преобразователя, на основе которого были рассчитаны резонансный дроссель и трансформатор.</w:t>
      </w:r>
      <w:r>
        <w:rPr>
          <w:rFonts w:ascii="Times New Roman" w:eastAsia="Times New Roman" w:hAnsi="Times New Roman" w:cs="Times New Roman"/>
          <w:i/>
          <w:sz w:val="24"/>
        </w:rPr>
        <w:t xml:space="preserve"> </w:t>
      </w:r>
    </w:p>
    <w:p w:rsidR="0052701D" w:rsidRDefault="00D40929">
      <w:pPr>
        <w:spacing w:after="0" w:line="247" w:lineRule="auto"/>
        <w:ind w:left="268" w:right="310"/>
        <w:jc w:val="both"/>
      </w:pPr>
      <w:r>
        <w:rPr>
          <w:rFonts w:ascii="Times New Roman" w:eastAsia="Times New Roman" w:hAnsi="Times New Roman" w:cs="Times New Roman"/>
          <w:i/>
          <w:color w:val="202124"/>
          <w:sz w:val="24"/>
        </w:rPr>
        <w:t xml:space="preserve"> </w:t>
      </w:r>
      <w:r>
        <w:rPr>
          <w:rFonts w:ascii="Times New Roman" w:eastAsia="Times New Roman" w:hAnsi="Times New Roman" w:cs="Times New Roman"/>
          <w:b/>
          <w:i/>
          <w:color w:val="202124"/>
          <w:sz w:val="24"/>
        </w:rPr>
        <w:t>Ключевые слова:</w:t>
      </w:r>
      <w:r>
        <w:rPr>
          <w:rFonts w:ascii="Times New Roman" w:eastAsia="Times New Roman" w:hAnsi="Times New Roman" w:cs="Times New Roman"/>
          <w:i/>
          <w:color w:val="202124"/>
          <w:sz w:val="24"/>
        </w:rPr>
        <w:t xml:space="preserve"> космический, аппа</w:t>
      </w:r>
      <w:r>
        <w:rPr>
          <w:rFonts w:ascii="Times New Roman" w:eastAsia="Times New Roman" w:hAnsi="Times New Roman" w:cs="Times New Roman"/>
          <w:i/>
          <w:color w:val="202124"/>
          <w:sz w:val="24"/>
        </w:rPr>
        <w:t>рат, квазирезонанс, преобразователь, электроснабжение, синхронный, выпрямитель, КПД, малагабаритный, эфективный, мультикоптер, привязной.</w:t>
      </w:r>
      <w:r>
        <w:rPr>
          <w:rFonts w:ascii="Times New Roman" w:eastAsia="Times New Roman" w:hAnsi="Times New Roman" w:cs="Times New Roman"/>
          <w:i/>
          <w:sz w:val="24"/>
        </w:rPr>
        <w:t xml:space="preserve"> </w:t>
      </w:r>
    </w:p>
    <w:p w:rsidR="0052701D" w:rsidRDefault="00D40929">
      <w:pPr>
        <w:spacing w:after="0"/>
        <w:ind w:left="21"/>
        <w:jc w:val="center"/>
      </w:pPr>
      <w:r>
        <w:rPr>
          <w:rFonts w:ascii="Times New Roman" w:eastAsia="Times New Roman" w:hAnsi="Times New Roman" w:cs="Times New Roman"/>
          <w:b/>
          <w:color w:val="202124"/>
          <w:sz w:val="24"/>
        </w:rPr>
        <w:t xml:space="preserve"> </w:t>
      </w:r>
    </w:p>
    <w:p w:rsidR="0052701D" w:rsidRDefault="00D40929">
      <w:pPr>
        <w:spacing w:after="0" w:line="270" w:lineRule="auto"/>
        <w:ind w:left="331"/>
      </w:pPr>
      <w:r>
        <w:rPr>
          <w:rFonts w:ascii="Times New Roman" w:eastAsia="Times New Roman" w:hAnsi="Times New Roman" w:cs="Times New Roman"/>
          <w:b/>
          <w:color w:val="202124"/>
          <w:sz w:val="24"/>
        </w:rPr>
        <w:t xml:space="preserve">CALCULATION OF THE PARAMETERS OF A QUASI-RESONANT CONVERTER </w:t>
      </w:r>
    </w:p>
    <w:p w:rsidR="0052701D" w:rsidRDefault="00D40929">
      <w:pPr>
        <w:spacing w:after="0"/>
        <w:ind w:right="49"/>
        <w:jc w:val="center"/>
      </w:pPr>
      <w:r>
        <w:rPr>
          <w:rFonts w:ascii="Times New Roman" w:eastAsia="Times New Roman" w:hAnsi="Times New Roman" w:cs="Times New Roman"/>
          <w:b/>
          <w:color w:val="202124"/>
          <w:sz w:val="24"/>
        </w:rPr>
        <w:t>VOLTAGES FOR MICROSATELLITES AND MULTICOPTERS</w:t>
      </w:r>
      <w:r>
        <w:rPr>
          <w:rFonts w:ascii="Times New Roman" w:eastAsia="Times New Roman" w:hAnsi="Times New Roman" w:cs="Times New Roman"/>
          <w:sz w:val="24"/>
        </w:rPr>
        <w:t xml:space="preserve"> </w:t>
      </w:r>
    </w:p>
    <w:p w:rsidR="0052701D" w:rsidRDefault="00D40929">
      <w:pPr>
        <w:spacing w:after="0"/>
        <w:ind w:left="21"/>
        <w:jc w:val="center"/>
      </w:pPr>
      <w:r>
        <w:rPr>
          <w:rFonts w:ascii="Times New Roman" w:eastAsia="Times New Roman" w:hAnsi="Times New Roman" w:cs="Times New Roman"/>
          <w:color w:val="202124"/>
          <w:sz w:val="24"/>
        </w:rPr>
        <w:t xml:space="preserve"> </w:t>
      </w:r>
    </w:p>
    <w:p w:rsidR="0052701D" w:rsidRDefault="00D40929">
      <w:pPr>
        <w:spacing w:after="0"/>
        <w:ind w:left="10" w:right="46" w:hanging="10"/>
        <w:jc w:val="center"/>
      </w:pPr>
      <w:r>
        <w:rPr>
          <w:rFonts w:ascii="Times New Roman" w:eastAsia="Times New Roman" w:hAnsi="Times New Roman" w:cs="Times New Roman"/>
          <w:color w:val="202124"/>
          <w:sz w:val="24"/>
        </w:rPr>
        <w:t>Alipb</w:t>
      </w:r>
      <w:r>
        <w:rPr>
          <w:rFonts w:ascii="Times New Roman" w:eastAsia="Times New Roman" w:hAnsi="Times New Roman" w:cs="Times New Roman"/>
          <w:color w:val="202124"/>
          <w:sz w:val="24"/>
        </w:rPr>
        <w:t>ayev Kuanysh Aringozhaevich</w:t>
      </w:r>
      <w:r>
        <w:rPr>
          <w:rFonts w:ascii="Times New Roman" w:eastAsia="Times New Roman" w:hAnsi="Times New Roman" w:cs="Times New Roman"/>
          <w:color w:val="202124"/>
          <w:sz w:val="24"/>
          <w:vertAlign w:val="superscript"/>
        </w:rPr>
        <w:t>1</w:t>
      </w:r>
      <w:r>
        <w:rPr>
          <w:rFonts w:ascii="Times New Roman" w:eastAsia="Times New Roman" w:hAnsi="Times New Roman" w:cs="Times New Roman"/>
          <w:color w:val="202124"/>
          <w:sz w:val="24"/>
        </w:rPr>
        <w:t>, Saurova Kamila Serikbaevna</w:t>
      </w:r>
      <w:r>
        <w:rPr>
          <w:rFonts w:ascii="Times New Roman" w:eastAsia="Times New Roman" w:hAnsi="Times New Roman" w:cs="Times New Roman"/>
          <w:color w:val="202124"/>
          <w:sz w:val="24"/>
          <w:vertAlign w:val="superscript"/>
        </w:rPr>
        <w:t>2</w:t>
      </w:r>
      <w:r>
        <w:rPr>
          <w:rFonts w:ascii="Times New Roman" w:eastAsia="Times New Roman" w:hAnsi="Times New Roman" w:cs="Times New Roman"/>
          <w:color w:val="202124"/>
          <w:sz w:val="24"/>
        </w:rPr>
        <w:t xml:space="preserve">,  </w:t>
      </w:r>
    </w:p>
    <w:p w:rsidR="0052701D" w:rsidRDefault="00D40929">
      <w:pPr>
        <w:spacing w:after="0"/>
        <w:ind w:left="10" w:right="45" w:hanging="10"/>
        <w:jc w:val="center"/>
      </w:pPr>
      <w:r>
        <w:rPr>
          <w:rFonts w:ascii="Times New Roman" w:eastAsia="Times New Roman" w:hAnsi="Times New Roman" w:cs="Times New Roman"/>
          <w:color w:val="202124"/>
          <w:sz w:val="24"/>
        </w:rPr>
        <w:t>Kenzhegaraeva Ansagan Darkhankyzy</w:t>
      </w:r>
      <w:r>
        <w:rPr>
          <w:rFonts w:ascii="Times New Roman" w:eastAsia="Times New Roman" w:hAnsi="Times New Roman" w:cs="Times New Roman"/>
          <w:color w:val="202124"/>
          <w:sz w:val="24"/>
          <w:vertAlign w:val="superscript"/>
        </w:rPr>
        <w:t>3</w:t>
      </w:r>
      <w:r>
        <w:rPr>
          <w:rFonts w:ascii="Times New Roman" w:eastAsia="Times New Roman" w:hAnsi="Times New Roman" w:cs="Times New Roman"/>
          <w:sz w:val="24"/>
        </w:rPr>
        <w:t xml:space="preserve"> </w:t>
      </w:r>
    </w:p>
    <w:p w:rsidR="0052701D" w:rsidRDefault="00D40929">
      <w:pPr>
        <w:spacing w:after="0"/>
        <w:ind w:left="10" w:right="51" w:hanging="10"/>
        <w:jc w:val="center"/>
      </w:pPr>
      <w:r>
        <w:rPr>
          <w:rFonts w:ascii="Times New Roman" w:eastAsia="Times New Roman" w:hAnsi="Times New Roman" w:cs="Times New Roman"/>
          <w:color w:val="202124"/>
          <w:sz w:val="24"/>
        </w:rPr>
        <w:t xml:space="preserve">NAO "Almaty University of Energy and Communications named after G.Daukeev"  </w:t>
      </w:r>
    </w:p>
    <w:p w:rsidR="0052701D" w:rsidRDefault="00D40929">
      <w:pPr>
        <w:spacing w:after="0"/>
        <w:ind w:left="10" w:right="41" w:hanging="10"/>
        <w:jc w:val="center"/>
      </w:pPr>
      <w:r>
        <w:rPr>
          <w:rFonts w:ascii="Times New Roman" w:eastAsia="Times New Roman" w:hAnsi="Times New Roman" w:cs="Times New Roman"/>
          <w:color w:val="202124"/>
          <w:sz w:val="24"/>
        </w:rPr>
        <w:lastRenderedPageBreak/>
        <w:t>Almaty, Kazakhstan</w:t>
      </w:r>
      <w:r>
        <w:rPr>
          <w:rFonts w:ascii="Times New Roman" w:eastAsia="Times New Roman" w:hAnsi="Times New Roman" w:cs="Times New Roman"/>
          <w:sz w:val="24"/>
        </w:rPr>
        <w:t xml:space="preserve"> </w:t>
      </w:r>
    </w:p>
    <w:p w:rsidR="0052701D" w:rsidRDefault="00D40929">
      <w:pPr>
        <w:spacing w:after="0"/>
        <w:ind w:left="10" w:right="45" w:hanging="10"/>
        <w:jc w:val="center"/>
      </w:pPr>
      <w:r>
        <w:rPr>
          <w:rFonts w:ascii="Times New Roman" w:eastAsia="Times New Roman" w:hAnsi="Times New Roman" w:cs="Times New Roman"/>
          <w:color w:val="202124"/>
          <w:sz w:val="24"/>
        </w:rPr>
        <w:t xml:space="preserve">e-mail: </w:t>
      </w:r>
      <w:r>
        <w:rPr>
          <w:rFonts w:ascii="Times New Roman" w:eastAsia="Times New Roman" w:hAnsi="Times New Roman" w:cs="Times New Roman"/>
          <w:color w:val="1155CC"/>
          <w:sz w:val="24"/>
          <w:u w:val="single" w:color="1155CC"/>
        </w:rPr>
        <w:t>k.alipbayev@aues.kz</w:t>
      </w:r>
      <w:r>
        <w:rPr>
          <w:rFonts w:ascii="Times New Roman" w:eastAsia="Times New Roman" w:hAnsi="Times New Roman" w:cs="Times New Roman"/>
          <w:color w:val="202124"/>
          <w:sz w:val="24"/>
        </w:rPr>
        <w:t xml:space="preserve"> , </w:t>
      </w:r>
      <w:r>
        <w:rPr>
          <w:rFonts w:ascii="Times New Roman" w:eastAsia="Times New Roman" w:hAnsi="Times New Roman" w:cs="Times New Roman"/>
          <w:color w:val="1155CC"/>
          <w:sz w:val="24"/>
          <w:u w:val="single" w:color="1155CC"/>
        </w:rPr>
        <w:t>k.saurova@aues.kz</w:t>
      </w:r>
      <w:r>
        <w:rPr>
          <w:rFonts w:ascii="Times New Roman" w:eastAsia="Times New Roman" w:hAnsi="Times New Roman" w:cs="Times New Roman"/>
          <w:color w:val="202124"/>
          <w:sz w:val="24"/>
        </w:rPr>
        <w:t xml:space="preserve"> , </w:t>
      </w:r>
      <w:r>
        <w:rPr>
          <w:rFonts w:ascii="Times New Roman" w:eastAsia="Times New Roman" w:hAnsi="Times New Roman" w:cs="Times New Roman"/>
          <w:color w:val="1155CC"/>
          <w:sz w:val="24"/>
          <w:u w:val="single" w:color="1155CC"/>
        </w:rPr>
        <w:t>a.kenzhegaraeva@aues.kz</w:t>
      </w:r>
      <w:r>
        <w:rPr>
          <w:rFonts w:ascii="Times New Roman" w:eastAsia="Times New Roman" w:hAnsi="Times New Roman" w:cs="Times New Roman"/>
          <w:color w:val="202124"/>
          <w:sz w:val="24"/>
        </w:rPr>
        <w:t xml:space="preserve"> </w:t>
      </w:r>
      <w:r>
        <w:rPr>
          <w:rFonts w:ascii="Times New Roman" w:eastAsia="Times New Roman" w:hAnsi="Times New Roman" w:cs="Times New Roman"/>
          <w:sz w:val="24"/>
        </w:rPr>
        <w:t xml:space="preserve"> </w:t>
      </w:r>
    </w:p>
    <w:p w:rsidR="0052701D" w:rsidRDefault="00D40929">
      <w:pPr>
        <w:spacing w:after="0"/>
        <w:ind w:left="283"/>
      </w:pPr>
      <w:r>
        <w:rPr>
          <w:rFonts w:ascii="Times New Roman" w:eastAsia="Times New Roman" w:hAnsi="Times New Roman" w:cs="Times New Roman"/>
          <w:color w:val="202124"/>
          <w:sz w:val="24"/>
        </w:rPr>
        <w:t xml:space="preserve"> </w:t>
      </w:r>
      <w:r>
        <w:rPr>
          <w:rFonts w:ascii="Times New Roman" w:eastAsia="Times New Roman" w:hAnsi="Times New Roman" w:cs="Times New Roman"/>
          <w:color w:val="202124"/>
          <w:sz w:val="24"/>
        </w:rPr>
        <w:tab/>
        <w:t xml:space="preserve"> </w:t>
      </w:r>
    </w:p>
    <w:p w:rsidR="0052701D" w:rsidRDefault="00D40929">
      <w:pPr>
        <w:spacing w:after="0" w:line="247" w:lineRule="auto"/>
        <w:ind w:left="268" w:right="310" w:firstLine="701"/>
        <w:jc w:val="both"/>
      </w:pPr>
      <w:r>
        <w:rPr>
          <w:rFonts w:ascii="Times New Roman" w:eastAsia="Times New Roman" w:hAnsi="Times New Roman" w:cs="Times New Roman"/>
          <w:b/>
          <w:i/>
          <w:color w:val="202124"/>
          <w:sz w:val="24"/>
        </w:rPr>
        <w:t>Annotation:</w:t>
      </w:r>
      <w:r>
        <w:rPr>
          <w:rFonts w:ascii="Times New Roman" w:eastAsia="Times New Roman" w:hAnsi="Times New Roman" w:cs="Times New Roman"/>
          <w:i/>
          <w:color w:val="202124"/>
          <w:sz w:val="24"/>
        </w:rPr>
        <w:t xml:space="preserve"> The article shows the need to improve classical pulse converters with pulse-width modulation control by using a quasi-resonant control method. The areas of application of the quasi-resonant transducer are considere</w:t>
      </w:r>
      <w:r>
        <w:rPr>
          <w:rFonts w:ascii="Times New Roman" w:eastAsia="Times New Roman" w:hAnsi="Times New Roman" w:cs="Times New Roman"/>
          <w:i/>
          <w:color w:val="202124"/>
          <w:sz w:val="24"/>
        </w:rPr>
        <w:t>d. The quasi-resonant method and the principle of synchronous rectification are described, the topology is selected, and the block diagram of a half-bridge quasi-resonant converter is considered. A review of the manufacturers of controllers was carried out</w:t>
      </w:r>
      <w:r>
        <w:rPr>
          <w:rFonts w:ascii="Times New Roman" w:eastAsia="Times New Roman" w:hAnsi="Times New Roman" w:cs="Times New Roman"/>
          <w:i/>
          <w:color w:val="202124"/>
          <w:sz w:val="24"/>
        </w:rPr>
        <w:t xml:space="preserve"> and a prototype of a quasi-resonant transducer was selected for the development of the layout. And also the calculation of the energy and frequency parameters of the system of the quasi-resonant converter was carried out, on the basis of which the resonan</w:t>
      </w:r>
      <w:r>
        <w:rPr>
          <w:rFonts w:ascii="Times New Roman" w:eastAsia="Times New Roman" w:hAnsi="Times New Roman" w:cs="Times New Roman"/>
          <w:i/>
          <w:color w:val="202124"/>
          <w:sz w:val="24"/>
        </w:rPr>
        <w:t>t choke and transformer were calculated.</w:t>
      </w:r>
      <w:r>
        <w:rPr>
          <w:rFonts w:ascii="Times New Roman" w:eastAsia="Times New Roman" w:hAnsi="Times New Roman" w:cs="Times New Roman"/>
          <w:sz w:val="24"/>
        </w:rPr>
        <w:t xml:space="preserve"> </w:t>
      </w:r>
    </w:p>
    <w:p w:rsidR="0052701D" w:rsidRDefault="00D40929">
      <w:pPr>
        <w:spacing w:after="334" w:line="247" w:lineRule="auto"/>
        <w:ind w:left="268" w:right="310" w:firstLine="701"/>
        <w:jc w:val="both"/>
      </w:pPr>
      <w:r>
        <w:rPr>
          <w:rFonts w:ascii="Times New Roman" w:eastAsia="Times New Roman" w:hAnsi="Times New Roman" w:cs="Times New Roman"/>
          <w:b/>
          <w:i/>
          <w:color w:val="202124"/>
          <w:sz w:val="24"/>
        </w:rPr>
        <w:t>Keywords:</w:t>
      </w:r>
      <w:r>
        <w:rPr>
          <w:rFonts w:ascii="Times New Roman" w:eastAsia="Times New Roman" w:hAnsi="Times New Roman" w:cs="Times New Roman"/>
          <w:i/>
          <w:color w:val="202124"/>
          <w:sz w:val="24"/>
        </w:rPr>
        <w:t xml:space="preserve"> spacecraft, apparatus, quasi-resonance, converter, power supply, synchronous, rectifier, efficiency, small-sized, effective, multicopter, tethered.</w:t>
      </w:r>
      <w:r>
        <w:rPr>
          <w:rFonts w:ascii="Times New Roman" w:eastAsia="Times New Roman" w:hAnsi="Times New Roman" w:cs="Times New Roman"/>
          <w:sz w:val="24"/>
        </w:rPr>
        <w:t xml:space="preserve"> </w:t>
      </w:r>
    </w:p>
    <w:p w:rsidR="0052701D" w:rsidRDefault="00D40929">
      <w:pPr>
        <w:spacing w:after="5" w:line="251" w:lineRule="auto"/>
        <w:ind w:left="994" w:firstLine="9"/>
      </w:pPr>
      <w:r>
        <w:rPr>
          <w:rFonts w:ascii="Times New Roman" w:eastAsia="Times New Roman" w:hAnsi="Times New Roman" w:cs="Times New Roman"/>
          <w:b/>
          <w:sz w:val="28"/>
        </w:rPr>
        <w:t xml:space="preserve">Введение </w:t>
      </w:r>
    </w:p>
    <w:p w:rsidR="0052701D" w:rsidRDefault="00D40929">
      <w:pPr>
        <w:spacing w:after="5" w:line="271" w:lineRule="auto"/>
        <w:ind w:left="283" w:right="326" w:firstLine="711"/>
        <w:jc w:val="both"/>
      </w:pPr>
      <w:r>
        <w:rPr>
          <w:rFonts w:ascii="Times New Roman" w:eastAsia="Times New Roman" w:hAnsi="Times New Roman" w:cs="Times New Roman"/>
          <w:sz w:val="28"/>
        </w:rPr>
        <w:t xml:space="preserve">В состав космических аппаратов (КА) наряду с </w:t>
      </w:r>
      <w:r>
        <w:rPr>
          <w:rFonts w:ascii="Times New Roman" w:eastAsia="Times New Roman" w:hAnsi="Times New Roman" w:cs="Times New Roman"/>
          <w:sz w:val="28"/>
        </w:rPr>
        <w:t xml:space="preserve">другими ответственными системами входит система электроснабжения (СЭС), включающая первичные источники питания (ПИП) такие как аккумуляторы, солнечные батареи, топливные ячейки и радиоизотопные источники питания. Для преобразования полученной энергии этих </w:t>
      </w:r>
      <w:r>
        <w:rPr>
          <w:rFonts w:ascii="Times New Roman" w:eastAsia="Times New Roman" w:hAnsi="Times New Roman" w:cs="Times New Roman"/>
          <w:sz w:val="28"/>
        </w:rPr>
        <w:t xml:space="preserve">источников с последующей передачей на различные шины питания КА используются вторичные источники электропитания (ВИП), в качестве которых широко используются импульсные преобразователи напряжения с широтно-импульсной модуляцией (ШИМ). </w:t>
      </w:r>
    </w:p>
    <w:p w:rsidR="0052701D" w:rsidRDefault="00D40929">
      <w:pPr>
        <w:spacing w:after="25" w:line="271" w:lineRule="auto"/>
        <w:ind w:left="283" w:right="324" w:firstLine="711"/>
        <w:jc w:val="both"/>
      </w:pPr>
      <w:r>
        <w:rPr>
          <w:rFonts w:ascii="Times New Roman" w:eastAsia="Times New Roman" w:hAnsi="Times New Roman" w:cs="Times New Roman"/>
          <w:sz w:val="28"/>
        </w:rPr>
        <w:t>Увеличение КПД класс</w:t>
      </w:r>
      <w:r>
        <w:rPr>
          <w:rFonts w:ascii="Times New Roman" w:eastAsia="Times New Roman" w:hAnsi="Times New Roman" w:cs="Times New Roman"/>
          <w:sz w:val="28"/>
        </w:rPr>
        <w:t>ических широтно-импульсной модуляции (ШИМ) преобразователей ограничено тепловыми потерями на переключающих элементах, что отрицательно сказывается на системе терморегулирования КА. При этом ввиду высокой частоты переключения тока и напряжения прямоугольной</w:t>
      </w:r>
      <w:r>
        <w:rPr>
          <w:rFonts w:ascii="Times New Roman" w:eastAsia="Times New Roman" w:hAnsi="Times New Roman" w:cs="Times New Roman"/>
          <w:sz w:val="28"/>
        </w:rPr>
        <w:t xml:space="preserve"> формы на силовых ключах классические ШИМ преобразователи являются источниками электромагнитных помех. Поэтому задача улучшения электромагнитной совместимости и увеличения КПД ВИП КА является актуальной. Все чаще в качестве ВИП используются резонансные и к</w:t>
      </w:r>
      <w:r>
        <w:rPr>
          <w:rFonts w:ascii="Times New Roman" w:eastAsia="Times New Roman" w:hAnsi="Times New Roman" w:cs="Times New Roman"/>
          <w:sz w:val="28"/>
        </w:rPr>
        <w:t xml:space="preserve">вазирезонансные преобразователи напряжения, что также позволяет улучшить массогабаритные параметры СЭС [1], [2], [3]. </w:t>
      </w:r>
    </w:p>
    <w:p w:rsidR="0052701D" w:rsidRDefault="00D40929">
      <w:pPr>
        <w:spacing w:after="5" w:line="251" w:lineRule="auto"/>
        <w:ind w:left="994" w:firstLine="9"/>
      </w:pPr>
      <w:r>
        <w:rPr>
          <w:rFonts w:ascii="Times New Roman" w:eastAsia="Times New Roman" w:hAnsi="Times New Roman" w:cs="Times New Roman"/>
          <w:b/>
          <w:sz w:val="28"/>
        </w:rPr>
        <w:t xml:space="preserve">Основная часть </w:t>
      </w:r>
    </w:p>
    <w:p w:rsidR="0052701D" w:rsidRDefault="00D40929">
      <w:pPr>
        <w:spacing w:after="5" w:line="271" w:lineRule="auto"/>
        <w:ind w:left="283" w:right="324" w:firstLine="711"/>
        <w:jc w:val="both"/>
      </w:pPr>
      <w:r>
        <w:rPr>
          <w:rFonts w:ascii="Times New Roman" w:eastAsia="Times New Roman" w:hAnsi="Times New Roman" w:cs="Times New Roman"/>
          <w:sz w:val="28"/>
        </w:rPr>
        <w:t>Импульсные преобразователи электроэнергии лежат в основе источников вторичного электропитания (ИВЭП) для современных радиотехнических устройств, включая электрооборудование космических аппаратов (КА). Использование квазирезонансных ключей переключение кото</w:t>
      </w:r>
      <w:r>
        <w:rPr>
          <w:rFonts w:ascii="Times New Roman" w:eastAsia="Times New Roman" w:hAnsi="Times New Roman" w:cs="Times New Roman"/>
          <w:sz w:val="28"/>
        </w:rPr>
        <w:t xml:space="preserve">рых происходит при нулевом токе или же при нулевом напряжении, значительно повышает энергетические, динамические и удельные характеристики источников питания.  </w:t>
      </w:r>
    </w:p>
    <w:p w:rsidR="0052701D" w:rsidRDefault="00D40929">
      <w:pPr>
        <w:spacing w:after="5" w:line="271" w:lineRule="auto"/>
        <w:ind w:left="283" w:right="331" w:firstLine="711"/>
        <w:jc w:val="both"/>
      </w:pPr>
      <w:r>
        <w:rPr>
          <w:rFonts w:ascii="Times New Roman" w:eastAsia="Times New Roman" w:hAnsi="Times New Roman" w:cs="Times New Roman"/>
          <w:sz w:val="28"/>
        </w:rPr>
        <w:lastRenderedPageBreak/>
        <w:t>Одним из оригинальных способов подзарядки источников питания на БПЛА мультикоптерного типа явля</w:t>
      </w:r>
      <w:r>
        <w:rPr>
          <w:rFonts w:ascii="Times New Roman" w:eastAsia="Times New Roman" w:hAnsi="Times New Roman" w:cs="Times New Roman"/>
          <w:sz w:val="28"/>
        </w:rPr>
        <w:t>ется использование провода или кабеля, по которому с наземного источника питания на борт БПЛА подается электропитание. Однако и в этом случае для повышения КПД и уменьшения тепловых потерь необходимо использованием резонансных и квазирезонансных преобразов</w:t>
      </w:r>
      <w:r>
        <w:rPr>
          <w:rFonts w:ascii="Times New Roman" w:eastAsia="Times New Roman" w:hAnsi="Times New Roman" w:cs="Times New Roman"/>
          <w:sz w:val="28"/>
        </w:rPr>
        <w:t>ателей напряжения [4]. Таким образом, разработка компактных резонансных и квазирезонансных преобразователей напряжения в КА и БПЛА является актуальной задачей как для их применения в КА, так и для БПЛА. Стабилизированный источник электропитания на базе час</w:t>
      </w:r>
      <w:r>
        <w:rPr>
          <w:rFonts w:ascii="Times New Roman" w:eastAsia="Times New Roman" w:hAnsi="Times New Roman" w:cs="Times New Roman"/>
          <w:sz w:val="28"/>
        </w:rPr>
        <w:t>тотного преобразователя напряжения внедрением квазирезонансного способа переключения силовых ключей.</w:t>
      </w:r>
      <w:r>
        <w:rPr>
          <w:rFonts w:ascii="Times New Roman" w:eastAsia="Times New Roman" w:hAnsi="Times New Roman" w:cs="Times New Roman"/>
          <w:color w:val="555555"/>
          <w:sz w:val="28"/>
        </w:rPr>
        <w:t xml:space="preserve">  </w:t>
      </w:r>
    </w:p>
    <w:p w:rsidR="0052701D" w:rsidRDefault="00D40929">
      <w:pPr>
        <w:spacing w:after="5" w:line="271" w:lineRule="auto"/>
        <w:ind w:left="283" w:right="327" w:firstLine="711"/>
        <w:jc w:val="both"/>
      </w:pPr>
      <w:r>
        <w:rPr>
          <w:rFonts w:ascii="Times New Roman" w:eastAsia="Times New Roman" w:hAnsi="Times New Roman" w:cs="Times New Roman"/>
          <w:sz w:val="28"/>
        </w:rPr>
        <w:t>Мультикоптер (МК), беспилотный летательный аппарат (БПЛА) - это дистанционно управляемая робототехническая система, в виде летающей платформы с различным</w:t>
      </w:r>
      <w:r>
        <w:rPr>
          <w:rFonts w:ascii="Times New Roman" w:eastAsia="Times New Roman" w:hAnsi="Times New Roman" w:cs="Times New Roman"/>
          <w:sz w:val="28"/>
        </w:rPr>
        <w:t xml:space="preserve"> количеством двигателей пропеллеров, обычно от 4 до 8 и более. За последние несколько лет мультикоптеры получили большое распространение благодаря относительно невысокой стоимости, хорошей управляемости и маневренности, с возможностью поднятия полезной наг</w:t>
      </w:r>
      <w:r>
        <w:rPr>
          <w:rFonts w:ascii="Times New Roman" w:eastAsia="Times New Roman" w:hAnsi="Times New Roman" w:cs="Times New Roman"/>
          <w:sz w:val="28"/>
        </w:rPr>
        <w:t>рузки на борт до 3-5 кг. Применяется для различных наблюдений с высоты, таких как дистанционное зондирование Земли, при чрезвычайных ситуациях, для мониторинга техногенных и природных объектов, ретрансляция сигналов, для фото и видео съемок зданий, сооруже</w:t>
      </w:r>
      <w:r>
        <w:rPr>
          <w:rFonts w:ascii="Times New Roman" w:eastAsia="Times New Roman" w:hAnsi="Times New Roman" w:cs="Times New Roman"/>
          <w:sz w:val="28"/>
        </w:rPr>
        <w:t xml:space="preserve">ний и мобильных объектов на земле. </w:t>
      </w:r>
    </w:p>
    <w:p w:rsidR="0052701D" w:rsidRDefault="00D40929">
      <w:pPr>
        <w:spacing w:after="5" w:line="271" w:lineRule="auto"/>
        <w:ind w:left="283" w:right="323" w:firstLine="711"/>
        <w:jc w:val="both"/>
      </w:pPr>
      <w:r>
        <w:rPr>
          <w:rFonts w:ascii="Times New Roman" w:eastAsia="Times New Roman" w:hAnsi="Times New Roman" w:cs="Times New Roman"/>
          <w:sz w:val="28"/>
        </w:rPr>
        <w:t>Однако мультикоптеры имеют существенный недостаток, это малое время полета, в пределах 30 минут. Увеличение емкости бортовых аккумуляторных батарей (АБ) позволяет увеличить время полета, но из-за веса дополнительных АБ у</w:t>
      </w:r>
      <w:r>
        <w:rPr>
          <w:rFonts w:ascii="Times New Roman" w:eastAsia="Times New Roman" w:hAnsi="Times New Roman" w:cs="Times New Roman"/>
          <w:sz w:val="28"/>
        </w:rPr>
        <w:t>меньшается вес полезной нагрузки. Поэтому в настоящее время в качестве альтернативного способа электроснабжения мультикоптеров, которые должны работать непрерывно несколько часов и даже дней, используется метод подачи питающего напряжения по проводам от ис</w:t>
      </w:r>
      <w:r>
        <w:rPr>
          <w:rFonts w:ascii="Times New Roman" w:eastAsia="Times New Roman" w:hAnsi="Times New Roman" w:cs="Times New Roman"/>
          <w:sz w:val="28"/>
        </w:rPr>
        <w:t>точника, находящегося на земле. Такой привязной МК может обеспечить круглосуточное наблюдение посредством видеокамеры с круговым обзором или использовать качестве антенны позволяющей обеспечить связь в случае, когда обычно это невозможно из-за сложного рел</w:t>
      </w:r>
      <w:r>
        <w:rPr>
          <w:rFonts w:ascii="Times New Roman" w:eastAsia="Times New Roman" w:hAnsi="Times New Roman" w:cs="Times New Roman"/>
          <w:sz w:val="28"/>
        </w:rPr>
        <w:t xml:space="preserve">ьефа местности [5].  </w:t>
      </w:r>
    </w:p>
    <w:p w:rsidR="0052701D" w:rsidRDefault="00D40929">
      <w:pPr>
        <w:spacing w:after="5" w:line="271" w:lineRule="auto"/>
        <w:ind w:left="283" w:right="332" w:firstLine="711"/>
        <w:jc w:val="both"/>
      </w:pPr>
      <w:r>
        <w:rPr>
          <w:rFonts w:ascii="Times New Roman" w:eastAsia="Times New Roman" w:hAnsi="Times New Roman" w:cs="Times New Roman"/>
          <w:sz w:val="28"/>
        </w:rPr>
        <w:t>В этом случае особенно актуально наличие высокоэффективного малогабаритного преобразователя на борту привязного МК. Существует большое количество топологий импульсных преобразователей напряжения, каждая из которых имеет те или иные пр</w:t>
      </w:r>
      <w:r>
        <w:rPr>
          <w:rFonts w:ascii="Times New Roman" w:eastAsia="Times New Roman" w:hAnsi="Times New Roman" w:cs="Times New Roman"/>
          <w:sz w:val="28"/>
        </w:rPr>
        <w:t xml:space="preserve">еимущества или недостатки и выбирается в зависимости от требуемой мощности на нагрузке, эффективности, стоимости и других параметров [6].  </w:t>
      </w:r>
    </w:p>
    <w:p w:rsidR="0052701D" w:rsidRDefault="00D40929">
      <w:pPr>
        <w:spacing w:after="5" w:line="271" w:lineRule="auto"/>
        <w:ind w:left="283" w:right="328" w:firstLine="711"/>
        <w:jc w:val="both"/>
      </w:pPr>
      <w:r>
        <w:rPr>
          <w:rFonts w:ascii="Times New Roman" w:eastAsia="Times New Roman" w:hAnsi="Times New Roman" w:cs="Times New Roman"/>
          <w:color w:val="111111"/>
          <w:sz w:val="28"/>
        </w:rPr>
        <w:lastRenderedPageBreak/>
        <w:t>Отличительная черта квазирезонансной схемы от классической резонансной заключается в том, что колебательный контур н</w:t>
      </w:r>
      <w:r>
        <w:rPr>
          <w:rFonts w:ascii="Times New Roman" w:eastAsia="Times New Roman" w:hAnsi="Times New Roman" w:cs="Times New Roman"/>
          <w:color w:val="111111"/>
          <w:sz w:val="28"/>
        </w:rPr>
        <w:t xml:space="preserve">е накапливает энергию как в резонансном контуре, а только лишь участвует в передаче энергии в нагрузку. </w:t>
      </w:r>
      <w:r>
        <w:rPr>
          <w:rFonts w:ascii="Times New Roman" w:eastAsia="Times New Roman" w:hAnsi="Times New Roman" w:cs="Times New Roman"/>
          <w:sz w:val="28"/>
        </w:rPr>
        <w:t>Задача системы управления квазирезонансного преобразователя заключается в том, чтобы, отслеживая сигналы обратной связи изменять рабочую частоту и комму</w:t>
      </w:r>
      <w:r>
        <w:rPr>
          <w:rFonts w:ascii="Times New Roman" w:eastAsia="Times New Roman" w:hAnsi="Times New Roman" w:cs="Times New Roman"/>
          <w:sz w:val="28"/>
        </w:rPr>
        <w:t>тировать ключи в определенные моменты времени, тем самым задавая режим мягкой коммутации, в этом и состоит суть квазирезонансного метода переключения. Упрощенная структурная схема полумостового квазирезонансного преобразователя с синхронным выпрямителем пр</w:t>
      </w:r>
      <w:r>
        <w:rPr>
          <w:rFonts w:ascii="Times New Roman" w:eastAsia="Times New Roman" w:hAnsi="Times New Roman" w:cs="Times New Roman"/>
          <w:sz w:val="28"/>
        </w:rPr>
        <w:t xml:space="preserve">иведена на рисунке 1. </w:t>
      </w:r>
    </w:p>
    <w:p w:rsidR="0052701D" w:rsidRDefault="00D40929">
      <w:pPr>
        <w:spacing w:after="0"/>
        <w:ind w:left="994"/>
      </w:pPr>
      <w:r>
        <w:rPr>
          <w:rFonts w:ascii="Times New Roman" w:eastAsia="Times New Roman" w:hAnsi="Times New Roman" w:cs="Times New Roman"/>
          <w:sz w:val="28"/>
        </w:rPr>
        <w:t xml:space="preserve"> </w:t>
      </w:r>
    </w:p>
    <w:p w:rsidR="0052701D" w:rsidRDefault="00D40929">
      <w:pPr>
        <w:spacing w:after="0"/>
        <w:ind w:left="2092"/>
      </w:pPr>
      <w:r>
        <w:rPr>
          <w:noProof/>
        </w:rPr>
        <w:drawing>
          <wp:inline distT="0" distB="0" distL="0" distR="0">
            <wp:extent cx="3465576" cy="2209800"/>
            <wp:effectExtent l="0" t="0" r="0" b="0"/>
            <wp:docPr id="37927" name="Picture 37927"/>
            <wp:cNvGraphicFramePr/>
            <a:graphic xmlns:a="http://schemas.openxmlformats.org/drawingml/2006/main">
              <a:graphicData uri="http://schemas.openxmlformats.org/drawingml/2006/picture">
                <pic:pic xmlns:pic="http://schemas.openxmlformats.org/drawingml/2006/picture">
                  <pic:nvPicPr>
                    <pic:cNvPr id="37927" name="Picture 37927"/>
                    <pic:cNvPicPr/>
                  </pic:nvPicPr>
                  <pic:blipFill>
                    <a:blip r:embed="rId450"/>
                    <a:stretch>
                      <a:fillRect/>
                    </a:stretch>
                  </pic:blipFill>
                  <pic:spPr>
                    <a:xfrm>
                      <a:off x="0" y="0"/>
                      <a:ext cx="3465576" cy="2209800"/>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14" w:line="248" w:lineRule="auto"/>
        <w:ind w:left="713" w:right="751" w:hanging="5"/>
        <w:jc w:val="center"/>
      </w:pPr>
      <w:r>
        <w:rPr>
          <w:rFonts w:ascii="Times New Roman" w:eastAsia="Times New Roman" w:hAnsi="Times New Roman" w:cs="Times New Roman"/>
          <w:sz w:val="24"/>
        </w:rPr>
        <w:t xml:space="preserve">Рис. 1. Упрощенная структурная схема квазирезонансного преобразователя </w:t>
      </w:r>
    </w:p>
    <w:p w:rsidR="0052701D" w:rsidRDefault="00D40929">
      <w:pPr>
        <w:spacing w:after="12"/>
        <w:ind w:left="994"/>
      </w:pPr>
      <w:r>
        <w:rPr>
          <w:rFonts w:ascii="Times New Roman" w:eastAsia="Times New Roman" w:hAnsi="Times New Roman" w:cs="Times New Roman"/>
          <w:sz w:val="24"/>
        </w:rPr>
        <w:t xml:space="preserve"> </w:t>
      </w:r>
    </w:p>
    <w:p w:rsidR="0052701D" w:rsidRDefault="00D40929">
      <w:pPr>
        <w:spacing w:after="5" w:line="271" w:lineRule="auto"/>
        <w:ind w:left="283" w:right="323" w:firstLine="711"/>
        <w:jc w:val="both"/>
      </w:pPr>
      <w:r>
        <w:rPr>
          <w:rFonts w:ascii="Times New Roman" w:eastAsia="Times New Roman" w:hAnsi="Times New Roman" w:cs="Times New Roman"/>
          <w:sz w:val="28"/>
        </w:rPr>
        <w:t>КРП включает в себя два силовых ключа 1 и 2, резонансный дроссель 3, резонансную емкость 8, трансформатор 4, синхронный выпрямитель 5, емкость фильтра выходного напряжения 6, датчик выходного напряжения 9, схема контроля и управления 13, переключатель режи</w:t>
      </w:r>
      <w:r>
        <w:rPr>
          <w:rFonts w:ascii="Times New Roman" w:eastAsia="Times New Roman" w:hAnsi="Times New Roman" w:cs="Times New Roman"/>
          <w:sz w:val="28"/>
        </w:rPr>
        <w:t xml:space="preserve">мов работы 10, элемент гальванической развязки 14, драйвера силовых ключей 11, датчик тока входной части преобразователя 12. В качестве выходных СВ используются мощные полевые транзисторы, которые управляются контролером 10. </w:t>
      </w:r>
    </w:p>
    <w:p w:rsidR="0052701D" w:rsidRDefault="00D40929">
      <w:pPr>
        <w:spacing w:after="5" w:line="271" w:lineRule="auto"/>
        <w:ind w:left="283" w:right="323" w:firstLine="711"/>
        <w:jc w:val="both"/>
      </w:pPr>
      <w:r>
        <w:rPr>
          <w:rFonts w:ascii="Times New Roman" w:eastAsia="Times New Roman" w:hAnsi="Times New Roman" w:cs="Times New Roman"/>
          <w:sz w:val="28"/>
        </w:rPr>
        <w:t xml:space="preserve">Управление выходной мощностью </w:t>
      </w:r>
      <w:r>
        <w:rPr>
          <w:rFonts w:ascii="Times New Roman" w:eastAsia="Times New Roman" w:hAnsi="Times New Roman" w:cs="Times New Roman"/>
          <w:sz w:val="28"/>
        </w:rPr>
        <w:t>производится изменением частоты работы ключей силовой части. Для повышения эффективности в импульсных преобразователях наряду с квазирезонансным методом вместо выпрямителей на диодных вентилях широко используются синхронные выпрямители. Примере однофазного</w:t>
      </w:r>
      <w:r>
        <w:rPr>
          <w:rFonts w:ascii="Times New Roman" w:eastAsia="Times New Roman" w:hAnsi="Times New Roman" w:cs="Times New Roman"/>
          <w:sz w:val="28"/>
        </w:rPr>
        <w:t xml:space="preserve"> полуволнового диодного выпрямителя рисунок 2, а показана замена диода на транзистор рисунок 2, б. Транзисторный ключ с малыми потерями, синхронно управляемый контроллер позволяют уменьшить тепловые потери и соответственно уменьшить массу радиаторов, или в</w:t>
      </w:r>
      <w:r>
        <w:rPr>
          <w:rFonts w:ascii="Times New Roman" w:eastAsia="Times New Roman" w:hAnsi="Times New Roman" w:cs="Times New Roman"/>
          <w:sz w:val="28"/>
        </w:rPr>
        <w:t xml:space="preserve">овсе отказываться от них. </w:t>
      </w:r>
    </w:p>
    <w:p w:rsidR="0052701D" w:rsidRDefault="00D40929">
      <w:pPr>
        <w:spacing w:after="5" w:line="271" w:lineRule="auto"/>
        <w:ind w:left="283" w:right="329" w:firstLine="711"/>
        <w:jc w:val="both"/>
      </w:pPr>
      <w:r>
        <w:rPr>
          <w:rFonts w:ascii="Times New Roman" w:eastAsia="Times New Roman" w:hAnsi="Times New Roman" w:cs="Times New Roman"/>
          <w:sz w:val="28"/>
        </w:rPr>
        <w:lastRenderedPageBreak/>
        <w:t>Принцип синхронных выпрямителей известен давно, однако с появлением новых современных силовых полупроводниковых приборов с остаточным сопротивлением открытого канала до единиц миллиом, а также управляющих контроллеров, сегодня си</w:t>
      </w:r>
      <w:r>
        <w:rPr>
          <w:rFonts w:ascii="Times New Roman" w:eastAsia="Times New Roman" w:hAnsi="Times New Roman" w:cs="Times New Roman"/>
          <w:sz w:val="28"/>
        </w:rPr>
        <w:t xml:space="preserve">нхронные выпрямители получают все большее распространение [7]. </w:t>
      </w:r>
    </w:p>
    <w:p w:rsidR="0052701D" w:rsidRDefault="00D40929">
      <w:pPr>
        <w:spacing w:after="0"/>
        <w:ind w:left="994"/>
      </w:pPr>
      <w:r>
        <w:rPr>
          <w:rFonts w:ascii="Times New Roman" w:eastAsia="Times New Roman" w:hAnsi="Times New Roman" w:cs="Times New Roman"/>
          <w:sz w:val="28"/>
        </w:rPr>
        <w:t xml:space="preserve"> </w:t>
      </w:r>
    </w:p>
    <w:p w:rsidR="0052701D" w:rsidRDefault="00D40929">
      <w:pPr>
        <w:spacing w:after="0"/>
        <w:ind w:left="1804"/>
      </w:pPr>
      <w:r>
        <w:rPr>
          <w:noProof/>
        </w:rPr>
        <w:drawing>
          <wp:inline distT="0" distB="0" distL="0" distR="0">
            <wp:extent cx="3822192" cy="1283208"/>
            <wp:effectExtent l="0" t="0" r="0" b="0"/>
            <wp:docPr id="37929" name="Picture 37929"/>
            <wp:cNvGraphicFramePr/>
            <a:graphic xmlns:a="http://schemas.openxmlformats.org/drawingml/2006/main">
              <a:graphicData uri="http://schemas.openxmlformats.org/drawingml/2006/picture">
                <pic:pic xmlns:pic="http://schemas.openxmlformats.org/drawingml/2006/picture">
                  <pic:nvPicPr>
                    <pic:cNvPr id="37929" name="Picture 37929"/>
                    <pic:cNvPicPr/>
                  </pic:nvPicPr>
                  <pic:blipFill>
                    <a:blip r:embed="rId451"/>
                    <a:stretch>
                      <a:fillRect/>
                    </a:stretch>
                  </pic:blipFill>
                  <pic:spPr>
                    <a:xfrm>
                      <a:off x="0" y="0"/>
                      <a:ext cx="3822192" cy="1283208"/>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14" w:line="248" w:lineRule="auto"/>
        <w:ind w:left="204" w:right="179" w:hanging="5"/>
        <w:jc w:val="center"/>
      </w:pPr>
      <w:r>
        <w:rPr>
          <w:rFonts w:ascii="Times New Roman" w:eastAsia="Times New Roman" w:hAnsi="Times New Roman" w:cs="Times New Roman"/>
          <w:sz w:val="24"/>
        </w:rPr>
        <w:t xml:space="preserve">Рис. 2. Пример однофазных полуволновых выпрямителей: а) диодный, б) - синхронный на MOSFET. </w:t>
      </w:r>
    </w:p>
    <w:p w:rsidR="0052701D" w:rsidRDefault="00D40929">
      <w:pPr>
        <w:spacing w:after="5" w:line="271" w:lineRule="auto"/>
        <w:ind w:left="283" w:right="325" w:firstLine="711"/>
        <w:jc w:val="both"/>
      </w:pPr>
      <w:r>
        <w:rPr>
          <w:rFonts w:ascii="Times New Roman" w:eastAsia="Times New Roman" w:hAnsi="Times New Roman" w:cs="Times New Roman"/>
          <w:sz w:val="28"/>
        </w:rPr>
        <w:t>При обзоре производителей разработчиков импульсных источников питания на базе квазирезонансног</w:t>
      </w:r>
      <w:r>
        <w:rPr>
          <w:rFonts w:ascii="Times New Roman" w:eastAsia="Times New Roman" w:hAnsi="Times New Roman" w:cs="Times New Roman"/>
          <w:sz w:val="28"/>
        </w:rPr>
        <w:t>о метода и выборе микросхемконтроллеров для изготовления макетного образца, учитывалось наличие оценочных плат с выходной мощностью от 100 до 300 Вт с выходным напряжением 12 В, наличие описания методик расчета основных компонентов схемы. В таблице 1 приве</w:t>
      </w:r>
      <w:r>
        <w:rPr>
          <w:rFonts w:ascii="Times New Roman" w:eastAsia="Times New Roman" w:hAnsi="Times New Roman" w:cs="Times New Roman"/>
          <w:sz w:val="28"/>
        </w:rPr>
        <w:t>дены оценочные платы различных производителей по которым производился отбор. После анализа основных параметров выбор был остановлен на контролере ICE2HS01G производителя Infineon, так как рабочая частота преобразователя в последующих разработках может быть</w:t>
      </w:r>
      <w:r>
        <w:rPr>
          <w:rFonts w:ascii="Times New Roman" w:eastAsia="Times New Roman" w:hAnsi="Times New Roman" w:cs="Times New Roman"/>
          <w:sz w:val="28"/>
        </w:rPr>
        <w:t xml:space="preserve"> повышена до 1МГц, что позволяет уменьшить массу и габариты силового трансформатора. Вторым важным параметром является КПД, согласно информации производителя, достигает 96-97% при 300 Вт на нагрузке [8]. </w:t>
      </w:r>
    </w:p>
    <w:p w:rsidR="0052701D" w:rsidRDefault="00D40929">
      <w:pPr>
        <w:spacing w:after="29" w:line="248" w:lineRule="auto"/>
        <w:ind w:left="3098" w:right="14" w:firstLine="5219"/>
        <w:jc w:val="both"/>
      </w:pPr>
      <w:r>
        <w:rPr>
          <w:rFonts w:ascii="Times New Roman" w:eastAsia="Times New Roman" w:hAnsi="Times New Roman" w:cs="Times New Roman"/>
          <w:sz w:val="24"/>
        </w:rPr>
        <w:t xml:space="preserve">Таблица 1  Параметры преобразователя для расчета </w:t>
      </w:r>
    </w:p>
    <w:tbl>
      <w:tblPr>
        <w:tblStyle w:val="TableGrid"/>
        <w:tblW w:w="8797" w:type="dxa"/>
        <w:tblInd w:w="567" w:type="dxa"/>
        <w:tblCellMar>
          <w:top w:w="7" w:type="dxa"/>
          <w:left w:w="139" w:type="dxa"/>
          <w:bottom w:w="0" w:type="dxa"/>
          <w:right w:w="46" w:type="dxa"/>
        </w:tblCellMar>
        <w:tblLook w:val="04A0" w:firstRow="1" w:lastRow="0" w:firstColumn="1" w:lastColumn="0" w:noHBand="0" w:noVBand="1"/>
      </w:tblPr>
      <w:tblGrid>
        <w:gridCol w:w="1397"/>
        <w:gridCol w:w="1330"/>
        <w:gridCol w:w="1815"/>
        <w:gridCol w:w="4255"/>
      </w:tblGrid>
      <w:tr w:rsidR="0052701D">
        <w:trPr>
          <w:trHeight w:val="562"/>
        </w:trPr>
        <w:tc>
          <w:tcPr>
            <w:tcW w:w="1397"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pPr>
            <w:r>
              <w:rPr>
                <w:rFonts w:ascii="Times New Roman" w:eastAsia="Times New Roman" w:hAnsi="Times New Roman" w:cs="Times New Roman"/>
                <w:sz w:val="24"/>
              </w:rPr>
              <w:t xml:space="preserve">Параметры </w:t>
            </w:r>
          </w:p>
        </w:tc>
        <w:tc>
          <w:tcPr>
            <w:tcW w:w="1330"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38"/>
            </w:pPr>
            <w:r>
              <w:rPr>
                <w:rFonts w:ascii="Times New Roman" w:eastAsia="Times New Roman" w:hAnsi="Times New Roman" w:cs="Times New Roman"/>
                <w:sz w:val="24"/>
              </w:rPr>
              <w:t xml:space="preserve">Величина </w:t>
            </w:r>
          </w:p>
        </w:tc>
        <w:tc>
          <w:tcPr>
            <w:tcW w:w="1815" w:type="dxa"/>
            <w:tcBorders>
              <w:top w:val="single" w:sz="4" w:space="0" w:color="000000"/>
              <w:left w:val="single" w:sz="4" w:space="0" w:color="000000"/>
              <w:bottom w:val="single" w:sz="4" w:space="0" w:color="000000"/>
              <w:right w:val="single" w:sz="4" w:space="0" w:color="000000"/>
            </w:tcBorders>
          </w:tcPr>
          <w:p w:rsidR="0052701D" w:rsidRDefault="00D40929">
            <w:pPr>
              <w:spacing w:after="0"/>
              <w:jc w:val="center"/>
            </w:pPr>
            <w:r>
              <w:rPr>
                <w:rFonts w:ascii="Times New Roman" w:eastAsia="Times New Roman" w:hAnsi="Times New Roman" w:cs="Times New Roman"/>
                <w:sz w:val="24"/>
              </w:rPr>
              <w:t xml:space="preserve">Единицы измерения </w:t>
            </w:r>
          </w:p>
        </w:tc>
        <w:tc>
          <w:tcPr>
            <w:tcW w:w="4255"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right="74"/>
              <w:jc w:val="center"/>
            </w:pPr>
            <w:r>
              <w:rPr>
                <w:rFonts w:ascii="Times New Roman" w:eastAsia="Times New Roman" w:hAnsi="Times New Roman" w:cs="Times New Roman"/>
                <w:sz w:val="24"/>
              </w:rPr>
              <w:t xml:space="preserve">Описание </w:t>
            </w:r>
          </w:p>
        </w:tc>
      </w:tr>
      <w:tr w:rsidR="0052701D">
        <w:trPr>
          <w:trHeight w:val="288"/>
        </w:trPr>
        <w:tc>
          <w:tcPr>
            <w:tcW w:w="139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2"/>
              <w:jc w:val="center"/>
            </w:pPr>
            <w:r>
              <w:rPr>
                <w:rFonts w:ascii="Times New Roman" w:eastAsia="Times New Roman" w:hAnsi="Times New Roman" w:cs="Times New Roman"/>
                <w:i/>
                <w:sz w:val="24"/>
              </w:rPr>
              <w:t xml:space="preserve">U </w:t>
            </w:r>
            <w:r>
              <w:rPr>
                <w:rFonts w:ascii="Times New Roman" w:eastAsia="Times New Roman" w:hAnsi="Times New Roman" w:cs="Times New Roman"/>
                <w:i/>
                <w:sz w:val="16"/>
              </w:rPr>
              <w:t>in_nom</w:t>
            </w:r>
            <w:r>
              <w:rPr>
                <w:rFonts w:ascii="Times New Roman" w:eastAsia="Times New Roman" w:hAnsi="Times New Roman" w:cs="Times New Roman"/>
                <w:i/>
                <w:sz w:val="24"/>
              </w:rPr>
              <w:t xml:space="preserve"> </w:t>
            </w:r>
          </w:p>
        </w:tc>
        <w:tc>
          <w:tcPr>
            <w:tcW w:w="133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5"/>
              <w:jc w:val="center"/>
            </w:pPr>
            <w:r>
              <w:rPr>
                <w:rFonts w:ascii="Times New Roman" w:eastAsia="Times New Roman" w:hAnsi="Times New Roman" w:cs="Times New Roman"/>
                <w:sz w:val="24"/>
              </w:rPr>
              <w:t xml:space="preserve">400 </w:t>
            </w:r>
          </w:p>
        </w:tc>
        <w:tc>
          <w:tcPr>
            <w:tcW w:w="181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8"/>
              <w:jc w:val="center"/>
            </w:pPr>
            <w:r>
              <w:rPr>
                <w:rFonts w:ascii="Times New Roman" w:eastAsia="Times New Roman" w:hAnsi="Times New Roman" w:cs="Times New Roman"/>
                <w:sz w:val="24"/>
              </w:rPr>
              <w:t xml:space="preserve">В </w:t>
            </w:r>
          </w:p>
        </w:tc>
        <w:tc>
          <w:tcPr>
            <w:tcW w:w="425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73"/>
              <w:jc w:val="center"/>
            </w:pPr>
            <w:r>
              <w:rPr>
                <w:rFonts w:ascii="Times New Roman" w:eastAsia="Times New Roman" w:hAnsi="Times New Roman" w:cs="Times New Roman"/>
                <w:sz w:val="24"/>
              </w:rPr>
              <w:t xml:space="preserve">Номинальное входное напряжение </w:t>
            </w:r>
          </w:p>
        </w:tc>
      </w:tr>
      <w:tr w:rsidR="0052701D">
        <w:trPr>
          <w:trHeight w:val="288"/>
        </w:trPr>
        <w:tc>
          <w:tcPr>
            <w:tcW w:w="139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3"/>
              <w:jc w:val="center"/>
            </w:pPr>
            <w:r>
              <w:rPr>
                <w:rFonts w:ascii="Times New Roman" w:eastAsia="Times New Roman" w:hAnsi="Times New Roman" w:cs="Times New Roman"/>
                <w:i/>
                <w:sz w:val="24"/>
              </w:rPr>
              <w:t xml:space="preserve">U </w:t>
            </w:r>
            <w:r>
              <w:rPr>
                <w:rFonts w:ascii="Times New Roman" w:eastAsia="Times New Roman" w:hAnsi="Times New Roman" w:cs="Times New Roman"/>
                <w:i/>
                <w:sz w:val="24"/>
                <w:vertAlign w:val="subscript"/>
              </w:rPr>
              <w:t>0</w:t>
            </w:r>
            <w:r>
              <w:rPr>
                <w:rFonts w:ascii="Times New Roman" w:eastAsia="Times New Roman" w:hAnsi="Times New Roman" w:cs="Times New Roman"/>
                <w:i/>
                <w:sz w:val="24"/>
              </w:rPr>
              <w:t xml:space="preserve"> </w:t>
            </w:r>
          </w:p>
        </w:tc>
        <w:tc>
          <w:tcPr>
            <w:tcW w:w="133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70"/>
              <w:jc w:val="center"/>
            </w:pPr>
            <w:r>
              <w:rPr>
                <w:rFonts w:ascii="Times New Roman" w:eastAsia="Times New Roman" w:hAnsi="Times New Roman" w:cs="Times New Roman"/>
                <w:sz w:val="24"/>
              </w:rPr>
              <w:t xml:space="preserve">12 </w:t>
            </w:r>
          </w:p>
        </w:tc>
        <w:tc>
          <w:tcPr>
            <w:tcW w:w="181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8"/>
              <w:jc w:val="center"/>
            </w:pPr>
            <w:r>
              <w:rPr>
                <w:rFonts w:ascii="Times New Roman" w:eastAsia="Times New Roman" w:hAnsi="Times New Roman" w:cs="Times New Roman"/>
                <w:sz w:val="24"/>
              </w:rPr>
              <w:t xml:space="preserve">В </w:t>
            </w:r>
          </w:p>
        </w:tc>
        <w:tc>
          <w:tcPr>
            <w:tcW w:w="425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7"/>
              <w:jc w:val="center"/>
            </w:pPr>
            <w:r>
              <w:rPr>
                <w:rFonts w:ascii="Times New Roman" w:eastAsia="Times New Roman" w:hAnsi="Times New Roman" w:cs="Times New Roman"/>
                <w:sz w:val="24"/>
              </w:rPr>
              <w:t xml:space="preserve">Выходное напряжение </w:t>
            </w:r>
          </w:p>
        </w:tc>
      </w:tr>
      <w:tr w:rsidR="0052701D">
        <w:trPr>
          <w:trHeight w:val="283"/>
        </w:trPr>
        <w:tc>
          <w:tcPr>
            <w:tcW w:w="139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8"/>
              <w:jc w:val="center"/>
            </w:pPr>
            <w:r>
              <w:rPr>
                <w:rFonts w:ascii="Times New Roman" w:eastAsia="Times New Roman" w:hAnsi="Times New Roman" w:cs="Times New Roman"/>
                <w:i/>
                <w:sz w:val="24"/>
              </w:rPr>
              <w:t xml:space="preserve">I </w:t>
            </w:r>
            <w:r>
              <w:rPr>
                <w:rFonts w:ascii="Times New Roman" w:eastAsia="Times New Roman" w:hAnsi="Times New Roman" w:cs="Times New Roman"/>
                <w:i/>
                <w:sz w:val="24"/>
                <w:vertAlign w:val="subscript"/>
              </w:rPr>
              <w:t>0</w:t>
            </w:r>
            <w:r>
              <w:rPr>
                <w:rFonts w:ascii="Times New Roman" w:eastAsia="Times New Roman" w:hAnsi="Times New Roman" w:cs="Times New Roman"/>
                <w:i/>
                <w:sz w:val="24"/>
              </w:rPr>
              <w:t xml:space="preserve"> </w:t>
            </w:r>
          </w:p>
        </w:tc>
        <w:tc>
          <w:tcPr>
            <w:tcW w:w="133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70"/>
              <w:jc w:val="center"/>
            </w:pPr>
            <w:r>
              <w:rPr>
                <w:rFonts w:ascii="Times New Roman" w:eastAsia="Times New Roman" w:hAnsi="Times New Roman" w:cs="Times New Roman"/>
                <w:sz w:val="24"/>
              </w:rPr>
              <w:t xml:space="preserve">25 </w:t>
            </w:r>
          </w:p>
        </w:tc>
        <w:tc>
          <w:tcPr>
            <w:tcW w:w="181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4"/>
              <w:jc w:val="center"/>
            </w:pPr>
            <w:r>
              <w:rPr>
                <w:rFonts w:ascii="Times New Roman" w:eastAsia="Times New Roman" w:hAnsi="Times New Roman" w:cs="Times New Roman"/>
                <w:sz w:val="24"/>
              </w:rPr>
              <w:t xml:space="preserve">А </w:t>
            </w:r>
          </w:p>
        </w:tc>
        <w:tc>
          <w:tcPr>
            <w:tcW w:w="425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71"/>
              <w:jc w:val="center"/>
            </w:pPr>
            <w:r>
              <w:rPr>
                <w:rFonts w:ascii="Times New Roman" w:eastAsia="Times New Roman" w:hAnsi="Times New Roman" w:cs="Times New Roman"/>
                <w:sz w:val="24"/>
              </w:rPr>
              <w:t xml:space="preserve">Выходной ток </w:t>
            </w:r>
          </w:p>
        </w:tc>
      </w:tr>
      <w:tr w:rsidR="0052701D">
        <w:trPr>
          <w:trHeight w:val="288"/>
        </w:trPr>
        <w:tc>
          <w:tcPr>
            <w:tcW w:w="139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3"/>
              <w:jc w:val="center"/>
            </w:pPr>
            <w:r>
              <w:rPr>
                <w:rFonts w:ascii="Times New Roman" w:eastAsia="Times New Roman" w:hAnsi="Times New Roman" w:cs="Times New Roman"/>
                <w:i/>
                <w:sz w:val="24"/>
              </w:rPr>
              <w:t xml:space="preserve">P </w:t>
            </w:r>
            <w:r>
              <w:rPr>
                <w:rFonts w:ascii="Times New Roman" w:eastAsia="Times New Roman" w:hAnsi="Times New Roman" w:cs="Times New Roman"/>
                <w:i/>
                <w:sz w:val="24"/>
                <w:vertAlign w:val="subscript"/>
              </w:rPr>
              <w:t>0</w:t>
            </w:r>
            <w:r>
              <w:rPr>
                <w:rFonts w:ascii="Times New Roman" w:eastAsia="Times New Roman" w:hAnsi="Times New Roman" w:cs="Times New Roman"/>
                <w:i/>
                <w:sz w:val="24"/>
              </w:rPr>
              <w:t xml:space="preserve"> </w:t>
            </w:r>
          </w:p>
        </w:tc>
        <w:tc>
          <w:tcPr>
            <w:tcW w:w="133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5"/>
              <w:jc w:val="center"/>
            </w:pPr>
            <w:r>
              <w:rPr>
                <w:rFonts w:ascii="Times New Roman" w:eastAsia="Times New Roman" w:hAnsi="Times New Roman" w:cs="Times New Roman"/>
                <w:sz w:val="24"/>
              </w:rPr>
              <w:t xml:space="preserve">300 </w:t>
            </w:r>
          </w:p>
        </w:tc>
        <w:tc>
          <w:tcPr>
            <w:tcW w:w="181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1"/>
              <w:jc w:val="center"/>
            </w:pPr>
            <w:r>
              <w:rPr>
                <w:rFonts w:ascii="Times New Roman" w:eastAsia="Times New Roman" w:hAnsi="Times New Roman" w:cs="Times New Roman"/>
                <w:sz w:val="24"/>
              </w:rPr>
              <w:t xml:space="preserve">Вт </w:t>
            </w:r>
          </w:p>
        </w:tc>
        <w:tc>
          <w:tcPr>
            <w:tcW w:w="425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9"/>
              <w:jc w:val="center"/>
            </w:pPr>
            <w:r>
              <w:rPr>
                <w:rFonts w:ascii="Times New Roman" w:eastAsia="Times New Roman" w:hAnsi="Times New Roman" w:cs="Times New Roman"/>
                <w:sz w:val="24"/>
              </w:rPr>
              <w:t xml:space="preserve">Выходная мощность </w:t>
            </w:r>
          </w:p>
        </w:tc>
      </w:tr>
      <w:tr w:rsidR="0052701D">
        <w:trPr>
          <w:trHeight w:val="283"/>
        </w:trPr>
        <w:tc>
          <w:tcPr>
            <w:tcW w:w="139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6"/>
              <w:jc w:val="center"/>
            </w:pPr>
            <w:r>
              <w:rPr>
                <w:rFonts w:ascii="Times New Roman" w:eastAsia="Times New Roman" w:hAnsi="Times New Roman" w:cs="Times New Roman"/>
                <w:i/>
                <w:sz w:val="24"/>
              </w:rPr>
              <w:t xml:space="preserve">η </w:t>
            </w:r>
          </w:p>
        </w:tc>
        <w:tc>
          <w:tcPr>
            <w:tcW w:w="133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1"/>
              <w:jc w:val="center"/>
            </w:pPr>
            <w:r>
              <w:rPr>
                <w:rFonts w:ascii="Times New Roman" w:eastAsia="Times New Roman" w:hAnsi="Times New Roman" w:cs="Times New Roman"/>
                <w:sz w:val="24"/>
              </w:rPr>
              <w:t xml:space="preserve">0,96 </w:t>
            </w:r>
          </w:p>
        </w:tc>
        <w:tc>
          <w:tcPr>
            <w:tcW w:w="181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4"/>
              <w:jc w:val="center"/>
            </w:pPr>
            <w:r>
              <w:rPr>
                <w:rFonts w:ascii="Times New Roman" w:eastAsia="Times New Roman" w:hAnsi="Times New Roman" w:cs="Times New Roman"/>
                <w:sz w:val="24"/>
              </w:rPr>
              <w:t xml:space="preserve"> </w:t>
            </w:r>
          </w:p>
        </w:tc>
        <w:tc>
          <w:tcPr>
            <w:tcW w:w="425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78"/>
              <w:jc w:val="center"/>
            </w:pPr>
            <w:r>
              <w:rPr>
                <w:rFonts w:ascii="Times New Roman" w:eastAsia="Times New Roman" w:hAnsi="Times New Roman" w:cs="Times New Roman"/>
                <w:sz w:val="24"/>
              </w:rPr>
              <w:t xml:space="preserve">КПД </w:t>
            </w:r>
          </w:p>
        </w:tc>
      </w:tr>
      <w:tr w:rsidR="0052701D">
        <w:trPr>
          <w:trHeight w:val="288"/>
        </w:trPr>
        <w:tc>
          <w:tcPr>
            <w:tcW w:w="139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1"/>
              <w:jc w:val="center"/>
            </w:pPr>
            <w:r>
              <w:rPr>
                <w:rFonts w:ascii="Times New Roman" w:eastAsia="Times New Roman" w:hAnsi="Times New Roman" w:cs="Times New Roman"/>
                <w:i/>
                <w:sz w:val="24"/>
              </w:rPr>
              <w:t xml:space="preserve">F </w:t>
            </w:r>
            <w:r>
              <w:rPr>
                <w:rFonts w:ascii="Times New Roman" w:eastAsia="Times New Roman" w:hAnsi="Times New Roman" w:cs="Times New Roman"/>
                <w:i/>
                <w:sz w:val="24"/>
                <w:vertAlign w:val="subscript"/>
              </w:rPr>
              <w:t>r</w:t>
            </w:r>
            <w:r>
              <w:rPr>
                <w:rFonts w:ascii="Times New Roman" w:eastAsia="Times New Roman" w:hAnsi="Times New Roman" w:cs="Times New Roman"/>
                <w:i/>
                <w:sz w:val="24"/>
              </w:rPr>
              <w:t xml:space="preserve"> </w:t>
            </w:r>
          </w:p>
        </w:tc>
        <w:tc>
          <w:tcPr>
            <w:tcW w:w="133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70"/>
              <w:jc w:val="center"/>
            </w:pPr>
            <w:r>
              <w:rPr>
                <w:rFonts w:ascii="Times New Roman" w:eastAsia="Times New Roman" w:hAnsi="Times New Roman" w:cs="Times New Roman"/>
                <w:sz w:val="24"/>
              </w:rPr>
              <w:t xml:space="preserve">85 </w:t>
            </w:r>
          </w:p>
        </w:tc>
        <w:tc>
          <w:tcPr>
            <w:tcW w:w="181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7"/>
              <w:jc w:val="center"/>
            </w:pPr>
            <w:r>
              <w:rPr>
                <w:rFonts w:ascii="Times New Roman" w:eastAsia="Times New Roman" w:hAnsi="Times New Roman" w:cs="Times New Roman"/>
                <w:sz w:val="24"/>
              </w:rPr>
              <w:t xml:space="preserve">кГц </w:t>
            </w:r>
          </w:p>
        </w:tc>
        <w:tc>
          <w:tcPr>
            <w:tcW w:w="425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7"/>
              <w:jc w:val="center"/>
            </w:pPr>
            <w:r>
              <w:rPr>
                <w:rFonts w:ascii="Times New Roman" w:eastAsia="Times New Roman" w:hAnsi="Times New Roman" w:cs="Times New Roman"/>
                <w:sz w:val="24"/>
              </w:rPr>
              <w:t xml:space="preserve">Резонансная частота </w:t>
            </w:r>
          </w:p>
        </w:tc>
      </w:tr>
      <w:tr w:rsidR="0052701D">
        <w:trPr>
          <w:trHeight w:val="288"/>
        </w:trPr>
        <w:tc>
          <w:tcPr>
            <w:tcW w:w="139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3"/>
              <w:jc w:val="center"/>
            </w:pPr>
            <w:r>
              <w:rPr>
                <w:rFonts w:ascii="Times New Roman" w:eastAsia="Times New Roman" w:hAnsi="Times New Roman" w:cs="Times New Roman"/>
                <w:i/>
                <w:sz w:val="24"/>
              </w:rPr>
              <w:t xml:space="preserve">T </w:t>
            </w:r>
            <w:r>
              <w:rPr>
                <w:rFonts w:ascii="Times New Roman" w:eastAsia="Times New Roman" w:hAnsi="Times New Roman" w:cs="Times New Roman"/>
                <w:i/>
                <w:sz w:val="24"/>
                <w:vertAlign w:val="subscript"/>
              </w:rPr>
              <w:t>h</w:t>
            </w:r>
            <w:r>
              <w:rPr>
                <w:rFonts w:ascii="Times New Roman" w:eastAsia="Times New Roman" w:hAnsi="Times New Roman" w:cs="Times New Roman"/>
                <w:i/>
                <w:sz w:val="24"/>
              </w:rPr>
              <w:t xml:space="preserve"> </w:t>
            </w:r>
          </w:p>
        </w:tc>
        <w:tc>
          <w:tcPr>
            <w:tcW w:w="133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70"/>
              <w:jc w:val="center"/>
            </w:pPr>
            <w:r>
              <w:rPr>
                <w:rFonts w:ascii="Times New Roman" w:eastAsia="Times New Roman" w:hAnsi="Times New Roman" w:cs="Times New Roman"/>
                <w:sz w:val="24"/>
              </w:rPr>
              <w:t xml:space="preserve">20 </w:t>
            </w:r>
          </w:p>
        </w:tc>
        <w:tc>
          <w:tcPr>
            <w:tcW w:w="181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4"/>
              <w:jc w:val="center"/>
            </w:pPr>
            <w:r>
              <w:rPr>
                <w:rFonts w:ascii="Times New Roman" w:eastAsia="Times New Roman" w:hAnsi="Times New Roman" w:cs="Times New Roman"/>
                <w:sz w:val="24"/>
              </w:rPr>
              <w:t xml:space="preserve">мсек </w:t>
            </w:r>
          </w:p>
        </w:tc>
        <w:tc>
          <w:tcPr>
            <w:tcW w:w="425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78"/>
              <w:jc w:val="center"/>
            </w:pPr>
            <w:r>
              <w:rPr>
                <w:rFonts w:ascii="Times New Roman" w:eastAsia="Times New Roman" w:hAnsi="Times New Roman" w:cs="Times New Roman"/>
                <w:sz w:val="24"/>
              </w:rPr>
              <w:t xml:space="preserve">Время задержки </w:t>
            </w:r>
          </w:p>
        </w:tc>
      </w:tr>
      <w:tr w:rsidR="0052701D">
        <w:trPr>
          <w:trHeight w:val="283"/>
        </w:trPr>
        <w:tc>
          <w:tcPr>
            <w:tcW w:w="139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3"/>
              <w:jc w:val="center"/>
            </w:pPr>
            <w:r>
              <w:rPr>
                <w:rFonts w:ascii="Times New Roman" w:eastAsia="Times New Roman" w:hAnsi="Times New Roman" w:cs="Times New Roman"/>
                <w:i/>
                <w:sz w:val="24"/>
              </w:rPr>
              <w:t xml:space="preserve">C </w:t>
            </w:r>
            <w:r>
              <w:rPr>
                <w:rFonts w:ascii="Times New Roman" w:eastAsia="Times New Roman" w:hAnsi="Times New Roman" w:cs="Times New Roman"/>
                <w:i/>
                <w:sz w:val="24"/>
                <w:vertAlign w:val="subscript"/>
              </w:rPr>
              <w:t>in</w:t>
            </w:r>
            <w:r>
              <w:rPr>
                <w:rFonts w:ascii="Times New Roman" w:eastAsia="Times New Roman" w:hAnsi="Times New Roman" w:cs="Times New Roman"/>
                <w:i/>
                <w:sz w:val="24"/>
              </w:rPr>
              <w:t xml:space="preserve"> </w:t>
            </w:r>
          </w:p>
        </w:tc>
        <w:tc>
          <w:tcPr>
            <w:tcW w:w="133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5"/>
              <w:jc w:val="center"/>
            </w:pPr>
            <w:r>
              <w:rPr>
                <w:rFonts w:ascii="Times New Roman" w:eastAsia="Times New Roman" w:hAnsi="Times New Roman" w:cs="Times New Roman"/>
                <w:sz w:val="24"/>
              </w:rPr>
              <w:t xml:space="preserve">270 </w:t>
            </w:r>
          </w:p>
        </w:tc>
        <w:tc>
          <w:tcPr>
            <w:tcW w:w="181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8"/>
              <w:jc w:val="center"/>
            </w:pPr>
            <w:r>
              <w:rPr>
                <w:rFonts w:ascii="Times New Roman" w:eastAsia="Times New Roman" w:hAnsi="Times New Roman" w:cs="Times New Roman"/>
                <w:sz w:val="24"/>
              </w:rPr>
              <w:t xml:space="preserve">мкФ </w:t>
            </w:r>
          </w:p>
        </w:tc>
        <w:tc>
          <w:tcPr>
            <w:tcW w:w="425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73"/>
              <w:jc w:val="center"/>
            </w:pPr>
            <w:r>
              <w:rPr>
                <w:rFonts w:ascii="Times New Roman" w:eastAsia="Times New Roman" w:hAnsi="Times New Roman" w:cs="Times New Roman"/>
                <w:sz w:val="24"/>
              </w:rPr>
              <w:t xml:space="preserve">Емкость входного конденсатора </w:t>
            </w:r>
          </w:p>
        </w:tc>
      </w:tr>
    </w:tbl>
    <w:p w:rsidR="0052701D" w:rsidRDefault="00D40929">
      <w:pPr>
        <w:spacing w:after="0"/>
        <w:ind w:left="994"/>
      </w:pPr>
      <w:r>
        <w:rPr>
          <w:rFonts w:ascii="Times New Roman" w:eastAsia="Times New Roman" w:hAnsi="Times New Roman" w:cs="Times New Roman"/>
          <w:sz w:val="28"/>
        </w:rPr>
        <w:t xml:space="preserve"> </w:t>
      </w:r>
    </w:p>
    <w:p w:rsidR="0052701D" w:rsidRDefault="00D40929">
      <w:pPr>
        <w:spacing w:after="5" w:line="271" w:lineRule="auto"/>
        <w:ind w:left="283" w:right="64" w:firstLine="711"/>
        <w:jc w:val="both"/>
      </w:pPr>
      <w:r>
        <w:rPr>
          <w:rFonts w:ascii="Times New Roman" w:eastAsia="Times New Roman" w:hAnsi="Times New Roman" w:cs="Times New Roman"/>
          <w:sz w:val="28"/>
        </w:rPr>
        <w:t xml:space="preserve">Максимальная потребляемая входная мощность рассчитывается по формуле 1: </w:t>
      </w:r>
    </w:p>
    <w:p w:rsidR="0052701D" w:rsidRDefault="00D40929">
      <w:pPr>
        <w:spacing w:after="82" w:line="219" w:lineRule="auto"/>
        <w:ind w:left="994" w:right="3979" w:firstLine="2949"/>
        <w:jc w:val="both"/>
      </w:pPr>
      <w:r>
        <w:rPr>
          <w:noProof/>
        </w:rPr>
        <w:drawing>
          <wp:inline distT="0" distB="0" distL="0" distR="0">
            <wp:extent cx="1024128" cy="313944"/>
            <wp:effectExtent l="0" t="0" r="0" b="0"/>
            <wp:docPr id="1048725" name="Picture 1048725"/>
            <wp:cNvGraphicFramePr/>
            <a:graphic xmlns:a="http://schemas.openxmlformats.org/drawingml/2006/main">
              <a:graphicData uri="http://schemas.openxmlformats.org/drawingml/2006/picture">
                <pic:pic xmlns:pic="http://schemas.openxmlformats.org/drawingml/2006/picture">
                  <pic:nvPicPr>
                    <pic:cNvPr id="1048725" name="Picture 1048725"/>
                    <pic:cNvPicPr/>
                  </pic:nvPicPr>
                  <pic:blipFill>
                    <a:blip r:embed="rId546"/>
                    <a:stretch>
                      <a:fillRect/>
                    </a:stretch>
                  </pic:blipFill>
                  <pic:spPr>
                    <a:xfrm>
                      <a:off x="0" y="0"/>
                      <a:ext cx="1024128" cy="313944"/>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5" w:line="271" w:lineRule="auto"/>
        <w:ind w:left="283" w:right="64"/>
        <w:jc w:val="both"/>
      </w:pPr>
      <w:r>
        <w:rPr>
          <w:rFonts w:ascii="Times New Roman" w:eastAsia="Times New Roman" w:hAnsi="Times New Roman" w:cs="Times New Roman"/>
          <w:sz w:val="28"/>
        </w:rPr>
        <w:lastRenderedPageBreak/>
        <w:t xml:space="preserve">где </w:t>
      </w:r>
      <w:r>
        <w:rPr>
          <w:rFonts w:ascii="Times New Roman" w:eastAsia="Times New Roman" w:hAnsi="Times New Roman" w:cs="Times New Roman"/>
          <w:i/>
          <w:sz w:val="28"/>
        </w:rPr>
        <w:t xml:space="preserve">U </w:t>
      </w:r>
      <w:r>
        <w:rPr>
          <w:rFonts w:ascii="Times New Roman" w:eastAsia="Times New Roman" w:hAnsi="Times New Roman" w:cs="Times New Roman"/>
          <w:i/>
          <w:sz w:val="28"/>
          <w:vertAlign w:val="subscript"/>
        </w:rPr>
        <w:t>O</w:t>
      </w:r>
      <w:r>
        <w:rPr>
          <w:rFonts w:ascii="Times New Roman" w:eastAsia="Times New Roman" w:hAnsi="Times New Roman" w:cs="Times New Roman"/>
          <w:sz w:val="28"/>
        </w:rPr>
        <w:t xml:space="preserve"> – выходное напряжение, В; </w:t>
      </w:r>
      <w:r>
        <w:rPr>
          <w:rFonts w:ascii="Times New Roman" w:eastAsia="Times New Roman" w:hAnsi="Times New Roman" w:cs="Times New Roman"/>
          <w:i/>
          <w:sz w:val="28"/>
        </w:rPr>
        <w:t xml:space="preserve">I </w:t>
      </w:r>
      <w:r>
        <w:rPr>
          <w:rFonts w:ascii="Times New Roman" w:eastAsia="Times New Roman" w:hAnsi="Times New Roman" w:cs="Times New Roman"/>
          <w:i/>
          <w:sz w:val="28"/>
          <w:vertAlign w:val="subscript"/>
        </w:rPr>
        <w:t>O</w:t>
      </w:r>
      <w:r>
        <w:rPr>
          <w:rFonts w:ascii="Times New Roman" w:eastAsia="Times New Roman" w:hAnsi="Times New Roman" w:cs="Times New Roman"/>
          <w:sz w:val="28"/>
        </w:rPr>
        <w:t xml:space="preserve"> –выходной ток, А; </w:t>
      </w:r>
      <w:r>
        <w:rPr>
          <w:rFonts w:ascii="Times New Roman" w:eastAsia="Times New Roman" w:hAnsi="Times New Roman" w:cs="Times New Roman"/>
          <w:i/>
          <w:sz w:val="28"/>
        </w:rPr>
        <w:t>η</w:t>
      </w:r>
      <w:r>
        <w:rPr>
          <w:rFonts w:ascii="Times New Roman" w:eastAsia="Times New Roman" w:hAnsi="Times New Roman" w:cs="Times New Roman"/>
          <w:sz w:val="28"/>
        </w:rPr>
        <w:t xml:space="preserve"> – коэффициент полезного действия. </w:t>
      </w:r>
    </w:p>
    <w:p w:rsidR="0052701D" w:rsidRDefault="00D40929">
      <w:pPr>
        <w:spacing w:after="0"/>
        <w:ind w:left="3264"/>
      </w:pPr>
      <w:r>
        <w:rPr>
          <w:noProof/>
        </w:rPr>
        <w:drawing>
          <wp:inline distT="0" distB="0" distL="0" distR="0">
            <wp:extent cx="1911096" cy="387096"/>
            <wp:effectExtent l="0" t="0" r="0" b="0"/>
            <wp:docPr id="1048726" name="Picture 1048726"/>
            <wp:cNvGraphicFramePr/>
            <a:graphic xmlns:a="http://schemas.openxmlformats.org/drawingml/2006/main">
              <a:graphicData uri="http://schemas.openxmlformats.org/drawingml/2006/picture">
                <pic:pic xmlns:pic="http://schemas.openxmlformats.org/drawingml/2006/picture">
                  <pic:nvPicPr>
                    <pic:cNvPr id="1048726" name="Picture 1048726"/>
                    <pic:cNvPicPr/>
                  </pic:nvPicPr>
                  <pic:blipFill>
                    <a:blip r:embed="rId547"/>
                    <a:stretch>
                      <a:fillRect/>
                    </a:stretch>
                  </pic:blipFill>
                  <pic:spPr>
                    <a:xfrm>
                      <a:off x="0" y="0"/>
                      <a:ext cx="1911096" cy="387096"/>
                    </a:xfrm>
                    <a:prstGeom prst="rect">
                      <a:avLst/>
                    </a:prstGeom>
                  </pic:spPr>
                </pic:pic>
              </a:graphicData>
            </a:graphic>
          </wp:inline>
        </w:drawing>
      </w:r>
    </w:p>
    <w:p w:rsidR="0052701D" w:rsidRDefault="00D40929">
      <w:pPr>
        <w:spacing w:after="0"/>
        <w:ind w:left="994" w:right="3291"/>
      </w:pPr>
      <w:r>
        <w:rPr>
          <w:rFonts w:ascii="Times New Roman" w:eastAsia="Times New Roman" w:hAnsi="Times New Roman" w:cs="Times New Roman"/>
          <w:sz w:val="28"/>
        </w:rPr>
        <w:t xml:space="preserve"> </w:t>
      </w:r>
    </w:p>
    <w:p w:rsidR="0052701D" w:rsidRDefault="00D40929">
      <w:pPr>
        <w:spacing w:after="5" w:line="271" w:lineRule="auto"/>
        <w:ind w:left="283" w:right="64" w:firstLine="711"/>
        <w:jc w:val="both"/>
      </w:pPr>
      <w:r>
        <w:rPr>
          <w:rFonts w:ascii="Times New Roman" w:eastAsia="Times New Roman" w:hAnsi="Times New Roman" w:cs="Times New Roman"/>
          <w:sz w:val="28"/>
        </w:rPr>
        <w:t xml:space="preserve">Минимальное входное напряжение при временной задержке в 20 мсек определяется по формуле 2: </w:t>
      </w:r>
    </w:p>
    <w:p w:rsidR="0052701D" w:rsidRDefault="00D40929">
      <w:pPr>
        <w:spacing w:after="0"/>
        <w:ind w:left="31"/>
        <w:jc w:val="center"/>
      </w:pPr>
      <w:r>
        <w:rPr>
          <w:rFonts w:ascii="Times New Roman" w:eastAsia="Times New Roman" w:hAnsi="Times New Roman" w:cs="Times New Roman"/>
          <w:sz w:val="28"/>
        </w:rPr>
        <w:t xml:space="preserve"> </w:t>
      </w:r>
    </w:p>
    <w:p w:rsidR="0052701D" w:rsidRDefault="00D40929">
      <w:pPr>
        <w:spacing w:after="0"/>
        <w:ind w:right="8"/>
        <w:jc w:val="center"/>
      </w:pPr>
      <w:r>
        <w:rPr>
          <w:noProof/>
        </w:rPr>
        <w:drawing>
          <wp:inline distT="0" distB="0" distL="0" distR="0">
            <wp:extent cx="1865376" cy="399288"/>
            <wp:effectExtent l="0" t="0" r="0" b="0"/>
            <wp:docPr id="1048727" name="Picture 1048727"/>
            <wp:cNvGraphicFramePr/>
            <a:graphic xmlns:a="http://schemas.openxmlformats.org/drawingml/2006/main">
              <a:graphicData uri="http://schemas.openxmlformats.org/drawingml/2006/picture">
                <pic:pic xmlns:pic="http://schemas.openxmlformats.org/drawingml/2006/picture">
                  <pic:nvPicPr>
                    <pic:cNvPr id="1048727" name="Picture 1048727"/>
                    <pic:cNvPicPr/>
                  </pic:nvPicPr>
                  <pic:blipFill>
                    <a:blip r:embed="rId548"/>
                    <a:stretch>
                      <a:fillRect/>
                    </a:stretch>
                  </pic:blipFill>
                  <pic:spPr>
                    <a:xfrm>
                      <a:off x="0" y="0"/>
                      <a:ext cx="1865376" cy="399288"/>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41"/>
        <w:ind w:left="994"/>
      </w:pPr>
      <w:r>
        <w:rPr>
          <w:rFonts w:ascii="Times New Roman" w:eastAsia="Times New Roman" w:hAnsi="Times New Roman" w:cs="Times New Roman"/>
          <w:sz w:val="28"/>
        </w:rPr>
        <w:t xml:space="preserve"> </w:t>
      </w:r>
    </w:p>
    <w:p w:rsidR="0052701D" w:rsidRDefault="00D40929">
      <w:pPr>
        <w:spacing w:after="5" w:line="271" w:lineRule="auto"/>
        <w:ind w:left="283" w:right="64"/>
        <w:jc w:val="both"/>
      </w:pPr>
      <w:r>
        <w:rPr>
          <w:rFonts w:ascii="Times New Roman" w:eastAsia="Times New Roman" w:hAnsi="Times New Roman" w:cs="Times New Roman"/>
          <w:sz w:val="28"/>
        </w:rPr>
        <w:t xml:space="preserve">где </w:t>
      </w:r>
      <w:r>
        <w:rPr>
          <w:rFonts w:ascii="Times New Roman" w:eastAsia="Times New Roman" w:hAnsi="Times New Roman" w:cs="Times New Roman"/>
          <w:i/>
          <w:sz w:val="28"/>
        </w:rPr>
        <w:t>U</w:t>
      </w:r>
      <w:r>
        <w:rPr>
          <w:rFonts w:ascii="Times New Roman" w:eastAsia="Times New Roman" w:hAnsi="Times New Roman" w:cs="Times New Roman"/>
          <w:i/>
          <w:sz w:val="18"/>
        </w:rPr>
        <w:t xml:space="preserve">in_nom </w:t>
      </w:r>
      <w:r>
        <w:rPr>
          <w:rFonts w:ascii="Times New Roman" w:eastAsia="Times New Roman" w:hAnsi="Times New Roman" w:cs="Times New Roman"/>
          <w:i/>
          <w:sz w:val="28"/>
        </w:rPr>
        <w:t xml:space="preserve">– </w:t>
      </w:r>
      <w:r>
        <w:rPr>
          <w:rFonts w:ascii="Times New Roman" w:eastAsia="Times New Roman" w:hAnsi="Times New Roman" w:cs="Times New Roman"/>
          <w:sz w:val="28"/>
        </w:rPr>
        <w:t xml:space="preserve">номинальное входное напряжение, В; </w:t>
      </w:r>
      <w:r>
        <w:rPr>
          <w:rFonts w:ascii="Times New Roman" w:eastAsia="Times New Roman" w:hAnsi="Times New Roman" w:cs="Times New Roman"/>
          <w:i/>
          <w:sz w:val="28"/>
        </w:rPr>
        <w:t>T</w:t>
      </w:r>
      <w:r>
        <w:rPr>
          <w:rFonts w:ascii="Times New Roman" w:eastAsia="Times New Roman" w:hAnsi="Times New Roman" w:cs="Times New Roman"/>
          <w:i/>
          <w:sz w:val="18"/>
        </w:rPr>
        <w:t xml:space="preserve">h </w:t>
      </w:r>
      <w:r>
        <w:rPr>
          <w:rFonts w:ascii="Times New Roman" w:eastAsia="Times New Roman" w:hAnsi="Times New Roman" w:cs="Times New Roman"/>
          <w:sz w:val="28"/>
        </w:rPr>
        <w:t xml:space="preserve">– время задержки, сек; </w:t>
      </w:r>
      <w:r>
        <w:rPr>
          <w:rFonts w:ascii="Times New Roman" w:eastAsia="Times New Roman" w:hAnsi="Times New Roman" w:cs="Times New Roman"/>
          <w:i/>
          <w:sz w:val="28"/>
        </w:rPr>
        <w:t>C</w:t>
      </w:r>
      <w:r>
        <w:rPr>
          <w:rFonts w:ascii="Times New Roman" w:eastAsia="Times New Roman" w:hAnsi="Times New Roman" w:cs="Times New Roman"/>
          <w:i/>
          <w:sz w:val="28"/>
          <w:vertAlign w:val="subscript"/>
        </w:rPr>
        <w:t xml:space="preserve">in </w:t>
      </w:r>
      <w:r>
        <w:rPr>
          <w:rFonts w:ascii="Times New Roman" w:eastAsia="Times New Roman" w:hAnsi="Times New Roman" w:cs="Times New Roman"/>
          <w:sz w:val="28"/>
        </w:rPr>
        <w:t xml:space="preserve">– входная емкость, Ф. </w:t>
      </w:r>
    </w:p>
    <w:p w:rsidR="0052701D" w:rsidRDefault="00D40929">
      <w:pPr>
        <w:spacing w:after="0"/>
        <w:ind w:left="283"/>
      </w:pPr>
      <w:r>
        <w:rPr>
          <w:rFonts w:ascii="Times New Roman" w:eastAsia="Times New Roman" w:hAnsi="Times New Roman" w:cs="Times New Roman"/>
          <w:sz w:val="28"/>
        </w:rPr>
        <w:t xml:space="preserve"> </w:t>
      </w:r>
    </w:p>
    <w:p w:rsidR="0052701D" w:rsidRDefault="00D40929">
      <w:pPr>
        <w:spacing w:after="0"/>
        <w:ind w:left="2824"/>
      </w:pPr>
      <w:r>
        <w:rPr>
          <w:noProof/>
        </w:rPr>
        <w:drawing>
          <wp:inline distT="0" distB="0" distL="0" distR="0">
            <wp:extent cx="2502408" cy="597408"/>
            <wp:effectExtent l="0" t="0" r="0" b="0"/>
            <wp:docPr id="1048728" name="Picture 1048728"/>
            <wp:cNvGraphicFramePr/>
            <a:graphic xmlns:a="http://schemas.openxmlformats.org/drawingml/2006/main">
              <a:graphicData uri="http://schemas.openxmlformats.org/drawingml/2006/picture">
                <pic:pic xmlns:pic="http://schemas.openxmlformats.org/drawingml/2006/picture">
                  <pic:nvPicPr>
                    <pic:cNvPr id="1048728" name="Picture 1048728"/>
                    <pic:cNvPicPr/>
                  </pic:nvPicPr>
                  <pic:blipFill>
                    <a:blip r:embed="rId549"/>
                    <a:stretch>
                      <a:fillRect/>
                    </a:stretch>
                  </pic:blipFill>
                  <pic:spPr>
                    <a:xfrm>
                      <a:off x="0" y="0"/>
                      <a:ext cx="2502408" cy="597408"/>
                    </a:xfrm>
                    <a:prstGeom prst="rect">
                      <a:avLst/>
                    </a:prstGeom>
                  </pic:spPr>
                </pic:pic>
              </a:graphicData>
            </a:graphic>
          </wp:inline>
        </w:drawing>
      </w:r>
    </w:p>
    <w:p w:rsidR="0052701D" w:rsidRDefault="00D40929">
      <w:pPr>
        <w:spacing w:after="0"/>
        <w:ind w:left="994" w:right="2820"/>
      </w:pPr>
      <w:r>
        <w:rPr>
          <w:rFonts w:ascii="Times New Roman" w:eastAsia="Times New Roman" w:hAnsi="Times New Roman" w:cs="Times New Roman"/>
          <w:sz w:val="28"/>
        </w:rPr>
        <w:t xml:space="preserve"> </w:t>
      </w:r>
    </w:p>
    <w:p w:rsidR="0052701D" w:rsidRDefault="00D40929">
      <w:pPr>
        <w:spacing w:after="5" w:line="271" w:lineRule="auto"/>
        <w:ind w:left="283" w:right="333" w:firstLine="711"/>
        <w:jc w:val="both"/>
      </w:pPr>
      <w:r>
        <w:rPr>
          <w:rFonts w:ascii="Times New Roman" w:eastAsia="Times New Roman" w:hAnsi="Times New Roman" w:cs="Times New Roman"/>
          <w:sz w:val="28"/>
        </w:rPr>
        <w:t xml:space="preserve">Для достижения максимально возможного КПД значение резонансного фактора должно быть как можно большим, так чтобы индуктивность намагничивания </w:t>
      </w:r>
      <w:r>
        <w:rPr>
          <w:rFonts w:ascii="Times New Roman" w:eastAsia="Times New Roman" w:hAnsi="Times New Roman" w:cs="Times New Roman"/>
          <w:i/>
          <w:sz w:val="28"/>
        </w:rPr>
        <w:t>L</w:t>
      </w:r>
      <w:r>
        <w:rPr>
          <w:rFonts w:ascii="Times New Roman" w:eastAsia="Times New Roman" w:hAnsi="Times New Roman" w:cs="Times New Roman"/>
          <w:i/>
          <w:sz w:val="28"/>
          <w:vertAlign w:val="subscript"/>
        </w:rPr>
        <w:t>m</w:t>
      </w:r>
      <w:r>
        <w:rPr>
          <w:rFonts w:ascii="Times New Roman" w:eastAsia="Times New Roman" w:hAnsi="Times New Roman" w:cs="Times New Roman"/>
          <w:sz w:val="28"/>
        </w:rPr>
        <w:t xml:space="preserve"> была большой, а ток намагничивания маленький, в результате потери в сердечнике и проводах трансформатора буду м</w:t>
      </w:r>
      <w:r>
        <w:rPr>
          <w:rFonts w:ascii="Times New Roman" w:eastAsia="Times New Roman" w:hAnsi="Times New Roman" w:cs="Times New Roman"/>
          <w:sz w:val="28"/>
        </w:rPr>
        <w:t xml:space="preserve">алы. Рассчитывается по формуле 3: </w:t>
      </w:r>
    </w:p>
    <w:p w:rsidR="0052701D" w:rsidRDefault="00D40929">
      <w:pPr>
        <w:spacing w:after="0"/>
        <w:ind w:left="31"/>
        <w:jc w:val="center"/>
      </w:pPr>
      <w:r>
        <w:rPr>
          <w:rFonts w:ascii="Times New Roman" w:eastAsia="Times New Roman" w:hAnsi="Times New Roman" w:cs="Times New Roman"/>
          <w:sz w:val="28"/>
        </w:rPr>
        <w:t xml:space="preserve"> </w:t>
      </w:r>
    </w:p>
    <w:p w:rsidR="0052701D" w:rsidRDefault="00D40929">
      <w:pPr>
        <w:spacing w:after="0"/>
        <w:ind w:right="11"/>
        <w:jc w:val="center"/>
      </w:pPr>
      <w:r>
        <w:rPr>
          <w:noProof/>
        </w:rPr>
        <w:drawing>
          <wp:inline distT="0" distB="0" distL="0" distR="0">
            <wp:extent cx="1514856" cy="323088"/>
            <wp:effectExtent l="0" t="0" r="0" b="0"/>
            <wp:docPr id="1048729" name="Picture 1048729"/>
            <wp:cNvGraphicFramePr/>
            <a:graphic xmlns:a="http://schemas.openxmlformats.org/drawingml/2006/main">
              <a:graphicData uri="http://schemas.openxmlformats.org/drawingml/2006/picture">
                <pic:pic xmlns:pic="http://schemas.openxmlformats.org/drawingml/2006/picture">
                  <pic:nvPicPr>
                    <pic:cNvPr id="1048729" name="Picture 1048729"/>
                    <pic:cNvPicPr/>
                  </pic:nvPicPr>
                  <pic:blipFill>
                    <a:blip r:embed="rId550"/>
                    <a:stretch>
                      <a:fillRect/>
                    </a:stretch>
                  </pic:blipFill>
                  <pic:spPr>
                    <a:xfrm>
                      <a:off x="0" y="0"/>
                      <a:ext cx="1514856" cy="323088"/>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0"/>
        <w:ind w:left="994"/>
      </w:pPr>
      <w:r>
        <w:rPr>
          <w:rFonts w:ascii="Times New Roman" w:eastAsia="Times New Roman" w:hAnsi="Times New Roman" w:cs="Times New Roman"/>
          <w:sz w:val="28"/>
        </w:rPr>
        <w:t xml:space="preserve"> </w:t>
      </w:r>
    </w:p>
    <w:p w:rsidR="0052701D" w:rsidRDefault="00D40929">
      <w:pPr>
        <w:spacing w:after="5" w:line="271" w:lineRule="auto"/>
        <w:ind w:left="283" w:right="325" w:firstLine="711"/>
        <w:jc w:val="both"/>
      </w:pPr>
      <w:r>
        <w:rPr>
          <w:rFonts w:ascii="Times New Roman" w:eastAsia="Times New Roman" w:hAnsi="Times New Roman" w:cs="Times New Roman"/>
          <w:sz w:val="28"/>
        </w:rPr>
        <w:t>С другой стороны, ток намагничивания должен быть достаточно большим для разряда емкости сток-</w:t>
      </w:r>
      <w:r>
        <w:rPr>
          <w:rFonts w:ascii="Times New Roman" w:eastAsia="Times New Roman" w:hAnsi="Times New Roman" w:cs="Times New Roman"/>
          <w:sz w:val="28"/>
        </w:rPr>
        <w:t>исток полевого транзистора на первичной стороне в течение процесса переключения, для осуществления метода переключение при нуле напряжения (ZVS), чтобы гарантировать безопасное переключение и уменьшить потери переключения. В данном расчете в качестве старт</w:t>
      </w:r>
      <w:r>
        <w:rPr>
          <w:rFonts w:ascii="Times New Roman" w:eastAsia="Times New Roman" w:hAnsi="Times New Roman" w:cs="Times New Roman"/>
          <w:sz w:val="28"/>
        </w:rPr>
        <w:t xml:space="preserve">ового значения </w:t>
      </w:r>
      <w:r>
        <w:rPr>
          <w:rFonts w:ascii="Times New Roman" w:eastAsia="Times New Roman" w:hAnsi="Times New Roman" w:cs="Times New Roman"/>
          <w:i/>
          <w:sz w:val="28"/>
        </w:rPr>
        <w:t>m</w:t>
      </w:r>
      <w:r>
        <w:rPr>
          <w:rFonts w:ascii="Times New Roman" w:eastAsia="Times New Roman" w:hAnsi="Times New Roman" w:cs="Times New Roman"/>
          <w:sz w:val="28"/>
        </w:rPr>
        <w:t xml:space="preserve"> =5. </w:t>
      </w:r>
    </w:p>
    <w:p w:rsidR="0052701D" w:rsidRDefault="00D40929">
      <w:pPr>
        <w:spacing w:after="5" w:line="271" w:lineRule="auto"/>
        <w:ind w:left="283" w:right="325" w:firstLine="711"/>
        <w:jc w:val="both"/>
      </w:pPr>
      <w:r>
        <w:rPr>
          <w:rFonts w:ascii="Times New Roman" w:eastAsia="Times New Roman" w:hAnsi="Times New Roman" w:cs="Times New Roman"/>
          <w:sz w:val="28"/>
        </w:rPr>
        <w:t xml:space="preserve">Для оптимизации эффективности, чтобы управлять LLC конвертором возле резонансной частоты при номинальном входном напряжении, где коэффициент усиления напряжения </w:t>
      </w:r>
      <w:r>
        <w:rPr>
          <w:rFonts w:ascii="Times New Roman" w:eastAsia="Times New Roman" w:hAnsi="Times New Roman" w:cs="Times New Roman"/>
          <w:i/>
          <w:sz w:val="28"/>
        </w:rPr>
        <w:t xml:space="preserve">M </w:t>
      </w:r>
      <w:r>
        <w:rPr>
          <w:rFonts w:ascii="Times New Roman" w:eastAsia="Times New Roman" w:hAnsi="Times New Roman" w:cs="Times New Roman"/>
          <w:i/>
          <w:sz w:val="18"/>
        </w:rPr>
        <w:t>nom</w:t>
      </w:r>
      <w:r>
        <w:rPr>
          <w:rFonts w:ascii="Times New Roman" w:eastAsia="Times New Roman" w:hAnsi="Times New Roman" w:cs="Times New Roman"/>
          <w:sz w:val="28"/>
        </w:rPr>
        <w:t>=1, при условии, что индуктивность утечки вторичной стороны пренебре</w:t>
      </w:r>
      <w:r>
        <w:rPr>
          <w:rFonts w:ascii="Times New Roman" w:eastAsia="Times New Roman" w:hAnsi="Times New Roman" w:cs="Times New Roman"/>
          <w:sz w:val="28"/>
        </w:rPr>
        <w:t xml:space="preserve">жительно мала из-за использования отдельного резонансного дросселя. Определим минимальное усиление по формуле 4: </w:t>
      </w:r>
    </w:p>
    <w:p w:rsidR="0052701D" w:rsidRDefault="00D40929">
      <w:pPr>
        <w:spacing w:after="0"/>
        <w:ind w:left="31"/>
        <w:jc w:val="center"/>
      </w:pPr>
      <w:r>
        <w:rPr>
          <w:rFonts w:ascii="Times New Roman" w:eastAsia="Times New Roman" w:hAnsi="Times New Roman" w:cs="Times New Roman"/>
          <w:sz w:val="28"/>
        </w:rPr>
        <w:t xml:space="preserve"> </w:t>
      </w:r>
    </w:p>
    <w:p w:rsidR="0052701D" w:rsidRDefault="00D40929">
      <w:pPr>
        <w:spacing w:after="0"/>
        <w:ind w:right="2"/>
        <w:jc w:val="center"/>
      </w:pPr>
      <w:r>
        <w:rPr>
          <w:noProof/>
        </w:rPr>
        <w:drawing>
          <wp:inline distT="0" distB="0" distL="0" distR="0">
            <wp:extent cx="1063752" cy="399288"/>
            <wp:effectExtent l="0" t="0" r="0" b="0"/>
            <wp:docPr id="1048730" name="Picture 1048730"/>
            <wp:cNvGraphicFramePr/>
            <a:graphic xmlns:a="http://schemas.openxmlformats.org/drawingml/2006/main">
              <a:graphicData uri="http://schemas.openxmlformats.org/drawingml/2006/picture">
                <pic:pic xmlns:pic="http://schemas.openxmlformats.org/drawingml/2006/picture">
                  <pic:nvPicPr>
                    <pic:cNvPr id="1048730" name="Picture 1048730"/>
                    <pic:cNvPicPr/>
                  </pic:nvPicPr>
                  <pic:blipFill>
                    <a:blip r:embed="rId551"/>
                    <a:stretch>
                      <a:fillRect/>
                    </a:stretch>
                  </pic:blipFill>
                  <pic:spPr>
                    <a:xfrm>
                      <a:off x="0" y="0"/>
                      <a:ext cx="1063752" cy="399288"/>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0"/>
        <w:ind w:left="994" w:right="4018"/>
      </w:pPr>
      <w:r>
        <w:rPr>
          <w:rFonts w:ascii="Times New Roman" w:eastAsia="Times New Roman" w:hAnsi="Times New Roman" w:cs="Times New Roman"/>
          <w:sz w:val="28"/>
        </w:rPr>
        <w:t xml:space="preserve"> </w:t>
      </w:r>
    </w:p>
    <w:p w:rsidR="0052701D" w:rsidRDefault="00D40929">
      <w:pPr>
        <w:spacing w:after="29" w:line="271" w:lineRule="auto"/>
        <w:ind w:left="283" w:right="333" w:firstLine="711"/>
        <w:jc w:val="both"/>
      </w:pPr>
      <w:r>
        <w:rPr>
          <w:rFonts w:ascii="Times New Roman" w:eastAsia="Times New Roman" w:hAnsi="Times New Roman" w:cs="Times New Roman"/>
          <w:sz w:val="28"/>
        </w:rPr>
        <w:lastRenderedPageBreak/>
        <w:t>Для худшего случая мы должны рассмотреть резонансную цепь и дизайн трансформатора в работе на полной нагрузке при минимальном входном н</w:t>
      </w:r>
      <w:r>
        <w:rPr>
          <w:rFonts w:ascii="Times New Roman" w:eastAsia="Times New Roman" w:hAnsi="Times New Roman" w:cs="Times New Roman"/>
          <w:sz w:val="28"/>
        </w:rPr>
        <w:t xml:space="preserve">апряжении </w:t>
      </w:r>
      <w:r>
        <w:rPr>
          <w:rFonts w:ascii="Times New Roman" w:eastAsia="Times New Roman" w:hAnsi="Times New Roman" w:cs="Times New Roman"/>
          <w:i/>
          <w:sz w:val="28"/>
        </w:rPr>
        <w:t xml:space="preserve">U </w:t>
      </w:r>
      <w:r>
        <w:rPr>
          <w:rFonts w:ascii="Times New Roman" w:eastAsia="Times New Roman" w:hAnsi="Times New Roman" w:cs="Times New Roman"/>
          <w:i/>
          <w:sz w:val="18"/>
        </w:rPr>
        <w:t>in_min</w:t>
      </w:r>
      <w:r>
        <w:rPr>
          <w:rFonts w:ascii="Times New Roman" w:eastAsia="Times New Roman" w:hAnsi="Times New Roman" w:cs="Times New Roman"/>
          <w:sz w:val="28"/>
        </w:rPr>
        <w:t xml:space="preserve">. Максимальное усиление по напряжению при </w:t>
      </w:r>
    </w:p>
    <w:p w:rsidR="0052701D" w:rsidRDefault="00D40929">
      <w:pPr>
        <w:spacing w:after="5" w:line="271" w:lineRule="auto"/>
        <w:ind w:left="283" w:right="64"/>
        <w:jc w:val="both"/>
      </w:pPr>
      <w:r>
        <w:rPr>
          <w:rFonts w:ascii="Times New Roman" w:eastAsia="Times New Roman" w:hAnsi="Times New Roman" w:cs="Times New Roman"/>
          <w:i/>
          <w:sz w:val="28"/>
        </w:rPr>
        <w:t>U</w:t>
      </w:r>
      <w:r>
        <w:rPr>
          <w:rFonts w:ascii="Times New Roman" w:eastAsia="Times New Roman" w:hAnsi="Times New Roman" w:cs="Times New Roman"/>
          <w:i/>
          <w:sz w:val="18"/>
        </w:rPr>
        <w:t xml:space="preserve">in_min </w:t>
      </w:r>
      <w:r>
        <w:rPr>
          <w:rFonts w:ascii="Times New Roman" w:eastAsia="Times New Roman" w:hAnsi="Times New Roman" w:cs="Times New Roman"/>
          <w:sz w:val="28"/>
        </w:rPr>
        <w:t xml:space="preserve">можно рассчитать по формуле 5: </w:t>
      </w:r>
    </w:p>
    <w:p w:rsidR="0052701D" w:rsidRDefault="00D40929">
      <w:pPr>
        <w:spacing w:after="0"/>
        <w:ind w:left="31"/>
        <w:jc w:val="center"/>
      </w:pPr>
      <w:r>
        <w:rPr>
          <w:rFonts w:ascii="Times New Roman" w:eastAsia="Times New Roman" w:hAnsi="Times New Roman" w:cs="Times New Roman"/>
          <w:sz w:val="28"/>
        </w:rPr>
        <w:t xml:space="preserve"> </w:t>
      </w:r>
    </w:p>
    <w:p w:rsidR="0052701D" w:rsidRDefault="00D40929">
      <w:pPr>
        <w:spacing w:after="0"/>
        <w:ind w:right="6"/>
        <w:jc w:val="center"/>
      </w:pPr>
      <w:r>
        <w:rPr>
          <w:noProof/>
        </w:rPr>
        <w:drawing>
          <wp:inline distT="0" distB="0" distL="0" distR="0">
            <wp:extent cx="1517904" cy="335280"/>
            <wp:effectExtent l="0" t="0" r="0" b="0"/>
            <wp:docPr id="1048731" name="Picture 1048731"/>
            <wp:cNvGraphicFramePr/>
            <a:graphic xmlns:a="http://schemas.openxmlformats.org/drawingml/2006/main">
              <a:graphicData uri="http://schemas.openxmlformats.org/drawingml/2006/picture">
                <pic:pic xmlns:pic="http://schemas.openxmlformats.org/drawingml/2006/picture">
                  <pic:nvPicPr>
                    <pic:cNvPr id="1048731" name="Picture 1048731"/>
                    <pic:cNvPicPr/>
                  </pic:nvPicPr>
                  <pic:blipFill>
                    <a:blip r:embed="rId552"/>
                    <a:stretch>
                      <a:fillRect/>
                    </a:stretch>
                  </pic:blipFill>
                  <pic:spPr>
                    <a:xfrm>
                      <a:off x="0" y="0"/>
                      <a:ext cx="1517904" cy="335280"/>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0"/>
        <w:ind w:left="994" w:right="4088"/>
      </w:pPr>
      <w:r>
        <w:rPr>
          <w:rFonts w:ascii="Times New Roman" w:eastAsia="Times New Roman" w:hAnsi="Times New Roman" w:cs="Times New Roman"/>
          <w:sz w:val="28"/>
        </w:rPr>
        <w:t xml:space="preserve"> </w:t>
      </w:r>
    </w:p>
    <w:p w:rsidR="0052701D" w:rsidRDefault="00D40929">
      <w:pPr>
        <w:spacing w:after="7"/>
        <w:ind w:left="4064"/>
      </w:pPr>
      <w:r>
        <w:rPr>
          <w:noProof/>
        </w:rPr>
        <w:drawing>
          <wp:inline distT="0" distB="0" distL="0" distR="0">
            <wp:extent cx="899160" cy="414528"/>
            <wp:effectExtent l="0" t="0" r="0" b="0"/>
            <wp:docPr id="1048732" name="Picture 1048732"/>
            <wp:cNvGraphicFramePr/>
            <a:graphic xmlns:a="http://schemas.openxmlformats.org/drawingml/2006/main">
              <a:graphicData uri="http://schemas.openxmlformats.org/drawingml/2006/picture">
                <pic:pic xmlns:pic="http://schemas.openxmlformats.org/drawingml/2006/picture">
                  <pic:nvPicPr>
                    <pic:cNvPr id="1048732" name="Picture 1048732"/>
                    <pic:cNvPicPr/>
                  </pic:nvPicPr>
                  <pic:blipFill>
                    <a:blip r:embed="rId553"/>
                    <a:stretch>
                      <a:fillRect/>
                    </a:stretch>
                  </pic:blipFill>
                  <pic:spPr>
                    <a:xfrm>
                      <a:off x="0" y="0"/>
                      <a:ext cx="899160" cy="414528"/>
                    </a:xfrm>
                    <a:prstGeom prst="rect">
                      <a:avLst/>
                    </a:prstGeom>
                  </pic:spPr>
                </pic:pic>
              </a:graphicData>
            </a:graphic>
          </wp:inline>
        </w:drawing>
      </w:r>
    </w:p>
    <w:p w:rsidR="0052701D" w:rsidRDefault="00D40929">
      <w:pPr>
        <w:spacing w:after="32"/>
        <w:ind w:left="994"/>
      </w:pPr>
      <w:r>
        <w:rPr>
          <w:rFonts w:ascii="Times New Roman" w:eastAsia="Times New Roman" w:hAnsi="Times New Roman" w:cs="Times New Roman"/>
          <w:sz w:val="28"/>
        </w:rPr>
        <w:t xml:space="preserve"> </w:t>
      </w:r>
    </w:p>
    <w:p w:rsidR="0052701D" w:rsidRDefault="00D40929">
      <w:pPr>
        <w:spacing w:after="5" w:line="271" w:lineRule="auto"/>
        <w:ind w:left="283" w:right="331" w:firstLine="711"/>
        <w:jc w:val="both"/>
      </w:pPr>
      <w:r>
        <w:rPr>
          <w:rFonts w:ascii="Times New Roman" w:eastAsia="Times New Roman" w:hAnsi="Times New Roman" w:cs="Times New Roman"/>
          <w:sz w:val="28"/>
        </w:rPr>
        <w:t xml:space="preserve">Принимая потери напряжения на исток-сток полевого транзистора вторичной стороны равной </w:t>
      </w:r>
      <w:r>
        <w:rPr>
          <w:rFonts w:ascii="Times New Roman" w:eastAsia="Times New Roman" w:hAnsi="Times New Roman" w:cs="Times New Roman"/>
          <w:i/>
          <w:sz w:val="28"/>
        </w:rPr>
        <w:t xml:space="preserve">U </w:t>
      </w:r>
      <w:r>
        <w:rPr>
          <w:rFonts w:ascii="Times New Roman" w:eastAsia="Times New Roman" w:hAnsi="Times New Roman" w:cs="Times New Roman"/>
          <w:i/>
          <w:sz w:val="28"/>
          <w:vertAlign w:val="subscript"/>
        </w:rPr>
        <w:t>f</w:t>
      </w:r>
      <w:r>
        <w:rPr>
          <w:rFonts w:ascii="Times New Roman" w:eastAsia="Times New Roman" w:hAnsi="Times New Roman" w:cs="Times New Roman"/>
          <w:i/>
          <w:sz w:val="28"/>
        </w:rPr>
        <w:t xml:space="preserve"> </w:t>
      </w:r>
      <w:r>
        <w:rPr>
          <w:rFonts w:ascii="Times New Roman" w:eastAsia="Times New Roman" w:hAnsi="Times New Roman" w:cs="Times New Roman"/>
          <w:sz w:val="28"/>
        </w:rPr>
        <w:t xml:space="preserve">=0.1 В, коэффициент трансформации будет рассчитан по формуле 6: </w:t>
      </w:r>
    </w:p>
    <w:p w:rsidR="0052701D" w:rsidRDefault="00D40929">
      <w:pPr>
        <w:spacing w:after="0"/>
        <w:ind w:right="11"/>
        <w:jc w:val="center"/>
      </w:pPr>
      <w:r>
        <w:rPr>
          <w:noProof/>
        </w:rPr>
        <w:drawing>
          <wp:inline distT="0" distB="0" distL="0" distR="0">
            <wp:extent cx="1514856" cy="335280"/>
            <wp:effectExtent l="0" t="0" r="0" b="0"/>
            <wp:docPr id="1048733" name="Picture 1048733"/>
            <wp:cNvGraphicFramePr/>
            <a:graphic xmlns:a="http://schemas.openxmlformats.org/drawingml/2006/main">
              <a:graphicData uri="http://schemas.openxmlformats.org/drawingml/2006/picture">
                <pic:pic xmlns:pic="http://schemas.openxmlformats.org/drawingml/2006/picture">
                  <pic:nvPicPr>
                    <pic:cNvPr id="1048733" name="Picture 1048733"/>
                    <pic:cNvPicPr/>
                  </pic:nvPicPr>
                  <pic:blipFill>
                    <a:blip r:embed="rId554"/>
                    <a:stretch>
                      <a:fillRect/>
                    </a:stretch>
                  </pic:blipFill>
                  <pic:spPr>
                    <a:xfrm>
                      <a:off x="0" y="0"/>
                      <a:ext cx="1514856" cy="335280"/>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0"/>
        <w:ind w:left="994" w:right="2758"/>
      </w:pPr>
      <w:r>
        <w:rPr>
          <w:rFonts w:ascii="Times New Roman" w:eastAsia="Times New Roman" w:hAnsi="Times New Roman" w:cs="Times New Roman"/>
          <w:sz w:val="28"/>
        </w:rPr>
        <w:t xml:space="preserve"> </w:t>
      </w:r>
    </w:p>
    <w:p w:rsidR="0052701D" w:rsidRDefault="00D40929">
      <w:pPr>
        <w:spacing w:after="0"/>
        <w:ind w:left="2744"/>
      </w:pPr>
      <w:r>
        <w:rPr>
          <w:noProof/>
        </w:rPr>
        <w:drawing>
          <wp:inline distT="0" distB="0" distL="0" distR="0">
            <wp:extent cx="2578608" cy="420624"/>
            <wp:effectExtent l="0" t="0" r="0" b="0"/>
            <wp:docPr id="1048734" name="Picture 1048734"/>
            <wp:cNvGraphicFramePr/>
            <a:graphic xmlns:a="http://schemas.openxmlformats.org/drawingml/2006/main">
              <a:graphicData uri="http://schemas.openxmlformats.org/drawingml/2006/picture">
                <pic:pic xmlns:pic="http://schemas.openxmlformats.org/drawingml/2006/picture">
                  <pic:nvPicPr>
                    <pic:cNvPr id="1048734" name="Picture 1048734"/>
                    <pic:cNvPicPr/>
                  </pic:nvPicPr>
                  <pic:blipFill>
                    <a:blip r:embed="rId555"/>
                    <a:stretch>
                      <a:fillRect/>
                    </a:stretch>
                  </pic:blipFill>
                  <pic:spPr>
                    <a:xfrm>
                      <a:off x="0" y="0"/>
                      <a:ext cx="2578608" cy="420624"/>
                    </a:xfrm>
                    <a:prstGeom prst="rect">
                      <a:avLst/>
                    </a:prstGeom>
                  </pic:spPr>
                </pic:pic>
              </a:graphicData>
            </a:graphic>
          </wp:inline>
        </w:drawing>
      </w:r>
    </w:p>
    <w:p w:rsidR="0052701D" w:rsidRDefault="00D40929">
      <w:pPr>
        <w:spacing w:after="28"/>
        <w:ind w:left="994" w:right="2758"/>
      </w:pPr>
      <w:r>
        <w:rPr>
          <w:rFonts w:ascii="Times New Roman" w:eastAsia="Times New Roman" w:hAnsi="Times New Roman" w:cs="Times New Roman"/>
          <w:sz w:val="28"/>
        </w:rPr>
        <w:t xml:space="preserve"> </w:t>
      </w:r>
    </w:p>
    <w:p w:rsidR="0052701D" w:rsidRDefault="00D40929">
      <w:pPr>
        <w:spacing w:after="5" w:line="271" w:lineRule="auto"/>
        <w:ind w:left="994" w:right="64"/>
        <w:jc w:val="both"/>
      </w:pPr>
      <w:r>
        <w:rPr>
          <w:rFonts w:ascii="Times New Roman" w:eastAsia="Times New Roman" w:hAnsi="Times New Roman" w:cs="Times New Roman"/>
          <w:sz w:val="28"/>
        </w:rPr>
        <w:t xml:space="preserve">Эффективное сопротивление нагрузки рассчитывается по формуле 7: </w:t>
      </w:r>
    </w:p>
    <w:p w:rsidR="0052701D" w:rsidRDefault="00D40929">
      <w:pPr>
        <w:spacing w:after="0"/>
        <w:ind w:left="31"/>
        <w:jc w:val="center"/>
      </w:pPr>
      <w:r>
        <w:rPr>
          <w:rFonts w:ascii="Times New Roman" w:eastAsia="Times New Roman" w:hAnsi="Times New Roman" w:cs="Times New Roman"/>
          <w:sz w:val="28"/>
        </w:rPr>
        <w:t xml:space="preserve"> </w:t>
      </w:r>
    </w:p>
    <w:p w:rsidR="0052701D" w:rsidRDefault="00D40929">
      <w:pPr>
        <w:spacing w:after="0"/>
        <w:ind w:right="27"/>
        <w:jc w:val="center"/>
      </w:pPr>
      <w:r>
        <w:rPr>
          <w:noProof/>
        </w:rPr>
        <w:drawing>
          <wp:inline distT="0" distB="0" distL="0" distR="0">
            <wp:extent cx="1542288" cy="313944"/>
            <wp:effectExtent l="0" t="0" r="0" b="0"/>
            <wp:docPr id="1048735" name="Picture 1048735"/>
            <wp:cNvGraphicFramePr/>
            <a:graphic xmlns:a="http://schemas.openxmlformats.org/drawingml/2006/main">
              <a:graphicData uri="http://schemas.openxmlformats.org/drawingml/2006/picture">
                <pic:pic xmlns:pic="http://schemas.openxmlformats.org/drawingml/2006/picture">
                  <pic:nvPicPr>
                    <pic:cNvPr id="1048735" name="Picture 1048735"/>
                    <pic:cNvPicPr/>
                  </pic:nvPicPr>
                  <pic:blipFill>
                    <a:blip r:embed="rId556"/>
                    <a:stretch>
                      <a:fillRect/>
                    </a:stretch>
                  </pic:blipFill>
                  <pic:spPr>
                    <a:xfrm>
                      <a:off x="0" y="0"/>
                      <a:ext cx="1542288" cy="313944"/>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0"/>
        <w:ind w:left="994" w:right="2676"/>
      </w:pPr>
      <w:r>
        <w:rPr>
          <w:rFonts w:ascii="Times New Roman" w:eastAsia="Times New Roman" w:hAnsi="Times New Roman" w:cs="Times New Roman"/>
          <w:sz w:val="28"/>
        </w:rPr>
        <w:t xml:space="preserve"> </w:t>
      </w:r>
    </w:p>
    <w:p w:rsidR="0052701D" w:rsidRDefault="00D40929">
      <w:pPr>
        <w:spacing w:after="0"/>
        <w:ind w:left="2664"/>
      </w:pPr>
      <w:r>
        <w:rPr>
          <w:noProof/>
        </w:rPr>
        <w:drawing>
          <wp:inline distT="0" distB="0" distL="0" distR="0">
            <wp:extent cx="2676144" cy="402336"/>
            <wp:effectExtent l="0" t="0" r="0" b="0"/>
            <wp:docPr id="1048736" name="Picture 1048736"/>
            <wp:cNvGraphicFramePr/>
            <a:graphic xmlns:a="http://schemas.openxmlformats.org/drawingml/2006/main">
              <a:graphicData uri="http://schemas.openxmlformats.org/drawingml/2006/picture">
                <pic:pic xmlns:pic="http://schemas.openxmlformats.org/drawingml/2006/picture">
                  <pic:nvPicPr>
                    <pic:cNvPr id="1048736" name="Picture 1048736"/>
                    <pic:cNvPicPr/>
                  </pic:nvPicPr>
                  <pic:blipFill>
                    <a:blip r:embed="rId557"/>
                    <a:stretch>
                      <a:fillRect/>
                    </a:stretch>
                  </pic:blipFill>
                  <pic:spPr>
                    <a:xfrm>
                      <a:off x="0" y="0"/>
                      <a:ext cx="2676144" cy="402336"/>
                    </a:xfrm>
                    <a:prstGeom prst="rect">
                      <a:avLst/>
                    </a:prstGeom>
                  </pic:spPr>
                </pic:pic>
              </a:graphicData>
            </a:graphic>
          </wp:inline>
        </w:drawing>
      </w:r>
    </w:p>
    <w:p w:rsidR="0052701D" w:rsidRDefault="00D40929">
      <w:pPr>
        <w:spacing w:after="0"/>
        <w:ind w:left="994" w:right="2676"/>
      </w:pPr>
      <w:r>
        <w:rPr>
          <w:rFonts w:ascii="Times New Roman" w:eastAsia="Times New Roman" w:hAnsi="Times New Roman" w:cs="Times New Roman"/>
          <w:sz w:val="28"/>
        </w:rPr>
        <w:t xml:space="preserve"> </w:t>
      </w:r>
    </w:p>
    <w:p w:rsidR="0052701D" w:rsidRDefault="00D40929">
      <w:pPr>
        <w:spacing w:after="28" w:line="218" w:lineRule="auto"/>
        <w:ind w:left="283" w:right="319" w:firstLine="711"/>
        <w:jc w:val="both"/>
      </w:pPr>
      <w:r>
        <w:rPr>
          <w:rFonts w:ascii="Times New Roman" w:eastAsia="Times New Roman" w:hAnsi="Times New Roman" w:cs="Times New Roman"/>
          <w:sz w:val="28"/>
        </w:rPr>
        <w:t xml:space="preserve">Нормализированная частота, определяемая как частное рабочей частоты преобразователя к резонансной частоте по формуле </w:t>
      </w:r>
      <w:r>
        <w:rPr>
          <w:noProof/>
        </w:rPr>
        <w:drawing>
          <wp:inline distT="0" distB="0" distL="0" distR="0">
            <wp:extent cx="499872" cy="316992"/>
            <wp:effectExtent l="0" t="0" r="0" b="0"/>
            <wp:docPr id="1048737" name="Picture 1048737"/>
            <wp:cNvGraphicFramePr/>
            <a:graphic xmlns:a="http://schemas.openxmlformats.org/drawingml/2006/main">
              <a:graphicData uri="http://schemas.openxmlformats.org/drawingml/2006/picture">
                <pic:pic xmlns:pic="http://schemas.openxmlformats.org/drawingml/2006/picture">
                  <pic:nvPicPr>
                    <pic:cNvPr id="1048737" name="Picture 1048737"/>
                    <pic:cNvPicPr/>
                  </pic:nvPicPr>
                  <pic:blipFill>
                    <a:blip r:embed="rId558"/>
                    <a:stretch>
                      <a:fillRect/>
                    </a:stretch>
                  </pic:blipFill>
                  <pic:spPr>
                    <a:xfrm>
                      <a:off x="0" y="0"/>
                      <a:ext cx="499872" cy="316992"/>
                    </a:xfrm>
                    <a:prstGeom prst="rect">
                      <a:avLst/>
                    </a:prstGeom>
                  </pic:spPr>
                </pic:pic>
              </a:graphicData>
            </a:graphic>
          </wp:inline>
        </w:drawing>
      </w:r>
      <w:r>
        <w:rPr>
          <w:rFonts w:ascii="Times New Roman" w:eastAsia="Times New Roman" w:hAnsi="Times New Roman" w:cs="Times New Roman"/>
          <w:sz w:val="28"/>
        </w:rPr>
        <w:t xml:space="preserve">, а добротность LLC преобразователя по формуле 8: </w:t>
      </w:r>
    </w:p>
    <w:p w:rsidR="0052701D" w:rsidRDefault="00D40929">
      <w:pPr>
        <w:spacing w:after="0"/>
        <w:ind w:left="31"/>
        <w:jc w:val="center"/>
      </w:pPr>
      <w:r>
        <w:rPr>
          <w:rFonts w:ascii="Times New Roman" w:eastAsia="Times New Roman" w:hAnsi="Times New Roman" w:cs="Times New Roman"/>
          <w:sz w:val="28"/>
        </w:rPr>
        <w:t xml:space="preserve"> </w:t>
      </w:r>
    </w:p>
    <w:p w:rsidR="0052701D" w:rsidRDefault="00D40929">
      <w:pPr>
        <w:spacing w:after="0"/>
        <w:ind w:left="3"/>
        <w:jc w:val="center"/>
      </w:pPr>
      <w:r>
        <w:rPr>
          <w:noProof/>
        </w:rPr>
        <w:drawing>
          <wp:inline distT="0" distB="0" distL="0" distR="0">
            <wp:extent cx="911352" cy="502920"/>
            <wp:effectExtent l="0" t="0" r="0" b="0"/>
            <wp:docPr id="1048738" name="Picture 1048738"/>
            <wp:cNvGraphicFramePr/>
            <a:graphic xmlns:a="http://schemas.openxmlformats.org/drawingml/2006/main">
              <a:graphicData uri="http://schemas.openxmlformats.org/drawingml/2006/picture">
                <pic:pic xmlns:pic="http://schemas.openxmlformats.org/drawingml/2006/picture">
                  <pic:nvPicPr>
                    <pic:cNvPr id="1048738" name="Picture 1048738"/>
                    <pic:cNvPicPr/>
                  </pic:nvPicPr>
                  <pic:blipFill>
                    <a:blip r:embed="rId559"/>
                    <a:stretch>
                      <a:fillRect/>
                    </a:stretch>
                  </pic:blipFill>
                  <pic:spPr>
                    <a:xfrm>
                      <a:off x="0" y="0"/>
                      <a:ext cx="911352" cy="502920"/>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32"/>
        <w:ind w:left="994" w:right="4133"/>
      </w:pPr>
      <w:r>
        <w:rPr>
          <w:rFonts w:ascii="Times New Roman" w:eastAsia="Times New Roman" w:hAnsi="Times New Roman" w:cs="Times New Roman"/>
          <w:sz w:val="28"/>
        </w:rPr>
        <w:t xml:space="preserve"> </w:t>
      </w:r>
    </w:p>
    <w:p w:rsidR="0052701D" w:rsidRDefault="00D40929">
      <w:pPr>
        <w:spacing w:after="5" w:line="271" w:lineRule="auto"/>
        <w:ind w:left="283" w:right="64"/>
        <w:jc w:val="both"/>
      </w:pPr>
      <w:r>
        <w:rPr>
          <w:rFonts w:ascii="Times New Roman" w:eastAsia="Times New Roman" w:hAnsi="Times New Roman" w:cs="Times New Roman"/>
          <w:sz w:val="28"/>
        </w:rPr>
        <w:t xml:space="preserve">где </w:t>
      </w:r>
      <w:r>
        <w:rPr>
          <w:rFonts w:ascii="Times New Roman" w:eastAsia="Times New Roman" w:hAnsi="Times New Roman" w:cs="Times New Roman"/>
          <w:i/>
          <w:sz w:val="28"/>
        </w:rPr>
        <w:t xml:space="preserve">L </w:t>
      </w:r>
      <w:r>
        <w:rPr>
          <w:rFonts w:ascii="Times New Roman" w:eastAsia="Times New Roman" w:hAnsi="Times New Roman" w:cs="Times New Roman"/>
          <w:i/>
          <w:sz w:val="28"/>
          <w:vertAlign w:val="subscript"/>
        </w:rPr>
        <w:t>r</w:t>
      </w:r>
      <w:r>
        <w:rPr>
          <w:rFonts w:ascii="Times New Roman" w:eastAsia="Times New Roman" w:hAnsi="Times New Roman" w:cs="Times New Roman"/>
          <w:sz w:val="28"/>
        </w:rPr>
        <w:t xml:space="preserve"> – индуктивность резонансного контура; </w:t>
      </w:r>
      <w:r>
        <w:rPr>
          <w:rFonts w:ascii="Times New Roman" w:eastAsia="Times New Roman" w:hAnsi="Times New Roman" w:cs="Times New Roman"/>
          <w:i/>
          <w:sz w:val="28"/>
        </w:rPr>
        <w:t xml:space="preserve">C </w:t>
      </w:r>
      <w:r>
        <w:rPr>
          <w:rFonts w:ascii="Times New Roman" w:eastAsia="Times New Roman" w:hAnsi="Times New Roman" w:cs="Times New Roman"/>
          <w:i/>
          <w:sz w:val="28"/>
          <w:vertAlign w:val="subscript"/>
        </w:rPr>
        <w:t xml:space="preserve">r </w:t>
      </w:r>
      <w:r>
        <w:rPr>
          <w:rFonts w:ascii="Times New Roman" w:eastAsia="Times New Roman" w:hAnsi="Times New Roman" w:cs="Times New Roman"/>
          <w:sz w:val="28"/>
        </w:rPr>
        <w:t xml:space="preserve">емкость резонансного контура; </w:t>
      </w:r>
      <w:r>
        <w:rPr>
          <w:rFonts w:ascii="Times New Roman" w:eastAsia="Times New Roman" w:hAnsi="Times New Roman" w:cs="Times New Roman"/>
          <w:i/>
          <w:sz w:val="28"/>
        </w:rPr>
        <w:t xml:space="preserve">R </w:t>
      </w:r>
      <w:r>
        <w:rPr>
          <w:rFonts w:ascii="Times New Roman" w:eastAsia="Times New Roman" w:hAnsi="Times New Roman" w:cs="Times New Roman"/>
          <w:i/>
          <w:sz w:val="28"/>
          <w:vertAlign w:val="subscript"/>
        </w:rPr>
        <w:t>eff</w:t>
      </w:r>
      <w:r>
        <w:rPr>
          <w:rFonts w:ascii="Times New Roman" w:eastAsia="Times New Roman" w:hAnsi="Times New Roman" w:cs="Times New Roman"/>
          <w:sz w:val="28"/>
        </w:rPr>
        <w:t xml:space="preserve"> - Эффективное сопротивление нагрузки. </w:t>
      </w:r>
    </w:p>
    <w:p w:rsidR="0052701D" w:rsidRDefault="00D40929">
      <w:pPr>
        <w:spacing w:after="5" w:line="271" w:lineRule="auto"/>
        <w:ind w:left="283" w:right="64" w:firstLine="711"/>
        <w:jc w:val="both"/>
      </w:pPr>
      <w:r>
        <w:rPr>
          <w:rFonts w:ascii="Times New Roman" w:eastAsia="Times New Roman" w:hAnsi="Times New Roman" w:cs="Times New Roman"/>
          <w:sz w:val="28"/>
        </w:rPr>
        <w:t xml:space="preserve">Функция коэффициента усиления напряжения преобразователя в зависимости от </w:t>
      </w:r>
      <w:r>
        <w:rPr>
          <w:rFonts w:ascii="Times New Roman" w:eastAsia="Times New Roman" w:hAnsi="Times New Roman" w:cs="Times New Roman"/>
          <w:i/>
          <w:sz w:val="28"/>
        </w:rPr>
        <w:t>F</w:t>
      </w:r>
      <w:r>
        <w:rPr>
          <w:rFonts w:ascii="Times New Roman" w:eastAsia="Times New Roman" w:hAnsi="Times New Roman" w:cs="Times New Roman"/>
          <w:sz w:val="28"/>
        </w:rPr>
        <w:t xml:space="preserve"> и </w:t>
      </w:r>
      <w:r>
        <w:rPr>
          <w:rFonts w:ascii="Times New Roman" w:eastAsia="Times New Roman" w:hAnsi="Times New Roman" w:cs="Times New Roman"/>
          <w:i/>
          <w:sz w:val="28"/>
        </w:rPr>
        <w:t>Q</w:t>
      </w:r>
      <w:r>
        <w:rPr>
          <w:rFonts w:ascii="Times New Roman" w:eastAsia="Times New Roman" w:hAnsi="Times New Roman" w:cs="Times New Roman"/>
          <w:sz w:val="28"/>
        </w:rPr>
        <w:t xml:space="preserve"> рассчитывается по формуле 9: </w:t>
      </w:r>
    </w:p>
    <w:p w:rsidR="0052701D" w:rsidRDefault="00D40929">
      <w:pPr>
        <w:spacing w:after="0"/>
        <w:ind w:left="31"/>
        <w:jc w:val="center"/>
      </w:pPr>
      <w:r>
        <w:rPr>
          <w:rFonts w:ascii="Times New Roman" w:eastAsia="Times New Roman" w:hAnsi="Times New Roman" w:cs="Times New Roman"/>
          <w:sz w:val="28"/>
        </w:rPr>
        <w:t xml:space="preserve"> </w:t>
      </w:r>
    </w:p>
    <w:p w:rsidR="0052701D" w:rsidRDefault="00D40929">
      <w:pPr>
        <w:spacing w:after="0"/>
        <w:ind w:right="4"/>
        <w:jc w:val="center"/>
      </w:pPr>
      <w:r>
        <w:rPr>
          <w:noProof/>
        </w:rPr>
        <w:drawing>
          <wp:inline distT="0" distB="0" distL="0" distR="0">
            <wp:extent cx="2996184" cy="332232"/>
            <wp:effectExtent l="0" t="0" r="0" b="0"/>
            <wp:docPr id="1048739" name="Picture 1048739"/>
            <wp:cNvGraphicFramePr/>
            <a:graphic xmlns:a="http://schemas.openxmlformats.org/drawingml/2006/main">
              <a:graphicData uri="http://schemas.openxmlformats.org/drawingml/2006/picture">
                <pic:pic xmlns:pic="http://schemas.openxmlformats.org/drawingml/2006/picture">
                  <pic:nvPicPr>
                    <pic:cNvPr id="1048739" name="Picture 1048739"/>
                    <pic:cNvPicPr/>
                  </pic:nvPicPr>
                  <pic:blipFill>
                    <a:blip r:embed="rId560"/>
                    <a:stretch>
                      <a:fillRect/>
                    </a:stretch>
                  </pic:blipFill>
                  <pic:spPr>
                    <a:xfrm>
                      <a:off x="0" y="0"/>
                      <a:ext cx="2996184" cy="332232"/>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23"/>
        <w:ind w:left="994" w:right="2500"/>
      </w:pPr>
      <w:r>
        <w:rPr>
          <w:rFonts w:ascii="Times New Roman" w:eastAsia="Times New Roman" w:hAnsi="Times New Roman" w:cs="Times New Roman"/>
          <w:sz w:val="28"/>
        </w:rPr>
        <w:t xml:space="preserve"> </w:t>
      </w:r>
    </w:p>
    <w:p w:rsidR="0052701D" w:rsidRDefault="00D40929">
      <w:pPr>
        <w:spacing w:after="5" w:line="271" w:lineRule="auto"/>
        <w:ind w:left="994" w:right="64"/>
        <w:jc w:val="both"/>
      </w:pPr>
      <w:r>
        <w:rPr>
          <w:rFonts w:ascii="Times New Roman" w:eastAsia="Times New Roman" w:hAnsi="Times New Roman" w:cs="Times New Roman"/>
          <w:sz w:val="28"/>
        </w:rPr>
        <w:t xml:space="preserve">Отсюда функция </w:t>
      </w:r>
      <w:r>
        <w:rPr>
          <w:rFonts w:ascii="Times New Roman" w:eastAsia="Times New Roman" w:hAnsi="Times New Roman" w:cs="Times New Roman"/>
          <w:i/>
          <w:sz w:val="28"/>
        </w:rPr>
        <w:t>G</w:t>
      </w:r>
      <w:r>
        <w:rPr>
          <w:rFonts w:ascii="Times New Roman" w:eastAsia="Times New Roman" w:hAnsi="Times New Roman" w:cs="Times New Roman"/>
          <w:sz w:val="28"/>
        </w:rPr>
        <w:t xml:space="preserve"> в зависимости от </w:t>
      </w:r>
      <w:r>
        <w:rPr>
          <w:rFonts w:ascii="Times New Roman" w:eastAsia="Times New Roman" w:hAnsi="Times New Roman" w:cs="Times New Roman"/>
          <w:i/>
          <w:sz w:val="28"/>
        </w:rPr>
        <w:t>G</w:t>
      </w:r>
      <w:r>
        <w:rPr>
          <w:rFonts w:ascii="Times New Roman" w:eastAsia="Times New Roman" w:hAnsi="Times New Roman" w:cs="Times New Roman"/>
          <w:sz w:val="28"/>
        </w:rPr>
        <w:t xml:space="preserve"> и </w:t>
      </w:r>
      <w:r>
        <w:rPr>
          <w:rFonts w:ascii="Times New Roman" w:eastAsia="Times New Roman" w:hAnsi="Times New Roman" w:cs="Times New Roman"/>
          <w:i/>
          <w:sz w:val="28"/>
        </w:rPr>
        <w:t>F</w:t>
      </w:r>
      <w:r>
        <w:rPr>
          <w:rFonts w:ascii="Times New Roman" w:eastAsia="Times New Roman" w:hAnsi="Times New Roman" w:cs="Times New Roman"/>
          <w:sz w:val="28"/>
        </w:rPr>
        <w:t xml:space="preserve">, формула 10: </w:t>
      </w:r>
    </w:p>
    <w:p w:rsidR="0052701D" w:rsidRDefault="00D40929">
      <w:pPr>
        <w:spacing w:after="0"/>
        <w:ind w:left="31"/>
        <w:jc w:val="center"/>
      </w:pPr>
      <w:r>
        <w:rPr>
          <w:rFonts w:ascii="Times New Roman" w:eastAsia="Times New Roman" w:hAnsi="Times New Roman" w:cs="Times New Roman"/>
          <w:sz w:val="28"/>
        </w:rPr>
        <w:t xml:space="preserve"> </w:t>
      </w:r>
    </w:p>
    <w:p w:rsidR="0052701D" w:rsidRDefault="00D40929">
      <w:pPr>
        <w:spacing w:after="5" w:line="271" w:lineRule="auto"/>
        <w:ind w:left="1864" w:right="64"/>
        <w:jc w:val="both"/>
      </w:pPr>
      <w:r>
        <w:rPr>
          <w:noProof/>
        </w:rPr>
        <w:lastRenderedPageBreak/>
        <w:drawing>
          <wp:inline distT="0" distB="0" distL="0" distR="0">
            <wp:extent cx="3371088" cy="225552"/>
            <wp:effectExtent l="0" t="0" r="0" b="0"/>
            <wp:docPr id="1048740" name="Picture 1048740"/>
            <wp:cNvGraphicFramePr/>
            <a:graphic xmlns:a="http://schemas.openxmlformats.org/drawingml/2006/main">
              <a:graphicData uri="http://schemas.openxmlformats.org/drawingml/2006/picture">
                <pic:pic xmlns:pic="http://schemas.openxmlformats.org/drawingml/2006/picture">
                  <pic:nvPicPr>
                    <pic:cNvPr id="1048740" name="Picture 1048740"/>
                    <pic:cNvPicPr/>
                  </pic:nvPicPr>
                  <pic:blipFill>
                    <a:blip r:embed="rId561"/>
                    <a:stretch>
                      <a:fillRect/>
                    </a:stretch>
                  </pic:blipFill>
                  <pic:spPr>
                    <a:xfrm>
                      <a:off x="0" y="0"/>
                      <a:ext cx="3371088" cy="225552"/>
                    </a:xfrm>
                    <a:prstGeom prst="rect">
                      <a:avLst/>
                    </a:prstGeom>
                  </pic:spPr>
                </pic:pic>
              </a:graphicData>
            </a:graphic>
          </wp:inline>
        </w:drawing>
      </w:r>
      <w:r>
        <w:rPr>
          <w:rFonts w:ascii="Times New Roman" w:eastAsia="Times New Roman" w:hAnsi="Times New Roman" w:cs="Times New Roman"/>
          <w:sz w:val="28"/>
        </w:rPr>
        <w:t xml:space="preserve"> (10) </w:t>
      </w:r>
    </w:p>
    <w:p w:rsidR="0052701D" w:rsidRDefault="00D40929">
      <w:pPr>
        <w:spacing w:after="27"/>
        <w:ind w:left="994" w:right="2473"/>
      </w:pPr>
      <w:r>
        <w:rPr>
          <w:rFonts w:ascii="Times New Roman" w:eastAsia="Times New Roman" w:hAnsi="Times New Roman" w:cs="Times New Roman"/>
          <w:sz w:val="28"/>
        </w:rPr>
        <w:t xml:space="preserve"> </w:t>
      </w:r>
    </w:p>
    <w:p w:rsidR="0052701D" w:rsidRDefault="00D40929">
      <w:pPr>
        <w:spacing w:after="5" w:line="271" w:lineRule="auto"/>
        <w:ind w:left="283" w:right="327" w:firstLine="711"/>
        <w:jc w:val="both"/>
      </w:pPr>
      <w:r>
        <w:rPr>
          <w:rFonts w:ascii="Times New Roman" w:eastAsia="Times New Roman" w:hAnsi="Times New Roman" w:cs="Times New Roman"/>
          <w:sz w:val="28"/>
        </w:rPr>
        <w:t xml:space="preserve">Среди полученных кривых отметим одну которая при </w:t>
      </w:r>
      <w:r>
        <w:rPr>
          <w:rFonts w:ascii="Times New Roman" w:eastAsia="Times New Roman" w:hAnsi="Times New Roman" w:cs="Times New Roman"/>
          <w:i/>
          <w:sz w:val="28"/>
        </w:rPr>
        <w:t>Q</w:t>
      </w:r>
      <w:r>
        <w:rPr>
          <w:rFonts w:ascii="Times New Roman" w:eastAsia="Times New Roman" w:hAnsi="Times New Roman" w:cs="Times New Roman"/>
          <w:sz w:val="28"/>
        </w:rPr>
        <w:t xml:space="preserve">=0.267 может достичь требуемого пикового усиления, которое на 8% выше чем </w:t>
      </w:r>
      <w:r>
        <w:rPr>
          <w:rFonts w:ascii="Times New Roman" w:eastAsia="Times New Roman" w:hAnsi="Times New Roman" w:cs="Times New Roman"/>
          <w:i/>
          <w:sz w:val="28"/>
        </w:rPr>
        <w:t>M</w:t>
      </w:r>
      <w:r>
        <w:rPr>
          <w:rFonts w:ascii="Times New Roman" w:eastAsia="Times New Roman" w:hAnsi="Times New Roman" w:cs="Times New Roman"/>
          <w:i/>
          <w:sz w:val="18"/>
        </w:rPr>
        <w:t>max</w:t>
      </w:r>
      <w:r>
        <w:rPr>
          <w:rFonts w:ascii="Times New Roman" w:eastAsia="Times New Roman" w:hAnsi="Times New Roman" w:cs="Times New Roman"/>
          <w:sz w:val="28"/>
        </w:rPr>
        <w:t xml:space="preserve"> граничного расчета: </w:t>
      </w:r>
    </w:p>
    <w:p w:rsidR="0052701D" w:rsidRDefault="00D40929">
      <w:pPr>
        <w:spacing w:after="0"/>
        <w:ind w:left="283"/>
      </w:pPr>
      <w:r>
        <w:rPr>
          <w:rFonts w:ascii="Times New Roman" w:eastAsia="Times New Roman" w:hAnsi="Times New Roman" w:cs="Times New Roman"/>
          <w:sz w:val="28"/>
        </w:rPr>
        <w:t xml:space="preserve"> </w:t>
      </w:r>
    </w:p>
    <w:p w:rsidR="0052701D" w:rsidRDefault="00D40929">
      <w:pPr>
        <w:spacing w:after="5"/>
        <w:ind w:left="3664"/>
      </w:pPr>
      <w:r>
        <w:rPr>
          <w:noProof/>
        </w:rPr>
        <w:drawing>
          <wp:inline distT="0" distB="0" distL="0" distR="0">
            <wp:extent cx="1411224" cy="185928"/>
            <wp:effectExtent l="0" t="0" r="0" b="0"/>
            <wp:docPr id="1048741" name="Picture 1048741"/>
            <wp:cNvGraphicFramePr/>
            <a:graphic xmlns:a="http://schemas.openxmlformats.org/drawingml/2006/main">
              <a:graphicData uri="http://schemas.openxmlformats.org/drawingml/2006/picture">
                <pic:pic xmlns:pic="http://schemas.openxmlformats.org/drawingml/2006/picture">
                  <pic:nvPicPr>
                    <pic:cNvPr id="1048741" name="Picture 1048741"/>
                    <pic:cNvPicPr/>
                  </pic:nvPicPr>
                  <pic:blipFill>
                    <a:blip r:embed="rId562"/>
                    <a:stretch>
                      <a:fillRect/>
                    </a:stretch>
                  </pic:blipFill>
                  <pic:spPr>
                    <a:xfrm>
                      <a:off x="0" y="0"/>
                      <a:ext cx="1411224" cy="185928"/>
                    </a:xfrm>
                    <a:prstGeom prst="rect">
                      <a:avLst/>
                    </a:prstGeom>
                  </pic:spPr>
                </pic:pic>
              </a:graphicData>
            </a:graphic>
          </wp:inline>
        </w:drawing>
      </w:r>
    </w:p>
    <w:p w:rsidR="0052701D" w:rsidRDefault="00D40929">
      <w:pPr>
        <w:spacing w:after="32"/>
        <w:ind w:left="994"/>
      </w:pPr>
      <w:r>
        <w:rPr>
          <w:rFonts w:ascii="Times New Roman" w:eastAsia="Times New Roman" w:hAnsi="Times New Roman" w:cs="Times New Roman"/>
          <w:sz w:val="28"/>
        </w:rPr>
        <w:t xml:space="preserve"> </w:t>
      </w:r>
    </w:p>
    <w:p w:rsidR="0052701D" w:rsidRDefault="00D40929">
      <w:pPr>
        <w:spacing w:after="5" w:line="271" w:lineRule="auto"/>
        <w:ind w:left="283" w:right="64" w:firstLine="711"/>
        <w:jc w:val="both"/>
      </w:pPr>
      <w:r>
        <w:rPr>
          <w:rFonts w:ascii="Times New Roman" w:eastAsia="Times New Roman" w:hAnsi="Times New Roman" w:cs="Times New Roman"/>
          <w:sz w:val="28"/>
        </w:rPr>
        <w:t xml:space="preserve">Из этой же кривой для </w:t>
      </w:r>
      <w:r>
        <w:rPr>
          <w:rFonts w:ascii="Times New Roman" w:eastAsia="Times New Roman" w:hAnsi="Times New Roman" w:cs="Times New Roman"/>
          <w:i/>
          <w:sz w:val="28"/>
        </w:rPr>
        <w:t>G</w:t>
      </w:r>
      <w:r>
        <w:rPr>
          <w:rFonts w:ascii="Times New Roman" w:eastAsia="Times New Roman" w:hAnsi="Times New Roman" w:cs="Times New Roman"/>
          <w:i/>
          <w:sz w:val="28"/>
          <w:vertAlign w:val="subscript"/>
        </w:rPr>
        <w:t>pk</w:t>
      </w:r>
      <w:r>
        <w:rPr>
          <w:rFonts w:ascii="Times New Roman" w:eastAsia="Times New Roman" w:hAnsi="Times New Roman" w:cs="Times New Roman"/>
          <w:sz w:val="28"/>
        </w:rPr>
        <w:t xml:space="preserve"> = 1.28 определяем минимальную нормализированную частоту </w:t>
      </w:r>
      <w:r>
        <w:rPr>
          <w:rFonts w:ascii="Times New Roman" w:eastAsia="Times New Roman" w:hAnsi="Times New Roman" w:cs="Times New Roman"/>
          <w:i/>
          <w:sz w:val="28"/>
        </w:rPr>
        <w:t>F</w:t>
      </w:r>
      <w:r>
        <w:rPr>
          <w:rFonts w:ascii="Times New Roman" w:eastAsia="Times New Roman" w:hAnsi="Times New Roman" w:cs="Times New Roman"/>
          <w:i/>
          <w:sz w:val="28"/>
          <w:vertAlign w:val="subscript"/>
        </w:rPr>
        <w:t>min</w:t>
      </w:r>
      <w:r>
        <w:rPr>
          <w:rFonts w:ascii="Times New Roman" w:eastAsia="Times New Roman" w:hAnsi="Times New Roman" w:cs="Times New Roman"/>
          <w:sz w:val="28"/>
        </w:rPr>
        <w:t xml:space="preserve"> = 0.35. </w:t>
      </w:r>
    </w:p>
    <w:p w:rsidR="0052701D" w:rsidRDefault="00D40929">
      <w:pPr>
        <w:spacing w:after="5" w:line="271" w:lineRule="auto"/>
        <w:ind w:left="283" w:right="325" w:firstLine="711"/>
        <w:jc w:val="both"/>
      </w:pPr>
      <w:r>
        <w:rPr>
          <w:rFonts w:ascii="Times New Roman" w:eastAsia="Times New Roman" w:hAnsi="Times New Roman" w:cs="Times New Roman"/>
          <w:sz w:val="28"/>
        </w:rPr>
        <w:t xml:space="preserve">Проведя расчет в Matlab (листинг программы и результаты расчета представлены в Приложении 1) получим график зависимости </w:t>
      </w:r>
      <w:r>
        <w:rPr>
          <w:rFonts w:ascii="Times New Roman" w:eastAsia="Times New Roman" w:hAnsi="Times New Roman" w:cs="Times New Roman"/>
          <w:i/>
          <w:sz w:val="28"/>
        </w:rPr>
        <w:t>G</w:t>
      </w:r>
      <w:r>
        <w:rPr>
          <w:rFonts w:ascii="Times New Roman" w:eastAsia="Times New Roman" w:hAnsi="Times New Roman" w:cs="Times New Roman"/>
          <w:sz w:val="28"/>
        </w:rPr>
        <w:t xml:space="preserve"> от </w:t>
      </w:r>
      <w:r>
        <w:rPr>
          <w:rFonts w:ascii="Times New Roman" w:eastAsia="Times New Roman" w:hAnsi="Times New Roman" w:cs="Times New Roman"/>
          <w:i/>
          <w:sz w:val="28"/>
        </w:rPr>
        <w:t>F</w:t>
      </w:r>
      <w:r>
        <w:rPr>
          <w:rFonts w:ascii="Times New Roman" w:eastAsia="Times New Roman" w:hAnsi="Times New Roman" w:cs="Times New Roman"/>
          <w:sz w:val="28"/>
        </w:rPr>
        <w:t xml:space="preserve"> для различных </w:t>
      </w:r>
      <w:r>
        <w:rPr>
          <w:rFonts w:ascii="Times New Roman" w:eastAsia="Times New Roman" w:hAnsi="Times New Roman" w:cs="Times New Roman"/>
          <w:i/>
          <w:sz w:val="28"/>
        </w:rPr>
        <w:t>Q</w:t>
      </w:r>
      <w:r>
        <w:rPr>
          <w:rFonts w:ascii="Times New Roman" w:eastAsia="Times New Roman" w:hAnsi="Times New Roman" w:cs="Times New Roman"/>
          <w:sz w:val="28"/>
        </w:rPr>
        <w:t xml:space="preserve"> представленный на рисунке 3: </w:t>
      </w:r>
    </w:p>
    <w:p w:rsidR="0052701D" w:rsidRDefault="00D40929">
      <w:pPr>
        <w:spacing w:after="0"/>
        <w:ind w:left="994"/>
      </w:pPr>
      <w:r>
        <w:rPr>
          <w:rFonts w:ascii="Times New Roman" w:eastAsia="Times New Roman" w:hAnsi="Times New Roman" w:cs="Times New Roman"/>
          <w:sz w:val="28"/>
        </w:rPr>
        <w:t xml:space="preserve"> </w:t>
      </w:r>
    </w:p>
    <w:p w:rsidR="0052701D" w:rsidRDefault="00D40929">
      <w:pPr>
        <w:spacing w:after="0"/>
        <w:ind w:left="2731"/>
      </w:pPr>
      <w:r>
        <w:rPr>
          <w:noProof/>
        </w:rPr>
        <w:drawing>
          <wp:inline distT="0" distB="0" distL="0" distR="0">
            <wp:extent cx="3105912" cy="2353056"/>
            <wp:effectExtent l="0" t="0" r="0" b="0"/>
            <wp:docPr id="38987" name="Picture 38987"/>
            <wp:cNvGraphicFramePr/>
            <a:graphic xmlns:a="http://schemas.openxmlformats.org/drawingml/2006/main">
              <a:graphicData uri="http://schemas.openxmlformats.org/drawingml/2006/picture">
                <pic:pic xmlns:pic="http://schemas.openxmlformats.org/drawingml/2006/picture">
                  <pic:nvPicPr>
                    <pic:cNvPr id="38987" name="Picture 38987"/>
                    <pic:cNvPicPr/>
                  </pic:nvPicPr>
                  <pic:blipFill>
                    <a:blip r:embed="rId563"/>
                    <a:stretch>
                      <a:fillRect/>
                    </a:stretch>
                  </pic:blipFill>
                  <pic:spPr>
                    <a:xfrm>
                      <a:off x="0" y="0"/>
                      <a:ext cx="3105912" cy="2353056"/>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14" w:line="248" w:lineRule="auto"/>
        <w:ind w:left="713" w:right="751" w:hanging="5"/>
        <w:jc w:val="center"/>
      </w:pPr>
      <w:r>
        <w:rPr>
          <w:rFonts w:ascii="Times New Roman" w:eastAsia="Times New Roman" w:hAnsi="Times New Roman" w:cs="Times New Roman"/>
          <w:sz w:val="24"/>
        </w:rPr>
        <w:t xml:space="preserve">Рис. 3. График зависимости </w:t>
      </w:r>
      <w:r>
        <w:rPr>
          <w:rFonts w:ascii="Times New Roman" w:eastAsia="Times New Roman" w:hAnsi="Times New Roman" w:cs="Times New Roman"/>
          <w:i/>
          <w:sz w:val="24"/>
        </w:rPr>
        <w:t>G</w:t>
      </w:r>
      <w:r>
        <w:rPr>
          <w:rFonts w:ascii="Times New Roman" w:eastAsia="Times New Roman" w:hAnsi="Times New Roman" w:cs="Times New Roman"/>
          <w:sz w:val="24"/>
        </w:rPr>
        <w:t xml:space="preserve"> от </w:t>
      </w:r>
      <w:r>
        <w:rPr>
          <w:rFonts w:ascii="Times New Roman" w:eastAsia="Times New Roman" w:hAnsi="Times New Roman" w:cs="Times New Roman"/>
          <w:i/>
          <w:sz w:val="24"/>
        </w:rPr>
        <w:t>F</w:t>
      </w:r>
      <w:r>
        <w:rPr>
          <w:rFonts w:ascii="Times New Roman" w:eastAsia="Times New Roman" w:hAnsi="Times New Roman" w:cs="Times New Roman"/>
          <w:sz w:val="24"/>
        </w:rPr>
        <w:t xml:space="preserve"> для различных </w:t>
      </w:r>
      <w:r>
        <w:rPr>
          <w:rFonts w:ascii="Times New Roman" w:eastAsia="Times New Roman" w:hAnsi="Times New Roman" w:cs="Times New Roman"/>
          <w:i/>
          <w:sz w:val="24"/>
        </w:rPr>
        <w:t>Q</w:t>
      </w:r>
      <w:r>
        <w:rPr>
          <w:rFonts w:ascii="Times New Roman" w:eastAsia="Times New Roman" w:hAnsi="Times New Roman" w:cs="Times New Roman"/>
          <w:sz w:val="24"/>
        </w:rPr>
        <w:t xml:space="preserve"> </w:t>
      </w:r>
    </w:p>
    <w:p w:rsidR="0052701D" w:rsidRDefault="00D40929">
      <w:pPr>
        <w:spacing w:after="27"/>
        <w:ind w:left="994"/>
      </w:pPr>
      <w:r>
        <w:rPr>
          <w:rFonts w:ascii="Times New Roman" w:eastAsia="Times New Roman" w:hAnsi="Times New Roman" w:cs="Times New Roman"/>
          <w:sz w:val="28"/>
        </w:rPr>
        <w:t xml:space="preserve"> </w:t>
      </w:r>
    </w:p>
    <w:p w:rsidR="0052701D" w:rsidRDefault="00D40929">
      <w:pPr>
        <w:spacing w:after="5" w:line="271" w:lineRule="auto"/>
        <w:ind w:left="283" w:right="64" w:firstLine="711"/>
        <w:jc w:val="both"/>
      </w:pPr>
      <w:r>
        <w:rPr>
          <w:rFonts w:ascii="Times New Roman" w:eastAsia="Times New Roman" w:hAnsi="Times New Roman" w:cs="Times New Roman"/>
          <w:sz w:val="28"/>
        </w:rPr>
        <w:t xml:space="preserve">По найденному значению </w:t>
      </w:r>
      <w:r>
        <w:rPr>
          <w:rFonts w:ascii="Times New Roman" w:eastAsia="Times New Roman" w:hAnsi="Times New Roman" w:cs="Times New Roman"/>
          <w:i/>
          <w:sz w:val="28"/>
        </w:rPr>
        <w:t>Q</w:t>
      </w:r>
      <w:r>
        <w:rPr>
          <w:rFonts w:ascii="Times New Roman" w:eastAsia="Times New Roman" w:hAnsi="Times New Roman" w:cs="Times New Roman"/>
          <w:sz w:val="28"/>
        </w:rPr>
        <w:t xml:space="preserve">, определяются величины резонансной цепи, </w:t>
      </w:r>
      <w:r>
        <w:rPr>
          <w:rFonts w:ascii="Times New Roman" w:eastAsia="Times New Roman" w:hAnsi="Times New Roman" w:cs="Times New Roman"/>
          <w:i/>
          <w:sz w:val="28"/>
        </w:rPr>
        <w:t>C</w:t>
      </w:r>
      <w:r>
        <w:rPr>
          <w:rFonts w:ascii="Times New Roman" w:eastAsia="Times New Roman" w:hAnsi="Times New Roman" w:cs="Times New Roman"/>
          <w:i/>
          <w:sz w:val="28"/>
          <w:vertAlign w:val="subscript"/>
        </w:rPr>
        <w:t>r</w:t>
      </w:r>
      <w:r>
        <w:rPr>
          <w:rFonts w:ascii="Times New Roman" w:eastAsia="Times New Roman" w:hAnsi="Times New Roman" w:cs="Times New Roman"/>
          <w:sz w:val="28"/>
        </w:rPr>
        <w:t xml:space="preserve">, </w:t>
      </w:r>
      <w:r>
        <w:rPr>
          <w:rFonts w:ascii="Times New Roman" w:eastAsia="Times New Roman" w:hAnsi="Times New Roman" w:cs="Times New Roman"/>
          <w:i/>
          <w:sz w:val="28"/>
        </w:rPr>
        <w:t>L</w:t>
      </w:r>
      <w:r>
        <w:rPr>
          <w:rFonts w:ascii="Times New Roman" w:eastAsia="Times New Roman" w:hAnsi="Times New Roman" w:cs="Times New Roman"/>
          <w:i/>
          <w:sz w:val="28"/>
          <w:vertAlign w:val="subscript"/>
        </w:rPr>
        <w:t>r</w:t>
      </w:r>
      <w:r>
        <w:rPr>
          <w:rFonts w:ascii="Times New Roman" w:eastAsia="Times New Roman" w:hAnsi="Times New Roman" w:cs="Times New Roman"/>
          <w:sz w:val="28"/>
        </w:rPr>
        <w:t xml:space="preserve">, </w:t>
      </w:r>
      <w:r>
        <w:rPr>
          <w:rFonts w:ascii="Times New Roman" w:eastAsia="Times New Roman" w:hAnsi="Times New Roman" w:cs="Times New Roman"/>
          <w:i/>
          <w:sz w:val="28"/>
        </w:rPr>
        <w:t>L</w:t>
      </w:r>
      <w:r>
        <w:rPr>
          <w:rFonts w:ascii="Times New Roman" w:eastAsia="Times New Roman" w:hAnsi="Times New Roman" w:cs="Times New Roman"/>
          <w:i/>
          <w:sz w:val="28"/>
          <w:vertAlign w:val="subscript"/>
        </w:rPr>
        <w:t>p</w:t>
      </w:r>
      <w:r>
        <w:rPr>
          <w:rFonts w:ascii="Times New Roman" w:eastAsia="Times New Roman" w:hAnsi="Times New Roman" w:cs="Times New Roman"/>
          <w:sz w:val="28"/>
        </w:rPr>
        <w:t xml:space="preserve"> по формулам 11, 12, 13: </w:t>
      </w:r>
    </w:p>
    <w:p w:rsidR="0052701D" w:rsidRDefault="00D40929">
      <w:pPr>
        <w:spacing w:after="0"/>
        <w:ind w:left="31"/>
        <w:jc w:val="center"/>
      </w:pPr>
      <w:r>
        <w:rPr>
          <w:rFonts w:ascii="Times New Roman" w:eastAsia="Times New Roman" w:hAnsi="Times New Roman" w:cs="Times New Roman"/>
          <w:sz w:val="28"/>
        </w:rPr>
        <w:t xml:space="preserve"> </w:t>
      </w:r>
    </w:p>
    <w:p w:rsidR="0052701D" w:rsidRDefault="00D40929">
      <w:pPr>
        <w:spacing w:after="0"/>
        <w:ind w:right="2"/>
        <w:jc w:val="center"/>
      </w:pPr>
      <w:r>
        <w:rPr>
          <w:noProof/>
        </w:rPr>
        <w:drawing>
          <wp:inline distT="0" distB="0" distL="0" distR="0">
            <wp:extent cx="1670304" cy="332232"/>
            <wp:effectExtent l="0" t="0" r="0" b="0"/>
            <wp:docPr id="1048742" name="Picture 1048742"/>
            <wp:cNvGraphicFramePr/>
            <a:graphic xmlns:a="http://schemas.openxmlformats.org/drawingml/2006/main">
              <a:graphicData uri="http://schemas.openxmlformats.org/drawingml/2006/picture">
                <pic:pic xmlns:pic="http://schemas.openxmlformats.org/drawingml/2006/picture">
                  <pic:nvPicPr>
                    <pic:cNvPr id="1048742" name="Picture 1048742"/>
                    <pic:cNvPicPr/>
                  </pic:nvPicPr>
                  <pic:blipFill>
                    <a:blip r:embed="rId564"/>
                    <a:stretch>
                      <a:fillRect/>
                    </a:stretch>
                  </pic:blipFill>
                  <pic:spPr>
                    <a:xfrm>
                      <a:off x="0" y="0"/>
                      <a:ext cx="1670304" cy="332232"/>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0"/>
        <w:ind w:left="994" w:right="1644"/>
      </w:pPr>
      <w:r>
        <w:rPr>
          <w:rFonts w:ascii="Times New Roman" w:eastAsia="Times New Roman" w:hAnsi="Times New Roman" w:cs="Times New Roman"/>
          <w:sz w:val="28"/>
        </w:rPr>
        <w:t xml:space="preserve"> </w:t>
      </w:r>
    </w:p>
    <w:p w:rsidR="0052701D" w:rsidRDefault="00D40929">
      <w:pPr>
        <w:spacing w:after="0"/>
        <w:ind w:left="1624"/>
      </w:pPr>
      <w:r>
        <w:rPr>
          <w:noProof/>
        </w:rPr>
        <w:drawing>
          <wp:inline distT="0" distB="0" distL="0" distR="0">
            <wp:extent cx="3989833" cy="402336"/>
            <wp:effectExtent l="0" t="0" r="0" b="0"/>
            <wp:docPr id="1048743" name="Picture 1048743"/>
            <wp:cNvGraphicFramePr/>
            <a:graphic xmlns:a="http://schemas.openxmlformats.org/drawingml/2006/main">
              <a:graphicData uri="http://schemas.openxmlformats.org/drawingml/2006/picture">
                <pic:pic xmlns:pic="http://schemas.openxmlformats.org/drawingml/2006/picture">
                  <pic:nvPicPr>
                    <pic:cNvPr id="1048743" name="Picture 1048743"/>
                    <pic:cNvPicPr/>
                  </pic:nvPicPr>
                  <pic:blipFill>
                    <a:blip r:embed="rId565"/>
                    <a:stretch>
                      <a:fillRect/>
                    </a:stretch>
                  </pic:blipFill>
                  <pic:spPr>
                    <a:xfrm>
                      <a:off x="0" y="0"/>
                      <a:ext cx="3989833" cy="402336"/>
                    </a:xfrm>
                    <a:prstGeom prst="rect">
                      <a:avLst/>
                    </a:prstGeom>
                  </pic:spPr>
                </pic:pic>
              </a:graphicData>
            </a:graphic>
          </wp:inline>
        </w:drawing>
      </w:r>
    </w:p>
    <w:p w:rsidR="0052701D" w:rsidRDefault="00D40929">
      <w:pPr>
        <w:spacing w:after="0"/>
        <w:ind w:left="994" w:right="3634"/>
      </w:pPr>
      <w:r>
        <w:rPr>
          <w:rFonts w:ascii="Times New Roman" w:eastAsia="Times New Roman" w:hAnsi="Times New Roman" w:cs="Times New Roman"/>
          <w:i/>
          <w:sz w:val="28"/>
        </w:rPr>
        <w:t xml:space="preserve"> </w:t>
      </w:r>
    </w:p>
    <w:p w:rsidR="0052701D" w:rsidRDefault="00D40929">
      <w:pPr>
        <w:spacing w:after="0"/>
        <w:ind w:right="18"/>
        <w:jc w:val="center"/>
      </w:pPr>
      <w:r>
        <w:rPr>
          <w:noProof/>
        </w:rPr>
        <w:drawing>
          <wp:inline distT="0" distB="0" distL="0" distR="0">
            <wp:extent cx="1554480" cy="310896"/>
            <wp:effectExtent l="0" t="0" r="0" b="0"/>
            <wp:docPr id="1048744" name="Picture 1048744"/>
            <wp:cNvGraphicFramePr/>
            <a:graphic xmlns:a="http://schemas.openxmlformats.org/drawingml/2006/main">
              <a:graphicData uri="http://schemas.openxmlformats.org/drawingml/2006/picture">
                <pic:pic xmlns:pic="http://schemas.openxmlformats.org/drawingml/2006/picture">
                  <pic:nvPicPr>
                    <pic:cNvPr id="1048744" name="Picture 1048744"/>
                    <pic:cNvPicPr/>
                  </pic:nvPicPr>
                  <pic:blipFill>
                    <a:blip r:embed="rId566"/>
                    <a:stretch>
                      <a:fillRect/>
                    </a:stretch>
                  </pic:blipFill>
                  <pic:spPr>
                    <a:xfrm>
                      <a:off x="0" y="0"/>
                      <a:ext cx="1554480" cy="310896"/>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0"/>
        <w:ind w:left="994" w:right="1423"/>
      </w:pPr>
      <w:r>
        <w:rPr>
          <w:rFonts w:ascii="Times New Roman" w:eastAsia="Times New Roman" w:hAnsi="Times New Roman" w:cs="Times New Roman"/>
          <w:i/>
          <w:sz w:val="28"/>
        </w:rPr>
        <w:t xml:space="preserve"> </w:t>
      </w:r>
    </w:p>
    <w:p w:rsidR="0052701D" w:rsidRDefault="00D40929">
      <w:pPr>
        <w:tabs>
          <w:tab w:val="center" w:pos="994"/>
          <w:tab w:val="center" w:pos="4821"/>
        </w:tabs>
        <w:spacing w:after="0"/>
      </w:pPr>
      <w:r>
        <w:tab/>
      </w:r>
      <w:r>
        <w:rPr>
          <w:rFonts w:ascii="Times New Roman" w:eastAsia="Times New Roman" w:hAnsi="Times New Roman" w:cs="Times New Roman"/>
          <w:i/>
          <w:sz w:val="28"/>
        </w:rPr>
        <w:t xml:space="preserve"> </w:t>
      </w:r>
      <w:r>
        <w:rPr>
          <w:rFonts w:ascii="Times New Roman" w:eastAsia="Times New Roman" w:hAnsi="Times New Roman" w:cs="Times New Roman"/>
          <w:i/>
          <w:sz w:val="28"/>
        </w:rPr>
        <w:tab/>
      </w:r>
      <w:r>
        <w:rPr>
          <w:noProof/>
        </w:rPr>
        <w:drawing>
          <wp:inline distT="0" distB="0" distL="0" distR="0">
            <wp:extent cx="4276345" cy="832104"/>
            <wp:effectExtent l="0" t="0" r="0" b="0"/>
            <wp:docPr id="1048745" name="Picture 1048745"/>
            <wp:cNvGraphicFramePr/>
            <a:graphic xmlns:a="http://schemas.openxmlformats.org/drawingml/2006/main">
              <a:graphicData uri="http://schemas.openxmlformats.org/drawingml/2006/picture">
                <pic:pic xmlns:pic="http://schemas.openxmlformats.org/drawingml/2006/picture">
                  <pic:nvPicPr>
                    <pic:cNvPr id="1048745" name="Picture 1048745"/>
                    <pic:cNvPicPr/>
                  </pic:nvPicPr>
                  <pic:blipFill>
                    <a:blip r:embed="rId567"/>
                    <a:stretch>
                      <a:fillRect/>
                    </a:stretch>
                  </pic:blipFill>
                  <pic:spPr>
                    <a:xfrm>
                      <a:off x="0" y="0"/>
                      <a:ext cx="4276345" cy="832104"/>
                    </a:xfrm>
                    <a:prstGeom prst="rect">
                      <a:avLst/>
                    </a:prstGeom>
                  </pic:spPr>
                </pic:pic>
              </a:graphicData>
            </a:graphic>
          </wp:inline>
        </w:drawing>
      </w:r>
    </w:p>
    <w:p w:rsidR="0052701D" w:rsidRDefault="00D40929">
      <w:pPr>
        <w:spacing w:after="0"/>
        <w:ind w:left="994" w:right="1423"/>
      </w:pPr>
      <w:r>
        <w:rPr>
          <w:rFonts w:ascii="Times New Roman" w:eastAsia="Times New Roman" w:hAnsi="Times New Roman" w:cs="Times New Roman"/>
          <w:i/>
          <w:sz w:val="28"/>
        </w:rPr>
        <w:t xml:space="preserve"> </w:t>
      </w:r>
    </w:p>
    <w:p w:rsidR="0052701D" w:rsidRDefault="00D40929">
      <w:pPr>
        <w:spacing w:after="14" w:line="249" w:lineRule="auto"/>
        <w:ind w:left="954" w:right="1041" w:hanging="10"/>
        <w:jc w:val="center"/>
      </w:pPr>
      <w:r>
        <w:rPr>
          <w:noProof/>
        </w:rPr>
        <w:lastRenderedPageBreak/>
        <w:drawing>
          <wp:inline distT="0" distB="0" distL="0" distR="0">
            <wp:extent cx="167640" cy="185928"/>
            <wp:effectExtent l="0" t="0" r="0" b="0"/>
            <wp:docPr id="1048746" name="Picture 1048746"/>
            <wp:cNvGraphicFramePr/>
            <a:graphic xmlns:a="http://schemas.openxmlformats.org/drawingml/2006/main">
              <a:graphicData uri="http://schemas.openxmlformats.org/drawingml/2006/picture">
                <pic:pic xmlns:pic="http://schemas.openxmlformats.org/drawingml/2006/picture">
                  <pic:nvPicPr>
                    <pic:cNvPr id="1048746" name="Picture 1048746"/>
                    <pic:cNvPicPr/>
                  </pic:nvPicPr>
                  <pic:blipFill>
                    <a:blip r:embed="rId568"/>
                    <a:stretch>
                      <a:fillRect/>
                    </a:stretch>
                  </pic:blipFill>
                  <pic:spPr>
                    <a:xfrm>
                      <a:off x="0" y="0"/>
                      <a:ext cx="167640" cy="185928"/>
                    </a:xfrm>
                    <a:prstGeom prst="rect">
                      <a:avLst/>
                    </a:prstGeom>
                  </pic:spPr>
                </pic:pic>
              </a:graphicData>
            </a:graphic>
          </wp:inline>
        </w:drawing>
      </w:r>
      <w:r>
        <w:rPr>
          <w:rFonts w:ascii="Times New Roman" w:eastAsia="Times New Roman" w:hAnsi="Times New Roman" w:cs="Times New Roman"/>
          <w:sz w:val="28"/>
        </w:rPr>
        <w:t xml:space="preserve"> = m</w:t>
      </w:r>
      <w:r>
        <w:rPr>
          <w:noProof/>
        </w:rPr>
        <w:drawing>
          <wp:inline distT="0" distB="0" distL="0" distR="0">
            <wp:extent cx="280416" cy="161544"/>
            <wp:effectExtent l="0" t="0" r="0" b="0"/>
            <wp:docPr id="1048747" name="Picture 1048747"/>
            <wp:cNvGraphicFramePr/>
            <a:graphic xmlns:a="http://schemas.openxmlformats.org/drawingml/2006/main">
              <a:graphicData uri="http://schemas.openxmlformats.org/drawingml/2006/picture">
                <pic:pic xmlns:pic="http://schemas.openxmlformats.org/drawingml/2006/picture">
                  <pic:nvPicPr>
                    <pic:cNvPr id="1048747" name="Picture 1048747"/>
                    <pic:cNvPicPr/>
                  </pic:nvPicPr>
                  <pic:blipFill>
                    <a:blip r:embed="rId569"/>
                    <a:stretch>
                      <a:fillRect/>
                    </a:stretch>
                  </pic:blipFill>
                  <pic:spPr>
                    <a:xfrm>
                      <a:off x="0" y="0"/>
                      <a:ext cx="280416" cy="161544"/>
                    </a:xfrm>
                    <a:prstGeom prst="rect">
                      <a:avLst/>
                    </a:prstGeom>
                  </pic:spPr>
                </pic:pic>
              </a:graphicData>
            </a:graphic>
          </wp:inline>
        </w:drawing>
      </w:r>
      <w:r>
        <w:rPr>
          <w:rFonts w:ascii="Times New Roman" w:eastAsia="Times New Roman" w:hAnsi="Times New Roman" w:cs="Times New Roman"/>
          <w:sz w:val="28"/>
        </w:rPr>
        <w:t xml:space="preserve"> (13) </w:t>
      </w:r>
    </w:p>
    <w:p w:rsidR="0052701D" w:rsidRDefault="00D40929">
      <w:pPr>
        <w:spacing w:after="0"/>
        <w:ind w:left="994" w:right="3177"/>
      </w:pPr>
      <w:r>
        <w:rPr>
          <w:rFonts w:ascii="Times New Roman" w:eastAsia="Times New Roman" w:hAnsi="Times New Roman" w:cs="Times New Roman"/>
          <w:sz w:val="28"/>
        </w:rPr>
        <w:t xml:space="preserve"> </w:t>
      </w:r>
    </w:p>
    <w:p w:rsidR="0052701D" w:rsidRDefault="00D40929">
      <w:pPr>
        <w:spacing w:after="14" w:line="249" w:lineRule="auto"/>
        <w:ind w:left="954" w:right="959" w:hanging="10"/>
        <w:jc w:val="center"/>
      </w:pPr>
      <w:r>
        <w:rPr>
          <w:noProof/>
        </w:rPr>
        <w:drawing>
          <wp:inline distT="0" distB="0" distL="0" distR="0">
            <wp:extent cx="167640" cy="182880"/>
            <wp:effectExtent l="0" t="0" r="0" b="0"/>
            <wp:docPr id="1048748" name="Picture 1048748"/>
            <wp:cNvGraphicFramePr/>
            <a:graphic xmlns:a="http://schemas.openxmlformats.org/drawingml/2006/main">
              <a:graphicData uri="http://schemas.openxmlformats.org/drawingml/2006/picture">
                <pic:pic xmlns:pic="http://schemas.openxmlformats.org/drawingml/2006/picture">
                  <pic:nvPicPr>
                    <pic:cNvPr id="1048748" name="Picture 1048748"/>
                    <pic:cNvPicPr/>
                  </pic:nvPicPr>
                  <pic:blipFill>
                    <a:blip r:embed="rId570"/>
                    <a:stretch>
                      <a:fillRect/>
                    </a:stretch>
                  </pic:blipFill>
                  <pic:spPr>
                    <a:xfrm>
                      <a:off x="0" y="0"/>
                      <a:ext cx="167640" cy="182880"/>
                    </a:xfrm>
                    <a:prstGeom prst="rect">
                      <a:avLst/>
                    </a:prstGeom>
                  </pic:spPr>
                </pic:pic>
              </a:graphicData>
            </a:graphic>
          </wp:inline>
        </w:drawing>
      </w:r>
      <w:r>
        <w:rPr>
          <w:rFonts w:ascii="Times New Roman" w:eastAsia="Times New Roman" w:hAnsi="Times New Roman" w:cs="Times New Roman"/>
          <w:sz w:val="28"/>
        </w:rPr>
        <w:t xml:space="preserve"> = 5</w:t>
      </w:r>
      <w:r>
        <w:rPr>
          <w:noProof/>
        </w:rPr>
        <w:drawing>
          <wp:inline distT="0" distB="0" distL="0" distR="0">
            <wp:extent cx="1645920" cy="155448"/>
            <wp:effectExtent l="0" t="0" r="0" b="0"/>
            <wp:docPr id="1048749" name="Picture 1048749"/>
            <wp:cNvGraphicFramePr/>
            <a:graphic xmlns:a="http://schemas.openxmlformats.org/drawingml/2006/main">
              <a:graphicData uri="http://schemas.openxmlformats.org/drawingml/2006/picture">
                <pic:pic xmlns:pic="http://schemas.openxmlformats.org/drawingml/2006/picture">
                  <pic:nvPicPr>
                    <pic:cNvPr id="1048749" name="Picture 1048749"/>
                    <pic:cNvPicPr/>
                  </pic:nvPicPr>
                  <pic:blipFill>
                    <a:blip r:embed="rId571"/>
                    <a:stretch>
                      <a:fillRect/>
                    </a:stretch>
                  </pic:blipFill>
                  <pic:spPr>
                    <a:xfrm>
                      <a:off x="0" y="0"/>
                      <a:ext cx="1645920" cy="155448"/>
                    </a:xfrm>
                    <a:prstGeom prst="rect">
                      <a:avLst/>
                    </a:prstGeom>
                  </pic:spPr>
                </pic:pic>
              </a:graphicData>
            </a:graphic>
          </wp:inline>
        </w:drawing>
      </w:r>
      <w:r>
        <w:rPr>
          <w:rFonts w:ascii="Times New Roman" w:eastAsia="Times New Roman" w:hAnsi="Times New Roman" w:cs="Times New Roman"/>
          <w:i/>
          <w:sz w:val="28"/>
        </w:rPr>
        <w:t xml:space="preserve"> </w:t>
      </w:r>
    </w:p>
    <w:p w:rsidR="0052701D" w:rsidRDefault="00D40929">
      <w:pPr>
        <w:spacing w:after="0"/>
        <w:ind w:left="994"/>
      </w:pPr>
      <w:r>
        <w:rPr>
          <w:rFonts w:ascii="Times New Roman" w:eastAsia="Times New Roman" w:hAnsi="Times New Roman" w:cs="Times New Roman"/>
          <w:sz w:val="28"/>
        </w:rPr>
        <w:t xml:space="preserve"> </w:t>
      </w:r>
    </w:p>
    <w:p w:rsidR="0052701D" w:rsidRDefault="00D40929">
      <w:pPr>
        <w:spacing w:after="5" w:line="271" w:lineRule="auto"/>
        <w:ind w:left="283" w:right="64" w:firstLine="711"/>
        <w:jc w:val="both"/>
      </w:pPr>
      <w:r>
        <w:rPr>
          <w:rFonts w:ascii="Times New Roman" w:eastAsia="Times New Roman" w:hAnsi="Times New Roman" w:cs="Times New Roman"/>
          <w:sz w:val="28"/>
        </w:rPr>
        <w:t xml:space="preserve">Минимальное действующее напряжение резонансной цепи определяется по формуле 14: </w:t>
      </w:r>
    </w:p>
    <w:p w:rsidR="0052701D" w:rsidRDefault="00D40929">
      <w:pPr>
        <w:spacing w:after="0"/>
        <w:ind w:right="22"/>
        <w:jc w:val="center"/>
      </w:pPr>
      <w:r>
        <w:rPr>
          <w:noProof/>
        </w:rPr>
        <w:drawing>
          <wp:inline distT="0" distB="0" distL="0" distR="0">
            <wp:extent cx="1542288" cy="384049"/>
            <wp:effectExtent l="0" t="0" r="0" b="0"/>
            <wp:docPr id="1048750" name="Picture 1048750"/>
            <wp:cNvGraphicFramePr/>
            <a:graphic xmlns:a="http://schemas.openxmlformats.org/drawingml/2006/main">
              <a:graphicData uri="http://schemas.openxmlformats.org/drawingml/2006/picture">
                <pic:pic xmlns:pic="http://schemas.openxmlformats.org/drawingml/2006/picture">
                  <pic:nvPicPr>
                    <pic:cNvPr id="1048750" name="Picture 1048750"/>
                    <pic:cNvPicPr/>
                  </pic:nvPicPr>
                  <pic:blipFill>
                    <a:blip r:embed="rId572"/>
                    <a:stretch>
                      <a:fillRect/>
                    </a:stretch>
                  </pic:blipFill>
                  <pic:spPr>
                    <a:xfrm>
                      <a:off x="0" y="0"/>
                      <a:ext cx="1542288" cy="384049"/>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0"/>
        <w:ind w:left="994" w:right="3639"/>
      </w:pPr>
      <w:r>
        <w:rPr>
          <w:rFonts w:ascii="Times New Roman" w:eastAsia="Times New Roman" w:hAnsi="Times New Roman" w:cs="Times New Roman"/>
          <w:sz w:val="28"/>
        </w:rPr>
        <w:t xml:space="preserve"> </w:t>
      </w:r>
    </w:p>
    <w:p w:rsidR="0052701D" w:rsidRDefault="00D40929">
      <w:pPr>
        <w:spacing w:after="45"/>
        <w:ind w:left="3504"/>
      </w:pPr>
      <w:r>
        <w:rPr>
          <w:noProof/>
        </w:rPr>
        <w:drawing>
          <wp:inline distT="0" distB="0" distL="0" distR="0">
            <wp:extent cx="1636776" cy="512064"/>
            <wp:effectExtent l="0" t="0" r="0" b="0"/>
            <wp:docPr id="1048751" name="Picture 1048751"/>
            <wp:cNvGraphicFramePr/>
            <a:graphic xmlns:a="http://schemas.openxmlformats.org/drawingml/2006/main">
              <a:graphicData uri="http://schemas.openxmlformats.org/drawingml/2006/picture">
                <pic:pic xmlns:pic="http://schemas.openxmlformats.org/drawingml/2006/picture">
                  <pic:nvPicPr>
                    <pic:cNvPr id="1048751" name="Picture 1048751"/>
                    <pic:cNvPicPr/>
                  </pic:nvPicPr>
                  <pic:blipFill>
                    <a:blip r:embed="rId573"/>
                    <a:stretch>
                      <a:fillRect/>
                    </a:stretch>
                  </pic:blipFill>
                  <pic:spPr>
                    <a:xfrm>
                      <a:off x="0" y="0"/>
                      <a:ext cx="1636776" cy="512064"/>
                    </a:xfrm>
                    <a:prstGeom prst="rect">
                      <a:avLst/>
                    </a:prstGeom>
                  </pic:spPr>
                </pic:pic>
              </a:graphicData>
            </a:graphic>
          </wp:inline>
        </w:drawing>
      </w:r>
    </w:p>
    <w:p w:rsidR="0052701D" w:rsidRDefault="00D40929">
      <w:pPr>
        <w:spacing w:after="5" w:line="271" w:lineRule="auto"/>
        <w:ind w:left="283" w:right="64" w:firstLine="711"/>
        <w:jc w:val="both"/>
      </w:pPr>
      <w:r>
        <w:rPr>
          <w:rFonts w:ascii="Times New Roman" w:eastAsia="Times New Roman" w:hAnsi="Times New Roman" w:cs="Times New Roman"/>
          <w:sz w:val="28"/>
        </w:rPr>
        <w:t xml:space="preserve">Соответственно протекающий действующий ток через резонансный дроссель </w:t>
      </w:r>
      <w:r>
        <w:rPr>
          <w:rFonts w:ascii="Times New Roman" w:eastAsia="Times New Roman" w:hAnsi="Times New Roman" w:cs="Times New Roman"/>
          <w:i/>
          <w:sz w:val="28"/>
        </w:rPr>
        <w:t>L</w:t>
      </w:r>
      <w:r>
        <w:rPr>
          <w:rFonts w:ascii="Times New Roman" w:eastAsia="Times New Roman" w:hAnsi="Times New Roman" w:cs="Times New Roman"/>
          <w:i/>
          <w:sz w:val="28"/>
          <w:vertAlign w:val="subscript"/>
        </w:rPr>
        <w:t>r</w:t>
      </w:r>
      <w:r>
        <w:rPr>
          <w:rFonts w:ascii="Times New Roman" w:eastAsia="Times New Roman" w:hAnsi="Times New Roman" w:cs="Times New Roman"/>
          <w:i/>
          <w:sz w:val="28"/>
        </w:rPr>
        <w:t xml:space="preserve"> </w:t>
      </w:r>
      <w:r>
        <w:rPr>
          <w:rFonts w:ascii="Times New Roman" w:eastAsia="Times New Roman" w:hAnsi="Times New Roman" w:cs="Times New Roman"/>
          <w:sz w:val="28"/>
        </w:rPr>
        <w:t xml:space="preserve">можно рассчитать по формуле 15: </w:t>
      </w:r>
    </w:p>
    <w:p w:rsidR="0052701D" w:rsidRDefault="00D40929">
      <w:pPr>
        <w:spacing w:after="0"/>
        <w:ind w:left="31"/>
        <w:jc w:val="center"/>
      </w:pPr>
      <w:r>
        <w:rPr>
          <w:rFonts w:ascii="Times New Roman" w:eastAsia="Times New Roman" w:hAnsi="Times New Roman" w:cs="Times New Roman"/>
          <w:sz w:val="28"/>
        </w:rPr>
        <w:t xml:space="preserve"> </w:t>
      </w:r>
    </w:p>
    <w:p w:rsidR="0052701D" w:rsidRDefault="00D40929">
      <w:pPr>
        <w:spacing w:after="0"/>
        <w:ind w:right="10"/>
        <w:jc w:val="center"/>
      </w:pPr>
      <w:r>
        <w:rPr>
          <w:noProof/>
        </w:rPr>
        <w:drawing>
          <wp:inline distT="0" distB="0" distL="0" distR="0">
            <wp:extent cx="1917192" cy="356616"/>
            <wp:effectExtent l="0" t="0" r="0" b="0"/>
            <wp:docPr id="1048752" name="Picture 1048752"/>
            <wp:cNvGraphicFramePr/>
            <a:graphic xmlns:a="http://schemas.openxmlformats.org/drawingml/2006/main">
              <a:graphicData uri="http://schemas.openxmlformats.org/drawingml/2006/picture">
                <pic:pic xmlns:pic="http://schemas.openxmlformats.org/drawingml/2006/picture">
                  <pic:nvPicPr>
                    <pic:cNvPr id="1048752" name="Picture 1048752"/>
                    <pic:cNvPicPr/>
                  </pic:nvPicPr>
                  <pic:blipFill>
                    <a:blip r:embed="rId574"/>
                    <a:stretch>
                      <a:fillRect/>
                    </a:stretch>
                  </pic:blipFill>
                  <pic:spPr>
                    <a:xfrm>
                      <a:off x="0" y="0"/>
                      <a:ext cx="1917192" cy="356616"/>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0"/>
        <w:ind w:left="994" w:right="2844"/>
      </w:pPr>
      <w:r>
        <w:rPr>
          <w:rFonts w:ascii="Times New Roman" w:eastAsia="Times New Roman" w:hAnsi="Times New Roman" w:cs="Times New Roman"/>
          <w:sz w:val="28"/>
        </w:rPr>
        <w:t xml:space="preserve"> </w:t>
      </w:r>
    </w:p>
    <w:p w:rsidR="0052701D" w:rsidRDefault="00D40929">
      <w:pPr>
        <w:spacing w:after="0"/>
        <w:ind w:left="2824"/>
      </w:pPr>
      <w:r>
        <w:rPr>
          <w:noProof/>
        </w:rPr>
        <w:drawing>
          <wp:inline distT="0" distB="0" distL="0" distR="0">
            <wp:extent cx="2481072" cy="475488"/>
            <wp:effectExtent l="0" t="0" r="0" b="0"/>
            <wp:docPr id="1048753" name="Picture 1048753"/>
            <wp:cNvGraphicFramePr/>
            <a:graphic xmlns:a="http://schemas.openxmlformats.org/drawingml/2006/main">
              <a:graphicData uri="http://schemas.openxmlformats.org/drawingml/2006/picture">
                <pic:pic xmlns:pic="http://schemas.openxmlformats.org/drawingml/2006/picture">
                  <pic:nvPicPr>
                    <pic:cNvPr id="1048753" name="Picture 1048753"/>
                    <pic:cNvPicPr/>
                  </pic:nvPicPr>
                  <pic:blipFill>
                    <a:blip r:embed="rId575"/>
                    <a:stretch>
                      <a:fillRect/>
                    </a:stretch>
                  </pic:blipFill>
                  <pic:spPr>
                    <a:xfrm>
                      <a:off x="0" y="0"/>
                      <a:ext cx="2481072" cy="475488"/>
                    </a:xfrm>
                    <a:prstGeom prst="rect">
                      <a:avLst/>
                    </a:prstGeom>
                  </pic:spPr>
                </pic:pic>
              </a:graphicData>
            </a:graphic>
          </wp:inline>
        </w:drawing>
      </w:r>
    </w:p>
    <w:p w:rsidR="0052701D" w:rsidRDefault="00D40929">
      <w:pPr>
        <w:spacing w:after="28"/>
        <w:ind w:left="994" w:right="2844"/>
      </w:pPr>
      <w:r>
        <w:rPr>
          <w:rFonts w:ascii="Times New Roman" w:eastAsia="Times New Roman" w:hAnsi="Times New Roman" w:cs="Times New Roman"/>
          <w:sz w:val="28"/>
        </w:rPr>
        <w:t xml:space="preserve"> </w:t>
      </w:r>
    </w:p>
    <w:p w:rsidR="0052701D" w:rsidRDefault="00D40929">
      <w:pPr>
        <w:spacing w:after="5" w:line="271" w:lineRule="auto"/>
        <w:ind w:left="994" w:right="64"/>
        <w:jc w:val="both"/>
      </w:pPr>
      <w:r>
        <w:rPr>
          <w:rFonts w:ascii="Times New Roman" w:eastAsia="Times New Roman" w:hAnsi="Times New Roman" w:cs="Times New Roman"/>
          <w:sz w:val="28"/>
        </w:rPr>
        <w:t xml:space="preserve">Резонансный пиковый ток определяется по формуле 16: </w:t>
      </w:r>
    </w:p>
    <w:p w:rsidR="0052701D" w:rsidRDefault="00D40929">
      <w:pPr>
        <w:spacing w:after="0"/>
        <w:ind w:left="31"/>
        <w:jc w:val="center"/>
      </w:pPr>
      <w:r>
        <w:rPr>
          <w:rFonts w:ascii="Times New Roman" w:eastAsia="Times New Roman" w:hAnsi="Times New Roman" w:cs="Times New Roman"/>
          <w:sz w:val="28"/>
        </w:rPr>
        <w:t xml:space="preserve"> </w:t>
      </w:r>
    </w:p>
    <w:p w:rsidR="0052701D" w:rsidRDefault="00D40929">
      <w:pPr>
        <w:spacing w:after="14" w:line="249" w:lineRule="auto"/>
        <w:ind w:left="954" w:right="1048" w:hanging="10"/>
        <w:jc w:val="center"/>
      </w:pPr>
      <w:r>
        <w:rPr>
          <w:noProof/>
        </w:rPr>
        <w:drawing>
          <wp:inline distT="0" distB="0" distL="0" distR="0">
            <wp:extent cx="1456944" cy="222504"/>
            <wp:effectExtent l="0" t="0" r="0" b="0"/>
            <wp:docPr id="1048754" name="Picture 1048754"/>
            <wp:cNvGraphicFramePr/>
            <a:graphic xmlns:a="http://schemas.openxmlformats.org/drawingml/2006/main">
              <a:graphicData uri="http://schemas.openxmlformats.org/drawingml/2006/picture">
                <pic:pic xmlns:pic="http://schemas.openxmlformats.org/drawingml/2006/picture">
                  <pic:nvPicPr>
                    <pic:cNvPr id="1048754" name="Picture 1048754"/>
                    <pic:cNvPicPr/>
                  </pic:nvPicPr>
                  <pic:blipFill>
                    <a:blip r:embed="rId576"/>
                    <a:stretch>
                      <a:fillRect/>
                    </a:stretch>
                  </pic:blipFill>
                  <pic:spPr>
                    <a:xfrm>
                      <a:off x="0" y="0"/>
                      <a:ext cx="1456944" cy="222504"/>
                    </a:xfrm>
                    <a:prstGeom prst="rect">
                      <a:avLst/>
                    </a:prstGeom>
                  </pic:spPr>
                </pic:pic>
              </a:graphicData>
            </a:graphic>
          </wp:inline>
        </w:drawing>
      </w:r>
      <w:r>
        <w:rPr>
          <w:rFonts w:ascii="Times New Roman" w:eastAsia="Times New Roman" w:hAnsi="Times New Roman" w:cs="Times New Roman"/>
          <w:sz w:val="28"/>
        </w:rPr>
        <w:t xml:space="preserve"> (16) </w:t>
      </w:r>
    </w:p>
    <w:p w:rsidR="0052701D" w:rsidRDefault="00D40929">
      <w:pPr>
        <w:spacing w:after="24"/>
        <w:ind w:left="994" w:right="3944"/>
      </w:pPr>
      <w:r>
        <w:rPr>
          <w:rFonts w:ascii="Times New Roman" w:eastAsia="Times New Roman" w:hAnsi="Times New Roman" w:cs="Times New Roman"/>
          <w:sz w:val="28"/>
        </w:rPr>
        <w:t xml:space="preserve"> </w:t>
      </w:r>
    </w:p>
    <w:p w:rsidR="0052701D" w:rsidRDefault="00D40929">
      <w:pPr>
        <w:spacing w:after="14" w:line="249" w:lineRule="auto"/>
        <w:ind w:left="954" w:right="1044" w:hanging="10"/>
        <w:jc w:val="center"/>
      </w:pPr>
      <w:r>
        <w:rPr>
          <w:noProof/>
        </w:rPr>
        <w:drawing>
          <wp:inline distT="0" distB="0" distL="0" distR="0">
            <wp:extent cx="329184" cy="185928"/>
            <wp:effectExtent l="0" t="0" r="0" b="0"/>
            <wp:docPr id="1048755" name="Picture 1048755"/>
            <wp:cNvGraphicFramePr/>
            <a:graphic xmlns:a="http://schemas.openxmlformats.org/drawingml/2006/main">
              <a:graphicData uri="http://schemas.openxmlformats.org/drawingml/2006/picture">
                <pic:pic xmlns:pic="http://schemas.openxmlformats.org/drawingml/2006/picture">
                  <pic:nvPicPr>
                    <pic:cNvPr id="1048755" name="Picture 1048755"/>
                    <pic:cNvPicPr/>
                  </pic:nvPicPr>
                  <pic:blipFill>
                    <a:blip r:embed="rId577"/>
                    <a:stretch>
                      <a:fillRect/>
                    </a:stretch>
                  </pic:blipFill>
                  <pic:spPr>
                    <a:xfrm>
                      <a:off x="0" y="0"/>
                      <a:ext cx="329184" cy="185928"/>
                    </a:xfrm>
                    <a:prstGeom prst="rect">
                      <a:avLst/>
                    </a:prstGeom>
                  </pic:spPr>
                </pic:pic>
              </a:graphicData>
            </a:graphic>
          </wp:inline>
        </w:drawing>
      </w:r>
      <w:r>
        <w:rPr>
          <w:rFonts w:ascii="Times New Roman" w:eastAsia="Times New Roman" w:hAnsi="Times New Roman" w:cs="Times New Roman"/>
          <w:sz w:val="28"/>
        </w:rPr>
        <w:t xml:space="preserve"> = </w:t>
      </w:r>
      <w:r>
        <w:rPr>
          <w:noProof/>
        </w:rPr>
        <mc:AlternateContent>
          <mc:Choice Requires="wpg">
            <w:drawing>
              <wp:inline distT="0" distB="0" distL="0" distR="0">
                <wp:extent cx="252984" cy="200820"/>
                <wp:effectExtent l="0" t="0" r="0" b="0"/>
                <wp:docPr id="962124" name="Group 962124"/>
                <wp:cNvGraphicFramePr/>
                <a:graphic xmlns:a="http://schemas.openxmlformats.org/drawingml/2006/main">
                  <a:graphicData uri="http://schemas.microsoft.com/office/word/2010/wordprocessingGroup">
                    <wpg:wgp>
                      <wpg:cNvGrpSpPr/>
                      <wpg:grpSpPr>
                        <a:xfrm>
                          <a:off x="0" y="0"/>
                          <a:ext cx="252984" cy="200820"/>
                          <a:chOff x="0" y="0"/>
                          <a:chExt cx="252984" cy="200820"/>
                        </a:xfrm>
                      </wpg:grpSpPr>
                      <wps:wsp>
                        <wps:cNvPr id="39096" name="Rectangle 39096"/>
                        <wps:cNvSpPr/>
                        <wps:spPr>
                          <a:xfrm>
                            <a:off x="0" y="24036"/>
                            <a:ext cx="154476" cy="235123"/>
                          </a:xfrm>
                          <a:prstGeom prst="rect">
                            <a:avLst/>
                          </a:prstGeom>
                          <a:ln>
                            <a:noFill/>
                          </a:ln>
                        </wps:spPr>
                        <wps:txbx>
                          <w:txbxContent>
                            <w:p w:rsidR="0052701D" w:rsidRDefault="00D40929">
                              <w:r>
                                <w:rPr>
                                  <w:rFonts w:ascii="Cambria Math" w:eastAsia="Cambria Math" w:hAnsi="Cambria Math" w:cs="Cambria Math"/>
                                  <w:sz w:val="28"/>
                                </w:rPr>
                                <w:t>√</w:t>
                              </w:r>
                            </w:p>
                          </w:txbxContent>
                        </wps:txbx>
                        <wps:bodyPr horzOverflow="overflow" vert="horz" lIns="0" tIns="0" rIns="0" bIns="0" rtlCol="0">
                          <a:noAutofit/>
                        </wps:bodyPr>
                      </wps:wsp>
                      <wps:wsp>
                        <wps:cNvPr id="39097" name="Rectangle 39097"/>
                        <wps:cNvSpPr/>
                        <wps:spPr>
                          <a:xfrm>
                            <a:off x="115824" y="17940"/>
                            <a:ext cx="130258" cy="235123"/>
                          </a:xfrm>
                          <a:prstGeom prst="rect">
                            <a:avLst/>
                          </a:prstGeom>
                          <a:ln>
                            <a:noFill/>
                          </a:ln>
                        </wps:spPr>
                        <wps:txbx>
                          <w:txbxContent>
                            <w:p w:rsidR="0052701D" w:rsidRDefault="00D40929">
                              <w:r>
                                <w:rPr>
                                  <w:rFonts w:ascii="Cambria Math" w:eastAsia="Cambria Math" w:hAnsi="Cambria Math" w:cs="Cambria Math"/>
                                  <w:sz w:val="28"/>
                                </w:rPr>
                                <w:t>2</w:t>
                              </w:r>
                            </w:p>
                          </w:txbxContent>
                        </wps:txbx>
                        <wps:bodyPr horzOverflow="overflow" vert="horz" lIns="0" tIns="0" rIns="0" bIns="0" rtlCol="0">
                          <a:noAutofit/>
                        </wps:bodyPr>
                      </wps:wsp>
                      <wps:wsp>
                        <wps:cNvPr id="39098" name="Rectangle 39098"/>
                        <wps:cNvSpPr/>
                        <wps:spPr>
                          <a:xfrm>
                            <a:off x="213360" y="17940"/>
                            <a:ext cx="51727" cy="235123"/>
                          </a:xfrm>
                          <a:prstGeom prst="rect">
                            <a:avLst/>
                          </a:prstGeom>
                          <a:ln>
                            <a:noFill/>
                          </a:ln>
                        </wps:spPr>
                        <wps:txbx>
                          <w:txbxContent>
                            <w:p w:rsidR="0052701D" w:rsidRDefault="00D40929">
                              <w:r>
                                <w:rPr>
                                  <w:rFonts w:ascii="Cambria Math" w:eastAsia="Cambria Math" w:hAnsi="Cambria Math" w:cs="Cambria Math"/>
                                  <w:sz w:val="28"/>
                                </w:rPr>
                                <w:t xml:space="preserve"> </w:t>
                              </w:r>
                            </w:p>
                          </w:txbxContent>
                        </wps:txbx>
                        <wps:bodyPr horzOverflow="overflow" vert="horz" lIns="0" tIns="0" rIns="0" bIns="0" rtlCol="0">
                          <a:noAutofit/>
                        </wps:bodyPr>
                      </wps:wsp>
                      <wps:wsp>
                        <wps:cNvPr id="1065351" name="Shape 1065351"/>
                        <wps:cNvSpPr/>
                        <wps:spPr>
                          <a:xfrm>
                            <a:off x="115824" y="0"/>
                            <a:ext cx="137160" cy="12192"/>
                          </a:xfrm>
                          <a:custGeom>
                            <a:avLst/>
                            <a:gdLst/>
                            <a:ahLst/>
                            <a:cxnLst/>
                            <a:rect l="0" t="0" r="0" b="0"/>
                            <a:pathLst>
                              <a:path w="137160" h="12192">
                                <a:moveTo>
                                  <a:pt x="0" y="0"/>
                                </a:moveTo>
                                <a:lnTo>
                                  <a:pt x="137160" y="0"/>
                                </a:lnTo>
                                <a:lnTo>
                                  <a:pt x="137160"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962124" style="width:19.92pt;height:15.8126pt;mso-position-horizontal-relative:char;mso-position-vertical-relative:line" coordsize="2529,2008">
                <v:rect id="Rectangle 39096" style="position:absolute;width:1544;height:2351;left:0;top:240;" filled="f" stroked="f">
                  <v:textbox inset="0,0,0,0">
                    <w:txbxContent>
                      <w:p>
                        <w:pPr>
                          <w:spacing w:before="0" w:after="160" w:line="259" w:lineRule="auto"/>
                        </w:pPr>
                        <w:r>
                          <w:rPr>
                            <w:rFonts w:cs="Cambria Math" w:hAnsi="Cambria Math" w:eastAsia="Cambria Math" w:ascii="Cambria Math"/>
                            <w:sz w:val="28"/>
                          </w:rPr>
                          <w:t xml:space="preserve">√</w:t>
                        </w:r>
                      </w:p>
                    </w:txbxContent>
                  </v:textbox>
                </v:rect>
                <v:rect id="Rectangle 39097" style="position:absolute;width:1302;height:2351;left:1158;top:179;" filled="f" stroked="f">
                  <v:textbox inset="0,0,0,0">
                    <w:txbxContent>
                      <w:p>
                        <w:pPr>
                          <w:spacing w:before="0" w:after="160" w:line="259" w:lineRule="auto"/>
                        </w:pPr>
                        <w:r>
                          <w:rPr>
                            <w:rFonts w:cs="Cambria Math" w:hAnsi="Cambria Math" w:eastAsia="Cambria Math" w:ascii="Cambria Math"/>
                            <w:sz w:val="28"/>
                          </w:rPr>
                          <w:t xml:space="preserve">2</w:t>
                        </w:r>
                      </w:p>
                    </w:txbxContent>
                  </v:textbox>
                </v:rect>
                <v:rect id="Rectangle 39098" style="position:absolute;width:517;height:2351;left:2133;top:179;" filled="f" stroked="f">
                  <v:textbox inset="0,0,0,0">
                    <w:txbxContent>
                      <w:p>
                        <w:pPr>
                          <w:spacing w:before="0" w:after="160" w:line="259" w:lineRule="auto"/>
                        </w:pPr>
                        <w:r>
                          <w:rPr>
                            <w:rFonts w:cs="Cambria Math" w:hAnsi="Cambria Math" w:eastAsia="Cambria Math" w:ascii="Cambria Math"/>
                            <w:sz w:val="28"/>
                          </w:rPr>
                          <w:t xml:space="preserve"> </w:t>
                        </w:r>
                      </w:p>
                    </w:txbxContent>
                  </v:textbox>
                </v:rect>
                <v:shape id="Shape 1065352" style="position:absolute;width:1371;height:121;left:1158;top:0;" coordsize="137160,12192" path="m0,0l137160,0l137160,12192l0,12192l0,0">
                  <v:stroke weight="0pt" endcap="flat" joinstyle="miter" miterlimit="10" on="false" color="#000000" opacity="0"/>
                  <v:fill on="true" color="#000000"/>
                </v:shape>
              </v:group>
            </w:pict>
          </mc:Fallback>
        </mc:AlternateContent>
      </w:r>
      <w:r>
        <w:rPr>
          <w:rFonts w:ascii="Times New Roman" w:eastAsia="Times New Roman" w:hAnsi="Times New Roman" w:cs="Times New Roman"/>
          <w:sz w:val="28"/>
        </w:rPr>
        <w:t xml:space="preserve"> * 2,06 = 2,91А </w:t>
      </w:r>
    </w:p>
    <w:p w:rsidR="0052701D" w:rsidRDefault="00D40929">
      <w:pPr>
        <w:spacing w:after="24"/>
        <w:ind w:left="994" w:right="5817"/>
      </w:pPr>
      <w:r>
        <w:rPr>
          <w:rFonts w:ascii="Times New Roman" w:eastAsia="Times New Roman" w:hAnsi="Times New Roman" w:cs="Times New Roman"/>
          <w:sz w:val="28"/>
        </w:rPr>
        <w:t xml:space="preserve"> </w:t>
      </w:r>
    </w:p>
    <w:p w:rsidR="0052701D" w:rsidRDefault="00D40929">
      <w:pPr>
        <w:spacing w:after="5" w:line="271" w:lineRule="auto"/>
        <w:ind w:left="994" w:right="64"/>
        <w:jc w:val="both"/>
      </w:pPr>
      <w:r>
        <w:rPr>
          <w:rFonts w:ascii="Times New Roman" w:eastAsia="Times New Roman" w:hAnsi="Times New Roman" w:cs="Times New Roman"/>
          <w:sz w:val="28"/>
        </w:rPr>
        <w:t xml:space="preserve">Ток уровня OCP </w:t>
      </w:r>
      <w:r>
        <w:rPr>
          <w:rFonts w:ascii="Times New Roman" w:eastAsia="Times New Roman" w:hAnsi="Times New Roman" w:cs="Times New Roman"/>
          <w:sz w:val="28"/>
        </w:rPr>
        <w:t xml:space="preserve">устанавливается с границей 20%, по формуле 17: </w:t>
      </w:r>
    </w:p>
    <w:p w:rsidR="0052701D" w:rsidRDefault="00D40929">
      <w:pPr>
        <w:spacing w:after="0"/>
        <w:ind w:left="31"/>
        <w:jc w:val="center"/>
      </w:pPr>
      <w:r>
        <w:rPr>
          <w:rFonts w:ascii="Times New Roman" w:eastAsia="Times New Roman" w:hAnsi="Times New Roman" w:cs="Times New Roman"/>
          <w:sz w:val="28"/>
        </w:rPr>
        <w:t xml:space="preserve"> </w:t>
      </w:r>
    </w:p>
    <w:p w:rsidR="0052701D" w:rsidRDefault="00D40929">
      <w:pPr>
        <w:spacing w:after="14" w:line="249" w:lineRule="auto"/>
        <w:ind w:left="954" w:right="1035" w:hanging="10"/>
        <w:jc w:val="center"/>
      </w:pPr>
      <w:r>
        <w:rPr>
          <w:noProof/>
        </w:rPr>
        <w:drawing>
          <wp:inline distT="0" distB="0" distL="0" distR="0">
            <wp:extent cx="1563624" cy="225552"/>
            <wp:effectExtent l="0" t="0" r="0" b="0"/>
            <wp:docPr id="1048756" name="Picture 1048756"/>
            <wp:cNvGraphicFramePr/>
            <a:graphic xmlns:a="http://schemas.openxmlformats.org/drawingml/2006/main">
              <a:graphicData uri="http://schemas.openxmlformats.org/drawingml/2006/picture">
                <pic:pic xmlns:pic="http://schemas.openxmlformats.org/drawingml/2006/picture">
                  <pic:nvPicPr>
                    <pic:cNvPr id="1048756" name="Picture 1048756"/>
                    <pic:cNvPicPr/>
                  </pic:nvPicPr>
                  <pic:blipFill>
                    <a:blip r:embed="rId578"/>
                    <a:stretch>
                      <a:fillRect/>
                    </a:stretch>
                  </pic:blipFill>
                  <pic:spPr>
                    <a:xfrm>
                      <a:off x="0" y="0"/>
                      <a:ext cx="1563624" cy="225552"/>
                    </a:xfrm>
                    <a:prstGeom prst="rect">
                      <a:avLst/>
                    </a:prstGeom>
                  </pic:spPr>
                </pic:pic>
              </a:graphicData>
            </a:graphic>
          </wp:inline>
        </w:drawing>
      </w:r>
      <w:r>
        <w:rPr>
          <w:rFonts w:ascii="Times New Roman" w:eastAsia="Times New Roman" w:hAnsi="Times New Roman" w:cs="Times New Roman"/>
          <w:sz w:val="28"/>
        </w:rPr>
        <w:t xml:space="preserve"> (17) </w:t>
      </w:r>
    </w:p>
    <w:p w:rsidR="0052701D" w:rsidRDefault="00D40929">
      <w:pPr>
        <w:spacing w:after="0"/>
        <w:ind w:left="994" w:right="3897"/>
      </w:pPr>
      <w:r>
        <w:rPr>
          <w:rFonts w:ascii="Times New Roman" w:eastAsia="Times New Roman" w:hAnsi="Times New Roman" w:cs="Times New Roman"/>
          <w:sz w:val="28"/>
        </w:rPr>
        <w:t xml:space="preserve"> </w:t>
      </w:r>
    </w:p>
    <w:p w:rsidR="0052701D" w:rsidRDefault="00D40929">
      <w:pPr>
        <w:spacing w:after="14" w:line="249" w:lineRule="auto"/>
        <w:ind w:left="954" w:right="1027" w:hanging="10"/>
        <w:jc w:val="center"/>
      </w:pPr>
      <w:r>
        <w:rPr>
          <w:noProof/>
        </w:rPr>
        <w:drawing>
          <wp:inline distT="0" distB="0" distL="0" distR="0">
            <wp:extent cx="478536" cy="185928"/>
            <wp:effectExtent l="0" t="0" r="0" b="0"/>
            <wp:docPr id="1048757" name="Picture 1048757"/>
            <wp:cNvGraphicFramePr/>
            <a:graphic xmlns:a="http://schemas.openxmlformats.org/drawingml/2006/main">
              <a:graphicData uri="http://schemas.openxmlformats.org/drawingml/2006/picture">
                <pic:pic xmlns:pic="http://schemas.openxmlformats.org/drawingml/2006/picture">
                  <pic:nvPicPr>
                    <pic:cNvPr id="1048757" name="Picture 1048757"/>
                    <pic:cNvPicPr/>
                  </pic:nvPicPr>
                  <pic:blipFill>
                    <a:blip r:embed="rId579"/>
                    <a:stretch>
                      <a:fillRect/>
                    </a:stretch>
                  </pic:blipFill>
                  <pic:spPr>
                    <a:xfrm>
                      <a:off x="0" y="0"/>
                      <a:ext cx="478536" cy="185928"/>
                    </a:xfrm>
                    <a:prstGeom prst="rect">
                      <a:avLst/>
                    </a:prstGeom>
                  </pic:spPr>
                </pic:pic>
              </a:graphicData>
            </a:graphic>
          </wp:inline>
        </w:drawing>
      </w:r>
      <w:r>
        <w:rPr>
          <w:rFonts w:ascii="Times New Roman" w:eastAsia="Times New Roman" w:hAnsi="Times New Roman" w:cs="Times New Roman"/>
          <w:sz w:val="28"/>
        </w:rPr>
        <w:t xml:space="preserve"> = 1,2*2,91 = 3,49 А </w:t>
      </w:r>
    </w:p>
    <w:p w:rsidR="0052701D" w:rsidRDefault="00D40929">
      <w:pPr>
        <w:spacing w:after="35"/>
        <w:ind w:left="3224"/>
        <w:jc w:val="center"/>
      </w:pPr>
      <w:r>
        <w:rPr>
          <w:rFonts w:ascii="Times New Roman" w:eastAsia="Times New Roman" w:hAnsi="Times New Roman" w:cs="Times New Roman"/>
          <w:sz w:val="28"/>
        </w:rPr>
        <w:t xml:space="preserve"> </w:t>
      </w:r>
    </w:p>
    <w:p w:rsidR="0052701D" w:rsidRDefault="00D40929">
      <w:pPr>
        <w:spacing w:after="5" w:line="271" w:lineRule="auto"/>
        <w:ind w:left="283" w:right="324" w:firstLine="711"/>
        <w:jc w:val="both"/>
      </w:pPr>
      <w:r>
        <w:rPr>
          <w:rFonts w:ascii="Times New Roman" w:eastAsia="Times New Roman" w:hAnsi="Times New Roman" w:cs="Times New Roman"/>
          <w:sz w:val="28"/>
        </w:rPr>
        <w:t xml:space="preserve">Реальная индуктивность рассеяния </w:t>
      </w:r>
      <w:r>
        <w:rPr>
          <w:rFonts w:ascii="Times New Roman" w:eastAsia="Times New Roman" w:hAnsi="Times New Roman" w:cs="Times New Roman"/>
          <w:i/>
          <w:sz w:val="28"/>
        </w:rPr>
        <w:t>L</w:t>
      </w:r>
      <w:r>
        <w:rPr>
          <w:rFonts w:ascii="Times New Roman" w:eastAsia="Times New Roman" w:hAnsi="Times New Roman" w:cs="Times New Roman"/>
          <w:i/>
          <w:sz w:val="18"/>
        </w:rPr>
        <w:t>leak</w:t>
      </w:r>
      <w:r>
        <w:rPr>
          <w:rFonts w:ascii="Times New Roman" w:eastAsia="Times New Roman" w:hAnsi="Times New Roman" w:cs="Times New Roman"/>
          <w:sz w:val="28"/>
        </w:rPr>
        <w:t xml:space="preserve"> Измеренная на первичной обмотке при короткозамкнутой вторичной обмотки составила 13 </w:t>
      </w:r>
      <w:r>
        <w:rPr>
          <w:noProof/>
        </w:rPr>
        <w:drawing>
          <wp:inline distT="0" distB="0" distL="0" distR="0">
            <wp:extent cx="237744" cy="124968"/>
            <wp:effectExtent l="0" t="0" r="0" b="0"/>
            <wp:docPr id="1048758" name="Picture 1048758"/>
            <wp:cNvGraphicFramePr/>
            <a:graphic xmlns:a="http://schemas.openxmlformats.org/drawingml/2006/main">
              <a:graphicData uri="http://schemas.openxmlformats.org/drawingml/2006/picture">
                <pic:pic xmlns:pic="http://schemas.openxmlformats.org/drawingml/2006/picture">
                  <pic:nvPicPr>
                    <pic:cNvPr id="1048758" name="Picture 1048758"/>
                    <pic:cNvPicPr/>
                  </pic:nvPicPr>
                  <pic:blipFill>
                    <a:blip r:embed="rId580"/>
                    <a:stretch>
                      <a:fillRect/>
                    </a:stretch>
                  </pic:blipFill>
                  <pic:spPr>
                    <a:xfrm>
                      <a:off x="0" y="0"/>
                      <a:ext cx="237744" cy="124968"/>
                    </a:xfrm>
                    <a:prstGeom prst="rect">
                      <a:avLst/>
                    </a:prstGeom>
                  </pic:spPr>
                </pic:pic>
              </a:graphicData>
            </a:graphic>
          </wp:inline>
        </w:drawing>
      </w:r>
      <w:r>
        <w:rPr>
          <w:rFonts w:ascii="Times New Roman" w:eastAsia="Times New Roman" w:hAnsi="Times New Roman" w:cs="Times New Roman"/>
          <w:sz w:val="28"/>
        </w:rPr>
        <w:t xml:space="preserve">. </w:t>
      </w:r>
      <w:r>
        <w:rPr>
          <w:rFonts w:ascii="Times New Roman" w:eastAsia="Times New Roman" w:hAnsi="Times New Roman" w:cs="Times New Roman"/>
          <w:sz w:val="28"/>
        </w:rPr>
        <w:t xml:space="preserve">Поэтому индуктивность отдельного резонансного дросселя определяется по формуле 18:  </w:t>
      </w:r>
    </w:p>
    <w:p w:rsidR="0052701D" w:rsidRDefault="00D40929">
      <w:pPr>
        <w:spacing w:after="14" w:line="249" w:lineRule="auto"/>
        <w:ind w:left="954" w:right="1048" w:hanging="10"/>
        <w:jc w:val="center"/>
      </w:pPr>
      <w:r>
        <w:rPr>
          <w:noProof/>
        </w:rPr>
        <w:drawing>
          <wp:inline distT="0" distB="0" distL="0" distR="0">
            <wp:extent cx="1648968" cy="176785"/>
            <wp:effectExtent l="0" t="0" r="0" b="0"/>
            <wp:docPr id="1048759" name="Picture 1048759"/>
            <wp:cNvGraphicFramePr/>
            <a:graphic xmlns:a="http://schemas.openxmlformats.org/drawingml/2006/main">
              <a:graphicData uri="http://schemas.openxmlformats.org/drawingml/2006/picture">
                <pic:pic xmlns:pic="http://schemas.openxmlformats.org/drawingml/2006/picture">
                  <pic:nvPicPr>
                    <pic:cNvPr id="1048759" name="Picture 1048759"/>
                    <pic:cNvPicPr/>
                  </pic:nvPicPr>
                  <pic:blipFill>
                    <a:blip r:embed="rId581"/>
                    <a:stretch>
                      <a:fillRect/>
                    </a:stretch>
                  </pic:blipFill>
                  <pic:spPr>
                    <a:xfrm>
                      <a:off x="0" y="0"/>
                      <a:ext cx="1648968" cy="176785"/>
                    </a:xfrm>
                    <a:prstGeom prst="rect">
                      <a:avLst/>
                    </a:prstGeom>
                  </pic:spPr>
                </pic:pic>
              </a:graphicData>
            </a:graphic>
          </wp:inline>
        </w:drawing>
      </w:r>
      <w:r>
        <w:rPr>
          <w:rFonts w:ascii="Times New Roman" w:eastAsia="Times New Roman" w:hAnsi="Times New Roman" w:cs="Times New Roman"/>
          <w:sz w:val="28"/>
        </w:rPr>
        <w:t xml:space="preserve"> (18) </w:t>
      </w:r>
    </w:p>
    <w:p w:rsidR="0052701D" w:rsidRDefault="00D40929">
      <w:pPr>
        <w:spacing w:after="0"/>
        <w:ind w:left="994" w:right="3817"/>
      </w:pPr>
      <w:r>
        <w:rPr>
          <w:rFonts w:ascii="Times New Roman" w:eastAsia="Times New Roman" w:hAnsi="Times New Roman" w:cs="Times New Roman"/>
          <w:sz w:val="28"/>
        </w:rPr>
        <w:t xml:space="preserve"> </w:t>
      </w:r>
    </w:p>
    <w:p w:rsidR="0052701D" w:rsidRDefault="00D40929">
      <w:pPr>
        <w:spacing w:after="0"/>
        <w:ind w:left="3144"/>
      </w:pPr>
      <w:r>
        <w:rPr>
          <w:noProof/>
        </w:rPr>
        <w:drawing>
          <wp:inline distT="0" distB="0" distL="0" distR="0">
            <wp:extent cx="2078736" cy="182880"/>
            <wp:effectExtent l="0" t="0" r="0" b="0"/>
            <wp:docPr id="1048760" name="Picture 1048760"/>
            <wp:cNvGraphicFramePr/>
            <a:graphic xmlns:a="http://schemas.openxmlformats.org/drawingml/2006/main">
              <a:graphicData uri="http://schemas.openxmlformats.org/drawingml/2006/picture">
                <pic:pic xmlns:pic="http://schemas.openxmlformats.org/drawingml/2006/picture">
                  <pic:nvPicPr>
                    <pic:cNvPr id="1048760" name="Picture 1048760"/>
                    <pic:cNvPicPr/>
                  </pic:nvPicPr>
                  <pic:blipFill>
                    <a:blip r:embed="rId582"/>
                    <a:stretch>
                      <a:fillRect/>
                    </a:stretch>
                  </pic:blipFill>
                  <pic:spPr>
                    <a:xfrm>
                      <a:off x="0" y="0"/>
                      <a:ext cx="2078736" cy="182880"/>
                    </a:xfrm>
                    <a:prstGeom prst="rect">
                      <a:avLst/>
                    </a:prstGeom>
                  </pic:spPr>
                </pic:pic>
              </a:graphicData>
            </a:graphic>
          </wp:inline>
        </w:drawing>
      </w:r>
    </w:p>
    <w:p w:rsidR="0052701D" w:rsidRDefault="00D40929">
      <w:pPr>
        <w:spacing w:after="25"/>
        <w:ind w:left="283" w:right="3147"/>
      </w:pPr>
      <w:r>
        <w:rPr>
          <w:rFonts w:ascii="Times New Roman" w:eastAsia="Times New Roman" w:hAnsi="Times New Roman" w:cs="Times New Roman"/>
          <w:i/>
          <w:sz w:val="28"/>
        </w:rPr>
        <w:t xml:space="preserve"> </w:t>
      </w:r>
    </w:p>
    <w:p w:rsidR="0052701D" w:rsidRDefault="00D40929">
      <w:pPr>
        <w:spacing w:after="5" w:line="271" w:lineRule="auto"/>
        <w:ind w:left="283" w:right="323" w:firstLine="711"/>
        <w:jc w:val="both"/>
      </w:pPr>
      <w:r>
        <w:rPr>
          <w:rFonts w:ascii="Times New Roman" w:eastAsia="Times New Roman" w:hAnsi="Times New Roman" w:cs="Times New Roman"/>
          <w:sz w:val="28"/>
        </w:rPr>
        <w:t>Выбирается ферромагнитный сердечник RM10, для которого площадь поперечного сечения магнитопровода A</w:t>
      </w:r>
      <w:r>
        <w:rPr>
          <w:rFonts w:ascii="Times New Roman" w:eastAsia="Times New Roman" w:hAnsi="Times New Roman" w:cs="Times New Roman"/>
          <w:sz w:val="18"/>
        </w:rPr>
        <w:t xml:space="preserve">e_min </w:t>
      </w:r>
      <w:r>
        <w:rPr>
          <w:rFonts w:ascii="Times New Roman" w:eastAsia="Times New Roman" w:hAnsi="Times New Roman" w:cs="Times New Roman"/>
          <w:sz w:val="28"/>
        </w:rPr>
        <w:t>= 90мм</w:t>
      </w:r>
      <w:r>
        <w:rPr>
          <w:rFonts w:ascii="Times New Roman" w:eastAsia="Times New Roman" w:hAnsi="Times New Roman" w:cs="Times New Roman"/>
          <w:sz w:val="28"/>
          <w:vertAlign w:val="superscript"/>
        </w:rPr>
        <w:t>2</w:t>
      </w:r>
      <w:r>
        <w:rPr>
          <w:rFonts w:ascii="Times New Roman" w:eastAsia="Times New Roman" w:hAnsi="Times New Roman" w:cs="Times New Roman"/>
          <w:sz w:val="28"/>
        </w:rPr>
        <w:t xml:space="preserve">, допустимая индукция </w:t>
      </w:r>
      <w:r>
        <w:rPr>
          <w:rFonts w:ascii="Times New Roman" w:eastAsia="Times New Roman" w:hAnsi="Times New Roman" w:cs="Times New Roman"/>
          <w:sz w:val="28"/>
        </w:rPr>
        <w:lastRenderedPageBreak/>
        <w:t>B</w:t>
      </w:r>
      <w:r>
        <w:rPr>
          <w:rFonts w:ascii="Times New Roman" w:eastAsia="Times New Roman" w:hAnsi="Times New Roman" w:cs="Times New Roman"/>
          <w:sz w:val="28"/>
          <w:vertAlign w:val="subscript"/>
        </w:rPr>
        <w:t>max</w:t>
      </w:r>
      <w:r>
        <w:rPr>
          <w:rFonts w:ascii="Times New Roman" w:eastAsia="Times New Roman" w:hAnsi="Times New Roman" w:cs="Times New Roman"/>
          <w:sz w:val="28"/>
        </w:rPr>
        <w:t xml:space="preserve"> выбрана 0.008T </w:t>
      </w:r>
      <w:r>
        <w:rPr>
          <w:rFonts w:ascii="Times New Roman" w:eastAsia="Times New Roman" w:hAnsi="Times New Roman" w:cs="Times New Roman"/>
          <w:sz w:val="28"/>
        </w:rPr>
        <w:t xml:space="preserve">для уменьшения потерь в сердечнике, тогда минимальное количество витков дросселя определяется по формуле 19: </w:t>
      </w:r>
    </w:p>
    <w:p w:rsidR="0052701D" w:rsidRDefault="00D40929">
      <w:pPr>
        <w:spacing w:after="0"/>
        <w:ind w:left="31"/>
        <w:jc w:val="center"/>
      </w:pPr>
      <w:r>
        <w:rPr>
          <w:rFonts w:ascii="Times New Roman" w:eastAsia="Times New Roman" w:hAnsi="Times New Roman" w:cs="Times New Roman"/>
          <w:sz w:val="28"/>
        </w:rPr>
        <w:t xml:space="preserve"> </w:t>
      </w:r>
    </w:p>
    <w:p w:rsidR="0052701D" w:rsidRDefault="00D40929">
      <w:pPr>
        <w:spacing w:after="0"/>
        <w:jc w:val="center"/>
      </w:pPr>
      <w:r>
        <w:rPr>
          <w:noProof/>
        </w:rPr>
        <w:drawing>
          <wp:inline distT="0" distB="0" distL="0" distR="0">
            <wp:extent cx="1475232" cy="365760"/>
            <wp:effectExtent l="0" t="0" r="0" b="0"/>
            <wp:docPr id="1048761" name="Picture 1048761"/>
            <wp:cNvGraphicFramePr/>
            <a:graphic xmlns:a="http://schemas.openxmlformats.org/drawingml/2006/main">
              <a:graphicData uri="http://schemas.openxmlformats.org/drawingml/2006/picture">
                <pic:pic xmlns:pic="http://schemas.openxmlformats.org/drawingml/2006/picture">
                  <pic:nvPicPr>
                    <pic:cNvPr id="1048761" name="Picture 1048761"/>
                    <pic:cNvPicPr/>
                  </pic:nvPicPr>
                  <pic:blipFill>
                    <a:blip r:embed="rId583"/>
                    <a:stretch>
                      <a:fillRect/>
                    </a:stretch>
                  </pic:blipFill>
                  <pic:spPr>
                    <a:xfrm>
                      <a:off x="0" y="0"/>
                      <a:ext cx="1475232" cy="365760"/>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0"/>
        <w:ind w:left="31"/>
        <w:jc w:val="center"/>
      </w:pPr>
      <w:r>
        <w:rPr>
          <w:rFonts w:ascii="Times New Roman" w:eastAsia="Times New Roman" w:hAnsi="Times New Roman" w:cs="Times New Roman"/>
          <w:sz w:val="28"/>
        </w:rPr>
        <w:t xml:space="preserve"> </w:t>
      </w:r>
    </w:p>
    <w:p w:rsidR="0052701D" w:rsidRDefault="00D40929">
      <w:pPr>
        <w:spacing w:after="5" w:line="271" w:lineRule="auto"/>
        <w:ind w:left="283" w:right="64"/>
        <w:jc w:val="both"/>
      </w:pPr>
      <w:r>
        <w:rPr>
          <w:rFonts w:ascii="Times New Roman" w:eastAsia="Times New Roman" w:hAnsi="Times New Roman" w:cs="Times New Roman"/>
          <w:sz w:val="28"/>
        </w:rPr>
        <w:t xml:space="preserve">где </w:t>
      </w:r>
      <w:r>
        <w:rPr>
          <w:noProof/>
        </w:rPr>
        <w:drawing>
          <wp:inline distT="0" distB="0" distL="0" distR="0">
            <wp:extent cx="481584" cy="161544"/>
            <wp:effectExtent l="0" t="0" r="0" b="0"/>
            <wp:docPr id="1048762" name="Picture 1048762"/>
            <wp:cNvGraphicFramePr/>
            <a:graphic xmlns:a="http://schemas.openxmlformats.org/drawingml/2006/main">
              <a:graphicData uri="http://schemas.openxmlformats.org/drawingml/2006/picture">
                <pic:pic xmlns:pic="http://schemas.openxmlformats.org/drawingml/2006/picture">
                  <pic:nvPicPr>
                    <pic:cNvPr id="1048762" name="Picture 1048762"/>
                    <pic:cNvPicPr/>
                  </pic:nvPicPr>
                  <pic:blipFill>
                    <a:blip r:embed="rId584"/>
                    <a:stretch>
                      <a:fillRect/>
                    </a:stretch>
                  </pic:blipFill>
                  <pic:spPr>
                    <a:xfrm>
                      <a:off x="0" y="0"/>
                      <a:ext cx="481584" cy="161544"/>
                    </a:xfrm>
                    <a:prstGeom prst="rect">
                      <a:avLst/>
                    </a:prstGeom>
                  </pic:spPr>
                </pic:pic>
              </a:graphicData>
            </a:graphic>
          </wp:inline>
        </w:drawing>
      </w:r>
      <w:r>
        <w:rPr>
          <w:rFonts w:ascii="Times New Roman" w:eastAsia="Times New Roman" w:hAnsi="Times New Roman" w:cs="Times New Roman"/>
          <w:sz w:val="28"/>
        </w:rPr>
        <w:t xml:space="preserve"> – магнитная индукция, Т; </w:t>
      </w:r>
      <w:r>
        <w:rPr>
          <w:noProof/>
        </w:rPr>
        <w:drawing>
          <wp:inline distT="0" distB="0" distL="0" distR="0">
            <wp:extent cx="484632" cy="161544"/>
            <wp:effectExtent l="0" t="0" r="0" b="0"/>
            <wp:docPr id="1048763" name="Picture 1048763"/>
            <wp:cNvGraphicFramePr/>
            <a:graphic xmlns:a="http://schemas.openxmlformats.org/drawingml/2006/main">
              <a:graphicData uri="http://schemas.openxmlformats.org/drawingml/2006/picture">
                <pic:pic xmlns:pic="http://schemas.openxmlformats.org/drawingml/2006/picture">
                  <pic:nvPicPr>
                    <pic:cNvPr id="1048763" name="Picture 1048763"/>
                    <pic:cNvPicPr/>
                  </pic:nvPicPr>
                  <pic:blipFill>
                    <a:blip r:embed="rId585"/>
                    <a:stretch>
                      <a:fillRect/>
                    </a:stretch>
                  </pic:blipFill>
                  <pic:spPr>
                    <a:xfrm>
                      <a:off x="0" y="0"/>
                      <a:ext cx="484632" cy="161544"/>
                    </a:xfrm>
                    <a:prstGeom prst="rect">
                      <a:avLst/>
                    </a:prstGeom>
                  </pic:spPr>
                </pic:pic>
              </a:graphicData>
            </a:graphic>
          </wp:inline>
        </w:drawing>
      </w:r>
      <w:r>
        <w:rPr>
          <w:rFonts w:ascii="Times New Roman" w:eastAsia="Times New Roman" w:hAnsi="Times New Roman" w:cs="Times New Roman"/>
          <w:sz w:val="28"/>
        </w:rPr>
        <w:t xml:space="preserve"> – площадь сечения сердечника дросселя, м</w:t>
      </w:r>
      <w:r>
        <w:rPr>
          <w:rFonts w:ascii="Times New Roman" w:eastAsia="Times New Roman" w:hAnsi="Times New Roman" w:cs="Times New Roman"/>
          <w:sz w:val="28"/>
          <w:vertAlign w:val="superscript"/>
        </w:rPr>
        <w:t>2</w:t>
      </w:r>
      <w:r>
        <w:rPr>
          <w:rFonts w:ascii="Times New Roman" w:eastAsia="Times New Roman" w:hAnsi="Times New Roman" w:cs="Times New Roman"/>
          <w:sz w:val="28"/>
        </w:rPr>
        <w:t xml:space="preserve"> </w:t>
      </w:r>
    </w:p>
    <w:p w:rsidR="0052701D" w:rsidRDefault="00D40929">
      <w:pPr>
        <w:spacing w:after="5" w:line="271" w:lineRule="auto"/>
        <w:ind w:left="283" w:right="327" w:firstLine="711"/>
        <w:jc w:val="both"/>
      </w:pPr>
      <w:r>
        <w:rPr>
          <w:rFonts w:ascii="Times New Roman" w:eastAsia="Times New Roman" w:hAnsi="Times New Roman" w:cs="Times New Roman"/>
          <w:sz w:val="28"/>
        </w:rPr>
        <w:t>Из рисунка 2 при нормализированной частоте F = 0.35 было отмече</w:t>
      </w:r>
      <w:r>
        <w:rPr>
          <w:rFonts w:ascii="Times New Roman" w:eastAsia="Times New Roman" w:hAnsi="Times New Roman" w:cs="Times New Roman"/>
          <w:sz w:val="28"/>
        </w:rPr>
        <w:t xml:space="preserve">но получение максимального усиления </w:t>
      </w:r>
      <w:r>
        <w:rPr>
          <w:noProof/>
        </w:rPr>
        <w:drawing>
          <wp:inline distT="0" distB="0" distL="0" distR="0">
            <wp:extent cx="252984" cy="185928"/>
            <wp:effectExtent l="0" t="0" r="0" b="0"/>
            <wp:docPr id="1048764" name="Picture 1048764"/>
            <wp:cNvGraphicFramePr/>
            <a:graphic xmlns:a="http://schemas.openxmlformats.org/drawingml/2006/main">
              <a:graphicData uri="http://schemas.openxmlformats.org/drawingml/2006/picture">
                <pic:pic xmlns:pic="http://schemas.openxmlformats.org/drawingml/2006/picture">
                  <pic:nvPicPr>
                    <pic:cNvPr id="1048764" name="Picture 1048764"/>
                    <pic:cNvPicPr/>
                  </pic:nvPicPr>
                  <pic:blipFill>
                    <a:blip r:embed="rId586"/>
                    <a:stretch>
                      <a:fillRect/>
                    </a:stretch>
                  </pic:blipFill>
                  <pic:spPr>
                    <a:xfrm>
                      <a:off x="0" y="0"/>
                      <a:ext cx="252984" cy="185928"/>
                    </a:xfrm>
                    <a:prstGeom prst="rect">
                      <a:avLst/>
                    </a:prstGeom>
                  </pic:spPr>
                </pic:pic>
              </a:graphicData>
            </a:graphic>
          </wp:inline>
        </w:drawing>
      </w:r>
      <w:r>
        <w:rPr>
          <w:rFonts w:ascii="Times New Roman" w:eastAsia="Times New Roman" w:hAnsi="Times New Roman" w:cs="Times New Roman"/>
          <w:sz w:val="28"/>
        </w:rPr>
        <w:t xml:space="preserve"> = 1,28. Минимальная рабочая частота определяется по формуле 20: </w:t>
      </w:r>
    </w:p>
    <w:p w:rsidR="0052701D" w:rsidRDefault="00D40929">
      <w:pPr>
        <w:spacing w:after="0"/>
        <w:ind w:left="31"/>
        <w:jc w:val="center"/>
      </w:pPr>
      <w:r>
        <w:rPr>
          <w:rFonts w:ascii="Times New Roman" w:eastAsia="Times New Roman" w:hAnsi="Times New Roman" w:cs="Times New Roman"/>
          <w:sz w:val="28"/>
        </w:rPr>
        <w:t xml:space="preserve"> </w:t>
      </w:r>
    </w:p>
    <w:p w:rsidR="0052701D" w:rsidRDefault="00D40929">
      <w:pPr>
        <w:spacing w:after="14" w:line="249" w:lineRule="auto"/>
        <w:ind w:left="954" w:right="333" w:hanging="10"/>
        <w:jc w:val="center"/>
      </w:pPr>
      <w:r>
        <w:rPr>
          <w:noProof/>
        </w:rPr>
        <w:drawing>
          <wp:anchor distT="0" distB="0" distL="114300" distR="114300" simplePos="0" relativeHeight="251765760" behindDoc="0" locked="0" layoutInCell="1" allowOverlap="0">
            <wp:simplePos x="0" y="0"/>
            <wp:positionH relativeFrom="column">
              <wp:posOffset>2656535</wp:posOffset>
            </wp:positionH>
            <wp:positionV relativeFrom="paragraph">
              <wp:posOffset>1432</wp:posOffset>
            </wp:positionV>
            <wp:extent cx="597408" cy="582168"/>
            <wp:effectExtent l="0" t="0" r="0" b="0"/>
            <wp:wrapSquare wrapText="bothSides"/>
            <wp:docPr id="1048765" name="Picture 1048765"/>
            <wp:cNvGraphicFramePr/>
            <a:graphic xmlns:a="http://schemas.openxmlformats.org/drawingml/2006/main">
              <a:graphicData uri="http://schemas.openxmlformats.org/drawingml/2006/picture">
                <pic:pic xmlns:pic="http://schemas.openxmlformats.org/drawingml/2006/picture">
                  <pic:nvPicPr>
                    <pic:cNvPr id="1048765" name="Picture 1048765"/>
                    <pic:cNvPicPr/>
                  </pic:nvPicPr>
                  <pic:blipFill>
                    <a:blip r:embed="rId587"/>
                    <a:stretch>
                      <a:fillRect/>
                    </a:stretch>
                  </pic:blipFill>
                  <pic:spPr>
                    <a:xfrm>
                      <a:off x="0" y="0"/>
                      <a:ext cx="597408" cy="582168"/>
                    </a:xfrm>
                    <a:prstGeom prst="rect">
                      <a:avLst/>
                    </a:prstGeom>
                  </pic:spPr>
                </pic:pic>
              </a:graphicData>
            </a:graphic>
          </wp:anchor>
        </w:drawing>
      </w:r>
      <w:r>
        <w:rPr>
          <w:noProof/>
        </w:rPr>
        <mc:AlternateContent>
          <mc:Choice Requires="wpg">
            <w:drawing>
              <wp:anchor distT="0" distB="0" distL="114300" distR="114300" simplePos="0" relativeHeight="251766784" behindDoc="0" locked="0" layoutInCell="1" allowOverlap="1">
                <wp:simplePos x="0" y="0"/>
                <wp:positionH relativeFrom="column">
                  <wp:posOffset>3277819</wp:posOffset>
                </wp:positionH>
                <wp:positionV relativeFrom="paragraph">
                  <wp:posOffset>434535</wp:posOffset>
                </wp:positionV>
                <wp:extent cx="38893" cy="176784"/>
                <wp:effectExtent l="0" t="0" r="0" b="0"/>
                <wp:wrapSquare wrapText="bothSides"/>
                <wp:docPr id="1048767" name="Group 1048767"/>
                <wp:cNvGraphicFramePr/>
                <a:graphic xmlns:a="http://schemas.openxmlformats.org/drawingml/2006/main">
                  <a:graphicData uri="http://schemas.microsoft.com/office/word/2010/wordprocessingGroup">
                    <wpg:wgp>
                      <wpg:cNvGrpSpPr/>
                      <wpg:grpSpPr>
                        <a:xfrm>
                          <a:off x="0" y="0"/>
                          <a:ext cx="38893" cy="176784"/>
                          <a:chOff x="0" y="0"/>
                          <a:chExt cx="38893" cy="176784"/>
                        </a:xfrm>
                      </wpg:grpSpPr>
                      <wps:wsp>
                        <wps:cNvPr id="39275" name="Rectangle 39275"/>
                        <wps:cNvSpPr/>
                        <wps:spPr>
                          <a:xfrm>
                            <a:off x="0" y="0"/>
                            <a:ext cx="51727" cy="235122"/>
                          </a:xfrm>
                          <a:prstGeom prst="rect">
                            <a:avLst/>
                          </a:prstGeom>
                          <a:ln>
                            <a:noFill/>
                          </a:ln>
                        </wps:spPr>
                        <wps:txbx>
                          <w:txbxContent>
                            <w:p w:rsidR="0052701D" w:rsidRDefault="00D40929">
                              <w:r>
                                <w:rPr>
                                  <w:rFonts w:ascii="Cambria Math" w:eastAsia="Cambria Math" w:hAnsi="Cambria Math" w:cs="Cambria Math"/>
                                  <w:sz w:val="28"/>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048767" style="width:3.06241pt;height:13.92pt;position:absolute;mso-position-horizontal-relative:text;mso-position-horizontal:absolute;margin-left:258.096pt;mso-position-vertical-relative:text;margin-top:34.2153pt;" coordsize="388,1767">
                <v:rect id="Rectangle 39275" style="position:absolute;width:517;height:2351;left:0;top:0;" filled="f" stroked="f">
                  <v:textbox inset="0,0,0,0">
                    <w:txbxContent>
                      <w:p>
                        <w:pPr>
                          <w:spacing w:before="0" w:after="160" w:line="259" w:lineRule="auto"/>
                        </w:pPr>
                        <w:r>
                          <w:rPr>
                            <w:rFonts w:cs="Cambria Math" w:hAnsi="Cambria Math" w:eastAsia="Cambria Math" w:ascii="Cambria Math"/>
                            <w:sz w:val="28"/>
                          </w:rPr>
                          <w:t xml:space="preserve"> </w:t>
                        </w:r>
                      </w:p>
                    </w:txbxContent>
                  </v:textbox>
                </v:rect>
                <w10:wrap type="square"/>
              </v:group>
            </w:pict>
          </mc:Fallback>
        </mc:AlternateContent>
      </w:r>
      <w:r>
        <w:rPr>
          <w:rFonts w:ascii="Times New Roman" w:eastAsia="Times New Roman" w:hAnsi="Times New Roman" w:cs="Times New Roman"/>
          <w:sz w:val="28"/>
        </w:rPr>
        <w:t xml:space="preserve"> (20) </w:t>
      </w:r>
    </w:p>
    <w:p w:rsidR="0052701D" w:rsidRDefault="00D40929">
      <w:pPr>
        <w:spacing w:after="304"/>
        <w:ind w:left="994" w:right="4537"/>
      </w:pPr>
      <w:r>
        <w:rPr>
          <w:rFonts w:ascii="Times New Roman" w:eastAsia="Times New Roman" w:hAnsi="Times New Roman" w:cs="Times New Roman"/>
          <w:sz w:val="28"/>
        </w:rPr>
        <w:t xml:space="preserve"> </w:t>
      </w:r>
    </w:p>
    <w:p w:rsidR="0052701D" w:rsidRDefault="00D40929">
      <w:pPr>
        <w:spacing w:after="28"/>
        <w:ind w:left="283"/>
      </w:pPr>
      <w:r>
        <w:rPr>
          <w:rFonts w:ascii="Times New Roman" w:eastAsia="Times New Roman" w:hAnsi="Times New Roman" w:cs="Times New Roman"/>
          <w:sz w:val="28"/>
        </w:rPr>
        <w:t xml:space="preserve"> </w:t>
      </w:r>
    </w:p>
    <w:p w:rsidR="0052701D" w:rsidRDefault="00D40929">
      <w:pPr>
        <w:spacing w:after="5" w:line="271" w:lineRule="auto"/>
        <w:ind w:left="994" w:right="64"/>
        <w:jc w:val="both"/>
      </w:pPr>
      <w:r>
        <w:rPr>
          <w:rFonts w:ascii="Times New Roman" w:eastAsia="Times New Roman" w:hAnsi="Times New Roman" w:cs="Times New Roman"/>
          <w:sz w:val="28"/>
        </w:rPr>
        <w:t xml:space="preserve">Напряжение на первичной обмотке можно рассчитать по формуле 21: </w:t>
      </w:r>
    </w:p>
    <w:p w:rsidR="0052701D" w:rsidRDefault="00D40929">
      <w:pPr>
        <w:spacing w:after="0"/>
        <w:ind w:left="31"/>
        <w:jc w:val="center"/>
      </w:pPr>
      <w:r>
        <w:rPr>
          <w:rFonts w:ascii="Times New Roman" w:eastAsia="Times New Roman" w:hAnsi="Times New Roman" w:cs="Times New Roman"/>
          <w:sz w:val="28"/>
        </w:rPr>
        <w:t xml:space="preserve"> </w:t>
      </w:r>
    </w:p>
    <w:p w:rsidR="0052701D" w:rsidRDefault="00D40929">
      <w:pPr>
        <w:spacing w:after="14" w:line="249" w:lineRule="auto"/>
        <w:ind w:left="954" w:right="1034" w:hanging="10"/>
        <w:jc w:val="center"/>
      </w:pPr>
      <w:r>
        <w:rPr>
          <w:noProof/>
        </w:rPr>
        <w:drawing>
          <wp:inline distT="0" distB="0" distL="0" distR="0">
            <wp:extent cx="1313688" cy="185928"/>
            <wp:effectExtent l="0" t="0" r="0" b="0"/>
            <wp:docPr id="1048768" name="Picture 1048768"/>
            <wp:cNvGraphicFramePr/>
            <a:graphic xmlns:a="http://schemas.openxmlformats.org/drawingml/2006/main">
              <a:graphicData uri="http://schemas.openxmlformats.org/drawingml/2006/picture">
                <pic:pic xmlns:pic="http://schemas.openxmlformats.org/drawingml/2006/picture">
                  <pic:nvPicPr>
                    <pic:cNvPr id="1048768" name="Picture 1048768"/>
                    <pic:cNvPicPr/>
                  </pic:nvPicPr>
                  <pic:blipFill>
                    <a:blip r:embed="rId588"/>
                    <a:stretch>
                      <a:fillRect/>
                    </a:stretch>
                  </pic:blipFill>
                  <pic:spPr>
                    <a:xfrm>
                      <a:off x="0" y="0"/>
                      <a:ext cx="1313688" cy="185928"/>
                    </a:xfrm>
                    <a:prstGeom prst="rect">
                      <a:avLst/>
                    </a:prstGeom>
                  </pic:spPr>
                </pic:pic>
              </a:graphicData>
            </a:graphic>
          </wp:inline>
        </w:drawing>
      </w:r>
      <w:r>
        <w:rPr>
          <w:rFonts w:ascii="Times New Roman" w:eastAsia="Times New Roman" w:hAnsi="Times New Roman" w:cs="Times New Roman"/>
          <w:sz w:val="28"/>
        </w:rPr>
        <w:t xml:space="preserve"> (21) </w:t>
      </w:r>
    </w:p>
    <w:p w:rsidR="0052701D" w:rsidRDefault="00D40929">
      <w:pPr>
        <w:spacing w:after="0"/>
        <w:ind w:left="31"/>
        <w:jc w:val="center"/>
      </w:pPr>
      <w:r>
        <w:rPr>
          <w:rFonts w:ascii="Times New Roman" w:eastAsia="Times New Roman" w:hAnsi="Times New Roman" w:cs="Times New Roman"/>
          <w:sz w:val="28"/>
        </w:rPr>
        <w:t xml:space="preserve"> </w:t>
      </w:r>
    </w:p>
    <w:p w:rsidR="0052701D" w:rsidRDefault="00D40929">
      <w:pPr>
        <w:spacing w:after="5" w:line="271" w:lineRule="auto"/>
        <w:ind w:left="994" w:right="64"/>
        <w:jc w:val="both"/>
      </w:pPr>
      <w:r>
        <w:rPr>
          <w:rFonts w:ascii="Times New Roman" w:eastAsia="Times New Roman" w:hAnsi="Times New Roman" w:cs="Times New Roman"/>
          <w:sz w:val="28"/>
        </w:rPr>
        <w:t xml:space="preserve">Половина периода частоты переключения определяется по формуле </w:t>
      </w:r>
    </w:p>
    <w:p w:rsidR="0052701D" w:rsidRDefault="00D40929">
      <w:pPr>
        <w:spacing w:after="5" w:line="271" w:lineRule="auto"/>
        <w:ind w:left="283" w:right="3980"/>
        <w:jc w:val="both"/>
      </w:pPr>
      <w:r>
        <w:rPr>
          <w:rFonts w:ascii="Times New Roman" w:eastAsia="Times New Roman" w:hAnsi="Times New Roman" w:cs="Times New Roman"/>
          <w:sz w:val="28"/>
        </w:rPr>
        <w:t xml:space="preserve">22: </w:t>
      </w:r>
    </w:p>
    <w:p w:rsidR="0052701D" w:rsidRDefault="00D40929">
      <w:pPr>
        <w:spacing w:after="0"/>
        <w:ind w:right="3"/>
        <w:jc w:val="center"/>
      </w:pPr>
      <w:r>
        <w:rPr>
          <w:noProof/>
        </w:rPr>
        <w:drawing>
          <wp:inline distT="0" distB="0" distL="0" distR="0">
            <wp:extent cx="1112520" cy="353568"/>
            <wp:effectExtent l="0" t="0" r="0" b="0"/>
            <wp:docPr id="1048769" name="Picture 1048769"/>
            <wp:cNvGraphicFramePr/>
            <a:graphic xmlns:a="http://schemas.openxmlformats.org/drawingml/2006/main">
              <a:graphicData uri="http://schemas.openxmlformats.org/drawingml/2006/picture">
                <pic:pic xmlns:pic="http://schemas.openxmlformats.org/drawingml/2006/picture">
                  <pic:nvPicPr>
                    <pic:cNvPr id="1048769" name="Picture 1048769"/>
                    <pic:cNvPicPr/>
                  </pic:nvPicPr>
                  <pic:blipFill>
                    <a:blip r:embed="rId589"/>
                    <a:stretch>
                      <a:fillRect/>
                    </a:stretch>
                  </pic:blipFill>
                  <pic:spPr>
                    <a:xfrm>
                      <a:off x="0" y="0"/>
                      <a:ext cx="1112520" cy="353568"/>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28"/>
        <w:ind w:left="31"/>
        <w:jc w:val="center"/>
      </w:pPr>
      <w:r>
        <w:rPr>
          <w:rFonts w:ascii="Times New Roman" w:eastAsia="Times New Roman" w:hAnsi="Times New Roman" w:cs="Times New Roman"/>
          <w:sz w:val="28"/>
        </w:rPr>
        <w:t xml:space="preserve"> </w:t>
      </w:r>
    </w:p>
    <w:p w:rsidR="0052701D" w:rsidRDefault="00D40929">
      <w:pPr>
        <w:spacing w:after="5" w:line="271" w:lineRule="auto"/>
        <w:ind w:left="994" w:right="64"/>
        <w:jc w:val="both"/>
      </w:pPr>
      <w:r>
        <w:rPr>
          <w:rFonts w:ascii="Times New Roman" w:eastAsia="Times New Roman" w:hAnsi="Times New Roman" w:cs="Times New Roman"/>
          <w:sz w:val="28"/>
        </w:rPr>
        <w:t xml:space="preserve">Тогда, согласно закону Фарадея, можно записать формулу 23: </w:t>
      </w:r>
    </w:p>
    <w:p w:rsidR="0052701D" w:rsidRDefault="00D40929">
      <w:pPr>
        <w:spacing w:after="0"/>
        <w:ind w:left="994"/>
      </w:pPr>
      <w:r>
        <w:rPr>
          <w:rFonts w:ascii="Times New Roman" w:eastAsia="Times New Roman" w:hAnsi="Times New Roman" w:cs="Times New Roman"/>
          <w:sz w:val="28"/>
        </w:rPr>
        <w:t xml:space="preserve"> </w:t>
      </w:r>
    </w:p>
    <w:p w:rsidR="0052701D" w:rsidRDefault="00D40929">
      <w:pPr>
        <w:spacing w:after="0"/>
        <w:jc w:val="center"/>
      </w:pPr>
      <w:r>
        <w:rPr>
          <w:noProof/>
        </w:rPr>
        <w:drawing>
          <wp:inline distT="0" distB="0" distL="0" distR="0">
            <wp:extent cx="1024128" cy="377952"/>
            <wp:effectExtent l="0" t="0" r="0" b="0"/>
            <wp:docPr id="1048770" name="Picture 1048770"/>
            <wp:cNvGraphicFramePr/>
            <a:graphic xmlns:a="http://schemas.openxmlformats.org/drawingml/2006/main">
              <a:graphicData uri="http://schemas.openxmlformats.org/drawingml/2006/picture">
                <pic:pic xmlns:pic="http://schemas.openxmlformats.org/drawingml/2006/picture">
                  <pic:nvPicPr>
                    <pic:cNvPr id="1048770" name="Picture 1048770"/>
                    <pic:cNvPicPr/>
                  </pic:nvPicPr>
                  <pic:blipFill>
                    <a:blip r:embed="rId590"/>
                    <a:stretch>
                      <a:fillRect/>
                    </a:stretch>
                  </pic:blipFill>
                  <pic:spPr>
                    <a:xfrm>
                      <a:off x="0" y="0"/>
                      <a:ext cx="1024128" cy="377952"/>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0"/>
        <w:ind w:left="31" w:right="817"/>
        <w:jc w:val="center"/>
      </w:pPr>
      <w:r>
        <w:rPr>
          <w:rFonts w:ascii="Times New Roman" w:eastAsia="Times New Roman" w:hAnsi="Times New Roman" w:cs="Times New Roman"/>
          <w:sz w:val="28"/>
        </w:rPr>
        <w:t xml:space="preserve"> </w:t>
      </w:r>
    </w:p>
    <w:p w:rsidR="0052701D" w:rsidRDefault="00D40929">
      <w:pPr>
        <w:spacing w:after="5" w:line="271" w:lineRule="auto"/>
        <w:ind w:left="283" w:right="252" w:firstLine="711"/>
        <w:jc w:val="both"/>
      </w:pPr>
      <w:r>
        <w:rPr>
          <w:rFonts w:ascii="Times New Roman" w:eastAsia="Times New Roman" w:hAnsi="Times New Roman" w:cs="Times New Roman"/>
          <w:sz w:val="28"/>
        </w:rPr>
        <w:t xml:space="preserve">Для трансформаторы выбран сердечник PQ3230 с </w:t>
      </w:r>
      <w:r>
        <w:rPr>
          <w:rFonts w:ascii="Times New Roman" w:eastAsia="Times New Roman" w:hAnsi="Times New Roman" w:cs="Times New Roman"/>
          <w:i/>
          <w:sz w:val="28"/>
        </w:rPr>
        <w:t>A</w:t>
      </w:r>
      <w:r>
        <w:rPr>
          <w:rFonts w:ascii="Times New Roman" w:eastAsia="Times New Roman" w:hAnsi="Times New Roman" w:cs="Times New Roman"/>
          <w:i/>
          <w:sz w:val="28"/>
          <w:vertAlign w:val="subscript"/>
        </w:rPr>
        <w:t>e</w:t>
      </w:r>
      <w:r>
        <w:rPr>
          <w:rFonts w:ascii="Times New Roman" w:eastAsia="Times New Roman" w:hAnsi="Times New Roman" w:cs="Times New Roman"/>
          <w:sz w:val="28"/>
          <w:vertAlign w:val="subscript"/>
        </w:rPr>
        <w:t xml:space="preserve"> </w:t>
      </w:r>
      <w:r>
        <w:rPr>
          <w:rFonts w:ascii="Times New Roman" w:eastAsia="Times New Roman" w:hAnsi="Times New Roman" w:cs="Times New Roman"/>
          <w:sz w:val="28"/>
        </w:rPr>
        <w:t xml:space="preserve">= </w:t>
      </w:r>
      <w:r>
        <w:rPr>
          <w:noProof/>
        </w:rPr>
        <w:drawing>
          <wp:inline distT="0" distB="0" distL="0" distR="0">
            <wp:extent cx="585216" cy="155448"/>
            <wp:effectExtent l="0" t="0" r="0" b="0"/>
            <wp:docPr id="1048771" name="Picture 1048771"/>
            <wp:cNvGraphicFramePr/>
            <a:graphic xmlns:a="http://schemas.openxmlformats.org/drawingml/2006/main">
              <a:graphicData uri="http://schemas.openxmlformats.org/drawingml/2006/picture">
                <pic:pic xmlns:pic="http://schemas.openxmlformats.org/drawingml/2006/picture">
                  <pic:nvPicPr>
                    <pic:cNvPr id="1048771" name="Picture 1048771"/>
                    <pic:cNvPicPr/>
                  </pic:nvPicPr>
                  <pic:blipFill>
                    <a:blip r:embed="rId591"/>
                    <a:stretch>
                      <a:fillRect/>
                    </a:stretch>
                  </pic:blipFill>
                  <pic:spPr>
                    <a:xfrm>
                      <a:off x="0" y="0"/>
                      <a:ext cx="585216" cy="155448"/>
                    </a:xfrm>
                    <a:prstGeom prst="rect">
                      <a:avLst/>
                    </a:prstGeom>
                  </pic:spPr>
                </pic:pic>
              </a:graphicData>
            </a:graphic>
          </wp:inline>
        </w:drawing>
      </w:r>
      <w:r>
        <w:rPr>
          <w:rFonts w:ascii="Times New Roman" w:eastAsia="Times New Roman" w:hAnsi="Times New Roman" w:cs="Times New Roman"/>
          <w:sz w:val="28"/>
          <w:vertAlign w:val="superscript"/>
        </w:rPr>
        <w:t xml:space="preserve"> </w:t>
      </w:r>
      <w:r>
        <w:rPr>
          <w:rFonts w:ascii="Times New Roman" w:eastAsia="Times New Roman" w:hAnsi="Times New Roman" w:cs="Times New Roman"/>
          <w:sz w:val="28"/>
        </w:rPr>
        <w:t xml:space="preserve">для предотвращения насыщения сердечника трансформатора принимается </w:t>
      </w:r>
      <w:r>
        <w:rPr>
          <w:noProof/>
        </w:rPr>
        <w:drawing>
          <wp:inline distT="0" distB="0" distL="0" distR="0">
            <wp:extent cx="219456" cy="124968"/>
            <wp:effectExtent l="0" t="0" r="0" b="0"/>
            <wp:docPr id="1048772" name="Picture 1048772"/>
            <wp:cNvGraphicFramePr/>
            <a:graphic xmlns:a="http://schemas.openxmlformats.org/drawingml/2006/main">
              <a:graphicData uri="http://schemas.openxmlformats.org/drawingml/2006/picture">
                <pic:pic xmlns:pic="http://schemas.openxmlformats.org/drawingml/2006/picture">
                  <pic:nvPicPr>
                    <pic:cNvPr id="1048772" name="Picture 1048772"/>
                    <pic:cNvPicPr/>
                  </pic:nvPicPr>
                  <pic:blipFill>
                    <a:blip r:embed="rId592"/>
                    <a:stretch>
                      <a:fillRect/>
                    </a:stretch>
                  </pic:blipFill>
                  <pic:spPr>
                    <a:xfrm>
                      <a:off x="0" y="0"/>
                      <a:ext cx="219456" cy="124968"/>
                    </a:xfrm>
                    <a:prstGeom prst="rect">
                      <a:avLst/>
                    </a:prstGeom>
                  </pic:spPr>
                </pic:pic>
              </a:graphicData>
            </a:graphic>
          </wp:inline>
        </w:drawing>
      </w:r>
      <w:r>
        <w:rPr>
          <w:rFonts w:ascii="Times New Roman" w:eastAsia="Times New Roman" w:hAnsi="Times New Roman" w:cs="Times New Roman"/>
          <w:sz w:val="28"/>
        </w:rPr>
        <w:t xml:space="preserve"> =0,62Т. Тогда минимальное количество витков трансформатора определяется по формуле 24: </w:t>
      </w:r>
    </w:p>
    <w:p w:rsidR="0052701D" w:rsidRDefault="00D40929">
      <w:pPr>
        <w:spacing w:after="0"/>
        <w:ind w:left="994"/>
      </w:pPr>
      <w:r>
        <w:rPr>
          <w:rFonts w:ascii="Times New Roman" w:eastAsia="Times New Roman" w:hAnsi="Times New Roman" w:cs="Times New Roman"/>
          <w:sz w:val="28"/>
        </w:rPr>
        <w:t xml:space="preserve"> </w:t>
      </w:r>
    </w:p>
    <w:p w:rsidR="0052701D" w:rsidRDefault="00D40929">
      <w:pPr>
        <w:spacing w:after="0"/>
        <w:jc w:val="center"/>
      </w:pPr>
      <w:r>
        <w:rPr>
          <w:noProof/>
        </w:rPr>
        <w:drawing>
          <wp:inline distT="0" distB="0" distL="0" distR="0">
            <wp:extent cx="1319784" cy="377952"/>
            <wp:effectExtent l="0" t="0" r="0" b="0"/>
            <wp:docPr id="1048773" name="Picture 1048773"/>
            <wp:cNvGraphicFramePr/>
            <a:graphic xmlns:a="http://schemas.openxmlformats.org/drawingml/2006/main">
              <a:graphicData uri="http://schemas.openxmlformats.org/drawingml/2006/picture">
                <pic:pic xmlns:pic="http://schemas.openxmlformats.org/drawingml/2006/picture">
                  <pic:nvPicPr>
                    <pic:cNvPr id="1048773" name="Picture 1048773"/>
                    <pic:cNvPicPr/>
                  </pic:nvPicPr>
                  <pic:blipFill>
                    <a:blip r:embed="rId593"/>
                    <a:stretch>
                      <a:fillRect/>
                    </a:stretch>
                  </pic:blipFill>
                  <pic:spPr>
                    <a:xfrm>
                      <a:off x="0" y="0"/>
                      <a:ext cx="1319784" cy="377952"/>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0"/>
        <w:ind w:left="31"/>
        <w:jc w:val="center"/>
      </w:pPr>
      <w:r>
        <w:rPr>
          <w:rFonts w:ascii="Times New Roman" w:eastAsia="Times New Roman" w:hAnsi="Times New Roman" w:cs="Times New Roman"/>
          <w:sz w:val="28"/>
        </w:rPr>
        <w:t xml:space="preserve"> </w:t>
      </w:r>
    </w:p>
    <w:p w:rsidR="0052701D" w:rsidRDefault="00D40929">
      <w:pPr>
        <w:spacing w:after="0"/>
        <w:ind w:left="2464"/>
      </w:pPr>
      <w:r>
        <w:rPr>
          <w:noProof/>
        </w:rPr>
        <w:drawing>
          <wp:inline distT="0" distB="0" distL="0" distR="0">
            <wp:extent cx="2947416" cy="448056"/>
            <wp:effectExtent l="0" t="0" r="0" b="0"/>
            <wp:docPr id="1048774" name="Picture 1048774"/>
            <wp:cNvGraphicFramePr/>
            <a:graphic xmlns:a="http://schemas.openxmlformats.org/drawingml/2006/main">
              <a:graphicData uri="http://schemas.openxmlformats.org/drawingml/2006/picture">
                <pic:pic xmlns:pic="http://schemas.openxmlformats.org/drawingml/2006/picture">
                  <pic:nvPicPr>
                    <pic:cNvPr id="1048774" name="Picture 1048774"/>
                    <pic:cNvPicPr/>
                  </pic:nvPicPr>
                  <pic:blipFill>
                    <a:blip r:embed="rId594"/>
                    <a:stretch>
                      <a:fillRect/>
                    </a:stretch>
                  </pic:blipFill>
                  <pic:spPr>
                    <a:xfrm>
                      <a:off x="0" y="0"/>
                      <a:ext cx="2947416" cy="448056"/>
                    </a:xfrm>
                    <a:prstGeom prst="rect">
                      <a:avLst/>
                    </a:prstGeom>
                  </pic:spPr>
                </pic:pic>
              </a:graphicData>
            </a:graphic>
          </wp:inline>
        </w:drawing>
      </w:r>
    </w:p>
    <w:p w:rsidR="0052701D" w:rsidRDefault="00D40929">
      <w:pPr>
        <w:spacing w:after="28"/>
        <w:ind w:left="283" w:right="2479"/>
      </w:pPr>
      <w:r>
        <w:rPr>
          <w:rFonts w:ascii="Times New Roman" w:eastAsia="Times New Roman" w:hAnsi="Times New Roman" w:cs="Times New Roman"/>
          <w:sz w:val="28"/>
        </w:rPr>
        <w:t xml:space="preserve"> </w:t>
      </w:r>
    </w:p>
    <w:p w:rsidR="0052701D" w:rsidRDefault="00D40929">
      <w:pPr>
        <w:spacing w:after="5" w:line="271" w:lineRule="auto"/>
        <w:ind w:left="283" w:right="64" w:firstLine="711"/>
        <w:jc w:val="both"/>
      </w:pPr>
      <w:r>
        <w:rPr>
          <w:rFonts w:ascii="Times New Roman" w:eastAsia="Times New Roman" w:hAnsi="Times New Roman" w:cs="Times New Roman"/>
          <w:sz w:val="28"/>
        </w:rPr>
        <w:t xml:space="preserve">Количество витков первичной обмотки принимается равным </w:t>
      </w:r>
      <w:r>
        <w:rPr>
          <w:rFonts w:ascii="Times New Roman" w:eastAsia="Times New Roman" w:hAnsi="Times New Roman" w:cs="Times New Roman"/>
          <w:i/>
          <w:sz w:val="28"/>
        </w:rPr>
        <w:t>N</w:t>
      </w:r>
      <w:r>
        <w:rPr>
          <w:rFonts w:ascii="Times New Roman" w:eastAsia="Times New Roman" w:hAnsi="Times New Roman" w:cs="Times New Roman"/>
          <w:i/>
          <w:sz w:val="28"/>
          <w:vertAlign w:val="subscript"/>
        </w:rPr>
        <w:t>p</w:t>
      </w:r>
      <w:r>
        <w:rPr>
          <w:rFonts w:ascii="Times New Roman" w:eastAsia="Times New Roman" w:hAnsi="Times New Roman" w:cs="Times New Roman"/>
          <w:sz w:val="28"/>
        </w:rPr>
        <w:t xml:space="preserve"> = 34, тогда количество витков </w:t>
      </w:r>
      <w:r>
        <w:rPr>
          <w:rFonts w:ascii="Times New Roman" w:eastAsia="Times New Roman" w:hAnsi="Times New Roman" w:cs="Times New Roman"/>
          <w:sz w:val="28"/>
        </w:rPr>
        <w:t xml:space="preserve">вторичной обмотки рассчитывается по формуле 25: </w:t>
      </w:r>
    </w:p>
    <w:p w:rsidR="0052701D" w:rsidRDefault="00D40929">
      <w:pPr>
        <w:spacing w:after="0"/>
        <w:ind w:left="283" w:right="4275"/>
      </w:pPr>
      <w:r>
        <w:rPr>
          <w:rFonts w:ascii="Times New Roman" w:eastAsia="Times New Roman" w:hAnsi="Times New Roman" w:cs="Times New Roman"/>
          <w:sz w:val="28"/>
        </w:rPr>
        <w:t xml:space="preserve"> </w:t>
      </w:r>
    </w:p>
    <w:p w:rsidR="0052701D" w:rsidRDefault="00D40929">
      <w:pPr>
        <w:spacing w:after="4"/>
        <w:ind w:left="4264"/>
      </w:pPr>
      <w:r>
        <w:rPr>
          <w:noProof/>
        </w:rPr>
        <w:lastRenderedPageBreak/>
        <w:drawing>
          <wp:inline distT="0" distB="0" distL="0" distR="0">
            <wp:extent cx="664464" cy="384048"/>
            <wp:effectExtent l="0" t="0" r="0" b="0"/>
            <wp:docPr id="1048775" name="Picture 1048775"/>
            <wp:cNvGraphicFramePr/>
            <a:graphic xmlns:a="http://schemas.openxmlformats.org/drawingml/2006/main">
              <a:graphicData uri="http://schemas.openxmlformats.org/drawingml/2006/picture">
                <pic:pic xmlns:pic="http://schemas.openxmlformats.org/drawingml/2006/picture">
                  <pic:nvPicPr>
                    <pic:cNvPr id="1048775" name="Picture 1048775"/>
                    <pic:cNvPicPr/>
                  </pic:nvPicPr>
                  <pic:blipFill>
                    <a:blip r:embed="rId595"/>
                    <a:stretch>
                      <a:fillRect/>
                    </a:stretch>
                  </pic:blipFill>
                  <pic:spPr>
                    <a:xfrm>
                      <a:off x="0" y="0"/>
                      <a:ext cx="664464" cy="384048"/>
                    </a:xfrm>
                    <a:prstGeom prst="rect">
                      <a:avLst/>
                    </a:prstGeom>
                  </pic:spPr>
                </pic:pic>
              </a:graphicData>
            </a:graphic>
          </wp:inline>
        </w:drawing>
      </w:r>
    </w:p>
    <w:p w:rsidR="0052701D" w:rsidRDefault="00D40929">
      <w:pPr>
        <w:spacing w:after="0"/>
        <w:ind w:left="283" w:right="4140"/>
      </w:pPr>
      <w:r>
        <w:rPr>
          <w:rFonts w:ascii="Times New Roman" w:eastAsia="Times New Roman" w:hAnsi="Times New Roman" w:cs="Times New Roman"/>
          <w:sz w:val="28"/>
        </w:rPr>
        <w:t xml:space="preserve"> </w:t>
      </w:r>
    </w:p>
    <w:p w:rsidR="0052701D" w:rsidRDefault="00D40929">
      <w:pPr>
        <w:spacing w:after="0"/>
        <w:ind w:right="11"/>
        <w:jc w:val="center"/>
      </w:pPr>
      <w:r>
        <w:rPr>
          <w:noProof/>
        </w:rPr>
        <w:drawing>
          <wp:inline distT="0" distB="0" distL="0" distR="0">
            <wp:extent cx="908304" cy="283464"/>
            <wp:effectExtent l="0" t="0" r="0" b="0"/>
            <wp:docPr id="1048776" name="Picture 1048776"/>
            <wp:cNvGraphicFramePr/>
            <a:graphic xmlns:a="http://schemas.openxmlformats.org/drawingml/2006/main">
              <a:graphicData uri="http://schemas.openxmlformats.org/drawingml/2006/picture">
                <pic:pic xmlns:pic="http://schemas.openxmlformats.org/drawingml/2006/picture">
                  <pic:nvPicPr>
                    <pic:cNvPr id="1048776" name="Picture 1048776"/>
                    <pic:cNvPicPr/>
                  </pic:nvPicPr>
                  <pic:blipFill>
                    <a:blip r:embed="rId596"/>
                    <a:stretch>
                      <a:fillRect/>
                    </a:stretch>
                  </pic:blipFill>
                  <pic:spPr>
                    <a:xfrm>
                      <a:off x="0" y="0"/>
                      <a:ext cx="908304" cy="283464"/>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0"/>
        <w:ind w:left="994" w:right="4140"/>
      </w:pPr>
      <w:r>
        <w:rPr>
          <w:rFonts w:ascii="Times New Roman" w:eastAsia="Times New Roman" w:hAnsi="Times New Roman" w:cs="Times New Roman"/>
          <w:sz w:val="28"/>
        </w:rPr>
        <w:t xml:space="preserve"> </w:t>
      </w:r>
    </w:p>
    <w:p w:rsidR="0052701D" w:rsidRDefault="00D40929">
      <w:pPr>
        <w:spacing w:after="5" w:line="271" w:lineRule="auto"/>
        <w:ind w:left="283" w:right="64" w:firstLine="711"/>
        <w:jc w:val="both"/>
      </w:pPr>
      <w:r>
        <w:rPr>
          <w:rFonts w:ascii="Times New Roman" w:eastAsia="Times New Roman" w:hAnsi="Times New Roman" w:cs="Times New Roman"/>
          <w:sz w:val="28"/>
        </w:rPr>
        <w:t xml:space="preserve">По результатам расчетов были намотаны резонансный дроссель и силовой трансформатор. За основу электрической схемы преобразователя </w:t>
      </w:r>
      <w:r>
        <w:rPr>
          <w:rFonts w:ascii="Times New Roman" w:eastAsia="Times New Roman" w:hAnsi="Times New Roman" w:cs="Times New Roman"/>
          <w:sz w:val="28"/>
        </w:rPr>
        <w:t xml:space="preserve">была взята принципиальная электрическая схема оценочной платы производства Infineon [8].  </w:t>
      </w:r>
    </w:p>
    <w:p w:rsidR="0052701D" w:rsidRDefault="00D40929">
      <w:pPr>
        <w:spacing w:after="5" w:line="251" w:lineRule="auto"/>
        <w:ind w:left="994" w:firstLine="9"/>
      </w:pPr>
      <w:r>
        <w:rPr>
          <w:rFonts w:ascii="Times New Roman" w:eastAsia="Times New Roman" w:hAnsi="Times New Roman" w:cs="Times New Roman"/>
          <w:b/>
          <w:sz w:val="28"/>
        </w:rPr>
        <w:t xml:space="preserve">Заключение </w:t>
      </w:r>
    </w:p>
    <w:p w:rsidR="0052701D" w:rsidRDefault="00D40929">
      <w:pPr>
        <w:spacing w:after="5" w:line="271" w:lineRule="auto"/>
        <w:ind w:left="283" w:right="326" w:firstLine="711"/>
        <w:jc w:val="both"/>
      </w:pPr>
      <w:r>
        <w:rPr>
          <w:rFonts w:ascii="Times New Roman" w:eastAsia="Times New Roman" w:hAnsi="Times New Roman" w:cs="Times New Roman"/>
          <w:sz w:val="28"/>
        </w:rPr>
        <w:t xml:space="preserve">В статье показано изготовление высокоэффективного малогабаритного преобразователя напряжения на основе квазирезонансного метода для микроспутников и мультикоптеров и расчет квазирезонансного преобразователя. Необходимость улучшения классических импульсных </w:t>
      </w:r>
      <w:r>
        <w:rPr>
          <w:rFonts w:ascii="Times New Roman" w:eastAsia="Times New Roman" w:hAnsi="Times New Roman" w:cs="Times New Roman"/>
          <w:sz w:val="28"/>
        </w:rPr>
        <w:t xml:space="preserve">преобразователей с широтно-импульсная модуляция управлением путем использования квазирезонансного метода управления.  </w:t>
      </w:r>
    </w:p>
    <w:p w:rsidR="0052701D" w:rsidRDefault="00D40929">
      <w:pPr>
        <w:spacing w:after="5" w:line="271" w:lineRule="auto"/>
        <w:ind w:left="283" w:right="329" w:firstLine="711"/>
        <w:jc w:val="both"/>
      </w:pPr>
      <w:r>
        <w:rPr>
          <w:rFonts w:ascii="Times New Roman" w:eastAsia="Times New Roman" w:hAnsi="Times New Roman" w:cs="Times New Roman"/>
          <w:sz w:val="28"/>
        </w:rPr>
        <w:t>Рассмотрены области применения квазирезонансного преобразователя. Описан квазирезонансный метод и принцип синхронного выпрямления, выбран</w:t>
      </w:r>
      <w:r>
        <w:rPr>
          <w:rFonts w:ascii="Times New Roman" w:eastAsia="Times New Roman" w:hAnsi="Times New Roman" w:cs="Times New Roman"/>
          <w:sz w:val="28"/>
        </w:rPr>
        <w:t>а топология, рассмотрена структурная схема полумостового квазирезонансного преобразователя. Проведен обзор производителей контроллеров и выбран прототип квазирезонансного преобразователя для разработки макета. А также проведен расчет энергетических и часто</w:t>
      </w:r>
      <w:r>
        <w:rPr>
          <w:rFonts w:ascii="Times New Roman" w:eastAsia="Times New Roman" w:hAnsi="Times New Roman" w:cs="Times New Roman"/>
          <w:sz w:val="28"/>
        </w:rPr>
        <w:t xml:space="preserve">тных параметров системы квазирезонансного преобразователя, на основе которых рассчитаны резонансный дроссель и трансформатор. </w:t>
      </w:r>
    </w:p>
    <w:p w:rsidR="0052701D" w:rsidRDefault="00D40929">
      <w:pPr>
        <w:spacing w:after="0"/>
        <w:ind w:left="994"/>
      </w:pPr>
      <w:r>
        <w:rPr>
          <w:rFonts w:ascii="Times New Roman" w:eastAsia="Times New Roman" w:hAnsi="Times New Roman" w:cs="Times New Roman"/>
          <w:sz w:val="28"/>
        </w:rPr>
        <w:t xml:space="preserve"> </w:t>
      </w:r>
    </w:p>
    <w:p w:rsidR="0052701D" w:rsidRDefault="00D40929">
      <w:pPr>
        <w:spacing w:after="16" w:line="248" w:lineRule="auto"/>
        <w:ind w:left="819" w:right="855" w:hanging="10"/>
        <w:jc w:val="center"/>
      </w:pPr>
      <w:r>
        <w:rPr>
          <w:rFonts w:ascii="Times New Roman" w:eastAsia="Times New Roman" w:hAnsi="Times New Roman" w:cs="Times New Roman"/>
          <w:b/>
          <w:sz w:val="24"/>
        </w:rPr>
        <w:t xml:space="preserve">Источники  </w:t>
      </w:r>
    </w:p>
    <w:p w:rsidR="0052701D" w:rsidRDefault="00D40929">
      <w:pPr>
        <w:spacing w:after="29" w:line="248" w:lineRule="auto"/>
        <w:ind w:left="283" w:right="327" w:firstLine="711"/>
        <w:jc w:val="both"/>
      </w:pPr>
      <w:r>
        <w:rPr>
          <w:rFonts w:ascii="Times New Roman" w:eastAsia="Times New Roman" w:hAnsi="Times New Roman" w:cs="Times New Roman"/>
          <w:sz w:val="24"/>
        </w:rPr>
        <w:t>[1]. Горяшин, Н.Н. Анализ режимов работы квазирезонансного преобразователя напряжения / Н.Н. Горяшин, М.В. Лукьянен</w:t>
      </w:r>
      <w:r>
        <w:rPr>
          <w:rFonts w:ascii="Times New Roman" w:eastAsia="Times New Roman" w:hAnsi="Times New Roman" w:cs="Times New Roman"/>
          <w:sz w:val="24"/>
        </w:rPr>
        <w:t xml:space="preserve">ко, А.А. Соломатова, А.Ю. Хорошко // Известия высших учебных заведений. Приборостроение. 2011. – Т. 54. – № 4. – С. 7-13. </w:t>
      </w:r>
      <w:r>
        <w:rPr>
          <w:rFonts w:ascii="Times New Roman" w:eastAsia="Times New Roman" w:hAnsi="Times New Roman" w:cs="Times New Roman"/>
          <w:b/>
          <w:sz w:val="24"/>
        </w:rPr>
        <w:t xml:space="preserve"> </w:t>
      </w:r>
    </w:p>
    <w:p w:rsidR="0052701D" w:rsidRDefault="00D40929">
      <w:pPr>
        <w:spacing w:after="7" w:line="248" w:lineRule="auto"/>
        <w:ind w:left="283" w:right="323" w:firstLine="711"/>
        <w:jc w:val="both"/>
      </w:pPr>
      <w:r>
        <w:rPr>
          <w:rFonts w:ascii="Times New Roman" w:eastAsia="Times New Roman" w:hAnsi="Times New Roman" w:cs="Times New Roman"/>
          <w:sz w:val="24"/>
        </w:rPr>
        <w:t xml:space="preserve">[2]. Федянин, В.В. Разработка и исследование малогабаритного источника питания / В.В. Федянин, Л.Н. Нариманова, С.А. Рютикова, Е.Ю. </w:t>
      </w:r>
      <w:r>
        <w:rPr>
          <w:rFonts w:ascii="Times New Roman" w:eastAsia="Times New Roman" w:hAnsi="Times New Roman" w:cs="Times New Roman"/>
          <w:sz w:val="24"/>
        </w:rPr>
        <w:t xml:space="preserve">Горбаченко // Современная наука и практика. – 2016. – № 5 (10). – С. 8-12. </w:t>
      </w:r>
      <w:r>
        <w:rPr>
          <w:rFonts w:ascii="Times New Roman" w:eastAsia="Times New Roman" w:hAnsi="Times New Roman" w:cs="Times New Roman"/>
          <w:b/>
          <w:sz w:val="24"/>
        </w:rPr>
        <w:t xml:space="preserve"> </w:t>
      </w:r>
    </w:p>
    <w:p w:rsidR="0052701D" w:rsidRDefault="00D40929">
      <w:pPr>
        <w:spacing w:after="29" w:line="248" w:lineRule="auto"/>
        <w:ind w:left="283" w:right="319" w:firstLine="711"/>
        <w:jc w:val="both"/>
      </w:pPr>
      <w:r>
        <w:rPr>
          <w:rFonts w:ascii="Times New Roman" w:eastAsia="Times New Roman" w:hAnsi="Times New Roman" w:cs="Times New Roman"/>
          <w:sz w:val="24"/>
        </w:rPr>
        <w:t xml:space="preserve">[3]. Городний, А.Н. Особенности управления электронными ключами в квазирезонансных импульсных преобразователях / А.Н. Городний // Працi iнституту електродинамiки нацiональноi </w:t>
      </w:r>
      <w:r>
        <w:rPr>
          <w:rFonts w:ascii="Times New Roman" w:eastAsia="Times New Roman" w:hAnsi="Times New Roman" w:cs="Times New Roman"/>
          <w:sz w:val="24"/>
        </w:rPr>
        <w:t xml:space="preserve">академii наук украiни. – 2018. – № 51. – С. 94-98. </w:t>
      </w:r>
      <w:r>
        <w:rPr>
          <w:rFonts w:ascii="Times New Roman" w:eastAsia="Times New Roman" w:hAnsi="Times New Roman" w:cs="Times New Roman"/>
          <w:b/>
          <w:sz w:val="24"/>
        </w:rPr>
        <w:t xml:space="preserve"> </w:t>
      </w:r>
    </w:p>
    <w:p w:rsidR="0052701D" w:rsidRDefault="00D40929">
      <w:pPr>
        <w:spacing w:after="29" w:line="248" w:lineRule="auto"/>
        <w:ind w:left="283" w:right="326" w:firstLine="711"/>
        <w:jc w:val="both"/>
      </w:pPr>
      <w:r>
        <w:rPr>
          <w:rFonts w:ascii="Times New Roman" w:eastAsia="Times New Roman" w:hAnsi="Times New Roman" w:cs="Times New Roman"/>
          <w:sz w:val="24"/>
        </w:rPr>
        <w:t>[4]. Маморцев, С.В. Технология мягкой коммутации транзисторов в преобразователе постоянного напряжения в постоянное / С.В. Маморцев, Г.Я. Михальченко // Доклады Томского Государственного Университета Сис</w:t>
      </w:r>
      <w:r>
        <w:rPr>
          <w:rFonts w:ascii="Times New Roman" w:eastAsia="Times New Roman" w:hAnsi="Times New Roman" w:cs="Times New Roman"/>
          <w:sz w:val="24"/>
        </w:rPr>
        <w:t xml:space="preserve">тем Управления и Радиоэлектроники. – 2013. – № 1 (27). – С. 24-27. </w:t>
      </w:r>
      <w:r>
        <w:rPr>
          <w:rFonts w:ascii="Times New Roman" w:eastAsia="Times New Roman" w:hAnsi="Times New Roman" w:cs="Times New Roman"/>
          <w:b/>
          <w:sz w:val="24"/>
        </w:rPr>
        <w:t xml:space="preserve"> </w:t>
      </w:r>
    </w:p>
    <w:p w:rsidR="0052701D" w:rsidRDefault="00D40929">
      <w:pPr>
        <w:spacing w:after="1" w:line="248" w:lineRule="auto"/>
        <w:ind w:left="283" w:right="318" w:firstLine="711"/>
        <w:jc w:val="both"/>
      </w:pPr>
      <w:r>
        <w:rPr>
          <w:rFonts w:ascii="Times New Roman" w:eastAsia="Times New Roman" w:hAnsi="Times New Roman" w:cs="Times New Roman"/>
          <w:sz w:val="24"/>
        </w:rPr>
        <w:t>[5]. Быков, К.В. Выпрямительное устройство на основе LLC-конвертора с фазоимпульсным управлением / К.В. Быков, Н.М. Лазарева, Д.Г. Малышев, Ю.В. Павлов, В.М. Яров // Цифровая электротехни</w:t>
      </w:r>
      <w:r>
        <w:rPr>
          <w:rFonts w:ascii="Times New Roman" w:eastAsia="Times New Roman" w:hAnsi="Times New Roman" w:cs="Times New Roman"/>
          <w:sz w:val="24"/>
        </w:rPr>
        <w:t>ка: Проблемы и достижения. Сб. науч. тр. НПП «ЭКРА», 2016. – С. 98-112.</w:t>
      </w:r>
      <w:r>
        <w:rPr>
          <w:rFonts w:ascii="Times New Roman" w:eastAsia="Times New Roman" w:hAnsi="Times New Roman" w:cs="Times New Roman"/>
          <w:b/>
          <w:sz w:val="24"/>
        </w:rPr>
        <w:t xml:space="preserve"> </w:t>
      </w:r>
    </w:p>
    <w:p w:rsidR="0052701D" w:rsidRDefault="00D40929">
      <w:pPr>
        <w:spacing w:after="3" w:line="248" w:lineRule="auto"/>
        <w:ind w:left="283" w:right="318" w:firstLine="711"/>
        <w:jc w:val="both"/>
      </w:pPr>
      <w:r>
        <w:rPr>
          <w:rFonts w:ascii="Times New Roman" w:eastAsia="Times New Roman" w:hAnsi="Times New Roman" w:cs="Times New Roman"/>
          <w:sz w:val="24"/>
        </w:rPr>
        <w:lastRenderedPageBreak/>
        <w:t>[6]. Денисов, Ю.А. Энергетические показатели параллельного импульсного квазирезонансного преобразователя с расширенным диапазоном регулирования для источников питания радиоэлектронной</w:t>
      </w:r>
      <w:r>
        <w:rPr>
          <w:rFonts w:ascii="Times New Roman" w:eastAsia="Times New Roman" w:hAnsi="Times New Roman" w:cs="Times New Roman"/>
          <w:sz w:val="24"/>
        </w:rPr>
        <w:t xml:space="preserve"> аппаратуры / Ю.А. Денисов, А.Н. Городний, В.В. Гордиенко, С.Н. Бойко, С.А. Степенко // Електроніка та звязок. – 2016. – Т. 21, – № 5 (94). – С. 50-56. </w:t>
      </w:r>
      <w:r>
        <w:rPr>
          <w:rFonts w:ascii="Times New Roman" w:eastAsia="Times New Roman" w:hAnsi="Times New Roman" w:cs="Times New Roman"/>
          <w:b/>
          <w:sz w:val="24"/>
        </w:rPr>
        <w:t xml:space="preserve"> </w:t>
      </w:r>
    </w:p>
    <w:p w:rsidR="0052701D" w:rsidRDefault="00D40929">
      <w:pPr>
        <w:spacing w:after="29" w:line="248" w:lineRule="auto"/>
        <w:ind w:left="283" w:right="14" w:firstLine="711"/>
        <w:jc w:val="both"/>
      </w:pPr>
      <w:r>
        <w:rPr>
          <w:rFonts w:ascii="Times New Roman" w:eastAsia="Times New Roman" w:hAnsi="Times New Roman" w:cs="Times New Roman"/>
          <w:sz w:val="24"/>
        </w:rPr>
        <w:t>[7]. Долов, В.Н. Квазирезонансный преобразователь системы импульсного питания радиолокационной станции</w:t>
      </w:r>
      <w:r>
        <w:rPr>
          <w:rFonts w:ascii="Times New Roman" w:eastAsia="Times New Roman" w:hAnsi="Times New Roman" w:cs="Times New Roman"/>
          <w:sz w:val="24"/>
        </w:rPr>
        <w:t xml:space="preserve"> / В.Н. Долов, В.Ф. Стрелков, В.В. Ваняев, А.А. </w:t>
      </w:r>
    </w:p>
    <w:p w:rsidR="0052701D" w:rsidRDefault="00D40929">
      <w:pPr>
        <w:spacing w:after="29" w:line="248" w:lineRule="auto"/>
        <w:ind w:left="283" w:right="14"/>
        <w:jc w:val="both"/>
      </w:pPr>
      <w:r>
        <w:rPr>
          <w:rFonts w:ascii="Times New Roman" w:eastAsia="Times New Roman" w:hAnsi="Times New Roman" w:cs="Times New Roman"/>
          <w:sz w:val="24"/>
        </w:rPr>
        <w:t>Кочнев // Вестник Концерна ПВО «Алмаз-Антей». – 2015. – № 2. – С. 27-32.</w:t>
      </w:r>
    </w:p>
    <w:p w:rsidR="0052701D" w:rsidRDefault="0052701D">
      <w:pPr>
        <w:sectPr w:rsidR="0052701D">
          <w:footnotePr>
            <w:numRestart w:val="eachPage"/>
          </w:footnotePr>
          <w:type w:val="continuous"/>
          <w:pgSz w:w="11909" w:h="16834"/>
          <w:pgMar w:top="960" w:right="811" w:bottom="972" w:left="1416" w:header="720" w:footer="720" w:gutter="0"/>
          <w:cols w:space="720"/>
        </w:sectPr>
      </w:pPr>
    </w:p>
    <w:p w:rsidR="0052701D" w:rsidRDefault="00D40929">
      <w:pPr>
        <w:spacing w:after="29" w:line="248" w:lineRule="auto"/>
        <w:ind w:left="9" w:right="14"/>
        <w:jc w:val="both"/>
      </w:pPr>
      <w:r>
        <w:rPr>
          <w:rFonts w:ascii="Times New Roman" w:eastAsia="Times New Roman" w:hAnsi="Times New Roman" w:cs="Times New Roman"/>
          <w:sz w:val="24"/>
        </w:rPr>
        <w:lastRenderedPageBreak/>
        <w:t xml:space="preserve">УДК 528: 004 </w:t>
      </w:r>
    </w:p>
    <w:p w:rsidR="0052701D" w:rsidRDefault="00D40929">
      <w:pPr>
        <w:spacing w:after="5"/>
      </w:pPr>
      <w:r>
        <w:rPr>
          <w:sz w:val="24"/>
        </w:rPr>
        <w:t xml:space="preserve"> </w:t>
      </w:r>
    </w:p>
    <w:p w:rsidR="0052701D" w:rsidRDefault="00D40929">
      <w:pPr>
        <w:pStyle w:val="1"/>
        <w:spacing w:line="251" w:lineRule="auto"/>
        <w:ind w:left="1499" w:right="0" w:firstLine="9"/>
        <w:jc w:val="left"/>
      </w:pPr>
      <w:r>
        <w:t xml:space="preserve">ПРИМЕНЕНИЕ БЕСПИЛОТНЫХ ЛЕТАТЕЛЬНЫХ АППАРАТОВ С ТЕХНОЛОГИЯМИ НЕЙРОННЫХ СЕТЕЙ, ДЛЯ ПРОФИЛАКТИКИ И БОРЬБЫ С ПРИРОДНЫМИ И </w:t>
      </w:r>
    </w:p>
    <w:p w:rsidR="0052701D" w:rsidRDefault="00D40929">
      <w:pPr>
        <w:spacing w:after="5" w:line="251" w:lineRule="auto"/>
        <w:ind w:left="1499" w:firstLine="9"/>
      </w:pPr>
      <w:r>
        <w:rPr>
          <w:rFonts w:ascii="Times New Roman" w:eastAsia="Times New Roman" w:hAnsi="Times New Roman" w:cs="Times New Roman"/>
          <w:b/>
          <w:sz w:val="28"/>
        </w:rPr>
        <w:t>ТЕХНОГЕННЫМИ КАТАСТРОФАМИ, А ТАКЖЕ ДЛЯ ЛИКВИДАЦИИ ИХ ПОСЛЕДСТВИЙ</w:t>
      </w:r>
      <w:r>
        <w:rPr>
          <w:rFonts w:ascii="Times New Roman" w:eastAsia="Times New Roman" w:hAnsi="Times New Roman" w:cs="Times New Roman"/>
          <w:sz w:val="28"/>
        </w:rPr>
        <w:t xml:space="preserve"> </w:t>
      </w:r>
    </w:p>
    <w:p w:rsidR="0052701D" w:rsidRDefault="00D40929">
      <w:pPr>
        <w:spacing w:after="38"/>
      </w:pPr>
      <w:r>
        <w:rPr>
          <w:sz w:val="24"/>
        </w:rPr>
        <w:t xml:space="preserve"> </w:t>
      </w:r>
    </w:p>
    <w:p w:rsidR="0052701D" w:rsidRDefault="00D40929">
      <w:pPr>
        <w:pStyle w:val="1"/>
        <w:spacing w:after="55" w:line="248" w:lineRule="auto"/>
        <w:ind w:left="1940" w:right="14" w:firstLine="0"/>
        <w:jc w:val="both"/>
      </w:pPr>
      <w:r>
        <w:rPr>
          <w:b w:val="0"/>
          <w:sz w:val="24"/>
        </w:rPr>
        <w:t xml:space="preserve">Т.Д. Сейдегалиев, Ә.Е. Әден, Е.Е. Оразалы, Бекешев Е.А. </w:t>
      </w:r>
    </w:p>
    <w:p w:rsidR="0052701D" w:rsidRDefault="00D40929">
      <w:pPr>
        <w:spacing w:after="29" w:line="248" w:lineRule="auto"/>
        <w:ind w:left="1498" w:right="14" w:hanging="624"/>
        <w:jc w:val="both"/>
      </w:pPr>
      <w:r>
        <w:rPr>
          <w:rFonts w:ascii="Times New Roman" w:eastAsia="Times New Roman" w:hAnsi="Times New Roman" w:cs="Times New Roman"/>
          <w:sz w:val="24"/>
        </w:rPr>
        <w:t>НАО «Алматин</w:t>
      </w:r>
      <w:r>
        <w:rPr>
          <w:rFonts w:ascii="Times New Roman" w:eastAsia="Times New Roman" w:hAnsi="Times New Roman" w:cs="Times New Roman"/>
          <w:sz w:val="24"/>
        </w:rPr>
        <w:t>ский университет энергетики и связи им.Гумарбека Даукеева» e-mail:</w:t>
      </w:r>
      <w:r>
        <w:rPr>
          <w:rFonts w:ascii="Times New Roman" w:eastAsia="Times New Roman" w:hAnsi="Times New Roman" w:cs="Times New Roman"/>
          <w:sz w:val="24"/>
          <w:u w:val="single" w:color="000000"/>
        </w:rPr>
        <w:t>t.seidegaliyev@aues.kz,</w:t>
      </w:r>
      <w:r>
        <w:rPr>
          <w:rFonts w:ascii="Times New Roman" w:eastAsia="Times New Roman" w:hAnsi="Times New Roman" w:cs="Times New Roman"/>
          <w:b/>
          <w:sz w:val="24"/>
          <w:u w:val="single" w:color="000000"/>
        </w:rPr>
        <w:t xml:space="preserve"> </w:t>
      </w:r>
      <w:r>
        <w:rPr>
          <w:rFonts w:ascii="Times New Roman" w:eastAsia="Times New Roman" w:hAnsi="Times New Roman" w:cs="Times New Roman"/>
          <w:sz w:val="24"/>
          <w:u w:val="single" w:color="000000"/>
        </w:rPr>
        <w:t>a.aden@aues.kz, ye.orazaly@aues.kz ,</w:t>
      </w:r>
      <w:r>
        <w:rPr>
          <w:rFonts w:ascii="Times New Roman" w:eastAsia="Times New Roman" w:hAnsi="Times New Roman" w:cs="Times New Roman"/>
          <w:sz w:val="24"/>
        </w:rPr>
        <w:t xml:space="preserve"> </w:t>
      </w:r>
    </w:p>
    <w:p w:rsidR="0052701D" w:rsidRDefault="00D40929">
      <w:pPr>
        <w:spacing w:after="3"/>
        <w:ind w:left="10" w:right="14" w:hanging="10"/>
        <w:jc w:val="center"/>
      </w:pPr>
      <w:r>
        <w:rPr>
          <w:rFonts w:ascii="Times New Roman" w:eastAsia="Times New Roman" w:hAnsi="Times New Roman" w:cs="Times New Roman"/>
          <w:sz w:val="24"/>
          <w:u w:val="single" w:color="000000"/>
        </w:rPr>
        <w:t>a.komekbayev@aues.kz</w:t>
      </w:r>
      <w:r>
        <w:rPr>
          <w:rFonts w:ascii="Times New Roman" w:eastAsia="Times New Roman" w:hAnsi="Times New Roman" w:cs="Times New Roman"/>
          <w:sz w:val="24"/>
        </w:rPr>
        <w:t xml:space="preserve"> </w:t>
      </w:r>
    </w:p>
    <w:p w:rsidR="0052701D" w:rsidRDefault="00D40929">
      <w:pPr>
        <w:spacing w:after="0"/>
        <w:ind w:left="766"/>
        <w:jc w:val="center"/>
      </w:pPr>
      <w:r>
        <w:rPr>
          <w:rFonts w:ascii="Times New Roman" w:eastAsia="Times New Roman" w:hAnsi="Times New Roman" w:cs="Times New Roman"/>
          <w:i/>
          <w:sz w:val="24"/>
        </w:rPr>
        <w:t xml:space="preserve"> </w:t>
      </w:r>
    </w:p>
    <w:p w:rsidR="0052701D" w:rsidRDefault="00D40929">
      <w:pPr>
        <w:spacing w:after="56" w:line="248" w:lineRule="auto"/>
        <w:ind w:left="9" w:firstLine="711"/>
        <w:jc w:val="both"/>
      </w:pPr>
      <w:r>
        <w:rPr>
          <w:rFonts w:ascii="Times New Roman" w:eastAsia="Times New Roman" w:hAnsi="Times New Roman" w:cs="Times New Roman"/>
          <w:b/>
          <w:i/>
          <w:sz w:val="24"/>
        </w:rPr>
        <w:t xml:space="preserve">Аннотация: </w:t>
      </w:r>
      <w:r>
        <w:rPr>
          <w:rFonts w:ascii="Times New Roman" w:eastAsia="Times New Roman" w:hAnsi="Times New Roman" w:cs="Times New Roman"/>
          <w:i/>
          <w:sz w:val="24"/>
        </w:rPr>
        <w:t>Беспилотные летательные аппараты (БПЛА) обретают все большую популярность как на военном, так и на гражданском рынке. Новые поколения БПЛА могут выполнять задачи в полностью автономном режиме, без постоянного контроля со стороны оператора. В последних воен</w:t>
      </w:r>
      <w:r>
        <w:rPr>
          <w:rFonts w:ascii="Times New Roman" w:eastAsia="Times New Roman" w:hAnsi="Times New Roman" w:cs="Times New Roman"/>
          <w:i/>
          <w:sz w:val="24"/>
        </w:rPr>
        <w:t>ных конфликтах, антитеррористических операциях БПЛА показали высокую эффективность не только в качестве штурмовых летательных аппаратов, но и как самостоятельные барражирующие боеприпасы (дроны-камикадзе). Но помимо военного ремесла, активно идет внедрение</w:t>
      </w:r>
      <w:r>
        <w:rPr>
          <w:rFonts w:ascii="Times New Roman" w:eastAsia="Times New Roman" w:hAnsi="Times New Roman" w:cs="Times New Roman"/>
          <w:i/>
          <w:sz w:val="24"/>
        </w:rPr>
        <w:t xml:space="preserve"> БПЛА в гражданские отрасли, такие как: сельскохозяйственные, логистика, контроль трафика. Подобной же картиной описываются технология нейронных сетей, сегодняшние алгоритмы искусственного интеллекта (ИИ), способны полностью заменить человека в отраслях, т</w:t>
      </w:r>
      <w:r>
        <w:rPr>
          <w:rFonts w:ascii="Times New Roman" w:eastAsia="Times New Roman" w:hAnsi="Times New Roman" w:cs="Times New Roman"/>
          <w:i/>
          <w:sz w:val="24"/>
        </w:rPr>
        <w:t>ребующих большой концентрации, и математических способностей. Проекты, с открытым исходным кодом, обрели огромную популярность, и позволяют энтузиастам создавать системы контроля пропуска, автопилоты, программы для автоматической обработки больших массивов</w:t>
      </w:r>
      <w:r>
        <w:rPr>
          <w:rFonts w:ascii="Times New Roman" w:eastAsia="Times New Roman" w:hAnsi="Times New Roman" w:cs="Times New Roman"/>
          <w:i/>
          <w:sz w:val="24"/>
        </w:rPr>
        <w:t xml:space="preserve"> данных.</w:t>
      </w:r>
      <w:r>
        <w:rPr>
          <w:rFonts w:ascii="Times New Roman" w:eastAsia="Times New Roman" w:hAnsi="Times New Roman" w:cs="Times New Roman"/>
          <w:b/>
          <w:i/>
          <w:sz w:val="24"/>
        </w:rPr>
        <w:t xml:space="preserve"> </w:t>
      </w:r>
      <w:r>
        <w:rPr>
          <w:rFonts w:ascii="Times New Roman" w:eastAsia="Times New Roman" w:hAnsi="Times New Roman" w:cs="Times New Roman"/>
          <w:i/>
          <w:sz w:val="24"/>
        </w:rPr>
        <w:t>В статье рассматривается возможность использована беспилотных летательных аппаратов для экологического мониторинга, и в наблюдении природных катастроф в целом, и пожаров в частности. Рассматриваются разные типы беспилотных летательных аппаратов, и</w:t>
      </w:r>
      <w:r>
        <w:rPr>
          <w:rFonts w:ascii="Times New Roman" w:eastAsia="Times New Roman" w:hAnsi="Times New Roman" w:cs="Times New Roman"/>
          <w:i/>
          <w:sz w:val="24"/>
        </w:rPr>
        <w:t xml:space="preserve">х положительные и негативные стороны, и преимущества использования систем искусственного интеллекта.  </w:t>
      </w:r>
    </w:p>
    <w:p w:rsidR="0052701D" w:rsidRDefault="00D40929">
      <w:pPr>
        <w:spacing w:after="530" w:line="248" w:lineRule="auto"/>
        <w:ind w:left="9" w:firstLine="711"/>
        <w:jc w:val="both"/>
      </w:pP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 xml:space="preserve"> беспилотный летательный аппарат, нейронные сети, машинного обучения, экологический мониторинг, пожар, автоматизация, стихийные свалки. </w:t>
      </w:r>
    </w:p>
    <w:p w:rsidR="0052701D" w:rsidRDefault="00D40929">
      <w:pPr>
        <w:spacing w:after="5" w:line="251" w:lineRule="auto"/>
        <w:ind w:left="1042" w:firstLine="9"/>
      </w:pPr>
      <w:r>
        <w:rPr>
          <w:rFonts w:ascii="Times New Roman" w:eastAsia="Times New Roman" w:hAnsi="Times New Roman" w:cs="Times New Roman"/>
          <w:b/>
          <w:sz w:val="28"/>
        </w:rPr>
        <w:t>A</w:t>
      </w:r>
      <w:r>
        <w:rPr>
          <w:rFonts w:ascii="Times New Roman" w:eastAsia="Times New Roman" w:hAnsi="Times New Roman" w:cs="Times New Roman"/>
          <w:b/>
          <w:sz w:val="28"/>
        </w:rPr>
        <w:t xml:space="preserve">PPLICATION OF UNMANNED AERIAL VEHICLES WITH </w:t>
      </w:r>
    </w:p>
    <w:p w:rsidR="0052701D" w:rsidRDefault="00D40929">
      <w:pPr>
        <w:spacing w:after="5" w:line="271" w:lineRule="auto"/>
        <w:ind w:left="173" w:right="163" w:hanging="10"/>
        <w:jc w:val="center"/>
      </w:pPr>
      <w:r>
        <w:rPr>
          <w:rFonts w:ascii="Times New Roman" w:eastAsia="Times New Roman" w:hAnsi="Times New Roman" w:cs="Times New Roman"/>
          <w:b/>
          <w:sz w:val="28"/>
        </w:rPr>
        <w:t xml:space="preserve">NEURAL NETWORK TECHNOLOGY TO PREVENT AND COMBAT NATURAL AND MAN-MADE DISASTERS, AS WELL AS TO ELIMINATE THEIR CONSEQUENCES. </w:t>
      </w:r>
      <w:r>
        <w:rPr>
          <w:rFonts w:ascii="Times New Roman" w:eastAsia="Times New Roman" w:hAnsi="Times New Roman" w:cs="Times New Roman"/>
          <w:sz w:val="28"/>
        </w:rPr>
        <w:t xml:space="preserve"> </w:t>
      </w:r>
    </w:p>
    <w:p w:rsidR="0052701D" w:rsidRDefault="00D40929">
      <w:pPr>
        <w:spacing w:after="0"/>
      </w:pPr>
      <w:r>
        <w:rPr>
          <w:sz w:val="24"/>
        </w:rPr>
        <w:t xml:space="preserve"> </w:t>
      </w:r>
    </w:p>
    <w:p w:rsidR="0052701D" w:rsidRDefault="00D40929">
      <w:pPr>
        <w:spacing w:after="4" w:line="271" w:lineRule="auto"/>
        <w:ind w:left="1965" w:right="194" w:hanging="10"/>
      </w:pPr>
      <w:r>
        <w:rPr>
          <w:rFonts w:ascii="Times New Roman" w:eastAsia="Times New Roman" w:hAnsi="Times New Roman" w:cs="Times New Roman"/>
          <w:b/>
          <w:sz w:val="24"/>
        </w:rPr>
        <w:t xml:space="preserve">T.D. Seidegaliev, A.E. Aden, E.E. Orazaly, E.A. Bekeshev </w:t>
      </w:r>
    </w:p>
    <w:p w:rsidR="0052701D" w:rsidRDefault="00D40929">
      <w:pPr>
        <w:spacing w:after="29" w:line="248" w:lineRule="auto"/>
        <w:ind w:left="1211" w:right="14"/>
        <w:jc w:val="both"/>
      </w:pPr>
      <w:r>
        <w:rPr>
          <w:rFonts w:ascii="Times New Roman" w:eastAsia="Times New Roman" w:hAnsi="Times New Roman" w:cs="Times New Roman"/>
          <w:sz w:val="24"/>
        </w:rPr>
        <w:t xml:space="preserve">Almaty university of power engineering and telecommunication named after </w:t>
      </w:r>
    </w:p>
    <w:p w:rsidR="0052701D" w:rsidRDefault="00D40929">
      <w:pPr>
        <w:spacing w:after="14" w:line="248" w:lineRule="auto"/>
        <w:ind w:left="713" w:right="718" w:hanging="5"/>
        <w:jc w:val="center"/>
      </w:pPr>
      <w:r>
        <w:rPr>
          <w:rFonts w:ascii="Times New Roman" w:eastAsia="Times New Roman" w:hAnsi="Times New Roman" w:cs="Times New Roman"/>
          <w:sz w:val="24"/>
        </w:rPr>
        <w:t xml:space="preserve">Gumarbek Daukeev </w:t>
      </w:r>
    </w:p>
    <w:p w:rsidR="0052701D" w:rsidRDefault="00D40929">
      <w:pPr>
        <w:spacing w:after="3"/>
        <w:ind w:left="1499"/>
      </w:pPr>
      <w:r>
        <w:rPr>
          <w:rFonts w:ascii="Times New Roman" w:eastAsia="Times New Roman" w:hAnsi="Times New Roman" w:cs="Times New Roman"/>
          <w:sz w:val="24"/>
          <w:u w:val="single" w:color="000000"/>
        </w:rPr>
        <w:lastRenderedPageBreak/>
        <w:t>e-mail:t.seidegaliyev@aues.kz, a.aden@aues.kz, ye.orazaly@aues.kz ,</w:t>
      </w:r>
      <w:r>
        <w:rPr>
          <w:rFonts w:ascii="Times New Roman" w:eastAsia="Times New Roman" w:hAnsi="Times New Roman" w:cs="Times New Roman"/>
          <w:sz w:val="24"/>
        </w:rPr>
        <w:t xml:space="preserve"> </w:t>
      </w:r>
      <w:r>
        <w:rPr>
          <w:rFonts w:ascii="Times New Roman" w:eastAsia="Times New Roman" w:hAnsi="Times New Roman" w:cs="Times New Roman"/>
          <w:sz w:val="24"/>
          <w:u w:val="single" w:color="000000"/>
        </w:rPr>
        <w:t>a.komekbayev@aues.kz</w:t>
      </w:r>
      <w:r>
        <w:rPr>
          <w:rFonts w:ascii="Times New Roman" w:eastAsia="Times New Roman" w:hAnsi="Times New Roman" w:cs="Times New Roman"/>
          <w:sz w:val="24"/>
        </w:rPr>
        <w:t xml:space="preserve"> </w:t>
      </w:r>
    </w:p>
    <w:p w:rsidR="0052701D" w:rsidRDefault="00D40929">
      <w:pPr>
        <w:spacing w:after="29" w:line="248" w:lineRule="auto"/>
        <w:ind w:left="9" w:firstLine="711"/>
        <w:jc w:val="both"/>
      </w:pPr>
      <w:r>
        <w:rPr>
          <w:rFonts w:ascii="Times New Roman" w:eastAsia="Times New Roman" w:hAnsi="Times New Roman" w:cs="Times New Roman"/>
          <w:b/>
          <w:i/>
          <w:sz w:val="24"/>
        </w:rPr>
        <w:t xml:space="preserve">Annotation: </w:t>
      </w:r>
      <w:r>
        <w:rPr>
          <w:rFonts w:ascii="Times New Roman" w:eastAsia="Times New Roman" w:hAnsi="Times New Roman" w:cs="Times New Roman"/>
          <w:i/>
          <w:sz w:val="24"/>
        </w:rPr>
        <w:t>Unmanned aerial vehicles (UAVs) are becoming increasingly popu</w:t>
      </w:r>
      <w:r>
        <w:rPr>
          <w:rFonts w:ascii="Times New Roman" w:eastAsia="Times New Roman" w:hAnsi="Times New Roman" w:cs="Times New Roman"/>
          <w:i/>
          <w:sz w:val="24"/>
        </w:rPr>
        <w:t>lar in both military and civilian markets. New generations of UAVs can perform tasks in fully autonomous mode, without constant monitoring by the operator. In recent military conflicts, anti-terrorist operations, UAVs have shown high effectiveness not only</w:t>
      </w:r>
      <w:r>
        <w:rPr>
          <w:rFonts w:ascii="Times New Roman" w:eastAsia="Times New Roman" w:hAnsi="Times New Roman" w:cs="Times New Roman"/>
          <w:i/>
          <w:sz w:val="24"/>
        </w:rPr>
        <w:t xml:space="preserve"> as attack aircraft, but also as independent borne ordnance (kamikaze drones). But in addition to the military craft, the introduction of UAVs into civilian sectors, such as: agriculture, logistics, and traffic control, is actively underway. A similar pict</w:t>
      </w:r>
      <w:r>
        <w:rPr>
          <w:rFonts w:ascii="Times New Roman" w:eastAsia="Times New Roman" w:hAnsi="Times New Roman" w:cs="Times New Roman"/>
          <w:i/>
          <w:sz w:val="24"/>
        </w:rPr>
        <w:t>ure is described by the technology of neural networks, today's artificial intelligence (AI) algorithms, are able to completely replace humans in industries requiring a lot of concentration, and mathematical ability. Open-source projects have gained immense</w:t>
      </w:r>
      <w:r>
        <w:rPr>
          <w:rFonts w:ascii="Times New Roman" w:eastAsia="Times New Roman" w:hAnsi="Times New Roman" w:cs="Times New Roman"/>
          <w:i/>
          <w:sz w:val="24"/>
        </w:rPr>
        <w:t xml:space="preserve"> popularity, and allow enthusiasts to create skip control systems, autopilots, programs for automatic processing of large amounts of data. The article deals with the possibility of using drones for environmental monitoring, and in the observation of natura</w:t>
      </w:r>
      <w:r>
        <w:rPr>
          <w:rFonts w:ascii="Times New Roman" w:eastAsia="Times New Roman" w:hAnsi="Times New Roman" w:cs="Times New Roman"/>
          <w:i/>
          <w:sz w:val="24"/>
        </w:rPr>
        <w:t xml:space="preserve">l disasters in general, and fires in particular. Different types of drones, their positive and negative sides, and the advantages of using artificial intelligence systems are considered.  </w:t>
      </w:r>
    </w:p>
    <w:p w:rsidR="0052701D" w:rsidRDefault="00D40929">
      <w:pPr>
        <w:spacing w:after="588" w:line="248" w:lineRule="auto"/>
        <w:ind w:left="9" w:firstLine="711"/>
        <w:jc w:val="both"/>
      </w:pPr>
      <w:r>
        <w:rPr>
          <w:rFonts w:ascii="Times New Roman" w:eastAsia="Times New Roman" w:hAnsi="Times New Roman" w:cs="Times New Roman"/>
          <w:b/>
          <w:i/>
          <w:sz w:val="24"/>
        </w:rPr>
        <w:t>Keywords</w:t>
      </w:r>
      <w:r>
        <w:rPr>
          <w:rFonts w:ascii="Times New Roman" w:eastAsia="Times New Roman" w:hAnsi="Times New Roman" w:cs="Times New Roman"/>
          <w:i/>
          <w:sz w:val="24"/>
        </w:rPr>
        <w:t>: drone, neural networks, machine learning, environmental m</w:t>
      </w:r>
      <w:r>
        <w:rPr>
          <w:rFonts w:ascii="Times New Roman" w:eastAsia="Times New Roman" w:hAnsi="Times New Roman" w:cs="Times New Roman"/>
          <w:i/>
          <w:sz w:val="24"/>
        </w:rPr>
        <w:t xml:space="preserve">onitoring, fire, automation, spontaneous landfills. </w:t>
      </w:r>
    </w:p>
    <w:p w:rsidR="0052701D" w:rsidRDefault="00D40929">
      <w:pPr>
        <w:spacing w:after="3"/>
        <w:ind w:left="725" w:hanging="10"/>
      </w:pPr>
      <w:r>
        <w:rPr>
          <w:rFonts w:ascii="Times New Roman" w:eastAsia="Times New Roman" w:hAnsi="Times New Roman" w:cs="Times New Roman"/>
          <w:b/>
          <w:i/>
          <w:sz w:val="28"/>
        </w:rPr>
        <w:t>Введение</w:t>
      </w:r>
      <w:r>
        <w:rPr>
          <w:rFonts w:ascii="Times New Roman" w:eastAsia="Times New Roman" w:hAnsi="Times New Roman" w:cs="Times New Roman"/>
          <w:i/>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Управление отходами является важной задачей местных органов власти, которые контролируют места захоронения отходов и свалками для обеспечения их надлежащего функционирования, а также отслеживае</w:t>
      </w:r>
      <w:r>
        <w:rPr>
          <w:rFonts w:ascii="Times New Roman" w:eastAsia="Times New Roman" w:hAnsi="Times New Roman" w:cs="Times New Roman"/>
          <w:sz w:val="28"/>
        </w:rPr>
        <w:t xml:space="preserve">т незаконное захоронение отходов. </w:t>
      </w:r>
    </w:p>
    <w:p w:rsidR="0052701D" w:rsidRDefault="00D40929">
      <w:pPr>
        <w:spacing w:after="5" w:line="271" w:lineRule="auto"/>
        <w:ind w:left="9" w:right="1" w:firstLine="711"/>
        <w:jc w:val="both"/>
      </w:pPr>
      <w:r>
        <w:rPr>
          <w:rFonts w:ascii="Times New Roman" w:eastAsia="Times New Roman" w:hAnsi="Times New Roman" w:cs="Times New Roman"/>
          <w:sz w:val="28"/>
        </w:rPr>
        <w:t>В данном проекте предлагается модель, способная обнаруживать залежи отходов. Построение модели стало возможным благодаря использованию нескольких полезных инструментов, включая дистанционное зондирование и технологию Deep</w:t>
      </w:r>
      <w:r>
        <w:rPr>
          <w:rFonts w:ascii="Times New Roman" w:eastAsia="Times New Roman" w:hAnsi="Times New Roman" w:cs="Times New Roman"/>
          <w:sz w:val="28"/>
        </w:rPr>
        <w:t xml:space="preserve"> Learning, хорошо подходящую для обнаружения объектов.  </w:t>
      </w:r>
    </w:p>
    <w:p w:rsidR="0052701D" w:rsidRDefault="00D40929">
      <w:pPr>
        <w:spacing w:after="5" w:line="271" w:lineRule="auto"/>
        <w:ind w:left="9" w:right="64" w:firstLine="711"/>
        <w:jc w:val="both"/>
      </w:pPr>
      <w:r>
        <w:rPr>
          <w:rFonts w:ascii="Times New Roman" w:eastAsia="Times New Roman" w:hAnsi="Times New Roman" w:cs="Times New Roman"/>
          <w:sz w:val="28"/>
        </w:rPr>
        <w:t>С общей точки зрения, Deep Learning и дистанционное зондирование могут быть использованы для решения многих проблем, связанных с окружающей средой, наводнениями, недвижимостью и т.д. Такое использова</w:t>
      </w:r>
      <w:r>
        <w:rPr>
          <w:rFonts w:ascii="Times New Roman" w:eastAsia="Times New Roman" w:hAnsi="Times New Roman" w:cs="Times New Roman"/>
          <w:sz w:val="28"/>
        </w:rPr>
        <w:t xml:space="preserve">ние становится тем более реальным с возможностью получения данных, собранных самостоятельно и которые будут идеально адаптированы к местным условиям.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В конечном итоге, эти методы позволяют создавать инструменты мониторинга и планирования, адаптированные </w:t>
      </w:r>
      <w:r>
        <w:rPr>
          <w:rFonts w:ascii="Times New Roman" w:eastAsia="Times New Roman" w:hAnsi="Times New Roman" w:cs="Times New Roman"/>
          <w:sz w:val="28"/>
        </w:rPr>
        <w:t xml:space="preserve">к нашим потребностям. Можно открыть и другие перспективы, например, вместо решения проблем по отдельности построить модель способную самостоятельно решать каждую проблему. </w:t>
      </w:r>
    </w:p>
    <w:p w:rsidR="0052701D" w:rsidRDefault="00D40929">
      <w:pPr>
        <w:spacing w:after="5" w:line="271" w:lineRule="auto"/>
        <w:ind w:left="9" w:right="64" w:firstLine="711"/>
        <w:jc w:val="both"/>
      </w:pPr>
      <w:r>
        <w:rPr>
          <w:rFonts w:ascii="Times New Roman" w:eastAsia="Times New Roman" w:hAnsi="Times New Roman" w:cs="Times New Roman"/>
          <w:sz w:val="28"/>
        </w:rPr>
        <w:t>В свете событий начала сентября 2022 года, произошедших в Костанайской области, а и</w:t>
      </w:r>
      <w:r>
        <w:rPr>
          <w:rFonts w:ascii="Times New Roman" w:eastAsia="Times New Roman" w:hAnsi="Times New Roman" w:cs="Times New Roman"/>
          <w:sz w:val="28"/>
        </w:rPr>
        <w:t xml:space="preserve">менно обширные пожары, уменьшившие лесные </w:t>
      </w:r>
      <w:r>
        <w:rPr>
          <w:rFonts w:ascii="Times New Roman" w:eastAsia="Times New Roman" w:hAnsi="Times New Roman" w:cs="Times New Roman"/>
          <w:sz w:val="28"/>
        </w:rPr>
        <w:lastRenderedPageBreak/>
        <w:t xml:space="preserve">запасы области на 43 тыс. гектар из 106 тыс. гектар. Локализация и ликвидация возгораний усложнялось сильным переменчивым ветром, и высокой температурой, в следствии чего, штаб не мог оперативно принимать решения, </w:t>
      </w:r>
      <w:r>
        <w:rPr>
          <w:rFonts w:ascii="Times New Roman" w:eastAsia="Times New Roman" w:hAnsi="Times New Roman" w:cs="Times New Roman"/>
          <w:sz w:val="28"/>
        </w:rPr>
        <w:t>для более эффективной защиты населенных пунктов и лесных насаждений.[1] Применение дронов с системами искусственного интеллекта и бортовые метеостанции позволят не только проводить эффективную профилактику, но и проводить постоянную передачу данных, и конт</w:t>
      </w:r>
      <w:r>
        <w:rPr>
          <w:rFonts w:ascii="Times New Roman" w:eastAsia="Times New Roman" w:hAnsi="Times New Roman" w:cs="Times New Roman"/>
          <w:sz w:val="28"/>
        </w:rPr>
        <w:t xml:space="preserve">ролю обстановки, и подсчета потерь. </w:t>
      </w:r>
    </w:p>
    <w:p w:rsidR="0052701D" w:rsidRDefault="00D40929">
      <w:pPr>
        <w:spacing w:after="446"/>
        <w:ind w:left="711"/>
      </w:pPr>
      <w:r>
        <w:rPr>
          <w:rFonts w:ascii="Times New Roman" w:eastAsia="Times New Roman" w:hAnsi="Times New Roman" w:cs="Times New Roman"/>
          <w:sz w:val="28"/>
        </w:rPr>
        <w:t xml:space="preserve"> </w:t>
      </w:r>
    </w:p>
    <w:p w:rsidR="0052701D" w:rsidRDefault="00D40929">
      <w:pPr>
        <w:spacing w:after="0"/>
        <w:ind w:right="1299"/>
        <w:jc w:val="right"/>
      </w:pPr>
      <w:r>
        <w:rPr>
          <w:noProof/>
        </w:rPr>
        <w:drawing>
          <wp:inline distT="0" distB="0" distL="0" distR="0">
            <wp:extent cx="3581400" cy="1645920"/>
            <wp:effectExtent l="0" t="0" r="0" b="0"/>
            <wp:docPr id="39937" name="Picture 39937"/>
            <wp:cNvGraphicFramePr/>
            <a:graphic xmlns:a="http://schemas.openxmlformats.org/drawingml/2006/main">
              <a:graphicData uri="http://schemas.openxmlformats.org/drawingml/2006/picture">
                <pic:pic xmlns:pic="http://schemas.openxmlformats.org/drawingml/2006/picture">
                  <pic:nvPicPr>
                    <pic:cNvPr id="39937" name="Picture 39937"/>
                    <pic:cNvPicPr/>
                  </pic:nvPicPr>
                  <pic:blipFill>
                    <a:blip r:embed="rId597"/>
                    <a:stretch>
                      <a:fillRect/>
                    </a:stretch>
                  </pic:blipFill>
                  <pic:spPr>
                    <a:xfrm>
                      <a:off x="0" y="0"/>
                      <a:ext cx="3581400" cy="1645920"/>
                    </a:xfrm>
                    <a:prstGeom prst="rect">
                      <a:avLst/>
                    </a:prstGeom>
                  </pic:spPr>
                </pic:pic>
              </a:graphicData>
            </a:graphic>
          </wp:inline>
        </w:drawing>
      </w:r>
      <w:r>
        <w:rPr>
          <w:rFonts w:ascii="Times New Roman" w:eastAsia="Times New Roman" w:hAnsi="Times New Roman" w:cs="Times New Roman"/>
          <w:b/>
          <w:sz w:val="28"/>
        </w:rPr>
        <w:t xml:space="preserve"> </w:t>
      </w:r>
    </w:p>
    <w:p w:rsidR="0052701D" w:rsidRDefault="00D40929">
      <w:pPr>
        <w:spacing w:after="52" w:line="248" w:lineRule="auto"/>
        <w:ind w:left="713" w:right="10" w:hanging="5"/>
        <w:jc w:val="center"/>
      </w:pPr>
      <w:r>
        <w:rPr>
          <w:rFonts w:ascii="Times New Roman" w:eastAsia="Times New Roman" w:hAnsi="Times New Roman" w:cs="Times New Roman"/>
          <w:sz w:val="24"/>
        </w:rPr>
        <w:t xml:space="preserve">Рисунок 1- Модель БПЛА. </w:t>
      </w:r>
    </w:p>
    <w:p w:rsidR="0052701D" w:rsidRDefault="00D40929">
      <w:pPr>
        <w:spacing w:after="60"/>
        <w:ind w:left="776"/>
        <w:jc w:val="center"/>
      </w:pPr>
      <w:r>
        <w:rPr>
          <w:rFonts w:ascii="Times New Roman" w:eastAsia="Times New Roman" w:hAnsi="Times New Roman" w:cs="Times New Roman"/>
          <w:sz w:val="28"/>
        </w:rPr>
        <w:t xml:space="preserve"> </w:t>
      </w:r>
    </w:p>
    <w:p w:rsidR="0052701D" w:rsidRDefault="00D40929">
      <w:pPr>
        <w:spacing w:after="5" w:line="251" w:lineRule="auto"/>
        <w:ind w:left="720" w:firstLine="9"/>
      </w:pPr>
      <w:r>
        <w:rPr>
          <w:rFonts w:ascii="Times New Roman" w:eastAsia="Times New Roman" w:hAnsi="Times New Roman" w:cs="Times New Roman"/>
          <w:b/>
          <w:sz w:val="28"/>
        </w:rPr>
        <w:t xml:space="preserve">Основная часть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Беспилотный летательный аппарат, БЛА, БПЛА; в разговорной речи также беспилотник; дрон (от англ. drone «трутень») — </w:t>
      </w:r>
      <w:r>
        <w:rPr>
          <w:rFonts w:ascii="Times New Roman" w:eastAsia="Times New Roman" w:hAnsi="Times New Roman" w:cs="Times New Roman"/>
          <w:sz w:val="28"/>
        </w:rPr>
        <w:t>летательный аппарат без экипажа на борту[2]. Использование БПЛА обретает все более неожиданные и интересные воплощения. Из разряда инструмента кинематографистов и радиоуправляемых моделей энтузиастов, сегодня они уже широко используются в оборонной промышл</w:t>
      </w:r>
      <w:r>
        <w:rPr>
          <w:rFonts w:ascii="Times New Roman" w:eastAsia="Times New Roman" w:hAnsi="Times New Roman" w:cs="Times New Roman"/>
          <w:sz w:val="28"/>
        </w:rPr>
        <w:t xml:space="preserve">енности, и показали высокую эффективность, к примеру во время антитеррористической операции в Сирии, и в военном конфликте в Украине. Помимо военных целей, БПЛА могут служить и в мирное время. Если брать опыт Китая, то компания DJI активно продвигают свои </w:t>
      </w:r>
      <w:r>
        <w:rPr>
          <w:rFonts w:ascii="Times New Roman" w:eastAsia="Times New Roman" w:hAnsi="Times New Roman" w:cs="Times New Roman"/>
          <w:sz w:val="28"/>
        </w:rPr>
        <w:t>гибридные системы для контроля и полива урожая, тем самым облегчая работу сельскохозяйственных учреждений, и уменьшая количество персонала. Однако на этом перспективы использования БПЛА в удовлетворении нужд гражданского рынка не заканчиваются. В данной ст</w:t>
      </w:r>
      <w:r>
        <w:rPr>
          <w:rFonts w:ascii="Times New Roman" w:eastAsia="Times New Roman" w:hAnsi="Times New Roman" w:cs="Times New Roman"/>
          <w:sz w:val="28"/>
        </w:rPr>
        <w:t>атье рассматривается возможность использования эскадрильи БПЛА, для обеспечения максимального покрытия, и использования алгоритмов искусственного интеллекта для обнаружения незаконных свалок, вырубок леса, пожаров. Так же, алгоритмы искусственного интеллек</w:t>
      </w:r>
      <w:r>
        <w:rPr>
          <w:rFonts w:ascii="Times New Roman" w:eastAsia="Times New Roman" w:hAnsi="Times New Roman" w:cs="Times New Roman"/>
          <w:sz w:val="28"/>
        </w:rPr>
        <w:t xml:space="preserve">та для анализа больших массивов данных, и исходя из них же, создавать модели поведения огня. Аналогов </w:t>
      </w:r>
      <w:r>
        <w:rPr>
          <w:rFonts w:ascii="Times New Roman" w:eastAsia="Times New Roman" w:hAnsi="Times New Roman" w:cs="Times New Roman"/>
          <w:sz w:val="28"/>
        </w:rPr>
        <w:lastRenderedPageBreak/>
        <w:t xml:space="preserve">подобной практики в истории мировой науки нет. БПЛА активно используется при борьбе уже с фактом возгорания, но не для профилактики и наблюдения. Если же </w:t>
      </w:r>
      <w:r>
        <w:rPr>
          <w:rFonts w:ascii="Times New Roman" w:eastAsia="Times New Roman" w:hAnsi="Times New Roman" w:cs="Times New Roman"/>
          <w:sz w:val="28"/>
        </w:rPr>
        <w:t>брать основное препятствие при локализации, и ликвидации пожаров, и основную угрозу от мест незаконных свалок, то это ветер. В первом случае, резкое смена направлений, и силы ветра, и не возможность получения оперативной информации о движении воздушных мас</w:t>
      </w:r>
      <w:r>
        <w:rPr>
          <w:rFonts w:ascii="Times New Roman" w:eastAsia="Times New Roman" w:hAnsi="Times New Roman" w:cs="Times New Roman"/>
          <w:sz w:val="28"/>
        </w:rPr>
        <w:t xml:space="preserve">с. Использование портативных метеостанции на борту БПЛА, позволяют создать карты направления и силы ветра, и температурные очаги. При втором случае, то сам факт возникновения среды для размножения и распространения опасных патогенов вызывает беспокойство, </w:t>
      </w:r>
      <w:r>
        <w:rPr>
          <w:rFonts w:ascii="Times New Roman" w:eastAsia="Times New Roman" w:hAnsi="Times New Roman" w:cs="Times New Roman"/>
          <w:sz w:val="28"/>
        </w:rPr>
        <w:t>и требует наискорейшего обнаружения и решения проблемы, при сильных порывах ветра, область загрязнения, как и биологической угрозы, так и физическими отходами может увеличится в разы, тем самым сокращая полезную площадь. Применение эскадрильи затребует гор</w:t>
      </w:r>
      <w:r>
        <w:rPr>
          <w:rFonts w:ascii="Times New Roman" w:eastAsia="Times New Roman" w:hAnsi="Times New Roman" w:cs="Times New Roman"/>
          <w:sz w:val="28"/>
        </w:rPr>
        <w:t xml:space="preserve">аздо меньших человеческих ресурсов, нежели традиционных способов поиска и ликвидации мест загрязнения.  </w:t>
      </w:r>
    </w:p>
    <w:p w:rsidR="0052701D" w:rsidRDefault="00D40929">
      <w:pPr>
        <w:spacing w:after="5" w:line="271" w:lineRule="auto"/>
        <w:ind w:left="9" w:right="64" w:firstLine="711"/>
        <w:jc w:val="both"/>
      </w:pPr>
      <w:r>
        <w:rPr>
          <w:rFonts w:ascii="Times New Roman" w:eastAsia="Times New Roman" w:hAnsi="Times New Roman" w:cs="Times New Roman"/>
          <w:sz w:val="28"/>
        </w:rPr>
        <w:t>Беспилотные летательные аппараты условно можно поделить на 3 типа: мульти роторные (коптеры), средства вертикального взлета и приземления (СВВП), самол</w:t>
      </w:r>
      <w:r>
        <w:rPr>
          <w:rFonts w:ascii="Times New Roman" w:eastAsia="Times New Roman" w:hAnsi="Times New Roman" w:cs="Times New Roman"/>
          <w:sz w:val="28"/>
        </w:rPr>
        <w:t>етные БПЛА (крыло).[3] Каждый из типов имеет свои положительные и отрицательные стороны. Наиболее мобильные это коптеры. Коптеры могут взлетать на любой местности, не требуют специальных площадок для приземления. Грузоподъёмность зависит от мощности и коли</w:t>
      </w:r>
      <w:r>
        <w:rPr>
          <w:rFonts w:ascii="Times New Roman" w:eastAsia="Times New Roman" w:hAnsi="Times New Roman" w:cs="Times New Roman"/>
          <w:sz w:val="28"/>
        </w:rPr>
        <w:t>чества двигателей, а также размеров и формы винтов. Коптеры могут быстро менять скорость и направление полета. Однако большой проблемой является высокие энергозатраты на поддержание работы моторов, как правило, при спокойном ветре 20-30 минут. БПЛА типа кр</w:t>
      </w:r>
      <w:r>
        <w:rPr>
          <w:rFonts w:ascii="Times New Roman" w:eastAsia="Times New Roman" w:hAnsi="Times New Roman" w:cs="Times New Roman"/>
          <w:sz w:val="28"/>
        </w:rPr>
        <w:t>ыло могут находится в воздухе довльно продолжительное время, поскольку подъемная сила создается за счет фюзеляжа формы крыла, таким образом они могут покрывать большие расстояния, и выполнять полеты дальностью до 20-30км. Но для запуска крыла нужны специал</w:t>
      </w:r>
      <w:r>
        <w:rPr>
          <w:rFonts w:ascii="Times New Roman" w:eastAsia="Times New Roman" w:hAnsi="Times New Roman" w:cs="Times New Roman"/>
          <w:sz w:val="28"/>
        </w:rPr>
        <w:t>ьные катапульты, или же физический сильно развитый человек. И приземления подобных дронов чаще всего выполнены в парашютном виде. Объединив коптеры и крыло, мы получим СВВП. СВВП, комбинируя положительные качества коптеров и крыла, почти нивелируют минусы,</w:t>
      </w:r>
      <w:r>
        <w:rPr>
          <w:rFonts w:ascii="Times New Roman" w:eastAsia="Times New Roman" w:hAnsi="Times New Roman" w:cs="Times New Roman"/>
          <w:sz w:val="28"/>
        </w:rPr>
        <w:t xml:space="preserve"> однако они существенно дороже в производстве.  </w:t>
      </w:r>
    </w:p>
    <w:p w:rsidR="0052701D" w:rsidRDefault="00D40929">
      <w:pPr>
        <w:spacing w:after="5" w:line="271" w:lineRule="auto"/>
        <w:ind w:left="9" w:right="64" w:firstLine="711"/>
        <w:jc w:val="both"/>
      </w:pPr>
      <w:r>
        <w:rPr>
          <w:rFonts w:ascii="Times New Roman" w:eastAsia="Times New Roman" w:hAnsi="Times New Roman" w:cs="Times New Roman"/>
          <w:sz w:val="28"/>
        </w:rPr>
        <w:t>Сложная система ориентации в пространстве, использующая акселерометры, гироскопы, GPS/ГЛОНАСС системы, позволяют обеспечить высокую точность стабилизации и навигации. В случае потери управления, или же при п</w:t>
      </w:r>
      <w:r>
        <w:rPr>
          <w:rFonts w:ascii="Times New Roman" w:eastAsia="Times New Roman" w:hAnsi="Times New Roman" w:cs="Times New Roman"/>
          <w:sz w:val="28"/>
        </w:rPr>
        <w:t xml:space="preserve">ереводе в автономный режим, современные БПЛА </w:t>
      </w:r>
      <w:r>
        <w:rPr>
          <w:rFonts w:ascii="Times New Roman" w:eastAsia="Times New Roman" w:hAnsi="Times New Roman" w:cs="Times New Roman"/>
          <w:sz w:val="28"/>
        </w:rPr>
        <w:lastRenderedPageBreak/>
        <w:t>могут выступать в качестве самостоятельных разведывательных единиц, и выполнять миссию по наблюдению и контролю обстановки. При отсутствии связи, дроны могут вести запись, и передать ее по возвращению в зону пря</w:t>
      </w:r>
      <w:r>
        <w:rPr>
          <w:rFonts w:ascii="Times New Roman" w:eastAsia="Times New Roman" w:hAnsi="Times New Roman" w:cs="Times New Roman"/>
          <w:sz w:val="28"/>
        </w:rPr>
        <w:t xml:space="preserve">мой радиовидимости. Затронув тему радиосвязи, стоит упомянуть и второй части аппаратного комплекса – наземные станции. В случае использования БПЛА для мониторинга, полный свой потенциал подобное решение реализуют при использовании эскадрильи, состоящей из </w:t>
      </w:r>
      <w:r>
        <w:rPr>
          <w:rFonts w:ascii="Times New Roman" w:eastAsia="Times New Roman" w:hAnsi="Times New Roman" w:cs="Times New Roman"/>
          <w:sz w:val="28"/>
        </w:rPr>
        <w:t xml:space="preserve">4 – 12 аппаратов. Для управления и координирования столь большего количества дронов, целесообразно использовать одну наземную станцию для эскадрильи. Наземная станция представлена компьютером, коммутатором, и направленной антенной с функцией слежения, тем </w:t>
      </w:r>
      <w:r>
        <w:rPr>
          <w:rFonts w:ascii="Times New Roman" w:eastAsia="Times New Roman" w:hAnsi="Times New Roman" w:cs="Times New Roman"/>
          <w:sz w:val="28"/>
        </w:rPr>
        <w:t xml:space="preserve">самым обеспечивая огромный радиус покрытия системы.  </w:t>
      </w:r>
    </w:p>
    <w:p w:rsidR="0052701D" w:rsidRDefault="00D40929">
      <w:pPr>
        <w:spacing w:after="0"/>
        <w:ind w:left="711"/>
      </w:pPr>
      <w:r>
        <w:rPr>
          <w:rFonts w:ascii="Times New Roman" w:eastAsia="Times New Roman" w:hAnsi="Times New Roman" w:cs="Times New Roman"/>
          <w:sz w:val="28"/>
        </w:rPr>
        <w:t xml:space="preserve"> </w:t>
      </w:r>
    </w:p>
    <w:p w:rsidR="0052701D" w:rsidRDefault="00D40929">
      <w:pPr>
        <w:spacing w:after="104" w:line="216" w:lineRule="auto"/>
        <w:ind w:left="4893" w:right="1899" w:hanging="2220"/>
      </w:pPr>
      <w:r>
        <w:rPr>
          <w:noProof/>
        </w:rPr>
        <w:drawing>
          <wp:inline distT="0" distB="0" distL="0" distR="0">
            <wp:extent cx="2819400" cy="1941576"/>
            <wp:effectExtent l="0" t="0" r="0" b="0"/>
            <wp:docPr id="40065" name="Picture 40065"/>
            <wp:cNvGraphicFramePr/>
            <a:graphic xmlns:a="http://schemas.openxmlformats.org/drawingml/2006/main">
              <a:graphicData uri="http://schemas.openxmlformats.org/drawingml/2006/picture">
                <pic:pic xmlns:pic="http://schemas.openxmlformats.org/drawingml/2006/picture">
                  <pic:nvPicPr>
                    <pic:cNvPr id="40065" name="Picture 40065"/>
                    <pic:cNvPicPr/>
                  </pic:nvPicPr>
                  <pic:blipFill>
                    <a:blip r:embed="rId598"/>
                    <a:stretch>
                      <a:fillRect/>
                    </a:stretch>
                  </pic:blipFill>
                  <pic:spPr>
                    <a:xfrm>
                      <a:off x="0" y="0"/>
                      <a:ext cx="2819400" cy="1941576"/>
                    </a:xfrm>
                    <a:prstGeom prst="rect">
                      <a:avLst/>
                    </a:prstGeom>
                  </pic:spPr>
                </pic:pic>
              </a:graphicData>
            </a:graphic>
          </wp:inline>
        </w:drawing>
      </w:r>
      <w:r>
        <w:rPr>
          <w:rFonts w:ascii="Times New Roman" w:eastAsia="Times New Roman" w:hAnsi="Times New Roman" w:cs="Times New Roman"/>
          <w:sz w:val="28"/>
        </w:rPr>
        <w:t xml:space="preserve"> </w:t>
      </w:r>
      <w:r>
        <w:rPr>
          <w:rFonts w:ascii="Times New Roman" w:eastAsia="Times New Roman" w:hAnsi="Times New Roman" w:cs="Times New Roman"/>
          <w:sz w:val="24"/>
        </w:rPr>
        <w:t xml:space="preserve"> </w:t>
      </w:r>
    </w:p>
    <w:p w:rsidR="0052701D" w:rsidRDefault="00D40929">
      <w:pPr>
        <w:spacing w:after="29" w:line="248" w:lineRule="auto"/>
        <w:ind w:left="2214" w:right="14"/>
        <w:jc w:val="both"/>
      </w:pPr>
      <w:r>
        <w:rPr>
          <w:rFonts w:ascii="Times New Roman" w:eastAsia="Times New Roman" w:hAnsi="Times New Roman" w:cs="Times New Roman"/>
          <w:sz w:val="24"/>
        </w:rPr>
        <w:t>Рисунок 2. Модель полезной нагрузки FLIR-камера.</w:t>
      </w:r>
      <w:r>
        <w:rPr>
          <w:rFonts w:ascii="Times New Roman" w:eastAsia="Times New Roman" w:hAnsi="Times New Roman" w:cs="Times New Roman"/>
          <w:sz w:val="28"/>
        </w:rPr>
        <w:t xml:space="preserve"> </w:t>
      </w:r>
    </w:p>
    <w:p w:rsidR="0052701D" w:rsidRDefault="00D40929">
      <w:pPr>
        <w:spacing w:after="0"/>
        <w:ind w:left="776"/>
        <w:jc w:val="center"/>
      </w:pPr>
      <w:r>
        <w:rPr>
          <w:rFonts w:ascii="Times New Roman" w:eastAsia="Times New Roman" w:hAnsi="Times New Roman" w:cs="Times New Roman"/>
          <w:sz w:val="28"/>
        </w:rPr>
        <w:t xml:space="preserve"> </w:t>
      </w:r>
    </w:p>
    <w:p w:rsidR="0052701D" w:rsidRDefault="00D40929">
      <w:pPr>
        <w:spacing w:after="0"/>
        <w:ind w:right="1040"/>
        <w:jc w:val="right"/>
      </w:pPr>
      <w:r>
        <w:rPr>
          <w:noProof/>
        </w:rPr>
        <w:drawing>
          <wp:inline distT="0" distB="0" distL="0" distR="0">
            <wp:extent cx="3907536" cy="2197608"/>
            <wp:effectExtent l="0" t="0" r="0" b="0"/>
            <wp:docPr id="40067" name="Picture 40067"/>
            <wp:cNvGraphicFramePr/>
            <a:graphic xmlns:a="http://schemas.openxmlformats.org/drawingml/2006/main">
              <a:graphicData uri="http://schemas.openxmlformats.org/drawingml/2006/picture">
                <pic:pic xmlns:pic="http://schemas.openxmlformats.org/drawingml/2006/picture">
                  <pic:nvPicPr>
                    <pic:cNvPr id="40067" name="Picture 40067"/>
                    <pic:cNvPicPr/>
                  </pic:nvPicPr>
                  <pic:blipFill>
                    <a:blip r:embed="rId599"/>
                    <a:stretch>
                      <a:fillRect/>
                    </a:stretch>
                  </pic:blipFill>
                  <pic:spPr>
                    <a:xfrm>
                      <a:off x="0" y="0"/>
                      <a:ext cx="3907536" cy="2197608"/>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0"/>
        <w:ind w:left="776"/>
        <w:jc w:val="center"/>
      </w:pPr>
      <w:r>
        <w:rPr>
          <w:rFonts w:ascii="Times New Roman" w:eastAsia="Times New Roman" w:hAnsi="Times New Roman" w:cs="Times New Roman"/>
          <w:sz w:val="28"/>
        </w:rPr>
        <w:t xml:space="preserve"> </w:t>
      </w:r>
    </w:p>
    <w:p w:rsidR="0052701D" w:rsidRDefault="00D40929">
      <w:pPr>
        <w:spacing w:after="29" w:line="248" w:lineRule="auto"/>
        <w:ind w:left="1911" w:right="14"/>
        <w:jc w:val="both"/>
      </w:pPr>
      <w:r>
        <w:rPr>
          <w:rFonts w:ascii="Times New Roman" w:eastAsia="Times New Roman" w:hAnsi="Times New Roman" w:cs="Times New Roman"/>
          <w:sz w:val="24"/>
        </w:rPr>
        <w:t xml:space="preserve">Рисунок 3. Пример работы программы обнаружения огня. </w:t>
      </w:r>
    </w:p>
    <w:p w:rsidR="0052701D" w:rsidRDefault="00D40929">
      <w:pPr>
        <w:spacing w:after="0"/>
        <w:ind w:left="776"/>
        <w:jc w:val="center"/>
      </w:pPr>
      <w:r>
        <w:rPr>
          <w:rFonts w:ascii="Times New Roman" w:eastAsia="Times New Roman" w:hAnsi="Times New Roman" w:cs="Times New Roman"/>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Контроль обстановки обеспечивается сменной полезной нагрузкой. Помимо </w:t>
      </w:r>
      <w:r>
        <w:rPr>
          <w:rFonts w:ascii="Times New Roman" w:eastAsia="Times New Roman" w:hAnsi="Times New Roman" w:cs="Times New Roman"/>
          <w:sz w:val="28"/>
        </w:rPr>
        <w:t xml:space="preserve">стандартных камер, в качестве полезной нагрузки может выступать и тепловизионные камеры, портативные радио локаторные установки. Помимо сменной, есть и постоянная полезная нагрузка. Как </w:t>
      </w:r>
      <w:r>
        <w:rPr>
          <w:rFonts w:ascii="Times New Roman" w:eastAsia="Times New Roman" w:hAnsi="Times New Roman" w:cs="Times New Roman"/>
          <w:sz w:val="28"/>
        </w:rPr>
        <w:lastRenderedPageBreak/>
        <w:t xml:space="preserve">упоминалось выше, неоперативная информация о движении воздушных масс, </w:t>
      </w:r>
      <w:r>
        <w:rPr>
          <w:rFonts w:ascii="Times New Roman" w:eastAsia="Times New Roman" w:hAnsi="Times New Roman" w:cs="Times New Roman"/>
          <w:sz w:val="28"/>
        </w:rPr>
        <w:t>сильно тормозят тушения и локализацию пожаров. Эскадрилья же, имеющая на борту портативную метеостанцию, позволяет создать карту движения воздушных масс, тем самым предсказывать распространение огня, применение систем искусственного интеллекта, и вовсе поз</w:t>
      </w:r>
      <w:r>
        <w:rPr>
          <w:rFonts w:ascii="Times New Roman" w:eastAsia="Times New Roman" w:hAnsi="Times New Roman" w:cs="Times New Roman"/>
          <w:sz w:val="28"/>
        </w:rPr>
        <w:t>волят предиктивным образом, используя данные о температурных аномалиях, ликвидировать пожары, еще до катастрофы, и эффективно координировать действия противопожарных служб. Стоит отметить, что подобные системы уже имеются на рынке, но представлены в основн</w:t>
      </w:r>
      <w:r>
        <w:rPr>
          <w:rFonts w:ascii="Times New Roman" w:eastAsia="Times New Roman" w:hAnsi="Times New Roman" w:cs="Times New Roman"/>
          <w:sz w:val="28"/>
        </w:rPr>
        <w:t xml:space="preserve">ом для </w:t>
      </w:r>
    </w:p>
    <w:p w:rsidR="0052701D" w:rsidRDefault="00D40929">
      <w:pPr>
        <w:spacing w:after="5" w:line="271" w:lineRule="auto"/>
        <w:ind w:left="9" w:right="64"/>
        <w:jc w:val="both"/>
      </w:pPr>
      <w:r>
        <w:rPr>
          <w:rFonts w:ascii="Times New Roman" w:eastAsia="Times New Roman" w:hAnsi="Times New Roman" w:cs="Times New Roman"/>
          <w:sz w:val="28"/>
        </w:rPr>
        <w:t xml:space="preserve">сельскохозяйственного направления. К примеру, дроны-ковбои от SAP.[4] </w:t>
      </w:r>
    </w:p>
    <w:p w:rsidR="0052701D" w:rsidRDefault="00D40929">
      <w:pPr>
        <w:spacing w:after="0"/>
        <w:ind w:left="711"/>
      </w:pPr>
      <w:r>
        <w:rPr>
          <w:rFonts w:ascii="Times New Roman" w:eastAsia="Times New Roman" w:hAnsi="Times New Roman" w:cs="Times New Roman"/>
          <w:sz w:val="28"/>
        </w:rPr>
        <w:t xml:space="preserve"> </w:t>
      </w:r>
    </w:p>
    <w:p w:rsidR="0052701D" w:rsidRDefault="00D40929">
      <w:pPr>
        <w:spacing w:after="0"/>
        <w:ind w:right="1045"/>
        <w:jc w:val="right"/>
      </w:pPr>
      <w:r>
        <w:rPr>
          <w:noProof/>
        </w:rPr>
        <w:drawing>
          <wp:inline distT="0" distB="0" distL="0" distR="0">
            <wp:extent cx="3883152" cy="1917319"/>
            <wp:effectExtent l="0" t="0" r="0" b="0"/>
            <wp:docPr id="40139" name="Picture 40139"/>
            <wp:cNvGraphicFramePr/>
            <a:graphic xmlns:a="http://schemas.openxmlformats.org/drawingml/2006/main">
              <a:graphicData uri="http://schemas.openxmlformats.org/drawingml/2006/picture">
                <pic:pic xmlns:pic="http://schemas.openxmlformats.org/drawingml/2006/picture">
                  <pic:nvPicPr>
                    <pic:cNvPr id="40139" name="Picture 40139"/>
                    <pic:cNvPicPr/>
                  </pic:nvPicPr>
                  <pic:blipFill>
                    <a:blip r:embed="rId600"/>
                    <a:stretch>
                      <a:fillRect/>
                    </a:stretch>
                  </pic:blipFill>
                  <pic:spPr>
                    <a:xfrm>
                      <a:off x="0" y="0"/>
                      <a:ext cx="3883152" cy="1917319"/>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0"/>
        <w:ind w:left="776"/>
        <w:jc w:val="center"/>
      </w:pPr>
      <w:r>
        <w:rPr>
          <w:rFonts w:ascii="Times New Roman" w:eastAsia="Times New Roman" w:hAnsi="Times New Roman" w:cs="Times New Roman"/>
          <w:sz w:val="28"/>
        </w:rPr>
        <w:t xml:space="preserve"> </w:t>
      </w:r>
    </w:p>
    <w:p w:rsidR="0052701D" w:rsidRDefault="00D40929">
      <w:pPr>
        <w:spacing w:after="14" w:line="248" w:lineRule="auto"/>
        <w:ind w:left="713" w:hanging="5"/>
        <w:jc w:val="center"/>
      </w:pPr>
      <w:r>
        <w:rPr>
          <w:rFonts w:ascii="Times New Roman" w:eastAsia="Times New Roman" w:hAnsi="Times New Roman" w:cs="Times New Roman"/>
          <w:sz w:val="24"/>
        </w:rPr>
        <w:t xml:space="preserve">Рисунок 4 – схема работы дронов-ковбоев. </w:t>
      </w:r>
    </w:p>
    <w:p w:rsidR="0052701D" w:rsidRDefault="00D40929">
      <w:pPr>
        <w:spacing w:after="27"/>
        <w:ind w:left="711"/>
      </w:pPr>
      <w:r>
        <w:rPr>
          <w:rFonts w:ascii="Times New Roman" w:eastAsia="Times New Roman" w:hAnsi="Times New Roman" w:cs="Times New Roman"/>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БПЛА - лишь платформа. Основная же часть — </w:t>
      </w:r>
      <w:r>
        <w:rPr>
          <w:rFonts w:ascii="Times New Roman" w:eastAsia="Times New Roman" w:hAnsi="Times New Roman" w:cs="Times New Roman"/>
          <w:sz w:val="28"/>
        </w:rPr>
        <w:t xml:space="preserve">это программное обеспечение (ПО). Приспособить летательный аппарат для ПО можно практически любой, начиная от планера и заканчивая мульти роторными системами. Вычислительных мощностей полетных контроллеров не хватит для подобных решений, однако технологии </w:t>
      </w:r>
      <w:r>
        <w:rPr>
          <w:rFonts w:ascii="Times New Roman" w:eastAsia="Times New Roman" w:hAnsi="Times New Roman" w:cs="Times New Roman"/>
          <w:sz w:val="28"/>
        </w:rPr>
        <w:t>позволяют использовать БПЛА как дистанционные камеры, и обрабатывать информацию уже на наземных станциях. Алгоритмы искусственного интеллекта сегодня имеют наибольшее распространение в истории, и многие аналитики научного мира считают, что их распространен</w:t>
      </w:r>
      <w:r>
        <w:rPr>
          <w:rFonts w:ascii="Times New Roman" w:eastAsia="Times New Roman" w:hAnsi="Times New Roman" w:cs="Times New Roman"/>
          <w:sz w:val="28"/>
        </w:rPr>
        <w:t>ие только увеличится [5],[6]. В обществе программистов большое количество так называемых “open-source” проектов, то есть проектов с открытом исходным кодом, один из наиболее популярных является “OpenCV” [7]. Обладая готовыми библиотеками, и наиболее оптими</w:t>
      </w:r>
      <w:r>
        <w:rPr>
          <w:rFonts w:ascii="Times New Roman" w:eastAsia="Times New Roman" w:hAnsi="Times New Roman" w:cs="Times New Roman"/>
          <w:sz w:val="28"/>
        </w:rPr>
        <w:t>зированными алгоритмами обучения, она является наиболее привлекательной для создания и реализации подобных решений. Алгоритмы искусственного интеллекта обрабатывают данные гораздо быстрее и точнее целого штата сотрудников. Именно эти алгоритмы позволяют со</w:t>
      </w:r>
      <w:r>
        <w:rPr>
          <w:rFonts w:ascii="Times New Roman" w:eastAsia="Times New Roman" w:hAnsi="Times New Roman" w:cs="Times New Roman"/>
          <w:sz w:val="28"/>
        </w:rPr>
        <w:t xml:space="preserve">здавать карты движения воздушных масс, производить </w:t>
      </w:r>
      <w:r>
        <w:rPr>
          <w:rFonts w:ascii="Times New Roman" w:eastAsia="Times New Roman" w:hAnsi="Times New Roman" w:cs="Times New Roman"/>
          <w:sz w:val="28"/>
        </w:rPr>
        <w:lastRenderedPageBreak/>
        <w:t xml:space="preserve">расчеты с предсказанием пожаров, и создания карт возгорании, и нахождением в автономном режиме незаконных свалок, вырубок лесов, и контроль аграрного сектора.  </w:t>
      </w:r>
    </w:p>
    <w:p w:rsidR="0052701D" w:rsidRDefault="00D40929">
      <w:pPr>
        <w:spacing w:after="57" w:line="251" w:lineRule="auto"/>
        <w:ind w:left="720" w:firstLine="9"/>
      </w:pPr>
      <w:r>
        <w:rPr>
          <w:rFonts w:ascii="Times New Roman" w:eastAsia="Times New Roman" w:hAnsi="Times New Roman" w:cs="Times New Roman"/>
          <w:b/>
          <w:sz w:val="28"/>
        </w:rPr>
        <w:t xml:space="preserve">Заключение </w:t>
      </w:r>
    </w:p>
    <w:p w:rsidR="0052701D" w:rsidRDefault="00D40929">
      <w:pPr>
        <w:spacing w:after="5" w:line="271" w:lineRule="auto"/>
        <w:ind w:left="9" w:right="64" w:firstLine="711"/>
        <w:jc w:val="both"/>
      </w:pPr>
      <w:r>
        <w:rPr>
          <w:rFonts w:ascii="Times New Roman" w:eastAsia="Times New Roman" w:hAnsi="Times New Roman" w:cs="Times New Roman"/>
          <w:sz w:val="28"/>
        </w:rPr>
        <w:t>БПЛА и искусственный интеллект –</w:t>
      </w:r>
      <w:r>
        <w:rPr>
          <w:rFonts w:ascii="Times New Roman" w:eastAsia="Times New Roman" w:hAnsi="Times New Roman" w:cs="Times New Roman"/>
          <w:sz w:val="28"/>
        </w:rPr>
        <w:t xml:space="preserve"> революции нашего века. Преимущества открываемые этими технологиями позволяют нам улучшить жизнь как и простых обывателей, так и существенно облегчить работу правительственных, и силовых структур. Работы в данном направлении наиболее привлекательны и персп</w:t>
      </w:r>
      <w:r>
        <w:rPr>
          <w:rFonts w:ascii="Times New Roman" w:eastAsia="Times New Roman" w:hAnsi="Times New Roman" w:cs="Times New Roman"/>
          <w:sz w:val="28"/>
        </w:rPr>
        <w:t>ективны. Уже сейчас, передовые компьютерные экономики мира, все активнее внедряют БПЛА в оборонную, сельскохозяйственную, гражданские отрасли, тем самым повышая участие научного сектора в экономике страны, и ее развитии. Республике Казахстан необходимо уве</w:t>
      </w:r>
      <w:r>
        <w:rPr>
          <w:rFonts w:ascii="Times New Roman" w:eastAsia="Times New Roman" w:hAnsi="Times New Roman" w:cs="Times New Roman"/>
          <w:sz w:val="28"/>
        </w:rPr>
        <w:t xml:space="preserve">личить роль БПЛА как минимум в области гражданской обороны, где они докажут свою дееспособность. </w:t>
      </w:r>
    </w:p>
    <w:p w:rsidR="0052701D" w:rsidRDefault="00D40929">
      <w:pPr>
        <w:spacing w:after="16" w:line="248" w:lineRule="auto"/>
        <w:ind w:left="819" w:right="811" w:hanging="10"/>
        <w:jc w:val="center"/>
      </w:pPr>
      <w:r>
        <w:rPr>
          <w:rFonts w:ascii="Times New Roman" w:eastAsia="Times New Roman" w:hAnsi="Times New Roman" w:cs="Times New Roman"/>
          <w:b/>
          <w:sz w:val="24"/>
        </w:rPr>
        <w:t xml:space="preserve">Источники </w:t>
      </w:r>
    </w:p>
    <w:p w:rsidR="0052701D" w:rsidRDefault="00D40929">
      <w:pPr>
        <w:spacing w:after="0"/>
        <w:ind w:left="1777"/>
      </w:pPr>
      <w:r>
        <w:rPr>
          <w:rFonts w:ascii="Times New Roman" w:eastAsia="Times New Roman" w:hAnsi="Times New Roman" w:cs="Times New Roman"/>
          <w:sz w:val="28"/>
        </w:rPr>
        <w:t xml:space="preserve"> </w:t>
      </w:r>
    </w:p>
    <w:p w:rsidR="0052701D" w:rsidRDefault="00D40929">
      <w:pPr>
        <w:numPr>
          <w:ilvl w:val="0"/>
          <w:numId w:val="68"/>
        </w:numPr>
        <w:spacing w:after="5" w:line="271" w:lineRule="auto"/>
        <w:ind w:right="64" w:firstLine="711"/>
        <w:jc w:val="both"/>
      </w:pPr>
      <w:r>
        <w:rPr>
          <w:rFonts w:ascii="Times New Roman" w:eastAsia="Times New Roman" w:hAnsi="Times New Roman" w:cs="Times New Roman"/>
          <w:sz w:val="28"/>
        </w:rPr>
        <w:t xml:space="preserve">https://tengrinews.kz/kazakhstan_news/pozdnee-opoveschenie-pojarekostanayskoy-oblasti-mchs-477092/ </w:t>
      </w:r>
    </w:p>
    <w:p w:rsidR="0052701D" w:rsidRDefault="00D40929">
      <w:pPr>
        <w:numPr>
          <w:ilvl w:val="0"/>
          <w:numId w:val="68"/>
        </w:numPr>
        <w:spacing w:after="5" w:line="271" w:lineRule="auto"/>
        <w:ind w:right="64" w:firstLine="711"/>
        <w:jc w:val="both"/>
      </w:pPr>
      <w:r>
        <w:rPr>
          <w:rFonts w:ascii="Times New Roman" w:eastAsia="Times New Roman" w:hAnsi="Times New Roman" w:cs="Times New Roman"/>
          <w:sz w:val="28"/>
        </w:rPr>
        <w:t>https://ru.wikipedia.org/wiki/%D0%91%D0%B5%D1</w:t>
      </w:r>
      <w:r>
        <w:rPr>
          <w:rFonts w:ascii="Times New Roman" w:eastAsia="Times New Roman" w:hAnsi="Times New Roman" w:cs="Times New Roman"/>
          <w:sz w:val="28"/>
        </w:rPr>
        <w:t>%81%D0%BF</w:t>
      </w:r>
    </w:p>
    <w:p w:rsidR="0052701D" w:rsidRDefault="00D40929">
      <w:pPr>
        <w:spacing w:after="5" w:line="271" w:lineRule="auto"/>
        <w:ind w:left="9" w:right="64"/>
        <w:jc w:val="both"/>
      </w:pPr>
      <w:r>
        <w:rPr>
          <w:rFonts w:ascii="Times New Roman" w:eastAsia="Times New Roman" w:hAnsi="Times New Roman" w:cs="Times New Roman"/>
          <w:sz w:val="28"/>
        </w:rPr>
        <w:t>%D0%B8%D0%BB%D0%BE%D1%82%D0%BD%D1%8B%D0%B9_%D0%</w:t>
      </w:r>
    </w:p>
    <w:p w:rsidR="0052701D" w:rsidRDefault="00D40929">
      <w:pPr>
        <w:spacing w:after="5" w:line="271" w:lineRule="auto"/>
        <w:ind w:left="9" w:right="64"/>
        <w:jc w:val="both"/>
      </w:pPr>
      <w:r>
        <w:rPr>
          <w:rFonts w:ascii="Times New Roman" w:eastAsia="Times New Roman" w:hAnsi="Times New Roman" w:cs="Times New Roman"/>
          <w:sz w:val="28"/>
        </w:rPr>
        <w:t>BB%D0%B5%D1%82%D0%B0%D1%82%D0%B5%D0%BB%D1%8C%D0</w:t>
      </w:r>
    </w:p>
    <w:p w:rsidR="0052701D" w:rsidRDefault="00D40929">
      <w:pPr>
        <w:spacing w:after="5" w:line="271" w:lineRule="auto"/>
        <w:ind w:left="9" w:right="64"/>
        <w:jc w:val="both"/>
      </w:pPr>
      <w:r>
        <w:rPr>
          <w:rFonts w:ascii="Times New Roman" w:eastAsia="Times New Roman" w:hAnsi="Times New Roman" w:cs="Times New Roman"/>
          <w:sz w:val="28"/>
        </w:rPr>
        <w:t>%BD%D1%8B%D0%B9_%D0%B0%D0%BF%D0%BF%D0%B0%D1%80%</w:t>
      </w:r>
    </w:p>
    <w:p w:rsidR="0052701D" w:rsidRDefault="00D40929">
      <w:pPr>
        <w:spacing w:after="5" w:line="271" w:lineRule="auto"/>
        <w:ind w:left="9" w:right="64"/>
        <w:jc w:val="both"/>
      </w:pPr>
      <w:r>
        <w:rPr>
          <w:rFonts w:ascii="Times New Roman" w:eastAsia="Times New Roman" w:hAnsi="Times New Roman" w:cs="Times New Roman"/>
          <w:sz w:val="28"/>
        </w:rPr>
        <w:t xml:space="preserve">D0%B0%D1%82 </w:t>
      </w:r>
    </w:p>
    <w:p w:rsidR="0052701D" w:rsidRDefault="00D40929">
      <w:pPr>
        <w:numPr>
          <w:ilvl w:val="0"/>
          <w:numId w:val="68"/>
        </w:numPr>
        <w:spacing w:after="5" w:line="271" w:lineRule="auto"/>
        <w:ind w:right="64" w:firstLine="711"/>
        <w:jc w:val="both"/>
      </w:pPr>
      <w:r>
        <w:rPr>
          <w:rFonts w:ascii="Times New Roman" w:eastAsia="Times New Roman" w:hAnsi="Times New Roman" w:cs="Times New Roman"/>
          <w:sz w:val="28"/>
        </w:rPr>
        <w:t xml:space="preserve">https://www.auav.com.au/articles/drone-types/ </w:t>
      </w:r>
    </w:p>
    <w:p w:rsidR="0052701D" w:rsidRDefault="00D40929">
      <w:pPr>
        <w:numPr>
          <w:ilvl w:val="0"/>
          <w:numId w:val="68"/>
        </w:numPr>
        <w:spacing w:after="5" w:line="271" w:lineRule="auto"/>
        <w:ind w:right="64" w:firstLine="711"/>
        <w:jc w:val="both"/>
      </w:pPr>
      <w:r>
        <w:rPr>
          <w:rFonts w:ascii="Times New Roman" w:eastAsia="Times New Roman" w:hAnsi="Times New Roman" w:cs="Times New Roman"/>
          <w:sz w:val="28"/>
        </w:rPr>
        <w:t xml:space="preserve">https://habr.com/ru/company/sap/blog/325122/ </w:t>
      </w:r>
    </w:p>
    <w:p w:rsidR="0052701D" w:rsidRDefault="00D40929">
      <w:pPr>
        <w:numPr>
          <w:ilvl w:val="0"/>
          <w:numId w:val="68"/>
        </w:numPr>
        <w:spacing w:after="12" w:line="249" w:lineRule="auto"/>
        <w:ind w:right="64" w:firstLine="711"/>
        <w:jc w:val="both"/>
      </w:pPr>
      <w:hyperlink r:id="rId601">
        <w:r>
          <w:rPr>
            <w:rFonts w:ascii="Times New Roman" w:eastAsia="Times New Roman" w:hAnsi="Times New Roman" w:cs="Times New Roman"/>
            <w:color w:val="0563C1"/>
            <w:sz w:val="28"/>
            <w:u w:val="single" w:color="0563C1"/>
          </w:rPr>
          <w:t>https://www.sas.com/en_us/insights/analytics/what</w:t>
        </w:r>
      </w:hyperlink>
      <w:hyperlink r:id="rId602">
        <w:r>
          <w:rPr>
            <w:rFonts w:ascii="Times New Roman" w:eastAsia="Times New Roman" w:hAnsi="Times New Roman" w:cs="Times New Roman"/>
            <w:color w:val="0563C1"/>
            <w:sz w:val="28"/>
            <w:u w:val="single" w:color="0563C1"/>
          </w:rPr>
          <w:t>-</w:t>
        </w:r>
      </w:hyperlink>
      <w:hyperlink r:id="rId603">
        <w:r>
          <w:rPr>
            <w:rFonts w:ascii="Times New Roman" w:eastAsia="Times New Roman" w:hAnsi="Times New Roman" w:cs="Times New Roman"/>
            <w:color w:val="0563C1"/>
            <w:sz w:val="28"/>
            <w:u w:val="single" w:color="0563C1"/>
          </w:rPr>
          <w:t>is</w:t>
        </w:r>
      </w:hyperlink>
      <w:hyperlink r:id="rId604">
        <w:r>
          <w:rPr>
            <w:rFonts w:ascii="Times New Roman" w:eastAsia="Times New Roman" w:hAnsi="Times New Roman" w:cs="Times New Roman"/>
            <w:color w:val="0563C1"/>
            <w:sz w:val="28"/>
            <w:u w:val="single" w:color="0563C1"/>
          </w:rPr>
          <w:t>-</w:t>
        </w:r>
      </w:hyperlink>
      <w:hyperlink r:id="rId605">
        <w:r>
          <w:rPr>
            <w:rFonts w:ascii="Times New Roman" w:eastAsia="Times New Roman" w:hAnsi="Times New Roman" w:cs="Times New Roman"/>
            <w:color w:val="0563C1"/>
            <w:sz w:val="28"/>
            <w:u w:val="single" w:color="0563C1"/>
          </w:rPr>
          <w:t>artificial</w:t>
        </w:r>
      </w:hyperlink>
      <w:hyperlink r:id="rId606"/>
      <w:hyperlink r:id="rId607">
        <w:r>
          <w:rPr>
            <w:rFonts w:ascii="Times New Roman" w:eastAsia="Times New Roman" w:hAnsi="Times New Roman" w:cs="Times New Roman"/>
            <w:color w:val="0563C1"/>
            <w:sz w:val="28"/>
            <w:u w:val="single" w:color="0563C1"/>
          </w:rPr>
          <w:t>intelligence.html</w:t>
        </w:r>
      </w:hyperlink>
      <w:hyperlink r:id="rId608">
        <w:r>
          <w:rPr>
            <w:rFonts w:ascii="Times New Roman" w:eastAsia="Times New Roman" w:hAnsi="Times New Roman" w:cs="Times New Roman"/>
            <w:sz w:val="28"/>
          </w:rPr>
          <w:t xml:space="preserve"> </w:t>
        </w:r>
      </w:hyperlink>
    </w:p>
    <w:p w:rsidR="0052701D" w:rsidRDefault="00D40929">
      <w:pPr>
        <w:numPr>
          <w:ilvl w:val="0"/>
          <w:numId w:val="68"/>
        </w:numPr>
        <w:spacing w:after="12" w:line="249" w:lineRule="auto"/>
        <w:ind w:right="64" w:firstLine="711"/>
        <w:jc w:val="both"/>
      </w:pPr>
      <w:hyperlink r:id="rId609">
        <w:r>
          <w:rPr>
            <w:rFonts w:ascii="Times New Roman" w:eastAsia="Times New Roman" w:hAnsi="Times New Roman" w:cs="Times New Roman"/>
            <w:color w:val="0563C1"/>
            <w:sz w:val="28"/>
            <w:u w:val="single" w:color="0563C1"/>
          </w:rPr>
          <w:t>https://habr.com/ru/company/cloud4y/blog/469447/</w:t>
        </w:r>
      </w:hyperlink>
      <w:hyperlink r:id="rId610">
        <w:r>
          <w:rPr>
            <w:rFonts w:ascii="Times New Roman" w:eastAsia="Times New Roman" w:hAnsi="Times New Roman" w:cs="Times New Roman"/>
            <w:sz w:val="28"/>
          </w:rPr>
          <w:t xml:space="preserve"> </w:t>
        </w:r>
      </w:hyperlink>
    </w:p>
    <w:p w:rsidR="0052701D" w:rsidRDefault="00D40929">
      <w:pPr>
        <w:numPr>
          <w:ilvl w:val="0"/>
          <w:numId w:val="68"/>
        </w:numPr>
        <w:spacing w:after="12" w:line="249" w:lineRule="auto"/>
        <w:ind w:right="64" w:firstLine="711"/>
        <w:jc w:val="both"/>
      </w:pPr>
      <w:hyperlink r:id="rId611">
        <w:r>
          <w:rPr>
            <w:rFonts w:ascii="Times New Roman" w:eastAsia="Times New Roman" w:hAnsi="Times New Roman" w:cs="Times New Roman"/>
            <w:color w:val="0563C1"/>
            <w:sz w:val="28"/>
            <w:u w:val="single" w:color="0563C1"/>
          </w:rPr>
          <w:t>https://opencv.org/</w:t>
        </w:r>
      </w:hyperlink>
      <w:hyperlink r:id="rId612">
        <w:r>
          <w:rPr>
            <w:rFonts w:ascii="Times New Roman" w:eastAsia="Times New Roman" w:hAnsi="Times New Roman" w:cs="Times New Roman"/>
            <w:sz w:val="28"/>
          </w:rPr>
          <w:t xml:space="preserve"> </w:t>
        </w:r>
      </w:hyperlink>
    </w:p>
    <w:p w:rsidR="0052701D" w:rsidRDefault="00D40929">
      <w:pPr>
        <w:spacing w:after="0"/>
        <w:ind w:left="711"/>
      </w:pPr>
      <w:r>
        <w:rPr>
          <w:rFonts w:ascii="Times New Roman" w:eastAsia="Times New Roman" w:hAnsi="Times New Roman" w:cs="Times New Roman"/>
          <w:sz w:val="24"/>
        </w:rPr>
        <w:t xml:space="preserve"> </w:t>
      </w:r>
    </w:p>
    <w:p w:rsidR="0052701D" w:rsidRDefault="00D40929">
      <w:pPr>
        <w:spacing w:after="0"/>
      </w:pPr>
      <w:r>
        <w:rPr>
          <w:rFonts w:ascii="Times New Roman" w:eastAsia="Times New Roman" w:hAnsi="Times New Roman" w:cs="Times New Roman"/>
          <w:sz w:val="24"/>
        </w:rPr>
        <w:t xml:space="preserve"> </w:t>
      </w:r>
    </w:p>
    <w:p w:rsidR="0052701D" w:rsidRDefault="00D40929">
      <w:pPr>
        <w:spacing w:after="28"/>
      </w:pPr>
      <w:r>
        <w:rPr>
          <w:rFonts w:ascii="Times New Roman" w:eastAsia="Times New Roman" w:hAnsi="Times New Roman" w:cs="Times New Roman"/>
          <w:sz w:val="24"/>
        </w:rPr>
        <w:t xml:space="preserve"> </w:t>
      </w:r>
    </w:p>
    <w:p w:rsidR="0052701D" w:rsidRDefault="00D40929">
      <w:pPr>
        <w:spacing w:after="4" w:line="271" w:lineRule="auto"/>
        <w:ind w:left="-5" w:right="194" w:hanging="10"/>
      </w:pPr>
      <w:r>
        <w:rPr>
          <w:rFonts w:ascii="Times New Roman" w:eastAsia="Times New Roman" w:hAnsi="Times New Roman" w:cs="Times New Roman"/>
          <w:b/>
          <w:sz w:val="24"/>
        </w:rPr>
        <w:t xml:space="preserve">МРНТИ 89.25.43 УДК 520.99 </w:t>
      </w:r>
    </w:p>
    <w:p w:rsidR="0052701D" w:rsidRDefault="00D40929">
      <w:pPr>
        <w:spacing w:after="0"/>
      </w:pPr>
      <w:r>
        <w:rPr>
          <w:rFonts w:ascii="Times New Roman" w:eastAsia="Times New Roman" w:hAnsi="Times New Roman" w:cs="Times New Roman"/>
          <w:b/>
          <w:sz w:val="28"/>
        </w:rPr>
        <w:t xml:space="preserve"> </w:t>
      </w:r>
    </w:p>
    <w:p w:rsidR="0052701D" w:rsidRDefault="00D40929">
      <w:pPr>
        <w:pStyle w:val="1"/>
        <w:spacing w:line="251" w:lineRule="auto"/>
        <w:ind w:left="173" w:right="173"/>
      </w:pPr>
      <w:r>
        <w:t xml:space="preserve">ҒАРЫШТЫҚ ТЕХНОЛОГИЯДА АСҚЫН ӨТКІЗГІШ </w:t>
      </w:r>
    </w:p>
    <w:p w:rsidR="0052701D" w:rsidRDefault="00D40929">
      <w:pPr>
        <w:spacing w:after="5" w:line="251" w:lineRule="auto"/>
        <w:ind w:left="173" w:right="173" w:hanging="10"/>
        <w:jc w:val="center"/>
      </w:pPr>
      <w:r>
        <w:rPr>
          <w:rFonts w:ascii="Times New Roman" w:eastAsia="Times New Roman" w:hAnsi="Times New Roman" w:cs="Times New Roman"/>
          <w:b/>
          <w:sz w:val="28"/>
        </w:rPr>
        <w:t xml:space="preserve">МАТЕРИАЛДАРДЫ ҚОЛДАНУ ПЕРСПЕКТИВАЛАРЫНА ҚЫСҚАША ШОЛУ </w:t>
      </w:r>
    </w:p>
    <w:p w:rsidR="0052701D" w:rsidRDefault="00D40929">
      <w:pPr>
        <w:spacing w:after="0"/>
      </w:pPr>
      <w:r>
        <w:rPr>
          <w:rFonts w:ascii="Times New Roman" w:eastAsia="Times New Roman" w:hAnsi="Times New Roman" w:cs="Times New Roman"/>
          <w:b/>
          <w:sz w:val="28"/>
        </w:rPr>
        <w:t xml:space="preserve"> </w:t>
      </w:r>
    </w:p>
    <w:p w:rsidR="0052701D" w:rsidRDefault="00D40929">
      <w:pPr>
        <w:pStyle w:val="1"/>
        <w:spacing w:after="14" w:line="248" w:lineRule="auto"/>
        <w:ind w:left="713" w:right="721" w:hanging="5"/>
      </w:pPr>
      <w:r>
        <w:rPr>
          <w:b w:val="0"/>
          <w:sz w:val="24"/>
        </w:rPr>
        <w:lastRenderedPageBreak/>
        <w:t xml:space="preserve">Совет Ә.Б,. Назаргалиева Д., Төлендіұлы С. </w:t>
      </w:r>
    </w:p>
    <w:p w:rsidR="0052701D" w:rsidRDefault="00D40929">
      <w:pPr>
        <w:spacing w:after="0" w:line="270" w:lineRule="auto"/>
        <w:ind w:left="10" w:hanging="10"/>
        <w:jc w:val="center"/>
      </w:pPr>
      <w:r>
        <w:rPr>
          <w:rFonts w:ascii="Times New Roman" w:eastAsia="Times New Roman" w:hAnsi="Times New Roman" w:cs="Times New Roman"/>
          <w:color w:val="262626"/>
          <w:sz w:val="24"/>
        </w:rPr>
        <w:t xml:space="preserve">«Ғұмарбек Дәукеев атындағы Алматы энергетика және байланыс университеті» коммерциялық емес акционерлік қоғамы, Алматы 050013, Қазақстан </w:t>
      </w:r>
    </w:p>
    <w:p w:rsidR="0052701D" w:rsidRDefault="00D40929">
      <w:pPr>
        <w:spacing w:after="17"/>
        <w:ind w:right="18"/>
        <w:jc w:val="center"/>
      </w:pPr>
      <w:r>
        <w:rPr>
          <w:rFonts w:ascii="Times New Roman" w:eastAsia="Times New Roman" w:hAnsi="Times New Roman" w:cs="Times New Roman"/>
          <w:color w:val="262626"/>
          <w:sz w:val="24"/>
        </w:rPr>
        <w:t xml:space="preserve">E-mail: </w:t>
      </w:r>
      <w:r>
        <w:rPr>
          <w:rFonts w:ascii="Times New Roman" w:eastAsia="Times New Roman" w:hAnsi="Times New Roman" w:cs="Times New Roman"/>
          <w:color w:val="262626"/>
          <w:sz w:val="24"/>
          <w:u w:val="single" w:color="262626"/>
        </w:rPr>
        <w:t>a.sovet@aues.kz, d.nazargaliyeva@aues.kz, s.tolendiuly@aues.kz.</w:t>
      </w:r>
      <w:r>
        <w:rPr>
          <w:rFonts w:ascii="Times New Roman" w:eastAsia="Times New Roman" w:hAnsi="Times New Roman" w:cs="Times New Roman"/>
          <w:color w:val="262626"/>
          <w:sz w:val="24"/>
        </w:rPr>
        <w:t xml:space="preserve"> </w:t>
      </w:r>
    </w:p>
    <w:p w:rsidR="0052701D" w:rsidRDefault="00D40929">
      <w:pPr>
        <w:spacing w:after="0"/>
      </w:pPr>
      <w:r>
        <w:rPr>
          <w:rFonts w:ascii="Times New Roman" w:eastAsia="Times New Roman" w:hAnsi="Times New Roman" w:cs="Times New Roman"/>
          <w:sz w:val="28"/>
        </w:rPr>
        <w:t xml:space="preserve"> </w:t>
      </w:r>
    </w:p>
    <w:p w:rsidR="0052701D" w:rsidRDefault="00D40929">
      <w:pPr>
        <w:spacing w:after="29" w:line="248" w:lineRule="auto"/>
        <w:ind w:left="9" w:firstLine="711"/>
        <w:jc w:val="both"/>
      </w:pPr>
      <w:r>
        <w:rPr>
          <w:rFonts w:ascii="Times New Roman" w:eastAsia="Times New Roman" w:hAnsi="Times New Roman" w:cs="Times New Roman"/>
          <w:b/>
          <w:i/>
          <w:sz w:val="24"/>
        </w:rPr>
        <w:t>Аннотоция.</w:t>
      </w:r>
      <w:r>
        <w:rPr>
          <w:rFonts w:ascii="Times New Roman" w:eastAsia="Times New Roman" w:hAnsi="Times New Roman" w:cs="Times New Roman"/>
          <w:i/>
          <w:sz w:val="24"/>
        </w:rPr>
        <w:t xml:space="preserve"> Қазіргі уақытта жоғары температур</w:t>
      </w:r>
      <w:r>
        <w:rPr>
          <w:rFonts w:ascii="Times New Roman" w:eastAsia="Times New Roman" w:hAnsi="Times New Roman" w:cs="Times New Roman"/>
          <w:i/>
          <w:sz w:val="24"/>
        </w:rPr>
        <w:t>алы асқын өткізгіштер (ЖТАӨ) негізінде техникалық құрылғылар қарқынды әзірленуде. Жанаспайтын аса өткізгіш тіректердің конструкциялары, ғарыш объектілері арасындағы жанасусыз байланыстың әмбебап жүйелері, ғарыштық ұшу аппараттарының (ҒҰА) айлақ және түйісу</w:t>
      </w:r>
      <w:r>
        <w:rPr>
          <w:rFonts w:ascii="Times New Roman" w:eastAsia="Times New Roman" w:hAnsi="Times New Roman" w:cs="Times New Roman"/>
          <w:i/>
          <w:sz w:val="24"/>
        </w:rPr>
        <w:t xml:space="preserve"> жүйелері, герметикалық қозғалыс енгізулері, ауыспалы қаттылығы бар байланыс құрылғылары, байланыссыз байланыстары бар үлкен ғарыштық конструкциялар, ҒҰА радиациядан қорғау жүйелері, айда жұмыс істеуге арналған түрлі энергетикалық және аспаптық жүйелер жас</w:t>
      </w:r>
      <w:r>
        <w:rPr>
          <w:rFonts w:ascii="Times New Roman" w:eastAsia="Times New Roman" w:hAnsi="Times New Roman" w:cs="Times New Roman"/>
          <w:i/>
          <w:sz w:val="24"/>
        </w:rPr>
        <w:t xml:space="preserve">алады. </w:t>
      </w:r>
    </w:p>
    <w:p w:rsidR="0052701D" w:rsidRDefault="00D40929">
      <w:pPr>
        <w:spacing w:after="29" w:line="248" w:lineRule="auto"/>
        <w:ind w:left="711"/>
        <w:jc w:val="both"/>
      </w:pPr>
      <w:r>
        <w:rPr>
          <w:rFonts w:ascii="Times New Roman" w:eastAsia="Times New Roman" w:hAnsi="Times New Roman" w:cs="Times New Roman"/>
          <w:b/>
          <w:i/>
          <w:sz w:val="24"/>
        </w:rPr>
        <w:t xml:space="preserve">Түйінді сөздер: </w:t>
      </w:r>
      <w:r>
        <w:rPr>
          <w:rFonts w:ascii="Times New Roman" w:eastAsia="Times New Roman" w:hAnsi="Times New Roman" w:cs="Times New Roman"/>
          <w:i/>
          <w:sz w:val="24"/>
        </w:rPr>
        <w:t xml:space="preserve">жоғарытемпературалық асқынөткізгіштер; аэроғарыш. </w:t>
      </w:r>
    </w:p>
    <w:p w:rsidR="0052701D" w:rsidRDefault="00D40929">
      <w:pPr>
        <w:spacing w:after="0"/>
        <w:ind w:left="711"/>
      </w:pPr>
      <w:r>
        <w:rPr>
          <w:rFonts w:ascii="Times New Roman" w:eastAsia="Times New Roman" w:hAnsi="Times New Roman" w:cs="Times New Roman"/>
          <w:i/>
          <w:sz w:val="24"/>
        </w:rPr>
        <w:t xml:space="preserve"> </w:t>
      </w:r>
    </w:p>
    <w:p w:rsidR="0052701D" w:rsidRDefault="00D40929">
      <w:pPr>
        <w:spacing w:after="17"/>
        <w:ind w:left="711"/>
      </w:pPr>
      <w:r>
        <w:rPr>
          <w:rFonts w:ascii="Times New Roman" w:eastAsia="Times New Roman" w:hAnsi="Times New Roman" w:cs="Times New Roman"/>
          <w:i/>
          <w:sz w:val="24"/>
        </w:rPr>
        <w:t xml:space="preserve"> </w:t>
      </w:r>
    </w:p>
    <w:p w:rsidR="0052701D" w:rsidRDefault="00D40929">
      <w:pPr>
        <w:spacing w:after="0"/>
        <w:ind w:left="10" w:right="21" w:hanging="10"/>
        <w:jc w:val="center"/>
      </w:pPr>
      <w:r>
        <w:rPr>
          <w:rFonts w:ascii="Times New Roman" w:eastAsia="Times New Roman" w:hAnsi="Times New Roman" w:cs="Times New Roman"/>
          <w:b/>
          <w:color w:val="262626"/>
          <w:sz w:val="28"/>
        </w:rPr>
        <w:t xml:space="preserve">A BRIEF OVERVIEW OF THE PROSPECTS FOR THE USE OF </w:t>
      </w:r>
    </w:p>
    <w:p w:rsidR="0052701D" w:rsidRDefault="00D40929">
      <w:pPr>
        <w:spacing w:after="0"/>
        <w:ind w:left="10" w:right="18" w:hanging="10"/>
        <w:jc w:val="center"/>
      </w:pPr>
      <w:r>
        <w:rPr>
          <w:rFonts w:ascii="Times New Roman" w:eastAsia="Times New Roman" w:hAnsi="Times New Roman" w:cs="Times New Roman"/>
          <w:b/>
          <w:color w:val="262626"/>
          <w:sz w:val="28"/>
        </w:rPr>
        <w:t>SUPERCONDUCTING MATERIALS IN SPACE TECHNOLOGY</w:t>
      </w:r>
      <w:r>
        <w:rPr>
          <w:rFonts w:ascii="Times New Roman" w:eastAsia="Times New Roman" w:hAnsi="Times New Roman" w:cs="Times New Roman"/>
          <w:i/>
          <w:sz w:val="24"/>
        </w:rPr>
        <w:t xml:space="preserve"> </w:t>
      </w:r>
    </w:p>
    <w:p w:rsidR="0052701D" w:rsidRDefault="00D40929">
      <w:pPr>
        <w:spacing w:after="0"/>
        <w:ind w:left="55"/>
        <w:jc w:val="center"/>
      </w:pPr>
      <w:r>
        <w:rPr>
          <w:rFonts w:ascii="Times New Roman" w:eastAsia="Times New Roman" w:hAnsi="Times New Roman" w:cs="Times New Roman"/>
          <w:i/>
          <w:sz w:val="24"/>
        </w:rPr>
        <w:t xml:space="preserve"> </w:t>
      </w:r>
    </w:p>
    <w:p w:rsidR="0052701D" w:rsidRDefault="00D40929">
      <w:pPr>
        <w:spacing w:after="0" w:line="270" w:lineRule="auto"/>
        <w:ind w:left="10" w:right="12" w:hanging="10"/>
        <w:jc w:val="center"/>
      </w:pPr>
      <w:r>
        <w:rPr>
          <w:rFonts w:ascii="Times New Roman" w:eastAsia="Times New Roman" w:hAnsi="Times New Roman" w:cs="Times New Roman"/>
          <w:color w:val="262626"/>
          <w:sz w:val="24"/>
        </w:rPr>
        <w:t>Sovet A., Nazargalieva D., Tolendiuly S.</w:t>
      </w:r>
      <w:r>
        <w:rPr>
          <w:rFonts w:ascii="Times New Roman" w:eastAsia="Times New Roman" w:hAnsi="Times New Roman" w:cs="Times New Roman"/>
          <w:i/>
          <w:sz w:val="24"/>
        </w:rPr>
        <w:t xml:space="preserve"> </w:t>
      </w:r>
    </w:p>
    <w:p w:rsidR="0052701D" w:rsidRDefault="00D40929">
      <w:pPr>
        <w:spacing w:after="20"/>
        <w:ind w:left="745"/>
      </w:pPr>
      <w:r>
        <w:rPr>
          <w:rFonts w:ascii="Times New Roman" w:eastAsia="Times New Roman" w:hAnsi="Times New Roman" w:cs="Times New Roman"/>
          <w:color w:val="262626"/>
          <w:sz w:val="24"/>
        </w:rPr>
        <w:t>Non-profit joint-</w:t>
      </w:r>
      <w:r>
        <w:rPr>
          <w:rFonts w:ascii="Times New Roman" w:eastAsia="Times New Roman" w:hAnsi="Times New Roman" w:cs="Times New Roman"/>
          <w:color w:val="262626"/>
          <w:sz w:val="24"/>
        </w:rPr>
        <w:t>stock company “Almaty University of Power Engineering and</w:t>
      </w:r>
      <w:r>
        <w:rPr>
          <w:rFonts w:ascii="Times New Roman" w:eastAsia="Times New Roman" w:hAnsi="Times New Roman" w:cs="Times New Roman"/>
          <w:i/>
          <w:sz w:val="24"/>
        </w:rPr>
        <w:t xml:space="preserve"> </w:t>
      </w:r>
    </w:p>
    <w:p w:rsidR="0052701D" w:rsidRDefault="00D40929">
      <w:pPr>
        <w:spacing w:after="5" w:line="250" w:lineRule="auto"/>
        <w:ind w:left="109" w:hanging="10"/>
        <w:jc w:val="center"/>
      </w:pPr>
      <w:r>
        <w:rPr>
          <w:rFonts w:ascii="Times New Roman" w:eastAsia="Times New Roman" w:hAnsi="Times New Roman" w:cs="Times New Roman"/>
          <w:color w:val="262626"/>
          <w:sz w:val="24"/>
        </w:rPr>
        <w:t xml:space="preserve">Telecommunications named after Gumarbek Daukeev”, Almaty 050013, Kazakhstan </w:t>
      </w:r>
      <w:r>
        <w:rPr>
          <w:rFonts w:ascii="Times New Roman" w:eastAsia="Times New Roman" w:hAnsi="Times New Roman" w:cs="Times New Roman"/>
          <w:i/>
          <w:sz w:val="24"/>
        </w:rPr>
        <w:t xml:space="preserve"> </w:t>
      </w:r>
      <w:r>
        <w:rPr>
          <w:rFonts w:ascii="Times New Roman" w:eastAsia="Times New Roman" w:hAnsi="Times New Roman" w:cs="Times New Roman"/>
          <w:color w:val="262626"/>
          <w:sz w:val="24"/>
        </w:rPr>
        <w:t xml:space="preserve">E-mail: </w:t>
      </w:r>
      <w:r>
        <w:rPr>
          <w:rFonts w:ascii="Times New Roman" w:eastAsia="Times New Roman" w:hAnsi="Times New Roman" w:cs="Times New Roman"/>
          <w:color w:val="262626"/>
          <w:sz w:val="24"/>
          <w:u w:val="single" w:color="262626"/>
        </w:rPr>
        <w:t xml:space="preserve">a.sovet@aues.kz, d.nazargaliyeva@aues.kz, </w:t>
      </w:r>
      <w:r>
        <w:rPr>
          <w:rFonts w:ascii="Times New Roman" w:eastAsia="Times New Roman" w:hAnsi="Times New Roman" w:cs="Times New Roman"/>
          <w:color w:val="0563C1"/>
          <w:sz w:val="24"/>
          <w:u w:val="single" w:color="0563C1"/>
        </w:rPr>
        <w:t>s.tolendiuly@aues.kz</w:t>
      </w:r>
      <w:r>
        <w:rPr>
          <w:rFonts w:ascii="Times New Roman" w:eastAsia="Times New Roman" w:hAnsi="Times New Roman" w:cs="Times New Roman"/>
          <w:i/>
          <w:sz w:val="24"/>
        </w:rPr>
        <w:t xml:space="preserve"> </w:t>
      </w:r>
      <w:r>
        <w:rPr>
          <w:rFonts w:ascii="Times New Roman" w:eastAsia="Times New Roman" w:hAnsi="Times New Roman" w:cs="Times New Roman"/>
          <w:b/>
          <w:i/>
          <w:color w:val="262626"/>
          <w:sz w:val="24"/>
        </w:rPr>
        <w:t>Annotation:</w:t>
      </w:r>
      <w:r>
        <w:rPr>
          <w:rFonts w:ascii="Times New Roman" w:eastAsia="Times New Roman" w:hAnsi="Times New Roman" w:cs="Times New Roman"/>
          <w:i/>
          <w:color w:val="262626"/>
          <w:sz w:val="28"/>
        </w:rPr>
        <w:t xml:space="preserve"> </w:t>
      </w:r>
      <w:r>
        <w:rPr>
          <w:rFonts w:ascii="Times New Roman" w:eastAsia="Times New Roman" w:hAnsi="Times New Roman" w:cs="Times New Roman"/>
          <w:i/>
          <w:sz w:val="24"/>
        </w:rPr>
        <w:t>Currently, technical devices based on</w:t>
      </w:r>
      <w:r>
        <w:rPr>
          <w:rFonts w:ascii="Times New Roman" w:eastAsia="Times New Roman" w:hAnsi="Times New Roman" w:cs="Times New Roman"/>
          <w:i/>
          <w:sz w:val="24"/>
        </w:rPr>
        <w:t xml:space="preserve"> high-temperature superconductors are being intensively developed. Designs of non-contact superconducting props, universal systems for non-contact communication between space objects, docking and docking systems of spacecraft (UAVs), hermetic motion inputs</w:t>
      </w:r>
      <w:r>
        <w:rPr>
          <w:rFonts w:ascii="Times New Roman" w:eastAsia="Times New Roman" w:hAnsi="Times New Roman" w:cs="Times New Roman"/>
          <w:i/>
          <w:sz w:val="24"/>
        </w:rPr>
        <w:t xml:space="preserve">, communication devices with variable stiffness, large space structures with non-contact communications, radiation protection systems for UAVs, for operation on the moon various energy and instrumental systems are created. </w:t>
      </w:r>
      <w:r>
        <w:rPr>
          <w:rFonts w:ascii="Times New Roman" w:eastAsia="Times New Roman" w:hAnsi="Times New Roman" w:cs="Times New Roman"/>
          <w:b/>
          <w:i/>
          <w:sz w:val="24"/>
        </w:rPr>
        <w:t>Keywords:</w:t>
      </w:r>
      <w:r>
        <w:rPr>
          <w:rFonts w:ascii="Times New Roman" w:eastAsia="Times New Roman" w:hAnsi="Times New Roman" w:cs="Times New Roman"/>
          <w:i/>
          <w:sz w:val="24"/>
        </w:rPr>
        <w:t xml:space="preserve">  high temperature super</w:t>
      </w:r>
      <w:r>
        <w:rPr>
          <w:rFonts w:ascii="Times New Roman" w:eastAsia="Times New Roman" w:hAnsi="Times New Roman" w:cs="Times New Roman"/>
          <w:i/>
          <w:sz w:val="24"/>
        </w:rPr>
        <w:t>conductors; aerospace.</w:t>
      </w:r>
      <w:r>
        <w:rPr>
          <w:rFonts w:ascii="Times New Roman" w:eastAsia="Times New Roman" w:hAnsi="Times New Roman" w:cs="Times New Roman"/>
          <w:i/>
          <w:sz w:val="28"/>
        </w:rPr>
        <w:t xml:space="preserve"> </w:t>
      </w:r>
    </w:p>
    <w:p w:rsidR="0052701D" w:rsidRDefault="00D40929">
      <w:pPr>
        <w:spacing w:after="53"/>
        <w:ind w:left="711"/>
      </w:pPr>
      <w:r>
        <w:rPr>
          <w:rFonts w:ascii="Times New Roman" w:eastAsia="Times New Roman" w:hAnsi="Times New Roman" w:cs="Times New Roman"/>
          <w:sz w:val="28"/>
        </w:rPr>
        <w:t xml:space="preserve"> </w:t>
      </w:r>
    </w:p>
    <w:p w:rsidR="0052701D" w:rsidRDefault="00D40929">
      <w:pPr>
        <w:spacing w:after="3"/>
        <w:ind w:left="725" w:hanging="10"/>
      </w:pPr>
      <w:r>
        <w:rPr>
          <w:rFonts w:ascii="Times New Roman" w:eastAsia="Times New Roman" w:hAnsi="Times New Roman" w:cs="Times New Roman"/>
          <w:b/>
          <w:i/>
          <w:sz w:val="28"/>
        </w:rPr>
        <w:t xml:space="preserve">Кіріспе  </w:t>
      </w:r>
    </w:p>
    <w:p w:rsidR="0052701D" w:rsidRDefault="00D40929">
      <w:pPr>
        <w:spacing w:after="29" w:line="248" w:lineRule="auto"/>
        <w:ind w:left="9" w:right="14" w:firstLine="711"/>
        <w:jc w:val="both"/>
      </w:pPr>
      <w:r>
        <w:rPr>
          <w:rFonts w:ascii="Times New Roman" w:eastAsia="Times New Roman" w:hAnsi="Times New Roman" w:cs="Times New Roman"/>
          <w:sz w:val="24"/>
        </w:rPr>
        <w:t>Қазіргі уақытта жоғары температуралы асқын өткізгіштерге (ЖТАӨ) негізделген техникалық құрылғылар қарқынды түрде дамытылуда, 77 К температурада және магнит өрісі 1 Т-дан артық қысымды токтың тығыздығы 50 кА/см</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xml:space="preserve"> жоғары </w:t>
      </w:r>
      <w:r>
        <w:rPr>
          <w:rFonts w:ascii="Times New Roman" w:eastAsia="Times New Roman" w:hAnsi="Times New Roman" w:cs="Times New Roman"/>
          <w:sz w:val="24"/>
        </w:rPr>
        <w:t>температуралы асқын өткізгіштер үшін жоғары ток материалдарын жасау технологиясында айтарлықтай жетістіктер бар. Атап айтқанда, кинетикалық энергияны сақтауға арналған құрылғыларға, электр қозғалтқыштарына, центрифугаларға, аспалы көлік құралдарына, сондай</w:t>
      </w:r>
      <w:r>
        <w:rPr>
          <w:rFonts w:ascii="Times New Roman" w:eastAsia="Times New Roman" w:hAnsi="Times New Roman" w:cs="Times New Roman"/>
          <w:sz w:val="24"/>
        </w:rPr>
        <w:t>-ақ ғарыш объектілері арасындағы байланыссыз байланыс орнатуға арналған әмбебап жүйелерге, ғарыш аппараттарын (ҒА) қондыру және қондыру жүйелеріне, тығыздалған қозғалыс кірістеріне, байланыс қондырғыларына арналған жобалар әзірленді. айнымалы қаттылық, мод</w:t>
      </w:r>
      <w:r>
        <w:rPr>
          <w:rFonts w:ascii="Times New Roman" w:eastAsia="Times New Roman" w:hAnsi="Times New Roman" w:cs="Times New Roman"/>
          <w:sz w:val="24"/>
        </w:rPr>
        <w:t>ульдік ғарыш объектілерін қайта конфигурациялау жүйелері, байланыссыз байланысы бар үлкен ғарыштық құрылымдар, ғарыш аппараттарын радиациядан қорғау жүйелері, айда жұмыс істеуге арналған түрлі энергетикалық және аспаптық жүйелер [1], мұндай жұмыс әсіресе А</w:t>
      </w:r>
      <w:r>
        <w:rPr>
          <w:rFonts w:ascii="Times New Roman" w:eastAsia="Times New Roman" w:hAnsi="Times New Roman" w:cs="Times New Roman"/>
          <w:sz w:val="24"/>
        </w:rPr>
        <w:t xml:space="preserve">ҚШ-та Корнелл университетінде белсенді. 2011 жылдан бастап Хьюстон жыл сайын өткізілетін Lunar Superconductor Applications (LSA) жұмыс кездесулерін өткізеді, онда ай </w:t>
      </w:r>
      <w:r>
        <w:rPr>
          <w:rFonts w:ascii="Times New Roman" w:eastAsia="Times New Roman" w:hAnsi="Times New Roman" w:cs="Times New Roman"/>
          <w:sz w:val="24"/>
        </w:rPr>
        <w:lastRenderedPageBreak/>
        <w:t>бағдарламаларында асқын өткізгіштерді, оның ішінде жоғары температураны қолдануды қарастыр</w:t>
      </w:r>
      <w:r>
        <w:rPr>
          <w:rFonts w:ascii="Times New Roman" w:eastAsia="Times New Roman" w:hAnsi="Times New Roman" w:cs="Times New Roman"/>
          <w:sz w:val="24"/>
        </w:rPr>
        <w:t xml:space="preserve">ады [2]. </w:t>
      </w:r>
    </w:p>
    <w:p w:rsidR="0052701D" w:rsidRDefault="00D40929">
      <w:pPr>
        <w:spacing w:after="29" w:line="248" w:lineRule="auto"/>
        <w:ind w:left="9" w:right="14" w:firstLine="711"/>
        <w:jc w:val="both"/>
      </w:pPr>
      <w:r>
        <w:rPr>
          <w:rFonts w:ascii="Times New Roman" w:eastAsia="Times New Roman" w:hAnsi="Times New Roman" w:cs="Times New Roman"/>
          <w:sz w:val="24"/>
        </w:rPr>
        <w:t>Ғарыштық платформалар ЖТАӨ түйіндерінің жұмысына ең қолайлы жағдай жасайды. Айырықша төмен жүктемелер мен үдеулер (жерге қарағанда төмен), табиғи вакуум және температураның жұмсақ жағдайлары ЖТАӨ - тұрақты магниттік жұптардың тиімді жұмыс жасауын</w:t>
      </w:r>
      <w:r>
        <w:rPr>
          <w:rFonts w:ascii="Times New Roman" w:eastAsia="Times New Roman" w:hAnsi="Times New Roman" w:cs="Times New Roman"/>
          <w:sz w:val="24"/>
        </w:rPr>
        <w:t xml:space="preserve">а жағдай жасайды. Ғарыштық технологиялар өнімдерінде ЖТАӨ жаппай қолданудың негізгі бағыттарын келтірейік. </w:t>
      </w:r>
    </w:p>
    <w:p w:rsidR="0052701D" w:rsidRDefault="00D40929">
      <w:pPr>
        <w:numPr>
          <w:ilvl w:val="0"/>
          <w:numId w:val="69"/>
        </w:numPr>
        <w:spacing w:after="29" w:line="248" w:lineRule="auto"/>
        <w:ind w:right="14" w:firstLine="711"/>
        <w:jc w:val="both"/>
      </w:pPr>
      <w:r>
        <w:rPr>
          <w:rFonts w:ascii="Times New Roman" w:eastAsia="Times New Roman" w:hAnsi="Times New Roman" w:cs="Times New Roman"/>
          <w:sz w:val="24"/>
        </w:rPr>
        <w:t xml:space="preserve">ЖТАӨ бар магнитті суспензиядағы кинетикалық энергияны сақтау құрылғысы - шығындарды азайтады және ресурстарды көбейтеді. </w:t>
      </w:r>
    </w:p>
    <w:p w:rsidR="0052701D" w:rsidRDefault="00D40929">
      <w:pPr>
        <w:numPr>
          <w:ilvl w:val="0"/>
          <w:numId w:val="69"/>
        </w:numPr>
        <w:spacing w:after="29" w:line="248" w:lineRule="auto"/>
        <w:ind w:right="14" w:firstLine="711"/>
        <w:jc w:val="both"/>
      </w:pPr>
      <w:r>
        <w:rPr>
          <w:rFonts w:ascii="Times New Roman" w:eastAsia="Times New Roman" w:hAnsi="Times New Roman" w:cs="Times New Roman"/>
          <w:sz w:val="24"/>
        </w:rPr>
        <w:t>Гиродиндер - шығындарды аз</w:t>
      </w:r>
      <w:r>
        <w:rPr>
          <w:rFonts w:ascii="Times New Roman" w:eastAsia="Times New Roman" w:hAnsi="Times New Roman" w:cs="Times New Roman"/>
          <w:sz w:val="24"/>
        </w:rPr>
        <w:t xml:space="preserve">айту және ресурстарды көбейту. </w:t>
      </w:r>
    </w:p>
    <w:p w:rsidR="0052701D" w:rsidRDefault="00D40929">
      <w:pPr>
        <w:numPr>
          <w:ilvl w:val="0"/>
          <w:numId w:val="69"/>
        </w:numPr>
        <w:spacing w:after="29" w:line="248" w:lineRule="auto"/>
        <w:ind w:right="14" w:firstLine="711"/>
        <w:jc w:val="both"/>
      </w:pPr>
      <w:r>
        <w:rPr>
          <w:rFonts w:ascii="Times New Roman" w:eastAsia="Times New Roman" w:hAnsi="Times New Roman" w:cs="Times New Roman"/>
          <w:sz w:val="24"/>
        </w:rPr>
        <w:t xml:space="preserve">Жылдам қозғалтқыштар мен генераторлар - шығындарды азайту және ресурстарды көбейту. </w:t>
      </w:r>
    </w:p>
    <w:p w:rsidR="0052701D" w:rsidRDefault="00D40929">
      <w:pPr>
        <w:numPr>
          <w:ilvl w:val="0"/>
          <w:numId w:val="69"/>
        </w:numPr>
        <w:spacing w:after="29" w:line="248" w:lineRule="auto"/>
        <w:ind w:right="14" w:firstLine="711"/>
        <w:jc w:val="both"/>
      </w:pPr>
      <w:r>
        <w:rPr>
          <w:rFonts w:ascii="Times New Roman" w:eastAsia="Times New Roman" w:hAnsi="Times New Roman" w:cs="Times New Roman"/>
          <w:sz w:val="24"/>
        </w:rPr>
        <w:t xml:space="preserve">Магниттік беріліс және жылжу кірісі және тығыздалған қабырғалар арқылы айналу - корпустың тұтастығы бұзылмайды. </w:t>
      </w:r>
    </w:p>
    <w:p w:rsidR="0052701D" w:rsidRDefault="00D40929">
      <w:pPr>
        <w:numPr>
          <w:ilvl w:val="0"/>
          <w:numId w:val="69"/>
        </w:numPr>
        <w:spacing w:after="29" w:line="248" w:lineRule="auto"/>
        <w:ind w:right="14" w:firstLine="711"/>
        <w:jc w:val="both"/>
      </w:pPr>
      <w:r>
        <w:rPr>
          <w:rFonts w:ascii="Times New Roman" w:eastAsia="Times New Roman" w:hAnsi="Times New Roman" w:cs="Times New Roman"/>
          <w:sz w:val="24"/>
        </w:rPr>
        <w:t>Манипуляторлар - механикал</w:t>
      </w:r>
      <w:r>
        <w:rPr>
          <w:rFonts w:ascii="Times New Roman" w:eastAsia="Times New Roman" w:hAnsi="Times New Roman" w:cs="Times New Roman"/>
          <w:sz w:val="24"/>
        </w:rPr>
        <w:t xml:space="preserve">ық жанасу, соққы, дірілді өшіру. </w:t>
      </w:r>
    </w:p>
    <w:p w:rsidR="0052701D" w:rsidRDefault="00D40929">
      <w:pPr>
        <w:numPr>
          <w:ilvl w:val="0"/>
          <w:numId w:val="69"/>
        </w:numPr>
        <w:spacing w:after="29" w:line="248" w:lineRule="auto"/>
        <w:ind w:right="14" w:firstLine="711"/>
        <w:jc w:val="both"/>
      </w:pPr>
      <w:r>
        <w:rPr>
          <w:rFonts w:ascii="Times New Roman" w:eastAsia="Times New Roman" w:hAnsi="Times New Roman" w:cs="Times New Roman"/>
          <w:sz w:val="24"/>
        </w:rPr>
        <w:t xml:space="preserve">Модульдік нысандар - жылдам қайта конфигурациялау, механикалық жанасу, соққылар жоқ, дірілді өшіру, дәл орналастыру. </w:t>
      </w:r>
    </w:p>
    <w:p w:rsidR="0052701D" w:rsidRDefault="00D40929">
      <w:pPr>
        <w:numPr>
          <w:ilvl w:val="0"/>
          <w:numId w:val="69"/>
        </w:numPr>
        <w:spacing w:after="29" w:line="248" w:lineRule="auto"/>
        <w:ind w:right="14" w:firstLine="711"/>
        <w:jc w:val="both"/>
      </w:pPr>
      <w:r>
        <w:rPr>
          <w:rFonts w:ascii="Times New Roman" w:eastAsia="Times New Roman" w:hAnsi="Times New Roman" w:cs="Times New Roman"/>
          <w:sz w:val="24"/>
        </w:rPr>
        <w:t xml:space="preserve">Телескоптар - дәл бағыттау. </w:t>
      </w:r>
    </w:p>
    <w:p w:rsidR="0052701D" w:rsidRDefault="00D40929">
      <w:pPr>
        <w:numPr>
          <w:ilvl w:val="0"/>
          <w:numId w:val="69"/>
        </w:numPr>
        <w:spacing w:after="29" w:line="248" w:lineRule="auto"/>
        <w:ind w:right="14" w:firstLine="711"/>
        <w:jc w:val="both"/>
      </w:pPr>
      <w:r>
        <w:rPr>
          <w:rFonts w:ascii="Times New Roman" w:eastAsia="Times New Roman" w:hAnsi="Times New Roman" w:cs="Times New Roman"/>
          <w:sz w:val="24"/>
        </w:rPr>
        <w:t>Бекіту және қондыру жүйелері - контактілі емес дәл позициялау, әсер етуі мү</w:t>
      </w:r>
      <w:r>
        <w:rPr>
          <w:rFonts w:ascii="Times New Roman" w:eastAsia="Times New Roman" w:hAnsi="Times New Roman" w:cs="Times New Roman"/>
          <w:sz w:val="24"/>
        </w:rPr>
        <w:t xml:space="preserve">мкін емес. </w:t>
      </w:r>
    </w:p>
    <w:p w:rsidR="0052701D" w:rsidRDefault="00D40929">
      <w:pPr>
        <w:numPr>
          <w:ilvl w:val="0"/>
          <w:numId w:val="69"/>
        </w:numPr>
        <w:spacing w:after="29" w:line="248" w:lineRule="auto"/>
        <w:ind w:right="14" w:firstLine="711"/>
        <w:jc w:val="both"/>
      </w:pPr>
      <w:r>
        <w:rPr>
          <w:rFonts w:ascii="Times New Roman" w:eastAsia="Times New Roman" w:hAnsi="Times New Roman" w:cs="Times New Roman"/>
          <w:sz w:val="24"/>
        </w:rPr>
        <w:t xml:space="preserve">Магнитті жастық үдеу жүйесі - үйкеліс болмайды. </w:t>
      </w:r>
    </w:p>
    <w:p w:rsidR="0052701D" w:rsidRDefault="00D40929">
      <w:pPr>
        <w:numPr>
          <w:ilvl w:val="0"/>
          <w:numId w:val="69"/>
        </w:numPr>
        <w:spacing w:after="29" w:line="248" w:lineRule="auto"/>
        <w:ind w:right="14" w:firstLine="711"/>
        <w:jc w:val="both"/>
      </w:pPr>
      <w:r>
        <w:rPr>
          <w:rFonts w:ascii="Times New Roman" w:eastAsia="Times New Roman" w:hAnsi="Times New Roman" w:cs="Times New Roman"/>
          <w:sz w:val="24"/>
        </w:rPr>
        <w:t xml:space="preserve">Зарядталған бөлшектер ағындарынан радиациялық қорғаныс - қорғаныс массасын азайту. </w:t>
      </w:r>
    </w:p>
    <w:p w:rsidR="0052701D" w:rsidRDefault="00D40929">
      <w:pPr>
        <w:numPr>
          <w:ilvl w:val="0"/>
          <w:numId w:val="69"/>
        </w:numPr>
        <w:spacing w:after="29" w:line="248" w:lineRule="auto"/>
        <w:ind w:right="14" w:firstLine="711"/>
        <w:jc w:val="both"/>
      </w:pPr>
      <w:r>
        <w:rPr>
          <w:rFonts w:ascii="Times New Roman" w:eastAsia="Times New Roman" w:hAnsi="Times New Roman" w:cs="Times New Roman"/>
          <w:sz w:val="24"/>
        </w:rPr>
        <w:t xml:space="preserve">Үлкен радиотелескоптар - модульдік құрылым және апертураны басқару. </w:t>
      </w:r>
    </w:p>
    <w:p w:rsidR="0052701D" w:rsidRDefault="00D40929">
      <w:pPr>
        <w:numPr>
          <w:ilvl w:val="0"/>
          <w:numId w:val="69"/>
        </w:numPr>
        <w:spacing w:after="29" w:line="248" w:lineRule="auto"/>
        <w:ind w:right="14" w:firstLine="711"/>
        <w:jc w:val="both"/>
      </w:pPr>
      <w:r>
        <w:rPr>
          <w:rFonts w:ascii="Times New Roman" w:eastAsia="Times New Roman" w:hAnsi="Times New Roman" w:cs="Times New Roman"/>
          <w:sz w:val="24"/>
        </w:rPr>
        <w:t>Күн желкені - модульдік құрылым және бетті</w:t>
      </w:r>
      <w:r>
        <w:rPr>
          <w:rFonts w:ascii="Times New Roman" w:eastAsia="Times New Roman" w:hAnsi="Times New Roman" w:cs="Times New Roman"/>
          <w:sz w:val="24"/>
        </w:rPr>
        <w:t xml:space="preserve"> басқару. </w:t>
      </w:r>
    </w:p>
    <w:p w:rsidR="0052701D" w:rsidRDefault="00D40929">
      <w:pPr>
        <w:numPr>
          <w:ilvl w:val="0"/>
          <w:numId w:val="69"/>
        </w:numPr>
        <w:spacing w:after="29" w:line="248" w:lineRule="auto"/>
        <w:ind w:right="14" w:firstLine="711"/>
        <w:jc w:val="both"/>
      </w:pPr>
      <w:r>
        <w:rPr>
          <w:rFonts w:ascii="Times New Roman" w:eastAsia="Times New Roman" w:hAnsi="Times New Roman" w:cs="Times New Roman"/>
          <w:sz w:val="24"/>
        </w:rPr>
        <w:t xml:space="preserve">Кеңістікке арналған үлкен құрылымдар - модульдік құрылым және бетті басқару. </w:t>
      </w:r>
    </w:p>
    <w:p w:rsidR="0052701D" w:rsidRDefault="00D40929">
      <w:pPr>
        <w:numPr>
          <w:ilvl w:val="0"/>
          <w:numId w:val="69"/>
        </w:numPr>
        <w:spacing w:after="29" w:line="248" w:lineRule="auto"/>
        <w:ind w:right="14" w:firstLine="711"/>
        <w:jc w:val="both"/>
      </w:pPr>
      <w:r>
        <w:rPr>
          <w:rFonts w:ascii="Times New Roman" w:eastAsia="Times New Roman" w:hAnsi="Times New Roman" w:cs="Times New Roman"/>
          <w:sz w:val="24"/>
        </w:rPr>
        <w:t xml:space="preserve">Айдағы бағдарламаларды іске асыруға арналған құрылғылар - көлік операциялары; ай бетінен пайдалы жүкті алып тастау. </w:t>
      </w:r>
    </w:p>
    <w:p w:rsidR="0052701D" w:rsidRDefault="00D40929">
      <w:pPr>
        <w:numPr>
          <w:ilvl w:val="0"/>
          <w:numId w:val="69"/>
        </w:numPr>
        <w:spacing w:after="37" w:line="248" w:lineRule="auto"/>
        <w:ind w:right="14" w:firstLine="711"/>
        <w:jc w:val="both"/>
      </w:pPr>
      <w:r>
        <w:rPr>
          <w:rFonts w:ascii="Times New Roman" w:eastAsia="Times New Roman" w:hAnsi="Times New Roman" w:cs="Times New Roman"/>
          <w:sz w:val="24"/>
        </w:rPr>
        <w:t xml:space="preserve">Криогенді өсімдіктер - </w:t>
      </w:r>
      <w:r>
        <w:rPr>
          <w:rFonts w:ascii="Times New Roman" w:eastAsia="Times New Roman" w:hAnsi="Times New Roman" w:cs="Times New Roman"/>
          <w:sz w:val="24"/>
        </w:rPr>
        <w:t xml:space="preserve">сенімділік пен қызмет ету мерзімін арттыру [3]. </w:t>
      </w:r>
    </w:p>
    <w:p w:rsidR="0052701D" w:rsidRDefault="00D40929">
      <w:pPr>
        <w:spacing w:after="29" w:line="248" w:lineRule="auto"/>
        <w:ind w:left="9" w:right="14" w:firstLine="711"/>
        <w:jc w:val="both"/>
      </w:pPr>
      <w:r>
        <w:rPr>
          <w:rFonts w:ascii="Times New Roman" w:eastAsia="Times New Roman" w:hAnsi="Times New Roman" w:cs="Times New Roman"/>
          <w:sz w:val="24"/>
        </w:rPr>
        <w:t>Динамикалық сілтемелерде ЖТАӨ-ті пайдалану энергияны жоғалтудан, сондайақ жылуды кетіру жүйелерінен құтылуға мүмкіндік беретіндігін атап өткен жөн. Маңызды ерекшелігі - оларда механикалық үйкелістің болмауын</w:t>
      </w:r>
      <w:r>
        <w:rPr>
          <w:rFonts w:ascii="Times New Roman" w:eastAsia="Times New Roman" w:hAnsi="Times New Roman" w:cs="Times New Roman"/>
          <w:sz w:val="24"/>
        </w:rPr>
        <w:t>а байланысты тірек блоктарының ресурсының көбеюі. ЖТАӨ-дің жердегі де, кеңістіктегі де ең танымал қолданбасы - ротордың маховиктермен тұрақты айналуын қамтамасыз ететін кинетикалық энергияны сақтауға арналған ЖТАӨ бар магниттік тіректер. Бұл жағдай кинетик</w:t>
      </w:r>
      <w:r>
        <w:rPr>
          <w:rFonts w:ascii="Times New Roman" w:eastAsia="Times New Roman" w:hAnsi="Times New Roman" w:cs="Times New Roman"/>
          <w:sz w:val="24"/>
        </w:rPr>
        <w:t>алық сақтау сақинасында ЖТАӨ мотор генераторын қолданумен инфрақұрылым тұрғысынан жақсы байланысты. Гиродиндерде, жоғары жылдамдықты қозғалтқыштарда және генераторларда ЖТАӨ бар магниттік тіректерді қолдану маңызды емес. Олармен бәсекелес дәстүрлі белсенді</w:t>
      </w:r>
      <w:r>
        <w:rPr>
          <w:rFonts w:ascii="Times New Roman" w:eastAsia="Times New Roman" w:hAnsi="Times New Roman" w:cs="Times New Roman"/>
          <w:sz w:val="24"/>
        </w:rPr>
        <w:t xml:space="preserve"> магниттік тіректер сенімділігі жағынан олардан төмен, өйткені ЖТАӨ бар тіректерді электрмен жабдықтау және басқару жүйелеріне қажеттілік жоқ және барлық инфрақұрылым жүйелері істен шыққаннан кейін ЖТАӨ-мен тіреудің жұмыс күйін ұстап тұру үшін айтарлықтай </w:t>
      </w:r>
      <w:r>
        <w:rPr>
          <w:rFonts w:ascii="Times New Roman" w:eastAsia="Times New Roman" w:hAnsi="Times New Roman" w:cs="Times New Roman"/>
          <w:sz w:val="24"/>
        </w:rPr>
        <w:t>уақыт бар. ЖТАӨ кеңістігінде қолданудың көптеген салалары ЖТАӨ - тұрақты магниттің статикалық байланыстарымен байланысты. Статикалық сілтемелердің негізгі мақсаты - объектілердің өзара орналасуын жылжыту және бекіту. Бұл қондыру және қондыру жүйелерінің, м</w:t>
      </w:r>
      <w:r>
        <w:rPr>
          <w:rFonts w:ascii="Times New Roman" w:eastAsia="Times New Roman" w:hAnsi="Times New Roman" w:cs="Times New Roman"/>
          <w:sz w:val="24"/>
        </w:rPr>
        <w:t xml:space="preserve">анипуляторлардың және модульдік ғарыш объектілерін қайта конфигурациялау жүйелерінің жұмысының маңызды бөлігі [4]. </w:t>
      </w:r>
    </w:p>
    <w:p w:rsidR="0052701D" w:rsidRDefault="00D40929">
      <w:pPr>
        <w:spacing w:after="29" w:line="248" w:lineRule="auto"/>
        <w:ind w:left="9" w:right="14" w:firstLine="711"/>
        <w:jc w:val="both"/>
      </w:pPr>
      <w:r>
        <w:rPr>
          <w:rFonts w:ascii="Times New Roman" w:eastAsia="Times New Roman" w:hAnsi="Times New Roman" w:cs="Times New Roman"/>
          <w:sz w:val="24"/>
        </w:rPr>
        <w:lastRenderedPageBreak/>
        <w:t>Статикалық сілтемелер үшін ЖТАӨ-ті қолданудың артықшылығы механикалық байланыстың болмауы және олардың қозғалуы кезіндегі мүмкін соққылар, ө</w:t>
      </w:r>
      <w:r>
        <w:rPr>
          <w:rFonts w:ascii="Times New Roman" w:eastAsia="Times New Roman" w:hAnsi="Times New Roman" w:cs="Times New Roman"/>
          <w:sz w:val="24"/>
        </w:rPr>
        <w:t>зара әрекеттесетін объектілер арасында үйкелістің болмауы, бұл олардың дәл бағдарын қамтамасыз етуге мүмкіндік береді. Реттелетін қаттылықтың арқасында мұндай қосылыстар ғарыш объектісінің әр түрлі бөліктерінің тербелістерін ылғалдандыруы немесе олардың жи</w:t>
      </w:r>
      <w:r>
        <w:rPr>
          <w:rFonts w:ascii="Times New Roman" w:eastAsia="Times New Roman" w:hAnsi="Times New Roman" w:cs="Times New Roman"/>
          <w:sz w:val="24"/>
        </w:rPr>
        <w:t xml:space="preserve">ілігін өзгерте алады, сонымен қатар алты еркіндік дәрежесіндегі байланыстарды қамтамасыз етеді. </w:t>
      </w:r>
    </w:p>
    <w:p w:rsidR="0052701D" w:rsidRDefault="00D40929">
      <w:pPr>
        <w:spacing w:after="29" w:line="248" w:lineRule="auto"/>
        <w:ind w:left="9" w:right="14" w:firstLine="711"/>
        <w:jc w:val="both"/>
      </w:pPr>
      <w:r>
        <w:rPr>
          <w:rFonts w:ascii="Times New Roman" w:eastAsia="Times New Roman" w:hAnsi="Times New Roman" w:cs="Times New Roman"/>
          <w:sz w:val="24"/>
        </w:rPr>
        <w:t>Электромагниттерді ғарыш жүйелерінде қолдану пассивті элементтердің магнит өрістерінің бұрмалануына байланысты объектілердің өзара орналасуын басқаруға мүмкінд</w:t>
      </w:r>
      <w:r>
        <w:rPr>
          <w:rFonts w:ascii="Times New Roman" w:eastAsia="Times New Roman" w:hAnsi="Times New Roman" w:cs="Times New Roman"/>
          <w:sz w:val="24"/>
        </w:rPr>
        <w:t xml:space="preserve">ік береді. Мұндай қосылыстардың ерекшелігі - қайта салудың және оларды қашықтықтан басқарудың жеткілікті жоғары тиімділігі, өйткені ешқандай механикалық немесе гидравликалық қосылыстарды ажырату қажет емес [5]. </w:t>
      </w:r>
    </w:p>
    <w:p w:rsidR="0052701D" w:rsidRDefault="00D40929">
      <w:pPr>
        <w:spacing w:after="0" w:line="248" w:lineRule="auto"/>
        <w:ind w:left="9" w:right="14" w:firstLine="711"/>
        <w:jc w:val="both"/>
      </w:pPr>
      <w:r>
        <w:rPr>
          <w:rFonts w:ascii="Times New Roman" w:eastAsia="Times New Roman" w:hAnsi="Times New Roman" w:cs="Times New Roman"/>
          <w:sz w:val="24"/>
        </w:rPr>
        <w:t>ЖТАӨ - тұрақты магниттік жұптарды қолдану құ</w:t>
      </w:r>
      <w:r>
        <w:rPr>
          <w:rFonts w:ascii="Times New Roman" w:eastAsia="Times New Roman" w:hAnsi="Times New Roman" w:cs="Times New Roman"/>
          <w:sz w:val="24"/>
        </w:rPr>
        <w:t xml:space="preserve">рылғылардың бағыттау дәлдігін жақсартады, бұл, мысалы, астрономиялық зерттеулер үшін маңызды. Үлкен ғарыштық құрылымдарда, радиотелескоптарда, күн желкенінде ЖТАӨ тұрақты магниттік байланыстарын пайдалану бұл құрылымдарды модульдік етіп жасауға, жалпы жүк </w:t>
      </w:r>
      <w:r>
        <w:rPr>
          <w:rFonts w:ascii="Times New Roman" w:eastAsia="Times New Roman" w:hAnsi="Times New Roman" w:cs="Times New Roman"/>
          <w:sz w:val="24"/>
        </w:rPr>
        <w:t xml:space="preserve">көтергіш элементтерсіз жасауға, сонымен қатар олардың беттерінің пішінін бақылауды қамтамасыз етуге мүмкіндік береді[6]. </w:t>
      </w:r>
    </w:p>
    <w:p w:rsidR="0052701D" w:rsidRDefault="00D40929">
      <w:pPr>
        <w:spacing w:after="29" w:line="248" w:lineRule="auto"/>
        <w:ind w:left="9" w:right="14" w:firstLine="711"/>
        <w:jc w:val="both"/>
      </w:pPr>
      <w:r>
        <w:rPr>
          <w:rFonts w:ascii="Times New Roman" w:eastAsia="Times New Roman" w:hAnsi="Times New Roman" w:cs="Times New Roman"/>
          <w:sz w:val="24"/>
        </w:rPr>
        <w:t>Айда ЖТАӨ бар құрылғыларды пайдалану өте тиімді, мұнда 77 К температурасы бар маңызды аудандар бар, ғарыштық технологияның жоғарыда ат</w:t>
      </w:r>
      <w:r>
        <w:rPr>
          <w:rFonts w:ascii="Times New Roman" w:eastAsia="Times New Roman" w:hAnsi="Times New Roman" w:cs="Times New Roman"/>
          <w:sz w:val="24"/>
        </w:rPr>
        <w:t xml:space="preserve">алған элементтерінен басқа, ЖТАӨ бар құрылғыларды пайдалану магниттік суспензия көмегімен ай бетінен пайдалы жүктемелердің ұшырылуын қамтамасыз етуге, сондай-ақ ай көлігінің жұмысына мүмкіндік береді [7]. </w:t>
      </w:r>
    </w:p>
    <w:p w:rsidR="0052701D" w:rsidRDefault="00D40929">
      <w:pPr>
        <w:spacing w:after="4" w:line="248" w:lineRule="auto"/>
        <w:ind w:left="9" w:right="14" w:firstLine="711"/>
        <w:jc w:val="both"/>
      </w:pPr>
      <w:r>
        <w:rPr>
          <w:rFonts w:ascii="Times New Roman" w:eastAsia="Times New Roman" w:hAnsi="Times New Roman" w:cs="Times New Roman"/>
          <w:sz w:val="24"/>
        </w:rPr>
        <w:t>2017 жылы SuperOx Мәскеудегі «Біріккен энергетикал</w:t>
      </w:r>
      <w:r>
        <w:rPr>
          <w:rFonts w:ascii="Times New Roman" w:eastAsia="Times New Roman" w:hAnsi="Times New Roman" w:cs="Times New Roman"/>
          <w:sz w:val="24"/>
        </w:rPr>
        <w:t>ық компания» АҚ-ның «Мневники» подстанциясы аумағында 220 кВ-тық алғашқы электр қуатын шектейтін құрылғыны орнату туралы келісімшартқа қол қойды. Бұл жұмыс Индустриялық даму қорының қолдауымен өтті. Тағы бір бағыт - әртүрлі қосымшаларға арналған асқын өткі</w:t>
      </w:r>
      <w:r>
        <w:rPr>
          <w:rFonts w:ascii="Times New Roman" w:eastAsia="Times New Roman" w:hAnsi="Times New Roman" w:cs="Times New Roman"/>
          <w:sz w:val="24"/>
        </w:rPr>
        <w:t xml:space="preserve">згіш электр қозғалтқышын құру. Біз Advanced Research Foundation қорынан 500 кВт электр қозғалтқышын құруға грант алдық. Осы жұмыстың нәтижесінде ЖТАӨ электрқозғалтқыштары әр түрлі қолдануға бейімделуі мүмкін: авиация, кеме жасау және зымыран жасау[8]. Бұл </w:t>
      </w:r>
      <w:r>
        <w:rPr>
          <w:rFonts w:ascii="Times New Roman" w:eastAsia="Times New Roman" w:hAnsi="Times New Roman" w:cs="Times New Roman"/>
          <w:sz w:val="24"/>
        </w:rPr>
        <w:t>қозғалтқыштардың басты артықшылығы - олардың мөлшері мен салмағы үшін дәстүрлі аналогтардан бірнеше есе көп қуат беруінде. Олардың тиімділігі әр түрлі қуаттылықтарда бірдей жоғары. Бұл жұмыс режимін (мысалы, әуе кемесінің көтерілуі кезінде) оңтайландыруға,</w:t>
      </w:r>
      <w:r>
        <w:rPr>
          <w:rFonts w:ascii="Times New Roman" w:eastAsia="Times New Roman" w:hAnsi="Times New Roman" w:cs="Times New Roman"/>
          <w:sz w:val="24"/>
        </w:rPr>
        <w:t xml:space="preserve"> жанармай шығынын азайтуға және салмақ пен өлшемдерді жақсартуға үлкен мүмкіндіктер береді. Осы бағытта жұмыс жасайтын Airbus пен NASA перспективалы электр ұшақтары отынды қазіргіден 4 есе аз пайдаланатындығын есептеді. Бұл электр жүйелері асқын өткізгішті</w:t>
      </w:r>
      <w:r>
        <w:rPr>
          <w:rFonts w:ascii="Times New Roman" w:eastAsia="Times New Roman" w:hAnsi="Times New Roman" w:cs="Times New Roman"/>
          <w:sz w:val="24"/>
        </w:rPr>
        <w:t xml:space="preserve">ксіз жұмыс істемейді. </w:t>
      </w:r>
    </w:p>
    <w:p w:rsidR="0052701D" w:rsidRDefault="00D40929">
      <w:pPr>
        <w:spacing w:after="29" w:line="248" w:lineRule="auto"/>
        <w:ind w:left="9" w:right="14" w:firstLine="711"/>
        <w:jc w:val="both"/>
      </w:pPr>
      <w:r>
        <w:rPr>
          <w:rFonts w:ascii="Times New Roman" w:eastAsia="Times New Roman" w:hAnsi="Times New Roman" w:cs="Times New Roman"/>
          <w:sz w:val="24"/>
        </w:rPr>
        <w:t>Жаһандық флоттың жылдық өсу қарқыны алты пайыздан асқанда, әлемдік коммерциялық авиация флотының алдында ауаға шығарындыларды едәуір азайту міндеті тұр. Жанармай тиімділігін арттырмай, жаңа технологияларды енгізбей, осы өзекті мәселе</w:t>
      </w:r>
      <w:r>
        <w:rPr>
          <w:rFonts w:ascii="Times New Roman" w:eastAsia="Times New Roman" w:hAnsi="Times New Roman" w:cs="Times New Roman"/>
          <w:sz w:val="24"/>
        </w:rPr>
        <w:t xml:space="preserve">ні шешу мүмкін емес[9]. </w:t>
      </w:r>
    </w:p>
    <w:p w:rsidR="0052701D" w:rsidRDefault="00D40929">
      <w:pPr>
        <w:spacing w:after="0" w:line="248" w:lineRule="auto"/>
        <w:ind w:left="9" w:right="14" w:firstLine="711"/>
        <w:jc w:val="both"/>
      </w:pPr>
      <w:r>
        <w:rPr>
          <w:rFonts w:ascii="Times New Roman" w:eastAsia="Times New Roman" w:hAnsi="Times New Roman" w:cs="Times New Roman"/>
          <w:sz w:val="24"/>
        </w:rPr>
        <w:t>Жоғары температуралы асқынөткізгіштерге (ЖТАӨ) негізделген құрылғылар өте жоғары ток беруді және магнит өрісін құруды қамтамасыз ететін ғарыштық қосымшалар үшін пайдалы технологиялар болуы мүмкін[10]. Алайда, ЖТАӨ технологиясы жұмы</w:t>
      </w:r>
      <w:r>
        <w:rPr>
          <w:rFonts w:ascii="Times New Roman" w:eastAsia="Times New Roman" w:hAnsi="Times New Roman" w:cs="Times New Roman"/>
          <w:sz w:val="24"/>
        </w:rPr>
        <w:t>с істеу үшін криогендік температураны (&lt;90 K) қажет етеді және ғарыш аппараттарына біріктірілген ЖТАӨ құрылғылары үшін бұған қалай және қалай қол жеткізуге болатындығы нақты емес. Бұл зерттеуде ЖТАӨ магниттік катушкасымен жабдықталған гипотетикалық 3U Cube</w:t>
      </w:r>
      <w:r>
        <w:rPr>
          <w:rFonts w:ascii="Times New Roman" w:eastAsia="Times New Roman" w:hAnsi="Times New Roman" w:cs="Times New Roman"/>
          <w:sz w:val="24"/>
        </w:rPr>
        <w:t xml:space="preserve">Sat жылу және энергетикалық сипаттамалары жердің </w:t>
      </w:r>
      <w:r>
        <w:rPr>
          <w:rFonts w:ascii="Times New Roman" w:eastAsia="Times New Roman" w:hAnsi="Times New Roman" w:cs="Times New Roman"/>
          <w:sz w:val="24"/>
        </w:rPr>
        <w:lastRenderedPageBreak/>
        <w:t xml:space="preserve">айналасындағы әртүрлі орбиталарда зерттеледі[11]. Планетарлық денеге жақын пассивті салқындату мүмкіндігін жойғаннан кейін, криокулер қажетті температураны ұстап тұру үшін қажет деп танылды және модельдеуге </w:t>
      </w:r>
      <w:r>
        <w:rPr>
          <w:rFonts w:ascii="Times New Roman" w:eastAsia="Times New Roman" w:hAnsi="Times New Roman" w:cs="Times New Roman"/>
          <w:sz w:val="24"/>
        </w:rPr>
        <w:t xml:space="preserve">енгізілді. Нәтижелер криогендік жұмыс ортасын сақтаудың ең жақсы стратегиясы криогендік салқындатқышты күн панельдерінен энергиямен қамтамасыз ету болып табылады. Бұл тәсіл спутниктің орташа температурасын арттырады, бірақ қуатты арттырудың артықшылықтары </w:t>
      </w:r>
      <w:r>
        <w:rPr>
          <w:rFonts w:ascii="Times New Roman" w:eastAsia="Times New Roman" w:hAnsi="Times New Roman" w:cs="Times New Roman"/>
          <w:sz w:val="24"/>
        </w:rPr>
        <w:t xml:space="preserve">тоңазытқыштың тиімділігін төмендету шығындарынан асып түседі. Бұл жұмыс 1 Тл магнит өрісін ЖТАӨ электромагнитінің көмегімен шағын спутникте ғарыштық ортада құруға болатындығын көрсетеді, бұл ЖТАӨ-ті электрлік қозғалыс және энергияны сақтау сияқты ғарыштық </w:t>
      </w:r>
      <w:r>
        <w:rPr>
          <w:rFonts w:ascii="Times New Roman" w:eastAsia="Times New Roman" w:hAnsi="Times New Roman" w:cs="Times New Roman"/>
          <w:sz w:val="24"/>
        </w:rPr>
        <w:t xml:space="preserve">қосымшалар үшін пайдалануға мүмкіндік береді[12]. </w:t>
      </w:r>
    </w:p>
    <w:p w:rsidR="0052701D" w:rsidRDefault="00D40929">
      <w:pPr>
        <w:spacing w:after="1" w:line="248" w:lineRule="auto"/>
        <w:ind w:left="9" w:right="14" w:firstLine="711"/>
        <w:jc w:val="both"/>
      </w:pPr>
      <w:r>
        <w:rPr>
          <w:rFonts w:ascii="Times New Roman" w:eastAsia="Times New Roman" w:hAnsi="Times New Roman" w:cs="Times New Roman"/>
          <w:sz w:val="24"/>
        </w:rPr>
        <w:t>Модельдеу әдісін қолдана отырып, күн синхронды төмен жер орбитасы кезінде ЖТАӨ катушкасымен гипотетикалық 3U CubeSat-қа күтілетін жылу жүктемесі болжалды. Спутникке түсетін күн, альбедо және инфрақызыл сәу</w:t>
      </w:r>
      <w:r>
        <w:rPr>
          <w:rFonts w:ascii="Times New Roman" w:eastAsia="Times New Roman" w:hAnsi="Times New Roman" w:cs="Times New Roman"/>
          <w:sz w:val="24"/>
        </w:rPr>
        <w:t xml:space="preserve">леленудің бағыты мен мөлшері шеңбердің әрбір орбиталық позициясы үшін 732 км, Ω = 0° өрлемелі торап орбитасының бойлығы үшін есептелді [13]. Ақырлы элементтер әдісін қолдана отырып, бетінің сәулеленуі мен CubeSat температурасы болжанып, расталды. Соңында, </w:t>
      </w:r>
      <w:r>
        <w:rPr>
          <w:rFonts w:ascii="Times New Roman" w:eastAsia="Times New Roman" w:hAnsi="Times New Roman" w:cs="Times New Roman"/>
          <w:sz w:val="24"/>
        </w:rPr>
        <w:t>1 Тл күшпен магнит өрісін тудыратын ЖТАӨ-магнитке лезде жылу жүктемесі орбиталық позиция функциясы ретінде есептелді. Бұл зерттеу портативті криокулер сияқты ғарыш кемесіндегі ЖТАӨ катушкаларына криогендік температураны ұстап тұру үшін қажет Тоңазытқыш құр</w:t>
      </w:r>
      <w:r>
        <w:rPr>
          <w:rFonts w:ascii="Times New Roman" w:eastAsia="Times New Roman" w:hAnsi="Times New Roman" w:cs="Times New Roman"/>
          <w:sz w:val="24"/>
        </w:rPr>
        <w:t xml:space="preserve">ылғысының сипаттамалары туралы техникалық ақпаратты ұсынады. Спутниктік салқындату жүйесін таңдау және жобалау есептелген жылу жүктемесіне және қол жетімді күн энергиясына сәйкес оңтайландырылуы керек[14]. </w:t>
      </w:r>
    </w:p>
    <w:p w:rsidR="0052701D" w:rsidRDefault="00D40929">
      <w:pPr>
        <w:spacing w:after="29" w:line="248" w:lineRule="auto"/>
        <w:ind w:left="9" w:right="14" w:firstLine="711"/>
        <w:jc w:val="both"/>
      </w:pPr>
      <w:r>
        <w:rPr>
          <w:rFonts w:ascii="Times New Roman" w:eastAsia="Times New Roman" w:hAnsi="Times New Roman" w:cs="Times New Roman"/>
          <w:sz w:val="24"/>
        </w:rPr>
        <w:t>Асқын өткізгіш кабельдер асқын өткізгіштік құбылы</w:t>
      </w:r>
      <w:r>
        <w:rPr>
          <w:rFonts w:ascii="Times New Roman" w:eastAsia="Times New Roman" w:hAnsi="Times New Roman" w:cs="Times New Roman"/>
          <w:sz w:val="24"/>
        </w:rPr>
        <w:t>сын (өте төмен қарсылық) белсендіру үшін сұйық азотты (немесе MgB</w:t>
      </w:r>
      <w:r>
        <w:rPr>
          <w:rFonts w:ascii="Times New Roman" w:eastAsia="Times New Roman" w:hAnsi="Times New Roman" w:cs="Times New Roman"/>
          <w:sz w:val="16"/>
        </w:rPr>
        <w:t>2</w:t>
      </w:r>
      <w:r>
        <w:rPr>
          <w:rFonts w:ascii="Times New Roman" w:eastAsia="Times New Roman" w:hAnsi="Times New Roman" w:cs="Times New Roman"/>
          <w:sz w:val="24"/>
        </w:rPr>
        <w:t xml:space="preserve"> үшін сұйық гелийді) пайдаланып, өте төмен температураға (мысалы, -180°C) дейін салқындатылатын арнайы асқын өткізгіш материалдарға негізделген. </w:t>
      </w:r>
    </w:p>
    <w:p w:rsidR="0052701D" w:rsidRDefault="00D40929">
      <w:pPr>
        <w:spacing w:after="0" w:line="248" w:lineRule="auto"/>
        <w:ind w:left="9" w:right="14" w:firstLine="711"/>
        <w:jc w:val="both"/>
      </w:pPr>
      <w:r>
        <w:rPr>
          <w:rFonts w:ascii="Times New Roman" w:eastAsia="Times New Roman" w:hAnsi="Times New Roman" w:cs="Times New Roman"/>
          <w:sz w:val="24"/>
        </w:rPr>
        <w:t xml:space="preserve">Бұл өткізгіштер вакуумдық түтікке (криоген) </w:t>
      </w:r>
      <w:r>
        <w:rPr>
          <w:rFonts w:ascii="Times New Roman" w:eastAsia="Times New Roman" w:hAnsi="Times New Roman" w:cs="Times New Roman"/>
          <w:sz w:val="24"/>
        </w:rPr>
        <w:t>орналастырылады, ол суперөткізгішті қоршаған ортаның қалған бөлігінен термиялық оқшаулайды. Олар сыртқы өлшемдері бірдей кәдімгі кабельдік жүйеге қарағанда бес есе көп ток өткізеді және қоршаған ортаға ешқандай жылу шығармайды. HTS-тің кәдімгі өткізгіштерм</w:t>
      </w:r>
      <w:r>
        <w:rPr>
          <w:rFonts w:ascii="Times New Roman" w:eastAsia="Times New Roman" w:hAnsi="Times New Roman" w:cs="Times New Roman"/>
          <w:sz w:val="24"/>
        </w:rPr>
        <w:t>ен үнемділігін салыстырған кезде асқын өткізгіш кабельдердің жоғалуы азотты төмен температурада ұстауға және оны айналдыруға қажетті энергияға тең. Технология арнайы кабель қосылымдарын және температураның шектен тыс ауытқуларына және криостатты ұстап тұру</w:t>
      </w:r>
      <w:r>
        <w:rPr>
          <w:rFonts w:ascii="Times New Roman" w:eastAsia="Times New Roman" w:hAnsi="Times New Roman" w:cs="Times New Roman"/>
          <w:sz w:val="24"/>
        </w:rPr>
        <w:t xml:space="preserve"> үшін үздіксіз салқындатуға арналған арнайы кабель түйіспесін қажет етеді. Бұл ақпарат парағы 110 кВ жоғары кернеу деңгейлеріне бағытталған, дегенмен HTS өнімділік сипаттамалары төменгі деңгейлерде жұмыс кернеуіне мүмкіндік береді[15]. </w:t>
      </w:r>
    </w:p>
    <w:p w:rsidR="0052701D" w:rsidRDefault="00D40929">
      <w:pPr>
        <w:spacing w:after="0" w:line="248" w:lineRule="auto"/>
        <w:ind w:left="9" w:right="14" w:firstLine="711"/>
        <w:jc w:val="both"/>
      </w:pPr>
      <w:r>
        <w:rPr>
          <w:rFonts w:ascii="Times New Roman" w:eastAsia="Times New Roman" w:hAnsi="Times New Roman" w:cs="Times New Roman"/>
          <w:sz w:val="24"/>
        </w:rPr>
        <w:t>Критикалық деңгейден төмен температурада нөлге жақын электр кедергісі бар асқын өткізгіштік қасиеттерге қарамастан, ЖТАӨ кабельдері негізінен термиялық ағып кету түрінде (металл бөлігіндегі индукциялық ток төмен болып қалады) әлі де энергияның жоғалуына ұш</w:t>
      </w:r>
      <w:r>
        <w:rPr>
          <w:rFonts w:ascii="Times New Roman" w:eastAsia="Times New Roman" w:hAnsi="Times New Roman" w:cs="Times New Roman"/>
          <w:sz w:val="24"/>
        </w:rPr>
        <w:t>ырайды. HTS кабеліндегі энергияның жоғалуы жүктемеге, демек, кабельдің қуат беру желісінде орналасқан жеріне байланысты. 2 кА HTS кабелі үшін жоғалтулар кәдімгі кабельдік жүйедегі жоғалтулардың шамамен 25% болуы мүмкін (бірақ жүктеме болмаған кезде, жылу а</w:t>
      </w:r>
      <w:r>
        <w:rPr>
          <w:rFonts w:ascii="Times New Roman" w:eastAsia="Times New Roman" w:hAnsi="Times New Roman" w:cs="Times New Roman"/>
          <w:sz w:val="24"/>
        </w:rPr>
        <w:t xml:space="preserve">ғып кетуіне байланысты HTS кабеліндегі жоғалтулар көбірек болады) [16].  </w:t>
      </w:r>
    </w:p>
    <w:p w:rsidR="0052701D" w:rsidRDefault="00D40929">
      <w:pPr>
        <w:spacing w:after="3" w:line="248" w:lineRule="auto"/>
        <w:ind w:left="9" w:right="14" w:firstLine="711"/>
        <w:jc w:val="both"/>
      </w:pPr>
      <w:r>
        <w:rPr>
          <w:rFonts w:ascii="Times New Roman" w:eastAsia="Times New Roman" w:hAnsi="Times New Roman" w:cs="Times New Roman"/>
          <w:sz w:val="24"/>
        </w:rPr>
        <w:t xml:space="preserve">Осылайша, беріліс шығындарының айтарлықтай төмендеуі қажетті салқындату талаптарымен теңестіріледі. Жетілмеген жылу оқшаулауына байланысты жүктемесіз жоғалтулар HTS кабелінің көп жағдайда жоғары ток жүктеме қосылымдарында пайдаланылуына әкеледі. </w:t>
      </w:r>
    </w:p>
    <w:p w:rsidR="0052701D" w:rsidRDefault="00D40929">
      <w:pPr>
        <w:spacing w:after="29" w:line="248" w:lineRule="auto"/>
        <w:ind w:left="9" w:right="14" w:firstLine="711"/>
        <w:jc w:val="both"/>
      </w:pPr>
      <w:r>
        <w:rPr>
          <w:rFonts w:ascii="Times New Roman" w:eastAsia="Times New Roman" w:hAnsi="Times New Roman" w:cs="Times New Roman"/>
          <w:sz w:val="24"/>
        </w:rPr>
        <w:lastRenderedPageBreak/>
        <w:t>HTS DC ка</w:t>
      </w:r>
      <w:r>
        <w:rPr>
          <w:rFonts w:ascii="Times New Roman" w:eastAsia="Times New Roman" w:hAnsi="Times New Roman" w:cs="Times New Roman"/>
          <w:sz w:val="24"/>
        </w:rPr>
        <w:t xml:space="preserve">белі жоғары қуатты ұзақ қашықтыққа тарату және жоғары қуатты беру үшін өте қолайлы [17]. </w:t>
      </w:r>
    </w:p>
    <w:p w:rsidR="0052701D" w:rsidRDefault="00D40929">
      <w:pPr>
        <w:spacing w:after="87" w:line="248" w:lineRule="auto"/>
        <w:ind w:left="9" w:right="14" w:firstLine="711"/>
        <w:jc w:val="both"/>
      </w:pPr>
      <w:r>
        <w:rPr>
          <w:rFonts w:ascii="Times New Roman" w:eastAsia="Times New Roman" w:hAnsi="Times New Roman" w:cs="Times New Roman"/>
          <w:sz w:val="24"/>
        </w:rPr>
        <w:t xml:space="preserve">Бүгінгі күні орташа кернеу деңгейінде жоғары ток өткізу қабілетін қажет ететін қалалық жерлерде HTS кабельдерінің көп саны орнатылғаны байқалады. </w:t>
      </w:r>
    </w:p>
    <w:p w:rsidR="0052701D" w:rsidRDefault="00D40929">
      <w:pPr>
        <w:spacing w:after="3"/>
        <w:ind w:left="725" w:hanging="10"/>
      </w:pPr>
      <w:r>
        <w:rPr>
          <w:rFonts w:ascii="Times New Roman" w:eastAsia="Times New Roman" w:hAnsi="Times New Roman" w:cs="Times New Roman"/>
          <w:b/>
          <w:i/>
          <w:sz w:val="28"/>
        </w:rPr>
        <w:t xml:space="preserve">Қорытынды </w:t>
      </w:r>
    </w:p>
    <w:p w:rsidR="0052701D" w:rsidRDefault="00D40929">
      <w:pPr>
        <w:spacing w:after="29" w:line="248" w:lineRule="auto"/>
        <w:ind w:left="9" w:right="14" w:firstLine="711"/>
        <w:jc w:val="both"/>
      </w:pPr>
      <w:r>
        <w:rPr>
          <w:rFonts w:ascii="Times New Roman" w:eastAsia="Times New Roman" w:hAnsi="Times New Roman" w:cs="Times New Roman"/>
          <w:sz w:val="24"/>
        </w:rPr>
        <w:t>Жүргізіл</w:t>
      </w:r>
      <w:r>
        <w:rPr>
          <w:rFonts w:ascii="Times New Roman" w:eastAsia="Times New Roman" w:hAnsi="Times New Roman" w:cs="Times New Roman"/>
          <w:sz w:val="24"/>
        </w:rPr>
        <w:t>ген эксперименттерді талдауға сәйкес Y-Ba-Cu-O жүйесіндегі ең көп өткізгіш фазасы б ЖТАӨ үйіндісі негізінде әр түрлі техникалық құрылғыларды жасаудағы заманауи жетістіктер, ЖТАӨ - тұрақты магниттік жұптарды қолданатын жүйелердің қол жеткізілген сипаттамала</w:t>
      </w:r>
      <w:r>
        <w:rPr>
          <w:rFonts w:ascii="Times New Roman" w:eastAsia="Times New Roman" w:hAnsi="Times New Roman" w:cs="Times New Roman"/>
          <w:sz w:val="24"/>
        </w:rPr>
        <w:t>ры кеңістіктегі объектілердің орналасуына қатысты күштерді, орын ауыстыруларды және бекітуді контактісіз беру үшін ЖТАӨ пайдаланатын перспективалы отандық ғарыштық құрылғылар мен жүйелерді құрудың тиімді негізі болып табылады.</w:t>
      </w:r>
      <w:r>
        <w:rPr>
          <w:rFonts w:ascii="Times New Roman" w:eastAsia="Times New Roman" w:hAnsi="Times New Roman" w:cs="Times New Roman"/>
          <w:b/>
          <w:sz w:val="24"/>
        </w:rPr>
        <w:t xml:space="preserve">  </w:t>
      </w:r>
    </w:p>
    <w:p w:rsidR="0052701D" w:rsidRDefault="00D40929">
      <w:pPr>
        <w:spacing w:after="29" w:line="248" w:lineRule="auto"/>
        <w:ind w:left="9" w:right="14" w:firstLine="711"/>
        <w:jc w:val="both"/>
      </w:pPr>
      <w:r>
        <w:rPr>
          <w:rFonts w:ascii="Times New Roman" w:eastAsia="Times New Roman" w:hAnsi="Times New Roman" w:cs="Times New Roman"/>
          <w:sz w:val="24"/>
        </w:rPr>
        <w:t xml:space="preserve">Итрий оксидіне негізделген </w:t>
      </w:r>
      <w:r>
        <w:rPr>
          <w:rFonts w:ascii="Times New Roman" w:eastAsia="Times New Roman" w:hAnsi="Times New Roman" w:cs="Times New Roman"/>
          <w:sz w:val="24"/>
        </w:rPr>
        <w:t>көлемді ЖТАӨ-терді қоса алғанда, ЖТАӨ-терді әзірлеу және зерттеу әртүрлі тиімді құрылғыларды құру мүмкіндігін көрсетті (осылайша, ЖТАӨ негізіндегі контактісіз айналмалы мойынтіректер 3 кН/мм-ге дейін осьтік қаттылықты қамтамасыз ете алады). Ғарыштық жағдай</w:t>
      </w:r>
      <w:r>
        <w:rPr>
          <w:rFonts w:ascii="Times New Roman" w:eastAsia="Times New Roman" w:hAnsi="Times New Roman" w:cs="Times New Roman"/>
          <w:sz w:val="24"/>
        </w:rPr>
        <w:t xml:space="preserve">лар статикалық және динамикалық ғарыш аппараттарының құрамдас бөліктері үшін ЖТАӨ тұрақты магнит элементтері бар жүйелердің жұмысы үшін өте ыңғайлы. Бұл элементтерді ғарыштық КНЭ, манипуляторлар, ғарыш объектілерін қайта конфигурациялау жүйелері, арқандап </w:t>
      </w:r>
      <w:r>
        <w:rPr>
          <w:rFonts w:ascii="Times New Roman" w:eastAsia="Times New Roman" w:hAnsi="Times New Roman" w:cs="Times New Roman"/>
          <w:sz w:val="24"/>
        </w:rPr>
        <w:t xml:space="preserve">байлау, қондыру және ғарыш объектілерінің басқа да қондырғылары үшін пайдалануды зерттелінді. Бұл құрылғыларды біріктірудің жоғары деңгейі бар модульдер негізінде жасауға болады, бұл оларды әзірлеуге кететін шығындарды айтарлықтай төмендетеді. Жаппай ЖТАӨ </w:t>
      </w:r>
      <w:r>
        <w:rPr>
          <w:rFonts w:ascii="Times New Roman" w:eastAsia="Times New Roman" w:hAnsi="Times New Roman" w:cs="Times New Roman"/>
          <w:sz w:val="24"/>
        </w:rPr>
        <w:t>негізінде әртүрлі техникалық құрылғыларды жасаудағы заманауи жетістіктер, ЖТАӨ-тұрақты магнит жұптарын пайдаланатын жүйелердің қол жеткізілген сипаттамалары күштерді, орын ауыстыруларды және бекітуге қатысты ЖТАӨ-ті контактісіз беру үшін ЖТАӨ пайдалана оты</w:t>
      </w:r>
      <w:r>
        <w:rPr>
          <w:rFonts w:ascii="Times New Roman" w:eastAsia="Times New Roman" w:hAnsi="Times New Roman" w:cs="Times New Roman"/>
          <w:sz w:val="24"/>
        </w:rPr>
        <w:t xml:space="preserve">рып, перспективалы отандық ғарыштық құрылғылар мен жүйелерді құру үшін тиімді негіз болып табылады. заттардың кеңістіктегі орналасуы. </w:t>
      </w:r>
    </w:p>
    <w:p w:rsidR="0052701D" w:rsidRDefault="00D40929">
      <w:pPr>
        <w:spacing w:after="16" w:line="248" w:lineRule="auto"/>
        <w:ind w:left="819" w:right="102" w:hanging="10"/>
        <w:jc w:val="center"/>
      </w:pPr>
      <w:r>
        <w:rPr>
          <w:rFonts w:ascii="Times New Roman" w:eastAsia="Times New Roman" w:hAnsi="Times New Roman" w:cs="Times New Roman"/>
          <w:b/>
          <w:sz w:val="24"/>
        </w:rPr>
        <w:t xml:space="preserve">Пайдаланылған әдебиеттер </w:t>
      </w:r>
    </w:p>
    <w:p w:rsidR="0052701D" w:rsidRDefault="00D40929">
      <w:pPr>
        <w:numPr>
          <w:ilvl w:val="0"/>
          <w:numId w:val="70"/>
        </w:numPr>
        <w:spacing w:after="29" w:line="248" w:lineRule="auto"/>
        <w:ind w:right="14" w:firstLine="711"/>
        <w:jc w:val="both"/>
      </w:pPr>
      <w:r>
        <w:rPr>
          <w:rFonts w:ascii="Times New Roman" w:eastAsia="Times New Roman" w:hAnsi="Times New Roman" w:cs="Times New Roman"/>
          <w:sz w:val="24"/>
        </w:rPr>
        <w:t>Пятаков, А.П. Магнитоэлектрические материалы и мультиферрои-ки./А.П. Пятаков, А.К. Звездин //УФ</w:t>
      </w:r>
      <w:r>
        <w:rPr>
          <w:rFonts w:ascii="Times New Roman" w:eastAsia="Times New Roman" w:hAnsi="Times New Roman" w:cs="Times New Roman"/>
          <w:sz w:val="24"/>
        </w:rPr>
        <w:t xml:space="preserve">Н. – 2012. –Т.182, № 6. –С. 593-611.  </w:t>
      </w:r>
    </w:p>
    <w:p w:rsidR="0052701D" w:rsidRDefault="00D40929">
      <w:pPr>
        <w:numPr>
          <w:ilvl w:val="0"/>
          <w:numId w:val="70"/>
        </w:numPr>
        <w:spacing w:after="29" w:line="248" w:lineRule="auto"/>
        <w:ind w:right="14" w:firstLine="711"/>
        <w:jc w:val="both"/>
      </w:pPr>
      <w:r>
        <w:rPr>
          <w:rFonts w:ascii="Times New Roman" w:eastAsia="Times New Roman" w:hAnsi="Times New Roman" w:cs="Times New Roman"/>
          <w:sz w:val="24"/>
        </w:rPr>
        <w:t>Гаджимагомедов, С.Х. Получение наноструктурированных материалов на основе YBa</w:t>
      </w:r>
      <w:r>
        <w:rPr>
          <w:rFonts w:ascii="Times New Roman" w:eastAsia="Times New Roman" w:hAnsi="Times New Roman" w:cs="Times New Roman"/>
          <w:sz w:val="16"/>
        </w:rPr>
        <w:t>2</w:t>
      </w:r>
      <w:r>
        <w:rPr>
          <w:rFonts w:ascii="Times New Roman" w:eastAsia="Times New Roman" w:hAnsi="Times New Roman" w:cs="Times New Roman"/>
          <w:sz w:val="24"/>
        </w:rPr>
        <w:t>Cu</w:t>
      </w:r>
      <w:r>
        <w:rPr>
          <w:rFonts w:ascii="Times New Roman" w:eastAsia="Times New Roman" w:hAnsi="Times New Roman" w:cs="Times New Roman"/>
          <w:sz w:val="16"/>
        </w:rPr>
        <w:t>3</w:t>
      </w:r>
      <w:r>
        <w:rPr>
          <w:rFonts w:ascii="Times New Roman" w:eastAsia="Times New Roman" w:hAnsi="Times New Roman" w:cs="Times New Roman"/>
          <w:sz w:val="24"/>
        </w:rPr>
        <w:t>O</w:t>
      </w:r>
      <w:r>
        <w:rPr>
          <w:rFonts w:ascii="Times New Roman" w:eastAsia="Times New Roman" w:hAnsi="Times New Roman" w:cs="Times New Roman"/>
          <w:sz w:val="16"/>
        </w:rPr>
        <w:t>7-</w:t>
      </w:r>
      <w:r>
        <w:rPr>
          <w:rFonts w:ascii="Times New Roman" w:eastAsia="Times New Roman" w:hAnsi="Times New Roman" w:cs="Times New Roman"/>
          <w:sz w:val="24"/>
          <w:vertAlign w:val="subscript"/>
        </w:rPr>
        <w:t>δ</w:t>
      </w:r>
      <w:r>
        <w:rPr>
          <w:rFonts w:ascii="Times New Roman" w:eastAsia="Times New Roman" w:hAnsi="Times New Roman" w:cs="Times New Roman"/>
          <w:sz w:val="24"/>
        </w:rPr>
        <w:t xml:space="preserve">/С.Х. Гаджимагомедов, М.П.Фараджева, А.Ф.А. Табит и др.//Вестник ДГУ. – 2014. – №1. – С. 36-42. </w:t>
      </w:r>
    </w:p>
    <w:p w:rsidR="0052701D" w:rsidRDefault="00D40929">
      <w:pPr>
        <w:numPr>
          <w:ilvl w:val="0"/>
          <w:numId w:val="70"/>
        </w:numPr>
        <w:spacing w:after="29" w:line="248" w:lineRule="auto"/>
        <w:ind w:right="14" w:firstLine="711"/>
        <w:jc w:val="both"/>
      </w:pPr>
      <w:r>
        <w:rPr>
          <w:rFonts w:ascii="Times New Roman" w:eastAsia="Times New Roman" w:hAnsi="Times New Roman" w:cs="Times New Roman"/>
          <w:sz w:val="24"/>
        </w:rPr>
        <w:t>Paturi, P. Size-dependent propertie</w:t>
      </w:r>
      <w:r>
        <w:rPr>
          <w:rFonts w:ascii="Times New Roman" w:eastAsia="Times New Roman" w:hAnsi="Times New Roman" w:cs="Times New Roman"/>
          <w:sz w:val="24"/>
        </w:rPr>
        <w:t>s of YBa</w:t>
      </w:r>
      <w:r>
        <w:rPr>
          <w:rFonts w:ascii="Times New Roman" w:eastAsia="Times New Roman" w:hAnsi="Times New Roman" w:cs="Times New Roman"/>
          <w:sz w:val="24"/>
          <w:vertAlign w:val="subscript"/>
        </w:rPr>
        <w:t>2</w:t>
      </w:r>
      <w:r>
        <w:rPr>
          <w:rFonts w:ascii="Times New Roman" w:eastAsia="Times New Roman" w:hAnsi="Times New Roman" w:cs="Times New Roman"/>
          <w:sz w:val="24"/>
        </w:rPr>
        <w:t>Cu</w:t>
      </w:r>
      <w:r>
        <w:rPr>
          <w:rFonts w:ascii="Times New Roman" w:eastAsia="Times New Roman" w:hAnsi="Times New Roman" w:cs="Times New Roman"/>
          <w:sz w:val="24"/>
          <w:vertAlign w:val="subscript"/>
        </w:rPr>
        <w:t>3</w:t>
      </w:r>
      <w:r>
        <w:rPr>
          <w:rFonts w:ascii="Times New Roman" w:eastAsia="Times New Roman" w:hAnsi="Times New Roman" w:cs="Times New Roman"/>
          <w:sz w:val="24"/>
        </w:rPr>
        <w:t>O</w:t>
      </w:r>
      <w:r>
        <w:rPr>
          <w:rFonts w:ascii="Times New Roman" w:eastAsia="Times New Roman" w:hAnsi="Times New Roman" w:cs="Times New Roman"/>
          <w:sz w:val="24"/>
          <w:vertAlign w:val="subscript"/>
        </w:rPr>
        <w:t xml:space="preserve">6+x </w:t>
      </w:r>
      <w:r>
        <w:rPr>
          <w:rFonts w:ascii="Times New Roman" w:eastAsia="Times New Roman" w:hAnsi="Times New Roman" w:cs="Times New Roman"/>
          <w:sz w:val="24"/>
        </w:rPr>
        <w:t>nanopowder/P.Paturi, J Raittila, H Huhtinen, V-P Huhtala and R Laiho //J. Phys.: Condens. Mat-ter. – 2003. – V.15. – P.2103–2114  [4] Гаджимагомедов, С.Х. Получение наноструктурированных материалов на основе YBa</w:t>
      </w:r>
      <w:r>
        <w:rPr>
          <w:rFonts w:ascii="Times New Roman" w:eastAsia="Times New Roman" w:hAnsi="Times New Roman" w:cs="Times New Roman"/>
          <w:sz w:val="16"/>
        </w:rPr>
        <w:t>2</w:t>
      </w:r>
      <w:r>
        <w:rPr>
          <w:rFonts w:ascii="Times New Roman" w:eastAsia="Times New Roman" w:hAnsi="Times New Roman" w:cs="Times New Roman"/>
          <w:sz w:val="24"/>
        </w:rPr>
        <w:t>Cu</w:t>
      </w:r>
      <w:r>
        <w:rPr>
          <w:rFonts w:ascii="Times New Roman" w:eastAsia="Times New Roman" w:hAnsi="Times New Roman" w:cs="Times New Roman"/>
          <w:sz w:val="16"/>
        </w:rPr>
        <w:t>3</w:t>
      </w:r>
      <w:r>
        <w:rPr>
          <w:rFonts w:ascii="Times New Roman" w:eastAsia="Times New Roman" w:hAnsi="Times New Roman" w:cs="Times New Roman"/>
          <w:sz w:val="24"/>
        </w:rPr>
        <w:t>O</w:t>
      </w:r>
      <w:r>
        <w:rPr>
          <w:rFonts w:ascii="Times New Roman" w:eastAsia="Times New Roman" w:hAnsi="Times New Roman" w:cs="Times New Roman"/>
          <w:sz w:val="16"/>
        </w:rPr>
        <w:t>7-</w:t>
      </w:r>
      <w:r>
        <w:rPr>
          <w:rFonts w:ascii="Times New Roman" w:eastAsia="Times New Roman" w:hAnsi="Times New Roman" w:cs="Times New Roman"/>
          <w:sz w:val="24"/>
          <w:vertAlign w:val="subscript"/>
        </w:rPr>
        <w:t>δ</w:t>
      </w:r>
      <w:r>
        <w:rPr>
          <w:rFonts w:ascii="Times New Roman" w:eastAsia="Times New Roman" w:hAnsi="Times New Roman" w:cs="Times New Roman"/>
          <w:sz w:val="24"/>
        </w:rPr>
        <w:t>/С.Х. Гаджимагомедов</w:t>
      </w:r>
      <w:r>
        <w:rPr>
          <w:rFonts w:ascii="Times New Roman" w:eastAsia="Times New Roman" w:hAnsi="Times New Roman" w:cs="Times New Roman"/>
          <w:sz w:val="24"/>
        </w:rPr>
        <w:t xml:space="preserve">, М.П.Фараджева, А.Ф.А. Табит и др.//Вестник ДГУ. – 2014. – №1. – С. 36-42.  </w:t>
      </w:r>
    </w:p>
    <w:p w:rsidR="0052701D" w:rsidRDefault="00D40929">
      <w:pPr>
        <w:numPr>
          <w:ilvl w:val="0"/>
          <w:numId w:val="71"/>
        </w:numPr>
        <w:spacing w:after="5"/>
        <w:ind w:right="14" w:firstLine="711"/>
        <w:jc w:val="both"/>
      </w:pPr>
      <w:r>
        <w:rPr>
          <w:rFonts w:ascii="Times New Roman" w:eastAsia="Times New Roman" w:hAnsi="Times New Roman" w:cs="Times New Roman"/>
          <w:sz w:val="24"/>
        </w:rPr>
        <w:t xml:space="preserve">И.И. Обзор методик получения нанопорошков / И.И. Коче-гаров, В.А. Трусов, </w:t>
      </w:r>
    </w:p>
    <w:p w:rsidR="0052701D" w:rsidRDefault="00D40929">
      <w:pPr>
        <w:spacing w:after="29" w:line="248" w:lineRule="auto"/>
        <w:ind w:left="9" w:right="14"/>
        <w:jc w:val="both"/>
      </w:pPr>
      <w:r>
        <w:rPr>
          <w:rFonts w:ascii="Times New Roman" w:eastAsia="Times New Roman" w:hAnsi="Times New Roman" w:cs="Times New Roman"/>
          <w:sz w:val="24"/>
        </w:rPr>
        <w:t xml:space="preserve">Н.К. Юрков // Труды международного симпози-ума "Надежность и качество". – 2010 . – </w:t>
      </w:r>
    </w:p>
    <w:p w:rsidR="0052701D" w:rsidRDefault="00D40929">
      <w:pPr>
        <w:spacing w:after="29" w:line="248" w:lineRule="auto"/>
        <w:ind w:left="9" w:right="14"/>
        <w:jc w:val="both"/>
      </w:pPr>
      <w:r>
        <w:rPr>
          <w:rFonts w:ascii="Times New Roman" w:eastAsia="Times New Roman" w:hAnsi="Times New Roman" w:cs="Times New Roman"/>
          <w:sz w:val="24"/>
        </w:rPr>
        <w:t>Т. 2. – С. 426-</w:t>
      </w:r>
      <w:r>
        <w:rPr>
          <w:rFonts w:ascii="Times New Roman" w:eastAsia="Times New Roman" w:hAnsi="Times New Roman" w:cs="Times New Roman"/>
          <w:sz w:val="24"/>
        </w:rPr>
        <w:t xml:space="preserve">428.  </w:t>
      </w:r>
    </w:p>
    <w:p w:rsidR="0052701D" w:rsidRDefault="00D40929">
      <w:pPr>
        <w:numPr>
          <w:ilvl w:val="0"/>
          <w:numId w:val="71"/>
        </w:numPr>
        <w:spacing w:after="0" w:line="248" w:lineRule="auto"/>
        <w:ind w:right="14" w:firstLine="711"/>
        <w:jc w:val="both"/>
      </w:pPr>
      <w:r>
        <w:rPr>
          <w:rFonts w:ascii="Times New Roman" w:eastAsia="Times New Roman" w:hAnsi="Times New Roman" w:cs="Times New Roman"/>
          <w:sz w:val="24"/>
        </w:rPr>
        <w:t>Albiss, B. A. Polycrystalline YBa</w:t>
      </w:r>
      <w:r>
        <w:rPr>
          <w:rFonts w:ascii="Times New Roman" w:eastAsia="Times New Roman" w:hAnsi="Times New Roman" w:cs="Times New Roman"/>
          <w:sz w:val="24"/>
          <w:vertAlign w:val="subscript"/>
        </w:rPr>
        <w:t>2</w:t>
      </w:r>
      <w:r>
        <w:rPr>
          <w:rFonts w:ascii="Times New Roman" w:eastAsia="Times New Roman" w:hAnsi="Times New Roman" w:cs="Times New Roman"/>
          <w:sz w:val="24"/>
        </w:rPr>
        <w:t>Cu</w:t>
      </w:r>
      <w:r>
        <w:rPr>
          <w:rFonts w:ascii="Times New Roman" w:eastAsia="Times New Roman" w:hAnsi="Times New Roman" w:cs="Times New Roman"/>
          <w:sz w:val="24"/>
          <w:vertAlign w:val="subscript"/>
        </w:rPr>
        <w:t>3</w:t>
      </w:r>
      <w:r>
        <w:rPr>
          <w:rFonts w:ascii="Times New Roman" w:eastAsia="Times New Roman" w:hAnsi="Times New Roman" w:cs="Times New Roman"/>
          <w:sz w:val="24"/>
        </w:rPr>
        <w:t>O</w:t>
      </w:r>
      <w:r>
        <w:rPr>
          <w:rFonts w:ascii="Times New Roman" w:eastAsia="Times New Roman" w:hAnsi="Times New Roman" w:cs="Times New Roman"/>
          <w:sz w:val="24"/>
          <w:vertAlign w:val="subscript"/>
        </w:rPr>
        <w:t xml:space="preserve">7-δ </w:t>
      </w:r>
      <w:r>
        <w:rPr>
          <w:rFonts w:ascii="Times New Roman" w:eastAsia="Times New Roman" w:hAnsi="Times New Roman" w:cs="Times New Roman"/>
          <w:sz w:val="24"/>
        </w:rPr>
        <w:t xml:space="preserve">with Nano-sized Al2O3 Inclusions /B.Albiss, N.Rawashdeh, A. Jabal, M.Gharaibeh, I. Obaidat, M. Qaseer, A. Khalaf //Supercond. Nov. Magn. –2010. – V.23. – P.1333–1340.  </w:t>
      </w:r>
    </w:p>
    <w:p w:rsidR="0052701D" w:rsidRDefault="00D40929">
      <w:pPr>
        <w:numPr>
          <w:ilvl w:val="0"/>
          <w:numId w:val="71"/>
        </w:numPr>
        <w:spacing w:after="0" w:line="248" w:lineRule="auto"/>
        <w:ind w:right="14" w:firstLine="711"/>
        <w:jc w:val="both"/>
      </w:pPr>
      <w:r>
        <w:rPr>
          <w:rFonts w:ascii="Times New Roman" w:eastAsia="Times New Roman" w:hAnsi="Times New Roman" w:cs="Times New Roman"/>
          <w:sz w:val="24"/>
        </w:rPr>
        <w:lastRenderedPageBreak/>
        <w:t xml:space="preserve">Olatunji, JR., Acheson, C., Szmigiel, </w:t>
      </w:r>
      <w:r>
        <w:rPr>
          <w:rFonts w:ascii="Times New Roman" w:eastAsia="Times New Roman" w:hAnsi="Times New Roman" w:cs="Times New Roman"/>
          <w:sz w:val="24"/>
        </w:rPr>
        <w:t xml:space="preserve">M., Wimbush, SC., Лонг, Нью-Джерси, Orbital and thermal modelling of a 3U CubeSat equipped with a high-temperature superconducting coil., Acta Astronautica,2022 Volume 190, p. 413-429. </w:t>
      </w:r>
    </w:p>
    <w:p w:rsidR="0052701D" w:rsidRDefault="00D40929">
      <w:pPr>
        <w:numPr>
          <w:ilvl w:val="0"/>
          <w:numId w:val="71"/>
        </w:numPr>
        <w:spacing w:after="0" w:line="248" w:lineRule="auto"/>
        <w:ind w:right="14" w:firstLine="711"/>
        <w:jc w:val="both"/>
      </w:pPr>
      <w:r>
        <w:rPr>
          <w:rFonts w:ascii="Times New Roman" w:eastAsia="Times New Roman" w:hAnsi="Times New Roman" w:cs="Times New Roman"/>
          <w:sz w:val="24"/>
        </w:rPr>
        <w:t>Heat Load Calculations on an ЖТАӨ Coil Integrated into a Small Satelli</w:t>
      </w:r>
      <w:r>
        <w:rPr>
          <w:rFonts w:ascii="Times New Roman" w:eastAsia="Times New Roman" w:hAnsi="Times New Roman" w:cs="Times New Roman"/>
          <w:sz w:val="24"/>
        </w:rPr>
        <w:t>te during a Sun-Synchronous Low Earth Orbit. J R Olatunji1, C Acheson1, M Szmigiel1, S C Wimbush1 and N J Long1. Published under licence by IOP Publishing Ltd. Journal of Physics: Conference Series, Volume 1975, 33rd International Symposium on Superconduct</w:t>
      </w:r>
      <w:r>
        <w:rPr>
          <w:rFonts w:ascii="Times New Roman" w:eastAsia="Times New Roman" w:hAnsi="Times New Roman" w:cs="Times New Roman"/>
          <w:sz w:val="24"/>
        </w:rPr>
        <w:t xml:space="preserve">ivity (ISS2020) 1-3 </w:t>
      </w:r>
    </w:p>
    <w:p w:rsidR="0052701D" w:rsidRDefault="00D40929">
      <w:pPr>
        <w:spacing w:after="0" w:line="248" w:lineRule="auto"/>
        <w:ind w:left="9" w:right="14"/>
        <w:jc w:val="both"/>
      </w:pPr>
      <w:r>
        <w:rPr>
          <w:rFonts w:ascii="Times New Roman" w:eastAsia="Times New Roman" w:hAnsi="Times New Roman" w:cs="Times New Roman"/>
          <w:sz w:val="24"/>
        </w:rPr>
        <w:t xml:space="preserve">December 2020, Tsukuba, Japan. Citation J R Olatunji et al 2021 J. Phys.: Conf. Ser. 1975 012029 </w:t>
      </w:r>
    </w:p>
    <w:p w:rsidR="0052701D" w:rsidRDefault="00D40929">
      <w:pPr>
        <w:numPr>
          <w:ilvl w:val="0"/>
          <w:numId w:val="71"/>
        </w:numPr>
        <w:spacing w:after="29" w:line="248" w:lineRule="auto"/>
        <w:ind w:right="14" w:firstLine="711"/>
        <w:jc w:val="both"/>
      </w:pPr>
      <w:r>
        <w:rPr>
          <w:rFonts w:ascii="Times New Roman" w:eastAsia="Times New Roman" w:hAnsi="Times New Roman" w:cs="Times New Roman"/>
          <w:sz w:val="24"/>
        </w:rPr>
        <w:t>Толендиулы С., Фоменко С.М., Акишев А.Х., Совет А.Б., Темир Р., Влияние соотношения исходных компонентов и температуры отжига на выход фа</w:t>
      </w:r>
      <w:r>
        <w:rPr>
          <w:rFonts w:ascii="Times New Roman" w:eastAsia="Times New Roman" w:hAnsi="Times New Roman" w:cs="Times New Roman"/>
          <w:sz w:val="24"/>
        </w:rPr>
        <w:t>зы Y</w:t>
      </w:r>
      <w:r>
        <w:rPr>
          <w:rFonts w:ascii="Times New Roman" w:eastAsia="Times New Roman" w:hAnsi="Times New Roman" w:cs="Times New Roman"/>
          <w:sz w:val="16"/>
        </w:rPr>
        <w:t xml:space="preserve">123 </w:t>
      </w:r>
      <w:r>
        <w:rPr>
          <w:rFonts w:ascii="Times New Roman" w:eastAsia="Times New Roman" w:hAnsi="Times New Roman" w:cs="Times New Roman"/>
          <w:sz w:val="24"/>
        </w:rPr>
        <w:t xml:space="preserve">в системе Y-Ba-Cu-O / XI Международный симпозиум "Горение и плазмохимия - 2019", 20-22 ноября 2019 г., г. Алматы, Казахстан.  </w:t>
      </w:r>
    </w:p>
    <w:p w:rsidR="0052701D" w:rsidRDefault="00D40929">
      <w:pPr>
        <w:numPr>
          <w:ilvl w:val="0"/>
          <w:numId w:val="71"/>
        </w:numPr>
        <w:spacing w:after="29" w:line="248" w:lineRule="auto"/>
        <w:ind w:right="14" w:firstLine="711"/>
        <w:jc w:val="both"/>
      </w:pPr>
      <w:r>
        <w:rPr>
          <w:rFonts w:ascii="Times New Roman" w:eastAsia="Times New Roman" w:hAnsi="Times New Roman" w:cs="Times New Roman"/>
          <w:sz w:val="24"/>
        </w:rPr>
        <w:t xml:space="preserve">Применение объемных высокотемпературных сверхпроводников в перспективных космических системах / В. А. Матвеев [и др.] // </w:t>
      </w:r>
      <w:r>
        <w:rPr>
          <w:rFonts w:ascii="Times New Roman" w:eastAsia="Times New Roman" w:hAnsi="Times New Roman" w:cs="Times New Roman"/>
          <w:sz w:val="24"/>
        </w:rPr>
        <w:t xml:space="preserve">Вестник МГТУ им. Н. Э. Баумана. Сер. Приборостроение. 2016. № 1. C. 15–32. 2 </w:t>
      </w:r>
    </w:p>
    <w:p w:rsidR="0052701D" w:rsidRDefault="00D40929">
      <w:pPr>
        <w:numPr>
          <w:ilvl w:val="0"/>
          <w:numId w:val="71"/>
        </w:numPr>
        <w:spacing w:after="5"/>
        <w:ind w:right="14" w:firstLine="711"/>
        <w:jc w:val="both"/>
      </w:pPr>
      <w:r>
        <w:rPr>
          <w:rFonts w:ascii="Times New Roman" w:eastAsia="Times New Roman" w:hAnsi="Times New Roman" w:cs="Times New Roman"/>
          <w:sz w:val="24"/>
        </w:rPr>
        <w:t xml:space="preserve">S.M. Fomenko., E.E. Dilmuhambetov., Z.A. Mansurov // TEHNOLOGY OF </w:t>
      </w:r>
    </w:p>
    <w:p w:rsidR="0052701D" w:rsidRDefault="00D40929">
      <w:pPr>
        <w:spacing w:after="29" w:line="248" w:lineRule="auto"/>
        <w:ind w:left="9" w:right="14"/>
        <w:jc w:val="both"/>
      </w:pPr>
      <w:r>
        <w:rPr>
          <w:rFonts w:ascii="Times New Roman" w:eastAsia="Times New Roman" w:hAnsi="Times New Roman" w:cs="Times New Roman"/>
          <w:sz w:val="24"/>
        </w:rPr>
        <w:t xml:space="preserve">REFRACTORY MATERIALS BASED ON SHS IN METEL-OXIDE SYSTEMS / SHS </w:t>
      </w:r>
    </w:p>
    <w:p w:rsidR="0052701D" w:rsidRDefault="00D40929">
      <w:pPr>
        <w:spacing w:after="29" w:line="248" w:lineRule="auto"/>
        <w:ind w:left="9" w:right="14"/>
        <w:jc w:val="both"/>
      </w:pPr>
      <w:r>
        <w:rPr>
          <w:rFonts w:ascii="Times New Roman" w:eastAsia="Times New Roman" w:hAnsi="Times New Roman" w:cs="Times New Roman"/>
          <w:sz w:val="24"/>
        </w:rPr>
        <w:t>COMPOSITE MATERIALS. Qazaq university, – Almaty</w:t>
      </w:r>
      <w:r>
        <w:rPr>
          <w:rFonts w:ascii="Times New Roman" w:eastAsia="Times New Roman" w:hAnsi="Times New Roman" w:cs="Times New Roman"/>
          <w:sz w:val="24"/>
        </w:rPr>
        <w:t xml:space="preserve">: - 2017.  P - 212-256.  5 </w:t>
      </w:r>
    </w:p>
    <w:p w:rsidR="0052701D" w:rsidRDefault="00D40929">
      <w:pPr>
        <w:numPr>
          <w:ilvl w:val="0"/>
          <w:numId w:val="71"/>
        </w:numPr>
        <w:spacing w:after="0" w:line="248" w:lineRule="auto"/>
        <w:ind w:right="14" w:firstLine="711"/>
        <w:jc w:val="both"/>
      </w:pPr>
      <w:r>
        <w:rPr>
          <w:rFonts w:ascii="Times New Roman" w:eastAsia="Times New Roman" w:hAnsi="Times New Roman" w:cs="Times New Roman"/>
          <w:sz w:val="24"/>
        </w:rPr>
        <w:t>M. Miura, B. Maiorov, S.A. Baily, N. Haberkorn, J.O. Willis, K. Marken, T. Izumi, Y. Shiohara, and L. Civale. Mixed pinning landscape in nanoparticle-introduced YGdBa2Cu3Oy films grown by metal organic deposition // Physical Rev</w:t>
      </w:r>
      <w:r>
        <w:rPr>
          <w:rFonts w:ascii="Times New Roman" w:eastAsia="Times New Roman" w:hAnsi="Times New Roman" w:cs="Times New Roman"/>
          <w:sz w:val="24"/>
        </w:rPr>
        <w:t xml:space="preserve">iew B. 2011. 1845191 .83. P.184519(1-8). 14. </w:t>
      </w:r>
    </w:p>
    <w:p w:rsidR="0052701D" w:rsidRDefault="00D40929">
      <w:pPr>
        <w:numPr>
          <w:ilvl w:val="0"/>
          <w:numId w:val="71"/>
        </w:numPr>
        <w:spacing w:after="0" w:line="248" w:lineRule="auto"/>
        <w:ind w:right="14" w:firstLine="711"/>
        <w:jc w:val="both"/>
      </w:pPr>
      <w:r>
        <w:rPr>
          <w:rFonts w:ascii="Times New Roman" w:eastAsia="Times New Roman" w:hAnsi="Times New Roman" w:cs="Times New Roman"/>
          <w:sz w:val="24"/>
        </w:rPr>
        <w:t>Design, Fabrication, and Test of a 5 kWh Flywheel Energy Storage System Utilizing a High Temperature Superconducting Magnetic Bearing. 2010 / J.R. Hull, J.A. Mittleider, J.F. Gonder, P.E. Johnson, K.E. McCrary, C.R. McIver // Energy Storage Systems Program</w:t>
      </w:r>
      <w:r>
        <w:rPr>
          <w:rFonts w:ascii="Times New Roman" w:eastAsia="Times New Roman" w:hAnsi="Times New Roman" w:cs="Times New Roman"/>
          <w:sz w:val="24"/>
        </w:rPr>
        <w:t xml:space="preserve">, November 2–4, 2010.  </w:t>
      </w:r>
    </w:p>
    <w:p w:rsidR="0052701D" w:rsidRDefault="00D40929">
      <w:pPr>
        <w:numPr>
          <w:ilvl w:val="0"/>
          <w:numId w:val="71"/>
        </w:numPr>
        <w:spacing w:after="0" w:line="248" w:lineRule="auto"/>
        <w:ind w:right="14" w:firstLine="711"/>
        <w:jc w:val="both"/>
      </w:pPr>
      <w:r>
        <w:rPr>
          <w:rFonts w:ascii="Times New Roman" w:eastAsia="Times New Roman" w:hAnsi="Times New Roman" w:cs="Times New Roman"/>
          <w:sz w:val="24"/>
        </w:rPr>
        <w:t>Advanced desing and experiment of a small-sized flywhell energy storage system using a high-temperature superconductor bearing / Kangwon Lee, Bongsu Kim, Junseok Ko, Sangkwon Jeong, Seung S Lee // Supercond. Sci. Technol. 2007. Vol.</w:t>
      </w:r>
      <w:r>
        <w:rPr>
          <w:rFonts w:ascii="Times New Roman" w:eastAsia="Times New Roman" w:hAnsi="Times New Roman" w:cs="Times New Roman"/>
          <w:sz w:val="24"/>
        </w:rPr>
        <w:t xml:space="preserve"> 20. Р. 634–639.  </w:t>
      </w:r>
    </w:p>
    <w:p w:rsidR="0052701D" w:rsidRDefault="00D40929">
      <w:pPr>
        <w:numPr>
          <w:ilvl w:val="0"/>
          <w:numId w:val="71"/>
        </w:numPr>
        <w:spacing w:after="29" w:line="248" w:lineRule="auto"/>
        <w:ind w:right="14" w:firstLine="711"/>
        <w:jc w:val="both"/>
      </w:pPr>
      <w:r>
        <w:rPr>
          <w:rFonts w:ascii="Times New Roman" w:eastAsia="Times New Roman" w:hAnsi="Times New Roman" w:cs="Times New Roman"/>
          <w:sz w:val="24"/>
        </w:rPr>
        <w:t xml:space="preserve">http://www.spacecraftresearch.com (дата обращения 21.08.2015).  </w:t>
      </w:r>
    </w:p>
    <w:p w:rsidR="0052701D" w:rsidRDefault="00D40929">
      <w:pPr>
        <w:numPr>
          <w:ilvl w:val="0"/>
          <w:numId w:val="71"/>
        </w:numPr>
        <w:spacing w:after="0" w:line="248" w:lineRule="auto"/>
        <w:ind w:right="14" w:firstLine="711"/>
        <w:jc w:val="both"/>
      </w:pPr>
      <w:r>
        <w:rPr>
          <w:rFonts w:ascii="Times New Roman" w:eastAsia="Times New Roman" w:hAnsi="Times New Roman" w:cs="Times New Roman"/>
          <w:sz w:val="24"/>
        </w:rPr>
        <w:t xml:space="preserve">Shoer J.P., Peck M.A. Sequences of Passively Stable Dynamic Equilibria for Hybrid Control of Reconfigurable Spacecraft // AIAA Guidance, Navigation and Control Conference. </w:t>
      </w:r>
      <w:r>
        <w:rPr>
          <w:rFonts w:ascii="Times New Roman" w:eastAsia="Times New Roman" w:hAnsi="Times New Roman" w:cs="Times New Roman"/>
          <w:sz w:val="24"/>
        </w:rPr>
        <w:t xml:space="preserve">Chicago, Illinois. 10–13 August, 2000 </w:t>
      </w:r>
    </w:p>
    <w:p w:rsidR="0052701D" w:rsidRDefault="00D40929">
      <w:pPr>
        <w:numPr>
          <w:ilvl w:val="0"/>
          <w:numId w:val="71"/>
        </w:numPr>
        <w:spacing w:after="0" w:line="248" w:lineRule="auto"/>
        <w:ind w:right="14" w:firstLine="711"/>
        <w:jc w:val="both"/>
      </w:pPr>
      <w:r>
        <w:rPr>
          <w:rFonts w:ascii="Times New Roman" w:eastAsia="Times New Roman" w:hAnsi="Times New Roman" w:cs="Times New Roman"/>
          <w:sz w:val="24"/>
        </w:rPr>
        <w:t>Wenjiang Yang, Jia Xu, Long Yu, Yu Liu. Experimental investigation of mechanical characteristics in superconducting interfaces for self-assembly of spacecraft modules // Physica C: Superconductivity. 2012. Vol. 483 P.</w:t>
      </w:r>
      <w:r>
        <w:rPr>
          <w:rFonts w:ascii="Times New Roman" w:eastAsia="Times New Roman" w:hAnsi="Times New Roman" w:cs="Times New Roman"/>
          <w:sz w:val="24"/>
        </w:rPr>
        <w:t xml:space="preserve"> 173–177. </w:t>
      </w:r>
    </w:p>
    <w:p w:rsidR="0052701D" w:rsidRDefault="00D40929">
      <w:pPr>
        <w:spacing w:after="0"/>
        <w:ind w:left="711"/>
      </w:pPr>
      <w:r>
        <w:rPr>
          <w:rFonts w:ascii="Times New Roman" w:eastAsia="Times New Roman" w:hAnsi="Times New Roman" w:cs="Times New Roman"/>
          <w:sz w:val="24"/>
        </w:rPr>
        <w:t xml:space="preserve"> </w:t>
      </w:r>
    </w:p>
    <w:p w:rsidR="0052701D" w:rsidRDefault="00D40929">
      <w:pPr>
        <w:spacing w:after="0"/>
        <w:ind w:left="711"/>
      </w:pPr>
      <w:r>
        <w:rPr>
          <w:rFonts w:ascii="Times New Roman" w:eastAsia="Times New Roman" w:hAnsi="Times New Roman" w:cs="Times New Roman"/>
          <w:sz w:val="24"/>
        </w:rPr>
        <w:t xml:space="preserve"> </w:t>
      </w:r>
    </w:p>
    <w:p w:rsidR="0052701D" w:rsidRDefault="00D40929">
      <w:pPr>
        <w:spacing w:after="4" w:line="271" w:lineRule="auto"/>
        <w:ind w:left="-5" w:right="194" w:hanging="10"/>
      </w:pPr>
      <w:r>
        <w:rPr>
          <w:rFonts w:ascii="Times New Roman" w:eastAsia="Times New Roman" w:hAnsi="Times New Roman" w:cs="Times New Roman"/>
          <w:b/>
          <w:sz w:val="24"/>
        </w:rPr>
        <w:t xml:space="preserve">МРНТИ 55.49.29, УДК 629.78 </w:t>
      </w:r>
    </w:p>
    <w:p w:rsidR="0052701D" w:rsidRDefault="00D40929">
      <w:pPr>
        <w:spacing w:after="0"/>
      </w:pPr>
      <w:r>
        <w:rPr>
          <w:rFonts w:ascii="Times New Roman" w:eastAsia="Times New Roman" w:hAnsi="Times New Roman" w:cs="Times New Roman"/>
          <w:sz w:val="28"/>
        </w:rPr>
        <w:t xml:space="preserve"> </w:t>
      </w:r>
    </w:p>
    <w:p w:rsidR="0052701D" w:rsidRDefault="00D40929">
      <w:pPr>
        <w:pStyle w:val="1"/>
        <w:ind w:left="173" w:right="163"/>
      </w:pPr>
      <w:r>
        <w:t xml:space="preserve">Probe diagnostics and optical emission spectroscopy of the plasma plume created by a magnetic nozzle of an inductively coupled plasma source  </w:t>
      </w:r>
    </w:p>
    <w:p w:rsidR="0052701D" w:rsidRDefault="00D40929">
      <w:pPr>
        <w:spacing w:after="0"/>
        <w:ind w:left="65"/>
        <w:jc w:val="center"/>
      </w:pPr>
      <w:r>
        <w:rPr>
          <w:rFonts w:ascii="Times New Roman" w:eastAsia="Times New Roman" w:hAnsi="Times New Roman" w:cs="Times New Roman"/>
          <w:b/>
          <w:sz w:val="28"/>
        </w:rPr>
        <w:t xml:space="preserve"> </w:t>
      </w:r>
    </w:p>
    <w:p w:rsidR="0052701D" w:rsidRDefault="00D40929">
      <w:pPr>
        <w:spacing w:after="14" w:line="248" w:lineRule="auto"/>
        <w:ind w:left="713" w:right="724" w:hanging="5"/>
        <w:jc w:val="center"/>
      </w:pPr>
      <w:r>
        <w:rPr>
          <w:rFonts w:ascii="Times New Roman" w:eastAsia="Times New Roman" w:hAnsi="Times New Roman" w:cs="Times New Roman"/>
          <w:sz w:val="24"/>
        </w:rPr>
        <w:t>A R Gizzatullin</w:t>
      </w:r>
      <w:r>
        <w:rPr>
          <w:rFonts w:ascii="Times New Roman" w:eastAsia="Times New Roman" w:hAnsi="Times New Roman" w:cs="Times New Roman"/>
          <w:sz w:val="24"/>
          <w:vertAlign w:val="superscript"/>
        </w:rPr>
        <w:t>1</w:t>
      </w:r>
      <w:r>
        <w:rPr>
          <w:rFonts w:ascii="Times New Roman" w:eastAsia="Times New Roman" w:hAnsi="Times New Roman" w:cs="Times New Roman"/>
          <w:sz w:val="24"/>
        </w:rPr>
        <w:t>, A I Shumeiko</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V D Telekh</w:t>
      </w:r>
      <w:r>
        <w:rPr>
          <w:rFonts w:ascii="Times New Roman" w:eastAsia="Times New Roman" w:hAnsi="Times New Roman" w:cs="Times New Roman"/>
          <w:sz w:val="24"/>
          <w:vertAlign w:val="superscript"/>
        </w:rPr>
        <w:t>1</w:t>
      </w:r>
      <w:r>
        <w:rPr>
          <w:rFonts w:ascii="Times New Roman" w:eastAsia="Times New Roman" w:hAnsi="Times New Roman" w:cs="Times New Roman"/>
          <w:sz w:val="24"/>
        </w:rPr>
        <w:t xml:space="preserve"> </w:t>
      </w:r>
    </w:p>
    <w:p w:rsidR="0052701D" w:rsidRDefault="00D40929">
      <w:pPr>
        <w:spacing w:after="14" w:line="248" w:lineRule="auto"/>
        <w:ind w:left="713" w:right="723" w:hanging="5"/>
        <w:jc w:val="center"/>
      </w:pPr>
      <w:r>
        <w:rPr>
          <w:rFonts w:ascii="Times New Roman" w:eastAsia="Times New Roman" w:hAnsi="Times New Roman" w:cs="Times New Roman"/>
          <w:sz w:val="24"/>
          <w:vertAlign w:val="superscript"/>
        </w:rPr>
        <w:t>1</w:t>
      </w:r>
      <w:r>
        <w:rPr>
          <w:rFonts w:ascii="Times New Roman" w:eastAsia="Times New Roman" w:hAnsi="Times New Roman" w:cs="Times New Roman"/>
          <w:sz w:val="24"/>
        </w:rPr>
        <w:t xml:space="preserve">Kazan State Power Engineering University, Kazan, Russia  </w:t>
      </w:r>
    </w:p>
    <w:p w:rsidR="0052701D" w:rsidRDefault="00D40929">
      <w:pPr>
        <w:spacing w:after="14" w:line="248" w:lineRule="auto"/>
        <w:ind w:left="1021" w:right="888" w:hanging="152"/>
        <w:jc w:val="center"/>
      </w:pPr>
      <w:r>
        <w:rPr>
          <w:rFonts w:ascii="Times New Roman" w:eastAsia="Times New Roman" w:hAnsi="Times New Roman" w:cs="Times New Roman"/>
          <w:sz w:val="24"/>
          <w:vertAlign w:val="superscript"/>
        </w:rPr>
        <w:lastRenderedPageBreak/>
        <w:t>2</w:t>
      </w:r>
      <w:r>
        <w:rPr>
          <w:rFonts w:ascii="Times New Roman" w:eastAsia="Times New Roman" w:hAnsi="Times New Roman" w:cs="Times New Roman"/>
          <w:sz w:val="24"/>
        </w:rPr>
        <w:t xml:space="preserve">Bauman Moscow State Technical University, Educational Scientific Centre  for Photon Energetics, Moscow, Russia </w:t>
      </w:r>
      <w:r>
        <w:rPr>
          <w:rFonts w:ascii="Times New Roman" w:eastAsia="Times New Roman" w:hAnsi="Times New Roman" w:cs="Times New Roman"/>
          <w:color w:val="222222"/>
          <w:sz w:val="24"/>
        </w:rPr>
        <w:t>e-mail:</w:t>
      </w:r>
      <w:r>
        <w:rPr>
          <w:rFonts w:ascii="Times New Roman" w:eastAsia="Times New Roman" w:hAnsi="Times New Roman" w:cs="Times New Roman"/>
          <w:color w:val="222222"/>
          <w:sz w:val="24"/>
          <w:u w:val="single" w:color="222222"/>
        </w:rPr>
        <w:t xml:space="preserve"> gizzatar@gmail.com</w:t>
      </w:r>
      <w:r>
        <w:rPr>
          <w:rFonts w:ascii="Times New Roman" w:eastAsia="Times New Roman" w:hAnsi="Times New Roman" w:cs="Times New Roman"/>
          <w:color w:val="222222"/>
          <w:sz w:val="24"/>
        </w:rPr>
        <w:t xml:space="preserve"> </w:t>
      </w:r>
    </w:p>
    <w:p w:rsidR="0052701D" w:rsidRDefault="00D40929">
      <w:pPr>
        <w:spacing w:after="0"/>
        <w:ind w:left="55"/>
        <w:jc w:val="center"/>
      </w:pPr>
      <w:r>
        <w:rPr>
          <w:rFonts w:ascii="Times New Roman" w:eastAsia="Times New Roman" w:hAnsi="Times New Roman" w:cs="Times New Roman"/>
          <w:sz w:val="24"/>
        </w:rPr>
        <w:t xml:space="preserve"> </w:t>
      </w:r>
    </w:p>
    <w:p w:rsidR="0052701D" w:rsidRDefault="00D40929">
      <w:pPr>
        <w:spacing w:after="1" w:line="248" w:lineRule="auto"/>
        <w:ind w:left="9" w:firstLine="711"/>
        <w:jc w:val="both"/>
      </w:pPr>
      <w:r>
        <w:rPr>
          <w:rFonts w:ascii="Times New Roman" w:eastAsia="Times New Roman" w:hAnsi="Times New Roman" w:cs="Times New Roman"/>
          <w:b/>
          <w:i/>
          <w:sz w:val="24"/>
        </w:rPr>
        <w:t xml:space="preserve">Abstract. </w:t>
      </w:r>
      <w:r>
        <w:rPr>
          <w:rFonts w:ascii="Times New Roman" w:eastAsia="Times New Roman" w:hAnsi="Times New Roman" w:cs="Times New Roman"/>
          <w:i/>
          <w:sz w:val="24"/>
        </w:rPr>
        <w:t>The Wave Plasma Thruster is suggested to suppo</w:t>
      </w:r>
      <w:r>
        <w:rPr>
          <w:rFonts w:ascii="Times New Roman" w:eastAsia="Times New Roman" w:hAnsi="Times New Roman" w:cs="Times New Roman"/>
          <w:i/>
          <w:sz w:val="24"/>
        </w:rPr>
        <w:t>rt small spacecraft on very low Earth’s orbits and to de-orbit it after fulfilling its space mission, has been tested successfully. Using a retarding field energy analyser, Langmuir probe and optical emission spectroscopy, the plasma flow formed by a magne</w:t>
      </w:r>
      <w:r>
        <w:rPr>
          <w:rFonts w:ascii="Times New Roman" w:eastAsia="Times New Roman" w:hAnsi="Times New Roman" w:cs="Times New Roman"/>
          <w:i/>
          <w:sz w:val="24"/>
        </w:rPr>
        <w:t>tic nozzle have been characterized axially. The presence of the double-layer (DL) has been confirmed by a rapid change in the plasma potential along the axis. The axial electron temperature variation of the Langmuir probe measurements shows that the DL for</w:t>
      </w:r>
      <w:r>
        <w:rPr>
          <w:rFonts w:ascii="Times New Roman" w:eastAsia="Times New Roman" w:hAnsi="Times New Roman" w:cs="Times New Roman"/>
          <w:i/>
          <w:sz w:val="24"/>
        </w:rPr>
        <w:t xml:space="preserve">ms near a region of the maximum of magnetic field gradient when the plasma is operated in wave mode. The emission intensity of the argon atom lines 750 nm and 811 nm shows a similar spatial distribution to the electron temperature along the axis. </w:t>
      </w:r>
    </w:p>
    <w:p w:rsidR="0052701D" w:rsidRDefault="00D40929">
      <w:pPr>
        <w:spacing w:after="29" w:line="248" w:lineRule="auto"/>
        <w:ind w:left="9"/>
        <w:jc w:val="both"/>
      </w:pPr>
      <w:r>
        <w:rPr>
          <w:rFonts w:ascii="Times New Roman" w:eastAsia="Times New Roman" w:hAnsi="Times New Roman" w:cs="Times New Roman"/>
          <w:i/>
          <w:sz w:val="24"/>
        </w:rPr>
        <w:t>The tests have been performed for operating conditions of 1.5 mg·s</w:t>
      </w:r>
      <w:r>
        <w:rPr>
          <w:rFonts w:ascii="Times New Roman" w:eastAsia="Times New Roman" w:hAnsi="Times New Roman" w:cs="Times New Roman"/>
          <w:i/>
          <w:sz w:val="24"/>
          <w:vertAlign w:val="superscript"/>
        </w:rPr>
        <w:t>-1</w:t>
      </w:r>
      <w:r>
        <w:rPr>
          <w:rFonts w:ascii="Times New Roman" w:eastAsia="Times New Roman" w:hAnsi="Times New Roman" w:cs="Times New Roman"/>
          <w:i/>
          <w:sz w:val="24"/>
        </w:rPr>
        <w:t xml:space="preserve"> of Argon, 50 mPa gas pressure, 120W of radio-frequency forward power at 13.56 MHz, and a maximum axial magnetic field of 200 G.</w:t>
      </w:r>
      <w:r>
        <w:rPr>
          <w:rFonts w:ascii="Times New Roman" w:eastAsia="Times New Roman" w:hAnsi="Times New Roman" w:cs="Times New Roman"/>
          <w:b/>
          <w:i/>
          <w:sz w:val="24"/>
        </w:rPr>
        <w:t xml:space="preserve"> </w:t>
      </w:r>
    </w:p>
    <w:p w:rsidR="0052701D" w:rsidRDefault="00D40929">
      <w:pPr>
        <w:spacing w:after="29" w:line="248" w:lineRule="auto"/>
        <w:ind w:left="9" w:firstLine="711"/>
        <w:jc w:val="both"/>
      </w:pPr>
      <w:r>
        <w:rPr>
          <w:rFonts w:ascii="Times New Roman" w:eastAsia="Times New Roman" w:hAnsi="Times New Roman" w:cs="Times New Roman"/>
          <w:b/>
          <w:i/>
          <w:sz w:val="24"/>
        </w:rPr>
        <w:t>Key words:</w:t>
      </w:r>
      <w:r>
        <w:rPr>
          <w:rFonts w:ascii="Times New Roman" w:eastAsia="Times New Roman" w:hAnsi="Times New Roman" w:cs="Times New Roman"/>
          <w:i/>
          <w:sz w:val="24"/>
        </w:rPr>
        <w:t xml:space="preserve"> </w:t>
      </w:r>
      <w:r>
        <w:rPr>
          <w:rFonts w:ascii="Times New Roman" w:eastAsia="Times New Roman" w:hAnsi="Times New Roman" w:cs="Times New Roman"/>
          <w:i/>
          <w:sz w:val="24"/>
        </w:rPr>
        <w:t>базовая станция, предельно допустимый уровень электромагнитной энергии, 4G</w:t>
      </w:r>
      <w:r>
        <w:rPr>
          <w:rFonts w:ascii="Times New Roman" w:eastAsia="Times New Roman" w:hAnsi="Times New Roman" w:cs="Times New Roman"/>
          <w:b/>
          <w:i/>
          <w:sz w:val="24"/>
        </w:rPr>
        <w:t>,</w:t>
      </w:r>
      <w:r>
        <w:rPr>
          <w:rFonts w:ascii="Times New Roman" w:eastAsia="Times New Roman" w:hAnsi="Times New Roman" w:cs="Times New Roman"/>
          <w:i/>
          <w:sz w:val="24"/>
        </w:rPr>
        <w:t xml:space="preserve"> 5G, IoT-трафик, электромагнитная совместимость. </w:t>
      </w:r>
    </w:p>
    <w:p w:rsidR="0052701D" w:rsidRDefault="00D40929">
      <w:pPr>
        <w:spacing w:after="18"/>
      </w:pPr>
      <w:r>
        <w:rPr>
          <w:rFonts w:ascii="Times New Roman" w:eastAsia="Times New Roman" w:hAnsi="Times New Roman" w:cs="Times New Roman"/>
          <w:b/>
          <w:sz w:val="24"/>
        </w:rPr>
        <w:t xml:space="preserve"> </w:t>
      </w:r>
    </w:p>
    <w:p w:rsidR="0052701D" w:rsidRDefault="00D40929">
      <w:pPr>
        <w:spacing w:after="3"/>
        <w:ind w:left="725" w:hanging="10"/>
      </w:pPr>
      <w:r>
        <w:rPr>
          <w:rFonts w:ascii="Times New Roman" w:eastAsia="Times New Roman" w:hAnsi="Times New Roman" w:cs="Times New Roman"/>
          <w:b/>
          <w:i/>
        </w:rPr>
        <w:t>1.</w:t>
      </w:r>
      <w:r>
        <w:rPr>
          <w:rFonts w:ascii="Arial" w:eastAsia="Arial" w:hAnsi="Arial" w:cs="Arial"/>
          <w:b/>
          <w:i/>
        </w:rPr>
        <w:t xml:space="preserve"> </w:t>
      </w:r>
      <w:r>
        <w:rPr>
          <w:rFonts w:ascii="Times New Roman" w:eastAsia="Times New Roman" w:hAnsi="Times New Roman" w:cs="Times New Roman"/>
          <w:b/>
          <w:i/>
          <w:sz w:val="28"/>
        </w:rPr>
        <w:t xml:space="preserve">Introduction </w:t>
      </w:r>
    </w:p>
    <w:p w:rsidR="0052701D" w:rsidRDefault="00D40929">
      <w:pPr>
        <w:spacing w:after="0" w:line="248" w:lineRule="auto"/>
        <w:ind w:left="9" w:right="14" w:firstLine="711"/>
        <w:jc w:val="both"/>
      </w:pPr>
      <w:r>
        <w:rPr>
          <w:rFonts w:ascii="Times New Roman" w:eastAsia="Times New Roman" w:hAnsi="Times New Roman" w:cs="Times New Roman"/>
          <w:sz w:val="24"/>
        </w:rPr>
        <w:t>Nowadays the development of low Earth orbit (LEO) (up to 2000 km) small spacecraft (SSC) is of particular intere</w:t>
      </w:r>
      <w:r>
        <w:rPr>
          <w:rFonts w:ascii="Times New Roman" w:eastAsia="Times New Roman" w:hAnsi="Times New Roman" w:cs="Times New Roman"/>
          <w:sz w:val="24"/>
        </w:rPr>
        <w:t>st. Such devices are planned to be used for effective telecommunications systems, advanced Earth research, etc. Among the space missions being developed in LEO, we can highlight the main international projects for creating a swarm of a large number of SSC,</w:t>
      </w:r>
      <w:r>
        <w:rPr>
          <w:rFonts w:ascii="Times New Roman" w:eastAsia="Times New Roman" w:hAnsi="Times New Roman" w:cs="Times New Roman"/>
          <w:sz w:val="24"/>
        </w:rPr>
        <w:t xml:space="preserve"> such as the OneWeb Satellite Constellation and Starlink, as well as the Russian project of the Sphere satellite communication system. Their advantages include the low price of launching (altitude 160-300 km) and the increased resolution of the target equi</w:t>
      </w:r>
      <w:r>
        <w:rPr>
          <w:rFonts w:ascii="Times New Roman" w:eastAsia="Times New Roman" w:hAnsi="Times New Roman" w:cs="Times New Roman"/>
          <w:sz w:val="24"/>
        </w:rPr>
        <w:t xml:space="preserve">pment. </w:t>
      </w:r>
    </w:p>
    <w:p w:rsidR="0052701D" w:rsidRDefault="00D40929">
      <w:pPr>
        <w:spacing w:after="5" w:line="248" w:lineRule="auto"/>
        <w:ind w:left="9" w:right="14" w:firstLine="711"/>
        <w:jc w:val="both"/>
      </w:pPr>
      <w:r>
        <w:rPr>
          <w:rFonts w:ascii="Times New Roman" w:eastAsia="Times New Roman" w:hAnsi="Times New Roman" w:cs="Times New Roman"/>
          <w:sz w:val="24"/>
        </w:rPr>
        <w:t xml:space="preserve">A key problem that arise in the design of the very low-orbit SSC is the presence of aerodynamic force, which decelerates it when flying in the upper atmosphere. For example, for a SSC at an altitude of 200 km with a shape factor </w:t>
      </w:r>
      <w:r>
        <w:rPr>
          <w:rFonts w:ascii="Cambria Math" w:eastAsia="Cambria Math" w:hAnsi="Cambria Math" w:cs="Cambria Math"/>
          <w:sz w:val="24"/>
        </w:rPr>
        <w:t>𝑐</w:t>
      </w:r>
      <w:r>
        <w:rPr>
          <w:rFonts w:ascii="Cambria Math" w:eastAsia="Cambria Math" w:hAnsi="Cambria Math" w:cs="Cambria Math"/>
          <w:sz w:val="24"/>
          <w:vertAlign w:val="subscript"/>
        </w:rPr>
        <w:t>𝑓</w:t>
      </w:r>
      <w:r>
        <w:rPr>
          <w:rFonts w:ascii="Cambria Math" w:eastAsia="Cambria Math" w:hAnsi="Cambria Math" w:cs="Cambria Math"/>
          <w:sz w:val="24"/>
          <w:vertAlign w:val="subscript"/>
        </w:rPr>
        <w:t xml:space="preserve"> </w:t>
      </w:r>
      <w:r>
        <w:rPr>
          <w:rFonts w:ascii="Cambria Math" w:eastAsia="Cambria Math" w:hAnsi="Cambria Math" w:cs="Cambria Math"/>
          <w:sz w:val="24"/>
        </w:rPr>
        <w:t>= 3</w:t>
      </w:r>
      <w:r>
        <w:rPr>
          <w:rFonts w:ascii="Times New Roman" w:eastAsia="Times New Roman" w:hAnsi="Times New Roman" w:cs="Times New Roman"/>
          <w:sz w:val="24"/>
        </w:rPr>
        <w:t xml:space="preserve"> and a cros</w:t>
      </w:r>
      <w:r>
        <w:rPr>
          <w:rFonts w:ascii="Times New Roman" w:eastAsia="Times New Roman" w:hAnsi="Times New Roman" w:cs="Times New Roman"/>
          <w:sz w:val="24"/>
        </w:rPr>
        <w:t xml:space="preserve">s-sectional area </w:t>
      </w:r>
      <w:r>
        <w:rPr>
          <w:rFonts w:ascii="Cambria Math" w:eastAsia="Cambria Math" w:hAnsi="Cambria Math" w:cs="Cambria Math"/>
          <w:sz w:val="24"/>
        </w:rPr>
        <w:t>𝑆</w:t>
      </w:r>
      <w:r>
        <w:rPr>
          <w:rFonts w:ascii="Cambria Math" w:eastAsia="Cambria Math" w:hAnsi="Cambria Math" w:cs="Cambria Math"/>
          <w:sz w:val="24"/>
          <w:vertAlign w:val="subscript"/>
        </w:rPr>
        <w:t>𝑆𝐶</w:t>
      </w:r>
      <w:r>
        <w:rPr>
          <w:rFonts w:ascii="Cambria Math" w:eastAsia="Cambria Math" w:hAnsi="Cambria Math" w:cs="Cambria Math"/>
          <w:sz w:val="24"/>
          <w:vertAlign w:val="subscript"/>
        </w:rPr>
        <w:t xml:space="preserve"> </w:t>
      </w:r>
      <w:r>
        <w:rPr>
          <w:rFonts w:ascii="Cambria Math" w:eastAsia="Cambria Math" w:hAnsi="Cambria Math" w:cs="Cambria Math"/>
          <w:sz w:val="24"/>
        </w:rPr>
        <w:t>= 1</w:t>
      </w:r>
      <w:r>
        <w:rPr>
          <w:rFonts w:ascii="Times New Roman" w:eastAsia="Times New Roman" w:hAnsi="Times New Roman" w:cs="Times New Roman"/>
          <w:sz w:val="24"/>
        </w:rPr>
        <w:t xml:space="preserve"> m</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xml:space="preserve"> the drag force will be 18 mN [1]. The lifetime of a passive SSC on LEO ranges from several weeks to several months and depends on many factors, especially strongly on the density of the residual atmosphere at the orbit height</w:t>
      </w:r>
      <w:r>
        <w:rPr>
          <w:rFonts w:ascii="Times New Roman" w:eastAsia="Times New Roman" w:hAnsi="Times New Roman" w:cs="Times New Roman"/>
          <w:sz w:val="24"/>
        </w:rPr>
        <w:t xml:space="preserve">. </w:t>
      </w:r>
    </w:p>
    <w:p w:rsidR="0052701D" w:rsidRDefault="00D40929">
      <w:pPr>
        <w:spacing w:after="5"/>
        <w:ind w:left="10" w:right="21" w:hanging="10"/>
        <w:jc w:val="right"/>
      </w:pPr>
      <w:r>
        <w:rPr>
          <w:rFonts w:ascii="Times New Roman" w:eastAsia="Times New Roman" w:hAnsi="Times New Roman" w:cs="Times New Roman"/>
          <w:sz w:val="24"/>
        </w:rPr>
        <w:t xml:space="preserve">Nowadays there are several types of thrusters which are used for supporting of SSC in </w:t>
      </w:r>
    </w:p>
    <w:p w:rsidR="0052701D" w:rsidRDefault="00D40929">
      <w:pPr>
        <w:spacing w:after="29" w:line="248" w:lineRule="auto"/>
        <w:ind w:left="9" w:right="14"/>
        <w:jc w:val="both"/>
      </w:pPr>
      <w:r>
        <w:rPr>
          <w:rFonts w:ascii="Times New Roman" w:eastAsia="Times New Roman" w:hAnsi="Times New Roman" w:cs="Times New Roman"/>
          <w:sz w:val="24"/>
        </w:rPr>
        <w:t xml:space="preserve">LEO. One of these propulsion systems is the SPD-50M of EDB «Fakel» which is used onboard </w:t>
      </w:r>
    </w:p>
    <w:p w:rsidR="0052701D" w:rsidRDefault="00D40929">
      <w:pPr>
        <w:spacing w:after="1" w:line="248" w:lineRule="auto"/>
        <w:ind w:left="9" w:right="14"/>
        <w:jc w:val="both"/>
      </w:pPr>
      <w:r>
        <w:rPr>
          <w:rFonts w:ascii="Times New Roman" w:eastAsia="Times New Roman" w:hAnsi="Times New Roman" w:cs="Times New Roman"/>
          <w:sz w:val="24"/>
        </w:rPr>
        <w:t>OneWeb’s satellites. However, the short lifetime of the SPD-50M as the other</w:t>
      </w:r>
      <w:r>
        <w:rPr>
          <w:rFonts w:ascii="Times New Roman" w:eastAsia="Times New Roman" w:hAnsi="Times New Roman" w:cs="Times New Roman"/>
          <w:sz w:val="24"/>
        </w:rPr>
        <w:t xml:space="preserve"> electrostatic electric propulsion systems, such as Hall [2] and Ion thrusters, cannot increase the SSC’s </w:t>
      </w:r>
    </w:p>
    <w:p w:rsidR="0052701D" w:rsidRDefault="00D40929">
      <w:pPr>
        <w:spacing w:after="0" w:line="248" w:lineRule="auto"/>
        <w:ind w:left="9" w:right="14"/>
        <w:jc w:val="both"/>
      </w:pPr>
      <w:r>
        <w:rPr>
          <w:rFonts w:ascii="Times New Roman" w:eastAsia="Times New Roman" w:hAnsi="Times New Roman" w:cs="Times New Roman"/>
          <w:sz w:val="24"/>
        </w:rPr>
        <w:t>lifetime and guarantee successful de-orbiting. It is mostly associated with the use of a cathodecompensator that neutralizes the outgoing accelerated</w:t>
      </w:r>
      <w:r>
        <w:rPr>
          <w:rFonts w:ascii="Times New Roman" w:eastAsia="Times New Roman" w:hAnsi="Times New Roman" w:cs="Times New Roman"/>
          <w:sz w:val="24"/>
        </w:rPr>
        <w:t xml:space="preserve"> ion beam. Existing cathodecompensators use lanthanum hexaboride as a thermal electron source. During operation in a medium containing oxygen molecules, atoms and ions, which present in the residual atmosphere in LEO, lanthanum hexaboride is oxidized to fo</w:t>
      </w:r>
      <w:r>
        <w:rPr>
          <w:rFonts w:ascii="Times New Roman" w:eastAsia="Times New Roman" w:hAnsi="Times New Roman" w:cs="Times New Roman"/>
          <w:sz w:val="24"/>
        </w:rPr>
        <w:t xml:space="preserve">rm lanthanum oxide, which leads to a deterioration in the performance of the cathode-compensator or to its complete failure in a short period of time. </w:t>
      </w:r>
    </w:p>
    <w:p w:rsidR="0052701D" w:rsidRDefault="00D40929">
      <w:pPr>
        <w:spacing w:after="0" w:line="248" w:lineRule="auto"/>
        <w:ind w:left="9" w:right="14" w:firstLine="711"/>
        <w:jc w:val="both"/>
      </w:pPr>
      <w:r>
        <w:rPr>
          <w:rFonts w:ascii="Times New Roman" w:eastAsia="Times New Roman" w:hAnsi="Times New Roman" w:cs="Times New Roman"/>
          <w:sz w:val="24"/>
        </w:rPr>
        <w:t xml:space="preserve">In the last decades, a significant interest has been focused on the electrodeless methods of the plasma accelerating [3-5]. One of these methods is application of a magnetic nozzle. </w:t>
      </w:r>
    </w:p>
    <w:p w:rsidR="0052701D" w:rsidRDefault="00D40929">
      <w:pPr>
        <w:spacing w:after="0" w:line="248" w:lineRule="auto"/>
        <w:ind w:left="9" w:right="14" w:firstLine="711"/>
        <w:jc w:val="both"/>
      </w:pPr>
      <w:r>
        <w:rPr>
          <w:rFonts w:ascii="Times New Roman" w:eastAsia="Times New Roman" w:hAnsi="Times New Roman" w:cs="Times New Roman"/>
          <w:sz w:val="24"/>
        </w:rPr>
        <w:lastRenderedPageBreak/>
        <w:t>Plasma flowing through magnetic nozzles has been observed in many natural</w:t>
      </w:r>
      <w:r>
        <w:rPr>
          <w:rFonts w:ascii="Times New Roman" w:eastAsia="Times New Roman" w:hAnsi="Times New Roman" w:cs="Times New Roman"/>
          <w:sz w:val="24"/>
        </w:rPr>
        <w:t xml:space="preserve"> systems and is used in a variety of terrestrial applications ranging from electric propulsion to plasma processing. </w:t>
      </w:r>
    </w:p>
    <w:p w:rsidR="0052701D" w:rsidRDefault="00D40929">
      <w:pPr>
        <w:spacing w:after="0" w:line="248" w:lineRule="auto"/>
        <w:ind w:left="9" w:right="14" w:firstLine="711"/>
        <w:jc w:val="both"/>
      </w:pPr>
      <w:r>
        <w:rPr>
          <w:rFonts w:ascii="Times New Roman" w:eastAsia="Times New Roman" w:hAnsi="Times New Roman" w:cs="Times New Roman"/>
          <w:sz w:val="24"/>
        </w:rPr>
        <w:t>A magnetic nozzle, consisting of an applied convergent-divergent axysimmetric magnetic field, constitutes the main acceleration stage of s</w:t>
      </w:r>
      <w:r>
        <w:rPr>
          <w:rFonts w:ascii="Times New Roman" w:eastAsia="Times New Roman" w:hAnsi="Times New Roman" w:cs="Times New Roman"/>
          <w:sz w:val="24"/>
        </w:rPr>
        <w:t xml:space="preserve">everal advanced plasma propulsion concepts such as the Helicon Plasma Thruster [6] and the Variable Specific Impulse Magnetoplasma Rocket (VASIMR) [7]. </w:t>
      </w:r>
    </w:p>
    <w:p w:rsidR="0052701D" w:rsidRDefault="00D40929">
      <w:pPr>
        <w:spacing w:after="29" w:line="248" w:lineRule="auto"/>
        <w:ind w:left="9" w:right="14" w:firstLine="711"/>
        <w:jc w:val="both"/>
      </w:pPr>
      <w:r>
        <w:rPr>
          <w:rFonts w:ascii="Times New Roman" w:eastAsia="Times New Roman" w:hAnsi="Times New Roman" w:cs="Times New Roman"/>
          <w:sz w:val="24"/>
        </w:rPr>
        <w:t>Similar to de Laval nozzles that convert random thermal motion into directed flow, magnetic nozzles are</w:t>
      </w:r>
      <w:r>
        <w:rPr>
          <w:rFonts w:ascii="Times New Roman" w:eastAsia="Times New Roman" w:hAnsi="Times New Roman" w:cs="Times New Roman"/>
          <w:sz w:val="24"/>
        </w:rPr>
        <w:t xml:space="preserve"> used to redirect the motion and momentum of the plasma flowing through the nozzle. To this end, a magnetic nozzle can be used to improve thrust efficiency and provide a means of controlling the plume geometry and plasma energy distribution functions. </w:t>
      </w:r>
    </w:p>
    <w:p w:rsidR="0052701D" w:rsidRDefault="00D40929">
      <w:pPr>
        <w:spacing w:after="3"/>
        <w:ind w:left="725" w:hanging="10"/>
      </w:pPr>
      <w:r>
        <w:rPr>
          <w:rFonts w:ascii="Times New Roman" w:eastAsia="Times New Roman" w:hAnsi="Times New Roman" w:cs="Times New Roman"/>
          <w:b/>
          <w:i/>
        </w:rPr>
        <w:t>2.</w:t>
      </w:r>
      <w:r>
        <w:rPr>
          <w:rFonts w:ascii="Arial" w:eastAsia="Arial" w:hAnsi="Arial" w:cs="Arial"/>
          <w:b/>
          <w:i/>
        </w:rPr>
        <w:t xml:space="preserve"> </w:t>
      </w:r>
      <w:r>
        <w:rPr>
          <w:rFonts w:ascii="Times New Roman" w:eastAsia="Times New Roman" w:hAnsi="Times New Roman" w:cs="Times New Roman"/>
          <w:b/>
          <w:i/>
          <w:sz w:val="28"/>
        </w:rPr>
        <w:t xml:space="preserve">Experimental Setup </w:t>
      </w:r>
    </w:p>
    <w:p w:rsidR="0052701D" w:rsidRDefault="00D40929">
      <w:pPr>
        <w:spacing w:after="0" w:line="248" w:lineRule="auto"/>
        <w:ind w:left="9" w:right="14" w:firstLine="711"/>
        <w:jc w:val="both"/>
      </w:pPr>
      <w:r>
        <w:rPr>
          <w:rFonts w:ascii="Times New Roman" w:eastAsia="Times New Roman" w:hAnsi="Times New Roman" w:cs="Times New Roman"/>
          <w:sz w:val="24"/>
        </w:rPr>
        <w:t xml:space="preserve">The laboratory model of the Wave Plasma Thruster (WPT) consists of a quartz glass discharge chamber, with a closed end of quartz glass, 2-mm wall thickness, 16 mm in inner diameter, and a length of 100 mm. The open end of the discharge </w:t>
      </w:r>
      <w:r>
        <w:rPr>
          <w:rFonts w:ascii="Times New Roman" w:eastAsia="Times New Roman" w:hAnsi="Times New Roman" w:cs="Times New Roman"/>
          <w:sz w:val="24"/>
        </w:rPr>
        <w:t xml:space="preserve">chamber formed the collimated plasma flow. </w:t>
      </w:r>
    </w:p>
    <w:p w:rsidR="0052701D" w:rsidRDefault="00D40929">
      <w:pPr>
        <w:spacing w:after="0" w:line="248" w:lineRule="auto"/>
        <w:ind w:left="9" w:right="14" w:firstLine="711"/>
        <w:jc w:val="both"/>
      </w:pPr>
      <w:r>
        <w:rPr>
          <w:rFonts w:ascii="Times New Roman" w:eastAsia="Times New Roman" w:hAnsi="Times New Roman" w:cs="Times New Roman"/>
          <w:sz w:val="24"/>
        </w:rPr>
        <w:t xml:space="preserve">For the present experiments, the discharge chamber is positioned in line with the vacuum chamber. The solenoids produce a divergent magnetic field with an axial maximum of 200 G at </w:t>
      </w:r>
      <w:r>
        <w:rPr>
          <w:rFonts w:ascii="Times New Roman" w:eastAsia="Times New Roman" w:hAnsi="Times New Roman" w:cs="Times New Roman"/>
          <w:i/>
          <w:sz w:val="24"/>
        </w:rPr>
        <w:t>z</w:t>
      </w:r>
      <w:r>
        <w:rPr>
          <w:rFonts w:ascii="Times New Roman" w:eastAsia="Times New Roman" w:hAnsi="Times New Roman" w:cs="Times New Roman"/>
          <w:sz w:val="24"/>
        </w:rPr>
        <w:t xml:space="preserve">=0 cm that decreases to a few </w:t>
      </w:r>
      <w:r>
        <w:rPr>
          <w:rFonts w:ascii="Times New Roman" w:eastAsia="Times New Roman" w:hAnsi="Times New Roman" w:cs="Times New Roman"/>
          <w:sz w:val="24"/>
        </w:rPr>
        <w:t>gauss downstream [3]. A half turn helical antenna 8 cm long constructed from copper surrounds the discharge chamber and is attached to one of the vacuum chamber flange. The antenna is a few millimeters from the discharge chamber to minimize capacitive coup</w:t>
      </w:r>
      <w:r>
        <w:rPr>
          <w:rFonts w:ascii="Times New Roman" w:eastAsia="Times New Roman" w:hAnsi="Times New Roman" w:cs="Times New Roman"/>
          <w:sz w:val="24"/>
        </w:rPr>
        <w:t xml:space="preserve">ling and to limit thermal effects. </w:t>
      </w:r>
    </w:p>
    <w:p w:rsidR="0052701D" w:rsidRDefault="00D40929">
      <w:pPr>
        <w:spacing w:after="29" w:line="248" w:lineRule="auto"/>
        <w:ind w:left="9" w:right="14" w:firstLine="711"/>
        <w:jc w:val="both"/>
      </w:pPr>
      <w:r>
        <w:rPr>
          <w:rFonts w:ascii="Times New Roman" w:eastAsia="Times New Roman" w:hAnsi="Times New Roman" w:cs="Times New Roman"/>
          <w:sz w:val="24"/>
        </w:rPr>
        <w:t>The WPT is installed inside a nonmagnetic stainless steel vacuum chamber 0.7 m in diameter and 1 m long. The vacuum chamber allow to simulate the vacuum conditions of LEO, in which the pressures are typically less than 1</w:t>
      </w:r>
      <w:r>
        <w:rPr>
          <w:rFonts w:ascii="Times New Roman" w:eastAsia="Times New Roman" w:hAnsi="Times New Roman" w:cs="Times New Roman"/>
          <w:sz w:val="24"/>
        </w:rPr>
        <w:t>0</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xml:space="preserve"> Pa. There is a turbomolecular/rotary pumping system maintains a base pressure less than 10</w:t>
      </w:r>
      <w:r>
        <w:rPr>
          <w:rFonts w:ascii="Times New Roman" w:eastAsia="Times New Roman" w:hAnsi="Times New Roman" w:cs="Times New Roman"/>
          <w:sz w:val="24"/>
          <w:vertAlign w:val="superscript"/>
        </w:rPr>
        <w:t>-3</w:t>
      </w:r>
      <w:r>
        <w:rPr>
          <w:rFonts w:ascii="Times New Roman" w:eastAsia="Times New Roman" w:hAnsi="Times New Roman" w:cs="Times New Roman"/>
          <w:sz w:val="24"/>
        </w:rPr>
        <w:t xml:space="preserve"> Pa, and the effective pumping speed measured for air is approximately 300 l·s</w:t>
      </w:r>
      <w:r>
        <w:rPr>
          <w:rFonts w:ascii="Times New Roman" w:eastAsia="Times New Roman" w:hAnsi="Times New Roman" w:cs="Times New Roman"/>
          <w:sz w:val="24"/>
          <w:vertAlign w:val="superscript"/>
        </w:rPr>
        <w:t>-1</w:t>
      </w:r>
      <w:r>
        <w:rPr>
          <w:rFonts w:ascii="Times New Roman" w:eastAsia="Times New Roman" w:hAnsi="Times New Roman" w:cs="Times New Roman"/>
          <w:sz w:val="24"/>
        </w:rPr>
        <w:t>. At such pressures, the thermal environment of outer space can be simulated, be</w:t>
      </w:r>
      <w:r>
        <w:rPr>
          <w:rFonts w:ascii="Times New Roman" w:eastAsia="Times New Roman" w:hAnsi="Times New Roman" w:cs="Times New Roman"/>
          <w:sz w:val="24"/>
        </w:rPr>
        <w:t xml:space="preserve">cause the thermal conduction of gases is small, relative to the radiant heat transfer. The chamber pressure is measured using a MKS 220CA Baratron gauge. To control the flow of the propellant, the mass flow controller 2160B MKS is used. </w:t>
      </w:r>
    </w:p>
    <w:p w:rsidR="0052701D" w:rsidRDefault="00D40929">
      <w:pPr>
        <w:spacing w:after="0" w:line="248" w:lineRule="auto"/>
        <w:ind w:left="9" w:right="14" w:firstLine="711"/>
        <w:jc w:val="both"/>
      </w:pPr>
      <w:r>
        <w:rPr>
          <w:rFonts w:ascii="Times New Roman" w:eastAsia="Times New Roman" w:hAnsi="Times New Roman" w:cs="Times New Roman"/>
          <w:sz w:val="24"/>
        </w:rPr>
        <w:t>A RF generator &amp; m</w:t>
      </w:r>
      <w:r>
        <w:rPr>
          <w:rFonts w:ascii="Times New Roman" w:eastAsia="Times New Roman" w:hAnsi="Times New Roman" w:cs="Times New Roman"/>
          <w:sz w:val="24"/>
        </w:rPr>
        <w:t>atching network (Advanced Energy’s Cesar 1000</w:t>
      </w:r>
      <w:r>
        <w:rPr>
          <w:rFonts w:ascii="Times New Roman" w:eastAsia="Times New Roman" w:hAnsi="Times New Roman" w:cs="Times New Roman"/>
          <w:sz w:val="24"/>
          <w:vertAlign w:val="superscript"/>
        </w:rPr>
        <w:t>TM</w:t>
      </w:r>
      <w:r>
        <w:rPr>
          <w:rFonts w:ascii="Times New Roman" w:eastAsia="Times New Roman" w:hAnsi="Times New Roman" w:cs="Times New Roman"/>
          <w:sz w:val="24"/>
        </w:rPr>
        <w:t xml:space="preserve"> and Advanced Energy’s Navio</w:t>
      </w:r>
      <w:r>
        <w:rPr>
          <w:rFonts w:ascii="Times New Roman" w:eastAsia="Times New Roman" w:hAnsi="Times New Roman" w:cs="Times New Roman"/>
          <w:sz w:val="24"/>
          <w:vertAlign w:val="superscript"/>
        </w:rPr>
        <w:t>TM</w:t>
      </w:r>
      <w:r>
        <w:rPr>
          <w:rFonts w:ascii="Times New Roman" w:eastAsia="Times New Roman" w:hAnsi="Times New Roman" w:cs="Times New Roman"/>
          <w:sz w:val="24"/>
        </w:rPr>
        <w:t xml:space="preserve"> digital matching network) on the outside of the vacuum chamber is connected to the antenna of the WPT by RG-213 coaxial cable and two copper rods enclosed in a copper shield. The</w:t>
      </w:r>
      <w:r>
        <w:rPr>
          <w:rFonts w:ascii="Times New Roman" w:eastAsia="Times New Roman" w:hAnsi="Times New Roman" w:cs="Times New Roman"/>
          <w:sz w:val="24"/>
        </w:rPr>
        <w:t xml:space="preserve"> RF power (13.56 MHz) is maintained at 120 W of forward power to reduce the thermal loading on the WPT. For similar reasons, the current applied to each solenoid is limited to 2 A to avoid overheating and melting of the solenoid copper wire. </w:t>
      </w:r>
    </w:p>
    <w:p w:rsidR="0052701D" w:rsidRDefault="00D40929">
      <w:pPr>
        <w:spacing w:after="0" w:line="248" w:lineRule="auto"/>
        <w:ind w:left="9" w:right="14" w:firstLine="711"/>
        <w:jc w:val="both"/>
      </w:pPr>
      <w:r>
        <w:rPr>
          <w:rFonts w:ascii="Times New Roman" w:eastAsia="Times New Roman" w:hAnsi="Times New Roman" w:cs="Times New Roman"/>
          <w:sz w:val="24"/>
        </w:rPr>
        <w:t>To confirm WP</w:t>
      </w:r>
      <w:r>
        <w:rPr>
          <w:rFonts w:ascii="Times New Roman" w:eastAsia="Times New Roman" w:hAnsi="Times New Roman" w:cs="Times New Roman"/>
          <w:sz w:val="24"/>
        </w:rPr>
        <w:t xml:space="preserve">T characteristics, the local plasma potential and OES are measured as a function of the axial position by a retarding field energy analyzer (RFEA), Langmuir probe and OES. </w:t>
      </w:r>
    </w:p>
    <w:p w:rsidR="0052701D" w:rsidRDefault="00D40929">
      <w:pPr>
        <w:spacing w:after="0" w:line="248" w:lineRule="auto"/>
        <w:ind w:left="9" w:right="14" w:firstLine="711"/>
        <w:jc w:val="both"/>
      </w:pPr>
      <w:r>
        <w:rPr>
          <w:rFonts w:ascii="Times New Roman" w:eastAsia="Times New Roman" w:hAnsi="Times New Roman" w:cs="Times New Roman"/>
          <w:sz w:val="24"/>
        </w:rPr>
        <w:t>The RFEA is mounted on the WPT centerline by an inlet facing the WPT exhaust. The R</w:t>
      </w:r>
      <w:r>
        <w:rPr>
          <w:rFonts w:ascii="Times New Roman" w:eastAsia="Times New Roman" w:hAnsi="Times New Roman" w:cs="Times New Roman"/>
          <w:sz w:val="24"/>
        </w:rPr>
        <w:t xml:space="preserve">FEA consists of three grids and a collector plate. The plasma particles enter the analyzer through a 5-mm aperture in a 0.1-mm-thick stainless steel orifice plate. The orifice plate is in electrical contact with the analyzer housing, which is connected to </w:t>
      </w:r>
      <w:r>
        <w:rPr>
          <w:rFonts w:ascii="Times New Roman" w:eastAsia="Times New Roman" w:hAnsi="Times New Roman" w:cs="Times New Roman"/>
          <w:sz w:val="24"/>
        </w:rPr>
        <w:t>the grounded spacesimulation vacuum chamber. The voltages on the grids of the analyzer are set at -90, -20, and 10 V for the repeller grid, secondary grid, and the collector plate, respectively. The discriminator grid is located between the repeller and th</w:t>
      </w:r>
      <w:r>
        <w:rPr>
          <w:rFonts w:ascii="Times New Roman" w:eastAsia="Times New Roman" w:hAnsi="Times New Roman" w:cs="Times New Roman"/>
          <w:sz w:val="24"/>
        </w:rPr>
        <w:t>e secondary grid. The voltage applied to the repeller grid is sufficient to repel most plasma electrons during the measurements, and the small bias applied to the collector plate ensures that all ions are collected at the collector. The measured current is</w:t>
      </w:r>
      <w:r>
        <w:rPr>
          <w:rFonts w:ascii="Times New Roman" w:eastAsia="Times New Roman" w:hAnsi="Times New Roman" w:cs="Times New Roman"/>
          <w:sz w:val="24"/>
        </w:rPr>
        <w:t xml:space="preserve"> the sum of the collector current and the secondary grid current, which </w:t>
      </w:r>
      <w:r>
        <w:rPr>
          <w:rFonts w:ascii="Times New Roman" w:eastAsia="Times New Roman" w:hAnsi="Times New Roman" w:cs="Times New Roman"/>
          <w:sz w:val="24"/>
        </w:rPr>
        <w:lastRenderedPageBreak/>
        <w:t>corresponds to any secondary electrons emitted from the collector plate upon ion impact. To achieve this, the bias of the secondary grid is set to -20 V. The analyzer is used in the pl</w:t>
      </w:r>
      <w:r>
        <w:rPr>
          <w:rFonts w:ascii="Times New Roman" w:eastAsia="Times New Roman" w:hAnsi="Times New Roman" w:cs="Times New Roman"/>
          <w:sz w:val="24"/>
        </w:rPr>
        <w:t>asma potential mode only. The voltage on the discriminator grid is swept from 150 V to -150 V, in increments of 0.5 V, with 100 current measurements averaged per increment to produce a timeaveraged ion-current-vs-discriminator-voltage (</w:t>
      </w:r>
      <w:r>
        <w:rPr>
          <w:rFonts w:ascii="Times New Roman" w:eastAsia="Times New Roman" w:hAnsi="Times New Roman" w:cs="Times New Roman"/>
          <w:i/>
          <w:sz w:val="24"/>
        </w:rPr>
        <w:t>I</w:t>
      </w:r>
      <w:r>
        <w:rPr>
          <w:rFonts w:ascii="Times New Roman" w:eastAsia="Times New Roman" w:hAnsi="Times New Roman" w:cs="Times New Roman"/>
          <w:i/>
          <w:sz w:val="24"/>
          <w:vertAlign w:val="subscript"/>
        </w:rPr>
        <w:t>i</w:t>
      </w:r>
      <w:r>
        <w:rPr>
          <w:rFonts w:ascii="Times New Roman" w:eastAsia="Times New Roman" w:hAnsi="Times New Roman" w:cs="Times New Roman"/>
          <w:sz w:val="24"/>
        </w:rPr>
        <w:t>-vs-</w:t>
      </w:r>
      <w:r>
        <w:rPr>
          <w:rFonts w:ascii="Times New Roman" w:eastAsia="Times New Roman" w:hAnsi="Times New Roman" w:cs="Times New Roman"/>
          <w:i/>
          <w:sz w:val="24"/>
        </w:rPr>
        <w:t>V</w:t>
      </w:r>
      <w:r>
        <w:rPr>
          <w:rFonts w:ascii="Times New Roman" w:eastAsia="Times New Roman" w:hAnsi="Times New Roman" w:cs="Times New Roman"/>
          <w:i/>
          <w:sz w:val="24"/>
          <w:vertAlign w:val="subscript"/>
        </w:rPr>
        <w:t>dis</w:t>
      </w:r>
      <w:r>
        <w:rPr>
          <w:rFonts w:ascii="Times New Roman" w:eastAsia="Times New Roman" w:hAnsi="Times New Roman" w:cs="Times New Roman"/>
          <w:sz w:val="24"/>
        </w:rPr>
        <w:t>) curve. T</w:t>
      </w:r>
      <w:r>
        <w:rPr>
          <w:rFonts w:ascii="Times New Roman" w:eastAsia="Times New Roman" w:hAnsi="Times New Roman" w:cs="Times New Roman"/>
          <w:sz w:val="24"/>
        </w:rPr>
        <w:t xml:space="preserve">hese data are collected using a LabView data acquisition system. </w:t>
      </w:r>
    </w:p>
    <w:p w:rsidR="0052701D" w:rsidRDefault="00D40929">
      <w:pPr>
        <w:spacing w:after="0" w:line="248" w:lineRule="auto"/>
        <w:ind w:left="9" w:right="14" w:firstLine="711"/>
        <w:jc w:val="both"/>
      </w:pPr>
      <w:r>
        <w:rPr>
          <w:rFonts w:ascii="Times New Roman" w:eastAsia="Times New Roman" w:hAnsi="Times New Roman" w:cs="Times New Roman"/>
          <w:sz w:val="24"/>
        </w:rPr>
        <w:t>The Langmuire probe is mounted on the centerline of the WPT exhaust. The voltage on the bias supply is swept from -150 to 150 V, in increments of 0.5 V, with 100 current measurements average</w:t>
      </w:r>
      <w:r>
        <w:rPr>
          <w:rFonts w:ascii="Times New Roman" w:eastAsia="Times New Roman" w:hAnsi="Times New Roman" w:cs="Times New Roman"/>
          <w:sz w:val="24"/>
        </w:rPr>
        <w:t xml:space="preserve">d per increment to produce a time-averaged </w:t>
      </w:r>
      <w:r>
        <w:rPr>
          <w:rFonts w:ascii="Times New Roman" w:eastAsia="Times New Roman" w:hAnsi="Times New Roman" w:cs="Times New Roman"/>
          <w:i/>
          <w:sz w:val="24"/>
        </w:rPr>
        <w:t>I-V</w:t>
      </w:r>
      <w:r>
        <w:rPr>
          <w:rFonts w:ascii="Times New Roman" w:eastAsia="Times New Roman" w:hAnsi="Times New Roman" w:cs="Times New Roman"/>
          <w:sz w:val="24"/>
        </w:rPr>
        <w:t xml:space="preserve"> curve. These data are collected using a LabView data acquisition asystem. The local plasma potential is determined by derivative of an </w:t>
      </w:r>
      <w:r>
        <w:rPr>
          <w:rFonts w:ascii="Times New Roman" w:eastAsia="Times New Roman" w:hAnsi="Times New Roman" w:cs="Times New Roman"/>
          <w:i/>
          <w:sz w:val="24"/>
        </w:rPr>
        <w:t>I-V</w:t>
      </w:r>
      <w:r>
        <w:rPr>
          <w:rFonts w:ascii="Times New Roman" w:eastAsia="Times New Roman" w:hAnsi="Times New Roman" w:cs="Times New Roman"/>
          <w:sz w:val="24"/>
        </w:rPr>
        <w:t xml:space="preserve"> curve. In this method one should take the point where </w:t>
      </w:r>
      <w:r>
        <w:rPr>
          <w:rFonts w:ascii="Times New Roman" w:eastAsia="Times New Roman" w:hAnsi="Times New Roman" w:cs="Times New Roman"/>
          <w:i/>
          <w:sz w:val="24"/>
        </w:rPr>
        <w:t>I</w:t>
      </w:r>
      <w:r>
        <w:rPr>
          <w:rFonts w:ascii="Times New Roman" w:eastAsia="Times New Roman" w:hAnsi="Times New Roman" w:cs="Times New Roman"/>
          <w:i/>
          <w:sz w:val="24"/>
          <w:vertAlign w:val="subscript"/>
        </w:rPr>
        <w:t>e</w:t>
      </w:r>
      <w:r>
        <w:rPr>
          <w:rFonts w:ascii="Times New Roman" w:eastAsia="Times New Roman" w:hAnsi="Times New Roman" w:cs="Times New Roman"/>
          <w:sz w:val="24"/>
        </w:rPr>
        <w:t xml:space="preserve"> starts to dev</w:t>
      </w:r>
      <w:r>
        <w:rPr>
          <w:rFonts w:ascii="Times New Roman" w:eastAsia="Times New Roman" w:hAnsi="Times New Roman" w:cs="Times New Roman"/>
          <w:sz w:val="24"/>
        </w:rPr>
        <w:t xml:space="preserve">iate from exponential growth; that is, where </w:t>
      </w:r>
      <w:r>
        <w:rPr>
          <w:rFonts w:ascii="Times New Roman" w:eastAsia="Times New Roman" w:hAnsi="Times New Roman" w:cs="Times New Roman"/>
          <w:i/>
          <w:sz w:val="24"/>
        </w:rPr>
        <w:t>I</w:t>
      </w:r>
      <w:r>
        <w:rPr>
          <w:rFonts w:ascii="Times New Roman" w:eastAsia="Times New Roman" w:hAnsi="Times New Roman" w:cs="Times New Roman"/>
          <w:i/>
          <w:sz w:val="24"/>
          <w:vertAlign w:val="subscript"/>
        </w:rPr>
        <w:t>e</w:t>
      </w:r>
      <w:r>
        <w:rPr>
          <w:rFonts w:ascii="Times New Roman" w:eastAsia="Times New Roman" w:hAnsi="Times New Roman" w:cs="Times New Roman"/>
          <w:i/>
          <w:sz w:val="24"/>
        </w:rPr>
        <w:t>’</w:t>
      </w:r>
      <w:r>
        <w:rPr>
          <w:rFonts w:ascii="Times New Roman" w:eastAsia="Times New Roman" w:hAnsi="Times New Roman" w:cs="Times New Roman"/>
          <w:sz w:val="24"/>
        </w:rPr>
        <w:t>(</w:t>
      </w:r>
      <w:r>
        <w:rPr>
          <w:rFonts w:ascii="Times New Roman" w:eastAsia="Times New Roman" w:hAnsi="Times New Roman" w:cs="Times New Roman"/>
          <w:i/>
          <w:sz w:val="24"/>
        </w:rPr>
        <w:t>V</w:t>
      </w:r>
      <w:r>
        <w:rPr>
          <w:rFonts w:ascii="Times New Roman" w:eastAsia="Times New Roman" w:hAnsi="Times New Roman" w:cs="Times New Roman"/>
          <w:sz w:val="24"/>
        </w:rPr>
        <w:t xml:space="preserve">) is maximum. If </w:t>
      </w:r>
      <w:r>
        <w:rPr>
          <w:rFonts w:ascii="Times New Roman" w:eastAsia="Times New Roman" w:hAnsi="Times New Roman" w:cs="Times New Roman"/>
          <w:i/>
          <w:sz w:val="24"/>
        </w:rPr>
        <w:t>I</w:t>
      </w:r>
      <w:r>
        <w:rPr>
          <w:rFonts w:ascii="Times New Roman" w:eastAsia="Times New Roman" w:hAnsi="Times New Roman" w:cs="Times New Roman"/>
          <w:i/>
          <w:sz w:val="24"/>
          <w:vertAlign w:val="subscript"/>
        </w:rPr>
        <w:t>e</w:t>
      </w:r>
      <w:r>
        <w:rPr>
          <w:rFonts w:ascii="Times New Roman" w:eastAsia="Times New Roman" w:hAnsi="Times New Roman" w:cs="Times New Roman"/>
          <w:i/>
          <w:sz w:val="24"/>
        </w:rPr>
        <w:t>’</w:t>
      </w:r>
      <w:r>
        <w:rPr>
          <w:rFonts w:ascii="Times New Roman" w:eastAsia="Times New Roman" w:hAnsi="Times New Roman" w:cs="Times New Roman"/>
          <w:sz w:val="24"/>
        </w:rPr>
        <w:t>(</w:t>
      </w:r>
      <w:r>
        <w:rPr>
          <w:rFonts w:ascii="Times New Roman" w:eastAsia="Times New Roman" w:hAnsi="Times New Roman" w:cs="Times New Roman"/>
          <w:i/>
          <w:sz w:val="24"/>
        </w:rPr>
        <w:t>V</w:t>
      </w:r>
      <w:r>
        <w:rPr>
          <w:rFonts w:ascii="Times New Roman" w:eastAsia="Times New Roman" w:hAnsi="Times New Roman" w:cs="Times New Roman"/>
          <w:sz w:val="24"/>
        </w:rPr>
        <w:t xml:space="preserve">) has a distinct maximum, a reasonable value for </w:t>
      </w:r>
      <w:r>
        <w:rPr>
          <w:rFonts w:ascii="Times New Roman" w:eastAsia="Times New Roman" w:hAnsi="Times New Roman" w:cs="Times New Roman"/>
          <w:i/>
          <w:sz w:val="24"/>
        </w:rPr>
        <w:t>V</w:t>
      </w:r>
      <w:r>
        <w:rPr>
          <w:rFonts w:ascii="Times New Roman" w:eastAsia="Times New Roman" w:hAnsi="Times New Roman" w:cs="Times New Roman"/>
          <w:i/>
          <w:sz w:val="24"/>
          <w:vertAlign w:val="subscript"/>
        </w:rPr>
        <w:t>s</w:t>
      </w:r>
      <w:r>
        <w:rPr>
          <w:rFonts w:ascii="Times New Roman" w:eastAsia="Times New Roman" w:hAnsi="Times New Roman" w:cs="Times New Roman"/>
          <w:i/>
          <w:sz w:val="24"/>
        </w:rPr>
        <w:t xml:space="preserve"> </w:t>
      </w:r>
      <w:r>
        <w:rPr>
          <w:rFonts w:ascii="Times New Roman" w:eastAsia="Times New Roman" w:hAnsi="Times New Roman" w:cs="Times New Roman"/>
          <w:sz w:val="24"/>
        </w:rPr>
        <w:t xml:space="preserve">is obtained.  </w:t>
      </w:r>
    </w:p>
    <w:p w:rsidR="0052701D" w:rsidRDefault="00D40929">
      <w:pPr>
        <w:spacing w:after="0" w:line="248" w:lineRule="auto"/>
        <w:ind w:left="9" w:right="14" w:firstLine="711"/>
        <w:jc w:val="both"/>
      </w:pPr>
      <w:r>
        <w:rPr>
          <w:rFonts w:ascii="Times New Roman" w:eastAsia="Times New Roman" w:hAnsi="Times New Roman" w:cs="Times New Roman"/>
          <w:sz w:val="24"/>
        </w:rPr>
        <w:t>For OES diagnostic we placed light guide of spectrometer (Solar LS S-100) radially to the axis of the thruster in the</w:t>
      </w:r>
      <w:r>
        <w:rPr>
          <w:rFonts w:ascii="Times New Roman" w:eastAsia="Times New Roman" w:hAnsi="Times New Roman" w:cs="Times New Roman"/>
          <w:sz w:val="24"/>
        </w:rPr>
        <w:t xml:space="preserve"> gap between magnetic coil and quartz tube. Axial movement was carried out using a guide into the vacuum camera. Distance between the light guide and the center of quartz tube was 21 cm. </w:t>
      </w:r>
      <w:r>
        <w:rPr>
          <w:rFonts w:ascii="Times New Roman" w:eastAsia="Times New Roman" w:hAnsi="Times New Roman" w:cs="Times New Roman"/>
          <w:b/>
          <w:i/>
        </w:rPr>
        <w:t>3.</w:t>
      </w:r>
      <w:r>
        <w:rPr>
          <w:rFonts w:ascii="Arial" w:eastAsia="Arial" w:hAnsi="Arial" w:cs="Arial"/>
          <w:b/>
          <w:i/>
        </w:rPr>
        <w:t xml:space="preserve"> </w:t>
      </w:r>
      <w:r>
        <w:rPr>
          <w:rFonts w:ascii="Times New Roman" w:eastAsia="Times New Roman" w:hAnsi="Times New Roman" w:cs="Times New Roman"/>
          <w:b/>
          <w:i/>
          <w:sz w:val="28"/>
        </w:rPr>
        <w:t xml:space="preserve">OES diagnostic </w:t>
      </w:r>
    </w:p>
    <w:p w:rsidR="0052701D" w:rsidRDefault="00D40929">
      <w:pPr>
        <w:spacing w:after="0" w:line="248" w:lineRule="auto"/>
        <w:ind w:left="9" w:right="14" w:firstLine="711"/>
        <w:jc w:val="both"/>
      </w:pPr>
      <w:r>
        <w:rPr>
          <w:rFonts w:ascii="Times New Roman" w:eastAsia="Times New Roman" w:hAnsi="Times New Roman" w:cs="Times New Roman"/>
          <w:sz w:val="24"/>
        </w:rPr>
        <w:t xml:space="preserve">There are a lot of models for obtaining plasma parameters from emission spectra. In this study we use a simplified version of our argon collisional-radiative model (CRM) developed earlier [8]. Here we give a brief description of this model.  </w:t>
      </w:r>
    </w:p>
    <w:p w:rsidR="0052701D" w:rsidRDefault="00D40929">
      <w:pPr>
        <w:spacing w:after="0" w:line="248" w:lineRule="auto"/>
        <w:ind w:left="9" w:right="14" w:firstLine="711"/>
        <w:jc w:val="both"/>
      </w:pPr>
      <w:r>
        <w:rPr>
          <w:rFonts w:ascii="Times New Roman" w:eastAsia="Times New Roman" w:hAnsi="Times New Roman" w:cs="Times New Roman"/>
          <w:sz w:val="24"/>
        </w:rPr>
        <w:t>Each CRM mode</w:t>
      </w:r>
      <w:r>
        <w:rPr>
          <w:rFonts w:ascii="Times New Roman" w:eastAsia="Times New Roman" w:hAnsi="Times New Roman" w:cs="Times New Roman"/>
          <w:sz w:val="24"/>
        </w:rPr>
        <w:t>l is based on one principle: numerical calculation of spectra for chosen plasma parameters (electron temperature and plasma density) and comparison between calculated and experimental spectra. Seeking for best match between calculated and experimental spec</w:t>
      </w:r>
      <w:r>
        <w:rPr>
          <w:rFonts w:ascii="Times New Roman" w:eastAsia="Times New Roman" w:hAnsi="Times New Roman" w:cs="Times New Roman"/>
          <w:sz w:val="24"/>
        </w:rPr>
        <w:t xml:space="preserve">tra one can get corresponding plasma parameters. </w:t>
      </w:r>
    </w:p>
    <w:p w:rsidR="0052701D" w:rsidRDefault="00D40929">
      <w:pPr>
        <w:spacing w:after="0" w:line="248" w:lineRule="auto"/>
        <w:ind w:left="9" w:right="14" w:firstLine="711"/>
        <w:jc w:val="both"/>
      </w:pPr>
      <w:r>
        <w:rPr>
          <w:rFonts w:ascii="Times New Roman" w:eastAsia="Times New Roman" w:hAnsi="Times New Roman" w:cs="Times New Roman"/>
          <w:sz w:val="24"/>
        </w:rPr>
        <w:t xml:space="preserve">CRM model is based on two main type of equations: line intensity and balance equations. An intensity of the spectral line corresponding to the optical transition from upper level </w:t>
      </w:r>
      <w:r>
        <w:rPr>
          <w:rFonts w:ascii="Times New Roman" w:eastAsia="Times New Roman" w:hAnsi="Times New Roman" w:cs="Times New Roman"/>
          <w:i/>
          <w:sz w:val="24"/>
        </w:rPr>
        <w:t xml:space="preserve">i </w:t>
      </w:r>
      <w:r>
        <w:rPr>
          <w:rFonts w:ascii="Times New Roman" w:eastAsia="Times New Roman" w:hAnsi="Times New Roman" w:cs="Times New Roman"/>
          <w:sz w:val="24"/>
        </w:rPr>
        <w:t>to lower level</w:t>
      </w:r>
      <w:r>
        <w:rPr>
          <w:rFonts w:ascii="Times New Roman" w:eastAsia="Times New Roman" w:hAnsi="Times New Roman" w:cs="Times New Roman"/>
          <w:i/>
          <w:sz w:val="24"/>
        </w:rPr>
        <w:t xml:space="preserve"> j</w:t>
      </w:r>
      <w:r>
        <w:rPr>
          <w:rFonts w:ascii="Times New Roman" w:eastAsia="Times New Roman" w:hAnsi="Times New Roman" w:cs="Times New Roman"/>
          <w:sz w:val="24"/>
        </w:rPr>
        <w:t>, as foll</w:t>
      </w:r>
      <w:r>
        <w:rPr>
          <w:rFonts w:ascii="Times New Roman" w:eastAsia="Times New Roman" w:hAnsi="Times New Roman" w:cs="Times New Roman"/>
          <w:sz w:val="24"/>
        </w:rPr>
        <w:t xml:space="preserve">ows: </w:t>
      </w:r>
    </w:p>
    <w:p w:rsidR="0052701D" w:rsidRDefault="00D40929">
      <w:pPr>
        <w:tabs>
          <w:tab w:val="center" w:pos="4336"/>
          <w:tab w:val="right" w:pos="9081"/>
        </w:tabs>
        <w:spacing w:after="117"/>
      </w:pPr>
      <w:r>
        <w:tab/>
      </w:r>
      <w:r>
        <w:rPr>
          <w:noProof/>
        </w:rPr>
        <w:drawing>
          <wp:inline distT="0" distB="0" distL="0" distR="0">
            <wp:extent cx="1179576" cy="381000"/>
            <wp:effectExtent l="0" t="0" r="0" b="0"/>
            <wp:docPr id="1048777" name="Picture 1048777"/>
            <wp:cNvGraphicFramePr/>
            <a:graphic xmlns:a="http://schemas.openxmlformats.org/drawingml/2006/main">
              <a:graphicData uri="http://schemas.openxmlformats.org/drawingml/2006/picture">
                <pic:pic xmlns:pic="http://schemas.openxmlformats.org/drawingml/2006/picture">
                  <pic:nvPicPr>
                    <pic:cNvPr id="1048777" name="Picture 1048777"/>
                    <pic:cNvPicPr/>
                  </pic:nvPicPr>
                  <pic:blipFill>
                    <a:blip r:embed="rId613"/>
                    <a:stretch>
                      <a:fillRect/>
                    </a:stretch>
                  </pic:blipFill>
                  <pic:spPr>
                    <a:xfrm>
                      <a:off x="0" y="0"/>
                      <a:ext cx="1179576" cy="381000"/>
                    </a:xfrm>
                    <a:prstGeom prst="rect">
                      <a:avLst/>
                    </a:prstGeom>
                  </pic:spPr>
                </pic:pic>
              </a:graphicData>
            </a:graphic>
          </wp:inline>
        </w:drawing>
      </w:r>
      <w:r>
        <w:rPr>
          <w:rFonts w:ascii="Times New Roman" w:eastAsia="Times New Roman" w:hAnsi="Times New Roman" w:cs="Times New Roman"/>
          <w:color w:val="222222"/>
          <w:sz w:val="24"/>
        </w:rPr>
        <w:t xml:space="preserve"> </w:t>
      </w:r>
      <w:r>
        <w:rPr>
          <w:rFonts w:ascii="Times New Roman" w:eastAsia="Times New Roman" w:hAnsi="Times New Roman" w:cs="Times New Roman"/>
          <w:color w:val="222222"/>
          <w:sz w:val="24"/>
        </w:rPr>
        <w:tab/>
        <w:t xml:space="preserve">(1) </w:t>
      </w:r>
    </w:p>
    <w:p w:rsidR="0052701D" w:rsidRDefault="00D40929">
      <w:pPr>
        <w:spacing w:after="0" w:line="248" w:lineRule="auto"/>
        <w:ind w:left="9" w:right="14"/>
        <w:jc w:val="both"/>
      </w:pPr>
      <w:r>
        <w:rPr>
          <w:rFonts w:ascii="Times New Roman" w:eastAsia="Times New Roman" w:hAnsi="Times New Roman" w:cs="Times New Roman"/>
          <w:sz w:val="24"/>
        </w:rPr>
        <w:t xml:space="preserve">where η – escape factor, </w:t>
      </w:r>
      <w:r>
        <w:rPr>
          <w:rFonts w:ascii="Times New Roman" w:eastAsia="Times New Roman" w:hAnsi="Times New Roman" w:cs="Times New Roman"/>
          <w:i/>
          <w:sz w:val="24"/>
        </w:rPr>
        <w:t>A</w:t>
      </w:r>
      <w:r>
        <w:rPr>
          <w:rFonts w:ascii="Times New Roman" w:eastAsia="Times New Roman" w:hAnsi="Times New Roman" w:cs="Times New Roman"/>
          <w:i/>
          <w:sz w:val="24"/>
          <w:vertAlign w:val="subscript"/>
        </w:rPr>
        <w:t>ij</w:t>
      </w:r>
      <w:r>
        <w:rPr>
          <w:rFonts w:ascii="Times New Roman" w:eastAsia="Times New Roman" w:hAnsi="Times New Roman" w:cs="Times New Roman"/>
          <w:sz w:val="24"/>
        </w:rPr>
        <w:t xml:space="preserve"> – Einstein coefficient, </w:t>
      </w:r>
      <w:r>
        <w:rPr>
          <w:rFonts w:ascii="Times New Roman" w:eastAsia="Times New Roman" w:hAnsi="Times New Roman" w:cs="Times New Roman"/>
          <w:i/>
          <w:sz w:val="24"/>
        </w:rPr>
        <w:t>n</w:t>
      </w:r>
      <w:r>
        <w:rPr>
          <w:rFonts w:ascii="Times New Roman" w:eastAsia="Times New Roman" w:hAnsi="Times New Roman" w:cs="Times New Roman"/>
          <w:i/>
          <w:sz w:val="24"/>
          <w:vertAlign w:val="subscript"/>
        </w:rPr>
        <w:t>j</w:t>
      </w:r>
      <w:r>
        <w:rPr>
          <w:rFonts w:ascii="Times New Roman" w:eastAsia="Times New Roman" w:hAnsi="Times New Roman" w:cs="Times New Roman"/>
          <w:sz w:val="24"/>
        </w:rPr>
        <w:t xml:space="preserve"> – population density of the excited state, the coefficient </w:t>
      </w:r>
      <w:r>
        <w:rPr>
          <w:rFonts w:ascii="Times New Roman" w:eastAsia="Times New Roman" w:hAnsi="Times New Roman" w:cs="Times New Roman"/>
          <w:i/>
          <w:sz w:val="24"/>
        </w:rPr>
        <w:t>C</w:t>
      </w:r>
      <w:r>
        <w:rPr>
          <w:rFonts w:ascii="Times New Roman" w:eastAsia="Times New Roman" w:hAnsi="Times New Roman" w:cs="Times New Roman"/>
          <w:sz w:val="24"/>
        </w:rPr>
        <w:t xml:space="preserve"> is the same for all lines. </w:t>
      </w:r>
    </w:p>
    <w:p w:rsidR="0052701D" w:rsidRDefault="00D40929">
      <w:pPr>
        <w:spacing w:after="115" w:line="248" w:lineRule="auto"/>
        <w:ind w:left="706" w:right="14"/>
        <w:jc w:val="both"/>
      </w:pPr>
      <w:r>
        <w:rPr>
          <w:rFonts w:ascii="Times New Roman" w:eastAsia="Times New Roman" w:hAnsi="Times New Roman" w:cs="Times New Roman"/>
          <w:sz w:val="24"/>
        </w:rPr>
        <w:t xml:space="preserve">Mewe [9] introduced the empirical formula for escape factor: </w:t>
      </w:r>
    </w:p>
    <w:p w:rsidR="0052701D" w:rsidRDefault="00D40929">
      <w:pPr>
        <w:tabs>
          <w:tab w:val="center" w:pos="4321"/>
          <w:tab w:val="right" w:pos="9081"/>
        </w:tabs>
        <w:spacing w:after="113"/>
      </w:pPr>
      <w:r>
        <w:tab/>
      </w:r>
      <w:r>
        <w:rPr>
          <w:noProof/>
        </w:rPr>
        <w:drawing>
          <wp:inline distT="0" distB="0" distL="0" distR="0">
            <wp:extent cx="1679448" cy="381000"/>
            <wp:effectExtent l="0" t="0" r="0" b="0"/>
            <wp:docPr id="1048778" name="Picture 1048778"/>
            <wp:cNvGraphicFramePr/>
            <a:graphic xmlns:a="http://schemas.openxmlformats.org/drawingml/2006/main">
              <a:graphicData uri="http://schemas.openxmlformats.org/drawingml/2006/picture">
                <pic:pic xmlns:pic="http://schemas.openxmlformats.org/drawingml/2006/picture">
                  <pic:nvPicPr>
                    <pic:cNvPr id="1048778" name="Picture 1048778"/>
                    <pic:cNvPicPr/>
                  </pic:nvPicPr>
                  <pic:blipFill>
                    <a:blip r:embed="rId614"/>
                    <a:stretch>
                      <a:fillRect/>
                    </a:stretch>
                  </pic:blipFill>
                  <pic:spPr>
                    <a:xfrm>
                      <a:off x="0" y="0"/>
                      <a:ext cx="1679448" cy="381000"/>
                    </a:xfrm>
                    <a:prstGeom prst="rect">
                      <a:avLst/>
                    </a:prstGeom>
                  </pic:spPr>
                </pic:pic>
              </a:graphicData>
            </a:graphic>
          </wp:inline>
        </w:drawing>
      </w:r>
      <w:r>
        <w:rPr>
          <w:rFonts w:ascii="Times New Roman" w:eastAsia="Times New Roman" w:hAnsi="Times New Roman" w:cs="Times New Roman"/>
          <w:color w:val="222222"/>
          <w:sz w:val="24"/>
        </w:rPr>
        <w:t xml:space="preserve"> </w:t>
      </w:r>
      <w:r>
        <w:rPr>
          <w:rFonts w:ascii="Times New Roman" w:eastAsia="Times New Roman" w:hAnsi="Times New Roman" w:cs="Times New Roman"/>
          <w:color w:val="222222"/>
          <w:sz w:val="24"/>
        </w:rPr>
        <w:tab/>
        <w:t xml:space="preserve">(2) </w:t>
      </w:r>
    </w:p>
    <w:p w:rsidR="0052701D" w:rsidRDefault="00D40929">
      <w:pPr>
        <w:spacing w:after="101" w:line="248" w:lineRule="auto"/>
        <w:ind w:left="-5" w:right="3" w:hanging="10"/>
        <w:jc w:val="both"/>
      </w:pPr>
      <w:r>
        <w:rPr>
          <w:rFonts w:ascii="Times New Roman" w:eastAsia="Times New Roman" w:hAnsi="Times New Roman" w:cs="Times New Roman"/>
          <w:color w:val="222222"/>
          <w:sz w:val="24"/>
        </w:rPr>
        <w:t xml:space="preserve">where </w:t>
      </w:r>
      <w:r>
        <w:rPr>
          <w:rFonts w:ascii="Times New Roman" w:eastAsia="Times New Roman" w:hAnsi="Times New Roman" w:cs="Times New Roman"/>
          <w:i/>
          <w:color w:val="222222"/>
          <w:sz w:val="24"/>
        </w:rPr>
        <w:t>k</w:t>
      </w:r>
      <w:r>
        <w:rPr>
          <w:rFonts w:ascii="Times New Roman" w:eastAsia="Times New Roman" w:hAnsi="Times New Roman" w:cs="Times New Roman"/>
          <w:color w:val="222222"/>
          <w:sz w:val="24"/>
          <w:vertAlign w:val="subscript"/>
        </w:rPr>
        <w:t>0</w:t>
      </w:r>
      <w:r>
        <w:rPr>
          <w:rFonts w:ascii="Times New Roman" w:eastAsia="Times New Roman" w:hAnsi="Times New Roman" w:cs="Times New Roman"/>
          <w:color w:val="222222"/>
          <w:sz w:val="24"/>
        </w:rPr>
        <w:t xml:space="preserve"> – </w:t>
      </w:r>
      <w:r>
        <w:rPr>
          <w:rFonts w:ascii="Times New Roman" w:eastAsia="Times New Roman" w:hAnsi="Times New Roman" w:cs="Times New Roman"/>
          <w:color w:val="222222"/>
          <w:sz w:val="24"/>
        </w:rPr>
        <w:t xml:space="preserve">absorption coefficient, </w:t>
      </w:r>
      <w:r>
        <w:rPr>
          <w:rFonts w:ascii="Times New Roman" w:eastAsia="Times New Roman" w:hAnsi="Times New Roman" w:cs="Times New Roman"/>
          <w:i/>
          <w:color w:val="222222"/>
          <w:sz w:val="24"/>
        </w:rPr>
        <w:t>R</w:t>
      </w:r>
      <w:r>
        <w:rPr>
          <w:rFonts w:ascii="Times New Roman" w:eastAsia="Times New Roman" w:hAnsi="Times New Roman" w:cs="Times New Roman"/>
          <w:color w:val="222222"/>
          <w:sz w:val="24"/>
        </w:rPr>
        <w:t xml:space="preserve"> – plasma typical length; </w:t>
      </w:r>
    </w:p>
    <w:p w:rsidR="0052701D" w:rsidRDefault="00D40929">
      <w:pPr>
        <w:tabs>
          <w:tab w:val="center" w:pos="4339"/>
          <w:tab w:val="right" w:pos="9081"/>
        </w:tabs>
        <w:spacing w:after="125"/>
      </w:pPr>
      <w:r>
        <w:tab/>
      </w:r>
      <w:r>
        <w:rPr>
          <w:noProof/>
        </w:rPr>
        <w:drawing>
          <wp:inline distT="0" distB="0" distL="0" distR="0">
            <wp:extent cx="1749552" cy="515112"/>
            <wp:effectExtent l="0" t="0" r="0" b="0"/>
            <wp:docPr id="1048779" name="Picture 1048779"/>
            <wp:cNvGraphicFramePr/>
            <a:graphic xmlns:a="http://schemas.openxmlformats.org/drawingml/2006/main">
              <a:graphicData uri="http://schemas.openxmlformats.org/drawingml/2006/picture">
                <pic:pic xmlns:pic="http://schemas.openxmlformats.org/drawingml/2006/picture">
                  <pic:nvPicPr>
                    <pic:cNvPr id="1048779" name="Picture 1048779"/>
                    <pic:cNvPicPr/>
                  </pic:nvPicPr>
                  <pic:blipFill>
                    <a:blip r:embed="rId615"/>
                    <a:stretch>
                      <a:fillRect/>
                    </a:stretch>
                  </pic:blipFill>
                  <pic:spPr>
                    <a:xfrm>
                      <a:off x="0" y="0"/>
                      <a:ext cx="1749552" cy="515112"/>
                    </a:xfrm>
                    <a:prstGeom prst="rect">
                      <a:avLst/>
                    </a:prstGeom>
                  </pic:spPr>
                </pic:pic>
              </a:graphicData>
            </a:graphic>
          </wp:inline>
        </w:drawing>
      </w:r>
      <w:r>
        <w:rPr>
          <w:rFonts w:ascii="Times New Roman" w:eastAsia="Times New Roman" w:hAnsi="Times New Roman" w:cs="Times New Roman"/>
          <w:color w:val="222222"/>
          <w:sz w:val="24"/>
        </w:rPr>
        <w:t xml:space="preserve"> </w:t>
      </w:r>
      <w:r>
        <w:rPr>
          <w:rFonts w:ascii="Times New Roman" w:eastAsia="Times New Roman" w:hAnsi="Times New Roman" w:cs="Times New Roman"/>
          <w:color w:val="222222"/>
          <w:sz w:val="24"/>
        </w:rPr>
        <w:tab/>
        <w:t xml:space="preserve">(3) </w:t>
      </w:r>
    </w:p>
    <w:p w:rsidR="0052701D" w:rsidRDefault="00D40929">
      <w:pPr>
        <w:spacing w:after="0" w:line="248" w:lineRule="auto"/>
        <w:ind w:left="-5" w:right="3" w:hanging="10"/>
        <w:jc w:val="both"/>
      </w:pPr>
      <w:r>
        <w:rPr>
          <w:rFonts w:ascii="Times New Roman" w:eastAsia="Times New Roman" w:hAnsi="Times New Roman" w:cs="Times New Roman"/>
          <w:color w:val="222222"/>
          <w:sz w:val="24"/>
        </w:rPr>
        <w:t xml:space="preserve">where </w:t>
      </w:r>
      <w:r>
        <w:rPr>
          <w:rFonts w:ascii="Times New Roman" w:eastAsia="Times New Roman" w:hAnsi="Times New Roman" w:cs="Times New Roman"/>
          <w:i/>
          <w:color w:val="222222"/>
          <w:sz w:val="24"/>
        </w:rPr>
        <w:t>g</w:t>
      </w:r>
      <w:r>
        <w:rPr>
          <w:rFonts w:ascii="Times New Roman" w:eastAsia="Times New Roman" w:hAnsi="Times New Roman" w:cs="Times New Roman"/>
          <w:color w:val="222222"/>
          <w:sz w:val="24"/>
        </w:rPr>
        <w:t xml:space="preserve"> – statistical weight of state, λ – transition wavelength, </w:t>
      </w:r>
      <w:r>
        <w:rPr>
          <w:rFonts w:ascii="Times New Roman" w:eastAsia="Times New Roman" w:hAnsi="Times New Roman" w:cs="Times New Roman"/>
          <w:i/>
          <w:color w:val="222222"/>
          <w:sz w:val="24"/>
        </w:rPr>
        <w:t>k</w:t>
      </w:r>
      <w:r>
        <w:rPr>
          <w:rFonts w:ascii="Times New Roman" w:eastAsia="Times New Roman" w:hAnsi="Times New Roman" w:cs="Times New Roman"/>
          <w:i/>
          <w:color w:val="222222"/>
          <w:sz w:val="24"/>
          <w:vertAlign w:val="subscript"/>
        </w:rPr>
        <w:t>B</w:t>
      </w:r>
      <w:r>
        <w:rPr>
          <w:rFonts w:ascii="Times New Roman" w:eastAsia="Times New Roman" w:hAnsi="Times New Roman" w:cs="Times New Roman"/>
          <w:color w:val="222222"/>
          <w:sz w:val="24"/>
        </w:rPr>
        <w:t xml:space="preserve"> – Boltzmann constant, </w:t>
      </w:r>
      <w:r>
        <w:rPr>
          <w:rFonts w:ascii="Times New Roman" w:eastAsia="Times New Roman" w:hAnsi="Times New Roman" w:cs="Times New Roman"/>
          <w:i/>
          <w:color w:val="222222"/>
          <w:sz w:val="24"/>
        </w:rPr>
        <w:t>T</w:t>
      </w:r>
      <w:r>
        <w:rPr>
          <w:rFonts w:ascii="Times New Roman" w:eastAsia="Times New Roman" w:hAnsi="Times New Roman" w:cs="Times New Roman"/>
          <w:i/>
          <w:color w:val="222222"/>
          <w:sz w:val="24"/>
          <w:vertAlign w:val="subscript"/>
        </w:rPr>
        <w:t>g</w:t>
      </w:r>
      <w:r>
        <w:rPr>
          <w:rFonts w:ascii="Times New Roman" w:eastAsia="Times New Roman" w:hAnsi="Times New Roman" w:cs="Times New Roman"/>
          <w:i/>
          <w:color w:val="222222"/>
          <w:sz w:val="24"/>
        </w:rPr>
        <w:t xml:space="preserve"> </w:t>
      </w:r>
      <w:r>
        <w:rPr>
          <w:rFonts w:ascii="Times New Roman" w:eastAsia="Times New Roman" w:hAnsi="Times New Roman" w:cs="Times New Roman"/>
          <w:color w:val="222222"/>
          <w:sz w:val="24"/>
        </w:rPr>
        <w:t xml:space="preserve">– gas temperature, </w:t>
      </w:r>
      <w:r>
        <w:rPr>
          <w:rFonts w:ascii="Times New Roman" w:eastAsia="Times New Roman" w:hAnsi="Times New Roman" w:cs="Times New Roman"/>
          <w:i/>
          <w:color w:val="222222"/>
          <w:sz w:val="24"/>
        </w:rPr>
        <w:t>m</w:t>
      </w:r>
      <w:r>
        <w:rPr>
          <w:rFonts w:ascii="Times New Roman" w:eastAsia="Times New Roman" w:hAnsi="Times New Roman" w:cs="Times New Roman"/>
          <w:i/>
          <w:color w:val="222222"/>
          <w:sz w:val="24"/>
          <w:vertAlign w:val="subscript"/>
        </w:rPr>
        <w:t>A</w:t>
      </w:r>
      <w:r>
        <w:rPr>
          <w:rFonts w:ascii="Times New Roman" w:eastAsia="Times New Roman" w:hAnsi="Times New Roman" w:cs="Times New Roman"/>
          <w:color w:val="222222"/>
          <w:sz w:val="24"/>
          <w:vertAlign w:val="subscript"/>
        </w:rPr>
        <w:t xml:space="preserve"> </w:t>
      </w:r>
      <w:r>
        <w:rPr>
          <w:rFonts w:ascii="Times New Roman" w:eastAsia="Times New Roman" w:hAnsi="Times New Roman" w:cs="Times New Roman"/>
          <w:color w:val="222222"/>
          <w:sz w:val="24"/>
        </w:rPr>
        <w:t xml:space="preserve">– gas molar mass. </w:t>
      </w:r>
    </w:p>
    <w:p w:rsidR="0052701D" w:rsidRDefault="00D40929">
      <w:pPr>
        <w:spacing w:after="0" w:line="248" w:lineRule="auto"/>
        <w:ind w:left="-15" w:right="3" w:firstLine="706"/>
        <w:jc w:val="both"/>
      </w:pPr>
      <w:r>
        <w:rPr>
          <w:rFonts w:ascii="Times New Roman" w:eastAsia="Times New Roman" w:hAnsi="Times New Roman" w:cs="Times New Roman"/>
          <w:color w:val="222222"/>
          <w:sz w:val="24"/>
        </w:rPr>
        <w:t xml:space="preserve">Balance equation describes all the processes that occur at the certain level. Table 1 presents list of processes included in the balance equations 1. </w:t>
      </w:r>
    </w:p>
    <w:p w:rsidR="0052701D" w:rsidRDefault="00D40929">
      <w:pPr>
        <w:spacing w:after="0" w:line="248" w:lineRule="auto"/>
        <w:ind w:left="-15" w:right="3" w:firstLine="706"/>
        <w:jc w:val="both"/>
      </w:pPr>
      <w:r>
        <w:rPr>
          <w:rFonts w:ascii="Times New Roman" w:eastAsia="Times New Roman" w:hAnsi="Times New Roman" w:cs="Times New Roman"/>
          <w:color w:val="222222"/>
          <w:sz w:val="24"/>
        </w:rPr>
        <w:t>Implementation of CRM requires solving of significant number of such balance equations. Some additional p</w:t>
      </w:r>
      <w:r>
        <w:rPr>
          <w:rFonts w:ascii="Times New Roman" w:eastAsia="Times New Roman" w:hAnsi="Times New Roman" w:cs="Times New Roman"/>
          <w:color w:val="222222"/>
          <w:sz w:val="24"/>
        </w:rPr>
        <w:t xml:space="preserve">roblems appear when calculating all described variables for processes at each level. To simplify calculation process, we can choose only two lines that strongly depend on electron temperature. In our work we use two ArI lines with wavelengths </w:t>
      </w:r>
      <w:r>
        <w:rPr>
          <w:rFonts w:ascii="Cambria Math" w:eastAsia="Cambria Math" w:hAnsi="Cambria Math" w:cs="Cambria Math"/>
          <w:sz w:val="24"/>
        </w:rPr>
        <w:lastRenderedPageBreak/>
        <w:t>𝜆</w:t>
      </w:r>
      <w:r>
        <w:rPr>
          <w:rFonts w:ascii="Cambria Math" w:eastAsia="Cambria Math" w:hAnsi="Cambria Math" w:cs="Cambria Math"/>
          <w:color w:val="222222"/>
          <w:sz w:val="24"/>
          <w:vertAlign w:val="subscript"/>
        </w:rPr>
        <w:t>811</w:t>
      </w:r>
      <w:r>
        <w:rPr>
          <w:rFonts w:ascii="Times New Roman" w:eastAsia="Times New Roman" w:hAnsi="Times New Roman" w:cs="Times New Roman"/>
          <w:color w:val="222222"/>
          <w:sz w:val="24"/>
        </w:rPr>
        <w:t>= 811 nm</w:t>
      </w:r>
      <w:r>
        <w:rPr>
          <w:rFonts w:ascii="Times New Roman" w:eastAsia="Times New Roman" w:hAnsi="Times New Roman" w:cs="Times New Roman"/>
          <w:color w:val="222222"/>
          <w:sz w:val="24"/>
        </w:rPr>
        <w:t xml:space="preserve">, </w:t>
      </w:r>
      <w:r>
        <w:rPr>
          <w:rFonts w:ascii="Cambria Math" w:eastAsia="Cambria Math" w:hAnsi="Cambria Math" w:cs="Cambria Math"/>
          <w:sz w:val="24"/>
        </w:rPr>
        <w:t>𝜆</w:t>
      </w:r>
      <w:r>
        <w:rPr>
          <w:rFonts w:ascii="Cambria Math" w:eastAsia="Cambria Math" w:hAnsi="Cambria Math" w:cs="Cambria Math"/>
          <w:color w:val="222222"/>
          <w:sz w:val="24"/>
          <w:vertAlign w:val="subscript"/>
        </w:rPr>
        <w:t>750</w:t>
      </w:r>
      <w:r>
        <w:rPr>
          <w:rFonts w:ascii="Times New Roman" w:eastAsia="Times New Roman" w:hAnsi="Times New Roman" w:cs="Times New Roman"/>
          <w:color w:val="222222"/>
          <w:sz w:val="24"/>
        </w:rPr>
        <w:t>= 750 nm. Transitions from level 4p[5/2]</w:t>
      </w:r>
      <w:r>
        <w:rPr>
          <w:rFonts w:ascii="Times New Roman" w:eastAsia="Times New Roman" w:hAnsi="Times New Roman" w:cs="Times New Roman"/>
          <w:color w:val="222222"/>
          <w:sz w:val="24"/>
          <w:vertAlign w:val="subscript"/>
        </w:rPr>
        <w:t>3</w:t>
      </w:r>
      <w:r>
        <w:rPr>
          <w:rFonts w:ascii="Times New Roman" w:eastAsia="Times New Roman" w:hAnsi="Times New Roman" w:cs="Times New Roman"/>
          <w:color w:val="222222"/>
          <w:sz w:val="24"/>
        </w:rPr>
        <w:t xml:space="preserve"> to 4s[3/2]</w:t>
      </w:r>
      <w:r>
        <w:rPr>
          <w:rFonts w:ascii="Times New Roman" w:eastAsia="Times New Roman" w:hAnsi="Times New Roman" w:cs="Times New Roman"/>
          <w:color w:val="222222"/>
          <w:sz w:val="24"/>
          <w:vertAlign w:val="subscript"/>
        </w:rPr>
        <w:t>2</w:t>
      </w:r>
      <w:r>
        <w:rPr>
          <w:rFonts w:ascii="Times New Roman" w:eastAsia="Times New Roman" w:hAnsi="Times New Roman" w:cs="Times New Roman"/>
          <w:color w:val="222222"/>
          <w:sz w:val="24"/>
        </w:rPr>
        <w:t xml:space="preserve"> and from 4p′[1/2]</w:t>
      </w:r>
      <w:r>
        <w:rPr>
          <w:rFonts w:ascii="Times New Roman" w:eastAsia="Times New Roman" w:hAnsi="Times New Roman" w:cs="Times New Roman"/>
          <w:color w:val="222222"/>
          <w:sz w:val="24"/>
          <w:vertAlign w:val="subscript"/>
        </w:rPr>
        <w:t>0</w:t>
      </w:r>
      <w:r>
        <w:rPr>
          <w:rFonts w:ascii="Times New Roman" w:eastAsia="Times New Roman" w:hAnsi="Times New Roman" w:cs="Times New Roman"/>
          <w:color w:val="222222"/>
          <w:sz w:val="24"/>
        </w:rPr>
        <w:t xml:space="preserve"> to 4s[1/2]</w:t>
      </w:r>
      <w:r>
        <w:rPr>
          <w:rFonts w:ascii="Times New Roman" w:eastAsia="Times New Roman" w:hAnsi="Times New Roman" w:cs="Times New Roman"/>
          <w:color w:val="222222"/>
          <w:sz w:val="24"/>
          <w:vertAlign w:val="subscript"/>
        </w:rPr>
        <w:t>1</w:t>
      </w:r>
      <w:r>
        <w:rPr>
          <w:rFonts w:ascii="Times New Roman" w:eastAsia="Times New Roman" w:hAnsi="Times New Roman" w:cs="Times New Roman"/>
          <w:color w:val="222222"/>
          <w:sz w:val="24"/>
        </w:rPr>
        <w:t xml:space="preserve"> correspond to these lines respectively. </w:t>
      </w:r>
    </w:p>
    <w:p w:rsidR="0052701D" w:rsidRDefault="00D40929">
      <w:pPr>
        <w:spacing w:after="109" w:line="248" w:lineRule="auto"/>
        <w:ind w:left="-15" w:right="3" w:firstLine="706"/>
        <w:jc w:val="both"/>
      </w:pPr>
      <w:r>
        <w:rPr>
          <w:rFonts w:ascii="Times New Roman" w:eastAsia="Times New Roman" w:hAnsi="Times New Roman" w:cs="Times New Roman"/>
          <w:color w:val="222222"/>
          <w:sz w:val="24"/>
        </w:rPr>
        <w:t>Writing balance equations only for chosen transitions and substituting equation (1) in their ratio we can get following rel</w:t>
      </w:r>
      <w:r>
        <w:rPr>
          <w:rFonts w:ascii="Times New Roman" w:eastAsia="Times New Roman" w:hAnsi="Times New Roman" w:cs="Times New Roman"/>
          <w:color w:val="222222"/>
          <w:sz w:val="24"/>
        </w:rPr>
        <w:t xml:space="preserve">ation: </w:t>
      </w:r>
    </w:p>
    <w:p w:rsidR="0052701D" w:rsidRDefault="00D40929">
      <w:pPr>
        <w:tabs>
          <w:tab w:val="center" w:pos="4313"/>
          <w:tab w:val="right" w:pos="9081"/>
        </w:tabs>
        <w:spacing w:after="0"/>
      </w:pPr>
      <w:r>
        <w:tab/>
      </w:r>
      <w:r>
        <w:rPr>
          <w:noProof/>
        </w:rPr>
        <w:drawing>
          <wp:inline distT="0" distB="0" distL="0" distR="0">
            <wp:extent cx="3986784" cy="384048"/>
            <wp:effectExtent l="0" t="0" r="0" b="0"/>
            <wp:docPr id="1048780" name="Picture 1048780"/>
            <wp:cNvGraphicFramePr/>
            <a:graphic xmlns:a="http://schemas.openxmlformats.org/drawingml/2006/main">
              <a:graphicData uri="http://schemas.openxmlformats.org/drawingml/2006/picture">
                <pic:pic xmlns:pic="http://schemas.openxmlformats.org/drawingml/2006/picture">
                  <pic:nvPicPr>
                    <pic:cNvPr id="1048780" name="Picture 1048780"/>
                    <pic:cNvPicPr/>
                  </pic:nvPicPr>
                  <pic:blipFill>
                    <a:blip r:embed="rId616"/>
                    <a:stretch>
                      <a:fillRect/>
                    </a:stretch>
                  </pic:blipFill>
                  <pic:spPr>
                    <a:xfrm>
                      <a:off x="0" y="0"/>
                      <a:ext cx="3986784" cy="384048"/>
                    </a:xfrm>
                    <a:prstGeom prst="rect">
                      <a:avLst/>
                    </a:prstGeom>
                  </pic:spPr>
                </pic:pic>
              </a:graphicData>
            </a:graphic>
          </wp:inline>
        </w:drawing>
      </w:r>
      <w:r>
        <w:rPr>
          <w:rFonts w:ascii="Times New Roman" w:eastAsia="Times New Roman" w:hAnsi="Times New Roman" w:cs="Times New Roman"/>
          <w:color w:val="222222"/>
          <w:sz w:val="24"/>
        </w:rPr>
        <w:t xml:space="preserve"> </w:t>
      </w:r>
      <w:r>
        <w:rPr>
          <w:rFonts w:ascii="Times New Roman" w:eastAsia="Times New Roman" w:hAnsi="Times New Roman" w:cs="Times New Roman"/>
          <w:color w:val="222222"/>
          <w:sz w:val="24"/>
        </w:rPr>
        <w:tab/>
        <w:t xml:space="preserve">(4) </w:t>
      </w:r>
    </w:p>
    <w:p w:rsidR="0052701D" w:rsidRDefault="00D40929">
      <w:pPr>
        <w:spacing w:after="0"/>
        <w:ind w:left="10" w:right="8" w:hanging="10"/>
        <w:jc w:val="right"/>
      </w:pPr>
      <w:r>
        <w:rPr>
          <w:rFonts w:ascii="Times New Roman" w:eastAsia="Times New Roman" w:hAnsi="Times New Roman" w:cs="Times New Roman"/>
          <w:color w:val="222222"/>
          <w:sz w:val="24"/>
        </w:rPr>
        <w:t xml:space="preserve">In order to evaluate </w:t>
      </w:r>
      <w:r>
        <w:rPr>
          <w:noProof/>
        </w:rPr>
        <w:drawing>
          <wp:inline distT="0" distB="0" distL="0" distR="0">
            <wp:extent cx="441960" cy="118872"/>
            <wp:effectExtent l="0" t="0" r="0" b="0"/>
            <wp:docPr id="1048781" name="Picture 1048781"/>
            <wp:cNvGraphicFramePr/>
            <a:graphic xmlns:a="http://schemas.openxmlformats.org/drawingml/2006/main">
              <a:graphicData uri="http://schemas.openxmlformats.org/drawingml/2006/picture">
                <pic:pic xmlns:pic="http://schemas.openxmlformats.org/drawingml/2006/picture">
                  <pic:nvPicPr>
                    <pic:cNvPr id="1048781" name="Picture 1048781"/>
                    <pic:cNvPicPr/>
                  </pic:nvPicPr>
                  <pic:blipFill>
                    <a:blip r:embed="rId617"/>
                    <a:stretch>
                      <a:fillRect/>
                    </a:stretch>
                  </pic:blipFill>
                  <pic:spPr>
                    <a:xfrm>
                      <a:off x="0" y="0"/>
                      <a:ext cx="441960" cy="118872"/>
                    </a:xfrm>
                    <a:prstGeom prst="rect">
                      <a:avLst/>
                    </a:prstGeom>
                  </pic:spPr>
                </pic:pic>
              </a:graphicData>
            </a:graphic>
          </wp:inline>
        </w:drawing>
      </w:r>
      <w:r>
        <w:rPr>
          <w:rFonts w:ascii="Times New Roman" w:eastAsia="Times New Roman" w:hAnsi="Times New Roman" w:cs="Times New Roman"/>
          <w:color w:val="222222"/>
          <w:sz w:val="24"/>
        </w:rPr>
        <w:t xml:space="preserve">, we use the simplified equation Rate coefficient </w:t>
      </w:r>
      <w:r>
        <w:rPr>
          <w:rFonts w:ascii="Times New Roman" w:eastAsia="Times New Roman" w:hAnsi="Times New Roman" w:cs="Times New Roman"/>
          <w:i/>
          <w:color w:val="222222"/>
          <w:sz w:val="24"/>
        </w:rPr>
        <w:t>Q</w:t>
      </w:r>
      <w:r>
        <w:rPr>
          <w:rFonts w:ascii="Times New Roman" w:eastAsia="Times New Roman" w:hAnsi="Times New Roman" w:cs="Times New Roman"/>
          <w:color w:val="222222"/>
          <w:sz w:val="24"/>
        </w:rPr>
        <w:t xml:space="preserve"> depends </w:t>
      </w:r>
    </w:p>
    <w:p w:rsidR="0052701D" w:rsidRDefault="00D40929">
      <w:pPr>
        <w:spacing w:after="68"/>
        <w:ind w:left="2848"/>
      </w:pPr>
      <w:r>
        <w:rPr>
          <w:rFonts w:ascii="Cambria Math" w:eastAsia="Cambria Math" w:hAnsi="Cambria Math" w:cs="Cambria Math"/>
          <w:color w:val="222222"/>
          <w:sz w:val="17"/>
        </w:rPr>
        <w:t>𝑛</w:t>
      </w:r>
      <w:r>
        <w:rPr>
          <w:rFonts w:ascii="Cambria Math" w:eastAsia="Cambria Math" w:hAnsi="Cambria Math" w:cs="Cambria Math"/>
          <w:color w:val="222222"/>
          <w:sz w:val="14"/>
        </w:rPr>
        <w:t>𝑔𝑠</w:t>
      </w:r>
    </w:p>
    <w:p w:rsidR="0052701D" w:rsidRDefault="00D40929">
      <w:pPr>
        <w:spacing w:after="80" w:line="248" w:lineRule="auto"/>
        <w:ind w:left="-5" w:right="3" w:hanging="10"/>
        <w:jc w:val="both"/>
      </w:pPr>
      <w:r>
        <w:rPr>
          <w:rFonts w:ascii="Times New Roman" w:eastAsia="Times New Roman" w:hAnsi="Times New Roman" w:cs="Times New Roman"/>
          <w:color w:val="222222"/>
          <w:sz w:val="24"/>
        </w:rPr>
        <w:t xml:space="preserve">on cross sections of corresponding transition and energy of electrons </w:t>
      </w:r>
    </w:p>
    <w:p w:rsidR="0052701D" w:rsidRDefault="00D40929">
      <w:pPr>
        <w:spacing w:after="83"/>
        <w:ind w:left="25"/>
        <w:jc w:val="center"/>
      </w:pPr>
      <w:r>
        <w:rPr>
          <w:noProof/>
        </w:rPr>
        <w:drawing>
          <wp:inline distT="0" distB="0" distL="0" distR="0">
            <wp:extent cx="3145536" cy="393192"/>
            <wp:effectExtent l="0" t="0" r="0" b="0"/>
            <wp:docPr id="1048782" name="Picture 1048782"/>
            <wp:cNvGraphicFramePr/>
            <a:graphic xmlns:a="http://schemas.openxmlformats.org/drawingml/2006/main">
              <a:graphicData uri="http://schemas.openxmlformats.org/drawingml/2006/picture">
                <pic:pic xmlns:pic="http://schemas.openxmlformats.org/drawingml/2006/picture">
                  <pic:nvPicPr>
                    <pic:cNvPr id="1048782" name="Picture 1048782"/>
                    <pic:cNvPicPr/>
                  </pic:nvPicPr>
                  <pic:blipFill>
                    <a:blip r:embed="rId618"/>
                    <a:stretch>
                      <a:fillRect/>
                    </a:stretch>
                  </pic:blipFill>
                  <pic:spPr>
                    <a:xfrm>
                      <a:off x="0" y="0"/>
                      <a:ext cx="3145536" cy="393192"/>
                    </a:xfrm>
                    <a:prstGeom prst="rect">
                      <a:avLst/>
                    </a:prstGeom>
                  </pic:spPr>
                </pic:pic>
              </a:graphicData>
            </a:graphic>
          </wp:inline>
        </w:drawing>
      </w:r>
      <w:r>
        <w:rPr>
          <w:rFonts w:ascii="Times New Roman" w:eastAsia="Times New Roman" w:hAnsi="Times New Roman" w:cs="Times New Roman"/>
          <w:color w:val="222222"/>
          <w:sz w:val="24"/>
        </w:rPr>
        <w:t xml:space="preserve"> </w:t>
      </w:r>
    </w:p>
    <w:p w:rsidR="0052701D" w:rsidRDefault="00D40929">
      <w:pPr>
        <w:spacing w:after="104" w:line="248" w:lineRule="auto"/>
        <w:ind w:left="716" w:right="3" w:hanging="10"/>
        <w:jc w:val="both"/>
      </w:pPr>
      <w:r>
        <w:rPr>
          <w:rFonts w:ascii="Times New Roman" w:eastAsia="Times New Roman" w:hAnsi="Times New Roman" w:cs="Times New Roman"/>
          <w:color w:val="222222"/>
          <w:sz w:val="24"/>
        </w:rPr>
        <w:t xml:space="preserve">Cross-sections </w:t>
      </w:r>
      <w:r>
        <w:rPr>
          <w:rFonts w:ascii="Cambria Math" w:eastAsia="Cambria Math" w:hAnsi="Cambria Math" w:cs="Cambria Math"/>
          <w:sz w:val="24"/>
        </w:rPr>
        <w:t>𝜎</w:t>
      </w:r>
      <w:r>
        <w:rPr>
          <w:rFonts w:ascii="Cambria Math" w:eastAsia="Cambria Math" w:hAnsi="Cambria Math" w:cs="Cambria Math"/>
          <w:color w:val="222222"/>
          <w:sz w:val="24"/>
        </w:rPr>
        <w:t>(</w:t>
      </w:r>
      <w:r>
        <w:rPr>
          <w:rFonts w:ascii="Cambria Math" w:eastAsia="Cambria Math" w:hAnsi="Cambria Math" w:cs="Cambria Math"/>
          <w:color w:val="222222"/>
          <w:sz w:val="24"/>
        </w:rPr>
        <w:t>𝐸</w:t>
      </w:r>
      <w:r>
        <w:rPr>
          <w:rFonts w:ascii="Cambria Math" w:eastAsia="Cambria Math" w:hAnsi="Cambria Math" w:cs="Cambria Math"/>
          <w:color w:val="222222"/>
          <w:sz w:val="24"/>
        </w:rPr>
        <w:t>)</w:t>
      </w:r>
      <w:r>
        <w:rPr>
          <w:rFonts w:ascii="Times New Roman" w:eastAsia="Times New Roman" w:hAnsi="Times New Roman" w:cs="Times New Roman"/>
          <w:color w:val="222222"/>
          <w:sz w:val="24"/>
        </w:rPr>
        <w:t xml:space="preserve"> were given by [10]. </w:t>
      </w:r>
    </w:p>
    <w:p w:rsidR="0052701D" w:rsidRDefault="00D40929">
      <w:pPr>
        <w:spacing w:after="0" w:line="248" w:lineRule="auto"/>
        <w:ind w:left="716" w:right="3" w:hanging="10"/>
        <w:jc w:val="both"/>
      </w:pPr>
      <w:r>
        <w:rPr>
          <w:rFonts w:ascii="Times New Roman" w:eastAsia="Times New Roman" w:hAnsi="Times New Roman" w:cs="Times New Roman"/>
          <w:b/>
          <w:color w:val="222222"/>
          <w:sz w:val="24"/>
        </w:rPr>
        <w:t>Table 1.</w:t>
      </w:r>
      <w:r>
        <w:rPr>
          <w:rFonts w:ascii="Times New Roman" w:eastAsia="Times New Roman" w:hAnsi="Times New Roman" w:cs="Times New Roman"/>
          <w:color w:val="222222"/>
          <w:sz w:val="24"/>
        </w:rPr>
        <w:t xml:space="preserve"> </w:t>
      </w:r>
      <w:r>
        <w:rPr>
          <w:rFonts w:ascii="Times New Roman" w:eastAsia="Times New Roman" w:hAnsi="Times New Roman" w:cs="Times New Roman"/>
          <w:color w:val="222222"/>
          <w:sz w:val="24"/>
        </w:rPr>
        <w:t xml:space="preserve">Explanations to the processes included in the model [8] </w:t>
      </w:r>
    </w:p>
    <w:tbl>
      <w:tblPr>
        <w:tblStyle w:val="TableGrid"/>
        <w:tblW w:w="6449" w:type="dxa"/>
        <w:tblInd w:w="1316" w:type="dxa"/>
        <w:tblCellMar>
          <w:top w:w="3" w:type="dxa"/>
          <w:left w:w="0" w:type="dxa"/>
          <w:bottom w:w="0" w:type="dxa"/>
          <w:right w:w="115" w:type="dxa"/>
        </w:tblCellMar>
        <w:tblLook w:val="04A0" w:firstRow="1" w:lastRow="0" w:firstColumn="1" w:lastColumn="0" w:noHBand="0" w:noVBand="1"/>
      </w:tblPr>
      <w:tblGrid>
        <w:gridCol w:w="3256"/>
        <w:gridCol w:w="1695"/>
        <w:gridCol w:w="1498"/>
      </w:tblGrid>
      <w:tr w:rsidR="0052701D">
        <w:trPr>
          <w:trHeight w:val="283"/>
        </w:trPr>
        <w:tc>
          <w:tcPr>
            <w:tcW w:w="3255" w:type="dxa"/>
            <w:tcBorders>
              <w:top w:val="single" w:sz="4" w:space="0" w:color="000000"/>
              <w:left w:val="nil"/>
              <w:bottom w:val="single" w:sz="4" w:space="0" w:color="000000"/>
              <w:right w:val="nil"/>
            </w:tcBorders>
          </w:tcPr>
          <w:p w:rsidR="0052701D" w:rsidRDefault="00D40929">
            <w:pPr>
              <w:spacing w:after="0"/>
              <w:ind w:left="979"/>
            </w:pPr>
            <w:r>
              <w:rPr>
                <w:rFonts w:ascii="Times New Roman" w:eastAsia="Times New Roman" w:hAnsi="Times New Roman" w:cs="Times New Roman"/>
                <w:color w:val="222222"/>
                <w:sz w:val="24"/>
              </w:rPr>
              <w:t xml:space="preserve">Process </w:t>
            </w:r>
          </w:p>
        </w:tc>
        <w:tc>
          <w:tcPr>
            <w:tcW w:w="1695" w:type="dxa"/>
            <w:tcBorders>
              <w:top w:val="single" w:sz="4" w:space="0" w:color="000000"/>
              <w:left w:val="nil"/>
              <w:bottom w:val="single" w:sz="4" w:space="0" w:color="000000"/>
              <w:right w:val="nil"/>
            </w:tcBorders>
          </w:tcPr>
          <w:p w:rsidR="0052701D" w:rsidRDefault="00D40929">
            <w:pPr>
              <w:spacing w:after="0"/>
            </w:pPr>
            <w:r>
              <w:rPr>
                <w:rFonts w:ascii="Times New Roman" w:eastAsia="Times New Roman" w:hAnsi="Times New Roman" w:cs="Times New Roman"/>
                <w:color w:val="222222"/>
                <w:sz w:val="24"/>
              </w:rPr>
              <w:t xml:space="preserve">Variable </w:t>
            </w:r>
          </w:p>
        </w:tc>
        <w:tc>
          <w:tcPr>
            <w:tcW w:w="1498" w:type="dxa"/>
            <w:tcBorders>
              <w:top w:val="single" w:sz="4" w:space="0" w:color="000000"/>
              <w:left w:val="nil"/>
              <w:bottom w:val="single" w:sz="4" w:space="0" w:color="000000"/>
              <w:right w:val="nil"/>
            </w:tcBorders>
          </w:tcPr>
          <w:p w:rsidR="0052701D" w:rsidRDefault="00D40929">
            <w:pPr>
              <w:spacing w:after="0"/>
            </w:pPr>
            <w:r>
              <w:rPr>
                <w:rFonts w:ascii="Times New Roman" w:eastAsia="Times New Roman" w:hAnsi="Times New Roman" w:cs="Times New Roman"/>
                <w:color w:val="222222"/>
                <w:sz w:val="24"/>
              </w:rPr>
              <w:t xml:space="preserve">Dependence </w:t>
            </w:r>
          </w:p>
        </w:tc>
      </w:tr>
      <w:tr w:rsidR="0052701D">
        <w:trPr>
          <w:trHeight w:val="280"/>
        </w:trPr>
        <w:tc>
          <w:tcPr>
            <w:tcW w:w="3255" w:type="dxa"/>
            <w:tcBorders>
              <w:top w:val="single" w:sz="4" w:space="0" w:color="000000"/>
              <w:left w:val="nil"/>
              <w:bottom w:val="nil"/>
              <w:right w:val="nil"/>
            </w:tcBorders>
          </w:tcPr>
          <w:p w:rsidR="0052701D" w:rsidRDefault="00D40929">
            <w:pPr>
              <w:spacing w:after="0"/>
              <w:ind w:left="106"/>
            </w:pPr>
            <w:r>
              <w:rPr>
                <w:rFonts w:ascii="Times New Roman" w:eastAsia="Times New Roman" w:hAnsi="Times New Roman" w:cs="Times New Roman"/>
                <w:color w:val="222222"/>
                <w:sz w:val="24"/>
              </w:rPr>
              <w:t xml:space="preserve">Diffusion </w:t>
            </w:r>
          </w:p>
        </w:tc>
        <w:tc>
          <w:tcPr>
            <w:tcW w:w="1695" w:type="dxa"/>
            <w:tcBorders>
              <w:top w:val="single" w:sz="4" w:space="0" w:color="000000"/>
              <w:left w:val="nil"/>
              <w:bottom w:val="nil"/>
              <w:right w:val="nil"/>
            </w:tcBorders>
          </w:tcPr>
          <w:p w:rsidR="0052701D" w:rsidRDefault="00D40929">
            <w:pPr>
              <w:spacing w:after="0"/>
              <w:ind w:left="365"/>
            </w:pPr>
            <w:r>
              <w:rPr>
                <w:rFonts w:ascii="Times New Roman" w:eastAsia="Times New Roman" w:hAnsi="Times New Roman" w:cs="Times New Roman"/>
                <w:color w:val="222222"/>
                <w:sz w:val="24"/>
              </w:rPr>
              <w:t xml:space="preserve">τ </w:t>
            </w:r>
          </w:p>
        </w:tc>
        <w:tc>
          <w:tcPr>
            <w:tcW w:w="1498" w:type="dxa"/>
            <w:tcBorders>
              <w:top w:val="single" w:sz="4" w:space="0" w:color="000000"/>
              <w:left w:val="nil"/>
              <w:bottom w:val="nil"/>
              <w:right w:val="nil"/>
            </w:tcBorders>
          </w:tcPr>
          <w:p w:rsidR="0052701D" w:rsidRDefault="00D40929">
            <w:pPr>
              <w:spacing w:after="0"/>
              <w:ind w:left="365"/>
            </w:pPr>
            <w:r>
              <w:rPr>
                <w:rFonts w:ascii="Times New Roman" w:eastAsia="Times New Roman" w:hAnsi="Times New Roman" w:cs="Times New Roman"/>
                <w:i/>
                <w:color w:val="222222"/>
                <w:sz w:val="24"/>
              </w:rPr>
              <w:t>T</w:t>
            </w:r>
            <w:r>
              <w:rPr>
                <w:rFonts w:ascii="Times New Roman" w:eastAsia="Times New Roman" w:hAnsi="Times New Roman" w:cs="Times New Roman"/>
                <w:i/>
                <w:color w:val="222222"/>
                <w:sz w:val="24"/>
                <w:vertAlign w:val="subscript"/>
              </w:rPr>
              <w:t>g</w:t>
            </w:r>
            <w:r>
              <w:rPr>
                <w:rFonts w:ascii="Times New Roman" w:eastAsia="Times New Roman" w:hAnsi="Times New Roman" w:cs="Times New Roman"/>
                <w:color w:val="222222"/>
                <w:sz w:val="24"/>
              </w:rPr>
              <w:t xml:space="preserve">, </w:t>
            </w:r>
            <w:r>
              <w:rPr>
                <w:rFonts w:ascii="Times New Roman" w:eastAsia="Times New Roman" w:hAnsi="Times New Roman" w:cs="Times New Roman"/>
                <w:i/>
                <w:color w:val="222222"/>
                <w:sz w:val="24"/>
              </w:rPr>
              <w:t>p</w:t>
            </w:r>
            <w:r>
              <w:rPr>
                <w:rFonts w:ascii="Times New Roman" w:eastAsia="Times New Roman" w:hAnsi="Times New Roman" w:cs="Times New Roman"/>
                <w:color w:val="222222"/>
                <w:sz w:val="24"/>
              </w:rPr>
              <w:t xml:space="preserve"> </w:t>
            </w:r>
          </w:p>
        </w:tc>
      </w:tr>
      <w:tr w:rsidR="0052701D">
        <w:trPr>
          <w:trHeight w:val="276"/>
        </w:trPr>
        <w:tc>
          <w:tcPr>
            <w:tcW w:w="3255" w:type="dxa"/>
            <w:tcBorders>
              <w:top w:val="nil"/>
              <w:left w:val="nil"/>
              <w:bottom w:val="nil"/>
              <w:right w:val="nil"/>
            </w:tcBorders>
          </w:tcPr>
          <w:p w:rsidR="0052701D" w:rsidRDefault="00D40929">
            <w:pPr>
              <w:spacing w:after="0"/>
              <w:ind w:left="106"/>
            </w:pPr>
            <w:r>
              <w:rPr>
                <w:rFonts w:ascii="Times New Roman" w:eastAsia="Times New Roman" w:hAnsi="Times New Roman" w:cs="Times New Roman"/>
                <w:color w:val="222222"/>
                <w:sz w:val="24"/>
              </w:rPr>
              <w:t xml:space="preserve">Heavy particle ionization </w:t>
            </w:r>
          </w:p>
        </w:tc>
        <w:tc>
          <w:tcPr>
            <w:tcW w:w="1695" w:type="dxa"/>
            <w:tcBorders>
              <w:top w:val="nil"/>
              <w:left w:val="nil"/>
              <w:bottom w:val="nil"/>
              <w:right w:val="nil"/>
            </w:tcBorders>
          </w:tcPr>
          <w:p w:rsidR="0052701D" w:rsidRDefault="00D40929">
            <w:pPr>
              <w:spacing w:after="0"/>
              <w:ind w:left="351"/>
            </w:pPr>
            <w:r>
              <w:rPr>
                <w:rFonts w:ascii="Times New Roman" w:eastAsia="Times New Roman" w:hAnsi="Times New Roman" w:cs="Times New Roman"/>
                <w:color w:val="222222"/>
                <w:sz w:val="24"/>
              </w:rPr>
              <w:t xml:space="preserve">α </w:t>
            </w:r>
          </w:p>
        </w:tc>
        <w:tc>
          <w:tcPr>
            <w:tcW w:w="1498" w:type="dxa"/>
            <w:tcBorders>
              <w:top w:val="nil"/>
              <w:left w:val="nil"/>
              <w:bottom w:val="nil"/>
              <w:right w:val="nil"/>
            </w:tcBorders>
          </w:tcPr>
          <w:p w:rsidR="0052701D" w:rsidRDefault="00D40929">
            <w:pPr>
              <w:spacing w:after="0"/>
              <w:ind w:left="485"/>
            </w:pPr>
            <w:r>
              <w:rPr>
                <w:rFonts w:ascii="Times New Roman" w:eastAsia="Times New Roman" w:hAnsi="Times New Roman" w:cs="Times New Roman"/>
                <w:i/>
                <w:color w:val="222222"/>
                <w:sz w:val="24"/>
              </w:rPr>
              <w:t>T</w:t>
            </w:r>
            <w:r>
              <w:rPr>
                <w:rFonts w:ascii="Times New Roman" w:eastAsia="Times New Roman" w:hAnsi="Times New Roman" w:cs="Times New Roman"/>
                <w:i/>
                <w:color w:val="222222"/>
                <w:sz w:val="24"/>
                <w:vertAlign w:val="subscript"/>
              </w:rPr>
              <w:t>g</w:t>
            </w:r>
            <w:r>
              <w:rPr>
                <w:rFonts w:ascii="Times New Roman" w:eastAsia="Times New Roman" w:hAnsi="Times New Roman" w:cs="Times New Roman"/>
                <w:i/>
                <w:color w:val="222222"/>
                <w:sz w:val="24"/>
              </w:rPr>
              <w:t xml:space="preserve"> </w:t>
            </w:r>
          </w:p>
        </w:tc>
      </w:tr>
      <w:tr w:rsidR="0052701D">
        <w:trPr>
          <w:trHeight w:val="552"/>
        </w:trPr>
        <w:tc>
          <w:tcPr>
            <w:tcW w:w="3255" w:type="dxa"/>
            <w:tcBorders>
              <w:top w:val="nil"/>
              <w:left w:val="nil"/>
              <w:bottom w:val="nil"/>
              <w:right w:val="nil"/>
            </w:tcBorders>
          </w:tcPr>
          <w:p w:rsidR="0052701D" w:rsidRDefault="00D40929">
            <w:pPr>
              <w:tabs>
                <w:tab w:val="center" w:pos="1559"/>
                <w:tab w:val="center" w:pos="2397"/>
              </w:tabs>
              <w:spacing w:after="0"/>
            </w:pPr>
            <w:r>
              <w:rPr>
                <w:rFonts w:ascii="Times New Roman" w:eastAsia="Times New Roman" w:hAnsi="Times New Roman" w:cs="Times New Roman"/>
                <w:color w:val="222222"/>
                <w:sz w:val="24"/>
              </w:rPr>
              <w:t xml:space="preserve">Electron </w:t>
            </w:r>
            <w:r>
              <w:rPr>
                <w:rFonts w:ascii="Times New Roman" w:eastAsia="Times New Roman" w:hAnsi="Times New Roman" w:cs="Times New Roman"/>
                <w:color w:val="222222"/>
                <w:sz w:val="24"/>
              </w:rPr>
              <w:tab/>
              <w:t xml:space="preserve">impact </w:t>
            </w:r>
            <w:r>
              <w:rPr>
                <w:rFonts w:ascii="Times New Roman" w:eastAsia="Times New Roman" w:hAnsi="Times New Roman" w:cs="Times New Roman"/>
                <w:color w:val="222222"/>
                <w:sz w:val="24"/>
              </w:rPr>
              <w:tab/>
              <w:t>(de-</w:t>
            </w:r>
          </w:p>
          <w:p w:rsidR="0052701D" w:rsidRDefault="00D40929">
            <w:pPr>
              <w:spacing w:after="0"/>
              <w:ind w:left="106"/>
            </w:pPr>
            <w:r>
              <w:rPr>
                <w:rFonts w:ascii="Times New Roman" w:eastAsia="Times New Roman" w:hAnsi="Times New Roman" w:cs="Times New Roman"/>
                <w:color w:val="222222"/>
                <w:sz w:val="24"/>
              </w:rPr>
              <w:t xml:space="preserve">)ioniztion </w:t>
            </w:r>
          </w:p>
        </w:tc>
        <w:tc>
          <w:tcPr>
            <w:tcW w:w="1695" w:type="dxa"/>
            <w:tcBorders>
              <w:top w:val="nil"/>
              <w:left w:val="nil"/>
              <w:bottom w:val="nil"/>
              <w:right w:val="nil"/>
            </w:tcBorders>
          </w:tcPr>
          <w:p w:rsidR="0052701D" w:rsidRDefault="00D40929">
            <w:pPr>
              <w:spacing w:after="0"/>
              <w:ind w:left="327"/>
            </w:pPr>
            <w:r>
              <w:rPr>
                <w:rFonts w:ascii="Times New Roman" w:eastAsia="Times New Roman" w:hAnsi="Times New Roman" w:cs="Times New Roman"/>
                <w:i/>
                <w:color w:val="222222"/>
                <w:sz w:val="24"/>
              </w:rPr>
              <w:t xml:space="preserve">Q </w:t>
            </w:r>
          </w:p>
        </w:tc>
        <w:tc>
          <w:tcPr>
            <w:tcW w:w="1498" w:type="dxa"/>
            <w:tcBorders>
              <w:top w:val="nil"/>
              <w:left w:val="nil"/>
              <w:bottom w:val="nil"/>
              <w:right w:val="nil"/>
            </w:tcBorders>
          </w:tcPr>
          <w:p w:rsidR="0052701D" w:rsidRDefault="00D40929">
            <w:pPr>
              <w:spacing w:after="0"/>
              <w:ind w:left="130"/>
            </w:pPr>
            <w:r>
              <w:rPr>
                <w:rFonts w:ascii="Times New Roman" w:eastAsia="Times New Roman" w:hAnsi="Times New Roman" w:cs="Times New Roman"/>
                <w:i/>
                <w:color w:val="222222"/>
                <w:sz w:val="24"/>
              </w:rPr>
              <w:t>T</w:t>
            </w:r>
            <w:r>
              <w:rPr>
                <w:rFonts w:ascii="Times New Roman" w:eastAsia="Times New Roman" w:hAnsi="Times New Roman" w:cs="Times New Roman"/>
                <w:i/>
                <w:color w:val="222222"/>
                <w:sz w:val="24"/>
                <w:vertAlign w:val="subscript"/>
              </w:rPr>
              <w:t>e</w:t>
            </w:r>
            <w:r>
              <w:rPr>
                <w:rFonts w:ascii="Times New Roman" w:eastAsia="Times New Roman" w:hAnsi="Times New Roman" w:cs="Times New Roman"/>
                <w:color w:val="222222"/>
                <w:sz w:val="24"/>
              </w:rPr>
              <w:t xml:space="preserve">, EEDF </w:t>
            </w:r>
          </w:p>
        </w:tc>
      </w:tr>
      <w:tr w:rsidR="0052701D">
        <w:trPr>
          <w:trHeight w:val="277"/>
        </w:trPr>
        <w:tc>
          <w:tcPr>
            <w:tcW w:w="3255" w:type="dxa"/>
            <w:tcBorders>
              <w:top w:val="nil"/>
              <w:left w:val="nil"/>
              <w:bottom w:val="nil"/>
              <w:right w:val="nil"/>
            </w:tcBorders>
          </w:tcPr>
          <w:p w:rsidR="0052701D" w:rsidRDefault="00D40929">
            <w:pPr>
              <w:spacing w:after="0"/>
              <w:ind w:left="106"/>
            </w:pPr>
            <w:r>
              <w:rPr>
                <w:rFonts w:ascii="Times New Roman" w:eastAsia="Times New Roman" w:hAnsi="Times New Roman" w:cs="Times New Roman"/>
                <w:color w:val="222222"/>
                <w:sz w:val="24"/>
              </w:rPr>
              <w:t xml:space="preserve">Spontaneous emission </w:t>
            </w:r>
          </w:p>
        </w:tc>
        <w:tc>
          <w:tcPr>
            <w:tcW w:w="1695" w:type="dxa"/>
            <w:tcBorders>
              <w:top w:val="nil"/>
              <w:left w:val="nil"/>
              <w:bottom w:val="nil"/>
              <w:right w:val="nil"/>
            </w:tcBorders>
          </w:tcPr>
          <w:p w:rsidR="0052701D" w:rsidRDefault="00D40929">
            <w:pPr>
              <w:spacing w:after="0"/>
              <w:ind w:left="221"/>
            </w:pPr>
            <w:r>
              <w:rPr>
                <w:rFonts w:ascii="Times New Roman" w:eastAsia="Times New Roman" w:hAnsi="Times New Roman" w:cs="Times New Roman"/>
                <w:i/>
                <w:color w:val="222222"/>
                <w:sz w:val="24"/>
              </w:rPr>
              <w:t>Q</w:t>
            </w:r>
            <w:r>
              <w:rPr>
                <w:rFonts w:ascii="Times New Roman" w:eastAsia="Times New Roman" w:hAnsi="Times New Roman" w:cs="Times New Roman"/>
                <w:color w:val="222222"/>
                <w:sz w:val="16"/>
              </w:rPr>
              <w:t>ion</w:t>
            </w:r>
            <w:r>
              <w:rPr>
                <w:rFonts w:ascii="Times New Roman" w:eastAsia="Times New Roman" w:hAnsi="Times New Roman" w:cs="Times New Roman"/>
                <w:color w:val="222222"/>
                <w:sz w:val="24"/>
              </w:rPr>
              <w:t xml:space="preserve"> </w:t>
            </w:r>
          </w:p>
        </w:tc>
        <w:tc>
          <w:tcPr>
            <w:tcW w:w="1498" w:type="dxa"/>
            <w:tcBorders>
              <w:top w:val="nil"/>
              <w:left w:val="nil"/>
              <w:bottom w:val="nil"/>
              <w:right w:val="nil"/>
            </w:tcBorders>
          </w:tcPr>
          <w:p w:rsidR="0052701D" w:rsidRDefault="00D40929">
            <w:pPr>
              <w:spacing w:after="0"/>
              <w:ind w:left="130"/>
            </w:pPr>
            <w:r>
              <w:rPr>
                <w:rFonts w:ascii="Times New Roman" w:eastAsia="Times New Roman" w:hAnsi="Times New Roman" w:cs="Times New Roman"/>
                <w:i/>
                <w:color w:val="222222"/>
                <w:sz w:val="24"/>
              </w:rPr>
              <w:t>T</w:t>
            </w:r>
            <w:r>
              <w:rPr>
                <w:rFonts w:ascii="Times New Roman" w:eastAsia="Times New Roman" w:hAnsi="Times New Roman" w:cs="Times New Roman"/>
                <w:i/>
                <w:color w:val="222222"/>
                <w:sz w:val="24"/>
                <w:vertAlign w:val="subscript"/>
              </w:rPr>
              <w:t>e</w:t>
            </w:r>
            <w:r>
              <w:rPr>
                <w:rFonts w:ascii="Times New Roman" w:eastAsia="Times New Roman" w:hAnsi="Times New Roman" w:cs="Times New Roman"/>
                <w:color w:val="222222"/>
                <w:sz w:val="24"/>
              </w:rPr>
              <w:t xml:space="preserve">, EEDF </w:t>
            </w:r>
          </w:p>
        </w:tc>
      </w:tr>
      <w:tr w:rsidR="0052701D">
        <w:trPr>
          <w:trHeight w:val="282"/>
        </w:trPr>
        <w:tc>
          <w:tcPr>
            <w:tcW w:w="3255" w:type="dxa"/>
            <w:tcBorders>
              <w:top w:val="nil"/>
              <w:left w:val="nil"/>
              <w:bottom w:val="single" w:sz="4" w:space="0" w:color="000000"/>
              <w:right w:val="nil"/>
            </w:tcBorders>
          </w:tcPr>
          <w:p w:rsidR="0052701D" w:rsidRDefault="00D40929">
            <w:pPr>
              <w:spacing w:after="0"/>
              <w:ind w:left="106"/>
            </w:pPr>
            <w:r>
              <w:rPr>
                <w:rFonts w:ascii="Times New Roman" w:eastAsia="Times New Roman" w:hAnsi="Times New Roman" w:cs="Times New Roman"/>
                <w:color w:val="222222"/>
                <w:sz w:val="24"/>
              </w:rPr>
              <w:t xml:space="preserve">Radiation trapping </w:t>
            </w:r>
          </w:p>
        </w:tc>
        <w:tc>
          <w:tcPr>
            <w:tcW w:w="1695" w:type="dxa"/>
            <w:tcBorders>
              <w:top w:val="nil"/>
              <w:left w:val="nil"/>
              <w:bottom w:val="single" w:sz="4" w:space="0" w:color="000000"/>
              <w:right w:val="nil"/>
            </w:tcBorders>
          </w:tcPr>
          <w:p w:rsidR="0052701D" w:rsidRDefault="00D40929">
            <w:pPr>
              <w:spacing w:after="0"/>
              <w:ind w:left="336"/>
            </w:pPr>
            <w:r>
              <w:rPr>
                <w:rFonts w:ascii="Times New Roman" w:eastAsia="Times New Roman" w:hAnsi="Times New Roman" w:cs="Times New Roman"/>
                <w:i/>
                <w:color w:val="222222"/>
                <w:sz w:val="24"/>
              </w:rPr>
              <w:t xml:space="preserve">A </w:t>
            </w:r>
          </w:p>
        </w:tc>
        <w:tc>
          <w:tcPr>
            <w:tcW w:w="1498" w:type="dxa"/>
            <w:tcBorders>
              <w:top w:val="nil"/>
              <w:left w:val="nil"/>
              <w:bottom w:val="single" w:sz="4" w:space="0" w:color="000000"/>
              <w:right w:val="nil"/>
            </w:tcBorders>
          </w:tcPr>
          <w:p w:rsidR="0052701D" w:rsidRDefault="00D40929">
            <w:pPr>
              <w:spacing w:after="0"/>
              <w:ind w:left="552"/>
            </w:pPr>
            <w:r>
              <w:rPr>
                <w:rFonts w:ascii="Times New Roman" w:eastAsia="Times New Roman" w:hAnsi="Times New Roman" w:cs="Times New Roman"/>
                <w:color w:val="222222"/>
                <w:sz w:val="24"/>
              </w:rPr>
              <w:t xml:space="preserve">- </w:t>
            </w:r>
          </w:p>
        </w:tc>
      </w:tr>
    </w:tbl>
    <w:p w:rsidR="0052701D" w:rsidRDefault="00D40929">
      <w:pPr>
        <w:spacing w:after="0" w:line="248" w:lineRule="auto"/>
        <w:ind w:left="1432" w:right="593" w:hanging="10"/>
        <w:jc w:val="both"/>
      </w:pPr>
      <w:r>
        <w:rPr>
          <w:rFonts w:ascii="Times New Roman" w:eastAsia="Times New Roman" w:hAnsi="Times New Roman" w:cs="Times New Roman"/>
          <w:color w:val="222222"/>
          <w:sz w:val="24"/>
        </w:rPr>
        <w:t xml:space="preserve">τ – diffusion time, α - Penning ionization coefficient, </w:t>
      </w:r>
      <w:r>
        <w:rPr>
          <w:rFonts w:ascii="Times New Roman" w:eastAsia="Times New Roman" w:hAnsi="Times New Roman" w:cs="Times New Roman"/>
          <w:i/>
          <w:color w:val="222222"/>
          <w:sz w:val="24"/>
        </w:rPr>
        <w:t>Q</w:t>
      </w:r>
      <w:r>
        <w:rPr>
          <w:rFonts w:ascii="Times New Roman" w:eastAsia="Times New Roman" w:hAnsi="Times New Roman" w:cs="Times New Roman"/>
          <w:color w:val="222222"/>
          <w:sz w:val="24"/>
        </w:rPr>
        <w:t xml:space="preserve"> – rate coefficient,  </w:t>
      </w:r>
    </w:p>
    <w:p w:rsidR="0052701D" w:rsidRDefault="00D40929">
      <w:pPr>
        <w:spacing w:after="0" w:line="248" w:lineRule="auto"/>
        <w:ind w:left="1432" w:right="874" w:hanging="10"/>
        <w:jc w:val="both"/>
      </w:pPr>
      <w:r>
        <w:rPr>
          <w:rFonts w:ascii="Times New Roman" w:eastAsia="Times New Roman" w:hAnsi="Times New Roman" w:cs="Times New Roman"/>
          <w:i/>
          <w:color w:val="222222"/>
          <w:sz w:val="24"/>
        </w:rPr>
        <w:t>A</w:t>
      </w:r>
      <w:r>
        <w:rPr>
          <w:rFonts w:ascii="Times New Roman" w:eastAsia="Times New Roman" w:hAnsi="Times New Roman" w:cs="Times New Roman"/>
          <w:color w:val="222222"/>
          <w:sz w:val="24"/>
        </w:rPr>
        <w:t xml:space="preserve"> – Einstein coefficient, EEDF – electron energy distribution function,  </w:t>
      </w:r>
    </w:p>
    <w:p w:rsidR="0052701D" w:rsidRDefault="00D40929">
      <w:pPr>
        <w:spacing w:after="0" w:line="248" w:lineRule="auto"/>
        <w:ind w:left="1432" w:right="3" w:hanging="10"/>
        <w:jc w:val="both"/>
      </w:pPr>
      <w:r>
        <w:rPr>
          <w:rFonts w:ascii="Times New Roman" w:eastAsia="Times New Roman" w:hAnsi="Times New Roman" w:cs="Times New Roman"/>
          <w:i/>
          <w:color w:val="222222"/>
          <w:sz w:val="24"/>
        </w:rPr>
        <w:t>T</w:t>
      </w:r>
      <w:r>
        <w:rPr>
          <w:rFonts w:ascii="Times New Roman" w:eastAsia="Times New Roman" w:hAnsi="Times New Roman" w:cs="Times New Roman"/>
          <w:i/>
          <w:color w:val="222222"/>
          <w:sz w:val="24"/>
          <w:vertAlign w:val="subscript"/>
        </w:rPr>
        <w:t xml:space="preserve">g </w:t>
      </w:r>
      <w:r>
        <w:rPr>
          <w:rFonts w:ascii="Times New Roman" w:eastAsia="Times New Roman" w:hAnsi="Times New Roman" w:cs="Times New Roman"/>
          <w:color w:val="222222"/>
          <w:sz w:val="24"/>
        </w:rPr>
        <w:t xml:space="preserve">– gas temperature </w:t>
      </w:r>
    </w:p>
    <w:p w:rsidR="0052701D" w:rsidRDefault="00D40929">
      <w:pPr>
        <w:spacing w:after="0"/>
        <w:ind w:left="284"/>
      </w:pPr>
      <w:r>
        <w:rPr>
          <w:rFonts w:ascii="Times New Roman" w:eastAsia="Times New Roman" w:hAnsi="Times New Roman" w:cs="Times New Roman"/>
          <w:sz w:val="24"/>
        </w:rPr>
        <w:t xml:space="preserve"> </w:t>
      </w:r>
    </w:p>
    <w:p w:rsidR="0052701D" w:rsidRDefault="00D40929">
      <w:pPr>
        <w:spacing w:after="29" w:line="248" w:lineRule="auto"/>
        <w:ind w:left="9" w:right="14" w:firstLine="711"/>
        <w:jc w:val="both"/>
      </w:pPr>
      <w:r>
        <w:rPr>
          <w:rFonts w:ascii="Times New Roman" w:eastAsia="Times New Roman" w:hAnsi="Times New Roman" w:cs="Times New Roman"/>
          <w:sz w:val="24"/>
        </w:rPr>
        <w:t xml:space="preserve">As we can see, relation (4) depends on electron temperature. So reaching lines intensity ratio at certain position from the experiment we can calculate electron temperature. </w:t>
      </w:r>
    </w:p>
    <w:p w:rsidR="0052701D" w:rsidRDefault="00D40929">
      <w:pPr>
        <w:spacing w:after="3"/>
        <w:ind w:left="725" w:hanging="10"/>
      </w:pPr>
      <w:r>
        <w:rPr>
          <w:rFonts w:ascii="Times New Roman" w:eastAsia="Times New Roman" w:hAnsi="Times New Roman" w:cs="Times New Roman"/>
          <w:b/>
          <w:i/>
        </w:rPr>
        <w:t>4.</w:t>
      </w:r>
      <w:r>
        <w:rPr>
          <w:rFonts w:ascii="Arial" w:eastAsia="Arial" w:hAnsi="Arial" w:cs="Arial"/>
          <w:b/>
          <w:i/>
        </w:rPr>
        <w:t xml:space="preserve"> </w:t>
      </w:r>
      <w:r>
        <w:rPr>
          <w:rFonts w:ascii="Times New Roman" w:eastAsia="Times New Roman" w:hAnsi="Times New Roman" w:cs="Times New Roman"/>
          <w:b/>
          <w:i/>
          <w:sz w:val="28"/>
        </w:rPr>
        <w:t xml:space="preserve">Experimental Results and Discussion </w:t>
      </w:r>
    </w:p>
    <w:p w:rsidR="0052701D" w:rsidRDefault="00D40929">
      <w:pPr>
        <w:spacing w:after="0" w:line="248" w:lineRule="auto"/>
        <w:ind w:left="9" w:right="14" w:firstLine="711"/>
        <w:jc w:val="both"/>
      </w:pPr>
      <w:r>
        <w:rPr>
          <w:rFonts w:ascii="Times New Roman" w:eastAsia="Times New Roman" w:hAnsi="Times New Roman" w:cs="Times New Roman"/>
          <w:sz w:val="24"/>
        </w:rPr>
        <w:t xml:space="preserve">The characterization of the plasma plume </w:t>
      </w:r>
      <w:r>
        <w:rPr>
          <w:rFonts w:ascii="Times New Roman" w:eastAsia="Times New Roman" w:hAnsi="Times New Roman" w:cs="Times New Roman"/>
          <w:sz w:val="24"/>
        </w:rPr>
        <w:t>created by the WPT was undertaken with Argon flow rate of 1.5 mg·s</w:t>
      </w:r>
      <w:r>
        <w:rPr>
          <w:rFonts w:ascii="Times New Roman" w:eastAsia="Times New Roman" w:hAnsi="Times New Roman" w:cs="Times New Roman"/>
          <w:sz w:val="24"/>
          <w:vertAlign w:val="superscript"/>
        </w:rPr>
        <w:t>-1</w:t>
      </w:r>
      <w:r>
        <w:rPr>
          <w:rFonts w:ascii="Times New Roman" w:eastAsia="Times New Roman" w:hAnsi="Times New Roman" w:cs="Times New Roman"/>
          <w:sz w:val="24"/>
        </w:rPr>
        <w:t xml:space="preserve">, resulting in a pressure of 50 mP, magnetic field of 200 G and RF power of 120 W. </w:t>
      </w:r>
      <w:r>
        <w:rPr>
          <w:rFonts w:ascii="Times New Roman" w:eastAsia="Times New Roman" w:hAnsi="Times New Roman" w:cs="Times New Roman"/>
          <w:i/>
          <w:sz w:val="24"/>
        </w:rPr>
        <w:t>V</w:t>
      </w:r>
      <w:r>
        <w:rPr>
          <w:rFonts w:ascii="Times New Roman" w:eastAsia="Times New Roman" w:hAnsi="Times New Roman" w:cs="Times New Roman"/>
          <w:i/>
          <w:sz w:val="24"/>
          <w:vertAlign w:val="subscript"/>
        </w:rPr>
        <w:t>local</w:t>
      </w:r>
      <w:r>
        <w:rPr>
          <w:rFonts w:ascii="Times New Roman" w:eastAsia="Times New Roman" w:hAnsi="Times New Roman" w:cs="Times New Roman"/>
          <w:sz w:val="24"/>
        </w:rPr>
        <w:t>, mesuared by Langmuire probe, corresponds to the center of the Gaussian function and at this posit</w:t>
      </w:r>
      <w:r>
        <w:rPr>
          <w:rFonts w:ascii="Times New Roman" w:eastAsia="Times New Roman" w:hAnsi="Times New Roman" w:cs="Times New Roman"/>
          <w:sz w:val="24"/>
        </w:rPr>
        <w:t xml:space="preserve">ion is 60 V, relative to chamber ground. This position for RFEA and Langmuire Probe is chosen because the position of the double layer is in the vicinity of the location of the maximum of the magnetic field gradient [3, 11].  </w:t>
      </w:r>
    </w:p>
    <w:p w:rsidR="0052701D" w:rsidRDefault="00D40929">
      <w:pPr>
        <w:spacing w:after="0" w:line="248" w:lineRule="auto"/>
        <w:ind w:left="-15" w:right="3" w:firstLine="706"/>
        <w:jc w:val="both"/>
      </w:pPr>
      <w:r>
        <w:rPr>
          <w:rFonts w:ascii="Times New Roman" w:eastAsia="Times New Roman" w:hAnsi="Times New Roman" w:cs="Times New Roman"/>
          <w:color w:val="222222"/>
          <w:sz w:val="24"/>
        </w:rPr>
        <w:t>Using the method from section</w:t>
      </w:r>
      <w:r>
        <w:rPr>
          <w:rFonts w:ascii="Times New Roman" w:eastAsia="Times New Roman" w:hAnsi="Times New Roman" w:cs="Times New Roman"/>
          <w:color w:val="222222"/>
          <w:sz w:val="24"/>
        </w:rPr>
        <w:t xml:space="preserve"> 3 of this paper we can evaluate intensity ratio dependence of </w:t>
      </w:r>
      <w:r>
        <w:rPr>
          <w:rFonts w:ascii="Times New Roman" w:eastAsia="Times New Roman" w:hAnsi="Times New Roman" w:cs="Times New Roman"/>
          <w:i/>
          <w:color w:val="222222"/>
          <w:sz w:val="24"/>
        </w:rPr>
        <w:t>T</w:t>
      </w:r>
      <w:r>
        <w:rPr>
          <w:rFonts w:ascii="Times New Roman" w:eastAsia="Times New Roman" w:hAnsi="Times New Roman" w:cs="Times New Roman"/>
          <w:i/>
          <w:color w:val="222222"/>
          <w:sz w:val="24"/>
          <w:vertAlign w:val="subscript"/>
        </w:rPr>
        <w:t>e</w:t>
      </w:r>
      <w:r>
        <w:rPr>
          <w:rFonts w:ascii="Times New Roman" w:eastAsia="Times New Roman" w:hAnsi="Times New Roman" w:cs="Times New Roman"/>
          <w:color w:val="222222"/>
          <w:sz w:val="24"/>
        </w:rPr>
        <w:t xml:space="preserve">. Figure 2 shows the results of the evaluation. Figure 1 shows the Argon spectra for </w:t>
      </w:r>
      <w:r>
        <w:rPr>
          <w:rFonts w:ascii="Times New Roman" w:eastAsia="Times New Roman" w:hAnsi="Times New Roman" w:cs="Times New Roman"/>
          <w:i/>
          <w:color w:val="222222"/>
          <w:sz w:val="24"/>
        </w:rPr>
        <w:t>P</w:t>
      </w:r>
      <w:r>
        <w:rPr>
          <w:rFonts w:ascii="Times New Roman" w:eastAsia="Times New Roman" w:hAnsi="Times New Roman" w:cs="Times New Roman"/>
          <w:color w:val="222222"/>
          <w:sz w:val="24"/>
        </w:rPr>
        <w:t xml:space="preserve">=120W, </w:t>
      </w:r>
      <w:r>
        <w:rPr>
          <w:rFonts w:ascii="Times New Roman" w:eastAsia="Times New Roman" w:hAnsi="Times New Roman" w:cs="Times New Roman"/>
          <w:i/>
          <w:color w:val="222222"/>
          <w:sz w:val="24"/>
        </w:rPr>
        <w:t>l</w:t>
      </w:r>
      <w:r>
        <w:rPr>
          <w:rFonts w:ascii="Times New Roman" w:eastAsia="Times New Roman" w:hAnsi="Times New Roman" w:cs="Times New Roman"/>
          <w:color w:val="222222"/>
          <w:sz w:val="24"/>
        </w:rPr>
        <w:t xml:space="preserve">=8.5mm. </w:t>
      </w:r>
    </w:p>
    <w:p w:rsidR="0052701D" w:rsidRDefault="00D40929">
      <w:pPr>
        <w:spacing w:after="0"/>
        <w:ind w:right="138"/>
        <w:jc w:val="center"/>
      </w:pPr>
      <w:r>
        <w:rPr>
          <w:rFonts w:ascii="Times New Roman" w:eastAsia="Times New Roman" w:hAnsi="Times New Roman" w:cs="Times New Roman"/>
          <w:color w:val="222222"/>
          <w:sz w:val="24"/>
        </w:rPr>
        <w:t xml:space="preserve">The results of both the probe and OES measurements are presented in the table 2. </w:t>
      </w:r>
    </w:p>
    <w:p w:rsidR="0052701D" w:rsidRDefault="00D40929">
      <w:pPr>
        <w:spacing w:after="0" w:line="248" w:lineRule="auto"/>
        <w:ind w:left="-15" w:right="3" w:firstLine="567"/>
        <w:jc w:val="both"/>
      </w:pPr>
      <w:r>
        <w:rPr>
          <w:rFonts w:ascii="Times New Roman" w:eastAsia="Times New Roman" w:hAnsi="Times New Roman" w:cs="Times New Roman"/>
          <w:color w:val="222222"/>
          <w:sz w:val="24"/>
        </w:rPr>
        <w:t xml:space="preserve">We can see that the probe and OES measured axial electron temperatures are in very good agreement along the z-axis. Inside the source and at the position of z=0 mm the electron temperature </w:t>
      </w:r>
      <w:r>
        <w:rPr>
          <w:rFonts w:ascii="Times New Roman" w:eastAsia="Times New Roman" w:hAnsi="Times New Roman" w:cs="Times New Roman"/>
          <w:i/>
          <w:color w:val="222222"/>
          <w:sz w:val="24"/>
        </w:rPr>
        <w:t>T</w:t>
      </w:r>
      <w:r>
        <w:rPr>
          <w:rFonts w:ascii="Times New Roman" w:eastAsia="Times New Roman" w:hAnsi="Times New Roman" w:cs="Times New Roman"/>
          <w:i/>
          <w:color w:val="222222"/>
          <w:sz w:val="24"/>
          <w:vertAlign w:val="subscript"/>
        </w:rPr>
        <w:t>e</w:t>
      </w:r>
      <w:r>
        <w:rPr>
          <w:rFonts w:ascii="Times New Roman" w:eastAsia="Times New Roman" w:hAnsi="Times New Roman" w:cs="Times New Roman"/>
          <w:color w:val="222222"/>
          <w:sz w:val="24"/>
        </w:rPr>
        <w:t xml:space="preserve"> is nearly constant. But after the z=0 mm point there is an elect</w:t>
      </w:r>
      <w:r>
        <w:rPr>
          <w:rFonts w:ascii="Times New Roman" w:eastAsia="Times New Roman" w:hAnsi="Times New Roman" w:cs="Times New Roman"/>
          <w:color w:val="222222"/>
          <w:sz w:val="24"/>
        </w:rPr>
        <w:t xml:space="preserve">ron temperature drop. This indicates that an energetic electron population exists upstream of the DL and disappears downstream. The existence of an energetic electron population leads to two different electron energy distributions between the upstream and </w:t>
      </w:r>
      <w:r>
        <w:rPr>
          <w:rFonts w:ascii="Times New Roman" w:eastAsia="Times New Roman" w:hAnsi="Times New Roman" w:cs="Times New Roman"/>
          <w:color w:val="222222"/>
          <w:sz w:val="24"/>
        </w:rPr>
        <w:t xml:space="preserve">downstream, and results in different electron population velocities, which cause a rapid change of the space potential that leads to plasma acceleration. Therefore, this may be one reason for the plasma acceleration in the magnetic nozzle. </w:t>
      </w:r>
    </w:p>
    <w:p w:rsidR="0052701D" w:rsidRDefault="00D40929">
      <w:pPr>
        <w:spacing w:after="0"/>
      </w:pPr>
      <w:r>
        <w:rPr>
          <w:rFonts w:ascii="Times New Roman" w:eastAsia="Times New Roman" w:hAnsi="Times New Roman" w:cs="Times New Roman"/>
          <w:color w:val="222222"/>
          <w:sz w:val="24"/>
        </w:rPr>
        <w:t xml:space="preserve"> </w:t>
      </w:r>
    </w:p>
    <w:p w:rsidR="0052701D" w:rsidRDefault="00D40929">
      <w:pPr>
        <w:spacing w:after="0"/>
        <w:ind w:right="228"/>
        <w:jc w:val="right"/>
      </w:pPr>
      <w:r>
        <w:rPr>
          <w:noProof/>
        </w:rPr>
        <w:lastRenderedPageBreak/>
        <mc:AlternateContent>
          <mc:Choice Requires="wpg">
            <w:drawing>
              <wp:inline distT="0" distB="0" distL="0" distR="0">
                <wp:extent cx="5565649" cy="2185695"/>
                <wp:effectExtent l="0" t="0" r="0" b="0"/>
                <wp:docPr id="966399" name="Group 966399"/>
                <wp:cNvGraphicFramePr/>
                <a:graphic xmlns:a="http://schemas.openxmlformats.org/drawingml/2006/main">
                  <a:graphicData uri="http://schemas.microsoft.com/office/word/2010/wordprocessingGroup">
                    <wpg:wgp>
                      <wpg:cNvGrpSpPr/>
                      <wpg:grpSpPr>
                        <a:xfrm>
                          <a:off x="0" y="0"/>
                          <a:ext cx="5565649" cy="2185695"/>
                          <a:chOff x="0" y="0"/>
                          <a:chExt cx="5565649" cy="2185695"/>
                        </a:xfrm>
                      </wpg:grpSpPr>
                      <wps:wsp>
                        <wps:cNvPr id="42581" name="Rectangle 42581"/>
                        <wps:cNvSpPr/>
                        <wps:spPr>
                          <a:xfrm>
                            <a:off x="2805684" y="2016988"/>
                            <a:ext cx="50673" cy="224380"/>
                          </a:xfrm>
                          <a:prstGeom prst="rect">
                            <a:avLst/>
                          </a:prstGeom>
                          <a:ln>
                            <a:noFill/>
                          </a:ln>
                        </wps:spPr>
                        <wps:txbx>
                          <w:txbxContent>
                            <w:p w:rsidR="0052701D" w:rsidRDefault="00D40929">
                              <w:r>
                                <w:rPr>
                                  <w:rFonts w:ascii="Times New Roman" w:eastAsia="Times New Roman" w:hAnsi="Times New Roman" w:cs="Times New Roman"/>
                                  <w:color w:val="222222"/>
                                  <w:sz w:val="24"/>
                                </w:rPr>
                                <w:t xml:space="preserve"> </w:t>
                              </w:r>
                            </w:p>
                          </w:txbxContent>
                        </wps:txbx>
                        <wps:bodyPr horzOverflow="overflow" vert="horz" lIns="0" tIns="0" rIns="0" bIns="0" rtlCol="0">
                          <a:noAutofit/>
                        </wps:bodyPr>
                      </wps:wsp>
                      <pic:pic xmlns:pic="http://schemas.openxmlformats.org/drawingml/2006/picture">
                        <pic:nvPicPr>
                          <pic:cNvPr id="42776" name="Picture 42776"/>
                          <pic:cNvPicPr/>
                        </pic:nvPicPr>
                        <pic:blipFill>
                          <a:blip r:embed="rId619"/>
                          <a:stretch>
                            <a:fillRect/>
                          </a:stretch>
                        </pic:blipFill>
                        <pic:spPr>
                          <a:xfrm>
                            <a:off x="0" y="0"/>
                            <a:ext cx="2804160" cy="2154936"/>
                          </a:xfrm>
                          <a:prstGeom prst="rect">
                            <a:avLst/>
                          </a:prstGeom>
                        </pic:spPr>
                      </pic:pic>
                      <pic:pic xmlns:pic="http://schemas.openxmlformats.org/drawingml/2006/picture">
                        <pic:nvPicPr>
                          <pic:cNvPr id="42778" name="Picture 42778"/>
                          <pic:cNvPicPr/>
                        </pic:nvPicPr>
                        <pic:blipFill>
                          <a:blip r:embed="rId620"/>
                          <a:stretch>
                            <a:fillRect/>
                          </a:stretch>
                        </pic:blipFill>
                        <pic:spPr>
                          <a:xfrm>
                            <a:off x="2901696" y="21336"/>
                            <a:ext cx="2663952" cy="2133600"/>
                          </a:xfrm>
                          <a:prstGeom prst="rect">
                            <a:avLst/>
                          </a:prstGeom>
                        </pic:spPr>
                      </pic:pic>
                    </wpg:wgp>
                  </a:graphicData>
                </a:graphic>
              </wp:inline>
            </w:drawing>
          </mc:Choice>
          <mc:Fallback xmlns:a="http://schemas.openxmlformats.org/drawingml/2006/main">
            <w:pict>
              <v:group id="Group 966399" style="width:438.24pt;height:172.102pt;mso-position-horizontal-relative:char;mso-position-vertical-relative:line" coordsize="55656,21856">
                <v:rect id="Rectangle 42581" style="position:absolute;width:506;height:2243;left:28056;top:20169;" filled="f" stroked="f">
                  <v:textbox inset="0,0,0,0">
                    <w:txbxContent>
                      <w:p>
                        <w:pPr>
                          <w:spacing w:before="0" w:after="160" w:line="259" w:lineRule="auto"/>
                        </w:pPr>
                        <w:r>
                          <w:rPr>
                            <w:rFonts w:cs="Times New Roman" w:hAnsi="Times New Roman" w:eastAsia="Times New Roman" w:ascii="Times New Roman"/>
                            <w:color w:val="222222"/>
                            <w:sz w:val="24"/>
                          </w:rPr>
                          <w:t xml:space="preserve"> </w:t>
                        </w:r>
                      </w:p>
                    </w:txbxContent>
                  </v:textbox>
                </v:rect>
                <v:shape id="Picture 42776" style="position:absolute;width:28041;height:21549;left:0;top:0;" filled="f">
                  <v:imagedata r:id="rId621"/>
                </v:shape>
                <v:shape id="Picture 42778" style="position:absolute;width:26639;height:21336;left:29016;top:213;" filled="f">
                  <v:imagedata r:id="rId622"/>
                </v:shape>
              </v:group>
            </w:pict>
          </mc:Fallback>
        </mc:AlternateContent>
      </w:r>
      <w:r>
        <w:rPr>
          <w:rFonts w:ascii="Times New Roman" w:eastAsia="Times New Roman" w:hAnsi="Times New Roman" w:cs="Times New Roman"/>
          <w:color w:val="222222"/>
          <w:sz w:val="24"/>
        </w:rPr>
        <w:t xml:space="preserve"> </w:t>
      </w:r>
    </w:p>
    <w:p w:rsidR="0052701D" w:rsidRDefault="00D40929">
      <w:pPr>
        <w:spacing w:after="0" w:line="248" w:lineRule="auto"/>
        <w:ind w:left="1848" w:right="3" w:hanging="1584"/>
        <w:jc w:val="both"/>
      </w:pPr>
      <w:r>
        <w:rPr>
          <w:rFonts w:ascii="Times New Roman" w:eastAsia="Times New Roman" w:hAnsi="Times New Roman" w:cs="Times New Roman"/>
          <w:color w:val="222222"/>
          <w:sz w:val="24"/>
        </w:rPr>
        <w:t>Figure</w:t>
      </w:r>
      <w:r>
        <w:rPr>
          <w:rFonts w:ascii="Times New Roman" w:eastAsia="Times New Roman" w:hAnsi="Times New Roman" w:cs="Times New Roman"/>
          <w:color w:val="222222"/>
          <w:sz w:val="24"/>
        </w:rPr>
        <w:t xml:space="preserve"> 1. The Argon spectra for </w:t>
      </w:r>
      <w:r>
        <w:rPr>
          <w:rFonts w:ascii="Times New Roman" w:eastAsia="Times New Roman" w:hAnsi="Times New Roman" w:cs="Times New Roman"/>
          <w:i/>
          <w:color w:val="222222"/>
          <w:sz w:val="24"/>
        </w:rPr>
        <w:t>P</w:t>
      </w:r>
      <w:r>
        <w:rPr>
          <w:rFonts w:ascii="Times New Roman" w:eastAsia="Times New Roman" w:hAnsi="Times New Roman" w:cs="Times New Roman"/>
          <w:color w:val="222222"/>
          <w:sz w:val="24"/>
        </w:rPr>
        <w:t xml:space="preserve">=120W, </w:t>
      </w:r>
      <w:r>
        <w:rPr>
          <w:rFonts w:ascii="Times New Roman" w:eastAsia="Times New Roman" w:hAnsi="Times New Roman" w:cs="Times New Roman"/>
          <w:color w:val="222222"/>
          <w:sz w:val="24"/>
        </w:rPr>
        <w:tab/>
        <w:t xml:space="preserve">Figure 2. The intensity ration dependence of </w:t>
      </w:r>
      <w:r>
        <w:rPr>
          <w:rFonts w:ascii="Times New Roman" w:eastAsia="Times New Roman" w:hAnsi="Times New Roman" w:cs="Times New Roman"/>
          <w:i/>
          <w:color w:val="222222"/>
          <w:sz w:val="24"/>
        </w:rPr>
        <w:t>l</w:t>
      </w:r>
      <w:r>
        <w:rPr>
          <w:rFonts w:ascii="Times New Roman" w:eastAsia="Times New Roman" w:hAnsi="Times New Roman" w:cs="Times New Roman"/>
          <w:color w:val="222222"/>
          <w:sz w:val="24"/>
        </w:rPr>
        <w:t xml:space="preserve">=8.5mm </w:t>
      </w:r>
      <w:r>
        <w:rPr>
          <w:rFonts w:ascii="Times New Roman" w:eastAsia="Times New Roman" w:hAnsi="Times New Roman" w:cs="Times New Roman"/>
          <w:color w:val="222222"/>
          <w:sz w:val="24"/>
        </w:rPr>
        <w:tab/>
      </w:r>
      <w:r>
        <w:rPr>
          <w:rFonts w:ascii="Times New Roman" w:eastAsia="Times New Roman" w:hAnsi="Times New Roman" w:cs="Times New Roman"/>
          <w:i/>
          <w:color w:val="222222"/>
          <w:sz w:val="24"/>
        </w:rPr>
        <w:t>T</w:t>
      </w:r>
      <w:r>
        <w:rPr>
          <w:rFonts w:ascii="Times New Roman" w:eastAsia="Times New Roman" w:hAnsi="Times New Roman" w:cs="Times New Roman"/>
          <w:i/>
          <w:color w:val="222222"/>
          <w:sz w:val="24"/>
          <w:vertAlign w:val="subscript"/>
        </w:rPr>
        <w:t>e</w:t>
      </w:r>
      <w:r>
        <w:rPr>
          <w:rFonts w:ascii="Times New Roman" w:eastAsia="Times New Roman" w:hAnsi="Times New Roman" w:cs="Times New Roman"/>
          <w:color w:val="222222"/>
          <w:sz w:val="24"/>
        </w:rPr>
        <w:t xml:space="preserve"> </w:t>
      </w:r>
    </w:p>
    <w:p w:rsidR="0052701D" w:rsidRDefault="00D40929">
      <w:pPr>
        <w:spacing w:after="0"/>
      </w:pPr>
      <w:r>
        <w:rPr>
          <w:rFonts w:ascii="Times New Roman" w:eastAsia="Times New Roman" w:hAnsi="Times New Roman" w:cs="Times New Roman"/>
          <w:color w:val="222222"/>
          <w:sz w:val="24"/>
        </w:rPr>
        <w:t xml:space="preserve"> </w:t>
      </w:r>
    </w:p>
    <w:p w:rsidR="0052701D" w:rsidRDefault="00D40929">
      <w:pPr>
        <w:spacing w:after="119" w:line="248" w:lineRule="auto"/>
        <w:ind w:left="716" w:right="3" w:hanging="10"/>
        <w:jc w:val="both"/>
      </w:pPr>
      <w:r>
        <w:rPr>
          <w:rFonts w:ascii="Times New Roman" w:eastAsia="Times New Roman" w:hAnsi="Times New Roman" w:cs="Times New Roman"/>
          <w:b/>
          <w:color w:val="222222"/>
          <w:sz w:val="24"/>
        </w:rPr>
        <w:t>Table 2.</w:t>
      </w:r>
      <w:r>
        <w:rPr>
          <w:rFonts w:ascii="Times New Roman" w:eastAsia="Times New Roman" w:hAnsi="Times New Roman" w:cs="Times New Roman"/>
          <w:color w:val="222222"/>
          <w:sz w:val="24"/>
        </w:rPr>
        <w:t xml:space="preserve"> Measurement results </w:t>
      </w:r>
    </w:p>
    <w:p w:rsidR="0052701D" w:rsidRDefault="00D40929">
      <w:pPr>
        <w:spacing w:after="330" w:line="248" w:lineRule="auto"/>
        <w:ind w:left="1105" w:right="85" w:firstLine="120"/>
        <w:jc w:val="both"/>
      </w:pPr>
      <w:r>
        <w:rPr>
          <w:noProof/>
        </w:rPr>
        <mc:AlternateContent>
          <mc:Choice Requires="wpg">
            <w:drawing>
              <wp:anchor distT="0" distB="0" distL="114300" distR="114300" simplePos="0" relativeHeight="251767808" behindDoc="1" locked="0" layoutInCell="1" allowOverlap="1">
                <wp:simplePos x="0" y="0"/>
                <wp:positionH relativeFrom="column">
                  <wp:posOffset>460578</wp:posOffset>
                </wp:positionH>
                <wp:positionV relativeFrom="paragraph">
                  <wp:posOffset>-7467</wp:posOffset>
                </wp:positionV>
                <wp:extent cx="4842307" cy="767667"/>
                <wp:effectExtent l="0" t="0" r="0" b="0"/>
                <wp:wrapNone/>
                <wp:docPr id="966395" name="Group 966395"/>
                <wp:cNvGraphicFramePr/>
                <a:graphic xmlns:a="http://schemas.openxmlformats.org/drawingml/2006/main">
                  <a:graphicData uri="http://schemas.microsoft.com/office/word/2010/wordprocessingGroup">
                    <wpg:wgp>
                      <wpg:cNvGrpSpPr/>
                      <wpg:grpSpPr>
                        <a:xfrm>
                          <a:off x="0" y="0"/>
                          <a:ext cx="4842307" cy="767667"/>
                          <a:chOff x="0" y="0"/>
                          <a:chExt cx="4842307" cy="767667"/>
                        </a:xfrm>
                      </wpg:grpSpPr>
                      <wps:wsp>
                        <wps:cNvPr id="1065381" name="Shape 1065381"/>
                        <wps:cNvSpPr/>
                        <wps:spPr>
                          <a:xfrm>
                            <a:off x="0" y="0"/>
                            <a:ext cx="969569" cy="9144"/>
                          </a:xfrm>
                          <a:custGeom>
                            <a:avLst/>
                            <a:gdLst/>
                            <a:ahLst/>
                            <a:cxnLst/>
                            <a:rect l="0" t="0" r="0" b="0"/>
                            <a:pathLst>
                              <a:path w="969569" h="9144">
                                <a:moveTo>
                                  <a:pt x="0" y="0"/>
                                </a:moveTo>
                                <a:lnTo>
                                  <a:pt x="969569" y="0"/>
                                </a:lnTo>
                                <a:lnTo>
                                  <a:pt x="96956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65382" name="Shape 1065382"/>
                        <wps:cNvSpPr/>
                        <wps:spPr>
                          <a:xfrm>
                            <a:off x="969518"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65383" name="Shape 1065383"/>
                        <wps:cNvSpPr/>
                        <wps:spPr>
                          <a:xfrm>
                            <a:off x="975614" y="0"/>
                            <a:ext cx="1704721" cy="9144"/>
                          </a:xfrm>
                          <a:custGeom>
                            <a:avLst/>
                            <a:gdLst/>
                            <a:ahLst/>
                            <a:cxnLst/>
                            <a:rect l="0" t="0" r="0" b="0"/>
                            <a:pathLst>
                              <a:path w="1704721" h="9144">
                                <a:moveTo>
                                  <a:pt x="0" y="0"/>
                                </a:moveTo>
                                <a:lnTo>
                                  <a:pt x="1704721" y="0"/>
                                </a:lnTo>
                                <a:lnTo>
                                  <a:pt x="170472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65384" name="Shape 1065384"/>
                        <wps:cNvSpPr/>
                        <wps:spPr>
                          <a:xfrm>
                            <a:off x="268033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65385" name="Shape 1065385"/>
                        <wps:cNvSpPr/>
                        <wps:spPr>
                          <a:xfrm>
                            <a:off x="2686431" y="0"/>
                            <a:ext cx="804977" cy="9144"/>
                          </a:xfrm>
                          <a:custGeom>
                            <a:avLst/>
                            <a:gdLst/>
                            <a:ahLst/>
                            <a:cxnLst/>
                            <a:rect l="0" t="0" r="0" b="0"/>
                            <a:pathLst>
                              <a:path w="804977" h="9144">
                                <a:moveTo>
                                  <a:pt x="0" y="0"/>
                                </a:moveTo>
                                <a:lnTo>
                                  <a:pt x="804977" y="0"/>
                                </a:lnTo>
                                <a:lnTo>
                                  <a:pt x="80497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65386" name="Shape 1065386"/>
                        <wps:cNvSpPr/>
                        <wps:spPr>
                          <a:xfrm>
                            <a:off x="349148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65387" name="Shape 1065387"/>
                        <wps:cNvSpPr/>
                        <wps:spPr>
                          <a:xfrm>
                            <a:off x="3497580" y="0"/>
                            <a:ext cx="713537" cy="9144"/>
                          </a:xfrm>
                          <a:custGeom>
                            <a:avLst/>
                            <a:gdLst/>
                            <a:ahLst/>
                            <a:cxnLst/>
                            <a:rect l="0" t="0" r="0" b="0"/>
                            <a:pathLst>
                              <a:path w="713537" h="9144">
                                <a:moveTo>
                                  <a:pt x="0" y="0"/>
                                </a:moveTo>
                                <a:lnTo>
                                  <a:pt x="713537" y="0"/>
                                </a:lnTo>
                                <a:lnTo>
                                  <a:pt x="71353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65388" name="Shape 1065388"/>
                        <wps:cNvSpPr/>
                        <wps:spPr>
                          <a:xfrm>
                            <a:off x="4211066"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65389" name="Shape 1065389"/>
                        <wps:cNvSpPr/>
                        <wps:spPr>
                          <a:xfrm>
                            <a:off x="4217162" y="0"/>
                            <a:ext cx="625145" cy="9144"/>
                          </a:xfrm>
                          <a:custGeom>
                            <a:avLst/>
                            <a:gdLst/>
                            <a:ahLst/>
                            <a:cxnLst/>
                            <a:rect l="0" t="0" r="0" b="0"/>
                            <a:pathLst>
                              <a:path w="625145" h="9144">
                                <a:moveTo>
                                  <a:pt x="0" y="0"/>
                                </a:moveTo>
                                <a:lnTo>
                                  <a:pt x="625145" y="0"/>
                                </a:lnTo>
                                <a:lnTo>
                                  <a:pt x="62514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2619" name="Rectangle 42619"/>
                        <wps:cNvSpPr/>
                        <wps:spPr>
                          <a:xfrm>
                            <a:off x="182880" y="396825"/>
                            <a:ext cx="88374" cy="202692"/>
                          </a:xfrm>
                          <a:prstGeom prst="rect">
                            <a:avLst/>
                          </a:prstGeom>
                          <a:ln>
                            <a:noFill/>
                          </a:ln>
                        </wps:spPr>
                        <wps:txbx>
                          <w:txbxContent>
                            <w:p w:rsidR="0052701D" w:rsidRDefault="00D40929">
                              <w:r>
                                <w:rPr>
                                  <w:rFonts w:ascii="Cambria Math" w:eastAsia="Cambria Math" w:hAnsi="Cambria Math" w:cs="Cambria Math"/>
                                  <w:color w:val="222222"/>
                                  <w:sz w:val="24"/>
                                </w:rPr>
                                <w:t>𝑰</w:t>
                              </w:r>
                            </w:p>
                          </w:txbxContent>
                        </wps:txbx>
                        <wps:bodyPr horzOverflow="overflow" vert="horz" lIns="0" tIns="0" rIns="0" bIns="0" rtlCol="0">
                          <a:noAutofit/>
                        </wps:bodyPr>
                      </wps:wsp>
                      <wps:wsp>
                        <wps:cNvPr id="42620" name="Rectangle 42620"/>
                        <wps:cNvSpPr/>
                        <wps:spPr>
                          <a:xfrm>
                            <a:off x="249936" y="478107"/>
                            <a:ext cx="255108" cy="141884"/>
                          </a:xfrm>
                          <a:prstGeom prst="rect">
                            <a:avLst/>
                          </a:prstGeom>
                          <a:ln>
                            <a:noFill/>
                          </a:ln>
                        </wps:spPr>
                        <wps:txbx>
                          <w:txbxContent>
                            <w:p w:rsidR="0052701D" w:rsidRDefault="00D40929">
                              <w:r>
                                <w:rPr>
                                  <w:rFonts w:ascii="Cambria Math" w:eastAsia="Cambria Math" w:hAnsi="Cambria Math" w:cs="Cambria Math"/>
                                  <w:color w:val="222222"/>
                                  <w:sz w:val="17"/>
                                </w:rPr>
                                <w:t>𝟖𝟏𝟏</w:t>
                              </w:r>
                            </w:p>
                          </w:txbxContent>
                        </wps:txbx>
                        <wps:bodyPr horzOverflow="overflow" vert="horz" lIns="0" tIns="0" rIns="0" bIns="0" rtlCol="0">
                          <a:noAutofit/>
                        </wps:bodyPr>
                      </wps:wsp>
                      <wps:wsp>
                        <wps:cNvPr id="42621" name="Rectangle 42621"/>
                        <wps:cNvSpPr/>
                        <wps:spPr>
                          <a:xfrm>
                            <a:off x="249936" y="353139"/>
                            <a:ext cx="246129" cy="141884"/>
                          </a:xfrm>
                          <a:prstGeom prst="rect">
                            <a:avLst/>
                          </a:prstGeom>
                          <a:ln>
                            <a:noFill/>
                          </a:ln>
                        </wps:spPr>
                        <wps:txbx>
                          <w:txbxContent>
                            <w:p w:rsidR="0052701D" w:rsidRDefault="00D40929">
                              <w:r>
                                <w:rPr>
                                  <w:rFonts w:ascii="Cambria Math" w:eastAsia="Cambria Math" w:hAnsi="Cambria Math" w:cs="Cambria Math"/>
                                  <w:color w:val="222222"/>
                                  <w:sz w:val="17"/>
                                </w:rPr>
                                <w:t>𝒆𝒙𝒑</w:t>
                              </w:r>
                            </w:p>
                          </w:txbxContent>
                        </wps:txbx>
                        <wps:bodyPr horzOverflow="overflow" vert="horz" lIns="0" tIns="0" rIns="0" bIns="0" rtlCol="0">
                          <a:noAutofit/>
                        </wps:bodyPr>
                      </wps:wsp>
                      <wps:wsp>
                        <wps:cNvPr id="42622" name="Rectangle 42622"/>
                        <wps:cNvSpPr/>
                        <wps:spPr>
                          <a:xfrm>
                            <a:off x="448310" y="396825"/>
                            <a:ext cx="99319" cy="202692"/>
                          </a:xfrm>
                          <a:prstGeom prst="rect">
                            <a:avLst/>
                          </a:prstGeom>
                          <a:ln>
                            <a:noFill/>
                          </a:ln>
                        </wps:spPr>
                        <wps:txbx>
                          <w:txbxContent>
                            <w:p w:rsidR="0052701D" w:rsidRDefault="00D40929">
                              <w:r>
                                <w:rPr>
                                  <w:rFonts w:ascii="Cambria Math" w:eastAsia="Cambria Math" w:hAnsi="Cambria Math" w:cs="Cambria Math"/>
                                  <w:color w:val="222222"/>
                                  <w:sz w:val="24"/>
                                </w:rPr>
                                <w:t>/</w:t>
                              </w:r>
                            </w:p>
                          </w:txbxContent>
                        </wps:txbx>
                        <wps:bodyPr horzOverflow="overflow" vert="horz" lIns="0" tIns="0" rIns="0" bIns="0" rtlCol="0">
                          <a:noAutofit/>
                        </wps:bodyPr>
                      </wps:wsp>
                      <wps:wsp>
                        <wps:cNvPr id="42623" name="Rectangle 42623"/>
                        <wps:cNvSpPr/>
                        <wps:spPr>
                          <a:xfrm>
                            <a:off x="524510" y="396825"/>
                            <a:ext cx="88374" cy="202692"/>
                          </a:xfrm>
                          <a:prstGeom prst="rect">
                            <a:avLst/>
                          </a:prstGeom>
                          <a:ln>
                            <a:noFill/>
                          </a:ln>
                        </wps:spPr>
                        <wps:txbx>
                          <w:txbxContent>
                            <w:p w:rsidR="0052701D" w:rsidRDefault="00D40929">
                              <w:r>
                                <w:rPr>
                                  <w:rFonts w:ascii="Cambria Math" w:eastAsia="Cambria Math" w:hAnsi="Cambria Math" w:cs="Cambria Math"/>
                                  <w:color w:val="222222"/>
                                  <w:sz w:val="24"/>
                                </w:rPr>
                                <w:t>𝑰</w:t>
                              </w:r>
                            </w:p>
                          </w:txbxContent>
                        </wps:txbx>
                        <wps:bodyPr horzOverflow="overflow" vert="horz" lIns="0" tIns="0" rIns="0" bIns="0" rtlCol="0">
                          <a:noAutofit/>
                        </wps:bodyPr>
                      </wps:wsp>
                      <wps:wsp>
                        <wps:cNvPr id="42624" name="Rectangle 42624"/>
                        <wps:cNvSpPr/>
                        <wps:spPr>
                          <a:xfrm>
                            <a:off x="591566" y="481155"/>
                            <a:ext cx="255108" cy="141884"/>
                          </a:xfrm>
                          <a:prstGeom prst="rect">
                            <a:avLst/>
                          </a:prstGeom>
                          <a:ln>
                            <a:noFill/>
                          </a:ln>
                        </wps:spPr>
                        <wps:txbx>
                          <w:txbxContent>
                            <w:p w:rsidR="0052701D" w:rsidRDefault="00D40929">
                              <w:r>
                                <w:rPr>
                                  <w:rFonts w:ascii="Cambria Math" w:eastAsia="Cambria Math" w:hAnsi="Cambria Math" w:cs="Cambria Math"/>
                                  <w:color w:val="222222"/>
                                  <w:sz w:val="17"/>
                                </w:rPr>
                                <w:t>𝟕𝟓𝟎</w:t>
                              </w:r>
                            </w:p>
                          </w:txbxContent>
                        </wps:txbx>
                        <wps:bodyPr horzOverflow="overflow" vert="horz" lIns="0" tIns="0" rIns="0" bIns="0" rtlCol="0">
                          <a:noAutofit/>
                        </wps:bodyPr>
                      </wps:wsp>
                      <wps:wsp>
                        <wps:cNvPr id="42625" name="Rectangle 42625"/>
                        <wps:cNvSpPr/>
                        <wps:spPr>
                          <a:xfrm>
                            <a:off x="591566" y="353139"/>
                            <a:ext cx="246129" cy="141884"/>
                          </a:xfrm>
                          <a:prstGeom prst="rect">
                            <a:avLst/>
                          </a:prstGeom>
                          <a:ln>
                            <a:noFill/>
                          </a:ln>
                        </wps:spPr>
                        <wps:txbx>
                          <w:txbxContent>
                            <w:p w:rsidR="0052701D" w:rsidRDefault="00D40929">
                              <w:r>
                                <w:rPr>
                                  <w:rFonts w:ascii="Cambria Math" w:eastAsia="Cambria Math" w:hAnsi="Cambria Math" w:cs="Cambria Math"/>
                                  <w:color w:val="222222"/>
                                  <w:sz w:val="17"/>
                                </w:rPr>
                                <w:t>𝒆𝒙𝒑</w:t>
                              </w:r>
                            </w:p>
                          </w:txbxContent>
                        </wps:txbx>
                        <wps:bodyPr horzOverflow="overflow" vert="horz" lIns="0" tIns="0" rIns="0" bIns="0" rtlCol="0">
                          <a:noAutofit/>
                        </wps:bodyPr>
                      </wps:wsp>
                      <wps:wsp>
                        <wps:cNvPr id="42626" name="Rectangle 42626"/>
                        <wps:cNvSpPr/>
                        <wps:spPr>
                          <a:xfrm>
                            <a:off x="789686" y="379578"/>
                            <a:ext cx="50673" cy="224380"/>
                          </a:xfrm>
                          <a:prstGeom prst="rect">
                            <a:avLst/>
                          </a:prstGeom>
                          <a:ln>
                            <a:noFill/>
                          </a:ln>
                        </wps:spPr>
                        <wps:txbx>
                          <w:txbxContent>
                            <w:p w:rsidR="0052701D" w:rsidRDefault="00D40929">
                              <w:r>
                                <w:rPr>
                                  <w:rFonts w:ascii="Times New Roman" w:eastAsia="Times New Roman" w:hAnsi="Times New Roman" w:cs="Times New Roman"/>
                                  <w:color w:val="222222"/>
                                  <w:sz w:val="24"/>
                                </w:rPr>
                                <w:t xml:space="preserve"> </w:t>
                              </w:r>
                            </w:p>
                          </w:txbxContent>
                        </wps:txbx>
                        <wps:bodyPr horzOverflow="overflow" vert="horz" lIns="0" tIns="0" rIns="0" bIns="0" rtlCol="0">
                          <a:noAutofit/>
                        </wps:bodyPr>
                      </wps:wsp>
                      <wps:wsp>
                        <wps:cNvPr id="42627" name="Rectangle 42627"/>
                        <wps:cNvSpPr/>
                        <wps:spPr>
                          <a:xfrm>
                            <a:off x="1692275" y="364338"/>
                            <a:ext cx="356535" cy="224380"/>
                          </a:xfrm>
                          <a:prstGeom prst="rect">
                            <a:avLst/>
                          </a:prstGeom>
                          <a:ln>
                            <a:noFill/>
                          </a:ln>
                        </wps:spPr>
                        <wps:txbx>
                          <w:txbxContent>
                            <w:p w:rsidR="0052701D" w:rsidRDefault="00D40929">
                              <w:r>
                                <w:rPr>
                                  <w:rFonts w:ascii="Times New Roman" w:eastAsia="Times New Roman" w:hAnsi="Times New Roman" w:cs="Times New Roman"/>
                                  <w:color w:val="222222"/>
                                  <w:sz w:val="24"/>
                                </w:rPr>
                                <w:t>0.65</w:t>
                              </w:r>
                            </w:p>
                          </w:txbxContent>
                        </wps:txbx>
                        <wps:bodyPr horzOverflow="overflow" vert="horz" lIns="0" tIns="0" rIns="0" bIns="0" rtlCol="0">
                          <a:noAutofit/>
                        </wps:bodyPr>
                      </wps:wsp>
                      <wps:wsp>
                        <wps:cNvPr id="42628" name="Rectangle 42628"/>
                        <wps:cNvSpPr/>
                        <wps:spPr>
                          <a:xfrm>
                            <a:off x="1957705" y="364338"/>
                            <a:ext cx="50673" cy="224380"/>
                          </a:xfrm>
                          <a:prstGeom prst="rect">
                            <a:avLst/>
                          </a:prstGeom>
                          <a:ln>
                            <a:noFill/>
                          </a:ln>
                        </wps:spPr>
                        <wps:txbx>
                          <w:txbxContent>
                            <w:p w:rsidR="0052701D" w:rsidRDefault="00D40929">
                              <w:r>
                                <w:rPr>
                                  <w:rFonts w:ascii="Times New Roman" w:eastAsia="Times New Roman" w:hAnsi="Times New Roman" w:cs="Times New Roman"/>
                                  <w:color w:val="222222"/>
                                  <w:sz w:val="24"/>
                                </w:rPr>
                                <w:t xml:space="preserve"> </w:t>
                              </w:r>
                            </w:p>
                          </w:txbxContent>
                        </wps:txbx>
                        <wps:bodyPr horzOverflow="overflow" vert="horz" lIns="0" tIns="0" rIns="0" bIns="0" rtlCol="0">
                          <a:noAutofit/>
                        </wps:bodyPr>
                      </wps:wsp>
                      <wps:wsp>
                        <wps:cNvPr id="42629" name="Rectangle 42629"/>
                        <wps:cNvSpPr/>
                        <wps:spPr>
                          <a:xfrm>
                            <a:off x="2954655" y="364338"/>
                            <a:ext cx="356535" cy="224380"/>
                          </a:xfrm>
                          <a:prstGeom prst="rect">
                            <a:avLst/>
                          </a:prstGeom>
                          <a:ln>
                            <a:noFill/>
                          </a:ln>
                        </wps:spPr>
                        <wps:txbx>
                          <w:txbxContent>
                            <w:p w:rsidR="0052701D" w:rsidRDefault="00D40929">
                              <w:r>
                                <w:rPr>
                                  <w:rFonts w:ascii="Times New Roman" w:eastAsia="Times New Roman" w:hAnsi="Times New Roman" w:cs="Times New Roman"/>
                                  <w:color w:val="222222"/>
                                  <w:sz w:val="24"/>
                                </w:rPr>
                                <w:t>0.69</w:t>
                              </w:r>
                            </w:p>
                          </w:txbxContent>
                        </wps:txbx>
                        <wps:bodyPr horzOverflow="overflow" vert="horz" lIns="0" tIns="0" rIns="0" bIns="0" rtlCol="0">
                          <a:noAutofit/>
                        </wps:bodyPr>
                      </wps:wsp>
                      <wps:wsp>
                        <wps:cNvPr id="42630" name="Rectangle 42630"/>
                        <wps:cNvSpPr/>
                        <wps:spPr>
                          <a:xfrm>
                            <a:off x="3219831" y="364338"/>
                            <a:ext cx="50673" cy="224380"/>
                          </a:xfrm>
                          <a:prstGeom prst="rect">
                            <a:avLst/>
                          </a:prstGeom>
                          <a:ln>
                            <a:noFill/>
                          </a:ln>
                        </wps:spPr>
                        <wps:txbx>
                          <w:txbxContent>
                            <w:p w:rsidR="0052701D" w:rsidRDefault="00D40929">
                              <w:r>
                                <w:rPr>
                                  <w:rFonts w:ascii="Times New Roman" w:eastAsia="Times New Roman" w:hAnsi="Times New Roman" w:cs="Times New Roman"/>
                                  <w:color w:val="222222"/>
                                  <w:sz w:val="24"/>
                                </w:rPr>
                                <w:t xml:space="preserve"> </w:t>
                              </w:r>
                            </w:p>
                          </w:txbxContent>
                        </wps:txbx>
                        <wps:bodyPr horzOverflow="overflow" vert="horz" lIns="0" tIns="0" rIns="0" bIns="0" rtlCol="0">
                          <a:noAutofit/>
                        </wps:bodyPr>
                      </wps:wsp>
                      <wps:wsp>
                        <wps:cNvPr id="42631" name="Rectangle 42631"/>
                        <wps:cNvSpPr/>
                        <wps:spPr>
                          <a:xfrm>
                            <a:off x="3720084" y="364338"/>
                            <a:ext cx="356535" cy="224380"/>
                          </a:xfrm>
                          <a:prstGeom prst="rect">
                            <a:avLst/>
                          </a:prstGeom>
                          <a:ln>
                            <a:noFill/>
                          </a:ln>
                        </wps:spPr>
                        <wps:txbx>
                          <w:txbxContent>
                            <w:p w:rsidR="0052701D" w:rsidRDefault="00D40929">
                              <w:r>
                                <w:rPr>
                                  <w:rFonts w:ascii="Times New Roman" w:eastAsia="Times New Roman" w:hAnsi="Times New Roman" w:cs="Times New Roman"/>
                                  <w:color w:val="222222"/>
                                  <w:sz w:val="24"/>
                                </w:rPr>
                                <w:t>0.72</w:t>
                              </w:r>
                            </w:p>
                          </w:txbxContent>
                        </wps:txbx>
                        <wps:bodyPr horzOverflow="overflow" vert="horz" lIns="0" tIns="0" rIns="0" bIns="0" rtlCol="0">
                          <a:noAutofit/>
                        </wps:bodyPr>
                      </wps:wsp>
                      <wps:wsp>
                        <wps:cNvPr id="42632" name="Rectangle 42632"/>
                        <wps:cNvSpPr/>
                        <wps:spPr>
                          <a:xfrm>
                            <a:off x="3985514" y="364338"/>
                            <a:ext cx="50673" cy="224380"/>
                          </a:xfrm>
                          <a:prstGeom prst="rect">
                            <a:avLst/>
                          </a:prstGeom>
                          <a:ln>
                            <a:noFill/>
                          </a:ln>
                        </wps:spPr>
                        <wps:txbx>
                          <w:txbxContent>
                            <w:p w:rsidR="0052701D" w:rsidRDefault="00D40929">
                              <w:r>
                                <w:rPr>
                                  <w:rFonts w:ascii="Times New Roman" w:eastAsia="Times New Roman" w:hAnsi="Times New Roman" w:cs="Times New Roman"/>
                                  <w:color w:val="222222"/>
                                  <w:sz w:val="24"/>
                                </w:rPr>
                                <w:t xml:space="preserve"> </w:t>
                              </w:r>
                            </w:p>
                          </w:txbxContent>
                        </wps:txbx>
                        <wps:bodyPr horzOverflow="overflow" vert="horz" lIns="0" tIns="0" rIns="0" bIns="0" rtlCol="0">
                          <a:noAutofit/>
                        </wps:bodyPr>
                      </wps:wsp>
                      <wps:wsp>
                        <wps:cNvPr id="42633" name="Rectangle 42633"/>
                        <wps:cNvSpPr/>
                        <wps:spPr>
                          <a:xfrm>
                            <a:off x="4393946" y="364338"/>
                            <a:ext cx="356535" cy="224380"/>
                          </a:xfrm>
                          <a:prstGeom prst="rect">
                            <a:avLst/>
                          </a:prstGeom>
                          <a:ln>
                            <a:noFill/>
                          </a:ln>
                        </wps:spPr>
                        <wps:txbx>
                          <w:txbxContent>
                            <w:p w:rsidR="0052701D" w:rsidRDefault="00D40929">
                              <w:r>
                                <w:rPr>
                                  <w:rFonts w:ascii="Times New Roman" w:eastAsia="Times New Roman" w:hAnsi="Times New Roman" w:cs="Times New Roman"/>
                                  <w:color w:val="222222"/>
                                  <w:sz w:val="24"/>
                                </w:rPr>
                                <w:t>0.76</w:t>
                              </w:r>
                            </w:p>
                          </w:txbxContent>
                        </wps:txbx>
                        <wps:bodyPr horzOverflow="overflow" vert="horz" lIns="0" tIns="0" rIns="0" bIns="0" rtlCol="0">
                          <a:noAutofit/>
                        </wps:bodyPr>
                      </wps:wsp>
                      <wps:wsp>
                        <wps:cNvPr id="42634" name="Rectangle 42634"/>
                        <wps:cNvSpPr/>
                        <wps:spPr>
                          <a:xfrm>
                            <a:off x="4659122" y="364338"/>
                            <a:ext cx="50673" cy="224380"/>
                          </a:xfrm>
                          <a:prstGeom prst="rect">
                            <a:avLst/>
                          </a:prstGeom>
                          <a:ln>
                            <a:noFill/>
                          </a:ln>
                        </wps:spPr>
                        <wps:txbx>
                          <w:txbxContent>
                            <w:p w:rsidR="0052701D" w:rsidRDefault="00D40929">
                              <w:r>
                                <w:rPr>
                                  <w:rFonts w:ascii="Times New Roman" w:eastAsia="Times New Roman" w:hAnsi="Times New Roman" w:cs="Times New Roman"/>
                                  <w:color w:val="222222"/>
                                  <w:sz w:val="24"/>
                                </w:rPr>
                                <w:t xml:space="preserve"> </w:t>
                              </w:r>
                            </w:p>
                          </w:txbxContent>
                        </wps:txbx>
                        <wps:bodyPr horzOverflow="overflow" vert="horz" lIns="0" tIns="0" rIns="0" bIns="0" rtlCol="0">
                          <a:noAutofit/>
                        </wps:bodyPr>
                      </wps:wsp>
                      <wps:wsp>
                        <wps:cNvPr id="1065390" name="Shape 1065390"/>
                        <wps:cNvSpPr/>
                        <wps:spPr>
                          <a:xfrm>
                            <a:off x="0" y="356870"/>
                            <a:ext cx="969569" cy="9144"/>
                          </a:xfrm>
                          <a:custGeom>
                            <a:avLst/>
                            <a:gdLst/>
                            <a:ahLst/>
                            <a:cxnLst/>
                            <a:rect l="0" t="0" r="0" b="0"/>
                            <a:pathLst>
                              <a:path w="969569" h="9144">
                                <a:moveTo>
                                  <a:pt x="0" y="0"/>
                                </a:moveTo>
                                <a:lnTo>
                                  <a:pt x="969569" y="0"/>
                                </a:lnTo>
                                <a:lnTo>
                                  <a:pt x="96956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65391" name="Shape 1065391"/>
                        <wps:cNvSpPr/>
                        <wps:spPr>
                          <a:xfrm>
                            <a:off x="969518" y="35687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65392" name="Shape 1065392"/>
                        <wps:cNvSpPr/>
                        <wps:spPr>
                          <a:xfrm>
                            <a:off x="975614" y="356870"/>
                            <a:ext cx="1704721" cy="9144"/>
                          </a:xfrm>
                          <a:custGeom>
                            <a:avLst/>
                            <a:gdLst/>
                            <a:ahLst/>
                            <a:cxnLst/>
                            <a:rect l="0" t="0" r="0" b="0"/>
                            <a:pathLst>
                              <a:path w="1704721" h="9144">
                                <a:moveTo>
                                  <a:pt x="0" y="0"/>
                                </a:moveTo>
                                <a:lnTo>
                                  <a:pt x="1704721" y="0"/>
                                </a:lnTo>
                                <a:lnTo>
                                  <a:pt x="170472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65393" name="Shape 1065393"/>
                        <wps:cNvSpPr/>
                        <wps:spPr>
                          <a:xfrm>
                            <a:off x="2680335" y="35687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65394" name="Shape 1065394"/>
                        <wps:cNvSpPr/>
                        <wps:spPr>
                          <a:xfrm>
                            <a:off x="2686431" y="356870"/>
                            <a:ext cx="804977" cy="9144"/>
                          </a:xfrm>
                          <a:custGeom>
                            <a:avLst/>
                            <a:gdLst/>
                            <a:ahLst/>
                            <a:cxnLst/>
                            <a:rect l="0" t="0" r="0" b="0"/>
                            <a:pathLst>
                              <a:path w="804977" h="9144">
                                <a:moveTo>
                                  <a:pt x="0" y="0"/>
                                </a:moveTo>
                                <a:lnTo>
                                  <a:pt x="804977" y="0"/>
                                </a:lnTo>
                                <a:lnTo>
                                  <a:pt x="80497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65395" name="Shape 1065395"/>
                        <wps:cNvSpPr/>
                        <wps:spPr>
                          <a:xfrm>
                            <a:off x="3491484" y="35687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65396" name="Shape 1065396"/>
                        <wps:cNvSpPr/>
                        <wps:spPr>
                          <a:xfrm>
                            <a:off x="3497580" y="356870"/>
                            <a:ext cx="713537" cy="9144"/>
                          </a:xfrm>
                          <a:custGeom>
                            <a:avLst/>
                            <a:gdLst/>
                            <a:ahLst/>
                            <a:cxnLst/>
                            <a:rect l="0" t="0" r="0" b="0"/>
                            <a:pathLst>
                              <a:path w="713537" h="9144">
                                <a:moveTo>
                                  <a:pt x="0" y="0"/>
                                </a:moveTo>
                                <a:lnTo>
                                  <a:pt x="713537" y="0"/>
                                </a:lnTo>
                                <a:lnTo>
                                  <a:pt x="71353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65397" name="Shape 1065397"/>
                        <wps:cNvSpPr/>
                        <wps:spPr>
                          <a:xfrm>
                            <a:off x="4211066" y="35687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65398" name="Shape 1065398"/>
                        <wps:cNvSpPr/>
                        <wps:spPr>
                          <a:xfrm>
                            <a:off x="4217162" y="356870"/>
                            <a:ext cx="625145" cy="9144"/>
                          </a:xfrm>
                          <a:custGeom>
                            <a:avLst/>
                            <a:gdLst/>
                            <a:ahLst/>
                            <a:cxnLst/>
                            <a:rect l="0" t="0" r="0" b="0"/>
                            <a:pathLst>
                              <a:path w="625145" h="9144">
                                <a:moveTo>
                                  <a:pt x="0" y="0"/>
                                </a:moveTo>
                                <a:lnTo>
                                  <a:pt x="625145" y="0"/>
                                </a:lnTo>
                                <a:lnTo>
                                  <a:pt x="62514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2644" name="Rectangle 42644"/>
                        <wps:cNvSpPr/>
                        <wps:spPr>
                          <a:xfrm>
                            <a:off x="70104" y="594945"/>
                            <a:ext cx="126480" cy="202692"/>
                          </a:xfrm>
                          <a:prstGeom prst="rect">
                            <a:avLst/>
                          </a:prstGeom>
                          <a:ln>
                            <a:noFill/>
                          </a:ln>
                        </wps:spPr>
                        <wps:txbx>
                          <w:txbxContent>
                            <w:p w:rsidR="0052701D" w:rsidRDefault="00D40929">
                              <w:r>
                                <w:rPr>
                                  <w:rFonts w:ascii="Cambria Math" w:eastAsia="Cambria Math" w:hAnsi="Cambria Math" w:cs="Cambria Math"/>
                                  <w:color w:val="222222"/>
                                  <w:sz w:val="24"/>
                                </w:rPr>
                                <w:t>𝑻</w:t>
                              </w:r>
                            </w:p>
                          </w:txbxContent>
                        </wps:txbx>
                        <wps:bodyPr horzOverflow="overflow" vert="horz" lIns="0" tIns="0" rIns="0" bIns="0" rtlCol="0">
                          <a:noAutofit/>
                        </wps:bodyPr>
                      </wps:wsp>
                      <wps:wsp>
                        <wps:cNvPr id="42645" name="Rectangle 42645"/>
                        <wps:cNvSpPr/>
                        <wps:spPr>
                          <a:xfrm>
                            <a:off x="164592" y="660987"/>
                            <a:ext cx="77895" cy="141884"/>
                          </a:xfrm>
                          <a:prstGeom prst="rect">
                            <a:avLst/>
                          </a:prstGeom>
                          <a:ln>
                            <a:noFill/>
                          </a:ln>
                        </wps:spPr>
                        <wps:txbx>
                          <w:txbxContent>
                            <w:p w:rsidR="0052701D" w:rsidRDefault="00D40929">
                              <w:r>
                                <w:rPr>
                                  <w:rFonts w:ascii="Cambria Math" w:eastAsia="Cambria Math" w:hAnsi="Cambria Math" w:cs="Cambria Math"/>
                                  <w:color w:val="222222"/>
                                  <w:sz w:val="17"/>
                                </w:rPr>
                                <w:t>𝒆</w:t>
                              </w:r>
                            </w:p>
                          </w:txbxContent>
                        </wps:txbx>
                        <wps:bodyPr horzOverflow="overflow" vert="horz" lIns="0" tIns="0" rIns="0" bIns="0" rtlCol="0">
                          <a:noAutofit/>
                        </wps:bodyPr>
                      </wps:wsp>
                      <wps:wsp>
                        <wps:cNvPr id="42646" name="Rectangle 42646"/>
                        <wps:cNvSpPr/>
                        <wps:spPr>
                          <a:xfrm>
                            <a:off x="164592" y="575643"/>
                            <a:ext cx="278803" cy="141884"/>
                          </a:xfrm>
                          <a:prstGeom prst="rect">
                            <a:avLst/>
                          </a:prstGeom>
                          <a:ln>
                            <a:noFill/>
                          </a:ln>
                        </wps:spPr>
                        <wps:txbx>
                          <w:txbxContent>
                            <w:p w:rsidR="0052701D" w:rsidRDefault="00D40929">
                              <w:r>
                                <w:rPr>
                                  <w:rFonts w:ascii="Cambria Math" w:eastAsia="Cambria Math" w:hAnsi="Cambria Math" w:cs="Cambria Math"/>
                                  <w:color w:val="222222"/>
                                  <w:sz w:val="17"/>
                                </w:rPr>
                                <w:t>𝑶𝑬𝑺</w:t>
                              </w:r>
                            </w:p>
                          </w:txbxContent>
                        </wps:txbx>
                        <wps:bodyPr horzOverflow="overflow" vert="horz" lIns="0" tIns="0" rIns="0" bIns="0" rtlCol="0">
                          <a:noAutofit/>
                        </wps:bodyPr>
                      </wps:wsp>
                      <wps:wsp>
                        <wps:cNvPr id="42647" name="Rectangle 42647"/>
                        <wps:cNvSpPr/>
                        <wps:spPr>
                          <a:xfrm>
                            <a:off x="384302" y="577698"/>
                            <a:ext cx="340523" cy="224380"/>
                          </a:xfrm>
                          <a:prstGeom prst="rect">
                            <a:avLst/>
                          </a:prstGeom>
                          <a:ln>
                            <a:noFill/>
                          </a:ln>
                        </wps:spPr>
                        <wps:txbx>
                          <w:txbxContent>
                            <w:p w:rsidR="0052701D" w:rsidRDefault="00D40929">
                              <w:r>
                                <w:rPr>
                                  <w:rFonts w:ascii="Times New Roman" w:eastAsia="Times New Roman" w:hAnsi="Times New Roman" w:cs="Times New Roman"/>
                                  <w:color w:val="222222"/>
                                  <w:sz w:val="24"/>
                                </w:rPr>
                                <w:t>, eV</w:t>
                              </w:r>
                            </w:p>
                          </w:txbxContent>
                        </wps:txbx>
                        <wps:bodyPr horzOverflow="overflow" vert="horz" lIns="0" tIns="0" rIns="0" bIns="0" rtlCol="0">
                          <a:noAutofit/>
                        </wps:bodyPr>
                      </wps:wsp>
                      <wps:wsp>
                        <wps:cNvPr id="42648" name="Rectangle 42648"/>
                        <wps:cNvSpPr/>
                        <wps:spPr>
                          <a:xfrm>
                            <a:off x="637286" y="577698"/>
                            <a:ext cx="50673" cy="224380"/>
                          </a:xfrm>
                          <a:prstGeom prst="rect">
                            <a:avLst/>
                          </a:prstGeom>
                          <a:ln>
                            <a:noFill/>
                          </a:ln>
                        </wps:spPr>
                        <wps:txbx>
                          <w:txbxContent>
                            <w:p w:rsidR="0052701D" w:rsidRDefault="00D40929">
                              <w:r>
                                <w:rPr>
                                  <w:rFonts w:ascii="Times New Roman" w:eastAsia="Times New Roman" w:hAnsi="Times New Roman" w:cs="Times New Roman"/>
                                  <w:color w:val="222222"/>
                                  <w:sz w:val="24"/>
                                </w:rPr>
                                <w:t xml:space="preserve"> </w:t>
                              </w:r>
                            </w:p>
                          </w:txbxContent>
                        </wps:txbx>
                        <wps:bodyPr horzOverflow="overflow" vert="horz" lIns="0" tIns="0" rIns="0" bIns="0" rtlCol="0">
                          <a:noAutofit/>
                        </wps:bodyPr>
                      </wps:wsp>
                      <wps:wsp>
                        <wps:cNvPr id="965839" name="Rectangle 965839"/>
                        <wps:cNvSpPr/>
                        <wps:spPr>
                          <a:xfrm>
                            <a:off x="1731899" y="568554"/>
                            <a:ext cx="101346" cy="224380"/>
                          </a:xfrm>
                          <a:prstGeom prst="rect">
                            <a:avLst/>
                          </a:prstGeom>
                          <a:ln>
                            <a:noFill/>
                          </a:ln>
                        </wps:spPr>
                        <wps:txbx>
                          <w:txbxContent>
                            <w:p w:rsidR="0052701D" w:rsidRDefault="00D40929">
                              <w:r>
                                <w:rPr>
                                  <w:rFonts w:ascii="Times New Roman" w:eastAsia="Times New Roman" w:hAnsi="Times New Roman" w:cs="Times New Roman"/>
                                  <w:color w:val="222222"/>
                                  <w:sz w:val="24"/>
                                </w:rPr>
                                <w:t>5</w:t>
                              </w:r>
                            </w:p>
                          </w:txbxContent>
                        </wps:txbx>
                        <wps:bodyPr horzOverflow="overflow" vert="horz" lIns="0" tIns="0" rIns="0" bIns="0" rtlCol="0">
                          <a:noAutofit/>
                        </wps:bodyPr>
                      </wps:wsp>
                      <wps:wsp>
                        <wps:cNvPr id="965840" name="Rectangle 965840"/>
                        <wps:cNvSpPr/>
                        <wps:spPr>
                          <a:xfrm>
                            <a:off x="1847571" y="568554"/>
                            <a:ext cx="101346" cy="224380"/>
                          </a:xfrm>
                          <a:prstGeom prst="rect">
                            <a:avLst/>
                          </a:prstGeom>
                          <a:ln>
                            <a:noFill/>
                          </a:ln>
                        </wps:spPr>
                        <wps:txbx>
                          <w:txbxContent>
                            <w:p w:rsidR="0052701D" w:rsidRDefault="00D40929">
                              <w:r>
                                <w:rPr>
                                  <w:rFonts w:ascii="Times New Roman" w:eastAsia="Times New Roman" w:hAnsi="Times New Roman" w:cs="Times New Roman"/>
                                  <w:color w:val="222222"/>
                                  <w:sz w:val="24"/>
                                </w:rPr>
                                <w:t>2</w:t>
                              </w:r>
                            </w:p>
                          </w:txbxContent>
                        </wps:txbx>
                        <wps:bodyPr horzOverflow="overflow" vert="horz" lIns="0" tIns="0" rIns="0" bIns="0" rtlCol="0">
                          <a:noAutofit/>
                        </wps:bodyPr>
                      </wps:wsp>
                      <wps:wsp>
                        <wps:cNvPr id="965841" name="Rectangle 965841"/>
                        <wps:cNvSpPr/>
                        <wps:spPr>
                          <a:xfrm>
                            <a:off x="1808099" y="568554"/>
                            <a:ext cx="50673" cy="224380"/>
                          </a:xfrm>
                          <a:prstGeom prst="rect">
                            <a:avLst/>
                          </a:prstGeom>
                          <a:ln>
                            <a:noFill/>
                          </a:ln>
                        </wps:spPr>
                        <wps:txbx>
                          <w:txbxContent>
                            <w:p w:rsidR="0052701D" w:rsidRDefault="00D40929">
                              <w:r>
                                <w:rPr>
                                  <w:rFonts w:ascii="Times New Roman" w:eastAsia="Times New Roman" w:hAnsi="Times New Roman" w:cs="Times New Roman"/>
                                  <w:color w:val="222222"/>
                                  <w:sz w:val="24"/>
                                </w:rPr>
                                <w:t>,</w:t>
                              </w:r>
                            </w:p>
                          </w:txbxContent>
                        </wps:txbx>
                        <wps:bodyPr horzOverflow="overflow" vert="horz" lIns="0" tIns="0" rIns="0" bIns="0" rtlCol="0">
                          <a:noAutofit/>
                        </wps:bodyPr>
                      </wps:wsp>
                      <wps:wsp>
                        <wps:cNvPr id="42650" name="Rectangle 42650"/>
                        <wps:cNvSpPr/>
                        <wps:spPr>
                          <a:xfrm>
                            <a:off x="1921129" y="568554"/>
                            <a:ext cx="50673" cy="224380"/>
                          </a:xfrm>
                          <a:prstGeom prst="rect">
                            <a:avLst/>
                          </a:prstGeom>
                          <a:ln>
                            <a:noFill/>
                          </a:ln>
                        </wps:spPr>
                        <wps:txbx>
                          <w:txbxContent>
                            <w:p w:rsidR="0052701D" w:rsidRDefault="00D40929">
                              <w:r>
                                <w:rPr>
                                  <w:rFonts w:ascii="Times New Roman" w:eastAsia="Times New Roman" w:hAnsi="Times New Roman" w:cs="Times New Roman"/>
                                  <w:color w:val="222222"/>
                                  <w:sz w:val="24"/>
                                </w:rPr>
                                <w:t xml:space="preserve"> </w:t>
                              </w:r>
                            </w:p>
                          </w:txbxContent>
                        </wps:txbx>
                        <wps:bodyPr horzOverflow="overflow" vert="horz" lIns="0" tIns="0" rIns="0" bIns="0" rtlCol="0">
                          <a:noAutofit/>
                        </wps:bodyPr>
                      </wps:wsp>
                      <wps:wsp>
                        <wps:cNvPr id="965842" name="Rectangle 965842"/>
                        <wps:cNvSpPr/>
                        <wps:spPr>
                          <a:xfrm>
                            <a:off x="2991231" y="568554"/>
                            <a:ext cx="101346" cy="224380"/>
                          </a:xfrm>
                          <a:prstGeom prst="rect">
                            <a:avLst/>
                          </a:prstGeom>
                          <a:ln>
                            <a:noFill/>
                          </a:ln>
                        </wps:spPr>
                        <wps:txbx>
                          <w:txbxContent>
                            <w:p w:rsidR="0052701D" w:rsidRDefault="00D40929">
                              <w:r>
                                <w:rPr>
                                  <w:rFonts w:ascii="Times New Roman" w:eastAsia="Times New Roman" w:hAnsi="Times New Roman" w:cs="Times New Roman"/>
                                  <w:color w:val="222222"/>
                                  <w:sz w:val="24"/>
                                </w:rPr>
                                <w:t>3</w:t>
                              </w:r>
                            </w:p>
                          </w:txbxContent>
                        </wps:txbx>
                        <wps:bodyPr horzOverflow="overflow" vert="horz" lIns="0" tIns="0" rIns="0" bIns="0" rtlCol="0">
                          <a:noAutofit/>
                        </wps:bodyPr>
                      </wps:wsp>
                      <wps:wsp>
                        <wps:cNvPr id="965843" name="Rectangle 965843"/>
                        <wps:cNvSpPr/>
                        <wps:spPr>
                          <a:xfrm>
                            <a:off x="3106903" y="568554"/>
                            <a:ext cx="101346" cy="224380"/>
                          </a:xfrm>
                          <a:prstGeom prst="rect">
                            <a:avLst/>
                          </a:prstGeom>
                          <a:ln>
                            <a:noFill/>
                          </a:ln>
                        </wps:spPr>
                        <wps:txbx>
                          <w:txbxContent>
                            <w:p w:rsidR="0052701D" w:rsidRDefault="00D40929">
                              <w:r>
                                <w:rPr>
                                  <w:rFonts w:ascii="Times New Roman" w:eastAsia="Times New Roman" w:hAnsi="Times New Roman" w:cs="Times New Roman"/>
                                  <w:color w:val="222222"/>
                                  <w:sz w:val="24"/>
                                </w:rPr>
                                <w:t>1</w:t>
                              </w:r>
                            </w:p>
                          </w:txbxContent>
                        </wps:txbx>
                        <wps:bodyPr horzOverflow="overflow" vert="horz" lIns="0" tIns="0" rIns="0" bIns="0" rtlCol="0">
                          <a:noAutofit/>
                        </wps:bodyPr>
                      </wps:wsp>
                      <wps:wsp>
                        <wps:cNvPr id="965844" name="Rectangle 965844"/>
                        <wps:cNvSpPr/>
                        <wps:spPr>
                          <a:xfrm>
                            <a:off x="3067431" y="568554"/>
                            <a:ext cx="50673" cy="224380"/>
                          </a:xfrm>
                          <a:prstGeom prst="rect">
                            <a:avLst/>
                          </a:prstGeom>
                          <a:ln>
                            <a:noFill/>
                          </a:ln>
                        </wps:spPr>
                        <wps:txbx>
                          <w:txbxContent>
                            <w:p w:rsidR="0052701D" w:rsidRDefault="00D40929">
                              <w:r>
                                <w:rPr>
                                  <w:rFonts w:ascii="Times New Roman" w:eastAsia="Times New Roman" w:hAnsi="Times New Roman" w:cs="Times New Roman"/>
                                  <w:color w:val="222222"/>
                                  <w:sz w:val="24"/>
                                </w:rPr>
                                <w:t>,</w:t>
                              </w:r>
                            </w:p>
                          </w:txbxContent>
                        </wps:txbx>
                        <wps:bodyPr horzOverflow="overflow" vert="horz" lIns="0" tIns="0" rIns="0" bIns="0" rtlCol="0">
                          <a:noAutofit/>
                        </wps:bodyPr>
                      </wps:wsp>
                      <wps:wsp>
                        <wps:cNvPr id="42652" name="Rectangle 42652"/>
                        <wps:cNvSpPr/>
                        <wps:spPr>
                          <a:xfrm>
                            <a:off x="3180207" y="568554"/>
                            <a:ext cx="50673" cy="224380"/>
                          </a:xfrm>
                          <a:prstGeom prst="rect">
                            <a:avLst/>
                          </a:prstGeom>
                          <a:ln>
                            <a:noFill/>
                          </a:ln>
                        </wps:spPr>
                        <wps:txbx>
                          <w:txbxContent>
                            <w:p w:rsidR="0052701D" w:rsidRDefault="00D40929">
                              <w:r>
                                <w:rPr>
                                  <w:rFonts w:ascii="Times New Roman" w:eastAsia="Times New Roman" w:hAnsi="Times New Roman" w:cs="Times New Roman"/>
                                  <w:color w:val="222222"/>
                                  <w:sz w:val="24"/>
                                </w:rPr>
                                <w:t xml:space="preserve"> </w:t>
                              </w:r>
                            </w:p>
                          </w:txbxContent>
                        </wps:txbx>
                        <wps:bodyPr horzOverflow="overflow" vert="horz" lIns="0" tIns="0" rIns="0" bIns="0" rtlCol="0">
                          <a:noAutofit/>
                        </wps:bodyPr>
                      </wps:wsp>
                      <wps:wsp>
                        <wps:cNvPr id="965845" name="Rectangle 965845"/>
                        <wps:cNvSpPr/>
                        <wps:spPr>
                          <a:xfrm>
                            <a:off x="3756660" y="568554"/>
                            <a:ext cx="101346" cy="224380"/>
                          </a:xfrm>
                          <a:prstGeom prst="rect">
                            <a:avLst/>
                          </a:prstGeom>
                          <a:ln>
                            <a:noFill/>
                          </a:ln>
                        </wps:spPr>
                        <wps:txbx>
                          <w:txbxContent>
                            <w:p w:rsidR="0052701D" w:rsidRDefault="00D40929">
                              <w:r>
                                <w:rPr>
                                  <w:rFonts w:ascii="Times New Roman" w:eastAsia="Times New Roman" w:hAnsi="Times New Roman" w:cs="Times New Roman"/>
                                  <w:color w:val="222222"/>
                                  <w:sz w:val="24"/>
                                </w:rPr>
                                <w:t>2</w:t>
                              </w:r>
                            </w:p>
                          </w:txbxContent>
                        </wps:txbx>
                        <wps:bodyPr horzOverflow="overflow" vert="horz" lIns="0" tIns="0" rIns="0" bIns="0" rtlCol="0">
                          <a:noAutofit/>
                        </wps:bodyPr>
                      </wps:wsp>
                      <wps:wsp>
                        <wps:cNvPr id="965846" name="Rectangle 965846"/>
                        <wps:cNvSpPr/>
                        <wps:spPr>
                          <a:xfrm>
                            <a:off x="3872332" y="568554"/>
                            <a:ext cx="101346" cy="224380"/>
                          </a:xfrm>
                          <a:prstGeom prst="rect">
                            <a:avLst/>
                          </a:prstGeom>
                          <a:ln>
                            <a:noFill/>
                          </a:ln>
                        </wps:spPr>
                        <wps:txbx>
                          <w:txbxContent>
                            <w:p w:rsidR="0052701D" w:rsidRDefault="00D40929">
                              <w:r>
                                <w:rPr>
                                  <w:rFonts w:ascii="Times New Roman" w:eastAsia="Times New Roman" w:hAnsi="Times New Roman" w:cs="Times New Roman"/>
                                  <w:color w:val="222222"/>
                                  <w:sz w:val="24"/>
                                </w:rPr>
                                <w:t>6</w:t>
                              </w:r>
                            </w:p>
                          </w:txbxContent>
                        </wps:txbx>
                        <wps:bodyPr horzOverflow="overflow" vert="horz" lIns="0" tIns="0" rIns="0" bIns="0" rtlCol="0">
                          <a:noAutofit/>
                        </wps:bodyPr>
                      </wps:wsp>
                      <wps:wsp>
                        <wps:cNvPr id="965847" name="Rectangle 965847"/>
                        <wps:cNvSpPr/>
                        <wps:spPr>
                          <a:xfrm>
                            <a:off x="3832860" y="568554"/>
                            <a:ext cx="50673" cy="224380"/>
                          </a:xfrm>
                          <a:prstGeom prst="rect">
                            <a:avLst/>
                          </a:prstGeom>
                          <a:ln>
                            <a:noFill/>
                          </a:ln>
                        </wps:spPr>
                        <wps:txbx>
                          <w:txbxContent>
                            <w:p w:rsidR="0052701D" w:rsidRDefault="00D40929">
                              <w:r>
                                <w:rPr>
                                  <w:rFonts w:ascii="Times New Roman" w:eastAsia="Times New Roman" w:hAnsi="Times New Roman" w:cs="Times New Roman"/>
                                  <w:color w:val="222222"/>
                                  <w:sz w:val="24"/>
                                </w:rPr>
                                <w:t>,</w:t>
                              </w:r>
                            </w:p>
                          </w:txbxContent>
                        </wps:txbx>
                        <wps:bodyPr horzOverflow="overflow" vert="horz" lIns="0" tIns="0" rIns="0" bIns="0" rtlCol="0">
                          <a:noAutofit/>
                        </wps:bodyPr>
                      </wps:wsp>
                      <wps:wsp>
                        <wps:cNvPr id="42654" name="Rectangle 42654"/>
                        <wps:cNvSpPr/>
                        <wps:spPr>
                          <a:xfrm>
                            <a:off x="3945636" y="568554"/>
                            <a:ext cx="50673" cy="224380"/>
                          </a:xfrm>
                          <a:prstGeom prst="rect">
                            <a:avLst/>
                          </a:prstGeom>
                          <a:ln>
                            <a:noFill/>
                          </a:ln>
                        </wps:spPr>
                        <wps:txbx>
                          <w:txbxContent>
                            <w:p w:rsidR="0052701D" w:rsidRDefault="00D40929">
                              <w:r>
                                <w:rPr>
                                  <w:rFonts w:ascii="Times New Roman" w:eastAsia="Times New Roman" w:hAnsi="Times New Roman" w:cs="Times New Roman"/>
                                  <w:color w:val="222222"/>
                                  <w:sz w:val="24"/>
                                </w:rPr>
                                <w:t xml:space="preserve"> </w:t>
                              </w:r>
                            </w:p>
                          </w:txbxContent>
                        </wps:txbx>
                        <wps:bodyPr horzOverflow="overflow" vert="horz" lIns="0" tIns="0" rIns="0" bIns="0" rtlCol="0">
                          <a:noAutofit/>
                        </wps:bodyPr>
                      </wps:wsp>
                      <wps:wsp>
                        <wps:cNvPr id="965848" name="Rectangle 965848"/>
                        <wps:cNvSpPr/>
                        <wps:spPr>
                          <a:xfrm>
                            <a:off x="4433570" y="568554"/>
                            <a:ext cx="101346" cy="224380"/>
                          </a:xfrm>
                          <a:prstGeom prst="rect">
                            <a:avLst/>
                          </a:prstGeom>
                          <a:ln>
                            <a:noFill/>
                          </a:ln>
                        </wps:spPr>
                        <wps:txbx>
                          <w:txbxContent>
                            <w:p w:rsidR="0052701D" w:rsidRDefault="00D40929">
                              <w:r>
                                <w:rPr>
                                  <w:rFonts w:ascii="Times New Roman" w:eastAsia="Times New Roman" w:hAnsi="Times New Roman" w:cs="Times New Roman"/>
                                  <w:color w:val="222222"/>
                                  <w:sz w:val="24"/>
                                </w:rPr>
                                <w:t>2</w:t>
                              </w:r>
                            </w:p>
                          </w:txbxContent>
                        </wps:txbx>
                        <wps:bodyPr horzOverflow="overflow" vert="horz" lIns="0" tIns="0" rIns="0" bIns="0" rtlCol="0">
                          <a:noAutofit/>
                        </wps:bodyPr>
                      </wps:wsp>
                      <wps:wsp>
                        <wps:cNvPr id="965850" name="Rectangle 965850"/>
                        <wps:cNvSpPr/>
                        <wps:spPr>
                          <a:xfrm>
                            <a:off x="4509770" y="568554"/>
                            <a:ext cx="50673" cy="224380"/>
                          </a:xfrm>
                          <a:prstGeom prst="rect">
                            <a:avLst/>
                          </a:prstGeom>
                          <a:ln>
                            <a:noFill/>
                          </a:ln>
                        </wps:spPr>
                        <wps:txbx>
                          <w:txbxContent>
                            <w:p w:rsidR="0052701D" w:rsidRDefault="00D40929">
                              <w:r>
                                <w:rPr>
                                  <w:rFonts w:ascii="Times New Roman" w:eastAsia="Times New Roman" w:hAnsi="Times New Roman" w:cs="Times New Roman"/>
                                  <w:color w:val="222222"/>
                                  <w:sz w:val="24"/>
                                </w:rPr>
                                <w:t>,</w:t>
                              </w:r>
                            </w:p>
                          </w:txbxContent>
                        </wps:txbx>
                        <wps:bodyPr horzOverflow="overflow" vert="horz" lIns="0" tIns="0" rIns="0" bIns="0" rtlCol="0">
                          <a:noAutofit/>
                        </wps:bodyPr>
                      </wps:wsp>
                      <wps:wsp>
                        <wps:cNvPr id="965849" name="Rectangle 965849"/>
                        <wps:cNvSpPr/>
                        <wps:spPr>
                          <a:xfrm>
                            <a:off x="4549242" y="568554"/>
                            <a:ext cx="101346" cy="224380"/>
                          </a:xfrm>
                          <a:prstGeom prst="rect">
                            <a:avLst/>
                          </a:prstGeom>
                          <a:ln>
                            <a:noFill/>
                          </a:ln>
                        </wps:spPr>
                        <wps:txbx>
                          <w:txbxContent>
                            <w:p w:rsidR="0052701D" w:rsidRDefault="00D40929">
                              <w:r>
                                <w:rPr>
                                  <w:rFonts w:ascii="Times New Roman" w:eastAsia="Times New Roman" w:hAnsi="Times New Roman" w:cs="Times New Roman"/>
                                  <w:color w:val="222222"/>
                                  <w:sz w:val="24"/>
                                </w:rPr>
                                <w:t>2</w:t>
                              </w:r>
                            </w:p>
                          </w:txbxContent>
                        </wps:txbx>
                        <wps:bodyPr horzOverflow="overflow" vert="horz" lIns="0" tIns="0" rIns="0" bIns="0" rtlCol="0">
                          <a:noAutofit/>
                        </wps:bodyPr>
                      </wps:wsp>
                    </wpg:wgp>
                  </a:graphicData>
                </a:graphic>
              </wp:anchor>
            </w:drawing>
          </mc:Choice>
          <mc:Fallback xmlns:a="http://schemas.openxmlformats.org/drawingml/2006/main">
            <w:pict>
              <v:group id="Group 966395" style="width:381.284pt;height:60.4462pt;position:absolute;z-index:-2147483587;mso-position-horizontal-relative:text;mso-position-horizontal:absolute;margin-left:36.266pt;mso-position-vertical-relative:text;margin-top:-0.588013pt;" coordsize="48423,7676">
                <v:shape id="Shape 1065399" style="position:absolute;width:9695;height:91;left:0;top:0;" coordsize="969569,9144" path="m0,0l969569,0l969569,9144l0,9144l0,0">
                  <v:stroke weight="0pt" endcap="flat" joinstyle="miter" miterlimit="10" on="false" color="#000000" opacity="0"/>
                  <v:fill on="true" color="#000000"/>
                </v:shape>
                <v:shape id="Shape 1065400" style="position:absolute;width:91;height:91;left:9695;top:0;" coordsize="9144,9144" path="m0,0l9144,0l9144,9144l0,9144l0,0">
                  <v:stroke weight="0pt" endcap="flat" joinstyle="miter" miterlimit="10" on="false" color="#000000" opacity="0"/>
                  <v:fill on="true" color="#000000"/>
                </v:shape>
                <v:shape id="Shape 1065401" style="position:absolute;width:17047;height:91;left:9756;top:0;" coordsize="1704721,9144" path="m0,0l1704721,0l1704721,9144l0,9144l0,0">
                  <v:stroke weight="0pt" endcap="flat" joinstyle="miter" miterlimit="10" on="false" color="#000000" opacity="0"/>
                  <v:fill on="true" color="#000000"/>
                </v:shape>
                <v:shape id="Shape 1065402" style="position:absolute;width:91;height:91;left:26803;top:0;" coordsize="9144,9144" path="m0,0l9144,0l9144,9144l0,9144l0,0">
                  <v:stroke weight="0pt" endcap="flat" joinstyle="miter" miterlimit="10" on="false" color="#000000" opacity="0"/>
                  <v:fill on="true" color="#000000"/>
                </v:shape>
                <v:shape id="Shape 1065403" style="position:absolute;width:8049;height:91;left:26864;top:0;" coordsize="804977,9144" path="m0,0l804977,0l804977,9144l0,9144l0,0">
                  <v:stroke weight="0pt" endcap="flat" joinstyle="miter" miterlimit="10" on="false" color="#000000" opacity="0"/>
                  <v:fill on="true" color="#000000"/>
                </v:shape>
                <v:shape id="Shape 1065404" style="position:absolute;width:91;height:91;left:34914;top:0;" coordsize="9144,9144" path="m0,0l9144,0l9144,9144l0,9144l0,0">
                  <v:stroke weight="0pt" endcap="flat" joinstyle="miter" miterlimit="10" on="false" color="#000000" opacity="0"/>
                  <v:fill on="true" color="#000000"/>
                </v:shape>
                <v:shape id="Shape 1065405" style="position:absolute;width:7135;height:91;left:34975;top:0;" coordsize="713537,9144" path="m0,0l713537,0l713537,9144l0,9144l0,0">
                  <v:stroke weight="0pt" endcap="flat" joinstyle="miter" miterlimit="10" on="false" color="#000000" opacity="0"/>
                  <v:fill on="true" color="#000000"/>
                </v:shape>
                <v:shape id="Shape 1065406" style="position:absolute;width:91;height:91;left:42110;top:0;" coordsize="9144,9144" path="m0,0l9144,0l9144,9144l0,9144l0,0">
                  <v:stroke weight="0pt" endcap="flat" joinstyle="miter" miterlimit="10" on="false" color="#000000" opacity="0"/>
                  <v:fill on="true" color="#000000"/>
                </v:shape>
                <v:shape id="Shape 1065407" style="position:absolute;width:6251;height:91;left:42171;top:0;" coordsize="625145,9144" path="m0,0l625145,0l625145,9144l0,9144l0,0">
                  <v:stroke weight="0pt" endcap="flat" joinstyle="miter" miterlimit="10" on="false" color="#000000" opacity="0"/>
                  <v:fill on="true" color="#000000"/>
                </v:shape>
                <v:rect id="Rectangle 42619" style="position:absolute;width:883;height:2026;left:1828;top:3968;" filled="f" stroked="f">
                  <v:textbox inset="0,0,0,0">
                    <w:txbxContent>
                      <w:p>
                        <w:pPr>
                          <w:spacing w:before="0" w:after="160" w:line="259" w:lineRule="auto"/>
                        </w:pPr>
                        <w:r>
                          <w:rPr>
                            <w:rFonts w:cs="Cambria Math" w:hAnsi="Cambria Math" w:eastAsia="Cambria Math" w:ascii="Cambria Math"/>
                            <w:color w:val="222222"/>
                            <w:sz w:val="24"/>
                          </w:rPr>
                          <w:t xml:space="preserve">𝑰</w:t>
                        </w:r>
                      </w:p>
                    </w:txbxContent>
                  </v:textbox>
                </v:rect>
                <v:rect id="Rectangle 42620" style="position:absolute;width:2551;height:1418;left:2499;top:4781;" filled="f" stroked="f">
                  <v:textbox inset="0,0,0,0">
                    <w:txbxContent>
                      <w:p>
                        <w:pPr>
                          <w:spacing w:before="0" w:after="160" w:line="259" w:lineRule="auto"/>
                        </w:pPr>
                        <w:r>
                          <w:rPr>
                            <w:rFonts w:cs="Cambria Math" w:hAnsi="Cambria Math" w:eastAsia="Cambria Math" w:ascii="Cambria Math"/>
                            <w:color w:val="222222"/>
                            <w:sz w:val="17"/>
                          </w:rPr>
                          <w:t xml:space="preserve">𝟖𝟏𝟏</w:t>
                        </w:r>
                      </w:p>
                    </w:txbxContent>
                  </v:textbox>
                </v:rect>
                <v:rect id="Rectangle 42621" style="position:absolute;width:2461;height:1418;left:2499;top:3531;" filled="f" stroked="f">
                  <v:textbox inset="0,0,0,0">
                    <w:txbxContent>
                      <w:p>
                        <w:pPr>
                          <w:spacing w:before="0" w:after="160" w:line="259" w:lineRule="auto"/>
                        </w:pPr>
                        <w:r>
                          <w:rPr>
                            <w:rFonts w:cs="Cambria Math" w:hAnsi="Cambria Math" w:eastAsia="Cambria Math" w:ascii="Cambria Math"/>
                            <w:color w:val="222222"/>
                            <w:sz w:val="17"/>
                          </w:rPr>
                          <w:t xml:space="preserve">𝒆𝒙𝒑</w:t>
                        </w:r>
                      </w:p>
                    </w:txbxContent>
                  </v:textbox>
                </v:rect>
                <v:rect id="Rectangle 42622" style="position:absolute;width:993;height:2026;left:4483;top:3968;" filled="f" stroked="f">
                  <v:textbox inset="0,0,0,0">
                    <w:txbxContent>
                      <w:p>
                        <w:pPr>
                          <w:spacing w:before="0" w:after="160" w:line="259" w:lineRule="auto"/>
                        </w:pPr>
                        <w:r>
                          <w:rPr>
                            <w:rFonts w:cs="Cambria Math" w:hAnsi="Cambria Math" w:eastAsia="Cambria Math" w:ascii="Cambria Math"/>
                            <w:color w:val="222222"/>
                            <w:sz w:val="24"/>
                          </w:rPr>
                          <w:t xml:space="preserve">/</w:t>
                        </w:r>
                      </w:p>
                    </w:txbxContent>
                  </v:textbox>
                </v:rect>
                <v:rect id="Rectangle 42623" style="position:absolute;width:883;height:2026;left:5245;top:3968;" filled="f" stroked="f">
                  <v:textbox inset="0,0,0,0">
                    <w:txbxContent>
                      <w:p>
                        <w:pPr>
                          <w:spacing w:before="0" w:after="160" w:line="259" w:lineRule="auto"/>
                        </w:pPr>
                        <w:r>
                          <w:rPr>
                            <w:rFonts w:cs="Cambria Math" w:hAnsi="Cambria Math" w:eastAsia="Cambria Math" w:ascii="Cambria Math"/>
                            <w:color w:val="222222"/>
                            <w:sz w:val="24"/>
                          </w:rPr>
                          <w:t xml:space="preserve">𝑰</w:t>
                        </w:r>
                      </w:p>
                    </w:txbxContent>
                  </v:textbox>
                </v:rect>
                <v:rect id="Rectangle 42624" style="position:absolute;width:2551;height:1418;left:5915;top:4811;" filled="f" stroked="f">
                  <v:textbox inset="0,0,0,0">
                    <w:txbxContent>
                      <w:p>
                        <w:pPr>
                          <w:spacing w:before="0" w:after="160" w:line="259" w:lineRule="auto"/>
                        </w:pPr>
                        <w:r>
                          <w:rPr>
                            <w:rFonts w:cs="Cambria Math" w:hAnsi="Cambria Math" w:eastAsia="Cambria Math" w:ascii="Cambria Math"/>
                            <w:color w:val="222222"/>
                            <w:sz w:val="17"/>
                          </w:rPr>
                          <w:t xml:space="preserve">𝟕𝟓𝟎</w:t>
                        </w:r>
                      </w:p>
                    </w:txbxContent>
                  </v:textbox>
                </v:rect>
                <v:rect id="Rectangle 42625" style="position:absolute;width:2461;height:1418;left:5915;top:3531;" filled="f" stroked="f">
                  <v:textbox inset="0,0,0,0">
                    <w:txbxContent>
                      <w:p>
                        <w:pPr>
                          <w:spacing w:before="0" w:after="160" w:line="259" w:lineRule="auto"/>
                        </w:pPr>
                        <w:r>
                          <w:rPr>
                            <w:rFonts w:cs="Cambria Math" w:hAnsi="Cambria Math" w:eastAsia="Cambria Math" w:ascii="Cambria Math"/>
                            <w:color w:val="222222"/>
                            <w:sz w:val="17"/>
                          </w:rPr>
                          <w:t xml:space="preserve">𝒆𝒙𝒑</w:t>
                        </w:r>
                      </w:p>
                    </w:txbxContent>
                  </v:textbox>
                </v:rect>
                <v:rect id="Rectangle 42626" style="position:absolute;width:506;height:2243;left:7896;top:3795;" filled="f" stroked="f">
                  <v:textbox inset="0,0,0,0">
                    <w:txbxContent>
                      <w:p>
                        <w:pPr>
                          <w:spacing w:before="0" w:after="160" w:line="259" w:lineRule="auto"/>
                        </w:pPr>
                        <w:r>
                          <w:rPr>
                            <w:rFonts w:cs="Times New Roman" w:hAnsi="Times New Roman" w:eastAsia="Times New Roman" w:ascii="Times New Roman"/>
                            <w:color w:val="222222"/>
                            <w:sz w:val="24"/>
                          </w:rPr>
                          <w:t xml:space="preserve"> </w:t>
                        </w:r>
                      </w:p>
                    </w:txbxContent>
                  </v:textbox>
                </v:rect>
                <v:rect id="Rectangle 42627" style="position:absolute;width:3565;height:2243;left:16922;top:3643;" filled="f" stroked="f">
                  <v:textbox inset="0,0,0,0">
                    <w:txbxContent>
                      <w:p>
                        <w:pPr>
                          <w:spacing w:before="0" w:after="160" w:line="259" w:lineRule="auto"/>
                        </w:pPr>
                        <w:r>
                          <w:rPr>
                            <w:rFonts w:cs="Times New Roman" w:hAnsi="Times New Roman" w:eastAsia="Times New Roman" w:ascii="Times New Roman"/>
                            <w:color w:val="222222"/>
                            <w:sz w:val="24"/>
                          </w:rPr>
                          <w:t xml:space="preserve">0.65</w:t>
                        </w:r>
                      </w:p>
                    </w:txbxContent>
                  </v:textbox>
                </v:rect>
                <v:rect id="Rectangle 42628" style="position:absolute;width:506;height:2243;left:19577;top:3643;" filled="f" stroked="f">
                  <v:textbox inset="0,0,0,0">
                    <w:txbxContent>
                      <w:p>
                        <w:pPr>
                          <w:spacing w:before="0" w:after="160" w:line="259" w:lineRule="auto"/>
                        </w:pPr>
                        <w:r>
                          <w:rPr>
                            <w:rFonts w:cs="Times New Roman" w:hAnsi="Times New Roman" w:eastAsia="Times New Roman" w:ascii="Times New Roman"/>
                            <w:color w:val="222222"/>
                            <w:sz w:val="24"/>
                          </w:rPr>
                          <w:t xml:space="preserve"> </w:t>
                        </w:r>
                      </w:p>
                    </w:txbxContent>
                  </v:textbox>
                </v:rect>
                <v:rect id="Rectangle 42629" style="position:absolute;width:3565;height:2243;left:29546;top:3643;" filled="f" stroked="f">
                  <v:textbox inset="0,0,0,0">
                    <w:txbxContent>
                      <w:p>
                        <w:pPr>
                          <w:spacing w:before="0" w:after="160" w:line="259" w:lineRule="auto"/>
                        </w:pPr>
                        <w:r>
                          <w:rPr>
                            <w:rFonts w:cs="Times New Roman" w:hAnsi="Times New Roman" w:eastAsia="Times New Roman" w:ascii="Times New Roman"/>
                            <w:color w:val="222222"/>
                            <w:sz w:val="24"/>
                          </w:rPr>
                          <w:t xml:space="preserve">0.69</w:t>
                        </w:r>
                      </w:p>
                    </w:txbxContent>
                  </v:textbox>
                </v:rect>
                <v:rect id="Rectangle 42630" style="position:absolute;width:506;height:2243;left:32198;top:3643;" filled="f" stroked="f">
                  <v:textbox inset="0,0,0,0">
                    <w:txbxContent>
                      <w:p>
                        <w:pPr>
                          <w:spacing w:before="0" w:after="160" w:line="259" w:lineRule="auto"/>
                        </w:pPr>
                        <w:r>
                          <w:rPr>
                            <w:rFonts w:cs="Times New Roman" w:hAnsi="Times New Roman" w:eastAsia="Times New Roman" w:ascii="Times New Roman"/>
                            <w:color w:val="222222"/>
                            <w:sz w:val="24"/>
                          </w:rPr>
                          <w:t xml:space="preserve"> </w:t>
                        </w:r>
                      </w:p>
                    </w:txbxContent>
                  </v:textbox>
                </v:rect>
                <v:rect id="Rectangle 42631" style="position:absolute;width:3565;height:2243;left:37200;top:3643;" filled="f" stroked="f">
                  <v:textbox inset="0,0,0,0">
                    <w:txbxContent>
                      <w:p>
                        <w:pPr>
                          <w:spacing w:before="0" w:after="160" w:line="259" w:lineRule="auto"/>
                        </w:pPr>
                        <w:r>
                          <w:rPr>
                            <w:rFonts w:cs="Times New Roman" w:hAnsi="Times New Roman" w:eastAsia="Times New Roman" w:ascii="Times New Roman"/>
                            <w:color w:val="222222"/>
                            <w:sz w:val="24"/>
                          </w:rPr>
                          <w:t xml:space="preserve">0.72</w:t>
                        </w:r>
                      </w:p>
                    </w:txbxContent>
                  </v:textbox>
                </v:rect>
                <v:rect id="Rectangle 42632" style="position:absolute;width:506;height:2243;left:39855;top:3643;" filled="f" stroked="f">
                  <v:textbox inset="0,0,0,0">
                    <w:txbxContent>
                      <w:p>
                        <w:pPr>
                          <w:spacing w:before="0" w:after="160" w:line="259" w:lineRule="auto"/>
                        </w:pPr>
                        <w:r>
                          <w:rPr>
                            <w:rFonts w:cs="Times New Roman" w:hAnsi="Times New Roman" w:eastAsia="Times New Roman" w:ascii="Times New Roman"/>
                            <w:color w:val="222222"/>
                            <w:sz w:val="24"/>
                          </w:rPr>
                          <w:t xml:space="preserve"> </w:t>
                        </w:r>
                      </w:p>
                    </w:txbxContent>
                  </v:textbox>
                </v:rect>
                <v:rect id="Rectangle 42633" style="position:absolute;width:3565;height:2243;left:43939;top:3643;" filled="f" stroked="f">
                  <v:textbox inset="0,0,0,0">
                    <w:txbxContent>
                      <w:p>
                        <w:pPr>
                          <w:spacing w:before="0" w:after="160" w:line="259" w:lineRule="auto"/>
                        </w:pPr>
                        <w:r>
                          <w:rPr>
                            <w:rFonts w:cs="Times New Roman" w:hAnsi="Times New Roman" w:eastAsia="Times New Roman" w:ascii="Times New Roman"/>
                            <w:color w:val="222222"/>
                            <w:sz w:val="24"/>
                          </w:rPr>
                          <w:t xml:space="preserve">0.76</w:t>
                        </w:r>
                      </w:p>
                    </w:txbxContent>
                  </v:textbox>
                </v:rect>
                <v:rect id="Rectangle 42634" style="position:absolute;width:506;height:2243;left:46591;top:3643;" filled="f" stroked="f">
                  <v:textbox inset="0,0,0,0">
                    <w:txbxContent>
                      <w:p>
                        <w:pPr>
                          <w:spacing w:before="0" w:after="160" w:line="259" w:lineRule="auto"/>
                        </w:pPr>
                        <w:r>
                          <w:rPr>
                            <w:rFonts w:cs="Times New Roman" w:hAnsi="Times New Roman" w:eastAsia="Times New Roman" w:ascii="Times New Roman"/>
                            <w:color w:val="222222"/>
                            <w:sz w:val="24"/>
                          </w:rPr>
                          <w:t xml:space="preserve"> </w:t>
                        </w:r>
                      </w:p>
                    </w:txbxContent>
                  </v:textbox>
                </v:rect>
                <v:shape id="Shape 1065408" style="position:absolute;width:9695;height:91;left:0;top:3568;" coordsize="969569,9144" path="m0,0l969569,0l969569,9144l0,9144l0,0">
                  <v:stroke weight="0pt" endcap="flat" joinstyle="miter" miterlimit="10" on="false" color="#000000" opacity="0"/>
                  <v:fill on="true" color="#000000"/>
                </v:shape>
                <v:shape id="Shape 1065409" style="position:absolute;width:91;height:91;left:9695;top:3568;" coordsize="9144,9144" path="m0,0l9144,0l9144,9144l0,9144l0,0">
                  <v:stroke weight="0pt" endcap="flat" joinstyle="miter" miterlimit="10" on="false" color="#000000" opacity="0"/>
                  <v:fill on="true" color="#000000"/>
                </v:shape>
                <v:shape id="Shape 1065410" style="position:absolute;width:17047;height:91;left:9756;top:3568;" coordsize="1704721,9144" path="m0,0l1704721,0l1704721,9144l0,9144l0,0">
                  <v:stroke weight="0pt" endcap="flat" joinstyle="miter" miterlimit="10" on="false" color="#000000" opacity="0"/>
                  <v:fill on="true" color="#000000"/>
                </v:shape>
                <v:shape id="Shape 1065411" style="position:absolute;width:91;height:91;left:26803;top:3568;" coordsize="9144,9144" path="m0,0l9144,0l9144,9144l0,9144l0,0">
                  <v:stroke weight="0pt" endcap="flat" joinstyle="miter" miterlimit="10" on="false" color="#000000" opacity="0"/>
                  <v:fill on="true" color="#000000"/>
                </v:shape>
                <v:shape id="Shape 1065412" style="position:absolute;width:8049;height:91;left:26864;top:3568;" coordsize="804977,9144" path="m0,0l804977,0l804977,9144l0,9144l0,0">
                  <v:stroke weight="0pt" endcap="flat" joinstyle="miter" miterlimit="10" on="false" color="#000000" opacity="0"/>
                  <v:fill on="true" color="#000000"/>
                </v:shape>
                <v:shape id="Shape 1065413" style="position:absolute;width:91;height:91;left:34914;top:3568;" coordsize="9144,9144" path="m0,0l9144,0l9144,9144l0,9144l0,0">
                  <v:stroke weight="0pt" endcap="flat" joinstyle="miter" miterlimit="10" on="false" color="#000000" opacity="0"/>
                  <v:fill on="true" color="#000000"/>
                </v:shape>
                <v:shape id="Shape 1065414" style="position:absolute;width:7135;height:91;left:34975;top:3568;" coordsize="713537,9144" path="m0,0l713537,0l713537,9144l0,9144l0,0">
                  <v:stroke weight="0pt" endcap="flat" joinstyle="miter" miterlimit="10" on="false" color="#000000" opacity="0"/>
                  <v:fill on="true" color="#000000"/>
                </v:shape>
                <v:shape id="Shape 1065415" style="position:absolute;width:91;height:91;left:42110;top:3568;" coordsize="9144,9144" path="m0,0l9144,0l9144,9144l0,9144l0,0">
                  <v:stroke weight="0pt" endcap="flat" joinstyle="miter" miterlimit="10" on="false" color="#000000" opacity="0"/>
                  <v:fill on="true" color="#000000"/>
                </v:shape>
                <v:shape id="Shape 1065416" style="position:absolute;width:6251;height:91;left:42171;top:3568;" coordsize="625145,9144" path="m0,0l625145,0l625145,9144l0,9144l0,0">
                  <v:stroke weight="0pt" endcap="flat" joinstyle="miter" miterlimit="10" on="false" color="#000000" opacity="0"/>
                  <v:fill on="true" color="#000000"/>
                </v:shape>
                <v:rect id="Rectangle 42644" style="position:absolute;width:1264;height:2026;left:701;top:5949;" filled="f" stroked="f">
                  <v:textbox inset="0,0,0,0">
                    <w:txbxContent>
                      <w:p>
                        <w:pPr>
                          <w:spacing w:before="0" w:after="160" w:line="259" w:lineRule="auto"/>
                        </w:pPr>
                        <w:r>
                          <w:rPr>
                            <w:rFonts w:cs="Cambria Math" w:hAnsi="Cambria Math" w:eastAsia="Cambria Math" w:ascii="Cambria Math"/>
                            <w:color w:val="222222"/>
                            <w:sz w:val="24"/>
                          </w:rPr>
                          <w:t xml:space="preserve">𝑻</w:t>
                        </w:r>
                      </w:p>
                    </w:txbxContent>
                  </v:textbox>
                </v:rect>
                <v:rect id="Rectangle 42645" style="position:absolute;width:778;height:1418;left:1645;top:6609;" filled="f" stroked="f">
                  <v:textbox inset="0,0,0,0">
                    <w:txbxContent>
                      <w:p>
                        <w:pPr>
                          <w:spacing w:before="0" w:after="160" w:line="259" w:lineRule="auto"/>
                        </w:pPr>
                        <w:r>
                          <w:rPr>
                            <w:rFonts w:cs="Cambria Math" w:hAnsi="Cambria Math" w:eastAsia="Cambria Math" w:ascii="Cambria Math"/>
                            <w:color w:val="222222"/>
                            <w:sz w:val="17"/>
                          </w:rPr>
                          <w:t xml:space="preserve">𝒆</w:t>
                        </w:r>
                      </w:p>
                    </w:txbxContent>
                  </v:textbox>
                </v:rect>
                <v:rect id="Rectangle 42646" style="position:absolute;width:2788;height:1418;left:1645;top:5756;" filled="f" stroked="f">
                  <v:textbox inset="0,0,0,0">
                    <w:txbxContent>
                      <w:p>
                        <w:pPr>
                          <w:spacing w:before="0" w:after="160" w:line="259" w:lineRule="auto"/>
                        </w:pPr>
                        <w:r>
                          <w:rPr>
                            <w:rFonts w:cs="Cambria Math" w:hAnsi="Cambria Math" w:eastAsia="Cambria Math" w:ascii="Cambria Math"/>
                            <w:color w:val="222222"/>
                            <w:sz w:val="17"/>
                          </w:rPr>
                          <w:t xml:space="preserve">𝑶𝑬𝑺</w:t>
                        </w:r>
                      </w:p>
                    </w:txbxContent>
                  </v:textbox>
                </v:rect>
                <v:rect id="Rectangle 42647" style="position:absolute;width:3405;height:2243;left:3843;top:5776;" filled="f" stroked="f">
                  <v:textbox inset="0,0,0,0">
                    <w:txbxContent>
                      <w:p>
                        <w:pPr>
                          <w:spacing w:before="0" w:after="160" w:line="259" w:lineRule="auto"/>
                        </w:pPr>
                        <w:r>
                          <w:rPr>
                            <w:rFonts w:cs="Times New Roman" w:hAnsi="Times New Roman" w:eastAsia="Times New Roman" w:ascii="Times New Roman"/>
                            <w:color w:val="222222"/>
                            <w:sz w:val="24"/>
                          </w:rPr>
                          <w:t xml:space="preserve">, eV</w:t>
                        </w:r>
                      </w:p>
                    </w:txbxContent>
                  </v:textbox>
                </v:rect>
                <v:rect id="Rectangle 42648" style="position:absolute;width:506;height:2243;left:6372;top:5776;" filled="f" stroked="f">
                  <v:textbox inset="0,0,0,0">
                    <w:txbxContent>
                      <w:p>
                        <w:pPr>
                          <w:spacing w:before="0" w:after="160" w:line="259" w:lineRule="auto"/>
                        </w:pPr>
                        <w:r>
                          <w:rPr>
                            <w:rFonts w:cs="Times New Roman" w:hAnsi="Times New Roman" w:eastAsia="Times New Roman" w:ascii="Times New Roman"/>
                            <w:color w:val="222222"/>
                            <w:sz w:val="24"/>
                          </w:rPr>
                          <w:t xml:space="preserve"> </w:t>
                        </w:r>
                      </w:p>
                    </w:txbxContent>
                  </v:textbox>
                </v:rect>
                <v:rect id="Rectangle 965839" style="position:absolute;width:1013;height:2243;left:17318;top:5685;" filled="f" stroked="f">
                  <v:textbox inset="0,0,0,0">
                    <w:txbxContent>
                      <w:p>
                        <w:pPr>
                          <w:spacing w:before="0" w:after="160" w:line="259" w:lineRule="auto"/>
                        </w:pPr>
                        <w:r>
                          <w:rPr>
                            <w:rFonts w:cs="Times New Roman" w:hAnsi="Times New Roman" w:eastAsia="Times New Roman" w:ascii="Times New Roman"/>
                            <w:color w:val="222222"/>
                            <w:sz w:val="24"/>
                          </w:rPr>
                          <w:t xml:space="preserve">5</w:t>
                        </w:r>
                      </w:p>
                    </w:txbxContent>
                  </v:textbox>
                </v:rect>
                <v:rect id="Rectangle 965840" style="position:absolute;width:1013;height:2243;left:18475;top:5685;" filled="f" stroked="f">
                  <v:textbox inset="0,0,0,0">
                    <w:txbxContent>
                      <w:p>
                        <w:pPr>
                          <w:spacing w:before="0" w:after="160" w:line="259" w:lineRule="auto"/>
                        </w:pPr>
                        <w:r>
                          <w:rPr>
                            <w:rFonts w:cs="Times New Roman" w:hAnsi="Times New Roman" w:eastAsia="Times New Roman" w:ascii="Times New Roman"/>
                            <w:color w:val="222222"/>
                            <w:sz w:val="24"/>
                          </w:rPr>
                          <w:t xml:space="preserve">2</w:t>
                        </w:r>
                      </w:p>
                    </w:txbxContent>
                  </v:textbox>
                </v:rect>
                <v:rect id="Rectangle 965841" style="position:absolute;width:506;height:2243;left:18080;top:5685;" filled="f" stroked="f">
                  <v:textbox inset="0,0,0,0">
                    <w:txbxContent>
                      <w:p>
                        <w:pPr>
                          <w:spacing w:before="0" w:after="160" w:line="259" w:lineRule="auto"/>
                        </w:pPr>
                        <w:r>
                          <w:rPr>
                            <w:rFonts w:cs="Times New Roman" w:hAnsi="Times New Roman" w:eastAsia="Times New Roman" w:ascii="Times New Roman"/>
                            <w:color w:val="222222"/>
                            <w:sz w:val="24"/>
                          </w:rPr>
                          <w:t xml:space="preserve">,</w:t>
                        </w:r>
                      </w:p>
                    </w:txbxContent>
                  </v:textbox>
                </v:rect>
                <v:rect id="Rectangle 42650" style="position:absolute;width:506;height:2243;left:19211;top:5685;" filled="f" stroked="f">
                  <v:textbox inset="0,0,0,0">
                    <w:txbxContent>
                      <w:p>
                        <w:pPr>
                          <w:spacing w:before="0" w:after="160" w:line="259" w:lineRule="auto"/>
                        </w:pPr>
                        <w:r>
                          <w:rPr>
                            <w:rFonts w:cs="Times New Roman" w:hAnsi="Times New Roman" w:eastAsia="Times New Roman" w:ascii="Times New Roman"/>
                            <w:color w:val="222222"/>
                            <w:sz w:val="24"/>
                          </w:rPr>
                          <w:t xml:space="preserve"> </w:t>
                        </w:r>
                      </w:p>
                    </w:txbxContent>
                  </v:textbox>
                </v:rect>
                <v:rect id="Rectangle 965842" style="position:absolute;width:1013;height:2243;left:29912;top:5685;" filled="f" stroked="f">
                  <v:textbox inset="0,0,0,0">
                    <w:txbxContent>
                      <w:p>
                        <w:pPr>
                          <w:spacing w:before="0" w:after="160" w:line="259" w:lineRule="auto"/>
                        </w:pPr>
                        <w:r>
                          <w:rPr>
                            <w:rFonts w:cs="Times New Roman" w:hAnsi="Times New Roman" w:eastAsia="Times New Roman" w:ascii="Times New Roman"/>
                            <w:color w:val="222222"/>
                            <w:sz w:val="24"/>
                          </w:rPr>
                          <w:t xml:space="preserve">3</w:t>
                        </w:r>
                      </w:p>
                    </w:txbxContent>
                  </v:textbox>
                </v:rect>
                <v:rect id="Rectangle 965843" style="position:absolute;width:1013;height:2243;left:31069;top:5685;" filled="f" stroked="f">
                  <v:textbox inset="0,0,0,0">
                    <w:txbxContent>
                      <w:p>
                        <w:pPr>
                          <w:spacing w:before="0" w:after="160" w:line="259" w:lineRule="auto"/>
                        </w:pPr>
                        <w:r>
                          <w:rPr>
                            <w:rFonts w:cs="Times New Roman" w:hAnsi="Times New Roman" w:eastAsia="Times New Roman" w:ascii="Times New Roman"/>
                            <w:color w:val="222222"/>
                            <w:sz w:val="24"/>
                          </w:rPr>
                          <w:t xml:space="preserve">1</w:t>
                        </w:r>
                      </w:p>
                    </w:txbxContent>
                  </v:textbox>
                </v:rect>
                <v:rect id="Rectangle 965844" style="position:absolute;width:506;height:2243;left:30674;top:5685;" filled="f" stroked="f">
                  <v:textbox inset="0,0,0,0">
                    <w:txbxContent>
                      <w:p>
                        <w:pPr>
                          <w:spacing w:before="0" w:after="160" w:line="259" w:lineRule="auto"/>
                        </w:pPr>
                        <w:r>
                          <w:rPr>
                            <w:rFonts w:cs="Times New Roman" w:hAnsi="Times New Roman" w:eastAsia="Times New Roman" w:ascii="Times New Roman"/>
                            <w:color w:val="222222"/>
                            <w:sz w:val="24"/>
                          </w:rPr>
                          <w:t xml:space="preserve">,</w:t>
                        </w:r>
                      </w:p>
                    </w:txbxContent>
                  </v:textbox>
                </v:rect>
                <v:rect id="Rectangle 42652" style="position:absolute;width:506;height:2243;left:31802;top:5685;" filled="f" stroked="f">
                  <v:textbox inset="0,0,0,0">
                    <w:txbxContent>
                      <w:p>
                        <w:pPr>
                          <w:spacing w:before="0" w:after="160" w:line="259" w:lineRule="auto"/>
                        </w:pPr>
                        <w:r>
                          <w:rPr>
                            <w:rFonts w:cs="Times New Roman" w:hAnsi="Times New Roman" w:eastAsia="Times New Roman" w:ascii="Times New Roman"/>
                            <w:color w:val="222222"/>
                            <w:sz w:val="24"/>
                          </w:rPr>
                          <w:t xml:space="preserve"> </w:t>
                        </w:r>
                      </w:p>
                    </w:txbxContent>
                  </v:textbox>
                </v:rect>
                <v:rect id="Rectangle 965845" style="position:absolute;width:1013;height:2243;left:37566;top:5685;" filled="f" stroked="f">
                  <v:textbox inset="0,0,0,0">
                    <w:txbxContent>
                      <w:p>
                        <w:pPr>
                          <w:spacing w:before="0" w:after="160" w:line="259" w:lineRule="auto"/>
                        </w:pPr>
                        <w:r>
                          <w:rPr>
                            <w:rFonts w:cs="Times New Roman" w:hAnsi="Times New Roman" w:eastAsia="Times New Roman" w:ascii="Times New Roman"/>
                            <w:color w:val="222222"/>
                            <w:sz w:val="24"/>
                          </w:rPr>
                          <w:t xml:space="preserve">2</w:t>
                        </w:r>
                      </w:p>
                    </w:txbxContent>
                  </v:textbox>
                </v:rect>
                <v:rect id="Rectangle 965846" style="position:absolute;width:1013;height:2243;left:38723;top:5685;" filled="f" stroked="f">
                  <v:textbox inset="0,0,0,0">
                    <w:txbxContent>
                      <w:p>
                        <w:pPr>
                          <w:spacing w:before="0" w:after="160" w:line="259" w:lineRule="auto"/>
                        </w:pPr>
                        <w:r>
                          <w:rPr>
                            <w:rFonts w:cs="Times New Roman" w:hAnsi="Times New Roman" w:eastAsia="Times New Roman" w:ascii="Times New Roman"/>
                            <w:color w:val="222222"/>
                            <w:sz w:val="24"/>
                          </w:rPr>
                          <w:t xml:space="preserve">6</w:t>
                        </w:r>
                      </w:p>
                    </w:txbxContent>
                  </v:textbox>
                </v:rect>
                <v:rect id="Rectangle 965847" style="position:absolute;width:506;height:2243;left:38328;top:5685;" filled="f" stroked="f">
                  <v:textbox inset="0,0,0,0">
                    <w:txbxContent>
                      <w:p>
                        <w:pPr>
                          <w:spacing w:before="0" w:after="160" w:line="259" w:lineRule="auto"/>
                        </w:pPr>
                        <w:r>
                          <w:rPr>
                            <w:rFonts w:cs="Times New Roman" w:hAnsi="Times New Roman" w:eastAsia="Times New Roman" w:ascii="Times New Roman"/>
                            <w:color w:val="222222"/>
                            <w:sz w:val="24"/>
                          </w:rPr>
                          <w:t xml:space="preserve">,</w:t>
                        </w:r>
                      </w:p>
                    </w:txbxContent>
                  </v:textbox>
                </v:rect>
                <v:rect id="Rectangle 42654" style="position:absolute;width:506;height:2243;left:39456;top:5685;" filled="f" stroked="f">
                  <v:textbox inset="0,0,0,0">
                    <w:txbxContent>
                      <w:p>
                        <w:pPr>
                          <w:spacing w:before="0" w:after="160" w:line="259" w:lineRule="auto"/>
                        </w:pPr>
                        <w:r>
                          <w:rPr>
                            <w:rFonts w:cs="Times New Roman" w:hAnsi="Times New Roman" w:eastAsia="Times New Roman" w:ascii="Times New Roman"/>
                            <w:color w:val="222222"/>
                            <w:sz w:val="24"/>
                          </w:rPr>
                          <w:t xml:space="preserve"> </w:t>
                        </w:r>
                      </w:p>
                    </w:txbxContent>
                  </v:textbox>
                </v:rect>
                <v:rect id="Rectangle 965848" style="position:absolute;width:1013;height:2243;left:44335;top:5685;" filled="f" stroked="f">
                  <v:textbox inset="0,0,0,0">
                    <w:txbxContent>
                      <w:p>
                        <w:pPr>
                          <w:spacing w:before="0" w:after="160" w:line="259" w:lineRule="auto"/>
                        </w:pPr>
                        <w:r>
                          <w:rPr>
                            <w:rFonts w:cs="Times New Roman" w:hAnsi="Times New Roman" w:eastAsia="Times New Roman" w:ascii="Times New Roman"/>
                            <w:color w:val="222222"/>
                            <w:sz w:val="24"/>
                          </w:rPr>
                          <w:t xml:space="preserve">2</w:t>
                        </w:r>
                      </w:p>
                    </w:txbxContent>
                  </v:textbox>
                </v:rect>
                <v:rect id="Rectangle 965850" style="position:absolute;width:506;height:2243;left:45097;top:5685;" filled="f" stroked="f">
                  <v:textbox inset="0,0,0,0">
                    <w:txbxContent>
                      <w:p>
                        <w:pPr>
                          <w:spacing w:before="0" w:after="160" w:line="259" w:lineRule="auto"/>
                        </w:pPr>
                        <w:r>
                          <w:rPr>
                            <w:rFonts w:cs="Times New Roman" w:hAnsi="Times New Roman" w:eastAsia="Times New Roman" w:ascii="Times New Roman"/>
                            <w:color w:val="222222"/>
                            <w:sz w:val="24"/>
                          </w:rPr>
                          <w:t xml:space="preserve">,</w:t>
                        </w:r>
                      </w:p>
                    </w:txbxContent>
                  </v:textbox>
                </v:rect>
                <v:rect id="Rectangle 965849" style="position:absolute;width:1013;height:2243;left:45492;top:5685;" filled="f" stroked="f">
                  <v:textbox inset="0,0,0,0">
                    <w:txbxContent>
                      <w:p>
                        <w:pPr>
                          <w:spacing w:before="0" w:after="160" w:line="259" w:lineRule="auto"/>
                        </w:pPr>
                        <w:r>
                          <w:rPr>
                            <w:rFonts w:cs="Times New Roman" w:hAnsi="Times New Roman" w:eastAsia="Times New Roman" w:ascii="Times New Roman"/>
                            <w:color w:val="222222"/>
                            <w:sz w:val="24"/>
                          </w:rPr>
                          <w:t xml:space="preserve">2</w:t>
                        </w:r>
                      </w:p>
                    </w:txbxContent>
                  </v:textbox>
                </v:rect>
              </v:group>
            </w:pict>
          </mc:Fallback>
        </mc:AlternateContent>
      </w:r>
      <w:r>
        <w:rPr>
          <w:rFonts w:ascii="Times New Roman" w:eastAsia="Times New Roman" w:hAnsi="Times New Roman" w:cs="Times New Roman"/>
          <w:color w:val="222222"/>
          <w:sz w:val="24"/>
        </w:rPr>
        <w:t xml:space="preserve">Axial </w:t>
      </w:r>
      <w:r>
        <w:rPr>
          <w:rFonts w:ascii="Times New Roman" w:eastAsia="Times New Roman" w:hAnsi="Times New Roman" w:cs="Times New Roman"/>
          <w:color w:val="222222"/>
          <w:sz w:val="24"/>
        </w:rPr>
        <w:tab/>
        <w:t xml:space="preserve">0mm (and inside the </w:t>
      </w:r>
      <w:r>
        <w:rPr>
          <w:rFonts w:ascii="Times New Roman" w:eastAsia="Times New Roman" w:hAnsi="Times New Roman" w:cs="Times New Roman"/>
          <w:color w:val="222222"/>
          <w:sz w:val="24"/>
        </w:rPr>
        <w:tab/>
        <w:t xml:space="preserve">8.5mm </w:t>
      </w:r>
      <w:r>
        <w:rPr>
          <w:rFonts w:ascii="Times New Roman" w:eastAsia="Times New Roman" w:hAnsi="Times New Roman" w:cs="Times New Roman"/>
          <w:color w:val="222222"/>
          <w:sz w:val="24"/>
        </w:rPr>
        <w:tab/>
        <w:t xml:space="preserve">20mm </w:t>
      </w:r>
      <w:r>
        <w:rPr>
          <w:rFonts w:ascii="Times New Roman" w:eastAsia="Times New Roman" w:hAnsi="Times New Roman" w:cs="Times New Roman"/>
          <w:color w:val="222222"/>
          <w:sz w:val="24"/>
        </w:rPr>
        <w:tab/>
        <w:t xml:space="preserve">40mm position </w:t>
      </w:r>
      <w:r>
        <w:rPr>
          <w:rFonts w:ascii="Times New Roman" w:eastAsia="Times New Roman" w:hAnsi="Times New Roman" w:cs="Times New Roman"/>
          <w:color w:val="222222"/>
          <w:sz w:val="24"/>
        </w:rPr>
        <w:tab/>
        <w:t xml:space="preserve">source) </w:t>
      </w:r>
    </w:p>
    <w:p w:rsidR="0052701D" w:rsidRDefault="00D40929">
      <w:pPr>
        <w:spacing w:after="10"/>
        <w:ind w:right="1016"/>
        <w:jc w:val="right"/>
      </w:pPr>
      <w:r>
        <w:rPr>
          <w:rFonts w:ascii="Times New Roman" w:eastAsia="Times New Roman" w:hAnsi="Times New Roman" w:cs="Times New Roman"/>
          <w:color w:val="222222"/>
          <w:sz w:val="24"/>
        </w:rPr>
        <w:t xml:space="preserve"> </w:t>
      </w:r>
    </w:p>
    <w:p w:rsidR="0052701D" w:rsidRDefault="00D40929">
      <w:pPr>
        <w:tabs>
          <w:tab w:val="center" w:pos="1691"/>
          <w:tab w:val="center" w:pos="3604"/>
          <w:tab w:val="center" w:pos="5587"/>
          <w:tab w:val="center" w:pos="6792"/>
          <w:tab w:val="center" w:pos="7858"/>
        </w:tabs>
        <w:spacing w:after="104" w:line="248" w:lineRule="auto"/>
      </w:pPr>
      <w:r>
        <w:rPr>
          <w:noProof/>
        </w:rPr>
        <mc:AlternateContent>
          <mc:Choice Requires="wpg">
            <w:drawing>
              <wp:anchor distT="0" distB="0" distL="114300" distR="114300" simplePos="0" relativeHeight="251768832" behindDoc="1" locked="0" layoutInCell="1" allowOverlap="1">
                <wp:simplePos x="0" y="0"/>
                <wp:positionH relativeFrom="column">
                  <wp:posOffset>460578</wp:posOffset>
                </wp:positionH>
                <wp:positionV relativeFrom="paragraph">
                  <wp:posOffset>1236</wp:posOffset>
                </wp:positionV>
                <wp:extent cx="4842307" cy="222504"/>
                <wp:effectExtent l="0" t="0" r="0" b="0"/>
                <wp:wrapNone/>
                <wp:docPr id="966398" name="Group 966398"/>
                <wp:cNvGraphicFramePr/>
                <a:graphic xmlns:a="http://schemas.openxmlformats.org/drawingml/2006/main">
                  <a:graphicData uri="http://schemas.microsoft.com/office/word/2010/wordprocessingGroup">
                    <wpg:wgp>
                      <wpg:cNvGrpSpPr/>
                      <wpg:grpSpPr>
                        <a:xfrm>
                          <a:off x="0" y="0"/>
                          <a:ext cx="4842307" cy="222504"/>
                          <a:chOff x="0" y="0"/>
                          <a:chExt cx="4842307" cy="222504"/>
                        </a:xfrm>
                      </wpg:grpSpPr>
                      <wps:wsp>
                        <wps:cNvPr id="42657" name="Rectangle 42657"/>
                        <wps:cNvSpPr/>
                        <wps:spPr>
                          <a:xfrm>
                            <a:off x="70104" y="43685"/>
                            <a:ext cx="126480" cy="202692"/>
                          </a:xfrm>
                          <a:prstGeom prst="rect">
                            <a:avLst/>
                          </a:prstGeom>
                          <a:ln>
                            <a:noFill/>
                          </a:ln>
                        </wps:spPr>
                        <wps:txbx>
                          <w:txbxContent>
                            <w:p w:rsidR="0052701D" w:rsidRDefault="00D40929">
                              <w:r>
                                <w:rPr>
                                  <w:rFonts w:ascii="Cambria Math" w:eastAsia="Cambria Math" w:hAnsi="Cambria Math" w:cs="Cambria Math"/>
                                  <w:color w:val="222222"/>
                                  <w:sz w:val="24"/>
                                </w:rPr>
                                <w:t>𝑻</w:t>
                              </w:r>
                            </w:p>
                          </w:txbxContent>
                        </wps:txbx>
                        <wps:bodyPr horzOverflow="overflow" vert="horz" lIns="0" tIns="0" rIns="0" bIns="0" rtlCol="0">
                          <a:noAutofit/>
                        </wps:bodyPr>
                      </wps:wsp>
                      <wps:wsp>
                        <wps:cNvPr id="42658" name="Rectangle 42658"/>
                        <wps:cNvSpPr/>
                        <wps:spPr>
                          <a:xfrm>
                            <a:off x="164592" y="115824"/>
                            <a:ext cx="77895" cy="141884"/>
                          </a:xfrm>
                          <a:prstGeom prst="rect">
                            <a:avLst/>
                          </a:prstGeom>
                          <a:ln>
                            <a:noFill/>
                          </a:ln>
                        </wps:spPr>
                        <wps:txbx>
                          <w:txbxContent>
                            <w:p w:rsidR="0052701D" w:rsidRDefault="00D40929">
                              <w:r>
                                <w:rPr>
                                  <w:rFonts w:ascii="Cambria Math" w:eastAsia="Cambria Math" w:hAnsi="Cambria Math" w:cs="Cambria Math"/>
                                  <w:color w:val="222222"/>
                                  <w:sz w:val="17"/>
                                </w:rPr>
                                <w:t>𝒆</w:t>
                              </w:r>
                            </w:p>
                          </w:txbxContent>
                        </wps:txbx>
                        <wps:bodyPr horzOverflow="overflow" vert="horz" lIns="0" tIns="0" rIns="0" bIns="0" rtlCol="0">
                          <a:noAutofit/>
                        </wps:bodyPr>
                      </wps:wsp>
                      <wps:wsp>
                        <wps:cNvPr id="42659" name="Rectangle 42659"/>
                        <wps:cNvSpPr/>
                        <wps:spPr>
                          <a:xfrm>
                            <a:off x="164592" y="0"/>
                            <a:ext cx="410046" cy="141884"/>
                          </a:xfrm>
                          <a:prstGeom prst="rect">
                            <a:avLst/>
                          </a:prstGeom>
                          <a:ln>
                            <a:noFill/>
                          </a:ln>
                        </wps:spPr>
                        <wps:txbx>
                          <w:txbxContent>
                            <w:p w:rsidR="0052701D" w:rsidRDefault="00D40929">
                              <w:r>
                                <w:rPr>
                                  <w:rFonts w:ascii="Cambria Math" w:eastAsia="Cambria Math" w:hAnsi="Cambria Math" w:cs="Cambria Math"/>
                                  <w:color w:val="222222"/>
                                  <w:sz w:val="17"/>
                                </w:rPr>
                                <w:t>𝒑𝒓𝒐𝒃𝒆</w:t>
                              </w:r>
                            </w:p>
                          </w:txbxContent>
                        </wps:txbx>
                        <wps:bodyPr horzOverflow="overflow" vert="horz" lIns="0" tIns="0" rIns="0" bIns="0" rtlCol="0">
                          <a:noAutofit/>
                        </wps:bodyPr>
                      </wps:wsp>
                      <wps:wsp>
                        <wps:cNvPr id="1065417" name="Shape 1065417"/>
                        <wps:cNvSpPr/>
                        <wps:spPr>
                          <a:xfrm>
                            <a:off x="0" y="204899"/>
                            <a:ext cx="969569" cy="9144"/>
                          </a:xfrm>
                          <a:custGeom>
                            <a:avLst/>
                            <a:gdLst/>
                            <a:ahLst/>
                            <a:cxnLst/>
                            <a:rect l="0" t="0" r="0" b="0"/>
                            <a:pathLst>
                              <a:path w="969569" h="9144">
                                <a:moveTo>
                                  <a:pt x="0" y="0"/>
                                </a:moveTo>
                                <a:lnTo>
                                  <a:pt x="969569" y="0"/>
                                </a:lnTo>
                                <a:lnTo>
                                  <a:pt x="96956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65418" name="Shape 1065418"/>
                        <wps:cNvSpPr/>
                        <wps:spPr>
                          <a:xfrm>
                            <a:off x="969518" y="20489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65419" name="Shape 1065419"/>
                        <wps:cNvSpPr/>
                        <wps:spPr>
                          <a:xfrm>
                            <a:off x="975614" y="204899"/>
                            <a:ext cx="1704721" cy="9144"/>
                          </a:xfrm>
                          <a:custGeom>
                            <a:avLst/>
                            <a:gdLst/>
                            <a:ahLst/>
                            <a:cxnLst/>
                            <a:rect l="0" t="0" r="0" b="0"/>
                            <a:pathLst>
                              <a:path w="1704721" h="9144">
                                <a:moveTo>
                                  <a:pt x="0" y="0"/>
                                </a:moveTo>
                                <a:lnTo>
                                  <a:pt x="1704721" y="0"/>
                                </a:lnTo>
                                <a:lnTo>
                                  <a:pt x="170472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65420" name="Shape 1065420"/>
                        <wps:cNvSpPr/>
                        <wps:spPr>
                          <a:xfrm>
                            <a:off x="2680335" y="20489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65421" name="Shape 1065421"/>
                        <wps:cNvSpPr/>
                        <wps:spPr>
                          <a:xfrm>
                            <a:off x="2686431" y="204899"/>
                            <a:ext cx="804977" cy="9144"/>
                          </a:xfrm>
                          <a:custGeom>
                            <a:avLst/>
                            <a:gdLst/>
                            <a:ahLst/>
                            <a:cxnLst/>
                            <a:rect l="0" t="0" r="0" b="0"/>
                            <a:pathLst>
                              <a:path w="804977" h="9144">
                                <a:moveTo>
                                  <a:pt x="0" y="0"/>
                                </a:moveTo>
                                <a:lnTo>
                                  <a:pt x="804977" y="0"/>
                                </a:lnTo>
                                <a:lnTo>
                                  <a:pt x="80497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65422" name="Shape 1065422"/>
                        <wps:cNvSpPr/>
                        <wps:spPr>
                          <a:xfrm>
                            <a:off x="3491484" y="20489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65423" name="Shape 1065423"/>
                        <wps:cNvSpPr/>
                        <wps:spPr>
                          <a:xfrm>
                            <a:off x="3497580" y="204899"/>
                            <a:ext cx="713537" cy="9144"/>
                          </a:xfrm>
                          <a:custGeom>
                            <a:avLst/>
                            <a:gdLst/>
                            <a:ahLst/>
                            <a:cxnLst/>
                            <a:rect l="0" t="0" r="0" b="0"/>
                            <a:pathLst>
                              <a:path w="713537" h="9144">
                                <a:moveTo>
                                  <a:pt x="0" y="0"/>
                                </a:moveTo>
                                <a:lnTo>
                                  <a:pt x="713537" y="0"/>
                                </a:lnTo>
                                <a:lnTo>
                                  <a:pt x="71353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65424" name="Shape 1065424"/>
                        <wps:cNvSpPr/>
                        <wps:spPr>
                          <a:xfrm>
                            <a:off x="4211066" y="20489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65425" name="Shape 1065425"/>
                        <wps:cNvSpPr/>
                        <wps:spPr>
                          <a:xfrm>
                            <a:off x="4217162" y="204899"/>
                            <a:ext cx="625145" cy="9144"/>
                          </a:xfrm>
                          <a:custGeom>
                            <a:avLst/>
                            <a:gdLst/>
                            <a:ahLst/>
                            <a:cxnLst/>
                            <a:rect l="0" t="0" r="0" b="0"/>
                            <a:pathLst>
                              <a:path w="625145" h="9144">
                                <a:moveTo>
                                  <a:pt x="0" y="0"/>
                                </a:moveTo>
                                <a:lnTo>
                                  <a:pt x="625145" y="0"/>
                                </a:lnTo>
                                <a:lnTo>
                                  <a:pt x="62514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966398" style="width:381.284pt;height:17.52pt;position:absolute;z-index:-2147483551;mso-position-horizontal-relative:text;mso-position-horizontal:absolute;margin-left:36.266pt;mso-position-vertical-relative:text;margin-top:0.0973206pt;" coordsize="48423,2225">
                <v:rect id="Rectangle 42657" style="position:absolute;width:1264;height:2026;left:701;top:436;" filled="f" stroked="f">
                  <v:textbox inset="0,0,0,0">
                    <w:txbxContent>
                      <w:p>
                        <w:pPr>
                          <w:spacing w:before="0" w:after="160" w:line="259" w:lineRule="auto"/>
                        </w:pPr>
                        <w:r>
                          <w:rPr>
                            <w:rFonts w:cs="Cambria Math" w:hAnsi="Cambria Math" w:eastAsia="Cambria Math" w:ascii="Cambria Math"/>
                            <w:color w:val="222222"/>
                            <w:sz w:val="24"/>
                          </w:rPr>
                          <w:t xml:space="preserve">𝑻</w:t>
                        </w:r>
                      </w:p>
                    </w:txbxContent>
                  </v:textbox>
                </v:rect>
                <v:rect id="Rectangle 42658" style="position:absolute;width:778;height:1418;left:1645;top:1158;" filled="f" stroked="f">
                  <v:textbox inset="0,0,0,0">
                    <w:txbxContent>
                      <w:p>
                        <w:pPr>
                          <w:spacing w:before="0" w:after="160" w:line="259" w:lineRule="auto"/>
                        </w:pPr>
                        <w:r>
                          <w:rPr>
                            <w:rFonts w:cs="Cambria Math" w:hAnsi="Cambria Math" w:eastAsia="Cambria Math" w:ascii="Cambria Math"/>
                            <w:color w:val="222222"/>
                            <w:sz w:val="17"/>
                          </w:rPr>
                          <w:t xml:space="preserve">𝒆</w:t>
                        </w:r>
                      </w:p>
                    </w:txbxContent>
                  </v:textbox>
                </v:rect>
                <v:rect id="Rectangle 42659" style="position:absolute;width:4100;height:1418;left:1645;top:0;" filled="f" stroked="f">
                  <v:textbox inset="0,0,0,0">
                    <w:txbxContent>
                      <w:p>
                        <w:pPr>
                          <w:spacing w:before="0" w:after="160" w:line="259" w:lineRule="auto"/>
                        </w:pPr>
                        <w:r>
                          <w:rPr>
                            <w:rFonts w:cs="Cambria Math" w:hAnsi="Cambria Math" w:eastAsia="Cambria Math" w:ascii="Cambria Math"/>
                            <w:color w:val="222222"/>
                            <w:sz w:val="17"/>
                          </w:rPr>
                          <w:t xml:space="preserve">𝒑𝒓𝒐𝒃𝒆</w:t>
                        </w:r>
                      </w:p>
                    </w:txbxContent>
                  </v:textbox>
                </v:rect>
                <v:shape id="Shape 1065426" style="position:absolute;width:9695;height:91;left:0;top:2048;" coordsize="969569,9144" path="m0,0l969569,0l969569,9144l0,9144l0,0">
                  <v:stroke weight="0pt" endcap="flat" joinstyle="miter" miterlimit="10" on="false" color="#000000" opacity="0"/>
                  <v:fill on="true" color="#000000"/>
                </v:shape>
                <v:shape id="Shape 1065427" style="position:absolute;width:91;height:91;left:9695;top:2048;" coordsize="9144,9144" path="m0,0l9144,0l9144,9144l0,9144l0,0">
                  <v:stroke weight="0pt" endcap="flat" joinstyle="miter" miterlimit="10" on="false" color="#000000" opacity="0"/>
                  <v:fill on="true" color="#000000"/>
                </v:shape>
                <v:shape id="Shape 1065428" style="position:absolute;width:17047;height:91;left:9756;top:2048;" coordsize="1704721,9144" path="m0,0l1704721,0l1704721,9144l0,9144l0,0">
                  <v:stroke weight="0pt" endcap="flat" joinstyle="miter" miterlimit="10" on="false" color="#000000" opacity="0"/>
                  <v:fill on="true" color="#000000"/>
                </v:shape>
                <v:shape id="Shape 1065429" style="position:absolute;width:91;height:91;left:26803;top:2048;" coordsize="9144,9144" path="m0,0l9144,0l9144,9144l0,9144l0,0">
                  <v:stroke weight="0pt" endcap="flat" joinstyle="miter" miterlimit="10" on="false" color="#000000" opacity="0"/>
                  <v:fill on="true" color="#000000"/>
                </v:shape>
                <v:shape id="Shape 1065430" style="position:absolute;width:8049;height:91;left:26864;top:2048;" coordsize="804977,9144" path="m0,0l804977,0l804977,9144l0,9144l0,0">
                  <v:stroke weight="0pt" endcap="flat" joinstyle="miter" miterlimit="10" on="false" color="#000000" opacity="0"/>
                  <v:fill on="true" color="#000000"/>
                </v:shape>
                <v:shape id="Shape 1065431" style="position:absolute;width:91;height:91;left:34914;top:2048;" coordsize="9144,9144" path="m0,0l9144,0l9144,9144l0,9144l0,0">
                  <v:stroke weight="0pt" endcap="flat" joinstyle="miter" miterlimit="10" on="false" color="#000000" opacity="0"/>
                  <v:fill on="true" color="#000000"/>
                </v:shape>
                <v:shape id="Shape 1065432" style="position:absolute;width:7135;height:91;left:34975;top:2048;" coordsize="713537,9144" path="m0,0l713537,0l713537,9144l0,9144l0,0">
                  <v:stroke weight="0pt" endcap="flat" joinstyle="miter" miterlimit="10" on="false" color="#000000" opacity="0"/>
                  <v:fill on="true" color="#000000"/>
                </v:shape>
                <v:shape id="Shape 1065433" style="position:absolute;width:91;height:91;left:42110;top:2048;" coordsize="9144,9144" path="m0,0l9144,0l9144,9144l0,9144l0,0">
                  <v:stroke weight="0pt" endcap="flat" joinstyle="miter" miterlimit="10" on="false" color="#000000" opacity="0"/>
                  <v:fill on="true" color="#000000"/>
                </v:shape>
                <v:shape id="Shape 1065434" style="position:absolute;width:6251;height:91;left:42171;top:2048;" coordsize="625145,9144" path="m0,0l625145,0l625145,9144l0,9144l0,0">
                  <v:stroke weight="0pt" endcap="flat" joinstyle="miter" miterlimit="10" on="false" color="#000000" opacity="0"/>
                  <v:fill on="true" color="#000000"/>
                </v:shape>
              </v:group>
            </w:pict>
          </mc:Fallback>
        </mc:AlternateContent>
      </w:r>
      <w:r>
        <w:tab/>
      </w:r>
      <w:r>
        <w:rPr>
          <w:rFonts w:ascii="Times New Roman" w:eastAsia="Times New Roman" w:hAnsi="Times New Roman" w:cs="Times New Roman"/>
          <w:color w:val="222222"/>
          <w:sz w:val="24"/>
        </w:rPr>
        <w:t xml:space="preserve">, eV </w:t>
      </w:r>
      <w:r>
        <w:rPr>
          <w:rFonts w:ascii="Times New Roman" w:eastAsia="Times New Roman" w:hAnsi="Times New Roman" w:cs="Times New Roman"/>
          <w:color w:val="222222"/>
          <w:sz w:val="24"/>
        </w:rPr>
        <w:tab/>
        <w:t xml:space="preserve">5,3 </w:t>
      </w:r>
      <w:r>
        <w:rPr>
          <w:rFonts w:ascii="Times New Roman" w:eastAsia="Times New Roman" w:hAnsi="Times New Roman" w:cs="Times New Roman"/>
          <w:color w:val="222222"/>
          <w:sz w:val="24"/>
        </w:rPr>
        <w:tab/>
        <w:t xml:space="preserve">3,2 </w:t>
      </w:r>
      <w:r>
        <w:rPr>
          <w:rFonts w:ascii="Times New Roman" w:eastAsia="Times New Roman" w:hAnsi="Times New Roman" w:cs="Times New Roman"/>
          <w:color w:val="222222"/>
          <w:sz w:val="24"/>
        </w:rPr>
        <w:tab/>
        <w:t xml:space="preserve">2,5 </w:t>
      </w:r>
      <w:r>
        <w:rPr>
          <w:rFonts w:ascii="Times New Roman" w:eastAsia="Times New Roman" w:hAnsi="Times New Roman" w:cs="Times New Roman"/>
          <w:color w:val="222222"/>
          <w:sz w:val="24"/>
        </w:rPr>
        <w:tab/>
        <w:t xml:space="preserve">2,1 </w:t>
      </w:r>
    </w:p>
    <w:p w:rsidR="0052701D" w:rsidRDefault="00D40929">
      <w:pPr>
        <w:spacing w:after="24"/>
      </w:pPr>
      <w:r>
        <w:rPr>
          <w:rFonts w:ascii="Times New Roman" w:eastAsia="Times New Roman" w:hAnsi="Times New Roman" w:cs="Times New Roman"/>
          <w:color w:val="222222"/>
          <w:sz w:val="24"/>
        </w:rPr>
        <w:t xml:space="preserve"> </w:t>
      </w:r>
    </w:p>
    <w:p w:rsidR="0052701D" w:rsidRDefault="00D40929">
      <w:pPr>
        <w:spacing w:after="0"/>
        <w:ind w:left="706"/>
      </w:pPr>
      <w:r>
        <w:rPr>
          <w:rFonts w:ascii="Times New Roman" w:eastAsia="Times New Roman" w:hAnsi="Times New Roman" w:cs="Times New Roman"/>
          <w:b/>
          <w:i/>
          <w:color w:val="222222"/>
        </w:rPr>
        <w:t>5.</w:t>
      </w:r>
      <w:r>
        <w:rPr>
          <w:rFonts w:ascii="Arial" w:eastAsia="Arial" w:hAnsi="Arial" w:cs="Arial"/>
          <w:b/>
          <w:i/>
          <w:color w:val="222222"/>
        </w:rPr>
        <w:t xml:space="preserve"> </w:t>
      </w:r>
      <w:r>
        <w:rPr>
          <w:rFonts w:ascii="Times New Roman" w:eastAsia="Times New Roman" w:hAnsi="Times New Roman" w:cs="Times New Roman"/>
          <w:b/>
          <w:i/>
          <w:color w:val="222222"/>
          <w:sz w:val="28"/>
        </w:rPr>
        <w:t xml:space="preserve">Conclusions </w:t>
      </w:r>
    </w:p>
    <w:p w:rsidR="0052701D" w:rsidRDefault="00D40929">
      <w:pPr>
        <w:spacing w:after="37" w:line="248" w:lineRule="auto"/>
        <w:ind w:left="-15" w:right="3" w:firstLine="706"/>
        <w:jc w:val="both"/>
      </w:pPr>
      <w:r>
        <w:rPr>
          <w:rFonts w:ascii="Times New Roman" w:eastAsia="Times New Roman" w:hAnsi="Times New Roman" w:cs="Times New Roman"/>
          <w:color w:val="222222"/>
          <w:sz w:val="24"/>
        </w:rPr>
        <w:t>This study has demonstrated the experimental results of measurements of the electron temperature of the wave plasma discharge along the axis by using a RFEA, Langmuire probe and OES. The results show that a double layer potential structure appears in an ax</w:t>
      </w:r>
      <w:r>
        <w:rPr>
          <w:rFonts w:ascii="Times New Roman" w:eastAsia="Times New Roman" w:hAnsi="Times New Roman" w:cs="Times New Roman"/>
          <w:color w:val="222222"/>
          <w:sz w:val="24"/>
        </w:rPr>
        <w:t>ial line in the vicinity of the magnetic field gradient maximum location. The ArI emission lines intensities 750 nm and 811 nm show very good consistency with an electron temperature distribution along the axis. The argon ion emission lines, which need a h</w:t>
      </w:r>
      <w:r>
        <w:rPr>
          <w:rFonts w:ascii="Times New Roman" w:eastAsia="Times New Roman" w:hAnsi="Times New Roman" w:cs="Times New Roman"/>
          <w:color w:val="222222"/>
          <w:sz w:val="24"/>
        </w:rPr>
        <w:t xml:space="preserve">igher excited energy, display a fast drop upstream and then remain almost constant </w:t>
      </w:r>
      <w:r>
        <w:rPr>
          <w:rFonts w:ascii="Times New Roman" w:eastAsia="Times New Roman" w:hAnsi="Times New Roman" w:cs="Times New Roman"/>
          <w:sz w:val="24"/>
        </w:rPr>
        <w:t>downstream. An energetic electron population only exists upstream, leading to different velocities of the electron population. Electron populations with different velocities</w:t>
      </w:r>
      <w:r>
        <w:rPr>
          <w:rFonts w:ascii="Times New Roman" w:eastAsia="Times New Roman" w:hAnsi="Times New Roman" w:cs="Times New Roman"/>
          <w:sz w:val="24"/>
        </w:rPr>
        <w:t xml:space="preserve"> result in a potential change as well as the axial distribution of metastable atoms. The axial distribution of the electron temperature shows that the DL represents a process in which the effective enthalpy converts into potential energy. </w:t>
      </w:r>
    </w:p>
    <w:p w:rsidR="0052701D" w:rsidRDefault="00D40929">
      <w:pPr>
        <w:spacing w:after="3"/>
        <w:ind w:left="725" w:hanging="10"/>
      </w:pPr>
      <w:r>
        <w:rPr>
          <w:rFonts w:ascii="Times New Roman" w:eastAsia="Times New Roman" w:hAnsi="Times New Roman" w:cs="Times New Roman"/>
          <w:b/>
          <w:i/>
          <w:sz w:val="28"/>
        </w:rPr>
        <w:t xml:space="preserve">Acknowledgments </w:t>
      </w:r>
    </w:p>
    <w:p w:rsidR="0052701D" w:rsidRDefault="00D40929">
      <w:pPr>
        <w:spacing w:after="5"/>
        <w:ind w:left="10" w:right="21" w:hanging="10"/>
        <w:jc w:val="right"/>
      </w:pPr>
      <w:r>
        <w:rPr>
          <w:rFonts w:ascii="Times New Roman" w:eastAsia="Times New Roman" w:hAnsi="Times New Roman" w:cs="Times New Roman"/>
          <w:sz w:val="24"/>
        </w:rPr>
        <w:t>This research was funded by the Russian Foundation for Basic Research (No. 18-29-</w:t>
      </w:r>
    </w:p>
    <w:p w:rsidR="0052701D" w:rsidRDefault="00D40929">
      <w:pPr>
        <w:spacing w:after="29" w:line="248" w:lineRule="auto"/>
        <w:ind w:left="9" w:right="14"/>
        <w:jc w:val="both"/>
      </w:pPr>
      <w:r>
        <w:rPr>
          <w:rFonts w:ascii="Times New Roman" w:eastAsia="Times New Roman" w:hAnsi="Times New Roman" w:cs="Times New Roman"/>
          <w:sz w:val="24"/>
        </w:rPr>
        <w:t xml:space="preserve">21039) and has been performed at “Beam-M” facility of Bauman Moscow State Technical University. </w:t>
      </w:r>
    </w:p>
    <w:p w:rsidR="0052701D" w:rsidRDefault="00D40929">
      <w:pPr>
        <w:spacing w:after="0"/>
      </w:pPr>
      <w:r>
        <w:rPr>
          <w:rFonts w:ascii="Times New Roman" w:eastAsia="Times New Roman" w:hAnsi="Times New Roman" w:cs="Times New Roman"/>
          <w:b/>
          <w:sz w:val="28"/>
        </w:rPr>
        <w:t xml:space="preserve"> </w:t>
      </w:r>
    </w:p>
    <w:p w:rsidR="0052701D" w:rsidRDefault="00D40929">
      <w:pPr>
        <w:spacing w:after="16" w:line="248" w:lineRule="auto"/>
        <w:ind w:left="819" w:right="822" w:hanging="10"/>
        <w:jc w:val="center"/>
      </w:pPr>
      <w:r>
        <w:rPr>
          <w:rFonts w:ascii="Times New Roman" w:eastAsia="Times New Roman" w:hAnsi="Times New Roman" w:cs="Times New Roman"/>
          <w:b/>
          <w:sz w:val="24"/>
        </w:rPr>
        <w:t xml:space="preserve">References </w:t>
      </w:r>
    </w:p>
    <w:p w:rsidR="0052701D" w:rsidRDefault="00D40929">
      <w:pPr>
        <w:spacing w:after="0"/>
        <w:ind w:left="55"/>
        <w:jc w:val="center"/>
      </w:pPr>
      <w:r>
        <w:rPr>
          <w:rFonts w:ascii="Times New Roman" w:eastAsia="Times New Roman" w:hAnsi="Times New Roman" w:cs="Times New Roman"/>
          <w:b/>
          <w:sz w:val="24"/>
        </w:rPr>
        <w:t xml:space="preserve"> </w:t>
      </w:r>
    </w:p>
    <w:p w:rsidR="0052701D" w:rsidRDefault="00D40929">
      <w:pPr>
        <w:numPr>
          <w:ilvl w:val="0"/>
          <w:numId w:val="72"/>
        </w:numPr>
        <w:spacing w:after="29" w:line="248" w:lineRule="auto"/>
        <w:ind w:right="14" w:firstLine="567"/>
        <w:jc w:val="both"/>
      </w:pPr>
      <w:r>
        <w:rPr>
          <w:rFonts w:ascii="Times New Roman" w:eastAsia="Times New Roman" w:hAnsi="Times New Roman" w:cs="Times New Roman"/>
          <w:sz w:val="24"/>
        </w:rPr>
        <w:t xml:space="preserve">Shumeiko A I and Telekh V D 2019 </w:t>
      </w:r>
      <w:r>
        <w:rPr>
          <w:rFonts w:ascii="Times New Roman" w:eastAsia="Times New Roman" w:hAnsi="Times New Roman" w:cs="Times New Roman"/>
          <w:i/>
          <w:sz w:val="24"/>
        </w:rPr>
        <w:t xml:space="preserve">AIP Conf. Proc. </w:t>
      </w:r>
      <w:r>
        <w:rPr>
          <w:rFonts w:ascii="Times New Roman" w:eastAsia="Times New Roman" w:hAnsi="Times New Roman" w:cs="Times New Roman"/>
          <w:b/>
          <w:sz w:val="24"/>
        </w:rPr>
        <w:t>2171(1)</w:t>
      </w:r>
      <w:r>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170019  </w:t>
      </w:r>
    </w:p>
    <w:p w:rsidR="0052701D" w:rsidRDefault="00D40929">
      <w:pPr>
        <w:numPr>
          <w:ilvl w:val="0"/>
          <w:numId w:val="72"/>
        </w:numPr>
        <w:spacing w:after="5"/>
        <w:ind w:right="14" w:firstLine="567"/>
        <w:jc w:val="both"/>
      </w:pPr>
      <w:r>
        <w:rPr>
          <w:rFonts w:ascii="Times New Roman" w:eastAsia="Times New Roman" w:hAnsi="Times New Roman" w:cs="Times New Roman"/>
          <w:sz w:val="24"/>
        </w:rPr>
        <w:t xml:space="preserve">Dukhopel’nikov D V, Vorob’ev E V, Ivakhnenko S G, et al. 2016 </w:t>
      </w:r>
      <w:r>
        <w:rPr>
          <w:rFonts w:ascii="Times New Roman" w:eastAsia="Times New Roman" w:hAnsi="Times New Roman" w:cs="Times New Roman"/>
          <w:i/>
          <w:sz w:val="24"/>
        </w:rPr>
        <w:t xml:space="preserve">J. of Surface </w:t>
      </w:r>
    </w:p>
    <w:p w:rsidR="0052701D" w:rsidRDefault="00D40929">
      <w:pPr>
        <w:spacing w:after="29" w:line="248" w:lineRule="auto"/>
        <w:ind w:left="9"/>
        <w:jc w:val="both"/>
      </w:pPr>
      <w:r>
        <w:rPr>
          <w:rFonts w:ascii="Times New Roman" w:eastAsia="Times New Roman" w:hAnsi="Times New Roman" w:cs="Times New Roman"/>
          <w:i/>
          <w:sz w:val="24"/>
        </w:rPr>
        <w:t>Investigation: X-ray, Synchrotron and Neutron Techniques</w:t>
      </w:r>
      <w:r>
        <w:rPr>
          <w:rFonts w:ascii="Times New Roman" w:eastAsia="Times New Roman" w:hAnsi="Times New Roman" w:cs="Times New Roman"/>
          <w:sz w:val="24"/>
        </w:rPr>
        <w:t xml:space="preserve"> </w:t>
      </w:r>
      <w:r>
        <w:rPr>
          <w:rFonts w:ascii="Times New Roman" w:eastAsia="Times New Roman" w:hAnsi="Times New Roman" w:cs="Times New Roman"/>
          <w:b/>
          <w:sz w:val="24"/>
        </w:rPr>
        <w:t>10(1)</w:t>
      </w:r>
      <w:r>
        <w:rPr>
          <w:rFonts w:ascii="Times New Roman" w:eastAsia="Times New Roman" w:hAnsi="Times New Roman" w:cs="Times New Roman"/>
          <w:sz w:val="24"/>
        </w:rPr>
        <w:t xml:space="preserve"> 10-14 </w:t>
      </w:r>
    </w:p>
    <w:p w:rsidR="0052701D" w:rsidRDefault="00D40929">
      <w:pPr>
        <w:numPr>
          <w:ilvl w:val="0"/>
          <w:numId w:val="72"/>
        </w:numPr>
        <w:spacing w:after="14" w:line="248" w:lineRule="auto"/>
        <w:ind w:right="14" w:firstLine="567"/>
        <w:jc w:val="both"/>
      </w:pPr>
      <w:r>
        <w:rPr>
          <w:rFonts w:ascii="Times New Roman" w:eastAsia="Times New Roman" w:hAnsi="Times New Roman" w:cs="Times New Roman"/>
          <w:sz w:val="24"/>
        </w:rPr>
        <w:t xml:space="preserve">Shumeiko A I and Telekh V D 2019 </w:t>
      </w:r>
      <w:r>
        <w:rPr>
          <w:rFonts w:ascii="Times New Roman" w:eastAsia="Times New Roman" w:hAnsi="Times New Roman" w:cs="Times New Roman"/>
          <w:i/>
          <w:sz w:val="24"/>
        </w:rPr>
        <w:t>J. of Phys.: Conf. Series</w:t>
      </w:r>
      <w:r>
        <w:rPr>
          <w:rFonts w:ascii="Times New Roman" w:eastAsia="Times New Roman" w:hAnsi="Times New Roman" w:cs="Times New Roman"/>
          <w:sz w:val="24"/>
        </w:rPr>
        <w:t xml:space="preserve"> </w:t>
      </w:r>
      <w:r>
        <w:rPr>
          <w:rFonts w:ascii="Times New Roman" w:eastAsia="Times New Roman" w:hAnsi="Times New Roman" w:cs="Times New Roman"/>
          <w:b/>
          <w:sz w:val="24"/>
        </w:rPr>
        <w:t>1393(1)</w:t>
      </w:r>
      <w:r>
        <w:rPr>
          <w:rFonts w:ascii="Times New Roman" w:eastAsia="Times New Roman" w:hAnsi="Times New Roman" w:cs="Times New Roman"/>
          <w:sz w:val="24"/>
        </w:rPr>
        <w:t xml:space="preserve"> 012027 </w:t>
      </w:r>
    </w:p>
    <w:p w:rsidR="0052701D" w:rsidRDefault="00D40929">
      <w:pPr>
        <w:numPr>
          <w:ilvl w:val="0"/>
          <w:numId w:val="72"/>
        </w:numPr>
        <w:spacing w:after="29" w:line="248" w:lineRule="auto"/>
        <w:ind w:right="14" w:firstLine="567"/>
        <w:jc w:val="both"/>
      </w:pPr>
      <w:r>
        <w:rPr>
          <w:rFonts w:ascii="Times New Roman" w:eastAsia="Times New Roman" w:hAnsi="Times New Roman" w:cs="Times New Roman"/>
          <w:sz w:val="24"/>
        </w:rPr>
        <w:t>Kuzenov V V, Ryzhkov S V,</w:t>
      </w:r>
      <w:r>
        <w:rPr>
          <w:rFonts w:ascii="Times New Roman" w:eastAsia="Times New Roman" w:hAnsi="Times New Roman" w:cs="Times New Roman"/>
          <w:sz w:val="24"/>
        </w:rPr>
        <w:t xml:space="preserve"> Frolko P A 2017 </w:t>
      </w:r>
      <w:r>
        <w:rPr>
          <w:rFonts w:ascii="Times New Roman" w:eastAsia="Times New Roman" w:hAnsi="Times New Roman" w:cs="Times New Roman"/>
          <w:i/>
          <w:sz w:val="24"/>
        </w:rPr>
        <w:t>J. of Phys.: Conf. Series</w:t>
      </w:r>
      <w:r>
        <w:rPr>
          <w:rFonts w:ascii="Times New Roman" w:eastAsia="Times New Roman" w:hAnsi="Times New Roman" w:cs="Times New Roman"/>
          <w:sz w:val="24"/>
        </w:rPr>
        <w:t xml:space="preserve"> </w:t>
      </w:r>
      <w:r>
        <w:rPr>
          <w:rFonts w:ascii="Times New Roman" w:eastAsia="Times New Roman" w:hAnsi="Times New Roman" w:cs="Times New Roman"/>
          <w:b/>
          <w:sz w:val="24"/>
        </w:rPr>
        <w:t>830</w:t>
      </w:r>
      <w:r>
        <w:rPr>
          <w:rFonts w:ascii="Times New Roman" w:eastAsia="Times New Roman" w:hAnsi="Times New Roman" w:cs="Times New Roman"/>
          <w:sz w:val="24"/>
        </w:rPr>
        <w:t xml:space="preserve"> 012049 </w:t>
      </w:r>
    </w:p>
    <w:p w:rsidR="0052701D" w:rsidRDefault="00D40929">
      <w:pPr>
        <w:numPr>
          <w:ilvl w:val="0"/>
          <w:numId w:val="72"/>
        </w:numPr>
        <w:spacing w:after="0" w:line="248" w:lineRule="auto"/>
        <w:ind w:right="14" w:firstLine="567"/>
        <w:jc w:val="both"/>
      </w:pPr>
      <w:r>
        <w:rPr>
          <w:rFonts w:ascii="Times New Roman" w:eastAsia="Times New Roman" w:hAnsi="Times New Roman" w:cs="Times New Roman"/>
          <w:color w:val="222222"/>
          <w:sz w:val="24"/>
        </w:rPr>
        <w:lastRenderedPageBreak/>
        <w:t xml:space="preserve">Furukawa T, Takizawa K, Kuwahara D and Shinohara S 2017 </w:t>
      </w:r>
      <w:r>
        <w:rPr>
          <w:rFonts w:ascii="Times New Roman" w:eastAsia="Times New Roman" w:hAnsi="Times New Roman" w:cs="Times New Roman"/>
          <w:i/>
          <w:color w:val="222222"/>
          <w:sz w:val="24"/>
        </w:rPr>
        <w:t>AIP Advances</w:t>
      </w:r>
      <w:r>
        <w:rPr>
          <w:rFonts w:ascii="Times New Roman" w:eastAsia="Times New Roman" w:hAnsi="Times New Roman" w:cs="Times New Roman"/>
          <w:color w:val="222222"/>
          <w:sz w:val="24"/>
        </w:rPr>
        <w:t xml:space="preserve"> </w:t>
      </w:r>
      <w:r>
        <w:rPr>
          <w:rFonts w:ascii="Times New Roman" w:eastAsia="Times New Roman" w:hAnsi="Times New Roman" w:cs="Times New Roman"/>
          <w:b/>
          <w:i/>
          <w:color w:val="222222"/>
          <w:sz w:val="24"/>
        </w:rPr>
        <w:t>7</w:t>
      </w:r>
      <w:r>
        <w:rPr>
          <w:rFonts w:ascii="Times New Roman" w:eastAsia="Times New Roman" w:hAnsi="Times New Roman" w:cs="Times New Roman"/>
          <w:b/>
          <w:color w:val="222222"/>
          <w:sz w:val="24"/>
        </w:rPr>
        <w:t>(11)</w:t>
      </w:r>
      <w:r>
        <w:rPr>
          <w:rFonts w:ascii="Times New Roman" w:eastAsia="Times New Roman" w:hAnsi="Times New Roman" w:cs="Times New Roman"/>
          <w:color w:val="222222"/>
          <w:sz w:val="24"/>
        </w:rPr>
        <w:t xml:space="preserve"> </w:t>
      </w:r>
    </w:p>
    <w:p w:rsidR="0052701D" w:rsidRDefault="00D40929">
      <w:pPr>
        <w:spacing w:after="0" w:line="248" w:lineRule="auto"/>
        <w:ind w:left="-5" w:right="3" w:hanging="10"/>
        <w:jc w:val="both"/>
      </w:pPr>
      <w:r>
        <w:rPr>
          <w:rFonts w:ascii="Times New Roman" w:eastAsia="Times New Roman" w:hAnsi="Times New Roman" w:cs="Times New Roman"/>
          <w:color w:val="222222"/>
          <w:sz w:val="24"/>
        </w:rPr>
        <w:t>115204</w:t>
      </w:r>
      <w:r>
        <w:rPr>
          <w:rFonts w:ascii="Times New Roman" w:eastAsia="Times New Roman" w:hAnsi="Times New Roman" w:cs="Times New Roman"/>
          <w:sz w:val="24"/>
        </w:rPr>
        <w:t xml:space="preserve"> </w:t>
      </w:r>
    </w:p>
    <w:p w:rsidR="0052701D" w:rsidRDefault="00D40929">
      <w:pPr>
        <w:numPr>
          <w:ilvl w:val="0"/>
          <w:numId w:val="72"/>
        </w:numPr>
        <w:spacing w:after="29" w:line="248" w:lineRule="auto"/>
        <w:ind w:right="14" w:firstLine="567"/>
        <w:jc w:val="both"/>
      </w:pPr>
      <w:r>
        <w:rPr>
          <w:rFonts w:ascii="Times New Roman" w:eastAsia="Times New Roman" w:hAnsi="Times New Roman" w:cs="Times New Roman"/>
          <w:sz w:val="24"/>
        </w:rPr>
        <w:t xml:space="preserve">Batishchev O 2009 </w:t>
      </w:r>
      <w:r>
        <w:rPr>
          <w:rFonts w:ascii="Times New Roman" w:eastAsia="Times New Roman" w:hAnsi="Times New Roman" w:cs="Times New Roman"/>
          <w:i/>
          <w:sz w:val="24"/>
        </w:rPr>
        <w:t>IEEE Trans. Plasma Sci</w:t>
      </w:r>
      <w:r>
        <w:rPr>
          <w:rFonts w:ascii="Times New Roman" w:eastAsia="Times New Roman" w:hAnsi="Times New Roman" w:cs="Times New Roman"/>
          <w:sz w:val="24"/>
        </w:rPr>
        <w:t xml:space="preserve"> </w:t>
      </w:r>
      <w:r>
        <w:rPr>
          <w:rFonts w:ascii="Times New Roman" w:eastAsia="Times New Roman" w:hAnsi="Times New Roman" w:cs="Times New Roman"/>
          <w:b/>
          <w:sz w:val="24"/>
        </w:rPr>
        <w:t>37</w:t>
      </w:r>
      <w:r>
        <w:rPr>
          <w:rFonts w:ascii="Times New Roman" w:eastAsia="Times New Roman" w:hAnsi="Times New Roman" w:cs="Times New Roman"/>
          <w:sz w:val="24"/>
        </w:rPr>
        <w:t xml:space="preserve"> 1563 </w:t>
      </w:r>
    </w:p>
    <w:p w:rsidR="0052701D" w:rsidRDefault="00D40929">
      <w:pPr>
        <w:numPr>
          <w:ilvl w:val="0"/>
          <w:numId w:val="72"/>
        </w:numPr>
        <w:spacing w:after="29" w:line="248" w:lineRule="auto"/>
        <w:ind w:right="14" w:firstLine="567"/>
        <w:jc w:val="both"/>
      </w:pPr>
      <w:r>
        <w:rPr>
          <w:rFonts w:ascii="Times New Roman" w:eastAsia="Times New Roman" w:hAnsi="Times New Roman" w:cs="Times New Roman"/>
          <w:sz w:val="24"/>
        </w:rPr>
        <w:t xml:space="preserve">Arefiev A and Breizman B 2004 </w:t>
      </w:r>
      <w:r>
        <w:rPr>
          <w:rFonts w:ascii="Times New Roman" w:eastAsia="Times New Roman" w:hAnsi="Times New Roman" w:cs="Times New Roman"/>
          <w:i/>
          <w:sz w:val="24"/>
        </w:rPr>
        <w:t>Phys. Plasmas</w:t>
      </w:r>
      <w:r>
        <w:rPr>
          <w:rFonts w:ascii="Times New Roman" w:eastAsia="Times New Roman" w:hAnsi="Times New Roman" w:cs="Times New Roman"/>
          <w:sz w:val="24"/>
        </w:rPr>
        <w:t xml:space="preserve"> </w:t>
      </w:r>
      <w:r>
        <w:rPr>
          <w:rFonts w:ascii="Times New Roman" w:eastAsia="Times New Roman" w:hAnsi="Times New Roman" w:cs="Times New Roman"/>
          <w:b/>
          <w:sz w:val="24"/>
        </w:rPr>
        <w:t xml:space="preserve">11 </w:t>
      </w:r>
      <w:r>
        <w:rPr>
          <w:rFonts w:ascii="Times New Roman" w:eastAsia="Times New Roman" w:hAnsi="Times New Roman" w:cs="Times New Roman"/>
          <w:sz w:val="24"/>
        </w:rPr>
        <w:t>2942</w:t>
      </w:r>
      <w:r>
        <w:rPr>
          <w:noProof/>
        </w:rPr>
        <mc:AlternateContent>
          <mc:Choice Requires="wpg">
            <w:drawing>
              <wp:inline distT="0" distB="0" distL="0" distR="0">
                <wp:extent cx="33528" cy="152400"/>
                <wp:effectExtent l="0" t="0" r="0" b="0"/>
                <wp:docPr id="1048784" name="Group 1048784"/>
                <wp:cNvGraphicFramePr/>
                <a:graphic xmlns:a="http://schemas.openxmlformats.org/drawingml/2006/main">
                  <a:graphicData uri="http://schemas.microsoft.com/office/word/2010/wordprocessingGroup">
                    <wpg:wgp>
                      <wpg:cNvGrpSpPr/>
                      <wpg:grpSpPr>
                        <a:xfrm>
                          <a:off x="0" y="0"/>
                          <a:ext cx="33528" cy="152400"/>
                          <a:chOff x="0" y="0"/>
                          <a:chExt cx="33528" cy="152400"/>
                        </a:xfrm>
                      </wpg:grpSpPr>
                      <wps:wsp>
                        <wps:cNvPr id="42855" name="Rectangle 42855"/>
                        <wps:cNvSpPr/>
                        <wps:spPr>
                          <a:xfrm>
                            <a:off x="0" y="0"/>
                            <a:ext cx="44592" cy="202692"/>
                          </a:xfrm>
                          <a:prstGeom prst="rect">
                            <a:avLst/>
                          </a:prstGeom>
                          <a:ln>
                            <a:noFill/>
                          </a:ln>
                        </wps:spPr>
                        <wps:txbx>
                          <w:txbxContent>
                            <w:p w:rsidR="0052701D" w:rsidRDefault="00D40929">
                              <w:r>
                                <w:rPr>
                                  <w:rFonts w:ascii="Cambria Math" w:eastAsia="Cambria Math" w:hAnsi="Cambria Math" w:cs="Cambria Math"/>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048784" style="width:2.64001pt;height:12pt;mso-position-horizontal-relative:char;mso-position-vertical-relative:line" coordsize="335,1524">
                <v:rect id="Rectangle 42855" style="position:absolute;width:445;height:2026;left:0;top:0;" filled="f" stroked="f">
                  <v:textbox inset="0,0,0,0">
                    <w:txbxContent>
                      <w:p>
                        <w:pPr>
                          <w:spacing w:before="0" w:after="160" w:line="259" w:lineRule="auto"/>
                        </w:pPr>
                        <w:r>
                          <w:rPr>
                            <w:rFonts w:cs="Cambria Math" w:hAnsi="Cambria Math" w:eastAsia="Cambria Math" w:ascii="Cambria Math"/>
                            <w:sz w:val="24"/>
                          </w:rPr>
                          <w:t xml:space="preserve"> </w:t>
                        </w:r>
                      </w:p>
                    </w:txbxContent>
                  </v:textbox>
                </v:rect>
              </v:group>
            </w:pict>
          </mc:Fallback>
        </mc:AlternateContent>
      </w:r>
    </w:p>
    <w:p w:rsidR="0052701D" w:rsidRDefault="00D40929">
      <w:pPr>
        <w:numPr>
          <w:ilvl w:val="0"/>
          <w:numId w:val="72"/>
        </w:numPr>
        <w:spacing w:after="29" w:line="248" w:lineRule="auto"/>
        <w:ind w:right="14" w:firstLine="567"/>
        <w:jc w:val="both"/>
      </w:pPr>
      <w:r>
        <w:rPr>
          <w:rFonts w:ascii="Times New Roman" w:eastAsia="Times New Roman" w:hAnsi="Times New Roman" w:cs="Times New Roman"/>
          <w:sz w:val="24"/>
        </w:rPr>
        <w:t xml:space="preserve">Gizzatullin A R, Zhelonkin Y O, Voznesencky E F and Gizzatullin A R 2019 </w:t>
      </w:r>
      <w:r>
        <w:rPr>
          <w:rFonts w:ascii="Times New Roman" w:eastAsia="Times New Roman" w:hAnsi="Times New Roman" w:cs="Times New Roman"/>
          <w:i/>
          <w:sz w:val="24"/>
        </w:rPr>
        <w:t xml:space="preserve">J. of </w:t>
      </w:r>
    </w:p>
    <w:p w:rsidR="0052701D" w:rsidRDefault="00D40929">
      <w:pPr>
        <w:spacing w:after="29" w:line="248" w:lineRule="auto"/>
        <w:ind w:left="9"/>
        <w:jc w:val="both"/>
      </w:pPr>
      <w:r>
        <w:rPr>
          <w:rFonts w:ascii="Times New Roman" w:eastAsia="Times New Roman" w:hAnsi="Times New Roman" w:cs="Times New Roman"/>
          <w:i/>
          <w:sz w:val="24"/>
        </w:rPr>
        <w:t>Phys.: Conf. Serie</w:t>
      </w:r>
      <w:r>
        <w:rPr>
          <w:rFonts w:ascii="Times New Roman" w:eastAsia="Times New Roman" w:hAnsi="Times New Roman" w:cs="Times New Roman"/>
          <w:sz w:val="24"/>
        </w:rPr>
        <w:t xml:space="preserve"> </w:t>
      </w:r>
      <w:r>
        <w:rPr>
          <w:rFonts w:ascii="Times New Roman" w:eastAsia="Times New Roman" w:hAnsi="Times New Roman" w:cs="Times New Roman"/>
          <w:b/>
          <w:sz w:val="24"/>
        </w:rPr>
        <w:t>1328(1)</w:t>
      </w:r>
      <w:r>
        <w:rPr>
          <w:rFonts w:ascii="Times New Roman" w:eastAsia="Times New Roman" w:hAnsi="Times New Roman" w:cs="Times New Roman"/>
          <w:sz w:val="24"/>
        </w:rPr>
        <w:t xml:space="preserve"> 012025 </w:t>
      </w:r>
    </w:p>
    <w:p w:rsidR="0052701D" w:rsidRDefault="00D40929">
      <w:pPr>
        <w:numPr>
          <w:ilvl w:val="0"/>
          <w:numId w:val="72"/>
        </w:numPr>
        <w:spacing w:after="29" w:line="248" w:lineRule="auto"/>
        <w:ind w:right="14" w:firstLine="567"/>
        <w:jc w:val="both"/>
      </w:pPr>
      <w:r>
        <w:rPr>
          <w:rFonts w:ascii="Times New Roman" w:eastAsia="Times New Roman" w:hAnsi="Times New Roman" w:cs="Times New Roman"/>
          <w:sz w:val="24"/>
        </w:rPr>
        <w:t xml:space="preserve">Mewe R 1967 </w:t>
      </w:r>
      <w:r>
        <w:rPr>
          <w:rFonts w:ascii="Times New Roman" w:eastAsia="Times New Roman" w:hAnsi="Times New Roman" w:cs="Times New Roman"/>
          <w:i/>
          <w:sz w:val="24"/>
        </w:rPr>
        <w:t>British J. of Appl. Phys.</w:t>
      </w:r>
      <w:r>
        <w:rPr>
          <w:rFonts w:ascii="Times New Roman" w:eastAsia="Times New Roman" w:hAnsi="Times New Roman" w:cs="Times New Roman"/>
          <w:sz w:val="24"/>
        </w:rPr>
        <w:t xml:space="preserve"> </w:t>
      </w:r>
      <w:r>
        <w:rPr>
          <w:rFonts w:ascii="Times New Roman" w:eastAsia="Times New Roman" w:hAnsi="Times New Roman" w:cs="Times New Roman"/>
          <w:b/>
          <w:sz w:val="24"/>
        </w:rPr>
        <w:t>18(1)</w:t>
      </w:r>
      <w:r>
        <w:rPr>
          <w:rFonts w:ascii="Times New Roman" w:eastAsia="Times New Roman" w:hAnsi="Times New Roman" w:cs="Times New Roman"/>
          <w:sz w:val="24"/>
        </w:rPr>
        <w:t xml:space="preserve"> 107 </w:t>
      </w:r>
    </w:p>
    <w:p w:rsidR="0052701D" w:rsidRDefault="00D40929">
      <w:pPr>
        <w:numPr>
          <w:ilvl w:val="0"/>
          <w:numId w:val="72"/>
        </w:numPr>
        <w:spacing w:after="0" w:line="248" w:lineRule="auto"/>
        <w:ind w:right="14" w:firstLine="567"/>
        <w:jc w:val="both"/>
      </w:pPr>
      <w:r>
        <w:rPr>
          <w:rFonts w:ascii="Times New Roman" w:eastAsia="Times New Roman" w:hAnsi="Times New Roman" w:cs="Times New Roman"/>
          <w:sz w:val="24"/>
        </w:rPr>
        <w:t xml:space="preserve">Bartschat K, Zatsarinny O, Bray I, Fursa D V and Stelbovics A T 2004 </w:t>
      </w:r>
      <w:r>
        <w:rPr>
          <w:rFonts w:ascii="Times New Roman" w:eastAsia="Times New Roman" w:hAnsi="Times New Roman" w:cs="Times New Roman"/>
          <w:i/>
          <w:sz w:val="24"/>
        </w:rPr>
        <w:t xml:space="preserve">J. of Phys. B: Atomic, </w:t>
      </w:r>
      <w:r>
        <w:rPr>
          <w:rFonts w:ascii="Times New Roman" w:eastAsia="Times New Roman" w:hAnsi="Times New Roman" w:cs="Times New Roman"/>
          <w:i/>
          <w:sz w:val="24"/>
        </w:rPr>
        <w:t xml:space="preserve">Molecular and Optical Phys. </w:t>
      </w:r>
      <w:r>
        <w:rPr>
          <w:rFonts w:ascii="Times New Roman" w:eastAsia="Times New Roman" w:hAnsi="Times New Roman" w:cs="Times New Roman"/>
          <w:b/>
          <w:sz w:val="24"/>
        </w:rPr>
        <w:t>37(13)</w:t>
      </w:r>
      <w:r>
        <w:rPr>
          <w:rFonts w:ascii="Times New Roman" w:eastAsia="Times New Roman" w:hAnsi="Times New Roman" w:cs="Times New Roman"/>
          <w:sz w:val="24"/>
        </w:rPr>
        <w:t xml:space="preserve"> 2617 </w:t>
      </w:r>
    </w:p>
    <w:p w:rsidR="0052701D" w:rsidRDefault="00D40929">
      <w:pPr>
        <w:numPr>
          <w:ilvl w:val="0"/>
          <w:numId w:val="72"/>
        </w:numPr>
        <w:spacing w:after="29" w:line="248" w:lineRule="auto"/>
        <w:ind w:right="14" w:firstLine="567"/>
        <w:jc w:val="both"/>
      </w:pPr>
      <w:r>
        <w:rPr>
          <w:rFonts w:ascii="Times New Roman" w:eastAsia="Times New Roman" w:hAnsi="Times New Roman" w:cs="Times New Roman"/>
          <w:sz w:val="24"/>
        </w:rPr>
        <w:t xml:space="preserve">Charles C and Boswell R W 2003 </w:t>
      </w:r>
      <w:r>
        <w:rPr>
          <w:rFonts w:ascii="Times New Roman" w:eastAsia="Times New Roman" w:hAnsi="Times New Roman" w:cs="Times New Roman"/>
          <w:i/>
          <w:sz w:val="24"/>
        </w:rPr>
        <w:t>Appl. Phys. Letters</w:t>
      </w:r>
      <w:r>
        <w:rPr>
          <w:rFonts w:ascii="Times New Roman" w:eastAsia="Times New Roman" w:hAnsi="Times New Roman" w:cs="Times New Roman"/>
          <w:sz w:val="24"/>
        </w:rPr>
        <w:t xml:space="preserve"> </w:t>
      </w:r>
      <w:r>
        <w:rPr>
          <w:rFonts w:ascii="Times New Roman" w:eastAsia="Times New Roman" w:hAnsi="Times New Roman" w:cs="Times New Roman"/>
          <w:b/>
          <w:sz w:val="24"/>
        </w:rPr>
        <w:t>82(9)</w:t>
      </w:r>
      <w:r>
        <w:rPr>
          <w:rFonts w:ascii="Times New Roman" w:eastAsia="Times New Roman" w:hAnsi="Times New Roman" w:cs="Times New Roman"/>
          <w:sz w:val="24"/>
        </w:rPr>
        <w:t xml:space="preserve"> 1356–1358 [12] Лукутин Б.В. Оптимизация энергетических балансов фотоэлектрической станции с электрохимическим и тепловым аккумулированием солнечной энергии / </w:t>
      </w:r>
      <w:r>
        <w:rPr>
          <w:rFonts w:ascii="Times New Roman" w:eastAsia="Times New Roman" w:hAnsi="Times New Roman" w:cs="Times New Roman"/>
          <w:sz w:val="24"/>
        </w:rPr>
        <w:t xml:space="preserve">Б. В. Лукутин, А. М. Каррар Хамид // Известия высших учебных заведений. Проблемы энергетики. 2022. Т. 24. № 2. С. 3-13. </w:t>
      </w:r>
    </w:p>
    <w:p w:rsidR="0052701D" w:rsidRDefault="00D40929">
      <w:pPr>
        <w:spacing w:after="0" w:line="248" w:lineRule="auto"/>
        <w:ind w:left="9" w:right="14" w:firstLine="567"/>
        <w:jc w:val="both"/>
      </w:pPr>
      <w:r>
        <w:rPr>
          <w:rFonts w:ascii="Times New Roman" w:eastAsia="Times New Roman" w:hAnsi="Times New Roman" w:cs="Times New Roman"/>
          <w:sz w:val="24"/>
        </w:rPr>
        <w:t>[13] Иванов Д. А. Исследование электрофизических процессов и старения материала высоковольтных изоляторов для определения их рабочего р</w:t>
      </w:r>
      <w:r>
        <w:rPr>
          <w:rFonts w:ascii="Times New Roman" w:eastAsia="Times New Roman" w:hAnsi="Times New Roman" w:cs="Times New Roman"/>
          <w:sz w:val="24"/>
        </w:rPr>
        <w:t xml:space="preserve">есурса / Д. А. Иванов // Известия высших учебных заведений. Проблемы энергетики. 2022. Т. 24. № 2. С. 132-146/ </w:t>
      </w:r>
    </w:p>
    <w:p w:rsidR="0052701D" w:rsidRDefault="00D40929">
      <w:pPr>
        <w:spacing w:after="0"/>
      </w:pPr>
      <w:r>
        <w:rPr>
          <w:rFonts w:ascii="Times New Roman" w:eastAsia="Times New Roman" w:hAnsi="Times New Roman" w:cs="Times New Roman"/>
          <w:sz w:val="24"/>
        </w:rPr>
        <w:t xml:space="preserve"> </w:t>
      </w:r>
    </w:p>
    <w:p w:rsidR="0052701D" w:rsidRDefault="00D40929">
      <w:pPr>
        <w:spacing w:after="12"/>
      </w:pPr>
      <w:r>
        <w:rPr>
          <w:rFonts w:ascii="Times New Roman" w:eastAsia="Times New Roman" w:hAnsi="Times New Roman" w:cs="Times New Roman"/>
          <w:sz w:val="24"/>
        </w:rPr>
        <w:t xml:space="preserve"> </w:t>
      </w:r>
    </w:p>
    <w:p w:rsidR="0052701D" w:rsidRDefault="00D40929">
      <w:pPr>
        <w:spacing w:after="0"/>
      </w:pPr>
      <w:r>
        <w:rPr>
          <w:rFonts w:ascii="Times New Roman" w:eastAsia="Times New Roman" w:hAnsi="Times New Roman" w:cs="Times New Roman"/>
          <w:sz w:val="28"/>
        </w:rPr>
        <w:t xml:space="preserve"> </w:t>
      </w:r>
    </w:p>
    <w:p w:rsidR="0052701D" w:rsidRDefault="00D40929">
      <w:pPr>
        <w:spacing w:after="54" w:line="248" w:lineRule="auto"/>
        <w:ind w:left="9" w:right="14"/>
        <w:jc w:val="both"/>
      </w:pPr>
      <w:r>
        <w:rPr>
          <w:rFonts w:ascii="Times New Roman" w:eastAsia="Times New Roman" w:hAnsi="Times New Roman" w:cs="Times New Roman"/>
          <w:sz w:val="24"/>
        </w:rPr>
        <w:t xml:space="preserve">УДК 621 </w:t>
      </w:r>
    </w:p>
    <w:p w:rsidR="0052701D" w:rsidRDefault="00D40929">
      <w:pPr>
        <w:spacing w:after="29" w:line="248" w:lineRule="auto"/>
        <w:ind w:left="9" w:right="14"/>
        <w:jc w:val="both"/>
      </w:pPr>
      <w:r>
        <w:rPr>
          <w:rFonts w:ascii="Times New Roman" w:eastAsia="Times New Roman" w:hAnsi="Times New Roman" w:cs="Times New Roman"/>
          <w:sz w:val="24"/>
        </w:rPr>
        <w:t xml:space="preserve">МРНТИ 78.25.15 </w:t>
      </w:r>
    </w:p>
    <w:p w:rsidR="0052701D" w:rsidRDefault="00D40929">
      <w:pPr>
        <w:spacing w:after="2"/>
      </w:pPr>
      <w:r>
        <w:rPr>
          <w:rFonts w:ascii="Times New Roman" w:eastAsia="Times New Roman" w:hAnsi="Times New Roman" w:cs="Times New Roman"/>
          <w:sz w:val="28"/>
        </w:rPr>
        <w:t xml:space="preserve"> </w:t>
      </w:r>
    </w:p>
    <w:p w:rsidR="0052701D" w:rsidRDefault="00D40929">
      <w:pPr>
        <w:pStyle w:val="1"/>
        <w:ind w:left="389" w:right="0" w:firstLine="9"/>
        <w:jc w:val="left"/>
      </w:pPr>
      <w:r>
        <w:t xml:space="preserve">МЕТОДЫ ОБНАРУЖЕНИЕ НАЗЕМНЫХ МИН С ПОМОЩЬЮ </w:t>
      </w:r>
    </w:p>
    <w:p w:rsidR="0052701D" w:rsidRDefault="00D40929">
      <w:pPr>
        <w:spacing w:after="5" w:line="271" w:lineRule="auto"/>
        <w:ind w:left="389" w:firstLine="9"/>
      </w:pPr>
      <w:r>
        <w:rPr>
          <w:rFonts w:ascii="Times New Roman" w:eastAsia="Times New Roman" w:hAnsi="Times New Roman" w:cs="Times New Roman"/>
          <w:b/>
          <w:sz w:val="28"/>
        </w:rPr>
        <w:t xml:space="preserve">СОВРЕМЕННЫХ ТЕХНОЛОГИЙ </w:t>
      </w:r>
    </w:p>
    <w:p w:rsidR="0052701D" w:rsidRDefault="00D40929">
      <w:pPr>
        <w:spacing w:after="10"/>
        <w:ind w:left="65"/>
        <w:jc w:val="center"/>
      </w:pPr>
      <w:r>
        <w:rPr>
          <w:rFonts w:ascii="Times New Roman" w:eastAsia="Times New Roman" w:hAnsi="Times New Roman" w:cs="Times New Roman"/>
          <w:b/>
          <w:sz w:val="28"/>
        </w:rPr>
        <w:t xml:space="preserve"> </w:t>
      </w:r>
    </w:p>
    <w:p w:rsidR="0052701D" w:rsidRDefault="00D40929">
      <w:pPr>
        <w:pStyle w:val="1"/>
        <w:spacing w:after="16" w:line="248" w:lineRule="auto"/>
        <w:ind w:left="819" w:right="821"/>
      </w:pPr>
      <w:r>
        <w:rPr>
          <w:sz w:val="24"/>
        </w:rPr>
        <w:t xml:space="preserve">Оразалиева А.Н., Ораз Ф., Жалымбетова И., Кемелхан А. </w:t>
      </w:r>
    </w:p>
    <w:p w:rsidR="0052701D" w:rsidRDefault="00D40929">
      <w:pPr>
        <w:spacing w:after="14" w:line="248" w:lineRule="auto"/>
        <w:ind w:left="5" w:hanging="5"/>
        <w:jc w:val="center"/>
      </w:pPr>
      <w:r>
        <w:rPr>
          <w:rFonts w:ascii="Times New Roman" w:eastAsia="Times New Roman" w:hAnsi="Times New Roman" w:cs="Times New Roman"/>
          <w:sz w:val="24"/>
        </w:rPr>
        <w:t>НАО «Алматинский университет энергетики и связи им.Гумарбека Даукеева» e-mail:</w:t>
      </w:r>
      <w:r>
        <w:rPr>
          <w:rFonts w:ascii="Times New Roman" w:eastAsia="Times New Roman" w:hAnsi="Times New Roman" w:cs="Times New Roman"/>
          <w:color w:val="0563C1"/>
          <w:sz w:val="24"/>
          <w:u w:val="single" w:color="0563C1"/>
        </w:rPr>
        <w:t>ara.orazaliyeva@aues.kz</w:t>
      </w:r>
      <w:r>
        <w:rPr>
          <w:rFonts w:ascii="Times New Roman" w:eastAsia="Times New Roman" w:hAnsi="Times New Roman" w:cs="Times New Roman"/>
          <w:sz w:val="24"/>
        </w:rPr>
        <w:t xml:space="preserve">, </w:t>
      </w:r>
      <w:r>
        <w:rPr>
          <w:rFonts w:ascii="Times New Roman" w:eastAsia="Times New Roman" w:hAnsi="Times New Roman" w:cs="Times New Roman"/>
          <w:color w:val="0563C1"/>
          <w:sz w:val="24"/>
          <w:u w:val="single" w:color="0563C1"/>
        </w:rPr>
        <w:t>fa.oraz@aues.kz</w:t>
      </w:r>
      <w:r>
        <w:rPr>
          <w:rFonts w:ascii="Times New Roman" w:eastAsia="Times New Roman" w:hAnsi="Times New Roman" w:cs="Times New Roman"/>
          <w:sz w:val="24"/>
        </w:rPr>
        <w:t xml:space="preserve">, </w:t>
      </w:r>
      <w:r>
        <w:rPr>
          <w:rFonts w:ascii="Times New Roman" w:eastAsia="Times New Roman" w:hAnsi="Times New Roman" w:cs="Times New Roman"/>
          <w:color w:val="0563C1"/>
          <w:sz w:val="24"/>
          <w:u w:val="single" w:color="0563C1"/>
        </w:rPr>
        <w:t>in.zhalymbetova@aues.kz</w:t>
      </w:r>
      <w:r>
        <w:rPr>
          <w:rFonts w:ascii="Times New Roman" w:eastAsia="Times New Roman" w:hAnsi="Times New Roman" w:cs="Times New Roman"/>
          <w:sz w:val="24"/>
        </w:rPr>
        <w:t xml:space="preserve">, </w:t>
      </w:r>
    </w:p>
    <w:p w:rsidR="0052701D" w:rsidRDefault="00D40929">
      <w:pPr>
        <w:spacing w:after="0"/>
        <w:ind w:left="10" w:right="12" w:hanging="10"/>
        <w:jc w:val="center"/>
      </w:pPr>
      <w:r>
        <w:rPr>
          <w:rFonts w:ascii="Times New Roman" w:eastAsia="Times New Roman" w:hAnsi="Times New Roman" w:cs="Times New Roman"/>
          <w:color w:val="0563C1"/>
          <w:sz w:val="24"/>
          <w:u w:val="single" w:color="0563C1"/>
        </w:rPr>
        <w:t>a.kemelkhan@aues.kz</w:t>
      </w:r>
      <w:r>
        <w:rPr>
          <w:rFonts w:ascii="Times New Roman" w:eastAsia="Times New Roman" w:hAnsi="Times New Roman" w:cs="Times New Roman"/>
          <w:sz w:val="24"/>
        </w:rPr>
        <w:t xml:space="preserve">. </w:t>
      </w:r>
      <w:r>
        <w:rPr>
          <w:rFonts w:ascii="Times New Roman" w:eastAsia="Times New Roman" w:hAnsi="Times New Roman" w:cs="Times New Roman"/>
          <w:b/>
          <w:sz w:val="24"/>
        </w:rPr>
        <w:t xml:space="preserve"> </w:t>
      </w:r>
    </w:p>
    <w:p w:rsidR="0052701D" w:rsidRDefault="00D40929">
      <w:pPr>
        <w:spacing w:after="44"/>
        <w:ind w:left="55"/>
        <w:jc w:val="center"/>
      </w:pPr>
      <w:r>
        <w:rPr>
          <w:rFonts w:ascii="Times New Roman" w:eastAsia="Times New Roman" w:hAnsi="Times New Roman" w:cs="Times New Roman"/>
          <w:sz w:val="24"/>
        </w:rPr>
        <w:t xml:space="preserve"> </w:t>
      </w:r>
    </w:p>
    <w:p w:rsidR="0052701D" w:rsidRDefault="00D40929">
      <w:pPr>
        <w:spacing w:after="2" w:line="248" w:lineRule="auto"/>
        <w:ind w:left="9" w:firstLine="711"/>
        <w:jc w:val="both"/>
      </w:pPr>
      <w:r>
        <w:rPr>
          <w:rFonts w:ascii="Times New Roman" w:eastAsia="Times New Roman" w:hAnsi="Times New Roman" w:cs="Times New Roman"/>
          <w:b/>
          <w:i/>
          <w:sz w:val="24"/>
        </w:rPr>
        <w:t>Аннотация</w:t>
      </w:r>
      <w:r>
        <w:rPr>
          <w:rFonts w:ascii="Times New Roman" w:eastAsia="Times New Roman" w:hAnsi="Times New Roman" w:cs="Times New Roman"/>
          <w:i/>
          <w:sz w:val="24"/>
        </w:rPr>
        <w:t>.</w:t>
      </w:r>
      <w:r>
        <w:rPr>
          <w:rFonts w:ascii="Times New Roman" w:eastAsia="Times New Roman" w:hAnsi="Times New Roman" w:cs="Times New Roman"/>
          <w:b/>
          <w:sz w:val="24"/>
        </w:rPr>
        <w:t xml:space="preserve"> </w:t>
      </w:r>
      <w:r>
        <w:rPr>
          <w:rFonts w:ascii="Times New Roman" w:eastAsia="Times New Roman" w:hAnsi="Times New Roman" w:cs="Times New Roman"/>
          <w:i/>
          <w:sz w:val="24"/>
        </w:rPr>
        <w:t>Современное состояние технологии и алгоритмов обнаружения наземных мин, становится все более актуальной задачей в связи с опасностью заложенных наземных мин для жизни людей, экономического роста и развития. В данной статье описывается и анализируется досту</w:t>
      </w:r>
      <w:r>
        <w:rPr>
          <w:rFonts w:ascii="Times New Roman" w:eastAsia="Times New Roman" w:hAnsi="Times New Roman" w:cs="Times New Roman"/>
          <w:i/>
          <w:sz w:val="24"/>
        </w:rPr>
        <w:t>пные сенсорные технологии, включая современные технологии, такие как георадар, электромагнитная индукция (ЭМИ), ядерный квадрупольный резонанс (ЯКР) и другие. Было подчеркнуто необходимость совершенствования не только способов получения изображений, но и м</w:t>
      </w:r>
      <w:r>
        <w:rPr>
          <w:rFonts w:ascii="Times New Roman" w:eastAsia="Times New Roman" w:hAnsi="Times New Roman" w:cs="Times New Roman"/>
          <w:i/>
          <w:sz w:val="24"/>
        </w:rPr>
        <w:t xml:space="preserve">етодов обработки и сравнения этой информации. </w:t>
      </w:r>
    </w:p>
    <w:p w:rsidR="0052701D" w:rsidRDefault="00D40929">
      <w:pPr>
        <w:spacing w:after="29" w:line="248" w:lineRule="auto"/>
        <w:ind w:left="9" w:firstLine="711"/>
        <w:jc w:val="both"/>
      </w:pPr>
      <w:r>
        <w:rPr>
          <w:rFonts w:ascii="Times New Roman" w:eastAsia="Times New Roman" w:hAnsi="Times New Roman" w:cs="Times New Roman"/>
          <w:b/>
          <w:i/>
          <w:sz w:val="24"/>
        </w:rPr>
        <w:t xml:space="preserve">Ключевые слова: </w:t>
      </w:r>
      <w:r>
        <w:rPr>
          <w:rFonts w:ascii="Times New Roman" w:eastAsia="Times New Roman" w:hAnsi="Times New Roman" w:cs="Times New Roman"/>
          <w:i/>
          <w:sz w:val="24"/>
        </w:rPr>
        <w:t xml:space="preserve">Электромагнитная индукция, космическая техника, обнаружение наземных мин, ядерный квадрупольный резонанс, георадар, радарный спутник </w:t>
      </w:r>
    </w:p>
    <w:p w:rsidR="0052701D" w:rsidRDefault="00D40929">
      <w:pPr>
        <w:spacing w:after="60"/>
        <w:ind w:left="711"/>
      </w:pPr>
      <w:r>
        <w:rPr>
          <w:rFonts w:ascii="Times New Roman" w:eastAsia="Times New Roman" w:hAnsi="Times New Roman" w:cs="Times New Roman"/>
          <w:i/>
          <w:sz w:val="20"/>
        </w:rPr>
        <w:t xml:space="preserve"> </w:t>
      </w:r>
    </w:p>
    <w:p w:rsidR="0052701D" w:rsidRDefault="00D40929">
      <w:pPr>
        <w:spacing w:after="5" w:line="271" w:lineRule="auto"/>
        <w:ind w:left="572" w:firstLine="9"/>
      </w:pPr>
      <w:r>
        <w:rPr>
          <w:rFonts w:ascii="Times New Roman" w:eastAsia="Times New Roman" w:hAnsi="Times New Roman" w:cs="Times New Roman"/>
          <w:b/>
          <w:sz w:val="28"/>
        </w:rPr>
        <w:lastRenderedPageBreak/>
        <w:t xml:space="preserve">METHODS FOR DETECTING LANDMINES USING MODERN TECHNOLOGY </w:t>
      </w:r>
    </w:p>
    <w:p w:rsidR="0052701D" w:rsidRDefault="00D40929">
      <w:pPr>
        <w:spacing w:after="0"/>
        <w:ind w:left="65"/>
        <w:jc w:val="center"/>
      </w:pPr>
      <w:r>
        <w:rPr>
          <w:rFonts w:ascii="Times New Roman" w:eastAsia="Times New Roman" w:hAnsi="Times New Roman" w:cs="Times New Roman"/>
          <w:b/>
          <w:sz w:val="28"/>
        </w:rPr>
        <w:t xml:space="preserve"> </w:t>
      </w:r>
    </w:p>
    <w:p w:rsidR="0052701D" w:rsidRDefault="00D40929">
      <w:pPr>
        <w:spacing w:after="16" w:line="248" w:lineRule="auto"/>
        <w:ind w:left="819" w:right="819" w:hanging="10"/>
        <w:jc w:val="center"/>
      </w:pPr>
      <w:r>
        <w:rPr>
          <w:rFonts w:ascii="Times New Roman" w:eastAsia="Times New Roman" w:hAnsi="Times New Roman" w:cs="Times New Roman"/>
          <w:b/>
          <w:sz w:val="24"/>
        </w:rPr>
        <w:t xml:space="preserve">Orazaliyeva A.N., Oraz F., Zhalymbetova I., Kemelkhan A. </w:t>
      </w:r>
    </w:p>
    <w:p w:rsidR="0052701D" w:rsidRDefault="00D40929">
      <w:pPr>
        <w:spacing w:after="29" w:line="248" w:lineRule="auto"/>
        <w:ind w:left="183" w:right="14"/>
        <w:jc w:val="both"/>
      </w:pPr>
      <w:r>
        <w:rPr>
          <w:rFonts w:ascii="Times New Roman" w:eastAsia="Times New Roman" w:hAnsi="Times New Roman" w:cs="Times New Roman"/>
          <w:sz w:val="24"/>
        </w:rPr>
        <w:t xml:space="preserve">Almaty University of Power Engineering and Telecommunications named after Gumarbek </w:t>
      </w:r>
    </w:p>
    <w:p w:rsidR="0052701D" w:rsidRDefault="00D40929">
      <w:pPr>
        <w:spacing w:after="14" w:line="248" w:lineRule="auto"/>
        <w:ind w:left="713" w:right="713" w:hanging="5"/>
        <w:jc w:val="center"/>
      </w:pPr>
      <w:r>
        <w:rPr>
          <w:rFonts w:ascii="Times New Roman" w:eastAsia="Times New Roman" w:hAnsi="Times New Roman" w:cs="Times New Roman"/>
          <w:sz w:val="24"/>
        </w:rPr>
        <w:t xml:space="preserve">Daukeev </w:t>
      </w:r>
    </w:p>
    <w:p w:rsidR="0052701D" w:rsidRDefault="00D40929">
      <w:pPr>
        <w:spacing w:after="0"/>
        <w:ind w:left="10" w:right="11" w:hanging="10"/>
        <w:jc w:val="center"/>
      </w:pPr>
      <w:r>
        <w:rPr>
          <w:rFonts w:ascii="Times New Roman" w:eastAsia="Times New Roman" w:hAnsi="Times New Roman" w:cs="Times New Roman"/>
          <w:sz w:val="24"/>
        </w:rPr>
        <w:t>e-mail:</w:t>
      </w:r>
      <w:r>
        <w:rPr>
          <w:rFonts w:ascii="Times New Roman" w:eastAsia="Times New Roman" w:hAnsi="Times New Roman" w:cs="Times New Roman"/>
          <w:color w:val="0563C1"/>
          <w:sz w:val="24"/>
          <w:u w:val="single" w:color="0563C1"/>
        </w:rPr>
        <w:t>ara.orazaliyeva@aues.kz</w:t>
      </w:r>
      <w:r>
        <w:rPr>
          <w:rFonts w:ascii="Times New Roman" w:eastAsia="Times New Roman" w:hAnsi="Times New Roman" w:cs="Times New Roman"/>
          <w:sz w:val="24"/>
        </w:rPr>
        <w:t xml:space="preserve">, </w:t>
      </w:r>
      <w:r>
        <w:rPr>
          <w:rFonts w:ascii="Times New Roman" w:eastAsia="Times New Roman" w:hAnsi="Times New Roman" w:cs="Times New Roman"/>
          <w:color w:val="0563C1"/>
          <w:sz w:val="24"/>
          <w:u w:val="single" w:color="0563C1"/>
        </w:rPr>
        <w:t>fa.oraz@aues.kz</w:t>
      </w:r>
      <w:r>
        <w:rPr>
          <w:rFonts w:ascii="Times New Roman" w:eastAsia="Times New Roman" w:hAnsi="Times New Roman" w:cs="Times New Roman"/>
          <w:sz w:val="24"/>
        </w:rPr>
        <w:t xml:space="preserve">, </w:t>
      </w:r>
      <w:r>
        <w:rPr>
          <w:rFonts w:ascii="Times New Roman" w:eastAsia="Times New Roman" w:hAnsi="Times New Roman" w:cs="Times New Roman"/>
          <w:color w:val="0563C1"/>
          <w:sz w:val="24"/>
          <w:u w:val="single" w:color="0563C1"/>
        </w:rPr>
        <w:t>in.zhalymbetova@aues.kz</w:t>
      </w:r>
      <w:r>
        <w:rPr>
          <w:rFonts w:ascii="Times New Roman" w:eastAsia="Times New Roman" w:hAnsi="Times New Roman" w:cs="Times New Roman"/>
          <w:sz w:val="24"/>
        </w:rPr>
        <w:t xml:space="preserve">, </w:t>
      </w:r>
    </w:p>
    <w:p w:rsidR="0052701D" w:rsidRDefault="00D40929">
      <w:pPr>
        <w:spacing w:after="0"/>
        <w:ind w:left="10" w:right="12" w:hanging="10"/>
        <w:jc w:val="center"/>
      </w:pPr>
      <w:r>
        <w:rPr>
          <w:rFonts w:ascii="Times New Roman" w:eastAsia="Times New Roman" w:hAnsi="Times New Roman" w:cs="Times New Roman"/>
          <w:color w:val="0563C1"/>
          <w:sz w:val="24"/>
          <w:u w:val="single" w:color="0563C1"/>
        </w:rPr>
        <w:t>a.kemelkhan@aues.kz</w:t>
      </w:r>
      <w:r>
        <w:rPr>
          <w:rFonts w:ascii="Times New Roman" w:eastAsia="Times New Roman" w:hAnsi="Times New Roman" w:cs="Times New Roman"/>
          <w:sz w:val="24"/>
        </w:rPr>
        <w:t xml:space="preserve">. </w:t>
      </w:r>
      <w:r>
        <w:rPr>
          <w:rFonts w:ascii="Times New Roman" w:eastAsia="Times New Roman" w:hAnsi="Times New Roman" w:cs="Times New Roman"/>
          <w:b/>
          <w:sz w:val="24"/>
        </w:rPr>
        <w:t xml:space="preserve"> </w:t>
      </w:r>
    </w:p>
    <w:p w:rsidR="0052701D" w:rsidRDefault="00D40929">
      <w:pPr>
        <w:spacing w:after="0"/>
        <w:ind w:left="55"/>
        <w:jc w:val="center"/>
      </w:pPr>
      <w:r>
        <w:rPr>
          <w:rFonts w:ascii="Times New Roman" w:eastAsia="Times New Roman" w:hAnsi="Times New Roman" w:cs="Times New Roman"/>
          <w:sz w:val="24"/>
        </w:rPr>
        <w:t xml:space="preserve"> </w:t>
      </w:r>
    </w:p>
    <w:p w:rsidR="0052701D" w:rsidRDefault="00D40929">
      <w:pPr>
        <w:spacing w:after="0" w:line="248" w:lineRule="auto"/>
        <w:ind w:left="9" w:firstLine="711"/>
        <w:jc w:val="both"/>
      </w:pPr>
      <w:r>
        <w:rPr>
          <w:rFonts w:ascii="Times New Roman" w:eastAsia="Times New Roman" w:hAnsi="Times New Roman" w:cs="Times New Roman"/>
          <w:b/>
          <w:i/>
          <w:sz w:val="24"/>
        </w:rPr>
        <w:t>Abstract</w:t>
      </w:r>
      <w:r>
        <w:rPr>
          <w:rFonts w:ascii="Times New Roman" w:eastAsia="Times New Roman" w:hAnsi="Times New Roman" w:cs="Times New Roman"/>
          <w:i/>
          <w:sz w:val="24"/>
        </w:rPr>
        <w:t>.</w:t>
      </w:r>
      <w:r>
        <w:rPr>
          <w:rFonts w:ascii="Times New Roman" w:eastAsia="Times New Roman" w:hAnsi="Times New Roman" w:cs="Times New Roman"/>
          <w:b/>
          <w:sz w:val="24"/>
        </w:rPr>
        <w:t xml:space="preserve"> </w:t>
      </w:r>
      <w:r>
        <w:rPr>
          <w:rFonts w:ascii="Times New Roman" w:eastAsia="Times New Roman" w:hAnsi="Times New Roman" w:cs="Times New Roman"/>
          <w:i/>
          <w:sz w:val="24"/>
        </w:rPr>
        <w:t>The current state of landmine detection technology and algorithms, has become increasingly urgent due to the danger of emplaced landmines to human life, economic growth and development. This article describes and analyzes the available sensor tec</w:t>
      </w:r>
      <w:r>
        <w:rPr>
          <w:rFonts w:ascii="Times New Roman" w:eastAsia="Times New Roman" w:hAnsi="Times New Roman" w:cs="Times New Roman"/>
          <w:i/>
          <w:sz w:val="24"/>
        </w:rPr>
        <w:t>hnologies, including modern technologies such as GPR, electromagnetic induction (EMI), nuclear quadrupole resonance (NQR) and others. The need to improve not only the ways of obtaining images, but also the methods of processing and comparing this informati</w:t>
      </w:r>
      <w:r>
        <w:rPr>
          <w:rFonts w:ascii="Times New Roman" w:eastAsia="Times New Roman" w:hAnsi="Times New Roman" w:cs="Times New Roman"/>
          <w:i/>
          <w:sz w:val="24"/>
        </w:rPr>
        <w:t xml:space="preserve">on was emphasized. </w:t>
      </w:r>
    </w:p>
    <w:p w:rsidR="0052701D" w:rsidRDefault="00D40929">
      <w:pPr>
        <w:spacing w:after="0" w:line="248" w:lineRule="auto"/>
        <w:ind w:left="9" w:firstLine="711"/>
        <w:jc w:val="both"/>
      </w:pPr>
      <w:r>
        <w:rPr>
          <w:rFonts w:ascii="Times New Roman" w:eastAsia="Times New Roman" w:hAnsi="Times New Roman" w:cs="Times New Roman"/>
          <w:b/>
          <w:i/>
          <w:sz w:val="24"/>
        </w:rPr>
        <w:t xml:space="preserve">Keywords: </w:t>
      </w:r>
      <w:r>
        <w:rPr>
          <w:rFonts w:ascii="Times New Roman" w:eastAsia="Times New Roman" w:hAnsi="Times New Roman" w:cs="Times New Roman"/>
          <w:i/>
          <w:sz w:val="24"/>
        </w:rPr>
        <w:t xml:space="preserve">Electromagnetic induction, space technology, land mine detection, nuclear quadrupole resonance, GPR, radar satellite </w:t>
      </w:r>
    </w:p>
    <w:p w:rsidR="0052701D" w:rsidRDefault="00D40929">
      <w:pPr>
        <w:spacing w:after="111"/>
        <w:ind w:left="711"/>
      </w:pPr>
      <w:r>
        <w:rPr>
          <w:rFonts w:ascii="Times New Roman" w:eastAsia="Times New Roman" w:hAnsi="Times New Roman" w:cs="Times New Roman"/>
          <w:i/>
          <w:sz w:val="20"/>
        </w:rPr>
        <w:t xml:space="preserve"> </w:t>
      </w:r>
    </w:p>
    <w:p w:rsidR="0052701D" w:rsidRDefault="00D40929">
      <w:pPr>
        <w:spacing w:after="3"/>
        <w:ind w:left="725" w:hanging="10"/>
      </w:pPr>
      <w:r>
        <w:rPr>
          <w:rFonts w:ascii="Times New Roman" w:eastAsia="Times New Roman" w:hAnsi="Times New Roman" w:cs="Times New Roman"/>
          <w:b/>
          <w:i/>
          <w:sz w:val="28"/>
        </w:rPr>
        <w:t xml:space="preserve">Введение </w:t>
      </w:r>
    </w:p>
    <w:p w:rsidR="0052701D" w:rsidRDefault="00D40929">
      <w:pPr>
        <w:spacing w:after="2" w:line="248" w:lineRule="auto"/>
        <w:ind w:left="9" w:right="14" w:firstLine="711"/>
        <w:jc w:val="both"/>
      </w:pPr>
      <w:r>
        <w:rPr>
          <w:rFonts w:ascii="Times New Roman" w:eastAsia="Times New Roman" w:hAnsi="Times New Roman" w:cs="Times New Roman"/>
          <w:sz w:val="24"/>
        </w:rPr>
        <w:t>Обнаружение наземных мин становится все более актуальной задачей в связи с опасностью заложенных</w:t>
      </w:r>
      <w:r>
        <w:rPr>
          <w:rFonts w:ascii="Times New Roman" w:eastAsia="Times New Roman" w:hAnsi="Times New Roman" w:cs="Times New Roman"/>
          <w:sz w:val="24"/>
        </w:rPr>
        <w:t xml:space="preserve"> мин для жизни людей, экономического роста и развития. Большинство пострадавших людей никак не связаны с причиной, по которой были установлены мины. Постоянно возникающие в мире военные конфликты, различающиеся по характеру и масштабам, как правило, сопров</w:t>
      </w:r>
      <w:r>
        <w:rPr>
          <w:rFonts w:ascii="Times New Roman" w:eastAsia="Times New Roman" w:hAnsi="Times New Roman" w:cs="Times New Roman"/>
          <w:sz w:val="24"/>
        </w:rPr>
        <w:t xml:space="preserve">ождаются широким применением противоборствующими сторонами средств минирования.  В более чем 80 странах мира насчитывается 50-100 миллионов наземных мин. Деактивация оценивается в 100 000 мин в год, против почти 2 миллионов мин, устанавливаемых ежегодно. </w:t>
      </w:r>
      <w:r>
        <w:rPr>
          <w:rFonts w:ascii="Times New Roman" w:eastAsia="Times New Roman" w:hAnsi="Times New Roman" w:cs="Times New Roman"/>
          <w:b/>
          <w:sz w:val="24"/>
        </w:rPr>
        <w:t xml:space="preserve"> </w:t>
      </w:r>
    </w:p>
    <w:p w:rsidR="0052701D" w:rsidRDefault="00D40929">
      <w:pPr>
        <w:spacing w:after="29" w:line="248" w:lineRule="auto"/>
        <w:ind w:left="9" w:right="14" w:firstLine="711"/>
        <w:jc w:val="both"/>
      </w:pPr>
      <w:r>
        <w:rPr>
          <w:rFonts w:ascii="Times New Roman" w:eastAsia="Times New Roman" w:hAnsi="Times New Roman" w:cs="Times New Roman"/>
          <w:sz w:val="24"/>
        </w:rPr>
        <w:t xml:space="preserve">На брошенных минных полях ежегодно гибнут до 10 тысяч человек и 20 тысяч получают тяжелые увечья, причем более 30% жертв - женщины и дети [1]. </w:t>
      </w:r>
    </w:p>
    <w:p w:rsidR="0052701D" w:rsidRDefault="00D40929">
      <w:pPr>
        <w:spacing w:after="29" w:line="248" w:lineRule="auto"/>
        <w:ind w:left="9" w:right="14" w:firstLine="711"/>
        <w:jc w:val="both"/>
      </w:pPr>
      <w:r>
        <w:rPr>
          <w:rFonts w:ascii="Times New Roman" w:eastAsia="Times New Roman" w:hAnsi="Times New Roman" w:cs="Times New Roman"/>
          <w:sz w:val="24"/>
        </w:rPr>
        <w:t>В данной статье описывается и анализируется имеющиеся сенсорные технологии, включая современные технологии, так</w:t>
      </w:r>
      <w:r>
        <w:rPr>
          <w:rFonts w:ascii="Times New Roman" w:eastAsia="Times New Roman" w:hAnsi="Times New Roman" w:cs="Times New Roman"/>
          <w:sz w:val="24"/>
        </w:rPr>
        <w:t xml:space="preserve">ие как георадар, электромагнитная индукция (ЭМИ), ядерный квадрупольный резонанс (ЯКР) и другие.  </w:t>
      </w:r>
    </w:p>
    <w:p w:rsidR="0052701D" w:rsidRDefault="00D40929">
      <w:pPr>
        <w:spacing w:after="29" w:line="248" w:lineRule="auto"/>
        <w:ind w:left="9" w:right="14" w:firstLine="711"/>
        <w:jc w:val="both"/>
      </w:pPr>
      <w:r>
        <w:rPr>
          <w:rFonts w:ascii="Times New Roman" w:eastAsia="Times New Roman" w:hAnsi="Times New Roman" w:cs="Times New Roman"/>
          <w:sz w:val="24"/>
        </w:rPr>
        <w:t>С другой стороны, на техническом уровне обнаружение мин представляет собой очень сложную проблему, которая далека от решения. Выделяется два основных препятс</w:t>
      </w:r>
      <w:r>
        <w:rPr>
          <w:rFonts w:ascii="Times New Roman" w:eastAsia="Times New Roman" w:hAnsi="Times New Roman" w:cs="Times New Roman"/>
          <w:sz w:val="24"/>
        </w:rPr>
        <w:t xml:space="preserve">твия на этом пути: </w:t>
      </w:r>
    </w:p>
    <w:p w:rsidR="0052701D" w:rsidRDefault="00D40929">
      <w:pPr>
        <w:spacing w:after="29" w:line="248" w:lineRule="auto"/>
        <w:ind w:left="711" w:right="14"/>
        <w:jc w:val="both"/>
      </w:pPr>
      <w:r>
        <w:rPr>
          <w:rFonts w:ascii="Times New Roman" w:eastAsia="Times New Roman" w:hAnsi="Times New Roman" w:cs="Times New Roman"/>
          <w:sz w:val="24"/>
        </w:rPr>
        <w:t xml:space="preserve">а) Современные мины содержат меньше металла и больше пластика, что </w:t>
      </w:r>
    </w:p>
    <w:p w:rsidR="0052701D" w:rsidRDefault="00D40929">
      <w:pPr>
        <w:spacing w:after="29" w:line="248" w:lineRule="auto"/>
        <w:ind w:left="9" w:right="14"/>
        <w:jc w:val="both"/>
      </w:pPr>
      <w:r>
        <w:rPr>
          <w:rFonts w:ascii="Times New Roman" w:eastAsia="Times New Roman" w:hAnsi="Times New Roman" w:cs="Times New Roman"/>
          <w:sz w:val="24"/>
        </w:rPr>
        <w:t xml:space="preserve">затрудняет их идентификацию. </w:t>
      </w:r>
    </w:p>
    <w:p w:rsidR="0052701D" w:rsidRDefault="00D40929">
      <w:pPr>
        <w:spacing w:after="29" w:line="248" w:lineRule="auto"/>
        <w:ind w:left="711" w:right="14"/>
        <w:jc w:val="both"/>
      </w:pPr>
      <w:r>
        <w:rPr>
          <w:rFonts w:ascii="Times New Roman" w:eastAsia="Times New Roman" w:hAnsi="Times New Roman" w:cs="Times New Roman"/>
          <w:sz w:val="24"/>
        </w:rPr>
        <w:t xml:space="preserve">в) На заминированных территориях могут находиться металлические обломки, </w:t>
      </w:r>
    </w:p>
    <w:p w:rsidR="0052701D" w:rsidRDefault="00D40929">
      <w:pPr>
        <w:spacing w:after="29" w:line="248" w:lineRule="auto"/>
        <w:ind w:left="9" w:right="14"/>
        <w:jc w:val="both"/>
      </w:pPr>
      <w:r>
        <w:rPr>
          <w:rFonts w:ascii="Times New Roman" w:eastAsia="Times New Roman" w:hAnsi="Times New Roman" w:cs="Times New Roman"/>
          <w:sz w:val="24"/>
        </w:rPr>
        <w:t xml:space="preserve">которые увеличивает количество ложных тревог.  </w:t>
      </w:r>
    </w:p>
    <w:p w:rsidR="0052701D" w:rsidRDefault="00D40929">
      <w:pPr>
        <w:spacing w:after="0" w:line="248" w:lineRule="auto"/>
        <w:ind w:left="9" w:right="14" w:firstLine="711"/>
        <w:jc w:val="both"/>
      </w:pPr>
      <w:r>
        <w:rPr>
          <w:rFonts w:ascii="Times New Roman" w:eastAsia="Times New Roman" w:hAnsi="Times New Roman" w:cs="Times New Roman"/>
          <w:sz w:val="24"/>
        </w:rPr>
        <w:t>Наиболее широко используемый метод обнаружения и удаления противопехотных мин основан на тех же методах, которые были разработаны во время Второй мировой войны, и предполагает непосредственное участие человека. Используются металлоискатели для идентификаци</w:t>
      </w:r>
      <w:r>
        <w:rPr>
          <w:rFonts w:ascii="Times New Roman" w:eastAsia="Times New Roman" w:hAnsi="Times New Roman" w:cs="Times New Roman"/>
          <w:sz w:val="24"/>
        </w:rPr>
        <w:t xml:space="preserve">и, проводится детальный и медленный анализ пораженной зоны. В данной статье описывается доступные технологии дистанционного зондирования, обработку данных и алгоритмы, а также представлено выводы о состоянии дел в области обнаружения наземных мин. </w:t>
      </w:r>
    </w:p>
    <w:p w:rsidR="0052701D" w:rsidRDefault="00D40929">
      <w:pPr>
        <w:spacing w:after="8" w:line="297" w:lineRule="auto"/>
        <w:ind w:left="9" w:right="14" w:firstLine="711"/>
        <w:jc w:val="both"/>
      </w:pPr>
      <w:r>
        <w:rPr>
          <w:rFonts w:ascii="Times New Roman" w:eastAsia="Times New Roman" w:hAnsi="Times New Roman" w:cs="Times New Roman"/>
          <w:sz w:val="24"/>
        </w:rPr>
        <w:lastRenderedPageBreak/>
        <w:t>В свете</w:t>
      </w:r>
      <w:r>
        <w:rPr>
          <w:rFonts w:ascii="Times New Roman" w:eastAsia="Times New Roman" w:hAnsi="Times New Roman" w:cs="Times New Roman"/>
          <w:sz w:val="24"/>
        </w:rPr>
        <w:t xml:space="preserve"> всего этого ведущие компании мира начали разработку средств обнаружения мин, использующих различные методы [2 - 7], классификация которых представлена на рисунке 1. </w:t>
      </w:r>
    </w:p>
    <w:p w:rsidR="0052701D" w:rsidRDefault="00D40929">
      <w:pPr>
        <w:spacing w:after="4" w:line="271" w:lineRule="auto"/>
        <w:ind w:left="721" w:right="194" w:hanging="10"/>
      </w:pPr>
      <w:r>
        <w:rPr>
          <w:rFonts w:ascii="Times New Roman" w:eastAsia="Times New Roman" w:hAnsi="Times New Roman" w:cs="Times New Roman"/>
          <w:b/>
          <w:sz w:val="24"/>
        </w:rPr>
        <w:t xml:space="preserve">Методы обнаружения минных полей </w:t>
      </w:r>
    </w:p>
    <w:p w:rsidR="0052701D" w:rsidRDefault="00D40929">
      <w:pPr>
        <w:spacing w:after="0" w:line="248" w:lineRule="auto"/>
        <w:ind w:left="9" w:right="14" w:firstLine="711"/>
        <w:jc w:val="both"/>
      </w:pPr>
      <w:r>
        <w:rPr>
          <w:rFonts w:ascii="Times New Roman" w:eastAsia="Times New Roman" w:hAnsi="Times New Roman" w:cs="Times New Roman"/>
          <w:sz w:val="24"/>
        </w:rPr>
        <w:t xml:space="preserve">Электромагнитная индукция. Традиционное обнаружение мин </w:t>
      </w:r>
      <w:r>
        <w:rPr>
          <w:rFonts w:ascii="Times New Roman" w:eastAsia="Times New Roman" w:hAnsi="Times New Roman" w:cs="Times New Roman"/>
          <w:sz w:val="24"/>
        </w:rPr>
        <w:t>доверяет в основном металлическим миноискателям, основанным на электромагнитной индукции (ЭМИ). Этот метод основан на двух связках, передаче и приеме. Первая пропускает ток, а вторая принимает наведенный ток, измененный присутствием металла. Его основная п</w:t>
      </w:r>
      <w:r>
        <w:rPr>
          <w:rFonts w:ascii="Times New Roman" w:eastAsia="Times New Roman" w:hAnsi="Times New Roman" w:cs="Times New Roman"/>
          <w:sz w:val="24"/>
        </w:rPr>
        <w:t>роблема заключается в высокой частоте ложных тревог из-за большого количества металлических объектов или частиц, разбросанных по всему полю. Из-за частоты ложных тревог, обнаружение мин медленным, дорогим и опасным. Детекторы могут быть настроены для сниже</w:t>
      </w:r>
      <w:r>
        <w:rPr>
          <w:rFonts w:ascii="Times New Roman" w:eastAsia="Times New Roman" w:hAnsi="Times New Roman" w:cs="Times New Roman"/>
          <w:sz w:val="24"/>
        </w:rPr>
        <w:t xml:space="preserve">ния коэффициента ложной тревоги, но при этом они могут пропустить некоторые мины, что впоследствии приведет к новым жертвам. Помехи в виде металлических помех в ответах ЭМИ были изучены и проанализированы путем применения статистической обработки сигналов </w:t>
      </w:r>
      <w:r>
        <w:rPr>
          <w:rFonts w:ascii="Times New Roman" w:eastAsia="Times New Roman" w:hAnsi="Times New Roman" w:cs="Times New Roman"/>
          <w:sz w:val="24"/>
        </w:rPr>
        <w:t xml:space="preserve">для снижения коэффициента ложной тревоги. Этот основанный на статистике подход включает в себя обнаружение и классификацию с применением независимого компонентного анализа для разделения сигналов от нескольких объектов в поле зрения датчика.  </w:t>
      </w:r>
    </w:p>
    <w:p w:rsidR="0052701D" w:rsidRDefault="00D40929">
      <w:pPr>
        <w:spacing w:after="0"/>
        <w:ind w:left="711"/>
      </w:pPr>
      <w:r>
        <w:rPr>
          <w:rFonts w:ascii="Times New Roman" w:eastAsia="Times New Roman" w:hAnsi="Times New Roman" w:cs="Times New Roman"/>
          <w:sz w:val="24"/>
        </w:rPr>
        <w:t xml:space="preserve"> </w:t>
      </w:r>
    </w:p>
    <w:p w:rsidR="0052701D" w:rsidRDefault="00D40929">
      <w:pPr>
        <w:spacing w:after="0"/>
        <w:ind w:right="901"/>
        <w:jc w:val="right"/>
      </w:pPr>
      <w:r>
        <w:rPr>
          <w:noProof/>
        </w:rPr>
        <w:drawing>
          <wp:inline distT="0" distB="0" distL="0" distR="0">
            <wp:extent cx="4550664" cy="2505456"/>
            <wp:effectExtent l="0" t="0" r="0" b="0"/>
            <wp:docPr id="43210" name="Picture 43210"/>
            <wp:cNvGraphicFramePr/>
            <a:graphic xmlns:a="http://schemas.openxmlformats.org/drawingml/2006/main">
              <a:graphicData uri="http://schemas.openxmlformats.org/drawingml/2006/picture">
                <pic:pic xmlns:pic="http://schemas.openxmlformats.org/drawingml/2006/picture">
                  <pic:nvPicPr>
                    <pic:cNvPr id="43210" name="Picture 43210"/>
                    <pic:cNvPicPr/>
                  </pic:nvPicPr>
                  <pic:blipFill>
                    <a:blip r:embed="rId623"/>
                    <a:stretch>
                      <a:fillRect/>
                    </a:stretch>
                  </pic:blipFill>
                  <pic:spPr>
                    <a:xfrm>
                      <a:off x="0" y="0"/>
                      <a:ext cx="4550664" cy="2505456"/>
                    </a:xfrm>
                    <a:prstGeom prst="rect">
                      <a:avLst/>
                    </a:prstGeom>
                  </pic:spPr>
                </pic:pic>
              </a:graphicData>
            </a:graphic>
          </wp:inline>
        </w:drawing>
      </w:r>
      <w:r>
        <w:rPr>
          <w:rFonts w:ascii="Times New Roman" w:eastAsia="Times New Roman" w:hAnsi="Times New Roman" w:cs="Times New Roman"/>
          <w:sz w:val="24"/>
        </w:rPr>
        <w:t xml:space="preserve"> </w:t>
      </w:r>
    </w:p>
    <w:p w:rsidR="0052701D" w:rsidRDefault="00D40929">
      <w:pPr>
        <w:spacing w:after="14" w:line="248" w:lineRule="auto"/>
        <w:ind w:left="713" w:right="718" w:hanging="5"/>
        <w:jc w:val="center"/>
      </w:pPr>
      <w:r>
        <w:rPr>
          <w:rFonts w:ascii="Times New Roman" w:eastAsia="Times New Roman" w:hAnsi="Times New Roman" w:cs="Times New Roman"/>
          <w:sz w:val="24"/>
        </w:rPr>
        <w:t>Pисунок</w:t>
      </w:r>
      <w:r>
        <w:rPr>
          <w:rFonts w:ascii="Times New Roman" w:eastAsia="Times New Roman" w:hAnsi="Times New Roman" w:cs="Times New Roman"/>
          <w:sz w:val="24"/>
        </w:rPr>
        <w:t xml:space="preserve"> 1-Основные методы обнаружения мин </w:t>
      </w:r>
    </w:p>
    <w:p w:rsidR="0052701D" w:rsidRDefault="00D40929">
      <w:pPr>
        <w:spacing w:after="17"/>
      </w:pPr>
      <w:r>
        <w:rPr>
          <w:rFonts w:ascii="Times New Roman" w:eastAsia="Times New Roman" w:hAnsi="Times New Roman" w:cs="Times New Roman"/>
          <w:sz w:val="24"/>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Наземные проникающие радары. Трудность обнаружения частицы металла в пластиковой мине с помощью металлодетектора привела к разработке этой методики, которая впервые была использована для получения геофизических подповерхностных изображений и применения в т</w:t>
      </w:r>
      <w:r>
        <w:rPr>
          <w:rFonts w:ascii="Times New Roman" w:eastAsia="Times New Roman" w:hAnsi="Times New Roman" w:cs="Times New Roman"/>
          <w:sz w:val="28"/>
        </w:rPr>
        <w:t>аких областях, как картирование коммуникаций и определение местоположения контейнеров с опасными отходами. Посылается радиолокационный сигнал, а отраженный сигнал анализируется в соответствии с диэлектрическими колебаниями, возникающими в результате отраже</w:t>
      </w:r>
      <w:r>
        <w:rPr>
          <w:rFonts w:ascii="Times New Roman" w:eastAsia="Times New Roman" w:hAnsi="Times New Roman" w:cs="Times New Roman"/>
          <w:sz w:val="28"/>
        </w:rPr>
        <w:t xml:space="preserve">ния от почвы, например, на наличие объекта. Разрешение изображения лучше, если длина волны короче; чем короче длина волны, тем лучше проникновение в почву. Цифровой анализ сигналов играет очень </w:t>
      </w:r>
      <w:r>
        <w:rPr>
          <w:rFonts w:ascii="Times New Roman" w:eastAsia="Times New Roman" w:hAnsi="Times New Roman" w:cs="Times New Roman"/>
          <w:sz w:val="28"/>
        </w:rPr>
        <w:lastRenderedPageBreak/>
        <w:t>важную роль в этой технологии. Несколько хороших результатов б</w:t>
      </w:r>
      <w:r>
        <w:rPr>
          <w:rFonts w:ascii="Times New Roman" w:eastAsia="Times New Roman" w:hAnsi="Times New Roman" w:cs="Times New Roman"/>
          <w:sz w:val="28"/>
        </w:rPr>
        <w:t>ыло получено при сочетании георадара и ЭМИ. Большим преимуществом георадара является то, что он обнаруживает диэлектрические изменения, которые полезны не только для обнаружения металла, но и для большого количества минных заграждений. Положительным момент</w:t>
      </w:r>
      <w:r>
        <w:rPr>
          <w:rFonts w:ascii="Times New Roman" w:eastAsia="Times New Roman" w:hAnsi="Times New Roman" w:cs="Times New Roman"/>
          <w:sz w:val="28"/>
        </w:rPr>
        <w:t>ом является то, что георадар может получать горизонтальные участки недр на разных глубинах, что представляет собой трехмерное изображение грунта. К основным недостаткам можно отнести то, что неоднородность грунта может вызвать большое количество ложных тре</w:t>
      </w:r>
      <w:r>
        <w:rPr>
          <w:rFonts w:ascii="Times New Roman" w:eastAsia="Times New Roman" w:hAnsi="Times New Roman" w:cs="Times New Roman"/>
          <w:sz w:val="28"/>
        </w:rPr>
        <w:t xml:space="preserve">вог, и, кроме того, производительность очень сложна в связи со сложными взаимодействиями, вызванными содержанием металла, частотой радара, почвенной смесью и гладкостью поверхности почвы (влажность и т.д.)/ </w:t>
      </w:r>
    </w:p>
    <w:p w:rsidR="0052701D" w:rsidRDefault="00D40929">
      <w:pPr>
        <w:spacing w:after="5" w:line="271" w:lineRule="auto"/>
        <w:ind w:left="9" w:right="2" w:firstLine="711"/>
        <w:jc w:val="both"/>
      </w:pPr>
      <w:r>
        <w:rPr>
          <w:rFonts w:ascii="Times New Roman" w:eastAsia="Times New Roman" w:hAnsi="Times New Roman" w:cs="Times New Roman"/>
          <w:sz w:val="28"/>
        </w:rPr>
        <w:t>Ядерный квадрупольный резонанс. Ядерный квадрупо</w:t>
      </w:r>
      <w:r>
        <w:rPr>
          <w:rFonts w:ascii="Times New Roman" w:eastAsia="Times New Roman" w:hAnsi="Times New Roman" w:cs="Times New Roman"/>
          <w:sz w:val="28"/>
        </w:rPr>
        <w:t>льный резонанс (ЯКР) основан на наблюдении радиочастотных (РЧ) сигналов от ядер 14N, присутствующих во взрывчатых веществах. Частота этих сигналов колеблется между 0,5 и 6 МГц, и они характерны для данного взрывчатого вещества. Они обеспечивают не только п</w:t>
      </w:r>
      <w:r>
        <w:rPr>
          <w:rFonts w:ascii="Times New Roman" w:eastAsia="Times New Roman" w:hAnsi="Times New Roman" w:cs="Times New Roman"/>
          <w:sz w:val="28"/>
        </w:rPr>
        <w:t xml:space="preserve">оложительную идентификацию, но и оценку количества и глубины.  </w:t>
      </w:r>
    </w:p>
    <w:p w:rsidR="0052701D" w:rsidRDefault="00D40929">
      <w:pPr>
        <w:spacing w:after="5" w:line="271" w:lineRule="auto"/>
        <w:ind w:left="-15" w:right="1" w:firstLine="711"/>
      </w:pPr>
      <w:r>
        <w:rPr>
          <w:rFonts w:ascii="Times New Roman" w:eastAsia="Times New Roman" w:hAnsi="Times New Roman" w:cs="Times New Roman"/>
          <w:sz w:val="28"/>
        </w:rPr>
        <w:t xml:space="preserve">Инфракрасные (ИК) и гиперспектральные методы. Инфракрасные (ИК) и гиперспектральные методы обнаруживают аномальные изменения электромагнитного </w:t>
      </w:r>
      <w:r>
        <w:rPr>
          <w:rFonts w:ascii="Times New Roman" w:eastAsia="Times New Roman" w:hAnsi="Times New Roman" w:cs="Times New Roman"/>
          <w:sz w:val="28"/>
        </w:rPr>
        <w:tab/>
        <w:t xml:space="preserve">излучения, </w:t>
      </w:r>
      <w:r>
        <w:rPr>
          <w:rFonts w:ascii="Times New Roman" w:eastAsia="Times New Roman" w:hAnsi="Times New Roman" w:cs="Times New Roman"/>
          <w:sz w:val="28"/>
        </w:rPr>
        <w:tab/>
        <w:t xml:space="preserve">отраженного </w:t>
      </w:r>
      <w:r>
        <w:rPr>
          <w:rFonts w:ascii="Times New Roman" w:eastAsia="Times New Roman" w:hAnsi="Times New Roman" w:cs="Times New Roman"/>
          <w:sz w:val="28"/>
        </w:rPr>
        <w:tab/>
        <w:t xml:space="preserve">или </w:t>
      </w:r>
      <w:r>
        <w:rPr>
          <w:rFonts w:ascii="Times New Roman" w:eastAsia="Times New Roman" w:hAnsi="Times New Roman" w:cs="Times New Roman"/>
          <w:sz w:val="28"/>
        </w:rPr>
        <w:tab/>
        <w:t>испускаемого повер</w:t>
      </w:r>
      <w:r>
        <w:rPr>
          <w:rFonts w:ascii="Times New Roman" w:eastAsia="Times New Roman" w:hAnsi="Times New Roman" w:cs="Times New Roman"/>
          <w:sz w:val="28"/>
        </w:rPr>
        <w:t xml:space="preserve">хностью шахты или почвой непосредственно над шахтой. Идея заключается </w:t>
      </w:r>
      <w:r>
        <w:rPr>
          <w:rFonts w:ascii="Times New Roman" w:eastAsia="Times New Roman" w:hAnsi="Times New Roman" w:cs="Times New Roman"/>
          <w:sz w:val="28"/>
        </w:rPr>
        <w:tab/>
        <w:t xml:space="preserve">в </w:t>
      </w:r>
      <w:r>
        <w:rPr>
          <w:rFonts w:ascii="Times New Roman" w:eastAsia="Times New Roman" w:hAnsi="Times New Roman" w:cs="Times New Roman"/>
          <w:sz w:val="28"/>
        </w:rPr>
        <w:tab/>
        <w:t xml:space="preserve">том, </w:t>
      </w:r>
      <w:r>
        <w:rPr>
          <w:rFonts w:ascii="Times New Roman" w:eastAsia="Times New Roman" w:hAnsi="Times New Roman" w:cs="Times New Roman"/>
          <w:sz w:val="28"/>
        </w:rPr>
        <w:tab/>
        <w:t xml:space="preserve">чтобы </w:t>
      </w:r>
      <w:r>
        <w:rPr>
          <w:rFonts w:ascii="Times New Roman" w:eastAsia="Times New Roman" w:hAnsi="Times New Roman" w:cs="Times New Roman"/>
          <w:sz w:val="28"/>
        </w:rPr>
        <w:tab/>
        <w:t xml:space="preserve">получить </w:t>
      </w:r>
      <w:r>
        <w:rPr>
          <w:rFonts w:ascii="Times New Roman" w:eastAsia="Times New Roman" w:hAnsi="Times New Roman" w:cs="Times New Roman"/>
          <w:sz w:val="28"/>
        </w:rPr>
        <w:tab/>
        <w:t xml:space="preserve">отраженную </w:t>
      </w:r>
      <w:r>
        <w:rPr>
          <w:rFonts w:ascii="Times New Roman" w:eastAsia="Times New Roman" w:hAnsi="Times New Roman" w:cs="Times New Roman"/>
          <w:sz w:val="28"/>
        </w:rPr>
        <w:tab/>
        <w:t xml:space="preserve">энергию </w:t>
      </w:r>
      <w:r>
        <w:rPr>
          <w:rFonts w:ascii="Times New Roman" w:eastAsia="Times New Roman" w:hAnsi="Times New Roman" w:cs="Times New Roman"/>
          <w:sz w:val="28"/>
        </w:rPr>
        <w:tab/>
        <w:t>от заминированных участков, где ее отражение отличается от окружающих участков. Мы включаем тепловые датчики, которые используют разницу в</w:t>
      </w:r>
      <w:r>
        <w:rPr>
          <w:rFonts w:ascii="Times New Roman" w:eastAsia="Times New Roman" w:hAnsi="Times New Roman" w:cs="Times New Roman"/>
          <w:sz w:val="28"/>
        </w:rPr>
        <w:t xml:space="preserve"> колебаниях температуры между почвой и шахтами, в основном из-за ночных и дневных тепловых колебаний. Этот метод имеет высокую эффективность только в однородной почве. Для создания разницы температур можно использовать лазерное освещение или мощное микрово</w:t>
      </w:r>
      <w:r>
        <w:rPr>
          <w:rFonts w:ascii="Times New Roman" w:eastAsia="Times New Roman" w:hAnsi="Times New Roman" w:cs="Times New Roman"/>
          <w:sz w:val="28"/>
        </w:rPr>
        <w:t xml:space="preserve">лновое излучение. Они не требуют физического контакта с поверхностью, </w:t>
      </w:r>
      <w:r>
        <w:rPr>
          <w:rFonts w:ascii="Times New Roman" w:eastAsia="Times New Roman" w:hAnsi="Times New Roman" w:cs="Times New Roman"/>
          <w:sz w:val="28"/>
        </w:rPr>
        <w:tab/>
        <w:t xml:space="preserve">используемое </w:t>
      </w:r>
      <w:r>
        <w:rPr>
          <w:rFonts w:ascii="Times New Roman" w:eastAsia="Times New Roman" w:hAnsi="Times New Roman" w:cs="Times New Roman"/>
          <w:sz w:val="28"/>
        </w:rPr>
        <w:tab/>
        <w:t xml:space="preserve">оборудование </w:t>
      </w:r>
      <w:r>
        <w:rPr>
          <w:rFonts w:ascii="Times New Roman" w:eastAsia="Times New Roman" w:hAnsi="Times New Roman" w:cs="Times New Roman"/>
          <w:sz w:val="28"/>
        </w:rPr>
        <w:tab/>
        <w:t xml:space="preserve">легкое, </w:t>
      </w:r>
      <w:r>
        <w:rPr>
          <w:rFonts w:ascii="Times New Roman" w:eastAsia="Times New Roman" w:hAnsi="Times New Roman" w:cs="Times New Roman"/>
          <w:sz w:val="28"/>
        </w:rPr>
        <w:tab/>
        <w:t xml:space="preserve">а </w:t>
      </w:r>
      <w:r>
        <w:rPr>
          <w:rFonts w:ascii="Times New Roman" w:eastAsia="Times New Roman" w:hAnsi="Times New Roman" w:cs="Times New Roman"/>
          <w:sz w:val="28"/>
        </w:rPr>
        <w:tab/>
        <w:t>получение изображений быстрое. Их недостаток заключается в том, что их эффективность непостоянна и зависит от характеристик окружающей среды. Исп</w:t>
      </w:r>
      <w:r>
        <w:rPr>
          <w:rFonts w:ascii="Times New Roman" w:eastAsia="Times New Roman" w:hAnsi="Times New Roman" w:cs="Times New Roman"/>
          <w:sz w:val="28"/>
        </w:rPr>
        <w:t xml:space="preserve">ользование инфракрасной термографии является одним из самых больших усовершенствований для обнаружения мин. </w:t>
      </w:r>
      <w:r>
        <w:rPr>
          <w:rFonts w:ascii="Times New Roman" w:eastAsia="Times New Roman" w:hAnsi="Times New Roman" w:cs="Times New Roman"/>
          <w:b/>
          <w:sz w:val="28"/>
        </w:rPr>
        <w:t xml:space="preserve">Заключение </w:t>
      </w:r>
    </w:p>
    <w:p w:rsidR="0052701D" w:rsidRDefault="00D40929">
      <w:pPr>
        <w:spacing w:after="5" w:line="271" w:lineRule="auto"/>
        <w:ind w:left="9" w:right="64" w:firstLine="711"/>
        <w:jc w:val="both"/>
      </w:pPr>
      <w:r>
        <w:rPr>
          <w:rFonts w:ascii="Times New Roman" w:eastAsia="Times New Roman" w:hAnsi="Times New Roman" w:cs="Times New Roman"/>
          <w:sz w:val="28"/>
        </w:rPr>
        <w:t>В нынешнее время проблема обезвреживания уже установленных видов мин имеет глобальный характер. От ее успешного решения в определенной с</w:t>
      </w:r>
      <w:r>
        <w:rPr>
          <w:rFonts w:ascii="Times New Roman" w:eastAsia="Times New Roman" w:hAnsi="Times New Roman" w:cs="Times New Roman"/>
          <w:sz w:val="28"/>
        </w:rPr>
        <w:t xml:space="preserve">тепени зависит экономическое развитие регионов Земли, а также безопасность мирных жителей.  </w:t>
      </w:r>
    </w:p>
    <w:p w:rsidR="0052701D" w:rsidRDefault="00D40929">
      <w:pPr>
        <w:spacing w:after="5" w:line="271" w:lineRule="auto"/>
        <w:ind w:left="9" w:right="64" w:firstLine="711"/>
        <w:jc w:val="both"/>
      </w:pPr>
      <w:r>
        <w:rPr>
          <w:rFonts w:ascii="Times New Roman" w:eastAsia="Times New Roman" w:hAnsi="Times New Roman" w:cs="Times New Roman"/>
          <w:sz w:val="28"/>
        </w:rPr>
        <w:lastRenderedPageBreak/>
        <w:t xml:space="preserve">На техническом уровне обнаружение мин представляет собой очень сложную проблему. Выделяется два основных препятствия на этом пути: </w:t>
      </w:r>
    </w:p>
    <w:p w:rsidR="0052701D" w:rsidRDefault="00D40929">
      <w:pPr>
        <w:spacing w:after="28"/>
        <w:ind w:left="10" w:right="43" w:hanging="10"/>
        <w:jc w:val="right"/>
      </w:pPr>
      <w:r>
        <w:rPr>
          <w:rFonts w:ascii="Times New Roman" w:eastAsia="Times New Roman" w:hAnsi="Times New Roman" w:cs="Times New Roman"/>
          <w:sz w:val="28"/>
        </w:rPr>
        <w:t>а) Современные мины содержат ме</w:t>
      </w:r>
      <w:r>
        <w:rPr>
          <w:rFonts w:ascii="Times New Roman" w:eastAsia="Times New Roman" w:hAnsi="Times New Roman" w:cs="Times New Roman"/>
          <w:sz w:val="28"/>
        </w:rPr>
        <w:t xml:space="preserve">ньше металла и больше пластика, </w:t>
      </w:r>
    </w:p>
    <w:p w:rsidR="0052701D" w:rsidRDefault="00D40929">
      <w:pPr>
        <w:spacing w:after="5" w:line="271" w:lineRule="auto"/>
        <w:ind w:left="9" w:right="64"/>
        <w:jc w:val="both"/>
      </w:pPr>
      <w:r>
        <w:rPr>
          <w:rFonts w:ascii="Times New Roman" w:eastAsia="Times New Roman" w:hAnsi="Times New Roman" w:cs="Times New Roman"/>
          <w:sz w:val="28"/>
        </w:rPr>
        <w:t xml:space="preserve">что затрудняет их идентификацию. </w:t>
      </w:r>
    </w:p>
    <w:p w:rsidR="0052701D" w:rsidRDefault="00D40929">
      <w:pPr>
        <w:spacing w:after="28"/>
        <w:ind w:left="10" w:right="43" w:hanging="10"/>
        <w:jc w:val="right"/>
      </w:pPr>
      <w:r>
        <w:rPr>
          <w:rFonts w:ascii="Times New Roman" w:eastAsia="Times New Roman" w:hAnsi="Times New Roman" w:cs="Times New Roman"/>
          <w:sz w:val="28"/>
        </w:rPr>
        <w:t xml:space="preserve">в) На заминированных территориях могут находиться металлические </w:t>
      </w:r>
    </w:p>
    <w:p w:rsidR="0052701D" w:rsidRDefault="00D40929">
      <w:pPr>
        <w:spacing w:after="5" w:line="271" w:lineRule="auto"/>
        <w:ind w:left="9" w:right="64"/>
        <w:jc w:val="both"/>
      </w:pPr>
      <w:r>
        <w:rPr>
          <w:rFonts w:ascii="Times New Roman" w:eastAsia="Times New Roman" w:hAnsi="Times New Roman" w:cs="Times New Roman"/>
          <w:sz w:val="28"/>
        </w:rPr>
        <w:t xml:space="preserve">обломки, которые увеличивает количество ложных тревог.  </w:t>
      </w:r>
    </w:p>
    <w:p w:rsidR="0052701D" w:rsidRDefault="00D40929">
      <w:pPr>
        <w:spacing w:after="5" w:line="271" w:lineRule="auto"/>
        <w:ind w:left="9" w:right="64" w:firstLine="711"/>
        <w:jc w:val="both"/>
      </w:pPr>
      <w:r>
        <w:rPr>
          <w:rFonts w:ascii="Times New Roman" w:eastAsia="Times New Roman" w:hAnsi="Times New Roman" w:cs="Times New Roman"/>
          <w:sz w:val="28"/>
        </w:rPr>
        <w:t>В данной статье описывается и анализируется имеющиеся сенсорные тех</w:t>
      </w:r>
      <w:r>
        <w:rPr>
          <w:rFonts w:ascii="Times New Roman" w:eastAsia="Times New Roman" w:hAnsi="Times New Roman" w:cs="Times New Roman"/>
          <w:sz w:val="28"/>
        </w:rPr>
        <w:t xml:space="preserve">нологии, включая современные технологии, такие как георадар, электромагнитная индукция (ЭМИ), ядерный квадрупольный резонанс </w:t>
      </w:r>
    </w:p>
    <w:p w:rsidR="0052701D" w:rsidRDefault="00D40929">
      <w:pPr>
        <w:spacing w:after="5" w:line="271" w:lineRule="auto"/>
        <w:ind w:left="9" w:right="64"/>
        <w:jc w:val="both"/>
      </w:pPr>
      <w:r>
        <w:rPr>
          <w:rFonts w:ascii="Times New Roman" w:eastAsia="Times New Roman" w:hAnsi="Times New Roman" w:cs="Times New Roman"/>
          <w:sz w:val="28"/>
        </w:rPr>
        <w:t xml:space="preserve">(ЯКР) и другие.  </w:t>
      </w:r>
    </w:p>
    <w:p w:rsidR="0052701D" w:rsidRDefault="00D40929">
      <w:pPr>
        <w:spacing w:after="27"/>
        <w:ind w:left="711"/>
      </w:pPr>
      <w:r>
        <w:rPr>
          <w:rFonts w:ascii="Times New Roman" w:eastAsia="Times New Roman" w:hAnsi="Times New Roman" w:cs="Times New Roman"/>
          <w:sz w:val="24"/>
        </w:rPr>
        <w:t xml:space="preserve"> </w:t>
      </w:r>
    </w:p>
    <w:p w:rsidR="0052701D" w:rsidRDefault="00D40929">
      <w:pPr>
        <w:pStyle w:val="6"/>
        <w:spacing w:after="16" w:line="248" w:lineRule="auto"/>
        <w:ind w:left="819" w:right="811"/>
        <w:jc w:val="center"/>
      </w:pPr>
      <w:r>
        <w:t xml:space="preserve">Источники </w:t>
      </w:r>
    </w:p>
    <w:p w:rsidR="0052701D" w:rsidRDefault="00D40929">
      <w:pPr>
        <w:numPr>
          <w:ilvl w:val="0"/>
          <w:numId w:val="73"/>
        </w:numPr>
        <w:spacing w:after="29" w:line="248" w:lineRule="auto"/>
        <w:ind w:right="14" w:firstLine="711"/>
        <w:jc w:val="both"/>
      </w:pPr>
      <w:r>
        <w:rPr>
          <w:rFonts w:ascii="Times New Roman" w:eastAsia="Times New Roman" w:hAnsi="Times New Roman" w:cs="Times New Roman"/>
          <w:sz w:val="24"/>
        </w:rPr>
        <w:t xml:space="preserve">Жуков С. Опыт разминирования местности в условиях локальных военных конфликтов // Зарубежное военное обозрение. - 1998. -№6.-С. 14-19. ' ч- I </w:t>
      </w:r>
    </w:p>
    <w:p w:rsidR="0052701D" w:rsidRDefault="00D40929">
      <w:pPr>
        <w:numPr>
          <w:ilvl w:val="0"/>
          <w:numId w:val="73"/>
        </w:numPr>
        <w:spacing w:after="57" w:line="248" w:lineRule="auto"/>
        <w:ind w:right="14" w:firstLine="711"/>
        <w:jc w:val="both"/>
      </w:pPr>
      <w:r>
        <w:rPr>
          <w:rFonts w:ascii="Times New Roman" w:eastAsia="Times New Roman" w:hAnsi="Times New Roman" w:cs="Times New Roman"/>
          <w:sz w:val="24"/>
        </w:rPr>
        <w:t xml:space="preserve">Вопросы подповерхностной радиолокации. Коллективная монография /Под ред. А.Ю. Гринева. - М.: Радиотехника, 2005. </w:t>
      </w:r>
      <w:r>
        <w:rPr>
          <w:rFonts w:ascii="Times New Roman" w:eastAsia="Times New Roman" w:hAnsi="Times New Roman" w:cs="Times New Roman"/>
          <w:sz w:val="24"/>
        </w:rPr>
        <w:t xml:space="preserve">- 416 с.: ил. 3. 7. </w:t>
      </w:r>
    </w:p>
    <w:p w:rsidR="0052701D" w:rsidRDefault="00D40929">
      <w:pPr>
        <w:numPr>
          <w:ilvl w:val="0"/>
          <w:numId w:val="73"/>
        </w:numPr>
        <w:spacing w:after="29" w:line="248" w:lineRule="auto"/>
        <w:ind w:right="14" w:firstLine="711"/>
        <w:jc w:val="both"/>
      </w:pPr>
      <w:r>
        <w:rPr>
          <w:rFonts w:ascii="Times New Roman" w:eastAsia="Times New Roman" w:hAnsi="Times New Roman" w:cs="Times New Roman"/>
          <w:sz w:val="24"/>
        </w:rPr>
        <w:t xml:space="preserve">Индзука К., Фройндорфер А.П. Обнаружение находящихся в грунте неметаллических предметов с помощью радиолокатора со ступенчатым изменением рабочей частоты. - М.: ТИИЭР, 1983. - Т.71. №2. </w:t>
      </w:r>
    </w:p>
    <w:p w:rsidR="0052701D" w:rsidRDefault="00D40929">
      <w:pPr>
        <w:numPr>
          <w:ilvl w:val="0"/>
          <w:numId w:val="73"/>
        </w:numPr>
        <w:spacing w:after="29" w:line="248" w:lineRule="auto"/>
        <w:ind w:right="14" w:firstLine="711"/>
        <w:jc w:val="both"/>
      </w:pPr>
      <w:r>
        <w:rPr>
          <w:rFonts w:ascii="Times New Roman" w:eastAsia="Times New Roman" w:hAnsi="Times New Roman" w:cs="Times New Roman"/>
          <w:sz w:val="24"/>
        </w:rPr>
        <w:t>ACAR, E.U., ZHANG, Y., CHOSET, H., SCHERVISH, M.</w:t>
      </w:r>
      <w:r>
        <w:rPr>
          <w:rFonts w:ascii="Times New Roman" w:eastAsia="Times New Roman" w:hAnsi="Times New Roman" w:cs="Times New Roman"/>
          <w:sz w:val="24"/>
        </w:rPr>
        <w:t xml:space="preserve">, COSTA, A.G., MELAMUD, R., LEAN, D.C. and GRAVELINE, A., 2001, Path planning for robotic demining and development of a test platform. International Conference on Field and Service Robotics,1, pp. 161–168. </w:t>
      </w:r>
    </w:p>
    <w:p w:rsidR="0052701D" w:rsidRDefault="00D40929">
      <w:pPr>
        <w:numPr>
          <w:ilvl w:val="0"/>
          <w:numId w:val="73"/>
        </w:numPr>
        <w:spacing w:after="29" w:line="248" w:lineRule="auto"/>
        <w:ind w:right="14" w:firstLine="711"/>
        <w:jc w:val="both"/>
      </w:pPr>
      <w:r>
        <w:rPr>
          <w:rFonts w:ascii="Times New Roman" w:eastAsia="Times New Roman" w:hAnsi="Times New Roman" w:cs="Times New Roman"/>
          <w:sz w:val="24"/>
        </w:rPr>
        <w:t xml:space="preserve">https://www.electronics.ru/journal/article/1545 </w:t>
      </w:r>
    </w:p>
    <w:p w:rsidR="0052701D" w:rsidRDefault="00D40929">
      <w:pPr>
        <w:numPr>
          <w:ilvl w:val="0"/>
          <w:numId w:val="73"/>
        </w:numPr>
        <w:spacing w:after="58" w:line="248" w:lineRule="auto"/>
        <w:ind w:right="14" w:firstLine="711"/>
        <w:jc w:val="both"/>
      </w:pPr>
      <w:r>
        <w:rPr>
          <w:rFonts w:ascii="Times New Roman" w:eastAsia="Times New Roman" w:hAnsi="Times New Roman" w:cs="Times New Roman"/>
          <w:sz w:val="24"/>
        </w:rPr>
        <w:t xml:space="preserve">https://encyclopedia.mil.ru/encyclopedia/dictionary/details_rvsn.htm?id=14425@ morfDictionary </w:t>
      </w:r>
    </w:p>
    <w:p w:rsidR="0052701D" w:rsidRDefault="00D40929">
      <w:pPr>
        <w:numPr>
          <w:ilvl w:val="0"/>
          <w:numId w:val="73"/>
        </w:numPr>
        <w:spacing w:after="44"/>
        <w:ind w:right="14" w:firstLine="711"/>
        <w:jc w:val="both"/>
      </w:pPr>
      <w:r>
        <w:rPr>
          <w:rFonts w:ascii="Times New Roman" w:eastAsia="Times New Roman" w:hAnsi="Times New Roman" w:cs="Times New Roman"/>
          <w:sz w:val="24"/>
        </w:rPr>
        <w:t xml:space="preserve">ПЕРСПЕКТИВНЫЕ ТЕХНОЛОГИИ ОБНАРУЖЕНИЯ ВЗРЫВООПАСНЫХ </w:t>
      </w:r>
    </w:p>
    <w:p w:rsidR="0052701D" w:rsidRDefault="00D40929">
      <w:pPr>
        <w:spacing w:after="29" w:line="248" w:lineRule="auto"/>
        <w:ind w:left="9" w:right="14"/>
        <w:jc w:val="both"/>
      </w:pPr>
      <w:r>
        <w:rPr>
          <w:rFonts w:ascii="Times New Roman" w:eastAsia="Times New Roman" w:hAnsi="Times New Roman" w:cs="Times New Roman"/>
          <w:sz w:val="24"/>
        </w:rPr>
        <w:t xml:space="preserve">ПРЕДМЕТОВ Тринадцатая сессия Женева, 6-10 марта 2006 года </w:t>
      </w:r>
    </w:p>
    <w:p w:rsidR="0052701D" w:rsidRDefault="00D40929">
      <w:pPr>
        <w:spacing w:after="0"/>
      </w:pPr>
      <w:r>
        <w:rPr>
          <w:sz w:val="24"/>
        </w:rPr>
        <w:t xml:space="preserve"> </w:t>
      </w:r>
    </w:p>
    <w:p w:rsidR="0052701D" w:rsidRDefault="00D40929">
      <w:pPr>
        <w:spacing w:after="0"/>
      </w:pPr>
      <w:r>
        <w:rPr>
          <w:sz w:val="24"/>
        </w:rPr>
        <w:t xml:space="preserve"> </w:t>
      </w:r>
    </w:p>
    <w:p w:rsidR="0052701D" w:rsidRDefault="00D40929">
      <w:pPr>
        <w:spacing w:after="0"/>
      </w:pPr>
      <w:r>
        <w:rPr>
          <w:sz w:val="24"/>
        </w:rPr>
        <w:t xml:space="preserve"> </w:t>
      </w:r>
    </w:p>
    <w:p w:rsidR="0052701D" w:rsidRDefault="00D40929">
      <w:pPr>
        <w:spacing w:after="257" w:line="271" w:lineRule="auto"/>
        <w:ind w:left="-5" w:right="194" w:hanging="10"/>
      </w:pPr>
      <w:r>
        <w:rPr>
          <w:rFonts w:ascii="Times New Roman" w:eastAsia="Times New Roman" w:hAnsi="Times New Roman" w:cs="Times New Roman"/>
          <w:b/>
          <w:sz w:val="24"/>
        </w:rPr>
        <w:t xml:space="preserve">УДК 28.23.01 </w:t>
      </w:r>
    </w:p>
    <w:p w:rsidR="0052701D" w:rsidRDefault="00D40929">
      <w:pPr>
        <w:pStyle w:val="1"/>
        <w:spacing w:after="276" w:line="248" w:lineRule="auto"/>
        <w:ind w:right="2"/>
      </w:pPr>
      <w:r>
        <w:rPr>
          <w:sz w:val="24"/>
        </w:rPr>
        <w:t>ТОЧНЫЕ</w:t>
      </w:r>
      <w:r>
        <w:rPr>
          <w:sz w:val="18"/>
        </w:rPr>
        <w:t xml:space="preserve"> </w:t>
      </w:r>
      <w:r>
        <w:rPr>
          <w:sz w:val="24"/>
        </w:rPr>
        <w:t>МОДИФИКАЦИИ</w:t>
      </w:r>
      <w:r>
        <w:rPr>
          <w:b w:val="0"/>
          <w:sz w:val="18"/>
        </w:rPr>
        <w:t xml:space="preserve"> </w:t>
      </w:r>
      <w:r>
        <w:rPr>
          <w:sz w:val="24"/>
        </w:rPr>
        <w:t xml:space="preserve">РОБОТОВ С НЕАБСОЛЮТНОЙ ПАМЯТЬЮ </w:t>
      </w:r>
    </w:p>
    <w:p w:rsidR="0052701D" w:rsidRDefault="00D40929">
      <w:pPr>
        <w:pStyle w:val="1"/>
        <w:spacing w:after="16" w:line="248" w:lineRule="auto"/>
        <w:ind w:left="819" w:right="817"/>
      </w:pPr>
      <w:r>
        <w:rPr>
          <w:sz w:val="24"/>
        </w:rPr>
        <w:t xml:space="preserve">А.С. Қабылкәрім, Э.Н. Кожакметов. </w:t>
      </w:r>
    </w:p>
    <w:p w:rsidR="0052701D" w:rsidRDefault="00D40929">
      <w:pPr>
        <w:spacing w:after="14" w:line="248" w:lineRule="auto"/>
        <w:ind w:left="1382" w:right="1321" w:hanging="5"/>
        <w:jc w:val="center"/>
      </w:pPr>
      <w:r>
        <w:rPr>
          <w:rFonts w:ascii="Times New Roman" w:eastAsia="Times New Roman" w:hAnsi="Times New Roman" w:cs="Times New Roman"/>
          <w:sz w:val="24"/>
        </w:rPr>
        <w:t xml:space="preserve">АУЭС имени Гумарбека Даукеева, Алматы, Казахстан E-mail: </w:t>
      </w:r>
      <w:r>
        <w:rPr>
          <w:rFonts w:ascii="Times New Roman" w:eastAsia="Times New Roman" w:hAnsi="Times New Roman" w:cs="Times New Roman"/>
          <w:color w:val="0563C1"/>
          <w:sz w:val="24"/>
          <w:u w:val="single" w:color="0563C1"/>
        </w:rPr>
        <w:t>akonia_anara@mail.ru</w:t>
      </w:r>
      <w:r>
        <w:rPr>
          <w:rFonts w:ascii="Times New Roman" w:eastAsia="Times New Roman" w:hAnsi="Times New Roman" w:cs="Times New Roman"/>
          <w:sz w:val="24"/>
        </w:rPr>
        <w:t xml:space="preserve">, </w:t>
      </w:r>
      <w:r>
        <w:rPr>
          <w:rFonts w:ascii="Times New Roman" w:eastAsia="Times New Roman" w:hAnsi="Times New Roman" w:cs="Times New Roman"/>
          <w:color w:val="0563C1"/>
          <w:sz w:val="24"/>
          <w:u w:val="single" w:color="0563C1"/>
        </w:rPr>
        <w:t>e.kozhakmetov@aues.kz</w:t>
      </w:r>
      <w:r>
        <w:rPr>
          <w:rFonts w:ascii="Times New Roman" w:eastAsia="Times New Roman" w:hAnsi="Times New Roman" w:cs="Times New Roman"/>
          <w:color w:val="0563C1"/>
          <w:sz w:val="24"/>
        </w:rPr>
        <w:t xml:space="preserve"> </w:t>
      </w:r>
    </w:p>
    <w:p w:rsidR="0052701D" w:rsidRDefault="00D40929">
      <w:pPr>
        <w:spacing w:after="94"/>
        <w:ind w:left="55"/>
        <w:jc w:val="center"/>
      </w:pPr>
      <w:r>
        <w:rPr>
          <w:rFonts w:ascii="Times New Roman" w:eastAsia="Times New Roman" w:hAnsi="Times New Roman" w:cs="Times New Roman"/>
          <w:sz w:val="24"/>
        </w:rPr>
        <w:t xml:space="preserve"> </w:t>
      </w:r>
    </w:p>
    <w:p w:rsidR="0052701D" w:rsidRDefault="00D40929">
      <w:pPr>
        <w:spacing w:after="29" w:line="248" w:lineRule="auto"/>
        <w:ind w:left="9" w:firstLine="567"/>
        <w:jc w:val="both"/>
      </w:pPr>
      <w:r>
        <w:rPr>
          <w:rFonts w:ascii="Times New Roman" w:eastAsia="Times New Roman" w:hAnsi="Times New Roman" w:cs="Times New Roman"/>
          <w:b/>
          <w:i/>
          <w:sz w:val="24"/>
        </w:rPr>
        <w:t xml:space="preserve">Аннотация. </w:t>
      </w:r>
      <w:r>
        <w:rPr>
          <w:rFonts w:ascii="Times New Roman" w:eastAsia="Times New Roman" w:hAnsi="Times New Roman" w:cs="Times New Roman"/>
          <w:i/>
          <w:sz w:val="24"/>
        </w:rPr>
        <w:t>В этой научной статье мы обсуждаем создание электронного интеллектуального аналога человека. Мы вводим математическое понятие стимула, порождающего эмоции. Мы также вводим определение логического мышления роботов и понятие коэффициента эффективности для оп</w:t>
      </w:r>
      <w:r>
        <w:rPr>
          <w:rFonts w:ascii="Times New Roman" w:eastAsia="Times New Roman" w:hAnsi="Times New Roman" w:cs="Times New Roman"/>
          <w:i/>
          <w:sz w:val="24"/>
        </w:rPr>
        <w:t xml:space="preserve">исания эффективности их запоминания (механического запоминания). В статье доказываются теоремы, </w:t>
      </w:r>
      <w:r>
        <w:rPr>
          <w:rFonts w:ascii="Times New Roman" w:eastAsia="Times New Roman" w:hAnsi="Times New Roman" w:cs="Times New Roman"/>
          <w:i/>
          <w:sz w:val="24"/>
        </w:rPr>
        <w:lastRenderedPageBreak/>
        <w:t>описывающие свойства постоянных конфликтов между логическим и эмоциональным мышлением роботов с неабсолютной памятью.</w:t>
      </w:r>
      <w:r>
        <w:rPr>
          <w:rFonts w:ascii="Times New Roman" w:eastAsia="Times New Roman" w:hAnsi="Times New Roman" w:cs="Times New Roman"/>
          <w:b/>
          <w:i/>
          <w:sz w:val="24"/>
        </w:rPr>
        <w:t xml:space="preserve"> Ключевые слова: </w:t>
      </w:r>
      <w:r>
        <w:rPr>
          <w:rFonts w:ascii="Times New Roman" w:eastAsia="Times New Roman" w:hAnsi="Times New Roman" w:cs="Times New Roman"/>
          <w:i/>
          <w:sz w:val="24"/>
        </w:rPr>
        <w:t>роботы,</w:t>
      </w:r>
      <w:r>
        <w:rPr>
          <w:rFonts w:ascii="Times New Roman" w:eastAsia="Times New Roman" w:hAnsi="Times New Roman" w:cs="Times New Roman"/>
          <w:b/>
          <w:i/>
          <w:sz w:val="24"/>
        </w:rPr>
        <w:t xml:space="preserve"> </w:t>
      </w:r>
      <w:r>
        <w:rPr>
          <w:rFonts w:ascii="Times New Roman" w:eastAsia="Times New Roman" w:hAnsi="Times New Roman" w:cs="Times New Roman"/>
          <w:i/>
          <w:sz w:val="24"/>
        </w:rPr>
        <w:t>эмоция робота, пам</w:t>
      </w:r>
      <w:r>
        <w:rPr>
          <w:rFonts w:ascii="Times New Roman" w:eastAsia="Times New Roman" w:hAnsi="Times New Roman" w:cs="Times New Roman"/>
          <w:i/>
          <w:sz w:val="24"/>
        </w:rPr>
        <w:t xml:space="preserve">ять и мышление робота.  </w:t>
      </w:r>
    </w:p>
    <w:p w:rsidR="0052701D" w:rsidRDefault="00D40929">
      <w:pPr>
        <w:spacing w:after="0"/>
        <w:ind w:left="567"/>
      </w:pPr>
      <w:r>
        <w:rPr>
          <w:rFonts w:ascii="Times New Roman" w:eastAsia="Times New Roman" w:hAnsi="Times New Roman" w:cs="Times New Roman"/>
          <w:i/>
          <w:sz w:val="28"/>
        </w:rPr>
        <w:t xml:space="preserve"> </w:t>
      </w:r>
    </w:p>
    <w:p w:rsidR="0052701D" w:rsidRDefault="00D40929">
      <w:pPr>
        <w:spacing w:after="189" w:line="251" w:lineRule="auto"/>
        <w:ind w:left="3866" w:hanging="3294"/>
      </w:pPr>
      <w:r>
        <w:rPr>
          <w:rFonts w:ascii="Times New Roman" w:eastAsia="Times New Roman" w:hAnsi="Times New Roman" w:cs="Times New Roman"/>
          <w:b/>
          <w:sz w:val="28"/>
        </w:rPr>
        <w:t xml:space="preserve">PRECISE MODIFICATIONS OF ROBOTS WITH NON-ABSOLUTE MEMORY </w:t>
      </w:r>
    </w:p>
    <w:p w:rsidR="0052701D" w:rsidRDefault="00D40929">
      <w:pPr>
        <w:spacing w:after="16" w:line="248" w:lineRule="auto"/>
        <w:ind w:left="819" w:right="254" w:hanging="10"/>
        <w:jc w:val="center"/>
      </w:pPr>
      <w:r>
        <w:rPr>
          <w:rFonts w:ascii="Times New Roman" w:eastAsia="Times New Roman" w:hAnsi="Times New Roman" w:cs="Times New Roman"/>
          <w:b/>
          <w:sz w:val="24"/>
        </w:rPr>
        <w:t xml:space="preserve">A.S. Kabylkarim, E.N. Kozhakmetov. </w:t>
      </w:r>
    </w:p>
    <w:p w:rsidR="0052701D" w:rsidRDefault="00D40929">
      <w:pPr>
        <w:spacing w:after="29" w:line="248" w:lineRule="auto"/>
        <w:ind w:left="2051" w:right="14"/>
        <w:jc w:val="both"/>
      </w:pPr>
      <w:r>
        <w:rPr>
          <w:rFonts w:ascii="Times New Roman" w:eastAsia="Times New Roman" w:hAnsi="Times New Roman" w:cs="Times New Roman"/>
          <w:sz w:val="24"/>
        </w:rPr>
        <w:t xml:space="preserve">AUPET named Gumarbek Daukeev, Almaty, Kazakhstan </w:t>
      </w:r>
    </w:p>
    <w:p w:rsidR="0052701D" w:rsidRDefault="00D40929">
      <w:pPr>
        <w:spacing w:after="1"/>
        <w:ind w:left="2089" w:hanging="10"/>
      </w:pPr>
      <w:r>
        <w:rPr>
          <w:rFonts w:ascii="Times New Roman" w:eastAsia="Times New Roman" w:hAnsi="Times New Roman" w:cs="Times New Roman"/>
          <w:sz w:val="24"/>
        </w:rPr>
        <w:t xml:space="preserve">E-mail: </w:t>
      </w:r>
      <w:r>
        <w:rPr>
          <w:rFonts w:ascii="Times New Roman" w:eastAsia="Times New Roman" w:hAnsi="Times New Roman" w:cs="Times New Roman"/>
          <w:color w:val="0563C1"/>
          <w:sz w:val="24"/>
          <w:u w:val="single" w:color="0563C1"/>
        </w:rPr>
        <w:t>akonia_anara@mail.ru</w:t>
      </w:r>
      <w:r>
        <w:rPr>
          <w:rFonts w:ascii="Times New Roman" w:eastAsia="Times New Roman" w:hAnsi="Times New Roman" w:cs="Times New Roman"/>
          <w:sz w:val="24"/>
        </w:rPr>
        <w:t xml:space="preserve">, </w:t>
      </w:r>
      <w:r>
        <w:rPr>
          <w:rFonts w:ascii="Times New Roman" w:eastAsia="Times New Roman" w:hAnsi="Times New Roman" w:cs="Times New Roman"/>
          <w:color w:val="0563C1"/>
          <w:sz w:val="24"/>
          <w:u w:val="single" w:color="0563C1"/>
        </w:rPr>
        <w:t>e.kozhakmetov@aues.kz</w:t>
      </w:r>
      <w:r>
        <w:rPr>
          <w:rFonts w:ascii="Times New Roman" w:eastAsia="Times New Roman" w:hAnsi="Times New Roman" w:cs="Times New Roman"/>
          <w:color w:val="0563C1"/>
          <w:sz w:val="24"/>
        </w:rPr>
        <w:t xml:space="preserve"> </w:t>
      </w:r>
    </w:p>
    <w:p w:rsidR="0052701D" w:rsidRDefault="00D40929">
      <w:pPr>
        <w:spacing w:after="0"/>
        <w:ind w:left="622"/>
        <w:jc w:val="center"/>
      </w:pPr>
      <w:r>
        <w:rPr>
          <w:rFonts w:ascii="Times New Roman" w:eastAsia="Times New Roman" w:hAnsi="Times New Roman" w:cs="Times New Roman"/>
          <w:sz w:val="24"/>
        </w:rPr>
        <w:t xml:space="preserve"> </w:t>
      </w:r>
    </w:p>
    <w:p w:rsidR="0052701D" w:rsidRDefault="00D40929">
      <w:pPr>
        <w:spacing w:after="0" w:line="248" w:lineRule="auto"/>
        <w:ind w:left="9" w:firstLine="567"/>
        <w:jc w:val="both"/>
      </w:pPr>
      <w:r>
        <w:rPr>
          <w:rFonts w:ascii="Times New Roman" w:eastAsia="Times New Roman" w:hAnsi="Times New Roman" w:cs="Times New Roman"/>
          <w:b/>
          <w:i/>
          <w:sz w:val="24"/>
        </w:rPr>
        <w:t xml:space="preserve">Annotation. </w:t>
      </w:r>
      <w:r>
        <w:rPr>
          <w:rFonts w:ascii="Times New Roman" w:eastAsia="Times New Roman" w:hAnsi="Times New Roman" w:cs="Times New Roman"/>
          <w:i/>
          <w:sz w:val="24"/>
        </w:rPr>
        <w:t>In this scientific article, we discuss the creation of an electronic intelligent analogue of a person. We introduce the mathematical concept of a stimulus that generates emotions. We also introduce a definition of the logical thinking of robots and the con</w:t>
      </w:r>
      <w:r>
        <w:rPr>
          <w:rFonts w:ascii="Times New Roman" w:eastAsia="Times New Roman" w:hAnsi="Times New Roman" w:cs="Times New Roman"/>
          <w:i/>
          <w:sz w:val="24"/>
        </w:rPr>
        <w:t>cept of an efficiency coefficient to describe the effectiveness of their memorization (mechanical memorization). The article proves theorems describing the properties of constant conflicts between the logical and emotional thinking of robots with non-absol</w:t>
      </w:r>
      <w:r>
        <w:rPr>
          <w:rFonts w:ascii="Times New Roman" w:eastAsia="Times New Roman" w:hAnsi="Times New Roman" w:cs="Times New Roman"/>
          <w:i/>
          <w:sz w:val="24"/>
        </w:rPr>
        <w:t>ute memory.</w:t>
      </w:r>
      <w:r>
        <w:rPr>
          <w:rFonts w:ascii="Times New Roman" w:eastAsia="Times New Roman" w:hAnsi="Times New Roman" w:cs="Times New Roman"/>
          <w:b/>
          <w:i/>
          <w:sz w:val="24"/>
        </w:rPr>
        <w:t xml:space="preserve"> </w:t>
      </w:r>
    </w:p>
    <w:p w:rsidR="0052701D" w:rsidRDefault="00D40929">
      <w:pPr>
        <w:spacing w:after="29" w:line="248" w:lineRule="auto"/>
        <w:ind w:left="567"/>
        <w:jc w:val="both"/>
      </w:pPr>
      <w:r>
        <w:rPr>
          <w:rFonts w:ascii="Times New Roman" w:eastAsia="Times New Roman" w:hAnsi="Times New Roman" w:cs="Times New Roman"/>
          <w:b/>
          <w:i/>
          <w:sz w:val="24"/>
        </w:rPr>
        <w:t xml:space="preserve">Keywords: </w:t>
      </w:r>
      <w:r>
        <w:rPr>
          <w:rFonts w:ascii="Times New Roman" w:eastAsia="Times New Roman" w:hAnsi="Times New Roman" w:cs="Times New Roman"/>
          <w:i/>
          <w:sz w:val="24"/>
        </w:rPr>
        <w:t xml:space="preserve">robots, robot emotion, robot memory and thinking.  </w:t>
      </w:r>
    </w:p>
    <w:p w:rsidR="0052701D" w:rsidRDefault="00D40929">
      <w:pPr>
        <w:spacing w:after="67"/>
        <w:ind w:left="567"/>
      </w:pPr>
      <w:r>
        <w:rPr>
          <w:rFonts w:ascii="Times New Roman" w:eastAsia="Times New Roman" w:hAnsi="Times New Roman" w:cs="Times New Roman"/>
          <w:b/>
          <w:color w:val="2F5496"/>
          <w:sz w:val="26"/>
        </w:rPr>
        <w:t xml:space="preserve">1. Введение </w:t>
      </w:r>
    </w:p>
    <w:p w:rsidR="0052701D" w:rsidRDefault="00D40929">
      <w:pPr>
        <w:spacing w:after="4" w:line="249" w:lineRule="auto"/>
        <w:ind w:left="-15" w:firstLine="557"/>
        <w:jc w:val="both"/>
      </w:pPr>
      <w:r>
        <w:rPr>
          <w:rFonts w:ascii="Times New Roman" w:eastAsia="Times New Roman" w:hAnsi="Times New Roman" w:cs="Times New Roman"/>
          <w:sz w:val="26"/>
        </w:rPr>
        <w:t xml:space="preserve">Во-первых, следует отметить, что заучивание или механическая память в данной работе - </w:t>
      </w:r>
      <w:r>
        <w:rPr>
          <w:rFonts w:ascii="Times New Roman" w:eastAsia="Times New Roman" w:hAnsi="Times New Roman" w:cs="Times New Roman"/>
          <w:sz w:val="26"/>
        </w:rPr>
        <w:t>это способность робота или человека запоминать некоторые определенные данные во всех деталях, но без учета смыслового содержания этой информации. Современные компьютеры обладают именно такой памятью: они могут хранить в памяти полный набор символов, не выб</w:t>
      </w:r>
      <w:r>
        <w:rPr>
          <w:rFonts w:ascii="Times New Roman" w:eastAsia="Times New Roman" w:hAnsi="Times New Roman" w:cs="Times New Roman"/>
          <w:sz w:val="26"/>
        </w:rPr>
        <w:t xml:space="preserve">ирая и не выделяя из этого набора символов смысловое содержание текста; и, кроме того, они никогда ничего не "забывают". Таким образом, современные компьютеры обладают абсолютной механической памятью.  </w:t>
      </w:r>
    </w:p>
    <w:p w:rsidR="0052701D" w:rsidRDefault="00D40929">
      <w:pPr>
        <w:spacing w:after="4" w:line="249" w:lineRule="auto"/>
        <w:ind w:left="-15" w:firstLine="557"/>
        <w:jc w:val="both"/>
      </w:pPr>
      <w:r>
        <w:rPr>
          <w:rFonts w:ascii="Times New Roman" w:eastAsia="Times New Roman" w:hAnsi="Times New Roman" w:cs="Times New Roman"/>
          <w:sz w:val="26"/>
        </w:rPr>
        <w:t>В отличие от современных компьютерных систем, в данно</w:t>
      </w:r>
      <w:r>
        <w:rPr>
          <w:rFonts w:ascii="Times New Roman" w:eastAsia="Times New Roman" w:hAnsi="Times New Roman" w:cs="Times New Roman"/>
          <w:sz w:val="26"/>
        </w:rPr>
        <w:t>й работе мы рассматриваем компьютеры, которые могут забывать старую информацию. Хорошим примером компьютера с неабсолютной памятью является зараженный компьютер, когда вирусная атака уничтожает часть данных на жестком диске. Ниже мы исследуем только матема</w:t>
      </w:r>
      <w:r>
        <w:rPr>
          <w:rFonts w:ascii="Times New Roman" w:eastAsia="Times New Roman" w:hAnsi="Times New Roman" w:cs="Times New Roman"/>
          <w:sz w:val="26"/>
        </w:rPr>
        <w:t xml:space="preserve">тические свойства компьютеров-роботов с механической (заучивающей) памятью.  </w:t>
      </w:r>
    </w:p>
    <w:p w:rsidR="0052701D" w:rsidRDefault="00D40929">
      <w:pPr>
        <w:spacing w:after="32" w:line="249" w:lineRule="auto"/>
        <w:ind w:left="-15" w:firstLine="557"/>
        <w:jc w:val="both"/>
      </w:pPr>
      <w:r>
        <w:rPr>
          <w:rFonts w:ascii="Times New Roman" w:eastAsia="Times New Roman" w:hAnsi="Times New Roman" w:cs="Times New Roman"/>
          <w:sz w:val="26"/>
        </w:rPr>
        <w:t xml:space="preserve">В статье рассматриваются некоторые аспекты общей математической теории эмоций роботов независимо от типа этих эмоций. </w:t>
      </w:r>
    </w:p>
    <w:p w:rsidR="0052701D" w:rsidRDefault="00D40929">
      <w:pPr>
        <w:spacing w:after="4" w:line="249" w:lineRule="auto"/>
        <w:ind w:left="-15" w:firstLine="557"/>
        <w:jc w:val="both"/>
      </w:pPr>
      <w:r>
        <w:rPr>
          <w:rFonts w:ascii="Times New Roman" w:eastAsia="Times New Roman" w:hAnsi="Times New Roman" w:cs="Times New Roman"/>
          <w:sz w:val="26"/>
        </w:rPr>
        <w:t>В настоящее время исследователи в США пытаются решить пробл</w:t>
      </w:r>
      <w:r>
        <w:rPr>
          <w:rFonts w:ascii="Times New Roman" w:eastAsia="Times New Roman" w:hAnsi="Times New Roman" w:cs="Times New Roman"/>
          <w:sz w:val="26"/>
        </w:rPr>
        <w:t>ему создания электронной копии (аналога) человека, называемой электронным существом [1]. Попробуем рассмотреть эту заморскую идею с точки зрения информации. Прежде всего, следует отметить, что не существует человека обладающего абсолютной памятью т.e, он и</w:t>
      </w:r>
      <w:r>
        <w:rPr>
          <w:rFonts w:ascii="Times New Roman" w:eastAsia="Times New Roman" w:hAnsi="Times New Roman" w:cs="Times New Roman"/>
          <w:sz w:val="26"/>
        </w:rPr>
        <w:t xml:space="preserve">ли она всегда забывает часть полученной информации, поскольку такова его природа. </w:t>
      </w:r>
    </w:p>
    <w:p w:rsidR="0052701D" w:rsidRDefault="00D40929">
      <w:pPr>
        <w:spacing w:after="4" w:line="249" w:lineRule="auto"/>
        <w:ind w:left="-15" w:firstLine="557"/>
        <w:jc w:val="both"/>
      </w:pPr>
      <w:r>
        <w:rPr>
          <w:rFonts w:ascii="Times New Roman" w:eastAsia="Times New Roman" w:hAnsi="Times New Roman" w:cs="Times New Roman"/>
          <w:sz w:val="26"/>
        </w:rPr>
        <w:t xml:space="preserve">Коэффициент эффективности определяет, прежде всего, способность робота с неабсолютной памятью к накоплению информации или к эмоциональному обучению. </w:t>
      </w:r>
    </w:p>
    <w:p w:rsidR="0052701D" w:rsidRDefault="00D40929">
      <w:pPr>
        <w:spacing w:after="4" w:line="249" w:lineRule="auto"/>
        <w:ind w:left="-15" w:firstLine="557"/>
        <w:jc w:val="both"/>
      </w:pPr>
      <w:r>
        <w:rPr>
          <w:rFonts w:ascii="Times New Roman" w:eastAsia="Times New Roman" w:hAnsi="Times New Roman" w:cs="Times New Roman"/>
          <w:sz w:val="26"/>
        </w:rPr>
        <w:t>Итак, в данной работе м</w:t>
      </w:r>
      <w:r>
        <w:rPr>
          <w:rFonts w:ascii="Times New Roman" w:eastAsia="Times New Roman" w:hAnsi="Times New Roman" w:cs="Times New Roman"/>
          <w:sz w:val="26"/>
        </w:rPr>
        <w:t xml:space="preserve">ы привели математические модели роботов с неабсолютной памятью и изучили некоторые психологические свойства этих </w:t>
      </w:r>
      <w:r>
        <w:rPr>
          <w:rFonts w:ascii="Times New Roman" w:eastAsia="Times New Roman" w:hAnsi="Times New Roman" w:cs="Times New Roman"/>
          <w:sz w:val="26"/>
        </w:rPr>
        <w:lastRenderedPageBreak/>
        <w:t>роботов психологических свойств этих роботов.  При некоторых допущениях математических моделей полученные теоретические результаты позволяют пр</w:t>
      </w:r>
      <w:r>
        <w:rPr>
          <w:rFonts w:ascii="Times New Roman" w:eastAsia="Times New Roman" w:hAnsi="Times New Roman" w:cs="Times New Roman"/>
          <w:sz w:val="26"/>
        </w:rPr>
        <w:t>огнозировать поведение Э-существа. В отличие от существующих математических методов, которые пытаются скопировать умственную и эмоциональную деятельность человека непосредственно на роботов, мы разрабатываем упрощенную модель аналога человека. Но с нашей т</w:t>
      </w:r>
      <w:r>
        <w:rPr>
          <w:rFonts w:ascii="Times New Roman" w:eastAsia="Times New Roman" w:hAnsi="Times New Roman" w:cs="Times New Roman"/>
          <w:sz w:val="26"/>
        </w:rPr>
        <w:t xml:space="preserve">очки зрения эта модель позволяет обнаружить общие черты поведения человека или поведения робота с неабсолютным заучиванием; конечно же, она не учитывает индивидуальные особенности психологии человека. </w:t>
      </w:r>
    </w:p>
    <w:p w:rsidR="0052701D" w:rsidRDefault="00D40929">
      <w:pPr>
        <w:spacing w:after="35" w:line="249" w:lineRule="auto"/>
        <w:ind w:left="-15" w:firstLine="557"/>
        <w:jc w:val="both"/>
      </w:pPr>
      <w:r>
        <w:rPr>
          <w:rFonts w:ascii="Times New Roman" w:eastAsia="Times New Roman" w:hAnsi="Times New Roman" w:cs="Times New Roman"/>
          <w:sz w:val="26"/>
        </w:rPr>
        <w:t>Для распознавания эмоций современные роботы в основном</w:t>
      </w:r>
      <w:r>
        <w:rPr>
          <w:rFonts w:ascii="Times New Roman" w:eastAsia="Times New Roman" w:hAnsi="Times New Roman" w:cs="Times New Roman"/>
          <w:sz w:val="26"/>
        </w:rPr>
        <w:t xml:space="preserve"> используют анализ двух видов сигналов: видеосигнала и аудио сигнала. При этом анализируется такие параметры, как:  </w:t>
      </w:r>
    </w:p>
    <w:p w:rsidR="0052701D" w:rsidRDefault="00D40929">
      <w:pPr>
        <w:numPr>
          <w:ilvl w:val="0"/>
          <w:numId w:val="74"/>
        </w:numPr>
        <w:spacing w:after="40" w:line="249" w:lineRule="auto"/>
        <w:ind w:firstLine="557"/>
        <w:jc w:val="both"/>
      </w:pPr>
      <w:r>
        <w:rPr>
          <w:rFonts w:ascii="Times New Roman" w:eastAsia="Times New Roman" w:hAnsi="Times New Roman" w:cs="Times New Roman"/>
          <w:sz w:val="26"/>
        </w:rPr>
        <w:t xml:space="preserve">Движения, жесты (иногда только движения плеч и мимика лица).  </w:t>
      </w:r>
    </w:p>
    <w:p w:rsidR="0052701D" w:rsidRDefault="00D40929">
      <w:pPr>
        <w:numPr>
          <w:ilvl w:val="0"/>
          <w:numId w:val="74"/>
        </w:numPr>
        <w:spacing w:after="4" w:line="249" w:lineRule="auto"/>
        <w:ind w:firstLine="557"/>
        <w:jc w:val="both"/>
      </w:pPr>
      <w:r>
        <w:rPr>
          <w:rFonts w:ascii="Times New Roman" w:eastAsia="Times New Roman" w:hAnsi="Times New Roman" w:cs="Times New Roman"/>
          <w:sz w:val="26"/>
        </w:rPr>
        <w:t xml:space="preserve">Смысл слов, произносимых человеком.  </w:t>
      </w:r>
    </w:p>
    <w:p w:rsidR="0052701D" w:rsidRDefault="00D40929">
      <w:pPr>
        <w:numPr>
          <w:ilvl w:val="0"/>
          <w:numId w:val="74"/>
        </w:numPr>
        <w:spacing w:after="31" w:line="249" w:lineRule="auto"/>
        <w:ind w:firstLine="557"/>
        <w:jc w:val="both"/>
      </w:pPr>
      <w:r>
        <w:rPr>
          <w:rFonts w:ascii="Times New Roman" w:eastAsia="Times New Roman" w:hAnsi="Times New Roman" w:cs="Times New Roman"/>
          <w:sz w:val="26"/>
        </w:rPr>
        <w:t xml:space="preserve">Совокупность различных данных: например, данные о движениях и жестах, а также о голосе. </w:t>
      </w:r>
    </w:p>
    <w:p w:rsidR="0052701D" w:rsidRDefault="00D40929">
      <w:pPr>
        <w:spacing w:after="4" w:line="249" w:lineRule="auto"/>
        <w:ind w:left="-15" w:firstLine="557"/>
        <w:jc w:val="both"/>
      </w:pPr>
      <w:r>
        <w:rPr>
          <w:rFonts w:ascii="Times New Roman" w:eastAsia="Times New Roman" w:hAnsi="Times New Roman" w:cs="Times New Roman"/>
          <w:sz w:val="26"/>
        </w:rPr>
        <w:t>Для реализации механизмов анализа полученных данных, адаптации под изменяющуюся окружающую среду и самообучения робота чаще всего используется аппарат искусственных не</w:t>
      </w:r>
      <w:r>
        <w:rPr>
          <w:rFonts w:ascii="Times New Roman" w:eastAsia="Times New Roman" w:hAnsi="Times New Roman" w:cs="Times New Roman"/>
          <w:sz w:val="26"/>
        </w:rPr>
        <w:t xml:space="preserve">йронных сетей.  </w:t>
      </w:r>
    </w:p>
    <w:p w:rsidR="0052701D" w:rsidRDefault="00D40929">
      <w:pPr>
        <w:spacing w:after="4" w:line="249" w:lineRule="auto"/>
        <w:ind w:left="-15" w:firstLine="557"/>
        <w:jc w:val="both"/>
      </w:pPr>
      <w:r>
        <w:rPr>
          <w:rFonts w:ascii="Times New Roman" w:eastAsia="Times New Roman" w:hAnsi="Times New Roman" w:cs="Times New Roman"/>
          <w:sz w:val="26"/>
        </w:rPr>
        <w:t>Управление методом конечного состояния.</w:t>
      </w:r>
      <w:r>
        <w:rPr>
          <w:rFonts w:ascii="Times New Roman" w:eastAsia="Times New Roman" w:hAnsi="Times New Roman" w:cs="Times New Roman"/>
          <w:b/>
          <w:sz w:val="26"/>
        </w:rPr>
        <w:t xml:space="preserve"> </w:t>
      </w:r>
      <w:r>
        <w:rPr>
          <w:rFonts w:ascii="Times New Roman" w:eastAsia="Times New Roman" w:hAnsi="Times New Roman" w:cs="Times New Roman"/>
          <w:sz w:val="26"/>
        </w:rPr>
        <w:t>Данный метод [2]</w:t>
      </w:r>
      <w:r>
        <w:rPr>
          <w:rFonts w:ascii="Times New Roman" w:eastAsia="Times New Roman" w:hAnsi="Times New Roman" w:cs="Times New Roman"/>
          <w:b/>
          <w:sz w:val="26"/>
        </w:rPr>
        <w:t xml:space="preserve"> </w:t>
      </w:r>
      <w:r>
        <w:rPr>
          <w:rFonts w:ascii="Times New Roman" w:eastAsia="Times New Roman" w:hAnsi="Times New Roman" w:cs="Times New Roman"/>
          <w:sz w:val="26"/>
        </w:rPr>
        <w:t>представляет собой метод для отыскания управлений в терминальных задачах для нелинейных систем различных типов (дифференциальных вида, с переменными во времени запаздываниями, дискре</w:t>
      </w:r>
      <w:r>
        <w:rPr>
          <w:rFonts w:ascii="Times New Roman" w:eastAsia="Times New Roman" w:hAnsi="Times New Roman" w:cs="Times New Roman"/>
          <w:sz w:val="26"/>
        </w:rPr>
        <w:t>тных по времени и гибридных систем достаточно широкого класса).</w:t>
      </w:r>
      <w:r>
        <w:rPr>
          <w:rFonts w:ascii="Times New Roman" w:eastAsia="Times New Roman" w:hAnsi="Times New Roman" w:cs="Times New Roman"/>
          <w:b/>
          <w:sz w:val="26"/>
        </w:rPr>
        <w:t xml:space="preserve"> </w:t>
      </w:r>
    </w:p>
    <w:p w:rsidR="0052701D" w:rsidRDefault="00D40929">
      <w:pPr>
        <w:spacing w:after="4" w:line="249" w:lineRule="auto"/>
        <w:ind w:left="-15" w:firstLine="557"/>
        <w:jc w:val="both"/>
      </w:pPr>
      <w:r>
        <w:rPr>
          <w:rFonts w:ascii="Times New Roman" w:eastAsia="Times New Roman" w:hAnsi="Times New Roman" w:cs="Times New Roman"/>
          <w:sz w:val="26"/>
        </w:rPr>
        <w:t xml:space="preserve">В когнитивной науке считается, что человек обладает эксплицитной системой памяти, которая состоит из семантической и эпизодической систем памяти. Семантическая память имеет отношение к общим </w:t>
      </w:r>
      <w:r>
        <w:rPr>
          <w:rFonts w:ascii="Times New Roman" w:eastAsia="Times New Roman" w:hAnsi="Times New Roman" w:cs="Times New Roman"/>
          <w:sz w:val="26"/>
        </w:rPr>
        <w:t xml:space="preserve">знаниям о мире, а эпизодическая - к личной памяти. </w:t>
      </w:r>
    </w:p>
    <w:p w:rsidR="0052701D" w:rsidRDefault="00D40929">
      <w:pPr>
        <w:spacing w:after="4" w:line="249" w:lineRule="auto"/>
        <w:ind w:left="-15" w:firstLine="557"/>
        <w:jc w:val="both"/>
      </w:pPr>
      <w:r>
        <w:rPr>
          <w:rFonts w:ascii="Times New Roman" w:eastAsia="Times New Roman" w:hAnsi="Times New Roman" w:cs="Times New Roman"/>
          <w:sz w:val="26"/>
        </w:rPr>
        <w:t xml:space="preserve">Например, когда вам задают вопрос: "В общем, где находятся ноутбуки?", вы можете ответить, если вы успешно закодировали и сохранили соответствующее воспоминание в своем мозгу. Предположим, что это так, и </w:t>
      </w:r>
      <w:r>
        <w:rPr>
          <w:rFonts w:ascii="Times New Roman" w:eastAsia="Times New Roman" w:hAnsi="Times New Roman" w:cs="Times New Roman"/>
          <w:sz w:val="26"/>
        </w:rPr>
        <w:t>ваш ответ: "На столах". Однако вполне вероятно, что вы не знаете, когда и где вы закодировали и сохранили это воспоминание. Тем не менее, вы смогли извлечь его. Это потому, что данный тип памяти является семантическим. Когда ваш мозг имеет дело с такими фа</w:t>
      </w:r>
      <w:r>
        <w:rPr>
          <w:rFonts w:ascii="Times New Roman" w:eastAsia="Times New Roman" w:hAnsi="Times New Roman" w:cs="Times New Roman"/>
          <w:sz w:val="26"/>
        </w:rPr>
        <w:t>ктическими (общими) воспоминаниями, он не хранит информацию о том, когда и где. Давайте зададим вам другой вопрос: "Где ноутбук Карен?". Давайте снова предположим, что вы наблюдали, где находился ноутбук Карен. Чтобы ответить на этот вопрос, необходимо пер</w:t>
      </w:r>
      <w:r>
        <w:rPr>
          <w:rFonts w:ascii="Times New Roman" w:eastAsia="Times New Roman" w:hAnsi="Times New Roman" w:cs="Times New Roman"/>
          <w:sz w:val="26"/>
        </w:rPr>
        <w:t xml:space="preserve">есмотреть, когда и где это воспоминание было закодировано и сохранено. Извлечение такого воспоминания - это процесс его реконструкции. Этот тип памяти называется эпизодической. Она является более личной, чем семантическая [1-3]. </w:t>
      </w:r>
    </w:p>
    <w:p w:rsidR="0052701D" w:rsidRDefault="00D40929">
      <w:pPr>
        <w:spacing w:after="4" w:line="249" w:lineRule="auto"/>
        <w:ind w:left="-15" w:firstLine="557"/>
        <w:jc w:val="both"/>
      </w:pPr>
      <w:r>
        <w:rPr>
          <w:rFonts w:ascii="Times New Roman" w:eastAsia="Times New Roman" w:hAnsi="Times New Roman" w:cs="Times New Roman"/>
          <w:sz w:val="26"/>
        </w:rPr>
        <w:t xml:space="preserve">Мотивируясь этим, мы явно </w:t>
      </w:r>
      <w:r>
        <w:rPr>
          <w:rFonts w:ascii="Times New Roman" w:eastAsia="Times New Roman" w:hAnsi="Times New Roman" w:cs="Times New Roman"/>
          <w:sz w:val="26"/>
        </w:rPr>
        <w:t>смоделировали агента, который обладает как семантической, так и эпизодической системами памяти. Агент взаимодействует с окружающей средой и должен отвечать на вопросы, чтобы максимизировать вознаграждение. Наша гипотеза заключается в том, что если он может</w:t>
      </w:r>
      <w:r>
        <w:rPr>
          <w:rFonts w:ascii="Times New Roman" w:eastAsia="Times New Roman" w:hAnsi="Times New Roman" w:cs="Times New Roman"/>
          <w:sz w:val="26"/>
        </w:rPr>
        <w:t xml:space="preserve"> успешно </w:t>
      </w:r>
      <w:r>
        <w:rPr>
          <w:rFonts w:ascii="Times New Roman" w:eastAsia="Times New Roman" w:hAnsi="Times New Roman" w:cs="Times New Roman"/>
          <w:sz w:val="26"/>
        </w:rPr>
        <w:lastRenderedPageBreak/>
        <w:t xml:space="preserve">кодировать и хранить соответствующие наблюдения в своем мозгу в виде семантической или эпизодической памяти, то он также может отвечать на вопросы более успешно, чем при использовании только одной из двух систем памяти. </w:t>
      </w:r>
    </w:p>
    <w:p w:rsidR="0052701D" w:rsidRDefault="00D40929">
      <w:pPr>
        <w:spacing w:after="4" w:line="249" w:lineRule="auto"/>
        <w:ind w:left="-15" w:firstLine="557"/>
        <w:jc w:val="both"/>
      </w:pPr>
      <w:r>
        <w:rPr>
          <w:rFonts w:ascii="Times New Roman" w:eastAsia="Times New Roman" w:hAnsi="Times New Roman" w:cs="Times New Roman"/>
          <w:sz w:val="26"/>
        </w:rPr>
        <w:t>Вклад данной работы заключ</w:t>
      </w:r>
      <w:r>
        <w:rPr>
          <w:rFonts w:ascii="Times New Roman" w:eastAsia="Times New Roman" w:hAnsi="Times New Roman" w:cs="Times New Roman"/>
          <w:sz w:val="26"/>
        </w:rPr>
        <w:t>ается в следующем. Вдохновленные теорией когнитивной науки, мы явно представляем агента с семантической и эпизодической системами памяти и показываем, что в наших экспериментах это лучше, чем использование только одной системы памяти. Когда агент сотруднич</w:t>
      </w:r>
      <w:r>
        <w:rPr>
          <w:rFonts w:ascii="Times New Roman" w:eastAsia="Times New Roman" w:hAnsi="Times New Roman" w:cs="Times New Roman"/>
          <w:sz w:val="26"/>
        </w:rPr>
        <w:t xml:space="preserve">ает с другим агентом или человеком, это приводит к улучшению производительности. </w:t>
      </w:r>
    </w:p>
    <w:p w:rsidR="0052701D" w:rsidRDefault="00D40929">
      <w:pPr>
        <w:spacing w:after="4" w:line="249" w:lineRule="auto"/>
        <w:ind w:left="-15" w:firstLine="557"/>
        <w:jc w:val="both"/>
      </w:pPr>
      <w:r>
        <w:rPr>
          <w:rFonts w:ascii="Times New Roman" w:eastAsia="Times New Roman" w:hAnsi="Times New Roman" w:cs="Times New Roman"/>
          <w:sz w:val="26"/>
        </w:rPr>
        <w:t>Наш мир все больше пронизывают интеллектуальные роботы с различной степенью автономности. Чтобы без проблем интегрироваться в наше общество, эти машины должны обладать способ</w:t>
      </w:r>
      <w:r>
        <w:rPr>
          <w:rFonts w:ascii="Times New Roman" w:eastAsia="Times New Roman" w:hAnsi="Times New Roman" w:cs="Times New Roman"/>
          <w:sz w:val="26"/>
        </w:rPr>
        <w:t>ностью ориентироваться в сложностях нашей повседневной жизни даже в отсутствие непосредственного участия человека. Другими словами, мы хотим, чтобы мы хотим, чтобы эти роботы понимали намерения своих партнеров с целью предсказать наилучший способ помочь им</w:t>
      </w:r>
      <w:r>
        <w:rPr>
          <w:rFonts w:ascii="Times New Roman" w:eastAsia="Times New Roman" w:hAnsi="Times New Roman" w:cs="Times New Roman"/>
          <w:sz w:val="26"/>
        </w:rPr>
        <w:t xml:space="preserve">. </w:t>
      </w:r>
    </w:p>
    <w:p w:rsidR="0052701D" w:rsidRDefault="00D40929">
      <w:pPr>
        <w:spacing w:after="4" w:line="249" w:lineRule="auto"/>
        <w:ind w:left="-15" w:firstLine="557"/>
        <w:jc w:val="both"/>
      </w:pPr>
      <w:r>
        <w:rPr>
          <w:rFonts w:ascii="Times New Roman" w:eastAsia="Times New Roman" w:hAnsi="Times New Roman" w:cs="Times New Roman"/>
          <w:sz w:val="26"/>
        </w:rPr>
        <w:t>Символическая когнитивная архитектура, которая использует качественные пространственные рассуждения для предвидения преследуемой цели другого агента и для расчета наилучшего совместного поведения. Это осуществляется с помощью ансамбля параллельных проце</w:t>
      </w:r>
      <w:r>
        <w:rPr>
          <w:rFonts w:ascii="Times New Roman" w:eastAsia="Times New Roman" w:hAnsi="Times New Roman" w:cs="Times New Roman"/>
          <w:sz w:val="26"/>
        </w:rPr>
        <w:t xml:space="preserve">ссов, которые моделируют низкоуровневое распознавание действий и высокоуровневое понимание цели. </w:t>
      </w:r>
    </w:p>
    <w:p w:rsidR="0052701D" w:rsidRDefault="00D40929">
      <w:pPr>
        <w:spacing w:after="4" w:line="249" w:lineRule="auto"/>
        <w:ind w:left="-15" w:firstLine="557"/>
        <w:jc w:val="both"/>
      </w:pPr>
      <w:r>
        <w:rPr>
          <w:rFonts w:ascii="Times New Roman" w:eastAsia="Times New Roman" w:hAnsi="Times New Roman" w:cs="Times New Roman"/>
          <w:sz w:val="26"/>
        </w:rPr>
        <w:t>Автономные роботы все больше входят в нашу повседневную жизнь. Когдато они были ограничены исследовательскими лабораториями и промышленными лабораториями, и п</w:t>
      </w:r>
      <w:r>
        <w:rPr>
          <w:rFonts w:ascii="Times New Roman" w:eastAsia="Times New Roman" w:hAnsi="Times New Roman" w:cs="Times New Roman"/>
          <w:sz w:val="26"/>
        </w:rPr>
        <w:t xml:space="preserve">ромышленными предприятиями, теперь они часто поселяются в наших жилых помещениях и взаимодействуют с нами в течение дня. Это новое поколение интеллектуальных машин, классифицируемое под зонтичным термином "социальная робототехника", должно ориентироваться </w:t>
      </w:r>
      <w:r>
        <w:rPr>
          <w:rFonts w:ascii="Times New Roman" w:eastAsia="Times New Roman" w:hAnsi="Times New Roman" w:cs="Times New Roman"/>
          <w:sz w:val="26"/>
        </w:rPr>
        <w:t xml:space="preserve">в сложном и неопределенный ландшафт, состоящий из человеческих убеждений, желаний, намерений и социальных норм. Кроме того, желательно, чтобы эти агенты могли действовать автономно, то есть без непосредственного участия от своих партнеров-людей. </w:t>
      </w:r>
    </w:p>
    <w:p w:rsidR="0052701D" w:rsidRDefault="00D40929">
      <w:pPr>
        <w:spacing w:after="42" w:line="249" w:lineRule="auto"/>
        <w:ind w:left="-15" w:firstLine="557"/>
        <w:jc w:val="both"/>
      </w:pPr>
      <w:r>
        <w:rPr>
          <w:rFonts w:ascii="Times New Roman" w:eastAsia="Times New Roman" w:hAnsi="Times New Roman" w:cs="Times New Roman"/>
          <w:sz w:val="26"/>
        </w:rPr>
        <w:t xml:space="preserve">Для того </w:t>
      </w:r>
      <w:r>
        <w:rPr>
          <w:rFonts w:ascii="Times New Roman" w:eastAsia="Times New Roman" w:hAnsi="Times New Roman" w:cs="Times New Roman"/>
          <w:sz w:val="26"/>
        </w:rPr>
        <w:t>чтобы интегрировать этих роботов в наше общество, необходимо, чтобы они были наделены тем же набором когнитивных и умственных навыков, которые регулируют то, как мы, люди, взаимодействуем с другими агентами. Один из наиболее фундаментальных таких навыков и</w:t>
      </w:r>
      <w:r>
        <w:rPr>
          <w:rFonts w:ascii="Times New Roman" w:eastAsia="Times New Roman" w:hAnsi="Times New Roman" w:cs="Times New Roman"/>
          <w:sz w:val="26"/>
        </w:rPr>
        <w:t>звестен как "чтение намерений" и представляет собой способность понимать неявную цель, которая движет действиями другого агента. Используя эту способность, мы можем позволить социальному роботу использовать свои наблюдения за другим агентом для экстраполяц</w:t>
      </w:r>
      <w:r>
        <w:rPr>
          <w:rFonts w:ascii="Times New Roman" w:eastAsia="Times New Roman" w:hAnsi="Times New Roman" w:cs="Times New Roman"/>
          <w:sz w:val="26"/>
        </w:rPr>
        <w:t xml:space="preserve">ии его основной цели, реконструкции его ожидаемых будущих действий и, наконец, определения того, как и когда осуществлять совместное поведение. </w:t>
      </w:r>
    </w:p>
    <w:p w:rsidR="0052701D" w:rsidRDefault="00D40929">
      <w:pPr>
        <w:spacing w:after="4" w:line="249" w:lineRule="auto"/>
        <w:ind w:left="-15" w:firstLine="557"/>
        <w:jc w:val="both"/>
      </w:pPr>
      <w:r>
        <w:rPr>
          <w:rFonts w:ascii="Times New Roman" w:eastAsia="Times New Roman" w:hAnsi="Times New Roman" w:cs="Times New Roman"/>
          <w:sz w:val="26"/>
        </w:rPr>
        <w:t>Когнитивная робототехника - это дисциплина, которая находится на пересечении робототехники и когнитивной науки,</w:t>
      </w:r>
      <w:r>
        <w:rPr>
          <w:rFonts w:ascii="Times New Roman" w:eastAsia="Times New Roman" w:hAnsi="Times New Roman" w:cs="Times New Roman"/>
          <w:sz w:val="26"/>
        </w:rPr>
        <w:t xml:space="preserve"> которая является научным исследованием разума и его процессов, таких как восприятие, внимание, предвидение, планирование, память, обучение и рассуждение. Она была </w:t>
      </w:r>
      <w:r>
        <w:rPr>
          <w:rFonts w:ascii="Times New Roman" w:eastAsia="Times New Roman" w:hAnsi="Times New Roman" w:cs="Times New Roman"/>
          <w:sz w:val="26"/>
        </w:rPr>
        <w:lastRenderedPageBreak/>
        <w:t xml:space="preserve">определена как "область, которая сочетает в себе идеи и методы искусственного интеллекта, а </w:t>
      </w:r>
      <w:r>
        <w:rPr>
          <w:rFonts w:ascii="Times New Roman" w:eastAsia="Times New Roman" w:hAnsi="Times New Roman" w:cs="Times New Roman"/>
          <w:sz w:val="26"/>
        </w:rPr>
        <w:t>также когнитивных и биологических наук в робототехнике". Это определение подчеркивает междисциплинарную природу данного подхода, который использует материалы из лингвистики, психологии, неврологии, философии, информатики и антропологии. Его цель - создание</w:t>
      </w:r>
      <w:r>
        <w:rPr>
          <w:rFonts w:ascii="Times New Roman" w:eastAsia="Times New Roman" w:hAnsi="Times New Roman" w:cs="Times New Roman"/>
          <w:sz w:val="26"/>
        </w:rPr>
        <w:t xml:space="preserve"> интеллектуальных роботов, наделенных тем же набором умственных способностей, что и человек. </w:t>
      </w:r>
    </w:p>
    <w:p w:rsidR="0052701D" w:rsidRDefault="00D40929">
      <w:pPr>
        <w:spacing w:after="4" w:line="249" w:lineRule="auto"/>
        <w:ind w:left="-15" w:firstLine="557"/>
        <w:jc w:val="both"/>
      </w:pPr>
      <w:r>
        <w:rPr>
          <w:rFonts w:ascii="Times New Roman" w:eastAsia="Times New Roman" w:hAnsi="Times New Roman" w:cs="Times New Roman"/>
          <w:sz w:val="26"/>
        </w:rPr>
        <w:t>Когнитивная наука рассматривает разум как информационный процессор и изучает операции, посредством которых перцептивные стимулы объединяются для получения менталь</w:t>
      </w:r>
      <w:r>
        <w:rPr>
          <w:rFonts w:ascii="Times New Roman" w:eastAsia="Times New Roman" w:hAnsi="Times New Roman" w:cs="Times New Roman"/>
          <w:sz w:val="26"/>
        </w:rPr>
        <w:t>ных функций более высокого уровня. Эти принципы легко переносятся на воплощенную роботизированную платформу, которая может реализовать те же функции, несмотря на разницу в базовой структуре (мозг против компьютера). Это достигается путем разработки так наз</w:t>
      </w:r>
      <w:r>
        <w:rPr>
          <w:rFonts w:ascii="Times New Roman" w:eastAsia="Times New Roman" w:hAnsi="Times New Roman" w:cs="Times New Roman"/>
          <w:sz w:val="26"/>
        </w:rPr>
        <w:t xml:space="preserve">ываемой "искусственной когнитивной архитектуры": вычислительной системы, которая воплощает одну или несколько когнитивных теорий с использованием методологии искусственного интеллекта в попытке смоделировать человеческий разум. </w:t>
      </w:r>
    </w:p>
    <w:p w:rsidR="0052701D" w:rsidRDefault="00D40929">
      <w:pPr>
        <w:spacing w:after="4" w:line="249" w:lineRule="auto"/>
        <w:ind w:left="-15" w:firstLine="557"/>
        <w:jc w:val="both"/>
      </w:pPr>
      <w:r>
        <w:rPr>
          <w:rFonts w:ascii="Times New Roman" w:eastAsia="Times New Roman" w:hAnsi="Times New Roman" w:cs="Times New Roman"/>
          <w:sz w:val="26"/>
        </w:rPr>
        <w:t>Успех человеческого вида об</w:t>
      </w:r>
      <w:r>
        <w:rPr>
          <w:rFonts w:ascii="Times New Roman" w:eastAsia="Times New Roman" w:hAnsi="Times New Roman" w:cs="Times New Roman"/>
          <w:sz w:val="26"/>
        </w:rPr>
        <w:t>ъясняется его способностью сотрудничать с другими людьми для достижения недоступных для других целей. Этот инстинкт к сотрудничеству разделяют и наши близкие родственники в животном мире, которые, однако, используют его как средство достижения цели, а не к</w:t>
      </w:r>
      <w:r>
        <w:rPr>
          <w:rFonts w:ascii="Times New Roman" w:eastAsia="Times New Roman" w:hAnsi="Times New Roman" w:cs="Times New Roman"/>
          <w:sz w:val="26"/>
        </w:rPr>
        <w:t xml:space="preserve">ак внутреннюю мотивацию для ее достижения. Учитывая важность сотрудничества для человека, кажется естественным попытаться перенести этот навык на автономные интеллектуальные машины, которые мы разрабатываем в качестве повседневных компаньонов [4]. </w:t>
      </w:r>
    </w:p>
    <w:p w:rsidR="0052701D" w:rsidRDefault="00D40929">
      <w:pPr>
        <w:spacing w:after="0" w:line="270" w:lineRule="auto"/>
        <w:ind w:right="13" w:firstLine="567"/>
      </w:pPr>
      <w:r>
        <w:rPr>
          <w:rFonts w:ascii="Times New Roman" w:eastAsia="Times New Roman" w:hAnsi="Times New Roman" w:cs="Times New Roman"/>
          <w:b/>
          <w:sz w:val="26"/>
        </w:rPr>
        <w:t>Заключе</w:t>
      </w:r>
      <w:r>
        <w:rPr>
          <w:rFonts w:ascii="Times New Roman" w:eastAsia="Times New Roman" w:hAnsi="Times New Roman" w:cs="Times New Roman"/>
          <w:b/>
          <w:sz w:val="26"/>
        </w:rPr>
        <w:t xml:space="preserve">ние. </w:t>
      </w:r>
      <w:r>
        <w:rPr>
          <w:rFonts w:ascii="Times New Roman" w:eastAsia="Times New Roman" w:hAnsi="Times New Roman" w:cs="Times New Roman"/>
          <w:sz w:val="26"/>
        </w:rPr>
        <w:t>В следствии проделанных изучений представлена вероятность использования нынешних способов управления с целью постановления проблем взаимодействия человек - машина равно как на уровне математического моделирования, как и при их реализации на реальном у</w:t>
      </w:r>
      <w:r>
        <w:rPr>
          <w:rFonts w:ascii="Times New Roman" w:eastAsia="Times New Roman" w:hAnsi="Times New Roman" w:cs="Times New Roman"/>
          <w:sz w:val="26"/>
        </w:rPr>
        <w:t xml:space="preserve">ровне. </w:t>
      </w:r>
      <w:r>
        <w:rPr>
          <w:rFonts w:ascii="Times New Roman" w:eastAsia="Times New Roman" w:hAnsi="Times New Roman" w:cs="Times New Roman"/>
          <w:b/>
          <w:sz w:val="28"/>
        </w:rPr>
        <w:t>Источники</w:t>
      </w:r>
      <w:r>
        <w:rPr>
          <w:rFonts w:ascii="Times New Roman" w:eastAsia="Times New Roman" w:hAnsi="Times New Roman" w:cs="Times New Roman"/>
          <w:sz w:val="28"/>
        </w:rPr>
        <w:t xml:space="preserve"> </w:t>
      </w:r>
    </w:p>
    <w:p w:rsidR="0052701D" w:rsidRDefault="00D40929">
      <w:pPr>
        <w:numPr>
          <w:ilvl w:val="0"/>
          <w:numId w:val="75"/>
        </w:numPr>
        <w:spacing w:after="29" w:line="248" w:lineRule="auto"/>
        <w:ind w:right="14" w:firstLine="567"/>
        <w:jc w:val="both"/>
      </w:pPr>
      <w:r>
        <w:rPr>
          <w:rFonts w:ascii="Times New Roman" w:eastAsia="Times New Roman" w:hAnsi="Times New Roman" w:cs="Times New Roman"/>
          <w:sz w:val="24"/>
        </w:rPr>
        <w:t xml:space="preserve">Астапкович А.М. Виртуальный мобильный робот SOFA-2009 для  исследований в области вычислительной робототехники URL: http://guap.ru/guap/skb/sofa2019_rus.doc </w:t>
      </w:r>
    </w:p>
    <w:p w:rsidR="0052701D" w:rsidRDefault="00D40929">
      <w:pPr>
        <w:numPr>
          <w:ilvl w:val="0"/>
          <w:numId w:val="75"/>
        </w:numPr>
        <w:spacing w:after="0" w:line="248" w:lineRule="auto"/>
        <w:ind w:right="14" w:firstLine="567"/>
        <w:jc w:val="both"/>
      </w:pPr>
      <w:r>
        <w:rPr>
          <w:rFonts w:ascii="Times New Roman" w:eastAsia="Times New Roman" w:hAnsi="Times New Roman" w:cs="Times New Roman"/>
          <w:sz w:val="24"/>
        </w:rPr>
        <w:t>Samuele Vinanzi, Christian Goerick, and Angelo Cangelosi. Mindreading for robots: Predicting intentions via dynamical clustering of human postures. In 2019 Joint IEEE 9th International Conference on Development and Learning and Epigenetic Robotics (ICDLEpi</w:t>
      </w:r>
      <w:r>
        <w:rPr>
          <w:rFonts w:ascii="Times New Roman" w:eastAsia="Times New Roman" w:hAnsi="Times New Roman" w:cs="Times New Roman"/>
          <w:sz w:val="24"/>
        </w:rPr>
        <w:t xml:space="preserve">Rob), pages 272–277, 2019. </w:t>
      </w:r>
    </w:p>
    <w:p w:rsidR="0052701D" w:rsidRDefault="00D40929">
      <w:pPr>
        <w:numPr>
          <w:ilvl w:val="0"/>
          <w:numId w:val="75"/>
        </w:numPr>
        <w:spacing w:after="29" w:line="248" w:lineRule="auto"/>
        <w:ind w:right="14" w:firstLine="567"/>
        <w:jc w:val="both"/>
      </w:pPr>
      <w:r>
        <w:rPr>
          <w:rFonts w:ascii="Times New Roman" w:eastAsia="Times New Roman" w:hAnsi="Times New Roman" w:cs="Times New Roman"/>
          <w:sz w:val="24"/>
        </w:rPr>
        <w:t xml:space="preserve">Isidori A. Nonlinear Control Systems, 3nd Ed. N.Y.: Springer Verlag, 2021. 282 p. </w:t>
      </w:r>
    </w:p>
    <w:p w:rsidR="0052701D" w:rsidRDefault="00D40929">
      <w:pPr>
        <w:numPr>
          <w:ilvl w:val="0"/>
          <w:numId w:val="75"/>
        </w:numPr>
        <w:spacing w:after="0" w:line="248" w:lineRule="auto"/>
        <w:ind w:right="14" w:firstLine="567"/>
        <w:jc w:val="both"/>
      </w:pPr>
      <w:r>
        <w:rPr>
          <w:rFonts w:ascii="Times New Roman" w:eastAsia="Times New Roman" w:hAnsi="Times New Roman" w:cs="Times New Roman"/>
          <w:sz w:val="24"/>
        </w:rPr>
        <w:t xml:space="preserve">Wu Wei. Lyapunov-based design procedures for a state-delay chemical process // 14th World Congress of IFAC, 1999. – N-7A-05. </w:t>
      </w:r>
    </w:p>
    <w:p w:rsidR="0052701D" w:rsidRDefault="00D40929">
      <w:pPr>
        <w:spacing w:after="0"/>
      </w:pPr>
      <w:r>
        <w:rPr>
          <w:rFonts w:ascii="Times New Roman" w:eastAsia="Times New Roman" w:hAnsi="Times New Roman" w:cs="Times New Roman"/>
          <w:sz w:val="24"/>
        </w:rPr>
        <w:t xml:space="preserve"> </w:t>
      </w:r>
    </w:p>
    <w:p w:rsidR="0052701D" w:rsidRDefault="00D40929">
      <w:pPr>
        <w:spacing w:after="0"/>
      </w:pPr>
      <w:r>
        <w:rPr>
          <w:rFonts w:ascii="Times New Roman" w:eastAsia="Times New Roman" w:hAnsi="Times New Roman" w:cs="Times New Roman"/>
          <w:sz w:val="24"/>
        </w:rPr>
        <w:t xml:space="preserve"> </w:t>
      </w:r>
    </w:p>
    <w:p w:rsidR="0052701D" w:rsidRDefault="00D40929">
      <w:pPr>
        <w:spacing w:after="106"/>
      </w:pPr>
      <w:r>
        <w:rPr>
          <w:rFonts w:ascii="Times New Roman" w:eastAsia="Times New Roman" w:hAnsi="Times New Roman" w:cs="Times New Roman"/>
          <w:sz w:val="24"/>
        </w:rPr>
        <w:t xml:space="preserve"> </w:t>
      </w:r>
    </w:p>
    <w:p w:rsidR="0052701D" w:rsidRDefault="00D40929">
      <w:pPr>
        <w:spacing w:after="71" w:line="248" w:lineRule="auto"/>
        <w:ind w:left="9" w:right="14"/>
        <w:jc w:val="both"/>
      </w:pPr>
      <w:r>
        <w:rPr>
          <w:rFonts w:ascii="Times New Roman" w:eastAsia="Times New Roman" w:hAnsi="Times New Roman" w:cs="Times New Roman"/>
          <w:sz w:val="24"/>
        </w:rPr>
        <w:t xml:space="preserve">УДК 629.11: 004.94 </w:t>
      </w:r>
    </w:p>
    <w:p w:rsidR="0052701D" w:rsidRDefault="00D40929">
      <w:pPr>
        <w:spacing w:after="114"/>
      </w:pPr>
      <w:r>
        <w:rPr>
          <w:rFonts w:ascii="Times New Roman" w:eastAsia="Times New Roman" w:hAnsi="Times New Roman" w:cs="Times New Roman"/>
          <w:sz w:val="24"/>
        </w:rPr>
        <w:t xml:space="preserve"> </w:t>
      </w:r>
    </w:p>
    <w:p w:rsidR="0052701D" w:rsidRDefault="00D40929">
      <w:pPr>
        <w:pStyle w:val="1"/>
        <w:spacing w:line="251" w:lineRule="auto"/>
        <w:ind w:left="1249" w:right="0" w:firstLine="154"/>
        <w:jc w:val="left"/>
      </w:pPr>
      <w:r>
        <w:lastRenderedPageBreak/>
        <w:t xml:space="preserve">РАЗВИТИЕ СЕТИ ЗАРЯДНЫХ СТАНЦИЙ ДЛЯ </w:t>
      </w:r>
    </w:p>
    <w:p w:rsidR="0052701D" w:rsidRDefault="00D40929">
      <w:pPr>
        <w:spacing w:after="5" w:line="251" w:lineRule="auto"/>
        <w:ind w:left="1249" w:firstLine="154"/>
      </w:pPr>
      <w:r>
        <w:rPr>
          <w:rFonts w:ascii="Times New Roman" w:eastAsia="Times New Roman" w:hAnsi="Times New Roman" w:cs="Times New Roman"/>
          <w:b/>
          <w:sz w:val="28"/>
        </w:rPr>
        <w:t xml:space="preserve">ЭЛЕКТРОТРАНСПОРТА С ИСПОЛЬЗОВАНИЕМ ИМИТАЦИОННОГО МОДЕЛИРОВАНИЯ </w:t>
      </w:r>
    </w:p>
    <w:p w:rsidR="0052701D" w:rsidRDefault="00D40929">
      <w:pPr>
        <w:spacing w:after="105"/>
        <w:ind w:left="55"/>
        <w:jc w:val="center"/>
      </w:pPr>
      <w:r>
        <w:rPr>
          <w:rFonts w:ascii="Times New Roman" w:eastAsia="Times New Roman" w:hAnsi="Times New Roman" w:cs="Times New Roman"/>
          <w:sz w:val="24"/>
        </w:rPr>
        <w:t xml:space="preserve"> </w:t>
      </w:r>
    </w:p>
    <w:p w:rsidR="0052701D" w:rsidRDefault="00D40929">
      <w:pPr>
        <w:pStyle w:val="1"/>
        <w:spacing w:after="118" w:line="248" w:lineRule="auto"/>
        <w:ind w:left="713" w:right="713" w:hanging="5"/>
      </w:pPr>
      <w:r>
        <w:rPr>
          <w:b w:val="0"/>
          <w:sz w:val="24"/>
        </w:rPr>
        <w:t xml:space="preserve">Майорова Екатерина Сергеевна, Беляев Эдуард Ирекович </w:t>
      </w:r>
    </w:p>
    <w:p w:rsidR="0052701D" w:rsidRDefault="00D40929">
      <w:pPr>
        <w:spacing w:after="14" w:line="311" w:lineRule="auto"/>
        <w:ind w:left="1355" w:right="1299" w:hanging="5"/>
        <w:jc w:val="center"/>
      </w:pPr>
      <w:r>
        <w:rPr>
          <w:rFonts w:ascii="Times New Roman" w:eastAsia="Times New Roman" w:hAnsi="Times New Roman" w:cs="Times New Roman"/>
          <w:sz w:val="24"/>
        </w:rPr>
        <w:t xml:space="preserve">ФГБОУ ВО «КГЭУ», г. Казань, Россия catmichaelis@yandex.ru </w:t>
      </w:r>
    </w:p>
    <w:p w:rsidR="0052701D" w:rsidRDefault="00D40929">
      <w:pPr>
        <w:spacing w:after="107"/>
        <w:ind w:left="55"/>
        <w:jc w:val="center"/>
      </w:pPr>
      <w:r>
        <w:rPr>
          <w:rFonts w:ascii="Times New Roman" w:eastAsia="Times New Roman" w:hAnsi="Times New Roman" w:cs="Times New Roman"/>
          <w:sz w:val="24"/>
        </w:rPr>
        <w:t xml:space="preserve"> </w:t>
      </w:r>
    </w:p>
    <w:p w:rsidR="0052701D" w:rsidRDefault="00D40929">
      <w:pPr>
        <w:spacing w:after="29" w:line="324" w:lineRule="auto"/>
        <w:ind w:left="9" w:right="14" w:firstLine="711"/>
        <w:jc w:val="both"/>
      </w:pPr>
      <w:r>
        <w:rPr>
          <w:rFonts w:ascii="Times New Roman" w:eastAsia="Times New Roman" w:hAnsi="Times New Roman" w:cs="Times New Roman"/>
          <w:b/>
          <w:sz w:val="24"/>
        </w:rPr>
        <w:t>Аннотация:</w:t>
      </w:r>
      <w:r>
        <w:rPr>
          <w:rFonts w:ascii="Times New Roman" w:eastAsia="Times New Roman" w:hAnsi="Times New Roman" w:cs="Times New Roman"/>
          <w:sz w:val="24"/>
        </w:rPr>
        <w:t xml:space="preserve"> </w:t>
      </w:r>
      <w:r>
        <w:rPr>
          <w:rFonts w:ascii="Times New Roman" w:eastAsia="Times New Roman" w:hAnsi="Times New Roman" w:cs="Times New Roman"/>
          <w:sz w:val="24"/>
        </w:rPr>
        <w:t>В связи с переходом на электротранспорт в современном мире необходимо решать сопутствующие задачи, такие как оптимальное размещение станций для зарядки транспортных средств и их влияние на общую электрическую сеть города. В статье описывается подход и инст</w:t>
      </w:r>
      <w:r>
        <w:rPr>
          <w:rFonts w:ascii="Times New Roman" w:eastAsia="Times New Roman" w:hAnsi="Times New Roman" w:cs="Times New Roman"/>
          <w:sz w:val="24"/>
        </w:rPr>
        <w:t xml:space="preserve">румент для решения данной проблемы. </w:t>
      </w:r>
    </w:p>
    <w:p w:rsidR="0052701D" w:rsidRDefault="00D40929">
      <w:pPr>
        <w:spacing w:after="0" w:line="351" w:lineRule="auto"/>
        <w:ind w:left="9" w:right="14" w:firstLine="711"/>
        <w:jc w:val="both"/>
      </w:pPr>
      <w:r>
        <w:rPr>
          <w:rFonts w:ascii="Times New Roman" w:eastAsia="Times New Roman" w:hAnsi="Times New Roman" w:cs="Times New Roman"/>
          <w:b/>
          <w:sz w:val="24"/>
        </w:rPr>
        <w:t>Ключевые слова:</w:t>
      </w:r>
      <w:r>
        <w:rPr>
          <w:rFonts w:ascii="Times New Roman" w:eastAsia="Times New Roman" w:hAnsi="Times New Roman" w:cs="Times New Roman"/>
          <w:sz w:val="24"/>
        </w:rPr>
        <w:t xml:space="preserve"> электромобиль, зарядная станция, распределительная сеть, имитационное моделирование, системная динамика. </w:t>
      </w:r>
    </w:p>
    <w:p w:rsidR="0052701D" w:rsidRDefault="00D40929">
      <w:pPr>
        <w:spacing w:after="55"/>
        <w:ind w:left="711"/>
      </w:pPr>
      <w:r>
        <w:rPr>
          <w:rFonts w:ascii="Times New Roman" w:eastAsia="Times New Roman" w:hAnsi="Times New Roman" w:cs="Times New Roman"/>
          <w:sz w:val="24"/>
        </w:rPr>
        <w:t xml:space="preserve"> </w:t>
      </w:r>
    </w:p>
    <w:p w:rsidR="0052701D" w:rsidRDefault="00D40929">
      <w:pPr>
        <w:spacing w:after="5" w:line="271" w:lineRule="auto"/>
        <w:ind w:left="173" w:right="163" w:hanging="10"/>
        <w:jc w:val="center"/>
      </w:pPr>
      <w:r>
        <w:rPr>
          <w:rFonts w:ascii="Times New Roman" w:eastAsia="Times New Roman" w:hAnsi="Times New Roman" w:cs="Times New Roman"/>
          <w:b/>
          <w:sz w:val="28"/>
        </w:rPr>
        <w:t xml:space="preserve">DEVELOPMENT OF A NETWORK OF CHARGING STATIONS FOR ELECTRIC TRANSPORT USING SIMULATION MODELING </w:t>
      </w:r>
    </w:p>
    <w:p w:rsidR="0052701D" w:rsidRDefault="00D40929">
      <w:pPr>
        <w:spacing w:after="60"/>
        <w:ind w:left="711"/>
      </w:pPr>
      <w:r>
        <w:rPr>
          <w:rFonts w:ascii="Times New Roman" w:eastAsia="Times New Roman" w:hAnsi="Times New Roman" w:cs="Times New Roman"/>
          <w:sz w:val="24"/>
        </w:rPr>
        <w:t xml:space="preserve"> </w:t>
      </w:r>
    </w:p>
    <w:p w:rsidR="0052701D" w:rsidRDefault="00D40929">
      <w:pPr>
        <w:spacing w:after="71" w:line="248" w:lineRule="auto"/>
        <w:ind w:left="713" w:right="715" w:hanging="5"/>
        <w:jc w:val="center"/>
      </w:pPr>
      <w:r>
        <w:rPr>
          <w:rFonts w:ascii="Times New Roman" w:eastAsia="Times New Roman" w:hAnsi="Times New Roman" w:cs="Times New Roman"/>
          <w:sz w:val="24"/>
        </w:rPr>
        <w:t xml:space="preserve">Ekaterina Sergeevna Mayorova, Eduard Irekovich Belyaev </w:t>
      </w:r>
    </w:p>
    <w:p w:rsidR="0052701D" w:rsidRDefault="00D40929">
      <w:pPr>
        <w:spacing w:after="14" w:line="311" w:lineRule="auto"/>
        <w:ind w:left="2229" w:right="2173" w:hanging="5"/>
        <w:jc w:val="center"/>
      </w:pPr>
      <w:r>
        <w:rPr>
          <w:rFonts w:ascii="Times New Roman" w:eastAsia="Times New Roman" w:hAnsi="Times New Roman" w:cs="Times New Roman"/>
          <w:sz w:val="24"/>
        </w:rPr>
        <w:t xml:space="preserve">KSPEU, Kazan, Russia catmichaelis@yandex.ru </w:t>
      </w:r>
      <w:r>
        <w:rPr>
          <w:rFonts w:ascii="Times New Roman" w:eastAsia="Times New Roman" w:hAnsi="Times New Roman" w:cs="Times New Roman"/>
          <w:b/>
          <w:sz w:val="24"/>
        </w:rPr>
        <w:t xml:space="preserve">Abstract: </w:t>
      </w:r>
      <w:r>
        <w:rPr>
          <w:rFonts w:ascii="Times New Roman" w:eastAsia="Times New Roman" w:hAnsi="Times New Roman" w:cs="Times New Roman"/>
          <w:sz w:val="24"/>
        </w:rPr>
        <w:t>In connection with the transition to electric transport in the modern world, it is necessary to solve related problems, such as the optimal dis</w:t>
      </w:r>
      <w:r>
        <w:rPr>
          <w:rFonts w:ascii="Times New Roman" w:eastAsia="Times New Roman" w:hAnsi="Times New Roman" w:cs="Times New Roman"/>
          <w:sz w:val="24"/>
        </w:rPr>
        <w:t xml:space="preserve">tribution of stations for charging vehicles and their impact on the overall electrical network of the city. The article describes an approach and a tool for resolving this issue. </w:t>
      </w:r>
    </w:p>
    <w:p w:rsidR="0052701D" w:rsidRDefault="00D40929">
      <w:pPr>
        <w:spacing w:after="0" w:line="311" w:lineRule="auto"/>
        <w:ind w:left="9" w:right="14" w:firstLine="711"/>
        <w:jc w:val="both"/>
      </w:pPr>
      <w:r>
        <w:rPr>
          <w:rFonts w:ascii="Times New Roman" w:eastAsia="Times New Roman" w:hAnsi="Times New Roman" w:cs="Times New Roman"/>
          <w:b/>
          <w:sz w:val="24"/>
        </w:rPr>
        <w:t>Keywords:</w:t>
      </w:r>
      <w:r>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electric car, charging station, distribution network, simulation modeling, system dynamics. </w:t>
      </w:r>
    </w:p>
    <w:p w:rsidR="0052701D" w:rsidRDefault="00D40929">
      <w:pPr>
        <w:spacing w:after="50"/>
        <w:ind w:left="711"/>
      </w:pPr>
      <w:r>
        <w:rPr>
          <w:rFonts w:ascii="Times New Roman" w:eastAsia="Times New Roman" w:hAnsi="Times New Roman" w:cs="Times New Roman"/>
          <w:sz w:val="24"/>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Одной из важнейших задач в мире современного общества является реализация проекта декарбонизации транспорта, который включает в себя такой аспект, как развитие р</w:t>
      </w:r>
      <w:r>
        <w:rPr>
          <w:rFonts w:ascii="Times New Roman" w:eastAsia="Times New Roman" w:hAnsi="Times New Roman" w:cs="Times New Roman"/>
          <w:sz w:val="28"/>
        </w:rPr>
        <w:t>ынка электромобилей, что в свою очередь поднимает вопрос о необходимости создания соответствующей инфраструктуры. Мобильность зарядной инфраструктуры для электротранспорта является важной проблемой, влияющей на переход современного общества к электротрансп</w:t>
      </w:r>
      <w:r>
        <w:rPr>
          <w:rFonts w:ascii="Times New Roman" w:eastAsia="Times New Roman" w:hAnsi="Times New Roman" w:cs="Times New Roman"/>
          <w:sz w:val="28"/>
        </w:rPr>
        <w:t xml:space="preserve">орту [1]. </w:t>
      </w:r>
    </w:p>
    <w:p w:rsidR="0052701D" w:rsidRDefault="00D40929">
      <w:pPr>
        <w:spacing w:after="5" w:line="271" w:lineRule="auto"/>
        <w:ind w:left="9" w:right="64" w:firstLine="711"/>
        <w:jc w:val="both"/>
      </w:pPr>
      <w:r>
        <w:rPr>
          <w:rFonts w:ascii="Times New Roman" w:eastAsia="Times New Roman" w:hAnsi="Times New Roman" w:cs="Times New Roman"/>
          <w:sz w:val="28"/>
        </w:rPr>
        <w:lastRenderedPageBreak/>
        <w:t>Согласно информации из проекта государственной программы «Развитие зарядной инфраструктуры для транспортных средств с электродвигателями в Республике Татарстан» планируется обеспечение не менее 183 зарядных станций для транспортных средств с эле</w:t>
      </w:r>
      <w:r>
        <w:rPr>
          <w:rFonts w:ascii="Times New Roman" w:eastAsia="Times New Roman" w:hAnsi="Times New Roman" w:cs="Times New Roman"/>
          <w:sz w:val="28"/>
        </w:rPr>
        <w:t>ктродвигателями к 2024 году [2]. Реализация данной стратегии, как минимум, предполагает решение вопроса организации парка электрических транспортных средств и оптимального расположения зарядных станций с учётом их влияния на электрические распределительные</w:t>
      </w:r>
      <w:r>
        <w:rPr>
          <w:rFonts w:ascii="Times New Roman" w:eastAsia="Times New Roman" w:hAnsi="Times New Roman" w:cs="Times New Roman"/>
          <w:sz w:val="28"/>
        </w:rPr>
        <w:t xml:space="preserve"> сети. При этом формирование зарядной инфраструктуры проводится с учётом разрабатываемых научно-обоснованных подходов, которые являются результатом анализа социальных факторов, характеризующих владельцев электромобилей, особенностей планирования территории</w:t>
      </w:r>
      <w:r>
        <w:rPr>
          <w:rFonts w:ascii="Times New Roman" w:eastAsia="Times New Roman" w:hAnsi="Times New Roman" w:cs="Times New Roman"/>
          <w:sz w:val="28"/>
        </w:rPr>
        <w:t xml:space="preserve"> городов и другое </w:t>
      </w:r>
    </w:p>
    <w:p w:rsidR="0052701D" w:rsidRDefault="00D40929">
      <w:pPr>
        <w:spacing w:after="5" w:line="271" w:lineRule="auto"/>
        <w:ind w:left="9" w:right="64"/>
        <w:jc w:val="both"/>
      </w:pPr>
      <w:r>
        <w:rPr>
          <w:rFonts w:ascii="Times New Roman" w:eastAsia="Times New Roman" w:hAnsi="Times New Roman" w:cs="Times New Roman"/>
          <w:sz w:val="28"/>
        </w:rPr>
        <w:t xml:space="preserve">[3]. </w:t>
      </w:r>
    </w:p>
    <w:p w:rsidR="0052701D" w:rsidRDefault="00D40929">
      <w:pPr>
        <w:spacing w:after="5" w:line="271" w:lineRule="auto"/>
        <w:ind w:left="9" w:right="2" w:firstLine="711"/>
        <w:jc w:val="both"/>
      </w:pPr>
      <w:r>
        <w:rPr>
          <w:rFonts w:ascii="Times New Roman" w:eastAsia="Times New Roman" w:hAnsi="Times New Roman" w:cs="Times New Roman"/>
          <w:sz w:val="28"/>
        </w:rPr>
        <w:t>Проблема выбора местоположения зарядной станции для электромобилей заключается в следующем: необходимо определить, как минимизировать расстояние, которое необходимо преодолеть электромобилям до зарядной станции, исходя из имеющегос</w:t>
      </w:r>
      <w:r>
        <w:rPr>
          <w:rFonts w:ascii="Times New Roman" w:eastAsia="Times New Roman" w:hAnsi="Times New Roman" w:cs="Times New Roman"/>
          <w:sz w:val="28"/>
        </w:rPr>
        <w:t>я процента заряда, ёмкости аккумулятора, положения зарядной станции, положения водителя, а также приоритета и спроса предлагаемой точки зарядной станции. Одним из критериев разумного местоположения является то, что существует незначительная разница в часто</w:t>
      </w:r>
      <w:r>
        <w:rPr>
          <w:rFonts w:ascii="Times New Roman" w:eastAsia="Times New Roman" w:hAnsi="Times New Roman" w:cs="Times New Roman"/>
          <w:sz w:val="28"/>
        </w:rPr>
        <w:t xml:space="preserve">тах доступа к различным зарядным станциям, что означает высокий уровень совместного использования заряда. </w:t>
      </w:r>
    </w:p>
    <w:p w:rsidR="0052701D" w:rsidRDefault="00D40929">
      <w:pPr>
        <w:spacing w:after="49" w:line="271" w:lineRule="auto"/>
        <w:ind w:left="9" w:right="64" w:firstLine="711"/>
        <w:jc w:val="both"/>
      </w:pPr>
      <w:r>
        <w:rPr>
          <w:rFonts w:ascii="Times New Roman" w:eastAsia="Times New Roman" w:hAnsi="Times New Roman" w:cs="Times New Roman"/>
          <w:sz w:val="28"/>
        </w:rPr>
        <w:t>Для решения задачи по увеличению количества точек электрических зарядных станций используются различные системы моделирования, в частности использова</w:t>
      </w:r>
      <w:r>
        <w:rPr>
          <w:rFonts w:ascii="Times New Roman" w:eastAsia="Times New Roman" w:hAnsi="Times New Roman" w:cs="Times New Roman"/>
          <w:sz w:val="28"/>
        </w:rPr>
        <w:t xml:space="preserve">ние имитационного моделирования по отношению к транспортным процессам города и распространению электромобилей по городу. Существует систематическая обратная связь между электромобилями и зарядными конструкциями, которую можно рассмотреть с помощью подхода </w:t>
      </w:r>
      <w:r>
        <w:rPr>
          <w:rFonts w:ascii="Times New Roman" w:eastAsia="Times New Roman" w:hAnsi="Times New Roman" w:cs="Times New Roman"/>
          <w:sz w:val="28"/>
        </w:rPr>
        <w:t xml:space="preserve">системной динамики.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Системная динамика – это подход имитационного моделирования, своими методами и инструментами позволяющий понять структуру и динамику сложных систем [4]. Для реализации задачи можно использовать среду AnyLogic, так как это единственный </w:t>
      </w:r>
      <w:r>
        <w:rPr>
          <w:rFonts w:ascii="Times New Roman" w:eastAsia="Times New Roman" w:hAnsi="Times New Roman" w:cs="Times New Roman"/>
          <w:sz w:val="28"/>
        </w:rPr>
        <w:t>инструмент имитационного моделирования, который позволяет сочетать агентный и дискретнособытийный подходы с системно-динамическим подходом. Также AnyLogic содержит различные библиотеки, одной из которых является библиотека дорожного движения, с помощью кот</w:t>
      </w:r>
      <w:r>
        <w:rPr>
          <w:rFonts w:ascii="Times New Roman" w:eastAsia="Times New Roman" w:hAnsi="Times New Roman" w:cs="Times New Roman"/>
          <w:sz w:val="28"/>
        </w:rPr>
        <w:t xml:space="preserve">орой можно </w:t>
      </w:r>
      <w:r>
        <w:rPr>
          <w:rFonts w:ascii="Times New Roman" w:eastAsia="Times New Roman" w:hAnsi="Times New Roman" w:cs="Times New Roman"/>
          <w:sz w:val="28"/>
        </w:rPr>
        <w:lastRenderedPageBreak/>
        <w:t xml:space="preserve">построить развязку, парковки и другие элементы дороги любой сложности (см. рисунок) [5]. </w:t>
      </w:r>
    </w:p>
    <w:p w:rsidR="0052701D" w:rsidRDefault="00D40929">
      <w:pPr>
        <w:spacing w:after="0"/>
        <w:ind w:left="711"/>
      </w:pPr>
      <w:r>
        <w:rPr>
          <w:rFonts w:ascii="Times New Roman" w:eastAsia="Times New Roman" w:hAnsi="Times New Roman" w:cs="Times New Roman"/>
          <w:sz w:val="24"/>
        </w:rPr>
        <w:t xml:space="preserve"> </w:t>
      </w:r>
    </w:p>
    <w:p w:rsidR="0052701D" w:rsidRDefault="00D40929">
      <w:pPr>
        <w:spacing w:after="2"/>
        <w:ind w:right="1208"/>
        <w:jc w:val="right"/>
      </w:pPr>
      <w:r>
        <w:rPr>
          <w:noProof/>
        </w:rPr>
        <w:drawing>
          <wp:inline distT="0" distB="0" distL="0" distR="0">
            <wp:extent cx="4160520" cy="2441448"/>
            <wp:effectExtent l="0" t="0" r="0" b="0"/>
            <wp:docPr id="44018" name="Picture 44018"/>
            <wp:cNvGraphicFramePr/>
            <a:graphic xmlns:a="http://schemas.openxmlformats.org/drawingml/2006/main">
              <a:graphicData uri="http://schemas.openxmlformats.org/drawingml/2006/picture">
                <pic:pic xmlns:pic="http://schemas.openxmlformats.org/drawingml/2006/picture">
                  <pic:nvPicPr>
                    <pic:cNvPr id="44018" name="Picture 44018"/>
                    <pic:cNvPicPr/>
                  </pic:nvPicPr>
                  <pic:blipFill>
                    <a:blip r:embed="rId624"/>
                    <a:stretch>
                      <a:fillRect/>
                    </a:stretch>
                  </pic:blipFill>
                  <pic:spPr>
                    <a:xfrm>
                      <a:off x="0" y="0"/>
                      <a:ext cx="4160520" cy="2441448"/>
                    </a:xfrm>
                    <a:prstGeom prst="rect">
                      <a:avLst/>
                    </a:prstGeom>
                  </pic:spPr>
                </pic:pic>
              </a:graphicData>
            </a:graphic>
          </wp:inline>
        </w:drawing>
      </w:r>
      <w:r>
        <w:rPr>
          <w:rFonts w:ascii="Times New Roman" w:eastAsia="Times New Roman" w:hAnsi="Times New Roman" w:cs="Times New Roman"/>
          <w:sz w:val="24"/>
        </w:rPr>
        <w:t xml:space="preserve"> </w:t>
      </w:r>
    </w:p>
    <w:p w:rsidR="0052701D" w:rsidRDefault="00D40929">
      <w:pPr>
        <w:spacing w:after="106"/>
        <w:ind w:left="55"/>
        <w:jc w:val="center"/>
      </w:pPr>
      <w:r>
        <w:rPr>
          <w:rFonts w:ascii="Times New Roman" w:eastAsia="Times New Roman" w:hAnsi="Times New Roman" w:cs="Times New Roman"/>
          <w:sz w:val="24"/>
        </w:rPr>
        <w:t xml:space="preserve"> </w:t>
      </w:r>
    </w:p>
    <w:p w:rsidR="0052701D" w:rsidRDefault="00D40929">
      <w:pPr>
        <w:spacing w:after="72" w:line="248" w:lineRule="auto"/>
        <w:ind w:left="713" w:right="718" w:hanging="5"/>
        <w:jc w:val="center"/>
      </w:pPr>
      <w:r>
        <w:rPr>
          <w:rFonts w:ascii="Times New Roman" w:eastAsia="Times New Roman" w:hAnsi="Times New Roman" w:cs="Times New Roman"/>
          <w:sz w:val="24"/>
        </w:rPr>
        <w:t xml:space="preserve">Потоковая диаграмма дорожной сети </w:t>
      </w:r>
    </w:p>
    <w:p w:rsidR="0052701D" w:rsidRDefault="00D40929">
      <w:pPr>
        <w:spacing w:after="50"/>
        <w:ind w:left="711"/>
      </w:pPr>
      <w:r>
        <w:rPr>
          <w:rFonts w:ascii="Times New Roman" w:eastAsia="Times New Roman" w:hAnsi="Times New Roman" w:cs="Times New Roman"/>
          <w:sz w:val="24"/>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Преимуществом модели системной динамики является возможность ее постоянной калибровки и настройки в результате расширения базы практических наблюдений за реальным развитием системы [6]. </w:t>
      </w:r>
    </w:p>
    <w:p w:rsidR="0052701D" w:rsidRDefault="00D40929">
      <w:pPr>
        <w:spacing w:after="5" w:line="271" w:lineRule="auto"/>
        <w:ind w:left="9" w:right="64" w:firstLine="711"/>
        <w:jc w:val="both"/>
      </w:pPr>
      <w:r>
        <w:rPr>
          <w:rFonts w:ascii="Times New Roman" w:eastAsia="Times New Roman" w:hAnsi="Times New Roman" w:cs="Times New Roman"/>
          <w:sz w:val="28"/>
        </w:rPr>
        <w:t>Также можно выделить три типа агентов в модели: агенты зарядных станц</w:t>
      </w:r>
      <w:r>
        <w:rPr>
          <w:rFonts w:ascii="Times New Roman" w:eastAsia="Times New Roman" w:hAnsi="Times New Roman" w:cs="Times New Roman"/>
          <w:sz w:val="28"/>
        </w:rPr>
        <w:t xml:space="preserve">ий, агенты электромобилей и агенты предполагаемых зарядных станций – для анализа совместного использования местоположений зарядных станций в Anylogic.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Процесс оптимизации для поиска наилучших решений по размещению точек электрозарядных станций может быть </w:t>
      </w:r>
      <w:r>
        <w:rPr>
          <w:rFonts w:ascii="Times New Roman" w:eastAsia="Times New Roman" w:hAnsi="Times New Roman" w:cs="Times New Roman"/>
          <w:sz w:val="28"/>
        </w:rPr>
        <w:t>реализован с использованием классов Java и пользовательских экспериментов, разработанных специально для имитационной модели. AnyLogic позволяет пользователю создавать в рамках модели свои собственные Java классы с любой необходимой функциональностью [7]. П</w:t>
      </w:r>
      <w:r>
        <w:rPr>
          <w:rFonts w:ascii="Times New Roman" w:eastAsia="Times New Roman" w:hAnsi="Times New Roman" w:cs="Times New Roman"/>
          <w:sz w:val="28"/>
        </w:rPr>
        <w:t xml:space="preserve">ользовательский эксперимент – это функция Anylogic, которая позволяет разработчику модели написать собственный код Java, который может изменять, выполнять и повторять имитацию модели. </w:t>
      </w:r>
    </w:p>
    <w:p w:rsidR="0052701D" w:rsidRDefault="00D40929">
      <w:pPr>
        <w:spacing w:after="5" w:line="271" w:lineRule="auto"/>
        <w:ind w:left="9" w:right="64" w:firstLine="711"/>
        <w:jc w:val="both"/>
      </w:pPr>
      <w:r>
        <w:rPr>
          <w:rFonts w:ascii="Times New Roman" w:eastAsia="Times New Roman" w:hAnsi="Times New Roman" w:cs="Times New Roman"/>
          <w:sz w:val="28"/>
        </w:rPr>
        <w:t>Таким образом, предлагается модель на основе агентов, которая учитывает</w:t>
      </w:r>
      <w:r>
        <w:rPr>
          <w:rFonts w:ascii="Times New Roman" w:eastAsia="Times New Roman" w:hAnsi="Times New Roman" w:cs="Times New Roman"/>
          <w:sz w:val="28"/>
        </w:rPr>
        <w:t xml:space="preserve"> приоритет спроса и распределение электромобилей, пытаясь найти оптимальный план размещения. Имитационная модель может выступать в качестве системы пространственной оптимизации распространения сети зарядных станций на основе использования транспортных пото</w:t>
      </w:r>
      <w:r>
        <w:rPr>
          <w:rFonts w:ascii="Times New Roman" w:eastAsia="Times New Roman" w:hAnsi="Times New Roman" w:cs="Times New Roman"/>
          <w:sz w:val="28"/>
        </w:rPr>
        <w:t xml:space="preserve">ков и состоянии распределительных сетей. </w:t>
      </w:r>
    </w:p>
    <w:p w:rsidR="0052701D" w:rsidRDefault="00D40929">
      <w:pPr>
        <w:spacing w:after="73"/>
        <w:ind w:left="711"/>
      </w:pPr>
      <w:r>
        <w:rPr>
          <w:rFonts w:ascii="Times New Roman" w:eastAsia="Times New Roman" w:hAnsi="Times New Roman" w:cs="Times New Roman"/>
          <w:sz w:val="28"/>
        </w:rPr>
        <w:t xml:space="preserve"> </w:t>
      </w:r>
    </w:p>
    <w:p w:rsidR="0052701D" w:rsidRDefault="00D40929">
      <w:pPr>
        <w:spacing w:after="5" w:line="271" w:lineRule="auto"/>
        <w:ind w:left="173" w:right="172" w:hanging="10"/>
        <w:jc w:val="center"/>
      </w:pPr>
      <w:r>
        <w:rPr>
          <w:rFonts w:ascii="Times New Roman" w:eastAsia="Times New Roman" w:hAnsi="Times New Roman" w:cs="Times New Roman"/>
          <w:b/>
          <w:sz w:val="28"/>
        </w:rPr>
        <w:lastRenderedPageBreak/>
        <w:t xml:space="preserve">Источники </w:t>
      </w:r>
    </w:p>
    <w:p w:rsidR="0052701D" w:rsidRDefault="00D40929">
      <w:pPr>
        <w:numPr>
          <w:ilvl w:val="0"/>
          <w:numId w:val="76"/>
        </w:numPr>
        <w:spacing w:after="0" w:line="248" w:lineRule="auto"/>
        <w:ind w:right="14" w:firstLine="711"/>
        <w:jc w:val="both"/>
      </w:pPr>
      <w:r>
        <w:rPr>
          <w:rFonts w:ascii="Times New Roman" w:eastAsia="Times New Roman" w:hAnsi="Times New Roman" w:cs="Times New Roman"/>
          <w:sz w:val="24"/>
        </w:rPr>
        <w:t xml:space="preserve">Стимулирование развития электротранспорта как инструмент развития территории / Ю. С. Валеева, М.В. Калинина, Т. Г. Зорина, И. Г. Ахметова // Вестник Казанского государственного энергетического университета.  2022.  Т. 14.  № 1(53).  С. 155-172. </w:t>
      </w:r>
    </w:p>
    <w:p w:rsidR="0052701D" w:rsidRDefault="00D40929">
      <w:pPr>
        <w:numPr>
          <w:ilvl w:val="0"/>
          <w:numId w:val="76"/>
        </w:numPr>
        <w:spacing w:after="0" w:line="248" w:lineRule="auto"/>
        <w:ind w:right="14" w:firstLine="711"/>
        <w:jc w:val="both"/>
      </w:pPr>
      <w:r>
        <w:rPr>
          <w:rFonts w:ascii="Times New Roman" w:eastAsia="Times New Roman" w:hAnsi="Times New Roman" w:cs="Times New Roman"/>
          <w:sz w:val="24"/>
        </w:rPr>
        <w:t>Об утвержд</w:t>
      </w:r>
      <w:r>
        <w:rPr>
          <w:rFonts w:ascii="Times New Roman" w:eastAsia="Times New Roman" w:hAnsi="Times New Roman" w:cs="Times New Roman"/>
          <w:sz w:val="24"/>
        </w:rPr>
        <w:t xml:space="preserve">ении государственной программы «Развитие зарядной инфраструктуры для транспортных средств с электродвигателями в Республике Татарстан» [Электронный ресурс]. https://tatarstan.ru/regulation/expertise/list/mpt.htm?corrupt_id=278600 (дата обращения: </w:t>
      </w:r>
    </w:p>
    <w:p w:rsidR="0052701D" w:rsidRDefault="00D40929">
      <w:pPr>
        <w:spacing w:after="29" w:line="248" w:lineRule="auto"/>
        <w:ind w:left="9" w:right="14"/>
        <w:jc w:val="both"/>
      </w:pPr>
      <w:r>
        <w:rPr>
          <w:rFonts w:ascii="Times New Roman" w:eastAsia="Times New Roman" w:hAnsi="Times New Roman" w:cs="Times New Roman"/>
          <w:sz w:val="24"/>
        </w:rPr>
        <w:t>06.11.22</w:t>
      </w:r>
      <w:r>
        <w:rPr>
          <w:rFonts w:ascii="Times New Roman" w:eastAsia="Times New Roman" w:hAnsi="Times New Roman" w:cs="Times New Roman"/>
          <w:sz w:val="24"/>
        </w:rPr>
        <w:t xml:space="preserve">). </w:t>
      </w:r>
    </w:p>
    <w:p w:rsidR="0052701D" w:rsidRDefault="00D40929">
      <w:pPr>
        <w:numPr>
          <w:ilvl w:val="0"/>
          <w:numId w:val="76"/>
        </w:numPr>
        <w:spacing w:after="29" w:line="248" w:lineRule="auto"/>
        <w:ind w:right="14" w:firstLine="711"/>
        <w:jc w:val="both"/>
      </w:pPr>
      <w:r>
        <w:rPr>
          <w:rFonts w:ascii="Times New Roman" w:eastAsia="Times New Roman" w:hAnsi="Times New Roman" w:cs="Times New Roman"/>
          <w:sz w:val="24"/>
        </w:rPr>
        <w:t>Изучение конструктивных особенностей мобильных установок заряда электротранспорта для разработки эскизной конструкторской документации / А. Р. Сафин, И. В. Ившин, А. Н. Цветков [и др.] // Вестник Казанского государственного энергетического университета</w:t>
      </w:r>
      <w:r>
        <w:rPr>
          <w:rFonts w:ascii="Times New Roman" w:eastAsia="Times New Roman" w:hAnsi="Times New Roman" w:cs="Times New Roman"/>
          <w:sz w:val="24"/>
        </w:rPr>
        <w:t xml:space="preserve">. – 2021. – Т. 13. – № 3(51). – С. 15-24. </w:t>
      </w:r>
    </w:p>
    <w:p w:rsidR="0052701D" w:rsidRDefault="00D40929">
      <w:pPr>
        <w:numPr>
          <w:ilvl w:val="0"/>
          <w:numId w:val="76"/>
        </w:numPr>
        <w:spacing w:after="4" w:line="248" w:lineRule="auto"/>
        <w:ind w:right="14" w:firstLine="711"/>
        <w:jc w:val="both"/>
      </w:pPr>
      <w:r>
        <w:rPr>
          <w:rFonts w:ascii="Times New Roman" w:eastAsia="Times New Roman" w:hAnsi="Times New Roman" w:cs="Times New Roman"/>
          <w:sz w:val="24"/>
        </w:rPr>
        <w:t xml:space="preserve">Справка AnyLogic [Электронный ресурс]. https://anylogic.help/ru/anylogic/index.html (дата обращения: 06.11.22). </w:t>
      </w:r>
    </w:p>
    <w:p w:rsidR="0052701D" w:rsidRDefault="00D40929">
      <w:pPr>
        <w:numPr>
          <w:ilvl w:val="0"/>
          <w:numId w:val="76"/>
        </w:numPr>
        <w:spacing w:after="29" w:line="248" w:lineRule="auto"/>
        <w:ind w:right="14" w:firstLine="711"/>
        <w:jc w:val="both"/>
      </w:pPr>
      <w:r>
        <w:rPr>
          <w:rFonts w:ascii="Times New Roman" w:eastAsia="Times New Roman" w:hAnsi="Times New Roman" w:cs="Times New Roman"/>
          <w:sz w:val="24"/>
        </w:rPr>
        <w:t xml:space="preserve">Зарипова Р.С., Рочева О.А., Хамидуллина Ф.Р., Арбузова М.В. Внедрение цифровых технологий как фактор повышения эффективности работы транспортнологистических систем / International Journal of Advanced Studies. 2021. Т. 11. № 2. С. 100114. </w:t>
      </w:r>
    </w:p>
    <w:p w:rsidR="0052701D" w:rsidRDefault="00D40929">
      <w:pPr>
        <w:numPr>
          <w:ilvl w:val="0"/>
          <w:numId w:val="76"/>
        </w:numPr>
        <w:spacing w:after="29" w:line="248" w:lineRule="auto"/>
        <w:ind w:right="14" w:firstLine="711"/>
        <w:jc w:val="both"/>
      </w:pPr>
      <w:r>
        <w:rPr>
          <w:rFonts w:ascii="Times New Roman" w:eastAsia="Times New Roman" w:hAnsi="Times New Roman" w:cs="Times New Roman"/>
          <w:sz w:val="24"/>
        </w:rPr>
        <w:t>Имитационное моде</w:t>
      </w:r>
      <w:r>
        <w:rPr>
          <w:rFonts w:ascii="Times New Roman" w:eastAsia="Times New Roman" w:hAnsi="Times New Roman" w:cs="Times New Roman"/>
          <w:sz w:val="24"/>
        </w:rPr>
        <w:t xml:space="preserve">лирование для прогнозирования развития автомобильного электротранспорта на уровне региона / Д. Ю. Каталевский, Т. Р. Гареев // Журналы БФУ им. И. Канта. – 2020. – Т. 12. – № 2. – С. 118-139. </w:t>
      </w:r>
    </w:p>
    <w:p w:rsidR="0052701D" w:rsidRDefault="00D40929">
      <w:pPr>
        <w:numPr>
          <w:ilvl w:val="0"/>
          <w:numId w:val="76"/>
        </w:numPr>
        <w:spacing w:after="29" w:line="248" w:lineRule="auto"/>
        <w:ind w:right="14" w:firstLine="711"/>
        <w:jc w:val="both"/>
      </w:pPr>
      <w:r>
        <w:rPr>
          <w:rFonts w:ascii="Times New Roman" w:eastAsia="Times New Roman" w:hAnsi="Times New Roman" w:cs="Times New Roman"/>
          <w:sz w:val="24"/>
        </w:rPr>
        <w:t>Приложение. Java в AnyLogic [Электронный ресурс]. https://anylog</w:t>
      </w:r>
      <w:r>
        <w:rPr>
          <w:rFonts w:ascii="Times New Roman" w:eastAsia="Times New Roman" w:hAnsi="Times New Roman" w:cs="Times New Roman"/>
          <w:sz w:val="24"/>
        </w:rPr>
        <w:t xml:space="preserve">ic.help/ru/advanced/index.html (дата обращения: 06.11.22). </w:t>
      </w:r>
    </w:p>
    <w:p w:rsidR="0052701D" w:rsidRDefault="00D40929">
      <w:pPr>
        <w:numPr>
          <w:ilvl w:val="0"/>
          <w:numId w:val="76"/>
        </w:numPr>
        <w:spacing w:after="29" w:line="248" w:lineRule="auto"/>
        <w:ind w:right="14" w:firstLine="711"/>
        <w:jc w:val="both"/>
      </w:pPr>
      <w:r>
        <w:rPr>
          <w:rFonts w:ascii="Times New Roman" w:eastAsia="Times New Roman" w:hAnsi="Times New Roman" w:cs="Times New Roman"/>
          <w:sz w:val="24"/>
        </w:rPr>
        <w:t xml:space="preserve">Мустахитдинова Ю.А., Зарипова Р.С. Информационные технологии в транспортной отрасли / Преподавание информационных технологий в Российской Федерации: материалы Девятнадцатой открытой Всероссийской </w:t>
      </w:r>
      <w:r>
        <w:rPr>
          <w:rFonts w:ascii="Times New Roman" w:eastAsia="Times New Roman" w:hAnsi="Times New Roman" w:cs="Times New Roman"/>
          <w:sz w:val="24"/>
        </w:rPr>
        <w:t xml:space="preserve">конференции. Москва, 2022. С. 95-96. </w:t>
      </w:r>
    </w:p>
    <w:p w:rsidR="0052701D" w:rsidRDefault="00D40929">
      <w:pPr>
        <w:numPr>
          <w:ilvl w:val="0"/>
          <w:numId w:val="76"/>
        </w:numPr>
        <w:spacing w:after="29" w:line="248" w:lineRule="auto"/>
        <w:ind w:right="14" w:firstLine="711"/>
        <w:jc w:val="both"/>
      </w:pPr>
      <w:r>
        <w:rPr>
          <w:rFonts w:ascii="Times New Roman" w:eastAsia="Times New Roman" w:hAnsi="Times New Roman" w:cs="Times New Roman"/>
          <w:sz w:val="24"/>
        </w:rPr>
        <w:t xml:space="preserve">Силкина О.Ю., Зарипова Р.С. Основные тренды цифровой логистики / Информационные технологии в строительных, социальных и экономических системах. 2021. № 1 (23). С. 168-170.  </w:t>
      </w:r>
    </w:p>
    <w:p w:rsidR="0052701D" w:rsidRDefault="0052701D">
      <w:pPr>
        <w:sectPr w:rsidR="0052701D">
          <w:footerReference w:type="even" r:id="rId625"/>
          <w:footerReference w:type="default" r:id="rId626"/>
          <w:footerReference w:type="first" r:id="rId627"/>
          <w:footnotePr>
            <w:numRestart w:val="eachPage"/>
          </w:footnotePr>
          <w:pgSz w:w="11904" w:h="16838"/>
          <w:pgMar w:top="1418" w:right="1124" w:bottom="1140" w:left="1700" w:header="720" w:footer="300" w:gutter="0"/>
          <w:cols w:space="720"/>
        </w:sectPr>
      </w:pPr>
    </w:p>
    <w:p w:rsidR="0052701D" w:rsidRDefault="00D40929">
      <w:pPr>
        <w:pStyle w:val="3"/>
        <w:ind w:left="173" w:right="241"/>
      </w:pPr>
      <w:r>
        <w:lastRenderedPageBreak/>
        <w:t xml:space="preserve">СЕКЦИЯ «СОЦИАЛЬНО-ПОЛИТИЧЕСКОЕ И КУЛЬТУРНОЕ </w:t>
      </w:r>
    </w:p>
    <w:p w:rsidR="0052701D" w:rsidRDefault="00D40929">
      <w:pPr>
        <w:pStyle w:val="5"/>
      </w:pPr>
      <w:r>
        <w:t xml:space="preserve">РАЗВИТИЕ ЕВРАЗИИ» </w:t>
      </w:r>
    </w:p>
    <w:p w:rsidR="0052701D" w:rsidRDefault="00D40929">
      <w:pPr>
        <w:spacing w:after="0"/>
      </w:pPr>
      <w:r>
        <w:rPr>
          <w:rFonts w:ascii="Times New Roman" w:eastAsia="Times New Roman" w:hAnsi="Times New Roman" w:cs="Times New Roman"/>
          <w:b/>
          <w:sz w:val="24"/>
        </w:rPr>
        <w:t xml:space="preserve"> </w:t>
      </w:r>
    </w:p>
    <w:p w:rsidR="0052701D" w:rsidRDefault="00D40929">
      <w:pPr>
        <w:spacing w:after="29" w:line="248" w:lineRule="auto"/>
        <w:ind w:left="9" w:right="14"/>
        <w:jc w:val="both"/>
      </w:pPr>
      <w:r>
        <w:rPr>
          <w:rFonts w:ascii="Times New Roman" w:eastAsia="Times New Roman" w:hAnsi="Times New Roman" w:cs="Times New Roman"/>
          <w:sz w:val="24"/>
        </w:rPr>
        <w:t xml:space="preserve">УДК 347 </w:t>
      </w:r>
    </w:p>
    <w:p w:rsidR="0052701D" w:rsidRDefault="00D40929">
      <w:pPr>
        <w:spacing w:after="85" w:line="248" w:lineRule="auto"/>
        <w:ind w:left="9" w:right="14"/>
        <w:jc w:val="both"/>
      </w:pPr>
      <w:r>
        <w:rPr>
          <w:rFonts w:ascii="Times New Roman" w:eastAsia="Times New Roman" w:hAnsi="Times New Roman" w:cs="Times New Roman"/>
          <w:sz w:val="24"/>
        </w:rPr>
        <w:t xml:space="preserve">МРНТИ 03.20.00 </w:t>
      </w:r>
    </w:p>
    <w:p w:rsidR="0052701D" w:rsidRDefault="00D40929">
      <w:pPr>
        <w:pStyle w:val="1"/>
        <w:ind w:left="173" w:right="242"/>
      </w:pPr>
      <w:r>
        <w:t xml:space="preserve">БУНТАРЬ </w:t>
      </w:r>
    </w:p>
    <w:p w:rsidR="0052701D" w:rsidRDefault="00D40929">
      <w:pPr>
        <w:spacing w:after="0"/>
        <w:ind w:right="5"/>
        <w:jc w:val="center"/>
      </w:pPr>
      <w:r>
        <w:rPr>
          <w:rFonts w:ascii="Times New Roman" w:eastAsia="Times New Roman" w:hAnsi="Times New Roman" w:cs="Times New Roman"/>
          <w:b/>
          <w:sz w:val="28"/>
        </w:rPr>
        <w:t xml:space="preserve"> </w:t>
      </w:r>
    </w:p>
    <w:p w:rsidR="0052701D" w:rsidRDefault="00D40929">
      <w:pPr>
        <w:pStyle w:val="1"/>
        <w:spacing w:after="16" w:line="248" w:lineRule="auto"/>
        <w:ind w:left="819" w:right="889"/>
      </w:pPr>
      <w:r>
        <w:rPr>
          <w:sz w:val="24"/>
        </w:rPr>
        <w:t xml:space="preserve">Б.Ж. Кабдушев </w:t>
      </w:r>
    </w:p>
    <w:p w:rsidR="0052701D" w:rsidRDefault="00D40929">
      <w:pPr>
        <w:spacing w:after="14" w:line="248" w:lineRule="auto"/>
        <w:ind w:left="843" w:right="858" w:hanging="5"/>
        <w:jc w:val="center"/>
      </w:pPr>
      <w:r>
        <w:rPr>
          <w:rFonts w:ascii="Times New Roman" w:eastAsia="Times New Roman" w:hAnsi="Times New Roman" w:cs="Times New Roman"/>
          <w:sz w:val="24"/>
        </w:rPr>
        <w:t>Алматинский университет энергетики и связи им. Гумарбека Даукеева e-</w:t>
      </w:r>
      <w:r>
        <w:rPr>
          <w:rFonts w:ascii="Times New Roman" w:eastAsia="Times New Roman" w:hAnsi="Times New Roman" w:cs="Times New Roman"/>
          <w:sz w:val="24"/>
        </w:rPr>
        <w:t xml:space="preserve">mail: </w:t>
      </w:r>
      <w:r>
        <w:rPr>
          <w:rFonts w:ascii="Times New Roman" w:eastAsia="Times New Roman" w:hAnsi="Times New Roman" w:cs="Times New Roman"/>
          <w:color w:val="0563C1"/>
          <w:sz w:val="24"/>
          <w:u w:val="single" w:color="0563C1"/>
        </w:rPr>
        <w:t>b.kabdushev@aues.kz</w:t>
      </w:r>
      <w:r>
        <w:rPr>
          <w:rFonts w:ascii="Times New Roman" w:eastAsia="Times New Roman" w:hAnsi="Times New Roman" w:cs="Times New Roman"/>
          <w:color w:val="0563C1"/>
          <w:sz w:val="24"/>
        </w:rPr>
        <w:t xml:space="preserve"> </w:t>
      </w:r>
    </w:p>
    <w:p w:rsidR="0052701D" w:rsidRDefault="00D40929">
      <w:pPr>
        <w:spacing w:after="23"/>
        <w:ind w:right="14"/>
        <w:jc w:val="center"/>
      </w:pPr>
      <w:r>
        <w:rPr>
          <w:rFonts w:ascii="Times New Roman" w:eastAsia="Times New Roman" w:hAnsi="Times New Roman" w:cs="Times New Roman"/>
          <w:sz w:val="24"/>
        </w:rPr>
        <w:t xml:space="preserve"> </w:t>
      </w:r>
    </w:p>
    <w:p w:rsidR="0052701D" w:rsidRDefault="00D40929">
      <w:pPr>
        <w:spacing w:after="29" w:line="248" w:lineRule="auto"/>
        <w:ind w:left="9" w:firstLine="711"/>
        <w:jc w:val="both"/>
      </w:pPr>
      <w:r>
        <w:rPr>
          <w:rFonts w:ascii="Times New Roman" w:eastAsia="Times New Roman" w:hAnsi="Times New Roman" w:cs="Times New Roman"/>
          <w:b/>
          <w:i/>
          <w:sz w:val="24"/>
        </w:rPr>
        <w:t>Аннотация.</w:t>
      </w:r>
      <w:r>
        <w:rPr>
          <w:rFonts w:ascii="Times New Roman" w:eastAsia="Times New Roman" w:hAnsi="Times New Roman" w:cs="Times New Roman"/>
          <w:i/>
          <w:sz w:val="24"/>
        </w:rPr>
        <w:t xml:space="preserve"> В статье рассматриваются исторические события, повлиявшие на становление Народного комиссара юстиции и прокурора Казахстана Каная Боранбаева, как государственного деятеля в 1920-1930 годы. Описывается политическая </w:t>
      </w:r>
      <w:r>
        <w:rPr>
          <w:rFonts w:ascii="Times New Roman" w:eastAsia="Times New Roman" w:hAnsi="Times New Roman" w:cs="Times New Roman"/>
          <w:i/>
          <w:sz w:val="24"/>
        </w:rPr>
        <w:t>ситуация Джетысуйского региона, где он родился. Освящается роль лидеров Туркестанского края Султанбека Кожанова, Жубаныша Барибаева - уроженцев этого края, оказавших большое влияние на становление политической карьеры К. Боранбаева. Дается информация о том</w:t>
      </w:r>
      <w:r>
        <w:rPr>
          <w:rFonts w:ascii="Times New Roman" w:eastAsia="Times New Roman" w:hAnsi="Times New Roman" w:cs="Times New Roman"/>
          <w:i/>
          <w:sz w:val="24"/>
        </w:rPr>
        <w:t>, что он учился Варшавском университете и после Октябрьской революции вернулся в Казахстан. Прибыв в Семиречье, сразу окунается в политические процессы, ведет переговоры с китайскими властями по возвращению казахов в родные края. Его особенно волновали нац</w:t>
      </w:r>
      <w:r>
        <w:rPr>
          <w:rFonts w:ascii="Times New Roman" w:eastAsia="Times New Roman" w:hAnsi="Times New Roman" w:cs="Times New Roman"/>
          <w:i/>
          <w:sz w:val="24"/>
        </w:rPr>
        <w:t xml:space="preserve">иональные вопросы будучи на посту Народного комиссара юстиции, активно выступая с критикой против политики Голощекина за что в итоге поплатился жизнью. </w:t>
      </w:r>
    </w:p>
    <w:p w:rsidR="0052701D" w:rsidRDefault="00D40929">
      <w:pPr>
        <w:spacing w:after="29" w:line="248" w:lineRule="auto"/>
        <w:ind w:left="9" w:firstLine="711"/>
        <w:jc w:val="both"/>
      </w:pP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 xml:space="preserve"> Боранбаев, Кастекская волость, прокурор Жетысу, прокурор Уральской губернии, Народный к</w:t>
      </w:r>
      <w:r>
        <w:rPr>
          <w:rFonts w:ascii="Times New Roman" w:eastAsia="Times New Roman" w:hAnsi="Times New Roman" w:cs="Times New Roman"/>
          <w:i/>
          <w:sz w:val="24"/>
        </w:rPr>
        <w:t xml:space="preserve">омиссар юстиции, растрелянный в Магадане.  </w:t>
      </w:r>
    </w:p>
    <w:p w:rsidR="0052701D" w:rsidRDefault="00D40929">
      <w:pPr>
        <w:spacing w:after="0"/>
      </w:pPr>
      <w:r>
        <w:rPr>
          <w:rFonts w:ascii="Times New Roman" w:eastAsia="Times New Roman" w:hAnsi="Times New Roman" w:cs="Times New Roman"/>
          <w:i/>
          <w:sz w:val="24"/>
        </w:rPr>
        <w:t xml:space="preserve"> </w:t>
      </w:r>
    </w:p>
    <w:p w:rsidR="0052701D" w:rsidRDefault="00D40929">
      <w:pPr>
        <w:spacing w:after="73"/>
      </w:pPr>
      <w:r>
        <w:rPr>
          <w:rFonts w:ascii="Times New Roman" w:eastAsia="Times New Roman" w:hAnsi="Times New Roman" w:cs="Times New Roman"/>
          <w:i/>
          <w:sz w:val="24"/>
        </w:rPr>
        <w:t xml:space="preserve"> </w:t>
      </w:r>
    </w:p>
    <w:p w:rsidR="0052701D" w:rsidRDefault="00D40929">
      <w:pPr>
        <w:spacing w:after="5" w:line="271" w:lineRule="auto"/>
        <w:ind w:left="173" w:right="245" w:hanging="10"/>
        <w:jc w:val="center"/>
      </w:pPr>
      <w:r>
        <w:rPr>
          <w:rFonts w:ascii="Times New Roman" w:eastAsia="Times New Roman" w:hAnsi="Times New Roman" w:cs="Times New Roman"/>
          <w:b/>
          <w:sz w:val="28"/>
        </w:rPr>
        <w:t xml:space="preserve">БҮЛІКШІ </w:t>
      </w:r>
    </w:p>
    <w:p w:rsidR="0052701D" w:rsidRDefault="00D40929">
      <w:pPr>
        <w:spacing w:after="0"/>
        <w:ind w:right="5"/>
        <w:jc w:val="center"/>
      </w:pPr>
      <w:r>
        <w:rPr>
          <w:rFonts w:ascii="Times New Roman" w:eastAsia="Times New Roman" w:hAnsi="Times New Roman" w:cs="Times New Roman"/>
          <w:b/>
          <w:sz w:val="28"/>
        </w:rPr>
        <w:t xml:space="preserve"> </w:t>
      </w:r>
    </w:p>
    <w:p w:rsidR="0052701D" w:rsidRDefault="00D40929">
      <w:pPr>
        <w:spacing w:after="16" w:line="248" w:lineRule="auto"/>
        <w:ind w:left="819" w:right="889" w:hanging="10"/>
        <w:jc w:val="center"/>
      </w:pPr>
      <w:r>
        <w:rPr>
          <w:rFonts w:ascii="Times New Roman" w:eastAsia="Times New Roman" w:hAnsi="Times New Roman" w:cs="Times New Roman"/>
          <w:b/>
          <w:sz w:val="24"/>
        </w:rPr>
        <w:t xml:space="preserve">Б.Ж. Кабдушев </w:t>
      </w:r>
    </w:p>
    <w:p w:rsidR="0052701D" w:rsidRDefault="00D40929">
      <w:pPr>
        <w:spacing w:after="14" w:line="248" w:lineRule="auto"/>
        <w:ind w:left="713" w:right="727" w:hanging="5"/>
        <w:jc w:val="center"/>
      </w:pPr>
      <w:r>
        <w:rPr>
          <w:rFonts w:ascii="Times New Roman" w:eastAsia="Times New Roman" w:hAnsi="Times New Roman" w:cs="Times New Roman"/>
          <w:sz w:val="24"/>
        </w:rPr>
        <w:t xml:space="preserve">Ғұмарбек Дәукеев атындағы Алматы энергетика және байланыс университеті e-mail: </w:t>
      </w:r>
      <w:r>
        <w:rPr>
          <w:rFonts w:ascii="Times New Roman" w:eastAsia="Times New Roman" w:hAnsi="Times New Roman" w:cs="Times New Roman"/>
          <w:color w:val="0563C1"/>
          <w:sz w:val="24"/>
          <w:u w:val="single" w:color="0563C1"/>
        </w:rPr>
        <w:t>b.kabdushev@aues.kz</w:t>
      </w:r>
      <w:r>
        <w:rPr>
          <w:rFonts w:ascii="Times New Roman" w:eastAsia="Times New Roman" w:hAnsi="Times New Roman" w:cs="Times New Roman"/>
          <w:sz w:val="24"/>
        </w:rPr>
        <w:t xml:space="preserve"> </w:t>
      </w:r>
    </w:p>
    <w:p w:rsidR="0052701D" w:rsidRDefault="00D40929">
      <w:pPr>
        <w:spacing w:after="13"/>
      </w:pPr>
      <w:r>
        <w:rPr>
          <w:rFonts w:ascii="Times New Roman" w:eastAsia="Times New Roman" w:hAnsi="Times New Roman" w:cs="Times New Roman"/>
          <w:i/>
          <w:sz w:val="24"/>
        </w:rPr>
        <w:t xml:space="preserve"> </w:t>
      </w:r>
    </w:p>
    <w:p w:rsidR="0052701D" w:rsidRDefault="00D40929">
      <w:pPr>
        <w:spacing w:after="29" w:line="248" w:lineRule="auto"/>
        <w:ind w:left="9" w:firstLine="711"/>
        <w:jc w:val="both"/>
      </w:pPr>
      <w:r>
        <w:rPr>
          <w:rFonts w:ascii="Times New Roman" w:eastAsia="Times New Roman" w:hAnsi="Times New Roman" w:cs="Times New Roman"/>
          <w:b/>
          <w:i/>
          <w:sz w:val="24"/>
        </w:rPr>
        <w:t>Аннотация.</w:t>
      </w:r>
      <w:r>
        <w:rPr>
          <w:rFonts w:ascii="Times New Roman" w:eastAsia="Times New Roman" w:hAnsi="Times New Roman" w:cs="Times New Roman"/>
          <w:i/>
          <w:sz w:val="24"/>
        </w:rPr>
        <w:t xml:space="preserve"> Мақалада 1920-1930 жылдары мемлекет қайраткері ретінде Әділет халық </w:t>
      </w:r>
      <w:r>
        <w:rPr>
          <w:rFonts w:ascii="Times New Roman" w:eastAsia="Times New Roman" w:hAnsi="Times New Roman" w:cs="Times New Roman"/>
          <w:i/>
          <w:sz w:val="24"/>
        </w:rPr>
        <w:t>комиссары және Республика прокуроры Қанай Боранбаевтың қалыптасуына әсер еткен тарихи оқиғалар қарастырылады. Ол туған Жетісу өңірінің саяси жағдайы сипатталған. Осы өлкенің тумалары Түркістан өлкесінің көшбасшылары Сұлтанбек Қожановтың, Жұбаныш Бәрібаев с</w:t>
      </w:r>
      <w:r>
        <w:rPr>
          <w:rFonts w:ascii="Times New Roman" w:eastAsia="Times New Roman" w:hAnsi="Times New Roman" w:cs="Times New Roman"/>
          <w:i/>
          <w:sz w:val="24"/>
        </w:rPr>
        <w:t>ияқты қайраткерлердің Қ.Боранбаевтың саяси мансабының қалыптасуына үлкен ықпал еткен рөлі айтылады. Оның Варшава университетінде оқып, Қазан төңкерісінен кейін Қазақстанға оралғаны туралы ақпарат беріледі. Жетісуға келіп, бірден саяси үдерістерге белсене к</w:t>
      </w:r>
      <w:r>
        <w:rPr>
          <w:rFonts w:ascii="Times New Roman" w:eastAsia="Times New Roman" w:hAnsi="Times New Roman" w:cs="Times New Roman"/>
          <w:i/>
          <w:sz w:val="24"/>
        </w:rPr>
        <w:t xml:space="preserve">іріседі, қазақтарды туған өлкесіне қайтару жөнінде Қытай билігімен келіссөздер жүргізді. Ол Әділет халық комиссары ретінде қызмет ете отырып, ұлттық мәселелерді қызғыштай қорғады. Голощекиннің саясатына ашық қарсы шығып, нәтижесінде құрбан болды. </w:t>
      </w:r>
    </w:p>
    <w:p w:rsidR="0052701D" w:rsidRDefault="00D40929">
      <w:pPr>
        <w:spacing w:after="29" w:line="248" w:lineRule="auto"/>
        <w:ind w:left="9" w:firstLine="711"/>
        <w:jc w:val="both"/>
      </w:pPr>
      <w:r>
        <w:rPr>
          <w:rFonts w:ascii="Times New Roman" w:eastAsia="Times New Roman" w:hAnsi="Times New Roman" w:cs="Times New Roman"/>
          <w:b/>
          <w:i/>
          <w:sz w:val="24"/>
        </w:rPr>
        <w:t xml:space="preserve">Түйінді </w:t>
      </w:r>
      <w:r>
        <w:rPr>
          <w:rFonts w:ascii="Times New Roman" w:eastAsia="Times New Roman" w:hAnsi="Times New Roman" w:cs="Times New Roman"/>
          <w:b/>
          <w:i/>
          <w:sz w:val="24"/>
        </w:rPr>
        <w:t>сөздер:</w:t>
      </w:r>
      <w:r>
        <w:rPr>
          <w:rFonts w:ascii="Times New Roman" w:eastAsia="Times New Roman" w:hAnsi="Times New Roman" w:cs="Times New Roman"/>
          <w:i/>
          <w:sz w:val="24"/>
        </w:rPr>
        <w:t xml:space="preserve"> Боранбаев, Қастек болысы, Жетісу прокуроры, Орал губерниясының прокуроры, Магаданға атылған халық Әділет комиссары. </w:t>
      </w:r>
    </w:p>
    <w:p w:rsidR="0052701D" w:rsidRDefault="00D40929">
      <w:pPr>
        <w:spacing w:after="0"/>
      </w:pPr>
      <w:r>
        <w:rPr>
          <w:rFonts w:ascii="Times New Roman" w:eastAsia="Times New Roman" w:hAnsi="Times New Roman" w:cs="Times New Roman"/>
          <w:b/>
          <w:i/>
          <w:sz w:val="24"/>
        </w:rPr>
        <w:t xml:space="preserve"> </w:t>
      </w:r>
    </w:p>
    <w:p w:rsidR="0052701D" w:rsidRDefault="00D40929">
      <w:pPr>
        <w:spacing w:after="16"/>
      </w:pPr>
      <w:r>
        <w:rPr>
          <w:rFonts w:ascii="Times New Roman" w:eastAsia="Times New Roman" w:hAnsi="Times New Roman" w:cs="Times New Roman"/>
          <w:b/>
          <w:i/>
          <w:sz w:val="24"/>
        </w:rPr>
        <w:t xml:space="preserve"> </w:t>
      </w:r>
    </w:p>
    <w:p w:rsidR="0052701D" w:rsidRDefault="00D40929">
      <w:pPr>
        <w:spacing w:after="5" w:line="271" w:lineRule="auto"/>
        <w:ind w:left="173" w:right="240" w:hanging="10"/>
        <w:jc w:val="center"/>
      </w:pPr>
      <w:r>
        <w:rPr>
          <w:rFonts w:ascii="Times New Roman" w:eastAsia="Times New Roman" w:hAnsi="Times New Roman" w:cs="Times New Roman"/>
          <w:b/>
          <w:sz w:val="28"/>
        </w:rPr>
        <w:t xml:space="preserve">REBEL </w:t>
      </w:r>
    </w:p>
    <w:p w:rsidR="0052701D" w:rsidRDefault="00D40929">
      <w:pPr>
        <w:spacing w:after="0"/>
        <w:ind w:right="14"/>
        <w:jc w:val="center"/>
      </w:pPr>
      <w:r>
        <w:rPr>
          <w:rFonts w:ascii="Times New Roman" w:eastAsia="Times New Roman" w:hAnsi="Times New Roman" w:cs="Times New Roman"/>
          <w:b/>
          <w:sz w:val="24"/>
        </w:rPr>
        <w:t xml:space="preserve"> </w:t>
      </w:r>
    </w:p>
    <w:p w:rsidR="0052701D" w:rsidRDefault="00D40929">
      <w:pPr>
        <w:spacing w:after="16" w:line="248" w:lineRule="auto"/>
        <w:ind w:left="819" w:right="885" w:hanging="10"/>
        <w:jc w:val="center"/>
      </w:pPr>
      <w:r>
        <w:rPr>
          <w:rFonts w:ascii="Times New Roman" w:eastAsia="Times New Roman" w:hAnsi="Times New Roman" w:cs="Times New Roman"/>
          <w:b/>
          <w:sz w:val="24"/>
        </w:rPr>
        <w:lastRenderedPageBreak/>
        <w:t xml:space="preserve">B.J. Kabdushev </w:t>
      </w:r>
    </w:p>
    <w:p w:rsidR="0052701D" w:rsidRDefault="00D40929">
      <w:pPr>
        <w:spacing w:after="14" w:line="248" w:lineRule="auto"/>
        <w:ind w:left="1031" w:right="1045" w:hanging="5"/>
        <w:jc w:val="center"/>
      </w:pPr>
      <w:r>
        <w:rPr>
          <w:rFonts w:ascii="Times New Roman" w:eastAsia="Times New Roman" w:hAnsi="Times New Roman" w:cs="Times New Roman"/>
          <w:sz w:val="24"/>
        </w:rPr>
        <w:t xml:space="preserve">Gumarbek Daukeev Almaty University of Energy and Communications e-mail: b.kabdushev@aues.kz . </w:t>
      </w:r>
    </w:p>
    <w:p w:rsidR="0052701D" w:rsidRDefault="00D40929">
      <w:pPr>
        <w:spacing w:after="0"/>
        <w:ind w:left="10" w:right="54" w:hanging="10"/>
        <w:jc w:val="right"/>
      </w:pPr>
      <w:r>
        <w:rPr>
          <w:rFonts w:ascii="Times New Roman" w:eastAsia="Times New Roman" w:hAnsi="Times New Roman" w:cs="Times New Roman"/>
          <w:b/>
          <w:i/>
          <w:sz w:val="24"/>
        </w:rPr>
        <w:t>Annotation.</w:t>
      </w:r>
      <w:r>
        <w:rPr>
          <w:rFonts w:ascii="Times New Roman" w:eastAsia="Times New Roman" w:hAnsi="Times New Roman" w:cs="Times New Roman"/>
          <w:i/>
          <w:sz w:val="24"/>
        </w:rPr>
        <w:t xml:space="preserve"> The article examines the historical events that influenced the formation of the </w:t>
      </w:r>
    </w:p>
    <w:p w:rsidR="0052701D" w:rsidRDefault="00D40929">
      <w:pPr>
        <w:spacing w:after="0" w:line="248" w:lineRule="auto"/>
        <w:ind w:left="9"/>
        <w:jc w:val="both"/>
      </w:pPr>
      <w:r>
        <w:rPr>
          <w:rFonts w:ascii="Times New Roman" w:eastAsia="Times New Roman" w:hAnsi="Times New Roman" w:cs="Times New Roman"/>
          <w:i/>
          <w:sz w:val="24"/>
        </w:rPr>
        <w:t>People's Commissar of Justice and Prosecutor of Kazakhstan Kanai Boranbayev as a statesman in 1920-1930. The political situation of the Jetysui region, where he wa</w:t>
      </w:r>
      <w:r>
        <w:rPr>
          <w:rFonts w:ascii="Times New Roman" w:eastAsia="Times New Roman" w:hAnsi="Times New Roman" w:cs="Times New Roman"/>
          <w:i/>
          <w:sz w:val="24"/>
        </w:rPr>
        <w:t>s born, is described. The role of the leaders of the Turkestan region, Sultanbek Kozhanov, Zhubanysh Baribayev, natives of this region, who had a great influence on the formation of K. Boranbayev's political career, is consecrated. Information is given tha</w:t>
      </w:r>
      <w:r>
        <w:rPr>
          <w:rFonts w:ascii="Times New Roman" w:eastAsia="Times New Roman" w:hAnsi="Times New Roman" w:cs="Times New Roman"/>
          <w:i/>
          <w:sz w:val="24"/>
        </w:rPr>
        <w:t>t he studied at the University of Warsaw and returned to Kazakhstan after the October Revolution. Arriving in Semirechye, he immediately plunges into political processes, negotiates with the Chinese authorities on the return of Kazakhs to their native land</w:t>
      </w:r>
      <w:r>
        <w:rPr>
          <w:rFonts w:ascii="Times New Roman" w:eastAsia="Times New Roman" w:hAnsi="Times New Roman" w:cs="Times New Roman"/>
          <w:i/>
          <w:sz w:val="24"/>
        </w:rPr>
        <w:t xml:space="preserve">s. He was particularly concerned about national issues while serving as People's Commissar of Justice, actively criticizing Goloshchekin's policy, for which he eventually paid with his life. </w:t>
      </w:r>
    </w:p>
    <w:p w:rsidR="0052701D" w:rsidRDefault="00D40929">
      <w:pPr>
        <w:spacing w:after="75" w:line="248" w:lineRule="auto"/>
        <w:ind w:left="9" w:firstLine="711"/>
        <w:jc w:val="both"/>
      </w:pPr>
      <w:r>
        <w:rPr>
          <w:rFonts w:ascii="Times New Roman" w:eastAsia="Times New Roman" w:hAnsi="Times New Roman" w:cs="Times New Roman"/>
          <w:b/>
          <w:i/>
          <w:sz w:val="24"/>
        </w:rPr>
        <w:t>Keywords:</w:t>
      </w:r>
      <w:r>
        <w:rPr>
          <w:rFonts w:ascii="Times New Roman" w:eastAsia="Times New Roman" w:hAnsi="Times New Roman" w:cs="Times New Roman"/>
          <w:i/>
          <w:sz w:val="24"/>
        </w:rPr>
        <w:t xml:space="preserve"> Boranbayev, Kastek parish, prosecutor Zhetysu, prosecu</w:t>
      </w:r>
      <w:r>
        <w:rPr>
          <w:rFonts w:ascii="Times New Roman" w:eastAsia="Times New Roman" w:hAnsi="Times New Roman" w:cs="Times New Roman"/>
          <w:i/>
          <w:sz w:val="24"/>
        </w:rPr>
        <w:t xml:space="preserve">tor of the Ural province, People's Commissar of Justice, shot in Magadan. </w:t>
      </w:r>
    </w:p>
    <w:p w:rsidR="0052701D" w:rsidRDefault="00D40929">
      <w:pPr>
        <w:spacing w:after="7"/>
      </w:pPr>
      <w:r>
        <w:rPr>
          <w:rFonts w:ascii="Times New Roman" w:eastAsia="Times New Roman" w:hAnsi="Times New Roman" w:cs="Times New Roman"/>
          <w:b/>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Обвиняемый был трижды судим — в 1923, 1932, 1933 годах и, наконец, в 1938 году, сосланный в Магадан, он был расстрелян. Трагическая судьба государственного деятеля, юриста Каная Б</w:t>
      </w:r>
      <w:r>
        <w:rPr>
          <w:rFonts w:ascii="Times New Roman" w:eastAsia="Times New Roman" w:hAnsi="Times New Roman" w:cs="Times New Roman"/>
          <w:sz w:val="28"/>
        </w:rPr>
        <w:t>оранбаева ничем не отличалась от участи, постигшей в 30-е годы передовую часть казахской интеллигенции. Выходцы из самой гущи народа, они были самоотверженны в своем порыве построить развитое, цивилизованное государство и на этом тернистом пути сложили гол</w:t>
      </w:r>
      <w:r>
        <w:rPr>
          <w:rFonts w:ascii="Times New Roman" w:eastAsia="Times New Roman" w:hAnsi="Times New Roman" w:cs="Times New Roman"/>
          <w:sz w:val="28"/>
        </w:rPr>
        <w:t xml:space="preserve">овы. Речь идет об одном из них, о верном сыне своей Отчизны – о Канае Боранбаеве. </w:t>
      </w:r>
    </w:p>
    <w:p w:rsidR="0052701D" w:rsidRDefault="00D40929">
      <w:pPr>
        <w:spacing w:after="5" w:line="271" w:lineRule="auto"/>
        <w:ind w:left="9" w:right="64" w:firstLine="711"/>
        <w:jc w:val="both"/>
      </w:pPr>
      <w:r>
        <w:rPr>
          <w:rFonts w:ascii="Times New Roman" w:eastAsia="Times New Roman" w:hAnsi="Times New Roman" w:cs="Times New Roman"/>
          <w:sz w:val="28"/>
        </w:rPr>
        <w:t>1925 год. Период обживания новой столицы. Из Туркестана прибыли Султанбек Кожанов, Жалау Мынбаев, собрался весь цвет казахской интеллигенции. В Ак-Мечети был проведен общека</w:t>
      </w:r>
      <w:r>
        <w:rPr>
          <w:rFonts w:ascii="Times New Roman" w:eastAsia="Times New Roman" w:hAnsi="Times New Roman" w:cs="Times New Roman"/>
          <w:sz w:val="28"/>
        </w:rPr>
        <w:t>захский V cьезд Советов: вместо общепринятого «киргизы» было введено понятие «казахи»; Ак-Мечеть обрела новое название — Кызылорда; Жетысуская и Сырдарьинская губернии, Каракалпакская автономная область присоединились к Казахстану; с обновлением состава пр</w:t>
      </w:r>
      <w:r>
        <w:rPr>
          <w:rFonts w:ascii="Times New Roman" w:eastAsia="Times New Roman" w:hAnsi="Times New Roman" w:cs="Times New Roman"/>
          <w:sz w:val="28"/>
        </w:rPr>
        <w:t xml:space="preserve">авительства руководящая «верхушка» заметно омолодилась.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Казалось бы, ситуация складывалась самым благоприятнейшим образом. Но не долго витал вольный воздух над страной. Осенью того же года руководители республики один за другим обратились в бегство. </w:t>
      </w:r>
      <w:r>
        <w:rPr>
          <w:rFonts w:ascii="Times New Roman" w:eastAsia="Times New Roman" w:hAnsi="Times New Roman" w:cs="Times New Roman"/>
          <w:sz w:val="28"/>
        </w:rPr>
        <w:t>С.Кожанов, С.Садуакасов, Ж.Мынбаев, Н.Нурмаков и др., вытесненные из Казахстана, эмигрировали в Москву, оставшиеся в республике пребывали в подавленном состоянии, а в начале 30-х годов были подвергнуты изгнаниям и преследованиям. Ф.И.Голощекин, первый секр</w:t>
      </w:r>
      <w:r>
        <w:rPr>
          <w:rFonts w:ascii="Times New Roman" w:eastAsia="Times New Roman" w:hAnsi="Times New Roman" w:cs="Times New Roman"/>
          <w:sz w:val="28"/>
        </w:rPr>
        <w:t xml:space="preserve">етарь Казахстана, расслаивая </w:t>
      </w:r>
      <w:r>
        <w:rPr>
          <w:rFonts w:ascii="Times New Roman" w:eastAsia="Times New Roman" w:hAnsi="Times New Roman" w:cs="Times New Roman"/>
          <w:sz w:val="28"/>
        </w:rPr>
        <w:lastRenderedPageBreak/>
        <w:t xml:space="preserve">общество на «правый» и «левый» уклоны, поощряя и провоцируя групповое раздробление, сделал свое черное дело — народ оказался обреченным на голод. </w:t>
      </w:r>
    </w:p>
    <w:p w:rsidR="0052701D" w:rsidRDefault="00D40929">
      <w:pPr>
        <w:spacing w:after="5" w:line="271" w:lineRule="auto"/>
        <w:ind w:left="9" w:right="64" w:firstLine="711"/>
        <w:jc w:val="both"/>
      </w:pPr>
      <w:r>
        <w:rPr>
          <w:rFonts w:ascii="Times New Roman" w:eastAsia="Times New Roman" w:hAnsi="Times New Roman" w:cs="Times New Roman"/>
          <w:sz w:val="28"/>
        </w:rPr>
        <w:t>В те годы судьбы многих деятелей стали предметом споров и обсуждений на многолюд</w:t>
      </w:r>
      <w:r>
        <w:rPr>
          <w:rFonts w:ascii="Times New Roman" w:eastAsia="Times New Roman" w:hAnsi="Times New Roman" w:cs="Times New Roman"/>
          <w:sz w:val="28"/>
        </w:rPr>
        <w:t>ных партийных собраниях. Имя Каная Боранбаева оказалось в числе в «немилость» вождей, и такие члены краевого партийного комитета, как Голощекин, Морозов, Минаев, неустанно ворошили его прошлое. По их словам, комсомолец Боранбаев был осужден на 2 года за не</w:t>
      </w:r>
      <w:r>
        <w:rPr>
          <w:rFonts w:ascii="Times New Roman" w:eastAsia="Times New Roman" w:hAnsi="Times New Roman" w:cs="Times New Roman"/>
          <w:sz w:val="28"/>
        </w:rPr>
        <w:t>законное освобождение от налогов зажиточных жетысуских хозяйств. Однако после непосредственного вмешательства Центрального Комитета Боранбаев был освобожден. Обвинители крайне возмущались: «Что дальше? Боранбаев назначается Народным Комиссаром Юстиции КАСС</w:t>
      </w:r>
      <w:r>
        <w:rPr>
          <w:rFonts w:ascii="Times New Roman" w:eastAsia="Times New Roman" w:hAnsi="Times New Roman" w:cs="Times New Roman"/>
          <w:sz w:val="28"/>
        </w:rPr>
        <w:t>Р» Наконец, 8 февраля 1925 года на совете краевого партийного комитета они добились намеченного относительно губернского прокурора Боранбаева. Выступивший там Ежов пришел к следующему заключению: «Необходимо снять Боранбаева с должности прокурора Уральской</w:t>
      </w:r>
      <w:r>
        <w:rPr>
          <w:rFonts w:ascii="Times New Roman" w:eastAsia="Times New Roman" w:hAnsi="Times New Roman" w:cs="Times New Roman"/>
          <w:sz w:val="28"/>
        </w:rPr>
        <w:t xml:space="preserve"> губернии. Уральцы выражают этому одобрение. К тому же он и сам выразил такую просьбу, осознавая нелегкость сложившейся ситуации. Поэтому, на мой взгляд, будет целесообразным удовлетворить просьбу и направить его в ведение Жетысуского губернского комитета.</w:t>
      </w:r>
      <w:r>
        <w:rPr>
          <w:rFonts w:ascii="Times New Roman" w:eastAsia="Times New Roman" w:hAnsi="Times New Roman" w:cs="Times New Roman"/>
          <w:sz w:val="28"/>
        </w:rPr>
        <w:t xml:space="preserve"> Боранбаеву наверняка сейчас не лишне было бы отдохнуть». Высказанное предложение было принято Голощекиным с одобрением. Так вышеназванный совет принял решение о направлении Боранбаева под начало секретаря Жетысуского губисполкома Барибаева. </w:t>
      </w:r>
    </w:p>
    <w:p w:rsidR="0052701D" w:rsidRDefault="00D40929">
      <w:pPr>
        <w:spacing w:after="5" w:line="271" w:lineRule="auto"/>
        <w:ind w:left="9" w:right="64"/>
        <w:jc w:val="both"/>
      </w:pPr>
      <w:r>
        <w:rPr>
          <w:rFonts w:ascii="Times New Roman" w:eastAsia="Times New Roman" w:hAnsi="Times New Roman" w:cs="Times New Roman"/>
          <w:sz w:val="28"/>
        </w:rPr>
        <w:t>Упомянутая Еж</w:t>
      </w:r>
      <w:r>
        <w:rPr>
          <w:rFonts w:ascii="Times New Roman" w:eastAsia="Times New Roman" w:hAnsi="Times New Roman" w:cs="Times New Roman"/>
          <w:sz w:val="28"/>
        </w:rPr>
        <w:t>овым просьба Боранбаева была не плодом его фантазии, а документально подтвержденным фактом. Доводы Боранбаева, просившего освободить его от занимаемой должности, были следующими: семилетняя служба в судебной сфере (ЧК, военный трибунал, прокуратура) изнури</w:t>
      </w:r>
      <w:r>
        <w:rPr>
          <w:rFonts w:ascii="Times New Roman" w:eastAsia="Times New Roman" w:hAnsi="Times New Roman" w:cs="Times New Roman"/>
          <w:sz w:val="28"/>
        </w:rPr>
        <w:t>ла его здоровье. Распоряжение народного комиссара юстиции Мамбеева на сей счет свидетельствует о высокой оценке им Боранбаева как специалиста: «разрешаю перевестись, но обязанности губернского прокурора выполнять на должном уровне». Так есть ли логика в ст</w:t>
      </w:r>
      <w:r>
        <w:rPr>
          <w:rFonts w:ascii="Times New Roman" w:eastAsia="Times New Roman" w:hAnsi="Times New Roman" w:cs="Times New Roman"/>
          <w:sz w:val="28"/>
        </w:rPr>
        <w:t>оль противоречивых мнениях? Наверняка патриотичность устремлений Боранбаева оказала ему «медвежью» услугу. В 1920 году его исключили из партии как «националиста рыскуловской направленности». Справедливости ради следует сказать, что тогда доброе имя Боранба</w:t>
      </w:r>
      <w:r>
        <w:rPr>
          <w:rFonts w:ascii="Times New Roman" w:eastAsia="Times New Roman" w:hAnsi="Times New Roman" w:cs="Times New Roman"/>
          <w:sz w:val="28"/>
        </w:rPr>
        <w:t>ева было восстановлено. Более того, он был назначен народным комиссаром юстиции и прокурором республики. Его деятельность на этом посту совпала с коренными преобразованиями: присоединением пребывавших дотоле в составе Туркестана двух губерний – Сырдарьинск</w:t>
      </w:r>
      <w:r>
        <w:rPr>
          <w:rFonts w:ascii="Times New Roman" w:eastAsia="Times New Roman" w:hAnsi="Times New Roman" w:cs="Times New Roman"/>
          <w:sz w:val="28"/>
        </w:rPr>
        <w:t>ой и Жетысуской, Каракалпакской автономной области к Казахстану и перемещением столицы из Оренбурга в Кызылорду. Нелегка была ноша руководителя в пору свершения исторических перемен. К сожалению, в партийном архиве личного дела Боранбаева не оказалось. Нес</w:t>
      </w:r>
      <w:r>
        <w:rPr>
          <w:rFonts w:ascii="Times New Roman" w:eastAsia="Times New Roman" w:hAnsi="Times New Roman" w:cs="Times New Roman"/>
          <w:sz w:val="28"/>
        </w:rPr>
        <w:t xml:space="preserve">омненно, у кандидата в члены бюро Краевого </w:t>
      </w:r>
      <w:r>
        <w:rPr>
          <w:rFonts w:ascii="Times New Roman" w:eastAsia="Times New Roman" w:hAnsi="Times New Roman" w:cs="Times New Roman"/>
          <w:sz w:val="28"/>
        </w:rPr>
        <w:lastRenderedPageBreak/>
        <w:t>партийного комитета оно имелось. По нашим соображениям, в лихие 30-е годы вся документация могла быть переведена в архивы органов внутренних дел Узбекистана. На данный момент мы вынуждены ограничиться биографическ</w:t>
      </w:r>
      <w:r>
        <w:rPr>
          <w:rFonts w:ascii="Times New Roman" w:eastAsia="Times New Roman" w:hAnsi="Times New Roman" w:cs="Times New Roman"/>
          <w:sz w:val="28"/>
        </w:rPr>
        <w:t xml:space="preserve">ими сведениями о Боранбаеве, хранящимися в Центральном государственном архиве. </w:t>
      </w:r>
    </w:p>
    <w:p w:rsidR="0052701D" w:rsidRDefault="00D40929">
      <w:pPr>
        <w:spacing w:after="5" w:line="271" w:lineRule="auto"/>
        <w:ind w:left="9" w:right="64" w:firstLine="711"/>
        <w:jc w:val="both"/>
      </w:pPr>
      <w:r>
        <w:rPr>
          <w:rFonts w:ascii="Times New Roman" w:eastAsia="Times New Roman" w:hAnsi="Times New Roman" w:cs="Times New Roman"/>
          <w:sz w:val="28"/>
        </w:rPr>
        <w:t>Канай Боранбаев родился в 1896 году в Жетысуской губернии, в ауле №2 Кастекской волости Алматинского уезда, в семье крестьянина. Проявивший стремление к знаниям, Канай в начале</w:t>
      </w:r>
      <w:r>
        <w:rPr>
          <w:rFonts w:ascii="Times New Roman" w:eastAsia="Times New Roman" w:hAnsi="Times New Roman" w:cs="Times New Roman"/>
          <w:sz w:val="28"/>
        </w:rPr>
        <w:t xml:space="preserve"> оканчивает восьмилетнюю классическую гимназию в г. Верном (Алматы). Поступает на юридический факультет Варшавского университета, где ему удается проучиться только три курса, поскольку такие события, как национально-освободительное движение 1916 года, рево</w:t>
      </w:r>
      <w:r>
        <w:rPr>
          <w:rFonts w:ascii="Times New Roman" w:eastAsia="Times New Roman" w:hAnsi="Times New Roman" w:cs="Times New Roman"/>
          <w:sz w:val="28"/>
        </w:rPr>
        <w:t xml:space="preserve">люция 1917-го и связанные с коренным государственным переворотом народные волнения не могли оставить студента Боранбаева безучастным. </w:t>
      </w:r>
    </w:p>
    <w:p w:rsidR="0052701D" w:rsidRDefault="00D40929">
      <w:pPr>
        <w:spacing w:after="5" w:line="271" w:lineRule="auto"/>
        <w:ind w:left="9" w:right="64" w:firstLine="711"/>
        <w:jc w:val="both"/>
      </w:pPr>
      <w:r>
        <w:rPr>
          <w:rFonts w:ascii="Times New Roman" w:eastAsia="Times New Roman" w:hAnsi="Times New Roman" w:cs="Times New Roman"/>
          <w:sz w:val="28"/>
        </w:rPr>
        <w:t>Через Москву Канай возвращается в родные края и сразу же окунается в бурлящую в Туркестане после Октябрьской революции жи</w:t>
      </w:r>
      <w:r>
        <w:rPr>
          <w:rFonts w:ascii="Times New Roman" w:eastAsia="Times New Roman" w:hAnsi="Times New Roman" w:cs="Times New Roman"/>
          <w:sz w:val="28"/>
        </w:rPr>
        <w:t>знь. В ноябре 1918 года он становится членом РКП (б). Его собственная трактовка личной деятельности в те годы такова: “В 1918 году был принят тайным агентом и помощником жетысуского комиссара по чрезвычайным делам в Ташкенте. Через месяц был назначен члено</w:t>
      </w:r>
      <w:r>
        <w:rPr>
          <w:rFonts w:ascii="Times New Roman" w:eastAsia="Times New Roman" w:hAnsi="Times New Roman" w:cs="Times New Roman"/>
          <w:sz w:val="28"/>
        </w:rPr>
        <w:t>м комиссии, направляемой в китайский город Кульджа. По возвращении, через 4 месяца, был избран членом Коллегии губернского исполнительного комитета. В 1919 году был вновь отозван в Ташкент, где стал членом Краевого партийного комитета. До 1920 года исполня</w:t>
      </w:r>
      <w:r>
        <w:rPr>
          <w:rFonts w:ascii="Times New Roman" w:eastAsia="Times New Roman" w:hAnsi="Times New Roman" w:cs="Times New Roman"/>
          <w:sz w:val="28"/>
        </w:rPr>
        <w:t>л обязанности члена комитета и секретаря, позже перевелся в Жетысуское бюро партии и мусульман. В конце того же года был назначен членом военного трибунала 3-й дивизии Туркестанского фронта, где служил до 1921 года. В период проведения земельных реформ исп</w:t>
      </w:r>
      <w:r>
        <w:rPr>
          <w:rFonts w:ascii="Times New Roman" w:eastAsia="Times New Roman" w:hAnsi="Times New Roman" w:cs="Times New Roman"/>
          <w:sz w:val="28"/>
        </w:rPr>
        <w:t>олнял обязанности члена областного комитета по чрезвычайным делам, заведующего следственного отдела. Последнюю должность исполнял до конца 1922 года. В начале 1923 года прибыв в Китай в качестве чрезвычайного посла, организовал переселение на родину беженц</w:t>
      </w:r>
      <w:r>
        <w:rPr>
          <w:rFonts w:ascii="Times New Roman" w:eastAsia="Times New Roman" w:hAnsi="Times New Roman" w:cs="Times New Roman"/>
          <w:sz w:val="28"/>
        </w:rPr>
        <w:t xml:space="preserve">ев-казахов в Чугучаке. В конце того же года был назначен прокурором Жетысуской губернии. На этом посту пребывал в течение 1924 года, то есть до перевода на должность прокурора КАССР. Не указываю точные даты, так как могу ошибиться” [1].  </w:t>
      </w:r>
    </w:p>
    <w:p w:rsidR="0052701D" w:rsidRDefault="00D40929">
      <w:pPr>
        <w:spacing w:after="5" w:line="271" w:lineRule="auto"/>
        <w:ind w:left="9" w:right="64" w:firstLine="711"/>
        <w:jc w:val="both"/>
      </w:pPr>
      <w:r>
        <w:rPr>
          <w:rFonts w:ascii="Times New Roman" w:eastAsia="Times New Roman" w:hAnsi="Times New Roman" w:cs="Times New Roman"/>
          <w:sz w:val="28"/>
        </w:rPr>
        <w:t>Приводим документ</w:t>
      </w:r>
      <w:r>
        <w:rPr>
          <w:rFonts w:ascii="Times New Roman" w:eastAsia="Times New Roman" w:hAnsi="Times New Roman" w:cs="Times New Roman"/>
          <w:sz w:val="28"/>
        </w:rPr>
        <w:t xml:space="preserve">, удостоверяющий правдивость вышеизложенного относительно нового назначения. </w:t>
      </w:r>
    </w:p>
    <w:p w:rsidR="0052701D" w:rsidRDefault="00D40929">
      <w:pPr>
        <w:spacing w:after="5" w:line="271" w:lineRule="auto"/>
        <w:ind w:left="711" w:right="64"/>
        <w:jc w:val="both"/>
      </w:pPr>
      <w:r>
        <w:rPr>
          <w:rFonts w:ascii="Times New Roman" w:eastAsia="Times New Roman" w:hAnsi="Times New Roman" w:cs="Times New Roman"/>
          <w:sz w:val="28"/>
        </w:rPr>
        <w:t xml:space="preserve">Выписка из протокола Бюро Киргубкома РКП(б) от 4 ноября 1924 года: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Слушали: доклад комиссии о реализации постановления оргбюро КК от 23 апреля 1924 года. </w:t>
      </w:r>
    </w:p>
    <w:p w:rsidR="0052701D" w:rsidRDefault="00D40929">
      <w:pPr>
        <w:spacing w:after="5" w:line="271" w:lineRule="auto"/>
        <w:ind w:left="9" w:right="64" w:firstLine="711"/>
        <w:jc w:val="both"/>
      </w:pPr>
      <w:r>
        <w:rPr>
          <w:rFonts w:ascii="Times New Roman" w:eastAsia="Times New Roman" w:hAnsi="Times New Roman" w:cs="Times New Roman"/>
          <w:sz w:val="28"/>
        </w:rPr>
        <w:lastRenderedPageBreak/>
        <w:t>Постановали: вместо мо</w:t>
      </w:r>
      <w:r>
        <w:rPr>
          <w:rFonts w:ascii="Times New Roman" w:eastAsia="Times New Roman" w:hAnsi="Times New Roman" w:cs="Times New Roman"/>
          <w:sz w:val="28"/>
        </w:rPr>
        <w:t xml:space="preserve">билизованного на низовую работу тов. Иралина назначить тов. Боранбаева, отозвав его из Туркреспублики для работы в КАССР </w:t>
      </w:r>
    </w:p>
    <w:p w:rsidR="0052701D" w:rsidRDefault="00D40929">
      <w:pPr>
        <w:spacing w:after="5" w:line="271" w:lineRule="auto"/>
        <w:ind w:left="9" w:right="64"/>
        <w:jc w:val="both"/>
      </w:pPr>
      <w:r>
        <w:rPr>
          <w:rFonts w:ascii="Times New Roman" w:eastAsia="Times New Roman" w:hAnsi="Times New Roman" w:cs="Times New Roman"/>
          <w:sz w:val="28"/>
        </w:rPr>
        <w:t xml:space="preserve">[2].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Таким образом, 27 ноября того же года Боранбаев прибыл в Оренбург и принял от народного комиссара и прокурора республики </w:t>
      </w:r>
      <w:r>
        <w:rPr>
          <w:rFonts w:ascii="Times New Roman" w:eastAsia="Times New Roman" w:hAnsi="Times New Roman" w:cs="Times New Roman"/>
          <w:sz w:val="28"/>
        </w:rPr>
        <w:t xml:space="preserve">Ералина всю документацию. </w:t>
      </w:r>
    </w:p>
    <w:p w:rsidR="0052701D" w:rsidRDefault="00D40929">
      <w:pPr>
        <w:spacing w:after="5" w:line="271" w:lineRule="auto"/>
        <w:ind w:left="9" w:right="64" w:firstLine="711"/>
        <w:jc w:val="both"/>
      </w:pPr>
      <w:r>
        <w:rPr>
          <w:rFonts w:ascii="Times New Roman" w:eastAsia="Times New Roman" w:hAnsi="Times New Roman" w:cs="Times New Roman"/>
          <w:sz w:val="28"/>
        </w:rPr>
        <w:t>При выборе кандидатуры Боранбаева ставка была сделана прежде всего на его профессиональный опыт, многолетний стаж и деловые качества. Дважды побывав в Китае – в 1918, 1923 гг., он организовал своим соотечественникамбеженцам возвр</w:t>
      </w:r>
      <w:r>
        <w:rPr>
          <w:rFonts w:ascii="Times New Roman" w:eastAsia="Times New Roman" w:hAnsi="Times New Roman" w:cs="Times New Roman"/>
          <w:sz w:val="28"/>
        </w:rPr>
        <w:t>ащение на родную землю; во время проведения земельных реформ, связанных отчасти с возвращением освоенных русскими жетысуских земель, исполнял ответственные должности. Хорошо осведомленный о заслугах жетысуского прокурора Боранбаева, второй секретарь Краево</w:t>
      </w:r>
      <w:r>
        <w:rPr>
          <w:rFonts w:ascii="Times New Roman" w:eastAsia="Times New Roman" w:hAnsi="Times New Roman" w:cs="Times New Roman"/>
          <w:sz w:val="28"/>
        </w:rPr>
        <w:t xml:space="preserve">го партийного комитета Султанбек Кожанов и предложил его кандидатуру в комиссары. </w:t>
      </w:r>
    </w:p>
    <w:p w:rsidR="0052701D" w:rsidRDefault="00D40929">
      <w:pPr>
        <w:spacing w:after="5" w:line="271" w:lineRule="auto"/>
        <w:ind w:left="9" w:right="64" w:firstLine="711"/>
        <w:jc w:val="both"/>
      </w:pPr>
      <w:r>
        <w:rPr>
          <w:rFonts w:ascii="Times New Roman" w:eastAsia="Times New Roman" w:hAnsi="Times New Roman" w:cs="Times New Roman"/>
          <w:sz w:val="28"/>
        </w:rPr>
        <w:t>Шесть месяцев пребывания на посту народного комиссара юстиции и прокурора республики — срок, ограничивший возможность доведения до конца многих самых благих начинаний. К при</w:t>
      </w:r>
      <w:r>
        <w:rPr>
          <w:rFonts w:ascii="Times New Roman" w:eastAsia="Times New Roman" w:hAnsi="Times New Roman" w:cs="Times New Roman"/>
          <w:sz w:val="28"/>
        </w:rPr>
        <w:t>меру, согласно принятому им специальному указу, в Жетысуской, Сырдарьинской губерниях, Каракалпакской автономной области казахстанское законодательство вступало в силу с 27 ноября 1924 года. То есть, местные судебно-следственные органы, прокуратура коренны</w:t>
      </w:r>
      <w:r>
        <w:rPr>
          <w:rFonts w:ascii="Times New Roman" w:eastAsia="Times New Roman" w:hAnsi="Times New Roman" w:cs="Times New Roman"/>
          <w:sz w:val="28"/>
        </w:rPr>
        <w:t>м образом изменяли русло своей деятельности. Боранбаеву не суждено было довести начатое дело до конца. Также в начале 1925 года намечалось провести общеказахский съезд судебных работников, но в связи с перемещением столицы, требующим больших хлопот по обус</w:t>
      </w:r>
      <w:r>
        <w:rPr>
          <w:rFonts w:ascii="Times New Roman" w:eastAsia="Times New Roman" w:hAnsi="Times New Roman" w:cs="Times New Roman"/>
          <w:sz w:val="28"/>
        </w:rPr>
        <w:t>тройству, дело дальше “повестки дня” не продвинулось. Из-за нехватки жилья в новую столицу решено было в первую очередь “перебросить” ответственных работников. Состав комиссариата заметно сократился. Таким образом, когда государственные учреждения перебази</w:t>
      </w:r>
      <w:r>
        <w:rPr>
          <w:rFonts w:ascii="Times New Roman" w:eastAsia="Times New Roman" w:hAnsi="Times New Roman" w:cs="Times New Roman"/>
          <w:sz w:val="28"/>
        </w:rPr>
        <w:t xml:space="preserve">ровались в Кызылорду, новоназначенный прокурор Уральской губернии Канай Боранбаев направился на запад. </w:t>
      </w:r>
    </w:p>
    <w:p w:rsidR="0052701D" w:rsidRDefault="00D40929">
      <w:pPr>
        <w:spacing w:after="5" w:line="271" w:lineRule="auto"/>
        <w:ind w:left="9" w:right="64" w:firstLine="711"/>
        <w:jc w:val="both"/>
      </w:pPr>
      <w:r>
        <w:rPr>
          <w:rFonts w:ascii="Times New Roman" w:eastAsia="Times New Roman" w:hAnsi="Times New Roman" w:cs="Times New Roman"/>
          <w:sz w:val="28"/>
        </w:rPr>
        <w:t>За столь недолгое время пребывания на посту народного комиссара юстиции и прокурора республики Боранбаев подписал около 60 важных документов, определяющ</w:t>
      </w:r>
      <w:r>
        <w:rPr>
          <w:rFonts w:ascii="Times New Roman" w:eastAsia="Times New Roman" w:hAnsi="Times New Roman" w:cs="Times New Roman"/>
          <w:sz w:val="28"/>
        </w:rPr>
        <w:t>их направленность правоохранительных органов. Под председательством Боранбаева было проведено 13 совещаний Коллегии комиссариата юстиции. По сравнению с комиссарами Нурмаковым, Ералиным, в этом отношении он заметно преуспел. То есть, склонность к коллегиал</w:t>
      </w:r>
      <w:r>
        <w:rPr>
          <w:rFonts w:ascii="Times New Roman" w:eastAsia="Times New Roman" w:hAnsi="Times New Roman" w:cs="Times New Roman"/>
          <w:sz w:val="28"/>
        </w:rPr>
        <w:t>ьному разрешению назревших проблем высвечивает его организаторские способности руководителя. Внутренняя дисциплина комиссариата находилась под его бдительным оком. С первых же дней пребывания на посту комиссара Боранбаев утвердил правило о внутреннем рабоч</w:t>
      </w:r>
      <w:r>
        <w:rPr>
          <w:rFonts w:ascii="Times New Roman" w:eastAsia="Times New Roman" w:hAnsi="Times New Roman" w:cs="Times New Roman"/>
          <w:sz w:val="28"/>
        </w:rPr>
        <w:t xml:space="preserve">ем распорядке. На его основе подготовил </w:t>
      </w:r>
      <w:r>
        <w:rPr>
          <w:rFonts w:ascii="Times New Roman" w:eastAsia="Times New Roman" w:hAnsi="Times New Roman" w:cs="Times New Roman"/>
          <w:sz w:val="28"/>
        </w:rPr>
        <w:lastRenderedPageBreak/>
        <w:t xml:space="preserve">указания относительно обязанностей каждого из работников. Заведующим отделов было поручено контролировать трудовую дисциплину и даже делать отметки в специальном журнале. </w:t>
      </w:r>
    </w:p>
    <w:p w:rsidR="0052701D" w:rsidRDefault="00D40929">
      <w:pPr>
        <w:spacing w:after="5" w:line="271" w:lineRule="auto"/>
        <w:ind w:left="9" w:right="64" w:firstLine="711"/>
        <w:jc w:val="both"/>
      </w:pPr>
      <w:r>
        <w:rPr>
          <w:rFonts w:ascii="Times New Roman" w:eastAsia="Times New Roman" w:hAnsi="Times New Roman" w:cs="Times New Roman"/>
          <w:sz w:val="28"/>
        </w:rPr>
        <w:t>Смело руководствуясь собственной позицией от</w:t>
      </w:r>
      <w:r>
        <w:rPr>
          <w:rFonts w:ascii="Times New Roman" w:eastAsia="Times New Roman" w:hAnsi="Times New Roman" w:cs="Times New Roman"/>
          <w:sz w:val="28"/>
        </w:rPr>
        <w:t>носительно кадровых вопросов, Боранбаев всемерно способствовал привлечению в состав комиссариата деловых, образованных молодых казахов. Так, в период кампании партийной чистки он покровительствует находящемуся в списке политически подозреваемых Кадырбаеву,</w:t>
      </w:r>
      <w:r>
        <w:rPr>
          <w:rFonts w:ascii="Times New Roman" w:eastAsia="Times New Roman" w:hAnsi="Times New Roman" w:cs="Times New Roman"/>
          <w:sz w:val="28"/>
        </w:rPr>
        <w:t xml:space="preserve"> аргументируя: «В комиссариате это один из немногих знающих свое дело казахов». </w:t>
      </w:r>
    </w:p>
    <w:p w:rsidR="0052701D" w:rsidRDefault="00D40929">
      <w:pPr>
        <w:spacing w:after="5" w:line="271" w:lineRule="auto"/>
        <w:ind w:left="9" w:right="64" w:firstLine="711"/>
        <w:jc w:val="both"/>
      </w:pPr>
      <w:r>
        <w:rPr>
          <w:rFonts w:ascii="Times New Roman" w:eastAsia="Times New Roman" w:hAnsi="Times New Roman" w:cs="Times New Roman"/>
          <w:sz w:val="28"/>
        </w:rPr>
        <w:t>На первый взгляд незначительная деталь: он уделял особое внимание возложению обязанностей соответственно способностям каждого. Телеграмма, посланная Боранбаевым 24 декабря 192</w:t>
      </w:r>
      <w:r>
        <w:rPr>
          <w:rFonts w:ascii="Times New Roman" w:eastAsia="Times New Roman" w:hAnsi="Times New Roman" w:cs="Times New Roman"/>
          <w:sz w:val="28"/>
        </w:rPr>
        <w:t>4 года в Костанай, гласит: «Арыстанбеков очень нужен прокуратуре, поэтому для губсуда найдите другую кандидатуру». На этом фоне возникает другая картина. Побывавший в Костанае в 1922 году Смагул Садвокасов возмущенно высказался: «Русские коммунистышовинист</w:t>
      </w:r>
      <w:r>
        <w:rPr>
          <w:rFonts w:ascii="Times New Roman" w:eastAsia="Times New Roman" w:hAnsi="Times New Roman" w:cs="Times New Roman"/>
          <w:sz w:val="28"/>
        </w:rPr>
        <w:t xml:space="preserve">ы «связывают руки» Таутану Арыстанбекову, не допуская к какомулибо делу и ему подобные казахи могли бы такие дела вершить ...»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При утверждении списка ответственных работников, – избранного круга имеющих возможность обосноваться в новой столице Кызылорде, </w:t>
      </w:r>
      <w:r>
        <w:rPr>
          <w:rFonts w:ascii="Times New Roman" w:eastAsia="Times New Roman" w:hAnsi="Times New Roman" w:cs="Times New Roman"/>
          <w:sz w:val="28"/>
        </w:rPr>
        <w:t>— комиссар включил в него юного выпускника Московских высших юридических курсов, помощника прокурора республики Мырзагула Атаниязова, выпускников юридического факультета Казанского университета, члена Коллегии Ахмета Биримжанова и прокурора Салимгерея Нура</w:t>
      </w:r>
      <w:r>
        <w:rPr>
          <w:rFonts w:ascii="Times New Roman" w:eastAsia="Times New Roman" w:hAnsi="Times New Roman" w:cs="Times New Roman"/>
          <w:sz w:val="28"/>
        </w:rPr>
        <w:t>лыханова, окончившего юридический факультет Петербургского университета следователя по особо важным делам Габбаса Сейдалина (в некоторых документах значится как Аббас), народного учителя, с 1904 года находящегося в судейской сфере, заведующего отделом судо</w:t>
      </w:r>
      <w:r>
        <w:rPr>
          <w:rFonts w:ascii="Times New Roman" w:eastAsia="Times New Roman" w:hAnsi="Times New Roman" w:cs="Times New Roman"/>
          <w:sz w:val="28"/>
        </w:rPr>
        <w:t xml:space="preserve">устройства и надзора Сейдазима Кадырбаева и многих других [3]. Укрепляя шансы молодых образованных соотечественников, Боранбаев проявлял заботу прежде всего о будущем своего народа. </w:t>
      </w:r>
    </w:p>
    <w:p w:rsidR="0052701D" w:rsidRDefault="00D40929">
      <w:pPr>
        <w:spacing w:after="5" w:line="271" w:lineRule="auto"/>
        <w:ind w:left="9" w:right="64" w:firstLine="711"/>
        <w:jc w:val="both"/>
      </w:pPr>
      <w:r>
        <w:rPr>
          <w:rFonts w:ascii="Times New Roman" w:eastAsia="Times New Roman" w:hAnsi="Times New Roman" w:cs="Times New Roman"/>
          <w:sz w:val="28"/>
        </w:rPr>
        <w:t>В 1924–1925 годы в период полного обновления состава губернских судов под</w:t>
      </w:r>
      <w:r>
        <w:rPr>
          <w:rFonts w:ascii="Times New Roman" w:eastAsia="Times New Roman" w:hAnsi="Times New Roman" w:cs="Times New Roman"/>
          <w:sz w:val="28"/>
        </w:rPr>
        <w:t xml:space="preserve"> председательством Боранбаева коллегия дважды обсуждала проблему выборов. В итоге в местные округа было направлено несколько документов, определяющих ориентиры проведения предстоящих выборов: секретное письмо № 5, письма-отношения № 10, № 39, ответное пись</w:t>
      </w:r>
      <w:r>
        <w:rPr>
          <w:rFonts w:ascii="Times New Roman" w:eastAsia="Times New Roman" w:hAnsi="Times New Roman" w:cs="Times New Roman"/>
          <w:sz w:val="28"/>
        </w:rPr>
        <w:t xml:space="preserve">мо №735, содержащих следующие предложения и требования: </w:t>
      </w:r>
    </w:p>
    <w:p w:rsidR="0052701D" w:rsidRDefault="00D40929">
      <w:pPr>
        <w:numPr>
          <w:ilvl w:val="0"/>
          <w:numId w:val="77"/>
        </w:numPr>
        <w:spacing w:after="5" w:line="271" w:lineRule="auto"/>
        <w:ind w:right="64" w:firstLine="711"/>
        <w:jc w:val="both"/>
      </w:pPr>
      <w:r>
        <w:rPr>
          <w:rFonts w:ascii="Times New Roman" w:eastAsia="Times New Roman" w:hAnsi="Times New Roman" w:cs="Times New Roman"/>
          <w:sz w:val="28"/>
        </w:rPr>
        <w:t xml:space="preserve">культура поведения судей, находящихся в непосредственном контакте с народными массами, должна быть безукоризненной. </w:t>
      </w:r>
    </w:p>
    <w:p w:rsidR="0052701D" w:rsidRDefault="00D40929">
      <w:pPr>
        <w:numPr>
          <w:ilvl w:val="0"/>
          <w:numId w:val="77"/>
        </w:numPr>
        <w:spacing w:after="5" w:line="271" w:lineRule="auto"/>
        <w:ind w:right="64" w:firstLine="711"/>
        <w:jc w:val="both"/>
      </w:pPr>
      <w:r>
        <w:rPr>
          <w:rFonts w:ascii="Times New Roman" w:eastAsia="Times New Roman" w:hAnsi="Times New Roman" w:cs="Times New Roman"/>
          <w:sz w:val="28"/>
        </w:rPr>
        <w:lastRenderedPageBreak/>
        <w:t>для привлечения в состав судебно-следственных органов умелых кадров создать инстит</w:t>
      </w:r>
      <w:r>
        <w:rPr>
          <w:rFonts w:ascii="Times New Roman" w:eastAsia="Times New Roman" w:hAnsi="Times New Roman" w:cs="Times New Roman"/>
          <w:sz w:val="28"/>
        </w:rPr>
        <w:t xml:space="preserve">ут практикантов, в случае необходимости наиболее отличившихся в ходе проведения специальных программ использовать в качестве судей в запасе. </w:t>
      </w:r>
    </w:p>
    <w:p w:rsidR="0052701D" w:rsidRDefault="00D40929">
      <w:pPr>
        <w:numPr>
          <w:ilvl w:val="0"/>
          <w:numId w:val="77"/>
        </w:numPr>
        <w:spacing w:after="5" w:line="271" w:lineRule="auto"/>
        <w:ind w:right="64" w:firstLine="711"/>
        <w:jc w:val="both"/>
      </w:pPr>
      <w:r>
        <w:rPr>
          <w:rFonts w:ascii="Times New Roman" w:eastAsia="Times New Roman" w:hAnsi="Times New Roman" w:cs="Times New Roman"/>
          <w:sz w:val="28"/>
        </w:rPr>
        <w:t>использовать все возможности вовлечения в судебную деятельность женского пола, при включении в состав народных зас</w:t>
      </w:r>
      <w:r>
        <w:rPr>
          <w:rFonts w:ascii="Times New Roman" w:eastAsia="Times New Roman" w:hAnsi="Times New Roman" w:cs="Times New Roman"/>
          <w:sz w:val="28"/>
        </w:rPr>
        <w:t xml:space="preserve">едателей женщин применять опыт института практикантов и т. д. </w:t>
      </w:r>
    </w:p>
    <w:p w:rsidR="0052701D" w:rsidRDefault="00D40929">
      <w:pPr>
        <w:spacing w:after="5" w:line="271" w:lineRule="auto"/>
        <w:ind w:left="9" w:right="64" w:firstLine="711"/>
        <w:jc w:val="both"/>
      </w:pPr>
      <w:r>
        <w:rPr>
          <w:rFonts w:ascii="Times New Roman" w:eastAsia="Times New Roman" w:hAnsi="Times New Roman" w:cs="Times New Roman"/>
          <w:sz w:val="28"/>
        </w:rPr>
        <w:t>Комиссариат бдительно контролировал ход выборов. Состав судебноследственных органов обновился на 70 процентов, т. е. максимально. К примеру, в Семипалатинском Губсуде 63 работника из 82 были пе</w:t>
      </w:r>
      <w:r>
        <w:rPr>
          <w:rFonts w:ascii="Times New Roman" w:eastAsia="Times New Roman" w:hAnsi="Times New Roman" w:cs="Times New Roman"/>
          <w:sz w:val="28"/>
        </w:rPr>
        <w:t xml:space="preserve">реизбраны. Ряды народных заседателей пополнили 224 новичка. Из них 155 были русские, 69 — казахи (196 мужчин, 28 женщин). </w:t>
      </w:r>
    </w:p>
    <w:p w:rsidR="0052701D" w:rsidRDefault="00D40929">
      <w:pPr>
        <w:spacing w:after="5" w:line="271" w:lineRule="auto"/>
        <w:ind w:left="9" w:right="64" w:firstLine="711"/>
        <w:jc w:val="both"/>
      </w:pPr>
      <w:r>
        <w:rPr>
          <w:rFonts w:ascii="Times New Roman" w:eastAsia="Times New Roman" w:hAnsi="Times New Roman" w:cs="Times New Roman"/>
          <w:sz w:val="28"/>
        </w:rPr>
        <w:t>На состоявшемся 2 января 1925 года совещании коллегии комиссариата проводилось специальное рассмотрение дополнительной IХ части, введ</w:t>
      </w:r>
      <w:r>
        <w:rPr>
          <w:rFonts w:ascii="Times New Roman" w:eastAsia="Times New Roman" w:hAnsi="Times New Roman" w:cs="Times New Roman"/>
          <w:sz w:val="28"/>
        </w:rPr>
        <w:t>енный в Уголовный кодекс РСФСР. Ознакомив собравшихся с целью и задачами предстоящего дела, Боранбаев распорядился следующим образом: Кадырбаеву поручалось подготовить статью, комментирующую сущность бытовых преступлений и опубликовать во всех казахскоязыч</w:t>
      </w:r>
      <w:r>
        <w:rPr>
          <w:rFonts w:ascii="Times New Roman" w:eastAsia="Times New Roman" w:hAnsi="Times New Roman" w:cs="Times New Roman"/>
          <w:sz w:val="28"/>
        </w:rPr>
        <w:t>ных изданиях; отдел судоустройства и надзора получил инструкцию о проведении открытых процессов относительно дел, касающихся бытовых преступлений; отделу Прокуратуры было поручено осуществлять непрерывный контроль над продвижением дел, вовлекать в состав о</w:t>
      </w:r>
      <w:r>
        <w:rPr>
          <w:rFonts w:ascii="Times New Roman" w:eastAsia="Times New Roman" w:hAnsi="Times New Roman" w:cs="Times New Roman"/>
          <w:sz w:val="28"/>
        </w:rPr>
        <w:t xml:space="preserve">бщественных обвинителей женщин, а также в союзе с женским отделом расширить пропаганду законов. </w:t>
      </w:r>
    </w:p>
    <w:p w:rsidR="0052701D" w:rsidRDefault="00D40929">
      <w:pPr>
        <w:spacing w:after="5" w:line="271" w:lineRule="auto"/>
        <w:ind w:left="9" w:right="64" w:firstLine="711"/>
        <w:jc w:val="both"/>
      </w:pPr>
      <w:r>
        <w:rPr>
          <w:rFonts w:ascii="Times New Roman" w:eastAsia="Times New Roman" w:hAnsi="Times New Roman" w:cs="Times New Roman"/>
          <w:sz w:val="28"/>
        </w:rPr>
        <w:t>Наспех подписанное 13 января Боранбаевым письмо-отношение конкретно предписывало роль и функции губернских прокуратур, судов по вышеназванной проблеме. То есть</w:t>
      </w:r>
      <w:r>
        <w:rPr>
          <w:rFonts w:ascii="Times New Roman" w:eastAsia="Times New Roman" w:hAnsi="Times New Roman" w:cs="Times New Roman"/>
          <w:sz w:val="28"/>
        </w:rPr>
        <w:t>, согласно вступлению в законную силу с 27 ноября 1924 года дополнительно введенной IХ части Уголовного кодекса, судебные процессы, касающиеся проблем выплат куна, барымты, калыма, многоженства, насильственной выдачи замуж, принуждения к браку несовершенно</w:t>
      </w:r>
      <w:r>
        <w:rPr>
          <w:rFonts w:ascii="Times New Roman" w:eastAsia="Times New Roman" w:hAnsi="Times New Roman" w:cs="Times New Roman"/>
          <w:sz w:val="28"/>
        </w:rPr>
        <w:t xml:space="preserve">летних, строго предписывалось рассматривать на открытых судебных процессах. </w:t>
      </w:r>
    </w:p>
    <w:p w:rsidR="0052701D" w:rsidRDefault="00D40929">
      <w:pPr>
        <w:spacing w:after="5" w:line="271" w:lineRule="auto"/>
        <w:ind w:left="9" w:right="64" w:firstLine="711"/>
        <w:jc w:val="both"/>
      </w:pPr>
      <w:r>
        <w:rPr>
          <w:rFonts w:ascii="Times New Roman" w:eastAsia="Times New Roman" w:hAnsi="Times New Roman" w:cs="Times New Roman"/>
          <w:sz w:val="28"/>
        </w:rPr>
        <w:t>Но традиции всегда имели большую силу, поэтому совсем непросто было доказать, что ставшие привычными в народе явления представляли собой нарушение законности. Именно по этой причи</w:t>
      </w:r>
      <w:r>
        <w:rPr>
          <w:rFonts w:ascii="Times New Roman" w:eastAsia="Times New Roman" w:hAnsi="Times New Roman" w:cs="Times New Roman"/>
          <w:sz w:val="28"/>
        </w:rPr>
        <w:t>не предпринятая инициатива больше походила на борьбу с ветряными мельницами, о чем. И говорит содержание поступивших на имя Боранбаева писем: «...заместитель председателя Исполнительного комитета Жанкумской волости Ординского уезда Жанбаулин взял вторую же</w:t>
      </w:r>
      <w:r>
        <w:rPr>
          <w:rFonts w:ascii="Times New Roman" w:eastAsia="Times New Roman" w:hAnsi="Times New Roman" w:cs="Times New Roman"/>
          <w:sz w:val="28"/>
        </w:rPr>
        <w:t xml:space="preserve">ну, уплатив в качестве калыма 75 рублей...» или: «В Букеевской губернии процветает скотокрадство. Местное руководство потворствует им, скрывая и содействуя. Подделка документов на скот </w:t>
      </w:r>
      <w:r>
        <w:rPr>
          <w:rFonts w:ascii="Times New Roman" w:eastAsia="Times New Roman" w:hAnsi="Times New Roman" w:cs="Times New Roman"/>
          <w:sz w:val="28"/>
        </w:rPr>
        <w:lastRenderedPageBreak/>
        <w:t>зарегистрирована в Канбактинской, Батырбекской волостях...» Еще одно пи</w:t>
      </w:r>
      <w:r>
        <w:rPr>
          <w:rFonts w:ascii="Times New Roman" w:eastAsia="Times New Roman" w:hAnsi="Times New Roman" w:cs="Times New Roman"/>
          <w:sz w:val="28"/>
        </w:rPr>
        <w:t>сьмо: «Темирском уезде адай-табыны упорно цепляются за старые обычаи. В период осенней ярмарки они потребовали с местных жителей кун за убитого в 1920- 1921 году табына. В случае неисполнения их требования грозились объявить барымту. По решению совета акса</w:t>
      </w:r>
      <w:r>
        <w:rPr>
          <w:rFonts w:ascii="Times New Roman" w:eastAsia="Times New Roman" w:hAnsi="Times New Roman" w:cs="Times New Roman"/>
          <w:sz w:val="28"/>
        </w:rPr>
        <w:t xml:space="preserve">калов — Сарсена, Кабыла, Исы, Макана виновная сторона обязалась выплатить кун ...». </w:t>
      </w:r>
    </w:p>
    <w:p w:rsidR="0052701D" w:rsidRDefault="00D40929">
      <w:pPr>
        <w:spacing w:after="5" w:line="271" w:lineRule="auto"/>
        <w:ind w:left="9" w:right="64" w:firstLine="711"/>
        <w:jc w:val="both"/>
      </w:pPr>
      <w:r>
        <w:rPr>
          <w:rFonts w:ascii="Times New Roman" w:eastAsia="Times New Roman" w:hAnsi="Times New Roman" w:cs="Times New Roman"/>
          <w:sz w:val="28"/>
        </w:rPr>
        <w:t>Боранбаев осознавал нелегкость противостояния обычаям, воспринимающиеся обществом как норма жизни. Совместно с председателем Верховного Суда Мукашевым он разрабатывает сле</w:t>
      </w:r>
      <w:r>
        <w:rPr>
          <w:rFonts w:ascii="Times New Roman" w:eastAsia="Times New Roman" w:hAnsi="Times New Roman" w:cs="Times New Roman"/>
          <w:sz w:val="28"/>
        </w:rPr>
        <w:t>дующую тактику борьбы: в случае обнаружения признаков разбоя в действиях вооруженной группы, участвующей в угоне скота, то есть при произведении выстрела, нанесении раны, наличии факта убийства, согласно 184 второй части Уловного кодекса, применима мера тя</w:t>
      </w:r>
      <w:r>
        <w:rPr>
          <w:rFonts w:ascii="Times New Roman" w:eastAsia="Times New Roman" w:hAnsi="Times New Roman" w:cs="Times New Roman"/>
          <w:sz w:val="28"/>
        </w:rPr>
        <w:t xml:space="preserve">жкого наказания. Об этом местные судебные органы инструктировало письмо-отношение от 7 января 1925 года [4]. </w:t>
      </w:r>
    </w:p>
    <w:p w:rsidR="0052701D" w:rsidRDefault="00D40929">
      <w:pPr>
        <w:spacing w:after="5" w:line="271" w:lineRule="auto"/>
        <w:ind w:left="9" w:right="64" w:firstLine="711"/>
        <w:jc w:val="both"/>
      </w:pPr>
      <w:r>
        <w:rPr>
          <w:rFonts w:ascii="Times New Roman" w:eastAsia="Times New Roman" w:hAnsi="Times New Roman" w:cs="Times New Roman"/>
          <w:sz w:val="28"/>
        </w:rPr>
        <w:t>Канай Боранбаев принимает участие в общеказахском V съезде, проведенном 15–19 апреля 1925 года в Ак-Мечети. Накануне съезда была подготовлена инфо</w:t>
      </w:r>
      <w:r>
        <w:rPr>
          <w:rFonts w:ascii="Times New Roman" w:eastAsia="Times New Roman" w:hAnsi="Times New Roman" w:cs="Times New Roman"/>
          <w:sz w:val="28"/>
        </w:rPr>
        <w:t>рмация-справка о ходе деятельности судебно-следственных органов, прокурорского надзора, нотариальных контор. Она была опубликована оренбургским издательством Караван-Сарай” под названием «Отчет Правительства Киргизской АССР 5-му Всекиргизскому съезду Совет</w:t>
      </w:r>
      <w:r>
        <w:rPr>
          <w:rFonts w:ascii="Times New Roman" w:eastAsia="Times New Roman" w:hAnsi="Times New Roman" w:cs="Times New Roman"/>
          <w:sz w:val="28"/>
        </w:rPr>
        <w:t xml:space="preserve">ов». 22 апреля того же года Боранбаев посещает Оренбург, откуда отбывает в Москву на съезд Советов РСФСР </w:t>
      </w:r>
    </w:p>
    <w:p w:rsidR="0052701D" w:rsidRDefault="00D40929">
      <w:pPr>
        <w:spacing w:after="5" w:line="271" w:lineRule="auto"/>
        <w:ind w:left="9" w:right="64" w:firstLine="711"/>
        <w:jc w:val="both"/>
      </w:pPr>
      <w:r>
        <w:rPr>
          <w:rFonts w:ascii="Times New Roman" w:eastAsia="Times New Roman" w:hAnsi="Times New Roman" w:cs="Times New Roman"/>
          <w:sz w:val="28"/>
        </w:rPr>
        <w:t>Вскоре согласно решению общеказахского V съезда пост народного комиссара юстиции и прокурора республики переходит к Садуакасу Мамбееву с 18 мая 1925 г</w:t>
      </w:r>
      <w:r>
        <w:rPr>
          <w:rFonts w:ascii="Times New Roman" w:eastAsia="Times New Roman" w:hAnsi="Times New Roman" w:cs="Times New Roman"/>
          <w:sz w:val="28"/>
        </w:rPr>
        <w:t xml:space="preserve">ода. Боранбаев переводится на прокурорскую должность в составе комиссариата юстиции. </w:t>
      </w:r>
    </w:p>
    <w:p w:rsidR="0052701D" w:rsidRDefault="00D40929">
      <w:pPr>
        <w:spacing w:after="5" w:line="271" w:lineRule="auto"/>
        <w:ind w:left="9" w:right="64" w:firstLine="711"/>
        <w:jc w:val="both"/>
      </w:pPr>
      <w:r>
        <w:rPr>
          <w:rFonts w:ascii="Times New Roman" w:eastAsia="Times New Roman" w:hAnsi="Times New Roman" w:cs="Times New Roman"/>
          <w:sz w:val="28"/>
        </w:rPr>
        <w:t>А тем временем голощекинские агенты занялись сбором “сведений” относительно его личности. В 1928 году Боранбаева вновь исключают из партии. Почувствовавший опасность Кана</w:t>
      </w:r>
      <w:r>
        <w:rPr>
          <w:rFonts w:ascii="Times New Roman" w:eastAsia="Times New Roman" w:hAnsi="Times New Roman" w:cs="Times New Roman"/>
          <w:sz w:val="28"/>
        </w:rPr>
        <w:t>й был вынужден скрываться в Киргизии. Позже (с 1931 года) исполнял должность зоотехника земельного народного комиссариата в Узбекистане. В начале 1933 года находящегося на посту директора совхоза «Кызыл-Чарвадор» Боранбаева взяли под стражу. Погибают самые</w:t>
      </w:r>
      <w:r>
        <w:rPr>
          <w:rFonts w:ascii="Times New Roman" w:eastAsia="Times New Roman" w:hAnsi="Times New Roman" w:cs="Times New Roman"/>
          <w:sz w:val="28"/>
        </w:rPr>
        <w:t xml:space="preserve"> близкие ему люди: жена и сын. Это был для него страшный удар. Под конец за антиправительственную агитацию среди заключенных и призыв объявить голодовку, за открытое выражение протеста ссыльному Боранбаеву решением «тройки» был вынесен смертный приговор, п</w:t>
      </w:r>
      <w:r>
        <w:rPr>
          <w:rFonts w:ascii="Times New Roman" w:eastAsia="Times New Roman" w:hAnsi="Times New Roman" w:cs="Times New Roman"/>
          <w:sz w:val="28"/>
        </w:rPr>
        <w:t xml:space="preserve">риведенный в исполнение 15 января 1938 года в Магадане. </w:t>
      </w:r>
    </w:p>
    <w:p w:rsidR="0052701D" w:rsidRDefault="00D40929">
      <w:pPr>
        <w:spacing w:after="68"/>
        <w:ind w:left="711"/>
      </w:pPr>
      <w:r>
        <w:rPr>
          <w:rFonts w:ascii="Times New Roman" w:eastAsia="Times New Roman" w:hAnsi="Times New Roman" w:cs="Times New Roman"/>
          <w:b/>
          <w:sz w:val="24"/>
        </w:rPr>
        <w:lastRenderedPageBreak/>
        <w:t xml:space="preserve"> </w:t>
      </w:r>
    </w:p>
    <w:p w:rsidR="0052701D" w:rsidRDefault="00D40929">
      <w:pPr>
        <w:spacing w:after="5" w:line="271" w:lineRule="auto"/>
        <w:ind w:left="642" w:hanging="10"/>
        <w:jc w:val="center"/>
      </w:pPr>
      <w:r>
        <w:rPr>
          <w:rFonts w:ascii="Times New Roman" w:eastAsia="Times New Roman" w:hAnsi="Times New Roman" w:cs="Times New Roman"/>
          <w:b/>
          <w:sz w:val="28"/>
        </w:rPr>
        <w:t xml:space="preserve">Источники </w:t>
      </w:r>
    </w:p>
    <w:p w:rsidR="0052701D" w:rsidRDefault="00D40929">
      <w:pPr>
        <w:spacing w:after="0"/>
        <w:ind w:left="711"/>
      </w:pPr>
      <w:r>
        <w:rPr>
          <w:rFonts w:ascii="Times New Roman" w:eastAsia="Times New Roman" w:hAnsi="Times New Roman" w:cs="Times New Roman"/>
          <w:b/>
          <w:sz w:val="28"/>
        </w:rPr>
        <w:t xml:space="preserve"> </w:t>
      </w:r>
    </w:p>
    <w:p w:rsidR="0052701D" w:rsidRDefault="00D40929">
      <w:pPr>
        <w:numPr>
          <w:ilvl w:val="0"/>
          <w:numId w:val="78"/>
        </w:numPr>
        <w:spacing w:after="5" w:line="271" w:lineRule="auto"/>
        <w:ind w:right="64" w:hanging="398"/>
        <w:jc w:val="both"/>
      </w:pPr>
      <w:r>
        <w:rPr>
          <w:rFonts w:ascii="Times New Roman" w:eastAsia="Times New Roman" w:hAnsi="Times New Roman" w:cs="Times New Roman"/>
          <w:sz w:val="28"/>
        </w:rPr>
        <w:t xml:space="preserve">ЦГА РК, ф. 1541., 1-опись, 2376-дело, 6-лист. </w:t>
      </w:r>
    </w:p>
    <w:p w:rsidR="0052701D" w:rsidRDefault="00D40929">
      <w:pPr>
        <w:numPr>
          <w:ilvl w:val="0"/>
          <w:numId w:val="78"/>
        </w:numPr>
        <w:spacing w:after="5" w:line="271" w:lineRule="auto"/>
        <w:ind w:right="64" w:hanging="398"/>
        <w:jc w:val="both"/>
      </w:pPr>
      <w:r>
        <w:rPr>
          <w:rFonts w:ascii="Times New Roman" w:eastAsia="Times New Roman" w:hAnsi="Times New Roman" w:cs="Times New Roman"/>
          <w:sz w:val="28"/>
        </w:rPr>
        <w:t xml:space="preserve">ЦГА РК, ф. 1541., 1-опись, 2376-дело, 1-лист.  </w:t>
      </w:r>
    </w:p>
    <w:p w:rsidR="0052701D" w:rsidRDefault="00D40929">
      <w:pPr>
        <w:numPr>
          <w:ilvl w:val="0"/>
          <w:numId w:val="78"/>
        </w:numPr>
        <w:spacing w:after="5" w:line="271" w:lineRule="auto"/>
        <w:ind w:right="64" w:hanging="398"/>
        <w:jc w:val="both"/>
      </w:pPr>
      <w:r>
        <w:rPr>
          <w:rFonts w:ascii="Times New Roman" w:eastAsia="Times New Roman" w:hAnsi="Times New Roman" w:cs="Times New Roman"/>
          <w:sz w:val="28"/>
        </w:rPr>
        <w:t xml:space="preserve">ЦГА РК, ф. 30, 1-оп., 467-дело, 52-л. </w:t>
      </w:r>
    </w:p>
    <w:p w:rsidR="0052701D" w:rsidRDefault="00D40929">
      <w:pPr>
        <w:numPr>
          <w:ilvl w:val="0"/>
          <w:numId w:val="78"/>
        </w:numPr>
        <w:spacing w:after="5" w:line="271" w:lineRule="auto"/>
        <w:ind w:right="64" w:hanging="398"/>
        <w:jc w:val="both"/>
      </w:pPr>
      <w:r>
        <w:rPr>
          <w:rFonts w:ascii="Times New Roman" w:eastAsia="Times New Roman" w:hAnsi="Times New Roman" w:cs="Times New Roman"/>
          <w:sz w:val="28"/>
        </w:rPr>
        <w:t xml:space="preserve">ЦГА РК, ф.1380, 1-оп., 35-дело, 3-л. </w:t>
      </w:r>
    </w:p>
    <w:p w:rsidR="0052701D" w:rsidRDefault="00D40929">
      <w:pPr>
        <w:spacing w:after="60"/>
        <w:ind w:left="567"/>
      </w:pPr>
      <w:r>
        <w:rPr>
          <w:rFonts w:ascii="Times New Roman" w:eastAsia="Times New Roman" w:hAnsi="Times New Roman" w:cs="Times New Roman"/>
          <w:sz w:val="24"/>
        </w:rPr>
        <w:t xml:space="preserve"> </w:t>
      </w:r>
    </w:p>
    <w:p w:rsidR="0052701D" w:rsidRDefault="00D40929">
      <w:pPr>
        <w:spacing w:after="60"/>
        <w:ind w:left="567"/>
      </w:pPr>
      <w:r>
        <w:rPr>
          <w:rFonts w:ascii="Times New Roman" w:eastAsia="Times New Roman" w:hAnsi="Times New Roman" w:cs="Times New Roman"/>
          <w:sz w:val="24"/>
        </w:rPr>
        <w:t xml:space="preserve"> </w:t>
      </w:r>
    </w:p>
    <w:p w:rsidR="0052701D" w:rsidRDefault="00D40929">
      <w:pPr>
        <w:spacing w:after="0"/>
        <w:ind w:left="567"/>
      </w:pPr>
      <w:r>
        <w:rPr>
          <w:rFonts w:ascii="Times New Roman" w:eastAsia="Times New Roman" w:hAnsi="Times New Roman" w:cs="Times New Roman"/>
          <w:sz w:val="24"/>
        </w:rPr>
        <w:t xml:space="preserve"> </w:t>
      </w:r>
    </w:p>
    <w:p w:rsidR="0052701D" w:rsidRDefault="00D40929">
      <w:pPr>
        <w:spacing w:after="48" w:line="271" w:lineRule="auto"/>
        <w:ind w:left="-5" w:right="194" w:hanging="10"/>
      </w:pPr>
      <w:r>
        <w:rPr>
          <w:rFonts w:ascii="Times New Roman" w:eastAsia="Times New Roman" w:hAnsi="Times New Roman" w:cs="Times New Roman"/>
          <w:b/>
          <w:sz w:val="24"/>
        </w:rPr>
        <w:t xml:space="preserve">УДК </w:t>
      </w:r>
      <w:r>
        <w:rPr>
          <w:rFonts w:ascii="Times New Roman" w:eastAsia="Times New Roman" w:hAnsi="Times New Roman" w:cs="Times New Roman"/>
          <w:b/>
          <w:sz w:val="24"/>
        </w:rPr>
        <w:t xml:space="preserve">930 МРНТИ 00.45:06.81.23  </w:t>
      </w:r>
    </w:p>
    <w:p w:rsidR="0052701D" w:rsidRDefault="00D40929">
      <w:pPr>
        <w:spacing w:after="68"/>
      </w:pPr>
      <w:r>
        <w:rPr>
          <w:rFonts w:ascii="Times New Roman" w:eastAsia="Times New Roman" w:hAnsi="Times New Roman" w:cs="Times New Roman"/>
          <w:b/>
          <w:sz w:val="24"/>
        </w:rPr>
        <w:t xml:space="preserve"> </w:t>
      </w:r>
    </w:p>
    <w:p w:rsidR="0052701D" w:rsidRDefault="00D40929">
      <w:pPr>
        <w:pStyle w:val="1"/>
        <w:ind w:left="1090" w:right="0" w:firstLine="9"/>
        <w:jc w:val="left"/>
      </w:pPr>
      <w:r>
        <w:t xml:space="preserve">РОЛЬ СИБИРСКОГО КОРПУСА В ЗАВОЕВАНИИ ЮЖНОГО </w:t>
      </w:r>
    </w:p>
    <w:p w:rsidR="0052701D" w:rsidRDefault="00D40929">
      <w:pPr>
        <w:spacing w:after="5" w:line="271" w:lineRule="auto"/>
        <w:ind w:left="1090" w:firstLine="9"/>
      </w:pPr>
      <w:r>
        <w:rPr>
          <w:rFonts w:ascii="Times New Roman" w:eastAsia="Times New Roman" w:hAnsi="Times New Roman" w:cs="Times New Roman"/>
          <w:b/>
          <w:sz w:val="28"/>
        </w:rPr>
        <w:t xml:space="preserve">КАЗАХСТАНА </w:t>
      </w:r>
    </w:p>
    <w:p w:rsidR="0052701D" w:rsidRDefault="00D40929">
      <w:pPr>
        <w:spacing w:after="25"/>
        <w:ind w:left="711"/>
      </w:pPr>
      <w:r>
        <w:rPr>
          <w:rFonts w:ascii="Times New Roman" w:eastAsia="Times New Roman" w:hAnsi="Times New Roman" w:cs="Times New Roman"/>
          <w:sz w:val="24"/>
        </w:rPr>
        <w:t xml:space="preserve"> </w:t>
      </w:r>
    </w:p>
    <w:p w:rsidR="0052701D" w:rsidRDefault="00D40929">
      <w:pPr>
        <w:pStyle w:val="1"/>
        <w:spacing w:after="16" w:line="248" w:lineRule="auto"/>
        <w:ind w:left="819" w:right="179"/>
      </w:pPr>
      <w:r>
        <w:rPr>
          <w:sz w:val="24"/>
        </w:rPr>
        <w:t xml:space="preserve">К.К.  Кенжебеков </w:t>
      </w:r>
    </w:p>
    <w:p w:rsidR="0052701D" w:rsidRDefault="00D40929">
      <w:pPr>
        <w:spacing w:after="29" w:line="248" w:lineRule="auto"/>
        <w:ind w:left="1354" w:right="14"/>
        <w:jc w:val="both"/>
      </w:pPr>
      <w:r>
        <w:rPr>
          <w:rFonts w:ascii="Times New Roman" w:eastAsia="Times New Roman" w:hAnsi="Times New Roman" w:cs="Times New Roman"/>
          <w:sz w:val="24"/>
        </w:rPr>
        <w:t xml:space="preserve">Алматинский университет энергетики и связи имени Гумарбека Даукеева, </w:t>
      </w:r>
    </w:p>
    <w:p w:rsidR="0052701D" w:rsidRDefault="00D40929">
      <w:pPr>
        <w:spacing w:after="14" w:line="248" w:lineRule="auto"/>
        <w:ind w:left="713" w:right="76" w:hanging="5"/>
        <w:jc w:val="center"/>
      </w:pPr>
      <w:r>
        <w:rPr>
          <w:rFonts w:ascii="Times New Roman" w:eastAsia="Times New Roman" w:hAnsi="Times New Roman" w:cs="Times New Roman"/>
          <w:sz w:val="24"/>
        </w:rPr>
        <w:t xml:space="preserve">(Алматы, Казахстан)  </w:t>
      </w:r>
      <w:r>
        <w:rPr>
          <w:rFonts w:ascii="Times New Roman" w:eastAsia="Times New Roman" w:hAnsi="Times New Roman" w:cs="Times New Roman"/>
          <w:color w:val="0070C0"/>
          <w:sz w:val="24"/>
        </w:rPr>
        <w:t xml:space="preserve">kkapalbek@bk.ru </w:t>
      </w:r>
    </w:p>
    <w:p w:rsidR="0052701D" w:rsidRDefault="00D40929">
      <w:pPr>
        <w:spacing w:after="18"/>
        <w:ind w:left="711"/>
      </w:pPr>
      <w:r>
        <w:rPr>
          <w:rFonts w:ascii="Times New Roman" w:eastAsia="Times New Roman" w:hAnsi="Times New Roman" w:cs="Times New Roman"/>
          <w:sz w:val="24"/>
        </w:rPr>
        <w:t xml:space="preserve"> </w:t>
      </w:r>
    </w:p>
    <w:p w:rsidR="0052701D" w:rsidRDefault="00D40929">
      <w:pPr>
        <w:spacing w:after="29" w:line="248" w:lineRule="auto"/>
        <w:ind w:left="9" w:firstLine="711"/>
        <w:jc w:val="both"/>
      </w:pPr>
      <w:r>
        <w:rPr>
          <w:rFonts w:ascii="Times New Roman" w:eastAsia="Times New Roman" w:hAnsi="Times New Roman" w:cs="Times New Roman"/>
          <w:b/>
          <w:i/>
          <w:sz w:val="24"/>
        </w:rPr>
        <w:t>Аннотация.</w:t>
      </w:r>
      <w:r>
        <w:rPr>
          <w:rFonts w:ascii="Times New Roman" w:eastAsia="Times New Roman" w:hAnsi="Times New Roman" w:cs="Times New Roman"/>
          <w:i/>
          <w:sz w:val="24"/>
        </w:rPr>
        <w:t xml:space="preserve"> В данной статье на основе </w:t>
      </w:r>
      <w:r>
        <w:rPr>
          <w:rFonts w:ascii="Times New Roman" w:eastAsia="Times New Roman" w:hAnsi="Times New Roman" w:cs="Times New Roman"/>
          <w:i/>
          <w:sz w:val="24"/>
        </w:rPr>
        <w:t>архивных и литературных источников наглядно показано, как происходил процесс завоевания Семиречья и южного Казахстана. Войска Отдельного Сибирского корпуса были использованы царским правительством в завоевании Семиречья и южного Казахстана. Завоевание этог</w:t>
      </w:r>
      <w:r>
        <w:rPr>
          <w:rFonts w:ascii="Times New Roman" w:eastAsia="Times New Roman" w:hAnsi="Times New Roman" w:cs="Times New Roman"/>
          <w:i/>
          <w:sz w:val="24"/>
        </w:rPr>
        <w:t>о региона явилось последствием колонизаторской политики России, которая, в целях дальнейшего укрепления в среднеазиатской части, пользуясь падением Джунгарии и, боясь усиления Китая, начала форсированно захватывать край. В 1750 году, в целях выпрямления эт</w:t>
      </w:r>
      <w:r>
        <w:rPr>
          <w:rFonts w:ascii="Times New Roman" w:eastAsia="Times New Roman" w:hAnsi="Times New Roman" w:cs="Times New Roman"/>
          <w:i/>
          <w:sz w:val="24"/>
        </w:rPr>
        <w:t>ой линии, была устроена так называемая Горькая линия, между Иртышем и Тоболом. На этой линии были возведены ряд укреплений непосредственно в казахской степи. Эта Горькая линия выдвинулась глубоко в казахскую степь, до 200 верст южнее прежней линии. Устроив</w:t>
      </w:r>
      <w:r>
        <w:rPr>
          <w:rFonts w:ascii="Times New Roman" w:eastAsia="Times New Roman" w:hAnsi="Times New Roman" w:cs="Times New Roman"/>
          <w:i/>
          <w:sz w:val="24"/>
        </w:rPr>
        <w:t>, таким образом, плацдарм для дальнейшего проникновения в глубь казахских степей в сибирской части, для скорейшего соприкосновения с более сильными государствами, Российская империя стала усиленно готовиться к нанесению решительного удара. Кроме наращивани</w:t>
      </w:r>
      <w:r>
        <w:rPr>
          <w:rFonts w:ascii="Times New Roman" w:eastAsia="Times New Roman" w:hAnsi="Times New Roman" w:cs="Times New Roman"/>
          <w:i/>
          <w:sz w:val="24"/>
        </w:rPr>
        <w:t xml:space="preserve">я воинских сил, царское правительство возвело вдоль всей пограничной линии 141 укрепление, на расстоянии одного перехода одно от другого, для обороны, которых имелось 30 гарнизонных батальонов и 20 тысяч служилых казаков. </w:t>
      </w:r>
    </w:p>
    <w:p w:rsidR="0052701D" w:rsidRDefault="00D40929">
      <w:pPr>
        <w:spacing w:after="29" w:line="248" w:lineRule="auto"/>
        <w:ind w:left="9" w:firstLine="711"/>
        <w:jc w:val="both"/>
      </w:pPr>
      <w:r>
        <w:rPr>
          <w:rFonts w:ascii="Times New Roman" w:eastAsia="Times New Roman" w:hAnsi="Times New Roman" w:cs="Times New Roman"/>
          <w:i/>
          <w:sz w:val="24"/>
        </w:rPr>
        <w:t xml:space="preserve"> Выявлены и обоснованы цели царск</w:t>
      </w:r>
      <w:r>
        <w:rPr>
          <w:rFonts w:ascii="Times New Roman" w:eastAsia="Times New Roman" w:hAnsi="Times New Roman" w:cs="Times New Roman"/>
          <w:i/>
          <w:sz w:val="24"/>
        </w:rPr>
        <w:t>ой России в данном регионе. Важность и необходимость утверждения российских властей в Семиречье были определены следующим образом, во-первых, для упрочения порядка и спокойствия в казахской степи, во-вторых, для приобретения большого влияния в среднеазиатс</w:t>
      </w:r>
      <w:r>
        <w:rPr>
          <w:rFonts w:ascii="Times New Roman" w:eastAsia="Times New Roman" w:hAnsi="Times New Roman" w:cs="Times New Roman"/>
          <w:i/>
          <w:sz w:val="24"/>
        </w:rPr>
        <w:t>ких ханствах, в-третьих, чтобы сблизиться с иссыккульскими киргизами и открыть торговый путь в Кашгарию, и в-четвертых, чтобы обеспечить торговые пути, ведущие из Семиреченского края в Ташкент и Коканд и, в особенности, чтобы удерживать заилийских киргизов</w:t>
      </w:r>
      <w:r>
        <w:rPr>
          <w:rFonts w:ascii="Times New Roman" w:eastAsia="Times New Roman" w:hAnsi="Times New Roman" w:cs="Times New Roman"/>
          <w:i/>
          <w:sz w:val="24"/>
        </w:rPr>
        <w:t xml:space="preserve"> от покушений убить русских торговцев по пути между Капалом и Кульджою. На основе проведенного исследования автор предлагает примерную оценку действиям царской России в ХVIII – ХIХ в.в. в Казахстане.  Ключевые слова: номады, киргизы, контингент, колонизаци</w:t>
      </w:r>
      <w:r>
        <w:rPr>
          <w:rFonts w:ascii="Times New Roman" w:eastAsia="Times New Roman" w:hAnsi="Times New Roman" w:cs="Times New Roman"/>
          <w:i/>
          <w:sz w:val="24"/>
        </w:rPr>
        <w:t xml:space="preserve">я, ракетный станок.  </w:t>
      </w:r>
    </w:p>
    <w:p w:rsidR="0052701D" w:rsidRDefault="00D40929">
      <w:pPr>
        <w:spacing w:after="0"/>
        <w:ind w:left="711"/>
      </w:pPr>
      <w:r>
        <w:rPr>
          <w:rFonts w:ascii="Times New Roman" w:eastAsia="Times New Roman" w:hAnsi="Times New Roman" w:cs="Times New Roman"/>
          <w:sz w:val="24"/>
        </w:rPr>
        <w:t xml:space="preserve"> </w:t>
      </w:r>
    </w:p>
    <w:p w:rsidR="0052701D" w:rsidRDefault="00D40929">
      <w:pPr>
        <w:spacing w:after="16"/>
        <w:ind w:left="711"/>
      </w:pPr>
      <w:r>
        <w:rPr>
          <w:rFonts w:ascii="Times New Roman" w:eastAsia="Times New Roman" w:hAnsi="Times New Roman" w:cs="Times New Roman"/>
          <w:sz w:val="24"/>
        </w:rPr>
        <w:t xml:space="preserve"> </w:t>
      </w:r>
    </w:p>
    <w:p w:rsidR="0052701D" w:rsidRDefault="00D40929">
      <w:pPr>
        <w:spacing w:after="5" w:line="271" w:lineRule="auto"/>
        <w:ind w:left="1090" w:firstLine="9"/>
      </w:pPr>
      <w:r>
        <w:rPr>
          <w:rFonts w:ascii="Times New Roman" w:eastAsia="Times New Roman" w:hAnsi="Times New Roman" w:cs="Times New Roman"/>
          <w:b/>
          <w:sz w:val="28"/>
        </w:rPr>
        <w:lastRenderedPageBreak/>
        <w:t xml:space="preserve">THE ROLE OF THE SIBERIAN CORPS IN THE CONQUEST OF SOUTH KAZAKHSTAN </w:t>
      </w:r>
    </w:p>
    <w:p w:rsidR="0052701D" w:rsidRDefault="00D40929">
      <w:pPr>
        <w:spacing w:after="0"/>
        <w:ind w:left="711"/>
      </w:pPr>
      <w:r>
        <w:rPr>
          <w:rFonts w:ascii="Times New Roman" w:eastAsia="Times New Roman" w:hAnsi="Times New Roman" w:cs="Times New Roman"/>
          <w:b/>
          <w:i/>
          <w:sz w:val="24"/>
        </w:rPr>
        <w:t xml:space="preserve"> </w:t>
      </w:r>
    </w:p>
    <w:p w:rsidR="0052701D" w:rsidRDefault="00D40929">
      <w:pPr>
        <w:spacing w:after="16" w:line="248" w:lineRule="auto"/>
        <w:ind w:left="819" w:right="171" w:hanging="10"/>
        <w:jc w:val="center"/>
      </w:pPr>
      <w:r>
        <w:rPr>
          <w:rFonts w:ascii="Times New Roman" w:eastAsia="Times New Roman" w:hAnsi="Times New Roman" w:cs="Times New Roman"/>
          <w:b/>
          <w:sz w:val="24"/>
        </w:rPr>
        <w:t>Kenzhebekov K.K.</w:t>
      </w:r>
      <w:r>
        <w:rPr>
          <w:rFonts w:ascii="Times New Roman" w:eastAsia="Times New Roman" w:hAnsi="Times New Roman" w:cs="Times New Roman"/>
          <w:sz w:val="24"/>
        </w:rPr>
        <w:t xml:space="preserve"> </w:t>
      </w:r>
    </w:p>
    <w:p w:rsidR="0052701D" w:rsidRDefault="00D40929">
      <w:pPr>
        <w:spacing w:after="14" w:line="248" w:lineRule="auto"/>
        <w:ind w:left="1580" w:right="940" w:hanging="5"/>
        <w:jc w:val="center"/>
      </w:pPr>
      <w:r>
        <w:rPr>
          <w:rFonts w:ascii="Times New Roman" w:eastAsia="Times New Roman" w:hAnsi="Times New Roman" w:cs="Times New Roman"/>
          <w:sz w:val="24"/>
        </w:rPr>
        <w:t xml:space="preserve">Almaty University of Power Engineering and Telecommunications named after Gumarbek Daukeev, (Аlmaty, Kazakhstan). </w:t>
      </w:r>
      <w:r>
        <w:rPr>
          <w:rFonts w:ascii="Times New Roman" w:eastAsia="Times New Roman" w:hAnsi="Times New Roman" w:cs="Times New Roman"/>
          <w:color w:val="0000FF"/>
          <w:sz w:val="24"/>
          <w:u w:val="single" w:color="0000FF"/>
        </w:rPr>
        <w:t>kkapalbek@bk.ru</w:t>
      </w:r>
      <w:r>
        <w:rPr>
          <w:rFonts w:ascii="Times New Roman" w:eastAsia="Times New Roman" w:hAnsi="Times New Roman" w:cs="Times New Roman"/>
          <w:sz w:val="24"/>
        </w:rPr>
        <w:t xml:space="preserve"> </w:t>
      </w:r>
    </w:p>
    <w:p w:rsidR="0052701D" w:rsidRDefault="00D40929">
      <w:pPr>
        <w:spacing w:after="0"/>
        <w:ind w:left="711"/>
      </w:pPr>
      <w:r>
        <w:rPr>
          <w:rFonts w:ascii="Times New Roman" w:eastAsia="Times New Roman" w:hAnsi="Times New Roman" w:cs="Times New Roman"/>
          <w:i/>
          <w:color w:val="222222"/>
          <w:sz w:val="24"/>
        </w:rPr>
        <w:t xml:space="preserve">     </w:t>
      </w:r>
    </w:p>
    <w:p w:rsidR="0052701D" w:rsidRDefault="00D40929">
      <w:pPr>
        <w:spacing w:after="3" w:line="249" w:lineRule="auto"/>
        <w:ind w:left="-5" w:right="55" w:hanging="10"/>
        <w:jc w:val="both"/>
      </w:pPr>
      <w:r>
        <w:rPr>
          <w:rFonts w:ascii="Times New Roman" w:eastAsia="Times New Roman" w:hAnsi="Times New Roman" w:cs="Times New Roman"/>
          <w:b/>
          <w:i/>
          <w:color w:val="222222"/>
          <w:sz w:val="24"/>
        </w:rPr>
        <w:t xml:space="preserve">               Abstract. </w:t>
      </w:r>
      <w:r>
        <w:rPr>
          <w:rFonts w:ascii="Times New Roman" w:eastAsia="Times New Roman" w:hAnsi="Times New Roman" w:cs="Times New Roman"/>
          <w:i/>
          <w:color w:val="222222"/>
          <w:sz w:val="24"/>
        </w:rPr>
        <w:t>In this article, on the basis of archival and published sources the process of conquest of Semirechie and Southern Kazakhstan is shown. The tsarist government used troops of the Separate Siberian Corps in the conquest of Semirechie</w:t>
      </w:r>
      <w:r>
        <w:rPr>
          <w:rFonts w:ascii="Times New Roman" w:eastAsia="Times New Roman" w:hAnsi="Times New Roman" w:cs="Times New Roman"/>
          <w:i/>
          <w:color w:val="222222"/>
          <w:sz w:val="24"/>
        </w:rPr>
        <w:t xml:space="preserve"> and Southern Kazakhstan. The conquest of the region was the consequence of colonial policy of Russia, that began forcefully grab the edge in order to further strengthen in the Central Asian favouring the fall of Dzungaria and fear of rise of China. In 175</w:t>
      </w:r>
      <w:r>
        <w:rPr>
          <w:rFonts w:ascii="Times New Roman" w:eastAsia="Times New Roman" w:hAnsi="Times New Roman" w:cs="Times New Roman"/>
          <w:i/>
          <w:color w:val="222222"/>
          <w:sz w:val="24"/>
        </w:rPr>
        <w:t xml:space="preserve">0, in order to straighten the line, Gorkaya line was organized between the Irtysh and Tobol. In this line, a series of fortifications were built directly into the Kazakh steppe. </w:t>
      </w:r>
    </w:p>
    <w:p w:rsidR="0052701D" w:rsidRDefault="00D40929">
      <w:pPr>
        <w:spacing w:after="3" w:line="249" w:lineRule="auto"/>
        <w:ind w:left="-15" w:right="55" w:firstLine="711"/>
        <w:jc w:val="both"/>
      </w:pPr>
      <w:r>
        <w:rPr>
          <w:rFonts w:ascii="Times New Roman" w:eastAsia="Times New Roman" w:hAnsi="Times New Roman" w:cs="Times New Roman"/>
          <w:i/>
          <w:color w:val="222222"/>
          <w:sz w:val="24"/>
        </w:rPr>
        <w:t>This Gorkaya line popped deep in the Kazakh steppe, 200 miles south of the ol</w:t>
      </w:r>
      <w:r>
        <w:rPr>
          <w:rFonts w:ascii="Times New Roman" w:eastAsia="Times New Roman" w:hAnsi="Times New Roman" w:cs="Times New Roman"/>
          <w:i/>
          <w:color w:val="222222"/>
          <w:sz w:val="24"/>
        </w:rPr>
        <w:t xml:space="preserve">d line. Thus arranging a springboard for further penetration into the interior of the Kazakh steppe in the Siberian part, for the early contact with the stronger states, the Russian Empire began intensive preparations to spray a decisive blow. Besides the </w:t>
      </w:r>
      <w:r>
        <w:rPr>
          <w:rFonts w:ascii="Times New Roman" w:eastAsia="Times New Roman" w:hAnsi="Times New Roman" w:cs="Times New Roman"/>
          <w:i/>
          <w:color w:val="222222"/>
          <w:sz w:val="24"/>
        </w:rPr>
        <w:t xml:space="preserve">building up military forces, the tsarist government erected along the boundary line 141 strengthening, at a distance of one jump from one another, for the defense, which had 30 garrison battalions and 20,000 servicemen Cossacks. </w:t>
      </w:r>
    </w:p>
    <w:p w:rsidR="0052701D" w:rsidRDefault="00D40929">
      <w:pPr>
        <w:spacing w:after="3" w:line="249" w:lineRule="auto"/>
        <w:ind w:left="-5" w:right="55" w:hanging="10"/>
        <w:jc w:val="both"/>
      </w:pPr>
      <w:r>
        <w:rPr>
          <w:rFonts w:ascii="Times New Roman" w:eastAsia="Times New Roman" w:hAnsi="Times New Roman" w:cs="Times New Roman"/>
          <w:i/>
          <w:color w:val="222222"/>
          <w:sz w:val="24"/>
        </w:rPr>
        <w:t xml:space="preserve">           Identified and </w:t>
      </w:r>
      <w:r>
        <w:rPr>
          <w:rFonts w:ascii="Times New Roman" w:eastAsia="Times New Roman" w:hAnsi="Times New Roman" w:cs="Times New Roman"/>
          <w:i/>
          <w:color w:val="222222"/>
          <w:sz w:val="24"/>
        </w:rPr>
        <w:t>justified purpose of Tsarist Russia in the region. Importance and necessity of approval of the Russian authorities in the Semirechie were defined as follows, firstly, to establish peace and discipline in the Kazakh steppe; secondly, to acquire great influe</w:t>
      </w:r>
      <w:r>
        <w:rPr>
          <w:rFonts w:ascii="Times New Roman" w:eastAsia="Times New Roman" w:hAnsi="Times New Roman" w:cs="Times New Roman"/>
          <w:i/>
          <w:color w:val="222222"/>
          <w:sz w:val="24"/>
        </w:rPr>
        <w:t>nce in the Central Asian khanates; thirdly, to get closer to Issyk-Kul Kyrgyz and open trade way to Kashgar; fourthly, to provide trade routes leading edge of Semirechensk in Tashkent and Kokand, and in particular to hold Zailiy Kirgiz region from attempts</w:t>
      </w:r>
      <w:r>
        <w:rPr>
          <w:rFonts w:ascii="Times New Roman" w:eastAsia="Times New Roman" w:hAnsi="Times New Roman" w:cs="Times New Roman"/>
          <w:i/>
          <w:color w:val="222222"/>
          <w:sz w:val="24"/>
        </w:rPr>
        <w:t xml:space="preserve"> to kill Russian traders on the path between Kapal and Kuldzha. On the basis of this study the author proposes an approximate assessment of the actions of Tsarist Russia in XVIII - XIX centuries in Kazakhstan.</w:t>
      </w:r>
      <w:r>
        <w:rPr>
          <w:rFonts w:ascii="Times New Roman" w:eastAsia="Times New Roman" w:hAnsi="Times New Roman" w:cs="Times New Roman"/>
          <w:b/>
          <w:i/>
          <w:color w:val="222222"/>
          <w:sz w:val="24"/>
        </w:rPr>
        <w:t xml:space="preserve"> </w:t>
      </w:r>
    </w:p>
    <w:p w:rsidR="0052701D" w:rsidRDefault="00D40929">
      <w:pPr>
        <w:spacing w:after="3" w:line="249" w:lineRule="auto"/>
        <w:ind w:left="721" w:right="55" w:hanging="10"/>
        <w:jc w:val="both"/>
      </w:pPr>
      <w:r>
        <w:rPr>
          <w:rFonts w:ascii="Times New Roman" w:eastAsia="Times New Roman" w:hAnsi="Times New Roman" w:cs="Times New Roman"/>
          <w:b/>
          <w:i/>
          <w:color w:val="222222"/>
          <w:sz w:val="24"/>
        </w:rPr>
        <w:t>Keywords:</w:t>
      </w:r>
      <w:r>
        <w:rPr>
          <w:rFonts w:ascii="Times New Roman" w:eastAsia="Times New Roman" w:hAnsi="Times New Roman" w:cs="Times New Roman"/>
          <w:i/>
          <w:color w:val="222222"/>
          <w:sz w:val="24"/>
        </w:rPr>
        <w:t xml:space="preserve"> nomads, Kyrgyz, contingent, </w:t>
      </w:r>
      <w:r>
        <w:rPr>
          <w:rFonts w:ascii="Times New Roman" w:eastAsia="Times New Roman" w:hAnsi="Times New Roman" w:cs="Times New Roman"/>
          <w:i/>
          <w:color w:val="222222"/>
          <w:sz w:val="24"/>
        </w:rPr>
        <w:t>colonization, rocket machine.</w:t>
      </w:r>
      <w:r>
        <w:rPr>
          <w:rFonts w:ascii="Times New Roman" w:eastAsia="Times New Roman" w:hAnsi="Times New Roman" w:cs="Times New Roman"/>
          <w:color w:val="222222"/>
          <w:sz w:val="24"/>
        </w:rPr>
        <w:t xml:space="preserve"> </w:t>
      </w:r>
    </w:p>
    <w:p w:rsidR="0052701D" w:rsidRDefault="00D40929">
      <w:pPr>
        <w:spacing w:after="25"/>
        <w:ind w:left="711"/>
      </w:pPr>
      <w:r>
        <w:rPr>
          <w:rFonts w:ascii="Times New Roman" w:eastAsia="Times New Roman" w:hAnsi="Times New Roman" w:cs="Times New Roman"/>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Войска Отдельного Сибирского корпуса, помимо участия в подавлении национально-освободительного движения под предводительством Кенесары Касымова, были использованы царским правительством в завоевании Семиречья. </w:t>
      </w:r>
    </w:p>
    <w:p w:rsidR="0052701D" w:rsidRDefault="00D40929">
      <w:pPr>
        <w:spacing w:after="5" w:line="271" w:lineRule="auto"/>
        <w:ind w:left="9" w:right="64" w:firstLine="711"/>
        <w:jc w:val="both"/>
      </w:pPr>
      <w:r>
        <w:rPr>
          <w:rFonts w:ascii="Times New Roman" w:eastAsia="Times New Roman" w:hAnsi="Times New Roman" w:cs="Times New Roman"/>
          <w:sz w:val="28"/>
        </w:rPr>
        <w:t>Завоевание э</w:t>
      </w:r>
      <w:r>
        <w:rPr>
          <w:rFonts w:ascii="Times New Roman" w:eastAsia="Times New Roman" w:hAnsi="Times New Roman" w:cs="Times New Roman"/>
          <w:sz w:val="28"/>
        </w:rPr>
        <w:t>того региона явилось последствием колонизаторской политики России, которая, в целях дальнейшего укрепления в среднеазиатской части, пользуясь падением Джунгарии и, боясь усиления Китая, начала форсированно захватывать край. Русский историк Венюков М.И. в э</w:t>
      </w:r>
      <w:r>
        <w:rPr>
          <w:rFonts w:ascii="Times New Roman" w:eastAsia="Times New Roman" w:hAnsi="Times New Roman" w:cs="Times New Roman"/>
          <w:sz w:val="28"/>
        </w:rPr>
        <w:t>той связи писал: «Что касается до среднеазиатских степей, то в них стремление к окраинам не вынуждалось никакою народною, экономически естественною потребностью, а руководствовалось только военно-политическими соображения правительства, которое и действова</w:t>
      </w:r>
      <w:r>
        <w:rPr>
          <w:rFonts w:ascii="Times New Roman" w:eastAsia="Times New Roman" w:hAnsi="Times New Roman" w:cs="Times New Roman"/>
          <w:sz w:val="28"/>
        </w:rPr>
        <w:t xml:space="preserve">ло долгое время в самых разнообразных, можно сказать, случайных направлениях, сообразно характеру местности и ходу событий» [1].   </w:t>
      </w:r>
    </w:p>
    <w:p w:rsidR="0052701D" w:rsidRDefault="00D40929">
      <w:pPr>
        <w:spacing w:after="5" w:line="271" w:lineRule="auto"/>
        <w:ind w:left="9" w:right="64" w:firstLine="711"/>
        <w:jc w:val="both"/>
      </w:pPr>
      <w:r>
        <w:rPr>
          <w:rFonts w:ascii="Times New Roman" w:eastAsia="Times New Roman" w:hAnsi="Times New Roman" w:cs="Times New Roman"/>
          <w:sz w:val="28"/>
        </w:rPr>
        <w:lastRenderedPageBreak/>
        <w:t>Таким образом, из этого высказывания можно заключить, что никакой народной или естественно-экономической потребности, русско</w:t>
      </w:r>
      <w:r>
        <w:rPr>
          <w:rFonts w:ascii="Times New Roman" w:eastAsia="Times New Roman" w:hAnsi="Times New Roman" w:cs="Times New Roman"/>
          <w:sz w:val="28"/>
        </w:rPr>
        <w:t>е правительство не испытывало. Территория, захваченная в последние годы правления Петра I, уже давно, по праву сильного, была включена в состав Российской империи, на местах её соприкосновения с казахской степью была устроена военная линия, которая и являл</w:t>
      </w:r>
      <w:r>
        <w:rPr>
          <w:rFonts w:ascii="Times New Roman" w:eastAsia="Times New Roman" w:hAnsi="Times New Roman" w:cs="Times New Roman"/>
          <w:sz w:val="28"/>
        </w:rPr>
        <w:t>ась пограничной линией. «Ибо, - писал идеолог царской колонизации, - степь, не обрабатываемая и не представляющая знаков оседлости, по праву народному принадлежит первому, кто выставил пушку или провел борозду сохой. Но знатная часть степи, киргизами заним</w:t>
      </w:r>
      <w:r>
        <w:rPr>
          <w:rFonts w:ascii="Times New Roman" w:eastAsia="Times New Roman" w:hAnsi="Times New Roman" w:cs="Times New Roman"/>
          <w:sz w:val="28"/>
        </w:rPr>
        <w:t xml:space="preserve">аемая, принадлежит России по лучшему и непоколебимому праву» [2].  Тем самым оправдывалось право более сильного на захват земли более слабого соседа, т.е. фактически аннексия чужой территории.  </w:t>
      </w:r>
    </w:p>
    <w:p w:rsidR="0052701D" w:rsidRDefault="00D40929">
      <w:pPr>
        <w:spacing w:after="5" w:line="271" w:lineRule="auto"/>
        <w:ind w:left="9" w:right="64" w:firstLine="711"/>
        <w:jc w:val="both"/>
      </w:pPr>
      <w:r>
        <w:rPr>
          <w:rFonts w:ascii="Times New Roman" w:eastAsia="Times New Roman" w:hAnsi="Times New Roman" w:cs="Times New Roman"/>
          <w:sz w:val="28"/>
        </w:rPr>
        <w:t>В 1750 году, в целях выпрямления этой линии, была устроена та</w:t>
      </w:r>
      <w:r>
        <w:rPr>
          <w:rFonts w:ascii="Times New Roman" w:eastAsia="Times New Roman" w:hAnsi="Times New Roman" w:cs="Times New Roman"/>
          <w:sz w:val="28"/>
        </w:rPr>
        <w:t xml:space="preserve">к называемая Горькая линия, между Иртышем и Тоболом. На этой линии были возведены ряд укреплений непосредственно в казахской степи. Эта Горькая линия выдвинулась глубоко в казахскую степь, до 200 верст южнее прежней линии. Устроив, таким образом, плацдарм </w:t>
      </w:r>
      <w:r>
        <w:rPr>
          <w:rFonts w:ascii="Times New Roman" w:eastAsia="Times New Roman" w:hAnsi="Times New Roman" w:cs="Times New Roman"/>
          <w:sz w:val="28"/>
        </w:rPr>
        <w:t xml:space="preserve">для дальнейшего проникновения в глубь казахских степей в сибирской части, для скорейшего соприкосновения с более сильными государствами, Российская империя стала усиленно готовиться к нанесению решительного удара. </w:t>
      </w:r>
    </w:p>
    <w:p w:rsidR="0052701D" w:rsidRDefault="00D40929">
      <w:pPr>
        <w:spacing w:after="5" w:line="271" w:lineRule="auto"/>
        <w:ind w:left="9" w:right="64" w:firstLine="711"/>
        <w:jc w:val="both"/>
      </w:pPr>
      <w:r>
        <w:rPr>
          <w:rFonts w:ascii="Times New Roman" w:eastAsia="Times New Roman" w:hAnsi="Times New Roman" w:cs="Times New Roman"/>
          <w:sz w:val="28"/>
        </w:rPr>
        <w:t>К 1852 году войска 24-ой пехотной дивизии</w:t>
      </w:r>
      <w:r>
        <w:rPr>
          <w:rFonts w:ascii="Times New Roman" w:eastAsia="Times New Roman" w:hAnsi="Times New Roman" w:cs="Times New Roman"/>
          <w:sz w:val="28"/>
        </w:rPr>
        <w:t xml:space="preserve"> располагались следующим образом: по батальону в городах Тобольске и Томске, 1 батальон в Барнауле, 2 батальона в Омске, по 2 роты в Петропавловске, Семипалатинске и УстьКаменогорске, по 1 роте в укреплениях Кушмурунском и Бухтарминском, по 1 батальону на </w:t>
      </w:r>
      <w:r>
        <w:rPr>
          <w:rFonts w:ascii="Times New Roman" w:eastAsia="Times New Roman" w:hAnsi="Times New Roman" w:cs="Times New Roman"/>
          <w:sz w:val="28"/>
        </w:rPr>
        <w:t xml:space="preserve">правом и левом флангах степи во всех укреплениях и отрядах. В резерве находилось 2 батальона и 1 рота. Всего в Сибирском крае находилось 11 линейных батальонов 24-ой пехотной дивизии. (ГА Ом. О. Ф. 366.оп.1. д. 246.л.л. </w:t>
      </w:r>
    </w:p>
    <w:p w:rsidR="0052701D" w:rsidRDefault="00D40929">
      <w:pPr>
        <w:spacing w:after="5" w:line="271" w:lineRule="auto"/>
        <w:ind w:left="9" w:right="64"/>
        <w:jc w:val="both"/>
      </w:pPr>
      <w:r>
        <w:rPr>
          <w:rFonts w:ascii="Times New Roman" w:eastAsia="Times New Roman" w:hAnsi="Times New Roman" w:cs="Times New Roman"/>
          <w:sz w:val="28"/>
        </w:rPr>
        <w:t xml:space="preserve">24об., 25.)  </w:t>
      </w:r>
    </w:p>
    <w:p w:rsidR="0052701D" w:rsidRDefault="00D40929">
      <w:pPr>
        <w:spacing w:after="5" w:line="271" w:lineRule="auto"/>
        <w:ind w:left="9" w:right="64" w:firstLine="711"/>
        <w:jc w:val="both"/>
      </w:pPr>
      <w:r>
        <w:rPr>
          <w:rFonts w:ascii="Times New Roman" w:eastAsia="Times New Roman" w:hAnsi="Times New Roman" w:cs="Times New Roman"/>
          <w:sz w:val="28"/>
        </w:rPr>
        <w:t>Происходило и активно</w:t>
      </w:r>
      <w:r>
        <w:rPr>
          <w:rFonts w:ascii="Times New Roman" w:eastAsia="Times New Roman" w:hAnsi="Times New Roman" w:cs="Times New Roman"/>
          <w:sz w:val="28"/>
        </w:rPr>
        <w:t>е наращивание казачьих войск, которые к этому времени являлись основными проводниками царской колонизаторской политики в крае. Положением от 19 августа 1808 года о Сибирском линейном войске, в состав которого вошли казаки всех пограничных линий, было узако</w:t>
      </w:r>
      <w:r>
        <w:rPr>
          <w:rFonts w:ascii="Times New Roman" w:eastAsia="Times New Roman" w:hAnsi="Times New Roman" w:cs="Times New Roman"/>
          <w:sz w:val="28"/>
        </w:rPr>
        <w:t>нено существование этого войска и установлен порядок управления им. Кроме того, войсковая канцелярия получила приказ «склонять живших за пограничными линиями инородцев к переселению в войско в состав его» [3].   О Положении более подробно пишет историк Хор</w:t>
      </w:r>
      <w:r>
        <w:rPr>
          <w:rFonts w:ascii="Times New Roman" w:eastAsia="Times New Roman" w:hAnsi="Times New Roman" w:cs="Times New Roman"/>
          <w:sz w:val="28"/>
        </w:rPr>
        <w:t xml:space="preserve">ошхин М.: «В 1808 году утвержден штат Сибирского линейного войска, определенного из 10 конных полков, каждый пяти-сотенного состава; всего в войске положено иметь 5950 человек, не считая конно-артиллерийской роты в 12 орудий» [4].   </w:t>
      </w:r>
    </w:p>
    <w:p w:rsidR="0052701D" w:rsidRDefault="00D40929">
      <w:pPr>
        <w:spacing w:after="5" w:line="271" w:lineRule="auto"/>
        <w:ind w:left="9" w:right="64" w:firstLine="711"/>
        <w:jc w:val="both"/>
      </w:pPr>
      <w:r>
        <w:rPr>
          <w:rFonts w:ascii="Times New Roman" w:eastAsia="Times New Roman" w:hAnsi="Times New Roman" w:cs="Times New Roman"/>
          <w:sz w:val="28"/>
        </w:rPr>
        <w:lastRenderedPageBreak/>
        <w:t>Более подробно описани</w:t>
      </w:r>
      <w:r>
        <w:rPr>
          <w:rFonts w:ascii="Times New Roman" w:eastAsia="Times New Roman" w:hAnsi="Times New Roman" w:cs="Times New Roman"/>
          <w:sz w:val="28"/>
        </w:rPr>
        <w:t>е этого события дает профессор Абдиров М.Ж., 19 августа 1808 года император Александр I издал указ об объединении казаков Горьковской, Иртышской и Бухтарминской линий и создание единого Сибирского линейного казачьего войска со своим штатом и Положением. Но</w:t>
      </w:r>
      <w:r>
        <w:rPr>
          <w:rFonts w:ascii="Times New Roman" w:eastAsia="Times New Roman" w:hAnsi="Times New Roman" w:cs="Times New Roman"/>
          <w:sz w:val="28"/>
        </w:rPr>
        <w:t xml:space="preserve">вому войску определялось особое управление, общественные и войсковые учреждения, сословные права и преимущества, особый порядок отбывания воинских и земских повинностей. </w:t>
      </w:r>
    </w:p>
    <w:p w:rsidR="0052701D" w:rsidRDefault="00D40929">
      <w:pPr>
        <w:spacing w:after="5" w:line="271" w:lineRule="auto"/>
        <w:ind w:left="9" w:right="64" w:firstLine="711"/>
        <w:jc w:val="both"/>
      </w:pPr>
      <w:r>
        <w:rPr>
          <w:rFonts w:ascii="Times New Roman" w:eastAsia="Times New Roman" w:hAnsi="Times New Roman" w:cs="Times New Roman"/>
          <w:sz w:val="28"/>
        </w:rPr>
        <w:t>Штат Сибирского казачьего войска был определен в 10 конных полков каждый пяти-сотенно</w:t>
      </w:r>
      <w:r>
        <w:rPr>
          <w:rFonts w:ascii="Times New Roman" w:eastAsia="Times New Roman" w:hAnsi="Times New Roman" w:cs="Times New Roman"/>
          <w:sz w:val="28"/>
        </w:rPr>
        <w:t xml:space="preserve">го состава, четыре резервных эскадрона и две конноартиллерийские роты по 12 орудий. Всего на службе состояло по этому штату 5950 строевых казаков. Полки располагались: 1-й полк в крепости </w:t>
      </w:r>
    </w:p>
    <w:p w:rsidR="0052701D" w:rsidRDefault="00D40929">
      <w:pPr>
        <w:spacing w:after="5" w:line="271" w:lineRule="auto"/>
        <w:ind w:left="9" w:right="64"/>
        <w:jc w:val="both"/>
      </w:pPr>
      <w:r>
        <w:rPr>
          <w:rFonts w:ascii="Times New Roman" w:eastAsia="Times New Roman" w:hAnsi="Times New Roman" w:cs="Times New Roman"/>
          <w:sz w:val="28"/>
        </w:rPr>
        <w:t>Пресногорьковской, 2-й – в Пресновской, 3-й – в Петропавловской, 4-</w:t>
      </w:r>
      <w:r>
        <w:rPr>
          <w:rFonts w:ascii="Times New Roman" w:eastAsia="Times New Roman" w:hAnsi="Times New Roman" w:cs="Times New Roman"/>
          <w:sz w:val="28"/>
        </w:rPr>
        <w:t xml:space="preserve">й – в Николаевской, 5-й – в Омской и т.д. Штаб войска находился в Омске. Войсковой атаман подчинялся командиру Отдельного Сибирского корпуса [5].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Кроме наращивания воинских сил, царское правительство возвело вдоль всей пограничной линии 141 укрепление, </w:t>
      </w:r>
      <w:r>
        <w:rPr>
          <w:rFonts w:ascii="Times New Roman" w:eastAsia="Times New Roman" w:hAnsi="Times New Roman" w:cs="Times New Roman"/>
          <w:sz w:val="28"/>
        </w:rPr>
        <w:t xml:space="preserve">на расстоянии одного перехода одно от другого, для обороны, которых имелось 30 гарнизонных батальонов и 20 тысяч служилых казаков [6].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Концентрация сил на созданном плацдарме происходила до 20-х годов XIX века. «Степные границы, хотя были постоянно </w:t>
      </w:r>
      <w:r>
        <w:rPr>
          <w:rFonts w:ascii="Times New Roman" w:eastAsia="Times New Roman" w:hAnsi="Times New Roman" w:cs="Times New Roman"/>
          <w:sz w:val="28"/>
        </w:rPr>
        <w:t xml:space="preserve">обеспокоиваемые хищниками; но как это были собственные подданные, то хотя против них иногда высылались отряды, однако лишь с целью наказания, а не новых завоеваний. В таком положении были дела до 1820-х годов. С этой эпохи начинает обозначаться стремление </w:t>
      </w:r>
      <w:r>
        <w:rPr>
          <w:rFonts w:ascii="Times New Roman" w:eastAsia="Times New Roman" w:hAnsi="Times New Roman" w:cs="Times New Roman"/>
          <w:sz w:val="28"/>
        </w:rPr>
        <w:t>к новым наступательным движениям, можно сказать, к завоеваниям, хотя для первого раза на собственной территории, именно в Сибирской степи.</w:t>
      </w:r>
    </w:p>
    <w:p w:rsidR="0052701D" w:rsidRDefault="00D40929">
      <w:pPr>
        <w:spacing w:after="5" w:line="271" w:lineRule="auto"/>
        <w:ind w:left="9" w:right="64"/>
        <w:jc w:val="both"/>
      </w:pPr>
      <w:r>
        <w:rPr>
          <w:rFonts w:ascii="Times New Roman" w:eastAsia="Times New Roman" w:hAnsi="Times New Roman" w:cs="Times New Roman"/>
          <w:sz w:val="28"/>
        </w:rPr>
        <w:t>По представлению генерал-губернатора Сперанского решено было фиктивное подданство тамошних киргизов обратить в действ</w:t>
      </w:r>
      <w:r>
        <w:rPr>
          <w:rFonts w:ascii="Times New Roman" w:eastAsia="Times New Roman" w:hAnsi="Times New Roman" w:cs="Times New Roman"/>
          <w:sz w:val="28"/>
        </w:rPr>
        <w:t>ительное, и с этой целью в центрах проектированных им округов устроить укрепления, при которых помещались бы приказы. В такие укрепления обыкновенно высылались с линии гарнизоны из казаков и даже регулярной пехоты. Таким образом, в степи постепенно образов</w:t>
      </w:r>
      <w:r>
        <w:rPr>
          <w:rFonts w:ascii="Times New Roman" w:eastAsia="Times New Roman" w:hAnsi="Times New Roman" w:cs="Times New Roman"/>
          <w:sz w:val="28"/>
        </w:rPr>
        <w:t>алась новая, передовая линия, ставшая в свою очередь, предметом хищничества номадов. Нужно было опять высылать отряды, опять основывать укрепления (Актау, Улутау) и т. д. Тут начало системы, которая привела нас за Балхаш и Или к Алатау и, наконец, в Небесн</w:t>
      </w:r>
      <w:r>
        <w:rPr>
          <w:rFonts w:ascii="Times New Roman" w:eastAsia="Times New Roman" w:hAnsi="Times New Roman" w:cs="Times New Roman"/>
          <w:sz w:val="28"/>
        </w:rPr>
        <w:t xml:space="preserve">ые горы и в Туркестан системы, выработанной не народом, не партиями завоевателей-колонистов, а администрацией, т.е. самим правительством» [7].   </w:t>
      </w:r>
    </w:p>
    <w:p w:rsidR="0052701D" w:rsidRDefault="00D40929">
      <w:pPr>
        <w:spacing w:after="5" w:line="271" w:lineRule="auto"/>
        <w:ind w:left="9" w:right="64" w:firstLine="711"/>
        <w:jc w:val="both"/>
      </w:pPr>
      <w:r>
        <w:rPr>
          <w:rFonts w:ascii="Times New Roman" w:eastAsia="Times New Roman" w:hAnsi="Times New Roman" w:cs="Times New Roman"/>
          <w:sz w:val="28"/>
        </w:rPr>
        <w:lastRenderedPageBreak/>
        <w:t>Подтверждение этого документа мы находим и в другом источнике: «…отсутствие порядка и спокойствия и частые вол</w:t>
      </w:r>
      <w:r>
        <w:rPr>
          <w:rFonts w:ascii="Times New Roman" w:eastAsia="Times New Roman" w:hAnsi="Times New Roman" w:cs="Times New Roman"/>
          <w:sz w:val="28"/>
        </w:rPr>
        <w:t>нения в крае привели, в начале нынешнего столетия, Сперанского к мысли о водворении нашим в самих киргизских степях, чему вполне соответствовала и изменившаяся обстановка среди киргизов… Тогда, по мысли Сперанского, выработан устав о сибирских киргизах. Вл</w:t>
      </w:r>
      <w:r>
        <w:rPr>
          <w:rFonts w:ascii="Times New Roman" w:eastAsia="Times New Roman" w:hAnsi="Times New Roman" w:cs="Times New Roman"/>
          <w:sz w:val="28"/>
        </w:rPr>
        <w:t>асть ханов была уничтожена; степь разделена на округа; управление сосредоточено в руках старших султанов и приданных им 4 заседателей; 2 русских и 2 туземцев; в степи стали водворять русские поселения, появились укрепленные пункты. Благодаря таким мерам, в</w:t>
      </w:r>
      <w:r>
        <w:rPr>
          <w:rFonts w:ascii="Times New Roman" w:eastAsia="Times New Roman" w:hAnsi="Times New Roman" w:cs="Times New Roman"/>
          <w:sz w:val="28"/>
        </w:rPr>
        <w:t xml:space="preserve">скоре (1824-1838) наши передовые посты достигли Голодной степи, Акмолинска, Актавска и Улу-Тау…» </w:t>
      </w:r>
    </w:p>
    <w:p w:rsidR="0052701D" w:rsidRDefault="00D40929">
      <w:pPr>
        <w:spacing w:after="5" w:line="271" w:lineRule="auto"/>
        <w:ind w:left="9" w:right="64"/>
        <w:jc w:val="both"/>
      </w:pPr>
      <w:r>
        <w:rPr>
          <w:rFonts w:ascii="Times New Roman" w:eastAsia="Times New Roman" w:hAnsi="Times New Roman" w:cs="Times New Roman"/>
          <w:sz w:val="28"/>
        </w:rPr>
        <w:t xml:space="preserve">[8].   </w:t>
      </w:r>
    </w:p>
    <w:p w:rsidR="0052701D" w:rsidRDefault="00D40929">
      <w:pPr>
        <w:spacing w:after="5" w:line="271" w:lineRule="auto"/>
        <w:ind w:left="9" w:right="64" w:firstLine="711"/>
        <w:jc w:val="both"/>
      </w:pPr>
      <w:r>
        <w:rPr>
          <w:rFonts w:ascii="Times New Roman" w:eastAsia="Times New Roman" w:hAnsi="Times New Roman" w:cs="Times New Roman"/>
          <w:sz w:val="28"/>
        </w:rPr>
        <w:t>Постепенно, в глубине казахских степей начинают возникать новые укрепления, такие как Кокчетавское, Каркаралинское (1824 год), Баян-Аульская (1841 г.)</w:t>
      </w:r>
      <w:r>
        <w:rPr>
          <w:rFonts w:ascii="Times New Roman" w:eastAsia="Times New Roman" w:hAnsi="Times New Roman" w:cs="Times New Roman"/>
          <w:sz w:val="28"/>
        </w:rPr>
        <w:t xml:space="preserve">, Акмолинская (1827 г.), Аягузское (1831 г.), Копальское (1841 г.), Верненское (1855 г.) [9].   </w:t>
      </w:r>
    </w:p>
    <w:p w:rsidR="0052701D" w:rsidRDefault="00D40929">
      <w:pPr>
        <w:spacing w:after="5" w:line="271" w:lineRule="auto"/>
        <w:ind w:left="9" w:right="64" w:firstLine="711"/>
        <w:jc w:val="both"/>
      </w:pPr>
      <w:r>
        <w:rPr>
          <w:rFonts w:ascii="Times New Roman" w:eastAsia="Times New Roman" w:hAnsi="Times New Roman" w:cs="Times New Roman"/>
          <w:sz w:val="28"/>
        </w:rPr>
        <w:t>Позднее были основаны Атбасарский, Кокпектинский, Кушмурунский приказы. В них также размещались сотни Сибирских казачьих полков с конной артиллерией. Для засел</w:t>
      </w:r>
      <w:r>
        <w:rPr>
          <w:rFonts w:ascii="Times New Roman" w:eastAsia="Times New Roman" w:hAnsi="Times New Roman" w:cs="Times New Roman"/>
          <w:sz w:val="28"/>
        </w:rPr>
        <w:t>ения новых степных укреплений и для наращивания контингента вооруженных сил, для дальнейшего проникновения в степь, переводились казаки со старой линии и крепостей. В казахскую степь было переселено из Сибирского линейного казачьего войска в 1844, 1845 и 1</w:t>
      </w:r>
      <w:r>
        <w:rPr>
          <w:rFonts w:ascii="Times New Roman" w:eastAsia="Times New Roman" w:hAnsi="Times New Roman" w:cs="Times New Roman"/>
          <w:sz w:val="28"/>
        </w:rPr>
        <w:t xml:space="preserve">846 годах 2-ой казачий полк, в 1847, 1848 и 1850 годах 9-ый казачий полк. Казаки 20-го полка были расположены в Атбасарской, Акмолинской и Улутавской станицах, казаки 9-го полка в Аягузской, Кокпектинской и Капальской станицах. Общее количество казаков во </w:t>
      </w:r>
      <w:r>
        <w:rPr>
          <w:rFonts w:ascii="Times New Roman" w:eastAsia="Times New Roman" w:hAnsi="Times New Roman" w:cs="Times New Roman"/>
          <w:sz w:val="28"/>
        </w:rPr>
        <w:t xml:space="preserve">2-ом полку составляло 2267 человек, в том числе 1 штабофицер, 18 обер-офицеров. (ГА Ом. О. Ф.366.оп.1. д. 246.л.л.5об-6об.) </w:t>
      </w:r>
    </w:p>
    <w:p w:rsidR="0052701D" w:rsidRDefault="00D40929">
      <w:pPr>
        <w:spacing w:after="5" w:line="271" w:lineRule="auto"/>
        <w:ind w:left="9" w:right="64" w:firstLine="711"/>
        <w:jc w:val="both"/>
      </w:pPr>
      <w:r>
        <w:rPr>
          <w:rFonts w:ascii="Times New Roman" w:eastAsia="Times New Roman" w:hAnsi="Times New Roman" w:cs="Times New Roman"/>
          <w:sz w:val="28"/>
        </w:rPr>
        <w:t>Наращивание воинского контингента для дальнейшего проникновения в глубь степи объяснялось и тем, что казахи, жившие в степях, вовсе</w:t>
      </w:r>
      <w:r>
        <w:rPr>
          <w:rFonts w:ascii="Times New Roman" w:eastAsia="Times New Roman" w:hAnsi="Times New Roman" w:cs="Times New Roman"/>
          <w:sz w:val="28"/>
        </w:rPr>
        <w:t xml:space="preserve"> не собирались проявлять покорность, и это было естественно при вмешательстве военных сил соседнего государства в их внутренние отношения. В 1831 году «…родилась та дорога, стоящая России системы движений вперед по степям бесплодным, безводным и населенным</w:t>
      </w:r>
      <w:r>
        <w:rPr>
          <w:rFonts w:ascii="Times New Roman" w:eastAsia="Times New Roman" w:hAnsi="Times New Roman" w:cs="Times New Roman"/>
          <w:sz w:val="28"/>
        </w:rPr>
        <w:t xml:space="preserve"> такими подданными, что от них нужно обороняться линиями крепостей, что целые 130 лет они считались людьми заграничными, и что их через 140 лет после присяги можно держать в покорности только страхом оружия» [10].   </w:t>
      </w:r>
    </w:p>
    <w:p w:rsidR="0052701D" w:rsidRDefault="00D40929">
      <w:pPr>
        <w:spacing w:after="5" w:line="271" w:lineRule="auto"/>
        <w:ind w:left="9" w:right="64" w:firstLine="711"/>
        <w:jc w:val="both"/>
      </w:pPr>
      <w:r>
        <w:rPr>
          <w:rFonts w:ascii="Times New Roman" w:eastAsia="Times New Roman" w:hAnsi="Times New Roman" w:cs="Times New Roman"/>
          <w:sz w:val="28"/>
        </w:rPr>
        <w:t>Для успешного продвижения войск Отдельн</w:t>
      </w:r>
      <w:r>
        <w:rPr>
          <w:rFonts w:ascii="Times New Roman" w:eastAsia="Times New Roman" w:hAnsi="Times New Roman" w:cs="Times New Roman"/>
          <w:sz w:val="28"/>
        </w:rPr>
        <w:t>ого Сибирского корпуса в Семиречье царское правительство провело и ряд политических мероприятий. «Для управления вновь присоединенными районами Старшего жуза правительство в 1848 году учредило должность пристава Большой Киргизской орды», который был подчин</w:t>
      </w:r>
      <w:r>
        <w:rPr>
          <w:rFonts w:ascii="Times New Roman" w:eastAsia="Times New Roman" w:hAnsi="Times New Roman" w:cs="Times New Roman"/>
          <w:sz w:val="28"/>
        </w:rPr>
        <w:t xml:space="preserve">ен Западно-Сибирскому генерал-губернатору. </w:t>
      </w:r>
      <w:r>
        <w:rPr>
          <w:rFonts w:ascii="Times New Roman" w:eastAsia="Times New Roman" w:hAnsi="Times New Roman" w:cs="Times New Roman"/>
          <w:sz w:val="28"/>
        </w:rPr>
        <w:lastRenderedPageBreak/>
        <w:t>Одной из первых и важных задач пристава являлась подготовка материальной базы для продвижения царских войск к границе Средней Азии, поэтому в ведении пристава находилось строительство мостов, паромов, лодок, изыск</w:t>
      </w:r>
      <w:r>
        <w:rPr>
          <w:rFonts w:ascii="Times New Roman" w:eastAsia="Times New Roman" w:hAnsi="Times New Roman" w:cs="Times New Roman"/>
          <w:sz w:val="28"/>
        </w:rPr>
        <w:t xml:space="preserve">ание тягловой силы – лошадей, верблюдов, подбор проводников из местного населения. (ЦГА  РК. Ф.3.оп.1.д.7.л.13.) </w:t>
      </w:r>
    </w:p>
    <w:p w:rsidR="0052701D" w:rsidRDefault="00D40929">
      <w:pPr>
        <w:spacing w:after="5" w:line="271" w:lineRule="auto"/>
        <w:ind w:left="9" w:right="64" w:firstLine="711"/>
        <w:jc w:val="both"/>
      </w:pPr>
      <w:r>
        <w:rPr>
          <w:rFonts w:ascii="Times New Roman" w:eastAsia="Times New Roman" w:hAnsi="Times New Roman" w:cs="Times New Roman"/>
          <w:sz w:val="28"/>
        </w:rPr>
        <w:t>К 1849 году в казахской степи, помимо существовавших крепостей и укреплений возникли новые казачьи станицы и поселения – Арыкбалыкская, Атбаса</w:t>
      </w:r>
      <w:r>
        <w:rPr>
          <w:rFonts w:ascii="Times New Roman" w:eastAsia="Times New Roman" w:hAnsi="Times New Roman" w:cs="Times New Roman"/>
          <w:sz w:val="28"/>
        </w:rPr>
        <w:t xml:space="preserve">рская, Кокчетавская, Лобановская, Нижнебурлукская, Челкарская, к 1850 году – Аканбурлукская, Верхнебурлукская и Зерендинская, к 1861 году – Сандыктауская станицы, а также выселки Аиртауский, Имантауский и </w:t>
      </w:r>
    </w:p>
    <w:p w:rsidR="0052701D" w:rsidRDefault="00D40929">
      <w:pPr>
        <w:spacing w:after="5" w:line="271" w:lineRule="auto"/>
        <w:ind w:left="9" w:right="64"/>
        <w:jc w:val="both"/>
      </w:pPr>
      <w:r>
        <w:rPr>
          <w:rFonts w:ascii="Times New Roman" w:eastAsia="Times New Roman" w:hAnsi="Times New Roman" w:cs="Times New Roman"/>
          <w:sz w:val="28"/>
        </w:rPr>
        <w:t>Щучинский. От Иртыша к Жетысу вытянулась цепь новы</w:t>
      </w:r>
      <w:r>
        <w:rPr>
          <w:rFonts w:ascii="Times New Roman" w:eastAsia="Times New Roman" w:hAnsi="Times New Roman" w:cs="Times New Roman"/>
          <w:sz w:val="28"/>
        </w:rPr>
        <w:t>х укреплений и станиц – Аягузская, Урджарская, Капальская и Лепсинская [11].  Подготовка к завоеванию Семиречья продолжалась. Для предполагаемого занятия новых пунктов в Сибирской степи был составлен план, по которому требовалось: на правом фланге – для ук</w:t>
      </w:r>
      <w:r>
        <w:rPr>
          <w:rFonts w:ascii="Times New Roman" w:eastAsia="Times New Roman" w:hAnsi="Times New Roman" w:cs="Times New Roman"/>
          <w:sz w:val="28"/>
        </w:rPr>
        <w:t>репления на реке, Чу, – 2 роты пехоты и 2 сотни казаков, для передовой линии пикетных сообщений по Сары-Су и промежуточных постов к Актау – 2 роты пехоты и 4 сотни казаков; на левом фланге – для укрепления на реке Или и для сообщения до Копала – 2 роты и 2</w:t>
      </w:r>
      <w:r>
        <w:rPr>
          <w:rFonts w:ascii="Times New Roman" w:eastAsia="Times New Roman" w:hAnsi="Times New Roman" w:cs="Times New Roman"/>
          <w:sz w:val="28"/>
        </w:rPr>
        <w:t xml:space="preserve"> сотни казаков, для поста на Урджаре или Каратале – полроты пехоты и 1 сотню казаков, для поста на реке Коксу – полроты пехоты и 1 сотню казаков, для пристани при устье реки Лепсы на Балхаше – 1 сотня казаков. (ГА Ом. О. Ф.366. оп.1.д.246.л.л.49,49об.) </w:t>
      </w:r>
    </w:p>
    <w:p w:rsidR="0052701D" w:rsidRDefault="00D40929">
      <w:pPr>
        <w:spacing w:after="5" w:line="271" w:lineRule="auto"/>
        <w:ind w:left="9" w:right="64" w:firstLine="711"/>
        <w:jc w:val="both"/>
      </w:pPr>
      <w:r>
        <w:rPr>
          <w:rFonts w:ascii="Times New Roman" w:eastAsia="Times New Roman" w:hAnsi="Times New Roman" w:cs="Times New Roman"/>
          <w:sz w:val="28"/>
        </w:rPr>
        <w:t>Из</w:t>
      </w:r>
      <w:r>
        <w:rPr>
          <w:rFonts w:ascii="Times New Roman" w:eastAsia="Times New Roman" w:hAnsi="Times New Roman" w:cs="Times New Roman"/>
          <w:sz w:val="28"/>
        </w:rPr>
        <w:t xml:space="preserve"> этого документа явственно видно, что даже тех войск, которые были сосредоточены в Сибирском ведомстве, не хватало для продвижения в глубь казахских степей, к границам среднеазиатских государств. Поэтому, в целях увеличения контингента вооруженных сил с 18</w:t>
      </w:r>
      <w:r>
        <w:rPr>
          <w:rFonts w:ascii="Times New Roman" w:eastAsia="Times New Roman" w:hAnsi="Times New Roman" w:cs="Times New Roman"/>
          <w:sz w:val="28"/>
        </w:rPr>
        <w:t>30 года «правительство начало часть этого (сибирского – К.К.) войска мало помалу переводить на передовые станицы в степь, и теперь есть даже совершенно самостоятельная степная отрасль этого казачества – Семиреченское войско, у которого главная масса водвор</w:t>
      </w:r>
      <w:r>
        <w:rPr>
          <w:rFonts w:ascii="Times New Roman" w:eastAsia="Times New Roman" w:hAnsi="Times New Roman" w:cs="Times New Roman"/>
          <w:sz w:val="28"/>
        </w:rPr>
        <w:t xml:space="preserve">илась на своих настоящих землях не далее как в 1850 годах» [12].   </w:t>
      </w:r>
    </w:p>
    <w:p w:rsidR="0052701D" w:rsidRDefault="00D40929">
      <w:pPr>
        <w:spacing w:after="5" w:line="271" w:lineRule="auto"/>
        <w:ind w:left="9" w:right="64" w:firstLine="711"/>
        <w:jc w:val="both"/>
      </w:pPr>
      <w:r>
        <w:rPr>
          <w:rFonts w:ascii="Times New Roman" w:eastAsia="Times New Roman" w:hAnsi="Times New Roman" w:cs="Times New Roman"/>
          <w:sz w:val="28"/>
        </w:rPr>
        <w:t>Важность и необходимость утверждения российских властей в Семиречье были определены следующим образом: «во-первых, для упрочения порядка и спокойствия в большой орде; во-вторых, для приобр</w:t>
      </w:r>
      <w:r>
        <w:rPr>
          <w:rFonts w:ascii="Times New Roman" w:eastAsia="Times New Roman" w:hAnsi="Times New Roman" w:cs="Times New Roman"/>
          <w:sz w:val="28"/>
        </w:rPr>
        <w:t>етения большого влияния на дела в Коканде и Ташкенте; в-третьих, чтобы сблизиться с дико каменными киргизами и тем открыть торговый путь в Кашгарию и в-четвертых, чтобы обеспечить торговые пути, ведущие из Семиреченского края в Ташкент и Коканд и, в особен</w:t>
      </w:r>
      <w:r>
        <w:rPr>
          <w:rFonts w:ascii="Times New Roman" w:eastAsia="Times New Roman" w:hAnsi="Times New Roman" w:cs="Times New Roman"/>
          <w:sz w:val="28"/>
        </w:rPr>
        <w:t>ности, чтобы удерживать заилийских киргизов от покушений убить наших торговцев по главнейшему пути между Капалом и Кульджою». (ЦГА</w:t>
      </w:r>
    </w:p>
    <w:p w:rsidR="0052701D" w:rsidRDefault="00D40929">
      <w:pPr>
        <w:spacing w:after="5" w:line="271" w:lineRule="auto"/>
        <w:ind w:left="9" w:right="64"/>
        <w:jc w:val="both"/>
      </w:pPr>
      <w:r>
        <w:rPr>
          <w:rFonts w:ascii="Times New Roman" w:eastAsia="Times New Roman" w:hAnsi="Times New Roman" w:cs="Times New Roman"/>
          <w:sz w:val="28"/>
        </w:rPr>
        <w:lastRenderedPageBreak/>
        <w:t xml:space="preserve">РК.Ф. 3. Оп.1 д.7.л.70.) </w:t>
      </w:r>
    </w:p>
    <w:p w:rsidR="0052701D" w:rsidRDefault="00D40929">
      <w:pPr>
        <w:spacing w:after="5" w:line="271" w:lineRule="auto"/>
        <w:ind w:left="9" w:right="64" w:firstLine="711"/>
        <w:jc w:val="both"/>
      </w:pPr>
      <w:r>
        <w:rPr>
          <w:rFonts w:ascii="Times New Roman" w:eastAsia="Times New Roman" w:hAnsi="Times New Roman" w:cs="Times New Roman"/>
          <w:sz w:val="28"/>
        </w:rPr>
        <w:t>Таким образом, в этом документе представлен весь спектр побудительных мотивов и причин как политиче</w:t>
      </w:r>
      <w:r>
        <w:rPr>
          <w:rFonts w:ascii="Times New Roman" w:eastAsia="Times New Roman" w:hAnsi="Times New Roman" w:cs="Times New Roman"/>
          <w:sz w:val="28"/>
        </w:rPr>
        <w:t xml:space="preserve">ского и экономического, так и военностратегического характера для дальнейшего продвижения Российской империи к пределам среднеазиатских государств в 50–е годы XIX века по территории завоеванного Старшего жуза. </w:t>
      </w:r>
    </w:p>
    <w:p w:rsidR="0052701D" w:rsidRDefault="00D40929">
      <w:pPr>
        <w:spacing w:after="5" w:line="271" w:lineRule="auto"/>
        <w:ind w:left="9" w:right="64" w:firstLine="711"/>
        <w:jc w:val="both"/>
      </w:pPr>
      <w:r>
        <w:rPr>
          <w:rFonts w:ascii="Times New Roman" w:eastAsia="Times New Roman" w:hAnsi="Times New Roman" w:cs="Times New Roman"/>
          <w:sz w:val="28"/>
        </w:rPr>
        <w:t>«Между тем Семиреченский край или левый фланг</w:t>
      </w:r>
      <w:r>
        <w:rPr>
          <w:rFonts w:ascii="Times New Roman" w:eastAsia="Times New Roman" w:hAnsi="Times New Roman" w:cs="Times New Roman"/>
          <w:sz w:val="28"/>
        </w:rPr>
        <w:t xml:space="preserve"> степи столь важный в настоящем и будущем, в военном и политическом и финансовом отношениях призывает все внимание правительства», гласил документ тех лет. Так называемый левый фланг приковывал внимание царского правительства не только в военном и политиче</w:t>
      </w:r>
      <w:r>
        <w:rPr>
          <w:rFonts w:ascii="Times New Roman" w:eastAsia="Times New Roman" w:hAnsi="Times New Roman" w:cs="Times New Roman"/>
          <w:sz w:val="28"/>
        </w:rPr>
        <w:t xml:space="preserve">ском отношениях, но и в отношении разработки полезных ископаемых. К 50-годам Х1Х века здесь разрабатывалось 184 золотых прииска, каждый из которых в год давал – 3 пуда, 3 фунта, 50 золотников, 9 долей чистого золота. </w:t>
      </w:r>
    </w:p>
    <w:p w:rsidR="0052701D" w:rsidRDefault="00D40929">
      <w:pPr>
        <w:spacing w:after="5" w:line="271" w:lineRule="auto"/>
        <w:ind w:left="9" w:right="64" w:firstLine="711"/>
        <w:jc w:val="both"/>
      </w:pPr>
      <w:r>
        <w:rPr>
          <w:rFonts w:ascii="Times New Roman" w:eastAsia="Times New Roman" w:hAnsi="Times New Roman" w:cs="Times New Roman"/>
          <w:sz w:val="28"/>
        </w:rPr>
        <w:t>Генерал – адъютант Анненков, обозрев К</w:t>
      </w:r>
      <w:r>
        <w:rPr>
          <w:rFonts w:ascii="Times New Roman" w:eastAsia="Times New Roman" w:hAnsi="Times New Roman" w:cs="Times New Roman"/>
          <w:sz w:val="28"/>
        </w:rPr>
        <w:t xml:space="preserve">иргизскую степь Сибирского ведомства полагал полезным учредить передовую линию по рекам Или и Чу. Командир Отдельного Сибирского корпуса и генерал-губернатор Западной Сибири, генерал от инфантерии Гасфорд считал для учреждения этой линии необходимым:   </w:t>
      </w:r>
    </w:p>
    <w:p w:rsidR="0052701D" w:rsidRDefault="00D40929">
      <w:pPr>
        <w:spacing w:after="5" w:line="271" w:lineRule="auto"/>
        <w:ind w:left="711" w:right="64"/>
        <w:jc w:val="both"/>
      </w:pPr>
      <w:r>
        <w:rPr>
          <w:rFonts w:ascii="Times New Roman" w:eastAsia="Times New Roman" w:hAnsi="Times New Roman" w:cs="Times New Roman"/>
          <w:sz w:val="28"/>
        </w:rPr>
        <w:t>На</w:t>
      </w:r>
      <w:r>
        <w:rPr>
          <w:rFonts w:ascii="Times New Roman" w:eastAsia="Times New Roman" w:hAnsi="Times New Roman" w:cs="Times New Roman"/>
          <w:sz w:val="28"/>
        </w:rPr>
        <w:t xml:space="preserve"> левом фланге Киргизской степи: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Возвести укрепление на реке Или у переправы Учуз-Уткуль, соединив в этом пункт с Копалом цепью пикетов; </w:t>
      </w:r>
    </w:p>
    <w:p w:rsidR="0052701D" w:rsidRDefault="00D40929">
      <w:pPr>
        <w:spacing w:after="3"/>
        <w:ind w:left="10" w:right="43" w:hanging="10"/>
        <w:jc w:val="right"/>
      </w:pPr>
      <w:r>
        <w:rPr>
          <w:rFonts w:ascii="Times New Roman" w:eastAsia="Times New Roman" w:hAnsi="Times New Roman" w:cs="Times New Roman"/>
          <w:sz w:val="28"/>
        </w:rPr>
        <w:t xml:space="preserve">Учредить передовой пост на Урджаре чтобы владеть торговым путем из </w:t>
      </w:r>
    </w:p>
    <w:p w:rsidR="0052701D" w:rsidRDefault="00D40929">
      <w:pPr>
        <w:spacing w:after="5" w:line="271" w:lineRule="auto"/>
        <w:ind w:left="9" w:right="64"/>
        <w:jc w:val="both"/>
      </w:pPr>
      <w:r>
        <w:rPr>
          <w:rFonts w:ascii="Times New Roman" w:eastAsia="Times New Roman" w:hAnsi="Times New Roman" w:cs="Times New Roman"/>
          <w:sz w:val="28"/>
        </w:rPr>
        <w:t xml:space="preserve">Аягуза в Чугучак; </w:t>
      </w:r>
    </w:p>
    <w:p w:rsidR="0052701D" w:rsidRDefault="00D40929">
      <w:pPr>
        <w:spacing w:after="5" w:line="271" w:lineRule="auto"/>
        <w:ind w:left="9" w:right="64" w:firstLine="711"/>
        <w:jc w:val="both"/>
      </w:pPr>
      <w:r>
        <w:rPr>
          <w:rFonts w:ascii="Times New Roman" w:eastAsia="Times New Roman" w:hAnsi="Times New Roman" w:cs="Times New Roman"/>
          <w:sz w:val="28"/>
        </w:rPr>
        <w:t>Для обеспечения торгового пути</w:t>
      </w:r>
      <w:r>
        <w:rPr>
          <w:rFonts w:ascii="Times New Roman" w:eastAsia="Times New Roman" w:hAnsi="Times New Roman" w:cs="Times New Roman"/>
          <w:sz w:val="28"/>
        </w:rPr>
        <w:t xml:space="preserve"> из Копала в Кульджу занять постоянным постом переправу на реке Коксу с устройством там моста. </w:t>
      </w:r>
    </w:p>
    <w:p w:rsidR="0052701D" w:rsidRDefault="00D40929">
      <w:pPr>
        <w:spacing w:after="5" w:line="271" w:lineRule="auto"/>
        <w:ind w:left="711" w:right="64"/>
        <w:jc w:val="both"/>
      </w:pPr>
      <w:r>
        <w:rPr>
          <w:rFonts w:ascii="Times New Roman" w:eastAsia="Times New Roman" w:hAnsi="Times New Roman" w:cs="Times New Roman"/>
          <w:sz w:val="28"/>
        </w:rPr>
        <w:t xml:space="preserve">На правом фланге: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Учредить временною передовую линию по северной окраине Голодной степи от Улутау и озеру Балхаш; </w:t>
      </w:r>
    </w:p>
    <w:p w:rsidR="0052701D" w:rsidRDefault="00D40929">
      <w:pPr>
        <w:spacing w:after="5" w:line="271" w:lineRule="auto"/>
        <w:ind w:left="711" w:right="64"/>
        <w:jc w:val="both"/>
      </w:pPr>
      <w:r>
        <w:rPr>
          <w:rFonts w:ascii="Times New Roman" w:eastAsia="Times New Roman" w:hAnsi="Times New Roman" w:cs="Times New Roman"/>
          <w:sz w:val="28"/>
        </w:rPr>
        <w:t xml:space="preserve">Занять один твердый пункт на реке Чу;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Для </w:t>
      </w:r>
      <w:r>
        <w:rPr>
          <w:rFonts w:ascii="Times New Roman" w:eastAsia="Times New Roman" w:hAnsi="Times New Roman" w:cs="Times New Roman"/>
          <w:sz w:val="28"/>
        </w:rPr>
        <w:t xml:space="preserve">связи между  обоими флангами линии завести и судоходство на озере Балхаш, устроив пристани на устье реки Лепсы и на южном  берегу озера  в ближайшем  расстоянии от реки, Чу». (ГА Ом. О. Ф.366. оп.1.д.246.л.л.112, </w:t>
      </w:r>
    </w:p>
    <w:p w:rsidR="0052701D" w:rsidRDefault="00D40929">
      <w:pPr>
        <w:spacing w:after="5" w:line="271" w:lineRule="auto"/>
        <w:ind w:left="9" w:right="64"/>
        <w:jc w:val="both"/>
      </w:pPr>
      <w:r>
        <w:rPr>
          <w:rFonts w:ascii="Times New Roman" w:eastAsia="Times New Roman" w:hAnsi="Times New Roman" w:cs="Times New Roman"/>
          <w:sz w:val="28"/>
        </w:rPr>
        <w:t xml:space="preserve">113об.,132об.,133, 133об.) </w:t>
      </w:r>
    </w:p>
    <w:p w:rsidR="0052701D" w:rsidRDefault="00D40929">
      <w:pPr>
        <w:spacing w:after="5" w:line="271" w:lineRule="auto"/>
        <w:ind w:left="9" w:right="64" w:firstLine="711"/>
        <w:jc w:val="both"/>
      </w:pPr>
      <w:r>
        <w:rPr>
          <w:rFonts w:ascii="Times New Roman" w:eastAsia="Times New Roman" w:hAnsi="Times New Roman" w:cs="Times New Roman"/>
          <w:sz w:val="28"/>
        </w:rPr>
        <w:t>Весной 1850 го</w:t>
      </w:r>
      <w:r>
        <w:rPr>
          <w:rFonts w:ascii="Times New Roman" w:eastAsia="Times New Roman" w:hAnsi="Times New Roman" w:cs="Times New Roman"/>
          <w:sz w:val="28"/>
        </w:rPr>
        <w:t>да отряд из 175 казаков, 50 солдат при двух орудиях, под командованием капитана Гутковского, впервые перешел на левый берег Или, но был встречен 7-тысячным отрядом казахов и после боя вынужден был отступить. В мае 1851 года командир 6-го Сибирского казачье</w:t>
      </w:r>
      <w:r>
        <w:rPr>
          <w:rFonts w:ascii="Times New Roman" w:eastAsia="Times New Roman" w:hAnsi="Times New Roman" w:cs="Times New Roman"/>
          <w:sz w:val="28"/>
        </w:rPr>
        <w:t xml:space="preserve">го полка подполковник Карбышев с отрядом из 400 казаков, батальоном пехоты при двух легких орудиях, шести батарейных и шести крепостных орудиях, четырех мортирах и </w:t>
      </w:r>
      <w:r>
        <w:rPr>
          <w:rFonts w:ascii="Times New Roman" w:eastAsia="Times New Roman" w:hAnsi="Times New Roman" w:cs="Times New Roman"/>
          <w:sz w:val="28"/>
        </w:rPr>
        <w:lastRenderedPageBreak/>
        <w:t>двух ракетных станках вновь появился за Или, разрушил кокандскую крепость Таучубек на реке К</w:t>
      </w:r>
      <w:r>
        <w:rPr>
          <w:rFonts w:ascii="Times New Roman" w:eastAsia="Times New Roman" w:hAnsi="Times New Roman" w:cs="Times New Roman"/>
          <w:sz w:val="28"/>
        </w:rPr>
        <w:t>аскеленке и попутно разгромил казахские аулы за сопротивление отряду Гутковского. Летом этого же года из Капала вышел экспедиционный отряд майора Перемышльского из 200 казаков, роты солдат, общей численностью 470 человек, при двух орудиях и двух ракетных с</w:t>
      </w:r>
      <w:r>
        <w:rPr>
          <w:rFonts w:ascii="Times New Roman" w:eastAsia="Times New Roman" w:hAnsi="Times New Roman" w:cs="Times New Roman"/>
          <w:sz w:val="28"/>
        </w:rPr>
        <w:t>танках с целью занятия Зайлийского края и выбора места для нового укрепления. В широкой долине, между реками Большая Алматинка и Малая Алматинка в 1854 году было обосновано Заилийское укрепление, вскоре переименованное в форт Верный. Сюда был переведен каз</w:t>
      </w:r>
      <w:r>
        <w:rPr>
          <w:rFonts w:ascii="Times New Roman" w:eastAsia="Times New Roman" w:hAnsi="Times New Roman" w:cs="Times New Roman"/>
          <w:sz w:val="28"/>
        </w:rPr>
        <w:t xml:space="preserve">ачий отряд под командованием войскового старшины Шайтанова, основавший первую в Заилийском крае казачью станицу Малоалматинскую [13].   </w:t>
      </w:r>
    </w:p>
    <w:p w:rsidR="0052701D" w:rsidRDefault="00D40929">
      <w:pPr>
        <w:spacing w:after="5" w:line="271" w:lineRule="auto"/>
        <w:ind w:left="9" w:right="64" w:firstLine="711"/>
        <w:jc w:val="both"/>
      </w:pPr>
      <w:r>
        <w:rPr>
          <w:rFonts w:ascii="Times New Roman" w:eastAsia="Times New Roman" w:hAnsi="Times New Roman" w:cs="Times New Roman"/>
          <w:sz w:val="28"/>
        </w:rPr>
        <w:t>Местное население края относилось к русскому появлению крайне отрицательно и враждебно. Об этом майор Перемышльский соо</w:t>
      </w:r>
      <w:r>
        <w:rPr>
          <w:rFonts w:ascii="Times New Roman" w:eastAsia="Times New Roman" w:hAnsi="Times New Roman" w:cs="Times New Roman"/>
          <w:sz w:val="28"/>
        </w:rPr>
        <w:t>бщает генералгубернатору Западной Сибири Гасфорду, в своем  донесении от 8 августа 1853 года «…в особенности же из богатых есть несколько людей  благонамеренных, готовых держать нашу сторону, как защитников против своевольства и грабежа, но к этому их выну</w:t>
      </w:r>
      <w:r>
        <w:rPr>
          <w:rFonts w:ascii="Times New Roman" w:eastAsia="Times New Roman" w:hAnsi="Times New Roman" w:cs="Times New Roman"/>
          <w:sz w:val="28"/>
        </w:rPr>
        <w:t>ждает личная выгода, масса же народа не сочувствует нам, сколько бы она должна сочувствовать, и только страх оружия и не возможность получить помощь из вне – заставляет их быть спокойными и покорными». На основании представленного документа из архивных мат</w:t>
      </w:r>
      <w:r>
        <w:rPr>
          <w:rFonts w:ascii="Times New Roman" w:eastAsia="Times New Roman" w:hAnsi="Times New Roman" w:cs="Times New Roman"/>
          <w:sz w:val="28"/>
        </w:rPr>
        <w:t>ериалов можно сделать вывод о том, что в Старшем жузе, как и по всему Казахстану, происходила межродовая борьба, не было единства в жузе, что и явилось одной из главных причин завоевания казахских степей. Но все же определенная прослойка казахской аристокр</w:t>
      </w:r>
      <w:r>
        <w:rPr>
          <w:rFonts w:ascii="Times New Roman" w:eastAsia="Times New Roman" w:hAnsi="Times New Roman" w:cs="Times New Roman"/>
          <w:sz w:val="28"/>
        </w:rPr>
        <w:t>атии и подвластные им роды не приходили в восторг от пришедших в Казахстан царских войск. Российское правительство, для облегчения ведения военных действий в крае, проводило последовательную политику привлечения на свою сторону влиятельных казахских аристо</w:t>
      </w:r>
      <w:r>
        <w:rPr>
          <w:rFonts w:ascii="Times New Roman" w:eastAsia="Times New Roman" w:hAnsi="Times New Roman" w:cs="Times New Roman"/>
          <w:sz w:val="28"/>
        </w:rPr>
        <w:t>кратов, давая лживые обещания решить земельные споры между родами в ту или иную сторону, в зависимости от хода действии. Все эти обещания в виде закрепления летовок и зимовок за тем или иным родом не имели юридической силы. Так, в предписании Западно-Сибир</w:t>
      </w:r>
      <w:r>
        <w:rPr>
          <w:rFonts w:ascii="Times New Roman" w:eastAsia="Times New Roman" w:hAnsi="Times New Roman" w:cs="Times New Roman"/>
          <w:sz w:val="28"/>
        </w:rPr>
        <w:t>ского генерал-губернатора Гасфорда к начальнику Алатавского округа и киргизов Большой орды Колпаковскому отмечено: «В заключении долгом считаю, известить Ваше Высокоблагородие, что на предстоящее разграничение земель родов Большой орды, можно смотреть не и</w:t>
      </w:r>
      <w:r>
        <w:rPr>
          <w:rFonts w:ascii="Times New Roman" w:eastAsia="Times New Roman" w:hAnsi="Times New Roman" w:cs="Times New Roman"/>
          <w:sz w:val="28"/>
        </w:rPr>
        <w:t xml:space="preserve">наче, как на временное. Только распоряжение для прекращение междоусобных ссор киргиз, и, отнюдь, не как на формальное отношение киргиз, и карты кочевьев каждого рода, которые составляется, не </w:t>
      </w:r>
      <w:r>
        <w:rPr>
          <w:rFonts w:ascii="Times New Roman" w:eastAsia="Times New Roman" w:hAnsi="Times New Roman" w:cs="Times New Roman"/>
          <w:sz w:val="28"/>
        </w:rPr>
        <w:lastRenderedPageBreak/>
        <w:t>будут документами на владение», что «… могло бы оттеснить наше б</w:t>
      </w:r>
      <w:r>
        <w:rPr>
          <w:rFonts w:ascii="Times New Roman" w:eastAsia="Times New Roman" w:hAnsi="Times New Roman" w:cs="Times New Roman"/>
          <w:sz w:val="28"/>
        </w:rPr>
        <w:t xml:space="preserve">удущее заселение в Заилийском крае». </w:t>
      </w:r>
    </w:p>
    <w:p w:rsidR="0052701D" w:rsidRDefault="00D40929">
      <w:pPr>
        <w:spacing w:after="3"/>
        <w:ind w:left="10" w:right="43" w:hanging="10"/>
        <w:jc w:val="right"/>
      </w:pPr>
      <w:r>
        <w:rPr>
          <w:rFonts w:ascii="Times New Roman" w:eastAsia="Times New Roman" w:hAnsi="Times New Roman" w:cs="Times New Roman"/>
          <w:sz w:val="28"/>
        </w:rPr>
        <w:t xml:space="preserve">Применяя на деле политику «разделяй и властвуй», генерал-губернатор </w:t>
      </w:r>
    </w:p>
    <w:p w:rsidR="0052701D" w:rsidRDefault="00D40929">
      <w:pPr>
        <w:spacing w:after="5" w:line="271" w:lineRule="auto"/>
        <w:ind w:left="9" w:right="64"/>
        <w:jc w:val="both"/>
      </w:pPr>
      <w:r>
        <w:rPr>
          <w:rFonts w:ascii="Times New Roman" w:eastAsia="Times New Roman" w:hAnsi="Times New Roman" w:cs="Times New Roman"/>
          <w:sz w:val="28"/>
        </w:rPr>
        <w:t>Гасфорд в своем конфедициальном письме к майору Колпаковскому от 4 апреля 1860 года пишет: «В отношении Тюрегельди придется сделать то, что имелось в</w:t>
      </w:r>
      <w:r>
        <w:rPr>
          <w:rFonts w:ascii="Times New Roman" w:eastAsia="Times New Roman" w:hAnsi="Times New Roman" w:cs="Times New Roman"/>
          <w:sz w:val="28"/>
        </w:rPr>
        <w:t xml:space="preserve"> виду по отношению к Умбет Али, но нужно скрывать наши намерения под личиной равнодушия. После баранты, произведенной Тюрегильды у Чапраштов и Кошкар, можно будет надеяться на усердное содействие этих родов». Царская администрация иногда сама провоцировала</w:t>
      </w:r>
      <w:r>
        <w:rPr>
          <w:rFonts w:ascii="Times New Roman" w:eastAsia="Times New Roman" w:hAnsi="Times New Roman" w:cs="Times New Roman"/>
          <w:sz w:val="28"/>
        </w:rPr>
        <w:t xml:space="preserve"> нападение как дико каменных киргиз, так и самих казахов на скот и пастбища отдельных казахских родов. Российские власти не доверяли многим влиятельным султанам Большой орды и после пяти лет своего правления в Заилийском крае. Так, в том же письме, генерал</w:t>
      </w:r>
      <w:r>
        <w:rPr>
          <w:rFonts w:ascii="Times New Roman" w:eastAsia="Times New Roman" w:hAnsi="Times New Roman" w:cs="Times New Roman"/>
          <w:sz w:val="28"/>
        </w:rPr>
        <w:t>-губернатор Западной Сибири Гасфорд писал: «За Тезеком наблюдайте. Нельзя ли уменьшить его влияние на родовичей, поселив раздор между ним и его родственниками и туленгутами. О дальнейших действиях этого султана постоянно доносите мне, чтобы я знал, как с н</w:t>
      </w:r>
      <w:r>
        <w:rPr>
          <w:rFonts w:ascii="Times New Roman" w:eastAsia="Times New Roman" w:hAnsi="Times New Roman" w:cs="Times New Roman"/>
          <w:sz w:val="28"/>
        </w:rPr>
        <w:t>им разделаться по приезде в Орду». Далее, в другом письме майору Колпаковскому от 14 апреля 1860 года, он добавляет: «Вообще нужно быть очень осторожным и осмотрительным по делам всей Большой орды, ибо совершенно положиться сможем только на Дулатов и Джала</w:t>
      </w:r>
      <w:r>
        <w:rPr>
          <w:rFonts w:ascii="Times New Roman" w:eastAsia="Times New Roman" w:hAnsi="Times New Roman" w:cs="Times New Roman"/>
          <w:sz w:val="28"/>
        </w:rPr>
        <w:t xml:space="preserve">иров, которые более прочих в наших руках и без нашего покровительства могут подвергнуться истреблению».  </w:t>
      </w:r>
    </w:p>
    <w:p w:rsidR="0052701D" w:rsidRDefault="00D40929">
      <w:pPr>
        <w:spacing w:after="5" w:line="271" w:lineRule="auto"/>
        <w:ind w:left="9" w:right="64" w:firstLine="711"/>
        <w:jc w:val="both"/>
      </w:pPr>
      <w:r>
        <w:rPr>
          <w:rFonts w:ascii="Times New Roman" w:eastAsia="Times New Roman" w:hAnsi="Times New Roman" w:cs="Times New Roman"/>
          <w:sz w:val="28"/>
        </w:rPr>
        <w:t>Но постоянно мы видим, что позиции царизма в Заилийском крае укрепляются, что приводит к утверждению политики силы в отношении Старшего Жуза: «В насто</w:t>
      </w:r>
      <w:r>
        <w:rPr>
          <w:rFonts w:ascii="Times New Roman" w:eastAsia="Times New Roman" w:hAnsi="Times New Roman" w:cs="Times New Roman"/>
          <w:sz w:val="28"/>
        </w:rPr>
        <w:t xml:space="preserve">ящее время уже неуместно было бы расточать на киргизов ласки, а надобно на них действовать страхом. Если они у нас будут жечь сена и не остановят вредные попытки неблагонамеренных, то они за каждый сожженный стог будут отвечать своими семействами и своими </w:t>
      </w:r>
      <w:r>
        <w:rPr>
          <w:rFonts w:ascii="Times New Roman" w:eastAsia="Times New Roman" w:hAnsi="Times New Roman" w:cs="Times New Roman"/>
          <w:sz w:val="28"/>
        </w:rPr>
        <w:t xml:space="preserve">стадами. Мы и зимою можем с ними разделаться, наши войска не боятся ни снегов, ни холодов» [14].   </w:t>
      </w:r>
    </w:p>
    <w:p w:rsidR="0052701D" w:rsidRDefault="00D40929">
      <w:pPr>
        <w:spacing w:after="5" w:line="271" w:lineRule="auto"/>
        <w:ind w:left="9" w:right="64" w:firstLine="711"/>
        <w:jc w:val="both"/>
      </w:pPr>
      <w:r>
        <w:rPr>
          <w:rFonts w:ascii="Times New Roman" w:eastAsia="Times New Roman" w:hAnsi="Times New Roman" w:cs="Times New Roman"/>
          <w:sz w:val="28"/>
        </w:rPr>
        <w:t>Это небольшое отступление от основного хода событий, показывает в каких условиях, происходила экспансия войск Отдельного Сибирского корпуса против Семиречья</w:t>
      </w:r>
      <w:r>
        <w:rPr>
          <w:rFonts w:ascii="Times New Roman" w:eastAsia="Times New Roman" w:hAnsi="Times New Roman" w:cs="Times New Roman"/>
          <w:sz w:val="28"/>
        </w:rPr>
        <w:t xml:space="preserve">. Царское правительство не брезговало любыми методами и средствами для достижения пределов среднеазиатских государств. </w:t>
      </w:r>
    </w:p>
    <w:p w:rsidR="0052701D" w:rsidRDefault="00D40929">
      <w:pPr>
        <w:spacing w:after="5" w:line="271" w:lineRule="auto"/>
        <w:ind w:left="9" w:right="64" w:firstLine="711"/>
        <w:jc w:val="both"/>
      </w:pPr>
      <w:r>
        <w:rPr>
          <w:rFonts w:ascii="Times New Roman" w:eastAsia="Times New Roman" w:hAnsi="Times New Roman" w:cs="Times New Roman"/>
          <w:sz w:val="28"/>
        </w:rPr>
        <w:t>Для закрепления на захваченной территории в район реки Чу, в 1859 году был направлен разведочный отряд под командованием подполковника Ш</w:t>
      </w:r>
      <w:r>
        <w:rPr>
          <w:rFonts w:ascii="Times New Roman" w:eastAsia="Times New Roman" w:hAnsi="Times New Roman" w:cs="Times New Roman"/>
          <w:sz w:val="28"/>
        </w:rPr>
        <w:t xml:space="preserve">айтанова. Вот как об этом событии повествует архивный документ. «В 1859 году, по высочайшему повелению, произведена рекогносцировка реки Чу, под начальством подполковника Шайтанова.  Отряд выступил из Верного 25 апреля по направлению к реке Чу; на пути на </w:t>
      </w:r>
      <w:r>
        <w:rPr>
          <w:rFonts w:ascii="Times New Roman" w:eastAsia="Times New Roman" w:hAnsi="Times New Roman" w:cs="Times New Roman"/>
          <w:sz w:val="28"/>
        </w:rPr>
        <w:t xml:space="preserve">реке Кастек заложил укрепление Кастекское, где пробыл около двух недель и затем двинулся к реке Чу, до </w:t>
      </w:r>
      <w:r>
        <w:rPr>
          <w:rFonts w:ascii="Times New Roman" w:eastAsia="Times New Roman" w:hAnsi="Times New Roman" w:cs="Times New Roman"/>
          <w:sz w:val="28"/>
        </w:rPr>
        <w:lastRenderedPageBreak/>
        <w:t>кокандского укрепления Токмак. Окончив рекогносцировку этой местности, отряд двинулся дальше; здесь то кокандцы сделали нападение на отряд в больших масс</w:t>
      </w:r>
      <w:r>
        <w:rPr>
          <w:rFonts w:ascii="Times New Roman" w:eastAsia="Times New Roman" w:hAnsi="Times New Roman" w:cs="Times New Roman"/>
          <w:sz w:val="28"/>
        </w:rPr>
        <w:t xml:space="preserve">ах с тылу. Переправившись через Чу, подполковник Шайтанов с сотней есаула Сухарева и ракетным станком под командою капитана Обухова разбил кокандцев и прогнал их за реку Чу». </w:t>
      </w:r>
    </w:p>
    <w:p w:rsidR="0052701D" w:rsidRDefault="00D40929">
      <w:pPr>
        <w:spacing w:after="5" w:line="271" w:lineRule="auto"/>
        <w:ind w:left="9" w:right="64" w:firstLine="711"/>
        <w:jc w:val="both"/>
      </w:pPr>
      <w:r>
        <w:rPr>
          <w:rFonts w:ascii="Times New Roman" w:eastAsia="Times New Roman" w:hAnsi="Times New Roman" w:cs="Times New Roman"/>
          <w:sz w:val="28"/>
        </w:rPr>
        <w:t>Во всех вышеописанных действиях участвовали войска Заилийского отряда.  С 1859 п</w:t>
      </w:r>
      <w:r>
        <w:rPr>
          <w:rFonts w:ascii="Times New Roman" w:eastAsia="Times New Roman" w:hAnsi="Times New Roman" w:cs="Times New Roman"/>
          <w:sz w:val="28"/>
        </w:rPr>
        <w:t xml:space="preserve">о 1860 годы шла усиленная подготовка к решающему удару по </w:t>
      </w:r>
    </w:p>
    <w:p w:rsidR="0052701D" w:rsidRDefault="00D40929">
      <w:pPr>
        <w:spacing w:after="5" w:line="271" w:lineRule="auto"/>
        <w:ind w:left="9" w:right="64"/>
        <w:jc w:val="both"/>
      </w:pPr>
      <w:r>
        <w:rPr>
          <w:rFonts w:ascii="Times New Roman" w:eastAsia="Times New Roman" w:hAnsi="Times New Roman" w:cs="Times New Roman"/>
          <w:sz w:val="28"/>
        </w:rPr>
        <w:t xml:space="preserve">Кокандскому ханству. В Заилийский край стягивались регулярные карательные и казачьи войска. </w:t>
      </w:r>
    </w:p>
    <w:p w:rsidR="0052701D" w:rsidRDefault="00D40929">
      <w:pPr>
        <w:spacing w:after="5" w:line="271" w:lineRule="auto"/>
        <w:ind w:left="9" w:right="64" w:firstLine="711"/>
        <w:jc w:val="both"/>
      </w:pPr>
      <w:r>
        <w:rPr>
          <w:rFonts w:ascii="Times New Roman" w:eastAsia="Times New Roman" w:hAnsi="Times New Roman" w:cs="Times New Roman"/>
          <w:sz w:val="28"/>
        </w:rPr>
        <w:t>В 1860 году кокандские войска снова стали тревожить сибирские границы в окрестностях озера Иссык-Куль. В</w:t>
      </w:r>
      <w:r>
        <w:rPr>
          <w:rFonts w:ascii="Times New Roman" w:eastAsia="Times New Roman" w:hAnsi="Times New Roman" w:cs="Times New Roman"/>
          <w:sz w:val="28"/>
        </w:rPr>
        <w:t xml:space="preserve">следствие этого признано было необходимым сосредоточить в мае в Верном 6 рот и 6 сотен, с 8-ю орудиями и ракетной командой, под начальством генерального штаба полковника Циммермана.   </w:t>
      </w:r>
    </w:p>
    <w:p w:rsidR="0052701D" w:rsidRDefault="00D40929">
      <w:pPr>
        <w:spacing w:after="3"/>
        <w:ind w:left="10" w:right="43" w:hanging="10"/>
        <w:jc w:val="right"/>
      </w:pPr>
      <w:r>
        <w:rPr>
          <w:rFonts w:ascii="Times New Roman" w:eastAsia="Times New Roman" w:hAnsi="Times New Roman" w:cs="Times New Roman"/>
          <w:sz w:val="28"/>
        </w:rPr>
        <w:t xml:space="preserve">В конце 1860 года полковник Циммерман с отрядом пехоты и конницы в </w:t>
      </w:r>
    </w:p>
    <w:p w:rsidR="0052701D" w:rsidRDefault="00D40929">
      <w:pPr>
        <w:spacing w:after="5" w:line="271" w:lineRule="auto"/>
        <w:ind w:left="9" w:right="64"/>
        <w:jc w:val="both"/>
      </w:pPr>
      <w:r>
        <w:rPr>
          <w:rFonts w:ascii="Times New Roman" w:eastAsia="Times New Roman" w:hAnsi="Times New Roman" w:cs="Times New Roman"/>
          <w:sz w:val="28"/>
        </w:rPr>
        <w:t>175</w:t>
      </w:r>
      <w:r>
        <w:rPr>
          <w:rFonts w:ascii="Times New Roman" w:eastAsia="Times New Roman" w:hAnsi="Times New Roman" w:cs="Times New Roman"/>
          <w:sz w:val="28"/>
        </w:rPr>
        <w:t xml:space="preserve">0 человек при 15 орудиях, перешел реку Чу, и появился перед курганом Токмак. С приближением русского отряда гарнизон крепости разбежался, осталось 70 защитников. На требование русских о сдаче комендант крепости отвечал, что драться ему нет охоты, но сдать </w:t>
      </w:r>
      <w:r>
        <w:rPr>
          <w:rFonts w:ascii="Times New Roman" w:eastAsia="Times New Roman" w:hAnsi="Times New Roman" w:cs="Times New Roman"/>
          <w:sz w:val="28"/>
        </w:rPr>
        <w:t xml:space="preserve">укрепление все таки не может  и </w:t>
      </w:r>
    </w:p>
    <w:p w:rsidR="0052701D" w:rsidRDefault="00D40929">
      <w:pPr>
        <w:spacing w:after="5" w:line="271" w:lineRule="auto"/>
        <w:ind w:left="9" w:right="64"/>
        <w:jc w:val="both"/>
      </w:pPr>
      <w:r>
        <w:rPr>
          <w:rFonts w:ascii="Times New Roman" w:eastAsia="Times New Roman" w:hAnsi="Times New Roman" w:cs="Times New Roman"/>
          <w:sz w:val="28"/>
        </w:rPr>
        <w:t>просит  два дня срока, чтобы списаться с начальством. Через час после ответа Циммерман приказал открыть пальбу… Глиняные стены Токмака были разрушены, оружие отобрано, 2 чугунные пушки сняты… Другое кокандское укрепление Пи</w:t>
      </w:r>
      <w:r>
        <w:rPr>
          <w:rFonts w:ascii="Times New Roman" w:eastAsia="Times New Roman" w:hAnsi="Times New Roman" w:cs="Times New Roman"/>
          <w:sz w:val="28"/>
        </w:rPr>
        <w:t xml:space="preserve">шпек готовилось к отпору … однако после пятидневной осады также сдалось» [15].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Эта победа окончательно закрепила за Российской империей Заилийский край, который превратился в плацдарм для дальнейшего наступления в Среднюю Азию.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С 1862 года войска </w:t>
      </w:r>
      <w:r>
        <w:rPr>
          <w:rFonts w:ascii="Times New Roman" w:eastAsia="Times New Roman" w:hAnsi="Times New Roman" w:cs="Times New Roman"/>
          <w:sz w:val="28"/>
        </w:rPr>
        <w:t xml:space="preserve">Отдельного Сибирского корпуса захватили кокандское укрепление Мерке и окончательно уничтожили крепость Пишпек. </w:t>
      </w:r>
    </w:p>
    <w:p w:rsidR="0052701D" w:rsidRDefault="00D40929">
      <w:pPr>
        <w:spacing w:after="5" w:line="271" w:lineRule="auto"/>
        <w:ind w:left="9" w:right="64" w:firstLine="711"/>
        <w:jc w:val="both"/>
      </w:pPr>
      <w:r>
        <w:rPr>
          <w:rFonts w:ascii="Times New Roman" w:eastAsia="Times New Roman" w:hAnsi="Times New Roman" w:cs="Times New Roman"/>
          <w:sz w:val="28"/>
        </w:rPr>
        <w:t>В 1863 году, для прикрытия бреши на южных границах и для связи между передовыми укрепления Оренбургского и Западно-Сибирского ведомства были про</w:t>
      </w:r>
      <w:r>
        <w:rPr>
          <w:rFonts w:ascii="Times New Roman" w:eastAsia="Times New Roman" w:hAnsi="Times New Roman" w:cs="Times New Roman"/>
          <w:sz w:val="28"/>
        </w:rPr>
        <w:t>ведены рекогносцировки с обеих сторон. Полковник Чернов провел разведку от Джулека до Туркестана, захватив при этом весь Каратауский хребет до кокандской крепости Чулак, которая сдалась без боя как и Сузак. Из Верного выступил полковник Колпаковский, котор</w:t>
      </w:r>
      <w:r>
        <w:rPr>
          <w:rFonts w:ascii="Times New Roman" w:eastAsia="Times New Roman" w:hAnsi="Times New Roman" w:cs="Times New Roman"/>
          <w:sz w:val="28"/>
        </w:rPr>
        <w:t xml:space="preserve">ый дойдя с отрядом до Пишпека выслал в крепости Аулие-Ата и Мерке полковника Лерхе, а к крепостям </w:t>
      </w:r>
      <w:r>
        <w:rPr>
          <w:rFonts w:ascii="Times New Roman" w:eastAsia="Times New Roman" w:hAnsi="Times New Roman" w:cs="Times New Roman"/>
          <w:sz w:val="28"/>
        </w:rPr>
        <w:lastRenderedPageBreak/>
        <w:t xml:space="preserve">Джунгали Куртку капитана Проценко. Все эти крепости сдались без единого выстрела и были разрушены [16].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В 1864 году Сыр-Дарьинская и Семиреченская военные </w:t>
      </w:r>
      <w:r>
        <w:rPr>
          <w:rFonts w:ascii="Times New Roman" w:eastAsia="Times New Roman" w:hAnsi="Times New Roman" w:cs="Times New Roman"/>
          <w:sz w:val="28"/>
        </w:rPr>
        <w:t xml:space="preserve">линии были соединены.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На основе вышеизложенного материала можно сделать следующие выводы: </w:t>
      </w:r>
    </w:p>
    <w:p w:rsidR="0052701D" w:rsidRDefault="00D40929">
      <w:pPr>
        <w:spacing w:after="5" w:line="271" w:lineRule="auto"/>
        <w:ind w:left="9" w:right="64" w:firstLine="711"/>
        <w:jc w:val="both"/>
      </w:pPr>
      <w:r>
        <w:rPr>
          <w:rFonts w:ascii="Times New Roman" w:eastAsia="Times New Roman" w:hAnsi="Times New Roman" w:cs="Times New Roman"/>
          <w:sz w:val="28"/>
        </w:rPr>
        <w:t>Отдельный Сибирский корпус превратился в мощную и грозную силу царизма в Казахстане, способную не только выполнять карательные функции, но и вести завоевательные в</w:t>
      </w:r>
      <w:r>
        <w:rPr>
          <w:rFonts w:ascii="Times New Roman" w:eastAsia="Times New Roman" w:hAnsi="Times New Roman" w:cs="Times New Roman"/>
          <w:sz w:val="28"/>
        </w:rPr>
        <w:t xml:space="preserve">ойны;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Продолжается планомерное и безжалостное насаждение русских порядков в казахской степи;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После подавления восстания начинается подготовка к более решительным действиям в южном Казахстане и на южных окраинах казахских степей; </w:t>
      </w:r>
    </w:p>
    <w:p w:rsidR="0052701D" w:rsidRDefault="00D40929">
      <w:pPr>
        <w:spacing w:after="5" w:line="271" w:lineRule="auto"/>
        <w:ind w:left="9" w:right="64" w:firstLine="711"/>
        <w:jc w:val="both"/>
      </w:pPr>
      <w:r>
        <w:rPr>
          <w:rFonts w:ascii="Times New Roman" w:eastAsia="Times New Roman" w:hAnsi="Times New Roman" w:cs="Times New Roman"/>
          <w:sz w:val="28"/>
        </w:rPr>
        <w:t>В 50-х годах ХIХ века на</w:t>
      </w:r>
      <w:r>
        <w:rPr>
          <w:rFonts w:ascii="Times New Roman" w:eastAsia="Times New Roman" w:hAnsi="Times New Roman" w:cs="Times New Roman"/>
          <w:sz w:val="28"/>
        </w:rPr>
        <w:t xml:space="preserve">чинается активное военное вторжение в южные регионы Казахстана, в виде начала военных действий в Заилийском крае; </w:t>
      </w:r>
    </w:p>
    <w:p w:rsidR="0052701D" w:rsidRDefault="00D40929">
      <w:pPr>
        <w:spacing w:after="5" w:line="271" w:lineRule="auto"/>
        <w:ind w:left="9" w:right="64" w:firstLine="711"/>
        <w:jc w:val="both"/>
      </w:pPr>
      <w:r>
        <w:rPr>
          <w:rFonts w:ascii="Times New Roman" w:eastAsia="Times New Roman" w:hAnsi="Times New Roman" w:cs="Times New Roman"/>
          <w:sz w:val="28"/>
        </w:rPr>
        <w:t>К концу 50-х годов начинаются активные действия против кокандцев, для нанесения решительного удара в Заилийский край стягиваются регулярные к</w:t>
      </w:r>
      <w:r>
        <w:rPr>
          <w:rFonts w:ascii="Times New Roman" w:eastAsia="Times New Roman" w:hAnsi="Times New Roman" w:cs="Times New Roman"/>
          <w:sz w:val="28"/>
        </w:rPr>
        <w:t xml:space="preserve">арательные и казачьи войска;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    В результате успешных военных действий создана ново-кокандская военная линия соединившая Сыр-Дарьинскую и Семиреченскую области. </w:t>
      </w:r>
    </w:p>
    <w:p w:rsidR="0052701D" w:rsidRDefault="00D40929">
      <w:pPr>
        <w:spacing w:after="0"/>
        <w:ind w:left="360"/>
      </w:pPr>
      <w:r>
        <w:rPr>
          <w:rFonts w:ascii="Times New Roman" w:eastAsia="Times New Roman" w:hAnsi="Times New Roman" w:cs="Times New Roman"/>
          <w:sz w:val="28"/>
        </w:rPr>
        <w:t xml:space="preserve"> </w:t>
      </w:r>
    </w:p>
    <w:p w:rsidR="0052701D" w:rsidRDefault="00D40929">
      <w:pPr>
        <w:spacing w:after="16" w:line="248" w:lineRule="auto"/>
        <w:ind w:left="819" w:right="323" w:hanging="10"/>
        <w:jc w:val="center"/>
      </w:pPr>
      <w:r>
        <w:rPr>
          <w:rFonts w:ascii="Times New Roman" w:eastAsia="Times New Roman" w:hAnsi="Times New Roman" w:cs="Times New Roman"/>
          <w:b/>
          <w:sz w:val="24"/>
        </w:rPr>
        <w:t xml:space="preserve">ИСТОЧНИКИ </w:t>
      </w:r>
    </w:p>
    <w:p w:rsidR="0052701D" w:rsidRDefault="00D40929">
      <w:pPr>
        <w:numPr>
          <w:ilvl w:val="0"/>
          <w:numId w:val="79"/>
        </w:numPr>
        <w:spacing w:after="29" w:line="248" w:lineRule="auto"/>
        <w:ind w:right="14" w:firstLine="567"/>
        <w:jc w:val="both"/>
      </w:pPr>
      <w:r>
        <w:rPr>
          <w:rFonts w:ascii="Times New Roman" w:eastAsia="Times New Roman" w:hAnsi="Times New Roman" w:cs="Times New Roman"/>
          <w:sz w:val="24"/>
        </w:rPr>
        <w:t xml:space="preserve">Венюков М.И. Опыт военного обозрения русских границ в Азии.  СПб. –1873 с. 5. </w:t>
      </w:r>
    </w:p>
    <w:p w:rsidR="0052701D" w:rsidRDefault="00D40929">
      <w:pPr>
        <w:numPr>
          <w:ilvl w:val="0"/>
          <w:numId w:val="79"/>
        </w:numPr>
        <w:spacing w:after="29" w:line="248" w:lineRule="auto"/>
        <w:ind w:right="14" w:firstLine="567"/>
        <w:jc w:val="both"/>
      </w:pPr>
      <w:r>
        <w:rPr>
          <w:rFonts w:ascii="Times New Roman" w:eastAsia="Times New Roman" w:hAnsi="Times New Roman" w:cs="Times New Roman"/>
          <w:sz w:val="24"/>
        </w:rPr>
        <w:t xml:space="preserve">Славцов П.П. Историческое обозрение в Сибири: Кн.2 от 1742-1823 года. СПб. - 1844.- с.403. </w:t>
      </w:r>
    </w:p>
    <w:p w:rsidR="0052701D" w:rsidRDefault="00D40929">
      <w:pPr>
        <w:numPr>
          <w:ilvl w:val="0"/>
          <w:numId w:val="79"/>
        </w:numPr>
        <w:spacing w:after="29" w:line="248" w:lineRule="auto"/>
        <w:ind w:right="14" w:firstLine="567"/>
        <w:jc w:val="both"/>
      </w:pPr>
      <w:r>
        <w:rPr>
          <w:rFonts w:ascii="Times New Roman" w:eastAsia="Times New Roman" w:hAnsi="Times New Roman" w:cs="Times New Roman"/>
          <w:sz w:val="24"/>
        </w:rPr>
        <w:t xml:space="preserve">Тихменев А.И., Грудзинский П.А. Омский военный округ. Омск. -1910. с.13-14. </w:t>
      </w:r>
    </w:p>
    <w:p w:rsidR="0052701D" w:rsidRDefault="00D40929">
      <w:pPr>
        <w:numPr>
          <w:ilvl w:val="0"/>
          <w:numId w:val="79"/>
        </w:numPr>
        <w:spacing w:after="29" w:line="248" w:lineRule="auto"/>
        <w:ind w:right="14" w:firstLine="567"/>
        <w:jc w:val="both"/>
      </w:pPr>
      <w:r>
        <w:rPr>
          <w:rFonts w:ascii="Times New Roman" w:eastAsia="Times New Roman" w:hAnsi="Times New Roman" w:cs="Times New Roman"/>
          <w:sz w:val="24"/>
        </w:rPr>
        <w:t xml:space="preserve">Хорошхин М. Казачьи войска: опыт военно-статистического описания. – СПб. </w:t>
      </w:r>
    </w:p>
    <w:p w:rsidR="0052701D" w:rsidRDefault="00D40929">
      <w:pPr>
        <w:spacing w:after="29" w:line="248" w:lineRule="auto"/>
        <w:ind w:left="9" w:right="14"/>
        <w:jc w:val="both"/>
      </w:pPr>
      <w:r>
        <w:rPr>
          <w:rFonts w:ascii="Times New Roman" w:eastAsia="Times New Roman" w:hAnsi="Times New Roman" w:cs="Times New Roman"/>
          <w:sz w:val="24"/>
        </w:rPr>
        <w:t xml:space="preserve">1881с.46. </w:t>
      </w:r>
    </w:p>
    <w:p w:rsidR="0052701D" w:rsidRDefault="00D40929">
      <w:pPr>
        <w:numPr>
          <w:ilvl w:val="0"/>
          <w:numId w:val="79"/>
        </w:numPr>
        <w:spacing w:after="29" w:line="248" w:lineRule="auto"/>
        <w:ind w:right="14" w:firstLine="567"/>
        <w:jc w:val="both"/>
      </w:pPr>
      <w:r>
        <w:rPr>
          <w:rFonts w:ascii="Times New Roman" w:eastAsia="Times New Roman" w:hAnsi="Times New Roman" w:cs="Times New Roman"/>
          <w:sz w:val="24"/>
        </w:rPr>
        <w:t>А</w:t>
      </w:r>
      <w:r>
        <w:rPr>
          <w:rFonts w:ascii="Times New Roman" w:eastAsia="Times New Roman" w:hAnsi="Times New Roman" w:cs="Times New Roman"/>
          <w:sz w:val="24"/>
        </w:rPr>
        <w:t xml:space="preserve">бдиров М.Ж. История казачества Казахстана. - Алматы.- 1994 с.98.  </w:t>
      </w:r>
    </w:p>
    <w:p w:rsidR="0052701D" w:rsidRDefault="00D40929">
      <w:pPr>
        <w:numPr>
          <w:ilvl w:val="0"/>
          <w:numId w:val="79"/>
        </w:numPr>
        <w:spacing w:after="29" w:line="248" w:lineRule="auto"/>
        <w:ind w:right="14" w:firstLine="567"/>
        <w:jc w:val="both"/>
      </w:pPr>
      <w:r>
        <w:rPr>
          <w:rFonts w:ascii="Times New Roman" w:eastAsia="Times New Roman" w:hAnsi="Times New Roman" w:cs="Times New Roman"/>
          <w:sz w:val="24"/>
        </w:rPr>
        <w:t xml:space="preserve">Энциклопедия военных и морских наук.  Т. 7, с. 594. </w:t>
      </w:r>
    </w:p>
    <w:p w:rsidR="0052701D" w:rsidRDefault="00D40929">
      <w:pPr>
        <w:numPr>
          <w:ilvl w:val="0"/>
          <w:numId w:val="79"/>
        </w:numPr>
        <w:spacing w:after="29" w:line="248" w:lineRule="auto"/>
        <w:ind w:right="14" w:firstLine="567"/>
        <w:jc w:val="both"/>
      </w:pPr>
      <w:r>
        <w:rPr>
          <w:rFonts w:ascii="Times New Roman" w:eastAsia="Times New Roman" w:hAnsi="Times New Roman" w:cs="Times New Roman"/>
          <w:sz w:val="24"/>
        </w:rPr>
        <w:t xml:space="preserve">Венюков М.И. Указ.соч.с.11-12. </w:t>
      </w:r>
    </w:p>
    <w:p w:rsidR="0052701D" w:rsidRDefault="00D40929">
      <w:pPr>
        <w:numPr>
          <w:ilvl w:val="0"/>
          <w:numId w:val="79"/>
        </w:numPr>
        <w:spacing w:after="29" w:line="248" w:lineRule="auto"/>
        <w:ind w:right="14" w:firstLine="567"/>
        <w:jc w:val="both"/>
      </w:pPr>
      <w:r>
        <w:rPr>
          <w:rFonts w:ascii="Times New Roman" w:eastAsia="Times New Roman" w:hAnsi="Times New Roman" w:cs="Times New Roman"/>
          <w:sz w:val="24"/>
        </w:rPr>
        <w:t xml:space="preserve">Энциклопедия военных и морских наук.  Т. 7, с. 594-595. </w:t>
      </w:r>
    </w:p>
    <w:p w:rsidR="0052701D" w:rsidRDefault="00D40929">
      <w:pPr>
        <w:numPr>
          <w:ilvl w:val="0"/>
          <w:numId w:val="79"/>
        </w:numPr>
        <w:spacing w:after="29" w:line="248" w:lineRule="auto"/>
        <w:ind w:right="14" w:firstLine="567"/>
        <w:jc w:val="both"/>
      </w:pPr>
      <w:r>
        <w:rPr>
          <w:rFonts w:ascii="Times New Roman" w:eastAsia="Times New Roman" w:hAnsi="Times New Roman" w:cs="Times New Roman"/>
          <w:sz w:val="24"/>
        </w:rPr>
        <w:t xml:space="preserve">Хорошхин М. Указ.соч.с.46. </w:t>
      </w:r>
    </w:p>
    <w:p w:rsidR="0052701D" w:rsidRDefault="00D40929">
      <w:pPr>
        <w:numPr>
          <w:ilvl w:val="0"/>
          <w:numId w:val="79"/>
        </w:numPr>
        <w:spacing w:after="29" w:line="248" w:lineRule="auto"/>
        <w:ind w:right="14" w:firstLine="567"/>
        <w:jc w:val="both"/>
      </w:pPr>
      <w:r>
        <w:rPr>
          <w:rFonts w:ascii="Times New Roman" w:eastAsia="Times New Roman" w:hAnsi="Times New Roman" w:cs="Times New Roman"/>
          <w:sz w:val="24"/>
        </w:rPr>
        <w:t xml:space="preserve">Венюков М.И. </w:t>
      </w:r>
      <w:r>
        <w:rPr>
          <w:rFonts w:ascii="Times New Roman" w:eastAsia="Times New Roman" w:hAnsi="Times New Roman" w:cs="Times New Roman"/>
          <w:sz w:val="24"/>
        </w:rPr>
        <w:t xml:space="preserve">Указ.соч.  с.26. </w:t>
      </w:r>
    </w:p>
    <w:p w:rsidR="0052701D" w:rsidRDefault="00D40929">
      <w:pPr>
        <w:numPr>
          <w:ilvl w:val="0"/>
          <w:numId w:val="79"/>
        </w:numPr>
        <w:spacing w:after="29" w:line="248" w:lineRule="auto"/>
        <w:ind w:right="14" w:firstLine="567"/>
        <w:jc w:val="both"/>
      </w:pPr>
      <w:r>
        <w:rPr>
          <w:rFonts w:ascii="Times New Roman" w:eastAsia="Times New Roman" w:hAnsi="Times New Roman" w:cs="Times New Roman"/>
          <w:sz w:val="24"/>
        </w:rPr>
        <w:t xml:space="preserve">Абдиров М.Ж. Указ.соч. с.108. </w:t>
      </w:r>
    </w:p>
    <w:p w:rsidR="0052701D" w:rsidRDefault="00D40929">
      <w:pPr>
        <w:numPr>
          <w:ilvl w:val="0"/>
          <w:numId w:val="79"/>
        </w:numPr>
        <w:spacing w:after="29" w:line="248" w:lineRule="auto"/>
        <w:ind w:right="14" w:firstLine="567"/>
        <w:jc w:val="both"/>
      </w:pPr>
      <w:r>
        <w:rPr>
          <w:rFonts w:ascii="Times New Roman" w:eastAsia="Times New Roman" w:hAnsi="Times New Roman" w:cs="Times New Roman"/>
          <w:sz w:val="24"/>
        </w:rPr>
        <w:t xml:space="preserve">Венюков М.И. Указ. соч. с.19. </w:t>
      </w:r>
    </w:p>
    <w:p w:rsidR="0052701D" w:rsidRDefault="00D40929">
      <w:pPr>
        <w:numPr>
          <w:ilvl w:val="0"/>
          <w:numId w:val="79"/>
        </w:numPr>
        <w:spacing w:after="29" w:line="248" w:lineRule="auto"/>
        <w:ind w:right="14" w:firstLine="567"/>
        <w:jc w:val="both"/>
      </w:pPr>
      <w:r>
        <w:rPr>
          <w:rFonts w:ascii="Times New Roman" w:eastAsia="Times New Roman" w:hAnsi="Times New Roman" w:cs="Times New Roman"/>
          <w:sz w:val="24"/>
        </w:rPr>
        <w:t xml:space="preserve">Исторический опыт защиты Отечества с.103-104.  </w:t>
      </w:r>
    </w:p>
    <w:p w:rsidR="0052701D" w:rsidRDefault="00D40929">
      <w:pPr>
        <w:numPr>
          <w:ilvl w:val="0"/>
          <w:numId w:val="79"/>
        </w:numPr>
        <w:spacing w:after="29" w:line="248" w:lineRule="auto"/>
        <w:ind w:right="14" w:firstLine="567"/>
        <w:jc w:val="both"/>
      </w:pPr>
      <w:r>
        <w:rPr>
          <w:rFonts w:ascii="Times New Roman" w:eastAsia="Times New Roman" w:hAnsi="Times New Roman" w:cs="Times New Roman"/>
          <w:sz w:val="24"/>
        </w:rPr>
        <w:t xml:space="preserve">Далаева Т.Т. К вопросу о характере политики царизма в отношении Старшего жуза. Социально-демографические процессы как следствие </w:t>
      </w:r>
      <w:r>
        <w:rPr>
          <w:rFonts w:ascii="Times New Roman" w:eastAsia="Times New Roman" w:hAnsi="Times New Roman" w:cs="Times New Roman"/>
          <w:sz w:val="24"/>
        </w:rPr>
        <w:t xml:space="preserve">экономических и политических нововведений в Казахстане. Алматы. -1998.-с.45-47. </w:t>
      </w:r>
    </w:p>
    <w:p w:rsidR="0052701D" w:rsidRDefault="00D40929">
      <w:pPr>
        <w:numPr>
          <w:ilvl w:val="0"/>
          <w:numId w:val="79"/>
        </w:numPr>
        <w:spacing w:after="29" w:line="248" w:lineRule="auto"/>
        <w:ind w:right="14" w:firstLine="567"/>
        <w:jc w:val="both"/>
      </w:pPr>
      <w:r>
        <w:rPr>
          <w:rFonts w:ascii="Times New Roman" w:eastAsia="Times New Roman" w:hAnsi="Times New Roman" w:cs="Times New Roman"/>
          <w:sz w:val="24"/>
        </w:rPr>
        <w:t xml:space="preserve">Абаза К.К. Завоевание Туркестана. СПб. –1902 с.64. </w:t>
      </w:r>
    </w:p>
    <w:p w:rsidR="0052701D" w:rsidRDefault="00D40929">
      <w:pPr>
        <w:numPr>
          <w:ilvl w:val="0"/>
          <w:numId w:val="79"/>
        </w:numPr>
        <w:spacing w:after="80" w:line="248" w:lineRule="auto"/>
        <w:ind w:right="14" w:firstLine="567"/>
        <w:jc w:val="both"/>
      </w:pPr>
      <w:r>
        <w:rPr>
          <w:rFonts w:ascii="Times New Roman" w:eastAsia="Times New Roman" w:hAnsi="Times New Roman" w:cs="Times New Roman"/>
          <w:sz w:val="24"/>
        </w:rPr>
        <w:t xml:space="preserve">Макшеев А.И.  Исторический обзор Туркестана и наступательного движения в него русских. СПб. - 1890. с.219-223.   </w:t>
      </w:r>
    </w:p>
    <w:p w:rsidR="0052701D" w:rsidRDefault="00D40929">
      <w:pPr>
        <w:spacing w:after="108"/>
        <w:ind w:left="504"/>
      </w:pPr>
      <w:r>
        <w:rPr>
          <w:rFonts w:ascii="Times New Roman" w:eastAsia="Times New Roman" w:hAnsi="Times New Roman" w:cs="Times New Roman"/>
          <w:sz w:val="20"/>
        </w:rPr>
        <w:lastRenderedPageBreak/>
        <w:t xml:space="preserve"> </w:t>
      </w:r>
    </w:p>
    <w:p w:rsidR="0052701D" w:rsidRDefault="00D40929">
      <w:pPr>
        <w:spacing w:after="125"/>
        <w:ind w:left="504"/>
      </w:pPr>
      <w:r>
        <w:rPr>
          <w:rFonts w:ascii="Times New Roman" w:eastAsia="Times New Roman" w:hAnsi="Times New Roman" w:cs="Times New Roman"/>
          <w:sz w:val="20"/>
        </w:rPr>
        <w:t xml:space="preserve"> </w:t>
      </w:r>
    </w:p>
    <w:p w:rsidR="0052701D" w:rsidRDefault="00D40929">
      <w:pPr>
        <w:spacing w:after="33" w:line="271" w:lineRule="auto"/>
        <w:ind w:left="-5" w:right="194" w:hanging="10"/>
      </w:pPr>
      <w:r>
        <w:rPr>
          <w:rFonts w:ascii="Times New Roman" w:eastAsia="Times New Roman" w:hAnsi="Times New Roman" w:cs="Times New Roman"/>
          <w:b/>
          <w:sz w:val="24"/>
        </w:rPr>
        <w:t>УДК 3</w:t>
      </w:r>
      <w:r>
        <w:rPr>
          <w:rFonts w:ascii="Times New Roman" w:eastAsia="Times New Roman" w:hAnsi="Times New Roman" w:cs="Times New Roman"/>
          <w:b/>
          <w:sz w:val="24"/>
        </w:rPr>
        <w:t xml:space="preserve">78.1 МРНТИ 11.25.40 </w:t>
      </w:r>
    </w:p>
    <w:p w:rsidR="0052701D" w:rsidRDefault="00D40929">
      <w:pPr>
        <w:spacing w:after="35"/>
        <w:ind w:left="721"/>
      </w:pPr>
      <w:r>
        <w:rPr>
          <w:rFonts w:ascii="Times New Roman" w:eastAsia="Times New Roman" w:hAnsi="Times New Roman" w:cs="Times New Roman"/>
          <w:sz w:val="28"/>
        </w:rPr>
        <w:t xml:space="preserve"> </w:t>
      </w:r>
    </w:p>
    <w:p w:rsidR="0052701D" w:rsidRDefault="00D40929">
      <w:pPr>
        <w:pStyle w:val="1"/>
        <w:spacing w:line="251" w:lineRule="auto"/>
        <w:ind w:left="1388" w:right="0" w:firstLine="9"/>
        <w:jc w:val="left"/>
      </w:pPr>
      <w:r>
        <w:t xml:space="preserve">ГЕОПОЛИТИЧЕСКАЯ ТУРБУЛЕНТНОСТЬ ЕВРАЗИИ И </w:t>
      </w:r>
    </w:p>
    <w:p w:rsidR="0052701D" w:rsidRDefault="00D40929">
      <w:pPr>
        <w:spacing w:after="5" w:line="251" w:lineRule="auto"/>
        <w:ind w:left="1388" w:firstLine="9"/>
      </w:pPr>
      <w:r>
        <w:rPr>
          <w:rFonts w:ascii="Times New Roman" w:eastAsia="Times New Roman" w:hAnsi="Times New Roman" w:cs="Times New Roman"/>
          <w:b/>
          <w:sz w:val="28"/>
        </w:rPr>
        <w:t xml:space="preserve">ПРОЕКЦИЯ НЕСТАБИЛЬНОСТИ НА ЦЕНТРАЛЬНОАЗИАТСКИЙ РЕГИОН </w:t>
      </w:r>
    </w:p>
    <w:p w:rsidR="0052701D" w:rsidRDefault="00D40929">
      <w:pPr>
        <w:spacing w:after="21"/>
        <w:ind w:left="711"/>
      </w:pPr>
      <w:r>
        <w:rPr>
          <w:rFonts w:ascii="Times New Roman" w:eastAsia="Times New Roman" w:hAnsi="Times New Roman" w:cs="Times New Roman"/>
          <w:b/>
          <w:sz w:val="24"/>
        </w:rPr>
        <w:t xml:space="preserve"> </w:t>
      </w:r>
    </w:p>
    <w:p w:rsidR="0052701D" w:rsidRDefault="00D40929">
      <w:pPr>
        <w:pStyle w:val="1"/>
        <w:spacing w:after="16" w:line="248" w:lineRule="auto"/>
        <w:ind w:left="819" w:right="174"/>
      </w:pPr>
      <w:r>
        <w:rPr>
          <w:sz w:val="24"/>
        </w:rPr>
        <w:t xml:space="preserve">М.М. Сарсекеев </w:t>
      </w:r>
    </w:p>
    <w:p w:rsidR="0052701D" w:rsidRDefault="00D40929">
      <w:pPr>
        <w:spacing w:after="14" w:line="248" w:lineRule="auto"/>
        <w:ind w:left="713" w:right="75" w:hanging="5"/>
        <w:jc w:val="center"/>
      </w:pPr>
      <w:r>
        <w:rPr>
          <w:rFonts w:ascii="Times New Roman" w:eastAsia="Times New Roman" w:hAnsi="Times New Roman" w:cs="Times New Roman"/>
          <w:sz w:val="24"/>
        </w:rPr>
        <w:t>АУЭС имени Гумарбека Даукеева,</w:t>
      </w:r>
      <w:r>
        <w:rPr>
          <w:rFonts w:ascii="Times New Roman" w:eastAsia="Times New Roman" w:hAnsi="Times New Roman" w:cs="Times New Roman"/>
          <w:b/>
          <w:sz w:val="24"/>
        </w:rPr>
        <w:t xml:space="preserve"> </w:t>
      </w:r>
    </w:p>
    <w:p w:rsidR="0052701D" w:rsidRDefault="00D40929">
      <w:pPr>
        <w:spacing w:after="14" w:line="248" w:lineRule="auto"/>
        <w:ind w:left="713" w:right="70" w:hanging="5"/>
        <w:jc w:val="center"/>
      </w:pPr>
      <w:r>
        <w:rPr>
          <w:rFonts w:ascii="Times New Roman" w:eastAsia="Times New Roman" w:hAnsi="Times New Roman" w:cs="Times New Roman"/>
          <w:sz w:val="24"/>
        </w:rPr>
        <w:t>m.sarsekeev@aues.kz</w:t>
      </w:r>
      <w:r>
        <w:rPr>
          <w:rFonts w:ascii="Times New Roman" w:eastAsia="Times New Roman" w:hAnsi="Times New Roman" w:cs="Times New Roman"/>
          <w:b/>
          <w:sz w:val="24"/>
        </w:rPr>
        <w:t xml:space="preserve"> </w:t>
      </w:r>
    </w:p>
    <w:p w:rsidR="0052701D" w:rsidRDefault="00D40929">
      <w:pPr>
        <w:spacing w:after="52"/>
        <w:ind w:left="711"/>
      </w:pPr>
      <w:r>
        <w:rPr>
          <w:rFonts w:ascii="Times New Roman" w:eastAsia="Times New Roman" w:hAnsi="Times New Roman" w:cs="Times New Roman"/>
          <w:b/>
          <w:sz w:val="20"/>
        </w:rPr>
        <w:t xml:space="preserve"> </w:t>
      </w:r>
    </w:p>
    <w:p w:rsidR="0052701D" w:rsidRDefault="00D40929">
      <w:pPr>
        <w:spacing w:after="29" w:line="248" w:lineRule="auto"/>
        <w:ind w:left="9" w:firstLine="711"/>
        <w:jc w:val="both"/>
      </w:pPr>
      <w:r>
        <w:rPr>
          <w:rFonts w:ascii="Times New Roman" w:eastAsia="Times New Roman" w:hAnsi="Times New Roman" w:cs="Times New Roman"/>
          <w:b/>
          <w:i/>
          <w:sz w:val="24"/>
        </w:rPr>
        <w:t>Аннотация:</w:t>
      </w:r>
      <w:r>
        <w:rPr>
          <w:rFonts w:ascii="Times New Roman" w:eastAsia="Times New Roman" w:hAnsi="Times New Roman" w:cs="Times New Roman"/>
          <w:i/>
          <w:sz w:val="24"/>
        </w:rPr>
        <w:t xml:space="preserve"> В статье рассматривается проблема роста </w:t>
      </w:r>
      <w:r>
        <w:rPr>
          <w:rFonts w:ascii="Times New Roman" w:eastAsia="Times New Roman" w:hAnsi="Times New Roman" w:cs="Times New Roman"/>
          <w:i/>
          <w:sz w:val="24"/>
        </w:rPr>
        <w:t>геополитической турбулентности, происходящая в настоящее время на Евразийском континенте, которая вызвана острым соперничеством между ведущими военно-политическими центрами современного мира, а также её опосредованное влияние на процессы внутриполитической</w:t>
      </w:r>
      <w:r>
        <w:rPr>
          <w:rFonts w:ascii="Times New Roman" w:eastAsia="Times New Roman" w:hAnsi="Times New Roman" w:cs="Times New Roman"/>
          <w:i/>
          <w:sz w:val="24"/>
        </w:rPr>
        <w:t xml:space="preserve"> конфронтации, наблюдаемые в центральноазиатском регионе.</w:t>
      </w:r>
      <w:r>
        <w:rPr>
          <w:rFonts w:ascii="Times New Roman" w:eastAsia="Times New Roman" w:hAnsi="Times New Roman" w:cs="Times New Roman"/>
          <w:b/>
          <w:i/>
          <w:sz w:val="24"/>
        </w:rPr>
        <w:t xml:space="preserve"> </w:t>
      </w:r>
    </w:p>
    <w:p w:rsidR="0052701D" w:rsidRDefault="00D40929">
      <w:pPr>
        <w:spacing w:after="29" w:line="248" w:lineRule="auto"/>
        <w:ind w:left="9" w:firstLine="711"/>
        <w:jc w:val="both"/>
      </w:pP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 xml:space="preserve"> геополитика, турбулентные процессы, устойчивость, политикоэкономическая проекция, системная стабильность, трансформация, конфронтации, региональные отношения</w:t>
      </w:r>
      <w:r>
        <w:rPr>
          <w:rFonts w:ascii="Times New Roman" w:eastAsia="Times New Roman" w:hAnsi="Times New Roman" w:cs="Times New Roman"/>
          <w:i/>
          <w:sz w:val="20"/>
        </w:rPr>
        <w:t>.</w:t>
      </w:r>
      <w:r>
        <w:rPr>
          <w:rFonts w:ascii="Times New Roman" w:eastAsia="Times New Roman" w:hAnsi="Times New Roman" w:cs="Times New Roman"/>
          <w:b/>
          <w:i/>
          <w:sz w:val="20"/>
        </w:rPr>
        <w:t xml:space="preserve"> </w:t>
      </w:r>
    </w:p>
    <w:p w:rsidR="0052701D" w:rsidRDefault="00D40929">
      <w:pPr>
        <w:spacing w:after="0"/>
        <w:ind w:left="711"/>
      </w:pPr>
      <w:r>
        <w:rPr>
          <w:rFonts w:ascii="Times New Roman" w:eastAsia="Times New Roman" w:hAnsi="Times New Roman" w:cs="Times New Roman"/>
          <w:sz w:val="24"/>
        </w:rPr>
        <w:t xml:space="preserve"> </w:t>
      </w:r>
    </w:p>
    <w:p w:rsidR="0052701D" w:rsidRDefault="00D40929">
      <w:pPr>
        <w:spacing w:after="16"/>
        <w:ind w:left="711"/>
      </w:pPr>
      <w:r>
        <w:rPr>
          <w:rFonts w:ascii="Times New Roman" w:eastAsia="Times New Roman" w:hAnsi="Times New Roman" w:cs="Times New Roman"/>
          <w:sz w:val="24"/>
        </w:rPr>
        <w:t xml:space="preserve"> </w:t>
      </w:r>
    </w:p>
    <w:p w:rsidR="0052701D" w:rsidRDefault="00D40929">
      <w:pPr>
        <w:spacing w:after="5" w:line="271" w:lineRule="auto"/>
        <w:ind w:left="1172" w:firstLine="9"/>
      </w:pPr>
      <w:r>
        <w:rPr>
          <w:rFonts w:ascii="Times New Roman" w:eastAsia="Times New Roman" w:hAnsi="Times New Roman" w:cs="Times New Roman"/>
          <w:b/>
          <w:sz w:val="28"/>
        </w:rPr>
        <w:t xml:space="preserve">THE GEOPOLITICAL </w:t>
      </w:r>
      <w:r>
        <w:rPr>
          <w:rFonts w:ascii="Times New Roman" w:eastAsia="Times New Roman" w:hAnsi="Times New Roman" w:cs="Times New Roman"/>
          <w:b/>
          <w:sz w:val="28"/>
        </w:rPr>
        <w:t xml:space="preserve">TURBULENCE OF EURASIA AND THE PROJECTION OF INSTABILITY ON THE CENTRAL ASIAN REGION </w:t>
      </w:r>
    </w:p>
    <w:p w:rsidR="0052701D" w:rsidRDefault="00D40929">
      <w:pPr>
        <w:spacing w:after="0"/>
        <w:ind w:left="711"/>
      </w:pPr>
      <w:r>
        <w:rPr>
          <w:rFonts w:ascii="Times New Roman" w:eastAsia="Times New Roman" w:hAnsi="Times New Roman" w:cs="Times New Roman"/>
          <w:sz w:val="24"/>
        </w:rPr>
        <w:t xml:space="preserve"> </w:t>
      </w:r>
    </w:p>
    <w:p w:rsidR="0052701D" w:rsidRDefault="00D40929">
      <w:pPr>
        <w:spacing w:after="16" w:line="248" w:lineRule="auto"/>
        <w:ind w:left="819" w:right="179" w:hanging="10"/>
        <w:jc w:val="center"/>
      </w:pPr>
      <w:r>
        <w:rPr>
          <w:rFonts w:ascii="Times New Roman" w:eastAsia="Times New Roman" w:hAnsi="Times New Roman" w:cs="Times New Roman"/>
          <w:b/>
          <w:sz w:val="24"/>
        </w:rPr>
        <w:t xml:space="preserve">M.M. Sarsekeev </w:t>
      </w:r>
    </w:p>
    <w:p w:rsidR="0052701D" w:rsidRDefault="00D40929">
      <w:pPr>
        <w:spacing w:after="14" w:line="248" w:lineRule="auto"/>
        <w:ind w:left="713" w:right="79" w:hanging="5"/>
        <w:jc w:val="center"/>
      </w:pPr>
      <w:r>
        <w:rPr>
          <w:rFonts w:ascii="Times New Roman" w:eastAsia="Times New Roman" w:hAnsi="Times New Roman" w:cs="Times New Roman"/>
          <w:sz w:val="24"/>
        </w:rPr>
        <w:t>Gumarbek Daukeev AUE,</w:t>
      </w:r>
      <w:r>
        <w:rPr>
          <w:rFonts w:ascii="Times New Roman" w:eastAsia="Times New Roman" w:hAnsi="Times New Roman" w:cs="Times New Roman"/>
          <w:b/>
          <w:sz w:val="24"/>
        </w:rPr>
        <w:t xml:space="preserve"> </w:t>
      </w:r>
    </w:p>
    <w:p w:rsidR="0052701D" w:rsidRDefault="00D40929">
      <w:pPr>
        <w:spacing w:after="0"/>
        <w:ind w:left="645" w:hanging="10"/>
        <w:jc w:val="center"/>
      </w:pPr>
      <w:r>
        <w:rPr>
          <w:rFonts w:ascii="Times New Roman" w:eastAsia="Times New Roman" w:hAnsi="Times New Roman" w:cs="Times New Roman"/>
          <w:color w:val="0000FF"/>
          <w:sz w:val="24"/>
          <w:u w:val="single" w:color="0000FF"/>
        </w:rPr>
        <w:t>m.sarsekeev@aues.kz</w:t>
      </w:r>
      <w:r>
        <w:rPr>
          <w:rFonts w:ascii="Times New Roman" w:eastAsia="Times New Roman" w:hAnsi="Times New Roman" w:cs="Times New Roman"/>
          <w:b/>
          <w:sz w:val="24"/>
        </w:rPr>
        <w:t xml:space="preserve"> </w:t>
      </w:r>
    </w:p>
    <w:p w:rsidR="0052701D" w:rsidRDefault="00D40929">
      <w:pPr>
        <w:spacing w:after="0"/>
        <w:ind w:left="711"/>
      </w:pPr>
      <w:r>
        <w:rPr>
          <w:rFonts w:ascii="Times New Roman" w:eastAsia="Times New Roman" w:hAnsi="Times New Roman" w:cs="Times New Roman"/>
          <w:b/>
          <w:sz w:val="24"/>
        </w:rPr>
        <w:t xml:space="preserve"> </w:t>
      </w:r>
    </w:p>
    <w:p w:rsidR="0052701D" w:rsidRDefault="00D40929">
      <w:pPr>
        <w:spacing w:after="0" w:line="248" w:lineRule="auto"/>
        <w:ind w:left="9" w:firstLine="711"/>
        <w:jc w:val="both"/>
      </w:pPr>
      <w:r>
        <w:rPr>
          <w:rFonts w:ascii="Times New Roman" w:eastAsia="Times New Roman" w:hAnsi="Times New Roman" w:cs="Times New Roman"/>
          <w:b/>
          <w:i/>
          <w:sz w:val="24"/>
        </w:rPr>
        <w:t>Abstract:</w:t>
      </w:r>
      <w:r>
        <w:rPr>
          <w:rFonts w:ascii="Times New Roman" w:eastAsia="Times New Roman" w:hAnsi="Times New Roman" w:cs="Times New Roman"/>
          <w:i/>
          <w:sz w:val="24"/>
        </w:rPr>
        <w:t xml:space="preserve"> The article deals with the problem of the growing geopolitical turbulence currently occurring on </w:t>
      </w:r>
      <w:r>
        <w:rPr>
          <w:rFonts w:ascii="Times New Roman" w:eastAsia="Times New Roman" w:hAnsi="Times New Roman" w:cs="Times New Roman"/>
          <w:i/>
          <w:sz w:val="24"/>
        </w:rPr>
        <w:t>the Eurasian continent, which is caused by the acute rivalry between the leading military and political centers of the modern world, as well as its indirect impact on the processes of internal political confrontation observed in the Central Asian region.</w:t>
      </w:r>
      <w:r>
        <w:rPr>
          <w:rFonts w:ascii="Times New Roman" w:eastAsia="Times New Roman" w:hAnsi="Times New Roman" w:cs="Times New Roman"/>
          <w:b/>
          <w:i/>
          <w:sz w:val="24"/>
        </w:rPr>
        <w:t xml:space="preserve"> </w:t>
      </w:r>
    </w:p>
    <w:p w:rsidR="0052701D" w:rsidRDefault="00D40929">
      <w:pPr>
        <w:spacing w:after="0" w:line="248" w:lineRule="auto"/>
        <w:ind w:left="9" w:firstLine="711"/>
        <w:jc w:val="both"/>
      </w:pPr>
      <w:r>
        <w:rPr>
          <w:rFonts w:ascii="Times New Roman" w:eastAsia="Times New Roman" w:hAnsi="Times New Roman" w:cs="Times New Roman"/>
          <w:b/>
          <w:i/>
          <w:sz w:val="24"/>
        </w:rPr>
        <w:t>Keywords:</w:t>
      </w:r>
      <w:r>
        <w:rPr>
          <w:rFonts w:ascii="Times New Roman" w:eastAsia="Times New Roman" w:hAnsi="Times New Roman" w:cs="Times New Roman"/>
          <w:i/>
          <w:sz w:val="24"/>
        </w:rPr>
        <w:t xml:space="preserve"> geopolitics, turbulent processes, stability, political and economic projection, systemic stability, transformation, confrontations, regional relations.</w:t>
      </w:r>
      <w:r>
        <w:rPr>
          <w:rFonts w:ascii="Times New Roman" w:eastAsia="Times New Roman" w:hAnsi="Times New Roman" w:cs="Times New Roman"/>
          <w:b/>
          <w:i/>
          <w:sz w:val="24"/>
        </w:rPr>
        <w:t xml:space="preserve"> </w:t>
      </w:r>
    </w:p>
    <w:p w:rsidR="0052701D" w:rsidRDefault="00D40929">
      <w:pPr>
        <w:spacing w:after="102"/>
        <w:ind w:left="711"/>
      </w:pPr>
      <w:r>
        <w:rPr>
          <w:rFonts w:ascii="Times New Roman" w:eastAsia="Times New Roman" w:hAnsi="Times New Roman" w:cs="Times New Roman"/>
          <w:sz w:val="20"/>
        </w:rPr>
        <w:t xml:space="preserve"> </w:t>
      </w:r>
      <w:r>
        <w:rPr>
          <w:rFonts w:ascii="Times New Roman" w:eastAsia="Times New Roman" w:hAnsi="Times New Roman" w:cs="Times New Roman"/>
          <w:b/>
          <w:sz w:val="20"/>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В настоящее время постсоветская Центральная Азия является одним из крупных географических,</w:t>
      </w:r>
      <w:r>
        <w:rPr>
          <w:rFonts w:ascii="Times New Roman" w:eastAsia="Times New Roman" w:hAnsi="Times New Roman" w:cs="Times New Roman"/>
          <w:sz w:val="28"/>
        </w:rPr>
        <w:t xml:space="preserve"> культурно-исторических, политических регионов, обладающий значительными запасами полезных ископаемых, демографическими ресурсами и транзитным потенциалом. Регион по площади занимаемой территории, степени интеграции в современные международные </w:t>
      </w:r>
      <w:r>
        <w:rPr>
          <w:rFonts w:ascii="Times New Roman" w:eastAsia="Times New Roman" w:hAnsi="Times New Roman" w:cs="Times New Roman"/>
          <w:sz w:val="28"/>
        </w:rPr>
        <w:lastRenderedPageBreak/>
        <w:t xml:space="preserve">процессы, а </w:t>
      </w:r>
      <w:r>
        <w:rPr>
          <w:rFonts w:ascii="Times New Roman" w:eastAsia="Times New Roman" w:hAnsi="Times New Roman" w:cs="Times New Roman"/>
          <w:sz w:val="28"/>
        </w:rPr>
        <w:t xml:space="preserve">также географическому положению с момента обретения государствами региона политической независимости, стал одним из важных составных частей геополитического пространства современного мира. </w:t>
      </w:r>
      <w:r>
        <w:rPr>
          <w:rFonts w:ascii="Times New Roman" w:eastAsia="Times New Roman" w:hAnsi="Times New Roman" w:cs="Times New Roman"/>
          <w:b/>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Центральная Азия расположена в самом сердце Евразийского континен</w:t>
      </w:r>
      <w:r>
        <w:rPr>
          <w:rFonts w:ascii="Times New Roman" w:eastAsia="Times New Roman" w:hAnsi="Times New Roman" w:cs="Times New Roman"/>
          <w:sz w:val="28"/>
        </w:rPr>
        <w:t>та, граничит с двумя крупнейшими державами современного мира — Россией и Китаем, а её территория является местом пересечения исламской, православной и конфуцианско-буддисткой культурно-исторических традиций. Поэтому процессы глобального соперничества, прои</w:t>
      </w:r>
      <w:r>
        <w:rPr>
          <w:rFonts w:ascii="Times New Roman" w:eastAsia="Times New Roman" w:hAnsi="Times New Roman" w:cs="Times New Roman"/>
          <w:sz w:val="28"/>
        </w:rPr>
        <w:t>сходящие в настоящее время между ведущими мировыми центрами силы, не могли не затронуть Центральную Азию. Они проецируют в регион достаточно мощные импульсы политической, финансово-экономической, культурно-информационной нестабильности, которые преломляясь</w:t>
      </w:r>
      <w:r>
        <w:rPr>
          <w:rFonts w:ascii="Times New Roman" w:eastAsia="Times New Roman" w:hAnsi="Times New Roman" w:cs="Times New Roman"/>
          <w:sz w:val="28"/>
        </w:rPr>
        <w:t xml:space="preserve"> через внутреннюю социально-политическую среду, формируют уже новые, вторичные, потоки нестабильности национального и регионального масштаба [1].</w:t>
      </w:r>
      <w:r>
        <w:rPr>
          <w:rFonts w:ascii="Times New Roman" w:eastAsia="Times New Roman" w:hAnsi="Times New Roman" w:cs="Times New Roman"/>
          <w:b/>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   Одной из ведущих тенденций развития современного мира является стремительное изменение глобального геополи</w:t>
      </w:r>
      <w:r>
        <w:rPr>
          <w:rFonts w:ascii="Times New Roman" w:eastAsia="Times New Roman" w:hAnsi="Times New Roman" w:cs="Times New Roman"/>
          <w:sz w:val="28"/>
        </w:rPr>
        <w:t>тического пространства.  Подобные   процессы представляют собой вполне нормальное явления динамично развивающейся в мирный период развития системы международных отношений. Однако, в условиях существующей в настоящее время в мире общей нестабильности, вступ</w:t>
      </w:r>
      <w:r>
        <w:rPr>
          <w:rFonts w:ascii="Times New Roman" w:eastAsia="Times New Roman" w:hAnsi="Times New Roman" w:cs="Times New Roman"/>
          <w:sz w:val="28"/>
        </w:rPr>
        <w:t>ление их в фазу турбулентности могут стать факторами риска, которые приобретая достаточно острый характер, вполне способны стать своеобразными триггерами возникновения хаотичных политико — экономических процессов. Угрозы возникновения подобных процессов ту</w:t>
      </w:r>
      <w:r>
        <w:rPr>
          <w:rFonts w:ascii="Times New Roman" w:eastAsia="Times New Roman" w:hAnsi="Times New Roman" w:cs="Times New Roman"/>
          <w:sz w:val="28"/>
        </w:rPr>
        <w:t>рбулентности всё больше начинают проявляться в современных межгосударственных отношениях, которые к тому же обладают потенциалом обострения и высоким риском выхода из-под эффективного и всеобъемлющего действия международных и национальных институтов контро</w:t>
      </w:r>
      <w:r>
        <w:rPr>
          <w:rFonts w:ascii="Times New Roman" w:eastAsia="Times New Roman" w:hAnsi="Times New Roman" w:cs="Times New Roman"/>
          <w:sz w:val="28"/>
        </w:rPr>
        <w:t>ля.</w:t>
      </w:r>
      <w:r>
        <w:rPr>
          <w:rFonts w:ascii="Times New Roman" w:eastAsia="Times New Roman" w:hAnsi="Times New Roman" w:cs="Times New Roman"/>
          <w:b/>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   Геополитическая турбулентность как один из признаков современной мировой политики по своей сути означает такое состояние отношений, которые можно охарактеризовать как неупорядоченные, во многом хаотичные явления с достаточно сложными, не линейными </w:t>
      </w:r>
      <w:r>
        <w:rPr>
          <w:rFonts w:ascii="Times New Roman" w:eastAsia="Times New Roman" w:hAnsi="Times New Roman" w:cs="Times New Roman"/>
          <w:sz w:val="28"/>
        </w:rPr>
        <w:t>траекториями движения. Подобные определения состояния геополитических процессов основываются на выделении ряда существенных черт, характерных для современных международных отношений.  Резкая конфронтация между Западом и Россией, наблюдаемая сейчас по всему</w:t>
      </w:r>
      <w:r>
        <w:rPr>
          <w:rFonts w:ascii="Times New Roman" w:eastAsia="Times New Roman" w:hAnsi="Times New Roman" w:cs="Times New Roman"/>
          <w:sz w:val="28"/>
        </w:rPr>
        <w:t xml:space="preserve"> спектру международных отношений, привела сначала к началу санкционной войне, следствием которой явился беспрецедентный рост цен на энергоносители, продовольствие, предметы потребления, коммунальные платежи, запустивший, в свою очередь, механизмы рецессии </w:t>
      </w:r>
      <w:r>
        <w:rPr>
          <w:rFonts w:ascii="Times New Roman" w:eastAsia="Times New Roman" w:hAnsi="Times New Roman" w:cs="Times New Roman"/>
          <w:sz w:val="28"/>
        </w:rPr>
        <w:t>во всей мировой экономики.</w:t>
      </w:r>
      <w:r>
        <w:rPr>
          <w:rFonts w:ascii="Times New Roman" w:eastAsia="Times New Roman" w:hAnsi="Times New Roman" w:cs="Times New Roman"/>
          <w:b/>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lastRenderedPageBreak/>
        <w:t>Расширение и углубление противоречий между официальной Москвой и Западом привели к вооруженному конфликту на территории Украины, результатом которого стало сползание современного мира к возникновению ядерной войны.  Основной при</w:t>
      </w:r>
      <w:r>
        <w:rPr>
          <w:rFonts w:ascii="Times New Roman" w:eastAsia="Times New Roman" w:hAnsi="Times New Roman" w:cs="Times New Roman"/>
          <w:sz w:val="28"/>
        </w:rPr>
        <w:t>чиной происходящих процессов резкого возрастания турбулентности в международных отношениях является происходящая геополитическая декомпозиция всего современного миропорядка, разрушение системы международных отношений, основанных на принципах и нормах между</w:t>
      </w:r>
      <w:r>
        <w:rPr>
          <w:rFonts w:ascii="Times New Roman" w:eastAsia="Times New Roman" w:hAnsi="Times New Roman" w:cs="Times New Roman"/>
          <w:sz w:val="28"/>
        </w:rPr>
        <w:t>народного права [2].</w:t>
      </w:r>
      <w:r>
        <w:rPr>
          <w:rFonts w:ascii="Times New Roman" w:eastAsia="Times New Roman" w:hAnsi="Times New Roman" w:cs="Times New Roman"/>
          <w:b/>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Геополитическая турбулентность проблемы балансирования государств Центральной Азии между центрами влияния современного мира</w:t>
      </w:r>
      <w:r>
        <w:rPr>
          <w:rFonts w:ascii="Times New Roman" w:eastAsia="Times New Roman" w:hAnsi="Times New Roman" w:cs="Times New Roman"/>
          <w:b/>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Государствам Центральной Азии всё труднее находить баланс между Россией и Западным блоком в условиях растуще</w:t>
      </w:r>
      <w:r>
        <w:rPr>
          <w:rFonts w:ascii="Times New Roman" w:eastAsia="Times New Roman" w:hAnsi="Times New Roman" w:cs="Times New Roman"/>
          <w:sz w:val="28"/>
        </w:rPr>
        <w:t>й геополитической напряженности, возникшей в результате начала вооруженного конфликта между Россией и Украиной. Суверенные государства региона пытается позиционировать себя открытыми внешнему миру, осуществлять равноправные и взаимовыгодные торгово-экономи</w:t>
      </w:r>
      <w:r>
        <w:rPr>
          <w:rFonts w:ascii="Times New Roman" w:eastAsia="Times New Roman" w:hAnsi="Times New Roman" w:cs="Times New Roman"/>
          <w:sz w:val="28"/>
        </w:rPr>
        <w:t>ческие, политические, культурногуманитарные отношения со всеми заинтересованными странами, в том числе поддерживать   добрососедские взаимодействия и развивать партнерские связи   в том числе и с Российской Федерацией, оказавшейся сейчас в международной из</w:t>
      </w:r>
      <w:r>
        <w:rPr>
          <w:rFonts w:ascii="Times New Roman" w:eastAsia="Times New Roman" w:hAnsi="Times New Roman" w:cs="Times New Roman"/>
          <w:sz w:val="28"/>
        </w:rPr>
        <w:t>оляции из-за проведения специальной военной операции. Однако, следует сказать, что по мере нарастания геополитической напряженности между официальной Москвой и странами Запада центральноазиатским государствам будет всё сложнее соблюдать баланс и находить о</w:t>
      </w:r>
      <w:r>
        <w:rPr>
          <w:rFonts w:ascii="Times New Roman" w:eastAsia="Times New Roman" w:hAnsi="Times New Roman" w:cs="Times New Roman"/>
          <w:sz w:val="28"/>
        </w:rPr>
        <w:t xml:space="preserve">птимальные решения в уравнении со многими неизвестными величинами, которое им приходится решать в настоящее время для достижения своих политических интересов. </w:t>
      </w:r>
    </w:p>
    <w:p w:rsidR="0052701D" w:rsidRDefault="00D40929">
      <w:pPr>
        <w:spacing w:after="5" w:line="271" w:lineRule="auto"/>
        <w:ind w:left="9" w:right="64" w:firstLine="711"/>
        <w:jc w:val="both"/>
      </w:pPr>
      <w:r>
        <w:rPr>
          <w:rFonts w:ascii="Times New Roman" w:eastAsia="Times New Roman" w:hAnsi="Times New Roman" w:cs="Times New Roman"/>
          <w:sz w:val="28"/>
        </w:rPr>
        <w:t>Наглядным примером этому может послужить история, связанная с функционированием Каспийского труб</w:t>
      </w:r>
      <w:r>
        <w:rPr>
          <w:rFonts w:ascii="Times New Roman" w:eastAsia="Times New Roman" w:hAnsi="Times New Roman" w:cs="Times New Roman"/>
          <w:sz w:val="28"/>
        </w:rPr>
        <w:t>опроводного консорциума. Напомним, что именно по этому маршруту доставляется на внешний рынок основной объём казахстанской нефти.  После того как президентом Республики Казахстан К.К. Токаевым была выражена готовность оказать помощь Евросоюзу в части дивер</w:t>
      </w:r>
      <w:r>
        <w:rPr>
          <w:rFonts w:ascii="Times New Roman" w:eastAsia="Times New Roman" w:hAnsi="Times New Roman" w:cs="Times New Roman"/>
          <w:sz w:val="28"/>
        </w:rPr>
        <w:t>сификации поставок углеводородов, Новороссийский суд выдал постановление о приостановки работы КТК, сделав ссылку на существующие в документах пробелы, которое регламентировало бы вопросы устранение последствий разливов нефти, в случае возникновения подобн</w:t>
      </w:r>
      <w:r>
        <w:rPr>
          <w:rFonts w:ascii="Times New Roman" w:eastAsia="Times New Roman" w:hAnsi="Times New Roman" w:cs="Times New Roman"/>
          <w:sz w:val="28"/>
        </w:rPr>
        <w:t xml:space="preserve">ого рода чрезвычайных ситуаций. Вскоре решение суда было пересмотрено после того, как К.К Токаев поручил правительству развивать альтернативный </w:t>
      </w:r>
      <w:r>
        <w:rPr>
          <w:rFonts w:ascii="Times New Roman" w:eastAsia="Times New Roman" w:hAnsi="Times New Roman" w:cs="Times New Roman"/>
          <w:sz w:val="28"/>
        </w:rPr>
        <w:lastRenderedPageBreak/>
        <w:t xml:space="preserve">Транскаспийский коридор поставки углеводородов на мировые рынки в обход России.  Вышестоящая судебная инстанция </w:t>
      </w:r>
      <w:r>
        <w:rPr>
          <w:rFonts w:ascii="Times New Roman" w:eastAsia="Times New Roman" w:hAnsi="Times New Roman" w:cs="Times New Roman"/>
          <w:sz w:val="28"/>
        </w:rPr>
        <w:t>приостановку нефтепровода заменила вынесением штрафа.  Приостановка работы нефтепровода и пересмотр решения суда могли иметь политическую подоплеку и следует безусловно рассматривать в контексте санкционного противостояния между Россией и объединённым Запа</w:t>
      </w:r>
      <w:r>
        <w:rPr>
          <w:rFonts w:ascii="Times New Roman" w:eastAsia="Times New Roman" w:hAnsi="Times New Roman" w:cs="Times New Roman"/>
          <w:sz w:val="28"/>
        </w:rPr>
        <w:t>дом.</w:t>
      </w:r>
      <w:r>
        <w:rPr>
          <w:rFonts w:ascii="Times New Roman" w:eastAsia="Times New Roman" w:hAnsi="Times New Roman" w:cs="Times New Roman"/>
          <w:b/>
          <w:sz w:val="28"/>
        </w:rPr>
        <w:t xml:space="preserve"> </w:t>
      </w:r>
    </w:p>
    <w:p w:rsidR="0052701D" w:rsidRDefault="00D40929">
      <w:pPr>
        <w:spacing w:after="15" w:line="269" w:lineRule="auto"/>
        <w:ind w:left="706" w:hanging="10"/>
      </w:pPr>
      <w:r>
        <w:rPr>
          <w:rFonts w:ascii="Times New Roman" w:eastAsia="Times New Roman" w:hAnsi="Times New Roman" w:cs="Times New Roman"/>
          <w:i/>
          <w:sz w:val="28"/>
        </w:rPr>
        <w:t>Политическая пропаганда или вопросы информационной безопасности.</w:t>
      </w:r>
      <w:r>
        <w:rPr>
          <w:rFonts w:ascii="Times New Roman" w:eastAsia="Times New Roman" w:hAnsi="Times New Roman" w:cs="Times New Roman"/>
          <w:b/>
          <w:i/>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Задолго до начала специальной военной операции на Украине на российском телевидении неоднократно за последнее выдвигались территориальные претензии в отношении Казахстана, звучали </w:t>
      </w:r>
      <w:r>
        <w:rPr>
          <w:rFonts w:ascii="Times New Roman" w:eastAsia="Times New Roman" w:hAnsi="Times New Roman" w:cs="Times New Roman"/>
          <w:sz w:val="28"/>
        </w:rPr>
        <w:t>безосновательные утверждения о том, что Северный Казахстан — «земли, исторически относящиеся к Большой России», высказывались требование обратно «вернуть» эти территории в состав российского государства,  бездоказательно говорилось о том, что в странах Цен</w:t>
      </w:r>
      <w:r>
        <w:rPr>
          <w:rFonts w:ascii="Times New Roman" w:eastAsia="Times New Roman" w:hAnsi="Times New Roman" w:cs="Times New Roman"/>
          <w:sz w:val="28"/>
        </w:rPr>
        <w:t>тральной Азии постоянно ущемляются права русскоязычных на свободное применение своего языка,  культуры, религии. В этом смысле вопросы обеспечения информационной безопасности странами Центральной Азии продолжает оставаться открытым. Официальные власти госу</w:t>
      </w:r>
      <w:r>
        <w:rPr>
          <w:rFonts w:ascii="Times New Roman" w:eastAsia="Times New Roman" w:hAnsi="Times New Roman" w:cs="Times New Roman"/>
          <w:sz w:val="28"/>
        </w:rPr>
        <w:t>дарств региона уничтожая системную оппозицию в позапрошлом и прошлом десятилетии, закрыли многие оппозиционные СМИ. На зачищенном информационном поле остались официальные средства массовой информации, а также достаточно лояльные правительству издания, кото</w:t>
      </w:r>
      <w:r>
        <w:rPr>
          <w:rFonts w:ascii="Times New Roman" w:eastAsia="Times New Roman" w:hAnsi="Times New Roman" w:cs="Times New Roman"/>
          <w:sz w:val="28"/>
        </w:rPr>
        <w:t>рые, как правило, не поднимают актуальные проблемы, стоящие перед обществом, не часто освещают гражданские инициативы, не критикуют органы власти, а также почти не реагируют на провокационные выпады как отдельных российских политиков, так и на не официальн</w:t>
      </w:r>
      <w:r>
        <w:rPr>
          <w:rFonts w:ascii="Times New Roman" w:eastAsia="Times New Roman" w:hAnsi="Times New Roman" w:cs="Times New Roman"/>
          <w:sz w:val="28"/>
        </w:rPr>
        <w:t>ые заявления известных общественных деятелей.</w:t>
      </w:r>
      <w:r>
        <w:rPr>
          <w:rFonts w:ascii="Times New Roman" w:eastAsia="Times New Roman" w:hAnsi="Times New Roman" w:cs="Times New Roman"/>
          <w:b/>
          <w:i/>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Одним из последствий этого стала не только информационная асимметрия, но и раскол в обществе стран региона на предмет отношения к геополитическим событиям, произошедшим за последнее время на востоке Украины.  </w:t>
      </w:r>
      <w:r>
        <w:rPr>
          <w:rFonts w:ascii="Times New Roman" w:eastAsia="Times New Roman" w:hAnsi="Times New Roman" w:cs="Times New Roman"/>
          <w:sz w:val="28"/>
        </w:rPr>
        <w:t>Начиная ещё с 2014 года, когда начались события, связанные с аннексией Крыма, последовавшим за ним вооруженным конфликтом на Донбассе, и, наконец, началом так называемой специальной военной операцией России на востоке Украины стали факторами раскола общест</w:t>
      </w:r>
      <w:r>
        <w:rPr>
          <w:rFonts w:ascii="Times New Roman" w:eastAsia="Times New Roman" w:hAnsi="Times New Roman" w:cs="Times New Roman"/>
          <w:sz w:val="28"/>
        </w:rPr>
        <w:t>ва на тех, кто поддерживал проведение подобной политики, и теми, кто выступал категорически против таких действий. Причем эти события достаточно сильно идейно и политически разделило общество в странах региона, а одним из основных факторов, вызвавших подоб</w:t>
      </w:r>
      <w:r>
        <w:rPr>
          <w:rFonts w:ascii="Times New Roman" w:eastAsia="Times New Roman" w:hAnsi="Times New Roman" w:cs="Times New Roman"/>
          <w:sz w:val="28"/>
        </w:rPr>
        <w:t>ный расколол, стало повсеместное доминирование государственных средств массовой информации России в информационном пространстве центрально-азиатских государств.</w:t>
      </w:r>
      <w:r>
        <w:rPr>
          <w:rFonts w:ascii="Times New Roman" w:eastAsia="Times New Roman" w:hAnsi="Times New Roman" w:cs="Times New Roman"/>
          <w:b/>
          <w:i/>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В острой фазе вооруженного конфликта, в котором сейчас развивается геополитическое противостоя</w:t>
      </w:r>
      <w:r>
        <w:rPr>
          <w:rFonts w:ascii="Times New Roman" w:eastAsia="Times New Roman" w:hAnsi="Times New Roman" w:cs="Times New Roman"/>
          <w:sz w:val="28"/>
        </w:rPr>
        <w:t xml:space="preserve">ние между Россией и Западом, информационное </w:t>
      </w:r>
      <w:r>
        <w:rPr>
          <w:rFonts w:ascii="Times New Roman" w:eastAsia="Times New Roman" w:hAnsi="Times New Roman" w:cs="Times New Roman"/>
          <w:sz w:val="28"/>
        </w:rPr>
        <w:lastRenderedPageBreak/>
        <w:t xml:space="preserve">оружие становится одним из самых эффективных средств борьбы за умы и сердца не только своих граждан, но и тех, кто проживает за пределами стран, вовлечённых непосредственно в конфликт [3]. Начавшийся вооруженный </w:t>
      </w:r>
      <w:r>
        <w:rPr>
          <w:rFonts w:ascii="Times New Roman" w:eastAsia="Times New Roman" w:hAnsi="Times New Roman" w:cs="Times New Roman"/>
          <w:sz w:val="28"/>
        </w:rPr>
        <w:t xml:space="preserve">конфликт между Россией и Украиной поставил Центральную Азию в сложное геополитическое положение. Объединённый Запад проводит политику, имеющей целью нанесение военно-политического поражения России в проходящих боевых действиях на Украине. Ими выработана и </w:t>
      </w:r>
      <w:r>
        <w:rPr>
          <w:rFonts w:ascii="Times New Roman" w:eastAsia="Times New Roman" w:hAnsi="Times New Roman" w:cs="Times New Roman"/>
          <w:sz w:val="28"/>
        </w:rPr>
        <w:t>последовательно проводится политика от финансово-экономических санкций до прямых поставок Киеву необходимых вооружений, направленная на комплексное воздействие на Россию для того, чтобы существенно ослабить, а то и вовсе изолировать от системы международны</w:t>
      </w:r>
      <w:r>
        <w:rPr>
          <w:rFonts w:ascii="Times New Roman" w:eastAsia="Times New Roman" w:hAnsi="Times New Roman" w:cs="Times New Roman"/>
          <w:sz w:val="28"/>
        </w:rPr>
        <w:t>х отношений.</w:t>
      </w:r>
      <w:r>
        <w:rPr>
          <w:rFonts w:ascii="Times New Roman" w:eastAsia="Times New Roman" w:hAnsi="Times New Roman" w:cs="Times New Roman"/>
          <w:b/>
          <w:i/>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Реализуя этот план Правительство США включило четыре страны Центральной Азии — Казахстан, Киргизия, Узбекистан и Таджикистан в перечень стран имеющие общие пункты перевалки, через которые может или даже осуществляется ограниченный экспорт зап</w:t>
      </w:r>
      <w:r>
        <w:rPr>
          <w:rFonts w:ascii="Times New Roman" w:eastAsia="Times New Roman" w:hAnsi="Times New Roman" w:cs="Times New Roman"/>
          <w:sz w:val="28"/>
        </w:rPr>
        <w:t>рещенных товаров в Россию и Беларусь. Правительство США призвало в том числе и страны региона не позволять обойти Беларуси и России наложенные на них санкции. В этом предупреждении содержится перечень категории товаров, которая вызывает особую озабоченност</w:t>
      </w:r>
      <w:r>
        <w:rPr>
          <w:rFonts w:ascii="Times New Roman" w:eastAsia="Times New Roman" w:hAnsi="Times New Roman" w:cs="Times New Roman"/>
          <w:sz w:val="28"/>
        </w:rPr>
        <w:t>ь США, и в первую очередь технику и технологии, которые может использоваться в военных целях.  В этот список попали испытательное оборудование, запчасти для самолетов, GPS системы, спектрофотометры, антенны, вакуумные насосы гидроакустические системы и даж</w:t>
      </w:r>
      <w:r>
        <w:rPr>
          <w:rFonts w:ascii="Times New Roman" w:eastAsia="Times New Roman" w:hAnsi="Times New Roman" w:cs="Times New Roman"/>
          <w:sz w:val="28"/>
        </w:rPr>
        <w:t>е нефтепромысловое оборудование. Причем вышеперечисленные товары могут быть легально экспортированы в национальные юрисдикции включенных в список государств в качестве компонентов для производства других готовых товаров. Однако дальнейший экспорт готовых и</w:t>
      </w:r>
      <w:r>
        <w:rPr>
          <w:rFonts w:ascii="Times New Roman" w:eastAsia="Times New Roman" w:hAnsi="Times New Roman" w:cs="Times New Roman"/>
          <w:sz w:val="28"/>
        </w:rPr>
        <w:t>зделий и товаров в Россию или Беларусь находится уже под запретом.</w:t>
      </w:r>
      <w:r>
        <w:rPr>
          <w:rFonts w:ascii="Times New Roman" w:eastAsia="Times New Roman" w:hAnsi="Times New Roman" w:cs="Times New Roman"/>
          <w:b/>
          <w:i/>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В контексте проводимой США политики международных санкций, направленной на финансово-экономическую и техническую изоляцию России, помощник госсекретаря США по делам Южной и Центральной Ази</w:t>
      </w:r>
      <w:r>
        <w:rPr>
          <w:rFonts w:ascii="Times New Roman" w:eastAsia="Times New Roman" w:hAnsi="Times New Roman" w:cs="Times New Roman"/>
          <w:sz w:val="28"/>
        </w:rPr>
        <w:t>и Дональд Лу провел несколько встреч с официальными представителями Казахстана, Кыргызстана, Узбекистан и Таджикистана. Во время состоявшихся встреч подробно обсуждался вопрос снижения негативного влияния, проводимой в настоящее время Западом в отношении Р</w:t>
      </w:r>
      <w:r>
        <w:rPr>
          <w:rFonts w:ascii="Times New Roman" w:eastAsia="Times New Roman" w:hAnsi="Times New Roman" w:cs="Times New Roman"/>
          <w:sz w:val="28"/>
        </w:rPr>
        <w:t xml:space="preserve">оссии санкционной политики на экономики центральноазиатских государств. Официальный Вашингтон в лице помощника госсекретаря хоть и пообещал минимизировать в отношении их отрицательное влияние введённых против России санкций, однако чётких </w:t>
      </w:r>
      <w:r>
        <w:rPr>
          <w:rFonts w:ascii="Times New Roman" w:eastAsia="Times New Roman" w:hAnsi="Times New Roman" w:cs="Times New Roman"/>
          <w:sz w:val="28"/>
        </w:rPr>
        <w:lastRenderedPageBreak/>
        <w:t>критериев и конкр</w:t>
      </w:r>
      <w:r>
        <w:rPr>
          <w:rFonts w:ascii="Times New Roman" w:eastAsia="Times New Roman" w:hAnsi="Times New Roman" w:cs="Times New Roman"/>
          <w:sz w:val="28"/>
        </w:rPr>
        <w:t>етных механизмов как их осуществлять на практике на этих встречах, так и не было сформулировано. Принимая во внимание высокую степень интеграции экономик России и государств Центральной Азии, значительную протяженность линии границ и территориальную близос</w:t>
      </w:r>
      <w:r>
        <w:rPr>
          <w:rFonts w:ascii="Times New Roman" w:eastAsia="Times New Roman" w:hAnsi="Times New Roman" w:cs="Times New Roman"/>
          <w:sz w:val="28"/>
        </w:rPr>
        <w:t>ть, общее историческое прошлое строгое соблюдение экономических санкций, введённых Западными странами против России, хотя и не введённых прямо против них, тем не менее, может косвенно достаточно сильно ударить по экономике Центральной Азии и существенно за</w:t>
      </w:r>
      <w:r>
        <w:rPr>
          <w:rFonts w:ascii="Times New Roman" w:eastAsia="Times New Roman" w:hAnsi="Times New Roman" w:cs="Times New Roman"/>
          <w:sz w:val="28"/>
        </w:rPr>
        <w:t>труднить процессы социально-экономического развития региона [4].</w:t>
      </w:r>
      <w:r>
        <w:rPr>
          <w:rFonts w:ascii="Times New Roman" w:eastAsia="Times New Roman" w:hAnsi="Times New Roman" w:cs="Times New Roman"/>
          <w:b/>
          <w:i/>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Выводы. Центральная Азия в силу своего геополитического положения оказалась под воздействием геополитической турбулентности, вызванная острым соперничеством между ведущими центрами военно-по</w:t>
      </w:r>
      <w:r>
        <w:rPr>
          <w:rFonts w:ascii="Times New Roman" w:eastAsia="Times New Roman" w:hAnsi="Times New Roman" w:cs="Times New Roman"/>
          <w:sz w:val="28"/>
        </w:rPr>
        <w:t>литического влияния современного мира, которая в свою очередь оказывает сильное влияние на региональные и внутриполитические процессы;</w:t>
      </w:r>
      <w:r>
        <w:rPr>
          <w:rFonts w:ascii="Times New Roman" w:eastAsia="Times New Roman" w:hAnsi="Times New Roman" w:cs="Times New Roman"/>
          <w:b/>
          <w:i/>
          <w:sz w:val="28"/>
        </w:rPr>
        <w:t xml:space="preserve"> </w:t>
      </w:r>
    </w:p>
    <w:p w:rsidR="0052701D" w:rsidRDefault="00D40929">
      <w:pPr>
        <w:spacing w:after="5" w:line="271" w:lineRule="auto"/>
        <w:ind w:left="-15" w:right="1" w:firstLine="711"/>
      </w:pPr>
      <w:r>
        <w:rPr>
          <w:rFonts w:ascii="Times New Roman" w:eastAsia="Times New Roman" w:hAnsi="Times New Roman" w:cs="Times New Roman"/>
          <w:sz w:val="28"/>
        </w:rPr>
        <w:t xml:space="preserve">   Геополитическая турбулентность представляет собой много факторное явление, которое комплексно воздействует с разной с</w:t>
      </w:r>
      <w:r>
        <w:rPr>
          <w:rFonts w:ascii="Times New Roman" w:eastAsia="Times New Roman" w:hAnsi="Times New Roman" w:cs="Times New Roman"/>
          <w:sz w:val="28"/>
        </w:rPr>
        <w:t xml:space="preserve">тепенью интенсивности на все страны региона, способствуя росту напряженности в политической, финансово-экономической, социально-культурной сферах. </w:t>
      </w:r>
    </w:p>
    <w:p w:rsidR="0052701D" w:rsidRDefault="00D40929">
      <w:pPr>
        <w:spacing w:after="5" w:line="271" w:lineRule="auto"/>
        <w:ind w:left="9" w:right="64" w:firstLine="711"/>
        <w:jc w:val="both"/>
      </w:pPr>
      <w:r>
        <w:rPr>
          <w:rFonts w:ascii="Times New Roman" w:eastAsia="Times New Roman" w:hAnsi="Times New Roman" w:cs="Times New Roman"/>
          <w:sz w:val="28"/>
        </w:rPr>
        <w:t>Процессы глобальной нестабильности получили распространение не только в сфере военно-стратегических и полити</w:t>
      </w:r>
      <w:r>
        <w:rPr>
          <w:rFonts w:ascii="Times New Roman" w:eastAsia="Times New Roman" w:hAnsi="Times New Roman" w:cs="Times New Roman"/>
          <w:sz w:val="28"/>
        </w:rPr>
        <w:t>ческих отношений, но и в существенной степени затронули информационную сферу, а обеспечение кибер безопасности стало одной из приоритетных направлений, которая в значительной степени влияет на состояние национальной безопасности в целом.</w:t>
      </w:r>
      <w:r>
        <w:rPr>
          <w:rFonts w:ascii="Times New Roman" w:eastAsia="Times New Roman" w:hAnsi="Times New Roman" w:cs="Times New Roman"/>
          <w:b/>
          <w:sz w:val="28"/>
        </w:rPr>
        <w:t xml:space="preserve"> </w:t>
      </w:r>
    </w:p>
    <w:p w:rsidR="0052701D" w:rsidRDefault="00D40929">
      <w:pPr>
        <w:spacing w:after="22"/>
        <w:ind w:left="711"/>
      </w:pPr>
      <w:r>
        <w:rPr>
          <w:rFonts w:ascii="Times New Roman" w:eastAsia="Times New Roman" w:hAnsi="Times New Roman" w:cs="Times New Roman"/>
          <w:sz w:val="28"/>
        </w:rPr>
        <w:t xml:space="preserve"> </w:t>
      </w:r>
    </w:p>
    <w:p w:rsidR="0052701D" w:rsidRDefault="00D40929">
      <w:pPr>
        <w:spacing w:after="16" w:line="248" w:lineRule="auto"/>
        <w:ind w:left="819" w:right="179" w:hanging="10"/>
        <w:jc w:val="center"/>
      </w:pPr>
      <w:r>
        <w:rPr>
          <w:rFonts w:ascii="Times New Roman" w:eastAsia="Times New Roman" w:hAnsi="Times New Roman" w:cs="Times New Roman"/>
          <w:b/>
          <w:sz w:val="24"/>
        </w:rPr>
        <w:t>ИСТОЧНИКИ</w:t>
      </w:r>
      <w:r>
        <w:rPr>
          <w:rFonts w:ascii="Times New Roman" w:eastAsia="Times New Roman" w:hAnsi="Times New Roman" w:cs="Times New Roman"/>
          <w:b/>
          <w:sz w:val="28"/>
        </w:rPr>
        <w:t xml:space="preserve"> </w:t>
      </w:r>
    </w:p>
    <w:p w:rsidR="0052701D" w:rsidRDefault="00D40929">
      <w:pPr>
        <w:numPr>
          <w:ilvl w:val="0"/>
          <w:numId w:val="80"/>
        </w:numPr>
        <w:spacing w:after="29" w:line="248" w:lineRule="auto"/>
        <w:ind w:right="14" w:firstLine="711"/>
        <w:jc w:val="both"/>
      </w:pPr>
      <w:r>
        <w:rPr>
          <w:rFonts w:ascii="Times New Roman" w:eastAsia="Times New Roman" w:hAnsi="Times New Roman" w:cs="Times New Roman"/>
          <w:sz w:val="24"/>
        </w:rPr>
        <w:t>Алиа</w:t>
      </w:r>
      <w:r>
        <w:rPr>
          <w:rFonts w:ascii="Times New Roman" w:eastAsia="Times New Roman" w:hAnsi="Times New Roman" w:cs="Times New Roman"/>
          <w:sz w:val="24"/>
        </w:rPr>
        <w:t xml:space="preserve">сгар Шер’дуст. Характеристика Центральной Азии в геополитических теориях и роль конфликтов / www. Geoполитика. ru 28.06.13 </w:t>
      </w:r>
    </w:p>
    <w:p w:rsidR="0052701D" w:rsidRDefault="00D40929">
      <w:pPr>
        <w:numPr>
          <w:ilvl w:val="0"/>
          <w:numId w:val="80"/>
        </w:numPr>
        <w:spacing w:after="29" w:line="248" w:lineRule="auto"/>
        <w:ind w:right="14" w:firstLine="711"/>
        <w:jc w:val="both"/>
      </w:pPr>
      <w:r>
        <w:rPr>
          <w:rFonts w:ascii="Times New Roman" w:eastAsia="Times New Roman" w:hAnsi="Times New Roman" w:cs="Times New Roman"/>
          <w:sz w:val="24"/>
        </w:rPr>
        <w:t xml:space="preserve">Савин Л.В. Гибридная война и серая зона. - СПБ: Евразийское движение. -2022. С.180. </w:t>
      </w:r>
    </w:p>
    <w:p w:rsidR="0052701D" w:rsidRDefault="00D40929">
      <w:pPr>
        <w:numPr>
          <w:ilvl w:val="0"/>
          <w:numId w:val="80"/>
        </w:numPr>
        <w:spacing w:after="29" w:line="248" w:lineRule="auto"/>
        <w:ind w:right="14" w:firstLine="711"/>
        <w:jc w:val="both"/>
      </w:pPr>
      <w:r>
        <w:rPr>
          <w:rFonts w:ascii="Times New Roman" w:eastAsia="Times New Roman" w:hAnsi="Times New Roman" w:cs="Times New Roman"/>
          <w:sz w:val="24"/>
        </w:rPr>
        <w:t>Купин В.Н. Глобальная геополитическая декомпози</w:t>
      </w:r>
      <w:r>
        <w:rPr>
          <w:rFonts w:ascii="Times New Roman" w:eastAsia="Times New Roman" w:hAnsi="Times New Roman" w:cs="Times New Roman"/>
          <w:sz w:val="24"/>
        </w:rPr>
        <w:t xml:space="preserve">ция современного мира и проблемы национальной безопасности России // Вестник Саратовской государственной юридической академии. 2015. № 6. С. 215-221. </w:t>
      </w:r>
    </w:p>
    <w:p w:rsidR="0052701D" w:rsidRDefault="00D40929">
      <w:pPr>
        <w:numPr>
          <w:ilvl w:val="0"/>
          <w:numId w:val="80"/>
        </w:numPr>
        <w:spacing w:after="29" w:line="248" w:lineRule="auto"/>
        <w:ind w:right="14" w:firstLine="711"/>
        <w:jc w:val="both"/>
      </w:pPr>
      <w:r>
        <w:rPr>
          <w:rFonts w:ascii="Times New Roman" w:eastAsia="Times New Roman" w:hAnsi="Times New Roman" w:cs="Times New Roman"/>
          <w:sz w:val="24"/>
        </w:rPr>
        <w:t>Крек Н. На фоне геополитической турбулентности президенты стран ЦА «сверили часы» / www. Ритм Евразии. 24</w:t>
      </w:r>
      <w:r>
        <w:rPr>
          <w:rFonts w:ascii="Times New Roman" w:eastAsia="Times New Roman" w:hAnsi="Times New Roman" w:cs="Times New Roman"/>
          <w:sz w:val="24"/>
        </w:rPr>
        <w:t xml:space="preserve">.07.2022 </w:t>
      </w:r>
    </w:p>
    <w:p w:rsidR="0052701D" w:rsidRDefault="00D40929">
      <w:pPr>
        <w:spacing w:after="4" w:line="271" w:lineRule="auto"/>
        <w:ind w:left="-5" w:right="194" w:hanging="10"/>
      </w:pPr>
      <w:r>
        <w:rPr>
          <w:rFonts w:ascii="Times New Roman" w:eastAsia="Times New Roman" w:hAnsi="Times New Roman" w:cs="Times New Roman"/>
          <w:b/>
          <w:sz w:val="24"/>
        </w:rPr>
        <w:t xml:space="preserve">УДК 316 </w:t>
      </w:r>
    </w:p>
    <w:p w:rsidR="0052701D" w:rsidRDefault="00D40929">
      <w:pPr>
        <w:spacing w:after="74"/>
        <w:ind w:left="711"/>
      </w:pPr>
      <w:r>
        <w:rPr>
          <w:rFonts w:ascii="Times New Roman" w:eastAsia="Times New Roman" w:hAnsi="Times New Roman" w:cs="Times New Roman"/>
          <w:b/>
          <w:sz w:val="24"/>
        </w:rPr>
        <w:t xml:space="preserve"> </w:t>
      </w:r>
    </w:p>
    <w:p w:rsidR="0052701D" w:rsidRDefault="00D40929">
      <w:pPr>
        <w:pStyle w:val="1"/>
        <w:ind w:left="720" w:right="0" w:firstLine="9"/>
        <w:jc w:val="left"/>
      </w:pPr>
      <w:r>
        <w:t xml:space="preserve">ЦИФРОВИЗАЦИЯ ОБРАЗОВАНИЯ В СИСТЕМЕ СОВРЕМЕННЫХ </w:t>
      </w:r>
    </w:p>
    <w:p w:rsidR="0052701D" w:rsidRDefault="00D40929">
      <w:pPr>
        <w:spacing w:after="5" w:line="271" w:lineRule="auto"/>
        <w:ind w:left="720" w:firstLine="9"/>
      </w:pPr>
      <w:r>
        <w:rPr>
          <w:rFonts w:ascii="Times New Roman" w:eastAsia="Times New Roman" w:hAnsi="Times New Roman" w:cs="Times New Roman"/>
          <w:b/>
          <w:sz w:val="28"/>
        </w:rPr>
        <w:t xml:space="preserve">СОЦИАЛЬНО-ЭКОНОМИЧЕСКИХ УСЛОВИЯХ </w:t>
      </w:r>
    </w:p>
    <w:p w:rsidR="0052701D" w:rsidRDefault="00D40929">
      <w:pPr>
        <w:spacing w:after="23"/>
        <w:ind w:left="696"/>
        <w:jc w:val="center"/>
      </w:pPr>
      <w:r>
        <w:rPr>
          <w:rFonts w:ascii="Times New Roman" w:eastAsia="Times New Roman" w:hAnsi="Times New Roman" w:cs="Times New Roman"/>
          <w:b/>
          <w:sz w:val="24"/>
        </w:rPr>
        <w:t xml:space="preserve"> </w:t>
      </w:r>
    </w:p>
    <w:p w:rsidR="0052701D" w:rsidRDefault="00D40929">
      <w:pPr>
        <w:pStyle w:val="1"/>
        <w:spacing w:after="7" w:line="248" w:lineRule="auto"/>
        <w:ind w:left="3582" w:right="2759" w:hanging="187"/>
        <w:jc w:val="both"/>
      </w:pPr>
      <w:r>
        <w:rPr>
          <w:sz w:val="24"/>
        </w:rPr>
        <w:t xml:space="preserve">Радмила Радиковна Хизбуллина </w:t>
      </w:r>
    </w:p>
    <w:p w:rsidR="0052701D" w:rsidRDefault="00D40929">
      <w:pPr>
        <w:spacing w:after="7" w:line="248" w:lineRule="auto"/>
        <w:ind w:left="3582" w:right="2759" w:hanging="187"/>
        <w:jc w:val="both"/>
      </w:pPr>
      <w:r>
        <w:rPr>
          <w:rFonts w:ascii="Times New Roman" w:eastAsia="Times New Roman" w:hAnsi="Times New Roman" w:cs="Times New Roman"/>
          <w:sz w:val="24"/>
        </w:rPr>
        <w:t>ФГБОУ ВО «КГЭУ», г. Казань</w:t>
      </w:r>
      <w:r>
        <w:rPr>
          <w:rFonts w:ascii="Times New Roman" w:eastAsia="Times New Roman" w:hAnsi="Times New Roman" w:cs="Times New Roman"/>
          <w:b/>
          <w:sz w:val="24"/>
        </w:rPr>
        <w:t xml:space="preserve"> </w:t>
      </w:r>
      <w:r>
        <w:rPr>
          <w:rFonts w:ascii="Times New Roman" w:eastAsia="Times New Roman" w:hAnsi="Times New Roman" w:cs="Times New Roman"/>
          <w:sz w:val="24"/>
        </w:rPr>
        <w:t>mine_post@inbox.ru</w:t>
      </w:r>
      <w:r>
        <w:rPr>
          <w:rFonts w:ascii="Times New Roman" w:eastAsia="Times New Roman" w:hAnsi="Times New Roman" w:cs="Times New Roman"/>
          <w:b/>
          <w:sz w:val="24"/>
        </w:rPr>
        <w:t xml:space="preserve"> </w:t>
      </w:r>
    </w:p>
    <w:p w:rsidR="0052701D" w:rsidRDefault="00D40929">
      <w:pPr>
        <w:spacing w:after="14"/>
        <w:ind w:left="711"/>
      </w:pPr>
      <w:r>
        <w:rPr>
          <w:rFonts w:ascii="Times New Roman" w:eastAsia="Times New Roman" w:hAnsi="Times New Roman" w:cs="Times New Roman"/>
          <w:b/>
          <w:sz w:val="24"/>
        </w:rPr>
        <w:t xml:space="preserve"> </w:t>
      </w:r>
    </w:p>
    <w:p w:rsidR="0052701D" w:rsidRDefault="00D40929">
      <w:pPr>
        <w:spacing w:after="29" w:line="248" w:lineRule="auto"/>
        <w:ind w:left="9" w:firstLine="711"/>
        <w:jc w:val="both"/>
      </w:pPr>
      <w:r>
        <w:rPr>
          <w:rFonts w:ascii="Times New Roman" w:eastAsia="Times New Roman" w:hAnsi="Times New Roman" w:cs="Times New Roman"/>
          <w:b/>
          <w:i/>
          <w:sz w:val="24"/>
        </w:rPr>
        <w:lastRenderedPageBreak/>
        <w:t>Аннотация</w:t>
      </w:r>
      <w:r>
        <w:rPr>
          <w:rFonts w:ascii="Times New Roman" w:eastAsia="Times New Roman" w:hAnsi="Times New Roman" w:cs="Times New Roman"/>
          <w:i/>
          <w:sz w:val="24"/>
        </w:rPr>
        <w:t xml:space="preserve"> в представленной работе рассматривается роль цифровизации в </w:t>
      </w:r>
      <w:r>
        <w:rPr>
          <w:rFonts w:ascii="Times New Roman" w:eastAsia="Times New Roman" w:hAnsi="Times New Roman" w:cs="Times New Roman"/>
          <w:i/>
          <w:sz w:val="24"/>
        </w:rPr>
        <w:t>современных социально-экономических условиях. Актуализируется тезис о необходимости применения цифровых инструментов в симбиозе с традиционными формами обучения. Формулируется вывод о расширяющихся в настоящее время возможностях доступа к образованию у обу</w:t>
      </w:r>
      <w:r>
        <w:rPr>
          <w:rFonts w:ascii="Times New Roman" w:eastAsia="Times New Roman" w:hAnsi="Times New Roman" w:cs="Times New Roman"/>
          <w:i/>
          <w:sz w:val="24"/>
        </w:rPr>
        <w:t>чающихся при использовании цифровых образовательных инструментов.</w:t>
      </w:r>
      <w:r>
        <w:rPr>
          <w:rFonts w:ascii="Times New Roman" w:eastAsia="Times New Roman" w:hAnsi="Times New Roman" w:cs="Times New Roman"/>
          <w:b/>
          <w:i/>
          <w:sz w:val="24"/>
        </w:rPr>
        <w:t xml:space="preserve"> </w:t>
      </w:r>
    </w:p>
    <w:p w:rsidR="0052701D" w:rsidRDefault="00D40929">
      <w:pPr>
        <w:spacing w:after="29" w:line="248" w:lineRule="auto"/>
        <w:ind w:left="9" w:firstLine="711"/>
        <w:jc w:val="both"/>
      </w:pP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 xml:space="preserve"> цифровизация, высшее образование, трансформация, социум, социальное развитие.</w:t>
      </w:r>
      <w:r>
        <w:rPr>
          <w:rFonts w:ascii="Times New Roman" w:eastAsia="Times New Roman" w:hAnsi="Times New Roman" w:cs="Times New Roman"/>
          <w:b/>
          <w:i/>
          <w:sz w:val="24"/>
        </w:rPr>
        <w:t xml:space="preserve"> </w:t>
      </w:r>
    </w:p>
    <w:p w:rsidR="0052701D" w:rsidRDefault="00D40929">
      <w:pPr>
        <w:spacing w:after="0"/>
        <w:ind w:left="711"/>
      </w:pPr>
      <w:r>
        <w:rPr>
          <w:rFonts w:ascii="Times New Roman" w:eastAsia="Times New Roman" w:hAnsi="Times New Roman" w:cs="Times New Roman"/>
          <w:b/>
          <w:sz w:val="24"/>
        </w:rPr>
        <w:t xml:space="preserve"> </w:t>
      </w:r>
    </w:p>
    <w:p w:rsidR="0052701D" w:rsidRDefault="00D40929">
      <w:pPr>
        <w:spacing w:after="16"/>
        <w:ind w:left="711"/>
      </w:pPr>
      <w:r>
        <w:rPr>
          <w:rFonts w:ascii="Times New Roman" w:eastAsia="Times New Roman" w:hAnsi="Times New Roman" w:cs="Times New Roman"/>
          <w:b/>
          <w:sz w:val="24"/>
        </w:rPr>
        <w:t xml:space="preserve"> </w:t>
      </w:r>
    </w:p>
    <w:p w:rsidR="0052701D" w:rsidRDefault="00D40929">
      <w:pPr>
        <w:spacing w:after="5" w:line="251" w:lineRule="auto"/>
        <w:ind w:left="2578" w:hanging="1781"/>
      </w:pPr>
      <w:r>
        <w:rPr>
          <w:rFonts w:ascii="Times New Roman" w:eastAsia="Times New Roman" w:hAnsi="Times New Roman" w:cs="Times New Roman"/>
          <w:b/>
          <w:sz w:val="28"/>
        </w:rPr>
        <w:t xml:space="preserve">DIGITALIZATION OF EDUCATION IN THE SYSTEM OF MODERN SOCIO-ECONOMIC CONDITIONS </w:t>
      </w:r>
    </w:p>
    <w:p w:rsidR="0052701D" w:rsidRDefault="00D40929">
      <w:pPr>
        <w:spacing w:after="0"/>
        <w:ind w:left="711"/>
      </w:pPr>
      <w:r>
        <w:rPr>
          <w:rFonts w:ascii="Times New Roman" w:eastAsia="Times New Roman" w:hAnsi="Times New Roman" w:cs="Times New Roman"/>
          <w:b/>
          <w:sz w:val="24"/>
        </w:rPr>
        <w:t xml:space="preserve"> </w:t>
      </w:r>
    </w:p>
    <w:p w:rsidR="0052701D" w:rsidRDefault="00D40929">
      <w:pPr>
        <w:spacing w:after="5" w:line="250" w:lineRule="auto"/>
        <w:ind w:left="723" w:right="78" w:hanging="10"/>
        <w:jc w:val="center"/>
      </w:pPr>
      <w:r>
        <w:rPr>
          <w:rFonts w:ascii="Times New Roman" w:eastAsia="Times New Roman" w:hAnsi="Times New Roman" w:cs="Times New Roman"/>
          <w:i/>
          <w:sz w:val="24"/>
        </w:rPr>
        <w:t xml:space="preserve">Khizbullina Radmila Radikovna </w:t>
      </w:r>
    </w:p>
    <w:p w:rsidR="0052701D" w:rsidRDefault="00D40929">
      <w:pPr>
        <w:spacing w:after="5" w:line="250" w:lineRule="auto"/>
        <w:ind w:left="1809" w:right="1103" w:hanging="10"/>
        <w:jc w:val="center"/>
      </w:pPr>
      <w:r>
        <w:rPr>
          <w:rFonts w:ascii="Times New Roman" w:eastAsia="Times New Roman" w:hAnsi="Times New Roman" w:cs="Times New Roman"/>
          <w:i/>
          <w:sz w:val="24"/>
        </w:rPr>
        <w:t>Kazan state power engineering university, Kazan</w:t>
      </w:r>
      <w:r>
        <w:rPr>
          <w:rFonts w:ascii="Times New Roman" w:eastAsia="Times New Roman" w:hAnsi="Times New Roman" w:cs="Times New Roman"/>
          <w:b/>
          <w:i/>
          <w:sz w:val="24"/>
        </w:rPr>
        <w:t xml:space="preserve"> </w:t>
      </w:r>
      <w:r>
        <w:rPr>
          <w:rFonts w:ascii="Times New Roman" w:eastAsia="Times New Roman" w:hAnsi="Times New Roman" w:cs="Times New Roman"/>
          <w:i/>
          <w:color w:val="0000FF"/>
          <w:sz w:val="24"/>
          <w:u w:val="single" w:color="0000FF"/>
        </w:rPr>
        <w:t>mine_post@inbox.ru</w:t>
      </w:r>
      <w:r>
        <w:rPr>
          <w:rFonts w:ascii="Times New Roman" w:eastAsia="Times New Roman" w:hAnsi="Times New Roman" w:cs="Times New Roman"/>
          <w:b/>
          <w:i/>
          <w:sz w:val="24"/>
        </w:rPr>
        <w:t xml:space="preserve"> </w:t>
      </w:r>
    </w:p>
    <w:p w:rsidR="0052701D" w:rsidRDefault="00D40929">
      <w:pPr>
        <w:spacing w:after="0"/>
        <w:ind w:left="711"/>
      </w:pPr>
      <w:r>
        <w:rPr>
          <w:rFonts w:ascii="Times New Roman" w:eastAsia="Times New Roman" w:hAnsi="Times New Roman" w:cs="Times New Roman"/>
          <w:b/>
          <w:i/>
          <w:sz w:val="24"/>
        </w:rPr>
        <w:t xml:space="preserve"> </w:t>
      </w:r>
    </w:p>
    <w:p w:rsidR="0052701D" w:rsidRDefault="00D40929">
      <w:pPr>
        <w:spacing w:after="0" w:line="248" w:lineRule="auto"/>
        <w:ind w:left="9" w:firstLine="711"/>
        <w:jc w:val="both"/>
      </w:pPr>
      <w:r>
        <w:rPr>
          <w:rFonts w:ascii="Times New Roman" w:eastAsia="Times New Roman" w:hAnsi="Times New Roman" w:cs="Times New Roman"/>
          <w:b/>
          <w:i/>
          <w:sz w:val="24"/>
        </w:rPr>
        <w:t>Abstract:</w:t>
      </w:r>
      <w:r>
        <w:rPr>
          <w:rFonts w:ascii="Times New Roman" w:eastAsia="Times New Roman" w:hAnsi="Times New Roman" w:cs="Times New Roman"/>
          <w:i/>
          <w:sz w:val="24"/>
        </w:rPr>
        <w:t xml:space="preserve"> the presented work considers the role of digitalization in modern socio-economic conditions. The thesis on the need to use digital tools in symbi</w:t>
      </w:r>
      <w:r>
        <w:rPr>
          <w:rFonts w:ascii="Times New Roman" w:eastAsia="Times New Roman" w:hAnsi="Times New Roman" w:cs="Times New Roman"/>
          <w:i/>
          <w:sz w:val="24"/>
        </w:rPr>
        <w:t>osis with traditional forms of learning is updated. The conclusion is formulated about the currently expanding opportunities for access to education among students using digital educational tools.</w:t>
      </w:r>
      <w:r>
        <w:rPr>
          <w:rFonts w:ascii="Times New Roman" w:eastAsia="Times New Roman" w:hAnsi="Times New Roman" w:cs="Times New Roman"/>
          <w:b/>
          <w:i/>
          <w:sz w:val="24"/>
        </w:rPr>
        <w:t xml:space="preserve"> </w:t>
      </w:r>
    </w:p>
    <w:p w:rsidR="0052701D" w:rsidRDefault="00D40929">
      <w:pPr>
        <w:spacing w:after="71" w:line="248" w:lineRule="auto"/>
        <w:ind w:left="711"/>
        <w:jc w:val="both"/>
      </w:pPr>
      <w:r>
        <w:rPr>
          <w:rFonts w:ascii="Times New Roman" w:eastAsia="Times New Roman" w:hAnsi="Times New Roman" w:cs="Times New Roman"/>
          <w:b/>
          <w:i/>
          <w:sz w:val="24"/>
        </w:rPr>
        <w:t>Keywords:</w:t>
      </w:r>
      <w:r>
        <w:rPr>
          <w:rFonts w:ascii="Times New Roman" w:eastAsia="Times New Roman" w:hAnsi="Times New Roman" w:cs="Times New Roman"/>
          <w:i/>
          <w:sz w:val="24"/>
        </w:rPr>
        <w:t xml:space="preserve"> digitalization, higher education, transformation</w:t>
      </w:r>
      <w:r>
        <w:rPr>
          <w:rFonts w:ascii="Times New Roman" w:eastAsia="Times New Roman" w:hAnsi="Times New Roman" w:cs="Times New Roman"/>
          <w:i/>
          <w:sz w:val="24"/>
        </w:rPr>
        <w:t>, society, social development.</w:t>
      </w:r>
      <w:r>
        <w:rPr>
          <w:rFonts w:ascii="Times New Roman" w:eastAsia="Times New Roman" w:hAnsi="Times New Roman" w:cs="Times New Roman"/>
          <w:b/>
          <w:i/>
          <w:sz w:val="24"/>
        </w:rPr>
        <w:t xml:space="preserve"> </w:t>
      </w:r>
    </w:p>
    <w:p w:rsidR="0052701D" w:rsidRDefault="00D40929">
      <w:pPr>
        <w:spacing w:after="64"/>
        <w:ind w:left="721"/>
      </w:pPr>
      <w:r>
        <w:rPr>
          <w:rFonts w:ascii="Times New Roman" w:eastAsia="Times New Roman" w:hAnsi="Times New Roman" w:cs="Times New Roman"/>
          <w:sz w:val="24"/>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Сегодня глобализация характеризуется состоянием, при котором решающую роль начинают играть информационные потоки и каналы обмена данными [1].</w:t>
      </w:r>
      <w:r>
        <w:rPr>
          <w:rFonts w:ascii="Times New Roman" w:eastAsia="Times New Roman" w:hAnsi="Times New Roman" w:cs="Times New Roman"/>
          <w:b/>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Возникшие глобальные проблемы человечества, обусловленные вынужденным изменение</w:t>
      </w:r>
      <w:r>
        <w:rPr>
          <w:rFonts w:ascii="Times New Roman" w:eastAsia="Times New Roman" w:hAnsi="Times New Roman" w:cs="Times New Roman"/>
          <w:sz w:val="28"/>
        </w:rPr>
        <w:t>м социально-политической ситуации и введением медицинских ограничительных мер, прямым образом оказали влияние на образовательную ситуацию в мире [2]. В настоящее время роль цифровизации, которая все чаще становится неотъемлемой частью социально-экономическ</w:t>
      </w:r>
      <w:r>
        <w:rPr>
          <w:rFonts w:ascii="Times New Roman" w:eastAsia="Times New Roman" w:hAnsi="Times New Roman" w:cs="Times New Roman"/>
          <w:sz w:val="28"/>
        </w:rPr>
        <w:t xml:space="preserve">и систем трудно переоценить. Любой социальный институт сегодня трудно представить вне использования цифровых технологий, которые призваны осуществлять помощь в управлении, распределении, аккумулировании инновационных инструментов и средств для оптимизации </w:t>
      </w:r>
      <w:r>
        <w:rPr>
          <w:rFonts w:ascii="Times New Roman" w:eastAsia="Times New Roman" w:hAnsi="Times New Roman" w:cs="Times New Roman"/>
          <w:sz w:val="28"/>
        </w:rPr>
        <w:t>работы субъектов, входящих в структуру современных социальных институтов, сохраняя их устойчивое функционирование.</w:t>
      </w:r>
      <w:r>
        <w:rPr>
          <w:rFonts w:ascii="Times New Roman" w:eastAsia="Times New Roman" w:hAnsi="Times New Roman" w:cs="Times New Roman"/>
          <w:b/>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Отечественные исследователи в области определения роли цифровизации в системе развития региональных интеграционных объединений отмечают, что</w:t>
      </w:r>
      <w:r>
        <w:rPr>
          <w:rFonts w:ascii="Times New Roman" w:eastAsia="Times New Roman" w:hAnsi="Times New Roman" w:cs="Times New Roman"/>
          <w:sz w:val="28"/>
        </w:rPr>
        <w:t xml:space="preserve"> в результате развития информационных и цифровых технологий сегодня наблюдется такое явление как «четвертая промышленная революция», для </w:t>
      </w:r>
      <w:r>
        <w:rPr>
          <w:rFonts w:ascii="Times New Roman" w:eastAsia="Times New Roman" w:hAnsi="Times New Roman" w:cs="Times New Roman"/>
          <w:sz w:val="28"/>
        </w:rPr>
        <w:lastRenderedPageBreak/>
        <w:t>которой характерна определенная зависимость от потоков данных и, особенно от наличия коммуникационных сетей [3].</w:t>
      </w:r>
      <w:r>
        <w:rPr>
          <w:rFonts w:ascii="Times New Roman" w:eastAsia="Times New Roman" w:hAnsi="Times New Roman" w:cs="Times New Roman"/>
          <w:b/>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Сегод</w:t>
      </w:r>
      <w:r>
        <w:rPr>
          <w:rFonts w:ascii="Times New Roman" w:eastAsia="Times New Roman" w:hAnsi="Times New Roman" w:cs="Times New Roman"/>
          <w:sz w:val="28"/>
        </w:rPr>
        <w:t xml:space="preserve">ня вышей школе цифровизация как инструмент образования обеспечивает освоение обучающимися современных образовательных программ. Так, например, цифровая образовательная система LMS Moodle обеспечивает выполнение самостоятельной работы иностранных студентов </w:t>
      </w:r>
      <w:r>
        <w:rPr>
          <w:rFonts w:ascii="Times New Roman" w:eastAsia="Times New Roman" w:hAnsi="Times New Roman" w:cs="Times New Roman"/>
          <w:sz w:val="28"/>
        </w:rPr>
        <w:t>в иноязычной образовательной среде в рамках освоения междисциплинарных курсов, что свидетельствует о расширяющихся возможностях доступа к образованию у обучающихся в эпоху глобализации образования [4]. Описанию методических и технологических приемов формир</w:t>
      </w:r>
      <w:r>
        <w:rPr>
          <w:rFonts w:ascii="Times New Roman" w:eastAsia="Times New Roman" w:hAnsi="Times New Roman" w:cs="Times New Roman"/>
          <w:sz w:val="28"/>
        </w:rPr>
        <w:t>ования и развития компетенций самообразования у студентов вузов посвящены научные работы отечественных исследователей, которые так же сходятся во мнении, что содержание отдельных лекционных и практических занятий и использованием интерактивных технологий с</w:t>
      </w:r>
      <w:r>
        <w:rPr>
          <w:rFonts w:ascii="Times New Roman" w:eastAsia="Times New Roman" w:hAnsi="Times New Roman" w:cs="Times New Roman"/>
          <w:sz w:val="28"/>
        </w:rPr>
        <w:t>пособствуют развитию компетенций самообразования у студентов вузов [5].</w:t>
      </w:r>
      <w:r>
        <w:rPr>
          <w:rFonts w:ascii="Times New Roman" w:eastAsia="Times New Roman" w:hAnsi="Times New Roman" w:cs="Times New Roman"/>
          <w:b/>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В рамках авторского эмпирического социологического исследования был проведен опрос студентов Казанского государственного энергетического университета (2021 г.) относительно </w:t>
      </w:r>
      <w:r>
        <w:rPr>
          <w:rFonts w:ascii="Times New Roman" w:eastAsia="Times New Roman" w:hAnsi="Times New Roman" w:cs="Times New Roman"/>
          <w:sz w:val="28"/>
        </w:rPr>
        <w:t>вовлеченности в образовательный процесс элементов цифровизации (n=100 чел., 1-2 курс обучения). Выборка была определена с учетом освоения студентами начальных курсов различных дисциплин общего цикла, что должно сформировать понимание о разнообразии использ</w:t>
      </w:r>
      <w:r>
        <w:rPr>
          <w:rFonts w:ascii="Times New Roman" w:eastAsia="Times New Roman" w:hAnsi="Times New Roman" w:cs="Times New Roman"/>
          <w:sz w:val="28"/>
        </w:rPr>
        <w:t>ования цифровых инструментов на занятиях. По итогам опроса выявлено - большинство опрошенных респондентов из числа обучающихся удовлетворены использованием информационно-коммуникационных технологий в рамках освоения дисциплин на первом году обучения (96%).</w:t>
      </w:r>
      <w:r>
        <w:rPr>
          <w:rFonts w:ascii="Times New Roman" w:eastAsia="Times New Roman" w:hAnsi="Times New Roman" w:cs="Times New Roman"/>
          <w:sz w:val="28"/>
        </w:rPr>
        <w:t xml:space="preserve"> На использование в рамках обучения систему LMS Moodle для подготовки к практическим, семинарским занятиям указали 100% опрошенных, реализуя в личных кабинетах указанной цифровой системы самостоятельную работу, в том числе используют материалы, размещенные</w:t>
      </w:r>
      <w:r>
        <w:rPr>
          <w:rFonts w:ascii="Times New Roman" w:eastAsia="Times New Roman" w:hAnsi="Times New Roman" w:cs="Times New Roman"/>
          <w:sz w:val="28"/>
        </w:rPr>
        <w:t xml:space="preserve">, согласно распределенным в рамках соответствующих дисциплин модулям и лекционно-презентационные материалы. </w:t>
      </w:r>
      <w:r>
        <w:rPr>
          <w:rFonts w:ascii="Times New Roman" w:eastAsia="Times New Roman" w:hAnsi="Times New Roman" w:cs="Times New Roman"/>
          <w:b/>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Ориентация на использование цифровых инструментов в обучении, согласно анализу данных, полученных в ходе проведенного социологического исследовани</w:t>
      </w:r>
      <w:r>
        <w:rPr>
          <w:rFonts w:ascii="Times New Roman" w:eastAsia="Times New Roman" w:hAnsi="Times New Roman" w:cs="Times New Roman"/>
          <w:sz w:val="28"/>
        </w:rPr>
        <w:t>я, также свидетельствует о понимании студентами необходимости освоения образовательных программ в рамках традиционных форм обучения (89%).</w:t>
      </w:r>
      <w:r>
        <w:rPr>
          <w:rFonts w:ascii="Times New Roman" w:eastAsia="Times New Roman" w:hAnsi="Times New Roman" w:cs="Times New Roman"/>
          <w:b/>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Основными факторами, отмеченными респондентами как одобряемыми при использовании цифровых инструментов в обучении яв</w:t>
      </w:r>
      <w:r>
        <w:rPr>
          <w:rFonts w:ascii="Times New Roman" w:eastAsia="Times New Roman" w:hAnsi="Times New Roman" w:cs="Times New Roman"/>
          <w:sz w:val="28"/>
        </w:rPr>
        <w:t xml:space="preserve">ляются – удобный доступ к обучающим материалам (91%), наглядность в обучении (86%), возможность выполнять задания с использованием загружаемых образовательных материалов (82%), возможность выполнить задание с </w:t>
      </w:r>
      <w:r>
        <w:rPr>
          <w:rFonts w:ascii="Times New Roman" w:eastAsia="Times New Roman" w:hAnsi="Times New Roman" w:cs="Times New Roman"/>
          <w:sz w:val="28"/>
        </w:rPr>
        <w:lastRenderedPageBreak/>
        <w:t>использованием электронно-образовательных ресур</w:t>
      </w:r>
      <w:r>
        <w:rPr>
          <w:rFonts w:ascii="Times New Roman" w:eastAsia="Times New Roman" w:hAnsi="Times New Roman" w:cs="Times New Roman"/>
          <w:sz w:val="28"/>
        </w:rPr>
        <w:t>сов (78%), освоение элементов геймификации в рамках обучения (69%), возможность использовать материалы для иностранных студентов из любой локации (52%).</w:t>
      </w:r>
      <w:r>
        <w:rPr>
          <w:rFonts w:ascii="Times New Roman" w:eastAsia="Times New Roman" w:hAnsi="Times New Roman" w:cs="Times New Roman"/>
          <w:b/>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Как следует из результатов проведенного исследования, цифровые инструменты активно используются в рамк</w:t>
      </w:r>
      <w:r>
        <w:rPr>
          <w:rFonts w:ascii="Times New Roman" w:eastAsia="Times New Roman" w:hAnsi="Times New Roman" w:cs="Times New Roman"/>
          <w:sz w:val="28"/>
        </w:rPr>
        <w:t xml:space="preserve">ах образовательного процесса в КГЭУ. Не заменяя традиционных форм освоения образовательных программ, цифровые инструменты сегодня являются существенным подспорьем в процессе обучения отечественными и иностранными студентами в современных условиях развития </w:t>
      </w:r>
      <w:r>
        <w:rPr>
          <w:rFonts w:ascii="Times New Roman" w:eastAsia="Times New Roman" w:hAnsi="Times New Roman" w:cs="Times New Roman"/>
          <w:sz w:val="28"/>
        </w:rPr>
        <w:t>системы образования.</w:t>
      </w:r>
      <w:r>
        <w:rPr>
          <w:rFonts w:ascii="Times New Roman" w:eastAsia="Times New Roman" w:hAnsi="Times New Roman" w:cs="Times New Roman"/>
          <w:b/>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Согласно тезисам, представленным в современных отечественных исследованиях [6], цифровизация в сфере образования преследует несколько задач:</w:t>
      </w:r>
      <w:r>
        <w:rPr>
          <w:rFonts w:ascii="Times New Roman" w:eastAsia="Times New Roman" w:hAnsi="Times New Roman" w:cs="Times New Roman"/>
          <w:b/>
          <w:sz w:val="28"/>
        </w:rPr>
        <w:t xml:space="preserve"> </w:t>
      </w:r>
    </w:p>
    <w:p w:rsidR="0052701D" w:rsidRDefault="00D40929">
      <w:pPr>
        <w:numPr>
          <w:ilvl w:val="0"/>
          <w:numId w:val="81"/>
        </w:numPr>
        <w:spacing w:after="5" w:line="271" w:lineRule="auto"/>
        <w:ind w:right="64" w:firstLine="711"/>
        <w:jc w:val="both"/>
      </w:pPr>
      <w:r>
        <w:rPr>
          <w:rFonts w:ascii="Times New Roman" w:eastAsia="Times New Roman" w:hAnsi="Times New Roman" w:cs="Times New Roman"/>
          <w:sz w:val="28"/>
        </w:rPr>
        <w:t>повышение навыков и умений преподавателей в сфере цифровых технологий,</w:t>
      </w:r>
      <w:r>
        <w:rPr>
          <w:rFonts w:ascii="Times New Roman" w:eastAsia="Times New Roman" w:hAnsi="Times New Roman" w:cs="Times New Roman"/>
          <w:b/>
          <w:sz w:val="28"/>
        </w:rPr>
        <w:t xml:space="preserve"> </w:t>
      </w:r>
    </w:p>
    <w:p w:rsidR="0052701D" w:rsidRDefault="00D40929">
      <w:pPr>
        <w:numPr>
          <w:ilvl w:val="0"/>
          <w:numId w:val="81"/>
        </w:numPr>
        <w:spacing w:after="5" w:line="271" w:lineRule="auto"/>
        <w:ind w:right="64" w:firstLine="711"/>
        <w:jc w:val="both"/>
      </w:pPr>
      <w:r>
        <w:rPr>
          <w:rFonts w:ascii="Times New Roman" w:eastAsia="Times New Roman" w:hAnsi="Times New Roman" w:cs="Times New Roman"/>
          <w:sz w:val="28"/>
        </w:rPr>
        <w:t>развитие материально</w:t>
      </w:r>
      <w:r>
        <w:rPr>
          <w:rFonts w:ascii="Times New Roman" w:eastAsia="Times New Roman" w:hAnsi="Times New Roman" w:cs="Times New Roman"/>
          <w:sz w:val="28"/>
        </w:rPr>
        <w:t>й инфраструктуры,</w:t>
      </w:r>
      <w:r>
        <w:rPr>
          <w:rFonts w:ascii="Times New Roman" w:eastAsia="Times New Roman" w:hAnsi="Times New Roman" w:cs="Times New Roman"/>
          <w:b/>
          <w:sz w:val="28"/>
        </w:rPr>
        <w:t xml:space="preserve"> </w:t>
      </w:r>
    </w:p>
    <w:p w:rsidR="0052701D" w:rsidRDefault="00D40929">
      <w:pPr>
        <w:numPr>
          <w:ilvl w:val="0"/>
          <w:numId w:val="81"/>
        </w:numPr>
        <w:spacing w:after="5" w:line="271" w:lineRule="auto"/>
        <w:ind w:right="64" w:firstLine="711"/>
        <w:jc w:val="both"/>
      </w:pPr>
      <w:r>
        <w:rPr>
          <w:rFonts w:ascii="Times New Roman" w:eastAsia="Times New Roman" w:hAnsi="Times New Roman" w:cs="Times New Roman"/>
          <w:sz w:val="28"/>
        </w:rPr>
        <w:t>развитие онлайн-обучения;</w:t>
      </w:r>
      <w:r>
        <w:rPr>
          <w:rFonts w:ascii="Times New Roman" w:eastAsia="Times New Roman" w:hAnsi="Times New Roman" w:cs="Times New Roman"/>
          <w:b/>
          <w:sz w:val="28"/>
        </w:rPr>
        <w:t xml:space="preserve"> </w:t>
      </w:r>
    </w:p>
    <w:p w:rsidR="0052701D" w:rsidRDefault="00D40929">
      <w:pPr>
        <w:numPr>
          <w:ilvl w:val="0"/>
          <w:numId w:val="81"/>
        </w:numPr>
        <w:spacing w:after="5" w:line="271" w:lineRule="auto"/>
        <w:ind w:right="64" w:firstLine="711"/>
        <w:jc w:val="both"/>
      </w:pPr>
      <w:r>
        <w:rPr>
          <w:rFonts w:ascii="Times New Roman" w:eastAsia="Times New Roman" w:hAnsi="Times New Roman" w:cs="Times New Roman"/>
          <w:sz w:val="28"/>
        </w:rPr>
        <w:t xml:space="preserve">внедрение цифровых программ </w:t>
      </w:r>
      <w:r>
        <w:rPr>
          <w:rFonts w:ascii="Times New Roman" w:eastAsia="Times New Roman" w:hAnsi="Times New Roman" w:cs="Times New Roman"/>
          <w:b/>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Другими словами, цифровизация образования в современных социальноэкономических условиях представляет собой инновационную компоненту, сочетающую в себе доступность, скорость </w:t>
      </w:r>
      <w:r>
        <w:rPr>
          <w:rFonts w:ascii="Times New Roman" w:eastAsia="Times New Roman" w:hAnsi="Times New Roman" w:cs="Times New Roman"/>
          <w:sz w:val="28"/>
        </w:rPr>
        <w:t>освоения образовательных программ, удобство применения, расширения образовательных возможностей, системность усвоения образовательных материалов, наглядность демонстрационных возможностей.</w:t>
      </w:r>
      <w:r>
        <w:rPr>
          <w:rFonts w:ascii="Times New Roman" w:eastAsia="Times New Roman" w:hAnsi="Times New Roman" w:cs="Times New Roman"/>
          <w:b/>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В заключении стоит отметить, что в современных условиях развития о</w:t>
      </w:r>
      <w:r>
        <w:rPr>
          <w:rFonts w:ascii="Times New Roman" w:eastAsia="Times New Roman" w:hAnsi="Times New Roman" w:cs="Times New Roman"/>
          <w:sz w:val="28"/>
        </w:rPr>
        <w:t xml:space="preserve">бщества цифровая среда является активно формируемой, инструменты которой используются во всех сферах социальной жизни. В данной связи, система образования, являясь одним из важнейших социальных институтов испытывает потребность в цифровых инструментах при </w:t>
      </w:r>
      <w:r>
        <w:rPr>
          <w:rFonts w:ascii="Times New Roman" w:eastAsia="Times New Roman" w:hAnsi="Times New Roman" w:cs="Times New Roman"/>
          <w:sz w:val="28"/>
        </w:rPr>
        <w:t>освоении компетенций в рамках как общеобразовательных, так и специальных дисциплин, формирует вспомогательную базу для практико-ориентированного обучения в высшей школе.</w:t>
      </w:r>
      <w:r>
        <w:rPr>
          <w:rFonts w:ascii="Times New Roman" w:eastAsia="Times New Roman" w:hAnsi="Times New Roman" w:cs="Times New Roman"/>
          <w:b/>
          <w:sz w:val="28"/>
        </w:rPr>
        <w:t xml:space="preserve"> </w:t>
      </w:r>
    </w:p>
    <w:p w:rsidR="0052701D" w:rsidRDefault="00D40929">
      <w:pPr>
        <w:spacing w:after="66"/>
        <w:ind w:left="721"/>
      </w:pPr>
      <w:r>
        <w:rPr>
          <w:rFonts w:ascii="Times New Roman" w:eastAsia="Times New Roman" w:hAnsi="Times New Roman" w:cs="Times New Roman"/>
          <w:sz w:val="20"/>
        </w:rPr>
        <w:t xml:space="preserve"> </w:t>
      </w:r>
    </w:p>
    <w:p w:rsidR="0052701D" w:rsidRDefault="00D40929">
      <w:pPr>
        <w:spacing w:after="16" w:line="248" w:lineRule="auto"/>
        <w:ind w:left="819" w:right="890" w:hanging="10"/>
        <w:jc w:val="center"/>
      </w:pPr>
      <w:r>
        <w:rPr>
          <w:rFonts w:ascii="Times New Roman" w:eastAsia="Times New Roman" w:hAnsi="Times New Roman" w:cs="Times New Roman"/>
          <w:b/>
          <w:sz w:val="24"/>
        </w:rPr>
        <w:t xml:space="preserve">ИСТОЧНИКИ </w:t>
      </w:r>
    </w:p>
    <w:p w:rsidR="0052701D" w:rsidRDefault="00D40929">
      <w:pPr>
        <w:numPr>
          <w:ilvl w:val="0"/>
          <w:numId w:val="82"/>
        </w:numPr>
        <w:spacing w:after="29" w:line="248" w:lineRule="auto"/>
        <w:ind w:right="14" w:firstLine="711"/>
        <w:jc w:val="both"/>
      </w:pPr>
      <w:r>
        <w:rPr>
          <w:rFonts w:ascii="Times New Roman" w:eastAsia="Times New Roman" w:hAnsi="Times New Roman" w:cs="Times New Roman"/>
          <w:sz w:val="24"/>
        </w:rPr>
        <w:t>Круглов В.В., Никифорова В.Д., Никифоров А.А. Цифровизация как инструмен</w:t>
      </w:r>
      <w:r>
        <w:rPr>
          <w:rFonts w:ascii="Times New Roman" w:eastAsia="Times New Roman" w:hAnsi="Times New Roman" w:cs="Times New Roman"/>
          <w:sz w:val="24"/>
        </w:rPr>
        <w:t>т планетарной глобализации // Научный журнал НИУ ИТМО. Серия «Экономика и экологический менеджмент». 2020. № 1. С. 49-54.</w:t>
      </w:r>
      <w:r>
        <w:rPr>
          <w:rFonts w:ascii="Times New Roman" w:eastAsia="Times New Roman" w:hAnsi="Times New Roman" w:cs="Times New Roman"/>
          <w:b/>
          <w:sz w:val="24"/>
        </w:rPr>
        <w:t xml:space="preserve"> </w:t>
      </w:r>
    </w:p>
    <w:p w:rsidR="0052701D" w:rsidRDefault="00D40929">
      <w:pPr>
        <w:numPr>
          <w:ilvl w:val="0"/>
          <w:numId w:val="82"/>
        </w:numPr>
        <w:spacing w:after="29" w:line="248" w:lineRule="auto"/>
        <w:ind w:right="14" w:firstLine="711"/>
        <w:jc w:val="both"/>
      </w:pPr>
      <w:r>
        <w:rPr>
          <w:rFonts w:ascii="Times New Roman" w:eastAsia="Times New Roman" w:hAnsi="Times New Roman" w:cs="Times New Roman"/>
          <w:sz w:val="24"/>
        </w:rPr>
        <w:lastRenderedPageBreak/>
        <w:t>Панина Е.А. Актуальные вопросы цифровизации образования в современных условиях // Вестник Майкопского государственного технологическо</w:t>
      </w:r>
      <w:r>
        <w:rPr>
          <w:rFonts w:ascii="Times New Roman" w:eastAsia="Times New Roman" w:hAnsi="Times New Roman" w:cs="Times New Roman"/>
          <w:sz w:val="24"/>
        </w:rPr>
        <w:t xml:space="preserve">го университета. 2020. №. 3. С. 60-67. </w:t>
      </w:r>
    </w:p>
    <w:p w:rsidR="0052701D" w:rsidRDefault="00D40929">
      <w:pPr>
        <w:numPr>
          <w:ilvl w:val="0"/>
          <w:numId w:val="82"/>
        </w:numPr>
        <w:spacing w:after="29" w:line="248" w:lineRule="auto"/>
        <w:ind w:right="14" w:firstLine="711"/>
        <w:jc w:val="both"/>
      </w:pPr>
      <w:r>
        <w:rPr>
          <w:rFonts w:ascii="Times New Roman" w:eastAsia="Times New Roman" w:hAnsi="Times New Roman" w:cs="Times New Roman"/>
          <w:sz w:val="24"/>
        </w:rPr>
        <w:t>Золотоносов Я. Д. Современные змеевиковые аппараты, перспективы их развития и теория расчета / Я. Д. Золотоносов, Е. К. Вачагина, И. А. Крутова, А. Я. Золотоносов // Вестник Казанского государственного энергетическог</w:t>
      </w:r>
      <w:r>
        <w:rPr>
          <w:rFonts w:ascii="Times New Roman" w:eastAsia="Times New Roman" w:hAnsi="Times New Roman" w:cs="Times New Roman"/>
          <w:sz w:val="24"/>
        </w:rPr>
        <w:t>о университета. 2021. Т. 13. № 1(49). С. 52-65.</w:t>
      </w:r>
      <w:r>
        <w:rPr>
          <w:rFonts w:ascii="Times New Roman" w:eastAsia="Times New Roman" w:hAnsi="Times New Roman" w:cs="Times New Roman"/>
          <w:b/>
          <w:sz w:val="24"/>
        </w:rPr>
        <w:t xml:space="preserve"> </w:t>
      </w:r>
    </w:p>
    <w:p w:rsidR="0052701D" w:rsidRDefault="00D40929">
      <w:pPr>
        <w:numPr>
          <w:ilvl w:val="0"/>
          <w:numId w:val="82"/>
        </w:numPr>
        <w:spacing w:after="29" w:line="248" w:lineRule="auto"/>
        <w:ind w:right="14" w:firstLine="711"/>
        <w:jc w:val="both"/>
      </w:pPr>
      <w:r>
        <w:rPr>
          <w:rFonts w:ascii="Times New Roman" w:eastAsia="Times New Roman" w:hAnsi="Times New Roman" w:cs="Times New Roman"/>
          <w:sz w:val="24"/>
        </w:rPr>
        <w:t>Шинкарецкая Г.Г., Берман А.М. Цифровизация как инструмент развития региональных интеграционных объединений // Образование и право. 2019. №. 7. С. 262-269.</w:t>
      </w:r>
      <w:r>
        <w:rPr>
          <w:rFonts w:ascii="Times New Roman" w:eastAsia="Times New Roman" w:hAnsi="Times New Roman" w:cs="Times New Roman"/>
          <w:b/>
          <w:sz w:val="24"/>
        </w:rPr>
        <w:t xml:space="preserve"> </w:t>
      </w:r>
    </w:p>
    <w:p w:rsidR="0052701D" w:rsidRDefault="00D40929">
      <w:pPr>
        <w:numPr>
          <w:ilvl w:val="0"/>
          <w:numId w:val="82"/>
        </w:numPr>
        <w:spacing w:after="29" w:line="248" w:lineRule="auto"/>
        <w:ind w:right="14" w:firstLine="711"/>
        <w:jc w:val="both"/>
      </w:pPr>
      <w:r>
        <w:rPr>
          <w:rFonts w:ascii="Times New Roman" w:eastAsia="Times New Roman" w:hAnsi="Times New Roman" w:cs="Times New Roman"/>
          <w:sz w:val="24"/>
        </w:rPr>
        <w:t>Исаева Л.Б., Сабитова Р.Р. Самостоятельная работа и</w:t>
      </w:r>
      <w:r>
        <w:rPr>
          <w:rFonts w:ascii="Times New Roman" w:eastAsia="Times New Roman" w:hAnsi="Times New Roman" w:cs="Times New Roman"/>
          <w:sz w:val="24"/>
        </w:rPr>
        <w:t xml:space="preserve">ностранных студентов в иноязычной образовательной среде: междисциплинарный Moodle-курс // Вестник Казанского государственного энергетического университета. 2018. Т.10. № 2 (38). С. 100-105. </w:t>
      </w:r>
    </w:p>
    <w:p w:rsidR="0052701D" w:rsidRDefault="00D40929">
      <w:pPr>
        <w:numPr>
          <w:ilvl w:val="0"/>
          <w:numId w:val="82"/>
        </w:numPr>
        <w:spacing w:after="29" w:line="248" w:lineRule="auto"/>
        <w:ind w:right="14" w:firstLine="711"/>
        <w:jc w:val="both"/>
      </w:pPr>
      <w:r>
        <w:rPr>
          <w:rFonts w:ascii="Times New Roman" w:eastAsia="Times New Roman" w:hAnsi="Times New Roman" w:cs="Times New Roman"/>
          <w:sz w:val="24"/>
        </w:rPr>
        <w:t xml:space="preserve">Калганова С. Г. СВЧ технологические установки для нетепловой </w:t>
      </w:r>
      <w:r>
        <w:rPr>
          <w:rFonts w:ascii="Times New Roman" w:eastAsia="Times New Roman" w:hAnsi="Times New Roman" w:cs="Times New Roman"/>
          <w:sz w:val="24"/>
        </w:rPr>
        <w:t xml:space="preserve">модификации свойств материалов в резонаторах со встречными бегущими волнами, образованных замкнутой самой на себя волноводной линией передачи / С. Г. Калганова, Б. К. Сивяков, Д. Б. </w:t>
      </w:r>
    </w:p>
    <w:p w:rsidR="0052701D" w:rsidRDefault="00D40929">
      <w:pPr>
        <w:spacing w:after="29" w:line="248" w:lineRule="auto"/>
        <w:ind w:left="9" w:right="14"/>
        <w:jc w:val="both"/>
      </w:pPr>
      <w:r>
        <w:rPr>
          <w:rFonts w:ascii="Times New Roman" w:eastAsia="Times New Roman" w:hAnsi="Times New Roman" w:cs="Times New Roman"/>
          <w:sz w:val="24"/>
        </w:rPr>
        <w:t>Сивяков [и др.] // Вестник Казанского государственного энергетического ун</w:t>
      </w:r>
      <w:r>
        <w:rPr>
          <w:rFonts w:ascii="Times New Roman" w:eastAsia="Times New Roman" w:hAnsi="Times New Roman" w:cs="Times New Roman"/>
          <w:sz w:val="24"/>
        </w:rPr>
        <w:t>иверситета. 2021. Т. 13. № 1(49). С. 97-106.</w:t>
      </w:r>
      <w:r>
        <w:rPr>
          <w:rFonts w:ascii="Times New Roman" w:eastAsia="Times New Roman" w:hAnsi="Times New Roman" w:cs="Times New Roman"/>
          <w:b/>
          <w:sz w:val="24"/>
        </w:rPr>
        <w:t xml:space="preserve"> </w:t>
      </w:r>
    </w:p>
    <w:p w:rsidR="0052701D" w:rsidRDefault="00D40929">
      <w:pPr>
        <w:numPr>
          <w:ilvl w:val="0"/>
          <w:numId w:val="82"/>
        </w:numPr>
        <w:spacing w:after="29" w:line="248" w:lineRule="auto"/>
        <w:ind w:right="14" w:firstLine="711"/>
        <w:jc w:val="both"/>
      </w:pPr>
      <w:r>
        <w:rPr>
          <w:rFonts w:ascii="Times New Roman" w:eastAsia="Times New Roman" w:hAnsi="Times New Roman" w:cs="Times New Roman"/>
          <w:sz w:val="24"/>
        </w:rPr>
        <w:t>Завада Г.В., Реймер М.В. Элементы методического обеспечения формирования и развития компетенций самообразования у студентов вузов // Вестник Казанского государственного энергетического университета. 2018. № 3 (</w:t>
      </w:r>
      <w:r>
        <w:rPr>
          <w:rFonts w:ascii="Times New Roman" w:eastAsia="Times New Roman" w:hAnsi="Times New Roman" w:cs="Times New Roman"/>
          <w:sz w:val="24"/>
        </w:rPr>
        <w:t>39). С. 104-111.</w:t>
      </w:r>
      <w:r>
        <w:rPr>
          <w:rFonts w:ascii="Times New Roman" w:eastAsia="Times New Roman" w:hAnsi="Times New Roman" w:cs="Times New Roman"/>
          <w:b/>
          <w:sz w:val="24"/>
        </w:rPr>
        <w:t xml:space="preserve"> </w:t>
      </w:r>
    </w:p>
    <w:p w:rsidR="0052701D" w:rsidRDefault="00D40929">
      <w:pPr>
        <w:numPr>
          <w:ilvl w:val="0"/>
          <w:numId w:val="82"/>
        </w:numPr>
        <w:spacing w:after="29" w:line="248" w:lineRule="auto"/>
        <w:ind w:right="14" w:firstLine="711"/>
        <w:jc w:val="both"/>
      </w:pPr>
      <w:r>
        <w:rPr>
          <w:rFonts w:ascii="Times New Roman" w:eastAsia="Times New Roman" w:hAnsi="Times New Roman" w:cs="Times New Roman"/>
          <w:sz w:val="24"/>
        </w:rPr>
        <w:t>Гордеева Е.В., Мурадян Ш.Г., Жажоян А.С. Цифровизация в образовании // Экономика и бизнес: теория и практика. 2021. №. 4-1. С. 112-115.</w:t>
      </w:r>
      <w:r>
        <w:rPr>
          <w:rFonts w:ascii="Times New Roman" w:eastAsia="Times New Roman" w:hAnsi="Times New Roman" w:cs="Times New Roman"/>
          <w:b/>
          <w:sz w:val="24"/>
        </w:rPr>
        <w:t xml:space="preserve"> </w:t>
      </w:r>
    </w:p>
    <w:p w:rsidR="0052701D" w:rsidRDefault="00D40929">
      <w:pPr>
        <w:spacing w:after="0"/>
        <w:ind w:left="711"/>
      </w:pPr>
      <w:r>
        <w:rPr>
          <w:rFonts w:ascii="Times New Roman" w:eastAsia="Times New Roman" w:hAnsi="Times New Roman" w:cs="Times New Roman"/>
          <w:b/>
          <w:sz w:val="20"/>
        </w:rPr>
        <w:t xml:space="preserve"> </w:t>
      </w:r>
    </w:p>
    <w:p w:rsidR="0052701D" w:rsidRDefault="00D40929">
      <w:pPr>
        <w:spacing w:after="0"/>
        <w:ind w:left="711"/>
      </w:pPr>
      <w:r>
        <w:rPr>
          <w:rFonts w:ascii="Times New Roman" w:eastAsia="Times New Roman" w:hAnsi="Times New Roman" w:cs="Times New Roman"/>
          <w:b/>
          <w:sz w:val="20"/>
        </w:rPr>
        <w:t xml:space="preserve"> </w:t>
      </w:r>
    </w:p>
    <w:p w:rsidR="0052701D" w:rsidRDefault="00D40929">
      <w:pPr>
        <w:spacing w:after="43"/>
        <w:ind w:left="711"/>
      </w:pPr>
      <w:r>
        <w:rPr>
          <w:rFonts w:ascii="Times New Roman" w:eastAsia="Times New Roman" w:hAnsi="Times New Roman" w:cs="Times New Roman"/>
          <w:b/>
          <w:sz w:val="20"/>
        </w:rPr>
        <w:t xml:space="preserve"> </w:t>
      </w:r>
    </w:p>
    <w:p w:rsidR="0052701D" w:rsidRDefault="00D40929">
      <w:pPr>
        <w:spacing w:after="4" w:line="271" w:lineRule="auto"/>
        <w:ind w:left="-5" w:right="194" w:hanging="10"/>
      </w:pPr>
      <w:r>
        <w:rPr>
          <w:rFonts w:ascii="Times New Roman" w:eastAsia="Times New Roman" w:hAnsi="Times New Roman" w:cs="Times New Roman"/>
          <w:b/>
          <w:sz w:val="24"/>
        </w:rPr>
        <w:t xml:space="preserve">УДК 101 МРТНИ 02.01.07 </w:t>
      </w:r>
    </w:p>
    <w:p w:rsidR="0052701D" w:rsidRDefault="00D40929">
      <w:pPr>
        <w:spacing w:after="78"/>
        <w:ind w:left="711"/>
      </w:pPr>
      <w:r>
        <w:rPr>
          <w:rFonts w:ascii="Times New Roman" w:eastAsia="Times New Roman" w:hAnsi="Times New Roman" w:cs="Times New Roman"/>
          <w:sz w:val="24"/>
        </w:rPr>
        <w:t xml:space="preserve"> </w:t>
      </w:r>
    </w:p>
    <w:p w:rsidR="0052701D" w:rsidRDefault="00D40929">
      <w:pPr>
        <w:pStyle w:val="1"/>
        <w:ind w:left="1455" w:right="0" w:firstLine="9"/>
        <w:jc w:val="left"/>
      </w:pPr>
      <w:r>
        <w:t xml:space="preserve">РОЛЬ ФИЛОСОФИИ В ФОРМИРОВАНИИ НАУЧНОГО </w:t>
      </w:r>
    </w:p>
    <w:p w:rsidR="0052701D" w:rsidRDefault="00D40929">
      <w:pPr>
        <w:spacing w:after="5" w:line="271" w:lineRule="auto"/>
        <w:ind w:left="1455" w:firstLine="9"/>
      </w:pPr>
      <w:r>
        <w:rPr>
          <w:rFonts w:ascii="Times New Roman" w:eastAsia="Times New Roman" w:hAnsi="Times New Roman" w:cs="Times New Roman"/>
          <w:b/>
          <w:sz w:val="28"/>
        </w:rPr>
        <w:t xml:space="preserve">МИРОВОЗЗРЕНИЯ </w:t>
      </w:r>
    </w:p>
    <w:p w:rsidR="0052701D" w:rsidRDefault="00D40929">
      <w:pPr>
        <w:spacing w:after="69"/>
        <w:ind w:left="711"/>
      </w:pPr>
      <w:r>
        <w:rPr>
          <w:rFonts w:ascii="Times New Roman" w:eastAsia="Times New Roman" w:hAnsi="Times New Roman" w:cs="Times New Roman"/>
          <w:sz w:val="20"/>
        </w:rPr>
        <w:t xml:space="preserve"> </w:t>
      </w:r>
    </w:p>
    <w:p w:rsidR="0052701D" w:rsidRDefault="00D40929">
      <w:pPr>
        <w:pStyle w:val="1"/>
        <w:spacing w:after="16" w:line="248" w:lineRule="auto"/>
        <w:ind w:left="819" w:right="174"/>
      </w:pPr>
      <w:r>
        <w:rPr>
          <w:sz w:val="24"/>
        </w:rPr>
        <w:t>Г.Д. Шаракпа</w:t>
      </w:r>
      <w:r>
        <w:rPr>
          <w:sz w:val="24"/>
        </w:rPr>
        <w:t xml:space="preserve">ева </w:t>
      </w:r>
    </w:p>
    <w:p w:rsidR="0052701D" w:rsidRDefault="00D40929">
      <w:pPr>
        <w:spacing w:after="29" w:line="248" w:lineRule="auto"/>
        <w:ind w:left="970" w:right="14"/>
        <w:jc w:val="both"/>
      </w:pPr>
      <w:r>
        <w:rPr>
          <w:rFonts w:ascii="Times New Roman" w:eastAsia="Times New Roman" w:hAnsi="Times New Roman" w:cs="Times New Roman"/>
          <w:sz w:val="24"/>
        </w:rPr>
        <w:t>НАО «Алматинский университет энергетики и связи имени Гумарбека Даукеева»</w:t>
      </w:r>
      <w:r>
        <w:rPr>
          <w:rFonts w:ascii="Times New Roman" w:eastAsia="Times New Roman" w:hAnsi="Times New Roman" w:cs="Times New Roman"/>
          <w:b/>
          <w:sz w:val="24"/>
        </w:rPr>
        <w:t xml:space="preserve"> </w:t>
      </w:r>
    </w:p>
    <w:p w:rsidR="0052701D" w:rsidRDefault="00D40929">
      <w:pPr>
        <w:spacing w:after="29" w:line="248" w:lineRule="auto"/>
        <w:ind w:left="2603" w:right="14"/>
        <w:jc w:val="both"/>
      </w:pPr>
      <w:r>
        <w:rPr>
          <w:rFonts w:ascii="Times New Roman" w:eastAsia="Times New Roman" w:hAnsi="Times New Roman" w:cs="Times New Roman"/>
          <w:sz w:val="24"/>
        </w:rPr>
        <w:t>Алматы, Казахстан. e-mail: g.sharakpaeva@aues.kz</w:t>
      </w:r>
      <w:r>
        <w:rPr>
          <w:rFonts w:ascii="Times New Roman" w:eastAsia="Times New Roman" w:hAnsi="Times New Roman" w:cs="Times New Roman"/>
          <w:b/>
          <w:sz w:val="24"/>
        </w:rPr>
        <w:t xml:space="preserve"> </w:t>
      </w:r>
    </w:p>
    <w:p w:rsidR="0052701D" w:rsidRDefault="00D40929">
      <w:pPr>
        <w:spacing w:after="57"/>
        <w:ind w:left="711"/>
      </w:pPr>
      <w:r>
        <w:rPr>
          <w:rFonts w:ascii="Times New Roman" w:eastAsia="Times New Roman" w:hAnsi="Times New Roman" w:cs="Times New Roman"/>
          <w:b/>
          <w:sz w:val="20"/>
        </w:rPr>
        <w:t xml:space="preserve"> </w:t>
      </w:r>
    </w:p>
    <w:p w:rsidR="0052701D" w:rsidRDefault="00D40929">
      <w:pPr>
        <w:spacing w:after="29" w:line="248" w:lineRule="auto"/>
        <w:ind w:left="9" w:firstLine="711"/>
        <w:jc w:val="both"/>
      </w:pPr>
      <w:r>
        <w:rPr>
          <w:rFonts w:ascii="Times New Roman" w:eastAsia="Times New Roman" w:hAnsi="Times New Roman" w:cs="Times New Roman"/>
          <w:sz w:val="20"/>
        </w:rPr>
        <w:t xml:space="preserve"> </w:t>
      </w:r>
      <w:r>
        <w:rPr>
          <w:rFonts w:ascii="Times New Roman" w:eastAsia="Times New Roman" w:hAnsi="Times New Roman" w:cs="Times New Roman"/>
          <w:b/>
          <w:i/>
          <w:sz w:val="24"/>
        </w:rPr>
        <w:t>Аннотация.</w:t>
      </w:r>
      <w:r>
        <w:rPr>
          <w:rFonts w:ascii="Times New Roman" w:eastAsia="Times New Roman" w:hAnsi="Times New Roman" w:cs="Times New Roman"/>
          <w:i/>
          <w:sz w:val="24"/>
        </w:rPr>
        <w:t xml:space="preserve"> Философия как форма общественного сознания оказывает большое влияние на формирование научного мировоззрения. В </w:t>
      </w:r>
      <w:r>
        <w:rPr>
          <w:rFonts w:ascii="Times New Roman" w:eastAsia="Times New Roman" w:hAnsi="Times New Roman" w:cs="Times New Roman"/>
          <w:i/>
          <w:sz w:val="24"/>
        </w:rPr>
        <w:t>буквальном смысле слова «философия» означает любовь к мудрости. Отличительной особенностью   философского познания как основы научного мировоззрения является его доказательность, логическая обоснованность и аргументированность. Философия влияет на формиров</w:t>
      </w:r>
      <w:r>
        <w:rPr>
          <w:rFonts w:ascii="Times New Roman" w:eastAsia="Times New Roman" w:hAnsi="Times New Roman" w:cs="Times New Roman"/>
          <w:i/>
          <w:sz w:val="24"/>
        </w:rPr>
        <w:t>ание общекультурных компетенций, способствуют развитию когнитивных способностей и возможностей студента.</w:t>
      </w:r>
      <w:r>
        <w:rPr>
          <w:rFonts w:ascii="Times New Roman" w:eastAsia="Times New Roman" w:hAnsi="Times New Roman" w:cs="Times New Roman"/>
          <w:b/>
          <w:i/>
          <w:sz w:val="24"/>
        </w:rPr>
        <w:t xml:space="preserve"> </w:t>
      </w:r>
    </w:p>
    <w:p w:rsidR="0052701D" w:rsidRDefault="00D40929">
      <w:pPr>
        <w:spacing w:after="29" w:line="248" w:lineRule="auto"/>
        <w:ind w:left="9" w:firstLine="711"/>
        <w:jc w:val="both"/>
      </w:pP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 xml:space="preserve"> наука, техника, мировоззрение, философия, образование, компетенции </w:t>
      </w:r>
      <w:r>
        <w:rPr>
          <w:rFonts w:ascii="Times New Roman" w:eastAsia="Times New Roman" w:hAnsi="Times New Roman" w:cs="Times New Roman"/>
          <w:b/>
          <w:i/>
          <w:sz w:val="24"/>
        </w:rPr>
        <w:t xml:space="preserve"> </w:t>
      </w:r>
    </w:p>
    <w:p w:rsidR="0052701D" w:rsidRDefault="00D40929">
      <w:pPr>
        <w:spacing w:after="0"/>
        <w:ind w:left="711"/>
      </w:pPr>
      <w:r>
        <w:rPr>
          <w:rFonts w:ascii="Times New Roman" w:eastAsia="Times New Roman" w:hAnsi="Times New Roman" w:cs="Times New Roman"/>
          <w:b/>
          <w:i/>
          <w:sz w:val="24"/>
        </w:rPr>
        <w:t xml:space="preserve"> </w:t>
      </w:r>
    </w:p>
    <w:p w:rsidR="0052701D" w:rsidRDefault="00D40929">
      <w:pPr>
        <w:spacing w:after="16"/>
        <w:ind w:left="711"/>
      </w:pPr>
      <w:r>
        <w:rPr>
          <w:rFonts w:ascii="Times New Roman" w:eastAsia="Times New Roman" w:hAnsi="Times New Roman" w:cs="Times New Roman"/>
          <w:b/>
          <w:i/>
          <w:sz w:val="24"/>
        </w:rPr>
        <w:t xml:space="preserve"> </w:t>
      </w:r>
    </w:p>
    <w:p w:rsidR="0052701D" w:rsidRDefault="00D40929">
      <w:pPr>
        <w:spacing w:after="5" w:line="271" w:lineRule="auto"/>
        <w:ind w:left="1436" w:firstLine="9"/>
      </w:pPr>
      <w:r>
        <w:rPr>
          <w:rFonts w:ascii="Times New Roman" w:eastAsia="Times New Roman" w:hAnsi="Times New Roman" w:cs="Times New Roman"/>
          <w:b/>
          <w:sz w:val="28"/>
        </w:rPr>
        <w:t>THE ROLE OF PHILOSOPHY IN THE FORMATION OF A SCIENTIFIC WORLD</w:t>
      </w:r>
      <w:r>
        <w:rPr>
          <w:rFonts w:ascii="Times New Roman" w:eastAsia="Times New Roman" w:hAnsi="Times New Roman" w:cs="Times New Roman"/>
          <w:b/>
          <w:sz w:val="28"/>
        </w:rPr>
        <w:t xml:space="preserve">VIEW </w:t>
      </w:r>
    </w:p>
    <w:p w:rsidR="0052701D" w:rsidRDefault="00D40929">
      <w:pPr>
        <w:spacing w:after="16" w:line="248" w:lineRule="auto"/>
        <w:ind w:left="819" w:right="184" w:hanging="10"/>
        <w:jc w:val="center"/>
      </w:pPr>
      <w:r>
        <w:rPr>
          <w:rFonts w:ascii="Times New Roman" w:eastAsia="Times New Roman" w:hAnsi="Times New Roman" w:cs="Times New Roman"/>
          <w:b/>
          <w:sz w:val="24"/>
        </w:rPr>
        <w:t>G.D. Sharakpaeva</w:t>
      </w:r>
      <w:r>
        <w:rPr>
          <w:rFonts w:ascii="Times New Roman" w:eastAsia="Times New Roman" w:hAnsi="Times New Roman" w:cs="Times New Roman"/>
          <w:b/>
          <w:sz w:val="28"/>
        </w:rPr>
        <w:t xml:space="preserve"> </w:t>
      </w:r>
    </w:p>
    <w:p w:rsidR="0052701D" w:rsidRDefault="00D40929">
      <w:pPr>
        <w:spacing w:after="0" w:line="248" w:lineRule="auto"/>
        <w:ind w:left="1719" w:right="14" w:hanging="480"/>
        <w:jc w:val="both"/>
      </w:pPr>
      <w:r>
        <w:rPr>
          <w:rFonts w:ascii="Times New Roman" w:eastAsia="Times New Roman" w:hAnsi="Times New Roman" w:cs="Times New Roman"/>
          <w:sz w:val="24"/>
        </w:rPr>
        <w:lastRenderedPageBreak/>
        <w:t>NAO "Almaty University of Energy and Communications named after Gumarbek Daukeev", Almaty, Kazakhstan. e-mail: g.sharakpaeva@aues.kz</w:t>
      </w:r>
      <w:r>
        <w:rPr>
          <w:rFonts w:ascii="Times New Roman" w:eastAsia="Times New Roman" w:hAnsi="Times New Roman" w:cs="Times New Roman"/>
          <w:b/>
          <w:sz w:val="24"/>
        </w:rPr>
        <w:t xml:space="preserve"> </w:t>
      </w:r>
    </w:p>
    <w:p w:rsidR="0052701D" w:rsidRDefault="00D40929">
      <w:pPr>
        <w:spacing w:after="0"/>
        <w:ind w:left="711"/>
      </w:pPr>
      <w:r>
        <w:rPr>
          <w:rFonts w:ascii="Times New Roman" w:eastAsia="Times New Roman" w:hAnsi="Times New Roman" w:cs="Times New Roman"/>
          <w:i/>
          <w:sz w:val="24"/>
        </w:rPr>
        <w:t xml:space="preserve"> </w:t>
      </w:r>
    </w:p>
    <w:p w:rsidR="0052701D" w:rsidRDefault="00D40929">
      <w:pPr>
        <w:spacing w:after="0" w:line="248" w:lineRule="auto"/>
        <w:ind w:left="9" w:firstLine="711"/>
        <w:jc w:val="both"/>
      </w:pPr>
      <w:r>
        <w:rPr>
          <w:rFonts w:ascii="Times New Roman" w:eastAsia="Times New Roman" w:hAnsi="Times New Roman" w:cs="Times New Roman"/>
          <w:b/>
          <w:i/>
          <w:sz w:val="24"/>
        </w:rPr>
        <w:t>Annotation.</w:t>
      </w:r>
      <w:r>
        <w:rPr>
          <w:rFonts w:ascii="Times New Roman" w:eastAsia="Times New Roman" w:hAnsi="Times New Roman" w:cs="Times New Roman"/>
          <w:i/>
          <w:sz w:val="24"/>
        </w:rPr>
        <w:t xml:space="preserve"> Philosophy as a form of social consciousness has a great influence on the formation </w:t>
      </w:r>
      <w:r>
        <w:rPr>
          <w:rFonts w:ascii="Times New Roman" w:eastAsia="Times New Roman" w:hAnsi="Times New Roman" w:cs="Times New Roman"/>
          <w:i/>
          <w:sz w:val="24"/>
        </w:rPr>
        <w:t>of a scientific worldview. In the literal sense of the word "philosophy" means the love of wisdom. A distinctive feature of philosophical cognition as the basis of a scientific worldview is its evidence-based, logical validity and reasonableness. Philosoph</w:t>
      </w:r>
      <w:r>
        <w:rPr>
          <w:rFonts w:ascii="Times New Roman" w:eastAsia="Times New Roman" w:hAnsi="Times New Roman" w:cs="Times New Roman"/>
          <w:i/>
          <w:sz w:val="24"/>
        </w:rPr>
        <w:t>y influences the formation of general cultural competencies, contributes to the development of cognitive abilities and capabilities of the student.</w:t>
      </w:r>
      <w:r>
        <w:rPr>
          <w:rFonts w:ascii="Times New Roman" w:eastAsia="Times New Roman" w:hAnsi="Times New Roman" w:cs="Times New Roman"/>
          <w:b/>
          <w:i/>
          <w:sz w:val="24"/>
        </w:rPr>
        <w:t xml:space="preserve"> </w:t>
      </w:r>
    </w:p>
    <w:p w:rsidR="0052701D" w:rsidRDefault="00D40929">
      <w:pPr>
        <w:spacing w:after="86" w:line="248" w:lineRule="auto"/>
        <w:ind w:left="711"/>
        <w:jc w:val="both"/>
      </w:pPr>
      <w:r>
        <w:rPr>
          <w:rFonts w:ascii="Times New Roman" w:eastAsia="Times New Roman" w:hAnsi="Times New Roman" w:cs="Times New Roman"/>
          <w:b/>
          <w:i/>
          <w:sz w:val="24"/>
        </w:rPr>
        <w:t>Key words:</w:t>
      </w:r>
      <w:r>
        <w:rPr>
          <w:rFonts w:ascii="Times New Roman" w:eastAsia="Times New Roman" w:hAnsi="Times New Roman" w:cs="Times New Roman"/>
          <w:i/>
          <w:sz w:val="24"/>
        </w:rPr>
        <w:t xml:space="preserve"> science, technique, worldview, philosophy, education, competences </w:t>
      </w:r>
      <w:r>
        <w:rPr>
          <w:rFonts w:ascii="Times New Roman" w:eastAsia="Times New Roman" w:hAnsi="Times New Roman" w:cs="Times New Roman"/>
          <w:b/>
          <w:i/>
          <w:sz w:val="24"/>
        </w:rPr>
        <w:t xml:space="preserve"> </w:t>
      </w:r>
    </w:p>
    <w:p w:rsidR="0052701D" w:rsidRDefault="00D40929">
      <w:pPr>
        <w:spacing w:after="101"/>
        <w:ind w:left="721"/>
      </w:pPr>
      <w:r>
        <w:rPr>
          <w:rFonts w:ascii="Times New Roman" w:eastAsia="Times New Roman" w:hAnsi="Times New Roman" w:cs="Times New Roman"/>
          <w:sz w:val="20"/>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В настоящее время меняется</w:t>
      </w:r>
      <w:r>
        <w:rPr>
          <w:rFonts w:ascii="Times New Roman" w:eastAsia="Times New Roman" w:hAnsi="Times New Roman" w:cs="Times New Roman"/>
          <w:sz w:val="28"/>
        </w:rPr>
        <w:t xml:space="preserve"> научная картина мира, парадигма развития науки, представления об идеале науки в целом. Довольно длительное время под идеалом науки понимались достижения естественных наук, математического и гуманитарного знания. На этапе информационного развития современн</w:t>
      </w:r>
      <w:r>
        <w:rPr>
          <w:rFonts w:ascii="Times New Roman" w:eastAsia="Times New Roman" w:hAnsi="Times New Roman" w:cs="Times New Roman"/>
          <w:sz w:val="28"/>
        </w:rPr>
        <w:t>ого общества в этот разряд включаются инженерия, программирование, системы информационной безопасности, технологии и проектирование современного производства. В настоящее время речь идет о формировании и становлении меганауки, которая будет представлять со</w:t>
      </w:r>
      <w:r>
        <w:rPr>
          <w:rFonts w:ascii="Times New Roman" w:eastAsia="Times New Roman" w:hAnsi="Times New Roman" w:cs="Times New Roman"/>
          <w:sz w:val="28"/>
        </w:rPr>
        <w:t xml:space="preserve">бой некий симбиоз технического, гуманитарного, естественнонаучного и социального. Сейчас складывается довольно сложная картина социальной реальности, которая не вписывается в мировоззрение обычного человека, живущего интересами каждого дня. Она включает в </w:t>
      </w:r>
      <w:r>
        <w:rPr>
          <w:rFonts w:ascii="Times New Roman" w:eastAsia="Times New Roman" w:hAnsi="Times New Roman" w:cs="Times New Roman"/>
          <w:sz w:val="28"/>
        </w:rPr>
        <w:t xml:space="preserve">себя новые формы трудовой деятельности, в которой доминирует техника. Социокультурный смысл техники как степени развития человека состоит в том, что: 1. техника расширяет человеческие возможности и создает условия для развития его способностей; 2. техника </w:t>
      </w:r>
      <w:r>
        <w:rPr>
          <w:rFonts w:ascii="Times New Roman" w:eastAsia="Times New Roman" w:hAnsi="Times New Roman" w:cs="Times New Roman"/>
          <w:sz w:val="28"/>
        </w:rPr>
        <w:t xml:space="preserve">служит средством реализации природных задатков человека; 3. Источником развития социума в рамках новой функциональной рациональности является уже не природа, а интеллект. В широком смысле «техника» имеет социальный, историко-цивилизационный смысл, то есть </w:t>
      </w:r>
      <w:r>
        <w:rPr>
          <w:rFonts w:ascii="Times New Roman" w:eastAsia="Times New Roman" w:hAnsi="Times New Roman" w:cs="Times New Roman"/>
          <w:sz w:val="28"/>
        </w:rPr>
        <w:t>она есть часть общественного прогресса человечества, часть социальной динамики в целом.  Научная мысль, сегодня, отражает плюрализм и борьбу между мнениями и идеями, концепциями и стратегиями. Глобализация как тенденция общественного развития перестает быт</w:t>
      </w:r>
      <w:r>
        <w:rPr>
          <w:rFonts w:ascii="Times New Roman" w:eastAsia="Times New Roman" w:hAnsi="Times New Roman" w:cs="Times New Roman"/>
          <w:sz w:val="28"/>
        </w:rPr>
        <w:t>ь доминирующей, растет интерес к национальным корням, национальной культуре, традициям и обычаям. Сегодня получает распространение мысль о том, что техника не только включена в культуру, но и приоритетна в современных цивилизациях, что приводит к господств</w:t>
      </w:r>
      <w:r>
        <w:rPr>
          <w:rFonts w:ascii="Times New Roman" w:eastAsia="Times New Roman" w:hAnsi="Times New Roman" w:cs="Times New Roman"/>
          <w:sz w:val="28"/>
        </w:rPr>
        <w:t xml:space="preserve">у технической рациональности и технологической культуры. И требуется, по мнению немецкого и американского философа Герберта Маркузе, предельная напряженность человеческого общества, чтобы оно осознало </w:t>
      </w:r>
      <w:r>
        <w:rPr>
          <w:rFonts w:ascii="Times New Roman" w:eastAsia="Times New Roman" w:hAnsi="Times New Roman" w:cs="Times New Roman"/>
          <w:sz w:val="28"/>
        </w:rPr>
        <w:lastRenderedPageBreak/>
        <w:t>катастрофу господства технических идеалов и сделало нов</w:t>
      </w:r>
      <w:r>
        <w:rPr>
          <w:rFonts w:ascii="Times New Roman" w:eastAsia="Times New Roman" w:hAnsi="Times New Roman" w:cs="Times New Roman"/>
          <w:sz w:val="28"/>
        </w:rPr>
        <w:t>ый выбор приоритетов в системе социокультурных ценностей. Содержание учебника сегодня не берется прямо из науки или конкретной области знания. Оно конструируется на основе знаний данного научного предмета, с учетом реального преподавания данной дисциплины,</w:t>
      </w:r>
      <w:r>
        <w:rPr>
          <w:rFonts w:ascii="Times New Roman" w:eastAsia="Times New Roman" w:hAnsi="Times New Roman" w:cs="Times New Roman"/>
          <w:sz w:val="28"/>
        </w:rPr>
        <w:t xml:space="preserve"> включая ценностные ориентиры автора учебника или автора лекционного материала, где отражается его отношение к жизни и к самому себе. Как в сложившихся условиях преподавать философию, когда человек все больше становится одномерным и прагматичным.  Метафизи</w:t>
      </w:r>
      <w:r>
        <w:rPr>
          <w:rFonts w:ascii="Times New Roman" w:eastAsia="Times New Roman" w:hAnsi="Times New Roman" w:cs="Times New Roman"/>
          <w:sz w:val="28"/>
        </w:rPr>
        <w:t>ческая проблематика мало интересует современную молодежь, она живет в виртуальном мире, мире грез и фантазий. Однако еще в начале 20 века представители неопозитивизма отмечали, что метафизика всегда будет сопровождать и интересовать человечество вне зависи</w:t>
      </w:r>
      <w:r>
        <w:rPr>
          <w:rFonts w:ascii="Times New Roman" w:eastAsia="Times New Roman" w:hAnsi="Times New Roman" w:cs="Times New Roman"/>
          <w:sz w:val="28"/>
        </w:rPr>
        <w:t>мости от времени бытия. Так устроен человеческий мир, все до поры. «Каждый человек способен делать объектом познания самого себя: свое поведение, чувства, ощущения, мысли. В этих случаях понятие субъекта как индивидуума сужается до субъекта как актуального</w:t>
      </w:r>
      <w:r>
        <w:rPr>
          <w:rFonts w:ascii="Times New Roman" w:eastAsia="Times New Roman" w:hAnsi="Times New Roman" w:cs="Times New Roman"/>
          <w:sz w:val="28"/>
        </w:rPr>
        <w:t xml:space="preserve"> мышления, до «чистого «Я» (из него исключается телесность человека, его чувства и т. п.); но и в этих случаях субъект выступает как источник целенаправленной активности» [1].                                                                 </w:t>
      </w:r>
      <w:r>
        <w:rPr>
          <w:rFonts w:ascii="Times New Roman" w:eastAsia="Times New Roman" w:hAnsi="Times New Roman" w:cs="Times New Roman"/>
          <w:b/>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Философия – эт</w:t>
      </w:r>
      <w:r>
        <w:rPr>
          <w:rFonts w:ascii="Times New Roman" w:eastAsia="Times New Roman" w:hAnsi="Times New Roman" w:cs="Times New Roman"/>
          <w:sz w:val="28"/>
        </w:rPr>
        <w:t>о мировоззрение, специфический вид деятельности, особая форма культуры. В мировоззрении сплавлены особенности эмоционального, психологического и интеллектуального отношения человека к миру. Его чувства и разум, сомнения и убеждения, знания и оценки, целост</w:t>
      </w:r>
      <w:r>
        <w:rPr>
          <w:rFonts w:ascii="Times New Roman" w:eastAsia="Times New Roman" w:hAnsi="Times New Roman" w:cs="Times New Roman"/>
          <w:sz w:val="28"/>
        </w:rPr>
        <w:t xml:space="preserve">ное понимание человеком мира и самого себя отражаются в обобщенных взглядах человека. Именно мировоззрение как сложное, интегральное образование по своему содержанию, становится ядром личностного и общественного сознания. Мировоззрение определяет принципы </w:t>
      </w:r>
      <w:r>
        <w:rPr>
          <w:rFonts w:ascii="Times New Roman" w:eastAsia="Times New Roman" w:hAnsi="Times New Roman" w:cs="Times New Roman"/>
          <w:sz w:val="28"/>
        </w:rPr>
        <w:t>деятельности и поведения человека, этические и правовые нормы, формирует идеалы и систему социальных ценностей. Однако не всякое мировоззрение можно назвать философским.</w:t>
      </w:r>
    </w:p>
    <w:p w:rsidR="0052701D" w:rsidRDefault="00D40929">
      <w:pPr>
        <w:spacing w:after="5" w:line="271" w:lineRule="auto"/>
        <w:ind w:left="9" w:right="64"/>
        <w:jc w:val="both"/>
      </w:pPr>
      <w:r>
        <w:rPr>
          <w:rFonts w:ascii="Times New Roman" w:eastAsia="Times New Roman" w:hAnsi="Times New Roman" w:cs="Times New Roman"/>
          <w:sz w:val="28"/>
        </w:rPr>
        <w:t>Каждый, кто знаком с мифами эпохи древности понимает, что человек, довольно длительное</w:t>
      </w:r>
      <w:r>
        <w:rPr>
          <w:rFonts w:ascii="Times New Roman" w:eastAsia="Times New Roman" w:hAnsi="Times New Roman" w:cs="Times New Roman"/>
          <w:sz w:val="28"/>
        </w:rPr>
        <w:t xml:space="preserve"> время жил в особенном мире фантазий и грез. Реальные предметы наделялись антропоморфными свойствами и качествами, доминировал гилозоизм. Представления о мире социального, природного и человеческого всегда играли важную роль в жизни человека этого периода.</w:t>
      </w:r>
      <w:r>
        <w:rPr>
          <w:rFonts w:ascii="Times New Roman" w:eastAsia="Times New Roman" w:hAnsi="Times New Roman" w:cs="Times New Roman"/>
          <w:sz w:val="28"/>
        </w:rPr>
        <w:t xml:space="preserve"> Они были своеобразным выражением и хранителем исторической памяти. В массовом сознании современного мира философия нередко представляется чем-то далеким от реального бытия человека. Философствование в таком понимании – это абстрактное рассуждение, подлинн</w:t>
      </w:r>
      <w:r>
        <w:rPr>
          <w:rFonts w:ascii="Times New Roman" w:eastAsia="Times New Roman" w:hAnsi="Times New Roman" w:cs="Times New Roman"/>
          <w:sz w:val="28"/>
        </w:rPr>
        <w:t>ость которого нельзя ни доказать, ни опровергнуть. Философия как единое цельное мировоззрение есть дело не только отдельного человека, но и всего человечества в целом. Каждый человек в душе философ. Утверждение, с которым не поспоришь. Философская мысль ес</w:t>
      </w:r>
      <w:r>
        <w:rPr>
          <w:rFonts w:ascii="Times New Roman" w:eastAsia="Times New Roman" w:hAnsi="Times New Roman" w:cs="Times New Roman"/>
          <w:sz w:val="28"/>
        </w:rPr>
        <w:t xml:space="preserve">ть </w:t>
      </w:r>
      <w:r>
        <w:rPr>
          <w:rFonts w:ascii="Times New Roman" w:eastAsia="Times New Roman" w:hAnsi="Times New Roman" w:cs="Times New Roman"/>
          <w:sz w:val="28"/>
        </w:rPr>
        <w:lastRenderedPageBreak/>
        <w:t>мысль о вечном, это целая эпоха, схваченная мыслью, альфа и омега научного мировоззрения.</w:t>
      </w:r>
      <w:r>
        <w:rPr>
          <w:rFonts w:ascii="Times New Roman" w:eastAsia="Times New Roman" w:hAnsi="Times New Roman" w:cs="Times New Roman"/>
          <w:b/>
          <w:sz w:val="28"/>
        </w:rPr>
        <w:t xml:space="preserve"> </w:t>
      </w:r>
    </w:p>
    <w:p w:rsidR="0052701D" w:rsidRDefault="00D40929">
      <w:pPr>
        <w:spacing w:after="25" w:line="271" w:lineRule="auto"/>
        <w:ind w:left="9" w:right="64" w:firstLine="711"/>
        <w:jc w:val="both"/>
      </w:pPr>
      <w:r>
        <w:rPr>
          <w:rFonts w:ascii="Times New Roman" w:eastAsia="Times New Roman" w:hAnsi="Times New Roman" w:cs="Times New Roman"/>
          <w:sz w:val="28"/>
        </w:rPr>
        <w:t>Какое место философская наука должна занимать в системе современного технического университета? На мой взгляд, взгляд преподавателя философии, значительный и важн</w:t>
      </w:r>
      <w:r>
        <w:rPr>
          <w:rFonts w:ascii="Times New Roman" w:eastAsia="Times New Roman" w:hAnsi="Times New Roman" w:cs="Times New Roman"/>
          <w:sz w:val="28"/>
        </w:rPr>
        <w:t>ейший. В системе высшего образования Казахстана философия является обязательной дисциплиной и изучается бакалаврами на втором курсе. Она развивается в силу внутренней необходимости и именно это позволяет ей не ограничиваться фиксацией изменений, а служит с</w:t>
      </w:r>
      <w:r>
        <w:rPr>
          <w:rFonts w:ascii="Times New Roman" w:eastAsia="Times New Roman" w:hAnsi="Times New Roman" w:cs="Times New Roman"/>
          <w:sz w:val="28"/>
        </w:rPr>
        <w:t>воего рода компасом, с помощью которого прокладываются пути в будущее. «На основе общих принципов рационального миропонимания философская мысль группирует житейские, практические наблюдения различных явлений, формулирует общие предположения об их природе и</w:t>
      </w:r>
      <w:r>
        <w:rPr>
          <w:rFonts w:ascii="Times New Roman" w:eastAsia="Times New Roman" w:hAnsi="Times New Roman" w:cs="Times New Roman"/>
          <w:sz w:val="28"/>
        </w:rPr>
        <w:t xml:space="preserve"> возможных способах познания. Используя опыт понимания, накопленный в иных областях познания, практики (перенос опыта), она создает философские «эскизы» тех или иных природных или общественных реалий, подготавливая их последующую конкретно - научную прораб</w:t>
      </w:r>
      <w:r>
        <w:rPr>
          <w:rFonts w:ascii="Times New Roman" w:eastAsia="Times New Roman" w:hAnsi="Times New Roman" w:cs="Times New Roman"/>
          <w:sz w:val="28"/>
        </w:rPr>
        <w:t>отку» [2]. Философское осмысление современной реальности и тенденций ее развития является важнейшим фактором для того, чтобы человеческая деятельность могла реализоваться как активная и целенаправленная. Бесспорно, речь идет не о том, чтобы искать в филосо</w:t>
      </w:r>
      <w:r>
        <w:rPr>
          <w:rFonts w:ascii="Times New Roman" w:eastAsia="Times New Roman" w:hAnsi="Times New Roman" w:cs="Times New Roman"/>
          <w:sz w:val="28"/>
        </w:rPr>
        <w:t>фии готовые решения, с помощью которых можно было бы получить уже готовые рецепты. Задача философии лежит несколько в иной плоскости, а именно там, где обеспечивается человеческая подготовленность к разумному и осмысленному действию. Философский анализ поз</w:t>
      </w:r>
      <w:r>
        <w:rPr>
          <w:rFonts w:ascii="Times New Roman" w:eastAsia="Times New Roman" w:hAnsi="Times New Roman" w:cs="Times New Roman"/>
          <w:sz w:val="28"/>
        </w:rPr>
        <w:t>воляет выразить на языке научных понятий и категорий бытие природного, социального и человеческого, сделать предметом осмысления интересы, цели и задачи человеческой личности.  Новые условия существования требуют от современного человека обостренного чувст</w:t>
      </w:r>
      <w:r>
        <w:rPr>
          <w:rFonts w:ascii="Times New Roman" w:eastAsia="Times New Roman" w:hAnsi="Times New Roman" w:cs="Times New Roman"/>
          <w:sz w:val="28"/>
        </w:rPr>
        <w:t>ва ответственности, способности к самостоятельному и быстрому действию в изменяющихся ситуациях.  Формирование научного типа мышления, основу которого составляет абстрактная логика, возможно только в процессе образования. Отсюда вытекает главная цель образ</w:t>
      </w:r>
      <w:r>
        <w:rPr>
          <w:rFonts w:ascii="Times New Roman" w:eastAsia="Times New Roman" w:hAnsi="Times New Roman" w:cs="Times New Roman"/>
          <w:sz w:val="28"/>
        </w:rPr>
        <w:t>ования - выработка методологических принципов, обеспечивающих формирование и развитие рационального, абстрактно-логического мышления. Для того, чтобы человек был способен перейти от профессионально ограниченных операций к активному творчеству, он должен бы</w:t>
      </w:r>
      <w:r>
        <w:rPr>
          <w:rFonts w:ascii="Times New Roman" w:eastAsia="Times New Roman" w:hAnsi="Times New Roman" w:cs="Times New Roman"/>
          <w:sz w:val="28"/>
        </w:rPr>
        <w:t xml:space="preserve">ть включен в социальный процесс как активный субъекта деятельности и его конструктор.                                                               </w:t>
      </w:r>
      <w:r>
        <w:rPr>
          <w:rFonts w:ascii="Times New Roman" w:eastAsia="Times New Roman" w:hAnsi="Times New Roman" w:cs="Times New Roman"/>
          <w:b/>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Философия выполняет важнейшие функции, которые делают ее необходимым предметом технического образования. М</w:t>
      </w:r>
      <w:r>
        <w:rPr>
          <w:rFonts w:ascii="Times New Roman" w:eastAsia="Times New Roman" w:hAnsi="Times New Roman" w:cs="Times New Roman"/>
          <w:sz w:val="28"/>
        </w:rPr>
        <w:t xml:space="preserve">ожно выделить </w:t>
      </w:r>
      <w:r>
        <w:rPr>
          <w:rFonts w:ascii="Times New Roman" w:eastAsia="Times New Roman" w:hAnsi="Times New Roman" w:cs="Times New Roman"/>
          <w:sz w:val="28"/>
        </w:rPr>
        <w:lastRenderedPageBreak/>
        <w:t>важнейшие функции философии, такие как: когнитивная, аксиологическая, мировоззренческая, критическая, воспитательная, методологическая, гуманитарная. Основным предназначением философского знания в культурноисторической жизни человека является</w:t>
      </w:r>
      <w:r>
        <w:rPr>
          <w:rFonts w:ascii="Times New Roman" w:eastAsia="Times New Roman" w:hAnsi="Times New Roman" w:cs="Times New Roman"/>
          <w:sz w:val="28"/>
        </w:rPr>
        <w:t xml:space="preserve"> интеграция всех форм человеческого опыта: гносеологического, ценностного и жизненно практического. «Философия — это не просто мировоззрение. Она есть вместе с тем и наука. Она апеллирует к разуму, к логической доказательности и опытной достоверности своих</w:t>
      </w:r>
      <w:r>
        <w:rPr>
          <w:rFonts w:ascii="Times New Roman" w:eastAsia="Times New Roman" w:hAnsi="Times New Roman" w:cs="Times New Roman"/>
          <w:sz w:val="28"/>
        </w:rPr>
        <w:t xml:space="preserve"> суждений. Философия в этом смысле есть способ легитимации науки, научного знания, рациональности. Без нее образование может быть каким угодно, но оно не будет ни современным, ни высшим» [3,4,5]. Браво! Гениальная фраза. Задача преподавания философии в тех</w:t>
      </w:r>
      <w:r>
        <w:rPr>
          <w:rFonts w:ascii="Times New Roman" w:eastAsia="Times New Roman" w:hAnsi="Times New Roman" w:cs="Times New Roman"/>
          <w:sz w:val="28"/>
        </w:rPr>
        <w:t>ническом университете заключается в выработке у студентов, будущих инженеров, представления о сущности, назначении и смысле жизни человека, о многообразии форм человеческого знания и особенностях его функционирования в современном мире, об отличии научной,</w:t>
      </w:r>
      <w:r>
        <w:rPr>
          <w:rFonts w:ascii="Times New Roman" w:eastAsia="Times New Roman" w:hAnsi="Times New Roman" w:cs="Times New Roman"/>
          <w:sz w:val="28"/>
        </w:rPr>
        <w:t xml:space="preserve"> философской и религиозной картин мира. Популяризация философских дискуссий и размышлений очень важна для воспитания современного молодого поколения казахстанского общества, живущего в виртуальном мире, насыщенном информацией и технологиями. Из истории раз</w:t>
      </w:r>
      <w:r>
        <w:rPr>
          <w:rFonts w:ascii="Times New Roman" w:eastAsia="Times New Roman" w:hAnsi="Times New Roman" w:cs="Times New Roman"/>
          <w:sz w:val="28"/>
        </w:rPr>
        <w:t>вития человеческого общества, известно, что в школах Древней Греции и Рима, Индии и Китая, в Малой Азии, интеллектуальная и   моральная подготовка ученика начиналась с физического труда, размышлений о смысле жизни и даче обета молчания. В древнегреческой ц</w:t>
      </w:r>
      <w:r>
        <w:rPr>
          <w:rFonts w:ascii="Times New Roman" w:eastAsia="Times New Roman" w:hAnsi="Times New Roman" w:cs="Times New Roman"/>
          <w:sz w:val="28"/>
        </w:rPr>
        <w:t xml:space="preserve">ивилизации образование мыслилось как родовой, то есть сущностный, признак человечества, что нашло отражение в понятии «пайдейя». «Пайдейя», в греческой традиции, это всеобщее образование: гармоничное, телесное и духовное формирование человека, реализующее </w:t>
      </w:r>
      <w:r>
        <w:rPr>
          <w:rFonts w:ascii="Times New Roman" w:eastAsia="Times New Roman" w:hAnsi="Times New Roman" w:cs="Times New Roman"/>
          <w:sz w:val="28"/>
        </w:rPr>
        <w:t>все его способности и возможности [6,7]. Утрата пайдейи ведет к душевному вакууму. Понятие «пайдейя» по содержанию близко   понятию античной эстетики «калокагатия», что в переводе с греческого языка означает «прекрасный», «добрый» [8,9,10]. Через калокагат</w:t>
      </w:r>
      <w:r>
        <w:rPr>
          <w:rFonts w:ascii="Times New Roman" w:eastAsia="Times New Roman" w:hAnsi="Times New Roman" w:cs="Times New Roman"/>
          <w:sz w:val="28"/>
        </w:rPr>
        <w:t>ию человек обретал мудрость, мужество, чувство справедливости и другие гражданские, воинские, нравственные и интеллектуальные добродетели и образцы поведения. В философском сознании Платона, Аристотеля, Сократа человек добродетелен, если он всесторонне обр</w:t>
      </w:r>
      <w:r>
        <w:rPr>
          <w:rFonts w:ascii="Times New Roman" w:eastAsia="Times New Roman" w:hAnsi="Times New Roman" w:cs="Times New Roman"/>
          <w:sz w:val="28"/>
        </w:rPr>
        <w:t>азован. Добродетели человек осваивает не для того, чтобы их знать, а для того, чтобы быть добродетельным в реальной жизни. И поскольку нравственное зло идет от незнания, значит, знание- источник нравственного совершенства. Знание доброго-это, по Сократу, у</w:t>
      </w:r>
      <w:r>
        <w:rPr>
          <w:rFonts w:ascii="Times New Roman" w:eastAsia="Times New Roman" w:hAnsi="Times New Roman" w:cs="Times New Roman"/>
          <w:sz w:val="28"/>
        </w:rPr>
        <w:t xml:space="preserve">же и есть следование доброму, а последнее ведет человека к счастью. Идеи гуманизма в образовании, на постиндустриальном этапе развития, предполагают реализацию нескольких условий, а именно: 1) нужен педагог – профессионал с высоким уровнем </w:t>
      </w:r>
      <w:r>
        <w:rPr>
          <w:rFonts w:ascii="Times New Roman" w:eastAsia="Times New Roman" w:hAnsi="Times New Roman" w:cs="Times New Roman"/>
          <w:sz w:val="28"/>
        </w:rPr>
        <w:lastRenderedPageBreak/>
        <w:t>развития нравств</w:t>
      </w:r>
      <w:r>
        <w:rPr>
          <w:rFonts w:ascii="Times New Roman" w:eastAsia="Times New Roman" w:hAnsi="Times New Roman" w:cs="Times New Roman"/>
          <w:sz w:val="28"/>
        </w:rPr>
        <w:t>енных и интеллектуальных качеств и с достаточно высоким чувством эмпатии; 2) необходимы современные технологии обучения, которые бы максимально учитывали интересы и способности  того кто учится профессии;3) актуально применять инновационные методы обучения</w:t>
      </w:r>
      <w:r>
        <w:rPr>
          <w:rFonts w:ascii="Times New Roman" w:eastAsia="Times New Roman" w:hAnsi="Times New Roman" w:cs="Times New Roman"/>
          <w:sz w:val="28"/>
        </w:rPr>
        <w:t xml:space="preserve"> для целостного развития человеческой  личности, которые бы стимулировали ее стремление к самосовершенствованию  и получению знаний. Этой особенности современной высшей школе не хватает.</w:t>
      </w:r>
      <w:r>
        <w:rPr>
          <w:rFonts w:ascii="Times New Roman" w:eastAsia="Times New Roman" w:hAnsi="Times New Roman" w:cs="Times New Roman"/>
          <w:b/>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Формирование личности   специалиста технического профиля, сильнейшим</w:t>
      </w:r>
      <w:r>
        <w:rPr>
          <w:rFonts w:ascii="Times New Roman" w:eastAsia="Times New Roman" w:hAnsi="Times New Roman" w:cs="Times New Roman"/>
          <w:sz w:val="28"/>
        </w:rPr>
        <w:t xml:space="preserve"> образом, зависят от уровня освоения им основы гуманитарных знаний. Этой особенностью обусловлен социально-гуманитарный и культурологический подход к отбору содержания образовательной компоненты для технических учебных заведений нашего государства.  Основн</w:t>
      </w:r>
      <w:r>
        <w:rPr>
          <w:rFonts w:ascii="Times New Roman" w:eastAsia="Times New Roman" w:hAnsi="Times New Roman" w:cs="Times New Roman"/>
          <w:sz w:val="28"/>
        </w:rPr>
        <w:t xml:space="preserve">ым средством реализации социально-гуманитарного и культурологического подхода является гуманизация содержания профессиональной подготовки бакалавров технических специальностей. Такая подготовка предполагает аксиологическое, нравственное, гуманистическое и </w:t>
      </w:r>
      <w:r>
        <w:rPr>
          <w:rFonts w:ascii="Times New Roman" w:eastAsia="Times New Roman" w:hAnsi="Times New Roman" w:cs="Times New Roman"/>
          <w:sz w:val="28"/>
        </w:rPr>
        <w:t>когнитивное насыщение учебных дисциплин социальными проблемами и идеями, в основе которых лежат общечеловеческие ценности.</w:t>
      </w:r>
      <w:r>
        <w:rPr>
          <w:rFonts w:ascii="Times New Roman" w:eastAsia="Times New Roman" w:hAnsi="Times New Roman" w:cs="Times New Roman"/>
          <w:b/>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Изучение философии в учебных заведениях должно предполагать прочтение студентом нескольких первоисточников из произведений мыслителе</w:t>
      </w:r>
      <w:r>
        <w:rPr>
          <w:rFonts w:ascii="Times New Roman" w:eastAsia="Times New Roman" w:hAnsi="Times New Roman" w:cs="Times New Roman"/>
          <w:sz w:val="28"/>
        </w:rPr>
        <w:t xml:space="preserve">й философской науки. Фридрих Энгельс в известной работе «Диалектика природы» писал: «Теоретическое мышление является прирожденным свойством только в виде способности. Эта способность должна быть развита, усовершенствована, а для этого не существует до сих </w:t>
      </w:r>
      <w:r>
        <w:rPr>
          <w:rFonts w:ascii="Times New Roman" w:eastAsia="Times New Roman" w:hAnsi="Times New Roman" w:cs="Times New Roman"/>
          <w:sz w:val="28"/>
        </w:rPr>
        <w:t>пор никакого иного средства, кроме учения предшествующей философии» [11]. Актуальность и необходимость философского знания в современном мире была отмечена в Парижской декларации по вопросам философии в феврале 1995 года. В частности, отмечалось: 1. Рассма</w:t>
      </w:r>
      <w:r>
        <w:rPr>
          <w:rFonts w:ascii="Times New Roman" w:eastAsia="Times New Roman" w:hAnsi="Times New Roman" w:cs="Times New Roman"/>
          <w:sz w:val="28"/>
        </w:rPr>
        <w:t>триваемые проблемы носят универсальный характер для жизни и самого человека. 2.Философский анализ может и должен способствовать взаимопониманию и решению вопросов, касающихся взаимоотношений между людьми. 3. Философский опыт позволяет каждому научиться мыс</w:t>
      </w:r>
      <w:r>
        <w:rPr>
          <w:rFonts w:ascii="Times New Roman" w:eastAsia="Times New Roman" w:hAnsi="Times New Roman" w:cs="Times New Roman"/>
          <w:sz w:val="28"/>
        </w:rPr>
        <w:t xml:space="preserve">лить независимо. 4. Философия готовит каждого человека к тому, чтобы принять на себя ответственность за решение важнейших проблем современного мира. </w:t>
      </w:r>
    </w:p>
    <w:p w:rsidR="0052701D" w:rsidRDefault="00D40929">
      <w:pPr>
        <w:spacing w:after="5" w:line="271" w:lineRule="auto"/>
        <w:ind w:left="9" w:right="64" w:firstLine="711"/>
        <w:jc w:val="both"/>
      </w:pPr>
      <w:r>
        <w:rPr>
          <w:rFonts w:ascii="Times New Roman" w:eastAsia="Times New Roman" w:hAnsi="Times New Roman" w:cs="Times New Roman"/>
          <w:sz w:val="28"/>
        </w:rPr>
        <w:t>В преподавании философии и философских дисциплин заложен огромный когнитивный и творческий потенциал. Фило</w:t>
      </w:r>
      <w:r>
        <w:rPr>
          <w:rFonts w:ascii="Times New Roman" w:eastAsia="Times New Roman" w:hAnsi="Times New Roman" w:cs="Times New Roman"/>
          <w:sz w:val="28"/>
        </w:rPr>
        <w:t xml:space="preserve">софия влияет на формирование структурного ядра научного мировоззрения студентов первого уровня высшего </w:t>
      </w:r>
      <w:r>
        <w:rPr>
          <w:rFonts w:ascii="Times New Roman" w:eastAsia="Times New Roman" w:hAnsi="Times New Roman" w:cs="Times New Roman"/>
          <w:sz w:val="28"/>
        </w:rPr>
        <w:lastRenderedPageBreak/>
        <w:t>образования (бакалавриат) и второго уровня высшего профессионального образования (магистратура). В АУЭС имени Гумарбека Даукеева преподаются такие филосо</w:t>
      </w:r>
      <w:r>
        <w:rPr>
          <w:rFonts w:ascii="Times New Roman" w:eastAsia="Times New Roman" w:hAnsi="Times New Roman" w:cs="Times New Roman"/>
          <w:sz w:val="28"/>
        </w:rPr>
        <w:t>фские дисциплины, как: «Философия», «История и философия науки», «Философские проблемы техники». В рабочие программы этих курсов введена историко-философская проблематика, которая обнаруживает внутреннюю логику и преемственность исторического развития фило</w:t>
      </w:r>
      <w:r>
        <w:rPr>
          <w:rFonts w:ascii="Times New Roman" w:eastAsia="Times New Roman" w:hAnsi="Times New Roman" w:cs="Times New Roman"/>
          <w:sz w:val="28"/>
        </w:rPr>
        <w:t>софских проблем и идей. В лекционный материал по дисциплине ««История и философия науки» в университете «АУЭС имени Гумарбека Даукеева» включены такие темы, как:1. «Мировоззренческие основания науки»;2. «Функции науки»;3. «Наука как профессия. Идеалы и нор</w:t>
      </w:r>
      <w:r>
        <w:rPr>
          <w:rFonts w:ascii="Times New Roman" w:eastAsia="Times New Roman" w:hAnsi="Times New Roman" w:cs="Times New Roman"/>
          <w:sz w:val="28"/>
        </w:rPr>
        <w:t>мы науки»;4. «Философские основания науки и научная картина мира»;5. «Философские проблемы развития современной глобальной цивилизации»;6. «Структура и уровни научного познания» и т. д. История и философия науки является предметом активной дискуссии на пра</w:t>
      </w:r>
      <w:r>
        <w:rPr>
          <w:rFonts w:ascii="Times New Roman" w:eastAsia="Times New Roman" w:hAnsi="Times New Roman" w:cs="Times New Roman"/>
          <w:sz w:val="28"/>
        </w:rPr>
        <w:t>ктических занятиях, где обсуждаются такие вопросы: наука в культуре и цивилизации, возникновение науки, основные этапы исторической динамики науки, особенности современного этапа науки, развитие науки как смены парадигм в творчестве Томаса Куна[12], концеп</w:t>
      </w:r>
      <w:r>
        <w:rPr>
          <w:rFonts w:ascii="Times New Roman" w:eastAsia="Times New Roman" w:hAnsi="Times New Roman" w:cs="Times New Roman"/>
          <w:sz w:val="28"/>
        </w:rPr>
        <w:t>ция научноисследовательских программ Имре Лакатоса[13], изменение образа науки в философии позитивизма[14,15]. Целью дисциплины «История и философия науки является выработка научного стиля мышления на основе изучения истории и философии науки. Фактически р</w:t>
      </w:r>
      <w:r>
        <w:rPr>
          <w:rFonts w:ascii="Times New Roman" w:eastAsia="Times New Roman" w:hAnsi="Times New Roman" w:cs="Times New Roman"/>
          <w:sz w:val="28"/>
        </w:rPr>
        <w:t>ечь идет о формировании и развитии научно-философского мировоззрения с доминированием познавательного компонента. Основу познавательного компонента составляют обобщенные знания: профессиональные, научные, обыденные. Эти знания формируют конкретно-научную и</w:t>
      </w:r>
      <w:r>
        <w:rPr>
          <w:rFonts w:ascii="Times New Roman" w:eastAsia="Times New Roman" w:hAnsi="Times New Roman" w:cs="Times New Roman"/>
          <w:sz w:val="28"/>
        </w:rPr>
        <w:t xml:space="preserve"> универсальную картины мира, стили мышления научного сообщества, человечества, эпохи. Дисциплина «Философские проблемы техники» является предметом изучения соискателями доктор PhD по специальности. Объектом изучения этой дисциплины является техника, технич</w:t>
      </w:r>
      <w:r>
        <w:rPr>
          <w:rFonts w:ascii="Times New Roman" w:eastAsia="Times New Roman" w:hAnsi="Times New Roman" w:cs="Times New Roman"/>
          <w:sz w:val="28"/>
        </w:rPr>
        <w:t xml:space="preserve">еская деятельность и техническое знание как феномен культуры. Техника в ХХ веке стала объектом изучения разных дисциплин: технических, естественных, социальных. Однако все эти дисциплины концентрируют свое внимание или на отдельных видах технического, или </w:t>
      </w:r>
      <w:r>
        <w:rPr>
          <w:rFonts w:ascii="Times New Roman" w:eastAsia="Times New Roman" w:hAnsi="Times New Roman" w:cs="Times New Roman"/>
          <w:sz w:val="28"/>
        </w:rPr>
        <w:t>на отдельных срезах техники. Философия техники исследует феномен техники в целом и не только логику развития технического, но фиксирует еще место и роль техники в жизни социума. Основная часть курса представлена такими темами как: 1.Предметная область курс</w:t>
      </w:r>
      <w:r>
        <w:rPr>
          <w:rFonts w:ascii="Times New Roman" w:eastAsia="Times New Roman" w:hAnsi="Times New Roman" w:cs="Times New Roman"/>
          <w:sz w:val="28"/>
        </w:rPr>
        <w:t>а «Философские проблемы техники»;2. Методология технических наук; 3. Основные этапы становления и развития техники в истории человеческого общества; 4. История техники в ее связи с историей философии; 5. Основные концепции философии техники; 6.Инженерная д</w:t>
      </w:r>
      <w:r>
        <w:rPr>
          <w:rFonts w:ascii="Times New Roman" w:eastAsia="Times New Roman" w:hAnsi="Times New Roman" w:cs="Times New Roman"/>
          <w:sz w:val="28"/>
        </w:rPr>
        <w:t xml:space="preserve">еятельность и техническое творчество;7.Человек в системе развития техники. В тексте этой </w:t>
      </w:r>
      <w:r>
        <w:rPr>
          <w:rFonts w:ascii="Times New Roman" w:eastAsia="Times New Roman" w:hAnsi="Times New Roman" w:cs="Times New Roman"/>
          <w:sz w:val="28"/>
        </w:rPr>
        <w:lastRenderedPageBreak/>
        <w:t xml:space="preserve">статьи перечислены важнейшие проблемы дисциплины «Философские проблемы техники», которые нацелены не только на формирование научного мировоззрения, но и на дальнейшее </w:t>
      </w:r>
      <w:r>
        <w:rPr>
          <w:rFonts w:ascii="Times New Roman" w:eastAsia="Times New Roman" w:hAnsi="Times New Roman" w:cs="Times New Roman"/>
          <w:sz w:val="28"/>
        </w:rPr>
        <w:t>его развитие.     Известно, что без прошлого нет будущего. В настоящее время растет интерес к историческому наследию казахского народа.  Бесценное научное и культурное наследие тюркских народов, к изучению которого только приступают в высших учебных заведе</w:t>
      </w:r>
      <w:r>
        <w:rPr>
          <w:rFonts w:ascii="Times New Roman" w:eastAsia="Times New Roman" w:hAnsi="Times New Roman" w:cs="Times New Roman"/>
          <w:sz w:val="28"/>
        </w:rPr>
        <w:t>ниях Казахстана, создавались на арабском, персидском, русском и других языках. Богатые исторические традиции науки и философии, которую на востоке называли фальсафа, зачатки научного осмысления природных явлений и особенности устройства древних обществ зал</w:t>
      </w:r>
      <w:r>
        <w:rPr>
          <w:rFonts w:ascii="Times New Roman" w:eastAsia="Times New Roman" w:hAnsi="Times New Roman" w:cs="Times New Roman"/>
          <w:sz w:val="28"/>
        </w:rPr>
        <w:t xml:space="preserve">ожены уже в древнейшем письменном памятнике народов Средней Азии - Авесте. Важнейшей особенностью казахской культуры является специфическая форма ее ценностных проявлений. Ценности, связанные с морально-этическим поведением, обычаями и традициями отражают </w:t>
      </w:r>
      <w:r>
        <w:rPr>
          <w:rFonts w:ascii="Times New Roman" w:eastAsia="Times New Roman" w:hAnsi="Times New Roman" w:cs="Times New Roman"/>
          <w:sz w:val="28"/>
        </w:rPr>
        <w:t>специфические особенности общества, в рамках которого духовное начало имеет важнейшее значение в жизни человека.  Если иметь в виду, что казахское общество почти до 20 века характеризовалось типом личностных связей и отношений, то духовность является средс</w:t>
      </w:r>
      <w:r>
        <w:rPr>
          <w:rFonts w:ascii="Times New Roman" w:eastAsia="Times New Roman" w:hAnsi="Times New Roman" w:cs="Times New Roman"/>
          <w:sz w:val="28"/>
        </w:rPr>
        <w:t>твом самовыражения народа, а живое общение, это его форма.</w:t>
      </w:r>
    </w:p>
    <w:p w:rsidR="0052701D" w:rsidRDefault="00D40929">
      <w:pPr>
        <w:spacing w:after="5" w:line="271" w:lineRule="auto"/>
        <w:ind w:left="-5" w:right="1" w:hanging="10"/>
      </w:pPr>
      <w:r>
        <w:rPr>
          <w:rFonts w:ascii="Times New Roman" w:eastAsia="Times New Roman" w:hAnsi="Times New Roman" w:cs="Times New Roman"/>
          <w:sz w:val="28"/>
        </w:rPr>
        <w:t xml:space="preserve">Диалектика содержания и формы, в этом случае, получила свое наглядное подтверждение. </w:t>
      </w:r>
      <w:r>
        <w:rPr>
          <w:rFonts w:ascii="Times New Roman" w:eastAsia="Times New Roman" w:hAnsi="Times New Roman" w:cs="Times New Roman"/>
          <w:sz w:val="28"/>
        </w:rPr>
        <w:tab/>
        <w:t xml:space="preserve">Зарубежный </w:t>
      </w:r>
      <w:r>
        <w:rPr>
          <w:rFonts w:ascii="Times New Roman" w:eastAsia="Times New Roman" w:hAnsi="Times New Roman" w:cs="Times New Roman"/>
          <w:sz w:val="28"/>
        </w:rPr>
        <w:tab/>
        <w:t xml:space="preserve">и </w:t>
      </w:r>
      <w:r>
        <w:rPr>
          <w:rFonts w:ascii="Times New Roman" w:eastAsia="Times New Roman" w:hAnsi="Times New Roman" w:cs="Times New Roman"/>
          <w:sz w:val="28"/>
        </w:rPr>
        <w:tab/>
        <w:t xml:space="preserve">казахстанский </w:t>
      </w:r>
      <w:r>
        <w:rPr>
          <w:rFonts w:ascii="Times New Roman" w:eastAsia="Times New Roman" w:hAnsi="Times New Roman" w:cs="Times New Roman"/>
          <w:sz w:val="28"/>
        </w:rPr>
        <w:tab/>
        <w:t xml:space="preserve">образовательный </w:t>
      </w:r>
      <w:r>
        <w:rPr>
          <w:rFonts w:ascii="Times New Roman" w:eastAsia="Times New Roman" w:hAnsi="Times New Roman" w:cs="Times New Roman"/>
          <w:sz w:val="28"/>
        </w:rPr>
        <w:tab/>
        <w:t>опыт показывает, что актуализация творческого подхода, раскрываю</w:t>
      </w:r>
      <w:r>
        <w:rPr>
          <w:rFonts w:ascii="Times New Roman" w:eastAsia="Times New Roman" w:hAnsi="Times New Roman" w:cs="Times New Roman"/>
          <w:sz w:val="28"/>
        </w:rPr>
        <w:t xml:space="preserve">щего личностные качества студента возможен только тогда, когда происходит усиление мировоззренческих, ценностных, коммуникативных компонентов учебного процесса. За счет включения в него разнообразных элементов самостоятельной работы, </w:t>
      </w:r>
      <w:r>
        <w:rPr>
          <w:rFonts w:ascii="Times New Roman" w:eastAsia="Times New Roman" w:hAnsi="Times New Roman" w:cs="Times New Roman"/>
          <w:sz w:val="28"/>
        </w:rPr>
        <w:tab/>
        <w:t xml:space="preserve">презентаций, </w:t>
      </w:r>
      <w:r>
        <w:rPr>
          <w:rFonts w:ascii="Times New Roman" w:eastAsia="Times New Roman" w:hAnsi="Times New Roman" w:cs="Times New Roman"/>
          <w:sz w:val="28"/>
        </w:rPr>
        <w:tab/>
        <w:t xml:space="preserve">игр </w:t>
      </w:r>
      <w:r>
        <w:rPr>
          <w:rFonts w:ascii="Times New Roman" w:eastAsia="Times New Roman" w:hAnsi="Times New Roman" w:cs="Times New Roman"/>
          <w:sz w:val="28"/>
        </w:rPr>
        <w:tab/>
        <w:t>им</w:t>
      </w:r>
      <w:r>
        <w:rPr>
          <w:rFonts w:ascii="Times New Roman" w:eastAsia="Times New Roman" w:hAnsi="Times New Roman" w:cs="Times New Roman"/>
          <w:sz w:val="28"/>
        </w:rPr>
        <w:t xml:space="preserve">итационного </w:t>
      </w:r>
      <w:r>
        <w:rPr>
          <w:rFonts w:ascii="Times New Roman" w:eastAsia="Times New Roman" w:hAnsi="Times New Roman" w:cs="Times New Roman"/>
          <w:sz w:val="28"/>
        </w:rPr>
        <w:tab/>
        <w:t xml:space="preserve">моделирования, </w:t>
      </w:r>
      <w:r>
        <w:rPr>
          <w:rFonts w:ascii="Times New Roman" w:eastAsia="Times New Roman" w:hAnsi="Times New Roman" w:cs="Times New Roman"/>
          <w:sz w:val="28"/>
        </w:rPr>
        <w:tab/>
        <w:t>развития компьютерного творчества происходит усиление эмоционально - волевого и когнитивного компонента в структуре сознания обучающегося, что очень важно для мотивации в процессе получения знаний. В рамках образовательного ком</w:t>
      </w:r>
      <w:r>
        <w:rPr>
          <w:rFonts w:ascii="Times New Roman" w:eastAsia="Times New Roman" w:hAnsi="Times New Roman" w:cs="Times New Roman"/>
          <w:sz w:val="28"/>
        </w:rPr>
        <w:t>понента реализация данного подхода может осуществляться в рамках таких дисциплин как: философия, социология, право, политология, история, психология. Не секрет, что система образования в Казахстане ориентируется на западноевропейские и американские стандар</w:t>
      </w:r>
      <w:r>
        <w:rPr>
          <w:rFonts w:ascii="Times New Roman" w:eastAsia="Times New Roman" w:hAnsi="Times New Roman" w:cs="Times New Roman"/>
          <w:sz w:val="28"/>
        </w:rPr>
        <w:t>ты.        Хочется привести, в качестве примера, интересный факт, студенты ведущих американских университетов часто выбирают основы гуманитарных наук. В крупных американских технологических центрах, таких как Силиконовая долина, Сиэтл, Бостон, Остин, разра</w:t>
      </w:r>
      <w:r>
        <w:rPr>
          <w:rFonts w:ascii="Times New Roman" w:eastAsia="Times New Roman" w:hAnsi="Times New Roman" w:cs="Times New Roman"/>
          <w:sz w:val="28"/>
        </w:rPr>
        <w:t xml:space="preserve">ботчики программного обеспечения обнаружили, что мышление в области гуманитарного знания делает их более </w:t>
      </w:r>
      <w:r>
        <w:rPr>
          <w:rFonts w:ascii="Times New Roman" w:eastAsia="Times New Roman" w:hAnsi="Times New Roman" w:cs="Times New Roman"/>
          <w:sz w:val="28"/>
        </w:rPr>
        <w:lastRenderedPageBreak/>
        <w:t>гибкими и творческими. Многие талантливые и успешные представители технический сферы получали гуманитарное образование, которое снабжало их оригинальны</w:t>
      </w:r>
      <w:r>
        <w:rPr>
          <w:rFonts w:ascii="Times New Roman" w:eastAsia="Times New Roman" w:hAnsi="Times New Roman" w:cs="Times New Roman"/>
          <w:sz w:val="28"/>
        </w:rPr>
        <w:t xml:space="preserve">ми идеями, формировало и развивало их творческие возможности, наделяло необходимыми навыками коммуникации, которые очень важны для командной работы. </w:t>
      </w:r>
    </w:p>
    <w:p w:rsidR="0052701D" w:rsidRDefault="00D40929">
      <w:pPr>
        <w:spacing w:after="5" w:line="271" w:lineRule="auto"/>
        <w:ind w:left="9" w:right="64" w:firstLine="711"/>
        <w:jc w:val="both"/>
      </w:pPr>
      <w:r>
        <w:rPr>
          <w:rFonts w:ascii="Times New Roman" w:eastAsia="Times New Roman" w:hAnsi="Times New Roman" w:cs="Times New Roman"/>
          <w:sz w:val="28"/>
        </w:rPr>
        <w:t>Вывод. Для того, чтобы уяснить сущность философского мировоззрения, его роль в познании окружающего мира и</w:t>
      </w:r>
      <w:r>
        <w:rPr>
          <w:rFonts w:ascii="Times New Roman" w:eastAsia="Times New Roman" w:hAnsi="Times New Roman" w:cs="Times New Roman"/>
          <w:sz w:val="28"/>
        </w:rPr>
        <w:t xml:space="preserve"> практической деятельности человека, необходимо выяснить вопрос о том, в чем состоит потребность социума в философском знании и какова его специфика? Объективное положение человека в системе бесконечного мира таково, что он реально поставлен в отношение к </w:t>
      </w:r>
      <w:r>
        <w:rPr>
          <w:rFonts w:ascii="Times New Roman" w:eastAsia="Times New Roman" w:hAnsi="Times New Roman" w:cs="Times New Roman"/>
          <w:sz w:val="28"/>
        </w:rPr>
        <w:t>миру, а не к отдельным его фрагментам части и целого, элементам и свойствам. Необходимо уяснить, что имеет место совпадение предмета философии и мировоззрения, что является вполне закономерным фактом. Философия как особый способ духовного освоения объектив</w:t>
      </w:r>
      <w:r>
        <w:rPr>
          <w:rFonts w:ascii="Times New Roman" w:eastAsia="Times New Roman" w:hAnsi="Times New Roman" w:cs="Times New Roman"/>
          <w:sz w:val="28"/>
        </w:rPr>
        <w:t>ной реальности, есть теоретически сформулированное мировоззрение и исторически первая форма теоретического знания. Она дает теоретическое обобщение различным видам деятельности человека в сферах природного, социального и технического. Результатом этого обо</w:t>
      </w:r>
      <w:r>
        <w:rPr>
          <w:rFonts w:ascii="Times New Roman" w:eastAsia="Times New Roman" w:hAnsi="Times New Roman" w:cs="Times New Roman"/>
          <w:sz w:val="28"/>
        </w:rPr>
        <w:t xml:space="preserve">бщения является качественно новое, универсальное, философское знание о формах всеобщего.   </w:t>
      </w:r>
    </w:p>
    <w:p w:rsidR="0052701D" w:rsidRDefault="00D40929">
      <w:pPr>
        <w:spacing w:after="71"/>
        <w:ind w:left="711"/>
      </w:pPr>
      <w:r>
        <w:rPr>
          <w:rFonts w:ascii="Times New Roman" w:eastAsia="Times New Roman" w:hAnsi="Times New Roman" w:cs="Times New Roman"/>
          <w:b/>
          <w:sz w:val="28"/>
        </w:rPr>
        <w:t xml:space="preserve"> </w:t>
      </w:r>
    </w:p>
    <w:p w:rsidR="0052701D" w:rsidRDefault="00D40929">
      <w:pPr>
        <w:spacing w:after="16" w:line="248" w:lineRule="auto"/>
        <w:ind w:left="819" w:right="169" w:hanging="10"/>
        <w:jc w:val="center"/>
      </w:pPr>
      <w:r>
        <w:rPr>
          <w:rFonts w:ascii="Times New Roman" w:eastAsia="Times New Roman" w:hAnsi="Times New Roman" w:cs="Times New Roman"/>
          <w:b/>
          <w:sz w:val="24"/>
        </w:rPr>
        <w:t xml:space="preserve">ИСТОЧНИКИ </w:t>
      </w:r>
    </w:p>
    <w:p w:rsidR="0052701D" w:rsidRDefault="00D40929">
      <w:pPr>
        <w:numPr>
          <w:ilvl w:val="0"/>
          <w:numId w:val="83"/>
        </w:numPr>
        <w:spacing w:after="29" w:line="248" w:lineRule="auto"/>
        <w:ind w:right="14" w:firstLine="567"/>
        <w:jc w:val="both"/>
      </w:pPr>
      <w:r>
        <w:rPr>
          <w:rFonts w:ascii="Times New Roman" w:eastAsia="Times New Roman" w:hAnsi="Times New Roman" w:cs="Times New Roman"/>
          <w:sz w:val="24"/>
        </w:rPr>
        <w:t>Алексеев, П.В. Теория познания и диалектика. М.: Высшая школа -М.1998., С.85.</w:t>
      </w:r>
      <w:r>
        <w:rPr>
          <w:rFonts w:ascii="Times New Roman" w:eastAsia="Times New Roman" w:hAnsi="Times New Roman" w:cs="Times New Roman"/>
          <w:b/>
          <w:sz w:val="24"/>
        </w:rPr>
        <w:t xml:space="preserve"> </w:t>
      </w:r>
    </w:p>
    <w:p w:rsidR="0052701D" w:rsidRDefault="00D40929">
      <w:pPr>
        <w:numPr>
          <w:ilvl w:val="0"/>
          <w:numId w:val="83"/>
        </w:numPr>
        <w:spacing w:after="29" w:line="248" w:lineRule="auto"/>
        <w:ind w:right="14" w:firstLine="567"/>
        <w:jc w:val="both"/>
      </w:pPr>
      <w:r>
        <w:rPr>
          <w:rFonts w:ascii="Times New Roman" w:eastAsia="Times New Roman" w:hAnsi="Times New Roman" w:cs="Times New Roman"/>
          <w:sz w:val="24"/>
        </w:rPr>
        <w:t>Фролов, И.Т. Введение в философию. М.: Политиздат- М.,1989-367с.</w:t>
      </w:r>
      <w:r>
        <w:rPr>
          <w:rFonts w:ascii="Times New Roman" w:eastAsia="Times New Roman" w:hAnsi="Times New Roman" w:cs="Times New Roman"/>
          <w:sz w:val="24"/>
        </w:rPr>
        <w:t xml:space="preserve">                                          </w:t>
      </w:r>
    </w:p>
    <w:p w:rsidR="0052701D" w:rsidRDefault="00D40929">
      <w:pPr>
        <w:numPr>
          <w:ilvl w:val="0"/>
          <w:numId w:val="83"/>
        </w:numPr>
        <w:spacing w:after="29" w:line="248" w:lineRule="auto"/>
        <w:ind w:right="14" w:firstLine="567"/>
        <w:jc w:val="both"/>
      </w:pPr>
      <w:r>
        <w:rPr>
          <w:rFonts w:ascii="Times New Roman" w:eastAsia="Times New Roman" w:hAnsi="Times New Roman" w:cs="Times New Roman"/>
          <w:sz w:val="24"/>
        </w:rPr>
        <w:t xml:space="preserve">Гусейнов А. А. О месте философии в системе высшего образования. «Вестник </w:t>
      </w:r>
    </w:p>
    <w:p w:rsidR="0052701D" w:rsidRDefault="00D40929">
      <w:pPr>
        <w:spacing w:after="29" w:line="248" w:lineRule="auto"/>
        <w:ind w:left="9" w:right="14"/>
        <w:jc w:val="both"/>
      </w:pPr>
      <w:r>
        <w:rPr>
          <w:rFonts w:ascii="Times New Roman" w:eastAsia="Times New Roman" w:hAnsi="Times New Roman" w:cs="Times New Roman"/>
          <w:sz w:val="24"/>
        </w:rPr>
        <w:t>Российского философского общества». - 2000.-№ 2</w:t>
      </w:r>
      <w:r>
        <w:rPr>
          <w:rFonts w:ascii="Times New Roman" w:eastAsia="Times New Roman" w:hAnsi="Times New Roman" w:cs="Times New Roman"/>
          <w:b/>
          <w:sz w:val="24"/>
        </w:rPr>
        <w:t xml:space="preserve"> </w:t>
      </w:r>
    </w:p>
    <w:p w:rsidR="0052701D" w:rsidRDefault="00D40929">
      <w:pPr>
        <w:numPr>
          <w:ilvl w:val="0"/>
          <w:numId w:val="83"/>
        </w:numPr>
        <w:spacing w:after="29" w:line="248" w:lineRule="auto"/>
        <w:ind w:right="14" w:firstLine="567"/>
        <w:jc w:val="both"/>
      </w:pPr>
      <w:r>
        <w:rPr>
          <w:rFonts w:ascii="Times New Roman" w:eastAsia="Times New Roman" w:hAnsi="Times New Roman" w:cs="Times New Roman"/>
          <w:sz w:val="24"/>
        </w:rPr>
        <w:t xml:space="preserve">Запесоцкий </w:t>
      </w:r>
      <w:r>
        <w:rPr>
          <w:rFonts w:ascii="Times New Roman" w:eastAsia="Times New Roman" w:hAnsi="Times New Roman" w:cs="Times New Roman"/>
          <w:sz w:val="24"/>
        </w:rPr>
        <w:tab/>
        <w:t xml:space="preserve">А.С. </w:t>
      </w:r>
      <w:r>
        <w:rPr>
          <w:rFonts w:ascii="Times New Roman" w:eastAsia="Times New Roman" w:hAnsi="Times New Roman" w:cs="Times New Roman"/>
          <w:sz w:val="24"/>
        </w:rPr>
        <w:tab/>
        <w:t xml:space="preserve">Образование: </w:t>
      </w:r>
      <w:r>
        <w:rPr>
          <w:rFonts w:ascii="Times New Roman" w:eastAsia="Times New Roman" w:hAnsi="Times New Roman" w:cs="Times New Roman"/>
          <w:sz w:val="24"/>
        </w:rPr>
        <w:tab/>
        <w:t xml:space="preserve">философия, </w:t>
      </w:r>
      <w:r>
        <w:rPr>
          <w:rFonts w:ascii="Times New Roman" w:eastAsia="Times New Roman" w:hAnsi="Times New Roman" w:cs="Times New Roman"/>
          <w:sz w:val="24"/>
        </w:rPr>
        <w:tab/>
        <w:t xml:space="preserve">культурология, </w:t>
      </w:r>
      <w:r>
        <w:rPr>
          <w:rFonts w:ascii="Times New Roman" w:eastAsia="Times New Roman" w:hAnsi="Times New Roman" w:cs="Times New Roman"/>
          <w:sz w:val="24"/>
        </w:rPr>
        <w:tab/>
        <w:t xml:space="preserve">политика.-М.: </w:t>
      </w:r>
    </w:p>
    <w:p w:rsidR="0052701D" w:rsidRDefault="00D40929">
      <w:pPr>
        <w:spacing w:after="29" w:line="248" w:lineRule="auto"/>
        <w:ind w:left="9" w:right="14"/>
        <w:jc w:val="both"/>
      </w:pPr>
      <w:r>
        <w:rPr>
          <w:rFonts w:ascii="Times New Roman" w:eastAsia="Times New Roman" w:hAnsi="Times New Roman" w:cs="Times New Roman"/>
          <w:sz w:val="24"/>
        </w:rPr>
        <w:t>Наука,2002.-</w:t>
      </w:r>
      <w:r>
        <w:rPr>
          <w:rFonts w:ascii="Times New Roman" w:eastAsia="Times New Roman" w:hAnsi="Times New Roman" w:cs="Times New Roman"/>
          <w:sz w:val="24"/>
        </w:rPr>
        <w:t>С.37.</w:t>
      </w:r>
      <w:r>
        <w:rPr>
          <w:rFonts w:ascii="Times New Roman" w:eastAsia="Times New Roman" w:hAnsi="Times New Roman" w:cs="Times New Roman"/>
          <w:b/>
          <w:sz w:val="24"/>
        </w:rPr>
        <w:t xml:space="preserve"> </w:t>
      </w:r>
    </w:p>
    <w:p w:rsidR="0052701D" w:rsidRDefault="00D40929">
      <w:pPr>
        <w:numPr>
          <w:ilvl w:val="0"/>
          <w:numId w:val="83"/>
        </w:numPr>
        <w:spacing w:after="29" w:line="248" w:lineRule="auto"/>
        <w:ind w:right="14" w:firstLine="567"/>
        <w:jc w:val="both"/>
      </w:pPr>
      <w:r>
        <w:rPr>
          <w:rFonts w:ascii="Times New Roman" w:eastAsia="Times New Roman" w:hAnsi="Times New Roman" w:cs="Times New Roman"/>
          <w:sz w:val="24"/>
        </w:rPr>
        <w:t>Гусейнов А. А. О назначении философии. М.2005.</w:t>
      </w:r>
      <w:r>
        <w:rPr>
          <w:rFonts w:ascii="Times New Roman" w:eastAsia="Times New Roman" w:hAnsi="Times New Roman" w:cs="Times New Roman"/>
          <w:b/>
          <w:sz w:val="24"/>
        </w:rPr>
        <w:t xml:space="preserve"> </w:t>
      </w:r>
    </w:p>
    <w:p w:rsidR="0052701D" w:rsidRDefault="00D40929">
      <w:pPr>
        <w:numPr>
          <w:ilvl w:val="0"/>
          <w:numId w:val="83"/>
        </w:numPr>
        <w:spacing w:after="29" w:line="248" w:lineRule="auto"/>
        <w:ind w:right="14" w:firstLine="567"/>
        <w:jc w:val="both"/>
      </w:pPr>
      <w:r>
        <w:rPr>
          <w:rFonts w:ascii="Times New Roman" w:eastAsia="Times New Roman" w:hAnsi="Times New Roman" w:cs="Times New Roman"/>
          <w:sz w:val="24"/>
        </w:rPr>
        <w:t xml:space="preserve">Словарь античной эстетики М.,1992, Кукина Е. А. «Пайдейя»: Сущность и значение в историческом и современном понимании. Гуманитарные и социальные науки 2009 № 5, С., </w:t>
      </w:r>
    </w:p>
    <w:p w:rsidR="0052701D" w:rsidRDefault="00D40929">
      <w:pPr>
        <w:spacing w:after="29" w:line="248" w:lineRule="auto"/>
        <w:ind w:left="9" w:right="14"/>
        <w:jc w:val="both"/>
      </w:pPr>
      <w:r>
        <w:rPr>
          <w:rFonts w:ascii="Times New Roman" w:eastAsia="Times New Roman" w:hAnsi="Times New Roman" w:cs="Times New Roman"/>
          <w:sz w:val="24"/>
        </w:rPr>
        <w:t xml:space="preserve">33 -40. </w:t>
      </w:r>
      <w:r>
        <w:rPr>
          <w:rFonts w:ascii="Times New Roman" w:eastAsia="Times New Roman" w:hAnsi="Times New Roman" w:cs="Times New Roman"/>
          <w:b/>
          <w:sz w:val="24"/>
        </w:rPr>
        <w:t xml:space="preserve"> </w:t>
      </w:r>
    </w:p>
    <w:p w:rsidR="0052701D" w:rsidRDefault="00D40929">
      <w:pPr>
        <w:numPr>
          <w:ilvl w:val="0"/>
          <w:numId w:val="84"/>
        </w:numPr>
        <w:spacing w:after="29" w:line="248" w:lineRule="auto"/>
        <w:ind w:right="14" w:firstLine="567"/>
        <w:jc w:val="both"/>
      </w:pPr>
      <w:r>
        <w:rPr>
          <w:rFonts w:ascii="Times New Roman" w:eastAsia="Times New Roman" w:hAnsi="Times New Roman" w:cs="Times New Roman"/>
          <w:sz w:val="24"/>
        </w:rPr>
        <w:t>Аристотель. Этика. Полити</w:t>
      </w:r>
      <w:r>
        <w:rPr>
          <w:rFonts w:ascii="Times New Roman" w:eastAsia="Times New Roman" w:hAnsi="Times New Roman" w:cs="Times New Roman"/>
          <w:sz w:val="24"/>
        </w:rPr>
        <w:t xml:space="preserve">ка. Риторика. Поэтика. Категории. Минск.: ИСТОЧНИКИ, </w:t>
      </w:r>
    </w:p>
    <w:p w:rsidR="0052701D" w:rsidRDefault="00D40929">
      <w:pPr>
        <w:spacing w:after="29" w:line="248" w:lineRule="auto"/>
        <w:ind w:left="9" w:right="14"/>
        <w:jc w:val="both"/>
      </w:pPr>
      <w:r>
        <w:rPr>
          <w:rFonts w:ascii="Times New Roman" w:eastAsia="Times New Roman" w:hAnsi="Times New Roman" w:cs="Times New Roman"/>
          <w:sz w:val="24"/>
        </w:rPr>
        <w:t xml:space="preserve">1998.-1391с.                                  </w:t>
      </w:r>
      <w:r>
        <w:rPr>
          <w:rFonts w:ascii="Times New Roman" w:eastAsia="Times New Roman" w:hAnsi="Times New Roman" w:cs="Times New Roman"/>
          <w:b/>
          <w:sz w:val="24"/>
        </w:rPr>
        <w:t xml:space="preserve"> </w:t>
      </w:r>
    </w:p>
    <w:p w:rsidR="0052701D" w:rsidRDefault="00D40929">
      <w:pPr>
        <w:numPr>
          <w:ilvl w:val="0"/>
          <w:numId w:val="84"/>
        </w:numPr>
        <w:spacing w:after="29" w:line="248" w:lineRule="auto"/>
        <w:ind w:right="14" w:firstLine="567"/>
        <w:jc w:val="both"/>
      </w:pPr>
      <w:r>
        <w:rPr>
          <w:rFonts w:ascii="Times New Roman" w:eastAsia="Times New Roman" w:hAnsi="Times New Roman" w:cs="Times New Roman"/>
          <w:sz w:val="24"/>
        </w:rPr>
        <w:t>Лосев А. Ф., Шестаков ВП. История эстетических категорий. М., 1965.</w:t>
      </w:r>
      <w:r>
        <w:rPr>
          <w:rFonts w:ascii="Times New Roman" w:eastAsia="Times New Roman" w:hAnsi="Times New Roman" w:cs="Times New Roman"/>
          <w:b/>
          <w:sz w:val="24"/>
        </w:rPr>
        <w:t xml:space="preserve"> </w:t>
      </w:r>
    </w:p>
    <w:p w:rsidR="0052701D" w:rsidRDefault="00D40929">
      <w:pPr>
        <w:numPr>
          <w:ilvl w:val="0"/>
          <w:numId w:val="84"/>
        </w:numPr>
        <w:spacing w:after="29" w:line="248" w:lineRule="auto"/>
        <w:ind w:right="14" w:firstLine="567"/>
        <w:jc w:val="both"/>
      </w:pPr>
      <w:r>
        <w:rPr>
          <w:rFonts w:ascii="Times New Roman" w:eastAsia="Times New Roman" w:hAnsi="Times New Roman" w:cs="Times New Roman"/>
          <w:sz w:val="24"/>
        </w:rPr>
        <w:t>Платон. Диалоги. М., 1986, С.,430.</w:t>
      </w:r>
      <w:r>
        <w:rPr>
          <w:rFonts w:ascii="Times New Roman" w:eastAsia="Times New Roman" w:hAnsi="Times New Roman" w:cs="Times New Roman"/>
          <w:b/>
          <w:sz w:val="24"/>
        </w:rPr>
        <w:t xml:space="preserve"> </w:t>
      </w:r>
    </w:p>
    <w:p w:rsidR="0052701D" w:rsidRDefault="00D40929">
      <w:pPr>
        <w:numPr>
          <w:ilvl w:val="0"/>
          <w:numId w:val="84"/>
        </w:numPr>
        <w:spacing w:after="29" w:line="248" w:lineRule="auto"/>
        <w:ind w:right="14" w:firstLine="567"/>
        <w:jc w:val="both"/>
      </w:pPr>
      <w:r>
        <w:rPr>
          <w:rFonts w:ascii="Times New Roman" w:eastAsia="Times New Roman" w:hAnsi="Times New Roman" w:cs="Times New Roman"/>
          <w:sz w:val="24"/>
        </w:rPr>
        <w:t xml:space="preserve">Бычков В. В. Эстетика: Учебник. - М.: Гардарики, </w:t>
      </w:r>
      <w:r>
        <w:rPr>
          <w:rFonts w:ascii="Times New Roman" w:eastAsia="Times New Roman" w:hAnsi="Times New Roman" w:cs="Times New Roman"/>
          <w:sz w:val="24"/>
        </w:rPr>
        <w:t xml:space="preserve">2004.-556с.                                                    </w:t>
      </w:r>
    </w:p>
    <w:p w:rsidR="0052701D" w:rsidRDefault="00D40929">
      <w:pPr>
        <w:numPr>
          <w:ilvl w:val="0"/>
          <w:numId w:val="84"/>
        </w:numPr>
        <w:spacing w:after="29" w:line="248" w:lineRule="auto"/>
        <w:ind w:right="14" w:firstLine="567"/>
        <w:jc w:val="both"/>
      </w:pPr>
      <w:r>
        <w:rPr>
          <w:rFonts w:ascii="Times New Roman" w:eastAsia="Times New Roman" w:hAnsi="Times New Roman" w:cs="Times New Roman"/>
          <w:sz w:val="24"/>
        </w:rPr>
        <w:t>Маркс К., Энгельс Ф. «Диалектика природы» П.С.С. Т.20.С.,366.</w:t>
      </w:r>
      <w:r>
        <w:rPr>
          <w:rFonts w:ascii="Times New Roman" w:eastAsia="Times New Roman" w:hAnsi="Times New Roman" w:cs="Times New Roman"/>
          <w:b/>
          <w:sz w:val="24"/>
        </w:rPr>
        <w:t xml:space="preserve"> </w:t>
      </w:r>
    </w:p>
    <w:p w:rsidR="0052701D" w:rsidRDefault="00D40929">
      <w:pPr>
        <w:numPr>
          <w:ilvl w:val="0"/>
          <w:numId w:val="84"/>
        </w:numPr>
        <w:spacing w:after="29" w:line="248" w:lineRule="auto"/>
        <w:ind w:right="14" w:firstLine="567"/>
        <w:jc w:val="both"/>
      </w:pPr>
      <w:r>
        <w:rPr>
          <w:rFonts w:ascii="Times New Roman" w:eastAsia="Times New Roman" w:hAnsi="Times New Roman" w:cs="Times New Roman"/>
          <w:sz w:val="24"/>
        </w:rPr>
        <w:t>Кун Т. Структура научных революций.-М.: АСТ,2001.</w:t>
      </w:r>
      <w:r>
        <w:rPr>
          <w:rFonts w:ascii="Times New Roman" w:eastAsia="Times New Roman" w:hAnsi="Times New Roman" w:cs="Times New Roman"/>
          <w:b/>
          <w:sz w:val="24"/>
        </w:rPr>
        <w:t xml:space="preserve"> </w:t>
      </w:r>
    </w:p>
    <w:p w:rsidR="0052701D" w:rsidRDefault="00D40929">
      <w:pPr>
        <w:numPr>
          <w:ilvl w:val="0"/>
          <w:numId w:val="84"/>
        </w:numPr>
        <w:spacing w:after="29" w:line="248" w:lineRule="auto"/>
        <w:ind w:right="14" w:firstLine="567"/>
        <w:jc w:val="both"/>
      </w:pPr>
      <w:r>
        <w:rPr>
          <w:rFonts w:ascii="Times New Roman" w:eastAsia="Times New Roman" w:hAnsi="Times New Roman" w:cs="Times New Roman"/>
          <w:sz w:val="24"/>
        </w:rPr>
        <w:t>Лакатос И. Фальсификация и методология научно-исследовательских программ (с.44</w:t>
      </w:r>
      <w:r>
        <w:rPr>
          <w:rFonts w:ascii="Times New Roman" w:eastAsia="Times New Roman" w:hAnsi="Times New Roman" w:cs="Times New Roman"/>
          <w:sz w:val="24"/>
        </w:rPr>
        <w:t>5-524); История науки и ее рациональные реконструкции (445-524),[в книге Кун .Т. Структура научных революций М.: АСТ.2001.]</w:t>
      </w:r>
      <w:r>
        <w:rPr>
          <w:rFonts w:ascii="Times New Roman" w:eastAsia="Times New Roman" w:hAnsi="Times New Roman" w:cs="Times New Roman"/>
          <w:b/>
          <w:sz w:val="24"/>
        </w:rPr>
        <w:t xml:space="preserve"> </w:t>
      </w:r>
    </w:p>
    <w:p w:rsidR="0052701D" w:rsidRDefault="00D40929">
      <w:pPr>
        <w:numPr>
          <w:ilvl w:val="0"/>
          <w:numId w:val="84"/>
        </w:numPr>
        <w:spacing w:after="29" w:line="248" w:lineRule="auto"/>
        <w:ind w:right="14" w:firstLine="567"/>
        <w:jc w:val="both"/>
      </w:pPr>
      <w:r>
        <w:rPr>
          <w:rFonts w:ascii="Times New Roman" w:eastAsia="Times New Roman" w:hAnsi="Times New Roman" w:cs="Times New Roman"/>
          <w:sz w:val="24"/>
        </w:rPr>
        <w:lastRenderedPageBreak/>
        <w:t>Степин В. С. Философия науки. Общие проблемы. -М.: Гардарики,2007.</w:t>
      </w:r>
      <w:r>
        <w:rPr>
          <w:rFonts w:ascii="Times New Roman" w:eastAsia="Times New Roman" w:hAnsi="Times New Roman" w:cs="Times New Roman"/>
          <w:b/>
          <w:sz w:val="24"/>
        </w:rPr>
        <w:t xml:space="preserve"> </w:t>
      </w:r>
    </w:p>
    <w:p w:rsidR="0052701D" w:rsidRDefault="00D40929">
      <w:pPr>
        <w:numPr>
          <w:ilvl w:val="0"/>
          <w:numId w:val="84"/>
        </w:numPr>
        <w:spacing w:after="6" w:line="248" w:lineRule="auto"/>
        <w:ind w:right="14" w:firstLine="567"/>
        <w:jc w:val="both"/>
      </w:pPr>
      <w:r>
        <w:rPr>
          <w:rFonts w:ascii="Times New Roman" w:eastAsia="Times New Roman" w:hAnsi="Times New Roman" w:cs="Times New Roman"/>
          <w:sz w:val="24"/>
        </w:rPr>
        <w:t xml:space="preserve">Гусев Д. А. Античный скептицизм и современная философия науки. </w:t>
      </w:r>
      <w:r>
        <w:rPr>
          <w:rFonts w:ascii="Times New Roman" w:eastAsia="Times New Roman" w:hAnsi="Times New Roman" w:cs="Times New Roman"/>
          <w:sz w:val="24"/>
        </w:rPr>
        <w:t xml:space="preserve">Преподаватель, ХХI век-2014. </w:t>
      </w:r>
      <w:r>
        <w:rPr>
          <w:rFonts w:ascii="Times New Roman" w:eastAsia="Times New Roman" w:hAnsi="Times New Roman" w:cs="Times New Roman"/>
          <w:b/>
          <w:sz w:val="24"/>
        </w:rPr>
        <w:t xml:space="preserve"> </w:t>
      </w:r>
    </w:p>
    <w:p w:rsidR="0052701D" w:rsidRDefault="00D40929">
      <w:pPr>
        <w:spacing w:after="55"/>
        <w:ind w:left="567"/>
      </w:pPr>
      <w:r>
        <w:rPr>
          <w:rFonts w:ascii="Times New Roman" w:eastAsia="Times New Roman" w:hAnsi="Times New Roman" w:cs="Times New Roman"/>
          <w:b/>
          <w:sz w:val="24"/>
        </w:rPr>
        <w:t xml:space="preserve"> </w:t>
      </w:r>
    </w:p>
    <w:p w:rsidR="0052701D" w:rsidRDefault="00D40929">
      <w:pPr>
        <w:spacing w:after="89"/>
        <w:ind w:left="721"/>
      </w:pPr>
      <w:r>
        <w:rPr>
          <w:rFonts w:ascii="Times New Roman" w:eastAsia="Times New Roman" w:hAnsi="Times New Roman" w:cs="Times New Roman"/>
          <w:sz w:val="24"/>
        </w:rPr>
        <w:t xml:space="preserve"> </w:t>
      </w:r>
    </w:p>
    <w:p w:rsidR="0052701D" w:rsidRDefault="00D40929">
      <w:pPr>
        <w:spacing w:after="38" w:line="271" w:lineRule="auto"/>
        <w:ind w:left="-5" w:right="194" w:hanging="10"/>
      </w:pPr>
      <w:r>
        <w:rPr>
          <w:rFonts w:ascii="Times New Roman" w:eastAsia="Times New Roman" w:hAnsi="Times New Roman" w:cs="Times New Roman"/>
          <w:b/>
          <w:sz w:val="24"/>
        </w:rPr>
        <w:t xml:space="preserve">МРНТИ 03.20.00 УДК 930 </w:t>
      </w:r>
    </w:p>
    <w:p w:rsidR="0052701D" w:rsidRDefault="00D40929">
      <w:pPr>
        <w:spacing w:after="29"/>
        <w:ind w:right="5"/>
        <w:jc w:val="center"/>
      </w:pPr>
      <w:r>
        <w:rPr>
          <w:rFonts w:ascii="Times New Roman" w:eastAsia="Times New Roman" w:hAnsi="Times New Roman" w:cs="Times New Roman"/>
          <w:b/>
          <w:sz w:val="28"/>
        </w:rPr>
        <w:t xml:space="preserve"> </w:t>
      </w:r>
    </w:p>
    <w:p w:rsidR="0052701D" w:rsidRDefault="00D40929">
      <w:pPr>
        <w:pStyle w:val="1"/>
        <w:spacing w:line="251" w:lineRule="auto"/>
        <w:ind w:left="640" w:right="0"/>
      </w:pPr>
      <w:r>
        <w:t xml:space="preserve">CТАЛИНСКИЕ РЕПРЕССИИ В КАЗАХСТАНЕ В АРХИВНЫХ </w:t>
      </w:r>
    </w:p>
    <w:p w:rsidR="0052701D" w:rsidRDefault="00D40929">
      <w:pPr>
        <w:spacing w:after="5" w:line="251" w:lineRule="auto"/>
        <w:ind w:left="640" w:hanging="10"/>
        <w:jc w:val="center"/>
      </w:pPr>
      <w:r>
        <w:rPr>
          <w:rFonts w:ascii="Times New Roman" w:eastAsia="Times New Roman" w:hAnsi="Times New Roman" w:cs="Times New Roman"/>
          <w:b/>
          <w:sz w:val="28"/>
        </w:rPr>
        <w:t xml:space="preserve">ИСТОЧНИКАХ: НОВОЕ ПРОЧТЕНИЕ МАСШТАБОВ И ПОСЛЕДСТВИЙ ТРАГЕДИИ </w:t>
      </w:r>
    </w:p>
    <w:p w:rsidR="0052701D" w:rsidRDefault="00D40929">
      <w:pPr>
        <w:spacing w:after="32"/>
        <w:ind w:left="711"/>
      </w:pPr>
      <w:r>
        <w:rPr>
          <w:rFonts w:ascii="Times New Roman" w:eastAsia="Times New Roman" w:hAnsi="Times New Roman" w:cs="Times New Roman"/>
          <w:sz w:val="24"/>
        </w:rPr>
        <w:t xml:space="preserve"> </w:t>
      </w:r>
    </w:p>
    <w:p w:rsidR="0052701D" w:rsidRDefault="00D40929">
      <w:pPr>
        <w:pStyle w:val="1"/>
        <w:spacing w:after="16" w:line="248" w:lineRule="auto"/>
        <w:ind w:left="819" w:right="179"/>
      </w:pPr>
      <w:r>
        <w:rPr>
          <w:sz w:val="24"/>
        </w:rPr>
        <w:t xml:space="preserve">Утегалиева Алмажан Джусуповна </w:t>
      </w:r>
    </w:p>
    <w:p w:rsidR="0052701D" w:rsidRDefault="00D40929">
      <w:pPr>
        <w:spacing w:after="14" w:line="248" w:lineRule="auto"/>
        <w:ind w:left="713" w:right="80" w:hanging="5"/>
        <w:jc w:val="center"/>
      </w:pPr>
      <w:r>
        <w:rPr>
          <w:rFonts w:ascii="Times New Roman" w:eastAsia="Times New Roman" w:hAnsi="Times New Roman" w:cs="Times New Roman"/>
          <w:sz w:val="24"/>
        </w:rPr>
        <w:t xml:space="preserve">НАО «Алматинский университет энергетики и связи имени </w:t>
      </w:r>
      <w:r>
        <w:rPr>
          <w:rFonts w:ascii="Times New Roman" w:eastAsia="Times New Roman" w:hAnsi="Times New Roman" w:cs="Times New Roman"/>
          <w:sz w:val="24"/>
        </w:rPr>
        <w:t xml:space="preserve">Гумарбека Даукеева», </w:t>
      </w:r>
    </w:p>
    <w:p w:rsidR="0052701D" w:rsidRDefault="00D40929">
      <w:pPr>
        <w:spacing w:after="29" w:line="248" w:lineRule="auto"/>
        <w:ind w:left="1988" w:right="14"/>
        <w:jc w:val="both"/>
      </w:pPr>
      <w:r>
        <w:rPr>
          <w:rFonts w:ascii="Times New Roman" w:eastAsia="Times New Roman" w:hAnsi="Times New Roman" w:cs="Times New Roman"/>
          <w:sz w:val="24"/>
        </w:rPr>
        <w:t xml:space="preserve">г.Алматы, Республика Казахстан, almazhan@gmail.com </w:t>
      </w:r>
    </w:p>
    <w:p w:rsidR="0052701D" w:rsidRDefault="00D40929">
      <w:pPr>
        <w:spacing w:after="23"/>
        <w:ind w:left="711"/>
      </w:pPr>
      <w:r>
        <w:rPr>
          <w:rFonts w:ascii="Times New Roman" w:eastAsia="Times New Roman" w:hAnsi="Times New Roman" w:cs="Times New Roman"/>
          <w:sz w:val="24"/>
        </w:rPr>
        <w:t xml:space="preserve"> </w:t>
      </w:r>
    </w:p>
    <w:p w:rsidR="0052701D" w:rsidRDefault="00D40929">
      <w:pPr>
        <w:spacing w:after="29" w:line="248" w:lineRule="auto"/>
        <w:ind w:left="9" w:firstLine="711"/>
        <w:jc w:val="both"/>
      </w:pPr>
      <w:r>
        <w:rPr>
          <w:rFonts w:ascii="Times New Roman" w:eastAsia="Times New Roman" w:hAnsi="Times New Roman" w:cs="Times New Roman"/>
          <w:b/>
          <w:i/>
          <w:sz w:val="24"/>
        </w:rPr>
        <w:t>Аннотация:</w:t>
      </w:r>
      <w:r>
        <w:rPr>
          <w:rFonts w:ascii="Times New Roman" w:eastAsia="Times New Roman" w:hAnsi="Times New Roman" w:cs="Times New Roman"/>
          <w:i/>
          <w:sz w:val="24"/>
        </w:rPr>
        <w:t xml:space="preserve"> за годы сталинских репрессий миллионы советских людей стали жертвами произвола тоталитарного государства, подверглись репрессиям за политические и религиозные убеждения,</w:t>
      </w:r>
      <w:r>
        <w:rPr>
          <w:rFonts w:ascii="Times New Roman" w:eastAsia="Times New Roman" w:hAnsi="Times New Roman" w:cs="Times New Roman"/>
          <w:i/>
          <w:sz w:val="24"/>
        </w:rPr>
        <w:t xml:space="preserve"> по социальным и национальным признакам.  1920-1950 гг. в истории Казахстана – это трагический период насильственной коллективизации и конфискаций, репрессий, голода и войны, когда миллионы людей безвинно были арестованы, сосланы или расстреляны. Сегодня а</w:t>
      </w:r>
      <w:r>
        <w:rPr>
          <w:rFonts w:ascii="Times New Roman" w:eastAsia="Times New Roman" w:hAnsi="Times New Roman" w:cs="Times New Roman"/>
          <w:i/>
          <w:sz w:val="24"/>
        </w:rPr>
        <w:t xml:space="preserve">рхивные документы позволяют дать объективный анализ и оценку тоталитарному прошлому. </w:t>
      </w:r>
    </w:p>
    <w:p w:rsidR="0052701D" w:rsidRDefault="00D40929">
      <w:pPr>
        <w:spacing w:after="29" w:line="248" w:lineRule="auto"/>
        <w:ind w:left="9" w:firstLine="711"/>
        <w:jc w:val="both"/>
      </w:pP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 xml:space="preserve"> конфискация, коллективизация, голод, репрессии, жертвы политических репрессий, архивы. </w:t>
      </w:r>
    </w:p>
    <w:p w:rsidR="0052701D" w:rsidRDefault="00D40929">
      <w:pPr>
        <w:spacing w:after="0"/>
        <w:ind w:left="711"/>
      </w:pPr>
      <w:r>
        <w:rPr>
          <w:rFonts w:ascii="Times New Roman" w:eastAsia="Times New Roman" w:hAnsi="Times New Roman" w:cs="Times New Roman"/>
          <w:sz w:val="24"/>
        </w:rPr>
        <w:t xml:space="preserve"> </w:t>
      </w:r>
    </w:p>
    <w:p w:rsidR="0052701D" w:rsidRDefault="00D40929">
      <w:pPr>
        <w:spacing w:after="16"/>
        <w:ind w:left="711"/>
      </w:pPr>
      <w:r>
        <w:rPr>
          <w:rFonts w:ascii="Times New Roman" w:eastAsia="Times New Roman" w:hAnsi="Times New Roman" w:cs="Times New Roman"/>
          <w:sz w:val="24"/>
        </w:rPr>
        <w:t xml:space="preserve"> </w:t>
      </w:r>
    </w:p>
    <w:p w:rsidR="0052701D" w:rsidRDefault="00D40929">
      <w:pPr>
        <w:spacing w:after="5" w:line="251" w:lineRule="auto"/>
        <w:ind w:left="638" w:hanging="10"/>
        <w:jc w:val="center"/>
      </w:pPr>
      <w:r>
        <w:rPr>
          <w:rFonts w:ascii="Times New Roman" w:eastAsia="Times New Roman" w:hAnsi="Times New Roman" w:cs="Times New Roman"/>
          <w:b/>
          <w:sz w:val="28"/>
        </w:rPr>
        <w:t xml:space="preserve">STALIN'S REPRESSIONS IN KAZAKHSTAN IN ARCHIVAL SOURCES: A NEW </w:t>
      </w:r>
      <w:r>
        <w:rPr>
          <w:rFonts w:ascii="Times New Roman" w:eastAsia="Times New Roman" w:hAnsi="Times New Roman" w:cs="Times New Roman"/>
          <w:b/>
          <w:sz w:val="28"/>
        </w:rPr>
        <w:t xml:space="preserve">READING OF THE SCALE AND CONSEQUENCES OF THE TRAGEDY </w:t>
      </w:r>
    </w:p>
    <w:p w:rsidR="0052701D" w:rsidRDefault="00D40929">
      <w:pPr>
        <w:spacing w:after="0"/>
        <w:ind w:left="711"/>
      </w:pPr>
      <w:r>
        <w:rPr>
          <w:rFonts w:ascii="Times New Roman" w:eastAsia="Times New Roman" w:hAnsi="Times New Roman" w:cs="Times New Roman"/>
          <w:b/>
          <w:sz w:val="24"/>
        </w:rPr>
        <w:t xml:space="preserve"> </w:t>
      </w:r>
    </w:p>
    <w:p w:rsidR="0052701D" w:rsidRDefault="00D40929">
      <w:pPr>
        <w:spacing w:after="16" w:line="248" w:lineRule="auto"/>
        <w:ind w:left="819" w:right="177" w:hanging="10"/>
        <w:jc w:val="center"/>
      </w:pPr>
      <w:r>
        <w:rPr>
          <w:rFonts w:ascii="Times New Roman" w:eastAsia="Times New Roman" w:hAnsi="Times New Roman" w:cs="Times New Roman"/>
          <w:b/>
          <w:sz w:val="24"/>
        </w:rPr>
        <w:t xml:space="preserve">Utegalieva Almazhan Dzhusupovna, </w:t>
      </w:r>
    </w:p>
    <w:p w:rsidR="0052701D" w:rsidRDefault="00D40929">
      <w:pPr>
        <w:spacing w:after="14" w:line="248" w:lineRule="auto"/>
        <w:ind w:left="713" w:right="72" w:hanging="5"/>
        <w:jc w:val="center"/>
      </w:pPr>
      <w:r>
        <w:rPr>
          <w:rFonts w:ascii="Times New Roman" w:eastAsia="Times New Roman" w:hAnsi="Times New Roman" w:cs="Times New Roman"/>
          <w:sz w:val="24"/>
        </w:rPr>
        <w:t xml:space="preserve">Ph.D., Associate Professor of the Department of Social Disciplines of the Gumarbek </w:t>
      </w:r>
    </w:p>
    <w:p w:rsidR="0052701D" w:rsidRDefault="00D40929">
      <w:pPr>
        <w:spacing w:after="14" w:line="248" w:lineRule="auto"/>
        <w:ind w:left="23" w:right="32" w:hanging="5"/>
        <w:jc w:val="center"/>
      </w:pPr>
      <w:r>
        <w:rPr>
          <w:rFonts w:ascii="Times New Roman" w:eastAsia="Times New Roman" w:hAnsi="Times New Roman" w:cs="Times New Roman"/>
          <w:sz w:val="24"/>
        </w:rPr>
        <w:t>Daukeev Almaty University of Energy and Communications, Head of the III working gr</w:t>
      </w:r>
      <w:r>
        <w:rPr>
          <w:rFonts w:ascii="Times New Roman" w:eastAsia="Times New Roman" w:hAnsi="Times New Roman" w:cs="Times New Roman"/>
          <w:sz w:val="24"/>
        </w:rPr>
        <w:t xml:space="preserve">oup of the City Commission for the Full Rehabilitation of Victims of Political Repression, Almaty, Republic of Kazakhstan, almazhan@gmail.com </w:t>
      </w:r>
    </w:p>
    <w:p w:rsidR="0052701D" w:rsidRDefault="00D40929">
      <w:pPr>
        <w:spacing w:after="0"/>
        <w:ind w:left="711"/>
      </w:pPr>
      <w:r>
        <w:rPr>
          <w:rFonts w:ascii="Times New Roman" w:eastAsia="Times New Roman" w:hAnsi="Times New Roman" w:cs="Times New Roman"/>
          <w:sz w:val="24"/>
        </w:rPr>
        <w:t xml:space="preserve"> </w:t>
      </w:r>
    </w:p>
    <w:p w:rsidR="0052701D" w:rsidRDefault="00D40929">
      <w:pPr>
        <w:spacing w:after="0" w:line="248" w:lineRule="auto"/>
        <w:ind w:left="9" w:firstLine="711"/>
        <w:jc w:val="both"/>
      </w:pPr>
      <w:r>
        <w:rPr>
          <w:rFonts w:ascii="Times New Roman" w:eastAsia="Times New Roman" w:hAnsi="Times New Roman" w:cs="Times New Roman"/>
          <w:b/>
          <w:i/>
          <w:sz w:val="24"/>
        </w:rPr>
        <w:t>Annotation:</w:t>
      </w:r>
      <w:r>
        <w:rPr>
          <w:rFonts w:ascii="Times New Roman" w:eastAsia="Times New Roman" w:hAnsi="Times New Roman" w:cs="Times New Roman"/>
          <w:i/>
          <w:sz w:val="24"/>
        </w:rPr>
        <w:t xml:space="preserve"> During the years of Stalinist repressions, millions of Soviet people became victims of the </w:t>
      </w:r>
      <w:r>
        <w:rPr>
          <w:rFonts w:ascii="Times New Roman" w:eastAsia="Times New Roman" w:hAnsi="Times New Roman" w:cs="Times New Roman"/>
          <w:i/>
          <w:sz w:val="24"/>
        </w:rPr>
        <w:t>arbitrariness of the totalitarian state, were subjected to repressions for political and religious beliefs, on social and ethnic hatred. 1920-1950 in the history of Kazakhstan, this is a tragic period of forced collectivization and confiscations, repressio</w:t>
      </w:r>
      <w:r>
        <w:rPr>
          <w:rFonts w:ascii="Times New Roman" w:eastAsia="Times New Roman" w:hAnsi="Times New Roman" w:cs="Times New Roman"/>
          <w:i/>
          <w:sz w:val="24"/>
        </w:rPr>
        <w:t xml:space="preserve">ns, famine and war, when millions of people were arrested, exiled or shot for nothing at all. Today archival documents make it possible to give an objective analysis and assessment of the totalitarian past. </w:t>
      </w:r>
    </w:p>
    <w:p w:rsidR="0052701D" w:rsidRDefault="00D40929">
      <w:pPr>
        <w:spacing w:after="29" w:line="248" w:lineRule="auto"/>
        <w:ind w:left="9" w:firstLine="711"/>
        <w:jc w:val="both"/>
      </w:pPr>
      <w:r>
        <w:rPr>
          <w:rFonts w:ascii="Times New Roman" w:eastAsia="Times New Roman" w:hAnsi="Times New Roman" w:cs="Times New Roman"/>
          <w:b/>
          <w:i/>
          <w:sz w:val="24"/>
        </w:rPr>
        <w:t>Key words:</w:t>
      </w:r>
      <w:r>
        <w:rPr>
          <w:rFonts w:ascii="Times New Roman" w:eastAsia="Times New Roman" w:hAnsi="Times New Roman" w:cs="Times New Roman"/>
          <w:i/>
          <w:sz w:val="24"/>
        </w:rPr>
        <w:t xml:space="preserve"> confiscation, collectivization, famin</w:t>
      </w:r>
      <w:r>
        <w:rPr>
          <w:rFonts w:ascii="Times New Roman" w:eastAsia="Times New Roman" w:hAnsi="Times New Roman" w:cs="Times New Roman"/>
          <w:i/>
          <w:sz w:val="24"/>
        </w:rPr>
        <w:t xml:space="preserve">e, repressions, victims of political repressions, archives. </w:t>
      </w:r>
    </w:p>
    <w:p w:rsidR="0052701D" w:rsidRDefault="00D40929">
      <w:pPr>
        <w:spacing w:after="18"/>
        <w:ind w:left="711"/>
      </w:pPr>
      <w:r>
        <w:rPr>
          <w:rFonts w:ascii="Times New Roman" w:eastAsia="Times New Roman" w:hAnsi="Times New Roman" w:cs="Times New Roman"/>
          <w:sz w:val="28"/>
        </w:rPr>
        <w:lastRenderedPageBreak/>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Изданный 24 ноября 2020 г.  Указ президента Республики Казахстан Касым-Жомарта Токаева о создании Государственной комиссии по полной реабилитации жертв политических репрессий [1] знаменует новы</w:t>
      </w:r>
      <w:r>
        <w:rPr>
          <w:rFonts w:ascii="Times New Roman" w:eastAsia="Times New Roman" w:hAnsi="Times New Roman" w:cs="Times New Roman"/>
          <w:sz w:val="28"/>
        </w:rPr>
        <w:t xml:space="preserve">й этап переосмысления отечественной истории и восстановления исторической правды.   </w:t>
      </w:r>
    </w:p>
    <w:p w:rsidR="0052701D" w:rsidRDefault="00D40929">
      <w:pPr>
        <w:spacing w:after="5" w:line="271" w:lineRule="auto"/>
        <w:ind w:left="9" w:right="64" w:firstLine="711"/>
        <w:jc w:val="both"/>
      </w:pPr>
      <w:r>
        <w:rPr>
          <w:rFonts w:ascii="Times New Roman" w:eastAsia="Times New Roman" w:hAnsi="Times New Roman" w:cs="Times New Roman"/>
          <w:sz w:val="28"/>
        </w:rPr>
        <w:t>Сегодня, на основе полученного доступа к фондам  Архива Президента РК, Центрального Государственного архива РК,   Архива департамента полиции г.Алматы,  Государственного а</w:t>
      </w:r>
      <w:r>
        <w:rPr>
          <w:rFonts w:ascii="Times New Roman" w:eastAsia="Times New Roman" w:hAnsi="Times New Roman" w:cs="Times New Roman"/>
          <w:sz w:val="28"/>
        </w:rPr>
        <w:t>рхива  г. Алматы, архива Управления комитета по правовой статистике и специальным учетам Генеральной прокуратуры РК по г. Алматы, архива департамента комитета национальной безопасности РК по  г. Алматы, в том числе и к закрытым фондам, ученые-эксперты полу</w:t>
      </w:r>
      <w:r>
        <w:rPr>
          <w:rFonts w:ascii="Times New Roman" w:eastAsia="Times New Roman" w:hAnsi="Times New Roman" w:cs="Times New Roman"/>
          <w:sz w:val="28"/>
        </w:rPr>
        <w:t xml:space="preserve">чили уникальную возможность работы с новыми, ранее не изученными архивными данными, которые еще раз подтвердили масштабность и глубину репрессий. Начата работа по формированию баз данных репрессированных и выявлению не реабилитированных лиц, созданию карт </w:t>
      </w:r>
      <w:r>
        <w:rPr>
          <w:rFonts w:ascii="Times New Roman" w:eastAsia="Times New Roman" w:hAnsi="Times New Roman" w:cs="Times New Roman"/>
          <w:sz w:val="28"/>
        </w:rPr>
        <w:t xml:space="preserve">мест захоронений, изданию сборников документов и т.д.   </w:t>
      </w:r>
    </w:p>
    <w:p w:rsidR="0052701D" w:rsidRDefault="00D40929">
      <w:pPr>
        <w:spacing w:after="5" w:line="271" w:lineRule="auto"/>
        <w:ind w:left="9" w:right="64" w:firstLine="711"/>
        <w:jc w:val="both"/>
      </w:pPr>
      <w:r>
        <w:rPr>
          <w:rFonts w:ascii="Times New Roman" w:eastAsia="Times New Roman" w:hAnsi="Times New Roman" w:cs="Times New Roman"/>
          <w:sz w:val="28"/>
        </w:rPr>
        <w:t>В целом, из архивных источников  складывается картина жестоких и масштабных репрессий многочисленных зажиточных групп общества, включая крупных баев и их потомков, бывших волостных, аткаминеров, кула</w:t>
      </w:r>
      <w:r>
        <w:rPr>
          <w:rFonts w:ascii="Times New Roman" w:eastAsia="Times New Roman" w:hAnsi="Times New Roman" w:cs="Times New Roman"/>
          <w:sz w:val="28"/>
        </w:rPr>
        <w:t>ков, сбежавших из России от преследований,  бывших фабрикантов, раскулаченных, владельцев больших домов, садов, земель, мельниц, торговцев, в том числе занимавшихся контрабандой из Китая, рядовых торговцев,  сыновей попов, офицеров Белой армии, сыщиков, се</w:t>
      </w:r>
      <w:r>
        <w:rPr>
          <w:rFonts w:ascii="Times New Roman" w:eastAsia="Times New Roman" w:hAnsi="Times New Roman" w:cs="Times New Roman"/>
          <w:sz w:val="28"/>
        </w:rPr>
        <w:t xml:space="preserve">редняков, имамов, ишанов, мулл,  крестьяншаруа, уклоняющихся от налогов, сдачи хлеба и мясозаготовок.   </w:t>
      </w:r>
    </w:p>
    <w:p w:rsidR="0052701D" w:rsidRDefault="00D40929">
      <w:pPr>
        <w:spacing w:after="5" w:line="271" w:lineRule="auto"/>
        <w:ind w:left="9" w:right="64" w:firstLine="711"/>
        <w:jc w:val="both"/>
      </w:pPr>
      <w:r>
        <w:rPr>
          <w:rFonts w:ascii="Times New Roman" w:eastAsia="Times New Roman" w:hAnsi="Times New Roman" w:cs="Times New Roman"/>
          <w:sz w:val="28"/>
        </w:rPr>
        <w:t>При анализе архивных документов была поставлена задача не только выявить численность баев, кулаков и шаруа, подвергшихся репрессиям, но и уточнить их Ф</w:t>
      </w:r>
      <w:r>
        <w:rPr>
          <w:rFonts w:ascii="Times New Roman" w:eastAsia="Times New Roman" w:hAnsi="Times New Roman" w:cs="Times New Roman"/>
          <w:sz w:val="28"/>
        </w:rPr>
        <w:t>.И.О, возраст, местожительство, статус, род занятий или профессию, уровень грамотности, партийность, семейный состав, численность семьи. Кроме того, на основе изученных материалов создается база данных по категориям, включающим сведения об аресте (дата, гд</w:t>
      </w:r>
      <w:r>
        <w:rPr>
          <w:rFonts w:ascii="Times New Roman" w:eastAsia="Times New Roman" w:hAnsi="Times New Roman" w:cs="Times New Roman"/>
          <w:sz w:val="28"/>
        </w:rPr>
        <w:t xml:space="preserve">е и кем арестован), статья приговора и т.д. Необходимо отметить, что в разных архивных источниках встречаются одинаковые фамилии баев, кулаков, торговцев, лишенцев. Поскольку Казахстан относился к регионам, которые Президиум ВЦИК объявил </w:t>
      </w:r>
    </w:p>
    <w:p w:rsidR="0052701D" w:rsidRDefault="00D40929">
      <w:pPr>
        <w:spacing w:after="5" w:line="271" w:lineRule="auto"/>
        <w:ind w:left="9" w:right="64"/>
        <w:jc w:val="both"/>
      </w:pPr>
      <w:r>
        <w:rPr>
          <w:rFonts w:ascii="Times New Roman" w:eastAsia="Times New Roman" w:hAnsi="Times New Roman" w:cs="Times New Roman"/>
          <w:sz w:val="28"/>
        </w:rPr>
        <w:t>«неблагополучными</w:t>
      </w:r>
      <w:r>
        <w:rPr>
          <w:rFonts w:ascii="Times New Roman" w:eastAsia="Times New Roman" w:hAnsi="Times New Roman" w:cs="Times New Roman"/>
          <w:sz w:val="28"/>
        </w:rPr>
        <w:t xml:space="preserve"> по бандитизму», исходя из этого судебные тройки ПП ОГПУ Казахстана получили право применять ВМН (высшую меру наказания, т.е.  расстрел). В ходе исследования архивных дел нами выявлены списки, осужденных “Тройками” ПП ОГПУ, приговоренных к ВМН, в том числе</w:t>
      </w:r>
      <w:r>
        <w:rPr>
          <w:rFonts w:ascii="Times New Roman" w:eastAsia="Times New Roman" w:hAnsi="Times New Roman" w:cs="Times New Roman"/>
          <w:sz w:val="28"/>
        </w:rPr>
        <w:t xml:space="preserve"> и с конфискацией имущества, к различным срокам заключения.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Анализ дел показывает, что наиболее часто в приговорах применялись такие пункты ст. 58 Уголовного Кодекса РСФСР: ст. 58-2 (организация </w:t>
      </w:r>
      <w:r>
        <w:rPr>
          <w:rFonts w:ascii="Times New Roman" w:eastAsia="Times New Roman" w:hAnsi="Times New Roman" w:cs="Times New Roman"/>
          <w:sz w:val="28"/>
        </w:rPr>
        <w:lastRenderedPageBreak/>
        <w:t>вооруженного восстания или вторжение в контрреволюционных ц</w:t>
      </w:r>
      <w:r>
        <w:rPr>
          <w:rFonts w:ascii="Times New Roman" w:eastAsia="Times New Roman" w:hAnsi="Times New Roman" w:cs="Times New Roman"/>
          <w:sz w:val="28"/>
        </w:rPr>
        <w:t>елях на советскую территорию вооруженных банд, попытка захвата власти);  ст. 58-10 (антисоветская агитация и пропаганда).  Так же обращает на себя внимание жестокие репрессивные меры, направленные против целых групп, осужденных внесудебными органами (“Двой</w:t>
      </w:r>
      <w:r>
        <w:rPr>
          <w:rFonts w:ascii="Times New Roman" w:eastAsia="Times New Roman" w:hAnsi="Times New Roman" w:cs="Times New Roman"/>
          <w:sz w:val="28"/>
        </w:rPr>
        <w:t>ки” и “Тройки” ПП ОГПУ в Казахстане), как например, ВМН (расстрел), конфискация, выселение, осуществлявшееся часто целых семей или нескольких родственных семей – хозяйств, оплачивающих ЕСХН (единый сельхозналог) по отдельности (отец и несколько семей взрос</w:t>
      </w:r>
      <w:r>
        <w:rPr>
          <w:rFonts w:ascii="Times New Roman" w:eastAsia="Times New Roman" w:hAnsi="Times New Roman" w:cs="Times New Roman"/>
          <w:sz w:val="28"/>
        </w:rPr>
        <w:t xml:space="preserve">лых сыновей), выселение за пределы Казахстана,  аресты на различные сроки и т.д.  </w:t>
      </w:r>
    </w:p>
    <w:p w:rsidR="0052701D" w:rsidRDefault="00D40929">
      <w:pPr>
        <w:spacing w:after="5" w:line="271" w:lineRule="auto"/>
        <w:ind w:left="9" w:right="64" w:firstLine="711"/>
        <w:jc w:val="both"/>
      </w:pPr>
      <w:r>
        <w:rPr>
          <w:rFonts w:ascii="Times New Roman" w:eastAsia="Times New Roman" w:hAnsi="Times New Roman" w:cs="Times New Roman"/>
          <w:sz w:val="28"/>
        </w:rPr>
        <w:t>Так, очень часто выселение происходит в наиболее отдаленные округа страны, например из Алма-Атинского округа выселяли в Уральский округ, и наоборот. Или же искусственно подт</w:t>
      </w:r>
      <w:r>
        <w:rPr>
          <w:rFonts w:ascii="Times New Roman" w:eastAsia="Times New Roman" w:hAnsi="Times New Roman" w:cs="Times New Roman"/>
          <w:sz w:val="28"/>
        </w:rPr>
        <w:t>ягивалось число голов конфискуемого скота к установленным нормам (400 голов кр. скота для кочевых регионов, 300 - для полукочевых, 150 - для оседлых), для этого объединяли самостоятельные хозяйства отца и его взрослых самостоятельных семейных сыновей, несм</w:t>
      </w:r>
      <w:r>
        <w:rPr>
          <w:rFonts w:ascii="Times New Roman" w:eastAsia="Times New Roman" w:hAnsi="Times New Roman" w:cs="Times New Roman"/>
          <w:sz w:val="28"/>
        </w:rPr>
        <w:t>отря на то, что все они платили ЕСХН. Налицо полный произвол властей и униженное, бесправное положение зажиточных казахов, у которых конфискуется скот и ждет срочное их выселение, где семья бая может достигать минимум 30-40 человек. При этом им оставляется</w:t>
      </w:r>
      <w:r>
        <w:rPr>
          <w:rFonts w:ascii="Times New Roman" w:eastAsia="Times New Roman" w:hAnsi="Times New Roman" w:cs="Times New Roman"/>
          <w:sz w:val="28"/>
        </w:rPr>
        <w:t xml:space="preserve"> 20-30 голов скота, который они вынуждены срочно продавать по дешевой цене, чтобы на полученные деньги всей большой семьей выехать в течение суток из родных аулов к месту ссылки. В связи с этим Казкрайком вынужден был отправить «телеграфное указание предсе</w:t>
      </w:r>
      <w:r>
        <w:rPr>
          <w:rFonts w:ascii="Times New Roman" w:eastAsia="Times New Roman" w:hAnsi="Times New Roman" w:cs="Times New Roman"/>
          <w:sz w:val="28"/>
        </w:rPr>
        <w:t>дателя CНK KАCCР всем окрисполкомам о пресечении мер по искусственному о6ъединению хозяйств с целью их конфискации: окружные комиссии по проведению конфискации, вопреки смыслу декрета и инструкции к нему по указаниям Краевой комиссии искусственно объединяю</w:t>
      </w:r>
      <w:r>
        <w:rPr>
          <w:rFonts w:ascii="Times New Roman" w:eastAsia="Times New Roman" w:hAnsi="Times New Roman" w:cs="Times New Roman"/>
          <w:sz w:val="28"/>
        </w:rPr>
        <w:t>т несколько хозяйств в одно с целью подведения под действия декрета по количеству скота. Имеются случаи, когда благодаря такому подходу в одной семье объединяются 60–45 чел., что в жизни совершенно не встречается. Считаем такой подход недопустимым, противо</w:t>
      </w:r>
      <w:r>
        <w:rPr>
          <w:rFonts w:ascii="Times New Roman" w:eastAsia="Times New Roman" w:hAnsi="Times New Roman" w:cs="Times New Roman"/>
          <w:sz w:val="28"/>
        </w:rPr>
        <w:t xml:space="preserve">речащим всем ранее данным директивам” [2].   </w:t>
      </w:r>
    </w:p>
    <w:p w:rsidR="0052701D" w:rsidRDefault="00D40929">
      <w:pPr>
        <w:spacing w:after="5" w:line="271" w:lineRule="auto"/>
        <w:ind w:left="9" w:right="64" w:firstLine="711"/>
        <w:jc w:val="both"/>
      </w:pPr>
      <w:r>
        <w:rPr>
          <w:rFonts w:ascii="Times New Roman" w:eastAsia="Times New Roman" w:hAnsi="Times New Roman" w:cs="Times New Roman"/>
          <w:sz w:val="28"/>
        </w:rPr>
        <w:t>Таким образом, был нанесен непоправимый экономический урон, баи и кулаки теряли свои хозяйства, сокращалось поголовье скота, население впадало в бедность и бесправие.  Вместе с тем необходимо отметить, что сами</w:t>
      </w:r>
      <w:r>
        <w:rPr>
          <w:rFonts w:ascii="Times New Roman" w:eastAsia="Times New Roman" w:hAnsi="Times New Roman" w:cs="Times New Roman"/>
          <w:sz w:val="28"/>
        </w:rPr>
        <w:t xml:space="preserve"> власти видели и признавали причины, масштабы потерь незаконно конфискованного скота у населения со всеми вытекающими последствиями. Так, по Павлодарскому округу: «При возвращении бывшим владельцам незаконно </w:t>
      </w:r>
      <w:r>
        <w:rPr>
          <w:rFonts w:ascii="Times New Roman" w:eastAsia="Times New Roman" w:hAnsi="Times New Roman" w:cs="Times New Roman"/>
          <w:sz w:val="28"/>
        </w:rPr>
        <w:lastRenderedPageBreak/>
        <w:t>конфискованного скота серьёзным затруднением явл</w:t>
      </w:r>
      <w:r>
        <w:rPr>
          <w:rFonts w:ascii="Times New Roman" w:eastAsia="Times New Roman" w:hAnsi="Times New Roman" w:cs="Times New Roman"/>
          <w:sz w:val="28"/>
        </w:rPr>
        <w:t xml:space="preserve">яется невозможность полного удовлетворения их в силу того, что:  </w:t>
      </w:r>
    </w:p>
    <w:p w:rsidR="0052701D" w:rsidRDefault="00D40929">
      <w:pPr>
        <w:spacing w:after="5" w:line="271" w:lineRule="auto"/>
        <w:ind w:left="9" w:right="64" w:firstLine="711"/>
        <w:jc w:val="both"/>
      </w:pPr>
      <w:r>
        <w:rPr>
          <w:rFonts w:ascii="Times New Roman" w:eastAsia="Times New Roman" w:hAnsi="Times New Roman" w:cs="Times New Roman"/>
          <w:sz w:val="28"/>
        </w:rPr>
        <w:t>а) часть конфискованного скота за период временного хранения его в кошчинских и кооперативных организациях была израсходована на его содержание (т. е. содержание конфискованного скота – прок</w:t>
      </w:r>
      <w:r>
        <w:rPr>
          <w:rFonts w:ascii="Times New Roman" w:eastAsia="Times New Roman" w:hAnsi="Times New Roman" w:cs="Times New Roman"/>
          <w:sz w:val="28"/>
        </w:rPr>
        <w:t xml:space="preserve">орм, окарауливание и пр.) – всего 68 гол. (в переводе на крупнорогатый скот);  </w:t>
      </w:r>
    </w:p>
    <w:p w:rsidR="0052701D" w:rsidRDefault="00D40929">
      <w:pPr>
        <w:spacing w:after="3"/>
        <w:ind w:left="10" w:right="43" w:hanging="10"/>
        <w:jc w:val="right"/>
      </w:pPr>
      <w:r>
        <w:rPr>
          <w:rFonts w:ascii="Times New Roman" w:eastAsia="Times New Roman" w:hAnsi="Times New Roman" w:cs="Times New Roman"/>
          <w:sz w:val="28"/>
        </w:rPr>
        <w:t xml:space="preserve">б) часть конфискованного скота погибла от падежа по джуту (всего 180 </w:t>
      </w:r>
    </w:p>
    <w:p w:rsidR="0052701D" w:rsidRDefault="00D40929">
      <w:pPr>
        <w:spacing w:after="5" w:line="271" w:lineRule="auto"/>
        <w:ind w:left="9" w:right="64"/>
        <w:jc w:val="both"/>
      </w:pPr>
      <w:r>
        <w:rPr>
          <w:rFonts w:ascii="Times New Roman" w:eastAsia="Times New Roman" w:hAnsi="Times New Roman" w:cs="Times New Roman"/>
          <w:sz w:val="28"/>
        </w:rPr>
        <w:t xml:space="preserve">гол.);  </w:t>
      </w:r>
    </w:p>
    <w:p w:rsidR="0052701D" w:rsidRDefault="00D40929">
      <w:pPr>
        <w:spacing w:after="3"/>
        <w:ind w:left="10" w:right="43" w:hanging="10"/>
        <w:jc w:val="right"/>
      </w:pPr>
      <w:r>
        <w:rPr>
          <w:rFonts w:ascii="Times New Roman" w:eastAsia="Times New Roman" w:hAnsi="Times New Roman" w:cs="Times New Roman"/>
          <w:sz w:val="28"/>
        </w:rPr>
        <w:t>в) расхищено и растрачено при передаче конфискованного скота колхозам</w:t>
      </w:r>
    </w:p>
    <w:p w:rsidR="0052701D" w:rsidRDefault="00D40929">
      <w:pPr>
        <w:spacing w:after="5" w:line="271" w:lineRule="auto"/>
        <w:ind w:left="9" w:right="64"/>
        <w:jc w:val="both"/>
      </w:pPr>
      <w:r>
        <w:rPr>
          <w:rFonts w:ascii="Times New Roman" w:eastAsia="Times New Roman" w:hAnsi="Times New Roman" w:cs="Times New Roman"/>
          <w:sz w:val="28"/>
        </w:rPr>
        <w:t xml:space="preserve">и бедноте (216 гол.);  </w:t>
      </w:r>
    </w:p>
    <w:p w:rsidR="0052701D" w:rsidRDefault="00D40929">
      <w:pPr>
        <w:spacing w:after="3"/>
        <w:ind w:left="10" w:right="43" w:hanging="10"/>
        <w:jc w:val="right"/>
      </w:pPr>
      <w:r>
        <w:rPr>
          <w:rFonts w:ascii="Times New Roman" w:eastAsia="Times New Roman" w:hAnsi="Times New Roman" w:cs="Times New Roman"/>
          <w:sz w:val="28"/>
        </w:rPr>
        <w:t xml:space="preserve">г) </w:t>
      </w:r>
      <w:r>
        <w:rPr>
          <w:rFonts w:ascii="Times New Roman" w:eastAsia="Times New Roman" w:hAnsi="Times New Roman" w:cs="Times New Roman"/>
          <w:sz w:val="28"/>
        </w:rPr>
        <w:t>во многих случаях уже переданный бедноте и колхозам конфискованный</w:t>
      </w:r>
    </w:p>
    <w:p w:rsidR="0052701D" w:rsidRDefault="00D40929">
      <w:pPr>
        <w:spacing w:after="5" w:line="271" w:lineRule="auto"/>
        <w:ind w:left="9" w:right="64"/>
        <w:jc w:val="both"/>
      </w:pPr>
      <w:r>
        <w:rPr>
          <w:rFonts w:ascii="Times New Roman" w:eastAsia="Times New Roman" w:hAnsi="Times New Roman" w:cs="Times New Roman"/>
          <w:sz w:val="28"/>
        </w:rPr>
        <w:t xml:space="preserve">скот частью израсходован на продовольствие, продан или погиб (не имеем точных данных о количестве потерянного, в силу этих причин, скота, приблизительно определяем в 800 – 900 гол.)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B </w:t>
      </w:r>
      <w:r>
        <w:rPr>
          <w:rFonts w:ascii="Times New Roman" w:eastAsia="Times New Roman" w:hAnsi="Times New Roman" w:cs="Times New Roman"/>
          <w:sz w:val="28"/>
        </w:rPr>
        <w:t>силу чего является неизбежным хотя бы в известной мере компенсировать как тех середняков, которые по указанным выше причинам не могут получить обратно свой незаконно отобранный скот, так и тех бедняков и здоровых колхозов, которые крайне нуждаются в помощи</w:t>
      </w:r>
      <w:r>
        <w:rPr>
          <w:rFonts w:ascii="Times New Roman" w:eastAsia="Times New Roman" w:hAnsi="Times New Roman" w:cs="Times New Roman"/>
          <w:sz w:val="28"/>
        </w:rPr>
        <w:t xml:space="preserve">, в связи с изъятием у них полученного ими незаконно конфискованного скота.  </w:t>
      </w:r>
    </w:p>
    <w:p w:rsidR="0052701D" w:rsidRDefault="00D40929">
      <w:pPr>
        <w:spacing w:after="5" w:line="271" w:lineRule="auto"/>
        <w:ind w:left="9" w:right="64" w:firstLine="711"/>
        <w:jc w:val="both"/>
      </w:pPr>
      <w:r>
        <w:rPr>
          <w:rFonts w:ascii="Times New Roman" w:eastAsia="Times New Roman" w:hAnsi="Times New Roman" w:cs="Times New Roman"/>
          <w:sz w:val="28"/>
        </w:rPr>
        <w:t>Исходя из минимума того, что необходимо в качестве указанной выше компенсации, считаем необходимым в округе создать специально для этой цели фонд в 50 000 руб. (считая по 40 руб.</w:t>
      </w:r>
      <w:r>
        <w:rPr>
          <w:rFonts w:ascii="Times New Roman" w:eastAsia="Times New Roman" w:hAnsi="Times New Roman" w:cs="Times New Roman"/>
          <w:sz w:val="28"/>
        </w:rPr>
        <w:t xml:space="preserve"> за голову крупно-рогатого скота)» [3].    </w:t>
      </w:r>
    </w:p>
    <w:p w:rsidR="0052701D" w:rsidRDefault="00D40929">
      <w:pPr>
        <w:spacing w:after="5" w:line="271" w:lineRule="auto"/>
        <w:ind w:left="9" w:right="64" w:firstLine="711"/>
        <w:jc w:val="both"/>
      </w:pPr>
      <w:r>
        <w:rPr>
          <w:rFonts w:ascii="Times New Roman" w:eastAsia="Times New Roman" w:hAnsi="Times New Roman" w:cs="Times New Roman"/>
          <w:sz w:val="28"/>
        </w:rPr>
        <w:t>О характере и масштабах негативных последствий ярко свидетельствует Решение Президиума КазЦИК «O постановлении Президиума ВЦИК по вопросу о массовом применении в Семипалатинской губернии конфискации в порядке при</w:t>
      </w:r>
      <w:r>
        <w:rPr>
          <w:rFonts w:ascii="Times New Roman" w:eastAsia="Times New Roman" w:hAnsi="Times New Roman" w:cs="Times New Roman"/>
          <w:sz w:val="28"/>
        </w:rPr>
        <w:t xml:space="preserve">менения ст. 629 УК», по которому было принято решение по </w:t>
      </w:r>
    </w:p>
    <w:p w:rsidR="0052701D" w:rsidRDefault="00D40929">
      <w:pPr>
        <w:spacing w:after="5" w:line="271" w:lineRule="auto"/>
        <w:ind w:left="9" w:right="64"/>
        <w:jc w:val="both"/>
      </w:pPr>
      <w:r>
        <w:rPr>
          <w:rFonts w:ascii="Times New Roman" w:eastAsia="Times New Roman" w:hAnsi="Times New Roman" w:cs="Times New Roman"/>
          <w:sz w:val="28"/>
        </w:rPr>
        <w:t xml:space="preserve">Семипалатинской губернии:   </w:t>
      </w:r>
    </w:p>
    <w:p w:rsidR="0052701D" w:rsidRDefault="00D40929">
      <w:pPr>
        <w:spacing w:after="5" w:line="271" w:lineRule="auto"/>
        <w:ind w:left="9" w:right="64" w:firstLine="711"/>
        <w:jc w:val="both"/>
      </w:pPr>
      <w:r>
        <w:rPr>
          <w:rFonts w:ascii="Times New Roman" w:eastAsia="Times New Roman" w:hAnsi="Times New Roman" w:cs="Times New Roman"/>
          <w:sz w:val="28"/>
        </w:rPr>
        <w:t>«1. Освободить из-под стражи всех осужденных и привлеченных к следствию середняков и малоимущих, с немедленным возвращением владельцам конфискованного скота и другого им</w:t>
      </w:r>
      <w:r>
        <w:rPr>
          <w:rFonts w:ascii="Times New Roman" w:eastAsia="Times New Roman" w:hAnsi="Times New Roman" w:cs="Times New Roman"/>
          <w:sz w:val="28"/>
        </w:rPr>
        <w:t xml:space="preserve">ущества.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2. Поручить Прокурору Республики приостановить исполнение приговоров в отношении зажиточных элементов населения, с освобождением их из-под стражи, и с передачей скота и другого имущества на хранение владельцам до окончательного разрешения дел в </w:t>
      </w:r>
      <w:r>
        <w:rPr>
          <w:rFonts w:ascii="Times New Roman" w:eastAsia="Times New Roman" w:hAnsi="Times New Roman" w:cs="Times New Roman"/>
          <w:sz w:val="28"/>
        </w:rPr>
        <w:t xml:space="preserve">высших судебных органах республики [4].  </w:t>
      </w:r>
    </w:p>
    <w:p w:rsidR="0052701D" w:rsidRDefault="00D40929">
      <w:pPr>
        <w:spacing w:after="5" w:line="271" w:lineRule="auto"/>
        <w:ind w:left="9" w:right="64" w:firstLine="711"/>
        <w:jc w:val="both"/>
      </w:pPr>
      <w:r>
        <w:rPr>
          <w:rFonts w:ascii="Times New Roman" w:eastAsia="Times New Roman" w:hAnsi="Times New Roman" w:cs="Times New Roman"/>
          <w:sz w:val="28"/>
        </w:rPr>
        <w:t>В архивах есть документы, подтверждающие, что детям конфискованных и выселяемых баев не позволяли учиться в школах и вузах, исключали даже с последнего года обучения, не позволяли сдавать выпускные экзамены перед в</w:t>
      </w:r>
      <w:r>
        <w:rPr>
          <w:rFonts w:ascii="Times New Roman" w:eastAsia="Times New Roman" w:hAnsi="Times New Roman" w:cs="Times New Roman"/>
          <w:sz w:val="28"/>
        </w:rPr>
        <w:t xml:space="preserve">ыездом на выселение из округа [5].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В этих условиях баи - образованная элита казахского общества, имевшая высшее образование, в т.ч. и в российских вузах Москвы, Санкт-Петербурга, </w:t>
      </w:r>
      <w:r>
        <w:rPr>
          <w:rFonts w:ascii="Times New Roman" w:eastAsia="Times New Roman" w:hAnsi="Times New Roman" w:cs="Times New Roman"/>
          <w:sz w:val="28"/>
        </w:rPr>
        <w:lastRenderedPageBreak/>
        <w:t>Казани, пытаются защитить себя. Они пишут письма и жалобы в Казкрайком и вп</w:t>
      </w:r>
      <w:r>
        <w:rPr>
          <w:rFonts w:ascii="Times New Roman" w:eastAsia="Times New Roman" w:hAnsi="Times New Roman" w:cs="Times New Roman"/>
          <w:sz w:val="28"/>
        </w:rPr>
        <w:t>лоть до Всесоюзного старосты М.И.Калинина, есть коллективное письмо жителей Семипалатинской губернии И.В.Сталину. Конфискация «привела скотоводческий район к полной экономической разрухе и упадку. Несмотря на падеж скота вследствие бескормицы и гололедицы,</w:t>
      </w:r>
      <w:r>
        <w:rPr>
          <w:rFonts w:ascii="Times New Roman" w:eastAsia="Times New Roman" w:hAnsi="Times New Roman" w:cs="Times New Roman"/>
          <w:sz w:val="28"/>
        </w:rPr>
        <w:t xml:space="preserve"> местная власть вынудила население и нас ликвидировать за бесценок свой скот, в котором заключается единственный источник жизни трудового казаха. Крупный баран продавался за 2 руб., рогатый скот за 15 руб., лучшая лошадь за 20 руб., юрта за 50–100 руб., ко</w:t>
      </w:r>
      <w:r>
        <w:rPr>
          <w:rFonts w:ascii="Times New Roman" w:eastAsia="Times New Roman" w:hAnsi="Times New Roman" w:cs="Times New Roman"/>
          <w:sz w:val="28"/>
        </w:rPr>
        <w:t xml:space="preserve">вер за 4 руб.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Таким образом, великая идея самообложения на первых порах осуществления в корне подорвана, директивы партии и центра извращены, население и мы стали нищими.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Вместе с этим началась волна судебных процессов за сокрытие скота. Местными </w:t>
      </w:r>
      <w:r>
        <w:rPr>
          <w:rFonts w:ascii="Times New Roman" w:eastAsia="Times New Roman" w:hAnsi="Times New Roman" w:cs="Times New Roman"/>
          <w:sz w:val="28"/>
        </w:rPr>
        <w:t>органами творился безудержный произвол, создавались против нас искусственные обвинения по 62, 169 ст. УК. Нарсудьи выносили противозаконные приговоры о конфискации всего скота, а наши кассационные жалобы губсудом не принимались во внимание и явно противоза</w:t>
      </w:r>
      <w:r>
        <w:rPr>
          <w:rFonts w:ascii="Times New Roman" w:eastAsia="Times New Roman" w:hAnsi="Times New Roman" w:cs="Times New Roman"/>
          <w:sz w:val="28"/>
        </w:rPr>
        <w:t>конные приговоры оставались в силе. Приговоры нарсудов приводились в исполнение немедленно. Скот отбирался целиком. Ныне наши семьи бедствуют. В дополнение к противозаконным приговорам губком и губисполком выпустили в газетах постановления по делу распреде</w:t>
      </w:r>
      <w:r>
        <w:rPr>
          <w:rFonts w:ascii="Times New Roman" w:eastAsia="Times New Roman" w:hAnsi="Times New Roman" w:cs="Times New Roman"/>
          <w:sz w:val="28"/>
        </w:rPr>
        <w:t xml:space="preserve">ления конфискованного у нас скота.  </w:t>
      </w:r>
    </w:p>
    <w:p w:rsidR="0052701D" w:rsidRDefault="00D40929">
      <w:pPr>
        <w:spacing w:after="5" w:line="271" w:lineRule="auto"/>
        <w:ind w:left="9" w:right="64" w:firstLine="711"/>
        <w:jc w:val="both"/>
      </w:pPr>
      <w:r>
        <w:rPr>
          <w:rFonts w:ascii="Times New Roman" w:eastAsia="Times New Roman" w:hAnsi="Times New Roman" w:cs="Times New Roman"/>
          <w:sz w:val="28"/>
        </w:rPr>
        <w:t>Все указанное выше самым угнетающим образом действует на население и нас. Теряется вера в завтрашний день, бросается, разоряется хозяйство, развитие и дальнейшее ведение хозяйства делается не целесообразным, что составл</w:t>
      </w:r>
      <w:r>
        <w:rPr>
          <w:rFonts w:ascii="Times New Roman" w:eastAsia="Times New Roman" w:hAnsi="Times New Roman" w:cs="Times New Roman"/>
          <w:sz w:val="28"/>
        </w:rPr>
        <w:t xml:space="preserve">яет для нас источник бесконечных страданий и лишений» [6]. Но чаще всего эти просьбы остаются без ответа.   </w:t>
      </w:r>
    </w:p>
    <w:p w:rsidR="0052701D" w:rsidRDefault="00D40929">
      <w:pPr>
        <w:spacing w:after="5" w:line="271" w:lineRule="auto"/>
        <w:ind w:left="9" w:right="64" w:firstLine="711"/>
        <w:jc w:val="both"/>
      </w:pPr>
      <w:r>
        <w:rPr>
          <w:rFonts w:ascii="Times New Roman" w:eastAsia="Times New Roman" w:hAnsi="Times New Roman" w:cs="Times New Roman"/>
          <w:sz w:val="28"/>
        </w:rPr>
        <w:t>Вынужденные покинуть родные места переселенцы не теряли связи с аулом, родственниками, часто к выселенным в другие округа отправляли делегатов от а</w:t>
      </w:r>
      <w:r>
        <w:rPr>
          <w:rFonts w:ascii="Times New Roman" w:eastAsia="Times New Roman" w:hAnsi="Times New Roman" w:cs="Times New Roman"/>
          <w:sz w:val="28"/>
        </w:rPr>
        <w:t>ула с собранной всем миром помощью деньгами и пр., и это говорит о большом заслуженном авторитете баев перед родными, и в целом населения аула, беднотой, оставшимися в ауле. Были случаи, когда они через какое-то время возвращались назад в родные места, либ</w:t>
      </w:r>
      <w:r>
        <w:rPr>
          <w:rFonts w:ascii="Times New Roman" w:eastAsia="Times New Roman" w:hAnsi="Times New Roman" w:cs="Times New Roman"/>
          <w:sz w:val="28"/>
        </w:rPr>
        <w:t>о не уезжали, а скрывались в соседних районах от преследований, но по донесениям их находили и отправляли опять в округ выселения. К сожалению, доносы в тот период становятся распространенным явлением, их пишет на постоянной систематической основе целая се</w:t>
      </w:r>
      <w:r>
        <w:rPr>
          <w:rFonts w:ascii="Times New Roman" w:eastAsia="Times New Roman" w:hAnsi="Times New Roman" w:cs="Times New Roman"/>
          <w:sz w:val="28"/>
        </w:rPr>
        <w:t xml:space="preserve">ть осведомителей под псевдонимами.  </w:t>
      </w:r>
    </w:p>
    <w:p w:rsidR="0052701D" w:rsidRDefault="00D40929">
      <w:pPr>
        <w:spacing w:after="5" w:line="271" w:lineRule="auto"/>
        <w:ind w:left="9" w:right="64" w:firstLine="711"/>
        <w:jc w:val="both"/>
      </w:pPr>
      <w:r>
        <w:rPr>
          <w:rFonts w:ascii="Times New Roman" w:eastAsia="Times New Roman" w:hAnsi="Times New Roman" w:cs="Times New Roman"/>
          <w:sz w:val="28"/>
        </w:rPr>
        <w:lastRenderedPageBreak/>
        <w:t xml:space="preserve">Пытаясь спастись от выселения и конфискации, а в начале 1930-х годов и от голода, часть преследуемых баев, кулаков и шаруа стремятся уйти за границу в Китай, Монголию, Узбекистан, Россию, но не всем это удавалось. Есть </w:t>
      </w:r>
      <w:r>
        <w:rPr>
          <w:rFonts w:ascii="Times New Roman" w:eastAsia="Times New Roman" w:hAnsi="Times New Roman" w:cs="Times New Roman"/>
          <w:sz w:val="28"/>
        </w:rPr>
        <w:t>примеры, когда перешедших за границу вновь сдавали советским властям, либо задерживали на границе при переходе, все они подвергались аресту, вновь выселялись, конфисковывали скот, приговаривались вновь к выселению или к расстрелу. B архивах Москвы содержат</w:t>
      </w:r>
      <w:r>
        <w:rPr>
          <w:rFonts w:ascii="Times New Roman" w:eastAsia="Times New Roman" w:hAnsi="Times New Roman" w:cs="Times New Roman"/>
          <w:sz w:val="28"/>
        </w:rPr>
        <w:t>ся документы, рассказывающие о районах миграции казахов-голодобеженцев: так по данным ГАРΦ, РГАЗ и других архивов, география их миграции простиралась от Камчатки до Cеверного края (Архангельск), от Bладивостока до Днепропетровска и Запорожья, не считая гор</w:t>
      </w:r>
      <w:r>
        <w:rPr>
          <w:rFonts w:ascii="Times New Roman" w:eastAsia="Times New Roman" w:hAnsi="Times New Roman" w:cs="Times New Roman"/>
          <w:sz w:val="28"/>
        </w:rPr>
        <w:t>ода и районы Cибири, Нижней и Cредней Bолги и Зауралья, Узбекистана, Киргизии, Туркмении, Таджикистана, далее Китая, Афганистана и Ирана. Более одного миллиона человек оказались в числе голодобеженцев. Из них лишь чуть более 400 тыс. возвратились позже в р</w:t>
      </w:r>
      <w:r>
        <w:rPr>
          <w:rFonts w:ascii="Times New Roman" w:eastAsia="Times New Roman" w:hAnsi="Times New Roman" w:cs="Times New Roman"/>
          <w:sz w:val="28"/>
        </w:rPr>
        <w:t xml:space="preserve">еспублику. Cколько их погибло в местах миграции, установить невозможно [7]. Таким образом, большинство баев, кулаков, шаруа, подвергавшиеся преследованиям в 1920-30е гг., ставшие безвинными и безправными жертвами политических репрессий, были обречены. </w:t>
      </w:r>
    </w:p>
    <w:p w:rsidR="0052701D" w:rsidRDefault="00D40929">
      <w:pPr>
        <w:spacing w:after="5" w:line="271" w:lineRule="auto"/>
        <w:ind w:left="9" w:right="64" w:firstLine="711"/>
        <w:jc w:val="both"/>
      </w:pPr>
      <w:r>
        <w:rPr>
          <w:rFonts w:ascii="Times New Roman" w:eastAsia="Times New Roman" w:hAnsi="Times New Roman" w:cs="Times New Roman"/>
          <w:sz w:val="28"/>
        </w:rPr>
        <w:t>Выв</w:t>
      </w:r>
      <w:r>
        <w:rPr>
          <w:rFonts w:ascii="Times New Roman" w:eastAsia="Times New Roman" w:hAnsi="Times New Roman" w:cs="Times New Roman"/>
          <w:sz w:val="28"/>
        </w:rPr>
        <w:t>оды: Переоценка и переосмысление своей истории – это задача не только исторической науки, но комплекса гуманитарных дисциплин, в том числе с применением информационных технологий, которые соприкасаются с вопросами отечественной истории 1920-30-х гг. Изучен</w:t>
      </w:r>
      <w:r>
        <w:rPr>
          <w:rFonts w:ascii="Times New Roman" w:eastAsia="Times New Roman" w:hAnsi="Times New Roman" w:cs="Times New Roman"/>
          <w:sz w:val="28"/>
        </w:rPr>
        <w:t>ие вопросов специфики национальной философии, ментальности, демографии, социологии, психологии корнями уходят так же и в период 1920-30-х гг. Психологи утверждают, что голод, политические репрессии, война, пережитые поколениями наших прадедов и дедов залож</w:t>
      </w:r>
      <w:r>
        <w:rPr>
          <w:rFonts w:ascii="Times New Roman" w:eastAsia="Times New Roman" w:hAnsi="Times New Roman" w:cs="Times New Roman"/>
          <w:sz w:val="28"/>
        </w:rPr>
        <w:t>или комплекс психоэмоциональных установок и убеждений, которые до сих пор отражаются на современном поколении казахов и других народов, наследующих тот или иной сценарий психологического поведения. Таким образом, предки являются «сценаристами» наших психол</w:t>
      </w:r>
      <w:r>
        <w:rPr>
          <w:rFonts w:ascii="Times New Roman" w:eastAsia="Times New Roman" w:hAnsi="Times New Roman" w:cs="Times New Roman"/>
          <w:sz w:val="28"/>
        </w:rPr>
        <w:t xml:space="preserve">огических установок и стереотипов, слепком их жизни, наполненной страхами, лишениями, массовыми смертями, отчаянной борьбой за выживание, унижениями и заниженной самооценкой. Следовательно, нынешнее поколение казахов является «актерами», реализующими этот </w:t>
      </w:r>
      <w:r>
        <w:rPr>
          <w:rFonts w:ascii="Times New Roman" w:eastAsia="Times New Roman" w:hAnsi="Times New Roman" w:cs="Times New Roman"/>
          <w:sz w:val="28"/>
        </w:rPr>
        <w:t xml:space="preserve">тяжелый кармический травматический синдром своих предков. В философско-психологическом аспекте это закладывает основы отрешенности, отчуждения, покорности и конформизма.   </w:t>
      </w:r>
    </w:p>
    <w:p w:rsidR="0052701D" w:rsidRDefault="00D40929">
      <w:pPr>
        <w:spacing w:after="5" w:line="271" w:lineRule="auto"/>
        <w:ind w:left="9" w:right="64" w:firstLine="711"/>
        <w:jc w:val="both"/>
      </w:pPr>
      <w:r>
        <w:rPr>
          <w:rFonts w:ascii="Times New Roman" w:eastAsia="Times New Roman" w:hAnsi="Times New Roman" w:cs="Times New Roman"/>
          <w:sz w:val="28"/>
        </w:rPr>
        <w:t>Переосмысление трагических страниц истории и культуры нашего народа на основе новых</w:t>
      </w:r>
      <w:r>
        <w:rPr>
          <w:rFonts w:ascii="Times New Roman" w:eastAsia="Times New Roman" w:hAnsi="Times New Roman" w:cs="Times New Roman"/>
          <w:sz w:val="28"/>
        </w:rPr>
        <w:t xml:space="preserve"> архивных источников, комплексный междисциплинарный подход к их изучению имеет широкое научное теоретическое и практическое значение.  Работая в архивах по реабилитации жертв политических репрессий </w:t>
      </w:r>
      <w:r>
        <w:rPr>
          <w:rFonts w:ascii="Times New Roman" w:eastAsia="Times New Roman" w:hAnsi="Times New Roman" w:cs="Times New Roman"/>
          <w:sz w:val="28"/>
        </w:rPr>
        <w:lastRenderedPageBreak/>
        <w:t>кулаков, баев, полуфеодалов (середняков) и крестьян шаруа,</w:t>
      </w:r>
      <w:r>
        <w:rPr>
          <w:rFonts w:ascii="Times New Roman" w:eastAsia="Times New Roman" w:hAnsi="Times New Roman" w:cs="Times New Roman"/>
          <w:sz w:val="28"/>
        </w:rPr>
        <w:t xml:space="preserve"> необходимо восстановить историческую справедливость, реабилитировать безвинные жертвы террора, выявить его масштабы,  сохранить память о нашем трагическом прошлом не позволяя его повторения в будущем.  </w:t>
      </w:r>
    </w:p>
    <w:p w:rsidR="0052701D" w:rsidRDefault="00D40929">
      <w:pPr>
        <w:spacing w:after="0"/>
        <w:ind w:left="711"/>
      </w:pPr>
      <w:r>
        <w:rPr>
          <w:rFonts w:ascii="Times New Roman" w:eastAsia="Times New Roman" w:hAnsi="Times New Roman" w:cs="Times New Roman"/>
          <w:sz w:val="28"/>
        </w:rPr>
        <w:t xml:space="preserve"> </w:t>
      </w:r>
    </w:p>
    <w:p w:rsidR="0052701D" w:rsidRDefault="00D40929">
      <w:pPr>
        <w:spacing w:after="16" w:line="248" w:lineRule="auto"/>
        <w:ind w:left="819" w:right="179" w:hanging="10"/>
        <w:jc w:val="center"/>
      </w:pPr>
      <w:r>
        <w:rPr>
          <w:rFonts w:ascii="Times New Roman" w:eastAsia="Times New Roman" w:hAnsi="Times New Roman" w:cs="Times New Roman"/>
          <w:b/>
          <w:sz w:val="24"/>
        </w:rPr>
        <w:t xml:space="preserve">ИСТОЧНИКИ </w:t>
      </w:r>
    </w:p>
    <w:p w:rsidR="0052701D" w:rsidRDefault="00D40929">
      <w:pPr>
        <w:numPr>
          <w:ilvl w:val="0"/>
          <w:numId w:val="85"/>
        </w:numPr>
        <w:spacing w:after="29" w:line="248" w:lineRule="auto"/>
        <w:ind w:right="14" w:firstLine="355"/>
        <w:jc w:val="both"/>
      </w:pPr>
      <w:r>
        <w:rPr>
          <w:rFonts w:ascii="Times New Roman" w:eastAsia="Times New Roman" w:hAnsi="Times New Roman" w:cs="Times New Roman"/>
          <w:sz w:val="24"/>
        </w:rPr>
        <w:t>Указ «О создании Государственной комисс</w:t>
      </w:r>
      <w:r>
        <w:rPr>
          <w:rFonts w:ascii="Times New Roman" w:eastAsia="Times New Roman" w:hAnsi="Times New Roman" w:cs="Times New Roman"/>
          <w:sz w:val="24"/>
        </w:rPr>
        <w:t xml:space="preserve">ии по полной реабилитации жертв политических репрессий» // Казахстанская правда. 24.11.2020.  </w:t>
      </w:r>
    </w:p>
    <w:p w:rsidR="0052701D" w:rsidRDefault="00D40929">
      <w:pPr>
        <w:numPr>
          <w:ilvl w:val="0"/>
          <w:numId w:val="85"/>
        </w:numPr>
        <w:spacing w:after="29" w:line="248" w:lineRule="auto"/>
        <w:ind w:right="14" w:firstLine="355"/>
        <w:jc w:val="both"/>
      </w:pPr>
      <w:r>
        <w:rPr>
          <w:rFonts w:ascii="Times New Roman" w:eastAsia="Times New Roman" w:hAnsi="Times New Roman" w:cs="Times New Roman"/>
          <w:sz w:val="24"/>
        </w:rPr>
        <w:t xml:space="preserve">ЦГА РК. Ф. 135. Oп. 1. Д. 1. Л.6.  </w:t>
      </w:r>
    </w:p>
    <w:p w:rsidR="0052701D" w:rsidRDefault="00D40929">
      <w:pPr>
        <w:numPr>
          <w:ilvl w:val="0"/>
          <w:numId w:val="85"/>
        </w:numPr>
        <w:spacing w:after="29" w:line="248" w:lineRule="auto"/>
        <w:ind w:right="14" w:firstLine="355"/>
        <w:jc w:val="both"/>
      </w:pPr>
      <w:r>
        <w:rPr>
          <w:rFonts w:ascii="Times New Roman" w:eastAsia="Times New Roman" w:hAnsi="Times New Roman" w:cs="Times New Roman"/>
          <w:sz w:val="24"/>
        </w:rPr>
        <w:t xml:space="preserve">AП РK. Ф. 141. Он. 1. Д. 2007. Л. 15  [4] AП РК. Ф. 141. Oп. 1. Д. 2007. Л. 37.  </w:t>
      </w:r>
    </w:p>
    <w:p w:rsidR="0052701D" w:rsidRDefault="00D40929">
      <w:pPr>
        <w:numPr>
          <w:ilvl w:val="0"/>
          <w:numId w:val="86"/>
        </w:numPr>
        <w:spacing w:after="29" w:line="248" w:lineRule="auto"/>
        <w:ind w:right="14" w:firstLine="711"/>
        <w:jc w:val="both"/>
      </w:pPr>
      <w:r>
        <w:rPr>
          <w:rFonts w:ascii="Times New Roman" w:eastAsia="Times New Roman" w:hAnsi="Times New Roman" w:cs="Times New Roman"/>
          <w:sz w:val="24"/>
        </w:rPr>
        <w:t xml:space="preserve">ЦГА РК, ф.135, оп 1. Д.157. Л. 25  </w:t>
      </w:r>
    </w:p>
    <w:p w:rsidR="0052701D" w:rsidRDefault="00D40929">
      <w:pPr>
        <w:numPr>
          <w:ilvl w:val="0"/>
          <w:numId w:val="86"/>
        </w:numPr>
        <w:spacing w:after="29" w:line="248" w:lineRule="auto"/>
        <w:ind w:right="14" w:firstLine="711"/>
        <w:jc w:val="both"/>
      </w:pPr>
      <w:r>
        <w:rPr>
          <w:rFonts w:ascii="Times New Roman" w:eastAsia="Times New Roman" w:hAnsi="Times New Roman" w:cs="Times New Roman"/>
          <w:sz w:val="24"/>
        </w:rPr>
        <w:t xml:space="preserve">AП РK. </w:t>
      </w:r>
      <w:r>
        <w:rPr>
          <w:rFonts w:ascii="Times New Roman" w:eastAsia="Times New Roman" w:hAnsi="Times New Roman" w:cs="Times New Roman"/>
          <w:sz w:val="24"/>
        </w:rPr>
        <w:t xml:space="preserve">Ф. 141. Оп. 1. Д. 1675. Л. 124–125  </w:t>
      </w:r>
    </w:p>
    <w:p w:rsidR="0052701D" w:rsidRDefault="00D40929">
      <w:pPr>
        <w:numPr>
          <w:ilvl w:val="0"/>
          <w:numId w:val="86"/>
        </w:numPr>
        <w:spacing w:after="9" w:line="248" w:lineRule="auto"/>
        <w:ind w:right="14" w:firstLine="711"/>
        <w:jc w:val="both"/>
      </w:pPr>
      <w:r>
        <w:rPr>
          <w:rFonts w:ascii="Times New Roman" w:eastAsia="Times New Roman" w:hAnsi="Times New Roman" w:cs="Times New Roman"/>
          <w:sz w:val="24"/>
        </w:rPr>
        <w:t xml:space="preserve">Трагедия казахского аула. 1928–1934. Тoм 1. 1928 – апрель 1929. Cборник дoкyмeнтoв. А.2013. с.9  </w:t>
      </w:r>
    </w:p>
    <w:p w:rsidR="0052701D" w:rsidRDefault="00D40929">
      <w:pPr>
        <w:spacing w:after="0"/>
        <w:ind w:left="711"/>
      </w:pPr>
      <w:r>
        <w:rPr>
          <w:rFonts w:ascii="Times New Roman" w:eastAsia="Times New Roman" w:hAnsi="Times New Roman" w:cs="Times New Roman"/>
          <w:sz w:val="24"/>
        </w:rPr>
        <w:t xml:space="preserve"> </w:t>
      </w:r>
    </w:p>
    <w:p w:rsidR="0052701D" w:rsidRDefault="00D40929">
      <w:pPr>
        <w:spacing w:after="0"/>
        <w:ind w:left="711"/>
      </w:pPr>
      <w:r>
        <w:rPr>
          <w:rFonts w:ascii="Times New Roman" w:eastAsia="Times New Roman" w:hAnsi="Times New Roman" w:cs="Times New Roman"/>
          <w:sz w:val="24"/>
        </w:rPr>
        <w:t xml:space="preserve"> </w:t>
      </w:r>
    </w:p>
    <w:p w:rsidR="0052701D" w:rsidRDefault="00D40929">
      <w:pPr>
        <w:spacing w:after="53" w:line="271" w:lineRule="auto"/>
        <w:ind w:left="-5" w:right="194" w:hanging="10"/>
      </w:pPr>
      <w:r>
        <w:rPr>
          <w:rFonts w:ascii="Times New Roman" w:eastAsia="Times New Roman" w:hAnsi="Times New Roman" w:cs="Times New Roman"/>
          <w:b/>
          <w:sz w:val="24"/>
        </w:rPr>
        <w:t xml:space="preserve">УДК 159.923 МРНТИ 15.41.21 </w:t>
      </w:r>
    </w:p>
    <w:p w:rsidR="0052701D" w:rsidRDefault="00D40929">
      <w:pPr>
        <w:spacing w:after="55"/>
      </w:pPr>
      <w:r>
        <w:rPr>
          <w:rFonts w:ascii="Times New Roman" w:eastAsia="Times New Roman" w:hAnsi="Times New Roman" w:cs="Times New Roman"/>
          <w:sz w:val="20"/>
        </w:rPr>
        <w:t xml:space="preserve"> </w:t>
      </w:r>
    </w:p>
    <w:p w:rsidR="0052701D" w:rsidRDefault="00D40929">
      <w:pPr>
        <w:pStyle w:val="1"/>
        <w:spacing w:line="251" w:lineRule="auto"/>
        <w:ind w:left="4183" w:right="0" w:hanging="2925"/>
        <w:jc w:val="left"/>
      </w:pPr>
      <w:r>
        <w:t xml:space="preserve">THE PROBLEM OF PERSONALITY IN THE INFORMATION </w:t>
      </w:r>
    </w:p>
    <w:p w:rsidR="0052701D" w:rsidRDefault="00D40929">
      <w:pPr>
        <w:spacing w:after="5" w:line="251" w:lineRule="auto"/>
        <w:ind w:left="4183" w:hanging="2925"/>
      </w:pPr>
      <w:r>
        <w:rPr>
          <w:rFonts w:ascii="Times New Roman" w:eastAsia="Times New Roman" w:hAnsi="Times New Roman" w:cs="Times New Roman"/>
          <w:b/>
          <w:sz w:val="28"/>
        </w:rPr>
        <w:t xml:space="preserve">SOCIETY </w:t>
      </w:r>
    </w:p>
    <w:p w:rsidR="0052701D" w:rsidRDefault="00D40929">
      <w:pPr>
        <w:spacing w:after="12"/>
        <w:ind w:left="711"/>
      </w:pPr>
      <w:r>
        <w:rPr>
          <w:rFonts w:ascii="Times New Roman" w:eastAsia="Times New Roman" w:hAnsi="Times New Roman" w:cs="Times New Roman"/>
          <w:b/>
          <w:sz w:val="20"/>
        </w:rPr>
        <w:t xml:space="preserve"> </w:t>
      </w:r>
    </w:p>
    <w:p w:rsidR="0052701D" w:rsidRDefault="00D40929">
      <w:pPr>
        <w:pStyle w:val="1"/>
        <w:spacing w:after="16" w:line="248" w:lineRule="auto"/>
        <w:ind w:left="819" w:right="170"/>
      </w:pPr>
      <w:r>
        <w:rPr>
          <w:sz w:val="24"/>
        </w:rPr>
        <w:t xml:space="preserve">Naurzbekova I., Omirbekova </w:t>
      </w:r>
      <w:r>
        <w:rPr>
          <w:sz w:val="24"/>
        </w:rPr>
        <w:t>Zh.O</w:t>
      </w:r>
      <w:r>
        <w:rPr>
          <w:b w:val="0"/>
          <w:sz w:val="24"/>
        </w:rPr>
        <w:t xml:space="preserve">. </w:t>
      </w:r>
    </w:p>
    <w:p w:rsidR="0052701D" w:rsidRDefault="00D40929">
      <w:pPr>
        <w:spacing w:after="0" w:line="248" w:lineRule="auto"/>
        <w:ind w:left="1407" w:right="14" w:hanging="331"/>
        <w:jc w:val="both"/>
      </w:pPr>
      <w:r>
        <w:rPr>
          <w:rFonts w:ascii="Times New Roman" w:eastAsia="Times New Roman" w:hAnsi="Times New Roman" w:cs="Times New Roman"/>
          <w:sz w:val="24"/>
        </w:rPr>
        <w:t>Almaty University of Energy and Communications SIBa-21-12, Scientific supervisor Department of Social Sciences Senior teacher zh.omirbekova@aues.kz</w:t>
      </w:r>
      <w:r>
        <w:rPr>
          <w:rFonts w:ascii="Times New Roman" w:eastAsia="Times New Roman" w:hAnsi="Times New Roman" w:cs="Times New Roman"/>
          <w:b/>
          <w:sz w:val="24"/>
        </w:rPr>
        <w:t xml:space="preserve"> </w:t>
      </w:r>
    </w:p>
    <w:p w:rsidR="0052701D" w:rsidRDefault="00D40929">
      <w:pPr>
        <w:spacing w:after="0"/>
        <w:ind w:left="711"/>
      </w:pPr>
      <w:r>
        <w:rPr>
          <w:rFonts w:ascii="Times New Roman" w:eastAsia="Times New Roman" w:hAnsi="Times New Roman" w:cs="Times New Roman"/>
          <w:b/>
          <w:sz w:val="24"/>
        </w:rPr>
        <w:t xml:space="preserve"> </w:t>
      </w:r>
    </w:p>
    <w:p w:rsidR="0052701D" w:rsidRDefault="00D40929">
      <w:pPr>
        <w:spacing w:after="0" w:line="248" w:lineRule="auto"/>
        <w:ind w:left="9" w:firstLine="711"/>
        <w:jc w:val="both"/>
      </w:pPr>
      <w:r>
        <w:rPr>
          <w:rFonts w:ascii="Times New Roman" w:eastAsia="Times New Roman" w:hAnsi="Times New Roman" w:cs="Times New Roman"/>
          <w:b/>
          <w:i/>
          <w:sz w:val="24"/>
        </w:rPr>
        <w:t>Annotation</w:t>
      </w:r>
      <w:r>
        <w:rPr>
          <w:rFonts w:ascii="Times New Roman" w:eastAsia="Times New Roman" w:hAnsi="Times New Roman" w:cs="Times New Roman"/>
          <w:i/>
          <w:sz w:val="24"/>
        </w:rPr>
        <w:t>. At present days personality is considered one of the most actual issues of philosophy.</w:t>
      </w:r>
      <w:r>
        <w:rPr>
          <w:rFonts w:ascii="Times New Roman" w:eastAsia="Times New Roman" w:hAnsi="Times New Roman" w:cs="Times New Roman"/>
          <w:i/>
          <w:sz w:val="24"/>
        </w:rPr>
        <w:t xml:space="preserve"> Because the rapid development of our society with the help of technology places high demands on the formation of a determined, flexible personality. And in the current state of society, in the period of renewal of the economic, cultural, socio-economic as</w:t>
      </w:r>
      <w:r>
        <w:rPr>
          <w:rFonts w:ascii="Times New Roman" w:eastAsia="Times New Roman" w:hAnsi="Times New Roman" w:cs="Times New Roman"/>
          <w:i/>
          <w:sz w:val="24"/>
        </w:rPr>
        <w:t>pects of the country, the process of correct formation has a great influence on the development of a person as a benevolent person in the future. Personality is a product of socio-historical development. Personality is the result of the exact development o</w:t>
      </w:r>
      <w:r>
        <w:rPr>
          <w:rFonts w:ascii="Times New Roman" w:eastAsia="Times New Roman" w:hAnsi="Times New Roman" w:cs="Times New Roman"/>
          <w:i/>
          <w:sz w:val="24"/>
        </w:rPr>
        <w:t>f human, the full expression of human qualities. The place of a person in the system of social relations, his actions are the conditions that can determine the formation of his personality. Human is a manifestation of the highest stage of life development,</w:t>
      </w:r>
      <w:r>
        <w:rPr>
          <w:rFonts w:ascii="Times New Roman" w:eastAsia="Times New Roman" w:hAnsi="Times New Roman" w:cs="Times New Roman"/>
          <w:i/>
          <w:sz w:val="24"/>
        </w:rPr>
        <w:t xml:space="preserve"> the fruit of social work and a being expressing the unity of social being with nature.</w:t>
      </w:r>
      <w:r>
        <w:rPr>
          <w:rFonts w:ascii="Times New Roman" w:eastAsia="Times New Roman" w:hAnsi="Times New Roman" w:cs="Times New Roman"/>
          <w:b/>
          <w:i/>
          <w:sz w:val="24"/>
        </w:rPr>
        <w:t xml:space="preserve"> </w:t>
      </w:r>
    </w:p>
    <w:p w:rsidR="0052701D" w:rsidRDefault="00D40929">
      <w:pPr>
        <w:spacing w:after="0" w:line="248" w:lineRule="auto"/>
        <w:ind w:left="9" w:firstLine="711"/>
        <w:jc w:val="both"/>
      </w:pPr>
      <w:r>
        <w:rPr>
          <w:rFonts w:ascii="Times New Roman" w:eastAsia="Times New Roman" w:hAnsi="Times New Roman" w:cs="Times New Roman"/>
          <w:b/>
          <w:i/>
          <w:sz w:val="24"/>
        </w:rPr>
        <w:t>Keywords:</w:t>
      </w:r>
      <w:r>
        <w:rPr>
          <w:rFonts w:ascii="Times New Roman" w:eastAsia="Times New Roman" w:hAnsi="Times New Roman" w:cs="Times New Roman"/>
          <w:i/>
          <w:sz w:val="24"/>
        </w:rPr>
        <w:t xml:space="preserve"> Personality, philosophy, society, person, information, Information society, technology, century.</w:t>
      </w:r>
      <w:r>
        <w:rPr>
          <w:rFonts w:ascii="Times New Roman" w:eastAsia="Times New Roman" w:hAnsi="Times New Roman" w:cs="Times New Roman"/>
          <w:b/>
          <w:i/>
          <w:sz w:val="24"/>
        </w:rPr>
        <w:t xml:space="preserve"> </w:t>
      </w:r>
    </w:p>
    <w:p w:rsidR="0052701D" w:rsidRDefault="00D40929">
      <w:pPr>
        <w:spacing w:after="0"/>
        <w:ind w:left="711"/>
      </w:pPr>
      <w:r>
        <w:rPr>
          <w:rFonts w:ascii="Times New Roman" w:eastAsia="Times New Roman" w:hAnsi="Times New Roman" w:cs="Times New Roman"/>
          <w:b/>
          <w:i/>
          <w:sz w:val="20"/>
        </w:rPr>
        <w:t xml:space="preserve"> </w:t>
      </w:r>
    </w:p>
    <w:p w:rsidR="0052701D" w:rsidRDefault="00D40929">
      <w:pPr>
        <w:spacing w:after="112"/>
        <w:ind w:left="711"/>
      </w:pPr>
      <w:r>
        <w:rPr>
          <w:rFonts w:ascii="Times New Roman" w:eastAsia="Times New Roman" w:hAnsi="Times New Roman" w:cs="Times New Roman"/>
          <w:b/>
          <w:i/>
          <w:sz w:val="20"/>
        </w:rPr>
        <w:t xml:space="preserve"> </w:t>
      </w:r>
    </w:p>
    <w:p w:rsidR="0052701D" w:rsidRDefault="00D40929">
      <w:pPr>
        <w:spacing w:after="5" w:line="251" w:lineRule="auto"/>
        <w:ind w:left="720" w:firstLine="9"/>
      </w:pPr>
      <w:r>
        <w:rPr>
          <w:rFonts w:ascii="Times New Roman" w:eastAsia="Times New Roman" w:hAnsi="Times New Roman" w:cs="Times New Roman"/>
          <w:b/>
          <w:sz w:val="28"/>
        </w:rPr>
        <w:t xml:space="preserve">ПРОБЛЕМА ЛИЧНОСТИ В ИНФОРМАЦИОННОМ ОБЩЕСТВЕ </w:t>
      </w:r>
    </w:p>
    <w:p w:rsidR="0052701D" w:rsidRDefault="00D40929">
      <w:pPr>
        <w:spacing w:after="26"/>
        <w:ind w:left="711"/>
      </w:pPr>
      <w:r>
        <w:rPr>
          <w:rFonts w:ascii="Times New Roman" w:eastAsia="Times New Roman" w:hAnsi="Times New Roman" w:cs="Times New Roman"/>
          <w:sz w:val="24"/>
        </w:rPr>
        <w:t xml:space="preserve"> </w:t>
      </w:r>
    </w:p>
    <w:p w:rsidR="0052701D" w:rsidRDefault="00D40929">
      <w:pPr>
        <w:spacing w:after="16" w:line="248" w:lineRule="auto"/>
        <w:ind w:left="819" w:right="175" w:hanging="10"/>
        <w:jc w:val="center"/>
      </w:pPr>
      <w:r>
        <w:rPr>
          <w:rFonts w:ascii="Times New Roman" w:eastAsia="Times New Roman" w:hAnsi="Times New Roman" w:cs="Times New Roman"/>
          <w:b/>
          <w:sz w:val="24"/>
        </w:rPr>
        <w:t xml:space="preserve">Омирбекова Ж.О., Наурзбекова И., </w:t>
      </w:r>
    </w:p>
    <w:p w:rsidR="0052701D" w:rsidRDefault="00D40929">
      <w:pPr>
        <w:spacing w:after="29" w:line="248" w:lineRule="auto"/>
        <w:ind w:left="970" w:right="14"/>
        <w:jc w:val="both"/>
      </w:pPr>
      <w:r>
        <w:rPr>
          <w:rFonts w:ascii="Times New Roman" w:eastAsia="Times New Roman" w:hAnsi="Times New Roman" w:cs="Times New Roman"/>
          <w:sz w:val="24"/>
        </w:rPr>
        <w:t>НАО «Алматинский университет энергетики и связи имени Гумарбека Даукеева»</w:t>
      </w:r>
      <w:r>
        <w:rPr>
          <w:rFonts w:ascii="Times New Roman" w:eastAsia="Times New Roman" w:hAnsi="Times New Roman" w:cs="Times New Roman"/>
          <w:b/>
          <w:sz w:val="24"/>
        </w:rPr>
        <w:t xml:space="preserve"> </w:t>
      </w:r>
    </w:p>
    <w:p w:rsidR="0052701D" w:rsidRDefault="00D40929">
      <w:pPr>
        <w:spacing w:after="14" w:line="248" w:lineRule="auto"/>
        <w:ind w:left="713" w:right="73" w:hanging="5"/>
        <w:jc w:val="center"/>
      </w:pPr>
      <w:r>
        <w:rPr>
          <w:rFonts w:ascii="Times New Roman" w:eastAsia="Times New Roman" w:hAnsi="Times New Roman" w:cs="Times New Roman"/>
          <w:sz w:val="24"/>
        </w:rPr>
        <w:t>г. Алматы, Республика Казахстан</w:t>
      </w:r>
      <w:r>
        <w:rPr>
          <w:rFonts w:ascii="Times New Roman" w:eastAsia="Times New Roman" w:hAnsi="Times New Roman" w:cs="Times New Roman"/>
          <w:b/>
          <w:sz w:val="24"/>
        </w:rPr>
        <w:t xml:space="preserve"> </w:t>
      </w:r>
    </w:p>
    <w:p w:rsidR="0052701D" w:rsidRDefault="00D40929">
      <w:pPr>
        <w:spacing w:after="14" w:line="248" w:lineRule="auto"/>
        <w:ind w:left="713" w:right="80" w:hanging="5"/>
        <w:jc w:val="center"/>
      </w:pPr>
      <w:r>
        <w:rPr>
          <w:rFonts w:ascii="Times New Roman" w:eastAsia="Times New Roman" w:hAnsi="Times New Roman" w:cs="Times New Roman"/>
          <w:sz w:val="24"/>
        </w:rPr>
        <w:lastRenderedPageBreak/>
        <w:t>e-mail:zh.omirbekova@aues.kz</w:t>
      </w:r>
      <w:r>
        <w:rPr>
          <w:rFonts w:ascii="Times New Roman" w:eastAsia="Times New Roman" w:hAnsi="Times New Roman" w:cs="Times New Roman"/>
          <w:b/>
          <w:sz w:val="24"/>
        </w:rPr>
        <w:t xml:space="preserve"> </w:t>
      </w:r>
    </w:p>
    <w:p w:rsidR="0052701D" w:rsidRDefault="00D40929">
      <w:pPr>
        <w:spacing w:after="61"/>
        <w:ind w:left="711"/>
      </w:pPr>
      <w:r>
        <w:rPr>
          <w:rFonts w:ascii="Times New Roman" w:eastAsia="Times New Roman" w:hAnsi="Times New Roman" w:cs="Times New Roman"/>
          <w:i/>
          <w:sz w:val="20"/>
        </w:rPr>
        <w:t xml:space="preserve"> </w:t>
      </w:r>
    </w:p>
    <w:p w:rsidR="0052701D" w:rsidRDefault="00D40929">
      <w:pPr>
        <w:spacing w:after="29" w:line="248" w:lineRule="auto"/>
        <w:ind w:left="9" w:firstLine="711"/>
        <w:jc w:val="both"/>
      </w:pPr>
      <w:r>
        <w:rPr>
          <w:rFonts w:ascii="Times New Roman" w:eastAsia="Times New Roman" w:hAnsi="Times New Roman" w:cs="Times New Roman"/>
          <w:b/>
          <w:i/>
          <w:sz w:val="24"/>
        </w:rPr>
        <w:t>Аннотация.</w:t>
      </w:r>
      <w:r>
        <w:rPr>
          <w:rFonts w:ascii="Times New Roman" w:eastAsia="Times New Roman" w:hAnsi="Times New Roman" w:cs="Times New Roman"/>
          <w:i/>
          <w:sz w:val="24"/>
        </w:rPr>
        <w:t xml:space="preserve"> В настоящее время личность считается одной из самых актуальных проблем </w:t>
      </w:r>
      <w:r>
        <w:rPr>
          <w:rFonts w:ascii="Times New Roman" w:eastAsia="Times New Roman" w:hAnsi="Times New Roman" w:cs="Times New Roman"/>
          <w:i/>
          <w:sz w:val="24"/>
        </w:rPr>
        <w:t>философии. Потому что стремительное развитие нашего общества с помощью технологий предъявляет высокие требования к формированию решительной, гибкой личности. И в современном состоянии общества, в период обновления экономического, культурного, социально-эко</w:t>
      </w:r>
      <w:r>
        <w:rPr>
          <w:rFonts w:ascii="Times New Roman" w:eastAsia="Times New Roman" w:hAnsi="Times New Roman" w:cs="Times New Roman"/>
          <w:i/>
          <w:sz w:val="24"/>
        </w:rPr>
        <w:t>номического аспектов страны процесс правильного формирования имеет большое влияние на развитие человека как человека доброжелательного в будущем. Личность есть продукт общественно-исторического развития. Личность есть результат точного развития человека, п</w:t>
      </w:r>
      <w:r>
        <w:rPr>
          <w:rFonts w:ascii="Times New Roman" w:eastAsia="Times New Roman" w:hAnsi="Times New Roman" w:cs="Times New Roman"/>
          <w:i/>
          <w:sz w:val="24"/>
        </w:rPr>
        <w:t>олного выражения человеческих качеств. Место человека в системе общественных отношений, его действия являются теми условиями, которые могут определять формирование его личности. Человек есть проявление высшей ступени жизненного развития, плод общественного</w:t>
      </w:r>
      <w:r>
        <w:rPr>
          <w:rFonts w:ascii="Times New Roman" w:eastAsia="Times New Roman" w:hAnsi="Times New Roman" w:cs="Times New Roman"/>
          <w:i/>
          <w:sz w:val="24"/>
        </w:rPr>
        <w:t xml:space="preserve"> труда и существо, выражающее единство общественного бытия с природой.</w:t>
      </w:r>
      <w:r>
        <w:rPr>
          <w:rFonts w:ascii="Times New Roman" w:eastAsia="Times New Roman" w:hAnsi="Times New Roman" w:cs="Times New Roman"/>
          <w:b/>
          <w:i/>
          <w:sz w:val="24"/>
        </w:rPr>
        <w:t xml:space="preserve"> </w:t>
      </w:r>
    </w:p>
    <w:p w:rsidR="0052701D" w:rsidRDefault="00D40929">
      <w:pPr>
        <w:spacing w:after="68" w:line="248" w:lineRule="auto"/>
        <w:ind w:left="9" w:firstLine="711"/>
        <w:jc w:val="both"/>
      </w:pP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 xml:space="preserve"> Личность, философия, общество, человек, информация, информационное общество, технологии, век.</w:t>
      </w:r>
      <w:r>
        <w:rPr>
          <w:rFonts w:ascii="Times New Roman" w:eastAsia="Times New Roman" w:hAnsi="Times New Roman" w:cs="Times New Roman"/>
          <w:b/>
          <w:i/>
          <w:sz w:val="24"/>
        </w:rPr>
        <w:t xml:space="preserve"> </w:t>
      </w:r>
    </w:p>
    <w:p w:rsidR="0052701D" w:rsidRDefault="00D40929">
      <w:pPr>
        <w:spacing w:after="12"/>
        <w:ind w:left="721"/>
      </w:pPr>
      <w:r>
        <w:rPr>
          <w:rFonts w:ascii="Times New Roman" w:eastAsia="Times New Roman" w:hAnsi="Times New Roman" w:cs="Times New Roman"/>
          <w:sz w:val="24"/>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4"/>
        </w:rPr>
        <w:t xml:space="preserve"> </w:t>
      </w:r>
      <w:r>
        <w:rPr>
          <w:rFonts w:ascii="Times New Roman" w:eastAsia="Times New Roman" w:hAnsi="Times New Roman" w:cs="Times New Roman"/>
          <w:sz w:val="28"/>
        </w:rPr>
        <w:t xml:space="preserve">Many thinkers and scientists consider the content of direction </w:t>
      </w:r>
      <w:r>
        <w:rPr>
          <w:rFonts w:ascii="Times New Roman" w:eastAsia="Times New Roman" w:hAnsi="Times New Roman" w:cs="Times New Roman"/>
          <w:sz w:val="28"/>
        </w:rPr>
        <w:t xml:space="preserve">of personality in different ways. The problem of human, his appearance, his place in life, the meaning and purpose of his life, the forms of human knowledge-are the most basic problems of philosophy and science. Protagoras proceeds from the concepts: “Man </w:t>
      </w:r>
      <w:r>
        <w:rPr>
          <w:rFonts w:ascii="Times New Roman" w:eastAsia="Times New Roman" w:hAnsi="Times New Roman" w:cs="Times New Roman"/>
          <w:sz w:val="28"/>
        </w:rPr>
        <w:t xml:space="preserve">is the measure of all things”, and Socrates: “Know thyself”.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Philosophically, personality is aimed at recognizing a person as a "person", i.e., paying attention to his spiritual, moral, religious and cultural aspects [1.149].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Thus, information is a data </w:t>
      </w:r>
      <w:r>
        <w:rPr>
          <w:rFonts w:ascii="Times New Roman" w:eastAsia="Times New Roman" w:hAnsi="Times New Roman" w:cs="Times New Roman"/>
          <w:sz w:val="28"/>
        </w:rPr>
        <w:t>that defines the indefinite about the surrounding world. They are objects of storage, transformation, transferring and usage. At the end of the theory of post-industrialism in the 60s of the XX century, Makhlup F. and Umekao T. introduced the term “informa</w:t>
      </w:r>
      <w:r>
        <w:rPr>
          <w:rFonts w:ascii="Times New Roman" w:eastAsia="Times New Roman" w:hAnsi="Times New Roman" w:cs="Times New Roman"/>
          <w:sz w:val="28"/>
        </w:rPr>
        <w:t>tion society” into scientific circulation, then it was created the beginning of a new theory of the development of society.</w:t>
      </w:r>
      <w:r>
        <w:rPr>
          <w:rFonts w:ascii="Times New Roman" w:eastAsia="Times New Roman" w:hAnsi="Times New Roman" w:cs="Times New Roman"/>
          <w:b/>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Let us dwell on Wiener's thoughts, in his words, "Information is the identification of content taken from the external environment </w:t>
      </w:r>
      <w:r>
        <w:rPr>
          <w:rFonts w:ascii="Times New Roman" w:eastAsia="Times New Roman" w:hAnsi="Times New Roman" w:cs="Times New Roman"/>
          <w:sz w:val="28"/>
        </w:rPr>
        <w:t xml:space="preserve">in the process of our adaptation to the environment and the adaptation of our feelings to it." </w:t>
      </w:r>
    </w:p>
    <w:p w:rsidR="0052701D" w:rsidRDefault="00D40929">
      <w:pPr>
        <w:spacing w:after="5" w:line="271" w:lineRule="auto"/>
        <w:ind w:left="9" w:right="64" w:firstLine="711"/>
        <w:jc w:val="both"/>
      </w:pPr>
      <w:r>
        <w:rPr>
          <w:rFonts w:ascii="Times New Roman" w:eastAsia="Times New Roman" w:hAnsi="Times New Roman" w:cs="Times New Roman"/>
          <w:sz w:val="28"/>
        </w:rPr>
        <w:t>Martin V. considered information: "Information is a public good, where many people have access to information at the same time, therefore, the presence of infor</w:t>
      </w:r>
      <w:r>
        <w:rPr>
          <w:rFonts w:ascii="Times New Roman" w:eastAsia="Times New Roman" w:hAnsi="Times New Roman" w:cs="Times New Roman"/>
          <w:sz w:val="28"/>
        </w:rPr>
        <w:t xml:space="preserve">mation data in an individual does not reduce the degree of other people's knowledge of information". </w:t>
      </w:r>
    </w:p>
    <w:p w:rsidR="0052701D" w:rsidRDefault="00D40929">
      <w:pPr>
        <w:spacing w:after="5" w:line="271" w:lineRule="auto"/>
        <w:ind w:left="9" w:right="64" w:firstLine="711"/>
        <w:jc w:val="both"/>
      </w:pPr>
      <w:r>
        <w:rPr>
          <w:rFonts w:ascii="Times New Roman" w:eastAsia="Times New Roman" w:hAnsi="Times New Roman" w:cs="Times New Roman"/>
          <w:sz w:val="28"/>
        </w:rPr>
        <w:t>The information society creates a new type of civilization. Nowadays, information is a powerful force that influences public life and mobilizes the masses</w:t>
      </w:r>
      <w:r>
        <w:rPr>
          <w:rFonts w:ascii="Times New Roman" w:eastAsia="Times New Roman" w:hAnsi="Times New Roman" w:cs="Times New Roman"/>
          <w:sz w:val="28"/>
        </w:rPr>
        <w:t xml:space="preserve"> to achieve a common goal. XX century is the age of information, human society has entered a new stage of development - the information society. Researchers give us various definitions to the modern information society: for example, Bell D. in his works gi</w:t>
      </w:r>
      <w:r>
        <w:rPr>
          <w:rFonts w:ascii="Times New Roman" w:eastAsia="Times New Roman" w:hAnsi="Times New Roman" w:cs="Times New Roman"/>
          <w:sz w:val="28"/>
        </w:rPr>
        <w:t xml:space="preserve">ves definition- “five sector”, Flexner K.- "enlightened society", Beck W. – “dangerous society”, Drucker P. "post-capitalist society", Soros G. "open society", Toffler’s "three waves", Letheim J. "new bourgeois society", Dahrendorf R. - </w:t>
      </w:r>
      <w:r>
        <w:rPr>
          <w:rFonts w:ascii="Times New Roman" w:eastAsia="Times New Roman" w:hAnsi="Times New Roman" w:cs="Times New Roman"/>
          <w:sz w:val="28"/>
        </w:rPr>
        <w:lastRenderedPageBreak/>
        <w:t>"postcapitalist", K</w:t>
      </w:r>
      <w:r>
        <w:rPr>
          <w:rFonts w:ascii="Times New Roman" w:eastAsia="Times New Roman" w:hAnsi="Times New Roman" w:cs="Times New Roman"/>
          <w:sz w:val="28"/>
        </w:rPr>
        <w:t xml:space="preserve">an G. - "post-economic", Boulding K. - "post-civilization", Etzioni L. - "postmodernist", others -"epoch of globalization", etc.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The information society is a society in which the most part of workers is engaged in the production, processing, and internal </w:t>
      </w:r>
      <w:r>
        <w:rPr>
          <w:rFonts w:ascii="Times New Roman" w:eastAsia="Times New Roman" w:hAnsi="Times New Roman" w:cs="Times New Roman"/>
          <w:sz w:val="28"/>
        </w:rPr>
        <w:t xml:space="preserve">disclosure of information. According to modern requirements, the ability to possess and have information is equated to the possession of a vital value for all members of society. Information has become a global resource of mankind.  </w:t>
      </w:r>
    </w:p>
    <w:p w:rsidR="0052701D" w:rsidRDefault="00D40929">
      <w:pPr>
        <w:spacing w:after="5" w:line="271" w:lineRule="auto"/>
        <w:ind w:left="9" w:right="64" w:firstLine="711"/>
        <w:jc w:val="both"/>
      </w:pPr>
      <w:r>
        <w:rPr>
          <w:rFonts w:ascii="Times New Roman" w:eastAsia="Times New Roman" w:hAnsi="Times New Roman" w:cs="Times New Roman"/>
          <w:sz w:val="28"/>
        </w:rPr>
        <w:t>In the information soc</w:t>
      </w:r>
      <w:r>
        <w:rPr>
          <w:rFonts w:ascii="Times New Roman" w:eastAsia="Times New Roman" w:hAnsi="Times New Roman" w:cs="Times New Roman"/>
          <w:sz w:val="28"/>
        </w:rPr>
        <w:t>iety during the technological revolution, the higher and more significant the individual, the greater his responsibility to himself and other people. A human in the society is taking a role of both creator or fighter and destroyer.</w:t>
      </w:r>
      <w:r>
        <w:rPr>
          <w:rFonts w:ascii="Times New Roman" w:eastAsia="Times New Roman" w:hAnsi="Times New Roman" w:cs="Times New Roman"/>
          <w:b/>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The most important sign</w:t>
      </w:r>
      <w:r>
        <w:rPr>
          <w:rFonts w:ascii="Times New Roman" w:eastAsia="Times New Roman" w:hAnsi="Times New Roman" w:cs="Times New Roman"/>
          <w:sz w:val="28"/>
        </w:rPr>
        <w:t xml:space="preserve"> of the modern development of society at the moment is the increase in the collection of information in all spheres of production, consumption and human activity. The whole life of a human- in spite of everything - is connected with the receipt, collection</w:t>
      </w:r>
      <w:r>
        <w:rPr>
          <w:rFonts w:ascii="Times New Roman" w:eastAsia="Times New Roman" w:hAnsi="Times New Roman" w:cs="Times New Roman"/>
          <w:sz w:val="28"/>
        </w:rPr>
        <w:t xml:space="preserve"> and processing of information.</w:t>
      </w:r>
      <w:r>
        <w:rPr>
          <w:rFonts w:ascii="Times New Roman" w:eastAsia="Times New Roman" w:hAnsi="Times New Roman" w:cs="Times New Roman"/>
          <w:b/>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The formation of a new information civilization also creates many new problems. There is no doubt that the current socio-economic situation, due to the dependence on education and technology, countries that did not have </w:t>
      </w:r>
      <w:r>
        <w:rPr>
          <w:rFonts w:ascii="Times New Roman" w:eastAsia="Times New Roman" w:hAnsi="Times New Roman" w:cs="Times New Roman"/>
          <w:sz w:val="28"/>
        </w:rPr>
        <w:t>access to information at that time, will remain dependent on information developing countries. At the same time, a human's personality is considered as a producer, cultural, humanitarian, consumer, etc. and the soul. The personality, to a certain extent co</w:t>
      </w:r>
      <w:r>
        <w:rPr>
          <w:rFonts w:ascii="Times New Roman" w:eastAsia="Times New Roman" w:hAnsi="Times New Roman" w:cs="Times New Roman"/>
          <w:sz w:val="28"/>
        </w:rPr>
        <w:t>llects in itself all types of social relations and reveals its social nature.</w:t>
      </w:r>
      <w:r>
        <w:rPr>
          <w:rFonts w:ascii="Times New Roman" w:eastAsia="Times New Roman" w:hAnsi="Times New Roman" w:cs="Times New Roman"/>
          <w:b/>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At the same time, it is better to mention the thoughts of the American researcher Gore: “Humanity is faced with a crisis that it created with its own hands, and it is plunging i</w:t>
      </w:r>
      <w:r>
        <w:rPr>
          <w:rFonts w:ascii="Times New Roman" w:eastAsia="Times New Roman" w:hAnsi="Times New Roman" w:cs="Times New Roman"/>
          <w:sz w:val="28"/>
        </w:rPr>
        <w:t>nto the abyss of the information sea. We have put a lot of statistical information, formulas, videos, documents and declarations on the web page, but we are not able to cope with it. To find a new way to understand and interact with the world around us, we</w:t>
      </w:r>
      <w:r>
        <w:rPr>
          <w:rFonts w:ascii="Times New Roman" w:eastAsia="Times New Roman" w:hAnsi="Times New Roman" w:cs="Times New Roman"/>
          <w:sz w:val="28"/>
        </w:rPr>
        <w:t xml:space="preserve"> continue to produce new information at a high rate.”</w:t>
      </w:r>
      <w:r>
        <w:rPr>
          <w:rFonts w:ascii="Times New Roman" w:eastAsia="Times New Roman" w:hAnsi="Times New Roman" w:cs="Times New Roman"/>
          <w:b/>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At the same time, the domestic researcher, philosopher, scientist B.G. Nurzhanov, who first introduced the concept of postmodernism into Kazakh philosophy, says: “Also, the Internet+computer radically </w:t>
      </w:r>
      <w:r>
        <w:rPr>
          <w:rFonts w:ascii="Times New Roman" w:eastAsia="Times New Roman" w:hAnsi="Times New Roman" w:cs="Times New Roman"/>
          <w:sz w:val="28"/>
        </w:rPr>
        <w:t>changes the identification format that was born on the agenda of modern humanities. Sociologists, philosophers and psychologists often write about the danger of national identification, but it is caused not by the processes of globalization, inter or trans</w:t>
      </w:r>
      <w:r>
        <w:rPr>
          <w:rFonts w:ascii="Times New Roman" w:eastAsia="Times New Roman" w:hAnsi="Times New Roman" w:cs="Times New Roman"/>
          <w:sz w:val="28"/>
        </w:rPr>
        <w:t>nationalism, but by the computerization and internetization of society. At the same time, it was concluded that new media, which has undergone a deep economic, political, social, cultural, and artistic transformation, radically transform the structure of t</w:t>
      </w:r>
      <w:r>
        <w:rPr>
          <w:rFonts w:ascii="Times New Roman" w:eastAsia="Times New Roman" w:hAnsi="Times New Roman" w:cs="Times New Roman"/>
          <w:sz w:val="28"/>
        </w:rPr>
        <w:t>he ways of forming «human» subjectivity and identification” [4.168].</w:t>
      </w:r>
      <w:r>
        <w:rPr>
          <w:rFonts w:ascii="Times New Roman" w:eastAsia="Times New Roman" w:hAnsi="Times New Roman" w:cs="Times New Roman"/>
          <w:b/>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lastRenderedPageBreak/>
        <w:t xml:space="preserve">Dizard Wilson P. In his work “The Coming Information Age”, he focuses on three stages in the development of the information society: the formation of the main types of economic activity </w:t>
      </w:r>
      <w:r>
        <w:rPr>
          <w:rFonts w:ascii="Times New Roman" w:eastAsia="Times New Roman" w:hAnsi="Times New Roman" w:cs="Times New Roman"/>
          <w:sz w:val="28"/>
        </w:rPr>
        <w:t>for the production and dissemination of information; expanding the range of information services for other industries and the state; formation of a wide network of information media at the consumer level.</w:t>
      </w:r>
      <w:r>
        <w:rPr>
          <w:rFonts w:ascii="Times New Roman" w:eastAsia="Times New Roman" w:hAnsi="Times New Roman" w:cs="Times New Roman"/>
          <w:b/>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In the work of Marcuse "One-Dimensional Man" it is</w:t>
      </w:r>
      <w:r>
        <w:rPr>
          <w:rFonts w:ascii="Times New Roman" w:eastAsia="Times New Roman" w:hAnsi="Times New Roman" w:cs="Times New Roman"/>
          <w:sz w:val="28"/>
        </w:rPr>
        <w:t xml:space="preserve"> said that "People, things, needs become only one particle in the world." In fact, the mass media is a new structure, it looks at the worldview of a person, his general needs, which have their own characteristics, in such a way that they are divided, that </w:t>
      </w:r>
      <w:r>
        <w:rPr>
          <w:rFonts w:ascii="Times New Roman" w:eastAsia="Times New Roman" w:hAnsi="Times New Roman" w:cs="Times New Roman"/>
          <w:sz w:val="28"/>
        </w:rPr>
        <w:t>is, they are the fruit of social thought processes and are brought to a pattern of life. He introduced the concepts of "one-dimensional society" and "one-dimensional man". By a one-dimensional society we mean a total system devoid of all previous humanitar</w:t>
      </w:r>
      <w:r>
        <w:rPr>
          <w:rFonts w:ascii="Times New Roman" w:eastAsia="Times New Roman" w:hAnsi="Times New Roman" w:cs="Times New Roman"/>
          <w:sz w:val="28"/>
        </w:rPr>
        <w:t>ian values, the main value of which is industrial development; this society restricts any freedom within the system and fights for "external freedom".</w:t>
      </w:r>
      <w:r>
        <w:rPr>
          <w:rFonts w:ascii="Times New Roman" w:eastAsia="Times New Roman" w:hAnsi="Times New Roman" w:cs="Times New Roman"/>
          <w:b/>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However, no matter how carefully the struggle is fought, freedom is not given to a person. It is necessa</w:t>
      </w:r>
      <w:r>
        <w:rPr>
          <w:rFonts w:ascii="Times New Roman" w:eastAsia="Times New Roman" w:hAnsi="Times New Roman" w:cs="Times New Roman"/>
          <w:sz w:val="28"/>
        </w:rPr>
        <w:t>ry to change cultural values and find "inner freedom" in order to get out of the one-dimensional pattern. One-dimensional society and spiritual egalitarianism has created a serious trend and created scientific, educational and educational opportunities due</w:t>
      </w:r>
      <w:r>
        <w:rPr>
          <w:rFonts w:ascii="Times New Roman" w:eastAsia="Times New Roman" w:hAnsi="Times New Roman" w:cs="Times New Roman"/>
          <w:sz w:val="28"/>
        </w:rPr>
        <w:t xml:space="preserve"> to a misunderstanding of the meaning of rights and freedoms responsible for the formation of this "one-dimensional" personality. The same type of society, firstly, was formed by the lack of constructiveness, and this led to the absence of opposition. The </w:t>
      </w:r>
      <w:r>
        <w:rPr>
          <w:rFonts w:ascii="Times New Roman" w:eastAsia="Times New Roman" w:hAnsi="Times New Roman" w:cs="Times New Roman"/>
          <w:sz w:val="28"/>
        </w:rPr>
        <w:t>danger of a one-dimensional society is that it creates a special "type of person", a person who cannot say anything and does not want to say anything, completely dependent on state structures. In society as a whole, the methods of body formation through th</w:t>
      </w:r>
      <w:r>
        <w:rPr>
          <w:rFonts w:ascii="Times New Roman" w:eastAsia="Times New Roman" w:hAnsi="Times New Roman" w:cs="Times New Roman"/>
          <w:sz w:val="28"/>
        </w:rPr>
        <w:t xml:space="preserve">e press, television, radio, advertising, music and others manipulate not only the opinions and needs of members of society, but also their inner feelings and mental reactions [5, 10]. </w:t>
      </w:r>
    </w:p>
    <w:p w:rsidR="0052701D" w:rsidRDefault="00D40929">
      <w:pPr>
        <w:spacing w:after="5" w:line="271" w:lineRule="auto"/>
        <w:ind w:left="9" w:right="64" w:firstLine="711"/>
        <w:jc w:val="both"/>
      </w:pPr>
      <w:r>
        <w:rPr>
          <w:rFonts w:ascii="Times New Roman" w:eastAsia="Times New Roman" w:hAnsi="Times New Roman" w:cs="Times New Roman"/>
          <w:sz w:val="28"/>
        </w:rPr>
        <w:t>«... The information society changes the essence and structure of human</w:t>
      </w:r>
      <w:r>
        <w:rPr>
          <w:rFonts w:ascii="Times New Roman" w:eastAsia="Times New Roman" w:hAnsi="Times New Roman" w:cs="Times New Roman"/>
          <w:sz w:val="28"/>
        </w:rPr>
        <w:t xml:space="preserve"> existence, therefore it remains an area on the horizon of philosophy, because it radically changes the levels of human skill, the system of personality, the secrets of creativity, which have been mysterious phenomena of philosophy for millennia and the po</w:t>
      </w:r>
      <w:r>
        <w:rPr>
          <w:rFonts w:ascii="Times New Roman" w:eastAsia="Times New Roman" w:hAnsi="Times New Roman" w:cs="Times New Roman"/>
          <w:sz w:val="28"/>
        </w:rPr>
        <w:t>ssibility of penetrating into the deep secrets of human mind» [6.158].</w:t>
      </w:r>
      <w:r>
        <w:rPr>
          <w:rFonts w:ascii="Times New Roman" w:eastAsia="Times New Roman" w:hAnsi="Times New Roman" w:cs="Times New Roman"/>
          <w:b/>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What will be the development of human civilization in the future, be it the space age, computer, information, etc. We must understand that all this is done for the people and for the b</w:t>
      </w:r>
      <w:r>
        <w:rPr>
          <w:rFonts w:ascii="Times New Roman" w:eastAsia="Times New Roman" w:hAnsi="Times New Roman" w:cs="Times New Roman"/>
          <w:sz w:val="28"/>
        </w:rPr>
        <w:t xml:space="preserve">enefit of the people. </w:t>
      </w:r>
      <w:r>
        <w:rPr>
          <w:rFonts w:ascii="Times New Roman" w:eastAsia="Times New Roman" w:hAnsi="Times New Roman" w:cs="Times New Roman"/>
          <w:b/>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In agreement with the above theories, it can be noted peculiarities of the personality in the information society and the industrial society. First of all, the type of human activity is changing in the information society.</w:t>
      </w:r>
      <w:r>
        <w:rPr>
          <w:rFonts w:ascii="Times New Roman" w:eastAsia="Times New Roman" w:hAnsi="Times New Roman" w:cs="Times New Roman"/>
          <w:b/>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Among th</w:t>
      </w:r>
      <w:r>
        <w:rPr>
          <w:rFonts w:ascii="Times New Roman" w:eastAsia="Times New Roman" w:hAnsi="Times New Roman" w:cs="Times New Roman"/>
          <w:sz w:val="28"/>
        </w:rPr>
        <w:t>e features of the information society, the following signs can be mentioned:</w:t>
      </w:r>
      <w:r>
        <w:rPr>
          <w:rFonts w:ascii="Times New Roman" w:eastAsia="Times New Roman" w:hAnsi="Times New Roman" w:cs="Times New Roman"/>
          <w:b/>
          <w:sz w:val="28"/>
        </w:rPr>
        <w:t xml:space="preserve"> </w:t>
      </w:r>
    </w:p>
    <w:p w:rsidR="0052701D" w:rsidRDefault="00D40929">
      <w:pPr>
        <w:numPr>
          <w:ilvl w:val="0"/>
          <w:numId w:val="87"/>
        </w:numPr>
        <w:spacing w:after="5" w:line="271" w:lineRule="auto"/>
        <w:ind w:right="64" w:firstLine="711"/>
        <w:jc w:val="both"/>
      </w:pPr>
      <w:r>
        <w:rPr>
          <w:rFonts w:ascii="Times New Roman" w:eastAsia="Times New Roman" w:hAnsi="Times New Roman" w:cs="Times New Roman"/>
          <w:sz w:val="28"/>
        </w:rPr>
        <w:lastRenderedPageBreak/>
        <w:t>further development of the education system, which allows to support higher education with the professional level of the population, constantly increases the thinking and scienti</w:t>
      </w:r>
      <w:r>
        <w:rPr>
          <w:rFonts w:ascii="Times New Roman" w:eastAsia="Times New Roman" w:hAnsi="Times New Roman" w:cs="Times New Roman"/>
          <w:sz w:val="28"/>
        </w:rPr>
        <w:t>fic effort of the society;</w:t>
      </w:r>
      <w:r>
        <w:rPr>
          <w:rFonts w:ascii="Times New Roman" w:eastAsia="Times New Roman" w:hAnsi="Times New Roman" w:cs="Times New Roman"/>
          <w:b/>
          <w:sz w:val="28"/>
        </w:rPr>
        <w:t xml:space="preserve"> </w:t>
      </w:r>
    </w:p>
    <w:p w:rsidR="0052701D" w:rsidRDefault="00D40929">
      <w:pPr>
        <w:numPr>
          <w:ilvl w:val="0"/>
          <w:numId w:val="87"/>
        </w:numPr>
        <w:spacing w:after="5" w:line="271" w:lineRule="auto"/>
        <w:ind w:right="64" w:firstLine="711"/>
        <w:jc w:val="both"/>
      </w:pPr>
      <w:r>
        <w:rPr>
          <w:rFonts w:ascii="Times New Roman" w:eastAsia="Times New Roman" w:hAnsi="Times New Roman" w:cs="Times New Roman"/>
          <w:sz w:val="28"/>
        </w:rPr>
        <w:t>the presence of a stable scientific department, which makes it possible to conduct research and production around new technologies;</w:t>
      </w:r>
      <w:r>
        <w:rPr>
          <w:rFonts w:ascii="Times New Roman" w:eastAsia="Times New Roman" w:hAnsi="Times New Roman" w:cs="Times New Roman"/>
          <w:b/>
          <w:sz w:val="28"/>
        </w:rPr>
        <w:t xml:space="preserve"> </w:t>
      </w:r>
    </w:p>
    <w:p w:rsidR="0052701D" w:rsidRDefault="00D40929">
      <w:pPr>
        <w:numPr>
          <w:ilvl w:val="0"/>
          <w:numId w:val="87"/>
        </w:numPr>
        <w:spacing w:after="5" w:line="271" w:lineRule="auto"/>
        <w:ind w:right="64" w:firstLine="711"/>
        <w:jc w:val="both"/>
      </w:pPr>
      <w:r>
        <w:rPr>
          <w:rFonts w:ascii="Times New Roman" w:eastAsia="Times New Roman" w:hAnsi="Times New Roman" w:cs="Times New Roman"/>
          <w:sz w:val="28"/>
        </w:rPr>
        <w:t>along with the traditional elements (library, archive) there are many computer stations, specia</w:t>
      </w:r>
      <w:r>
        <w:rPr>
          <w:rFonts w:ascii="Times New Roman" w:eastAsia="Times New Roman" w:hAnsi="Times New Roman" w:cs="Times New Roman"/>
          <w:sz w:val="28"/>
        </w:rPr>
        <w:t>lized stations, a local network and a personal computer, as well as a special economy in terms of providing, storing, processing and collecting information, which constitutes an information channel and a communication system;</w:t>
      </w:r>
      <w:r>
        <w:rPr>
          <w:rFonts w:ascii="Times New Roman" w:eastAsia="Times New Roman" w:hAnsi="Times New Roman" w:cs="Times New Roman"/>
          <w:b/>
          <w:sz w:val="28"/>
        </w:rPr>
        <w:t xml:space="preserve"> </w:t>
      </w:r>
    </w:p>
    <w:p w:rsidR="0052701D" w:rsidRDefault="00D40929">
      <w:pPr>
        <w:numPr>
          <w:ilvl w:val="0"/>
          <w:numId w:val="87"/>
        </w:numPr>
        <w:spacing w:after="5" w:line="271" w:lineRule="auto"/>
        <w:ind w:right="64" w:firstLine="711"/>
        <w:jc w:val="both"/>
      </w:pPr>
      <w:r>
        <w:rPr>
          <w:rFonts w:ascii="Times New Roman" w:eastAsia="Times New Roman" w:hAnsi="Times New Roman" w:cs="Times New Roman"/>
          <w:sz w:val="28"/>
        </w:rPr>
        <w:t>mass production of reliable a</w:t>
      </w:r>
      <w:r>
        <w:rPr>
          <w:rFonts w:ascii="Times New Roman" w:eastAsia="Times New Roman" w:hAnsi="Times New Roman" w:cs="Times New Roman"/>
          <w:sz w:val="28"/>
        </w:rPr>
        <w:t>nd inexpensive computers, high-speed, equipped with external devices, not equipped with programs, having the parameters of a fast accelerator that reminds of itself;</w:t>
      </w:r>
      <w:r>
        <w:rPr>
          <w:rFonts w:ascii="Times New Roman" w:eastAsia="Times New Roman" w:hAnsi="Times New Roman" w:cs="Times New Roman"/>
          <w:b/>
          <w:sz w:val="28"/>
        </w:rPr>
        <w:t xml:space="preserve"> </w:t>
      </w:r>
    </w:p>
    <w:p w:rsidR="0052701D" w:rsidRDefault="00D40929">
      <w:pPr>
        <w:numPr>
          <w:ilvl w:val="0"/>
          <w:numId w:val="87"/>
        </w:numPr>
        <w:spacing w:after="5" w:line="271" w:lineRule="auto"/>
        <w:ind w:right="64" w:firstLine="711"/>
        <w:jc w:val="both"/>
      </w:pPr>
      <w:r>
        <w:rPr>
          <w:rFonts w:ascii="Times New Roman" w:eastAsia="Times New Roman" w:hAnsi="Times New Roman" w:cs="Times New Roman"/>
          <w:sz w:val="28"/>
        </w:rPr>
        <w:t>production and mass production of processors that rapidly increase the efficiency of mach</w:t>
      </w:r>
      <w:r>
        <w:rPr>
          <w:rFonts w:ascii="Times New Roman" w:eastAsia="Times New Roman" w:hAnsi="Times New Roman" w:cs="Times New Roman"/>
          <w:sz w:val="28"/>
        </w:rPr>
        <w:t>ines, instruments, tools and other elements involved in people's lives and public service, organization of production in all areas of service;</w:t>
      </w:r>
      <w:r>
        <w:rPr>
          <w:rFonts w:ascii="Times New Roman" w:eastAsia="Times New Roman" w:hAnsi="Times New Roman" w:cs="Times New Roman"/>
          <w:b/>
          <w:sz w:val="28"/>
        </w:rPr>
        <w:t xml:space="preserve"> </w:t>
      </w:r>
    </w:p>
    <w:p w:rsidR="0052701D" w:rsidRDefault="00D40929">
      <w:pPr>
        <w:numPr>
          <w:ilvl w:val="0"/>
          <w:numId w:val="87"/>
        </w:numPr>
        <w:spacing w:after="5" w:line="271" w:lineRule="auto"/>
        <w:ind w:right="64" w:firstLine="711"/>
        <w:jc w:val="both"/>
      </w:pPr>
      <w:r>
        <w:rPr>
          <w:rFonts w:ascii="Times New Roman" w:eastAsia="Times New Roman" w:hAnsi="Times New Roman" w:cs="Times New Roman"/>
          <w:sz w:val="28"/>
        </w:rPr>
        <w:t>formation of an extensive network of various types of communication and the availability of a set of information</w:t>
      </w:r>
      <w:r>
        <w:rPr>
          <w:rFonts w:ascii="Times New Roman" w:eastAsia="Times New Roman" w:hAnsi="Times New Roman" w:cs="Times New Roman"/>
          <w:sz w:val="28"/>
        </w:rPr>
        <w:t xml:space="preserve"> tools.</w:t>
      </w:r>
      <w:r>
        <w:rPr>
          <w:rFonts w:ascii="Times New Roman" w:eastAsia="Times New Roman" w:hAnsi="Times New Roman" w:cs="Times New Roman"/>
          <w:b/>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In conclusion, it should be noted that information and communication links and relations existed at the first stage of the development of society. In a pre-wild industrial society, the need for information exchange was primarily related to ensurin</w:t>
      </w:r>
      <w:r>
        <w:rPr>
          <w:rFonts w:ascii="Times New Roman" w:eastAsia="Times New Roman" w:hAnsi="Times New Roman" w:cs="Times New Roman"/>
          <w:sz w:val="28"/>
        </w:rPr>
        <w:t>g the safety and security of the tribe. Monitoring of the external environment and the spread of information about its state have gradually become a vital part of human activity. Join work plays an important role in shaping the need for information. Commun</w:t>
      </w:r>
      <w:r>
        <w:rPr>
          <w:rFonts w:ascii="Times New Roman" w:eastAsia="Times New Roman" w:hAnsi="Times New Roman" w:cs="Times New Roman"/>
          <w:sz w:val="28"/>
        </w:rPr>
        <w:t xml:space="preserve">ications and information and communication links have become an essential part of human existence, uniting people into a certain community or society. </w:t>
      </w:r>
    </w:p>
    <w:p w:rsidR="0052701D" w:rsidRDefault="00D40929">
      <w:pPr>
        <w:spacing w:after="0"/>
        <w:ind w:left="711"/>
      </w:pPr>
      <w:r>
        <w:rPr>
          <w:rFonts w:ascii="Times New Roman" w:eastAsia="Times New Roman" w:hAnsi="Times New Roman" w:cs="Times New Roman"/>
          <w:b/>
          <w:sz w:val="28"/>
        </w:rPr>
        <w:t xml:space="preserve"> </w:t>
      </w:r>
    </w:p>
    <w:p w:rsidR="0052701D" w:rsidRDefault="00D40929">
      <w:pPr>
        <w:spacing w:after="4" w:line="271" w:lineRule="auto"/>
        <w:ind w:left="721" w:right="194" w:hanging="10"/>
      </w:pPr>
      <w:r>
        <w:rPr>
          <w:rFonts w:ascii="Times New Roman" w:eastAsia="Times New Roman" w:hAnsi="Times New Roman" w:cs="Times New Roman"/>
          <w:sz w:val="24"/>
        </w:rPr>
        <w:t xml:space="preserve">                                              </w:t>
      </w:r>
      <w:r>
        <w:rPr>
          <w:rFonts w:ascii="Times New Roman" w:eastAsia="Times New Roman" w:hAnsi="Times New Roman" w:cs="Times New Roman"/>
          <w:b/>
          <w:sz w:val="24"/>
        </w:rPr>
        <w:t xml:space="preserve">ИСТОЧНИКИ </w:t>
      </w:r>
    </w:p>
    <w:p w:rsidR="0052701D" w:rsidRDefault="00D40929">
      <w:pPr>
        <w:numPr>
          <w:ilvl w:val="0"/>
          <w:numId w:val="88"/>
        </w:numPr>
        <w:spacing w:after="0" w:line="248" w:lineRule="auto"/>
        <w:ind w:right="14" w:firstLine="711"/>
        <w:jc w:val="both"/>
      </w:pPr>
      <w:r>
        <w:rPr>
          <w:rFonts w:ascii="Times New Roman" w:eastAsia="Times New Roman" w:hAnsi="Times New Roman" w:cs="Times New Roman"/>
          <w:sz w:val="24"/>
        </w:rPr>
        <w:t xml:space="preserve">Bandurovsky K.V. Personality // New </w:t>
      </w:r>
      <w:r>
        <w:rPr>
          <w:rFonts w:ascii="Times New Roman" w:eastAsia="Times New Roman" w:hAnsi="Times New Roman" w:cs="Times New Roman"/>
          <w:sz w:val="24"/>
        </w:rPr>
        <w:t>Philosophical Encyclopedia: In 4 vols. M.: Nauka, 2001.</w:t>
      </w:r>
      <w:r>
        <w:rPr>
          <w:rFonts w:ascii="Times New Roman" w:eastAsia="Times New Roman" w:hAnsi="Times New Roman" w:cs="Times New Roman"/>
          <w:b/>
          <w:sz w:val="24"/>
        </w:rPr>
        <w:t xml:space="preserve"> </w:t>
      </w:r>
    </w:p>
    <w:p w:rsidR="0052701D" w:rsidRDefault="00D40929">
      <w:pPr>
        <w:numPr>
          <w:ilvl w:val="0"/>
          <w:numId w:val="88"/>
        </w:numPr>
        <w:spacing w:after="0" w:line="248" w:lineRule="auto"/>
        <w:ind w:right="14" w:firstLine="711"/>
        <w:jc w:val="both"/>
      </w:pPr>
      <w:r>
        <w:rPr>
          <w:rFonts w:ascii="Times New Roman" w:eastAsia="Times New Roman" w:hAnsi="Times New Roman" w:cs="Times New Roman"/>
          <w:sz w:val="24"/>
        </w:rPr>
        <w:t>Aliyev Sh.Sh. Management in the information society: socio-philosophical analysis. Almaty, 2013.</w:t>
      </w:r>
      <w:r>
        <w:rPr>
          <w:rFonts w:ascii="Times New Roman" w:eastAsia="Times New Roman" w:hAnsi="Times New Roman" w:cs="Times New Roman"/>
          <w:b/>
          <w:sz w:val="24"/>
        </w:rPr>
        <w:t xml:space="preserve"> </w:t>
      </w:r>
    </w:p>
    <w:p w:rsidR="0052701D" w:rsidRDefault="00D40929">
      <w:pPr>
        <w:numPr>
          <w:ilvl w:val="0"/>
          <w:numId w:val="88"/>
        </w:numPr>
        <w:spacing w:after="0" w:line="248" w:lineRule="auto"/>
        <w:ind w:right="14" w:firstLine="711"/>
        <w:jc w:val="both"/>
      </w:pPr>
      <w:r>
        <w:rPr>
          <w:rFonts w:ascii="Times New Roman" w:eastAsia="Times New Roman" w:hAnsi="Times New Roman" w:cs="Times New Roman"/>
          <w:sz w:val="24"/>
        </w:rPr>
        <w:t xml:space="preserve">Western philosophy of science and technology. "World Philosophical Heritage". Twenty volumes. Volume </w:t>
      </w:r>
      <w:r>
        <w:rPr>
          <w:rFonts w:ascii="Times New Roman" w:eastAsia="Times New Roman" w:hAnsi="Times New Roman" w:cs="Times New Roman"/>
          <w:sz w:val="24"/>
        </w:rPr>
        <w:t>10. - Almaty: Zhazuchy, 2002. - 560 pages.</w:t>
      </w:r>
      <w:r>
        <w:rPr>
          <w:rFonts w:ascii="Times New Roman" w:eastAsia="Times New Roman" w:hAnsi="Times New Roman" w:cs="Times New Roman"/>
          <w:b/>
          <w:sz w:val="24"/>
        </w:rPr>
        <w:t xml:space="preserve"> </w:t>
      </w:r>
    </w:p>
    <w:p w:rsidR="0052701D" w:rsidRDefault="00D40929">
      <w:pPr>
        <w:numPr>
          <w:ilvl w:val="0"/>
          <w:numId w:val="88"/>
        </w:numPr>
        <w:spacing w:after="29" w:line="248" w:lineRule="auto"/>
        <w:ind w:right="14" w:firstLine="711"/>
        <w:jc w:val="both"/>
      </w:pPr>
      <w:r>
        <w:rPr>
          <w:rFonts w:ascii="Times New Roman" w:eastAsia="Times New Roman" w:hAnsi="Times New Roman" w:cs="Times New Roman"/>
          <w:sz w:val="24"/>
        </w:rPr>
        <w:t>Nurzhanov BG, Culture, media, communication: monograph. - Almaty, 2011.</w:t>
      </w:r>
      <w:r>
        <w:rPr>
          <w:rFonts w:ascii="Times New Roman" w:eastAsia="Times New Roman" w:hAnsi="Times New Roman" w:cs="Times New Roman"/>
          <w:b/>
          <w:sz w:val="24"/>
        </w:rPr>
        <w:t xml:space="preserve"> </w:t>
      </w:r>
    </w:p>
    <w:p w:rsidR="0052701D" w:rsidRDefault="00D40929">
      <w:pPr>
        <w:numPr>
          <w:ilvl w:val="0"/>
          <w:numId w:val="88"/>
        </w:numPr>
        <w:spacing w:after="29" w:line="248" w:lineRule="auto"/>
        <w:ind w:right="14" w:firstLine="711"/>
        <w:jc w:val="both"/>
      </w:pPr>
      <w:r>
        <w:rPr>
          <w:rFonts w:ascii="Times New Roman" w:eastAsia="Times New Roman" w:hAnsi="Times New Roman" w:cs="Times New Roman"/>
          <w:sz w:val="24"/>
        </w:rPr>
        <w:t>Markuse H. One-dimensionale Man. Boston, 1964- p.10.</w:t>
      </w:r>
      <w:r>
        <w:rPr>
          <w:rFonts w:ascii="Times New Roman" w:eastAsia="Times New Roman" w:hAnsi="Times New Roman" w:cs="Times New Roman"/>
          <w:b/>
          <w:sz w:val="24"/>
        </w:rPr>
        <w:t xml:space="preserve"> </w:t>
      </w:r>
    </w:p>
    <w:p w:rsidR="0052701D" w:rsidRDefault="00D40929">
      <w:pPr>
        <w:numPr>
          <w:ilvl w:val="0"/>
          <w:numId w:val="88"/>
        </w:numPr>
        <w:spacing w:after="89" w:line="248" w:lineRule="auto"/>
        <w:ind w:right="14" w:firstLine="711"/>
        <w:jc w:val="both"/>
      </w:pPr>
      <w:r>
        <w:rPr>
          <w:rFonts w:ascii="Times New Roman" w:eastAsia="Times New Roman" w:hAnsi="Times New Roman" w:cs="Times New Roman"/>
          <w:sz w:val="24"/>
        </w:rPr>
        <w:t>Runov, A.A. Features of the communication environment in the models of the informatio</w:t>
      </w:r>
      <w:r>
        <w:rPr>
          <w:rFonts w:ascii="Times New Roman" w:eastAsia="Times New Roman" w:hAnsi="Times New Roman" w:cs="Times New Roman"/>
          <w:sz w:val="24"/>
        </w:rPr>
        <w:t>n society. M., 2004.</w:t>
      </w:r>
      <w:r>
        <w:rPr>
          <w:rFonts w:ascii="Times New Roman" w:eastAsia="Times New Roman" w:hAnsi="Times New Roman" w:cs="Times New Roman"/>
          <w:b/>
          <w:sz w:val="24"/>
        </w:rPr>
        <w:t xml:space="preserve"> </w:t>
      </w:r>
    </w:p>
    <w:p w:rsidR="0052701D" w:rsidRDefault="00D40929">
      <w:pPr>
        <w:spacing w:after="129"/>
        <w:ind w:left="721"/>
      </w:pPr>
      <w:r>
        <w:rPr>
          <w:rFonts w:ascii="Times New Roman" w:eastAsia="Times New Roman" w:hAnsi="Times New Roman" w:cs="Times New Roman"/>
          <w:sz w:val="20"/>
        </w:rPr>
        <w:t xml:space="preserve"> </w:t>
      </w:r>
    </w:p>
    <w:p w:rsidR="0052701D" w:rsidRDefault="00D40929">
      <w:pPr>
        <w:spacing w:after="38" w:line="271" w:lineRule="auto"/>
        <w:ind w:left="-5" w:right="194" w:hanging="10"/>
      </w:pPr>
      <w:r>
        <w:rPr>
          <w:rFonts w:ascii="Times New Roman" w:eastAsia="Times New Roman" w:hAnsi="Times New Roman" w:cs="Times New Roman"/>
          <w:b/>
          <w:sz w:val="24"/>
        </w:rPr>
        <w:t xml:space="preserve">МРНТИ 378.147 УДК 378.147 </w:t>
      </w:r>
    </w:p>
    <w:p w:rsidR="0052701D" w:rsidRDefault="00D40929">
      <w:pPr>
        <w:spacing w:after="30"/>
        <w:ind w:right="5"/>
        <w:jc w:val="center"/>
      </w:pPr>
      <w:r>
        <w:rPr>
          <w:rFonts w:ascii="Times New Roman" w:eastAsia="Times New Roman" w:hAnsi="Times New Roman" w:cs="Times New Roman"/>
          <w:b/>
          <w:sz w:val="28"/>
        </w:rPr>
        <w:lastRenderedPageBreak/>
        <w:t xml:space="preserve"> </w:t>
      </w:r>
    </w:p>
    <w:p w:rsidR="0052701D" w:rsidRDefault="00D40929">
      <w:pPr>
        <w:pStyle w:val="1"/>
        <w:ind w:left="2137" w:right="0" w:firstLine="9"/>
        <w:jc w:val="left"/>
      </w:pPr>
      <w:r>
        <w:t xml:space="preserve">ОСОБЕННОСТИ И ТЕНДЕНЦИИ РАЗВИТИЯ </w:t>
      </w:r>
    </w:p>
    <w:p w:rsidR="0052701D" w:rsidRDefault="00D40929">
      <w:pPr>
        <w:spacing w:after="5" w:line="271" w:lineRule="auto"/>
        <w:ind w:left="2137" w:firstLine="9"/>
      </w:pPr>
      <w:r>
        <w:rPr>
          <w:rFonts w:ascii="Times New Roman" w:eastAsia="Times New Roman" w:hAnsi="Times New Roman" w:cs="Times New Roman"/>
          <w:b/>
          <w:sz w:val="28"/>
        </w:rPr>
        <w:t xml:space="preserve">ОБРАЗОВАТЕЛЬНЫХ ТЕХНОЛОГИЙ </w:t>
      </w:r>
    </w:p>
    <w:p w:rsidR="0052701D" w:rsidRDefault="00D40929">
      <w:pPr>
        <w:spacing w:after="32"/>
        <w:ind w:left="711"/>
      </w:pPr>
      <w:r>
        <w:rPr>
          <w:rFonts w:ascii="Times New Roman" w:eastAsia="Times New Roman" w:hAnsi="Times New Roman" w:cs="Times New Roman"/>
          <w:sz w:val="24"/>
        </w:rPr>
        <w:t xml:space="preserve"> </w:t>
      </w:r>
    </w:p>
    <w:p w:rsidR="0052701D" w:rsidRDefault="00D40929">
      <w:pPr>
        <w:pStyle w:val="1"/>
        <w:spacing w:after="29" w:line="248" w:lineRule="auto"/>
        <w:ind w:left="2891" w:right="2254" w:firstLine="1066"/>
        <w:jc w:val="both"/>
      </w:pPr>
      <w:r>
        <w:rPr>
          <w:sz w:val="24"/>
        </w:rPr>
        <w:t xml:space="preserve">А.Т. Мухамбедьярова, </w:t>
      </w:r>
    </w:p>
    <w:p w:rsidR="0052701D" w:rsidRDefault="00D40929">
      <w:pPr>
        <w:spacing w:after="29" w:line="248" w:lineRule="auto"/>
        <w:ind w:left="2891" w:right="2254" w:firstLine="1066"/>
        <w:jc w:val="both"/>
      </w:pPr>
      <w:r>
        <w:rPr>
          <w:rFonts w:ascii="Times New Roman" w:eastAsia="Times New Roman" w:hAnsi="Times New Roman" w:cs="Times New Roman"/>
          <w:sz w:val="24"/>
        </w:rPr>
        <w:t xml:space="preserve">доктор политических наук, профессор кафедры социальных дисциплин, </w:t>
      </w:r>
    </w:p>
    <w:p w:rsidR="0052701D" w:rsidRDefault="00D40929">
      <w:pPr>
        <w:spacing w:after="29" w:line="248" w:lineRule="auto"/>
        <w:ind w:left="970" w:right="14"/>
        <w:jc w:val="both"/>
      </w:pPr>
      <w:r>
        <w:rPr>
          <w:rFonts w:ascii="Times New Roman" w:eastAsia="Times New Roman" w:hAnsi="Times New Roman" w:cs="Times New Roman"/>
          <w:sz w:val="24"/>
        </w:rPr>
        <w:t xml:space="preserve">НАО «Алматинский университет энергетики и связи </w:t>
      </w:r>
      <w:r>
        <w:rPr>
          <w:rFonts w:ascii="Times New Roman" w:eastAsia="Times New Roman" w:hAnsi="Times New Roman" w:cs="Times New Roman"/>
          <w:sz w:val="24"/>
        </w:rPr>
        <w:t>имени Гумарбека Даукеева»</w:t>
      </w:r>
      <w:r>
        <w:rPr>
          <w:rFonts w:ascii="Times New Roman" w:eastAsia="Times New Roman" w:hAnsi="Times New Roman" w:cs="Times New Roman"/>
          <w:b/>
          <w:sz w:val="24"/>
        </w:rPr>
        <w:t xml:space="preserve"> </w:t>
      </w:r>
    </w:p>
    <w:p w:rsidR="0052701D" w:rsidRDefault="00D40929">
      <w:pPr>
        <w:spacing w:after="14" w:line="248" w:lineRule="auto"/>
        <w:ind w:left="713" w:right="71" w:hanging="5"/>
        <w:jc w:val="center"/>
      </w:pPr>
      <w:r>
        <w:rPr>
          <w:rFonts w:ascii="Times New Roman" w:eastAsia="Times New Roman" w:hAnsi="Times New Roman" w:cs="Times New Roman"/>
          <w:sz w:val="24"/>
        </w:rPr>
        <w:t xml:space="preserve">a.mukhambedyarova@aues.kz </w:t>
      </w:r>
    </w:p>
    <w:p w:rsidR="0052701D" w:rsidRDefault="00D40929">
      <w:pPr>
        <w:spacing w:after="23"/>
        <w:ind w:left="711"/>
      </w:pPr>
      <w:r>
        <w:rPr>
          <w:rFonts w:ascii="Times New Roman" w:eastAsia="Times New Roman" w:hAnsi="Times New Roman" w:cs="Times New Roman"/>
          <w:sz w:val="24"/>
        </w:rPr>
        <w:t xml:space="preserve"> </w:t>
      </w:r>
    </w:p>
    <w:p w:rsidR="0052701D" w:rsidRDefault="00D40929">
      <w:pPr>
        <w:spacing w:after="29" w:line="248" w:lineRule="auto"/>
        <w:ind w:left="9" w:firstLine="711"/>
        <w:jc w:val="both"/>
      </w:pPr>
      <w:r>
        <w:rPr>
          <w:rFonts w:ascii="Times New Roman" w:eastAsia="Times New Roman" w:hAnsi="Times New Roman" w:cs="Times New Roman"/>
          <w:b/>
          <w:i/>
          <w:sz w:val="24"/>
        </w:rPr>
        <w:t>Аннотация.</w:t>
      </w:r>
      <w:r>
        <w:rPr>
          <w:rFonts w:ascii="Times New Roman" w:eastAsia="Times New Roman" w:hAnsi="Times New Roman" w:cs="Times New Roman"/>
          <w:i/>
          <w:sz w:val="24"/>
        </w:rPr>
        <w:t xml:space="preserve"> Данная работа раскрывает проблему формирования и развития самоменеджмента обучающихся в современных условиях обучения в университете. Было определено, что достаточный уровень профессионализ</w:t>
      </w:r>
      <w:r>
        <w:rPr>
          <w:rFonts w:ascii="Times New Roman" w:eastAsia="Times New Roman" w:hAnsi="Times New Roman" w:cs="Times New Roman"/>
          <w:i/>
          <w:sz w:val="24"/>
        </w:rPr>
        <w:t>ма обучающихся отечественных университетов напрямую зависит от организационно-педагогических условий оптимизации самостоятельной учебной деятельности. Поэтому самоменеджмент имеет большой потенциал для развития самостоятельности и успешности личности обуча</w:t>
      </w:r>
      <w:r>
        <w:rPr>
          <w:rFonts w:ascii="Times New Roman" w:eastAsia="Times New Roman" w:hAnsi="Times New Roman" w:cs="Times New Roman"/>
          <w:i/>
          <w:sz w:val="24"/>
        </w:rPr>
        <w:t xml:space="preserve">ющегося в их жизнедеятельности.  </w:t>
      </w:r>
    </w:p>
    <w:p w:rsidR="0052701D" w:rsidRDefault="00D40929">
      <w:pPr>
        <w:spacing w:after="29" w:line="248" w:lineRule="auto"/>
        <w:ind w:left="9" w:firstLine="711"/>
        <w:jc w:val="both"/>
      </w:pP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 xml:space="preserve"> обучающийся университета, современные условия обучения, личностно-ориентированное обучение, управленческие умения студентов, самостоятельная деятельность, самоменеджмент, организационно-педагогические услов</w:t>
      </w:r>
      <w:r>
        <w:rPr>
          <w:rFonts w:ascii="Times New Roman" w:eastAsia="Times New Roman" w:hAnsi="Times New Roman" w:cs="Times New Roman"/>
          <w:i/>
          <w:sz w:val="24"/>
        </w:rPr>
        <w:t xml:space="preserve">ия.    </w:t>
      </w:r>
    </w:p>
    <w:p w:rsidR="0052701D" w:rsidRDefault="00D40929">
      <w:pPr>
        <w:spacing w:after="0"/>
        <w:ind w:left="711"/>
      </w:pPr>
      <w:r>
        <w:rPr>
          <w:rFonts w:ascii="Times New Roman" w:eastAsia="Times New Roman" w:hAnsi="Times New Roman" w:cs="Times New Roman"/>
          <w:sz w:val="24"/>
        </w:rPr>
        <w:t xml:space="preserve"> </w:t>
      </w:r>
    </w:p>
    <w:p w:rsidR="0052701D" w:rsidRDefault="00D40929">
      <w:pPr>
        <w:spacing w:after="16"/>
        <w:ind w:left="711"/>
      </w:pPr>
      <w:r>
        <w:rPr>
          <w:rFonts w:ascii="Times New Roman" w:eastAsia="Times New Roman" w:hAnsi="Times New Roman" w:cs="Times New Roman"/>
          <w:sz w:val="24"/>
        </w:rPr>
        <w:t xml:space="preserve"> </w:t>
      </w:r>
    </w:p>
    <w:p w:rsidR="0052701D" w:rsidRDefault="00D40929">
      <w:pPr>
        <w:spacing w:after="0"/>
        <w:ind w:left="10" w:right="177" w:hanging="10"/>
        <w:jc w:val="right"/>
      </w:pPr>
      <w:r>
        <w:rPr>
          <w:rFonts w:ascii="Times New Roman" w:eastAsia="Times New Roman" w:hAnsi="Times New Roman" w:cs="Times New Roman"/>
          <w:b/>
          <w:sz w:val="28"/>
        </w:rPr>
        <w:t xml:space="preserve">FEATURES AND TRENDS OF DEVELOPMENT OF EDUCATIONAL </w:t>
      </w:r>
    </w:p>
    <w:p w:rsidR="0052701D" w:rsidRDefault="00D40929">
      <w:pPr>
        <w:spacing w:after="5" w:line="271" w:lineRule="auto"/>
        <w:ind w:left="173" w:right="244" w:hanging="10"/>
        <w:jc w:val="center"/>
      </w:pPr>
      <w:r>
        <w:rPr>
          <w:rFonts w:ascii="Times New Roman" w:eastAsia="Times New Roman" w:hAnsi="Times New Roman" w:cs="Times New Roman"/>
          <w:b/>
          <w:sz w:val="28"/>
        </w:rPr>
        <w:t xml:space="preserve">TECHNOLOGIES </w:t>
      </w:r>
    </w:p>
    <w:p w:rsidR="0052701D" w:rsidRDefault="00D40929">
      <w:pPr>
        <w:spacing w:after="0"/>
        <w:ind w:left="711"/>
      </w:pPr>
      <w:r>
        <w:rPr>
          <w:rFonts w:ascii="Times New Roman" w:eastAsia="Times New Roman" w:hAnsi="Times New Roman" w:cs="Times New Roman"/>
          <w:sz w:val="24"/>
        </w:rPr>
        <w:t xml:space="preserve"> </w:t>
      </w:r>
    </w:p>
    <w:p w:rsidR="0052701D" w:rsidRDefault="00D40929">
      <w:pPr>
        <w:spacing w:after="16" w:line="248" w:lineRule="auto"/>
        <w:ind w:left="819" w:right="182" w:hanging="10"/>
        <w:jc w:val="center"/>
      </w:pPr>
      <w:r>
        <w:rPr>
          <w:rFonts w:ascii="Times New Roman" w:eastAsia="Times New Roman" w:hAnsi="Times New Roman" w:cs="Times New Roman"/>
          <w:b/>
          <w:sz w:val="24"/>
        </w:rPr>
        <w:t xml:space="preserve">A.T. Mukhambedyarova, </w:t>
      </w:r>
    </w:p>
    <w:p w:rsidR="0052701D" w:rsidRDefault="00D40929">
      <w:pPr>
        <w:spacing w:after="14" w:line="248" w:lineRule="auto"/>
        <w:ind w:left="713" w:right="84" w:hanging="5"/>
        <w:jc w:val="center"/>
      </w:pPr>
      <w:r>
        <w:rPr>
          <w:rFonts w:ascii="Times New Roman" w:eastAsia="Times New Roman" w:hAnsi="Times New Roman" w:cs="Times New Roman"/>
          <w:sz w:val="24"/>
        </w:rPr>
        <w:t xml:space="preserve">Doctor of Political Science, </w:t>
      </w:r>
    </w:p>
    <w:p w:rsidR="0052701D" w:rsidRDefault="00D40929">
      <w:pPr>
        <w:spacing w:after="14" w:line="248" w:lineRule="auto"/>
        <w:ind w:left="713" w:right="84" w:hanging="5"/>
        <w:jc w:val="center"/>
      </w:pPr>
      <w:r>
        <w:rPr>
          <w:rFonts w:ascii="Times New Roman" w:eastAsia="Times New Roman" w:hAnsi="Times New Roman" w:cs="Times New Roman"/>
          <w:sz w:val="24"/>
        </w:rPr>
        <w:t xml:space="preserve">Professor of the Department of Social Sciences, </w:t>
      </w:r>
    </w:p>
    <w:p w:rsidR="0052701D" w:rsidRDefault="00D40929">
      <w:pPr>
        <w:spacing w:after="5"/>
        <w:ind w:left="10" w:right="138" w:hanging="10"/>
        <w:jc w:val="right"/>
      </w:pPr>
      <w:r>
        <w:rPr>
          <w:rFonts w:ascii="Times New Roman" w:eastAsia="Times New Roman" w:hAnsi="Times New Roman" w:cs="Times New Roman"/>
          <w:sz w:val="24"/>
        </w:rPr>
        <w:t xml:space="preserve">«Almaty University of Energy and Communications named after G. Daukeev», </w:t>
      </w:r>
      <w:r>
        <w:rPr>
          <w:rFonts w:ascii="Times New Roman" w:eastAsia="Times New Roman" w:hAnsi="Times New Roman" w:cs="Times New Roman"/>
          <w:sz w:val="24"/>
        </w:rPr>
        <w:t xml:space="preserve">Kazakhstan </w:t>
      </w:r>
    </w:p>
    <w:p w:rsidR="0052701D" w:rsidRDefault="00D40929">
      <w:pPr>
        <w:spacing w:after="0"/>
        <w:ind w:left="711"/>
      </w:pPr>
      <w:r>
        <w:rPr>
          <w:rFonts w:ascii="Times New Roman" w:eastAsia="Times New Roman" w:hAnsi="Times New Roman" w:cs="Times New Roman"/>
          <w:sz w:val="24"/>
        </w:rPr>
        <w:t xml:space="preserve"> </w:t>
      </w:r>
    </w:p>
    <w:p w:rsidR="0052701D" w:rsidRDefault="00D40929">
      <w:pPr>
        <w:spacing w:after="0" w:line="248" w:lineRule="auto"/>
        <w:ind w:left="9" w:firstLine="711"/>
        <w:jc w:val="both"/>
      </w:pPr>
      <w:r>
        <w:rPr>
          <w:rFonts w:ascii="Times New Roman" w:eastAsia="Times New Roman" w:hAnsi="Times New Roman" w:cs="Times New Roman"/>
          <w:i/>
          <w:sz w:val="24"/>
        </w:rPr>
        <w:t>Abstract. This work reveals the problem of formation and development of self-management of students in modern conditions of study at the university. It was determined that the sufficient level of professionalism of students of domestic univer</w:t>
      </w:r>
      <w:r>
        <w:rPr>
          <w:rFonts w:ascii="Times New Roman" w:eastAsia="Times New Roman" w:hAnsi="Times New Roman" w:cs="Times New Roman"/>
          <w:i/>
          <w:sz w:val="24"/>
        </w:rPr>
        <w:t>sities directly depends on the organizational and pedagogical conditions for optimizing independent educational activities. Therefore, selfmanagement has a great potential for the development of independence and success of the student's personality in thei</w:t>
      </w:r>
      <w:r>
        <w:rPr>
          <w:rFonts w:ascii="Times New Roman" w:eastAsia="Times New Roman" w:hAnsi="Times New Roman" w:cs="Times New Roman"/>
          <w:i/>
          <w:sz w:val="24"/>
        </w:rPr>
        <w:t xml:space="preserve">r life activities. </w:t>
      </w:r>
    </w:p>
    <w:p w:rsidR="0052701D" w:rsidRDefault="00D40929">
      <w:pPr>
        <w:spacing w:after="0" w:line="248" w:lineRule="auto"/>
        <w:ind w:left="9" w:firstLine="711"/>
        <w:jc w:val="both"/>
      </w:pPr>
      <w:r>
        <w:rPr>
          <w:rFonts w:ascii="Times New Roman" w:eastAsia="Times New Roman" w:hAnsi="Times New Roman" w:cs="Times New Roman"/>
          <w:i/>
          <w:sz w:val="24"/>
        </w:rPr>
        <w:t xml:space="preserve">Keywords: university student, modern learning conditions, personality-oriented learning, management skills of students, independent activity, self-management, organizational and pedagogical conditions. </w:t>
      </w:r>
    </w:p>
    <w:p w:rsidR="0052701D" w:rsidRDefault="00D40929">
      <w:pPr>
        <w:spacing w:after="63"/>
      </w:pPr>
      <w:r>
        <w:rPr>
          <w:rFonts w:ascii="Times New Roman" w:eastAsia="Times New Roman" w:hAnsi="Times New Roman" w:cs="Times New Roman"/>
          <w:sz w:val="24"/>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Образование в настоящее время р</w:t>
      </w:r>
      <w:r>
        <w:rPr>
          <w:rFonts w:ascii="Times New Roman" w:eastAsia="Times New Roman" w:hAnsi="Times New Roman" w:cs="Times New Roman"/>
          <w:sz w:val="28"/>
        </w:rPr>
        <w:t>азвивается на новых методологических основаниях, которые в науке определены как новая гуманистическая парадигма. Согласно одному из современных определений, образование есть специальная сфера социальной жизни, создающая внешние и внутренние условия для раз</w:t>
      </w:r>
      <w:r>
        <w:rPr>
          <w:rFonts w:ascii="Times New Roman" w:eastAsia="Times New Roman" w:hAnsi="Times New Roman" w:cs="Times New Roman"/>
          <w:sz w:val="28"/>
        </w:rPr>
        <w:t xml:space="preserve">вития личности.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Тенденции развития образовательных технологий напрямую связаны с гуманизацией образования, способствующей самоактуализации и </w:t>
      </w:r>
      <w:r>
        <w:rPr>
          <w:rFonts w:ascii="Times New Roman" w:eastAsia="Times New Roman" w:hAnsi="Times New Roman" w:cs="Times New Roman"/>
          <w:sz w:val="28"/>
        </w:rPr>
        <w:lastRenderedPageBreak/>
        <w:t>самореализации личности. Сегодня изменилось отношение к инновационным методам, к новаторству вообще. Появилась воз</w:t>
      </w:r>
      <w:r>
        <w:rPr>
          <w:rFonts w:ascii="Times New Roman" w:eastAsia="Times New Roman" w:hAnsi="Times New Roman" w:cs="Times New Roman"/>
          <w:sz w:val="28"/>
        </w:rPr>
        <w:t>можность реализации любых эффективных методов и форм обучения. Педагогическая технология – главный фактор успеха в работе педагога. XXI век ознаменовался новым этапом в развитии общества, связанным с формированием информационной культуры. Инновационные тех</w:t>
      </w:r>
      <w:r>
        <w:rPr>
          <w:rFonts w:ascii="Times New Roman" w:eastAsia="Times New Roman" w:hAnsi="Times New Roman" w:cs="Times New Roman"/>
          <w:sz w:val="28"/>
        </w:rPr>
        <w:t>нологии в образовании не только повышают эффективность обучения и воспитания личности, они направлены на подготовку высококвалифицированных специалистов, получивших фундаментальные и прикладные знания. Для сферы образования и науки Казахстана 2020 год стал</w:t>
      </w:r>
      <w:r>
        <w:rPr>
          <w:rFonts w:ascii="Times New Roman" w:eastAsia="Times New Roman" w:hAnsi="Times New Roman" w:cs="Times New Roman"/>
          <w:sz w:val="28"/>
        </w:rPr>
        <w:t xml:space="preserve"> самым значимым за весь период независимого развития. 27 декабря 2019 года была утверждена Государственная программа развития образования и науки на </w:t>
      </w:r>
    </w:p>
    <w:p w:rsidR="0052701D" w:rsidRDefault="00D40929">
      <w:pPr>
        <w:spacing w:after="5" w:line="271" w:lineRule="auto"/>
        <w:ind w:left="9" w:right="64"/>
        <w:jc w:val="both"/>
      </w:pPr>
      <w:r>
        <w:rPr>
          <w:rFonts w:ascii="Times New Roman" w:eastAsia="Times New Roman" w:hAnsi="Times New Roman" w:cs="Times New Roman"/>
          <w:sz w:val="28"/>
        </w:rPr>
        <w:t xml:space="preserve">2020-2025 годы, ставящая целями повышение глобальной конкурентоспособности казахстанского образования и </w:t>
      </w:r>
      <w:r>
        <w:rPr>
          <w:rFonts w:ascii="Times New Roman" w:eastAsia="Times New Roman" w:hAnsi="Times New Roman" w:cs="Times New Roman"/>
          <w:sz w:val="28"/>
        </w:rPr>
        <w:t>науки, воспитание и обучение личности на основе общечеловеческих ценностей, а также увеличение вклада образования и науки в социально-экономическое развитие страны. 7 июля 2020 года, когда Президентом РК К.-Ж. Токаевым был подписан Закон Республики Казахст</w:t>
      </w:r>
      <w:r>
        <w:rPr>
          <w:rFonts w:ascii="Times New Roman" w:eastAsia="Times New Roman" w:hAnsi="Times New Roman" w:cs="Times New Roman"/>
          <w:sz w:val="28"/>
        </w:rPr>
        <w:t>ан «О статусе педагога», который направлен на повышение статуса педагогов и установление им широких социальных гарантий. В середине</w:t>
      </w:r>
    </w:p>
    <w:p w:rsidR="0052701D" w:rsidRDefault="00D40929">
      <w:pPr>
        <w:spacing w:after="5" w:line="271" w:lineRule="auto"/>
        <w:ind w:left="9" w:right="64"/>
        <w:jc w:val="both"/>
      </w:pPr>
      <w:r>
        <w:rPr>
          <w:rFonts w:ascii="Times New Roman" w:eastAsia="Times New Roman" w:hAnsi="Times New Roman" w:cs="Times New Roman"/>
          <w:sz w:val="28"/>
        </w:rPr>
        <w:t>года были внесены изменения и дополнения в Государственные общеобязательные стандарты образования, Квалификационные требован</w:t>
      </w:r>
      <w:r>
        <w:rPr>
          <w:rFonts w:ascii="Times New Roman" w:eastAsia="Times New Roman" w:hAnsi="Times New Roman" w:cs="Times New Roman"/>
          <w:sz w:val="28"/>
        </w:rPr>
        <w:t>ия, предъявляемые к образовательной деятельности и Типовые правила деятельности организаций образования. На этих «трех китах», помимо Законов Республики Казахстан «Об образовании» и «О науке» держится регулирование всей сферы образования и науки. Символичн</w:t>
      </w:r>
      <w:r>
        <w:rPr>
          <w:rFonts w:ascii="Times New Roman" w:eastAsia="Times New Roman" w:hAnsi="Times New Roman" w:cs="Times New Roman"/>
          <w:sz w:val="28"/>
        </w:rPr>
        <w:t>о, что два знаковых события государственного масштаба в этом году пришлись на даты, связанные с учебным процессом. 3-е заседание Национального совета общественного доверия, где вопросы развития образования и науки были обозначены как основные в повышении ч</w:t>
      </w:r>
      <w:r>
        <w:rPr>
          <w:rFonts w:ascii="Times New Roman" w:eastAsia="Times New Roman" w:hAnsi="Times New Roman" w:cs="Times New Roman"/>
          <w:sz w:val="28"/>
        </w:rPr>
        <w:t>еловеческого капитала, состоялось 27 мая 2020 года и совпало с окончанием учебного года. В День знаний 1 сентября 2020 года глава государства выступил с посланием народу «Казахстан в новой реальности: время действий», в котором особо отмечена прямая зависи</w:t>
      </w:r>
      <w:r>
        <w:rPr>
          <w:rFonts w:ascii="Times New Roman" w:eastAsia="Times New Roman" w:hAnsi="Times New Roman" w:cs="Times New Roman"/>
          <w:sz w:val="28"/>
        </w:rPr>
        <w:t xml:space="preserve">мость экономического роста и социального благополучия граждан от образования.  </w:t>
      </w:r>
    </w:p>
    <w:p w:rsidR="0052701D" w:rsidRDefault="00D40929">
      <w:pPr>
        <w:spacing w:after="5" w:line="271" w:lineRule="auto"/>
        <w:ind w:left="9" w:right="64" w:firstLine="711"/>
        <w:jc w:val="both"/>
      </w:pPr>
      <w:r>
        <w:rPr>
          <w:rFonts w:ascii="Times New Roman" w:eastAsia="Times New Roman" w:hAnsi="Times New Roman" w:cs="Times New Roman"/>
          <w:sz w:val="28"/>
        </w:rPr>
        <w:t>Сегодня главная особенность вузовской жизни – дистанционное обучение. Современные компьютерные технологии полностью меняют понятие дистанционного образования. Ведь теперь несмо</w:t>
      </w:r>
      <w:r>
        <w:rPr>
          <w:rFonts w:ascii="Times New Roman" w:eastAsia="Times New Roman" w:hAnsi="Times New Roman" w:cs="Times New Roman"/>
          <w:sz w:val="28"/>
        </w:rPr>
        <w:t xml:space="preserve">тря на то, что обучающийся находится вне аудитории, он может получать знания и активно участвовать в учебном процессе. Также крайне важной задачей является постоянное и </w:t>
      </w:r>
      <w:r>
        <w:rPr>
          <w:rFonts w:ascii="Times New Roman" w:eastAsia="Times New Roman" w:hAnsi="Times New Roman" w:cs="Times New Roman"/>
          <w:sz w:val="28"/>
        </w:rPr>
        <w:lastRenderedPageBreak/>
        <w:t>эффективное сопровождение и поддержка специалистов и педагогов, ведь именно от них зави</w:t>
      </w:r>
      <w:r>
        <w:rPr>
          <w:rFonts w:ascii="Times New Roman" w:eastAsia="Times New Roman" w:hAnsi="Times New Roman" w:cs="Times New Roman"/>
          <w:sz w:val="28"/>
        </w:rPr>
        <w:t xml:space="preserve">сит успешное обучение. Включение молодых людей с особыми потребностями в массовые образовательные учреждения предусматривает специализированную коррекционную помощь и психологическую поддержку, задачами которых являются контроль, оказание помощи в решении </w:t>
      </w:r>
      <w:r>
        <w:rPr>
          <w:rFonts w:ascii="Times New Roman" w:eastAsia="Times New Roman" w:hAnsi="Times New Roman" w:cs="Times New Roman"/>
          <w:sz w:val="28"/>
        </w:rPr>
        <w:t xml:space="preserve">проблем адаптации в среде здоровых сверстников.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Инновационная деятельность образовательной сферы направлена на решение следующих задач: </w:t>
      </w:r>
    </w:p>
    <w:p w:rsidR="0052701D" w:rsidRDefault="00D40929">
      <w:pPr>
        <w:numPr>
          <w:ilvl w:val="0"/>
          <w:numId w:val="89"/>
        </w:numPr>
        <w:spacing w:after="5" w:line="271" w:lineRule="auto"/>
        <w:ind w:right="64" w:firstLine="711"/>
        <w:jc w:val="both"/>
      </w:pPr>
      <w:r>
        <w:rPr>
          <w:rFonts w:ascii="Times New Roman" w:eastAsia="Times New Roman" w:hAnsi="Times New Roman" w:cs="Times New Roman"/>
          <w:sz w:val="28"/>
        </w:rPr>
        <w:t xml:space="preserve">создание условий для получения полноценного образования без какихлибо ограничений;  </w:t>
      </w:r>
    </w:p>
    <w:p w:rsidR="0052701D" w:rsidRDefault="00D40929">
      <w:pPr>
        <w:numPr>
          <w:ilvl w:val="0"/>
          <w:numId w:val="89"/>
        </w:numPr>
        <w:spacing w:after="5" w:line="271" w:lineRule="auto"/>
        <w:ind w:right="64" w:firstLine="711"/>
        <w:jc w:val="both"/>
      </w:pPr>
      <w:r>
        <w:rPr>
          <w:rFonts w:ascii="Times New Roman" w:eastAsia="Times New Roman" w:hAnsi="Times New Roman" w:cs="Times New Roman"/>
          <w:sz w:val="28"/>
        </w:rPr>
        <w:t>создание необходимой адаптивной с</w:t>
      </w:r>
      <w:r>
        <w:rPr>
          <w:rFonts w:ascii="Times New Roman" w:eastAsia="Times New Roman" w:hAnsi="Times New Roman" w:cs="Times New Roman"/>
          <w:sz w:val="28"/>
        </w:rPr>
        <w:t xml:space="preserve">реды в образовательном учреждении посредством укрепления учебно-материальной базы учреждений; </w:t>
      </w:r>
    </w:p>
    <w:p w:rsidR="0052701D" w:rsidRDefault="00D40929">
      <w:pPr>
        <w:numPr>
          <w:ilvl w:val="0"/>
          <w:numId w:val="89"/>
        </w:numPr>
        <w:spacing w:after="5" w:line="271" w:lineRule="auto"/>
        <w:ind w:right="64" w:firstLine="711"/>
        <w:jc w:val="both"/>
      </w:pPr>
      <w:r>
        <w:rPr>
          <w:rFonts w:ascii="Times New Roman" w:eastAsia="Times New Roman" w:hAnsi="Times New Roman" w:cs="Times New Roman"/>
          <w:sz w:val="28"/>
        </w:rPr>
        <w:t xml:space="preserve">обеспечение индивидуального образовательного сопровождения на основе инклюзивных подходов; </w:t>
      </w:r>
    </w:p>
    <w:p w:rsidR="0052701D" w:rsidRDefault="00D40929">
      <w:pPr>
        <w:numPr>
          <w:ilvl w:val="0"/>
          <w:numId w:val="89"/>
        </w:numPr>
        <w:spacing w:after="5" w:line="271" w:lineRule="auto"/>
        <w:ind w:right="64" w:firstLine="711"/>
        <w:jc w:val="both"/>
      </w:pPr>
      <w:r>
        <w:rPr>
          <w:rFonts w:ascii="Times New Roman" w:eastAsia="Times New Roman" w:hAnsi="Times New Roman" w:cs="Times New Roman"/>
          <w:sz w:val="28"/>
        </w:rPr>
        <w:t>создание условий для получения образования в различных вариативных ус</w:t>
      </w:r>
      <w:r>
        <w:rPr>
          <w:rFonts w:ascii="Times New Roman" w:eastAsia="Times New Roman" w:hAnsi="Times New Roman" w:cs="Times New Roman"/>
          <w:sz w:val="28"/>
        </w:rPr>
        <w:t xml:space="preserve">ловиях. </w:t>
      </w:r>
    </w:p>
    <w:p w:rsidR="0052701D" w:rsidRDefault="00D40929">
      <w:pPr>
        <w:spacing w:after="5" w:line="271" w:lineRule="auto"/>
        <w:ind w:left="9" w:right="64" w:firstLine="711"/>
        <w:jc w:val="both"/>
      </w:pPr>
      <w:r>
        <w:rPr>
          <w:rFonts w:ascii="Times New Roman" w:eastAsia="Times New Roman" w:hAnsi="Times New Roman" w:cs="Times New Roman"/>
          <w:sz w:val="28"/>
        </w:rPr>
        <w:t>Пандемия коронавируса ускорила процесс перехода на онлайн-обучение. Несмотря на то, что в АУЭС имени Гумарбека Даукеева достаточно технических возможностей, переход на обучение в режиме онлайн был непростым и требовал оперативного решения возникаю</w:t>
      </w:r>
      <w:r>
        <w:rPr>
          <w:rFonts w:ascii="Times New Roman" w:eastAsia="Times New Roman" w:hAnsi="Times New Roman" w:cs="Times New Roman"/>
          <w:sz w:val="28"/>
        </w:rPr>
        <w:t xml:space="preserve">щих проблем. Необходимо было изменить формат привычных образовательных программ на цифровой, разработать онлайн-занятия, лекции, вебинары, базы тестовых заданий и многое другое. Одновременно и студенты вуза, и преподаватели обучались работе в стриминговых </w:t>
      </w:r>
      <w:r>
        <w:rPr>
          <w:rFonts w:ascii="Times New Roman" w:eastAsia="Times New Roman" w:hAnsi="Times New Roman" w:cs="Times New Roman"/>
          <w:sz w:val="28"/>
        </w:rPr>
        <w:t>платформах Мооdlе, Google Meet, Zoom, Microsoft Teams, Discord и пр. Алматинский университет энергетики и связи имени Гумарбека Даукеева  провел большую работу как по техническому оснащению, нарастив серверные мощности, увеличив пропускную способность Инте</w:t>
      </w:r>
      <w:r>
        <w:rPr>
          <w:rFonts w:ascii="Times New Roman" w:eastAsia="Times New Roman" w:hAnsi="Times New Roman" w:cs="Times New Roman"/>
          <w:sz w:val="28"/>
        </w:rPr>
        <w:t xml:space="preserve">рнета, расширив компьютерный парк, так и в части содержания: преподаватели прошли курсы по стримингу, подготовлены видеолекции, практические занятия и лабораторные работы переработаны с учетом формата дистанционного обучения. Пандемия коронавируса открыла </w:t>
      </w:r>
      <w:r>
        <w:rPr>
          <w:rFonts w:ascii="Times New Roman" w:eastAsia="Times New Roman" w:hAnsi="Times New Roman" w:cs="Times New Roman"/>
          <w:sz w:val="28"/>
        </w:rPr>
        <w:t>перед нами новые возможности. В частности, все процессы в университете переведены в цифровой формат, разрабатывается собственная образовательная платформа со всеми ее атрибутами. В университете введена должность цифрового офицера, сформирована команда разр</w:t>
      </w:r>
      <w:r>
        <w:rPr>
          <w:rFonts w:ascii="Times New Roman" w:eastAsia="Times New Roman" w:hAnsi="Times New Roman" w:cs="Times New Roman"/>
          <w:sz w:val="28"/>
        </w:rPr>
        <w:t xml:space="preserve">аботчиковпрограммистов, которые начали работу в направлении цифрового университета. Формируются новые образовательные программы, среди которых такие, как </w:t>
      </w:r>
    </w:p>
    <w:p w:rsidR="0052701D" w:rsidRDefault="00D40929">
      <w:pPr>
        <w:spacing w:after="5" w:line="271" w:lineRule="auto"/>
        <w:ind w:left="9" w:right="64"/>
        <w:jc w:val="both"/>
      </w:pPr>
      <w:r>
        <w:rPr>
          <w:rFonts w:ascii="Times New Roman" w:eastAsia="Times New Roman" w:hAnsi="Times New Roman" w:cs="Times New Roman"/>
          <w:sz w:val="28"/>
        </w:rPr>
        <w:t>«Цифровая энергетика», «Интеллектуальные энергетические системы», «Smart Grid в сельском хозяйстве» и</w:t>
      </w:r>
      <w:r>
        <w:rPr>
          <w:rFonts w:ascii="Times New Roman" w:eastAsia="Times New Roman" w:hAnsi="Times New Roman" w:cs="Times New Roman"/>
          <w:sz w:val="28"/>
        </w:rPr>
        <w:t xml:space="preserve"> многие другие. Для поддержки и развития творческих инициатив студентов действуют Инновационный центр AUPET </w:t>
      </w:r>
      <w:r>
        <w:rPr>
          <w:rFonts w:ascii="Times New Roman" w:eastAsia="Times New Roman" w:hAnsi="Times New Roman" w:cs="Times New Roman"/>
          <w:sz w:val="28"/>
        </w:rPr>
        <w:lastRenderedPageBreak/>
        <w:t xml:space="preserve">INNOVATION и коворкинг-центр. Наши студенты действительно креативные, инициативные и инновационно мыслящие, выполняют прикладные социально значимые </w:t>
      </w:r>
      <w:r>
        <w:rPr>
          <w:rFonts w:ascii="Times New Roman" w:eastAsia="Times New Roman" w:hAnsi="Times New Roman" w:cs="Times New Roman"/>
          <w:sz w:val="28"/>
        </w:rPr>
        <w:t>проекты для города и республики, для людей с ограниченными возможностями. Например, по заявке жителя Алматы с нарушением слуха студенты разработали «умную перчатку», при помощи которой он теперь может общаться с окружающими. Внимания заслуживает проект физ</w:t>
      </w:r>
      <w:r>
        <w:rPr>
          <w:rFonts w:ascii="Times New Roman" w:eastAsia="Times New Roman" w:hAnsi="Times New Roman" w:cs="Times New Roman"/>
          <w:sz w:val="28"/>
        </w:rPr>
        <w:t>ического макета роботизированной трости для слабовидящих, которая, имея угол обзора до 180 градусов и встроенную навигацию до конечной точки маршрута, обладает высокой степенью обнаружения препятствий. Хотелось бы отметить и работы по разработке информацио</w:t>
      </w:r>
      <w:r>
        <w:rPr>
          <w:rFonts w:ascii="Times New Roman" w:eastAsia="Times New Roman" w:hAnsi="Times New Roman" w:cs="Times New Roman"/>
          <w:sz w:val="28"/>
        </w:rPr>
        <w:t>нной обучающей системы для детей с расстройством аутистического спектра, по оценке текущей эпидемиологической ситуации по сахарному диабету на основе обработки больших данных в масштабах страны, разработки автоматизированных систем снеготаяния для социальн</w:t>
      </w:r>
      <w:r>
        <w:rPr>
          <w:rFonts w:ascii="Times New Roman" w:eastAsia="Times New Roman" w:hAnsi="Times New Roman" w:cs="Times New Roman"/>
          <w:sz w:val="28"/>
        </w:rPr>
        <w:t xml:space="preserve">о значимых объектов, автоматизированного мониторинга обнаружения опасных веществ.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Важным этапом на пути формирования инклюзивного подхода в образовании является модель образовательной и социальной интеграции обучающихся с особыми образовательными </w:t>
      </w:r>
      <w:r>
        <w:rPr>
          <w:rFonts w:ascii="Times New Roman" w:eastAsia="Times New Roman" w:hAnsi="Times New Roman" w:cs="Times New Roman"/>
          <w:sz w:val="28"/>
        </w:rPr>
        <w:t>потребностями в систему образования. Основная задача в педагогической деятельности - помочь обучающимся найти себя в будущем, стать самостоятельными, уверенными в себе людьми, подготовить их к жизни в высокотехнологичном конкурентном мире, к успешной социа</w:t>
      </w:r>
      <w:r>
        <w:rPr>
          <w:rFonts w:ascii="Times New Roman" w:eastAsia="Times New Roman" w:hAnsi="Times New Roman" w:cs="Times New Roman"/>
          <w:sz w:val="28"/>
        </w:rPr>
        <w:t>лизации в обществе и активной адаптации на рынке труда. Общепринятым считается, что инклюзивное образование – это процесс развития общего образования, подразумевающий доступность образования для всех, что и обеспечивает доступ к образованию детям с особыми</w:t>
      </w:r>
      <w:r>
        <w:rPr>
          <w:rFonts w:ascii="Times New Roman" w:eastAsia="Times New Roman" w:hAnsi="Times New Roman" w:cs="Times New Roman"/>
          <w:sz w:val="28"/>
        </w:rPr>
        <w:t xml:space="preserve"> потребностями. Термин «инклюзивное образование» является более современным, отражающим новый взгляд не только на систему образования, но и на место человека в обществе. Таким образом, создание условий для полноценного воспитания и образования инвалидов и </w:t>
      </w:r>
      <w:r>
        <w:rPr>
          <w:rFonts w:ascii="Times New Roman" w:eastAsia="Times New Roman" w:hAnsi="Times New Roman" w:cs="Times New Roman"/>
          <w:sz w:val="28"/>
        </w:rPr>
        <w:t xml:space="preserve">лиц с ограниченными возможностями здоровья, адекватного их состоянию здоровья, в частности введение инклюзивного образования выделено в один из приоритетов социальной̆ политики в мире. </w:t>
      </w:r>
    </w:p>
    <w:p w:rsidR="0052701D" w:rsidRDefault="00D40929">
      <w:pPr>
        <w:spacing w:after="5" w:line="271" w:lineRule="auto"/>
        <w:ind w:left="9" w:right="64" w:firstLine="711"/>
        <w:jc w:val="both"/>
      </w:pPr>
      <w:r>
        <w:rPr>
          <w:rFonts w:ascii="Times New Roman" w:eastAsia="Times New Roman" w:hAnsi="Times New Roman" w:cs="Times New Roman"/>
          <w:sz w:val="28"/>
        </w:rPr>
        <w:t>Внедрение инновационных технологий в профессиональную подготовку будущ</w:t>
      </w:r>
      <w:r>
        <w:rPr>
          <w:rFonts w:ascii="Times New Roman" w:eastAsia="Times New Roman" w:hAnsi="Times New Roman" w:cs="Times New Roman"/>
          <w:sz w:val="28"/>
        </w:rPr>
        <w:t>его специалиста является необходимым элементом формирования основ профессионализма. Инновационные технологии в профессиональном образовании способствуют повышению качества обучения. Инновации в деятельности системы профессионального образования – это совок</w:t>
      </w:r>
      <w:r>
        <w:rPr>
          <w:rFonts w:ascii="Times New Roman" w:eastAsia="Times New Roman" w:hAnsi="Times New Roman" w:cs="Times New Roman"/>
          <w:sz w:val="28"/>
        </w:rPr>
        <w:t xml:space="preserve">упность новых знаний, подходов и технологий для получения результата в виде услуг образования. Инновационные педагогические технологии в образовании играют </w:t>
      </w:r>
      <w:r>
        <w:rPr>
          <w:rFonts w:ascii="Times New Roman" w:eastAsia="Times New Roman" w:hAnsi="Times New Roman" w:cs="Times New Roman"/>
          <w:sz w:val="28"/>
        </w:rPr>
        <w:lastRenderedPageBreak/>
        <w:t>существенную роль и предполагают взаимосвязанную деятельность преподавателя с обучающимися и студент</w:t>
      </w:r>
      <w:r>
        <w:rPr>
          <w:rFonts w:ascii="Times New Roman" w:eastAsia="Times New Roman" w:hAnsi="Times New Roman" w:cs="Times New Roman"/>
          <w:sz w:val="28"/>
        </w:rPr>
        <w:t>ами. Главной целью инновационных технологий образования является подготовка человека к жизни в постоянно меняющемся мире. Сущность такого обучения состоит в ориентации учебного процесса на потенциальные возможности человека и их реализацию. В профессиональ</w:t>
      </w:r>
      <w:r>
        <w:rPr>
          <w:rFonts w:ascii="Times New Roman" w:eastAsia="Times New Roman" w:hAnsi="Times New Roman" w:cs="Times New Roman"/>
          <w:sz w:val="28"/>
        </w:rPr>
        <w:t xml:space="preserve">ной деятельности применяются самые различные педагогические инновации. Одной из таких инноваций являются информационнокоммуникационные технологии. </w:t>
      </w:r>
    </w:p>
    <w:p w:rsidR="0052701D" w:rsidRDefault="00D40929">
      <w:pPr>
        <w:spacing w:after="5" w:line="271" w:lineRule="auto"/>
        <w:ind w:left="9" w:right="64" w:firstLine="711"/>
        <w:jc w:val="both"/>
      </w:pPr>
      <w:r>
        <w:rPr>
          <w:rFonts w:ascii="Times New Roman" w:eastAsia="Times New Roman" w:hAnsi="Times New Roman" w:cs="Times New Roman"/>
          <w:sz w:val="28"/>
        </w:rPr>
        <w:t>Внедрение информационно-коммуникационных технологий в образовательный процесс основан на дистанционных техно</w:t>
      </w:r>
      <w:r>
        <w:rPr>
          <w:rFonts w:ascii="Times New Roman" w:eastAsia="Times New Roman" w:hAnsi="Times New Roman" w:cs="Times New Roman"/>
          <w:sz w:val="28"/>
        </w:rPr>
        <w:t>логиях обучения. Использование цифровых образовательных ресурсов в работе с детьмиинвалидами и лицами с ограниченными возможностями здоровья, является необходимым условием работы на занятиях и в дистанционном режиме. Информационные технологии расширяют воз</w:t>
      </w:r>
      <w:r>
        <w:rPr>
          <w:rFonts w:ascii="Times New Roman" w:eastAsia="Times New Roman" w:hAnsi="Times New Roman" w:cs="Times New Roman"/>
          <w:sz w:val="28"/>
        </w:rPr>
        <w:t>можности предъявления учебной информации. Кроме того, использование информационно - коммуникационных технологий – это одно из условий эффективного управления познавательной деятельностью студентов. Использование цифровых образовательных ресурсов в работе п</w:t>
      </w:r>
      <w:r>
        <w:rPr>
          <w:rFonts w:ascii="Times New Roman" w:eastAsia="Times New Roman" w:hAnsi="Times New Roman" w:cs="Times New Roman"/>
          <w:sz w:val="28"/>
        </w:rPr>
        <w:t>реподавателя в качестве формы организации учебной деятельности позволит индивидуализировать и дифференцировать работу со студентами, развивать навыки самостоятельной работы, удовлетворяя образовательные потребности и их индивидуальный образовательный маршр</w:t>
      </w:r>
      <w:r>
        <w:rPr>
          <w:rFonts w:ascii="Times New Roman" w:eastAsia="Times New Roman" w:hAnsi="Times New Roman" w:cs="Times New Roman"/>
          <w:sz w:val="28"/>
        </w:rPr>
        <w:t>ут. Внедрение инновационных технологий в подготовку будущего специалиста является необходимым элементом формирования основ профессионализма. Инновационные педагогические технологии в образовании играют существенную роль и предполагают взаимосвязанную деяте</w:t>
      </w:r>
      <w:r>
        <w:rPr>
          <w:rFonts w:ascii="Times New Roman" w:eastAsia="Times New Roman" w:hAnsi="Times New Roman" w:cs="Times New Roman"/>
          <w:sz w:val="28"/>
        </w:rPr>
        <w:t xml:space="preserve">льность преподавателя и обучающегося. </w:t>
      </w:r>
    </w:p>
    <w:p w:rsidR="0052701D" w:rsidRDefault="00D40929">
      <w:pPr>
        <w:spacing w:after="5" w:line="271" w:lineRule="auto"/>
        <w:ind w:left="9" w:right="64" w:firstLine="711"/>
        <w:jc w:val="both"/>
      </w:pPr>
      <w:r>
        <w:rPr>
          <w:rFonts w:ascii="Times New Roman" w:eastAsia="Times New Roman" w:hAnsi="Times New Roman" w:cs="Times New Roman"/>
          <w:sz w:val="28"/>
        </w:rPr>
        <w:t>Таким образом, главной целью инновационных технологий образования является подготовка человека к жизни в постоянно меняющемся мире. Сущность такого обучения состоит в ориентации учебного процесса на потенциальные возм</w:t>
      </w:r>
      <w:r>
        <w:rPr>
          <w:rFonts w:ascii="Times New Roman" w:eastAsia="Times New Roman" w:hAnsi="Times New Roman" w:cs="Times New Roman"/>
          <w:sz w:val="28"/>
        </w:rPr>
        <w:t xml:space="preserve">ожности человека и их реализацию. Образование должно развивать механизмы инновационной деятельности, находить творческие способы решения жизненно важных проблем, способствовать превращению творчества в норму и форму существования человека. </w:t>
      </w:r>
    </w:p>
    <w:p w:rsidR="0052701D" w:rsidRDefault="00D40929">
      <w:pPr>
        <w:spacing w:after="5" w:line="271" w:lineRule="auto"/>
        <w:ind w:left="9" w:right="64" w:firstLine="711"/>
        <w:jc w:val="both"/>
      </w:pPr>
      <w:r>
        <w:rPr>
          <w:rFonts w:ascii="Times New Roman" w:eastAsia="Times New Roman" w:hAnsi="Times New Roman" w:cs="Times New Roman"/>
          <w:sz w:val="28"/>
        </w:rPr>
        <w:t>Следует заметит</w:t>
      </w:r>
      <w:r>
        <w:rPr>
          <w:rFonts w:ascii="Times New Roman" w:eastAsia="Times New Roman" w:hAnsi="Times New Roman" w:cs="Times New Roman"/>
          <w:sz w:val="28"/>
        </w:rPr>
        <w:t xml:space="preserve">ь, что наиболее востребованными и эффективными в настоящее время являются следующие технологии: </w:t>
      </w:r>
    </w:p>
    <w:p w:rsidR="0052701D" w:rsidRDefault="00D40929">
      <w:pPr>
        <w:spacing w:after="5" w:line="271" w:lineRule="auto"/>
        <w:ind w:left="711" w:right="64"/>
        <w:jc w:val="both"/>
      </w:pPr>
      <w:r>
        <w:rPr>
          <w:rFonts w:ascii="Times New Roman" w:eastAsia="Times New Roman" w:hAnsi="Times New Roman" w:cs="Times New Roman"/>
          <w:sz w:val="28"/>
        </w:rPr>
        <w:t xml:space="preserve">1) интерактивные технологии, позволяющие: </w:t>
      </w:r>
    </w:p>
    <w:p w:rsidR="0052701D" w:rsidRDefault="00D40929">
      <w:pPr>
        <w:numPr>
          <w:ilvl w:val="0"/>
          <w:numId w:val="90"/>
        </w:numPr>
        <w:spacing w:after="5" w:line="271" w:lineRule="auto"/>
        <w:ind w:right="64" w:firstLine="711"/>
        <w:jc w:val="both"/>
      </w:pPr>
      <w:r>
        <w:rPr>
          <w:rFonts w:ascii="Times New Roman" w:eastAsia="Times New Roman" w:hAnsi="Times New Roman" w:cs="Times New Roman"/>
          <w:sz w:val="28"/>
        </w:rPr>
        <w:t xml:space="preserve">во-первых, наладить контакт со сверстниками в группе и со взрослыми; </w:t>
      </w:r>
    </w:p>
    <w:p w:rsidR="0052701D" w:rsidRDefault="00D40929">
      <w:pPr>
        <w:numPr>
          <w:ilvl w:val="0"/>
          <w:numId w:val="90"/>
        </w:numPr>
        <w:spacing w:after="5" w:line="271" w:lineRule="auto"/>
        <w:ind w:right="64" w:firstLine="711"/>
        <w:jc w:val="both"/>
      </w:pPr>
      <w:r>
        <w:rPr>
          <w:rFonts w:ascii="Times New Roman" w:eastAsia="Times New Roman" w:hAnsi="Times New Roman" w:cs="Times New Roman"/>
          <w:sz w:val="28"/>
        </w:rPr>
        <w:t>во-вторых, позволяет включаться в учебный проц</w:t>
      </w:r>
      <w:r>
        <w:rPr>
          <w:rFonts w:ascii="Times New Roman" w:eastAsia="Times New Roman" w:hAnsi="Times New Roman" w:cs="Times New Roman"/>
          <w:sz w:val="28"/>
        </w:rPr>
        <w:t xml:space="preserve">есс; </w:t>
      </w:r>
    </w:p>
    <w:p w:rsidR="0052701D" w:rsidRDefault="00D40929">
      <w:pPr>
        <w:numPr>
          <w:ilvl w:val="0"/>
          <w:numId w:val="90"/>
        </w:numPr>
        <w:spacing w:after="5" w:line="271" w:lineRule="auto"/>
        <w:ind w:right="64" w:firstLine="711"/>
        <w:jc w:val="both"/>
      </w:pPr>
      <w:r>
        <w:rPr>
          <w:rFonts w:ascii="Times New Roman" w:eastAsia="Times New Roman" w:hAnsi="Times New Roman" w:cs="Times New Roman"/>
          <w:sz w:val="28"/>
        </w:rPr>
        <w:lastRenderedPageBreak/>
        <w:t xml:space="preserve">в-третьих, помогает создать в группе различные учебные ситуации (при этом учитываются индивидуальные особенности), для решения которых можно использовать различные варианты.  </w:t>
      </w:r>
    </w:p>
    <w:p w:rsidR="0052701D" w:rsidRDefault="00D40929">
      <w:pPr>
        <w:spacing w:after="5" w:line="271" w:lineRule="auto"/>
        <w:ind w:left="711" w:right="64"/>
        <w:jc w:val="both"/>
      </w:pPr>
      <w:r>
        <w:rPr>
          <w:rFonts w:ascii="Times New Roman" w:eastAsia="Times New Roman" w:hAnsi="Times New Roman" w:cs="Times New Roman"/>
          <w:sz w:val="28"/>
        </w:rPr>
        <w:t xml:space="preserve">2) дистанционные технологии [1, 18].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      В целом, наиболее важным для </w:t>
      </w:r>
      <w:r>
        <w:rPr>
          <w:rFonts w:ascii="Times New Roman" w:eastAsia="Times New Roman" w:hAnsi="Times New Roman" w:cs="Times New Roman"/>
          <w:sz w:val="28"/>
        </w:rPr>
        <w:t xml:space="preserve">развития инклюзии представляется следующее: </w:t>
      </w:r>
    </w:p>
    <w:p w:rsidR="0052701D" w:rsidRDefault="00D40929">
      <w:pPr>
        <w:numPr>
          <w:ilvl w:val="0"/>
          <w:numId w:val="91"/>
        </w:numPr>
        <w:spacing w:after="5" w:line="271" w:lineRule="auto"/>
        <w:ind w:right="64" w:firstLine="711"/>
        <w:jc w:val="both"/>
      </w:pPr>
      <w:r>
        <w:rPr>
          <w:rFonts w:ascii="Times New Roman" w:eastAsia="Times New Roman" w:hAnsi="Times New Roman" w:cs="Times New Roman"/>
          <w:sz w:val="28"/>
        </w:rPr>
        <w:t xml:space="preserve">обязательная профессиональная переподготовка педагогов, создание ресурсных центров поддержки инклюзивного образования с привлечением опыта системы специального образования; </w:t>
      </w:r>
    </w:p>
    <w:p w:rsidR="0052701D" w:rsidRDefault="00D40929">
      <w:pPr>
        <w:numPr>
          <w:ilvl w:val="0"/>
          <w:numId w:val="91"/>
        </w:numPr>
        <w:spacing w:after="5" w:line="271" w:lineRule="auto"/>
        <w:ind w:right="64" w:firstLine="711"/>
        <w:jc w:val="both"/>
      </w:pPr>
      <w:r>
        <w:rPr>
          <w:rFonts w:ascii="Times New Roman" w:eastAsia="Times New Roman" w:hAnsi="Times New Roman" w:cs="Times New Roman"/>
          <w:sz w:val="28"/>
        </w:rPr>
        <w:t>развитие системы дистанционного обуче</w:t>
      </w:r>
      <w:r>
        <w:rPr>
          <w:rFonts w:ascii="Times New Roman" w:eastAsia="Times New Roman" w:hAnsi="Times New Roman" w:cs="Times New Roman"/>
          <w:sz w:val="28"/>
        </w:rPr>
        <w:t xml:space="preserve">ния; </w:t>
      </w:r>
    </w:p>
    <w:p w:rsidR="0052701D" w:rsidRDefault="00D40929">
      <w:pPr>
        <w:numPr>
          <w:ilvl w:val="0"/>
          <w:numId w:val="91"/>
        </w:numPr>
        <w:spacing w:after="5" w:line="271" w:lineRule="auto"/>
        <w:ind w:right="64" w:firstLine="711"/>
        <w:jc w:val="both"/>
      </w:pPr>
      <w:r>
        <w:rPr>
          <w:rFonts w:ascii="Times New Roman" w:eastAsia="Times New Roman" w:hAnsi="Times New Roman" w:cs="Times New Roman"/>
          <w:sz w:val="28"/>
        </w:rPr>
        <w:t xml:space="preserve">совершенствование форм и методов работы с инвалидами и лицами с ограниченными возможностями здоровья; </w:t>
      </w:r>
    </w:p>
    <w:p w:rsidR="0052701D" w:rsidRDefault="00D40929">
      <w:pPr>
        <w:numPr>
          <w:ilvl w:val="0"/>
          <w:numId w:val="91"/>
        </w:numPr>
        <w:spacing w:after="5" w:line="271" w:lineRule="auto"/>
        <w:ind w:right="64" w:firstLine="711"/>
        <w:jc w:val="both"/>
      </w:pPr>
      <w:r>
        <w:rPr>
          <w:rFonts w:ascii="Times New Roman" w:eastAsia="Times New Roman" w:hAnsi="Times New Roman" w:cs="Times New Roman"/>
          <w:sz w:val="28"/>
        </w:rPr>
        <w:t xml:space="preserve">использование инновационных технологий на всех этапах воспитания и обучения; </w:t>
      </w:r>
    </w:p>
    <w:p w:rsidR="0052701D" w:rsidRDefault="00D40929">
      <w:pPr>
        <w:numPr>
          <w:ilvl w:val="0"/>
          <w:numId w:val="91"/>
        </w:numPr>
        <w:spacing w:after="5" w:line="271" w:lineRule="auto"/>
        <w:ind w:right="64" w:firstLine="711"/>
        <w:jc w:val="both"/>
      </w:pPr>
      <w:r>
        <w:rPr>
          <w:rFonts w:ascii="Times New Roman" w:eastAsia="Times New Roman" w:hAnsi="Times New Roman" w:cs="Times New Roman"/>
          <w:sz w:val="28"/>
        </w:rPr>
        <w:t>разработка психолого-педагогических технологий сопровождения [1, 19].</w:t>
      </w:r>
      <w:r>
        <w:rPr>
          <w:rFonts w:ascii="Times New Roman" w:eastAsia="Times New Roman" w:hAnsi="Times New Roman" w:cs="Times New Roman"/>
          <w:sz w:val="28"/>
        </w:rPr>
        <w:t xml:space="preserve"> </w:t>
      </w:r>
      <w:r>
        <w:rPr>
          <w:rFonts w:ascii="Times New Roman" w:eastAsia="Times New Roman" w:hAnsi="Times New Roman" w:cs="Times New Roman"/>
          <w:sz w:val="24"/>
        </w:rPr>
        <w:t xml:space="preserve">Источник </w:t>
      </w:r>
    </w:p>
    <w:p w:rsidR="0052701D" w:rsidRDefault="00D40929">
      <w:pPr>
        <w:spacing w:after="29" w:line="248" w:lineRule="auto"/>
        <w:ind w:left="9" w:right="14" w:firstLine="711"/>
        <w:jc w:val="both"/>
      </w:pPr>
      <w:r>
        <w:rPr>
          <w:rFonts w:ascii="Times New Roman" w:eastAsia="Times New Roman" w:hAnsi="Times New Roman" w:cs="Times New Roman"/>
          <w:sz w:val="24"/>
        </w:rPr>
        <w:t xml:space="preserve">[1] Воронич Е.А. Сущность инклюзивного подхода в образовании // Периодический журнал научных трудов «ФЭН-НАУКА». – Бугульма. - № 1(16), 2013. – С. 17-20. </w:t>
      </w:r>
    </w:p>
    <w:p w:rsidR="0052701D" w:rsidRDefault="00D40929">
      <w:pPr>
        <w:spacing w:after="0"/>
        <w:ind w:left="711"/>
      </w:pPr>
      <w:r>
        <w:rPr>
          <w:rFonts w:ascii="Times New Roman" w:eastAsia="Times New Roman" w:hAnsi="Times New Roman" w:cs="Times New Roman"/>
          <w:sz w:val="24"/>
        </w:rPr>
        <w:t xml:space="preserve"> </w:t>
      </w:r>
    </w:p>
    <w:p w:rsidR="0052701D" w:rsidRDefault="00D40929">
      <w:pPr>
        <w:spacing w:after="0"/>
        <w:ind w:left="711"/>
      </w:pPr>
      <w:r>
        <w:rPr>
          <w:rFonts w:ascii="Times New Roman" w:eastAsia="Times New Roman" w:hAnsi="Times New Roman" w:cs="Times New Roman"/>
          <w:sz w:val="24"/>
        </w:rPr>
        <w:t xml:space="preserve">          </w:t>
      </w:r>
    </w:p>
    <w:p w:rsidR="0052701D" w:rsidRDefault="00D40929">
      <w:pPr>
        <w:spacing w:after="4" w:line="271" w:lineRule="auto"/>
        <w:ind w:left="-5" w:right="194" w:hanging="10"/>
      </w:pPr>
      <w:r>
        <w:rPr>
          <w:rFonts w:ascii="Times New Roman" w:eastAsia="Times New Roman" w:hAnsi="Times New Roman" w:cs="Times New Roman"/>
          <w:b/>
          <w:sz w:val="24"/>
        </w:rPr>
        <w:t xml:space="preserve">ГРНТИ 00.45:06.81.23 УДК 930 </w:t>
      </w:r>
    </w:p>
    <w:p w:rsidR="0052701D" w:rsidRDefault="00D40929">
      <w:pPr>
        <w:spacing w:after="21"/>
      </w:pPr>
      <w:r>
        <w:rPr>
          <w:rFonts w:ascii="Times New Roman" w:eastAsia="Times New Roman" w:hAnsi="Times New Roman" w:cs="Times New Roman"/>
          <w:sz w:val="24"/>
        </w:rPr>
        <w:t xml:space="preserve"> </w:t>
      </w:r>
    </w:p>
    <w:p w:rsidR="0052701D" w:rsidRDefault="00D40929">
      <w:pPr>
        <w:pStyle w:val="1"/>
        <w:ind w:left="130" w:right="0" w:firstLine="9"/>
        <w:jc w:val="left"/>
      </w:pPr>
      <w:r>
        <w:t>KAZAKHSTAN WITHIN THE MILITARY AND INDUSTRIAL</w:t>
      </w:r>
      <w:r>
        <w:t xml:space="preserve"> COMPLEX </w:t>
      </w:r>
    </w:p>
    <w:p w:rsidR="0052701D" w:rsidRDefault="00D40929">
      <w:pPr>
        <w:spacing w:after="5" w:line="271" w:lineRule="auto"/>
        <w:ind w:left="130" w:firstLine="9"/>
      </w:pPr>
      <w:r>
        <w:rPr>
          <w:rFonts w:ascii="Times New Roman" w:eastAsia="Times New Roman" w:hAnsi="Times New Roman" w:cs="Times New Roman"/>
          <w:b/>
          <w:sz w:val="28"/>
        </w:rPr>
        <w:t xml:space="preserve">SYSTEM OF THE USSR: PLANT NO. 692 (FORMER MOSCOW X-RAY PLANT) </w:t>
      </w:r>
    </w:p>
    <w:p w:rsidR="0052701D" w:rsidRDefault="00D40929">
      <w:pPr>
        <w:spacing w:after="0"/>
      </w:pPr>
      <w:r>
        <w:rPr>
          <w:rFonts w:ascii="Times New Roman" w:eastAsia="Times New Roman" w:hAnsi="Times New Roman" w:cs="Times New Roman"/>
          <w:b/>
          <w:sz w:val="24"/>
        </w:rPr>
        <w:t xml:space="preserve"> </w:t>
      </w:r>
    </w:p>
    <w:p w:rsidR="0052701D" w:rsidRDefault="00D40929">
      <w:pPr>
        <w:pStyle w:val="1"/>
        <w:spacing w:after="16" w:line="248" w:lineRule="auto"/>
        <w:ind w:left="819" w:right="894"/>
      </w:pPr>
      <w:r>
        <w:rPr>
          <w:sz w:val="24"/>
        </w:rPr>
        <w:t xml:space="preserve">Saule Baidildina Fellan </w:t>
      </w:r>
    </w:p>
    <w:p w:rsidR="0052701D" w:rsidRDefault="00D40929">
      <w:pPr>
        <w:spacing w:after="14" w:line="248" w:lineRule="auto"/>
        <w:ind w:left="1057" w:right="1129" w:hanging="5"/>
        <w:jc w:val="center"/>
      </w:pPr>
      <w:r>
        <w:rPr>
          <w:rFonts w:ascii="Times New Roman" w:eastAsia="Times New Roman" w:hAnsi="Times New Roman" w:cs="Times New Roman"/>
          <w:sz w:val="24"/>
        </w:rPr>
        <w:t xml:space="preserve">Almaty University of Power Engineering and Telecommunications named after Gumarbek Daukeev, (Аlmaty, Kazakhstan). </w:t>
      </w:r>
      <w:r>
        <w:rPr>
          <w:color w:val="0000FF"/>
          <w:sz w:val="24"/>
          <w:u w:val="single" w:color="0000FF"/>
        </w:rPr>
        <w:t>s.baidildina@aues.kz</w:t>
      </w:r>
      <w:r>
        <w:rPr>
          <w:rFonts w:ascii="Times New Roman" w:eastAsia="Times New Roman" w:hAnsi="Times New Roman" w:cs="Times New Roman"/>
          <w:sz w:val="24"/>
        </w:rPr>
        <w:t xml:space="preserve"> </w:t>
      </w:r>
    </w:p>
    <w:p w:rsidR="0052701D" w:rsidRDefault="00D40929">
      <w:pPr>
        <w:spacing w:after="0"/>
      </w:pPr>
      <w:r>
        <w:rPr>
          <w:rFonts w:ascii="Times New Roman" w:eastAsia="Times New Roman" w:hAnsi="Times New Roman" w:cs="Times New Roman"/>
          <w:sz w:val="24"/>
        </w:rPr>
        <w:t xml:space="preserve"> </w:t>
      </w:r>
    </w:p>
    <w:p w:rsidR="0052701D" w:rsidRDefault="00D40929">
      <w:pPr>
        <w:spacing w:after="0" w:line="248" w:lineRule="auto"/>
        <w:ind w:left="9" w:firstLine="711"/>
        <w:jc w:val="both"/>
      </w:pPr>
      <w:r>
        <w:rPr>
          <w:rFonts w:ascii="Times New Roman" w:eastAsia="Times New Roman" w:hAnsi="Times New Roman" w:cs="Times New Roman"/>
          <w:b/>
          <w:i/>
          <w:sz w:val="24"/>
        </w:rPr>
        <w:t>Abstract.</w:t>
      </w:r>
      <w:r>
        <w:rPr>
          <w:rFonts w:ascii="Times New Roman" w:eastAsia="Times New Roman" w:hAnsi="Times New Roman" w:cs="Times New Roman"/>
          <w:i/>
          <w:sz w:val="24"/>
        </w:rPr>
        <w:t xml:space="preserve"> The arti</w:t>
      </w:r>
      <w:r>
        <w:rPr>
          <w:rFonts w:ascii="Times New Roman" w:eastAsia="Times New Roman" w:hAnsi="Times New Roman" w:cs="Times New Roman"/>
          <w:i/>
          <w:sz w:val="24"/>
        </w:rPr>
        <w:t>cle considers the history of the evacuation and accommodation one of the first plants of the defense industry in Kazakhstan. The article analyzes the historical conditions, factors, and features of the formation of plant No. 692 in the republic. The diffic</w:t>
      </w:r>
      <w:r>
        <w:rPr>
          <w:rFonts w:ascii="Times New Roman" w:eastAsia="Times New Roman" w:hAnsi="Times New Roman" w:cs="Times New Roman"/>
          <w:i/>
          <w:sz w:val="24"/>
        </w:rPr>
        <w:t xml:space="preserve">ulties and results of the creation, the role and importance of the defense enterprise during World War II and post-war period are considered. Conclusions on the study of this problem are given. </w:t>
      </w:r>
    </w:p>
    <w:p w:rsidR="0052701D" w:rsidRDefault="00D40929">
      <w:pPr>
        <w:spacing w:after="29" w:line="248" w:lineRule="auto"/>
        <w:ind w:left="711"/>
        <w:jc w:val="both"/>
      </w:pPr>
      <w:r>
        <w:rPr>
          <w:rFonts w:ascii="Times New Roman" w:eastAsia="Times New Roman" w:hAnsi="Times New Roman" w:cs="Times New Roman"/>
          <w:b/>
          <w:i/>
          <w:sz w:val="24"/>
        </w:rPr>
        <w:t>Keys words:</w:t>
      </w:r>
      <w:r>
        <w:rPr>
          <w:rFonts w:ascii="Times New Roman" w:eastAsia="Times New Roman" w:hAnsi="Times New Roman" w:cs="Times New Roman"/>
          <w:i/>
          <w:sz w:val="24"/>
        </w:rPr>
        <w:t xml:space="preserve"> military-industrial complex, defense industry, </w:t>
      </w:r>
      <w:r>
        <w:rPr>
          <w:rFonts w:ascii="Times New Roman" w:eastAsia="Times New Roman" w:hAnsi="Times New Roman" w:cs="Times New Roman"/>
          <w:i/>
          <w:sz w:val="24"/>
        </w:rPr>
        <w:t xml:space="preserve">the military product, evacuation </w:t>
      </w:r>
    </w:p>
    <w:p w:rsidR="0052701D" w:rsidRDefault="00D40929">
      <w:pPr>
        <w:spacing w:after="0"/>
        <w:ind w:left="711"/>
      </w:pPr>
      <w:r>
        <w:rPr>
          <w:rFonts w:ascii="Times New Roman" w:eastAsia="Times New Roman" w:hAnsi="Times New Roman" w:cs="Times New Roman"/>
          <w:sz w:val="24"/>
        </w:rPr>
        <w:t xml:space="preserve"> </w:t>
      </w:r>
    </w:p>
    <w:p w:rsidR="0052701D" w:rsidRDefault="00D40929">
      <w:pPr>
        <w:spacing w:after="22"/>
        <w:ind w:left="711"/>
      </w:pPr>
      <w:r>
        <w:rPr>
          <w:rFonts w:ascii="Times New Roman" w:eastAsia="Times New Roman" w:hAnsi="Times New Roman" w:cs="Times New Roman"/>
          <w:sz w:val="24"/>
        </w:rPr>
        <w:t xml:space="preserve"> </w:t>
      </w:r>
    </w:p>
    <w:p w:rsidR="0052701D" w:rsidRDefault="00D40929">
      <w:pPr>
        <w:spacing w:after="4" w:line="271" w:lineRule="auto"/>
        <w:ind w:left="1974" w:right="194" w:firstLine="187"/>
      </w:pPr>
      <w:r>
        <w:rPr>
          <w:rFonts w:ascii="Times New Roman" w:eastAsia="Times New Roman" w:hAnsi="Times New Roman" w:cs="Times New Roman"/>
          <w:b/>
          <w:sz w:val="24"/>
        </w:rPr>
        <w:t xml:space="preserve">КАЗАХСТАН В СИСТЕМЕ ВПК СССР: ЗАВОД № 692 (БЫВШИЙ МОСКОВСКИЙ РЕНТГЕНОВСКИЙ ЗАВОД) </w:t>
      </w:r>
    </w:p>
    <w:p w:rsidR="0052701D" w:rsidRDefault="00D40929">
      <w:pPr>
        <w:spacing w:after="31"/>
        <w:ind w:left="711"/>
      </w:pPr>
      <w:r>
        <w:rPr>
          <w:rFonts w:ascii="Times New Roman" w:eastAsia="Times New Roman" w:hAnsi="Times New Roman" w:cs="Times New Roman"/>
          <w:sz w:val="24"/>
        </w:rPr>
        <w:t xml:space="preserve"> </w:t>
      </w:r>
    </w:p>
    <w:p w:rsidR="0052701D" w:rsidRDefault="00D40929">
      <w:pPr>
        <w:spacing w:after="16" w:line="248" w:lineRule="auto"/>
        <w:ind w:left="819" w:right="169" w:hanging="10"/>
        <w:jc w:val="center"/>
      </w:pPr>
      <w:r>
        <w:rPr>
          <w:rFonts w:ascii="Times New Roman" w:eastAsia="Times New Roman" w:hAnsi="Times New Roman" w:cs="Times New Roman"/>
          <w:b/>
          <w:sz w:val="24"/>
        </w:rPr>
        <w:lastRenderedPageBreak/>
        <w:t xml:space="preserve">Сауле Байдильдина Феллан </w:t>
      </w:r>
    </w:p>
    <w:p w:rsidR="0052701D" w:rsidRDefault="00D40929">
      <w:pPr>
        <w:spacing w:after="29" w:line="248" w:lineRule="auto"/>
        <w:ind w:left="970" w:right="14"/>
        <w:jc w:val="both"/>
      </w:pPr>
      <w:r>
        <w:rPr>
          <w:rFonts w:ascii="Times New Roman" w:eastAsia="Times New Roman" w:hAnsi="Times New Roman" w:cs="Times New Roman"/>
          <w:sz w:val="24"/>
        </w:rPr>
        <w:t>НАО «Алматинский университет энергетики и связи имени Гумарбека Даукеева»</w:t>
      </w:r>
      <w:r>
        <w:rPr>
          <w:rFonts w:ascii="Times New Roman" w:eastAsia="Times New Roman" w:hAnsi="Times New Roman" w:cs="Times New Roman"/>
          <w:b/>
          <w:sz w:val="24"/>
        </w:rPr>
        <w:t xml:space="preserve"> </w:t>
      </w:r>
    </w:p>
    <w:p w:rsidR="0052701D" w:rsidRDefault="00D40929">
      <w:pPr>
        <w:spacing w:after="0"/>
        <w:ind w:left="640"/>
        <w:jc w:val="center"/>
      </w:pPr>
      <w:r>
        <w:rPr>
          <w:rFonts w:ascii="Times New Roman" w:eastAsia="Times New Roman" w:hAnsi="Times New Roman" w:cs="Times New Roman"/>
          <w:sz w:val="24"/>
        </w:rPr>
        <w:t xml:space="preserve">(Алматы, Казахстан) </w:t>
      </w:r>
      <w:r>
        <w:rPr>
          <w:color w:val="0000FF"/>
          <w:sz w:val="24"/>
          <w:u w:val="single" w:color="0000FF"/>
        </w:rPr>
        <w:t>s.baidildina</w:t>
      </w:r>
      <w:r>
        <w:rPr>
          <w:color w:val="0000FF"/>
          <w:sz w:val="24"/>
          <w:u w:val="single" w:color="0000FF"/>
        </w:rPr>
        <w:t>@aues.kz</w:t>
      </w:r>
      <w:r>
        <w:rPr>
          <w:rFonts w:ascii="Times New Roman" w:eastAsia="Times New Roman" w:hAnsi="Times New Roman" w:cs="Times New Roman"/>
          <w:sz w:val="24"/>
        </w:rPr>
        <w:t xml:space="preserve"> </w:t>
      </w:r>
    </w:p>
    <w:p w:rsidR="0052701D" w:rsidRDefault="00D40929">
      <w:pPr>
        <w:spacing w:after="7"/>
        <w:ind w:left="711"/>
      </w:pPr>
      <w:r>
        <w:rPr>
          <w:color w:val="0000FF"/>
          <w:sz w:val="24"/>
        </w:rPr>
        <w:t xml:space="preserve"> </w:t>
      </w:r>
    </w:p>
    <w:p w:rsidR="0052701D" w:rsidRDefault="00D40929">
      <w:pPr>
        <w:spacing w:after="29" w:line="248" w:lineRule="auto"/>
        <w:ind w:left="9" w:firstLine="711"/>
        <w:jc w:val="both"/>
      </w:pPr>
      <w:r>
        <w:rPr>
          <w:rFonts w:ascii="Times New Roman" w:eastAsia="Times New Roman" w:hAnsi="Times New Roman" w:cs="Times New Roman"/>
          <w:b/>
          <w:i/>
          <w:sz w:val="24"/>
        </w:rPr>
        <w:t>Абстаркт.</w:t>
      </w:r>
      <w:r>
        <w:rPr>
          <w:rFonts w:ascii="Times New Roman" w:eastAsia="Times New Roman" w:hAnsi="Times New Roman" w:cs="Times New Roman"/>
          <w:i/>
          <w:sz w:val="24"/>
        </w:rPr>
        <w:t xml:space="preserve"> В статье рассматривается история эвакуации и размещения одного из первых предприятий оборонной промышленности в Казахстан. В статье анализируются исторические условия, факторы и особенности формирования завода № 692 в республике. </w:t>
      </w:r>
    </w:p>
    <w:p w:rsidR="0052701D" w:rsidRDefault="00D40929">
      <w:pPr>
        <w:spacing w:after="29" w:line="248" w:lineRule="auto"/>
        <w:ind w:left="9"/>
        <w:jc w:val="both"/>
      </w:pPr>
      <w:r>
        <w:rPr>
          <w:rFonts w:ascii="Times New Roman" w:eastAsia="Times New Roman" w:hAnsi="Times New Roman" w:cs="Times New Roman"/>
          <w:i/>
          <w:sz w:val="24"/>
        </w:rPr>
        <w:t>Рас</w:t>
      </w:r>
      <w:r>
        <w:rPr>
          <w:rFonts w:ascii="Times New Roman" w:eastAsia="Times New Roman" w:hAnsi="Times New Roman" w:cs="Times New Roman"/>
          <w:i/>
          <w:sz w:val="24"/>
        </w:rPr>
        <w:t xml:space="preserve">смотрены трудности и итоги создания, роль и значение оборонного предприятия в годы Второй мировой войны и послевоенный период. Даны выводы по изучению данной проблемы. </w:t>
      </w:r>
    </w:p>
    <w:p w:rsidR="0052701D" w:rsidRDefault="00D40929">
      <w:pPr>
        <w:spacing w:after="64" w:line="248" w:lineRule="auto"/>
        <w:ind w:left="9" w:firstLine="711"/>
        <w:jc w:val="both"/>
      </w:pP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 xml:space="preserve"> военно-промышленный комплекс, оборонная промышленность, продукция военн</w:t>
      </w:r>
      <w:r>
        <w:rPr>
          <w:rFonts w:ascii="Times New Roman" w:eastAsia="Times New Roman" w:hAnsi="Times New Roman" w:cs="Times New Roman"/>
          <w:i/>
          <w:sz w:val="24"/>
        </w:rPr>
        <w:t xml:space="preserve">ого назначения, эвакуация. </w:t>
      </w:r>
    </w:p>
    <w:p w:rsidR="0052701D" w:rsidRDefault="00D40929">
      <w:pPr>
        <w:spacing w:after="0"/>
        <w:ind w:left="711"/>
      </w:pPr>
      <w:r>
        <w:rPr>
          <w:rFonts w:ascii="Times New Roman" w:eastAsia="Times New Roman" w:hAnsi="Times New Roman" w:cs="Times New Roman"/>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During World War II and the Cold War period, Soviet Kazakhstan became one of the main link in the defense industry of the Soviet Union </w:t>
      </w:r>
    </w:p>
    <w:p w:rsidR="0052701D" w:rsidRDefault="00D40929">
      <w:pPr>
        <w:spacing w:after="5" w:line="271" w:lineRule="auto"/>
        <w:ind w:left="9" w:right="64" w:firstLine="711"/>
        <w:jc w:val="both"/>
      </w:pPr>
      <w:r>
        <w:rPr>
          <w:rFonts w:ascii="Times New Roman" w:eastAsia="Times New Roman" w:hAnsi="Times New Roman" w:cs="Times New Roman"/>
          <w:sz w:val="28"/>
        </w:rPr>
        <w:t>By the early 1940s, the numbered military plants and defense industry enterprises in the r</w:t>
      </w:r>
      <w:r>
        <w:rPr>
          <w:rFonts w:ascii="Times New Roman" w:eastAsia="Times New Roman" w:hAnsi="Times New Roman" w:cs="Times New Roman"/>
          <w:sz w:val="28"/>
        </w:rPr>
        <w:t xml:space="preserve">epublic, which supplied the country's defense industry with various military products, were an integral part of the USSR's military-industrial complex.  </w:t>
      </w:r>
    </w:p>
    <w:p w:rsidR="0052701D" w:rsidRDefault="00D40929">
      <w:pPr>
        <w:spacing w:after="5" w:line="271" w:lineRule="auto"/>
        <w:ind w:left="9" w:right="64" w:firstLine="711"/>
        <w:jc w:val="both"/>
      </w:pPr>
      <w:r>
        <w:rPr>
          <w:rFonts w:ascii="Times New Roman" w:eastAsia="Times New Roman" w:hAnsi="Times New Roman" w:cs="Times New Roman"/>
          <w:sz w:val="28"/>
        </w:rPr>
        <w:t>The history of the military-industrial complex (MIC) of the USSR was considered one of the most closed</w:t>
      </w:r>
      <w:r>
        <w:rPr>
          <w:rFonts w:ascii="Times New Roman" w:eastAsia="Times New Roman" w:hAnsi="Times New Roman" w:cs="Times New Roman"/>
          <w:sz w:val="28"/>
        </w:rPr>
        <w:t xml:space="preserve"> topics in the historical research.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There was an unspoken ban on scientific research. Documents related to the problem were strictly classified, access to them became impossible.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Today this topic is widely researched and studied in the open press in the </w:t>
      </w:r>
      <w:r>
        <w:rPr>
          <w:rFonts w:ascii="Times New Roman" w:eastAsia="Times New Roman" w:hAnsi="Times New Roman" w:cs="Times New Roman"/>
          <w:sz w:val="28"/>
        </w:rPr>
        <w:t xml:space="preserve">postSoviet space. Thus, in the Russian Federation, a whole direction has developed to study the history, role and contribution of entire regions and individual military enterprises in the system of the military-industrial complex of the USSR [1].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This </w:t>
      </w:r>
      <w:r>
        <w:rPr>
          <w:rFonts w:ascii="Times New Roman" w:eastAsia="Times New Roman" w:hAnsi="Times New Roman" w:cs="Times New Roman"/>
          <w:sz w:val="28"/>
        </w:rPr>
        <w:t>plot practically does not have its own historiography in our republic, it is just beginning to be developed. In this regard, it is important to comprehensively study the specific regional historical experience, the features of the historical, scientific an</w:t>
      </w:r>
      <w:r>
        <w:rPr>
          <w:rFonts w:ascii="Times New Roman" w:eastAsia="Times New Roman" w:hAnsi="Times New Roman" w:cs="Times New Roman"/>
          <w:sz w:val="28"/>
        </w:rPr>
        <w:t xml:space="preserve">d socio-cultural aspects of the formation and development of military enterprises in Kazakhstan, which have become an integral part of the USSR military-industrial complex.  </w:t>
      </w:r>
    </w:p>
    <w:p w:rsidR="0052701D" w:rsidRDefault="00D40929">
      <w:pPr>
        <w:spacing w:after="5" w:line="271" w:lineRule="auto"/>
        <w:ind w:left="9" w:right="64" w:firstLine="711"/>
        <w:jc w:val="both"/>
      </w:pPr>
      <w:r>
        <w:rPr>
          <w:rFonts w:ascii="Times New Roman" w:eastAsia="Times New Roman" w:hAnsi="Times New Roman" w:cs="Times New Roman"/>
          <w:sz w:val="28"/>
        </w:rPr>
        <w:t>It is known, the defeat of the Soviet Army and the loss of a significant number o</w:t>
      </w:r>
      <w:r>
        <w:rPr>
          <w:rFonts w:ascii="Times New Roman" w:eastAsia="Times New Roman" w:hAnsi="Times New Roman" w:cs="Times New Roman"/>
          <w:sz w:val="28"/>
        </w:rPr>
        <w:t xml:space="preserve">f Soviet industrial enterprises in the first months of the war necessitated the construction and development of a defense industry in the east of the country. </w:t>
      </w:r>
    </w:p>
    <w:p w:rsidR="0052701D" w:rsidRDefault="00D40929">
      <w:pPr>
        <w:spacing w:after="5" w:line="271" w:lineRule="auto"/>
        <w:ind w:left="9" w:right="64" w:firstLine="711"/>
        <w:jc w:val="both"/>
      </w:pPr>
      <w:r>
        <w:rPr>
          <w:rFonts w:ascii="Times New Roman" w:eastAsia="Times New Roman" w:hAnsi="Times New Roman" w:cs="Times New Roman"/>
          <w:sz w:val="28"/>
        </w:rPr>
        <w:t>On August 16, 1941, under the stamp of "Top Secret" USSR CPC and the Central Committee of the Co</w:t>
      </w:r>
      <w:r>
        <w:rPr>
          <w:rFonts w:ascii="Times New Roman" w:eastAsia="Times New Roman" w:hAnsi="Times New Roman" w:cs="Times New Roman"/>
          <w:sz w:val="28"/>
        </w:rPr>
        <w:t>mmunist Party (b) approved the "Military-Economic Plan for the fourth quarter of 1941 and 1942 the Volga region, the Urals, Western Siberia, Kazakhstan and Central Asia". The plan was aimed at the earliest possible deployment of the main military-industria</w:t>
      </w:r>
      <w:r>
        <w:rPr>
          <w:rFonts w:ascii="Times New Roman" w:eastAsia="Times New Roman" w:hAnsi="Times New Roman" w:cs="Times New Roman"/>
          <w:sz w:val="28"/>
        </w:rPr>
        <w:t xml:space="preserve">l base in the eastern regions of the country [2].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In the first months of the war the USSR managed to dismantle and remove 1360 large industrial enterprises [3]. </w:t>
      </w:r>
    </w:p>
    <w:p w:rsidR="0052701D" w:rsidRDefault="00D40929">
      <w:pPr>
        <w:spacing w:after="5" w:line="271" w:lineRule="auto"/>
        <w:ind w:left="9" w:right="64" w:firstLine="711"/>
        <w:jc w:val="both"/>
      </w:pPr>
      <w:r>
        <w:rPr>
          <w:rFonts w:ascii="Times New Roman" w:eastAsia="Times New Roman" w:hAnsi="Times New Roman" w:cs="Times New Roman"/>
          <w:sz w:val="28"/>
        </w:rPr>
        <w:lastRenderedPageBreak/>
        <w:t>In the first 7 months of the war alone, between July 1941 and March 1, 1942, 22 defense indus</w:t>
      </w:r>
      <w:r>
        <w:rPr>
          <w:rFonts w:ascii="Times New Roman" w:eastAsia="Times New Roman" w:hAnsi="Times New Roman" w:cs="Times New Roman"/>
          <w:sz w:val="28"/>
        </w:rPr>
        <w:t xml:space="preserve">try enterprises arrived in Kazakhstan from the front lines, 13 of which were immediately put into operation [4, 23].  </w:t>
      </w:r>
    </w:p>
    <w:p w:rsidR="0052701D" w:rsidRDefault="00D40929">
      <w:pPr>
        <w:spacing w:after="5" w:line="271" w:lineRule="auto"/>
        <w:ind w:left="9" w:right="64" w:firstLine="711"/>
        <w:jc w:val="both"/>
      </w:pPr>
      <w:r>
        <w:rPr>
          <w:rFonts w:ascii="Times New Roman" w:eastAsia="Times New Roman" w:hAnsi="Times New Roman" w:cs="Times New Roman"/>
          <w:sz w:val="28"/>
        </w:rPr>
        <w:t>According to the work plan of the defense industry department of the CC CP(b) of Kazakhstan for March-April 1942, these enterprises and s</w:t>
      </w:r>
      <w:r>
        <w:rPr>
          <w:rFonts w:ascii="Times New Roman" w:eastAsia="Times New Roman" w:hAnsi="Times New Roman" w:cs="Times New Roman"/>
          <w:sz w:val="28"/>
        </w:rPr>
        <w:t xml:space="preserve">everal other enterprises belonging to other industry departments began to produce defense products in just 3-4 months.  </w:t>
      </w:r>
    </w:p>
    <w:p w:rsidR="0052701D" w:rsidRDefault="00D40929">
      <w:pPr>
        <w:spacing w:after="5" w:line="271" w:lineRule="auto"/>
        <w:ind w:left="9" w:right="64" w:firstLine="711"/>
        <w:jc w:val="both"/>
      </w:pPr>
      <w:r>
        <w:rPr>
          <w:rFonts w:ascii="Times New Roman" w:eastAsia="Times New Roman" w:hAnsi="Times New Roman" w:cs="Times New Roman"/>
          <w:sz w:val="28"/>
        </w:rPr>
        <w:t>With the beginning of the war plant No. 692, former Moscow X-ray plant, was among those relocated to Kazakhstan. Out of three similar p</w:t>
      </w:r>
      <w:r>
        <w:rPr>
          <w:rFonts w:ascii="Times New Roman" w:eastAsia="Times New Roman" w:hAnsi="Times New Roman" w:cs="Times New Roman"/>
          <w:sz w:val="28"/>
        </w:rPr>
        <w:t>lants operating at that time in the USSR it was leading in terms of its capacity and perfection in the production of X-ray devices. The plant arrived in Aktyubinsk and was put into operation in March 1942. It was in the building of Aktyubinsk Pedagogical I</w:t>
      </w:r>
      <w:r>
        <w:rPr>
          <w:rFonts w:ascii="Times New Roman" w:eastAsia="Times New Roman" w:hAnsi="Times New Roman" w:cs="Times New Roman"/>
          <w:sz w:val="28"/>
        </w:rPr>
        <w:t xml:space="preserve">nstitute and was directly subordinate to the People's Commissariat of the USSR Electric Industry.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The main products of plant No. 692 were X-ray equipment for the Soviet Army's Military Sanitary Directorate, as well as subversive machines (PM-1, PM-2) for </w:t>
      </w:r>
      <w:r>
        <w:rPr>
          <w:rFonts w:ascii="Times New Roman" w:eastAsia="Times New Roman" w:hAnsi="Times New Roman" w:cs="Times New Roman"/>
          <w:sz w:val="28"/>
        </w:rPr>
        <w:t xml:space="preserve">the front [4, 4].  </w:t>
      </w:r>
    </w:p>
    <w:p w:rsidR="0052701D" w:rsidRDefault="00D40929">
      <w:pPr>
        <w:spacing w:after="5" w:line="271" w:lineRule="auto"/>
        <w:ind w:left="9" w:right="64" w:firstLine="711"/>
        <w:jc w:val="both"/>
      </w:pPr>
      <w:r>
        <w:rPr>
          <w:rFonts w:ascii="Times New Roman" w:eastAsia="Times New Roman" w:hAnsi="Times New Roman" w:cs="Times New Roman"/>
          <w:sz w:val="28"/>
        </w:rPr>
        <w:t>From the very first days, big tasks were set before Plant No. 692, and, judging by the data, they were fulfilled with honor. In 1942 the plan of marketable output for 5 800 000 rubles was fulfilled for 7 645 000 rubles or 131.7 %. The g</w:t>
      </w:r>
      <w:r>
        <w:rPr>
          <w:rFonts w:ascii="Times New Roman" w:eastAsia="Times New Roman" w:hAnsi="Times New Roman" w:cs="Times New Roman"/>
          <w:sz w:val="28"/>
        </w:rPr>
        <w:t xml:space="preserve">ross output plan was exceeded by 114.7 % [5]. Given the fact that the plant was put into operation only in March, the actual execution of the annual plan took 10 months.  </w:t>
      </w:r>
    </w:p>
    <w:p w:rsidR="0052701D" w:rsidRDefault="00D40929">
      <w:pPr>
        <w:spacing w:after="5" w:line="271" w:lineRule="auto"/>
        <w:ind w:left="9" w:right="64" w:firstLine="711"/>
        <w:jc w:val="both"/>
      </w:pPr>
      <w:r>
        <w:rPr>
          <w:rFonts w:ascii="Times New Roman" w:eastAsia="Times New Roman" w:hAnsi="Times New Roman" w:cs="Times New Roman"/>
          <w:sz w:val="28"/>
        </w:rPr>
        <w:t>Analysis of the list of special military products manufactured by the 22 defense ind</w:t>
      </w:r>
      <w:r>
        <w:rPr>
          <w:rFonts w:ascii="Times New Roman" w:eastAsia="Times New Roman" w:hAnsi="Times New Roman" w:cs="Times New Roman"/>
          <w:sz w:val="28"/>
        </w:rPr>
        <w:t xml:space="preserve">ustry plants of the CC CP(b)Kazakhstan shows that X-ray machines and subversive machines PM-1, PM-2 were produced only at this Aktobe plant No. 692 [4, 5]. Fulfillment of the plan by nomenclature appears as follows [5, 21-22]: </w:t>
      </w:r>
    </w:p>
    <w:p w:rsidR="0052701D" w:rsidRDefault="00D40929">
      <w:pPr>
        <w:spacing w:after="0"/>
        <w:ind w:left="711"/>
      </w:pPr>
      <w:r>
        <w:rPr>
          <w:rFonts w:ascii="Times New Roman" w:eastAsia="Times New Roman" w:hAnsi="Times New Roman" w:cs="Times New Roman"/>
          <w:sz w:val="28"/>
        </w:rPr>
        <w:t xml:space="preserve"> </w:t>
      </w:r>
    </w:p>
    <w:tbl>
      <w:tblPr>
        <w:tblStyle w:val="TableGrid"/>
        <w:tblW w:w="7265" w:type="dxa"/>
        <w:tblInd w:w="850" w:type="dxa"/>
        <w:tblCellMar>
          <w:top w:w="84" w:type="dxa"/>
          <w:left w:w="82" w:type="dxa"/>
          <w:bottom w:w="0" w:type="dxa"/>
          <w:right w:w="108" w:type="dxa"/>
        </w:tblCellMar>
        <w:tblLook w:val="04A0" w:firstRow="1" w:lastRow="0" w:firstColumn="1" w:lastColumn="0" w:noHBand="0" w:noVBand="1"/>
      </w:tblPr>
      <w:tblGrid>
        <w:gridCol w:w="739"/>
        <w:gridCol w:w="2838"/>
        <w:gridCol w:w="1277"/>
        <w:gridCol w:w="1417"/>
        <w:gridCol w:w="994"/>
      </w:tblGrid>
      <w:tr w:rsidR="0052701D">
        <w:trPr>
          <w:trHeight w:val="504"/>
        </w:trPr>
        <w:tc>
          <w:tcPr>
            <w:tcW w:w="739"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jc w:val="both"/>
            </w:pPr>
            <w:r>
              <w:rPr>
                <w:rFonts w:ascii="Times New Roman" w:eastAsia="Times New Roman" w:hAnsi="Times New Roman" w:cs="Times New Roman"/>
                <w:sz w:val="24"/>
              </w:rPr>
              <w:t xml:space="preserve">№№ </w:t>
            </w:r>
          </w:p>
        </w:tc>
        <w:tc>
          <w:tcPr>
            <w:tcW w:w="2838"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pPr>
            <w:r>
              <w:rPr>
                <w:sz w:val="24"/>
              </w:rPr>
              <w:t xml:space="preserve"> </w:t>
            </w:r>
          </w:p>
        </w:tc>
        <w:tc>
          <w:tcPr>
            <w:tcW w:w="1277"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Plan 1942  </w:t>
            </w:r>
          </w:p>
        </w:tc>
        <w:tc>
          <w:tcPr>
            <w:tcW w:w="1417"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Fulfillment </w:t>
            </w:r>
          </w:p>
        </w:tc>
        <w:tc>
          <w:tcPr>
            <w:tcW w:w="994"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 </w:t>
            </w:r>
          </w:p>
        </w:tc>
      </w:tr>
      <w:tr w:rsidR="0052701D">
        <w:trPr>
          <w:trHeight w:val="446"/>
        </w:trPr>
        <w:tc>
          <w:tcPr>
            <w:tcW w:w="739"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11 </w:t>
            </w:r>
          </w:p>
        </w:tc>
        <w:tc>
          <w:tcPr>
            <w:tcW w:w="2838"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i/>
                <w:sz w:val="24"/>
              </w:rPr>
              <w:t>Mobile X-ray machines</w:t>
            </w:r>
            <w:r>
              <w:rPr>
                <w:rFonts w:ascii="Times New Roman" w:eastAsia="Times New Roman" w:hAnsi="Times New Roman" w:cs="Times New Roman"/>
                <w:sz w:val="24"/>
              </w:rPr>
              <w:t xml:space="preserve"> </w:t>
            </w:r>
          </w:p>
        </w:tc>
        <w:tc>
          <w:tcPr>
            <w:tcW w:w="1277"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70 </w:t>
            </w:r>
          </w:p>
        </w:tc>
        <w:tc>
          <w:tcPr>
            <w:tcW w:w="1417"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86 </w:t>
            </w:r>
          </w:p>
        </w:tc>
        <w:tc>
          <w:tcPr>
            <w:tcW w:w="994"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122,8 </w:t>
            </w:r>
          </w:p>
        </w:tc>
      </w:tr>
      <w:tr w:rsidR="0052701D">
        <w:trPr>
          <w:trHeight w:val="446"/>
        </w:trPr>
        <w:tc>
          <w:tcPr>
            <w:tcW w:w="739"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22 </w:t>
            </w:r>
          </w:p>
        </w:tc>
        <w:tc>
          <w:tcPr>
            <w:tcW w:w="2838"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Portable X-ray machines  </w:t>
            </w:r>
          </w:p>
        </w:tc>
        <w:tc>
          <w:tcPr>
            <w:tcW w:w="1277"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150 </w:t>
            </w:r>
          </w:p>
        </w:tc>
        <w:tc>
          <w:tcPr>
            <w:tcW w:w="1417"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225 </w:t>
            </w:r>
          </w:p>
        </w:tc>
        <w:tc>
          <w:tcPr>
            <w:tcW w:w="994"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150,0 </w:t>
            </w:r>
          </w:p>
        </w:tc>
      </w:tr>
      <w:tr w:rsidR="0052701D">
        <w:trPr>
          <w:trHeight w:val="447"/>
        </w:trPr>
        <w:tc>
          <w:tcPr>
            <w:tcW w:w="739"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33 </w:t>
            </w:r>
          </w:p>
        </w:tc>
        <w:tc>
          <w:tcPr>
            <w:tcW w:w="2838"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Diagnostic X-ray units </w:t>
            </w:r>
          </w:p>
        </w:tc>
        <w:tc>
          <w:tcPr>
            <w:tcW w:w="1277"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10 </w:t>
            </w:r>
          </w:p>
        </w:tc>
        <w:tc>
          <w:tcPr>
            <w:tcW w:w="1417"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11 </w:t>
            </w:r>
          </w:p>
        </w:tc>
        <w:tc>
          <w:tcPr>
            <w:tcW w:w="994"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110,0 </w:t>
            </w:r>
          </w:p>
        </w:tc>
      </w:tr>
      <w:tr w:rsidR="0052701D">
        <w:trPr>
          <w:trHeight w:val="442"/>
        </w:trPr>
        <w:tc>
          <w:tcPr>
            <w:tcW w:w="739"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44 </w:t>
            </w:r>
          </w:p>
        </w:tc>
        <w:tc>
          <w:tcPr>
            <w:tcW w:w="2838"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Ward X-ray machines  </w:t>
            </w:r>
          </w:p>
        </w:tc>
        <w:tc>
          <w:tcPr>
            <w:tcW w:w="1277"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100 </w:t>
            </w:r>
          </w:p>
        </w:tc>
        <w:tc>
          <w:tcPr>
            <w:tcW w:w="1417"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9 </w:t>
            </w:r>
          </w:p>
        </w:tc>
        <w:tc>
          <w:tcPr>
            <w:tcW w:w="994"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9,0 </w:t>
            </w:r>
          </w:p>
        </w:tc>
      </w:tr>
      <w:tr w:rsidR="0052701D">
        <w:trPr>
          <w:trHeight w:val="446"/>
        </w:trPr>
        <w:tc>
          <w:tcPr>
            <w:tcW w:w="739"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55 </w:t>
            </w:r>
          </w:p>
        </w:tc>
        <w:tc>
          <w:tcPr>
            <w:tcW w:w="2838"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PM-1 </w:t>
            </w:r>
          </w:p>
        </w:tc>
        <w:tc>
          <w:tcPr>
            <w:tcW w:w="1277"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1100 </w:t>
            </w:r>
          </w:p>
        </w:tc>
        <w:tc>
          <w:tcPr>
            <w:tcW w:w="1417"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1027 </w:t>
            </w:r>
          </w:p>
        </w:tc>
        <w:tc>
          <w:tcPr>
            <w:tcW w:w="994"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93,0 </w:t>
            </w:r>
          </w:p>
        </w:tc>
      </w:tr>
      <w:tr w:rsidR="0052701D">
        <w:trPr>
          <w:trHeight w:val="466"/>
        </w:trPr>
        <w:tc>
          <w:tcPr>
            <w:tcW w:w="739"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sz w:val="24"/>
              </w:rPr>
              <w:t xml:space="preserve"> </w:t>
            </w:r>
          </w:p>
        </w:tc>
        <w:tc>
          <w:tcPr>
            <w:tcW w:w="2838"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PM-2 </w:t>
            </w:r>
          </w:p>
        </w:tc>
        <w:tc>
          <w:tcPr>
            <w:tcW w:w="1277"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400 </w:t>
            </w:r>
          </w:p>
        </w:tc>
        <w:tc>
          <w:tcPr>
            <w:tcW w:w="1417"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2021 </w:t>
            </w:r>
          </w:p>
        </w:tc>
        <w:tc>
          <w:tcPr>
            <w:tcW w:w="994"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505,2 </w:t>
            </w:r>
          </w:p>
        </w:tc>
      </w:tr>
    </w:tbl>
    <w:p w:rsidR="0052701D" w:rsidRDefault="00D40929">
      <w:pPr>
        <w:spacing w:after="0"/>
        <w:ind w:left="711"/>
      </w:pPr>
      <w:r>
        <w:rPr>
          <w:rFonts w:ascii="Times New Roman" w:eastAsia="Times New Roman" w:hAnsi="Times New Roman" w:cs="Times New Roman"/>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lastRenderedPageBreak/>
        <w:t xml:space="preserve">The </w:t>
      </w:r>
      <w:r>
        <w:rPr>
          <w:rFonts w:ascii="Times New Roman" w:eastAsia="Times New Roman" w:hAnsi="Times New Roman" w:cs="Times New Roman"/>
          <w:sz w:val="28"/>
        </w:rPr>
        <w:t xml:space="preserve">tabulated data show that the main types of production were performed in excess of the plan. And the fulfillment of 9 units of ward X-ray machines instead of 100 units according to the plan is explained by the fact that they were taken out of production by </w:t>
      </w:r>
      <w:r>
        <w:rPr>
          <w:rFonts w:ascii="Times New Roman" w:eastAsia="Times New Roman" w:hAnsi="Times New Roman" w:cs="Times New Roman"/>
          <w:sz w:val="28"/>
        </w:rPr>
        <w:t xml:space="preserve">agreement with the Military Sanitary Directorate of the Soviet Army.  </w:t>
      </w:r>
    </w:p>
    <w:p w:rsidR="0052701D" w:rsidRDefault="00D40929">
      <w:pPr>
        <w:spacing w:after="5" w:line="271" w:lineRule="auto"/>
        <w:ind w:left="9" w:right="64" w:firstLine="711"/>
        <w:jc w:val="both"/>
      </w:pPr>
      <w:r>
        <w:rPr>
          <w:rFonts w:ascii="Times New Roman" w:eastAsia="Times New Roman" w:hAnsi="Times New Roman" w:cs="Times New Roman"/>
          <w:sz w:val="28"/>
        </w:rPr>
        <w:t>The above data clearly show that despite severe difficulties encountered in the conditions of the severe war, plant No. 692 did not reduce its indicators. For example, the production of</w:t>
      </w:r>
      <w:r>
        <w:rPr>
          <w:rFonts w:ascii="Times New Roman" w:eastAsia="Times New Roman" w:hAnsi="Times New Roman" w:cs="Times New Roman"/>
          <w:sz w:val="28"/>
        </w:rPr>
        <w:t xml:space="preserve"> products of the plant in 1943 increased by 100.3%, and in 1944 by 100.4% [6]. In general, the labor successes of the plant team No. 692 allowed them to fully meet the needs of the active army. One of the changes in the production of the plant was the task</w:t>
      </w:r>
      <w:r>
        <w:rPr>
          <w:rFonts w:ascii="Times New Roman" w:eastAsia="Times New Roman" w:hAnsi="Times New Roman" w:cs="Times New Roman"/>
          <w:sz w:val="28"/>
        </w:rPr>
        <w:t xml:space="preserve"> of producing spare parts for tractors and agricultural machines in 1944. And in this area the team achieved good results, fulfilling the planned state tasks more than 103.4%.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For all industrial enterprises, including defense, a common difficult, almost </w:t>
      </w:r>
      <w:r>
        <w:rPr>
          <w:rFonts w:ascii="Times New Roman" w:eastAsia="Times New Roman" w:hAnsi="Times New Roman" w:cs="Times New Roman"/>
          <w:sz w:val="28"/>
        </w:rPr>
        <w:t xml:space="preserve">insoluble problem was an acute shortage of skilled workers, lack of warm clothes, shoes, lack of housing, necessary materials, equipment, the constant shortage of funds and other difficulties.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The plant did not have its own power station, so it received </w:t>
      </w:r>
      <w:r>
        <w:rPr>
          <w:rFonts w:ascii="Times New Roman" w:eastAsia="Times New Roman" w:hAnsi="Times New Roman" w:cs="Times New Roman"/>
          <w:sz w:val="28"/>
        </w:rPr>
        <w:t xml:space="preserve">electricity from the Aktobe ferroalloy plant (founded in 1943), in case of emergency it was connected to the city power plant. Daily requirement of plant No.692 was 8400 liters, there was no sewage, heating was stove.   </w:t>
      </w:r>
    </w:p>
    <w:p w:rsidR="0052701D" w:rsidRDefault="00D40929">
      <w:pPr>
        <w:spacing w:after="5" w:line="271" w:lineRule="auto"/>
        <w:ind w:left="9" w:right="64" w:firstLine="711"/>
        <w:jc w:val="both"/>
      </w:pPr>
      <w:r>
        <w:rPr>
          <w:rFonts w:ascii="Times New Roman" w:eastAsia="Times New Roman" w:hAnsi="Times New Roman" w:cs="Times New Roman"/>
          <w:sz w:val="28"/>
        </w:rPr>
        <w:t>But despite this difficult military</w:t>
      </w:r>
      <w:r>
        <w:rPr>
          <w:rFonts w:ascii="Times New Roman" w:eastAsia="Times New Roman" w:hAnsi="Times New Roman" w:cs="Times New Roman"/>
          <w:sz w:val="28"/>
        </w:rPr>
        <w:t xml:space="preserve"> situation, the plant No. 692 worked hard. And in such, in our opinion, unbelievable conditions the staff was constantly fulfilling and even overfulfilling the defense order. </w:t>
      </w:r>
    </w:p>
    <w:p w:rsidR="0052701D" w:rsidRDefault="00D40929">
      <w:pPr>
        <w:spacing w:after="5" w:line="271" w:lineRule="auto"/>
        <w:ind w:left="9" w:right="64" w:firstLine="711"/>
        <w:jc w:val="both"/>
      </w:pPr>
      <w:r>
        <w:rPr>
          <w:rFonts w:ascii="Times New Roman" w:eastAsia="Times New Roman" w:hAnsi="Times New Roman" w:cs="Times New Roman"/>
          <w:sz w:val="28"/>
        </w:rPr>
        <w:t>The successful implementation of the plan was, undoubtedly, a manifestation of t</w:t>
      </w:r>
      <w:r>
        <w:rPr>
          <w:rFonts w:ascii="Times New Roman" w:eastAsia="Times New Roman" w:hAnsi="Times New Roman" w:cs="Times New Roman"/>
          <w:sz w:val="28"/>
        </w:rPr>
        <w:t xml:space="preserve">ireless work, great courage and effort, enthusiasm of the people who were looking forward to victorying.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In the labor collective not always everything was so prosperous, as it was annually reported in the reports of the Central Committee of the Communist </w:t>
      </w:r>
      <w:r>
        <w:rPr>
          <w:rFonts w:ascii="Times New Roman" w:eastAsia="Times New Roman" w:hAnsi="Times New Roman" w:cs="Times New Roman"/>
          <w:sz w:val="28"/>
        </w:rPr>
        <w:t>Party (Bolsheviks) of Kazakhstan leaders of the plant. Difficulties at work, harsh semimilitary discipline, low wages, lack of comfort in everyday life, etc., certainly caused internal dissatisfaction of the workers. Thus, in 1944 there were 58 cases of ab</w:t>
      </w:r>
      <w:r>
        <w:rPr>
          <w:rFonts w:ascii="Times New Roman" w:eastAsia="Times New Roman" w:hAnsi="Times New Roman" w:cs="Times New Roman"/>
          <w:sz w:val="28"/>
        </w:rPr>
        <w:t>senteeism, 25 cases of desertion.  The cases of these people under wartime law were taken to court [5, 106].  Still, it should be noted that plant No. 692 stoically overcame difficulties, constantly fought for the efficiency of production, implementation o</w:t>
      </w:r>
      <w:r>
        <w:rPr>
          <w:rFonts w:ascii="Times New Roman" w:eastAsia="Times New Roman" w:hAnsi="Times New Roman" w:cs="Times New Roman"/>
          <w:sz w:val="28"/>
        </w:rPr>
        <w:t xml:space="preserve">f rationalization proposals of its employees. For example, the development of replacing non-ferrous metals with plastics began, which allowed to sharply raise labor productivity. As a result, in 1944 the plant saved 55 thousand rubles.  </w:t>
      </w:r>
    </w:p>
    <w:p w:rsidR="0052701D" w:rsidRDefault="00D40929">
      <w:pPr>
        <w:spacing w:after="5" w:line="271" w:lineRule="auto"/>
        <w:ind w:left="9" w:right="64" w:firstLine="711"/>
        <w:jc w:val="both"/>
      </w:pPr>
      <w:r>
        <w:rPr>
          <w:rFonts w:ascii="Times New Roman" w:eastAsia="Times New Roman" w:hAnsi="Times New Roman" w:cs="Times New Roman"/>
          <w:sz w:val="28"/>
        </w:rPr>
        <w:t>It is known that t</w:t>
      </w:r>
      <w:r>
        <w:rPr>
          <w:rFonts w:ascii="Times New Roman" w:eastAsia="Times New Roman" w:hAnsi="Times New Roman" w:cs="Times New Roman"/>
          <w:sz w:val="28"/>
        </w:rPr>
        <w:t xml:space="preserve">he labor of special settlers was widely used in the national economy, especially in construction and production enterprises in the USSR.  Issues </w:t>
      </w:r>
      <w:r>
        <w:rPr>
          <w:rFonts w:ascii="Times New Roman" w:eastAsia="Times New Roman" w:hAnsi="Times New Roman" w:cs="Times New Roman"/>
          <w:sz w:val="28"/>
        </w:rPr>
        <w:lastRenderedPageBreak/>
        <w:t>related to the special settlers were under the close attention of the government and the Central Apparatus. The</w:t>
      </w:r>
      <w:r>
        <w:rPr>
          <w:rFonts w:ascii="Times New Roman" w:eastAsia="Times New Roman" w:hAnsi="Times New Roman" w:cs="Times New Roman"/>
          <w:sz w:val="28"/>
        </w:rPr>
        <w:t xml:space="preserve"> deputy head of the machine-building department of the CC </w:t>
      </w:r>
    </w:p>
    <w:p w:rsidR="0052701D" w:rsidRDefault="00D40929">
      <w:pPr>
        <w:spacing w:after="5" w:line="271" w:lineRule="auto"/>
        <w:ind w:left="9" w:right="64"/>
        <w:jc w:val="both"/>
      </w:pPr>
      <w:r>
        <w:rPr>
          <w:rFonts w:ascii="Times New Roman" w:eastAsia="Times New Roman" w:hAnsi="Times New Roman" w:cs="Times New Roman"/>
          <w:sz w:val="28"/>
        </w:rPr>
        <w:t>CP(b)K A. Karibayev told the secretary of the CC CP(b) Koyshigulov that on the 1st July 1946 there were 22 special settlers at the Aktyubinsk X-ray plant No. 692. There were 16 Germans, 3 Ukrainian</w:t>
      </w:r>
      <w:r>
        <w:rPr>
          <w:rFonts w:ascii="Times New Roman" w:eastAsia="Times New Roman" w:hAnsi="Times New Roman" w:cs="Times New Roman"/>
          <w:sz w:val="28"/>
        </w:rPr>
        <w:t xml:space="preserve">s, 1 Tatar, 1 Russian and 1 Moldovan [7].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Note that there were no Chechens, Azerbaijanis, Turks, Kabardino-Balkarians, Ingush and Ossetians, who could often be found at the defense industry enterprises in Almaty. </w:t>
      </w:r>
    </w:p>
    <w:p w:rsidR="0052701D" w:rsidRDefault="00D40929">
      <w:pPr>
        <w:spacing w:after="5" w:line="271" w:lineRule="auto"/>
        <w:ind w:left="9" w:right="64" w:firstLine="711"/>
        <w:jc w:val="both"/>
      </w:pPr>
      <w:r>
        <w:rPr>
          <w:rFonts w:ascii="Times New Roman" w:eastAsia="Times New Roman" w:hAnsi="Times New Roman" w:cs="Times New Roman"/>
          <w:sz w:val="28"/>
        </w:rPr>
        <w:t>In addition, the archival documents conta</w:t>
      </w:r>
      <w:r>
        <w:rPr>
          <w:rFonts w:ascii="Times New Roman" w:eastAsia="Times New Roman" w:hAnsi="Times New Roman" w:cs="Times New Roman"/>
          <w:sz w:val="28"/>
        </w:rPr>
        <w:t xml:space="preserve">in information on the family status, occupation, private farm, number of cattle, and school-age children of the special settlers.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With the end of the war, the factory stopped producing special military products. According to the recommendation of the </w:t>
      </w:r>
      <w:r>
        <w:rPr>
          <w:rFonts w:ascii="Times New Roman" w:eastAsia="Times New Roman" w:hAnsi="Times New Roman" w:cs="Times New Roman"/>
          <w:sz w:val="28"/>
        </w:rPr>
        <w:t>Instructor of the Department of Defense Industry of the Central Committee of the Communist Party (b) of Kazakhstan V. Kopylov from May 26, 1945 under the stamp "top secret", after the war the Aktobe xray plant No. 692 was to increase the production of only</w:t>
      </w:r>
      <w:r>
        <w:rPr>
          <w:rFonts w:ascii="Times New Roman" w:eastAsia="Times New Roman" w:hAnsi="Times New Roman" w:cs="Times New Roman"/>
          <w:sz w:val="28"/>
        </w:rPr>
        <w:t xml:space="preserve"> x-ray machines for the Military Sanitary Department of the Red Army. This required expansion of the plant and reconstruction of its operation.   </w:t>
      </w:r>
    </w:p>
    <w:p w:rsidR="0052701D" w:rsidRDefault="00D40929">
      <w:pPr>
        <w:spacing w:after="5" w:line="271" w:lineRule="auto"/>
        <w:ind w:left="9" w:right="64" w:firstLine="711"/>
        <w:jc w:val="both"/>
      </w:pPr>
      <w:r>
        <w:rPr>
          <w:rFonts w:ascii="Times New Roman" w:eastAsia="Times New Roman" w:hAnsi="Times New Roman" w:cs="Times New Roman"/>
          <w:sz w:val="28"/>
        </w:rPr>
        <w:t>A letter dated August 31, 1946, addressed to Kosygin to the Council of Ministers of the USSR "On the construc</w:t>
      </w:r>
      <w:r>
        <w:rPr>
          <w:rFonts w:ascii="Times New Roman" w:eastAsia="Times New Roman" w:hAnsi="Times New Roman" w:cs="Times New Roman"/>
          <w:sz w:val="28"/>
        </w:rPr>
        <w:t>tion of Aktobe Plant No. 692 of the USSR Ministry of Electric Industry" played a very important role. The letter was signed by the Deputy Chairman of the Council of Ministers of the KazSSR Kunayev D.A. and the Secretary of the Central Committee of the CP (</w:t>
      </w:r>
      <w:r>
        <w:rPr>
          <w:rFonts w:ascii="Times New Roman" w:eastAsia="Times New Roman" w:hAnsi="Times New Roman" w:cs="Times New Roman"/>
          <w:sz w:val="28"/>
        </w:rPr>
        <w:t xml:space="preserve">b) of Kazakhstan Kruglov S.I. Since the document is published for the first time, we present it in full [8]: </w:t>
      </w:r>
    </w:p>
    <w:p w:rsidR="0052701D" w:rsidRDefault="00D40929">
      <w:pPr>
        <w:spacing w:after="5" w:line="271" w:lineRule="auto"/>
        <w:ind w:left="9" w:right="64" w:firstLine="711"/>
        <w:jc w:val="both"/>
      </w:pPr>
      <w:r>
        <w:rPr>
          <w:rFonts w:ascii="Times New Roman" w:eastAsia="Times New Roman" w:hAnsi="Times New Roman" w:cs="Times New Roman"/>
          <w:sz w:val="28"/>
        </w:rPr>
        <w:t>"In connection with the cessation of production of special products and the transition to increased production of X-ray equipment, a significant e</w:t>
      </w:r>
      <w:r>
        <w:rPr>
          <w:rFonts w:ascii="Times New Roman" w:eastAsia="Times New Roman" w:hAnsi="Times New Roman" w:cs="Times New Roman"/>
          <w:sz w:val="28"/>
        </w:rPr>
        <w:t>xpansion and reconstruction of the plant is required, since at present the plant is working in conditions not conducive even to the basic requirements of technology - all the production facilities and the plant office are located in a building built in 193</w:t>
      </w:r>
      <w:r>
        <w:rPr>
          <w:rFonts w:ascii="Times New Roman" w:eastAsia="Times New Roman" w:hAnsi="Times New Roman" w:cs="Times New Roman"/>
          <w:sz w:val="28"/>
        </w:rPr>
        <w:t xml:space="preserve">4 for military barracks, with an area of only 2800 square meters. Further development and increase of its production capacities on this area is impossible.  </w:t>
      </w:r>
    </w:p>
    <w:p w:rsidR="0052701D" w:rsidRDefault="00D40929">
      <w:pPr>
        <w:spacing w:after="5" w:line="271" w:lineRule="auto"/>
        <w:ind w:left="9" w:right="64" w:firstLine="711"/>
        <w:jc w:val="both"/>
      </w:pPr>
      <w:r>
        <w:rPr>
          <w:rFonts w:ascii="Times New Roman" w:eastAsia="Times New Roman" w:hAnsi="Times New Roman" w:cs="Times New Roman"/>
          <w:sz w:val="28"/>
        </w:rPr>
        <w:t>The plant also has no housing facilities, and its workers are accommodated either in private apart</w:t>
      </w:r>
      <w:r>
        <w:rPr>
          <w:rFonts w:ascii="Times New Roman" w:eastAsia="Times New Roman" w:hAnsi="Times New Roman" w:cs="Times New Roman"/>
          <w:sz w:val="28"/>
        </w:rPr>
        <w:t xml:space="preserve">ments as part of the compaction process, or in the subordinated houses, from which they are subject to eviction.  </w:t>
      </w:r>
    </w:p>
    <w:p w:rsidR="0052701D" w:rsidRDefault="00D40929">
      <w:pPr>
        <w:spacing w:after="5" w:line="271" w:lineRule="auto"/>
        <w:ind w:left="9" w:right="64" w:firstLine="711"/>
        <w:jc w:val="both"/>
      </w:pPr>
      <w:r>
        <w:rPr>
          <w:rFonts w:ascii="Times New Roman" w:eastAsia="Times New Roman" w:hAnsi="Times New Roman" w:cs="Times New Roman"/>
          <w:sz w:val="28"/>
        </w:rPr>
        <w:t>The question of expanding the plant has been repeatedly raised with the Ministry of Electrical Industry. In April of this year the Ministry a</w:t>
      </w:r>
      <w:r>
        <w:rPr>
          <w:rFonts w:ascii="Times New Roman" w:eastAsia="Times New Roman" w:hAnsi="Times New Roman" w:cs="Times New Roman"/>
          <w:sz w:val="28"/>
        </w:rPr>
        <w:t xml:space="preserve">pproved the plan, which </w:t>
      </w:r>
      <w:r>
        <w:rPr>
          <w:rFonts w:ascii="Times New Roman" w:eastAsia="Times New Roman" w:hAnsi="Times New Roman" w:cs="Times New Roman"/>
          <w:sz w:val="28"/>
        </w:rPr>
        <w:lastRenderedPageBreak/>
        <w:t xml:space="preserve">provided for an increase in output to 20.5 million rubles, the existing output of 6 million rubles.  </w:t>
      </w:r>
    </w:p>
    <w:p w:rsidR="0052701D" w:rsidRDefault="00D40929">
      <w:pPr>
        <w:spacing w:after="5" w:line="271" w:lineRule="auto"/>
        <w:ind w:left="9" w:right="64" w:firstLine="711"/>
        <w:jc w:val="both"/>
      </w:pPr>
      <w:r>
        <w:rPr>
          <w:rFonts w:ascii="Times New Roman" w:eastAsia="Times New Roman" w:hAnsi="Times New Roman" w:cs="Times New Roman"/>
          <w:sz w:val="28"/>
        </w:rPr>
        <w:t>The employees of the plant developed a reconstruction project, which was sent to the Ministry of Energy for expertise and approval</w:t>
      </w:r>
      <w:r>
        <w:rPr>
          <w:rFonts w:ascii="Times New Roman" w:eastAsia="Times New Roman" w:hAnsi="Times New Roman" w:cs="Times New Roman"/>
          <w:sz w:val="28"/>
        </w:rPr>
        <w:t>. But the realization of the project was delayed and in 1946 the Ministry of the Electrical Industry approved the investments for the plant. The amount of capital work in 1946 was to be significantly higher for the industrial and residential construction w</w:t>
      </w:r>
      <w:r>
        <w:rPr>
          <w:rFonts w:ascii="Times New Roman" w:eastAsia="Times New Roman" w:hAnsi="Times New Roman" w:cs="Times New Roman"/>
          <w:sz w:val="28"/>
        </w:rPr>
        <w:t>ork which had only been prepared. Considering the 1</w:t>
      </w:r>
      <w:r>
        <w:rPr>
          <w:rFonts w:ascii="Times New Roman" w:eastAsia="Times New Roman" w:hAnsi="Times New Roman" w:cs="Times New Roman"/>
          <w:sz w:val="28"/>
          <w:vertAlign w:val="superscript"/>
        </w:rPr>
        <w:t>st</w:t>
      </w:r>
      <w:r>
        <w:rPr>
          <w:rFonts w:ascii="Times New Roman" w:eastAsia="Times New Roman" w:hAnsi="Times New Roman" w:cs="Times New Roman"/>
          <w:sz w:val="28"/>
        </w:rPr>
        <w:t xml:space="preserve"> of July, the same year, 286,000 rubles had been disbursed, and for example, the financing of the two residential buildings which were to be completed had already been suspended.  </w:t>
      </w:r>
    </w:p>
    <w:p w:rsidR="0052701D" w:rsidRDefault="00D40929">
      <w:pPr>
        <w:spacing w:after="5" w:line="271" w:lineRule="auto"/>
        <w:ind w:left="9" w:right="64" w:firstLine="711"/>
        <w:jc w:val="both"/>
      </w:pPr>
      <w:r>
        <w:rPr>
          <w:rFonts w:ascii="Times New Roman" w:eastAsia="Times New Roman" w:hAnsi="Times New Roman" w:cs="Times New Roman"/>
          <w:sz w:val="28"/>
        </w:rPr>
        <w:t>To raise production ca</w:t>
      </w:r>
      <w:r>
        <w:rPr>
          <w:rFonts w:ascii="Times New Roman" w:eastAsia="Times New Roman" w:hAnsi="Times New Roman" w:cs="Times New Roman"/>
          <w:sz w:val="28"/>
        </w:rPr>
        <w:t>pacity to the level of 20.5 million rubles, it is necessary to build and put into operation in 1947-1949 only production and auxiliary buildings area not less than 5200 m</w:t>
      </w:r>
      <w:r>
        <w:rPr>
          <w:rFonts w:ascii="Times New Roman" w:eastAsia="Times New Roman" w:hAnsi="Times New Roman" w:cs="Times New Roman"/>
          <w:sz w:val="28"/>
          <w:vertAlign w:val="superscript"/>
        </w:rPr>
        <w:t>2</w:t>
      </w:r>
      <w:r>
        <w:rPr>
          <w:rFonts w:ascii="Times New Roman" w:eastAsia="Times New Roman" w:hAnsi="Times New Roman" w:cs="Times New Roman"/>
          <w:sz w:val="28"/>
        </w:rPr>
        <w:t xml:space="preserve"> and to spend 10 million rubles on capital investments. It is necessary to organize t</w:t>
      </w:r>
      <w:r>
        <w:rPr>
          <w:rFonts w:ascii="Times New Roman" w:eastAsia="Times New Roman" w:hAnsi="Times New Roman" w:cs="Times New Roman"/>
          <w:sz w:val="28"/>
        </w:rPr>
        <w:t xml:space="preserve">he works by contract method.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The Council of Ministers of the Kazakh SSR and the Central Committee of the Communist Party (Bolsheviks) of Kazakhstan asks you: </w:t>
      </w:r>
    </w:p>
    <w:p w:rsidR="0052701D" w:rsidRDefault="00D40929">
      <w:pPr>
        <w:spacing w:after="5" w:line="271" w:lineRule="auto"/>
        <w:ind w:left="711" w:right="64"/>
        <w:jc w:val="both"/>
      </w:pPr>
      <w:r>
        <w:rPr>
          <w:rFonts w:ascii="Times New Roman" w:eastAsia="Times New Roman" w:hAnsi="Times New Roman" w:cs="Times New Roman"/>
          <w:sz w:val="28"/>
        </w:rPr>
        <w:t xml:space="preserve">1. to oblige the Minister of Electrical Industry f. Kabanov:  </w:t>
      </w:r>
    </w:p>
    <w:p w:rsidR="0052701D" w:rsidRDefault="00D40929">
      <w:pPr>
        <w:numPr>
          <w:ilvl w:val="0"/>
          <w:numId w:val="92"/>
        </w:numPr>
        <w:spacing w:after="5" w:line="271" w:lineRule="auto"/>
        <w:ind w:right="64" w:hanging="326"/>
        <w:jc w:val="both"/>
      </w:pPr>
      <w:r>
        <w:rPr>
          <w:rFonts w:ascii="Times New Roman" w:eastAsia="Times New Roman" w:hAnsi="Times New Roman" w:cs="Times New Roman"/>
          <w:sz w:val="28"/>
        </w:rPr>
        <w:t>to speed up approval of the proj</w:t>
      </w:r>
      <w:r>
        <w:rPr>
          <w:rFonts w:ascii="Times New Roman" w:eastAsia="Times New Roman" w:hAnsi="Times New Roman" w:cs="Times New Roman"/>
          <w:sz w:val="28"/>
        </w:rPr>
        <w:t xml:space="preserve">ect for reconstruction of plant No. 692.  </w:t>
      </w:r>
    </w:p>
    <w:p w:rsidR="0052701D" w:rsidRDefault="00D40929">
      <w:pPr>
        <w:numPr>
          <w:ilvl w:val="0"/>
          <w:numId w:val="92"/>
        </w:numPr>
        <w:spacing w:after="5" w:line="271" w:lineRule="auto"/>
        <w:ind w:right="64" w:hanging="326"/>
        <w:jc w:val="both"/>
      </w:pPr>
      <w:r>
        <w:rPr>
          <w:rFonts w:ascii="Times New Roman" w:eastAsia="Times New Roman" w:hAnsi="Times New Roman" w:cs="Times New Roman"/>
          <w:sz w:val="28"/>
        </w:rPr>
        <w:t xml:space="preserve">to increase the amount of capital works in 1946 to 1.0 million rubles. Provide </w:t>
      </w:r>
    </w:p>
    <w:p w:rsidR="0052701D" w:rsidRDefault="00D40929">
      <w:pPr>
        <w:spacing w:after="5" w:line="271" w:lineRule="auto"/>
        <w:ind w:left="9" w:right="64"/>
        <w:jc w:val="both"/>
      </w:pPr>
      <w:r>
        <w:rPr>
          <w:rFonts w:ascii="Times New Roman" w:eastAsia="Times New Roman" w:hAnsi="Times New Roman" w:cs="Times New Roman"/>
          <w:sz w:val="28"/>
        </w:rPr>
        <w:t xml:space="preserve">financing for the two residential buildings to be completed.  </w:t>
      </w:r>
    </w:p>
    <w:p w:rsidR="0052701D" w:rsidRDefault="00D40929">
      <w:pPr>
        <w:numPr>
          <w:ilvl w:val="0"/>
          <w:numId w:val="92"/>
        </w:numPr>
        <w:spacing w:after="5" w:line="271" w:lineRule="auto"/>
        <w:ind w:right="64" w:hanging="326"/>
        <w:jc w:val="both"/>
      </w:pPr>
      <w:r>
        <w:rPr>
          <w:rFonts w:ascii="Times New Roman" w:eastAsia="Times New Roman" w:hAnsi="Times New Roman" w:cs="Times New Roman"/>
          <w:sz w:val="28"/>
        </w:rPr>
        <w:t>to ensure allocation and delivery of building materials to the plant o</w:t>
      </w:r>
      <w:r>
        <w:rPr>
          <w:rFonts w:ascii="Times New Roman" w:eastAsia="Times New Roman" w:hAnsi="Times New Roman" w:cs="Times New Roman"/>
          <w:sz w:val="28"/>
        </w:rPr>
        <w:t xml:space="preserve">n the </w:t>
      </w:r>
    </w:p>
    <w:p w:rsidR="0052701D" w:rsidRDefault="00D40929">
      <w:pPr>
        <w:spacing w:after="5" w:line="271" w:lineRule="auto"/>
        <w:ind w:left="9" w:right="64"/>
        <w:jc w:val="both"/>
      </w:pPr>
      <w:r>
        <w:rPr>
          <w:rFonts w:ascii="Times New Roman" w:eastAsia="Times New Roman" w:hAnsi="Times New Roman" w:cs="Times New Roman"/>
          <w:sz w:val="28"/>
        </w:rPr>
        <w:t xml:space="preserve">plant's requests.  </w:t>
      </w:r>
    </w:p>
    <w:p w:rsidR="0052701D" w:rsidRDefault="00D40929">
      <w:pPr>
        <w:numPr>
          <w:ilvl w:val="0"/>
          <w:numId w:val="93"/>
        </w:numPr>
        <w:spacing w:after="5" w:line="271" w:lineRule="auto"/>
        <w:ind w:right="64" w:firstLine="711"/>
        <w:jc w:val="both"/>
      </w:pPr>
      <w:r>
        <w:rPr>
          <w:rFonts w:ascii="Times New Roman" w:eastAsia="Times New Roman" w:hAnsi="Times New Roman" w:cs="Times New Roman"/>
          <w:sz w:val="28"/>
        </w:rPr>
        <w:t xml:space="preserve">To consider the issue of transferring construction work to the Ministry of Construction of Heavy Industry Enterprises, assigning this work to the "Aktubstroy" trust of the Ministry of Stroytyazhmash.  </w:t>
      </w:r>
    </w:p>
    <w:p w:rsidR="0052701D" w:rsidRDefault="00D40929">
      <w:pPr>
        <w:numPr>
          <w:ilvl w:val="0"/>
          <w:numId w:val="93"/>
        </w:numPr>
        <w:spacing w:after="5" w:line="271" w:lineRule="auto"/>
        <w:ind w:right="64" w:firstLine="711"/>
        <w:jc w:val="both"/>
      </w:pPr>
      <w:r>
        <w:rPr>
          <w:rFonts w:ascii="Times New Roman" w:eastAsia="Times New Roman" w:hAnsi="Times New Roman" w:cs="Times New Roman"/>
          <w:sz w:val="28"/>
        </w:rPr>
        <w:t>To oblige Mr. Yudin to inst</w:t>
      </w:r>
      <w:r>
        <w:rPr>
          <w:rFonts w:ascii="Times New Roman" w:eastAsia="Times New Roman" w:hAnsi="Times New Roman" w:cs="Times New Roman"/>
          <w:sz w:val="28"/>
        </w:rPr>
        <w:t>ruct the "Aktobebstroy" to commission at plant No. 692 not later than November of this year two residential buildings being completed by the trust and to include them in the work plan of the trust for 1946. The failure to hand over the mentioned houses wil</w:t>
      </w:r>
      <w:r>
        <w:rPr>
          <w:rFonts w:ascii="Times New Roman" w:eastAsia="Times New Roman" w:hAnsi="Times New Roman" w:cs="Times New Roman"/>
          <w:sz w:val="28"/>
        </w:rPr>
        <w:t xml:space="preserve">l leave the engineers and workers of the plant in very bad conditions for the winter. The houses are ready in the range of 70-80%.  </w:t>
      </w:r>
    </w:p>
    <w:p w:rsidR="0052701D" w:rsidRDefault="00D40929">
      <w:pPr>
        <w:spacing w:after="5" w:line="271" w:lineRule="auto"/>
        <w:ind w:left="711" w:right="64"/>
        <w:jc w:val="both"/>
      </w:pPr>
      <w:r>
        <w:rPr>
          <w:rFonts w:ascii="Times New Roman" w:eastAsia="Times New Roman" w:hAnsi="Times New Roman" w:cs="Times New Roman"/>
          <w:sz w:val="28"/>
        </w:rPr>
        <w:t xml:space="preserve">We ask to know your decision".  </w:t>
      </w:r>
    </w:p>
    <w:p w:rsidR="0052701D" w:rsidRDefault="00D40929">
      <w:pPr>
        <w:spacing w:after="5" w:line="271" w:lineRule="auto"/>
        <w:ind w:left="9" w:right="64" w:firstLine="711"/>
        <w:jc w:val="both"/>
      </w:pPr>
      <w:r>
        <w:rPr>
          <w:rFonts w:ascii="Times New Roman" w:eastAsia="Times New Roman" w:hAnsi="Times New Roman" w:cs="Times New Roman"/>
          <w:sz w:val="28"/>
        </w:rPr>
        <w:t>On the same day a telegram was sent to the Kazrepresentative office in Moscow marked "urge</w:t>
      </w:r>
      <w:r>
        <w:rPr>
          <w:rFonts w:ascii="Times New Roman" w:eastAsia="Times New Roman" w:hAnsi="Times New Roman" w:cs="Times New Roman"/>
          <w:sz w:val="28"/>
        </w:rPr>
        <w:t>nt" to the Deputy Council of Ministers of the KazSSR Zagoveliev A.P., which informed him that the letter was sent to Kosygin A.N. about reconstruction and expansion of Aktobe plant No. 692 and it turned out "... to achieve positive resolution of the issues</w:t>
      </w:r>
      <w:r>
        <w:rPr>
          <w:rFonts w:ascii="Times New Roman" w:eastAsia="Times New Roman" w:hAnsi="Times New Roman" w:cs="Times New Roman"/>
          <w:sz w:val="28"/>
        </w:rPr>
        <w:t xml:space="preserve"> raised" on site [8, 13]. On September 21, 1946, the USSR Minister of Electrical Industry Kabanov I. responded to the letter of Kunayev D.A. and Kurglov S.I. The reply stated in particular: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 Regarding the questions you raised about the construction </w:t>
      </w:r>
      <w:r>
        <w:rPr>
          <w:rFonts w:ascii="Times New Roman" w:eastAsia="Times New Roman" w:hAnsi="Times New Roman" w:cs="Times New Roman"/>
          <w:sz w:val="28"/>
        </w:rPr>
        <w:t xml:space="preserve">of plant No. 692 in Aktyubinsk, the Ministry of Electrical Industry reports:  </w:t>
      </w:r>
    </w:p>
    <w:p w:rsidR="0052701D" w:rsidRDefault="00D40929">
      <w:pPr>
        <w:numPr>
          <w:ilvl w:val="0"/>
          <w:numId w:val="94"/>
        </w:numPr>
        <w:spacing w:after="5" w:line="271" w:lineRule="auto"/>
        <w:ind w:right="64" w:firstLine="711"/>
        <w:jc w:val="both"/>
      </w:pPr>
      <w:r>
        <w:rPr>
          <w:rFonts w:ascii="Times New Roman" w:eastAsia="Times New Roman" w:hAnsi="Times New Roman" w:cs="Times New Roman"/>
          <w:sz w:val="28"/>
        </w:rPr>
        <w:lastRenderedPageBreak/>
        <w:t>The design task on reconstruction of the plant No. 692 is currently under technical expertise and will be approved on 10.X. 1946. The technical project is to be completed by Jan</w:t>
      </w:r>
      <w:r>
        <w:rPr>
          <w:rFonts w:ascii="Times New Roman" w:eastAsia="Times New Roman" w:hAnsi="Times New Roman" w:cs="Times New Roman"/>
          <w:sz w:val="28"/>
        </w:rPr>
        <w:t xml:space="preserve">uary 1, 1947.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In 1946, the financing of the construction of the factory No. 692, as a low-limit construction, will be carried out according to the designs and estimates of the individual objects.  </w:t>
      </w:r>
    </w:p>
    <w:p w:rsidR="0052701D" w:rsidRDefault="00D40929">
      <w:pPr>
        <w:numPr>
          <w:ilvl w:val="0"/>
          <w:numId w:val="94"/>
        </w:numPr>
        <w:spacing w:after="5" w:line="271" w:lineRule="auto"/>
        <w:ind w:right="64" w:firstLine="711"/>
        <w:jc w:val="both"/>
      </w:pPr>
      <w:r>
        <w:rPr>
          <w:rFonts w:ascii="Times New Roman" w:eastAsia="Times New Roman" w:hAnsi="Times New Roman" w:cs="Times New Roman"/>
          <w:sz w:val="28"/>
        </w:rPr>
        <w:t>The amount of capital work at plant No. 692 for 1946 was</w:t>
      </w:r>
      <w:r>
        <w:rPr>
          <w:rFonts w:ascii="Times New Roman" w:eastAsia="Times New Roman" w:hAnsi="Times New Roman" w:cs="Times New Roman"/>
          <w:sz w:val="28"/>
        </w:rPr>
        <w:t xml:space="preserve"> increased by 450.0 rubles to 800.0 rubles.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Of this sum, R.500.0 is allocated for residential construction, which ensures completion of construction of two dwelling houses.  </w:t>
      </w:r>
    </w:p>
    <w:p w:rsidR="0052701D" w:rsidRDefault="00D40929">
      <w:pPr>
        <w:numPr>
          <w:ilvl w:val="0"/>
          <w:numId w:val="94"/>
        </w:numPr>
        <w:spacing w:after="5" w:line="271" w:lineRule="auto"/>
        <w:ind w:right="64" w:firstLine="711"/>
        <w:jc w:val="both"/>
      </w:pPr>
      <w:r>
        <w:rPr>
          <w:rFonts w:ascii="Times New Roman" w:eastAsia="Times New Roman" w:hAnsi="Times New Roman" w:cs="Times New Roman"/>
          <w:sz w:val="28"/>
        </w:rPr>
        <w:t>On September 17, 1946, the Ministry of Heavy Industry Construction gave a teleg</w:t>
      </w:r>
      <w:r>
        <w:rPr>
          <w:rFonts w:ascii="Times New Roman" w:eastAsia="Times New Roman" w:hAnsi="Times New Roman" w:cs="Times New Roman"/>
          <w:sz w:val="28"/>
        </w:rPr>
        <w:t xml:space="preserve">raphic order to the trust "Aktubstroi" about completion of construction of the dwelling houses in IV quarter of this year. [8, 28].  </w:t>
      </w:r>
    </w:p>
    <w:p w:rsidR="0052701D" w:rsidRDefault="00D40929">
      <w:pPr>
        <w:spacing w:after="5" w:line="271" w:lineRule="auto"/>
        <w:ind w:left="9" w:right="64" w:firstLine="711"/>
        <w:jc w:val="both"/>
      </w:pPr>
      <w:r>
        <w:rPr>
          <w:rFonts w:ascii="Times New Roman" w:eastAsia="Times New Roman" w:hAnsi="Times New Roman" w:cs="Times New Roman"/>
          <w:sz w:val="28"/>
        </w:rPr>
        <w:t>On September 24, 1946, the reply from the deputy minister of the Ministry of Construction of Heavy Industry enterprises Re</w:t>
      </w:r>
      <w:r>
        <w:rPr>
          <w:rFonts w:ascii="Times New Roman" w:eastAsia="Times New Roman" w:hAnsi="Times New Roman" w:cs="Times New Roman"/>
          <w:sz w:val="28"/>
        </w:rPr>
        <w:t xml:space="preserve">iser D. came immediately: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"...the Ministry of Heavy Industry Construction does not object in principle to the additional inclusion in its construction program for 1947 of part of the work on the reconstruction of the said plant". [8, 27].                 </w:t>
      </w:r>
      <w:r>
        <w:rPr>
          <w:rFonts w:ascii="Times New Roman" w:eastAsia="Times New Roman" w:hAnsi="Times New Roman" w:cs="Times New Roman"/>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The leadership of the republic had its own reasons for such concern. On the one hand, Plant No. 692 was one of the three X-ray plants in the USSR, on the other hand, the condition of the plant, which during the war had tried to perform it</w:t>
      </w:r>
      <w:r>
        <w:rPr>
          <w:rFonts w:ascii="Times New Roman" w:eastAsia="Times New Roman" w:hAnsi="Times New Roman" w:cs="Times New Roman"/>
          <w:sz w:val="28"/>
        </w:rPr>
        <w:t>s tasks perfectly, in the post-war years had sharply deteriorated. On December 23, 1945, in the newspaper of "Aktobe Truth" the article with the title "Why does the electric plant work badly?” was published [9]. The author of the article lists several reas</w:t>
      </w:r>
      <w:r>
        <w:rPr>
          <w:rFonts w:ascii="Times New Roman" w:eastAsia="Times New Roman" w:hAnsi="Times New Roman" w:cs="Times New Roman"/>
          <w:sz w:val="28"/>
        </w:rPr>
        <w:t xml:space="preserve">ons for the failure of the plant plan and concludes that the main reason is the completely unsatisfactory management of the plant management.  </w:t>
      </w:r>
    </w:p>
    <w:p w:rsidR="0052701D" w:rsidRDefault="00D40929">
      <w:pPr>
        <w:spacing w:after="5" w:line="271" w:lineRule="auto"/>
        <w:ind w:left="711" w:right="64"/>
        <w:jc w:val="both"/>
      </w:pPr>
      <w:r>
        <w:rPr>
          <w:rFonts w:ascii="Times New Roman" w:eastAsia="Times New Roman" w:hAnsi="Times New Roman" w:cs="Times New Roman"/>
          <w:sz w:val="28"/>
        </w:rPr>
        <w:t xml:space="preserve">Such gaps existence is also confirmed by archival data. </w:t>
      </w:r>
    </w:p>
    <w:p w:rsidR="0052701D" w:rsidRDefault="00D40929">
      <w:pPr>
        <w:spacing w:after="5" w:line="271" w:lineRule="auto"/>
        <w:ind w:left="9" w:right="64" w:firstLine="711"/>
        <w:jc w:val="both"/>
      </w:pPr>
      <w:r>
        <w:rPr>
          <w:rFonts w:ascii="Times New Roman" w:eastAsia="Times New Roman" w:hAnsi="Times New Roman" w:cs="Times New Roman"/>
          <w:sz w:val="28"/>
        </w:rPr>
        <w:t>On January 14, 1946 a resolution of the Aktobe Regional</w:t>
      </w:r>
      <w:r>
        <w:rPr>
          <w:rFonts w:ascii="Times New Roman" w:eastAsia="Times New Roman" w:hAnsi="Times New Roman" w:cs="Times New Roman"/>
          <w:sz w:val="28"/>
        </w:rPr>
        <w:t xml:space="preserve"> Bureau of the C(b)CP on the role and progress of the decree "On measures to improve the work of plant No. 692 of August 1, 1945" was adopted. [8, 80-82].  The decree takes measures to ensure the normal operation of the plant, create the necessary living c</w:t>
      </w:r>
      <w:r>
        <w:rPr>
          <w:rFonts w:ascii="Times New Roman" w:eastAsia="Times New Roman" w:hAnsi="Times New Roman" w:cs="Times New Roman"/>
          <w:sz w:val="28"/>
        </w:rPr>
        <w:t>onditions for engineering and technical workers, to attract local staff to senior positions; it is shown that the promise of the director of the plant Maloletkov of implementation has not been fulfilled. In 1945, due to the deterioration of the situation a</w:t>
      </w:r>
      <w:r>
        <w:rPr>
          <w:rFonts w:ascii="Times New Roman" w:eastAsia="Times New Roman" w:hAnsi="Times New Roman" w:cs="Times New Roman"/>
          <w:sz w:val="28"/>
        </w:rPr>
        <w:t xml:space="preserve">t the plant, labor productivity in the second half of the year compared to the first half of the year decreased by 9%. It is even noted that in the second half of the year the number of labor abusers increased by 30%. </w:t>
      </w:r>
    </w:p>
    <w:p w:rsidR="0052701D" w:rsidRDefault="00D40929">
      <w:pPr>
        <w:spacing w:after="5" w:line="271" w:lineRule="auto"/>
        <w:ind w:left="9" w:right="64" w:firstLine="711"/>
        <w:jc w:val="both"/>
      </w:pPr>
      <w:r>
        <w:rPr>
          <w:rFonts w:ascii="Times New Roman" w:eastAsia="Times New Roman" w:hAnsi="Times New Roman" w:cs="Times New Roman"/>
          <w:sz w:val="28"/>
        </w:rPr>
        <w:lastRenderedPageBreak/>
        <w:t>One of the ways of increasing labor p</w:t>
      </w:r>
      <w:r>
        <w:rPr>
          <w:rFonts w:ascii="Times New Roman" w:eastAsia="Times New Roman" w:hAnsi="Times New Roman" w:cs="Times New Roman"/>
          <w:sz w:val="28"/>
        </w:rPr>
        <w:t>roductivity during the war years was the wide spreading of mass socialist competitions, increasing the number of Stakhanovites and shock workers at enterprises. According to the above-mentioned decree, disregard of these best traditions is one of the reaso</w:t>
      </w:r>
      <w:r>
        <w:rPr>
          <w:rFonts w:ascii="Times New Roman" w:eastAsia="Times New Roman" w:hAnsi="Times New Roman" w:cs="Times New Roman"/>
          <w:sz w:val="28"/>
        </w:rPr>
        <w:t>ns for the decrease of labor productivity at the plant. As a result of improper planning and accounting, the debt to suppliers of various materials amounted to 568 thousand rubles as of January 1, 1946, and the debt to the city power plant reached 54 thous</w:t>
      </w:r>
      <w:r>
        <w:rPr>
          <w:rFonts w:ascii="Times New Roman" w:eastAsia="Times New Roman" w:hAnsi="Times New Roman" w:cs="Times New Roman"/>
          <w:sz w:val="28"/>
        </w:rPr>
        <w:t xml:space="preserve">and rubles.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As a result, the bureau issued a severe reprimand to director Maloletkov, which was added to his labor book for the failure to provide for the operation of the plant in the second half of 1945. </w:t>
      </w:r>
    </w:p>
    <w:p w:rsidR="0052701D" w:rsidRDefault="00D40929">
      <w:pPr>
        <w:spacing w:after="5" w:line="271" w:lineRule="auto"/>
        <w:ind w:left="9" w:right="64" w:firstLine="711"/>
        <w:jc w:val="both"/>
      </w:pPr>
      <w:r>
        <w:rPr>
          <w:rFonts w:ascii="Times New Roman" w:eastAsia="Times New Roman" w:hAnsi="Times New Roman" w:cs="Times New Roman"/>
          <w:sz w:val="28"/>
        </w:rPr>
        <w:t>The application of such severe punishment to th</w:t>
      </w:r>
      <w:r>
        <w:rPr>
          <w:rFonts w:ascii="Times New Roman" w:eastAsia="Times New Roman" w:hAnsi="Times New Roman" w:cs="Times New Roman"/>
          <w:sz w:val="28"/>
        </w:rPr>
        <w:t>e head of the plant, who has withstood all the hardships of the war, can be explained as follows. Plant No. 692 was one of the three plants in the Union and produced products of particular importance in those years, on the other hand, the archival document</w:t>
      </w:r>
      <w:r>
        <w:rPr>
          <w:rFonts w:ascii="Times New Roman" w:eastAsia="Times New Roman" w:hAnsi="Times New Roman" w:cs="Times New Roman"/>
          <w:sz w:val="28"/>
        </w:rPr>
        <w:t xml:space="preserve">s confirm the admission of serious gaps in the work of the enterprise. </w:t>
      </w:r>
    </w:p>
    <w:p w:rsidR="0052701D" w:rsidRDefault="00D40929">
      <w:pPr>
        <w:spacing w:after="5" w:line="271" w:lineRule="auto"/>
        <w:ind w:left="9" w:right="64" w:firstLine="711"/>
        <w:jc w:val="both"/>
      </w:pPr>
      <w:r>
        <w:rPr>
          <w:rFonts w:ascii="Times New Roman" w:eastAsia="Times New Roman" w:hAnsi="Times New Roman" w:cs="Times New Roman"/>
          <w:sz w:val="28"/>
        </w:rPr>
        <w:t>Attention and efforts of the late leadership of the republic, as well as support of the leaders of the Union Ministries, opened favorable prospects for the development of plant No.692.</w:t>
      </w:r>
      <w:r>
        <w:rPr>
          <w:rFonts w:ascii="Times New Roman" w:eastAsia="Times New Roman" w:hAnsi="Times New Roman" w:cs="Times New Roman"/>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On February 28, 1946 the deputy secretary of the CC CP(b)K Polyakov wrote in his report "On work of mechanical engineering plants of the Kazakh SSR" to the Secretary of the CC CP(b)K Zh. Shayakhmetov that "mechanical engineering in Kazakhstan was organi</w:t>
      </w:r>
      <w:r>
        <w:rPr>
          <w:rFonts w:ascii="Times New Roman" w:eastAsia="Times New Roman" w:hAnsi="Times New Roman" w:cs="Times New Roman"/>
          <w:sz w:val="28"/>
        </w:rPr>
        <w:t xml:space="preserve">zed on the basis of defense plants, relocated to the East during the Great Patriotic War... As compared to 1942, in 1944 the defense industry doubled the output of general-purpose goods and products..." [10].   </w:t>
      </w:r>
    </w:p>
    <w:p w:rsidR="0052701D" w:rsidRDefault="00D40929">
      <w:pPr>
        <w:spacing w:after="5" w:line="271" w:lineRule="auto"/>
        <w:ind w:left="711" w:right="64"/>
        <w:jc w:val="both"/>
      </w:pPr>
      <w:r>
        <w:rPr>
          <w:rFonts w:ascii="Times New Roman" w:eastAsia="Times New Roman" w:hAnsi="Times New Roman" w:cs="Times New Roman"/>
          <w:sz w:val="28"/>
        </w:rPr>
        <w:t xml:space="preserve">Conclusion.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Thus, in the early 1940s, the </w:t>
      </w:r>
      <w:r>
        <w:rPr>
          <w:rFonts w:ascii="Times New Roman" w:eastAsia="Times New Roman" w:hAnsi="Times New Roman" w:cs="Times New Roman"/>
          <w:sz w:val="28"/>
        </w:rPr>
        <w:t xml:space="preserve">first defense industry enterprises began to appear in the republic.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These enterprises serving the country's defense industry produced a wide variety of military products and contributed to the victory over fascism.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There is no doubt that among them was </w:t>
      </w:r>
      <w:r>
        <w:rPr>
          <w:rFonts w:ascii="Times New Roman" w:eastAsia="Times New Roman" w:hAnsi="Times New Roman" w:cs="Times New Roman"/>
          <w:sz w:val="28"/>
        </w:rPr>
        <w:t xml:space="preserve">one of the three X-ray plants in the USSR - Aktyubinsk X-Ray Plant No. 692.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Today, one of the main problems in the study of the problem by Kazakh researchers is hampered by the slow process of declassifying documents in the archives of the republic. </w:t>
      </w:r>
    </w:p>
    <w:p w:rsidR="0052701D" w:rsidRDefault="00D40929">
      <w:pPr>
        <w:spacing w:after="5" w:line="271" w:lineRule="auto"/>
        <w:ind w:left="711" w:right="64"/>
        <w:jc w:val="both"/>
      </w:pPr>
      <w:r>
        <w:rPr>
          <w:rFonts w:ascii="Times New Roman" w:eastAsia="Times New Roman" w:hAnsi="Times New Roman" w:cs="Times New Roman"/>
          <w:sz w:val="28"/>
        </w:rPr>
        <w:t>On t</w:t>
      </w:r>
      <w:r>
        <w:rPr>
          <w:rFonts w:ascii="Times New Roman" w:eastAsia="Times New Roman" w:hAnsi="Times New Roman" w:cs="Times New Roman"/>
          <w:sz w:val="28"/>
        </w:rPr>
        <w:t xml:space="preserve">his topic, Kazakh researchers are faced with the following tasks: </w:t>
      </w:r>
    </w:p>
    <w:p w:rsidR="0052701D" w:rsidRDefault="00D40929">
      <w:pPr>
        <w:numPr>
          <w:ilvl w:val="0"/>
          <w:numId w:val="95"/>
        </w:numPr>
        <w:spacing w:after="5" w:line="271" w:lineRule="auto"/>
        <w:ind w:right="64" w:firstLine="711"/>
        <w:jc w:val="both"/>
      </w:pPr>
      <w:r>
        <w:rPr>
          <w:rFonts w:ascii="Times New Roman" w:eastAsia="Times New Roman" w:hAnsi="Times New Roman" w:cs="Times New Roman"/>
          <w:sz w:val="28"/>
        </w:rPr>
        <w:t xml:space="preserve">to study a complex of different order factors of an economic, political, military and other nature that determined the formation and development of military enterprises in the republic </w:t>
      </w:r>
      <w:r>
        <w:rPr>
          <w:rFonts w:ascii="Times New Roman" w:eastAsia="Times New Roman" w:hAnsi="Times New Roman" w:cs="Times New Roman"/>
          <w:sz w:val="28"/>
        </w:rPr>
        <w:t xml:space="preserve">through the introduction of a complex of new archival, narrative documents and empirical materials into scientific circulation; </w:t>
      </w:r>
    </w:p>
    <w:p w:rsidR="0052701D" w:rsidRDefault="00D40929">
      <w:pPr>
        <w:numPr>
          <w:ilvl w:val="0"/>
          <w:numId w:val="95"/>
        </w:numPr>
        <w:spacing w:after="5" w:line="271" w:lineRule="auto"/>
        <w:ind w:right="64" w:firstLine="711"/>
        <w:jc w:val="both"/>
      </w:pPr>
      <w:r>
        <w:rPr>
          <w:rFonts w:ascii="Times New Roman" w:eastAsia="Times New Roman" w:hAnsi="Times New Roman" w:cs="Times New Roman"/>
          <w:sz w:val="28"/>
        </w:rPr>
        <w:lastRenderedPageBreak/>
        <w:t>to analyze important socio-cultural factors that ensure the fruitful activity of defense industry plants, such as the role of i</w:t>
      </w:r>
      <w:r>
        <w:rPr>
          <w:rFonts w:ascii="Times New Roman" w:eastAsia="Times New Roman" w:hAnsi="Times New Roman" w:cs="Times New Roman"/>
          <w:sz w:val="28"/>
        </w:rPr>
        <w:t xml:space="preserve">ndividuals, the work of the production team, the social environment, stimulation and labor productivity, the activities of the management apparatus, etc. </w:t>
      </w:r>
    </w:p>
    <w:p w:rsidR="0052701D" w:rsidRDefault="00D40929">
      <w:pPr>
        <w:spacing w:after="0"/>
        <w:ind w:left="711"/>
      </w:pPr>
      <w:r>
        <w:rPr>
          <w:rFonts w:ascii="Times New Roman" w:eastAsia="Times New Roman" w:hAnsi="Times New Roman" w:cs="Times New Roman"/>
          <w:sz w:val="28"/>
        </w:rPr>
        <w:t xml:space="preserve"> </w:t>
      </w:r>
    </w:p>
    <w:p w:rsidR="0052701D" w:rsidRDefault="00D40929">
      <w:pPr>
        <w:spacing w:after="16" w:line="248" w:lineRule="auto"/>
        <w:ind w:left="819" w:right="323" w:hanging="10"/>
        <w:jc w:val="center"/>
      </w:pPr>
      <w:r>
        <w:rPr>
          <w:rFonts w:ascii="Times New Roman" w:eastAsia="Times New Roman" w:hAnsi="Times New Roman" w:cs="Times New Roman"/>
          <w:b/>
          <w:sz w:val="24"/>
        </w:rPr>
        <w:t xml:space="preserve">ИСТОЧНИКИ </w:t>
      </w:r>
    </w:p>
    <w:p w:rsidR="0052701D" w:rsidRDefault="00D40929">
      <w:pPr>
        <w:spacing w:after="29" w:line="248" w:lineRule="auto"/>
        <w:ind w:left="9" w:right="14" w:firstLine="567"/>
        <w:jc w:val="both"/>
      </w:pPr>
      <w:r>
        <w:rPr>
          <w:rFonts w:ascii="Times New Roman" w:eastAsia="Times New Roman" w:hAnsi="Times New Roman" w:cs="Times New Roman"/>
          <w:sz w:val="24"/>
        </w:rPr>
        <w:t xml:space="preserve">[1] Новоселов В. Н. Создание атомной промышленности на Урале. - Челябинск, 1999; Грибов </w:t>
      </w:r>
      <w:r>
        <w:rPr>
          <w:rFonts w:ascii="Times New Roman" w:eastAsia="Times New Roman" w:hAnsi="Times New Roman" w:cs="Times New Roman"/>
          <w:sz w:val="24"/>
        </w:rPr>
        <w:t>М.О. Модернизация ВПК СССР: научно-технический и социо-культурный аспекты: (На материалах Электростальского машиностроительного завода. 1927-1954 гг.): Дис. канд. ист. наук: 07.00.02 М., 2005 151 с.; Рясков С.А. Социокультурное развитие закрытых городов Ур</w:t>
      </w:r>
      <w:r>
        <w:rPr>
          <w:rFonts w:ascii="Times New Roman" w:eastAsia="Times New Roman" w:hAnsi="Times New Roman" w:cs="Times New Roman"/>
          <w:sz w:val="24"/>
        </w:rPr>
        <w:t xml:space="preserve">ала (Вторая половина 1940-х-середина 1980-х годов): Дис. канд. ист. Наук: Екатеринбург, </w:t>
      </w:r>
    </w:p>
    <w:p w:rsidR="0052701D" w:rsidRDefault="00D40929">
      <w:pPr>
        <w:spacing w:after="29" w:line="248" w:lineRule="auto"/>
        <w:ind w:left="9" w:right="14"/>
        <w:jc w:val="both"/>
      </w:pPr>
      <w:r>
        <w:rPr>
          <w:rFonts w:ascii="Times New Roman" w:eastAsia="Times New Roman" w:hAnsi="Times New Roman" w:cs="Times New Roman"/>
          <w:sz w:val="24"/>
        </w:rPr>
        <w:t>2004 233 c.; Крамаренко В.Н. Государственная политика СССР по созданию и развитию закрытых административно-территориальных образований в 1945-1991 гг. (на материалах Н</w:t>
      </w:r>
      <w:r>
        <w:rPr>
          <w:rFonts w:ascii="Times New Roman" w:eastAsia="Times New Roman" w:hAnsi="Times New Roman" w:cs="Times New Roman"/>
          <w:sz w:val="24"/>
        </w:rPr>
        <w:t xml:space="preserve">ижнего Поволжья) : Дис. канд. ист. наук: 07.00.02. –Астрахань, 2007 и др. </w:t>
      </w:r>
    </w:p>
    <w:p w:rsidR="0052701D" w:rsidRDefault="00D40929">
      <w:pPr>
        <w:numPr>
          <w:ilvl w:val="0"/>
          <w:numId w:val="96"/>
        </w:numPr>
        <w:spacing w:after="0" w:line="248" w:lineRule="auto"/>
        <w:ind w:right="14" w:firstLine="567"/>
        <w:jc w:val="both"/>
      </w:pPr>
      <w:r>
        <w:rPr>
          <w:rFonts w:ascii="Times New Roman" w:eastAsia="Times New Roman" w:hAnsi="Times New Roman" w:cs="Times New Roman"/>
          <w:sz w:val="24"/>
        </w:rPr>
        <w:t xml:space="preserve">Central State Archive of the Republic of Kazakhstan, fund 1137, 1pc-inventory, inventory9, fol. 242.  </w:t>
      </w:r>
    </w:p>
    <w:p w:rsidR="0052701D" w:rsidRDefault="00D40929">
      <w:pPr>
        <w:numPr>
          <w:ilvl w:val="0"/>
          <w:numId w:val="96"/>
        </w:numPr>
        <w:spacing w:after="0" w:line="248" w:lineRule="auto"/>
        <w:ind w:right="14" w:firstLine="567"/>
        <w:jc w:val="both"/>
      </w:pPr>
      <w:r>
        <w:rPr>
          <w:rFonts w:ascii="Times New Roman" w:eastAsia="Times New Roman" w:hAnsi="Times New Roman" w:cs="Times New Roman"/>
          <w:sz w:val="24"/>
        </w:rPr>
        <w:t>Simonov N.S. Military-industrial complexes of the USSR in 1920-50s: economic g</w:t>
      </w:r>
      <w:r>
        <w:rPr>
          <w:rFonts w:ascii="Times New Roman" w:eastAsia="Times New Roman" w:hAnsi="Times New Roman" w:cs="Times New Roman"/>
          <w:sz w:val="24"/>
        </w:rPr>
        <w:t xml:space="preserve">rowth rates, structure, production organization and management. - M.: ROSSPEN, 1996. //Booklist at: </w:t>
      </w:r>
    </w:p>
    <w:p w:rsidR="0052701D" w:rsidRDefault="00D40929">
      <w:pPr>
        <w:spacing w:after="29" w:line="248" w:lineRule="auto"/>
        <w:ind w:left="9" w:right="14"/>
        <w:jc w:val="both"/>
      </w:pPr>
      <w:r>
        <w:rPr>
          <w:rFonts w:ascii="Times New Roman" w:eastAsia="Times New Roman" w:hAnsi="Times New Roman" w:cs="Times New Roman"/>
          <w:sz w:val="24"/>
        </w:rPr>
        <w:t xml:space="preserve">militera.lib.ru/research/simonov_ns/index.html </w:t>
      </w:r>
    </w:p>
    <w:p w:rsidR="0052701D" w:rsidRDefault="00D40929">
      <w:pPr>
        <w:numPr>
          <w:ilvl w:val="0"/>
          <w:numId w:val="96"/>
        </w:numPr>
        <w:spacing w:after="29" w:line="248" w:lineRule="auto"/>
        <w:ind w:right="14" w:firstLine="567"/>
        <w:jc w:val="both"/>
      </w:pPr>
      <w:r>
        <w:rPr>
          <w:rFonts w:ascii="Times New Roman" w:eastAsia="Times New Roman" w:hAnsi="Times New Roman" w:cs="Times New Roman"/>
          <w:sz w:val="24"/>
        </w:rPr>
        <w:t xml:space="preserve">PA RK, fund 708, inventory 6/1, f. 611, sh. 23. </w:t>
      </w:r>
    </w:p>
    <w:p w:rsidR="0052701D" w:rsidRDefault="00D40929">
      <w:pPr>
        <w:numPr>
          <w:ilvl w:val="0"/>
          <w:numId w:val="96"/>
        </w:numPr>
        <w:spacing w:after="29" w:line="248" w:lineRule="auto"/>
        <w:ind w:right="14" w:firstLine="567"/>
        <w:jc w:val="both"/>
      </w:pPr>
      <w:r>
        <w:rPr>
          <w:rFonts w:ascii="Times New Roman" w:eastAsia="Times New Roman" w:hAnsi="Times New Roman" w:cs="Times New Roman"/>
          <w:sz w:val="24"/>
        </w:rPr>
        <w:t xml:space="preserve">PA RK, fund 708, inventory 6/1, f.  612, sh. 20. </w:t>
      </w:r>
    </w:p>
    <w:p w:rsidR="0052701D" w:rsidRDefault="00D40929">
      <w:pPr>
        <w:numPr>
          <w:ilvl w:val="0"/>
          <w:numId w:val="96"/>
        </w:numPr>
        <w:spacing w:after="29" w:line="248" w:lineRule="auto"/>
        <w:ind w:right="14" w:firstLine="567"/>
        <w:jc w:val="both"/>
      </w:pPr>
      <w:r>
        <w:rPr>
          <w:rFonts w:ascii="Times New Roman" w:eastAsia="Times New Roman" w:hAnsi="Times New Roman" w:cs="Times New Roman"/>
          <w:sz w:val="24"/>
        </w:rPr>
        <w:t>PA RK, f</w:t>
      </w:r>
      <w:r>
        <w:rPr>
          <w:rFonts w:ascii="Times New Roman" w:eastAsia="Times New Roman" w:hAnsi="Times New Roman" w:cs="Times New Roman"/>
          <w:sz w:val="24"/>
        </w:rPr>
        <w:t xml:space="preserve">und 708, inventory 8, f. 1757, sh. 100-107. </w:t>
      </w:r>
    </w:p>
    <w:p w:rsidR="0052701D" w:rsidRDefault="00D40929">
      <w:pPr>
        <w:numPr>
          <w:ilvl w:val="0"/>
          <w:numId w:val="96"/>
        </w:numPr>
        <w:spacing w:after="29" w:line="248" w:lineRule="auto"/>
        <w:ind w:right="14" w:firstLine="567"/>
        <w:jc w:val="both"/>
      </w:pPr>
      <w:r>
        <w:rPr>
          <w:rFonts w:ascii="Times New Roman" w:eastAsia="Times New Roman" w:hAnsi="Times New Roman" w:cs="Times New Roman"/>
          <w:sz w:val="24"/>
        </w:rPr>
        <w:t xml:space="preserve">PA RK, fund 708, inventory 10, f. 1661, sh. 111-112.  </w:t>
      </w:r>
    </w:p>
    <w:p w:rsidR="0052701D" w:rsidRDefault="00D40929">
      <w:pPr>
        <w:numPr>
          <w:ilvl w:val="0"/>
          <w:numId w:val="96"/>
        </w:numPr>
        <w:spacing w:after="29" w:line="248" w:lineRule="auto"/>
        <w:ind w:right="14" w:firstLine="567"/>
        <w:jc w:val="both"/>
      </w:pPr>
      <w:r>
        <w:rPr>
          <w:rFonts w:ascii="Times New Roman" w:eastAsia="Times New Roman" w:hAnsi="Times New Roman" w:cs="Times New Roman"/>
          <w:sz w:val="24"/>
        </w:rPr>
        <w:t xml:space="preserve">PA RK, fund 708, inventory 10, f. 1653, sh. 14-15. </w:t>
      </w:r>
    </w:p>
    <w:p w:rsidR="0052701D" w:rsidRDefault="00D40929">
      <w:pPr>
        <w:numPr>
          <w:ilvl w:val="0"/>
          <w:numId w:val="96"/>
        </w:numPr>
        <w:spacing w:after="0" w:line="248" w:lineRule="auto"/>
        <w:ind w:right="14" w:firstLine="567"/>
        <w:jc w:val="both"/>
      </w:pPr>
      <w:r>
        <w:rPr>
          <w:rFonts w:ascii="Times New Roman" w:eastAsia="Times New Roman" w:hAnsi="Times New Roman" w:cs="Times New Roman"/>
          <w:sz w:val="24"/>
        </w:rPr>
        <w:t xml:space="preserve">P. Deinekin. "Why does the electrical plant work badly?" // Aktobe Pravda, December 23, 1945, P.3. </w:t>
      </w:r>
    </w:p>
    <w:p w:rsidR="0052701D" w:rsidRDefault="00D40929">
      <w:pPr>
        <w:numPr>
          <w:ilvl w:val="0"/>
          <w:numId w:val="96"/>
        </w:numPr>
        <w:spacing w:after="29" w:line="248" w:lineRule="auto"/>
        <w:ind w:right="14" w:firstLine="567"/>
        <w:jc w:val="both"/>
      </w:pPr>
      <w:r>
        <w:rPr>
          <w:rFonts w:ascii="Times New Roman" w:eastAsia="Times New Roman" w:hAnsi="Times New Roman" w:cs="Times New Roman"/>
          <w:sz w:val="24"/>
        </w:rPr>
        <w:t xml:space="preserve">PA </w:t>
      </w:r>
      <w:r>
        <w:rPr>
          <w:rFonts w:ascii="Times New Roman" w:eastAsia="Times New Roman" w:hAnsi="Times New Roman" w:cs="Times New Roman"/>
          <w:sz w:val="24"/>
        </w:rPr>
        <w:t xml:space="preserve">RK, fund 708, inventory 10, f. 1648, sh. 1-4. </w:t>
      </w:r>
    </w:p>
    <w:p w:rsidR="0052701D" w:rsidRDefault="00D40929">
      <w:pPr>
        <w:spacing w:after="22"/>
        <w:ind w:left="567"/>
      </w:pPr>
      <w:r>
        <w:rPr>
          <w:rFonts w:ascii="Times New Roman" w:eastAsia="Times New Roman" w:hAnsi="Times New Roman" w:cs="Times New Roman"/>
          <w:sz w:val="28"/>
        </w:rPr>
        <w:t xml:space="preserve"> </w:t>
      </w:r>
    </w:p>
    <w:p w:rsidR="0052701D" w:rsidRDefault="00D40929">
      <w:pPr>
        <w:spacing w:after="60"/>
        <w:ind w:left="711"/>
      </w:pPr>
      <w:r>
        <w:rPr>
          <w:rFonts w:ascii="Times New Roman" w:eastAsia="Times New Roman" w:hAnsi="Times New Roman" w:cs="Times New Roman"/>
          <w:sz w:val="24"/>
        </w:rPr>
        <w:t xml:space="preserve"> </w:t>
      </w:r>
    </w:p>
    <w:p w:rsidR="0052701D" w:rsidRDefault="00D40929">
      <w:pPr>
        <w:spacing w:after="12"/>
        <w:ind w:left="711"/>
      </w:pPr>
      <w:r>
        <w:rPr>
          <w:rFonts w:ascii="Times New Roman" w:eastAsia="Times New Roman" w:hAnsi="Times New Roman" w:cs="Times New Roman"/>
          <w:sz w:val="24"/>
        </w:rPr>
        <w:t xml:space="preserve"> </w:t>
      </w:r>
    </w:p>
    <w:p w:rsidR="0052701D" w:rsidRDefault="00D40929">
      <w:pPr>
        <w:spacing w:after="4" w:line="271" w:lineRule="auto"/>
        <w:ind w:left="-5" w:right="194" w:hanging="10"/>
      </w:pPr>
      <w:r>
        <w:rPr>
          <w:rFonts w:ascii="Times New Roman" w:eastAsia="Times New Roman" w:hAnsi="Times New Roman" w:cs="Times New Roman"/>
          <w:b/>
          <w:sz w:val="24"/>
        </w:rPr>
        <w:t xml:space="preserve">ББҚ 63.3 (5Каз) Б 44 УДК 930 </w:t>
      </w:r>
    </w:p>
    <w:p w:rsidR="0052701D" w:rsidRDefault="00D40929">
      <w:pPr>
        <w:spacing w:after="35"/>
        <w:ind w:left="711"/>
      </w:pPr>
      <w:r>
        <w:rPr>
          <w:rFonts w:ascii="Times New Roman" w:eastAsia="Times New Roman" w:hAnsi="Times New Roman" w:cs="Times New Roman"/>
          <w:sz w:val="28"/>
        </w:rPr>
        <w:t xml:space="preserve"> </w:t>
      </w:r>
    </w:p>
    <w:p w:rsidR="0052701D" w:rsidRDefault="00D40929">
      <w:pPr>
        <w:pStyle w:val="1"/>
        <w:spacing w:after="35" w:line="251" w:lineRule="auto"/>
        <w:ind w:left="3083" w:right="0" w:hanging="1777"/>
        <w:jc w:val="left"/>
      </w:pPr>
      <w:r>
        <w:t xml:space="preserve">КЕМЕЛ ТҰЖЫРЫМ АРҚЫЛЫ ҰРПАҚ ТӘРБИЕЛЕУДЕГІ </w:t>
      </w:r>
    </w:p>
    <w:p w:rsidR="0052701D" w:rsidRDefault="00D40929">
      <w:pPr>
        <w:spacing w:after="35" w:line="251" w:lineRule="auto"/>
        <w:ind w:left="3083" w:hanging="1777"/>
      </w:pPr>
      <w:r>
        <w:rPr>
          <w:rFonts w:ascii="Times New Roman" w:eastAsia="Times New Roman" w:hAnsi="Times New Roman" w:cs="Times New Roman"/>
          <w:b/>
          <w:sz w:val="28"/>
        </w:rPr>
        <w:t xml:space="preserve">ТАРИХИ БІЛІМНІҢ РӨЛІ </w:t>
      </w:r>
    </w:p>
    <w:p w:rsidR="0052701D" w:rsidRDefault="00D40929">
      <w:pPr>
        <w:pStyle w:val="1"/>
        <w:spacing w:after="16" w:line="248" w:lineRule="auto"/>
        <w:ind w:left="819" w:right="171"/>
      </w:pPr>
      <w:r>
        <w:rPr>
          <w:sz w:val="24"/>
        </w:rPr>
        <w:t xml:space="preserve">Берлібаев Б.Т. </w:t>
      </w:r>
    </w:p>
    <w:p w:rsidR="0052701D" w:rsidRDefault="00D40929">
      <w:pPr>
        <w:spacing w:after="29" w:line="248" w:lineRule="auto"/>
        <w:ind w:left="4091" w:right="14" w:hanging="2276"/>
        <w:jc w:val="both"/>
      </w:pPr>
      <w:r>
        <w:rPr>
          <w:rFonts w:ascii="Times New Roman" w:eastAsia="Times New Roman" w:hAnsi="Times New Roman" w:cs="Times New Roman"/>
          <w:sz w:val="24"/>
        </w:rPr>
        <w:t xml:space="preserve">«Ғұмарбек Даукеев атындағы Алматы энергетика және байланыс  университеті» КЕАҚ </w:t>
      </w:r>
    </w:p>
    <w:p w:rsidR="0052701D" w:rsidRDefault="00D40929">
      <w:pPr>
        <w:spacing w:after="18"/>
        <w:ind w:left="711"/>
      </w:pPr>
      <w:r>
        <w:rPr>
          <w:rFonts w:ascii="Times New Roman" w:eastAsia="Times New Roman" w:hAnsi="Times New Roman" w:cs="Times New Roman"/>
          <w:sz w:val="24"/>
        </w:rPr>
        <w:t xml:space="preserve"> </w:t>
      </w:r>
    </w:p>
    <w:p w:rsidR="0052701D" w:rsidRDefault="00D40929">
      <w:pPr>
        <w:spacing w:after="29" w:line="248" w:lineRule="auto"/>
        <w:ind w:left="9" w:firstLine="711"/>
        <w:jc w:val="both"/>
      </w:pPr>
      <w:r>
        <w:rPr>
          <w:rFonts w:ascii="Times New Roman" w:eastAsia="Times New Roman" w:hAnsi="Times New Roman" w:cs="Times New Roman"/>
          <w:b/>
          <w:i/>
          <w:sz w:val="24"/>
        </w:rPr>
        <w:t>Түйіндеме.</w:t>
      </w:r>
      <w:r>
        <w:rPr>
          <w:rFonts w:ascii="Times New Roman" w:eastAsia="Times New Roman" w:hAnsi="Times New Roman" w:cs="Times New Roman"/>
          <w:i/>
          <w:sz w:val="24"/>
        </w:rPr>
        <w:t xml:space="preserve"> Бұл мақалада өскелең ұрпақты тәрбиелеудегі тарихи білімнің рөлі қарастырылады. Мақала авторының пікірінше, Қазақстанда тарихи білім беруді жаңғырту жағдайында балалардың ата-аналарын құрметтеу және құрметтеу, үлкендерді құрметтеу, өз Отанын қорғ</w:t>
      </w:r>
      <w:r>
        <w:rPr>
          <w:rFonts w:ascii="Times New Roman" w:eastAsia="Times New Roman" w:hAnsi="Times New Roman" w:cs="Times New Roman"/>
          <w:i/>
          <w:sz w:val="24"/>
        </w:rPr>
        <w:t xml:space="preserve">ау, өз Отанын қорғау туралы құнды ойлар құрылған жеке тұлғаны қалыптастырудағы ауызша халық шығармашылығының маңыздылығына назар аударуды </w:t>
      </w:r>
      <w:r>
        <w:rPr>
          <w:rFonts w:ascii="Times New Roman" w:eastAsia="Times New Roman" w:hAnsi="Times New Roman" w:cs="Times New Roman"/>
          <w:i/>
          <w:sz w:val="24"/>
        </w:rPr>
        <w:lastRenderedPageBreak/>
        <w:t>күшейту маңызды. Мақалада тұлғаның табысты қалыптасуына ықпал ететін ұлы Абай шығармаларына ерекше рөл беріледі. Мақал</w:t>
      </w:r>
      <w:r>
        <w:rPr>
          <w:rFonts w:ascii="Times New Roman" w:eastAsia="Times New Roman" w:hAnsi="Times New Roman" w:cs="Times New Roman"/>
          <w:i/>
          <w:sz w:val="24"/>
        </w:rPr>
        <w:t xml:space="preserve">а авторы тарихи білім өскелең ұрпақтың дүниетанымын қалыптастырып, отансүйгіштік, Отанға деген сүйіспеншілік сезімін тәрбиелейтінін атап өтті. </w:t>
      </w:r>
    </w:p>
    <w:p w:rsidR="0052701D" w:rsidRDefault="00D40929">
      <w:pPr>
        <w:spacing w:after="29" w:line="248" w:lineRule="auto"/>
        <w:ind w:left="9" w:firstLine="711"/>
        <w:jc w:val="both"/>
      </w:pPr>
      <w:r>
        <w:rPr>
          <w:rFonts w:ascii="Times New Roman" w:eastAsia="Times New Roman" w:hAnsi="Times New Roman" w:cs="Times New Roman"/>
          <w:b/>
          <w:i/>
          <w:sz w:val="24"/>
        </w:rPr>
        <w:t>Түйінді сөздер:</w:t>
      </w:r>
      <w:r>
        <w:rPr>
          <w:rFonts w:ascii="Times New Roman" w:eastAsia="Times New Roman" w:hAnsi="Times New Roman" w:cs="Times New Roman"/>
          <w:i/>
          <w:sz w:val="24"/>
        </w:rPr>
        <w:t xml:space="preserve"> мәдениет, білім, тарихи білім, Тарих, асыл ұғым, афоризм, мақалмәтелдер. </w:t>
      </w:r>
    </w:p>
    <w:p w:rsidR="0052701D" w:rsidRDefault="00D40929">
      <w:pPr>
        <w:spacing w:after="0"/>
        <w:ind w:left="711"/>
      </w:pPr>
      <w:r>
        <w:rPr>
          <w:rFonts w:ascii="Times New Roman" w:eastAsia="Times New Roman" w:hAnsi="Times New Roman" w:cs="Times New Roman"/>
          <w:b/>
          <w:i/>
          <w:sz w:val="24"/>
        </w:rPr>
        <w:t xml:space="preserve"> </w:t>
      </w:r>
    </w:p>
    <w:p w:rsidR="0052701D" w:rsidRDefault="00D40929">
      <w:pPr>
        <w:spacing w:after="68"/>
        <w:ind w:left="711"/>
      </w:pPr>
      <w:r>
        <w:rPr>
          <w:rFonts w:ascii="Times New Roman" w:eastAsia="Times New Roman" w:hAnsi="Times New Roman" w:cs="Times New Roman"/>
          <w:b/>
          <w:i/>
          <w:sz w:val="24"/>
        </w:rPr>
        <w:t xml:space="preserve"> </w:t>
      </w:r>
    </w:p>
    <w:p w:rsidR="0052701D" w:rsidRDefault="00D40929">
      <w:pPr>
        <w:spacing w:after="40" w:line="251" w:lineRule="auto"/>
        <w:ind w:left="1964" w:hanging="375"/>
      </w:pPr>
      <w:r>
        <w:rPr>
          <w:rFonts w:ascii="Times New Roman" w:eastAsia="Times New Roman" w:hAnsi="Times New Roman" w:cs="Times New Roman"/>
          <w:b/>
          <w:sz w:val="28"/>
        </w:rPr>
        <w:t>РОЛЬ ИСТОРИЧЕСКОГО</w:t>
      </w:r>
      <w:r>
        <w:rPr>
          <w:rFonts w:ascii="Times New Roman" w:eastAsia="Times New Roman" w:hAnsi="Times New Roman" w:cs="Times New Roman"/>
          <w:b/>
          <w:sz w:val="28"/>
        </w:rPr>
        <w:t xml:space="preserve"> ЗНАНИЯ В ВОСПИТАНИИ ПОТОМСТВА ЧЕРЕЗ УМОЗАКЛЮЧЕНИЕ </w:t>
      </w:r>
    </w:p>
    <w:p w:rsidR="0052701D" w:rsidRDefault="00D40929">
      <w:pPr>
        <w:spacing w:after="16" w:line="248" w:lineRule="auto"/>
        <w:ind w:left="819" w:right="176" w:hanging="10"/>
        <w:jc w:val="center"/>
      </w:pPr>
      <w:r>
        <w:rPr>
          <w:rFonts w:ascii="Times New Roman" w:eastAsia="Times New Roman" w:hAnsi="Times New Roman" w:cs="Times New Roman"/>
          <w:b/>
          <w:sz w:val="24"/>
        </w:rPr>
        <w:t xml:space="preserve">Берлибаев Б.Т. </w:t>
      </w:r>
    </w:p>
    <w:p w:rsidR="0052701D" w:rsidRDefault="00D40929">
      <w:pPr>
        <w:spacing w:after="29" w:line="248" w:lineRule="auto"/>
        <w:ind w:left="970" w:right="14"/>
        <w:jc w:val="both"/>
      </w:pPr>
      <w:r>
        <w:rPr>
          <w:rFonts w:ascii="Times New Roman" w:eastAsia="Times New Roman" w:hAnsi="Times New Roman" w:cs="Times New Roman"/>
          <w:sz w:val="24"/>
        </w:rPr>
        <w:t>НАО «Алматинский университет энергетики и связи имени Гумарбека Даукеева»</w:t>
      </w:r>
      <w:r>
        <w:rPr>
          <w:rFonts w:ascii="Times New Roman" w:eastAsia="Times New Roman" w:hAnsi="Times New Roman" w:cs="Times New Roman"/>
          <w:b/>
          <w:sz w:val="24"/>
        </w:rPr>
        <w:t xml:space="preserve"> </w:t>
      </w:r>
    </w:p>
    <w:p w:rsidR="0052701D" w:rsidRDefault="00D40929">
      <w:pPr>
        <w:spacing w:after="0"/>
        <w:ind w:left="706"/>
        <w:jc w:val="center"/>
      </w:pPr>
      <w:r>
        <w:rPr>
          <w:rFonts w:ascii="Times New Roman" w:eastAsia="Times New Roman" w:hAnsi="Times New Roman" w:cs="Times New Roman"/>
          <w:b/>
          <w:sz w:val="28"/>
        </w:rPr>
        <w:t xml:space="preserve"> </w:t>
      </w:r>
    </w:p>
    <w:p w:rsidR="0052701D" w:rsidRDefault="00D40929">
      <w:pPr>
        <w:spacing w:after="29" w:line="248" w:lineRule="auto"/>
        <w:ind w:left="9" w:firstLine="711"/>
        <w:jc w:val="both"/>
      </w:pPr>
      <w:r>
        <w:rPr>
          <w:rFonts w:ascii="Times New Roman" w:eastAsia="Times New Roman" w:hAnsi="Times New Roman" w:cs="Times New Roman"/>
          <w:b/>
          <w:i/>
          <w:sz w:val="24"/>
        </w:rPr>
        <w:t>Резюме</w:t>
      </w:r>
      <w:r>
        <w:rPr>
          <w:rFonts w:ascii="Times New Roman" w:eastAsia="Times New Roman" w:hAnsi="Times New Roman" w:cs="Times New Roman"/>
          <w:i/>
          <w:sz w:val="24"/>
        </w:rPr>
        <w:t xml:space="preserve">. В данной статье рассматривается роль исторического образования в воспитании подрастающего поколения. </w:t>
      </w:r>
    </w:p>
    <w:p w:rsidR="0052701D" w:rsidRDefault="00D40929">
      <w:pPr>
        <w:spacing w:after="29" w:line="248" w:lineRule="auto"/>
        <w:ind w:left="9" w:firstLine="711"/>
        <w:jc w:val="both"/>
      </w:pPr>
      <w:r>
        <w:rPr>
          <w:rFonts w:ascii="Times New Roman" w:eastAsia="Times New Roman" w:hAnsi="Times New Roman" w:cs="Times New Roman"/>
          <w:i/>
          <w:sz w:val="24"/>
        </w:rPr>
        <w:t>П</w:t>
      </w:r>
      <w:r>
        <w:rPr>
          <w:rFonts w:ascii="Times New Roman" w:eastAsia="Times New Roman" w:hAnsi="Times New Roman" w:cs="Times New Roman"/>
          <w:i/>
          <w:sz w:val="24"/>
        </w:rPr>
        <w:t>о мнению автора статьи, в условиях модернизации исторического образования в Казахстане важно усилить внимание значимости устного народного творчества в формировании личности, где заложены ценные мысли об уважении и почитании детьми родителей, уважении к ст</w:t>
      </w:r>
      <w:r>
        <w:rPr>
          <w:rFonts w:ascii="Times New Roman" w:eastAsia="Times New Roman" w:hAnsi="Times New Roman" w:cs="Times New Roman"/>
          <w:i/>
          <w:sz w:val="24"/>
        </w:rPr>
        <w:t xml:space="preserve">аршим, защите своей Родины, охране своего Отечества.  </w:t>
      </w:r>
    </w:p>
    <w:p w:rsidR="0052701D" w:rsidRDefault="00D40929">
      <w:pPr>
        <w:spacing w:after="29" w:line="248" w:lineRule="auto"/>
        <w:ind w:left="9" w:firstLine="711"/>
        <w:jc w:val="both"/>
      </w:pPr>
      <w:r>
        <w:rPr>
          <w:rFonts w:ascii="Times New Roman" w:eastAsia="Times New Roman" w:hAnsi="Times New Roman" w:cs="Times New Roman"/>
          <w:i/>
          <w:sz w:val="24"/>
        </w:rPr>
        <w:t xml:space="preserve">В статье особая роль отводится произведениям великого Абая, которые способствуют успешному формированию личности. </w:t>
      </w:r>
    </w:p>
    <w:p w:rsidR="0052701D" w:rsidRDefault="00D40929">
      <w:pPr>
        <w:spacing w:after="29" w:line="248" w:lineRule="auto"/>
        <w:ind w:left="9" w:firstLine="711"/>
        <w:jc w:val="both"/>
      </w:pPr>
      <w:r>
        <w:rPr>
          <w:rFonts w:ascii="Times New Roman" w:eastAsia="Times New Roman" w:hAnsi="Times New Roman" w:cs="Times New Roman"/>
          <w:i/>
          <w:sz w:val="24"/>
        </w:rPr>
        <w:t>Автор статьи отмечает, что историческое образование формирует мировоззрение подрастающ</w:t>
      </w:r>
      <w:r>
        <w:rPr>
          <w:rFonts w:ascii="Times New Roman" w:eastAsia="Times New Roman" w:hAnsi="Times New Roman" w:cs="Times New Roman"/>
          <w:i/>
          <w:sz w:val="24"/>
        </w:rPr>
        <w:t xml:space="preserve">его поколения, воспитывает чувство патриотизма, любви к Родине. </w:t>
      </w:r>
    </w:p>
    <w:p w:rsidR="0052701D" w:rsidRDefault="00D40929">
      <w:pPr>
        <w:spacing w:after="29" w:line="248" w:lineRule="auto"/>
        <w:ind w:left="9" w:firstLine="711"/>
        <w:jc w:val="both"/>
      </w:pP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 xml:space="preserve"> культура, образование, историческое образование, история, знатная концепция, афоризм, пословицы и поговорки</w:t>
      </w:r>
      <w:r>
        <w:rPr>
          <w:rFonts w:ascii="Times New Roman" w:eastAsia="Times New Roman" w:hAnsi="Times New Roman" w:cs="Times New Roman"/>
          <w:sz w:val="24"/>
        </w:rPr>
        <w:t xml:space="preserve">. </w:t>
      </w:r>
    </w:p>
    <w:p w:rsidR="0052701D" w:rsidRDefault="00D40929">
      <w:pPr>
        <w:spacing w:after="0"/>
        <w:ind w:left="711"/>
      </w:pPr>
      <w:r>
        <w:rPr>
          <w:rFonts w:ascii="Times New Roman" w:eastAsia="Times New Roman" w:hAnsi="Times New Roman" w:cs="Times New Roman"/>
          <w:sz w:val="24"/>
        </w:rPr>
        <w:t xml:space="preserve"> </w:t>
      </w:r>
    </w:p>
    <w:p w:rsidR="0052701D" w:rsidRDefault="00D40929">
      <w:pPr>
        <w:spacing w:after="21"/>
        <w:ind w:left="711"/>
      </w:pPr>
      <w:r>
        <w:rPr>
          <w:rFonts w:ascii="Times New Roman" w:eastAsia="Times New Roman" w:hAnsi="Times New Roman" w:cs="Times New Roman"/>
          <w:sz w:val="24"/>
        </w:rPr>
        <w:t xml:space="preserve"> </w:t>
      </w:r>
    </w:p>
    <w:p w:rsidR="0052701D" w:rsidRDefault="00D40929">
      <w:pPr>
        <w:spacing w:after="5" w:line="271" w:lineRule="auto"/>
        <w:ind w:left="884" w:firstLine="9"/>
      </w:pPr>
      <w:r>
        <w:rPr>
          <w:rFonts w:ascii="Times New Roman" w:eastAsia="Times New Roman" w:hAnsi="Times New Roman" w:cs="Times New Roman"/>
          <w:b/>
          <w:sz w:val="28"/>
        </w:rPr>
        <w:t xml:space="preserve">THE ROLE OF HISTORICAL KNOWLEDGE IN THE EDUCATION OF </w:t>
      </w:r>
      <w:r>
        <w:rPr>
          <w:rFonts w:ascii="Times New Roman" w:eastAsia="Times New Roman" w:hAnsi="Times New Roman" w:cs="Times New Roman"/>
          <w:b/>
          <w:sz w:val="28"/>
        </w:rPr>
        <w:t xml:space="preserve">GENERATIONS THROUGH PERFECT FORMULATION </w:t>
      </w:r>
    </w:p>
    <w:p w:rsidR="0052701D" w:rsidRDefault="00D40929">
      <w:pPr>
        <w:spacing w:after="0"/>
        <w:ind w:left="706"/>
        <w:jc w:val="center"/>
      </w:pPr>
      <w:r>
        <w:rPr>
          <w:rFonts w:ascii="Times New Roman" w:eastAsia="Times New Roman" w:hAnsi="Times New Roman" w:cs="Times New Roman"/>
          <w:b/>
          <w:sz w:val="28"/>
        </w:rPr>
        <w:t xml:space="preserve"> </w:t>
      </w:r>
    </w:p>
    <w:p w:rsidR="0052701D" w:rsidRDefault="00D40929">
      <w:pPr>
        <w:spacing w:after="16" w:line="248" w:lineRule="auto"/>
        <w:ind w:left="819" w:right="175" w:hanging="10"/>
        <w:jc w:val="center"/>
      </w:pPr>
      <w:r>
        <w:rPr>
          <w:rFonts w:ascii="Times New Roman" w:eastAsia="Times New Roman" w:hAnsi="Times New Roman" w:cs="Times New Roman"/>
          <w:b/>
          <w:sz w:val="24"/>
        </w:rPr>
        <w:t xml:space="preserve">Berlibayev B. T. </w:t>
      </w:r>
    </w:p>
    <w:p w:rsidR="0052701D" w:rsidRDefault="00D40929">
      <w:pPr>
        <w:spacing w:after="29" w:line="248" w:lineRule="auto"/>
        <w:ind w:left="1767" w:right="14"/>
        <w:jc w:val="both"/>
      </w:pPr>
      <w:r>
        <w:rPr>
          <w:rFonts w:ascii="Times New Roman" w:eastAsia="Times New Roman" w:hAnsi="Times New Roman" w:cs="Times New Roman"/>
          <w:sz w:val="24"/>
        </w:rPr>
        <w:t xml:space="preserve">Gumarbek Daukeev Almaty University of energy and communications </w:t>
      </w:r>
    </w:p>
    <w:p w:rsidR="0052701D" w:rsidRDefault="00D40929">
      <w:pPr>
        <w:spacing w:after="0"/>
        <w:ind w:left="711"/>
      </w:pPr>
      <w:r>
        <w:rPr>
          <w:rFonts w:ascii="Times New Roman" w:eastAsia="Times New Roman" w:hAnsi="Times New Roman" w:cs="Times New Roman"/>
          <w:sz w:val="24"/>
        </w:rPr>
        <w:t xml:space="preserve"> </w:t>
      </w:r>
    </w:p>
    <w:p w:rsidR="0052701D" w:rsidRDefault="00D40929">
      <w:pPr>
        <w:spacing w:after="0" w:line="248" w:lineRule="auto"/>
        <w:ind w:left="9" w:firstLine="711"/>
        <w:jc w:val="both"/>
      </w:pPr>
      <w:r>
        <w:rPr>
          <w:rFonts w:ascii="Times New Roman" w:eastAsia="Times New Roman" w:hAnsi="Times New Roman" w:cs="Times New Roman"/>
          <w:b/>
          <w:i/>
          <w:sz w:val="24"/>
        </w:rPr>
        <w:t xml:space="preserve">Summary. </w:t>
      </w:r>
      <w:r>
        <w:rPr>
          <w:rFonts w:ascii="Times New Roman" w:eastAsia="Times New Roman" w:hAnsi="Times New Roman" w:cs="Times New Roman"/>
          <w:i/>
          <w:sz w:val="24"/>
        </w:rPr>
        <w:t>This article discusses the role of historical education in the upbringing of the younger generation.</w:t>
      </w:r>
      <w:r>
        <w:rPr>
          <w:rFonts w:ascii="Times New Roman" w:eastAsia="Times New Roman" w:hAnsi="Times New Roman" w:cs="Times New Roman"/>
          <w:b/>
          <w:i/>
          <w:sz w:val="24"/>
        </w:rPr>
        <w:t xml:space="preserve"> </w:t>
      </w:r>
    </w:p>
    <w:p w:rsidR="0052701D" w:rsidRDefault="00D40929">
      <w:pPr>
        <w:spacing w:after="0" w:line="248" w:lineRule="auto"/>
        <w:ind w:left="9" w:firstLine="711"/>
        <w:jc w:val="both"/>
      </w:pPr>
      <w:r>
        <w:rPr>
          <w:rFonts w:ascii="Times New Roman" w:eastAsia="Times New Roman" w:hAnsi="Times New Roman" w:cs="Times New Roman"/>
          <w:i/>
          <w:sz w:val="24"/>
        </w:rPr>
        <w:t xml:space="preserve"> According to the</w:t>
      </w:r>
      <w:r>
        <w:rPr>
          <w:rFonts w:ascii="Times New Roman" w:eastAsia="Times New Roman" w:hAnsi="Times New Roman" w:cs="Times New Roman"/>
          <w:i/>
          <w:sz w:val="24"/>
        </w:rPr>
        <w:t xml:space="preserve"> author of the article, in the context of the modernization of historical education in Kazakhstan, it is important to increase attention to the importance of oral folk art in the formation of personality, which contains valuable thoughts about respect and </w:t>
      </w:r>
      <w:r>
        <w:rPr>
          <w:rFonts w:ascii="Times New Roman" w:eastAsia="Times New Roman" w:hAnsi="Times New Roman" w:cs="Times New Roman"/>
          <w:i/>
          <w:sz w:val="24"/>
        </w:rPr>
        <w:t xml:space="preserve">reverence for parents by children, respect for elders, protection of their Motherland, protection of their Fatherland. </w:t>
      </w:r>
    </w:p>
    <w:p w:rsidR="0052701D" w:rsidRDefault="00D40929">
      <w:pPr>
        <w:spacing w:after="0" w:line="248" w:lineRule="auto"/>
        <w:ind w:left="9" w:firstLine="711"/>
        <w:jc w:val="both"/>
      </w:pPr>
      <w:r>
        <w:rPr>
          <w:rFonts w:ascii="Times New Roman" w:eastAsia="Times New Roman" w:hAnsi="Times New Roman" w:cs="Times New Roman"/>
          <w:i/>
          <w:sz w:val="24"/>
        </w:rPr>
        <w:t xml:space="preserve">In the article, a special role is given to the works of the great Abai, which contribute to the successful formation of personality. </w:t>
      </w:r>
    </w:p>
    <w:p w:rsidR="0052701D" w:rsidRDefault="00D40929">
      <w:pPr>
        <w:spacing w:after="0" w:line="248" w:lineRule="auto"/>
        <w:ind w:left="9" w:firstLine="711"/>
        <w:jc w:val="both"/>
      </w:pPr>
      <w:r>
        <w:rPr>
          <w:rFonts w:ascii="Times New Roman" w:eastAsia="Times New Roman" w:hAnsi="Times New Roman" w:cs="Times New Roman"/>
          <w:i/>
          <w:sz w:val="24"/>
        </w:rPr>
        <w:t>Th</w:t>
      </w:r>
      <w:r>
        <w:rPr>
          <w:rFonts w:ascii="Times New Roman" w:eastAsia="Times New Roman" w:hAnsi="Times New Roman" w:cs="Times New Roman"/>
          <w:i/>
          <w:sz w:val="24"/>
        </w:rPr>
        <w:t xml:space="preserve">e author of the article notes that historical education forms the worldview of the younger generation, instills a sense of patriotism, love for the Motherland. </w:t>
      </w:r>
    </w:p>
    <w:p w:rsidR="0052701D" w:rsidRDefault="00D40929">
      <w:pPr>
        <w:spacing w:after="79" w:line="248" w:lineRule="auto"/>
        <w:ind w:left="9" w:firstLine="711"/>
        <w:jc w:val="both"/>
      </w:pPr>
      <w:r>
        <w:rPr>
          <w:rFonts w:ascii="Times New Roman" w:eastAsia="Times New Roman" w:hAnsi="Times New Roman" w:cs="Times New Roman"/>
          <w:b/>
          <w:i/>
          <w:sz w:val="24"/>
        </w:rPr>
        <w:t>Key words:</w:t>
      </w:r>
      <w:r>
        <w:rPr>
          <w:rFonts w:ascii="Times New Roman" w:eastAsia="Times New Roman" w:hAnsi="Times New Roman" w:cs="Times New Roman"/>
          <w:i/>
          <w:sz w:val="24"/>
        </w:rPr>
        <w:t xml:space="preserve"> culture, education, historical education, history, noble conception, aphorism, prove</w:t>
      </w:r>
      <w:r>
        <w:rPr>
          <w:rFonts w:ascii="Times New Roman" w:eastAsia="Times New Roman" w:hAnsi="Times New Roman" w:cs="Times New Roman"/>
          <w:i/>
          <w:sz w:val="24"/>
        </w:rPr>
        <w:t xml:space="preserve">rbs and sayings. </w:t>
      </w:r>
    </w:p>
    <w:p w:rsidR="0052701D" w:rsidRDefault="00D40929">
      <w:pPr>
        <w:spacing w:after="75"/>
        <w:ind w:left="711"/>
      </w:pPr>
      <w:r>
        <w:rPr>
          <w:rFonts w:ascii="Times New Roman" w:eastAsia="Times New Roman" w:hAnsi="Times New Roman" w:cs="Times New Roman"/>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1920-2022 жж. Қазақстандағы тарихи білімнің мазмұны ғылыми тұрғыдан анықталып, оның даму бағыттары белгіленді. Ұлттық тарихи білімді пән ретінде </w:t>
      </w:r>
      <w:r>
        <w:rPr>
          <w:rFonts w:ascii="Times New Roman" w:eastAsia="Times New Roman" w:hAnsi="Times New Roman" w:cs="Times New Roman"/>
          <w:sz w:val="28"/>
        </w:rPr>
        <w:lastRenderedPageBreak/>
        <w:t xml:space="preserve">қалыптастыру мен оқытудың жолдары қарастырылумен бірге, оны оқытудағы жаңа әдіс-тәсілдер </w:t>
      </w:r>
      <w:r>
        <w:rPr>
          <w:rFonts w:ascii="Times New Roman" w:eastAsia="Times New Roman" w:hAnsi="Times New Roman" w:cs="Times New Roman"/>
          <w:sz w:val="28"/>
        </w:rPr>
        <w:t>орнықтырылды. Типтік бағдарламалар мен оқу құралдарын шығару жүзеге асырылды. Қазіргі тарихи білімді инновациялық жетілдіру көзқарасымен қарағанда, Кеңес дәуірінде қалыпты практикалық тәжірибе жинақтаған ұлттық тарихи білім, тәуелсіздік жылдары. өзінің тұғ</w:t>
      </w:r>
      <w:r>
        <w:rPr>
          <w:rFonts w:ascii="Times New Roman" w:eastAsia="Times New Roman" w:hAnsi="Times New Roman" w:cs="Times New Roman"/>
          <w:sz w:val="28"/>
        </w:rPr>
        <w:t xml:space="preserve">ырлық мәніне ие болды да оның өрісін кеңейтуге кірісті.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 Сонда, ұлттық тарихи білімнің тұғыры дегеніміз, кең мағынасында алып қарағанда, адамдардың өткен өмір сырларының шындығынан ақпарат алуы болып табылады. Тар мағынасында, ұлттық тарихи білім тұғыры, </w:t>
      </w:r>
      <w:r>
        <w:rPr>
          <w:rFonts w:ascii="Times New Roman" w:eastAsia="Times New Roman" w:hAnsi="Times New Roman" w:cs="Times New Roman"/>
          <w:sz w:val="28"/>
        </w:rPr>
        <w:t>белгілі бір мемлекеттегі тарихи сананы қалыптастырудың негізгі тетігі деген ұғымды білдіреді. Ал тарихи білімнің өзін пәнге айналдыру дегеніміз – адамға қажетті кез-келген кемел тұжырымды әлемдік тәжірибе ретінде өзінің ұрпағына жеткізу. Олай болса, «Жалын</w:t>
      </w:r>
      <w:r>
        <w:rPr>
          <w:rFonts w:ascii="Times New Roman" w:eastAsia="Times New Roman" w:hAnsi="Times New Roman" w:cs="Times New Roman"/>
          <w:sz w:val="28"/>
        </w:rPr>
        <w:t xml:space="preserve"> мен оттан жаралып» өлеңінде Абайдың кемел тұжырымның сырын кәміл ұғынған бала, білімділікке жетпек деген пайымдауы бүгінгі халықаралық ұйымдардың XXI ғасырдағы білім мазмұнының макромоделі «Мәдениет. Білім. Тарих» болсын деген ұсынысымен үндеседі. (Бұл ар</w:t>
      </w:r>
      <w:r>
        <w:rPr>
          <w:rFonts w:ascii="Times New Roman" w:eastAsia="Times New Roman" w:hAnsi="Times New Roman" w:cs="Times New Roman"/>
          <w:sz w:val="28"/>
        </w:rPr>
        <w:t xml:space="preserve">ада, мақала барысында айтылатын «кемел тұжырым» сөзін афоризм деп ұғынған дұрыс).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 XXI ғасырды тәуелсіз ел ретінде бастаған Қазақстанға сол жаңа қоғамды құрушы бүгінгі жастарды өзінің ана тілінде оқытып, тәрбиелеу аса маңызды міндет болып тұр. Оны ойдағыд</w:t>
      </w:r>
      <w:r>
        <w:rPr>
          <w:rFonts w:ascii="Times New Roman" w:eastAsia="Times New Roman" w:hAnsi="Times New Roman" w:cs="Times New Roman"/>
          <w:sz w:val="28"/>
        </w:rPr>
        <w:t>ай жүзеге асыруға қазақтың киелі тұжырымдары арқылы жаңа ұрпақ тәрбиелеудегі тарихи білімнің рөлі одан да зор болып тұр. Себебі біз, оның тарихын жан-жақты білген сайын қазіргі Қазақстандағы жүргізіліл жатқан білім реформасына сәйкес, тарихи білімнің ұлтты</w:t>
      </w:r>
      <w:r>
        <w:rPr>
          <w:rFonts w:ascii="Times New Roman" w:eastAsia="Times New Roman" w:hAnsi="Times New Roman" w:cs="Times New Roman"/>
          <w:sz w:val="28"/>
        </w:rPr>
        <w:t xml:space="preserve">қ моделін қалыптастыру сияқты ауқымды жұмыстың жолын табуға жақындаймыз. Алайда, бұл ойымызға жету үшін қазақтың тарихи білімге қатысты мақал-мәтелдері мен қазақ халқының классик ақыны Абай Құнанбаевтың айтқандарынан аттап кете алмаймыз. </w:t>
      </w:r>
    </w:p>
    <w:p w:rsidR="0052701D" w:rsidRDefault="00D40929">
      <w:pPr>
        <w:spacing w:after="5" w:line="271" w:lineRule="auto"/>
        <w:ind w:left="9" w:right="64" w:firstLine="711"/>
        <w:jc w:val="both"/>
      </w:pPr>
      <w:r>
        <w:rPr>
          <w:rFonts w:ascii="Times New Roman" w:eastAsia="Times New Roman" w:hAnsi="Times New Roman" w:cs="Times New Roman"/>
          <w:sz w:val="28"/>
        </w:rPr>
        <w:t>Ежелден адамдарды</w:t>
      </w:r>
      <w:r>
        <w:rPr>
          <w:rFonts w:ascii="Times New Roman" w:eastAsia="Times New Roman" w:hAnsi="Times New Roman" w:cs="Times New Roman"/>
          <w:sz w:val="28"/>
        </w:rPr>
        <w:t>ң бәріне тәрбиеші тұлғаның бірі-ұстаздық. Қазақ балаларының алғашқы ұстаздары – шешелері мен әкесі, әжесі мен атасы, ағасы мен апасы. «Анау не?», «мынау не?», «бұл қалай?» деген сұрақтарды қоршаған табиғат пен қоғамдық құбылыстардың құпия сырлары туындатса</w:t>
      </w:r>
      <w:r>
        <w:rPr>
          <w:rFonts w:ascii="Times New Roman" w:eastAsia="Times New Roman" w:hAnsi="Times New Roman" w:cs="Times New Roman"/>
          <w:sz w:val="28"/>
        </w:rPr>
        <w:t xml:space="preserve">, есі кіре бастаған бала осындай сұрақтарға әуес. Бұларға жауап беру алғашқы ұстаздардың үлесіне тисе, бұл тізімге қазақ ата-аналарымен бірге «тұңғыш» деп аталатын олардың бірінші болып туған балалары да жатады. Ал балалардың атаәжелері болса, бұлар тіпті </w:t>
      </w:r>
      <w:r>
        <w:rPr>
          <w:rFonts w:ascii="Times New Roman" w:eastAsia="Times New Roman" w:hAnsi="Times New Roman" w:cs="Times New Roman"/>
          <w:sz w:val="28"/>
        </w:rPr>
        <w:t xml:space="preserve">тіл үйретуші ғана емес, өмірден жинаған мол тәжірибелері арқылы бала тарапынан қойылған сұраққа жауап беру барысында </w:t>
      </w:r>
      <w:r>
        <w:rPr>
          <w:rFonts w:ascii="Times New Roman" w:eastAsia="Times New Roman" w:hAnsi="Times New Roman" w:cs="Times New Roman"/>
          <w:sz w:val="28"/>
        </w:rPr>
        <w:lastRenderedPageBreak/>
        <w:t>әлгіні үлкен адам дәрежесіне жетуге ұмтылдырып қана қоймай, оның мінезін де қалыптастыратын нағыз психолог тәрбиешілер болып табылады. Бала</w:t>
      </w:r>
      <w:r>
        <w:rPr>
          <w:rFonts w:ascii="Times New Roman" w:eastAsia="Times New Roman" w:hAnsi="Times New Roman" w:cs="Times New Roman"/>
          <w:sz w:val="28"/>
        </w:rPr>
        <w:t>ны тарихи білімдегі ауызша тарихпен оқытатын да осылар. Жеті атаны тарқатып, өткен өмірдегі бабалардың халқына көрсеткен қызметін дәріптеп, баланың намысын қайрайтын да осы бір дана адамдар. Сонда бұлар, үй маңайындағы тірлікпен бірге, көбінде бала тәрбиес</w:t>
      </w:r>
      <w:r>
        <w:rPr>
          <w:rFonts w:ascii="Times New Roman" w:eastAsia="Times New Roman" w:hAnsi="Times New Roman" w:cs="Times New Roman"/>
          <w:sz w:val="28"/>
        </w:rPr>
        <w:t>імен айналысқан. Медресе мен мектебі кемшіл қазақ елінде баланың, әсіресе шешендікке бейім балалардың жанұядан кейінгі тәрбиесімен өмірлік тәжірибесі мол ауылдың барлық қариялары айналысқан. Бозбала мен бойжеткеннің өзінің ата-әже, әке-шешесінен бөлектеніп</w:t>
      </w:r>
      <w:r>
        <w:rPr>
          <w:rFonts w:ascii="Times New Roman" w:eastAsia="Times New Roman" w:hAnsi="Times New Roman" w:cs="Times New Roman"/>
          <w:sz w:val="28"/>
        </w:rPr>
        <w:t xml:space="preserve">, бір мезгіл сыртта жүргенде, абайламай шалыс басқан жері болса, оны ауылдың кез-келген жасы үлкен қария адамы дұрыс жолға салып жіберіп отырған. Қазақ поэзиясында:  </w:t>
      </w:r>
    </w:p>
    <w:p w:rsidR="0052701D" w:rsidRDefault="00D40929">
      <w:pPr>
        <w:spacing w:after="5" w:line="271" w:lineRule="auto"/>
        <w:ind w:left="711" w:right="5438"/>
        <w:jc w:val="both"/>
      </w:pPr>
      <w:r>
        <w:rPr>
          <w:rFonts w:ascii="Times New Roman" w:eastAsia="Times New Roman" w:hAnsi="Times New Roman" w:cs="Times New Roman"/>
          <w:sz w:val="28"/>
        </w:rPr>
        <w:t xml:space="preserve">«Дүниеге келер бір рет Дария кеуде, тау мүсін. </w:t>
      </w:r>
    </w:p>
    <w:p w:rsidR="0052701D" w:rsidRDefault="00D40929">
      <w:pPr>
        <w:spacing w:after="5" w:line="271" w:lineRule="auto"/>
        <w:ind w:left="711" w:right="64"/>
        <w:jc w:val="both"/>
      </w:pPr>
      <w:r>
        <w:rPr>
          <w:rFonts w:ascii="Times New Roman" w:eastAsia="Times New Roman" w:hAnsi="Times New Roman" w:cs="Times New Roman"/>
          <w:sz w:val="28"/>
        </w:rPr>
        <w:t xml:space="preserve">Құрыштан құрған құдірет-  </w:t>
      </w:r>
    </w:p>
    <w:p w:rsidR="0052701D" w:rsidRDefault="00D40929">
      <w:pPr>
        <w:spacing w:after="5" w:line="271" w:lineRule="auto"/>
        <w:ind w:left="9" w:right="64" w:firstLine="711"/>
        <w:jc w:val="both"/>
      </w:pPr>
      <w:r>
        <w:rPr>
          <w:rFonts w:ascii="Times New Roman" w:eastAsia="Times New Roman" w:hAnsi="Times New Roman" w:cs="Times New Roman"/>
          <w:sz w:val="28"/>
        </w:rPr>
        <w:t>Қарттарым аман</w:t>
      </w:r>
      <w:r>
        <w:rPr>
          <w:rFonts w:ascii="Times New Roman" w:eastAsia="Times New Roman" w:hAnsi="Times New Roman" w:cs="Times New Roman"/>
          <w:sz w:val="28"/>
        </w:rPr>
        <w:t>-сау мысың?!» деген толғау айтылса, [1] оны сол қарттардың ұстаздығына көрсетілген үлкен құрмет ретінде түсінгеніміз абзал. Бала ер жетіп, алыс сапарға шығып келгесін, алдымен бірден ауыл қарттарына сәлем беретін дәстүр де тура сол ақсақалдарға көрсетілген</w:t>
      </w:r>
      <w:r>
        <w:rPr>
          <w:rFonts w:ascii="Times New Roman" w:eastAsia="Times New Roman" w:hAnsi="Times New Roman" w:cs="Times New Roman"/>
          <w:sz w:val="28"/>
        </w:rPr>
        <w:t xml:space="preserve"> құрметтің тағы бір белгісі болып табылады. «Көргенсіз» деген сөз, үлкендердің айтқанынан аттап кетушілерге қаратып айтылған сөз болса керек. Көне көз адамдар ойын балаларына қысқаша әңгіме, ертегі және өзінің өмірде көргендерін айтып беру арқылы қызықтыры</w:t>
      </w:r>
      <w:r>
        <w:rPr>
          <w:rFonts w:ascii="Times New Roman" w:eastAsia="Times New Roman" w:hAnsi="Times New Roman" w:cs="Times New Roman"/>
          <w:sz w:val="28"/>
        </w:rPr>
        <w:t>п, оларды алдымен сөз тыңдай білуге үйретіп, біртіндеп астарлы сөздердің мағынасын білуге баулиды. Бұл мәселені қазақтар баланы көбіне-көп мақал-мәтелдердің байыбына барғызумен шешіп отырған. Бұны, негізі халықтың шешендік мектебінде қаланған тарихи білімн</w:t>
      </w:r>
      <w:r>
        <w:rPr>
          <w:rFonts w:ascii="Times New Roman" w:eastAsia="Times New Roman" w:hAnsi="Times New Roman" w:cs="Times New Roman"/>
          <w:sz w:val="28"/>
        </w:rPr>
        <w:t xml:space="preserve">ің 3 сатысы арқылы жүзеге асырған: </w:t>
      </w:r>
    </w:p>
    <w:p w:rsidR="0052701D" w:rsidRDefault="00D40929">
      <w:pPr>
        <w:spacing w:after="14" w:line="249" w:lineRule="auto"/>
        <w:ind w:left="10" w:right="207" w:hanging="10"/>
        <w:jc w:val="center"/>
      </w:pPr>
      <w:r>
        <w:rPr>
          <w:rFonts w:ascii="Times New Roman" w:eastAsia="Times New Roman" w:hAnsi="Times New Roman" w:cs="Times New Roman"/>
          <w:sz w:val="28"/>
        </w:rPr>
        <w:t xml:space="preserve">І. Балаға ата-анасына мейірімді болуға баулитын мақал-мәтел айту.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«Кірпі баласын «жұмсағым» деп, қарға баласын «аппағым» деп сүйеді», «Қой сүйеді баласын қоңырым деп, қойдан қойға жүгірген момыным деп», «Ешкі» сүйер </w:t>
      </w:r>
      <w:r>
        <w:rPr>
          <w:rFonts w:ascii="Times New Roman" w:eastAsia="Times New Roman" w:hAnsi="Times New Roman" w:cs="Times New Roman"/>
          <w:sz w:val="28"/>
        </w:rPr>
        <w:t>баласын лағым деп, тастан тасқа секірген шұнағым деп», «Енесі тепкен құлынның еті ауырмайды», «Тұлпардың өз тұяғы өзіне май» деген секілді мақал-мәтелдер тобы баласы қандай болса да оған деген ата-ананың мейірін, ықыласын білдірумен бірге анадан балаға бер</w:t>
      </w:r>
      <w:r>
        <w:rPr>
          <w:rFonts w:ascii="Times New Roman" w:eastAsia="Times New Roman" w:hAnsi="Times New Roman" w:cs="Times New Roman"/>
          <w:sz w:val="28"/>
        </w:rPr>
        <w:t xml:space="preserve">ілетін тарихи білімді сезінуге деген абзал ойларды аңғартады; </w:t>
      </w:r>
    </w:p>
    <w:p w:rsidR="0052701D" w:rsidRDefault="00D40929">
      <w:pPr>
        <w:spacing w:after="5" w:line="271" w:lineRule="auto"/>
        <w:ind w:left="711" w:right="64"/>
        <w:jc w:val="both"/>
      </w:pPr>
      <w:r>
        <w:rPr>
          <w:rFonts w:ascii="Times New Roman" w:eastAsia="Times New Roman" w:hAnsi="Times New Roman" w:cs="Times New Roman"/>
          <w:sz w:val="28"/>
        </w:rPr>
        <w:t xml:space="preserve">ІІ. Ел мен жерді қорғауға баулитын мақал-мәтелдер. </w:t>
      </w:r>
    </w:p>
    <w:p w:rsidR="0052701D" w:rsidRDefault="00D40929">
      <w:pPr>
        <w:spacing w:after="5" w:line="271" w:lineRule="auto"/>
        <w:ind w:left="9" w:right="64" w:firstLine="711"/>
        <w:jc w:val="both"/>
      </w:pPr>
      <w:r>
        <w:rPr>
          <w:rFonts w:ascii="Times New Roman" w:eastAsia="Times New Roman" w:hAnsi="Times New Roman" w:cs="Times New Roman"/>
          <w:sz w:val="28"/>
        </w:rPr>
        <w:t>Бұл алыс-жақынды, жақсы мен жаманды айыра білуге баулитын мақалмәтелдерден басталады: «Жығылсаң қой тұяғын төсейді, сиыр мүйізін төсейді», «Ж</w:t>
      </w:r>
      <w:r>
        <w:rPr>
          <w:rFonts w:ascii="Times New Roman" w:eastAsia="Times New Roman" w:hAnsi="Times New Roman" w:cs="Times New Roman"/>
          <w:sz w:val="28"/>
        </w:rPr>
        <w:t xml:space="preserve">ылқы жалын төсейді, түйе шудасын төсейді» деген тәрбиелік сөздер баланы болашақ көлікті таңдай білуге үйретеді. Сол сияқты «Отпен ойнама- </w:t>
      </w:r>
      <w:r>
        <w:rPr>
          <w:rFonts w:ascii="Times New Roman" w:eastAsia="Times New Roman" w:hAnsi="Times New Roman" w:cs="Times New Roman"/>
          <w:sz w:val="28"/>
        </w:rPr>
        <w:lastRenderedPageBreak/>
        <w:t>күйесің, қоянды қума- шаршайсың», «От пен су – тілсіз жау» деп қауіп-қатерден сақтандырады. Немесе, «Көп ойнақтаған бо</w:t>
      </w:r>
      <w:r>
        <w:rPr>
          <w:rFonts w:ascii="Times New Roman" w:eastAsia="Times New Roman" w:hAnsi="Times New Roman" w:cs="Times New Roman"/>
          <w:sz w:val="28"/>
        </w:rPr>
        <w:t xml:space="preserve">та от басады», «Сырын білмеген аттың сыртынан жүрме» деген көсем сөздер жеткіншекті алыс-жақынды айыра білуге шақырып, оны ел мен жерді қорғауға жігерлендіре түседі. </w:t>
      </w:r>
    </w:p>
    <w:p w:rsidR="0052701D" w:rsidRDefault="00D40929">
      <w:pPr>
        <w:spacing w:after="5" w:line="271" w:lineRule="auto"/>
        <w:ind w:left="711" w:right="64"/>
        <w:jc w:val="both"/>
      </w:pPr>
      <w:r>
        <w:rPr>
          <w:rFonts w:ascii="Times New Roman" w:eastAsia="Times New Roman" w:hAnsi="Times New Roman" w:cs="Times New Roman"/>
          <w:sz w:val="28"/>
        </w:rPr>
        <w:t xml:space="preserve">ІІІ. Үлкен ретінде елге қамқоршы болуға итермелейтін мақал-мәтелдер. </w:t>
      </w:r>
    </w:p>
    <w:p w:rsidR="0052701D" w:rsidRDefault="00D40929">
      <w:pPr>
        <w:spacing w:after="5" w:line="271" w:lineRule="auto"/>
        <w:ind w:left="9" w:right="64" w:firstLine="711"/>
        <w:jc w:val="both"/>
      </w:pPr>
      <w:r>
        <w:rPr>
          <w:rFonts w:ascii="Times New Roman" w:eastAsia="Times New Roman" w:hAnsi="Times New Roman" w:cs="Times New Roman"/>
          <w:sz w:val="28"/>
        </w:rPr>
        <w:t>Әуелгі кезде балаға</w:t>
      </w:r>
      <w:r>
        <w:rPr>
          <w:rFonts w:ascii="Times New Roman" w:eastAsia="Times New Roman" w:hAnsi="Times New Roman" w:cs="Times New Roman"/>
          <w:sz w:val="28"/>
        </w:rPr>
        <w:t xml:space="preserve"> ақыл-кеңес, өсиет-насихат түрінде айтылған мақалмәтелдер өңделе, жөнделе келе, бала үлкендер қатарына қосылғанда барлық қоғам мүшелері ғибрат алатын үлгілі де өнегелі сөзге айналады. Бұл кезеңде қоғамның озық ойлы, ақылды, табиғатынан білімді адамдары, ақ</w:t>
      </w:r>
      <w:r>
        <w:rPr>
          <w:rFonts w:ascii="Times New Roman" w:eastAsia="Times New Roman" w:hAnsi="Times New Roman" w:cs="Times New Roman"/>
          <w:sz w:val="28"/>
        </w:rPr>
        <w:t>ындар мен шешендер өзінің замандастарына, келешек ұрпақтарына ақыл-кеңесін, аманатөсиетін мақал-нақыл сөздер арқылы айтқан. «Атадан алтау туғанша жалғыз туса нетеді – елге тұлға боларға, «Қарағайға қарсы бұтақ бітсе нетеді, қыран құсқа тұғыр боларға», «Бір</w:t>
      </w:r>
      <w:r>
        <w:rPr>
          <w:rFonts w:ascii="Times New Roman" w:eastAsia="Times New Roman" w:hAnsi="Times New Roman" w:cs="Times New Roman"/>
          <w:sz w:val="28"/>
        </w:rPr>
        <w:t xml:space="preserve"> бала атаға жете туады, бір бала атадан өте туады, бір бала кері кете туады», деген нақылдар мен қанатты сөздер біз жоғарыда айтқандарды аңғартады. </w:t>
      </w:r>
    </w:p>
    <w:p w:rsidR="0052701D" w:rsidRDefault="00D40929">
      <w:pPr>
        <w:spacing w:after="5" w:line="271" w:lineRule="auto"/>
        <w:ind w:left="9" w:right="64" w:firstLine="711"/>
        <w:jc w:val="both"/>
      </w:pPr>
      <w:r>
        <w:rPr>
          <w:rFonts w:ascii="Times New Roman" w:eastAsia="Times New Roman" w:hAnsi="Times New Roman" w:cs="Times New Roman"/>
          <w:sz w:val="28"/>
        </w:rPr>
        <w:t>Халықтық шешендік мектептің мақалдармен баулу арқылы болатын осы үш кезеңінен өте келе, іріктелген ерекше қ</w:t>
      </w:r>
      <w:r>
        <w:rPr>
          <w:rFonts w:ascii="Times New Roman" w:eastAsia="Times New Roman" w:hAnsi="Times New Roman" w:cs="Times New Roman"/>
          <w:sz w:val="28"/>
        </w:rPr>
        <w:t xml:space="preserve">абілеті бар адамдар, біртіндеп шежіре айту мамандығына-зерделі тарихшы мамандығына жеткен. Оның рөлін билер атқарған. </w:t>
      </w:r>
    </w:p>
    <w:p w:rsidR="0052701D" w:rsidRDefault="00D40929">
      <w:pPr>
        <w:spacing w:after="5" w:line="271" w:lineRule="auto"/>
        <w:ind w:left="9" w:right="64" w:firstLine="711"/>
        <w:jc w:val="both"/>
      </w:pPr>
      <w:r>
        <w:rPr>
          <w:rFonts w:ascii="Times New Roman" w:eastAsia="Times New Roman" w:hAnsi="Times New Roman" w:cs="Times New Roman"/>
          <w:sz w:val="28"/>
        </w:rPr>
        <w:t>Мақалдардың халықтың ащы тәжірибесінің қорытындысынан туындайтынын айтқан тарихшы Қошке Кемеңгерұлы, әлеумет тұрмысы туралы жазбалы мұрал</w:t>
      </w:r>
      <w:r>
        <w:rPr>
          <w:rFonts w:ascii="Times New Roman" w:eastAsia="Times New Roman" w:hAnsi="Times New Roman" w:cs="Times New Roman"/>
          <w:sz w:val="28"/>
        </w:rPr>
        <w:t xml:space="preserve">ары аз халықтар үшін, оларды тарихи құрал ретінде бағалаған [2, </w:t>
      </w:r>
    </w:p>
    <w:p w:rsidR="0052701D" w:rsidRDefault="00D40929">
      <w:pPr>
        <w:spacing w:after="5" w:line="271" w:lineRule="auto"/>
        <w:ind w:left="9" w:right="64"/>
        <w:jc w:val="both"/>
      </w:pPr>
      <w:r>
        <w:rPr>
          <w:rFonts w:ascii="Times New Roman" w:eastAsia="Times New Roman" w:hAnsi="Times New Roman" w:cs="Times New Roman"/>
          <w:sz w:val="28"/>
        </w:rPr>
        <w:t xml:space="preserve">39-б.].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Сонымен, халық жадында «Өзіңді өзің сыйласаң – жат жанынан түңілер» деген көсем сөз бар. Тәуелсіз ел болсақ та, көбіміз осы сөздің байыбына бара алмай жүрсек, онда өзімізді өзіміз </w:t>
      </w:r>
      <w:r>
        <w:rPr>
          <w:rFonts w:ascii="Times New Roman" w:eastAsia="Times New Roman" w:hAnsi="Times New Roman" w:cs="Times New Roman"/>
          <w:sz w:val="28"/>
        </w:rPr>
        <w:t>түсінуді әріден іздеуге тура келеді. Бұған жауап алу үшін тарихқа жүгінеміз. Өйткені тарих өткен өмірді сөз етумен бірге болашаққа да қызмет етеді. Осы орайда, қазақтың ауызша тарихы ұлттық тарихи білімдік ой-сананың негізгі саласы болып табылатынын мойынд</w:t>
      </w:r>
      <w:r>
        <w:rPr>
          <w:rFonts w:ascii="Times New Roman" w:eastAsia="Times New Roman" w:hAnsi="Times New Roman" w:cs="Times New Roman"/>
          <w:sz w:val="28"/>
        </w:rPr>
        <w:t xml:space="preserve">айтын мезгіл жетті. </w:t>
      </w:r>
    </w:p>
    <w:p w:rsidR="0052701D" w:rsidRDefault="00D40929">
      <w:pPr>
        <w:spacing w:after="5" w:line="271" w:lineRule="auto"/>
        <w:ind w:left="9" w:right="64" w:firstLine="711"/>
        <w:jc w:val="both"/>
      </w:pPr>
      <w:r>
        <w:rPr>
          <w:rFonts w:ascii="Times New Roman" w:eastAsia="Times New Roman" w:hAnsi="Times New Roman" w:cs="Times New Roman"/>
          <w:sz w:val="28"/>
        </w:rPr>
        <w:t>Қазақтың ұлы ақыны Абай поэзиясының негізгі ерекшеліктерінің бірі ретінде ондағы кемел тұжырымдар фразеологизмдер мен мақал-мәтелдер түрінде беріліп, соның ішінде ақын тіліне тән, әрі кейінірек афоризмге айналып кеткен нақыл сөздерінің</w:t>
      </w:r>
      <w:r>
        <w:rPr>
          <w:rFonts w:ascii="Times New Roman" w:eastAsia="Times New Roman" w:hAnsi="Times New Roman" w:cs="Times New Roman"/>
          <w:sz w:val="28"/>
        </w:rPr>
        <w:t xml:space="preserve"> көптеп қолданылуын айтуға болады. Абай тілдегі нақыл сөздерді қолданумен бірге өз тарапынан жаңа афоризмдер жасаудағы шеберлігімен де ерекшеленеді. Мақаламызда қазақтың ұлы ақыны Абай қолданған кейбір мақал-мәтелдер мен афоризмдер талданады. Абай </w:t>
      </w:r>
      <w:r>
        <w:rPr>
          <w:rFonts w:ascii="Times New Roman" w:eastAsia="Times New Roman" w:hAnsi="Times New Roman" w:cs="Times New Roman"/>
          <w:sz w:val="28"/>
        </w:rPr>
        <w:lastRenderedPageBreak/>
        <w:t>мақалмәт</w:t>
      </w:r>
      <w:r>
        <w:rPr>
          <w:rFonts w:ascii="Times New Roman" w:eastAsia="Times New Roman" w:hAnsi="Times New Roman" w:cs="Times New Roman"/>
          <w:sz w:val="28"/>
        </w:rPr>
        <w:t xml:space="preserve">елдерді ең көп қолданған ақындардың бірі. Оның ішінде өзінің қаламына тән қолданыстар едәуір көп кездеседі. Біз Абай нақыл сөздерінің бәрін термей, тілімізде жиі жұмсалатындарын ғана ұсынамыз.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Қалың елдің мұқтажын өтейтін мақал-мәтелдер салиқалы ой иесі, </w:t>
      </w:r>
      <w:r>
        <w:rPr>
          <w:rFonts w:ascii="Times New Roman" w:eastAsia="Times New Roman" w:hAnsi="Times New Roman" w:cs="Times New Roman"/>
          <w:sz w:val="28"/>
        </w:rPr>
        <w:t>ділмар шешен, адуын мінезді ақындардың араласуымен де жасалғаны күмәнсіз. Абай Құнанбайұлының «Еңбек қылсаң ерінбей, тояды қарның тіленбей», «Мақтан қума, керек қу», «Сөзіне қарай кісіні ал, кісіге қарап сөз алма», «Біріңді, қазақ, бірің дос, көрмесең істі</w:t>
      </w:r>
      <w:r>
        <w:rPr>
          <w:rFonts w:ascii="Times New Roman" w:eastAsia="Times New Roman" w:hAnsi="Times New Roman" w:cs="Times New Roman"/>
          <w:sz w:val="28"/>
        </w:rPr>
        <w:t>ң бәрі бос» сияқты ойлы тіркестерін халық бұл күнде афоризм, нақыл сөз, тіпті мақал-мәтелдер ретінде қабылдайды. Cол себепті қазіргі күні жиі айтылып, афоризм, нақыл сөзге айналған Абайдың осындай кей өлең жолдары мен сөйлемдерін осында қысқаша беруге ұйға</w:t>
      </w:r>
      <w:r>
        <w:rPr>
          <w:rFonts w:ascii="Times New Roman" w:eastAsia="Times New Roman" w:hAnsi="Times New Roman" w:cs="Times New Roman"/>
          <w:sz w:val="28"/>
        </w:rPr>
        <w:t xml:space="preserve">рдық. </w:t>
      </w:r>
    </w:p>
    <w:p w:rsidR="0052701D" w:rsidRDefault="00D40929">
      <w:pPr>
        <w:spacing w:after="5" w:line="271" w:lineRule="auto"/>
        <w:ind w:left="9" w:right="64" w:firstLine="711"/>
        <w:jc w:val="both"/>
      </w:pPr>
      <w:r>
        <w:rPr>
          <w:rFonts w:ascii="Times New Roman" w:eastAsia="Times New Roman" w:hAnsi="Times New Roman" w:cs="Times New Roman"/>
          <w:sz w:val="28"/>
        </w:rPr>
        <w:t>Абайдың нақыл сөздері топтастырылып берілген кітапша «Абайдың нақыл сөздері» деп аталады. Оны ғалым Құлмат Өмірәлиев 1958 жылы жазған. Мақала түріндегі еңбек 34 беттен тұрады. Көлемі 2,5 баспа табақ. Еңбек «Абайдың нақыл сөздерінің қалыптасу жолдары</w:t>
      </w:r>
      <w:r>
        <w:rPr>
          <w:rFonts w:ascii="Times New Roman" w:eastAsia="Times New Roman" w:hAnsi="Times New Roman" w:cs="Times New Roman"/>
          <w:sz w:val="28"/>
        </w:rPr>
        <w:t>» және «Абайдың нақыл сөздері» деген тақырыптардан тұрады. Онда автор Абай шығармаларында кездесетін тұжырымды ой мен ұтымды ұйқасқа құрылған нақыл сөздерді сала-салаға жіктеп, талдау жасайды, олардың қоғамдық сипатын танытып, әлеуметтік астарын ашады. Қаз</w:t>
      </w:r>
      <w:r>
        <w:rPr>
          <w:rFonts w:ascii="Times New Roman" w:eastAsia="Times New Roman" w:hAnsi="Times New Roman" w:cs="Times New Roman"/>
          <w:sz w:val="28"/>
        </w:rPr>
        <w:t>ақ жазба әдебиетінде нақыл сөздердің негізі Абайдың шығармалары арқылы орныққанын нақты деректермен айғақтайды. Ақынның қысқа қайырымды, мағынасы бай, тәрбиелік мәні орасан зор көркемдік дәрежесі жоғары, айшықты, қанатты сөздерін тарихи қажеттіліктер негіз</w:t>
      </w:r>
      <w:r>
        <w:rPr>
          <w:rFonts w:ascii="Times New Roman" w:eastAsia="Times New Roman" w:hAnsi="Times New Roman" w:cs="Times New Roman"/>
          <w:sz w:val="28"/>
        </w:rPr>
        <w:t>інде туған, уақыт жүгін арқалайтын күнделікті өмірде сүйіспеншілікпен қолданылатын, үлгі-өнеге тұтатын еңбек деп бағалайды. Бұл жұмыста Абай нақыл сөздері «өнер-білімге үндеген сөздері; еңбек тақырыбына құрылған сөздері; адамгершілік туралы; адам мінездері</w:t>
      </w:r>
      <w:r>
        <w:rPr>
          <w:rFonts w:ascii="Times New Roman" w:eastAsia="Times New Roman" w:hAnsi="Times New Roman" w:cs="Times New Roman"/>
          <w:sz w:val="28"/>
        </w:rPr>
        <w:t xml:space="preserve"> туралы; тәрбие туралы» деген тақырыптар бойынша топтастырылып берілген [3, 1 б.]. </w:t>
      </w:r>
    </w:p>
    <w:p w:rsidR="0052701D" w:rsidRDefault="00D40929">
      <w:pPr>
        <w:spacing w:after="5" w:line="271" w:lineRule="auto"/>
        <w:ind w:left="9" w:right="64" w:firstLine="711"/>
        <w:jc w:val="both"/>
      </w:pPr>
      <w:r>
        <w:rPr>
          <w:rFonts w:ascii="Times New Roman" w:eastAsia="Times New Roman" w:hAnsi="Times New Roman" w:cs="Times New Roman"/>
          <w:sz w:val="28"/>
        </w:rPr>
        <w:t>Бұл жұмыс толықтырылып екінші рет «Абайдың нақыл сөздерін оқутәрбие ісінде пайдалану: мұғалімдерге арналған көмекші құрал» деген атпен 1968 жылы қайта басылды. 64 беттен тұ</w:t>
      </w:r>
      <w:r>
        <w:rPr>
          <w:rFonts w:ascii="Times New Roman" w:eastAsia="Times New Roman" w:hAnsi="Times New Roman" w:cs="Times New Roman"/>
          <w:sz w:val="28"/>
        </w:rPr>
        <w:t>ратын кітапша (3,04 баспа табақ) «Абайдың нақыл сөздерін оқу-тәрбие ісінде пайдалану туралы», «Ақынның нақыл сөздері», «Абай афоризмдерінің туу негіздері жайында» деген 3 бөлімнен тұрады. Көмекші құралда Абай өлеңдері мен қара сөздеріндегі нақыл сөздерді ш</w:t>
      </w:r>
      <w:r>
        <w:rPr>
          <w:rFonts w:ascii="Times New Roman" w:eastAsia="Times New Roman" w:hAnsi="Times New Roman" w:cs="Times New Roman"/>
          <w:sz w:val="28"/>
        </w:rPr>
        <w:t>әкірттерге қалай түсіндіру және оларды басқа ақын-жазушылар шығармаларымен байланыстыра оқыту әдістерін ұсынылды. Абайдың нақыл сөздері «Педагогика. Мораль», «Психология. Этика», «Философия. Этика», «Эстетика. Әдебиет» деген жеке тақырыптарға топтастырылға</w:t>
      </w:r>
      <w:r>
        <w:rPr>
          <w:rFonts w:ascii="Times New Roman" w:eastAsia="Times New Roman" w:hAnsi="Times New Roman" w:cs="Times New Roman"/>
          <w:sz w:val="28"/>
        </w:rPr>
        <w:t xml:space="preserve">н [4, 64 б.].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Абайдан терген афоризмдер кітабы «Абай афоризмі» боп 1993 жылы қайта жарияланды. Кітапты баспаға дайындаған белгілі абайтанушы ғалым Мекемтас </w:t>
      </w:r>
      <w:r>
        <w:rPr>
          <w:rFonts w:ascii="Times New Roman" w:eastAsia="Times New Roman" w:hAnsi="Times New Roman" w:cs="Times New Roman"/>
          <w:sz w:val="28"/>
        </w:rPr>
        <w:lastRenderedPageBreak/>
        <w:t>Мырзахметұлы. 1968 жылғы баспадан ерекшелігі Абай нақылдары тобына «Сатиралық сөздер» бөлімі қосылд</w:t>
      </w:r>
      <w:r>
        <w:rPr>
          <w:rFonts w:ascii="Times New Roman" w:eastAsia="Times New Roman" w:hAnsi="Times New Roman" w:cs="Times New Roman"/>
          <w:sz w:val="28"/>
        </w:rPr>
        <w:t>ы. Сонымен қатар Қ.Өмірәлиев пен</w:t>
      </w:r>
    </w:p>
    <w:p w:rsidR="0052701D" w:rsidRDefault="00D40929">
      <w:pPr>
        <w:spacing w:after="5" w:line="271" w:lineRule="auto"/>
        <w:ind w:left="9" w:right="64"/>
        <w:jc w:val="both"/>
      </w:pPr>
      <w:r>
        <w:rPr>
          <w:rFonts w:ascii="Times New Roman" w:eastAsia="Times New Roman" w:hAnsi="Times New Roman" w:cs="Times New Roman"/>
          <w:sz w:val="28"/>
        </w:rPr>
        <w:t xml:space="preserve">М.Мырзахметұлының «Абай және Әуезов, Абай қара сөздері синтаксисіндегі бір ерекшелік, Ұлы ақын туралы бір-екі мағлұмат, Абайдың қарасөздерін оқыту, Екі күймек бір жанға әділет пе?» деген мақалалары да енді [5, 125 б.]. </w:t>
      </w:r>
    </w:p>
    <w:p w:rsidR="0052701D" w:rsidRDefault="00D40929">
      <w:pPr>
        <w:spacing w:after="5" w:line="271" w:lineRule="auto"/>
        <w:ind w:left="9" w:right="64" w:firstLine="711"/>
        <w:jc w:val="both"/>
      </w:pPr>
      <w:r>
        <w:rPr>
          <w:rFonts w:ascii="Times New Roman" w:eastAsia="Times New Roman" w:hAnsi="Times New Roman" w:cs="Times New Roman"/>
          <w:sz w:val="28"/>
        </w:rPr>
        <w:t>Құл</w:t>
      </w:r>
      <w:r>
        <w:rPr>
          <w:rFonts w:ascii="Times New Roman" w:eastAsia="Times New Roman" w:hAnsi="Times New Roman" w:cs="Times New Roman"/>
          <w:sz w:val="28"/>
        </w:rPr>
        <w:t>мат Өмірәлиев: «Ақынның дидактикалық поэзиясының да, дидактикалық- философиялық қара сөздерінің де негізгі тілдік құралы – афоризмдер екені белгілі. Бұлар бір-екі өлең жолында, я бір-екі сөйлем аясында тұжырымдалып отыратын мақал сипаттас көркем сөздер бол</w:t>
      </w:r>
      <w:r>
        <w:rPr>
          <w:rFonts w:ascii="Times New Roman" w:eastAsia="Times New Roman" w:hAnsi="Times New Roman" w:cs="Times New Roman"/>
          <w:sz w:val="28"/>
        </w:rPr>
        <w:t>ып келеді. Осы себепті де оларды ақын өлеңдері мен қара сөздерінің тұтас желісінен үзіп алып қарауға келе береді» [6, 36 б.] деп айтқанындай біз мақал-мәтел сипаттас өлең жолдары мен насихат түріндегі сөйлемдерін осында қысқаша келтіреміз. Абай шығармалары</w:t>
      </w:r>
      <w:r>
        <w:rPr>
          <w:rFonts w:ascii="Times New Roman" w:eastAsia="Times New Roman" w:hAnsi="Times New Roman" w:cs="Times New Roman"/>
          <w:sz w:val="28"/>
        </w:rPr>
        <w:t xml:space="preserve">н қайта бірнеше рет оқып, ұнаған, өзіміз таңдаған жерлерін ұсынамыз. Біз терген нақыл сөздер жекелеген тақырыптарға бөлінбейді, әліпби ретімен а-дан ы-ға дейін беріледі. Әр афоризмнің қай кітаптан, қай беттен алынғаны да да көрсетіледі.  </w:t>
      </w:r>
    </w:p>
    <w:p w:rsidR="0052701D" w:rsidRDefault="00D40929">
      <w:pPr>
        <w:spacing w:after="5" w:line="271" w:lineRule="auto"/>
        <w:ind w:left="9" w:right="64" w:firstLine="711"/>
        <w:jc w:val="both"/>
      </w:pPr>
      <w:r>
        <w:rPr>
          <w:rFonts w:ascii="Times New Roman" w:eastAsia="Times New Roman" w:hAnsi="Times New Roman" w:cs="Times New Roman"/>
          <w:sz w:val="28"/>
        </w:rPr>
        <w:t>Абай халық қазына</w:t>
      </w:r>
      <w:r>
        <w:rPr>
          <w:rFonts w:ascii="Times New Roman" w:eastAsia="Times New Roman" w:hAnsi="Times New Roman" w:cs="Times New Roman"/>
          <w:sz w:val="28"/>
        </w:rPr>
        <w:t>сындағы тұрақты тіркестерді қолданумен бірге өзінің қаламына тән бірқатар фразеологизмдер тудырды. Сол сияқты ойлы, терең мағыналы өлең шумақтары да жеке алынып, Абай афоризмдері, нақыл сөздері және мақалдары ретінде қарастырылып жүр. Әрине, қалың елдің мұ</w:t>
      </w:r>
      <w:r>
        <w:rPr>
          <w:rFonts w:ascii="Times New Roman" w:eastAsia="Times New Roman" w:hAnsi="Times New Roman" w:cs="Times New Roman"/>
          <w:sz w:val="28"/>
        </w:rPr>
        <w:t>қтажын өтейтін мақал-мәтелдер салиқалы ой иесі, ділмар шешен, ақиық ақындардың терең пайымынан пайда болып, қаламынан туындайды. Олардың айтқан түйінді ойлары халық жадында сақталып, мақал ретінде елге таралып та жатады. Әсіресе, Абай Құнанбайұлының «Еңбек</w:t>
      </w:r>
      <w:r>
        <w:rPr>
          <w:rFonts w:ascii="Times New Roman" w:eastAsia="Times New Roman" w:hAnsi="Times New Roman" w:cs="Times New Roman"/>
          <w:sz w:val="28"/>
        </w:rPr>
        <w:t xml:space="preserve"> қылсаң ерінбей, тояды қарның тіленбей», «Мақтан қума, керек қу», «Сөзіне қарай кісіні ал, кісіге қарап сөз алма», «Біріңді, қазақ, бірің дос, көрмесең істің бәрі бос», «Әрбір ғалым хәкім емес, әрбір хәкім – ғалым»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«Бақпен асқан патшадан мимен асқан қара </w:t>
      </w:r>
      <w:r>
        <w:rPr>
          <w:rFonts w:ascii="Times New Roman" w:eastAsia="Times New Roman" w:hAnsi="Times New Roman" w:cs="Times New Roman"/>
          <w:sz w:val="28"/>
        </w:rPr>
        <w:t>артық», «Ғылым таппай мақтанба, орын таппай баптанба», «Еңбекті сат, ар сатып неге керек?» «Қайратсыз ашу – тұл, тұрлаусыз ғашық – тұл, шәкіртсіз ғалым – тұл» сияқты ойлы тіркестерін халық бұл күнде афоризмдер, нақыл сөз, тіпті мақал-мәтелдер ретінде қабыл</w:t>
      </w:r>
      <w:r>
        <w:rPr>
          <w:rFonts w:ascii="Times New Roman" w:eastAsia="Times New Roman" w:hAnsi="Times New Roman" w:cs="Times New Roman"/>
          <w:sz w:val="28"/>
        </w:rPr>
        <w:t>дайды. Қазіргі күні бұл ғибратты сөздері жиі айтылып, афоризм, нақыл сөзге айналып кеткен. Бұлар бір-екі өлең жолында, я бір-екі сөйлем аясында тұжырымдалып отыратын мақал cияқты көркем сөздер болып айтылып жүр. Осындай мақал-мәтел секілді өлең жолдары мен</w:t>
      </w:r>
      <w:r>
        <w:rPr>
          <w:rFonts w:ascii="Times New Roman" w:eastAsia="Times New Roman" w:hAnsi="Times New Roman" w:cs="Times New Roman"/>
          <w:sz w:val="28"/>
        </w:rPr>
        <w:t xml:space="preserve"> насихат түріндегі сөйлемдерін, тұрақты тіркестері мен мақал мәртебесіне ие болғандарын, окказионал қолданыстарын әлі де жинақтап, талдап, шығару жоспарда бар. </w:t>
      </w:r>
    </w:p>
    <w:p w:rsidR="0052701D" w:rsidRDefault="00D40929">
      <w:pPr>
        <w:spacing w:after="5" w:line="271" w:lineRule="auto"/>
        <w:ind w:left="721" w:right="2942" w:hanging="10"/>
      </w:pPr>
      <w:r>
        <w:rPr>
          <w:rFonts w:ascii="Times New Roman" w:eastAsia="Times New Roman" w:hAnsi="Times New Roman" w:cs="Times New Roman"/>
          <w:sz w:val="28"/>
        </w:rPr>
        <w:lastRenderedPageBreak/>
        <w:t>Сол кезіндегі өз дәуірінің сол бір ащы шындығын: «Қараңғылықтың көгіне,  Өрмелеп шығып күн бола</w:t>
      </w:r>
      <w:r>
        <w:rPr>
          <w:rFonts w:ascii="Times New Roman" w:eastAsia="Times New Roman" w:hAnsi="Times New Roman" w:cs="Times New Roman"/>
          <w:sz w:val="28"/>
        </w:rPr>
        <w:t xml:space="preserve">м!  </w:t>
      </w:r>
    </w:p>
    <w:p w:rsidR="0052701D" w:rsidRDefault="00D40929">
      <w:pPr>
        <w:spacing w:after="5" w:line="271" w:lineRule="auto"/>
        <w:ind w:left="711" w:right="64"/>
        <w:jc w:val="both"/>
      </w:pPr>
      <w:r>
        <w:rPr>
          <w:rFonts w:ascii="Times New Roman" w:eastAsia="Times New Roman" w:hAnsi="Times New Roman" w:cs="Times New Roman"/>
          <w:sz w:val="28"/>
        </w:rPr>
        <w:t xml:space="preserve">Қараңғылықтың көгіне  </w:t>
      </w:r>
    </w:p>
    <w:p w:rsidR="0052701D" w:rsidRDefault="00D40929">
      <w:pPr>
        <w:spacing w:after="40" w:line="271" w:lineRule="auto"/>
        <w:ind w:left="9" w:right="64" w:firstLine="711"/>
        <w:jc w:val="both"/>
      </w:pPr>
      <w:r>
        <w:rPr>
          <w:rFonts w:ascii="Times New Roman" w:eastAsia="Times New Roman" w:hAnsi="Times New Roman" w:cs="Times New Roman"/>
          <w:sz w:val="28"/>
        </w:rPr>
        <w:t>Күн болмағанда кім болам?!» деп, бар-жоғы жоғы 27 жыл ғана ғұмыр кешкен жалынды жас ақын-Сұлтанмахмұт Торайғыров сияқты өз дуірінде Аба мен Мағжандардан басқа ешбір ақын тереңінен қозғай алмады. Абай бұл арада: «Содырмалы, соқпа</w:t>
      </w:r>
      <w:r>
        <w:rPr>
          <w:rFonts w:ascii="Times New Roman" w:eastAsia="Times New Roman" w:hAnsi="Times New Roman" w:cs="Times New Roman"/>
          <w:sz w:val="28"/>
        </w:rPr>
        <w:t>қты жерде өстім, Мыңмен жалғыз алыстым-кіна қойма»! деп ашығын айтқан. Десе де Абай, аталары Ырғызбай мен Өскенбай, өз әкесі Құнанбай сияқты би-шешендердің ұрпағы мен текті жерден келін боп түскен әжесі Зеренің немересі болса, Бөжей сияқты ақылымен әйгілен</w:t>
      </w:r>
      <w:r>
        <w:rPr>
          <w:rFonts w:ascii="Times New Roman" w:eastAsia="Times New Roman" w:hAnsi="Times New Roman" w:cs="Times New Roman"/>
          <w:sz w:val="28"/>
        </w:rPr>
        <w:t>ген нағашысының жиені болса, азуы алты қарыс Алшынбайдың күйеу боласы болса, қара сөзден неге түйін түймеске. Негізі Абай, би-шешендердің сөздерінен нәр алып,</w:t>
      </w:r>
    </w:p>
    <w:p w:rsidR="0052701D" w:rsidRDefault="00D40929">
      <w:pPr>
        <w:spacing w:after="5" w:line="271" w:lineRule="auto"/>
        <w:ind w:left="9" w:right="64"/>
        <w:jc w:val="both"/>
      </w:pPr>
      <w:r>
        <w:rPr>
          <w:rFonts w:ascii="Times New Roman" w:eastAsia="Times New Roman" w:hAnsi="Times New Roman" w:cs="Times New Roman"/>
          <w:sz w:val="28"/>
        </w:rPr>
        <w:t>қарапайым қариялардан тәлімі зор қор жинап жүргенде, қазақтың Торайғыровтардан иісі бөлек некен-с</w:t>
      </w:r>
      <w:r>
        <w:rPr>
          <w:rFonts w:ascii="Times New Roman" w:eastAsia="Times New Roman" w:hAnsi="Times New Roman" w:cs="Times New Roman"/>
          <w:sz w:val="28"/>
        </w:rPr>
        <w:t>аяқ, бірен-саран оқығандары болса, патша әкімшілігі оларды мүмкіндігінше шен-шекпен кигізіп марапаттап, өз мемлекетінің мүддесіне ұтымды пайдалануға тырысты. Сол оқыған шолақ белсенділерінің негізгі дені, оқалы киім кигеніне мәз болып, елден пара алып баюд</w:t>
      </w:r>
      <w:r>
        <w:rPr>
          <w:rFonts w:ascii="Times New Roman" w:eastAsia="Times New Roman" w:hAnsi="Times New Roman" w:cs="Times New Roman"/>
          <w:sz w:val="28"/>
        </w:rPr>
        <w:t>ы, мансапқа құмартып-қанығуды ойлап, қалайда оязға жағына жүріп, халықты жаппай алдауды үйренді. Ал тарих желісінің қайда апарып соғарын аңғара білмейтін, әрі қазақтың бұрынғы ел билеу тәжірибелерін қаперіне алмайтын ел ішіндегі өркөкірек те, надан билеуші</w:t>
      </w:r>
      <w:r>
        <w:rPr>
          <w:rFonts w:ascii="Times New Roman" w:eastAsia="Times New Roman" w:hAnsi="Times New Roman" w:cs="Times New Roman"/>
          <w:sz w:val="28"/>
        </w:rPr>
        <w:t>лер болса, түптеп айтқанда қараңғылықтың шырмаған шеңгелінен шыға алмады. Сондағы жастардың жалынына демеу беретін, олардың қиялына қанат бітіріп, өнер мен білімге бастайтын, талантын қайрап топқа қосатын, ғылымға баулып, биікке ұшыратын зиялы ортаның жеті</w:t>
      </w:r>
      <w:r>
        <w:rPr>
          <w:rFonts w:ascii="Times New Roman" w:eastAsia="Times New Roman" w:hAnsi="Times New Roman" w:cs="Times New Roman"/>
          <w:sz w:val="28"/>
        </w:rPr>
        <w:t>мсіздігі болса, тұтастай қазақ қоғамының өркениеттік дамуына қолбайлау болғанын білеміз. Осыны байқаған Абай, өзінің I-ші Қара сөзінде айтқандай, «алысып, жұлысып, айтысып, тартысып, әбден қажып, жалыққаннан» кейінгі жер орта жасқа келгендегі ендігі ермегі</w:t>
      </w:r>
      <w:r>
        <w:rPr>
          <w:rFonts w:ascii="Times New Roman" w:eastAsia="Times New Roman" w:hAnsi="Times New Roman" w:cs="Times New Roman"/>
          <w:sz w:val="28"/>
        </w:rPr>
        <w:t xml:space="preserve"> қалың жұртқа, әсіресе жастарға өмірден өзі көрген «әуірешілдіктен» қорытынды шығарып, рухани азық боларлық өнегелік тәрбие беру болатын. Қазақта қариялар айтатын «Отызда орды бұзбасаң, қырқыңда қамал алмайсың!» деген мәтелі өз өмірінде ұран етіп көтерген </w:t>
      </w:r>
      <w:r>
        <w:rPr>
          <w:rFonts w:ascii="Times New Roman" w:eastAsia="Times New Roman" w:hAnsi="Times New Roman" w:cs="Times New Roman"/>
          <w:sz w:val="28"/>
        </w:rPr>
        <w:t>Абай, сол бір қилы заманның содырмалы, соқпақты күрделі күндерінің өзінде болыс болып ел басқарды, өзі өлең шығарып, домбырамен ән айтып, өнердің осы салалары бойынша шәкірттерін даярлап, өз заманының майталман өнер танушысы әрі данагөйі атанды. Алыстан ат</w:t>
      </w:r>
      <w:r>
        <w:rPr>
          <w:rFonts w:ascii="Times New Roman" w:eastAsia="Times New Roman" w:hAnsi="Times New Roman" w:cs="Times New Roman"/>
          <w:sz w:val="28"/>
        </w:rPr>
        <w:t xml:space="preserve"> сабылтып іздеп келген замандастары мен өнер сүйер қауым одан ақыл кеңес алып, оның даналығын бүкіл елге жеткізді. Сөйтіп ол, отыз бен қырық жасқа қатысты айтқан қариялар сөзін аңсарып, одан тамаша қорытынды шығара білді. Абай, XYII Қара cөзінде өзі ғұлама</w:t>
      </w:r>
      <w:r>
        <w:rPr>
          <w:rFonts w:ascii="Times New Roman" w:eastAsia="Times New Roman" w:hAnsi="Times New Roman" w:cs="Times New Roman"/>
          <w:sz w:val="28"/>
        </w:rPr>
        <w:t xml:space="preserve"> рөлінде төрешілік жасай отырып, өзі қайрат, өзі ақыл, өзі </w:t>
      </w:r>
      <w:r>
        <w:rPr>
          <w:rFonts w:ascii="Times New Roman" w:eastAsia="Times New Roman" w:hAnsi="Times New Roman" w:cs="Times New Roman"/>
          <w:sz w:val="28"/>
        </w:rPr>
        <w:lastRenderedPageBreak/>
        <w:t xml:space="preserve">жүрек болып сөйлегенде бәрібір, жүректің қан тамырларын біріктіріп, бойға қуат беретіні сияқты, бір орталыққа бағынған мықты мемлекетті көргісі келетінін аңғартса, бұл да өз заманының қарияларының </w:t>
      </w:r>
      <w:r>
        <w:rPr>
          <w:rFonts w:ascii="Times New Roman" w:eastAsia="Times New Roman" w:hAnsi="Times New Roman" w:cs="Times New Roman"/>
          <w:sz w:val="28"/>
        </w:rPr>
        <w:t>айтқандарынан нәтиже шығаруға талпынудың белгісі еді. Өйткені оның айналасындағы кеңесші де, ақылшы да, кемеңгер де даланың дана қарияларының айтқан сөздері болатын. Абай, өзінің XXIX Қара сөзінде «біздің қазақтың мақалдарының көбінің іске татырлығы да бар</w:t>
      </w:r>
      <w:r>
        <w:rPr>
          <w:rFonts w:ascii="Times New Roman" w:eastAsia="Times New Roman" w:hAnsi="Times New Roman" w:cs="Times New Roman"/>
          <w:sz w:val="28"/>
        </w:rPr>
        <w:t>, іске татымақ түгіл, не құдайшылыққа, не адамшылыққа жарамайтұғыны да бар» - деп, мүлде қолданысқа жарамсыз мақалдарға дәйекті сипаттама берсе, ондай мақалдар бүгін де артылып жығылады. Мысалы: «Атаңның баласы болма, Адамның баласы бол» деген мақалды алай</w:t>
      </w:r>
      <w:r>
        <w:rPr>
          <w:rFonts w:ascii="Times New Roman" w:eastAsia="Times New Roman" w:hAnsi="Times New Roman" w:cs="Times New Roman"/>
          <w:sz w:val="28"/>
        </w:rPr>
        <w:t xml:space="preserve">ық. Бұны неге «Атаңның баласы екенсің, Адамның да баласы бол» демеске. Осылай десек, атаның да адамның да көңілі қалмақ емес. Немесе, «Өз білмегеніңді кісіден сұра, Үлкен жоқ болса, кішіден сұра» дегеннен гөрі «Өз білмегеніңді қариядан сұра, ол жоқ болса, </w:t>
      </w:r>
      <w:r>
        <w:rPr>
          <w:rFonts w:ascii="Times New Roman" w:eastAsia="Times New Roman" w:hAnsi="Times New Roman" w:cs="Times New Roman"/>
          <w:sz w:val="28"/>
        </w:rPr>
        <w:t xml:space="preserve">Үлкеннен сұра» деген дұрыс емес-пе? Өйткені біле білсек, Ұлы Абайдың қара сөздері мен өлеңдерінің өзегі ел ішіндегі қариялардың адал ниеті мен кең пейілдерінен, дәл солардың ойлау қасиеттері мен шешендік өнерінің жоғарлығынан барып түзілген ғой.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 Сайып ке</w:t>
      </w:r>
      <w:r>
        <w:rPr>
          <w:rFonts w:ascii="Times New Roman" w:eastAsia="Times New Roman" w:hAnsi="Times New Roman" w:cs="Times New Roman"/>
          <w:sz w:val="28"/>
        </w:rPr>
        <w:t>лгенде, тарихи білімге қатысты нақыл сөздер мен мақалмәтелдерді өз шығармаларында жиі қолдану Абай тілі ерекшеліктерінің бірі десек, жалпы айтқанда, баланы астарлы сөздердің мағынасын білуге баулығанда, қазақтар сол баланы көбіне-көп мақал-мәтелдердің байы</w:t>
      </w:r>
      <w:r>
        <w:rPr>
          <w:rFonts w:ascii="Times New Roman" w:eastAsia="Times New Roman" w:hAnsi="Times New Roman" w:cs="Times New Roman"/>
          <w:sz w:val="28"/>
        </w:rPr>
        <w:t xml:space="preserve">бына барғызумен шешіп отырған. </w:t>
      </w:r>
    </w:p>
    <w:p w:rsidR="0052701D" w:rsidRDefault="00D40929">
      <w:pPr>
        <w:spacing w:after="47"/>
      </w:pPr>
      <w:r>
        <w:rPr>
          <w:rFonts w:ascii="Times New Roman" w:eastAsia="Times New Roman" w:hAnsi="Times New Roman" w:cs="Times New Roman"/>
        </w:rPr>
        <w:t xml:space="preserve"> </w:t>
      </w:r>
    </w:p>
    <w:p w:rsidR="0052701D" w:rsidRDefault="00D40929">
      <w:pPr>
        <w:spacing w:after="16" w:line="248" w:lineRule="auto"/>
        <w:ind w:left="819" w:right="179" w:hanging="10"/>
        <w:jc w:val="center"/>
      </w:pPr>
      <w:r>
        <w:rPr>
          <w:rFonts w:ascii="Times New Roman" w:eastAsia="Times New Roman" w:hAnsi="Times New Roman" w:cs="Times New Roman"/>
          <w:b/>
          <w:sz w:val="24"/>
        </w:rPr>
        <w:t xml:space="preserve">ИСТОЧНИКИ </w:t>
      </w:r>
    </w:p>
    <w:p w:rsidR="0052701D" w:rsidRDefault="00D40929">
      <w:pPr>
        <w:numPr>
          <w:ilvl w:val="0"/>
          <w:numId w:val="97"/>
        </w:numPr>
        <w:spacing w:after="29" w:line="248" w:lineRule="auto"/>
        <w:ind w:right="14" w:firstLine="711"/>
        <w:jc w:val="both"/>
      </w:pPr>
      <w:r>
        <w:rPr>
          <w:rFonts w:ascii="Times New Roman" w:eastAsia="Times New Roman" w:hAnsi="Times New Roman" w:cs="Times New Roman"/>
          <w:sz w:val="24"/>
        </w:rPr>
        <w:t xml:space="preserve">Ән-жәрмеңке-Песни народов Казахстана. - Алматы: Жеті жарғы, 1995.- 241 б. </w:t>
      </w:r>
    </w:p>
    <w:p w:rsidR="0052701D" w:rsidRDefault="00D40929">
      <w:pPr>
        <w:numPr>
          <w:ilvl w:val="0"/>
          <w:numId w:val="97"/>
        </w:numPr>
        <w:spacing w:after="29" w:line="248" w:lineRule="auto"/>
        <w:ind w:right="14" w:firstLine="711"/>
        <w:jc w:val="both"/>
      </w:pPr>
      <w:r>
        <w:rPr>
          <w:rFonts w:ascii="Times New Roman" w:eastAsia="Times New Roman" w:hAnsi="Times New Roman" w:cs="Times New Roman"/>
          <w:sz w:val="24"/>
        </w:rPr>
        <w:t xml:space="preserve">Кемеңгерұлы Қ. Қазақ тарихынан // Таңдамалы. «Тарихи тұлғалар сериясы. - Алматы: Қазақстан, 996. - 296 б. </w:t>
      </w:r>
    </w:p>
    <w:p w:rsidR="0052701D" w:rsidRDefault="00D40929">
      <w:pPr>
        <w:numPr>
          <w:ilvl w:val="0"/>
          <w:numId w:val="97"/>
        </w:numPr>
        <w:spacing w:after="29" w:line="248" w:lineRule="auto"/>
        <w:ind w:right="14" w:firstLine="711"/>
        <w:jc w:val="both"/>
      </w:pPr>
      <w:r>
        <w:rPr>
          <w:rFonts w:ascii="Times New Roman" w:eastAsia="Times New Roman" w:hAnsi="Times New Roman" w:cs="Times New Roman"/>
          <w:sz w:val="24"/>
        </w:rPr>
        <w:t xml:space="preserve">Өмірәлиев Қ. Абайдың нақыл </w:t>
      </w:r>
      <w:r>
        <w:rPr>
          <w:rFonts w:ascii="Times New Roman" w:eastAsia="Times New Roman" w:hAnsi="Times New Roman" w:cs="Times New Roman"/>
          <w:sz w:val="24"/>
        </w:rPr>
        <w:t xml:space="preserve">сөздері (афоризмдері). − Алматы: Қазақ ССР саяси және ғылыми білімдер тарату қоғамы, 1958. − 34 б. </w:t>
      </w:r>
    </w:p>
    <w:p w:rsidR="0052701D" w:rsidRDefault="00D40929">
      <w:pPr>
        <w:numPr>
          <w:ilvl w:val="0"/>
          <w:numId w:val="97"/>
        </w:numPr>
        <w:spacing w:after="29" w:line="248" w:lineRule="auto"/>
        <w:ind w:right="14" w:firstLine="711"/>
        <w:jc w:val="both"/>
      </w:pPr>
      <w:r>
        <w:rPr>
          <w:rFonts w:ascii="Times New Roman" w:eastAsia="Times New Roman" w:hAnsi="Times New Roman" w:cs="Times New Roman"/>
          <w:sz w:val="24"/>
        </w:rPr>
        <w:t xml:space="preserve">Абайдың нақыл сөздерін оқу-тәрбие ісінде пайдалану: мұғалімдерге арналған көмекші құрал / Қ. Өміралиев. - Алматы: Мектеп, 1968. - 64 б. </w:t>
      </w:r>
    </w:p>
    <w:p w:rsidR="0052701D" w:rsidRDefault="00D40929">
      <w:pPr>
        <w:numPr>
          <w:ilvl w:val="0"/>
          <w:numId w:val="97"/>
        </w:numPr>
        <w:spacing w:after="29" w:line="248" w:lineRule="auto"/>
        <w:ind w:right="14" w:firstLine="711"/>
        <w:jc w:val="both"/>
      </w:pPr>
      <w:r>
        <w:rPr>
          <w:rFonts w:ascii="Times New Roman" w:eastAsia="Times New Roman" w:hAnsi="Times New Roman" w:cs="Times New Roman"/>
          <w:sz w:val="24"/>
        </w:rPr>
        <w:t xml:space="preserve">Ол да сонда, 36 б. </w:t>
      </w:r>
      <w:r>
        <w:rPr>
          <w:rFonts w:ascii="Times New Roman" w:eastAsia="Times New Roman" w:hAnsi="Times New Roman" w:cs="Times New Roman"/>
          <w:sz w:val="24"/>
        </w:rPr>
        <w:t xml:space="preserve"> </w:t>
      </w:r>
    </w:p>
    <w:p w:rsidR="0052701D" w:rsidRDefault="00D40929">
      <w:pPr>
        <w:numPr>
          <w:ilvl w:val="0"/>
          <w:numId w:val="97"/>
        </w:numPr>
        <w:spacing w:after="76" w:line="248" w:lineRule="auto"/>
        <w:ind w:right="14" w:firstLine="711"/>
        <w:jc w:val="both"/>
      </w:pPr>
      <w:r>
        <w:rPr>
          <w:rFonts w:ascii="Times New Roman" w:eastAsia="Times New Roman" w:hAnsi="Times New Roman" w:cs="Times New Roman"/>
          <w:sz w:val="24"/>
        </w:rPr>
        <w:t xml:space="preserve">Абай афоризмі / Қ. Өмірәлиев. - Алматы: Қазақстан, 1993. - 128 б. </w:t>
      </w:r>
    </w:p>
    <w:p w:rsidR="0052701D" w:rsidRDefault="00D40929">
      <w:pPr>
        <w:spacing w:after="84"/>
        <w:ind w:left="711"/>
      </w:pPr>
      <w:r>
        <w:rPr>
          <w:rFonts w:ascii="Times New Roman" w:eastAsia="Times New Roman" w:hAnsi="Times New Roman" w:cs="Times New Roman"/>
        </w:rPr>
        <w:t xml:space="preserve"> </w:t>
      </w:r>
    </w:p>
    <w:p w:rsidR="0052701D" w:rsidRDefault="00D40929">
      <w:pPr>
        <w:spacing w:after="21"/>
        <w:ind w:left="711"/>
      </w:pPr>
      <w:r>
        <w:rPr>
          <w:rFonts w:ascii="Times New Roman" w:eastAsia="Times New Roman" w:hAnsi="Times New Roman" w:cs="Times New Roman"/>
        </w:rPr>
        <w:t xml:space="preserve"> </w:t>
      </w:r>
    </w:p>
    <w:p w:rsidR="0052701D" w:rsidRDefault="00D40929">
      <w:pPr>
        <w:spacing w:after="4" w:line="271" w:lineRule="auto"/>
        <w:ind w:left="-5" w:right="194" w:hanging="10"/>
      </w:pPr>
      <w:r>
        <w:rPr>
          <w:rFonts w:ascii="Times New Roman" w:eastAsia="Times New Roman" w:hAnsi="Times New Roman" w:cs="Times New Roman"/>
          <w:b/>
          <w:sz w:val="24"/>
        </w:rPr>
        <w:t xml:space="preserve">МРНТИ 02.71       УДК 02 </w:t>
      </w:r>
    </w:p>
    <w:p w:rsidR="0052701D" w:rsidRDefault="00D40929">
      <w:pPr>
        <w:spacing w:after="36"/>
        <w:ind w:left="711"/>
      </w:pPr>
      <w:r>
        <w:rPr>
          <w:rFonts w:ascii="Times New Roman" w:eastAsia="Times New Roman" w:hAnsi="Times New Roman" w:cs="Times New Roman"/>
          <w:sz w:val="28"/>
        </w:rPr>
        <w:t xml:space="preserve">                                          </w:t>
      </w:r>
    </w:p>
    <w:p w:rsidR="0052701D" w:rsidRDefault="00D40929">
      <w:pPr>
        <w:pStyle w:val="1"/>
        <w:spacing w:line="251" w:lineRule="auto"/>
        <w:ind w:left="1628" w:right="0" w:firstLine="9"/>
        <w:jc w:val="left"/>
      </w:pPr>
      <w:r>
        <w:t xml:space="preserve">ИСТОКИ ИДЕИ РЕЛИГИОЗНОЙ ТОЛЕРАНТНОСТИ </w:t>
      </w:r>
    </w:p>
    <w:p w:rsidR="0052701D" w:rsidRDefault="00D40929">
      <w:pPr>
        <w:spacing w:after="33"/>
        <w:ind w:left="696"/>
        <w:jc w:val="center"/>
      </w:pPr>
      <w:r>
        <w:rPr>
          <w:rFonts w:ascii="Times New Roman" w:eastAsia="Times New Roman" w:hAnsi="Times New Roman" w:cs="Times New Roman"/>
          <w:sz w:val="24"/>
        </w:rPr>
        <w:t xml:space="preserve"> </w:t>
      </w:r>
    </w:p>
    <w:p w:rsidR="0052701D" w:rsidRDefault="00D40929">
      <w:pPr>
        <w:spacing w:after="16" w:line="248" w:lineRule="auto"/>
        <w:ind w:left="819" w:right="174" w:hanging="10"/>
        <w:jc w:val="center"/>
      </w:pPr>
      <w:r>
        <w:rPr>
          <w:rFonts w:ascii="Times New Roman" w:eastAsia="Times New Roman" w:hAnsi="Times New Roman" w:cs="Times New Roman"/>
          <w:b/>
          <w:sz w:val="24"/>
        </w:rPr>
        <w:lastRenderedPageBreak/>
        <w:t xml:space="preserve">Ж.И.Даулбаева¹, Г.А.Абрахматова² </w:t>
      </w:r>
    </w:p>
    <w:p w:rsidR="0052701D" w:rsidRDefault="00D40929">
      <w:pPr>
        <w:spacing w:after="14" w:line="248" w:lineRule="auto"/>
        <w:ind w:left="713" w:right="74" w:hanging="5"/>
        <w:jc w:val="center"/>
      </w:pPr>
      <w:r>
        <w:rPr>
          <w:rFonts w:ascii="Times New Roman" w:eastAsia="Times New Roman" w:hAnsi="Times New Roman" w:cs="Times New Roman"/>
          <w:sz w:val="24"/>
        </w:rPr>
        <w:t xml:space="preserve">¹НАО Медицинский Университет Астана, </w:t>
      </w:r>
    </w:p>
    <w:p w:rsidR="0052701D" w:rsidRDefault="00D40929">
      <w:pPr>
        <w:spacing w:after="14" w:line="248" w:lineRule="auto"/>
        <w:ind w:left="713" w:right="210" w:hanging="5"/>
        <w:jc w:val="center"/>
      </w:pPr>
      <w:r>
        <w:rPr>
          <w:rFonts w:ascii="Times New Roman" w:eastAsia="Times New Roman" w:hAnsi="Times New Roman" w:cs="Times New Roman"/>
          <w:sz w:val="24"/>
        </w:rPr>
        <w:t xml:space="preserve">²Алматинский университет энергетики и связи им. Г. Даукеева, г.Алматы, d_jannat@mail.ru abrahmatova-g@mail.ru. </w:t>
      </w:r>
    </w:p>
    <w:p w:rsidR="0052701D" w:rsidRDefault="00D40929">
      <w:pPr>
        <w:spacing w:after="18"/>
        <w:ind w:left="711"/>
      </w:pPr>
      <w:r>
        <w:rPr>
          <w:rFonts w:ascii="Times New Roman" w:eastAsia="Times New Roman" w:hAnsi="Times New Roman" w:cs="Times New Roman"/>
          <w:sz w:val="24"/>
        </w:rPr>
        <w:t xml:space="preserve"> </w:t>
      </w:r>
    </w:p>
    <w:p w:rsidR="0052701D" w:rsidRDefault="00D40929">
      <w:pPr>
        <w:spacing w:after="29" w:line="248" w:lineRule="auto"/>
        <w:ind w:left="9" w:firstLine="711"/>
        <w:jc w:val="both"/>
      </w:pPr>
      <w:r>
        <w:rPr>
          <w:rFonts w:ascii="Times New Roman" w:eastAsia="Times New Roman" w:hAnsi="Times New Roman" w:cs="Times New Roman"/>
          <w:b/>
          <w:i/>
          <w:sz w:val="24"/>
        </w:rPr>
        <w:t>Аннотация.</w:t>
      </w:r>
      <w:r>
        <w:rPr>
          <w:rFonts w:ascii="Times New Roman" w:eastAsia="Times New Roman" w:hAnsi="Times New Roman" w:cs="Times New Roman"/>
          <w:i/>
          <w:sz w:val="24"/>
        </w:rPr>
        <w:t xml:space="preserve">  Данная статья посвящена теме формирования идеи толерантности в истории философии. Религиозные воззрения дают ясные и определенные </w:t>
      </w:r>
      <w:r>
        <w:rPr>
          <w:rFonts w:ascii="Times New Roman" w:eastAsia="Times New Roman" w:hAnsi="Times New Roman" w:cs="Times New Roman"/>
          <w:i/>
          <w:sz w:val="24"/>
        </w:rPr>
        <w:t>ориентиры, ощущение "дома" и порядка в сознании, но не всегда выполняют консолидирующую, объединяющую роль. Это особенно важно, если речь идет о религиозных компонентах мультикультурного государства. Авторы считают, что формирование идеи толерантности напр</w:t>
      </w:r>
      <w:r>
        <w:rPr>
          <w:rFonts w:ascii="Times New Roman" w:eastAsia="Times New Roman" w:hAnsi="Times New Roman" w:cs="Times New Roman"/>
          <w:i/>
          <w:sz w:val="24"/>
        </w:rPr>
        <w:t>ямую связано с основной философской проблемой человечества: что лучше для развития общества - идея, объединяющая людей или свобода каждого? Истоки же идеи религиозной толерантности берут свое начало с Древней Греции, в дальнейшем они отстаивались в произве</w:t>
      </w:r>
      <w:r>
        <w:rPr>
          <w:rFonts w:ascii="Times New Roman" w:eastAsia="Times New Roman" w:hAnsi="Times New Roman" w:cs="Times New Roman"/>
          <w:i/>
          <w:sz w:val="24"/>
        </w:rPr>
        <w:t>дениях П. Абеляра, М. Падуанского, Н. Кузанского. Классическое понимание идеи религиозной толерантности были заложены мыслителями-деистами XVII века. В дальнейшем эти идеи нашли свое проявление в этике ненасилия, в идее терпимости к чужим позициям. Эта цен</w:t>
      </w:r>
      <w:r>
        <w:rPr>
          <w:rFonts w:ascii="Times New Roman" w:eastAsia="Times New Roman" w:hAnsi="Times New Roman" w:cs="Times New Roman"/>
          <w:i/>
          <w:sz w:val="24"/>
        </w:rPr>
        <w:t xml:space="preserve">ность, необходимость которой продиктована вопросами выживания человечества.   </w:t>
      </w:r>
    </w:p>
    <w:p w:rsidR="0052701D" w:rsidRDefault="00D40929">
      <w:pPr>
        <w:spacing w:after="29" w:line="248" w:lineRule="auto"/>
        <w:ind w:left="9" w:firstLine="711"/>
        <w:jc w:val="both"/>
      </w:pP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 xml:space="preserve"> толерантность, религиозная толерантность, терпимость, мирное сосуществование, религия. </w:t>
      </w:r>
    </w:p>
    <w:p w:rsidR="0052701D" w:rsidRDefault="00D40929">
      <w:pPr>
        <w:spacing w:after="0"/>
        <w:ind w:left="711"/>
      </w:pPr>
      <w:r>
        <w:rPr>
          <w:rFonts w:ascii="Times New Roman" w:eastAsia="Times New Roman" w:hAnsi="Times New Roman" w:cs="Times New Roman"/>
          <w:sz w:val="24"/>
        </w:rPr>
        <w:t xml:space="preserve">  </w:t>
      </w:r>
    </w:p>
    <w:p w:rsidR="0052701D" w:rsidRDefault="00D40929">
      <w:pPr>
        <w:spacing w:after="21"/>
        <w:ind w:left="711"/>
      </w:pPr>
      <w:r>
        <w:rPr>
          <w:rFonts w:ascii="Times New Roman" w:eastAsia="Times New Roman" w:hAnsi="Times New Roman" w:cs="Times New Roman"/>
          <w:sz w:val="24"/>
        </w:rPr>
        <w:t xml:space="preserve"> </w:t>
      </w:r>
    </w:p>
    <w:p w:rsidR="0052701D" w:rsidRDefault="00D40929">
      <w:pPr>
        <w:spacing w:after="5" w:line="251" w:lineRule="auto"/>
        <w:ind w:left="1306" w:firstLine="9"/>
      </w:pPr>
      <w:r>
        <w:rPr>
          <w:rFonts w:ascii="Times New Roman" w:eastAsia="Times New Roman" w:hAnsi="Times New Roman" w:cs="Times New Roman"/>
          <w:b/>
          <w:sz w:val="28"/>
        </w:rPr>
        <w:t xml:space="preserve">THE ORIGINS OF THE IDEA OF RELIGIOUS TOLERANCE </w:t>
      </w:r>
    </w:p>
    <w:p w:rsidR="0052701D" w:rsidRDefault="00D40929">
      <w:pPr>
        <w:spacing w:after="0"/>
        <w:ind w:left="706"/>
        <w:jc w:val="center"/>
      </w:pPr>
      <w:r>
        <w:rPr>
          <w:rFonts w:ascii="Times New Roman" w:eastAsia="Times New Roman" w:hAnsi="Times New Roman" w:cs="Times New Roman"/>
          <w:b/>
          <w:sz w:val="28"/>
        </w:rPr>
        <w:t xml:space="preserve"> </w:t>
      </w:r>
    </w:p>
    <w:p w:rsidR="0052701D" w:rsidRDefault="00D40929">
      <w:pPr>
        <w:spacing w:after="16" w:line="248" w:lineRule="auto"/>
        <w:ind w:left="819" w:right="175" w:hanging="10"/>
        <w:jc w:val="center"/>
      </w:pPr>
      <w:r>
        <w:rPr>
          <w:rFonts w:ascii="Times New Roman" w:eastAsia="Times New Roman" w:hAnsi="Times New Roman" w:cs="Times New Roman"/>
          <w:b/>
          <w:sz w:val="24"/>
        </w:rPr>
        <w:t xml:space="preserve">Zh.I.Daulbaeva </w:t>
      </w:r>
      <w:r>
        <w:rPr>
          <w:rFonts w:ascii="Times New Roman" w:eastAsia="Times New Roman" w:hAnsi="Times New Roman" w:cs="Times New Roman"/>
          <w:b/>
          <w:sz w:val="24"/>
          <w:vertAlign w:val="superscript"/>
        </w:rPr>
        <w:footnoteReference w:id="3"/>
      </w:r>
      <w:r>
        <w:rPr>
          <w:rFonts w:ascii="Times New Roman" w:eastAsia="Times New Roman" w:hAnsi="Times New Roman" w:cs="Times New Roman"/>
          <w:b/>
          <w:sz w:val="24"/>
        </w:rPr>
        <w:t xml:space="preserve">, </w:t>
      </w:r>
      <w:r>
        <w:rPr>
          <w:rFonts w:ascii="Times New Roman" w:eastAsia="Times New Roman" w:hAnsi="Times New Roman" w:cs="Times New Roman"/>
          <w:b/>
          <w:sz w:val="24"/>
        </w:rPr>
        <w:t>G.A.Abrakhmatova</w:t>
      </w:r>
      <w:r>
        <w:rPr>
          <w:rFonts w:ascii="Times New Roman" w:eastAsia="Times New Roman" w:hAnsi="Times New Roman" w:cs="Times New Roman"/>
          <w:sz w:val="24"/>
        </w:rPr>
        <w:t xml:space="preserve"> </w:t>
      </w:r>
      <w:r>
        <w:rPr>
          <w:rFonts w:ascii="Times New Roman" w:eastAsia="Times New Roman" w:hAnsi="Times New Roman" w:cs="Times New Roman"/>
          <w:sz w:val="24"/>
          <w:vertAlign w:val="superscript"/>
        </w:rPr>
        <w:footnoteReference w:id="4"/>
      </w:r>
      <w:r>
        <w:rPr>
          <w:rFonts w:ascii="Times New Roman" w:eastAsia="Times New Roman" w:hAnsi="Times New Roman" w:cs="Times New Roman"/>
          <w:sz w:val="24"/>
        </w:rPr>
        <w:t xml:space="preserve"> </w:t>
      </w:r>
    </w:p>
    <w:p w:rsidR="0052701D" w:rsidRDefault="00D40929">
      <w:pPr>
        <w:spacing w:after="0" w:line="248" w:lineRule="auto"/>
        <w:ind w:left="9" w:firstLine="711"/>
        <w:jc w:val="both"/>
      </w:pPr>
      <w:r>
        <w:rPr>
          <w:rFonts w:ascii="Times New Roman" w:eastAsia="Times New Roman" w:hAnsi="Times New Roman" w:cs="Times New Roman"/>
          <w:b/>
          <w:i/>
          <w:sz w:val="24"/>
        </w:rPr>
        <w:t>SUMMARY</w:t>
      </w:r>
      <w:r>
        <w:rPr>
          <w:rFonts w:ascii="Times New Roman" w:eastAsia="Times New Roman" w:hAnsi="Times New Roman" w:cs="Times New Roman"/>
          <w:i/>
          <w:sz w:val="24"/>
        </w:rPr>
        <w:t xml:space="preserve">. The article is devoted to the topic about the formation of the tolerance idea in the history of philosophy. Religious outlook give clear and definite guidelines, a sense of "home" and order in the mind. However, religion far </w:t>
      </w:r>
      <w:r>
        <w:rPr>
          <w:rFonts w:ascii="Times New Roman" w:eastAsia="Times New Roman" w:hAnsi="Times New Roman" w:cs="Times New Roman"/>
          <w:i/>
          <w:sz w:val="24"/>
        </w:rPr>
        <w:t xml:space="preserve">from always be a consolidating, unifying thing. This is especially important in a multicultural state. The authors believe that the formation of the idea of tolerance is directly related to the main philosophical problem of mankind: what is better for the </w:t>
      </w:r>
      <w:r>
        <w:rPr>
          <w:rFonts w:ascii="Times New Roman" w:eastAsia="Times New Roman" w:hAnsi="Times New Roman" w:cs="Times New Roman"/>
          <w:i/>
          <w:sz w:val="24"/>
        </w:rPr>
        <w:t>development of society - an idea that unites people or freedom for everyone? The idea of religious tolerance originate from Ancient Greece, later they were defended in the works of P. Abelard, M. Padua, N. of Cusa. The classical understanding of the idea o</w:t>
      </w:r>
      <w:r>
        <w:rPr>
          <w:rFonts w:ascii="Times New Roman" w:eastAsia="Times New Roman" w:hAnsi="Times New Roman" w:cs="Times New Roman"/>
          <w:i/>
          <w:sz w:val="24"/>
        </w:rPr>
        <w:t>f religious tolerance was laid down by the deist thinkers of the 17th century. Later, these ideas found their manifestation in the ethics of nonviolence, in the idea of tolerance for other people's positions. This is the biggest value, which is needed beca</w:t>
      </w:r>
      <w:r>
        <w:rPr>
          <w:rFonts w:ascii="Times New Roman" w:eastAsia="Times New Roman" w:hAnsi="Times New Roman" w:cs="Times New Roman"/>
          <w:i/>
          <w:sz w:val="24"/>
        </w:rPr>
        <w:t xml:space="preserve">use of the survival of mankind. </w:t>
      </w:r>
    </w:p>
    <w:p w:rsidR="0052701D" w:rsidRDefault="00D40929">
      <w:pPr>
        <w:spacing w:after="81" w:line="248" w:lineRule="auto"/>
        <w:ind w:left="711"/>
        <w:jc w:val="both"/>
      </w:pPr>
      <w:r>
        <w:rPr>
          <w:rFonts w:ascii="Times New Roman" w:eastAsia="Times New Roman" w:hAnsi="Times New Roman" w:cs="Times New Roman"/>
          <w:b/>
          <w:i/>
          <w:sz w:val="24"/>
        </w:rPr>
        <w:t>Keywords:</w:t>
      </w:r>
      <w:r>
        <w:rPr>
          <w:rFonts w:ascii="Times New Roman" w:eastAsia="Times New Roman" w:hAnsi="Times New Roman" w:cs="Times New Roman"/>
          <w:i/>
          <w:sz w:val="24"/>
        </w:rPr>
        <w:t xml:space="preserve"> faith, tolerance, religious tolerance, tolerance, peaceful coexistence, religion </w:t>
      </w:r>
    </w:p>
    <w:p w:rsidR="0052701D" w:rsidRDefault="00D40929">
      <w:pPr>
        <w:spacing w:after="82"/>
        <w:ind w:left="711"/>
      </w:pPr>
      <w:r>
        <w:rPr>
          <w:rFonts w:ascii="Times New Roman" w:eastAsia="Times New Roman" w:hAnsi="Times New Roman" w:cs="Times New Roman"/>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Религия есть одна из составляющих компонентов в нашем мультикультурном и многоконфессиональном обществе. Религиозная толерантност</w:t>
      </w:r>
      <w:r>
        <w:rPr>
          <w:rFonts w:ascii="Times New Roman" w:eastAsia="Times New Roman" w:hAnsi="Times New Roman" w:cs="Times New Roman"/>
          <w:sz w:val="28"/>
        </w:rPr>
        <w:t>ь, находящая свое проявление в этике ненасилия, в идее терпимости к чужим позициям становится ценностью, необходимость которой продиктована вопросами выживания человечества. Поэтому особо важной является задача воспитания толерантности как основы межконфес</w:t>
      </w:r>
      <w:r>
        <w:rPr>
          <w:rFonts w:ascii="Times New Roman" w:eastAsia="Times New Roman" w:hAnsi="Times New Roman" w:cs="Times New Roman"/>
          <w:sz w:val="28"/>
        </w:rPr>
        <w:t xml:space="preserve">сионального и межэтнического диалога. </w:t>
      </w:r>
    </w:p>
    <w:p w:rsidR="0052701D" w:rsidRDefault="00D40929">
      <w:pPr>
        <w:spacing w:after="5" w:line="271" w:lineRule="auto"/>
        <w:ind w:left="9" w:right="64" w:firstLine="711"/>
        <w:jc w:val="both"/>
      </w:pPr>
      <w:r>
        <w:rPr>
          <w:rFonts w:ascii="Times New Roman" w:eastAsia="Times New Roman" w:hAnsi="Times New Roman" w:cs="Times New Roman"/>
          <w:sz w:val="28"/>
        </w:rPr>
        <w:lastRenderedPageBreak/>
        <w:t>В странах постсоветского пространства идеологический вакуум стал заполняться с космической скоростью различными мирообъясняющими течениями, большей частью религиозными. Религиозные системы дают ясные и определенные ор</w:t>
      </w:r>
      <w:r>
        <w:rPr>
          <w:rFonts w:ascii="Times New Roman" w:eastAsia="Times New Roman" w:hAnsi="Times New Roman" w:cs="Times New Roman"/>
          <w:sz w:val="28"/>
        </w:rPr>
        <w:t>иентиры, ощущение "дома" и порядка в сознании. Но, как показывает история, они не всегда выполняют консолидирующую роль, временами напротив, вызывая разной степени разногласия. Особенно, если дело касается монотеистических религий, предлагающих особый опыт</w:t>
      </w:r>
      <w:r>
        <w:rPr>
          <w:rFonts w:ascii="Times New Roman" w:eastAsia="Times New Roman" w:hAnsi="Times New Roman" w:cs="Times New Roman"/>
          <w:sz w:val="28"/>
        </w:rPr>
        <w:t xml:space="preserve"> и чувство священного, претендующих на исключительность и монополию на истину. В сущности, истинная вера Должна порождать милосердие, терпимость. Но на деле нередки случаи, когда религиозный человек впадает в соблазн ощущения "богоизбранности", что автомат</w:t>
      </w:r>
      <w:r>
        <w:rPr>
          <w:rFonts w:ascii="Times New Roman" w:eastAsia="Times New Roman" w:hAnsi="Times New Roman" w:cs="Times New Roman"/>
          <w:sz w:val="28"/>
        </w:rPr>
        <w:t xml:space="preserve">ически отделяет его от "Других" и более того, примеряет на себя частицу могущества Бога.  </w:t>
      </w:r>
    </w:p>
    <w:p w:rsidR="0052701D" w:rsidRDefault="00D40929">
      <w:pPr>
        <w:spacing w:after="5" w:line="271" w:lineRule="auto"/>
        <w:ind w:left="9" w:right="64" w:firstLine="711"/>
        <w:jc w:val="both"/>
      </w:pPr>
      <w:r>
        <w:rPr>
          <w:rFonts w:ascii="Times New Roman" w:eastAsia="Times New Roman" w:hAnsi="Times New Roman" w:cs="Times New Roman"/>
          <w:sz w:val="28"/>
        </w:rPr>
        <w:t>Формирование идеи толерантности напрямую связана с основной философской проблемой человечества: что лучше для развития общества - идея, объединяющая людей или свобод</w:t>
      </w:r>
      <w:r>
        <w:rPr>
          <w:rFonts w:ascii="Times New Roman" w:eastAsia="Times New Roman" w:hAnsi="Times New Roman" w:cs="Times New Roman"/>
          <w:sz w:val="28"/>
        </w:rPr>
        <w:t xml:space="preserve">а каждого?  </w:t>
      </w:r>
    </w:p>
    <w:p w:rsidR="0052701D" w:rsidRDefault="00D40929">
      <w:pPr>
        <w:spacing w:after="5" w:line="271" w:lineRule="auto"/>
        <w:ind w:left="9" w:right="64" w:firstLine="711"/>
        <w:jc w:val="both"/>
      </w:pPr>
      <w:r>
        <w:rPr>
          <w:rFonts w:ascii="Times New Roman" w:eastAsia="Times New Roman" w:hAnsi="Times New Roman" w:cs="Times New Roman"/>
          <w:sz w:val="28"/>
        </w:rPr>
        <w:t>Предпосылки идей толерантности имелись еще в Древней Греции. Политеизм и демократическое правление древнегреческого полиса предполагали свободу мышления, хоть это распространялось только на рабовладельцев. Свободные граждане могли принимать ак</w:t>
      </w:r>
      <w:r>
        <w:rPr>
          <w:rFonts w:ascii="Times New Roman" w:eastAsia="Times New Roman" w:hAnsi="Times New Roman" w:cs="Times New Roman"/>
          <w:sz w:val="28"/>
        </w:rPr>
        <w:t>тивное участие в управлении полисом, в государственных делах. Представители первых философских школ в VII-VI в.в. до н.э. Фалес, Анаксимандр, Анаксимен, Гераклит, Демокрит и другие мыслители этого ряда обосновывали свои теории естественного происхождения м</w:t>
      </w:r>
      <w:r>
        <w:rPr>
          <w:rFonts w:ascii="Times New Roman" w:eastAsia="Times New Roman" w:hAnsi="Times New Roman" w:cs="Times New Roman"/>
          <w:sz w:val="28"/>
        </w:rPr>
        <w:t>ира, которые шли в разрез с религиозномифологическими воззрениями. Но в то же время Платон был известен своей теорией идеального государства, в которой все должно быть строго регламентировано и подчинено определенным законам и правилам.  Известно выражение</w:t>
      </w:r>
      <w:r>
        <w:rPr>
          <w:rFonts w:ascii="Times New Roman" w:eastAsia="Times New Roman" w:hAnsi="Times New Roman" w:cs="Times New Roman"/>
          <w:sz w:val="28"/>
        </w:rPr>
        <w:t xml:space="preserve"> Платона: "Из крайней свободы возникает величайшее и жесточайшее рабство" [1, с.415]. Для нарушителей законов полисной религии он предлагал систему суровых наказаний. Религия для Платона выступала как закон и моральный фундамент, поэтому религиозные ритуал</w:t>
      </w:r>
      <w:r>
        <w:rPr>
          <w:rFonts w:ascii="Times New Roman" w:eastAsia="Times New Roman" w:hAnsi="Times New Roman" w:cs="Times New Roman"/>
          <w:sz w:val="28"/>
        </w:rPr>
        <w:t xml:space="preserve">ы должны подчиняться строгой регламентации.  </w:t>
      </w:r>
    </w:p>
    <w:p w:rsidR="0052701D" w:rsidRDefault="00D40929">
      <w:pPr>
        <w:spacing w:after="5" w:line="271" w:lineRule="auto"/>
        <w:ind w:left="9" w:right="64" w:firstLine="711"/>
        <w:jc w:val="both"/>
      </w:pPr>
      <w:r>
        <w:rPr>
          <w:rFonts w:ascii="Times New Roman" w:eastAsia="Times New Roman" w:hAnsi="Times New Roman" w:cs="Times New Roman"/>
          <w:sz w:val="28"/>
        </w:rPr>
        <w:t>В древнегреческом обществе было немало людей, чьи взгляды шли вразрез с общепринятыми религиозными установками. Или же имели свою личную позицию, не совпадающую с официальной. Их называли безбожниками. "Предпол</w:t>
      </w:r>
      <w:r>
        <w:rPr>
          <w:rFonts w:ascii="Times New Roman" w:eastAsia="Times New Roman" w:hAnsi="Times New Roman" w:cs="Times New Roman"/>
          <w:sz w:val="28"/>
        </w:rPr>
        <w:t xml:space="preserve">ожительно в 432 г. до н.э. афинским народным собранием была одобрена псефизма (постановление) Диопифа, которая на много лет стала основанием для преследований по обвинению в безбожии, религиозном </w:t>
      </w:r>
      <w:r>
        <w:rPr>
          <w:rFonts w:ascii="Times New Roman" w:eastAsia="Times New Roman" w:hAnsi="Times New Roman" w:cs="Times New Roman"/>
          <w:sz w:val="28"/>
        </w:rPr>
        <w:lastRenderedPageBreak/>
        <w:t>нечестии (асебейе)"[2, с.13]. Это постановление позволило вы</w:t>
      </w:r>
      <w:r>
        <w:rPr>
          <w:rFonts w:ascii="Times New Roman" w:eastAsia="Times New Roman" w:hAnsi="Times New Roman" w:cs="Times New Roman"/>
          <w:sz w:val="28"/>
        </w:rPr>
        <w:t>двинуть обвинительные вердикты против Сократа, Анаксагора, Протогора, Аристотеля. Сократ был обвинен за то, что проводил интеллектуальные дискуссии и критическое осмысление религиозных основ, заставляя людей самостоятельно искать истину. Аристотель был вын</w:t>
      </w:r>
      <w:r>
        <w:rPr>
          <w:rFonts w:ascii="Times New Roman" w:eastAsia="Times New Roman" w:hAnsi="Times New Roman" w:cs="Times New Roman"/>
          <w:sz w:val="28"/>
        </w:rPr>
        <w:t xml:space="preserve">ужден покинуть родной город из-за преследований в   религиозном вольнодумстве [3]. Но все же определенная степень толерантности имелась в древнегреческих полисах. </w:t>
      </w:r>
    </w:p>
    <w:p w:rsidR="0052701D" w:rsidRDefault="00D40929">
      <w:pPr>
        <w:spacing w:after="5" w:line="271" w:lineRule="auto"/>
        <w:ind w:left="9" w:right="64" w:firstLine="711"/>
        <w:jc w:val="both"/>
      </w:pPr>
      <w:r>
        <w:rPr>
          <w:rFonts w:ascii="Times New Roman" w:eastAsia="Times New Roman" w:hAnsi="Times New Roman" w:cs="Times New Roman"/>
          <w:sz w:val="28"/>
        </w:rPr>
        <w:t>В древнеримском обществе, так же как и в древнегреческом, четко прописанной религиозной догм</w:t>
      </w:r>
      <w:r>
        <w:rPr>
          <w:rFonts w:ascii="Times New Roman" w:eastAsia="Times New Roman" w:hAnsi="Times New Roman" w:cs="Times New Roman"/>
          <w:sz w:val="28"/>
        </w:rPr>
        <w:t>ы не было. Религиозное право было отделено от государственного законодательства. Поэтому можно говорить об определенной степени свободы в вопросах религии в данный момент истории. Ситуация стала меняться со временем формирования первой монотеистической рел</w:t>
      </w:r>
      <w:r>
        <w:rPr>
          <w:rFonts w:ascii="Times New Roman" w:eastAsia="Times New Roman" w:hAnsi="Times New Roman" w:cs="Times New Roman"/>
          <w:sz w:val="28"/>
        </w:rPr>
        <w:t>игии. Постепенно складывалось представление о Яхве, как о единственном национальном и универсальном божестве. И, в отличие о древнегреческого и древнеримского общества, весь процесс государственного судопроизводства имел религиозную основу. Юридические при</w:t>
      </w:r>
      <w:r>
        <w:rPr>
          <w:rFonts w:ascii="Times New Roman" w:eastAsia="Times New Roman" w:hAnsi="Times New Roman" w:cs="Times New Roman"/>
          <w:sz w:val="28"/>
        </w:rPr>
        <w:t xml:space="preserve">нципы и соответствующие процедуры стали представляться как проявление Божественной воли. Но вместе с тем, Ветхий Завет призывал к терпимому отношению к представителям чужих народов.  </w:t>
      </w:r>
    </w:p>
    <w:p w:rsidR="0052701D" w:rsidRDefault="00D40929">
      <w:pPr>
        <w:spacing w:after="5" w:line="271" w:lineRule="auto"/>
        <w:ind w:left="9" w:right="64" w:firstLine="711"/>
        <w:jc w:val="both"/>
      </w:pPr>
      <w:r>
        <w:rPr>
          <w:rFonts w:ascii="Times New Roman" w:eastAsia="Times New Roman" w:hAnsi="Times New Roman" w:cs="Times New Roman"/>
          <w:sz w:val="28"/>
        </w:rPr>
        <w:t>Следующий этап в развитии идей веротерпимости связан с появлением христи</w:t>
      </w:r>
      <w:r>
        <w:rPr>
          <w:rFonts w:ascii="Times New Roman" w:eastAsia="Times New Roman" w:hAnsi="Times New Roman" w:cs="Times New Roman"/>
          <w:sz w:val="28"/>
        </w:rPr>
        <w:t xml:space="preserve">анства. Первоначально появившись в виде оппозиционно настроенной против государственной власти секты, оно испытывало притеснения и гонения. Ситуация переменилась со времени, когда император Галерий разрешил исповедание христианства, при отсутствии другого </w:t>
      </w:r>
      <w:r>
        <w:rPr>
          <w:rFonts w:ascii="Times New Roman" w:eastAsia="Times New Roman" w:hAnsi="Times New Roman" w:cs="Times New Roman"/>
          <w:sz w:val="28"/>
        </w:rPr>
        <w:t xml:space="preserve">нарушения. Император Константин открыл новую эпоху в истории отношений религии и государства: был принят эдикт, содержащий положение о том, что «никому не запрещается свободно избирать и соблюдать христианскую веру и каждому даруется свобода обратить свою </w:t>
      </w:r>
      <w:r>
        <w:rPr>
          <w:rFonts w:ascii="Times New Roman" w:eastAsia="Times New Roman" w:hAnsi="Times New Roman" w:cs="Times New Roman"/>
          <w:sz w:val="28"/>
        </w:rPr>
        <w:t xml:space="preserve">мысль к той вере, которая, по его мнению, ему подходит, дабы Божество ниспосылало нам во всех случаях скорую помощь и всякое благо». То есть, в римской империи провозглашалась свобода вероисповедания, свобода личного выбора духовного пути. </w:t>
      </w:r>
    </w:p>
    <w:p w:rsidR="0052701D" w:rsidRDefault="00D40929">
      <w:pPr>
        <w:spacing w:after="5" w:line="271" w:lineRule="auto"/>
        <w:ind w:left="9" w:right="64" w:firstLine="711"/>
        <w:jc w:val="both"/>
      </w:pPr>
      <w:r>
        <w:rPr>
          <w:rFonts w:ascii="Times New Roman" w:eastAsia="Times New Roman" w:hAnsi="Times New Roman" w:cs="Times New Roman"/>
          <w:sz w:val="28"/>
        </w:rPr>
        <w:t>Данный период о</w:t>
      </w:r>
      <w:r>
        <w:rPr>
          <w:rFonts w:ascii="Times New Roman" w:eastAsia="Times New Roman" w:hAnsi="Times New Roman" w:cs="Times New Roman"/>
          <w:sz w:val="28"/>
        </w:rPr>
        <w:t>пределенной степени либерализации мышления имел существование ровно до того момента, когда христианство стало государственной религией Римской империи. Император Грациан ввел систему наказаний за ересь. Этот термин в переводе с греческого обозначал "выбор"</w:t>
      </w:r>
      <w:r>
        <w:rPr>
          <w:rFonts w:ascii="Times New Roman" w:eastAsia="Times New Roman" w:hAnsi="Times New Roman" w:cs="Times New Roman"/>
          <w:sz w:val="28"/>
        </w:rPr>
        <w:t>. С этого периода религиозные каноны были объявлены государственными законами. Сложившийся союз между церковью и государственной властью способствовал развитию интолерантного потенциала христианства, что привело к созданию жесткой и нетерпимой к инакомысли</w:t>
      </w:r>
      <w:r>
        <w:rPr>
          <w:rFonts w:ascii="Times New Roman" w:eastAsia="Times New Roman" w:hAnsi="Times New Roman" w:cs="Times New Roman"/>
          <w:sz w:val="28"/>
        </w:rPr>
        <w:t xml:space="preserve">ю системы религиозного контроля. Все это привело в конечном итоге к созданию централизованного </w:t>
      </w:r>
      <w:r>
        <w:rPr>
          <w:rFonts w:ascii="Times New Roman" w:eastAsia="Times New Roman" w:hAnsi="Times New Roman" w:cs="Times New Roman"/>
          <w:sz w:val="28"/>
        </w:rPr>
        <w:lastRenderedPageBreak/>
        <w:t>института по борьбе с инакомыслием - инквизиции. Получившее быстрое распространение по всей Европе, это движение забирало в свои жернова сотни тысяч людей. Среди</w:t>
      </w:r>
      <w:r>
        <w:rPr>
          <w:rFonts w:ascii="Times New Roman" w:eastAsia="Times New Roman" w:hAnsi="Times New Roman" w:cs="Times New Roman"/>
          <w:sz w:val="28"/>
        </w:rPr>
        <w:t xml:space="preserve"> них оказались такие неординарные, талантливые мыслители как Джордано Бруно, Галилео Галилей и многие другие. </w:t>
      </w:r>
    </w:p>
    <w:p w:rsidR="0052701D" w:rsidRDefault="00D40929">
      <w:pPr>
        <w:spacing w:after="5" w:line="271" w:lineRule="auto"/>
        <w:ind w:left="9" w:right="64" w:firstLine="711"/>
        <w:jc w:val="both"/>
      </w:pPr>
      <w:r>
        <w:rPr>
          <w:rFonts w:ascii="Times New Roman" w:eastAsia="Times New Roman" w:hAnsi="Times New Roman" w:cs="Times New Roman"/>
          <w:sz w:val="28"/>
        </w:rPr>
        <w:t>Идеи религиозной толерантности в этом периоде истории отстаивались в произведениях ряда мыслителей, таких как Пьер Абеляр (1079-1142), Марсилия П</w:t>
      </w:r>
      <w:r>
        <w:rPr>
          <w:rFonts w:ascii="Times New Roman" w:eastAsia="Times New Roman" w:hAnsi="Times New Roman" w:cs="Times New Roman"/>
          <w:sz w:val="28"/>
        </w:rPr>
        <w:t>адуанского (1275-1342), Николая Кузанского (1401-1464). Произведения этих и других авторов постепенно формировали такое явление, как гуманизм, которое постепенно отходило от теоцентризма. Николай Кузанский выступал за ограничение власти римского папы, пров</w:t>
      </w:r>
      <w:r>
        <w:rPr>
          <w:rFonts w:ascii="Times New Roman" w:eastAsia="Times New Roman" w:hAnsi="Times New Roman" w:cs="Times New Roman"/>
          <w:sz w:val="28"/>
        </w:rPr>
        <w:t>озгласил идею народной воли. Известная работа этого мыслителя "О мире веры" была написана под сильным впечатлением от захвата турками Константинополя и от жестоких бесчинств, сопровождавших это событие. В данном произведении мыслитель излагал свою модель т</w:t>
      </w:r>
      <w:r>
        <w:rPr>
          <w:rFonts w:ascii="Times New Roman" w:eastAsia="Times New Roman" w:hAnsi="Times New Roman" w:cs="Times New Roman"/>
          <w:sz w:val="28"/>
        </w:rPr>
        <w:t>олерантности, которая при сохранении различия обрядов предполагает примирение религий.   Обряды, по его мнению, «… учреждены и приняты как чувственные знаки истинности веры. Знаки подвержены изменению, означаемое – нет» [4, с. 43]. Кузанский проводит мысль</w:t>
      </w:r>
      <w:r>
        <w:rPr>
          <w:rFonts w:ascii="Times New Roman" w:eastAsia="Times New Roman" w:hAnsi="Times New Roman" w:cs="Times New Roman"/>
          <w:sz w:val="28"/>
        </w:rPr>
        <w:t xml:space="preserve"> о том, что внешние проявления религиозности, обряды не являются необходимым условием для спасения души. Гарантом спасения души служит лишь истинная вера. Итальянский гуманист Фичино (1433-1499) утверждал, что существующее многообразие форм почитания Творц</w:t>
      </w:r>
      <w:r>
        <w:rPr>
          <w:rFonts w:ascii="Times New Roman" w:eastAsia="Times New Roman" w:hAnsi="Times New Roman" w:cs="Times New Roman"/>
          <w:sz w:val="28"/>
        </w:rPr>
        <w:t xml:space="preserve">а есть результат действия божественной воли, и «всякая религия несет в себе некоторое количество добра».  </w:t>
      </w:r>
    </w:p>
    <w:p w:rsidR="0052701D" w:rsidRDefault="00D40929">
      <w:pPr>
        <w:spacing w:after="5" w:line="271" w:lineRule="auto"/>
        <w:ind w:left="9" w:right="64" w:firstLine="711"/>
        <w:jc w:val="both"/>
      </w:pPr>
      <w:r>
        <w:rPr>
          <w:rFonts w:ascii="Times New Roman" w:eastAsia="Times New Roman" w:hAnsi="Times New Roman" w:cs="Times New Roman"/>
          <w:sz w:val="28"/>
        </w:rPr>
        <w:t>Дальнейшее развитие идеи религиозной толерантности как необходимом условии развития общества было связано с движением Реформации. Благодаря крупнейши</w:t>
      </w:r>
      <w:r>
        <w:rPr>
          <w:rFonts w:ascii="Times New Roman" w:eastAsia="Times New Roman" w:hAnsi="Times New Roman" w:cs="Times New Roman"/>
          <w:sz w:val="28"/>
        </w:rPr>
        <w:t>м идеологам этого этапа истории, отстаивавшим идею свободы внутренней веры как естественного права, произошло теоретическое разрушение монополии католической церкви на обладание истиной. Протестантское положение о том, что каждый сам может напрямую возноси</w:t>
      </w:r>
      <w:r>
        <w:rPr>
          <w:rFonts w:ascii="Times New Roman" w:eastAsia="Times New Roman" w:hAnsi="Times New Roman" w:cs="Times New Roman"/>
          <w:sz w:val="28"/>
        </w:rPr>
        <w:t>ть молитвы и интерпретировать Писание стало мощным толчком к развитию идей либерализма в Западной Европе, что существенно повлияло и на идеи религиозной толерантности. Наиболее известные в этом ряду мыслители - выходцы из протестантизма Дж.Мильтон (1608–16</w:t>
      </w:r>
      <w:r>
        <w:rPr>
          <w:rFonts w:ascii="Times New Roman" w:eastAsia="Times New Roman" w:hAnsi="Times New Roman" w:cs="Times New Roman"/>
          <w:sz w:val="28"/>
        </w:rPr>
        <w:t xml:space="preserve">74) и Дж.Локк (1632-1704).  </w:t>
      </w:r>
    </w:p>
    <w:p w:rsidR="0052701D" w:rsidRDefault="00D40929">
      <w:pPr>
        <w:spacing w:after="5" w:line="271" w:lineRule="auto"/>
        <w:ind w:left="9" w:right="64" w:firstLine="711"/>
        <w:jc w:val="both"/>
      </w:pPr>
      <w:r>
        <w:rPr>
          <w:rFonts w:ascii="Times New Roman" w:eastAsia="Times New Roman" w:hAnsi="Times New Roman" w:cs="Times New Roman"/>
          <w:sz w:val="28"/>
        </w:rPr>
        <w:t>Дж.Мильтон выступил за свободу выбора, как данному Богом права. Толерантность представлялась как естественное следствие христианской религии. "Религия Еванге¬лия, по мнению Мильтона, заключена всего в двух словах – «вера» и «лю</w:t>
      </w:r>
      <w:r>
        <w:rPr>
          <w:rFonts w:ascii="Times New Roman" w:eastAsia="Times New Roman" w:hAnsi="Times New Roman" w:cs="Times New Roman"/>
          <w:sz w:val="28"/>
        </w:rPr>
        <w:t xml:space="preserve">бовь», поэтому уязвление совести одного человека в пользу других немилосердно, а принуждение человека к внешнему исповеданию </w:t>
      </w:r>
      <w:r>
        <w:rPr>
          <w:rFonts w:ascii="Times New Roman" w:eastAsia="Times New Roman" w:hAnsi="Times New Roman" w:cs="Times New Roman"/>
          <w:sz w:val="28"/>
        </w:rPr>
        <w:lastRenderedPageBreak/>
        <w:t>веры, неприемлемой им внутренне, потворствует лицемерию" [5, с. 102]. Христианская вера заключается в любви и вере, поэтому, по мне</w:t>
      </w:r>
      <w:r>
        <w:rPr>
          <w:rFonts w:ascii="Times New Roman" w:eastAsia="Times New Roman" w:hAnsi="Times New Roman" w:cs="Times New Roman"/>
          <w:sz w:val="28"/>
        </w:rPr>
        <w:t xml:space="preserve">нию Мильтона, принуждение человека к внешнему исповеданию веры неприемлемо самой религией.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Классическое понимание идеи религиозной толерантности были заложены мыслителями-деистами XVII века. Особую роль имеет концепция отделения государственной власти от </w:t>
      </w:r>
      <w:r>
        <w:rPr>
          <w:rFonts w:ascii="Times New Roman" w:eastAsia="Times New Roman" w:hAnsi="Times New Roman" w:cs="Times New Roman"/>
          <w:sz w:val="28"/>
        </w:rPr>
        <w:t>религиозной Джона Локка. Его произведения «Опыт о веротерпимости» (1667) и «Послание о веротерпимости» детально раскрывают концепцию отделения церкви от государства, что может быть основой религиозной толерантности людей. С его точки зрения, государство не</w:t>
      </w:r>
      <w:r>
        <w:rPr>
          <w:rFonts w:ascii="Times New Roman" w:eastAsia="Times New Roman" w:hAnsi="Times New Roman" w:cs="Times New Roman"/>
          <w:sz w:val="28"/>
        </w:rPr>
        <w:t xml:space="preserve"> имеет божественного происхождения, оно учреждено людьми для защиты их гражданских благ —жизни, собственности, свободы. Вера есть индивидуальный выбор, "ибо никто не может верить по указанию другого" [6, с. 95]. Церковь может отлучать тех, кто нарушил ее з</w:t>
      </w:r>
      <w:r>
        <w:rPr>
          <w:rFonts w:ascii="Times New Roman" w:eastAsia="Times New Roman" w:hAnsi="Times New Roman" w:cs="Times New Roman"/>
          <w:sz w:val="28"/>
        </w:rPr>
        <w:t>аконы, но не может судить по гражданским делам. Так же и государство не может навязывать никому догматы какой-либо религии. По мнению мыслителя, те церкви, которые занимаются преследованием инакомыслия, не могут претендовать на звание истинных. Джон Локк п</w:t>
      </w:r>
      <w:r>
        <w:rPr>
          <w:rFonts w:ascii="Times New Roman" w:eastAsia="Times New Roman" w:hAnsi="Times New Roman" w:cs="Times New Roman"/>
          <w:sz w:val="28"/>
        </w:rPr>
        <w:t xml:space="preserve">редоставил принципы толерантности и условия, в которых она возможна. Это, прежде всего гражданское общество с приоритетом на свободе каждого. По сути, это положение о том, что религиозная толерантность может иметь место только при либерализме, где церковь </w:t>
      </w:r>
      <w:r>
        <w:rPr>
          <w:rFonts w:ascii="Times New Roman" w:eastAsia="Times New Roman" w:hAnsi="Times New Roman" w:cs="Times New Roman"/>
          <w:sz w:val="28"/>
        </w:rPr>
        <w:t>представляет собой собрание свободных граждан. По Локку, толерантность не может иметь место в государствах, объединенных общей идеей, или в теократических обществах. В споре с оксфордским священником Джонасом Прустом, Джон Локк указывает, что насилие в дел</w:t>
      </w:r>
      <w:r>
        <w:rPr>
          <w:rFonts w:ascii="Times New Roman" w:eastAsia="Times New Roman" w:hAnsi="Times New Roman" w:cs="Times New Roman"/>
          <w:sz w:val="28"/>
        </w:rPr>
        <w:t>ах веры не может быть нормой. Единственный способ обращать в религию — это убеждение, а не насилие. Эта позиция Локка связана с его центральным аргументом, что государство не должно вмешиваться в дела церкви: «...гражданскому правителю забота о спасении ду</w:t>
      </w:r>
      <w:r>
        <w:rPr>
          <w:rFonts w:ascii="Times New Roman" w:eastAsia="Times New Roman" w:hAnsi="Times New Roman" w:cs="Times New Roman"/>
          <w:sz w:val="28"/>
        </w:rPr>
        <w:t>ши принадлежит не более, чем остальным людям. И Бог не поручал ему этого, ибо нигде не сказано, что Бог предоставил людям право насильно заставлять других людей принимать чуждую им религию» [6, с. 93]. Государство должно обеспечить соблюдение и гарантии ес</w:t>
      </w:r>
      <w:r>
        <w:rPr>
          <w:rFonts w:ascii="Times New Roman" w:eastAsia="Times New Roman" w:hAnsi="Times New Roman" w:cs="Times New Roman"/>
          <w:sz w:val="28"/>
        </w:rPr>
        <w:t xml:space="preserve">тественных прав человека. Любое насилие в духовном деле приведет к лицемерию и ханжеству, поэтому нельзя насилие оправдывать заботой о спасении души.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 В своей работе Джон Локк дает такое понимание толерантности: если человек, исповедуя, пусть даже ложн</w:t>
      </w:r>
      <w:r>
        <w:rPr>
          <w:rFonts w:ascii="Times New Roman" w:eastAsia="Times New Roman" w:hAnsi="Times New Roman" w:cs="Times New Roman"/>
          <w:sz w:val="28"/>
        </w:rPr>
        <w:t xml:space="preserve">ый культ, не нарушает права и границы других людей, то общество и государство должны дать ему возможность самому заботиться о спасении своей души. Таким образом, концепция толерантности Локка видится в решительном разделении государства и религии. </w:t>
      </w:r>
    </w:p>
    <w:p w:rsidR="0052701D" w:rsidRDefault="00D40929">
      <w:pPr>
        <w:spacing w:after="5" w:line="271" w:lineRule="auto"/>
        <w:ind w:left="9" w:right="64" w:firstLine="711"/>
        <w:jc w:val="both"/>
      </w:pPr>
      <w:r>
        <w:rPr>
          <w:rFonts w:ascii="Times New Roman" w:eastAsia="Times New Roman" w:hAnsi="Times New Roman" w:cs="Times New Roman"/>
          <w:sz w:val="28"/>
        </w:rPr>
        <w:lastRenderedPageBreak/>
        <w:t xml:space="preserve">Особое </w:t>
      </w:r>
      <w:r>
        <w:rPr>
          <w:rFonts w:ascii="Times New Roman" w:eastAsia="Times New Roman" w:hAnsi="Times New Roman" w:cs="Times New Roman"/>
          <w:sz w:val="28"/>
        </w:rPr>
        <w:t xml:space="preserve">место в теме формирования идей свободомыслия и религиозной толерантности имеют воззрения Вольтера (1694–1778). Принимая и утверждая веру в Бога как философскую аксиому, Вольтер развивал идею о необходимости для общества религиозной веры в Бога. Но строгое </w:t>
      </w:r>
      <w:r>
        <w:rPr>
          <w:rFonts w:ascii="Times New Roman" w:eastAsia="Times New Roman" w:hAnsi="Times New Roman" w:cs="Times New Roman"/>
          <w:sz w:val="28"/>
        </w:rPr>
        <w:t>разделение веры и религии мы видим в его выражении "Раздавите гадину!", которое относилось не только к католической церкви, но и ко всем проявлениям фанатизма. Истинная религия, по Вольтеру, должна способствовать искренней вере Богу, проповедовать возвышен</w:t>
      </w:r>
      <w:r>
        <w:rPr>
          <w:rFonts w:ascii="Times New Roman" w:eastAsia="Times New Roman" w:hAnsi="Times New Roman" w:cs="Times New Roman"/>
          <w:sz w:val="28"/>
        </w:rPr>
        <w:t xml:space="preserve">ную мораль и терпимо относиться ко всем. </w:t>
      </w:r>
    </w:p>
    <w:p w:rsidR="0052701D" w:rsidRDefault="00D40929">
      <w:pPr>
        <w:spacing w:after="5" w:line="271" w:lineRule="auto"/>
        <w:ind w:left="9" w:right="64" w:firstLine="711"/>
        <w:jc w:val="both"/>
      </w:pPr>
      <w:r>
        <w:rPr>
          <w:rFonts w:ascii="Times New Roman" w:eastAsia="Times New Roman" w:hAnsi="Times New Roman" w:cs="Times New Roman"/>
          <w:sz w:val="28"/>
        </w:rPr>
        <w:t>В 60-х годах XVIII века Вольтер выступил защитником несправедливо осужденного, и в течение трех лет он боролся за восстановление честного имени и освобождения его членов семьи. Эта истории нашла свое отражение в ра</w:t>
      </w:r>
      <w:r>
        <w:rPr>
          <w:rFonts w:ascii="Times New Roman" w:eastAsia="Times New Roman" w:hAnsi="Times New Roman" w:cs="Times New Roman"/>
          <w:sz w:val="28"/>
        </w:rPr>
        <w:t xml:space="preserve">боте "Трактат о веротерпимости", в которой мыслитель высказал свои идеи о религии, веротерпимости, фанатизме и человеколюбии.  </w:t>
      </w:r>
    </w:p>
    <w:p w:rsidR="0052701D" w:rsidRDefault="00D40929">
      <w:pPr>
        <w:spacing w:after="5" w:line="271" w:lineRule="auto"/>
        <w:ind w:left="9" w:right="64" w:firstLine="711"/>
        <w:jc w:val="both"/>
      </w:pPr>
      <w:r>
        <w:rPr>
          <w:rFonts w:ascii="Times New Roman" w:eastAsia="Times New Roman" w:hAnsi="Times New Roman" w:cs="Times New Roman"/>
          <w:sz w:val="28"/>
        </w:rPr>
        <w:t>Вольтер считал, что все ошибки человечества порождены невежеством. Будучи глубоко верующим человеком, все свои силы он направляе</w:t>
      </w:r>
      <w:r>
        <w:rPr>
          <w:rFonts w:ascii="Times New Roman" w:eastAsia="Times New Roman" w:hAnsi="Times New Roman" w:cs="Times New Roman"/>
          <w:sz w:val="28"/>
        </w:rPr>
        <w:t>т на борьбу с нетерпимостью, фанатизмом, жестокостью. Он пишет о тех страшных «процедурах», которыми одни люди подвергают других из-за религиозных разногласий. Он кратко описывает историю человеческих бедствий: в былые времена, пишет он, в Провансе истреби</w:t>
      </w:r>
      <w:r>
        <w:rPr>
          <w:rFonts w:ascii="Times New Roman" w:eastAsia="Times New Roman" w:hAnsi="Times New Roman" w:cs="Times New Roman"/>
          <w:sz w:val="28"/>
        </w:rPr>
        <w:t>ли шесть тысяч человек, не щадя ни стариков, ни женщин, ни детей, за то, что они были вальденсами, простая и невинная жизнь которых напоминала мирное существование пастушеских племен на заре человечества. Позже, после смерти Франциска I, во Франции наступи</w:t>
      </w:r>
      <w:r>
        <w:rPr>
          <w:rFonts w:ascii="Times New Roman" w:eastAsia="Times New Roman" w:hAnsi="Times New Roman" w:cs="Times New Roman"/>
          <w:sz w:val="28"/>
        </w:rPr>
        <w:t xml:space="preserve">л мир более страшный, чем война; он привел к Варфоломеевской ночи. Убивали беременных женщин, вырезали из их лона младенцев и бросали на съедение свиньям. «Можно подумать, – пишет Вольтер, – что люди дали обет ненавидеть своих братьев» [7, с.14].  </w:t>
      </w:r>
    </w:p>
    <w:p w:rsidR="0052701D" w:rsidRDefault="00D40929">
      <w:pPr>
        <w:spacing w:after="5" w:line="271" w:lineRule="auto"/>
        <w:ind w:left="9" w:right="64" w:firstLine="711"/>
        <w:jc w:val="both"/>
      </w:pPr>
      <w:r>
        <w:rPr>
          <w:rFonts w:ascii="Times New Roman" w:eastAsia="Times New Roman" w:hAnsi="Times New Roman" w:cs="Times New Roman"/>
          <w:sz w:val="28"/>
        </w:rPr>
        <w:t>Великом</w:t>
      </w:r>
      <w:r>
        <w:rPr>
          <w:rFonts w:ascii="Times New Roman" w:eastAsia="Times New Roman" w:hAnsi="Times New Roman" w:cs="Times New Roman"/>
          <w:sz w:val="28"/>
        </w:rPr>
        <w:t>у мыслителю приписывается известное выражение «Я не согласен с тем, что вы говорите, но пожертвую своей жизнью, защищая ваше право высказывать собственное мнение», афоризм, который выражает классическую теорию толерантности. «Закон человеческий, – пишет он</w:t>
      </w:r>
      <w:r>
        <w:rPr>
          <w:rFonts w:ascii="Times New Roman" w:eastAsia="Times New Roman" w:hAnsi="Times New Roman" w:cs="Times New Roman"/>
          <w:sz w:val="28"/>
        </w:rPr>
        <w:t>, – может основываться только на законе природы, и великий принцип, общий для всех повсюду на земле, гласит: “Не делай ближнему того, что ты не хочешь, чтобы делали тебе”. Следуя этому принципу, ни один человек не мог бы сказать другому: “Веруй в то, во чт</w:t>
      </w:r>
      <w:r>
        <w:rPr>
          <w:rFonts w:ascii="Times New Roman" w:eastAsia="Times New Roman" w:hAnsi="Times New Roman" w:cs="Times New Roman"/>
          <w:sz w:val="28"/>
        </w:rPr>
        <w:t>о я верую и во что ты веровать не можешь, или ты погибнешь…” В некоторых других странах удовлетворяются тем, что говорят: “Веруй, или я тебя возненавижу, веруй, или я причиню тебе все зло, какое смогу; чудовище, ты не моей веры, у тебя, значит, нет никакой</w:t>
      </w:r>
      <w:r>
        <w:rPr>
          <w:rFonts w:ascii="Times New Roman" w:eastAsia="Times New Roman" w:hAnsi="Times New Roman" w:cs="Times New Roman"/>
          <w:sz w:val="28"/>
        </w:rPr>
        <w:t xml:space="preserve"> веры, так пусть же к тебе питают </w:t>
      </w:r>
      <w:r>
        <w:rPr>
          <w:rFonts w:ascii="Times New Roman" w:eastAsia="Times New Roman" w:hAnsi="Times New Roman" w:cs="Times New Roman"/>
          <w:sz w:val="28"/>
        </w:rPr>
        <w:lastRenderedPageBreak/>
        <w:t>отвращение твои соседи, твой город, твоя провинция”» (Там же. С. 25). Но если бы таков был человеческий закон, то все ненавидели бы друг друга и в конце концов истребили. Закон нетерпимости, убежден философ, нелеп и варвар</w:t>
      </w:r>
      <w:r>
        <w:rPr>
          <w:rFonts w:ascii="Times New Roman" w:eastAsia="Times New Roman" w:hAnsi="Times New Roman" w:cs="Times New Roman"/>
          <w:sz w:val="28"/>
        </w:rPr>
        <w:t xml:space="preserve">ски жесток, это закон тигров и даже хуже, поскольку тигры убивают ради пищи, а мы истребляем друг друга во имя догмы. По мнению Вольтера, терпимость полезна, так как представляет очевидный интерес для государства.  «Нетерпимость бессмысленна», — утверждал </w:t>
      </w:r>
      <w:r>
        <w:rPr>
          <w:rFonts w:ascii="Times New Roman" w:eastAsia="Times New Roman" w:hAnsi="Times New Roman" w:cs="Times New Roman"/>
          <w:sz w:val="28"/>
        </w:rPr>
        <w:t xml:space="preserve">мыслитель. В отличие от Джона Локка, Вольтер считал что государство должно контролировать церковь и религиозные организации. В данной трактовке толерантности мы видим понимание религиозной толерантности как отсутствие преследований и принуждения. </w:t>
      </w:r>
    </w:p>
    <w:p w:rsidR="0052701D" w:rsidRDefault="00D40929">
      <w:pPr>
        <w:spacing w:after="5" w:line="271" w:lineRule="auto"/>
        <w:ind w:left="9" w:right="64" w:firstLine="711"/>
        <w:jc w:val="both"/>
      </w:pPr>
      <w:r>
        <w:rPr>
          <w:rFonts w:ascii="Times New Roman" w:eastAsia="Times New Roman" w:hAnsi="Times New Roman" w:cs="Times New Roman"/>
          <w:sz w:val="28"/>
        </w:rPr>
        <w:t>Таким об</w:t>
      </w:r>
      <w:r>
        <w:rPr>
          <w:rFonts w:ascii="Times New Roman" w:eastAsia="Times New Roman" w:hAnsi="Times New Roman" w:cs="Times New Roman"/>
          <w:sz w:val="28"/>
        </w:rPr>
        <w:t>разом, идея религиозной толерантности прошла довольно длительный путь эволюции, истоки которой лежат в глубокой античности. По мере исторического развития возрастало понимание необходимости религиозной толерантности, как условия выживания человечества. Нач</w:t>
      </w:r>
      <w:r>
        <w:rPr>
          <w:rFonts w:ascii="Times New Roman" w:eastAsia="Times New Roman" w:hAnsi="Times New Roman" w:cs="Times New Roman"/>
          <w:sz w:val="28"/>
        </w:rPr>
        <w:t xml:space="preserve">иная с ХVIII века религиозная свобода, право выбора, естественное право становятся принципами национальных конституций отдельных стран.  </w:t>
      </w:r>
    </w:p>
    <w:p w:rsidR="0052701D" w:rsidRDefault="00D40929">
      <w:pPr>
        <w:spacing w:after="5" w:line="271" w:lineRule="auto"/>
        <w:ind w:left="711" w:right="64"/>
        <w:jc w:val="both"/>
      </w:pPr>
      <w:r>
        <w:rPr>
          <w:rFonts w:ascii="Times New Roman" w:eastAsia="Times New Roman" w:hAnsi="Times New Roman" w:cs="Times New Roman"/>
          <w:sz w:val="28"/>
        </w:rPr>
        <w:t xml:space="preserve">Выводами могут быть следующие положения: </w:t>
      </w:r>
    </w:p>
    <w:p w:rsidR="0052701D" w:rsidRDefault="00D40929">
      <w:pPr>
        <w:numPr>
          <w:ilvl w:val="0"/>
          <w:numId w:val="98"/>
        </w:numPr>
        <w:spacing w:after="5" w:line="271" w:lineRule="auto"/>
        <w:ind w:right="64" w:firstLine="711"/>
        <w:jc w:val="both"/>
      </w:pPr>
      <w:r>
        <w:rPr>
          <w:rFonts w:ascii="Times New Roman" w:eastAsia="Times New Roman" w:hAnsi="Times New Roman" w:cs="Times New Roman"/>
          <w:sz w:val="28"/>
        </w:rPr>
        <w:t xml:space="preserve">Для условия возникновения терпимости между конфессиями должно быть строгое </w:t>
      </w:r>
      <w:r>
        <w:rPr>
          <w:rFonts w:ascii="Times New Roman" w:eastAsia="Times New Roman" w:hAnsi="Times New Roman" w:cs="Times New Roman"/>
          <w:sz w:val="28"/>
        </w:rPr>
        <w:t xml:space="preserve">отделение религии от государственной власти. Вопросы веры должны решать на индивидуальном уровне и должны быть личным выбором каждого. </w:t>
      </w:r>
    </w:p>
    <w:p w:rsidR="0052701D" w:rsidRDefault="00D40929">
      <w:pPr>
        <w:numPr>
          <w:ilvl w:val="0"/>
          <w:numId w:val="98"/>
        </w:numPr>
        <w:spacing w:after="5" w:line="271" w:lineRule="auto"/>
        <w:ind w:right="64" w:firstLine="711"/>
        <w:jc w:val="both"/>
      </w:pPr>
      <w:r>
        <w:rPr>
          <w:rFonts w:ascii="Times New Roman" w:eastAsia="Times New Roman" w:hAnsi="Times New Roman" w:cs="Times New Roman"/>
          <w:sz w:val="28"/>
        </w:rPr>
        <w:t>Именно государство призвано создавать условия для терпимости, взаимной лояльности граждан. Диалог и дискуссия в межконфе</w:t>
      </w:r>
      <w:r>
        <w:rPr>
          <w:rFonts w:ascii="Times New Roman" w:eastAsia="Times New Roman" w:hAnsi="Times New Roman" w:cs="Times New Roman"/>
          <w:sz w:val="28"/>
        </w:rPr>
        <w:t xml:space="preserve">ссиональных отношениях будут более реальны и плодотворны при удаленности государства от религиозных институтов и при отсутствии одной государственной религии. </w:t>
      </w:r>
    </w:p>
    <w:p w:rsidR="0052701D" w:rsidRDefault="00D40929">
      <w:pPr>
        <w:numPr>
          <w:ilvl w:val="0"/>
          <w:numId w:val="98"/>
        </w:numPr>
        <w:spacing w:after="5" w:line="271" w:lineRule="auto"/>
        <w:ind w:right="64" w:firstLine="711"/>
        <w:jc w:val="both"/>
      </w:pPr>
      <w:r>
        <w:rPr>
          <w:rFonts w:ascii="Times New Roman" w:eastAsia="Times New Roman" w:hAnsi="Times New Roman" w:cs="Times New Roman"/>
          <w:sz w:val="28"/>
        </w:rPr>
        <w:t>Только в свободном, либеральном государстве, признающем свободу выбора каждого, может быть реали</w:t>
      </w:r>
      <w:r>
        <w:rPr>
          <w:rFonts w:ascii="Times New Roman" w:eastAsia="Times New Roman" w:hAnsi="Times New Roman" w:cs="Times New Roman"/>
          <w:sz w:val="28"/>
        </w:rPr>
        <w:t xml:space="preserve">зован принцип религиозной толерантности. </w:t>
      </w:r>
    </w:p>
    <w:p w:rsidR="0052701D" w:rsidRDefault="00D40929">
      <w:pPr>
        <w:spacing w:after="5" w:line="271" w:lineRule="auto"/>
        <w:ind w:left="-15" w:right="1" w:firstLine="711"/>
      </w:pPr>
      <w:r>
        <w:rPr>
          <w:rFonts w:ascii="Times New Roman" w:eastAsia="Times New Roman" w:hAnsi="Times New Roman" w:cs="Times New Roman"/>
          <w:sz w:val="28"/>
        </w:rPr>
        <w:t xml:space="preserve">Во второй половине ХХ века проблема религиозной толерантности вышла за границы национальности и конфессий, и стала приоритетным направлением в деятельности ведущих международных организаций. </w:t>
      </w:r>
    </w:p>
    <w:p w:rsidR="0052701D" w:rsidRDefault="00D40929">
      <w:pPr>
        <w:spacing w:after="0"/>
        <w:ind w:left="711"/>
      </w:pPr>
      <w:r>
        <w:rPr>
          <w:rFonts w:ascii="Times New Roman" w:eastAsia="Times New Roman" w:hAnsi="Times New Roman" w:cs="Times New Roman"/>
          <w:sz w:val="28"/>
        </w:rPr>
        <w:t xml:space="preserve">    </w:t>
      </w:r>
    </w:p>
    <w:p w:rsidR="0052701D" w:rsidRDefault="00D40929">
      <w:pPr>
        <w:spacing w:after="16" w:line="248" w:lineRule="auto"/>
        <w:ind w:left="819" w:right="179" w:hanging="10"/>
        <w:jc w:val="center"/>
      </w:pPr>
      <w:r>
        <w:rPr>
          <w:rFonts w:ascii="Times New Roman" w:eastAsia="Times New Roman" w:hAnsi="Times New Roman" w:cs="Times New Roman"/>
          <w:b/>
          <w:sz w:val="24"/>
        </w:rPr>
        <w:t xml:space="preserve">ИСТОЧНИКИ </w:t>
      </w:r>
    </w:p>
    <w:p w:rsidR="0052701D" w:rsidRDefault="00D40929">
      <w:pPr>
        <w:numPr>
          <w:ilvl w:val="0"/>
          <w:numId w:val="99"/>
        </w:numPr>
        <w:spacing w:after="29" w:line="248" w:lineRule="auto"/>
        <w:ind w:right="14" w:firstLine="711"/>
        <w:jc w:val="both"/>
      </w:pPr>
      <w:r>
        <w:rPr>
          <w:rFonts w:ascii="Times New Roman" w:eastAsia="Times New Roman" w:hAnsi="Times New Roman" w:cs="Times New Roman"/>
          <w:sz w:val="24"/>
        </w:rPr>
        <w:t>Платон</w:t>
      </w:r>
      <w:r>
        <w:rPr>
          <w:rFonts w:ascii="Times New Roman" w:eastAsia="Times New Roman" w:hAnsi="Times New Roman" w:cs="Times New Roman"/>
          <w:sz w:val="24"/>
        </w:rPr>
        <w:t xml:space="preserve"> Сочинения в четырех томах. Т. 3. Ч. 1 / Под общ. ред. А. Ф. Лосева и В. Ф. </w:t>
      </w:r>
    </w:p>
    <w:p w:rsidR="0052701D" w:rsidRDefault="00D40929">
      <w:pPr>
        <w:spacing w:after="29" w:line="248" w:lineRule="auto"/>
        <w:ind w:left="9" w:right="14"/>
        <w:jc w:val="both"/>
      </w:pPr>
      <w:r>
        <w:rPr>
          <w:rFonts w:ascii="Times New Roman" w:eastAsia="Times New Roman" w:hAnsi="Times New Roman" w:cs="Times New Roman"/>
          <w:sz w:val="24"/>
        </w:rPr>
        <w:t xml:space="preserve">Асмуса; Пер. с древнегреч. СПб.: Изд-во С.-Петерб. ун-та; «Изд-во Олега Абышко», 2007. 752с </w:t>
      </w:r>
    </w:p>
    <w:p w:rsidR="0052701D" w:rsidRDefault="00D40929">
      <w:pPr>
        <w:numPr>
          <w:ilvl w:val="0"/>
          <w:numId w:val="99"/>
        </w:numPr>
        <w:spacing w:after="29" w:line="248" w:lineRule="auto"/>
        <w:ind w:right="14" w:firstLine="711"/>
        <w:jc w:val="both"/>
      </w:pPr>
      <w:r>
        <w:rPr>
          <w:rFonts w:ascii="Times New Roman" w:eastAsia="Times New Roman" w:hAnsi="Times New Roman" w:cs="Times New Roman"/>
          <w:sz w:val="24"/>
        </w:rPr>
        <w:t>Стецкевич М. С. Свобода совести: Учеб. пособие. СПб.: Изд-во С.-Петерб. ун-та, 2006. 2</w:t>
      </w:r>
      <w:r>
        <w:rPr>
          <w:rFonts w:ascii="Times New Roman" w:eastAsia="Times New Roman" w:hAnsi="Times New Roman" w:cs="Times New Roman"/>
          <w:sz w:val="24"/>
        </w:rPr>
        <w:t xml:space="preserve">99 с. </w:t>
      </w:r>
    </w:p>
    <w:p w:rsidR="0052701D" w:rsidRDefault="00D40929">
      <w:pPr>
        <w:numPr>
          <w:ilvl w:val="0"/>
          <w:numId w:val="99"/>
        </w:numPr>
        <w:spacing w:after="29" w:line="248" w:lineRule="auto"/>
        <w:ind w:right="14" w:firstLine="711"/>
        <w:jc w:val="both"/>
      </w:pPr>
      <w:r>
        <w:rPr>
          <w:rFonts w:ascii="Times New Roman" w:eastAsia="Times New Roman" w:hAnsi="Times New Roman" w:cs="Times New Roman"/>
          <w:sz w:val="24"/>
        </w:rPr>
        <w:t xml:space="preserve">Лосев А.Ф., Тахо-Годи А.А. Аристотель: Жизнь и смысл. М., 1982. </w:t>
      </w:r>
    </w:p>
    <w:p w:rsidR="0052701D" w:rsidRDefault="00D40929">
      <w:pPr>
        <w:numPr>
          <w:ilvl w:val="0"/>
          <w:numId w:val="99"/>
        </w:numPr>
        <w:spacing w:after="29" w:line="248" w:lineRule="auto"/>
        <w:ind w:right="14" w:firstLine="711"/>
        <w:jc w:val="both"/>
      </w:pPr>
      <w:r>
        <w:rPr>
          <w:rFonts w:ascii="Times New Roman" w:eastAsia="Times New Roman" w:hAnsi="Times New Roman" w:cs="Times New Roman"/>
          <w:sz w:val="24"/>
        </w:rPr>
        <w:t xml:space="preserve">Кузанский Н. О мире веры // Избранные произведения. М.: Канон+, 2006. –208 с. </w:t>
      </w:r>
    </w:p>
    <w:p w:rsidR="0052701D" w:rsidRDefault="00D40929">
      <w:pPr>
        <w:numPr>
          <w:ilvl w:val="0"/>
          <w:numId w:val="99"/>
        </w:numPr>
        <w:spacing w:after="29" w:line="248" w:lineRule="auto"/>
        <w:ind w:right="14" w:firstLine="711"/>
        <w:jc w:val="both"/>
      </w:pPr>
      <w:r>
        <w:rPr>
          <w:rFonts w:ascii="Times New Roman" w:eastAsia="Times New Roman" w:hAnsi="Times New Roman" w:cs="Times New Roman"/>
          <w:sz w:val="24"/>
        </w:rPr>
        <w:lastRenderedPageBreak/>
        <w:t>Эпштейн А.Д. Религиозные сомнения в отсутствие атеизма: истоки и пределы богословского вольнодумства в Ев</w:t>
      </w:r>
      <w:r>
        <w:rPr>
          <w:rFonts w:ascii="Times New Roman" w:eastAsia="Times New Roman" w:hAnsi="Times New Roman" w:cs="Times New Roman"/>
          <w:sz w:val="24"/>
        </w:rPr>
        <w:t xml:space="preserve">ропе от Диагора Мелосского до Пьера Бейля - https://cyberleninka.ru/ </w:t>
      </w:r>
    </w:p>
    <w:p w:rsidR="0052701D" w:rsidRDefault="00D40929">
      <w:pPr>
        <w:numPr>
          <w:ilvl w:val="0"/>
          <w:numId w:val="99"/>
        </w:numPr>
        <w:spacing w:after="29" w:line="248" w:lineRule="auto"/>
        <w:ind w:right="14" w:firstLine="711"/>
        <w:jc w:val="both"/>
      </w:pPr>
      <w:r>
        <w:rPr>
          <w:rFonts w:ascii="Times New Roman" w:eastAsia="Times New Roman" w:hAnsi="Times New Roman" w:cs="Times New Roman"/>
          <w:sz w:val="24"/>
        </w:rPr>
        <w:t xml:space="preserve">Локк Дж. Послание о веротерпимости // Локк Дж. Соч. в трех томах. Т. 3. М., 1988. С. 91–134. </w:t>
      </w:r>
    </w:p>
    <w:p w:rsidR="0052701D" w:rsidRDefault="00D40929">
      <w:pPr>
        <w:numPr>
          <w:ilvl w:val="0"/>
          <w:numId w:val="99"/>
        </w:numPr>
        <w:spacing w:after="75" w:line="248" w:lineRule="auto"/>
        <w:ind w:right="14" w:firstLine="711"/>
        <w:jc w:val="both"/>
      </w:pPr>
      <w:r>
        <w:rPr>
          <w:rFonts w:ascii="Times New Roman" w:eastAsia="Times New Roman" w:hAnsi="Times New Roman" w:cs="Times New Roman"/>
          <w:sz w:val="24"/>
        </w:rPr>
        <w:t>Вольтер Ф.М. Трактат о веротерпимости в связи со смертью Жана Каласа // Вольтер. Бог и люди.</w:t>
      </w:r>
      <w:r>
        <w:rPr>
          <w:rFonts w:ascii="Times New Roman" w:eastAsia="Times New Roman" w:hAnsi="Times New Roman" w:cs="Times New Roman"/>
          <w:sz w:val="24"/>
        </w:rPr>
        <w:t xml:space="preserve"> Статьи, памфлеты, письма. В 2 тт. Т. 2. М., 1961.  </w:t>
      </w:r>
    </w:p>
    <w:p w:rsidR="0052701D" w:rsidRDefault="00D40929">
      <w:pPr>
        <w:spacing w:after="64"/>
        <w:ind w:left="711"/>
      </w:pPr>
      <w:r>
        <w:rPr>
          <w:rFonts w:ascii="Times New Roman" w:eastAsia="Times New Roman" w:hAnsi="Times New Roman" w:cs="Times New Roman"/>
          <w:sz w:val="24"/>
        </w:rPr>
        <w:t xml:space="preserve">  </w:t>
      </w:r>
    </w:p>
    <w:p w:rsidR="0052701D" w:rsidRDefault="00D40929">
      <w:pPr>
        <w:spacing w:after="22"/>
        <w:ind w:left="711"/>
      </w:pPr>
      <w:r>
        <w:rPr>
          <w:rFonts w:ascii="Times New Roman" w:eastAsia="Times New Roman" w:hAnsi="Times New Roman" w:cs="Times New Roman"/>
        </w:rPr>
        <w:t xml:space="preserve"> </w:t>
      </w:r>
    </w:p>
    <w:p w:rsidR="0052701D" w:rsidRDefault="00D40929">
      <w:pPr>
        <w:spacing w:after="4" w:line="271" w:lineRule="auto"/>
        <w:ind w:left="-5" w:right="194" w:hanging="10"/>
      </w:pPr>
      <w:r>
        <w:rPr>
          <w:rFonts w:ascii="Times New Roman" w:eastAsia="Times New Roman" w:hAnsi="Times New Roman" w:cs="Times New Roman"/>
          <w:b/>
          <w:sz w:val="24"/>
        </w:rPr>
        <w:t xml:space="preserve">МРНТИ 11.15.67 УДК 378 </w:t>
      </w:r>
    </w:p>
    <w:p w:rsidR="0052701D" w:rsidRDefault="00D40929">
      <w:pPr>
        <w:spacing w:after="73"/>
        <w:ind w:left="711"/>
      </w:pPr>
      <w:r>
        <w:rPr>
          <w:rFonts w:ascii="Times New Roman" w:eastAsia="Times New Roman" w:hAnsi="Times New Roman" w:cs="Times New Roman"/>
          <w:sz w:val="24"/>
        </w:rPr>
        <w:t xml:space="preserve"> </w:t>
      </w:r>
    </w:p>
    <w:p w:rsidR="0052701D" w:rsidRDefault="00D40929">
      <w:pPr>
        <w:pStyle w:val="1"/>
        <w:spacing w:after="36" w:line="251" w:lineRule="auto"/>
        <w:ind w:left="466" w:right="0" w:firstLine="1157"/>
        <w:jc w:val="left"/>
      </w:pPr>
      <w:r>
        <w:t xml:space="preserve">К ВОПРОСУ О ПАТРИОТИЧЕСКОМ ВОСПИТАНИИ </w:t>
      </w:r>
    </w:p>
    <w:p w:rsidR="0052701D" w:rsidRDefault="00D40929">
      <w:pPr>
        <w:spacing w:after="36" w:line="251" w:lineRule="auto"/>
        <w:ind w:left="466" w:firstLine="1157"/>
      </w:pPr>
      <w:r>
        <w:rPr>
          <w:rFonts w:ascii="Times New Roman" w:eastAsia="Times New Roman" w:hAnsi="Times New Roman" w:cs="Times New Roman"/>
          <w:b/>
          <w:sz w:val="28"/>
        </w:rPr>
        <w:t xml:space="preserve">МОЛОДЕЖИ В УСЛОВИЯХ РАЗВИТИЯ НОВОГО КАЗАХСТАНА </w:t>
      </w:r>
    </w:p>
    <w:p w:rsidR="0052701D" w:rsidRDefault="00D40929">
      <w:pPr>
        <w:spacing w:after="25"/>
        <w:ind w:left="696"/>
        <w:jc w:val="center"/>
      </w:pPr>
      <w:r>
        <w:rPr>
          <w:rFonts w:ascii="Times New Roman" w:eastAsia="Times New Roman" w:hAnsi="Times New Roman" w:cs="Times New Roman"/>
          <w:b/>
          <w:sz w:val="24"/>
        </w:rPr>
        <w:t xml:space="preserve"> </w:t>
      </w:r>
    </w:p>
    <w:p w:rsidR="0052701D" w:rsidRDefault="00D40929">
      <w:pPr>
        <w:pStyle w:val="1"/>
        <w:spacing w:after="16" w:line="248" w:lineRule="auto"/>
        <w:ind w:left="819" w:right="169"/>
      </w:pPr>
      <w:r>
        <w:rPr>
          <w:sz w:val="24"/>
        </w:rPr>
        <w:t xml:space="preserve">А.З. Бисенова </w:t>
      </w:r>
    </w:p>
    <w:p w:rsidR="0052701D" w:rsidRDefault="00D40929">
      <w:pPr>
        <w:spacing w:after="29" w:line="248" w:lineRule="auto"/>
        <w:ind w:left="1124" w:right="14"/>
        <w:jc w:val="both"/>
      </w:pPr>
      <w:r>
        <w:rPr>
          <w:rFonts w:ascii="Times New Roman" w:eastAsia="Times New Roman" w:hAnsi="Times New Roman" w:cs="Times New Roman"/>
          <w:sz w:val="24"/>
        </w:rPr>
        <w:t>НАО «Алматинский университет энергетики и связи им. Гумарбека Даукее</w:t>
      </w:r>
      <w:r>
        <w:rPr>
          <w:rFonts w:ascii="Times New Roman" w:eastAsia="Times New Roman" w:hAnsi="Times New Roman" w:cs="Times New Roman"/>
          <w:sz w:val="24"/>
        </w:rPr>
        <w:t xml:space="preserve">ва» </w:t>
      </w:r>
    </w:p>
    <w:p w:rsidR="0052701D" w:rsidRDefault="00D40929">
      <w:pPr>
        <w:spacing w:after="0"/>
        <w:ind w:left="645" w:right="8" w:hanging="10"/>
        <w:jc w:val="center"/>
      </w:pPr>
      <w:r>
        <w:rPr>
          <w:rFonts w:ascii="Times New Roman" w:eastAsia="Times New Roman" w:hAnsi="Times New Roman" w:cs="Times New Roman"/>
          <w:color w:val="0000FF"/>
          <w:sz w:val="24"/>
          <w:u w:val="single" w:color="0000FF"/>
        </w:rPr>
        <w:t>a.bisenova@aues.kz</w:t>
      </w:r>
      <w:r>
        <w:rPr>
          <w:rFonts w:ascii="Times New Roman" w:eastAsia="Times New Roman" w:hAnsi="Times New Roman" w:cs="Times New Roman"/>
          <w:sz w:val="24"/>
        </w:rPr>
        <w:t xml:space="preserve"> </w:t>
      </w:r>
    </w:p>
    <w:p w:rsidR="0052701D" w:rsidRDefault="00D40929">
      <w:pPr>
        <w:spacing w:after="24"/>
        <w:ind w:left="711"/>
      </w:pPr>
      <w:r>
        <w:rPr>
          <w:rFonts w:ascii="Times New Roman" w:eastAsia="Times New Roman" w:hAnsi="Times New Roman" w:cs="Times New Roman"/>
          <w:sz w:val="24"/>
        </w:rPr>
        <w:t xml:space="preserve"> </w:t>
      </w:r>
    </w:p>
    <w:p w:rsidR="0052701D" w:rsidRDefault="00D40929">
      <w:pPr>
        <w:spacing w:after="38" w:line="238" w:lineRule="auto"/>
        <w:ind w:left="-15" w:firstLine="711"/>
      </w:pPr>
      <w:r>
        <w:rPr>
          <w:rFonts w:ascii="Times New Roman" w:eastAsia="Times New Roman" w:hAnsi="Times New Roman" w:cs="Times New Roman"/>
          <w:b/>
          <w:i/>
          <w:sz w:val="24"/>
        </w:rPr>
        <w:t>Аннотация.</w:t>
      </w:r>
      <w:r>
        <w:rPr>
          <w:rFonts w:ascii="Times New Roman" w:eastAsia="Times New Roman" w:hAnsi="Times New Roman" w:cs="Times New Roman"/>
          <w:i/>
          <w:sz w:val="24"/>
        </w:rPr>
        <w:t xml:space="preserve"> В статье рассматриваются некоторые аспекты патриотического воспитания молодежи в РК, особенности и проблемы. Проводимая молодежная политика Республики Казахстан – важное направление социальной политики. В процессе </w:t>
      </w:r>
      <w:r>
        <w:rPr>
          <w:rFonts w:ascii="Times New Roman" w:eastAsia="Times New Roman" w:hAnsi="Times New Roman" w:cs="Times New Roman"/>
          <w:i/>
          <w:sz w:val="24"/>
        </w:rPr>
        <w:t xml:space="preserve">глобализации нужны новые силы и новые идеи для опережающего развития каждой страны. Путь к их достижению заключается в правильном воспитании молодого поколения.   </w:t>
      </w:r>
    </w:p>
    <w:p w:rsidR="0052701D" w:rsidRDefault="00D40929">
      <w:pPr>
        <w:spacing w:after="29" w:line="248" w:lineRule="auto"/>
        <w:ind w:left="9" w:firstLine="711"/>
        <w:jc w:val="both"/>
      </w:pP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 xml:space="preserve"> патриотизм, молодежная среда, инновации, глобализация, культурные и нравстве</w:t>
      </w:r>
      <w:r>
        <w:rPr>
          <w:rFonts w:ascii="Times New Roman" w:eastAsia="Times New Roman" w:hAnsi="Times New Roman" w:cs="Times New Roman"/>
          <w:i/>
          <w:sz w:val="24"/>
        </w:rPr>
        <w:t xml:space="preserve">нные ценности </w:t>
      </w:r>
    </w:p>
    <w:p w:rsidR="0052701D" w:rsidRDefault="00D40929">
      <w:pPr>
        <w:spacing w:after="0"/>
        <w:ind w:left="711"/>
      </w:pPr>
      <w:r>
        <w:rPr>
          <w:rFonts w:ascii="Times New Roman" w:eastAsia="Times New Roman" w:hAnsi="Times New Roman" w:cs="Times New Roman"/>
          <w:b/>
          <w:sz w:val="24"/>
        </w:rPr>
        <w:t xml:space="preserve"> </w:t>
      </w:r>
    </w:p>
    <w:p w:rsidR="0052701D" w:rsidRDefault="00D40929">
      <w:pPr>
        <w:spacing w:after="12"/>
        <w:ind w:left="711"/>
      </w:pPr>
      <w:r>
        <w:rPr>
          <w:rFonts w:ascii="Times New Roman" w:eastAsia="Times New Roman" w:hAnsi="Times New Roman" w:cs="Times New Roman"/>
          <w:b/>
          <w:sz w:val="24"/>
        </w:rPr>
        <w:t xml:space="preserve"> </w:t>
      </w:r>
    </w:p>
    <w:p w:rsidR="0052701D" w:rsidRDefault="00D40929">
      <w:pPr>
        <w:spacing w:after="5" w:line="271" w:lineRule="auto"/>
        <w:ind w:left="941" w:firstLine="9"/>
      </w:pPr>
      <w:r>
        <w:rPr>
          <w:rFonts w:ascii="Times New Roman" w:eastAsia="Times New Roman" w:hAnsi="Times New Roman" w:cs="Times New Roman"/>
          <w:b/>
          <w:sz w:val="28"/>
        </w:rPr>
        <w:t xml:space="preserve">ON THE ISSUE OF PATRIOTIC EDUCATION OF YOUTH IN THE CONDITIONS OF DEVELOPMENT OF NEW KAZAKHSTAN </w:t>
      </w:r>
    </w:p>
    <w:p w:rsidR="0052701D" w:rsidRDefault="00D40929">
      <w:pPr>
        <w:spacing w:after="0"/>
        <w:ind w:left="696"/>
        <w:jc w:val="center"/>
      </w:pPr>
      <w:r>
        <w:rPr>
          <w:rFonts w:ascii="Times New Roman" w:eastAsia="Times New Roman" w:hAnsi="Times New Roman" w:cs="Times New Roman"/>
          <w:b/>
          <w:sz w:val="24"/>
        </w:rPr>
        <w:t xml:space="preserve"> </w:t>
      </w:r>
    </w:p>
    <w:p w:rsidR="0052701D" w:rsidRDefault="00D40929">
      <w:pPr>
        <w:spacing w:after="16" w:line="248" w:lineRule="auto"/>
        <w:ind w:left="819" w:right="179" w:hanging="10"/>
        <w:jc w:val="center"/>
      </w:pPr>
      <w:r>
        <w:rPr>
          <w:rFonts w:ascii="Times New Roman" w:eastAsia="Times New Roman" w:hAnsi="Times New Roman" w:cs="Times New Roman"/>
          <w:b/>
          <w:sz w:val="24"/>
        </w:rPr>
        <w:t xml:space="preserve">A.Z. Bisenova </w:t>
      </w:r>
    </w:p>
    <w:p w:rsidR="0052701D" w:rsidRDefault="00D40929">
      <w:pPr>
        <w:spacing w:after="29" w:line="248" w:lineRule="auto"/>
        <w:ind w:left="1239" w:right="14"/>
        <w:jc w:val="both"/>
      </w:pPr>
      <w:r>
        <w:rPr>
          <w:rFonts w:ascii="Times New Roman" w:eastAsia="Times New Roman" w:hAnsi="Times New Roman" w:cs="Times New Roman"/>
          <w:sz w:val="24"/>
        </w:rPr>
        <w:t xml:space="preserve">NAO "Almaty University of Energy and Communications named after Gumarbek </w:t>
      </w:r>
    </w:p>
    <w:p w:rsidR="0052701D" w:rsidRDefault="00D40929">
      <w:pPr>
        <w:spacing w:after="14" w:line="248" w:lineRule="auto"/>
        <w:ind w:left="713" w:right="793" w:hanging="5"/>
        <w:jc w:val="center"/>
      </w:pPr>
      <w:r>
        <w:rPr>
          <w:rFonts w:ascii="Times New Roman" w:eastAsia="Times New Roman" w:hAnsi="Times New Roman" w:cs="Times New Roman"/>
          <w:sz w:val="24"/>
        </w:rPr>
        <w:t xml:space="preserve">Daukeev», a.bisenova@aues.kz </w:t>
      </w:r>
    </w:p>
    <w:p w:rsidR="0052701D" w:rsidRDefault="00D40929">
      <w:pPr>
        <w:spacing w:after="0"/>
        <w:ind w:left="711"/>
      </w:pPr>
      <w:r>
        <w:rPr>
          <w:rFonts w:ascii="Times New Roman" w:eastAsia="Times New Roman" w:hAnsi="Times New Roman" w:cs="Times New Roman"/>
          <w:sz w:val="24"/>
        </w:rPr>
        <w:t xml:space="preserve"> </w:t>
      </w:r>
    </w:p>
    <w:p w:rsidR="0052701D" w:rsidRDefault="00D40929">
      <w:pPr>
        <w:spacing w:after="4" w:line="245" w:lineRule="auto"/>
        <w:ind w:left="-15" w:right="129" w:firstLine="701"/>
      </w:pPr>
      <w:r>
        <w:rPr>
          <w:rFonts w:ascii="Times New Roman" w:eastAsia="Times New Roman" w:hAnsi="Times New Roman" w:cs="Times New Roman"/>
          <w:b/>
          <w:sz w:val="24"/>
        </w:rPr>
        <w:t>Annotation.</w:t>
      </w:r>
      <w:r>
        <w:rPr>
          <w:rFonts w:ascii="Times New Roman" w:eastAsia="Times New Roman" w:hAnsi="Times New Roman" w:cs="Times New Roman"/>
          <w:sz w:val="24"/>
        </w:rPr>
        <w:t xml:space="preserve"> The </w:t>
      </w:r>
      <w:r>
        <w:rPr>
          <w:rFonts w:ascii="Times New Roman" w:eastAsia="Times New Roman" w:hAnsi="Times New Roman" w:cs="Times New Roman"/>
          <w:sz w:val="24"/>
        </w:rPr>
        <w:t xml:space="preserve">article discusses some aspects of patriotic education of youth in the Republic of Kazakhstan, features and problems. The youth policy of the Republic of Kazakhstan is an important direction of social policy. In the process of globalization, new forces and </w:t>
      </w:r>
      <w:r>
        <w:rPr>
          <w:rFonts w:ascii="Times New Roman" w:eastAsia="Times New Roman" w:hAnsi="Times New Roman" w:cs="Times New Roman"/>
          <w:sz w:val="24"/>
        </w:rPr>
        <w:t xml:space="preserve">new ideas are needed for the advanced development of each country. The way to achieve them lies in the proper education of the younger generation.   </w:t>
      </w:r>
    </w:p>
    <w:p w:rsidR="0052701D" w:rsidRDefault="00D40929">
      <w:pPr>
        <w:spacing w:after="79" w:line="248" w:lineRule="auto"/>
        <w:ind w:left="9" w:right="14" w:firstLine="711"/>
        <w:jc w:val="both"/>
      </w:pPr>
      <w:r>
        <w:rPr>
          <w:rFonts w:ascii="Times New Roman" w:eastAsia="Times New Roman" w:hAnsi="Times New Roman" w:cs="Times New Roman"/>
          <w:b/>
          <w:sz w:val="24"/>
        </w:rPr>
        <w:t>Keywords:</w:t>
      </w:r>
      <w:r>
        <w:rPr>
          <w:rFonts w:ascii="Times New Roman" w:eastAsia="Times New Roman" w:hAnsi="Times New Roman" w:cs="Times New Roman"/>
          <w:sz w:val="24"/>
        </w:rPr>
        <w:t xml:space="preserve"> patriotism, youth environment, innovation, globalization, cultural and moral values </w:t>
      </w:r>
    </w:p>
    <w:p w:rsidR="0052701D" w:rsidRDefault="00D40929">
      <w:pPr>
        <w:spacing w:after="81"/>
        <w:ind w:left="711"/>
      </w:pPr>
      <w:r>
        <w:rPr>
          <w:rFonts w:ascii="Times New Roman" w:eastAsia="Times New Roman" w:hAnsi="Times New Roman" w:cs="Times New Roman"/>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lastRenderedPageBreak/>
        <w:t xml:space="preserve">Движущей </w:t>
      </w:r>
      <w:r>
        <w:rPr>
          <w:rFonts w:ascii="Times New Roman" w:eastAsia="Times New Roman" w:hAnsi="Times New Roman" w:cs="Times New Roman"/>
          <w:sz w:val="28"/>
        </w:rPr>
        <w:t>силой любого государства была и остается молодежь. В связи с этим особо важными и актуальными остаются вопросы патриотического воспитания и формирования гражданских ценностей среди современной молодежи в современных условиях модернизации всей системы общес</w:t>
      </w:r>
      <w:r>
        <w:rPr>
          <w:rFonts w:ascii="Times New Roman" w:eastAsia="Times New Roman" w:hAnsi="Times New Roman" w:cs="Times New Roman"/>
          <w:sz w:val="28"/>
        </w:rPr>
        <w:t>твенных отношений в Республике Казахстан. В соответствии со своей социальной политикой наше государство принимает множество программ, необходимых для образования, обеспечения жильем и трудоустройства молодого поколения. Но все же перед государством и общес</w:t>
      </w:r>
      <w:r>
        <w:rPr>
          <w:rFonts w:ascii="Times New Roman" w:eastAsia="Times New Roman" w:hAnsi="Times New Roman" w:cs="Times New Roman"/>
          <w:sz w:val="28"/>
        </w:rPr>
        <w:t>твом стоит задача по созданию системы воспитания молодежи, базирующейся на патриотизме, моральных и нравственных ценностях, правовой культуре человека. Ведь воспитание патриотизма среди молодежи в уверенно развивающемся государстве не следует оценивать тол</w:t>
      </w:r>
      <w:r>
        <w:rPr>
          <w:rFonts w:ascii="Times New Roman" w:eastAsia="Times New Roman" w:hAnsi="Times New Roman" w:cs="Times New Roman"/>
          <w:sz w:val="28"/>
        </w:rPr>
        <w:t>ько как творческий процесс. Это еще и борьба за молодежь, за будущее страны, борьба против таких негативных явлений, как борьба с коррупцией, рост преступности, наркомании, алкоголизма и экстремистских настроений, вынужденная миграция…  К сожалению, сегодн</w:t>
      </w:r>
      <w:r>
        <w:rPr>
          <w:rFonts w:ascii="Times New Roman" w:eastAsia="Times New Roman" w:hAnsi="Times New Roman" w:cs="Times New Roman"/>
          <w:sz w:val="28"/>
        </w:rPr>
        <w:t xml:space="preserve">я современным миром правят эгоизм, прагматизм и равнодушие. Очень часто материальный фактор и возможность уехать за рубеж в поисках лучшей жизни иногда пересиливает привязанность к своей стране. Но каждому человеку нужно понять одну вещь. Патриотизм - это </w:t>
      </w:r>
      <w:r>
        <w:rPr>
          <w:rFonts w:ascii="Times New Roman" w:eastAsia="Times New Roman" w:hAnsi="Times New Roman" w:cs="Times New Roman"/>
          <w:sz w:val="28"/>
        </w:rPr>
        <w:t>понимание собственного участия, который подтверждается ежедневной работой на благо своей страны. В этом смысле патриотизм должен стать приоритетом в воспитании чувства гражданственности молодежи. Поэтому понятно, что в условиях глобализации и в условиях ра</w:t>
      </w:r>
      <w:r>
        <w:rPr>
          <w:rFonts w:ascii="Times New Roman" w:eastAsia="Times New Roman" w:hAnsi="Times New Roman" w:cs="Times New Roman"/>
          <w:sz w:val="28"/>
        </w:rPr>
        <w:t>звития нового Казахстана вопрос духовно-патриотического воспитания молодежи государством остается актуальным. В связи со значительными изменениями в социальной и экономической жизни нашего общества в эпоху глобализации политические, экономические, социокул</w:t>
      </w:r>
      <w:r>
        <w:rPr>
          <w:rFonts w:ascii="Times New Roman" w:eastAsia="Times New Roman" w:hAnsi="Times New Roman" w:cs="Times New Roman"/>
          <w:sz w:val="28"/>
        </w:rPr>
        <w:t xml:space="preserve">ьтурные и духовные условия требуют правильного осмысления вопроса воспитания молодежи. </w:t>
      </w:r>
    </w:p>
    <w:p w:rsidR="0052701D" w:rsidRDefault="00D40929">
      <w:pPr>
        <w:spacing w:after="5" w:line="271" w:lineRule="auto"/>
        <w:ind w:left="9" w:right="64" w:firstLine="711"/>
        <w:jc w:val="both"/>
      </w:pPr>
      <w:r>
        <w:rPr>
          <w:rFonts w:ascii="Times New Roman" w:eastAsia="Times New Roman" w:hAnsi="Times New Roman" w:cs="Times New Roman"/>
          <w:sz w:val="28"/>
        </w:rPr>
        <w:t>Актуальным вопросом современности становится воспитание сознания и национальной психологии будущих поколений независимой страны в русле традиций и национального наследи</w:t>
      </w:r>
      <w:r>
        <w:rPr>
          <w:rFonts w:ascii="Times New Roman" w:eastAsia="Times New Roman" w:hAnsi="Times New Roman" w:cs="Times New Roman"/>
          <w:sz w:val="28"/>
        </w:rPr>
        <w:t>я предков с древних времен. Казахстанский патриотизм выражает понимание того, что он связан с казахстанским интернационализмом, то есть казахстанский патриотизм связан с казахстанским межэтническим согласием. Кроме того, все этносы, проживающие в Республик</w:t>
      </w:r>
      <w:r>
        <w:rPr>
          <w:rFonts w:ascii="Times New Roman" w:eastAsia="Times New Roman" w:hAnsi="Times New Roman" w:cs="Times New Roman"/>
          <w:sz w:val="28"/>
        </w:rPr>
        <w:t>е Казахстан, должны относиться к своей стране как к своей Родине, уважительно относиться к казахскому народу, быть готовыми к развитию и защите родной земли. Национальная идеология — это та исходная точка, вытекающая из истории культуры, языка, религии и н</w:t>
      </w:r>
      <w:r>
        <w:rPr>
          <w:rFonts w:ascii="Times New Roman" w:eastAsia="Times New Roman" w:hAnsi="Times New Roman" w:cs="Times New Roman"/>
          <w:sz w:val="28"/>
        </w:rPr>
        <w:t xml:space="preserve">ациональных ценностей каждого этноса, проживающего в республике.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Несомненно, что молодежь - важная часть общества, перспективная во всех сферах экономической, политической и общественной жизни. И в </w:t>
      </w:r>
      <w:r>
        <w:rPr>
          <w:rFonts w:ascii="Times New Roman" w:eastAsia="Times New Roman" w:hAnsi="Times New Roman" w:cs="Times New Roman"/>
          <w:sz w:val="28"/>
        </w:rPr>
        <w:lastRenderedPageBreak/>
        <w:t>настоящее время, когда человечество живет в эпоху глобал</w:t>
      </w:r>
      <w:r>
        <w:rPr>
          <w:rFonts w:ascii="Times New Roman" w:eastAsia="Times New Roman" w:hAnsi="Times New Roman" w:cs="Times New Roman"/>
          <w:sz w:val="28"/>
        </w:rPr>
        <w:t>изации, которая оказывает большое внешнее влияние на знания и мировоззрение, также и определяет направление будущего развития мирового сообщества. Глобализация – это формирование единого человеческого сообщества, находящегося в тесных экономических, научно</w:t>
      </w:r>
      <w:r>
        <w:rPr>
          <w:rFonts w:ascii="Times New Roman" w:eastAsia="Times New Roman" w:hAnsi="Times New Roman" w:cs="Times New Roman"/>
          <w:sz w:val="28"/>
        </w:rPr>
        <w:t>-технических, политических и культурных отношениях друг с другом. Это процесс, который происходит на наших глазах в очень быстром темпе. Правда, основным признанным в мире принципом глобализации является принцип формирования общемировых ценностей в различн</w:t>
      </w:r>
      <w:r>
        <w:rPr>
          <w:rFonts w:ascii="Times New Roman" w:eastAsia="Times New Roman" w:hAnsi="Times New Roman" w:cs="Times New Roman"/>
          <w:sz w:val="28"/>
        </w:rPr>
        <w:t>ых сферах жизни общества. Поэтому, являясь субъектом мирового сообщества, мы, несомненно, сталкиваемся с процессами глобализации. Невозможно жить в изоляции, когда страны мира сотрудничают в экономическом, информационном и культурном плане. Глобализация на</w:t>
      </w:r>
      <w:r>
        <w:rPr>
          <w:rFonts w:ascii="Times New Roman" w:eastAsia="Times New Roman" w:hAnsi="Times New Roman" w:cs="Times New Roman"/>
          <w:sz w:val="28"/>
        </w:rPr>
        <w:t xml:space="preserve">прямую затрагивает все сферы нашей жизни, то есть экономическую, политическую, культурную, общественную жизнь, семью и собственную безопасность. </w:t>
      </w:r>
    </w:p>
    <w:p w:rsidR="0052701D" w:rsidRDefault="00D40929">
      <w:pPr>
        <w:spacing w:after="5" w:line="271" w:lineRule="auto"/>
        <w:ind w:left="9" w:right="64" w:firstLine="711"/>
        <w:jc w:val="both"/>
      </w:pPr>
      <w:r>
        <w:rPr>
          <w:rFonts w:ascii="Times New Roman" w:eastAsia="Times New Roman" w:hAnsi="Times New Roman" w:cs="Times New Roman"/>
          <w:sz w:val="28"/>
        </w:rPr>
        <w:t>С появлением новых технологий, созданием новых экономических отношений, изменением производительных сил мир вс</w:t>
      </w:r>
      <w:r>
        <w:rPr>
          <w:rFonts w:ascii="Times New Roman" w:eastAsia="Times New Roman" w:hAnsi="Times New Roman" w:cs="Times New Roman"/>
          <w:sz w:val="28"/>
        </w:rPr>
        <w:t>тупил в новую интеграционную стадию развития. Поскольку молодежь быстрее всех осваивает инновации, технологии, образование и искусство, меняется их отношение к жизни, к материальным и духовным ценностям, к социуму. В связи с этим часто говорят, что материа</w:t>
      </w:r>
      <w:r>
        <w:rPr>
          <w:rFonts w:ascii="Times New Roman" w:eastAsia="Times New Roman" w:hAnsi="Times New Roman" w:cs="Times New Roman"/>
          <w:sz w:val="28"/>
        </w:rPr>
        <w:t>льные потребности важнее духовных. Молодые люди активны, открыты и полны энергии, поэтому с интересом принимают участие в любом процессе. Подтверждением этому тот факт, что многие молодые люди, овладев иностранными языками, разрушают коммуникативные барьер</w:t>
      </w:r>
      <w:r>
        <w:rPr>
          <w:rFonts w:ascii="Times New Roman" w:eastAsia="Times New Roman" w:hAnsi="Times New Roman" w:cs="Times New Roman"/>
          <w:sz w:val="28"/>
        </w:rPr>
        <w:t xml:space="preserve">ы, что дает им возможность наладить отношения с молодежью других государств. В целом глобализация влияет на адаптацию молодежи к современной жизни и ее социализацию. </w:t>
      </w:r>
    </w:p>
    <w:p w:rsidR="0052701D" w:rsidRDefault="00D40929">
      <w:pPr>
        <w:spacing w:after="5" w:line="271" w:lineRule="auto"/>
        <w:ind w:left="9" w:right="64" w:firstLine="711"/>
        <w:jc w:val="both"/>
      </w:pPr>
      <w:r>
        <w:rPr>
          <w:rFonts w:ascii="Times New Roman" w:eastAsia="Times New Roman" w:hAnsi="Times New Roman" w:cs="Times New Roman"/>
          <w:sz w:val="28"/>
        </w:rPr>
        <w:t>В процессе глобализации нужны новые силы и новые идеи для опережающего развития каждой ст</w:t>
      </w:r>
      <w:r>
        <w:rPr>
          <w:rFonts w:ascii="Times New Roman" w:eastAsia="Times New Roman" w:hAnsi="Times New Roman" w:cs="Times New Roman"/>
          <w:sz w:val="28"/>
        </w:rPr>
        <w:t>раны. Путь к их достижению заключается в правильном воспитании молодого поколения. Сегодня процесс воспитания направлен не только на воспитание у молодежи хороших качеств, но и на защиту ее от негативного влияния времени. Укрепление национальной культуры к</w:t>
      </w:r>
      <w:r>
        <w:rPr>
          <w:rFonts w:ascii="Times New Roman" w:eastAsia="Times New Roman" w:hAnsi="Times New Roman" w:cs="Times New Roman"/>
          <w:sz w:val="28"/>
        </w:rPr>
        <w:t>аждой страны, сохранение местных традиций и преодоление негативного влияния глобализации входят в число приоритетов внутриполитического направления многих государств. Крупнейшие международные организации ставят молодежь, ее нормальную жизнь, здоровье и эфф</w:t>
      </w:r>
      <w:r>
        <w:rPr>
          <w:rFonts w:ascii="Times New Roman" w:eastAsia="Times New Roman" w:hAnsi="Times New Roman" w:cs="Times New Roman"/>
          <w:sz w:val="28"/>
        </w:rPr>
        <w:t xml:space="preserve">ективную работу в качестве важнейшего вопроса (например программа ООН «Цели Развития Тысячелетия» по борьбе с бедностью и общему повышению уровня жизни). </w:t>
      </w:r>
    </w:p>
    <w:p w:rsidR="0052701D" w:rsidRDefault="00D40929">
      <w:pPr>
        <w:spacing w:after="5" w:line="271" w:lineRule="auto"/>
        <w:ind w:left="9" w:right="64" w:firstLine="711"/>
        <w:jc w:val="both"/>
      </w:pPr>
      <w:r>
        <w:rPr>
          <w:rFonts w:ascii="Times New Roman" w:eastAsia="Times New Roman" w:hAnsi="Times New Roman" w:cs="Times New Roman"/>
          <w:sz w:val="28"/>
        </w:rPr>
        <w:lastRenderedPageBreak/>
        <w:t>Следует отметить, что за годы независимости в Казахстане появилась молодежь, которая по-новому смотри</w:t>
      </w:r>
      <w:r>
        <w:rPr>
          <w:rFonts w:ascii="Times New Roman" w:eastAsia="Times New Roman" w:hAnsi="Times New Roman" w:cs="Times New Roman"/>
          <w:sz w:val="28"/>
        </w:rPr>
        <w:t>т на современные вызовы. Будущее поколение принимает активное участие в процессах развития и социальнополитической модернизации страны. А развитое демократическое общество предъявляет высокие требования к человеку и его личным профессиональным качествам, т</w:t>
      </w:r>
      <w:r>
        <w:rPr>
          <w:rFonts w:ascii="Times New Roman" w:eastAsia="Times New Roman" w:hAnsi="Times New Roman" w:cs="Times New Roman"/>
          <w:sz w:val="28"/>
        </w:rPr>
        <w:t>ак как современные специалисты должны быть не только новаторами в своей профессии, но и быть конкурентоспособными. Исходя из закономерностей воспитания, система патриотического воспитания учащейся молодежи должна вестись в тесном контакте в учебном процесс</w:t>
      </w:r>
      <w:r>
        <w:rPr>
          <w:rFonts w:ascii="Times New Roman" w:eastAsia="Times New Roman" w:hAnsi="Times New Roman" w:cs="Times New Roman"/>
          <w:sz w:val="28"/>
        </w:rPr>
        <w:t>е и во внеучебное время, интегрируя образовательную, семейную и общественную среду. Также в стране за годы независимости были приняты специальные законы и концепции, касающиеся молодежной политики, созданы молодежные советы при Президенте и государственных</w:t>
      </w:r>
      <w:r>
        <w:rPr>
          <w:rFonts w:ascii="Times New Roman" w:eastAsia="Times New Roman" w:hAnsi="Times New Roman" w:cs="Times New Roman"/>
          <w:sz w:val="28"/>
        </w:rPr>
        <w:t xml:space="preserve"> органах, Комитет по делам молодежи и семьи, отделы молодежной политики в местных акиматах. Можно привести в пример проект «Молодежный кадровый резерв», предложенный Президентом Республики Казахстан К.Токаевым, который   получил широкую поддержку и с новой</w:t>
      </w:r>
      <w:r>
        <w:rPr>
          <w:rFonts w:ascii="Times New Roman" w:eastAsia="Times New Roman" w:hAnsi="Times New Roman" w:cs="Times New Roman"/>
          <w:sz w:val="28"/>
        </w:rPr>
        <w:t xml:space="preserve"> волной увеличил численность государственных служащих. Отобранные в кадровый резерв работают в центральных и местных органах власти, в   национальных компаниях. Так, по итогам выборов в 2020 году не менее 30% женщин и 20% молодежи в возрасте до 35 лет были</w:t>
      </w:r>
      <w:r>
        <w:rPr>
          <w:rFonts w:ascii="Times New Roman" w:eastAsia="Times New Roman" w:hAnsi="Times New Roman" w:cs="Times New Roman"/>
          <w:sz w:val="28"/>
        </w:rPr>
        <w:t xml:space="preserve"> представлены в партийном списке на заседании Парламента РК и маслихатах всех уровней.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Таким образом, проводимая молодежная политика Республики Казахстан – важное направление социальной политики. Его формирование базируется на </w:t>
      </w:r>
    </w:p>
    <w:p w:rsidR="0052701D" w:rsidRDefault="00D40929">
      <w:pPr>
        <w:spacing w:after="5" w:line="271" w:lineRule="auto"/>
        <w:ind w:left="9" w:right="64"/>
        <w:jc w:val="both"/>
      </w:pPr>
      <w:r>
        <w:rPr>
          <w:rFonts w:ascii="Times New Roman" w:eastAsia="Times New Roman" w:hAnsi="Times New Roman" w:cs="Times New Roman"/>
          <w:sz w:val="28"/>
        </w:rPr>
        <w:t>«Концепции молодежной поли</w:t>
      </w:r>
      <w:r>
        <w:rPr>
          <w:rFonts w:ascii="Times New Roman" w:eastAsia="Times New Roman" w:hAnsi="Times New Roman" w:cs="Times New Roman"/>
          <w:sz w:val="28"/>
        </w:rPr>
        <w:t>тики Республики Казахстан», принятой 28 августа 1999 года, Законе «О молодежной политике» 2004 года и государственной концепции «Казахстан 2020: путь в будущее». Понятно, что вызовы, возникшие в критический период, являются поводом для укрепления отношений</w:t>
      </w:r>
      <w:r>
        <w:rPr>
          <w:rFonts w:ascii="Times New Roman" w:eastAsia="Times New Roman" w:hAnsi="Times New Roman" w:cs="Times New Roman"/>
          <w:sz w:val="28"/>
        </w:rPr>
        <w:t xml:space="preserve"> среди молодежи. В частности, в концепции «Казахстан 2020: путь в будущее» в качестве актуальных проблем современной молодежи обозначены следующие: влияние глобализации на традиционную систему ценностей; стремление к потребительству; патернализм и социальн</w:t>
      </w:r>
      <w:r>
        <w:rPr>
          <w:rFonts w:ascii="Times New Roman" w:eastAsia="Times New Roman" w:hAnsi="Times New Roman" w:cs="Times New Roman"/>
          <w:sz w:val="28"/>
        </w:rPr>
        <w:t xml:space="preserve">ый инфантилизм; риск радикализма среди молодежи; занятость молодежи, ее здоровье. </w:t>
      </w:r>
    </w:p>
    <w:p w:rsidR="0052701D" w:rsidRDefault="00D40929">
      <w:pPr>
        <w:spacing w:after="5" w:line="271" w:lineRule="auto"/>
        <w:ind w:left="9" w:right="64" w:firstLine="711"/>
        <w:jc w:val="both"/>
      </w:pPr>
      <w:r>
        <w:rPr>
          <w:rFonts w:ascii="Times New Roman" w:eastAsia="Times New Roman" w:hAnsi="Times New Roman" w:cs="Times New Roman"/>
          <w:sz w:val="28"/>
        </w:rPr>
        <w:t>Как видно из последовательности упомянутых выше проблем, важно воспитывать молодежь в направлении духовности и патриотизма и всегда много работать. Для выполнения этих целей</w:t>
      </w:r>
      <w:r>
        <w:rPr>
          <w:rFonts w:ascii="Times New Roman" w:eastAsia="Times New Roman" w:hAnsi="Times New Roman" w:cs="Times New Roman"/>
          <w:sz w:val="28"/>
        </w:rPr>
        <w:t xml:space="preserve"> необходимо определить следующие задачи: воспитание уважения к родной земле и родному языку; почитание национальных обычаев и традиций; становление патриотических ценностей личности; формирование уважения к государственным символам; воспитание гражданина, </w:t>
      </w:r>
      <w:r>
        <w:rPr>
          <w:rFonts w:ascii="Times New Roman" w:eastAsia="Times New Roman" w:hAnsi="Times New Roman" w:cs="Times New Roman"/>
          <w:sz w:val="28"/>
        </w:rPr>
        <w:t xml:space="preserve">укрепляющего сотрудничество и дружбу между народами, сохраняющими целостность Республики Казахстан. Начальное формирование </w:t>
      </w:r>
      <w:r>
        <w:rPr>
          <w:rFonts w:ascii="Times New Roman" w:eastAsia="Times New Roman" w:hAnsi="Times New Roman" w:cs="Times New Roman"/>
          <w:sz w:val="28"/>
        </w:rPr>
        <w:lastRenderedPageBreak/>
        <w:t>общих патриотических чувств необходимо начинать в семье, далее продолжать в стенах школы, а затем и в высших учебных заведениях. Так,</w:t>
      </w:r>
      <w:r>
        <w:rPr>
          <w:rFonts w:ascii="Times New Roman" w:eastAsia="Times New Roman" w:hAnsi="Times New Roman" w:cs="Times New Roman"/>
          <w:sz w:val="28"/>
        </w:rPr>
        <w:t xml:space="preserve"> уже в учебные программы 2022/23 учебного года в школах Казахстана внедрен предмет "Патриотизм и глобальные компетенции", который будет изучаться в 5-11 классах [1]. Ведь не может быть сильным ни государство, ни общество, если народ не объединен чувством л</w:t>
      </w:r>
      <w:r>
        <w:rPr>
          <w:rFonts w:ascii="Times New Roman" w:eastAsia="Times New Roman" w:hAnsi="Times New Roman" w:cs="Times New Roman"/>
          <w:sz w:val="28"/>
        </w:rPr>
        <w:t>юбви и преданности своей Родине. В этом понимании патриотизм должен стать приоритетом в воспитании чувства гражданственности молодого поколения страны. Для современного казахстанского общества важно, чтобы каждый человек не только помнил свою историю, горд</w:t>
      </w:r>
      <w:r>
        <w:rPr>
          <w:rFonts w:ascii="Times New Roman" w:eastAsia="Times New Roman" w:hAnsi="Times New Roman" w:cs="Times New Roman"/>
          <w:sz w:val="28"/>
        </w:rPr>
        <w:t>ился своей страной и понимал, что от успеха страны зависит счастье каждого, но при этом не оставался безучастным к событиям, происходящим в государстве. Сегодня государство и гражданское общество проводят много хороших мероприятий, связанных с развитием мо</w:t>
      </w:r>
      <w:r>
        <w:rPr>
          <w:rFonts w:ascii="Times New Roman" w:eastAsia="Times New Roman" w:hAnsi="Times New Roman" w:cs="Times New Roman"/>
          <w:sz w:val="28"/>
        </w:rPr>
        <w:t>лодежи. Мир литературы занимает особое место в сохранении системы традиционных ценностей, поддержании духовных ценностей, защите молодежи от радикализма, мобилизации ее на укрепление самостоятельности, обеспечении национального образования. Чтобы пропаганд</w:t>
      </w:r>
      <w:r>
        <w:rPr>
          <w:rFonts w:ascii="Times New Roman" w:eastAsia="Times New Roman" w:hAnsi="Times New Roman" w:cs="Times New Roman"/>
          <w:sz w:val="28"/>
        </w:rPr>
        <w:t>ировать патриотические ценности и стать единой нацией, в любом государстве в первую очередь должны быть созданы условия для развития экономики, образования и науки, сохранения традиций и развития национальной культуры. Здесь актуальными становятся произвед</w:t>
      </w:r>
      <w:r>
        <w:rPr>
          <w:rFonts w:ascii="Times New Roman" w:eastAsia="Times New Roman" w:hAnsi="Times New Roman" w:cs="Times New Roman"/>
          <w:sz w:val="28"/>
        </w:rPr>
        <w:t>ения поэтов-писателей, поднимающих актуальные вопросы духовной жизни народа. Тема независимости также включена в эту серию. Знание их укрепляет национальный дух народа и возрождает неизменные традиционные культурные и нравственные ценности. Сегодня жизненн</w:t>
      </w:r>
      <w:r>
        <w:rPr>
          <w:rFonts w:ascii="Times New Roman" w:eastAsia="Times New Roman" w:hAnsi="Times New Roman" w:cs="Times New Roman"/>
          <w:sz w:val="28"/>
        </w:rPr>
        <w:t>о необходимо узнать об историческом наследии нашего народа, беречь его и превращать в питательный напиток для нашего настоящего и будущего. Народная традиция учит вере, милосердию и доброте. Независимость Казахстана выдвинула вопросы воспитания молодежи но</w:t>
      </w:r>
      <w:r>
        <w:rPr>
          <w:rFonts w:ascii="Times New Roman" w:eastAsia="Times New Roman" w:hAnsi="Times New Roman" w:cs="Times New Roman"/>
          <w:sz w:val="28"/>
        </w:rPr>
        <w:t>вого государства в этико-нравственном, патриотическом духе. Сегодня в стране подрастает молодое поколение, знающее несколько языков, владеющее современными информационными технологиями и стремящееся к определенной цели. Это правда, что необходимо поддержив</w:t>
      </w:r>
      <w:r>
        <w:rPr>
          <w:rFonts w:ascii="Times New Roman" w:eastAsia="Times New Roman" w:hAnsi="Times New Roman" w:cs="Times New Roman"/>
          <w:sz w:val="28"/>
        </w:rPr>
        <w:t>ать это поколение и формировать представление об общечеловеческих ценностях. Только тогда вырастут грамотные, здравомыслящие, нравственные граждане, заинтересованные в благополучии общества в целом. Граждане, любящие свою Родину, глубоко понимающие историю</w:t>
      </w:r>
      <w:r>
        <w:rPr>
          <w:rFonts w:ascii="Times New Roman" w:eastAsia="Times New Roman" w:hAnsi="Times New Roman" w:cs="Times New Roman"/>
          <w:sz w:val="28"/>
        </w:rPr>
        <w:t xml:space="preserve"> этой земли, уважающие культуру проживающих на ней этносов и народов, но понимающие, что у них общие ценности, воспитанные в духе взаимного доверия и взаимопонимания, всегда </w:t>
      </w:r>
      <w:r>
        <w:rPr>
          <w:rFonts w:ascii="Times New Roman" w:eastAsia="Times New Roman" w:hAnsi="Times New Roman" w:cs="Times New Roman"/>
          <w:sz w:val="28"/>
        </w:rPr>
        <w:lastRenderedPageBreak/>
        <w:t>открыты к миру, любознательному, стремящемуся к знаниям и науке, вдали от негативн</w:t>
      </w:r>
      <w:r>
        <w:rPr>
          <w:rFonts w:ascii="Times New Roman" w:eastAsia="Times New Roman" w:hAnsi="Times New Roman" w:cs="Times New Roman"/>
          <w:sz w:val="28"/>
        </w:rPr>
        <w:t xml:space="preserve">ых действий и людей будут искренне уважать. </w:t>
      </w:r>
    </w:p>
    <w:p w:rsidR="0052701D" w:rsidRDefault="00D40929">
      <w:pPr>
        <w:spacing w:after="5" w:line="271" w:lineRule="auto"/>
        <w:ind w:left="9" w:right="64" w:firstLine="711"/>
        <w:jc w:val="both"/>
      </w:pPr>
      <w:r>
        <w:rPr>
          <w:rFonts w:ascii="Times New Roman" w:eastAsia="Times New Roman" w:hAnsi="Times New Roman" w:cs="Times New Roman"/>
          <w:sz w:val="28"/>
        </w:rPr>
        <w:t>Резюмируя вышесказанное, хочется подчеркнуть, что у нас есть все возможности сформировать чувство патриотизма через национальные и общечеловеческие ценности, передаваемые из поколения в поколение, а также воспит</w:t>
      </w:r>
      <w:r>
        <w:rPr>
          <w:rFonts w:ascii="Times New Roman" w:eastAsia="Times New Roman" w:hAnsi="Times New Roman" w:cs="Times New Roman"/>
          <w:sz w:val="28"/>
        </w:rPr>
        <w:t>ать это чувство у нашей молодежи, которая вместе с формированием чести и долга упрочивает независимость и единство нашей страны. В заключении приведем слова Главы государства, сказанные на церемонии закрытия "Года молодежи", что "именно молодые казахстанцы</w:t>
      </w:r>
      <w:r>
        <w:rPr>
          <w:rFonts w:ascii="Times New Roman" w:eastAsia="Times New Roman" w:hAnsi="Times New Roman" w:cs="Times New Roman"/>
          <w:sz w:val="28"/>
        </w:rPr>
        <w:t xml:space="preserve"> должны идти в авангарде патриотизма. Формула отечественного патриотизма четкая и ясная: знание истории народа, уважение к государству, постоянное саморазвитие, честность, работоспособность. Праздный и лицемерный человек никогда не станет патриотом"[2]. </w:t>
      </w:r>
    </w:p>
    <w:p w:rsidR="0052701D" w:rsidRDefault="00D40929">
      <w:pPr>
        <w:spacing w:after="47"/>
        <w:ind w:left="691"/>
        <w:jc w:val="center"/>
      </w:pPr>
      <w:r>
        <w:rPr>
          <w:rFonts w:ascii="Times New Roman" w:eastAsia="Times New Roman" w:hAnsi="Times New Roman" w:cs="Times New Roman"/>
        </w:rPr>
        <w:t xml:space="preserve"> </w:t>
      </w:r>
    </w:p>
    <w:p w:rsidR="0052701D" w:rsidRDefault="00D40929">
      <w:pPr>
        <w:spacing w:after="16" w:line="248" w:lineRule="auto"/>
        <w:ind w:left="819" w:right="179" w:hanging="10"/>
        <w:jc w:val="center"/>
      </w:pPr>
      <w:r>
        <w:rPr>
          <w:rFonts w:ascii="Times New Roman" w:eastAsia="Times New Roman" w:hAnsi="Times New Roman" w:cs="Times New Roman"/>
          <w:b/>
          <w:sz w:val="24"/>
        </w:rPr>
        <w:t xml:space="preserve">ИСТОЧНИКИ </w:t>
      </w:r>
    </w:p>
    <w:p w:rsidR="0052701D" w:rsidRDefault="00D40929">
      <w:pPr>
        <w:numPr>
          <w:ilvl w:val="0"/>
          <w:numId w:val="100"/>
        </w:numPr>
        <w:spacing w:after="29" w:line="248" w:lineRule="auto"/>
        <w:ind w:right="14" w:firstLine="711"/>
        <w:jc w:val="both"/>
      </w:pPr>
      <w:r>
        <w:rPr>
          <w:rFonts w:ascii="Times New Roman" w:eastAsia="Times New Roman" w:hAnsi="Times New Roman" w:cs="Times New Roman"/>
          <w:sz w:val="24"/>
        </w:rPr>
        <w:t xml:space="preserve">«Казахстан 2020: путь в будущее» //О Концепции государственной молодежной политики Республики Казахстан до 2020 года. 27 февраля 2013 г. // https://adilet.zan.kz/rus/docs/P1300000191. </w:t>
      </w:r>
    </w:p>
    <w:p w:rsidR="0052701D" w:rsidRDefault="00D40929">
      <w:pPr>
        <w:numPr>
          <w:ilvl w:val="0"/>
          <w:numId w:val="100"/>
        </w:numPr>
        <w:spacing w:after="29" w:line="248" w:lineRule="auto"/>
        <w:ind w:right="14" w:firstLine="711"/>
        <w:jc w:val="both"/>
      </w:pPr>
      <w:r>
        <w:rPr>
          <w:rFonts w:ascii="Times New Roman" w:eastAsia="Times New Roman" w:hAnsi="Times New Roman" w:cs="Times New Roman"/>
          <w:sz w:val="24"/>
        </w:rPr>
        <w:t xml:space="preserve">Формулу </w:t>
      </w:r>
      <w:r>
        <w:rPr>
          <w:rFonts w:ascii="Times New Roman" w:eastAsia="Times New Roman" w:hAnsi="Times New Roman" w:cs="Times New Roman"/>
          <w:sz w:val="24"/>
        </w:rPr>
        <w:tab/>
        <w:t xml:space="preserve">казахстанского </w:t>
      </w:r>
      <w:r>
        <w:rPr>
          <w:rFonts w:ascii="Times New Roman" w:eastAsia="Times New Roman" w:hAnsi="Times New Roman" w:cs="Times New Roman"/>
          <w:sz w:val="24"/>
        </w:rPr>
        <w:tab/>
        <w:t xml:space="preserve">патриотизма </w:t>
      </w:r>
      <w:r>
        <w:rPr>
          <w:rFonts w:ascii="Times New Roman" w:eastAsia="Times New Roman" w:hAnsi="Times New Roman" w:cs="Times New Roman"/>
          <w:sz w:val="24"/>
        </w:rPr>
        <w:tab/>
        <w:t xml:space="preserve">озвучил </w:t>
      </w:r>
      <w:r>
        <w:rPr>
          <w:rFonts w:ascii="Times New Roman" w:eastAsia="Times New Roman" w:hAnsi="Times New Roman" w:cs="Times New Roman"/>
          <w:sz w:val="24"/>
        </w:rPr>
        <w:tab/>
        <w:t>Касым-Жомарт</w:t>
      </w: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Токаев. </w:t>
      </w:r>
    </w:p>
    <w:p w:rsidR="0052701D" w:rsidRDefault="00D40929">
      <w:pPr>
        <w:spacing w:after="29" w:line="248" w:lineRule="auto"/>
        <w:ind w:left="9" w:right="14"/>
        <w:jc w:val="both"/>
      </w:pPr>
      <w:r>
        <w:rPr>
          <w:rFonts w:ascii="Times New Roman" w:eastAsia="Times New Roman" w:hAnsi="Times New Roman" w:cs="Times New Roman"/>
          <w:sz w:val="24"/>
        </w:rPr>
        <w:t xml:space="preserve">//Казахстанская правда, 10 декабря 2019 г. // https://kazpravda.kz/n/formulu-kazahstanskogopatriotizma-ozvuchil-kasym-zhomart-tokaev. </w:t>
      </w:r>
    </w:p>
    <w:p w:rsidR="0052701D" w:rsidRDefault="00D40929">
      <w:pPr>
        <w:numPr>
          <w:ilvl w:val="0"/>
          <w:numId w:val="100"/>
        </w:numPr>
        <w:spacing w:after="29" w:line="248" w:lineRule="auto"/>
        <w:ind w:right="14" w:firstLine="711"/>
        <w:jc w:val="both"/>
      </w:pPr>
      <w:r>
        <w:rPr>
          <w:rFonts w:ascii="Times New Roman" w:eastAsia="Times New Roman" w:hAnsi="Times New Roman" w:cs="Times New Roman"/>
          <w:sz w:val="24"/>
        </w:rPr>
        <w:t>Послание Президента К.К. Токаева народу Казахстана от1 сентября 2022 г. Справедливое государство. Единая Нация</w:t>
      </w:r>
      <w:r>
        <w:rPr>
          <w:rFonts w:ascii="Times New Roman" w:eastAsia="Times New Roman" w:hAnsi="Times New Roman" w:cs="Times New Roman"/>
          <w:sz w:val="24"/>
        </w:rPr>
        <w:t xml:space="preserve">. Благополучное общество. // </w:t>
      </w:r>
    </w:p>
    <w:p w:rsidR="0052701D" w:rsidRDefault="00D40929">
      <w:pPr>
        <w:spacing w:after="77" w:line="250" w:lineRule="auto"/>
        <w:ind w:left="-5" w:hanging="10"/>
      </w:pPr>
      <w:hyperlink r:id="rId628">
        <w:r>
          <w:rPr>
            <w:rFonts w:ascii="Times New Roman" w:eastAsia="Times New Roman" w:hAnsi="Times New Roman" w:cs="Times New Roman"/>
            <w:color w:val="0000FF"/>
            <w:sz w:val="24"/>
            <w:u w:val="single" w:color="0000FF"/>
          </w:rPr>
          <w:t>https</w:t>
        </w:r>
      </w:hyperlink>
      <w:hyperlink r:id="rId629">
        <w:r>
          <w:rPr>
            <w:rFonts w:ascii="Times New Roman" w:eastAsia="Times New Roman" w:hAnsi="Times New Roman" w:cs="Times New Roman"/>
            <w:color w:val="0000FF"/>
            <w:sz w:val="24"/>
            <w:u w:val="single" w:color="0000FF"/>
          </w:rPr>
          <w:t>://</w:t>
        </w:r>
      </w:hyperlink>
      <w:hyperlink r:id="rId630">
        <w:r>
          <w:rPr>
            <w:rFonts w:ascii="Times New Roman" w:eastAsia="Times New Roman" w:hAnsi="Times New Roman" w:cs="Times New Roman"/>
            <w:color w:val="0000FF"/>
            <w:sz w:val="24"/>
            <w:u w:val="single" w:color="0000FF"/>
          </w:rPr>
          <w:t>www</w:t>
        </w:r>
      </w:hyperlink>
      <w:hyperlink r:id="rId631">
        <w:r>
          <w:rPr>
            <w:rFonts w:ascii="Times New Roman" w:eastAsia="Times New Roman" w:hAnsi="Times New Roman" w:cs="Times New Roman"/>
            <w:color w:val="0000FF"/>
            <w:sz w:val="24"/>
            <w:u w:val="single" w:color="0000FF"/>
          </w:rPr>
          <w:t>.</w:t>
        </w:r>
      </w:hyperlink>
      <w:hyperlink r:id="rId632">
        <w:r>
          <w:rPr>
            <w:rFonts w:ascii="Times New Roman" w:eastAsia="Times New Roman" w:hAnsi="Times New Roman" w:cs="Times New Roman"/>
            <w:color w:val="0000FF"/>
            <w:sz w:val="24"/>
            <w:u w:val="single" w:color="0000FF"/>
          </w:rPr>
          <w:t>akorda</w:t>
        </w:r>
      </w:hyperlink>
      <w:hyperlink r:id="rId633">
        <w:r>
          <w:rPr>
            <w:rFonts w:ascii="Times New Roman" w:eastAsia="Times New Roman" w:hAnsi="Times New Roman" w:cs="Times New Roman"/>
            <w:color w:val="0000FF"/>
            <w:sz w:val="24"/>
            <w:u w:val="single" w:color="0000FF"/>
          </w:rPr>
          <w:t>.</w:t>
        </w:r>
      </w:hyperlink>
      <w:hyperlink r:id="rId634">
        <w:r>
          <w:rPr>
            <w:rFonts w:ascii="Times New Roman" w:eastAsia="Times New Roman" w:hAnsi="Times New Roman" w:cs="Times New Roman"/>
            <w:color w:val="0000FF"/>
            <w:sz w:val="24"/>
            <w:u w:val="single" w:color="0000FF"/>
          </w:rPr>
          <w:t>kz</w:t>
        </w:r>
      </w:hyperlink>
      <w:hyperlink r:id="rId635">
        <w:r>
          <w:rPr>
            <w:rFonts w:ascii="Times New Roman" w:eastAsia="Times New Roman" w:hAnsi="Times New Roman" w:cs="Times New Roman"/>
            <w:color w:val="0000FF"/>
            <w:sz w:val="24"/>
            <w:u w:val="single" w:color="0000FF"/>
          </w:rPr>
          <w:t>/</w:t>
        </w:r>
      </w:hyperlink>
      <w:hyperlink r:id="rId636">
        <w:r>
          <w:rPr>
            <w:rFonts w:ascii="Times New Roman" w:eastAsia="Times New Roman" w:hAnsi="Times New Roman" w:cs="Times New Roman"/>
            <w:color w:val="0000FF"/>
            <w:sz w:val="24"/>
            <w:u w:val="single" w:color="0000FF"/>
          </w:rPr>
          <w:t>ru</w:t>
        </w:r>
      </w:hyperlink>
      <w:hyperlink r:id="rId637">
        <w:r>
          <w:rPr>
            <w:rFonts w:ascii="Times New Roman" w:eastAsia="Times New Roman" w:hAnsi="Times New Roman" w:cs="Times New Roman"/>
            <w:color w:val="0000FF"/>
            <w:sz w:val="24"/>
            <w:u w:val="single" w:color="0000FF"/>
          </w:rPr>
          <w:t>/</w:t>
        </w:r>
      </w:hyperlink>
      <w:hyperlink r:id="rId638">
        <w:r>
          <w:rPr>
            <w:rFonts w:ascii="Times New Roman" w:eastAsia="Times New Roman" w:hAnsi="Times New Roman" w:cs="Times New Roman"/>
            <w:color w:val="0000FF"/>
            <w:sz w:val="24"/>
            <w:u w:val="single" w:color="0000FF"/>
          </w:rPr>
          <w:t>poslanie</w:t>
        </w:r>
      </w:hyperlink>
      <w:hyperlink r:id="rId639">
        <w:r>
          <w:rPr>
            <w:rFonts w:ascii="Times New Roman" w:eastAsia="Times New Roman" w:hAnsi="Times New Roman" w:cs="Times New Roman"/>
            <w:color w:val="0000FF"/>
            <w:sz w:val="24"/>
            <w:u w:val="single" w:color="0000FF"/>
          </w:rPr>
          <w:t>-</w:t>
        </w:r>
      </w:hyperlink>
      <w:hyperlink r:id="rId640">
        <w:r>
          <w:rPr>
            <w:rFonts w:ascii="Times New Roman" w:eastAsia="Times New Roman" w:hAnsi="Times New Roman" w:cs="Times New Roman"/>
            <w:color w:val="0000FF"/>
            <w:sz w:val="24"/>
            <w:u w:val="single" w:color="0000FF"/>
          </w:rPr>
          <w:t>glavy</w:t>
        </w:r>
      </w:hyperlink>
      <w:hyperlink r:id="rId641">
        <w:r>
          <w:rPr>
            <w:rFonts w:ascii="Times New Roman" w:eastAsia="Times New Roman" w:hAnsi="Times New Roman" w:cs="Times New Roman"/>
            <w:color w:val="0000FF"/>
            <w:sz w:val="24"/>
            <w:u w:val="single" w:color="0000FF"/>
          </w:rPr>
          <w:t>-</w:t>
        </w:r>
      </w:hyperlink>
      <w:hyperlink r:id="rId642">
        <w:r>
          <w:rPr>
            <w:rFonts w:ascii="Times New Roman" w:eastAsia="Times New Roman" w:hAnsi="Times New Roman" w:cs="Times New Roman"/>
            <w:color w:val="0000FF"/>
            <w:sz w:val="24"/>
            <w:u w:val="single" w:color="0000FF"/>
          </w:rPr>
          <w:t>gosudarstva</w:t>
        </w:r>
      </w:hyperlink>
      <w:hyperlink r:id="rId643">
        <w:r>
          <w:rPr>
            <w:rFonts w:ascii="Times New Roman" w:eastAsia="Times New Roman" w:hAnsi="Times New Roman" w:cs="Times New Roman"/>
            <w:color w:val="0000FF"/>
            <w:sz w:val="24"/>
            <w:u w:val="single" w:color="0000FF"/>
          </w:rPr>
          <w:t>-</w:t>
        </w:r>
      </w:hyperlink>
      <w:hyperlink r:id="rId644">
        <w:r>
          <w:rPr>
            <w:rFonts w:ascii="Times New Roman" w:eastAsia="Times New Roman" w:hAnsi="Times New Roman" w:cs="Times New Roman"/>
            <w:color w:val="0000FF"/>
            <w:sz w:val="24"/>
            <w:u w:val="single" w:color="0000FF"/>
          </w:rPr>
          <w:t>kasym</w:t>
        </w:r>
      </w:hyperlink>
      <w:hyperlink r:id="rId645">
        <w:r>
          <w:rPr>
            <w:rFonts w:ascii="Times New Roman" w:eastAsia="Times New Roman" w:hAnsi="Times New Roman" w:cs="Times New Roman"/>
            <w:color w:val="0000FF"/>
            <w:sz w:val="24"/>
            <w:u w:val="single" w:color="0000FF"/>
          </w:rPr>
          <w:t>-</w:t>
        </w:r>
      </w:hyperlink>
      <w:hyperlink r:id="rId646">
        <w:r>
          <w:rPr>
            <w:rFonts w:ascii="Times New Roman" w:eastAsia="Times New Roman" w:hAnsi="Times New Roman" w:cs="Times New Roman"/>
            <w:color w:val="0000FF"/>
            <w:sz w:val="24"/>
            <w:u w:val="single" w:color="0000FF"/>
          </w:rPr>
          <w:t>zhomarta</w:t>
        </w:r>
      </w:hyperlink>
      <w:hyperlink r:id="rId647">
        <w:r>
          <w:rPr>
            <w:rFonts w:ascii="Times New Roman" w:eastAsia="Times New Roman" w:hAnsi="Times New Roman" w:cs="Times New Roman"/>
            <w:color w:val="0000FF"/>
            <w:sz w:val="24"/>
            <w:u w:val="single" w:color="0000FF"/>
          </w:rPr>
          <w:t>-</w:t>
        </w:r>
      </w:hyperlink>
      <w:hyperlink r:id="rId648">
        <w:r>
          <w:rPr>
            <w:rFonts w:ascii="Times New Roman" w:eastAsia="Times New Roman" w:hAnsi="Times New Roman" w:cs="Times New Roman"/>
            <w:color w:val="0000FF"/>
            <w:sz w:val="24"/>
            <w:u w:val="single" w:color="0000FF"/>
          </w:rPr>
          <w:t>tokaeva</w:t>
        </w:r>
      </w:hyperlink>
      <w:hyperlink r:id="rId649">
        <w:r>
          <w:rPr>
            <w:rFonts w:ascii="Times New Roman" w:eastAsia="Times New Roman" w:hAnsi="Times New Roman" w:cs="Times New Roman"/>
            <w:color w:val="0000FF"/>
            <w:sz w:val="24"/>
            <w:u w:val="single" w:color="0000FF"/>
          </w:rPr>
          <w:t>-</w:t>
        </w:r>
      </w:hyperlink>
      <w:hyperlink r:id="rId650">
        <w:r>
          <w:rPr>
            <w:rFonts w:ascii="Times New Roman" w:eastAsia="Times New Roman" w:hAnsi="Times New Roman" w:cs="Times New Roman"/>
            <w:color w:val="0000FF"/>
            <w:sz w:val="24"/>
            <w:u w:val="single" w:color="0000FF"/>
          </w:rPr>
          <w:t>narodu</w:t>
        </w:r>
      </w:hyperlink>
      <w:hyperlink r:id="rId651">
        <w:r>
          <w:rPr>
            <w:rFonts w:ascii="Times New Roman" w:eastAsia="Times New Roman" w:hAnsi="Times New Roman" w:cs="Times New Roman"/>
            <w:color w:val="0000FF"/>
            <w:sz w:val="24"/>
            <w:u w:val="single" w:color="0000FF"/>
          </w:rPr>
          <w:t>-</w:t>
        </w:r>
      </w:hyperlink>
      <w:hyperlink r:id="rId652">
        <w:r>
          <w:rPr>
            <w:rFonts w:ascii="Times New Roman" w:eastAsia="Times New Roman" w:hAnsi="Times New Roman" w:cs="Times New Roman"/>
            <w:color w:val="0000FF"/>
            <w:sz w:val="24"/>
            <w:u w:val="single" w:color="0000FF"/>
          </w:rPr>
          <w:t>kazahstana</w:t>
        </w:r>
      </w:hyperlink>
      <w:hyperlink r:id="rId653"/>
      <w:hyperlink r:id="rId654">
        <w:r>
          <w:rPr>
            <w:rFonts w:ascii="Times New Roman" w:eastAsia="Times New Roman" w:hAnsi="Times New Roman" w:cs="Times New Roman"/>
            <w:color w:val="0000FF"/>
            <w:sz w:val="24"/>
            <w:u w:val="single" w:color="0000FF"/>
          </w:rPr>
          <w:t>181130</w:t>
        </w:r>
      </w:hyperlink>
      <w:hyperlink r:id="rId655">
        <w:r>
          <w:rPr>
            <w:rFonts w:ascii="Times New Roman" w:eastAsia="Times New Roman" w:hAnsi="Times New Roman" w:cs="Times New Roman"/>
            <w:sz w:val="24"/>
          </w:rPr>
          <w:t xml:space="preserve"> </w:t>
        </w:r>
      </w:hyperlink>
    </w:p>
    <w:p w:rsidR="0052701D" w:rsidRDefault="00D40929">
      <w:pPr>
        <w:spacing w:after="79"/>
        <w:ind w:left="711"/>
      </w:pPr>
      <w:r>
        <w:rPr>
          <w:rFonts w:ascii="Times New Roman" w:eastAsia="Times New Roman" w:hAnsi="Times New Roman" w:cs="Times New Roman"/>
        </w:rPr>
        <w:t xml:space="preserve"> </w:t>
      </w:r>
    </w:p>
    <w:p w:rsidR="0052701D" w:rsidRDefault="00D40929">
      <w:pPr>
        <w:spacing w:after="0"/>
        <w:ind w:left="711"/>
      </w:pPr>
      <w:r>
        <w:rPr>
          <w:rFonts w:ascii="Times New Roman" w:eastAsia="Times New Roman" w:hAnsi="Times New Roman" w:cs="Times New Roman"/>
          <w:sz w:val="24"/>
        </w:rPr>
        <w:t xml:space="preserve"> </w:t>
      </w:r>
    </w:p>
    <w:p w:rsidR="0052701D" w:rsidRDefault="00D40929">
      <w:pPr>
        <w:spacing w:after="33" w:line="271" w:lineRule="auto"/>
        <w:ind w:left="-5" w:right="7317" w:hanging="10"/>
      </w:pPr>
      <w:r>
        <w:rPr>
          <w:rFonts w:ascii="Times New Roman" w:eastAsia="Times New Roman" w:hAnsi="Times New Roman" w:cs="Times New Roman"/>
          <w:b/>
          <w:sz w:val="24"/>
        </w:rPr>
        <w:t xml:space="preserve">УДК 28(470+571) </w:t>
      </w:r>
      <w:r>
        <w:rPr>
          <w:rFonts w:ascii="Times New Roman" w:eastAsia="Times New Roman" w:hAnsi="Times New Roman" w:cs="Times New Roman"/>
          <w:b/>
          <w:sz w:val="24"/>
        </w:rPr>
        <w:t xml:space="preserve">ББК 86.38(2Рос)         Н90 </w:t>
      </w:r>
      <w:r>
        <w:rPr>
          <w:rFonts w:ascii="Times New Roman" w:eastAsia="Times New Roman" w:hAnsi="Times New Roman" w:cs="Times New Roman"/>
          <w:sz w:val="28"/>
        </w:rPr>
        <w:t xml:space="preserve"> </w:t>
      </w:r>
    </w:p>
    <w:p w:rsidR="0052701D" w:rsidRDefault="00D40929">
      <w:pPr>
        <w:pStyle w:val="1"/>
        <w:ind w:left="1613" w:right="0" w:firstLine="9"/>
        <w:jc w:val="left"/>
      </w:pPr>
      <w:r>
        <w:t xml:space="preserve">ТРАНСФОРМАЦИЯ РЕГИОНОВ ТРАДИЦИОННОГО </w:t>
      </w:r>
    </w:p>
    <w:p w:rsidR="0052701D" w:rsidRDefault="00D40929">
      <w:pPr>
        <w:spacing w:after="5" w:line="271" w:lineRule="auto"/>
        <w:ind w:left="1613" w:firstLine="9"/>
      </w:pPr>
      <w:r>
        <w:rPr>
          <w:rFonts w:ascii="Times New Roman" w:eastAsia="Times New Roman" w:hAnsi="Times New Roman" w:cs="Times New Roman"/>
          <w:b/>
          <w:sz w:val="28"/>
        </w:rPr>
        <w:t xml:space="preserve">РАСПРОСТРАНЕНИЯ ИСЛАМА В ПОСТСОВЕТСКИЙ ПЕРИОД (ИСТОРИЧЕСКИЙ АСПЕКТ) </w:t>
      </w:r>
    </w:p>
    <w:p w:rsidR="0052701D" w:rsidRDefault="00D40929">
      <w:pPr>
        <w:spacing w:after="0"/>
        <w:ind w:left="706"/>
        <w:jc w:val="center"/>
      </w:pPr>
      <w:r>
        <w:rPr>
          <w:rFonts w:ascii="Times New Roman" w:eastAsia="Times New Roman" w:hAnsi="Times New Roman" w:cs="Times New Roman"/>
          <w:b/>
          <w:sz w:val="28"/>
        </w:rPr>
        <w:t xml:space="preserve"> </w:t>
      </w:r>
    </w:p>
    <w:p w:rsidR="0052701D" w:rsidRDefault="00D40929">
      <w:pPr>
        <w:pStyle w:val="1"/>
        <w:spacing w:after="4"/>
        <w:ind w:left="1100" w:right="194"/>
        <w:jc w:val="left"/>
      </w:pPr>
      <w:r>
        <w:rPr>
          <w:sz w:val="24"/>
        </w:rPr>
        <w:t xml:space="preserve">Нуриахметова Флюра Мубаракзяновна, Холоднов Владимир Григорьевич </w:t>
      </w:r>
    </w:p>
    <w:p w:rsidR="0052701D" w:rsidRDefault="00D40929">
      <w:pPr>
        <w:spacing w:after="29" w:line="248" w:lineRule="auto"/>
        <w:ind w:left="917" w:right="14"/>
        <w:jc w:val="both"/>
      </w:pPr>
      <w:r>
        <w:rPr>
          <w:rFonts w:ascii="Times New Roman" w:eastAsia="Times New Roman" w:hAnsi="Times New Roman" w:cs="Times New Roman"/>
          <w:sz w:val="24"/>
        </w:rPr>
        <w:t xml:space="preserve">ФГБОУ ВО «Казанский государственный энергетический </w:t>
      </w:r>
      <w:r>
        <w:rPr>
          <w:rFonts w:ascii="Times New Roman" w:eastAsia="Times New Roman" w:hAnsi="Times New Roman" w:cs="Times New Roman"/>
          <w:sz w:val="24"/>
        </w:rPr>
        <w:t xml:space="preserve">университет», г. Казань, </w:t>
      </w:r>
    </w:p>
    <w:p w:rsidR="0052701D" w:rsidRDefault="00D40929">
      <w:pPr>
        <w:spacing w:after="0" w:line="248" w:lineRule="auto"/>
        <w:ind w:left="1820" w:right="822" w:firstLine="374"/>
        <w:jc w:val="both"/>
      </w:pPr>
      <w:r>
        <w:rPr>
          <w:rFonts w:ascii="Times New Roman" w:eastAsia="Times New Roman" w:hAnsi="Times New Roman" w:cs="Times New Roman"/>
          <w:sz w:val="24"/>
        </w:rPr>
        <w:t xml:space="preserve">АНО ВО «Академия социального образования», г. Казань e-mail: nuriahmetova.fm@kgeu.ru, Vladimir.Kholodnov@gmail.com </w:t>
      </w:r>
    </w:p>
    <w:p w:rsidR="0052701D" w:rsidRDefault="00D40929">
      <w:pPr>
        <w:spacing w:after="23"/>
        <w:ind w:left="711"/>
      </w:pPr>
      <w:r>
        <w:rPr>
          <w:rFonts w:ascii="Times New Roman" w:eastAsia="Times New Roman" w:hAnsi="Times New Roman" w:cs="Times New Roman"/>
          <w:sz w:val="24"/>
        </w:rPr>
        <w:t xml:space="preserve"> </w:t>
      </w:r>
    </w:p>
    <w:p w:rsidR="0052701D" w:rsidRDefault="00D40929">
      <w:pPr>
        <w:spacing w:after="29" w:line="248" w:lineRule="auto"/>
        <w:ind w:left="9" w:firstLine="711"/>
        <w:jc w:val="both"/>
      </w:pPr>
      <w:r>
        <w:rPr>
          <w:rFonts w:ascii="Times New Roman" w:eastAsia="Times New Roman" w:hAnsi="Times New Roman" w:cs="Times New Roman"/>
          <w:b/>
          <w:i/>
          <w:sz w:val="24"/>
        </w:rPr>
        <w:t>Анотация.</w:t>
      </w:r>
      <w:r>
        <w:rPr>
          <w:rFonts w:ascii="Times New Roman" w:eastAsia="Times New Roman" w:hAnsi="Times New Roman" w:cs="Times New Roman"/>
          <w:i/>
          <w:sz w:val="24"/>
        </w:rPr>
        <w:t xml:space="preserve"> В статье дается анализ политических и социально-экономических преобразований в регионах традиционного </w:t>
      </w:r>
      <w:r>
        <w:rPr>
          <w:rFonts w:ascii="Times New Roman" w:eastAsia="Times New Roman" w:hAnsi="Times New Roman" w:cs="Times New Roman"/>
          <w:i/>
          <w:sz w:val="24"/>
        </w:rPr>
        <w:t>распространения ислама – Поволжье и Урале, государствах Центральной Азии в постсоветский период истории. Авторы отмечают, что российские реформы первоначально не были адекватно восприняты в этих регионах. Устойчивость самобытного образа жизни, во многом оп</w:t>
      </w:r>
      <w:r>
        <w:rPr>
          <w:rFonts w:ascii="Times New Roman" w:eastAsia="Times New Roman" w:hAnsi="Times New Roman" w:cs="Times New Roman"/>
          <w:i/>
          <w:sz w:val="24"/>
        </w:rPr>
        <w:t xml:space="preserve">ределяемого исламской религией на бытовом уровне, оказалась сильнее всякой идеологии. Так называемая «исламская </w:t>
      </w:r>
      <w:r>
        <w:rPr>
          <w:rFonts w:ascii="Times New Roman" w:eastAsia="Times New Roman" w:hAnsi="Times New Roman" w:cs="Times New Roman"/>
          <w:i/>
          <w:sz w:val="24"/>
        </w:rPr>
        <w:lastRenderedPageBreak/>
        <w:t>альтернатива» для государств Центральной Азии и бывших автономий Российской Федерации была неизбежной в ходе конституционного строительства и пр</w:t>
      </w:r>
      <w:r>
        <w:rPr>
          <w:rFonts w:ascii="Times New Roman" w:eastAsia="Times New Roman" w:hAnsi="Times New Roman" w:cs="Times New Roman"/>
          <w:i/>
          <w:sz w:val="24"/>
        </w:rPr>
        <w:t>инятия новой государственной символики. Возрождение религии в период перестройки, а также официальное признание права мусульман на свободное вероисповедание ислама позволили расширить религиозные и культурные контакты мусульман с внешним миром, в частности</w:t>
      </w:r>
      <w:r>
        <w:rPr>
          <w:rFonts w:ascii="Times New Roman" w:eastAsia="Times New Roman" w:hAnsi="Times New Roman" w:cs="Times New Roman"/>
          <w:i/>
          <w:sz w:val="24"/>
        </w:rPr>
        <w:t xml:space="preserve"> странами Арабского Востока. Вступление шести среднеазиатских государств в Организацию экономического сотрудничества (ЕСО) свидетельствовало о желании наладить контакты с наиболее развитыми мусульманскими странами с целью экономической интеграции и создани</w:t>
      </w:r>
      <w:r>
        <w:rPr>
          <w:rFonts w:ascii="Times New Roman" w:eastAsia="Times New Roman" w:hAnsi="Times New Roman" w:cs="Times New Roman"/>
          <w:i/>
          <w:sz w:val="24"/>
        </w:rPr>
        <w:t>я общего рынка исламских стран. Восстановление исторической справедливости в межнациональных отношениях способствовало росту национального самосознания, которое нередко принимало экстремистские формы, что сопровождалось региональными конфликтами, стремлени</w:t>
      </w:r>
      <w:r>
        <w:rPr>
          <w:rFonts w:ascii="Times New Roman" w:eastAsia="Times New Roman" w:hAnsi="Times New Roman" w:cs="Times New Roman"/>
          <w:i/>
          <w:sz w:val="24"/>
        </w:rPr>
        <w:t>ем влиятельных этнических кланов укрепить свои политические позиции. Радикальные националистические настроения, присущие наиболее консервативной части населения Центральной Азии, приводили к межрегиональным территориальным претензиям и обособлению от Росси</w:t>
      </w:r>
      <w:r>
        <w:rPr>
          <w:rFonts w:ascii="Times New Roman" w:eastAsia="Times New Roman" w:hAnsi="Times New Roman" w:cs="Times New Roman"/>
          <w:i/>
          <w:sz w:val="24"/>
        </w:rPr>
        <w:t>и. Переход к рыночным отношениям в результате поэтапных преобразований и развития международного экономического сотрудничества в рамках СНГ, а впоследствии в составе других международных организаций, позволили трансформировать политические системы централь</w:t>
      </w:r>
      <w:r>
        <w:rPr>
          <w:rFonts w:ascii="Times New Roman" w:eastAsia="Times New Roman" w:hAnsi="Times New Roman" w:cs="Times New Roman"/>
          <w:i/>
          <w:sz w:val="24"/>
        </w:rPr>
        <w:t xml:space="preserve">ноазиатских государств и достичь социально-экономической стабильности в этом регионе.  </w:t>
      </w:r>
    </w:p>
    <w:p w:rsidR="0052701D" w:rsidRDefault="00D40929">
      <w:pPr>
        <w:spacing w:after="29" w:line="248" w:lineRule="auto"/>
        <w:ind w:left="9" w:firstLine="711"/>
        <w:jc w:val="both"/>
      </w:pPr>
      <w:r>
        <w:rPr>
          <w:rFonts w:ascii="Times New Roman" w:eastAsia="Times New Roman" w:hAnsi="Times New Roman" w:cs="Times New Roman"/>
          <w:i/>
          <w:sz w:val="24"/>
        </w:rPr>
        <w:t xml:space="preserve">    </w:t>
      </w: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 xml:space="preserve"> регионы традиционного распространения ислама, рыночные отношения, политическая и социально-экономическая трансформация, конституционное строительств</w:t>
      </w:r>
      <w:r>
        <w:rPr>
          <w:rFonts w:ascii="Times New Roman" w:eastAsia="Times New Roman" w:hAnsi="Times New Roman" w:cs="Times New Roman"/>
          <w:i/>
          <w:sz w:val="24"/>
        </w:rPr>
        <w:t xml:space="preserve">о. </w:t>
      </w:r>
    </w:p>
    <w:p w:rsidR="0052701D" w:rsidRDefault="00D40929">
      <w:pPr>
        <w:spacing w:after="0"/>
        <w:ind w:left="711"/>
      </w:pPr>
      <w:r>
        <w:rPr>
          <w:rFonts w:ascii="Times New Roman" w:eastAsia="Times New Roman" w:hAnsi="Times New Roman" w:cs="Times New Roman"/>
          <w:sz w:val="24"/>
        </w:rPr>
        <w:t xml:space="preserve"> </w:t>
      </w:r>
    </w:p>
    <w:p w:rsidR="0052701D" w:rsidRDefault="00D40929">
      <w:pPr>
        <w:spacing w:after="5" w:line="251" w:lineRule="auto"/>
        <w:ind w:left="970" w:firstLine="9"/>
      </w:pPr>
      <w:r>
        <w:rPr>
          <w:rFonts w:ascii="Times New Roman" w:eastAsia="Times New Roman" w:hAnsi="Times New Roman" w:cs="Times New Roman"/>
          <w:b/>
          <w:sz w:val="28"/>
        </w:rPr>
        <w:t xml:space="preserve">TRANSFORMATION OF THE REGIONS OF THE TRADITIONAL ISLAM IN THE POST-SOVIET PERIOD (HISTORICAL ASPECT) </w:t>
      </w:r>
    </w:p>
    <w:p w:rsidR="0052701D" w:rsidRDefault="00D40929">
      <w:pPr>
        <w:spacing w:after="0"/>
        <w:ind w:left="706"/>
        <w:jc w:val="center"/>
      </w:pPr>
      <w:r>
        <w:rPr>
          <w:rFonts w:ascii="Times New Roman" w:eastAsia="Times New Roman" w:hAnsi="Times New Roman" w:cs="Times New Roman"/>
          <w:b/>
          <w:sz w:val="28"/>
        </w:rPr>
        <w:t xml:space="preserve"> </w:t>
      </w:r>
    </w:p>
    <w:p w:rsidR="0052701D" w:rsidRDefault="00D40929">
      <w:pPr>
        <w:spacing w:after="4" w:line="271" w:lineRule="auto"/>
        <w:ind w:left="1187" w:right="194" w:hanging="10"/>
      </w:pPr>
      <w:r>
        <w:rPr>
          <w:rFonts w:ascii="Times New Roman" w:eastAsia="Times New Roman" w:hAnsi="Times New Roman" w:cs="Times New Roman"/>
          <w:b/>
          <w:sz w:val="24"/>
        </w:rPr>
        <w:t xml:space="preserve">Nuriakhmetova Flura Mubarakzyanovna, Kholodnov Vladimir Grigoryevich, </w:t>
      </w:r>
    </w:p>
    <w:p w:rsidR="0052701D" w:rsidRDefault="00D40929">
      <w:pPr>
        <w:spacing w:after="14" w:line="248" w:lineRule="auto"/>
        <w:ind w:left="1697" w:right="996" w:hanging="5"/>
        <w:jc w:val="center"/>
      </w:pPr>
      <w:r>
        <w:rPr>
          <w:rFonts w:ascii="Times New Roman" w:eastAsia="Times New Roman" w:hAnsi="Times New Roman" w:cs="Times New Roman"/>
          <w:sz w:val="24"/>
        </w:rPr>
        <w:t>FGBOU VO «Kazan State Power Engineering University», Kazan, ANO VO «Academy</w:t>
      </w:r>
      <w:r>
        <w:rPr>
          <w:rFonts w:ascii="Times New Roman" w:eastAsia="Times New Roman" w:hAnsi="Times New Roman" w:cs="Times New Roman"/>
          <w:sz w:val="24"/>
        </w:rPr>
        <w:t xml:space="preserve"> of Social Education», Kazan </w:t>
      </w:r>
    </w:p>
    <w:p w:rsidR="0052701D" w:rsidRDefault="00D40929">
      <w:pPr>
        <w:spacing w:after="29" w:line="248" w:lineRule="auto"/>
        <w:ind w:left="1820" w:right="14"/>
        <w:jc w:val="both"/>
      </w:pPr>
      <w:r>
        <w:rPr>
          <w:rFonts w:ascii="Times New Roman" w:eastAsia="Times New Roman" w:hAnsi="Times New Roman" w:cs="Times New Roman"/>
          <w:sz w:val="24"/>
        </w:rPr>
        <w:t xml:space="preserve">e-mail: nuriahmetova.fm@kgeu.ru, </w:t>
      </w:r>
      <w:r>
        <w:rPr>
          <w:rFonts w:ascii="Times New Roman" w:eastAsia="Times New Roman" w:hAnsi="Times New Roman" w:cs="Times New Roman"/>
          <w:color w:val="0000FF"/>
          <w:sz w:val="24"/>
          <w:u w:val="single" w:color="0000FF"/>
        </w:rPr>
        <w:t>Vladimir.Kholodnov@gmail.com</w:t>
      </w:r>
      <w:r>
        <w:rPr>
          <w:rFonts w:ascii="Times New Roman" w:eastAsia="Times New Roman" w:hAnsi="Times New Roman" w:cs="Times New Roman"/>
          <w:sz w:val="24"/>
        </w:rPr>
        <w:t xml:space="preserve"> </w:t>
      </w:r>
    </w:p>
    <w:p w:rsidR="0052701D" w:rsidRDefault="00D40929">
      <w:pPr>
        <w:spacing w:after="0"/>
        <w:ind w:left="711"/>
      </w:pPr>
      <w:r>
        <w:rPr>
          <w:rFonts w:ascii="Times New Roman" w:eastAsia="Times New Roman" w:hAnsi="Times New Roman" w:cs="Times New Roman"/>
          <w:sz w:val="24"/>
        </w:rPr>
        <w:t xml:space="preserve"> </w:t>
      </w:r>
    </w:p>
    <w:p w:rsidR="0052701D" w:rsidRDefault="00D40929">
      <w:pPr>
        <w:spacing w:after="0" w:line="248" w:lineRule="auto"/>
        <w:ind w:left="9" w:firstLine="711"/>
        <w:jc w:val="both"/>
      </w:pPr>
      <w:r>
        <w:rPr>
          <w:rFonts w:ascii="Times New Roman" w:eastAsia="Times New Roman" w:hAnsi="Times New Roman" w:cs="Times New Roman"/>
          <w:sz w:val="24"/>
        </w:rPr>
        <w:t xml:space="preserve"> </w:t>
      </w:r>
      <w:r>
        <w:rPr>
          <w:rFonts w:ascii="Times New Roman" w:eastAsia="Times New Roman" w:hAnsi="Times New Roman" w:cs="Times New Roman"/>
          <w:b/>
          <w:i/>
          <w:sz w:val="24"/>
        </w:rPr>
        <w:t>Abstract:</w:t>
      </w:r>
      <w:r>
        <w:rPr>
          <w:rFonts w:ascii="Times New Roman" w:eastAsia="Times New Roman" w:hAnsi="Times New Roman" w:cs="Times New Roman"/>
          <w:i/>
          <w:sz w:val="24"/>
        </w:rPr>
        <w:t xml:space="preserve"> The article provides an analysis of political and socio-economic transformations in the regions of the traditional Islam - the Volga region and the </w:t>
      </w:r>
      <w:r>
        <w:rPr>
          <w:rFonts w:ascii="Times New Roman" w:eastAsia="Times New Roman" w:hAnsi="Times New Roman" w:cs="Times New Roman"/>
          <w:i/>
          <w:sz w:val="24"/>
        </w:rPr>
        <w:t>Urals, the states of Central Asia in the post-Soviet period of history. The authors note that the Russian reforms were initially not adequately perceived in those regions. The stability of the original way of life, largely determined by the Islamic religio</w:t>
      </w:r>
      <w:r>
        <w:rPr>
          <w:rFonts w:ascii="Times New Roman" w:eastAsia="Times New Roman" w:hAnsi="Times New Roman" w:cs="Times New Roman"/>
          <w:i/>
          <w:sz w:val="24"/>
        </w:rPr>
        <w:t>n at the household level, turned out to be stronger than any ideology. The so-called "Islamic alternative" for the states of Central Asia and the former autonomies of the Russian Federation was inevitable in determining the course of constitutional constru</w:t>
      </w:r>
      <w:r>
        <w:rPr>
          <w:rFonts w:ascii="Times New Roman" w:eastAsia="Times New Roman" w:hAnsi="Times New Roman" w:cs="Times New Roman"/>
          <w:i/>
          <w:sz w:val="24"/>
        </w:rPr>
        <w:t xml:space="preserve">ction and the adoption of new state symbols. The revival of religion during the perestroika period, as well as the official recognition of the right of Muslims to freely practice Islam, made it possible to expand religious and cultural contacts of Muslims </w:t>
      </w:r>
      <w:r>
        <w:rPr>
          <w:rFonts w:ascii="Times New Roman" w:eastAsia="Times New Roman" w:hAnsi="Times New Roman" w:cs="Times New Roman"/>
          <w:i/>
          <w:sz w:val="24"/>
        </w:rPr>
        <w:t>with the outside world, in particular, with the countries of the Arab East. The accession of six Central Asian states to the Economic Cooperation Organization (ECO) testified to the desire to establish contacts with the most developed Muslim countries with</w:t>
      </w:r>
      <w:r>
        <w:rPr>
          <w:rFonts w:ascii="Times New Roman" w:eastAsia="Times New Roman" w:hAnsi="Times New Roman" w:cs="Times New Roman"/>
          <w:i/>
          <w:sz w:val="24"/>
        </w:rPr>
        <w:t xml:space="preserve"> the aim of economic integration and the creation of a common market of Islamic countries. The restoration of historical justice in interethnic relations contributed to the growth of national self-consciousness, which often took extremist forms, which was </w:t>
      </w:r>
      <w:r>
        <w:rPr>
          <w:rFonts w:ascii="Times New Roman" w:eastAsia="Times New Roman" w:hAnsi="Times New Roman" w:cs="Times New Roman"/>
          <w:i/>
          <w:sz w:val="24"/>
        </w:rPr>
        <w:t xml:space="preserve">accompanied by regional conflicts, by the desire of influential ethnic clans to strengthen their political positions. Radical nationalist views inherent in the most conservative part </w:t>
      </w:r>
      <w:r>
        <w:rPr>
          <w:rFonts w:ascii="Times New Roman" w:eastAsia="Times New Roman" w:hAnsi="Times New Roman" w:cs="Times New Roman"/>
          <w:i/>
          <w:sz w:val="24"/>
        </w:rPr>
        <w:lastRenderedPageBreak/>
        <w:t>of the population of Central Asia could lead to the provocation of inter-</w:t>
      </w:r>
      <w:r>
        <w:rPr>
          <w:rFonts w:ascii="Times New Roman" w:eastAsia="Times New Roman" w:hAnsi="Times New Roman" w:cs="Times New Roman"/>
          <w:i/>
          <w:sz w:val="24"/>
        </w:rPr>
        <w:t>regional territorial claims and isolation from Russia. The transition to market relations as a result of gradual transformations and the development of international economic cooperation within the CIS, and subsequently as part of other international organ</w:t>
      </w:r>
      <w:r>
        <w:rPr>
          <w:rFonts w:ascii="Times New Roman" w:eastAsia="Times New Roman" w:hAnsi="Times New Roman" w:cs="Times New Roman"/>
          <w:i/>
          <w:sz w:val="24"/>
        </w:rPr>
        <w:t xml:space="preserve">izations made it possible to transform the political systems of the Central Asian states and achieve a socio-economic stability in that region.  </w:t>
      </w:r>
    </w:p>
    <w:p w:rsidR="0052701D" w:rsidRDefault="00D40929">
      <w:pPr>
        <w:spacing w:after="79" w:line="248" w:lineRule="auto"/>
        <w:ind w:left="9" w:firstLine="711"/>
        <w:jc w:val="both"/>
      </w:pPr>
      <w:r>
        <w:rPr>
          <w:rFonts w:ascii="Times New Roman" w:eastAsia="Times New Roman" w:hAnsi="Times New Roman" w:cs="Times New Roman"/>
          <w:b/>
          <w:i/>
          <w:sz w:val="24"/>
        </w:rPr>
        <w:t>Keywords:</w:t>
      </w:r>
      <w:r>
        <w:rPr>
          <w:rFonts w:ascii="Times New Roman" w:eastAsia="Times New Roman" w:hAnsi="Times New Roman" w:cs="Times New Roman"/>
          <w:i/>
          <w:sz w:val="24"/>
        </w:rPr>
        <w:t xml:space="preserve"> regions of the traditional Islam, market relations, political and socio-economic transformation, con</w:t>
      </w:r>
      <w:r>
        <w:rPr>
          <w:rFonts w:ascii="Times New Roman" w:eastAsia="Times New Roman" w:hAnsi="Times New Roman" w:cs="Times New Roman"/>
          <w:i/>
          <w:sz w:val="24"/>
        </w:rPr>
        <w:t xml:space="preserve">stitutional construction. </w:t>
      </w:r>
    </w:p>
    <w:p w:rsidR="0052701D" w:rsidRDefault="00D40929">
      <w:pPr>
        <w:spacing w:after="83"/>
        <w:ind w:left="711"/>
      </w:pPr>
      <w:r>
        <w:rPr>
          <w:rFonts w:ascii="Times New Roman" w:eastAsia="Times New Roman" w:hAnsi="Times New Roman" w:cs="Times New Roman"/>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Российские реформы постсоветского периода были направлены на утверждение демократического федеративного правового государства с развитой социально-экономической инфраструктурой, что нашло отражение в Ст.1 Конституции Российской</w:t>
      </w:r>
      <w:r>
        <w:rPr>
          <w:rFonts w:ascii="Times New Roman" w:eastAsia="Times New Roman" w:hAnsi="Times New Roman" w:cs="Times New Roman"/>
          <w:sz w:val="28"/>
        </w:rPr>
        <w:t xml:space="preserve"> Федерации 1993 года. [1]. Предлагаемые молодыми реформаторами модели рыночной экономики не завоевали большого числа сторонников в регионах традиционного распространения ислама – в Поволжье и на Урале, государствах Центральной Азии, воспитанных в традициях</w:t>
      </w:r>
      <w:r>
        <w:rPr>
          <w:rFonts w:ascii="Times New Roman" w:eastAsia="Times New Roman" w:hAnsi="Times New Roman" w:cs="Times New Roman"/>
          <w:sz w:val="28"/>
        </w:rPr>
        <w:t xml:space="preserve"> мусульманской морали. Поэтому местные политические и экономические элиты обратились к восточноазиатским социальноэкономическим концепциям, тесно связанным с исламом, характерным для Турции, Ирана, Арабских Эмиратов и Малайзии.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Усиление влияния ислама на </w:t>
      </w:r>
      <w:r>
        <w:rPr>
          <w:rFonts w:ascii="Times New Roman" w:eastAsia="Times New Roman" w:hAnsi="Times New Roman" w:cs="Times New Roman"/>
          <w:sz w:val="28"/>
        </w:rPr>
        <w:t>политическую и социально-экономическую жизнь стран Центральной Азии привело к диссонансу в общественном сознании людей и развалу всей системы официальной идеологии. Развитие международных контактов с мусульманским миром способствовало активизации местных м</w:t>
      </w:r>
      <w:r>
        <w:rPr>
          <w:rFonts w:ascii="Times New Roman" w:eastAsia="Times New Roman" w:hAnsi="Times New Roman" w:cs="Times New Roman"/>
          <w:sz w:val="28"/>
        </w:rPr>
        <w:t>усульманских общин, в результате чего процесс превращения ислама в альтернативу коммунистическим идеалам стал необратим. Ислам, сохранивший уходящие вглубь веков исторические корни, приобрел здесь некоторые новые отличные формы мусульманского культа благод</w:t>
      </w:r>
      <w:r>
        <w:rPr>
          <w:rFonts w:ascii="Times New Roman" w:eastAsia="Times New Roman" w:hAnsi="Times New Roman" w:cs="Times New Roman"/>
          <w:sz w:val="28"/>
        </w:rPr>
        <w:t xml:space="preserve">аря элементам секуляризации и бережному отношению к древней мусульманской культуре, философии и религии. </w:t>
      </w:r>
    </w:p>
    <w:p w:rsidR="0052701D" w:rsidRDefault="00D40929">
      <w:pPr>
        <w:spacing w:after="5" w:line="271" w:lineRule="auto"/>
        <w:ind w:left="9" w:right="64" w:firstLine="711"/>
        <w:jc w:val="both"/>
      </w:pPr>
      <w:r>
        <w:rPr>
          <w:rFonts w:ascii="Times New Roman" w:eastAsia="Times New Roman" w:hAnsi="Times New Roman" w:cs="Times New Roman"/>
          <w:sz w:val="28"/>
        </w:rPr>
        <w:t>Новые независимые государства Центральной Азии в той или иной степени предпочли «исламскую альтернативу» в ходе конституционного строительства и приня</w:t>
      </w:r>
      <w:r>
        <w:rPr>
          <w:rFonts w:ascii="Times New Roman" w:eastAsia="Times New Roman" w:hAnsi="Times New Roman" w:cs="Times New Roman"/>
          <w:sz w:val="28"/>
        </w:rPr>
        <w:t>тии государственной символики. Приверженность ценностям ислама выразили руководители Узбекистана, Кыргызстана, Таджикистана, Туркменистана и Казахстана. Несмотря на то, что конституции этих государств носят светский характер, в них были внесены статьи о на</w:t>
      </w:r>
      <w:r>
        <w:rPr>
          <w:rFonts w:ascii="Times New Roman" w:eastAsia="Times New Roman" w:hAnsi="Times New Roman" w:cs="Times New Roman"/>
          <w:sz w:val="28"/>
        </w:rPr>
        <w:t>циональных традициях, языке с учетом нравственных ценностей, характерных для ислама [2]. «Исламская альтернатива» для идущих по пути суверенизации республик Средней Азии, бывших автономий Российской Федерации стала не только обращением к историческим корня</w:t>
      </w:r>
      <w:r>
        <w:rPr>
          <w:rFonts w:ascii="Times New Roman" w:eastAsia="Times New Roman" w:hAnsi="Times New Roman" w:cs="Times New Roman"/>
          <w:sz w:val="28"/>
        </w:rPr>
        <w:t xml:space="preserve">м, общему культурному и религиозному наследию, но и попыткой найти свое место в мусульманском мире, который до недавнего прошлого существовал за непреодолимым барьером, </w:t>
      </w:r>
      <w:r>
        <w:rPr>
          <w:rFonts w:ascii="Times New Roman" w:eastAsia="Times New Roman" w:hAnsi="Times New Roman" w:cs="Times New Roman"/>
          <w:sz w:val="28"/>
        </w:rPr>
        <w:lastRenderedPageBreak/>
        <w:t xml:space="preserve">разделявшим мусульман бывшего Союза и стран Азии, Африки и Арабского Востока.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За годы </w:t>
      </w:r>
      <w:r>
        <w:rPr>
          <w:rFonts w:ascii="Times New Roman" w:eastAsia="Times New Roman" w:hAnsi="Times New Roman" w:cs="Times New Roman"/>
          <w:sz w:val="28"/>
        </w:rPr>
        <w:t>перестройки изменилось отношение властных структур России к православной церкви и другим конфессиям, включая ислам. Демократические реформы того времени позволили возродить практически уничтоженные православные храмы и мечети, ощутимо возросла социально-по</w:t>
      </w:r>
      <w:r>
        <w:rPr>
          <w:rFonts w:ascii="Times New Roman" w:eastAsia="Times New Roman" w:hAnsi="Times New Roman" w:cs="Times New Roman"/>
          <w:sz w:val="28"/>
        </w:rPr>
        <w:t>литическая активность верующих, стали создаваться различного рода общественные движения и религиозные учреждения (образовательные центры, фонды социальной поддержки и др.). Плюрализм вероисповедания не обошел стороной и регионы России, исторически связанны</w:t>
      </w:r>
      <w:r>
        <w:rPr>
          <w:rFonts w:ascii="Times New Roman" w:eastAsia="Times New Roman" w:hAnsi="Times New Roman" w:cs="Times New Roman"/>
          <w:sz w:val="28"/>
        </w:rPr>
        <w:t>е с мусульманством. Вновь созданные духовные управления мусульман Российской Федерации, опираясь на основы российского законодательства, реализовали права мусульман на свободное вероисповедание, возрождение традиций и обрядов. Так, в конституциях ряда респ</w:t>
      </w:r>
      <w:r>
        <w:rPr>
          <w:rFonts w:ascii="Times New Roman" w:eastAsia="Times New Roman" w:hAnsi="Times New Roman" w:cs="Times New Roman"/>
          <w:sz w:val="28"/>
        </w:rPr>
        <w:t>ублик Поволжья и Урала мусульманские праздники закреплены в качестве республиканских праздников. Были сняты все ограничения на паломничество к святым местам (хадж), что дало новый импульс развитию религиозных и культурных контактов с внешним миром, в частн</w:t>
      </w:r>
      <w:r>
        <w:rPr>
          <w:rFonts w:ascii="Times New Roman" w:eastAsia="Times New Roman" w:hAnsi="Times New Roman" w:cs="Times New Roman"/>
          <w:sz w:val="28"/>
        </w:rPr>
        <w:t xml:space="preserve">ости, со странами Арабского Востока.  </w:t>
      </w:r>
    </w:p>
    <w:p w:rsidR="0052701D" w:rsidRDefault="00D40929">
      <w:pPr>
        <w:spacing w:after="5" w:line="271" w:lineRule="auto"/>
        <w:ind w:left="9" w:right="64" w:firstLine="711"/>
        <w:jc w:val="both"/>
      </w:pPr>
      <w:r>
        <w:rPr>
          <w:rFonts w:ascii="Times New Roman" w:eastAsia="Times New Roman" w:hAnsi="Times New Roman" w:cs="Times New Roman"/>
          <w:sz w:val="28"/>
        </w:rPr>
        <w:t>Для мусульманских государств СНГ было вполне объяснимо обращение к раннему опыту стран «третьего мира», поскольку существовало немало общих экономических проблем, связанных с развитием рыночных отношений. В бывших сов</w:t>
      </w:r>
      <w:r>
        <w:rPr>
          <w:rFonts w:ascii="Times New Roman" w:eastAsia="Times New Roman" w:hAnsi="Times New Roman" w:cs="Times New Roman"/>
          <w:sz w:val="28"/>
        </w:rPr>
        <w:t>етских республиках Средней Азии промышленный потенциал и сельское хозяйство ориентировались на развитие отдельных отраслей, не требующих высокотехнологичных циклов. В частности, в этих экономических регионах основное внимание уделялось культивированию сель</w:t>
      </w:r>
      <w:r>
        <w:rPr>
          <w:rFonts w:ascii="Times New Roman" w:eastAsia="Times New Roman" w:hAnsi="Times New Roman" w:cs="Times New Roman"/>
          <w:sz w:val="28"/>
        </w:rPr>
        <w:t>скохозяйственных монокультур, добыче сырьевых ресурсов – полезных ископаемых, углеводородов, не требующих переработки. В ходе дальнейшего экономического развития стала очевидной необходимость перехода от сырьевой экономики к современным технологичным произ</w:t>
      </w:r>
      <w:r>
        <w:rPr>
          <w:rFonts w:ascii="Times New Roman" w:eastAsia="Times New Roman" w:hAnsi="Times New Roman" w:cs="Times New Roman"/>
          <w:sz w:val="28"/>
        </w:rPr>
        <w:t xml:space="preserve">водствам, логистике, новым формам сбыта и экспорта производимой продукции. Однако доставшееся в наследство от СССР монополия внешней торговли создавала таможенные барьеры.  </w:t>
      </w:r>
    </w:p>
    <w:p w:rsidR="0052701D" w:rsidRDefault="00D40929">
      <w:pPr>
        <w:spacing w:after="5" w:line="271" w:lineRule="auto"/>
        <w:ind w:left="9" w:right="64" w:firstLine="711"/>
        <w:jc w:val="both"/>
      </w:pPr>
      <w:r>
        <w:rPr>
          <w:rFonts w:ascii="Times New Roman" w:eastAsia="Times New Roman" w:hAnsi="Times New Roman" w:cs="Times New Roman"/>
          <w:sz w:val="28"/>
        </w:rPr>
        <w:t>Распад единой денежной (рублевой, к тому же неконвертируемой в тот период) системы</w:t>
      </w:r>
      <w:r>
        <w:rPr>
          <w:rFonts w:ascii="Times New Roman" w:eastAsia="Times New Roman" w:hAnsi="Times New Roman" w:cs="Times New Roman"/>
          <w:sz w:val="28"/>
        </w:rPr>
        <w:t>, по существу, породил финансовый кризис, поставивший на грань коллапса экономику стран Центральной Азии. Непродуманная внешняя политика России по отношению к новым государственным образованиям СНГ объективно подталкивала их к поиску экономических ассоциац</w:t>
      </w:r>
      <w:r>
        <w:rPr>
          <w:rFonts w:ascii="Times New Roman" w:eastAsia="Times New Roman" w:hAnsi="Times New Roman" w:cs="Times New Roman"/>
          <w:sz w:val="28"/>
        </w:rPr>
        <w:t xml:space="preserve">ий. Стремление к </w:t>
      </w:r>
      <w:r>
        <w:rPr>
          <w:rFonts w:ascii="Times New Roman" w:eastAsia="Times New Roman" w:hAnsi="Times New Roman" w:cs="Times New Roman"/>
          <w:sz w:val="28"/>
        </w:rPr>
        <w:lastRenderedPageBreak/>
        <w:t>интеграции государств Центральной Азии было обусловлено однородностью происходящих там политических и социально-экономических процессов, что предопределило необходимость создания с участием Российской Федерации среднеазиатского рынка с еди</w:t>
      </w:r>
      <w:r>
        <w:rPr>
          <w:rFonts w:ascii="Times New Roman" w:eastAsia="Times New Roman" w:hAnsi="Times New Roman" w:cs="Times New Roman"/>
          <w:sz w:val="28"/>
        </w:rPr>
        <w:t xml:space="preserve">ной таможенной, инвестиционной и экспортноимпортной политикой. Впоследствии такие проекты были реализованы через создание ЕврАзЭС, который эффективно работал с 2000–2014  гг. и был преобразован в ЕАЭС [3]. </w:t>
      </w:r>
    </w:p>
    <w:p w:rsidR="0052701D" w:rsidRDefault="00D40929">
      <w:pPr>
        <w:spacing w:after="5" w:line="271" w:lineRule="auto"/>
        <w:ind w:left="9" w:right="64" w:firstLine="711"/>
        <w:jc w:val="both"/>
      </w:pPr>
      <w:r>
        <w:rPr>
          <w:rFonts w:ascii="Times New Roman" w:eastAsia="Times New Roman" w:hAnsi="Times New Roman" w:cs="Times New Roman"/>
          <w:sz w:val="28"/>
        </w:rPr>
        <w:t>Аналогичные процессы были характерны и для регион</w:t>
      </w:r>
      <w:r>
        <w:rPr>
          <w:rFonts w:ascii="Times New Roman" w:eastAsia="Times New Roman" w:hAnsi="Times New Roman" w:cs="Times New Roman"/>
          <w:sz w:val="28"/>
        </w:rPr>
        <w:t xml:space="preserve">ов Поволжья и Урала, где идея создания штата «Идель-Урал», впервые выдвинутая еще в 1917 году, нашла своих приверженцев среди лидеров национальных движений Башкортостана, Марий Эл, Татарстана и Чувашии [4]. Однако руководители этих республик понимали, что </w:t>
      </w:r>
      <w:r>
        <w:rPr>
          <w:rFonts w:ascii="Times New Roman" w:eastAsia="Times New Roman" w:hAnsi="Times New Roman" w:cs="Times New Roman"/>
          <w:sz w:val="28"/>
        </w:rPr>
        <w:t xml:space="preserve">анклавное обособление субъектов Российской Федерации не способствует ее единству и целостности, а интеграция на основе лишь общности национально-культурных и религиозных традиций не позволяет создать действенный защитный механизм от общего политического и </w:t>
      </w:r>
      <w:r>
        <w:rPr>
          <w:rFonts w:ascii="Times New Roman" w:eastAsia="Times New Roman" w:hAnsi="Times New Roman" w:cs="Times New Roman"/>
          <w:sz w:val="28"/>
        </w:rPr>
        <w:t xml:space="preserve">экономического кризиса, охватившего страну в тот период времени. </w:t>
      </w:r>
    </w:p>
    <w:p w:rsidR="0052701D" w:rsidRDefault="00D40929">
      <w:pPr>
        <w:spacing w:after="5" w:line="271" w:lineRule="auto"/>
        <w:ind w:left="9" w:right="64" w:firstLine="711"/>
        <w:jc w:val="both"/>
      </w:pPr>
      <w:r>
        <w:rPr>
          <w:rFonts w:ascii="Times New Roman" w:eastAsia="Times New Roman" w:hAnsi="Times New Roman" w:cs="Times New Roman"/>
          <w:sz w:val="28"/>
        </w:rPr>
        <w:t>Тем не менее, сепаратистские тенденции, возникшие в ряде исконно русских регионов России, как результат так называемого «парада суверенитетов», получили дальнейшее развитие на почве экономич</w:t>
      </w:r>
      <w:r>
        <w:rPr>
          <w:rFonts w:ascii="Times New Roman" w:eastAsia="Times New Roman" w:hAnsi="Times New Roman" w:cs="Times New Roman"/>
          <w:sz w:val="28"/>
        </w:rPr>
        <w:t xml:space="preserve">еского изоляционизма. Местные националистически настроенные представители малых народов и народностей не преминули воспользоваться ситуацией и осуществили ряд противоправных экстремистских акций с целью захвата власти. Социально-политические, этнические и </w:t>
      </w:r>
      <w:r>
        <w:rPr>
          <w:rFonts w:ascii="Times New Roman" w:eastAsia="Times New Roman" w:hAnsi="Times New Roman" w:cs="Times New Roman"/>
          <w:sz w:val="28"/>
        </w:rPr>
        <w:t>религиозные конфликты были предопределены в ходе непродуманных преобразований постсоветского периода, грозивших распадом федерации [5]. Внешне привлекательные идеи социалистического интернационализма, нашедшие свое воплощение в идеологеме «дружной семьи на</w:t>
      </w:r>
      <w:r>
        <w:rPr>
          <w:rFonts w:ascii="Times New Roman" w:eastAsia="Times New Roman" w:hAnsi="Times New Roman" w:cs="Times New Roman"/>
          <w:sz w:val="28"/>
        </w:rPr>
        <w:t xml:space="preserve">родов», перестали быть формой манипулирования общественным сознанием как отдельных граждан, так и целых народов.  </w:t>
      </w:r>
    </w:p>
    <w:p w:rsidR="0052701D" w:rsidRDefault="00D40929">
      <w:pPr>
        <w:spacing w:after="5" w:line="271" w:lineRule="auto"/>
        <w:ind w:left="9" w:right="64" w:firstLine="711"/>
        <w:jc w:val="both"/>
      </w:pPr>
      <w:r>
        <w:rPr>
          <w:rFonts w:ascii="Times New Roman" w:eastAsia="Times New Roman" w:hAnsi="Times New Roman" w:cs="Times New Roman"/>
          <w:sz w:val="28"/>
        </w:rPr>
        <w:t>Благое стремление российских демократов «восстановить историческую справедливость» в межнациональных взаимоотношениях без учета исторически о</w:t>
      </w:r>
      <w:r>
        <w:rPr>
          <w:rFonts w:ascii="Times New Roman" w:eastAsia="Times New Roman" w:hAnsi="Times New Roman" w:cs="Times New Roman"/>
          <w:sz w:val="28"/>
        </w:rPr>
        <w:t>бусловленных межэтнических и межконфессиональных противоречий, обернулось гипертрофией национальных амбиций, политическими и территориальными притязаниями, приведшими к трагическим конфликтам в Нагорном Карабахе, Кыргызстане и Узбекистане [6]. Некоторые ли</w:t>
      </w:r>
      <w:r>
        <w:rPr>
          <w:rFonts w:ascii="Times New Roman" w:eastAsia="Times New Roman" w:hAnsi="Times New Roman" w:cs="Times New Roman"/>
          <w:sz w:val="28"/>
        </w:rPr>
        <w:t>деры религиозно-националистических движений в борьбе за влияние на власть и социальные слои общества инспирировали общественные протесты населения, пытаясь занять свое место во властных структурах. Кроме того, наблюдалась четко выраженная дифференциация ря</w:t>
      </w:r>
      <w:r>
        <w:rPr>
          <w:rFonts w:ascii="Times New Roman" w:eastAsia="Times New Roman" w:hAnsi="Times New Roman" w:cs="Times New Roman"/>
          <w:sz w:val="28"/>
        </w:rPr>
        <w:t xml:space="preserve">да мусульманских активистов не по отношению к вере, а по отношению к неформальным родоплеменным клановым </w:t>
      </w:r>
      <w:r>
        <w:rPr>
          <w:rFonts w:ascii="Times New Roman" w:eastAsia="Times New Roman" w:hAnsi="Times New Roman" w:cs="Times New Roman"/>
          <w:sz w:val="28"/>
        </w:rPr>
        <w:lastRenderedPageBreak/>
        <w:t>сообществам. В среднеазиатских республиках их роль длительное время замалчивалась в основном по внутриполитическим причинам, вместе с тем, они сохранял</w:t>
      </w:r>
      <w:r>
        <w:rPr>
          <w:rFonts w:ascii="Times New Roman" w:eastAsia="Times New Roman" w:hAnsi="Times New Roman" w:cs="Times New Roman"/>
          <w:sz w:val="28"/>
        </w:rPr>
        <w:t>и свое влияние на коррумпированную экономику и кадровую политику. За этим скрывалось стремление состоятельных этнических кланов, не редко получавших финансовую и организационную помощь из-за рубежа, укрепить свои политические позиции как внутри страны, так</w:t>
      </w:r>
      <w:r>
        <w:rPr>
          <w:rFonts w:ascii="Times New Roman" w:eastAsia="Times New Roman" w:hAnsi="Times New Roman" w:cs="Times New Roman"/>
          <w:sz w:val="28"/>
        </w:rPr>
        <w:t xml:space="preserve"> и за ее пределами. </w:t>
      </w:r>
    </w:p>
    <w:p w:rsidR="0052701D" w:rsidRDefault="00D40929">
      <w:pPr>
        <w:spacing w:after="5" w:line="271" w:lineRule="auto"/>
        <w:ind w:left="9" w:right="64" w:firstLine="711"/>
        <w:jc w:val="both"/>
      </w:pPr>
      <w:r>
        <w:rPr>
          <w:rFonts w:ascii="Times New Roman" w:eastAsia="Times New Roman" w:hAnsi="Times New Roman" w:cs="Times New Roman"/>
          <w:sz w:val="28"/>
        </w:rPr>
        <w:t>Постепенная политизация ислама на постсоветском пространстве имела ту же диалектику развития, что и в странах «третьего мира» – тот же тяжелый эволюционный путь развития экономики от полуфеодального к индустриальному обществу, те же те</w:t>
      </w:r>
      <w:r>
        <w:rPr>
          <w:rFonts w:ascii="Times New Roman" w:eastAsia="Times New Roman" w:hAnsi="Times New Roman" w:cs="Times New Roman"/>
          <w:sz w:val="28"/>
        </w:rPr>
        <w:t>ократические принципы национальной демократии, тяготеющей к диктату и авторитаризму. Например, в Таджикистане междоусобица фактически привела республику к территориальному расколу, что нарушило координацию местных и центральных властей и существенно заторм</w:t>
      </w:r>
      <w:r>
        <w:rPr>
          <w:rFonts w:ascii="Times New Roman" w:eastAsia="Times New Roman" w:hAnsi="Times New Roman" w:cs="Times New Roman"/>
          <w:sz w:val="28"/>
        </w:rPr>
        <w:t>озило экономические реформы на местах. Также наблюдаемая в Киргизии этно-клановая дифференциация общества, усугубляемая социальноэкономической отсталостью республики, привела к негативному восприятию демократических реформ основной массой населения. Однако</w:t>
      </w:r>
      <w:r>
        <w:rPr>
          <w:rFonts w:ascii="Times New Roman" w:eastAsia="Times New Roman" w:hAnsi="Times New Roman" w:cs="Times New Roman"/>
          <w:sz w:val="28"/>
        </w:rPr>
        <w:t xml:space="preserve"> не везде царил хаос и политическая неразбериха. В Туркменистане и Узбекистане стабильность и спокойствие удавалось поддерживать благодаря политике «железной руки», вместе с тем попирающей права и свободы граждан. Западные наблюдатели, ставя в заслугу наци</w:t>
      </w:r>
      <w:r>
        <w:rPr>
          <w:rFonts w:ascii="Times New Roman" w:eastAsia="Times New Roman" w:hAnsi="Times New Roman" w:cs="Times New Roman"/>
          <w:sz w:val="28"/>
        </w:rPr>
        <w:t xml:space="preserve">ональным элитам их стремление к экономическим и политическим реформам, в то же время отмечали пренебрежение к демократическим институтам гражданского общества.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Известно, что банковская, финансовая система кредитования интерпретируется весьма своеобразно </w:t>
      </w:r>
      <w:r>
        <w:rPr>
          <w:rFonts w:ascii="Times New Roman" w:eastAsia="Times New Roman" w:hAnsi="Times New Roman" w:cs="Times New Roman"/>
          <w:sz w:val="28"/>
        </w:rPr>
        <w:t>в мусульманских странах, включая отдельные элементы шариатского толкования права частной собственности и монетарных методов управления экономикой. Тем не менее, умелая адаптация западных методов управления производством (например, в нефтедобыче и ее перера</w:t>
      </w:r>
      <w:r>
        <w:rPr>
          <w:rFonts w:ascii="Times New Roman" w:eastAsia="Times New Roman" w:hAnsi="Times New Roman" w:cs="Times New Roman"/>
          <w:sz w:val="28"/>
        </w:rPr>
        <w:t>ботке), не разрушающая традиции и религиозные устои общества, определила стремление государств Центральной Азии к сотрудничеству с развитыми мусульманскими странами. Об этом свидетельствовало вступление шести среднеазиатских государств в Организацию эконом</w:t>
      </w:r>
      <w:r>
        <w:rPr>
          <w:rFonts w:ascii="Times New Roman" w:eastAsia="Times New Roman" w:hAnsi="Times New Roman" w:cs="Times New Roman"/>
          <w:sz w:val="28"/>
        </w:rPr>
        <w:t>ического сотрудничества (Economic Cooperation Organization, ЕСО). Инициаторами создания этой организации, существующей с 1985 года, являются Иран, Турция и Пакистан [7]. ЕСО было призвано способствовать экономической интеграции ее членов, либерализации тор</w:t>
      </w:r>
      <w:r>
        <w:rPr>
          <w:rFonts w:ascii="Times New Roman" w:eastAsia="Times New Roman" w:hAnsi="Times New Roman" w:cs="Times New Roman"/>
          <w:sz w:val="28"/>
        </w:rPr>
        <w:t xml:space="preserve">говли между ними, сокращению таможенных тарифов, а также созданию общего рынка исламских стран.  </w:t>
      </w:r>
    </w:p>
    <w:p w:rsidR="0052701D" w:rsidRDefault="00D40929">
      <w:pPr>
        <w:spacing w:after="5" w:line="271" w:lineRule="auto"/>
        <w:ind w:left="9" w:right="64" w:firstLine="711"/>
        <w:jc w:val="both"/>
      </w:pPr>
      <w:r>
        <w:rPr>
          <w:rFonts w:ascii="Times New Roman" w:eastAsia="Times New Roman" w:hAnsi="Times New Roman" w:cs="Times New Roman"/>
          <w:sz w:val="28"/>
        </w:rPr>
        <w:lastRenderedPageBreak/>
        <w:t>Обозначившийся в тот исторический период переход от биполярного к многополярному миру позитивно отразился на процессе становления государств Центральной Азии.</w:t>
      </w:r>
      <w:r>
        <w:rPr>
          <w:rFonts w:ascii="Times New Roman" w:eastAsia="Times New Roman" w:hAnsi="Times New Roman" w:cs="Times New Roman"/>
          <w:sz w:val="28"/>
        </w:rPr>
        <w:t xml:space="preserve"> Образовав особое общее геополитическое и экономическое пространство с Россией (СНГ, ЕврАзЭС, впоследствии ЕАЭС), они создали совершенно новый экономический потенциал, приоритеты которого тогда еще не были отчетливыми, но в целом уже определился основной в</w:t>
      </w:r>
      <w:r>
        <w:rPr>
          <w:rFonts w:ascii="Times New Roman" w:eastAsia="Times New Roman" w:hAnsi="Times New Roman" w:cs="Times New Roman"/>
          <w:sz w:val="28"/>
        </w:rPr>
        <w:t>ектор, ориентированный на Евразию. В частности, Таджикистан не прекращал связи с</w:t>
      </w:r>
    </w:p>
    <w:p w:rsidR="0052701D" w:rsidRDefault="00D40929">
      <w:pPr>
        <w:spacing w:after="5" w:line="271" w:lineRule="auto"/>
        <w:ind w:left="9" w:right="64"/>
        <w:jc w:val="both"/>
      </w:pPr>
      <w:r>
        <w:rPr>
          <w:rFonts w:ascii="Times New Roman" w:eastAsia="Times New Roman" w:hAnsi="Times New Roman" w:cs="Times New Roman"/>
          <w:sz w:val="28"/>
        </w:rPr>
        <w:t>Российской Федерацией и с соседним Афганистаном, Ираном и Пакистаном.</w:t>
      </w:r>
    </w:p>
    <w:p w:rsidR="0052701D" w:rsidRDefault="00D40929">
      <w:pPr>
        <w:spacing w:after="5" w:line="271" w:lineRule="auto"/>
        <w:ind w:left="9" w:right="64"/>
        <w:jc w:val="both"/>
      </w:pPr>
      <w:r>
        <w:rPr>
          <w:rFonts w:ascii="Times New Roman" w:eastAsia="Times New Roman" w:hAnsi="Times New Roman" w:cs="Times New Roman"/>
          <w:sz w:val="28"/>
        </w:rPr>
        <w:t>Узбекистан и Туркменистан тяготели к мусульманским странам, активно занимающимся добычей и экспортом угле</w:t>
      </w:r>
      <w:r>
        <w:rPr>
          <w:rFonts w:ascii="Times New Roman" w:eastAsia="Times New Roman" w:hAnsi="Times New Roman" w:cs="Times New Roman"/>
          <w:sz w:val="28"/>
        </w:rPr>
        <w:t xml:space="preserve">водородов. Казахстан и Кыргызстан, кроме указанных направлений, сделали ставку на развитие торговоэкономического сотрудничества с Россией и Китаем и также включились в процесс мусульманской интеграции. </w:t>
      </w:r>
    </w:p>
    <w:p w:rsidR="0052701D" w:rsidRDefault="00D40929">
      <w:pPr>
        <w:spacing w:after="5" w:line="271" w:lineRule="auto"/>
        <w:ind w:left="9" w:right="64" w:firstLine="711"/>
        <w:jc w:val="both"/>
      </w:pPr>
      <w:r>
        <w:rPr>
          <w:rFonts w:ascii="Times New Roman" w:eastAsia="Times New Roman" w:hAnsi="Times New Roman" w:cs="Times New Roman"/>
          <w:sz w:val="28"/>
        </w:rPr>
        <w:t>Анализируя постсоветский этап проводимых реформ, след</w:t>
      </w:r>
      <w:r>
        <w:rPr>
          <w:rFonts w:ascii="Times New Roman" w:eastAsia="Times New Roman" w:hAnsi="Times New Roman" w:cs="Times New Roman"/>
          <w:sz w:val="28"/>
        </w:rPr>
        <w:t xml:space="preserve">ует отметить, что исторический переход к демократии и свободному рынку, драматически осуществляемый на всем пространстве бывшей советской империи, был особенно мучителен в регионах традиционного распространения ислама и нередко сопровождался межэтническим </w:t>
      </w:r>
      <w:r>
        <w:rPr>
          <w:rFonts w:ascii="Times New Roman" w:eastAsia="Times New Roman" w:hAnsi="Times New Roman" w:cs="Times New Roman"/>
          <w:sz w:val="28"/>
        </w:rPr>
        <w:t xml:space="preserve">и межконфессиональным противостоянием.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 Таким образом, социально-экономическая трансформация российских и центрально-азиатских регионов с существенной составляющей мусульманского населения была крайне необходима для сохранения хозяйственных и культурных с</w:t>
      </w:r>
      <w:r>
        <w:rPr>
          <w:rFonts w:ascii="Times New Roman" w:eastAsia="Times New Roman" w:hAnsi="Times New Roman" w:cs="Times New Roman"/>
          <w:sz w:val="28"/>
        </w:rPr>
        <w:t xml:space="preserve">вязей, которые могли составить основу целостности постсоветского экономического пространства. Политические и экономические элиты этих регионов опирались на разные социально-экономические потенциалы, доставшиеся в наследство от советского прошлого, поэтому </w:t>
      </w:r>
      <w:r>
        <w:rPr>
          <w:rFonts w:ascii="Times New Roman" w:eastAsia="Times New Roman" w:hAnsi="Times New Roman" w:cs="Times New Roman"/>
          <w:sz w:val="28"/>
        </w:rPr>
        <w:t>модели преобразований в них существенно отличались. Для одних приоритетом было сохранение традиционных отношений с Россией и другими государствами СНГ, а для других – возникла альтернатива исламского пути развития, исходя из общности политических, экономич</w:t>
      </w:r>
      <w:r>
        <w:rPr>
          <w:rFonts w:ascii="Times New Roman" w:eastAsia="Times New Roman" w:hAnsi="Times New Roman" w:cs="Times New Roman"/>
          <w:sz w:val="28"/>
        </w:rPr>
        <w:t>еских и культурных интересов прежде всего с мусульманскими странами. В целом эти подходы к демократическим реформам носили тактический характер и не противоречили концепции многополярного мира, что в известном смысле отвечало концептуальным основам внешней</w:t>
      </w:r>
      <w:r>
        <w:rPr>
          <w:rFonts w:ascii="Times New Roman" w:eastAsia="Times New Roman" w:hAnsi="Times New Roman" w:cs="Times New Roman"/>
          <w:sz w:val="28"/>
        </w:rPr>
        <w:t xml:space="preserve"> политики Российской Федерации, направленной на расширение международного сотрудничества со странами мусульманского мира. </w:t>
      </w:r>
    </w:p>
    <w:p w:rsidR="0052701D" w:rsidRDefault="00D40929">
      <w:pPr>
        <w:spacing w:after="28"/>
        <w:ind w:left="711"/>
      </w:pPr>
      <w:r>
        <w:rPr>
          <w:rFonts w:ascii="Times New Roman" w:eastAsia="Times New Roman" w:hAnsi="Times New Roman" w:cs="Times New Roman"/>
          <w:sz w:val="24"/>
        </w:rPr>
        <w:t xml:space="preserve"> </w:t>
      </w:r>
    </w:p>
    <w:p w:rsidR="0052701D" w:rsidRDefault="00D40929">
      <w:pPr>
        <w:spacing w:after="16" w:line="248" w:lineRule="auto"/>
        <w:ind w:left="819" w:right="890" w:hanging="10"/>
        <w:jc w:val="center"/>
      </w:pPr>
      <w:r>
        <w:rPr>
          <w:rFonts w:ascii="Times New Roman" w:eastAsia="Times New Roman" w:hAnsi="Times New Roman" w:cs="Times New Roman"/>
          <w:b/>
          <w:sz w:val="24"/>
        </w:rPr>
        <w:t xml:space="preserve">ИСТОЧНИКИ </w:t>
      </w:r>
    </w:p>
    <w:p w:rsidR="0052701D" w:rsidRDefault="00D40929">
      <w:pPr>
        <w:numPr>
          <w:ilvl w:val="0"/>
          <w:numId w:val="101"/>
        </w:numPr>
        <w:spacing w:after="29" w:line="248" w:lineRule="auto"/>
        <w:ind w:right="14" w:firstLine="711"/>
        <w:jc w:val="both"/>
      </w:pPr>
      <w:r>
        <w:rPr>
          <w:rFonts w:ascii="Times New Roman" w:eastAsia="Times New Roman" w:hAnsi="Times New Roman" w:cs="Times New Roman"/>
          <w:sz w:val="24"/>
        </w:rPr>
        <w:t xml:space="preserve">Конституция Российской Федерации, «Российская газета» от 25.12.1993 № 237. </w:t>
      </w:r>
    </w:p>
    <w:p w:rsidR="0052701D" w:rsidRDefault="00D40929">
      <w:pPr>
        <w:numPr>
          <w:ilvl w:val="0"/>
          <w:numId w:val="101"/>
        </w:numPr>
        <w:spacing w:after="29" w:line="248" w:lineRule="auto"/>
        <w:ind w:right="14" w:firstLine="711"/>
        <w:jc w:val="both"/>
      </w:pPr>
      <w:r>
        <w:rPr>
          <w:rFonts w:ascii="Times New Roman" w:eastAsia="Times New Roman" w:hAnsi="Times New Roman" w:cs="Times New Roman"/>
          <w:sz w:val="24"/>
        </w:rPr>
        <w:t>Эдвард Лемон. Ислам, государственность и без</w:t>
      </w:r>
      <w:r>
        <w:rPr>
          <w:rFonts w:ascii="Times New Roman" w:eastAsia="Times New Roman" w:hAnsi="Times New Roman" w:cs="Times New Roman"/>
          <w:sz w:val="24"/>
        </w:rPr>
        <w:t xml:space="preserve">опасность в постсоветской Центральной Азии. ИноСМИ, 7 ноября 2017 г. [Электронный ресурс]. https://russian.eurasianet.org/node/64896. </w:t>
      </w:r>
    </w:p>
    <w:p w:rsidR="0052701D" w:rsidRDefault="00D40929">
      <w:pPr>
        <w:numPr>
          <w:ilvl w:val="0"/>
          <w:numId w:val="101"/>
        </w:numPr>
        <w:spacing w:after="29" w:line="248" w:lineRule="auto"/>
        <w:ind w:right="14" w:firstLine="711"/>
        <w:jc w:val="both"/>
      </w:pPr>
      <w:r>
        <w:rPr>
          <w:rFonts w:ascii="Times New Roman" w:eastAsia="Times New Roman" w:hAnsi="Times New Roman" w:cs="Times New Roman"/>
          <w:sz w:val="24"/>
        </w:rPr>
        <w:lastRenderedPageBreak/>
        <w:t>Валеева Ю. С. Стимулирование развития электротранспорта как инструмент развития территории / Ю. С. Валеева, М.В. Калинина</w:t>
      </w:r>
      <w:r>
        <w:rPr>
          <w:rFonts w:ascii="Times New Roman" w:eastAsia="Times New Roman" w:hAnsi="Times New Roman" w:cs="Times New Roman"/>
          <w:sz w:val="24"/>
        </w:rPr>
        <w:t xml:space="preserve">, Т. Г. Зорина, И. Г. Ахметова // Вестник Казанского государственного энергетического университета. 2022. Т. 14. № 1(53). С. 155-172. </w:t>
      </w:r>
    </w:p>
    <w:p w:rsidR="0052701D" w:rsidRDefault="00D40929">
      <w:pPr>
        <w:numPr>
          <w:ilvl w:val="0"/>
          <w:numId w:val="101"/>
        </w:numPr>
        <w:spacing w:after="29" w:line="248" w:lineRule="auto"/>
        <w:ind w:right="14" w:firstLine="711"/>
        <w:jc w:val="both"/>
      </w:pPr>
      <w:r>
        <w:rPr>
          <w:rFonts w:ascii="Times New Roman" w:eastAsia="Times New Roman" w:hAnsi="Times New Roman" w:cs="Times New Roman"/>
          <w:sz w:val="24"/>
        </w:rPr>
        <w:t>Евразийское Экономическое сообщество, ЕврАзЭС (ЕАЭС). Официальный сайт. [Электронный ресурс]. http://www.evrazes.com/ (17</w:t>
      </w:r>
      <w:r>
        <w:rPr>
          <w:rFonts w:ascii="Times New Roman" w:eastAsia="Times New Roman" w:hAnsi="Times New Roman" w:cs="Times New Roman"/>
          <w:sz w:val="24"/>
        </w:rPr>
        <w:t xml:space="preserve">.09.2022). </w:t>
      </w:r>
    </w:p>
    <w:p w:rsidR="0052701D" w:rsidRDefault="00D40929">
      <w:pPr>
        <w:numPr>
          <w:ilvl w:val="0"/>
          <w:numId w:val="101"/>
        </w:numPr>
        <w:spacing w:after="29" w:line="248" w:lineRule="auto"/>
        <w:ind w:right="14" w:firstLine="711"/>
        <w:jc w:val="both"/>
      </w:pPr>
      <w:r>
        <w:rPr>
          <w:rFonts w:ascii="Times New Roman" w:eastAsia="Times New Roman" w:hAnsi="Times New Roman" w:cs="Times New Roman"/>
          <w:sz w:val="24"/>
        </w:rPr>
        <w:t xml:space="preserve">Тагиров И. Р. История национальной государственности татарского народа и Татарстана: научное издание / И. Р. Тагиров; Казан. гос. ун-т. – Казань: Таткнигоиздат, 2000. – 310 с. </w:t>
      </w:r>
    </w:p>
    <w:p w:rsidR="0052701D" w:rsidRDefault="00D40929">
      <w:pPr>
        <w:numPr>
          <w:ilvl w:val="0"/>
          <w:numId w:val="101"/>
        </w:numPr>
        <w:spacing w:after="29" w:line="248" w:lineRule="auto"/>
        <w:ind w:right="14" w:firstLine="711"/>
        <w:jc w:val="both"/>
      </w:pPr>
      <w:r>
        <w:rPr>
          <w:rFonts w:ascii="Times New Roman" w:eastAsia="Times New Roman" w:hAnsi="Times New Roman" w:cs="Times New Roman"/>
          <w:sz w:val="24"/>
        </w:rPr>
        <w:t>Чиркова И. Г. Анализ занятости в энергетическом секторе экономики р</w:t>
      </w:r>
      <w:r>
        <w:rPr>
          <w:rFonts w:ascii="Times New Roman" w:eastAsia="Times New Roman" w:hAnsi="Times New Roman" w:cs="Times New Roman"/>
          <w:sz w:val="24"/>
        </w:rPr>
        <w:t xml:space="preserve">егиона / И. Г. Чиркова, К. М. Бережной // Вестник Казанского государственного энергетического университета. 2022. Т. 14. № 2(54). С. 134-141.  </w:t>
      </w:r>
    </w:p>
    <w:p w:rsidR="0052701D" w:rsidRDefault="00D40929">
      <w:pPr>
        <w:numPr>
          <w:ilvl w:val="0"/>
          <w:numId w:val="101"/>
        </w:numPr>
        <w:spacing w:after="29" w:line="248" w:lineRule="auto"/>
        <w:ind w:right="14" w:firstLine="711"/>
        <w:jc w:val="both"/>
      </w:pPr>
      <w:r>
        <w:rPr>
          <w:rFonts w:ascii="Times New Roman" w:eastAsia="Times New Roman" w:hAnsi="Times New Roman" w:cs="Times New Roman"/>
          <w:sz w:val="24"/>
        </w:rPr>
        <w:t xml:space="preserve">Холоднов В.Г., Нуриахметова Ф.М. Модель Татарстана как альтернатива протогосударству (К 25-летию </w:t>
      </w:r>
      <w:r>
        <w:rPr>
          <w:rFonts w:ascii="Times New Roman" w:eastAsia="Times New Roman" w:hAnsi="Times New Roman" w:cs="Times New Roman"/>
          <w:sz w:val="24"/>
        </w:rPr>
        <w:t xml:space="preserve">государственности Татарстана) // Казанский педагогический журнал. – 2015. – № 4. – С. 210-214. </w:t>
      </w:r>
    </w:p>
    <w:p w:rsidR="0052701D" w:rsidRDefault="00D40929">
      <w:pPr>
        <w:numPr>
          <w:ilvl w:val="0"/>
          <w:numId w:val="101"/>
        </w:numPr>
        <w:spacing w:after="29" w:line="248" w:lineRule="auto"/>
        <w:ind w:right="14" w:firstLine="711"/>
        <w:jc w:val="both"/>
      </w:pPr>
      <w:r>
        <w:rPr>
          <w:rFonts w:ascii="Times New Roman" w:eastAsia="Times New Roman" w:hAnsi="Times New Roman" w:cs="Times New Roman"/>
          <w:sz w:val="24"/>
        </w:rPr>
        <w:t>Дмитриева Е.Л. Постсоветская центральная Азия: Этно-территориальные споры и пограничные конфликты (Обзор) // Россия и мусульманский мир. – 2018. – № 4. – С. 45-</w:t>
      </w:r>
      <w:r>
        <w:rPr>
          <w:rFonts w:ascii="Times New Roman" w:eastAsia="Times New Roman" w:hAnsi="Times New Roman" w:cs="Times New Roman"/>
          <w:sz w:val="24"/>
        </w:rPr>
        <w:t xml:space="preserve">55. [9] Economic Cooperation Organization, ЕСО. Официальный сайт. [Электронный ресурс]. </w:t>
      </w:r>
    </w:p>
    <w:p w:rsidR="0052701D" w:rsidRDefault="00D40929">
      <w:pPr>
        <w:spacing w:after="80" w:line="248" w:lineRule="auto"/>
        <w:ind w:left="9" w:right="14"/>
        <w:jc w:val="both"/>
      </w:pPr>
      <w:r>
        <w:rPr>
          <w:rFonts w:ascii="Times New Roman" w:eastAsia="Times New Roman" w:hAnsi="Times New Roman" w:cs="Times New Roman"/>
          <w:sz w:val="24"/>
        </w:rPr>
        <w:t xml:space="preserve">https://www.eco.int  (21.09.2022) </w:t>
      </w:r>
    </w:p>
    <w:p w:rsidR="0052701D" w:rsidRDefault="00D40929">
      <w:pPr>
        <w:spacing w:after="84"/>
        <w:ind w:left="711"/>
      </w:pPr>
      <w:r>
        <w:rPr>
          <w:rFonts w:ascii="Times New Roman" w:eastAsia="Times New Roman" w:hAnsi="Times New Roman" w:cs="Times New Roman"/>
        </w:rPr>
        <w:t xml:space="preserve"> </w:t>
      </w:r>
    </w:p>
    <w:p w:rsidR="0052701D" w:rsidRDefault="00D40929">
      <w:pPr>
        <w:spacing w:after="19"/>
        <w:ind w:left="711"/>
      </w:pPr>
      <w:r>
        <w:rPr>
          <w:rFonts w:ascii="Times New Roman" w:eastAsia="Times New Roman" w:hAnsi="Times New Roman" w:cs="Times New Roman"/>
        </w:rPr>
        <w:t xml:space="preserve"> </w:t>
      </w:r>
    </w:p>
    <w:p w:rsidR="0052701D" w:rsidRDefault="00D40929">
      <w:pPr>
        <w:spacing w:after="4" w:line="271" w:lineRule="auto"/>
        <w:ind w:left="-5" w:right="194" w:hanging="10"/>
      </w:pPr>
      <w:r>
        <w:rPr>
          <w:rFonts w:ascii="Times New Roman" w:eastAsia="Times New Roman" w:hAnsi="Times New Roman" w:cs="Times New Roman"/>
          <w:b/>
          <w:sz w:val="24"/>
        </w:rPr>
        <w:t xml:space="preserve">РНТИ 13.11.27 УДК 316 </w:t>
      </w:r>
    </w:p>
    <w:p w:rsidR="0052701D" w:rsidRDefault="00D40929">
      <w:pPr>
        <w:spacing w:after="31"/>
        <w:ind w:left="711"/>
      </w:pPr>
      <w:r>
        <w:rPr>
          <w:rFonts w:ascii="Times New Roman" w:eastAsia="Times New Roman" w:hAnsi="Times New Roman" w:cs="Times New Roman"/>
          <w:b/>
          <w:sz w:val="28"/>
        </w:rPr>
        <w:t xml:space="preserve"> </w:t>
      </w:r>
    </w:p>
    <w:p w:rsidR="0052701D" w:rsidRDefault="00D40929">
      <w:pPr>
        <w:pStyle w:val="1"/>
        <w:ind w:left="1493" w:right="0" w:firstLine="9"/>
        <w:jc w:val="left"/>
      </w:pPr>
      <w:r>
        <w:t xml:space="preserve">ЖАСТАР АРАСЫНДА ҚҰНДЫЛЫҚТАР ҚАЛЫПТАСУ МӘСЕЛЕСІ </w:t>
      </w:r>
    </w:p>
    <w:p w:rsidR="0052701D" w:rsidRDefault="00D40929">
      <w:pPr>
        <w:spacing w:after="27"/>
        <w:ind w:left="696"/>
        <w:jc w:val="center"/>
      </w:pPr>
      <w:r>
        <w:rPr>
          <w:rFonts w:ascii="Times New Roman" w:eastAsia="Times New Roman" w:hAnsi="Times New Roman" w:cs="Times New Roman"/>
          <w:b/>
          <w:sz w:val="24"/>
        </w:rPr>
        <w:t xml:space="preserve"> </w:t>
      </w:r>
    </w:p>
    <w:p w:rsidR="0052701D" w:rsidRDefault="00D40929">
      <w:pPr>
        <w:pStyle w:val="1"/>
        <w:spacing w:after="16" w:line="248" w:lineRule="auto"/>
        <w:ind w:left="819" w:right="174"/>
      </w:pPr>
      <w:r>
        <w:rPr>
          <w:sz w:val="24"/>
        </w:rPr>
        <w:t xml:space="preserve">Орынбекова Дина Серикбековна </w:t>
      </w:r>
    </w:p>
    <w:p w:rsidR="0052701D" w:rsidRDefault="00D40929">
      <w:pPr>
        <w:spacing w:after="29" w:line="248" w:lineRule="auto"/>
        <w:ind w:left="1517" w:right="14"/>
        <w:jc w:val="both"/>
      </w:pPr>
      <w:r>
        <w:rPr>
          <w:rFonts w:ascii="Times New Roman" w:eastAsia="Times New Roman" w:hAnsi="Times New Roman" w:cs="Times New Roman"/>
          <w:sz w:val="24"/>
        </w:rPr>
        <w:t xml:space="preserve">Алматы энергетика және </w:t>
      </w:r>
      <w:r>
        <w:rPr>
          <w:rFonts w:ascii="Times New Roman" w:eastAsia="Times New Roman" w:hAnsi="Times New Roman" w:cs="Times New Roman"/>
          <w:sz w:val="24"/>
        </w:rPr>
        <w:t xml:space="preserve">байланыс университеті  </w:t>
      </w:r>
      <w:r>
        <w:rPr>
          <w:rFonts w:ascii="Times New Roman" w:eastAsia="Times New Roman" w:hAnsi="Times New Roman" w:cs="Times New Roman"/>
          <w:color w:val="0000FF"/>
          <w:sz w:val="24"/>
          <w:u w:val="single" w:color="0000FF"/>
        </w:rPr>
        <w:t>dorynbekova@aues.kz</w:t>
      </w:r>
      <w:r>
        <w:rPr>
          <w:rFonts w:ascii="Times New Roman" w:eastAsia="Times New Roman" w:hAnsi="Times New Roman" w:cs="Times New Roman"/>
          <w:color w:val="0000FF"/>
          <w:sz w:val="24"/>
        </w:rPr>
        <w:t xml:space="preserve"> </w:t>
      </w:r>
    </w:p>
    <w:p w:rsidR="0052701D" w:rsidRDefault="00D40929">
      <w:pPr>
        <w:spacing w:after="37"/>
        <w:ind w:left="711"/>
      </w:pPr>
      <w:r>
        <w:rPr>
          <w:rFonts w:ascii="Times New Roman" w:eastAsia="Times New Roman" w:hAnsi="Times New Roman" w:cs="Times New Roman"/>
          <w:i/>
        </w:rPr>
        <w:t xml:space="preserve"> </w:t>
      </w:r>
    </w:p>
    <w:p w:rsidR="0052701D" w:rsidRDefault="00D40929">
      <w:pPr>
        <w:spacing w:after="29" w:line="248" w:lineRule="auto"/>
        <w:ind w:left="9" w:firstLine="711"/>
        <w:jc w:val="both"/>
      </w:pPr>
      <w:r>
        <w:rPr>
          <w:rFonts w:ascii="Times New Roman" w:eastAsia="Times New Roman" w:hAnsi="Times New Roman" w:cs="Times New Roman"/>
          <w:b/>
          <w:i/>
          <w:sz w:val="24"/>
        </w:rPr>
        <w:t>Аңдатпа.</w:t>
      </w:r>
      <w:r>
        <w:rPr>
          <w:rFonts w:ascii="Times New Roman" w:eastAsia="Times New Roman" w:hAnsi="Times New Roman" w:cs="Times New Roman"/>
          <w:i/>
          <w:sz w:val="24"/>
        </w:rPr>
        <w:t xml:space="preserve"> Мақаланың мақсаты әлеуметтік-гуманитарлық білім жүйесіндегі рухани және мәдени құндылықтардың қалыптасу мәселелерін зерттеудің негізгі тәсілдерін қарастыру болып табылады. Жалпы мәдениет-бұл белгілі бі</w:t>
      </w:r>
      <w:r>
        <w:rPr>
          <w:rFonts w:ascii="Times New Roman" w:eastAsia="Times New Roman" w:hAnsi="Times New Roman" w:cs="Times New Roman"/>
          <w:i/>
          <w:sz w:val="24"/>
        </w:rPr>
        <w:t xml:space="preserve">р құндылықтар жүйесіне негізделген әлеуметтік шындықты рухани дамыту тәсілі. Тұрақты түрдегі құндылықтар жиынтығы белгілі бір қоғамның мәдениеті мен тарихи тәжірибесінің бірегейлігін білдіреді. </w:t>
      </w:r>
    </w:p>
    <w:p w:rsidR="0052701D" w:rsidRDefault="00D40929">
      <w:pPr>
        <w:spacing w:after="29" w:line="248" w:lineRule="auto"/>
        <w:ind w:left="9" w:firstLine="711"/>
        <w:jc w:val="both"/>
      </w:pPr>
      <w:r>
        <w:rPr>
          <w:rFonts w:ascii="Times New Roman" w:eastAsia="Times New Roman" w:hAnsi="Times New Roman" w:cs="Times New Roman"/>
          <w:i/>
          <w:sz w:val="24"/>
        </w:rPr>
        <w:t>Ұлттық және әлемдік мәдениеттің құндылығы адам мен қоғамның д</w:t>
      </w:r>
      <w:r>
        <w:rPr>
          <w:rFonts w:ascii="Times New Roman" w:eastAsia="Times New Roman" w:hAnsi="Times New Roman" w:cs="Times New Roman"/>
          <w:i/>
          <w:sz w:val="24"/>
        </w:rPr>
        <w:t xml:space="preserve">аму дәрежесін білдіреді. Адам болудың барлық салалары оның болмысының мәдени құрамдас бөлігін құрайтын мағынаға енеді. </w:t>
      </w:r>
    </w:p>
    <w:p w:rsidR="0052701D" w:rsidRDefault="00D40929">
      <w:pPr>
        <w:spacing w:after="29" w:line="248" w:lineRule="auto"/>
        <w:ind w:left="9" w:firstLine="711"/>
        <w:jc w:val="both"/>
      </w:pPr>
      <w:r>
        <w:rPr>
          <w:rFonts w:ascii="Times New Roman" w:eastAsia="Times New Roman" w:hAnsi="Times New Roman" w:cs="Times New Roman"/>
          <w:b/>
          <w:i/>
          <w:sz w:val="24"/>
        </w:rPr>
        <w:t>Түйінді сөздер</w:t>
      </w:r>
      <w:r>
        <w:rPr>
          <w:rFonts w:ascii="Times New Roman" w:eastAsia="Times New Roman" w:hAnsi="Times New Roman" w:cs="Times New Roman"/>
          <w:i/>
          <w:sz w:val="24"/>
        </w:rPr>
        <w:t xml:space="preserve">: мәдениет, қоғам, құндылықтар, жастар, консенсус, ұлттық мәдениет. </w:t>
      </w:r>
    </w:p>
    <w:p w:rsidR="0052701D" w:rsidRDefault="00D40929">
      <w:pPr>
        <w:spacing w:after="0"/>
        <w:ind w:left="711"/>
      </w:pPr>
      <w:r>
        <w:rPr>
          <w:rFonts w:ascii="Times New Roman" w:eastAsia="Times New Roman" w:hAnsi="Times New Roman" w:cs="Times New Roman"/>
          <w:i/>
          <w:sz w:val="24"/>
        </w:rPr>
        <w:t xml:space="preserve"> </w:t>
      </w:r>
    </w:p>
    <w:p w:rsidR="0052701D" w:rsidRDefault="00D40929">
      <w:pPr>
        <w:spacing w:after="16"/>
        <w:ind w:left="711"/>
      </w:pPr>
      <w:r>
        <w:rPr>
          <w:rFonts w:ascii="Times New Roman" w:eastAsia="Times New Roman" w:hAnsi="Times New Roman" w:cs="Times New Roman"/>
          <w:i/>
          <w:sz w:val="24"/>
        </w:rPr>
        <w:t xml:space="preserve"> </w:t>
      </w:r>
    </w:p>
    <w:p w:rsidR="0052701D" w:rsidRDefault="00D40929">
      <w:pPr>
        <w:spacing w:after="5" w:line="271" w:lineRule="auto"/>
        <w:ind w:left="1229" w:firstLine="9"/>
      </w:pPr>
      <w:r>
        <w:rPr>
          <w:rFonts w:ascii="Times New Roman" w:eastAsia="Times New Roman" w:hAnsi="Times New Roman" w:cs="Times New Roman"/>
          <w:b/>
          <w:sz w:val="28"/>
        </w:rPr>
        <w:t xml:space="preserve">THE PROBLEM OF THE FORMATION OF VALUES AMONG </w:t>
      </w:r>
      <w:r>
        <w:rPr>
          <w:rFonts w:ascii="Times New Roman" w:eastAsia="Times New Roman" w:hAnsi="Times New Roman" w:cs="Times New Roman"/>
          <w:b/>
          <w:sz w:val="28"/>
        </w:rPr>
        <w:t xml:space="preserve">YOUNG PEOPLE </w:t>
      </w:r>
    </w:p>
    <w:p w:rsidR="0052701D" w:rsidRDefault="00D40929">
      <w:pPr>
        <w:spacing w:after="0"/>
        <w:ind w:left="696"/>
        <w:jc w:val="center"/>
      </w:pPr>
      <w:r>
        <w:rPr>
          <w:rFonts w:ascii="Times New Roman" w:eastAsia="Times New Roman" w:hAnsi="Times New Roman" w:cs="Times New Roman"/>
          <w:b/>
          <w:i/>
          <w:sz w:val="24"/>
        </w:rPr>
        <w:t xml:space="preserve"> </w:t>
      </w:r>
    </w:p>
    <w:p w:rsidR="0052701D" w:rsidRDefault="00D40929">
      <w:pPr>
        <w:spacing w:after="16" w:line="248" w:lineRule="auto"/>
        <w:ind w:left="819" w:right="184" w:hanging="10"/>
        <w:jc w:val="center"/>
      </w:pPr>
      <w:r>
        <w:rPr>
          <w:rFonts w:ascii="Times New Roman" w:eastAsia="Times New Roman" w:hAnsi="Times New Roman" w:cs="Times New Roman"/>
          <w:b/>
          <w:sz w:val="24"/>
        </w:rPr>
        <w:t xml:space="preserve">Orynbekova Dina Serikbekovna </w:t>
      </w:r>
    </w:p>
    <w:p w:rsidR="0052701D" w:rsidRDefault="00D40929">
      <w:pPr>
        <w:spacing w:after="29" w:line="248" w:lineRule="auto"/>
        <w:ind w:left="1637" w:right="14"/>
        <w:jc w:val="both"/>
      </w:pPr>
      <w:r>
        <w:rPr>
          <w:rFonts w:ascii="Times New Roman" w:eastAsia="Times New Roman" w:hAnsi="Times New Roman" w:cs="Times New Roman"/>
          <w:sz w:val="24"/>
        </w:rPr>
        <w:lastRenderedPageBreak/>
        <w:t xml:space="preserve">Almaty University of energy and communications dorynbekova@aues.kz </w:t>
      </w:r>
    </w:p>
    <w:p w:rsidR="0052701D" w:rsidRDefault="00D40929">
      <w:pPr>
        <w:spacing w:after="0"/>
        <w:ind w:left="711"/>
      </w:pPr>
      <w:r>
        <w:rPr>
          <w:rFonts w:ascii="Times New Roman" w:eastAsia="Times New Roman" w:hAnsi="Times New Roman" w:cs="Times New Roman"/>
          <w:b/>
          <w:i/>
          <w:sz w:val="24"/>
        </w:rPr>
        <w:t xml:space="preserve"> </w:t>
      </w:r>
    </w:p>
    <w:p w:rsidR="0052701D" w:rsidRDefault="00D40929">
      <w:pPr>
        <w:spacing w:after="0" w:line="248" w:lineRule="auto"/>
        <w:ind w:left="9" w:firstLine="711"/>
        <w:jc w:val="both"/>
      </w:pPr>
      <w:r>
        <w:rPr>
          <w:rFonts w:ascii="Times New Roman" w:eastAsia="Times New Roman" w:hAnsi="Times New Roman" w:cs="Times New Roman"/>
          <w:b/>
          <w:i/>
          <w:sz w:val="24"/>
        </w:rPr>
        <w:t>Annotation</w:t>
      </w:r>
      <w:r>
        <w:rPr>
          <w:rFonts w:ascii="Times New Roman" w:eastAsia="Times New Roman" w:hAnsi="Times New Roman" w:cs="Times New Roman"/>
          <w:i/>
          <w:sz w:val="24"/>
        </w:rPr>
        <w:t>. The purpose of the article is to consider the main approaches to the study of the problems of the formation of spiritual and cul</w:t>
      </w:r>
      <w:r>
        <w:rPr>
          <w:rFonts w:ascii="Times New Roman" w:eastAsia="Times New Roman" w:hAnsi="Times New Roman" w:cs="Times New Roman"/>
          <w:i/>
          <w:sz w:val="24"/>
        </w:rPr>
        <w:t>tural values in the system of social and humanitarian education. Common culture is a way of spiritual development of social reality, based on a certain system of values. The set of values in a stable form expresses the uniqueness of the culture and histori</w:t>
      </w:r>
      <w:r>
        <w:rPr>
          <w:rFonts w:ascii="Times New Roman" w:eastAsia="Times New Roman" w:hAnsi="Times New Roman" w:cs="Times New Roman"/>
          <w:i/>
          <w:sz w:val="24"/>
        </w:rPr>
        <w:t xml:space="preserve">cal experience of a particular society. </w:t>
      </w:r>
    </w:p>
    <w:p w:rsidR="0052701D" w:rsidRDefault="00D40929">
      <w:pPr>
        <w:spacing w:after="0" w:line="248" w:lineRule="auto"/>
        <w:ind w:left="9" w:firstLine="711"/>
        <w:jc w:val="both"/>
      </w:pPr>
      <w:r>
        <w:rPr>
          <w:rFonts w:ascii="Times New Roman" w:eastAsia="Times New Roman" w:hAnsi="Times New Roman" w:cs="Times New Roman"/>
          <w:i/>
          <w:sz w:val="24"/>
        </w:rPr>
        <w:t xml:space="preserve">The value of national and world culture expresses the degree of development of man and society. All spheres of human existence permeate the meaning that makes up the cultural component of his existence. </w:t>
      </w:r>
    </w:p>
    <w:p w:rsidR="0052701D" w:rsidRDefault="00D40929">
      <w:pPr>
        <w:spacing w:after="29" w:line="248" w:lineRule="auto"/>
        <w:ind w:left="711"/>
        <w:jc w:val="both"/>
      </w:pPr>
      <w:r>
        <w:rPr>
          <w:rFonts w:ascii="Times New Roman" w:eastAsia="Times New Roman" w:hAnsi="Times New Roman" w:cs="Times New Roman"/>
          <w:b/>
          <w:i/>
          <w:sz w:val="24"/>
        </w:rPr>
        <w:t>Key words:</w:t>
      </w:r>
      <w:r>
        <w:rPr>
          <w:rFonts w:ascii="Times New Roman" w:eastAsia="Times New Roman" w:hAnsi="Times New Roman" w:cs="Times New Roman"/>
          <w:i/>
          <w:sz w:val="24"/>
        </w:rPr>
        <w:t xml:space="preserve"> </w:t>
      </w:r>
      <w:r>
        <w:rPr>
          <w:rFonts w:ascii="Times New Roman" w:eastAsia="Times New Roman" w:hAnsi="Times New Roman" w:cs="Times New Roman"/>
          <w:i/>
          <w:sz w:val="24"/>
        </w:rPr>
        <w:t xml:space="preserve">culture, society, values, youth, consensus, national culture. </w:t>
      </w:r>
    </w:p>
    <w:p w:rsidR="0052701D" w:rsidRDefault="00D40929">
      <w:pPr>
        <w:spacing w:after="0"/>
        <w:ind w:left="711"/>
      </w:pPr>
      <w:r>
        <w:rPr>
          <w:rFonts w:ascii="Times New Roman" w:eastAsia="Times New Roman" w:hAnsi="Times New Roman" w:cs="Times New Roman"/>
          <w:i/>
          <w:sz w:val="24"/>
        </w:rPr>
        <w:t xml:space="preserve"> </w:t>
      </w:r>
    </w:p>
    <w:p w:rsidR="0052701D" w:rsidRDefault="00D40929">
      <w:pPr>
        <w:spacing w:after="79"/>
        <w:ind w:left="711"/>
      </w:pPr>
      <w:r>
        <w:rPr>
          <w:rFonts w:ascii="Times New Roman" w:eastAsia="Times New Roman" w:hAnsi="Times New Roman" w:cs="Times New Roman"/>
          <w:i/>
          <w:sz w:val="24"/>
        </w:rPr>
        <w:t xml:space="preserve"> </w:t>
      </w:r>
    </w:p>
    <w:p w:rsidR="0052701D" w:rsidRDefault="00D40929">
      <w:pPr>
        <w:spacing w:after="5" w:line="271" w:lineRule="auto"/>
        <w:ind w:left="1565" w:firstLine="9"/>
      </w:pPr>
      <w:r>
        <w:rPr>
          <w:rFonts w:ascii="Times New Roman" w:eastAsia="Times New Roman" w:hAnsi="Times New Roman" w:cs="Times New Roman"/>
          <w:b/>
          <w:sz w:val="28"/>
        </w:rPr>
        <w:t xml:space="preserve">ПРОБЛЕМА ФОРМИРОВАНИЯ ЦЕННОСТЕЙ СРЕДИ МОЛОДЕЖИ </w:t>
      </w:r>
    </w:p>
    <w:p w:rsidR="0052701D" w:rsidRDefault="00D40929">
      <w:pPr>
        <w:spacing w:after="27"/>
        <w:ind w:left="696"/>
        <w:jc w:val="center"/>
      </w:pPr>
      <w:r>
        <w:rPr>
          <w:rFonts w:ascii="Times New Roman" w:eastAsia="Times New Roman" w:hAnsi="Times New Roman" w:cs="Times New Roman"/>
          <w:i/>
          <w:sz w:val="24"/>
        </w:rPr>
        <w:t xml:space="preserve"> </w:t>
      </w:r>
    </w:p>
    <w:p w:rsidR="0052701D" w:rsidRDefault="00D40929">
      <w:pPr>
        <w:spacing w:after="16" w:line="248" w:lineRule="auto"/>
        <w:ind w:left="819" w:right="174" w:hanging="10"/>
        <w:jc w:val="center"/>
      </w:pPr>
      <w:r>
        <w:rPr>
          <w:rFonts w:ascii="Times New Roman" w:eastAsia="Times New Roman" w:hAnsi="Times New Roman" w:cs="Times New Roman"/>
          <w:b/>
          <w:sz w:val="24"/>
        </w:rPr>
        <w:t xml:space="preserve">Орынбекова Дина Серикбековна </w:t>
      </w:r>
    </w:p>
    <w:p w:rsidR="0052701D" w:rsidRDefault="00D40929">
      <w:pPr>
        <w:spacing w:after="29" w:line="248" w:lineRule="auto"/>
        <w:ind w:left="1681" w:right="14"/>
        <w:jc w:val="both"/>
      </w:pPr>
      <w:r>
        <w:rPr>
          <w:rFonts w:ascii="Times New Roman" w:eastAsia="Times New Roman" w:hAnsi="Times New Roman" w:cs="Times New Roman"/>
          <w:sz w:val="24"/>
        </w:rPr>
        <w:t xml:space="preserve">Алматинский университет энергетики и связи dorynbekova@aues.kz </w:t>
      </w:r>
    </w:p>
    <w:p w:rsidR="0052701D" w:rsidRDefault="00D40929">
      <w:pPr>
        <w:spacing w:after="18"/>
        <w:ind w:left="711"/>
      </w:pPr>
      <w:r>
        <w:rPr>
          <w:rFonts w:ascii="Times New Roman" w:eastAsia="Times New Roman" w:hAnsi="Times New Roman" w:cs="Times New Roman"/>
          <w:b/>
          <w:i/>
          <w:sz w:val="24"/>
        </w:rPr>
        <w:t xml:space="preserve"> </w:t>
      </w:r>
    </w:p>
    <w:p w:rsidR="0052701D" w:rsidRDefault="00D40929">
      <w:pPr>
        <w:spacing w:after="29" w:line="248" w:lineRule="auto"/>
        <w:ind w:left="9" w:firstLine="711"/>
        <w:jc w:val="both"/>
      </w:pPr>
      <w:r>
        <w:rPr>
          <w:rFonts w:ascii="Times New Roman" w:eastAsia="Times New Roman" w:hAnsi="Times New Roman" w:cs="Times New Roman"/>
          <w:b/>
          <w:i/>
          <w:sz w:val="24"/>
        </w:rPr>
        <w:t>Аннотация</w:t>
      </w:r>
      <w:r>
        <w:rPr>
          <w:rFonts w:ascii="Times New Roman" w:eastAsia="Times New Roman" w:hAnsi="Times New Roman" w:cs="Times New Roman"/>
          <w:i/>
          <w:sz w:val="24"/>
        </w:rPr>
        <w:t xml:space="preserve">. Целью статьи является </w:t>
      </w:r>
      <w:r>
        <w:rPr>
          <w:rFonts w:ascii="Times New Roman" w:eastAsia="Times New Roman" w:hAnsi="Times New Roman" w:cs="Times New Roman"/>
          <w:i/>
          <w:sz w:val="24"/>
        </w:rPr>
        <w:t>рассмотрение основных подходов к изучению проблем формирования духовно-культурных ценностей в системе социально-гуманитарного образования. Общая культура - это способ духовного развития социальной реальности, основанный на определенной системе ценностей. Н</w:t>
      </w:r>
      <w:r>
        <w:rPr>
          <w:rFonts w:ascii="Times New Roman" w:eastAsia="Times New Roman" w:hAnsi="Times New Roman" w:cs="Times New Roman"/>
          <w:i/>
          <w:sz w:val="24"/>
        </w:rPr>
        <w:t xml:space="preserve">абор ценностей в стабильной форме выражает уникальность культуры и исторического опыта конкретного общества. </w:t>
      </w:r>
    </w:p>
    <w:p w:rsidR="0052701D" w:rsidRDefault="00D40929">
      <w:pPr>
        <w:spacing w:after="29" w:line="248" w:lineRule="auto"/>
        <w:ind w:left="9" w:firstLine="711"/>
        <w:jc w:val="both"/>
      </w:pPr>
      <w:r>
        <w:rPr>
          <w:rFonts w:ascii="Times New Roman" w:eastAsia="Times New Roman" w:hAnsi="Times New Roman" w:cs="Times New Roman"/>
          <w:i/>
          <w:sz w:val="24"/>
        </w:rPr>
        <w:t>Ценность национальной и мировой культуры выражает степень развития человека и общества. Все сферы человеческого существования пронизаны смыслом, с</w:t>
      </w:r>
      <w:r>
        <w:rPr>
          <w:rFonts w:ascii="Times New Roman" w:eastAsia="Times New Roman" w:hAnsi="Times New Roman" w:cs="Times New Roman"/>
          <w:i/>
          <w:sz w:val="24"/>
        </w:rPr>
        <w:t xml:space="preserve">оставляющим культурную составляющую его существования. </w:t>
      </w:r>
    </w:p>
    <w:p w:rsidR="0052701D" w:rsidRDefault="00D40929">
      <w:pPr>
        <w:spacing w:after="29" w:line="248" w:lineRule="auto"/>
        <w:ind w:left="9" w:firstLine="711"/>
        <w:jc w:val="both"/>
      </w:pP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 xml:space="preserve"> культура, общество, ценности, молодежь, консенсус, национальная культура. </w:t>
      </w:r>
    </w:p>
    <w:p w:rsidR="0052701D" w:rsidRDefault="00D40929">
      <w:pPr>
        <w:spacing w:after="68"/>
        <w:ind w:left="711"/>
      </w:pPr>
      <w:r>
        <w:rPr>
          <w:rFonts w:ascii="Times New Roman" w:eastAsia="Times New Roman" w:hAnsi="Times New Roman" w:cs="Times New Roman"/>
          <w:sz w:val="24"/>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Бүгінгі таңда жастар ортасында құндылық артықшылықтарының өзгеруі ерекше маңызға ие, оларды зерттеудің қаже</w:t>
      </w:r>
      <w:r>
        <w:rPr>
          <w:rFonts w:ascii="Times New Roman" w:eastAsia="Times New Roman" w:hAnsi="Times New Roman" w:cs="Times New Roman"/>
          <w:sz w:val="28"/>
        </w:rPr>
        <w:t>ттілігі туындайды. Адамның құндылық қалауы әлеуметтік-экономикалық жағдайлар, этикалық нормалар, моральдық мұраттар сияқты көптеген факторларға байланысты өзгеруі мүмкін. Әлеуметтік құрылымның саралануымен әртүрлі әлеуметтік топтардың және жалпы қоғамның ж</w:t>
      </w:r>
      <w:r>
        <w:rPr>
          <w:rFonts w:ascii="Times New Roman" w:eastAsia="Times New Roman" w:hAnsi="Times New Roman" w:cs="Times New Roman"/>
          <w:sz w:val="28"/>
        </w:rPr>
        <w:t xml:space="preserve">ағдайына мәртебелік өзгерістер болды. Қоғамның өзгеруімен жеке тұлғаның және әртүрлі әлеуметтік топтардың құндылық бағдарлары өзгереді. Рухани құндылықтарға баса назар аудару халық мәдениетінің тарихи дамуының ерекшеліктерін көрсетеді. Бұрынғы ұрпақтардың </w:t>
      </w:r>
      <w:r>
        <w:rPr>
          <w:rFonts w:ascii="Times New Roman" w:eastAsia="Times New Roman" w:hAnsi="Times New Roman" w:cs="Times New Roman"/>
          <w:sz w:val="28"/>
        </w:rPr>
        <w:t xml:space="preserve">тарихи жады мен өмірлік тәжірибесіне сүйенбей, бірде-бір халық өмір сүре алмайды </w:t>
      </w:r>
    </w:p>
    <w:p w:rsidR="0052701D" w:rsidRDefault="00D40929">
      <w:pPr>
        <w:spacing w:after="5" w:line="271" w:lineRule="auto"/>
        <w:ind w:left="9" w:right="64" w:firstLine="711"/>
        <w:jc w:val="both"/>
      </w:pPr>
      <w:r>
        <w:rPr>
          <w:rFonts w:ascii="Times New Roman" w:eastAsia="Times New Roman" w:hAnsi="Times New Roman" w:cs="Times New Roman"/>
          <w:sz w:val="28"/>
        </w:rPr>
        <w:t>Мәдениет-бұл адамның өзіндік іс-әрекет әдістері, нормалары мен мұраттары бар әлемді игерудің ерекше тәсілі. Мәдениет әлеуметтік маңызды құбылыс ретінде адамның, топтың, тұтас</w:t>
      </w:r>
      <w:r>
        <w:rPr>
          <w:rFonts w:ascii="Times New Roman" w:eastAsia="Times New Roman" w:hAnsi="Times New Roman" w:cs="Times New Roman"/>
          <w:sz w:val="28"/>
        </w:rPr>
        <w:t xml:space="preserve">тай қоғамның құндылық бағдары арқылы анықталады. </w:t>
      </w:r>
    </w:p>
    <w:p w:rsidR="0052701D" w:rsidRDefault="00D40929">
      <w:pPr>
        <w:spacing w:after="5" w:line="271" w:lineRule="auto"/>
        <w:ind w:left="9" w:right="64" w:firstLine="711"/>
        <w:jc w:val="both"/>
      </w:pPr>
      <w:r>
        <w:rPr>
          <w:rFonts w:ascii="Times New Roman" w:eastAsia="Times New Roman" w:hAnsi="Times New Roman" w:cs="Times New Roman"/>
          <w:sz w:val="28"/>
        </w:rPr>
        <w:lastRenderedPageBreak/>
        <w:t>Мәдениет адам қызметінің белгілі бір түрі ретінде адамзат қоғамының ұзақ мерзімді әлеуметтік және тарихи дамуының нәтижесінде пайда болды. Рухани қалыптасу, оның ішінде әлеуметтену негізінде халықтың ұлттық</w:t>
      </w:r>
      <w:r>
        <w:rPr>
          <w:rFonts w:ascii="Times New Roman" w:eastAsia="Times New Roman" w:hAnsi="Times New Roman" w:cs="Times New Roman"/>
          <w:sz w:val="28"/>
        </w:rPr>
        <w:t xml:space="preserve"> құндылықтары жатыр, олар бір ұрпақтан екінші ұрпаққа таратылады, осылайша елдің қарқынды дамуының кепілі болып табылады. </w:t>
      </w:r>
    </w:p>
    <w:p w:rsidR="0052701D" w:rsidRDefault="00D40929">
      <w:pPr>
        <w:spacing w:after="5" w:line="271" w:lineRule="auto"/>
        <w:ind w:left="9" w:right="64" w:firstLine="711"/>
        <w:jc w:val="both"/>
      </w:pPr>
      <w:r>
        <w:rPr>
          <w:rFonts w:ascii="Times New Roman" w:eastAsia="Times New Roman" w:hAnsi="Times New Roman" w:cs="Times New Roman"/>
          <w:sz w:val="28"/>
        </w:rPr>
        <w:t>Мәдениеттің бір ерекшелігі - көптеген құндылықтарға ие бола отырып, ол объективті түрде адамға оларды қабылдаған кезде тәуелсіз таңда</w:t>
      </w:r>
      <w:r>
        <w:rPr>
          <w:rFonts w:ascii="Times New Roman" w:eastAsia="Times New Roman" w:hAnsi="Times New Roman" w:cs="Times New Roman"/>
          <w:sz w:val="28"/>
        </w:rPr>
        <w:t xml:space="preserve">у жасауға мүмкіндік береді.  </w:t>
      </w:r>
    </w:p>
    <w:p w:rsidR="0052701D" w:rsidRDefault="00D40929">
      <w:pPr>
        <w:spacing w:after="5" w:line="271" w:lineRule="auto"/>
        <w:ind w:left="9" w:right="64" w:firstLine="711"/>
        <w:jc w:val="both"/>
      </w:pPr>
      <w:r>
        <w:rPr>
          <w:rFonts w:ascii="Times New Roman" w:eastAsia="Times New Roman" w:hAnsi="Times New Roman" w:cs="Times New Roman"/>
          <w:sz w:val="28"/>
        </w:rPr>
        <w:t>Білім берудің маңызды функциясы-оның мазмұнымен шығармашылық тұлғаның іргелі негіздерін қалайды. Мәдениетке, оның моральдық, рухани, эстетикалық аспектілеріне қатысатын және біртіндеп өзінің маңызды мүдделерін жүзеге асыруға м</w:t>
      </w:r>
      <w:r>
        <w:rPr>
          <w:rFonts w:ascii="Times New Roman" w:eastAsia="Times New Roman" w:hAnsi="Times New Roman" w:cs="Times New Roman"/>
          <w:sz w:val="28"/>
        </w:rPr>
        <w:t xml:space="preserve">үмкіндік алатын адам өмірінің контекстіндегі білімді түсіну.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 Құндылықтар мәселелері, ең алдымен, әлеуметтік цикл пәндерін оқытудың маңызды аспектісі болуы керек, өйткені әлеуметтік құбылыстар мен жеке таңдаудың маңыздылығын зерттеу құндылық бағдарларында</w:t>
      </w:r>
      <w:r>
        <w:rPr>
          <w:rFonts w:ascii="Times New Roman" w:eastAsia="Times New Roman" w:hAnsi="Times New Roman" w:cs="Times New Roman"/>
          <w:sz w:val="28"/>
        </w:rPr>
        <w:t xml:space="preserve"> қиылысады. Р. Мессиктің пікірінше, әлеуметтік оқытудың негізгі мақсаты студенттерді "толық мағыналы азаматтыққа"дайындау болып табылады. Патриотизм сезімін ояту, өз мемлекетіңіздің тарихын білу, командада жақсы жұмыс істей білуге тәрбиелеу әрқашан маңызды</w:t>
      </w:r>
      <w:r>
        <w:rPr>
          <w:rFonts w:ascii="Times New Roman" w:eastAsia="Times New Roman" w:hAnsi="Times New Roman" w:cs="Times New Roman"/>
          <w:sz w:val="28"/>
        </w:rPr>
        <w:t xml:space="preserve"> болып саналды . Қазіргі адам өз саласында білікті мамандар ғана емес, сонымен қатар бірқатар жаңа әлеуметтік дағдылар болуы керек: ол әртүрлі санаттағы адамдармен сөйлесе білуі керек.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Азаматтық қоғамды дамытудың басты шарты оның мүшелерінің келіссөздер </w:t>
      </w:r>
      <w:r>
        <w:rPr>
          <w:rFonts w:ascii="Times New Roman" w:eastAsia="Times New Roman" w:hAnsi="Times New Roman" w:cs="Times New Roman"/>
          <w:sz w:val="28"/>
        </w:rPr>
        <w:t xml:space="preserve">жүргізу, бірлескен өмір мен қызмет жағдайында келісімге қол жеткізу, сөзсіз қақтығыстарды шешу мүмкіндігі болып табылады. Балаларды минималды моральдық және материалдық шығындармен заманауи жағдайда өмір сүруге, агрессиясыз өмір сүруге үйрету керек. </w:t>
      </w:r>
    </w:p>
    <w:p w:rsidR="0052701D" w:rsidRDefault="00D40929">
      <w:pPr>
        <w:spacing w:after="5" w:line="271" w:lineRule="auto"/>
        <w:ind w:left="9" w:right="64" w:firstLine="711"/>
        <w:jc w:val="both"/>
      </w:pPr>
      <w:r>
        <w:rPr>
          <w:rFonts w:ascii="Times New Roman" w:eastAsia="Times New Roman" w:hAnsi="Times New Roman" w:cs="Times New Roman"/>
          <w:sz w:val="28"/>
        </w:rPr>
        <w:t>Әр тү</w:t>
      </w:r>
      <w:r>
        <w:rPr>
          <w:rFonts w:ascii="Times New Roman" w:eastAsia="Times New Roman" w:hAnsi="Times New Roman" w:cs="Times New Roman"/>
          <w:sz w:val="28"/>
        </w:rPr>
        <w:t>рлі құндылықтар арасындағы қайшылықтар кез-келген қоғамға тән екені түсінікті. Қарқынды әлеуметтік өзгерістер жағдайында әсіресе күшті әлеуметтік шиеленіс құндылықтардың интеграциясынан туындайды. Д. Олпорттың пікірінше, негізгі құндылықтарды қайта қарауға</w:t>
      </w:r>
      <w:r>
        <w:rPr>
          <w:rFonts w:ascii="Times New Roman" w:eastAsia="Times New Roman" w:hAnsi="Times New Roman" w:cs="Times New Roman"/>
          <w:sz w:val="28"/>
        </w:rPr>
        <w:t xml:space="preserve"> байланысты осындай қақтығыстар кезінде құндылық бағдарлары қайта құрылғанға дейін Жаңа интеграцияның тереңдеуі болмайды [1].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Т. Парсонс қоғамның тиімді жұмыс істеуі үшін құндылық консенсусы қажет деп санайды. Консенсус маңызды әлеуметтік құндылық болып </w:t>
      </w:r>
      <w:r>
        <w:rPr>
          <w:rFonts w:ascii="Times New Roman" w:eastAsia="Times New Roman" w:hAnsi="Times New Roman" w:cs="Times New Roman"/>
          <w:sz w:val="28"/>
        </w:rPr>
        <w:t xml:space="preserve">табылады және әлеуметтанудың негізгі міндеті Парсонс әлеуметтік жүйедегі құндылық бағдарларының модельдерін институционализациялауды талдаудан көреді [2]. Құндылықтар олардың мінез — құлқына сәйкес институттандырылған және </w:t>
      </w:r>
      <w:r>
        <w:rPr>
          <w:rFonts w:ascii="Times New Roman" w:eastAsia="Times New Roman" w:hAnsi="Times New Roman" w:cs="Times New Roman"/>
          <w:sz w:val="28"/>
        </w:rPr>
        <w:lastRenderedPageBreak/>
        <w:t>сараланған кезде тұрақты жүйе - "</w:t>
      </w:r>
      <w:r>
        <w:rPr>
          <w:rFonts w:ascii="Times New Roman" w:eastAsia="Times New Roman" w:hAnsi="Times New Roman" w:cs="Times New Roman"/>
          <w:sz w:val="28"/>
        </w:rPr>
        <w:t xml:space="preserve">әлеуметтік тепе-теңдік" күйі қалыптасады. Бұл күйге жетудің екі жолы бар: </w:t>
      </w:r>
    </w:p>
    <w:p w:rsidR="0052701D" w:rsidRDefault="00D40929">
      <w:pPr>
        <w:numPr>
          <w:ilvl w:val="0"/>
          <w:numId w:val="102"/>
        </w:numPr>
        <w:spacing w:after="5" w:line="271" w:lineRule="auto"/>
        <w:ind w:right="64" w:firstLine="711"/>
        <w:jc w:val="both"/>
      </w:pPr>
      <w:r>
        <w:rPr>
          <w:rFonts w:ascii="Times New Roman" w:eastAsia="Times New Roman" w:hAnsi="Times New Roman" w:cs="Times New Roman"/>
          <w:sz w:val="28"/>
        </w:rPr>
        <w:t xml:space="preserve">әлеуметтену, оның барысында әлеуметтік-мәдени құндылықтар бір ұрпақтан екінші ұрпаққа беріледі (осы функцияны жүзеге асыратын </w:t>
      </w:r>
    </w:p>
    <w:p w:rsidR="0052701D" w:rsidRDefault="00D40929">
      <w:pPr>
        <w:spacing w:after="5" w:line="271" w:lineRule="auto"/>
        <w:ind w:left="9" w:right="64"/>
        <w:jc w:val="both"/>
      </w:pPr>
      <w:r>
        <w:rPr>
          <w:rFonts w:ascii="Times New Roman" w:eastAsia="Times New Roman" w:hAnsi="Times New Roman" w:cs="Times New Roman"/>
          <w:sz w:val="28"/>
        </w:rPr>
        <w:t xml:space="preserve">институттар-отбасы, білім беру жүйесі); </w:t>
      </w:r>
    </w:p>
    <w:p w:rsidR="0052701D" w:rsidRDefault="00D40929">
      <w:pPr>
        <w:numPr>
          <w:ilvl w:val="0"/>
          <w:numId w:val="102"/>
        </w:numPr>
        <w:spacing w:after="5" w:line="271" w:lineRule="auto"/>
        <w:ind w:right="64" w:firstLine="711"/>
        <w:jc w:val="both"/>
      </w:pPr>
      <w:r>
        <w:rPr>
          <w:rFonts w:ascii="Times New Roman" w:eastAsia="Times New Roman" w:hAnsi="Times New Roman" w:cs="Times New Roman"/>
          <w:sz w:val="28"/>
        </w:rPr>
        <w:t>әлеуметтік ба</w:t>
      </w:r>
      <w:r>
        <w:rPr>
          <w:rFonts w:ascii="Times New Roman" w:eastAsia="Times New Roman" w:hAnsi="Times New Roman" w:cs="Times New Roman"/>
          <w:sz w:val="28"/>
        </w:rPr>
        <w:t xml:space="preserve">қылау тетіктерін құру. Бұл жағдай қазіргі қазақстандық әлеуметтік-мәдени жағдайда маңызды. </w:t>
      </w:r>
    </w:p>
    <w:p w:rsidR="0052701D" w:rsidRDefault="00D40929">
      <w:pPr>
        <w:spacing w:after="5" w:line="271" w:lineRule="auto"/>
        <w:ind w:left="-15" w:right="1" w:firstLine="711"/>
      </w:pPr>
      <w:r>
        <w:rPr>
          <w:rFonts w:ascii="Times New Roman" w:eastAsia="Times New Roman" w:hAnsi="Times New Roman" w:cs="Times New Roman"/>
          <w:sz w:val="28"/>
        </w:rPr>
        <w:t>Білім беруде жеке тұлғаға және оның дамуына ерекше көңіл бөлінеді.             Бұл мәдениетті тұтастай алғанда қоғамның да, жеке тұлғаның да рухани жаңаруының маңыз</w:t>
      </w:r>
      <w:r>
        <w:rPr>
          <w:rFonts w:ascii="Times New Roman" w:eastAsia="Times New Roman" w:hAnsi="Times New Roman" w:cs="Times New Roman"/>
          <w:sz w:val="28"/>
        </w:rPr>
        <w:t>ды факторына айналдырады. М.Қозыбаев азаматтық патриотизмді қалыптастырудағы тарих ғылымының рөлі туралы өз көзқарасын жалпыұлттық идеяның қалыптасуына байланысты негіздеді: "қоғамның қалыпты жұмыс істеуін қамтамасыз етуі тиіс жалпыұлттық идея ретінде азам</w:t>
      </w:r>
      <w:r>
        <w:rPr>
          <w:rFonts w:ascii="Times New Roman" w:eastAsia="Times New Roman" w:hAnsi="Times New Roman" w:cs="Times New Roman"/>
          <w:sz w:val="28"/>
        </w:rPr>
        <w:t xml:space="preserve">аттық бейбітшілік пен ұлтаралық келісімді нығайту идеясы, ұлттық және жалпыұлттық, жалпықазақстандық патриотизм идеясы ұсынылды"[3]. </w:t>
      </w:r>
    </w:p>
    <w:p w:rsidR="0052701D" w:rsidRDefault="00D40929">
      <w:pPr>
        <w:spacing w:after="5" w:line="271" w:lineRule="auto"/>
        <w:ind w:left="9" w:right="64" w:firstLine="711"/>
        <w:jc w:val="both"/>
      </w:pPr>
      <w:r>
        <w:rPr>
          <w:rFonts w:ascii="Times New Roman" w:eastAsia="Times New Roman" w:hAnsi="Times New Roman" w:cs="Times New Roman"/>
          <w:sz w:val="28"/>
        </w:rPr>
        <w:t>Әрбір әлеуметтік жүйе өзінің әлеуметтік құндылықтар жүйесін белгілейді. Мәдениеттің құндылығы адамның мінез-құлқын идеалме</w:t>
      </w:r>
      <w:r>
        <w:rPr>
          <w:rFonts w:ascii="Times New Roman" w:eastAsia="Times New Roman" w:hAnsi="Times New Roman" w:cs="Times New Roman"/>
          <w:sz w:val="28"/>
        </w:rPr>
        <w:t xml:space="preserve">н, мақсатпен өлшейтіндігінен туындайды. Құндылықтарды түсіну және игеру жеке тұлғаны бастапқы әлеуметтендіру процесінде жүзеге асырылады. Осыдан кейін олар жеткілікті тұрақты болып қалады және адамның өміріндегі дағдарыстар кезінде ғана олар өзгереді.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 Қа</w:t>
      </w:r>
      <w:r>
        <w:rPr>
          <w:rFonts w:ascii="Times New Roman" w:eastAsia="Times New Roman" w:hAnsi="Times New Roman" w:cs="Times New Roman"/>
          <w:sz w:val="28"/>
        </w:rPr>
        <w:t xml:space="preserve">зіргі уақытта құндылықтардың типологиясын мемлекет саясатындағы жалпыадамзаттық мұраттар мен нұсқаулықтардың басым позициясын тану негізінде құруға болады, бұл оларды гуманистік компонентпен жүзеге асырудың құралдарын таңдауды қамтиды. </w:t>
      </w:r>
    </w:p>
    <w:p w:rsidR="0052701D" w:rsidRDefault="00D40929">
      <w:pPr>
        <w:spacing w:after="5" w:line="271" w:lineRule="auto"/>
        <w:ind w:left="9" w:right="64" w:firstLine="711"/>
        <w:jc w:val="both"/>
      </w:pPr>
      <w:r>
        <w:rPr>
          <w:rFonts w:ascii="Times New Roman" w:eastAsia="Times New Roman" w:hAnsi="Times New Roman" w:cs="Times New Roman"/>
          <w:sz w:val="28"/>
        </w:rPr>
        <w:t>Әрбір әлеуметтік жү</w:t>
      </w:r>
      <w:r>
        <w:rPr>
          <w:rFonts w:ascii="Times New Roman" w:eastAsia="Times New Roman" w:hAnsi="Times New Roman" w:cs="Times New Roman"/>
          <w:sz w:val="28"/>
        </w:rPr>
        <w:t>йенің өзіндік әлеуметтік құндылықтар жүйесі бар. Мәдениеттің бірегейлігі адамның мінез-құлқын идеалмен, мақсатпен өлшеуінен туындайды. Құндылықтарды түсіну және табу тұлғаның бастапқы әлеуметтену процесінде жүреді. Осыдан кейін олар тұрақты болып қалады жә</w:t>
      </w:r>
      <w:r>
        <w:rPr>
          <w:rFonts w:ascii="Times New Roman" w:eastAsia="Times New Roman" w:hAnsi="Times New Roman" w:cs="Times New Roman"/>
          <w:sz w:val="28"/>
        </w:rPr>
        <w:t xml:space="preserve">не адам өміріндегі дағдарыстар кезінде ғана өзгереді. </w:t>
      </w:r>
    </w:p>
    <w:p w:rsidR="0052701D" w:rsidRDefault="00D40929">
      <w:pPr>
        <w:spacing w:after="5" w:line="271" w:lineRule="auto"/>
        <w:ind w:left="-15" w:right="1" w:firstLine="711"/>
      </w:pPr>
      <w:r>
        <w:rPr>
          <w:rFonts w:ascii="Times New Roman" w:eastAsia="Times New Roman" w:hAnsi="Times New Roman" w:cs="Times New Roman"/>
          <w:sz w:val="28"/>
        </w:rPr>
        <w:t xml:space="preserve">Қазіргі уақытта құндылықтар типологиясы гуманистік идеалдар мен мемлекет саясатындағы бағдарлардың басым ұстанымын тану негізінде құрылуы мүмкін, бұл оларды жүзеге асыру құралдарын таңдауды қамтиды. </w:t>
      </w:r>
    </w:p>
    <w:p w:rsidR="0052701D" w:rsidRDefault="00D40929">
      <w:pPr>
        <w:spacing w:after="5" w:line="271" w:lineRule="auto"/>
        <w:ind w:left="9" w:right="64" w:firstLine="711"/>
        <w:jc w:val="both"/>
      </w:pPr>
      <w:r>
        <w:rPr>
          <w:rFonts w:ascii="Times New Roman" w:eastAsia="Times New Roman" w:hAnsi="Times New Roman" w:cs="Times New Roman"/>
          <w:sz w:val="28"/>
        </w:rPr>
        <w:t>Ж</w:t>
      </w:r>
      <w:r>
        <w:rPr>
          <w:rFonts w:ascii="Times New Roman" w:eastAsia="Times New Roman" w:hAnsi="Times New Roman" w:cs="Times New Roman"/>
          <w:sz w:val="28"/>
        </w:rPr>
        <w:t>астар-еліміздің басты әлеуеті мен болашағы, сондықтан жастар ұрпағына қарап, қоғамның қай бағытта жүріп жатқанын болжай аламыз. Қазіргі жастардың ғана емес, бүкіл қоғамның өмірлік бағдарлары өзгерді. Руханиадамгершілік және патриоттық тәрбиенің міндеті бір</w:t>
      </w:r>
      <w:r>
        <w:rPr>
          <w:rFonts w:ascii="Times New Roman" w:eastAsia="Times New Roman" w:hAnsi="Times New Roman" w:cs="Times New Roman"/>
          <w:sz w:val="28"/>
        </w:rPr>
        <w:t xml:space="preserve">інші кезектегі міндет болып табылады. Біз ешқандай байлық мейірімділікті, адалдықты, адалдықты алмастыра алмайтынын түсінеміз. Құндылық басымдықтары жиі өзгеруге бейім, сондықтан оларды зерттеу өзекті болып табылады. Жастардың </w:t>
      </w:r>
      <w:r>
        <w:rPr>
          <w:rFonts w:ascii="Times New Roman" w:eastAsia="Times New Roman" w:hAnsi="Times New Roman" w:cs="Times New Roman"/>
          <w:sz w:val="28"/>
        </w:rPr>
        <w:lastRenderedPageBreak/>
        <w:t>құндылықтарыбұл жастардың нег</w:t>
      </w:r>
      <w:r>
        <w:rPr>
          <w:rFonts w:ascii="Times New Roman" w:eastAsia="Times New Roman" w:hAnsi="Times New Roman" w:cs="Times New Roman"/>
          <w:sz w:val="28"/>
        </w:rPr>
        <w:t xml:space="preserve">ізгі бөлігімен олар үшін не дұрыс және не қажет екендігі туралы бірлескен идеялар. </w:t>
      </w:r>
    </w:p>
    <w:p w:rsidR="0052701D" w:rsidRDefault="00D40929">
      <w:pPr>
        <w:spacing w:after="5" w:line="271" w:lineRule="auto"/>
        <w:ind w:left="9" w:right="64" w:firstLine="711"/>
        <w:jc w:val="both"/>
      </w:pPr>
      <w:r>
        <w:rPr>
          <w:rFonts w:ascii="Times New Roman" w:eastAsia="Times New Roman" w:hAnsi="Times New Roman" w:cs="Times New Roman"/>
          <w:sz w:val="28"/>
        </w:rPr>
        <w:t>Әрбір ұрпақ қоғамның дамуына жаңалық әкеледі және олардың барлығы ескі негіздерге сүйенеді. Рухани-адамгершілік құндылықтарды қалыптастырудың педагогикалық моделінің тиімді</w:t>
      </w:r>
      <w:r>
        <w:rPr>
          <w:rFonts w:ascii="Times New Roman" w:eastAsia="Times New Roman" w:hAnsi="Times New Roman" w:cs="Times New Roman"/>
          <w:sz w:val="28"/>
        </w:rPr>
        <w:t>лігі қазіргі әлеуметтік-мәдени жағдайларды ескеруге байланысты болады. Әлеуметтік-мәдени жағдайлар арқылы біз қоғамда болып жатқан және әлеуметтік-мәдени жүйелерге әсер ететін процестерді түсінеміз. Жастар психологиясында және олардың қызметінде өзгерістер</w:t>
      </w:r>
      <w:r>
        <w:rPr>
          <w:rFonts w:ascii="Times New Roman" w:eastAsia="Times New Roman" w:hAnsi="Times New Roman" w:cs="Times New Roman"/>
          <w:sz w:val="28"/>
        </w:rPr>
        <w:t xml:space="preserve"> бар. Зерттеулер көрсеткендей, білім деңгейі, демек, біліктілік деңгейі неғұрлым жоғары болса, табыс пен басым әлеуметтік жағдай соғұрлым тұрақты болады. Білім-бұл қоғамдағы адамның әл-ауқатының дәрежесін бағалауға болатын сараланған, әлеуметтік көрсеткіш.</w:t>
      </w:r>
      <w:r>
        <w:rPr>
          <w:rFonts w:ascii="Times New Roman" w:eastAsia="Times New Roman" w:hAnsi="Times New Roman" w:cs="Times New Roman"/>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Студент жастар салауатты өмір салтын ұстануға тырысады және бұл өмірдің маңызды саласы екенін түсініп, отбасы және неке институтына байыпты қарайды. Тұрақсыз қоғам жағдайында отбасы орындайтын дәстүрлі функциялардың ішінде психотерапиялық, қолдау көрсете</w:t>
      </w:r>
      <w:r>
        <w:rPr>
          <w:rFonts w:ascii="Times New Roman" w:eastAsia="Times New Roman" w:hAnsi="Times New Roman" w:cs="Times New Roman"/>
          <w:sz w:val="28"/>
        </w:rPr>
        <w:t>тін "функция" өз мүшелеріне қауіпсіздік пен психологиялық жайлылық сезімін береді. Жастар қалыптасу процесінде құндылықтар мен нормаларды белсенді түрде игереді, әлеуметтік ынталандыруларға, өзгерістерге сезімтал жауап береді және көбінесе қоғамның дамуына</w:t>
      </w:r>
      <w:r>
        <w:rPr>
          <w:rFonts w:ascii="Times New Roman" w:eastAsia="Times New Roman" w:hAnsi="Times New Roman" w:cs="Times New Roman"/>
          <w:sz w:val="28"/>
        </w:rPr>
        <w:t xml:space="preserve"> серпін береді.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Тұрақты түрдегі құндылықтар жиынтығы белгілі бір қоғамның мәдениеті мен тарихи тәжірибесін білдіреді.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Жастар қалыптасу процесінде құндылықтар мен нормаларды белсенді түрде игереді, әлеуметтік ынталандыруларға, өзгерістерге сезімтал жауап </w:t>
      </w:r>
      <w:r>
        <w:rPr>
          <w:rFonts w:ascii="Times New Roman" w:eastAsia="Times New Roman" w:hAnsi="Times New Roman" w:cs="Times New Roman"/>
          <w:sz w:val="28"/>
        </w:rPr>
        <w:t xml:space="preserve">береді және көбінесе қоғамның дамуындағы жаңа генератор болып табылады.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Тұрақты түрдегі құндылықтар жиынтығы белгілі бір қоғамның мәдениеті мен тарихи тәжірибесінің өзіндік ерекшелігін білдіреді.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"Құндылық бағдарларында адамның жеке дамуында жинақталған </w:t>
      </w:r>
      <w:r>
        <w:rPr>
          <w:rFonts w:ascii="Times New Roman" w:eastAsia="Times New Roman" w:hAnsi="Times New Roman" w:cs="Times New Roman"/>
          <w:sz w:val="28"/>
        </w:rPr>
        <w:t>бүкіл өмірлік тәжірибе жинақталады, ол оның басқа адамдармен қарым-қатынасын, жеке тұлғаның өзгеруін, оның ішінде өзіне қатысты өзгеруін анықтайды, жеке адамдардың өмір салтының мәні болып табылады" [4]. Құндылықтар мәселесін зерттеу олардың тұлға құрылымы</w:t>
      </w:r>
      <w:r>
        <w:rPr>
          <w:rFonts w:ascii="Times New Roman" w:eastAsia="Times New Roman" w:hAnsi="Times New Roman" w:cs="Times New Roman"/>
          <w:sz w:val="28"/>
        </w:rPr>
        <w:t xml:space="preserve">ның негізгі құрамдас бөлігі екенін растайды. Олар адам қызметінің барлық салаларында көрінеді және мінез-құлықты реттейтін функцияларды орындайды </w:t>
      </w:r>
    </w:p>
    <w:p w:rsidR="0052701D" w:rsidRDefault="00D40929">
      <w:pPr>
        <w:spacing w:after="5" w:line="271" w:lineRule="auto"/>
        <w:ind w:left="9" w:right="64" w:firstLine="711"/>
        <w:jc w:val="both"/>
      </w:pPr>
      <w:r>
        <w:rPr>
          <w:rFonts w:ascii="Times New Roman" w:eastAsia="Times New Roman" w:hAnsi="Times New Roman" w:cs="Times New Roman"/>
          <w:sz w:val="28"/>
        </w:rPr>
        <w:t>Рухани құндылықтар әлем халықтарының мәдениетінің тарихи дамуының ерекшеліктерін көрсетеді. Белгілі бір халық</w:t>
      </w:r>
      <w:r>
        <w:rPr>
          <w:rFonts w:ascii="Times New Roman" w:eastAsia="Times New Roman" w:hAnsi="Times New Roman" w:cs="Times New Roman"/>
          <w:sz w:val="28"/>
        </w:rPr>
        <w:t xml:space="preserve">тың немесе белгілі бір аймақтың </w:t>
      </w:r>
      <w:r>
        <w:rPr>
          <w:rFonts w:ascii="Times New Roman" w:eastAsia="Times New Roman" w:hAnsi="Times New Roman" w:cs="Times New Roman"/>
          <w:sz w:val="28"/>
        </w:rPr>
        <w:lastRenderedPageBreak/>
        <w:t xml:space="preserve">рухани және этномәдени ерекшеліктері тұтастай алғанда қоғамның дамуына айтарлықтай әсер етеді. </w:t>
      </w:r>
    </w:p>
    <w:p w:rsidR="0052701D" w:rsidRDefault="00D40929">
      <w:pPr>
        <w:spacing w:after="5" w:line="271" w:lineRule="auto"/>
        <w:ind w:left="9" w:right="64" w:firstLine="711"/>
        <w:jc w:val="both"/>
      </w:pPr>
      <w:r>
        <w:rPr>
          <w:rFonts w:ascii="Times New Roman" w:eastAsia="Times New Roman" w:hAnsi="Times New Roman" w:cs="Times New Roman"/>
          <w:sz w:val="28"/>
        </w:rPr>
        <w:t>Қазақ халқының ұлттық мақтанышы мен патриотизмі оның бай рухани мәдениетінің арқасында қалыптасады, ол әлеуметтік құндылықтардың</w:t>
      </w:r>
      <w:r>
        <w:rPr>
          <w:rFonts w:ascii="Times New Roman" w:eastAsia="Times New Roman" w:hAnsi="Times New Roman" w:cs="Times New Roman"/>
          <w:sz w:val="28"/>
        </w:rPr>
        <w:t xml:space="preserve"> тұтас жүйесі түрінде ұсынылған. Адамгершілік құндылықтардың тасымалдаушылары, әдетте, ақсақалдар мен отбасы мен отбасының ең көне мүшелері болып табылады, олардың құрметі мен құрметі отбасындағы бүкіл тәрбие жүйесіне негізделген. Әр адам үшін қонақжайлылы</w:t>
      </w:r>
      <w:r>
        <w:rPr>
          <w:rFonts w:ascii="Times New Roman" w:eastAsia="Times New Roman" w:hAnsi="Times New Roman" w:cs="Times New Roman"/>
          <w:sz w:val="28"/>
        </w:rPr>
        <w:t xml:space="preserve">қ дәстүрі қазақ халқының ұлттық өмір салтын көрсетеді. Ежелгі заманнан бері ол ең жоғары моральдық құндылық болып саналды.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Алдыңғы ұрпақтардың тарихи жады мен құндылық тәжірибесіне сүйенбей, бірде-бір халық өмір сүре алмайды. Рухани мәдениеттің өзіндік </w:t>
      </w:r>
      <w:r>
        <w:rPr>
          <w:rFonts w:ascii="Times New Roman" w:eastAsia="Times New Roman" w:hAnsi="Times New Roman" w:cs="Times New Roman"/>
          <w:sz w:val="28"/>
        </w:rPr>
        <w:t xml:space="preserve">ерекшелігі мен бірегейлігін көрсететін халықтың өзегі мен жаны-ұлттық дәстүрлер мен әдетғұрыптар. </w:t>
      </w:r>
    </w:p>
    <w:p w:rsidR="0052701D" w:rsidRDefault="00D40929">
      <w:pPr>
        <w:spacing w:after="5" w:line="271" w:lineRule="auto"/>
        <w:ind w:left="9" w:right="64" w:firstLine="711"/>
        <w:jc w:val="both"/>
      </w:pPr>
      <w:r>
        <w:rPr>
          <w:rFonts w:ascii="Times New Roman" w:eastAsia="Times New Roman" w:hAnsi="Times New Roman" w:cs="Times New Roman"/>
          <w:sz w:val="28"/>
        </w:rPr>
        <w:t>Ұлттық қауіпсіздік контекстінде рухани-адамгершілік әлеуеттің жай-күйі маңызды болып табылады. Елдің әлеуметтік-экономикалық табыстарының негізі-басты құндыл</w:t>
      </w:r>
      <w:r>
        <w:rPr>
          <w:rFonts w:ascii="Times New Roman" w:eastAsia="Times New Roman" w:hAnsi="Times New Roman" w:cs="Times New Roman"/>
          <w:sz w:val="28"/>
        </w:rPr>
        <w:t xml:space="preserve">ық болып табылатын азаматтық бейбітшілік, ұлтаралық және конфессияаралық келісім. </w:t>
      </w:r>
    </w:p>
    <w:p w:rsidR="0052701D" w:rsidRDefault="00D40929">
      <w:pPr>
        <w:spacing w:after="5" w:line="271" w:lineRule="auto"/>
        <w:ind w:left="9" w:right="64" w:firstLine="711"/>
        <w:jc w:val="both"/>
      </w:pPr>
      <w:r>
        <w:rPr>
          <w:rFonts w:ascii="Times New Roman" w:eastAsia="Times New Roman" w:hAnsi="Times New Roman" w:cs="Times New Roman"/>
          <w:sz w:val="28"/>
        </w:rPr>
        <w:t>Жастар саясатының жаңа тұжырымдамасы бүгінгі таңда өзекті құжат болып табылады.  жұмыс барысында жыл сайынғы" жастар" ұлттық баяндамасының Талдамалық деректері, тәуелсіз әле</w:t>
      </w:r>
      <w:r>
        <w:rPr>
          <w:rFonts w:ascii="Times New Roman" w:eastAsia="Times New Roman" w:hAnsi="Times New Roman" w:cs="Times New Roman"/>
          <w:sz w:val="28"/>
        </w:rPr>
        <w:t>уметтанулық зерттеулер, сараптамалық және қоғамдық пікірталастар барысында қалыптастырылған ұсынымдар пайдаланылатын болады,-деп атап өтті Президенттің баспасөз қызметі. "Рухани жаңғыру" негізінде жүзеге асырылатын жобалардың бірі "Туған жер" болып табылад</w:t>
      </w:r>
      <w:r>
        <w:rPr>
          <w:rFonts w:ascii="Times New Roman" w:eastAsia="Times New Roman" w:hAnsi="Times New Roman" w:cs="Times New Roman"/>
          <w:sz w:val="28"/>
        </w:rPr>
        <w:t xml:space="preserve">ы. </w:t>
      </w:r>
    </w:p>
    <w:p w:rsidR="0052701D" w:rsidRDefault="00D40929">
      <w:pPr>
        <w:spacing w:after="5" w:line="271" w:lineRule="auto"/>
        <w:ind w:left="9" w:right="64" w:firstLine="711"/>
        <w:jc w:val="both"/>
      </w:pPr>
      <w:r>
        <w:rPr>
          <w:rFonts w:ascii="Times New Roman" w:eastAsia="Times New Roman" w:hAnsi="Times New Roman" w:cs="Times New Roman"/>
          <w:sz w:val="28"/>
        </w:rPr>
        <w:t>Осылайша, жастар қоғамда болып жатқан өзгерістердің индикаторы болып табылады және тұтастай алғанда Қоғамның даму ресурсын сипаттайды. Мемлекеттік жастар саясатының стратегиясын іске асырудың тиімділігі көбінесе жастардың құндылықтары әлемін, оның мүдд</w:t>
      </w:r>
      <w:r>
        <w:rPr>
          <w:rFonts w:ascii="Times New Roman" w:eastAsia="Times New Roman" w:hAnsi="Times New Roman" w:cs="Times New Roman"/>
          <w:sz w:val="28"/>
        </w:rPr>
        <w:t xml:space="preserve">елерін, жоспарларын, өмір сценарийлерін зерттеуге байланысты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Қазақстанда жастарға қатысты саясатты іске асырудың қолайлы нысандары мен әдістерін іздеу жалғасуда. Ең бастысы, біздің ойымызша, жастардың қатысуымен осы мәселелерді шешу. </w:t>
      </w:r>
    </w:p>
    <w:p w:rsidR="0052701D" w:rsidRDefault="00D40929">
      <w:pPr>
        <w:spacing w:after="35"/>
        <w:ind w:left="711"/>
      </w:pPr>
      <w:r>
        <w:rPr>
          <w:rFonts w:ascii="Times New Roman" w:eastAsia="Times New Roman" w:hAnsi="Times New Roman" w:cs="Times New Roman"/>
          <w:sz w:val="28"/>
        </w:rPr>
        <w:t xml:space="preserve"> </w:t>
      </w:r>
    </w:p>
    <w:p w:rsidR="0052701D" w:rsidRDefault="00D40929">
      <w:pPr>
        <w:spacing w:after="5" w:line="271" w:lineRule="auto"/>
        <w:ind w:left="636" w:hanging="10"/>
        <w:jc w:val="center"/>
      </w:pPr>
      <w:r>
        <w:rPr>
          <w:rFonts w:ascii="Times New Roman" w:eastAsia="Times New Roman" w:hAnsi="Times New Roman" w:cs="Times New Roman"/>
          <w:b/>
          <w:sz w:val="28"/>
        </w:rPr>
        <w:t xml:space="preserve">ИСТОЧНИКИ </w:t>
      </w:r>
    </w:p>
    <w:p w:rsidR="0052701D" w:rsidRDefault="00D40929">
      <w:pPr>
        <w:spacing w:after="15"/>
        <w:ind w:left="706"/>
        <w:jc w:val="center"/>
      </w:pPr>
      <w:r>
        <w:rPr>
          <w:rFonts w:ascii="Times New Roman" w:eastAsia="Times New Roman" w:hAnsi="Times New Roman" w:cs="Times New Roman"/>
          <w:b/>
          <w:sz w:val="28"/>
        </w:rPr>
        <w:t xml:space="preserve"> </w:t>
      </w:r>
    </w:p>
    <w:p w:rsidR="0052701D" w:rsidRDefault="00D40929">
      <w:pPr>
        <w:numPr>
          <w:ilvl w:val="0"/>
          <w:numId w:val="103"/>
        </w:numPr>
        <w:spacing w:after="5" w:line="271" w:lineRule="auto"/>
        <w:ind w:right="64" w:firstLine="711"/>
        <w:jc w:val="both"/>
      </w:pPr>
      <w:r>
        <w:rPr>
          <w:rFonts w:ascii="Times New Roman" w:eastAsia="Times New Roman" w:hAnsi="Times New Roman" w:cs="Times New Roman"/>
          <w:sz w:val="28"/>
        </w:rPr>
        <w:t>Олпор</w:t>
      </w:r>
      <w:r>
        <w:rPr>
          <w:rFonts w:ascii="Times New Roman" w:eastAsia="Times New Roman" w:hAnsi="Times New Roman" w:cs="Times New Roman"/>
          <w:sz w:val="28"/>
        </w:rPr>
        <w:t xml:space="preserve">т </w:t>
      </w:r>
      <w:r>
        <w:rPr>
          <w:rFonts w:ascii="Times New Roman" w:eastAsia="Times New Roman" w:hAnsi="Times New Roman" w:cs="Times New Roman"/>
          <w:sz w:val="28"/>
        </w:rPr>
        <w:tab/>
        <w:t xml:space="preserve">Г. </w:t>
      </w:r>
      <w:r>
        <w:rPr>
          <w:rFonts w:ascii="Times New Roman" w:eastAsia="Times New Roman" w:hAnsi="Times New Roman" w:cs="Times New Roman"/>
          <w:sz w:val="28"/>
        </w:rPr>
        <w:tab/>
        <w:t xml:space="preserve">Становление </w:t>
      </w:r>
      <w:r>
        <w:rPr>
          <w:rFonts w:ascii="Times New Roman" w:eastAsia="Times New Roman" w:hAnsi="Times New Roman" w:cs="Times New Roman"/>
          <w:sz w:val="28"/>
        </w:rPr>
        <w:tab/>
        <w:t xml:space="preserve">личности </w:t>
      </w:r>
      <w:r>
        <w:rPr>
          <w:rFonts w:ascii="Times New Roman" w:eastAsia="Times New Roman" w:hAnsi="Times New Roman" w:cs="Times New Roman"/>
          <w:sz w:val="28"/>
        </w:rPr>
        <w:tab/>
        <w:t xml:space="preserve">// </w:t>
      </w:r>
      <w:r>
        <w:rPr>
          <w:rFonts w:ascii="Times New Roman" w:eastAsia="Times New Roman" w:hAnsi="Times New Roman" w:cs="Times New Roman"/>
          <w:sz w:val="28"/>
        </w:rPr>
        <w:tab/>
        <w:t xml:space="preserve">Избранные </w:t>
      </w:r>
      <w:r>
        <w:rPr>
          <w:rFonts w:ascii="Times New Roman" w:eastAsia="Times New Roman" w:hAnsi="Times New Roman" w:cs="Times New Roman"/>
          <w:sz w:val="28"/>
        </w:rPr>
        <w:tab/>
        <w:t xml:space="preserve">труды </w:t>
      </w:r>
    </w:p>
    <w:p w:rsidR="0052701D" w:rsidRDefault="00D40929">
      <w:pPr>
        <w:spacing w:after="5" w:line="271" w:lineRule="auto"/>
        <w:ind w:left="9" w:right="64"/>
        <w:jc w:val="both"/>
      </w:pPr>
      <w:r>
        <w:rPr>
          <w:rFonts w:ascii="Times New Roman" w:eastAsia="Times New Roman" w:hAnsi="Times New Roman" w:cs="Times New Roman"/>
          <w:sz w:val="28"/>
        </w:rPr>
        <w:t xml:space="preserve">https://www.litres.ru › gordon-olport › chitat-onlayn </w:t>
      </w:r>
    </w:p>
    <w:p w:rsidR="0052701D" w:rsidRDefault="00D40929">
      <w:pPr>
        <w:numPr>
          <w:ilvl w:val="0"/>
          <w:numId w:val="103"/>
        </w:numPr>
        <w:spacing w:after="5" w:line="271" w:lineRule="auto"/>
        <w:ind w:right="64" w:firstLine="711"/>
        <w:jc w:val="both"/>
      </w:pPr>
      <w:r>
        <w:rPr>
          <w:rFonts w:ascii="Times New Roman" w:eastAsia="Times New Roman" w:hAnsi="Times New Roman" w:cs="Times New Roman"/>
          <w:sz w:val="28"/>
        </w:rPr>
        <w:t xml:space="preserve">Парсонс Т. Система современных обществ.  - М., 1998. - 270 с. </w:t>
      </w:r>
    </w:p>
    <w:p w:rsidR="0052701D" w:rsidRDefault="00D40929">
      <w:pPr>
        <w:numPr>
          <w:ilvl w:val="0"/>
          <w:numId w:val="103"/>
        </w:numPr>
        <w:spacing w:after="5" w:line="271" w:lineRule="auto"/>
        <w:ind w:right="64" w:firstLine="711"/>
        <w:jc w:val="both"/>
      </w:pPr>
      <w:r>
        <w:rPr>
          <w:rFonts w:ascii="Times New Roman" w:eastAsia="Times New Roman" w:hAnsi="Times New Roman" w:cs="Times New Roman"/>
          <w:sz w:val="28"/>
        </w:rPr>
        <w:lastRenderedPageBreak/>
        <w:t>Қозыбаев М. Қазақстан ғасырлар тоғысында: ойлар мен ізденістер. 2 кітапта. К. 1. — Алм</w:t>
      </w:r>
      <w:r>
        <w:rPr>
          <w:rFonts w:ascii="Times New Roman" w:eastAsia="Times New Roman" w:hAnsi="Times New Roman" w:cs="Times New Roman"/>
          <w:sz w:val="28"/>
        </w:rPr>
        <w:t xml:space="preserve">аты: Ғылым, 2000. — Б. 420. </w:t>
      </w:r>
    </w:p>
    <w:p w:rsidR="0052701D" w:rsidRDefault="00D40929">
      <w:pPr>
        <w:numPr>
          <w:ilvl w:val="0"/>
          <w:numId w:val="103"/>
        </w:numPr>
        <w:spacing w:after="5" w:line="271" w:lineRule="auto"/>
        <w:ind w:right="64" w:firstLine="711"/>
        <w:jc w:val="both"/>
      </w:pPr>
      <w:r>
        <w:rPr>
          <w:rFonts w:ascii="Times New Roman" w:eastAsia="Times New Roman" w:hAnsi="Times New Roman" w:cs="Times New Roman"/>
          <w:sz w:val="28"/>
        </w:rPr>
        <w:t xml:space="preserve">Новиков Н.С. Проблема ценностей: специфика и структура / Идеи и идеалы № 3(37), т. 1, 2018. </w:t>
      </w:r>
    </w:p>
    <w:p w:rsidR="0052701D" w:rsidRDefault="00D40929">
      <w:pPr>
        <w:numPr>
          <w:ilvl w:val="0"/>
          <w:numId w:val="103"/>
        </w:numPr>
        <w:spacing w:after="5" w:line="271" w:lineRule="auto"/>
        <w:ind w:right="64" w:firstLine="711"/>
        <w:jc w:val="both"/>
      </w:pPr>
      <w:r>
        <w:rPr>
          <w:rFonts w:ascii="Times New Roman" w:eastAsia="Times New Roman" w:hAnsi="Times New Roman" w:cs="Times New Roman"/>
          <w:sz w:val="28"/>
        </w:rPr>
        <w:t xml:space="preserve">Волотковская Н.С., Семёнов А.С., Бебихов Ю.В., Шевчук В.А., </w:t>
      </w:r>
    </w:p>
    <w:p w:rsidR="0052701D" w:rsidRDefault="00D40929">
      <w:pPr>
        <w:spacing w:after="5" w:line="271" w:lineRule="auto"/>
        <w:ind w:left="9" w:right="64"/>
        <w:jc w:val="both"/>
      </w:pPr>
      <w:r>
        <w:rPr>
          <w:rFonts w:ascii="Times New Roman" w:eastAsia="Times New Roman" w:hAnsi="Times New Roman" w:cs="Times New Roman"/>
          <w:sz w:val="28"/>
        </w:rPr>
        <w:t>Федоров О.В. Перспективы развития энергетического комплекса Северо-</w:t>
      </w:r>
    </w:p>
    <w:p w:rsidR="0052701D" w:rsidRDefault="00D40929">
      <w:pPr>
        <w:spacing w:after="5" w:line="271" w:lineRule="auto"/>
        <w:ind w:left="9" w:right="64"/>
        <w:jc w:val="both"/>
      </w:pPr>
      <w:r>
        <w:rPr>
          <w:rFonts w:ascii="Times New Roman" w:eastAsia="Times New Roman" w:hAnsi="Times New Roman" w:cs="Times New Roman"/>
          <w:sz w:val="28"/>
        </w:rPr>
        <w:t>Восто</w:t>
      </w:r>
      <w:r>
        <w:rPr>
          <w:rFonts w:ascii="Times New Roman" w:eastAsia="Times New Roman" w:hAnsi="Times New Roman" w:cs="Times New Roman"/>
          <w:sz w:val="28"/>
        </w:rPr>
        <w:t xml:space="preserve">ка России // Известия высших учебных заведений. Проблемы энергетики. 2021. Т. 23. № 3. С. 58- 69. </w:t>
      </w:r>
    </w:p>
    <w:p w:rsidR="0052701D" w:rsidRDefault="00D40929">
      <w:pPr>
        <w:spacing w:after="0"/>
        <w:ind w:left="711"/>
      </w:pPr>
      <w:r>
        <w:rPr>
          <w:rFonts w:ascii="Times New Roman" w:eastAsia="Times New Roman" w:hAnsi="Times New Roman" w:cs="Times New Roman"/>
          <w:sz w:val="28"/>
        </w:rPr>
        <w:t xml:space="preserve"> </w:t>
      </w:r>
    </w:p>
    <w:p w:rsidR="0052701D" w:rsidRDefault="00D40929">
      <w:pPr>
        <w:spacing w:after="4" w:line="271" w:lineRule="auto"/>
        <w:ind w:left="-5" w:right="194" w:hanging="10"/>
      </w:pPr>
      <w:r>
        <w:rPr>
          <w:rFonts w:ascii="Times New Roman" w:eastAsia="Times New Roman" w:hAnsi="Times New Roman" w:cs="Times New Roman"/>
          <w:b/>
          <w:sz w:val="24"/>
        </w:rPr>
        <w:t xml:space="preserve">МРНТИ 37.39.47 УДК 316 </w:t>
      </w:r>
    </w:p>
    <w:p w:rsidR="0052701D" w:rsidRDefault="00D40929">
      <w:pPr>
        <w:spacing w:after="30"/>
        <w:ind w:left="711"/>
      </w:pPr>
      <w:r>
        <w:rPr>
          <w:rFonts w:ascii="Times New Roman" w:eastAsia="Times New Roman" w:hAnsi="Times New Roman" w:cs="Times New Roman"/>
          <w:b/>
          <w:i/>
          <w:sz w:val="28"/>
        </w:rPr>
        <w:t xml:space="preserve"> </w:t>
      </w:r>
    </w:p>
    <w:p w:rsidR="0052701D" w:rsidRDefault="00D40929">
      <w:pPr>
        <w:pStyle w:val="1"/>
        <w:ind w:left="1474" w:right="0" w:firstLine="9"/>
        <w:jc w:val="left"/>
      </w:pPr>
      <w:r>
        <w:t xml:space="preserve">ИЗУЧЕНИЕ ЦЕННОСТЕЙ И СОЦИАЛЬНЫХ АКСИОМ </w:t>
      </w:r>
    </w:p>
    <w:p w:rsidR="0052701D" w:rsidRDefault="00D40929">
      <w:pPr>
        <w:spacing w:after="5" w:line="271" w:lineRule="auto"/>
        <w:ind w:left="1474" w:firstLine="9"/>
      </w:pPr>
      <w:r>
        <w:rPr>
          <w:rFonts w:ascii="Times New Roman" w:eastAsia="Times New Roman" w:hAnsi="Times New Roman" w:cs="Times New Roman"/>
          <w:b/>
          <w:sz w:val="28"/>
        </w:rPr>
        <w:t xml:space="preserve">КАЗАХСТАНСКИХ СТУДЕНТОВ: ГЕНДЕРНЫЙ АСПЕКТ </w:t>
      </w:r>
    </w:p>
    <w:p w:rsidR="0052701D" w:rsidRDefault="00D40929">
      <w:pPr>
        <w:spacing w:after="0"/>
        <w:ind w:left="706"/>
        <w:jc w:val="center"/>
      </w:pPr>
      <w:r>
        <w:rPr>
          <w:rFonts w:ascii="Times New Roman" w:eastAsia="Times New Roman" w:hAnsi="Times New Roman" w:cs="Times New Roman"/>
          <w:b/>
          <w:sz w:val="28"/>
        </w:rPr>
        <w:t xml:space="preserve"> </w:t>
      </w:r>
    </w:p>
    <w:p w:rsidR="0052701D" w:rsidRDefault="00D40929">
      <w:pPr>
        <w:pStyle w:val="1"/>
        <w:spacing w:after="9" w:line="248" w:lineRule="auto"/>
        <w:ind w:left="1936" w:right="1291"/>
      </w:pPr>
      <w:r>
        <w:rPr>
          <w:sz w:val="24"/>
        </w:rPr>
        <w:t xml:space="preserve">Аширбаева Н.Н., Сатымгалиева М.Б. </w:t>
      </w:r>
    </w:p>
    <w:p w:rsidR="0052701D" w:rsidRDefault="00D40929">
      <w:pPr>
        <w:spacing w:after="9" w:line="248" w:lineRule="auto"/>
        <w:ind w:left="1936" w:right="1291" w:hanging="10"/>
        <w:jc w:val="center"/>
      </w:pPr>
      <w:r>
        <w:rPr>
          <w:rFonts w:ascii="Times New Roman" w:eastAsia="Times New Roman" w:hAnsi="Times New Roman" w:cs="Times New Roman"/>
        </w:rPr>
        <w:t xml:space="preserve">НАО </w:t>
      </w:r>
      <w:r>
        <w:rPr>
          <w:rFonts w:ascii="Times New Roman" w:eastAsia="Times New Roman" w:hAnsi="Times New Roman" w:cs="Times New Roman"/>
        </w:rPr>
        <w:t xml:space="preserve">«Алматинский университет энергетики и связи им.Г.Даукеева» e-mail: </w:t>
      </w:r>
      <w:r>
        <w:rPr>
          <w:rFonts w:ascii="Times New Roman" w:eastAsia="Times New Roman" w:hAnsi="Times New Roman" w:cs="Times New Roman"/>
          <w:color w:val="0000FF"/>
          <w:u w:val="single" w:color="0000FF"/>
        </w:rPr>
        <w:t>naz8383@list.ru</w:t>
      </w:r>
      <w:r>
        <w:rPr>
          <w:rFonts w:ascii="Times New Roman" w:eastAsia="Times New Roman" w:hAnsi="Times New Roman" w:cs="Times New Roman"/>
        </w:rPr>
        <w:t xml:space="preserve">, </w:t>
      </w:r>
      <w:r>
        <w:rPr>
          <w:rFonts w:ascii="Times New Roman" w:eastAsia="Times New Roman" w:hAnsi="Times New Roman" w:cs="Times New Roman"/>
          <w:color w:val="0000FF"/>
          <w:u w:val="single" w:color="0000FF"/>
        </w:rPr>
        <w:t>m.satymgalieva@aues.kz</w:t>
      </w:r>
      <w:r>
        <w:rPr>
          <w:rFonts w:ascii="Times New Roman" w:eastAsia="Times New Roman" w:hAnsi="Times New Roman" w:cs="Times New Roman"/>
        </w:rPr>
        <w:t xml:space="preserve"> </w:t>
      </w:r>
    </w:p>
    <w:p w:rsidR="0052701D" w:rsidRDefault="00D40929">
      <w:pPr>
        <w:spacing w:after="19"/>
        <w:ind w:left="711"/>
      </w:pPr>
      <w:r>
        <w:rPr>
          <w:rFonts w:ascii="Times New Roman" w:eastAsia="Times New Roman" w:hAnsi="Times New Roman" w:cs="Times New Roman"/>
        </w:rPr>
        <w:t xml:space="preserve"> </w:t>
      </w:r>
    </w:p>
    <w:p w:rsidR="0052701D" w:rsidRDefault="00D40929">
      <w:pPr>
        <w:spacing w:after="2" w:line="274" w:lineRule="auto"/>
        <w:ind w:left="-15" w:right="55" w:firstLine="701"/>
        <w:jc w:val="both"/>
      </w:pPr>
      <w:r>
        <w:rPr>
          <w:rFonts w:ascii="Times New Roman" w:eastAsia="Times New Roman" w:hAnsi="Times New Roman" w:cs="Times New Roman"/>
          <w:b/>
        </w:rPr>
        <w:t>Аннотация.</w:t>
      </w:r>
      <w:r>
        <w:rPr>
          <w:rFonts w:ascii="Times New Roman" w:eastAsia="Times New Roman" w:hAnsi="Times New Roman" w:cs="Times New Roman"/>
        </w:rPr>
        <w:t xml:space="preserve"> </w:t>
      </w:r>
      <w:r>
        <w:rPr>
          <w:rFonts w:ascii="Times New Roman" w:eastAsia="Times New Roman" w:hAnsi="Times New Roman" w:cs="Times New Roman"/>
          <w:i/>
        </w:rPr>
        <w:t xml:space="preserve">В статье отражены основные подходы применения опросников   ценностей Шварца и социальных аксиом для исследования ценностных ориентаций </w:t>
      </w:r>
      <w:r>
        <w:rPr>
          <w:rFonts w:ascii="Times New Roman" w:eastAsia="Times New Roman" w:hAnsi="Times New Roman" w:cs="Times New Roman"/>
          <w:i/>
        </w:rPr>
        <w:t>казахстанской молодежи. Данные теории пользуется популярностью и обладает хорошей эвристической надежностью в области изучения ценностей. Результаты исследования позволяют углубить наше понимание самой категории ценностей, а также расширить возможности исп</w:t>
      </w:r>
      <w:r>
        <w:rPr>
          <w:rFonts w:ascii="Times New Roman" w:eastAsia="Times New Roman" w:hAnsi="Times New Roman" w:cs="Times New Roman"/>
          <w:i/>
        </w:rPr>
        <w:t>ользования ценностей при изучении других феноменов.  Авторы систематизировали и обобщили новейшие исследования последних лет и выделили гендерные различия в системе ценностей казахстанской молодежи.</w:t>
      </w:r>
      <w:r>
        <w:rPr>
          <w:rFonts w:ascii="Times New Roman" w:eastAsia="Times New Roman" w:hAnsi="Times New Roman" w:cs="Times New Roman"/>
        </w:rPr>
        <w:t xml:space="preserve"> </w:t>
      </w:r>
    </w:p>
    <w:p w:rsidR="0052701D" w:rsidRDefault="00D40929">
      <w:pPr>
        <w:spacing w:after="2" w:line="274" w:lineRule="auto"/>
        <w:ind w:left="-15" w:right="55" w:firstLine="701"/>
        <w:jc w:val="both"/>
      </w:pPr>
      <w:r>
        <w:rPr>
          <w:rFonts w:ascii="Times New Roman" w:eastAsia="Times New Roman" w:hAnsi="Times New Roman" w:cs="Times New Roman"/>
          <w:b/>
        </w:rPr>
        <w:t>Ключевые слова:</w:t>
      </w:r>
      <w:r>
        <w:rPr>
          <w:rFonts w:ascii="Times New Roman" w:eastAsia="Times New Roman" w:hAnsi="Times New Roman" w:cs="Times New Roman"/>
        </w:rPr>
        <w:t xml:space="preserve"> </w:t>
      </w:r>
      <w:r>
        <w:rPr>
          <w:rFonts w:ascii="Times New Roman" w:eastAsia="Times New Roman" w:hAnsi="Times New Roman" w:cs="Times New Roman"/>
          <w:i/>
        </w:rPr>
        <w:t>индивидуальные ценности, социальные убеж</w:t>
      </w:r>
      <w:r>
        <w:rPr>
          <w:rFonts w:ascii="Times New Roman" w:eastAsia="Times New Roman" w:hAnsi="Times New Roman" w:cs="Times New Roman"/>
          <w:i/>
        </w:rPr>
        <w:t xml:space="preserve">дения, гендерный аспект, социальная аксиома, опросник портретных ценностей, измерение, казахстанская молодежь. </w:t>
      </w:r>
    </w:p>
    <w:p w:rsidR="0052701D" w:rsidRDefault="00D40929">
      <w:pPr>
        <w:spacing w:after="0"/>
        <w:ind w:left="711"/>
      </w:pPr>
      <w:r>
        <w:rPr>
          <w:rFonts w:ascii="Times New Roman" w:eastAsia="Times New Roman" w:hAnsi="Times New Roman" w:cs="Times New Roman"/>
          <w:i/>
        </w:rPr>
        <w:t xml:space="preserve"> </w:t>
      </w:r>
    </w:p>
    <w:p w:rsidR="0052701D" w:rsidRDefault="00D40929">
      <w:pPr>
        <w:spacing w:after="36"/>
        <w:ind w:left="711"/>
      </w:pPr>
      <w:r>
        <w:rPr>
          <w:rFonts w:ascii="Times New Roman" w:eastAsia="Times New Roman" w:hAnsi="Times New Roman" w:cs="Times New Roman"/>
          <w:i/>
        </w:rPr>
        <w:t xml:space="preserve"> </w:t>
      </w:r>
    </w:p>
    <w:p w:rsidR="0052701D" w:rsidRDefault="00D40929">
      <w:pPr>
        <w:spacing w:after="5" w:line="271" w:lineRule="auto"/>
        <w:ind w:left="1743" w:firstLine="9"/>
      </w:pPr>
      <w:r>
        <w:rPr>
          <w:rFonts w:ascii="Times New Roman" w:eastAsia="Times New Roman" w:hAnsi="Times New Roman" w:cs="Times New Roman"/>
          <w:b/>
          <w:sz w:val="28"/>
        </w:rPr>
        <w:t xml:space="preserve">STUDYING THE VALUES AND SOCIAL AXIOMS OF KAZAKHSTANI STUDENTS: GENDER ASPECT </w:t>
      </w:r>
    </w:p>
    <w:p w:rsidR="0052701D" w:rsidRDefault="00D40929">
      <w:pPr>
        <w:spacing w:after="0"/>
        <w:ind w:left="706"/>
        <w:jc w:val="center"/>
      </w:pPr>
      <w:r>
        <w:rPr>
          <w:rFonts w:ascii="Times New Roman" w:eastAsia="Times New Roman" w:hAnsi="Times New Roman" w:cs="Times New Roman"/>
          <w:b/>
          <w:sz w:val="28"/>
        </w:rPr>
        <w:t xml:space="preserve"> </w:t>
      </w:r>
    </w:p>
    <w:p w:rsidR="0052701D" w:rsidRDefault="00D40929">
      <w:pPr>
        <w:spacing w:after="16" w:line="248" w:lineRule="auto"/>
        <w:ind w:left="819" w:right="175" w:hanging="10"/>
        <w:jc w:val="center"/>
      </w:pPr>
      <w:r>
        <w:rPr>
          <w:rFonts w:ascii="Times New Roman" w:eastAsia="Times New Roman" w:hAnsi="Times New Roman" w:cs="Times New Roman"/>
          <w:b/>
          <w:sz w:val="24"/>
        </w:rPr>
        <w:t xml:space="preserve">Ashirbaeva N.N., Satymgalieva M.B. </w:t>
      </w:r>
    </w:p>
    <w:p w:rsidR="0052701D" w:rsidRDefault="00D40929">
      <w:pPr>
        <w:spacing w:after="14" w:line="248" w:lineRule="auto"/>
        <w:ind w:left="819" w:right="118" w:hanging="5"/>
        <w:jc w:val="center"/>
      </w:pPr>
      <w:r>
        <w:rPr>
          <w:rFonts w:ascii="Times New Roman" w:eastAsia="Times New Roman" w:hAnsi="Times New Roman" w:cs="Times New Roman"/>
          <w:sz w:val="24"/>
        </w:rPr>
        <w:t xml:space="preserve">NAO "Almaty University </w:t>
      </w:r>
      <w:r>
        <w:rPr>
          <w:rFonts w:ascii="Times New Roman" w:eastAsia="Times New Roman" w:hAnsi="Times New Roman" w:cs="Times New Roman"/>
          <w:sz w:val="24"/>
        </w:rPr>
        <w:t xml:space="preserve">of Energy and Communications named after G.Daukeev" e-mail: naz8383@list.ru , </w:t>
      </w:r>
      <w:r>
        <w:rPr>
          <w:rFonts w:ascii="Times New Roman" w:eastAsia="Times New Roman" w:hAnsi="Times New Roman" w:cs="Times New Roman"/>
          <w:color w:val="0000FF"/>
          <w:sz w:val="24"/>
          <w:u w:val="single" w:color="0000FF"/>
        </w:rPr>
        <w:t>m.satymgalieva@aues.kz</w:t>
      </w:r>
      <w:r>
        <w:rPr>
          <w:rFonts w:ascii="Times New Roman" w:eastAsia="Times New Roman" w:hAnsi="Times New Roman" w:cs="Times New Roman"/>
          <w:sz w:val="24"/>
        </w:rPr>
        <w:t xml:space="preserve"> </w:t>
      </w:r>
    </w:p>
    <w:p w:rsidR="0052701D" w:rsidRDefault="00D40929">
      <w:pPr>
        <w:spacing w:after="0"/>
        <w:ind w:left="696"/>
        <w:jc w:val="center"/>
      </w:pPr>
      <w:r>
        <w:rPr>
          <w:rFonts w:ascii="Times New Roman" w:eastAsia="Times New Roman" w:hAnsi="Times New Roman" w:cs="Times New Roman"/>
          <w:sz w:val="24"/>
        </w:rPr>
        <w:t xml:space="preserve"> </w:t>
      </w:r>
    </w:p>
    <w:p w:rsidR="0052701D" w:rsidRDefault="00D40929">
      <w:pPr>
        <w:spacing w:after="29" w:line="248" w:lineRule="auto"/>
        <w:ind w:left="711"/>
        <w:jc w:val="both"/>
      </w:pPr>
      <w:r>
        <w:rPr>
          <w:rFonts w:ascii="Times New Roman" w:eastAsia="Times New Roman" w:hAnsi="Times New Roman" w:cs="Times New Roman"/>
          <w:b/>
          <w:i/>
          <w:sz w:val="24"/>
        </w:rPr>
        <w:t>Abstract.</w:t>
      </w:r>
      <w:r>
        <w:rPr>
          <w:rFonts w:ascii="Times New Roman" w:eastAsia="Times New Roman" w:hAnsi="Times New Roman" w:cs="Times New Roman"/>
          <w:i/>
          <w:sz w:val="24"/>
        </w:rPr>
        <w:t xml:space="preserve"> The article reflects the main approaches to the application of questionnaires of </w:t>
      </w:r>
    </w:p>
    <w:p w:rsidR="0052701D" w:rsidRDefault="00D40929">
      <w:pPr>
        <w:spacing w:after="0" w:line="248" w:lineRule="auto"/>
        <w:ind w:left="9" w:firstLine="711"/>
        <w:jc w:val="both"/>
      </w:pPr>
      <w:r>
        <w:rPr>
          <w:rFonts w:ascii="Times New Roman" w:eastAsia="Times New Roman" w:hAnsi="Times New Roman" w:cs="Times New Roman"/>
          <w:i/>
          <w:sz w:val="24"/>
        </w:rPr>
        <w:t>Schwartz values and social axioms for the study of value ori</w:t>
      </w:r>
      <w:r>
        <w:rPr>
          <w:rFonts w:ascii="Times New Roman" w:eastAsia="Times New Roman" w:hAnsi="Times New Roman" w:cs="Times New Roman"/>
          <w:i/>
          <w:sz w:val="24"/>
        </w:rPr>
        <w:t>entations of Kazakhstani youth. These theories are popular and have a good heuristic reliability in researchers in the field of value learning. The results of the research allow us to deepen our understanding of the value category itself, as well as to exp</w:t>
      </w:r>
      <w:r>
        <w:rPr>
          <w:rFonts w:ascii="Times New Roman" w:eastAsia="Times New Roman" w:hAnsi="Times New Roman" w:cs="Times New Roman"/>
          <w:i/>
          <w:sz w:val="24"/>
        </w:rPr>
        <w:t xml:space="preserve">and the possibilities of using values while studying other phenomena. The authors systematized and summarized the latest studies of recent years and identified gender differences in the value system of Kazakhstani youth. </w:t>
      </w:r>
    </w:p>
    <w:p w:rsidR="0052701D" w:rsidRDefault="00D40929">
      <w:pPr>
        <w:spacing w:after="84" w:line="248" w:lineRule="auto"/>
        <w:ind w:left="9" w:firstLine="711"/>
        <w:jc w:val="both"/>
      </w:pPr>
      <w:r>
        <w:rPr>
          <w:rFonts w:ascii="Times New Roman" w:eastAsia="Times New Roman" w:hAnsi="Times New Roman" w:cs="Times New Roman"/>
          <w:b/>
          <w:i/>
          <w:sz w:val="24"/>
        </w:rPr>
        <w:lastRenderedPageBreak/>
        <w:t>Key words:</w:t>
      </w:r>
      <w:r>
        <w:rPr>
          <w:rFonts w:ascii="Times New Roman" w:eastAsia="Times New Roman" w:hAnsi="Times New Roman" w:cs="Times New Roman"/>
          <w:i/>
          <w:sz w:val="24"/>
        </w:rPr>
        <w:t xml:space="preserve"> individual values, soci</w:t>
      </w:r>
      <w:r>
        <w:rPr>
          <w:rFonts w:ascii="Times New Roman" w:eastAsia="Times New Roman" w:hAnsi="Times New Roman" w:cs="Times New Roman"/>
          <w:i/>
          <w:sz w:val="24"/>
        </w:rPr>
        <w:t xml:space="preserve">al beliefs, gender aspect, social axiom, questionnaire of portrait values, measurement, Kazakhstan youth. </w:t>
      </w:r>
    </w:p>
    <w:p w:rsidR="0052701D" w:rsidRDefault="00D40929">
      <w:pPr>
        <w:spacing w:after="87"/>
        <w:ind w:left="706"/>
      </w:pPr>
      <w:r>
        <w:rPr>
          <w:rFonts w:ascii="Times New Roman" w:eastAsia="Times New Roman" w:hAnsi="Times New Roman" w:cs="Times New Roman"/>
          <w:b/>
        </w:rPr>
        <w:t xml:space="preserve"> </w:t>
      </w:r>
    </w:p>
    <w:p w:rsidR="0052701D" w:rsidRDefault="00D40929">
      <w:pPr>
        <w:spacing w:after="29" w:line="251" w:lineRule="auto"/>
        <w:ind w:left="720" w:firstLine="9"/>
      </w:pPr>
      <w:r>
        <w:rPr>
          <w:rFonts w:ascii="Times New Roman" w:eastAsia="Times New Roman" w:hAnsi="Times New Roman" w:cs="Times New Roman"/>
          <w:b/>
          <w:sz w:val="28"/>
        </w:rPr>
        <w:t xml:space="preserve">Введение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Одной из мобильных и активных групп населения является молодежь. Молодежь как особая социальная группа постоянно находится в фокусе </w:t>
      </w:r>
      <w:r>
        <w:rPr>
          <w:rFonts w:ascii="Times New Roman" w:eastAsia="Times New Roman" w:hAnsi="Times New Roman" w:cs="Times New Roman"/>
          <w:sz w:val="28"/>
        </w:rPr>
        <w:t>исследований психологов, социологов, поскольку именно она является индикатором происходящих перемен и определяет в целом потенциал развития общества. Исследование ценностных ориентаций и социальных аксиом современной молодежи в гендерном аспекте весьма акт</w:t>
      </w:r>
      <w:r>
        <w:rPr>
          <w:rFonts w:ascii="Times New Roman" w:eastAsia="Times New Roman" w:hAnsi="Times New Roman" w:cs="Times New Roman"/>
          <w:sz w:val="28"/>
        </w:rPr>
        <w:t xml:space="preserve">уально, поскольку дает возможность выяснить степень их адаптации к новым социальным условиям. От того, какой ценностный фундамент будет сформирован у молодого поколения, во многом зависит будущее состояние общества. </w:t>
      </w:r>
    </w:p>
    <w:p w:rsidR="0052701D" w:rsidRDefault="00D40929">
      <w:pPr>
        <w:spacing w:after="29" w:line="251" w:lineRule="auto"/>
        <w:ind w:left="720" w:firstLine="9"/>
      </w:pPr>
      <w:r>
        <w:rPr>
          <w:rFonts w:ascii="Times New Roman" w:eastAsia="Times New Roman" w:hAnsi="Times New Roman" w:cs="Times New Roman"/>
          <w:b/>
          <w:sz w:val="28"/>
        </w:rPr>
        <w:t xml:space="preserve">Основная часть </w:t>
      </w:r>
    </w:p>
    <w:p w:rsidR="0052701D" w:rsidRDefault="00D40929">
      <w:pPr>
        <w:spacing w:after="5" w:line="271" w:lineRule="auto"/>
        <w:ind w:left="9" w:right="64" w:firstLine="711"/>
        <w:jc w:val="both"/>
      </w:pPr>
      <w:r>
        <w:rPr>
          <w:rFonts w:ascii="Times New Roman" w:eastAsia="Times New Roman" w:hAnsi="Times New Roman" w:cs="Times New Roman"/>
          <w:sz w:val="28"/>
        </w:rPr>
        <w:t>Как отмечает, Ж.И. Нама</w:t>
      </w:r>
      <w:r>
        <w:rPr>
          <w:rFonts w:ascii="Times New Roman" w:eastAsia="Times New Roman" w:hAnsi="Times New Roman" w:cs="Times New Roman"/>
          <w:sz w:val="28"/>
        </w:rPr>
        <w:t>збаева в настоящее время значимыми являются, вопросы анализа культурного наследия страны для передачи положительного прошлого будущим поколениям и в дальнейшем поможет обретению личности благоприятных установок и ценностей у молодых женщин и мужчин [1]. Це</w:t>
      </w:r>
      <w:r>
        <w:rPr>
          <w:rFonts w:ascii="Times New Roman" w:eastAsia="Times New Roman" w:hAnsi="Times New Roman" w:cs="Times New Roman"/>
          <w:sz w:val="28"/>
        </w:rPr>
        <w:t>нностные ориентации – это элементы структуры личности, которые характеризуют содержательную сторону направленности личности. Система ценностных ориентаций выступает «свернутой» программой жизнедеятельности и служит основанием для реализации определенной мо</w:t>
      </w:r>
      <w:r>
        <w:rPr>
          <w:rFonts w:ascii="Times New Roman" w:eastAsia="Times New Roman" w:hAnsi="Times New Roman" w:cs="Times New Roman"/>
          <w:sz w:val="28"/>
        </w:rPr>
        <w:t xml:space="preserve">дели личности. Ценность представляет собой один из основных механизмов взаимодействия личности и общества, личности и культуры. </w:t>
      </w:r>
    </w:p>
    <w:p w:rsidR="0052701D" w:rsidRDefault="00D40929">
      <w:pPr>
        <w:spacing w:after="5" w:line="271" w:lineRule="auto"/>
        <w:ind w:left="9" w:right="64" w:firstLine="711"/>
        <w:jc w:val="both"/>
      </w:pPr>
      <w:r>
        <w:rPr>
          <w:rFonts w:ascii="Times New Roman" w:eastAsia="Times New Roman" w:hAnsi="Times New Roman" w:cs="Times New Roman"/>
          <w:sz w:val="28"/>
        </w:rPr>
        <w:t>Также социальные аксиомы и ценностные ориентации находится на пересечении двух больших предметных областей: мотивации и мировоз</w:t>
      </w:r>
      <w:r>
        <w:rPr>
          <w:rFonts w:ascii="Times New Roman" w:eastAsia="Times New Roman" w:hAnsi="Times New Roman" w:cs="Times New Roman"/>
          <w:sz w:val="28"/>
        </w:rPr>
        <w:t>зренческих структур сознания, однако ценности в отличие от аксиом носят двойственный характер – они социальны и индивидуальны по своей природе, тогда как аксиомы универсальны для большинства культур. Еще одно существенное отличие связано с тем, что ценност</w:t>
      </w:r>
      <w:r>
        <w:rPr>
          <w:rFonts w:ascii="Times New Roman" w:eastAsia="Times New Roman" w:hAnsi="Times New Roman" w:cs="Times New Roman"/>
          <w:sz w:val="28"/>
        </w:rPr>
        <w:t xml:space="preserve">и при определенных обстоятельствах достаточно динамичны по своей природе, тогда как социальные аксиомы ригидны.  </w:t>
      </w:r>
    </w:p>
    <w:p w:rsidR="0052701D" w:rsidRDefault="00D40929">
      <w:pPr>
        <w:spacing w:after="5" w:line="271" w:lineRule="auto"/>
        <w:ind w:left="9" w:right="64" w:firstLine="711"/>
        <w:jc w:val="both"/>
      </w:pPr>
      <w:r>
        <w:rPr>
          <w:rFonts w:ascii="Times New Roman" w:eastAsia="Times New Roman" w:hAnsi="Times New Roman" w:cs="Times New Roman"/>
          <w:sz w:val="28"/>
        </w:rPr>
        <w:t>Согласно С. Московичи, социальные представления — это обобщающий символ, система интерпретации, классификации явлений. Именно здравый смысл, о</w:t>
      </w:r>
      <w:r>
        <w:rPr>
          <w:rFonts w:ascii="Times New Roman" w:eastAsia="Times New Roman" w:hAnsi="Times New Roman" w:cs="Times New Roman"/>
          <w:sz w:val="28"/>
        </w:rPr>
        <w:t>быденные знания, folk-science, по мнению С. Московичи, открывают доступ к фиксации социальных представлений, это общественное обыденное сознание, в котором очень сложно взаимодействуют на уровне здравого смысла различные убеждения (отчасти иррациональные),</w:t>
      </w:r>
      <w:r>
        <w:rPr>
          <w:rFonts w:ascii="Times New Roman" w:eastAsia="Times New Roman" w:hAnsi="Times New Roman" w:cs="Times New Roman"/>
          <w:sz w:val="28"/>
        </w:rPr>
        <w:t xml:space="preserve"> идеологические взгляды, знания, собственно наука, раскрывающие и во многом составляющие социальную реальность [2]. </w:t>
      </w:r>
    </w:p>
    <w:p w:rsidR="0052701D" w:rsidRDefault="00D40929">
      <w:pPr>
        <w:spacing w:after="25"/>
        <w:ind w:left="10" w:right="43" w:hanging="10"/>
        <w:jc w:val="right"/>
      </w:pPr>
      <w:r>
        <w:rPr>
          <w:rFonts w:ascii="Times New Roman" w:eastAsia="Times New Roman" w:hAnsi="Times New Roman" w:cs="Times New Roman"/>
          <w:sz w:val="28"/>
        </w:rPr>
        <w:t xml:space="preserve">Социальное представление необходимо человеку для того, чтобы </w:t>
      </w:r>
    </w:p>
    <w:p w:rsidR="0052701D" w:rsidRDefault="00D40929">
      <w:pPr>
        <w:spacing w:after="5" w:line="271" w:lineRule="auto"/>
        <w:ind w:left="9" w:right="64"/>
        <w:jc w:val="both"/>
      </w:pPr>
      <w:r>
        <w:rPr>
          <w:rFonts w:ascii="Times New Roman" w:eastAsia="Times New Roman" w:hAnsi="Times New Roman" w:cs="Times New Roman"/>
          <w:sz w:val="28"/>
        </w:rPr>
        <w:lastRenderedPageBreak/>
        <w:t xml:space="preserve">«приручить» новую информацию, преобразовать «странное» и «незнакомое» в </w:t>
      </w:r>
      <w:r>
        <w:rPr>
          <w:rFonts w:ascii="Times New Roman" w:eastAsia="Times New Roman" w:hAnsi="Times New Roman" w:cs="Times New Roman"/>
          <w:sz w:val="28"/>
        </w:rPr>
        <w:t>«понятное» и «знакомое». Эта необходимость обусловлена тем, что для человека характерна потребность в понимании смысла окружения, в соответствии с которым он выстраивает линию поведения. Только таким путем можно уменьшить опасность разрушения привычного хо</w:t>
      </w:r>
      <w:r>
        <w:rPr>
          <w:rFonts w:ascii="Times New Roman" w:eastAsia="Times New Roman" w:hAnsi="Times New Roman" w:cs="Times New Roman"/>
          <w:sz w:val="28"/>
        </w:rPr>
        <w:t xml:space="preserve">да вещей и осмыслить социальную реальность. </w:t>
      </w:r>
    </w:p>
    <w:p w:rsidR="0052701D" w:rsidRDefault="00D40929">
      <w:pPr>
        <w:spacing w:after="5" w:line="271" w:lineRule="auto"/>
        <w:ind w:left="9" w:right="64" w:firstLine="711"/>
        <w:jc w:val="both"/>
      </w:pPr>
      <w:r>
        <w:rPr>
          <w:rFonts w:ascii="Times New Roman" w:eastAsia="Times New Roman" w:hAnsi="Times New Roman" w:cs="Times New Roman"/>
          <w:sz w:val="28"/>
        </w:rPr>
        <w:t>Социальные представления создаются коллективно и коллективно поддерживаются. Поскольку многие из самых фундаментальных представлений существуют в определенной культурной группе на протяжении довольно длительного</w:t>
      </w:r>
      <w:r>
        <w:rPr>
          <w:rFonts w:ascii="Times New Roman" w:eastAsia="Times New Roman" w:hAnsi="Times New Roman" w:cs="Times New Roman"/>
          <w:sz w:val="28"/>
        </w:rPr>
        <w:t xml:space="preserve"> периода времени, существует очень малая вероятность того, чтобы один индивид мог вызвать существенное изменение в социальных представлениях, превалирующих внутри этой группы. Социальные представления определяются: </w:t>
      </w:r>
    </w:p>
    <w:p w:rsidR="0052701D" w:rsidRDefault="00D40929">
      <w:pPr>
        <w:numPr>
          <w:ilvl w:val="0"/>
          <w:numId w:val="104"/>
        </w:numPr>
        <w:spacing w:after="5" w:line="271" w:lineRule="auto"/>
        <w:ind w:right="64"/>
        <w:jc w:val="both"/>
      </w:pPr>
      <w:r>
        <w:rPr>
          <w:rFonts w:ascii="Times New Roman" w:eastAsia="Times New Roman" w:hAnsi="Times New Roman" w:cs="Times New Roman"/>
          <w:sz w:val="28"/>
        </w:rPr>
        <w:t xml:space="preserve">семантическим содержанием; </w:t>
      </w:r>
    </w:p>
    <w:p w:rsidR="0052701D" w:rsidRDefault="00D40929">
      <w:pPr>
        <w:numPr>
          <w:ilvl w:val="0"/>
          <w:numId w:val="104"/>
        </w:numPr>
        <w:spacing w:after="5" w:line="271" w:lineRule="auto"/>
        <w:ind w:right="64"/>
        <w:jc w:val="both"/>
      </w:pPr>
      <w:r>
        <w:rPr>
          <w:rFonts w:ascii="Times New Roman" w:eastAsia="Times New Roman" w:hAnsi="Times New Roman" w:cs="Times New Roman"/>
          <w:sz w:val="28"/>
        </w:rPr>
        <w:t>общими ценно</w:t>
      </w:r>
      <w:r>
        <w:rPr>
          <w:rFonts w:ascii="Times New Roman" w:eastAsia="Times New Roman" w:hAnsi="Times New Roman" w:cs="Times New Roman"/>
          <w:sz w:val="28"/>
        </w:rPr>
        <w:t xml:space="preserve">стями и верованиями; </w:t>
      </w:r>
    </w:p>
    <w:p w:rsidR="0052701D" w:rsidRDefault="00D40929">
      <w:pPr>
        <w:numPr>
          <w:ilvl w:val="0"/>
          <w:numId w:val="104"/>
        </w:numPr>
        <w:spacing w:after="5" w:line="271" w:lineRule="auto"/>
        <w:ind w:right="64"/>
        <w:jc w:val="both"/>
      </w:pPr>
      <w:r>
        <w:rPr>
          <w:rFonts w:ascii="Times New Roman" w:eastAsia="Times New Roman" w:hAnsi="Times New Roman" w:cs="Times New Roman"/>
          <w:sz w:val="28"/>
        </w:rPr>
        <w:t xml:space="preserve">представлениями о взаимосвязи различных социальных категорий; 4) связью представления и конкретных социальных позиций человека [3]. </w:t>
      </w:r>
    </w:p>
    <w:p w:rsidR="0052701D" w:rsidRDefault="00D40929">
      <w:pPr>
        <w:spacing w:after="5" w:line="271" w:lineRule="auto"/>
        <w:ind w:left="9" w:right="64" w:firstLine="711"/>
        <w:jc w:val="both"/>
      </w:pPr>
      <w:r>
        <w:rPr>
          <w:rFonts w:ascii="Times New Roman" w:eastAsia="Times New Roman" w:hAnsi="Times New Roman" w:cs="Times New Roman"/>
          <w:sz w:val="28"/>
        </w:rPr>
        <w:t>Социальные представления – основной элемент группового сознания, в них выражено отношение определенно</w:t>
      </w:r>
      <w:r>
        <w:rPr>
          <w:rFonts w:ascii="Times New Roman" w:eastAsia="Times New Roman" w:hAnsi="Times New Roman" w:cs="Times New Roman"/>
          <w:sz w:val="28"/>
        </w:rPr>
        <w:t>й группы к тому или иному объекту. Поэтому социальное представление выражает не индивидуальное мнение человека, а его мнение как члена группы, класса, структуры. Группа играет определяющую роль в выработке социального представления. Возникает «двойная» соц</w:t>
      </w:r>
      <w:r>
        <w:rPr>
          <w:rFonts w:ascii="Times New Roman" w:eastAsia="Times New Roman" w:hAnsi="Times New Roman" w:cs="Times New Roman"/>
          <w:sz w:val="28"/>
        </w:rPr>
        <w:t>иальная зависимость когнитивного акта: с одной стороны, социальное представление порождается группой, с другой - включается в систему социальных коммуникаций. Такая же «двойная» социальная зависимость характерна, для системы ценностей и социальных аксиомах</w:t>
      </w:r>
      <w:r>
        <w:rPr>
          <w:rFonts w:ascii="Times New Roman" w:eastAsia="Times New Roman" w:hAnsi="Times New Roman" w:cs="Times New Roman"/>
          <w:sz w:val="28"/>
        </w:rPr>
        <w:t xml:space="preserve"> [4].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С. Московичи обосновывал следующие пять функций социальных представлений: </w:t>
      </w:r>
    </w:p>
    <w:p w:rsidR="0052701D" w:rsidRDefault="00D40929">
      <w:pPr>
        <w:numPr>
          <w:ilvl w:val="0"/>
          <w:numId w:val="105"/>
        </w:numPr>
        <w:spacing w:after="5" w:line="271" w:lineRule="auto"/>
        <w:ind w:right="64" w:firstLine="711"/>
        <w:jc w:val="both"/>
      </w:pPr>
      <w:r>
        <w:rPr>
          <w:rFonts w:ascii="Times New Roman" w:eastAsia="Times New Roman" w:hAnsi="Times New Roman" w:cs="Times New Roman"/>
          <w:sz w:val="28"/>
        </w:rPr>
        <w:t xml:space="preserve">Сохранение стабильности и устойчивости индивидуальной и групповой структуры сознания. </w:t>
      </w:r>
    </w:p>
    <w:p w:rsidR="0052701D" w:rsidRDefault="00D40929">
      <w:pPr>
        <w:numPr>
          <w:ilvl w:val="0"/>
          <w:numId w:val="105"/>
        </w:numPr>
        <w:spacing w:after="5" w:line="271" w:lineRule="auto"/>
        <w:ind w:right="64" w:firstLine="711"/>
        <w:jc w:val="both"/>
      </w:pPr>
      <w:r>
        <w:rPr>
          <w:rFonts w:ascii="Times New Roman" w:eastAsia="Times New Roman" w:hAnsi="Times New Roman" w:cs="Times New Roman"/>
          <w:sz w:val="28"/>
        </w:rPr>
        <w:t xml:space="preserve">Интерпретация реальности. </w:t>
      </w:r>
    </w:p>
    <w:p w:rsidR="0052701D" w:rsidRDefault="00D40929">
      <w:pPr>
        <w:numPr>
          <w:ilvl w:val="0"/>
          <w:numId w:val="105"/>
        </w:numPr>
        <w:spacing w:after="5" w:line="271" w:lineRule="auto"/>
        <w:ind w:right="64" w:firstLine="711"/>
        <w:jc w:val="both"/>
      </w:pPr>
      <w:r>
        <w:rPr>
          <w:rFonts w:ascii="Times New Roman" w:eastAsia="Times New Roman" w:hAnsi="Times New Roman" w:cs="Times New Roman"/>
          <w:sz w:val="28"/>
        </w:rPr>
        <w:t xml:space="preserve">Адаптация новой информации к уже имеющейся системе </w:t>
      </w:r>
      <w:r>
        <w:rPr>
          <w:rFonts w:ascii="Times New Roman" w:eastAsia="Times New Roman" w:hAnsi="Times New Roman" w:cs="Times New Roman"/>
          <w:sz w:val="28"/>
        </w:rPr>
        <w:t xml:space="preserve">социальных представлений. </w:t>
      </w:r>
    </w:p>
    <w:p w:rsidR="0052701D" w:rsidRDefault="00D40929">
      <w:pPr>
        <w:numPr>
          <w:ilvl w:val="0"/>
          <w:numId w:val="105"/>
        </w:numPr>
        <w:spacing w:after="5" w:line="271" w:lineRule="auto"/>
        <w:ind w:right="64" w:firstLine="711"/>
        <w:jc w:val="both"/>
      </w:pPr>
      <w:r>
        <w:rPr>
          <w:rFonts w:ascii="Times New Roman" w:eastAsia="Times New Roman" w:hAnsi="Times New Roman" w:cs="Times New Roman"/>
          <w:sz w:val="28"/>
        </w:rPr>
        <w:t xml:space="preserve">Опосредование и регуляция существующих отношений и поведения. </w:t>
      </w:r>
    </w:p>
    <w:p w:rsidR="0052701D" w:rsidRDefault="00D40929">
      <w:pPr>
        <w:numPr>
          <w:ilvl w:val="0"/>
          <w:numId w:val="105"/>
        </w:numPr>
        <w:spacing w:after="5" w:line="271" w:lineRule="auto"/>
        <w:ind w:right="64" w:firstLine="711"/>
        <w:jc w:val="both"/>
      </w:pPr>
      <w:r>
        <w:rPr>
          <w:rFonts w:ascii="Times New Roman" w:eastAsia="Times New Roman" w:hAnsi="Times New Roman" w:cs="Times New Roman"/>
          <w:sz w:val="28"/>
        </w:rPr>
        <w:t xml:space="preserve">Смысловой синтез. </w:t>
      </w:r>
    </w:p>
    <w:p w:rsidR="0052701D" w:rsidRDefault="00D40929">
      <w:pPr>
        <w:spacing w:after="5" w:line="271" w:lineRule="auto"/>
        <w:ind w:left="9" w:right="64" w:firstLine="711"/>
        <w:jc w:val="both"/>
      </w:pPr>
      <w:r>
        <w:rPr>
          <w:rFonts w:ascii="Times New Roman" w:eastAsia="Times New Roman" w:hAnsi="Times New Roman" w:cs="Times New Roman"/>
          <w:sz w:val="28"/>
        </w:rPr>
        <w:lastRenderedPageBreak/>
        <w:t>Изучая социальные представления в рамках разработки концепции социального мышления, К.А. Абульханова [3, с.91] выявила ряд различий полученных резу</w:t>
      </w:r>
      <w:r>
        <w:rPr>
          <w:rFonts w:ascii="Times New Roman" w:eastAsia="Times New Roman" w:hAnsi="Times New Roman" w:cs="Times New Roman"/>
          <w:sz w:val="28"/>
        </w:rPr>
        <w:t xml:space="preserve">льтатов и обобщении теории С. Московичи: </w:t>
      </w:r>
    </w:p>
    <w:p w:rsidR="0052701D" w:rsidRDefault="00D40929">
      <w:pPr>
        <w:numPr>
          <w:ilvl w:val="0"/>
          <w:numId w:val="106"/>
        </w:numPr>
        <w:spacing w:after="5" w:line="271" w:lineRule="auto"/>
        <w:ind w:right="64" w:firstLine="711"/>
        <w:jc w:val="both"/>
      </w:pPr>
      <w:r>
        <w:rPr>
          <w:rFonts w:ascii="Times New Roman" w:eastAsia="Times New Roman" w:hAnsi="Times New Roman" w:cs="Times New Roman"/>
          <w:sz w:val="28"/>
        </w:rPr>
        <w:t xml:space="preserve">социальные представления носят не только социальный характер, но и личностный; </w:t>
      </w:r>
    </w:p>
    <w:p w:rsidR="0052701D" w:rsidRDefault="00D40929">
      <w:pPr>
        <w:numPr>
          <w:ilvl w:val="0"/>
          <w:numId w:val="106"/>
        </w:numPr>
        <w:spacing w:after="5" w:line="271" w:lineRule="auto"/>
        <w:ind w:right="64" w:firstLine="711"/>
        <w:jc w:val="both"/>
      </w:pPr>
      <w:r>
        <w:rPr>
          <w:rFonts w:ascii="Times New Roman" w:eastAsia="Times New Roman" w:hAnsi="Times New Roman" w:cs="Times New Roman"/>
          <w:sz w:val="28"/>
        </w:rPr>
        <w:t xml:space="preserve">способ развития, индивидуации влияет на выбор социальных представлений и их оценку; </w:t>
      </w:r>
    </w:p>
    <w:p w:rsidR="0052701D" w:rsidRDefault="00D40929">
      <w:pPr>
        <w:numPr>
          <w:ilvl w:val="0"/>
          <w:numId w:val="106"/>
        </w:numPr>
        <w:spacing w:after="5" w:line="271" w:lineRule="auto"/>
        <w:ind w:right="64" w:firstLine="711"/>
        <w:jc w:val="both"/>
      </w:pPr>
      <w:r>
        <w:rPr>
          <w:rFonts w:ascii="Times New Roman" w:eastAsia="Times New Roman" w:hAnsi="Times New Roman" w:cs="Times New Roman"/>
          <w:sz w:val="28"/>
        </w:rPr>
        <w:t xml:space="preserve">личность влияет на социальные представления и их </w:t>
      </w:r>
      <w:r>
        <w:rPr>
          <w:rFonts w:ascii="Times New Roman" w:eastAsia="Times New Roman" w:hAnsi="Times New Roman" w:cs="Times New Roman"/>
          <w:sz w:val="28"/>
        </w:rPr>
        <w:t xml:space="preserve">социальную роль.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Опираясь на эти представления, мы составили модель соотношения ценностных ориентаций и социальных аксиом через соотнесения их с социальными убеждениями (рисунок 1). </w:t>
      </w:r>
    </w:p>
    <w:p w:rsidR="0052701D" w:rsidRDefault="00D40929">
      <w:pPr>
        <w:spacing w:after="0"/>
      </w:pPr>
      <w:r>
        <w:rPr>
          <w:rFonts w:ascii="Times New Roman" w:eastAsia="Times New Roman" w:hAnsi="Times New Roman" w:cs="Times New Roman"/>
          <w:color w:val="002060"/>
          <w:sz w:val="28"/>
        </w:rPr>
        <w:t xml:space="preserve"> </w:t>
      </w:r>
    </w:p>
    <w:p w:rsidR="0052701D" w:rsidRDefault="00D40929">
      <w:pPr>
        <w:spacing w:after="0"/>
        <w:ind w:right="1325"/>
        <w:jc w:val="right"/>
      </w:pPr>
      <w:r>
        <w:rPr>
          <w:noProof/>
        </w:rPr>
        <w:drawing>
          <wp:inline distT="0" distB="0" distL="0" distR="0">
            <wp:extent cx="4437888" cy="2398776"/>
            <wp:effectExtent l="0" t="0" r="0" b="0"/>
            <wp:docPr id="113200" name="Picture 113200"/>
            <wp:cNvGraphicFramePr/>
            <a:graphic xmlns:a="http://schemas.openxmlformats.org/drawingml/2006/main">
              <a:graphicData uri="http://schemas.openxmlformats.org/drawingml/2006/picture">
                <pic:pic xmlns:pic="http://schemas.openxmlformats.org/drawingml/2006/picture">
                  <pic:nvPicPr>
                    <pic:cNvPr id="113200" name="Picture 113200"/>
                    <pic:cNvPicPr/>
                  </pic:nvPicPr>
                  <pic:blipFill>
                    <a:blip r:embed="rId656"/>
                    <a:stretch>
                      <a:fillRect/>
                    </a:stretch>
                  </pic:blipFill>
                  <pic:spPr>
                    <a:xfrm>
                      <a:off x="0" y="0"/>
                      <a:ext cx="4437888" cy="2398776"/>
                    </a:xfrm>
                    <a:prstGeom prst="rect">
                      <a:avLst/>
                    </a:prstGeom>
                  </pic:spPr>
                </pic:pic>
              </a:graphicData>
            </a:graphic>
          </wp:inline>
        </w:drawing>
      </w:r>
      <w:r>
        <w:rPr>
          <w:rFonts w:ascii="Times New Roman" w:eastAsia="Times New Roman" w:hAnsi="Times New Roman" w:cs="Times New Roman"/>
          <w:color w:val="002060"/>
          <w:sz w:val="28"/>
        </w:rPr>
        <w:t xml:space="preserve"> </w:t>
      </w:r>
    </w:p>
    <w:p w:rsidR="0052701D" w:rsidRDefault="00D40929">
      <w:pPr>
        <w:spacing w:after="71" w:line="248" w:lineRule="auto"/>
        <w:ind w:left="1018" w:right="14"/>
        <w:jc w:val="both"/>
      </w:pPr>
      <w:r>
        <w:rPr>
          <w:rFonts w:ascii="Times New Roman" w:eastAsia="Times New Roman" w:hAnsi="Times New Roman" w:cs="Times New Roman"/>
          <w:sz w:val="24"/>
        </w:rPr>
        <w:t>Рисунок 1 – Модель соотношения ценностных ориентаций и социальных а</w:t>
      </w:r>
      <w:r>
        <w:rPr>
          <w:rFonts w:ascii="Times New Roman" w:eastAsia="Times New Roman" w:hAnsi="Times New Roman" w:cs="Times New Roman"/>
          <w:sz w:val="24"/>
        </w:rPr>
        <w:t xml:space="preserve">ксиом </w:t>
      </w:r>
    </w:p>
    <w:p w:rsidR="0052701D" w:rsidRDefault="00D40929">
      <w:pPr>
        <w:spacing w:after="63"/>
        <w:ind w:left="567"/>
      </w:pPr>
      <w:r>
        <w:rPr>
          <w:rFonts w:ascii="Times New Roman" w:eastAsia="Times New Roman" w:hAnsi="Times New Roman" w:cs="Times New Roman"/>
          <w:color w:val="002060"/>
          <w:sz w:val="24"/>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По нашему мнению теория социальных представлений носит обобщающий характер по отношению к таким понятиям как ценностные ориентации и социальные аксиомы, включает функции и основные механизмы реализации и возникновения последних: </w:t>
      </w:r>
    </w:p>
    <w:p w:rsidR="0052701D" w:rsidRDefault="00D40929">
      <w:pPr>
        <w:spacing w:after="32" w:line="271" w:lineRule="auto"/>
        <w:ind w:left="9" w:right="64" w:firstLine="711"/>
        <w:jc w:val="both"/>
      </w:pPr>
      <w:r>
        <w:rPr>
          <w:rFonts w:ascii="Times New Roman" w:eastAsia="Times New Roman" w:hAnsi="Times New Roman" w:cs="Times New Roman"/>
          <w:sz w:val="28"/>
        </w:rPr>
        <w:t>-«двойная» социал</w:t>
      </w:r>
      <w:r>
        <w:rPr>
          <w:rFonts w:ascii="Times New Roman" w:eastAsia="Times New Roman" w:hAnsi="Times New Roman" w:cs="Times New Roman"/>
          <w:sz w:val="28"/>
        </w:rPr>
        <w:t xml:space="preserve">ьная зависимость – ценностные ориентации и социальные аксиомы социальны и индивидуальны по своей природе; -определяются семантическим содержанием и смыслом;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-ценностные ориентации и социальные аксиомы универсальны для большинства культур;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-порядок </w:t>
      </w:r>
      <w:r>
        <w:rPr>
          <w:rFonts w:ascii="Times New Roman" w:eastAsia="Times New Roman" w:hAnsi="Times New Roman" w:cs="Times New Roman"/>
          <w:sz w:val="28"/>
        </w:rPr>
        <w:t xml:space="preserve">организации ценностных ориентаций и социальных аксиом не исключает наличия противоречий; </w:t>
      </w:r>
    </w:p>
    <w:p w:rsidR="0052701D" w:rsidRDefault="00D40929">
      <w:pPr>
        <w:spacing w:after="5" w:line="271" w:lineRule="auto"/>
        <w:ind w:left="9" w:right="64" w:firstLine="711"/>
        <w:jc w:val="both"/>
      </w:pPr>
      <w:r>
        <w:rPr>
          <w:rFonts w:ascii="Times New Roman" w:eastAsia="Times New Roman" w:hAnsi="Times New Roman" w:cs="Times New Roman"/>
          <w:sz w:val="28"/>
        </w:rPr>
        <w:t>-ценностные ориентации и социальные аксиомы существуют в виде некритично принимаемых убеждений (когниции), они могут в большей или меньшей степени быть осознанными (с</w:t>
      </w:r>
      <w:r>
        <w:rPr>
          <w:rFonts w:ascii="Times New Roman" w:eastAsia="Times New Roman" w:hAnsi="Times New Roman" w:cs="Times New Roman"/>
          <w:sz w:val="28"/>
        </w:rPr>
        <w:t xml:space="preserve">тепень осознанности меняет после прохождения личностного кризиса); </w:t>
      </w:r>
    </w:p>
    <w:p w:rsidR="0052701D" w:rsidRDefault="00D40929">
      <w:pPr>
        <w:spacing w:after="5" w:line="271" w:lineRule="auto"/>
        <w:ind w:left="9" w:right="64" w:firstLine="711"/>
        <w:jc w:val="both"/>
      </w:pPr>
      <w:r>
        <w:rPr>
          <w:rFonts w:ascii="Times New Roman" w:eastAsia="Times New Roman" w:hAnsi="Times New Roman" w:cs="Times New Roman"/>
          <w:sz w:val="28"/>
        </w:rPr>
        <w:lastRenderedPageBreak/>
        <w:t xml:space="preserve">-ценностные ориентации и социальные аксиомы находят свое выражение в деятельности и регулируют поведение опосредованно. </w:t>
      </w:r>
    </w:p>
    <w:p w:rsidR="0052701D" w:rsidRDefault="00D40929">
      <w:pPr>
        <w:spacing w:after="30" w:line="251" w:lineRule="auto"/>
        <w:ind w:left="720" w:firstLine="9"/>
      </w:pPr>
      <w:r>
        <w:rPr>
          <w:rFonts w:ascii="Times New Roman" w:eastAsia="Times New Roman" w:hAnsi="Times New Roman" w:cs="Times New Roman"/>
          <w:b/>
          <w:sz w:val="28"/>
        </w:rPr>
        <w:t xml:space="preserve">Обсуждение </w:t>
      </w:r>
    </w:p>
    <w:p w:rsidR="0052701D" w:rsidRDefault="00D40929">
      <w:pPr>
        <w:spacing w:after="5" w:line="271" w:lineRule="auto"/>
        <w:ind w:left="9" w:right="64" w:firstLine="711"/>
        <w:jc w:val="both"/>
      </w:pPr>
      <w:r>
        <w:rPr>
          <w:rFonts w:ascii="Times New Roman" w:eastAsia="Times New Roman" w:hAnsi="Times New Roman" w:cs="Times New Roman"/>
          <w:sz w:val="28"/>
        </w:rPr>
        <w:t>В соответствии с целью исследования экспериментально из</w:t>
      </w:r>
      <w:r>
        <w:rPr>
          <w:rFonts w:ascii="Times New Roman" w:eastAsia="Times New Roman" w:hAnsi="Times New Roman" w:cs="Times New Roman"/>
          <w:sz w:val="28"/>
        </w:rPr>
        <w:t xml:space="preserve">учены ценностные ориентации через применение авторской модификации опросников ценностей Шварца и социальных аксиом для казахстанской выборки. </w:t>
      </w:r>
    </w:p>
    <w:p w:rsidR="0052701D" w:rsidRDefault="00D40929">
      <w:pPr>
        <w:spacing w:after="5" w:line="271" w:lineRule="auto"/>
        <w:ind w:left="9" w:right="64" w:firstLine="711"/>
        <w:jc w:val="both"/>
      </w:pPr>
      <w:r>
        <w:rPr>
          <w:rFonts w:ascii="Times New Roman" w:eastAsia="Times New Roman" w:hAnsi="Times New Roman" w:cs="Times New Roman"/>
          <w:sz w:val="28"/>
        </w:rPr>
        <w:t>В исследовании приняли участие 203 респондента, из них 128 женщин и 75 мужчин. Выборка состояла из молодежи в воз</w:t>
      </w:r>
      <w:r>
        <w:rPr>
          <w:rFonts w:ascii="Times New Roman" w:eastAsia="Times New Roman" w:hAnsi="Times New Roman" w:cs="Times New Roman"/>
          <w:sz w:val="28"/>
        </w:rPr>
        <w:t xml:space="preserve">расте от 18 до 25 лет. </w:t>
      </w:r>
    </w:p>
    <w:p w:rsidR="0052701D" w:rsidRDefault="00D40929">
      <w:pPr>
        <w:spacing w:after="5" w:line="271" w:lineRule="auto"/>
        <w:ind w:left="9" w:right="64" w:firstLine="711"/>
        <w:jc w:val="both"/>
      </w:pPr>
      <w:r>
        <w:rPr>
          <w:rFonts w:ascii="Times New Roman" w:eastAsia="Times New Roman" w:hAnsi="Times New Roman" w:cs="Times New Roman"/>
          <w:sz w:val="28"/>
        </w:rPr>
        <w:t>Многофакторный дисперсионный анализ выявил значительный многомерный основной эффект по гендеру, Уилкс 'λ = 0,890, F (19000) = 1,841, р&lt;0,019,  что указывает, что дисперсионно-ковариационные матрицы достоверно различаются.  Это означ</w:t>
      </w:r>
      <w:r>
        <w:rPr>
          <w:rFonts w:ascii="Times New Roman" w:eastAsia="Times New Roman" w:hAnsi="Times New Roman" w:cs="Times New Roman"/>
          <w:sz w:val="28"/>
        </w:rPr>
        <w:t xml:space="preserve">ает, что выполняется главное допущение для многомерных тестов и их результаты могут быть приняты к рассмотрению.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Из таблицы 1 видно, что система ценностных ориентаций мужчин и женщин дифференцируется по следующим 6 ценностям: </w:t>
      </w:r>
    </w:p>
    <w:p w:rsidR="0052701D" w:rsidRDefault="00D40929">
      <w:pPr>
        <w:numPr>
          <w:ilvl w:val="0"/>
          <w:numId w:val="107"/>
        </w:numPr>
        <w:spacing w:after="5" w:line="271" w:lineRule="auto"/>
        <w:ind w:right="64"/>
        <w:jc w:val="both"/>
      </w:pPr>
      <w:r>
        <w:rPr>
          <w:rFonts w:ascii="Times New Roman" w:eastAsia="Times New Roman" w:hAnsi="Times New Roman" w:cs="Times New Roman"/>
          <w:sz w:val="28"/>
        </w:rPr>
        <w:t>Стимуляция (р=</w:t>
      </w:r>
      <w:r>
        <w:rPr>
          <w:sz w:val="28"/>
        </w:rPr>
        <w:t xml:space="preserve"> </w:t>
      </w:r>
      <w:r>
        <w:rPr>
          <w:rFonts w:ascii="Times New Roman" w:eastAsia="Times New Roman" w:hAnsi="Times New Roman" w:cs="Times New Roman"/>
          <w:sz w:val="28"/>
        </w:rPr>
        <w:t>0,002, F</w:t>
      </w:r>
      <w:r>
        <w:rPr>
          <w:rFonts w:ascii="Times New Roman" w:eastAsia="Times New Roman" w:hAnsi="Times New Roman" w:cs="Times New Roman"/>
          <w:sz w:val="28"/>
        </w:rPr>
        <w:t xml:space="preserve">=9,676); </w:t>
      </w:r>
    </w:p>
    <w:p w:rsidR="0052701D" w:rsidRDefault="00D40929">
      <w:pPr>
        <w:numPr>
          <w:ilvl w:val="0"/>
          <w:numId w:val="107"/>
        </w:numPr>
        <w:spacing w:after="5" w:line="271" w:lineRule="auto"/>
        <w:ind w:right="64"/>
        <w:jc w:val="both"/>
      </w:pPr>
      <w:r>
        <w:rPr>
          <w:rFonts w:ascii="Times New Roman" w:eastAsia="Times New Roman" w:hAnsi="Times New Roman" w:cs="Times New Roman"/>
          <w:sz w:val="28"/>
        </w:rPr>
        <w:t xml:space="preserve">Безопасность личная (р=0,031, F=4,702); </w:t>
      </w:r>
    </w:p>
    <w:p w:rsidR="0052701D" w:rsidRDefault="00D40929">
      <w:pPr>
        <w:numPr>
          <w:ilvl w:val="0"/>
          <w:numId w:val="107"/>
        </w:numPr>
        <w:spacing w:after="5" w:line="271" w:lineRule="auto"/>
        <w:ind w:right="64"/>
        <w:jc w:val="both"/>
      </w:pPr>
      <w:r>
        <w:rPr>
          <w:rFonts w:ascii="Times New Roman" w:eastAsia="Times New Roman" w:hAnsi="Times New Roman" w:cs="Times New Roman"/>
          <w:sz w:val="28"/>
        </w:rPr>
        <w:t xml:space="preserve">Скромность (р=0,013, F=6,247); </w:t>
      </w:r>
    </w:p>
    <w:p w:rsidR="0052701D" w:rsidRDefault="00D40929">
      <w:pPr>
        <w:numPr>
          <w:ilvl w:val="0"/>
          <w:numId w:val="107"/>
        </w:numPr>
        <w:spacing w:after="5" w:line="271" w:lineRule="auto"/>
        <w:ind w:right="64"/>
        <w:jc w:val="both"/>
      </w:pPr>
      <w:r>
        <w:rPr>
          <w:rFonts w:ascii="Times New Roman" w:eastAsia="Times New Roman" w:hAnsi="Times New Roman" w:cs="Times New Roman"/>
          <w:sz w:val="28"/>
        </w:rPr>
        <w:t xml:space="preserve">Универсализм-Толерантность (р=0,000, F=12,691); - Благожелательность-Забота (р=0,012, F=6,404); </w:t>
      </w:r>
    </w:p>
    <w:p w:rsidR="0052701D" w:rsidRDefault="00D40929">
      <w:pPr>
        <w:numPr>
          <w:ilvl w:val="0"/>
          <w:numId w:val="107"/>
        </w:numPr>
        <w:spacing w:after="5" w:line="271" w:lineRule="auto"/>
        <w:ind w:right="64"/>
        <w:jc w:val="both"/>
      </w:pPr>
      <w:r>
        <w:rPr>
          <w:rFonts w:ascii="Times New Roman" w:eastAsia="Times New Roman" w:hAnsi="Times New Roman" w:cs="Times New Roman"/>
          <w:sz w:val="28"/>
        </w:rPr>
        <w:t xml:space="preserve">Благожелательность-Чувство долга (р=0,010, F=6,773). </w:t>
      </w:r>
    </w:p>
    <w:p w:rsidR="0052701D" w:rsidRDefault="00D40929">
      <w:pPr>
        <w:spacing w:after="5" w:line="271" w:lineRule="auto"/>
        <w:ind w:left="9" w:right="64" w:firstLine="711"/>
        <w:jc w:val="both"/>
      </w:pPr>
      <w:r>
        <w:rPr>
          <w:rFonts w:ascii="Times New Roman" w:eastAsia="Times New Roman" w:hAnsi="Times New Roman" w:cs="Times New Roman"/>
          <w:sz w:val="28"/>
        </w:rPr>
        <w:t>Показатели таблицы 1 у</w:t>
      </w:r>
      <w:r>
        <w:rPr>
          <w:rFonts w:ascii="Times New Roman" w:eastAsia="Times New Roman" w:hAnsi="Times New Roman" w:cs="Times New Roman"/>
          <w:sz w:val="28"/>
        </w:rPr>
        <w:t xml:space="preserve">казывает, на то, что данная группа ценность лучше сформирована у женщин.  </w:t>
      </w:r>
    </w:p>
    <w:p w:rsidR="0052701D" w:rsidRDefault="00D40929">
      <w:pPr>
        <w:spacing w:after="98"/>
        <w:ind w:left="567"/>
      </w:pPr>
      <w:r>
        <w:rPr>
          <w:rFonts w:ascii="Times New Roman" w:eastAsia="Times New Roman" w:hAnsi="Times New Roman" w:cs="Times New Roman"/>
          <w:sz w:val="24"/>
        </w:rPr>
        <w:t xml:space="preserve"> </w:t>
      </w:r>
    </w:p>
    <w:p w:rsidR="0052701D" w:rsidRDefault="00D40929">
      <w:pPr>
        <w:spacing w:after="29" w:line="248" w:lineRule="auto"/>
        <w:ind w:left="9" w:right="14"/>
        <w:jc w:val="both"/>
      </w:pPr>
      <w:r>
        <w:rPr>
          <w:rFonts w:ascii="Times New Roman" w:eastAsia="Times New Roman" w:hAnsi="Times New Roman" w:cs="Times New Roman"/>
          <w:sz w:val="24"/>
        </w:rPr>
        <w:t xml:space="preserve">Таблица 1 - Оценки 2-х выборок по гендеру </w:t>
      </w:r>
    </w:p>
    <w:tbl>
      <w:tblPr>
        <w:tblStyle w:val="TableGrid"/>
        <w:tblW w:w="9642" w:type="dxa"/>
        <w:tblInd w:w="221" w:type="dxa"/>
        <w:tblCellMar>
          <w:top w:w="93" w:type="dxa"/>
          <w:left w:w="87" w:type="dxa"/>
          <w:bottom w:w="0" w:type="dxa"/>
          <w:right w:w="115" w:type="dxa"/>
        </w:tblCellMar>
        <w:tblLook w:val="04A0" w:firstRow="1" w:lastRow="0" w:firstColumn="1" w:lastColumn="0" w:noHBand="0" w:noVBand="1"/>
      </w:tblPr>
      <w:tblGrid>
        <w:gridCol w:w="3311"/>
        <w:gridCol w:w="1561"/>
        <w:gridCol w:w="1222"/>
        <w:gridCol w:w="1072"/>
        <w:gridCol w:w="1173"/>
        <w:gridCol w:w="1303"/>
      </w:tblGrid>
      <w:tr w:rsidR="0052701D">
        <w:trPr>
          <w:trHeight w:val="725"/>
        </w:trPr>
        <w:tc>
          <w:tcPr>
            <w:tcW w:w="2617" w:type="dxa"/>
            <w:vMerge w:val="restart"/>
            <w:tcBorders>
              <w:top w:val="single" w:sz="4" w:space="0" w:color="000000"/>
              <w:left w:val="single" w:sz="4" w:space="0" w:color="000000"/>
              <w:bottom w:val="single" w:sz="4" w:space="0" w:color="000000"/>
              <w:right w:val="single" w:sz="4" w:space="0" w:color="000000"/>
            </w:tcBorders>
          </w:tcPr>
          <w:p w:rsidR="0052701D" w:rsidRDefault="00D40929">
            <w:pPr>
              <w:spacing w:after="0"/>
              <w:ind w:left="120"/>
            </w:pPr>
            <w:r>
              <w:rPr>
                <w:rFonts w:ascii="Times New Roman" w:eastAsia="Times New Roman" w:hAnsi="Times New Roman" w:cs="Times New Roman"/>
                <w:sz w:val="24"/>
              </w:rPr>
              <w:t>Зависимая переменная</w:t>
            </w:r>
            <w:r>
              <w:t xml:space="preserve"> </w:t>
            </w:r>
          </w:p>
        </w:tc>
        <w:tc>
          <w:tcPr>
            <w:tcW w:w="1782" w:type="dxa"/>
            <w:vMerge w:val="restart"/>
            <w:tcBorders>
              <w:top w:val="single" w:sz="4" w:space="0" w:color="000000"/>
              <w:left w:val="single" w:sz="4" w:space="0" w:color="000000"/>
              <w:bottom w:val="single" w:sz="4" w:space="0" w:color="000000"/>
              <w:right w:val="single" w:sz="4" w:space="0" w:color="000000"/>
            </w:tcBorders>
          </w:tcPr>
          <w:p w:rsidR="0052701D" w:rsidRDefault="00D40929">
            <w:pPr>
              <w:spacing w:after="0"/>
              <w:ind w:left="120"/>
            </w:pPr>
            <w:r>
              <w:rPr>
                <w:rFonts w:ascii="Times New Roman" w:eastAsia="Times New Roman" w:hAnsi="Times New Roman" w:cs="Times New Roman"/>
                <w:sz w:val="24"/>
              </w:rPr>
              <w:t>Гендер</w:t>
            </w:r>
            <w:r>
              <w:t xml:space="preserve"> </w:t>
            </w:r>
          </w:p>
        </w:tc>
        <w:tc>
          <w:tcPr>
            <w:tcW w:w="1272" w:type="dxa"/>
            <w:vMerge w:val="restart"/>
            <w:tcBorders>
              <w:top w:val="single" w:sz="4" w:space="0" w:color="000000"/>
              <w:left w:val="single" w:sz="4" w:space="0" w:color="000000"/>
              <w:bottom w:val="single" w:sz="4" w:space="0" w:color="000000"/>
              <w:right w:val="single" w:sz="4" w:space="0" w:color="000000"/>
            </w:tcBorders>
          </w:tcPr>
          <w:p w:rsidR="0052701D" w:rsidRDefault="00D40929">
            <w:pPr>
              <w:spacing w:after="0"/>
              <w:ind w:left="115"/>
            </w:pPr>
            <w:r>
              <w:rPr>
                <w:rFonts w:ascii="Times New Roman" w:eastAsia="Times New Roman" w:hAnsi="Times New Roman" w:cs="Times New Roman"/>
                <w:sz w:val="24"/>
              </w:rPr>
              <w:t>Среднее</w:t>
            </w:r>
            <w:r>
              <w:t xml:space="preserve"> </w:t>
            </w:r>
          </w:p>
        </w:tc>
        <w:tc>
          <w:tcPr>
            <w:tcW w:w="1124" w:type="dxa"/>
            <w:vMerge w:val="restart"/>
            <w:tcBorders>
              <w:top w:val="single" w:sz="4" w:space="0" w:color="000000"/>
              <w:left w:val="single" w:sz="4" w:space="0" w:color="000000"/>
              <w:bottom w:val="single" w:sz="4" w:space="0" w:color="000000"/>
              <w:right w:val="single" w:sz="4" w:space="0" w:color="000000"/>
            </w:tcBorders>
          </w:tcPr>
          <w:p w:rsidR="0052701D" w:rsidRDefault="00D40929">
            <w:pPr>
              <w:spacing w:after="0"/>
              <w:ind w:left="30"/>
              <w:jc w:val="center"/>
            </w:pPr>
            <w:r>
              <w:rPr>
                <w:rFonts w:ascii="Times New Roman" w:eastAsia="Times New Roman" w:hAnsi="Times New Roman" w:cs="Times New Roman"/>
                <w:sz w:val="24"/>
              </w:rPr>
              <w:t xml:space="preserve">Стд. </w:t>
            </w:r>
          </w:p>
          <w:p w:rsidR="0052701D" w:rsidRDefault="00D40929">
            <w:pPr>
              <w:spacing w:after="0"/>
              <w:ind w:left="90" w:right="52"/>
              <w:jc w:val="center"/>
            </w:pPr>
            <w:r>
              <w:rPr>
                <w:rFonts w:ascii="Times New Roman" w:eastAsia="Times New Roman" w:hAnsi="Times New Roman" w:cs="Times New Roman"/>
                <w:sz w:val="24"/>
              </w:rPr>
              <w:t>ошибк а</w:t>
            </w:r>
            <w:r>
              <w:t xml:space="preserve"> </w:t>
            </w:r>
          </w:p>
        </w:tc>
        <w:tc>
          <w:tcPr>
            <w:tcW w:w="2847" w:type="dxa"/>
            <w:gridSpan w:val="2"/>
            <w:tcBorders>
              <w:top w:val="single" w:sz="4" w:space="0" w:color="000000"/>
              <w:left w:val="single" w:sz="4" w:space="0" w:color="000000"/>
              <w:bottom w:val="single" w:sz="4" w:space="0" w:color="000000"/>
              <w:right w:val="single" w:sz="4" w:space="0" w:color="000000"/>
            </w:tcBorders>
          </w:tcPr>
          <w:p w:rsidR="0052701D" w:rsidRDefault="00D40929">
            <w:pPr>
              <w:spacing w:after="0"/>
              <w:jc w:val="center"/>
            </w:pPr>
            <w:r>
              <w:rPr>
                <w:rFonts w:ascii="Times New Roman" w:eastAsia="Times New Roman" w:hAnsi="Times New Roman" w:cs="Times New Roman"/>
                <w:sz w:val="24"/>
              </w:rPr>
              <w:t>95% доверительный интервал</w:t>
            </w:r>
            <w:r>
              <w:t xml:space="preserve"> </w:t>
            </w:r>
          </w:p>
        </w:tc>
      </w:tr>
      <w:tr w:rsidR="0052701D">
        <w:trPr>
          <w:trHeight w:val="720"/>
        </w:trPr>
        <w:tc>
          <w:tcPr>
            <w:tcW w:w="0" w:type="auto"/>
            <w:vMerge/>
            <w:tcBorders>
              <w:top w:val="nil"/>
              <w:left w:val="single" w:sz="4" w:space="0" w:color="000000"/>
              <w:bottom w:val="single" w:sz="4" w:space="0" w:color="000000"/>
              <w:right w:val="single" w:sz="4" w:space="0" w:color="000000"/>
            </w:tcBorders>
          </w:tcPr>
          <w:p w:rsidR="0052701D" w:rsidRDefault="0052701D"/>
        </w:tc>
        <w:tc>
          <w:tcPr>
            <w:tcW w:w="0" w:type="auto"/>
            <w:vMerge/>
            <w:tcBorders>
              <w:top w:val="nil"/>
              <w:left w:val="single" w:sz="4" w:space="0" w:color="000000"/>
              <w:bottom w:val="single" w:sz="4" w:space="0" w:color="000000"/>
              <w:right w:val="single" w:sz="4" w:space="0" w:color="000000"/>
            </w:tcBorders>
          </w:tcPr>
          <w:p w:rsidR="0052701D" w:rsidRDefault="0052701D"/>
        </w:tc>
        <w:tc>
          <w:tcPr>
            <w:tcW w:w="0" w:type="auto"/>
            <w:vMerge/>
            <w:tcBorders>
              <w:top w:val="nil"/>
              <w:left w:val="single" w:sz="4" w:space="0" w:color="000000"/>
              <w:bottom w:val="single" w:sz="4" w:space="0" w:color="000000"/>
              <w:right w:val="single" w:sz="4" w:space="0" w:color="000000"/>
            </w:tcBorders>
          </w:tcPr>
          <w:p w:rsidR="0052701D" w:rsidRDefault="0052701D"/>
        </w:tc>
        <w:tc>
          <w:tcPr>
            <w:tcW w:w="0" w:type="auto"/>
            <w:vMerge/>
            <w:tcBorders>
              <w:top w:val="nil"/>
              <w:left w:val="single" w:sz="4" w:space="0" w:color="000000"/>
              <w:bottom w:val="single" w:sz="4" w:space="0" w:color="000000"/>
              <w:right w:val="single" w:sz="4" w:space="0" w:color="000000"/>
            </w:tcBorders>
          </w:tcPr>
          <w:p w:rsidR="0052701D" w:rsidRDefault="0052701D"/>
        </w:tc>
        <w:tc>
          <w:tcPr>
            <w:tcW w:w="1316" w:type="dxa"/>
            <w:tcBorders>
              <w:top w:val="single" w:sz="4" w:space="0" w:color="000000"/>
              <w:left w:val="single" w:sz="4" w:space="0" w:color="000000"/>
              <w:bottom w:val="single" w:sz="4" w:space="0" w:color="000000"/>
              <w:right w:val="single" w:sz="4" w:space="0" w:color="000000"/>
            </w:tcBorders>
          </w:tcPr>
          <w:p w:rsidR="0052701D" w:rsidRDefault="00D40929">
            <w:pPr>
              <w:spacing w:after="0"/>
              <w:jc w:val="center"/>
            </w:pPr>
            <w:r>
              <w:rPr>
                <w:rFonts w:ascii="Times New Roman" w:eastAsia="Times New Roman" w:hAnsi="Times New Roman" w:cs="Times New Roman"/>
                <w:sz w:val="24"/>
              </w:rPr>
              <w:t>Нижняя граница</w:t>
            </w:r>
            <w:r>
              <w:t xml:space="preserve">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jc w:val="center"/>
            </w:pPr>
            <w:r>
              <w:rPr>
                <w:rFonts w:ascii="Times New Roman" w:eastAsia="Times New Roman" w:hAnsi="Times New Roman" w:cs="Times New Roman"/>
                <w:sz w:val="24"/>
              </w:rPr>
              <w:t>Верхняя граница</w:t>
            </w:r>
            <w:r>
              <w:t xml:space="preserve"> </w:t>
            </w:r>
          </w:p>
        </w:tc>
      </w:tr>
      <w:tr w:rsidR="0052701D">
        <w:trPr>
          <w:trHeight w:val="399"/>
        </w:trPr>
        <w:tc>
          <w:tcPr>
            <w:tcW w:w="261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38"/>
              <w:jc w:val="center"/>
            </w:pPr>
            <w:r>
              <w:rPr>
                <w:rFonts w:ascii="Times New Roman" w:eastAsia="Times New Roman" w:hAnsi="Times New Roman" w:cs="Times New Roman"/>
                <w:sz w:val="20"/>
              </w:rPr>
              <w:t>1</w:t>
            </w:r>
            <w:r>
              <w:rPr>
                <w:sz w:val="20"/>
              </w:rPr>
              <w:t xml:space="preserve"> </w:t>
            </w:r>
          </w:p>
        </w:tc>
        <w:tc>
          <w:tcPr>
            <w:tcW w:w="178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8"/>
              <w:jc w:val="center"/>
            </w:pPr>
            <w:r>
              <w:rPr>
                <w:rFonts w:ascii="Times New Roman" w:eastAsia="Times New Roman" w:hAnsi="Times New Roman" w:cs="Times New Roman"/>
                <w:sz w:val="20"/>
              </w:rPr>
              <w:t>2</w:t>
            </w:r>
            <w:r>
              <w:rPr>
                <w:sz w:val="20"/>
              </w:rPr>
              <w:t xml:space="preserve"> </w:t>
            </w:r>
          </w:p>
        </w:tc>
        <w:tc>
          <w:tcPr>
            <w:tcW w:w="12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8"/>
              <w:jc w:val="center"/>
            </w:pPr>
            <w:r>
              <w:rPr>
                <w:rFonts w:ascii="Times New Roman" w:eastAsia="Times New Roman" w:hAnsi="Times New Roman" w:cs="Times New Roman"/>
                <w:sz w:val="20"/>
              </w:rPr>
              <w:t>3</w:t>
            </w:r>
            <w:r>
              <w:rPr>
                <w:sz w:val="20"/>
              </w:rPr>
              <w:t xml:space="preserve"> </w:t>
            </w:r>
          </w:p>
        </w:tc>
        <w:tc>
          <w:tcPr>
            <w:tcW w:w="112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32"/>
              <w:jc w:val="center"/>
            </w:pPr>
            <w:r>
              <w:rPr>
                <w:rFonts w:ascii="Times New Roman" w:eastAsia="Times New Roman" w:hAnsi="Times New Roman" w:cs="Times New Roman"/>
                <w:sz w:val="20"/>
              </w:rPr>
              <w:t>4</w:t>
            </w:r>
            <w:r>
              <w:rPr>
                <w:sz w:val="20"/>
              </w:rPr>
              <w:t xml:space="preserve"> </w:t>
            </w:r>
          </w:p>
        </w:tc>
        <w:tc>
          <w:tcPr>
            <w:tcW w:w="13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33"/>
              <w:jc w:val="center"/>
            </w:pPr>
            <w:r>
              <w:rPr>
                <w:rFonts w:ascii="Times New Roman" w:eastAsia="Times New Roman" w:hAnsi="Times New Roman" w:cs="Times New Roman"/>
                <w:sz w:val="20"/>
              </w:rPr>
              <w:t>5</w:t>
            </w:r>
            <w:r>
              <w:rPr>
                <w:sz w:val="20"/>
              </w:rPr>
              <w:t xml:space="preserve">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38"/>
              <w:jc w:val="center"/>
            </w:pPr>
            <w:r>
              <w:rPr>
                <w:rFonts w:ascii="Times New Roman" w:eastAsia="Times New Roman" w:hAnsi="Times New Roman" w:cs="Times New Roman"/>
                <w:sz w:val="20"/>
              </w:rPr>
              <w:t>6</w:t>
            </w:r>
            <w:r>
              <w:rPr>
                <w:sz w:val="20"/>
              </w:rPr>
              <w:t xml:space="preserve"> </w:t>
            </w:r>
          </w:p>
        </w:tc>
      </w:tr>
      <w:tr w:rsidR="0052701D">
        <w:trPr>
          <w:trHeight w:val="446"/>
        </w:trPr>
        <w:tc>
          <w:tcPr>
            <w:tcW w:w="2617" w:type="dxa"/>
            <w:vMerge w:val="restart"/>
            <w:tcBorders>
              <w:top w:val="single" w:sz="4" w:space="0" w:color="000000"/>
              <w:left w:val="single" w:sz="4" w:space="0" w:color="000000"/>
              <w:bottom w:val="single" w:sz="4" w:space="0" w:color="000000"/>
              <w:right w:val="single" w:sz="4" w:space="0" w:color="000000"/>
            </w:tcBorders>
          </w:tcPr>
          <w:p w:rsidR="0052701D" w:rsidRDefault="00D40929">
            <w:pPr>
              <w:spacing w:after="0"/>
              <w:ind w:left="120"/>
            </w:pPr>
            <w:r>
              <w:rPr>
                <w:rFonts w:ascii="Times New Roman" w:eastAsia="Times New Roman" w:hAnsi="Times New Roman" w:cs="Times New Roman"/>
                <w:sz w:val="24"/>
              </w:rPr>
              <w:t>Самостоятельность Мысли</w:t>
            </w:r>
            <w:r>
              <w:t xml:space="preserve"> </w:t>
            </w:r>
          </w:p>
        </w:tc>
        <w:tc>
          <w:tcPr>
            <w:tcW w:w="178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20"/>
            </w:pPr>
            <w:r>
              <w:rPr>
                <w:rFonts w:ascii="Times New Roman" w:eastAsia="Times New Roman" w:hAnsi="Times New Roman" w:cs="Times New Roman"/>
                <w:sz w:val="24"/>
              </w:rPr>
              <w:t>женщины</w:t>
            </w:r>
            <w:r>
              <w:t xml:space="preserve"> </w:t>
            </w:r>
          </w:p>
        </w:tc>
        <w:tc>
          <w:tcPr>
            <w:tcW w:w="12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32"/>
              <w:jc w:val="center"/>
            </w:pPr>
            <w:r>
              <w:rPr>
                <w:rFonts w:ascii="Times New Roman" w:eastAsia="Times New Roman" w:hAnsi="Times New Roman" w:cs="Times New Roman"/>
                <w:sz w:val="24"/>
              </w:rPr>
              <w:t>4,98</w:t>
            </w:r>
            <w:r>
              <w:t xml:space="preserve"> </w:t>
            </w:r>
          </w:p>
        </w:tc>
        <w:tc>
          <w:tcPr>
            <w:tcW w:w="112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42"/>
              <w:jc w:val="center"/>
            </w:pPr>
            <w:r>
              <w:rPr>
                <w:rFonts w:ascii="Times New Roman" w:eastAsia="Times New Roman" w:hAnsi="Times New Roman" w:cs="Times New Roman"/>
                <w:sz w:val="24"/>
              </w:rPr>
              <w:t>,05</w:t>
            </w:r>
            <w:r>
              <w:t xml:space="preserve"> </w:t>
            </w:r>
          </w:p>
        </w:tc>
        <w:tc>
          <w:tcPr>
            <w:tcW w:w="13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32"/>
              <w:jc w:val="center"/>
            </w:pPr>
            <w:r>
              <w:rPr>
                <w:rFonts w:ascii="Times New Roman" w:eastAsia="Times New Roman" w:hAnsi="Times New Roman" w:cs="Times New Roman"/>
                <w:sz w:val="24"/>
              </w:rPr>
              <w:t>4,8</w:t>
            </w:r>
            <w:r>
              <w:t xml:space="preserve">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38"/>
              <w:jc w:val="center"/>
            </w:pPr>
            <w:r>
              <w:rPr>
                <w:rFonts w:ascii="Times New Roman" w:eastAsia="Times New Roman" w:hAnsi="Times New Roman" w:cs="Times New Roman"/>
                <w:sz w:val="24"/>
              </w:rPr>
              <w:t>5</w:t>
            </w:r>
            <w:r>
              <w:t xml:space="preserve"> </w:t>
            </w:r>
          </w:p>
        </w:tc>
      </w:tr>
      <w:tr w:rsidR="0052701D">
        <w:trPr>
          <w:trHeight w:val="446"/>
        </w:trPr>
        <w:tc>
          <w:tcPr>
            <w:tcW w:w="0" w:type="auto"/>
            <w:vMerge/>
            <w:tcBorders>
              <w:top w:val="nil"/>
              <w:left w:val="single" w:sz="4" w:space="0" w:color="000000"/>
              <w:bottom w:val="single" w:sz="4" w:space="0" w:color="000000"/>
              <w:right w:val="single" w:sz="4" w:space="0" w:color="000000"/>
            </w:tcBorders>
          </w:tcPr>
          <w:p w:rsidR="0052701D" w:rsidRDefault="0052701D"/>
        </w:tc>
        <w:tc>
          <w:tcPr>
            <w:tcW w:w="1782"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 мужчины</w:t>
            </w:r>
            <w:r>
              <w:t xml:space="preserve"> </w:t>
            </w:r>
          </w:p>
        </w:tc>
        <w:tc>
          <w:tcPr>
            <w:tcW w:w="12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32"/>
              <w:jc w:val="center"/>
            </w:pPr>
            <w:r>
              <w:rPr>
                <w:rFonts w:ascii="Times New Roman" w:eastAsia="Times New Roman" w:hAnsi="Times New Roman" w:cs="Times New Roman"/>
                <w:sz w:val="24"/>
              </w:rPr>
              <w:t>4,86</w:t>
            </w:r>
            <w:r>
              <w:t xml:space="preserve"> </w:t>
            </w:r>
          </w:p>
        </w:tc>
        <w:tc>
          <w:tcPr>
            <w:tcW w:w="112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42"/>
              <w:jc w:val="center"/>
            </w:pPr>
            <w:r>
              <w:rPr>
                <w:rFonts w:ascii="Times New Roman" w:eastAsia="Times New Roman" w:hAnsi="Times New Roman" w:cs="Times New Roman"/>
                <w:sz w:val="24"/>
              </w:rPr>
              <w:t>,07</w:t>
            </w:r>
            <w:r>
              <w:t xml:space="preserve"> </w:t>
            </w:r>
          </w:p>
        </w:tc>
        <w:tc>
          <w:tcPr>
            <w:tcW w:w="13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32"/>
              <w:jc w:val="center"/>
            </w:pPr>
            <w:r>
              <w:rPr>
                <w:rFonts w:ascii="Times New Roman" w:eastAsia="Times New Roman" w:hAnsi="Times New Roman" w:cs="Times New Roman"/>
                <w:sz w:val="24"/>
              </w:rPr>
              <w:t>4,7</w:t>
            </w:r>
            <w:r>
              <w:t xml:space="preserve">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38"/>
              <w:jc w:val="center"/>
            </w:pPr>
            <w:r>
              <w:rPr>
                <w:rFonts w:ascii="Times New Roman" w:eastAsia="Times New Roman" w:hAnsi="Times New Roman" w:cs="Times New Roman"/>
                <w:sz w:val="24"/>
              </w:rPr>
              <w:t>5</w:t>
            </w:r>
            <w:r>
              <w:t xml:space="preserve"> </w:t>
            </w:r>
          </w:p>
        </w:tc>
      </w:tr>
      <w:tr w:rsidR="0052701D">
        <w:trPr>
          <w:trHeight w:val="504"/>
        </w:trPr>
        <w:tc>
          <w:tcPr>
            <w:tcW w:w="2617" w:type="dxa"/>
            <w:vMerge w:val="restart"/>
            <w:tcBorders>
              <w:top w:val="single" w:sz="4" w:space="0" w:color="000000"/>
              <w:left w:val="single" w:sz="4" w:space="0" w:color="000000"/>
              <w:bottom w:val="single" w:sz="4" w:space="0" w:color="000000"/>
              <w:right w:val="single" w:sz="4" w:space="0" w:color="000000"/>
            </w:tcBorders>
          </w:tcPr>
          <w:p w:rsidR="0052701D" w:rsidRDefault="00D40929">
            <w:pPr>
              <w:spacing w:after="0"/>
              <w:ind w:left="120"/>
            </w:pPr>
            <w:r>
              <w:rPr>
                <w:rFonts w:ascii="Times New Roman" w:eastAsia="Times New Roman" w:hAnsi="Times New Roman" w:cs="Times New Roman"/>
                <w:sz w:val="24"/>
              </w:rPr>
              <w:t>СамостоятельностьПоступки</w:t>
            </w:r>
            <w:r>
              <w:t xml:space="preserve"> </w:t>
            </w:r>
          </w:p>
        </w:tc>
        <w:tc>
          <w:tcPr>
            <w:tcW w:w="1782"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120"/>
            </w:pPr>
            <w:r>
              <w:rPr>
                <w:rFonts w:ascii="Times New Roman" w:eastAsia="Times New Roman" w:hAnsi="Times New Roman" w:cs="Times New Roman"/>
                <w:sz w:val="24"/>
              </w:rPr>
              <w:t>женщины</w:t>
            </w:r>
            <w:r>
              <w:t xml:space="preserve"> </w:t>
            </w:r>
          </w:p>
        </w:tc>
        <w:tc>
          <w:tcPr>
            <w:tcW w:w="12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32"/>
              <w:jc w:val="center"/>
            </w:pPr>
            <w:r>
              <w:rPr>
                <w:rFonts w:ascii="Times New Roman" w:eastAsia="Times New Roman" w:hAnsi="Times New Roman" w:cs="Times New Roman"/>
                <w:sz w:val="24"/>
              </w:rPr>
              <w:t>4,93</w:t>
            </w:r>
            <w:r>
              <w:t xml:space="preserve"> </w:t>
            </w:r>
          </w:p>
        </w:tc>
        <w:tc>
          <w:tcPr>
            <w:tcW w:w="112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42"/>
              <w:jc w:val="center"/>
            </w:pPr>
            <w:r>
              <w:rPr>
                <w:rFonts w:ascii="Times New Roman" w:eastAsia="Times New Roman" w:hAnsi="Times New Roman" w:cs="Times New Roman"/>
                <w:sz w:val="24"/>
              </w:rPr>
              <w:t>,06</w:t>
            </w:r>
            <w:r>
              <w:t xml:space="preserve"> </w:t>
            </w:r>
          </w:p>
        </w:tc>
        <w:tc>
          <w:tcPr>
            <w:tcW w:w="13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32"/>
              <w:jc w:val="center"/>
            </w:pPr>
            <w:r>
              <w:rPr>
                <w:rFonts w:ascii="Times New Roman" w:eastAsia="Times New Roman" w:hAnsi="Times New Roman" w:cs="Times New Roman"/>
                <w:sz w:val="24"/>
              </w:rPr>
              <w:t>4,8</w:t>
            </w:r>
            <w:r>
              <w:t xml:space="preserve"> </w:t>
            </w:r>
          </w:p>
        </w:tc>
        <w:tc>
          <w:tcPr>
            <w:tcW w:w="1532"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38"/>
              <w:jc w:val="center"/>
            </w:pPr>
            <w:r>
              <w:rPr>
                <w:rFonts w:ascii="Times New Roman" w:eastAsia="Times New Roman" w:hAnsi="Times New Roman" w:cs="Times New Roman"/>
                <w:sz w:val="24"/>
              </w:rPr>
              <w:t>5</w:t>
            </w:r>
            <w:r>
              <w:t xml:space="preserve"> </w:t>
            </w:r>
          </w:p>
        </w:tc>
      </w:tr>
      <w:tr w:rsidR="0052701D">
        <w:trPr>
          <w:trHeight w:val="471"/>
        </w:trPr>
        <w:tc>
          <w:tcPr>
            <w:tcW w:w="0" w:type="auto"/>
            <w:vMerge/>
            <w:tcBorders>
              <w:top w:val="nil"/>
              <w:left w:val="single" w:sz="4" w:space="0" w:color="000000"/>
              <w:bottom w:val="single" w:sz="4" w:space="0" w:color="000000"/>
              <w:right w:val="single" w:sz="4" w:space="0" w:color="000000"/>
            </w:tcBorders>
          </w:tcPr>
          <w:p w:rsidR="0052701D" w:rsidRDefault="0052701D"/>
        </w:tc>
        <w:tc>
          <w:tcPr>
            <w:tcW w:w="1782"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pPr>
            <w:r>
              <w:rPr>
                <w:rFonts w:ascii="Times New Roman" w:eastAsia="Times New Roman" w:hAnsi="Times New Roman" w:cs="Times New Roman"/>
                <w:sz w:val="24"/>
              </w:rPr>
              <w:t xml:space="preserve"> мужчины</w:t>
            </w:r>
            <w:r>
              <w:t xml:space="preserve"> </w:t>
            </w:r>
          </w:p>
        </w:tc>
        <w:tc>
          <w:tcPr>
            <w:tcW w:w="12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32"/>
              <w:jc w:val="center"/>
            </w:pPr>
            <w:r>
              <w:rPr>
                <w:rFonts w:ascii="Times New Roman" w:eastAsia="Times New Roman" w:hAnsi="Times New Roman" w:cs="Times New Roman"/>
                <w:sz w:val="24"/>
              </w:rPr>
              <w:t>4,77</w:t>
            </w:r>
            <w:r>
              <w:t xml:space="preserve"> </w:t>
            </w:r>
          </w:p>
        </w:tc>
        <w:tc>
          <w:tcPr>
            <w:tcW w:w="112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42"/>
              <w:jc w:val="center"/>
            </w:pPr>
            <w:r>
              <w:rPr>
                <w:rFonts w:ascii="Times New Roman" w:eastAsia="Times New Roman" w:hAnsi="Times New Roman" w:cs="Times New Roman"/>
                <w:sz w:val="24"/>
              </w:rPr>
              <w:t>,09</w:t>
            </w:r>
            <w:r>
              <w:t xml:space="preserve"> </w:t>
            </w:r>
          </w:p>
        </w:tc>
        <w:tc>
          <w:tcPr>
            <w:tcW w:w="13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32"/>
              <w:jc w:val="center"/>
            </w:pPr>
            <w:r>
              <w:rPr>
                <w:rFonts w:ascii="Times New Roman" w:eastAsia="Times New Roman" w:hAnsi="Times New Roman" w:cs="Times New Roman"/>
                <w:sz w:val="24"/>
              </w:rPr>
              <w:t>4,5</w:t>
            </w:r>
            <w:r>
              <w:t xml:space="preserve">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37"/>
              <w:jc w:val="center"/>
            </w:pPr>
            <w:r>
              <w:rPr>
                <w:rFonts w:ascii="Times New Roman" w:eastAsia="Times New Roman" w:hAnsi="Times New Roman" w:cs="Times New Roman"/>
                <w:sz w:val="24"/>
              </w:rPr>
              <w:t>4,9</w:t>
            </w:r>
            <w:r>
              <w:t xml:space="preserve"> </w:t>
            </w:r>
          </w:p>
        </w:tc>
      </w:tr>
    </w:tbl>
    <w:p w:rsidR="0052701D" w:rsidRDefault="0052701D">
      <w:pPr>
        <w:spacing w:after="0"/>
        <w:ind w:left="-1416" w:right="11124"/>
      </w:pPr>
    </w:p>
    <w:tbl>
      <w:tblPr>
        <w:tblStyle w:val="TableGrid"/>
        <w:tblW w:w="9642" w:type="dxa"/>
        <w:tblInd w:w="221" w:type="dxa"/>
        <w:tblCellMar>
          <w:top w:w="89" w:type="dxa"/>
          <w:left w:w="82" w:type="dxa"/>
          <w:bottom w:w="0" w:type="dxa"/>
          <w:right w:w="132" w:type="dxa"/>
        </w:tblCellMar>
        <w:tblLook w:val="04A0" w:firstRow="1" w:lastRow="0" w:firstColumn="1" w:lastColumn="0" w:noHBand="0" w:noVBand="1"/>
      </w:tblPr>
      <w:tblGrid>
        <w:gridCol w:w="2649"/>
        <w:gridCol w:w="1777"/>
        <w:gridCol w:w="1266"/>
        <w:gridCol w:w="1119"/>
        <w:gridCol w:w="1309"/>
        <w:gridCol w:w="1522"/>
      </w:tblGrid>
      <w:tr w:rsidR="0052701D">
        <w:trPr>
          <w:trHeight w:val="446"/>
        </w:trPr>
        <w:tc>
          <w:tcPr>
            <w:tcW w:w="2617" w:type="dxa"/>
            <w:vMerge w:val="restart"/>
            <w:tcBorders>
              <w:top w:val="single" w:sz="4" w:space="0" w:color="000000"/>
              <w:left w:val="single" w:sz="4" w:space="0" w:color="000000"/>
              <w:bottom w:val="single" w:sz="4" w:space="0" w:color="000000"/>
              <w:right w:val="single" w:sz="4" w:space="0" w:color="000000"/>
            </w:tcBorders>
          </w:tcPr>
          <w:p w:rsidR="0052701D" w:rsidRDefault="00D40929">
            <w:pPr>
              <w:spacing w:after="0"/>
              <w:ind w:left="125"/>
            </w:pPr>
            <w:r>
              <w:rPr>
                <w:rFonts w:ascii="Times New Roman" w:eastAsia="Times New Roman" w:hAnsi="Times New Roman" w:cs="Times New Roman"/>
                <w:sz w:val="24"/>
              </w:rPr>
              <w:t>Гедонизм</w:t>
            </w:r>
            <w:r>
              <w:t xml:space="preserve"> </w:t>
            </w:r>
          </w:p>
        </w:tc>
        <w:tc>
          <w:tcPr>
            <w:tcW w:w="178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25"/>
            </w:pPr>
            <w:r>
              <w:rPr>
                <w:rFonts w:ascii="Times New Roman" w:eastAsia="Times New Roman" w:hAnsi="Times New Roman" w:cs="Times New Roman"/>
                <w:sz w:val="24"/>
              </w:rPr>
              <w:t>женщины</w:t>
            </w:r>
            <w:r>
              <w:t xml:space="preserve"> </w:t>
            </w:r>
          </w:p>
        </w:tc>
        <w:tc>
          <w:tcPr>
            <w:tcW w:w="12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4,48</w:t>
            </w:r>
            <w:r>
              <w:t xml:space="preserve"> </w:t>
            </w:r>
          </w:p>
        </w:tc>
        <w:tc>
          <w:tcPr>
            <w:tcW w:w="112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64"/>
              <w:jc w:val="center"/>
            </w:pPr>
            <w:r>
              <w:rPr>
                <w:rFonts w:ascii="Times New Roman" w:eastAsia="Times New Roman" w:hAnsi="Times New Roman" w:cs="Times New Roman"/>
                <w:sz w:val="24"/>
              </w:rPr>
              <w:t>,07</w:t>
            </w:r>
            <w:r>
              <w:t xml:space="preserve"> </w:t>
            </w:r>
          </w:p>
        </w:tc>
        <w:tc>
          <w:tcPr>
            <w:tcW w:w="13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4,3</w:t>
            </w:r>
            <w:r>
              <w:t xml:space="preserve">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9"/>
              <w:jc w:val="center"/>
            </w:pPr>
            <w:r>
              <w:rPr>
                <w:rFonts w:ascii="Times New Roman" w:eastAsia="Times New Roman" w:hAnsi="Times New Roman" w:cs="Times New Roman"/>
                <w:sz w:val="24"/>
              </w:rPr>
              <w:t>4,6</w:t>
            </w:r>
            <w:r>
              <w:t xml:space="preserve"> </w:t>
            </w:r>
          </w:p>
        </w:tc>
      </w:tr>
      <w:tr w:rsidR="0052701D">
        <w:trPr>
          <w:trHeight w:val="470"/>
        </w:trPr>
        <w:tc>
          <w:tcPr>
            <w:tcW w:w="0" w:type="auto"/>
            <w:vMerge/>
            <w:tcBorders>
              <w:top w:val="nil"/>
              <w:left w:val="single" w:sz="4" w:space="0" w:color="000000"/>
              <w:bottom w:val="single" w:sz="4" w:space="0" w:color="000000"/>
              <w:right w:val="single" w:sz="4" w:space="0" w:color="000000"/>
            </w:tcBorders>
          </w:tcPr>
          <w:p w:rsidR="0052701D" w:rsidRDefault="0052701D"/>
        </w:tc>
        <w:tc>
          <w:tcPr>
            <w:tcW w:w="1782"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5"/>
            </w:pPr>
            <w:r>
              <w:rPr>
                <w:rFonts w:ascii="Times New Roman" w:eastAsia="Times New Roman" w:hAnsi="Times New Roman" w:cs="Times New Roman"/>
                <w:sz w:val="24"/>
              </w:rPr>
              <w:t xml:space="preserve"> мужчины</w:t>
            </w:r>
            <w:r>
              <w:t xml:space="preserve"> </w:t>
            </w:r>
          </w:p>
        </w:tc>
        <w:tc>
          <w:tcPr>
            <w:tcW w:w="12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4,43</w:t>
            </w:r>
            <w:r>
              <w:t xml:space="preserve"> </w:t>
            </w:r>
          </w:p>
        </w:tc>
        <w:tc>
          <w:tcPr>
            <w:tcW w:w="112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64"/>
              <w:jc w:val="center"/>
            </w:pPr>
            <w:r>
              <w:rPr>
                <w:rFonts w:ascii="Times New Roman" w:eastAsia="Times New Roman" w:hAnsi="Times New Roman" w:cs="Times New Roman"/>
                <w:sz w:val="24"/>
              </w:rPr>
              <w:t>,09</w:t>
            </w:r>
            <w:r>
              <w:t xml:space="preserve"> </w:t>
            </w:r>
          </w:p>
        </w:tc>
        <w:tc>
          <w:tcPr>
            <w:tcW w:w="13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4,2</w:t>
            </w:r>
            <w:r>
              <w:t xml:space="preserve">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9"/>
              <w:jc w:val="center"/>
            </w:pPr>
            <w:r>
              <w:rPr>
                <w:rFonts w:ascii="Times New Roman" w:eastAsia="Times New Roman" w:hAnsi="Times New Roman" w:cs="Times New Roman"/>
                <w:sz w:val="24"/>
              </w:rPr>
              <w:t>4,6</w:t>
            </w:r>
            <w:r>
              <w:t xml:space="preserve"> </w:t>
            </w:r>
          </w:p>
        </w:tc>
      </w:tr>
      <w:tr w:rsidR="0052701D">
        <w:trPr>
          <w:trHeight w:val="470"/>
        </w:trPr>
        <w:tc>
          <w:tcPr>
            <w:tcW w:w="2617" w:type="dxa"/>
            <w:vMerge w:val="restart"/>
            <w:tcBorders>
              <w:top w:val="single" w:sz="4" w:space="0" w:color="000000"/>
              <w:left w:val="single" w:sz="4" w:space="0" w:color="000000"/>
              <w:bottom w:val="single" w:sz="4" w:space="0" w:color="000000"/>
              <w:right w:val="single" w:sz="4" w:space="0" w:color="000000"/>
            </w:tcBorders>
          </w:tcPr>
          <w:p w:rsidR="0052701D" w:rsidRDefault="00D40929">
            <w:pPr>
              <w:spacing w:after="0"/>
              <w:ind w:left="125"/>
            </w:pPr>
            <w:r>
              <w:rPr>
                <w:rFonts w:ascii="Times New Roman" w:eastAsia="Times New Roman" w:hAnsi="Times New Roman" w:cs="Times New Roman"/>
                <w:sz w:val="24"/>
              </w:rPr>
              <w:t xml:space="preserve">Стимуляция </w:t>
            </w:r>
            <w:r>
              <w:t xml:space="preserve"> </w:t>
            </w:r>
          </w:p>
        </w:tc>
        <w:tc>
          <w:tcPr>
            <w:tcW w:w="1782"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125"/>
            </w:pPr>
            <w:r>
              <w:rPr>
                <w:rFonts w:ascii="Times New Roman" w:eastAsia="Times New Roman" w:hAnsi="Times New Roman" w:cs="Times New Roman"/>
                <w:sz w:val="24"/>
              </w:rPr>
              <w:t>женщины</w:t>
            </w:r>
            <w:r>
              <w:t xml:space="preserve"> </w:t>
            </w:r>
          </w:p>
        </w:tc>
        <w:tc>
          <w:tcPr>
            <w:tcW w:w="12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4,43</w:t>
            </w:r>
            <w:r>
              <w:t xml:space="preserve"> </w:t>
            </w:r>
          </w:p>
        </w:tc>
        <w:tc>
          <w:tcPr>
            <w:tcW w:w="112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64"/>
              <w:jc w:val="center"/>
            </w:pPr>
            <w:r>
              <w:rPr>
                <w:rFonts w:ascii="Times New Roman" w:eastAsia="Times New Roman" w:hAnsi="Times New Roman" w:cs="Times New Roman"/>
                <w:sz w:val="24"/>
              </w:rPr>
              <w:t>,06</w:t>
            </w:r>
            <w:r>
              <w:t xml:space="preserve"> </w:t>
            </w:r>
          </w:p>
        </w:tc>
        <w:tc>
          <w:tcPr>
            <w:tcW w:w="13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4,3</w:t>
            </w:r>
            <w:r>
              <w:t xml:space="preserve">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9"/>
              <w:jc w:val="center"/>
            </w:pPr>
            <w:r>
              <w:rPr>
                <w:rFonts w:ascii="Times New Roman" w:eastAsia="Times New Roman" w:hAnsi="Times New Roman" w:cs="Times New Roman"/>
                <w:sz w:val="24"/>
              </w:rPr>
              <w:t>4,5</w:t>
            </w:r>
            <w:r>
              <w:t xml:space="preserve"> </w:t>
            </w:r>
          </w:p>
        </w:tc>
      </w:tr>
      <w:tr w:rsidR="0052701D">
        <w:trPr>
          <w:trHeight w:val="466"/>
        </w:trPr>
        <w:tc>
          <w:tcPr>
            <w:tcW w:w="0" w:type="auto"/>
            <w:vMerge/>
            <w:tcBorders>
              <w:top w:val="nil"/>
              <w:left w:val="single" w:sz="4" w:space="0" w:color="000000"/>
              <w:bottom w:val="single" w:sz="4" w:space="0" w:color="000000"/>
              <w:right w:val="single" w:sz="4" w:space="0" w:color="000000"/>
            </w:tcBorders>
          </w:tcPr>
          <w:p w:rsidR="0052701D" w:rsidRDefault="0052701D"/>
        </w:tc>
        <w:tc>
          <w:tcPr>
            <w:tcW w:w="1782"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5"/>
            </w:pPr>
            <w:r>
              <w:rPr>
                <w:rFonts w:ascii="Times New Roman" w:eastAsia="Times New Roman" w:hAnsi="Times New Roman" w:cs="Times New Roman"/>
                <w:sz w:val="24"/>
              </w:rPr>
              <w:t xml:space="preserve"> мужчины</w:t>
            </w:r>
            <w:r>
              <w:t xml:space="preserve"> </w:t>
            </w:r>
          </w:p>
        </w:tc>
        <w:tc>
          <w:tcPr>
            <w:tcW w:w="12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4,11</w:t>
            </w:r>
            <w:r>
              <w:t xml:space="preserve"> </w:t>
            </w:r>
          </w:p>
        </w:tc>
        <w:tc>
          <w:tcPr>
            <w:tcW w:w="112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64"/>
              <w:jc w:val="center"/>
            </w:pPr>
            <w:r>
              <w:rPr>
                <w:rFonts w:ascii="Times New Roman" w:eastAsia="Times New Roman" w:hAnsi="Times New Roman" w:cs="Times New Roman"/>
                <w:sz w:val="24"/>
              </w:rPr>
              <w:t>,08</w:t>
            </w:r>
            <w:r>
              <w:t xml:space="preserve"> </w:t>
            </w:r>
          </w:p>
        </w:tc>
        <w:tc>
          <w:tcPr>
            <w:tcW w:w="13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3,9</w:t>
            </w:r>
            <w:r>
              <w:t xml:space="preserve">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9"/>
              <w:jc w:val="center"/>
            </w:pPr>
            <w:r>
              <w:rPr>
                <w:rFonts w:ascii="Times New Roman" w:eastAsia="Times New Roman" w:hAnsi="Times New Roman" w:cs="Times New Roman"/>
                <w:sz w:val="24"/>
              </w:rPr>
              <w:t>4,2</w:t>
            </w:r>
            <w:r>
              <w:t xml:space="preserve"> </w:t>
            </w:r>
          </w:p>
        </w:tc>
      </w:tr>
      <w:tr w:rsidR="0052701D">
        <w:trPr>
          <w:trHeight w:val="470"/>
        </w:trPr>
        <w:tc>
          <w:tcPr>
            <w:tcW w:w="2617" w:type="dxa"/>
            <w:vMerge w:val="restart"/>
            <w:tcBorders>
              <w:top w:val="single" w:sz="4" w:space="0" w:color="000000"/>
              <w:left w:val="single" w:sz="4" w:space="0" w:color="000000"/>
              <w:bottom w:val="single" w:sz="4" w:space="0" w:color="000000"/>
              <w:right w:val="single" w:sz="4" w:space="0" w:color="000000"/>
            </w:tcBorders>
          </w:tcPr>
          <w:p w:rsidR="0052701D" w:rsidRDefault="00D40929">
            <w:pPr>
              <w:spacing w:after="0"/>
              <w:ind w:left="125"/>
            </w:pPr>
            <w:r>
              <w:rPr>
                <w:rFonts w:ascii="Times New Roman" w:eastAsia="Times New Roman" w:hAnsi="Times New Roman" w:cs="Times New Roman"/>
                <w:sz w:val="24"/>
              </w:rPr>
              <w:t>Достижение</w:t>
            </w:r>
            <w:r>
              <w:t xml:space="preserve"> </w:t>
            </w:r>
          </w:p>
        </w:tc>
        <w:tc>
          <w:tcPr>
            <w:tcW w:w="1782"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125"/>
            </w:pPr>
            <w:r>
              <w:rPr>
                <w:rFonts w:ascii="Times New Roman" w:eastAsia="Times New Roman" w:hAnsi="Times New Roman" w:cs="Times New Roman"/>
                <w:sz w:val="24"/>
              </w:rPr>
              <w:t>женщины</w:t>
            </w:r>
            <w:r>
              <w:t xml:space="preserve"> </w:t>
            </w:r>
          </w:p>
        </w:tc>
        <w:tc>
          <w:tcPr>
            <w:tcW w:w="12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4,66</w:t>
            </w:r>
            <w:r>
              <w:t xml:space="preserve"> </w:t>
            </w:r>
          </w:p>
        </w:tc>
        <w:tc>
          <w:tcPr>
            <w:tcW w:w="112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64"/>
              <w:jc w:val="center"/>
            </w:pPr>
            <w:r>
              <w:rPr>
                <w:rFonts w:ascii="Times New Roman" w:eastAsia="Times New Roman" w:hAnsi="Times New Roman" w:cs="Times New Roman"/>
                <w:sz w:val="24"/>
              </w:rPr>
              <w:t>,07</w:t>
            </w:r>
            <w:r>
              <w:t xml:space="preserve"> </w:t>
            </w:r>
          </w:p>
        </w:tc>
        <w:tc>
          <w:tcPr>
            <w:tcW w:w="13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4,5</w:t>
            </w:r>
            <w:r>
              <w:t xml:space="preserve">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9"/>
              <w:jc w:val="center"/>
            </w:pPr>
            <w:r>
              <w:rPr>
                <w:rFonts w:ascii="Times New Roman" w:eastAsia="Times New Roman" w:hAnsi="Times New Roman" w:cs="Times New Roman"/>
                <w:sz w:val="24"/>
              </w:rPr>
              <w:t>4,8</w:t>
            </w:r>
            <w:r>
              <w:t xml:space="preserve"> </w:t>
            </w:r>
          </w:p>
        </w:tc>
      </w:tr>
      <w:tr w:rsidR="0052701D">
        <w:trPr>
          <w:trHeight w:val="470"/>
        </w:trPr>
        <w:tc>
          <w:tcPr>
            <w:tcW w:w="0" w:type="auto"/>
            <w:vMerge/>
            <w:tcBorders>
              <w:top w:val="nil"/>
              <w:left w:val="single" w:sz="4" w:space="0" w:color="000000"/>
              <w:bottom w:val="single" w:sz="4" w:space="0" w:color="000000"/>
              <w:right w:val="single" w:sz="4" w:space="0" w:color="000000"/>
            </w:tcBorders>
            <w:vAlign w:val="bottom"/>
          </w:tcPr>
          <w:p w:rsidR="0052701D" w:rsidRDefault="0052701D"/>
        </w:tc>
        <w:tc>
          <w:tcPr>
            <w:tcW w:w="1782"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5"/>
            </w:pPr>
            <w:r>
              <w:rPr>
                <w:rFonts w:ascii="Times New Roman" w:eastAsia="Times New Roman" w:hAnsi="Times New Roman" w:cs="Times New Roman"/>
                <w:sz w:val="24"/>
              </w:rPr>
              <w:t xml:space="preserve"> мужчины</w:t>
            </w:r>
            <w:r>
              <w:t xml:space="preserve"> </w:t>
            </w:r>
          </w:p>
        </w:tc>
        <w:tc>
          <w:tcPr>
            <w:tcW w:w="12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4,54</w:t>
            </w:r>
            <w:r>
              <w:t xml:space="preserve"> </w:t>
            </w:r>
          </w:p>
        </w:tc>
        <w:tc>
          <w:tcPr>
            <w:tcW w:w="112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64"/>
              <w:jc w:val="center"/>
            </w:pPr>
            <w:r>
              <w:rPr>
                <w:rFonts w:ascii="Times New Roman" w:eastAsia="Times New Roman" w:hAnsi="Times New Roman" w:cs="Times New Roman"/>
                <w:sz w:val="24"/>
              </w:rPr>
              <w:t>,09</w:t>
            </w:r>
            <w:r>
              <w:t xml:space="preserve"> </w:t>
            </w:r>
          </w:p>
        </w:tc>
        <w:tc>
          <w:tcPr>
            <w:tcW w:w="13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4,3</w:t>
            </w:r>
            <w:r>
              <w:t xml:space="preserve">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9"/>
              <w:jc w:val="center"/>
            </w:pPr>
            <w:r>
              <w:rPr>
                <w:rFonts w:ascii="Times New Roman" w:eastAsia="Times New Roman" w:hAnsi="Times New Roman" w:cs="Times New Roman"/>
                <w:sz w:val="24"/>
              </w:rPr>
              <w:t>4,7</w:t>
            </w:r>
            <w:r>
              <w:t xml:space="preserve"> </w:t>
            </w:r>
          </w:p>
        </w:tc>
      </w:tr>
      <w:tr w:rsidR="0052701D">
        <w:trPr>
          <w:trHeight w:val="471"/>
        </w:trPr>
        <w:tc>
          <w:tcPr>
            <w:tcW w:w="2617" w:type="dxa"/>
            <w:vMerge w:val="restart"/>
            <w:tcBorders>
              <w:top w:val="single" w:sz="4" w:space="0" w:color="000000"/>
              <w:left w:val="single" w:sz="4" w:space="0" w:color="000000"/>
              <w:bottom w:val="single" w:sz="4" w:space="0" w:color="000000"/>
              <w:right w:val="single" w:sz="4" w:space="0" w:color="000000"/>
            </w:tcBorders>
          </w:tcPr>
          <w:p w:rsidR="0052701D" w:rsidRDefault="00D40929">
            <w:pPr>
              <w:spacing w:after="0"/>
              <w:ind w:left="125"/>
            </w:pPr>
            <w:r>
              <w:rPr>
                <w:rFonts w:ascii="Times New Roman" w:eastAsia="Times New Roman" w:hAnsi="Times New Roman" w:cs="Times New Roman"/>
                <w:sz w:val="24"/>
              </w:rPr>
              <w:t xml:space="preserve">Властьдоминирование </w:t>
            </w:r>
            <w:r>
              <w:t xml:space="preserve"> </w:t>
            </w:r>
          </w:p>
        </w:tc>
        <w:tc>
          <w:tcPr>
            <w:tcW w:w="1782"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125"/>
            </w:pPr>
            <w:r>
              <w:rPr>
                <w:rFonts w:ascii="Times New Roman" w:eastAsia="Times New Roman" w:hAnsi="Times New Roman" w:cs="Times New Roman"/>
                <w:sz w:val="24"/>
              </w:rPr>
              <w:t>женщины</w:t>
            </w:r>
            <w:r>
              <w:t xml:space="preserve"> </w:t>
            </w:r>
          </w:p>
        </w:tc>
        <w:tc>
          <w:tcPr>
            <w:tcW w:w="12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3,42</w:t>
            </w:r>
            <w:r>
              <w:t xml:space="preserve"> </w:t>
            </w:r>
          </w:p>
        </w:tc>
        <w:tc>
          <w:tcPr>
            <w:tcW w:w="112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64"/>
              <w:jc w:val="center"/>
            </w:pPr>
            <w:r>
              <w:rPr>
                <w:rFonts w:ascii="Times New Roman" w:eastAsia="Times New Roman" w:hAnsi="Times New Roman" w:cs="Times New Roman"/>
                <w:sz w:val="24"/>
              </w:rPr>
              <w:t>,09</w:t>
            </w:r>
            <w:r>
              <w:t xml:space="preserve"> </w:t>
            </w:r>
          </w:p>
        </w:tc>
        <w:tc>
          <w:tcPr>
            <w:tcW w:w="13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3,2</w:t>
            </w:r>
            <w:r>
              <w:t xml:space="preserve">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9"/>
              <w:jc w:val="center"/>
            </w:pPr>
            <w:r>
              <w:rPr>
                <w:rFonts w:ascii="Times New Roman" w:eastAsia="Times New Roman" w:hAnsi="Times New Roman" w:cs="Times New Roman"/>
                <w:sz w:val="24"/>
              </w:rPr>
              <w:t>3,6</w:t>
            </w:r>
            <w:r>
              <w:t xml:space="preserve"> </w:t>
            </w:r>
          </w:p>
        </w:tc>
      </w:tr>
      <w:tr w:rsidR="0052701D">
        <w:trPr>
          <w:trHeight w:val="470"/>
        </w:trPr>
        <w:tc>
          <w:tcPr>
            <w:tcW w:w="0" w:type="auto"/>
            <w:vMerge/>
            <w:tcBorders>
              <w:top w:val="nil"/>
              <w:left w:val="single" w:sz="4" w:space="0" w:color="000000"/>
              <w:bottom w:val="single" w:sz="4" w:space="0" w:color="000000"/>
              <w:right w:val="single" w:sz="4" w:space="0" w:color="000000"/>
            </w:tcBorders>
          </w:tcPr>
          <w:p w:rsidR="0052701D" w:rsidRDefault="0052701D"/>
        </w:tc>
        <w:tc>
          <w:tcPr>
            <w:tcW w:w="1782"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5"/>
            </w:pPr>
            <w:r>
              <w:rPr>
                <w:rFonts w:ascii="Times New Roman" w:eastAsia="Times New Roman" w:hAnsi="Times New Roman" w:cs="Times New Roman"/>
                <w:sz w:val="24"/>
              </w:rPr>
              <w:t xml:space="preserve"> мужчины</w:t>
            </w:r>
            <w:r>
              <w:t xml:space="preserve"> </w:t>
            </w:r>
          </w:p>
        </w:tc>
        <w:tc>
          <w:tcPr>
            <w:tcW w:w="12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9"/>
              <w:jc w:val="center"/>
            </w:pPr>
            <w:r>
              <w:rPr>
                <w:rFonts w:ascii="Times New Roman" w:eastAsia="Times New Roman" w:hAnsi="Times New Roman" w:cs="Times New Roman"/>
                <w:sz w:val="24"/>
              </w:rPr>
              <w:t>3,5</w:t>
            </w:r>
            <w:r>
              <w:t xml:space="preserve"> </w:t>
            </w:r>
          </w:p>
        </w:tc>
        <w:tc>
          <w:tcPr>
            <w:tcW w:w="112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64"/>
              <w:jc w:val="center"/>
            </w:pPr>
            <w:r>
              <w:rPr>
                <w:rFonts w:ascii="Times New Roman" w:eastAsia="Times New Roman" w:hAnsi="Times New Roman" w:cs="Times New Roman"/>
                <w:sz w:val="24"/>
              </w:rPr>
              <w:t>,12</w:t>
            </w:r>
            <w:r>
              <w:t xml:space="preserve"> </w:t>
            </w:r>
          </w:p>
        </w:tc>
        <w:tc>
          <w:tcPr>
            <w:tcW w:w="13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3,2</w:t>
            </w:r>
            <w:r>
              <w:t xml:space="preserve">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9"/>
              <w:jc w:val="center"/>
            </w:pPr>
            <w:r>
              <w:rPr>
                <w:rFonts w:ascii="Times New Roman" w:eastAsia="Times New Roman" w:hAnsi="Times New Roman" w:cs="Times New Roman"/>
                <w:sz w:val="24"/>
              </w:rPr>
              <w:t>3,7</w:t>
            </w:r>
            <w:r>
              <w:t xml:space="preserve"> </w:t>
            </w:r>
          </w:p>
        </w:tc>
      </w:tr>
      <w:tr w:rsidR="0052701D">
        <w:trPr>
          <w:trHeight w:val="470"/>
        </w:trPr>
        <w:tc>
          <w:tcPr>
            <w:tcW w:w="2617" w:type="dxa"/>
            <w:vMerge w:val="restart"/>
            <w:tcBorders>
              <w:top w:val="single" w:sz="4" w:space="0" w:color="000000"/>
              <w:left w:val="single" w:sz="4" w:space="0" w:color="000000"/>
              <w:bottom w:val="single" w:sz="4" w:space="0" w:color="000000"/>
              <w:right w:val="single" w:sz="4" w:space="0" w:color="000000"/>
            </w:tcBorders>
          </w:tcPr>
          <w:p w:rsidR="0052701D" w:rsidRDefault="00D40929">
            <w:pPr>
              <w:spacing w:after="0"/>
              <w:ind w:left="125"/>
            </w:pPr>
            <w:r>
              <w:rPr>
                <w:rFonts w:ascii="Times New Roman" w:eastAsia="Times New Roman" w:hAnsi="Times New Roman" w:cs="Times New Roman"/>
                <w:sz w:val="24"/>
              </w:rPr>
              <w:t>Власть-Ресурсы</w:t>
            </w:r>
            <w:r>
              <w:t xml:space="preserve"> </w:t>
            </w:r>
          </w:p>
        </w:tc>
        <w:tc>
          <w:tcPr>
            <w:tcW w:w="1782"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125"/>
            </w:pPr>
            <w:r>
              <w:rPr>
                <w:rFonts w:ascii="Times New Roman" w:eastAsia="Times New Roman" w:hAnsi="Times New Roman" w:cs="Times New Roman"/>
                <w:sz w:val="24"/>
              </w:rPr>
              <w:t>женщины</w:t>
            </w:r>
            <w:r>
              <w:t xml:space="preserve"> </w:t>
            </w:r>
          </w:p>
        </w:tc>
        <w:tc>
          <w:tcPr>
            <w:tcW w:w="12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3,65</w:t>
            </w:r>
            <w:r>
              <w:t xml:space="preserve"> </w:t>
            </w:r>
          </w:p>
        </w:tc>
        <w:tc>
          <w:tcPr>
            <w:tcW w:w="112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64"/>
              <w:jc w:val="center"/>
            </w:pPr>
            <w:r>
              <w:rPr>
                <w:rFonts w:ascii="Times New Roman" w:eastAsia="Times New Roman" w:hAnsi="Times New Roman" w:cs="Times New Roman"/>
                <w:sz w:val="24"/>
              </w:rPr>
              <w:t>,08</w:t>
            </w:r>
            <w:r>
              <w:t xml:space="preserve"> </w:t>
            </w:r>
          </w:p>
        </w:tc>
        <w:tc>
          <w:tcPr>
            <w:tcW w:w="13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3,4</w:t>
            </w:r>
            <w:r>
              <w:t xml:space="preserve">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9"/>
              <w:jc w:val="center"/>
            </w:pPr>
            <w:r>
              <w:rPr>
                <w:rFonts w:ascii="Times New Roman" w:eastAsia="Times New Roman" w:hAnsi="Times New Roman" w:cs="Times New Roman"/>
                <w:sz w:val="24"/>
              </w:rPr>
              <w:t>3,8</w:t>
            </w:r>
            <w:r>
              <w:t xml:space="preserve"> </w:t>
            </w:r>
          </w:p>
        </w:tc>
      </w:tr>
      <w:tr w:rsidR="0052701D">
        <w:trPr>
          <w:trHeight w:val="470"/>
        </w:trPr>
        <w:tc>
          <w:tcPr>
            <w:tcW w:w="0" w:type="auto"/>
            <w:vMerge/>
            <w:tcBorders>
              <w:top w:val="nil"/>
              <w:left w:val="single" w:sz="4" w:space="0" w:color="000000"/>
              <w:bottom w:val="single" w:sz="4" w:space="0" w:color="000000"/>
              <w:right w:val="single" w:sz="4" w:space="0" w:color="000000"/>
            </w:tcBorders>
          </w:tcPr>
          <w:p w:rsidR="0052701D" w:rsidRDefault="0052701D"/>
        </w:tc>
        <w:tc>
          <w:tcPr>
            <w:tcW w:w="1782"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5"/>
            </w:pPr>
            <w:r>
              <w:rPr>
                <w:rFonts w:ascii="Times New Roman" w:eastAsia="Times New Roman" w:hAnsi="Times New Roman" w:cs="Times New Roman"/>
                <w:sz w:val="24"/>
              </w:rPr>
              <w:t xml:space="preserve"> мужчины</w:t>
            </w:r>
            <w:r>
              <w:t xml:space="preserve"> </w:t>
            </w:r>
          </w:p>
        </w:tc>
        <w:tc>
          <w:tcPr>
            <w:tcW w:w="12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3,67</w:t>
            </w:r>
            <w:r>
              <w:t xml:space="preserve"> </w:t>
            </w:r>
          </w:p>
        </w:tc>
        <w:tc>
          <w:tcPr>
            <w:tcW w:w="112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64"/>
              <w:jc w:val="center"/>
            </w:pPr>
            <w:r>
              <w:rPr>
                <w:rFonts w:ascii="Times New Roman" w:eastAsia="Times New Roman" w:hAnsi="Times New Roman" w:cs="Times New Roman"/>
                <w:sz w:val="24"/>
              </w:rPr>
              <w:t>,11</w:t>
            </w:r>
            <w:r>
              <w:t xml:space="preserve"> </w:t>
            </w:r>
          </w:p>
        </w:tc>
        <w:tc>
          <w:tcPr>
            <w:tcW w:w="13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3,4</w:t>
            </w:r>
            <w:r>
              <w:t xml:space="preserve">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9"/>
              <w:jc w:val="center"/>
            </w:pPr>
            <w:r>
              <w:rPr>
                <w:rFonts w:ascii="Times New Roman" w:eastAsia="Times New Roman" w:hAnsi="Times New Roman" w:cs="Times New Roman"/>
                <w:sz w:val="24"/>
              </w:rPr>
              <w:t>3,8</w:t>
            </w:r>
            <w:r>
              <w:t xml:space="preserve"> </w:t>
            </w:r>
          </w:p>
        </w:tc>
      </w:tr>
      <w:tr w:rsidR="0052701D">
        <w:trPr>
          <w:trHeight w:val="447"/>
        </w:trPr>
        <w:tc>
          <w:tcPr>
            <w:tcW w:w="2617" w:type="dxa"/>
            <w:vMerge w:val="restart"/>
            <w:tcBorders>
              <w:top w:val="single" w:sz="4" w:space="0" w:color="000000"/>
              <w:left w:val="single" w:sz="4" w:space="0" w:color="000000"/>
              <w:bottom w:val="single" w:sz="4" w:space="0" w:color="000000"/>
              <w:right w:val="single" w:sz="4" w:space="0" w:color="000000"/>
            </w:tcBorders>
          </w:tcPr>
          <w:p w:rsidR="0052701D" w:rsidRDefault="00D40929">
            <w:pPr>
              <w:spacing w:after="0"/>
              <w:ind w:left="125"/>
            </w:pPr>
            <w:r>
              <w:rPr>
                <w:rFonts w:ascii="Times New Roman" w:eastAsia="Times New Roman" w:hAnsi="Times New Roman" w:cs="Times New Roman"/>
                <w:sz w:val="24"/>
              </w:rPr>
              <w:t>Репутация</w:t>
            </w:r>
            <w:r>
              <w:t xml:space="preserve"> </w:t>
            </w:r>
          </w:p>
        </w:tc>
        <w:tc>
          <w:tcPr>
            <w:tcW w:w="178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25"/>
            </w:pPr>
            <w:r>
              <w:rPr>
                <w:rFonts w:ascii="Times New Roman" w:eastAsia="Times New Roman" w:hAnsi="Times New Roman" w:cs="Times New Roman"/>
                <w:sz w:val="24"/>
              </w:rPr>
              <w:t>женщины</w:t>
            </w:r>
            <w:r>
              <w:t xml:space="preserve"> </w:t>
            </w:r>
          </w:p>
        </w:tc>
        <w:tc>
          <w:tcPr>
            <w:tcW w:w="12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5,11</w:t>
            </w:r>
            <w:r>
              <w:t xml:space="preserve"> </w:t>
            </w:r>
          </w:p>
        </w:tc>
        <w:tc>
          <w:tcPr>
            <w:tcW w:w="112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64"/>
              <w:jc w:val="center"/>
            </w:pPr>
            <w:r>
              <w:rPr>
                <w:rFonts w:ascii="Times New Roman" w:eastAsia="Times New Roman" w:hAnsi="Times New Roman" w:cs="Times New Roman"/>
                <w:sz w:val="24"/>
              </w:rPr>
              <w:t>,05</w:t>
            </w:r>
            <w:r>
              <w:t xml:space="preserve"> </w:t>
            </w:r>
          </w:p>
        </w:tc>
        <w:tc>
          <w:tcPr>
            <w:tcW w:w="13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4,9</w:t>
            </w:r>
            <w:r>
              <w:t xml:space="preserve">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9"/>
              <w:jc w:val="center"/>
            </w:pPr>
            <w:r>
              <w:rPr>
                <w:rFonts w:ascii="Times New Roman" w:eastAsia="Times New Roman" w:hAnsi="Times New Roman" w:cs="Times New Roman"/>
                <w:sz w:val="24"/>
              </w:rPr>
              <w:t>5,2</w:t>
            </w:r>
            <w:r>
              <w:t xml:space="preserve"> </w:t>
            </w:r>
          </w:p>
        </w:tc>
      </w:tr>
      <w:tr w:rsidR="0052701D">
        <w:trPr>
          <w:trHeight w:val="446"/>
        </w:trPr>
        <w:tc>
          <w:tcPr>
            <w:tcW w:w="0" w:type="auto"/>
            <w:vMerge/>
            <w:tcBorders>
              <w:top w:val="nil"/>
              <w:left w:val="single" w:sz="4" w:space="0" w:color="000000"/>
              <w:bottom w:val="single" w:sz="4" w:space="0" w:color="000000"/>
              <w:right w:val="single" w:sz="4" w:space="0" w:color="000000"/>
            </w:tcBorders>
            <w:vAlign w:val="bottom"/>
          </w:tcPr>
          <w:p w:rsidR="0052701D" w:rsidRDefault="0052701D"/>
        </w:tc>
        <w:tc>
          <w:tcPr>
            <w:tcW w:w="178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sz w:val="24"/>
              </w:rPr>
              <w:t xml:space="preserve"> мужчины</w:t>
            </w:r>
            <w:r>
              <w:t xml:space="preserve"> </w:t>
            </w:r>
          </w:p>
        </w:tc>
        <w:tc>
          <w:tcPr>
            <w:tcW w:w="12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4,94</w:t>
            </w:r>
            <w:r>
              <w:t xml:space="preserve"> </w:t>
            </w:r>
          </w:p>
        </w:tc>
        <w:tc>
          <w:tcPr>
            <w:tcW w:w="112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64"/>
              <w:jc w:val="center"/>
            </w:pPr>
            <w:r>
              <w:rPr>
                <w:rFonts w:ascii="Times New Roman" w:eastAsia="Times New Roman" w:hAnsi="Times New Roman" w:cs="Times New Roman"/>
                <w:sz w:val="24"/>
              </w:rPr>
              <w:t>,07</w:t>
            </w:r>
            <w:r>
              <w:t xml:space="preserve"> </w:t>
            </w:r>
          </w:p>
        </w:tc>
        <w:tc>
          <w:tcPr>
            <w:tcW w:w="13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4,7</w:t>
            </w:r>
            <w:r>
              <w:t xml:space="preserve">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61"/>
              <w:jc w:val="center"/>
            </w:pPr>
            <w:r>
              <w:rPr>
                <w:rFonts w:ascii="Times New Roman" w:eastAsia="Times New Roman" w:hAnsi="Times New Roman" w:cs="Times New Roman"/>
                <w:sz w:val="24"/>
              </w:rPr>
              <w:t>5</w:t>
            </w:r>
            <w:r>
              <w:t xml:space="preserve"> </w:t>
            </w:r>
          </w:p>
        </w:tc>
      </w:tr>
      <w:tr w:rsidR="0052701D">
        <w:trPr>
          <w:trHeight w:val="470"/>
        </w:trPr>
        <w:tc>
          <w:tcPr>
            <w:tcW w:w="2617" w:type="dxa"/>
            <w:vMerge w:val="restart"/>
            <w:tcBorders>
              <w:top w:val="single" w:sz="4" w:space="0" w:color="000000"/>
              <w:left w:val="single" w:sz="4" w:space="0" w:color="000000"/>
              <w:bottom w:val="single" w:sz="4" w:space="0" w:color="000000"/>
              <w:right w:val="single" w:sz="4" w:space="0" w:color="000000"/>
            </w:tcBorders>
          </w:tcPr>
          <w:p w:rsidR="0052701D" w:rsidRDefault="00D40929">
            <w:pPr>
              <w:spacing w:after="0"/>
              <w:ind w:left="125"/>
            </w:pPr>
            <w:r>
              <w:rPr>
                <w:rFonts w:ascii="Times New Roman" w:eastAsia="Times New Roman" w:hAnsi="Times New Roman" w:cs="Times New Roman"/>
                <w:sz w:val="24"/>
              </w:rPr>
              <w:t>Безопасность-Личная</w:t>
            </w:r>
            <w:r>
              <w:t xml:space="preserve"> </w:t>
            </w:r>
          </w:p>
        </w:tc>
        <w:tc>
          <w:tcPr>
            <w:tcW w:w="1782"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125"/>
            </w:pPr>
            <w:r>
              <w:rPr>
                <w:rFonts w:ascii="Times New Roman" w:eastAsia="Times New Roman" w:hAnsi="Times New Roman" w:cs="Times New Roman"/>
                <w:sz w:val="24"/>
              </w:rPr>
              <w:t>женщины</w:t>
            </w:r>
            <w:r>
              <w:t xml:space="preserve"> </w:t>
            </w:r>
          </w:p>
        </w:tc>
        <w:tc>
          <w:tcPr>
            <w:tcW w:w="12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4,85</w:t>
            </w:r>
            <w:r>
              <w:t xml:space="preserve"> </w:t>
            </w:r>
          </w:p>
        </w:tc>
        <w:tc>
          <w:tcPr>
            <w:tcW w:w="112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64"/>
              <w:jc w:val="center"/>
            </w:pPr>
            <w:r>
              <w:rPr>
                <w:rFonts w:ascii="Times New Roman" w:eastAsia="Times New Roman" w:hAnsi="Times New Roman" w:cs="Times New Roman"/>
                <w:sz w:val="24"/>
              </w:rPr>
              <w:t>,06</w:t>
            </w:r>
            <w:r>
              <w:t xml:space="preserve"> </w:t>
            </w:r>
          </w:p>
        </w:tc>
        <w:tc>
          <w:tcPr>
            <w:tcW w:w="13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4,7</w:t>
            </w:r>
            <w:r>
              <w:t xml:space="preserve">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9"/>
              <w:jc w:val="center"/>
            </w:pPr>
            <w:r>
              <w:rPr>
                <w:rFonts w:ascii="Times New Roman" w:eastAsia="Times New Roman" w:hAnsi="Times New Roman" w:cs="Times New Roman"/>
                <w:sz w:val="24"/>
              </w:rPr>
              <w:t>4,9</w:t>
            </w:r>
            <w:r>
              <w:t xml:space="preserve"> </w:t>
            </w:r>
          </w:p>
        </w:tc>
      </w:tr>
      <w:tr w:rsidR="0052701D">
        <w:trPr>
          <w:trHeight w:val="471"/>
        </w:trPr>
        <w:tc>
          <w:tcPr>
            <w:tcW w:w="0" w:type="auto"/>
            <w:vMerge/>
            <w:tcBorders>
              <w:top w:val="nil"/>
              <w:left w:val="single" w:sz="4" w:space="0" w:color="000000"/>
              <w:bottom w:val="single" w:sz="4" w:space="0" w:color="000000"/>
              <w:right w:val="single" w:sz="4" w:space="0" w:color="000000"/>
            </w:tcBorders>
            <w:vAlign w:val="bottom"/>
          </w:tcPr>
          <w:p w:rsidR="0052701D" w:rsidRDefault="0052701D"/>
        </w:tc>
        <w:tc>
          <w:tcPr>
            <w:tcW w:w="1782"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5"/>
            </w:pPr>
            <w:r>
              <w:rPr>
                <w:rFonts w:ascii="Times New Roman" w:eastAsia="Times New Roman" w:hAnsi="Times New Roman" w:cs="Times New Roman"/>
                <w:sz w:val="24"/>
              </w:rPr>
              <w:t xml:space="preserve"> мужчины</w:t>
            </w:r>
            <w:r>
              <w:t xml:space="preserve"> </w:t>
            </w:r>
          </w:p>
        </w:tc>
        <w:tc>
          <w:tcPr>
            <w:tcW w:w="12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4,63</w:t>
            </w:r>
            <w:r>
              <w:t xml:space="preserve"> </w:t>
            </w:r>
          </w:p>
        </w:tc>
        <w:tc>
          <w:tcPr>
            <w:tcW w:w="112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64"/>
              <w:jc w:val="center"/>
            </w:pPr>
            <w:r>
              <w:rPr>
                <w:rFonts w:ascii="Times New Roman" w:eastAsia="Times New Roman" w:hAnsi="Times New Roman" w:cs="Times New Roman"/>
                <w:sz w:val="24"/>
              </w:rPr>
              <w:t>,08</w:t>
            </w:r>
            <w:r>
              <w:t xml:space="preserve"> </w:t>
            </w:r>
          </w:p>
        </w:tc>
        <w:tc>
          <w:tcPr>
            <w:tcW w:w="13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4,4</w:t>
            </w:r>
            <w:r>
              <w:t xml:space="preserve">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9"/>
              <w:jc w:val="center"/>
            </w:pPr>
            <w:r>
              <w:rPr>
                <w:rFonts w:ascii="Times New Roman" w:eastAsia="Times New Roman" w:hAnsi="Times New Roman" w:cs="Times New Roman"/>
                <w:sz w:val="24"/>
              </w:rPr>
              <w:t>4,7</w:t>
            </w:r>
            <w:r>
              <w:t xml:space="preserve"> </w:t>
            </w:r>
          </w:p>
        </w:tc>
      </w:tr>
      <w:tr w:rsidR="0052701D">
        <w:trPr>
          <w:trHeight w:val="470"/>
        </w:trPr>
        <w:tc>
          <w:tcPr>
            <w:tcW w:w="2617" w:type="dxa"/>
            <w:vMerge w:val="restart"/>
            <w:tcBorders>
              <w:top w:val="single" w:sz="4" w:space="0" w:color="000000"/>
              <w:left w:val="single" w:sz="4" w:space="0" w:color="000000"/>
              <w:bottom w:val="single" w:sz="4" w:space="0" w:color="000000"/>
              <w:right w:val="single" w:sz="4" w:space="0" w:color="000000"/>
            </w:tcBorders>
          </w:tcPr>
          <w:p w:rsidR="0052701D" w:rsidRDefault="00D40929">
            <w:pPr>
              <w:spacing w:after="0"/>
              <w:ind w:left="125"/>
            </w:pPr>
            <w:r>
              <w:rPr>
                <w:rFonts w:ascii="Times New Roman" w:eastAsia="Times New Roman" w:hAnsi="Times New Roman" w:cs="Times New Roman"/>
                <w:sz w:val="24"/>
              </w:rPr>
              <w:t>Безопасность Социальная</w:t>
            </w:r>
            <w:r>
              <w:t xml:space="preserve"> </w:t>
            </w:r>
          </w:p>
        </w:tc>
        <w:tc>
          <w:tcPr>
            <w:tcW w:w="1782"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125"/>
            </w:pPr>
            <w:r>
              <w:rPr>
                <w:rFonts w:ascii="Times New Roman" w:eastAsia="Times New Roman" w:hAnsi="Times New Roman" w:cs="Times New Roman"/>
                <w:sz w:val="24"/>
              </w:rPr>
              <w:t>женщины</w:t>
            </w:r>
            <w:r>
              <w:t xml:space="preserve"> </w:t>
            </w:r>
          </w:p>
        </w:tc>
        <w:tc>
          <w:tcPr>
            <w:tcW w:w="12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4,86</w:t>
            </w:r>
            <w:r>
              <w:t xml:space="preserve"> </w:t>
            </w:r>
          </w:p>
        </w:tc>
        <w:tc>
          <w:tcPr>
            <w:tcW w:w="112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64"/>
              <w:jc w:val="center"/>
            </w:pPr>
            <w:r>
              <w:rPr>
                <w:rFonts w:ascii="Times New Roman" w:eastAsia="Times New Roman" w:hAnsi="Times New Roman" w:cs="Times New Roman"/>
                <w:sz w:val="24"/>
              </w:rPr>
              <w:t>,07</w:t>
            </w:r>
            <w:r>
              <w:t xml:space="preserve"> </w:t>
            </w:r>
          </w:p>
        </w:tc>
        <w:tc>
          <w:tcPr>
            <w:tcW w:w="13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4,7</w:t>
            </w:r>
            <w:r>
              <w:t xml:space="preserve">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61"/>
              <w:jc w:val="center"/>
            </w:pPr>
            <w:r>
              <w:rPr>
                <w:rFonts w:ascii="Times New Roman" w:eastAsia="Times New Roman" w:hAnsi="Times New Roman" w:cs="Times New Roman"/>
                <w:sz w:val="24"/>
              </w:rPr>
              <w:t>5</w:t>
            </w:r>
            <w:r>
              <w:t xml:space="preserve"> </w:t>
            </w:r>
          </w:p>
        </w:tc>
      </w:tr>
      <w:tr w:rsidR="0052701D">
        <w:trPr>
          <w:trHeight w:val="466"/>
        </w:trPr>
        <w:tc>
          <w:tcPr>
            <w:tcW w:w="0" w:type="auto"/>
            <w:vMerge/>
            <w:tcBorders>
              <w:top w:val="nil"/>
              <w:left w:val="single" w:sz="4" w:space="0" w:color="000000"/>
              <w:bottom w:val="single" w:sz="4" w:space="0" w:color="000000"/>
              <w:right w:val="single" w:sz="4" w:space="0" w:color="000000"/>
            </w:tcBorders>
          </w:tcPr>
          <w:p w:rsidR="0052701D" w:rsidRDefault="0052701D"/>
        </w:tc>
        <w:tc>
          <w:tcPr>
            <w:tcW w:w="1782"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5"/>
            </w:pPr>
            <w:r>
              <w:rPr>
                <w:rFonts w:ascii="Times New Roman" w:eastAsia="Times New Roman" w:hAnsi="Times New Roman" w:cs="Times New Roman"/>
                <w:sz w:val="24"/>
              </w:rPr>
              <w:t xml:space="preserve"> мужчины</w:t>
            </w:r>
            <w:r>
              <w:t xml:space="preserve"> </w:t>
            </w:r>
          </w:p>
        </w:tc>
        <w:tc>
          <w:tcPr>
            <w:tcW w:w="12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4,73</w:t>
            </w:r>
            <w:r>
              <w:t xml:space="preserve"> </w:t>
            </w:r>
          </w:p>
        </w:tc>
        <w:tc>
          <w:tcPr>
            <w:tcW w:w="112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64"/>
              <w:jc w:val="center"/>
            </w:pPr>
            <w:r>
              <w:rPr>
                <w:rFonts w:ascii="Times New Roman" w:eastAsia="Times New Roman" w:hAnsi="Times New Roman" w:cs="Times New Roman"/>
                <w:sz w:val="24"/>
              </w:rPr>
              <w:t>,09</w:t>
            </w:r>
            <w:r>
              <w:t xml:space="preserve"> </w:t>
            </w:r>
          </w:p>
        </w:tc>
        <w:tc>
          <w:tcPr>
            <w:tcW w:w="13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4,5</w:t>
            </w:r>
            <w:r>
              <w:t xml:space="preserve">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9"/>
              <w:jc w:val="center"/>
            </w:pPr>
            <w:r>
              <w:rPr>
                <w:rFonts w:ascii="Times New Roman" w:eastAsia="Times New Roman" w:hAnsi="Times New Roman" w:cs="Times New Roman"/>
                <w:sz w:val="24"/>
              </w:rPr>
              <w:t>4,9</w:t>
            </w:r>
            <w:r>
              <w:t xml:space="preserve"> </w:t>
            </w:r>
          </w:p>
        </w:tc>
      </w:tr>
      <w:tr w:rsidR="0052701D">
        <w:trPr>
          <w:trHeight w:val="470"/>
        </w:trPr>
        <w:tc>
          <w:tcPr>
            <w:tcW w:w="2617" w:type="dxa"/>
            <w:vMerge w:val="restart"/>
            <w:tcBorders>
              <w:top w:val="single" w:sz="4" w:space="0" w:color="000000"/>
              <w:left w:val="single" w:sz="4" w:space="0" w:color="000000"/>
              <w:bottom w:val="single" w:sz="4" w:space="0" w:color="000000"/>
              <w:right w:val="single" w:sz="4" w:space="0" w:color="000000"/>
            </w:tcBorders>
          </w:tcPr>
          <w:p w:rsidR="0052701D" w:rsidRDefault="00D40929">
            <w:pPr>
              <w:spacing w:after="0"/>
              <w:ind w:left="125"/>
            </w:pPr>
            <w:r>
              <w:rPr>
                <w:rFonts w:ascii="Times New Roman" w:eastAsia="Times New Roman" w:hAnsi="Times New Roman" w:cs="Times New Roman"/>
                <w:sz w:val="24"/>
              </w:rPr>
              <w:t>Традиция</w:t>
            </w:r>
            <w:r>
              <w:t xml:space="preserve"> </w:t>
            </w:r>
          </w:p>
        </w:tc>
        <w:tc>
          <w:tcPr>
            <w:tcW w:w="1782"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125"/>
            </w:pPr>
            <w:r>
              <w:rPr>
                <w:rFonts w:ascii="Times New Roman" w:eastAsia="Times New Roman" w:hAnsi="Times New Roman" w:cs="Times New Roman"/>
                <w:sz w:val="24"/>
              </w:rPr>
              <w:t>женщины</w:t>
            </w:r>
            <w:r>
              <w:t xml:space="preserve"> </w:t>
            </w:r>
          </w:p>
        </w:tc>
        <w:tc>
          <w:tcPr>
            <w:tcW w:w="12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4,33</w:t>
            </w:r>
            <w:r>
              <w:t xml:space="preserve"> </w:t>
            </w:r>
          </w:p>
        </w:tc>
        <w:tc>
          <w:tcPr>
            <w:tcW w:w="112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64"/>
              <w:jc w:val="center"/>
            </w:pPr>
            <w:r>
              <w:rPr>
                <w:rFonts w:ascii="Times New Roman" w:eastAsia="Times New Roman" w:hAnsi="Times New Roman" w:cs="Times New Roman"/>
                <w:sz w:val="24"/>
              </w:rPr>
              <w:t>,08</w:t>
            </w:r>
            <w:r>
              <w:t xml:space="preserve"> </w:t>
            </w:r>
          </w:p>
        </w:tc>
        <w:tc>
          <w:tcPr>
            <w:tcW w:w="13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4,1</w:t>
            </w:r>
            <w:r>
              <w:t xml:space="preserve">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9"/>
              <w:jc w:val="center"/>
            </w:pPr>
            <w:r>
              <w:rPr>
                <w:rFonts w:ascii="Times New Roman" w:eastAsia="Times New Roman" w:hAnsi="Times New Roman" w:cs="Times New Roman"/>
                <w:sz w:val="24"/>
              </w:rPr>
              <w:t>4,4</w:t>
            </w:r>
            <w:r>
              <w:t xml:space="preserve"> </w:t>
            </w:r>
          </w:p>
        </w:tc>
      </w:tr>
      <w:tr w:rsidR="0052701D">
        <w:trPr>
          <w:trHeight w:val="471"/>
        </w:trPr>
        <w:tc>
          <w:tcPr>
            <w:tcW w:w="0" w:type="auto"/>
            <w:vMerge/>
            <w:tcBorders>
              <w:top w:val="nil"/>
              <w:left w:val="single" w:sz="4" w:space="0" w:color="000000"/>
              <w:bottom w:val="single" w:sz="4" w:space="0" w:color="000000"/>
              <w:right w:val="single" w:sz="4" w:space="0" w:color="000000"/>
            </w:tcBorders>
          </w:tcPr>
          <w:p w:rsidR="0052701D" w:rsidRDefault="0052701D"/>
        </w:tc>
        <w:tc>
          <w:tcPr>
            <w:tcW w:w="1782"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5"/>
            </w:pPr>
            <w:r>
              <w:rPr>
                <w:rFonts w:ascii="Times New Roman" w:eastAsia="Times New Roman" w:hAnsi="Times New Roman" w:cs="Times New Roman"/>
                <w:sz w:val="24"/>
              </w:rPr>
              <w:t xml:space="preserve"> мужчины</w:t>
            </w:r>
            <w:r>
              <w:t xml:space="preserve"> </w:t>
            </w:r>
          </w:p>
        </w:tc>
        <w:tc>
          <w:tcPr>
            <w:tcW w:w="12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4,25</w:t>
            </w:r>
            <w:r>
              <w:t xml:space="preserve"> </w:t>
            </w:r>
          </w:p>
        </w:tc>
        <w:tc>
          <w:tcPr>
            <w:tcW w:w="112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64"/>
              <w:jc w:val="center"/>
            </w:pPr>
            <w:r>
              <w:rPr>
                <w:rFonts w:ascii="Times New Roman" w:eastAsia="Times New Roman" w:hAnsi="Times New Roman" w:cs="Times New Roman"/>
                <w:sz w:val="24"/>
              </w:rPr>
              <w:t>,11</w:t>
            </w:r>
            <w:r>
              <w:t xml:space="preserve"> </w:t>
            </w:r>
          </w:p>
        </w:tc>
        <w:tc>
          <w:tcPr>
            <w:tcW w:w="1316"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55"/>
              <w:jc w:val="center"/>
            </w:pPr>
            <w:r>
              <w:rPr>
                <w:rFonts w:ascii="Times New Roman" w:eastAsia="Times New Roman" w:hAnsi="Times New Roman" w:cs="Times New Roman"/>
                <w:sz w:val="24"/>
              </w:rPr>
              <w:t>4</w:t>
            </w:r>
            <w:r>
              <w:t xml:space="preserve">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9"/>
              <w:jc w:val="center"/>
            </w:pPr>
            <w:r>
              <w:rPr>
                <w:rFonts w:ascii="Times New Roman" w:eastAsia="Times New Roman" w:hAnsi="Times New Roman" w:cs="Times New Roman"/>
                <w:sz w:val="24"/>
              </w:rPr>
              <w:t>4,4</w:t>
            </w:r>
            <w:r>
              <w:t xml:space="preserve"> </w:t>
            </w:r>
          </w:p>
        </w:tc>
      </w:tr>
      <w:tr w:rsidR="0052701D">
        <w:trPr>
          <w:trHeight w:val="470"/>
        </w:trPr>
        <w:tc>
          <w:tcPr>
            <w:tcW w:w="2617" w:type="dxa"/>
            <w:vMerge w:val="restart"/>
            <w:tcBorders>
              <w:top w:val="single" w:sz="4" w:space="0" w:color="000000"/>
              <w:left w:val="single" w:sz="4" w:space="0" w:color="000000"/>
              <w:bottom w:val="single" w:sz="4" w:space="0" w:color="000000"/>
              <w:right w:val="single" w:sz="4" w:space="0" w:color="000000"/>
            </w:tcBorders>
          </w:tcPr>
          <w:p w:rsidR="0052701D" w:rsidRDefault="00D40929">
            <w:pPr>
              <w:spacing w:after="0"/>
              <w:ind w:left="125"/>
            </w:pPr>
            <w:r>
              <w:rPr>
                <w:rFonts w:ascii="Times New Roman" w:eastAsia="Times New Roman" w:hAnsi="Times New Roman" w:cs="Times New Roman"/>
                <w:sz w:val="24"/>
              </w:rPr>
              <w:t>Конформность правила</w:t>
            </w:r>
            <w:r>
              <w:t xml:space="preserve"> </w:t>
            </w:r>
          </w:p>
        </w:tc>
        <w:tc>
          <w:tcPr>
            <w:tcW w:w="1782"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125"/>
            </w:pPr>
            <w:r>
              <w:rPr>
                <w:rFonts w:ascii="Times New Roman" w:eastAsia="Times New Roman" w:hAnsi="Times New Roman" w:cs="Times New Roman"/>
                <w:sz w:val="24"/>
              </w:rPr>
              <w:t>женщины</w:t>
            </w:r>
            <w:r>
              <w:t xml:space="preserve"> </w:t>
            </w:r>
          </w:p>
        </w:tc>
        <w:tc>
          <w:tcPr>
            <w:tcW w:w="12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4,14</w:t>
            </w:r>
            <w:r>
              <w:t xml:space="preserve"> </w:t>
            </w:r>
          </w:p>
        </w:tc>
        <w:tc>
          <w:tcPr>
            <w:tcW w:w="112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64"/>
              <w:jc w:val="center"/>
            </w:pPr>
            <w:r>
              <w:rPr>
                <w:rFonts w:ascii="Times New Roman" w:eastAsia="Times New Roman" w:hAnsi="Times New Roman" w:cs="Times New Roman"/>
                <w:sz w:val="24"/>
              </w:rPr>
              <w:t>,08</w:t>
            </w:r>
            <w:r>
              <w:t xml:space="preserve"> </w:t>
            </w:r>
          </w:p>
        </w:tc>
        <w:tc>
          <w:tcPr>
            <w:tcW w:w="13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3,9</w:t>
            </w:r>
            <w:r>
              <w:t xml:space="preserve">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9"/>
              <w:jc w:val="center"/>
            </w:pPr>
            <w:r>
              <w:rPr>
                <w:rFonts w:ascii="Times New Roman" w:eastAsia="Times New Roman" w:hAnsi="Times New Roman" w:cs="Times New Roman"/>
                <w:sz w:val="24"/>
              </w:rPr>
              <w:t>4,3</w:t>
            </w:r>
            <w:r>
              <w:t xml:space="preserve"> </w:t>
            </w:r>
          </w:p>
        </w:tc>
      </w:tr>
      <w:tr w:rsidR="0052701D">
        <w:trPr>
          <w:trHeight w:val="470"/>
        </w:trPr>
        <w:tc>
          <w:tcPr>
            <w:tcW w:w="0" w:type="auto"/>
            <w:vMerge/>
            <w:tcBorders>
              <w:top w:val="nil"/>
              <w:left w:val="single" w:sz="4" w:space="0" w:color="000000"/>
              <w:bottom w:val="single" w:sz="4" w:space="0" w:color="000000"/>
              <w:right w:val="single" w:sz="4" w:space="0" w:color="000000"/>
            </w:tcBorders>
          </w:tcPr>
          <w:p w:rsidR="0052701D" w:rsidRDefault="0052701D"/>
        </w:tc>
        <w:tc>
          <w:tcPr>
            <w:tcW w:w="1782"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5"/>
            </w:pPr>
            <w:r>
              <w:rPr>
                <w:rFonts w:ascii="Times New Roman" w:eastAsia="Times New Roman" w:hAnsi="Times New Roman" w:cs="Times New Roman"/>
                <w:sz w:val="24"/>
              </w:rPr>
              <w:t xml:space="preserve"> мужчины</w:t>
            </w:r>
            <w:r>
              <w:t xml:space="preserve"> </w:t>
            </w:r>
          </w:p>
        </w:tc>
        <w:tc>
          <w:tcPr>
            <w:tcW w:w="12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3,91</w:t>
            </w:r>
            <w:r>
              <w:t xml:space="preserve"> </w:t>
            </w:r>
          </w:p>
        </w:tc>
        <w:tc>
          <w:tcPr>
            <w:tcW w:w="112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9"/>
              <w:jc w:val="center"/>
            </w:pPr>
            <w:r>
              <w:rPr>
                <w:rFonts w:ascii="Times New Roman" w:eastAsia="Times New Roman" w:hAnsi="Times New Roman" w:cs="Times New Roman"/>
                <w:sz w:val="24"/>
              </w:rPr>
              <w:t>,1</w:t>
            </w:r>
            <w:r>
              <w:t xml:space="preserve"> </w:t>
            </w:r>
          </w:p>
        </w:tc>
        <w:tc>
          <w:tcPr>
            <w:tcW w:w="13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3,7</w:t>
            </w:r>
            <w:r>
              <w:t xml:space="preserve">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9"/>
              <w:jc w:val="center"/>
            </w:pPr>
            <w:r>
              <w:rPr>
                <w:rFonts w:ascii="Times New Roman" w:eastAsia="Times New Roman" w:hAnsi="Times New Roman" w:cs="Times New Roman"/>
                <w:sz w:val="24"/>
              </w:rPr>
              <w:t>4,1</w:t>
            </w:r>
            <w:r>
              <w:t xml:space="preserve"> </w:t>
            </w:r>
          </w:p>
        </w:tc>
      </w:tr>
      <w:tr w:rsidR="0052701D">
        <w:trPr>
          <w:trHeight w:val="471"/>
        </w:trPr>
        <w:tc>
          <w:tcPr>
            <w:tcW w:w="2617" w:type="dxa"/>
            <w:vMerge w:val="restart"/>
            <w:tcBorders>
              <w:top w:val="single" w:sz="4" w:space="0" w:color="000000"/>
              <w:left w:val="single" w:sz="4" w:space="0" w:color="000000"/>
              <w:bottom w:val="single" w:sz="4" w:space="0" w:color="000000"/>
              <w:right w:val="single" w:sz="4" w:space="0" w:color="000000"/>
            </w:tcBorders>
          </w:tcPr>
          <w:p w:rsidR="0052701D" w:rsidRDefault="00D40929">
            <w:pPr>
              <w:spacing w:after="0"/>
              <w:ind w:left="125"/>
            </w:pPr>
            <w:r>
              <w:rPr>
                <w:rFonts w:ascii="Times New Roman" w:eastAsia="Times New Roman" w:hAnsi="Times New Roman" w:cs="Times New Roman"/>
                <w:sz w:val="24"/>
              </w:rPr>
              <w:t>Конформность межличностная</w:t>
            </w:r>
            <w:r>
              <w:t xml:space="preserve"> </w:t>
            </w:r>
          </w:p>
        </w:tc>
        <w:tc>
          <w:tcPr>
            <w:tcW w:w="1782"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125"/>
            </w:pPr>
            <w:r>
              <w:rPr>
                <w:rFonts w:ascii="Times New Roman" w:eastAsia="Times New Roman" w:hAnsi="Times New Roman" w:cs="Times New Roman"/>
                <w:sz w:val="24"/>
              </w:rPr>
              <w:t>женщины</w:t>
            </w:r>
            <w:r>
              <w:t xml:space="preserve"> </w:t>
            </w:r>
          </w:p>
        </w:tc>
        <w:tc>
          <w:tcPr>
            <w:tcW w:w="12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4,28</w:t>
            </w:r>
            <w:r>
              <w:t xml:space="preserve"> </w:t>
            </w:r>
          </w:p>
        </w:tc>
        <w:tc>
          <w:tcPr>
            <w:tcW w:w="112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64"/>
              <w:jc w:val="center"/>
            </w:pPr>
            <w:r>
              <w:rPr>
                <w:rFonts w:ascii="Times New Roman" w:eastAsia="Times New Roman" w:hAnsi="Times New Roman" w:cs="Times New Roman"/>
                <w:sz w:val="24"/>
              </w:rPr>
              <w:t>,07</w:t>
            </w:r>
            <w:r>
              <w:t xml:space="preserve"> </w:t>
            </w:r>
          </w:p>
        </w:tc>
        <w:tc>
          <w:tcPr>
            <w:tcW w:w="13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4,1</w:t>
            </w:r>
            <w:r>
              <w:t xml:space="preserve">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9"/>
              <w:jc w:val="center"/>
            </w:pPr>
            <w:r>
              <w:rPr>
                <w:rFonts w:ascii="Times New Roman" w:eastAsia="Times New Roman" w:hAnsi="Times New Roman" w:cs="Times New Roman"/>
                <w:sz w:val="24"/>
              </w:rPr>
              <w:t>4,4</w:t>
            </w:r>
            <w:r>
              <w:t xml:space="preserve"> </w:t>
            </w:r>
          </w:p>
        </w:tc>
      </w:tr>
      <w:tr w:rsidR="0052701D">
        <w:trPr>
          <w:trHeight w:val="470"/>
        </w:trPr>
        <w:tc>
          <w:tcPr>
            <w:tcW w:w="0" w:type="auto"/>
            <w:vMerge/>
            <w:tcBorders>
              <w:top w:val="nil"/>
              <w:left w:val="single" w:sz="4" w:space="0" w:color="000000"/>
              <w:bottom w:val="single" w:sz="4" w:space="0" w:color="000000"/>
              <w:right w:val="single" w:sz="4" w:space="0" w:color="000000"/>
            </w:tcBorders>
          </w:tcPr>
          <w:p w:rsidR="0052701D" w:rsidRDefault="0052701D"/>
        </w:tc>
        <w:tc>
          <w:tcPr>
            <w:tcW w:w="1782"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5"/>
            </w:pPr>
            <w:r>
              <w:rPr>
                <w:rFonts w:ascii="Times New Roman" w:eastAsia="Times New Roman" w:hAnsi="Times New Roman" w:cs="Times New Roman"/>
                <w:sz w:val="24"/>
              </w:rPr>
              <w:t xml:space="preserve"> мужчины</w:t>
            </w:r>
            <w:r>
              <w:t xml:space="preserve"> </w:t>
            </w:r>
          </w:p>
        </w:tc>
        <w:tc>
          <w:tcPr>
            <w:tcW w:w="12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4,24</w:t>
            </w:r>
            <w:r>
              <w:t xml:space="preserve"> </w:t>
            </w:r>
          </w:p>
        </w:tc>
        <w:tc>
          <w:tcPr>
            <w:tcW w:w="112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64"/>
              <w:jc w:val="center"/>
            </w:pPr>
            <w:r>
              <w:rPr>
                <w:rFonts w:ascii="Times New Roman" w:eastAsia="Times New Roman" w:hAnsi="Times New Roman" w:cs="Times New Roman"/>
                <w:sz w:val="24"/>
              </w:rPr>
              <w:t>,09</w:t>
            </w:r>
            <w:r>
              <w:t xml:space="preserve"> </w:t>
            </w:r>
          </w:p>
        </w:tc>
        <w:tc>
          <w:tcPr>
            <w:tcW w:w="1316"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55"/>
              <w:jc w:val="center"/>
            </w:pPr>
            <w:r>
              <w:rPr>
                <w:rFonts w:ascii="Times New Roman" w:eastAsia="Times New Roman" w:hAnsi="Times New Roman" w:cs="Times New Roman"/>
                <w:sz w:val="24"/>
              </w:rPr>
              <w:t>4</w:t>
            </w:r>
            <w:r>
              <w:t xml:space="preserve">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9"/>
              <w:jc w:val="center"/>
            </w:pPr>
            <w:r>
              <w:rPr>
                <w:rFonts w:ascii="Times New Roman" w:eastAsia="Times New Roman" w:hAnsi="Times New Roman" w:cs="Times New Roman"/>
                <w:sz w:val="24"/>
              </w:rPr>
              <w:t>4,4</w:t>
            </w:r>
            <w:r>
              <w:t xml:space="preserve"> </w:t>
            </w:r>
          </w:p>
        </w:tc>
      </w:tr>
      <w:tr w:rsidR="0052701D">
        <w:trPr>
          <w:trHeight w:val="470"/>
        </w:trPr>
        <w:tc>
          <w:tcPr>
            <w:tcW w:w="2617" w:type="dxa"/>
            <w:vMerge w:val="restart"/>
            <w:tcBorders>
              <w:top w:val="single" w:sz="4" w:space="0" w:color="000000"/>
              <w:left w:val="single" w:sz="4" w:space="0" w:color="000000"/>
              <w:bottom w:val="single" w:sz="4" w:space="0" w:color="000000"/>
              <w:right w:val="single" w:sz="4" w:space="0" w:color="000000"/>
            </w:tcBorders>
          </w:tcPr>
          <w:p w:rsidR="0052701D" w:rsidRDefault="00D40929">
            <w:pPr>
              <w:spacing w:after="0"/>
              <w:ind w:left="125"/>
            </w:pPr>
            <w:r>
              <w:rPr>
                <w:rFonts w:ascii="Times New Roman" w:eastAsia="Times New Roman" w:hAnsi="Times New Roman" w:cs="Times New Roman"/>
                <w:sz w:val="24"/>
              </w:rPr>
              <w:t>Скромность</w:t>
            </w:r>
            <w:r>
              <w:t xml:space="preserve"> </w:t>
            </w:r>
          </w:p>
        </w:tc>
        <w:tc>
          <w:tcPr>
            <w:tcW w:w="1782"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125"/>
            </w:pPr>
            <w:r>
              <w:rPr>
                <w:rFonts w:ascii="Times New Roman" w:eastAsia="Times New Roman" w:hAnsi="Times New Roman" w:cs="Times New Roman"/>
                <w:sz w:val="24"/>
              </w:rPr>
              <w:t>женщины</w:t>
            </w:r>
            <w:r>
              <w:t xml:space="preserve"> </w:t>
            </w:r>
          </w:p>
        </w:tc>
        <w:tc>
          <w:tcPr>
            <w:tcW w:w="12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4,43</w:t>
            </w:r>
            <w:r>
              <w:t xml:space="preserve"> </w:t>
            </w:r>
          </w:p>
        </w:tc>
        <w:tc>
          <w:tcPr>
            <w:tcW w:w="112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64"/>
              <w:jc w:val="center"/>
            </w:pPr>
            <w:r>
              <w:rPr>
                <w:rFonts w:ascii="Times New Roman" w:eastAsia="Times New Roman" w:hAnsi="Times New Roman" w:cs="Times New Roman"/>
                <w:sz w:val="24"/>
              </w:rPr>
              <w:t>,06</w:t>
            </w:r>
            <w:r>
              <w:t xml:space="preserve"> </w:t>
            </w:r>
          </w:p>
        </w:tc>
        <w:tc>
          <w:tcPr>
            <w:tcW w:w="13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4,3</w:t>
            </w:r>
            <w:r>
              <w:t xml:space="preserve">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9"/>
              <w:jc w:val="center"/>
            </w:pPr>
            <w:r>
              <w:rPr>
                <w:rFonts w:ascii="Times New Roman" w:eastAsia="Times New Roman" w:hAnsi="Times New Roman" w:cs="Times New Roman"/>
                <w:sz w:val="24"/>
              </w:rPr>
              <w:t>4,5</w:t>
            </w:r>
            <w:r>
              <w:t xml:space="preserve"> </w:t>
            </w:r>
          </w:p>
        </w:tc>
      </w:tr>
      <w:tr w:rsidR="0052701D">
        <w:trPr>
          <w:trHeight w:val="471"/>
        </w:trPr>
        <w:tc>
          <w:tcPr>
            <w:tcW w:w="0" w:type="auto"/>
            <w:vMerge/>
            <w:tcBorders>
              <w:top w:val="nil"/>
              <w:left w:val="single" w:sz="4" w:space="0" w:color="000000"/>
              <w:bottom w:val="single" w:sz="4" w:space="0" w:color="000000"/>
              <w:right w:val="single" w:sz="4" w:space="0" w:color="000000"/>
            </w:tcBorders>
          </w:tcPr>
          <w:p w:rsidR="0052701D" w:rsidRDefault="0052701D"/>
        </w:tc>
        <w:tc>
          <w:tcPr>
            <w:tcW w:w="1782"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5"/>
            </w:pPr>
            <w:r>
              <w:rPr>
                <w:rFonts w:ascii="Times New Roman" w:eastAsia="Times New Roman" w:hAnsi="Times New Roman" w:cs="Times New Roman"/>
                <w:sz w:val="24"/>
              </w:rPr>
              <w:t xml:space="preserve"> мужчины</w:t>
            </w:r>
            <w:r>
              <w:t xml:space="preserve"> </w:t>
            </w:r>
          </w:p>
        </w:tc>
        <w:tc>
          <w:tcPr>
            <w:tcW w:w="12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4,15</w:t>
            </w:r>
            <w:r>
              <w:t xml:space="preserve"> </w:t>
            </w:r>
          </w:p>
        </w:tc>
        <w:tc>
          <w:tcPr>
            <w:tcW w:w="112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64"/>
              <w:jc w:val="center"/>
            </w:pPr>
            <w:r>
              <w:rPr>
                <w:rFonts w:ascii="Times New Roman" w:eastAsia="Times New Roman" w:hAnsi="Times New Roman" w:cs="Times New Roman"/>
                <w:sz w:val="24"/>
              </w:rPr>
              <w:t>,09</w:t>
            </w:r>
            <w:r>
              <w:t xml:space="preserve"> </w:t>
            </w:r>
          </w:p>
        </w:tc>
        <w:tc>
          <w:tcPr>
            <w:tcW w:w="13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3,9</w:t>
            </w:r>
            <w:r>
              <w:t xml:space="preserve">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9"/>
              <w:jc w:val="center"/>
            </w:pPr>
            <w:r>
              <w:rPr>
                <w:rFonts w:ascii="Times New Roman" w:eastAsia="Times New Roman" w:hAnsi="Times New Roman" w:cs="Times New Roman"/>
                <w:sz w:val="24"/>
              </w:rPr>
              <w:t>4,3</w:t>
            </w:r>
            <w:r>
              <w:t xml:space="preserve"> </w:t>
            </w:r>
          </w:p>
        </w:tc>
      </w:tr>
      <w:tr w:rsidR="0052701D">
        <w:trPr>
          <w:trHeight w:val="470"/>
        </w:trPr>
        <w:tc>
          <w:tcPr>
            <w:tcW w:w="2617" w:type="dxa"/>
            <w:vMerge w:val="restart"/>
            <w:tcBorders>
              <w:top w:val="single" w:sz="4" w:space="0" w:color="000000"/>
              <w:left w:val="single" w:sz="4" w:space="0" w:color="000000"/>
              <w:bottom w:val="single" w:sz="4" w:space="0" w:color="000000"/>
              <w:right w:val="single" w:sz="4" w:space="0" w:color="000000"/>
            </w:tcBorders>
          </w:tcPr>
          <w:p w:rsidR="0052701D" w:rsidRDefault="00D40929">
            <w:pPr>
              <w:spacing w:after="0"/>
              <w:ind w:right="5"/>
              <w:jc w:val="both"/>
            </w:pPr>
            <w:r>
              <w:rPr>
                <w:rFonts w:ascii="Times New Roman" w:eastAsia="Times New Roman" w:hAnsi="Times New Roman" w:cs="Times New Roman"/>
                <w:sz w:val="24"/>
              </w:rPr>
              <w:t>Универсализм Забота о природе</w:t>
            </w:r>
            <w:r>
              <w:t xml:space="preserve"> </w:t>
            </w:r>
          </w:p>
        </w:tc>
        <w:tc>
          <w:tcPr>
            <w:tcW w:w="1782"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125"/>
            </w:pPr>
            <w:r>
              <w:rPr>
                <w:rFonts w:ascii="Times New Roman" w:eastAsia="Times New Roman" w:hAnsi="Times New Roman" w:cs="Times New Roman"/>
                <w:sz w:val="24"/>
              </w:rPr>
              <w:t>женщины</w:t>
            </w:r>
            <w:r>
              <w:t xml:space="preserve"> </w:t>
            </w:r>
          </w:p>
        </w:tc>
        <w:tc>
          <w:tcPr>
            <w:tcW w:w="12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4,15</w:t>
            </w:r>
            <w:r>
              <w:t xml:space="preserve"> </w:t>
            </w:r>
          </w:p>
        </w:tc>
        <w:tc>
          <w:tcPr>
            <w:tcW w:w="112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64"/>
              <w:jc w:val="center"/>
            </w:pPr>
            <w:r>
              <w:rPr>
                <w:rFonts w:ascii="Times New Roman" w:eastAsia="Times New Roman" w:hAnsi="Times New Roman" w:cs="Times New Roman"/>
                <w:sz w:val="24"/>
              </w:rPr>
              <w:t>,07</w:t>
            </w:r>
            <w:r>
              <w:t xml:space="preserve"> </w:t>
            </w:r>
          </w:p>
        </w:tc>
        <w:tc>
          <w:tcPr>
            <w:tcW w:w="1316"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55"/>
              <w:jc w:val="center"/>
            </w:pPr>
            <w:r>
              <w:rPr>
                <w:rFonts w:ascii="Times New Roman" w:eastAsia="Times New Roman" w:hAnsi="Times New Roman" w:cs="Times New Roman"/>
                <w:sz w:val="24"/>
              </w:rPr>
              <w:t>4</w:t>
            </w:r>
            <w:r>
              <w:t xml:space="preserve">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9"/>
              <w:jc w:val="center"/>
            </w:pPr>
            <w:r>
              <w:rPr>
                <w:rFonts w:ascii="Times New Roman" w:eastAsia="Times New Roman" w:hAnsi="Times New Roman" w:cs="Times New Roman"/>
                <w:sz w:val="24"/>
              </w:rPr>
              <w:t>4,3</w:t>
            </w:r>
            <w:r>
              <w:t xml:space="preserve"> </w:t>
            </w:r>
          </w:p>
        </w:tc>
      </w:tr>
      <w:tr w:rsidR="0052701D">
        <w:trPr>
          <w:trHeight w:val="470"/>
        </w:trPr>
        <w:tc>
          <w:tcPr>
            <w:tcW w:w="0" w:type="auto"/>
            <w:vMerge/>
            <w:tcBorders>
              <w:top w:val="nil"/>
              <w:left w:val="single" w:sz="4" w:space="0" w:color="000000"/>
              <w:bottom w:val="single" w:sz="4" w:space="0" w:color="000000"/>
              <w:right w:val="single" w:sz="4" w:space="0" w:color="000000"/>
            </w:tcBorders>
          </w:tcPr>
          <w:p w:rsidR="0052701D" w:rsidRDefault="0052701D"/>
        </w:tc>
        <w:tc>
          <w:tcPr>
            <w:tcW w:w="1782"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5"/>
            </w:pPr>
            <w:r>
              <w:rPr>
                <w:rFonts w:ascii="Times New Roman" w:eastAsia="Times New Roman" w:hAnsi="Times New Roman" w:cs="Times New Roman"/>
                <w:sz w:val="24"/>
              </w:rPr>
              <w:t xml:space="preserve"> мужчины</w:t>
            </w:r>
            <w:r>
              <w:t xml:space="preserve"> </w:t>
            </w:r>
          </w:p>
        </w:tc>
        <w:tc>
          <w:tcPr>
            <w:tcW w:w="12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3,99</w:t>
            </w:r>
            <w:r>
              <w:t xml:space="preserve"> </w:t>
            </w:r>
          </w:p>
        </w:tc>
        <w:tc>
          <w:tcPr>
            <w:tcW w:w="112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9"/>
              <w:jc w:val="center"/>
            </w:pPr>
            <w:r>
              <w:rPr>
                <w:rFonts w:ascii="Times New Roman" w:eastAsia="Times New Roman" w:hAnsi="Times New Roman" w:cs="Times New Roman"/>
                <w:sz w:val="24"/>
              </w:rPr>
              <w:t>,1</w:t>
            </w:r>
            <w:r>
              <w:t xml:space="preserve"> </w:t>
            </w:r>
          </w:p>
        </w:tc>
        <w:tc>
          <w:tcPr>
            <w:tcW w:w="13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3,7</w:t>
            </w:r>
            <w:r>
              <w:t xml:space="preserve">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9"/>
              <w:jc w:val="center"/>
            </w:pPr>
            <w:r>
              <w:rPr>
                <w:rFonts w:ascii="Times New Roman" w:eastAsia="Times New Roman" w:hAnsi="Times New Roman" w:cs="Times New Roman"/>
                <w:sz w:val="24"/>
              </w:rPr>
              <w:t>4,2</w:t>
            </w:r>
            <w:r>
              <w:t xml:space="preserve"> </w:t>
            </w:r>
          </w:p>
        </w:tc>
      </w:tr>
      <w:tr w:rsidR="0052701D">
        <w:trPr>
          <w:trHeight w:val="470"/>
        </w:trPr>
        <w:tc>
          <w:tcPr>
            <w:tcW w:w="2617" w:type="dxa"/>
            <w:vMerge w:val="restart"/>
            <w:tcBorders>
              <w:top w:val="single" w:sz="4" w:space="0" w:color="000000"/>
              <w:left w:val="single" w:sz="4" w:space="0" w:color="000000"/>
              <w:bottom w:val="single" w:sz="4" w:space="0" w:color="000000"/>
              <w:right w:val="single" w:sz="4" w:space="0" w:color="000000"/>
            </w:tcBorders>
          </w:tcPr>
          <w:p w:rsidR="0052701D" w:rsidRDefault="00D40929">
            <w:pPr>
              <w:spacing w:after="0"/>
              <w:ind w:left="125"/>
              <w:jc w:val="both"/>
            </w:pPr>
            <w:r>
              <w:rPr>
                <w:rFonts w:ascii="Times New Roman" w:eastAsia="Times New Roman" w:hAnsi="Times New Roman" w:cs="Times New Roman"/>
                <w:sz w:val="24"/>
              </w:rPr>
              <w:t>Универсализм Забота о других</w:t>
            </w:r>
            <w:r>
              <w:t xml:space="preserve"> </w:t>
            </w:r>
          </w:p>
        </w:tc>
        <w:tc>
          <w:tcPr>
            <w:tcW w:w="1782"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125"/>
            </w:pPr>
            <w:r>
              <w:rPr>
                <w:rFonts w:ascii="Times New Roman" w:eastAsia="Times New Roman" w:hAnsi="Times New Roman" w:cs="Times New Roman"/>
                <w:sz w:val="24"/>
              </w:rPr>
              <w:t>женщины</w:t>
            </w:r>
            <w:r>
              <w:t xml:space="preserve"> </w:t>
            </w:r>
          </w:p>
        </w:tc>
        <w:tc>
          <w:tcPr>
            <w:tcW w:w="12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4,71</w:t>
            </w:r>
            <w:r>
              <w:t xml:space="preserve"> </w:t>
            </w:r>
          </w:p>
        </w:tc>
        <w:tc>
          <w:tcPr>
            <w:tcW w:w="112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64"/>
              <w:jc w:val="center"/>
            </w:pPr>
            <w:r>
              <w:rPr>
                <w:rFonts w:ascii="Times New Roman" w:eastAsia="Times New Roman" w:hAnsi="Times New Roman" w:cs="Times New Roman"/>
                <w:sz w:val="24"/>
              </w:rPr>
              <w:t>,07</w:t>
            </w:r>
            <w:r>
              <w:t xml:space="preserve"> </w:t>
            </w:r>
          </w:p>
        </w:tc>
        <w:tc>
          <w:tcPr>
            <w:tcW w:w="13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4,5</w:t>
            </w:r>
            <w:r>
              <w:t xml:space="preserve">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9"/>
              <w:jc w:val="center"/>
            </w:pPr>
            <w:r>
              <w:rPr>
                <w:rFonts w:ascii="Times New Roman" w:eastAsia="Times New Roman" w:hAnsi="Times New Roman" w:cs="Times New Roman"/>
                <w:sz w:val="24"/>
              </w:rPr>
              <w:t>4,8</w:t>
            </w:r>
            <w:r>
              <w:t xml:space="preserve"> </w:t>
            </w:r>
          </w:p>
        </w:tc>
      </w:tr>
      <w:tr w:rsidR="0052701D">
        <w:trPr>
          <w:trHeight w:val="466"/>
        </w:trPr>
        <w:tc>
          <w:tcPr>
            <w:tcW w:w="0" w:type="auto"/>
            <w:vMerge/>
            <w:tcBorders>
              <w:top w:val="nil"/>
              <w:left w:val="single" w:sz="4" w:space="0" w:color="000000"/>
              <w:bottom w:val="single" w:sz="4" w:space="0" w:color="000000"/>
              <w:right w:val="single" w:sz="4" w:space="0" w:color="000000"/>
            </w:tcBorders>
          </w:tcPr>
          <w:p w:rsidR="0052701D" w:rsidRDefault="0052701D"/>
        </w:tc>
        <w:tc>
          <w:tcPr>
            <w:tcW w:w="1782"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5"/>
            </w:pPr>
            <w:r>
              <w:rPr>
                <w:rFonts w:ascii="Times New Roman" w:eastAsia="Times New Roman" w:hAnsi="Times New Roman" w:cs="Times New Roman"/>
                <w:sz w:val="24"/>
              </w:rPr>
              <w:t xml:space="preserve"> мужчины</w:t>
            </w:r>
            <w:r>
              <w:t xml:space="preserve"> </w:t>
            </w:r>
          </w:p>
        </w:tc>
        <w:tc>
          <w:tcPr>
            <w:tcW w:w="12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4,48</w:t>
            </w:r>
            <w:r>
              <w:t xml:space="preserve"> </w:t>
            </w:r>
          </w:p>
        </w:tc>
        <w:tc>
          <w:tcPr>
            <w:tcW w:w="112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64"/>
              <w:jc w:val="center"/>
            </w:pPr>
            <w:r>
              <w:rPr>
                <w:rFonts w:ascii="Times New Roman" w:eastAsia="Times New Roman" w:hAnsi="Times New Roman" w:cs="Times New Roman"/>
                <w:sz w:val="24"/>
              </w:rPr>
              <w:t>,09</w:t>
            </w:r>
            <w:r>
              <w:t xml:space="preserve"> </w:t>
            </w:r>
          </w:p>
        </w:tc>
        <w:tc>
          <w:tcPr>
            <w:tcW w:w="13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4,2</w:t>
            </w:r>
            <w:r>
              <w:t xml:space="preserve">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9"/>
              <w:jc w:val="center"/>
            </w:pPr>
            <w:r>
              <w:rPr>
                <w:rFonts w:ascii="Times New Roman" w:eastAsia="Times New Roman" w:hAnsi="Times New Roman" w:cs="Times New Roman"/>
                <w:sz w:val="24"/>
              </w:rPr>
              <w:t>4,6</w:t>
            </w:r>
            <w:r>
              <w:t xml:space="preserve"> </w:t>
            </w:r>
          </w:p>
        </w:tc>
      </w:tr>
      <w:tr w:rsidR="0052701D">
        <w:trPr>
          <w:trHeight w:val="470"/>
        </w:trPr>
        <w:tc>
          <w:tcPr>
            <w:tcW w:w="2617" w:type="dxa"/>
            <w:vMerge w:val="restart"/>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Универсализм Толерантнсть</w:t>
            </w:r>
            <w:r>
              <w:t xml:space="preserve"> </w:t>
            </w:r>
          </w:p>
        </w:tc>
        <w:tc>
          <w:tcPr>
            <w:tcW w:w="1782"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125"/>
            </w:pPr>
            <w:r>
              <w:rPr>
                <w:rFonts w:ascii="Times New Roman" w:eastAsia="Times New Roman" w:hAnsi="Times New Roman" w:cs="Times New Roman"/>
                <w:sz w:val="24"/>
              </w:rPr>
              <w:t>женщины</w:t>
            </w:r>
            <w:r>
              <w:t xml:space="preserve"> </w:t>
            </w:r>
          </w:p>
        </w:tc>
        <w:tc>
          <w:tcPr>
            <w:tcW w:w="12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9"/>
              <w:jc w:val="center"/>
            </w:pPr>
            <w:r>
              <w:rPr>
                <w:rFonts w:ascii="Times New Roman" w:eastAsia="Times New Roman" w:hAnsi="Times New Roman" w:cs="Times New Roman"/>
                <w:sz w:val="24"/>
              </w:rPr>
              <w:t>4,4</w:t>
            </w:r>
            <w:r>
              <w:t xml:space="preserve"> </w:t>
            </w:r>
          </w:p>
        </w:tc>
        <w:tc>
          <w:tcPr>
            <w:tcW w:w="112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64"/>
              <w:jc w:val="center"/>
            </w:pPr>
            <w:r>
              <w:rPr>
                <w:rFonts w:ascii="Times New Roman" w:eastAsia="Times New Roman" w:hAnsi="Times New Roman" w:cs="Times New Roman"/>
                <w:sz w:val="24"/>
              </w:rPr>
              <w:t>,07</w:t>
            </w:r>
            <w:r>
              <w:t xml:space="preserve"> </w:t>
            </w:r>
          </w:p>
        </w:tc>
        <w:tc>
          <w:tcPr>
            <w:tcW w:w="13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4,2</w:t>
            </w:r>
            <w:r>
              <w:t xml:space="preserve">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9"/>
              <w:jc w:val="center"/>
            </w:pPr>
            <w:r>
              <w:rPr>
                <w:rFonts w:ascii="Times New Roman" w:eastAsia="Times New Roman" w:hAnsi="Times New Roman" w:cs="Times New Roman"/>
                <w:sz w:val="24"/>
              </w:rPr>
              <w:t>4,5</w:t>
            </w:r>
            <w:r>
              <w:t xml:space="preserve"> </w:t>
            </w:r>
          </w:p>
        </w:tc>
      </w:tr>
      <w:tr w:rsidR="0052701D">
        <w:trPr>
          <w:trHeight w:val="470"/>
        </w:trPr>
        <w:tc>
          <w:tcPr>
            <w:tcW w:w="0" w:type="auto"/>
            <w:vMerge/>
            <w:tcBorders>
              <w:top w:val="nil"/>
              <w:left w:val="single" w:sz="4" w:space="0" w:color="000000"/>
              <w:bottom w:val="single" w:sz="4" w:space="0" w:color="000000"/>
              <w:right w:val="single" w:sz="4" w:space="0" w:color="000000"/>
            </w:tcBorders>
          </w:tcPr>
          <w:p w:rsidR="0052701D" w:rsidRDefault="0052701D"/>
        </w:tc>
        <w:tc>
          <w:tcPr>
            <w:tcW w:w="1782"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5"/>
            </w:pPr>
            <w:r>
              <w:rPr>
                <w:rFonts w:ascii="Times New Roman" w:eastAsia="Times New Roman" w:hAnsi="Times New Roman" w:cs="Times New Roman"/>
                <w:sz w:val="24"/>
              </w:rPr>
              <w:t xml:space="preserve"> мужчины</w:t>
            </w:r>
            <w:r>
              <w:t xml:space="preserve"> </w:t>
            </w:r>
          </w:p>
        </w:tc>
        <w:tc>
          <w:tcPr>
            <w:tcW w:w="12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3,96</w:t>
            </w:r>
            <w:r>
              <w:t xml:space="preserve"> </w:t>
            </w:r>
          </w:p>
        </w:tc>
        <w:tc>
          <w:tcPr>
            <w:tcW w:w="112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64"/>
              <w:jc w:val="center"/>
            </w:pPr>
            <w:r>
              <w:rPr>
                <w:rFonts w:ascii="Times New Roman" w:eastAsia="Times New Roman" w:hAnsi="Times New Roman" w:cs="Times New Roman"/>
                <w:sz w:val="24"/>
              </w:rPr>
              <w:t>,09</w:t>
            </w:r>
            <w:r>
              <w:t xml:space="preserve"> </w:t>
            </w:r>
          </w:p>
        </w:tc>
        <w:tc>
          <w:tcPr>
            <w:tcW w:w="13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3,7</w:t>
            </w:r>
            <w:r>
              <w:t xml:space="preserve">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9"/>
              <w:jc w:val="center"/>
            </w:pPr>
            <w:r>
              <w:rPr>
                <w:rFonts w:ascii="Times New Roman" w:eastAsia="Times New Roman" w:hAnsi="Times New Roman" w:cs="Times New Roman"/>
                <w:sz w:val="24"/>
              </w:rPr>
              <w:t>4,1</w:t>
            </w:r>
            <w:r>
              <w:t xml:space="preserve"> </w:t>
            </w:r>
          </w:p>
        </w:tc>
      </w:tr>
      <w:tr w:rsidR="0052701D">
        <w:trPr>
          <w:trHeight w:val="648"/>
        </w:trPr>
        <w:tc>
          <w:tcPr>
            <w:tcW w:w="2617" w:type="dxa"/>
            <w:tcBorders>
              <w:top w:val="single" w:sz="4" w:space="0" w:color="000000"/>
              <w:left w:val="single" w:sz="4" w:space="0" w:color="000000"/>
              <w:bottom w:val="single" w:sz="4" w:space="0" w:color="000000"/>
              <w:right w:val="single" w:sz="4" w:space="0" w:color="000000"/>
            </w:tcBorders>
          </w:tcPr>
          <w:p w:rsidR="0052701D" w:rsidRDefault="0052701D"/>
        </w:tc>
        <w:tc>
          <w:tcPr>
            <w:tcW w:w="178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25"/>
            </w:pPr>
            <w:r>
              <w:rPr>
                <w:rFonts w:ascii="Times New Roman" w:eastAsia="Times New Roman" w:hAnsi="Times New Roman" w:cs="Times New Roman"/>
                <w:sz w:val="24"/>
              </w:rPr>
              <w:t>женщины</w:t>
            </w:r>
            <w:r>
              <w:t xml:space="preserve"> </w:t>
            </w:r>
          </w:p>
        </w:tc>
        <w:tc>
          <w:tcPr>
            <w:tcW w:w="12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5,22</w:t>
            </w:r>
            <w:r>
              <w:t xml:space="preserve"> </w:t>
            </w:r>
          </w:p>
        </w:tc>
        <w:tc>
          <w:tcPr>
            <w:tcW w:w="112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64"/>
              <w:jc w:val="center"/>
            </w:pPr>
            <w:r>
              <w:rPr>
                <w:rFonts w:ascii="Times New Roman" w:eastAsia="Times New Roman" w:hAnsi="Times New Roman" w:cs="Times New Roman"/>
                <w:sz w:val="24"/>
              </w:rPr>
              <w:t>,06</w:t>
            </w:r>
            <w:r>
              <w:t xml:space="preserve"> </w:t>
            </w:r>
          </w:p>
        </w:tc>
        <w:tc>
          <w:tcPr>
            <w:tcW w:w="13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5"/>
              <w:jc w:val="center"/>
            </w:pPr>
            <w:r>
              <w:rPr>
                <w:rFonts w:ascii="Times New Roman" w:eastAsia="Times New Roman" w:hAnsi="Times New Roman" w:cs="Times New Roman"/>
                <w:sz w:val="24"/>
              </w:rPr>
              <w:t>5</w:t>
            </w:r>
            <w:r>
              <w:t xml:space="preserve">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9"/>
              <w:jc w:val="center"/>
            </w:pPr>
            <w:r>
              <w:rPr>
                <w:rFonts w:ascii="Times New Roman" w:eastAsia="Times New Roman" w:hAnsi="Times New Roman" w:cs="Times New Roman"/>
                <w:sz w:val="24"/>
              </w:rPr>
              <w:t>5,3</w:t>
            </w:r>
            <w:r>
              <w:t xml:space="preserve"> </w:t>
            </w:r>
          </w:p>
        </w:tc>
      </w:tr>
      <w:tr w:rsidR="0052701D">
        <w:trPr>
          <w:trHeight w:val="720"/>
        </w:trPr>
        <w:tc>
          <w:tcPr>
            <w:tcW w:w="261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20"/>
            </w:pPr>
            <w:r>
              <w:rPr>
                <w:rFonts w:ascii="Times New Roman" w:eastAsia="Times New Roman" w:hAnsi="Times New Roman" w:cs="Times New Roman"/>
                <w:sz w:val="24"/>
              </w:rPr>
              <w:t>Благожелательность –Забота</w:t>
            </w:r>
            <w:r>
              <w:t xml:space="preserve"> </w:t>
            </w:r>
          </w:p>
        </w:tc>
        <w:tc>
          <w:tcPr>
            <w:tcW w:w="1782"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 мужчины</w:t>
            </w:r>
            <w:r>
              <w:t xml:space="preserve"> </w:t>
            </w:r>
          </w:p>
        </w:tc>
        <w:tc>
          <w:tcPr>
            <w:tcW w:w="12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02"/>
              <w:jc w:val="center"/>
            </w:pPr>
            <w:r>
              <w:rPr>
                <w:rFonts w:ascii="Times New Roman" w:eastAsia="Times New Roman" w:hAnsi="Times New Roman" w:cs="Times New Roman"/>
                <w:sz w:val="24"/>
              </w:rPr>
              <w:t>4,95</w:t>
            </w:r>
            <w:r>
              <w:t xml:space="preserve"> </w:t>
            </w:r>
          </w:p>
        </w:tc>
        <w:tc>
          <w:tcPr>
            <w:tcW w:w="112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11"/>
              <w:jc w:val="center"/>
            </w:pPr>
            <w:r>
              <w:rPr>
                <w:rFonts w:ascii="Times New Roman" w:eastAsia="Times New Roman" w:hAnsi="Times New Roman" w:cs="Times New Roman"/>
                <w:sz w:val="24"/>
              </w:rPr>
              <w:t>,08</w:t>
            </w:r>
            <w:r>
              <w:t xml:space="preserve"> </w:t>
            </w:r>
          </w:p>
        </w:tc>
        <w:tc>
          <w:tcPr>
            <w:tcW w:w="13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02"/>
              <w:jc w:val="center"/>
            </w:pPr>
            <w:r>
              <w:rPr>
                <w:rFonts w:ascii="Times New Roman" w:eastAsia="Times New Roman" w:hAnsi="Times New Roman" w:cs="Times New Roman"/>
                <w:sz w:val="24"/>
              </w:rPr>
              <w:t>4,7</w:t>
            </w:r>
            <w:r>
              <w:t xml:space="preserve">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07"/>
              <w:jc w:val="center"/>
            </w:pPr>
            <w:r>
              <w:rPr>
                <w:rFonts w:ascii="Times New Roman" w:eastAsia="Times New Roman" w:hAnsi="Times New Roman" w:cs="Times New Roman"/>
                <w:sz w:val="24"/>
              </w:rPr>
              <w:t>5,1</w:t>
            </w:r>
            <w:r>
              <w:t xml:space="preserve"> </w:t>
            </w:r>
          </w:p>
        </w:tc>
      </w:tr>
      <w:tr w:rsidR="0052701D">
        <w:trPr>
          <w:trHeight w:val="470"/>
        </w:trPr>
        <w:tc>
          <w:tcPr>
            <w:tcW w:w="2617" w:type="dxa"/>
            <w:vMerge w:val="restart"/>
            <w:tcBorders>
              <w:top w:val="single" w:sz="4" w:space="0" w:color="000000"/>
              <w:left w:val="single" w:sz="4" w:space="0" w:color="000000"/>
              <w:bottom w:val="single" w:sz="4" w:space="0" w:color="000000"/>
              <w:right w:val="single" w:sz="4" w:space="0" w:color="000000"/>
            </w:tcBorders>
          </w:tcPr>
          <w:p w:rsidR="0052701D" w:rsidRDefault="00D40929">
            <w:pPr>
              <w:spacing w:after="0"/>
              <w:ind w:left="120"/>
              <w:jc w:val="both"/>
            </w:pPr>
            <w:r>
              <w:rPr>
                <w:rFonts w:ascii="Times New Roman" w:eastAsia="Times New Roman" w:hAnsi="Times New Roman" w:cs="Times New Roman"/>
                <w:sz w:val="24"/>
              </w:rPr>
              <w:t xml:space="preserve">Благожлательность – </w:t>
            </w:r>
            <w:r>
              <w:rPr>
                <w:rFonts w:ascii="Times New Roman" w:eastAsia="Times New Roman" w:hAnsi="Times New Roman" w:cs="Times New Roman"/>
                <w:sz w:val="24"/>
              </w:rPr>
              <w:t>Чувство долга</w:t>
            </w:r>
            <w:r>
              <w:t xml:space="preserve"> </w:t>
            </w:r>
          </w:p>
        </w:tc>
        <w:tc>
          <w:tcPr>
            <w:tcW w:w="1782"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120"/>
            </w:pPr>
            <w:r>
              <w:rPr>
                <w:rFonts w:ascii="Times New Roman" w:eastAsia="Times New Roman" w:hAnsi="Times New Roman" w:cs="Times New Roman"/>
                <w:sz w:val="24"/>
              </w:rPr>
              <w:t>женщины</w:t>
            </w:r>
            <w:r>
              <w:t xml:space="preserve"> </w:t>
            </w:r>
          </w:p>
        </w:tc>
        <w:tc>
          <w:tcPr>
            <w:tcW w:w="12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07"/>
              <w:jc w:val="center"/>
            </w:pPr>
            <w:r>
              <w:rPr>
                <w:rFonts w:ascii="Times New Roman" w:eastAsia="Times New Roman" w:hAnsi="Times New Roman" w:cs="Times New Roman"/>
                <w:sz w:val="24"/>
              </w:rPr>
              <w:t>5,2</w:t>
            </w:r>
            <w:r>
              <w:t xml:space="preserve"> </w:t>
            </w:r>
          </w:p>
        </w:tc>
        <w:tc>
          <w:tcPr>
            <w:tcW w:w="112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11"/>
              <w:jc w:val="center"/>
            </w:pPr>
            <w:r>
              <w:rPr>
                <w:rFonts w:ascii="Times New Roman" w:eastAsia="Times New Roman" w:hAnsi="Times New Roman" w:cs="Times New Roman"/>
                <w:sz w:val="24"/>
              </w:rPr>
              <w:t>,07</w:t>
            </w:r>
            <w:r>
              <w:t xml:space="preserve"> </w:t>
            </w:r>
          </w:p>
        </w:tc>
        <w:tc>
          <w:tcPr>
            <w:tcW w:w="1316"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102"/>
              <w:jc w:val="center"/>
            </w:pPr>
            <w:r>
              <w:rPr>
                <w:rFonts w:ascii="Times New Roman" w:eastAsia="Times New Roman" w:hAnsi="Times New Roman" w:cs="Times New Roman"/>
                <w:sz w:val="24"/>
              </w:rPr>
              <w:t>5</w:t>
            </w:r>
            <w:r>
              <w:t xml:space="preserve">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07"/>
              <w:jc w:val="center"/>
            </w:pPr>
            <w:r>
              <w:rPr>
                <w:rFonts w:ascii="Times New Roman" w:eastAsia="Times New Roman" w:hAnsi="Times New Roman" w:cs="Times New Roman"/>
                <w:sz w:val="24"/>
              </w:rPr>
              <w:t>5,3</w:t>
            </w:r>
            <w:r>
              <w:t xml:space="preserve"> </w:t>
            </w:r>
          </w:p>
        </w:tc>
      </w:tr>
      <w:tr w:rsidR="0052701D">
        <w:trPr>
          <w:trHeight w:val="471"/>
        </w:trPr>
        <w:tc>
          <w:tcPr>
            <w:tcW w:w="0" w:type="auto"/>
            <w:vMerge/>
            <w:tcBorders>
              <w:top w:val="nil"/>
              <w:left w:val="single" w:sz="4" w:space="0" w:color="000000"/>
              <w:bottom w:val="single" w:sz="4" w:space="0" w:color="000000"/>
              <w:right w:val="single" w:sz="4" w:space="0" w:color="000000"/>
            </w:tcBorders>
          </w:tcPr>
          <w:p w:rsidR="0052701D" w:rsidRDefault="0052701D"/>
        </w:tc>
        <w:tc>
          <w:tcPr>
            <w:tcW w:w="1782"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pPr>
            <w:r>
              <w:rPr>
                <w:rFonts w:ascii="Times New Roman" w:eastAsia="Times New Roman" w:hAnsi="Times New Roman" w:cs="Times New Roman"/>
                <w:sz w:val="24"/>
              </w:rPr>
              <w:t xml:space="preserve"> мужчины</w:t>
            </w:r>
            <w:r>
              <w:t xml:space="preserve"> </w:t>
            </w:r>
          </w:p>
        </w:tc>
        <w:tc>
          <w:tcPr>
            <w:tcW w:w="12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07"/>
              <w:jc w:val="center"/>
            </w:pPr>
            <w:r>
              <w:rPr>
                <w:rFonts w:ascii="Times New Roman" w:eastAsia="Times New Roman" w:hAnsi="Times New Roman" w:cs="Times New Roman"/>
                <w:sz w:val="24"/>
              </w:rPr>
              <w:t>4,9</w:t>
            </w:r>
            <w:r>
              <w:t xml:space="preserve"> </w:t>
            </w:r>
          </w:p>
        </w:tc>
        <w:tc>
          <w:tcPr>
            <w:tcW w:w="112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11"/>
              <w:jc w:val="center"/>
            </w:pPr>
            <w:r>
              <w:rPr>
                <w:rFonts w:ascii="Times New Roman" w:eastAsia="Times New Roman" w:hAnsi="Times New Roman" w:cs="Times New Roman"/>
                <w:sz w:val="24"/>
              </w:rPr>
              <w:t>,09</w:t>
            </w:r>
            <w:r>
              <w:t xml:space="preserve"> </w:t>
            </w:r>
          </w:p>
        </w:tc>
        <w:tc>
          <w:tcPr>
            <w:tcW w:w="131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02"/>
              <w:jc w:val="center"/>
            </w:pPr>
            <w:r>
              <w:rPr>
                <w:rFonts w:ascii="Times New Roman" w:eastAsia="Times New Roman" w:hAnsi="Times New Roman" w:cs="Times New Roman"/>
                <w:sz w:val="24"/>
              </w:rPr>
              <w:t>4,7</w:t>
            </w:r>
            <w:r>
              <w:t xml:space="preserve"> </w:t>
            </w:r>
          </w:p>
        </w:tc>
        <w:tc>
          <w:tcPr>
            <w:tcW w:w="1532"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108"/>
              <w:jc w:val="center"/>
            </w:pPr>
            <w:r>
              <w:rPr>
                <w:rFonts w:ascii="Times New Roman" w:eastAsia="Times New Roman" w:hAnsi="Times New Roman" w:cs="Times New Roman"/>
                <w:sz w:val="24"/>
              </w:rPr>
              <w:t>5</w:t>
            </w:r>
            <w:r>
              <w:t xml:space="preserve"> </w:t>
            </w:r>
          </w:p>
        </w:tc>
      </w:tr>
    </w:tbl>
    <w:p w:rsidR="0052701D" w:rsidRDefault="00D40929">
      <w:pPr>
        <w:spacing w:after="24"/>
      </w:pPr>
      <w:r>
        <w:rPr>
          <w:rFonts w:ascii="Times New Roman" w:eastAsia="Times New Roman" w:hAnsi="Times New Roman" w:cs="Times New Roman"/>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То есть женщины больше, чем мужчины ориентированы на стремление к новизне и переменам, безопасность непосредственного окружения, признание незначительности существования одного </w:t>
      </w:r>
      <w:r>
        <w:rPr>
          <w:rFonts w:ascii="Times New Roman" w:eastAsia="Times New Roman" w:hAnsi="Times New Roman" w:cs="Times New Roman"/>
          <w:sz w:val="28"/>
        </w:rPr>
        <w:t xml:space="preserve">человека в круговороте жизни, принятие и понимание тех, кто отличается от тебя, преданность группе и благополучие ее членов и стремление быть надежным и заслуживающим доверия членом группы.  </w:t>
      </w:r>
    </w:p>
    <w:p w:rsidR="0052701D" w:rsidRDefault="00D40929">
      <w:pPr>
        <w:spacing w:after="5" w:line="271" w:lineRule="auto"/>
        <w:ind w:left="9" w:right="64" w:firstLine="711"/>
        <w:jc w:val="both"/>
      </w:pPr>
      <w:r>
        <w:rPr>
          <w:rFonts w:ascii="Times New Roman" w:eastAsia="Times New Roman" w:hAnsi="Times New Roman" w:cs="Times New Roman"/>
          <w:sz w:val="28"/>
        </w:rPr>
        <w:t>Большая часть ценностей соответствует традиционной женской роли,</w:t>
      </w:r>
      <w:r>
        <w:rPr>
          <w:rFonts w:ascii="Times New Roman" w:eastAsia="Times New Roman" w:hAnsi="Times New Roman" w:cs="Times New Roman"/>
          <w:sz w:val="28"/>
        </w:rPr>
        <w:t xml:space="preserve"> исключение составляет ценность стимуляции, что указывает на наличие трансформации социальных представлений традиционной женской роли. Отметим, что различия касаются трех мета-ценностей Самоопределения, Самосохранения и Открытости изменениям.  </w:t>
      </w:r>
    </w:p>
    <w:p w:rsidR="0052701D" w:rsidRDefault="00D40929">
      <w:pPr>
        <w:spacing w:after="5" w:line="271" w:lineRule="auto"/>
        <w:ind w:left="9" w:right="64" w:firstLine="711"/>
        <w:jc w:val="both"/>
      </w:pPr>
      <w:r>
        <w:rPr>
          <w:rFonts w:ascii="Times New Roman" w:eastAsia="Times New Roman" w:hAnsi="Times New Roman" w:cs="Times New Roman"/>
          <w:sz w:val="28"/>
        </w:rPr>
        <w:t>Так же выяв</w:t>
      </w:r>
      <w:r>
        <w:rPr>
          <w:rFonts w:ascii="Times New Roman" w:eastAsia="Times New Roman" w:hAnsi="Times New Roman" w:cs="Times New Roman"/>
          <w:sz w:val="28"/>
        </w:rPr>
        <w:t xml:space="preserve">лены 13 ценностных ориентаций, которые объединяют оба пола: </w:t>
      </w:r>
    </w:p>
    <w:p w:rsidR="0052701D" w:rsidRDefault="00D40929">
      <w:pPr>
        <w:numPr>
          <w:ilvl w:val="0"/>
          <w:numId w:val="108"/>
        </w:numPr>
        <w:spacing w:after="5" w:line="271" w:lineRule="auto"/>
        <w:ind w:right="64" w:hanging="163"/>
        <w:jc w:val="both"/>
      </w:pPr>
      <w:r>
        <w:rPr>
          <w:rFonts w:ascii="Times New Roman" w:eastAsia="Times New Roman" w:hAnsi="Times New Roman" w:cs="Times New Roman"/>
          <w:sz w:val="28"/>
        </w:rPr>
        <w:t xml:space="preserve">Самостоятельность-Мысли </w:t>
      </w:r>
    </w:p>
    <w:p w:rsidR="0052701D" w:rsidRDefault="00D40929">
      <w:pPr>
        <w:numPr>
          <w:ilvl w:val="0"/>
          <w:numId w:val="108"/>
        </w:numPr>
        <w:spacing w:after="5" w:line="271" w:lineRule="auto"/>
        <w:ind w:right="64" w:hanging="163"/>
        <w:jc w:val="both"/>
      </w:pPr>
      <w:r>
        <w:rPr>
          <w:rFonts w:ascii="Times New Roman" w:eastAsia="Times New Roman" w:hAnsi="Times New Roman" w:cs="Times New Roman"/>
          <w:sz w:val="28"/>
        </w:rPr>
        <w:t xml:space="preserve">Самостоятельность-Поступки </w:t>
      </w:r>
    </w:p>
    <w:p w:rsidR="0052701D" w:rsidRDefault="00D40929">
      <w:pPr>
        <w:numPr>
          <w:ilvl w:val="0"/>
          <w:numId w:val="108"/>
        </w:numPr>
        <w:spacing w:after="5" w:line="271" w:lineRule="auto"/>
        <w:ind w:right="64" w:hanging="163"/>
        <w:jc w:val="both"/>
      </w:pPr>
      <w:r>
        <w:rPr>
          <w:rFonts w:ascii="Times New Roman" w:eastAsia="Times New Roman" w:hAnsi="Times New Roman" w:cs="Times New Roman"/>
          <w:sz w:val="28"/>
        </w:rPr>
        <w:t xml:space="preserve">Гедонизм </w:t>
      </w:r>
    </w:p>
    <w:p w:rsidR="0052701D" w:rsidRDefault="00D40929">
      <w:pPr>
        <w:numPr>
          <w:ilvl w:val="0"/>
          <w:numId w:val="108"/>
        </w:numPr>
        <w:spacing w:after="5" w:line="271" w:lineRule="auto"/>
        <w:ind w:right="64" w:hanging="163"/>
        <w:jc w:val="both"/>
      </w:pPr>
      <w:r>
        <w:rPr>
          <w:rFonts w:ascii="Times New Roman" w:eastAsia="Times New Roman" w:hAnsi="Times New Roman" w:cs="Times New Roman"/>
          <w:sz w:val="28"/>
        </w:rPr>
        <w:t xml:space="preserve">Достижение </w:t>
      </w:r>
    </w:p>
    <w:p w:rsidR="0052701D" w:rsidRDefault="00D40929">
      <w:pPr>
        <w:numPr>
          <w:ilvl w:val="0"/>
          <w:numId w:val="108"/>
        </w:numPr>
        <w:spacing w:after="5" w:line="271" w:lineRule="auto"/>
        <w:ind w:right="64" w:hanging="163"/>
        <w:jc w:val="both"/>
      </w:pPr>
      <w:r>
        <w:rPr>
          <w:rFonts w:ascii="Times New Roman" w:eastAsia="Times New Roman" w:hAnsi="Times New Roman" w:cs="Times New Roman"/>
          <w:sz w:val="28"/>
        </w:rPr>
        <w:t xml:space="preserve">Власть-доминирование  </w:t>
      </w:r>
    </w:p>
    <w:p w:rsidR="0052701D" w:rsidRDefault="00D40929">
      <w:pPr>
        <w:numPr>
          <w:ilvl w:val="0"/>
          <w:numId w:val="108"/>
        </w:numPr>
        <w:spacing w:after="5" w:line="271" w:lineRule="auto"/>
        <w:ind w:right="64" w:hanging="163"/>
        <w:jc w:val="both"/>
      </w:pPr>
      <w:r>
        <w:rPr>
          <w:rFonts w:ascii="Times New Roman" w:eastAsia="Times New Roman" w:hAnsi="Times New Roman" w:cs="Times New Roman"/>
          <w:sz w:val="28"/>
        </w:rPr>
        <w:t xml:space="preserve">Власть-Ресурсы </w:t>
      </w:r>
    </w:p>
    <w:p w:rsidR="0052701D" w:rsidRDefault="00D40929">
      <w:pPr>
        <w:numPr>
          <w:ilvl w:val="0"/>
          <w:numId w:val="108"/>
        </w:numPr>
        <w:spacing w:after="5" w:line="271" w:lineRule="auto"/>
        <w:ind w:right="64" w:hanging="163"/>
        <w:jc w:val="both"/>
      </w:pPr>
      <w:r>
        <w:rPr>
          <w:rFonts w:ascii="Times New Roman" w:eastAsia="Times New Roman" w:hAnsi="Times New Roman" w:cs="Times New Roman"/>
          <w:sz w:val="28"/>
        </w:rPr>
        <w:t xml:space="preserve">Репутация </w:t>
      </w:r>
    </w:p>
    <w:p w:rsidR="0052701D" w:rsidRDefault="00D40929">
      <w:pPr>
        <w:numPr>
          <w:ilvl w:val="0"/>
          <w:numId w:val="108"/>
        </w:numPr>
        <w:spacing w:after="5" w:line="271" w:lineRule="auto"/>
        <w:ind w:right="64" w:hanging="163"/>
        <w:jc w:val="both"/>
      </w:pPr>
      <w:r>
        <w:rPr>
          <w:rFonts w:ascii="Times New Roman" w:eastAsia="Times New Roman" w:hAnsi="Times New Roman" w:cs="Times New Roman"/>
          <w:sz w:val="28"/>
        </w:rPr>
        <w:t xml:space="preserve">Безопасность Социальная </w:t>
      </w:r>
    </w:p>
    <w:p w:rsidR="0052701D" w:rsidRDefault="00D40929">
      <w:pPr>
        <w:numPr>
          <w:ilvl w:val="0"/>
          <w:numId w:val="108"/>
        </w:numPr>
        <w:spacing w:after="5" w:line="271" w:lineRule="auto"/>
        <w:ind w:right="64" w:hanging="163"/>
        <w:jc w:val="both"/>
      </w:pPr>
      <w:r>
        <w:rPr>
          <w:rFonts w:ascii="Times New Roman" w:eastAsia="Times New Roman" w:hAnsi="Times New Roman" w:cs="Times New Roman"/>
          <w:sz w:val="28"/>
        </w:rPr>
        <w:lastRenderedPageBreak/>
        <w:t xml:space="preserve">Традиция </w:t>
      </w:r>
    </w:p>
    <w:p w:rsidR="0052701D" w:rsidRDefault="00D40929">
      <w:pPr>
        <w:numPr>
          <w:ilvl w:val="0"/>
          <w:numId w:val="108"/>
        </w:numPr>
        <w:spacing w:after="5" w:line="271" w:lineRule="auto"/>
        <w:ind w:right="64" w:hanging="163"/>
        <w:jc w:val="both"/>
      </w:pPr>
      <w:r>
        <w:rPr>
          <w:rFonts w:ascii="Times New Roman" w:eastAsia="Times New Roman" w:hAnsi="Times New Roman" w:cs="Times New Roman"/>
          <w:sz w:val="28"/>
        </w:rPr>
        <w:t xml:space="preserve">Конформность правила </w:t>
      </w:r>
    </w:p>
    <w:p w:rsidR="0052701D" w:rsidRDefault="00D40929">
      <w:pPr>
        <w:numPr>
          <w:ilvl w:val="0"/>
          <w:numId w:val="108"/>
        </w:numPr>
        <w:spacing w:after="5" w:line="271" w:lineRule="auto"/>
        <w:ind w:right="64" w:hanging="163"/>
        <w:jc w:val="both"/>
      </w:pPr>
      <w:r>
        <w:rPr>
          <w:rFonts w:ascii="Times New Roman" w:eastAsia="Times New Roman" w:hAnsi="Times New Roman" w:cs="Times New Roman"/>
          <w:sz w:val="28"/>
        </w:rPr>
        <w:t xml:space="preserve">Конформность </w:t>
      </w:r>
      <w:r>
        <w:rPr>
          <w:rFonts w:ascii="Times New Roman" w:eastAsia="Times New Roman" w:hAnsi="Times New Roman" w:cs="Times New Roman"/>
          <w:sz w:val="28"/>
        </w:rPr>
        <w:t xml:space="preserve">межличностная </w:t>
      </w:r>
    </w:p>
    <w:p w:rsidR="0052701D" w:rsidRDefault="00D40929">
      <w:pPr>
        <w:numPr>
          <w:ilvl w:val="0"/>
          <w:numId w:val="108"/>
        </w:numPr>
        <w:spacing w:after="5" w:line="271" w:lineRule="auto"/>
        <w:ind w:right="64" w:hanging="163"/>
        <w:jc w:val="both"/>
      </w:pPr>
      <w:r>
        <w:rPr>
          <w:rFonts w:ascii="Times New Roman" w:eastAsia="Times New Roman" w:hAnsi="Times New Roman" w:cs="Times New Roman"/>
          <w:sz w:val="28"/>
        </w:rPr>
        <w:t xml:space="preserve">Универсализм Забота о природе </w:t>
      </w:r>
    </w:p>
    <w:p w:rsidR="0052701D" w:rsidRDefault="00D40929">
      <w:pPr>
        <w:numPr>
          <w:ilvl w:val="0"/>
          <w:numId w:val="108"/>
        </w:numPr>
        <w:spacing w:after="5" w:line="271" w:lineRule="auto"/>
        <w:ind w:right="64" w:hanging="163"/>
        <w:jc w:val="both"/>
      </w:pPr>
      <w:r>
        <w:rPr>
          <w:rFonts w:ascii="Times New Roman" w:eastAsia="Times New Roman" w:hAnsi="Times New Roman" w:cs="Times New Roman"/>
          <w:sz w:val="28"/>
        </w:rPr>
        <w:t xml:space="preserve">Универсализм Забота о других </w:t>
      </w:r>
    </w:p>
    <w:p w:rsidR="0052701D" w:rsidRDefault="00D40929">
      <w:pPr>
        <w:spacing w:after="5" w:line="271" w:lineRule="auto"/>
        <w:ind w:left="9" w:right="64" w:firstLine="711"/>
        <w:jc w:val="both"/>
      </w:pPr>
      <w:r>
        <w:rPr>
          <w:rFonts w:ascii="Times New Roman" w:eastAsia="Times New Roman" w:hAnsi="Times New Roman" w:cs="Times New Roman"/>
          <w:sz w:val="28"/>
        </w:rPr>
        <w:t>Как мы видим, мужчины, и женщины одинаково направлены на развитие способностей и идей, на свободу определять собственные действия, на стремление к успеху, стремление оказывать влия</w:t>
      </w:r>
      <w:r>
        <w:rPr>
          <w:rFonts w:ascii="Times New Roman" w:eastAsia="Times New Roman" w:hAnsi="Times New Roman" w:cs="Times New Roman"/>
          <w:sz w:val="28"/>
        </w:rPr>
        <w:t xml:space="preserve">ние посредством контроля. Выявленные сходства и различия, в системе ценностей мужчин и женщин, указывают на наличие трансформационных процессов связанных с изменением представлений о традиционно мужских и женских ролях. </w:t>
      </w:r>
    </w:p>
    <w:p w:rsidR="0052701D" w:rsidRDefault="00D40929">
      <w:pPr>
        <w:spacing w:after="15" w:line="269" w:lineRule="auto"/>
        <w:ind w:firstLine="711"/>
      </w:pPr>
      <w:r>
        <w:rPr>
          <w:rFonts w:ascii="Times New Roman" w:eastAsia="Times New Roman" w:hAnsi="Times New Roman" w:cs="Times New Roman"/>
          <w:i/>
          <w:sz w:val="28"/>
        </w:rPr>
        <w:t>Результаты множественного дисперсио</w:t>
      </w:r>
      <w:r>
        <w:rPr>
          <w:rFonts w:ascii="Times New Roman" w:eastAsia="Times New Roman" w:hAnsi="Times New Roman" w:cs="Times New Roman"/>
          <w:i/>
          <w:sz w:val="28"/>
        </w:rPr>
        <w:t xml:space="preserve">нного анализа (MANOVA) на казахстанской выборке (Опросник Социальных Аксиом). </w:t>
      </w:r>
    </w:p>
    <w:p w:rsidR="0052701D" w:rsidRDefault="00D40929">
      <w:pPr>
        <w:spacing w:after="5" w:line="271" w:lineRule="auto"/>
        <w:ind w:left="9" w:right="64" w:firstLine="711"/>
        <w:jc w:val="both"/>
      </w:pPr>
      <w:r>
        <w:rPr>
          <w:rFonts w:ascii="Times New Roman" w:eastAsia="Times New Roman" w:hAnsi="Times New Roman" w:cs="Times New Roman"/>
          <w:sz w:val="28"/>
        </w:rPr>
        <w:t>В результате исследования экспериментально установлены гендерные различия в особенности ценностных ориентаций и социальных аксиом современной, что позволяет прогнозировать и опт</w:t>
      </w:r>
      <w:r>
        <w:rPr>
          <w:rFonts w:ascii="Times New Roman" w:eastAsia="Times New Roman" w:hAnsi="Times New Roman" w:cs="Times New Roman"/>
          <w:sz w:val="28"/>
        </w:rPr>
        <w:t xml:space="preserve">имизировать пути формирования и развития базовых ценностей, убеждений и личности.  </w:t>
      </w:r>
    </w:p>
    <w:p w:rsidR="0052701D" w:rsidRDefault="00D40929">
      <w:pPr>
        <w:spacing w:after="0"/>
        <w:ind w:left="711"/>
      </w:pPr>
      <w:r>
        <w:rPr>
          <w:rFonts w:ascii="Times New Roman" w:eastAsia="Times New Roman" w:hAnsi="Times New Roman" w:cs="Times New Roman"/>
          <w:i/>
          <w:sz w:val="28"/>
        </w:rPr>
        <w:t xml:space="preserve"> </w:t>
      </w:r>
    </w:p>
    <w:p w:rsidR="0052701D" w:rsidRDefault="00D40929">
      <w:pPr>
        <w:spacing w:after="29" w:line="248" w:lineRule="auto"/>
        <w:ind w:left="9" w:right="14"/>
        <w:jc w:val="both"/>
      </w:pPr>
      <w:r>
        <w:rPr>
          <w:rFonts w:ascii="Times New Roman" w:eastAsia="Times New Roman" w:hAnsi="Times New Roman" w:cs="Times New Roman"/>
          <w:sz w:val="24"/>
        </w:rPr>
        <w:t xml:space="preserve">Таблица 2. Оценки 2-х выборок по гендеру </w:t>
      </w:r>
    </w:p>
    <w:tbl>
      <w:tblPr>
        <w:tblStyle w:val="TableGrid"/>
        <w:tblW w:w="9129" w:type="dxa"/>
        <w:tblInd w:w="221" w:type="dxa"/>
        <w:tblCellMar>
          <w:top w:w="89" w:type="dxa"/>
          <w:left w:w="82" w:type="dxa"/>
          <w:bottom w:w="0" w:type="dxa"/>
          <w:right w:w="115" w:type="dxa"/>
        </w:tblCellMar>
        <w:tblLook w:val="04A0" w:firstRow="1" w:lastRow="0" w:firstColumn="1" w:lastColumn="0" w:noHBand="0" w:noVBand="1"/>
      </w:tblPr>
      <w:tblGrid>
        <w:gridCol w:w="2190"/>
        <w:gridCol w:w="1561"/>
        <w:gridCol w:w="1186"/>
        <w:gridCol w:w="1388"/>
        <w:gridCol w:w="1536"/>
        <w:gridCol w:w="1268"/>
      </w:tblGrid>
      <w:tr w:rsidR="0052701D">
        <w:trPr>
          <w:trHeight w:val="830"/>
        </w:trPr>
        <w:tc>
          <w:tcPr>
            <w:tcW w:w="2190" w:type="dxa"/>
            <w:vMerge w:val="restart"/>
            <w:tcBorders>
              <w:top w:val="single" w:sz="4" w:space="0" w:color="000000"/>
              <w:left w:val="single" w:sz="4" w:space="0" w:color="000000"/>
              <w:bottom w:val="single" w:sz="4" w:space="0" w:color="000000"/>
              <w:right w:val="single" w:sz="4" w:space="0" w:color="000000"/>
            </w:tcBorders>
          </w:tcPr>
          <w:p w:rsidR="0052701D" w:rsidRDefault="00D40929">
            <w:pPr>
              <w:spacing w:after="0"/>
              <w:ind w:left="125"/>
            </w:pPr>
            <w:r>
              <w:rPr>
                <w:rFonts w:ascii="Times New Roman" w:eastAsia="Times New Roman" w:hAnsi="Times New Roman" w:cs="Times New Roman"/>
                <w:sz w:val="24"/>
              </w:rPr>
              <w:t>Зависимая</w:t>
            </w:r>
            <w:r>
              <w:t xml:space="preserve"> </w:t>
            </w:r>
          </w:p>
        </w:tc>
        <w:tc>
          <w:tcPr>
            <w:tcW w:w="1561" w:type="dxa"/>
            <w:vMerge w:val="restart"/>
            <w:tcBorders>
              <w:top w:val="single" w:sz="4" w:space="0" w:color="000000"/>
              <w:left w:val="single" w:sz="4" w:space="0" w:color="000000"/>
              <w:bottom w:val="single" w:sz="4" w:space="0" w:color="000000"/>
              <w:right w:val="single" w:sz="4" w:space="0" w:color="000000"/>
            </w:tcBorders>
          </w:tcPr>
          <w:p w:rsidR="0052701D" w:rsidRDefault="00D40929">
            <w:pPr>
              <w:spacing w:after="0"/>
              <w:ind w:left="125"/>
            </w:pPr>
            <w:r>
              <w:rPr>
                <w:rFonts w:ascii="Times New Roman" w:eastAsia="Times New Roman" w:hAnsi="Times New Roman" w:cs="Times New Roman"/>
                <w:sz w:val="24"/>
              </w:rPr>
              <w:t>Гендер</w:t>
            </w:r>
            <w:r>
              <w:t xml:space="preserve"> </w:t>
            </w:r>
          </w:p>
        </w:tc>
        <w:tc>
          <w:tcPr>
            <w:tcW w:w="1186" w:type="dxa"/>
            <w:vMerge w:val="restart"/>
            <w:tcBorders>
              <w:top w:val="single" w:sz="4" w:space="0" w:color="000000"/>
              <w:left w:val="single" w:sz="4" w:space="0" w:color="000000"/>
              <w:bottom w:val="single" w:sz="4" w:space="0" w:color="000000"/>
              <w:right w:val="single" w:sz="4" w:space="0" w:color="000000"/>
            </w:tcBorders>
          </w:tcPr>
          <w:p w:rsidR="0052701D" w:rsidRDefault="00D40929">
            <w:pPr>
              <w:spacing w:after="0"/>
              <w:ind w:left="140"/>
            </w:pPr>
            <w:r>
              <w:rPr>
                <w:rFonts w:ascii="Times New Roman" w:eastAsia="Times New Roman" w:hAnsi="Times New Roman" w:cs="Times New Roman"/>
                <w:sz w:val="24"/>
              </w:rPr>
              <w:t>Средне</w:t>
            </w:r>
          </w:p>
          <w:p w:rsidR="0052701D" w:rsidRDefault="00D40929">
            <w:pPr>
              <w:spacing w:after="0"/>
              <w:ind w:left="30"/>
              <w:jc w:val="center"/>
            </w:pPr>
            <w:r>
              <w:rPr>
                <w:rFonts w:ascii="Times New Roman" w:eastAsia="Times New Roman" w:hAnsi="Times New Roman" w:cs="Times New Roman"/>
                <w:sz w:val="24"/>
              </w:rPr>
              <w:t>е</w:t>
            </w:r>
            <w:r>
              <w:t xml:space="preserve"> </w:t>
            </w:r>
          </w:p>
        </w:tc>
        <w:tc>
          <w:tcPr>
            <w:tcW w:w="1388" w:type="dxa"/>
            <w:vMerge w:val="restart"/>
            <w:tcBorders>
              <w:top w:val="single" w:sz="4" w:space="0" w:color="000000"/>
              <w:left w:val="single" w:sz="4" w:space="0" w:color="000000"/>
              <w:bottom w:val="single" w:sz="4" w:space="0" w:color="000000"/>
              <w:right w:val="single" w:sz="4" w:space="0" w:color="000000"/>
            </w:tcBorders>
          </w:tcPr>
          <w:p w:rsidR="0052701D" w:rsidRDefault="00D40929">
            <w:pPr>
              <w:spacing w:after="0"/>
              <w:ind w:left="34"/>
              <w:jc w:val="center"/>
            </w:pPr>
            <w:r>
              <w:rPr>
                <w:rFonts w:ascii="Times New Roman" w:eastAsia="Times New Roman" w:hAnsi="Times New Roman" w:cs="Times New Roman"/>
                <w:sz w:val="24"/>
              </w:rPr>
              <w:t>Стд ошибка</w:t>
            </w:r>
            <w:r>
              <w:t xml:space="preserve"> </w:t>
            </w:r>
          </w:p>
        </w:tc>
        <w:tc>
          <w:tcPr>
            <w:tcW w:w="2804" w:type="dxa"/>
            <w:gridSpan w:val="2"/>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jc w:val="center"/>
            </w:pPr>
            <w:r>
              <w:rPr>
                <w:rFonts w:ascii="Times New Roman" w:eastAsia="Times New Roman" w:hAnsi="Times New Roman" w:cs="Times New Roman"/>
                <w:sz w:val="24"/>
              </w:rPr>
              <w:t>95% доверительный интервал</w:t>
            </w:r>
            <w:r>
              <w:t xml:space="preserve"> </w:t>
            </w:r>
          </w:p>
        </w:tc>
      </w:tr>
      <w:tr w:rsidR="0052701D">
        <w:trPr>
          <w:trHeight w:val="831"/>
        </w:trPr>
        <w:tc>
          <w:tcPr>
            <w:tcW w:w="0" w:type="auto"/>
            <w:vMerge/>
            <w:tcBorders>
              <w:top w:val="nil"/>
              <w:left w:val="single" w:sz="4" w:space="0" w:color="000000"/>
              <w:bottom w:val="single" w:sz="4" w:space="0" w:color="000000"/>
              <w:right w:val="single" w:sz="4" w:space="0" w:color="000000"/>
            </w:tcBorders>
          </w:tcPr>
          <w:p w:rsidR="0052701D" w:rsidRDefault="0052701D"/>
        </w:tc>
        <w:tc>
          <w:tcPr>
            <w:tcW w:w="0" w:type="auto"/>
            <w:vMerge/>
            <w:tcBorders>
              <w:top w:val="nil"/>
              <w:left w:val="single" w:sz="4" w:space="0" w:color="000000"/>
              <w:bottom w:val="single" w:sz="4" w:space="0" w:color="000000"/>
              <w:right w:val="single" w:sz="4" w:space="0" w:color="000000"/>
            </w:tcBorders>
          </w:tcPr>
          <w:p w:rsidR="0052701D" w:rsidRDefault="0052701D"/>
        </w:tc>
        <w:tc>
          <w:tcPr>
            <w:tcW w:w="0" w:type="auto"/>
            <w:vMerge/>
            <w:tcBorders>
              <w:top w:val="nil"/>
              <w:left w:val="single" w:sz="4" w:space="0" w:color="000000"/>
              <w:bottom w:val="single" w:sz="4" w:space="0" w:color="000000"/>
              <w:right w:val="single" w:sz="4" w:space="0" w:color="000000"/>
            </w:tcBorders>
          </w:tcPr>
          <w:p w:rsidR="0052701D" w:rsidRDefault="0052701D"/>
        </w:tc>
        <w:tc>
          <w:tcPr>
            <w:tcW w:w="0" w:type="auto"/>
            <w:vMerge/>
            <w:tcBorders>
              <w:top w:val="nil"/>
              <w:left w:val="single" w:sz="4" w:space="0" w:color="000000"/>
              <w:bottom w:val="single" w:sz="4" w:space="0" w:color="000000"/>
              <w:right w:val="single" w:sz="4" w:space="0" w:color="000000"/>
            </w:tcBorders>
          </w:tcPr>
          <w:p w:rsidR="0052701D" w:rsidRDefault="0052701D"/>
        </w:tc>
        <w:tc>
          <w:tcPr>
            <w:tcW w:w="1536"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jc w:val="center"/>
            </w:pPr>
            <w:r>
              <w:rPr>
                <w:rFonts w:ascii="Times New Roman" w:eastAsia="Times New Roman" w:hAnsi="Times New Roman" w:cs="Times New Roman"/>
                <w:sz w:val="24"/>
              </w:rPr>
              <w:t>Нижняя граница</w:t>
            </w:r>
            <w:r>
              <w:t xml:space="preserve"> </w:t>
            </w:r>
          </w:p>
        </w:tc>
        <w:tc>
          <w:tcPr>
            <w:tcW w:w="1268"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pPr>
            <w:r>
              <w:rPr>
                <w:rFonts w:ascii="Times New Roman" w:eastAsia="Times New Roman" w:hAnsi="Times New Roman" w:cs="Times New Roman"/>
                <w:sz w:val="24"/>
              </w:rPr>
              <w:t>Верхняя граница</w:t>
            </w:r>
            <w:r>
              <w:t xml:space="preserve"> </w:t>
            </w:r>
          </w:p>
        </w:tc>
      </w:tr>
      <w:tr w:rsidR="0052701D">
        <w:trPr>
          <w:trHeight w:val="470"/>
        </w:trPr>
        <w:tc>
          <w:tcPr>
            <w:tcW w:w="2190" w:type="dxa"/>
            <w:vMerge w:val="restart"/>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Социальный цинизм</w:t>
            </w:r>
            <w:r>
              <w:t xml:space="preserve"> </w:t>
            </w:r>
          </w:p>
        </w:tc>
        <w:tc>
          <w:tcPr>
            <w:tcW w:w="1561"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125"/>
            </w:pPr>
            <w:r>
              <w:rPr>
                <w:rFonts w:ascii="Times New Roman" w:eastAsia="Times New Roman" w:hAnsi="Times New Roman" w:cs="Times New Roman"/>
                <w:sz w:val="24"/>
              </w:rPr>
              <w:t>женщины</w:t>
            </w:r>
            <w:r>
              <w:t xml:space="preserve"> </w:t>
            </w:r>
          </w:p>
        </w:tc>
        <w:tc>
          <w:tcPr>
            <w:tcW w:w="118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39"/>
              <w:jc w:val="center"/>
            </w:pPr>
            <w:r>
              <w:rPr>
                <w:rFonts w:ascii="Times New Roman" w:eastAsia="Times New Roman" w:hAnsi="Times New Roman" w:cs="Times New Roman"/>
                <w:sz w:val="24"/>
              </w:rPr>
              <w:t>3,13</w:t>
            </w:r>
            <w:r>
              <w:t xml:space="preserve"> </w:t>
            </w:r>
          </w:p>
        </w:tc>
        <w:tc>
          <w:tcPr>
            <w:tcW w:w="138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43"/>
              <w:jc w:val="center"/>
            </w:pPr>
            <w:r>
              <w:rPr>
                <w:rFonts w:ascii="Times New Roman" w:eastAsia="Times New Roman" w:hAnsi="Times New Roman" w:cs="Times New Roman"/>
                <w:sz w:val="24"/>
              </w:rPr>
              <w:t>,04</w:t>
            </w:r>
            <w:r>
              <w:t xml:space="preserve"> </w:t>
            </w:r>
          </w:p>
        </w:tc>
        <w:tc>
          <w:tcPr>
            <w:tcW w:w="153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38"/>
              <w:jc w:val="center"/>
            </w:pPr>
            <w:r>
              <w:rPr>
                <w:rFonts w:ascii="Times New Roman" w:eastAsia="Times New Roman" w:hAnsi="Times New Roman" w:cs="Times New Roman"/>
                <w:sz w:val="24"/>
              </w:rPr>
              <w:t>3</w:t>
            </w:r>
            <w:r>
              <w:t xml:space="preserve"> </w:t>
            </w:r>
          </w:p>
        </w:tc>
        <w:tc>
          <w:tcPr>
            <w:tcW w:w="126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38"/>
              <w:jc w:val="center"/>
            </w:pPr>
            <w:r>
              <w:rPr>
                <w:rFonts w:ascii="Times New Roman" w:eastAsia="Times New Roman" w:hAnsi="Times New Roman" w:cs="Times New Roman"/>
                <w:sz w:val="24"/>
              </w:rPr>
              <w:t>3,2</w:t>
            </w:r>
            <w:r>
              <w:t xml:space="preserve"> </w:t>
            </w:r>
          </w:p>
        </w:tc>
      </w:tr>
      <w:tr w:rsidR="0052701D">
        <w:trPr>
          <w:trHeight w:val="466"/>
        </w:trPr>
        <w:tc>
          <w:tcPr>
            <w:tcW w:w="0" w:type="auto"/>
            <w:vMerge/>
            <w:tcBorders>
              <w:top w:val="nil"/>
              <w:left w:val="single" w:sz="4" w:space="0" w:color="000000"/>
              <w:bottom w:val="single" w:sz="4" w:space="0" w:color="000000"/>
              <w:right w:val="single" w:sz="4" w:space="0" w:color="000000"/>
            </w:tcBorders>
          </w:tcPr>
          <w:p w:rsidR="0052701D" w:rsidRDefault="0052701D"/>
        </w:tc>
        <w:tc>
          <w:tcPr>
            <w:tcW w:w="1561"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pPr>
            <w:r>
              <w:rPr>
                <w:rFonts w:ascii="Times New Roman" w:eastAsia="Times New Roman" w:hAnsi="Times New Roman" w:cs="Times New Roman"/>
                <w:sz w:val="24"/>
              </w:rPr>
              <w:t xml:space="preserve"> мужчины</w:t>
            </w:r>
            <w:r>
              <w:t xml:space="preserve"> </w:t>
            </w:r>
          </w:p>
        </w:tc>
        <w:tc>
          <w:tcPr>
            <w:tcW w:w="118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39"/>
              <w:jc w:val="center"/>
            </w:pPr>
            <w:r>
              <w:rPr>
                <w:rFonts w:ascii="Times New Roman" w:eastAsia="Times New Roman" w:hAnsi="Times New Roman" w:cs="Times New Roman"/>
                <w:sz w:val="24"/>
              </w:rPr>
              <w:t>3,43</w:t>
            </w:r>
            <w:r>
              <w:t xml:space="preserve"> </w:t>
            </w:r>
          </w:p>
        </w:tc>
        <w:tc>
          <w:tcPr>
            <w:tcW w:w="138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43"/>
              <w:jc w:val="center"/>
            </w:pPr>
            <w:r>
              <w:rPr>
                <w:rFonts w:ascii="Times New Roman" w:eastAsia="Times New Roman" w:hAnsi="Times New Roman" w:cs="Times New Roman"/>
                <w:sz w:val="24"/>
              </w:rPr>
              <w:t>,06</w:t>
            </w:r>
            <w:r>
              <w:t xml:space="preserve"> </w:t>
            </w:r>
          </w:p>
        </w:tc>
        <w:tc>
          <w:tcPr>
            <w:tcW w:w="153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47"/>
              <w:jc w:val="center"/>
            </w:pPr>
            <w:r>
              <w:rPr>
                <w:rFonts w:ascii="Times New Roman" w:eastAsia="Times New Roman" w:hAnsi="Times New Roman" w:cs="Times New Roman"/>
                <w:sz w:val="24"/>
              </w:rPr>
              <w:t>3,3</w:t>
            </w:r>
            <w:r>
              <w:t xml:space="preserve"> </w:t>
            </w:r>
          </w:p>
        </w:tc>
        <w:tc>
          <w:tcPr>
            <w:tcW w:w="126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38"/>
              <w:jc w:val="center"/>
            </w:pPr>
            <w:r>
              <w:rPr>
                <w:rFonts w:ascii="Times New Roman" w:eastAsia="Times New Roman" w:hAnsi="Times New Roman" w:cs="Times New Roman"/>
                <w:sz w:val="24"/>
              </w:rPr>
              <w:t>3,5</w:t>
            </w:r>
            <w:r>
              <w:t xml:space="preserve"> </w:t>
            </w:r>
          </w:p>
        </w:tc>
      </w:tr>
      <w:tr w:rsidR="0052701D">
        <w:trPr>
          <w:trHeight w:val="471"/>
        </w:trPr>
        <w:tc>
          <w:tcPr>
            <w:tcW w:w="2190" w:type="dxa"/>
            <w:vMerge w:val="restart"/>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Награда за усилия</w:t>
            </w:r>
            <w:r>
              <w:t xml:space="preserve"> </w:t>
            </w:r>
          </w:p>
        </w:tc>
        <w:tc>
          <w:tcPr>
            <w:tcW w:w="1561"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125"/>
            </w:pPr>
            <w:r>
              <w:rPr>
                <w:rFonts w:ascii="Times New Roman" w:eastAsia="Times New Roman" w:hAnsi="Times New Roman" w:cs="Times New Roman"/>
                <w:sz w:val="24"/>
              </w:rPr>
              <w:t>женщины</w:t>
            </w:r>
            <w:r>
              <w:t xml:space="preserve"> </w:t>
            </w:r>
          </w:p>
        </w:tc>
        <w:tc>
          <w:tcPr>
            <w:tcW w:w="118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39"/>
              <w:jc w:val="center"/>
            </w:pPr>
            <w:r>
              <w:rPr>
                <w:rFonts w:ascii="Times New Roman" w:eastAsia="Times New Roman" w:hAnsi="Times New Roman" w:cs="Times New Roman"/>
                <w:sz w:val="24"/>
              </w:rPr>
              <w:t>4,09</w:t>
            </w:r>
            <w:r>
              <w:t xml:space="preserve"> </w:t>
            </w:r>
          </w:p>
        </w:tc>
        <w:tc>
          <w:tcPr>
            <w:tcW w:w="138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43"/>
              <w:jc w:val="center"/>
            </w:pPr>
            <w:r>
              <w:rPr>
                <w:rFonts w:ascii="Times New Roman" w:eastAsia="Times New Roman" w:hAnsi="Times New Roman" w:cs="Times New Roman"/>
                <w:sz w:val="24"/>
              </w:rPr>
              <w:t>,04</w:t>
            </w:r>
            <w:r>
              <w:t xml:space="preserve"> </w:t>
            </w:r>
          </w:p>
        </w:tc>
        <w:tc>
          <w:tcPr>
            <w:tcW w:w="1536"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38"/>
              <w:jc w:val="center"/>
            </w:pPr>
            <w:r>
              <w:rPr>
                <w:rFonts w:ascii="Times New Roman" w:eastAsia="Times New Roman" w:hAnsi="Times New Roman" w:cs="Times New Roman"/>
                <w:sz w:val="24"/>
              </w:rPr>
              <w:t>4</w:t>
            </w:r>
            <w:r>
              <w:t xml:space="preserve"> </w:t>
            </w:r>
          </w:p>
        </w:tc>
        <w:tc>
          <w:tcPr>
            <w:tcW w:w="126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38"/>
              <w:jc w:val="center"/>
            </w:pPr>
            <w:r>
              <w:rPr>
                <w:rFonts w:ascii="Times New Roman" w:eastAsia="Times New Roman" w:hAnsi="Times New Roman" w:cs="Times New Roman"/>
                <w:sz w:val="24"/>
              </w:rPr>
              <w:t>4,1</w:t>
            </w:r>
            <w:r>
              <w:t xml:space="preserve"> </w:t>
            </w:r>
          </w:p>
        </w:tc>
      </w:tr>
      <w:tr w:rsidR="0052701D">
        <w:trPr>
          <w:trHeight w:val="470"/>
        </w:trPr>
        <w:tc>
          <w:tcPr>
            <w:tcW w:w="0" w:type="auto"/>
            <w:vMerge/>
            <w:tcBorders>
              <w:top w:val="nil"/>
              <w:left w:val="single" w:sz="4" w:space="0" w:color="000000"/>
              <w:bottom w:val="single" w:sz="4" w:space="0" w:color="000000"/>
              <w:right w:val="single" w:sz="4" w:space="0" w:color="000000"/>
            </w:tcBorders>
          </w:tcPr>
          <w:p w:rsidR="0052701D" w:rsidRDefault="0052701D"/>
        </w:tc>
        <w:tc>
          <w:tcPr>
            <w:tcW w:w="1561"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pPr>
            <w:r>
              <w:rPr>
                <w:rFonts w:ascii="Times New Roman" w:eastAsia="Times New Roman" w:hAnsi="Times New Roman" w:cs="Times New Roman"/>
                <w:sz w:val="24"/>
              </w:rPr>
              <w:t xml:space="preserve"> мужчины</w:t>
            </w:r>
            <w:r>
              <w:t xml:space="preserve"> </w:t>
            </w:r>
          </w:p>
        </w:tc>
        <w:tc>
          <w:tcPr>
            <w:tcW w:w="118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39"/>
              <w:jc w:val="center"/>
            </w:pPr>
            <w:r>
              <w:rPr>
                <w:rFonts w:ascii="Times New Roman" w:eastAsia="Times New Roman" w:hAnsi="Times New Roman" w:cs="Times New Roman"/>
                <w:sz w:val="24"/>
              </w:rPr>
              <w:t>4,02</w:t>
            </w:r>
            <w:r>
              <w:t xml:space="preserve"> </w:t>
            </w:r>
          </w:p>
        </w:tc>
        <w:tc>
          <w:tcPr>
            <w:tcW w:w="138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43"/>
              <w:jc w:val="center"/>
            </w:pPr>
            <w:r>
              <w:rPr>
                <w:rFonts w:ascii="Times New Roman" w:eastAsia="Times New Roman" w:hAnsi="Times New Roman" w:cs="Times New Roman"/>
                <w:sz w:val="24"/>
              </w:rPr>
              <w:t>,05</w:t>
            </w:r>
            <w:r>
              <w:t xml:space="preserve"> </w:t>
            </w:r>
          </w:p>
        </w:tc>
        <w:tc>
          <w:tcPr>
            <w:tcW w:w="153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47"/>
              <w:jc w:val="center"/>
            </w:pPr>
            <w:r>
              <w:rPr>
                <w:rFonts w:ascii="Times New Roman" w:eastAsia="Times New Roman" w:hAnsi="Times New Roman" w:cs="Times New Roman"/>
                <w:sz w:val="24"/>
              </w:rPr>
              <w:t>3,9</w:t>
            </w:r>
            <w:r>
              <w:t xml:space="preserve"> </w:t>
            </w:r>
          </w:p>
        </w:tc>
        <w:tc>
          <w:tcPr>
            <w:tcW w:w="126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38"/>
              <w:jc w:val="center"/>
            </w:pPr>
            <w:r>
              <w:rPr>
                <w:rFonts w:ascii="Times New Roman" w:eastAsia="Times New Roman" w:hAnsi="Times New Roman" w:cs="Times New Roman"/>
                <w:sz w:val="24"/>
              </w:rPr>
              <w:t>4,1</w:t>
            </w:r>
            <w:r>
              <w:t xml:space="preserve"> </w:t>
            </w:r>
          </w:p>
        </w:tc>
      </w:tr>
      <w:tr w:rsidR="0052701D">
        <w:trPr>
          <w:trHeight w:val="470"/>
        </w:trPr>
        <w:tc>
          <w:tcPr>
            <w:tcW w:w="2190" w:type="dxa"/>
            <w:vMerge w:val="restart"/>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Социальная сложность</w:t>
            </w:r>
            <w:r>
              <w:t xml:space="preserve"> </w:t>
            </w:r>
          </w:p>
        </w:tc>
        <w:tc>
          <w:tcPr>
            <w:tcW w:w="1561"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125"/>
            </w:pPr>
            <w:r>
              <w:rPr>
                <w:rFonts w:ascii="Times New Roman" w:eastAsia="Times New Roman" w:hAnsi="Times New Roman" w:cs="Times New Roman"/>
                <w:sz w:val="24"/>
              </w:rPr>
              <w:t>женщины</w:t>
            </w:r>
            <w:r>
              <w:t xml:space="preserve"> </w:t>
            </w:r>
          </w:p>
        </w:tc>
        <w:tc>
          <w:tcPr>
            <w:tcW w:w="118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39"/>
              <w:jc w:val="center"/>
            </w:pPr>
            <w:r>
              <w:rPr>
                <w:rFonts w:ascii="Times New Roman" w:eastAsia="Times New Roman" w:hAnsi="Times New Roman" w:cs="Times New Roman"/>
                <w:sz w:val="24"/>
              </w:rPr>
              <w:t>3,98</w:t>
            </w:r>
            <w:r>
              <w:t xml:space="preserve"> </w:t>
            </w:r>
          </w:p>
        </w:tc>
        <w:tc>
          <w:tcPr>
            <w:tcW w:w="138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43"/>
              <w:jc w:val="center"/>
            </w:pPr>
            <w:r>
              <w:rPr>
                <w:rFonts w:ascii="Times New Roman" w:eastAsia="Times New Roman" w:hAnsi="Times New Roman" w:cs="Times New Roman"/>
                <w:sz w:val="24"/>
              </w:rPr>
              <w:t>,03</w:t>
            </w:r>
            <w:r>
              <w:t xml:space="preserve"> </w:t>
            </w:r>
          </w:p>
        </w:tc>
        <w:tc>
          <w:tcPr>
            <w:tcW w:w="153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47"/>
              <w:jc w:val="center"/>
            </w:pPr>
            <w:r>
              <w:rPr>
                <w:rFonts w:ascii="Times New Roman" w:eastAsia="Times New Roman" w:hAnsi="Times New Roman" w:cs="Times New Roman"/>
                <w:sz w:val="24"/>
              </w:rPr>
              <w:t>3,9</w:t>
            </w:r>
            <w:r>
              <w:t xml:space="preserve"> </w:t>
            </w:r>
          </w:p>
        </w:tc>
        <w:tc>
          <w:tcPr>
            <w:tcW w:w="1268"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38"/>
              <w:jc w:val="center"/>
            </w:pPr>
            <w:r>
              <w:rPr>
                <w:rFonts w:ascii="Times New Roman" w:eastAsia="Times New Roman" w:hAnsi="Times New Roman" w:cs="Times New Roman"/>
                <w:sz w:val="24"/>
              </w:rPr>
              <w:t>4</w:t>
            </w:r>
            <w:r>
              <w:t xml:space="preserve"> </w:t>
            </w:r>
          </w:p>
        </w:tc>
      </w:tr>
      <w:tr w:rsidR="0052701D">
        <w:trPr>
          <w:trHeight w:val="471"/>
        </w:trPr>
        <w:tc>
          <w:tcPr>
            <w:tcW w:w="0" w:type="auto"/>
            <w:vMerge/>
            <w:tcBorders>
              <w:top w:val="nil"/>
              <w:left w:val="single" w:sz="4" w:space="0" w:color="000000"/>
              <w:bottom w:val="single" w:sz="4" w:space="0" w:color="000000"/>
              <w:right w:val="single" w:sz="4" w:space="0" w:color="000000"/>
            </w:tcBorders>
          </w:tcPr>
          <w:p w:rsidR="0052701D" w:rsidRDefault="0052701D"/>
        </w:tc>
        <w:tc>
          <w:tcPr>
            <w:tcW w:w="1561"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pPr>
            <w:r>
              <w:rPr>
                <w:rFonts w:ascii="Times New Roman" w:eastAsia="Times New Roman" w:hAnsi="Times New Roman" w:cs="Times New Roman"/>
                <w:sz w:val="24"/>
              </w:rPr>
              <w:t xml:space="preserve"> мужчины</w:t>
            </w:r>
            <w:r>
              <w:t xml:space="preserve"> </w:t>
            </w:r>
          </w:p>
        </w:tc>
        <w:tc>
          <w:tcPr>
            <w:tcW w:w="118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39"/>
              <w:jc w:val="center"/>
            </w:pPr>
            <w:r>
              <w:rPr>
                <w:rFonts w:ascii="Times New Roman" w:eastAsia="Times New Roman" w:hAnsi="Times New Roman" w:cs="Times New Roman"/>
                <w:sz w:val="24"/>
              </w:rPr>
              <w:t>3,93</w:t>
            </w:r>
            <w:r>
              <w:t xml:space="preserve"> </w:t>
            </w:r>
          </w:p>
        </w:tc>
        <w:tc>
          <w:tcPr>
            <w:tcW w:w="138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43"/>
              <w:jc w:val="center"/>
            </w:pPr>
            <w:r>
              <w:rPr>
                <w:rFonts w:ascii="Times New Roman" w:eastAsia="Times New Roman" w:hAnsi="Times New Roman" w:cs="Times New Roman"/>
                <w:sz w:val="24"/>
              </w:rPr>
              <w:t>,04</w:t>
            </w:r>
            <w:r>
              <w:t xml:space="preserve"> </w:t>
            </w:r>
          </w:p>
        </w:tc>
        <w:tc>
          <w:tcPr>
            <w:tcW w:w="153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47"/>
              <w:jc w:val="center"/>
            </w:pPr>
            <w:r>
              <w:rPr>
                <w:rFonts w:ascii="Times New Roman" w:eastAsia="Times New Roman" w:hAnsi="Times New Roman" w:cs="Times New Roman"/>
                <w:sz w:val="24"/>
              </w:rPr>
              <w:t>3,8</w:t>
            </w:r>
            <w:r>
              <w:t xml:space="preserve"> </w:t>
            </w:r>
          </w:p>
        </w:tc>
        <w:tc>
          <w:tcPr>
            <w:tcW w:w="1268"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38"/>
              <w:jc w:val="center"/>
            </w:pPr>
            <w:r>
              <w:rPr>
                <w:rFonts w:ascii="Times New Roman" w:eastAsia="Times New Roman" w:hAnsi="Times New Roman" w:cs="Times New Roman"/>
                <w:sz w:val="24"/>
              </w:rPr>
              <w:t>4</w:t>
            </w:r>
            <w:r>
              <w:t xml:space="preserve"> </w:t>
            </w:r>
          </w:p>
        </w:tc>
      </w:tr>
      <w:tr w:rsidR="0052701D">
        <w:trPr>
          <w:trHeight w:val="470"/>
        </w:trPr>
        <w:tc>
          <w:tcPr>
            <w:tcW w:w="2190" w:type="dxa"/>
            <w:vMerge w:val="restart"/>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Контроль судьбы</w:t>
            </w:r>
            <w:r>
              <w:t xml:space="preserve"> </w:t>
            </w:r>
          </w:p>
        </w:tc>
        <w:tc>
          <w:tcPr>
            <w:tcW w:w="1561"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125"/>
            </w:pPr>
            <w:r>
              <w:rPr>
                <w:rFonts w:ascii="Times New Roman" w:eastAsia="Times New Roman" w:hAnsi="Times New Roman" w:cs="Times New Roman"/>
                <w:sz w:val="24"/>
              </w:rPr>
              <w:t>женщины</w:t>
            </w:r>
            <w:r>
              <w:t xml:space="preserve"> </w:t>
            </w:r>
          </w:p>
        </w:tc>
        <w:tc>
          <w:tcPr>
            <w:tcW w:w="118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39"/>
              <w:jc w:val="center"/>
            </w:pPr>
            <w:r>
              <w:rPr>
                <w:rFonts w:ascii="Times New Roman" w:eastAsia="Times New Roman" w:hAnsi="Times New Roman" w:cs="Times New Roman"/>
                <w:sz w:val="24"/>
              </w:rPr>
              <w:t>3,06</w:t>
            </w:r>
            <w:r>
              <w:t xml:space="preserve"> </w:t>
            </w:r>
          </w:p>
        </w:tc>
        <w:tc>
          <w:tcPr>
            <w:tcW w:w="138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43"/>
              <w:jc w:val="center"/>
            </w:pPr>
            <w:r>
              <w:rPr>
                <w:rFonts w:ascii="Times New Roman" w:eastAsia="Times New Roman" w:hAnsi="Times New Roman" w:cs="Times New Roman"/>
                <w:sz w:val="24"/>
              </w:rPr>
              <w:t>,03</w:t>
            </w:r>
            <w:r>
              <w:t xml:space="preserve"> </w:t>
            </w:r>
          </w:p>
        </w:tc>
        <w:tc>
          <w:tcPr>
            <w:tcW w:w="153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47"/>
              <w:jc w:val="center"/>
            </w:pPr>
            <w:r>
              <w:rPr>
                <w:rFonts w:ascii="Times New Roman" w:eastAsia="Times New Roman" w:hAnsi="Times New Roman" w:cs="Times New Roman"/>
                <w:sz w:val="24"/>
              </w:rPr>
              <w:t>2,9</w:t>
            </w:r>
            <w:r>
              <w:t xml:space="preserve"> </w:t>
            </w:r>
          </w:p>
        </w:tc>
        <w:tc>
          <w:tcPr>
            <w:tcW w:w="126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38"/>
              <w:jc w:val="center"/>
            </w:pPr>
            <w:r>
              <w:rPr>
                <w:rFonts w:ascii="Times New Roman" w:eastAsia="Times New Roman" w:hAnsi="Times New Roman" w:cs="Times New Roman"/>
                <w:sz w:val="24"/>
              </w:rPr>
              <w:t>3,1</w:t>
            </w:r>
            <w:r>
              <w:t xml:space="preserve"> </w:t>
            </w:r>
          </w:p>
        </w:tc>
      </w:tr>
      <w:tr w:rsidR="0052701D">
        <w:trPr>
          <w:trHeight w:val="470"/>
        </w:trPr>
        <w:tc>
          <w:tcPr>
            <w:tcW w:w="0" w:type="auto"/>
            <w:vMerge/>
            <w:tcBorders>
              <w:top w:val="nil"/>
              <w:left w:val="single" w:sz="4" w:space="0" w:color="000000"/>
              <w:bottom w:val="single" w:sz="4" w:space="0" w:color="000000"/>
              <w:right w:val="single" w:sz="4" w:space="0" w:color="000000"/>
            </w:tcBorders>
          </w:tcPr>
          <w:p w:rsidR="0052701D" w:rsidRDefault="0052701D"/>
        </w:tc>
        <w:tc>
          <w:tcPr>
            <w:tcW w:w="1561"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pPr>
            <w:r>
              <w:rPr>
                <w:rFonts w:ascii="Times New Roman" w:eastAsia="Times New Roman" w:hAnsi="Times New Roman" w:cs="Times New Roman"/>
                <w:sz w:val="24"/>
              </w:rPr>
              <w:t xml:space="preserve"> мужчины</w:t>
            </w:r>
            <w:r>
              <w:t xml:space="preserve"> </w:t>
            </w:r>
          </w:p>
        </w:tc>
        <w:tc>
          <w:tcPr>
            <w:tcW w:w="118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39"/>
              <w:jc w:val="center"/>
            </w:pPr>
            <w:r>
              <w:rPr>
                <w:rFonts w:ascii="Times New Roman" w:eastAsia="Times New Roman" w:hAnsi="Times New Roman" w:cs="Times New Roman"/>
                <w:sz w:val="24"/>
              </w:rPr>
              <w:t>3,19</w:t>
            </w:r>
            <w:r>
              <w:t xml:space="preserve"> </w:t>
            </w:r>
          </w:p>
        </w:tc>
        <w:tc>
          <w:tcPr>
            <w:tcW w:w="138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43"/>
              <w:jc w:val="center"/>
            </w:pPr>
            <w:r>
              <w:rPr>
                <w:rFonts w:ascii="Times New Roman" w:eastAsia="Times New Roman" w:hAnsi="Times New Roman" w:cs="Times New Roman"/>
                <w:sz w:val="24"/>
              </w:rPr>
              <w:t>,04</w:t>
            </w:r>
            <w:r>
              <w:t xml:space="preserve"> </w:t>
            </w:r>
          </w:p>
        </w:tc>
        <w:tc>
          <w:tcPr>
            <w:tcW w:w="1536"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38"/>
              <w:jc w:val="center"/>
            </w:pPr>
            <w:r>
              <w:rPr>
                <w:rFonts w:ascii="Times New Roman" w:eastAsia="Times New Roman" w:hAnsi="Times New Roman" w:cs="Times New Roman"/>
                <w:sz w:val="24"/>
              </w:rPr>
              <w:t>3</w:t>
            </w:r>
            <w:r>
              <w:t xml:space="preserve"> </w:t>
            </w:r>
          </w:p>
        </w:tc>
        <w:tc>
          <w:tcPr>
            <w:tcW w:w="126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38"/>
              <w:jc w:val="center"/>
            </w:pPr>
            <w:r>
              <w:rPr>
                <w:rFonts w:ascii="Times New Roman" w:eastAsia="Times New Roman" w:hAnsi="Times New Roman" w:cs="Times New Roman"/>
                <w:sz w:val="24"/>
              </w:rPr>
              <w:t>3,2</w:t>
            </w:r>
            <w:r>
              <w:t xml:space="preserve"> </w:t>
            </w:r>
          </w:p>
        </w:tc>
      </w:tr>
      <w:tr w:rsidR="0052701D">
        <w:trPr>
          <w:trHeight w:val="470"/>
        </w:trPr>
        <w:tc>
          <w:tcPr>
            <w:tcW w:w="2190" w:type="dxa"/>
            <w:vMerge w:val="restart"/>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Духовность</w:t>
            </w:r>
            <w:r>
              <w:t xml:space="preserve"> </w:t>
            </w:r>
          </w:p>
        </w:tc>
        <w:tc>
          <w:tcPr>
            <w:tcW w:w="1561"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125"/>
            </w:pPr>
            <w:r>
              <w:rPr>
                <w:rFonts w:ascii="Times New Roman" w:eastAsia="Times New Roman" w:hAnsi="Times New Roman" w:cs="Times New Roman"/>
                <w:sz w:val="24"/>
              </w:rPr>
              <w:t>женщины</w:t>
            </w:r>
            <w:r>
              <w:t xml:space="preserve"> </w:t>
            </w:r>
          </w:p>
        </w:tc>
        <w:tc>
          <w:tcPr>
            <w:tcW w:w="118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39"/>
              <w:jc w:val="center"/>
            </w:pPr>
            <w:r>
              <w:rPr>
                <w:rFonts w:ascii="Times New Roman" w:eastAsia="Times New Roman" w:hAnsi="Times New Roman" w:cs="Times New Roman"/>
                <w:sz w:val="24"/>
              </w:rPr>
              <w:t>3,19</w:t>
            </w:r>
            <w:r>
              <w:t xml:space="preserve"> </w:t>
            </w:r>
          </w:p>
        </w:tc>
        <w:tc>
          <w:tcPr>
            <w:tcW w:w="138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43"/>
              <w:jc w:val="center"/>
            </w:pPr>
            <w:r>
              <w:rPr>
                <w:rFonts w:ascii="Times New Roman" w:eastAsia="Times New Roman" w:hAnsi="Times New Roman" w:cs="Times New Roman"/>
                <w:sz w:val="24"/>
              </w:rPr>
              <w:t>,04</w:t>
            </w:r>
            <w:r>
              <w:t xml:space="preserve"> </w:t>
            </w:r>
          </w:p>
        </w:tc>
        <w:tc>
          <w:tcPr>
            <w:tcW w:w="153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47"/>
              <w:jc w:val="center"/>
            </w:pPr>
            <w:r>
              <w:rPr>
                <w:rFonts w:ascii="Times New Roman" w:eastAsia="Times New Roman" w:hAnsi="Times New Roman" w:cs="Times New Roman"/>
                <w:sz w:val="24"/>
              </w:rPr>
              <w:t>3,1</w:t>
            </w:r>
            <w:r>
              <w:t xml:space="preserve"> </w:t>
            </w:r>
          </w:p>
        </w:tc>
        <w:tc>
          <w:tcPr>
            <w:tcW w:w="126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38"/>
              <w:jc w:val="center"/>
            </w:pPr>
            <w:r>
              <w:rPr>
                <w:rFonts w:ascii="Times New Roman" w:eastAsia="Times New Roman" w:hAnsi="Times New Roman" w:cs="Times New Roman"/>
                <w:sz w:val="24"/>
              </w:rPr>
              <w:t>3,2</w:t>
            </w:r>
            <w:r>
              <w:t xml:space="preserve"> </w:t>
            </w:r>
          </w:p>
        </w:tc>
      </w:tr>
      <w:tr w:rsidR="0052701D">
        <w:trPr>
          <w:trHeight w:val="471"/>
        </w:trPr>
        <w:tc>
          <w:tcPr>
            <w:tcW w:w="0" w:type="auto"/>
            <w:vMerge/>
            <w:tcBorders>
              <w:top w:val="nil"/>
              <w:left w:val="single" w:sz="4" w:space="0" w:color="000000"/>
              <w:bottom w:val="single" w:sz="4" w:space="0" w:color="000000"/>
              <w:right w:val="single" w:sz="4" w:space="0" w:color="000000"/>
            </w:tcBorders>
          </w:tcPr>
          <w:p w:rsidR="0052701D" w:rsidRDefault="0052701D"/>
        </w:tc>
        <w:tc>
          <w:tcPr>
            <w:tcW w:w="1561"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pPr>
            <w:r>
              <w:rPr>
                <w:rFonts w:ascii="Times New Roman" w:eastAsia="Times New Roman" w:hAnsi="Times New Roman" w:cs="Times New Roman"/>
                <w:sz w:val="24"/>
              </w:rPr>
              <w:t xml:space="preserve"> мужчины</w:t>
            </w:r>
            <w:r>
              <w:t xml:space="preserve"> </w:t>
            </w:r>
          </w:p>
        </w:tc>
        <w:tc>
          <w:tcPr>
            <w:tcW w:w="118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39"/>
              <w:jc w:val="center"/>
            </w:pPr>
            <w:r>
              <w:rPr>
                <w:rFonts w:ascii="Times New Roman" w:eastAsia="Times New Roman" w:hAnsi="Times New Roman" w:cs="Times New Roman"/>
                <w:sz w:val="24"/>
              </w:rPr>
              <w:t>3,29</w:t>
            </w:r>
            <w:r>
              <w:t xml:space="preserve"> </w:t>
            </w:r>
          </w:p>
        </w:tc>
        <w:tc>
          <w:tcPr>
            <w:tcW w:w="138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44"/>
              <w:jc w:val="center"/>
            </w:pPr>
            <w:r>
              <w:rPr>
                <w:rFonts w:ascii="Times New Roman" w:eastAsia="Times New Roman" w:hAnsi="Times New Roman" w:cs="Times New Roman"/>
                <w:sz w:val="24"/>
              </w:rPr>
              <w:t>,06=</w:t>
            </w:r>
            <w:r>
              <w:t xml:space="preserve"> </w:t>
            </w:r>
          </w:p>
        </w:tc>
        <w:tc>
          <w:tcPr>
            <w:tcW w:w="153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47"/>
              <w:jc w:val="center"/>
            </w:pPr>
            <w:r>
              <w:rPr>
                <w:rFonts w:ascii="Times New Roman" w:eastAsia="Times New Roman" w:hAnsi="Times New Roman" w:cs="Times New Roman"/>
                <w:sz w:val="24"/>
              </w:rPr>
              <w:t>3,1</w:t>
            </w:r>
            <w:r>
              <w:t xml:space="preserve"> </w:t>
            </w:r>
          </w:p>
        </w:tc>
        <w:tc>
          <w:tcPr>
            <w:tcW w:w="126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38"/>
              <w:jc w:val="center"/>
            </w:pPr>
            <w:r>
              <w:rPr>
                <w:rFonts w:ascii="Times New Roman" w:eastAsia="Times New Roman" w:hAnsi="Times New Roman" w:cs="Times New Roman"/>
                <w:sz w:val="24"/>
              </w:rPr>
              <w:t>3,4</w:t>
            </w:r>
            <w:r>
              <w:t xml:space="preserve"> </w:t>
            </w:r>
          </w:p>
        </w:tc>
      </w:tr>
    </w:tbl>
    <w:p w:rsidR="0052701D" w:rsidRDefault="00D40929">
      <w:pPr>
        <w:spacing w:after="24"/>
      </w:pPr>
      <w:r>
        <w:rPr>
          <w:rFonts w:ascii="Times New Roman" w:eastAsia="Times New Roman" w:hAnsi="Times New Roman" w:cs="Times New Roman"/>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lastRenderedPageBreak/>
        <w:t xml:space="preserve">Несмотря на то что, на глубинные систематические трансформации казахстанского общества, ценностные ориентации тяготеют к </w:t>
      </w:r>
      <w:r>
        <w:rPr>
          <w:rFonts w:ascii="Times New Roman" w:eastAsia="Times New Roman" w:hAnsi="Times New Roman" w:cs="Times New Roman"/>
          <w:sz w:val="28"/>
        </w:rPr>
        <w:t xml:space="preserve">сохранению базового ценностного компонента как у мужчин, так и у женщин. Ценностные ориентации имеют общий характер в разных гендерных группах. Ценностные ориентации молодых казахстанцев реализуются через механизмы роста и развития, самозащиты.  </w:t>
      </w:r>
    </w:p>
    <w:p w:rsidR="0052701D" w:rsidRDefault="00D40929">
      <w:pPr>
        <w:spacing w:after="34" w:line="251" w:lineRule="auto"/>
        <w:ind w:left="720" w:firstLine="9"/>
      </w:pPr>
      <w:r>
        <w:rPr>
          <w:rFonts w:ascii="Times New Roman" w:eastAsia="Times New Roman" w:hAnsi="Times New Roman" w:cs="Times New Roman"/>
          <w:b/>
          <w:sz w:val="28"/>
        </w:rPr>
        <w:t xml:space="preserve">Выводы </w:t>
      </w:r>
    </w:p>
    <w:p w:rsidR="0052701D" w:rsidRDefault="00D40929">
      <w:pPr>
        <w:spacing w:after="5" w:line="271" w:lineRule="auto"/>
        <w:ind w:left="9" w:right="64" w:firstLine="711"/>
        <w:jc w:val="both"/>
      </w:pPr>
      <w:r>
        <w:rPr>
          <w:rFonts w:ascii="Times New Roman" w:eastAsia="Times New Roman" w:hAnsi="Times New Roman" w:cs="Times New Roman"/>
          <w:sz w:val="28"/>
        </w:rPr>
        <w:t>И</w:t>
      </w:r>
      <w:r>
        <w:rPr>
          <w:rFonts w:ascii="Times New Roman" w:eastAsia="Times New Roman" w:hAnsi="Times New Roman" w:cs="Times New Roman"/>
          <w:sz w:val="28"/>
        </w:rPr>
        <w:t xml:space="preserve">сходя из вышесказанного, на сегодняшний день, проблема содержания ценностно-смысловой сферы в условиях адаптации к новым социальным реалиям очевидна. В этой связи развитие духового и социально-культурного потенциала страны является одним из стратегических </w:t>
      </w:r>
      <w:r>
        <w:rPr>
          <w:rFonts w:ascii="Times New Roman" w:eastAsia="Times New Roman" w:hAnsi="Times New Roman" w:cs="Times New Roman"/>
          <w:sz w:val="28"/>
        </w:rPr>
        <w:t>направлений Республики Казахстан, позволяющего сформировать систему основных базисных ценностей и убеждений через национальную идею государственной политики, направленной на воспитание «творческих» лидеров, конкурентно-способных, самодостаточных специалист</w:t>
      </w:r>
      <w:r>
        <w:rPr>
          <w:rFonts w:ascii="Times New Roman" w:eastAsia="Times New Roman" w:hAnsi="Times New Roman" w:cs="Times New Roman"/>
          <w:sz w:val="28"/>
        </w:rPr>
        <w:t xml:space="preserve">ов [5].  </w:t>
      </w:r>
    </w:p>
    <w:p w:rsidR="0052701D" w:rsidRDefault="00D40929">
      <w:pPr>
        <w:spacing w:after="28"/>
        <w:ind w:left="711"/>
      </w:pPr>
      <w:r>
        <w:rPr>
          <w:rFonts w:ascii="Times New Roman" w:eastAsia="Times New Roman" w:hAnsi="Times New Roman" w:cs="Times New Roman"/>
          <w:b/>
          <w:sz w:val="24"/>
        </w:rPr>
        <w:t xml:space="preserve"> </w:t>
      </w:r>
    </w:p>
    <w:p w:rsidR="0052701D" w:rsidRDefault="00D40929">
      <w:pPr>
        <w:spacing w:after="16" w:line="248" w:lineRule="auto"/>
        <w:ind w:left="819" w:right="179" w:hanging="10"/>
        <w:jc w:val="center"/>
      </w:pPr>
      <w:r>
        <w:rPr>
          <w:rFonts w:ascii="Times New Roman" w:eastAsia="Times New Roman" w:hAnsi="Times New Roman" w:cs="Times New Roman"/>
          <w:b/>
          <w:sz w:val="24"/>
        </w:rPr>
        <w:t xml:space="preserve">ИСТОЧНИКИ </w:t>
      </w:r>
    </w:p>
    <w:p w:rsidR="0052701D" w:rsidRDefault="00D40929">
      <w:pPr>
        <w:numPr>
          <w:ilvl w:val="0"/>
          <w:numId w:val="109"/>
        </w:numPr>
        <w:spacing w:after="29" w:line="248" w:lineRule="auto"/>
        <w:ind w:right="14" w:firstLine="711"/>
        <w:jc w:val="both"/>
      </w:pPr>
      <w:r>
        <w:rPr>
          <w:rFonts w:ascii="Times New Roman" w:eastAsia="Times New Roman" w:hAnsi="Times New Roman" w:cs="Times New Roman"/>
          <w:sz w:val="24"/>
        </w:rPr>
        <w:t xml:space="preserve">Аймаганбетова О.Х., Касымова Л.С. Из опыта адаптации «Опросника Социальных аксиом» для казахстанской выборки// материалы ежегодного международной конгресса </w:t>
      </w:r>
    </w:p>
    <w:p w:rsidR="0052701D" w:rsidRDefault="00D40929">
      <w:pPr>
        <w:spacing w:after="29" w:line="248" w:lineRule="auto"/>
        <w:ind w:left="9" w:right="14"/>
        <w:jc w:val="both"/>
      </w:pPr>
      <w:r>
        <w:rPr>
          <w:rFonts w:ascii="Times New Roman" w:eastAsia="Times New Roman" w:hAnsi="Times New Roman" w:cs="Times New Roman"/>
          <w:sz w:val="24"/>
        </w:rPr>
        <w:t>«Психология ХХI cтолетия»/под ред. Козлова В.В.–Ярославль, ЯрГУ, 2015. - С.8</w:t>
      </w:r>
      <w:r>
        <w:rPr>
          <w:rFonts w:ascii="Times New Roman" w:eastAsia="Times New Roman" w:hAnsi="Times New Roman" w:cs="Times New Roman"/>
          <w:sz w:val="24"/>
        </w:rPr>
        <w:t xml:space="preserve">-12 </w:t>
      </w:r>
    </w:p>
    <w:p w:rsidR="0052701D" w:rsidRDefault="00D40929">
      <w:pPr>
        <w:numPr>
          <w:ilvl w:val="0"/>
          <w:numId w:val="109"/>
        </w:numPr>
        <w:spacing w:after="29" w:line="248" w:lineRule="auto"/>
        <w:ind w:right="14" w:firstLine="711"/>
        <w:jc w:val="both"/>
      </w:pPr>
      <w:r>
        <w:rPr>
          <w:rFonts w:ascii="Times New Roman" w:eastAsia="Times New Roman" w:hAnsi="Times New Roman" w:cs="Times New Roman"/>
          <w:sz w:val="24"/>
        </w:rPr>
        <w:t xml:space="preserve">Дагаева Е.А. Имидж как социально-психологический феномен: теоретикометодологические аспекты изучения // Вестник Нижегородского университета им. Н.И. </w:t>
      </w:r>
    </w:p>
    <w:p w:rsidR="0052701D" w:rsidRDefault="00D40929">
      <w:pPr>
        <w:spacing w:after="29" w:line="248" w:lineRule="auto"/>
        <w:ind w:left="9" w:right="14"/>
        <w:jc w:val="both"/>
      </w:pPr>
      <w:r>
        <w:rPr>
          <w:rFonts w:ascii="Times New Roman" w:eastAsia="Times New Roman" w:hAnsi="Times New Roman" w:cs="Times New Roman"/>
          <w:sz w:val="24"/>
        </w:rPr>
        <w:t xml:space="preserve">Лобачевского. - 2011. – №4(1). – С. 368–373. </w:t>
      </w:r>
    </w:p>
    <w:p w:rsidR="0052701D" w:rsidRDefault="00D40929">
      <w:pPr>
        <w:numPr>
          <w:ilvl w:val="0"/>
          <w:numId w:val="109"/>
        </w:numPr>
        <w:spacing w:after="29" w:line="248" w:lineRule="auto"/>
        <w:ind w:right="14" w:firstLine="711"/>
        <w:jc w:val="both"/>
      </w:pPr>
      <w:r>
        <w:rPr>
          <w:rFonts w:ascii="Times New Roman" w:eastAsia="Times New Roman" w:hAnsi="Times New Roman" w:cs="Times New Roman"/>
          <w:sz w:val="24"/>
        </w:rPr>
        <w:t>Абульханова К.А. Социальное мышление личности // Соврем</w:t>
      </w:r>
      <w:r>
        <w:rPr>
          <w:rFonts w:ascii="Times New Roman" w:eastAsia="Times New Roman" w:hAnsi="Times New Roman" w:cs="Times New Roman"/>
          <w:sz w:val="24"/>
        </w:rPr>
        <w:t xml:space="preserve">енная психология: </w:t>
      </w:r>
    </w:p>
    <w:p w:rsidR="0052701D" w:rsidRDefault="00D40929">
      <w:pPr>
        <w:spacing w:after="29" w:line="248" w:lineRule="auto"/>
        <w:ind w:left="9" w:right="14"/>
        <w:jc w:val="both"/>
      </w:pPr>
      <w:r>
        <w:rPr>
          <w:rFonts w:ascii="Times New Roman" w:eastAsia="Times New Roman" w:hAnsi="Times New Roman" w:cs="Times New Roman"/>
          <w:sz w:val="24"/>
        </w:rPr>
        <w:t xml:space="preserve">состояние и перспективы исследований. - М.: Институт психологии РАН, 2002. – Ч. 3. - С. 88– 103. </w:t>
      </w:r>
    </w:p>
    <w:p w:rsidR="0052701D" w:rsidRDefault="00D40929">
      <w:pPr>
        <w:numPr>
          <w:ilvl w:val="0"/>
          <w:numId w:val="109"/>
        </w:numPr>
        <w:spacing w:after="29" w:line="248" w:lineRule="auto"/>
        <w:ind w:right="14" w:firstLine="711"/>
        <w:jc w:val="both"/>
      </w:pPr>
      <w:r>
        <w:rPr>
          <w:rFonts w:ascii="Times New Roman" w:eastAsia="Times New Roman" w:hAnsi="Times New Roman" w:cs="Times New Roman"/>
          <w:sz w:val="24"/>
        </w:rPr>
        <w:t xml:space="preserve">Московичи С. Социальное представление: исторический взгляд // Психологический журнал. - 1995. – Т.16, №1. – С. 3-18; №2. – С. 3-14. </w:t>
      </w:r>
    </w:p>
    <w:p w:rsidR="0052701D" w:rsidRDefault="00D40929">
      <w:pPr>
        <w:numPr>
          <w:ilvl w:val="0"/>
          <w:numId w:val="109"/>
        </w:numPr>
        <w:spacing w:after="29" w:line="248" w:lineRule="auto"/>
        <w:ind w:right="14" w:firstLine="711"/>
        <w:jc w:val="both"/>
      </w:pPr>
      <w:r>
        <w:rPr>
          <w:rFonts w:ascii="Times New Roman" w:eastAsia="Times New Roman" w:hAnsi="Times New Roman" w:cs="Times New Roman"/>
          <w:sz w:val="24"/>
        </w:rPr>
        <w:t>Намазб</w:t>
      </w:r>
      <w:r>
        <w:rPr>
          <w:rFonts w:ascii="Times New Roman" w:eastAsia="Times New Roman" w:hAnsi="Times New Roman" w:cs="Times New Roman"/>
          <w:sz w:val="24"/>
        </w:rPr>
        <w:t xml:space="preserve">аева Ж.И., Запрягаев Г.Г., Р.К. Луцкина Истоки развития психологии и дефектологии в Казахстане. -  Алматы: НИИ Психологии КазНПУ им Абая, 2012. -  424 с. </w:t>
      </w:r>
    </w:p>
    <w:p w:rsidR="0052701D" w:rsidRDefault="00D40929">
      <w:pPr>
        <w:spacing w:after="0"/>
        <w:ind w:left="711"/>
      </w:pPr>
      <w:r>
        <w:rPr>
          <w:rFonts w:ascii="Times New Roman" w:eastAsia="Times New Roman" w:hAnsi="Times New Roman" w:cs="Times New Roman"/>
          <w:b/>
          <w:sz w:val="28"/>
        </w:rPr>
        <w:t xml:space="preserve"> </w:t>
      </w:r>
    </w:p>
    <w:p w:rsidR="0052701D" w:rsidRDefault="00D40929">
      <w:pPr>
        <w:spacing w:after="0"/>
        <w:ind w:left="711"/>
      </w:pPr>
      <w:r>
        <w:rPr>
          <w:rFonts w:ascii="Times New Roman" w:eastAsia="Times New Roman" w:hAnsi="Times New Roman" w:cs="Times New Roman"/>
          <w:b/>
          <w:sz w:val="28"/>
        </w:rPr>
        <w:t xml:space="preserve"> </w:t>
      </w:r>
    </w:p>
    <w:p w:rsidR="0052701D" w:rsidRDefault="00D40929">
      <w:pPr>
        <w:spacing w:after="39" w:line="271" w:lineRule="auto"/>
        <w:ind w:left="-5" w:right="194" w:hanging="10"/>
      </w:pPr>
      <w:r>
        <w:rPr>
          <w:rFonts w:ascii="Times New Roman" w:eastAsia="Times New Roman" w:hAnsi="Times New Roman" w:cs="Times New Roman"/>
          <w:b/>
          <w:sz w:val="24"/>
        </w:rPr>
        <w:t xml:space="preserve">МРНТИ 15.01.09 УДК 159.9 </w:t>
      </w:r>
    </w:p>
    <w:p w:rsidR="0052701D" w:rsidRDefault="00D40929">
      <w:pPr>
        <w:spacing w:after="30"/>
        <w:ind w:right="5"/>
        <w:jc w:val="center"/>
      </w:pPr>
      <w:r>
        <w:rPr>
          <w:rFonts w:ascii="Times New Roman" w:eastAsia="Times New Roman" w:hAnsi="Times New Roman" w:cs="Times New Roman"/>
          <w:b/>
          <w:sz w:val="28"/>
        </w:rPr>
        <w:t xml:space="preserve"> </w:t>
      </w:r>
    </w:p>
    <w:p w:rsidR="0052701D" w:rsidRDefault="00D40929">
      <w:pPr>
        <w:pStyle w:val="1"/>
        <w:spacing w:after="40" w:line="251" w:lineRule="auto"/>
        <w:ind w:left="720" w:right="0" w:firstLine="1392"/>
        <w:jc w:val="left"/>
      </w:pPr>
      <w:r>
        <w:t xml:space="preserve">ИНДИВИДУАЛЬНАЯ ТЕОРИЯ ЛИЧНОСТИ В </w:t>
      </w:r>
    </w:p>
    <w:p w:rsidR="0052701D" w:rsidRDefault="00D40929">
      <w:pPr>
        <w:spacing w:after="40" w:line="251" w:lineRule="auto"/>
        <w:ind w:left="720" w:firstLine="1392"/>
      </w:pPr>
      <w:r>
        <w:rPr>
          <w:rFonts w:ascii="Times New Roman" w:eastAsia="Times New Roman" w:hAnsi="Times New Roman" w:cs="Times New Roman"/>
          <w:b/>
          <w:sz w:val="28"/>
        </w:rPr>
        <w:t>ГУМАНИСТИЧЕСКОЙ ПСИХОЛОГИИ АЛЬФРЕДА</w:t>
      </w:r>
      <w:r>
        <w:rPr>
          <w:rFonts w:ascii="Times New Roman" w:eastAsia="Times New Roman" w:hAnsi="Times New Roman" w:cs="Times New Roman"/>
          <w:b/>
          <w:sz w:val="28"/>
        </w:rPr>
        <w:t xml:space="preserve"> АДЛЕРА </w:t>
      </w:r>
    </w:p>
    <w:p w:rsidR="0052701D" w:rsidRDefault="00D40929">
      <w:pPr>
        <w:spacing w:after="23"/>
        <w:ind w:left="711"/>
      </w:pPr>
      <w:r>
        <w:rPr>
          <w:rFonts w:ascii="Times New Roman" w:eastAsia="Times New Roman" w:hAnsi="Times New Roman" w:cs="Times New Roman"/>
          <w:sz w:val="24"/>
        </w:rPr>
        <w:t xml:space="preserve"> </w:t>
      </w:r>
    </w:p>
    <w:p w:rsidR="0052701D" w:rsidRDefault="00D40929">
      <w:pPr>
        <w:pStyle w:val="1"/>
        <w:spacing w:after="16" w:line="248" w:lineRule="auto"/>
        <w:ind w:left="819" w:right="171"/>
      </w:pPr>
      <w:r>
        <w:rPr>
          <w:sz w:val="24"/>
        </w:rPr>
        <w:lastRenderedPageBreak/>
        <w:t xml:space="preserve">Абдиева Г.И., Попков В. К. </w:t>
      </w:r>
    </w:p>
    <w:p w:rsidR="0052701D" w:rsidRDefault="00D40929">
      <w:pPr>
        <w:spacing w:after="14" w:line="248" w:lineRule="auto"/>
        <w:ind w:left="1049" w:right="348" w:hanging="5"/>
        <w:jc w:val="center"/>
      </w:pPr>
      <w:r>
        <w:rPr>
          <w:rFonts w:ascii="Times New Roman" w:eastAsia="Times New Roman" w:hAnsi="Times New Roman" w:cs="Times New Roman"/>
          <w:sz w:val="24"/>
        </w:rPr>
        <w:t xml:space="preserve">ст. преп. кафедры Социальных дисциплин, студент группы ВТиПО, 3 курс, НАО «Алматинский университет энергетики и связи» им. Г. Даукеева </w:t>
      </w:r>
    </w:p>
    <w:p w:rsidR="0052701D" w:rsidRDefault="00D40929">
      <w:pPr>
        <w:spacing w:after="0"/>
        <w:ind w:left="645" w:right="8" w:hanging="10"/>
        <w:jc w:val="center"/>
      </w:pPr>
      <w:r>
        <w:rPr>
          <w:rFonts w:ascii="Times New Roman" w:eastAsia="Times New Roman" w:hAnsi="Times New Roman" w:cs="Times New Roman"/>
          <w:color w:val="0563C1"/>
          <w:sz w:val="24"/>
          <w:u w:val="single" w:color="0563C1"/>
        </w:rPr>
        <w:t>g.abdiyeva@aues.kz</w:t>
      </w:r>
      <w:r>
        <w:rPr>
          <w:rFonts w:ascii="Times New Roman" w:eastAsia="Times New Roman" w:hAnsi="Times New Roman" w:cs="Times New Roman"/>
          <w:sz w:val="24"/>
        </w:rPr>
        <w:t xml:space="preserve"> </w:t>
      </w:r>
      <w:r>
        <w:rPr>
          <w:rFonts w:ascii="Times New Roman" w:eastAsia="Times New Roman" w:hAnsi="Times New Roman" w:cs="Times New Roman"/>
          <w:color w:val="0000FF"/>
          <w:sz w:val="24"/>
          <w:u w:val="single" w:color="0000FF"/>
        </w:rPr>
        <w:t>val.popkov@aues.kz</w:t>
      </w:r>
      <w:r>
        <w:rPr>
          <w:rFonts w:ascii="Times New Roman" w:eastAsia="Times New Roman" w:hAnsi="Times New Roman" w:cs="Times New Roman"/>
          <w:sz w:val="24"/>
        </w:rPr>
        <w:t xml:space="preserve"> </w:t>
      </w:r>
    </w:p>
    <w:p w:rsidR="0052701D" w:rsidRDefault="00D40929">
      <w:pPr>
        <w:spacing w:after="24"/>
      </w:pPr>
      <w:r>
        <w:rPr>
          <w:rFonts w:ascii="Times New Roman" w:eastAsia="Times New Roman" w:hAnsi="Times New Roman" w:cs="Times New Roman"/>
          <w:sz w:val="24"/>
        </w:rPr>
        <w:t xml:space="preserve"> </w:t>
      </w:r>
    </w:p>
    <w:p w:rsidR="0052701D" w:rsidRDefault="00D40929">
      <w:pPr>
        <w:spacing w:after="29" w:line="248" w:lineRule="auto"/>
        <w:ind w:left="9" w:firstLine="711"/>
        <w:jc w:val="both"/>
      </w:pPr>
      <w:r>
        <w:rPr>
          <w:rFonts w:ascii="Times New Roman" w:eastAsia="Times New Roman" w:hAnsi="Times New Roman" w:cs="Times New Roman"/>
          <w:b/>
          <w:i/>
          <w:sz w:val="24"/>
        </w:rPr>
        <w:t>Аннотация.</w:t>
      </w:r>
      <w:r>
        <w:rPr>
          <w:rFonts w:ascii="Times New Roman" w:eastAsia="Times New Roman" w:hAnsi="Times New Roman" w:cs="Times New Roman"/>
          <w:i/>
          <w:sz w:val="24"/>
        </w:rPr>
        <w:t xml:space="preserve"> Альфред Адлер видный </w:t>
      </w:r>
      <w:r>
        <w:rPr>
          <w:rFonts w:ascii="Times New Roman" w:eastAsia="Times New Roman" w:hAnsi="Times New Roman" w:cs="Times New Roman"/>
          <w:i/>
          <w:sz w:val="24"/>
        </w:rPr>
        <w:t>представитель гуманистической теории, который разработал индивидуальную теорию, который в психологической науке именуется как «комплекс неполноценности» личности. Он индивидуальность человека определяет через синтез способов поведения. А «комплекс неполноц</w:t>
      </w:r>
      <w:r>
        <w:rPr>
          <w:rFonts w:ascii="Times New Roman" w:eastAsia="Times New Roman" w:hAnsi="Times New Roman" w:cs="Times New Roman"/>
          <w:i/>
          <w:sz w:val="24"/>
        </w:rPr>
        <w:t xml:space="preserve">енности» одно из состояний, которое человек испытывает в юности, и успешное преодоление этого состояния приводит к общественной полезности человека. </w:t>
      </w:r>
    </w:p>
    <w:p w:rsidR="0052701D" w:rsidRDefault="00D40929">
      <w:pPr>
        <w:spacing w:after="29" w:line="248" w:lineRule="auto"/>
        <w:ind w:left="9" w:firstLine="711"/>
        <w:jc w:val="both"/>
      </w:pPr>
      <w:r>
        <w:rPr>
          <w:rFonts w:ascii="Times New Roman" w:eastAsia="Times New Roman" w:hAnsi="Times New Roman" w:cs="Times New Roman"/>
          <w:i/>
          <w:sz w:val="24"/>
        </w:rPr>
        <w:t xml:space="preserve"> </w:t>
      </w: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 xml:space="preserve"> индивидуальная теория, гуманистическая теория, «комплекс неполноценности», поведение, дей</w:t>
      </w:r>
      <w:r>
        <w:rPr>
          <w:rFonts w:ascii="Times New Roman" w:eastAsia="Times New Roman" w:hAnsi="Times New Roman" w:cs="Times New Roman"/>
          <w:i/>
          <w:sz w:val="24"/>
        </w:rPr>
        <w:t xml:space="preserve">ствия, личностная самооценка, адаптация человека, социальный интерес, возраст. </w:t>
      </w:r>
    </w:p>
    <w:p w:rsidR="0052701D" w:rsidRDefault="00D40929">
      <w:pPr>
        <w:spacing w:after="0"/>
        <w:ind w:left="711"/>
      </w:pPr>
      <w:r>
        <w:rPr>
          <w:rFonts w:ascii="Times New Roman" w:eastAsia="Times New Roman" w:hAnsi="Times New Roman" w:cs="Times New Roman"/>
          <w:i/>
          <w:sz w:val="24"/>
        </w:rPr>
        <w:t xml:space="preserve"> </w:t>
      </w:r>
    </w:p>
    <w:p w:rsidR="0052701D" w:rsidRDefault="00D40929">
      <w:pPr>
        <w:spacing w:after="16"/>
        <w:ind w:left="711"/>
      </w:pPr>
      <w:r>
        <w:rPr>
          <w:rFonts w:ascii="Times New Roman" w:eastAsia="Times New Roman" w:hAnsi="Times New Roman" w:cs="Times New Roman"/>
          <w:i/>
          <w:sz w:val="24"/>
        </w:rPr>
        <w:t xml:space="preserve"> </w:t>
      </w:r>
    </w:p>
    <w:p w:rsidR="0052701D" w:rsidRDefault="00D40929">
      <w:pPr>
        <w:spacing w:after="5" w:line="271" w:lineRule="auto"/>
        <w:ind w:left="1061" w:firstLine="9"/>
      </w:pPr>
      <w:r>
        <w:rPr>
          <w:rFonts w:ascii="Times New Roman" w:eastAsia="Times New Roman" w:hAnsi="Times New Roman" w:cs="Times New Roman"/>
          <w:b/>
          <w:sz w:val="28"/>
        </w:rPr>
        <w:t xml:space="preserve">INDIVIDUAL THEORY OF PERSONALITY IN THE HUMANIST PSYCHOLOGY OF ALFRED ADLER </w:t>
      </w:r>
    </w:p>
    <w:p w:rsidR="0052701D" w:rsidRDefault="00D40929">
      <w:pPr>
        <w:spacing w:after="0"/>
        <w:ind w:left="711"/>
      </w:pPr>
      <w:r>
        <w:rPr>
          <w:rFonts w:ascii="Times New Roman" w:eastAsia="Times New Roman" w:hAnsi="Times New Roman" w:cs="Times New Roman"/>
          <w:i/>
          <w:sz w:val="24"/>
        </w:rPr>
        <w:t xml:space="preserve"> </w:t>
      </w:r>
    </w:p>
    <w:p w:rsidR="0052701D" w:rsidRDefault="00D40929">
      <w:pPr>
        <w:spacing w:after="0" w:line="248" w:lineRule="auto"/>
        <w:ind w:left="9" w:firstLine="711"/>
        <w:jc w:val="both"/>
      </w:pPr>
      <w:r>
        <w:rPr>
          <w:rFonts w:ascii="Times New Roman" w:eastAsia="Times New Roman" w:hAnsi="Times New Roman" w:cs="Times New Roman"/>
          <w:b/>
          <w:i/>
          <w:sz w:val="24"/>
        </w:rPr>
        <w:t>Annotation.</w:t>
      </w:r>
      <w:r>
        <w:rPr>
          <w:rFonts w:ascii="Times New Roman" w:eastAsia="Times New Roman" w:hAnsi="Times New Roman" w:cs="Times New Roman"/>
          <w:i/>
          <w:sz w:val="24"/>
        </w:rPr>
        <w:t xml:space="preserve"> Alfred Adler is a prominent representative of the humanistic theory, who </w:t>
      </w:r>
      <w:r>
        <w:rPr>
          <w:rFonts w:ascii="Times New Roman" w:eastAsia="Times New Roman" w:hAnsi="Times New Roman" w:cs="Times New Roman"/>
          <w:i/>
          <w:sz w:val="24"/>
        </w:rPr>
        <w:t>developed an individual theory, which in psychological science is referred to as the «inferiority complex» of the individual. He determines the individuality of a person through the synthesis of modes of behavior. And the «inferiority complex» is one of th</w:t>
      </w:r>
      <w:r>
        <w:rPr>
          <w:rFonts w:ascii="Times New Roman" w:eastAsia="Times New Roman" w:hAnsi="Times New Roman" w:cs="Times New Roman"/>
          <w:i/>
          <w:sz w:val="24"/>
        </w:rPr>
        <w:t xml:space="preserve">e states that a person experiences in his youth, and the successful overcoming of this state leads to the social usefulness of a person. </w:t>
      </w:r>
    </w:p>
    <w:p w:rsidR="0052701D" w:rsidRDefault="00D40929">
      <w:pPr>
        <w:spacing w:after="84" w:line="248" w:lineRule="auto"/>
        <w:ind w:left="9" w:firstLine="711"/>
        <w:jc w:val="both"/>
      </w:pPr>
      <w:r>
        <w:rPr>
          <w:rFonts w:ascii="Times New Roman" w:eastAsia="Times New Roman" w:hAnsi="Times New Roman" w:cs="Times New Roman"/>
          <w:b/>
          <w:i/>
          <w:sz w:val="24"/>
        </w:rPr>
        <w:t>Keywords.</w:t>
      </w:r>
      <w:r>
        <w:rPr>
          <w:rFonts w:ascii="Times New Roman" w:eastAsia="Times New Roman" w:hAnsi="Times New Roman" w:cs="Times New Roman"/>
          <w:i/>
          <w:sz w:val="24"/>
        </w:rPr>
        <w:t xml:space="preserve"> individual theory, humanistic theory, «inferiority complex», behavior, actions, personal self-esteem, human </w:t>
      </w:r>
      <w:r>
        <w:rPr>
          <w:rFonts w:ascii="Times New Roman" w:eastAsia="Times New Roman" w:hAnsi="Times New Roman" w:cs="Times New Roman"/>
          <w:i/>
          <w:sz w:val="24"/>
        </w:rPr>
        <w:t xml:space="preserve">adaptation, social interest, age. </w:t>
      </w:r>
    </w:p>
    <w:p w:rsidR="0052701D" w:rsidRDefault="00D40929">
      <w:pPr>
        <w:spacing w:after="101"/>
        <w:ind w:left="706"/>
      </w:pPr>
      <w:r>
        <w:rPr>
          <w:rFonts w:ascii="Times New Roman" w:eastAsia="Times New Roman" w:hAnsi="Times New Roman" w:cs="Times New Roman"/>
          <w:i/>
          <w:sz w:val="20"/>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Психологическое изучение человека в психологической науке – это целое искусство, который требует постоянного изучения. Одним из видных представителей гуманистической теории в психологической науке является Альфред Адлер</w:t>
      </w:r>
      <w:r>
        <w:rPr>
          <w:rFonts w:ascii="Times New Roman" w:eastAsia="Times New Roman" w:hAnsi="Times New Roman" w:cs="Times New Roman"/>
          <w:sz w:val="28"/>
        </w:rPr>
        <w:t>, который разработал индивидуальную теорию в науке именуемый как «комплекс неполноценности» личности. В процессе раскрытия темы нами будет обозначена широта его научных воззрений, которые касаются психики, сознания человека. Научное понятие «комплекс непол</w:t>
      </w:r>
      <w:r>
        <w:rPr>
          <w:rFonts w:ascii="Times New Roman" w:eastAsia="Times New Roman" w:hAnsi="Times New Roman" w:cs="Times New Roman"/>
          <w:sz w:val="28"/>
        </w:rPr>
        <w:t xml:space="preserve">ноценности» в работе А.Адлера одно из психических состояний, которое человек испытывает в юности, и успешно преодолевает этого состояние, который в последующем приводит к общественной полезности человека как личности.  </w:t>
      </w:r>
    </w:p>
    <w:p w:rsidR="0052701D" w:rsidRDefault="00D40929">
      <w:pPr>
        <w:spacing w:after="5" w:line="271" w:lineRule="auto"/>
        <w:ind w:left="9" w:right="64" w:firstLine="711"/>
        <w:jc w:val="both"/>
      </w:pPr>
      <w:r>
        <w:rPr>
          <w:rFonts w:ascii="Times New Roman" w:eastAsia="Times New Roman" w:hAnsi="Times New Roman" w:cs="Times New Roman"/>
          <w:sz w:val="28"/>
        </w:rPr>
        <w:t>В основных положениях индивидуальной</w:t>
      </w:r>
      <w:r>
        <w:rPr>
          <w:rFonts w:ascii="Times New Roman" w:eastAsia="Times New Roman" w:hAnsi="Times New Roman" w:cs="Times New Roman"/>
          <w:sz w:val="28"/>
        </w:rPr>
        <w:t xml:space="preserve"> теории личности А. Адлер выделяет семь основных научных принципов. И самым первым принципом является чувство неполноценности и компенсации. В частности, человек у которого присутствует дефект неполноценности, старается его компенсировать при помощи различ</w:t>
      </w:r>
      <w:r>
        <w:rPr>
          <w:rFonts w:ascii="Times New Roman" w:eastAsia="Times New Roman" w:hAnsi="Times New Roman" w:cs="Times New Roman"/>
          <w:sz w:val="28"/>
        </w:rPr>
        <w:t xml:space="preserve">ных упражнений и тренировок, который помогает достигнуть определённых положительных результатов в его поведении.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Нельзя не согласиться с автором статьи «Комплекс неполноценности личности как детерминанта преступного поведения» Телешовой Л. В.: «Чувство </w:t>
      </w:r>
      <w:r>
        <w:rPr>
          <w:rFonts w:ascii="Times New Roman" w:eastAsia="Times New Roman" w:hAnsi="Times New Roman" w:cs="Times New Roman"/>
          <w:sz w:val="28"/>
        </w:rPr>
        <w:lastRenderedPageBreak/>
        <w:t>н</w:t>
      </w:r>
      <w:r>
        <w:rPr>
          <w:rFonts w:ascii="Times New Roman" w:eastAsia="Times New Roman" w:hAnsi="Times New Roman" w:cs="Times New Roman"/>
          <w:sz w:val="28"/>
        </w:rPr>
        <w:t>еполноценности сопровождает человека при вступлении в каждую новую возрастную фазу и на каждом этапе человек ищет способы справиться с этим чувством посредством компенсации этого комплекса через удовлетворение потребности в самоутверждении и достижении пре</w:t>
      </w:r>
      <w:r>
        <w:rPr>
          <w:rFonts w:ascii="Times New Roman" w:eastAsia="Times New Roman" w:hAnsi="Times New Roman" w:cs="Times New Roman"/>
          <w:sz w:val="28"/>
        </w:rPr>
        <w:t xml:space="preserve">восходства. У людей со стабильной психикой эта компенсация выражается в достижении целей: продвижении по карьерной лестнице, установлении спортивных рекордов, создании произведений искусства и так далее» [1, с. 51], ведь именно такое раскрытое определение </w:t>
      </w:r>
      <w:r>
        <w:rPr>
          <w:rFonts w:ascii="Times New Roman" w:eastAsia="Times New Roman" w:hAnsi="Times New Roman" w:cs="Times New Roman"/>
          <w:sz w:val="28"/>
        </w:rPr>
        <w:t xml:space="preserve">на примере жизненных ситуаций полностью раскрывает вопрос о значении комплекса неполноценности.  </w:t>
      </w:r>
    </w:p>
    <w:p w:rsidR="0052701D" w:rsidRDefault="00D40929">
      <w:pPr>
        <w:spacing w:after="5" w:line="271" w:lineRule="auto"/>
        <w:ind w:left="9" w:right="64" w:firstLine="711"/>
        <w:jc w:val="both"/>
      </w:pPr>
      <w:r>
        <w:rPr>
          <w:rFonts w:ascii="Times New Roman" w:eastAsia="Times New Roman" w:hAnsi="Times New Roman" w:cs="Times New Roman"/>
          <w:sz w:val="28"/>
        </w:rPr>
        <w:t>Психологическая неполноценность личности, к удивлению, может привести к серьёзным достижениям. Адлер в свое время заметил, что «комплекс неполноценности» имее</w:t>
      </w:r>
      <w:r>
        <w:rPr>
          <w:rFonts w:ascii="Times New Roman" w:eastAsia="Times New Roman" w:hAnsi="Times New Roman" w:cs="Times New Roman"/>
          <w:sz w:val="28"/>
        </w:rPr>
        <w:t>т свои первоначальные истоки берет из детства, когда ребёнок чувствует свою особую психологическую зависимость от родителей. К примеру, когда он постоянно зависим от родителей (игрушку надо просить у родителей, погулять надо просить разрешения, хочет завес</w:t>
      </w:r>
      <w:r>
        <w:rPr>
          <w:rFonts w:ascii="Times New Roman" w:eastAsia="Times New Roman" w:hAnsi="Times New Roman" w:cs="Times New Roman"/>
          <w:sz w:val="28"/>
        </w:rPr>
        <w:t>ти питомца, опять же надо просить у родителя), т. е это и есть предмет постоянной психологической зависимости ребёнка, который к удивлению, может приводит формированию «комплексу неполноценности». Заметим, то что с детства у ребёнка может проявляться борьб</w:t>
      </w:r>
      <w:r>
        <w:rPr>
          <w:rFonts w:ascii="Times New Roman" w:eastAsia="Times New Roman" w:hAnsi="Times New Roman" w:cs="Times New Roman"/>
          <w:sz w:val="28"/>
        </w:rPr>
        <w:t xml:space="preserve">а за достижения превосходства над окружением, который способствует высоким достижениям в будущем. </w:t>
      </w:r>
    </w:p>
    <w:p w:rsidR="0052701D" w:rsidRDefault="00D40929">
      <w:pPr>
        <w:spacing w:after="5" w:line="271" w:lineRule="auto"/>
        <w:ind w:left="9" w:right="64" w:firstLine="711"/>
        <w:jc w:val="both"/>
      </w:pPr>
      <w:r>
        <w:rPr>
          <w:rFonts w:ascii="Times New Roman" w:eastAsia="Times New Roman" w:hAnsi="Times New Roman" w:cs="Times New Roman"/>
          <w:sz w:val="28"/>
        </w:rPr>
        <w:t>Во всех работах А. Адлера приводится примером психологические страдания человека, которые может способствовать к развитию «комплекса неполноценности». Альфре</w:t>
      </w:r>
      <w:r>
        <w:rPr>
          <w:rFonts w:ascii="Times New Roman" w:eastAsia="Times New Roman" w:hAnsi="Times New Roman" w:cs="Times New Roman"/>
          <w:sz w:val="28"/>
        </w:rPr>
        <w:t>д Адлер на своем личном состоянии описывал физический недостаток как «комплекс неполноценности». Это чувство физической неполноценности в любом возрасте может и не измениться. Общеизвестно, что любой физический недостаток дается не случайно природой. По Ад</w:t>
      </w:r>
      <w:r>
        <w:rPr>
          <w:rFonts w:ascii="Times New Roman" w:eastAsia="Times New Roman" w:hAnsi="Times New Roman" w:cs="Times New Roman"/>
          <w:sz w:val="28"/>
        </w:rPr>
        <w:t>леру любой физический недостаток человека (у А. Адлера была хромота как физический недостаток) всегда необходимо преодолевать любые физические, психологические препятствия, чтобы получить какие-то определённые результаты. На примере, самого ученого, именно</w:t>
      </w:r>
      <w:r>
        <w:rPr>
          <w:rFonts w:ascii="Times New Roman" w:eastAsia="Times New Roman" w:hAnsi="Times New Roman" w:cs="Times New Roman"/>
          <w:sz w:val="28"/>
        </w:rPr>
        <w:t xml:space="preserve"> его физический недостаток научил Адлера системно работать, учиться и достигать определенных результатов в своей жизнедеятельности. </w:t>
      </w:r>
    </w:p>
    <w:p w:rsidR="0052701D" w:rsidRDefault="00D40929">
      <w:pPr>
        <w:spacing w:after="5" w:line="271" w:lineRule="auto"/>
        <w:ind w:left="9" w:right="64" w:firstLine="711"/>
        <w:jc w:val="both"/>
      </w:pPr>
      <w:r>
        <w:rPr>
          <w:rFonts w:ascii="Times New Roman" w:eastAsia="Times New Roman" w:hAnsi="Times New Roman" w:cs="Times New Roman"/>
          <w:sz w:val="28"/>
        </w:rPr>
        <w:t>Другой вид психологического страдания, в своих работах А.Адлером выделена как чрезмерная опека родителей. Понятно, любой ре</w:t>
      </w:r>
      <w:r>
        <w:rPr>
          <w:rFonts w:ascii="Times New Roman" w:eastAsia="Times New Roman" w:hAnsi="Times New Roman" w:cs="Times New Roman"/>
          <w:sz w:val="28"/>
        </w:rPr>
        <w:t xml:space="preserve">бенок должен чувствовать заботу родителей, но чрезмерная забота родителей приводит к отрицательным последствиям для дальнейшего развития ребенка. Понятно, что опекаемый ребёнок чувствует удовлетворённость в любых потребностях </w:t>
      </w:r>
      <w:r>
        <w:rPr>
          <w:rFonts w:ascii="Times New Roman" w:eastAsia="Times New Roman" w:hAnsi="Times New Roman" w:cs="Times New Roman"/>
          <w:sz w:val="28"/>
        </w:rPr>
        <w:lastRenderedPageBreak/>
        <w:t>больше, но это приводит к угас</w:t>
      </w:r>
      <w:r>
        <w:rPr>
          <w:rFonts w:ascii="Times New Roman" w:eastAsia="Times New Roman" w:hAnsi="Times New Roman" w:cs="Times New Roman"/>
          <w:sz w:val="28"/>
        </w:rPr>
        <w:t xml:space="preserve">анию интереса к окружающему миру, потому что формируется чувство обделённости. </w:t>
      </w:r>
    </w:p>
    <w:p w:rsidR="0052701D" w:rsidRDefault="00D40929">
      <w:pPr>
        <w:spacing w:after="5" w:line="271" w:lineRule="auto"/>
        <w:ind w:left="9" w:right="64" w:firstLine="711"/>
        <w:jc w:val="both"/>
      </w:pPr>
      <w:r>
        <w:rPr>
          <w:rFonts w:ascii="Times New Roman" w:eastAsia="Times New Roman" w:hAnsi="Times New Roman" w:cs="Times New Roman"/>
          <w:sz w:val="28"/>
        </w:rPr>
        <w:t>А другое чувство отвержение родителей, тоже является психологическим страданием, который приводит к жизненной неуверенности, низкой личностной самооценке в жизни. Человек, чтоб</w:t>
      </w:r>
      <w:r>
        <w:rPr>
          <w:rFonts w:ascii="Times New Roman" w:eastAsia="Times New Roman" w:hAnsi="Times New Roman" w:cs="Times New Roman"/>
          <w:sz w:val="28"/>
        </w:rPr>
        <w:t xml:space="preserve">ы преодолеть это психологическое состояние с самого детства автоматически формирует «комплекс превосходства» (гиперкомпенсация).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В психологической науке «комплекс превосходства» рассматривается как преувеличение своих способностей, который не связанно с </w:t>
      </w:r>
      <w:r>
        <w:rPr>
          <w:rFonts w:ascii="Times New Roman" w:eastAsia="Times New Roman" w:hAnsi="Times New Roman" w:cs="Times New Roman"/>
          <w:sz w:val="28"/>
        </w:rPr>
        <w:t xml:space="preserve">реальными возможностями человека. Значит, человек с детства любыми действиями пытается гиперкомпенсировать свои психофизические недостатки на основе особых способностей, которые при желании развиваются и реально проявляются.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Согласно теории Адлера, </w:t>
      </w:r>
      <w:r>
        <w:rPr>
          <w:rFonts w:ascii="Times New Roman" w:eastAsia="Times New Roman" w:hAnsi="Times New Roman" w:cs="Times New Roman"/>
          <w:sz w:val="28"/>
        </w:rPr>
        <w:t>стремление к «комплексу превосходства» явление врожденное, но его необходимо развивать (с 5-летнего возраста) и системно воспитывать пожизненно в человеке. По этому поводу, Альфред Адлер выделяет два вида направление к стремлению превосходства (деструктивн</w:t>
      </w:r>
      <w:r>
        <w:rPr>
          <w:rFonts w:ascii="Times New Roman" w:eastAsia="Times New Roman" w:hAnsi="Times New Roman" w:cs="Times New Roman"/>
          <w:sz w:val="28"/>
        </w:rPr>
        <w:t>ое и конструктивное). Деструктивное стремление к превосходству у человека связано с ростом психофизического напряжения и огромной энергозатратой, который однозначно может проявляться у слабо адаптированных людей. Порой такой человек может постоянно боротьс</w:t>
      </w:r>
      <w:r>
        <w:rPr>
          <w:rFonts w:ascii="Times New Roman" w:eastAsia="Times New Roman" w:hAnsi="Times New Roman" w:cs="Times New Roman"/>
          <w:sz w:val="28"/>
        </w:rPr>
        <w:t>я за собственное превосходство над другими, собственными интересами и потребностями. Известно, что правильное психофизическое развитие, приводит к быстрой адаптации человека в любой жизненной ситуации, что является важным аспектом в успешном формировании л</w:t>
      </w:r>
      <w:r>
        <w:rPr>
          <w:rFonts w:ascii="Times New Roman" w:eastAsia="Times New Roman" w:hAnsi="Times New Roman" w:cs="Times New Roman"/>
          <w:sz w:val="28"/>
        </w:rPr>
        <w:t xml:space="preserve">ичности. </w:t>
      </w:r>
    </w:p>
    <w:p w:rsidR="0052701D" w:rsidRDefault="00D40929">
      <w:pPr>
        <w:spacing w:after="5" w:line="271" w:lineRule="auto"/>
        <w:ind w:left="9" w:right="64" w:firstLine="711"/>
        <w:jc w:val="both"/>
      </w:pPr>
      <w:r>
        <w:rPr>
          <w:rFonts w:ascii="Times New Roman" w:eastAsia="Times New Roman" w:hAnsi="Times New Roman" w:cs="Times New Roman"/>
          <w:sz w:val="28"/>
        </w:rPr>
        <w:t>В своих научных исследованиях Альфред Адлер индивидуальность человека определяет через целую систему способов поведения. Ведь поведение ребёнка имеющие физические недостатки зависит от отношения и мнения к нему окружающих людей. В свое время, Аль</w:t>
      </w:r>
      <w:r>
        <w:rPr>
          <w:rFonts w:ascii="Times New Roman" w:eastAsia="Times New Roman" w:hAnsi="Times New Roman" w:cs="Times New Roman"/>
          <w:sz w:val="28"/>
        </w:rPr>
        <w:t>фред Адлер справедливо писал, что именно мама должна правильно объяснять необходимость и важность правильного общения в социуме. Это может быть и желание помогать другим, и забота о других людях и правильно и уместно проявлять свои эмоции. Человек с детств</w:t>
      </w:r>
      <w:r>
        <w:rPr>
          <w:rFonts w:ascii="Times New Roman" w:eastAsia="Times New Roman" w:hAnsi="Times New Roman" w:cs="Times New Roman"/>
          <w:sz w:val="28"/>
        </w:rPr>
        <w:t xml:space="preserve">а должен правильно понимать, что именно через помощь и сострадания к другим людям, человек может в некотором плане самоутверждаться и самореализоваться как личность.  </w:t>
      </w:r>
    </w:p>
    <w:p w:rsidR="0052701D" w:rsidRDefault="00D40929">
      <w:pPr>
        <w:spacing w:after="5" w:line="271" w:lineRule="auto"/>
        <w:ind w:left="9" w:right="64" w:firstLine="711"/>
        <w:jc w:val="both"/>
      </w:pPr>
      <w:r>
        <w:rPr>
          <w:rFonts w:ascii="Times New Roman" w:eastAsia="Times New Roman" w:hAnsi="Times New Roman" w:cs="Times New Roman"/>
          <w:sz w:val="28"/>
        </w:rPr>
        <w:t>Важно заметить, что именно правильная или можно сказать успешная модель поведения челове</w:t>
      </w:r>
      <w:r>
        <w:rPr>
          <w:rFonts w:ascii="Times New Roman" w:eastAsia="Times New Roman" w:hAnsi="Times New Roman" w:cs="Times New Roman"/>
          <w:sz w:val="28"/>
        </w:rPr>
        <w:t>ка в социуме зависит от того, какие отношения были и есть между родителями в семье. Именно психологические отношения между родителями в семье с детского возраста сказывается на поведении ребёнка пожизненно. Часто, в процессе воспитания ребенка в семье, име</w:t>
      </w:r>
      <w:r>
        <w:rPr>
          <w:rFonts w:ascii="Times New Roman" w:eastAsia="Times New Roman" w:hAnsi="Times New Roman" w:cs="Times New Roman"/>
          <w:sz w:val="28"/>
        </w:rPr>
        <w:t xml:space="preserve">нно на этот </w:t>
      </w:r>
      <w:r>
        <w:rPr>
          <w:rFonts w:ascii="Times New Roman" w:eastAsia="Times New Roman" w:hAnsi="Times New Roman" w:cs="Times New Roman"/>
          <w:sz w:val="28"/>
        </w:rPr>
        <w:lastRenderedPageBreak/>
        <w:t>момент не обращается внимание. На основе теории А.Адлера, заметим, что родители на первенце учатся быть родителями, который связано с огромными эмоциональными волнениями, много неуверенности и сомнении, опасений, что часто родители обращаются к</w:t>
      </w:r>
      <w:r>
        <w:rPr>
          <w:rFonts w:ascii="Times New Roman" w:eastAsia="Times New Roman" w:hAnsi="Times New Roman" w:cs="Times New Roman"/>
          <w:sz w:val="28"/>
        </w:rPr>
        <w:t xml:space="preserve"> справочной психолого-педагогической литературе. Жизненный опыт любого родителя с появлениями второго ребенка в семье, с определенными наработки и предыдущими навыками отношениями с малышом имеет совершенно другую картину родительства. В повседневной жизни</w:t>
      </w:r>
      <w:r>
        <w:rPr>
          <w:rFonts w:ascii="Times New Roman" w:eastAsia="Times New Roman" w:hAnsi="Times New Roman" w:cs="Times New Roman"/>
          <w:sz w:val="28"/>
        </w:rPr>
        <w:t xml:space="preserve"> каждый человек был свидетелем того, что старший ребёнок, часто видя, что всё внимание и забота родителей направленно не на него, а смещается в сторону младшего новорожденного ребёнка, он чувствует ненужность, предательство и даже на физическом фоне у него</w:t>
      </w:r>
      <w:r>
        <w:rPr>
          <w:rFonts w:ascii="Times New Roman" w:eastAsia="Times New Roman" w:hAnsi="Times New Roman" w:cs="Times New Roman"/>
          <w:sz w:val="28"/>
        </w:rPr>
        <w:t xml:space="preserve"> поднимается температура и он болеет. И за это брошенное состояние, многие дети даже хотят отомстит и даже неосознанно желают смерти по отношению к младшему, чтобы самоутвердиться посредством силы по отношению к младшему.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 Таким образом, отношения в семье</w:t>
      </w:r>
      <w:r>
        <w:rPr>
          <w:rFonts w:ascii="Times New Roman" w:eastAsia="Times New Roman" w:hAnsi="Times New Roman" w:cs="Times New Roman"/>
          <w:sz w:val="28"/>
        </w:rPr>
        <w:t xml:space="preserve"> сразу проявляются. Если же в семье всё нормально с психологическими отношениями, тогда старший ребёнок чувствует настоятельную потребность помогать младшему и заботиться о малыше, направлять его, помогать, играть, и здесь уже будет проявляться тот самый с</w:t>
      </w:r>
      <w:r>
        <w:rPr>
          <w:rFonts w:ascii="Times New Roman" w:eastAsia="Times New Roman" w:hAnsi="Times New Roman" w:cs="Times New Roman"/>
          <w:sz w:val="28"/>
        </w:rPr>
        <w:t xml:space="preserve">оциальный интерес, формируется социальное взаимодействие.  </w:t>
      </w:r>
    </w:p>
    <w:p w:rsidR="0052701D" w:rsidRDefault="00D40929">
      <w:pPr>
        <w:spacing w:after="5" w:line="271" w:lineRule="auto"/>
        <w:ind w:left="9" w:right="64" w:firstLine="711"/>
        <w:jc w:val="both"/>
      </w:pPr>
      <w:r>
        <w:rPr>
          <w:rFonts w:ascii="Times New Roman" w:eastAsia="Times New Roman" w:hAnsi="Times New Roman" w:cs="Times New Roman"/>
          <w:sz w:val="28"/>
        </w:rPr>
        <w:t>Старший ребёнок в семье по Адлеру ввиду своего исторического происхождения более консервативен, стремится к власти и управлению, к лидерству. Именно этот первый ребенок, который пережил чувство пе</w:t>
      </w:r>
      <w:r>
        <w:rPr>
          <w:rFonts w:ascii="Times New Roman" w:eastAsia="Times New Roman" w:hAnsi="Times New Roman" w:cs="Times New Roman"/>
          <w:sz w:val="28"/>
        </w:rPr>
        <w:t>рвенца, постоянно будет присутствовать и в семейной жизни и социальном взаимодействии. Муж в такой семье начинает себя чувствовать не очень удобном положении, так как с рождением малыша, все внимание супруги перенаправляется резко на маленького ребёнка. Не</w:t>
      </w:r>
      <w:r>
        <w:rPr>
          <w:rFonts w:ascii="Times New Roman" w:eastAsia="Times New Roman" w:hAnsi="Times New Roman" w:cs="Times New Roman"/>
          <w:sz w:val="28"/>
        </w:rPr>
        <w:t>которые переживают это очень эмоционально сильно, и здесь именно по А.Адлеру можно увидеть, каким образом правильно будет проявляться социальный интерес. Если в родительской семье у такого мужчины социальный интерес был правильно развит и сформирован, то в</w:t>
      </w:r>
      <w:r>
        <w:rPr>
          <w:rFonts w:ascii="Times New Roman" w:eastAsia="Times New Roman" w:hAnsi="Times New Roman" w:cs="Times New Roman"/>
          <w:sz w:val="28"/>
        </w:rPr>
        <w:t xml:space="preserve"> таком мужчине будет проявляться помощь по отношению к своему же ребёнку, посредством получения особого удовольствия от родительства. Хотя стоит заметить, что первые месяцы родительства бывают очень сложными в психологическом плане, так как ребёнок может ч</w:t>
      </w:r>
      <w:r>
        <w:rPr>
          <w:rFonts w:ascii="Times New Roman" w:eastAsia="Times New Roman" w:hAnsi="Times New Roman" w:cs="Times New Roman"/>
          <w:sz w:val="28"/>
        </w:rPr>
        <w:t>асто кричать, не давать спать и так далее. В случае если же у такого мужчины в родительской семье не было сформировано социального интереса, тогда всё внимание, которое направлено на ребёнка будет присутствовать у жены. В свою очередь отец будет играть усл</w:t>
      </w:r>
      <w:r>
        <w:rPr>
          <w:rFonts w:ascii="Times New Roman" w:eastAsia="Times New Roman" w:hAnsi="Times New Roman" w:cs="Times New Roman"/>
          <w:sz w:val="28"/>
        </w:rPr>
        <w:t xml:space="preserve">овную роль, говоря другими словами отходить от ответственности </w:t>
      </w:r>
      <w:r>
        <w:rPr>
          <w:rFonts w:ascii="Times New Roman" w:eastAsia="Times New Roman" w:hAnsi="Times New Roman" w:cs="Times New Roman"/>
          <w:sz w:val="28"/>
        </w:rPr>
        <w:lastRenderedPageBreak/>
        <w:t xml:space="preserve">«пускай немножко я буду в сторонке, жена с ребёнком возится, а я постараюсь немножко поспать и отдохнуть».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Второй случай. Второй ребёнок в семье, или средний ребёнок. В наше время чаще всего </w:t>
      </w:r>
      <w:r>
        <w:rPr>
          <w:rFonts w:ascii="Times New Roman" w:eastAsia="Times New Roman" w:hAnsi="Times New Roman" w:cs="Times New Roman"/>
          <w:sz w:val="28"/>
        </w:rPr>
        <w:t>по социальной статистике, беря условную многодетную семью, это двое детей, то есть сиблинги по Адлеру, братья или сестры в семье. Темп развития такого ребёнка более высокий, чем у старшего, так как второй ребёнок, психологически ориентируясь на успехи и до</w:t>
      </w:r>
      <w:r>
        <w:rPr>
          <w:rFonts w:ascii="Times New Roman" w:eastAsia="Times New Roman" w:hAnsi="Times New Roman" w:cs="Times New Roman"/>
          <w:sz w:val="28"/>
        </w:rPr>
        <w:t>стижения старшего ребёнка, стремится достигнуть того, чего достиг старший ребёнок. Обычно второй ребёнок в семье честолюбивый, соперничающий ребёнок, доказывающий своё превосходство. Но здесь есть тоже некая невротизация, потому что он всё время будет орие</w:t>
      </w:r>
      <w:r>
        <w:rPr>
          <w:rFonts w:ascii="Times New Roman" w:eastAsia="Times New Roman" w:hAnsi="Times New Roman" w:cs="Times New Roman"/>
          <w:sz w:val="28"/>
        </w:rPr>
        <w:t xml:space="preserve">нтироваться на старшего, который имеет большие возможности и способности в силу своего возраста. Если такой ребёнок вырастает, то такой ребёнок будет ориентироваться больше на тех людей, которые имеют больше возможностей, стремиться к достижениям того же, </w:t>
      </w:r>
      <w:r>
        <w:rPr>
          <w:rFonts w:ascii="Times New Roman" w:eastAsia="Times New Roman" w:hAnsi="Times New Roman" w:cs="Times New Roman"/>
          <w:sz w:val="28"/>
        </w:rPr>
        <w:t>что и они сделали, а может и даже преодолеть, превысить ту результативность, которая была у более старших.</w:t>
      </w:r>
    </w:p>
    <w:p w:rsidR="0052701D" w:rsidRDefault="00D40929">
      <w:pPr>
        <w:spacing w:after="5" w:line="271" w:lineRule="auto"/>
        <w:ind w:left="9" w:right="64" w:firstLine="711"/>
        <w:jc w:val="both"/>
      </w:pPr>
      <w:r>
        <w:rPr>
          <w:rFonts w:ascii="Times New Roman" w:eastAsia="Times New Roman" w:hAnsi="Times New Roman" w:cs="Times New Roman"/>
          <w:sz w:val="28"/>
        </w:rPr>
        <w:t>Третий случай. Самый младший ребёнок. Положение же самого младшего, иначе говоря, последнего ребёнка является уникальным случаем во многом, т.к. тако</w:t>
      </w:r>
      <w:r>
        <w:rPr>
          <w:rFonts w:ascii="Times New Roman" w:eastAsia="Times New Roman" w:hAnsi="Times New Roman" w:cs="Times New Roman"/>
          <w:sz w:val="28"/>
        </w:rPr>
        <w:t>й случай предусматриваем в себе отсутствие какого-либо «лишения трона» со стороны сестры или брата в силу возраста первого. Также, если родители испытывают какое-либо ограничения в средствах, то ребёнок практически ничего своего не имеет, что в свою очеред</w:t>
      </w:r>
      <w:r>
        <w:rPr>
          <w:rFonts w:ascii="Times New Roman" w:eastAsia="Times New Roman" w:hAnsi="Times New Roman" w:cs="Times New Roman"/>
          <w:sz w:val="28"/>
        </w:rPr>
        <w:t>ь влечёт за собой вынужденно пользоваться вещами других членов семьи. Считается, что младший ребёнок для родителей — это уже некая отрада. Родители уже имеют определенный опыт жизненный, умеют управляться с детьми, и для родителя такой ребёнок как некое уд</w:t>
      </w:r>
      <w:r>
        <w:rPr>
          <w:rFonts w:ascii="Times New Roman" w:eastAsia="Times New Roman" w:hAnsi="Times New Roman" w:cs="Times New Roman"/>
          <w:sz w:val="28"/>
        </w:rPr>
        <w:t xml:space="preserve">овольствие или приятная игра во взрослой жизни.  </w:t>
      </w:r>
    </w:p>
    <w:p w:rsidR="0052701D" w:rsidRDefault="00D40929">
      <w:pPr>
        <w:spacing w:after="5" w:line="271" w:lineRule="auto"/>
        <w:ind w:left="9" w:right="64" w:firstLine="711"/>
        <w:jc w:val="both"/>
      </w:pPr>
      <w:r>
        <w:rPr>
          <w:rFonts w:ascii="Times New Roman" w:eastAsia="Times New Roman" w:hAnsi="Times New Roman" w:cs="Times New Roman"/>
          <w:sz w:val="28"/>
        </w:rPr>
        <w:t>Первый ребёнок — это жизненный стресс, а младший ребёнок - это некая радость для родителя. Такой ребёнок окружен большим вниманием со стороны родителей, чем другие дети и окружен вниманием со стороны старши</w:t>
      </w:r>
      <w:r>
        <w:rPr>
          <w:rFonts w:ascii="Times New Roman" w:eastAsia="Times New Roman" w:hAnsi="Times New Roman" w:cs="Times New Roman"/>
          <w:sz w:val="28"/>
        </w:rPr>
        <w:t>х детей. Такому ребёнку многое достается быстро, многие материальные вещи и дорогие игрушки. Или же наоборот, путем перенимания по наследству того, что было до него, что является огромной психологической ошибкой любой семьи по отношению к младшему ребенку.</w:t>
      </w:r>
      <w:r>
        <w:rPr>
          <w:rFonts w:ascii="Times New Roman" w:eastAsia="Times New Roman" w:hAnsi="Times New Roman" w:cs="Times New Roman"/>
          <w:sz w:val="28"/>
        </w:rPr>
        <w:t xml:space="preserve"> С одной стороны, вроде бы и не плохо, с другой стороны всё то, что было до него уже существует, и он приобретает это по наследству. Часто, в многих семьях, старшие дети имеют больше привилегий чем младший, и отсюда младший может испытывать «комплекс непол</w:t>
      </w:r>
      <w:r>
        <w:rPr>
          <w:rFonts w:ascii="Times New Roman" w:eastAsia="Times New Roman" w:hAnsi="Times New Roman" w:cs="Times New Roman"/>
          <w:sz w:val="28"/>
        </w:rPr>
        <w:t xml:space="preserve">ноценности». И младший ребенок чувствует себя независимым, но у него появляется огромное желание превзойти старших детей в семье и это приводит к положительным результатам добиться успеха в жизни.  </w:t>
      </w:r>
    </w:p>
    <w:p w:rsidR="0052701D" w:rsidRDefault="00D40929">
      <w:pPr>
        <w:spacing w:after="5" w:line="271" w:lineRule="auto"/>
        <w:ind w:left="9" w:right="64" w:firstLine="711"/>
        <w:jc w:val="both"/>
      </w:pPr>
      <w:r>
        <w:rPr>
          <w:rFonts w:ascii="Times New Roman" w:eastAsia="Times New Roman" w:hAnsi="Times New Roman" w:cs="Times New Roman"/>
          <w:sz w:val="28"/>
        </w:rPr>
        <w:t>В работах Альфреда Адлера часто встречаем понятие «борюще</w:t>
      </w:r>
      <w:r>
        <w:rPr>
          <w:rFonts w:ascii="Times New Roman" w:eastAsia="Times New Roman" w:hAnsi="Times New Roman" w:cs="Times New Roman"/>
          <w:sz w:val="28"/>
        </w:rPr>
        <w:t xml:space="preserve">йся младший ребёнок», как о возможном будущем революционере, который путем </w:t>
      </w:r>
      <w:r>
        <w:rPr>
          <w:rFonts w:ascii="Times New Roman" w:eastAsia="Times New Roman" w:hAnsi="Times New Roman" w:cs="Times New Roman"/>
          <w:sz w:val="28"/>
        </w:rPr>
        <w:lastRenderedPageBreak/>
        <w:t xml:space="preserve">попыток достижения больших успехов и ориентирования на сиблинга будет достигать больших успехов в жизни. </w:t>
      </w:r>
    </w:p>
    <w:p w:rsidR="0052701D" w:rsidRDefault="00D40929">
      <w:pPr>
        <w:spacing w:after="5" w:line="271" w:lineRule="auto"/>
        <w:ind w:left="9" w:right="64" w:firstLine="711"/>
        <w:jc w:val="both"/>
      </w:pPr>
      <w:r>
        <w:rPr>
          <w:rFonts w:ascii="Times New Roman" w:eastAsia="Times New Roman" w:hAnsi="Times New Roman" w:cs="Times New Roman"/>
          <w:sz w:val="28"/>
        </w:rPr>
        <w:t>Четвёртое положение – социальный интерес. Данное положение является очень в</w:t>
      </w:r>
      <w:r>
        <w:rPr>
          <w:rFonts w:ascii="Times New Roman" w:eastAsia="Times New Roman" w:hAnsi="Times New Roman" w:cs="Times New Roman"/>
          <w:sz w:val="28"/>
        </w:rPr>
        <w:t>ажным в концепции А.Адлера, потому что оно имеет непосредственную связь с его личной биографией. А.Адлер считал, что социальный интерес является врождённым состоянием, но требует осознанного развития, так как развивается он только в социальном окружении. Л</w:t>
      </w:r>
      <w:r>
        <w:rPr>
          <w:rFonts w:ascii="Times New Roman" w:eastAsia="Times New Roman" w:hAnsi="Times New Roman" w:cs="Times New Roman"/>
          <w:sz w:val="28"/>
        </w:rPr>
        <w:t xml:space="preserve">юдей побуждает к тем или иным действиям врожденный социальный инстинкт, который заставляет их отказываться от эгоистичных целей ради целей сообщества. По А.Адлеру, огромное влияние на развитие социального интереса и социального чувства оказывают отношения </w:t>
      </w:r>
      <w:r>
        <w:rPr>
          <w:rFonts w:ascii="Times New Roman" w:eastAsia="Times New Roman" w:hAnsi="Times New Roman" w:cs="Times New Roman"/>
          <w:sz w:val="28"/>
        </w:rPr>
        <w:t xml:space="preserve">между отцом и матерью.   </w:t>
      </w:r>
    </w:p>
    <w:p w:rsidR="0052701D" w:rsidRDefault="00D40929">
      <w:pPr>
        <w:spacing w:after="5" w:line="271" w:lineRule="auto"/>
        <w:ind w:left="9" w:right="64" w:firstLine="711"/>
        <w:jc w:val="both"/>
      </w:pPr>
      <w:r>
        <w:rPr>
          <w:rFonts w:ascii="Times New Roman" w:eastAsia="Times New Roman" w:hAnsi="Times New Roman" w:cs="Times New Roman"/>
          <w:sz w:val="28"/>
        </w:rPr>
        <w:t>Пятое положение – творческое Я. Почти у каждого ребёнка с детства имеются творческие возможности, творческие силы и тенденция к творчеству.  Во многом темп развития и появления творческих интересов у ребёнка определяет его будущую</w:t>
      </w:r>
      <w:r>
        <w:rPr>
          <w:rFonts w:ascii="Times New Roman" w:eastAsia="Times New Roman" w:hAnsi="Times New Roman" w:cs="Times New Roman"/>
          <w:sz w:val="28"/>
        </w:rPr>
        <w:t xml:space="preserve"> жизнь и судьбу.  </w:t>
      </w:r>
    </w:p>
    <w:p w:rsidR="0052701D" w:rsidRDefault="00D40929">
      <w:pPr>
        <w:spacing w:after="25"/>
        <w:ind w:left="10" w:right="43" w:hanging="10"/>
        <w:jc w:val="right"/>
      </w:pPr>
      <w:r>
        <w:rPr>
          <w:rFonts w:ascii="Times New Roman" w:eastAsia="Times New Roman" w:hAnsi="Times New Roman" w:cs="Times New Roman"/>
          <w:sz w:val="28"/>
        </w:rPr>
        <w:t xml:space="preserve">Под раскрытие пятого положения нельзя не согласиться с авторами статьи </w:t>
      </w:r>
    </w:p>
    <w:p w:rsidR="0052701D" w:rsidRDefault="00D40929">
      <w:pPr>
        <w:spacing w:after="5" w:line="271" w:lineRule="auto"/>
        <w:ind w:left="9" w:right="64"/>
        <w:jc w:val="both"/>
      </w:pPr>
      <w:r>
        <w:rPr>
          <w:rFonts w:ascii="Times New Roman" w:eastAsia="Times New Roman" w:hAnsi="Times New Roman" w:cs="Times New Roman"/>
          <w:sz w:val="28"/>
        </w:rPr>
        <w:t xml:space="preserve">«Основные положения индивидуальной теории личности Альфреда Адлера» Овсянниковой О. А. и Чабориной Д. А.: «Иными словами, каждый человек имеет возможность свободно </w:t>
      </w:r>
      <w:r>
        <w:rPr>
          <w:rFonts w:ascii="Times New Roman" w:eastAsia="Times New Roman" w:hAnsi="Times New Roman" w:cs="Times New Roman"/>
          <w:sz w:val="28"/>
        </w:rPr>
        <w:t xml:space="preserve">создавать свой собственный стиль жизни. Сами люди ответственны за то, кем они становятся и как они себя ведут. Эта творческая сила отвечает за цель жизни человека, определяет метод достижения данной цели и способствует развитию социального интереса. Та же </w:t>
      </w:r>
      <w:r>
        <w:rPr>
          <w:rFonts w:ascii="Times New Roman" w:eastAsia="Times New Roman" w:hAnsi="Times New Roman" w:cs="Times New Roman"/>
          <w:sz w:val="28"/>
        </w:rPr>
        <w:t xml:space="preserve">самая творческая сила влияет на восприятие, память, фантазии и сны» [2, с. 3] </w:t>
      </w:r>
    </w:p>
    <w:p w:rsidR="0052701D" w:rsidRDefault="00D40929">
      <w:pPr>
        <w:spacing w:after="5" w:line="271" w:lineRule="auto"/>
        <w:ind w:left="9" w:right="64" w:firstLine="711"/>
        <w:jc w:val="both"/>
      </w:pPr>
      <w:r>
        <w:rPr>
          <w:rFonts w:ascii="Times New Roman" w:eastAsia="Times New Roman" w:hAnsi="Times New Roman" w:cs="Times New Roman"/>
          <w:sz w:val="28"/>
        </w:rPr>
        <w:t>Шестое положение – порядок рождения. Процесс появления в семье следующих детей будет обусловлен сильному влиянию на формирование жизни предыдущих, так как от этого будет зависет</w:t>
      </w:r>
      <w:r>
        <w:rPr>
          <w:rFonts w:ascii="Times New Roman" w:eastAsia="Times New Roman" w:hAnsi="Times New Roman" w:cs="Times New Roman"/>
          <w:sz w:val="28"/>
        </w:rPr>
        <w:t xml:space="preserve">ь особенности влияния родительских установок и ценностей, отношение старших или младших детей к других детям и так далее. </w:t>
      </w:r>
    </w:p>
    <w:p w:rsidR="0052701D" w:rsidRDefault="00D40929">
      <w:pPr>
        <w:spacing w:after="5" w:line="271" w:lineRule="auto"/>
        <w:ind w:left="9" w:right="64" w:firstLine="711"/>
        <w:jc w:val="both"/>
      </w:pPr>
      <w:r>
        <w:rPr>
          <w:rFonts w:ascii="Times New Roman" w:eastAsia="Times New Roman" w:hAnsi="Times New Roman" w:cs="Times New Roman"/>
          <w:sz w:val="28"/>
        </w:rPr>
        <w:t>Психологическое состояние единственного ребёнка имеет особое явление. В случае с единственным ребёнком Адлер считал, что такая позици</w:t>
      </w:r>
      <w:r>
        <w:rPr>
          <w:rFonts w:ascii="Times New Roman" w:eastAsia="Times New Roman" w:hAnsi="Times New Roman" w:cs="Times New Roman"/>
          <w:sz w:val="28"/>
        </w:rPr>
        <w:t>я уникальна, потому что в таком случае отсутствует какая-либо конкуренция, но стоит обратить внимание на пол ребёнка, так как в таком случае появляется соперник, как правило родитель своего пола. Часто бывает так, что единственный ребенок в семье, испытыва</w:t>
      </w:r>
      <w:r>
        <w:rPr>
          <w:rFonts w:ascii="Times New Roman" w:eastAsia="Times New Roman" w:hAnsi="Times New Roman" w:cs="Times New Roman"/>
          <w:sz w:val="28"/>
        </w:rPr>
        <w:t xml:space="preserve">ют психологические трудности во взаимоотношениях со сверстниками.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Второй (средний) ребёнок. Такому ребёнку изначально задаётся темп развития от старшего брата или сестры: ситуация стимулирует его побивать </w:t>
      </w:r>
      <w:r>
        <w:rPr>
          <w:rFonts w:ascii="Times New Roman" w:eastAsia="Times New Roman" w:hAnsi="Times New Roman" w:cs="Times New Roman"/>
          <w:sz w:val="28"/>
        </w:rPr>
        <w:lastRenderedPageBreak/>
        <w:t>рекорды старшего. В результате чего темп развития</w:t>
      </w:r>
      <w:r>
        <w:rPr>
          <w:rFonts w:ascii="Times New Roman" w:eastAsia="Times New Roman" w:hAnsi="Times New Roman" w:cs="Times New Roman"/>
          <w:sz w:val="28"/>
        </w:rPr>
        <w:t xml:space="preserve"> такого ребёнка оказывается более высоким, чем у старшего ребёнка.  </w:t>
      </w:r>
    </w:p>
    <w:p w:rsidR="0052701D" w:rsidRDefault="00D40929">
      <w:pPr>
        <w:spacing w:after="5" w:line="271" w:lineRule="auto"/>
        <w:ind w:left="9" w:right="64" w:firstLine="711"/>
        <w:jc w:val="both"/>
      </w:pPr>
      <w:r>
        <w:rPr>
          <w:rFonts w:ascii="Times New Roman" w:eastAsia="Times New Roman" w:hAnsi="Times New Roman" w:cs="Times New Roman"/>
          <w:sz w:val="28"/>
        </w:rPr>
        <w:t>Последний ребёнок (самый младший). Положение самого младшего ребёнка уникально во многих отношениях. Младший ребёнок обладает рядом преимуществ, сопоставимых с высокой мотивацией превзойт</w:t>
      </w:r>
      <w:r>
        <w:rPr>
          <w:rFonts w:ascii="Times New Roman" w:eastAsia="Times New Roman" w:hAnsi="Times New Roman" w:cs="Times New Roman"/>
          <w:sz w:val="28"/>
        </w:rPr>
        <w:t>и старших, отсутствие шока «лишения трона» и, будучи «баловнем» семьи, может быть окружен заботой и вниманием со стороны не только родителей, но старших братьев и сестер. С другой же стороны, такой ребёнок испытывает сильное чувство неполноценности, наряду</w:t>
      </w:r>
      <w:r>
        <w:rPr>
          <w:rFonts w:ascii="Times New Roman" w:eastAsia="Times New Roman" w:hAnsi="Times New Roman" w:cs="Times New Roman"/>
          <w:sz w:val="28"/>
        </w:rPr>
        <w:t xml:space="preserve"> с отсутствием чувства независимости.  </w:t>
      </w:r>
    </w:p>
    <w:p w:rsidR="0052701D" w:rsidRDefault="00D40929">
      <w:pPr>
        <w:spacing w:after="5" w:line="271" w:lineRule="auto"/>
        <w:ind w:left="9" w:right="64" w:firstLine="711"/>
        <w:jc w:val="both"/>
      </w:pPr>
      <w:r>
        <w:rPr>
          <w:rFonts w:ascii="Times New Roman" w:eastAsia="Times New Roman" w:hAnsi="Times New Roman" w:cs="Times New Roman"/>
          <w:sz w:val="28"/>
        </w:rPr>
        <w:t>Последний принцип, седьмое положение – это фикционный финализм. Фикционный финализм представляет из себя деятельность человека, который подчиняется определённым целям. По Адлеру те цели, которые мы ставим перед собой</w:t>
      </w:r>
      <w:r>
        <w:rPr>
          <w:rFonts w:ascii="Times New Roman" w:eastAsia="Times New Roman" w:hAnsi="Times New Roman" w:cs="Times New Roman"/>
          <w:sz w:val="28"/>
        </w:rPr>
        <w:t>, как правильно фиктивны. В поведении человека наблюдается момент, когда, сначала он стремится к превосходству, и для достижения превосходства в чем-то он использует фикционные цели. Если человек понимает свою фикционную цель, то она наполняется смыслом. Н</w:t>
      </w:r>
      <w:r>
        <w:rPr>
          <w:rFonts w:ascii="Times New Roman" w:eastAsia="Times New Roman" w:hAnsi="Times New Roman" w:cs="Times New Roman"/>
          <w:sz w:val="28"/>
        </w:rPr>
        <w:t>екоторые фикционные цели не осознаются человеком, и они бывают очень непродуктивны, но человек старается и стремится их достичь. Например, неважно какое, но получить высшее образование – абсолютно фикционная цель, потому что она не наделена смыслом. На при</w:t>
      </w:r>
      <w:r>
        <w:rPr>
          <w:rFonts w:ascii="Times New Roman" w:eastAsia="Times New Roman" w:hAnsi="Times New Roman" w:cs="Times New Roman"/>
          <w:sz w:val="28"/>
        </w:rPr>
        <w:t>мере, смыслом же она наделена тогда, когда человек получает высшее образование для того, чтобы получить хорошую работу, для того чтобы иметь применение своим способностям, возможностям, стремлениям к жизни, в общественной жизни. Но иногда бывают такие фикц</w:t>
      </w:r>
      <w:r>
        <w:rPr>
          <w:rFonts w:ascii="Times New Roman" w:eastAsia="Times New Roman" w:hAnsi="Times New Roman" w:cs="Times New Roman"/>
          <w:sz w:val="28"/>
        </w:rPr>
        <w:t xml:space="preserve">ионные стремления, которые на самом деле не слишком осознаются.  </w:t>
      </w:r>
    </w:p>
    <w:p w:rsidR="0052701D" w:rsidRDefault="00D40929">
      <w:pPr>
        <w:spacing w:after="5" w:line="271" w:lineRule="auto"/>
        <w:ind w:left="9" w:right="64" w:firstLine="711"/>
        <w:jc w:val="both"/>
      </w:pPr>
      <w:r>
        <w:rPr>
          <w:rFonts w:ascii="Times New Roman" w:eastAsia="Times New Roman" w:hAnsi="Times New Roman" w:cs="Times New Roman"/>
          <w:sz w:val="28"/>
        </w:rPr>
        <w:t>В наше время, например телефон последней марки, с одной стороны предмет высокой престижности, но с другой стороны этот телефон быстро устаревает, и получается это фикционная цель, которая ча</w:t>
      </w:r>
      <w:r>
        <w:rPr>
          <w:rFonts w:ascii="Times New Roman" w:eastAsia="Times New Roman" w:hAnsi="Times New Roman" w:cs="Times New Roman"/>
          <w:sz w:val="28"/>
        </w:rPr>
        <w:t>сто даже не осознана. Проблема то в том, что на самом деле он хочет превосходить других, потому что он является обладателем этого телефона, он хочет испытывать чувство превосходства над другими, потому что другие не могут себе позволить его, но ведь это фи</w:t>
      </w:r>
      <w:r>
        <w:rPr>
          <w:rFonts w:ascii="Times New Roman" w:eastAsia="Times New Roman" w:hAnsi="Times New Roman" w:cs="Times New Roman"/>
          <w:sz w:val="28"/>
        </w:rPr>
        <w:t xml:space="preserve">кция.  </w:t>
      </w:r>
    </w:p>
    <w:p w:rsidR="0052701D" w:rsidRDefault="00D40929">
      <w:pPr>
        <w:spacing w:after="5" w:line="271" w:lineRule="auto"/>
        <w:ind w:left="9" w:right="64" w:firstLine="711"/>
        <w:jc w:val="both"/>
      </w:pPr>
      <w:r>
        <w:rPr>
          <w:rFonts w:ascii="Times New Roman" w:eastAsia="Times New Roman" w:hAnsi="Times New Roman" w:cs="Times New Roman"/>
          <w:sz w:val="28"/>
        </w:rPr>
        <w:t>Подводя итог, стоит отметить, что, согласно теории известного представителя гуманистической теории в психологической науке Альфреда Адлера, человек фактически сам является создателем своей личности и индивидуальности, которую формирует, основываясь</w:t>
      </w:r>
      <w:r>
        <w:rPr>
          <w:rFonts w:ascii="Times New Roman" w:eastAsia="Times New Roman" w:hAnsi="Times New Roman" w:cs="Times New Roman"/>
          <w:sz w:val="28"/>
        </w:rPr>
        <w:t xml:space="preserve"> на полученном опыте через семейные отношения и отношения родителей, социум, что в свою очередь образует правильный жизненный стиль и успешную модель социального поведения личности. Поэтому, научное понятие «комплекс неполноценности» в работе А.Адлера явля</w:t>
      </w:r>
      <w:r>
        <w:rPr>
          <w:rFonts w:ascii="Times New Roman" w:eastAsia="Times New Roman" w:hAnsi="Times New Roman" w:cs="Times New Roman"/>
          <w:sz w:val="28"/>
        </w:rPr>
        <w:t xml:space="preserve">ется одним из сложных психических состояний, которое </w:t>
      </w:r>
      <w:r>
        <w:rPr>
          <w:rFonts w:ascii="Times New Roman" w:eastAsia="Times New Roman" w:hAnsi="Times New Roman" w:cs="Times New Roman"/>
          <w:sz w:val="28"/>
        </w:rPr>
        <w:lastRenderedPageBreak/>
        <w:t xml:space="preserve">человек испытывает в юности, и успешно преодолевает этого состояние, в социальном взаимодействии через общественную полезность как личности.  </w:t>
      </w:r>
    </w:p>
    <w:p w:rsidR="0052701D" w:rsidRDefault="00D40929">
      <w:pPr>
        <w:spacing w:after="0"/>
        <w:ind w:left="711"/>
      </w:pPr>
      <w:r>
        <w:rPr>
          <w:rFonts w:ascii="Times New Roman" w:eastAsia="Times New Roman" w:hAnsi="Times New Roman" w:cs="Times New Roman"/>
          <w:sz w:val="28"/>
        </w:rPr>
        <w:t xml:space="preserve"> </w:t>
      </w:r>
    </w:p>
    <w:p w:rsidR="0052701D" w:rsidRDefault="00D40929">
      <w:pPr>
        <w:spacing w:after="16" w:line="248" w:lineRule="auto"/>
        <w:ind w:left="819" w:right="179" w:hanging="10"/>
        <w:jc w:val="center"/>
      </w:pPr>
      <w:r>
        <w:rPr>
          <w:rFonts w:ascii="Times New Roman" w:eastAsia="Times New Roman" w:hAnsi="Times New Roman" w:cs="Times New Roman"/>
          <w:b/>
          <w:sz w:val="24"/>
        </w:rPr>
        <w:t xml:space="preserve">ИСТОЧНИКИ </w:t>
      </w:r>
    </w:p>
    <w:p w:rsidR="0052701D" w:rsidRDefault="00D40929">
      <w:pPr>
        <w:numPr>
          <w:ilvl w:val="0"/>
          <w:numId w:val="110"/>
        </w:numPr>
        <w:spacing w:after="29" w:line="248" w:lineRule="auto"/>
        <w:ind w:right="14" w:firstLine="711"/>
        <w:jc w:val="both"/>
      </w:pPr>
      <w:r>
        <w:rPr>
          <w:rFonts w:ascii="Times New Roman" w:eastAsia="Times New Roman" w:hAnsi="Times New Roman" w:cs="Times New Roman"/>
          <w:sz w:val="24"/>
        </w:rPr>
        <w:t>Телешова Л. В./ Комплекс неполноценности личнос</w:t>
      </w:r>
      <w:r>
        <w:rPr>
          <w:rFonts w:ascii="Times New Roman" w:eastAsia="Times New Roman" w:hAnsi="Times New Roman" w:cs="Times New Roman"/>
          <w:sz w:val="24"/>
        </w:rPr>
        <w:t xml:space="preserve">ти как детерминанта преступного поведения//2018. – 51 с. </w:t>
      </w:r>
    </w:p>
    <w:p w:rsidR="0052701D" w:rsidRDefault="00D40929">
      <w:pPr>
        <w:numPr>
          <w:ilvl w:val="0"/>
          <w:numId w:val="110"/>
        </w:numPr>
        <w:spacing w:after="29" w:line="248" w:lineRule="auto"/>
        <w:ind w:right="14" w:firstLine="711"/>
        <w:jc w:val="both"/>
      </w:pPr>
      <w:r>
        <w:rPr>
          <w:rFonts w:ascii="Times New Roman" w:eastAsia="Times New Roman" w:hAnsi="Times New Roman" w:cs="Times New Roman"/>
          <w:sz w:val="24"/>
        </w:rPr>
        <w:t xml:space="preserve">Овсянникова О. А., Чаборина Д. А./ Основные положения индивидуальной теории личности Альфреда Адлера// – 3c. </w:t>
      </w:r>
    </w:p>
    <w:p w:rsidR="0052701D" w:rsidRDefault="00D40929">
      <w:pPr>
        <w:spacing w:after="0"/>
        <w:ind w:left="711"/>
      </w:pPr>
      <w:r>
        <w:rPr>
          <w:rFonts w:ascii="Times New Roman" w:eastAsia="Times New Roman" w:hAnsi="Times New Roman" w:cs="Times New Roman"/>
          <w:sz w:val="28"/>
        </w:rPr>
        <w:t xml:space="preserve"> </w:t>
      </w:r>
    </w:p>
    <w:p w:rsidR="0052701D" w:rsidRDefault="00D40929">
      <w:pPr>
        <w:spacing w:after="0"/>
        <w:ind w:left="711"/>
      </w:pPr>
      <w:r>
        <w:rPr>
          <w:rFonts w:ascii="Times New Roman" w:eastAsia="Times New Roman" w:hAnsi="Times New Roman" w:cs="Times New Roman"/>
          <w:sz w:val="28"/>
        </w:rPr>
        <w:t xml:space="preserve"> </w:t>
      </w:r>
    </w:p>
    <w:p w:rsidR="0052701D" w:rsidRDefault="00D40929">
      <w:pPr>
        <w:spacing w:after="4" w:line="271" w:lineRule="auto"/>
        <w:ind w:left="-5" w:right="7327" w:hanging="10"/>
      </w:pPr>
      <w:r>
        <w:rPr>
          <w:rFonts w:ascii="Times New Roman" w:eastAsia="Times New Roman" w:hAnsi="Times New Roman" w:cs="Times New Roman"/>
          <w:b/>
          <w:sz w:val="24"/>
        </w:rPr>
        <w:t xml:space="preserve">МРНТИ 14.35.17 УДК 378.18  </w:t>
      </w:r>
    </w:p>
    <w:p w:rsidR="0052701D" w:rsidRDefault="00D40929">
      <w:pPr>
        <w:spacing w:after="34"/>
        <w:ind w:left="567"/>
      </w:pPr>
      <w:r>
        <w:rPr>
          <w:rFonts w:ascii="Times New Roman" w:eastAsia="Times New Roman" w:hAnsi="Times New Roman" w:cs="Times New Roman"/>
          <w:sz w:val="28"/>
        </w:rPr>
        <w:t xml:space="preserve"> </w:t>
      </w:r>
    </w:p>
    <w:p w:rsidR="0052701D" w:rsidRDefault="00D40929">
      <w:pPr>
        <w:pStyle w:val="1"/>
        <w:spacing w:line="251" w:lineRule="auto"/>
        <w:ind w:left="1441" w:right="0" w:firstLine="9"/>
        <w:jc w:val="left"/>
      </w:pPr>
      <w:r>
        <w:t xml:space="preserve">РАБОТА В СТУДЕНЧЕСКИХ ОТРЯДАХ КАК ФАКТОР </w:t>
      </w:r>
    </w:p>
    <w:p w:rsidR="0052701D" w:rsidRDefault="00D40929">
      <w:pPr>
        <w:spacing w:after="5" w:line="251" w:lineRule="auto"/>
        <w:ind w:left="1441" w:firstLine="9"/>
      </w:pPr>
      <w:r>
        <w:rPr>
          <w:rFonts w:ascii="Times New Roman" w:eastAsia="Times New Roman" w:hAnsi="Times New Roman" w:cs="Times New Roman"/>
          <w:b/>
          <w:sz w:val="28"/>
        </w:rPr>
        <w:t xml:space="preserve">ДОФОРМИРОВАНИЯ ПРОФЕССИОНАЛЬНО ВАЖНЫХ КАЧЕСТВ У СТУДЕНТОВ ВУЗОВ </w:t>
      </w:r>
    </w:p>
    <w:p w:rsidR="0052701D" w:rsidRDefault="00D40929">
      <w:pPr>
        <w:spacing w:after="0"/>
        <w:ind w:left="562"/>
        <w:jc w:val="center"/>
      </w:pPr>
      <w:r>
        <w:rPr>
          <w:rFonts w:ascii="Times New Roman" w:eastAsia="Times New Roman" w:hAnsi="Times New Roman" w:cs="Times New Roman"/>
          <w:b/>
          <w:sz w:val="28"/>
        </w:rPr>
        <w:t xml:space="preserve"> </w:t>
      </w:r>
    </w:p>
    <w:p w:rsidR="0052701D" w:rsidRDefault="00D40929">
      <w:pPr>
        <w:pStyle w:val="1"/>
        <w:spacing w:after="16" w:line="248" w:lineRule="auto"/>
        <w:ind w:left="819" w:right="317"/>
      </w:pPr>
      <w:r>
        <w:rPr>
          <w:sz w:val="24"/>
        </w:rPr>
        <w:t xml:space="preserve">Ш.Н. Якупов, Г.В. Завада </w:t>
      </w:r>
    </w:p>
    <w:p w:rsidR="0052701D" w:rsidRDefault="00D40929">
      <w:pPr>
        <w:spacing w:after="14" w:line="248" w:lineRule="auto"/>
        <w:ind w:left="1064" w:right="507" w:hanging="5"/>
        <w:jc w:val="center"/>
      </w:pPr>
      <w:r>
        <w:rPr>
          <w:rFonts w:ascii="Times New Roman" w:eastAsia="Times New Roman" w:hAnsi="Times New Roman" w:cs="Times New Roman"/>
          <w:sz w:val="24"/>
        </w:rPr>
        <w:t>ФГБОУ ВО «Казанский государственный энергетический университет» e-mail:</w:t>
      </w:r>
      <w:r>
        <w:rPr>
          <w:rFonts w:ascii="Times New Roman" w:eastAsia="Times New Roman" w:hAnsi="Times New Roman" w:cs="Times New Roman"/>
          <w:sz w:val="24"/>
          <w:u w:val="single" w:color="000000"/>
        </w:rPr>
        <w:t xml:space="preserve"> shamil.yakupov.97@mail.ru, g.zavada@mail.ru</w:t>
      </w:r>
      <w:r>
        <w:rPr>
          <w:rFonts w:ascii="Times New Roman" w:eastAsia="Times New Roman" w:hAnsi="Times New Roman" w:cs="Times New Roman"/>
          <w:sz w:val="24"/>
        </w:rPr>
        <w:t xml:space="preserve"> </w:t>
      </w:r>
    </w:p>
    <w:p w:rsidR="0052701D" w:rsidRDefault="00D40929">
      <w:pPr>
        <w:spacing w:after="22"/>
        <w:ind w:left="567"/>
      </w:pPr>
      <w:r>
        <w:rPr>
          <w:rFonts w:ascii="Times New Roman" w:eastAsia="Times New Roman" w:hAnsi="Times New Roman" w:cs="Times New Roman"/>
          <w:sz w:val="24"/>
        </w:rPr>
        <w:t xml:space="preserve"> </w:t>
      </w:r>
    </w:p>
    <w:p w:rsidR="0052701D" w:rsidRDefault="00D40929">
      <w:pPr>
        <w:spacing w:after="29" w:line="248" w:lineRule="auto"/>
        <w:ind w:left="9" w:firstLine="567"/>
        <w:jc w:val="both"/>
      </w:pPr>
      <w:r>
        <w:rPr>
          <w:rFonts w:ascii="Times New Roman" w:eastAsia="Times New Roman" w:hAnsi="Times New Roman" w:cs="Times New Roman"/>
          <w:b/>
          <w:i/>
          <w:sz w:val="24"/>
        </w:rPr>
        <w:t>Аннотация</w:t>
      </w:r>
      <w:r>
        <w:rPr>
          <w:rFonts w:ascii="Times New Roman" w:eastAsia="Times New Roman" w:hAnsi="Times New Roman" w:cs="Times New Roman"/>
          <w:i/>
          <w:sz w:val="24"/>
        </w:rPr>
        <w:t xml:space="preserve">. Существующая система образования </w:t>
      </w:r>
      <w:r>
        <w:rPr>
          <w:rFonts w:ascii="Times New Roman" w:eastAsia="Times New Roman" w:hAnsi="Times New Roman" w:cs="Times New Roman"/>
          <w:i/>
          <w:sz w:val="24"/>
        </w:rPr>
        <w:t>пока не способна в полной мере осуществить требуемую рынком труда подготовку. Авторы поставили перед собой задачу на основе анализа возможностей студенческих трудовых отрядов разработать, апробировать и внедрить в практику технических высших учебных заведе</w:t>
      </w:r>
      <w:r>
        <w:rPr>
          <w:rFonts w:ascii="Times New Roman" w:eastAsia="Times New Roman" w:hAnsi="Times New Roman" w:cs="Times New Roman"/>
          <w:i/>
          <w:sz w:val="24"/>
        </w:rPr>
        <w:t>ние модель доформирования системы профессионально важных качеств студентов. Личный опыт работы в системе РСО показывает, что вузы не в полной мере используют потенциал РСО, эти две системы профессиональной подготовки функционируют параллельно. Студент выби</w:t>
      </w:r>
      <w:r>
        <w:rPr>
          <w:rFonts w:ascii="Times New Roman" w:eastAsia="Times New Roman" w:hAnsi="Times New Roman" w:cs="Times New Roman"/>
          <w:i/>
          <w:sz w:val="24"/>
        </w:rPr>
        <w:t xml:space="preserve">рает трудовой отряд чаще ориентируясь на уровень оплаты труда или компанию, а не на его соответствие профиль своего образования. В этих условиях требуется переосмысления система взаимодействия «студенческий отряд - вуз». Эта система предполагает этапность </w:t>
      </w:r>
      <w:r>
        <w:rPr>
          <w:rFonts w:ascii="Times New Roman" w:eastAsia="Times New Roman" w:hAnsi="Times New Roman" w:cs="Times New Roman"/>
          <w:i/>
          <w:sz w:val="24"/>
        </w:rPr>
        <w:t xml:space="preserve">на этапах включения студента в СО, сквозную технологию оценки сформированности профессиональных качеств студента, использование возможностей профильного кластера. </w:t>
      </w:r>
    </w:p>
    <w:p w:rsidR="0052701D" w:rsidRDefault="00D40929">
      <w:pPr>
        <w:spacing w:after="29" w:line="248" w:lineRule="auto"/>
        <w:ind w:left="9" w:firstLine="567"/>
        <w:jc w:val="both"/>
      </w:pP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 xml:space="preserve"> российские студенческие отряды, профессионально-важные качества, студент выс</w:t>
      </w:r>
      <w:r>
        <w:rPr>
          <w:rFonts w:ascii="Times New Roman" w:eastAsia="Times New Roman" w:hAnsi="Times New Roman" w:cs="Times New Roman"/>
          <w:i/>
          <w:sz w:val="24"/>
        </w:rPr>
        <w:t xml:space="preserve">шего учебного заведения </w:t>
      </w:r>
    </w:p>
    <w:p w:rsidR="0052701D" w:rsidRDefault="00D40929">
      <w:pPr>
        <w:spacing w:after="0"/>
        <w:ind w:left="567"/>
      </w:pPr>
      <w:r>
        <w:rPr>
          <w:rFonts w:ascii="Times New Roman" w:eastAsia="Times New Roman" w:hAnsi="Times New Roman" w:cs="Times New Roman"/>
          <w:b/>
          <w:sz w:val="28"/>
        </w:rPr>
        <w:t xml:space="preserve"> </w:t>
      </w:r>
    </w:p>
    <w:p w:rsidR="0052701D" w:rsidRDefault="00D40929">
      <w:pPr>
        <w:spacing w:after="5" w:line="251" w:lineRule="auto"/>
        <w:ind w:left="706" w:hanging="139"/>
      </w:pPr>
      <w:r>
        <w:rPr>
          <w:rFonts w:ascii="Times New Roman" w:eastAsia="Times New Roman" w:hAnsi="Times New Roman" w:cs="Times New Roman"/>
          <w:b/>
          <w:sz w:val="28"/>
        </w:rPr>
        <w:t xml:space="preserve">WORK IN STUDENT TEAMS AS A FACTOR IN THE FORMATION OF PROFESSIONALLY IMPORTANT QUALITIES IN UNIVERSITY STUDENTS </w:t>
      </w:r>
    </w:p>
    <w:p w:rsidR="0052701D" w:rsidRDefault="00D40929">
      <w:pPr>
        <w:spacing w:after="0"/>
        <w:ind w:left="562"/>
        <w:jc w:val="center"/>
      </w:pPr>
      <w:r>
        <w:rPr>
          <w:rFonts w:ascii="Times New Roman" w:eastAsia="Times New Roman" w:hAnsi="Times New Roman" w:cs="Times New Roman"/>
          <w:b/>
          <w:sz w:val="28"/>
        </w:rPr>
        <w:t xml:space="preserve"> </w:t>
      </w:r>
    </w:p>
    <w:p w:rsidR="0052701D" w:rsidRDefault="00D40929">
      <w:pPr>
        <w:spacing w:after="14" w:line="248" w:lineRule="auto"/>
        <w:ind w:left="2430" w:right="1940" w:hanging="5"/>
        <w:jc w:val="center"/>
      </w:pPr>
      <w:r>
        <w:rPr>
          <w:rFonts w:ascii="Times New Roman" w:eastAsia="Times New Roman" w:hAnsi="Times New Roman" w:cs="Times New Roman"/>
          <w:b/>
          <w:sz w:val="24"/>
        </w:rPr>
        <w:t xml:space="preserve">Sh.N.Yakupov, G.V.Zavada </w:t>
      </w:r>
      <w:r>
        <w:rPr>
          <w:rFonts w:ascii="Times New Roman" w:eastAsia="Times New Roman" w:hAnsi="Times New Roman" w:cs="Times New Roman"/>
          <w:sz w:val="24"/>
        </w:rPr>
        <w:t xml:space="preserve">Kazan State Power Engineering University e-mail: </w:t>
      </w:r>
      <w:r>
        <w:rPr>
          <w:rFonts w:ascii="Times New Roman" w:eastAsia="Times New Roman" w:hAnsi="Times New Roman" w:cs="Times New Roman"/>
          <w:sz w:val="24"/>
          <w:u w:val="single" w:color="000000"/>
        </w:rPr>
        <w:t>shamil.yakupov.97@mail.ru</w:t>
      </w:r>
      <w:r>
        <w:rPr>
          <w:rFonts w:ascii="Times New Roman" w:eastAsia="Times New Roman" w:hAnsi="Times New Roman" w:cs="Times New Roman"/>
          <w:sz w:val="24"/>
        </w:rPr>
        <w:t xml:space="preserve">, </w:t>
      </w:r>
      <w:r>
        <w:rPr>
          <w:rFonts w:ascii="Times New Roman" w:eastAsia="Times New Roman" w:hAnsi="Times New Roman" w:cs="Times New Roman"/>
          <w:sz w:val="24"/>
          <w:u w:val="single" w:color="000000"/>
        </w:rPr>
        <w:t>g.zavada@mail.ru</w:t>
      </w:r>
      <w:r>
        <w:rPr>
          <w:rFonts w:ascii="Times New Roman" w:eastAsia="Times New Roman" w:hAnsi="Times New Roman" w:cs="Times New Roman"/>
          <w:sz w:val="24"/>
        </w:rPr>
        <w:t xml:space="preserve"> </w:t>
      </w:r>
    </w:p>
    <w:p w:rsidR="0052701D" w:rsidRDefault="00D40929">
      <w:pPr>
        <w:spacing w:after="0"/>
        <w:ind w:left="552"/>
        <w:jc w:val="center"/>
      </w:pPr>
      <w:r>
        <w:rPr>
          <w:rFonts w:ascii="Times New Roman" w:eastAsia="Times New Roman" w:hAnsi="Times New Roman" w:cs="Times New Roman"/>
          <w:sz w:val="24"/>
        </w:rPr>
        <w:t xml:space="preserve"> </w:t>
      </w:r>
    </w:p>
    <w:p w:rsidR="0052701D" w:rsidRDefault="00D40929">
      <w:pPr>
        <w:spacing w:after="0" w:line="248" w:lineRule="auto"/>
        <w:ind w:left="9" w:firstLine="567"/>
        <w:jc w:val="both"/>
      </w:pPr>
      <w:r>
        <w:rPr>
          <w:rFonts w:ascii="Times New Roman" w:eastAsia="Times New Roman" w:hAnsi="Times New Roman" w:cs="Times New Roman"/>
          <w:b/>
          <w:i/>
          <w:sz w:val="24"/>
        </w:rPr>
        <w:lastRenderedPageBreak/>
        <w:t>Annotation</w:t>
      </w:r>
      <w:r>
        <w:rPr>
          <w:rFonts w:ascii="Times New Roman" w:eastAsia="Times New Roman" w:hAnsi="Times New Roman" w:cs="Times New Roman"/>
          <w:i/>
          <w:sz w:val="24"/>
        </w:rPr>
        <w:t>. The existing education system is not yet able to fully implement the training required by the labor market. The authors set themselves the task of analyzing the capabilities of student labor groups to develop, test and put i</w:t>
      </w:r>
      <w:r>
        <w:rPr>
          <w:rFonts w:ascii="Times New Roman" w:eastAsia="Times New Roman" w:hAnsi="Times New Roman" w:cs="Times New Roman"/>
          <w:i/>
          <w:sz w:val="24"/>
        </w:rPr>
        <w:t>nto practice a technical higher education institution model for the formation of a system of professionally important qualities of students. the formation of professional qualities of the student, the use of the capabilities of the profile cluster. Persona</w:t>
      </w:r>
      <w:r>
        <w:rPr>
          <w:rFonts w:ascii="Times New Roman" w:eastAsia="Times New Roman" w:hAnsi="Times New Roman" w:cs="Times New Roman"/>
          <w:i/>
          <w:sz w:val="24"/>
        </w:rPr>
        <w:t>l experience of working in the system of student teams shows that universities do not fully use their potential, these two systems of professional training operate in parallel. A student chooses a labor unit more often focusing on the level of remuneration</w:t>
      </w:r>
      <w:r>
        <w:rPr>
          <w:rFonts w:ascii="Times New Roman" w:eastAsia="Times New Roman" w:hAnsi="Times New Roman" w:cs="Times New Roman"/>
          <w:i/>
          <w:sz w:val="24"/>
        </w:rPr>
        <w:t xml:space="preserve"> or the company, and not on its compliance with the profile of his education. In these conditions, the system of interaction "student detachment - university" needs to be rethought. This system assumes phasing at the stages of the student's inclusion in st</w:t>
      </w:r>
      <w:r>
        <w:rPr>
          <w:rFonts w:ascii="Times New Roman" w:eastAsia="Times New Roman" w:hAnsi="Times New Roman" w:cs="Times New Roman"/>
          <w:i/>
          <w:sz w:val="24"/>
        </w:rPr>
        <w:t xml:space="preserve">udent teams, end-to-end technology for assessing the profile cluster. </w:t>
      </w:r>
    </w:p>
    <w:p w:rsidR="0052701D" w:rsidRDefault="00D40929">
      <w:pPr>
        <w:spacing w:after="5" w:line="250" w:lineRule="auto"/>
        <w:ind w:left="39" w:hanging="10"/>
        <w:jc w:val="center"/>
      </w:pPr>
      <w:r>
        <w:rPr>
          <w:rFonts w:ascii="Times New Roman" w:eastAsia="Times New Roman" w:hAnsi="Times New Roman" w:cs="Times New Roman"/>
          <w:b/>
          <w:i/>
          <w:sz w:val="24"/>
        </w:rPr>
        <w:t>Key words:</w:t>
      </w:r>
      <w:r>
        <w:rPr>
          <w:rFonts w:ascii="Times New Roman" w:eastAsia="Times New Roman" w:hAnsi="Times New Roman" w:cs="Times New Roman"/>
          <w:i/>
          <w:sz w:val="24"/>
        </w:rPr>
        <w:t xml:space="preserve"> russian student groups, professionally important qualities, university student. </w:t>
      </w:r>
    </w:p>
    <w:p w:rsidR="0052701D" w:rsidRDefault="00D40929">
      <w:pPr>
        <w:spacing w:after="73"/>
        <w:ind w:left="567"/>
      </w:pPr>
      <w:r>
        <w:rPr>
          <w:rFonts w:ascii="Times New Roman" w:eastAsia="Times New Roman" w:hAnsi="Times New Roman" w:cs="Times New Roman"/>
          <w:b/>
          <w:sz w:val="24"/>
        </w:rPr>
        <w:t xml:space="preserve"> </w:t>
      </w:r>
    </w:p>
    <w:p w:rsidR="0052701D" w:rsidRDefault="00D40929">
      <w:pPr>
        <w:spacing w:after="31" w:line="251" w:lineRule="auto"/>
        <w:ind w:left="720" w:firstLine="9"/>
      </w:pPr>
      <w:r>
        <w:rPr>
          <w:rFonts w:ascii="Times New Roman" w:eastAsia="Times New Roman" w:hAnsi="Times New Roman" w:cs="Times New Roman"/>
          <w:b/>
          <w:sz w:val="28"/>
        </w:rPr>
        <w:t xml:space="preserve">Введение </w:t>
      </w:r>
    </w:p>
    <w:p w:rsidR="0052701D" w:rsidRDefault="00D40929">
      <w:pPr>
        <w:spacing w:after="5" w:line="271" w:lineRule="auto"/>
        <w:ind w:left="9" w:right="64" w:firstLine="711"/>
        <w:jc w:val="both"/>
      </w:pPr>
      <w:r>
        <w:rPr>
          <w:rFonts w:ascii="Times New Roman" w:eastAsia="Times New Roman" w:hAnsi="Times New Roman" w:cs="Times New Roman"/>
          <w:sz w:val="28"/>
        </w:rPr>
        <w:t>Массовое молодежное движение студенческих отрядов активно пользуется популярность</w:t>
      </w:r>
      <w:r>
        <w:rPr>
          <w:rFonts w:ascii="Times New Roman" w:eastAsia="Times New Roman" w:hAnsi="Times New Roman" w:cs="Times New Roman"/>
          <w:sz w:val="28"/>
        </w:rPr>
        <w:t>ю среди студенческой молодежи более 60 лет в нашей стране. В современном мире через Российские студенческие отряды (далее – РСО) ежегодно проходят практику более 240 тысяч студентов, а за всю историю через школу студенческих трудовых отрядов прошли миллион</w:t>
      </w:r>
      <w:r>
        <w:rPr>
          <w:rFonts w:ascii="Times New Roman" w:eastAsia="Times New Roman" w:hAnsi="Times New Roman" w:cs="Times New Roman"/>
          <w:sz w:val="28"/>
        </w:rPr>
        <w:t>ы молодых людей. Участники РСО трудятся по различным направлениям деятельности во многих сегментах экономики нашей страны, таких как: строительные, педагогические, энергетические, производственные, медицинские, сельскохозяйственные, сервисные, отряды прово</w:t>
      </w:r>
      <w:r>
        <w:rPr>
          <w:rFonts w:ascii="Times New Roman" w:eastAsia="Times New Roman" w:hAnsi="Times New Roman" w:cs="Times New Roman"/>
          <w:sz w:val="28"/>
        </w:rPr>
        <w:t xml:space="preserve">дников и другие. Главная цель РСО – это трудоустройство молодежи в каникулярный период, а также трудовое воспитание [1].  </w:t>
      </w:r>
    </w:p>
    <w:p w:rsidR="0052701D" w:rsidRDefault="00D40929">
      <w:pPr>
        <w:spacing w:after="5" w:line="271" w:lineRule="auto"/>
        <w:ind w:left="9" w:right="64" w:firstLine="711"/>
        <w:jc w:val="both"/>
      </w:pPr>
      <w:r>
        <w:rPr>
          <w:rFonts w:ascii="Times New Roman" w:eastAsia="Times New Roman" w:hAnsi="Times New Roman" w:cs="Times New Roman"/>
          <w:sz w:val="28"/>
        </w:rPr>
        <w:t>Основной задачей образовательной организации является качественная подготовка и формирование всесторонне развитой личности, которая о</w:t>
      </w:r>
      <w:r>
        <w:rPr>
          <w:rFonts w:ascii="Times New Roman" w:eastAsia="Times New Roman" w:hAnsi="Times New Roman" w:cs="Times New Roman"/>
          <w:sz w:val="28"/>
        </w:rPr>
        <w:t>бладает совокупностью профессиональных, интеллектуальных, духовно-нравственных, общегражданских и организационно-волевых качеств. Один из самых глобальных вопросов на рынке труда является нехватка кадров. Работодатель всегда настроен на то, чтобы после вып</w:t>
      </w:r>
      <w:r>
        <w:rPr>
          <w:rFonts w:ascii="Times New Roman" w:eastAsia="Times New Roman" w:hAnsi="Times New Roman" w:cs="Times New Roman"/>
          <w:sz w:val="28"/>
        </w:rPr>
        <w:t>уска из образовательной организации к нему пришёл не студент без опыта, а целостно-сформированный специалист, обладающий профессиональными и личностными качествами. По аналитическим данным ресурса HH.ру среди основных требований работодателя к молодым спец</w:t>
      </w:r>
      <w:r>
        <w:rPr>
          <w:rFonts w:ascii="Times New Roman" w:eastAsia="Times New Roman" w:hAnsi="Times New Roman" w:cs="Times New Roman"/>
          <w:sz w:val="28"/>
        </w:rPr>
        <w:t>иалистам, а значит, к выпускникам первые места занимают инициативность и нацеленность на результат, высокая ответственность и умение работать в команде; помимо наличия практических также требуются специалисты, умеющие работать самостоятельно, готовые к доо</w:t>
      </w:r>
      <w:r>
        <w:rPr>
          <w:rFonts w:ascii="Times New Roman" w:eastAsia="Times New Roman" w:hAnsi="Times New Roman" w:cs="Times New Roman"/>
          <w:sz w:val="28"/>
        </w:rPr>
        <w:t xml:space="preserve">бучению [2] В современных условиях запрос рынка труда ориентирован на подготовку конкурентоспособных, профессионально мобильных выпускников вузов, готовых к проявлению своих лидерских качеств в процессе решения задач как в профессиональной, так и в других </w:t>
      </w:r>
      <w:r>
        <w:rPr>
          <w:rFonts w:ascii="Times New Roman" w:eastAsia="Times New Roman" w:hAnsi="Times New Roman" w:cs="Times New Roman"/>
          <w:sz w:val="28"/>
        </w:rPr>
        <w:t xml:space="preserve">сферах деятельности. Поэтому у выпускника вуза наряду с приобретенными профессиональными знаниями должны быть </w:t>
      </w:r>
      <w:r>
        <w:rPr>
          <w:rFonts w:ascii="Times New Roman" w:eastAsia="Times New Roman" w:hAnsi="Times New Roman" w:cs="Times New Roman"/>
          <w:sz w:val="28"/>
        </w:rPr>
        <w:lastRenderedPageBreak/>
        <w:t xml:space="preserve">сформированы навыки, присущие лидерам: организаторские, управленческие, коммуникационные, умение работать в команде. </w:t>
      </w:r>
    </w:p>
    <w:p w:rsidR="0052701D" w:rsidRDefault="00D40929">
      <w:pPr>
        <w:spacing w:after="29" w:line="251" w:lineRule="auto"/>
        <w:ind w:left="720" w:firstLine="9"/>
      </w:pPr>
      <w:r>
        <w:rPr>
          <w:rFonts w:ascii="Times New Roman" w:eastAsia="Times New Roman" w:hAnsi="Times New Roman" w:cs="Times New Roman"/>
          <w:b/>
          <w:sz w:val="28"/>
        </w:rPr>
        <w:t xml:space="preserve">Основная часть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На </w:t>
      </w:r>
      <w:r>
        <w:rPr>
          <w:rFonts w:ascii="Times New Roman" w:eastAsia="Times New Roman" w:hAnsi="Times New Roman" w:cs="Times New Roman"/>
          <w:sz w:val="28"/>
        </w:rPr>
        <w:t>сегодняшний день практически в каждом вузе для студента имеется множество возможностей развивать свой лидерский потенциал, профессионально важные и личностно важные качества – это различные формы студенческого самоуправления, творческие, спортивные, научны</w:t>
      </w:r>
      <w:r>
        <w:rPr>
          <w:rFonts w:ascii="Times New Roman" w:eastAsia="Times New Roman" w:hAnsi="Times New Roman" w:cs="Times New Roman"/>
          <w:sz w:val="28"/>
        </w:rPr>
        <w:t>е клубы, молодежные организации, форумы, направленные на развитие лидерских навыков и т.д. Одной из самых востребованных форм такой работы являются студенческие трудовые отряды. В частности, в Республике Татарстан в каждом вузе имеется и активно функционир</w:t>
      </w:r>
      <w:r>
        <w:rPr>
          <w:rFonts w:ascii="Times New Roman" w:eastAsia="Times New Roman" w:hAnsi="Times New Roman" w:cs="Times New Roman"/>
          <w:sz w:val="28"/>
        </w:rPr>
        <w:t xml:space="preserve">ует Штаб студенческих отрядов.  </w:t>
      </w:r>
    </w:p>
    <w:p w:rsidR="0052701D" w:rsidRDefault="00D40929">
      <w:pPr>
        <w:spacing w:after="5" w:line="271" w:lineRule="auto"/>
        <w:ind w:left="9" w:right="64" w:firstLine="711"/>
        <w:jc w:val="both"/>
      </w:pPr>
      <w:r>
        <w:rPr>
          <w:rFonts w:ascii="Times New Roman" w:eastAsia="Times New Roman" w:hAnsi="Times New Roman" w:cs="Times New Roman"/>
          <w:sz w:val="28"/>
        </w:rPr>
        <w:t>Феномен студенческих отрядов привлекает внимание педагоговисследователей и практиков со времени появления первых СО, начиная с 1960-х годов. Вопросы воспитания студенческой молодежи во время работы в студенческих трудовых о</w:t>
      </w:r>
      <w:r>
        <w:rPr>
          <w:rFonts w:ascii="Times New Roman" w:eastAsia="Times New Roman" w:hAnsi="Times New Roman" w:cs="Times New Roman"/>
          <w:sz w:val="28"/>
        </w:rPr>
        <w:t>трядах затрагивались в работах Е.Ф. Артемьева, В.Т. Лисовского и др., а в исследованиях М.Е. Лутай, А.И. Пискуна анализируются проблематика студенческого самоуправления [3]. Акцент на формирование коммуникативных умений, ответственности и трудолюбия сделан</w:t>
      </w:r>
      <w:r>
        <w:rPr>
          <w:rFonts w:ascii="Times New Roman" w:eastAsia="Times New Roman" w:hAnsi="Times New Roman" w:cs="Times New Roman"/>
          <w:sz w:val="28"/>
        </w:rPr>
        <w:t xml:space="preserve"> в исследовании Лобановой Е.Ю. и Тумаковой Н.А. [4]; РСО как ресурс для социально-профессионального определения молодежи рассматриваются в работе Гнатюка М.А и др. [5].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Остановимся немного на специфике функционирования студенческих отрядов. РСО не только </w:t>
      </w:r>
      <w:r>
        <w:rPr>
          <w:rFonts w:ascii="Times New Roman" w:eastAsia="Times New Roman" w:hAnsi="Times New Roman" w:cs="Times New Roman"/>
          <w:sz w:val="28"/>
        </w:rPr>
        <w:t>дают возможность студенту приобрести первую трудовую практику, получить дополнительную рабочую профессию, профессиональные навыки, но и активно развивать свой творческий потенциал, приобщаться к здоровому образу жизни. Студенческий отряд – это школа гражда</w:t>
      </w:r>
      <w:r>
        <w:rPr>
          <w:rFonts w:ascii="Times New Roman" w:eastAsia="Times New Roman" w:hAnsi="Times New Roman" w:cs="Times New Roman"/>
          <w:sz w:val="28"/>
        </w:rPr>
        <w:t>нского, патриотического воспитания и социализации студенческой молодежи. Главную роль в воспитании играет наличие трудового коллектива (отряда студентов), который уже имеет свои традиции, атрибутику, отлаженную систему самоуправления и иерархию, формирующу</w:t>
      </w:r>
      <w:r>
        <w:rPr>
          <w:rFonts w:ascii="Times New Roman" w:eastAsia="Times New Roman" w:hAnsi="Times New Roman" w:cs="Times New Roman"/>
          <w:sz w:val="28"/>
        </w:rPr>
        <w:t xml:space="preserve">ю ответственность, умение принимать решения на рабочем месте. В студенческих отрядах реализуется возможность для студентов проявить себя в практической деятельности, побыть в роли лидера, проявить организаторские способности, так как в отряде каждый может </w:t>
      </w:r>
      <w:r>
        <w:rPr>
          <w:rFonts w:ascii="Times New Roman" w:eastAsia="Times New Roman" w:hAnsi="Times New Roman" w:cs="Times New Roman"/>
          <w:sz w:val="28"/>
        </w:rPr>
        <w:t xml:space="preserve">быть выбран командиром, комиссаром, мастером отряда или ответственным за какое-либо направление.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Штабы студотрядов высших учебных заведений проводят работу по организации студенческих трудовых отрядов и организации прохождения </w:t>
      </w:r>
      <w:r>
        <w:rPr>
          <w:rFonts w:ascii="Times New Roman" w:eastAsia="Times New Roman" w:hAnsi="Times New Roman" w:cs="Times New Roman"/>
          <w:sz w:val="28"/>
        </w:rPr>
        <w:lastRenderedPageBreak/>
        <w:t xml:space="preserve">студентами производственной </w:t>
      </w:r>
      <w:r>
        <w:rPr>
          <w:rFonts w:ascii="Times New Roman" w:eastAsia="Times New Roman" w:hAnsi="Times New Roman" w:cs="Times New Roman"/>
          <w:sz w:val="28"/>
        </w:rPr>
        <w:t>практики через РСО. Основополагающие принципы организации студенческих отрядов уже сформировались и обрели нормативную базу: Устав, Корпоративный кодекс, Стандарт работы Штаба студенческих отрядов образовательной организации, Положение о штабе образователь</w:t>
      </w:r>
      <w:r>
        <w:rPr>
          <w:rFonts w:ascii="Times New Roman" w:eastAsia="Times New Roman" w:hAnsi="Times New Roman" w:cs="Times New Roman"/>
          <w:sz w:val="28"/>
        </w:rPr>
        <w:t>ной организации, линейном студенческом отряде и т.д. Работу по организации и обеспечению функционирования студенческого отряда условно можно разделить на три периода: подготовительный, производственный, отчетный. Каждый из этих периодов имеет свою цель, пе</w:t>
      </w:r>
      <w:r>
        <w:rPr>
          <w:rFonts w:ascii="Times New Roman" w:eastAsia="Times New Roman" w:hAnsi="Times New Roman" w:cs="Times New Roman"/>
          <w:sz w:val="28"/>
        </w:rPr>
        <w:t xml:space="preserve">риодичность и направленность. </w:t>
      </w:r>
    </w:p>
    <w:p w:rsidR="0052701D" w:rsidRDefault="00D40929">
      <w:pPr>
        <w:spacing w:after="5" w:line="271" w:lineRule="auto"/>
        <w:ind w:left="9" w:right="64" w:firstLine="711"/>
        <w:jc w:val="both"/>
      </w:pPr>
      <w:r>
        <w:rPr>
          <w:rFonts w:ascii="Times New Roman" w:eastAsia="Times New Roman" w:hAnsi="Times New Roman" w:cs="Times New Roman"/>
          <w:sz w:val="28"/>
        </w:rPr>
        <w:t>Подготовительный период подразумевает под собой агитационный набор студентов в отряд. Направление отряда зависит от специальности, которую получает студент. Например, трудовой отряд формируется для работы в учреждении здравоо</w:t>
      </w:r>
      <w:r>
        <w:rPr>
          <w:rFonts w:ascii="Times New Roman" w:eastAsia="Times New Roman" w:hAnsi="Times New Roman" w:cs="Times New Roman"/>
          <w:sz w:val="28"/>
        </w:rPr>
        <w:t>хранения, то набираются студенты медицинского вуза, если для строительных работ – студенты строительных учебных заведений. Однако это не исключает возможности участия в отряде студентов других специальностей и других факультетов университета. Зачастую быва</w:t>
      </w:r>
      <w:r>
        <w:rPr>
          <w:rFonts w:ascii="Times New Roman" w:eastAsia="Times New Roman" w:hAnsi="Times New Roman" w:cs="Times New Roman"/>
          <w:sz w:val="28"/>
        </w:rPr>
        <w:t xml:space="preserve">ет, что в летние каникулы, студенты технических вузов работают вожатыми в составе педагогических отрядов, что повышает их организаторские и управленческие качества.  </w:t>
      </w:r>
    </w:p>
    <w:p w:rsidR="0052701D" w:rsidRDefault="00D40929">
      <w:pPr>
        <w:spacing w:after="5" w:line="271" w:lineRule="auto"/>
        <w:ind w:left="9" w:right="64" w:firstLine="711"/>
        <w:jc w:val="both"/>
      </w:pPr>
      <w:r>
        <w:rPr>
          <w:rFonts w:ascii="Times New Roman" w:eastAsia="Times New Roman" w:hAnsi="Times New Roman" w:cs="Times New Roman"/>
          <w:sz w:val="28"/>
        </w:rPr>
        <w:t>Работа в составе трудового отряда способствует реализации концепции практико-ориентирован</w:t>
      </w:r>
      <w:r>
        <w:rPr>
          <w:rFonts w:ascii="Times New Roman" w:eastAsia="Times New Roman" w:hAnsi="Times New Roman" w:cs="Times New Roman"/>
          <w:sz w:val="28"/>
        </w:rPr>
        <w:t>ного образования: и предприятие, и будущий специалист ускоряют процесс адаптации к решению реальных производственных задач. РСО помогает закрепить теоретические знания, реальной практикой, способствует трудовой и социальной адаптации студентов к будущей ра</w:t>
      </w:r>
      <w:r>
        <w:rPr>
          <w:rFonts w:ascii="Times New Roman" w:eastAsia="Times New Roman" w:hAnsi="Times New Roman" w:cs="Times New Roman"/>
          <w:sz w:val="28"/>
        </w:rPr>
        <w:t xml:space="preserve">боте по выбранной специальности.  </w:t>
      </w:r>
    </w:p>
    <w:p w:rsidR="0052701D" w:rsidRDefault="00D40929">
      <w:pPr>
        <w:spacing w:after="5" w:line="271" w:lineRule="auto"/>
        <w:ind w:left="9" w:right="64" w:firstLine="711"/>
        <w:jc w:val="both"/>
      </w:pPr>
      <w:r>
        <w:rPr>
          <w:rFonts w:ascii="Times New Roman" w:eastAsia="Times New Roman" w:hAnsi="Times New Roman" w:cs="Times New Roman"/>
          <w:sz w:val="28"/>
        </w:rPr>
        <w:t>Прежде чем участники РСО приступают к трудовой деятельности, кандидаты в отряд проходят обучение по дополнительной рабочей специальности, а также по основам трудового законодательства, приобретают знания по охране труда и</w:t>
      </w:r>
      <w:r>
        <w:rPr>
          <w:rFonts w:ascii="Times New Roman" w:eastAsia="Times New Roman" w:hAnsi="Times New Roman" w:cs="Times New Roman"/>
          <w:sz w:val="28"/>
        </w:rPr>
        <w:t xml:space="preserve"> технике безопасности, безопасным методам производства работ с последующей сдачей экзаменов, а также медицинскую комиссию на профпригодность. За подготовку отряда отвечает Республиканский штаб студенческих трудовых отрядов.  </w:t>
      </w:r>
    </w:p>
    <w:p w:rsidR="0052701D" w:rsidRDefault="00D40929">
      <w:pPr>
        <w:spacing w:after="31" w:line="251" w:lineRule="auto"/>
        <w:ind w:left="720" w:firstLine="9"/>
      </w:pPr>
      <w:r>
        <w:rPr>
          <w:rFonts w:ascii="Times New Roman" w:eastAsia="Times New Roman" w:hAnsi="Times New Roman" w:cs="Times New Roman"/>
          <w:b/>
          <w:sz w:val="28"/>
        </w:rPr>
        <w:t xml:space="preserve">Обсуждение </w:t>
      </w:r>
    </w:p>
    <w:p w:rsidR="0052701D" w:rsidRDefault="00D40929">
      <w:pPr>
        <w:spacing w:after="5" w:line="271" w:lineRule="auto"/>
        <w:ind w:left="9" w:right="64" w:firstLine="711"/>
        <w:jc w:val="both"/>
      </w:pPr>
      <w:r>
        <w:rPr>
          <w:rFonts w:ascii="Times New Roman" w:eastAsia="Times New Roman" w:hAnsi="Times New Roman" w:cs="Times New Roman"/>
          <w:sz w:val="28"/>
        </w:rPr>
        <w:t>Анализ функциониро</w:t>
      </w:r>
      <w:r>
        <w:rPr>
          <w:rFonts w:ascii="Times New Roman" w:eastAsia="Times New Roman" w:hAnsi="Times New Roman" w:cs="Times New Roman"/>
          <w:sz w:val="28"/>
        </w:rPr>
        <w:t>вания современной системы высшего образования позволяет сформулировать противоречие: с одной стороны, у работодателей существует определенная система требований к выпускнику вуза и к молодому специалисту, с другой – существующая система образования пока не</w:t>
      </w:r>
      <w:r>
        <w:rPr>
          <w:rFonts w:ascii="Times New Roman" w:eastAsia="Times New Roman" w:hAnsi="Times New Roman" w:cs="Times New Roman"/>
          <w:sz w:val="28"/>
        </w:rPr>
        <w:t xml:space="preserve"> способна в полной мере осуществить требуемую рынком труда подготовку. Авторы поставили перед собой задачу на основе анализа возможностей студенческих трудовых отрядов разработать, апробировать и внедрить в практику технических </w:t>
      </w:r>
      <w:r>
        <w:rPr>
          <w:rFonts w:ascii="Times New Roman" w:eastAsia="Times New Roman" w:hAnsi="Times New Roman" w:cs="Times New Roman"/>
          <w:sz w:val="28"/>
        </w:rPr>
        <w:lastRenderedPageBreak/>
        <w:t>высших учебных заведение мод</w:t>
      </w:r>
      <w:r>
        <w:rPr>
          <w:rFonts w:ascii="Times New Roman" w:eastAsia="Times New Roman" w:hAnsi="Times New Roman" w:cs="Times New Roman"/>
          <w:sz w:val="28"/>
        </w:rPr>
        <w:t xml:space="preserve">ель доформирования системы профессионально важных качеств студентов. </w:t>
      </w:r>
    </w:p>
    <w:p w:rsidR="0052701D" w:rsidRDefault="00D40929">
      <w:pPr>
        <w:spacing w:after="5" w:line="271" w:lineRule="auto"/>
        <w:ind w:left="9" w:right="64" w:firstLine="711"/>
        <w:jc w:val="both"/>
      </w:pPr>
      <w:r>
        <w:rPr>
          <w:rFonts w:ascii="Times New Roman" w:eastAsia="Times New Roman" w:hAnsi="Times New Roman" w:cs="Times New Roman"/>
          <w:sz w:val="28"/>
        </w:rPr>
        <w:t>К сожалению, наш опыт показывает, что вузы не в полной мере используют потенциал РСО, эти две системы профессиональной подготовки функционируют параллельно. Студент выбирает трудовой отр</w:t>
      </w:r>
      <w:r>
        <w:rPr>
          <w:rFonts w:ascii="Times New Roman" w:eastAsia="Times New Roman" w:hAnsi="Times New Roman" w:cs="Times New Roman"/>
          <w:sz w:val="28"/>
        </w:rPr>
        <w:t xml:space="preserve">яд чаще ориентируясь на уровень оплаты труда или компанию, а не на его соответствие профиль своего образования. В этих условиях требуется переосмысления система взаимодействия «студенческий отряд - вуз». </w:t>
      </w:r>
    </w:p>
    <w:p w:rsidR="0052701D" w:rsidRDefault="00D40929">
      <w:pPr>
        <w:spacing w:after="29" w:line="251" w:lineRule="auto"/>
        <w:ind w:left="720" w:firstLine="9"/>
      </w:pPr>
      <w:r>
        <w:rPr>
          <w:rFonts w:ascii="Times New Roman" w:eastAsia="Times New Roman" w:hAnsi="Times New Roman" w:cs="Times New Roman"/>
          <w:b/>
          <w:sz w:val="28"/>
        </w:rPr>
        <w:t xml:space="preserve">Выводы </w:t>
      </w:r>
    </w:p>
    <w:p w:rsidR="0052701D" w:rsidRDefault="00D40929">
      <w:pPr>
        <w:spacing w:after="5" w:line="271" w:lineRule="auto"/>
        <w:ind w:left="9" w:right="64" w:firstLine="711"/>
        <w:jc w:val="both"/>
      </w:pPr>
      <w:r>
        <w:rPr>
          <w:rFonts w:ascii="Times New Roman" w:eastAsia="Times New Roman" w:hAnsi="Times New Roman" w:cs="Times New Roman"/>
          <w:sz w:val="28"/>
        </w:rPr>
        <w:t>Как правило, чтобы студенту попасть в студе</w:t>
      </w:r>
      <w:r>
        <w:rPr>
          <w:rFonts w:ascii="Times New Roman" w:eastAsia="Times New Roman" w:hAnsi="Times New Roman" w:cs="Times New Roman"/>
          <w:sz w:val="28"/>
        </w:rPr>
        <w:t xml:space="preserve">нческий отряд, ему необходимо пройти отбор по нескольким критериям: средний балл по итогу сессии, наличие организаторских способностей, трудолюбие, профессиональные навыки, готовность к участию в творческих и спортивных мероприятиях.  </w:t>
      </w:r>
    </w:p>
    <w:p w:rsidR="0052701D" w:rsidRDefault="00D40929">
      <w:pPr>
        <w:spacing w:after="5" w:line="271" w:lineRule="auto"/>
        <w:ind w:left="9" w:right="64" w:firstLine="711"/>
        <w:jc w:val="both"/>
      </w:pPr>
      <w:r>
        <w:rPr>
          <w:rFonts w:ascii="Times New Roman" w:eastAsia="Times New Roman" w:hAnsi="Times New Roman" w:cs="Times New Roman"/>
          <w:sz w:val="28"/>
        </w:rPr>
        <w:t>Производственный эта</w:t>
      </w:r>
      <w:r>
        <w:rPr>
          <w:rFonts w:ascii="Times New Roman" w:eastAsia="Times New Roman" w:hAnsi="Times New Roman" w:cs="Times New Roman"/>
          <w:sz w:val="28"/>
        </w:rPr>
        <w:t>п включает себя сам процесс трудоустройства участников студенческих отрядов, вступление в трудовые отношения с работодателем. Имеется заинтересованность работодателей к заключению договоров на выполнение работ студенческими отрядами. В частности, потому чт</w:t>
      </w:r>
      <w:r>
        <w:rPr>
          <w:rFonts w:ascii="Times New Roman" w:eastAsia="Times New Roman" w:hAnsi="Times New Roman" w:cs="Times New Roman"/>
          <w:sz w:val="28"/>
        </w:rPr>
        <w:t>о многие виды работ носят сезонный характер, поэтому работодатели испытывают потребность в работниках. Также, в летний период многие сотрудники компаний уходят в отпуска, в то время как у студентов каникулярное время, и студенты удачно подменяют штатных со</w:t>
      </w:r>
      <w:r>
        <w:rPr>
          <w:rFonts w:ascii="Times New Roman" w:eastAsia="Times New Roman" w:hAnsi="Times New Roman" w:cs="Times New Roman"/>
          <w:sz w:val="28"/>
        </w:rPr>
        <w:t xml:space="preserve">трудников.  </w:t>
      </w:r>
    </w:p>
    <w:p w:rsidR="0052701D" w:rsidRDefault="00D40929">
      <w:pPr>
        <w:spacing w:after="5" w:line="271" w:lineRule="auto"/>
        <w:ind w:left="9" w:right="64" w:firstLine="711"/>
        <w:jc w:val="both"/>
      </w:pPr>
      <w:r>
        <w:rPr>
          <w:rFonts w:ascii="Times New Roman" w:eastAsia="Times New Roman" w:hAnsi="Times New Roman" w:cs="Times New Roman"/>
          <w:sz w:val="28"/>
        </w:rPr>
        <w:t>А студенты заинтересованы зарекомендовать себя и свои профессиональные и личностные качества для дальнейшего трудоустройства после выпуска с учебного заведения, найти будущих работодателей для последующего трудоустройства по распределению. Сле</w:t>
      </w:r>
      <w:r>
        <w:rPr>
          <w:rFonts w:ascii="Times New Roman" w:eastAsia="Times New Roman" w:hAnsi="Times New Roman" w:cs="Times New Roman"/>
          <w:sz w:val="28"/>
        </w:rPr>
        <w:t>дует отметить, что многие студенты нашли свои первые рабочие места в организациях, где они работали в качестве участников стройотрядов. Среди организаций, с которыми сотрудничает РСО – Госкорпорация «РосАтом», ОАО «Россети», ОАО «Российские железные дороги</w:t>
      </w:r>
      <w:r>
        <w:rPr>
          <w:rFonts w:ascii="Times New Roman" w:eastAsia="Times New Roman" w:hAnsi="Times New Roman" w:cs="Times New Roman"/>
          <w:sz w:val="28"/>
        </w:rPr>
        <w:t xml:space="preserve">», АО «Газпром», Особая экономическая зона «Алабуга», ПАО «Татнефть», государственные и муниципальные учреждения, крупнейшие предприятия, частные компании и т.д.  </w:t>
      </w:r>
    </w:p>
    <w:p w:rsidR="0052701D" w:rsidRDefault="00D40929">
      <w:pPr>
        <w:spacing w:after="5" w:line="271" w:lineRule="auto"/>
        <w:ind w:left="9" w:right="64" w:firstLine="711"/>
        <w:jc w:val="both"/>
      </w:pPr>
      <w:r>
        <w:rPr>
          <w:rFonts w:ascii="Times New Roman" w:eastAsia="Times New Roman" w:hAnsi="Times New Roman" w:cs="Times New Roman"/>
          <w:sz w:val="28"/>
        </w:rPr>
        <w:t>Работая в студенческих отрядах, студенты коммуницируют друг с другом, сплачиваются, чтобы вы</w:t>
      </w:r>
      <w:r>
        <w:rPr>
          <w:rFonts w:ascii="Times New Roman" w:eastAsia="Times New Roman" w:hAnsi="Times New Roman" w:cs="Times New Roman"/>
          <w:sz w:val="28"/>
        </w:rPr>
        <w:t>полнять общие производственные задачи, им прививаются организаторские навыки, участники РСО учатся брать на себя ответственность, что делает их лидерами. Большинство студентов после окончания университета устроились в организации, в которых трудились в сос</w:t>
      </w:r>
      <w:r>
        <w:rPr>
          <w:rFonts w:ascii="Times New Roman" w:eastAsia="Times New Roman" w:hAnsi="Times New Roman" w:cs="Times New Roman"/>
          <w:sz w:val="28"/>
        </w:rPr>
        <w:t xml:space="preserve">таве Российских студенческих отрядов. Полученный опыт позволил многим </w:t>
      </w:r>
      <w:r>
        <w:rPr>
          <w:rFonts w:ascii="Times New Roman" w:eastAsia="Times New Roman" w:hAnsi="Times New Roman" w:cs="Times New Roman"/>
          <w:sz w:val="28"/>
        </w:rPr>
        <w:lastRenderedPageBreak/>
        <w:t xml:space="preserve">из них сделать профессиональную карьеру и самим приглашать на производственную практику стройотряды из числа нынешних студентов. </w:t>
      </w:r>
    </w:p>
    <w:p w:rsidR="0052701D" w:rsidRDefault="00D40929">
      <w:pPr>
        <w:spacing w:after="32"/>
        <w:ind w:left="567"/>
      </w:pPr>
      <w:r>
        <w:rPr>
          <w:rFonts w:ascii="Times New Roman" w:eastAsia="Times New Roman" w:hAnsi="Times New Roman" w:cs="Times New Roman"/>
          <w:sz w:val="24"/>
        </w:rPr>
        <w:t xml:space="preserve"> </w:t>
      </w:r>
    </w:p>
    <w:p w:rsidR="0052701D" w:rsidRDefault="00D40929">
      <w:pPr>
        <w:spacing w:after="16" w:line="248" w:lineRule="auto"/>
        <w:ind w:left="819" w:right="323" w:hanging="10"/>
        <w:jc w:val="center"/>
      </w:pPr>
      <w:r>
        <w:rPr>
          <w:rFonts w:ascii="Times New Roman" w:eastAsia="Times New Roman" w:hAnsi="Times New Roman" w:cs="Times New Roman"/>
          <w:b/>
          <w:sz w:val="24"/>
        </w:rPr>
        <w:t xml:space="preserve">ИСТОЧНИКИ </w:t>
      </w:r>
    </w:p>
    <w:p w:rsidR="0052701D" w:rsidRDefault="00D40929">
      <w:pPr>
        <w:numPr>
          <w:ilvl w:val="0"/>
          <w:numId w:val="111"/>
        </w:numPr>
        <w:spacing w:after="5"/>
        <w:ind w:right="14" w:firstLine="567"/>
        <w:jc w:val="both"/>
      </w:pPr>
      <w:r>
        <w:rPr>
          <w:rFonts w:ascii="Times New Roman" w:eastAsia="Times New Roman" w:hAnsi="Times New Roman" w:cs="Times New Roman"/>
          <w:sz w:val="24"/>
        </w:rPr>
        <w:t xml:space="preserve">Российские </w:t>
      </w:r>
      <w:r>
        <w:rPr>
          <w:rFonts w:ascii="Times New Roman" w:eastAsia="Times New Roman" w:hAnsi="Times New Roman" w:cs="Times New Roman"/>
          <w:sz w:val="24"/>
        </w:rPr>
        <w:tab/>
        <w:t xml:space="preserve">Студенческие </w:t>
      </w:r>
      <w:r>
        <w:rPr>
          <w:rFonts w:ascii="Times New Roman" w:eastAsia="Times New Roman" w:hAnsi="Times New Roman" w:cs="Times New Roman"/>
          <w:sz w:val="24"/>
        </w:rPr>
        <w:tab/>
        <w:t>отряды</w:t>
      </w:r>
      <w:r>
        <w:rPr>
          <w:rFonts w:ascii="Times New Roman" w:eastAsia="Times New Roman" w:hAnsi="Times New Roman" w:cs="Times New Roman"/>
          <w:b/>
          <w:sz w:val="24"/>
        </w:rPr>
        <w:t xml:space="preserve"> </w:t>
      </w:r>
      <w:r>
        <w:rPr>
          <w:rFonts w:ascii="Times New Roman" w:eastAsia="Times New Roman" w:hAnsi="Times New Roman" w:cs="Times New Roman"/>
          <w:b/>
          <w:sz w:val="24"/>
        </w:rPr>
        <w:tab/>
      </w:r>
      <w:r>
        <w:rPr>
          <w:rFonts w:ascii="Times New Roman" w:eastAsia="Times New Roman" w:hAnsi="Times New Roman" w:cs="Times New Roman"/>
          <w:sz w:val="24"/>
        </w:rPr>
        <w:t xml:space="preserve">[Электронный </w:t>
      </w:r>
      <w:r>
        <w:rPr>
          <w:rFonts w:ascii="Times New Roman" w:eastAsia="Times New Roman" w:hAnsi="Times New Roman" w:cs="Times New Roman"/>
          <w:sz w:val="24"/>
        </w:rPr>
        <w:tab/>
        <w:t xml:space="preserve">ресурс]/ITU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URL: </w:t>
      </w:r>
    </w:p>
    <w:p w:rsidR="0052701D" w:rsidRDefault="00D40929">
      <w:pPr>
        <w:spacing w:after="29" w:line="248" w:lineRule="auto"/>
        <w:ind w:left="9" w:right="14"/>
        <w:jc w:val="both"/>
      </w:pPr>
      <w:r>
        <w:rPr>
          <w:rFonts w:ascii="Times New Roman" w:eastAsia="Times New Roman" w:hAnsi="Times New Roman" w:cs="Times New Roman"/>
          <w:sz w:val="24"/>
        </w:rPr>
        <w:t xml:space="preserve">https://трудкрут.рф/o_rossiyskikh_studencheskikh_otryadakh.htm </w:t>
      </w:r>
    </w:p>
    <w:p w:rsidR="0052701D" w:rsidRDefault="00D40929">
      <w:pPr>
        <w:numPr>
          <w:ilvl w:val="0"/>
          <w:numId w:val="111"/>
        </w:numPr>
        <w:spacing w:after="5"/>
        <w:ind w:right="14" w:firstLine="567"/>
        <w:jc w:val="both"/>
      </w:pPr>
      <w:r>
        <w:rPr>
          <w:rFonts w:ascii="Times New Roman" w:eastAsia="Times New Roman" w:hAnsi="Times New Roman" w:cs="Times New Roman"/>
          <w:sz w:val="24"/>
        </w:rPr>
        <w:t xml:space="preserve">Какие </w:t>
      </w:r>
      <w:r>
        <w:rPr>
          <w:rFonts w:ascii="Times New Roman" w:eastAsia="Times New Roman" w:hAnsi="Times New Roman" w:cs="Times New Roman"/>
          <w:sz w:val="24"/>
        </w:rPr>
        <w:tab/>
        <w:t xml:space="preserve">требования </w:t>
      </w:r>
      <w:r>
        <w:rPr>
          <w:rFonts w:ascii="Times New Roman" w:eastAsia="Times New Roman" w:hAnsi="Times New Roman" w:cs="Times New Roman"/>
          <w:sz w:val="24"/>
        </w:rPr>
        <w:tab/>
        <w:t xml:space="preserve">предъявляют </w:t>
      </w:r>
      <w:r>
        <w:rPr>
          <w:rFonts w:ascii="Times New Roman" w:eastAsia="Times New Roman" w:hAnsi="Times New Roman" w:cs="Times New Roman"/>
          <w:sz w:val="24"/>
        </w:rPr>
        <w:tab/>
        <w:t xml:space="preserve">работодатели </w:t>
      </w:r>
      <w:r>
        <w:rPr>
          <w:rFonts w:ascii="Times New Roman" w:eastAsia="Times New Roman" w:hAnsi="Times New Roman" w:cs="Times New Roman"/>
          <w:sz w:val="24"/>
        </w:rPr>
        <w:tab/>
        <w:t xml:space="preserve">к </w:t>
      </w:r>
      <w:r>
        <w:rPr>
          <w:rFonts w:ascii="Times New Roman" w:eastAsia="Times New Roman" w:hAnsi="Times New Roman" w:cs="Times New Roman"/>
          <w:sz w:val="24"/>
        </w:rPr>
        <w:tab/>
        <w:t xml:space="preserve">молодым </w:t>
      </w:r>
      <w:r>
        <w:rPr>
          <w:rFonts w:ascii="Times New Roman" w:eastAsia="Times New Roman" w:hAnsi="Times New Roman" w:cs="Times New Roman"/>
          <w:sz w:val="24"/>
        </w:rPr>
        <w:tab/>
        <w:t xml:space="preserve">специалистам </w:t>
      </w:r>
    </w:p>
    <w:p w:rsidR="0052701D" w:rsidRDefault="00D40929">
      <w:pPr>
        <w:spacing w:after="29" w:line="248" w:lineRule="auto"/>
        <w:ind w:left="9" w:right="14"/>
        <w:jc w:val="both"/>
      </w:pPr>
      <w:r>
        <w:rPr>
          <w:rFonts w:ascii="Times New Roman" w:eastAsia="Times New Roman" w:hAnsi="Times New Roman" w:cs="Times New Roman"/>
          <w:sz w:val="24"/>
        </w:rPr>
        <w:t xml:space="preserve">[Электронный ресурс]/ITU – URL: https://kazan.hh.ru/article/18255 </w:t>
      </w:r>
    </w:p>
    <w:p w:rsidR="0052701D" w:rsidRDefault="00D40929">
      <w:pPr>
        <w:numPr>
          <w:ilvl w:val="0"/>
          <w:numId w:val="111"/>
        </w:numPr>
        <w:spacing w:after="29" w:line="248" w:lineRule="auto"/>
        <w:ind w:right="14" w:firstLine="567"/>
        <w:jc w:val="both"/>
      </w:pPr>
      <w:r>
        <w:rPr>
          <w:rFonts w:ascii="Times New Roman" w:eastAsia="Times New Roman" w:hAnsi="Times New Roman" w:cs="Times New Roman"/>
          <w:sz w:val="24"/>
        </w:rPr>
        <w:t xml:space="preserve">Хорошилова Т. В. </w:t>
      </w:r>
      <w:r>
        <w:rPr>
          <w:rFonts w:ascii="Times New Roman" w:eastAsia="Times New Roman" w:hAnsi="Times New Roman" w:cs="Times New Roman"/>
          <w:sz w:val="24"/>
        </w:rPr>
        <w:t xml:space="preserve">Движение студенческих трудовых отрядов вузов Дальнего Востока в 1950-1970- х гг. / Т. В. Хорошилова // Власть и управление на Востоке России. – 2010. – No 2 (51). – С. 206-212. </w:t>
      </w:r>
    </w:p>
    <w:p w:rsidR="0052701D" w:rsidRDefault="00D40929">
      <w:pPr>
        <w:numPr>
          <w:ilvl w:val="0"/>
          <w:numId w:val="111"/>
        </w:numPr>
        <w:spacing w:after="29" w:line="248" w:lineRule="auto"/>
        <w:ind w:right="14" w:firstLine="567"/>
        <w:jc w:val="both"/>
      </w:pPr>
      <w:r>
        <w:rPr>
          <w:rFonts w:ascii="Times New Roman" w:eastAsia="Times New Roman" w:hAnsi="Times New Roman" w:cs="Times New Roman"/>
          <w:sz w:val="24"/>
        </w:rPr>
        <w:t>Чиркова И. Г. Анализ занятости в энергетическом секторе экономики региона / И.</w:t>
      </w:r>
      <w:r>
        <w:rPr>
          <w:rFonts w:ascii="Times New Roman" w:eastAsia="Times New Roman" w:hAnsi="Times New Roman" w:cs="Times New Roman"/>
          <w:sz w:val="24"/>
        </w:rPr>
        <w:t xml:space="preserve"> Г. Чиркова, К. М. Бережной // Вестник Казанского государственного энергетического университета. 2022. Т. 14. № 2(54). С. 134-141.  </w:t>
      </w:r>
    </w:p>
    <w:p w:rsidR="0052701D" w:rsidRDefault="00D40929">
      <w:pPr>
        <w:numPr>
          <w:ilvl w:val="0"/>
          <w:numId w:val="111"/>
        </w:numPr>
        <w:spacing w:after="29" w:line="248" w:lineRule="auto"/>
        <w:ind w:right="14" w:firstLine="567"/>
        <w:jc w:val="both"/>
      </w:pPr>
      <w:r>
        <w:rPr>
          <w:rFonts w:ascii="Times New Roman" w:eastAsia="Times New Roman" w:hAnsi="Times New Roman" w:cs="Times New Roman"/>
          <w:sz w:val="24"/>
        </w:rPr>
        <w:t>Лобанова, Е. Ю. Студенческий отряд как способ становления и формирования личности будущего выпускника вуза / Е. Ю. Лобанова</w:t>
      </w:r>
      <w:r>
        <w:rPr>
          <w:rFonts w:ascii="Times New Roman" w:eastAsia="Times New Roman" w:hAnsi="Times New Roman" w:cs="Times New Roman"/>
          <w:sz w:val="24"/>
        </w:rPr>
        <w:t xml:space="preserve">, Н. А.Тумакова. – Текст: непосредственный // Молодой ученый. –  2015. – № 10(90). –С. 1203-1205. </w:t>
      </w:r>
    </w:p>
    <w:p w:rsidR="0052701D" w:rsidRDefault="00D40929">
      <w:pPr>
        <w:numPr>
          <w:ilvl w:val="0"/>
          <w:numId w:val="111"/>
        </w:numPr>
        <w:spacing w:after="29" w:line="248" w:lineRule="auto"/>
        <w:ind w:right="14" w:firstLine="567"/>
        <w:jc w:val="both"/>
      </w:pPr>
      <w:r>
        <w:rPr>
          <w:rFonts w:ascii="Times New Roman" w:eastAsia="Times New Roman" w:hAnsi="Times New Roman" w:cs="Times New Roman"/>
          <w:sz w:val="24"/>
        </w:rPr>
        <w:t>Голицына Л. А. Особенности реализации регионального проекта "чистая вода" в Республике Татарстан / Л. А. Голицына, С. А. Голицын // Вестник Казанского госуда</w:t>
      </w:r>
      <w:r>
        <w:rPr>
          <w:rFonts w:ascii="Times New Roman" w:eastAsia="Times New Roman" w:hAnsi="Times New Roman" w:cs="Times New Roman"/>
          <w:sz w:val="24"/>
        </w:rPr>
        <w:t xml:space="preserve">рственного энергетического университета. 2020. Т. 12. № 2(46). С. 86-90. </w:t>
      </w:r>
    </w:p>
    <w:p w:rsidR="0052701D" w:rsidRDefault="00D40929">
      <w:pPr>
        <w:numPr>
          <w:ilvl w:val="0"/>
          <w:numId w:val="111"/>
        </w:numPr>
        <w:spacing w:after="29" w:line="248" w:lineRule="auto"/>
        <w:ind w:right="14" w:firstLine="567"/>
        <w:jc w:val="both"/>
      </w:pPr>
      <w:r>
        <w:rPr>
          <w:rFonts w:ascii="Times New Roman" w:eastAsia="Times New Roman" w:hAnsi="Times New Roman" w:cs="Times New Roman"/>
          <w:sz w:val="24"/>
        </w:rPr>
        <w:t>Гнатюк М.А., Кротов Д.В., Самыгин С.И. Российские студенческие отряды как ресурс для социально-профессионального самоопределения молодежи //Гуманитарные, социальноэкономические и общ</w:t>
      </w:r>
      <w:r>
        <w:rPr>
          <w:rFonts w:ascii="Times New Roman" w:eastAsia="Times New Roman" w:hAnsi="Times New Roman" w:cs="Times New Roman"/>
          <w:sz w:val="24"/>
        </w:rPr>
        <w:t xml:space="preserve">ественные науки»: всероссийский научный журнал. 2017. 11. С.31-34. </w:t>
      </w:r>
    </w:p>
    <w:p w:rsidR="0052701D" w:rsidRDefault="00D40929">
      <w:pPr>
        <w:spacing w:after="4" w:line="271" w:lineRule="auto"/>
        <w:ind w:left="-5" w:right="194" w:hanging="10"/>
      </w:pPr>
      <w:r>
        <w:rPr>
          <w:rFonts w:ascii="Times New Roman" w:eastAsia="Times New Roman" w:hAnsi="Times New Roman" w:cs="Times New Roman"/>
          <w:b/>
          <w:sz w:val="24"/>
        </w:rPr>
        <w:t xml:space="preserve">МРНТ 14.35.09 УДК 372.8 </w:t>
      </w:r>
    </w:p>
    <w:p w:rsidR="0052701D" w:rsidRDefault="00D40929">
      <w:pPr>
        <w:spacing w:after="116"/>
        <w:ind w:left="567"/>
      </w:pPr>
      <w:r>
        <w:rPr>
          <w:rFonts w:ascii="Times New Roman" w:eastAsia="Times New Roman" w:hAnsi="Times New Roman" w:cs="Times New Roman"/>
          <w:sz w:val="20"/>
        </w:rPr>
        <w:t xml:space="preserve"> </w:t>
      </w:r>
    </w:p>
    <w:p w:rsidR="0052701D" w:rsidRDefault="00D40929">
      <w:pPr>
        <w:pStyle w:val="1"/>
        <w:ind w:left="173" w:right="163"/>
      </w:pPr>
      <w:r>
        <w:t xml:space="preserve">ПОВЫШЕНИЕ УРОВНЯ КУЛЬТУРЫ РУССКОЙ РЕЧИ </w:t>
      </w:r>
    </w:p>
    <w:p w:rsidR="0052701D" w:rsidRDefault="00D40929">
      <w:pPr>
        <w:spacing w:after="5" w:line="271" w:lineRule="auto"/>
        <w:ind w:left="173" w:right="163" w:hanging="10"/>
        <w:jc w:val="center"/>
      </w:pPr>
      <w:r>
        <w:rPr>
          <w:rFonts w:ascii="Times New Roman" w:eastAsia="Times New Roman" w:hAnsi="Times New Roman" w:cs="Times New Roman"/>
          <w:b/>
          <w:sz w:val="28"/>
        </w:rPr>
        <w:t xml:space="preserve">СТУДЕНТОВ-КАЗАХОВ ТЕХНИЧЕСКОГО ВУЗА </w:t>
      </w:r>
    </w:p>
    <w:p w:rsidR="0052701D" w:rsidRDefault="00D40929">
      <w:pPr>
        <w:spacing w:after="69"/>
        <w:ind w:left="542"/>
        <w:jc w:val="center"/>
      </w:pPr>
      <w:r>
        <w:rPr>
          <w:rFonts w:ascii="Times New Roman" w:eastAsia="Times New Roman" w:hAnsi="Times New Roman" w:cs="Times New Roman"/>
          <w:sz w:val="20"/>
        </w:rPr>
        <w:t xml:space="preserve"> </w:t>
      </w:r>
    </w:p>
    <w:p w:rsidR="0052701D" w:rsidRDefault="00D40929">
      <w:pPr>
        <w:pStyle w:val="1"/>
        <w:spacing w:after="14" w:line="248" w:lineRule="auto"/>
        <w:ind w:left="903" w:right="412" w:hanging="5"/>
      </w:pPr>
      <w:r>
        <w:rPr>
          <w:sz w:val="24"/>
        </w:rPr>
        <w:t xml:space="preserve">Н.С. Саньярова </w:t>
      </w:r>
    </w:p>
    <w:p w:rsidR="0052701D" w:rsidRDefault="00D40929">
      <w:pPr>
        <w:spacing w:after="14" w:line="248" w:lineRule="auto"/>
        <w:ind w:left="903" w:right="412" w:hanging="5"/>
        <w:jc w:val="center"/>
      </w:pPr>
      <w:r>
        <w:rPr>
          <w:rFonts w:ascii="Times New Roman" w:eastAsia="Times New Roman" w:hAnsi="Times New Roman" w:cs="Times New Roman"/>
          <w:sz w:val="24"/>
        </w:rPr>
        <w:t xml:space="preserve">НАО «Алматинский университет энергетики и связи имени Гумарбека </w:t>
      </w:r>
      <w:r>
        <w:rPr>
          <w:rFonts w:ascii="Times New Roman" w:eastAsia="Times New Roman" w:hAnsi="Times New Roman" w:cs="Times New Roman"/>
          <w:sz w:val="24"/>
        </w:rPr>
        <w:t xml:space="preserve">Даукеева» </w:t>
      </w:r>
    </w:p>
    <w:p w:rsidR="0052701D" w:rsidRDefault="00D40929">
      <w:pPr>
        <w:spacing w:after="14" w:line="248" w:lineRule="auto"/>
        <w:ind w:left="713" w:right="224" w:hanging="5"/>
        <w:jc w:val="center"/>
      </w:pPr>
      <w:r>
        <w:rPr>
          <w:rFonts w:ascii="Times New Roman" w:eastAsia="Times New Roman" w:hAnsi="Times New Roman" w:cs="Times New Roman"/>
          <w:sz w:val="24"/>
        </w:rPr>
        <w:t xml:space="preserve">n.sanjyarova@aues.kz </w:t>
      </w:r>
    </w:p>
    <w:p w:rsidR="0052701D" w:rsidRDefault="00D40929">
      <w:pPr>
        <w:spacing w:after="62"/>
        <w:ind w:left="567"/>
      </w:pPr>
      <w:r>
        <w:rPr>
          <w:rFonts w:ascii="Times New Roman" w:eastAsia="Times New Roman" w:hAnsi="Times New Roman" w:cs="Times New Roman"/>
          <w:sz w:val="20"/>
        </w:rPr>
        <w:t xml:space="preserve"> </w:t>
      </w:r>
    </w:p>
    <w:p w:rsidR="0052701D" w:rsidRDefault="00D40929">
      <w:pPr>
        <w:spacing w:after="29" w:line="248" w:lineRule="auto"/>
        <w:ind w:left="9" w:firstLine="567"/>
        <w:jc w:val="both"/>
      </w:pPr>
      <w:r>
        <w:rPr>
          <w:rFonts w:ascii="Times New Roman" w:eastAsia="Times New Roman" w:hAnsi="Times New Roman" w:cs="Times New Roman"/>
          <w:b/>
          <w:i/>
          <w:sz w:val="24"/>
        </w:rPr>
        <w:t>Аннотация.</w:t>
      </w:r>
      <w:r>
        <w:rPr>
          <w:rFonts w:ascii="Times New Roman" w:eastAsia="Times New Roman" w:hAnsi="Times New Roman" w:cs="Times New Roman"/>
          <w:i/>
          <w:sz w:val="24"/>
        </w:rPr>
        <w:t xml:space="preserve"> В статье затрагивается сторона языковой подготовки студентовбилингвов, касающаяся овладения ими культурой русской речи, литературными нормами и правилами. Отмечается, что данный аспект обучения русскому языку к</w:t>
      </w:r>
      <w:r>
        <w:rPr>
          <w:rFonts w:ascii="Times New Roman" w:eastAsia="Times New Roman" w:hAnsi="Times New Roman" w:cs="Times New Roman"/>
          <w:i/>
          <w:sz w:val="24"/>
        </w:rPr>
        <w:t>ак второму не менее важен, чем другие аспекты – лексический, фонетический, морфологический, синтаксический. Описываются методические приёмы, с помощью которых можно повысить уровень культуры речи студентов технического вуза, в том числе акцентирование норм</w:t>
      </w:r>
      <w:r>
        <w:rPr>
          <w:rFonts w:ascii="Times New Roman" w:eastAsia="Times New Roman" w:hAnsi="Times New Roman" w:cs="Times New Roman"/>
          <w:i/>
          <w:sz w:val="24"/>
        </w:rPr>
        <w:t xml:space="preserve"> культуры речи на каждом из занятий, независимо от его темы; введение в структуру каждого занятия культурно-речевых фрагментов; своевременное исправление в речи студентов ошибок, касающихся литературных норм русского языка. Делается вывод о том, что задани</w:t>
      </w:r>
      <w:r>
        <w:rPr>
          <w:rFonts w:ascii="Times New Roman" w:eastAsia="Times New Roman" w:hAnsi="Times New Roman" w:cs="Times New Roman"/>
          <w:i/>
          <w:sz w:val="24"/>
        </w:rPr>
        <w:t xml:space="preserve">я по культуре речи должны быть вписаны в контекст занятий по русскому языку, быть интересными и иметь коммуникативную направленность – нацеленность на организацию взаимодействия на русском языке.  </w:t>
      </w:r>
    </w:p>
    <w:p w:rsidR="0052701D" w:rsidRDefault="00D40929">
      <w:pPr>
        <w:spacing w:after="29" w:line="248" w:lineRule="auto"/>
        <w:ind w:left="9" w:firstLine="567"/>
        <w:jc w:val="both"/>
      </w:pPr>
      <w:r>
        <w:rPr>
          <w:rFonts w:ascii="Times New Roman" w:eastAsia="Times New Roman" w:hAnsi="Times New Roman" w:cs="Times New Roman"/>
          <w:b/>
          <w:i/>
          <w:sz w:val="24"/>
        </w:rPr>
        <w:lastRenderedPageBreak/>
        <w:t>Ключевые слова:</w:t>
      </w:r>
      <w:r>
        <w:rPr>
          <w:rFonts w:ascii="Times New Roman" w:eastAsia="Times New Roman" w:hAnsi="Times New Roman" w:cs="Times New Roman"/>
          <w:i/>
          <w:sz w:val="24"/>
        </w:rPr>
        <w:t xml:space="preserve"> русский язык, культура речи, литературная </w:t>
      </w:r>
      <w:r>
        <w:rPr>
          <w:rFonts w:ascii="Times New Roman" w:eastAsia="Times New Roman" w:hAnsi="Times New Roman" w:cs="Times New Roman"/>
          <w:i/>
          <w:sz w:val="24"/>
        </w:rPr>
        <w:t xml:space="preserve">норма, студентыбилингвы, высшее образование, Казахстан.  </w:t>
      </w:r>
    </w:p>
    <w:p w:rsidR="0052701D" w:rsidRDefault="00D40929">
      <w:pPr>
        <w:spacing w:after="0"/>
        <w:ind w:left="567"/>
      </w:pPr>
      <w:r>
        <w:rPr>
          <w:rFonts w:ascii="Times New Roman" w:eastAsia="Times New Roman" w:hAnsi="Times New Roman" w:cs="Times New Roman"/>
          <w:b/>
          <w:sz w:val="28"/>
        </w:rPr>
        <w:t xml:space="preserve"> </w:t>
      </w:r>
    </w:p>
    <w:p w:rsidR="0052701D" w:rsidRDefault="00D40929">
      <w:pPr>
        <w:spacing w:after="30"/>
        <w:ind w:left="567"/>
      </w:pPr>
      <w:r>
        <w:rPr>
          <w:rFonts w:ascii="Times New Roman" w:eastAsia="Times New Roman" w:hAnsi="Times New Roman" w:cs="Times New Roman"/>
          <w:b/>
          <w:sz w:val="28"/>
        </w:rPr>
        <w:t xml:space="preserve"> </w:t>
      </w:r>
    </w:p>
    <w:p w:rsidR="0052701D" w:rsidRDefault="00D40929">
      <w:pPr>
        <w:spacing w:after="40" w:line="251" w:lineRule="auto"/>
        <w:ind w:left="2171" w:firstLine="9"/>
      </w:pPr>
      <w:r>
        <w:rPr>
          <w:rFonts w:ascii="Times New Roman" w:eastAsia="Times New Roman" w:hAnsi="Times New Roman" w:cs="Times New Roman"/>
          <w:b/>
          <w:sz w:val="28"/>
        </w:rPr>
        <w:t xml:space="preserve">ТЕХНИКАЛЫҚ ЖОҒАРЫ ОҚУ ОРНЫНЫҢ </w:t>
      </w:r>
    </w:p>
    <w:p w:rsidR="0052701D" w:rsidRDefault="00D40929">
      <w:pPr>
        <w:spacing w:after="0"/>
        <w:ind w:left="10" w:right="177" w:hanging="10"/>
        <w:jc w:val="right"/>
      </w:pPr>
      <w:r>
        <w:rPr>
          <w:rFonts w:ascii="Times New Roman" w:eastAsia="Times New Roman" w:hAnsi="Times New Roman" w:cs="Times New Roman"/>
          <w:b/>
          <w:sz w:val="28"/>
        </w:rPr>
        <w:t xml:space="preserve">ҚАЗАҚ СТУДЕНТТЕРІНІҢ ОРЫС ТІЛІ МӘДЕНИЕТІН АРТТЫРУ </w:t>
      </w:r>
    </w:p>
    <w:p w:rsidR="0052701D" w:rsidRDefault="00D40929">
      <w:pPr>
        <w:spacing w:after="69"/>
        <w:ind w:left="542"/>
        <w:jc w:val="center"/>
      </w:pPr>
      <w:r>
        <w:rPr>
          <w:rFonts w:ascii="Times New Roman" w:eastAsia="Times New Roman" w:hAnsi="Times New Roman" w:cs="Times New Roman"/>
          <w:sz w:val="20"/>
        </w:rPr>
        <w:t xml:space="preserve"> </w:t>
      </w:r>
    </w:p>
    <w:p w:rsidR="0052701D" w:rsidRDefault="00D40929">
      <w:pPr>
        <w:spacing w:after="16" w:line="248" w:lineRule="auto"/>
        <w:ind w:left="819" w:right="318" w:hanging="10"/>
        <w:jc w:val="center"/>
      </w:pPr>
      <w:r>
        <w:rPr>
          <w:rFonts w:ascii="Times New Roman" w:eastAsia="Times New Roman" w:hAnsi="Times New Roman" w:cs="Times New Roman"/>
          <w:b/>
          <w:sz w:val="24"/>
        </w:rPr>
        <w:t xml:space="preserve">Н.С. Саньярова </w:t>
      </w:r>
    </w:p>
    <w:p w:rsidR="0052701D" w:rsidRDefault="00D40929">
      <w:pPr>
        <w:spacing w:after="5"/>
        <w:ind w:left="10" w:right="170" w:hanging="10"/>
        <w:jc w:val="right"/>
      </w:pPr>
      <w:r>
        <w:rPr>
          <w:rFonts w:ascii="Times New Roman" w:eastAsia="Times New Roman" w:hAnsi="Times New Roman" w:cs="Times New Roman"/>
          <w:sz w:val="24"/>
        </w:rPr>
        <w:t xml:space="preserve">«Ғұмарбек Даукеев атындағы Алматы энергетика және байланыс университеті» КеАҚ </w:t>
      </w:r>
    </w:p>
    <w:p w:rsidR="0052701D" w:rsidRDefault="00D40929">
      <w:pPr>
        <w:spacing w:after="14" w:line="248" w:lineRule="auto"/>
        <w:ind w:left="713" w:right="224" w:hanging="5"/>
        <w:jc w:val="center"/>
      </w:pPr>
      <w:r>
        <w:rPr>
          <w:rFonts w:ascii="Times New Roman" w:eastAsia="Times New Roman" w:hAnsi="Times New Roman" w:cs="Times New Roman"/>
          <w:sz w:val="24"/>
        </w:rPr>
        <w:t>n.sanjyarova@</w:t>
      </w:r>
      <w:r>
        <w:rPr>
          <w:rFonts w:ascii="Times New Roman" w:eastAsia="Times New Roman" w:hAnsi="Times New Roman" w:cs="Times New Roman"/>
          <w:sz w:val="24"/>
        </w:rPr>
        <w:t xml:space="preserve">aues.kz </w:t>
      </w:r>
    </w:p>
    <w:p w:rsidR="0052701D" w:rsidRDefault="00D40929">
      <w:pPr>
        <w:spacing w:after="17"/>
        <w:ind w:left="567"/>
      </w:pPr>
      <w:r>
        <w:rPr>
          <w:rFonts w:ascii="Times New Roman" w:eastAsia="Times New Roman" w:hAnsi="Times New Roman" w:cs="Times New Roman"/>
          <w:sz w:val="24"/>
        </w:rPr>
        <w:t xml:space="preserve"> </w:t>
      </w:r>
    </w:p>
    <w:p w:rsidR="0052701D" w:rsidRDefault="00D40929">
      <w:pPr>
        <w:spacing w:after="29" w:line="248" w:lineRule="auto"/>
        <w:ind w:left="9" w:firstLine="567"/>
        <w:jc w:val="both"/>
      </w:pPr>
      <w:r>
        <w:rPr>
          <w:rFonts w:ascii="Times New Roman" w:eastAsia="Times New Roman" w:hAnsi="Times New Roman" w:cs="Times New Roman"/>
          <w:b/>
          <w:i/>
          <w:sz w:val="24"/>
        </w:rPr>
        <w:t>Аңдатпа</w:t>
      </w:r>
      <w:r>
        <w:rPr>
          <w:rFonts w:ascii="Times New Roman" w:eastAsia="Times New Roman" w:hAnsi="Times New Roman" w:cs="Times New Roman"/>
          <w:i/>
          <w:sz w:val="24"/>
        </w:rPr>
        <w:t xml:space="preserve">. Мақалада екі тілді студенттердің орыс тілінің мәдениетін, әдеби нормалар мен ережелерді меңгеруіне қатысты тілдік дайындық жағы қарастырылған. Орыс тілін екінші аспект ретінде оқытудың бұл аспектісі басқа– лексикалық, фонетикалық, </w:t>
      </w:r>
      <w:r>
        <w:rPr>
          <w:rFonts w:ascii="Times New Roman" w:eastAsia="Times New Roman" w:hAnsi="Times New Roman" w:cs="Times New Roman"/>
          <w:i/>
          <w:sz w:val="24"/>
        </w:rPr>
        <w:t>морфологиялық, синтаксистік аспектілерден маңыздылығының кем емес екенгділігі атап өтіледі. Техникалық университет студенттерінің сөйлеу мәдениетінің деңгейін арттыруға болатын әдістемелік әдістемелер сипатталған, оның ішінде сөйлеу мәдениетінің нормаларын</w:t>
      </w:r>
      <w:r>
        <w:rPr>
          <w:rFonts w:ascii="Times New Roman" w:eastAsia="Times New Roman" w:hAnsi="Times New Roman" w:cs="Times New Roman"/>
          <w:i/>
          <w:sz w:val="24"/>
        </w:rPr>
        <w:t xml:space="preserve"> оның тақырыбына қарамастан әр сабаққа баса назар аудару; әр сабақтың құрылымына мәдени және сөйлеу кезеңдерін енгізу; студенттердің сөйлеуіндегі орыс тілінің әдеби нормаларына қатысты қателіктерді уақтылы түзету сияқты нормаларға баса назар бөлінген. Сөйл</w:t>
      </w:r>
      <w:r>
        <w:rPr>
          <w:rFonts w:ascii="Times New Roman" w:eastAsia="Times New Roman" w:hAnsi="Times New Roman" w:cs="Times New Roman"/>
          <w:i/>
          <w:sz w:val="24"/>
        </w:rPr>
        <w:t xml:space="preserve">еу мәдениеті бойынша тапсырмалар орыс тіліндегі сабақтардың контекстінде жазылуы, сонымен қатар қызықты болуы керек және коммуникативті бағыты болуы шарт, және де орыс тілінде өзара әрекеттесуді ұйымдастыруға бағытталуы қажет. </w:t>
      </w:r>
    </w:p>
    <w:p w:rsidR="0052701D" w:rsidRDefault="00D40929">
      <w:pPr>
        <w:spacing w:after="29" w:line="248" w:lineRule="auto"/>
        <w:ind w:left="9" w:firstLine="567"/>
        <w:jc w:val="both"/>
      </w:pPr>
      <w:r>
        <w:rPr>
          <w:rFonts w:ascii="Times New Roman" w:eastAsia="Times New Roman" w:hAnsi="Times New Roman" w:cs="Times New Roman"/>
          <w:b/>
          <w:i/>
          <w:sz w:val="24"/>
        </w:rPr>
        <w:t>Кілт сөздер</w:t>
      </w:r>
      <w:r>
        <w:rPr>
          <w:rFonts w:ascii="Times New Roman" w:eastAsia="Times New Roman" w:hAnsi="Times New Roman" w:cs="Times New Roman"/>
          <w:i/>
          <w:sz w:val="24"/>
        </w:rPr>
        <w:t>: орыс тілі, сөйл</w:t>
      </w:r>
      <w:r>
        <w:rPr>
          <w:rFonts w:ascii="Times New Roman" w:eastAsia="Times New Roman" w:hAnsi="Times New Roman" w:cs="Times New Roman"/>
          <w:i/>
          <w:sz w:val="24"/>
        </w:rPr>
        <w:t xml:space="preserve">еу мәдениеті, әдеби норма, екі тілді студенттер, жоғары білім, Қазақстан. </w:t>
      </w:r>
    </w:p>
    <w:p w:rsidR="0052701D" w:rsidRDefault="00D40929">
      <w:pPr>
        <w:spacing w:after="0"/>
        <w:ind w:left="567"/>
      </w:pPr>
      <w:r>
        <w:rPr>
          <w:rFonts w:ascii="Times New Roman" w:eastAsia="Times New Roman" w:hAnsi="Times New Roman" w:cs="Times New Roman"/>
          <w:i/>
          <w:sz w:val="20"/>
        </w:rPr>
        <w:t xml:space="preserve"> </w:t>
      </w:r>
    </w:p>
    <w:p w:rsidR="0052701D" w:rsidRDefault="00D40929">
      <w:pPr>
        <w:spacing w:after="60"/>
        <w:ind w:left="567"/>
      </w:pPr>
      <w:r>
        <w:rPr>
          <w:rFonts w:ascii="Times New Roman" w:eastAsia="Times New Roman" w:hAnsi="Times New Roman" w:cs="Times New Roman"/>
          <w:i/>
          <w:sz w:val="20"/>
        </w:rPr>
        <w:t xml:space="preserve"> </w:t>
      </w:r>
    </w:p>
    <w:p w:rsidR="0052701D" w:rsidRDefault="00D40929">
      <w:pPr>
        <w:spacing w:after="5" w:line="271" w:lineRule="auto"/>
        <w:ind w:left="984" w:right="417" w:hanging="10"/>
        <w:jc w:val="center"/>
      </w:pPr>
      <w:r>
        <w:rPr>
          <w:rFonts w:ascii="Times New Roman" w:eastAsia="Times New Roman" w:hAnsi="Times New Roman" w:cs="Times New Roman"/>
          <w:b/>
          <w:sz w:val="28"/>
        </w:rPr>
        <w:t xml:space="preserve">INCREASING THE LEVEL OF RUSSIAN SPEECH CULTURE OF KAZAKH STUDENTS OF A TECHNICAL UNIVERSITY </w:t>
      </w:r>
    </w:p>
    <w:p w:rsidR="0052701D" w:rsidRDefault="00D40929">
      <w:pPr>
        <w:spacing w:after="0"/>
        <w:ind w:left="542"/>
        <w:jc w:val="center"/>
      </w:pPr>
      <w:r>
        <w:rPr>
          <w:rFonts w:ascii="Times New Roman" w:eastAsia="Times New Roman" w:hAnsi="Times New Roman" w:cs="Times New Roman"/>
          <w:sz w:val="20"/>
        </w:rPr>
        <w:t xml:space="preserve"> </w:t>
      </w:r>
    </w:p>
    <w:p w:rsidR="0052701D" w:rsidRDefault="00D40929">
      <w:pPr>
        <w:spacing w:after="16" w:line="248" w:lineRule="auto"/>
        <w:ind w:left="819" w:right="318" w:hanging="10"/>
        <w:jc w:val="center"/>
      </w:pPr>
      <w:r>
        <w:rPr>
          <w:rFonts w:ascii="Times New Roman" w:eastAsia="Times New Roman" w:hAnsi="Times New Roman" w:cs="Times New Roman"/>
          <w:b/>
          <w:sz w:val="24"/>
        </w:rPr>
        <w:t xml:space="preserve">N.S. Sanjyarova </w:t>
      </w:r>
    </w:p>
    <w:p w:rsidR="0052701D" w:rsidRDefault="00D40929">
      <w:pPr>
        <w:spacing w:after="29" w:line="248" w:lineRule="auto"/>
        <w:ind w:left="745" w:right="14"/>
        <w:jc w:val="both"/>
      </w:pPr>
      <w:r>
        <w:rPr>
          <w:rFonts w:ascii="Times New Roman" w:eastAsia="Times New Roman" w:hAnsi="Times New Roman" w:cs="Times New Roman"/>
          <w:sz w:val="24"/>
        </w:rPr>
        <w:t xml:space="preserve">Almaty University of Power Engineering and Telecommunications </w:t>
      </w:r>
      <w:r>
        <w:rPr>
          <w:rFonts w:ascii="Times New Roman" w:eastAsia="Times New Roman" w:hAnsi="Times New Roman" w:cs="Times New Roman"/>
          <w:sz w:val="24"/>
        </w:rPr>
        <w:t xml:space="preserve">named after Gumarbek </w:t>
      </w:r>
    </w:p>
    <w:p w:rsidR="0052701D" w:rsidRDefault="00D40929">
      <w:pPr>
        <w:spacing w:after="14" w:line="248" w:lineRule="auto"/>
        <w:ind w:left="713" w:right="793" w:hanging="5"/>
        <w:jc w:val="center"/>
      </w:pPr>
      <w:r>
        <w:rPr>
          <w:rFonts w:ascii="Times New Roman" w:eastAsia="Times New Roman" w:hAnsi="Times New Roman" w:cs="Times New Roman"/>
          <w:sz w:val="24"/>
        </w:rPr>
        <w:t xml:space="preserve">Daukeev n.sanjyarova@aues.kz </w:t>
      </w:r>
    </w:p>
    <w:p w:rsidR="0052701D" w:rsidRDefault="00D40929">
      <w:pPr>
        <w:spacing w:after="17"/>
        <w:ind w:left="567"/>
      </w:pPr>
      <w:r>
        <w:rPr>
          <w:rFonts w:ascii="Times New Roman" w:eastAsia="Times New Roman" w:hAnsi="Times New Roman" w:cs="Times New Roman"/>
          <w:sz w:val="20"/>
        </w:rPr>
        <w:t xml:space="preserve"> </w:t>
      </w:r>
    </w:p>
    <w:p w:rsidR="0052701D" w:rsidRDefault="00D40929">
      <w:pPr>
        <w:spacing w:after="0" w:line="248" w:lineRule="auto"/>
        <w:ind w:left="9" w:firstLine="567"/>
        <w:jc w:val="both"/>
      </w:pPr>
      <w:r>
        <w:rPr>
          <w:rFonts w:ascii="Times New Roman" w:eastAsia="Times New Roman" w:hAnsi="Times New Roman" w:cs="Times New Roman"/>
          <w:b/>
          <w:i/>
          <w:sz w:val="24"/>
        </w:rPr>
        <w:t>Abstract.</w:t>
      </w:r>
      <w:r>
        <w:rPr>
          <w:rFonts w:ascii="Times New Roman" w:eastAsia="Times New Roman" w:hAnsi="Times New Roman" w:cs="Times New Roman"/>
          <w:i/>
          <w:sz w:val="24"/>
        </w:rPr>
        <w:t xml:space="preserve"> The article touches upon the side of the language training of bilingual students, concerning their mastery of the culture of Russian speech, literary norms and rules. It is noted that this asp</w:t>
      </w:r>
      <w:r>
        <w:rPr>
          <w:rFonts w:ascii="Times New Roman" w:eastAsia="Times New Roman" w:hAnsi="Times New Roman" w:cs="Times New Roman"/>
          <w:i/>
          <w:sz w:val="24"/>
        </w:rPr>
        <w:t>ect of teaching Russian as a second language is no less important than other aspects – lexical, phonetic, morphological, syntactic. Methodical techniques are described with the help of which it is possible to increase the level of speech culture of student</w:t>
      </w:r>
      <w:r>
        <w:rPr>
          <w:rFonts w:ascii="Times New Roman" w:eastAsia="Times New Roman" w:hAnsi="Times New Roman" w:cs="Times New Roman"/>
          <w:i/>
          <w:sz w:val="24"/>
        </w:rPr>
        <w:t>s of a technical university, including emphasizing the norms of speech culture in each of the classes, regardless of its topic; introduction of cultural and speech fragments into the structure of each lesson; timely correction in students' speech of errors</w:t>
      </w:r>
      <w:r>
        <w:rPr>
          <w:rFonts w:ascii="Times New Roman" w:eastAsia="Times New Roman" w:hAnsi="Times New Roman" w:cs="Times New Roman"/>
          <w:i/>
          <w:sz w:val="24"/>
        </w:rPr>
        <w:t xml:space="preserve"> related to the literary norms of the Russian language. It is concluded that tasks on the culture of speech should be included in the context of classes in the Russian language, be interesting and have a communicative orientation – a focus on organizing in</w:t>
      </w:r>
      <w:r>
        <w:rPr>
          <w:rFonts w:ascii="Times New Roman" w:eastAsia="Times New Roman" w:hAnsi="Times New Roman" w:cs="Times New Roman"/>
          <w:i/>
          <w:sz w:val="24"/>
        </w:rPr>
        <w:t xml:space="preserve">teraction in Russian. </w:t>
      </w:r>
    </w:p>
    <w:p w:rsidR="0052701D" w:rsidRDefault="00D40929">
      <w:pPr>
        <w:spacing w:after="29" w:line="248" w:lineRule="auto"/>
        <w:ind w:left="9" w:firstLine="567"/>
        <w:jc w:val="both"/>
      </w:pPr>
      <w:r>
        <w:rPr>
          <w:rFonts w:ascii="Times New Roman" w:eastAsia="Times New Roman" w:hAnsi="Times New Roman" w:cs="Times New Roman"/>
          <w:b/>
          <w:i/>
          <w:sz w:val="24"/>
        </w:rPr>
        <w:lastRenderedPageBreak/>
        <w:t>Keywords:</w:t>
      </w:r>
      <w:r>
        <w:rPr>
          <w:rFonts w:ascii="Times New Roman" w:eastAsia="Times New Roman" w:hAnsi="Times New Roman" w:cs="Times New Roman"/>
          <w:i/>
          <w:sz w:val="24"/>
        </w:rPr>
        <w:t xml:space="preserve"> russian language, culture of speech, literary norm, bilingual students, higher education, Kazakhstan. </w:t>
      </w:r>
    </w:p>
    <w:p w:rsidR="0052701D" w:rsidRDefault="00D40929">
      <w:pPr>
        <w:spacing w:after="35"/>
        <w:ind w:left="567"/>
      </w:pPr>
      <w:r>
        <w:rPr>
          <w:rFonts w:ascii="Times New Roman" w:eastAsia="Times New Roman" w:hAnsi="Times New Roman" w:cs="Times New Roman"/>
          <w:sz w:val="28"/>
        </w:rPr>
        <w:t xml:space="preserve"> </w:t>
      </w:r>
    </w:p>
    <w:p w:rsidR="0052701D" w:rsidRDefault="00D40929">
      <w:pPr>
        <w:spacing w:after="30" w:line="251" w:lineRule="auto"/>
        <w:ind w:left="567" w:firstLine="9"/>
      </w:pPr>
      <w:r>
        <w:rPr>
          <w:rFonts w:ascii="Times New Roman" w:eastAsia="Times New Roman" w:hAnsi="Times New Roman" w:cs="Times New Roman"/>
          <w:b/>
          <w:sz w:val="28"/>
        </w:rPr>
        <w:t xml:space="preserve">Введение </w:t>
      </w:r>
    </w:p>
    <w:p w:rsidR="0052701D" w:rsidRDefault="00D40929">
      <w:pPr>
        <w:spacing w:after="5" w:line="271" w:lineRule="auto"/>
        <w:ind w:left="9" w:right="64" w:firstLine="567"/>
        <w:jc w:val="both"/>
      </w:pPr>
      <w:r>
        <w:rPr>
          <w:rFonts w:ascii="Times New Roman" w:eastAsia="Times New Roman" w:hAnsi="Times New Roman" w:cs="Times New Roman"/>
          <w:sz w:val="28"/>
        </w:rPr>
        <w:t>Владение языком предполагает целый комплекс разнообразных умений и навыков, в числе которых не последнее мес</w:t>
      </w:r>
      <w:r>
        <w:rPr>
          <w:rFonts w:ascii="Times New Roman" w:eastAsia="Times New Roman" w:hAnsi="Times New Roman" w:cs="Times New Roman"/>
          <w:sz w:val="28"/>
        </w:rPr>
        <w:t>то занимает компетентность в области литературных норм русского языка, обеспечивающая культуру речи студентов. Культура речи представляет собой «владение литературным языком в его устной и письменной формах, при котором осуществляется выбор и организация я</w:t>
      </w:r>
      <w:r>
        <w:rPr>
          <w:rFonts w:ascii="Times New Roman" w:eastAsia="Times New Roman" w:hAnsi="Times New Roman" w:cs="Times New Roman"/>
          <w:sz w:val="28"/>
        </w:rPr>
        <w:t xml:space="preserve">зыковых средств, позволяющих в любой ситуации и при соблюдении этики общения обеспечить необходимый эффект в достижении поставленных задач коммуникации» [1, с. 7]. Для повышения у студентов уровня культуры речи, во-первых, необходимо вооружить их знаниями </w:t>
      </w:r>
      <w:r>
        <w:rPr>
          <w:rFonts w:ascii="Times New Roman" w:eastAsia="Times New Roman" w:hAnsi="Times New Roman" w:cs="Times New Roman"/>
          <w:sz w:val="28"/>
        </w:rPr>
        <w:t>о литературных нормах русского языка (орфоэпических, акцентологических, стилистических, морфологических, синтаксических), во-вторых, создать условия для формирования умений, навыков и компетенций на основе данных знаний. Эти две составляющие обучения можно</w:t>
      </w:r>
      <w:r>
        <w:rPr>
          <w:rFonts w:ascii="Times New Roman" w:eastAsia="Times New Roman" w:hAnsi="Times New Roman" w:cs="Times New Roman"/>
          <w:sz w:val="28"/>
        </w:rPr>
        <w:t xml:space="preserve"> назвать теоретической и практической.  </w:t>
      </w:r>
    </w:p>
    <w:p w:rsidR="0052701D" w:rsidRDefault="00D40929">
      <w:pPr>
        <w:spacing w:after="5" w:line="271" w:lineRule="auto"/>
        <w:ind w:left="9" w:right="64" w:firstLine="567"/>
        <w:jc w:val="both"/>
      </w:pPr>
      <w:r>
        <w:rPr>
          <w:rFonts w:ascii="Times New Roman" w:eastAsia="Times New Roman" w:hAnsi="Times New Roman" w:cs="Times New Roman"/>
          <w:sz w:val="28"/>
        </w:rPr>
        <w:t>Изучающие русский язык студенты-билингвы находятся в ситуации, когда в первую очередь речь идёт о формировании компетенции, состоящей во владении ими вторым языком как системой: освоении лексики, грамматики, диалоги</w:t>
      </w:r>
      <w:r>
        <w:rPr>
          <w:rFonts w:ascii="Times New Roman" w:eastAsia="Times New Roman" w:hAnsi="Times New Roman" w:cs="Times New Roman"/>
          <w:sz w:val="28"/>
        </w:rPr>
        <w:t>ческой речи, способов контакта с собеседником. При этом не все преподаватели находят возможным сразу же обращать внимание на культурноречевую составляющую обучения, откладывая овладение ею на потом. Мы считаем, что акцент на культуре речи должен быть посто</w:t>
      </w:r>
      <w:r>
        <w:rPr>
          <w:rFonts w:ascii="Times New Roman" w:eastAsia="Times New Roman" w:hAnsi="Times New Roman" w:cs="Times New Roman"/>
          <w:sz w:val="28"/>
        </w:rPr>
        <w:t xml:space="preserve">янным, что сделает формирование культурно-речевых навыков студентов-билингвов более вероятным. К сожалению, вопросы овладения студентами-билингвами культурой русской речи рассматриваются исследователями недостаточно активно. В лучшем случае констатируется </w:t>
      </w:r>
      <w:r>
        <w:rPr>
          <w:rFonts w:ascii="Times New Roman" w:eastAsia="Times New Roman" w:hAnsi="Times New Roman" w:cs="Times New Roman"/>
          <w:sz w:val="28"/>
        </w:rPr>
        <w:t xml:space="preserve">наличие таких проблем [2; 3; 4], но не прорабатываются способы их решения.  </w:t>
      </w:r>
    </w:p>
    <w:p w:rsidR="0052701D" w:rsidRDefault="00D40929">
      <w:pPr>
        <w:spacing w:after="5" w:line="271" w:lineRule="auto"/>
        <w:ind w:left="9" w:right="64" w:firstLine="567"/>
        <w:jc w:val="both"/>
      </w:pPr>
      <w:r>
        <w:rPr>
          <w:rFonts w:ascii="Times New Roman" w:eastAsia="Times New Roman" w:hAnsi="Times New Roman" w:cs="Times New Roman"/>
          <w:sz w:val="28"/>
        </w:rPr>
        <w:t xml:space="preserve">Цель статьи – рассмотреть методику повышения культуры речи студентовбилингвов, которая может быть применена на занятиях по русскому языку в техническом вузе Казахстана. </w:t>
      </w:r>
      <w:r>
        <w:rPr>
          <w:rFonts w:ascii="Times New Roman" w:eastAsia="Times New Roman" w:hAnsi="Times New Roman" w:cs="Times New Roman"/>
          <w:b/>
          <w:sz w:val="28"/>
        </w:rPr>
        <w:t>Основная ч</w:t>
      </w:r>
      <w:r>
        <w:rPr>
          <w:rFonts w:ascii="Times New Roman" w:eastAsia="Times New Roman" w:hAnsi="Times New Roman" w:cs="Times New Roman"/>
          <w:b/>
          <w:sz w:val="28"/>
        </w:rPr>
        <w:t xml:space="preserve">асть </w:t>
      </w:r>
    </w:p>
    <w:p w:rsidR="0052701D" w:rsidRDefault="00D40929">
      <w:pPr>
        <w:spacing w:after="5" w:line="271" w:lineRule="auto"/>
        <w:ind w:left="9" w:right="64" w:firstLine="567"/>
        <w:jc w:val="both"/>
      </w:pPr>
      <w:r>
        <w:rPr>
          <w:rFonts w:ascii="Times New Roman" w:eastAsia="Times New Roman" w:hAnsi="Times New Roman" w:cs="Times New Roman"/>
          <w:sz w:val="28"/>
        </w:rPr>
        <w:t>Несоблюдения литературной нормы, демонстрирующие невысокий уровень культуры речи, характерно для многих студентов, которые изучают русский язык как родной. Педагоги-практики отмечают, что затруднения у студентов вызывает нормативная постановка ударен</w:t>
      </w:r>
      <w:r>
        <w:rPr>
          <w:rFonts w:ascii="Times New Roman" w:eastAsia="Times New Roman" w:hAnsi="Times New Roman" w:cs="Times New Roman"/>
          <w:sz w:val="28"/>
        </w:rPr>
        <w:t>ия (краси́вее, звони́т), разграничение паронимов (подпись – роспись, одеть – надеть), род некоторых существительных (кофе, шампунь – мужской), склонение числительных (пятисот или пятиста) и другие нормы [5, с. 15-20]. Для студентов-билингвов, изучающих рус</w:t>
      </w:r>
      <w:r>
        <w:rPr>
          <w:rFonts w:ascii="Times New Roman" w:eastAsia="Times New Roman" w:hAnsi="Times New Roman" w:cs="Times New Roman"/>
          <w:sz w:val="28"/>
        </w:rPr>
        <w:t xml:space="preserve">ский язык как второй, овладение литературными нормами русского языка ещё более сложно. В то же время ошибки, которые они допускают в речи, в целом схожи с </w:t>
      </w:r>
      <w:r>
        <w:rPr>
          <w:rFonts w:ascii="Times New Roman" w:eastAsia="Times New Roman" w:hAnsi="Times New Roman" w:cs="Times New Roman"/>
          <w:sz w:val="28"/>
        </w:rPr>
        <w:lastRenderedPageBreak/>
        <w:t>теми, которые наблюдаются у русских студентов: «нарушение правильности словоупотребления – смешение п</w:t>
      </w:r>
      <w:r>
        <w:rPr>
          <w:rFonts w:ascii="Times New Roman" w:eastAsia="Times New Roman" w:hAnsi="Times New Roman" w:cs="Times New Roman"/>
          <w:sz w:val="28"/>
        </w:rPr>
        <w:t>аронимов, синонимов или близких по значению слов, разрушение фразеологизмов и устойчивых сочетаний, активизация стилистически сниженной лексики; нарушение грамматической правильности – отклонения от синтаксической нормы, связанные с построением словосочета</w:t>
      </w:r>
      <w:r>
        <w:rPr>
          <w:rFonts w:ascii="Times New Roman" w:eastAsia="Times New Roman" w:hAnsi="Times New Roman" w:cs="Times New Roman"/>
          <w:sz w:val="28"/>
        </w:rPr>
        <w:t>ния; активизация разговорно-просторечных грамматических форм» [2, с. 13]. Наш опыт показывает, что именно неправильные, ненормативные ударения, словоупотребления, грамматические формы осваиваются студентами наиболее быстро, стремительно проникают в их язык</w:t>
      </w:r>
      <w:r>
        <w:rPr>
          <w:rFonts w:ascii="Times New Roman" w:eastAsia="Times New Roman" w:hAnsi="Times New Roman" w:cs="Times New Roman"/>
          <w:sz w:val="28"/>
        </w:rPr>
        <w:t>овой багаж, становятся частью их активных языковых умений. Всё это делает работу по культуре речи очень актуальной и диктует необходимость проводить её не на отдельных занятиях, посвящённых разделу «Культура речи», а на занятиях по всем темам русского язык</w:t>
      </w:r>
      <w:r>
        <w:rPr>
          <w:rFonts w:ascii="Times New Roman" w:eastAsia="Times New Roman" w:hAnsi="Times New Roman" w:cs="Times New Roman"/>
          <w:sz w:val="28"/>
        </w:rPr>
        <w:t xml:space="preserve">а. </w:t>
      </w:r>
    </w:p>
    <w:p w:rsidR="0052701D" w:rsidRDefault="00D40929">
      <w:pPr>
        <w:spacing w:after="5" w:line="271" w:lineRule="auto"/>
        <w:ind w:left="9" w:right="64" w:firstLine="567"/>
        <w:jc w:val="both"/>
      </w:pPr>
      <w:r>
        <w:rPr>
          <w:rFonts w:ascii="Times New Roman" w:eastAsia="Times New Roman" w:hAnsi="Times New Roman" w:cs="Times New Roman"/>
          <w:sz w:val="28"/>
        </w:rPr>
        <w:t xml:space="preserve">При этом можно говорить об определённых методических приёмах, которые должны быть использованы для повышения культуры речи студентов. </w:t>
      </w:r>
    </w:p>
    <w:p w:rsidR="0052701D" w:rsidRDefault="00D40929">
      <w:pPr>
        <w:spacing w:after="5" w:line="271" w:lineRule="auto"/>
        <w:ind w:left="9" w:right="64" w:firstLine="567"/>
        <w:jc w:val="both"/>
      </w:pPr>
      <w:r>
        <w:rPr>
          <w:rFonts w:ascii="Times New Roman" w:eastAsia="Times New Roman" w:hAnsi="Times New Roman" w:cs="Times New Roman"/>
          <w:sz w:val="28"/>
        </w:rPr>
        <w:t>Во-первых, сведения по культуре речи необходимо подавать студентам в неразрывной связи со всем остальным материалом п</w:t>
      </w:r>
      <w:r>
        <w:rPr>
          <w:rFonts w:ascii="Times New Roman" w:eastAsia="Times New Roman" w:hAnsi="Times New Roman" w:cs="Times New Roman"/>
          <w:sz w:val="28"/>
        </w:rPr>
        <w:t>о русскому языку. Преподаватель должен хорошо владеть нормами русской культуры речи и органично вводить задания по той или иной норме в контекст каждого занятия. Так, рассматривая тему «Научная лексика», можно повторить нормативное использование слова обус</w:t>
      </w:r>
      <w:r>
        <w:rPr>
          <w:rFonts w:ascii="Times New Roman" w:eastAsia="Times New Roman" w:hAnsi="Times New Roman" w:cs="Times New Roman"/>
          <w:sz w:val="28"/>
        </w:rPr>
        <w:t>ловливать, а не обуславливать в научном тексте; рассматривая тему «Официально-деловой стиль», можно сконцентрировать внимание на значении и нормативном употреблении паронимов представить и предоставить, на нормативном использовании в деловых документах пре</w:t>
      </w:r>
      <w:r>
        <w:rPr>
          <w:rFonts w:ascii="Times New Roman" w:eastAsia="Times New Roman" w:hAnsi="Times New Roman" w:cs="Times New Roman"/>
          <w:sz w:val="28"/>
        </w:rPr>
        <w:t xml:space="preserve">длогов (согласно решению, а не согласно решения) и т. п. Внимание к русскому языку позволит для каждого занятия подобрать литературную норму, обращение к которой будет естественным, вписанным в канву темы, органичным.  </w:t>
      </w:r>
    </w:p>
    <w:p w:rsidR="0052701D" w:rsidRDefault="00D40929">
      <w:pPr>
        <w:spacing w:after="5" w:line="271" w:lineRule="auto"/>
        <w:ind w:left="9" w:right="64" w:firstLine="567"/>
        <w:jc w:val="both"/>
      </w:pPr>
      <w:r>
        <w:rPr>
          <w:rFonts w:ascii="Times New Roman" w:eastAsia="Times New Roman" w:hAnsi="Times New Roman" w:cs="Times New Roman"/>
          <w:sz w:val="28"/>
        </w:rPr>
        <w:t>На практических занятиях должны испо</w:t>
      </w:r>
      <w:r>
        <w:rPr>
          <w:rFonts w:ascii="Times New Roman" w:eastAsia="Times New Roman" w:hAnsi="Times New Roman" w:cs="Times New Roman"/>
          <w:sz w:val="28"/>
        </w:rPr>
        <w:t>льзоваться специальные упражнения, которые направлены одновременно на закрепление темы данного занятия и на повышение уровня культуры речи. Так, при изучении темы «Род имени существительного» надо не только повторить сведения о наличии в русском языке трёх</w:t>
      </w:r>
      <w:r>
        <w:rPr>
          <w:rFonts w:ascii="Times New Roman" w:eastAsia="Times New Roman" w:hAnsi="Times New Roman" w:cs="Times New Roman"/>
          <w:sz w:val="28"/>
        </w:rPr>
        <w:t xml:space="preserve"> родов (мужского, женского и среднего), а также дополнительного общего рода, но и акцентировать внимание на возможности использования слов мужского рода для наименования женщин (врач, лаборант, лётчик) и сложностях использования существительных общего рода</w:t>
      </w:r>
      <w:r>
        <w:rPr>
          <w:rFonts w:ascii="Times New Roman" w:eastAsia="Times New Roman" w:hAnsi="Times New Roman" w:cs="Times New Roman"/>
          <w:sz w:val="28"/>
        </w:rPr>
        <w:t xml:space="preserve">, называющих, в зависимости от ситуации, лиц мужского и женского пола. Для этого студентам можно предложить следующее упражнение: </w:t>
      </w:r>
    </w:p>
    <w:p w:rsidR="0052701D" w:rsidRDefault="00D40929">
      <w:pPr>
        <w:spacing w:after="5" w:line="271" w:lineRule="auto"/>
        <w:ind w:left="9" w:right="64" w:firstLine="567"/>
        <w:jc w:val="both"/>
      </w:pPr>
      <w:r>
        <w:rPr>
          <w:rFonts w:ascii="Times New Roman" w:eastAsia="Times New Roman" w:hAnsi="Times New Roman" w:cs="Times New Roman"/>
          <w:sz w:val="28"/>
        </w:rPr>
        <w:lastRenderedPageBreak/>
        <w:t xml:space="preserve">Распределите существительные на две группы: относящиеся к мужскому роду и относящиеся к общему роду. Как с их помощью можно </w:t>
      </w:r>
      <w:r>
        <w:rPr>
          <w:rFonts w:ascii="Times New Roman" w:eastAsia="Times New Roman" w:hAnsi="Times New Roman" w:cs="Times New Roman"/>
          <w:sz w:val="28"/>
        </w:rPr>
        <w:t xml:space="preserve">назвать женщину (девочку, девушку)? Подберите определения.  </w:t>
      </w:r>
    </w:p>
    <w:p w:rsidR="0052701D" w:rsidRDefault="00D40929">
      <w:pPr>
        <w:spacing w:after="5" w:line="271" w:lineRule="auto"/>
        <w:ind w:left="9" w:right="64" w:firstLine="567"/>
        <w:jc w:val="both"/>
      </w:pPr>
      <w:r>
        <w:rPr>
          <w:rFonts w:ascii="Times New Roman" w:eastAsia="Times New Roman" w:hAnsi="Times New Roman" w:cs="Times New Roman"/>
          <w:sz w:val="28"/>
        </w:rPr>
        <w:t>Неряха, коллега, секретарь, зануда, инспектор, директор, судья, одиночка, староста, профессор, умница, тихоня, воротила, подмастерье, мастер, сладкоежка, инженер, вышибала, педагог, малютка, прод</w:t>
      </w:r>
      <w:r>
        <w:rPr>
          <w:rFonts w:ascii="Times New Roman" w:eastAsia="Times New Roman" w:hAnsi="Times New Roman" w:cs="Times New Roman"/>
          <w:sz w:val="28"/>
        </w:rPr>
        <w:t xml:space="preserve">авец, доктор, невидимка [1, с. 92-93]. </w:t>
      </w:r>
    </w:p>
    <w:p w:rsidR="0052701D" w:rsidRDefault="00D40929">
      <w:pPr>
        <w:spacing w:after="5" w:line="271" w:lineRule="auto"/>
        <w:ind w:left="9" w:right="64" w:firstLine="567"/>
        <w:jc w:val="both"/>
      </w:pPr>
      <w:r>
        <w:rPr>
          <w:rFonts w:ascii="Times New Roman" w:eastAsia="Times New Roman" w:hAnsi="Times New Roman" w:cs="Times New Roman"/>
          <w:sz w:val="28"/>
        </w:rPr>
        <w:t>Во-вторых, ряд культурно-речевых моментов продуктивно включить в каждое занятие по русскому языку для билингвов как структурный элемент. Наиболее просто это сделать с ударением. Каждое занятие можно начать со знакомс</w:t>
      </w:r>
      <w:r>
        <w:rPr>
          <w:rFonts w:ascii="Times New Roman" w:eastAsia="Times New Roman" w:hAnsi="Times New Roman" w:cs="Times New Roman"/>
          <w:sz w:val="28"/>
        </w:rPr>
        <w:t>тва студентов с двумя-тремя словами, обладающими проблемным с точки зрения культуры речи ударением. Это могут быть слова: догово́р, звони́т, мышле́ние, вероиспове́дание, катало́г и др. Если два-три таких слова написаны на доске, к ним обратились в начале з</w:t>
      </w:r>
      <w:r>
        <w:rPr>
          <w:rFonts w:ascii="Times New Roman" w:eastAsia="Times New Roman" w:hAnsi="Times New Roman" w:cs="Times New Roman"/>
          <w:sz w:val="28"/>
        </w:rPr>
        <w:t>анятия (прочитав их, составив с ними словосочетания и предложения), в середине занятия (по возможности) и в конце (обязательно), то они, несомненно, войдут в словарный запас студентовбилингвов с правильным ударением. М.Д. Ваджибов называет подобные фрагмен</w:t>
      </w:r>
      <w:r>
        <w:rPr>
          <w:rFonts w:ascii="Times New Roman" w:eastAsia="Times New Roman" w:hAnsi="Times New Roman" w:cs="Times New Roman"/>
          <w:sz w:val="28"/>
        </w:rPr>
        <w:t xml:space="preserve">ты занятий «акцентологическими пятиминутками» [6, с. 110]. Студенты постепенно привыкают к данному структурному элементу занятия и без напоминания методически верно работают с входящими в него именно на данном занятии словами.  </w:t>
      </w:r>
    </w:p>
    <w:p w:rsidR="0052701D" w:rsidRDefault="00D40929">
      <w:pPr>
        <w:spacing w:after="5" w:line="271" w:lineRule="auto"/>
        <w:ind w:left="9" w:right="64" w:firstLine="567"/>
        <w:jc w:val="both"/>
      </w:pPr>
      <w:r>
        <w:rPr>
          <w:rFonts w:ascii="Times New Roman" w:eastAsia="Times New Roman" w:hAnsi="Times New Roman" w:cs="Times New Roman"/>
          <w:sz w:val="28"/>
        </w:rPr>
        <w:t xml:space="preserve">В-третьих, нельзя забывать </w:t>
      </w:r>
      <w:r>
        <w:rPr>
          <w:rFonts w:ascii="Times New Roman" w:eastAsia="Times New Roman" w:hAnsi="Times New Roman" w:cs="Times New Roman"/>
          <w:sz w:val="28"/>
        </w:rPr>
        <w:t xml:space="preserve">об исправлении культурно-речевых ошибок в устной и письменной речи студентов на каждом занятии. В обучении студентовбилингвов русскому языку определяющей компетенцией является коммуникативная, поэтому студенты постоянно побуждаются к устному и письменному </w:t>
      </w:r>
      <w:r>
        <w:rPr>
          <w:rFonts w:ascii="Times New Roman" w:eastAsia="Times New Roman" w:hAnsi="Times New Roman" w:cs="Times New Roman"/>
          <w:sz w:val="28"/>
        </w:rPr>
        <w:t>общению в парадигмах «студент – студент», «студент – преподаватель». В ходе такой коммуникации студенты допускают в речи ошибки, указывающие на имеющиеся у них пробелы в овладении литературными нормами. Вопрос об исправлении этих ошибок различные преподава</w:t>
      </w:r>
      <w:r>
        <w:rPr>
          <w:rFonts w:ascii="Times New Roman" w:eastAsia="Times New Roman" w:hAnsi="Times New Roman" w:cs="Times New Roman"/>
          <w:sz w:val="28"/>
        </w:rPr>
        <w:t>тели решают для себя по-разному. Одни считают, что исправлять нет необходимости, поскольку в этот момент отрабатывается другая тема, а не правило по культуре речи. Другие предпочитают исправить как можно быстрее. Полагаем, что и в том, и в другим случае пе</w:t>
      </w:r>
      <w:r>
        <w:rPr>
          <w:rFonts w:ascii="Times New Roman" w:eastAsia="Times New Roman" w:hAnsi="Times New Roman" w:cs="Times New Roman"/>
          <w:sz w:val="28"/>
        </w:rPr>
        <w:t>дагог ошибается. Исправление речи студентов, конечно, обязательно, но делать это именно в момент речи непродуктивно. Можно сбить студента с мысли, разрушить коммуникативную ситуацию. Исправление, по нашему мнению, должно произойти быстро, но не моментально</w:t>
      </w:r>
      <w:r>
        <w:rPr>
          <w:rFonts w:ascii="Times New Roman" w:eastAsia="Times New Roman" w:hAnsi="Times New Roman" w:cs="Times New Roman"/>
          <w:sz w:val="28"/>
        </w:rPr>
        <w:t xml:space="preserve">. Оптимально будет сделать это по окончании общения в данной коммуникативной ситуации, для чего преподаватель должен запомнить (записать) допущенные студентами ошибки, а затем, в ходе анализа выполнения </w:t>
      </w:r>
      <w:r>
        <w:rPr>
          <w:rFonts w:ascii="Times New Roman" w:eastAsia="Times New Roman" w:hAnsi="Times New Roman" w:cs="Times New Roman"/>
          <w:sz w:val="28"/>
        </w:rPr>
        <w:lastRenderedPageBreak/>
        <w:t>коммуникативного упражнения, вернуться к ним, исправи</w:t>
      </w:r>
      <w:r>
        <w:rPr>
          <w:rFonts w:ascii="Times New Roman" w:eastAsia="Times New Roman" w:hAnsi="Times New Roman" w:cs="Times New Roman"/>
          <w:sz w:val="28"/>
        </w:rPr>
        <w:t xml:space="preserve">ть, привести (напомнить) правило. </w:t>
      </w:r>
    </w:p>
    <w:p w:rsidR="0052701D" w:rsidRDefault="00D40929">
      <w:pPr>
        <w:spacing w:after="5" w:line="271" w:lineRule="auto"/>
        <w:ind w:left="9" w:right="64" w:firstLine="567"/>
        <w:jc w:val="both"/>
      </w:pPr>
      <w:r>
        <w:rPr>
          <w:rFonts w:ascii="Times New Roman" w:eastAsia="Times New Roman" w:hAnsi="Times New Roman" w:cs="Times New Roman"/>
          <w:sz w:val="28"/>
        </w:rPr>
        <w:t>Кроме того, на занятиях могут использоваться такие методические приёмы, как наблюдение за речью окружающих (например, можно посмотреть видеофрагмент из YouTube и дать задание: «Найдите ошибки в речи говорящих, исправьте и</w:t>
      </w:r>
      <w:r>
        <w:rPr>
          <w:rFonts w:ascii="Times New Roman" w:eastAsia="Times New Roman" w:hAnsi="Times New Roman" w:cs="Times New Roman"/>
          <w:sz w:val="28"/>
        </w:rPr>
        <w:t>х»), составление собственного словарика акцентологических, лексических и грамматических трудностей с его последующим пополнением и коррекцией и др. Знания по культуре речи должны вводиться в коммуникативную практику студентов, отрабатываться в мини-диалога</w:t>
      </w:r>
      <w:r>
        <w:rPr>
          <w:rFonts w:ascii="Times New Roman" w:eastAsia="Times New Roman" w:hAnsi="Times New Roman" w:cs="Times New Roman"/>
          <w:sz w:val="28"/>
        </w:rPr>
        <w:t xml:space="preserve">х, непосредственном общении.  </w:t>
      </w:r>
    </w:p>
    <w:p w:rsidR="0052701D" w:rsidRDefault="00D40929">
      <w:pPr>
        <w:spacing w:after="5" w:line="271" w:lineRule="auto"/>
        <w:ind w:left="9" w:right="64" w:firstLine="567"/>
        <w:jc w:val="both"/>
      </w:pPr>
      <w:r>
        <w:rPr>
          <w:rFonts w:ascii="Times New Roman" w:eastAsia="Times New Roman" w:hAnsi="Times New Roman" w:cs="Times New Roman"/>
          <w:sz w:val="28"/>
        </w:rPr>
        <w:t>Нельзя не затронуть также вопроса о культурно-речевой подготовке педагогов, осуществляющих преподавание русского языка как второго. Преподаватель не должен забывать, что именно культура его речи – образец для студентов и одно</w:t>
      </w:r>
      <w:r>
        <w:rPr>
          <w:rFonts w:ascii="Times New Roman" w:eastAsia="Times New Roman" w:hAnsi="Times New Roman" w:cs="Times New Roman"/>
          <w:sz w:val="28"/>
        </w:rPr>
        <w:t xml:space="preserve">временно – гарантия того, что ему удастся правильно организовать работу по повышению культуры речи студентов на занятиях. Преподаватель должен постоянно заниматься самообразованием, например, с помощью изучения специальных пособий [1], а также посредством </w:t>
      </w:r>
      <w:r>
        <w:rPr>
          <w:rFonts w:ascii="Times New Roman" w:eastAsia="Times New Roman" w:hAnsi="Times New Roman" w:cs="Times New Roman"/>
          <w:sz w:val="28"/>
        </w:rPr>
        <w:t xml:space="preserve">постоянного улучшения качества собственной речи.  </w:t>
      </w:r>
    </w:p>
    <w:p w:rsidR="0052701D" w:rsidRDefault="00D40929">
      <w:pPr>
        <w:spacing w:after="30" w:line="251" w:lineRule="auto"/>
        <w:ind w:left="567" w:firstLine="9"/>
      </w:pPr>
      <w:r>
        <w:rPr>
          <w:rFonts w:ascii="Times New Roman" w:eastAsia="Times New Roman" w:hAnsi="Times New Roman" w:cs="Times New Roman"/>
          <w:b/>
          <w:sz w:val="28"/>
        </w:rPr>
        <w:t xml:space="preserve">Выводы </w:t>
      </w:r>
    </w:p>
    <w:p w:rsidR="0052701D" w:rsidRDefault="00D40929">
      <w:pPr>
        <w:spacing w:after="5" w:line="271" w:lineRule="auto"/>
        <w:ind w:left="9" w:right="64" w:firstLine="567"/>
        <w:jc w:val="both"/>
      </w:pPr>
      <w:r>
        <w:rPr>
          <w:rFonts w:ascii="Times New Roman" w:eastAsia="Times New Roman" w:hAnsi="Times New Roman" w:cs="Times New Roman"/>
          <w:sz w:val="28"/>
        </w:rPr>
        <w:t xml:space="preserve">Повышение культуры русской речи студентов-билингвов необходимо для создания в их речи образа правильного русского языка, для обеспечения условий вхождения их в ситуацию общения как полноценных </w:t>
      </w:r>
      <w:r>
        <w:rPr>
          <w:rFonts w:ascii="Times New Roman" w:eastAsia="Times New Roman" w:hAnsi="Times New Roman" w:cs="Times New Roman"/>
          <w:sz w:val="28"/>
        </w:rPr>
        <w:t>коммуникантов. Студентыбилингвы должны понимать, что культурно-речевые знания и умения не менее важны, чем лексические, фонетические, грамматические. Именно благодаря этой составляющей речи студенты начинают говорить и писать не просто по-русски, а грамотн</w:t>
      </w:r>
      <w:r>
        <w:rPr>
          <w:rFonts w:ascii="Times New Roman" w:eastAsia="Times New Roman" w:hAnsi="Times New Roman" w:cs="Times New Roman"/>
          <w:sz w:val="28"/>
        </w:rPr>
        <w:t>о по-русски, что делает их компетентными специалистами и интеллигентными людьми. Преподаватель русского языка как второго должен понимать, что овладение культурой речи, освоение литературных норм русского языка должны осуществляться не как отдельная тема (</w:t>
      </w:r>
      <w:r>
        <w:rPr>
          <w:rFonts w:ascii="Times New Roman" w:eastAsia="Times New Roman" w:hAnsi="Times New Roman" w:cs="Times New Roman"/>
          <w:sz w:val="28"/>
        </w:rPr>
        <w:t xml:space="preserve">раздел) учебного курса, а на каждом занятии, в тесной связи с его темой и содержанием, как неотъемлемый элемент его структуры.  </w:t>
      </w:r>
    </w:p>
    <w:p w:rsidR="0052701D" w:rsidRDefault="00D40929">
      <w:pPr>
        <w:spacing w:after="71"/>
        <w:ind w:left="567"/>
      </w:pPr>
      <w:r>
        <w:rPr>
          <w:rFonts w:ascii="Times New Roman" w:eastAsia="Times New Roman" w:hAnsi="Times New Roman" w:cs="Times New Roman"/>
          <w:sz w:val="20"/>
        </w:rPr>
        <w:t xml:space="preserve"> </w:t>
      </w:r>
    </w:p>
    <w:p w:rsidR="0052701D" w:rsidRDefault="00D40929">
      <w:pPr>
        <w:spacing w:after="66" w:line="248" w:lineRule="auto"/>
        <w:ind w:left="819" w:right="323" w:hanging="10"/>
        <w:jc w:val="center"/>
      </w:pPr>
      <w:r>
        <w:rPr>
          <w:rFonts w:ascii="Times New Roman" w:eastAsia="Times New Roman" w:hAnsi="Times New Roman" w:cs="Times New Roman"/>
          <w:b/>
          <w:sz w:val="24"/>
        </w:rPr>
        <w:t xml:space="preserve">ИСТОЧНИКИ </w:t>
      </w:r>
    </w:p>
    <w:p w:rsidR="0052701D" w:rsidRDefault="00D40929">
      <w:pPr>
        <w:numPr>
          <w:ilvl w:val="0"/>
          <w:numId w:val="112"/>
        </w:numPr>
        <w:spacing w:after="5" w:line="271" w:lineRule="auto"/>
        <w:ind w:right="64" w:firstLine="567"/>
        <w:jc w:val="both"/>
      </w:pPr>
      <w:r>
        <w:rPr>
          <w:rFonts w:ascii="Times New Roman" w:eastAsia="Times New Roman" w:hAnsi="Times New Roman" w:cs="Times New Roman"/>
          <w:sz w:val="28"/>
        </w:rPr>
        <w:t xml:space="preserve">Саньярова Н.С., Крылова М.Н. Русский язык и культура речи: практикум. М.: ФЛИНТА, 2020. 310 с. </w:t>
      </w:r>
    </w:p>
    <w:p w:rsidR="0052701D" w:rsidRDefault="00D40929">
      <w:pPr>
        <w:numPr>
          <w:ilvl w:val="0"/>
          <w:numId w:val="112"/>
        </w:numPr>
        <w:spacing w:after="5" w:line="271" w:lineRule="auto"/>
        <w:ind w:right="64" w:firstLine="567"/>
        <w:jc w:val="both"/>
      </w:pPr>
      <w:r>
        <w:rPr>
          <w:rFonts w:ascii="Times New Roman" w:eastAsia="Times New Roman" w:hAnsi="Times New Roman" w:cs="Times New Roman"/>
          <w:sz w:val="28"/>
        </w:rPr>
        <w:lastRenderedPageBreak/>
        <w:t>Авина Н.Ю. «В каку</w:t>
      </w:r>
      <w:r>
        <w:rPr>
          <w:rFonts w:ascii="Times New Roman" w:eastAsia="Times New Roman" w:hAnsi="Times New Roman" w:cs="Times New Roman"/>
          <w:sz w:val="28"/>
        </w:rPr>
        <w:t xml:space="preserve">ю сторону думать?»: о культуре русской речи студентов-билингвов в ситуации языкового контактирования // Труды института русского языка им. В.В. Виноградова. – 2017. – № 13. – С. 13-21. </w:t>
      </w:r>
    </w:p>
    <w:p w:rsidR="0052701D" w:rsidRDefault="00D40929">
      <w:pPr>
        <w:numPr>
          <w:ilvl w:val="0"/>
          <w:numId w:val="112"/>
        </w:numPr>
        <w:spacing w:after="5" w:line="271" w:lineRule="auto"/>
        <w:ind w:right="64" w:firstLine="567"/>
        <w:jc w:val="both"/>
      </w:pPr>
      <w:r>
        <w:rPr>
          <w:rFonts w:ascii="Times New Roman" w:eastAsia="Times New Roman" w:hAnsi="Times New Roman" w:cs="Times New Roman"/>
          <w:sz w:val="28"/>
        </w:rPr>
        <w:t xml:space="preserve">Махмутова А.С., Хисамова Г.Г. Региональный компонент вузовского курса </w:t>
      </w:r>
      <w:r>
        <w:rPr>
          <w:rFonts w:ascii="Times New Roman" w:eastAsia="Times New Roman" w:hAnsi="Times New Roman" w:cs="Times New Roman"/>
          <w:sz w:val="28"/>
        </w:rPr>
        <w:t xml:space="preserve">«Русский язык и культура речи» на национальном отделении // Российский гуманитарный журнал. – 2015. – Т. 4. – № 2. – С. 152-159. </w:t>
      </w:r>
    </w:p>
    <w:p w:rsidR="0052701D" w:rsidRDefault="00D40929">
      <w:pPr>
        <w:numPr>
          <w:ilvl w:val="0"/>
          <w:numId w:val="112"/>
        </w:numPr>
        <w:spacing w:after="5" w:line="271" w:lineRule="auto"/>
        <w:ind w:right="64" w:firstLine="567"/>
        <w:jc w:val="both"/>
      </w:pPr>
      <w:r>
        <w:rPr>
          <w:rFonts w:ascii="Times New Roman" w:eastAsia="Times New Roman" w:hAnsi="Times New Roman" w:cs="Times New Roman"/>
          <w:sz w:val="28"/>
        </w:rPr>
        <w:t>Узденова З.К. Влияние форм общения на формирование языковой личности студента-билингва // Современные проблемы науки и образов</w:t>
      </w:r>
      <w:r>
        <w:rPr>
          <w:rFonts w:ascii="Times New Roman" w:eastAsia="Times New Roman" w:hAnsi="Times New Roman" w:cs="Times New Roman"/>
          <w:sz w:val="28"/>
        </w:rPr>
        <w:t xml:space="preserve">ания. – 2015. – № 1-1. – С. 12-26. </w:t>
      </w:r>
    </w:p>
    <w:p w:rsidR="0052701D" w:rsidRDefault="00D40929">
      <w:pPr>
        <w:numPr>
          <w:ilvl w:val="0"/>
          <w:numId w:val="112"/>
        </w:numPr>
        <w:spacing w:after="5" w:line="271" w:lineRule="auto"/>
        <w:ind w:right="64" w:firstLine="567"/>
        <w:jc w:val="both"/>
      </w:pPr>
      <w:r>
        <w:rPr>
          <w:rFonts w:ascii="Times New Roman" w:eastAsia="Times New Roman" w:hAnsi="Times New Roman" w:cs="Times New Roman"/>
          <w:sz w:val="28"/>
        </w:rPr>
        <w:t xml:space="preserve">Крылова М.Н. Публичная и научная речь: учебное пособие. – Зерноград: АЧИИ, 2022. – 114 с. </w:t>
      </w:r>
    </w:p>
    <w:p w:rsidR="0052701D" w:rsidRDefault="00D40929">
      <w:pPr>
        <w:numPr>
          <w:ilvl w:val="0"/>
          <w:numId w:val="112"/>
        </w:numPr>
        <w:spacing w:after="5" w:line="271" w:lineRule="auto"/>
        <w:ind w:right="64" w:firstLine="567"/>
        <w:jc w:val="both"/>
      </w:pPr>
      <w:r>
        <w:rPr>
          <w:rFonts w:ascii="Times New Roman" w:eastAsia="Times New Roman" w:hAnsi="Times New Roman" w:cs="Times New Roman"/>
          <w:sz w:val="28"/>
        </w:rPr>
        <w:t>Ваджибов М.Д. Акцентологическая грамотность как составляющая риторической грамотности студентов в условиях дагестанского полиязыч</w:t>
      </w:r>
      <w:r>
        <w:rPr>
          <w:rFonts w:ascii="Times New Roman" w:eastAsia="Times New Roman" w:hAnsi="Times New Roman" w:cs="Times New Roman"/>
          <w:sz w:val="28"/>
        </w:rPr>
        <w:t xml:space="preserve">ия // Современный ученый. – 2017. – № 8. – С. 110-116. </w:t>
      </w:r>
    </w:p>
    <w:p w:rsidR="0052701D" w:rsidRDefault="00D40929">
      <w:pPr>
        <w:numPr>
          <w:ilvl w:val="0"/>
          <w:numId w:val="112"/>
        </w:numPr>
        <w:spacing w:after="5" w:line="271" w:lineRule="auto"/>
        <w:ind w:right="64" w:firstLine="567"/>
        <w:jc w:val="both"/>
      </w:pPr>
      <w:r>
        <w:rPr>
          <w:rFonts w:ascii="Times New Roman" w:eastAsia="Times New Roman" w:hAnsi="Times New Roman" w:cs="Times New Roman"/>
          <w:sz w:val="28"/>
        </w:rPr>
        <w:t>Alzakkar A. Estimation of load angle of synchronous turbo-generator model TGH-32 / A. Alzakkar, N. Mestnikov, Yu. Samofalov // Вестник Казанского государственного энергетического университета. 2022. V</w:t>
      </w:r>
      <w:r>
        <w:rPr>
          <w:rFonts w:ascii="Times New Roman" w:eastAsia="Times New Roman" w:hAnsi="Times New Roman" w:cs="Times New Roman"/>
          <w:sz w:val="28"/>
        </w:rPr>
        <w:t>ol. 14. №2(54). P. 40-47.</w:t>
      </w:r>
      <w:r>
        <w:rPr>
          <w:rFonts w:ascii="Times New Roman" w:eastAsia="Times New Roman" w:hAnsi="Times New Roman" w:cs="Times New Roman"/>
          <w:sz w:val="20"/>
        </w:rPr>
        <w:t xml:space="preserve"> </w:t>
      </w:r>
    </w:p>
    <w:p w:rsidR="0052701D" w:rsidRDefault="00D40929">
      <w:pPr>
        <w:spacing w:after="0"/>
        <w:ind w:left="711"/>
      </w:pPr>
      <w:r>
        <w:rPr>
          <w:rFonts w:ascii="Times New Roman" w:eastAsia="Times New Roman" w:hAnsi="Times New Roman" w:cs="Times New Roman"/>
          <w:sz w:val="20"/>
        </w:rPr>
        <w:t xml:space="preserve"> </w:t>
      </w:r>
    </w:p>
    <w:p w:rsidR="0052701D" w:rsidRDefault="00D40929">
      <w:pPr>
        <w:spacing w:after="233" w:line="271" w:lineRule="auto"/>
        <w:ind w:left="-5" w:right="194" w:hanging="10"/>
      </w:pPr>
      <w:r>
        <w:rPr>
          <w:rFonts w:ascii="Times New Roman" w:eastAsia="Times New Roman" w:hAnsi="Times New Roman" w:cs="Times New Roman"/>
          <w:b/>
          <w:sz w:val="24"/>
        </w:rPr>
        <w:t xml:space="preserve">МРНТИ 03.20.00 </w:t>
      </w:r>
    </w:p>
    <w:p w:rsidR="0052701D" w:rsidRDefault="00D40929">
      <w:pPr>
        <w:spacing w:after="295" w:line="271" w:lineRule="auto"/>
        <w:ind w:left="-5" w:right="194" w:hanging="10"/>
      </w:pPr>
      <w:r>
        <w:rPr>
          <w:rFonts w:ascii="Times New Roman" w:eastAsia="Times New Roman" w:hAnsi="Times New Roman" w:cs="Times New Roman"/>
          <w:b/>
          <w:sz w:val="24"/>
        </w:rPr>
        <w:t xml:space="preserve">УДК 930 </w:t>
      </w:r>
    </w:p>
    <w:p w:rsidR="0052701D" w:rsidRDefault="00D40929">
      <w:pPr>
        <w:pStyle w:val="1"/>
        <w:ind w:left="989" w:right="0" w:firstLine="9"/>
        <w:jc w:val="left"/>
      </w:pPr>
      <w:r>
        <w:t xml:space="preserve">ПОЛИТИЧЕСКИЕ КАМПАНИИ В ПЕРИОД 20-30-Х ГОДОВ ХХ </w:t>
      </w:r>
    </w:p>
    <w:p w:rsidR="0052701D" w:rsidRDefault="00D40929">
      <w:pPr>
        <w:spacing w:after="5" w:line="271" w:lineRule="auto"/>
        <w:ind w:left="989" w:firstLine="9"/>
      </w:pPr>
      <w:r>
        <w:rPr>
          <w:rFonts w:ascii="Times New Roman" w:eastAsia="Times New Roman" w:hAnsi="Times New Roman" w:cs="Times New Roman"/>
          <w:b/>
          <w:sz w:val="28"/>
        </w:rPr>
        <w:t xml:space="preserve">ВЕКА </w:t>
      </w:r>
    </w:p>
    <w:p w:rsidR="0052701D" w:rsidRDefault="00D40929">
      <w:pPr>
        <w:spacing w:after="27"/>
        <w:ind w:left="696"/>
        <w:jc w:val="center"/>
      </w:pPr>
      <w:r>
        <w:rPr>
          <w:rFonts w:ascii="Times New Roman" w:eastAsia="Times New Roman" w:hAnsi="Times New Roman" w:cs="Times New Roman"/>
          <w:sz w:val="24"/>
        </w:rPr>
        <w:t xml:space="preserve"> </w:t>
      </w:r>
    </w:p>
    <w:p w:rsidR="0052701D" w:rsidRDefault="00D40929">
      <w:pPr>
        <w:pStyle w:val="1"/>
        <w:spacing w:after="16" w:line="248" w:lineRule="auto"/>
        <w:ind w:left="819" w:right="176"/>
      </w:pPr>
      <w:r>
        <w:rPr>
          <w:sz w:val="24"/>
        </w:rPr>
        <w:t xml:space="preserve">Рыскильдинова Д.Б., </w:t>
      </w:r>
    </w:p>
    <w:p w:rsidR="0052701D" w:rsidRDefault="00D40929">
      <w:pPr>
        <w:spacing w:after="14" w:line="248" w:lineRule="auto"/>
        <w:ind w:left="1482" w:right="781" w:hanging="5"/>
        <w:jc w:val="center"/>
      </w:pPr>
      <w:r>
        <w:rPr>
          <w:rFonts w:ascii="Times New Roman" w:eastAsia="Times New Roman" w:hAnsi="Times New Roman" w:cs="Times New Roman"/>
          <w:sz w:val="24"/>
        </w:rPr>
        <w:t xml:space="preserve">АУЭС им.Гумарбека Даукеева, г.Алматы, Республика Казахстан, e-mail: </w:t>
      </w:r>
      <w:r>
        <w:rPr>
          <w:rFonts w:ascii="Times New Roman" w:eastAsia="Times New Roman" w:hAnsi="Times New Roman" w:cs="Times New Roman"/>
          <w:color w:val="0000FF"/>
          <w:sz w:val="24"/>
          <w:u w:val="single" w:color="0000FF"/>
        </w:rPr>
        <w:t>d.ryskildinova@aues.kz</w:t>
      </w:r>
      <w:r>
        <w:rPr>
          <w:rFonts w:ascii="Times New Roman" w:eastAsia="Times New Roman" w:hAnsi="Times New Roman" w:cs="Times New Roman"/>
          <w:color w:val="0000FF"/>
          <w:sz w:val="24"/>
        </w:rPr>
        <w:t xml:space="preserve"> </w:t>
      </w:r>
    </w:p>
    <w:p w:rsidR="0052701D" w:rsidRDefault="00D40929">
      <w:pPr>
        <w:spacing w:after="15"/>
        <w:ind w:left="696"/>
        <w:jc w:val="center"/>
      </w:pPr>
      <w:r>
        <w:rPr>
          <w:rFonts w:ascii="Times New Roman" w:eastAsia="Times New Roman" w:hAnsi="Times New Roman" w:cs="Times New Roman"/>
          <w:sz w:val="24"/>
        </w:rPr>
        <w:t xml:space="preserve"> </w:t>
      </w:r>
    </w:p>
    <w:p w:rsidR="0052701D" w:rsidRDefault="00D40929">
      <w:pPr>
        <w:spacing w:after="29" w:line="248" w:lineRule="auto"/>
        <w:ind w:left="9" w:firstLine="711"/>
        <w:jc w:val="both"/>
      </w:pPr>
      <w:r>
        <w:rPr>
          <w:rFonts w:ascii="Times New Roman" w:eastAsia="Times New Roman" w:hAnsi="Times New Roman" w:cs="Times New Roman"/>
          <w:b/>
          <w:i/>
          <w:sz w:val="24"/>
        </w:rPr>
        <w:t>Аннотация.</w:t>
      </w:r>
      <w:r>
        <w:rPr>
          <w:rFonts w:ascii="Times New Roman" w:eastAsia="Times New Roman" w:hAnsi="Times New Roman" w:cs="Times New Roman"/>
          <w:i/>
          <w:sz w:val="24"/>
        </w:rPr>
        <w:t xml:space="preserve"> В статье </w:t>
      </w:r>
      <w:r>
        <w:rPr>
          <w:rFonts w:ascii="Times New Roman" w:eastAsia="Times New Roman" w:hAnsi="Times New Roman" w:cs="Times New Roman"/>
          <w:i/>
          <w:sz w:val="24"/>
        </w:rPr>
        <w:t>исследуется основная масса репрессированных в  период 20-30х годов ХХ века, которая не только не совершала никаких уголовно наказуемых действий, но и не обнаруживала своего негативного отношения к власти. Они попадали под каток политических репрессий из-за</w:t>
      </w:r>
      <w:r>
        <w:rPr>
          <w:rFonts w:ascii="Times New Roman" w:eastAsia="Times New Roman" w:hAnsi="Times New Roman" w:cs="Times New Roman"/>
          <w:i/>
          <w:sz w:val="24"/>
        </w:rPr>
        <w:t xml:space="preserve"> социального происхождения, религиозного сана, принадлежности к конкурирующим партиям и т.д. </w:t>
      </w:r>
    </w:p>
    <w:p w:rsidR="0052701D" w:rsidRDefault="00D40929">
      <w:pPr>
        <w:spacing w:after="29" w:line="248" w:lineRule="auto"/>
        <w:ind w:left="9" w:firstLine="711"/>
        <w:jc w:val="both"/>
      </w:pP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 xml:space="preserve"> Продразверстка, репрессии, революция, конъюнктура, гражданская война, партия, красный террор, тройка, пятерка, социально-чуждый элемент. </w:t>
      </w:r>
    </w:p>
    <w:p w:rsidR="0052701D" w:rsidRDefault="00D40929">
      <w:pPr>
        <w:spacing w:after="55"/>
        <w:ind w:left="711"/>
      </w:pPr>
      <w:r>
        <w:rPr>
          <w:rFonts w:ascii="Times New Roman" w:eastAsia="Times New Roman" w:hAnsi="Times New Roman" w:cs="Times New Roman"/>
          <w:i/>
          <w:sz w:val="20"/>
        </w:rPr>
        <w:t xml:space="preserve"> </w:t>
      </w:r>
    </w:p>
    <w:p w:rsidR="0052701D" w:rsidRDefault="00D40929">
      <w:pPr>
        <w:spacing w:after="0"/>
        <w:ind w:left="10" w:right="177" w:hanging="10"/>
        <w:jc w:val="right"/>
      </w:pPr>
      <w:r>
        <w:rPr>
          <w:rFonts w:ascii="Times New Roman" w:eastAsia="Times New Roman" w:hAnsi="Times New Roman" w:cs="Times New Roman"/>
          <w:b/>
          <w:sz w:val="28"/>
        </w:rPr>
        <w:t xml:space="preserve">POLITICAL CAMPAIGNS IN THE PERIOD OF THE 20-30S OF THE </w:t>
      </w:r>
    </w:p>
    <w:p w:rsidR="0052701D" w:rsidRDefault="00D40929">
      <w:pPr>
        <w:spacing w:after="5" w:line="271" w:lineRule="auto"/>
        <w:ind w:left="173" w:right="239" w:hanging="10"/>
        <w:jc w:val="center"/>
      </w:pPr>
      <w:r>
        <w:rPr>
          <w:rFonts w:ascii="Times New Roman" w:eastAsia="Times New Roman" w:hAnsi="Times New Roman" w:cs="Times New Roman"/>
          <w:b/>
          <w:sz w:val="28"/>
        </w:rPr>
        <w:t xml:space="preserve">TWENTIETH CENTURY </w:t>
      </w:r>
    </w:p>
    <w:p w:rsidR="0052701D" w:rsidRDefault="00D40929">
      <w:pPr>
        <w:spacing w:after="16" w:line="248" w:lineRule="auto"/>
        <w:ind w:left="819" w:right="171" w:hanging="10"/>
        <w:jc w:val="center"/>
      </w:pPr>
      <w:r>
        <w:rPr>
          <w:rFonts w:ascii="Times New Roman" w:eastAsia="Times New Roman" w:hAnsi="Times New Roman" w:cs="Times New Roman"/>
          <w:b/>
          <w:sz w:val="24"/>
        </w:rPr>
        <w:t xml:space="preserve">Ryskildinova D.B., </w:t>
      </w:r>
    </w:p>
    <w:p w:rsidR="0052701D" w:rsidRDefault="00D40929">
      <w:pPr>
        <w:spacing w:after="29" w:line="248" w:lineRule="auto"/>
        <w:ind w:left="1719" w:right="14"/>
        <w:jc w:val="both"/>
      </w:pPr>
      <w:r>
        <w:rPr>
          <w:rFonts w:ascii="Times New Roman" w:eastAsia="Times New Roman" w:hAnsi="Times New Roman" w:cs="Times New Roman"/>
          <w:sz w:val="24"/>
        </w:rPr>
        <w:t xml:space="preserve">AUE named after G.Daukeev, Almaty, Republic of Kazakhstan, e-mail: </w:t>
      </w:r>
    </w:p>
    <w:p w:rsidR="0052701D" w:rsidRDefault="00D40929">
      <w:pPr>
        <w:spacing w:after="0"/>
        <w:ind w:left="645" w:right="716" w:hanging="10"/>
        <w:jc w:val="center"/>
      </w:pPr>
      <w:r>
        <w:rPr>
          <w:rFonts w:ascii="Times New Roman" w:eastAsia="Times New Roman" w:hAnsi="Times New Roman" w:cs="Times New Roman"/>
          <w:color w:val="0000FF"/>
          <w:sz w:val="24"/>
          <w:u w:val="single" w:color="0000FF"/>
        </w:rPr>
        <w:t>d.ryskildinova@aues.kz</w:t>
      </w:r>
      <w:r>
        <w:rPr>
          <w:rFonts w:ascii="Times New Roman" w:eastAsia="Times New Roman" w:hAnsi="Times New Roman" w:cs="Times New Roman"/>
          <w:sz w:val="24"/>
        </w:rPr>
        <w:t xml:space="preserve"> </w:t>
      </w:r>
    </w:p>
    <w:p w:rsidR="0052701D" w:rsidRDefault="00D40929">
      <w:pPr>
        <w:spacing w:after="0"/>
        <w:ind w:left="696"/>
        <w:jc w:val="center"/>
      </w:pPr>
      <w:r>
        <w:rPr>
          <w:rFonts w:ascii="Times New Roman" w:eastAsia="Times New Roman" w:hAnsi="Times New Roman" w:cs="Times New Roman"/>
          <w:sz w:val="24"/>
        </w:rPr>
        <w:t xml:space="preserve"> </w:t>
      </w:r>
    </w:p>
    <w:p w:rsidR="0052701D" w:rsidRDefault="00D40929">
      <w:pPr>
        <w:spacing w:after="0" w:line="248" w:lineRule="auto"/>
        <w:ind w:left="9" w:firstLine="711"/>
        <w:jc w:val="both"/>
      </w:pPr>
      <w:r>
        <w:rPr>
          <w:rFonts w:ascii="Times New Roman" w:eastAsia="Times New Roman" w:hAnsi="Times New Roman" w:cs="Times New Roman"/>
          <w:b/>
          <w:i/>
          <w:sz w:val="24"/>
        </w:rPr>
        <w:t>Annotation.</w:t>
      </w:r>
      <w:r>
        <w:rPr>
          <w:rFonts w:ascii="Times New Roman" w:eastAsia="Times New Roman" w:hAnsi="Times New Roman" w:cs="Times New Roman"/>
          <w:i/>
          <w:sz w:val="24"/>
        </w:rPr>
        <w:t xml:space="preserve"> The article examines the bulk of the repressed in the p</w:t>
      </w:r>
      <w:r>
        <w:rPr>
          <w:rFonts w:ascii="Times New Roman" w:eastAsia="Times New Roman" w:hAnsi="Times New Roman" w:cs="Times New Roman"/>
          <w:i/>
          <w:sz w:val="24"/>
        </w:rPr>
        <w:t xml:space="preserve">eriod of the 20-30s of the twentieth century, which not only did not commit any criminal acts, but also did not reveal their </w:t>
      </w:r>
      <w:r>
        <w:rPr>
          <w:rFonts w:ascii="Times New Roman" w:eastAsia="Times New Roman" w:hAnsi="Times New Roman" w:cs="Times New Roman"/>
          <w:i/>
          <w:sz w:val="24"/>
        </w:rPr>
        <w:lastRenderedPageBreak/>
        <w:t>negative attitude to the authorities. They fell under the ice rink of political repression because of their social origin, religiou</w:t>
      </w:r>
      <w:r>
        <w:rPr>
          <w:rFonts w:ascii="Times New Roman" w:eastAsia="Times New Roman" w:hAnsi="Times New Roman" w:cs="Times New Roman"/>
          <w:i/>
          <w:sz w:val="24"/>
        </w:rPr>
        <w:t xml:space="preserve">s rank, membership in competing parties, etc. </w:t>
      </w:r>
    </w:p>
    <w:p w:rsidR="0052701D" w:rsidRDefault="00D40929">
      <w:pPr>
        <w:spacing w:after="0" w:line="248" w:lineRule="auto"/>
        <w:ind w:left="9" w:firstLine="711"/>
        <w:jc w:val="both"/>
      </w:pPr>
      <w:r>
        <w:rPr>
          <w:rFonts w:ascii="Times New Roman" w:eastAsia="Times New Roman" w:hAnsi="Times New Roman" w:cs="Times New Roman"/>
          <w:b/>
          <w:i/>
          <w:sz w:val="24"/>
        </w:rPr>
        <w:t>Keywords.</w:t>
      </w:r>
      <w:r>
        <w:rPr>
          <w:rFonts w:ascii="Times New Roman" w:eastAsia="Times New Roman" w:hAnsi="Times New Roman" w:cs="Times New Roman"/>
          <w:i/>
          <w:sz w:val="24"/>
        </w:rPr>
        <w:t xml:space="preserve"> Prodrazverstka, repression, revolution, conjuncture, civil war, party, red terror, troika, socially alien element. </w:t>
      </w:r>
    </w:p>
    <w:p w:rsidR="0052701D" w:rsidRDefault="00D40929">
      <w:pPr>
        <w:spacing w:after="64"/>
        <w:ind w:left="711"/>
      </w:pPr>
      <w:r>
        <w:rPr>
          <w:rFonts w:ascii="Times New Roman" w:eastAsia="Times New Roman" w:hAnsi="Times New Roman" w:cs="Times New Roman"/>
          <w:i/>
          <w:sz w:val="24"/>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4"/>
        </w:rPr>
        <w:t xml:space="preserve"> </w:t>
      </w:r>
      <w:r>
        <w:rPr>
          <w:rFonts w:ascii="Times New Roman" w:eastAsia="Times New Roman" w:hAnsi="Times New Roman" w:cs="Times New Roman"/>
          <w:sz w:val="28"/>
        </w:rPr>
        <w:t>Началом репрессивной политики Советского государства многие ассоциируют с именем</w:t>
      </w:r>
      <w:r>
        <w:rPr>
          <w:rFonts w:ascii="Times New Roman" w:eastAsia="Times New Roman" w:hAnsi="Times New Roman" w:cs="Times New Roman"/>
          <w:sz w:val="28"/>
        </w:rPr>
        <w:t xml:space="preserve"> И.В. Сталина, но жернова репрессий заработали сразу после Октябрьской революции на фоне Гражданской войны. Тогда же появятся термины «красный террор» и «продразверстка». Которые изменили мировоззрение и течение жизни простого человека, а также окончательн</w:t>
      </w:r>
      <w:r>
        <w:rPr>
          <w:rFonts w:ascii="Times New Roman" w:eastAsia="Times New Roman" w:hAnsi="Times New Roman" w:cs="Times New Roman"/>
          <w:sz w:val="28"/>
        </w:rPr>
        <w:t xml:space="preserve">о разрушили экономические отношения и представления о частной собственности. «Продразверстка» познакомила с понятием о перегибах и отчуждением в самых базовых правах. </w:t>
      </w:r>
    </w:p>
    <w:p w:rsidR="0052701D" w:rsidRDefault="00D40929">
      <w:pPr>
        <w:spacing w:after="5" w:line="271" w:lineRule="auto"/>
        <w:ind w:left="9" w:right="64" w:firstLine="711"/>
        <w:jc w:val="both"/>
      </w:pPr>
      <w:r>
        <w:rPr>
          <w:rFonts w:ascii="Times New Roman" w:eastAsia="Times New Roman" w:hAnsi="Times New Roman" w:cs="Times New Roman"/>
          <w:sz w:val="28"/>
        </w:rPr>
        <w:t>В истории Казахстана, особенно после революции 1917 года и в сталинское время, наблюдает</w:t>
      </w:r>
      <w:r>
        <w:rPr>
          <w:rFonts w:ascii="Times New Roman" w:eastAsia="Times New Roman" w:hAnsi="Times New Roman" w:cs="Times New Roman"/>
          <w:sz w:val="28"/>
        </w:rPr>
        <w:t>ся жесткая зависимость массовых репрессий от политической и идеологической конъюнктуры. Преследовали как за дела, так и за убеждения, если они противоречили политической линии партии. Они прикрывались квалификацией сугубо уголовного характера, но их полити</w:t>
      </w:r>
      <w:r>
        <w:rPr>
          <w:rFonts w:ascii="Times New Roman" w:eastAsia="Times New Roman" w:hAnsi="Times New Roman" w:cs="Times New Roman"/>
          <w:sz w:val="28"/>
        </w:rPr>
        <w:t xml:space="preserve">ческая направленность не менялась. Их антисоветская мотивация, как правило, устанавливалась, исходя из политических соображений, путем объективного вменения. Основная масса репрессированных не только не совершала никаких уголовно наказуемых действий, но и </w:t>
      </w:r>
      <w:r>
        <w:rPr>
          <w:rFonts w:ascii="Times New Roman" w:eastAsia="Times New Roman" w:hAnsi="Times New Roman" w:cs="Times New Roman"/>
          <w:sz w:val="28"/>
        </w:rPr>
        <w:t xml:space="preserve">не обнаруживала своего негативного отношения к власти. Они попадали под каток политических репрессий из-за социального происхождения, религиозного сана, принадлежности к конкурирующим партиям и т.д. </w:t>
      </w:r>
    </w:p>
    <w:p w:rsidR="0052701D" w:rsidRDefault="00D40929">
      <w:pPr>
        <w:spacing w:after="5" w:line="271" w:lineRule="auto"/>
        <w:ind w:left="9" w:right="64" w:firstLine="711"/>
        <w:jc w:val="both"/>
      </w:pPr>
      <w:r>
        <w:rPr>
          <w:rFonts w:ascii="Times New Roman" w:eastAsia="Times New Roman" w:hAnsi="Times New Roman" w:cs="Times New Roman"/>
          <w:sz w:val="28"/>
        </w:rPr>
        <w:t>Декрет ВЦИК от 16 декабря 1922 г. предоставил ГПУ «право</w:t>
      </w:r>
      <w:r>
        <w:rPr>
          <w:rFonts w:ascii="Times New Roman" w:eastAsia="Times New Roman" w:hAnsi="Times New Roman" w:cs="Times New Roman"/>
          <w:sz w:val="28"/>
        </w:rPr>
        <w:t xml:space="preserve"> внесудебной расправы, вплоть до расстрела» и право «…заключать в лагерь принудительных работ на месте высылки…» Новый уголовный кодекс РСФСР был принят в 1926 г. и введен в действие 1 января 1927 г. В УК 1926 г. против врагов советской власти был направле</w:t>
      </w:r>
      <w:r>
        <w:rPr>
          <w:rFonts w:ascii="Times New Roman" w:eastAsia="Times New Roman" w:hAnsi="Times New Roman" w:cs="Times New Roman"/>
          <w:sz w:val="28"/>
        </w:rPr>
        <w:t>н целый ряд статей и, в первую очередь, знаменитая ст. 58 с восемнадцатью подпунктами. В двенадцати случаях за контрреволюционные преступления грозила высшая мера наказания, всего же в Кодексе содержалось 46 расстрельных статей. Таким образом, партия и гос</w:t>
      </w:r>
      <w:r>
        <w:rPr>
          <w:rFonts w:ascii="Times New Roman" w:eastAsia="Times New Roman" w:hAnsi="Times New Roman" w:cs="Times New Roman"/>
          <w:sz w:val="28"/>
        </w:rPr>
        <w:t>ударство подготовили законодательную базу для проведения массовых репрессий конца 1920-х – 1930х гг. В 1927–1929 гг. против них активно использовали ст. 60, 61 и 62 УК РСФСР 1926 г., которые позволяли лишать «кулаков» свободы с конфискацией имущества на ср</w:t>
      </w:r>
      <w:r>
        <w:rPr>
          <w:rFonts w:ascii="Times New Roman" w:eastAsia="Times New Roman" w:hAnsi="Times New Roman" w:cs="Times New Roman"/>
          <w:sz w:val="28"/>
        </w:rPr>
        <w:t xml:space="preserve">ок от одного до двух лет за отказ от выполнения государственных повинностей. Ст. 107 (спекуляция) была повернута против </w:t>
      </w:r>
      <w:r>
        <w:rPr>
          <w:rFonts w:ascii="Times New Roman" w:eastAsia="Times New Roman" w:hAnsi="Times New Roman" w:cs="Times New Roman"/>
          <w:sz w:val="28"/>
        </w:rPr>
        <w:lastRenderedPageBreak/>
        <w:t>крестьян, не сдающих зерно. В 1929 г. началась «сплошная коллективизация» как в пределах СССР, так и в Казахстане. Непосредственно колле</w:t>
      </w:r>
      <w:r>
        <w:rPr>
          <w:rFonts w:ascii="Times New Roman" w:eastAsia="Times New Roman" w:hAnsi="Times New Roman" w:cs="Times New Roman"/>
          <w:sz w:val="28"/>
        </w:rPr>
        <w:t>ктивизация в Казахстане началась в 1929 году. Если в 1928 году в Казахстане было коллективизировано 2% всех хозяйств, то уже на 1 апреля 1930 года – 50,5%, а к октябрю 1931 года – около 65%. Недовольство населения Казахстана жестокой политикой коллективиза</w:t>
      </w:r>
      <w:r>
        <w:rPr>
          <w:rFonts w:ascii="Times New Roman" w:eastAsia="Times New Roman" w:hAnsi="Times New Roman" w:cs="Times New Roman"/>
          <w:sz w:val="28"/>
        </w:rPr>
        <w:t>ции вылилось в вооруженное сопротивление. Во время коллективизации в республике произошло 372 массовых выступления и восстания. По неполным данным, в восстаниях участвовало около 80 тыс. человек. Крупные выступления шаруа и крестьян имели место практически</w:t>
      </w:r>
      <w:r>
        <w:rPr>
          <w:rFonts w:ascii="Times New Roman" w:eastAsia="Times New Roman" w:hAnsi="Times New Roman" w:cs="Times New Roman"/>
          <w:sz w:val="28"/>
        </w:rPr>
        <w:t xml:space="preserve"> на всей территории республики [1]. </w:t>
      </w:r>
    </w:p>
    <w:p w:rsidR="0052701D" w:rsidRDefault="00D40929">
      <w:pPr>
        <w:spacing w:after="5" w:line="271" w:lineRule="auto"/>
        <w:ind w:left="711" w:right="64"/>
        <w:jc w:val="both"/>
      </w:pPr>
      <w:r>
        <w:rPr>
          <w:rFonts w:ascii="Times New Roman" w:eastAsia="Times New Roman" w:hAnsi="Times New Roman" w:cs="Times New Roman"/>
          <w:sz w:val="28"/>
        </w:rPr>
        <w:t xml:space="preserve">Для примера давайте рассмотрим один из документов того времени. </w:t>
      </w:r>
      <w:r>
        <w:rPr>
          <w:rFonts w:ascii="Times New Roman" w:eastAsia="Times New Roman" w:hAnsi="Times New Roman" w:cs="Times New Roman"/>
          <w:i/>
          <w:sz w:val="28"/>
        </w:rPr>
        <w:t xml:space="preserve">Ф.141 Оп. 10 Ед.хр. 9409 Архив Президента РК </w:t>
      </w:r>
      <w:r>
        <w:rPr>
          <w:rFonts w:ascii="Times New Roman" w:eastAsia="Times New Roman" w:hAnsi="Times New Roman" w:cs="Times New Roman"/>
          <w:sz w:val="28"/>
        </w:rPr>
        <w:t xml:space="preserve">[2]. </w:t>
      </w:r>
    </w:p>
    <w:p w:rsidR="0052701D" w:rsidRDefault="00D40929">
      <w:pPr>
        <w:spacing w:after="5" w:line="271" w:lineRule="auto"/>
        <w:ind w:left="711" w:right="64"/>
        <w:jc w:val="both"/>
      </w:pPr>
      <w:r>
        <w:rPr>
          <w:rFonts w:ascii="Times New Roman" w:eastAsia="Times New Roman" w:hAnsi="Times New Roman" w:cs="Times New Roman"/>
          <w:sz w:val="28"/>
        </w:rPr>
        <w:t xml:space="preserve">Казахский Краевой Комитет ВКП(б) (Казкрайком ВКП(б)) г. Алма-Ата </w:t>
      </w:r>
    </w:p>
    <w:p w:rsidR="0052701D" w:rsidRDefault="00D40929">
      <w:pPr>
        <w:spacing w:after="5" w:line="271" w:lineRule="auto"/>
        <w:ind w:left="711" w:right="64"/>
        <w:jc w:val="both"/>
      </w:pPr>
      <w:r>
        <w:rPr>
          <w:rFonts w:ascii="Times New Roman" w:eastAsia="Times New Roman" w:hAnsi="Times New Roman" w:cs="Times New Roman"/>
          <w:sz w:val="28"/>
        </w:rPr>
        <w:t>Отдел руководящих партийных органов (О</w:t>
      </w:r>
      <w:r>
        <w:rPr>
          <w:rFonts w:ascii="Times New Roman" w:eastAsia="Times New Roman" w:hAnsi="Times New Roman" w:cs="Times New Roman"/>
          <w:sz w:val="28"/>
        </w:rPr>
        <w:t xml:space="preserve">рпо) учетный сектор </w:t>
      </w:r>
    </w:p>
    <w:p w:rsidR="0052701D" w:rsidRDefault="00D40929">
      <w:pPr>
        <w:spacing w:after="5" w:line="271" w:lineRule="auto"/>
        <w:ind w:left="711" w:right="64"/>
        <w:jc w:val="both"/>
      </w:pPr>
      <w:r>
        <w:rPr>
          <w:rFonts w:ascii="Times New Roman" w:eastAsia="Times New Roman" w:hAnsi="Times New Roman" w:cs="Times New Roman"/>
          <w:sz w:val="28"/>
        </w:rPr>
        <w:t xml:space="preserve">«Списки исключенных из партии в период проверки партийных </w:t>
      </w:r>
    </w:p>
    <w:p w:rsidR="0052701D" w:rsidRDefault="00D40929">
      <w:pPr>
        <w:spacing w:after="5" w:line="271" w:lineRule="auto"/>
        <w:ind w:left="9" w:right="64"/>
        <w:jc w:val="both"/>
      </w:pPr>
      <w:r>
        <w:rPr>
          <w:rFonts w:ascii="Times New Roman" w:eastAsia="Times New Roman" w:hAnsi="Times New Roman" w:cs="Times New Roman"/>
          <w:sz w:val="28"/>
        </w:rPr>
        <w:t xml:space="preserve">документов (кулаки, баи)» </w:t>
      </w:r>
    </w:p>
    <w:p w:rsidR="0052701D" w:rsidRDefault="00D40929">
      <w:pPr>
        <w:spacing w:after="15" w:line="269" w:lineRule="auto"/>
        <w:ind w:left="706" w:hanging="10"/>
      </w:pPr>
      <w:r>
        <w:rPr>
          <w:rFonts w:ascii="Times New Roman" w:eastAsia="Times New Roman" w:hAnsi="Times New Roman" w:cs="Times New Roman"/>
          <w:i/>
          <w:sz w:val="28"/>
        </w:rPr>
        <w:t xml:space="preserve">Начато и окончено в 1935 году.  </w:t>
      </w:r>
    </w:p>
    <w:tbl>
      <w:tblPr>
        <w:tblStyle w:val="TableGrid"/>
        <w:tblW w:w="9422" w:type="dxa"/>
        <w:tblInd w:w="221" w:type="dxa"/>
        <w:tblCellMar>
          <w:top w:w="86" w:type="dxa"/>
          <w:left w:w="82" w:type="dxa"/>
          <w:bottom w:w="0" w:type="dxa"/>
          <w:right w:w="22" w:type="dxa"/>
        </w:tblCellMar>
        <w:tblLook w:val="04A0" w:firstRow="1" w:lastRow="0" w:firstColumn="1" w:lastColumn="0" w:noHBand="0" w:noVBand="1"/>
      </w:tblPr>
      <w:tblGrid>
        <w:gridCol w:w="1197"/>
        <w:gridCol w:w="855"/>
        <w:gridCol w:w="989"/>
        <w:gridCol w:w="1138"/>
        <w:gridCol w:w="989"/>
        <w:gridCol w:w="994"/>
        <w:gridCol w:w="1479"/>
        <w:gridCol w:w="1781"/>
      </w:tblGrid>
      <w:tr w:rsidR="0052701D">
        <w:trPr>
          <w:trHeight w:val="1613"/>
        </w:trPr>
        <w:tc>
          <w:tcPr>
            <w:tcW w:w="119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ФИО</w:t>
            </w:r>
            <w:r>
              <w:t xml:space="preserve"> </w:t>
            </w:r>
          </w:p>
        </w:tc>
        <w:tc>
          <w:tcPr>
            <w:tcW w:w="855"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 </w:t>
            </w:r>
          </w:p>
          <w:p w:rsidR="0052701D" w:rsidRDefault="00D40929">
            <w:pPr>
              <w:spacing w:after="0"/>
            </w:pPr>
            <w:r>
              <w:rPr>
                <w:rFonts w:ascii="Times New Roman" w:eastAsia="Times New Roman" w:hAnsi="Times New Roman" w:cs="Times New Roman"/>
              </w:rPr>
              <w:t>отобра нных партби летов</w:t>
            </w:r>
            <w:r>
              <w:t xml:space="preserve"> </w:t>
            </w:r>
          </w:p>
        </w:tc>
        <w:tc>
          <w:tcPr>
            <w:tcW w:w="989"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соцполо жение</w:t>
            </w:r>
            <w:r>
              <w:t xml:space="preserve"> </w:t>
            </w:r>
          </w:p>
        </w:tc>
        <w:tc>
          <w:tcPr>
            <w:tcW w:w="1138"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партстаж</w:t>
            </w:r>
            <w:r>
              <w:t xml:space="preserve"> </w:t>
            </w:r>
          </w:p>
        </w:tc>
        <w:tc>
          <w:tcPr>
            <w:tcW w:w="989"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национа льность</w:t>
            </w:r>
            <w:r>
              <w:t xml:space="preserve"> </w:t>
            </w:r>
          </w:p>
        </w:tc>
        <w:tc>
          <w:tcPr>
            <w:tcW w:w="994"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Принадл ежность к другим партиям</w:t>
            </w:r>
            <w:r>
              <w:t xml:space="preserve"> </w:t>
            </w:r>
          </w:p>
        </w:tc>
        <w:tc>
          <w:tcPr>
            <w:tcW w:w="1479"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Выполняемая работа</w:t>
            </w:r>
            <w:r>
              <w:t xml:space="preserve"> </w:t>
            </w:r>
          </w:p>
        </w:tc>
        <w:tc>
          <w:tcPr>
            <w:tcW w:w="178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5"/>
              <w:jc w:val="both"/>
            </w:pPr>
            <w:r>
              <w:rPr>
                <w:rFonts w:ascii="Times New Roman" w:eastAsia="Times New Roman" w:hAnsi="Times New Roman" w:cs="Times New Roman"/>
              </w:rPr>
              <w:t>Основные причины исключения (изложить четко и сжато)</w:t>
            </w:r>
            <w:r>
              <w:t xml:space="preserve"> </w:t>
            </w:r>
          </w:p>
        </w:tc>
      </w:tr>
      <w:tr w:rsidR="0052701D">
        <w:trPr>
          <w:trHeight w:val="893"/>
        </w:trPr>
        <w:tc>
          <w:tcPr>
            <w:tcW w:w="119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7"/>
            </w:pPr>
            <w:r>
              <w:rPr>
                <w:rFonts w:ascii="Times New Roman" w:eastAsia="Times New Roman" w:hAnsi="Times New Roman" w:cs="Times New Roman"/>
              </w:rPr>
              <w:t>Дягилев М. А.</w:t>
            </w:r>
            <w:r>
              <w:t xml:space="preserve"> </w:t>
            </w:r>
          </w:p>
        </w:tc>
        <w:tc>
          <w:tcPr>
            <w:tcW w:w="855"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1246</w:t>
            </w:r>
            <w:r>
              <w:t xml:space="preserve"> </w:t>
            </w:r>
          </w:p>
        </w:tc>
        <w:tc>
          <w:tcPr>
            <w:tcW w:w="989"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крестьян ин</w:t>
            </w:r>
            <w:r>
              <w:t xml:space="preserve"> </w:t>
            </w:r>
          </w:p>
        </w:tc>
        <w:tc>
          <w:tcPr>
            <w:tcW w:w="1138"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6.11.30 г.</w:t>
            </w:r>
            <w:r>
              <w:t xml:space="preserve"> </w:t>
            </w:r>
          </w:p>
        </w:tc>
        <w:tc>
          <w:tcPr>
            <w:tcW w:w="989" w:type="dxa"/>
            <w:tcBorders>
              <w:top w:val="single" w:sz="4" w:space="0" w:color="000000"/>
              <w:left w:val="single" w:sz="4" w:space="0" w:color="000000"/>
              <w:bottom w:val="single" w:sz="4" w:space="0" w:color="000000"/>
              <w:right w:val="single" w:sz="4" w:space="0" w:color="000000"/>
            </w:tcBorders>
          </w:tcPr>
          <w:p w:rsidR="0052701D" w:rsidRDefault="00D40929">
            <w:pPr>
              <w:spacing w:after="0"/>
              <w:jc w:val="both"/>
            </w:pPr>
            <w:r>
              <w:rPr>
                <w:rFonts w:ascii="Times New Roman" w:eastAsia="Times New Roman" w:hAnsi="Times New Roman" w:cs="Times New Roman"/>
              </w:rPr>
              <w:t>русский</w:t>
            </w:r>
            <w:r>
              <w:t xml:space="preserve"> </w:t>
            </w:r>
          </w:p>
        </w:tc>
        <w:tc>
          <w:tcPr>
            <w:tcW w:w="994"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trike/>
              </w:rPr>
              <w:t>нет</w:t>
            </w:r>
            <w:r>
              <w:t xml:space="preserve"> </w:t>
            </w:r>
          </w:p>
        </w:tc>
        <w:tc>
          <w:tcPr>
            <w:tcW w:w="1479"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Билкомбинат, зав.с.х.цехом</w:t>
            </w:r>
            <w:r>
              <w:t xml:space="preserve"> </w:t>
            </w:r>
          </w:p>
        </w:tc>
        <w:tc>
          <w:tcPr>
            <w:tcW w:w="1781"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Как соц. чуждый элемент</w:t>
            </w:r>
            <w:r>
              <w:t xml:space="preserve"> </w:t>
            </w:r>
          </w:p>
        </w:tc>
      </w:tr>
      <w:tr w:rsidR="0052701D">
        <w:trPr>
          <w:trHeight w:val="1436"/>
        </w:trPr>
        <w:tc>
          <w:tcPr>
            <w:tcW w:w="119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Усеров Р.</w:t>
            </w:r>
            <w:r>
              <w:t xml:space="preserve"> </w:t>
            </w:r>
          </w:p>
        </w:tc>
        <w:tc>
          <w:tcPr>
            <w:tcW w:w="855"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325</w:t>
            </w:r>
            <w:r>
              <w:t xml:space="preserve"> </w:t>
            </w:r>
          </w:p>
        </w:tc>
        <w:tc>
          <w:tcPr>
            <w:tcW w:w="989"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Кр-нин</w:t>
            </w:r>
            <w:r>
              <w:t xml:space="preserve"> </w:t>
            </w:r>
          </w:p>
        </w:tc>
        <w:tc>
          <w:tcPr>
            <w:tcW w:w="1138"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w:t>
            </w:r>
            <w:r>
              <w:t xml:space="preserve"> </w:t>
            </w:r>
          </w:p>
        </w:tc>
        <w:tc>
          <w:tcPr>
            <w:tcW w:w="989"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казах</w:t>
            </w:r>
            <w:r>
              <w:t xml:space="preserve"> </w:t>
            </w:r>
          </w:p>
        </w:tc>
        <w:tc>
          <w:tcPr>
            <w:tcW w:w="994"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нет</w:t>
            </w:r>
            <w:r>
              <w:t xml:space="preserve"> </w:t>
            </w:r>
          </w:p>
        </w:tc>
        <w:tc>
          <w:tcPr>
            <w:tcW w:w="1479"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В.К.С.Х.Ш., студент</w:t>
            </w:r>
            <w:r>
              <w:t xml:space="preserve"> </w:t>
            </w:r>
          </w:p>
        </w:tc>
        <w:tc>
          <w:tcPr>
            <w:tcW w:w="178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2"/>
              <w:jc w:val="both"/>
            </w:pPr>
            <w:r>
              <w:rPr>
                <w:rFonts w:ascii="Times New Roman" w:eastAsia="Times New Roman" w:hAnsi="Times New Roman" w:cs="Times New Roman"/>
              </w:rPr>
              <w:t xml:space="preserve">Как </w:t>
            </w:r>
            <w:r>
              <w:rPr>
                <w:rFonts w:ascii="Times New Roman" w:eastAsia="Times New Roman" w:hAnsi="Times New Roman" w:cs="Times New Roman"/>
              </w:rPr>
              <w:t>социально чуждый, обманным путем пролезший в партию.</w:t>
            </w:r>
            <w:r>
              <w:t xml:space="preserve"> </w:t>
            </w:r>
          </w:p>
        </w:tc>
      </w:tr>
      <w:tr w:rsidR="0052701D">
        <w:trPr>
          <w:trHeight w:val="2194"/>
        </w:trPr>
        <w:tc>
          <w:tcPr>
            <w:tcW w:w="119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Асенов А.Ш.</w:t>
            </w:r>
            <w:r>
              <w:t xml:space="preserve"> </w:t>
            </w:r>
          </w:p>
        </w:tc>
        <w:tc>
          <w:tcPr>
            <w:tcW w:w="855"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6061</w:t>
            </w:r>
            <w:r>
              <w:t xml:space="preserve"> </w:t>
            </w:r>
          </w:p>
        </w:tc>
        <w:tc>
          <w:tcPr>
            <w:tcW w:w="989"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Служ.</w:t>
            </w:r>
            <w:r>
              <w:t xml:space="preserve"> </w:t>
            </w:r>
          </w:p>
        </w:tc>
        <w:tc>
          <w:tcPr>
            <w:tcW w:w="1138" w:type="dxa"/>
            <w:tcBorders>
              <w:top w:val="single" w:sz="4" w:space="0" w:color="000000"/>
              <w:left w:val="single" w:sz="4" w:space="0" w:color="000000"/>
              <w:bottom w:val="single" w:sz="4" w:space="0" w:color="000000"/>
              <w:right w:val="single" w:sz="4" w:space="0" w:color="000000"/>
            </w:tcBorders>
          </w:tcPr>
          <w:p w:rsidR="0052701D" w:rsidRDefault="00D40929">
            <w:pPr>
              <w:spacing w:after="0"/>
              <w:jc w:val="both"/>
            </w:pPr>
            <w:r>
              <w:rPr>
                <w:rFonts w:ascii="Times New Roman" w:eastAsia="Times New Roman" w:hAnsi="Times New Roman" w:cs="Times New Roman"/>
              </w:rPr>
              <w:t>11.06.29 г.</w:t>
            </w:r>
            <w:r>
              <w:t xml:space="preserve"> </w:t>
            </w:r>
          </w:p>
        </w:tc>
        <w:tc>
          <w:tcPr>
            <w:tcW w:w="989"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w:t>
            </w:r>
            <w:r>
              <w:t xml:space="preserve"> </w:t>
            </w:r>
          </w:p>
        </w:tc>
        <w:tc>
          <w:tcPr>
            <w:tcW w:w="994"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w:t>
            </w:r>
            <w:r>
              <w:t xml:space="preserve"> </w:t>
            </w:r>
          </w:p>
        </w:tc>
        <w:tc>
          <w:tcPr>
            <w:tcW w:w="1479" w:type="dxa"/>
            <w:tcBorders>
              <w:top w:val="single" w:sz="4" w:space="0" w:color="000000"/>
              <w:left w:val="single" w:sz="4" w:space="0" w:color="000000"/>
              <w:bottom w:val="single" w:sz="4" w:space="0" w:color="000000"/>
              <w:right w:val="single" w:sz="4" w:space="0" w:color="000000"/>
            </w:tcBorders>
          </w:tcPr>
          <w:p w:rsidR="0052701D" w:rsidRDefault="00D40929">
            <w:pPr>
              <w:spacing w:after="0"/>
              <w:jc w:val="both"/>
            </w:pPr>
            <w:r>
              <w:rPr>
                <w:rFonts w:ascii="Times New Roman" w:eastAsia="Times New Roman" w:hAnsi="Times New Roman" w:cs="Times New Roman"/>
              </w:rPr>
              <w:t xml:space="preserve">Кр.Шк.РКМ., </w:t>
            </w:r>
          </w:p>
          <w:p w:rsidR="0052701D" w:rsidRDefault="00D40929">
            <w:pPr>
              <w:spacing w:after="0"/>
            </w:pPr>
            <w:r>
              <w:rPr>
                <w:rFonts w:ascii="Times New Roman" w:eastAsia="Times New Roman" w:hAnsi="Times New Roman" w:cs="Times New Roman"/>
              </w:rPr>
              <w:t>преподавател</w:t>
            </w:r>
          </w:p>
          <w:p w:rsidR="0052701D" w:rsidRDefault="00D40929">
            <w:pPr>
              <w:spacing w:after="0"/>
            </w:pPr>
            <w:r>
              <w:rPr>
                <w:rFonts w:ascii="Times New Roman" w:eastAsia="Times New Roman" w:hAnsi="Times New Roman" w:cs="Times New Roman"/>
              </w:rPr>
              <w:t>ь</w:t>
            </w:r>
            <w:r>
              <w:t xml:space="preserve"> </w:t>
            </w:r>
          </w:p>
        </w:tc>
        <w:tc>
          <w:tcPr>
            <w:tcW w:w="178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2"/>
            </w:pPr>
            <w:r>
              <w:rPr>
                <w:rFonts w:ascii="Times New Roman" w:eastAsia="Times New Roman" w:hAnsi="Times New Roman" w:cs="Times New Roman"/>
              </w:rPr>
              <w:t>Сын бая, скрыв это при вступлении в партию, партдокум. получил обманным путем.</w:t>
            </w:r>
            <w:r>
              <w:t xml:space="preserve"> </w:t>
            </w:r>
          </w:p>
        </w:tc>
      </w:tr>
      <w:tr w:rsidR="0052701D">
        <w:trPr>
          <w:trHeight w:val="2194"/>
        </w:trPr>
        <w:tc>
          <w:tcPr>
            <w:tcW w:w="119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lastRenderedPageBreak/>
              <w:t>Айтахунов М.</w:t>
            </w:r>
            <w:r>
              <w:t xml:space="preserve"> </w:t>
            </w:r>
          </w:p>
        </w:tc>
        <w:tc>
          <w:tcPr>
            <w:tcW w:w="855"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214</w:t>
            </w:r>
            <w:r>
              <w:t xml:space="preserve"> </w:t>
            </w:r>
          </w:p>
        </w:tc>
        <w:tc>
          <w:tcPr>
            <w:tcW w:w="989"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Служ.</w:t>
            </w:r>
            <w:r>
              <w:t xml:space="preserve"> </w:t>
            </w:r>
          </w:p>
        </w:tc>
        <w:tc>
          <w:tcPr>
            <w:tcW w:w="1138"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3.05.31 г.</w:t>
            </w:r>
            <w:r>
              <w:t xml:space="preserve"> </w:t>
            </w:r>
          </w:p>
        </w:tc>
        <w:tc>
          <w:tcPr>
            <w:tcW w:w="989"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trike/>
              </w:rPr>
              <w:t>уйгур</w:t>
            </w:r>
            <w:r>
              <w:t xml:space="preserve"> </w:t>
            </w:r>
          </w:p>
        </w:tc>
        <w:tc>
          <w:tcPr>
            <w:tcW w:w="994"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w:t>
            </w:r>
            <w:r>
              <w:t xml:space="preserve"> </w:t>
            </w:r>
          </w:p>
        </w:tc>
        <w:tc>
          <w:tcPr>
            <w:tcW w:w="1479"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ВКСХШ, </w:t>
            </w:r>
          </w:p>
          <w:p w:rsidR="0052701D" w:rsidRDefault="00D40929">
            <w:pPr>
              <w:spacing w:after="0"/>
            </w:pPr>
            <w:r>
              <w:rPr>
                <w:rFonts w:ascii="Times New Roman" w:eastAsia="Times New Roman" w:hAnsi="Times New Roman" w:cs="Times New Roman"/>
              </w:rPr>
              <w:t>студент</w:t>
            </w:r>
            <w:r>
              <w:t xml:space="preserve"> </w:t>
            </w:r>
          </w:p>
        </w:tc>
        <w:tc>
          <w:tcPr>
            <w:tcW w:w="1781"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Скрывший свое соцпроисхожден ие, обманным путем пролез в партию, связь с братом, сбежавшим в Китай.</w:t>
            </w:r>
            <w:r>
              <w:t xml:space="preserve"> </w:t>
            </w:r>
          </w:p>
        </w:tc>
      </w:tr>
    </w:tbl>
    <w:p w:rsidR="0052701D" w:rsidRDefault="00D40929">
      <w:pPr>
        <w:spacing w:after="26"/>
      </w:pPr>
      <w:r>
        <w:rPr>
          <w:rFonts w:ascii="Times New Roman" w:eastAsia="Times New Roman" w:hAnsi="Times New Roman" w:cs="Times New Roman"/>
          <w:i/>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Или давайте рассмотрим материалы Алматинского Горсовета депутатов трудящихся. Избиркома. Фонд- 174 Опись-8 Дело-57 Связка-16 «Алма-</w:t>
      </w:r>
      <w:r>
        <w:rPr>
          <w:rFonts w:ascii="Times New Roman" w:eastAsia="Times New Roman" w:hAnsi="Times New Roman" w:cs="Times New Roman"/>
          <w:sz w:val="28"/>
        </w:rPr>
        <w:t xml:space="preserve">Атинской Городской Избирательной Комиссии». Это информационный доклад о состоянии предвыборной Кампании в 16-м избир. участке. В своих информациях, представленных в письменном виде Горизбиркому от 24 декабря 1928 г. и от 1-го января с/г. часть проделанной </w:t>
      </w:r>
      <w:r>
        <w:rPr>
          <w:rFonts w:ascii="Times New Roman" w:eastAsia="Times New Roman" w:hAnsi="Times New Roman" w:cs="Times New Roman"/>
          <w:sz w:val="28"/>
        </w:rPr>
        <w:t xml:space="preserve">работы освещено, настоящей же информацией имею сообщить следующее: Состав лишенцев: </w:t>
      </w:r>
    </w:p>
    <w:tbl>
      <w:tblPr>
        <w:tblStyle w:val="TableGrid"/>
        <w:tblW w:w="9321" w:type="dxa"/>
        <w:tblInd w:w="365" w:type="dxa"/>
        <w:tblCellMar>
          <w:top w:w="92" w:type="dxa"/>
          <w:left w:w="82" w:type="dxa"/>
          <w:bottom w:w="0" w:type="dxa"/>
          <w:right w:w="50" w:type="dxa"/>
        </w:tblCellMar>
        <w:tblLook w:val="04A0" w:firstRow="1" w:lastRow="0" w:firstColumn="1" w:lastColumn="0" w:noHBand="0" w:noVBand="1"/>
      </w:tblPr>
      <w:tblGrid>
        <w:gridCol w:w="2762"/>
        <w:gridCol w:w="1152"/>
        <w:gridCol w:w="1440"/>
        <w:gridCol w:w="1532"/>
        <w:gridCol w:w="1143"/>
        <w:gridCol w:w="1292"/>
      </w:tblGrid>
      <w:tr w:rsidR="0052701D">
        <w:trPr>
          <w:trHeight w:val="658"/>
        </w:trPr>
        <w:tc>
          <w:tcPr>
            <w:tcW w:w="276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30"/>
              <w:jc w:val="center"/>
            </w:pPr>
            <w:r>
              <w:rPr>
                <w:rFonts w:ascii="Times New Roman" w:eastAsia="Times New Roman" w:hAnsi="Times New Roman" w:cs="Times New Roman"/>
              </w:rPr>
              <w:t>Общее колич.лишенцев:</w:t>
            </w:r>
            <w:r>
              <w:t xml:space="preserve"> </w:t>
            </w:r>
          </w:p>
        </w:tc>
        <w:tc>
          <w:tcPr>
            <w:tcW w:w="5267" w:type="dxa"/>
            <w:gridSpan w:val="4"/>
            <w:tcBorders>
              <w:top w:val="single" w:sz="4" w:space="0" w:color="000000"/>
              <w:left w:val="single" w:sz="4" w:space="0" w:color="000000"/>
              <w:bottom w:val="single" w:sz="4" w:space="0" w:color="000000"/>
              <w:right w:val="nil"/>
            </w:tcBorders>
          </w:tcPr>
          <w:p w:rsidR="0052701D" w:rsidRDefault="00D40929">
            <w:pPr>
              <w:spacing w:after="0"/>
              <w:ind w:left="1265"/>
              <w:jc w:val="center"/>
            </w:pPr>
            <w:r>
              <w:rPr>
                <w:rFonts w:ascii="Times New Roman" w:eastAsia="Times New Roman" w:hAnsi="Times New Roman" w:cs="Times New Roman"/>
              </w:rPr>
              <w:t>ИЗ НИХ</w:t>
            </w:r>
            <w:r>
              <w:t xml:space="preserve"> </w:t>
            </w:r>
          </w:p>
        </w:tc>
        <w:tc>
          <w:tcPr>
            <w:tcW w:w="1292" w:type="dxa"/>
            <w:tcBorders>
              <w:top w:val="single" w:sz="4" w:space="0" w:color="000000"/>
              <w:left w:val="nil"/>
              <w:bottom w:val="single" w:sz="4" w:space="0" w:color="000000"/>
              <w:right w:val="single" w:sz="4" w:space="0" w:color="000000"/>
            </w:tcBorders>
          </w:tcPr>
          <w:p w:rsidR="0052701D" w:rsidRDefault="0052701D"/>
        </w:tc>
      </w:tr>
      <w:tr w:rsidR="0052701D">
        <w:trPr>
          <w:trHeight w:val="931"/>
        </w:trPr>
        <w:tc>
          <w:tcPr>
            <w:tcW w:w="2762"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t xml:space="preserve"> </w:t>
            </w:r>
          </w:p>
        </w:tc>
        <w:tc>
          <w:tcPr>
            <w:tcW w:w="115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8"/>
            </w:pPr>
            <w:r>
              <w:rPr>
                <w:rFonts w:ascii="Times New Roman" w:eastAsia="Times New Roman" w:hAnsi="Times New Roman" w:cs="Times New Roman"/>
              </w:rPr>
              <w:t>торговцев</w:t>
            </w:r>
            <w:r>
              <w:t xml:space="preserve"> </w:t>
            </w:r>
          </w:p>
        </w:tc>
        <w:tc>
          <w:tcPr>
            <w:tcW w:w="1440" w:type="dxa"/>
            <w:tcBorders>
              <w:top w:val="single" w:sz="4" w:space="0" w:color="000000"/>
              <w:left w:val="single" w:sz="4" w:space="0" w:color="000000"/>
              <w:bottom w:val="single" w:sz="4" w:space="0" w:color="000000"/>
              <w:right w:val="single" w:sz="4" w:space="0" w:color="000000"/>
            </w:tcBorders>
          </w:tcPr>
          <w:p w:rsidR="0052701D" w:rsidRDefault="00D40929">
            <w:pPr>
              <w:spacing w:after="0"/>
              <w:jc w:val="center"/>
            </w:pPr>
            <w:r>
              <w:rPr>
                <w:rFonts w:ascii="Times New Roman" w:eastAsia="Times New Roman" w:hAnsi="Times New Roman" w:cs="Times New Roman"/>
              </w:rPr>
              <w:t>бывших полицейских</w:t>
            </w:r>
            <w:r>
              <w:t xml:space="preserve">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jc w:val="center"/>
            </w:pPr>
            <w:r>
              <w:rPr>
                <w:rFonts w:ascii="Times New Roman" w:eastAsia="Times New Roman" w:hAnsi="Times New Roman" w:cs="Times New Roman"/>
              </w:rPr>
              <w:t>Лица религ.культов</w:t>
            </w:r>
            <w:r>
              <w:t xml:space="preserve"> </w:t>
            </w:r>
          </w:p>
        </w:tc>
        <w:tc>
          <w:tcPr>
            <w:tcW w:w="1143" w:type="dxa"/>
            <w:tcBorders>
              <w:top w:val="single" w:sz="4" w:space="0" w:color="000000"/>
              <w:left w:val="single" w:sz="4" w:space="0" w:color="000000"/>
              <w:bottom w:val="single" w:sz="4" w:space="0" w:color="000000"/>
              <w:right w:val="single" w:sz="4" w:space="0" w:color="000000"/>
            </w:tcBorders>
          </w:tcPr>
          <w:p w:rsidR="0052701D" w:rsidRDefault="00D40929">
            <w:pPr>
              <w:spacing w:after="0" w:line="271" w:lineRule="auto"/>
              <w:jc w:val="center"/>
            </w:pPr>
            <w:r>
              <w:rPr>
                <w:rFonts w:ascii="Times New Roman" w:eastAsia="Times New Roman" w:hAnsi="Times New Roman" w:cs="Times New Roman"/>
              </w:rPr>
              <w:t xml:space="preserve">Живущих на </w:t>
            </w:r>
          </w:p>
          <w:p w:rsidR="0052701D" w:rsidRDefault="00D40929">
            <w:pPr>
              <w:spacing w:after="0"/>
              <w:ind w:left="48"/>
            </w:pPr>
            <w:r>
              <w:rPr>
                <w:rFonts w:ascii="Times New Roman" w:eastAsia="Times New Roman" w:hAnsi="Times New Roman" w:cs="Times New Roman"/>
              </w:rPr>
              <w:t>непр.дох.</w:t>
            </w:r>
            <w:r>
              <w:t xml:space="preserve"> </w:t>
            </w:r>
          </w:p>
        </w:tc>
        <w:tc>
          <w:tcPr>
            <w:tcW w:w="1292" w:type="dxa"/>
            <w:tcBorders>
              <w:top w:val="single" w:sz="4" w:space="0" w:color="000000"/>
              <w:left w:val="single" w:sz="4" w:space="0" w:color="000000"/>
              <w:bottom w:val="single" w:sz="4" w:space="0" w:color="000000"/>
              <w:right w:val="single" w:sz="4" w:space="0" w:color="000000"/>
            </w:tcBorders>
          </w:tcPr>
          <w:p w:rsidR="0052701D" w:rsidRDefault="00D40929">
            <w:pPr>
              <w:spacing w:after="0" w:line="278" w:lineRule="auto"/>
              <w:jc w:val="center"/>
            </w:pPr>
            <w:r>
              <w:rPr>
                <w:rFonts w:ascii="Times New Roman" w:eastAsia="Times New Roman" w:hAnsi="Times New Roman" w:cs="Times New Roman"/>
              </w:rPr>
              <w:t xml:space="preserve">Членов церковного </w:t>
            </w:r>
          </w:p>
          <w:p w:rsidR="0052701D" w:rsidRDefault="00D40929">
            <w:pPr>
              <w:spacing w:after="0"/>
              <w:ind w:right="35"/>
              <w:jc w:val="center"/>
            </w:pPr>
            <w:r>
              <w:rPr>
                <w:rFonts w:ascii="Times New Roman" w:eastAsia="Times New Roman" w:hAnsi="Times New Roman" w:cs="Times New Roman"/>
              </w:rPr>
              <w:t>Совета</w:t>
            </w:r>
            <w:r>
              <w:t xml:space="preserve"> </w:t>
            </w:r>
          </w:p>
        </w:tc>
      </w:tr>
      <w:tr w:rsidR="0052701D">
        <w:trPr>
          <w:trHeight w:val="422"/>
        </w:trPr>
        <w:tc>
          <w:tcPr>
            <w:tcW w:w="276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27"/>
              <w:jc w:val="center"/>
            </w:pPr>
            <w:r>
              <w:rPr>
                <w:rFonts w:ascii="Times New Roman" w:eastAsia="Times New Roman" w:hAnsi="Times New Roman" w:cs="Times New Roman"/>
              </w:rPr>
              <w:t>47</w:t>
            </w:r>
            <w:r>
              <w:t xml:space="preserve"> </w:t>
            </w:r>
          </w:p>
        </w:tc>
        <w:tc>
          <w:tcPr>
            <w:tcW w:w="115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22"/>
              <w:jc w:val="center"/>
            </w:pPr>
            <w:r>
              <w:rPr>
                <w:rFonts w:ascii="Times New Roman" w:eastAsia="Times New Roman" w:hAnsi="Times New Roman" w:cs="Times New Roman"/>
              </w:rPr>
              <w:t>33</w:t>
            </w:r>
            <w:r>
              <w:t xml:space="preserve"> </w:t>
            </w:r>
          </w:p>
        </w:tc>
        <w:tc>
          <w:tcPr>
            <w:tcW w:w="144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27"/>
              <w:jc w:val="center"/>
            </w:pPr>
            <w:r>
              <w:rPr>
                <w:rFonts w:ascii="Times New Roman" w:eastAsia="Times New Roman" w:hAnsi="Times New Roman" w:cs="Times New Roman"/>
              </w:rPr>
              <w:t>7</w:t>
            </w:r>
            <w:r>
              <w:t xml:space="preserve">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32"/>
              <w:jc w:val="center"/>
            </w:pPr>
            <w:r>
              <w:rPr>
                <w:rFonts w:ascii="Times New Roman" w:eastAsia="Times New Roman" w:hAnsi="Times New Roman" w:cs="Times New Roman"/>
              </w:rPr>
              <w:t>4</w:t>
            </w:r>
            <w:r>
              <w:t xml:space="preserve"> </w:t>
            </w:r>
          </w:p>
        </w:tc>
        <w:tc>
          <w:tcPr>
            <w:tcW w:w="1143"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26"/>
              <w:jc w:val="center"/>
            </w:pPr>
            <w:r>
              <w:rPr>
                <w:rFonts w:ascii="Times New Roman" w:eastAsia="Times New Roman" w:hAnsi="Times New Roman" w:cs="Times New Roman"/>
              </w:rPr>
              <w:t>2</w:t>
            </w:r>
            <w:r>
              <w:t xml:space="preserve"> </w:t>
            </w:r>
          </w:p>
        </w:tc>
        <w:tc>
          <w:tcPr>
            <w:tcW w:w="129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32"/>
              <w:jc w:val="center"/>
            </w:pPr>
            <w:r>
              <w:rPr>
                <w:rFonts w:ascii="Times New Roman" w:eastAsia="Times New Roman" w:hAnsi="Times New Roman" w:cs="Times New Roman"/>
              </w:rPr>
              <w:t>1</w:t>
            </w:r>
            <w:r>
              <w:t xml:space="preserve"> </w:t>
            </w:r>
          </w:p>
        </w:tc>
      </w:tr>
    </w:tbl>
    <w:p w:rsidR="0052701D" w:rsidRDefault="00D40929">
      <w:pPr>
        <w:spacing w:after="24"/>
      </w:pPr>
      <w:r>
        <w:rPr>
          <w:rFonts w:ascii="Times New Roman" w:eastAsia="Times New Roman" w:hAnsi="Times New Roman" w:cs="Times New Roman"/>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Здесь </w:t>
      </w:r>
      <w:r>
        <w:rPr>
          <w:rFonts w:ascii="Times New Roman" w:eastAsia="Times New Roman" w:hAnsi="Times New Roman" w:cs="Times New Roman"/>
          <w:sz w:val="28"/>
        </w:rPr>
        <w:t>приведен лишь небольшой отрывок из списка людей, что подверглись критике со стороны партии, потом исключению и лишению партийного билета, а затем и отчуждению избирательного права. Что развязывало руки для регрессионного аппарата, так как человек оставался</w:t>
      </w:r>
      <w:r>
        <w:rPr>
          <w:rFonts w:ascii="Times New Roman" w:eastAsia="Times New Roman" w:hAnsi="Times New Roman" w:cs="Times New Roman"/>
          <w:sz w:val="28"/>
        </w:rPr>
        <w:t xml:space="preserve"> совершенно беззащитным с точки зрения защиты гражданских прав. Причиной могла стать причастность к родственникам за территорией СССР, происхождение не из рабочего класса. Иногда напротив фамилии человека стоит фраза «социально-чуждый человек», которая мож</w:t>
      </w:r>
      <w:r>
        <w:rPr>
          <w:rFonts w:ascii="Times New Roman" w:eastAsia="Times New Roman" w:hAnsi="Times New Roman" w:cs="Times New Roman"/>
          <w:sz w:val="28"/>
        </w:rPr>
        <w:t>ет подразумевать различные причины. Например, личные прения между партийцами, разногласия или конкуренция, критика партийной линии или проводимой политикой. Для данной формулировки необязательно было не быть потомком «класса эксплуататоров» или представите</w:t>
      </w:r>
      <w:r>
        <w:rPr>
          <w:rFonts w:ascii="Times New Roman" w:eastAsia="Times New Roman" w:hAnsi="Times New Roman" w:cs="Times New Roman"/>
          <w:sz w:val="28"/>
        </w:rPr>
        <w:t xml:space="preserve">лем старого режима, ведь она давала неограниченные возможности для запуска судебной машины того времени. </w:t>
      </w:r>
    </w:p>
    <w:p w:rsidR="0052701D" w:rsidRDefault="00D40929">
      <w:pPr>
        <w:spacing w:after="5" w:line="271" w:lineRule="auto"/>
        <w:ind w:left="9" w:right="64" w:firstLine="711"/>
        <w:jc w:val="both"/>
      </w:pPr>
      <w:r>
        <w:rPr>
          <w:rFonts w:ascii="Times New Roman" w:eastAsia="Times New Roman" w:hAnsi="Times New Roman" w:cs="Times New Roman"/>
          <w:sz w:val="28"/>
        </w:rPr>
        <w:t>Также одной из ярких показательных репрессивных кампаний является закон от 7 августа 1932 года. Постановление ЦИК и СНК СССР от 7 августа 1932 года вп</w:t>
      </w:r>
      <w:r>
        <w:rPr>
          <w:rFonts w:ascii="Times New Roman" w:eastAsia="Times New Roman" w:hAnsi="Times New Roman" w:cs="Times New Roman"/>
          <w:sz w:val="28"/>
        </w:rPr>
        <w:t>ервые в советском праве обозначило</w:t>
      </w:r>
      <w:hyperlink r:id="rId657">
        <w:r>
          <w:rPr>
            <w:rFonts w:ascii="Times New Roman" w:eastAsia="Times New Roman" w:hAnsi="Times New Roman" w:cs="Times New Roman"/>
            <w:sz w:val="28"/>
          </w:rPr>
          <w:t xml:space="preserve"> </w:t>
        </w:r>
      </w:hyperlink>
      <w:hyperlink r:id="rId658">
        <w:r>
          <w:rPr>
            <w:rFonts w:ascii="Times New Roman" w:eastAsia="Times New Roman" w:hAnsi="Times New Roman" w:cs="Times New Roman"/>
            <w:sz w:val="28"/>
          </w:rPr>
          <w:t xml:space="preserve">социалистическую </w:t>
        </w:r>
      </w:hyperlink>
      <w:hyperlink r:id="rId659">
        <w:r>
          <w:rPr>
            <w:rFonts w:ascii="Times New Roman" w:eastAsia="Times New Roman" w:hAnsi="Times New Roman" w:cs="Times New Roman"/>
            <w:sz w:val="28"/>
          </w:rPr>
          <w:t>собственность</w:t>
        </w:r>
      </w:hyperlink>
      <w:hyperlink r:id="rId660">
        <w:r>
          <w:rPr>
            <w:rFonts w:ascii="Times New Roman" w:eastAsia="Times New Roman" w:hAnsi="Times New Roman" w:cs="Times New Roman"/>
            <w:sz w:val="28"/>
          </w:rPr>
          <w:t xml:space="preserve"> </w:t>
        </w:r>
      </w:hyperlink>
      <w:r>
        <w:rPr>
          <w:rFonts w:ascii="Times New Roman" w:eastAsia="Times New Roman" w:hAnsi="Times New Roman" w:cs="Times New Roman"/>
          <w:sz w:val="28"/>
        </w:rPr>
        <w:t xml:space="preserve">как основу государства, ввело в правовой оборот понятие </w:t>
      </w:r>
      <w:hyperlink r:id="rId661">
        <w:r>
          <w:rPr>
            <w:rFonts w:ascii="Times New Roman" w:eastAsia="Times New Roman" w:hAnsi="Times New Roman" w:cs="Times New Roman"/>
            <w:sz w:val="28"/>
          </w:rPr>
          <w:t>«</w:t>
        </w:r>
      </w:hyperlink>
      <w:hyperlink r:id="rId662">
        <w:r>
          <w:rPr>
            <w:rFonts w:ascii="Times New Roman" w:eastAsia="Times New Roman" w:hAnsi="Times New Roman" w:cs="Times New Roman"/>
            <w:sz w:val="28"/>
          </w:rPr>
          <w:t>хищение</w:t>
        </w:r>
      </w:hyperlink>
      <w:hyperlink r:id="rId663">
        <w:r>
          <w:rPr>
            <w:rFonts w:ascii="Times New Roman" w:eastAsia="Times New Roman" w:hAnsi="Times New Roman" w:cs="Times New Roman"/>
            <w:sz w:val="28"/>
          </w:rPr>
          <w:t xml:space="preserve"> </w:t>
        </w:r>
      </w:hyperlink>
      <w:hyperlink r:id="rId664">
        <w:r>
          <w:rPr>
            <w:rFonts w:ascii="Times New Roman" w:eastAsia="Times New Roman" w:hAnsi="Times New Roman" w:cs="Times New Roman"/>
            <w:sz w:val="28"/>
          </w:rPr>
          <w:t>социалистической</w:t>
        </w:r>
      </w:hyperlink>
      <w:hyperlink r:id="rId665">
        <w:r>
          <w:rPr>
            <w:rFonts w:ascii="Times New Roman" w:eastAsia="Times New Roman" w:hAnsi="Times New Roman" w:cs="Times New Roman"/>
            <w:sz w:val="28"/>
          </w:rPr>
          <w:t xml:space="preserve"> </w:t>
        </w:r>
      </w:hyperlink>
      <w:hyperlink r:id="rId666">
        <w:r>
          <w:rPr>
            <w:rFonts w:ascii="Times New Roman" w:eastAsia="Times New Roman" w:hAnsi="Times New Roman" w:cs="Times New Roman"/>
            <w:sz w:val="28"/>
          </w:rPr>
          <w:t>собственности</w:t>
        </w:r>
      </w:hyperlink>
      <w:hyperlink r:id="rId667">
        <w:r>
          <w:rPr>
            <w:rFonts w:ascii="Times New Roman" w:eastAsia="Times New Roman" w:hAnsi="Times New Roman" w:cs="Times New Roman"/>
            <w:sz w:val="28"/>
          </w:rPr>
          <w:t>»</w:t>
        </w:r>
      </w:hyperlink>
      <w:r>
        <w:rPr>
          <w:rFonts w:ascii="Times New Roman" w:eastAsia="Times New Roman" w:hAnsi="Times New Roman" w:cs="Times New Roman"/>
          <w:sz w:val="28"/>
        </w:rPr>
        <w:t xml:space="preserve"> (государственного, колхозного и кооперативного имущества), а также установило жестокие меры за подобные преступления: лишение свободы на срок не менее 10 лет с конфискацией имущества, а при отягчаю</w:t>
      </w:r>
      <w:r>
        <w:rPr>
          <w:rFonts w:ascii="Times New Roman" w:eastAsia="Times New Roman" w:hAnsi="Times New Roman" w:cs="Times New Roman"/>
          <w:sz w:val="28"/>
        </w:rPr>
        <w:t>щих обстоятельствах</w:t>
      </w:r>
      <w:hyperlink r:id="rId668">
        <w:r>
          <w:rPr>
            <w:rFonts w:ascii="Times New Roman" w:eastAsia="Times New Roman" w:hAnsi="Times New Roman" w:cs="Times New Roman"/>
            <w:sz w:val="28"/>
          </w:rPr>
          <w:t xml:space="preserve"> </w:t>
        </w:r>
      </w:hyperlink>
      <w:hyperlink r:id="rId669">
        <w:r>
          <w:rPr>
            <w:rFonts w:ascii="Times New Roman" w:eastAsia="Times New Roman" w:hAnsi="Times New Roman" w:cs="Times New Roman"/>
            <w:sz w:val="28"/>
          </w:rPr>
          <w:t>расстрел</w:t>
        </w:r>
      </w:hyperlink>
      <w:hyperlink r:id="rId670">
        <w:r>
          <w:rPr>
            <w:rFonts w:ascii="Times New Roman" w:eastAsia="Times New Roman" w:hAnsi="Times New Roman" w:cs="Times New Roman"/>
            <w:sz w:val="28"/>
          </w:rPr>
          <w:t xml:space="preserve"> </w:t>
        </w:r>
      </w:hyperlink>
      <w:r>
        <w:rPr>
          <w:rFonts w:ascii="Times New Roman" w:eastAsia="Times New Roman" w:hAnsi="Times New Roman" w:cs="Times New Roman"/>
          <w:sz w:val="28"/>
        </w:rPr>
        <w:t>виновного с конфискацией его имущества. В качестве «меры судебной репрессии» по делам об сохр</w:t>
      </w:r>
      <w:r>
        <w:rPr>
          <w:rFonts w:ascii="Times New Roman" w:eastAsia="Times New Roman" w:hAnsi="Times New Roman" w:cs="Times New Roman"/>
          <w:sz w:val="28"/>
        </w:rPr>
        <w:t>анности государственного, колхозного и кооперативного имущества, хищения грузов на железнодорожном и водном транспорте закон предусматривал</w:t>
      </w:r>
      <w:hyperlink r:id="rId671">
        <w:r>
          <w:rPr>
            <w:rFonts w:ascii="Times New Roman" w:eastAsia="Times New Roman" w:hAnsi="Times New Roman" w:cs="Times New Roman"/>
            <w:sz w:val="28"/>
          </w:rPr>
          <w:t xml:space="preserve"> </w:t>
        </w:r>
      </w:hyperlink>
      <w:hyperlink r:id="rId672">
        <w:r>
          <w:rPr>
            <w:rFonts w:ascii="Times New Roman" w:eastAsia="Times New Roman" w:hAnsi="Times New Roman" w:cs="Times New Roman"/>
            <w:sz w:val="28"/>
          </w:rPr>
          <w:t>расстрел</w:t>
        </w:r>
      </w:hyperlink>
      <w:hyperlink r:id="rId673">
        <w:r>
          <w:rPr>
            <w:rFonts w:ascii="Times New Roman" w:eastAsia="Times New Roman" w:hAnsi="Times New Roman" w:cs="Times New Roman"/>
            <w:sz w:val="28"/>
          </w:rPr>
          <w:t xml:space="preserve"> </w:t>
        </w:r>
      </w:hyperlink>
      <w:r>
        <w:rPr>
          <w:rFonts w:ascii="Times New Roman" w:eastAsia="Times New Roman" w:hAnsi="Times New Roman" w:cs="Times New Roman"/>
          <w:sz w:val="28"/>
        </w:rPr>
        <w:t xml:space="preserve">с конфискацией имущества, который при смягчающих обстоятельствах мог быть заменён на лишение свободы на срок не менее 10 лет с </w:t>
      </w:r>
      <w:r>
        <w:rPr>
          <w:rFonts w:ascii="Times New Roman" w:eastAsia="Times New Roman" w:hAnsi="Times New Roman" w:cs="Times New Roman"/>
          <w:sz w:val="28"/>
        </w:rPr>
        <w:t xml:space="preserve">конфискацией имущества. В качестве «меры судебной репрессии» по делам об охране колхозов и колхозников от насилия и угроз со стороны </w:t>
      </w:r>
      <w:hyperlink r:id="rId674">
        <w:r>
          <w:rPr>
            <w:rFonts w:ascii="Times New Roman" w:eastAsia="Times New Roman" w:hAnsi="Times New Roman" w:cs="Times New Roman"/>
            <w:sz w:val="28"/>
          </w:rPr>
          <w:t>«</w:t>
        </w:r>
      </w:hyperlink>
      <w:hyperlink r:id="rId675">
        <w:r>
          <w:rPr>
            <w:rFonts w:ascii="Times New Roman" w:eastAsia="Times New Roman" w:hAnsi="Times New Roman" w:cs="Times New Roman"/>
            <w:sz w:val="28"/>
          </w:rPr>
          <w:t>кулацких</w:t>
        </w:r>
      </w:hyperlink>
      <w:hyperlink r:id="rId676">
        <w:r>
          <w:rPr>
            <w:rFonts w:ascii="Times New Roman" w:eastAsia="Times New Roman" w:hAnsi="Times New Roman" w:cs="Times New Roman"/>
            <w:sz w:val="28"/>
          </w:rPr>
          <w:t xml:space="preserve"> </w:t>
        </w:r>
      </w:hyperlink>
      <w:hyperlink r:id="rId677">
        <w:r>
          <w:rPr>
            <w:rFonts w:ascii="Times New Roman" w:eastAsia="Times New Roman" w:hAnsi="Times New Roman" w:cs="Times New Roman"/>
            <w:sz w:val="28"/>
          </w:rPr>
          <w:t>элементов</w:t>
        </w:r>
      </w:hyperlink>
      <w:hyperlink r:id="rId678">
        <w:r>
          <w:rPr>
            <w:rFonts w:ascii="Times New Roman" w:eastAsia="Times New Roman" w:hAnsi="Times New Roman" w:cs="Times New Roman"/>
            <w:sz w:val="28"/>
          </w:rPr>
          <w:t>»</w:t>
        </w:r>
      </w:hyperlink>
      <w:r>
        <w:rPr>
          <w:rFonts w:ascii="Times New Roman" w:eastAsia="Times New Roman" w:hAnsi="Times New Roman" w:cs="Times New Roman"/>
          <w:sz w:val="28"/>
        </w:rPr>
        <w:t xml:space="preserve"> предусматривалось лишение свободы на срок от 5 до 10 лет. Осуждённые по этому закону не подлежали</w:t>
      </w:r>
      <w:hyperlink r:id="rId679">
        <w:r>
          <w:rPr>
            <w:rFonts w:ascii="Times New Roman" w:eastAsia="Times New Roman" w:hAnsi="Times New Roman" w:cs="Times New Roman"/>
            <w:sz w:val="28"/>
          </w:rPr>
          <w:t xml:space="preserve"> </w:t>
        </w:r>
      </w:hyperlink>
      <w:hyperlink r:id="rId680">
        <w:r>
          <w:rPr>
            <w:rFonts w:ascii="Times New Roman" w:eastAsia="Times New Roman" w:hAnsi="Times New Roman" w:cs="Times New Roman"/>
            <w:sz w:val="28"/>
          </w:rPr>
          <w:t>амнистии</w:t>
        </w:r>
      </w:hyperlink>
      <w:hyperlink r:id="rId681">
        <w:r>
          <w:rPr>
            <w:rFonts w:ascii="Times New Roman" w:eastAsia="Times New Roman" w:hAnsi="Times New Roman" w:cs="Times New Roman"/>
            <w:sz w:val="28"/>
          </w:rPr>
          <w:t>.</w:t>
        </w:r>
      </w:hyperlink>
      <w:r>
        <w:rPr>
          <w:rFonts w:ascii="Times New Roman" w:eastAsia="Times New Roman" w:hAnsi="Times New Roman" w:cs="Times New Roman"/>
          <w:sz w:val="28"/>
        </w:rPr>
        <w:t xml:space="preserve"> Примечательно, что постановление не оговаривало сущность хищения и его отличие от деяний, квалифицируемых по Уголовному кодек</w:t>
      </w:r>
      <w:r>
        <w:rPr>
          <w:rFonts w:ascii="Times New Roman" w:eastAsia="Times New Roman" w:hAnsi="Times New Roman" w:cs="Times New Roman"/>
          <w:sz w:val="28"/>
        </w:rPr>
        <w:t>су, что бы дало возможность судам точнее различать подобные преступления [3]. Где, переходя к мерам социальной защиты, применяемым Судами по закону 7 августа, нужно сказать, что за все время – было приговорено Судами к мерам социальной защиты ниже 10 лет –</w:t>
      </w:r>
      <w:r>
        <w:rPr>
          <w:rFonts w:ascii="Times New Roman" w:eastAsia="Times New Roman" w:hAnsi="Times New Roman" w:cs="Times New Roman"/>
          <w:sz w:val="28"/>
        </w:rPr>
        <w:t xml:space="preserve"> 28,2% всех осужденных. Наибольший процент осужденных на сроки ниже 10 лет дает переход времени до 1/II-33 г., когда на сроки ниже 10 лет были приговорены 50% всех осужденных, за время с 1/II по 15/V-33 г. – уже только10% всех осужденных и за время с 15/V </w:t>
      </w:r>
      <w:r>
        <w:rPr>
          <w:rFonts w:ascii="Times New Roman" w:eastAsia="Times New Roman" w:hAnsi="Times New Roman" w:cs="Times New Roman"/>
          <w:sz w:val="28"/>
        </w:rPr>
        <w:t>по 1/VIII- 13,2%. Количество приговоренных к лишению свободы на 10 лет составляло к общему числу осужденных – за время до 1/II- 47,4%, с 1/II по 15/V – 87,7% и за время с 15/V по 1/VIII – 84,1%. Громадное количество дел, прошедших через Суды, это дела о хи</w:t>
      </w:r>
      <w:r>
        <w:rPr>
          <w:rFonts w:ascii="Times New Roman" w:eastAsia="Times New Roman" w:hAnsi="Times New Roman" w:cs="Times New Roman"/>
          <w:sz w:val="28"/>
        </w:rPr>
        <w:t>щениях колхозной собственности (6422 дела из общего количества 11.220 дел). Дела о хищениях совхозной собственности (975) и госторговли (705) занимают сравнительно незначительный процент, хотя эти цифры совершенно не говорят о благополучии в совхозе, коопе</w:t>
      </w:r>
      <w:r>
        <w:rPr>
          <w:rFonts w:ascii="Times New Roman" w:eastAsia="Times New Roman" w:hAnsi="Times New Roman" w:cs="Times New Roman"/>
          <w:sz w:val="28"/>
        </w:rPr>
        <w:t xml:space="preserve">рации и госторговле мы за последние 2 </w:t>
      </w:r>
      <w:r>
        <w:rPr>
          <w:rFonts w:ascii="Times New Roman" w:eastAsia="Times New Roman" w:hAnsi="Times New Roman" w:cs="Times New Roman"/>
          <w:sz w:val="28"/>
          <w:vertAlign w:val="superscript"/>
        </w:rPr>
        <w:t>½</w:t>
      </w:r>
      <w:r>
        <w:rPr>
          <w:rFonts w:ascii="Times New Roman" w:eastAsia="Times New Roman" w:hAnsi="Times New Roman" w:cs="Times New Roman"/>
          <w:sz w:val="28"/>
        </w:rPr>
        <w:t xml:space="preserve"> месяца имеем сравнительно очень незначительное количество дел о расхищении совхозной собственности (102). Ещё хуже обстоит дело с борьбой с растратами и хищениями кооперативной собственности и собственности в госторг</w:t>
      </w:r>
      <w:r>
        <w:rPr>
          <w:rFonts w:ascii="Times New Roman" w:eastAsia="Times New Roman" w:hAnsi="Times New Roman" w:cs="Times New Roman"/>
          <w:sz w:val="28"/>
        </w:rPr>
        <w:t>овых организациях. Если в период времени с 1/II  по 15/V – 33 г. в Судах было рассмотрено 602 дела о хищениях кооперативной собственности, то за время с 15/V по 1/VIII-33 г. таких дел было рассмотрено 104, дел же о хищениях собственности в госторговле за в</w:t>
      </w:r>
      <w:r>
        <w:rPr>
          <w:rFonts w:ascii="Times New Roman" w:eastAsia="Times New Roman" w:hAnsi="Times New Roman" w:cs="Times New Roman"/>
          <w:sz w:val="28"/>
        </w:rPr>
        <w:t>ремя с 1/II по 15/V-33 г. было рассмотрено 458, а за время с 15/V по 1/VIII-33 г. только 58. Нельзя также сказать, чтобы уменьшились растраты. Однако, Судами за растраты были осуждены по закону 7 августа за время с 15 мая 1933 года по 1 августа 1933 года т</w:t>
      </w:r>
      <w:r>
        <w:rPr>
          <w:rFonts w:ascii="Times New Roman" w:eastAsia="Times New Roman" w:hAnsi="Times New Roman" w:cs="Times New Roman"/>
          <w:sz w:val="28"/>
        </w:rPr>
        <w:t xml:space="preserve">олько 84 человека. </w:t>
      </w:r>
    </w:p>
    <w:p w:rsidR="0052701D" w:rsidRDefault="00D40929">
      <w:pPr>
        <w:spacing w:after="5" w:line="271" w:lineRule="auto"/>
        <w:ind w:left="9" w:right="64"/>
        <w:jc w:val="both"/>
      </w:pPr>
      <w:r>
        <w:rPr>
          <w:rFonts w:ascii="Times New Roman" w:eastAsia="Times New Roman" w:hAnsi="Times New Roman" w:cs="Times New Roman"/>
          <w:sz w:val="28"/>
        </w:rPr>
        <w:lastRenderedPageBreak/>
        <w:t>Во всех Областных Судах имело место, как массовое явление, простое штампование приговоров по закону 7 августа. Это было установлено рядом обследований работы Алма-Атинского Облсуда. По рассмотренным кассационной коллегией Восточно-Казах</w:t>
      </w:r>
      <w:r>
        <w:rPr>
          <w:rFonts w:ascii="Times New Roman" w:eastAsia="Times New Roman" w:hAnsi="Times New Roman" w:cs="Times New Roman"/>
          <w:sz w:val="28"/>
        </w:rPr>
        <w:t xml:space="preserve">станского Облсуда делам с 1 января по 15 мая 1933 года освобождено из-под стражи 843 человека. На 1 июня по Казахстану насчитывается 7.965 членов производственно-товарищеских судов, а 1 сентября их было 9.293. К примеру, Сталинский Нарсуд осудил по закону </w:t>
      </w:r>
      <w:r>
        <w:rPr>
          <w:rFonts w:ascii="Times New Roman" w:eastAsia="Times New Roman" w:hAnsi="Times New Roman" w:cs="Times New Roman"/>
          <w:sz w:val="28"/>
        </w:rPr>
        <w:t xml:space="preserve">от 7 августа к лишению свободы на 10 лет колхозников Воробьева и Дудина за то, что они поставили лошадь кормится у стога сена. В это время стог свалился и у лошади был поврежден глаз [4]. </w:t>
      </w:r>
    </w:p>
    <w:p w:rsidR="0052701D" w:rsidRDefault="00D40929">
      <w:pPr>
        <w:spacing w:after="5" w:line="271" w:lineRule="auto"/>
        <w:ind w:left="9" w:right="64" w:firstLine="711"/>
        <w:jc w:val="both"/>
      </w:pPr>
      <w:r>
        <w:rPr>
          <w:rFonts w:ascii="Times New Roman" w:eastAsia="Times New Roman" w:hAnsi="Times New Roman" w:cs="Times New Roman"/>
          <w:sz w:val="28"/>
        </w:rPr>
        <w:t>Начиная с конца 1925 года вся линия политики Казкрайкома ВКП/б/ пол</w:t>
      </w:r>
      <w:r>
        <w:rPr>
          <w:rFonts w:ascii="Times New Roman" w:eastAsia="Times New Roman" w:hAnsi="Times New Roman" w:cs="Times New Roman"/>
          <w:sz w:val="28"/>
        </w:rPr>
        <w:t>ностью была направлена к переходу от задач «внешнего» порядка к задачам внутреннего Строительства – к задачам подлинного классового расслоения аула. В результате проведения крупных революционных мероприятий /передел ценных угодий, советизация аула, частичн</w:t>
      </w:r>
      <w:r>
        <w:rPr>
          <w:rFonts w:ascii="Times New Roman" w:eastAsia="Times New Roman" w:hAnsi="Times New Roman" w:cs="Times New Roman"/>
          <w:sz w:val="28"/>
        </w:rPr>
        <w:t>ое обновление состава Советов, конфискация баев-полуфеодалов/ создалась новая обстановка в ауле и начинают складываться новые социально-экономические взаимоотношения между отдельными прослойками аула. Проведенные и проводимые под непосредственным руководст</w:t>
      </w:r>
      <w:r>
        <w:rPr>
          <w:rFonts w:ascii="Times New Roman" w:eastAsia="Times New Roman" w:hAnsi="Times New Roman" w:cs="Times New Roman"/>
          <w:sz w:val="28"/>
        </w:rPr>
        <w:t>вом Казкрайкома ВКП/б/ революционные мероприятия определенно были направлены к окончательной ликвидации патриархально-родового строя аула к обслуживанию широких масс трудящихся Казахстана. Предполагалось, что в процессе проведения этих мероприятий оформилс</w:t>
      </w:r>
      <w:r>
        <w:rPr>
          <w:rFonts w:ascii="Times New Roman" w:eastAsia="Times New Roman" w:hAnsi="Times New Roman" w:cs="Times New Roman"/>
          <w:sz w:val="28"/>
        </w:rPr>
        <w:t>я мир простого коммуниста в ауле и тот теперь от представителя «своего» рода (раньше и бай и коммунист- являлись защитниками интересов своего рода) начинает держать курс на представителя большевистской партии. В связи с этими переменами появляется потребно</w:t>
      </w:r>
      <w:r>
        <w:rPr>
          <w:rFonts w:ascii="Times New Roman" w:eastAsia="Times New Roman" w:hAnsi="Times New Roman" w:cs="Times New Roman"/>
          <w:sz w:val="28"/>
        </w:rPr>
        <w:t>сть в «новых кадрах» и в «чистках».  Они не только затронули все слои населения, но и проводились в высших учебных заведениях. Так как нужно было быть уверенными что «социально-чуждый элемент» не взрастётся в стенах советских школ. Изучение социального сос</w:t>
      </w:r>
      <w:r>
        <w:rPr>
          <w:rFonts w:ascii="Times New Roman" w:eastAsia="Times New Roman" w:hAnsi="Times New Roman" w:cs="Times New Roman"/>
          <w:sz w:val="28"/>
        </w:rPr>
        <w:t>тава студенчества, вытеснение чужеродных элементов и попытка пролетаризации учащейся молодежи проводились частично с 1927 года, но в полном объеме с 1928 года в ряде учебных заведений и полностью совпадает с «раскулачиванием» и борьбой с байством. Стоит ли</w:t>
      </w:r>
      <w:r>
        <w:rPr>
          <w:rFonts w:ascii="Times New Roman" w:eastAsia="Times New Roman" w:hAnsi="Times New Roman" w:cs="Times New Roman"/>
          <w:sz w:val="28"/>
        </w:rPr>
        <w:t xml:space="preserve"> говорить, что почти в каждом учебном заведении и партячейке были обнаружены «чужие» или как их тогда называли «из бывших». Что примечательно, для «чистки» среди студентов была создана отдельная «тройка» (судебная комиссия репрессивного аппарата) из членов</w:t>
      </w:r>
      <w:r>
        <w:rPr>
          <w:rFonts w:ascii="Times New Roman" w:eastAsia="Times New Roman" w:hAnsi="Times New Roman" w:cs="Times New Roman"/>
          <w:sz w:val="28"/>
        </w:rPr>
        <w:t xml:space="preserve"> Окружкома. В обязанность Основной Комиссии входила проверка </w:t>
      </w:r>
      <w:r>
        <w:rPr>
          <w:rFonts w:ascii="Times New Roman" w:eastAsia="Times New Roman" w:hAnsi="Times New Roman" w:cs="Times New Roman"/>
          <w:sz w:val="28"/>
        </w:rPr>
        <w:lastRenderedPageBreak/>
        <w:t>всего состава учащихся всех Казучебных заведений, для чего при каждом учебном заведении создались «тройки» и «пятерки» по проверке социального состава. Чтобы обеспечить успех работы «троек» нужно</w:t>
      </w:r>
      <w:r>
        <w:rPr>
          <w:rFonts w:ascii="Times New Roman" w:eastAsia="Times New Roman" w:hAnsi="Times New Roman" w:cs="Times New Roman"/>
          <w:sz w:val="28"/>
        </w:rPr>
        <w:t xml:space="preserve"> было проводить обсуждения на партсобраниях, пропагандировать «чистку» через информацию на комсомольских собраниях и на общестуденческих собраниях. Что приводило к публичным разборам каждого студента и обязательно нужно было выявить кандидатуру для суда тр</w:t>
      </w:r>
      <w:r>
        <w:rPr>
          <w:rFonts w:ascii="Times New Roman" w:eastAsia="Times New Roman" w:hAnsi="Times New Roman" w:cs="Times New Roman"/>
          <w:sz w:val="28"/>
        </w:rPr>
        <w:t xml:space="preserve">ойки. Ведь если никто не был выявлен, то значило бы что была утрачена «партийная бдительность». А подобное могло стать основанием для судебного дела [5]. </w:t>
      </w:r>
    </w:p>
    <w:p w:rsidR="0052701D" w:rsidRDefault="00D40929">
      <w:pPr>
        <w:spacing w:after="5" w:line="271" w:lineRule="auto"/>
        <w:ind w:left="9" w:right="64" w:firstLine="711"/>
        <w:jc w:val="both"/>
      </w:pPr>
      <w:r>
        <w:rPr>
          <w:rFonts w:ascii="Times New Roman" w:eastAsia="Times New Roman" w:hAnsi="Times New Roman" w:cs="Times New Roman"/>
          <w:sz w:val="28"/>
        </w:rPr>
        <w:t>Все вышеперечисленные кампании периода 20–30 годов ХХ века в СССР объединяет то, что все слои населен</w:t>
      </w:r>
      <w:r>
        <w:rPr>
          <w:rFonts w:ascii="Times New Roman" w:eastAsia="Times New Roman" w:hAnsi="Times New Roman" w:cs="Times New Roman"/>
          <w:sz w:val="28"/>
        </w:rPr>
        <w:t>ия и в городах, и в селах ощутили на себе маховик репрессий, возможность отчуждения прав у человека и гражданина. И архивные документы того времени поэтапно рассекречивают и по сей день проводится масштабная работа по исследованиям всех материалов и уголов</w:t>
      </w:r>
      <w:r>
        <w:rPr>
          <w:rFonts w:ascii="Times New Roman" w:eastAsia="Times New Roman" w:hAnsi="Times New Roman" w:cs="Times New Roman"/>
          <w:sz w:val="28"/>
        </w:rPr>
        <w:t xml:space="preserve">ных дел, для того чтобы определить приблизительное число людей, которые подлежат реабилитации.  Ведь чтобы строить будущее нам с вами нужно помнить прошлое. </w:t>
      </w:r>
    </w:p>
    <w:p w:rsidR="0052701D" w:rsidRDefault="00D40929">
      <w:pPr>
        <w:spacing w:after="23"/>
        <w:ind w:left="711"/>
      </w:pPr>
      <w:r>
        <w:rPr>
          <w:rFonts w:ascii="Times New Roman" w:eastAsia="Times New Roman" w:hAnsi="Times New Roman" w:cs="Times New Roman"/>
          <w:b/>
          <w:sz w:val="24"/>
        </w:rPr>
        <w:t xml:space="preserve"> </w:t>
      </w:r>
    </w:p>
    <w:p w:rsidR="0052701D" w:rsidRDefault="00D40929">
      <w:pPr>
        <w:spacing w:after="16" w:line="248" w:lineRule="auto"/>
        <w:ind w:left="819" w:right="179" w:hanging="10"/>
        <w:jc w:val="center"/>
      </w:pPr>
      <w:r>
        <w:rPr>
          <w:rFonts w:ascii="Times New Roman" w:eastAsia="Times New Roman" w:hAnsi="Times New Roman" w:cs="Times New Roman"/>
          <w:b/>
          <w:sz w:val="24"/>
        </w:rPr>
        <w:t xml:space="preserve">ИСТОЧНИКИ </w:t>
      </w:r>
    </w:p>
    <w:p w:rsidR="0052701D" w:rsidRDefault="00D40929">
      <w:pPr>
        <w:numPr>
          <w:ilvl w:val="0"/>
          <w:numId w:val="113"/>
        </w:numPr>
        <w:spacing w:after="29" w:line="248" w:lineRule="auto"/>
        <w:ind w:right="14" w:firstLine="711"/>
        <w:jc w:val="both"/>
      </w:pPr>
      <w:r>
        <w:rPr>
          <w:rFonts w:ascii="Times New Roman" w:eastAsia="Times New Roman" w:hAnsi="Times New Roman" w:cs="Times New Roman"/>
          <w:sz w:val="24"/>
        </w:rPr>
        <w:t xml:space="preserve">ЦГА РК Ф.1380 Оп.1 Д.265 Л.10-30. </w:t>
      </w:r>
    </w:p>
    <w:p w:rsidR="0052701D" w:rsidRDefault="00D40929">
      <w:pPr>
        <w:numPr>
          <w:ilvl w:val="0"/>
          <w:numId w:val="113"/>
        </w:numPr>
        <w:spacing w:after="9" w:line="250" w:lineRule="auto"/>
        <w:ind w:right="14" w:firstLine="711"/>
        <w:jc w:val="both"/>
      </w:pPr>
      <w:hyperlink r:id="rId682">
        <w:r>
          <w:rPr>
            <w:rFonts w:ascii="Times New Roman" w:eastAsia="Times New Roman" w:hAnsi="Times New Roman" w:cs="Times New Roman"/>
            <w:color w:val="0000FF"/>
            <w:sz w:val="24"/>
            <w:u w:val="single" w:color="0000FF"/>
          </w:rPr>
          <w:t>https</w:t>
        </w:r>
      </w:hyperlink>
      <w:hyperlink r:id="rId683">
        <w:r>
          <w:rPr>
            <w:rFonts w:ascii="Times New Roman" w:eastAsia="Times New Roman" w:hAnsi="Times New Roman" w:cs="Times New Roman"/>
            <w:color w:val="0000FF"/>
            <w:sz w:val="24"/>
            <w:u w:val="single" w:color="0000FF"/>
          </w:rPr>
          <w:t>://</w:t>
        </w:r>
      </w:hyperlink>
      <w:hyperlink r:id="rId684">
        <w:r>
          <w:rPr>
            <w:rFonts w:ascii="Times New Roman" w:eastAsia="Times New Roman" w:hAnsi="Times New Roman" w:cs="Times New Roman"/>
            <w:color w:val="0000FF"/>
            <w:sz w:val="24"/>
            <w:u w:val="single" w:color="0000FF"/>
          </w:rPr>
          <w:t>ru</w:t>
        </w:r>
      </w:hyperlink>
      <w:hyperlink r:id="rId685">
        <w:r>
          <w:rPr>
            <w:rFonts w:ascii="Times New Roman" w:eastAsia="Times New Roman" w:hAnsi="Times New Roman" w:cs="Times New Roman"/>
            <w:color w:val="0000FF"/>
            <w:sz w:val="24"/>
            <w:u w:val="single" w:color="0000FF"/>
          </w:rPr>
          <w:t>.</w:t>
        </w:r>
      </w:hyperlink>
      <w:hyperlink r:id="rId686">
        <w:r>
          <w:rPr>
            <w:rFonts w:ascii="Times New Roman" w:eastAsia="Times New Roman" w:hAnsi="Times New Roman" w:cs="Times New Roman"/>
            <w:color w:val="0000FF"/>
            <w:sz w:val="24"/>
            <w:u w:val="single" w:color="0000FF"/>
          </w:rPr>
          <w:t>wikipedia</w:t>
        </w:r>
      </w:hyperlink>
      <w:hyperlink r:id="rId687">
        <w:r>
          <w:rPr>
            <w:rFonts w:ascii="Times New Roman" w:eastAsia="Times New Roman" w:hAnsi="Times New Roman" w:cs="Times New Roman"/>
            <w:color w:val="0000FF"/>
            <w:sz w:val="24"/>
            <w:u w:val="single" w:color="0000FF"/>
          </w:rPr>
          <w:t>.</w:t>
        </w:r>
      </w:hyperlink>
      <w:hyperlink r:id="rId688">
        <w:r>
          <w:rPr>
            <w:rFonts w:ascii="Times New Roman" w:eastAsia="Times New Roman" w:hAnsi="Times New Roman" w:cs="Times New Roman"/>
            <w:color w:val="0000FF"/>
            <w:sz w:val="24"/>
            <w:u w:val="single" w:color="0000FF"/>
          </w:rPr>
          <w:t>org</w:t>
        </w:r>
      </w:hyperlink>
      <w:hyperlink r:id="rId689">
        <w:r>
          <w:rPr>
            <w:rFonts w:ascii="Times New Roman" w:eastAsia="Times New Roman" w:hAnsi="Times New Roman" w:cs="Times New Roman"/>
            <w:color w:val="0000FF"/>
            <w:sz w:val="24"/>
            <w:u w:val="single" w:color="0000FF"/>
          </w:rPr>
          <w:t>/</w:t>
        </w:r>
      </w:hyperlink>
      <w:hyperlink r:id="rId690">
        <w:r>
          <w:rPr>
            <w:rFonts w:ascii="Times New Roman" w:eastAsia="Times New Roman" w:hAnsi="Times New Roman" w:cs="Times New Roman"/>
            <w:color w:val="0000FF"/>
            <w:sz w:val="24"/>
            <w:u w:val="single" w:color="0000FF"/>
          </w:rPr>
          <w:t>wiki</w:t>
        </w:r>
      </w:hyperlink>
      <w:hyperlink r:id="rId691">
        <w:r>
          <w:rPr>
            <w:rFonts w:ascii="Times New Roman" w:eastAsia="Times New Roman" w:hAnsi="Times New Roman" w:cs="Times New Roman"/>
            <w:color w:val="0000FF"/>
            <w:sz w:val="24"/>
            <w:u w:val="single" w:color="0000FF"/>
          </w:rPr>
          <w:t>/</w:t>
        </w:r>
      </w:hyperlink>
      <w:hyperlink r:id="rId692">
        <w:r>
          <w:rPr>
            <w:rFonts w:ascii="Times New Roman" w:eastAsia="Times New Roman" w:hAnsi="Times New Roman" w:cs="Times New Roman"/>
            <w:sz w:val="24"/>
          </w:rPr>
          <w:t xml:space="preserve"> </w:t>
        </w:r>
      </w:hyperlink>
    </w:p>
    <w:p w:rsidR="0052701D" w:rsidRDefault="00D40929">
      <w:pPr>
        <w:numPr>
          <w:ilvl w:val="0"/>
          <w:numId w:val="113"/>
        </w:numPr>
        <w:spacing w:after="29" w:line="248" w:lineRule="auto"/>
        <w:ind w:right="14" w:firstLine="711"/>
        <w:jc w:val="both"/>
      </w:pPr>
      <w:r>
        <w:rPr>
          <w:rFonts w:ascii="Times New Roman" w:eastAsia="Times New Roman" w:hAnsi="Times New Roman" w:cs="Times New Roman"/>
          <w:sz w:val="24"/>
        </w:rPr>
        <w:t xml:space="preserve">Ф.141 Оп. 10 Ед.хр.9409  Архив Президента РК </w:t>
      </w:r>
    </w:p>
    <w:p w:rsidR="0052701D" w:rsidRDefault="00D40929">
      <w:pPr>
        <w:numPr>
          <w:ilvl w:val="0"/>
          <w:numId w:val="113"/>
        </w:numPr>
        <w:spacing w:after="29" w:line="248" w:lineRule="auto"/>
        <w:ind w:right="14" w:firstLine="711"/>
        <w:jc w:val="both"/>
      </w:pPr>
      <w:r>
        <w:rPr>
          <w:rFonts w:ascii="Times New Roman" w:eastAsia="Times New Roman" w:hAnsi="Times New Roman" w:cs="Times New Roman"/>
          <w:sz w:val="24"/>
        </w:rPr>
        <w:t>ЦГА РК Ф.251 Оп.11 Д.820 Л.10-42 «Доклад о борьбе судебных органов КАССР за охрану социалистической собственности и о определении закона 7 августа 1932 года</w:t>
      </w:r>
      <w:r>
        <w:rPr>
          <w:rFonts w:ascii="Times New Roman" w:eastAsia="Times New Roman" w:hAnsi="Times New Roman" w:cs="Times New Roman"/>
          <w:sz w:val="24"/>
        </w:rPr>
        <w:t xml:space="preserve">». </w:t>
      </w:r>
    </w:p>
    <w:p w:rsidR="0052701D" w:rsidRDefault="00D40929">
      <w:pPr>
        <w:numPr>
          <w:ilvl w:val="0"/>
          <w:numId w:val="113"/>
        </w:numPr>
        <w:spacing w:after="29" w:line="248" w:lineRule="auto"/>
        <w:ind w:right="14" w:firstLine="711"/>
        <w:jc w:val="both"/>
      </w:pPr>
      <w:r>
        <w:rPr>
          <w:rFonts w:ascii="Times New Roman" w:eastAsia="Times New Roman" w:hAnsi="Times New Roman" w:cs="Times New Roman"/>
          <w:sz w:val="24"/>
        </w:rPr>
        <w:t xml:space="preserve">Ф.141 Оп.1 Ед.хр.: 2248 «Материалы о чистке учебных заведений от социально- чуждого элемента (протоколы комиссии по чистке, заявления студентов, переписка и др.) 1928 года». </w:t>
      </w:r>
      <w:r>
        <w:rPr>
          <w:rFonts w:ascii="Times New Roman" w:eastAsia="Times New Roman" w:hAnsi="Times New Roman" w:cs="Times New Roman"/>
          <w:sz w:val="20"/>
        </w:rPr>
        <w:t xml:space="preserve"> </w:t>
      </w:r>
    </w:p>
    <w:p w:rsidR="0052701D" w:rsidRDefault="00D40929">
      <w:pPr>
        <w:spacing w:after="38"/>
        <w:ind w:left="711"/>
      </w:pPr>
      <w:r>
        <w:rPr>
          <w:rFonts w:ascii="Times New Roman" w:eastAsia="Times New Roman" w:hAnsi="Times New Roman" w:cs="Times New Roman"/>
          <w:sz w:val="20"/>
        </w:rPr>
        <w:t xml:space="preserve"> </w:t>
      </w:r>
    </w:p>
    <w:p w:rsidR="0052701D" w:rsidRDefault="00D40929">
      <w:pPr>
        <w:spacing w:after="4" w:line="271" w:lineRule="auto"/>
        <w:ind w:left="-5" w:right="194" w:hanging="10"/>
      </w:pPr>
      <w:r>
        <w:rPr>
          <w:rFonts w:ascii="Times New Roman" w:eastAsia="Times New Roman" w:hAnsi="Times New Roman" w:cs="Times New Roman"/>
          <w:b/>
          <w:sz w:val="24"/>
        </w:rPr>
        <w:t xml:space="preserve">МРНТИ 16.21.31,13.15.51 УДК 316 </w:t>
      </w:r>
    </w:p>
    <w:p w:rsidR="0052701D" w:rsidRDefault="00D40929">
      <w:pPr>
        <w:spacing w:after="35"/>
        <w:ind w:left="711"/>
      </w:pPr>
      <w:r>
        <w:rPr>
          <w:rFonts w:ascii="Times New Roman" w:eastAsia="Times New Roman" w:hAnsi="Times New Roman" w:cs="Times New Roman"/>
          <w:sz w:val="28"/>
        </w:rPr>
        <w:t xml:space="preserve"> </w:t>
      </w:r>
    </w:p>
    <w:p w:rsidR="0052701D" w:rsidRDefault="00D40929">
      <w:pPr>
        <w:pStyle w:val="1"/>
        <w:spacing w:after="31" w:line="259" w:lineRule="auto"/>
        <w:ind w:left="927" w:right="0" w:firstLine="0"/>
        <w:jc w:val="left"/>
      </w:pPr>
      <w:r>
        <w:rPr>
          <w:color w:val="0C0E0D"/>
        </w:rPr>
        <w:t xml:space="preserve">СПЕЦИФИКА ПЕРЕВОДА РЕКЛАМНОГО ТЕКСТА В </w:t>
      </w:r>
      <w:r>
        <w:rPr>
          <w:color w:val="0C0E0D"/>
        </w:rPr>
        <w:t xml:space="preserve">РАМКАХ МЕЖКУЛЬТУРНОЙ КОММУНИКАЦИИ </w:t>
      </w:r>
    </w:p>
    <w:p w:rsidR="0052701D" w:rsidRDefault="00D40929">
      <w:pPr>
        <w:spacing w:after="0"/>
        <w:ind w:left="706"/>
        <w:jc w:val="center"/>
      </w:pPr>
      <w:r>
        <w:rPr>
          <w:rFonts w:ascii="Times New Roman" w:eastAsia="Times New Roman" w:hAnsi="Times New Roman" w:cs="Times New Roman"/>
          <w:b/>
          <w:color w:val="0C0E0D"/>
          <w:sz w:val="28"/>
        </w:rPr>
        <w:t xml:space="preserve"> </w:t>
      </w:r>
    </w:p>
    <w:p w:rsidR="0052701D" w:rsidRDefault="00D40929">
      <w:pPr>
        <w:pStyle w:val="1"/>
        <w:spacing w:after="17" w:line="259" w:lineRule="auto"/>
        <w:ind w:left="640" w:right="4"/>
      </w:pPr>
      <w:r>
        <w:rPr>
          <w:color w:val="0C0E0D"/>
          <w:sz w:val="24"/>
        </w:rPr>
        <w:t xml:space="preserve">Нурмаханова Маржан Калжановна </w:t>
      </w:r>
    </w:p>
    <w:p w:rsidR="0052701D" w:rsidRDefault="00D40929">
      <w:pPr>
        <w:spacing w:after="0"/>
        <w:ind w:left="1469" w:hanging="10"/>
      </w:pPr>
      <w:r>
        <w:rPr>
          <w:rFonts w:ascii="Times New Roman" w:eastAsia="Times New Roman" w:hAnsi="Times New Roman" w:cs="Times New Roman"/>
          <w:color w:val="0C0E0D"/>
          <w:sz w:val="24"/>
        </w:rPr>
        <w:t xml:space="preserve">Алматинский университет энергетики и связи им.  Гумарбека Даукеева, </w:t>
      </w:r>
    </w:p>
    <w:p w:rsidR="0052701D" w:rsidRDefault="00D40929">
      <w:pPr>
        <w:spacing w:after="0"/>
        <w:ind w:left="646" w:hanging="10"/>
        <w:jc w:val="center"/>
      </w:pPr>
      <w:r>
        <w:rPr>
          <w:rFonts w:ascii="Times New Roman" w:eastAsia="Times New Roman" w:hAnsi="Times New Roman" w:cs="Times New Roman"/>
          <w:color w:val="0C0E0D"/>
          <w:sz w:val="24"/>
        </w:rPr>
        <w:t xml:space="preserve">m.nurmahanova@gmail .ru </w:t>
      </w:r>
    </w:p>
    <w:p w:rsidR="0052701D" w:rsidRDefault="00D40929">
      <w:pPr>
        <w:spacing w:after="18"/>
        <w:ind w:left="696"/>
        <w:jc w:val="center"/>
      </w:pPr>
      <w:r>
        <w:rPr>
          <w:rFonts w:ascii="Times New Roman" w:eastAsia="Times New Roman" w:hAnsi="Times New Roman" w:cs="Times New Roman"/>
          <w:color w:val="0C0E0D"/>
          <w:sz w:val="24"/>
        </w:rPr>
        <w:t xml:space="preserve"> </w:t>
      </w:r>
    </w:p>
    <w:p w:rsidR="0052701D" w:rsidRDefault="00D40929">
      <w:pPr>
        <w:spacing w:after="29" w:line="248" w:lineRule="auto"/>
        <w:ind w:left="9" w:firstLine="711"/>
        <w:jc w:val="both"/>
      </w:pPr>
      <w:r>
        <w:rPr>
          <w:rFonts w:ascii="Times New Roman" w:eastAsia="Times New Roman" w:hAnsi="Times New Roman" w:cs="Times New Roman"/>
          <w:b/>
          <w:i/>
          <w:sz w:val="24"/>
        </w:rPr>
        <w:t>Аннотация</w:t>
      </w:r>
      <w:r>
        <w:rPr>
          <w:rFonts w:ascii="Times New Roman" w:eastAsia="Times New Roman" w:hAnsi="Times New Roman" w:cs="Times New Roman"/>
          <w:i/>
          <w:sz w:val="24"/>
        </w:rPr>
        <w:t xml:space="preserve">. Реалии сегодняшнего дня заставляют переводчиков более внимательно относиться к </w:t>
      </w:r>
      <w:r>
        <w:rPr>
          <w:rFonts w:ascii="Times New Roman" w:eastAsia="Times New Roman" w:hAnsi="Times New Roman" w:cs="Times New Roman"/>
          <w:i/>
          <w:sz w:val="24"/>
        </w:rPr>
        <w:t xml:space="preserve">переводу рекламных текстов. Рекламный текст в Казахстане переживает этапы своего становления и представляет собой значимый пласт культуры предпринимательства, участвующего в формировании информационной среды современного человека. </w:t>
      </w:r>
    </w:p>
    <w:p w:rsidR="0052701D" w:rsidRDefault="00D40929">
      <w:pPr>
        <w:spacing w:after="29" w:line="248" w:lineRule="auto"/>
        <w:ind w:left="9" w:firstLine="711"/>
        <w:jc w:val="both"/>
      </w:pPr>
      <w:r>
        <w:rPr>
          <w:rFonts w:ascii="Times New Roman" w:eastAsia="Times New Roman" w:hAnsi="Times New Roman" w:cs="Times New Roman"/>
          <w:i/>
          <w:sz w:val="24"/>
        </w:rPr>
        <w:t>Статья  посвящена анализ</w:t>
      </w:r>
      <w:r>
        <w:rPr>
          <w:rFonts w:ascii="Times New Roman" w:eastAsia="Times New Roman" w:hAnsi="Times New Roman" w:cs="Times New Roman"/>
          <w:i/>
          <w:sz w:val="24"/>
        </w:rPr>
        <w:t xml:space="preserve">у  переводческих особенностей рекламных текстов  в рамках современной межкультурной коммуникации. В сравнении с переводом художественной </w:t>
      </w:r>
      <w:r>
        <w:rPr>
          <w:rFonts w:ascii="Times New Roman" w:eastAsia="Times New Roman" w:hAnsi="Times New Roman" w:cs="Times New Roman"/>
          <w:i/>
          <w:sz w:val="24"/>
        </w:rPr>
        <w:lastRenderedPageBreak/>
        <w:t>литературы  перевод рекламного текста   отличается по форме, языковым средствам, а также выраженной коммуникативной нап</w:t>
      </w:r>
      <w:r>
        <w:rPr>
          <w:rFonts w:ascii="Times New Roman" w:eastAsia="Times New Roman" w:hAnsi="Times New Roman" w:cs="Times New Roman"/>
          <w:i/>
          <w:sz w:val="24"/>
        </w:rPr>
        <w:t xml:space="preserve">равленностью. Сегодня  назрела необходимость основательного изучения проблемы перевода рекламных текстов.  Отметим, что данный пласт необходимо переводить с особенным вниманием, так как он значительно отличается от других.  </w:t>
      </w:r>
    </w:p>
    <w:p w:rsidR="0052701D" w:rsidRDefault="00D40929">
      <w:pPr>
        <w:spacing w:after="29" w:line="248" w:lineRule="auto"/>
        <w:ind w:left="9" w:right="77" w:firstLine="711"/>
        <w:jc w:val="both"/>
      </w:pP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 межкультурная к</w:t>
      </w:r>
      <w:r>
        <w:rPr>
          <w:rFonts w:ascii="Times New Roman" w:eastAsia="Times New Roman" w:hAnsi="Times New Roman" w:cs="Times New Roman"/>
          <w:i/>
          <w:sz w:val="24"/>
        </w:rPr>
        <w:t>оммуникация, переводческие особенности, рекламный текст, коммуникативная направленность, синтаксическая сочетаемость, буквальная точность.</w:t>
      </w:r>
      <w:r>
        <w:rPr>
          <w:rFonts w:ascii="Times New Roman" w:eastAsia="Times New Roman" w:hAnsi="Times New Roman" w:cs="Times New Roman"/>
          <w:b/>
          <w:color w:val="0C0E0D"/>
          <w:sz w:val="24"/>
        </w:rPr>
        <w:t xml:space="preserve">  </w:t>
      </w:r>
    </w:p>
    <w:p w:rsidR="0052701D" w:rsidRDefault="00D40929">
      <w:pPr>
        <w:spacing w:after="0"/>
        <w:ind w:left="711"/>
      </w:pPr>
      <w:r>
        <w:rPr>
          <w:rFonts w:ascii="Times New Roman" w:eastAsia="Times New Roman" w:hAnsi="Times New Roman" w:cs="Times New Roman"/>
          <w:b/>
          <w:color w:val="0C0E0D"/>
          <w:sz w:val="24"/>
        </w:rPr>
        <w:t xml:space="preserve"> </w:t>
      </w:r>
    </w:p>
    <w:p w:rsidR="0052701D" w:rsidRDefault="00D40929">
      <w:pPr>
        <w:spacing w:after="12"/>
        <w:ind w:left="711"/>
      </w:pPr>
      <w:r>
        <w:rPr>
          <w:rFonts w:ascii="Times New Roman" w:eastAsia="Times New Roman" w:hAnsi="Times New Roman" w:cs="Times New Roman"/>
          <w:b/>
          <w:color w:val="0C0E0D"/>
          <w:sz w:val="24"/>
        </w:rPr>
        <w:t xml:space="preserve"> </w:t>
      </w:r>
    </w:p>
    <w:p w:rsidR="0052701D" w:rsidRDefault="00D40929">
      <w:pPr>
        <w:spacing w:after="0"/>
        <w:ind w:right="183"/>
        <w:jc w:val="right"/>
      </w:pPr>
      <w:r>
        <w:rPr>
          <w:rFonts w:ascii="Times New Roman" w:eastAsia="Times New Roman" w:hAnsi="Times New Roman" w:cs="Times New Roman"/>
          <w:b/>
          <w:color w:val="0C0E0D"/>
          <w:sz w:val="28"/>
        </w:rPr>
        <w:t xml:space="preserve">THE SPECIFICS OF THE TRANSLATION OF ADVERTISING TEXT </w:t>
      </w:r>
    </w:p>
    <w:p w:rsidR="0052701D" w:rsidRDefault="00D40929">
      <w:pPr>
        <w:spacing w:after="0"/>
        <w:ind w:left="10" w:right="72" w:hanging="10"/>
        <w:jc w:val="center"/>
      </w:pPr>
      <w:r>
        <w:rPr>
          <w:rFonts w:ascii="Times New Roman" w:eastAsia="Times New Roman" w:hAnsi="Times New Roman" w:cs="Times New Roman"/>
          <w:b/>
          <w:color w:val="0C0E0D"/>
          <w:sz w:val="28"/>
        </w:rPr>
        <w:t xml:space="preserve">IN THE FRAMEWORK OF INTERCULTURAL COMMUNICATION </w:t>
      </w:r>
    </w:p>
    <w:p w:rsidR="0052701D" w:rsidRDefault="00D40929">
      <w:pPr>
        <w:spacing w:after="17"/>
        <w:ind w:left="640" w:hanging="10"/>
        <w:jc w:val="center"/>
      </w:pPr>
      <w:r>
        <w:rPr>
          <w:rFonts w:ascii="Times New Roman" w:eastAsia="Times New Roman" w:hAnsi="Times New Roman" w:cs="Times New Roman"/>
          <w:b/>
          <w:color w:val="0C0E0D"/>
          <w:sz w:val="24"/>
        </w:rPr>
        <w:t>Nurmakha</w:t>
      </w:r>
      <w:r>
        <w:rPr>
          <w:rFonts w:ascii="Times New Roman" w:eastAsia="Times New Roman" w:hAnsi="Times New Roman" w:cs="Times New Roman"/>
          <w:b/>
          <w:color w:val="0C0E0D"/>
          <w:sz w:val="24"/>
        </w:rPr>
        <w:t xml:space="preserve">nova Marzhan Kalzhanovna </w:t>
      </w:r>
    </w:p>
    <w:p w:rsidR="0052701D" w:rsidRDefault="00D40929">
      <w:pPr>
        <w:spacing w:after="0"/>
        <w:ind w:left="1701" w:hanging="10"/>
      </w:pPr>
      <w:r>
        <w:rPr>
          <w:rFonts w:ascii="Times New Roman" w:eastAsia="Times New Roman" w:hAnsi="Times New Roman" w:cs="Times New Roman"/>
          <w:color w:val="0C0E0D"/>
          <w:sz w:val="24"/>
        </w:rPr>
        <w:t xml:space="preserve">Gumarbek Daukeev Almaty University of Energy and Communications, </w:t>
      </w:r>
    </w:p>
    <w:p w:rsidR="0052701D" w:rsidRDefault="00D40929">
      <w:pPr>
        <w:spacing w:after="0"/>
        <w:ind w:left="646" w:hanging="10"/>
        <w:jc w:val="center"/>
      </w:pPr>
      <w:r>
        <w:rPr>
          <w:rFonts w:ascii="Times New Roman" w:eastAsia="Times New Roman" w:hAnsi="Times New Roman" w:cs="Times New Roman"/>
          <w:color w:val="0C0E0D"/>
          <w:sz w:val="24"/>
        </w:rPr>
        <w:t xml:space="preserve">m.nurmahanova@gmail .ru </w:t>
      </w:r>
    </w:p>
    <w:p w:rsidR="0052701D" w:rsidRDefault="00D40929">
      <w:pPr>
        <w:spacing w:after="0"/>
        <w:ind w:left="711"/>
      </w:pPr>
      <w:r>
        <w:rPr>
          <w:rFonts w:ascii="Times New Roman" w:eastAsia="Times New Roman" w:hAnsi="Times New Roman" w:cs="Times New Roman"/>
          <w:b/>
          <w:color w:val="0C0E0D"/>
          <w:sz w:val="24"/>
        </w:rPr>
        <w:t xml:space="preserve"> </w:t>
      </w:r>
    </w:p>
    <w:p w:rsidR="0052701D" w:rsidRDefault="00D40929">
      <w:pPr>
        <w:spacing w:after="5" w:line="237" w:lineRule="auto"/>
        <w:ind w:left="-15" w:right="54" w:firstLine="701"/>
        <w:jc w:val="both"/>
      </w:pPr>
      <w:r>
        <w:rPr>
          <w:rFonts w:ascii="Times New Roman" w:eastAsia="Times New Roman" w:hAnsi="Times New Roman" w:cs="Times New Roman"/>
          <w:b/>
          <w:i/>
          <w:color w:val="0C0E0D"/>
          <w:sz w:val="24"/>
        </w:rPr>
        <w:t>Annotation</w:t>
      </w:r>
      <w:r>
        <w:rPr>
          <w:rFonts w:ascii="Times New Roman" w:eastAsia="Times New Roman" w:hAnsi="Times New Roman" w:cs="Times New Roman"/>
          <w:i/>
          <w:color w:val="0C0E0D"/>
          <w:sz w:val="24"/>
        </w:rPr>
        <w:t xml:space="preserve">. The realities of today force translators to be more attentive to the translation of advertising texts. The advertising text </w:t>
      </w:r>
      <w:r>
        <w:rPr>
          <w:rFonts w:ascii="Times New Roman" w:eastAsia="Times New Roman" w:hAnsi="Times New Roman" w:cs="Times New Roman"/>
          <w:i/>
          <w:color w:val="0C0E0D"/>
          <w:sz w:val="24"/>
        </w:rPr>
        <w:t xml:space="preserve">in Kazakhstan is going through the stages of its formation and represents a significant layer of the culture of entrepreneurship involved in the formation of the information environment of a modern person. </w:t>
      </w:r>
    </w:p>
    <w:p w:rsidR="0052701D" w:rsidRDefault="00D40929">
      <w:pPr>
        <w:spacing w:after="5" w:line="237" w:lineRule="auto"/>
        <w:ind w:left="-15" w:right="54" w:firstLine="701"/>
        <w:jc w:val="both"/>
      </w:pPr>
      <w:r>
        <w:rPr>
          <w:rFonts w:ascii="Times New Roman" w:eastAsia="Times New Roman" w:hAnsi="Times New Roman" w:cs="Times New Roman"/>
          <w:i/>
          <w:color w:val="0C0E0D"/>
          <w:sz w:val="24"/>
        </w:rPr>
        <w:t xml:space="preserve"> The article is devoted to the analysis of the tr</w:t>
      </w:r>
      <w:r>
        <w:rPr>
          <w:rFonts w:ascii="Times New Roman" w:eastAsia="Times New Roman" w:hAnsi="Times New Roman" w:cs="Times New Roman"/>
          <w:i/>
          <w:color w:val="0C0E0D"/>
          <w:sz w:val="24"/>
        </w:rPr>
        <w:t>anslation features of advertising texts in the framework of modern intercultural communication.  In comparison with the translation of fiction, the translation of the advertising text differs in form, language means, as well as a pronounced communicative o</w:t>
      </w:r>
      <w:r>
        <w:rPr>
          <w:rFonts w:ascii="Times New Roman" w:eastAsia="Times New Roman" w:hAnsi="Times New Roman" w:cs="Times New Roman"/>
          <w:i/>
          <w:color w:val="0C0E0D"/>
          <w:sz w:val="24"/>
        </w:rPr>
        <w:t xml:space="preserve">rientation. Today there is a need for a thorough study of the problem of translation of advertising texts.  Note that this layer must be translated with special attention, as it differs significantly from others.  </w:t>
      </w:r>
    </w:p>
    <w:p w:rsidR="0052701D" w:rsidRDefault="00D40929">
      <w:pPr>
        <w:spacing w:after="5" w:line="237" w:lineRule="auto"/>
        <w:ind w:left="-15" w:right="54" w:firstLine="701"/>
        <w:jc w:val="both"/>
      </w:pPr>
      <w:r>
        <w:rPr>
          <w:rFonts w:ascii="Times New Roman" w:eastAsia="Times New Roman" w:hAnsi="Times New Roman" w:cs="Times New Roman"/>
          <w:b/>
          <w:i/>
          <w:color w:val="0C0E0D"/>
          <w:sz w:val="24"/>
        </w:rPr>
        <w:t>Keywords</w:t>
      </w:r>
      <w:r>
        <w:rPr>
          <w:rFonts w:ascii="Times New Roman" w:eastAsia="Times New Roman" w:hAnsi="Times New Roman" w:cs="Times New Roman"/>
          <w:i/>
          <w:color w:val="0C0E0D"/>
          <w:sz w:val="24"/>
        </w:rPr>
        <w:t>: intercultural communication, tr</w:t>
      </w:r>
      <w:r>
        <w:rPr>
          <w:rFonts w:ascii="Times New Roman" w:eastAsia="Times New Roman" w:hAnsi="Times New Roman" w:cs="Times New Roman"/>
          <w:i/>
          <w:color w:val="0C0E0D"/>
          <w:sz w:val="24"/>
        </w:rPr>
        <w:t xml:space="preserve">anslation features, advertising text, communicative orientation, syntactic compatibility, literal accuracy. </w:t>
      </w:r>
    </w:p>
    <w:p w:rsidR="0052701D" w:rsidRDefault="00D40929">
      <w:pPr>
        <w:spacing w:after="64"/>
        <w:ind w:left="711"/>
      </w:pPr>
      <w:r>
        <w:rPr>
          <w:rFonts w:ascii="Times New Roman" w:eastAsia="Times New Roman" w:hAnsi="Times New Roman" w:cs="Times New Roman"/>
          <w:i/>
          <w:color w:val="0C0E0D"/>
          <w:sz w:val="24"/>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Информационные процессы в современном обществе носят глобальный характер. ХХ1 век открыл перед нами эпоху научно-технического прогресса, информац</w:t>
      </w:r>
      <w:r>
        <w:rPr>
          <w:rFonts w:ascii="Times New Roman" w:eastAsia="Times New Roman" w:hAnsi="Times New Roman" w:cs="Times New Roman"/>
          <w:sz w:val="28"/>
        </w:rPr>
        <w:t xml:space="preserve">ионных технологий и цифровой экономики. Мир вышел на новый уровень развития. Особым символом смены тысячелетий стали сотрудничество и взаимопонимание государств.  </w:t>
      </w:r>
    </w:p>
    <w:p w:rsidR="0052701D" w:rsidRDefault="00D40929">
      <w:pPr>
        <w:spacing w:after="5" w:line="271" w:lineRule="auto"/>
        <w:ind w:left="9" w:right="64" w:firstLine="711"/>
        <w:jc w:val="both"/>
      </w:pPr>
      <w:r>
        <w:rPr>
          <w:rFonts w:ascii="Times New Roman" w:eastAsia="Times New Roman" w:hAnsi="Times New Roman" w:cs="Times New Roman"/>
          <w:sz w:val="28"/>
        </w:rPr>
        <w:t>Казахстан на нынешнем рубеже исторического развития находится в ситуации масштабного информа</w:t>
      </w:r>
      <w:r>
        <w:rPr>
          <w:rFonts w:ascii="Times New Roman" w:eastAsia="Times New Roman" w:hAnsi="Times New Roman" w:cs="Times New Roman"/>
          <w:sz w:val="28"/>
        </w:rPr>
        <w:t xml:space="preserve">ционного запроса. </w:t>
      </w:r>
    </w:p>
    <w:p w:rsidR="0052701D" w:rsidRDefault="00D40929">
      <w:pPr>
        <w:spacing w:after="5" w:line="271" w:lineRule="auto"/>
        <w:ind w:left="9" w:right="64" w:firstLine="711"/>
        <w:jc w:val="both"/>
      </w:pPr>
      <w:r>
        <w:rPr>
          <w:rFonts w:ascii="Times New Roman" w:eastAsia="Times New Roman" w:hAnsi="Times New Roman" w:cs="Times New Roman"/>
          <w:sz w:val="28"/>
        </w:rPr>
        <w:t>Проблема социального, политического, культурного, экономического, духовного развития народа Казахстана сегодня и в ближайшей исторической перспективе вынесла на первый план вопрос состояния переводческого дела в республике. Особую актуал</w:t>
      </w:r>
      <w:r>
        <w:rPr>
          <w:rFonts w:ascii="Times New Roman" w:eastAsia="Times New Roman" w:hAnsi="Times New Roman" w:cs="Times New Roman"/>
          <w:sz w:val="28"/>
        </w:rPr>
        <w:t>ьность переводческому делу придала необходимость создания республиканской сети Интернет, развития коммуникационных и информационных систем на основе государственного языка. В связи с этим постоянно растет   значение переводческой деятельности и поэтому воз</w:t>
      </w:r>
      <w:r>
        <w:rPr>
          <w:rFonts w:ascii="Times New Roman" w:eastAsia="Times New Roman" w:hAnsi="Times New Roman" w:cs="Times New Roman"/>
          <w:sz w:val="28"/>
        </w:rPr>
        <w:t xml:space="preserve">никают </w:t>
      </w:r>
      <w:r>
        <w:rPr>
          <w:rFonts w:ascii="Times New Roman" w:eastAsia="Times New Roman" w:hAnsi="Times New Roman" w:cs="Times New Roman"/>
          <w:sz w:val="28"/>
        </w:rPr>
        <w:lastRenderedPageBreak/>
        <w:t>переводческие проблемы. Реалии сегодняшнего дня заставляют переводчиков более внимательно относиться и к переводу рекламных текстов. Рекламный текст в Казахстане переживает этапы своего становления и представляет собой значимый пласт культуры предпр</w:t>
      </w:r>
      <w:r>
        <w:rPr>
          <w:rFonts w:ascii="Times New Roman" w:eastAsia="Times New Roman" w:hAnsi="Times New Roman" w:cs="Times New Roman"/>
          <w:sz w:val="28"/>
        </w:rPr>
        <w:t xml:space="preserve">инимательства, участвующего в формировании информационной среды современного человека. </w:t>
      </w:r>
    </w:p>
    <w:p w:rsidR="0052701D" w:rsidRDefault="00D40929">
      <w:pPr>
        <w:spacing w:after="5" w:line="271" w:lineRule="auto"/>
        <w:ind w:left="9" w:right="64" w:firstLine="711"/>
        <w:jc w:val="both"/>
      </w:pPr>
      <w:r>
        <w:rPr>
          <w:rFonts w:ascii="Times New Roman" w:eastAsia="Times New Roman" w:hAnsi="Times New Roman" w:cs="Times New Roman"/>
          <w:sz w:val="28"/>
        </w:rPr>
        <w:t>Как уже известно, реклама в современном мире выходит за рамки экономической сферы и становится явлением человеческой культуры, а также является стимулом для развития ре</w:t>
      </w:r>
      <w:r>
        <w:rPr>
          <w:rFonts w:ascii="Times New Roman" w:eastAsia="Times New Roman" w:hAnsi="Times New Roman" w:cs="Times New Roman"/>
          <w:sz w:val="28"/>
        </w:rPr>
        <w:t>чевой деятельности.</w:t>
      </w:r>
      <w:r>
        <w:rPr>
          <w:rFonts w:ascii="Times New Roman" w:eastAsia="Times New Roman" w:hAnsi="Times New Roman" w:cs="Times New Roman"/>
          <w:color w:val="202122"/>
          <w:sz w:val="28"/>
        </w:rPr>
        <w:t xml:space="preserve"> </w:t>
      </w:r>
    </w:p>
    <w:p w:rsidR="0052701D" w:rsidRDefault="00D40929">
      <w:pPr>
        <w:spacing w:after="1" w:line="277" w:lineRule="auto"/>
        <w:ind w:left="-15" w:right="61" w:firstLine="701"/>
        <w:jc w:val="both"/>
      </w:pPr>
      <w:r>
        <w:rPr>
          <w:rFonts w:ascii="Times New Roman" w:eastAsia="Times New Roman" w:hAnsi="Times New Roman" w:cs="Times New Roman"/>
          <w:color w:val="202122"/>
          <w:sz w:val="28"/>
        </w:rPr>
        <w:t>Изначально дошедшим до нас рекламным материалом принято считать египетский папирус, в котором сообщалось о продаже раба.</w:t>
      </w:r>
      <w:r>
        <w:rPr>
          <w:rFonts w:ascii="Times New Roman" w:eastAsia="Times New Roman" w:hAnsi="Times New Roman" w:cs="Times New Roman"/>
          <w:sz w:val="28"/>
        </w:rPr>
        <w:t xml:space="preserve"> </w:t>
      </w:r>
    </w:p>
    <w:p w:rsidR="0052701D" w:rsidRDefault="00D40929">
      <w:pPr>
        <w:spacing w:after="1" w:line="277" w:lineRule="auto"/>
        <w:ind w:left="-15" w:right="61" w:firstLine="701"/>
        <w:jc w:val="both"/>
      </w:pPr>
      <w:r>
        <w:rPr>
          <w:rFonts w:ascii="Times New Roman" w:eastAsia="Times New Roman" w:hAnsi="Times New Roman" w:cs="Times New Roman"/>
          <w:color w:val="202122"/>
          <w:sz w:val="28"/>
        </w:rPr>
        <w:t xml:space="preserve">Первыми зачинателями рекламного дела можно назвать французского врача и журналиста  Теофраста Ренодо, который </w:t>
      </w:r>
      <w:r>
        <w:rPr>
          <w:rFonts w:ascii="Times New Roman" w:eastAsia="Times New Roman" w:hAnsi="Times New Roman" w:cs="Times New Roman"/>
          <w:color w:val="202122"/>
          <w:sz w:val="28"/>
        </w:rPr>
        <w:t>впервые стал публиковать в прессе частные объявления, и англичанина Уильяма Тэйлора, чья фирма Tayler и Newton, основанная в 1786 году, выступала как посредник между рекламодателем и типографией. В 1842 году в Соединённых Штатах Америки</w:t>
      </w:r>
      <w:r>
        <w:rPr>
          <w:rFonts w:ascii="Times New Roman" w:eastAsia="Times New Roman" w:hAnsi="Times New Roman" w:cs="Times New Roman"/>
          <w:color w:val="202122"/>
          <w:sz w:val="28"/>
          <w:vertAlign w:val="superscript"/>
        </w:rPr>
        <w:t xml:space="preserve">   </w:t>
      </w:r>
      <w:r>
        <w:rPr>
          <w:rFonts w:ascii="Times New Roman" w:eastAsia="Times New Roman" w:hAnsi="Times New Roman" w:cs="Times New Roman"/>
          <w:color w:val="202122"/>
          <w:sz w:val="28"/>
        </w:rPr>
        <w:t xml:space="preserve">первое рекламное </w:t>
      </w:r>
      <w:r>
        <w:rPr>
          <w:rFonts w:ascii="Times New Roman" w:eastAsia="Times New Roman" w:hAnsi="Times New Roman" w:cs="Times New Roman"/>
          <w:color w:val="202122"/>
          <w:sz w:val="28"/>
        </w:rPr>
        <w:t>агентство было создано Волни Палмером</w:t>
      </w:r>
      <w:r>
        <w:rPr>
          <w:rFonts w:ascii="Times New Roman" w:eastAsia="Times New Roman" w:hAnsi="Times New Roman" w:cs="Times New Roman"/>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Слово «реклама» произошло от латинского слова «reclamare», означающее «утверждать, восклицать, выкрикивать, взывать», а немецкое слово «werbung», хорошо акцентирует внимание на воздействующей функции рекламы, такой ж</w:t>
      </w:r>
      <w:r>
        <w:rPr>
          <w:rFonts w:ascii="Times New Roman" w:eastAsia="Times New Roman" w:hAnsi="Times New Roman" w:cs="Times New Roman"/>
          <w:sz w:val="28"/>
        </w:rPr>
        <w:t xml:space="preserve">е родственный корень имеет русский глагол «вербовать». В начале XIX века в английском языке стал широко использоваться глагол «advertise», который означал просто сообщение о чём-либо, подчёркивая информационную функцию рекламы.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 Известный американский рек</w:t>
      </w:r>
      <w:r>
        <w:rPr>
          <w:rFonts w:ascii="Times New Roman" w:eastAsia="Times New Roman" w:hAnsi="Times New Roman" w:cs="Times New Roman"/>
          <w:sz w:val="28"/>
        </w:rPr>
        <w:t>ламист Альфред Дж. Симен отмечал, что «реклама — это и свеча зажигания, и смазочное масло в механизме экономики, создающем изобилие для потребителей. И в качестве таковых ее задача заключается в информировании. Но это задача — не просто информировать. Функ</w:t>
      </w:r>
      <w:r>
        <w:rPr>
          <w:rFonts w:ascii="Times New Roman" w:eastAsia="Times New Roman" w:hAnsi="Times New Roman" w:cs="Times New Roman"/>
          <w:sz w:val="28"/>
        </w:rPr>
        <w:t xml:space="preserve">ция рекламы — продавать. Продавать товары. Продавать идеи. Продавать образ жизни» [1]. </w:t>
      </w:r>
    </w:p>
    <w:p w:rsidR="0052701D" w:rsidRDefault="00D40929">
      <w:pPr>
        <w:spacing w:after="5" w:line="271" w:lineRule="auto"/>
        <w:ind w:left="9" w:right="64" w:firstLine="711"/>
        <w:jc w:val="both"/>
      </w:pPr>
      <w:r>
        <w:rPr>
          <w:rFonts w:ascii="Times New Roman" w:eastAsia="Times New Roman" w:hAnsi="Times New Roman" w:cs="Times New Roman"/>
          <w:sz w:val="28"/>
        </w:rPr>
        <w:t>Реалии нашего времени  заставляют переводчиков  более внимательно относиться к переводу  рекламных текстов.  В рекламном тексте информационная роль порядка слов  в пред</w:t>
      </w:r>
      <w:r>
        <w:rPr>
          <w:rFonts w:ascii="Times New Roman" w:eastAsia="Times New Roman" w:hAnsi="Times New Roman" w:cs="Times New Roman"/>
          <w:sz w:val="28"/>
        </w:rPr>
        <w:t xml:space="preserve">ложении должна учитываться переводчиком, чтобы полученный текст-перевод адекватно отражал смысл текста-оригинала. Для правильного перевода с одного языка на другой порядок слов в предложении или </w:t>
      </w:r>
      <w:r>
        <w:rPr>
          <w:rFonts w:ascii="Times New Roman" w:eastAsia="Times New Roman" w:hAnsi="Times New Roman" w:cs="Times New Roman"/>
          <w:i/>
          <w:sz w:val="28"/>
        </w:rPr>
        <w:t xml:space="preserve">синтаксическая сочетаемость, </w:t>
      </w:r>
      <w:r>
        <w:rPr>
          <w:rFonts w:ascii="Times New Roman" w:eastAsia="Times New Roman" w:hAnsi="Times New Roman" w:cs="Times New Roman"/>
          <w:sz w:val="28"/>
        </w:rPr>
        <w:t>не менее значима, чем лексическа</w:t>
      </w:r>
      <w:r>
        <w:rPr>
          <w:rFonts w:ascii="Times New Roman" w:eastAsia="Times New Roman" w:hAnsi="Times New Roman" w:cs="Times New Roman"/>
          <w:sz w:val="28"/>
        </w:rPr>
        <w:t xml:space="preserve">я сочетаемость. Если говорить о точности   перевода рекламных текстов, то она может быть буквальной и смысловой. </w:t>
      </w:r>
    </w:p>
    <w:p w:rsidR="0052701D" w:rsidRDefault="00D40929">
      <w:pPr>
        <w:spacing w:after="5" w:line="271" w:lineRule="auto"/>
        <w:ind w:left="9" w:right="64" w:firstLine="711"/>
        <w:jc w:val="both"/>
      </w:pPr>
      <w:r>
        <w:rPr>
          <w:rFonts w:ascii="Times New Roman" w:eastAsia="Times New Roman" w:hAnsi="Times New Roman" w:cs="Times New Roman"/>
          <w:i/>
          <w:sz w:val="28"/>
        </w:rPr>
        <w:t>Буквальная точность</w:t>
      </w:r>
      <w:r>
        <w:rPr>
          <w:rFonts w:ascii="Times New Roman" w:eastAsia="Times New Roman" w:hAnsi="Times New Roman" w:cs="Times New Roman"/>
          <w:sz w:val="28"/>
        </w:rPr>
        <w:t xml:space="preserve"> образуется вследствие механического копирования грамматических оборотов, неправильного выбора терминологических и лексичес</w:t>
      </w:r>
      <w:r>
        <w:rPr>
          <w:rFonts w:ascii="Times New Roman" w:eastAsia="Times New Roman" w:hAnsi="Times New Roman" w:cs="Times New Roman"/>
          <w:sz w:val="28"/>
        </w:rPr>
        <w:t xml:space="preserve">ких средств и стремления сохранить неизменным строй предложения </w:t>
      </w:r>
      <w:r>
        <w:rPr>
          <w:rFonts w:ascii="Times New Roman" w:eastAsia="Times New Roman" w:hAnsi="Times New Roman" w:cs="Times New Roman"/>
          <w:sz w:val="28"/>
        </w:rPr>
        <w:lastRenderedPageBreak/>
        <w:t xml:space="preserve">оригинала. Такой буквально точный перевод оказывается близким к подстрочному и может восприниматься как некачественный перевод. </w:t>
      </w:r>
    </w:p>
    <w:p w:rsidR="0052701D" w:rsidRDefault="00D40929">
      <w:pPr>
        <w:spacing w:after="5" w:line="271" w:lineRule="auto"/>
        <w:ind w:left="9" w:right="64" w:firstLine="711"/>
        <w:jc w:val="both"/>
      </w:pPr>
      <w:r>
        <w:rPr>
          <w:rFonts w:ascii="Times New Roman" w:eastAsia="Times New Roman" w:hAnsi="Times New Roman" w:cs="Times New Roman"/>
          <w:i/>
          <w:sz w:val="28"/>
        </w:rPr>
        <w:t>Смысловая точность</w:t>
      </w:r>
      <w:r>
        <w:rPr>
          <w:rFonts w:ascii="Times New Roman" w:eastAsia="Times New Roman" w:hAnsi="Times New Roman" w:cs="Times New Roman"/>
          <w:sz w:val="28"/>
        </w:rPr>
        <w:t xml:space="preserve"> исходит из глубокого понимания особенностей </w:t>
      </w:r>
      <w:r>
        <w:rPr>
          <w:rFonts w:ascii="Times New Roman" w:eastAsia="Times New Roman" w:hAnsi="Times New Roman" w:cs="Times New Roman"/>
          <w:sz w:val="28"/>
        </w:rPr>
        <w:t>стиля двух языков – исходного и переводящего – и знания различий их строя и порядка слов в предложении, из умения в нужном случае отойти от буквы оригинала ради сохранения его смысла, из умения пользоваться оборотами переводящего языка. Точная передача сод</w:t>
      </w:r>
      <w:r>
        <w:rPr>
          <w:rFonts w:ascii="Times New Roman" w:eastAsia="Times New Roman" w:hAnsi="Times New Roman" w:cs="Times New Roman"/>
          <w:sz w:val="28"/>
        </w:rPr>
        <w:t xml:space="preserve">ержания (смысловая точность) требует от переводчика рекламного текста хорошего знания описываемого предмета и особенностей русского и казахского языков. </w:t>
      </w:r>
    </w:p>
    <w:p w:rsidR="0052701D" w:rsidRDefault="00D40929">
      <w:pPr>
        <w:spacing w:after="5" w:line="271" w:lineRule="auto"/>
        <w:ind w:left="9" w:right="64" w:firstLine="711"/>
        <w:jc w:val="both"/>
      </w:pPr>
      <w:r>
        <w:rPr>
          <w:rFonts w:ascii="Times New Roman" w:eastAsia="Times New Roman" w:hAnsi="Times New Roman" w:cs="Times New Roman"/>
          <w:sz w:val="28"/>
        </w:rPr>
        <w:t>В силу своеобразия каждого национального языка идеальное соответствие между словосочетаниями с ключевы</w:t>
      </w:r>
      <w:r>
        <w:rPr>
          <w:rFonts w:ascii="Times New Roman" w:eastAsia="Times New Roman" w:hAnsi="Times New Roman" w:cs="Times New Roman"/>
          <w:sz w:val="28"/>
        </w:rPr>
        <w:t xml:space="preserve">ми словами (как, впрочем, и между самими ключевыми словами) невозможно.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Явление лексической сочетаемости русского и казахского языков – тема неизученная, но знакомая каждому, кто хоть раз переводил тексты с одного языка на другой. </w:t>
      </w:r>
    </w:p>
    <w:p w:rsidR="0052701D" w:rsidRDefault="00D40929">
      <w:pPr>
        <w:spacing w:after="5" w:line="271" w:lineRule="auto"/>
        <w:ind w:left="9" w:right="64" w:firstLine="711"/>
        <w:jc w:val="both"/>
      </w:pPr>
      <w:r>
        <w:rPr>
          <w:rFonts w:ascii="Times New Roman" w:eastAsia="Times New Roman" w:hAnsi="Times New Roman" w:cs="Times New Roman"/>
          <w:sz w:val="28"/>
        </w:rPr>
        <w:t>В отличие от устной инф</w:t>
      </w:r>
      <w:r>
        <w:rPr>
          <w:rFonts w:ascii="Times New Roman" w:eastAsia="Times New Roman" w:hAnsi="Times New Roman" w:cs="Times New Roman"/>
          <w:sz w:val="28"/>
        </w:rPr>
        <w:t>ормации, как утверждают специалисты, печатная навсегда врезается в память.  Если текст составлен грамотно, в противном случае человек будет думать, что так и надо, принимая ее со всеми ошибками за достоверный вариант.  Поэтому на билбордах, вывесках, бирка</w:t>
      </w:r>
      <w:r>
        <w:rPr>
          <w:rFonts w:ascii="Times New Roman" w:eastAsia="Times New Roman" w:hAnsi="Times New Roman" w:cs="Times New Roman"/>
          <w:sz w:val="28"/>
        </w:rPr>
        <w:t xml:space="preserve">х, ценниках особенно правильной должна быть   визуальная информация.  Идеальные информационные тексты с соблюдением всех правил грамматики казахского языка не всегда   встречаются. </w:t>
      </w:r>
    </w:p>
    <w:p w:rsidR="0052701D" w:rsidRDefault="00D40929">
      <w:pPr>
        <w:spacing w:after="5" w:line="271" w:lineRule="auto"/>
        <w:ind w:left="9" w:right="64" w:firstLine="711"/>
        <w:jc w:val="both"/>
      </w:pPr>
      <w:r>
        <w:rPr>
          <w:noProof/>
        </w:rPr>
        <mc:AlternateContent>
          <mc:Choice Requires="wpg">
            <w:drawing>
              <wp:anchor distT="0" distB="0" distL="114300" distR="114300" simplePos="0" relativeHeight="251769856" behindDoc="1" locked="0" layoutInCell="1" allowOverlap="1">
                <wp:simplePos x="0" y="0"/>
                <wp:positionH relativeFrom="column">
                  <wp:posOffset>0</wp:posOffset>
                </wp:positionH>
                <wp:positionV relativeFrom="paragraph">
                  <wp:posOffset>366489</wp:posOffset>
                </wp:positionV>
                <wp:extent cx="6116701" cy="1027430"/>
                <wp:effectExtent l="0" t="0" r="0" b="0"/>
                <wp:wrapNone/>
                <wp:docPr id="997992" name="Group 997992"/>
                <wp:cNvGraphicFramePr/>
                <a:graphic xmlns:a="http://schemas.openxmlformats.org/drawingml/2006/main">
                  <a:graphicData uri="http://schemas.microsoft.com/office/word/2010/wordprocessingGroup">
                    <wpg:wgp>
                      <wpg:cNvGrpSpPr/>
                      <wpg:grpSpPr>
                        <a:xfrm>
                          <a:off x="0" y="0"/>
                          <a:ext cx="6116701" cy="1027430"/>
                          <a:chOff x="0" y="0"/>
                          <a:chExt cx="6116701" cy="1027430"/>
                        </a:xfrm>
                      </wpg:grpSpPr>
                      <wps:wsp>
                        <wps:cNvPr id="1065449" name="Shape 1065449"/>
                        <wps:cNvSpPr/>
                        <wps:spPr>
                          <a:xfrm>
                            <a:off x="3735273" y="0"/>
                            <a:ext cx="2381377" cy="210312"/>
                          </a:xfrm>
                          <a:custGeom>
                            <a:avLst/>
                            <a:gdLst/>
                            <a:ahLst/>
                            <a:cxnLst/>
                            <a:rect l="0" t="0" r="0" b="0"/>
                            <a:pathLst>
                              <a:path w="2381377" h="210312">
                                <a:moveTo>
                                  <a:pt x="0" y="0"/>
                                </a:moveTo>
                                <a:lnTo>
                                  <a:pt x="2381377" y="0"/>
                                </a:lnTo>
                                <a:lnTo>
                                  <a:pt x="2381377" y="210312"/>
                                </a:lnTo>
                                <a:lnTo>
                                  <a:pt x="0" y="210312"/>
                                </a:lnTo>
                                <a:lnTo>
                                  <a:pt x="0" y="0"/>
                                </a:lnTo>
                              </a:path>
                            </a:pathLst>
                          </a:custGeom>
                          <a:ln w="0" cap="flat">
                            <a:miter lim="127000"/>
                          </a:ln>
                        </wps:spPr>
                        <wps:style>
                          <a:lnRef idx="0">
                            <a:srgbClr val="000000">
                              <a:alpha val="0"/>
                            </a:srgbClr>
                          </a:lnRef>
                          <a:fillRef idx="1">
                            <a:srgbClr val="F8F9FA"/>
                          </a:fillRef>
                          <a:effectRef idx="0">
                            <a:scrgbClr r="0" g="0" b="0"/>
                          </a:effectRef>
                          <a:fontRef idx="none"/>
                        </wps:style>
                        <wps:bodyPr/>
                      </wps:wsp>
                      <wps:wsp>
                        <wps:cNvPr id="1065450" name="Shape 1065450"/>
                        <wps:cNvSpPr/>
                        <wps:spPr>
                          <a:xfrm>
                            <a:off x="0" y="204216"/>
                            <a:ext cx="6116701" cy="210312"/>
                          </a:xfrm>
                          <a:custGeom>
                            <a:avLst/>
                            <a:gdLst/>
                            <a:ahLst/>
                            <a:cxnLst/>
                            <a:rect l="0" t="0" r="0" b="0"/>
                            <a:pathLst>
                              <a:path w="6116701" h="210312">
                                <a:moveTo>
                                  <a:pt x="0" y="0"/>
                                </a:moveTo>
                                <a:lnTo>
                                  <a:pt x="6116701" y="0"/>
                                </a:lnTo>
                                <a:lnTo>
                                  <a:pt x="6116701" y="210312"/>
                                </a:lnTo>
                                <a:lnTo>
                                  <a:pt x="0" y="210312"/>
                                </a:lnTo>
                                <a:lnTo>
                                  <a:pt x="0" y="0"/>
                                </a:lnTo>
                              </a:path>
                            </a:pathLst>
                          </a:custGeom>
                          <a:ln w="0" cap="flat">
                            <a:miter lim="127000"/>
                          </a:ln>
                        </wps:spPr>
                        <wps:style>
                          <a:lnRef idx="0">
                            <a:srgbClr val="000000">
                              <a:alpha val="0"/>
                            </a:srgbClr>
                          </a:lnRef>
                          <a:fillRef idx="1">
                            <a:srgbClr val="F8F9FA"/>
                          </a:fillRef>
                          <a:effectRef idx="0">
                            <a:scrgbClr r="0" g="0" b="0"/>
                          </a:effectRef>
                          <a:fontRef idx="none"/>
                        </wps:style>
                        <wps:bodyPr/>
                      </wps:wsp>
                      <wps:wsp>
                        <wps:cNvPr id="1065451" name="Shape 1065451"/>
                        <wps:cNvSpPr/>
                        <wps:spPr>
                          <a:xfrm>
                            <a:off x="0" y="408381"/>
                            <a:ext cx="6116701" cy="210312"/>
                          </a:xfrm>
                          <a:custGeom>
                            <a:avLst/>
                            <a:gdLst/>
                            <a:ahLst/>
                            <a:cxnLst/>
                            <a:rect l="0" t="0" r="0" b="0"/>
                            <a:pathLst>
                              <a:path w="6116701" h="210312">
                                <a:moveTo>
                                  <a:pt x="0" y="0"/>
                                </a:moveTo>
                                <a:lnTo>
                                  <a:pt x="6116701" y="0"/>
                                </a:lnTo>
                                <a:lnTo>
                                  <a:pt x="6116701" y="210312"/>
                                </a:lnTo>
                                <a:lnTo>
                                  <a:pt x="0" y="210312"/>
                                </a:lnTo>
                                <a:lnTo>
                                  <a:pt x="0" y="0"/>
                                </a:lnTo>
                              </a:path>
                            </a:pathLst>
                          </a:custGeom>
                          <a:ln w="0" cap="flat">
                            <a:miter lim="127000"/>
                          </a:ln>
                        </wps:spPr>
                        <wps:style>
                          <a:lnRef idx="0">
                            <a:srgbClr val="000000">
                              <a:alpha val="0"/>
                            </a:srgbClr>
                          </a:lnRef>
                          <a:fillRef idx="1">
                            <a:srgbClr val="F8F9FA"/>
                          </a:fillRef>
                          <a:effectRef idx="0">
                            <a:scrgbClr r="0" g="0" b="0"/>
                          </a:effectRef>
                          <a:fontRef idx="none"/>
                        </wps:style>
                        <wps:bodyPr/>
                      </wps:wsp>
                      <wps:wsp>
                        <wps:cNvPr id="1065452" name="Shape 1065452"/>
                        <wps:cNvSpPr/>
                        <wps:spPr>
                          <a:xfrm>
                            <a:off x="0" y="612598"/>
                            <a:ext cx="6116701" cy="210617"/>
                          </a:xfrm>
                          <a:custGeom>
                            <a:avLst/>
                            <a:gdLst/>
                            <a:ahLst/>
                            <a:cxnLst/>
                            <a:rect l="0" t="0" r="0" b="0"/>
                            <a:pathLst>
                              <a:path w="6116701" h="210617">
                                <a:moveTo>
                                  <a:pt x="0" y="0"/>
                                </a:moveTo>
                                <a:lnTo>
                                  <a:pt x="6116701" y="0"/>
                                </a:lnTo>
                                <a:lnTo>
                                  <a:pt x="6116701" y="210617"/>
                                </a:lnTo>
                                <a:lnTo>
                                  <a:pt x="0" y="210617"/>
                                </a:lnTo>
                                <a:lnTo>
                                  <a:pt x="0" y="0"/>
                                </a:lnTo>
                              </a:path>
                            </a:pathLst>
                          </a:custGeom>
                          <a:ln w="0" cap="flat">
                            <a:miter lim="127000"/>
                          </a:ln>
                        </wps:spPr>
                        <wps:style>
                          <a:lnRef idx="0">
                            <a:srgbClr val="000000">
                              <a:alpha val="0"/>
                            </a:srgbClr>
                          </a:lnRef>
                          <a:fillRef idx="1">
                            <a:srgbClr val="F8F9FA"/>
                          </a:fillRef>
                          <a:effectRef idx="0">
                            <a:scrgbClr r="0" g="0" b="0"/>
                          </a:effectRef>
                          <a:fontRef idx="none"/>
                        </wps:style>
                        <wps:bodyPr/>
                      </wps:wsp>
                      <wps:wsp>
                        <wps:cNvPr id="1065453" name="Shape 1065453"/>
                        <wps:cNvSpPr/>
                        <wps:spPr>
                          <a:xfrm>
                            <a:off x="0" y="817118"/>
                            <a:ext cx="4497578" cy="210312"/>
                          </a:xfrm>
                          <a:custGeom>
                            <a:avLst/>
                            <a:gdLst/>
                            <a:ahLst/>
                            <a:cxnLst/>
                            <a:rect l="0" t="0" r="0" b="0"/>
                            <a:pathLst>
                              <a:path w="4497578" h="210312">
                                <a:moveTo>
                                  <a:pt x="0" y="0"/>
                                </a:moveTo>
                                <a:lnTo>
                                  <a:pt x="4497578" y="0"/>
                                </a:lnTo>
                                <a:lnTo>
                                  <a:pt x="4497578" y="210312"/>
                                </a:lnTo>
                                <a:lnTo>
                                  <a:pt x="0" y="210312"/>
                                </a:lnTo>
                                <a:lnTo>
                                  <a:pt x="0" y="0"/>
                                </a:lnTo>
                              </a:path>
                            </a:pathLst>
                          </a:custGeom>
                          <a:ln w="0" cap="flat">
                            <a:miter lim="127000"/>
                          </a:ln>
                        </wps:spPr>
                        <wps:style>
                          <a:lnRef idx="0">
                            <a:srgbClr val="000000">
                              <a:alpha val="0"/>
                            </a:srgbClr>
                          </a:lnRef>
                          <a:fillRef idx="1">
                            <a:srgbClr val="F8F9FA"/>
                          </a:fillRef>
                          <a:effectRef idx="0">
                            <a:scrgbClr r="0" g="0" b="0"/>
                          </a:effectRef>
                          <a:fontRef idx="none"/>
                        </wps:style>
                        <wps:bodyPr/>
                      </wps:wsp>
                    </wpg:wgp>
                  </a:graphicData>
                </a:graphic>
              </wp:anchor>
            </w:drawing>
          </mc:Choice>
          <mc:Fallback xmlns:a="http://schemas.openxmlformats.org/drawingml/2006/main">
            <w:pict>
              <v:group id="Group 997992" style="width:481.63pt;height:80.9pt;position:absolute;z-index:-2147482907;mso-position-horizontal-relative:text;mso-position-horizontal:absolute;margin-left:0pt;mso-position-vertical-relative:text;margin-top:28.8574pt;" coordsize="61167,10274">
                <v:shape id="Shape 1065454" style="position:absolute;width:23813;height:2103;left:37352;top:0;" coordsize="2381377,210312" path="m0,0l2381377,0l2381377,210312l0,210312l0,0">
                  <v:stroke weight="0pt" endcap="flat" joinstyle="miter" miterlimit="10" on="false" color="#000000" opacity="0"/>
                  <v:fill on="true" color="#f8f9fa"/>
                </v:shape>
                <v:shape id="Shape 1065455" style="position:absolute;width:61167;height:2103;left:0;top:2042;" coordsize="6116701,210312" path="m0,0l6116701,0l6116701,210312l0,210312l0,0">
                  <v:stroke weight="0pt" endcap="flat" joinstyle="miter" miterlimit="10" on="false" color="#000000" opacity="0"/>
                  <v:fill on="true" color="#f8f9fa"/>
                </v:shape>
                <v:shape id="Shape 1065456" style="position:absolute;width:61167;height:2103;left:0;top:4083;" coordsize="6116701,210312" path="m0,0l6116701,0l6116701,210312l0,210312l0,0">
                  <v:stroke weight="0pt" endcap="flat" joinstyle="miter" miterlimit="10" on="false" color="#000000" opacity="0"/>
                  <v:fill on="true" color="#f8f9fa"/>
                </v:shape>
                <v:shape id="Shape 1065457" style="position:absolute;width:61167;height:2106;left:0;top:6125;" coordsize="6116701,210617" path="m0,0l6116701,0l6116701,210617l0,210617l0,0">
                  <v:stroke weight="0pt" endcap="flat" joinstyle="miter" miterlimit="10" on="false" color="#000000" opacity="0"/>
                  <v:fill on="true" color="#f8f9fa"/>
                </v:shape>
                <v:shape id="Shape 1065458" style="position:absolute;width:44975;height:2103;left:0;top:8171;" coordsize="4497578,210312" path="m0,0l4497578,0l4497578,210312l0,210312l0,0">
                  <v:stroke weight="0pt" endcap="flat" joinstyle="miter" miterlimit="10" on="false" color="#000000" opacity="0"/>
                  <v:fill on="true" color="#f8f9fa"/>
                </v:shape>
              </v:group>
            </w:pict>
          </mc:Fallback>
        </mc:AlternateContent>
      </w:r>
      <w:r>
        <w:rPr>
          <w:rFonts w:ascii="Times New Roman" w:eastAsia="Times New Roman" w:hAnsi="Times New Roman" w:cs="Times New Roman"/>
          <w:sz w:val="28"/>
        </w:rPr>
        <w:t>В качестве примера приведем обычный рекламный щит, на котором была изобра</w:t>
      </w:r>
      <w:r>
        <w:rPr>
          <w:rFonts w:ascii="Times New Roman" w:eastAsia="Times New Roman" w:hAnsi="Times New Roman" w:cs="Times New Roman"/>
          <w:sz w:val="28"/>
        </w:rPr>
        <w:t>жена спортивная обувь с сопровождающей рекламной надписью на казахском языке. Слоган звучал таким образом:</w:t>
      </w:r>
      <w:r>
        <w:rPr>
          <w:rFonts w:ascii="Times New Roman" w:eastAsia="Times New Roman" w:hAnsi="Times New Roman" w:cs="Times New Roman"/>
          <w:i/>
          <w:sz w:val="28"/>
        </w:rPr>
        <w:t xml:space="preserve"> </w:t>
      </w:r>
      <w:r>
        <w:rPr>
          <w:rFonts w:ascii="Times New Roman" w:eastAsia="Times New Roman" w:hAnsi="Times New Roman" w:cs="Times New Roman"/>
          <w:i/>
          <w:color w:val="222222"/>
          <w:sz w:val="28"/>
        </w:rPr>
        <w:t>Мен сенің астында жүгіремін</w:t>
      </w:r>
      <w:r>
        <w:rPr>
          <w:rFonts w:ascii="Times New Roman" w:eastAsia="Times New Roman" w:hAnsi="Times New Roman" w:cs="Times New Roman"/>
          <w:color w:val="222222"/>
          <w:sz w:val="28"/>
        </w:rPr>
        <w:t xml:space="preserve">, перевод на русском языке: </w:t>
      </w:r>
      <w:r>
        <w:rPr>
          <w:rFonts w:ascii="Times New Roman" w:eastAsia="Times New Roman" w:hAnsi="Times New Roman" w:cs="Times New Roman"/>
          <w:i/>
          <w:color w:val="222222"/>
          <w:sz w:val="28"/>
        </w:rPr>
        <w:t>я буду бегать под тобой?!</w:t>
      </w:r>
      <w:r>
        <w:rPr>
          <w:rFonts w:ascii="Times New Roman" w:eastAsia="Times New Roman" w:hAnsi="Times New Roman" w:cs="Times New Roman"/>
          <w:color w:val="222222"/>
          <w:sz w:val="28"/>
        </w:rPr>
        <w:t xml:space="preserve"> Другой случай, где вместо правильного варианта </w:t>
      </w:r>
      <w:r>
        <w:rPr>
          <w:rFonts w:ascii="Times New Roman" w:eastAsia="Times New Roman" w:hAnsi="Times New Roman" w:cs="Times New Roman"/>
          <w:i/>
          <w:color w:val="222222"/>
          <w:sz w:val="28"/>
        </w:rPr>
        <w:t>өздігінен сырғанауышт</w:t>
      </w:r>
      <w:r>
        <w:rPr>
          <w:rFonts w:ascii="Times New Roman" w:eastAsia="Times New Roman" w:hAnsi="Times New Roman" w:cs="Times New Roman"/>
          <w:i/>
          <w:color w:val="222222"/>
          <w:sz w:val="28"/>
        </w:rPr>
        <w:t>ар,</w:t>
      </w:r>
      <w:r>
        <w:rPr>
          <w:rFonts w:ascii="Times New Roman" w:eastAsia="Times New Roman" w:hAnsi="Times New Roman" w:cs="Times New Roman"/>
          <w:color w:val="222222"/>
          <w:sz w:val="28"/>
        </w:rPr>
        <w:t xml:space="preserve"> переводится как </w:t>
      </w:r>
      <w:r>
        <w:rPr>
          <w:rFonts w:ascii="Times New Roman" w:eastAsia="Times New Roman" w:hAnsi="Times New Roman" w:cs="Times New Roman"/>
          <w:i/>
          <w:color w:val="222222"/>
          <w:sz w:val="28"/>
        </w:rPr>
        <w:t>самокат,</w:t>
      </w:r>
      <w:r>
        <w:rPr>
          <w:rFonts w:ascii="Times New Roman" w:eastAsia="Times New Roman" w:hAnsi="Times New Roman" w:cs="Times New Roman"/>
          <w:color w:val="222222"/>
          <w:sz w:val="28"/>
        </w:rPr>
        <w:t xml:space="preserve"> изначально был неверный перевод </w:t>
      </w:r>
      <w:r>
        <w:rPr>
          <w:rFonts w:ascii="Times New Roman" w:eastAsia="Times New Roman" w:hAnsi="Times New Roman" w:cs="Times New Roman"/>
          <w:i/>
          <w:color w:val="222222"/>
          <w:sz w:val="28"/>
        </w:rPr>
        <w:t>өздігінен сырғанайтын</w:t>
      </w:r>
      <w:r>
        <w:rPr>
          <w:rFonts w:ascii="Times New Roman" w:eastAsia="Times New Roman" w:hAnsi="Times New Roman" w:cs="Times New Roman"/>
          <w:color w:val="222222"/>
          <w:sz w:val="28"/>
        </w:rPr>
        <w:t xml:space="preserve"> - в переводе на русском языке читается как </w:t>
      </w:r>
      <w:r>
        <w:rPr>
          <w:rFonts w:ascii="Times New Roman" w:eastAsia="Times New Roman" w:hAnsi="Times New Roman" w:cs="Times New Roman"/>
          <w:i/>
          <w:color w:val="222222"/>
          <w:sz w:val="28"/>
        </w:rPr>
        <w:t>самостоятельно катающееся.</w:t>
      </w:r>
      <w:r>
        <w:rPr>
          <w:rFonts w:ascii="Times New Roman" w:eastAsia="Times New Roman" w:hAnsi="Times New Roman" w:cs="Times New Roman"/>
          <w:sz w:val="28"/>
        </w:rPr>
        <w:t xml:space="preserve"> </w:t>
      </w:r>
    </w:p>
    <w:p w:rsidR="0052701D" w:rsidRDefault="00D40929">
      <w:pPr>
        <w:spacing w:after="6" w:line="276" w:lineRule="auto"/>
        <w:ind w:right="74" w:firstLine="711"/>
        <w:jc w:val="both"/>
      </w:pPr>
      <w:r>
        <w:rPr>
          <w:noProof/>
        </w:rPr>
        <mc:AlternateContent>
          <mc:Choice Requires="wpg">
            <w:drawing>
              <wp:anchor distT="0" distB="0" distL="114300" distR="114300" simplePos="0" relativeHeight="251770880" behindDoc="1" locked="0" layoutInCell="1" allowOverlap="1">
                <wp:simplePos x="0" y="0"/>
                <wp:positionH relativeFrom="column">
                  <wp:posOffset>0</wp:posOffset>
                </wp:positionH>
                <wp:positionV relativeFrom="paragraph">
                  <wp:posOffset>-40969</wp:posOffset>
                </wp:positionV>
                <wp:extent cx="6116778" cy="3277616"/>
                <wp:effectExtent l="0" t="0" r="0" b="0"/>
                <wp:wrapNone/>
                <wp:docPr id="998701" name="Group 998701"/>
                <wp:cNvGraphicFramePr/>
                <a:graphic xmlns:a="http://schemas.openxmlformats.org/drawingml/2006/main">
                  <a:graphicData uri="http://schemas.microsoft.com/office/word/2010/wordprocessingGroup">
                    <wpg:wgp>
                      <wpg:cNvGrpSpPr/>
                      <wpg:grpSpPr>
                        <a:xfrm>
                          <a:off x="0" y="0"/>
                          <a:ext cx="6116778" cy="3277616"/>
                          <a:chOff x="0" y="0"/>
                          <a:chExt cx="6116778" cy="3277616"/>
                        </a:xfrm>
                      </wpg:grpSpPr>
                      <wps:wsp>
                        <wps:cNvPr id="1065459" name="Shape 1065459"/>
                        <wps:cNvSpPr/>
                        <wps:spPr>
                          <a:xfrm>
                            <a:off x="451434" y="0"/>
                            <a:ext cx="5665344" cy="210312"/>
                          </a:xfrm>
                          <a:custGeom>
                            <a:avLst/>
                            <a:gdLst/>
                            <a:ahLst/>
                            <a:cxnLst/>
                            <a:rect l="0" t="0" r="0" b="0"/>
                            <a:pathLst>
                              <a:path w="5665344" h="210312">
                                <a:moveTo>
                                  <a:pt x="0" y="0"/>
                                </a:moveTo>
                                <a:lnTo>
                                  <a:pt x="5665344" y="0"/>
                                </a:lnTo>
                                <a:lnTo>
                                  <a:pt x="5665344" y="210312"/>
                                </a:lnTo>
                                <a:lnTo>
                                  <a:pt x="0" y="210312"/>
                                </a:lnTo>
                                <a:lnTo>
                                  <a:pt x="0" y="0"/>
                                </a:lnTo>
                              </a:path>
                            </a:pathLst>
                          </a:custGeom>
                          <a:ln w="0" cap="flat">
                            <a:miter lim="127000"/>
                          </a:ln>
                        </wps:spPr>
                        <wps:style>
                          <a:lnRef idx="0">
                            <a:srgbClr val="000000">
                              <a:alpha val="0"/>
                            </a:srgbClr>
                          </a:lnRef>
                          <a:fillRef idx="1">
                            <a:srgbClr val="F8F9FA"/>
                          </a:fillRef>
                          <a:effectRef idx="0">
                            <a:scrgbClr r="0" g="0" b="0"/>
                          </a:effectRef>
                          <a:fontRef idx="none"/>
                        </wps:style>
                        <wps:bodyPr/>
                      </wps:wsp>
                      <wps:wsp>
                        <wps:cNvPr id="1065460" name="Shape 1065460"/>
                        <wps:cNvSpPr/>
                        <wps:spPr>
                          <a:xfrm>
                            <a:off x="0" y="204216"/>
                            <a:ext cx="6116701" cy="210312"/>
                          </a:xfrm>
                          <a:custGeom>
                            <a:avLst/>
                            <a:gdLst/>
                            <a:ahLst/>
                            <a:cxnLst/>
                            <a:rect l="0" t="0" r="0" b="0"/>
                            <a:pathLst>
                              <a:path w="6116701" h="210312">
                                <a:moveTo>
                                  <a:pt x="0" y="0"/>
                                </a:moveTo>
                                <a:lnTo>
                                  <a:pt x="6116701" y="0"/>
                                </a:lnTo>
                                <a:lnTo>
                                  <a:pt x="6116701" y="210312"/>
                                </a:lnTo>
                                <a:lnTo>
                                  <a:pt x="0" y="210312"/>
                                </a:lnTo>
                                <a:lnTo>
                                  <a:pt x="0" y="0"/>
                                </a:lnTo>
                              </a:path>
                            </a:pathLst>
                          </a:custGeom>
                          <a:ln w="0" cap="flat">
                            <a:miter lim="127000"/>
                          </a:ln>
                        </wps:spPr>
                        <wps:style>
                          <a:lnRef idx="0">
                            <a:srgbClr val="000000">
                              <a:alpha val="0"/>
                            </a:srgbClr>
                          </a:lnRef>
                          <a:fillRef idx="1">
                            <a:srgbClr val="F8F9FA"/>
                          </a:fillRef>
                          <a:effectRef idx="0">
                            <a:scrgbClr r="0" g="0" b="0"/>
                          </a:effectRef>
                          <a:fontRef idx="none"/>
                        </wps:style>
                        <wps:bodyPr/>
                      </wps:wsp>
                      <wps:wsp>
                        <wps:cNvPr id="1065461" name="Shape 1065461"/>
                        <wps:cNvSpPr/>
                        <wps:spPr>
                          <a:xfrm>
                            <a:off x="0" y="408432"/>
                            <a:ext cx="6116701" cy="210312"/>
                          </a:xfrm>
                          <a:custGeom>
                            <a:avLst/>
                            <a:gdLst/>
                            <a:ahLst/>
                            <a:cxnLst/>
                            <a:rect l="0" t="0" r="0" b="0"/>
                            <a:pathLst>
                              <a:path w="6116701" h="210312">
                                <a:moveTo>
                                  <a:pt x="0" y="0"/>
                                </a:moveTo>
                                <a:lnTo>
                                  <a:pt x="6116701" y="0"/>
                                </a:lnTo>
                                <a:lnTo>
                                  <a:pt x="6116701" y="210312"/>
                                </a:lnTo>
                                <a:lnTo>
                                  <a:pt x="0" y="210312"/>
                                </a:lnTo>
                                <a:lnTo>
                                  <a:pt x="0" y="0"/>
                                </a:lnTo>
                              </a:path>
                            </a:pathLst>
                          </a:custGeom>
                          <a:ln w="0" cap="flat">
                            <a:miter lim="127000"/>
                          </a:ln>
                        </wps:spPr>
                        <wps:style>
                          <a:lnRef idx="0">
                            <a:srgbClr val="000000">
                              <a:alpha val="0"/>
                            </a:srgbClr>
                          </a:lnRef>
                          <a:fillRef idx="1">
                            <a:srgbClr val="F8F9FA"/>
                          </a:fillRef>
                          <a:effectRef idx="0">
                            <a:scrgbClr r="0" g="0" b="0"/>
                          </a:effectRef>
                          <a:fontRef idx="none"/>
                        </wps:style>
                        <wps:bodyPr/>
                      </wps:wsp>
                      <wps:wsp>
                        <wps:cNvPr id="1065462" name="Shape 1065462"/>
                        <wps:cNvSpPr/>
                        <wps:spPr>
                          <a:xfrm>
                            <a:off x="0" y="612648"/>
                            <a:ext cx="6116701" cy="210312"/>
                          </a:xfrm>
                          <a:custGeom>
                            <a:avLst/>
                            <a:gdLst/>
                            <a:ahLst/>
                            <a:cxnLst/>
                            <a:rect l="0" t="0" r="0" b="0"/>
                            <a:pathLst>
                              <a:path w="6116701" h="210312">
                                <a:moveTo>
                                  <a:pt x="0" y="0"/>
                                </a:moveTo>
                                <a:lnTo>
                                  <a:pt x="6116701" y="0"/>
                                </a:lnTo>
                                <a:lnTo>
                                  <a:pt x="6116701" y="210312"/>
                                </a:lnTo>
                                <a:lnTo>
                                  <a:pt x="0" y="210312"/>
                                </a:lnTo>
                                <a:lnTo>
                                  <a:pt x="0" y="0"/>
                                </a:lnTo>
                              </a:path>
                            </a:pathLst>
                          </a:custGeom>
                          <a:ln w="0" cap="flat">
                            <a:miter lim="127000"/>
                          </a:ln>
                        </wps:spPr>
                        <wps:style>
                          <a:lnRef idx="0">
                            <a:srgbClr val="000000">
                              <a:alpha val="0"/>
                            </a:srgbClr>
                          </a:lnRef>
                          <a:fillRef idx="1">
                            <a:srgbClr val="F8F9FA"/>
                          </a:fillRef>
                          <a:effectRef idx="0">
                            <a:scrgbClr r="0" g="0" b="0"/>
                          </a:effectRef>
                          <a:fontRef idx="none"/>
                        </wps:style>
                        <wps:bodyPr/>
                      </wps:wsp>
                      <wps:wsp>
                        <wps:cNvPr id="1065463" name="Shape 1065463"/>
                        <wps:cNvSpPr/>
                        <wps:spPr>
                          <a:xfrm>
                            <a:off x="0" y="816941"/>
                            <a:ext cx="6116701" cy="210617"/>
                          </a:xfrm>
                          <a:custGeom>
                            <a:avLst/>
                            <a:gdLst/>
                            <a:ahLst/>
                            <a:cxnLst/>
                            <a:rect l="0" t="0" r="0" b="0"/>
                            <a:pathLst>
                              <a:path w="6116701" h="210617">
                                <a:moveTo>
                                  <a:pt x="0" y="0"/>
                                </a:moveTo>
                                <a:lnTo>
                                  <a:pt x="6116701" y="0"/>
                                </a:lnTo>
                                <a:lnTo>
                                  <a:pt x="6116701" y="210617"/>
                                </a:lnTo>
                                <a:lnTo>
                                  <a:pt x="0" y="210617"/>
                                </a:lnTo>
                                <a:lnTo>
                                  <a:pt x="0" y="0"/>
                                </a:lnTo>
                              </a:path>
                            </a:pathLst>
                          </a:custGeom>
                          <a:ln w="0" cap="flat">
                            <a:miter lim="127000"/>
                          </a:ln>
                        </wps:spPr>
                        <wps:style>
                          <a:lnRef idx="0">
                            <a:srgbClr val="000000">
                              <a:alpha val="0"/>
                            </a:srgbClr>
                          </a:lnRef>
                          <a:fillRef idx="1">
                            <a:srgbClr val="F8F9FA"/>
                          </a:fillRef>
                          <a:effectRef idx="0">
                            <a:scrgbClr r="0" g="0" b="0"/>
                          </a:effectRef>
                          <a:fontRef idx="none"/>
                        </wps:style>
                        <wps:bodyPr/>
                      </wps:wsp>
                      <wps:wsp>
                        <wps:cNvPr id="1065464" name="Shape 1065464"/>
                        <wps:cNvSpPr/>
                        <wps:spPr>
                          <a:xfrm>
                            <a:off x="0" y="1021461"/>
                            <a:ext cx="6116701" cy="210312"/>
                          </a:xfrm>
                          <a:custGeom>
                            <a:avLst/>
                            <a:gdLst/>
                            <a:ahLst/>
                            <a:cxnLst/>
                            <a:rect l="0" t="0" r="0" b="0"/>
                            <a:pathLst>
                              <a:path w="6116701" h="210312">
                                <a:moveTo>
                                  <a:pt x="0" y="0"/>
                                </a:moveTo>
                                <a:lnTo>
                                  <a:pt x="6116701" y="0"/>
                                </a:lnTo>
                                <a:lnTo>
                                  <a:pt x="6116701" y="210312"/>
                                </a:lnTo>
                                <a:lnTo>
                                  <a:pt x="0" y="210312"/>
                                </a:lnTo>
                                <a:lnTo>
                                  <a:pt x="0" y="0"/>
                                </a:lnTo>
                              </a:path>
                            </a:pathLst>
                          </a:custGeom>
                          <a:ln w="0" cap="flat">
                            <a:miter lim="127000"/>
                          </a:ln>
                        </wps:spPr>
                        <wps:style>
                          <a:lnRef idx="0">
                            <a:srgbClr val="000000">
                              <a:alpha val="0"/>
                            </a:srgbClr>
                          </a:lnRef>
                          <a:fillRef idx="1">
                            <a:srgbClr val="F8F9FA"/>
                          </a:fillRef>
                          <a:effectRef idx="0">
                            <a:scrgbClr r="0" g="0" b="0"/>
                          </a:effectRef>
                          <a:fontRef idx="none"/>
                        </wps:style>
                        <wps:bodyPr/>
                      </wps:wsp>
                      <wps:wsp>
                        <wps:cNvPr id="1065465" name="Shape 1065465"/>
                        <wps:cNvSpPr/>
                        <wps:spPr>
                          <a:xfrm>
                            <a:off x="0" y="1225677"/>
                            <a:ext cx="6116701" cy="210312"/>
                          </a:xfrm>
                          <a:custGeom>
                            <a:avLst/>
                            <a:gdLst/>
                            <a:ahLst/>
                            <a:cxnLst/>
                            <a:rect l="0" t="0" r="0" b="0"/>
                            <a:pathLst>
                              <a:path w="6116701" h="210312">
                                <a:moveTo>
                                  <a:pt x="0" y="0"/>
                                </a:moveTo>
                                <a:lnTo>
                                  <a:pt x="6116701" y="0"/>
                                </a:lnTo>
                                <a:lnTo>
                                  <a:pt x="6116701" y="210312"/>
                                </a:lnTo>
                                <a:lnTo>
                                  <a:pt x="0" y="210312"/>
                                </a:lnTo>
                                <a:lnTo>
                                  <a:pt x="0" y="0"/>
                                </a:lnTo>
                              </a:path>
                            </a:pathLst>
                          </a:custGeom>
                          <a:ln w="0" cap="flat">
                            <a:miter lim="127000"/>
                          </a:ln>
                        </wps:spPr>
                        <wps:style>
                          <a:lnRef idx="0">
                            <a:srgbClr val="000000">
                              <a:alpha val="0"/>
                            </a:srgbClr>
                          </a:lnRef>
                          <a:fillRef idx="1">
                            <a:srgbClr val="F8F9FA"/>
                          </a:fillRef>
                          <a:effectRef idx="0">
                            <a:scrgbClr r="0" g="0" b="0"/>
                          </a:effectRef>
                          <a:fontRef idx="none"/>
                        </wps:style>
                        <wps:bodyPr/>
                      </wps:wsp>
                      <wps:wsp>
                        <wps:cNvPr id="1065466" name="Shape 1065466"/>
                        <wps:cNvSpPr/>
                        <wps:spPr>
                          <a:xfrm>
                            <a:off x="0" y="1429893"/>
                            <a:ext cx="6116701" cy="210312"/>
                          </a:xfrm>
                          <a:custGeom>
                            <a:avLst/>
                            <a:gdLst/>
                            <a:ahLst/>
                            <a:cxnLst/>
                            <a:rect l="0" t="0" r="0" b="0"/>
                            <a:pathLst>
                              <a:path w="6116701" h="210312">
                                <a:moveTo>
                                  <a:pt x="0" y="0"/>
                                </a:moveTo>
                                <a:lnTo>
                                  <a:pt x="6116701" y="0"/>
                                </a:lnTo>
                                <a:lnTo>
                                  <a:pt x="6116701" y="210312"/>
                                </a:lnTo>
                                <a:lnTo>
                                  <a:pt x="0" y="210312"/>
                                </a:lnTo>
                                <a:lnTo>
                                  <a:pt x="0" y="0"/>
                                </a:lnTo>
                              </a:path>
                            </a:pathLst>
                          </a:custGeom>
                          <a:ln w="0" cap="flat">
                            <a:miter lim="127000"/>
                          </a:ln>
                        </wps:spPr>
                        <wps:style>
                          <a:lnRef idx="0">
                            <a:srgbClr val="000000">
                              <a:alpha val="0"/>
                            </a:srgbClr>
                          </a:lnRef>
                          <a:fillRef idx="1">
                            <a:srgbClr val="F8F9FA"/>
                          </a:fillRef>
                          <a:effectRef idx="0">
                            <a:scrgbClr r="0" g="0" b="0"/>
                          </a:effectRef>
                          <a:fontRef idx="none"/>
                        </wps:style>
                        <wps:bodyPr/>
                      </wps:wsp>
                      <wps:wsp>
                        <wps:cNvPr id="1065467" name="Shape 1065467"/>
                        <wps:cNvSpPr/>
                        <wps:spPr>
                          <a:xfrm>
                            <a:off x="0" y="1634110"/>
                            <a:ext cx="2286889" cy="210312"/>
                          </a:xfrm>
                          <a:custGeom>
                            <a:avLst/>
                            <a:gdLst/>
                            <a:ahLst/>
                            <a:cxnLst/>
                            <a:rect l="0" t="0" r="0" b="0"/>
                            <a:pathLst>
                              <a:path w="2286889" h="210312">
                                <a:moveTo>
                                  <a:pt x="0" y="0"/>
                                </a:moveTo>
                                <a:lnTo>
                                  <a:pt x="2286889" y="0"/>
                                </a:lnTo>
                                <a:lnTo>
                                  <a:pt x="2286889" y="210312"/>
                                </a:lnTo>
                                <a:lnTo>
                                  <a:pt x="0" y="210312"/>
                                </a:lnTo>
                                <a:lnTo>
                                  <a:pt x="0" y="0"/>
                                </a:lnTo>
                              </a:path>
                            </a:pathLst>
                          </a:custGeom>
                          <a:ln w="0" cap="flat">
                            <a:miter lim="127000"/>
                          </a:ln>
                        </wps:spPr>
                        <wps:style>
                          <a:lnRef idx="0">
                            <a:srgbClr val="000000">
                              <a:alpha val="0"/>
                            </a:srgbClr>
                          </a:lnRef>
                          <a:fillRef idx="1">
                            <a:srgbClr val="F8F9FA"/>
                          </a:fillRef>
                          <a:effectRef idx="0">
                            <a:scrgbClr r="0" g="0" b="0"/>
                          </a:effectRef>
                          <a:fontRef idx="none"/>
                        </wps:style>
                        <wps:bodyPr/>
                      </wps:wsp>
                      <wps:wsp>
                        <wps:cNvPr id="1065468" name="Shape 1065468"/>
                        <wps:cNvSpPr/>
                        <wps:spPr>
                          <a:xfrm>
                            <a:off x="451434" y="1841323"/>
                            <a:ext cx="5665344" cy="210617"/>
                          </a:xfrm>
                          <a:custGeom>
                            <a:avLst/>
                            <a:gdLst/>
                            <a:ahLst/>
                            <a:cxnLst/>
                            <a:rect l="0" t="0" r="0" b="0"/>
                            <a:pathLst>
                              <a:path w="5665344" h="210617">
                                <a:moveTo>
                                  <a:pt x="0" y="0"/>
                                </a:moveTo>
                                <a:lnTo>
                                  <a:pt x="5665344" y="0"/>
                                </a:lnTo>
                                <a:lnTo>
                                  <a:pt x="5665344" y="210617"/>
                                </a:lnTo>
                                <a:lnTo>
                                  <a:pt x="0" y="210617"/>
                                </a:lnTo>
                                <a:lnTo>
                                  <a:pt x="0" y="0"/>
                                </a:lnTo>
                              </a:path>
                            </a:pathLst>
                          </a:custGeom>
                          <a:ln w="0" cap="flat">
                            <a:miter lim="127000"/>
                          </a:ln>
                        </wps:spPr>
                        <wps:style>
                          <a:lnRef idx="0">
                            <a:srgbClr val="000000">
                              <a:alpha val="0"/>
                            </a:srgbClr>
                          </a:lnRef>
                          <a:fillRef idx="1">
                            <a:srgbClr val="F8F9FA"/>
                          </a:fillRef>
                          <a:effectRef idx="0">
                            <a:scrgbClr r="0" g="0" b="0"/>
                          </a:effectRef>
                          <a:fontRef idx="none"/>
                        </wps:style>
                        <wps:bodyPr/>
                      </wps:wsp>
                      <wps:wsp>
                        <wps:cNvPr id="1065469" name="Shape 1065469"/>
                        <wps:cNvSpPr/>
                        <wps:spPr>
                          <a:xfrm>
                            <a:off x="0" y="2045843"/>
                            <a:ext cx="6116701" cy="210312"/>
                          </a:xfrm>
                          <a:custGeom>
                            <a:avLst/>
                            <a:gdLst/>
                            <a:ahLst/>
                            <a:cxnLst/>
                            <a:rect l="0" t="0" r="0" b="0"/>
                            <a:pathLst>
                              <a:path w="6116701" h="210312">
                                <a:moveTo>
                                  <a:pt x="0" y="0"/>
                                </a:moveTo>
                                <a:lnTo>
                                  <a:pt x="6116701" y="0"/>
                                </a:lnTo>
                                <a:lnTo>
                                  <a:pt x="6116701" y="210312"/>
                                </a:lnTo>
                                <a:lnTo>
                                  <a:pt x="0" y="210312"/>
                                </a:lnTo>
                                <a:lnTo>
                                  <a:pt x="0" y="0"/>
                                </a:lnTo>
                              </a:path>
                            </a:pathLst>
                          </a:custGeom>
                          <a:ln w="0" cap="flat">
                            <a:miter lim="127000"/>
                          </a:ln>
                        </wps:spPr>
                        <wps:style>
                          <a:lnRef idx="0">
                            <a:srgbClr val="000000">
                              <a:alpha val="0"/>
                            </a:srgbClr>
                          </a:lnRef>
                          <a:fillRef idx="1">
                            <a:srgbClr val="F8F9FA"/>
                          </a:fillRef>
                          <a:effectRef idx="0">
                            <a:scrgbClr r="0" g="0" b="0"/>
                          </a:effectRef>
                          <a:fontRef idx="none"/>
                        </wps:style>
                        <wps:bodyPr/>
                      </wps:wsp>
                      <wps:wsp>
                        <wps:cNvPr id="1065470" name="Shape 1065470"/>
                        <wps:cNvSpPr/>
                        <wps:spPr>
                          <a:xfrm>
                            <a:off x="0" y="2250060"/>
                            <a:ext cx="6116701" cy="210312"/>
                          </a:xfrm>
                          <a:custGeom>
                            <a:avLst/>
                            <a:gdLst/>
                            <a:ahLst/>
                            <a:cxnLst/>
                            <a:rect l="0" t="0" r="0" b="0"/>
                            <a:pathLst>
                              <a:path w="6116701" h="210312">
                                <a:moveTo>
                                  <a:pt x="0" y="0"/>
                                </a:moveTo>
                                <a:lnTo>
                                  <a:pt x="6116701" y="0"/>
                                </a:lnTo>
                                <a:lnTo>
                                  <a:pt x="6116701" y="210312"/>
                                </a:lnTo>
                                <a:lnTo>
                                  <a:pt x="0" y="210312"/>
                                </a:lnTo>
                                <a:lnTo>
                                  <a:pt x="0" y="0"/>
                                </a:lnTo>
                              </a:path>
                            </a:pathLst>
                          </a:custGeom>
                          <a:ln w="0" cap="flat">
                            <a:miter lim="127000"/>
                          </a:ln>
                        </wps:spPr>
                        <wps:style>
                          <a:lnRef idx="0">
                            <a:srgbClr val="000000">
                              <a:alpha val="0"/>
                            </a:srgbClr>
                          </a:lnRef>
                          <a:fillRef idx="1">
                            <a:srgbClr val="F8F9FA"/>
                          </a:fillRef>
                          <a:effectRef idx="0">
                            <a:scrgbClr r="0" g="0" b="0"/>
                          </a:effectRef>
                          <a:fontRef idx="none"/>
                        </wps:style>
                        <wps:bodyPr/>
                      </wps:wsp>
                      <wps:wsp>
                        <wps:cNvPr id="1065471" name="Shape 1065471"/>
                        <wps:cNvSpPr/>
                        <wps:spPr>
                          <a:xfrm>
                            <a:off x="0" y="2454275"/>
                            <a:ext cx="4835906" cy="210312"/>
                          </a:xfrm>
                          <a:custGeom>
                            <a:avLst/>
                            <a:gdLst/>
                            <a:ahLst/>
                            <a:cxnLst/>
                            <a:rect l="0" t="0" r="0" b="0"/>
                            <a:pathLst>
                              <a:path w="4835906" h="210312">
                                <a:moveTo>
                                  <a:pt x="0" y="0"/>
                                </a:moveTo>
                                <a:lnTo>
                                  <a:pt x="4835906" y="0"/>
                                </a:lnTo>
                                <a:lnTo>
                                  <a:pt x="4835906" y="210312"/>
                                </a:lnTo>
                                <a:lnTo>
                                  <a:pt x="0" y="210312"/>
                                </a:lnTo>
                                <a:lnTo>
                                  <a:pt x="0" y="0"/>
                                </a:lnTo>
                              </a:path>
                            </a:pathLst>
                          </a:custGeom>
                          <a:ln w="0" cap="flat">
                            <a:miter lim="127000"/>
                          </a:ln>
                        </wps:spPr>
                        <wps:style>
                          <a:lnRef idx="0">
                            <a:srgbClr val="000000">
                              <a:alpha val="0"/>
                            </a:srgbClr>
                          </a:lnRef>
                          <a:fillRef idx="1">
                            <a:srgbClr val="F8F9FA"/>
                          </a:fillRef>
                          <a:effectRef idx="0">
                            <a:scrgbClr r="0" g="0" b="0"/>
                          </a:effectRef>
                          <a:fontRef idx="none"/>
                        </wps:style>
                        <wps:bodyPr/>
                      </wps:wsp>
                      <wps:wsp>
                        <wps:cNvPr id="1065472" name="Shape 1065472"/>
                        <wps:cNvSpPr/>
                        <wps:spPr>
                          <a:xfrm>
                            <a:off x="4835982" y="2454275"/>
                            <a:ext cx="1280795" cy="210312"/>
                          </a:xfrm>
                          <a:custGeom>
                            <a:avLst/>
                            <a:gdLst/>
                            <a:ahLst/>
                            <a:cxnLst/>
                            <a:rect l="0" t="0" r="0" b="0"/>
                            <a:pathLst>
                              <a:path w="1280795" h="210312">
                                <a:moveTo>
                                  <a:pt x="0" y="0"/>
                                </a:moveTo>
                                <a:lnTo>
                                  <a:pt x="1280795" y="0"/>
                                </a:lnTo>
                                <a:lnTo>
                                  <a:pt x="1280795" y="210312"/>
                                </a:lnTo>
                                <a:lnTo>
                                  <a:pt x="0" y="21031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65473" name="Shape 1065473"/>
                        <wps:cNvSpPr/>
                        <wps:spPr>
                          <a:xfrm>
                            <a:off x="0" y="2658491"/>
                            <a:ext cx="1542923" cy="210312"/>
                          </a:xfrm>
                          <a:custGeom>
                            <a:avLst/>
                            <a:gdLst/>
                            <a:ahLst/>
                            <a:cxnLst/>
                            <a:rect l="0" t="0" r="0" b="0"/>
                            <a:pathLst>
                              <a:path w="1542923" h="210312">
                                <a:moveTo>
                                  <a:pt x="0" y="0"/>
                                </a:moveTo>
                                <a:lnTo>
                                  <a:pt x="1542923" y="0"/>
                                </a:lnTo>
                                <a:lnTo>
                                  <a:pt x="1542923" y="210312"/>
                                </a:lnTo>
                                <a:lnTo>
                                  <a:pt x="0" y="21031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65474" name="Shape 1065474"/>
                        <wps:cNvSpPr/>
                        <wps:spPr>
                          <a:xfrm>
                            <a:off x="1542872" y="2658491"/>
                            <a:ext cx="73152" cy="210312"/>
                          </a:xfrm>
                          <a:custGeom>
                            <a:avLst/>
                            <a:gdLst/>
                            <a:ahLst/>
                            <a:cxnLst/>
                            <a:rect l="0" t="0" r="0" b="0"/>
                            <a:pathLst>
                              <a:path w="73152" h="210312">
                                <a:moveTo>
                                  <a:pt x="0" y="0"/>
                                </a:moveTo>
                                <a:lnTo>
                                  <a:pt x="73152" y="0"/>
                                </a:lnTo>
                                <a:lnTo>
                                  <a:pt x="73152" y="210312"/>
                                </a:lnTo>
                                <a:lnTo>
                                  <a:pt x="0" y="210312"/>
                                </a:lnTo>
                                <a:lnTo>
                                  <a:pt x="0" y="0"/>
                                </a:lnTo>
                              </a:path>
                            </a:pathLst>
                          </a:custGeom>
                          <a:ln w="0" cap="flat">
                            <a:miter lim="127000"/>
                          </a:ln>
                        </wps:spPr>
                        <wps:style>
                          <a:lnRef idx="0">
                            <a:srgbClr val="000000">
                              <a:alpha val="0"/>
                            </a:srgbClr>
                          </a:lnRef>
                          <a:fillRef idx="1">
                            <a:srgbClr val="F8F9FA"/>
                          </a:fillRef>
                          <a:effectRef idx="0">
                            <a:scrgbClr r="0" g="0" b="0"/>
                          </a:effectRef>
                          <a:fontRef idx="none"/>
                        </wps:style>
                        <wps:bodyPr/>
                      </wps:wsp>
                      <wps:wsp>
                        <wps:cNvPr id="1065475" name="Shape 1065475"/>
                        <wps:cNvSpPr/>
                        <wps:spPr>
                          <a:xfrm>
                            <a:off x="1616024" y="2658491"/>
                            <a:ext cx="4500626" cy="210312"/>
                          </a:xfrm>
                          <a:custGeom>
                            <a:avLst/>
                            <a:gdLst/>
                            <a:ahLst/>
                            <a:cxnLst/>
                            <a:rect l="0" t="0" r="0" b="0"/>
                            <a:pathLst>
                              <a:path w="4500626" h="210312">
                                <a:moveTo>
                                  <a:pt x="0" y="0"/>
                                </a:moveTo>
                                <a:lnTo>
                                  <a:pt x="4500626" y="0"/>
                                </a:lnTo>
                                <a:lnTo>
                                  <a:pt x="4500626" y="210312"/>
                                </a:lnTo>
                                <a:lnTo>
                                  <a:pt x="0" y="21031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65476" name="Shape 1065476"/>
                        <wps:cNvSpPr/>
                        <wps:spPr>
                          <a:xfrm>
                            <a:off x="0" y="2862784"/>
                            <a:ext cx="1890649" cy="210617"/>
                          </a:xfrm>
                          <a:custGeom>
                            <a:avLst/>
                            <a:gdLst/>
                            <a:ahLst/>
                            <a:cxnLst/>
                            <a:rect l="0" t="0" r="0" b="0"/>
                            <a:pathLst>
                              <a:path w="1890649" h="210617">
                                <a:moveTo>
                                  <a:pt x="0" y="0"/>
                                </a:moveTo>
                                <a:lnTo>
                                  <a:pt x="1890649" y="0"/>
                                </a:lnTo>
                                <a:lnTo>
                                  <a:pt x="1890649" y="210617"/>
                                </a:lnTo>
                                <a:lnTo>
                                  <a:pt x="0" y="21061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65477" name="Shape 1065477"/>
                        <wps:cNvSpPr/>
                        <wps:spPr>
                          <a:xfrm>
                            <a:off x="1890725" y="2862784"/>
                            <a:ext cx="1405382" cy="210617"/>
                          </a:xfrm>
                          <a:custGeom>
                            <a:avLst/>
                            <a:gdLst/>
                            <a:ahLst/>
                            <a:cxnLst/>
                            <a:rect l="0" t="0" r="0" b="0"/>
                            <a:pathLst>
                              <a:path w="1405382" h="210617">
                                <a:moveTo>
                                  <a:pt x="0" y="0"/>
                                </a:moveTo>
                                <a:lnTo>
                                  <a:pt x="1405382" y="0"/>
                                </a:lnTo>
                                <a:lnTo>
                                  <a:pt x="1405382" y="210617"/>
                                </a:lnTo>
                                <a:lnTo>
                                  <a:pt x="0" y="210617"/>
                                </a:lnTo>
                                <a:lnTo>
                                  <a:pt x="0" y="0"/>
                                </a:lnTo>
                              </a:path>
                            </a:pathLst>
                          </a:custGeom>
                          <a:ln w="0" cap="flat">
                            <a:miter lim="127000"/>
                          </a:ln>
                        </wps:spPr>
                        <wps:style>
                          <a:lnRef idx="0">
                            <a:srgbClr val="000000">
                              <a:alpha val="0"/>
                            </a:srgbClr>
                          </a:lnRef>
                          <a:fillRef idx="1">
                            <a:srgbClr val="F8F9FA"/>
                          </a:fillRef>
                          <a:effectRef idx="0">
                            <a:scrgbClr r="0" g="0" b="0"/>
                          </a:effectRef>
                          <a:fontRef idx="none"/>
                        </wps:style>
                        <wps:bodyPr/>
                      </wps:wsp>
                      <wps:wsp>
                        <wps:cNvPr id="1065478" name="Shape 1065478"/>
                        <wps:cNvSpPr/>
                        <wps:spPr>
                          <a:xfrm>
                            <a:off x="3296107" y="2862784"/>
                            <a:ext cx="1616075" cy="210617"/>
                          </a:xfrm>
                          <a:custGeom>
                            <a:avLst/>
                            <a:gdLst/>
                            <a:ahLst/>
                            <a:cxnLst/>
                            <a:rect l="0" t="0" r="0" b="0"/>
                            <a:pathLst>
                              <a:path w="1616075" h="210617">
                                <a:moveTo>
                                  <a:pt x="0" y="0"/>
                                </a:moveTo>
                                <a:lnTo>
                                  <a:pt x="1616075" y="0"/>
                                </a:lnTo>
                                <a:lnTo>
                                  <a:pt x="1616075" y="210617"/>
                                </a:lnTo>
                                <a:lnTo>
                                  <a:pt x="0" y="21061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65479" name="Shape 1065479"/>
                        <wps:cNvSpPr/>
                        <wps:spPr>
                          <a:xfrm>
                            <a:off x="0" y="3067304"/>
                            <a:ext cx="6116701" cy="210312"/>
                          </a:xfrm>
                          <a:custGeom>
                            <a:avLst/>
                            <a:gdLst/>
                            <a:ahLst/>
                            <a:cxnLst/>
                            <a:rect l="0" t="0" r="0" b="0"/>
                            <a:pathLst>
                              <a:path w="6116701" h="210312">
                                <a:moveTo>
                                  <a:pt x="0" y="0"/>
                                </a:moveTo>
                                <a:lnTo>
                                  <a:pt x="6116701" y="0"/>
                                </a:lnTo>
                                <a:lnTo>
                                  <a:pt x="6116701" y="210312"/>
                                </a:lnTo>
                                <a:lnTo>
                                  <a:pt x="0" y="21031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a="http://schemas.openxmlformats.org/drawingml/2006/main">
            <w:pict>
              <v:group id="Group 998701" style="width:481.636pt;height:258.08pt;position:absolute;z-index:-2147483472;mso-position-horizontal-relative:text;mso-position-horizontal:absolute;margin-left:0pt;mso-position-vertical-relative:text;margin-top:-3.226pt;" coordsize="61167,32776">
                <v:shape id="Shape 1065480" style="position:absolute;width:56653;height:2103;left:4514;top:0;" coordsize="5665344,210312" path="m0,0l5665344,0l5665344,210312l0,210312l0,0">
                  <v:stroke weight="0pt" endcap="flat" joinstyle="miter" miterlimit="10" on="false" color="#000000" opacity="0"/>
                  <v:fill on="true" color="#f8f9fa"/>
                </v:shape>
                <v:shape id="Shape 1065481" style="position:absolute;width:61167;height:2103;left:0;top:2042;" coordsize="6116701,210312" path="m0,0l6116701,0l6116701,210312l0,210312l0,0">
                  <v:stroke weight="0pt" endcap="flat" joinstyle="miter" miterlimit="10" on="false" color="#000000" opacity="0"/>
                  <v:fill on="true" color="#f8f9fa"/>
                </v:shape>
                <v:shape id="Shape 1065482" style="position:absolute;width:61167;height:2103;left:0;top:4084;" coordsize="6116701,210312" path="m0,0l6116701,0l6116701,210312l0,210312l0,0">
                  <v:stroke weight="0pt" endcap="flat" joinstyle="miter" miterlimit="10" on="false" color="#000000" opacity="0"/>
                  <v:fill on="true" color="#f8f9fa"/>
                </v:shape>
                <v:shape id="Shape 1065483" style="position:absolute;width:61167;height:2103;left:0;top:6126;" coordsize="6116701,210312" path="m0,0l6116701,0l6116701,210312l0,210312l0,0">
                  <v:stroke weight="0pt" endcap="flat" joinstyle="miter" miterlimit="10" on="false" color="#000000" opacity="0"/>
                  <v:fill on="true" color="#f8f9fa"/>
                </v:shape>
                <v:shape id="Shape 1065484" style="position:absolute;width:61167;height:2106;left:0;top:8169;" coordsize="6116701,210617" path="m0,0l6116701,0l6116701,210617l0,210617l0,0">
                  <v:stroke weight="0pt" endcap="flat" joinstyle="miter" miterlimit="10" on="false" color="#000000" opacity="0"/>
                  <v:fill on="true" color="#f8f9fa"/>
                </v:shape>
                <v:shape id="Shape 1065485" style="position:absolute;width:61167;height:2103;left:0;top:10214;" coordsize="6116701,210312" path="m0,0l6116701,0l6116701,210312l0,210312l0,0">
                  <v:stroke weight="0pt" endcap="flat" joinstyle="miter" miterlimit="10" on="false" color="#000000" opacity="0"/>
                  <v:fill on="true" color="#f8f9fa"/>
                </v:shape>
                <v:shape id="Shape 1065486" style="position:absolute;width:61167;height:2103;left:0;top:12256;" coordsize="6116701,210312" path="m0,0l6116701,0l6116701,210312l0,210312l0,0">
                  <v:stroke weight="0pt" endcap="flat" joinstyle="miter" miterlimit="10" on="false" color="#000000" opacity="0"/>
                  <v:fill on="true" color="#f8f9fa"/>
                </v:shape>
                <v:shape id="Shape 1065487" style="position:absolute;width:61167;height:2103;left:0;top:14298;" coordsize="6116701,210312" path="m0,0l6116701,0l6116701,210312l0,210312l0,0">
                  <v:stroke weight="0pt" endcap="flat" joinstyle="miter" miterlimit="10" on="false" color="#000000" opacity="0"/>
                  <v:fill on="true" color="#f8f9fa"/>
                </v:shape>
                <v:shape id="Shape 1065488" style="position:absolute;width:22868;height:2103;left:0;top:16341;" coordsize="2286889,210312" path="m0,0l2286889,0l2286889,210312l0,210312l0,0">
                  <v:stroke weight="0pt" endcap="flat" joinstyle="miter" miterlimit="10" on="false" color="#000000" opacity="0"/>
                  <v:fill on="true" color="#f8f9fa"/>
                </v:shape>
                <v:shape id="Shape 1065489" style="position:absolute;width:56653;height:2106;left:4514;top:18413;" coordsize="5665344,210617" path="m0,0l5665344,0l5665344,210617l0,210617l0,0">
                  <v:stroke weight="0pt" endcap="flat" joinstyle="miter" miterlimit="10" on="false" color="#000000" opacity="0"/>
                  <v:fill on="true" color="#f8f9fa"/>
                </v:shape>
                <v:shape id="Shape 1065490" style="position:absolute;width:61167;height:2103;left:0;top:20458;" coordsize="6116701,210312" path="m0,0l6116701,0l6116701,210312l0,210312l0,0">
                  <v:stroke weight="0pt" endcap="flat" joinstyle="miter" miterlimit="10" on="false" color="#000000" opacity="0"/>
                  <v:fill on="true" color="#f8f9fa"/>
                </v:shape>
                <v:shape id="Shape 1065491" style="position:absolute;width:61167;height:2103;left:0;top:22500;" coordsize="6116701,210312" path="m0,0l6116701,0l6116701,210312l0,210312l0,0">
                  <v:stroke weight="0pt" endcap="flat" joinstyle="miter" miterlimit="10" on="false" color="#000000" opacity="0"/>
                  <v:fill on="true" color="#f8f9fa"/>
                </v:shape>
                <v:shape id="Shape 1065492" style="position:absolute;width:48359;height:2103;left:0;top:24542;" coordsize="4835906,210312" path="m0,0l4835906,0l4835906,210312l0,210312l0,0">
                  <v:stroke weight="0pt" endcap="flat" joinstyle="miter" miterlimit="10" on="false" color="#000000" opacity="0"/>
                  <v:fill on="true" color="#f8f9fa"/>
                </v:shape>
                <v:shape id="Shape 1065493" style="position:absolute;width:12807;height:2103;left:48359;top:24542;" coordsize="1280795,210312" path="m0,0l1280795,0l1280795,210312l0,210312l0,0">
                  <v:stroke weight="0pt" endcap="flat" joinstyle="miter" miterlimit="10" on="false" color="#000000" opacity="0"/>
                  <v:fill on="true" color="#ffffff"/>
                </v:shape>
                <v:shape id="Shape 1065494" style="position:absolute;width:15429;height:2103;left:0;top:26584;" coordsize="1542923,210312" path="m0,0l1542923,0l1542923,210312l0,210312l0,0">
                  <v:stroke weight="0pt" endcap="flat" joinstyle="miter" miterlimit="10" on="false" color="#000000" opacity="0"/>
                  <v:fill on="true" color="#ffffff"/>
                </v:shape>
                <v:shape id="Shape 1065495" style="position:absolute;width:731;height:2103;left:15428;top:26584;" coordsize="73152,210312" path="m0,0l73152,0l73152,210312l0,210312l0,0">
                  <v:stroke weight="0pt" endcap="flat" joinstyle="miter" miterlimit="10" on="false" color="#000000" opacity="0"/>
                  <v:fill on="true" color="#f8f9fa"/>
                </v:shape>
                <v:shape id="Shape 1065496" style="position:absolute;width:45006;height:2103;left:16160;top:26584;" coordsize="4500626,210312" path="m0,0l4500626,0l4500626,210312l0,210312l0,0">
                  <v:stroke weight="0pt" endcap="flat" joinstyle="miter" miterlimit="10" on="false" color="#000000" opacity="0"/>
                  <v:fill on="true" color="#ffffff"/>
                </v:shape>
                <v:shape id="Shape 1065497" style="position:absolute;width:18906;height:2106;left:0;top:28627;" coordsize="1890649,210617" path="m0,0l1890649,0l1890649,210617l0,210617l0,0">
                  <v:stroke weight="0pt" endcap="flat" joinstyle="miter" miterlimit="10" on="false" color="#000000" opacity="0"/>
                  <v:fill on="true" color="#ffffff"/>
                </v:shape>
                <v:shape id="Shape 1065498" style="position:absolute;width:14053;height:2106;left:18907;top:28627;" coordsize="1405382,210617" path="m0,0l1405382,0l1405382,210617l0,210617l0,0">
                  <v:stroke weight="0pt" endcap="flat" joinstyle="miter" miterlimit="10" on="false" color="#000000" opacity="0"/>
                  <v:fill on="true" color="#f8f9fa"/>
                </v:shape>
                <v:shape id="Shape 1065499" style="position:absolute;width:16160;height:2106;left:32961;top:28627;" coordsize="1616075,210617" path="m0,0l1616075,0l1616075,210617l0,210617l0,0">
                  <v:stroke weight="0pt" endcap="flat" joinstyle="miter" miterlimit="10" on="false" color="#000000" opacity="0"/>
                  <v:fill on="true" color="#ffffff"/>
                </v:shape>
                <v:shape id="Shape 1065500" style="position:absolute;width:61167;height:2103;left:0;top:30673;" coordsize="6116701,210312" path="m0,0l6116701,0l6116701,210312l0,210312l0,0">
                  <v:stroke weight="0pt" endcap="flat" joinstyle="miter" miterlimit="10" on="false" color="#000000" opacity="0"/>
                  <v:fill on="true" color="#ffffff"/>
                </v:shape>
              </v:group>
            </w:pict>
          </mc:Fallback>
        </mc:AlternateContent>
      </w:r>
      <w:r>
        <w:rPr>
          <w:rFonts w:ascii="Times New Roman" w:eastAsia="Times New Roman" w:hAnsi="Times New Roman" w:cs="Times New Roman"/>
          <w:color w:val="222222"/>
          <w:sz w:val="28"/>
        </w:rPr>
        <w:t xml:space="preserve">Рассмотрим  пример неграмотной  визуальной информации. На спецодежде бирка содержит сведения о том, </w:t>
      </w:r>
      <w:r>
        <w:rPr>
          <w:rFonts w:ascii="Times New Roman" w:eastAsia="Times New Roman" w:hAnsi="Times New Roman" w:cs="Times New Roman"/>
          <w:color w:val="222222"/>
          <w:sz w:val="28"/>
        </w:rPr>
        <w:t xml:space="preserve">что это </w:t>
      </w:r>
      <w:r>
        <w:rPr>
          <w:rFonts w:ascii="Times New Roman" w:eastAsia="Times New Roman" w:hAnsi="Times New Roman" w:cs="Times New Roman"/>
          <w:i/>
          <w:color w:val="222222"/>
          <w:sz w:val="28"/>
        </w:rPr>
        <w:t>утепленный костюм охранника,</w:t>
      </w:r>
      <w:r>
        <w:rPr>
          <w:rFonts w:ascii="Times New Roman" w:eastAsia="Times New Roman" w:hAnsi="Times New Roman" w:cs="Times New Roman"/>
          <w:color w:val="222222"/>
          <w:sz w:val="28"/>
        </w:rPr>
        <w:t xml:space="preserve"> а перевод на казахском языке звучит  следующим образом:  </w:t>
      </w:r>
      <w:r>
        <w:rPr>
          <w:rFonts w:ascii="Times New Roman" w:eastAsia="Times New Roman" w:hAnsi="Times New Roman" w:cs="Times New Roman"/>
          <w:i/>
          <w:color w:val="222222"/>
          <w:sz w:val="28"/>
        </w:rPr>
        <w:t>күзетшінің костюмі жылынып кетті</w:t>
      </w:r>
      <w:r>
        <w:rPr>
          <w:rFonts w:ascii="Times New Roman" w:eastAsia="Times New Roman" w:hAnsi="Times New Roman" w:cs="Times New Roman"/>
          <w:color w:val="222222"/>
          <w:sz w:val="28"/>
        </w:rPr>
        <w:t xml:space="preserve">,  переводится  как  </w:t>
      </w:r>
      <w:r>
        <w:rPr>
          <w:rFonts w:ascii="Times New Roman" w:eastAsia="Times New Roman" w:hAnsi="Times New Roman" w:cs="Times New Roman"/>
          <w:i/>
          <w:color w:val="222222"/>
          <w:sz w:val="28"/>
        </w:rPr>
        <w:t>костюм сторожа  нагрелся.</w:t>
      </w:r>
      <w:r>
        <w:rPr>
          <w:rFonts w:ascii="Times New Roman" w:eastAsia="Times New Roman" w:hAnsi="Times New Roman" w:cs="Times New Roman"/>
          <w:color w:val="222222"/>
          <w:sz w:val="28"/>
        </w:rPr>
        <w:t xml:space="preserve"> Здесь наблюдается явное   несохранение, искажение основной информации.  Если предст</w:t>
      </w:r>
      <w:r>
        <w:rPr>
          <w:rFonts w:ascii="Times New Roman" w:eastAsia="Times New Roman" w:hAnsi="Times New Roman" w:cs="Times New Roman"/>
          <w:color w:val="222222"/>
          <w:sz w:val="28"/>
        </w:rPr>
        <w:t xml:space="preserve">авить, что эти курьезы  переводческого мастерства увидит человек, который далеко не лингвист, а только начинает осваивать   </w:t>
      </w:r>
      <w:r>
        <w:rPr>
          <w:rFonts w:ascii="Times New Roman" w:eastAsia="Times New Roman" w:hAnsi="Times New Roman" w:cs="Times New Roman"/>
          <w:color w:val="222222"/>
          <w:sz w:val="28"/>
        </w:rPr>
        <w:lastRenderedPageBreak/>
        <w:t>казахский язык, то нет  гарантии  в том, что он автоматически  будет воспринимать все  правильно.</w:t>
      </w:r>
      <w:r>
        <w:rPr>
          <w:rFonts w:ascii="Times New Roman" w:eastAsia="Times New Roman" w:hAnsi="Times New Roman" w:cs="Times New Roman"/>
          <w:sz w:val="28"/>
        </w:rPr>
        <w:t xml:space="preserve"> </w:t>
      </w:r>
    </w:p>
    <w:p w:rsidR="0052701D" w:rsidRDefault="00D40929">
      <w:pPr>
        <w:spacing w:after="1" w:line="277" w:lineRule="auto"/>
        <w:ind w:right="73" w:firstLine="711"/>
        <w:jc w:val="both"/>
      </w:pPr>
      <w:r>
        <w:rPr>
          <w:noProof/>
        </w:rPr>
        <mc:AlternateContent>
          <mc:Choice Requires="wpg">
            <w:drawing>
              <wp:anchor distT="0" distB="0" distL="114300" distR="114300" simplePos="0" relativeHeight="251771904" behindDoc="1" locked="0" layoutInCell="1" allowOverlap="1">
                <wp:simplePos x="0" y="0"/>
                <wp:positionH relativeFrom="column">
                  <wp:posOffset>0</wp:posOffset>
                </wp:positionH>
                <wp:positionV relativeFrom="paragraph">
                  <wp:posOffset>3024511</wp:posOffset>
                </wp:positionV>
                <wp:extent cx="6116778" cy="414832"/>
                <wp:effectExtent l="0" t="0" r="0" b="0"/>
                <wp:wrapNone/>
                <wp:docPr id="998702" name="Group 998702"/>
                <wp:cNvGraphicFramePr/>
                <a:graphic xmlns:a="http://schemas.openxmlformats.org/drawingml/2006/main">
                  <a:graphicData uri="http://schemas.microsoft.com/office/word/2010/wordprocessingGroup">
                    <wpg:wgp>
                      <wpg:cNvGrpSpPr/>
                      <wpg:grpSpPr>
                        <a:xfrm>
                          <a:off x="0" y="0"/>
                          <a:ext cx="6116778" cy="414832"/>
                          <a:chOff x="0" y="0"/>
                          <a:chExt cx="6116778" cy="414832"/>
                        </a:xfrm>
                      </wpg:grpSpPr>
                      <wps:wsp>
                        <wps:cNvPr id="1065501" name="Shape 1065501"/>
                        <wps:cNvSpPr/>
                        <wps:spPr>
                          <a:xfrm>
                            <a:off x="722706" y="0"/>
                            <a:ext cx="5394071" cy="210617"/>
                          </a:xfrm>
                          <a:custGeom>
                            <a:avLst/>
                            <a:gdLst/>
                            <a:ahLst/>
                            <a:cxnLst/>
                            <a:rect l="0" t="0" r="0" b="0"/>
                            <a:pathLst>
                              <a:path w="5394071" h="210617">
                                <a:moveTo>
                                  <a:pt x="0" y="0"/>
                                </a:moveTo>
                                <a:lnTo>
                                  <a:pt x="5394071" y="0"/>
                                </a:lnTo>
                                <a:lnTo>
                                  <a:pt x="5394071" y="210617"/>
                                </a:lnTo>
                                <a:lnTo>
                                  <a:pt x="0" y="210617"/>
                                </a:lnTo>
                                <a:lnTo>
                                  <a:pt x="0" y="0"/>
                                </a:lnTo>
                              </a:path>
                            </a:pathLst>
                          </a:custGeom>
                          <a:ln w="0" cap="flat">
                            <a:miter lim="127000"/>
                          </a:ln>
                        </wps:spPr>
                        <wps:style>
                          <a:lnRef idx="0">
                            <a:srgbClr val="000000">
                              <a:alpha val="0"/>
                            </a:srgbClr>
                          </a:lnRef>
                          <a:fillRef idx="1">
                            <a:srgbClr val="F8F9FA"/>
                          </a:fillRef>
                          <a:effectRef idx="0">
                            <a:scrgbClr r="0" g="0" b="0"/>
                          </a:effectRef>
                          <a:fontRef idx="none"/>
                        </wps:style>
                        <wps:bodyPr/>
                      </wps:wsp>
                      <wps:wsp>
                        <wps:cNvPr id="1065502" name="Shape 1065502"/>
                        <wps:cNvSpPr/>
                        <wps:spPr>
                          <a:xfrm>
                            <a:off x="0" y="204520"/>
                            <a:ext cx="3713988" cy="210312"/>
                          </a:xfrm>
                          <a:custGeom>
                            <a:avLst/>
                            <a:gdLst/>
                            <a:ahLst/>
                            <a:cxnLst/>
                            <a:rect l="0" t="0" r="0" b="0"/>
                            <a:pathLst>
                              <a:path w="3713988" h="210312">
                                <a:moveTo>
                                  <a:pt x="0" y="0"/>
                                </a:moveTo>
                                <a:lnTo>
                                  <a:pt x="3713988" y="0"/>
                                </a:lnTo>
                                <a:lnTo>
                                  <a:pt x="3713988" y="210312"/>
                                </a:lnTo>
                                <a:lnTo>
                                  <a:pt x="0" y="210312"/>
                                </a:lnTo>
                                <a:lnTo>
                                  <a:pt x="0" y="0"/>
                                </a:lnTo>
                              </a:path>
                            </a:pathLst>
                          </a:custGeom>
                          <a:ln w="0" cap="flat">
                            <a:miter lim="127000"/>
                          </a:ln>
                        </wps:spPr>
                        <wps:style>
                          <a:lnRef idx="0">
                            <a:srgbClr val="000000">
                              <a:alpha val="0"/>
                            </a:srgbClr>
                          </a:lnRef>
                          <a:fillRef idx="1">
                            <a:srgbClr val="F8F9FA"/>
                          </a:fillRef>
                          <a:effectRef idx="0">
                            <a:scrgbClr r="0" g="0" b="0"/>
                          </a:effectRef>
                          <a:fontRef idx="none"/>
                        </wps:style>
                        <wps:bodyPr/>
                      </wps:wsp>
                    </wpg:wgp>
                  </a:graphicData>
                </a:graphic>
              </wp:anchor>
            </w:drawing>
          </mc:Choice>
          <mc:Fallback xmlns:a="http://schemas.openxmlformats.org/drawingml/2006/main">
            <w:pict>
              <v:group id="Group 998702" style="width:481.636pt;height:32.664pt;position:absolute;z-index:-2147483173;mso-position-horizontal-relative:text;mso-position-horizontal:absolute;margin-left:0pt;mso-position-vertical-relative:text;margin-top:238.15pt;" coordsize="61167,4148">
                <v:shape id="Shape 1065503" style="position:absolute;width:53940;height:2106;left:7227;top:0;" coordsize="5394071,210617" path="m0,0l5394071,0l5394071,210617l0,210617l0,0">
                  <v:stroke weight="0pt" endcap="flat" joinstyle="miter" miterlimit="10" on="false" color="#000000" opacity="0"/>
                  <v:fill on="true" color="#f8f9fa"/>
                </v:shape>
                <v:shape id="Shape 1065504" style="position:absolute;width:37139;height:2103;left:0;top:2045;" coordsize="3713988,210312" path="m0,0l3713988,0l3713988,210312l0,210312l0,0">
                  <v:stroke weight="0pt" endcap="flat" joinstyle="miter" miterlimit="10" on="false" color="#000000" opacity="0"/>
                  <v:fill on="true" color="#f8f9fa"/>
                </v:shape>
              </v:group>
            </w:pict>
          </mc:Fallback>
        </mc:AlternateContent>
      </w:r>
      <w:r>
        <w:rPr>
          <w:rFonts w:ascii="Times New Roman" w:eastAsia="Times New Roman" w:hAnsi="Times New Roman" w:cs="Times New Roman"/>
          <w:color w:val="222222"/>
          <w:sz w:val="28"/>
        </w:rPr>
        <w:t>Визуальная информация – это свое</w:t>
      </w:r>
      <w:r>
        <w:rPr>
          <w:rFonts w:ascii="Times New Roman" w:eastAsia="Times New Roman" w:hAnsi="Times New Roman" w:cs="Times New Roman"/>
          <w:color w:val="222222"/>
          <w:sz w:val="28"/>
        </w:rPr>
        <w:t xml:space="preserve">образный ориентир для тех, кто изучает государственный язык. Чаще всего при переводе  рекламного текста допускаются орфографические, стилистические, пунктуационные ошибки,   имеются недочеты и при буквальном переводе.   Например: </w:t>
      </w:r>
      <w:r>
        <w:rPr>
          <w:rFonts w:ascii="Times New Roman" w:eastAsia="Times New Roman" w:hAnsi="Times New Roman" w:cs="Times New Roman"/>
          <w:i/>
          <w:color w:val="212529"/>
          <w:sz w:val="28"/>
        </w:rPr>
        <w:t>№5 қалалық бас дәрігері ем</w:t>
      </w:r>
      <w:r>
        <w:rPr>
          <w:rFonts w:ascii="Times New Roman" w:eastAsia="Times New Roman" w:hAnsi="Times New Roman" w:cs="Times New Roman"/>
          <w:i/>
          <w:color w:val="212529"/>
          <w:sz w:val="28"/>
        </w:rPr>
        <w:t>хананың</w:t>
      </w:r>
      <w:r>
        <w:rPr>
          <w:rFonts w:ascii="Times New Roman" w:eastAsia="Times New Roman" w:hAnsi="Times New Roman" w:cs="Times New Roman"/>
          <w:color w:val="212529"/>
          <w:sz w:val="28"/>
        </w:rPr>
        <w:t>,</w:t>
      </w:r>
      <w:r>
        <w:rPr>
          <w:rFonts w:ascii="Times New Roman" w:eastAsia="Times New Roman" w:hAnsi="Times New Roman" w:cs="Times New Roman"/>
          <w:color w:val="222222"/>
          <w:sz w:val="28"/>
        </w:rPr>
        <w:t xml:space="preserve"> </w:t>
      </w:r>
      <w:r>
        <w:rPr>
          <w:rFonts w:ascii="Times New Roman" w:eastAsia="Times New Roman" w:hAnsi="Times New Roman" w:cs="Times New Roman"/>
          <w:color w:val="212529"/>
          <w:sz w:val="28"/>
        </w:rPr>
        <w:t xml:space="preserve">если перевести дословно, то получается </w:t>
      </w:r>
      <w:r>
        <w:rPr>
          <w:rFonts w:ascii="Times New Roman" w:eastAsia="Times New Roman" w:hAnsi="Times New Roman" w:cs="Times New Roman"/>
          <w:i/>
          <w:color w:val="212529"/>
          <w:sz w:val="28"/>
        </w:rPr>
        <w:t>поликлиники №5 городской главный врач.</w:t>
      </w:r>
      <w:r>
        <w:rPr>
          <w:rFonts w:ascii="Times New Roman" w:eastAsia="Times New Roman" w:hAnsi="Times New Roman" w:cs="Times New Roman"/>
          <w:i/>
          <w:color w:val="222222"/>
          <w:sz w:val="28"/>
        </w:rPr>
        <w:t xml:space="preserve">  Бренды Европы </w:t>
      </w:r>
      <w:r>
        <w:rPr>
          <w:rFonts w:ascii="Times New Roman" w:eastAsia="Times New Roman" w:hAnsi="Times New Roman" w:cs="Times New Roman"/>
          <w:i/>
          <w:color w:val="212529"/>
          <w:sz w:val="28"/>
        </w:rPr>
        <w:t xml:space="preserve">- Еуропа бренттері </w:t>
      </w:r>
      <w:r>
        <w:rPr>
          <w:rFonts w:ascii="Times New Roman" w:eastAsia="Times New Roman" w:hAnsi="Times New Roman" w:cs="Times New Roman"/>
          <w:sz w:val="28"/>
        </w:rPr>
        <w:t>–</w:t>
      </w:r>
      <w:r>
        <w:rPr>
          <w:rFonts w:ascii="Times New Roman" w:eastAsia="Times New Roman" w:hAnsi="Times New Roman" w:cs="Times New Roman"/>
          <w:color w:val="212529"/>
          <w:sz w:val="28"/>
        </w:rPr>
        <w:t xml:space="preserve"> здесь  корень слова </w:t>
      </w:r>
      <w:r>
        <w:rPr>
          <w:rFonts w:ascii="Times New Roman" w:eastAsia="Times New Roman" w:hAnsi="Times New Roman" w:cs="Times New Roman"/>
          <w:i/>
          <w:color w:val="212529"/>
          <w:sz w:val="28"/>
        </w:rPr>
        <w:t>бренд</w:t>
      </w:r>
      <w:r>
        <w:rPr>
          <w:rFonts w:ascii="Times New Roman" w:eastAsia="Times New Roman" w:hAnsi="Times New Roman" w:cs="Times New Roman"/>
          <w:color w:val="212529"/>
          <w:sz w:val="28"/>
        </w:rPr>
        <w:t xml:space="preserve"> сохраняется, формообразующий аффикс прибавляется к этому корню, правильный перевод звучит таким образом </w:t>
      </w:r>
      <w:r>
        <w:rPr>
          <w:rFonts w:ascii="Times New Roman" w:eastAsia="Times New Roman" w:hAnsi="Times New Roman" w:cs="Times New Roman"/>
          <w:sz w:val="28"/>
        </w:rPr>
        <w:t xml:space="preserve">– </w:t>
      </w:r>
      <w:r>
        <w:rPr>
          <w:rFonts w:ascii="Times New Roman" w:eastAsia="Times New Roman" w:hAnsi="Times New Roman" w:cs="Times New Roman"/>
          <w:i/>
          <w:color w:val="212529"/>
          <w:sz w:val="28"/>
        </w:rPr>
        <w:t xml:space="preserve">Еуропа бренді. </w:t>
      </w:r>
      <w:r>
        <w:rPr>
          <w:rFonts w:ascii="Times New Roman" w:eastAsia="Times New Roman" w:hAnsi="Times New Roman" w:cs="Times New Roman"/>
          <w:color w:val="212529"/>
          <w:sz w:val="28"/>
        </w:rPr>
        <w:t xml:space="preserve">Недопустим перевод рекламных слоганов как   </w:t>
      </w:r>
      <w:r>
        <w:rPr>
          <w:rFonts w:ascii="Times New Roman" w:eastAsia="Times New Roman" w:hAnsi="Times New Roman" w:cs="Times New Roman"/>
          <w:i/>
          <w:color w:val="212529"/>
          <w:sz w:val="28"/>
        </w:rPr>
        <w:t>бағалар  бірқалыпты – цены заморожены</w:t>
      </w:r>
      <w:r>
        <w:rPr>
          <w:rFonts w:ascii="Times New Roman" w:eastAsia="Times New Roman" w:hAnsi="Times New Roman" w:cs="Times New Roman"/>
          <w:color w:val="212529"/>
          <w:sz w:val="28"/>
        </w:rPr>
        <w:t xml:space="preserve">, так как в казахском языке  </w:t>
      </w:r>
      <w:r>
        <w:rPr>
          <w:rFonts w:ascii="Times New Roman" w:eastAsia="Times New Roman" w:hAnsi="Times New Roman" w:cs="Times New Roman"/>
          <w:i/>
          <w:color w:val="212529"/>
          <w:sz w:val="28"/>
        </w:rPr>
        <w:t xml:space="preserve">бірқалыпты </w:t>
      </w:r>
      <w:r>
        <w:rPr>
          <w:rFonts w:ascii="Times New Roman" w:eastAsia="Times New Roman" w:hAnsi="Times New Roman" w:cs="Times New Roman"/>
          <w:color w:val="212529"/>
          <w:sz w:val="28"/>
        </w:rPr>
        <w:t xml:space="preserve">в основном означает то, что связано с состоянием чего-либо, кого-либо, со спокойствием, передает состояние человека или </w:t>
      </w:r>
      <w:r>
        <w:rPr>
          <w:rFonts w:ascii="Times New Roman" w:eastAsia="Times New Roman" w:hAnsi="Times New Roman" w:cs="Times New Roman"/>
          <w:color w:val="212529"/>
          <w:sz w:val="28"/>
        </w:rPr>
        <w:t xml:space="preserve">природы </w:t>
      </w:r>
      <w:r>
        <w:rPr>
          <w:rFonts w:ascii="Times New Roman" w:eastAsia="Times New Roman" w:hAnsi="Times New Roman" w:cs="Times New Roman"/>
          <w:i/>
          <w:color w:val="212529"/>
          <w:sz w:val="28"/>
        </w:rPr>
        <w:t>(ауа райы бірқалыпты,  тыныш деген сияқты),</w:t>
      </w:r>
      <w:r>
        <w:rPr>
          <w:rFonts w:ascii="Times New Roman" w:eastAsia="Times New Roman" w:hAnsi="Times New Roman" w:cs="Times New Roman"/>
          <w:color w:val="212529"/>
          <w:sz w:val="28"/>
        </w:rPr>
        <w:t xml:space="preserve"> может быть сказано о ходе, течении работы (</w:t>
      </w:r>
      <w:r>
        <w:rPr>
          <w:rFonts w:ascii="Times New Roman" w:eastAsia="Times New Roman" w:hAnsi="Times New Roman" w:cs="Times New Roman"/>
          <w:i/>
          <w:color w:val="212529"/>
          <w:sz w:val="28"/>
        </w:rPr>
        <w:t>жұмыс барысы бірқалыпты, бәрі</w:t>
      </w:r>
      <w:r>
        <w:rPr>
          <w:rFonts w:ascii="Times New Roman" w:eastAsia="Times New Roman" w:hAnsi="Times New Roman" w:cs="Times New Roman"/>
          <w:color w:val="212529"/>
          <w:sz w:val="28"/>
        </w:rPr>
        <w:t xml:space="preserve"> </w:t>
      </w:r>
      <w:r>
        <w:rPr>
          <w:rFonts w:ascii="Times New Roman" w:eastAsia="Times New Roman" w:hAnsi="Times New Roman" w:cs="Times New Roman"/>
          <w:i/>
          <w:color w:val="212529"/>
          <w:sz w:val="28"/>
        </w:rPr>
        <w:t>бірқалыпты)</w:t>
      </w:r>
      <w:r>
        <w:rPr>
          <w:rFonts w:ascii="Times New Roman" w:eastAsia="Times New Roman" w:hAnsi="Times New Roman" w:cs="Times New Roman"/>
          <w:color w:val="212529"/>
          <w:sz w:val="28"/>
        </w:rPr>
        <w:t xml:space="preserve">.  Допустимы словосочетания </w:t>
      </w:r>
      <w:r>
        <w:rPr>
          <w:rFonts w:ascii="Times New Roman" w:eastAsia="Times New Roman" w:hAnsi="Times New Roman" w:cs="Times New Roman"/>
          <w:i/>
          <w:color w:val="212529"/>
          <w:sz w:val="28"/>
        </w:rPr>
        <w:t>бағалар тұрақты, бағаны ұстап тұрмыз.</w:t>
      </w:r>
      <w:r>
        <w:rPr>
          <w:rFonts w:ascii="Times New Roman" w:eastAsia="Times New Roman" w:hAnsi="Times New Roman" w:cs="Times New Roman"/>
          <w:color w:val="212529"/>
          <w:sz w:val="28"/>
        </w:rPr>
        <w:t xml:space="preserve">   Такие погрешности встречаются и в переводе в изображ</w:t>
      </w:r>
      <w:r>
        <w:rPr>
          <w:rFonts w:ascii="Times New Roman" w:eastAsia="Times New Roman" w:hAnsi="Times New Roman" w:cs="Times New Roman"/>
          <w:color w:val="212529"/>
          <w:sz w:val="28"/>
        </w:rPr>
        <w:t xml:space="preserve">ении красивой модели   </w:t>
      </w:r>
      <w:r>
        <w:rPr>
          <w:rFonts w:ascii="Times New Roman" w:eastAsia="Times New Roman" w:hAnsi="Times New Roman" w:cs="Times New Roman"/>
          <w:color w:val="222222"/>
          <w:sz w:val="28"/>
        </w:rPr>
        <w:t xml:space="preserve">пары женской обуви   </w:t>
      </w:r>
      <w:r>
        <w:rPr>
          <w:rFonts w:ascii="Times New Roman" w:eastAsia="Times New Roman" w:hAnsi="Times New Roman" w:cs="Times New Roman"/>
          <w:i/>
          <w:color w:val="222222"/>
          <w:sz w:val="28"/>
        </w:rPr>
        <w:t>сынарлар қуантарлық</w:t>
      </w:r>
      <w:r>
        <w:rPr>
          <w:rFonts w:ascii="Times New Roman" w:eastAsia="Times New Roman" w:hAnsi="Times New Roman" w:cs="Times New Roman"/>
          <w:color w:val="222222"/>
          <w:sz w:val="28"/>
        </w:rPr>
        <w:t xml:space="preserve">– буквальный перевод на русском языке – </w:t>
      </w:r>
      <w:r>
        <w:rPr>
          <w:rFonts w:ascii="Times New Roman" w:eastAsia="Times New Roman" w:hAnsi="Times New Roman" w:cs="Times New Roman"/>
          <w:i/>
          <w:color w:val="222222"/>
          <w:sz w:val="28"/>
        </w:rPr>
        <w:t>близнецы в радостный момент</w:t>
      </w:r>
      <w:r>
        <w:rPr>
          <w:rFonts w:ascii="Times New Roman" w:eastAsia="Times New Roman" w:hAnsi="Times New Roman" w:cs="Times New Roman"/>
          <w:color w:val="222222"/>
          <w:sz w:val="28"/>
        </w:rPr>
        <w:t xml:space="preserve">. </w:t>
      </w:r>
    </w:p>
    <w:p w:rsidR="0052701D" w:rsidRDefault="00D40929">
      <w:pPr>
        <w:spacing w:after="0" w:line="278" w:lineRule="auto"/>
        <w:ind w:right="72" w:firstLine="711"/>
        <w:jc w:val="both"/>
      </w:pPr>
      <w:r>
        <w:rPr>
          <w:rFonts w:ascii="Times New Roman" w:eastAsia="Times New Roman" w:hAnsi="Times New Roman" w:cs="Times New Roman"/>
          <w:sz w:val="28"/>
        </w:rPr>
        <w:t xml:space="preserve">Таким образом, процесс перевода творческий, а процесс перевода рекламы вдвойне. </w:t>
      </w:r>
      <w:r>
        <w:rPr>
          <w:rFonts w:ascii="Times New Roman" w:eastAsia="Times New Roman" w:hAnsi="Times New Roman" w:cs="Times New Roman"/>
          <w:color w:val="0C0E0D"/>
          <w:sz w:val="28"/>
        </w:rPr>
        <w:t xml:space="preserve"> Без творческого потенциала, без чувства яз</w:t>
      </w:r>
      <w:r>
        <w:rPr>
          <w:rFonts w:ascii="Times New Roman" w:eastAsia="Times New Roman" w:hAnsi="Times New Roman" w:cs="Times New Roman"/>
          <w:color w:val="0C0E0D"/>
          <w:sz w:val="28"/>
        </w:rPr>
        <w:t xml:space="preserve">ыка и образного мышления переводчику не обойтись.  Подбор способа   или приема перевода рекламных текстов зависит от целевой аудитории, ее этнокультурных, психологических, социальных особенностей, от характера текста и личного вкуса переводчика. </w:t>
      </w:r>
      <w:r>
        <w:rPr>
          <w:rFonts w:ascii="Times New Roman" w:eastAsia="Times New Roman" w:hAnsi="Times New Roman" w:cs="Times New Roman"/>
          <w:sz w:val="28"/>
        </w:rPr>
        <w:t>Поиски пут</w:t>
      </w:r>
      <w:r>
        <w:rPr>
          <w:rFonts w:ascii="Times New Roman" w:eastAsia="Times New Roman" w:hAnsi="Times New Roman" w:cs="Times New Roman"/>
          <w:sz w:val="28"/>
        </w:rPr>
        <w:t xml:space="preserve">ей повышения качества перевода рекламного текста являются сегодня настоятельной необходимостью, диктуемой самой переводческой практикой.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 Известный критик Калжан Нурмаханов в своих статьях и выступлениях отмечал, что «…переводы становятся сложной, чрезвыч</w:t>
      </w:r>
      <w:r>
        <w:rPr>
          <w:rFonts w:ascii="Times New Roman" w:eastAsia="Times New Roman" w:hAnsi="Times New Roman" w:cs="Times New Roman"/>
          <w:sz w:val="28"/>
        </w:rPr>
        <w:t>айно интересной дисциплиной, в которую включены и сведения по лингвистике, литературоведению, стиховедению, стилистике и т.д. Перевод в практическом разрезе является языковой задачей, а в разрезе теоретическом – языковедческой проблемой, поскольку содержан</w:t>
      </w:r>
      <w:r>
        <w:rPr>
          <w:rFonts w:ascii="Times New Roman" w:eastAsia="Times New Roman" w:hAnsi="Times New Roman" w:cs="Times New Roman"/>
          <w:sz w:val="28"/>
        </w:rPr>
        <w:t xml:space="preserve">ие переводимого подлинника непосредственно и неразрывно связано с формами языка, на котором он создан.  В этой связи необходимо пристальное внимание к языковой форме подлинника, в которой раскрывается его содержание, необходимы тщательные поиски </w:t>
      </w:r>
    </w:p>
    <w:p w:rsidR="0052701D" w:rsidRDefault="00D40929">
      <w:pPr>
        <w:spacing w:after="5" w:line="271" w:lineRule="auto"/>
        <w:ind w:left="9" w:right="64"/>
        <w:jc w:val="both"/>
      </w:pPr>
      <w:r>
        <w:rPr>
          <w:rFonts w:ascii="Times New Roman" w:eastAsia="Times New Roman" w:hAnsi="Times New Roman" w:cs="Times New Roman"/>
          <w:sz w:val="28"/>
        </w:rPr>
        <w:t>соответст</w:t>
      </w:r>
      <w:r>
        <w:rPr>
          <w:rFonts w:ascii="Times New Roman" w:eastAsia="Times New Roman" w:hAnsi="Times New Roman" w:cs="Times New Roman"/>
          <w:sz w:val="28"/>
        </w:rPr>
        <w:t xml:space="preserve">вующих по смысловой и эмоциональной форме средств того языка, на который делается перевод» [2].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В «Хартии переводчика», принятой Международной Федерацией переводчиков ФИТ в Дубровнике (Югославия, 1973 г.) говорится: «Переводчик </w:t>
      </w:r>
      <w:r>
        <w:rPr>
          <w:rFonts w:ascii="Times New Roman" w:eastAsia="Times New Roman" w:hAnsi="Times New Roman" w:cs="Times New Roman"/>
          <w:sz w:val="28"/>
        </w:rPr>
        <w:lastRenderedPageBreak/>
        <w:t>должен хорошо знать язык, с</w:t>
      </w:r>
      <w:r>
        <w:rPr>
          <w:rFonts w:ascii="Times New Roman" w:eastAsia="Times New Roman" w:hAnsi="Times New Roman" w:cs="Times New Roman"/>
          <w:sz w:val="28"/>
        </w:rPr>
        <w:t xml:space="preserve"> которого переводит, и, что важнее, в совершенстве владеть языком, на который переводит» (раздел 1, параграф 3) [3]. </w:t>
      </w:r>
    </w:p>
    <w:p w:rsidR="0052701D" w:rsidRDefault="00D40929">
      <w:pPr>
        <w:spacing w:after="5" w:line="271" w:lineRule="auto"/>
        <w:ind w:left="9" w:right="64" w:firstLine="711"/>
        <w:jc w:val="both"/>
      </w:pPr>
      <w:r>
        <w:rPr>
          <w:rFonts w:ascii="Times New Roman" w:eastAsia="Times New Roman" w:hAnsi="Times New Roman" w:cs="Times New Roman"/>
          <w:b/>
          <w:sz w:val="28"/>
        </w:rPr>
        <w:t xml:space="preserve">Вывод. </w:t>
      </w:r>
      <w:r>
        <w:rPr>
          <w:rFonts w:ascii="Times New Roman" w:eastAsia="Times New Roman" w:hAnsi="Times New Roman" w:cs="Times New Roman"/>
          <w:sz w:val="28"/>
        </w:rPr>
        <w:t>Таким образом, даже переводчик, в совершенстве владеющий обоими языками, обязан выполнить комментированный подстрочный перевод и ос</w:t>
      </w:r>
      <w:r>
        <w:rPr>
          <w:rFonts w:ascii="Times New Roman" w:eastAsia="Times New Roman" w:hAnsi="Times New Roman" w:cs="Times New Roman"/>
          <w:sz w:val="28"/>
        </w:rPr>
        <w:t>мыслить его содержание, уметь узнать новое слово и распознать его значение в иностранном тексте. Только тогда возможно обеспечить необходимую основу для исполнения качественного перевода. Из сказанного выше следует, чтобы рекламный текст выполнил свою комм</w:t>
      </w:r>
      <w:r>
        <w:rPr>
          <w:rFonts w:ascii="Times New Roman" w:eastAsia="Times New Roman" w:hAnsi="Times New Roman" w:cs="Times New Roman"/>
          <w:sz w:val="28"/>
        </w:rPr>
        <w:t xml:space="preserve">уникативную функцию, его недостаточно перевести, он должен быть включен в культурную среду языка перевода. </w:t>
      </w:r>
    </w:p>
    <w:p w:rsidR="0052701D" w:rsidRDefault="00D40929">
      <w:pPr>
        <w:spacing w:after="28"/>
        <w:ind w:left="711"/>
      </w:pPr>
      <w:r>
        <w:rPr>
          <w:rFonts w:ascii="Times New Roman" w:eastAsia="Times New Roman" w:hAnsi="Times New Roman" w:cs="Times New Roman"/>
          <w:color w:val="0C0E0D"/>
          <w:sz w:val="24"/>
        </w:rPr>
        <w:t xml:space="preserve"> </w:t>
      </w:r>
    </w:p>
    <w:p w:rsidR="0052701D" w:rsidRDefault="00D40929">
      <w:pPr>
        <w:spacing w:after="17"/>
        <w:ind w:left="640" w:hanging="10"/>
        <w:jc w:val="center"/>
      </w:pPr>
      <w:r>
        <w:rPr>
          <w:rFonts w:ascii="Times New Roman" w:eastAsia="Times New Roman" w:hAnsi="Times New Roman" w:cs="Times New Roman"/>
          <w:b/>
          <w:color w:val="0C0E0D"/>
          <w:sz w:val="24"/>
        </w:rPr>
        <w:t xml:space="preserve">ИСТОЧНИКИ </w:t>
      </w:r>
    </w:p>
    <w:p w:rsidR="0052701D" w:rsidRDefault="00D40929">
      <w:pPr>
        <w:numPr>
          <w:ilvl w:val="0"/>
          <w:numId w:val="114"/>
        </w:numPr>
        <w:spacing w:after="29" w:line="248" w:lineRule="auto"/>
        <w:ind w:right="14" w:firstLine="711"/>
        <w:jc w:val="both"/>
      </w:pPr>
      <w:r>
        <w:rPr>
          <w:rFonts w:ascii="Times New Roman" w:eastAsia="Times New Roman" w:hAnsi="Times New Roman" w:cs="Times New Roman"/>
          <w:sz w:val="24"/>
        </w:rPr>
        <w:t>Кеворков И.В. Тестирование рекламы: последние достижения в оценки рекламной эффективности //Реклама. Advertising. – 1996. - №2-3.-С.6-</w:t>
      </w:r>
      <w:r>
        <w:rPr>
          <w:rFonts w:ascii="Times New Roman" w:eastAsia="Times New Roman" w:hAnsi="Times New Roman" w:cs="Times New Roman"/>
          <w:sz w:val="24"/>
        </w:rPr>
        <w:t>7.</w:t>
      </w:r>
      <w:r>
        <w:rPr>
          <w:rFonts w:ascii="Times New Roman" w:eastAsia="Times New Roman" w:hAnsi="Times New Roman" w:cs="Times New Roman"/>
          <w:b/>
          <w:color w:val="0C0E0D"/>
          <w:sz w:val="24"/>
        </w:rPr>
        <w:t xml:space="preserve"> </w:t>
      </w:r>
    </w:p>
    <w:p w:rsidR="0052701D" w:rsidRDefault="00D40929">
      <w:pPr>
        <w:numPr>
          <w:ilvl w:val="0"/>
          <w:numId w:val="114"/>
        </w:numPr>
        <w:spacing w:after="29" w:line="248" w:lineRule="auto"/>
        <w:ind w:right="14" w:firstLine="711"/>
        <w:jc w:val="both"/>
      </w:pPr>
      <w:r>
        <w:rPr>
          <w:rFonts w:ascii="Times New Roman" w:eastAsia="Times New Roman" w:hAnsi="Times New Roman" w:cs="Times New Roman"/>
          <w:sz w:val="24"/>
        </w:rPr>
        <w:t>Нурмаханов К. О плохих переводах и нетребовательных издателях: о произведениях А.С. Пушкина. //Алматин. правда. - 1957.- 28 сентября.</w:t>
      </w:r>
      <w:r>
        <w:rPr>
          <w:rFonts w:ascii="Times New Roman" w:eastAsia="Times New Roman" w:hAnsi="Times New Roman" w:cs="Times New Roman"/>
          <w:b/>
          <w:color w:val="0C0E0D"/>
          <w:sz w:val="24"/>
        </w:rPr>
        <w:t xml:space="preserve"> </w:t>
      </w:r>
    </w:p>
    <w:p w:rsidR="0052701D" w:rsidRDefault="00D40929">
      <w:pPr>
        <w:numPr>
          <w:ilvl w:val="0"/>
          <w:numId w:val="114"/>
        </w:numPr>
        <w:spacing w:after="29" w:line="248" w:lineRule="auto"/>
        <w:ind w:right="14" w:firstLine="711"/>
        <w:jc w:val="both"/>
      </w:pPr>
      <w:r>
        <w:rPr>
          <w:rFonts w:ascii="Times New Roman" w:eastAsia="Times New Roman" w:hAnsi="Times New Roman" w:cs="Times New Roman"/>
          <w:sz w:val="24"/>
        </w:rPr>
        <w:t>Нурмаханова М. К. Некоторые проблемы технического перевода в теоретическом аспекте (Материалы Международной научно-те</w:t>
      </w:r>
      <w:r>
        <w:rPr>
          <w:rFonts w:ascii="Times New Roman" w:eastAsia="Times New Roman" w:hAnsi="Times New Roman" w:cs="Times New Roman"/>
          <w:sz w:val="24"/>
        </w:rPr>
        <w:t xml:space="preserve">хнической конференции) «Энергетика, телекоммуникации и высшее образование в современных условиях»- Алматы, 2006. – С. 566568. </w:t>
      </w:r>
    </w:p>
    <w:p w:rsidR="0052701D" w:rsidRDefault="00D40929">
      <w:pPr>
        <w:numPr>
          <w:ilvl w:val="0"/>
          <w:numId w:val="114"/>
        </w:numPr>
        <w:spacing w:after="29" w:line="248" w:lineRule="auto"/>
        <w:ind w:right="14" w:firstLine="711"/>
        <w:jc w:val="both"/>
      </w:pPr>
      <w:r>
        <w:rPr>
          <w:rFonts w:ascii="Times New Roman" w:eastAsia="Times New Roman" w:hAnsi="Times New Roman" w:cs="Times New Roman"/>
          <w:sz w:val="24"/>
        </w:rPr>
        <w:t xml:space="preserve">Ожегов, С.И.; Шведова, Н.Ю. Толковый словарь русского языка - Издательство: М.: ИТИ Технологии; Издание 4-е, 2006 –678 с. </w:t>
      </w:r>
    </w:p>
    <w:p w:rsidR="0052701D" w:rsidRDefault="00D40929">
      <w:pPr>
        <w:numPr>
          <w:ilvl w:val="0"/>
          <w:numId w:val="114"/>
        </w:numPr>
        <w:spacing w:after="29" w:line="248" w:lineRule="auto"/>
        <w:ind w:right="14" w:firstLine="711"/>
        <w:jc w:val="both"/>
      </w:pPr>
      <w:r>
        <w:rPr>
          <w:rFonts w:ascii="Times New Roman" w:eastAsia="Times New Roman" w:hAnsi="Times New Roman" w:cs="Times New Roman"/>
          <w:sz w:val="24"/>
        </w:rPr>
        <w:t>Бекітілген терминдер сөздігі. Қазақша-орысша, орысша-қазақша (15  мыңға жуық термин). - Алматы: Дайк-пресс, 2009. - 328 с.</w:t>
      </w:r>
      <w:r>
        <w:rPr>
          <w:rFonts w:ascii="Times New Roman" w:eastAsia="Times New Roman" w:hAnsi="Times New Roman" w:cs="Times New Roman"/>
          <w:b/>
          <w:color w:val="0C0E0D"/>
          <w:sz w:val="24"/>
        </w:rPr>
        <w:t xml:space="preserve"> </w:t>
      </w:r>
    </w:p>
    <w:p w:rsidR="0052701D" w:rsidRDefault="00D40929">
      <w:pPr>
        <w:numPr>
          <w:ilvl w:val="0"/>
          <w:numId w:val="114"/>
        </w:numPr>
        <w:spacing w:after="29" w:line="248" w:lineRule="auto"/>
        <w:ind w:right="14" w:firstLine="711"/>
        <w:jc w:val="both"/>
      </w:pPr>
      <w:r>
        <w:rPr>
          <w:rFonts w:ascii="Times New Roman" w:eastAsia="Times New Roman" w:hAnsi="Times New Roman" w:cs="Times New Roman"/>
          <w:sz w:val="24"/>
        </w:rPr>
        <w:t xml:space="preserve">Морозова И.А. Слагая слоганы. – М. Издательство «РИП- Холдинга», 1998. –172 с. </w:t>
      </w:r>
    </w:p>
    <w:p w:rsidR="0052701D" w:rsidRDefault="00D40929">
      <w:pPr>
        <w:spacing w:after="0"/>
        <w:ind w:left="711"/>
      </w:pPr>
      <w:r>
        <w:rPr>
          <w:rFonts w:ascii="Times New Roman" w:eastAsia="Times New Roman" w:hAnsi="Times New Roman" w:cs="Times New Roman"/>
          <w:sz w:val="24"/>
        </w:rPr>
        <w:t xml:space="preserve"> </w:t>
      </w:r>
    </w:p>
    <w:p w:rsidR="0052701D" w:rsidRDefault="00D40929">
      <w:pPr>
        <w:spacing w:after="0"/>
        <w:ind w:left="711"/>
      </w:pPr>
      <w:r>
        <w:rPr>
          <w:rFonts w:ascii="Times New Roman" w:eastAsia="Times New Roman" w:hAnsi="Times New Roman" w:cs="Times New Roman"/>
          <w:sz w:val="24"/>
        </w:rPr>
        <w:t xml:space="preserve"> </w:t>
      </w:r>
    </w:p>
    <w:p w:rsidR="0052701D" w:rsidRDefault="00D40929">
      <w:pPr>
        <w:spacing w:after="8"/>
        <w:ind w:left="711"/>
      </w:pPr>
      <w:r>
        <w:rPr>
          <w:rFonts w:ascii="Times New Roman" w:eastAsia="Times New Roman" w:hAnsi="Times New Roman" w:cs="Times New Roman"/>
          <w:sz w:val="24"/>
        </w:rPr>
        <w:t xml:space="preserve"> </w:t>
      </w:r>
    </w:p>
    <w:p w:rsidR="0052701D" w:rsidRDefault="00D40929">
      <w:pPr>
        <w:spacing w:after="4" w:line="271" w:lineRule="auto"/>
        <w:ind w:left="-5" w:right="194" w:hanging="10"/>
      </w:pPr>
      <w:r>
        <w:rPr>
          <w:rFonts w:ascii="Times New Roman" w:eastAsia="Times New Roman" w:hAnsi="Times New Roman" w:cs="Times New Roman"/>
          <w:b/>
          <w:sz w:val="24"/>
        </w:rPr>
        <w:t xml:space="preserve">МРНТИ 03.20.00 УДК 930 </w:t>
      </w:r>
    </w:p>
    <w:p w:rsidR="0052701D" w:rsidRDefault="00D40929">
      <w:pPr>
        <w:spacing w:after="31"/>
        <w:ind w:left="562"/>
        <w:jc w:val="center"/>
      </w:pPr>
      <w:r>
        <w:rPr>
          <w:rFonts w:ascii="Times New Roman" w:eastAsia="Times New Roman" w:hAnsi="Times New Roman" w:cs="Times New Roman"/>
          <w:b/>
          <w:sz w:val="28"/>
        </w:rPr>
        <w:t xml:space="preserve"> </w:t>
      </w:r>
    </w:p>
    <w:p w:rsidR="0052701D" w:rsidRDefault="00D40929">
      <w:pPr>
        <w:pStyle w:val="1"/>
        <w:spacing w:line="251" w:lineRule="auto"/>
        <w:ind w:left="1412" w:right="0" w:firstLine="9"/>
        <w:jc w:val="left"/>
      </w:pPr>
      <w:r>
        <w:t>ҚАЗАҚ БАЙЛАРЫН ТӘРКІ</w:t>
      </w:r>
      <w:r>
        <w:t xml:space="preserve">ЛЕУ НЫҒМЕТ НҰРМАҚОВ </w:t>
      </w:r>
    </w:p>
    <w:p w:rsidR="0052701D" w:rsidRDefault="00D40929">
      <w:pPr>
        <w:spacing w:after="0"/>
        <w:ind w:left="567"/>
      </w:pPr>
      <w:r>
        <w:rPr>
          <w:rFonts w:ascii="Times New Roman" w:eastAsia="Times New Roman" w:hAnsi="Times New Roman" w:cs="Times New Roman"/>
          <w:sz w:val="28"/>
        </w:rPr>
        <w:t xml:space="preserve"> </w:t>
      </w:r>
    </w:p>
    <w:p w:rsidR="0052701D" w:rsidRDefault="00D40929">
      <w:pPr>
        <w:pStyle w:val="1"/>
        <w:spacing w:after="16" w:line="248" w:lineRule="auto"/>
        <w:ind w:left="819" w:right="315"/>
      </w:pPr>
      <w:r>
        <w:rPr>
          <w:sz w:val="24"/>
        </w:rPr>
        <w:t xml:space="preserve">Кабдушев Б.Ж., Абуханов Ш.А. </w:t>
      </w:r>
    </w:p>
    <w:p w:rsidR="0052701D" w:rsidRDefault="00D40929">
      <w:pPr>
        <w:spacing w:after="0" w:line="250" w:lineRule="auto"/>
        <w:ind w:left="3779" w:hanging="2929"/>
        <w:jc w:val="both"/>
      </w:pPr>
      <w:r>
        <w:rPr>
          <w:rFonts w:ascii="Times New Roman" w:eastAsia="Times New Roman" w:hAnsi="Times New Roman" w:cs="Times New Roman"/>
        </w:rPr>
        <w:t xml:space="preserve">Ғұмарбек Дәукеев атындағы Алматы энергетика және байланыс универститеті, Алматы қ. e-mail: </w:t>
      </w:r>
      <w:r>
        <w:rPr>
          <w:rFonts w:ascii="Times New Roman" w:eastAsia="Times New Roman" w:hAnsi="Times New Roman" w:cs="Times New Roman"/>
          <w:color w:val="0000FF"/>
          <w:u w:val="single" w:color="0000FF"/>
        </w:rPr>
        <w:t>b.kabdushev@aues.kz</w:t>
      </w:r>
      <w:r>
        <w:rPr>
          <w:rFonts w:ascii="Times New Roman" w:eastAsia="Times New Roman" w:hAnsi="Times New Roman" w:cs="Times New Roman"/>
        </w:rPr>
        <w:t xml:space="preserve"> </w:t>
      </w:r>
    </w:p>
    <w:p w:rsidR="0052701D" w:rsidRDefault="00D40929">
      <w:pPr>
        <w:spacing w:after="56"/>
        <w:ind w:left="567"/>
      </w:pPr>
      <w:r>
        <w:rPr>
          <w:rFonts w:ascii="Times New Roman" w:eastAsia="Times New Roman" w:hAnsi="Times New Roman" w:cs="Times New Roman"/>
          <w:i/>
          <w:sz w:val="20"/>
        </w:rPr>
        <w:t xml:space="preserve"> </w:t>
      </w:r>
    </w:p>
    <w:p w:rsidR="0052701D" w:rsidRDefault="00D40929">
      <w:pPr>
        <w:spacing w:after="29" w:line="248" w:lineRule="auto"/>
        <w:ind w:left="9" w:firstLine="711"/>
        <w:jc w:val="both"/>
      </w:pPr>
      <w:r>
        <w:rPr>
          <w:rFonts w:ascii="Times New Roman" w:eastAsia="Times New Roman" w:hAnsi="Times New Roman" w:cs="Times New Roman"/>
          <w:b/>
          <w:i/>
          <w:sz w:val="24"/>
        </w:rPr>
        <w:t>Аңдатпа:</w:t>
      </w:r>
      <w:r>
        <w:rPr>
          <w:rFonts w:ascii="Times New Roman" w:eastAsia="Times New Roman" w:hAnsi="Times New Roman" w:cs="Times New Roman"/>
          <w:i/>
          <w:sz w:val="24"/>
        </w:rPr>
        <w:t xml:space="preserve"> Мақалада 1924-1929 жылдар аралығында Қазақстан үкіметінің төрағасы болған Нығмет</w:t>
      </w:r>
      <w:r>
        <w:rPr>
          <w:rFonts w:ascii="Times New Roman" w:eastAsia="Times New Roman" w:hAnsi="Times New Roman" w:cs="Times New Roman"/>
          <w:i/>
          <w:sz w:val="24"/>
        </w:rPr>
        <w:t xml:space="preserve"> Нұрмақовтың қазақ байларын тәркілеуге қатысты ұстанымы баяндалады. Мемлекеттік науқанды ұйымдастыру барысында Нұрмақов зорлық-зомбылықсыз бай қожалықтарын экономикалық әдіспен әлсіретіп, есесіне кедей шаруашылықтарын салықтың есебінен қолдау көрсетуге бол</w:t>
      </w:r>
      <w:r>
        <w:rPr>
          <w:rFonts w:ascii="Times New Roman" w:eastAsia="Times New Roman" w:hAnsi="Times New Roman" w:cs="Times New Roman"/>
          <w:i/>
          <w:sz w:val="24"/>
        </w:rPr>
        <w:t xml:space="preserve">атынын тұжырымдайды. Нұрмақов тәркілеу барысында округтерде орын алған заңсыздықтарға қарсы тосқауыл қою үшін нұсқау берілген жеделхаттар жолдайды. Үкімет қабылдаған декреттің шеңберінде заң бұзушылыққа жол </w:t>
      </w:r>
      <w:r>
        <w:rPr>
          <w:rFonts w:ascii="Times New Roman" w:eastAsia="Times New Roman" w:hAnsi="Times New Roman" w:cs="Times New Roman"/>
          <w:i/>
          <w:sz w:val="24"/>
        </w:rPr>
        <w:lastRenderedPageBreak/>
        <w:t>бермеуді талап етеді. Кеңес билігінің жалпы саяса</w:t>
      </w:r>
      <w:r>
        <w:rPr>
          <w:rFonts w:ascii="Times New Roman" w:eastAsia="Times New Roman" w:hAnsi="Times New Roman" w:cs="Times New Roman"/>
          <w:i/>
          <w:sz w:val="24"/>
        </w:rPr>
        <w:t xml:space="preserve">ттының үлкен апатқа ұрындыратындығығын сезген Нығмет Нұрмақов нәтижесінде үкімет төрағасы қызметінен кетуге шешім қабылдаған.    </w:t>
      </w:r>
    </w:p>
    <w:p w:rsidR="0052701D" w:rsidRDefault="00D40929">
      <w:pPr>
        <w:spacing w:after="29" w:line="248" w:lineRule="auto"/>
        <w:ind w:left="9" w:firstLine="711"/>
        <w:jc w:val="both"/>
      </w:pPr>
      <w:r>
        <w:rPr>
          <w:rFonts w:ascii="Times New Roman" w:eastAsia="Times New Roman" w:hAnsi="Times New Roman" w:cs="Times New Roman"/>
          <w:b/>
          <w:i/>
          <w:sz w:val="24"/>
        </w:rPr>
        <w:t>Түйін сөздер:</w:t>
      </w:r>
      <w:r>
        <w:rPr>
          <w:rFonts w:ascii="Times New Roman" w:eastAsia="Times New Roman" w:hAnsi="Times New Roman" w:cs="Times New Roman"/>
          <w:i/>
          <w:sz w:val="24"/>
        </w:rPr>
        <w:t xml:space="preserve"> Қазақтың байлары, тәркілеу науқаны, Нұрмақов, «Кіші Қазан», Голощекин, ұжымдастыру.  </w:t>
      </w:r>
    </w:p>
    <w:p w:rsidR="0052701D" w:rsidRDefault="00D40929">
      <w:pPr>
        <w:spacing w:after="0"/>
        <w:ind w:left="567"/>
      </w:pPr>
      <w:r>
        <w:rPr>
          <w:rFonts w:ascii="Times New Roman" w:eastAsia="Times New Roman" w:hAnsi="Times New Roman" w:cs="Times New Roman"/>
          <w:i/>
          <w:sz w:val="24"/>
        </w:rPr>
        <w:t xml:space="preserve"> </w:t>
      </w:r>
    </w:p>
    <w:p w:rsidR="0052701D" w:rsidRDefault="00D40929">
      <w:pPr>
        <w:spacing w:after="5" w:line="251" w:lineRule="auto"/>
        <w:ind w:left="1806" w:firstLine="9"/>
      </w:pPr>
      <w:r>
        <w:rPr>
          <w:rFonts w:ascii="Times New Roman" w:eastAsia="Times New Roman" w:hAnsi="Times New Roman" w:cs="Times New Roman"/>
          <w:b/>
          <w:sz w:val="28"/>
        </w:rPr>
        <w:t xml:space="preserve">КОНФИСКАЦИЯ БАЕВ И </w:t>
      </w:r>
      <w:r>
        <w:rPr>
          <w:rFonts w:ascii="Times New Roman" w:eastAsia="Times New Roman" w:hAnsi="Times New Roman" w:cs="Times New Roman"/>
          <w:b/>
          <w:sz w:val="28"/>
        </w:rPr>
        <w:t xml:space="preserve">НЫГМЕТ НУРМАКОВ </w:t>
      </w:r>
    </w:p>
    <w:p w:rsidR="0052701D" w:rsidRDefault="00D40929">
      <w:pPr>
        <w:spacing w:after="26"/>
        <w:ind w:left="567"/>
      </w:pPr>
      <w:r>
        <w:rPr>
          <w:rFonts w:ascii="Times New Roman" w:eastAsia="Times New Roman" w:hAnsi="Times New Roman" w:cs="Times New Roman"/>
          <w:i/>
          <w:sz w:val="24"/>
        </w:rPr>
        <w:t xml:space="preserve"> </w:t>
      </w:r>
    </w:p>
    <w:p w:rsidR="0052701D" w:rsidRDefault="00D40929">
      <w:pPr>
        <w:spacing w:after="16" w:line="248" w:lineRule="auto"/>
        <w:ind w:left="819" w:right="315" w:hanging="10"/>
        <w:jc w:val="center"/>
      </w:pPr>
      <w:r>
        <w:rPr>
          <w:rFonts w:ascii="Times New Roman" w:eastAsia="Times New Roman" w:hAnsi="Times New Roman" w:cs="Times New Roman"/>
          <w:b/>
          <w:sz w:val="24"/>
        </w:rPr>
        <w:t xml:space="preserve">Кабдушев Б.Ж., Абуханов Ш.А. </w:t>
      </w:r>
    </w:p>
    <w:p w:rsidR="0052701D" w:rsidRDefault="00D40929">
      <w:pPr>
        <w:spacing w:after="0" w:line="248" w:lineRule="auto"/>
        <w:ind w:left="3664" w:hanging="2843"/>
        <w:jc w:val="both"/>
      </w:pPr>
      <w:r>
        <w:rPr>
          <w:rFonts w:ascii="Times New Roman" w:eastAsia="Times New Roman" w:hAnsi="Times New Roman" w:cs="Times New Roman"/>
          <w:i/>
          <w:sz w:val="24"/>
        </w:rPr>
        <w:t xml:space="preserve">Алматинский университет энергетики и связи им. Гумарбека Даукеева, г. Алматы e-mail: </w:t>
      </w:r>
      <w:r>
        <w:rPr>
          <w:rFonts w:ascii="Times New Roman" w:eastAsia="Times New Roman" w:hAnsi="Times New Roman" w:cs="Times New Roman"/>
          <w:i/>
          <w:sz w:val="24"/>
          <w:u w:val="single" w:color="000000"/>
        </w:rPr>
        <w:t>b.kabdushev@aues.kz</w:t>
      </w:r>
      <w:r>
        <w:rPr>
          <w:rFonts w:ascii="Times New Roman" w:eastAsia="Times New Roman" w:hAnsi="Times New Roman" w:cs="Times New Roman"/>
          <w:i/>
          <w:sz w:val="24"/>
        </w:rPr>
        <w:t xml:space="preserve"> </w:t>
      </w:r>
    </w:p>
    <w:p w:rsidR="0052701D" w:rsidRDefault="00D40929">
      <w:pPr>
        <w:spacing w:after="18"/>
        <w:ind w:left="552"/>
        <w:jc w:val="center"/>
      </w:pPr>
      <w:r>
        <w:rPr>
          <w:rFonts w:ascii="Times New Roman" w:eastAsia="Times New Roman" w:hAnsi="Times New Roman" w:cs="Times New Roman"/>
          <w:i/>
          <w:sz w:val="24"/>
        </w:rPr>
        <w:t xml:space="preserve"> </w:t>
      </w:r>
    </w:p>
    <w:p w:rsidR="0052701D" w:rsidRDefault="00D40929">
      <w:pPr>
        <w:spacing w:after="29" w:line="248" w:lineRule="auto"/>
        <w:ind w:left="9" w:firstLine="711"/>
        <w:jc w:val="both"/>
      </w:pPr>
      <w:r>
        <w:rPr>
          <w:rFonts w:ascii="Times New Roman" w:eastAsia="Times New Roman" w:hAnsi="Times New Roman" w:cs="Times New Roman"/>
          <w:b/>
          <w:i/>
          <w:sz w:val="24"/>
        </w:rPr>
        <w:t>Аннотация:</w:t>
      </w:r>
      <w:r>
        <w:rPr>
          <w:rFonts w:ascii="Times New Roman" w:eastAsia="Times New Roman" w:hAnsi="Times New Roman" w:cs="Times New Roman"/>
          <w:i/>
          <w:sz w:val="24"/>
        </w:rPr>
        <w:t xml:space="preserve"> В статье излагается позиция Ныгмета Нурмакова, будучи на посту председателя Правительств</w:t>
      </w:r>
      <w:r>
        <w:rPr>
          <w:rFonts w:ascii="Times New Roman" w:eastAsia="Times New Roman" w:hAnsi="Times New Roman" w:cs="Times New Roman"/>
          <w:i/>
          <w:sz w:val="24"/>
        </w:rPr>
        <w:t>а Казахстана с 1924 по 1929 год, по отношению конфискации казахских богачи. В ходе организации государственной кампании Нурмаков приходит к выводу, что богатые хозяйства могут быть ослаблены экономическим методом, а бедныеподдержаны за счет налогов. Нурмак</w:t>
      </w:r>
      <w:r>
        <w:rPr>
          <w:rFonts w:ascii="Times New Roman" w:eastAsia="Times New Roman" w:hAnsi="Times New Roman" w:cs="Times New Roman"/>
          <w:i/>
          <w:sz w:val="24"/>
        </w:rPr>
        <w:t>ов направляет телеграммы с инструкциями для пресечения нарушений, имевших место в округах в ходе конфискации. Правительство требует, чтобы в рамках принятого декрета не допускалось нарушений. Почувствовав, что общая политика советских властей приведет к бо</w:t>
      </w:r>
      <w:r>
        <w:rPr>
          <w:rFonts w:ascii="Times New Roman" w:eastAsia="Times New Roman" w:hAnsi="Times New Roman" w:cs="Times New Roman"/>
          <w:i/>
          <w:sz w:val="24"/>
        </w:rPr>
        <w:t xml:space="preserve">льшой катастрофе, Ныгмет Нурмаков решил уйти с поста председателя правительства.    </w:t>
      </w:r>
    </w:p>
    <w:p w:rsidR="0052701D" w:rsidRDefault="00D40929">
      <w:pPr>
        <w:spacing w:after="29" w:line="248" w:lineRule="auto"/>
        <w:ind w:left="9" w:firstLine="711"/>
        <w:jc w:val="both"/>
      </w:pP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 xml:space="preserve"> казахские богачи, конфискационная кампания, Нурмаков, «Малый Казань», Голощекин, коллективизация. </w:t>
      </w:r>
    </w:p>
    <w:p w:rsidR="0052701D" w:rsidRDefault="00D40929">
      <w:pPr>
        <w:spacing w:after="0"/>
        <w:ind w:left="567"/>
      </w:pPr>
      <w:r>
        <w:rPr>
          <w:rFonts w:ascii="Times New Roman" w:eastAsia="Times New Roman" w:hAnsi="Times New Roman" w:cs="Times New Roman"/>
          <w:i/>
          <w:sz w:val="24"/>
        </w:rPr>
        <w:t xml:space="preserve"> </w:t>
      </w:r>
    </w:p>
    <w:p w:rsidR="0052701D" w:rsidRDefault="00D40929">
      <w:pPr>
        <w:spacing w:after="21"/>
        <w:ind w:left="567"/>
      </w:pPr>
      <w:r>
        <w:rPr>
          <w:rFonts w:ascii="Times New Roman" w:eastAsia="Times New Roman" w:hAnsi="Times New Roman" w:cs="Times New Roman"/>
          <w:i/>
          <w:sz w:val="24"/>
        </w:rPr>
        <w:t xml:space="preserve"> </w:t>
      </w:r>
    </w:p>
    <w:p w:rsidR="0052701D" w:rsidRDefault="00D40929">
      <w:pPr>
        <w:spacing w:after="5" w:line="251" w:lineRule="auto"/>
        <w:ind w:left="946" w:firstLine="9"/>
      </w:pPr>
      <w:r>
        <w:rPr>
          <w:rFonts w:ascii="Times New Roman" w:eastAsia="Times New Roman" w:hAnsi="Times New Roman" w:cs="Times New Roman"/>
          <w:b/>
          <w:sz w:val="28"/>
        </w:rPr>
        <w:t xml:space="preserve">CONFISCATION OF KAZAKH WEALTH NIGMET NURMAKOV </w:t>
      </w:r>
    </w:p>
    <w:p w:rsidR="0052701D" w:rsidRDefault="00D40929">
      <w:pPr>
        <w:spacing w:after="16" w:line="248" w:lineRule="auto"/>
        <w:ind w:left="819" w:right="315" w:hanging="10"/>
        <w:jc w:val="center"/>
      </w:pPr>
      <w:r>
        <w:rPr>
          <w:rFonts w:ascii="Times New Roman" w:eastAsia="Times New Roman" w:hAnsi="Times New Roman" w:cs="Times New Roman"/>
          <w:b/>
          <w:sz w:val="24"/>
        </w:rPr>
        <w:t>Kabdu</w:t>
      </w:r>
      <w:r>
        <w:rPr>
          <w:rFonts w:ascii="Times New Roman" w:eastAsia="Times New Roman" w:hAnsi="Times New Roman" w:cs="Times New Roman"/>
          <w:b/>
          <w:sz w:val="24"/>
        </w:rPr>
        <w:t>shev B.Zh.,</w:t>
      </w:r>
      <w:r>
        <w:rPr>
          <w:b/>
        </w:rPr>
        <w:t xml:space="preserve"> </w:t>
      </w:r>
      <w:r>
        <w:rPr>
          <w:rFonts w:ascii="Times New Roman" w:eastAsia="Times New Roman" w:hAnsi="Times New Roman" w:cs="Times New Roman"/>
          <w:b/>
          <w:sz w:val="24"/>
        </w:rPr>
        <w:t xml:space="preserve">Abukhanov Sh.A. </w:t>
      </w:r>
    </w:p>
    <w:p w:rsidR="0052701D" w:rsidRDefault="00D40929">
      <w:pPr>
        <w:spacing w:after="7" w:line="238" w:lineRule="auto"/>
        <w:ind w:left="2229" w:right="661" w:hanging="1076"/>
      </w:pPr>
      <w:r>
        <w:rPr>
          <w:rFonts w:ascii="Times New Roman" w:eastAsia="Times New Roman" w:hAnsi="Times New Roman" w:cs="Times New Roman"/>
          <w:i/>
          <w:sz w:val="24"/>
        </w:rPr>
        <w:t xml:space="preserve">Candidate of Historical Sciencies, Almaty University of Power Energineering and Telecommunications named after G. Daukeev, Almaty e-mail: </w:t>
      </w:r>
      <w:r>
        <w:rPr>
          <w:rFonts w:ascii="Times New Roman" w:eastAsia="Times New Roman" w:hAnsi="Times New Roman" w:cs="Times New Roman"/>
          <w:i/>
          <w:color w:val="0000FF"/>
          <w:sz w:val="24"/>
          <w:u w:val="single" w:color="0000FF"/>
        </w:rPr>
        <w:t>b.kabdushev@aues.kz</w:t>
      </w:r>
      <w:r>
        <w:rPr>
          <w:rFonts w:ascii="Times New Roman" w:eastAsia="Times New Roman" w:hAnsi="Times New Roman" w:cs="Times New Roman"/>
          <w:i/>
          <w:sz w:val="24"/>
        </w:rPr>
        <w:t xml:space="preserve"> </w:t>
      </w:r>
    </w:p>
    <w:p w:rsidR="0052701D" w:rsidRDefault="00D40929">
      <w:pPr>
        <w:spacing w:after="0"/>
        <w:ind w:left="552"/>
        <w:jc w:val="center"/>
      </w:pPr>
      <w:r>
        <w:rPr>
          <w:rFonts w:ascii="Times New Roman" w:eastAsia="Times New Roman" w:hAnsi="Times New Roman" w:cs="Times New Roman"/>
          <w:b/>
          <w:i/>
          <w:sz w:val="24"/>
        </w:rPr>
        <w:t xml:space="preserve"> </w:t>
      </w:r>
    </w:p>
    <w:p w:rsidR="0052701D" w:rsidRDefault="00D40929">
      <w:pPr>
        <w:spacing w:after="0" w:line="248" w:lineRule="auto"/>
        <w:ind w:left="9" w:firstLine="711"/>
        <w:jc w:val="both"/>
      </w:pPr>
      <w:r>
        <w:rPr>
          <w:rFonts w:ascii="Times New Roman" w:eastAsia="Times New Roman" w:hAnsi="Times New Roman" w:cs="Times New Roman"/>
          <w:b/>
          <w:i/>
          <w:sz w:val="24"/>
        </w:rPr>
        <w:t>Resume:</w:t>
      </w:r>
      <w:r>
        <w:rPr>
          <w:rFonts w:ascii="Times New Roman" w:eastAsia="Times New Roman" w:hAnsi="Times New Roman" w:cs="Times New Roman"/>
          <w:i/>
          <w:sz w:val="24"/>
        </w:rPr>
        <w:t xml:space="preserve"> The article describes the position of Nygmet Nurmakov, </w:t>
      </w:r>
      <w:r>
        <w:rPr>
          <w:rFonts w:ascii="Times New Roman" w:eastAsia="Times New Roman" w:hAnsi="Times New Roman" w:cs="Times New Roman"/>
          <w:i/>
          <w:sz w:val="24"/>
        </w:rPr>
        <w:t>being the chairman of the Government of Kazakhstan from 1924 to 1929, in relation to the confiscation of the Kazakh riches. In the course of organizing the state campaign, Nurmakov comes to the conclusion that rich farms can be weakened by the economic met</w:t>
      </w:r>
      <w:r>
        <w:rPr>
          <w:rFonts w:ascii="Times New Roman" w:eastAsia="Times New Roman" w:hAnsi="Times New Roman" w:cs="Times New Roman"/>
          <w:i/>
          <w:sz w:val="24"/>
        </w:rPr>
        <w:t>hod, while the poor can be supported through taxes. Nurmakov sends telegrams with instructions to stop the violations that took place in the districts during the confiscation. The government demands that no violations be allowed within the framework of the</w:t>
      </w:r>
      <w:r>
        <w:rPr>
          <w:rFonts w:ascii="Times New Roman" w:eastAsia="Times New Roman" w:hAnsi="Times New Roman" w:cs="Times New Roman"/>
          <w:i/>
          <w:sz w:val="24"/>
        </w:rPr>
        <w:t xml:space="preserve"> adopted decree. Feeling that the general policy of the Soviet authorities would lead to a big disaster, Nygmet Nurmakov decided to step down as   the chairman of the government. </w:t>
      </w:r>
    </w:p>
    <w:p w:rsidR="0052701D" w:rsidRDefault="00D40929">
      <w:pPr>
        <w:spacing w:after="29" w:line="248" w:lineRule="auto"/>
        <w:ind w:left="9" w:firstLine="711"/>
        <w:jc w:val="both"/>
      </w:pPr>
      <w:r>
        <w:rPr>
          <w:rFonts w:ascii="Times New Roman" w:eastAsia="Times New Roman" w:hAnsi="Times New Roman" w:cs="Times New Roman"/>
          <w:b/>
          <w:i/>
          <w:sz w:val="24"/>
        </w:rPr>
        <w:t>Key words:</w:t>
      </w:r>
      <w:r>
        <w:rPr>
          <w:rFonts w:ascii="Times New Roman" w:eastAsia="Times New Roman" w:hAnsi="Times New Roman" w:cs="Times New Roman"/>
          <w:i/>
          <w:sz w:val="24"/>
        </w:rPr>
        <w:t xml:space="preserve"> Kazakh riches, confiscation campaign, Nurmakov, "Small Kazan", Go</w:t>
      </w:r>
      <w:r>
        <w:rPr>
          <w:rFonts w:ascii="Times New Roman" w:eastAsia="Times New Roman" w:hAnsi="Times New Roman" w:cs="Times New Roman"/>
          <w:i/>
          <w:sz w:val="24"/>
        </w:rPr>
        <w:t xml:space="preserve">loshchekin, collectivization. </w:t>
      </w:r>
    </w:p>
    <w:p w:rsidR="0052701D" w:rsidRDefault="00D40929">
      <w:pPr>
        <w:spacing w:after="24"/>
        <w:ind w:left="567"/>
      </w:pPr>
      <w:r>
        <w:rPr>
          <w:rFonts w:ascii="Times New Roman" w:eastAsia="Times New Roman" w:hAnsi="Times New Roman" w:cs="Times New Roman"/>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Қазақ байларын тәркілеу де Қазақстан тарихының  кеңестік кезеңінде зор көлемде орын алған қасіретті беттерінің бірінен саналады. Бұл қазақ қоғамындағы далалық ақсүйектерді, ірі меншік иелерін түп-тамырымен жоюдың ғана емес,</w:t>
      </w:r>
      <w:r>
        <w:rPr>
          <w:rFonts w:ascii="Times New Roman" w:eastAsia="Times New Roman" w:hAnsi="Times New Roman" w:cs="Times New Roman"/>
          <w:sz w:val="28"/>
        </w:rPr>
        <w:t xml:space="preserve"> ғасырлар бойғы дәстүрлі қазақ шаруашылығын толық күйретудің бастамасы болатын. Тәркілеу науқанының нәтижесі 4 жыл 4 ай Халком Кеңесінің төрағасы болған Н. Нұрмақовтың біржола қызметтен өз еркімен кетуіне негіз </w:t>
      </w:r>
      <w:r>
        <w:rPr>
          <w:rFonts w:ascii="Times New Roman" w:eastAsia="Times New Roman" w:hAnsi="Times New Roman" w:cs="Times New Roman"/>
          <w:sz w:val="28"/>
        </w:rPr>
        <w:lastRenderedPageBreak/>
        <w:t xml:space="preserve">болған шешуші себептердің де бірі еді. Бізге </w:t>
      </w:r>
      <w:r>
        <w:rPr>
          <w:rFonts w:ascii="Times New Roman" w:eastAsia="Times New Roman" w:hAnsi="Times New Roman" w:cs="Times New Roman"/>
          <w:sz w:val="28"/>
        </w:rPr>
        <w:t>тәркілеудің барысында және аяқталған соң оның қандай көңіл-күйде болғандығын дәлме-дәл бейнелейтін нақты құжаттар кездеспесе де, іштей қарсылығы мен наразылығын көрсететін жанама құжаттардың молынан табылғандығын айтуымыз керек. Бұл тұжырымымызды дәлелдеме</w:t>
      </w:r>
      <w:r>
        <w:rPr>
          <w:rFonts w:ascii="Times New Roman" w:eastAsia="Times New Roman" w:hAnsi="Times New Roman" w:cs="Times New Roman"/>
          <w:sz w:val="28"/>
        </w:rPr>
        <w:t xml:space="preserve">к бұрын, ауыл шаруашылығын қайта құру жайындағы айтыстар барысында үкімет басшысы ретінде байларды тәркілеу мәселесіндегі Нығмет Нұрмақовтың ұстанымына тоқталайық. </w:t>
      </w:r>
    </w:p>
    <w:p w:rsidR="0052701D" w:rsidRDefault="00D40929">
      <w:pPr>
        <w:spacing w:after="5" w:line="271" w:lineRule="auto"/>
        <w:ind w:left="9" w:right="64" w:firstLine="711"/>
        <w:jc w:val="both"/>
      </w:pPr>
      <w:r>
        <w:rPr>
          <w:rFonts w:ascii="Times New Roman" w:eastAsia="Times New Roman" w:hAnsi="Times New Roman" w:cs="Times New Roman"/>
          <w:sz w:val="28"/>
        </w:rPr>
        <w:t>1926-1927 жылдары қазақ ауылдарының социалистік жолмен қайта құру мәселесі Өлкеком мәжіліст</w:t>
      </w:r>
      <w:r>
        <w:rPr>
          <w:rFonts w:ascii="Times New Roman" w:eastAsia="Times New Roman" w:hAnsi="Times New Roman" w:cs="Times New Roman"/>
          <w:sz w:val="28"/>
        </w:rPr>
        <w:t>ері, партия конференциялары мен съездердің қызу талқысына түсті. Нығмет Нұрмақов та өз позициясын ашық әрі айқын білдіріп отырған. Нығметтің ұғымында міндетті түрде байларды бас салып тәркілеу, малын кедейлерге үлестіру, колхоздар құру емес, оның  экономик</w:t>
      </w:r>
      <w:r>
        <w:rPr>
          <w:rFonts w:ascii="Times New Roman" w:eastAsia="Times New Roman" w:hAnsi="Times New Roman" w:cs="Times New Roman"/>
          <w:sz w:val="28"/>
        </w:rPr>
        <w:t>алық тетіктеріне басу арқылы кедей шаруашылықтарды қуаттандыру, икемді салық саясатымен бай шаруашылықтарды ауыздықтау сияқты эволюциялық жолын таңдады. Бұл бағыттағы оның айқын көзқарасын 1926 жылдың 26 қарашасында Қызылордада өткен өлкелік партия комитет</w:t>
      </w:r>
      <w:r>
        <w:rPr>
          <w:rFonts w:ascii="Times New Roman" w:eastAsia="Times New Roman" w:hAnsi="Times New Roman" w:cs="Times New Roman"/>
          <w:sz w:val="28"/>
        </w:rPr>
        <w:t>інің III пленумындағы жасаған «Ауылдағы Кеңестер құрылысы» атты баяндамасынан көреміз: «Кеңес өкіметінің алғашқы жылдарында біз байларға күш қолдануға мәжбүр болдық. Енді кеңес өкіметінің құрылғанына тоғыз жыл өткенде біз ауыл байына күш қолданбай, экономи</w:t>
      </w:r>
      <w:r>
        <w:rPr>
          <w:rFonts w:ascii="Times New Roman" w:eastAsia="Times New Roman" w:hAnsi="Times New Roman" w:cs="Times New Roman"/>
          <w:sz w:val="28"/>
        </w:rPr>
        <w:t>калық әдістермен әсер ете отырып, оның ықпалындағы кедейлерді шығарып алуға мүмкіндігіміз әбден жетеді»,- деп түйіндейді сөзін Н.Нұрмақов [1]. Үкіметтің басшысы Нығмет Нұрмақовтың байламы осындай. Бұл тұжырымдамаларын үкіметтің бағдарламасы ретінде жоғарғы</w:t>
      </w:r>
      <w:r>
        <w:rPr>
          <w:rFonts w:ascii="Times New Roman" w:eastAsia="Times New Roman" w:hAnsi="Times New Roman" w:cs="Times New Roman"/>
          <w:sz w:val="28"/>
        </w:rPr>
        <w:t xml:space="preserve"> мінбелерден бірнеше рет дәлелдеп, баяндамасы тыңдалды, талқыға түсті. Н.Нұрмақов байлар мен кедейлерге қатысты қолданылатын әдістер жайлы былай дейді: «Біріншіден, байға әсер етудің тиімді жолы ол – салық саясаты. Біз 30-40 пайызға, кей аймақтарда 60 пайы</w:t>
      </w:r>
      <w:r>
        <w:rPr>
          <w:rFonts w:ascii="Times New Roman" w:eastAsia="Times New Roman" w:hAnsi="Times New Roman" w:cs="Times New Roman"/>
          <w:sz w:val="28"/>
        </w:rPr>
        <w:t>зға дейін кедей қожалықтарды салықтан босатамыз да, салықтың басым күшін қуатты қожалықтарға (байларға) салуымыз керек». Екіншіден, ол қуатты шаруашылықтардан түсетін салықтың есебінен кедей таптардың шаруашылықтарын қолдайтын арнайы қор құруды ұсынады. Н.</w:t>
      </w:r>
      <w:r>
        <w:rPr>
          <w:rFonts w:ascii="Times New Roman" w:eastAsia="Times New Roman" w:hAnsi="Times New Roman" w:cs="Times New Roman"/>
          <w:sz w:val="28"/>
        </w:rPr>
        <w:t xml:space="preserve">Нұрмақов кейбір басшылардың көздегеніндей кедейлерді байларға қарсы айдап салу тезисіне мүлдем қарсы болған. Үкімет тарапынан ұйымдастырылған шаралар негізінде кедейдің тұрмысын түзеп, мәдениетін өркендету, яғни Н.Нұрмақовтың байларға қарсы тұру ұстанымын </w:t>
      </w:r>
      <w:r>
        <w:rPr>
          <w:rFonts w:ascii="Times New Roman" w:eastAsia="Times New Roman" w:hAnsi="Times New Roman" w:cs="Times New Roman"/>
          <w:sz w:val="28"/>
        </w:rPr>
        <w:t xml:space="preserve">осылай түсіну қажет. Үшіншіден, ауыл-шаруашылық несиені бөлуді олардың шаруашылығын дамытудағы ең басты тетіктерінің бірі ретінде қарастырған. Бұл бағытта </w:t>
      </w:r>
      <w:r>
        <w:rPr>
          <w:rFonts w:ascii="Times New Roman" w:eastAsia="Times New Roman" w:hAnsi="Times New Roman" w:cs="Times New Roman"/>
          <w:sz w:val="28"/>
        </w:rPr>
        <w:lastRenderedPageBreak/>
        <w:t xml:space="preserve">Н.Нұрмақов кедей қожалықтарына көмекке келуші басты ұйым «Қосшы одағы» деп санайды [2]. </w:t>
      </w:r>
    </w:p>
    <w:p w:rsidR="0052701D" w:rsidRDefault="00D40929">
      <w:pPr>
        <w:spacing w:after="5" w:line="271" w:lineRule="auto"/>
        <w:ind w:left="9" w:right="64" w:firstLine="711"/>
        <w:jc w:val="both"/>
      </w:pPr>
      <w:r>
        <w:rPr>
          <w:rFonts w:ascii="Times New Roman" w:eastAsia="Times New Roman" w:hAnsi="Times New Roman" w:cs="Times New Roman"/>
          <w:sz w:val="28"/>
        </w:rPr>
        <w:t>Бұл ұстанымд</w:t>
      </w:r>
      <w:r>
        <w:rPr>
          <w:rFonts w:ascii="Times New Roman" w:eastAsia="Times New Roman" w:hAnsi="Times New Roman" w:cs="Times New Roman"/>
          <w:sz w:val="28"/>
        </w:rPr>
        <w:t>ы көзі ашық, көкірегі ояу қазақ басшыларының ат төбеліндей азғантай тобы ғана қолдап шықты. Мысалы, С.Сәдуақасов «Біз Қазақстанда Голощекин көтерген азаматтық соғысты емес, керісінше азаматтық келісімді қолдауымыз керек» деп қазақ шаруашылығын қайта құруды</w:t>
      </w:r>
      <w:r>
        <w:rPr>
          <w:rFonts w:ascii="Times New Roman" w:eastAsia="Times New Roman" w:hAnsi="Times New Roman" w:cs="Times New Roman"/>
          <w:sz w:val="28"/>
        </w:rPr>
        <w:t>ң тек бейбіт жолын жақтайды. Ф.И.Голощекиннің ұстанымы шаруашылықты толық күйретудің жолы деп көрегенділікпен мәселені төтесінен қойды. Сәдуақасов Смағұл да «Қосшыны» қолдау, шынайы кооперацияны өмірге енгізу сияқты салиқалы ойтүйіндер жасады [3]. Өкінішке</w:t>
      </w:r>
      <w:r>
        <w:rPr>
          <w:rFonts w:ascii="Times New Roman" w:eastAsia="Times New Roman" w:hAnsi="Times New Roman" w:cs="Times New Roman"/>
          <w:sz w:val="28"/>
        </w:rPr>
        <w:t xml:space="preserve"> орай, Н.Нұрмақовтың да бұл ұстанымын ашықтан-ашық сынап, байларға күш қолдануды жақтауда белсенділікпен  танылғандар да табылды. Семейден қатысушы делегаттың бірі Мусин: «Нұрмақов меншік иелерін күшпен жою әдісіне күмән келтіріп, оның қолданылуына қарсы б</w:t>
      </w:r>
      <w:r>
        <w:rPr>
          <w:rFonts w:ascii="Times New Roman" w:eastAsia="Times New Roman" w:hAnsi="Times New Roman" w:cs="Times New Roman"/>
          <w:sz w:val="28"/>
        </w:rPr>
        <w:t>олып отыр. Меніңше, меншік иелерін күшпен жою (экспроприациялау) әдісін қолдану дұрыс» деп, өзінің үстем тапқа деген таптық өшпенділігін ашық білдіреді [4]. Белгілі қайраткер О.Қ.Жандосов та Мусинмен толық келісетінін мәлімдей отырып, байлардан өндіріс құр</w:t>
      </w:r>
      <w:r>
        <w:rPr>
          <w:rFonts w:ascii="Times New Roman" w:eastAsia="Times New Roman" w:hAnsi="Times New Roman" w:cs="Times New Roman"/>
          <w:sz w:val="28"/>
        </w:rPr>
        <w:t>алдарын тартып алып кедейлерге үлестіруді ұсынды [4.117]. Дегенмен де басты бағытты белгілеуші Өлкеком хатшысы Ф.И.Голощекиннің өзі болатын. Ол небір құйтырқы әдістерді қолдану арқылы жікшілдікті қоздырып, қазақ қайраткерлерін бір-біріне айдап салды. Жергі</w:t>
      </w:r>
      <w:r>
        <w:rPr>
          <w:rFonts w:ascii="Times New Roman" w:eastAsia="Times New Roman" w:hAnsi="Times New Roman" w:cs="Times New Roman"/>
          <w:sz w:val="28"/>
        </w:rPr>
        <w:t>лікті ұлттық ерекшеліктерді ескеріп, дәстүрлі қазақ шаруашылығының сырына үңілмек түгіл, Жер ісі Халық комиссариатының қызметкерлері С.Благовещенский, М.Сириус, А.Донич секілді белгілі аграномғалымдардың қазақ шаруашылығы жайлы жасаған ғылыми тұжырымдары д</w:t>
      </w:r>
      <w:r>
        <w:rPr>
          <w:rFonts w:ascii="Times New Roman" w:eastAsia="Times New Roman" w:hAnsi="Times New Roman" w:cs="Times New Roman"/>
          <w:sz w:val="28"/>
        </w:rPr>
        <w:t>а назардан тыс қалды. Керісінше, мал шаруашылығының табиғилығын қорғап сақтаудың, оны жаңа жағдайға икемдеп, қайта құрудың ғылыми бағыттарына қарсы айыптау науқаны ұйымдастырылды. Ф.И.Голощекин 1926 жылы сәуір айында өткен II партия конференциясында орысты</w:t>
      </w:r>
      <w:r>
        <w:rPr>
          <w:rFonts w:ascii="Times New Roman" w:eastAsia="Times New Roman" w:hAnsi="Times New Roman" w:cs="Times New Roman"/>
          <w:sz w:val="28"/>
        </w:rPr>
        <w:t xml:space="preserve">ң кулагы мен қазақтың байларын былайша салыстырады: «Ең алдымен, 16 десятин жерге егін егуші кулакты және 1/2 десятин жерге егін егуші кедейді алыңыз. Кулактың аттары 56 болса, кедейде 1 ат бар. Әрине, екеуінің арасында алшақтық бар. Егер де біздің ауылды </w:t>
      </w:r>
      <w:r>
        <w:rPr>
          <w:rFonts w:ascii="Times New Roman" w:eastAsia="Times New Roman" w:hAnsi="Times New Roman" w:cs="Times New Roman"/>
          <w:sz w:val="28"/>
        </w:rPr>
        <w:t>алсаңыз 3, 4, 5 бас малы бар кедейге қараңыз және 500-1000 басқа дейін малы бар байға қараңыз. Арадағы алшақтық мүлдем терең» – дейді [3.33]. Осылайша Кеңес өкіметінің басты мақсатын осы алшақты жою екендігіне тірейді. Ол былай дейді: «біздің (орыс) деревн</w:t>
      </w:r>
      <w:r>
        <w:rPr>
          <w:rFonts w:ascii="Times New Roman" w:eastAsia="Times New Roman" w:hAnsi="Times New Roman" w:cs="Times New Roman"/>
          <w:sz w:val="28"/>
        </w:rPr>
        <w:t>яда Октябрьді көрдік, тәркіледік, кедейлер комитетін құрдық, ал мұнда біз (қазақ ауылдарын меңзеп отыр –Б.Қ.) оны көрмедік. Мұнда бай Қазан төңкерісінің лебін сезген де жоқ» – деп сөйлейді. Ал Н.Нұрмақов мәселенің былайша қойылуымен келіспейтіндігін мәлімд</w:t>
      </w:r>
      <w:r>
        <w:rPr>
          <w:rFonts w:ascii="Times New Roman" w:eastAsia="Times New Roman" w:hAnsi="Times New Roman" w:cs="Times New Roman"/>
          <w:sz w:val="28"/>
        </w:rPr>
        <w:t xml:space="preserve">еп: «Кім күшті бай ма, кулак па, мұның бәрі бос сөз. Кешегі 1912 жылдары мыңдаған қазақ жігіттері Семейге түрлі өндіріске </w:t>
      </w:r>
      <w:r>
        <w:rPr>
          <w:rFonts w:ascii="Times New Roman" w:eastAsia="Times New Roman" w:hAnsi="Times New Roman" w:cs="Times New Roman"/>
          <w:sz w:val="28"/>
        </w:rPr>
        <w:lastRenderedPageBreak/>
        <w:t>жалданып жұмыс істеуге шығатын. Қазір ол жоқ. Кедей ендеше қайда барады, әрине байға. Ол тамағын тауып, күнін көрудің жалғыз жолы. Бай</w:t>
      </w:r>
      <w:r>
        <w:rPr>
          <w:rFonts w:ascii="Times New Roman" w:eastAsia="Times New Roman" w:hAnsi="Times New Roman" w:cs="Times New Roman"/>
          <w:sz w:val="28"/>
        </w:rPr>
        <w:t>ларға салық салып, оның есесіне жергілікті және мемлекеттік бюджетті өсіру, кедейлерге көмек беретін қор құру, кооперацияны қолдап, мектептер салып, мәдени жұмыстарды өркендету керек. Ендеше Октябрьдің лебін осылай түсіну керек яғни кедейлерге төңкеріс леб</w:t>
      </w:r>
      <w:r>
        <w:rPr>
          <w:rFonts w:ascii="Times New Roman" w:eastAsia="Times New Roman" w:hAnsi="Times New Roman" w:cs="Times New Roman"/>
          <w:sz w:val="28"/>
        </w:rPr>
        <w:t xml:space="preserve">і барды деген сөз» – деп, Голощекиндік Октябрьге мүлдем басқаша рең береді [3.158]. </w:t>
      </w:r>
    </w:p>
    <w:p w:rsidR="0052701D" w:rsidRDefault="00D40929">
      <w:pPr>
        <w:spacing w:after="5" w:line="271" w:lineRule="auto"/>
        <w:ind w:left="9" w:right="64" w:firstLine="711"/>
        <w:jc w:val="both"/>
      </w:pPr>
      <w:r>
        <w:rPr>
          <w:rFonts w:ascii="Times New Roman" w:eastAsia="Times New Roman" w:hAnsi="Times New Roman" w:cs="Times New Roman"/>
          <w:sz w:val="28"/>
        </w:rPr>
        <w:t>Ф.И.Голощекинге «Кіші Октябрь» идеясына қазақ басшыларын икемдеп көндіру оңайға түскен жоқ. Н.Нұрмақовты да тұқыртпақ ниетпен, тиісудің амалын тауып отырған. Әлсіз тұсының</w:t>
      </w:r>
      <w:r>
        <w:rPr>
          <w:rFonts w:ascii="Times New Roman" w:eastAsia="Times New Roman" w:hAnsi="Times New Roman" w:cs="Times New Roman"/>
          <w:sz w:val="28"/>
        </w:rPr>
        <w:t xml:space="preserve"> бірі Нығметке туған қайын-атасы Берқара болысының белгілі байы Ыбырай Ақпаевты, енді бірде аталас туысы, оқып-білім алуына демеушілік жасаған ауылдасы, Қарқаралы өңірінің ірі байы Ақаев Хасеннің есімдерін жиынға қатысушы көпшіліктің алдында үнемі атап оты</w:t>
      </w:r>
      <w:r>
        <w:rPr>
          <w:rFonts w:ascii="Times New Roman" w:eastAsia="Times New Roman" w:hAnsi="Times New Roman" w:cs="Times New Roman"/>
          <w:sz w:val="28"/>
        </w:rPr>
        <w:t>руы тегіннен тегін емес. Мысалы, Қазөлкекомның ІІІ пленумында: «Айталық Ақпаев деген Қара-Қалпақ (дұрысы Қарқаралы болу керек еді, біреу түзейді деп әдейі айтты ма деп те ойладық – Б.Қ.) уезінде бар ма? Бар. Немесе Қызылорда уезінде Исенов деген біреу бар»</w:t>
      </w:r>
      <w:r>
        <w:rPr>
          <w:rFonts w:ascii="Times New Roman" w:eastAsia="Times New Roman" w:hAnsi="Times New Roman" w:cs="Times New Roman"/>
          <w:sz w:val="28"/>
        </w:rPr>
        <w:t xml:space="preserve"> – деп тиісіп отырғанын айтпай-ақ түсінуге болады [3.133]. Туған қайын-атасының есімін төралқада отырып есту, бір жағынан пленумға қатысушылардың күдігін тудыратын назарын қабылдау үкімет төрағасына оңайға түспегені анық.  </w:t>
      </w:r>
    </w:p>
    <w:p w:rsidR="0052701D" w:rsidRDefault="00D40929">
      <w:pPr>
        <w:spacing w:after="5" w:line="271" w:lineRule="auto"/>
        <w:ind w:left="9" w:right="64" w:firstLine="711"/>
        <w:jc w:val="both"/>
      </w:pPr>
      <w:r>
        <w:rPr>
          <w:rFonts w:ascii="Times New Roman" w:eastAsia="Times New Roman" w:hAnsi="Times New Roman" w:cs="Times New Roman"/>
          <w:sz w:val="28"/>
        </w:rPr>
        <w:t>Жалпы қазақтық VI партия конфере</w:t>
      </w:r>
      <w:r>
        <w:rPr>
          <w:rFonts w:ascii="Times New Roman" w:eastAsia="Times New Roman" w:hAnsi="Times New Roman" w:cs="Times New Roman"/>
          <w:sz w:val="28"/>
        </w:rPr>
        <w:t>нциясында да Ф.И.Голощекин осындай құйтырқылыққа салынып, бірқатар мәселелер бойынша өзімен қарсыласып жүрген Н.Нұрмақовтың жоғарыда біз айтқан «әлсіз тұсын» меңзеп отырған. Нәтижесінде, Ақмола губерниясының бір топ делегаттары атынан сөз алған өкілдің бір</w:t>
      </w:r>
      <w:r>
        <w:rPr>
          <w:rFonts w:ascii="Times New Roman" w:eastAsia="Times New Roman" w:hAnsi="Times New Roman" w:cs="Times New Roman"/>
          <w:sz w:val="28"/>
        </w:rPr>
        <w:t>і Н.Нұрмақовты жақсы білетіндігін айта келе, оның Қазөлкекоммен келіспеушілігі болғандығын және алдағы уақытта мұндай әрекеттерінен бас тартуын талап еткен. Сонымен қатар, Н.Нұрмақовтың байлармен байланысы бар деп айыптады. Сөз аяғы шуға ұласып, бірі жақта</w:t>
      </w:r>
      <w:r>
        <w:rPr>
          <w:rFonts w:ascii="Times New Roman" w:eastAsia="Times New Roman" w:hAnsi="Times New Roman" w:cs="Times New Roman"/>
          <w:sz w:val="28"/>
        </w:rPr>
        <w:t>п, бірі қолдап жатқан тұста, мұндай тағырықтан Н.Нұрмақовты алып шыққан Ф.И.Голощекиннің өзі болды. «Ірі мәселелерді шешуде әркімнің өз пікірі болуы керек. Ондай болса, Өлкекомда адамдар басымен емес, қолымен ғана отыру керек. Сондықтан былайша талап ету м</w:t>
      </w:r>
      <w:r>
        <w:rPr>
          <w:rFonts w:ascii="Times New Roman" w:eastAsia="Times New Roman" w:hAnsi="Times New Roman" w:cs="Times New Roman"/>
          <w:sz w:val="28"/>
        </w:rPr>
        <w:t>үлдем дұрыс емес» деп, екіжүзділік танытты [5]. Байлармен байланысы бар деген сауал жауапсыз қалды, олардың нені меңзеп, қандай астармен айтылғандығы да түсінікті. Саяси таптық принципке келгенде өз әкесін ұстап беру немесе әйелін жау атандырып, туған бауы</w:t>
      </w:r>
      <w:r>
        <w:rPr>
          <w:rFonts w:ascii="Times New Roman" w:eastAsia="Times New Roman" w:hAnsi="Times New Roman" w:cs="Times New Roman"/>
          <w:sz w:val="28"/>
        </w:rPr>
        <w:t xml:space="preserve">рымен ақ-қызыл боп қырқысу кеңес өкіметінің идеясы осындай болатын. Мұндай икемдеудің, күштеудің </w:t>
      </w:r>
      <w:r>
        <w:rPr>
          <w:rFonts w:ascii="Times New Roman" w:eastAsia="Times New Roman" w:hAnsi="Times New Roman" w:cs="Times New Roman"/>
          <w:sz w:val="28"/>
        </w:rPr>
        <w:lastRenderedPageBreak/>
        <w:t xml:space="preserve">нәтижесі қайын атасын Кеңес өкіметінің қас жауы атандырып, Н.Нұрмақовқа өз қолымен тәркілеуде күмәні болмау қажет еді. </w:t>
      </w:r>
    </w:p>
    <w:p w:rsidR="0052701D" w:rsidRDefault="00D40929">
      <w:pPr>
        <w:spacing w:after="5" w:line="271" w:lineRule="auto"/>
        <w:ind w:left="9" w:right="64" w:firstLine="711"/>
        <w:jc w:val="both"/>
      </w:pPr>
      <w:r>
        <w:rPr>
          <w:rFonts w:ascii="Times New Roman" w:eastAsia="Times New Roman" w:hAnsi="Times New Roman" w:cs="Times New Roman"/>
          <w:sz w:val="28"/>
        </w:rPr>
        <w:t>Әрине, үкімет басшысының байларға қатыс</w:t>
      </w:r>
      <w:r>
        <w:rPr>
          <w:rFonts w:ascii="Times New Roman" w:eastAsia="Times New Roman" w:hAnsi="Times New Roman" w:cs="Times New Roman"/>
          <w:sz w:val="28"/>
        </w:rPr>
        <w:t>ты ұстанымы қолдау таппай, психологиялық күштеуді басынан кешіру Н.Нұрмақовқа қаншалықты ауыр тигендігін айтып жату артық болар. Салтанат құрған тәркілеу «идеясының» Голощекиндік бағытын жүзеге асыру жолында Н.Нұрмақов үкіметтің басшысы ретінде тәркілеу ту</w:t>
      </w:r>
      <w:r>
        <w:rPr>
          <w:rFonts w:ascii="Times New Roman" w:eastAsia="Times New Roman" w:hAnsi="Times New Roman" w:cs="Times New Roman"/>
          <w:sz w:val="28"/>
        </w:rPr>
        <w:t>ралы декреттің жобасын жасауға комиссия мүшелерінің бірі болып қатысты. Наурыз айында 1928 жылы аталған комиссия жедел түрде тәркілеу декретінің жобасын құрастырып, бірнеше талқылаулардан өткізді. Бұл Мәскеудегі БОАК-нің жедел сұратуымен тездетілген-ді [6]</w:t>
      </w:r>
      <w:r>
        <w:rPr>
          <w:rFonts w:ascii="Times New Roman" w:eastAsia="Times New Roman" w:hAnsi="Times New Roman" w:cs="Times New Roman"/>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1928 жылдың 3 наурызындағы Қазөлкекомның бюро мәжілісінде «экспроприация туралы» декреттің жобасымен Н.Нұрмақов таныстырды. Төрағалық жасаушы Ф.И.Голощекин барлық бюро мүшелеріне келесі мәжіліске өз ой-ұсыныстарын дайындап әкелуді, Қылмыстық кодекске м</w:t>
      </w:r>
      <w:r>
        <w:rPr>
          <w:rFonts w:ascii="Times New Roman" w:eastAsia="Times New Roman" w:hAnsi="Times New Roman" w:cs="Times New Roman"/>
          <w:sz w:val="28"/>
        </w:rPr>
        <w:t xml:space="preserve">алды жасыру, мүлікті бүлдіру және т.б. байлар тарапынан болатын наразылықтарға бағытталған жаза түрлерін белгілеу жөнінде комиссияға тапсырмалар берді </w:t>
      </w:r>
    </w:p>
    <w:p w:rsidR="0052701D" w:rsidRDefault="00D40929">
      <w:pPr>
        <w:spacing w:after="5" w:line="271" w:lineRule="auto"/>
        <w:ind w:left="9" w:right="64"/>
        <w:jc w:val="both"/>
      </w:pPr>
      <w:r>
        <w:rPr>
          <w:rFonts w:ascii="Times New Roman" w:eastAsia="Times New Roman" w:hAnsi="Times New Roman" w:cs="Times New Roman"/>
          <w:sz w:val="28"/>
        </w:rPr>
        <w:t xml:space="preserve">[6.20].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Келесі мәжіліс 7 наурызда өтіп, өзгертілген декреттің жобасымен таныстырған тағы да  Н. </w:t>
      </w:r>
      <w:r>
        <w:rPr>
          <w:rFonts w:ascii="Times New Roman" w:eastAsia="Times New Roman" w:hAnsi="Times New Roman" w:cs="Times New Roman"/>
          <w:sz w:val="28"/>
        </w:rPr>
        <w:t xml:space="preserve">Нұрмақов. Декреттің жобасы былайша аталған: «ауыл және қышлақтардағы еңбексіз күн көруші элементтерді мүліктерінен айыру туралы». </w:t>
      </w:r>
    </w:p>
    <w:p w:rsidR="0052701D" w:rsidRDefault="00D40929">
      <w:pPr>
        <w:spacing w:after="5" w:line="271" w:lineRule="auto"/>
        <w:ind w:left="711" w:right="64"/>
        <w:jc w:val="both"/>
      </w:pPr>
      <w:r>
        <w:rPr>
          <w:rFonts w:ascii="Times New Roman" w:eastAsia="Times New Roman" w:hAnsi="Times New Roman" w:cs="Times New Roman"/>
          <w:sz w:val="28"/>
        </w:rPr>
        <w:t xml:space="preserve">Мәжіліс қорытындысы: </w:t>
      </w:r>
    </w:p>
    <w:p w:rsidR="0052701D" w:rsidRDefault="00D40929">
      <w:pPr>
        <w:numPr>
          <w:ilvl w:val="0"/>
          <w:numId w:val="115"/>
        </w:numPr>
        <w:spacing w:after="5" w:line="271" w:lineRule="auto"/>
        <w:ind w:right="64" w:firstLine="711"/>
        <w:jc w:val="both"/>
      </w:pPr>
      <w:r>
        <w:rPr>
          <w:rFonts w:ascii="Times New Roman" w:eastAsia="Times New Roman" w:hAnsi="Times New Roman" w:cs="Times New Roman"/>
          <w:sz w:val="28"/>
        </w:rPr>
        <w:t xml:space="preserve">Декрет негізге алынсын. </w:t>
      </w:r>
    </w:p>
    <w:p w:rsidR="0052701D" w:rsidRDefault="00D40929">
      <w:pPr>
        <w:numPr>
          <w:ilvl w:val="0"/>
          <w:numId w:val="115"/>
        </w:numPr>
        <w:spacing w:after="5" w:line="271" w:lineRule="auto"/>
        <w:ind w:right="64" w:firstLine="711"/>
        <w:jc w:val="both"/>
      </w:pPr>
      <w:r>
        <w:rPr>
          <w:rFonts w:ascii="Times New Roman" w:eastAsia="Times New Roman" w:hAnsi="Times New Roman" w:cs="Times New Roman"/>
          <w:sz w:val="28"/>
        </w:rPr>
        <w:t xml:space="preserve">Үш  күннің ішінде мынадай қосымша негізге алынатын өзгертулер жетілдірілсін: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 а) Мал-мүлкі тартып алынған тұлғалар, шаруашылығы орналасқан аудандардан міндетті түрде жер аударылуы керек. Тек қана мал-мүлкі жартылай ғана алынатын жекеленген жағдайларда ғана бұл шаралар қолданылмайды. </w:t>
      </w:r>
    </w:p>
    <w:p w:rsidR="0052701D" w:rsidRDefault="00D40929">
      <w:pPr>
        <w:spacing w:after="3"/>
        <w:ind w:left="10" w:right="43" w:hanging="10"/>
        <w:jc w:val="right"/>
      </w:pPr>
      <w:r>
        <w:rPr>
          <w:rFonts w:ascii="Times New Roman" w:eastAsia="Times New Roman" w:hAnsi="Times New Roman" w:cs="Times New Roman"/>
          <w:sz w:val="28"/>
        </w:rPr>
        <w:t xml:space="preserve">ә) Қазақстанның ерекше жағдайы ескеріле отырып, </w:t>
      </w:r>
      <w:r>
        <w:rPr>
          <w:rFonts w:ascii="Times New Roman" w:eastAsia="Times New Roman" w:hAnsi="Times New Roman" w:cs="Times New Roman"/>
          <w:sz w:val="28"/>
        </w:rPr>
        <w:t xml:space="preserve">қаулыны жүзеге </w:t>
      </w:r>
    </w:p>
    <w:p w:rsidR="0052701D" w:rsidRDefault="00D40929">
      <w:pPr>
        <w:spacing w:after="5" w:line="271" w:lineRule="auto"/>
        <w:ind w:left="9" w:right="64"/>
        <w:jc w:val="both"/>
      </w:pPr>
      <w:r>
        <w:rPr>
          <w:rFonts w:ascii="Times New Roman" w:eastAsia="Times New Roman" w:hAnsi="Times New Roman" w:cs="Times New Roman"/>
          <w:sz w:val="28"/>
        </w:rPr>
        <w:t xml:space="preserve">асырудың мерзімін барынша қысқарту керек, – дейді [6.45]. </w:t>
      </w:r>
    </w:p>
    <w:p w:rsidR="0052701D" w:rsidRDefault="00D40929">
      <w:pPr>
        <w:spacing w:after="5" w:line="271" w:lineRule="auto"/>
        <w:ind w:left="9" w:right="64" w:firstLine="711"/>
        <w:jc w:val="both"/>
      </w:pPr>
      <w:r>
        <w:rPr>
          <w:rFonts w:ascii="Times New Roman" w:eastAsia="Times New Roman" w:hAnsi="Times New Roman" w:cs="Times New Roman"/>
          <w:sz w:val="28"/>
        </w:rPr>
        <w:t>Біздің байқауымызша, Н.Нұрмақовтың жасаған декрет жобасында міндетті түрде жер аудару мүлдем қарастырылмаған. Сонымен қатар, Н.Нұрмақов қысқа мерзім ішінде (2 айдың ішінде жүзеге ас</w:t>
      </w:r>
      <w:r>
        <w:rPr>
          <w:rFonts w:ascii="Times New Roman" w:eastAsia="Times New Roman" w:hAnsi="Times New Roman" w:cs="Times New Roman"/>
          <w:sz w:val="28"/>
        </w:rPr>
        <w:t>ырылуы тиіс еді) тәркілеуді жүзеге асыру көптеген заңсыз әрекеттерге жол ашады деп санаған болатын.</w:t>
      </w:r>
    </w:p>
    <w:p w:rsidR="0052701D" w:rsidRDefault="00D40929">
      <w:pPr>
        <w:spacing w:after="5" w:line="271" w:lineRule="auto"/>
        <w:ind w:left="9" w:right="64"/>
        <w:jc w:val="both"/>
      </w:pPr>
      <w:r>
        <w:rPr>
          <w:rFonts w:ascii="Times New Roman" w:eastAsia="Times New Roman" w:hAnsi="Times New Roman" w:cs="Times New Roman"/>
          <w:sz w:val="28"/>
        </w:rPr>
        <w:t xml:space="preserve">Нәтижесінде солай болды да, оны біздің төменде келтіріп отырған мұрағаттық дәйектеріміз толық дәлелдейді.  </w:t>
      </w:r>
    </w:p>
    <w:p w:rsidR="0052701D" w:rsidRDefault="00D40929">
      <w:pPr>
        <w:spacing w:after="5" w:line="271" w:lineRule="auto"/>
        <w:ind w:left="9" w:right="64" w:firstLine="711"/>
        <w:jc w:val="both"/>
      </w:pPr>
      <w:r>
        <w:rPr>
          <w:rFonts w:ascii="Times New Roman" w:eastAsia="Times New Roman" w:hAnsi="Times New Roman" w:cs="Times New Roman"/>
          <w:sz w:val="28"/>
        </w:rPr>
        <w:t>1928 жылдың 27 сәуір күнгі Өлкекомның төтенше жа</w:t>
      </w:r>
      <w:r>
        <w:rPr>
          <w:rFonts w:ascii="Times New Roman" w:eastAsia="Times New Roman" w:hAnsi="Times New Roman" w:cs="Times New Roman"/>
          <w:sz w:val="28"/>
        </w:rPr>
        <w:t xml:space="preserve">бық бюро мәжілісінде Н.Нұрмақовтың жеке ісі қаралды. Бұл Н.Нұрмақовты Мәскеуге барар алдындағы пікірлерінен тайдыртып, тәубесіне келтіру үшін Ф.И.Голощекиннің ұйымдастырған әрекеті болатын. Мәжілісте Н.Нұрмақов өзіне тағылған айыптар </w:t>
      </w:r>
      <w:r>
        <w:rPr>
          <w:rFonts w:ascii="Times New Roman" w:eastAsia="Times New Roman" w:hAnsi="Times New Roman" w:cs="Times New Roman"/>
          <w:sz w:val="28"/>
        </w:rPr>
        <w:lastRenderedPageBreak/>
        <w:t>жөнінде былай дейді: «</w:t>
      </w:r>
      <w:r>
        <w:rPr>
          <w:rFonts w:ascii="Times New Roman" w:eastAsia="Times New Roman" w:hAnsi="Times New Roman" w:cs="Times New Roman"/>
          <w:sz w:val="28"/>
        </w:rPr>
        <w:t>Мен экспроприацияны қолдаймын, алайда бұған тым асығуға қарсымын, саяси тұрғыдан тиімділік бермейтін шаруашылық науқан жайлы бекер көп шу көтеруге қарсымын…» деп бірқатар түсініктемелер берген [7]. Көп ұзамай тәркілеу туралы декреттің жобасымен таныстыруға</w:t>
      </w:r>
      <w:r>
        <w:rPr>
          <w:rFonts w:ascii="Times New Roman" w:eastAsia="Times New Roman" w:hAnsi="Times New Roman" w:cs="Times New Roman"/>
          <w:sz w:val="28"/>
        </w:rPr>
        <w:t xml:space="preserve"> Н.Нұрмақов бастаған комиссия құрамы Мәскеуге де барды. Белгілі тарихшы М.Қ.Қойгелдиевтің айтуынша Н.Нұрмақов Орталық үкіметтің мәжілісінде тағы да тәркілеуге қатысты өз ұстанымын, көзқарасын ашық баяндап, өзінің жеке пікірінде қалатындығын мәлімдеген.  </w:t>
      </w:r>
    </w:p>
    <w:p w:rsidR="0052701D" w:rsidRDefault="00D40929">
      <w:pPr>
        <w:spacing w:after="5" w:line="271" w:lineRule="auto"/>
        <w:ind w:left="9" w:right="64" w:firstLine="711"/>
        <w:jc w:val="both"/>
      </w:pPr>
      <w:r>
        <w:rPr>
          <w:rFonts w:ascii="Times New Roman" w:eastAsia="Times New Roman" w:hAnsi="Times New Roman" w:cs="Times New Roman"/>
          <w:sz w:val="28"/>
        </w:rPr>
        <w:t>Т</w:t>
      </w:r>
      <w:r>
        <w:rPr>
          <w:rFonts w:ascii="Times New Roman" w:eastAsia="Times New Roman" w:hAnsi="Times New Roman" w:cs="Times New Roman"/>
          <w:sz w:val="28"/>
        </w:rPr>
        <w:t>әркілеу науқанының барысы мен қорытындысы Н.Нұрмақовтың азаматтығына ауыр сын болғандығы айғақ. Кейін қызметінде қала алмайтыны жайлы шешімге келуінің моральдық жағы осы болды деп ойлаймыз. Шынында да, айтса айтқандай оның өмір жолында айрықша роль атқарға</w:t>
      </w:r>
      <w:r>
        <w:rPr>
          <w:rFonts w:ascii="Times New Roman" w:eastAsia="Times New Roman" w:hAnsi="Times New Roman" w:cs="Times New Roman"/>
          <w:sz w:val="28"/>
        </w:rPr>
        <w:t xml:space="preserve">н, әрі тағдырдың жазуымен туған-туысқан болған тұлғалар бар еді. Нығметтің өз еркімен қызметінен кетуі (қазіргіше айтқанда отставкасы) осы адамдардың тағдырымен де, тәркілеу барысында өзі болжаған елдегі заңсыздықтардың орын алуымен де байланысты болды.  </w:t>
      </w:r>
    </w:p>
    <w:p w:rsidR="0052701D" w:rsidRDefault="00D40929">
      <w:pPr>
        <w:spacing w:after="5" w:line="271" w:lineRule="auto"/>
        <w:ind w:left="9" w:right="64" w:firstLine="711"/>
        <w:jc w:val="both"/>
      </w:pPr>
      <w:r>
        <w:rPr>
          <w:rFonts w:ascii="Times New Roman" w:eastAsia="Times New Roman" w:hAnsi="Times New Roman" w:cs="Times New Roman"/>
          <w:sz w:val="28"/>
        </w:rPr>
        <w:t>Алғашқысы, Қарқаралы өңірінің атақты әрі ықпалды байларының бірі – Ақайдың Хасені. Шамамен 1857-59 жылдар аралығында туған. Ұзақ жылдар болыс басқарушы болды. Қарқаралының Қу болысында алғаш мектеп салуды, отырықшылыққа көшуді ұйымдастырып, көптеген жастар</w:t>
      </w:r>
      <w:r>
        <w:rPr>
          <w:rFonts w:ascii="Times New Roman" w:eastAsia="Times New Roman" w:hAnsi="Times New Roman" w:cs="Times New Roman"/>
          <w:sz w:val="28"/>
        </w:rPr>
        <w:t xml:space="preserve">дың оқуына демеушілік жасаған [8]. Осындай қамқорлықтың арқасында білім алғандардың бірі – Н.Нұрмақов. Нығметтің Хасен Ақаевтың тілмашы, іс-жүргізуші қызметін атқарғаны жайлы естеліктерде айтылады. 1917 жылы Қарқаралыдағы билік жергілікті Жұмысшы-шаруалар </w:t>
      </w:r>
      <w:r>
        <w:rPr>
          <w:rFonts w:ascii="Times New Roman" w:eastAsia="Times New Roman" w:hAnsi="Times New Roman" w:cs="Times New Roman"/>
          <w:sz w:val="28"/>
        </w:rPr>
        <w:t xml:space="preserve">Кеңесінің қолына көшкенде, Қу болысынан Кеңес құрамына Ақайдың Хасені және Н.Нұрмақов енген екен.  </w:t>
      </w:r>
    </w:p>
    <w:p w:rsidR="0052701D" w:rsidRDefault="00D40929">
      <w:pPr>
        <w:spacing w:after="5" w:line="271" w:lineRule="auto"/>
        <w:ind w:left="9" w:right="64" w:firstLine="711"/>
        <w:jc w:val="both"/>
      </w:pPr>
      <w:r>
        <w:rPr>
          <w:rFonts w:ascii="Times New Roman" w:eastAsia="Times New Roman" w:hAnsi="Times New Roman" w:cs="Times New Roman"/>
          <w:sz w:val="28"/>
        </w:rPr>
        <w:t>1919 жылдары Нығмет Нұрмақов туған ауылына барып ішкі жаулардан жасырынған қиын-қыстау кездерде қол-ұшын берген осы Ақаев Хасен болғанын біз жоғарыда айттық</w:t>
      </w:r>
      <w:r>
        <w:rPr>
          <w:rFonts w:ascii="Times New Roman" w:eastAsia="Times New Roman" w:hAnsi="Times New Roman" w:cs="Times New Roman"/>
          <w:sz w:val="28"/>
        </w:rPr>
        <w:t xml:space="preserve">. Кейін бірігіп күш жиған екеуі ақтардың 50-ге жуық жауынгерін ұстап, Қызыл Әскерлер қолына табыс еткені сияқты ел ауызында айтылатын әңгімелер мол.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Жеке тоталитарлы биліктің салтанат құруы барысында бай, әулетті тектердің барлығын түп-тамырымен құртуға </w:t>
      </w:r>
      <w:r>
        <w:rPr>
          <w:rFonts w:ascii="Times New Roman" w:eastAsia="Times New Roman" w:hAnsi="Times New Roman" w:cs="Times New Roman"/>
          <w:sz w:val="28"/>
        </w:rPr>
        <w:t>ашық бағыт алынды. Мұндайда байға араша түсу, саяси жау атанумен бірдей еді. Деректерге қарағанда, Н.Нұрмақов, жылдағы демалысын Қарқаралыда өткізетін әдеті еді. Мұндайда ол елін үкіметтің алдағы бағыт-бағдарынан хабардар етіп отыратын. «Ауылдастарына малд</w:t>
      </w:r>
      <w:r>
        <w:rPr>
          <w:rFonts w:ascii="Times New Roman" w:eastAsia="Times New Roman" w:hAnsi="Times New Roman" w:cs="Times New Roman"/>
          <w:sz w:val="28"/>
        </w:rPr>
        <w:t xml:space="preserve">арын ортаға салып ұжым құруды үйренуге, отырықшылыққа көшуге үндеп, ақыл-кеңесін айтатын» дейді, әкесінен </w:t>
      </w:r>
      <w:r>
        <w:rPr>
          <w:rFonts w:ascii="Times New Roman" w:eastAsia="Times New Roman" w:hAnsi="Times New Roman" w:cs="Times New Roman"/>
          <w:sz w:val="28"/>
        </w:rPr>
        <w:lastRenderedPageBreak/>
        <w:t>естігендерін Нығметтің туған інісі Жәмелдің ұлы Аман Нұрмақов. Ақайдың Хасені тәркілеудің түбі болатындығына көзі жеткен болуы тиіс. Деректерге сенсек</w:t>
      </w:r>
      <w:r>
        <w:rPr>
          <w:rFonts w:ascii="Times New Roman" w:eastAsia="Times New Roman" w:hAnsi="Times New Roman" w:cs="Times New Roman"/>
          <w:sz w:val="28"/>
        </w:rPr>
        <w:t>, Ақайдың Хасені бұған дейін де 1925 және 1927 жылдары істі болып, малының біраз бөлігінен айрылған екен. 1928 жылдың 12 наурызында (негізгі науқанға дейін-ақ) Қызылшіліктегі Меңдеш болыстық сотының шешіміне сәйкес Ақаев Хасеннің мал-мүлкі түгелдей тәркіле</w:t>
      </w:r>
      <w:r>
        <w:rPr>
          <w:rFonts w:ascii="Times New Roman" w:eastAsia="Times New Roman" w:hAnsi="Times New Roman" w:cs="Times New Roman"/>
          <w:sz w:val="28"/>
        </w:rPr>
        <w:t>нді. 1928 жылдың 3 қазанында ол Қызылордада тұтқындалып, ОГПУ-дің 1929 жылғы 15 наурызындағы алқа мәжілісі мынадай шешім шығарыпты: «Хасен Ақаев Қарқаралы уезінен қуылсын,  ол Мәскеуде, Ленинградта, Киевте, Харьковте, Одессада, Ростовта және Орта Азия губе</w:t>
      </w:r>
      <w:r>
        <w:rPr>
          <w:rFonts w:ascii="Times New Roman" w:eastAsia="Times New Roman" w:hAnsi="Times New Roman" w:cs="Times New Roman"/>
          <w:sz w:val="28"/>
        </w:rPr>
        <w:t xml:space="preserve">рнияларында тұру құқығынан үш жыл мерзімге айрылсын» делінген [9]. </w:t>
      </w:r>
    </w:p>
    <w:p w:rsidR="0052701D" w:rsidRDefault="00D40929">
      <w:pPr>
        <w:spacing w:after="5" w:line="271" w:lineRule="auto"/>
        <w:ind w:left="9" w:right="64" w:firstLine="711"/>
        <w:jc w:val="both"/>
      </w:pPr>
      <w:r>
        <w:rPr>
          <w:rFonts w:ascii="Times New Roman" w:eastAsia="Times New Roman" w:hAnsi="Times New Roman" w:cs="Times New Roman"/>
          <w:sz w:val="28"/>
        </w:rPr>
        <w:t>Нығмет Нұрмақовтың тағдырында біте қайнасқан тұлғаның бірі – Ыбырай Ақпаев. Ол – Қарқаралы округі, Берқара болысының қазағы. Қарқаралының ауылшаруашылық мектебін бітірген. 1928 жылдың 10 т</w:t>
      </w:r>
      <w:r>
        <w:rPr>
          <w:rFonts w:ascii="Times New Roman" w:eastAsia="Times New Roman" w:hAnsi="Times New Roman" w:cs="Times New Roman"/>
          <w:sz w:val="28"/>
        </w:rPr>
        <w:t>амызында дайындаған ОГПУ-дің анықтамасында «Ыбырай Берқара болысының басқарушысы, 1917-19 жылдары Алаш Орданың орталық кеңесінің мүшесі болған» деген сияқты айыптарды таға келе, «Қара руынан шыққан және өз руында ғана емес кешегі Қарқаралы уезіне ықпалы та</w:t>
      </w:r>
      <w:r>
        <w:rPr>
          <w:rFonts w:ascii="Times New Roman" w:eastAsia="Times New Roman" w:hAnsi="Times New Roman" w:cs="Times New Roman"/>
          <w:sz w:val="28"/>
        </w:rPr>
        <w:t>раған, онысына қоса ҚАКСР Халком Кеңесінің төрағасы Н.Нұрмақовтың қайын-атасы болып келеді» деп соңын ерекше пафоспен аяқтаған [10]. Тәркілеуге ұшыраған Ыбырай Ақпаев 1929 жылдың 23 қаңтарында Бүкілодақтық Атқару Комитетінің төрағасы Калининге, көшірмесі С</w:t>
      </w:r>
      <w:r>
        <w:rPr>
          <w:rFonts w:ascii="Times New Roman" w:eastAsia="Times New Roman" w:hAnsi="Times New Roman" w:cs="Times New Roman"/>
          <w:sz w:val="28"/>
        </w:rPr>
        <w:t>талинге жолдаған жеделхатында Нұрмақов Нығметті арашалау әрекеті байқалады. Бүкілқазақтық VI партия конференциясында Нұрмақовқа 10 мың бас малы бар феодал Ақпаевтың қызына үйленген деп кінә тағылғанын естідім дей отырып «қызым менің қарсы болуыма қарамаста</w:t>
      </w:r>
      <w:r>
        <w:rPr>
          <w:rFonts w:ascii="Times New Roman" w:eastAsia="Times New Roman" w:hAnsi="Times New Roman" w:cs="Times New Roman"/>
          <w:sz w:val="28"/>
        </w:rPr>
        <w:t xml:space="preserve">н Нұрмақовқа күйеуге шықты, менің бар кінәм еркін тәрбие, европаша білім бергенім» деп, бұл жағдайға Нұрмақов Нығметтің де, өзінің де ешбір кінәсі жоқтығын мәлімдеген [10.128]. </w:t>
      </w:r>
    </w:p>
    <w:p w:rsidR="0052701D" w:rsidRDefault="00D40929">
      <w:pPr>
        <w:spacing w:after="5" w:line="271" w:lineRule="auto"/>
        <w:ind w:left="9" w:right="64" w:firstLine="711"/>
        <w:jc w:val="both"/>
      </w:pPr>
      <w:r>
        <w:rPr>
          <w:rFonts w:ascii="Times New Roman" w:eastAsia="Times New Roman" w:hAnsi="Times New Roman" w:cs="Times New Roman"/>
          <w:sz w:val="28"/>
        </w:rPr>
        <w:t>Байдың қызына үйлену Нығмет Нұрмақовтың қызмет жолындағы басты саяси айыптарын</w:t>
      </w:r>
      <w:r>
        <w:rPr>
          <w:rFonts w:ascii="Times New Roman" w:eastAsia="Times New Roman" w:hAnsi="Times New Roman" w:cs="Times New Roman"/>
          <w:sz w:val="28"/>
        </w:rPr>
        <w:t>ың бірі болғандығына қарамастан, оларды қолдаудан бас тартқан жоқ. Ақпаев Ыбырайдың шаруашылығы екі ұлымен (Абдулхамит және Абдулғазизбен) біріктірілген тұста Қазаткомның төралқасы құрамындағы тәркілеу комиссиясының мәжілісінде осы мәселені өзі қойып, шешу</w:t>
      </w:r>
      <w:r>
        <w:rPr>
          <w:rFonts w:ascii="Times New Roman" w:eastAsia="Times New Roman" w:hAnsi="Times New Roman" w:cs="Times New Roman"/>
          <w:sz w:val="28"/>
        </w:rPr>
        <w:t>ді ұсынған. Н.Нұрмақовтың ықпалы негізінде ғана Жандеркин Абдулғазиз Ыбырайұлы (арғы аталарының фамилиясындағы Ыбырайдың 2-ші ұлы) тәркілеуден босатылып, Мәскеудің Тимирязев атындағы Ауылшаруашылық академиясын аяқтау құқы берілгендігі жайлы аталған академи</w:t>
      </w:r>
      <w:r>
        <w:rPr>
          <w:rFonts w:ascii="Times New Roman" w:eastAsia="Times New Roman" w:hAnsi="Times New Roman" w:cs="Times New Roman"/>
          <w:sz w:val="28"/>
        </w:rPr>
        <w:t xml:space="preserve">яға хабарлансын, деген шешім шығарылады [160.22]. Айта кеткеніміз жөн, 1925 жылы оқуға түсу емтиханына кешігіп қалған Абдулғазиз Ақпаевты Қазақ үкіметінің атынан сұрап, Ташкенттегі Орта Азия университетінің ауылшаруашылық факультетіне </w:t>
      </w:r>
      <w:r>
        <w:rPr>
          <w:rFonts w:ascii="Times New Roman" w:eastAsia="Times New Roman" w:hAnsi="Times New Roman" w:cs="Times New Roman"/>
          <w:sz w:val="28"/>
        </w:rPr>
        <w:lastRenderedPageBreak/>
        <w:t>түсірген Нұрмақов Нығ</w:t>
      </w:r>
      <w:r>
        <w:rPr>
          <w:rFonts w:ascii="Times New Roman" w:eastAsia="Times New Roman" w:hAnsi="Times New Roman" w:cs="Times New Roman"/>
          <w:sz w:val="28"/>
        </w:rPr>
        <w:t xml:space="preserve">меттің өзі еді [11].  Бір курсын бітірген соң Мәскеудегі аталған Академияға жіберілген. </w:t>
      </w:r>
    </w:p>
    <w:p w:rsidR="0052701D" w:rsidRDefault="00D40929">
      <w:pPr>
        <w:spacing w:after="5" w:line="271" w:lineRule="auto"/>
        <w:ind w:left="9" w:right="64" w:firstLine="711"/>
        <w:jc w:val="both"/>
      </w:pPr>
      <w:r>
        <w:rPr>
          <w:rFonts w:ascii="Times New Roman" w:eastAsia="Times New Roman" w:hAnsi="Times New Roman" w:cs="Times New Roman"/>
          <w:sz w:val="28"/>
        </w:rPr>
        <w:t>1928 жылдың 8 қазанында  Абдулхамит Ыбырайұлының шаруашылығы әкесімен біріктірілгені жөніндегі мәселе қосымша тексеріліп, анықтау округтік тәркілеу комиссиясына тапсыр</w:t>
      </w:r>
      <w:r>
        <w:rPr>
          <w:rFonts w:ascii="Times New Roman" w:eastAsia="Times New Roman" w:hAnsi="Times New Roman" w:cs="Times New Roman"/>
          <w:sz w:val="28"/>
        </w:rPr>
        <w:t>ылды. 19 қазанда 1928 жылы Қарқаралының ГПУ арқылы құпия түрде Ф.Голощекинге М.Тәтімовтың жеделхаты жолданды: «Қазатком ауылдық, аудандық және округтік комиссиялардың Ыбырай Ақпаевтың шаруашылығын баласы Абдулхамитпен біріктірген шешіміне қарамастан, екі ш</w:t>
      </w:r>
      <w:r>
        <w:rPr>
          <w:rFonts w:ascii="Times New Roman" w:eastAsia="Times New Roman" w:hAnsi="Times New Roman" w:cs="Times New Roman"/>
          <w:sz w:val="28"/>
        </w:rPr>
        <w:t>аруашылықты бөліп Абдулхамиттің тәркіленген мал-мүлкін қайтарып беруін ұсынды. Алайда 40 жылдан астам жалшылықта жүрген батырақ, қоңсылар аталған шаруашылықтың бір екендігін мәлімдейді», – деп баяндай отырып, Ақпаевтардың шаруашылығын қайта ажыратудың еш н</w:t>
      </w:r>
      <w:r>
        <w:rPr>
          <w:rFonts w:ascii="Times New Roman" w:eastAsia="Times New Roman" w:hAnsi="Times New Roman" w:cs="Times New Roman"/>
          <w:sz w:val="28"/>
        </w:rPr>
        <w:t xml:space="preserve">егізі жоқтығын хабарлаған [10.60]. Сөйтіп, тәркілеудің нәтижесінде Ақпаевтар әулеті түгелдей дерлік Қостанайға жер аударылды. Жоғарыда біздің айтқанымыздай, екінші ұлы Абдулғазиз Жандеркин ғана босатылып, Мәскеудегі оқуын жалғастыруына рұқсат берілді. Ал, </w:t>
      </w:r>
      <w:r>
        <w:rPr>
          <w:rFonts w:ascii="Times New Roman" w:eastAsia="Times New Roman" w:hAnsi="Times New Roman" w:cs="Times New Roman"/>
          <w:sz w:val="28"/>
        </w:rPr>
        <w:t xml:space="preserve">Абдулхамит Орта Азиялық мемлекеттік университетінің заң факультетін үздік бітіргенімен 1930 жылы қуғын-сүргінге ілінген Алаш зиялыларының алғашқы толқынымен сотталып кетті. 1937-38 жылдардың қызыл терорында әкесі Ыбыраймен бірге мерт болды [12]. </w:t>
      </w:r>
    </w:p>
    <w:p w:rsidR="0052701D" w:rsidRDefault="00D40929">
      <w:pPr>
        <w:spacing w:after="5" w:line="271" w:lineRule="auto"/>
        <w:ind w:left="9" w:right="64" w:firstLine="711"/>
        <w:jc w:val="both"/>
      </w:pPr>
      <w:r>
        <w:rPr>
          <w:rFonts w:ascii="Times New Roman" w:eastAsia="Times New Roman" w:hAnsi="Times New Roman" w:cs="Times New Roman"/>
          <w:sz w:val="28"/>
        </w:rPr>
        <w:t>Н.Нұрмақо</w:t>
      </w:r>
      <w:r>
        <w:rPr>
          <w:rFonts w:ascii="Times New Roman" w:eastAsia="Times New Roman" w:hAnsi="Times New Roman" w:cs="Times New Roman"/>
          <w:sz w:val="28"/>
        </w:rPr>
        <w:t>втың туғандары тәркілеудің міндетті түрде болатындығы жайында білген. Ол турасында Ф.И.Голощекин де Н.Нұрмақовты тікелей айыптап, туғандарына-еліне бүйрегі бұрып тұратындығын, туысшылдығын бетіне басып отыратындығы жоғарыда айтылды. Тіпті күдіктенгені сонш</w:t>
      </w:r>
      <w:r>
        <w:rPr>
          <w:rFonts w:ascii="Times New Roman" w:eastAsia="Times New Roman" w:hAnsi="Times New Roman" w:cs="Times New Roman"/>
          <w:sz w:val="28"/>
        </w:rPr>
        <w:t xml:space="preserve">а  Н.Нұрмақовтың елінен, туғандарынан келетін хаттарды Ф.И.Голощекиннің өзі аудартып, не жазғандығы жайлы біліп отырған. 1927 жылдың  желтоқсан айында ауылдан Н.Нұрмақовтың туған інісі Құрманғалидың жазған осындай хаттардың бірқатары аударылып, Өлкекомның </w:t>
      </w:r>
      <w:r>
        <w:rPr>
          <w:rFonts w:ascii="Times New Roman" w:eastAsia="Times New Roman" w:hAnsi="Times New Roman" w:cs="Times New Roman"/>
          <w:sz w:val="28"/>
        </w:rPr>
        <w:t>мәжіліс хаттамаларының арасына тігіліпті.  Бауырының: «мынау біздің жазған 4-ші хатымыз, әлі жауап алмадық», дегеніне қарағанда Нығмет Нұрмақов бұған дейін де үнемі хат арқылы хабарласып, елдің жағдайын біліп отыратын әдеті болған деуге келеді. Өйткені хат</w:t>
      </w:r>
      <w:r>
        <w:rPr>
          <w:rFonts w:ascii="Times New Roman" w:eastAsia="Times New Roman" w:hAnsi="Times New Roman" w:cs="Times New Roman"/>
          <w:sz w:val="28"/>
        </w:rPr>
        <w:t xml:space="preserve">тарда елдегі халықтың ауыр тұрмыс жағдайы да суреттеледі [13]. </w:t>
      </w:r>
    </w:p>
    <w:p w:rsidR="0052701D" w:rsidRDefault="00D40929">
      <w:pPr>
        <w:spacing w:after="5" w:line="271" w:lineRule="auto"/>
        <w:ind w:left="9" w:right="64" w:firstLine="711"/>
        <w:jc w:val="both"/>
      </w:pPr>
      <w:r>
        <w:rPr>
          <w:rFonts w:ascii="Times New Roman" w:eastAsia="Times New Roman" w:hAnsi="Times New Roman" w:cs="Times New Roman"/>
          <w:sz w:val="28"/>
        </w:rPr>
        <w:t>Қорыта келгенде, Нығмет Нұрмақов тәркілеудің барысында туған заңсыздықтарға қарсы шыққан сол кездегі бірден-бір үкімет басшысы болғаны анық. Шынында да тәркілеу басталысымен істің жөні осы еке</w:t>
      </w:r>
      <w:r>
        <w:rPr>
          <w:rFonts w:ascii="Times New Roman" w:eastAsia="Times New Roman" w:hAnsi="Times New Roman" w:cs="Times New Roman"/>
          <w:sz w:val="28"/>
        </w:rPr>
        <w:t xml:space="preserve">н деп, жер-жердегі шолақ белсенділер қысқа мерзімдік жоспарды асыра орындаудың қамына көшті. Бұл жаппай белең алған таптарға қарсы күрес науқандарының алғашқы қарқындары ғана еді. </w:t>
      </w:r>
    </w:p>
    <w:p w:rsidR="0052701D" w:rsidRDefault="00D40929">
      <w:pPr>
        <w:spacing w:after="5" w:line="271" w:lineRule="auto"/>
        <w:ind w:left="9" w:right="64" w:firstLine="711"/>
        <w:jc w:val="both"/>
      </w:pPr>
      <w:r>
        <w:rPr>
          <w:rFonts w:ascii="Times New Roman" w:eastAsia="Times New Roman" w:hAnsi="Times New Roman" w:cs="Times New Roman"/>
          <w:sz w:val="28"/>
        </w:rPr>
        <w:lastRenderedPageBreak/>
        <w:t xml:space="preserve">Тәркілеу науқаны кезінде жиі байқалған озбырлықтың бар екенінен хабардар </w:t>
      </w:r>
      <w:r>
        <w:rPr>
          <w:rFonts w:ascii="Times New Roman" w:eastAsia="Times New Roman" w:hAnsi="Times New Roman" w:cs="Times New Roman"/>
          <w:sz w:val="28"/>
        </w:rPr>
        <w:t xml:space="preserve">болып отырған Н.Нұрмақов үнсіз қала алмайды. Ол ашық наразылығын білдіріп, орын алған заңсыздықтарды тоқтатпаққа күш салады. Төменде мұрағат қорларының істерінің арасынан өзіміз тапқан жедел хаттардың кейбіреулерін дәйек ретінде ұсындық:   </w:t>
      </w:r>
    </w:p>
    <w:p w:rsidR="0052701D" w:rsidRDefault="00D40929">
      <w:pPr>
        <w:spacing w:after="5" w:line="271" w:lineRule="auto"/>
        <w:ind w:left="9" w:right="64" w:firstLine="711"/>
        <w:jc w:val="both"/>
      </w:pPr>
      <w:r>
        <w:rPr>
          <w:rFonts w:ascii="Times New Roman" w:eastAsia="Times New Roman" w:hAnsi="Times New Roman" w:cs="Times New Roman"/>
          <w:sz w:val="28"/>
        </w:rPr>
        <w:t>«Барлық ократко</w:t>
      </w:r>
      <w:r>
        <w:rPr>
          <w:rFonts w:ascii="Times New Roman" w:eastAsia="Times New Roman" w:hAnsi="Times New Roman" w:cs="Times New Roman"/>
          <w:sz w:val="28"/>
        </w:rPr>
        <w:t>мдарға. Жергілікті жерлерде тәркілеу туралы анық хабары болмағандықтан арзанға малдарын сатып жатқаны жайлы мәліметтер түсуде. Сондықтан, біріншіден, жедел түрде тәркіленетін шаруашылықтардың тізімдерін жариялаңыздар; екіншіден, тізімнен тыс ешбір шаруашыл</w:t>
      </w:r>
      <w:r>
        <w:rPr>
          <w:rFonts w:ascii="Times New Roman" w:eastAsia="Times New Roman" w:hAnsi="Times New Roman" w:cs="Times New Roman"/>
          <w:sz w:val="28"/>
        </w:rPr>
        <w:t>ықтың тәркіленбейтінін сендіріңіздер; үшіншіден, тәркіленудің, жер аударудың барысында орталықтың нұсқауын қатаң басшылыққа алып, ешбір зорлыққа, жол бермеңіздер. Қазақстан Халком Кеңесінің төрағасы Н.Нұрмақов. 20 қыркүйек. 1928 ж. Қызыл-Орда қаласы» [14].</w:t>
      </w:r>
      <w:r>
        <w:rPr>
          <w:rFonts w:ascii="Times New Roman" w:eastAsia="Times New Roman" w:hAnsi="Times New Roman" w:cs="Times New Roman"/>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«Барлық аудандық атқару комитетінің төрағаларына. Бізге жеткен мәліметтер бойынша тәркілеу кезінде ең жақсы аттарды жергілікті жерге жіберілген уәкілдер мініп алып, кедейлерге тиесілі малдардың күйін кетіретінін айтады. Мұндай тәркіленген малдарды жергі</w:t>
      </w:r>
      <w:r>
        <w:rPr>
          <w:rFonts w:ascii="Times New Roman" w:eastAsia="Times New Roman" w:hAnsi="Times New Roman" w:cs="Times New Roman"/>
          <w:sz w:val="28"/>
        </w:rPr>
        <w:t xml:space="preserve">лікті өкіметтің пайдалануына жол бермей, ауыл тұрғындарының наразылығын тудыратын әрекеттердің бәріне тыйым салыңыздар. Қазақстан Халком төрағасы Нұрмақов. 24 қыркүйек. 1928 жыл. Қызылорда қаласы. Көшірмесі» [14.106].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 «Қостанай ократкомына. Алтын, күміст</w:t>
      </w:r>
      <w:r>
        <w:rPr>
          <w:rFonts w:ascii="Times New Roman" w:eastAsia="Times New Roman" w:hAnsi="Times New Roman" w:cs="Times New Roman"/>
          <w:sz w:val="28"/>
        </w:rPr>
        <w:t xml:space="preserve">ен жасалған әсемдік бұйымдар және сағаттарды тәркілеуге болмайды. ҚХКК төрағасы Нұрмақов. 1928 жылдың қыркүйегі. Қызылорда қаласы. Көшірме» [14.29]. </w:t>
      </w:r>
    </w:p>
    <w:p w:rsidR="0052701D" w:rsidRDefault="00D40929">
      <w:pPr>
        <w:spacing w:after="5" w:line="271" w:lineRule="auto"/>
        <w:ind w:left="9" w:right="64" w:firstLine="711"/>
        <w:jc w:val="both"/>
      </w:pPr>
      <w:r>
        <w:rPr>
          <w:rFonts w:ascii="Times New Roman" w:eastAsia="Times New Roman" w:hAnsi="Times New Roman" w:cs="Times New Roman"/>
          <w:sz w:val="28"/>
        </w:rPr>
        <w:t>«Ократкомға. Бізге жеткен мәліметтер бойынша, кейбір округтар киімкешек, төсек сияқты үй заттарын тәркілеу</w:t>
      </w:r>
      <w:r>
        <w:rPr>
          <w:rFonts w:ascii="Times New Roman" w:eastAsia="Times New Roman" w:hAnsi="Times New Roman" w:cs="Times New Roman"/>
          <w:sz w:val="28"/>
        </w:rPr>
        <w:t xml:space="preserve">де. Мұндай жүгенсіздікке жол бермеңіздер. Берілген нұсқауларды қатаң басшылыққа алыңыздар. Қол қоюшы ҚХКК төрағасы Нұрмақов. 30 қыркүйек. 1928 жыл. Қызылорда қаласы» [12.43]. </w:t>
      </w:r>
    </w:p>
    <w:p w:rsidR="0052701D" w:rsidRDefault="00D40929">
      <w:pPr>
        <w:spacing w:after="5" w:line="271" w:lineRule="auto"/>
        <w:ind w:left="9" w:right="64" w:firstLine="711"/>
        <w:jc w:val="both"/>
      </w:pPr>
      <w:r>
        <w:rPr>
          <w:rFonts w:ascii="Times New Roman" w:eastAsia="Times New Roman" w:hAnsi="Times New Roman" w:cs="Times New Roman"/>
          <w:sz w:val="28"/>
        </w:rPr>
        <w:t>«Қазақстанның барлық округтарына. Жергілікті жерлерден түскен мәліметтерде, малд</w:t>
      </w:r>
      <w:r>
        <w:rPr>
          <w:rFonts w:ascii="Times New Roman" w:eastAsia="Times New Roman" w:hAnsi="Times New Roman" w:cs="Times New Roman"/>
          <w:sz w:val="28"/>
        </w:rPr>
        <w:t>арының санын декретте көрсетілген шамаға жеткізу мақсатымен, округтік тәркілеу комиссиясы бірнеше қожалықтарды қолдан жасап біріктіру мысалдары кездеседі. Осы бағытпен бір жанұяға 45-60 адамға дейін біріктіреді, бұл тіпті өмірде кездеспейтін жай. Сондықтан</w:t>
      </w:r>
      <w:r>
        <w:rPr>
          <w:rFonts w:ascii="Times New Roman" w:eastAsia="Times New Roman" w:hAnsi="Times New Roman" w:cs="Times New Roman"/>
          <w:sz w:val="28"/>
        </w:rPr>
        <w:t xml:space="preserve">, мұндай жол берілген, әрі нұсқауда көрсетілген талаптарға қайшы келетін оқиғаларды тексеріп, кемшіліктерді жоюда шұғыл шаралар қолдануды аудандық атқару комитетінің төрағаларының жауапкершілігі деп санаймын.  Халық Комиссарлар </w:t>
      </w:r>
    </w:p>
    <w:p w:rsidR="0052701D" w:rsidRDefault="00D40929">
      <w:pPr>
        <w:spacing w:after="5" w:line="271" w:lineRule="auto"/>
        <w:ind w:left="9" w:right="64"/>
        <w:jc w:val="both"/>
      </w:pPr>
      <w:r>
        <w:rPr>
          <w:rFonts w:ascii="Times New Roman" w:eastAsia="Times New Roman" w:hAnsi="Times New Roman" w:cs="Times New Roman"/>
          <w:sz w:val="28"/>
        </w:rPr>
        <w:t>Кеңесінің төрағасы Н.Нұрмақ</w:t>
      </w:r>
      <w:r>
        <w:rPr>
          <w:rFonts w:ascii="Times New Roman" w:eastAsia="Times New Roman" w:hAnsi="Times New Roman" w:cs="Times New Roman"/>
          <w:sz w:val="28"/>
        </w:rPr>
        <w:t xml:space="preserve">ов. 6-қазан, 1923 жыл. Қызылорда қаласы» [12.66]. </w:t>
      </w:r>
    </w:p>
    <w:p w:rsidR="0052701D" w:rsidRDefault="00D40929">
      <w:pPr>
        <w:spacing w:after="5" w:line="271" w:lineRule="auto"/>
        <w:ind w:left="9" w:right="64" w:firstLine="711"/>
        <w:jc w:val="both"/>
      </w:pPr>
      <w:r>
        <w:rPr>
          <w:rFonts w:ascii="Times New Roman" w:eastAsia="Times New Roman" w:hAnsi="Times New Roman" w:cs="Times New Roman"/>
          <w:sz w:val="28"/>
        </w:rPr>
        <w:t>Осындай тәртіппен тізе беруге болатын құжаттардан негізгі түйгеніміз, Н.Нұрмақов байларға күштеу әдісін қолдануға бастапқы кезден-ақ қарсы болды. Ендеше, уақыт өте келе тәркілеу саясатына көнудің сыры неде</w:t>
      </w:r>
      <w:r>
        <w:rPr>
          <w:rFonts w:ascii="Times New Roman" w:eastAsia="Times New Roman" w:hAnsi="Times New Roman" w:cs="Times New Roman"/>
          <w:sz w:val="28"/>
        </w:rPr>
        <w:t xml:space="preserve">? </w:t>
      </w:r>
    </w:p>
    <w:p w:rsidR="0052701D" w:rsidRDefault="00D40929">
      <w:pPr>
        <w:tabs>
          <w:tab w:val="center" w:pos="1400"/>
          <w:tab w:val="center" w:pos="2660"/>
          <w:tab w:val="center" w:pos="3726"/>
          <w:tab w:val="center" w:pos="5212"/>
          <w:tab w:val="center" w:pos="6893"/>
          <w:tab w:val="right" w:pos="9707"/>
        </w:tabs>
        <w:spacing w:after="37"/>
      </w:pPr>
      <w:r>
        <w:tab/>
      </w:r>
      <w:r>
        <w:rPr>
          <w:rFonts w:ascii="Times New Roman" w:eastAsia="Times New Roman" w:hAnsi="Times New Roman" w:cs="Times New Roman"/>
          <w:sz w:val="28"/>
        </w:rPr>
        <w:t xml:space="preserve">Біріншіден, </w:t>
      </w:r>
      <w:r>
        <w:rPr>
          <w:rFonts w:ascii="Times New Roman" w:eastAsia="Times New Roman" w:hAnsi="Times New Roman" w:cs="Times New Roman"/>
          <w:sz w:val="28"/>
        </w:rPr>
        <w:tab/>
        <w:t xml:space="preserve">осы </w:t>
      </w:r>
      <w:r>
        <w:rPr>
          <w:rFonts w:ascii="Times New Roman" w:eastAsia="Times New Roman" w:hAnsi="Times New Roman" w:cs="Times New Roman"/>
          <w:sz w:val="28"/>
        </w:rPr>
        <w:tab/>
        <w:t xml:space="preserve">бағытты </w:t>
      </w:r>
      <w:r>
        <w:rPr>
          <w:rFonts w:ascii="Times New Roman" w:eastAsia="Times New Roman" w:hAnsi="Times New Roman" w:cs="Times New Roman"/>
          <w:sz w:val="28"/>
        </w:rPr>
        <w:tab/>
        <w:t xml:space="preserve">қолдайтын </w:t>
      </w:r>
      <w:r>
        <w:rPr>
          <w:rFonts w:ascii="Times New Roman" w:eastAsia="Times New Roman" w:hAnsi="Times New Roman" w:cs="Times New Roman"/>
          <w:sz w:val="28"/>
        </w:rPr>
        <w:tab/>
        <w:t xml:space="preserve">С.Қожанов, </w:t>
      </w:r>
      <w:r>
        <w:rPr>
          <w:rFonts w:ascii="Times New Roman" w:eastAsia="Times New Roman" w:hAnsi="Times New Roman" w:cs="Times New Roman"/>
          <w:sz w:val="28"/>
        </w:rPr>
        <w:tab/>
        <w:t xml:space="preserve">С.Сәдуақасов, </w:t>
      </w:r>
    </w:p>
    <w:p w:rsidR="0052701D" w:rsidRDefault="00D40929">
      <w:pPr>
        <w:spacing w:after="5" w:line="271" w:lineRule="auto"/>
        <w:ind w:left="9" w:right="64"/>
        <w:jc w:val="both"/>
      </w:pPr>
      <w:r>
        <w:rPr>
          <w:rFonts w:ascii="Times New Roman" w:eastAsia="Times New Roman" w:hAnsi="Times New Roman" w:cs="Times New Roman"/>
          <w:sz w:val="28"/>
        </w:rPr>
        <w:lastRenderedPageBreak/>
        <w:t>Ж.Мыңбаев секілді ірі қызметкерлер жеке-жеке Қазақстаннан қуылып, Ф.И.Голощекиннің содыр саясатына қарсы тұрар оппозицияның қатары сиреп қалған еді. 1928 жылдың тәркілеудің барысында шыры</w:t>
      </w:r>
      <w:r>
        <w:rPr>
          <w:rFonts w:ascii="Times New Roman" w:eastAsia="Times New Roman" w:hAnsi="Times New Roman" w:cs="Times New Roman"/>
          <w:sz w:val="28"/>
        </w:rPr>
        <w:t>лдаған жалғыз үн осы Н.Нұрмақовтікі болатын. Сондай-ақ мал шаруашылығын қолдау, шеттен қоныстандыруға қарсы шығуы, бір сөзбен айтқанда қазақ үшін жасалатын жақсылықтарды қолдап-қорғаған әрекетін жағымпаз екіжүзді қазақ басшыларын төңірегіне топтастырған Ф.</w:t>
      </w:r>
      <w:r>
        <w:rPr>
          <w:rFonts w:ascii="Times New Roman" w:eastAsia="Times New Roman" w:hAnsi="Times New Roman" w:cs="Times New Roman"/>
          <w:sz w:val="28"/>
        </w:rPr>
        <w:t xml:space="preserve">И.Голощекин шыбын шаққан құрлы көрмеді. </w:t>
      </w:r>
    </w:p>
    <w:p w:rsidR="0052701D" w:rsidRDefault="00D40929">
      <w:pPr>
        <w:spacing w:after="5" w:line="271" w:lineRule="auto"/>
        <w:ind w:left="9" w:right="64"/>
        <w:jc w:val="both"/>
      </w:pPr>
      <w:r>
        <w:rPr>
          <w:rFonts w:ascii="Times New Roman" w:eastAsia="Times New Roman" w:hAnsi="Times New Roman" w:cs="Times New Roman"/>
          <w:sz w:val="28"/>
        </w:rPr>
        <w:t>Нәтижесінде, Ф.И.Голощекин Н.Нұрмақовқа сенуден қалды. Мұны Ф.И.Голощекиннің Қазөлкекомның III пленумында (1928 жыл) сөйлеген сөзінен байқауға болады: «…Жақында мен Орталық Комитетке барғанда Нұрмақовтың да (Мәскеуг</w:t>
      </w:r>
      <w:r>
        <w:rPr>
          <w:rFonts w:ascii="Times New Roman" w:eastAsia="Times New Roman" w:hAnsi="Times New Roman" w:cs="Times New Roman"/>
          <w:sz w:val="28"/>
        </w:rPr>
        <w:t xml:space="preserve">е-Б.Қ.) баратынын біле тұра, оның бір топ жолдастарын ертіп Қазөлкеком қарарына наразылығын білдіруге Орталық Комитеттің ұйымдастыру бюросына бара қоймас деген ойда едім» – деп, Н.Нұрмақовтан қатты көңілі қалғандығын ашық айтады [15]. </w:t>
      </w:r>
    </w:p>
    <w:p w:rsidR="0052701D" w:rsidRDefault="00D40929">
      <w:pPr>
        <w:spacing w:after="5" w:line="271" w:lineRule="auto"/>
        <w:ind w:left="9" w:right="64" w:firstLine="711"/>
        <w:jc w:val="both"/>
      </w:pPr>
      <w:r>
        <w:rPr>
          <w:rFonts w:ascii="Times New Roman" w:eastAsia="Times New Roman" w:hAnsi="Times New Roman" w:cs="Times New Roman"/>
          <w:sz w:val="28"/>
        </w:rPr>
        <w:t>Екіншіден, Орталық б</w:t>
      </w:r>
      <w:r>
        <w:rPr>
          <w:rFonts w:ascii="Times New Roman" w:eastAsia="Times New Roman" w:hAnsi="Times New Roman" w:cs="Times New Roman"/>
          <w:sz w:val="28"/>
        </w:rPr>
        <w:t>иліктегі шиеленіскен ахуалдан, оның сыңайынан Нығмет Нұрмақов хабардар еді. Социалистік идеяларды жүзеге асыруда айтысталас  принциптері жойылып, таптық негіздерге сүйенген идеология күш ала бастағанда ұжымдастыру, индустрияландыру сияқты орталық тарапынан</w:t>
      </w:r>
      <w:r>
        <w:rPr>
          <w:rFonts w:ascii="Times New Roman" w:eastAsia="Times New Roman" w:hAnsi="Times New Roman" w:cs="Times New Roman"/>
          <w:sz w:val="28"/>
        </w:rPr>
        <w:t xml:space="preserve"> белгіленген шараларға қарсы тұру өзіңді жау ретінде қоюмен бірдей болатын. Лениннің серіктері Л. Троцкий, С.С.Каменев,  Г.В.Зиновьев, Н.Бухарин секілді ірілердің өзі саясат құрбаны болып кете барған заман. Сондықтан қарсылықтың әлсіреп әсіресе тәркілеу ша</w:t>
      </w:r>
      <w:r>
        <w:rPr>
          <w:rFonts w:ascii="Times New Roman" w:eastAsia="Times New Roman" w:hAnsi="Times New Roman" w:cs="Times New Roman"/>
          <w:sz w:val="28"/>
        </w:rPr>
        <w:t>раларына біртіндеп мойынұсынудың себебі де осында еді. Бірақ, тәркілеу барысында туған әділетсіздіктерге қарсы Н.Нұрмақов тағы да үндемей отыра алмайды. Округтерде орын алған заңсыздықтарға қарсы тосқауыл қою үшін нұсқау берілген жеделхаттар жолдайды. Үкім</w:t>
      </w:r>
      <w:r>
        <w:rPr>
          <w:rFonts w:ascii="Times New Roman" w:eastAsia="Times New Roman" w:hAnsi="Times New Roman" w:cs="Times New Roman"/>
          <w:sz w:val="28"/>
        </w:rPr>
        <w:t xml:space="preserve">ет қабылдаған декреттің шеңберінде заң бұзушылыққа жол бермеуді талап етеді. Нәтижесінде ол байларды тәркілеу науқаны өткен соң Мәскеуге ұзақ мерзімді іс сапармен барып, келген бетінде өзінің Орталыққа оқуға кететіндігін Қазөлкекомға мәлімдегені белгілі. </w:t>
      </w:r>
    </w:p>
    <w:p w:rsidR="0052701D" w:rsidRDefault="00D40929">
      <w:pPr>
        <w:spacing w:after="32"/>
      </w:pPr>
      <w:r>
        <w:rPr>
          <w:rFonts w:ascii="Times New Roman" w:eastAsia="Times New Roman" w:hAnsi="Times New Roman" w:cs="Times New Roman"/>
          <w:sz w:val="24"/>
        </w:rPr>
        <w:t xml:space="preserve"> </w:t>
      </w:r>
    </w:p>
    <w:p w:rsidR="0052701D" w:rsidRDefault="00D40929">
      <w:pPr>
        <w:spacing w:after="16" w:line="248" w:lineRule="auto"/>
        <w:ind w:left="819" w:right="457" w:hanging="10"/>
        <w:jc w:val="center"/>
      </w:pPr>
      <w:r>
        <w:rPr>
          <w:rFonts w:ascii="Times New Roman" w:eastAsia="Times New Roman" w:hAnsi="Times New Roman" w:cs="Times New Roman"/>
          <w:b/>
          <w:sz w:val="24"/>
        </w:rPr>
        <w:t>ИСТОЧНИКИ</w:t>
      </w:r>
      <w:r>
        <w:rPr>
          <w:rFonts w:ascii="Times New Roman" w:eastAsia="Times New Roman" w:hAnsi="Times New Roman" w:cs="Times New Roman"/>
          <w:sz w:val="24"/>
        </w:rPr>
        <w:t xml:space="preserve"> </w:t>
      </w:r>
    </w:p>
    <w:p w:rsidR="0052701D" w:rsidRDefault="00D40929">
      <w:pPr>
        <w:numPr>
          <w:ilvl w:val="0"/>
          <w:numId w:val="116"/>
        </w:numPr>
        <w:spacing w:after="29" w:line="248" w:lineRule="auto"/>
        <w:ind w:right="229"/>
        <w:jc w:val="both"/>
      </w:pPr>
      <w:r>
        <w:rPr>
          <w:rFonts w:ascii="Times New Roman" w:eastAsia="Times New Roman" w:hAnsi="Times New Roman" w:cs="Times New Roman"/>
          <w:sz w:val="24"/>
        </w:rPr>
        <w:t xml:space="preserve">Третий пленум Казкрайкома ВКП(б) // Советская степь. – 1926. – 29 ноября. – С.2. </w:t>
      </w:r>
    </w:p>
    <w:p w:rsidR="0052701D" w:rsidRDefault="00D40929">
      <w:pPr>
        <w:numPr>
          <w:ilvl w:val="0"/>
          <w:numId w:val="116"/>
        </w:numPr>
        <w:spacing w:after="29" w:line="248" w:lineRule="auto"/>
        <w:ind w:right="229"/>
        <w:jc w:val="both"/>
      </w:pPr>
      <w:r>
        <w:rPr>
          <w:rFonts w:ascii="Times New Roman" w:eastAsia="Times New Roman" w:hAnsi="Times New Roman" w:cs="Times New Roman"/>
          <w:sz w:val="24"/>
        </w:rPr>
        <w:t xml:space="preserve">Нурмаков Н. Как помочь бедноте // Советская степ. – 1926. – 26 февраля. – С.2. [3] ҚРПМ., 141 – қ., 1 – т., 483 – іс, 92-96 – п.п. </w:t>
      </w:r>
    </w:p>
    <w:p w:rsidR="0052701D" w:rsidRDefault="00D40929">
      <w:pPr>
        <w:numPr>
          <w:ilvl w:val="0"/>
          <w:numId w:val="117"/>
        </w:numPr>
        <w:spacing w:after="29" w:line="248" w:lineRule="auto"/>
        <w:ind w:right="14"/>
        <w:jc w:val="both"/>
      </w:pPr>
      <w:r>
        <w:rPr>
          <w:rFonts w:ascii="Times New Roman" w:eastAsia="Times New Roman" w:hAnsi="Times New Roman" w:cs="Times New Roman"/>
          <w:sz w:val="24"/>
        </w:rPr>
        <w:t>Бұл да сонда, 485 – іс, 118</w:t>
      </w:r>
      <w:r>
        <w:rPr>
          <w:rFonts w:ascii="Times New Roman" w:eastAsia="Times New Roman" w:hAnsi="Times New Roman" w:cs="Times New Roman"/>
          <w:sz w:val="24"/>
        </w:rPr>
        <w:t xml:space="preserve"> – п.п. </w:t>
      </w:r>
    </w:p>
    <w:p w:rsidR="0052701D" w:rsidRDefault="00D40929">
      <w:pPr>
        <w:numPr>
          <w:ilvl w:val="0"/>
          <w:numId w:val="117"/>
        </w:numPr>
        <w:spacing w:after="29" w:line="248" w:lineRule="auto"/>
        <w:ind w:right="14"/>
        <w:jc w:val="both"/>
      </w:pPr>
      <w:r>
        <w:rPr>
          <w:rFonts w:ascii="Times New Roman" w:eastAsia="Times New Roman" w:hAnsi="Times New Roman" w:cs="Times New Roman"/>
          <w:sz w:val="24"/>
        </w:rPr>
        <w:t xml:space="preserve">Бұл да сонда, 1127 – іс, 254 – п.п. </w:t>
      </w:r>
    </w:p>
    <w:p w:rsidR="0052701D" w:rsidRDefault="00D40929">
      <w:pPr>
        <w:numPr>
          <w:ilvl w:val="0"/>
          <w:numId w:val="117"/>
        </w:numPr>
        <w:spacing w:after="29" w:line="248" w:lineRule="auto"/>
        <w:ind w:right="14"/>
        <w:jc w:val="both"/>
      </w:pPr>
      <w:r>
        <w:rPr>
          <w:rFonts w:ascii="Times New Roman" w:eastAsia="Times New Roman" w:hAnsi="Times New Roman" w:cs="Times New Roman"/>
          <w:sz w:val="24"/>
        </w:rPr>
        <w:t xml:space="preserve">ҚРОММ., 30қ – қ., 7 – т., 33 – іс, 109-112 – п.п. </w:t>
      </w:r>
    </w:p>
    <w:p w:rsidR="0052701D" w:rsidRDefault="00D40929">
      <w:pPr>
        <w:numPr>
          <w:ilvl w:val="0"/>
          <w:numId w:val="117"/>
        </w:numPr>
        <w:spacing w:after="29" w:line="248" w:lineRule="auto"/>
        <w:ind w:right="14"/>
        <w:jc w:val="both"/>
      </w:pPr>
      <w:r>
        <w:rPr>
          <w:rFonts w:ascii="Times New Roman" w:eastAsia="Times New Roman" w:hAnsi="Times New Roman" w:cs="Times New Roman"/>
          <w:sz w:val="24"/>
        </w:rPr>
        <w:t xml:space="preserve">Бұл да сонда, 1649 – іс, 7 – п.п. </w:t>
      </w:r>
    </w:p>
    <w:p w:rsidR="0052701D" w:rsidRDefault="00D40929">
      <w:pPr>
        <w:numPr>
          <w:ilvl w:val="0"/>
          <w:numId w:val="117"/>
        </w:numPr>
        <w:spacing w:after="29" w:line="248" w:lineRule="auto"/>
        <w:ind w:right="14"/>
        <w:jc w:val="both"/>
      </w:pPr>
      <w:r>
        <w:rPr>
          <w:rFonts w:ascii="Times New Roman" w:eastAsia="Times New Roman" w:hAnsi="Times New Roman" w:cs="Times New Roman"/>
          <w:sz w:val="24"/>
        </w:rPr>
        <w:lastRenderedPageBreak/>
        <w:t xml:space="preserve">Попов Ю. Тағы да Ақайдың Хасені хақында// Балқантау. –1994.–14 мамыр.–3 б. [9] ҚРОММ., 135 – қ., 1 – т., 62 – іс, 34 – п. </w:t>
      </w:r>
    </w:p>
    <w:p w:rsidR="0052701D" w:rsidRDefault="00D40929">
      <w:pPr>
        <w:numPr>
          <w:ilvl w:val="0"/>
          <w:numId w:val="118"/>
        </w:numPr>
        <w:spacing w:after="29" w:line="248" w:lineRule="auto"/>
        <w:ind w:left="894" w:right="14" w:hanging="466"/>
        <w:jc w:val="both"/>
      </w:pPr>
      <w:r>
        <w:rPr>
          <w:rFonts w:ascii="Times New Roman" w:eastAsia="Times New Roman" w:hAnsi="Times New Roman" w:cs="Times New Roman"/>
          <w:sz w:val="24"/>
        </w:rPr>
        <w:t>Б</w:t>
      </w:r>
      <w:r>
        <w:rPr>
          <w:rFonts w:ascii="Times New Roman" w:eastAsia="Times New Roman" w:hAnsi="Times New Roman" w:cs="Times New Roman"/>
          <w:sz w:val="24"/>
        </w:rPr>
        <w:t xml:space="preserve">ұл да сонда,  69 – іс, 34 – п. </w:t>
      </w:r>
    </w:p>
    <w:p w:rsidR="0052701D" w:rsidRDefault="00D40929">
      <w:pPr>
        <w:numPr>
          <w:ilvl w:val="0"/>
          <w:numId w:val="118"/>
        </w:numPr>
        <w:spacing w:after="29" w:line="248" w:lineRule="auto"/>
        <w:ind w:left="894" w:right="14" w:hanging="466"/>
        <w:jc w:val="both"/>
      </w:pPr>
      <w:r>
        <w:rPr>
          <w:rFonts w:ascii="Times New Roman" w:eastAsia="Times New Roman" w:hAnsi="Times New Roman" w:cs="Times New Roman"/>
          <w:sz w:val="24"/>
        </w:rPr>
        <w:t xml:space="preserve">Бұл да сонда, 30 – қ., 1 – т., 460 – іс, 356 – п. </w:t>
      </w:r>
    </w:p>
    <w:p w:rsidR="0052701D" w:rsidRDefault="00D40929">
      <w:pPr>
        <w:numPr>
          <w:ilvl w:val="0"/>
          <w:numId w:val="118"/>
        </w:numPr>
        <w:spacing w:after="29" w:line="248" w:lineRule="auto"/>
        <w:ind w:left="894" w:right="14" w:hanging="466"/>
        <w:jc w:val="both"/>
      </w:pPr>
      <w:r>
        <w:rPr>
          <w:rFonts w:ascii="Times New Roman" w:eastAsia="Times New Roman" w:hAnsi="Times New Roman" w:cs="Times New Roman"/>
          <w:sz w:val="24"/>
        </w:rPr>
        <w:t xml:space="preserve">Азалы кітап А., 1999. – С.57. </w:t>
      </w:r>
    </w:p>
    <w:p w:rsidR="0052701D" w:rsidRDefault="00D40929">
      <w:pPr>
        <w:numPr>
          <w:ilvl w:val="0"/>
          <w:numId w:val="118"/>
        </w:numPr>
        <w:spacing w:after="29" w:line="248" w:lineRule="auto"/>
        <w:ind w:left="894" w:right="14" w:hanging="466"/>
        <w:jc w:val="both"/>
      </w:pPr>
      <w:r>
        <w:rPr>
          <w:rFonts w:ascii="Times New Roman" w:eastAsia="Times New Roman" w:hAnsi="Times New Roman" w:cs="Times New Roman"/>
          <w:sz w:val="24"/>
        </w:rPr>
        <w:t xml:space="preserve">ҚРПМ., 141 – қ., 1 – т., 1127 – іс, 254 – п. </w:t>
      </w:r>
    </w:p>
    <w:p w:rsidR="0052701D" w:rsidRDefault="00D40929">
      <w:pPr>
        <w:numPr>
          <w:ilvl w:val="0"/>
          <w:numId w:val="118"/>
        </w:numPr>
        <w:spacing w:after="29" w:line="248" w:lineRule="auto"/>
        <w:ind w:left="894" w:right="14" w:hanging="466"/>
        <w:jc w:val="both"/>
      </w:pPr>
      <w:r>
        <w:rPr>
          <w:rFonts w:ascii="Times New Roman" w:eastAsia="Times New Roman" w:hAnsi="Times New Roman" w:cs="Times New Roman"/>
          <w:sz w:val="24"/>
        </w:rPr>
        <w:t xml:space="preserve">ҚРОММ., 135 – қ., 1Л – т., 24 – іс, 186 – п.п. </w:t>
      </w:r>
    </w:p>
    <w:p w:rsidR="0052701D" w:rsidRDefault="00D40929">
      <w:pPr>
        <w:numPr>
          <w:ilvl w:val="0"/>
          <w:numId w:val="118"/>
        </w:numPr>
        <w:spacing w:after="67" w:line="248" w:lineRule="auto"/>
        <w:ind w:left="894" w:right="14" w:hanging="466"/>
        <w:jc w:val="both"/>
      </w:pPr>
      <w:r>
        <w:rPr>
          <w:rFonts w:ascii="Times New Roman" w:eastAsia="Times New Roman" w:hAnsi="Times New Roman" w:cs="Times New Roman"/>
          <w:sz w:val="24"/>
        </w:rPr>
        <w:t>Советская степь. – 1927. – 25 декабря. (№ 272).</w:t>
      </w:r>
      <w:r>
        <w:rPr>
          <w:rFonts w:ascii="Times New Roman" w:eastAsia="Times New Roman" w:hAnsi="Times New Roman" w:cs="Times New Roman"/>
          <w:sz w:val="24"/>
        </w:rPr>
        <w:t xml:space="preserve"> – С.4 </w:t>
      </w:r>
    </w:p>
    <w:p w:rsidR="0052701D" w:rsidRDefault="00D40929">
      <w:pPr>
        <w:spacing w:after="12"/>
      </w:pPr>
      <w:r>
        <w:rPr>
          <w:rFonts w:ascii="Times New Roman" w:eastAsia="Times New Roman" w:hAnsi="Times New Roman" w:cs="Times New Roman"/>
          <w:sz w:val="28"/>
        </w:rPr>
        <w:t xml:space="preserve"> </w:t>
      </w:r>
    </w:p>
    <w:p w:rsidR="0052701D" w:rsidRDefault="00D40929">
      <w:pPr>
        <w:spacing w:after="0"/>
      </w:pPr>
      <w:r>
        <w:rPr>
          <w:rFonts w:ascii="Times New Roman" w:eastAsia="Times New Roman" w:hAnsi="Times New Roman" w:cs="Times New Roman"/>
          <w:sz w:val="28"/>
        </w:rPr>
        <w:t xml:space="preserve"> </w:t>
      </w:r>
    </w:p>
    <w:p w:rsidR="0052701D" w:rsidRDefault="00D40929">
      <w:pPr>
        <w:spacing w:after="4" w:line="271" w:lineRule="auto"/>
        <w:ind w:left="-5" w:right="194" w:hanging="10"/>
      </w:pPr>
      <w:r>
        <w:rPr>
          <w:rFonts w:ascii="Times New Roman" w:eastAsia="Times New Roman" w:hAnsi="Times New Roman" w:cs="Times New Roman"/>
          <w:b/>
          <w:sz w:val="24"/>
        </w:rPr>
        <w:t xml:space="preserve">МРНТИ 15.41.25 УДК 378 </w:t>
      </w:r>
    </w:p>
    <w:p w:rsidR="0052701D" w:rsidRDefault="00D40929">
      <w:pPr>
        <w:spacing w:after="69"/>
      </w:pPr>
      <w:r>
        <w:rPr>
          <w:rFonts w:ascii="Times New Roman" w:eastAsia="Times New Roman" w:hAnsi="Times New Roman" w:cs="Times New Roman"/>
          <w:b/>
          <w:sz w:val="24"/>
        </w:rPr>
        <w:t xml:space="preserve"> </w:t>
      </w:r>
    </w:p>
    <w:p w:rsidR="0052701D" w:rsidRDefault="00D40929">
      <w:pPr>
        <w:pStyle w:val="1"/>
        <w:ind w:left="1181" w:right="0" w:firstLine="9"/>
        <w:jc w:val="left"/>
      </w:pPr>
      <w:r>
        <w:t xml:space="preserve">НЕКОТОРЫЕ ВОПРОСЫ СОЦИАЛИЗАЦИИ ЛИЧНОСТИ В </w:t>
      </w:r>
    </w:p>
    <w:p w:rsidR="0052701D" w:rsidRDefault="00D40929">
      <w:pPr>
        <w:spacing w:after="5" w:line="271" w:lineRule="auto"/>
        <w:ind w:left="1181" w:firstLine="9"/>
      </w:pPr>
      <w:r>
        <w:rPr>
          <w:rFonts w:ascii="Times New Roman" w:eastAsia="Times New Roman" w:hAnsi="Times New Roman" w:cs="Times New Roman"/>
          <w:b/>
          <w:sz w:val="28"/>
        </w:rPr>
        <w:t xml:space="preserve">ПРОЦЕССЕ ОБУЧЕНИЯ В ВУЗЕ </w:t>
      </w:r>
    </w:p>
    <w:p w:rsidR="0052701D" w:rsidRDefault="00D40929">
      <w:pPr>
        <w:spacing w:after="30"/>
        <w:ind w:left="696"/>
        <w:jc w:val="center"/>
      </w:pPr>
      <w:r>
        <w:rPr>
          <w:rFonts w:ascii="Times New Roman" w:eastAsia="Times New Roman" w:hAnsi="Times New Roman" w:cs="Times New Roman"/>
          <w:sz w:val="24"/>
        </w:rPr>
        <w:t xml:space="preserve"> </w:t>
      </w:r>
    </w:p>
    <w:p w:rsidR="0052701D" w:rsidRDefault="00D40929">
      <w:pPr>
        <w:pStyle w:val="1"/>
        <w:spacing w:after="16" w:line="248" w:lineRule="auto"/>
        <w:ind w:left="819" w:right="171"/>
      </w:pPr>
      <w:r>
        <w:rPr>
          <w:sz w:val="24"/>
        </w:rPr>
        <w:t xml:space="preserve">Абдиева Г.И. </w:t>
      </w:r>
    </w:p>
    <w:p w:rsidR="0052701D" w:rsidRDefault="00D40929">
      <w:pPr>
        <w:spacing w:after="29" w:line="248" w:lineRule="auto"/>
        <w:ind w:left="1979" w:right="14"/>
        <w:jc w:val="both"/>
      </w:pPr>
      <w:r>
        <w:rPr>
          <w:rFonts w:ascii="Times New Roman" w:eastAsia="Times New Roman" w:hAnsi="Times New Roman" w:cs="Times New Roman"/>
          <w:sz w:val="24"/>
        </w:rPr>
        <w:t xml:space="preserve">Алматинский университет энергетики и связи им. Г.Даукеева. </w:t>
      </w:r>
    </w:p>
    <w:p w:rsidR="0052701D" w:rsidRDefault="00D40929">
      <w:pPr>
        <w:spacing w:after="14" w:line="248" w:lineRule="auto"/>
        <w:ind w:left="713" w:right="69" w:hanging="5"/>
        <w:jc w:val="center"/>
      </w:pPr>
      <w:r>
        <w:rPr>
          <w:rFonts w:ascii="Times New Roman" w:eastAsia="Times New Roman" w:hAnsi="Times New Roman" w:cs="Times New Roman"/>
          <w:sz w:val="24"/>
        </w:rPr>
        <w:t xml:space="preserve">Кафедра Социальных дисциплин </w:t>
      </w:r>
    </w:p>
    <w:p w:rsidR="0052701D" w:rsidRDefault="00D40929">
      <w:pPr>
        <w:spacing w:after="14" w:line="248" w:lineRule="auto"/>
        <w:ind w:left="713" w:right="70" w:hanging="5"/>
        <w:jc w:val="center"/>
      </w:pPr>
      <w:r>
        <w:rPr>
          <w:rFonts w:ascii="Times New Roman" w:eastAsia="Times New Roman" w:hAnsi="Times New Roman" w:cs="Times New Roman"/>
          <w:sz w:val="24"/>
        </w:rPr>
        <w:t xml:space="preserve">g.abdiyeva@aues.kz </w:t>
      </w:r>
    </w:p>
    <w:p w:rsidR="0052701D" w:rsidRDefault="00D40929">
      <w:pPr>
        <w:spacing w:after="18"/>
        <w:ind w:left="711"/>
      </w:pPr>
      <w:r>
        <w:rPr>
          <w:rFonts w:ascii="Times New Roman" w:eastAsia="Times New Roman" w:hAnsi="Times New Roman" w:cs="Times New Roman"/>
          <w:sz w:val="24"/>
        </w:rPr>
        <w:t xml:space="preserve"> </w:t>
      </w:r>
    </w:p>
    <w:p w:rsidR="0052701D" w:rsidRDefault="00D40929">
      <w:pPr>
        <w:spacing w:after="29" w:line="248" w:lineRule="auto"/>
        <w:ind w:left="9" w:firstLine="711"/>
        <w:jc w:val="both"/>
      </w:pPr>
      <w:r>
        <w:rPr>
          <w:rFonts w:ascii="Times New Roman" w:eastAsia="Times New Roman" w:hAnsi="Times New Roman" w:cs="Times New Roman"/>
          <w:b/>
          <w:i/>
          <w:sz w:val="24"/>
        </w:rPr>
        <w:t>Аннотация.</w:t>
      </w:r>
      <w:r>
        <w:rPr>
          <w:rFonts w:ascii="Times New Roman" w:eastAsia="Times New Roman" w:hAnsi="Times New Roman" w:cs="Times New Roman"/>
          <w:i/>
          <w:sz w:val="24"/>
        </w:rPr>
        <w:t xml:space="preserve"> </w:t>
      </w:r>
      <w:r>
        <w:rPr>
          <w:rFonts w:ascii="Times New Roman" w:eastAsia="Times New Roman" w:hAnsi="Times New Roman" w:cs="Times New Roman"/>
          <w:i/>
          <w:sz w:val="24"/>
        </w:rPr>
        <w:t xml:space="preserve">Социализация личности в юношеском возрасте одна из актуальных, имеющая широкую межнаучную, теоретико-практическую значимость проблем современного социума. В ходе социализации личности в юношеском возрасте, с одной стороны, происходит приобщение человека к </w:t>
      </w:r>
      <w:r>
        <w:rPr>
          <w:rFonts w:ascii="Times New Roman" w:eastAsia="Times New Roman" w:hAnsi="Times New Roman" w:cs="Times New Roman"/>
          <w:i/>
          <w:sz w:val="24"/>
        </w:rPr>
        <w:t>основным общечеловеческим ценностям, нормам и правилам социума, что позволяет человеку эффективно адаптироваться в обществе и способствует развитию личности. А с другой стороны, процесс социализации позволяет человеку в юношеском возрасте обрести свою инди</w:t>
      </w:r>
      <w:r>
        <w:rPr>
          <w:rFonts w:ascii="Times New Roman" w:eastAsia="Times New Roman" w:hAnsi="Times New Roman" w:cs="Times New Roman"/>
          <w:i/>
          <w:sz w:val="24"/>
        </w:rPr>
        <w:t>видуальность, достичь личностной зрелости, обрести собственную личностную позицию, определяющую процесс профессионально-личностной самореализации. А главное, на что обратили внимание на основе экспериментального исследования, что в процессе социализации не</w:t>
      </w:r>
      <w:r>
        <w:rPr>
          <w:rFonts w:ascii="Times New Roman" w:eastAsia="Times New Roman" w:hAnsi="Times New Roman" w:cs="Times New Roman"/>
          <w:i/>
          <w:sz w:val="24"/>
        </w:rPr>
        <w:t xml:space="preserve">обходим переход к новому этапу, который назовем этапом профессиональной социализации, осуществляющийся именно в процессе обучения вузе. </w:t>
      </w:r>
    </w:p>
    <w:p w:rsidR="0052701D" w:rsidRDefault="00D40929">
      <w:pPr>
        <w:spacing w:after="29" w:line="248" w:lineRule="auto"/>
        <w:ind w:left="9" w:firstLine="711"/>
        <w:jc w:val="both"/>
      </w:pP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 xml:space="preserve"> личность, социализация, юношеский возраст, вуз, профессиональная социализация. </w:t>
      </w:r>
    </w:p>
    <w:p w:rsidR="0052701D" w:rsidRDefault="00D40929">
      <w:pPr>
        <w:spacing w:after="0"/>
        <w:ind w:left="711"/>
      </w:pPr>
      <w:r>
        <w:rPr>
          <w:rFonts w:ascii="Times New Roman" w:eastAsia="Times New Roman" w:hAnsi="Times New Roman" w:cs="Times New Roman"/>
          <w:i/>
          <w:sz w:val="24"/>
        </w:rPr>
        <w:t xml:space="preserve">  </w:t>
      </w:r>
    </w:p>
    <w:p w:rsidR="0052701D" w:rsidRDefault="00D40929">
      <w:pPr>
        <w:spacing w:after="5" w:line="251" w:lineRule="auto"/>
        <w:ind w:left="1715" w:hanging="572"/>
      </w:pPr>
      <w:r>
        <w:rPr>
          <w:rFonts w:ascii="Times New Roman" w:eastAsia="Times New Roman" w:hAnsi="Times New Roman" w:cs="Times New Roman"/>
          <w:b/>
          <w:sz w:val="28"/>
        </w:rPr>
        <w:t>SOME ISSUES OF SOCIA</w:t>
      </w:r>
      <w:r>
        <w:rPr>
          <w:rFonts w:ascii="Times New Roman" w:eastAsia="Times New Roman" w:hAnsi="Times New Roman" w:cs="Times New Roman"/>
          <w:b/>
          <w:sz w:val="28"/>
        </w:rPr>
        <w:t xml:space="preserve">LIZATION OF THE PERSON IN THE PROCESS OF TRAINING AT THE UNIVERSITY </w:t>
      </w:r>
    </w:p>
    <w:p w:rsidR="0052701D" w:rsidRDefault="00D40929">
      <w:pPr>
        <w:spacing w:after="16" w:line="248" w:lineRule="auto"/>
        <w:ind w:left="819" w:right="171" w:hanging="10"/>
        <w:jc w:val="center"/>
      </w:pPr>
      <w:r>
        <w:rPr>
          <w:rFonts w:ascii="Times New Roman" w:eastAsia="Times New Roman" w:hAnsi="Times New Roman" w:cs="Times New Roman"/>
          <w:b/>
          <w:sz w:val="24"/>
        </w:rPr>
        <w:t xml:space="preserve">Abdieva G.I. </w:t>
      </w:r>
    </w:p>
    <w:p w:rsidR="0052701D" w:rsidRDefault="00D40929">
      <w:pPr>
        <w:spacing w:after="0" w:line="248" w:lineRule="auto"/>
        <w:ind w:left="3573" w:right="14" w:hanging="2060"/>
        <w:jc w:val="both"/>
      </w:pPr>
      <w:r>
        <w:rPr>
          <w:rFonts w:ascii="Times New Roman" w:eastAsia="Times New Roman" w:hAnsi="Times New Roman" w:cs="Times New Roman"/>
          <w:sz w:val="24"/>
        </w:rPr>
        <w:t xml:space="preserve">Almaty University of Energy and Communications named after G.Daukeev. Department of Social Disciplines </w:t>
      </w:r>
    </w:p>
    <w:p w:rsidR="0052701D" w:rsidRDefault="00D40929">
      <w:pPr>
        <w:spacing w:after="14" w:line="248" w:lineRule="auto"/>
        <w:ind w:left="713" w:right="72" w:hanging="5"/>
        <w:jc w:val="center"/>
      </w:pPr>
      <w:r>
        <w:rPr>
          <w:rFonts w:ascii="Times New Roman" w:eastAsia="Times New Roman" w:hAnsi="Times New Roman" w:cs="Times New Roman"/>
          <w:sz w:val="24"/>
        </w:rPr>
        <w:t xml:space="preserve">g.abdiyeva@aues.kz </w:t>
      </w:r>
    </w:p>
    <w:p w:rsidR="0052701D" w:rsidRDefault="00D40929">
      <w:pPr>
        <w:spacing w:after="0"/>
        <w:ind w:left="711"/>
      </w:pPr>
      <w:r>
        <w:rPr>
          <w:rFonts w:ascii="Times New Roman" w:eastAsia="Times New Roman" w:hAnsi="Times New Roman" w:cs="Times New Roman"/>
          <w:sz w:val="24"/>
        </w:rPr>
        <w:t xml:space="preserve"> </w:t>
      </w:r>
    </w:p>
    <w:p w:rsidR="0052701D" w:rsidRDefault="00D40929">
      <w:pPr>
        <w:spacing w:after="0" w:line="248" w:lineRule="auto"/>
        <w:ind w:left="9" w:firstLine="711"/>
        <w:jc w:val="both"/>
      </w:pPr>
      <w:r>
        <w:rPr>
          <w:rFonts w:ascii="Times New Roman" w:eastAsia="Times New Roman" w:hAnsi="Times New Roman" w:cs="Times New Roman"/>
          <w:b/>
          <w:i/>
          <w:sz w:val="24"/>
        </w:rPr>
        <w:t>Annotation.</w:t>
      </w:r>
      <w:r>
        <w:rPr>
          <w:rFonts w:ascii="Times New Roman" w:eastAsia="Times New Roman" w:hAnsi="Times New Roman" w:cs="Times New Roman"/>
          <w:i/>
          <w:sz w:val="24"/>
        </w:rPr>
        <w:t xml:space="preserve"> The socialization of the </w:t>
      </w:r>
      <w:r>
        <w:rPr>
          <w:rFonts w:ascii="Times New Roman" w:eastAsia="Times New Roman" w:hAnsi="Times New Roman" w:cs="Times New Roman"/>
          <w:i/>
          <w:sz w:val="24"/>
        </w:rPr>
        <w:t>personality in adolescence is one of the most urgent, having a wide interscientific, theoretical and practical significance of the problems of modern society.</w:t>
      </w:r>
      <w:r>
        <w:rPr>
          <w:rFonts w:ascii="Courier New" w:eastAsia="Courier New" w:hAnsi="Courier New" w:cs="Courier New"/>
          <w:i/>
          <w:sz w:val="24"/>
        </w:rPr>
        <w:t xml:space="preserve"> </w:t>
      </w:r>
      <w:r>
        <w:rPr>
          <w:rFonts w:ascii="Times New Roman" w:eastAsia="Times New Roman" w:hAnsi="Times New Roman" w:cs="Times New Roman"/>
          <w:i/>
          <w:sz w:val="24"/>
        </w:rPr>
        <w:t>In the course of the socialization of the individual in adolescence, on the one hand, a person is</w:t>
      </w:r>
      <w:r>
        <w:rPr>
          <w:rFonts w:ascii="Times New Roman" w:eastAsia="Times New Roman" w:hAnsi="Times New Roman" w:cs="Times New Roman"/>
          <w:i/>
          <w:sz w:val="24"/>
        </w:rPr>
        <w:t xml:space="preserve"> introduced to the basic universal values, norms and rules of society, which allows a person to effectively adapt in society and contributes to the development of the individual.</w:t>
      </w:r>
      <w:r>
        <w:rPr>
          <w:rFonts w:ascii="Courier New" w:eastAsia="Courier New" w:hAnsi="Courier New" w:cs="Courier New"/>
          <w:i/>
          <w:sz w:val="24"/>
        </w:rPr>
        <w:t xml:space="preserve"> </w:t>
      </w:r>
      <w:r>
        <w:rPr>
          <w:rFonts w:ascii="Times New Roman" w:eastAsia="Times New Roman" w:hAnsi="Times New Roman" w:cs="Times New Roman"/>
          <w:i/>
          <w:sz w:val="24"/>
        </w:rPr>
        <w:t>On the other hand, the process of socialization allows a person in adolescenc</w:t>
      </w:r>
      <w:r>
        <w:rPr>
          <w:rFonts w:ascii="Times New Roman" w:eastAsia="Times New Roman" w:hAnsi="Times New Roman" w:cs="Times New Roman"/>
          <w:i/>
          <w:sz w:val="24"/>
        </w:rPr>
        <w:t xml:space="preserve">e to acquire their individuality, achieve personal maturity, acquire their own personal position, which determines the process of professional </w:t>
      </w:r>
      <w:r>
        <w:rPr>
          <w:rFonts w:ascii="Times New Roman" w:eastAsia="Times New Roman" w:hAnsi="Times New Roman" w:cs="Times New Roman"/>
          <w:i/>
          <w:sz w:val="24"/>
        </w:rPr>
        <w:lastRenderedPageBreak/>
        <w:t>and personal self-realization.</w:t>
      </w:r>
      <w:r>
        <w:rPr>
          <w:rFonts w:ascii="Courier New" w:eastAsia="Courier New" w:hAnsi="Courier New" w:cs="Courier New"/>
          <w:i/>
          <w:sz w:val="24"/>
        </w:rPr>
        <w:t xml:space="preserve"> </w:t>
      </w:r>
      <w:r>
        <w:rPr>
          <w:rFonts w:ascii="Times New Roman" w:eastAsia="Times New Roman" w:hAnsi="Times New Roman" w:cs="Times New Roman"/>
          <w:i/>
          <w:sz w:val="24"/>
        </w:rPr>
        <w:t xml:space="preserve">And most importantly, what they paid attention to on the basis of an experimental </w:t>
      </w:r>
      <w:r>
        <w:rPr>
          <w:rFonts w:ascii="Times New Roman" w:eastAsia="Times New Roman" w:hAnsi="Times New Roman" w:cs="Times New Roman"/>
          <w:i/>
          <w:sz w:val="24"/>
        </w:rPr>
        <w:t xml:space="preserve">study is that in the process of socialization, a transition to a new stage is necessary, which we will call the stage of professional socialization, which is carried out precisely in the process of studying at a university. </w:t>
      </w:r>
    </w:p>
    <w:p w:rsidR="0052701D" w:rsidRDefault="00D40929">
      <w:pPr>
        <w:spacing w:after="75" w:line="248" w:lineRule="auto"/>
        <w:ind w:left="711"/>
        <w:jc w:val="both"/>
      </w:pPr>
      <w:r>
        <w:rPr>
          <w:rFonts w:ascii="Times New Roman" w:eastAsia="Times New Roman" w:hAnsi="Times New Roman" w:cs="Times New Roman"/>
          <w:b/>
          <w:i/>
          <w:sz w:val="24"/>
        </w:rPr>
        <w:t>Keywords</w:t>
      </w:r>
      <w:r>
        <w:rPr>
          <w:rFonts w:ascii="Times New Roman" w:eastAsia="Times New Roman" w:hAnsi="Times New Roman" w:cs="Times New Roman"/>
          <w:i/>
          <w:sz w:val="24"/>
        </w:rPr>
        <w:t>: personality, socializ</w:t>
      </w:r>
      <w:r>
        <w:rPr>
          <w:rFonts w:ascii="Times New Roman" w:eastAsia="Times New Roman" w:hAnsi="Times New Roman" w:cs="Times New Roman"/>
          <w:i/>
          <w:sz w:val="24"/>
        </w:rPr>
        <w:t xml:space="preserve">ation, adolescence, university, professional socialization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Общественные процессы, происходящие в современном обществе, значительно повысили интерес к развитию личности в конкретной социокультурной среде, к условиям и механизмам социализации личности. </w:t>
      </w:r>
      <w:r>
        <w:rPr>
          <w:rFonts w:ascii="Times New Roman" w:eastAsia="Times New Roman" w:hAnsi="Times New Roman" w:cs="Times New Roman"/>
          <w:sz w:val="28"/>
        </w:rPr>
        <w:t>Сегодня для эффективного развития общества необходимы социально активные личности, у которых сформирована зрелая личностная позиция, проявляющаяся в умении быстро ориентироваться в сложных ситуациях и находить оптимальные пути их разрешения, в стремлении к</w:t>
      </w:r>
      <w:r>
        <w:rPr>
          <w:rFonts w:ascii="Times New Roman" w:eastAsia="Times New Roman" w:hAnsi="Times New Roman" w:cs="Times New Roman"/>
          <w:sz w:val="28"/>
        </w:rPr>
        <w:t xml:space="preserve"> интеллектуально-творческому саморазвитию, в умении самостоятельно принимать решения и нести за них ответственность. Все это характеризует личность успешно социализированного человека. </w:t>
      </w:r>
    </w:p>
    <w:p w:rsidR="0052701D" w:rsidRDefault="00D40929">
      <w:pPr>
        <w:spacing w:after="5" w:line="271" w:lineRule="auto"/>
        <w:ind w:left="9" w:right="64" w:firstLine="711"/>
        <w:jc w:val="both"/>
      </w:pPr>
      <w:r>
        <w:rPr>
          <w:rFonts w:ascii="Times New Roman" w:eastAsia="Times New Roman" w:hAnsi="Times New Roman" w:cs="Times New Roman"/>
          <w:sz w:val="28"/>
        </w:rPr>
        <w:t>Социализация личности - одна из актуальных, имеющая широкую теоретико-</w:t>
      </w:r>
      <w:r>
        <w:rPr>
          <w:rFonts w:ascii="Times New Roman" w:eastAsia="Times New Roman" w:hAnsi="Times New Roman" w:cs="Times New Roman"/>
          <w:sz w:val="28"/>
        </w:rPr>
        <w:t>практическую значимость проблем современного социума. Как феномен социализация изучается философией, антропологией, социологией, культурологией и психолого-педагогическими науками. Научное представление о проблеме социализации личности, ее содержании, исто</w:t>
      </w:r>
      <w:r>
        <w:rPr>
          <w:rFonts w:ascii="Times New Roman" w:eastAsia="Times New Roman" w:hAnsi="Times New Roman" w:cs="Times New Roman"/>
          <w:sz w:val="28"/>
        </w:rPr>
        <w:t>чниках, механизмах складывается на основе анализа теоретических и экспериментальных результатов исследований. В теоретическом плане понятие социализации личности находится на стыке крупных наук: социологии, психологии, педагогики и имеет комплексный, межна</w:t>
      </w:r>
      <w:r>
        <w:rPr>
          <w:rFonts w:ascii="Times New Roman" w:eastAsia="Times New Roman" w:hAnsi="Times New Roman" w:cs="Times New Roman"/>
          <w:sz w:val="28"/>
        </w:rPr>
        <w:t>учный характер изучения. Каждая из этих наук, исследуя вопрос социализации, раскрывает новые объективные и субъективные стороны предмета изучения, что доказывает многоаспектность и межнаучность данного понятия. Поэтому объективную характеристику в изучении</w:t>
      </w:r>
      <w:r>
        <w:rPr>
          <w:rFonts w:ascii="Times New Roman" w:eastAsia="Times New Roman" w:hAnsi="Times New Roman" w:cs="Times New Roman"/>
          <w:sz w:val="28"/>
        </w:rPr>
        <w:t xml:space="preserve"> проблемы социализации личности можно получить лишь в результате межнаучного исследования, необходимо использовать теоретикометодологические данные и провести комплексный социологический, психолого-педагогический анализ понятия социализации личности.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Как </w:t>
      </w:r>
      <w:r>
        <w:rPr>
          <w:rFonts w:ascii="Times New Roman" w:eastAsia="Times New Roman" w:hAnsi="Times New Roman" w:cs="Times New Roman"/>
          <w:sz w:val="28"/>
        </w:rPr>
        <w:t>говорил С.М.Ковалев, - «развитие личности представляет собой двуединый процесс - социализации, т.е. усвоение, интериоризация общественных отношений и индивидуализация присуща лишь данной личности, способствует усвоению общественных отношений, в ходе которы</w:t>
      </w:r>
      <w:r>
        <w:rPr>
          <w:rFonts w:ascii="Times New Roman" w:eastAsia="Times New Roman" w:hAnsi="Times New Roman" w:cs="Times New Roman"/>
          <w:sz w:val="28"/>
        </w:rPr>
        <w:t xml:space="preserve">х развиваются индивидуальные качества личности, ее интеллектуальные, мировоззренческие, нравственные идеалы, эстетические вкусы, творческий потенциал» [1,с.67]. </w:t>
      </w:r>
    </w:p>
    <w:p w:rsidR="0052701D" w:rsidRDefault="00D40929">
      <w:pPr>
        <w:spacing w:after="5" w:line="271" w:lineRule="auto"/>
        <w:ind w:left="9" w:right="64" w:firstLine="711"/>
        <w:jc w:val="both"/>
      </w:pPr>
      <w:r>
        <w:rPr>
          <w:rFonts w:ascii="Times New Roman" w:eastAsia="Times New Roman" w:hAnsi="Times New Roman" w:cs="Times New Roman"/>
          <w:sz w:val="28"/>
        </w:rPr>
        <w:lastRenderedPageBreak/>
        <w:t>В ходе социализации, с одной стороны, происходит приобщение человека к основным культурным и о</w:t>
      </w:r>
      <w:r>
        <w:rPr>
          <w:rFonts w:ascii="Times New Roman" w:eastAsia="Times New Roman" w:hAnsi="Times New Roman" w:cs="Times New Roman"/>
          <w:sz w:val="28"/>
        </w:rPr>
        <w:t>бщечеловеческим ценностям, нормам и правилам жизнедеятельности в обществе, что позволяет человеку эффективно адаптироваться в обществе и способствует развитию отношений, взглядов, чувств, готовности участвовать в социальной деятельности. А с другой стороны</w:t>
      </w:r>
      <w:r>
        <w:rPr>
          <w:rFonts w:ascii="Times New Roman" w:eastAsia="Times New Roman" w:hAnsi="Times New Roman" w:cs="Times New Roman"/>
          <w:sz w:val="28"/>
        </w:rPr>
        <w:t>, процесс социализации позволяет человеку обрести свою индивидуальность, достичь личностной зрелости, обрести собственную личностную, жизненную позицию, определяющую процесс профессионально-личностной самореализации. Очевидно, что формирование личности в п</w:t>
      </w:r>
      <w:r>
        <w:rPr>
          <w:rFonts w:ascii="Times New Roman" w:eastAsia="Times New Roman" w:hAnsi="Times New Roman" w:cs="Times New Roman"/>
          <w:sz w:val="28"/>
        </w:rPr>
        <w:t xml:space="preserve">роцессе социализации осуществляется не стихийно, а с активным участием общественных институтов, семьи, школы и вуза. Именно они создают условия для полноценного развития и совершенствования подрастающего поколения. Известно, что вуз осуществляет не только </w:t>
      </w:r>
      <w:r>
        <w:rPr>
          <w:rFonts w:ascii="Times New Roman" w:eastAsia="Times New Roman" w:hAnsi="Times New Roman" w:cs="Times New Roman"/>
          <w:sz w:val="28"/>
        </w:rPr>
        <w:t xml:space="preserve">профессиональную подготовку, но и подготовку молодого человека к самостоятельной жизни, что выступает определенным этапом их социализации. </w:t>
      </w:r>
    </w:p>
    <w:p w:rsidR="0052701D" w:rsidRDefault="00D40929">
      <w:pPr>
        <w:spacing w:after="5" w:line="271" w:lineRule="auto"/>
        <w:ind w:left="9" w:right="64" w:firstLine="711"/>
        <w:jc w:val="both"/>
      </w:pPr>
      <w:r>
        <w:rPr>
          <w:rFonts w:ascii="Times New Roman" w:eastAsia="Times New Roman" w:hAnsi="Times New Roman" w:cs="Times New Roman"/>
          <w:sz w:val="28"/>
        </w:rPr>
        <w:t>Для нас особый интерес представляет процесс социализации в юношеском возрасте, в процессе обучения в вузе. Юношеский</w:t>
      </w:r>
      <w:r>
        <w:rPr>
          <w:rFonts w:ascii="Times New Roman" w:eastAsia="Times New Roman" w:hAnsi="Times New Roman" w:cs="Times New Roman"/>
          <w:sz w:val="28"/>
        </w:rPr>
        <w:t xml:space="preserve"> возраст характеризуется активным формированием мировоззрения, ценностных ориентаций, формированием профессиональной направленности и выбором профессиональной деятельности, утверждением гражданской зрелости личности. Перестраивается вся система отношений л</w:t>
      </w:r>
      <w:r>
        <w:rPr>
          <w:rFonts w:ascii="Times New Roman" w:eastAsia="Times New Roman" w:hAnsi="Times New Roman" w:cs="Times New Roman"/>
          <w:sz w:val="28"/>
        </w:rPr>
        <w:t>ичности в юношеском возрасте с окружающими людьми и изменяется его отношение к самому себе. Изменяется отношение к собственной личностной позиции, учебной и общественно полезной деятельности, устанавливается определенная взаимосвязь между интересами к буду</w:t>
      </w:r>
      <w:r>
        <w:rPr>
          <w:rFonts w:ascii="Times New Roman" w:eastAsia="Times New Roman" w:hAnsi="Times New Roman" w:cs="Times New Roman"/>
          <w:sz w:val="28"/>
        </w:rPr>
        <w:t xml:space="preserve">щей профессии, личностными и учебными интересами, мотивами поведения и формируется целостный образ Япрофессионала, Я-личность и др. </w:t>
      </w:r>
    </w:p>
    <w:p w:rsidR="0052701D" w:rsidRDefault="00D40929">
      <w:pPr>
        <w:spacing w:after="5" w:line="271" w:lineRule="auto"/>
        <w:ind w:left="9" w:right="64" w:firstLine="711"/>
        <w:jc w:val="both"/>
      </w:pPr>
      <w:r>
        <w:rPr>
          <w:rFonts w:ascii="Times New Roman" w:eastAsia="Times New Roman" w:hAnsi="Times New Roman" w:cs="Times New Roman"/>
          <w:sz w:val="28"/>
        </w:rPr>
        <w:t>Проведенный нами анализ проблемы социализации личности в юношеском возрасте и собственная практическая преподавательская де</w:t>
      </w:r>
      <w:r>
        <w:rPr>
          <w:rFonts w:ascii="Times New Roman" w:eastAsia="Times New Roman" w:hAnsi="Times New Roman" w:cs="Times New Roman"/>
          <w:sz w:val="28"/>
        </w:rPr>
        <w:t>ятельность показывают, что социализация личности является очень важной для образовательной и воспитательной практики вуза. Несмотря на то, что в решении данной проблемы накоплен значительный опыт, в современных условиях развития казахстанского общества она</w:t>
      </w:r>
      <w:r>
        <w:rPr>
          <w:rFonts w:ascii="Times New Roman" w:eastAsia="Times New Roman" w:hAnsi="Times New Roman" w:cs="Times New Roman"/>
          <w:sz w:val="28"/>
        </w:rPr>
        <w:t xml:space="preserve"> приобрела новый характер.  </w:t>
      </w:r>
    </w:p>
    <w:p w:rsidR="0052701D" w:rsidRDefault="00D40929">
      <w:pPr>
        <w:spacing w:after="5" w:line="271" w:lineRule="auto"/>
        <w:ind w:left="9" w:right="64" w:firstLine="711"/>
        <w:jc w:val="both"/>
      </w:pPr>
      <w:r>
        <w:rPr>
          <w:rFonts w:ascii="Times New Roman" w:eastAsia="Times New Roman" w:hAnsi="Times New Roman" w:cs="Times New Roman"/>
          <w:sz w:val="28"/>
        </w:rPr>
        <w:t>Несмотря на то, что образовательный процесс современных казахстанских вузов строится на основе личностно-ориентированнной парадигмы, в соответствии с требованиями кредитной технологии обучения стереотипы прежней системы образов</w:t>
      </w:r>
      <w:r>
        <w:rPr>
          <w:rFonts w:ascii="Times New Roman" w:eastAsia="Times New Roman" w:hAnsi="Times New Roman" w:cs="Times New Roman"/>
          <w:sz w:val="28"/>
        </w:rPr>
        <w:t xml:space="preserve">ания все еще ярко выражены. Это проявляется в том, что акцент порой мы ставим только на приобретении студентами необходимого объема теоретических знаний, умений и навыков, при котором условия учебновоспитательного процесса вуза не позволяют раскрыться </w:t>
      </w:r>
      <w:r>
        <w:rPr>
          <w:rFonts w:ascii="Times New Roman" w:eastAsia="Times New Roman" w:hAnsi="Times New Roman" w:cs="Times New Roman"/>
          <w:sz w:val="28"/>
        </w:rPr>
        <w:lastRenderedPageBreak/>
        <w:t>инди</w:t>
      </w:r>
      <w:r>
        <w:rPr>
          <w:rFonts w:ascii="Times New Roman" w:eastAsia="Times New Roman" w:hAnsi="Times New Roman" w:cs="Times New Roman"/>
          <w:sz w:val="28"/>
        </w:rPr>
        <w:t>видуальноличностным особенностям и потенциальным возможностям студентов в юношеском возрасте. Выпускникам необходимо быть подготовленными к самостоятельной организации своей личностно-профессиональной деятельности, к проявлению своей личностной индивидуаль</w:t>
      </w:r>
      <w:r>
        <w:rPr>
          <w:rFonts w:ascii="Times New Roman" w:eastAsia="Times New Roman" w:hAnsi="Times New Roman" w:cs="Times New Roman"/>
          <w:sz w:val="28"/>
        </w:rPr>
        <w:t xml:space="preserve">ности и конечно к личностной и профессиональной самореализации и самоактуализации в будущем.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В науке проблема социализации личности в юношеском возрасте не нова. На сегодняшний день накоплен богатый теоретический материал изученности данной проблематики </w:t>
      </w:r>
      <w:r>
        <w:rPr>
          <w:rFonts w:ascii="Times New Roman" w:eastAsia="Times New Roman" w:hAnsi="Times New Roman" w:cs="Times New Roman"/>
          <w:sz w:val="28"/>
        </w:rPr>
        <w:t xml:space="preserve">в философской, социологической, психологической и педагогической науках.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Следует отметить, что именно на философском уровне решаются вопросы о сущности социального развития (Д.И. Фельдштейн), о становлении социального сознания (С.Л. Рубинштейн, В.А. </w:t>
      </w:r>
      <w:r>
        <w:rPr>
          <w:rFonts w:ascii="Times New Roman" w:eastAsia="Times New Roman" w:hAnsi="Times New Roman" w:cs="Times New Roman"/>
          <w:sz w:val="28"/>
        </w:rPr>
        <w:t>Петровский) и социальной регуляции поведения (М.И. Бобнева, Л.П. Буева и др.). В социологической науке разработана целая система научно-методологических теорий связанных с именами Э. Дюркгейма, Дж.Г. Мида,</w:t>
      </w:r>
      <w:r>
        <w:rPr>
          <w:rFonts w:ascii="Times New Roman" w:eastAsia="Times New Roman" w:hAnsi="Times New Roman" w:cs="Times New Roman"/>
          <w:color w:val="1E1E1E"/>
          <w:sz w:val="28"/>
        </w:rPr>
        <w:t xml:space="preserve"> М. Вебера, Т. </w:t>
      </w:r>
      <w:r>
        <w:rPr>
          <w:rFonts w:ascii="Times New Roman" w:eastAsia="Times New Roman" w:hAnsi="Times New Roman" w:cs="Times New Roman"/>
          <w:sz w:val="28"/>
        </w:rPr>
        <w:t>Парсонса, Р. Мертона, Н. Смелзера, В</w:t>
      </w:r>
      <w:r>
        <w:rPr>
          <w:rFonts w:ascii="Times New Roman" w:eastAsia="Times New Roman" w:hAnsi="Times New Roman" w:cs="Times New Roman"/>
          <w:sz w:val="28"/>
        </w:rPr>
        <w:t xml:space="preserve">.А. Ядова. Они на разных научных уровнях рассматривали проблему социализации личности через деятельность как активного субъекта социальных отношений в целом. </w:t>
      </w:r>
    </w:p>
    <w:p w:rsidR="0052701D" w:rsidRDefault="00D40929">
      <w:pPr>
        <w:spacing w:after="5" w:line="271" w:lineRule="auto"/>
        <w:ind w:left="9" w:right="64"/>
        <w:jc w:val="both"/>
      </w:pPr>
      <w:r>
        <w:rPr>
          <w:rFonts w:ascii="Times New Roman" w:eastAsia="Times New Roman" w:hAnsi="Times New Roman" w:cs="Times New Roman"/>
          <w:sz w:val="28"/>
        </w:rPr>
        <w:t xml:space="preserve"> В свою очередь, психологами рассматриваются механизмы социального взаимодействия, социальные рол</w:t>
      </w:r>
      <w:r>
        <w:rPr>
          <w:rFonts w:ascii="Times New Roman" w:eastAsia="Times New Roman" w:hAnsi="Times New Roman" w:cs="Times New Roman"/>
          <w:sz w:val="28"/>
        </w:rPr>
        <w:t>и, определяется содержание процесса социализации (И.С. Кон, Ю.Б.Гиппенрейтер), анализируются условия функционирования личности в больших и малых группах (Р.Л. Кричевский, Ю.П. Платонов), исследуется возрастная специфика процесса социализации (А.В. Петровск</w:t>
      </w:r>
      <w:r>
        <w:rPr>
          <w:rFonts w:ascii="Times New Roman" w:eastAsia="Times New Roman" w:hAnsi="Times New Roman" w:cs="Times New Roman"/>
          <w:sz w:val="28"/>
        </w:rPr>
        <w:t>ий, Н.К. Радина), особенности этнической социализации в работах (А.И. Донцова, Н.М. Лебедевой, Л.И. Науменко), социальная адаптация (А.А. Налчаджян, О.В. Краснова), социальные переживания на процесс социализации (С.Т. Дмитриева, И.В. Иванова), роль индивид</w:t>
      </w:r>
      <w:r>
        <w:rPr>
          <w:rFonts w:ascii="Times New Roman" w:eastAsia="Times New Roman" w:hAnsi="Times New Roman" w:cs="Times New Roman"/>
          <w:sz w:val="28"/>
        </w:rPr>
        <w:t xml:space="preserve">уальных факторов в процессе социализации (Т.В. Костяк), особенности становления личностной идентичности и специфика формирования профессиональной идентичности на различных этапах социализации личности (А.Л. Григорович, С.А. Анищенко).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Педагогами решаются </w:t>
      </w:r>
      <w:r>
        <w:rPr>
          <w:rFonts w:ascii="Times New Roman" w:eastAsia="Times New Roman" w:hAnsi="Times New Roman" w:cs="Times New Roman"/>
          <w:sz w:val="28"/>
        </w:rPr>
        <w:t>актуальные вопросы повышения эффективности механизмов социализации через воспитательно-образовательный процесс (А.В. Мудрик, Д.И. Фельдштейн); исследуются психолого-педагогические факторы социализации в образовательном учреждении (Е.А. Жадан, В.В. Игнатова</w:t>
      </w:r>
      <w:r>
        <w:rPr>
          <w:rFonts w:ascii="Times New Roman" w:eastAsia="Times New Roman" w:hAnsi="Times New Roman" w:cs="Times New Roman"/>
          <w:sz w:val="28"/>
        </w:rPr>
        <w:t xml:space="preserve">, С.В. Никитина, О.В. Цирюль).  </w:t>
      </w:r>
    </w:p>
    <w:p w:rsidR="0052701D" w:rsidRDefault="00D40929">
      <w:pPr>
        <w:spacing w:after="5" w:line="271" w:lineRule="auto"/>
        <w:ind w:left="9" w:right="64" w:firstLine="711"/>
        <w:jc w:val="both"/>
      </w:pPr>
      <w:r>
        <w:rPr>
          <w:rFonts w:ascii="Times New Roman" w:eastAsia="Times New Roman" w:hAnsi="Times New Roman" w:cs="Times New Roman"/>
          <w:sz w:val="28"/>
        </w:rPr>
        <w:lastRenderedPageBreak/>
        <w:t>Теоретические аспекты проблемы социализации личности были изучены классиками педагогической науки А.Дистервергом, И.Х.Пестолоцци, Я.А.Коменским, П.П.Блонским, К.Д.Ушинским, Б.П.Битинас, Г.Н. Волковым, В.И. Гинецинским, Ю.С.</w:t>
      </w:r>
      <w:r>
        <w:rPr>
          <w:rFonts w:ascii="Times New Roman" w:eastAsia="Times New Roman" w:hAnsi="Times New Roman" w:cs="Times New Roman"/>
          <w:sz w:val="28"/>
        </w:rPr>
        <w:t xml:space="preserve"> Богачинским, В.И. Загвязинским, И.А. Зимней, Д.И. Фельдштейном. Научный анализ проблемы социализации личности в педагогической науке раскрывает содержательную сторону процесса, обосновывает ее через основные воспитательные механизмы, связанные с факторами</w:t>
      </w:r>
      <w:r>
        <w:rPr>
          <w:rFonts w:ascii="Times New Roman" w:eastAsia="Times New Roman" w:hAnsi="Times New Roman" w:cs="Times New Roman"/>
          <w:sz w:val="28"/>
        </w:rPr>
        <w:t xml:space="preserve"> развития человека (наследственность, воспитание, среда) и с позиции личности (интерес, активность, пассивность, приспособление, адаптация),</w:t>
      </w:r>
      <w:r>
        <w:rPr>
          <w:rFonts w:ascii="Times New Roman" w:eastAsia="Times New Roman" w:hAnsi="Times New Roman" w:cs="Times New Roman"/>
          <w:color w:val="FF0000"/>
          <w:sz w:val="28"/>
        </w:rPr>
        <w:t xml:space="preserve"> </w:t>
      </w:r>
      <w:r>
        <w:rPr>
          <w:rFonts w:ascii="Times New Roman" w:eastAsia="Times New Roman" w:hAnsi="Times New Roman" w:cs="Times New Roman"/>
          <w:sz w:val="28"/>
        </w:rPr>
        <w:t xml:space="preserve">выделяя особый характер социализации как педагогического феномена современности.  </w:t>
      </w:r>
    </w:p>
    <w:p w:rsidR="0052701D" w:rsidRDefault="00D40929">
      <w:pPr>
        <w:spacing w:after="5" w:line="271" w:lineRule="auto"/>
        <w:ind w:left="9" w:right="64" w:firstLine="711"/>
        <w:jc w:val="both"/>
      </w:pPr>
      <w:r>
        <w:rPr>
          <w:rFonts w:ascii="Times New Roman" w:eastAsia="Times New Roman" w:hAnsi="Times New Roman" w:cs="Times New Roman"/>
          <w:sz w:val="28"/>
        </w:rPr>
        <w:t>Изучение проблемы социализации л</w:t>
      </w:r>
      <w:r>
        <w:rPr>
          <w:rFonts w:ascii="Times New Roman" w:eastAsia="Times New Roman" w:hAnsi="Times New Roman" w:cs="Times New Roman"/>
          <w:sz w:val="28"/>
        </w:rPr>
        <w:t>ичности в Казахстане связаны с результатами научных исследований казахстанских ученых-исследователей:</w:t>
      </w:r>
    </w:p>
    <w:p w:rsidR="0052701D" w:rsidRDefault="00D40929">
      <w:pPr>
        <w:spacing w:after="5" w:line="271" w:lineRule="auto"/>
        <w:ind w:left="9" w:right="64"/>
        <w:jc w:val="both"/>
      </w:pPr>
      <w:r>
        <w:rPr>
          <w:rFonts w:ascii="Times New Roman" w:eastAsia="Times New Roman" w:hAnsi="Times New Roman" w:cs="Times New Roman"/>
          <w:sz w:val="28"/>
        </w:rPr>
        <w:t xml:space="preserve">А.К. Сатовой, Ж.И. Намазбаевой, А.Н. Тесленко, А.К. Рысбаевой, Т.Г. Бортко. </w:t>
      </w:r>
    </w:p>
    <w:p w:rsidR="0052701D" w:rsidRDefault="00D40929">
      <w:pPr>
        <w:spacing w:after="5" w:line="271" w:lineRule="auto"/>
        <w:ind w:left="9" w:right="64" w:firstLine="711"/>
        <w:jc w:val="both"/>
      </w:pPr>
      <w:r>
        <w:rPr>
          <w:rFonts w:ascii="Times New Roman" w:eastAsia="Times New Roman" w:hAnsi="Times New Roman" w:cs="Times New Roman"/>
          <w:sz w:val="28"/>
        </w:rPr>
        <w:t>Таким образом, в современной науке сложились разнообразные теоретические подх</w:t>
      </w:r>
      <w:r>
        <w:rPr>
          <w:rFonts w:ascii="Times New Roman" w:eastAsia="Times New Roman" w:hAnsi="Times New Roman" w:cs="Times New Roman"/>
          <w:sz w:val="28"/>
        </w:rPr>
        <w:t>оды к проблеме социализации личности будущих</w:t>
      </w:r>
    </w:p>
    <w:p w:rsidR="0052701D" w:rsidRDefault="00D40929">
      <w:pPr>
        <w:spacing w:after="5" w:line="271" w:lineRule="auto"/>
        <w:ind w:left="9" w:right="64"/>
        <w:jc w:val="both"/>
      </w:pPr>
      <w:r>
        <w:rPr>
          <w:rFonts w:ascii="Times New Roman" w:eastAsia="Times New Roman" w:hAnsi="Times New Roman" w:cs="Times New Roman"/>
          <w:sz w:val="28"/>
        </w:rPr>
        <w:t xml:space="preserve">специалистов, формирования их личностных свойств и качеств в педагогическом процессе, важности раскрытия внутриличностного потенциала студентов в процессе их профессиональной подготовки. Однако профессиональные </w:t>
      </w:r>
      <w:r>
        <w:rPr>
          <w:rFonts w:ascii="Times New Roman" w:eastAsia="Times New Roman" w:hAnsi="Times New Roman" w:cs="Times New Roman"/>
          <w:sz w:val="28"/>
        </w:rPr>
        <w:t xml:space="preserve">аспекты социализации личности студента и условия учебно-воспитательного процесса вуза, учитывая которые возможно содействовать продуктивному становлению личности профессионала практически не раскрыты.  </w:t>
      </w:r>
    </w:p>
    <w:p w:rsidR="0052701D" w:rsidRDefault="00D40929">
      <w:pPr>
        <w:spacing w:after="5" w:line="271" w:lineRule="auto"/>
        <w:ind w:left="9" w:right="64" w:firstLine="711"/>
        <w:jc w:val="both"/>
      </w:pPr>
      <w:r>
        <w:rPr>
          <w:rFonts w:ascii="Times New Roman" w:eastAsia="Times New Roman" w:hAnsi="Times New Roman" w:cs="Times New Roman"/>
          <w:sz w:val="28"/>
        </w:rPr>
        <w:t>Именно одним из важнейших моментов социально-психолог</w:t>
      </w:r>
      <w:r>
        <w:rPr>
          <w:rFonts w:ascii="Times New Roman" w:eastAsia="Times New Roman" w:hAnsi="Times New Roman" w:cs="Times New Roman"/>
          <w:sz w:val="28"/>
        </w:rPr>
        <w:t>ического развития личности в юношеском возрасте является период вступления личности в вузовскую образовательную траекторию. Когда именно в вузе интенсивно формируются интеллектуальные и профессиональные особенности личности юношеского возраста, которые зан</w:t>
      </w:r>
      <w:r>
        <w:rPr>
          <w:rFonts w:ascii="Times New Roman" w:eastAsia="Times New Roman" w:hAnsi="Times New Roman" w:cs="Times New Roman"/>
          <w:sz w:val="28"/>
        </w:rPr>
        <w:t>имают в процессе развития человека продуктивное значение. Именно поэтапность перехода от детства к самостоятельной юношеской взрослости предполагает завершение полного физического созревания и достижение профессиональной и социальной зрелости личности. Лич</w:t>
      </w:r>
      <w:r>
        <w:rPr>
          <w:rFonts w:ascii="Times New Roman" w:eastAsia="Times New Roman" w:hAnsi="Times New Roman" w:cs="Times New Roman"/>
          <w:sz w:val="28"/>
        </w:rPr>
        <w:t xml:space="preserve">ность в этот период юношеского возраста приобретает качественные изменения для реализации нового социального статуса, который называется приобретение профессии для будущей реализации своих личностных возможностей.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Л.С. Выготский писал: «Следует признать, </w:t>
      </w:r>
      <w:r>
        <w:rPr>
          <w:rFonts w:ascii="Times New Roman" w:eastAsia="Times New Roman" w:hAnsi="Times New Roman" w:cs="Times New Roman"/>
          <w:sz w:val="28"/>
        </w:rPr>
        <w:t>что к началу каждого возрастного периода складывается совершенно своеобразное, специфическое для данного возраста, исключительное, единственное и неповторимое отношение между индивидом и окружающей его действительностью, прежде всего социальной. Она опреде</w:t>
      </w:r>
      <w:r>
        <w:rPr>
          <w:rFonts w:ascii="Times New Roman" w:eastAsia="Times New Roman" w:hAnsi="Times New Roman" w:cs="Times New Roman"/>
          <w:sz w:val="28"/>
        </w:rPr>
        <w:t xml:space="preserve">ляет целиком и полностью те формы и тот путь, следуя по которому индивид приобретает новые и новые свойства личности, </w:t>
      </w:r>
      <w:r>
        <w:rPr>
          <w:rFonts w:ascii="Times New Roman" w:eastAsia="Times New Roman" w:hAnsi="Times New Roman" w:cs="Times New Roman"/>
          <w:sz w:val="28"/>
        </w:rPr>
        <w:lastRenderedPageBreak/>
        <w:t>черпая их из социальной действительности, как из основного источника развития, тот путь, по которому социальное становится индивидуальным»</w:t>
      </w:r>
      <w:r>
        <w:rPr>
          <w:rFonts w:ascii="Times New Roman" w:eastAsia="Times New Roman" w:hAnsi="Times New Roman" w:cs="Times New Roman"/>
          <w:sz w:val="28"/>
        </w:rPr>
        <w:t xml:space="preserve"> [2, с.59]. </w:t>
      </w:r>
    </w:p>
    <w:p w:rsidR="0052701D" w:rsidRDefault="00D40929">
      <w:pPr>
        <w:spacing w:after="5" w:line="271" w:lineRule="auto"/>
        <w:ind w:left="9" w:right="64" w:firstLine="711"/>
        <w:jc w:val="both"/>
      </w:pPr>
      <w:r>
        <w:rPr>
          <w:rFonts w:ascii="Times New Roman" w:eastAsia="Times New Roman" w:hAnsi="Times New Roman" w:cs="Times New Roman"/>
          <w:sz w:val="28"/>
        </w:rPr>
        <w:t>Учитывая, что профессионально социализированная личность должна обладать позитивно ориентированными личностно-профессиональными качествами, которые определяют конкурентоспособность  в нынешнем обществе. Для выявления, такой критерии личности в</w:t>
      </w:r>
      <w:r>
        <w:rPr>
          <w:rFonts w:ascii="Times New Roman" w:eastAsia="Times New Roman" w:hAnsi="Times New Roman" w:cs="Times New Roman"/>
          <w:sz w:val="28"/>
        </w:rPr>
        <w:t xml:space="preserve"> юношеском возрасте нами проведенная экспериментальное исследование среди студентов обучающих в вузе. </w:t>
      </w:r>
    </w:p>
    <w:p w:rsidR="0052701D" w:rsidRDefault="00D40929">
      <w:pPr>
        <w:spacing w:after="5" w:line="271" w:lineRule="auto"/>
        <w:ind w:left="9" w:right="64" w:firstLine="711"/>
        <w:jc w:val="both"/>
      </w:pPr>
      <w:r>
        <w:rPr>
          <w:rFonts w:ascii="Times New Roman" w:eastAsia="Times New Roman" w:hAnsi="Times New Roman" w:cs="Times New Roman"/>
          <w:sz w:val="28"/>
        </w:rPr>
        <w:t>Основной целью нашего исследования</w:t>
      </w:r>
      <w:r>
        <w:rPr>
          <w:rFonts w:ascii="Times New Roman" w:eastAsia="Times New Roman" w:hAnsi="Times New Roman" w:cs="Times New Roman"/>
          <w:b/>
          <w:sz w:val="28"/>
        </w:rPr>
        <w:t xml:space="preserve"> </w:t>
      </w:r>
      <w:r>
        <w:rPr>
          <w:rFonts w:ascii="Times New Roman" w:eastAsia="Times New Roman" w:hAnsi="Times New Roman" w:cs="Times New Roman"/>
          <w:sz w:val="28"/>
        </w:rPr>
        <w:t>являлось выявление психологических особенностей социализации личности в юношеском возрасте (студенчество), ориентирова</w:t>
      </w:r>
      <w:r>
        <w:rPr>
          <w:rFonts w:ascii="Times New Roman" w:eastAsia="Times New Roman" w:hAnsi="Times New Roman" w:cs="Times New Roman"/>
          <w:sz w:val="28"/>
        </w:rPr>
        <w:t>нной на успешную профессиональную социализацию в вузе в быстро изменяющихся условиях взаимодействия личности и общества.</w:t>
      </w:r>
      <w:r>
        <w:rPr>
          <w:rFonts w:ascii="Times New Roman" w:eastAsia="Times New Roman" w:hAnsi="Times New Roman" w:cs="Times New Roman"/>
          <w:b/>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Проблемы социализации личности состоят в том, чтобы объективные ценности социального характера сделать устойчивыми ориентирами личнос</w:t>
      </w:r>
      <w:r>
        <w:rPr>
          <w:rFonts w:ascii="Times New Roman" w:eastAsia="Times New Roman" w:hAnsi="Times New Roman" w:cs="Times New Roman"/>
          <w:sz w:val="28"/>
        </w:rPr>
        <w:t xml:space="preserve">тного развития в юношеском возрасте.  </w:t>
      </w:r>
    </w:p>
    <w:p w:rsidR="0052701D" w:rsidRDefault="00D40929">
      <w:pPr>
        <w:spacing w:after="5" w:line="271" w:lineRule="auto"/>
        <w:ind w:left="9" w:right="64" w:firstLine="711"/>
        <w:jc w:val="both"/>
      </w:pPr>
      <w:r>
        <w:rPr>
          <w:rFonts w:ascii="Times New Roman" w:eastAsia="Times New Roman" w:hAnsi="Times New Roman" w:cs="Times New Roman"/>
          <w:sz w:val="28"/>
        </w:rPr>
        <w:t>Результаты исследования, проведенного нами, позволяют констатировать тот определенный факт, что именно возрастные особенности (юношеский возраст) существенно влияют на успешную профессиональную социализацию личности в</w:t>
      </w:r>
      <w:r>
        <w:rPr>
          <w:rFonts w:ascii="Times New Roman" w:eastAsia="Times New Roman" w:hAnsi="Times New Roman" w:cs="Times New Roman"/>
          <w:sz w:val="28"/>
        </w:rPr>
        <w:t xml:space="preserve"> вузе.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Именно ВУЗ является определяющим началом профессионально- личностного становление личности в юношеском возрасте (студента). А личностно-профессиональное самоопределение является основным новообразованием юношеского возраста [3, с.23].  </w:t>
      </w:r>
    </w:p>
    <w:p w:rsidR="0052701D" w:rsidRDefault="00D40929">
      <w:pPr>
        <w:spacing w:after="5" w:line="271" w:lineRule="auto"/>
        <w:ind w:left="9" w:right="64" w:firstLine="711"/>
        <w:jc w:val="both"/>
      </w:pPr>
      <w:r>
        <w:rPr>
          <w:rFonts w:ascii="Times New Roman" w:eastAsia="Times New Roman" w:hAnsi="Times New Roman" w:cs="Times New Roman"/>
          <w:sz w:val="28"/>
        </w:rPr>
        <w:t>Эксперимен</w:t>
      </w:r>
      <w:r>
        <w:rPr>
          <w:rFonts w:ascii="Times New Roman" w:eastAsia="Times New Roman" w:hAnsi="Times New Roman" w:cs="Times New Roman"/>
          <w:sz w:val="28"/>
        </w:rPr>
        <w:t xml:space="preserve">тальная работа проводилась в 2021-2022 учебном году с использования разработанных нами анкет «Студент, ВУЗ, социализация» (авторское) для студентов 2-го курса АУЭС. Общее число респондентов составило всего 165 студентов: разных технических специальностей. </w:t>
      </w:r>
      <w:r>
        <w:rPr>
          <w:rFonts w:ascii="Times New Roman" w:eastAsia="Times New Roman" w:hAnsi="Times New Roman" w:cs="Times New Roman"/>
          <w:sz w:val="28"/>
        </w:rPr>
        <w:t>Целью проведения данного вида эмпирического исследования явилось выявление входной информации, соответствующей данному периоду времени для студентов, обучающихся на втором курсе в вузе. Полученная информация позволила оценить ряд особенностей юношеского во</w:t>
      </w:r>
      <w:r>
        <w:rPr>
          <w:rFonts w:ascii="Times New Roman" w:eastAsia="Times New Roman" w:hAnsi="Times New Roman" w:cs="Times New Roman"/>
          <w:sz w:val="28"/>
        </w:rPr>
        <w:t xml:space="preserve">зраста и выявить мнения студентов по проблемам социализации личности студента в вузе.  </w:t>
      </w:r>
    </w:p>
    <w:p w:rsidR="0052701D" w:rsidRDefault="00D40929">
      <w:pPr>
        <w:spacing w:after="5" w:line="271" w:lineRule="auto"/>
        <w:ind w:left="9" w:right="64" w:firstLine="711"/>
        <w:jc w:val="both"/>
      </w:pPr>
      <w:r>
        <w:rPr>
          <w:rFonts w:ascii="Times New Roman" w:eastAsia="Times New Roman" w:hAnsi="Times New Roman" w:cs="Times New Roman"/>
          <w:sz w:val="28"/>
        </w:rPr>
        <w:t>Экспериментальное исследование, проведенное в 2021-2022 учебном году среди студентов второго курса разных специальностей с использованием анкеты «Студент, ВУЗ, социализ</w:t>
      </w:r>
      <w:r>
        <w:rPr>
          <w:rFonts w:ascii="Times New Roman" w:eastAsia="Times New Roman" w:hAnsi="Times New Roman" w:cs="Times New Roman"/>
          <w:sz w:val="28"/>
        </w:rPr>
        <w:t xml:space="preserve">ация» (авторское), дало следующие результаты.  </w:t>
      </w:r>
    </w:p>
    <w:p w:rsidR="0052701D" w:rsidRDefault="00D40929">
      <w:pPr>
        <w:spacing w:after="5" w:line="271" w:lineRule="auto"/>
        <w:ind w:left="9" w:right="64" w:firstLine="711"/>
        <w:jc w:val="both"/>
      </w:pPr>
      <w:r>
        <w:rPr>
          <w:rFonts w:ascii="Times New Roman" w:eastAsia="Times New Roman" w:hAnsi="Times New Roman" w:cs="Times New Roman"/>
          <w:sz w:val="28"/>
        </w:rPr>
        <w:lastRenderedPageBreak/>
        <w:t>Полученные данные в результате проведенного анкетирования, мы смогли сгруппировать вопросы с ответами для получения достоверной информации в разработке нами модели успешной профессиональной социализации лично</w:t>
      </w:r>
      <w:r>
        <w:rPr>
          <w:rFonts w:ascii="Times New Roman" w:eastAsia="Times New Roman" w:hAnsi="Times New Roman" w:cs="Times New Roman"/>
          <w:sz w:val="28"/>
        </w:rPr>
        <w:t xml:space="preserve">сти студента в юношеском возрасте. Особо внимания, на наш взгляд, требуют особого внимания вопросы о профессиональной мотивации студента с первого курса и в дальнейшем втором курсе, других взаимосвязанных компонентов разработанной нами модели студента. </w:t>
      </w:r>
    </w:p>
    <w:p w:rsidR="0052701D" w:rsidRDefault="00D40929">
      <w:pPr>
        <w:spacing w:after="5" w:line="271" w:lineRule="auto"/>
        <w:ind w:left="9" w:right="64" w:firstLine="711"/>
        <w:jc w:val="both"/>
      </w:pPr>
      <w:r>
        <w:rPr>
          <w:rFonts w:ascii="Times New Roman" w:eastAsia="Times New Roman" w:hAnsi="Times New Roman" w:cs="Times New Roman"/>
          <w:sz w:val="28"/>
        </w:rPr>
        <w:t>На</w:t>
      </w:r>
      <w:r>
        <w:rPr>
          <w:rFonts w:ascii="Times New Roman" w:eastAsia="Times New Roman" w:hAnsi="Times New Roman" w:cs="Times New Roman"/>
          <w:sz w:val="28"/>
        </w:rPr>
        <w:t xml:space="preserve"> вопросы относительно профессиональной мотивации типа: «Укажите ведущий мотив Вашего поступления в технический ВУЗ» студенты первого курса по результатам анкетирования ответили следующим образом: 25 % - «возможность поступить в ВУЗ на грантовой основе», 23</w:t>
      </w:r>
      <w:r>
        <w:rPr>
          <w:rFonts w:ascii="Times New Roman" w:eastAsia="Times New Roman" w:hAnsi="Times New Roman" w:cs="Times New Roman"/>
          <w:sz w:val="28"/>
        </w:rPr>
        <w:t>% - «получить диплом о высшем образовании», 20% - «профессия инженера считается престижной», 16% - «профессия инженера обеспечит материальное благополучие», 10% - «профессия инженера предполагает творческую деятельность имеющую практическую значимость»; 5%</w:t>
      </w:r>
      <w:r>
        <w:rPr>
          <w:rFonts w:ascii="Times New Roman" w:eastAsia="Times New Roman" w:hAnsi="Times New Roman" w:cs="Times New Roman"/>
          <w:sz w:val="28"/>
        </w:rPr>
        <w:t xml:space="preserve"> мне нравятся и всегда легко даются точные науки; 1% - «романтика студенческой жизни» (таб.1). </w:t>
      </w:r>
    </w:p>
    <w:p w:rsidR="0052701D" w:rsidRDefault="00D40929">
      <w:pPr>
        <w:spacing w:after="34"/>
        <w:ind w:left="10" w:right="43" w:hanging="10"/>
        <w:jc w:val="right"/>
      </w:pPr>
      <w:r>
        <w:rPr>
          <w:rFonts w:ascii="Times New Roman" w:eastAsia="Times New Roman" w:hAnsi="Times New Roman" w:cs="Times New Roman"/>
          <w:sz w:val="28"/>
        </w:rPr>
        <w:t xml:space="preserve">1-таблица </w:t>
      </w:r>
    </w:p>
    <w:p w:rsidR="0052701D" w:rsidRDefault="00D40929">
      <w:pPr>
        <w:spacing w:after="5" w:line="251" w:lineRule="auto"/>
        <w:ind w:firstLine="9"/>
      </w:pPr>
      <w:r>
        <w:rPr>
          <w:rFonts w:ascii="Times New Roman" w:eastAsia="Times New Roman" w:hAnsi="Times New Roman" w:cs="Times New Roman"/>
          <w:b/>
          <w:sz w:val="28"/>
        </w:rPr>
        <w:t xml:space="preserve">            Показатель мотива поступления студенческой молодежи в вуз </w:t>
      </w:r>
    </w:p>
    <w:p w:rsidR="0052701D" w:rsidRDefault="00D40929">
      <w:pPr>
        <w:spacing w:after="0"/>
      </w:pPr>
      <w:r>
        <w:rPr>
          <w:rFonts w:ascii="Times New Roman" w:eastAsia="Times New Roman" w:hAnsi="Times New Roman" w:cs="Times New Roman"/>
          <w:b/>
          <w:sz w:val="28"/>
        </w:rPr>
        <w:t xml:space="preserve"> </w:t>
      </w:r>
    </w:p>
    <w:tbl>
      <w:tblPr>
        <w:tblStyle w:val="TableGrid"/>
        <w:tblW w:w="9239" w:type="dxa"/>
        <w:tblInd w:w="221" w:type="dxa"/>
        <w:tblCellMar>
          <w:top w:w="100" w:type="dxa"/>
          <w:left w:w="82" w:type="dxa"/>
          <w:bottom w:w="0" w:type="dxa"/>
          <w:right w:w="7" w:type="dxa"/>
        </w:tblCellMar>
        <w:tblLook w:val="04A0" w:firstRow="1" w:lastRow="0" w:firstColumn="1" w:lastColumn="0" w:noHBand="0" w:noVBand="1"/>
      </w:tblPr>
      <w:tblGrid>
        <w:gridCol w:w="1080"/>
        <w:gridCol w:w="1151"/>
        <w:gridCol w:w="1172"/>
        <w:gridCol w:w="1172"/>
        <w:gridCol w:w="1172"/>
        <w:gridCol w:w="1167"/>
        <w:gridCol w:w="1172"/>
        <w:gridCol w:w="1153"/>
      </w:tblGrid>
      <w:tr w:rsidR="0052701D">
        <w:trPr>
          <w:trHeight w:val="811"/>
        </w:trPr>
        <w:tc>
          <w:tcPr>
            <w:tcW w:w="1081" w:type="dxa"/>
            <w:vMerge w:val="restart"/>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Курс</w:t>
            </w:r>
            <w:r>
              <w:t xml:space="preserve"> </w:t>
            </w:r>
          </w:p>
        </w:tc>
        <w:tc>
          <w:tcPr>
            <w:tcW w:w="8159" w:type="dxa"/>
            <w:gridSpan w:val="7"/>
            <w:tcBorders>
              <w:top w:val="single" w:sz="4" w:space="0" w:color="000000"/>
              <w:left w:val="single" w:sz="4" w:space="0" w:color="000000"/>
              <w:bottom w:val="single" w:sz="4" w:space="0" w:color="000000"/>
              <w:right w:val="single" w:sz="4" w:space="0" w:color="000000"/>
            </w:tcBorders>
          </w:tcPr>
          <w:p w:rsidR="0052701D" w:rsidRDefault="00D40929">
            <w:pPr>
              <w:spacing w:after="0"/>
              <w:jc w:val="both"/>
            </w:pPr>
            <w:r>
              <w:rPr>
                <w:rFonts w:ascii="Times New Roman" w:eastAsia="Times New Roman" w:hAnsi="Times New Roman" w:cs="Times New Roman"/>
                <w:sz w:val="28"/>
              </w:rPr>
              <w:t xml:space="preserve">Варианты ответов на вопрос: «Укажите ведущий мотив Вашего поступления </w:t>
            </w:r>
            <w:r>
              <w:rPr>
                <w:rFonts w:ascii="Times New Roman" w:eastAsia="Times New Roman" w:hAnsi="Times New Roman" w:cs="Times New Roman"/>
                <w:sz w:val="28"/>
              </w:rPr>
              <w:t>в  ВУЗ»</w:t>
            </w:r>
            <w:r>
              <w:t xml:space="preserve"> </w:t>
            </w:r>
          </w:p>
        </w:tc>
      </w:tr>
      <w:tr w:rsidR="0052701D">
        <w:trPr>
          <w:trHeight w:val="495"/>
        </w:trPr>
        <w:tc>
          <w:tcPr>
            <w:tcW w:w="0" w:type="auto"/>
            <w:vMerge/>
            <w:tcBorders>
              <w:top w:val="nil"/>
              <w:left w:val="single" w:sz="4" w:space="0" w:color="000000"/>
              <w:bottom w:val="single" w:sz="4" w:space="0" w:color="000000"/>
              <w:right w:val="single" w:sz="4" w:space="0" w:color="000000"/>
            </w:tcBorders>
          </w:tcPr>
          <w:p w:rsidR="0052701D" w:rsidRDefault="0052701D"/>
        </w:tc>
        <w:tc>
          <w:tcPr>
            <w:tcW w:w="1152"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а)</w:t>
            </w:r>
            <w:r>
              <w:t xml:space="preserve"> </w:t>
            </w:r>
          </w:p>
        </w:tc>
        <w:tc>
          <w:tcPr>
            <w:tcW w:w="1172"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б)</w:t>
            </w:r>
            <w:r>
              <w:t xml:space="preserve"> </w:t>
            </w:r>
          </w:p>
        </w:tc>
        <w:tc>
          <w:tcPr>
            <w:tcW w:w="1172"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в)</w:t>
            </w:r>
            <w:r>
              <w:t xml:space="preserve"> </w:t>
            </w:r>
          </w:p>
        </w:tc>
        <w:tc>
          <w:tcPr>
            <w:tcW w:w="1172"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г)</w:t>
            </w:r>
            <w:r>
              <w:t xml:space="preserve"> </w:t>
            </w:r>
          </w:p>
        </w:tc>
        <w:tc>
          <w:tcPr>
            <w:tcW w:w="1167"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д)</w:t>
            </w:r>
            <w:r>
              <w:t xml:space="preserve"> </w:t>
            </w:r>
          </w:p>
        </w:tc>
        <w:tc>
          <w:tcPr>
            <w:tcW w:w="1172"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е)</w:t>
            </w:r>
            <w:r>
              <w:t xml:space="preserve"> </w:t>
            </w:r>
          </w:p>
        </w:tc>
        <w:tc>
          <w:tcPr>
            <w:tcW w:w="1153"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ж)</w:t>
            </w:r>
            <w:r>
              <w:t xml:space="preserve"> </w:t>
            </w:r>
          </w:p>
        </w:tc>
      </w:tr>
      <w:tr w:rsidR="0052701D">
        <w:trPr>
          <w:trHeight w:val="490"/>
        </w:trPr>
        <w:tc>
          <w:tcPr>
            <w:tcW w:w="1081"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2 курс</w:t>
            </w:r>
            <w:r>
              <w:t xml:space="preserve"> </w:t>
            </w:r>
          </w:p>
        </w:tc>
        <w:tc>
          <w:tcPr>
            <w:tcW w:w="1152"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5%</w:t>
            </w:r>
            <w:r>
              <w:rPr>
                <w:sz w:val="28"/>
                <w:vertAlign w:val="subscript"/>
              </w:rPr>
              <w:t xml:space="preserve"> </w:t>
            </w:r>
          </w:p>
        </w:tc>
        <w:tc>
          <w:tcPr>
            <w:tcW w:w="1172"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23%</w:t>
            </w:r>
            <w:r>
              <w:rPr>
                <w:sz w:val="28"/>
                <w:vertAlign w:val="subscript"/>
              </w:rPr>
              <w:t xml:space="preserve"> </w:t>
            </w:r>
          </w:p>
        </w:tc>
        <w:tc>
          <w:tcPr>
            <w:tcW w:w="1172"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20%</w:t>
            </w:r>
            <w:r>
              <w:rPr>
                <w:sz w:val="28"/>
                <w:vertAlign w:val="subscript"/>
              </w:rPr>
              <w:t xml:space="preserve"> </w:t>
            </w:r>
          </w:p>
        </w:tc>
        <w:tc>
          <w:tcPr>
            <w:tcW w:w="1172"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10%</w:t>
            </w:r>
            <w:r>
              <w:rPr>
                <w:sz w:val="28"/>
                <w:vertAlign w:val="subscript"/>
              </w:rPr>
              <w:t xml:space="preserve"> </w:t>
            </w:r>
          </w:p>
        </w:tc>
        <w:tc>
          <w:tcPr>
            <w:tcW w:w="1167"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16%</w:t>
            </w:r>
            <w:r>
              <w:rPr>
                <w:sz w:val="28"/>
                <w:vertAlign w:val="subscript"/>
              </w:rPr>
              <w:t xml:space="preserve"> </w:t>
            </w:r>
          </w:p>
        </w:tc>
        <w:tc>
          <w:tcPr>
            <w:tcW w:w="1172"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25%</w:t>
            </w:r>
            <w:r>
              <w:rPr>
                <w:sz w:val="28"/>
                <w:vertAlign w:val="subscript"/>
              </w:rPr>
              <w:t xml:space="preserve"> </w:t>
            </w:r>
          </w:p>
        </w:tc>
        <w:tc>
          <w:tcPr>
            <w:tcW w:w="1153"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1%</w:t>
            </w:r>
            <w:r>
              <w:rPr>
                <w:sz w:val="28"/>
                <w:vertAlign w:val="subscript"/>
              </w:rPr>
              <w:t xml:space="preserve"> </w:t>
            </w:r>
          </w:p>
        </w:tc>
      </w:tr>
    </w:tbl>
    <w:p w:rsidR="0052701D" w:rsidRDefault="00D40929">
      <w:pPr>
        <w:spacing w:after="18"/>
      </w:pPr>
      <w:r>
        <w:rPr>
          <w:rFonts w:ascii="Times New Roman" w:eastAsia="Times New Roman" w:hAnsi="Times New Roman" w:cs="Times New Roman"/>
          <w:b/>
          <w:sz w:val="28"/>
        </w:rPr>
        <w:t xml:space="preserve"> </w:t>
      </w:r>
    </w:p>
    <w:p w:rsidR="0052701D" w:rsidRDefault="00D40929">
      <w:pPr>
        <w:spacing w:after="5" w:line="271" w:lineRule="auto"/>
        <w:ind w:left="711" w:right="64"/>
        <w:jc w:val="both"/>
      </w:pPr>
      <w:r>
        <w:rPr>
          <w:rFonts w:ascii="Times New Roman" w:eastAsia="Times New Roman" w:hAnsi="Times New Roman" w:cs="Times New Roman"/>
          <w:sz w:val="28"/>
        </w:rPr>
        <w:t xml:space="preserve">а) мне нравятся и всегда легко даются точные науки; </w:t>
      </w:r>
    </w:p>
    <w:p w:rsidR="0052701D" w:rsidRDefault="00D40929">
      <w:pPr>
        <w:spacing w:after="5" w:line="271" w:lineRule="auto"/>
        <w:ind w:left="711" w:right="64"/>
        <w:jc w:val="both"/>
      </w:pPr>
      <w:r>
        <w:rPr>
          <w:rFonts w:ascii="Times New Roman" w:eastAsia="Times New Roman" w:hAnsi="Times New Roman" w:cs="Times New Roman"/>
          <w:sz w:val="28"/>
        </w:rPr>
        <w:t xml:space="preserve">б) получить диплом о высшем образовании (профиль не имел значения); </w:t>
      </w:r>
    </w:p>
    <w:p w:rsidR="0052701D" w:rsidRDefault="00D40929">
      <w:pPr>
        <w:tabs>
          <w:tab w:val="center" w:pos="822"/>
          <w:tab w:val="right" w:pos="9707"/>
        </w:tabs>
        <w:spacing w:after="5" w:line="271" w:lineRule="auto"/>
      </w:pPr>
      <w:r>
        <w:tab/>
      </w:r>
      <w:r>
        <w:rPr>
          <w:rFonts w:ascii="Times New Roman" w:eastAsia="Times New Roman" w:hAnsi="Times New Roman" w:cs="Times New Roman"/>
          <w:sz w:val="28"/>
        </w:rPr>
        <w:t>в)</w:t>
      </w:r>
      <w:r>
        <w:rPr>
          <w:rFonts w:ascii="Times New Roman" w:eastAsia="Times New Roman" w:hAnsi="Times New Roman" w:cs="Times New Roman"/>
          <w:sz w:val="28"/>
        </w:rPr>
        <w:tab/>
        <w:t>в эпоху новейших технологий профессия инженера</w:t>
      </w:r>
      <w:r>
        <w:rPr>
          <w:rFonts w:ascii="Times New Roman" w:eastAsia="Times New Roman" w:hAnsi="Times New Roman" w:cs="Times New Roman"/>
          <w:sz w:val="28"/>
        </w:rPr>
        <w:t xml:space="preserve"> считается</w:t>
      </w:r>
    </w:p>
    <w:p w:rsidR="0052701D" w:rsidRDefault="00D40929">
      <w:pPr>
        <w:spacing w:after="5" w:line="271" w:lineRule="auto"/>
        <w:ind w:left="9" w:right="64"/>
        <w:jc w:val="both"/>
      </w:pPr>
      <w:r>
        <w:rPr>
          <w:rFonts w:ascii="Times New Roman" w:eastAsia="Times New Roman" w:hAnsi="Times New Roman" w:cs="Times New Roman"/>
          <w:sz w:val="28"/>
        </w:rPr>
        <w:t xml:space="preserve">престижной; </w:t>
      </w:r>
    </w:p>
    <w:p w:rsidR="0052701D" w:rsidRDefault="00D40929">
      <w:pPr>
        <w:spacing w:after="5" w:line="271" w:lineRule="auto"/>
        <w:ind w:left="711" w:right="64"/>
        <w:jc w:val="both"/>
      </w:pPr>
      <w:r>
        <w:rPr>
          <w:rFonts w:ascii="Times New Roman" w:eastAsia="Times New Roman" w:hAnsi="Times New Roman" w:cs="Times New Roman"/>
          <w:sz w:val="28"/>
        </w:rPr>
        <w:t>г) профессия инженера предполагает творческую деятельность, имеющую</w:t>
      </w:r>
    </w:p>
    <w:p w:rsidR="0052701D" w:rsidRDefault="00D40929">
      <w:pPr>
        <w:spacing w:after="5" w:line="271" w:lineRule="auto"/>
        <w:ind w:left="9" w:right="64"/>
        <w:jc w:val="both"/>
      </w:pPr>
      <w:r>
        <w:rPr>
          <w:rFonts w:ascii="Times New Roman" w:eastAsia="Times New Roman" w:hAnsi="Times New Roman" w:cs="Times New Roman"/>
          <w:sz w:val="28"/>
        </w:rPr>
        <w:t xml:space="preserve">практическую значимость; </w:t>
      </w:r>
    </w:p>
    <w:p w:rsidR="0052701D" w:rsidRDefault="00D40929">
      <w:pPr>
        <w:spacing w:after="5" w:line="271" w:lineRule="auto"/>
        <w:ind w:left="711" w:right="64"/>
        <w:jc w:val="both"/>
      </w:pPr>
      <w:r>
        <w:rPr>
          <w:rFonts w:ascii="Times New Roman" w:eastAsia="Times New Roman" w:hAnsi="Times New Roman" w:cs="Times New Roman"/>
          <w:sz w:val="28"/>
        </w:rPr>
        <w:t xml:space="preserve">д) профессия инженера обеспечит материальное благополучие; </w:t>
      </w:r>
    </w:p>
    <w:p w:rsidR="0052701D" w:rsidRDefault="00D40929">
      <w:pPr>
        <w:spacing w:after="5" w:line="271" w:lineRule="auto"/>
        <w:ind w:left="711" w:right="64"/>
        <w:jc w:val="both"/>
      </w:pPr>
      <w:r>
        <w:rPr>
          <w:rFonts w:ascii="Times New Roman" w:eastAsia="Times New Roman" w:hAnsi="Times New Roman" w:cs="Times New Roman"/>
          <w:sz w:val="28"/>
        </w:rPr>
        <w:t xml:space="preserve">е) возможность поступить в ВУЗ на грантовой основе; </w:t>
      </w:r>
    </w:p>
    <w:p w:rsidR="0052701D" w:rsidRDefault="00D40929">
      <w:pPr>
        <w:spacing w:after="5" w:line="271" w:lineRule="auto"/>
        <w:ind w:left="711" w:right="64"/>
        <w:jc w:val="both"/>
      </w:pPr>
      <w:r>
        <w:rPr>
          <w:rFonts w:ascii="Times New Roman" w:eastAsia="Times New Roman" w:hAnsi="Times New Roman" w:cs="Times New Roman"/>
          <w:sz w:val="28"/>
        </w:rPr>
        <w:t>ж) романтика студенческой</w:t>
      </w:r>
      <w:r>
        <w:rPr>
          <w:rFonts w:ascii="Times New Roman" w:eastAsia="Times New Roman" w:hAnsi="Times New Roman" w:cs="Times New Roman"/>
          <w:sz w:val="28"/>
        </w:rPr>
        <w:t xml:space="preserve"> жизни.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Следующим вопросом анкеты «Студент, ВУЗ, социализация», заданным студентам второго  курса был: «Удовлетворены ли Вы выбором профессии и специальности?». Студенты, осознанно выбравшие данную профессию, дают соответствующий ответ на вопрос анкеты - </w:t>
      </w:r>
      <w:r>
        <w:rPr>
          <w:rFonts w:ascii="Times New Roman" w:eastAsia="Times New Roman" w:hAnsi="Times New Roman" w:cs="Times New Roman"/>
          <w:sz w:val="28"/>
        </w:rPr>
        <w:t xml:space="preserve">72%. Главный мотив выбора профессии у студентов второго курса соответствует понятию осознанного шага и определенной личностной ответственности в юношеском возрасте. Но, 28 % </w:t>
      </w:r>
      <w:r>
        <w:rPr>
          <w:rFonts w:ascii="Times New Roman" w:eastAsia="Times New Roman" w:hAnsi="Times New Roman" w:cs="Times New Roman"/>
          <w:sz w:val="28"/>
        </w:rPr>
        <w:lastRenderedPageBreak/>
        <w:t>ответили - нет, в силу психологической неадаптированности и психологической некомф</w:t>
      </w:r>
      <w:r>
        <w:rPr>
          <w:rFonts w:ascii="Times New Roman" w:eastAsia="Times New Roman" w:hAnsi="Times New Roman" w:cs="Times New Roman"/>
          <w:sz w:val="28"/>
        </w:rPr>
        <w:t xml:space="preserve">ортности  после выхода из онлайн обучения начиная с первого курса (академическая группа в вузе). </w:t>
      </w:r>
    </w:p>
    <w:p w:rsidR="0052701D" w:rsidRDefault="00D40929">
      <w:pPr>
        <w:spacing w:after="5" w:line="271" w:lineRule="auto"/>
        <w:ind w:left="9" w:right="64" w:firstLine="711"/>
        <w:jc w:val="both"/>
      </w:pPr>
      <w:r>
        <w:rPr>
          <w:rFonts w:ascii="Times New Roman" w:eastAsia="Times New Roman" w:hAnsi="Times New Roman" w:cs="Times New Roman"/>
          <w:sz w:val="28"/>
        </w:rPr>
        <w:t>На наш взгляд, причиной разброса является психологическая неуверенность в поведении, связанная с проявлением высокой степени конформизма, психологической адап</w:t>
      </w:r>
      <w:r>
        <w:rPr>
          <w:rFonts w:ascii="Times New Roman" w:eastAsia="Times New Roman" w:hAnsi="Times New Roman" w:cs="Times New Roman"/>
          <w:sz w:val="28"/>
        </w:rPr>
        <w:t>тацией после онлайн обучению в период продолжительного карантина, неполное понимание специфических особенностей образовательного процесса в вузе после общеобразовательной системы обучения, неустойчивое понимание специфики своей специальности и будущей проф</w:t>
      </w:r>
      <w:r>
        <w:rPr>
          <w:rFonts w:ascii="Times New Roman" w:eastAsia="Times New Roman" w:hAnsi="Times New Roman" w:cs="Times New Roman"/>
          <w:sz w:val="28"/>
        </w:rPr>
        <w:t xml:space="preserve">ессии, недостаточная общая профессиональная картина будущего, что может отрицательно сказываться на успешной профессиональной социализации личности в юношеском возрасте.  </w:t>
      </w:r>
    </w:p>
    <w:p w:rsidR="0052701D" w:rsidRDefault="00D40929">
      <w:pPr>
        <w:spacing w:after="5" w:line="271" w:lineRule="auto"/>
        <w:ind w:left="9" w:right="64" w:firstLine="711"/>
        <w:jc w:val="both"/>
      </w:pPr>
      <w:r>
        <w:rPr>
          <w:rFonts w:ascii="Times New Roman" w:eastAsia="Times New Roman" w:hAnsi="Times New Roman" w:cs="Times New Roman"/>
          <w:sz w:val="28"/>
        </w:rPr>
        <w:t>Думаем, что к третьему году обучения в вузе у студентов достаточно будет сформирован</w:t>
      </w:r>
      <w:r>
        <w:rPr>
          <w:rFonts w:ascii="Times New Roman" w:eastAsia="Times New Roman" w:hAnsi="Times New Roman" w:cs="Times New Roman"/>
          <w:sz w:val="28"/>
        </w:rPr>
        <w:t xml:space="preserve">  соответствующий уровень профессиональной направленности и будет наблюдаться целостная профессиональная ориентация. Причиной этому может послужить выход на оффлайн, то есть полное подключение в процесс обучения, возрастные, психофизиологические особенност</w:t>
      </w:r>
      <w:r>
        <w:rPr>
          <w:rFonts w:ascii="Times New Roman" w:eastAsia="Times New Roman" w:hAnsi="Times New Roman" w:cs="Times New Roman"/>
          <w:sz w:val="28"/>
        </w:rPr>
        <w:t xml:space="preserve">и личности юношеского возраста и целенаправленное профессиональное становление на специализацию, которая углублять личностно-профессиональный интерес, определяющий успешность личности будущего специалиста. </w:t>
      </w:r>
    </w:p>
    <w:p w:rsidR="0052701D" w:rsidRDefault="00D40929">
      <w:pPr>
        <w:spacing w:after="5" w:line="271" w:lineRule="auto"/>
        <w:ind w:left="9" w:right="64" w:firstLine="711"/>
        <w:jc w:val="both"/>
      </w:pPr>
      <w:r>
        <w:rPr>
          <w:rFonts w:ascii="Times New Roman" w:eastAsia="Times New Roman" w:hAnsi="Times New Roman" w:cs="Times New Roman"/>
          <w:sz w:val="28"/>
        </w:rPr>
        <w:t>Таким образом, на основе экспериментального анали</w:t>
      </w:r>
      <w:r>
        <w:rPr>
          <w:rFonts w:ascii="Times New Roman" w:eastAsia="Times New Roman" w:hAnsi="Times New Roman" w:cs="Times New Roman"/>
          <w:sz w:val="28"/>
        </w:rPr>
        <w:t>за было продемонстрировано, что для личности в юношеском возрасте для успешной профессиональной социализации должны учитываться мотивационные, теоретико-познавательные, деятельностно-практические, оценочнорефлексивные показатели действий личности. И в проц</w:t>
      </w:r>
      <w:r>
        <w:rPr>
          <w:rFonts w:ascii="Times New Roman" w:eastAsia="Times New Roman" w:hAnsi="Times New Roman" w:cs="Times New Roman"/>
          <w:sz w:val="28"/>
        </w:rPr>
        <w:t xml:space="preserve">ессе социализации в целом необходим переход к новому этапу, который назовем этапом профессиональной социализации, осуществляющийся в процессе обучения вузе.  </w:t>
      </w:r>
    </w:p>
    <w:p w:rsidR="0052701D" w:rsidRDefault="00D40929">
      <w:pPr>
        <w:spacing w:after="52"/>
      </w:pPr>
      <w:r>
        <w:rPr>
          <w:rFonts w:ascii="Times New Roman" w:eastAsia="Times New Roman" w:hAnsi="Times New Roman" w:cs="Times New Roman"/>
        </w:rPr>
        <w:t xml:space="preserve"> </w:t>
      </w:r>
    </w:p>
    <w:p w:rsidR="0052701D" w:rsidRDefault="00D40929">
      <w:pPr>
        <w:spacing w:after="16" w:line="248" w:lineRule="auto"/>
        <w:ind w:left="819" w:right="890" w:hanging="10"/>
        <w:jc w:val="center"/>
      </w:pPr>
      <w:r>
        <w:rPr>
          <w:rFonts w:ascii="Times New Roman" w:eastAsia="Times New Roman" w:hAnsi="Times New Roman" w:cs="Times New Roman"/>
          <w:b/>
          <w:sz w:val="24"/>
        </w:rPr>
        <w:t xml:space="preserve">ИСТОЧНИКИ </w:t>
      </w:r>
    </w:p>
    <w:p w:rsidR="0052701D" w:rsidRDefault="00D40929">
      <w:pPr>
        <w:numPr>
          <w:ilvl w:val="0"/>
          <w:numId w:val="119"/>
        </w:numPr>
        <w:spacing w:after="24" w:line="250" w:lineRule="auto"/>
        <w:ind w:hanging="312"/>
        <w:jc w:val="both"/>
      </w:pPr>
      <w:r>
        <w:rPr>
          <w:rFonts w:ascii="Times New Roman" w:eastAsia="Times New Roman" w:hAnsi="Times New Roman" w:cs="Times New Roman"/>
        </w:rPr>
        <w:t xml:space="preserve">Ковалев С.М. Воспитание и самовоспитание. - М.,- 1988. – 310 с. </w:t>
      </w:r>
    </w:p>
    <w:p w:rsidR="0052701D" w:rsidRDefault="00D40929">
      <w:pPr>
        <w:numPr>
          <w:ilvl w:val="0"/>
          <w:numId w:val="119"/>
        </w:numPr>
        <w:spacing w:after="24" w:line="250" w:lineRule="auto"/>
        <w:ind w:hanging="312"/>
        <w:jc w:val="both"/>
      </w:pPr>
      <w:r>
        <w:rPr>
          <w:rFonts w:ascii="Times New Roman" w:eastAsia="Times New Roman" w:hAnsi="Times New Roman" w:cs="Times New Roman"/>
        </w:rPr>
        <w:t xml:space="preserve">Выготский Л. С.  </w:t>
      </w:r>
      <w:r>
        <w:rPr>
          <w:rFonts w:ascii="Times New Roman" w:eastAsia="Times New Roman" w:hAnsi="Times New Roman" w:cs="Times New Roman"/>
        </w:rPr>
        <w:t xml:space="preserve">Проблемы общей психологии // Собр. соч.: В 6 т.-М.,-1982. Т. 2.,- 251с. </w:t>
      </w:r>
    </w:p>
    <w:p w:rsidR="0052701D" w:rsidRDefault="00D40929">
      <w:pPr>
        <w:numPr>
          <w:ilvl w:val="0"/>
          <w:numId w:val="119"/>
        </w:numPr>
        <w:spacing w:after="24" w:line="250" w:lineRule="auto"/>
        <w:ind w:hanging="312"/>
        <w:jc w:val="both"/>
      </w:pPr>
      <w:r>
        <w:rPr>
          <w:rFonts w:ascii="Times New Roman" w:eastAsia="Times New Roman" w:hAnsi="Times New Roman" w:cs="Times New Roman"/>
        </w:rPr>
        <w:t>Сатова А. К. Теоретико-методологические основы развития личности одаренных старшеклассников и студентов. Автореферат диссертации на соискание ученой степени доктора психологических на</w:t>
      </w:r>
      <w:r>
        <w:rPr>
          <w:rFonts w:ascii="Times New Roman" w:eastAsia="Times New Roman" w:hAnsi="Times New Roman" w:cs="Times New Roman"/>
        </w:rPr>
        <w:t xml:space="preserve">ук. - Алматы., - 2008. -23с. </w:t>
      </w:r>
    </w:p>
    <w:p w:rsidR="0052701D" w:rsidRDefault="00D40929">
      <w:pPr>
        <w:spacing w:after="4" w:line="271" w:lineRule="auto"/>
        <w:ind w:left="-5" w:right="194" w:hanging="10"/>
      </w:pPr>
      <w:r>
        <w:rPr>
          <w:rFonts w:ascii="Times New Roman" w:eastAsia="Times New Roman" w:hAnsi="Times New Roman" w:cs="Times New Roman"/>
          <w:b/>
          <w:sz w:val="24"/>
        </w:rPr>
        <w:t xml:space="preserve">МРНТИ 03.20.00 УДК 930 </w:t>
      </w:r>
    </w:p>
    <w:p w:rsidR="0052701D" w:rsidRDefault="00D40929">
      <w:pPr>
        <w:spacing w:after="74"/>
        <w:ind w:left="711"/>
      </w:pPr>
      <w:r>
        <w:rPr>
          <w:rFonts w:ascii="Times New Roman" w:eastAsia="Times New Roman" w:hAnsi="Times New Roman" w:cs="Times New Roman"/>
          <w:sz w:val="24"/>
        </w:rPr>
        <w:t xml:space="preserve"> </w:t>
      </w:r>
    </w:p>
    <w:p w:rsidR="0052701D" w:rsidRDefault="00D40929">
      <w:pPr>
        <w:pStyle w:val="1"/>
        <w:spacing w:line="251" w:lineRule="auto"/>
        <w:ind w:left="1412" w:right="0" w:firstLine="9"/>
        <w:jc w:val="left"/>
      </w:pPr>
      <w:r>
        <w:t xml:space="preserve">ПОЛИТИЧЕСКИЕ РЕПРЕССИИ: ИСТОРИЯ ТРАГЕДИИ </w:t>
      </w:r>
    </w:p>
    <w:p w:rsidR="0052701D" w:rsidRDefault="00D40929">
      <w:pPr>
        <w:spacing w:after="0"/>
        <w:ind w:left="706"/>
        <w:jc w:val="center"/>
      </w:pPr>
      <w:r>
        <w:rPr>
          <w:rFonts w:ascii="Times New Roman" w:eastAsia="Times New Roman" w:hAnsi="Times New Roman" w:cs="Times New Roman"/>
          <w:b/>
          <w:sz w:val="28"/>
        </w:rPr>
        <w:t xml:space="preserve"> </w:t>
      </w:r>
    </w:p>
    <w:p w:rsidR="0052701D" w:rsidRDefault="00D40929">
      <w:pPr>
        <w:pStyle w:val="1"/>
        <w:spacing w:after="29" w:line="248" w:lineRule="auto"/>
        <w:ind w:left="3779" w:right="2551" w:firstLine="178"/>
        <w:jc w:val="both"/>
      </w:pPr>
      <w:r>
        <w:rPr>
          <w:sz w:val="24"/>
        </w:rPr>
        <w:lastRenderedPageBreak/>
        <w:t xml:space="preserve">А.Т. Мухамбедьярова, </w:t>
      </w:r>
    </w:p>
    <w:p w:rsidR="0052701D" w:rsidRDefault="00D40929">
      <w:pPr>
        <w:spacing w:after="29" w:line="248" w:lineRule="auto"/>
        <w:ind w:left="3779" w:right="2551" w:firstLine="178"/>
        <w:jc w:val="both"/>
      </w:pPr>
      <w:r>
        <w:rPr>
          <w:rFonts w:ascii="Times New Roman" w:eastAsia="Times New Roman" w:hAnsi="Times New Roman" w:cs="Times New Roman"/>
          <w:sz w:val="24"/>
        </w:rPr>
        <w:t xml:space="preserve">доктор политических наук, </w:t>
      </w:r>
    </w:p>
    <w:p w:rsidR="0052701D" w:rsidRDefault="00D40929">
      <w:pPr>
        <w:spacing w:after="14" w:line="248" w:lineRule="auto"/>
        <w:ind w:left="713" w:right="70" w:hanging="5"/>
        <w:jc w:val="center"/>
      </w:pPr>
      <w:r>
        <w:rPr>
          <w:rFonts w:ascii="Times New Roman" w:eastAsia="Times New Roman" w:hAnsi="Times New Roman" w:cs="Times New Roman"/>
          <w:sz w:val="24"/>
        </w:rPr>
        <w:t xml:space="preserve">профессор кафедры социальных дисциплин, </w:t>
      </w:r>
    </w:p>
    <w:p w:rsidR="0052701D" w:rsidRDefault="00D40929">
      <w:pPr>
        <w:spacing w:after="29" w:line="248" w:lineRule="auto"/>
        <w:ind w:left="1839" w:right="14"/>
        <w:jc w:val="both"/>
      </w:pPr>
      <w:r>
        <w:rPr>
          <w:rFonts w:ascii="Times New Roman" w:eastAsia="Times New Roman" w:hAnsi="Times New Roman" w:cs="Times New Roman"/>
          <w:sz w:val="24"/>
        </w:rPr>
        <w:t xml:space="preserve">«Алматинский Университет Энергетики и Связи им Г.Даукеева» </w:t>
      </w:r>
    </w:p>
    <w:p w:rsidR="0052701D" w:rsidRDefault="00D40929">
      <w:pPr>
        <w:spacing w:after="14" w:line="248" w:lineRule="auto"/>
        <w:ind w:left="713" w:right="71" w:hanging="5"/>
        <w:jc w:val="center"/>
      </w:pPr>
      <w:r>
        <w:rPr>
          <w:rFonts w:ascii="Times New Roman" w:eastAsia="Times New Roman" w:hAnsi="Times New Roman" w:cs="Times New Roman"/>
          <w:sz w:val="24"/>
        </w:rPr>
        <w:t>a.</w:t>
      </w:r>
      <w:r>
        <w:rPr>
          <w:rFonts w:ascii="Times New Roman" w:eastAsia="Times New Roman" w:hAnsi="Times New Roman" w:cs="Times New Roman"/>
          <w:sz w:val="24"/>
        </w:rPr>
        <w:t xml:space="preserve">mukhambedyarova@aues.kz </w:t>
      </w:r>
    </w:p>
    <w:p w:rsidR="0052701D" w:rsidRDefault="00D40929">
      <w:pPr>
        <w:spacing w:after="11"/>
        <w:ind w:left="711"/>
      </w:pPr>
      <w:r>
        <w:rPr>
          <w:rFonts w:ascii="Times New Roman" w:eastAsia="Times New Roman" w:hAnsi="Times New Roman" w:cs="Times New Roman"/>
          <w:b/>
          <w:sz w:val="24"/>
        </w:rPr>
        <w:t xml:space="preserve"> </w:t>
      </w:r>
    </w:p>
    <w:p w:rsidR="0052701D" w:rsidRDefault="00D40929">
      <w:pPr>
        <w:spacing w:after="29" w:line="248" w:lineRule="auto"/>
        <w:ind w:left="9" w:firstLine="711"/>
        <w:jc w:val="both"/>
      </w:pPr>
      <w:r>
        <w:rPr>
          <w:rFonts w:ascii="Times New Roman" w:eastAsia="Times New Roman" w:hAnsi="Times New Roman" w:cs="Times New Roman"/>
          <w:b/>
          <w:i/>
          <w:sz w:val="24"/>
        </w:rPr>
        <w:t>Аннотация.</w:t>
      </w:r>
      <w:r>
        <w:rPr>
          <w:rFonts w:ascii="Times New Roman" w:eastAsia="Times New Roman" w:hAnsi="Times New Roman" w:cs="Times New Roman"/>
          <w:i/>
          <w:sz w:val="24"/>
        </w:rPr>
        <w:t xml:space="preserve"> Данная работа раскрывает проблему политических репрессий 20-50-х годов XX века. За годы Советской власти миллионы людей стали жертвами произвола тоталитарного государства, подверглись репрессиям за политические и религ</w:t>
      </w:r>
      <w:r>
        <w:rPr>
          <w:rFonts w:ascii="Times New Roman" w:eastAsia="Times New Roman" w:hAnsi="Times New Roman" w:cs="Times New Roman"/>
          <w:i/>
          <w:sz w:val="24"/>
        </w:rPr>
        <w:t xml:space="preserve">иозные убеждения, по социальным, национальным и иным признакам. Одной из трагических страниц истории Казахстана является депортация (насильственное переселение народов) на его территорию народов практически из всех регионов бывшего Советского Союза. </w:t>
      </w:r>
    </w:p>
    <w:p w:rsidR="0052701D" w:rsidRDefault="00D40929">
      <w:pPr>
        <w:spacing w:after="29" w:line="248" w:lineRule="auto"/>
        <w:ind w:left="9" w:firstLine="711"/>
        <w:jc w:val="both"/>
      </w:pPr>
      <w:r>
        <w:rPr>
          <w:rFonts w:ascii="Times New Roman" w:eastAsia="Times New Roman" w:hAnsi="Times New Roman" w:cs="Times New Roman"/>
          <w:b/>
          <w:i/>
          <w:sz w:val="24"/>
        </w:rPr>
        <w:t>Ключе</w:t>
      </w:r>
      <w:r>
        <w:rPr>
          <w:rFonts w:ascii="Times New Roman" w:eastAsia="Times New Roman" w:hAnsi="Times New Roman" w:cs="Times New Roman"/>
          <w:b/>
          <w:i/>
          <w:sz w:val="24"/>
        </w:rPr>
        <w:t xml:space="preserve">вые слова. </w:t>
      </w:r>
      <w:r>
        <w:rPr>
          <w:rFonts w:ascii="Times New Roman" w:eastAsia="Times New Roman" w:hAnsi="Times New Roman" w:cs="Times New Roman"/>
          <w:i/>
          <w:sz w:val="24"/>
        </w:rPr>
        <w:t xml:space="preserve">политические репрессии, депортация, тоталитаризм, реабилитация, жертвы репрессий, судьба человека, память. </w:t>
      </w:r>
    </w:p>
    <w:p w:rsidR="0052701D" w:rsidRDefault="00D40929">
      <w:pPr>
        <w:spacing w:after="0"/>
        <w:ind w:left="711"/>
      </w:pPr>
      <w:r>
        <w:rPr>
          <w:rFonts w:ascii="Times New Roman" w:eastAsia="Times New Roman" w:hAnsi="Times New Roman" w:cs="Times New Roman"/>
          <w:b/>
          <w:sz w:val="28"/>
        </w:rPr>
        <w:t xml:space="preserve"> </w:t>
      </w:r>
    </w:p>
    <w:p w:rsidR="0052701D" w:rsidRDefault="00D40929">
      <w:pPr>
        <w:spacing w:after="0"/>
        <w:ind w:left="711"/>
      </w:pPr>
      <w:r>
        <w:rPr>
          <w:rFonts w:ascii="Times New Roman" w:eastAsia="Times New Roman" w:hAnsi="Times New Roman" w:cs="Times New Roman"/>
          <w:b/>
          <w:sz w:val="28"/>
        </w:rPr>
        <w:t xml:space="preserve"> </w:t>
      </w:r>
    </w:p>
    <w:p w:rsidR="0052701D" w:rsidRDefault="00D40929">
      <w:pPr>
        <w:spacing w:after="5" w:line="251" w:lineRule="auto"/>
        <w:ind w:left="1297" w:firstLine="9"/>
      </w:pPr>
      <w:r>
        <w:rPr>
          <w:rFonts w:ascii="Times New Roman" w:eastAsia="Times New Roman" w:hAnsi="Times New Roman" w:cs="Times New Roman"/>
          <w:b/>
          <w:sz w:val="28"/>
        </w:rPr>
        <w:t xml:space="preserve">POLITICAL REPRESSION: THE HISTORY OF A TRAGEDY </w:t>
      </w:r>
    </w:p>
    <w:p w:rsidR="0052701D" w:rsidRDefault="00D40929">
      <w:pPr>
        <w:spacing w:after="0"/>
        <w:ind w:left="706"/>
        <w:jc w:val="center"/>
      </w:pPr>
      <w:r>
        <w:rPr>
          <w:rFonts w:ascii="Times New Roman" w:eastAsia="Times New Roman" w:hAnsi="Times New Roman" w:cs="Times New Roman"/>
          <w:b/>
          <w:sz w:val="28"/>
        </w:rPr>
        <w:t xml:space="preserve"> </w:t>
      </w:r>
    </w:p>
    <w:p w:rsidR="0052701D" w:rsidRDefault="00D40929">
      <w:pPr>
        <w:spacing w:after="16" w:line="248" w:lineRule="auto"/>
        <w:ind w:left="819" w:right="180" w:hanging="10"/>
        <w:jc w:val="center"/>
      </w:pPr>
      <w:r>
        <w:rPr>
          <w:rFonts w:ascii="Times New Roman" w:eastAsia="Times New Roman" w:hAnsi="Times New Roman" w:cs="Times New Roman"/>
          <w:b/>
          <w:sz w:val="24"/>
        </w:rPr>
        <w:t>A.T. Mukhambedyarova</w:t>
      </w:r>
      <w:r>
        <w:rPr>
          <w:rFonts w:ascii="Times New Roman" w:eastAsia="Times New Roman" w:hAnsi="Times New Roman" w:cs="Times New Roman"/>
          <w:sz w:val="24"/>
        </w:rPr>
        <w:t xml:space="preserve">, </w:t>
      </w:r>
    </w:p>
    <w:p w:rsidR="0052701D" w:rsidRDefault="00D40929">
      <w:pPr>
        <w:spacing w:after="14" w:line="248" w:lineRule="auto"/>
        <w:ind w:left="713" w:right="84" w:hanging="5"/>
        <w:jc w:val="center"/>
      </w:pPr>
      <w:r>
        <w:rPr>
          <w:rFonts w:ascii="Times New Roman" w:eastAsia="Times New Roman" w:hAnsi="Times New Roman" w:cs="Times New Roman"/>
          <w:sz w:val="24"/>
        </w:rPr>
        <w:t xml:space="preserve">Doctor of Political Science, </w:t>
      </w:r>
    </w:p>
    <w:p w:rsidR="0052701D" w:rsidRDefault="00D40929">
      <w:pPr>
        <w:spacing w:after="14" w:line="248" w:lineRule="auto"/>
        <w:ind w:left="713" w:right="84" w:hanging="5"/>
        <w:jc w:val="center"/>
      </w:pPr>
      <w:r>
        <w:rPr>
          <w:rFonts w:ascii="Times New Roman" w:eastAsia="Times New Roman" w:hAnsi="Times New Roman" w:cs="Times New Roman"/>
          <w:sz w:val="24"/>
        </w:rPr>
        <w:t>Professor of the Department of</w:t>
      </w:r>
      <w:r>
        <w:rPr>
          <w:rFonts w:ascii="Times New Roman" w:eastAsia="Times New Roman" w:hAnsi="Times New Roman" w:cs="Times New Roman"/>
          <w:sz w:val="24"/>
        </w:rPr>
        <w:t xml:space="preserve"> Social Sciences, </w:t>
      </w:r>
    </w:p>
    <w:p w:rsidR="0052701D" w:rsidRDefault="00D40929">
      <w:pPr>
        <w:spacing w:after="5"/>
        <w:ind w:left="10" w:right="138" w:hanging="10"/>
        <w:jc w:val="right"/>
      </w:pPr>
      <w:r>
        <w:rPr>
          <w:rFonts w:ascii="Times New Roman" w:eastAsia="Times New Roman" w:hAnsi="Times New Roman" w:cs="Times New Roman"/>
          <w:sz w:val="24"/>
        </w:rPr>
        <w:t xml:space="preserve">«Almaty University of Energy and Communications named after G. Daukeev», Kazakhstan </w:t>
      </w:r>
    </w:p>
    <w:p w:rsidR="0052701D" w:rsidRDefault="00D40929">
      <w:pPr>
        <w:spacing w:after="0"/>
        <w:ind w:left="711"/>
      </w:pPr>
      <w:r>
        <w:rPr>
          <w:rFonts w:ascii="Times New Roman" w:eastAsia="Times New Roman" w:hAnsi="Times New Roman" w:cs="Times New Roman"/>
          <w:sz w:val="24"/>
        </w:rPr>
        <w:t xml:space="preserve"> </w:t>
      </w:r>
    </w:p>
    <w:p w:rsidR="0052701D" w:rsidRDefault="00D40929">
      <w:pPr>
        <w:spacing w:after="0" w:line="248" w:lineRule="auto"/>
        <w:ind w:left="9" w:firstLine="711"/>
        <w:jc w:val="both"/>
      </w:pPr>
      <w:r>
        <w:rPr>
          <w:rFonts w:ascii="Times New Roman" w:eastAsia="Times New Roman" w:hAnsi="Times New Roman" w:cs="Times New Roman"/>
          <w:b/>
          <w:i/>
          <w:sz w:val="24"/>
        </w:rPr>
        <w:t>Abstract</w:t>
      </w:r>
      <w:r>
        <w:rPr>
          <w:rFonts w:ascii="Times New Roman" w:eastAsia="Times New Roman" w:hAnsi="Times New Roman" w:cs="Times New Roman"/>
          <w:i/>
          <w:sz w:val="24"/>
        </w:rPr>
        <w:t>. This work reveals the problem of political repressions of the 20-50s of the XX century. During the years of Soviet power, millions of people</w:t>
      </w:r>
      <w:r>
        <w:rPr>
          <w:rFonts w:ascii="Times New Roman" w:eastAsia="Times New Roman" w:hAnsi="Times New Roman" w:cs="Times New Roman"/>
          <w:i/>
          <w:sz w:val="24"/>
        </w:rPr>
        <w:t xml:space="preserve"> became victims of the arbitrariness of the totalitarian state, were subjected to repressions for political and religious beliefs, on social, national and other grounds. One of the tragic pages in the history of Kazakhstan is the deportation (forced resett</w:t>
      </w:r>
      <w:r>
        <w:rPr>
          <w:rFonts w:ascii="Times New Roman" w:eastAsia="Times New Roman" w:hAnsi="Times New Roman" w:cs="Times New Roman"/>
          <w:i/>
          <w:sz w:val="24"/>
        </w:rPr>
        <w:t xml:space="preserve">lement of peoples) to its territory of peoples from almost all regions of the former Soviet Union. </w:t>
      </w:r>
    </w:p>
    <w:p w:rsidR="0052701D" w:rsidRDefault="00D40929">
      <w:pPr>
        <w:spacing w:after="84" w:line="248" w:lineRule="auto"/>
        <w:ind w:left="9" w:firstLine="711"/>
        <w:jc w:val="both"/>
      </w:pPr>
      <w:r>
        <w:rPr>
          <w:rFonts w:ascii="Times New Roman" w:eastAsia="Times New Roman" w:hAnsi="Times New Roman" w:cs="Times New Roman"/>
          <w:b/>
          <w:i/>
          <w:sz w:val="24"/>
        </w:rPr>
        <w:t>Keywords:</w:t>
      </w:r>
      <w:r>
        <w:rPr>
          <w:rFonts w:ascii="Times New Roman" w:eastAsia="Times New Roman" w:hAnsi="Times New Roman" w:cs="Times New Roman"/>
          <w:i/>
          <w:sz w:val="24"/>
        </w:rPr>
        <w:t xml:space="preserve"> political repressions, deportation, totalitarianism, rehabilitation, victims of repressions, human destiny, memory. </w:t>
      </w:r>
    </w:p>
    <w:p w:rsidR="0052701D" w:rsidRDefault="00D40929">
      <w:pPr>
        <w:spacing w:after="101"/>
        <w:ind w:left="711"/>
      </w:pPr>
      <w:r>
        <w:rPr>
          <w:rFonts w:ascii="Times New Roman" w:eastAsia="Times New Roman" w:hAnsi="Times New Roman" w:cs="Times New Roman"/>
          <w:i/>
          <w:sz w:val="20"/>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По словам Президента РК Кас</w:t>
      </w:r>
      <w:r>
        <w:rPr>
          <w:rFonts w:ascii="Times New Roman" w:eastAsia="Times New Roman" w:hAnsi="Times New Roman" w:cs="Times New Roman"/>
          <w:sz w:val="28"/>
        </w:rPr>
        <w:t>ым-Жомарта Токаева, «политические репрессии 20-50-х годов XX века – печальная страница в истории нашего народа. За годы Советской власти миллионы людей стали жертвами произвола тоталитарного государства, подверглись репрессиям за политические и религиозные</w:t>
      </w:r>
      <w:r>
        <w:rPr>
          <w:rFonts w:ascii="Times New Roman" w:eastAsia="Times New Roman" w:hAnsi="Times New Roman" w:cs="Times New Roman"/>
          <w:sz w:val="28"/>
        </w:rPr>
        <w:t xml:space="preserve"> убеждения, по социальным, национальным и иным признакам. Одной из трагических страниц истории Казахстана является депортация (насильственное переселение народов) на его территорию народов практически из всех регионов бывшего Советского Союза.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В годы </w:t>
      </w:r>
      <w:r>
        <w:rPr>
          <w:rFonts w:ascii="Times New Roman" w:eastAsia="Times New Roman" w:hAnsi="Times New Roman" w:cs="Times New Roman"/>
          <w:sz w:val="28"/>
        </w:rPr>
        <w:t>репрессий наша республика стала местом депортации для миллионов советских граждан. На ее территории находился один из самых крупных и страшных лагерей ГУЛАГа – Карагандинский исправительнотрудовой лагерь, более известный как Карлаг. Не менее печально извес</w:t>
      </w:r>
      <w:r>
        <w:rPr>
          <w:rFonts w:ascii="Times New Roman" w:eastAsia="Times New Roman" w:hAnsi="Times New Roman" w:cs="Times New Roman"/>
          <w:sz w:val="28"/>
        </w:rPr>
        <w:t xml:space="preserve">тен и Акмолинский лагерь жён изменников Родины (АЛЖИР). Через него прошло около 20 тысяч осужденных. Еще одним страшным местом стал так </w:t>
      </w:r>
      <w:r>
        <w:rPr>
          <w:rFonts w:ascii="Times New Roman" w:eastAsia="Times New Roman" w:hAnsi="Times New Roman" w:cs="Times New Roman"/>
          <w:sz w:val="28"/>
        </w:rPr>
        <w:lastRenderedPageBreak/>
        <w:t>называемый Степлаг, управление которого располагалось в поселке Кенгир (сейчас он включен в черту г. Жезказган) Караганд</w:t>
      </w:r>
      <w:r>
        <w:rPr>
          <w:rFonts w:ascii="Times New Roman" w:eastAsia="Times New Roman" w:hAnsi="Times New Roman" w:cs="Times New Roman"/>
          <w:sz w:val="28"/>
        </w:rPr>
        <w:t xml:space="preserve">инской области. В нем постоянно находилось несколько тысяч заключенных, пик численности пришелся на 1950 год, когда число содержащихся в лагере приблизилось к 30 тыс. человек. В начале 1930-х годов Казахстан пережил одну из самых трагичных страниц в своей </w:t>
      </w:r>
      <w:r>
        <w:rPr>
          <w:rFonts w:ascii="Times New Roman" w:eastAsia="Times New Roman" w:hAnsi="Times New Roman" w:cs="Times New Roman"/>
          <w:sz w:val="28"/>
        </w:rPr>
        <w:t>истории – Великий голод. От него и связанных с ним эпидемий, а также постоянно высокого уровня смертности казахи потеряли 2 миллиона 400 тысяч человек – это 49% общей численности народа в те годы. Спасаясь от бедствия, за пределы республики откочевал 1,3 м</w:t>
      </w:r>
      <w:r>
        <w:rPr>
          <w:rFonts w:ascii="Times New Roman" w:eastAsia="Times New Roman" w:hAnsi="Times New Roman" w:cs="Times New Roman"/>
          <w:sz w:val="28"/>
        </w:rPr>
        <w:t xml:space="preserve">лн. человек, 670 тысяч из них безвозвратно.  </w:t>
      </w:r>
    </w:p>
    <w:p w:rsidR="0052701D" w:rsidRDefault="00D40929">
      <w:pPr>
        <w:spacing w:after="5" w:line="271" w:lineRule="auto"/>
        <w:ind w:left="9" w:right="64" w:firstLine="711"/>
        <w:jc w:val="both"/>
      </w:pPr>
      <w:r>
        <w:rPr>
          <w:rFonts w:ascii="Times New Roman" w:eastAsia="Times New Roman" w:hAnsi="Times New Roman" w:cs="Times New Roman"/>
          <w:sz w:val="28"/>
        </w:rPr>
        <w:t>24 ноября 2020 Глава государства Касым-Жомарт Токаев подписал Указ «О Государственной комиссии по полной реабилитации жертв политических репрессий». Созданы специальные рабочие группы для проработки направлений</w:t>
      </w:r>
      <w:r>
        <w:rPr>
          <w:rFonts w:ascii="Times New Roman" w:eastAsia="Times New Roman" w:hAnsi="Times New Roman" w:cs="Times New Roman"/>
          <w:sz w:val="28"/>
        </w:rPr>
        <w:t xml:space="preserve"> реабилитации различных групп репрессированных. Организационный этап госкомиссии завершен и начата активная научно-исследовательская работа ученых и экспертов в различных архивах страны.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Для обеспечения деятельности Госкомиссии создан Проектный офис, в </w:t>
      </w:r>
      <w:r>
        <w:rPr>
          <w:rFonts w:ascii="Times New Roman" w:eastAsia="Times New Roman" w:hAnsi="Times New Roman" w:cs="Times New Roman"/>
          <w:sz w:val="28"/>
        </w:rPr>
        <w:t xml:space="preserve">состав которого вошли ученые, исследователи и представители госорганов.  </w:t>
      </w:r>
    </w:p>
    <w:p w:rsidR="0052701D" w:rsidRDefault="00D40929">
      <w:pPr>
        <w:spacing w:after="5" w:line="271" w:lineRule="auto"/>
        <w:ind w:left="9" w:right="64" w:firstLine="711"/>
        <w:jc w:val="both"/>
      </w:pPr>
      <w:r>
        <w:rPr>
          <w:rFonts w:ascii="Times New Roman" w:eastAsia="Times New Roman" w:hAnsi="Times New Roman" w:cs="Times New Roman"/>
          <w:sz w:val="28"/>
        </w:rPr>
        <w:t>В целях обеспечения деятельности Государственной комиссии разработана специальная научная программа «Процесс массовых политических репрессий и реабилитации в Казахстане в 20-50-е год</w:t>
      </w:r>
      <w:r>
        <w:rPr>
          <w:rFonts w:ascii="Times New Roman" w:eastAsia="Times New Roman" w:hAnsi="Times New Roman" w:cs="Times New Roman"/>
          <w:sz w:val="28"/>
        </w:rPr>
        <w:t>ы ХХ века: формирование единой базы данных». Выявление и реабилитация невинно осужденных жертв политических репрессий в рамках 30-летия Независимости РК - большая задача, стоящая сегодня перед нашей страной, нашим народом, обществом. После проведения всест</w:t>
      </w:r>
      <w:r>
        <w:rPr>
          <w:rFonts w:ascii="Times New Roman" w:eastAsia="Times New Roman" w:hAnsi="Times New Roman" w:cs="Times New Roman"/>
          <w:sz w:val="28"/>
        </w:rPr>
        <w:t>ороннего и комплексного изучения материалов на основе международных подходов и стандартов планируется осуществить полную юридическую, а в отношении отдельных категорий – политическую реабилитацию жертв репрессий. По словам Главы государства, "память о коло</w:t>
      </w:r>
      <w:r>
        <w:rPr>
          <w:rFonts w:ascii="Times New Roman" w:eastAsia="Times New Roman" w:hAnsi="Times New Roman" w:cs="Times New Roman"/>
          <w:sz w:val="28"/>
        </w:rPr>
        <w:t>ссальных человеческих жертвах и жестоком драматизме тех лет оставила трагический след в сердце каждого казахстанца. Для многих народов, пострадавших от тоталитаризма, казахская земля стала настоящим домом. Мужество и терпение наших предков позволили достой</w:t>
      </w:r>
      <w:r>
        <w:rPr>
          <w:rFonts w:ascii="Times New Roman" w:eastAsia="Times New Roman" w:hAnsi="Times New Roman" w:cs="Times New Roman"/>
          <w:sz w:val="28"/>
        </w:rPr>
        <w:t xml:space="preserve">но пройти тяжелейшие испытания и сплотиться в единую нацию". </w:t>
      </w:r>
    </w:p>
    <w:p w:rsidR="0052701D" w:rsidRDefault="00D40929">
      <w:pPr>
        <w:spacing w:after="5" w:line="271" w:lineRule="auto"/>
        <w:ind w:left="9" w:right="64" w:firstLine="711"/>
        <w:jc w:val="both"/>
      </w:pPr>
      <w:r>
        <w:rPr>
          <w:rFonts w:ascii="Times New Roman" w:eastAsia="Times New Roman" w:hAnsi="Times New Roman" w:cs="Times New Roman"/>
          <w:sz w:val="28"/>
        </w:rPr>
        <w:t>Для организации системной работы Госкомиссии во всех регионах страны созданы и функционируют региональные комиссии по реабилитации жертв политических репрессий. Региональные комиссии начали скру</w:t>
      </w:r>
      <w:r>
        <w:rPr>
          <w:rFonts w:ascii="Times New Roman" w:eastAsia="Times New Roman" w:hAnsi="Times New Roman" w:cs="Times New Roman"/>
          <w:sz w:val="28"/>
        </w:rPr>
        <w:t xml:space="preserve">пулезную работу в архивах по восстановлению исторической справедливости. Их возглавляют </w:t>
      </w:r>
      <w:r>
        <w:rPr>
          <w:rFonts w:ascii="Times New Roman" w:eastAsia="Times New Roman" w:hAnsi="Times New Roman" w:cs="Times New Roman"/>
          <w:sz w:val="28"/>
        </w:rPr>
        <w:lastRenderedPageBreak/>
        <w:t>заместители акимов регионов, в составе находятся ученые, видные общественные деятели и представители государственных органов и организаций. В научно-исследовательской р</w:t>
      </w:r>
      <w:r>
        <w:rPr>
          <w:rFonts w:ascii="Times New Roman" w:eastAsia="Times New Roman" w:hAnsi="Times New Roman" w:cs="Times New Roman"/>
          <w:sz w:val="28"/>
        </w:rPr>
        <w:t>аботе городской комиссии по вопросам реабилитации жертв политических репрессий при акимате города Алматы участвуют преподаватели Алматинского университета энергетики и связи имени Гумарбека Даукеева. Научно-исследовательскую деятельность в архивах города А</w:t>
      </w:r>
      <w:r>
        <w:rPr>
          <w:rFonts w:ascii="Times New Roman" w:eastAsia="Times New Roman" w:hAnsi="Times New Roman" w:cs="Times New Roman"/>
          <w:sz w:val="28"/>
        </w:rPr>
        <w:t>лматы осуществляет рабочая группа по изучению, подготовке заключения и рекомендаций по реабилитации категории – спецпоселенцы под руководством доктора исторических наук, профессора кафедры международных отношений мировой экономики КазНУ им. Аль-Фараби, дир</w:t>
      </w:r>
      <w:r>
        <w:rPr>
          <w:rFonts w:ascii="Times New Roman" w:eastAsia="Times New Roman" w:hAnsi="Times New Roman" w:cs="Times New Roman"/>
          <w:sz w:val="28"/>
        </w:rPr>
        <w:t xml:space="preserve">ектора Центра германских исследований    Губайдуллиной М.Ш. В составе рабочей группы известные казахстанские ученые и специалисты: Ким Герман Николаевич – директор Института азиатских исследований, доктор исторических наук, профессор КазНУ им. Аль-Фараби; </w:t>
      </w:r>
      <w:r>
        <w:rPr>
          <w:rFonts w:ascii="Times New Roman" w:eastAsia="Times New Roman" w:hAnsi="Times New Roman" w:cs="Times New Roman"/>
          <w:sz w:val="28"/>
        </w:rPr>
        <w:t>Калыбекова Манара Шелтеновна – заведующая отделом внешних связей Института истории и этнологии им. Ч. Валиханова, ведущий научный сотрудник, кандидат исторических наук; Мухамбедьярова Алтынай Тулеуовна – доктор политических наук, профессор кафедры социальн</w:t>
      </w:r>
      <w:r>
        <w:rPr>
          <w:rFonts w:ascii="Times New Roman" w:eastAsia="Times New Roman" w:hAnsi="Times New Roman" w:cs="Times New Roman"/>
          <w:sz w:val="28"/>
        </w:rPr>
        <w:t xml:space="preserve">ых дисциплин Алматинского университета энергетики и связи имени Гумарбека Даукеева; Подопригора Юлия Ивановна – кандидат исторических наук, член научно-экспертного совета Общественного фонда «Казахстанское объединение немцев «Возрождение»; Болатхан Алия – </w:t>
      </w:r>
      <w:r>
        <w:rPr>
          <w:rFonts w:ascii="Times New Roman" w:eastAsia="Times New Roman" w:hAnsi="Times New Roman" w:cs="Times New Roman"/>
          <w:sz w:val="28"/>
        </w:rPr>
        <w:t xml:space="preserve">научный сотрудник Института истории и этнологии им. Ч. Валиханова.    </w:t>
      </w:r>
    </w:p>
    <w:p w:rsidR="0052701D" w:rsidRDefault="00D40929">
      <w:pPr>
        <w:spacing w:after="5" w:line="271" w:lineRule="auto"/>
        <w:ind w:left="9" w:right="64" w:firstLine="711"/>
        <w:jc w:val="both"/>
      </w:pPr>
      <w:r>
        <w:rPr>
          <w:rFonts w:ascii="Times New Roman" w:eastAsia="Times New Roman" w:hAnsi="Times New Roman" w:cs="Times New Roman"/>
          <w:sz w:val="28"/>
        </w:rPr>
        <w:t>Главная задача Государственной комиссии – восстановление исторической справедливости в отношении всех категорий жертв политических репрессий советского периода. После проведения всестор</w:t>
      </w:r>
      <w:r>
        <w:rPr>
          <w:rFonts w:ascii="Times New Roman" w:eastAsia="Times New Roman" w:hAnsi="Times New Roman" w:cs="Times New Roman"/>
          <w:sz w:val="28"/>
        </w:rPr>
        <w:t>оннего и комплексного изучения материалов на основе международных подходов и стандартов планируется осуществить полную юридическую, а в отношении отдельных категорий – политическую реабилитацию жертв репрессий. по итогам деятельности Государственной комисс</w:t>
      </w:r>
      <w:r>
        <w:rPr>
          <w:rFonts w:ascii="Times New Roman" w:eastAsia="Times New Roman" w:hAnsi="Times New Roman" w:cs="Times New Roman"/>
          <w:sz w:val="28"/>
        </w:rPr>
        <w:t>ии будет проведена работа по законодательному обеспечению вопросов полной реабилитации жертв политических репрессий. Миллионы безвинно осужденных и расстрелянных - такова статистика сталинских репрессий. Эти цифры поражают воображение, но всю глубину траге</w:t>
      </w:r>
      <w:r>
        <w:rPr>
          <w:rFonts w:ascii="Times New Roman" w:eastAsia="Times New Roman" w:hAnsi="Times New Roman" w:cs="Times New Roman"/>
          <w:sz w:val="28"/>
        </w:rPr>
        <w:t xml:space="preserve">дии постигаешь только тогда, когда соприкасаешься с судьбой отдельного человека, отдельной семьи, по которой прошелся каток репрессий.  </w:t>
      </w:r>
    </w:p>
    <w:p w:rsidR="0052701D" w:rsidRDefault="00D40929">
      <w:pPr>
        <w:spacing w:after="5" w:line="271" w:lineRule="auto"/>
        <w:ind w:left="9" w:right="64" w:firstLine="711"/>
        <w:jc w:val="both"/>
      </w:pPr>
      <w:r>
        <w:rPr>
          <w:rFonts w:ascii="Times New Roman" w:eastAsia="Times New Roman" w:hAnsi="Times New Roman" w:cs="Times New Roman"/>
          <w:sz w:val="28"/>
        </w:rPr>
        <w:t>Все эти страшные вещи тоталитарного режима были инициированы руководством Советского Союза. Мы, по сути, не можем отвеч</w:t>
      </w:r>
      <w:r>
        <w:rPr>
          <w:rFonts w:ascii="Times New Roman" w:eastAsia="Times New Roman" w:hAnsi="Times New Roman" w:cs="Times New Roman"/>
          <w:sz w:val="28"/>
        </w:rPr>
        <w:t>ать за то, что сделало то правительство. Но разобраться в этом чрезвычайно важно, поэтому Казахстан взял на себя миссию по обелению этих имён. 30 мая 2021 г. Президент Казахстана Касым-Жомарт Токаев поручил создать госкомиссию по реабилитации жертв политич</w:t>
      </w:r>
      <w:r>
        <w:rPr>
          <w:rFonts w:ascii="Times New Roman" w:eastAsia="Times New Roman" w:hAnsi="Times New Roman" w:cs="Times New Roman"/>
          <w:sz w:val="28"/>
        </w:rPr>
        <w:t xml:space="preserve">еских репрессий. Для организации системной </w:t>
      </w:r>
      <w:r>
        <w:rPr>
          <w:rFonts w:ascii="Times New Roman" w:eastAsia="Times New Roman" w:hAnsi="Times New Roman" w:cs="Times New Roman"/>
          <w:sz w:val="28"/>
        </w:rPr>
        <w:lastRenderedPageBreak/>
        <w:t>работы Госкомиссии во всех регионах страны созданы и функционируют региональные комиссии по реабилитации жертв политических репрессий. Научно-исследовательскую деятельность в архивах города Алматы осуществляет 2-я</w:t>
      </w:r>
      <w:r>
        <w:rPr>
          <w:rFonts w:ascii="Times New Roman" w:eastAsia="Times New Roman" w:hAnsi="Times New Roman" w:cs="Times New Roman"/>
          <w:sz w:val="28"/>
        </w:rPr>
        <w:t xml:space="preserve"> рабочая группа по изучению, подготовке заключения и рекомендаций по реабилитации категории – спецпоселенцы. Политику Казахстана по сохранению исторической памяти отметили исследователи разных стран, в том числе потомки репрессированных. Это говорит о том,</w:t>
      </w:r>
      <w:r>
        <w:rPr>
          <w:rFonts w:ascii="Times New Roman" w:eastAsia="Times New Roman" w:hAnsi="Times New Roman" w:cs="Times New Roman"/>
          <w:sz w:val="28"/>
        </w:rPr>
        <w:t xml:space="preserve"> что наша политика реально действует и находит новые механизмы и инструменты для открытия новых имён и новых фактов. Для детей и внуков репрессированных особенно важно знать историю своей семьи. Во-первых, чтобы восторжествовала правда. Во-вторых, семья до</w:t>
      </w:r>
      <w:r>
        <w:rPr>
          <w:rFonts w:ascii="Times New Roman" w:eastAsia="Times New Roman" w:hAnsi="Times New Roman" w:cs="Times New Roman"/>
          <w:sz w:val="28"/>
        </w:rPr>
        <w:t>лгое время жила с печатью "враг народа" и сегодня необходимо стереть это клеймо. Пик массовых политических репрессий в СССР пришелся на конец 1930-х, время правления Иосифа Сталина. Целые народы были депортированы, миллионы людей осуждены и сотни тысяч каз</w:t>
      </w:r>
      <w:r>
        <w:rPr>
          <w:rFonts w:ascii="Times New Roman" w:eastAsia="Times New Roman" w:hAnsi="Times New Roman" w:cs="Times New Roman"/>
          <w:sz w:val="28"/>
        </w:rPr>
        <w:t>нены по политическим мотивам — обвинениям в контрреволюционных преступлениях. По прошествии времени в стране не осталось самих жертв репрессий, но остались их потомки. Родственники репрессированных признаются, что вспоминать о трагических страницах семейно</w:t>
      </w:r>
      <w:r>
        <w:rPr>
          <w:rFonts w:ascii="Times New Roman" w:eastAsia="Times New Roman" w:hAnsi="Times New Roman" w:cs="Times New Roman"/>
          <w:sz w:val="28"/>
        </w:rPr>
        <w:t xml:space="preserve">й истории им очень тяжело, но они понимают, как это важно для сохранения памяти о близких. </w:t>
      </w:r>
    </w:p>
    <w:p w:rsidR="0052701D" w:rsidRDefault="00D40929">
      <w:pPr>
        <w:spacing w:after="5" w:line="271" w:lineRule="auto"/>
        <w:ind w:left="9" w:right="64" w:firstLine="711"/>
        <w:jc w:val="both"/>
      </w:pPr>
      <w:r>
        <w:rPr>
          <w:rFonts w:ascii="Times New Roman" w:eastAsia="Times New Roman" w:hAnsi="Times New Roman" w:cs="Times New Roman"/>
          <w:sz w:val="28"/>
        </w:rPr>
        <w:t>Очень хотелось бы чтобы в нашей стране перестали считать людей цифрами, потоками, эшелонами. Что происходило с семьями после того, когда терялись родители? Нашему с</w:t>
      </w:r>
      <w:r>
        <w:rPr>
          <w:rFonts w:ascii="Times New Roman" w:eastAsia="Times New Roman" w:hAnsi="Times New Roman" w:cs="Times New Roman"/>
          <w:sz w:val="28"/>
        </w:rPr>
        <w:t>обеседнику Константину Самсоновичу Иванову было на тот момент три года, когда его отца арестовали.  Мой отец Триандофиллиди Самсон Анастасьевич был выпускником Ростовского института инженеров железнодорожного транспорта, когда в 1938 году на него был напис</w:t>
      </w:r>
      <w:r>
        <w:rPr>
          <w:rFonts w:ascii="Times New Roman" w:eastAsia="Times New Roman" w:hAnsi="Times New Roman" w:cs="Times New Roman"/>
          <w:sz w:val="28"/>
        </w:rPr>
        <w:t xml:space="preserve">ан донос о том, что он якобы продал чертежи ростовского железнодорожного моста германской разведке, – вспоминает Константин Самсонович.  За это он был осужден по статье №58 (Измена Родине) на 10 лет. Место заключения город Воркута. Моя мать с тремя детьми </w:t>
      </w:r>
      <w:r>
        <w:rPr>
          <w:rFonts w:ascii="Times New Roman" w:eastAsia="Times New Roman" w:hAnsi="Times New Roman" w:cs="Times New Roman"/>
          <w:sz w:val="28"/>
        </w:rPr>
        <w:t>вынуждена была переехать к моей бабушке и дедушке в город Орджоникидзе (Владикавказ). Наступили тяжелые времена, началась Великая отечественная война. Семья оказалась без средств к существованию. Я учился в школе, затем в железнодорожном техникуме. В связи</w:t>
      </w:r>
      <w:r>
        <w:rPr>
          <w:rFonts w:ascii="Times New Roman" w:eastAsia="Times New Roman" w:hAnsi="Times New Roman" w:cs="Times New Roman"/>
          <w:sz w:val="28"/>
        </w:rPr>
        <w:t xml:space="preserve"> со сложившимися обстоятельствами пришлось изменить имя и фамилию. В 1948 году после окончания тюремного срока отец был отправлен на поселение в Казахстан, Рузаевский район, поселок Рузаевка. Моя мать с тремя детьми без материальных средств не смогла перее</w:t>
      </w:r>
      <w:r>
        <w:rPr>
          <w:rFonts w:ascii="Times New Roman" w:eastAsia="Times New Roman" w:hAnsi="Times New Roman" w:cs="Times New Roman"/>
          <w:sz w:val="28"/>
        </w:rPr>
        <w:t xml:space="preserve">хать к отцу. Мы остались разлученными. В 1953 году я получил от </w:t>
      </w:r>
      <w:r>
        <w:rPr>
          <w:rFonts w:ascii="Times New Roman" w:eastAsia="Times New Roman" w:hAnsi="Times New Roman" w:cs="Times New Roman"/>
          <w:sz w:val="28"/>
        </w:rPr>
        <w:lastRenderedPageBreak/>
        <w:t>родственников отца копию свидетельства о его реабилитации без печати и подписи. В 1963 году я обратился с запросом о моем отце в Военный трибунал Северо-Кавказского военного округа и получил о</w:t>
      </w:r>
      <w:r>
        <w:rPr>
          <w:rFonts w:ascii="Times New Roman" w:eastAsia="Times New Roman" w:hAnsi="Times New Roman" w:cs="Times New Roman"/>
          <w:sz w:val="28"/>
        </w:rPr>
        <w:t>т них официальную справку о полной реабилитации моего отца с печатью и подписью. Наша семья осталась разлученной…  В 1965 году пришло сообщение о смерти отца. И только полная реабилитация отца принесла мне моральное успокоение, дала возможность почувствова</w:t>
      </w:r>
      <w:r>
        <w:rPr>
          <w:rFonts w:ascii="Times New Roman" w:eastAsia="Times New Roman" w:hAnsi="Times New Roman" w:cs="Times New Roman"/>
          <w:sz w:val="28"/>
        </w:rPr>
        <w:t xml:space="preserve">ть себя полноценным человеком. Но перенесенные жизненные потери и утраты оставили неизгладимый след в душе...  </w:t>
      </w:r>
    </w:p>
    <w:p w:rsidR="0052701D" w:rsidRDefault="00D40929">
      <w:pPr>
        <w:spacing w:after="5" w:line="271" w:lineRule="auto"/>
        <w:ind w:left="9" w:right="64" w:firstLine="711"/>
        <w:jc w:val="both"/>
      </w:pPr>
      <w:r>
        <w:rPr>
          <w:rFonts w:ascii="Times New Roman" w:eastAsia="Times New Roman" w:hAnsi="Times New Roman" w:cs="Times New Roman"/>
          <w:sz w:val="28"/>
        </w:rPr>
        <w:t>Самое главное, что память является вещью, которую невозможно ничем победить. Во всех биографиях семьи репрессированных победили: они смогли даль</w:t>
      </w:r>
      <w:r>
        <w:rPr>
          <w:rFonts w:ascii="Times New Roman" w:eastAsia="Times New Roman" w:hAnsi="Times New Roman" w:cs="Times New Roman"/>
          <w:sz w:val="28"/>
        </w:rPr>
        <w:t xml:space="preserve">ше жить и развиваться. Из числа таких и герой нашего рассказа Константин Самсонович Иванов - доктор технических наук, профессор, член-корреспондент </w:t>
      </w:r>
    </w:p>
    <w:p w:rsidR="0052701D" w:rsidRDefault="00D40929">
      <w:pPr>
        <w:spacing w:after="5" w:line="271" w:lineRule="auto"/>
        <w:ind w:left="9" w:right="64"/>
        <w:jc w:val="both"/>
      </w:pPr>
      <w:r>
        <w:rPr>
          <w:rFonts w:ascii="Times New Roman" w:eastAsia="Times New Roman" w:hAnsi="Times New Roman" w:cs="Times New Roman"/>
          <w:sz w:val="28"/>
        </w:rPr>
        <w:t xml:space="preserve">НИА РК, заведующий кафедрой «Инженерной графики и прикладной механики» </w:t>
      </w:r>
    </w:p>
    <w:p w:rsidR="0052701D" w:rsidRDefault="00D40929">
      <w:pPr>
        <w:spacing w:after="5" w:line="271" w:lineRule="auto"/>
        <w:ind w:left="9" w:right="64"/>
        <w:jc w:val="both"/>
      </w:pPr>
      <w:r>
        <w:rPr>
          <w:rFonts w:ascii="Times New Roman" w:eastAsia="Times New Roman" w:hAnsi="Times New Roman" w:cs="Times New Roman"/>
          <w:sz w:val="28"/>
        </w:rPr>
        <w:t>АУЭС имени Гумарбека Даукеева (2010</w:t>
      </w:r>
      <w:r>
        <w:rPr>
          <w:rFonts w:ascii="Times New Roman" w:eastAsia="Times New Roman" w:hAnsi="Times New Roman" w:cs="Times New Roman"/>
          <w:sz w:val="28"/>
        </w:rPr>
        <w:t>–2015 годы), заведующий лабораторией «Адаптивные механизмы», ИММАШ им. У. А. Джолдасбекова. Автор более 576 научных трудов, из них 110 изобретений и патентов, включая патенты Казахстана, России и Германии. Обладатель государственных, правительственных и др</w:t>
      </w:r>
      <w:r>
        <w:rPr>
          <w:rFonts w:ascii="Times New Roman" w:eastAsia="Times New Roman" w:hAnsi="Times New Roman" w:cs="Times New Roman"/>
          <w:sz w:val="28"/>
        </w:rPr>
        <w:t xml:space="preserve">угих наград: обладатель звания «Изобретатель СССР», награжден орденом «Кенші Даңқы» 2-степени,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«Золотой медалью» им. академика Жаутыкова. Участвует во многих научно-исследовательских проектах.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Участник Программы фундаментальных исследований: «Актуальные </w:t>
      </w:r>
      <w:r>
        <w:rPr>
          <w:rFonts w:ascii="Times New Roman" w:eastAsia="Times New Roman" w:hAnsi="Times New Roman" w:cs="Times New Roman"/>
          <w:sz w:val="28"/>
        </w:rPr>
        <w:t xml:space="preserve">проблемы физики, математики, механики и информатики» (2011–2014).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Руководитель научного проекта: «Кинематический и динамический синтез сложных дифференциальных механизмов».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Несмотря на драматические события в ранней биографии люди поколения, к которому </w:t>
      </w:r>
      <w:r>
        <w:rPr>
          <w:rFonts w:ascii="Times New Roman" w:eastAsia="Times New Roman" w:hAnsi="Times New Roman" w:cs="Times New Roman"/>
          <w:sz w:val="28"/>
        </w:rPr>
        <w:t>принадлежит наш уважаемый Константин Самсонович, смогли все преодолеть и добиться в жизни устойчивого положения. Как не уважать таких людей! А если бы жизнь их семьи проходила нормально? Каких бы успехов смогли достичь они… Видимо, есть что-то в генах этих</w:t>
      </w:r>
      <w:r>
        <w:rPr>
          <w:rFonts w:ascii="Times New Roman" w:eastAsia="Times New Roman" w:hAnsi="Times New Roman" w:cs="Times New Roman"/>
          <w:sz w:val="28"/>
        </w:rPr>
        <w:t xml:space="preserve"> людей, какая-то сила духа, стойкость. Эти люди сделали сами себя! Хочется отдать должную дань этим людям, в числе которых профессор Константин Самсонович, совершившим житейский и трудовой подвиг! Почти половина из них составляет техническая и гуманитарная</w:t>
      </w:r>
      <w:r>
        <w:rPr>
          <w:rFonts w:ascii="Times New Roman" w:eastAsia="Times New Roman" w:hAnsi="Times New Roman" w:cs="Times New Roman"/>
          <w:sz w:val="28"/>
        </w:rPr>
        <w:t xml:space="preserve"> интеллигенция в Казахстане. Зачем нужно спустя столько десятилетий хранить память о репрессиях? Почему мы сохраняем память о репрессиях и людях, которые стали их жертвами, почему мы должны не забывать сами и постоянно напоминать другим, хоть это неприятна</w:t>
      </w:r>
      <w:r>
        <w:rPr>
          <w:rFonts w:ascii="Times New Roman" w:eastAsia="Times New Roman" w:hAnsi="Times New Roman" w:cs="Times New Roman"/>
          <w:sz w:val="28"/>
        </w:rPr>
        <w:t xml:space="preserve">я память. В первую очередь необходимо помнить и о репрессиях как таковых, но прежде всего — о репрессированных, следует отдать им долг памяти. Вспоминая о безвинно осужденных, мы восстанавливаем их доброе имя. Нужно помнить, чтобы </w:t>
      </w:r>
      <w:r>
        <w:rPr>
          <w:rFonts w:ascii="Times New Roman" w:eastAsia="Times New Roman" w:hAnsi="Times New Roman" w:cs="Times New Roman"/>
          <w:sz w:val="28"/>
        </w:rPr>
        <w:lastRenderedPageBreak/>
        <w:t>извлечь уроки на будущее,</w:t>
      </w:r>
      <w:r>
        <w:rPr>
          <w:rFonts w:ascii="Times New Roman" w:eastAsia="Times New Roman" w:hAnsi="Times New Roman" w:cs="Times New Roman"/>
          <w:sz w:val="28"/>
        </w:rPr>
        <w:t xml:space="preserve"> чтобы такое не повторилось. Нужно помнить, что такое было, насколько это было ужасно, какие катастрофические последствия имело для общества и всей страны. Уроки истории только тогда имеют ценность, когда они осмыслены и осознаны современным поколением каз</w:t>
      </w:r>
      <w:r>
        <w:rPr>
          <w:rFonts w:ascii="Times New Roman" w:eastAsia="Times New Roman" w:hAnsi="Times New Roman" w:cs="Times New Roman"/>
          <w:sz w:val="28"/>
        </w:rPr>
        <w:t xml:space="preserve">ахстанцев. </w:t>
      </w:r>
    </w:p>
    <w:p w:rsidR="0052701D" w:rsidRDefault="00D40929">
      <w:pPr>
        <w:spacing w:after="26"/>
        <w:ind w:left="711"/>
      </w:pPr>
      <w:r>
        <w:rPr>
          <w:rFonts w:ascii="Times New Roman" w:eastAsia="Times New Roman" w:hAnsi="Times New Roman" w:cs="Times New Roman"/>
          <w:sz w:val="28"/>
        </w:rPr>
        <w:t xml:space="preserve"> </w:t>
      </w:r>
    </w:p>
    <w:p w:rsidR="0052701D" w:rsidRDefault="00D40929">
      <w:pPr>
        <w:spacing w:after="74"/>
      </w:pPr>
      <w:r>
        <w:rPr>
          <w:rFonts w:ascii="Times New Roman" w:eastAsia="Times New Roman" w:hAnsi="Times New Roman" w:cs="Times New Roman"/>
          <w:sz w:val="24"/>
        </w:rPr>
        <w:t xml:space="preserve"> </w:t>
      </w:r>
    </w:p>
    <w:p w:rsidR="0052701D" w:rsidRDefault="00D40929">
      <w:pPr>
        <w:spacing w:after="71" w:line="248" w:lineRule="auto"/>
        <w:ind w:left="9" w:right="14"/>
        <w:jc w:val="both"/>
      </w:pPr>
      <w:r>
        <w:rPr>
          <w:rFonts w:ascii="Times New Roman" w:eastAsia="Times New Roman" w:hAnsi="Times New Roman" w:cs="Times New Roman"/>
          <w:sz w:val="24"/>
        </w:rPr>
        <w:t xml:space="preserve">УДК 338.43.02 </w:t>
      </w:r>
    </w:p>
    <w:p w:rsidR="0052701D" w:rsidRDefault="00D40929">
      <w:pPr>
        <w:spacing w:after="114"/>
      </w:pPr>
      <w:r>
        <w:rPr>
          <w:rFonts w:ascii="Times New Roman" w:eastAsia="Times New Roman" w:hAnsi="Times New Roman" w:cs="Times New Roman"/>
          <w:sz w:val="24"/>
        </w:rPr>
        <w:t xml:space="preserve"> </w:t>
      </w:r>
    </w:p>
    <w:p w:rsidR="0052701D" w:rsidRDefault="00D40929">
      <w:pPr>
        <w:pStyle w:val="1"/>
        <w:spacing w:after="71" w:line="248" w:lineRule="auto"/>
        <w:ind w:right="79"/>
      </w:pPr>
      <w:r>
        <w:rPr>
          <w:sz w:val="24"/>
        </w:rPr>
        <w:t xml:space="preserve">ЭКОЛОГИЧЕСКАЯ СОСТАВЛЯЮЩАЯ КАЧЕСТВА ЖИЗНИ НАСЕЛЕНИЯ </w:t>
      </w:r>
    </w:p>
    <w:p w:rsidR="0052701D" w:rsidRDefault="00D40929">
      <w:pPr>
        <w:spacing w:after="65"/>
        <w:ind w:right="14"/>
        <w:jc w:val="center"/>
      </w:pPr>
      <w:r>
        <w:rPr>
          <w:rFonts w:ascii="Times New Roman" w:eastAsia="Times New Roman" w:hAnsi="Times New Roman" w:cs="Times New Roman"/>
          <w:b/>
          <w:sz w:val="24"/>
        </w:rPr>
        <w:t xml:space="preserve"> </w:t>
      </w:r>
    </w:p>
    <w:p w:rsidR="0052701D" w:rsidRDefault="00D40929">
      <w:pPr>
        <w:spacing w:after="157" w:line="248" w:lineRule="auto"/>
        <w:ind w:left="713" w:right="780" w:hanging="5"/>
        <w:jc w:val="center"/>
      </w:pPr>
      <w:r>
        <w:rPr>
          <w:rFonts w:ascii="Times New Roman" w:eastAsia="Times New Roman" w:hAnsi="Times New Roman" w:cs="Times New Roman"/>
          <w:sz w:val="24"/>
        </w:rPr>
        <w:t>Рочева О.А.</w:t>
      </w:r>
      <w:r>
        <w:rPr>
          <w:rFonts w:ascii="Times New Roman" w:eastAsia="Times New Roman" w:hAnsi="Times New Roman" w:cs="Times New Roman"/>
          <w:sz w:val="24"/>
          <w:vertAlign w:val="superscript"/>
        </w:rPr>
        <w:t>1</w:t>
      </w:r>
      <w:r>
        <w:rPr>
          <w:rFonts w:ascii="Times New Roman" w:eastAsia="Times New Roman" w:hAnsi="Times New Roman" w:cs="Times New Roman"/>
          <w:sz w:val="24"/>
        </w:rPr>
        <w:t>, Зарипова Р.С.</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Рочева Я.О.</w:t>
      </w:r>
      <w:r>
        <w:rPr>
          <w:rFonts w:ascii="Times New Roman" w:eastAsia="Times New Roman" w:hAnsi="Times New Roman" w:cs="Times New Roman"/>
          <w:sz w:val="24"/>
          <w:vertAlign w:val="superscript"/>
        </w:rPr>
        <w:t xml:space="preserve">2 </w:t>
      </w:r>
    </w:p>
    <w:p w:rsidR="0052701D" w:rsidRDefault="00D40929">
      <w:pPr>
        <w:spacing w:after="14" w:line="346" w:lineRule="auto"/>
        <w:ind w:left="1592" w:right="1601" w:hanging="5"/>
        <w:jc w:val="center"/>
      </w:pPr>
      <w:r>
        <w:rPr>
          <w:rFonts w:ascii="Times New Roman" w:eastAsia="Times New Roman" w:hAnsi="Times New Roman" w:cs="Times New Roman"/>
          <w:sz w:val="24"/>
          <w:vertAlign w:val="superscript"/>
        </w:rPr>
        <w:t>1</w:t>
      </w:r>
      <w:r>
        <w:rPr>
          <w:rFonts w:ascii="Times New Roman" w:eastAsia="Times New Roman" w:hAnsi="Times New Roman" w:cs="Times New Roman"/>
          <w:sz w:val="24"/>
        </w:rPr>
        <w:t xml:space="preserve">КИУ им. В.Г. Тимирясова, </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xml:space="preserve">КГЭУ, г. Казань, zarim@rambler.ru </w:t>
      </w:r>
    </w:p>
    <w:p w:rsidR="0052701D" w:rsidRDefault="00D40929">
      <w:pPr>
        <w:spacing w:after="100"/>
        <w:ind w:left="711"/>
      </w:pPr>
      <w:r>
        <w:rPr>
          <w:rFonts w:ascii="Times New Roman" w:eastAsia="Times New Roman" w:hAnsi="Times New Roman" w:cs="Times New Roman"/>
          <w:b/>
          <w:sz w:val="24"/>
        </w:rPr>
        <w:t xml:space="preserve"> </w:t>
      </w:r>
    </w:p>
    <w:p w:rsidR="0052701D" w:rsidRDefault="00D40929">
      <w:pPr>
        <w:spacing w:after="0" w:line="349" w:lineRule="auto"/>
        <w:ind w:left="9" w:firstLine="711"/>
        <w:jc w:val="both"/>
      </w:pPr>
      <w:r>
        <w:rPr>
          <w:rFonts w:ascii="Times New Roman" w:eastAsia="Times New Roman" w:hAnsi="Times New Roman" w:cs="Times New Roman"/>
          <w:b/>
          <w:i/>
          <w:sz w:val="24"/>
        </w:rPr>
        <w:t>Аннотация</w:t>
      </w:r>
      <w:r>
        <w:rPr>
          <w:rFonts w:ascii="Times New Roman" w:eastAsia="Times New Roman" w:hAnsi="Times New Roman" w:cs="Times New Roman"/>
          <w:i/>
          <w:sz w:val="24"/>
        </w:rPr>
        <w:t xml:space="preserve">: Развитие общества в современных условиях </w:t>
      </w:r>
      <w:r>
        <w:rPr>
          <w:rFonts w:ascii="Times New Roman" w:eastAsia="Times New Roman" w:hAnsi="Times New Roman" w:cs="Times New Roman"/>
          <w:i/>
          <w:sz w:val="24"/>
        </w:rPr>
        <w:t>актуализирует проблему взаимосвязи состояния окружающей среды и качества жизни населения. В настоящее время вызывает тревогу то, что процесс развития науки и техники приводит к ухудшению окружающей среды, влияющей на качество жизни населения. В этих услови</w:t>
      </w:r>
      <w:r>
        <w:rPr>
          <w:rFonts w:ascii="Times New Roman" w:eastAsia="Times New Roman" w:hAnsi="Times New Roman" w:cs="Times New Roman"/>
          <w:i/>
          <w:sz w:val="24"/>
        </w:rPr>
        <w:t xml:space="preserve">ях актуальным становится исследование процесса взаимодействия качества жизни и современных экологических проблем. В статье проводится анализ экологических условий жизни населения. </w:t>
      </w:r>
    </w:p>
    <w:p w:rsidR="0052701D" w:rsidRDefault="00D40929">
      <w:pPr>
        <w:spacing w:after="0" w:line="350" w:lineRule="auto"/>
        <w:ind w:left="720" w:hanging="711"/>
        <w:jc w:val="both"/>
      </w:pPr>
      <w:r>
        <w:rPr>
          <w:rFonts w:ascii="Times New Roman" w:eastAsia="Times New Roman" w:hAnsi="Times New Roman" w:cs="Times New Roman"/>
          <w:i/>
          <w:sz w:val="24"/>
        </w:rPr>
        <w:t>В работе рассмотрены такие условия, как социально-экономические, экологичес</w:t>
      </w:r>
      <w:r>
        <w:rPr>
          <w:rFonts w:ascii="Times New Roman" w:eastAsia="Times New Roman" w:hAnsi="Times New Roman" w:cs="Times New Roman"/>
          <w:i/>
          <w:sz w:val="24"/>
        </w:rPr>
        <w:t xml:space="preserve">кие. </w:t>
      </w: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 xml:space="preserve">: условия, уровень жизни, политика, защита окружающей среды. </w:t>
      </w:r>
    </w:p>
    <w:p w:rsidR="0052701D" w:rsidRDefault="00D40929">
      <w:pPr>
        <w:spacing w:after="64"/>
        <w:ind w:left="711"/>
      </w:pPr>
      <w:r>
        <w:rPr>
          <w:rFonts w:ascii="Times New Roman" w:eastAsia="Times New Roman" w:hAnsi="Times New Roman" w:cs="Times New Roman"/>
          <w:sz w:val="24"/>
        </w:rPr>
        <w:t xml:space="preserve"> </w:t>
      </w:r>
    </w:p>
    <w:p w:rsidR="0052701D" w:rsidRDefault="00D40929">
      <w:pPr>
        <w:spacing w:after="40" w:line="271" w:lineRule="auto"/>
        <w:ind w:left="2868" w:right="194" w:hanging="1979"/>
      </w:pPr>
      <w:r>
        <w:rPr>
          <w:rFonts w:ascii="Times New Roman" w:eastAsia="Times New Roman" w:hAnsi="Times New Roman" w:cs="Times New Roman"/>
          <w:b/>
          <w:sz w:val="24"/>
        </w:rPr>
        <w:t xml:space="preserve">ENVIRONMENTAL PROBLEMS IN MODERN ASPECTS OF THE STANDARD OF LIVING OF THE POPULATION </w:t>
      </w:r>
    </w:p>
    <w:p w:rsidR="0052701D" w:rsidRDefault="00D40929">
      <w:pPr>
        <w:spacing w:after="0" w:line="311" w:lineRule="auto"/>
        <w:ind w:left="9" w:firstLine="711"/>
        <w:jc w:val="both"/>
      </w:pPr>
      <w:r>
        <w:rPr>
          <w:rFonts w:ascii="Times New Roman" w:eastAsia="Times New Roman" w:hAnsi="Times New Roman" w:cs="Times New Roman"/>
          <w:b/>
          <w:i/>
          <w:sz w:val="24"/>
        </w:rPr>
        <w:t xml:space="preserve">Abstract: </w:t>
      </w:r>
      <w:r>
        <w:rPr>
          <w:rFonts w:ascii="Times New Roman" w:eastAsia="Times New Roman" w:hAnsi="Times New Roman" w:cs="Times New Roman"/>
          <w:i/>
          <w:sz w:val="24"/>
        </w:rPr>
        <w:t>The development of society in modern conditions actualises the problem of the</w:t>
      </w:r>
      <w:r>
        <w:rPr>
          <w:rFonts w:ascii="Times New Roman" w:eastAsia="Times New Roman" w:hAnsi="Times New Roman" w:cs="Times New Roman"/>
          <w:i/>
          <w:sz w:val="24"/>
        </w:rPr>
        <w:t xml:space="preserve"> relationship between the state of the environment and the quality of life of the population. At present, it is alarming that the process of development of science and technology leads to the deterioration of the environment that affects the quality of lif</w:t>
      </w:r>
      <w:r>
        <w:rPr>
          <w:rFonts w:ascii="Times New Roman" w:eastAsia="Times New Roman" w:hAnsi="Times New Roman" w:cs="Times New Roman"/>
          <w:i/>
          <w:sz w:val="24"/>
        </w:rPr>
        <w:t>e of the population. In these circumstances, the study of the process of interaction between the quality of life and modern environmental problems becomes relevant. The article analyzes the environmental conditions of the population. The paper considers su</w:t>
      </w:r>
      <w:r>
        <w:rPr>
          <w:rFonts w:ascii="Times New Roman" w:eastAsia="Times New Roman" w:hAnsi="Times New Roman" w:cs="Times New Roman"/>
          <w:i/>
          <w:sz w:val="24"/>
        </w:rPr>
        <w:t xml:space="preserve">ch conditions as socio-economic, environmental. </w:t>
      </w:r>
    </w:p>
    <w:p w:rsidR="0052701D" w:rsidRDefault="00D40929">
      <w:pPr>
        <w:spacing w:after="72" w:line="248" w:lineRule="auto"/>
        <w:ind w:left="711"/>
        <w:jc w:val="both"/>
      </w:pPr>
      <w:r>
        <w:rPr>
          <w:rFonts w:ascii="Times New Roman" w:eastAsia="Times New Roman" w:hAnsi="Times New Roman" w:cs="Times New Roman"/>
          <w:b/>
          <w:i/>
          <w:sz w:val="24"/>
        </w:rPr>
        <w:t xml:space="preserve">Keywords: </w:t>
      </w:r>
      <w:r>
        <w:rPr>
          <w:rFonts w:ascii="Times New Roman" w:eastAsia="Times New Roman" w:hAnsi="Times New Roman" w:cs="Times New Roman"/>
          <w:i/>
          <w:sz w:val="24"/>
        </w:rPr>
        <w:t xml:space="preserve">conditions, standard of living, politics, environmental protection. </w:t>
      </w:r>
    </w:p>
    <w:p w:rsidR="0052701D" w:rsidRDefault="00D40929">
      <w:pPr>
        <w:spacing w:after="100"/>
        <w:ind w:left="711"/>
      </w:pPr>
      <w:r>
        <w:rPr>
          <w:rFonts w:ascii="Times New Roman" w:eastAsia="Times New Roman" w:hAnsi="Times New Roman" w:cs="Times New Roman"/>
          <w:sz w:val="24"/>
        </w:rPr>
        <w:t xml:space="preserve"> </w:t>
      </w:r>
    </w:p>
    <w:p w:rsidR="0052701D" w:rsidRDefault="00D40929">
      <w:pPr>
        <w:spacing w:after="42" w:line="271" w:lineRule="auto"/>
        <w:ind w:left="9" w:right="64" w:firstLine="711"/>
        <w:jc w:val="both"/>
      </w:pPr>
      <w:r>
        <w:rPr>
          <w:rFonts w:ascii="Times New Roman" w:eastAsia="Times New Roman" w:hAnsi="Times New Roman" w:cs="Times New Roman"/>
          <w:sz w:val="28"/>
        </w:rPr>
        <w:lastRenderedPageBreak/>
        <w:t>Речь идет не только о благополучии человечества, но и его выживании. Особенно тревожно то, что ухудшение природной среды может</w:t>
      </w:r>
      <w:r>
        <w:rPr>
          <w:rFonts w:ascii="Times New Roman" w:eastAsia="Times New Roman" w:hAnsi="Times New Roman" w:cs="Times New Roman"/>
          <w:sz w:val="28"/>
        </w:rPr>
        <w:t xml:space="preserve"> оказаться необратимой. </w:t>
      </w:r>
    </w:p>
    <w:p w:rsidR="0052701D" w:rsidRDefault="00D40929">
      <w:pPr>
        <w:spacing w:after="40" w:line="271" w:lineRule="auto"/>
        <w:ind w:left="9" w:right="64" w:firstLine="711"/>
        <w:jc w:val="both"/>
      </w:pPr>
      <w:r>
        <w:rPr>
          <w:rFonts w:ascii="Times New Roman" w:eastAsia="Times New Roman" w:hAnsi="Times New Roman" w:cs="Times New Roman"/>
          <w:sz w:val="28"/>
        </w:rPr>
        <w:t>Порча рыбных запасов и болезненность населения происходит в связи с загрязнением вод [2]. Как в России, так и в других странах происходит уничтожение сельскохозяйственного продовольствия и уменьшение самой аграрии, что способствует</w:t>
      </w:r>
      <w:r>
        <w:rPr>
          <w:rFonts w:ascii="Times New Roman" w:eastAsia="Times New Roman" w:hAnsi="Times New Roman" w:cs="Times New Roman"/>
          <w:sz w:val="28"/>
        </w:rPr>
        <w:t xml:space="preserve"> появлению засух и повышения ущербности почвы. </w:t>
      </w:r>
    </w:p>
    <w:p w:rsidR="0052701D" w:rsidRDefault="00D40929">
      <w:pPr>
        <w:spacing w:after="41" w:line="271" w:lineRule="auto"/>
        <w:ind w:left="9" w:right="64" w:firstLine="711"/>
        <w:jc w:val="both"/>
      </w:pPr>
      <w:r>
        <w:rPr>
          <w:rFonts w:ascii="Times New Roman" w:eastAsia="Times New Roman" w:hAnsi="Times New Roman" w:cs="Times New Roman"/>
          <w:sz w:val="28"/>
        </w:rPr>
        <w:t>Массовое сведение и уменьшение площади лесов влечет за собой загрязнение воздуха, что отрицательно влияет на состояние здоровья людей, а также неблагоприятно сказывается на климате, эпигенезе и генофонде [3].</w:t>
      </w:r>
      <w:r>
        <w:rPr>
          <w:rFonts w:ascii="Times New Roman" w:eastAsia="Times New Roman" w:hAnsi="Times New Roman" w:cs="Times New Roman"/>
          <w:sz w:val="28"/>
        </w:rPr>
        <w:t xml:space="preserve"> </w:t>
      </w:r>
    </w:p>
    <w:p w:rsidR="0052701D" w:rsidRDefault="00D40929">
      <w:pPr>
        <w:spacing w:after="41" w:line="271" w:lineRule="auto"/>
        <w:ind w:left="9" w:right="64" w:firstLine="711"/>
        <w:jc w:val="both"/>
      </w:pPr>
      <w:r>
        <w:rPr>
          <w:rFonts w:ascii="Times New Roman" w:eastAsia="Times New Roman" w:hAnsi="Times New Roman" w:cs="Times New Roman"/>
          <w:sz w:val="28"/>
        </w:rPr>
        <w:t>В данный момент население Земли приближается ко всемирной экологической катастрофе, к тому же, никакие меры для предотвращения этого практически не планируются и не происходит [4]. Но объединение сил и возможностей многих стран может предотвратить данные</w:t>
      </w:r>
      <w:r>
        <w:rPr>
          <w:rFonts w:ascii="Times New Roman" w:eastAsia="Times New Roman" w:hAnsi="Times New Roman" w:cs="Times New Roman"/>
          <w:sz w:val="28"/>
        </w:rPr>
        <w:t xml:space="preserve"> экологические проблемы, которые достигают международного уровня. </w:t>
      </w:r>
    </w:p>
    <w:p w:rsidR="0052701D" w:rsidRDefault="00D40929">
      <w:pPr>
        <w:spacing w:after="42" w:line="271" w:lineRule="auto"/>
        <w:ind w:left="9" w:right="64" w:firstLine="711"/>
        <w:jc w:val="both"/>
      </w:pPr>
      <w:r>
        <w:rPr>
          <w:rFonts w:ascii="Times New Roman" w:eastAsia="Times New Roman" w:hAnsi="Times New Roman" w:cs="Times New Roman"/>
          <w:sz w:val="28"/>
        </w:rPr>
        <w:t>Качество жизни включает в себя такие факторы как: физическое здоровье человека, его психическое состояние, уровень социальной защищенности, общественные отношения, особенности окружающей ср</w:t>
      </w:r>
      <w:r>
        <w:rPr>
          <w:rFonts w:ascii="Times New Roman" w:eastAsia="Times New Roman" w:hAnsi="Times New Roman" w:cs="Times New Roman"/>
          <w:sz w:val="28"/>
        </w:rPr>
        <w:t xml:space="preserve">еды. </w:t>
      </w:r>
    </w:p>
    <w:p w:rsidR="0052701D" w:rsidRDefault="00D40929">
      <w:pPr>
        <w:spacing w:after="41" w:line="271" w:lineRule="auto"/>
        <w:ind w:left="9" w:right="64" w:firstLine="711"/>
        <w:jc w:val="both"/>
      </w:pPr>
      <w:r>
        <w:rPr>
          <w:rFonts w:ascii="Times New Roman" w:eastAsia="Times New Roman" w:hAnsi="Times New Roman" w:cs="Times New Roman"/>
          <w:sz w:val="28"/>
        </w:rPr>
        <w:t xml:space="preserve"> Само понятие «качество жизни» широко классифицировано, так как охватывает разные стороны общества, как в экономическом плане, так и в политическом, но одним из главных условий качественной жизни для общества является хорошая экология, которая зависи</w:t>
      </w:r>
      <w:r>
        <w:rPr>
          <w:rFonts w:ascii="Times New Roman" w:eastAsia="Times New Roman" w:hAnsi="Times New Roman" w:cs="Times New Roman"/>
          <w:sz w:val="28"/>
        </w:rPr>
        <w:t xml:space="preserve">т от совокупности природных условий и социально — экономического статуса самой территории. </w:t>
      </w:r>
    </w:p>
    <w:p w:rsidR="0052701D" w:rsidRDefault="00D40929">
      <w:pPr>
        <w:spacing w:after="42" w:line="271" w:lineRule="auto"/>
        <w:ind w:left="9" w:right="64" w:firstLine="711"/>
        <w:jc w:val="both"/>
      </w:pPr>
      <w:r>
        <w:rPr>
          <w:rFonts w:ascii="Times New Roman" w:eastAsia="Times New Roman" w:hAnsi="Times New Roman" w:cs="Times New Roman"/>
          <w:sz w:val="28"/>
        </w:rPr>
        <w:t>Акцентируя внимание на решении экологических проблем и их влиянии на качество жизни населения, Дж. Гелбрейт связывал последнее с экономическим ростом, при увеличени</w:t>
      </w:r>
      <w:r>
        <w:rPr>
          <w:rFonts w:ascii="Times New Roman" w:eastAsia="Times New Roman" w:hAnsi="Times New Roman" w:cs="Times New Roman"/>
          <w:sz w:val="28"/>
        </w:rPr>
        <w:t>и производства необходимо поднимать и решать вопросы охраны окружающей среды. Внимание к качеству окружающей среды, как важному аспекту качества жизни можно объяснить тем, что качество окружающей среды является не только одним из элементов улучшения качест</w:t>
      </w:r>
      <w:r>
        <w:rPr>
          <w:rFonts w:ascii="Times New Roman" w:eastAsia="Times New Roman" w:hAnsi="Times New Roman" w:cs="Times New Roman"/>
          <w:sz w:val="28"/>
        </w:rPr>
        <w:t xml:space="preserve">ва жизни населения, но и ее основным компонентом. </w:t>
      </w:r>
    </w:p>
    <w:p w:rsidR="0052701D" w:rsidRDefault="00D40929">
      <w:pPr>
        <w:spacing w:after="41" w:line="271" w:lineRule="auto"/>
        <w:ind w:left="9" w:right="64" w:firstLine="711"/>
        <w:jc w:val="both"/>
      </w:pPr>
      <w:r>
        <w:rPr>
          <w:rFonts w:ascii="Times New Roman" w:eastAsia="Times New Roman" w:hAnsi="Times New Roman" w:cs="Times New Roman"/>
          <w:sz w:val="28"/>
        </w:rPr>
        <w:t>Экологическая компонента в качестве жизни населения характеризуется как создание таких условий, при которых не только не нарушается окружающая среда, но сохраняются природные ресурсы, которые необходимы дл</w:t>
      </w:r>
      <w:r>
        <w:rPr>
          <w:rFonts w:ascii="Times New Roman" w:eastAsia="Times New Roman" w:hAnsi="Times New Roman" w:cs="Times New Roman"/>
          <w:sz w:val="28"/>
        </w:rPr>
        <w:t xml:space="preserve">я существования будущих поколений.  </w:t>
      </w:r>
    </w:p>
    <w:p w:rsidR="0052701D" w:rsidRDefault="00D40929">
      <w:pPr>
        <w:spacing w:after="42" w:line="271" w:lineRule="auto"/>
        <w:ind w:left="9" w:right="64" w:firstLine="711"/>
        <w:jc w:val="both"/>
      </w:pPr>
      <w:r>
        <w:rPr>
          <w:rFonts w:ascii="Times New Roman" w:eastAsia="Times New Roman" w:hAnsi="Times New Roman" w:cs="Times New Roman"/>
          <w:sz w:val="28"/>
        </w:rPr>
        <w:t xml:space="preserve">Ученый связывал развитие промышленного производства и его влияние на экологическую составляющую, экономический рост и негативные последствия, связанные воздействием на окружающую среду.  </w:t>
      </w:r>
    </w:p>
    <w:p w:rsidR="0052701D" w:rsidRDefault="00D40929">
      <w:pPr>
        <w:spacing w:after="42" w:line="271" w:lineRule="auto"/>
        <w:ind w:left="9" w:right="64" w:firstLine="711"/>
        <w:jc w:val="both"/>
      </w:pPr>
      <w:r>
        <w:rPr>
          <w:rFonts w:ascii="Times New Roman" w:eastAsia="Times New Roman" w:hAnsi="Times New Roman" w:cs="Times New Roman"/>
          <w:sz w:val="28"/>
        </w:rPr>
        <w:lastRenderedPageBreak/>
        <w:t>Поэтому, при увеличении промышл</w:t>
      </w:r>
      <w:r>
        <w:rPr>
          <w:rFonts w:ascii="Times New Roman" w:eastAsia="Times New Roman" w:hAnsi="Times New Roman" w:cs="Times New Roman"/>
          <w:sz w:val="28"/>
        </w:rPr>
        <w:t xml:space="preserve">енного производства необходимо постоянно напоминать людям о сложной экологической обстановке в среде обитания и недопустимости ещё большего ее ухудшения.  </w:t>
      </w:r>
    </w:p>
    <w:p w:rsidR="0052701D" w:rsidRDefault="00D40929">
      <w:pPr>
        <w:spacing w:after="42" w:line="271" w:lineRule="auto"/>
        <w:ind w:left="9" w:right="64" w:firstLine="711"/>
        <w:jc w:val="both"/>
      </w:pPr>
      <w:r>
        <w:rPr>
          <w:rFonts w:ascii="Times New Roman" w:eastAsia="Times New Roman" w:hAnsi="Times New Roman" w:cs="Times New Roman"/>
          <w:sz w:val="28"/>
        </w:rPr>
        <w:t>Такие работы будут проводиться на научно-практических конференциях, классных часах, размещения инфор</w:t>
      </w:r>
      <w:r>
        <w:rPr>
          <w:rFonts w:ascii="Times New Roman" w:eastAsia="Times New Roman" w:hAnsi="Times New Roman" w:cs="Times New Roman"/>
          <w:sz w:val="28"/>
        </w:rPr>
        <w:t xml:space="preserve">мации в газетах и местном телевидении. Люди должны знать и понимать, что, загрязняя окружающую среду, они вредят своему здоровью и здоровью окружающих в настоящее время и закладывают экологическую «мину» для будущих поколений.  </w:t>
      </w:r>
    </w:p>
    <w:p w:rsidR="0052701D" w:rsidRDefault="00D40929">
      <w:pPr>
        <w:spacing w:after="42" w:line="271" w:lineRule="auto"/>
        <w:ind w:left="9" w:right="64" w:firstLine="711"/>
        <w:jc w:val="both"/>
      </w:pPr>
      <w:r>
        <w:rPr>
          <w:rFonts w:ascii="Times New Roman" w:eastAsia="Times New Roman" w:hAnsi="Times New Roman" w:cs="Times New Roman"/>
          <w:sz w:val="28"/>
        </w:rPr>
        <w:t>Следовательно, экологическа</w:t>
      </w:r>
      <w:r>
        <w:rPr>
          <w:rFonts w:ascii="Times New Roman" w:eastAsia="Times New Roman" w:hAnsi="Times New Roman" w:cs="Times New Roman"/>
          <w:sz w:val="28"/>
        </w:rPr>
        <w:t xml:space="preserve">я культура населения очень низкая. Люди равнодушно относятся ко всему, что находится за порогом их дома.  Необходимо постоянно заниматься решением проблем загрязнения окружающей среды. Времени для решения экологических проблем остается все меньше. </w:t>
      </w:r>
    </w:p>
    <w:p w:rsidR="0052701D" w:rsidRDefault="00D40929">
      <w:pPr>
        <w:spacing w:after="41" w:line="271" w:lineRule="auto"/>
        <w:ind w:left="9" w:right="64" w:firstLine="711"/>
        <w:jc w:val="both"/>
      </w:pPr>
      <w:r>
        <w:rPr>
          <w:rFonts w:ascii="Times New Roman" w:eastAsia="Times New Roman" w:hAnsi="Times New Roman" w:cs="Times New Roman"/>
          <w:sz w:val="28"/>
        </w:rPr>
        <w:t xml:space="preserve">Работу </w:t>
      </w:r>
      <w:r>
        <w:rPr>
          <w:rFonts w:ascii="Times New Roman" w:eastAsia="Times New Roman" w:hAnsi="Times New Roman" w:cs="Times New Roman"/>
          <w:sz w:val="28"/>
        </w:rPr>
        <w:t xml:space="preserve">по изучению экологических проблем завершить невозможно, так как она очень серьезная, объемная и трудно решаемая.   </w:t>
      </w:r>
    </w:p>
    <w:p w:rsidR="0052701D" w:rsidRDefault="00D40929">
      <w:pPr>
        <w:spacing w:after="41" w:line="271" w:lineRule="auto"/>
        <w:ind w:left="9" w:right="64" w:firstLine="711"/>
        <w:jc w:val="both"/>
      </w:pPr>
      <w:r>
        <w:rPr>
          <w:rFonts w:ascii="Times New Roman" w:eastAsia="Times New Roman" w:hAnsi="Times New Roman" w:cs="Times New Roman"/>
          <w:sz w:val="28"/>
        </w:rPr>
        <w:t>Одним из главных особенностей культуры является ее умение создавать монолитность общества, искусство воссоединять людей в целые коалиции. Ис</w:t>
      </w:r>
      <w:r>
        <w:rPr>
          <w:rFonts w:ascii="Times New Roman" w:eastAsia="Times New Roman" w:hAnsi="Times New Roman" w:cs="Times New Roman"/>
          <w:sz w:val="28"/>
        </w:rPr>
        <w:t>ходя из этого, культура может сыграть не только в положительную сторону развития, но и в отрицательную, выполняя дезинтегрирующую роль. В ходе развития социализации основной частью понимания самого себя являются материальные ценности, установленные нормы и</w:t>
      </w:r>
      <w:r>
        <w:rPr>
          <w:rFonts w:ascii="Times New Roman" w:eastAsia="Times New Roman" w:hAnsi="Times New Roman" w:cs="Times New Roman"/>
          <w:sz w:val="28"/>
        </w:rPr>
        <w:t xml:space="preserve"> образцы поведения. </w:t>
      </w:r>
    </w:p>
    <w:p w:rsidR="0052701D" w:rsidRDefault="00D40929">
      <w:pPr>
        <w:spacing w:after="41" w:line="271" w:lineRule="auto"/>
        <w:ind w:left="9" w:right="64" w:firstLine="711"/>
        <w:jc w:val="both"/>
      </w:pPr>
      <w:r>
        <w:rPr>
          <w:rFonts w:ascii="Times New Roman" w:eastAsia="Times New Roman" w:hAnsi="Times New Roman" w:cs="Times New Roman"/>
          <w:sz w:val="28"/>
        </w:rPr>
        <w:t xml:space="preserve">Благодаря чему они развивают поведение и управляют взаимодействием с обществом.  </w:t>
      </w:r>
    </w:p>
    <w:p w:rsidR="0052701D" w:rsidRDefault="00D40929">
      <w:pPr>
        <w:spacing w:after="40" w:line="271" w:lineRule="auto"/>
        <w:ind w:left="9" w:right="64" w:firstLine="711"/>
        <w:jc w:val="both"/>
      </w:pPr>
      <w:r>
        <w:rPr>
          <w:rFonts w:ascii="Times New Roman" w:eastAsia="Times New Roman" w:hAnsi="Times New Roman" w:cs="Times New Roman"/>
          <w:sz w:val="28"/>
        </w:rPr>
        <w:t>Таким образом, культура позволяет поставить необходимые рамки, в которых и должен развиваться человек. Она, положительно влияет на характер и манеру чело</w:t>
      </w:r>
      <w:r>
        <w:rPr>
          <w:rFonts w:ascii="Times New Roman" w:eastAsia="Times New Roman" w:hAnsi="Times New Roman" w:cs="Times New Roman"/>
          <w:sz w:val="28"/>
        </w:rPr>
        <w:t xml:space="preserve">века во многих обществах, в том числе и семье. </w:t>
      </w:r>
    </w:p>
    <w:p w:rsidR="0052701D" w:rsidRDefault="00D40929">
      <w:pPr>
        <w:spacing w:after="41" w:line="271" w:lineRule="auto"/>
        <w:ind w:left="9" w:right="64" w:firstLine="711"/>
        <w:jc w:val="both"/>
      </w:pPr>
      <w:r>
        <w:rPr>
          <w:rFonts w:ascii="Times New Roman" w:eastAsia="Times New Roman" w:hAnsi="Times New Roman" w:cs="Times New Roman"/>
          <w:sz w:val="28"/>
        </w:rPr>
        <w:t xml:space="preserve"> Культура выдвигает свою систему предписаний и базу запретов, нарушение которых может сподвигнуть на введение некоторых санкций. Они формируются определенным сообществом и регулируются общественным мнением. Я</w:t>
      </w:r>
      <w:r>
        <w:rPr>
          <w:rFonts w:ascii="Times New Roman" w:eastAsia="Times New Roman" w:hAnsi="Times New Roman" w:cs="Times New Roman"/>
          <w:sz w:val="28"/>
        </w:rPr>
        <w:t>зык культуры оставляет за собой не малый социальный опыт, который передается с одного поколения на другое. Кроме культуры, огромный опыт, набранный человечеством, не имеет других механизмов, сконцентрированных на нем. Поэтому не зря культура считается исто</w:t>
      </w:r>
      <w:r>
        <w:rPr>
          <w:rFonts w:ascii="Times New Roman" w:eastAsia="Times New Roman" w:hAnsi="Times New Roman" w:cs="Times New Roman"/>
          <w:sz w:val="28"/>
        </w:rPr>
        <w:t xml:space="preserve">рической памятью всего населения Земли. </w:t>
      </w:r>
    </w:p>
    <w:p w:rsidR="0052701D" w:rsidRDefault="00D40929">
      <w:pPr>
        <w:spacing w:after="114"/>
        <w:ind w:left="711"/>
      </w:pPr>
      <w:r>
        <w:rPr>
          <w:rFonts w:ascii="Times New Roman" w:eastAsia="Times New Roman" w:hAnsi="Times New Roman" w:cs="Times New Roman"/>
          <w:sz w:val="24"/>
        </w:rPr>
        <w:t xml:space="preserve"> </w:t>
      </w:r>
    </w:p>
    <w:p w:rsidR="0052701D" w:rsidRDefault="00D40929">
      <w:pPr>
        <w:spacing w:after="16" w:line="248" w:lineRule="auto"/>
        <w:ind w:left="819" w:right="890" w:hanging="10"/>
        <w:jc w:val="center"/>
      </w:pPr>
      <w:r>
        <w:rPr>
          <w:rFonts w:ascii="Times New Roman" w:eastAsia="Times New Roman" w:hAnsi="Times New Roman" w:cs="Times New Roman"/>
          <w:b/>
          <w:sz w:val="24"/>
        </w:rPr>
        <w:t xml:space="preserve">ИСТОЧНИКИ </w:t>
      </w:r>
    </w:p>
    <w:p w:rsidR="0052701D" w:rsidRDefault="00D40929">
      <w:pPr>
        <w:numPr>
          <w:ilvl w:val="0"/>
          <w:numId w:val="120"/>
        </w:numPr>
        <w:spacing w:after="29" w:line="248" w:lineRule="auto"/>
        <w:ind w:right="14" w:firstLine="711"/>
        <w:jc w:val="both"/>
      </w:pPr>
      <w:r>
        <w:rPr>
          <w:rFonts w:ascii="Times New Roman" w:eastAsia="Times New Roman" w:hAnsi="Times New Roman" w:cs="Times New Roman"/>
          <w:sz w:val="24"/>
        </w:rPr>
        <w:lastRenderedPageBreak/>
        <w:t xml:space="preserve">Сержанова И. М. Индекс развития человеческого потенциала как индикатор качества жизни / Вестник Казанского государственного аграрного университета. 2010. Т. 5. № 4(18). С. 78-80. </w:t>
      </w:r>
    </w:p>
    <w:p w:rsidR="0052701D" w:rsidRDefault="00D40929">
      <w:pPr>
        <w:numPr>
          <w:ilvl w:val="0"/>
          <w:numId w:val="120"/>
        </w:numPr>
        <w:spacing w:after="29" w:line="248" w:lineRule="auto"/>
        <w:ind w:right="14" w:firstLine="711"/>
        <w:jc w:val="both"/>
      </w:pPr>
      <w:r>
        <w:rPr>
          <w:rFonts w:ascii="Times New Roman" w:eastAsia="Times New Roman" w:hAnsi="Times New Roman" w:cs="Times New Roman"/>
          <w:sz w:val="24"/>
        </w:rPr>
        <w:t xml:space="preserve">Рочева О.А., Зарипова </w:t>
      </w:r>
      <w:r>
        <w:rPr>
          <w:rFonts w:ascii="Times New Roman" w:eastAsia="Times New Roman" w:hAnsi="Times New Roman" w:cs="Times New Roman"/>
          <w:sz w:val="24"/>
        </w:rPr>
        <w:t xml:space="preserve">Р.С., Морозова И.Г. Современное развитие Северного морского пути и его значимость для экономики России / Наука Красноярья. 2020. Т. 9. № 4-4. С. 208-214. </w:t>
      </w:r>
    </w:p>
    <w:p w:rsidR="0052701D" w:rsidRDefault="00D40929">
      <w:pPr>
        <w:numPr>
          <w:ilvl w:val="0"/>
          <w:numId w:val="120"/>
        </w:numPr>
        <w:spacing w:after="29" w:line="248" w:lineRule="auto"/>
        <w:ind w:right="14" w:firstLine="711"/>
        <w:jc w:val="both"/>
      </w:pPr>
      <w:r>
        <w:rPr>
          <w:rFonts w:ascii="Times New Roman" w:eastAsia="Times New Roman" w:hAnsi="Times New Roman" w:cs="Times New Roman"/>
          <w:sz w:val="24"/>
        </w:rPr>
        <w:t>Сержанова И. М. Проблемы повышения уровня жизни населения / Вестник Казанского государственного аграр</w:t>
      </w:r>
      <w:r>
        <w:rPr>
          <w:rFonts w:ascii="Times New Roman" w:eastAsia="Times New Roman" w:hAnsi="Times New Roman" w:cs="Times New Roman"/>
          <w:sz w:val="24"/>
        </w:rPr>
        <w:t xml:space="preserve">ного университета. 2010. Т. 5. № 1(15). С. 46-48.  </w:t>
      </w:r>
    </w:p>
    <w:p w:rsidR="0052701D" w:rsidRDefault="00D40929">
      <w:pPr>
        <w:numPr>
          <w:ilvl w:val="0"/>
          <w:numId w:val="120"/>
        </w:numPr>
        <w:spacing w:after="29" w:line="248" w:lineRule="auto"/>
        <w:ind w:right="14" w:firstLine="711"/>
        <w:jc w:val="both"/>
      </w:pPr>
      <w:r>
        <w:rPr>
          <w:rFonts w:ascii="Times New Roman" w:eastAsia="Times New Roman" w:hAnsi="Times New Roman" w:cs="Times New Roman"/>
          <w:sz w:val="24"/>
        </w:rPr>
        <w:t xml:space="preserve">Рочева О.А., Зарипова Р.С., Морозова И.Г., Хамидуллина Ф.Р. Конкурентоспособность транспортных коридоров России в системе международных транспортных коридоров / International Journal of Advanced Studies. </w:t>
      </w:r>
      <w:r>
        <w:rPr>
          <w:rFonts w:ascii="Times New Roman" w:eastAsia="Times New Roman" w:hAnsi="Times New Roman" w:cs="Times New Roman"/>
          <w:sz w:val="24"/>
        </w:rPr>
        <w:t xml:space="preserve">2021. Т. 11. № 1. С. 7-16. </w:t>
      </w:r>
    </w:p>
    <w:p w:rsidR="0052701D" w:rsidRDefault="00D40929">
      <w:pPr>
        <w:numPr>
          <w:ilvl w:val="0"/>
          <w:numId w:val="120"/>
        </w:numPr>
        <w:spacing w:after="29" w:line="248" w:lineRule="auto"/>
        <w:ind w:right="14" w:firstLine="711"/>
        <w:jc w:val="both"/>
      </w:pPr>
      <w:r>
        <w:rPr>
          <w:rFonts w:ascii="Times New Roman" w:eastAsia="Times New Roman" w:hAnsi="Times New Roman" w:cs="Times New Roman"/>
          <w:sz w:val="24"/>
        </w:rPr>
        <w:t>Сиразева А.Л., Зарипова Р.С. Экологическая эффективность производства из различных источников сырья / Бутаковские чтения. Сборник материалов I Всероссийской с международным участием молодежной конференции. Томск, 2021. С. 404-40</w:t>
      </w:r>
      <w:r>
        <w:rPr>
          <w:rFonts w:ascii="Times New Roman" w:eastAsia="Times New Roman" w:hAnsi="Times New Roman" w:cs="Times New Roman"/>
          <w:sz w:val="24"/>
        </w:rPr>
        <w:t xml:space="preserve">8. </w:t>
      </w:r>
    </w:p>
    <w:p w:rsidR="0052701D" w:rsidRDefault="00D40929">
      <w:pPr>
        <w:numPr>
          <w:ilvl w:val="0"/>
          <w:numId w:val="120"/>
        </w:numPr>
        <w:spacing w:after="29" w:line="248" w:lineRule="auto"/>
        <w:ind w:right="14" w:firstLine="711"/>
        <w:jc w:val="both"/>
      </w:pPr>
      <w:r>
        <w:rPr>
          <w:rFonts w:ascii="Times New Roman" w:eastAsia="Times New Roman" w:hAnsi="Times New Roman" w:cs="Times New Roman"/>
          <w:sz w:val="24"/>
        </w:rPr>
        <w:t xml:space="preserve">Дремичева Е. С. Эколого-экономические аспекты использования торфа в энергетике </w:t>
      </w:r>
    </w:p>
    <w:p w:rsidR="0052701D" w:rsidRDefault="00D40929">
      <w:pPr>
        <w:spacing w:after="29" w:line="248" w:lineRule="auto"/>
        <w:ind w:left="9" w:right="14"/>
        <w:jc w:val="both"/>
      </w:pPr>
      <w:r>
        <w:rPr>
          <w:rFonts w:ascii="Times New Roman" w:eastAsia="Times New Roman" w:hAnsi="Times New Roman" w:cs="Times New Roman"/>
          <w:sz w:val="24"/>
        </w:rPr>
        <w:t xml:space="preserve">/ Е. С. Дремичева, А. А. Эминов // Вестник Казанского государственного энергетического университета. 2022. Т. 14. № 1(53). С. 96-108. </w:t>
      </w:r>
    </w:p>
    <w:p w:rsidR="0052701D" w:rsidRDefault="00D40929">
      <w:pPr>
        <w:numPr>
          <w:ilvl w:val="0"/>
          <w:numId w:val="120"/>
        </w:numPr>
        <w:spacing w:after="29" w:line="248" w:lineRule="auto"/>
        <w:ind w:right="14" w:firstLine="711"/>
        <w:jc w:val="both"/>
      </w:pPr>
      <w:r>
        <w:rPr>
          <w:rFonts w:ascii="Times New Roman" w:eastAsia="Times New Roman" w:hAnsi="Times New Roman" w:cs="Times New Roman"/>
          <w:sz w:val="24"/>
        </w:rPr>
        <w:t>Калайда М. Л. Водные биологические ре</w:t>
      </w:r>
      <w:r>
        <w:rPr>
          <w:rFonts w:ascii="Times New Roman" w:eastAsia="Times New Roman" w:hAnsi="Times New Roman" w:cs="Times New Roman"/>
          <w:sz w:val="24"/>
        </w:rPr>
        <w:t xml:space="preserve">сурсы в структуре экологических проблем энергетических объектов / М. Л. Калайда, А. Р. Саетов // Известия высших учебных заведений. Проблемы энергетики. 2022. Т. 24. № 2. С. 175-185.  </w:t>
      </w:r>
    </w:p>
    <w:p w:rsidR="0052701D" w:rsidRDefault="00D40929">
      <w:pPr>
        <w:numPr>
          <w:ilvl w:val="0"/>
          <w:numId w:val="120"/>
        </w:numPr>
        <w:spacing w:after="29" w:line="248" w:lineRule="auto"/>
        <w:ind w:right="14" w:firstLine="711"/>
        <w:jc w:val="both"/>
      </w:pPr>
      <w:r>
        <w:rPr>
          <w:rFonts w:ascii="Times New Roman" w:eastAsia="Times New Roman" w:hAnsi="Times New Roman" w:cs="Times New Roman"/>
          <w:sz w:val="24"/>
        </w:rPr>
        <w:t>Рочева О.А., Зарипова Р.С., Морозова И.Г. Современное развитие Северног</w:t>
      </w:r>
      <w:r>
        <w:rPr>
          <w:rFonts w:ascii="Times New Roman" w:eastAsia="Times New Roman" w:hAnsi="Times New Roman" w:cs="Times New Roman"/>
          <w:sz w:val="24"/>
        </w:rPr>
        <w:t xml:space="preserve">о морского пути и его значимость для экономики России / Наука Красноярья. 2020. Т. 9. № 4-4. С. 208-214.  </w:t>
      </w:r>
    </w:p>
    <w:p w:rsidR="0052701D" w:rsidRDefault="00D40929">
      <w:pPr>
        <w:numPr>
          <w:ilvl w:val="0"/>
          <w:numId w:val="120"/>
        </w:numPr>
        <w:spacing w:after="29" w:line="248" w:lineRule="auto"/>
        <w:ind w:right="14" w:firstLine="711"/>
        <w:jc w:val="both"/>
      </w:pPr>
      <w:r>
        <w:rPr>
          <w:rFonts w:ascii="Times New Roman" w:eastAsia="Times New Roman" w:hAnsi="Times New Roman" w:cs="Times New Roman"/>
          <w:sz w:val="24"/>
        </w:rPr>
        <w:t xml:space="preserve">Николаева Л. А. Исследование процесса обессоливания концентрата установок обратного осмоса отходом энергетики / Л. А. Николаева, Э. Р. Зайнуллина // </w:t>
      </w:r>
      <w:r>
        <w:rPr>
          <w:rFonts w:ascii="Times New Roman" w:eastAsia="Times New Roman" w:hAnsi="Times New Roman" w:cs="Times New Roman"/>
          <w:sz w:val="24"/>
        </w:rPr>
        <w:t xml:space="preserve">Известия высших учебных заведений. Проблемы энергетики. 2022. Т. 24. № 2. С. 186-195.  </w:t>
      </w:r>
    </w:p>
    <w:p w:rsidR="0052701D" w:rsidRDefault="00D40929">
      <w:pPr>
        <w:spacing w:after="0"/>
        <w:ind w:left="711"/>
      </w:pPr>
      <w:r>
        <w:rPr>
          <w:rFonts w:ascii="Times New Roman" w:eastAsia="Times New Roman" w:hAnsi="Times New Roman" w:cs="Times New Roman"/>
          <w:sz w:val="28"/>
        </w:rPr>
        <w:t xml:space="preserve"> </w:t>
      </w:r>
    </w:p>
    <w:p w:rsidR="0052701D" w:rsidRDefault="00D40929">
      <w:pPr>
        <w:spacing w:after="36"/>
        <w:ind w:left="711"/>
      </w:pPr>
      <w:r>
        <w:rPr>
          <w:rFonts w:ascii="Times New Roman" w:eastAsia="Times New Roman" w:hAnsi="Times New Roman" w:cs="Times New Roman"/>
          <w:sz w:val="28"/>
        </w:rPr>
        <w:t xml:space="preserve"> </w:t>
      </w:r>
    </w:p>
    <w:p w:rsidR="0052701D" w:rsidRDefault="00D40929">
      <w:pPr>
        <w:spacing w:after="71" w:line="248" w:lineRule="auto"/>
        <w:ind w:left="9" w:right="14"/>
        <w:jc w:val="both"/>
      </w:pPr>
      <w:r>
        <w:rPr>
          <w:rFonts w:ascii="Times New Roman" w:eastAsia="Times New Roman" w:hAnsi="Times New Roman" w:cs="Times New Roman"/>
          <w:sz w:val="24"/>
        </w:rPr>
        <w:t xml:space="preserve">УДК 338.43.02 </w:t>
      </w:r>
    </w:p>
    <w:p w:rsidR="0052701D" w:rsidRDefault="00D40929">
      <w:pPr>
        <w:spacing w:after="113"/>
      </w:pPr>
      <w:r>
        <w:rPr>
          <w:rFonts w:ascii="Times New Roman" w:eastAsia="Times New Roman" w:hAnsi="Times New Roman" w:cs="Times New Roman"/>
          <w:sz w:val="24"/>
        </w:rPr>
        <w:t xml:space="preserve"> </w:t>
      </w:r>
    </w:p>
    <w:p w:rsidR="0052701D" w:rsidRDefault="00D40929">
      <w:pPr>
        <w:pStyle w:val="1"/>
        <w:spacing w:after="71" w:line="248" w:lineRule="auto"/>
        <w:ind w:left="819" w:right="884"/>
      </w:pPr>
      <w:r>
        <w:rPr>
          <w:sz w:val="24"/>
        </w:rPr>
        <w:t xml:space="preserve">АНАЛИЗ УСЛОВИЙ ЖИЗНИ НАСЕЛЕНИЯ РОССИИ </w:t>
      </w:r>
    </w:p>
    <w:p w:rsidR="0052701D" w:rsidRDefault="00D40929">
      <w:pPr>
        <w:spacing w:after="68"/>
        <w:ind w:right="14"/>
        <w:jc w:val="center"/>
      </w:pPr>
      <w:r>
        <w:rPr>
          <w:rFonts w:ascii="Times New Roman" w:eastAsia="Times New Roman" w:hAnsi="Times New Roman" w:cs="Times New Roman"/>
          <w:b/>
          <w:sz w:val="24"/>
        </w:rPr>
        <w:t xml:space="preserve"> </w:t>
      </w:r>
    </w:p>
    <w:p w:rsidR="0052701D" w:rsidRDefault="00D40929">
      <w:pPr>
        <w:spacing w:after="152" w:line="248" w:lineRule="auto"/>
        <w:ind w:left="713" w:right="784" w:hanging="5"/>
        <w:jc w:val="center"/>
      </w:pPr>
      <w:r>
        <w:rPr>
          <w:rFonts w:ascii="Times New Roman" w:eastAsia="Times New Roman" w:hAnsi="Times New Roman" w:cs="Times New Roman"/>
          <w:sz w:val="24"/>
        </w:rPr>
        <w:t>Рочева О.А.</w:t>
      </w:r>
      <w:r>
        <w:rPr>
          <w:rFonts w:ascii="Times New Roman" w:eastAsia="Times New Roman" w:hAnsi="Times New Roman" w:cs="Times New Roman"/>
          <w:sz w:val="24"/>
          <w:vertAlign w:val="superscript"/>
        </w:rPr>
        <w:t>1</w:t>
      </w:r>
      <w:r>
        <w:rPr>
          <w:rFonts w:ascii="Times New Roman" w:eastAsia="Times New Roman" w:hAnsi="Times New Roman" w:cs="Times New Roman"/>
          <w:sz w:val="24"/>
        </w:rPr>
        <w:t>, Рочева Я.О.</w:t>
      </w:r>
      <w:r>
        <w:rPr>
          <w:rFonts w:ascii="Times New Roman" w:eastAsia="Times New Roman" w:hAnsi="Times New Roman" w:cs="Times New Roman"/>
          <w:sz w:val="24"/>
          <w:vertAlign w:val="superscript"/>
        </w:rPr>
        <w:t xml:space="preserve">2 </w:t>
      </w:r>
    </w:p>
    <w:p w:rsidR="0052701D" w:rsidRDefault="00D40929">
      <w:pPr>
        <w:spacing w:after="111" w:line="248" w:lineRule="auto"/>
        <w:ind w:left="713" w:right="782" w:hanging="5"/>
        <w:jc w:val="center"/>
      </w:pPr>
      <w:r>
        <w:rPr>
          <w:rFonts w:ascii="Times New Roman" w:eastAsia="Times New Roman" w:hAnsi="Times New Roman" w:cs="Times New Roman"/>
          <w:sz w:val="24"/>
          <w:vertAlign w:val="superscript"/>
        </w:rPr>
        <w:t>1</w:t>
      </w:r>
      <w:r>
        <w:rPr>
          <w:rFonts w:ascii="Times New Roman" w:eastAsia="Times New Roman" w:hAnsi="Times New Roman" w:cs="Times New Roman"/>
          <w:sz w:val="24"/>
        </w:rPr>
        <w:t xml:space="preserve">КИУ им. В.Г. Тимирясова, </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xml:space="preserve">КГЭУ, г. Казань, </w:t>
      </w:r>
    </w:p>
    <w:p w:rsidR="0052701D" w:rsidRDefault="00D40929">
      <w:pPr>
        <w:spacing w:after="76" w:line="248" w:lineRule="auto"/>
        <w:ind w:left="713" w:right="789" w:hanging="5"/>
        <w:jc w:val="center"/>
      </w:pPr>
      <w:r>
        <w:rPr>
          <w:rFonts w:ascii="Times New Roman" w:eastAsia="Times New Roman" w:hAnsi="Times New Roman" w:cs="Times New Roman"/>
          <w:sz w:val="24"/>
        </w:rPr>
        <w:t xml:space="preserve">rochevaolga@mail.ru </w:t>
      </w:r>
    </w:p>
    <w:p w:rsidR="0052701D" w:rsidRDefault="00D40929">
      <w:pPr>
        <w:spacing w:after="99"/>
        <w:jc w:val="right"/>
      </w:pPr>
      <w:r>
        <w:rPr>
          <w:rFonts w:ascii="Times New Roman" w:eastAsia="Times New Roman" w:hAnsi="Times New Roman" w:cs="Times New Roman"/>
          <w:b/>
          <w:sz w:val="24"/>
        </w:rPr>
        <w:t xml:space="preserve"> </w:t>
      </w:r>
    </w:p>
    <w:p w:rsidR="0052701D" w:rsidRDefault="00D40929">
      <w:pPr>
        <w:spacing w:after="1" w:line="349" w:lineRule="auto"/>
        <w:ind w:left="9" w:right="14" w:firstLine="711"/>
        <w:jc w:val="both"/>
      </w:pPr>
      <w:r>
        <w:rPr>
          <w:rFonts w:ascii="Times New Roman" w:eastAsia="Times New Roman" w:hAnsi="Times New Roman" w:cs="Times New Roman"/>
          <w:b/>
          <w:sz w:val="24"/>
        </w:rPr>
        <w:t>Аннотация</w:t>
      </w:r>
      <w:r>
        <w:rPr>
          <w:rFonts w:ascii="Times New Roman" w:eastAsia="Times New Roman" w:hAnsi="Times New Roman" w:cs="Times New Roman"/>
          <w:sz w:val="24"/>
        </w:rPr>
        <w:t>:</w:t>
      </w:r>
      <w:r>
        <w:rPr>
          <w:rFonts w:ascii="Times New Roman" w:eastAsia="Times New Roman" w:hAnsi="Times New Roman" w:cs="Times New Roman"/>
          <w:sz w:val="24"/>
        </w:rPr>
        <w:t xml:space="preserve"> В статье проводится анализ условий жизни населения. Рассмотрены актуальные условия и качества жизни, так как они показывают большие значения в современной жизни. Проведенный анализ ставит вопрос о необходимости совершенствования проводимой государственной</w:t>
      </w:r>
      <w:r>
        <w:rPr>
          <w:rFonts w:ascii="Times New Roman" w:eastAsia="Times New Roman" w:hAnsi="Times New Roman" w:cs="Times New Roman"/>
          <w:sz w:val="24"/>
        </w:rPr>
        <w:t xml:space="preserve"> политики России для повышения уровня жизни населения, обеспечения сбалансированности социально-экономического развития регионов и нейтрализации негативных последствий их дальнейшей дифференциации. </w:t>
      </w:r>
    </w:p>
    <w:p w:rsidR="0052701D" w:rsidRDefault="00D40929">
      <w:pPr>
        <w:spacing w:after="71" w:line="248" w:lineRule="auto"/>
        <w:ind w:left="711" w:right="14"/>
        <w:jc w:val="both"/>
      </w:pPr>
      <w:r>
        <w:rPr>
          <w:rFonts w:ascii="Times New Roman" w:eastAsia="Times New Roman" w:hAnsi="Times New Roman" w:cs="Times New Roman"/>
          <w:b/>
          <w:sz w:val="24"/>
        </w:rPr>
        <w:t>Ключевые слова</w:t>
      </w:r>
      <w:r>
        <w:rPr>
          <w:rFonts w:ascii="Times New Roman" w:eastAsia="Times New Roman" w:hAnsi="Times New Roman" w:cs="Times New Roman"/>
          <w:sz w:val="24"/>
        </w:rPr>
        <w:t xml:space="preserve">: условия, уровень жизни, политика, защита </w:t>
      </w:r>
      <w:r>
        <w:rPr>
          <w:rFonts w:ascii="Times New Roman" w:eastAsia="Times New Roman" w:hAnsi="Times New Roman" w:cs="Times New Roman"/>
          <w:sz w:val="24"/>
        </w:rPr>
        <w:t xml:space="preserve">окружающей среды. </w:t>
      </w:r>
    </w:p>
    <w:p w:rsidR="0052701D" w:rsidRDefault="00D40929">
      <w:pPr>
        <w:spacing w:after="64"/>
        <w:ind w:left="711"/>
      </w:pPr>
      <w:r>
        <w:rPr>
          <w:rFonts w:ascii="Times New Roman" w:eastAsia="Times New Roman" w:hAnsi="Times New Roman" w:cs="Times New Roman"/>
          <w:sz w:val="24"/>
        </w:rPr>
        <w:t xml:space="preserve"> </w:t>
      </w:r>
    </w:p>
    <w:p w:rsidR="0052701D" w:rsidRDefault="00D40929">
      <w:pPr>
        <w:spacing w:after="60"/>
        <w:ind w:right="80"/>
        <w:jc w:val="right"/>
      </w:pPr>
      <w:r>
        <w:rPr>
          <w:rFonts w:ascii="Times New Roman" w:eastAsia="Times New Roman" w:hAnsi="Times New Roman" w:cs="Times New Roman"/>
          <w:b/>
          <w:sz w:val="24"/>
        </w:rPr>
        <w:lastRenderedPageBreak/>
        <w:t xml:space="preserve">ANALYSIS OF THE LIVING CONDITIONS OF THE RUSSIAN POPULATION </w:t>
      </w:r>
    </w:p>
    <w:p w:rsidR="0052701D" w:rsidRDefault="00D40929">
      <w:pPr>
        <w:spacing w:after="0"/>
        <w:ind w:left="711"/>
      </w:pPr>
      <w:r>
        <w:rPr>
          <w:rFonts w:ascii="Times New Roman" w:eastAsia="Times New Roman" w:hAnsi="Times New Roman" w:cs="Times New Roman"/>
          <w:b/>
          <w:sz w:val="24"/>
        </w:rPr>
        <w:t xml:space="preserve"> </w:t>
      </w:r>
    </w:p>
    <w:p w:rsidR="0052701D" w:rsidRDefault="00D40929">
      <w:pPr>
        <w:spacing w:after="0" w:line="311" w:lineRule="auto"/>
        <w:ind w:left="9" w:right="14" w:firstLine="711"/>
        <w:jc w:val="both"/>
      </w:pPr>
      <w:r>
        <w:rPr>
          <w:rFonts w:ascii="Times New Roman" w:eastAsia="Times New Roman" w:hAnsi="Times New Roman" w:cs="Times New Roman"/>
          <w:b/>
          <w:sz w:val="24"/>
        </w:rPr>
        <w:t>Abstract</w:t>
      </w:r>
      <w:r>
        <w:rPr>
          <w:rFonts w:ascii="Times New Roman" w:eastAsia="Times New Roman" w:hAnsi="Times New Roman" w:cs="Times New Roman"/>
          <w:sz w:val="24"/>
        </w:rPr>
        <w:t xml:space="preserve">: Тhe article analyzes the living conditions of the population. The current conditions and quality of life are considered, as they show great importance in modern </w:t>
      </w:r>
      <w:r>
        <w:rPr>
          <w:rFonts w:ascii="Times New Roman" w:eastAsia="Times New Roman" w:hAnsi="Times New Roman" w:cs="Times New Roman"/>
          <w:sz w:val="24"/>
        </w:rPr>
        <w:t>life. This analysis raises the question of the need to improve Russian state policy in order to raise the living standards of the population, ensure a balance in the socio-economic development of the regions and neutralise the negative consequences of thei</w:t>
      </w:r>
      <w:r>
        <w:rPr>
          <w:rFonts w:ascii="Times New Roman" w:eastAsia="Times New Roman" w:hAnsi="Times New Roman" w:cs="Times New Roman"/>
          <w:sz w:val="24"/>
        </w:rPr>
        <w:t xml:space="preserve">r further differentiation. </w:t>
      </w:r>
    </w:p>
    <w:p w:rsidR="0052701D" w:rsidRDefault="00D40929">
      <w:pPr>
        <w:spacing w:after="29" w:line="248" w:lineRule="auto"/>
        <w:ind w:left="711" w:right="14"/>
        <w:jc w:val="both"/>
      </w:pPr>
      <w:r>
        <w:rPr>
          <w:rFonts w:ascii="Times New Roman" w:eastAsia="Times New Roman" w:hAnsi="Times New Roman" w:cs="Times New Roman"/>
          <w:b/>
          <w:sz w:val="24"/>
        </w:rPr>
        <w:t xml:space="preserve">Key words: </w:t>
      </w:r>
      <w:r>
        <w:rPr>
          <w:rFonts w:ascii="Times New Roman" w:eastAsia="Times New Roman" w:hAnsi="Times New Roman" w:cs="Times New Roman"/>
          <w:sz w:val="24"/>
        </w:rPr>
        <w:t xml:space="preserve">Conditions, standard of living, politics, environmental protection. </w:t>
      </w:r>
    </w:p>
    <w:p w:rsidR="0052701D" w:rsidRDefault="00D40929">
      <w:pPr>
        <w:spacing w:after="240"/>
        <w:ind w:left="711"/>
      </w:pPr>
      <w:r>
        <w:rPr>
          <w:rFonts w:ascii="Times New Roman" w:eastAsia="Times New Roman" w:hAnsi="Times New Roman" w:cs="Times New Roman"/>
          <w:sz w:val="24"/>
        </w:rPr>
        <w:t xml:space="preserve"> </w:t>
      </w:r>
    </w:p>
    <w:p w:rsidR="0052701D" w:rsidRDefault="00D40929">
      <w:pPr>
        <w:spacing w:after="41" w:line="271" w:lineRule="auto"/>
        <w:ind w:left="9" w:right="64" w:firstLine="711"/>
        <w:jc w:val="both"/>
      </w:pPr>
      <w:r>
        <w:rPr>
          <w:rFonts w:ascii="Times New Roman" w:eastAsia="Times New Roman" w:hAnsi="Times New Roman" w:cs="Times New Roman"/>
          <w:sz w:val="28"/>
        </w:rPr>
        <w:t>На «уровень благосостояния» влияют различные аспекты: условия труда и жизни, занятость населения, уровень образования, хозяйственная деятельность,</w:t>
      </w:r>
      <w:r>
        <w:rPr>
          <w:rFonts w:ascii="Times New Roman" w:eastAsia="Times New Roman" w:hAnsi="Times New Roman" w:cs="Times New Roman"/>
          <w:sz w:val="28"/>
        </w:rPr>
        <w:t xml:space="preserve"> здоровье граждан, досуг. Данные сведения стоят на первом месте для определения «качества жизни». Понятно, что, если степень жизни населения хороший, то и жизнь людей становится намного комфортнее. </w:t>
      </w:r>
    </w:p>
    <w:p w:rsidR="0052701D" w:rsidRDefault="00D40929">
      <w:pPr>
        <w:spacing w:after="43" w:line="271" w:lineRule="auto"/>
        <w:ind w:left="9" w:right="64" w:firstLine="711"/>
        <w:jc w:val="both"/>
      </w:pPr>
      <w:r>
        <w:rPr>
          <w:rFonts w:ascii="Times New Roman" w:eastAsia="Times New Roman" w:hAnsi="Times New Roman" w:cs="Times New Roman"/>
          <w:sz w:val="28"/>
        </w:rPr>
        <w:t>Выделяют четыре фактора уровня и качества жизни по обеспе</w:t>
      </w:r>
      <w:r>
        <w:rPr>
          <w:rFonts w:ascii="Times New Roman" w:eastAsia="Times New Roman" w:hAnsi="Times New Roman" w:cs="Times New Roman"/>
          <w:sz w:val="28"/>
        </w:rPr>
        <w:t xml:space="preserve">чению людей материальными потребностями: </w:t>
      </w:r>
    </w:p>
    <w:p w:rsidR="0052701D" w:rsidRDefault="00D40929">
      <w:pPr>
        <w:spacing w:after="41" w:line="271" w:lineRule="auto"/>
        <w:ind w:left="9" w:right="64" w:firstLine="711"/>
        <w:jc w:val="both"/>
      </w:pPr>
      <w:r>
        <w:rPr>
          <w:rFonts w:ascii="Times New Roman" w:eastAsia="Times New Roman" w:hAnsi="Times New Roman" w:cs="Times New Roman"/>
          <w:sz w:val="28"/>
        </w:rPr>
        <w:t xml:space="preserve">-неограниченное использование всех потребностей, которые влияют на развитие людей. Этот фактор называется «достаток». </w:t>
      </w:r>
    </w:p>
    <w:p w:rsidR="0052701D" w:rsidRDefault="00D40929">
      <w:pPr>
        <w:spacing w:after="41" w:line="271" w:lineRule="auto"/>
        <w:ind w:left="9" w:right="64" w:firstLine="711"/>
        <w:jc w:val="both"/>
      </w:pPr>
      <w:r>
        <w:rPr>
          <w:rFonts w:ascii="Times New Roman" w:eastAsia="Times New Roman" w:hAnsi="Times New Roman" w:cs="Times New Roman"/>
          <w:sz w:val="28"/>
        </w:rPr>
        <w:t>-потребление, необходимое людям для «перезагрузки» физических и духовных сил, чтобы вернуться в</w:t>
      </w:r>
      <w:r>
        <w:rPr>
          <w:rFonts w:ascii="Times New Roman" w:eastAsia="Times New Roman" w:hAnsi="Times New Roman" w:cs="Times New Roman"/>
          <w:sz w:val="28"/>
        </w:rPr>
        <w:t xml:space="preserve"> нормальную жизнь, называется нормальным уровнем жизни.  </w:t>
      </w:r>
    </w:p>
    <w:p w:rsidR="0052701D" w:rsidRDefault="00D40929">
      <w:pPr>
        <w:spacing w:after="42" w:line="271" w:lineRule="auto"/>
        <w:ind w:left="9" w:right="64" w:firstLine="711"/>
        <w:jc w:val="both"/>
      </w:pPr>
      <w:r>
        <w:rPr>
          <w:rFonts w:ascii="Times New Roman" w:eastAsia="Times New Roman" w:hAnsi="Times New Roman" w:cs="Times New Roman"/>
          <w:sz w:val="28"/>
        </w:rPr>
        <w:t xml:space="preserve">-использование потребностей в степени обыкновенного восстановления и поддержания работоспособности людей. Точнее говоря, его можно обозначить бедностью. </w:t>
      </w:r>
    </w:p>
    <w:p w:rsidR="0052701D" w:rsidRDefault="00D40929">
      <w:pPr>
        <w:spacing w:after="41" w:line="271" w:lineRule="auto"/>
        <w:ind w:left="9" w:right="64" w:firstLine="711"/>
        <w:jc w:val="both"/>
      </w:pPr>
      <w:r>
        <w:rPr>
          <w:rFonts w:ascii="Times New Roman" w:eastAsia="Times New Roman" w:hAnsi="Times New Roman" w:cs="Times New Roman"/>
          <w:sz w:val="28"/>
        </w:rPr>
        <w:t>-минимальная степень благосостояния, которая</w:t>
      </w:r>
      <w:r>
        <w:rPr>
          <w:rFonts w:ascii="Times New Roman" w:eastAsia="Times New Roman" w:hAnsi="Times New Roman" w:cs="Times New Roman"/>
          <w:sz w:val="28"/>
        </w:rPr>
        <w:t xml:space="preserve"> помогает только поддерживать выживание людей. Этот показатель носит наименование нищета. </w:t>
      </w:r>
    </w:p>
    <w:p w:rsidR="0052701D" w:rsidRDefault="00D40929">
      <w:pPr>
        <w:spacing w:after="42" w:line="271" w:lineRule="auto"/>
        <w:ind w:left="9" w:right="64" w:firstLine="711"/>
        <w:jc w:val="both"/>
      </w:pPr>
      <w:r>
        <w:rPr>
          <w:rFonts w:ascii="Times New Roman" w:eastAsia="Times New Roman" w:hAnsi="Times New Roman" w:cs="Times New Roman"/>
          <w:sz w:val="28"/>
        </w:rPr>
        <w:t>Люди с малым достатком чаще всего испытывают неудовлетворенность в качестве собственной жизни, они чувствуют себя ущемлёнными и отстранёнными от высших благ, что зас</w:t>
      </w:r>
      <w:r>
        <w:rPr>
          <w:rFonts w:ascii="Times New Roman" w:eastAsia="Times New Roman" w:hAnsi="Times New Roman" w:cs="Times New Roman"/>
          <w:sz w:val="28"/>
        </w:rPr>
        <w:t xml:space="preserve">тавляет их ощущать сокруху. Но не всегда благополучное материальное положение приносит моральное удовлетворение человеку. А так как моральное удовлетворение важный аспект, то без него невозможно достичь высокого уровня качества жизни. </w:t>
      </w:r>
    </w:p>
    <w:p w:rsidR="0052701D" w:rsidRDefault="00D40929">
      <w:pPr>
        <w:spacing w:after="40" w:line="271" w:lineRule="auto"/>
        <w:ind w:left="9" w:right="64" w:firstLine="711"/>
        <w:jc w:val="both"/>
      </w:pPr>
      <w:r>
        <w:rPr>
          <w:rFonts w:ascii="Times New Roman" w:eastAsia="Times New Roman" w:hAnsi="Times New Roman" w:cs="Times New Roman"/>
          <w:sz w:val="28"/>
        </w:rPr>
        <w:t>Анализируя статистич</w:t>
      </w:r>
      <w:r>
        <w:rPr>
          <w:rFonts w:ascii="Times New Roman" w:eastAsia="Times New Roman" w:hAnsi="Times New Roman" w:cs="Times New Roman"/>
          <w:sz w:val="28"/>
        </w:rPr>
        <w:t xml:space="preserve">еские данные недалекого прошлого, можно сделать вывод, что текущая ситуация абсолютно нова для России. Дело в том, что большинство экономических ресурсов исчерпано[4]. </w:t>
      </w:r>
    </w:p>
    <w:p w:rsidR="0052701D" w:rsidRDefault="00D40929">
      <w:pPr>
        <w:spacing w:after="41" w:line="271" w:lineRule="auto"/>
        <w:ind w:left="9" w:right="64" w:firstLine="711"/>
        <w:jc w:val="both"/>
      </w:pPr>
      <w:r>
        <w:rPr>
          <w:rFonts w:ascii="Times New Roman" w:eastAsia="Times New Roman" w:hAnsi="Times New Roman" w:cs="Times New Roman"/>
          <w:sz w:val="28"/>
        </w:rPr>
        <w:lastRenderedPageBreak/>
        <w:t xml:space="preserve"> Потребительский спрос невелик – жители не торопятся брать новые кредиты, пока полность</w:t>
      </w:r>
      <w:r>
        <w:rPr>
          <w:rFonts w:ascii="Times New Roman" w:eastAsia="Times New Roman" w:hAnsi="Times New Roman" w:cs="Times New Roman"/>
          <w:sz w:val="28"/>
        </w:rPr>
        <w:t xml:space="preserve">ю не погасят старые. Валютные колебания, рост темпов инфляции, уменьшение предпринимательского сектора привели к снижению уровня жизни и среднего уровня доходов. По сравнению с 2015 годом население обеднело на 95%. Введение санкций не добавляет позитива. </w:t>
      </w:r>
    </w:p>
    <w:p w:rsidR="0052701D" w:rsidRDefault="00D40929">
      <w:pPr>
        <w:spacing w:after="40" w:line="271" w:lineRule="auto"/>
        <w:ind w:left="9" w:right="64" w:firstLine="711"/>
        <w:jc w:val="both"/>
      </w:pPr>
      <w:r>
        <w:rPr>
          <w:rFonts w:ascii="Times New Roman" w:eastAsia="Times New Roman" w:hAnsi="Times New Roman" w:cs="Times New Roman"/>
          <w:sz w:val="28"/>
        </w:rPr>
        <w:t xml:space="preserve">Наступивший кризис не ограничится годом или двумя. Если верить прогнозам специалистов Минэкономразвития, российская экономика только к 2022 году способна войти в стадию прогрессии. Лишь после этого уровень некоторых зарплат перешагнет прожиточный минимум. </w:t>
      </w:r>
      <w:r>
        <w:rPr>
          <w:rFonts w:ascii="Times New Roman" w:eastAsia="Times New Roman" w:hAnsi="Times New Roman" w:cs="Times New Roman"/>
          <w:sz w:val="28"/>
        </w:rPr>
        <w:t xml:space="preserve">Процесс стагнации экономики длился с 2014 года, сейчас наблюдается ускоренная рецессия. </w:t>
      </w:r>
    </w:p>
    <w:p w:rsidR="0052701D" w:rsidRDefault="00D40929">
      <w:pPr>
        <w:spacing w:after="43" w:line="271" w:lineRule="auto"/>
        <w:ind w:left="9" w:right="64" w:firstLine="711"/>
        <w:jc w:val="both"/>
      </w:pPr>
      <w:r>
        <w:rPr>
          <w:rFonts w:ascii="Times New Roman" w:eastAsia="Times New Roman" w:hAnsi="Times New Roman" w:cs="Times New Roman"/>
          <w:sz w:val="28"/>
        </w:rPr>
        <w:t xml:space="preserve">Даже по самым оптимистичным прогнозам, к январю 2022 доля жителей, находящихся за чертой бедности, перевалит за 12%. </w:t>
      </w:r>
    </w:p>
    <w:p w:rsidR="0052701D" w:rsidRDefault="00D40929">
      <w:pPr>
        <w:spacing w:after="41" w:line="271" w:lineRule="auto"/>
        <w:ind w:left="9" w:right="64" w:firstLine="711"/>
        <w:jc w:val="both"/>
      </w:pPr>
      <w:r>
        <w:rPr>
          <w:rFonts w:ascii="Times New Roman" w:eastAsia="Times New Roman" w:hAnsi="Times New Roman" w:cs="Times New Roman"/>
          <w:sz w:val="28"/>
        </w:rPr>
        <w:t xml:space="preserve">Если конкретизировать, то наибольшее количество </w:t>
      </w:r>
      <w:r>
        <w:rPr>
          <w:rFonts w:ascii="Times New Roman" w:eastAsia="Times New Roman" w:hAnsi="Times New Roman" w:cs="Times New Roman"/>
          <w:sz w:val="28"/>
        </w:rPr>
        <w:t>бедных проживают в Калмыкии, Марий Эл, Чеченской Республике, Тыве, Ингушетии, Мордовии. В рейтинг обеспеченных регионов России вошли Республика Татарстан, Белгородская, Московская, Магаданская, Сахалинская, Тюменская области. Это связано с высокой долей пр</w:t>
      </w:r>
      <w:r>
        <w:rPr>
          <w:rFonts w:ascii="Times New Roman" w:eastAsia="Times New Roman" w:hAnsi="Times New Roman" w:cs="Times New Roman"/>
          <w:sz w:val="28"/>
        </w:rPr>
        <w:t xml:space="preserve">омышленно-перерабатывающего комплекса в экономике этих регионов. </w:t>
      </w:r>
    </w:p>
    <w:p w:rsidR="0052701D" w:rsidRDefault="00D40929">
      <w:pPr>
        <w:spacing w:after="40" w:line="271" w:lineRule="auto"/>
        <w:ind w:left="9" w:right="64" w:firstLine="711"/>
        <w:jc w:val="both"/>
      </w:pPr>
      <w:r>
        <w:rPr>
          <w:rFonts w:ascii="Times New Roman" w:eastAsia="Times New Roman" w:hAnsi="Times New Roman" w:cs="Times New Roman"/>
          <w:sz w:val="28"/>
        </w:rPr>
        <w:t xml:space="preserve">Сейчас наибольшая вероятность обнищания грозит жителям сельских хозяйств.  </w:t>
      </w:r>
    </w:p>
    <w:p w:rsidR="0052701D" w:rsidRDefault="00D40929">
      <w:pPr>
        <w:spacing w:after="42" w:line="271" w:lineRule="auto"/>
        <w:ind w:left="9" w:right="64" w:firstLine="711"/>
        <w:jc w:val="both"/>
      </w:pPr>
      <w:r>
        <w:rPr>
          <w:rFonts w:ascii="Times New Roman" w:eastAsia="Times New Roman" w:hAnsi="Times New Roman" w:cs="Times New Roman"/>
          <w:sz w:val="28"/>
        </w:rPr>
        <w:t>Несмотря на то, что в связи с запретом импортных продуктов питания многие прогнозировали рост доходов отечественны</w:t>
      </w:r>
      <w:r>
        <w:rPr>
          <w:rFonts w:ascii="Times New Roman" w:eastAsia="Times New Roman" w:hAnsi="Times New Roman" w:cs="Times New Roman"/>
          <w:sz w:val="28"/>
        </w:rPr>
        <w:t xml:space="preserve">х производителей, урбанизация наращивает темпы.  </w:t>
      </w:r>
    </w:p>
    <w:p w:rsidR="0052701D" w:rsidRDefault="00D40929">
      <w:pPr>
        <w:spacing w:after="40" w:line="271" w:lineRule="auto"/>
        <w:ind w:left="9" w:right="64" w:firstLine="711"/>
        <w:jc w:val="both"/>
      </w:pPr>
      <w:r>
        <w:rPr>
          <w:rFonts w:ascii="Times New Roman" w:eastAsia="Times New Roman" w:hAnsi="Times New Roman" w:cs="Times New Roman"/>
          <w:sz w:val="28"/>
        </w:rPr>
        <w:t>Люди ищут лучшей жизни в крупных городах, покидая свои хозяйства. Но специфика кризиса 2017 года позволяет с уверенностью в 100% заявить, что бедность, как никогда, затронет города-миллионники. Увеличится у</w:t>
      </w:r>
      <w:r>
        <w:rPr>
          <w:rFonts w:ascii="Times New Roman" w:eastAsia="Times New Roman" w:hAnsi="Times New Roman" w:cs="Times New Roman"/>
          <w:sz w:val="28"/>
        </w:rPr>
        <w:t xml:space="preserve">ровень безработных торговцев и строителей. </w:t>
      </w:r>
    </w:p>
    <w:p w:rsidR="0052701D" w:rsidRDefault="00D40929">
      <w:pPr>
        <w:spacing w:after="42" w:line="271" w:lineRule="auto"/>
        <w:ind w:left="9" w:right="64" w:firstLine="711"/>
        <w:jc w:val="both"/>
      </w:pPr>
      <w:r>
        <w:rPr>
          <w:rFonts w:ascii="Times New Roman" w:eastAsia="Times New Roman" w:hAnsi="Times New Roman" w:cs="Times New Roman"/>
          <w:sz w:val="28"/>
        </w:rPr>
        <w:t xml:space="preserve">Основная особенность России заключается в том, что, если в других странах бедность – синоним безработицы, то у нас две трети бедных трудоустроены.  </w:t>
      </w:r>
    </w:p>
    <w:p w:rsidR="0052701D" w:rsidRDefault="00D40929">
      <w:pPr>
        <w:spacing w:after="41" w:line="271" w:lineRule="auto"/>
        <w:ind w:left="9" w:right="64" w:firstLine="711"/>
        <w:jc w:val="both"/>
      </w:pPr>
      <w:r>
        <w:rPr>
          <w:rFonts w:ascii="Times New Roman" w:eastAsia="Times New Roman" w:hAnsi="Times New Roman" w:cs="Times New Roman"/>
          <w:sz w:val="28"/>
        </w:rPr>
        <w:t>Прогнозируется рост числа нищих пенсионеров и малоимущих несове</w:t>
      </w:r>
      <w:r>
        <w:rPr>
          <w:rFonts w:ascii="Times New Roman" w:eastAsia="Times New Roman" w:hAnsi="Times New Roman" w:cs="Times New Roman"/>
          <w:sz w:val="28"/>
        </w:rPr>
        <w:t xml:space="preserve">ршеннолетних. Последнее приведет к росту подростковой преступности и снижению эффективности образования. Антикризисная программа правительства не продумана. Главный ее недостаток заключается в разделении на отрасли.  </w:t>
      </w:r>
    </w:p>
    <w:p w:rsidR="0052701D" w:rsidRDefault="00D40929">
      <w:pPr>
        <w:spacing w:after="40" w:line="271" w:lineRule="auto"/>
        <w:ind w:left="9" w:right="64" w:firstLine="711"/>
        <w:jc w:val="both"/>
      </w:pPr>
      <w:r>
        <w:rPr>
          <w:rFonts w:ascii="Times New Roman" w:eastAsia="Times New Roman" w:hAnsi="Times New Roman" w:cs="Times New Roman"/>
          <w:sz w:val="28"/>
        </w:rPr>
        <w:t>Например, средства на поддержку малого</w:t>
      </w:r>
      <w:r>
        <w:rPr>
          <w:rFonts w:ascii="Times New Roman" w:eastAsia="Times New Roman" w:hAnsi="Times New Roman" w:cs="Times New Roman"/>
          <w:sz w:val="28"/>
        </w:rPr>
        <w:t xml:space="preserve"> и среднего бизнеса, которые необходимы на обеспечение импортозамещения, выделяются в сфере инноваций, а 50 миллиардов были почему-то выделены сельскому хозяйству. </w:t>
      </w:r>
    </w:p>
    <w:p w:rsidR="0052701D" w:rsidRDefault="00D40929">
      <w:pPr>
        <w:spacing w:after="41" w:line="271" w:lineRule="auto"/>
        <w:ind w:left="9" w:right="64" w:firstLine="711"/>
        <w:jc w:val="both"/>
      </w:pPr>
      <w:r>
        <w:rPr>
          <w:rFonts w:ascii="Times New Roman" w:eastAsia="Times New Roman" w:hAnsi="Times New Roman" w:cs="Times New Roman"/>
          <w:sz w:val="28"/>
        </w:rPr>
        <w:lastRenderedPageBreak/>
        <w:t>По официальным данным, в 2021 году в России 36,9 млн человек проживали в сельской местности</w:t>
      </w:r>
      <w:r>
        <w:rPr>
          <w:rFonts w:ascii="Times New Roman" w:eastAsia="Times New Roman" w:hAnsi="Times New Roman" w:cs="Times New Roman"/>
          <w:sz w:val="28"/>
        </w:rPr>
        <w:t>. Пять лет назад было 38 лет. Другими словами, за этот период времени сельское население сократилось более чем на 1 миллион человек. Спикер Совета Федерации Валентина Матвиенко заявила, что российские власти должны обратить вспять сокращение численности се</w:t>
      </w:r>
      <w:r>
        <w:rPr>
          <w:rFonts w:ascii="Times New Roman" w:eastAsia="Times New Roman" w:hAnsi="Times New Roman" w:cs="Times New Roman"/>
          <w:sz w:val="28"/>
        </w:rPr>
        <w:t xml:space="preserve">льского населения.  </w:t>
      </w:r>
    </w:p>
    <w:p w:rsidR="0052701D" w:rsidRDefault="00D40929">
      <w:pPr>
        <w:spacing w:after="105" w:line="271" w:lineRule="auto"/>
        <w:ind w:left="9" w:right="64" w:firstLine="711"/>
        <w:jc w:val="both"/>
      </w:pPr>
      <w:r>
        <w:rPr>
          <w:rFonts w:ascii="Times New Roman" w:eastAsia="Times New Roman" w:hAnsi="Times New Roman" w:cs="Times New Roman"/>
          <w:sz w:val="28"/>
        </w:rPr>
        <w:t>Для повышения уровня и качества жизни населения сельских территорий должна быть сформулирована политика, которая будет направлена на решение таких задач как диверсификация сельской экономики; повышение эффективности использования приро</w:t>
      </w:r>
      <w:r>
        <w:rPr>
          <w:rFonts w:ascii="Times New Roman" w:eastAsia="Times New Roman" w:hAnsi="Times New Roman" w:cs="Times New Roman"/>
          <w:sz w:val="28"/>
        </w:rPr>
        <w:t>дных, материальных и человеческих ресурсов сельской местности; развитие рыночной и социальной инфраструктуры; создание условий для привлечения квалифицированных</w:t>
      </w:r>
    </w:p>
    <w:p w:rsidR="0052701D" w:rsidRDefault="00D40929">
      <w:pPr>
        <w:spacing w:after="42" w:line="271" w:lineRule="auto"/>
        <w:ind w:left="9" w:right="64"/>
        <w:jc w:val="both"/>
      </w:pPr>
      <w:r>
        <w:rPr>
          <w:rFonts w:ascii="Times New Roman" w:eastAsia="Times New Roman" w:hAnsi="Times New Roman" w:cs="Times New Roman"/>
          <w:sz w:val="28"/>
        </w:rPr>
        <w:t>кадров в сельскую местность; стимулирование предпринимательской деятельности сельского населени</w:t>
      </w:r>
      <w:r>
        <w:rPr>
          <w:rFonts w:ascii="Times New Roman" w:eastAsia="Times New Roman" w:hAnsi="Times New Roman" w:cs="Times New Roman"/>
          <w:sz w:val="28"/>
        </w:rPr>
        <w:t xml:space="preserve">я. [2] </w:t>
      </w:r>
    </w:p>
    <w:p w:rsidR="0052701D" w:rsidRDefault="00D40929">
      <w:pPr>
        <w:spacing w:after="41" w:line="271" w:lineRule="auto"/>
        <w:ind w:left="9" w:right="64" w:firstLine="711"/>
        <w:jc w:val="both"/>
      </w:pPr>
      <w:r>
        <w:rPr>
          <w:rFonts w:ascii="Times New Roman" w:eastAsia="Times New Roman" w:hAnsi="Times New Roman" w:cs="Times New Roman"/>
          <w:sz w:val="28"/>
        </w:rPr>
        <w:t xml:space="preserve"> Таким образом, исследованные «уровень жизни населения», «качество жизни», «условия жизни населения» позволили нам рассмотреть научные методы определения уровня жизни с точки зрения производства, потребления, доходов, принципов управления и распред</w:t>
      </w:r>
      <w:r>
        <w:rPr>
          <w:rFonts w:ascii="Times New Roman" w:eastAsia="Times New Roman" w:hAnsi="Times New Roman" w:cs="Times New Roman"/>
          <w:sz w:val="28"/>
        </w:rPr>
        <w:t xml:space="preserve">еления. Также были проанализированы условия жизни населения, с точки зрения бытовых условий, условия труда, условия организации досуга.  </w:t>
      </w:r>
    </w:p>
    <w:p w:rsidR="0052701D" w:rsidRDefault="00D40929">
      <w:pPr>
        <w:spacing w:after="74"/>
        <w:ind w:left="711"/>
      </w:pPr>
      <w:r>
        <w:rPr>
          <w:rFonts w:ascii="Times New Roman" w:eastAsia="Times New Roman" w:hAnsi="Times New Roman" w:cs="Times New Roman"/>
          <w:sz w:val="28"/>
        </w:rPr>
        <w:t xml:space="preserve"> </w:t>
      </w:r>
    </w:p>
    <w:p w:rsidR="0052701D" w:rsidRDefault="00D40929">
      <w:pPr>
        <w:spacing w:after="5" w:line="271" w:lineRule="auto"/>
        <w:ind w:left="173" w:right="248" w:hanging="10"/>
        <w:jc w:val="center"/>
      </w:pPr>
      <w:r>
        <w:rPr>
          <w:rFonts w:ascii="Times New Roman" w:eastAsia="Times New Roman" w:hAnsi="Times New Roman" w:cs="Times New Roman"/>
          <w:b/>
          <w:sz w:val="28"/>
        </w:rPr>
        <w:t xml:space="preserve">ИСТОЧНИКИ </w:t>
      </w:r>
    </w:p>
    <w:p w:rsidR="0052701D" w:rsidRDefault="00D40929">
      <w:pPr>
        <w:spacing w:after="0"/>
        <w:ind w:right="5"/>
        <w:jc w:val="center"/>
      </w:pPr>
      <w:r>
        <w:rPr>
          <w:rFonts w:ascii="Times New Roman" w:eastAsia="Times New Roman" w:hAnsi="Times New Roman" w:cs="Times New Roman"/>
          <w:b/>
          <w:sz w:val="28"/>
        </w:rPr>
        <w:t xml:space="preserve"> </w:t>
      </w:r>
    </w:p>
    <w:p w:rsidR="0052701D" w:rsidRDefault="00D40929">
      <w:pPr>
        <w:numPr>
          <w:ilvl w:val="0"/>
          <w:numId w:val="121"/>
        </w:numPr>
        <w:spacing w:after="29" w:line="248" w:lineRule="auto"/>
        <w:ind w:right="14" w:firstLine="711"/>
        <w:jc w:val="both"/>
      </w:pPr>
      <w:r>
        <w:rPr>
          <w:rFonts w:ascii="Times New Roman" w:eastAsia="Times New Roman" w:hAnsi="Times New Roman" w:cs="Times New Roman"/>
          <w:sz w:val="24"/>
        </w:rPr>
        <w:t xml:space="preserve">Хайруллин А.М., Зарипова Р.С. Цифровое будущее медицины / Вектор развития управленческих подходов в </w:t>
      </w:r>
      <w:r>
        <w:rPr>
          <w:rFonts w:ascii="Times New Roman" w:eastAsia="Times New Roman" w:hAnsi="Times New Roman" w:cs="Times New Roman"/>
          <w:sz w:val="24"/>
        </w:rPr>
        <w:t xml:space="preserve">цифровой экономике. Материалы III Всероссийской научнопрактической конференции. Казань, 2021. С. 295-297. </w:t>
      </w:r>
    </w:p>
    <w:p w:rsidR="0052701D" w:rsidRDefault="00D40929">
      <w:pPr>
        <w:numPr>
          <w:ilvl w:val="0"/>
          <w:numId w:val="121"/>
        </w:numPr>
        <w:spacing w:after="29" w:line="248" w:lineRule="auto"/>
        <w:ind w:right="14" w:firstLine="711"/>
        <w:jc w:val="both"/>
      </w:pPr>
      <w:r>
        <w:rPr>
          <w:rFonts w:ascii="Times New Roman" w:eastAsia="Times New Roman" w:hAnsi="Times New Roman" w:cs="Times New Roman"/>
          <w:sz w:val="24"/>
        </w:rPr>
        <w:t>Дронова М. В. Качество жизни населения как критерий устойчивого развития сельских территорий / Молодой ученый.  2016. № 6.5 (110.5). С. 116-120. URL:</w:t>
      </w:r>
      <w:r>
        <w:rPr>
          <w:rFonts w:ascii="Times New Roman" w:eastAsia="Times New Roman" w:hAnsi="Times New Roman" w:cs="Times New Roman"/>
          <w:sz w:val="24"/>
        </w:rPr>
        <w:t xml:space="preserve"> https://moluch.ru/archive/110/27526/ (дата обращения: 04.01.2023). </w:t>
      </w:r>
    </w:p>
    <w:p w:rsidR="0052701D" w:rsidRDefault="00D40929">
      <w:pPr>
        <w:numPr>
          <w:ilvl w:val="0"/>
          <w:numId w:val="121"/>
        </w:numPr>
        <w:spacing w:after="29" w:line="248" w:lineRule="auto"/>
        <w:ind w:right="14" w:firstLine="711"/>
        <w:jc w:val="both"/>
      </w:pPr>
      <w:r>
        <w:rPr>
          <w:rFonts w:ascii="Times New Roman" w:eastAsia="Times New Roman" w:hAnsi="Times New Roman" w:cs="Times New Roman"/>
          <w:sz w:val="24"/>
        </w:rPr>
        <w:t>Зарипова Р.С., Рочева О.А., Хамидуллина Ф.Р., Арбузова М.В.Внедрение информационных технологий как фактор повышения эффективности работы транспортно- логистических систем// Наука Краснояр</w:t>
      </w:r>
      <w:r>
        <w:rPr>
          <w:rFonts w:ascii="Times New Roman" w:eastAsia="Times New Roman" w:hAnsi="Times New Roman" w:cs="Times New Roman"/>
          <w:sz w:val="24"/>
        </w:rPr>
        <w:t xml:space="preserve">ья. 2021. Т. 11, No2. С. 100-114. </w:t>
      </w:r>
    </w:p>
    <w:p w:rsidR="0052701D" w:rsidRDefault="00D40929">
      <w:pPr>
        <w:numPr>
          <w:ilvl w:val="0"/>
          <w:numId w:val="121"/>
        </w:numPr>
        <w:spacing w:after="29" w:line="248" w:lineRule="auto"/>
        <w:ind w:right="14" w:firstLine="711"/>
        <w:jc w:val="both"/>
      </w:pPr>
      <w:r>
        <w:rPr>
          <w:rFonts w:ascii="Times New Roman" w:eastAsia="Times New Roman" w:hAnsi="Times New Roman" w:cs="Times New Roman"/>
          <w:sz w:val="24"/>
        </w:rPr>
        <w:t>Белобородов С. С. Повышение системной эффективности ТЭЦ как фактор перехода к ресурсосберегающей и экологически безопасной энергетике / С. С. Белобородов, А. А. Дудолин, Е. М. Лисин, В. О. Киндра // Вестник Казанского гос</w:t>
      </w:r>
      <w:r>
        <w:rPr>
          <w:rFonts w:ascii="Times New Roman" w:eastAsia="Times New Roman" w:hAnsi="Times New Roman" w:cs="Times New Roman"/>
          <w:sz w:val="24"/>
        </w:rPr>
        <w:t xml:space="preserve">ударственного энергетического университета. 2021. Т. 13. № 3(51). С. 135-145. </w:t>
      </w:r>
    </w:p>
    <w:p w:rsidR="0052701D" w:rsidRDefault="00D40929">
      <w:pPr>
        <w:numPr>
          <w:ilvl w:val="0"/>
          <w:numId w:val="121"/>
        </w:numPr>
        <w:spacing w:after="29" w:line="248" w:lineRule="auto"/>
        <w:ind w:right="14" w:firstLine="711"/>
        <w:jc w:val="both"/>
      </w:pPr>
      <w:r>
        <w:rPr>
          <w:rFonts w:ascii="Times New Roman" w:eastAsia="Times New Roman" w:hAnsi="Times New Roman" w:cs="Times New Roman"/>
          <w:sz w:val="24"/>
        </w:rPr>
        <w:t xml:space="preserve">Рочева О.А., Зарипова Р.С., Морозова И.Г. Современное развитие Северного морского пути и его значимость для экономики России / Наука Красноярья. 2020. Т. 9. № 4-4. С. 208-214. </w:t>
      </w:r>
    </w:p>
    <w:p w:rsidR="0052701D" w:rsidRDefault="00D40929">
      <w:pPr>
        <w:numPr>
          <w:ilvl w:val="0"/>
          <w:numId w:val="121"/>
        </w:numPr>
        <w:spacing w:after="29" w:line="248" w:lineRule="auto"/>
        <w:ind w:right="14" w:firstLine="711"/>
        <w:jc w:val="both"/>
      </w:pPr>
      <w:r>
        <w:rPr>
          <w:rFonts w:ascii="Times New Roman" w:eastAsia="Times New Roman" w:hAnsi="Times New Roman" w:cs="Times New Roman"/>
          <w:sz w:val="24"/>
        </w:rPr>
        <w:lastRenderedPageBreak/>
        <w:t xml:space="preserve">Запольская И. Н. Влияние индивидуальных водо-водяных подогревателей на потребление тепловой энергии многоквартирными домами / И.Н. Запольская // Вестник </w:t>
      </w:r>
    </w:p>
    <w:p w:rsidR="0052701D" w:rsidRDefault="00D40929">
      <w:pPr>
        <w:spacing w:after="29" w:line="248" w:lineRule="auto"/>
        <w:ind w:left="9" w:right="14"/>
        <w:jc w:val="both"/>
      </w:pPr>
      <w:r>
        <w:rPr>
          <w:rFonts w:ascii="Times New Roman" w:eastAsia="Times New Roman" w:hAnsi="Times New Roman" w:cs="Times New Roman"/>
          <w:sz w:val="24"/>
        </w:rPr>
        <w:t xml:space="preserve">Казанского государственного энергетического университета. 2021. Т. 13. № 3(51). С. 146-155. </w:t>
      </w:r>
    </w:p>
    <w:p w:rsidR="0052701D" w:rsidRDefault="00D40929">
      <w:pPr>
        <w:numPr>
          <w:ilvl w:val="0"/>
          <w:numId w:val="121"/>
        </w:numPr>
        <w:spacing w:after="29" w:line="248" w:lineRule="auto"/>
        <w:ind w:right="14" w:firstLine="711"/>
        <w:jc w:val="both"/>
      </w:pPr>
      <w:r>
        <w:rPr>
          <w:rFonts w:ascii="Times New Roman" w:eastAsia="Times New Roman" w:hAnsi="Times New Roman" w:cs="Times New Roman"/>
          <w:sz w:val="24"/>
        </w:rPr>
        <w:t>Галиуллин</w:t>
      </w:r>
      <w:r>
        <w:rPr>
          <w:rFonts w:ascii="Times New Roman" w:eastAsia="Times New Roman" w:hAnsi="Times New Roman" w:cs="Times New Roman"/>
          <w:sz w:val="24"/>
        </w:rPr>
        <w:t xml:space="preserve">а Э.Р., Шакиров А.А., Зарипова Р.С. Проблема возрастного цифрового разрыва современности / Russian Journal of Education and Psychology. 2019. Т.10. № 4. С. 2529. </w:t>
      </w:r>
    </w:p>
    <w:p w:rsidR="0052701D" w:rsidRDefault="00D40929">
      <w:pPr>
        <w:numPr>
          <w:ilvl w:val="0"/>
          <w:numId w:val="121"/>
        </w:numPr>
        <w:spacing w:after="29" w:line="248" w:lineRule="auto"/>
        <w:ind w:right="14" w:firstLine="711"/>
        <w:jc w:val="both"/>
      </w:pPr>
      <w:r>
        <w:rPr>
          <w:rFonts w:ascii="Times New Roman" w:eastAsia="Times New Roman" w:hAnsi="Times New Roman" w:cs="Times New Roman"/>
          <w:sz w:val="24"/>
        </w:rPr>
        <w:t>Никитина У.О., Зарипова Р.С. Проблемы и перспективы применения технологий виртуальной реально</w:t>
      </w:r>
      <w:r>
        <w:rPr>
          <w:rFonts w:ascii="Times New Roman" w:eastAsia="Times New Roman" w:hAnsi="Times New Roman" w:cs="Times New Roman"/>
          <w:sz w:val="24"/>
        </w:rPr>
        <w:t xml:space="preserve">сти / Информационные технологии в строительных, социальных и экономических системах. 2020. № 2 (20). С. 81-83. </w:t>
      </w:r>
    </w:p>
    <w:p w:rsidR="0052701D" w:rsidRDefault="00D40929">
      <w:pPr>
        <w:pStyle w:val="4"/>
        <w:ind w:left="173" w:right="173"/>
      </w:pPr>
      <w:r>
        <w:t xml:space="preserve">СЕКЦИЯ «ЭКОНОМИКА ЗНАНИЙ КАК ФАКТОР </w:t>
      </w:r>
    </w:p>
    <w:p w:rsidR="0052701D" w:rsidRDefault="00D40929">
      <w:pPr>
        <w:pStyle w:val="2"/>
      </w:pPr>
      <w:r>
        <w:t xml:space="preserve">ИННОВАЦИОННОГО РАЗВИТИЯ ВЫСШЕГО ОБРАЗОВАНИЯ» </w:t>
      </w:r>
    </w:p>
    <w:p w:rsidR="0052701D" w:rsidRDefault="00D40929">
      <w:pPr>
        <w:spacing w:after="0"/>
      </w:pPr>
      <w:r>
        <w:rPr>
          <w:rFonts w:ascii="Times New Roman" w:eastAsia="Times New Roman" w:hAnsi="Times New Roman" w:cs="Times New Roman"/>
          <w:sz w:val="24"/>
        </w:rPr>
        <w:t xml:space="preserve"> </w:t>
      </w:r>
    </w:p>
    <w:p w:rsidR="0052701D" w:rsidRDefault="00D40929">
      <w:pPr>
        <w:spacing w:after="0"/>
      </w:pPr>
      <w:r>
        <w:rPr>
          <w:rFonts w:ascii="Times New Roman" w:eastAsia="Times New Roman" w:hAnsi="Times New Roman" w:cs="Times New Roman"/>
          <w:sz w:val="24"/>
        </w:rPr>
        <w:t xml:space="preserve"> </w:t>
      </w:r>
    </w:p>
    <w:p w:rsidR="0052701D" w:rsidRDefault="00D40929">
      <w:pPr>
        <w:spacing w:after="29" w:line="248" w:lineRule="auto"/>
        <w:ind w:left="9" w:right="14"/>
        <w:jc w:val="both"/>
      </w:pPr>
      <w:r>
        <w:rPr>
          <w:rFonts w:ascii="Times New Roman" w:eastAsia="Times New Roman" w:hAnsi="Times New Roman" w:cs="Times New Roman"/>
          <w:sz w:val="24"/>
        </w:rPr>
        <w:t xml:space="preserve">МРНТИ 06.71.37, </w:t>
      </w:r>
    </w:p>
    <w:p w:rsidR="0052701D" w:rsidRDefault="00D40929">
      <w:pPr>
        <w:spacing w:after="29" w:line="248" w:lineRule="auto"/>
        <w:ind w:left="9" w:right="14"/>
        <w:jc w:val="both"/>
      </w:pPr>
      <w:r>
        <w:rPr>
          <w:rFonts w:ascii="Times New Roman" w:eastAsia="Times New Roman" w:hAnsi="Times New Roman" w:cs="Times New Roman"/>
          <w:sz w:val="24"/>
        </w:rPr>
        <w:t xml:space="preserve">УДК 001:338  </w:t>
      </w:r>
    </w:p>
    <w:p w:rsidR="0052701D" w:rsidRDefault="00D40929">
      <w:pPr>
        <w:spacing w:after="35"/>
      </w:pPr>
      <w:r>
        <w:rPr>
          <w:rFonts w:ascii="Times New Roman" w:eastAsia="Times New Roman" w:hAnsi="Times New Roman" w:cs="Times New Roman"/>
          <w:sz w:val="28"/>
        </w:rPr>
        <w:t xml:space="preserve"> </w:t>
      </w:r>
    </w:p>
    <w:p w:rsidR="0052701D" w:rsidRDefault="00D40929">
      <w:pPr>
        <w:pStyle w:val="1"/>
        <w:ind w:left="173" w:right="240"/>
      </w:pPr>
      <w:r>
        <w:t xml:space="preserve">ОСОБЕННОСТИ ЭКОНОМИКИ </w:t>
      </w:r>
      <w:r>
        <w:t xml:space="preserve">ЗНАНИЙ В УСЛОВИЯХ </w:t>
      </w:r>
    </w:p>
    <w:p w:rsidR="0052701D" w:rsidRDefault="00D40929">
      <w:pPr>
        <w:spacing w:after="5" w:line="271" w:lineRule="auto"/>
        <w:ind w:left="173" w:right="240" w:hanging="10"/>
        <w:jc w:val="center"/>
      </w:pPr>
      <w:r>
        <w:rPr>
          <w:rFonts w:ascii="Times New Roman" w:eastAsia="Times New Roman" w:hAnsi="Times New Roman" w:cs="Times New Roman"/>
          <w:b/>
          <w:sz w:val="28"/>
        </w:rPr>
        <w:t xml:space="preserve">ГЛОБАЛЬНЫХ ИЗМЕНЕНИЙ </w:t>
      </w:r>
    </w:p>
    <w:p w:rsidR="0052701D" w:rsidRDefault="00D40929">
      <w:pPr>
        <w:spacing w:after="0"/>
        <w:ind w:right="5"/>
        <w:jc w:val="center"/>
      </w:pPr>
      <w:r>
        <w:rPr>
          <w:rFonts w:ascii="Times New Roman" w:eastAsia="Times New Roman" w:hAnsi="Times New Roman" w:cs="Times New Roman"/>
          <w:b/>
          <w:sz w:val="28"/>
        </w:rPr>
        <w:t xml:space="preserve"> </w:t>
      </w:r>
    </w:p>
    <w:p w:rsidR="0052701D" w:rsidRDefault="00D40929">
      <w:pPr>
        <w:pStyle w:val="1"/>
        <w:spacing w:after="14" w:line="248" w:lineRule="auto"/>
        <w:ind w:left="713" w:right="780" w:hanging="5"/>
      </w:pPr>
      <w:r>
        <w:rPr>
          <w:b w:val="0"/>
          <w:sz w:val="24"/>
        </w:rPr>
        <w:t xml:space="preserve">Афанасьев М.В., Уразбахтина Л.Р. </w:t>
      </w:r>
    </w:p>
    <w:p w:rsidR="0052701D" w:rsidRDefault="00D40929">
      <w:pPr>
        <w:spacing w:after="14" w:line="248" w:lineRule="auto"/>
        <w:ind w:left="713" w:right="783" w:hanging="5"/>
        <w:jc w:val="center"/>
      </w:pPr>
      <w:r>
        <w:rPr>
          <w:rFonts w:ascii="Times New Roman" w:eastAsia="Times New Roman" w:hAnsi="Times New Roman" w:cs="Times New Roman"/>
          <w:sz w:val="24"/>
        </w:rPr>
        <w:t xml:space="preserve">ФГБОУ ВО «КГЭУ», г. Казань, Россия </w:t>
      </w:r>
    </w:p>
    <w:p w:rsidR="0052701D" w:rsidRDefault="00D40929">
      <w:pPr>
        <w:spacing w:after="0"/>
        <w:ind w:left="10" w:right="77" w:hanging="10"/>
        <w:jc w:val="center"/>
      </w:pPr>
      <w:r>
        <w:rPr>
          <w:rFonts w:ascii="Times New Roman" w:eastAsia="Times New Roman" w:hAnsi="Times New Roman" w:cs="Times New Roman"/>
          <w:sz w:val="24"/>
        </w:rPr>
        <w:t xml:space="preserve">E-mail: </w:t>
      </w:r>
      <w:r>
        <w:rPr>
          <w:rFonts w:ascii="Times New Roman" w:eastAsia="Times New Roman" w:hAnsi="Times New Roman" w:cs="Times New Roman"/>
          <w:color w:val="0563C1"/>
          <w:sz w:val="24"/>
          <w:u w:val="single" w:color="0563C1"/>
        </w:rPr>
        <w:t>mixail.afanasev.98@inbox.ru</w:t>
      </w:r>
      <w:r>
        <w:rPr>
          <w:rFonts w:ascii="Times New Roman" w:eastAsia="Times New Roman" w:hAnsi="Times New Roman" w:cs="Times New Roman"/>
          <w:sz w:val="24"/>
        </w:rPr>
        <w:t xml:space="preserve"> , </w:t>
      </w:r>
      <w:r>
        <w:rPr>
          <w:rFonts w:ascii="Times New Roman" w:eastAsia="Times New Roman" w:hAnsi="Times New Roman" w:cs="Times New Roman"/>
          <w:color w:val="0563C1"/>
          <w:sz w:val="24"/>
          <w:u w:val="single" w:color="0563C1"/>
        </w:rPr>
        <w:t>strat.men@yandex.ru</w:t>
      </w:r>
      <w:r>
        <w:rPr>
          <w:rFonts w:ascii="Times New Roman" w:eastAsia="Times New Roman" w:hAnsi="Times New Roman" w:cs="Times New Roman"/>
          <w:sz w:val="24"/>
        </w:rPr>
        <w:t xml:space="preserve">    </w:t>
      </w:r>
    </w:p>
    <w:p w:rsidR="0052701D" w:rsidRDefault="00D40929">
      <w:pPr>
        <w:spacing w:after="23"/>
        <w:ind w:right="14"/>
        <w:jc w:val="center"/>
      </w:pPr>
      <w:r>
        <w:rPr>
          <w:rFonts w:ascii="Times New Roman" w:eastAsia="Times New Roman" w:hAnsi="Times New Roman" w:cs="Times New Roman"/>
          <w:sz w:val="24"/>
        </w:rPr>
        <w:t xml:space="preserve"> </w:t>
      </w:r>
    </w:p>
    <w:p w:rsidR="0052701D" w:rsidRDefault="00D40929">
      <w:pPr>
        <w:spacing w:after="29" w:line="248" w:lineRule="auto"/>
        <w:ind w:left="9" w:firstLine="567"/>
        <w:jc w:val="both"/>
      </w:pPr>
      <w:r>
        <w:rPr>
          <w:rFonts w:ascii="Times New Roman" w:eastAsia="Times New Roman" w:hAnsi="Times New Roman" w:cs="Times New Roman"/>
          <w:b/>
          <w:i/>
          <w:sz w:val="24"/>
        </w:rPr>
        <w:t xml:space="preserve">Аннотация. </w:t>
      </w:r>
      <w:r>
        <w:rPr>
          <w:rFonts w:ascii="Times New Roman" w:eastAsia="Times New Roman" w:hAnsi="Times New Roman" w:cs="Times New Roman"/>
          <w:i/>
          <w:sz w:val="24"/>
        </w:rPr>
        <w:t>В статье рассмотрены особенности современной экономики знаний в Росс</w:t>
      </w:r>
      <w:r>
        <w:rPr>
          <w:rFonts w:ascii="Times New Roman" w:eastAsia="Times New Roman" w:hAnsi="Times New Roman" w:cs="Times New Roman"/>
          <w:i/>
          <w:sz w:val="24"/>
        </w:rPr>
        <w:t>ии, описаны ее возможности и актуальные проблемы, даны рекомендации для ее эффективного становления в современных условиях. В статье описывается постепенных процесс снятия зависимости от природных ресурсов и трансформации экономики.  Были выделены ключевые</w:t>
      </w:r>
      <w:r>
        <w:rPr>
          <w:rFonts w:ascii="Times New Roman" w:eastAsia="Times New Roman" w:hAnsi="Times New Roman" w:cs="Times New Roman"/>
          <w:i/>
          <w:sz w:val="24"/>
        </w:rPr>
        <w:t xml:space="preserve"> направления для развития экономики знаний, описаны их характеристики в условиях современной России. Выделена важность развития инновационного потенциала в стране для сокращения технологического отставания от развитых стран и поддержания безопасности и кон</w:t>
      </w:r>
      <w:r>
        <w:rPr>
          <w:rFonts w:ascii="Times New Roman" w:eastAsia="Times New Roman" w:hAnsi="Times New Roman" w:cs="Times New Roman"/>
          <w:i/>
          <w:sz w:val="24"/>
        </w:rPr>
        <w:t xml:space="preserve">курентноспособности страны.  </w:t>
      </w:r>
    </w:p>
    <w:p w:rsidR="0052701D" w:rsidRDefault="00D40929">
      <w:pPr>
        <w:spacing w:after="29" w:line="248" w:lineRule="auto"/>
        <w:ind w:left="9" w:firstLine="567"/>
        <w:jc w:val="both"/>
      </w:pP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 xml:space="preserve"> экономика знаний, цифровизация, импортозамещение, технологическое развитие, инновации. </w:t>
      </w:r>
    </w:p>
    <w:p w:rsidR="0052701D" w:rsidRDefault="00D40929">
      <w:pPr>
        <w:spacing w:after="0"/>
        <w:ind w:right="14"/>
        <w:jc w:val="center"/>
      </w:pPr>
      <w:r>
        <w:rPr>
          <w:rFonts w:ascii="Times New Roman" w:eastAsia="Times New Roman" w:hAnsi="Times New Roman" w:cs="Times New Roman"/>
          <w:i/>
          <w:sz w:val="24"/>
        </w:rPr>
        <w:t xml:space="preserve"> </w:t>
      </w:r>
    </w:p>
    <w:p w:rsidR="0052701D" w:rsidRDefault="00D40929">
      <w:pPr>
        <w:spacing w:after="21"/>
        <w:ind w:right="14"/>
        <w:jc w:val="center"/>
      </w:pPr>
      <w:r>
        <w:rPr>
          <w:rFonts w:ascii="Times New Roman" w:eastAsia="Times New Roman" w:hAnsi="Times New Roman" w:cs="Times New Roman"/>
          <w:i/>
          <w:sz w:val="24"/>
        </w:rPr>
        <w:t xml:space="preserve"> </w:t>
      </w:r>
    </w:p>
    <w:p w:rsidR="0052701D" w:rsidRDefault="00D40929">
      <w:pPr>
        <w:spacing w:after="5" w:line="251" w:lineRule="auto"/>
        <w:ind w:left="19" w:firstLine="9"/>
      </w:pPr>
      <w:r>
        <w:rPr>
          <w:rFonts w:ascii="Times New Roman" w:eastAsia="Times New Roman" w:hAnsi="Times New Roman" w:cs="Times New Roman"/>
          <w:i/>
          <w:sz w:val="28"/>
        </w:rPr>
        <w:t xml:space="preserve"> </w:t>
      </w:r>
      <w:r>
        <w:rPr>
          <w:rFonts w:ascii="Times New Roman" w:eastAsia="Times New Roman" w:hAnsi="Times New Roman" w:cs="Times New Roman"/>
          <w:b/>
          <w:sz w:val="28"/>
        </w:rPr>
        <w:t xml:space="preserve">FEATURES OF THE KNOWLEDGE ECONOMY IN THE CONDITIONS OF </w:t>
      </w:r>
    </w:p>
    <w:p w:rsidR="0052701D" w:rsidRDefault="00D40929">
      <w:pPr>
        <w:spacing w:after="16" w:line="248" w:lineRule="auto"/>
        <w:ind w:left="819" w:right="890" w:hanging="10"/>
        <w:jc w:val="center"/>
      </w:pPr>
      <w:r>
        <w:rPr>
          <w:rFonts w:ascii="Times New Roman" w:eastAsia="Times New Roman" w:hAnsi="Times New Roman" w:cs="Times New Roman"/>
          <w:b/>
          <w:sz w:val="28"/>
        </w:rPr>
        <w:t>GLOBAL</w:t>
      </w:r>
      <w:r>
        <w:rPr>
          <w:rFonts w:ascii="Times New Roman" w:eastAsia="Times New Roman" w:hAnsi="Times New Roman" w:cs="Times New Roman"/>
          <w:b/>
          <w:sz w:val="24"/>
        </w:rPr>
        <w:t xml:space="preserve"> CHANGES </w:t>
      </w:r>
    </w:p>
    <w:p w:rsidR="0052701D" w:rsidRDefault="00D40929">
      <w:pPr>
        <w:spacing w:after="0"/>
        <w:ind w:right="14"/>
        <w:jc w:val="center"/>
      </w:pPr>
      <w:r>
        <w:rPr>
          <w:rFonts w:ascii="Times New Roman" w:eastAsia="Times New Roman" w:hAnsi="Times New Roman" w:cs="Times New Roman"/>
          <w:b/>
          <w:sz w:val="24"/>
        </w:rPr>
        <w:t xml:space="preserve"> </w:t>
      </w:r>
    </w:p>
    <w:p w:rsidR="0052701D" w:rsidRDefault="00D40929">
      <w:pPr>
        <w:spacing w:after="14" w:line="248" w:lineRule="auto"/>
        <w:ind w:left="713" w:right="787" w:hanging="5"/>
        <w:jc w:val="center"/>
      </w:pPr>
      <w:r>
        <w:rPr>
          <w:rFonts w:ascii="Times New Roman" w:eastAsia="Times New Roman" w:hAnsi="Times New Roman" w:cs="Times New Roman"/>
          <w:sz w:val="24"/>
        </w:rPr>
        <w:t xml:space="preserve">M.V. Afanasiev, L.R. Urazbakhtina  </w:t>
      </w:r>
    </w:p>
    <w:p w:rsidR="0052701D" w:rsidRDefault="00D40929">
      <w:pPr>
        <w:spacing w:after="0" w:line="248" w:lineRule="auto"/>
        <w:ind w:left="2305" w:right="14" w:firstLine="442"/>
        <w:jc w:val="both"/>
      </w:pPr>
      <w:r>
        <w:rPr>
          <w:rFonts w:ascii="Times New Roman" w:eastAsia="Times New Roman" w:hAnsi="Times New Roman" w:cs="Times New Roman"/>
          <w:sz w:val="24"/>
        </w:rPr>
        <w:t xml:space="preserve">Kazan </w:t>
      </w:r>
      <w:r>
        <w:rPr>
          <w:rFonts w:ascii="Times New Roman" w:eastAsia="Times New Roman" w:hAnsi="Times New Roman" w:cs="Times New Roman"/>
          <w:sz w:val="24"/>
        </w:rPr>
        <w:t xml:space="preserve">State Power Engineering University mixail.afanasev.98@inbox.ru, strat.men@yandex.ru  </w:t>
      </w:r>
    </w:p>
    <w:p w:rsidR="0052701D" w:rsidRDefault="00D40929">
      <w:pPr>
        <w:spacing w:after="0"/>
        <w:ind w:right="14"/>
        <w:jc w:val="center"/>
      </w:pPr>
      <w:r>
        <w:rPr>
          <w:rFonts w:ascii="Times New Roman" w:eastAsia="Times New Roman" w:hAnsi="Times New Roman" w:cs="Times New Roman"/>
          <w:sz w:val="24"/>
        </w:rPr>
        <w:t xml:space="preserve"> </w:t>
      </w:r>
    </w:p>
    <w:p w:rsidR="0052701D" w:rsidRDefault="00D40929">
      <w:pPr>
        <w:spacing w:after="0" w:line="248" w:lineRule="auto"/>
        <w:ind w:left="9" w:firstLine="711"/>
        <w:jc w:val="both"/>
      </w:pPr>
      <w:r>
        <w:rPr>
          <w:rFonts w:ascii="Times New Roman" w:eastAsia="Times New Roman" w:hAnsi="Times New Roman" w:cs="Times New Roman"/>
          <w:b/>
          <w:i/>
          <w:sz w:val="24"/>
        </w:rPr>
        <w:t xml:space="preserve">Annotation. </w:t>
      </w:r>
      <w:r>
        <w:rPr>
          <w:rFonts w:ascii="Times New Roman" w:eastAsia="Times New Roman" w:hAnsi="Times New Roman" w:cs="Times New Roman"/>
          <w:i/>
          <w:sz w:val="24"/>
        </w:rPr>
        <w:t>The article discusses the features of the modern knowledge economy in Russia, describes its capabilities and current problems, gives recommendations for its</w:t>
      </w:r>
      <w:r>
        <w:rPr>
          <w:rFonts w:ascii="Times New Roman" w:eastAsia="Times New Roman" w:hAnsi="Times New Roman" w:cs="Times New Roman"/>
          <w:i/>
          <w:sz w:val="24"/>
        </w:rPr>
        <w:t xml:space="preserve"> effective development in modern conditions. The article describes the gradual process of removing dependence on natural resources and transforming the economy. Key directions for the development of the knowledge economy were identified, their characterist</w:t>
      </w:r>
      <w:r>
        <w:rPr>
          <w:rFonts w:ascii="Times New Roman" w:eastAsia="Times New Roman" w:hAnsi="Times New Roman" w:cs="Times New Roman"/>
          <w:i/>
          <w:sz w:val="24"/>
        </w:rPr>
        <w:t>ics in the conditions of modern Russia were described. The importance of developing the country's innovative potential to reduce the technological gap from developed countries and maintain the country's security and competitiveness is highlighted.</w:t>
      </w:r>
      <w:r>
        <w:rPr>
          <w:rFonts w:ascii="Times New Roman" w:eastAsia="Times New Roman" w:hAnsi="Times New Roman" w:cs="Times New Roman"/>
          <w:b/>
          <w:i/>
          <w:sz w:val="24"/>
        </w:rPr>
        <w:t xml:space="preserve"> </w:t>
      </w:r>
    </w:p>
    <w:p w:rsidR="0052701D" w:rsidRDefault="00D40929">
      <w:pPr>
        <w:spacing w:after="0" w:line="248" w:lineRule="auto"/>
        <w:ind w:left="9" w:firstLine="711"/>
        <w:jc w:val="both"/>
      </w:pPr>
      <w:r>
        <w:rPr>
          <w:rFonts w:ascii="Times New Roman" w:eastAsia="Times New Roman" w:hAnsi="Times New Roman" w:cs="Times New Roman"/>
          <w:b/>
          <w:i/>
          <w:sz w:val="24"/>
        </w:rPr>
        <w:lastRenderedPageBreak/>
        <w:t>Key wor</w:t>
      </w:r>
      <w:r>
        <w:rPr>
          <w:rFonts w:ascii="Times New Roman" w:eastAsia="Times New Roman" w:hAnsi="Times New Roman" w:cs="Times New Roman"/>
          <w:b/>
          <w:i/>
          <w:sz w:val="24"/>
        </w:rPr>
        <w:t xml:space="preserve">ds: </w:t>
      </w:r>
      <w:r>
        <w:rPr>
          <w:rFonts w:ascii="Times New Roman" w:eastAsia="Times New Roman" w:hAnsi="Times New Roman" w:cs="Times New Roman"/>
          <w:i/>
          <w:sz w:val="24"/>
        </w:rPr>
        <w:t>knowledge economy, digitalization, import substitution, technological development, innovations.</w:t>
      </w:r>
      <w:r>
        <w:rPr>
          <w:rFonts w:ascii="Times New Roman" w:eastAsia="Times New Roman" w:hAnsi="Times New Roman" w:cs="Times New Roman"/>
          <w:b/>
          <w:i/>
          <w:sz w:val="24"/>
        </w:rPr>
        <w:t xml:space="preserve"> </w:t>
      </w:r>
    </w:p>
    <w:p w:rsidR="0052701D" w:rsidRDefault="00D40929">
      <w:pPr>
        <w:spacing w:after="0"/>
      </w:pPr>
      <w:r>
        <w:rPr>
          <w:rFonts w:ascii="Times New Roman" w:eastAsia="Times New Roman" w:hAnsi="Times New Roman" w:cs="Times New Roman"/>
          <w:i/>
          <w:sz w:val="20"/>
        </w:rPr>
        <w:t xml:space="preserve"> </w:t>
      </w:r>
    </w:p>
    <w:p w:rsidR="0052701D" w:rsidRDefault="00D40929">
      <w:pPr>
        <w:spacing w:after="112"/>
      </w:pPr>
      <w:r>
        <w:rPr>
          <w:rFonts w:ascii="Times New Roman" w:eastAsia="Times New Roman" w:hAnsi="Times New Roman" w:cs="Times New Roman"/>
          <w:i/>
          <w:sz w:val="20"/>
        </w:rPr>
        <w:t xml:space="preserve"> </w:t>
      </w:r>
    </w:p>
    <w:p w:rsidR="0052701D" w:rsidRDefault="00D40929">
      <w:pPr>
        <w:spacing w:after="5" w:line="251" w:lineRule="auto"/>
        <w:ind w:left="720" w:firstLine="9"/>
      </w:pPr>
      <w:r>
        <w:rPr>
          <w:rFonts w:ascii="Times New Roman" w:eastAsia="Times New Roman" w:hAnsi="Times New Roman" w:cs="Times New Roman"/>
          <w:b/>
          <w:sz w:val="28"/>
        </w:rPr>
        <w:t xml:space="preserve">Применяются общенаучные методы исследования </w:t>
      </w:r>
    </w:p>
    <w:p w:rsidR="0052701D" w:rsidRDefault="00D40929">
      <w:pPr>
        <w:spacing w:after="31"/>
        <w:ind w:left="711"/>
      </w:pPr>
      <w:r>
        <w:rPr>
          <w:rFonts w:ascii="Times New Roman" w:eastAsia="Times New Roman" w:hAnsi="Times New Roman" w:cs="Times New Roman"/>
          <w:sz w:val="28"/>
        </w:rPr>
        <w:t xml:space="preserve"> </w:t>
      </w:r>
    </w:p>
    <w:p w:rsidR="0052701D" w:rsidRDefault="00D40929">
      <w:pPr>
        <w:spacing w:after="30" w:line="251" w:lineRule="auto"/>
        <w:ind w:left="720" w:firstLine="9"/>
      </w:pPr>
      <w:r>
        <w:rPr>
          <w:rFonts w:ascii="Times New Roman" w:eastAsia="Times New Roman" w:hAnsi="Times New Roman" w:cs="Times New Roman"/>
          <w:i/>
          <w:sz w:val="28"/>
        </w:rPr>
        <w:t xml:space="preserve"> </w:t>
      </w:r>
      <w:r>
        <w:rPr>
          <w:rFonts w:ascii="Times New Roman" w:eastAsia="Times New Roman" w:hAnsi="Times New Roman" w:cs="Times New Roman"/>
          <w:b/>
          <w:sz w:val="28"/>
        </w:rPr>
        <w:t xml:space="preserve">Введение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Глобальное распространение знаний стало результатом развития общества и побудило к </w:t>
      </w:r>
      <w:r>
        <w:rPr>
          <w:rFonts w:ascii="Times New Roman" w:eastAsia="Times New Roman" w:hAnsi="Times New Roman" w:cs="Times New Roman"/>
          <w:sz w:val="28"/>
        </w:rPr>
        <w:t>становлению современной экономики, в которой главным ресурсом становится знание. В настоящий момент для страны поддерживание экономики знаний является одной из важнейших задач. Развитие экономики знаний напрямую обретает стратегическое значение, поддержива</w:t>
      </w:r>
      <w:r>
        <w:rPr>
          <w:rFonts w:ascii="Times New Roman" w:eastAsia="Times New Roman" w:hAnsi="Times New Roman" w:cs="Times New Roman"/>
          <w:sz w:val="28"/>
        </w:rPr>
        <w:t xml:space="preserve">ющее безопасность страны путем побуждения инновационного развития, внедрению новых методов и технологий, развитию науки, тем самым повышая благосостояние страны.  </w:t>
      </w:r>
    </w:p>
    <w:p w:rsidR="0052701D" w:rsidRDefault="00D40929">
      <w:pPr>
        <w:spacing w:after="5" w:line="271" w:lineRule="auto"/>
        <w:ind w:left="9" w:right="64" w:firstLine="711"/>
        <w:jc w:val="both"/>
      </w:pPr>
      <w:r>
        <w:rPr>
          <w:rFonts w:ascii="Times New Roman" w:eastAsia="Times New Roman" w:hAnsi="Times New Roman" w:cs="Times New Roman"/>
          <w:sz w:val="28"/>
        </w:rPr>
        <w:t>Экономика знаний – это тип экономики, являющийся высшим этапом развития постиндустриальной э</w:t>
      </w:r>
      <w:r>
        <w:rPr>
          <w:rFonts w:ascii="Times New Roman" w:eastAsia="Times New Roman" w:hAnsi="Times New Roman" w:cs="Times New Roman"/>
          <w:sz w:val="28"/>
        </w:rPr>
        <w:t xml:space="preserve">кономики, в которой основным фактором производства является человеческий капитал и знания.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В современных условиях для России стратегически важно поддерживать развитие экономики знаний в стране:  </w:t>
      </w:r>
    </w:p>
    <w:p w:rsidR="0052701D" w:rsidRDefault="00D40929">
      <w:pPr>
        <w:numPr>
          <w:ilvl w:val="0"/>
          <w:numId w:val="122"/>
        </w:numPr>
        <w:spacing w:after="5" w:line="271" w:lineRule="auto"/>
        <w:ind w:right="64" w:firstLine="711"/>
        <w:jc w:val="both"/>
      </w:pPr>
      <w:r>
        <w:rPr>
          <w:rFonts w:ascii="Times New Roman" w:eastAsia="Times New Roman" w:hAnsi="Times New Roman" w:cs="Times New Roman"/>
          <w:sz w:val="28"/>
        </w:rPr>
        <w:t>для сокращения отставания в технологическом развитии с раз</w:t>
      </w:r>
      <w:r>
        <w:rPr>
          <w:rFonts w:ascii="Times New Roman" w:eastAsia="Times New Roman" w:hAnsi="Times New Roman" w:cs="Times New Roman"/>
          <w:sz w:val="28"/>
        </w:rPr>
        <w:t xml:space="preserve">витыми странами;  </w:t>
      </w:r>
    </w:p>
    <w:p w:rsidR="0052701D" w:rsidRDefault="00D40929">
      <w:pPr>
        <w:numPr>
          <w:ilvl w:val="0"/>
          <w:numId w:val="122"/>
        </w:numPr>
        <w:spacing w:after="5" w:line="271" w:lineRule="auto"/>
        <w:ind w:right="64" w:firstLine="711"/>
        <w:jc w:val="both"/>
      </w:pPr>
      <w:r>
        <w:rPr>
          <w:rFonts w:ascii="Times New Roman" w:eastAsia="Times New Roman" w:hAnsi="Times New Roman" w:cs="Times New Roman"/>
          <w:sz w:val="28"/>
        </w:rPr>
        <w:t xml:space="preserve">для эффективного развития импортозамещения; </w:t>
      </w:r>
    </w:p>
    <w:p w:rsidR="0052701D" w:rsidRDefault="00D40929">
      <w:pPr>
        <w:numPr>
          <w:ilvl w:val="0"/>
          <w:numId w:val="122"/>
        </w:numPr>
        <w:spacing w:after="5" w:line="271" w:lineRule="auto"/>
        <w:ind w:right="64" w:firstLine="711"/>
        <w:jc w:val="both"/>
      </w:pPr>
      <w:r>
        <w:rPr>
          <w:rFonts w:ascii="Times New Roman" w:eastAsia="Times New Roman" w:hAnsi="Times New Roman" w:cs="Times New Roman"/>
          <w:sz w:val="28"/>
        </w:rPr>
        <w:t xml:space="preserve">повышения эффективности взаимодействия производства и науки внутри страны;  </w:t>
      </w:r>
    </w:p>
    <w:p w:rsidR="0052701D" w:rsidRDefault="00D40929">
      <w:pPr>
        <w:numPr>
          <w:ilvl w:val="0"/>
          <w:numId w:val="122"/>
        </w:numPr>
        <w:spacing w:after="5" w:line="271" w:lineRule="auto"/>
        <w:ind w:right="64" w:firstLine="711"/>
        <w:jc w:val="both"/>
      </w:pPr>
      <w:r>
        <w:rPr>
          <w:rFonts w:ascii="Times New Roman" w:eastAsia="Times New Roman" w:hAnsi="Times New Roman" w:cs="Times New Roman"/>
          <w:sz w:val="28"/>
        </w:rPr>
        <w:t xml:space="preserve">наличия высококвалифицированных кадров; </w:t>
      </w:r>
    </w:p>
    <w:p w:rsidR="0052701D" w:rsidRDefault="00D40929">
      <w:pPr>
        <w:spacing w:after="5" w:line="271" w:lineRule="auto"/>
        <w:ind w:left="9" w:right="64" w:firstLine="711"/>
        <w:jc w:val="both"/>
      </w:pPr>
      <w:r>
        <w:rPr>
          <w:rFonts w:ascii="Times New Roman" w:eastAsia="Times New Roman" w:hAnsi="Times New Roman" w:cs="Times New Roman"/>
          <w:sz w:val="28"/>
        </w:rPr>
        <w:t>Развитие конкурентной и современной продукции требует постоянных внедрений</w:t>
      </w:r>
      <w:r>
        <w:rPr>
          <w:rFonts w:ascii="Times New Roman" w:eastAsia="Times New Roman" w:hAnsi="Times New Roman" w:cs="Times New Roman"/>
          <w:sz w:val="28"/>
        </w:rPr>
        <w:t xml:space="preserve"> инноваций. Эффективность производства и ранее была построена на различных типах знания, однако значимость науки со временем становилась ключевым фактором роста и эффективности.  </w:t>
      </w:r>
    </w:p>
    <w:p w:rsidR="0052701D" w:rsidRDefault="00D40929">
      <w:pPr>
        <w:spacing w:after="5" w:line="271" w:lineRule="auto"/>
        <w:ind w:left="9" w:right="64" w:firstLine="711"/>
        <w:jc w:val="both"/>
      </w:pPr>
      <w:r>
        <w:rPr>
          <w:rFonts w:ascii="Times New Roman" w:eastAsia="Times New Roman" w:hAnsi="Times New Roman" w:cs="Times New Roman"/>
          <w:sz w:val="28"/>
        </w:rPr>
        <w:t>Экономика знаний является важным направлением развития в современной России,</w:t>
      </w:r>
      <w:r>
        <w:rPr>
          <w:rFonts w:ascii="Times New Roman" w:eastAsia="Times New Roman" w:hAnsi="Times New Roman" w:cs="Times New Roman"/>
          <w:sz w:val="28"/>
        </w:rPr>
        <w:t xml:space="preserve"> поскольку Россия имеет достаточное обеспечения для углубления развития исследований; развитие экономики знаний является ключевым фактором для эффективного развития импортозамещения и в том числе, для постепенной перестройки экономики в инновационную.  </w:t>
      </w:r>
    </w:p>
    <w:p w:rsidR="0052701D" w:rsidRDefault="00D40929">
      <w:pPr>
        <w:spacing w:after="34"/>
        <w:ind w:left="711"/>
      </w:pPr>
      <w:r>
        <w:rPr>
          <w:rFonts w:ascii="Times New Roman" w:eastAsia="Times New Roman" w:hAnsi="Times New Roman" w:cs="Times New Roman"/>
          <w:sz w:val="28"/>
        </w:rPr>
        <w:t xml:space="preserve"> </w:t>
      </w:r>
    </w:p>
    <w:p w:rsidR="0052701D" w:rsidRDefault="00D40929">
      <w:pPr>
        <w:spacing w:after="29" w:line="251" w:lineRule="auto"/>
        <w:ind w:left="720" w:firstLine="9"/>
      </w:pPr>
      <w:r>
        <w:rPr>
          <w:rFonts w:ascii="Times New Roman" w:eastAsia="Times New Roman" w:hAnsi="Times New Roman" w:cs="Times New Roman"/>
          <w:b/>
          <w:sz w:val="28"/>
        </w:rPr>
        <w:t xml:space="preserve">Основная часть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Ключевой проблемной особенностью экономики знаний в России в современных условиях является неблагоприятный инвестиционный климат, </w:t>
      </w:r>
      <w:r>
        <w:rPr>
          <w:rFonts w:ascii="Times New Roman" w:eastAsia="Times New Roman" w:hAnsi="Times New Roman" w:cs="Times New Roman"/>
          <w:sz w:val="28"/>
        </w:rPr>
        <w:lastRenderedPageBreak/>
        <w:t>который в разной степени присутствовал всегда в течении развития экономики знаний в России, однако в данный мо</w:t>
      </w:r>
      <w:r>
        <w:rPr>
          <w:rFonts w:ascii="Times New Roman" w:eastAsia="Times New Roman" w:hAnsi="Times New Roman" w:cs="Times New Roman"/>
          <w:sz w:val="28"/>
        </w:rPr>
        <w:t xml:space="preserve">мент неблагоприятный инвестиционный климат для иностранных инвесторов ярко выражен.  В подобных условиях государству необходимо принимать решительные меры для поддержания развития экономики знаний. Среди мероприятий для улучшения экономики знаний в стране </w:t>
      </w:r>
      <w:r>
        <w:rPr>
          <w:rFonts w:ascii="Times New Roman" w:eastAsia="Times New Roman" w:hAnsi="Times New Roman" w:cs="Times New Roman"/>
          <w:sz w:val="28"/>
        </w:rPr>
        <w:t xml:space="preserve">можно выделить: </w:t>
      </w:r>
    </w:p>
    <w:p w:rsidR="0052701D" w:rsidRDefault="00D40929">
      <w:pPr>
        <w:numPr>
          <w:ilvl w:val="0"/>
          <w:numId w:val="123"/>
        </w:numPr>
        <w:spacing w:after="5" w:line="271" w:lineRule="auto"/>
        <w:ind w:right="64" w:firstLine="711"/>
        <w:jc w:val="both"/>
      </w:pPr>
      <w:r>
        <w:rPr>
          <w:rFonts w:ascii="Times New Roman" w:eastAsia="Times New Roman" w:hAnsi="Times New Roman" w:cs="Times New Roman"/>
          <w:sz w:val="28"/>
        </w:rPr>
        <w:t xml:space="preserve">Проведение мероприятий для улучшения инвестиционного климата отраслей для государств-партнеров; </w:t>
      </w:r>
    </w:p>
    <w:p w:rsidR="0052701D" w:rsidRDefault="00D40929">
      <w:pPr>
        <w:numPr>
          <w:ilvl w:val="0"/>
          <w:numId w:val="123"/>
        </w:numPr>
        <w:spacing w:after="5" w:line="271" w:lineRule="auto"/>
        <w:ind w:right="64" w:firstLine="711"/>
        <w:jc w:val="both"/>
      </w:pPr>
      <w:r>
        <w:rPr>
          <w:rFonts w:ascii="Times New Roman" w:eastAsia="Times New Roman" w:hAnsi="Times New Roman" w:cs="Times New Roman"/>
          <w:sz w:val="28"/>
        </w:rPr>
        <w:t xml:space="preserve">Упрощение таможенного контроля; </w:t>
      </w:r>
    </w:p>
    <w:p w:rsidR="0052701D" w:rsidRDefault="00D40929">
      <w:pPr>
        <w:numPr>
          <w:ilvl w:val="0"/>
          <w:numId w:val="123"/>
        </w:numPr>
        <w:spacing w:after="5" w:line="271" w:lineRule="auto"/>
        <w:ind w:right="64" w:firstLine="711"/>
        <w:jc w:val="both"/>
      </w:pPr>
      <w:r>
        <w:rPr>
          <w:rFonts w:ascii="Times New Roman" w:eastAsia="Times New Roman" w:hAnsi="Times New Roman" w:cs="Times New Roman"/>
          <w:sz w:val="28"/>
        </w:rPr>
        <w:t xml:space="preserve">Подготовка системой образования специальных кадров для экономики знаний (трансформация системы образования </w:t>
      </w:r>
      <w:r>
        <w:rPr>
          <w:rFonts w:ascii="Times New Roman" w:eastAsia="Times New Roman" w:hAnsi="Times New Roman" w:cs="Times New Roman"/>
          <w:sz w:val="28"/>
        </w:rPr>
        <w:t xml:space="preserve">внедрения системы последипломного постоянного повышения квалификации; внедрение студентов старших курсов напрямую в рабочий процесс [9]; создание нормативной базы и условий для повышения затрат работадателей на повышение квалификации своих работников); </w:t>
      </w:r>
    </w:p>
    <w:p w:rsidR="0052701D" w:rsidRDefault="00D40929">
      <w:pPr>
        <w:numPr>
          <w:ilvl w:val="0"/>
          <w:numId w:val="123"/>
        </w:numPr>
        <w:spacing w:after="5" w:line="271" w:lineRule="auto"/>
        <w:ind w:right="64" w:firstLine="711"/>
        <w:jc w:val="both"/>
      </w:pPr>
      <w:r>
        <w:rPr>
          <w:rFonts w:ascii="Times New Roman" w:eastAsia="Times New Roman" w:hAnsi="Times New Roman" w:cs="Times New Roman"/>
          <w:sz w:val="28"/>
        </w:rPr>
        <w:t>Вы</w:t>
      </w:r>
      <w:r>
        <w:rPr>
          <w:rFonts w:ascii="Times New Roman" w:eastAsia="Times New Roman" w:hAnsi="Times New Roman" w:cs="Times New Roman"/>
          <w:sz w:val="28"/>
        </w:rPr>
        <w:t xml:space="preserve">полнение государственных инновационных заказов отечественными компаниями; </w:t>
      </w:r>
    </w:p>
    <w:p w:rsidR="0052701D" w:rsidRDefault="00D40929">
      <w:pPr>
        <w:numPr>
          <w:ilvl w:val="0"/>
          <w:numId w:val="123"/>
        </w:numPr>
        <w:spacing w:after="5" w:line="271" w:lineRule="auto"/>
        <w:ind w:right="64" w:firstLine="711"/>
        <w:jc w:val="both"/>
      </w:pPr>
      <w:r>
        <w:rPr>
          <w:rFonts w:ascii="Times New Roman" w:eastAsia="Times New Roman" w:hAnsi="Times New Roman" w:cs="Times New Roman"/>
          <w:sz w:val="28"/>
        </w:rPr>
        <w:t xml:space="preserve">Обновление правовой базы для участников взаимодействия между бизнесом, государством и наукой в современных условиях [4];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Следует отметить большое количество положительных </w:t>
      </w:r>
      <w:r>
        <w:rPr>
          <w:rFonts w:ascii="Times New Roman" w:eastAsia="Times New Roman" w:hAnsi="Times New Roman" w:cs="Times New Roman"/>
          <w:sz w:val="28"/>
        </w:rPr>
        <w:t xml:space="preserve">тенденций развития экономики знаний в России, это создание специальных зон для развития региональной инновационной деятельности (Особых экономических зон, бизнес-инкубаторов, научных центров, технопарков), поддержание молодежной научной деятельности путем </w:t>
      </w:r>
      <w:r>
        <w:rPr>
          <w:rFonts w:ascii="Times New Roman" w:eastAsia="Times New Roman" w:hAnsi="Times New Roman" w:cs="Times New Roman"/>
          <w:sz w:val="28"/>
        </w:rPr>
        <w:t>создания и поддержания специальных форумов и конференций для обмена знаний, общения, получения грантов и инвестиций для реализации своих идей. Россия является страной с высоким потенциалом развития экономики знаний, это обусловлено значительных отставанием</w:t>
      </w:r>
      <w:r>
        <w:rPr>
          <w:rFonts w:ascii="Times New Roman" w:eastAsia="Times New Roman" w:hAnsi="Times New Roman" w:cs="Times New Roman"/>
          <w:sz w:val="28"/>
        </w:rPr>
        <w:t xml:space="preserve"> от мировых лидеров по индексу уровня образования ( Education index 2020) – 39 место, против 34 в 2016 году[1]; рейтингу эффективности национальных систем образования  2016– 34 место [2,3], что указывает огромные возможности роста, учитывая что у России зн</w:t>
      </w:r>
      <w:r>
        <w:rPr>
          <w:rFonts w:ascii="Times New Roman" w:eastAsia="Times New Roman" w:hAnsi="Times New Roman" w:cs="Times New Roman"/>
          <w:sz w:val="28"/>
        </w:rPr>
        <w:t>ачительный кадровый потенциал, занимающийся исследованиями и разработками ( 662, 7 тысяч человек в 2021 году) [5]. Также следует отметить, что Россия входит в первую «пятерку» среди мировых лидеров по занятости населения в науке, но в тоже время, начиная с</w:t>
      </w:r>
      <w:r>
        <w:rPr>
          <w:rFonts w:ascii="Times New Roman" w:eastAsia="Times New Roman" w:hAnsi="Times New Roman" w:cs="Times New Roman"/>
          <w:sz w:val="28"/>
        </w:rPr>
        <w:t xml:space="preserve"> 2012 года, количество человек занимающихся наукой и исследованиями снизилось на 8,8%, а именно на 66.7 тысяч человек, что является весьма значительным снижением.  </w:t>
      </w:r>
    </w:p>
    <w:p w:rsidR="0052701D" w:rsidRDefault="00D40929">
      <w:pPr>
        <w:spacing w:after="5" w:line="271" w:lineRule="auto"/>
        <w:ind w:left="9" w:right="64" w:firstLine="711"/>
        <w:jc w:val="both"/>
      </w:pPr>
      <w:r>
        <w:rPr>
          <w:rFonts w:ascii="Times New Roman" w:eastAsia="Times New Roman" w:hAnsi="Times New Roman" w:cs="Times New Roman"/>
          <w:sz w:val="28"/>
        </w:rPr>
        <w:t>Наиболее приоритетными направлениями развития в области экономики знаний является образован</w:t>
      </w:r>
      <w:r>
        <w:rPr>
          <w:rFonts w:ascii="Times New Roman" w:eastAsia="Times New Roman" w:hAnsi="Times New Roman" w:cs="Times New Roman"/>
          <w:sz w:val="28"/>
        </w:rPr>
        <w:t xml:space="preserve">ие [6], информационно-коммуникативные технологии, интернет вещей (Internet of things), космические системы, внедрение </w:t>
      </w:r>
    </w:p>
    <w:p w:rsidR="0052701D" w:rsidRDefault="00D40929">
      <w:pPr>
        <w:spacing w:after="5" w:line="271" w:lineRule="auto"/>
        <w:ind w:left="9" w:right="64"/>
        <w:jc w:val="both"/>
      </w:pPr>
      <w:r>
        <w:rPr>
          <w:rFonts w:ascii="Times New Roman" w:eastAsia="Times New Roman" w:hAnsi="Times New Roman" w:cs="Times New Roman"/>
          <w:sz w:val="28"/>
        </w:rPr>
        <w:lastRenderedPageBreak/>
        <w:t>«умных» технологий, медицина и биотехнологии, инновации в энергетике, ядерная энергетика и оборонная промышленность. Наибольшим потенциал</w:t>
      </w:r>
      <w:r>
        <w:rPr>
          <w:rFonts w:ascii="Times New Roman" w:eastAsia="Times New Roman" w:hAnsi="Times New Roman" w:cs="Times New Roman"/>
          <w:sz w:val="28"/>
        </w:rPr>
        <w:t xml:space="preserve">ом для экономики знаний в России обладают отрасли, содержащие высокотехнологические знания, такие как: </w:t>
      </w:r>
    </w:p>
    <w:p w:rsidR="0052701D" w:rsidRDefault="00D40929">
      <w:pPr>
        <w:numPr>
          <w:ilvl w:val="0"/>
          <w:numId w:val="123"/>
        </w:numPr>
        <w:spacing w:after="5" w:line="271" w:lineRule="auto"/>
        <w:ind w:right="64" w:firstLine="711"/>
        <w:jc w:val="both"/>
      </w:pPr>
      <w:r>
        <w:rPr>
          <w:rFonts w:ascii="Times New Roman" w:eastAsia="Times New Roman" w:hAnsi="Times New Roman" w:cs="Times New Roman"/>
          <w:sz w:val="28"/>
        </w:rPr>
        <w:t xml:space="preserve">биотехнологии; </w:t>
      </w:r>
    </w:p>
    <w:p w:rsidR="0052701D" w:rsidRDefault="00D40929">
      <w:pPr>
        <w:numPr>
          <w:ilvl w:val="0"/>
          <w:numId w:val="123"/>
        </w:numPr>
        <w:spacing w:after="5" w:line="271" w:lineRule="auto"/>
        <w:ind w:right="64" w:firstLine="711"/>
        <w:jc w:val="both"/>
      </w:pPr>
      <w:r>
        <w:rPr>
          <w:rFonts w:ascii="Times New Roman" w:eastAsia="Times New Roman" w:hAnsi="Times New Roman" w:cs="Times New Roman"/>
          <w:sz w:val="28"/>
        </w:rPr>
        <w:t xml:space="preserve">информационно- коммуникативные технологии; - нейротехнологии; - нанотехнологии. </w:t>
      </w:r>
    </w:p>
    <w:p w:rsidR="0052701D" w:rsidRDefault="00D40929">
      <w:pPr>
        <w:spacing w:after="5" w:line="271" w:lineRule="auto"/>
        <w:ind w:left="9" w:right="64" w:firstLine="711"/>
        <w:jc w:val="both"/>
      </w:pPr>
      <w:r>
        <w:rPr>
          <w:rFonts w:ascii="Times New Roman" w:eastAsia="Times New Roman" w:hAnsi="Times New Roman" w:cs="Times New Roman"/>
          <w:sz w:val="28"/>
        </w:rPr>
        <w:t>Еще одной особенностью развития экономики знаний в Росс</w:t>
      </w:r>
      <w:r>
        <w:rPr>
          <w:rFonts w:ascii="Times New Roman" w:eastAsia="Times New Roman" w:hAnsi="Times New Roman" w:cs="Times New Roman"/>
          <w:sz w:val="28"/>
        </w:rPr>
        <w:t xml:space="preserve">ии является государственно-частное партнерство, которое напрямую стимулирует развитие отрасли, тем самым побуждает инновационное развитие как частных компаний, так и государственных научно-технических предприятий.  </w:t>
      </w:r>
    </w:p>
    <w:p w:rsidR="0052701D" w:rsidRDefault="00D40929">
      <w:pPr>
        <w:spacing w:after="5" w:line="271" w:lineRule="auto"/>
        <w:ind w:left="9" w:right="64" w:firstLine="711"/>
        <w:jc w:val="both"/>
      </w:pPr>
      <w:r>
        <w:rPr>
          <w:rFonts w:ascii="Times New Roman" w:eastAsia="Times New Roman" w:hAnsi="Times New Roman" w:cs="Times New Roman"/>
          <w:sz w:val="28"/>
        </w:rPr>
        <w:t>Учитывая современные глобальные изменени</w:t>
      </w:r>
      <w:r>
        <w:rPr>
          <w:rFonts w:ascii="Times New Roman" w:eastAsia="Times New Roman" w:hAnsi="Times New Roman" w:cs="Times New Roman"/>
          <w:sz w:val="28"/>
        </w:rPr>
        <w:t xml:space="preserve">я и текущее положение России, даны следующие рекомендации по укреплению положения экономики знаний в России и ее развития: </w:t>
      </w:r>
    </w:p>
    <w:p w:rsidR="0052701D" w:rsidRDefault="00D40929">
      <w:pPr>
        <w:numPr>
          <w:ilvl w:val="0"/>
          <w:numId w:val="123"/>
        </w:numPr>
        <w:spacing w:after="5" w:line="271" w:lineRule="auto"/>
        <w:ind w:right="64" w:firstLine="711"/>
        <w:jc w:val="both"/>
      </w:pPr>
      <w:r>
        <w:rPr>
          <w:rFonts w:ascii="Times New Roman" w:eastAsia="Times New Roman" w:hAnsi="Times New Roman" w:cs="Times New Roman"/>
          <w:sz w:val="28"/>
        </w:rPr>
        <w:t>Создание условий и возможностей в стране для экспорта создаваемой инновационной продукции как материального, так и нематериального т</w:t>
      </w:r>
      <w:r>
        <w:rPr>
          <w:rFonts w:ascii="Times New Roman" w:eastAsia="Times New Roman" w:hAnsi="Times New Roman" w:cs="Times New Roman"/>
          <w:sz w:val="28"/>
        </w:rPr>
        <w:t xml:space="preserve">ипов; </w:t>
      </w:r>
    </w:p>
    <w:p w:rsidR="0052701D" w:rsidRDefault="00D40929">
      <w:pPr>
        <w:numPr>
          <w:ilvl w:val="0"/>
          <w:numId w:val="123"/>
        </w:numPr>
        <w:spacing w:after="5" w:line="271" w:lineRule="auto"/>
        <w:ind w:right="64" w:firstLine="711"/>
        <w:jc w:val="both"/>
      </w:pPr>
      <w:r>
        <w:rPr>
          <w:rFonts w:ascii="Times New Roman" w:eastAsia="Times New Roman" w:hAnsi="Times New Roman" w:cs="Times New Roman"/>
          <w:sz w:val="28"/>
        </w:rPr>
        <w:t xml:space="preserve">Создание единой базы для согласованного взаимодействия между государством и частным сектором; </w:t>
      </w:r>
    </w:p>
    <w:p w:rsidR="0052701D" w:rsidRDefault="00D40929">
      <w:pPr>
        <w:numPr>
          <w:ilvl w:val="0"/>
          <w:numId w:val="123"/>
        </w:numPr>
        <w:spacing w:after="5" w:line="271" w:lineRule="auto"/>
        <w:ind w:right="64" w:firstLine="711"/>
        <w:jc w:val="both"/>
      </w:pPr>
      <w:r>
        <w:rPr>
          <w:rFonts w:ascii="Times New Roman" w:eastAsia="Times New Roman" w:hAnsi="Times New Roman" w:cs="Times New Roman"/>
          <w:sz w:val="28"/>
        </w:rPr>
        <w:t xml:space="preserve">Обозначение приоритетных направлений развития экономики знаний, и их активное стимулирование [7]; </w:t>
      </w:r>
    </w:p>
    <w:p w:rsidR="0052701D" w:rsidRDefault="00D40929">
      <w:pPr>
        <w:numPr>
          <w:ilvl w:val="0"/>
          <w:numId w:val="123"/>
        </w:numPr>
        <w:spacing w:after="5" w:line="271" w:lineRule="auto"/>
        <w:ind w:right="64" w:firstLine="711"/>
        <w:jc w:val="both"/>
      </w:pPr>
      <w:r>
        <w:rPr>
          <w:rFonts w:ascii="Times New Roman" w:eastAsia="Times New Roman" w:hAnsi="Times New Roman" w:cs="Times New Roman"/>
          <w:sz w:val="28"/>
        </w:rPr>
        <w:t>Внесение в стратегические планы регионов повышения коли</w:t>
      </w:r>
      <w:r>
        <w:rPr>
          <w:rFonts w:ascii="Times New Roman" w:eastAsia="Times New Roman" w:hAnsi="Times New Roman" w:cs="Times New Roman"/>
          <w:sz w:val="28"/>
        </w:rPr>
        <w:t xml:space="preserve">чества выпуска высококвалифицированных кадров по приоритетным направлениям экономики знаний, создание регулирующего органа, которым будет отслеживать и корректировать регионы по выполнению плана; </w:t>
      </w:r>
    </w:p>
    <w:p w:rsidR="0052701D" w:rsidRDefault="00D40929">
      <w:pPr>
        <w:numPr>
          <w:ilvl w:val="0"/>
          <w:numId w:val="123"/>
        </w:numPr>
        <w:spacing w:after="5" w:line="271" w:lineRule="auto"/>
        <w:ind w:right="64" w:firstLine="711"/>
        <w:jc w:val="both"/>
      </w:pPr>
      <w:r>
        <w:rPr>
          <w:rFonts w:ascii="Times New Roman" w:eastAsia="Times New Roman" w:hAnsi="Times New Roman" w:cs="Times New Roman"/>
          <w:sz w:val="28"/>
        </w:rPr>
        <w:t>Заморозка и реорганизация убыточных и неэффективных направл</w:t>
      </w:r>
      <w:r>
        <w:rPr>
          <w:rFonts w:ascii="Times New Roman" w:eastAsia="Times New Roman" w:hAnsi="Times New Roman" w:cs="Times New Roman"/>
          <w:sz w:val="28"/>
        </w:rPr>
        <w:t xml:space="preserve">ений развития; </w:t>
      </w:r>
    </w:p>
    <w:p w:rsidR="0052701D" w:rsidRDefault="00D40929">
      <w:pPr>
        <w:numPr>
          <w:ilvl w:val="0"/>
          <w:numId w:val="123"/>
        </w:numPr>
        <w:spacing w:after="5" w:line="271" w:lineRule="auto"/>
        <w:ind w:right="64" w:firstLine="711"/>
        <w:jc w:val="both"/>
      </w:pPr>
      <w:r>
        <w:rPr>
          <w:rFonts w:ascii="Times New Roman" w:eastAsia="Times New Roman" w:hAnsi="Times New Roman" w:cs="Times New Roman"/>
          <w:sz w:val="28"/>
        </w:rPr>
        <w:t xml:space="preserve">Создание новых экономических зон в регионах [8]; </w:t>
      </w:r>
    </w:p>
    <w:p w:rsidR="0052701D" w:rsidRDefault="00D40929">
      <w:pPr>
        <w:numPr>
          <w:ilvl w:val="0"/>
          <w:numId w:val="123"/>
        </w:numPr>
        <w:spacing w:after="5" w:line="271" w:lineRule="auto"/>
        <w:ind w:right="64" w:firstLine="711"/>
        <w:jc w:val="both"/>
      </w:pPr>
      <w:r>
        <w:rPr>
          <w:rFonts w:ascii="Times New Roman" w:eastAsia="Times New Roman" w:hAnsi="Times New Roman" w:cs="Times New Roman"/>
          <w:sz w:val="28"/>
        </w:rPr>
        <w:t xml:space="preserve">Создание условий для гибкости трудового рынка; </w:t>
      </w:r>
    </w:p>
    <w:p w:rsidR="0052701D" w:rsidRDefault="00D40929">
      <w:pPr>
        <w:numPr>
          <w:ilvl w:val="0"/>
          <w:numId w:val="123"/>
        </w:numPr>
        <w:spacing w:after="5" w:line="271" w:lineRule="auto"/>
        <w:ind w:right="64" w:firstLine="711"/>
        <w:jc w:val="both"/>
      </w:pPr>
      <w:r>
        <w:rPr>
          <w:rFonts w:ascii="Times New Roman" w:eastAsia="Times New Roman" w:hAnsi="Times New Roman" w:cs="Times New Roman"/>
          <w:sz w:val="28"/>
        </w:rPr>
        <w:t xml:space="preserve">Формирование новой нормативной базы, в которую будут включены новые направления, связанные с экономикой знаний; </w:t>
      </w:r>
    </w:p>
    <w:p w:rsidR="0052701D" w:rsidRDefault="00D40929">
      <w:pPr>
        <w:numPr>
          <w:ilvl w:val="0"/>
          <w:numId w:val="123"/>
        </w:numPr>
        <w:spacing w:after="5" w:line="271" w:lineRule="auto"/>
        <w:ind w:right="64" w:firstLine="711"/>
        <w:jc w:val="both"/>
      </w:pPr>
      <w:r>
        <w:rPr>
          <w:rFonts w:ascii="Times New Roman" w:eastAsia="Times New Roman" w:hAnsi="Times New Roman" w:cs="Times New Roman"/>
          <w:sz w:val="28"/>
        </w:rPr>
        <w:t xml:space="preserve">Создание условий для научных </w:t>
      </w:r>
      <w:r>
        <w:rPr>
          <w:rFonts w:ascii="Times New Roman" w:eastAsia="Times New Roman" w:hAnsi="Times New Roman" w:cs="Times New Roman"/>
          <w:sz w:val="28"/>
        </w:rPr>
        <w:t xml:space="preserve">кадров, студентов и аспирантов для углубленного, взаимовыгодного международного сотрудничества; </w:t>
      </w:r>
    </w:p>
    <w:p w:rsidR="0052701D" w:rsidRDefault="00D40929">
      <w:pPr>
        <w:numPr>
          <w:ilvl w:val="0"/>
          <w:numId w:val="123"/>
        </w:numPr>
        <w:spacing w:after="5" w:line="271" w:lineRule="auto"/>
        <w:ind w:right="64" w:firstLine="711"/>
        <w:jc w:val="both"/>
      </w:pPr>
      <w:r>
        <w:rPr>
          <w:rFonts w:ascii="Times New Roman" w:eastAsia="Times New Roman" w:hAnsi="Times New Roman" w:cs="Times New Roman"/>
          <w:sz w:val="28"/>
        </w:rPr>
        <w:t xml:space="preserve">Обновление правового поля в связи с глобальными изменениями в мире, и текущим состоянием экономики знаний в стране; </w:t>
      </w:r>
    </w:p>
    <w:p w:rsidR="0052701D" w:rsidRDefault="00D40929">
      <w:pPr>
        <w:spacing w:after="35"/>
        <w:ind w:left="711"/>
      </w:pPr>
      <w:r>
        <w:rPr>
          <w:rFonts w:ascii="Times New Roman" w:eastAsia="Times New Roman" w:hAnsi="Times New Roman" w:cs="Times New Roman"/>
          <w:sz w:val="28"/>
        </w:rPr>
        <w:t xml:space="preserve"> </w:t>
      </w:r>
    </w:p>
    <w:p w:rsidR="0052701D" w:rsidRDefault="00D40929">
      <w:pPr>
        <w:spacing w:after="28" w:line="251" w:lineRule="auto"/>
        <w:ind w:left="720" w:firstLine="9"/>
      </w:pPr>
      <w:r>
        <w:rPr>
          <w:rFonts w:ascii="Times New Roman" w:eastAsia="Times New Roman" w:hAnsi="Times New Roman" w:cs="Times New Roman"/>
          <w:b/>
          <w:sz w:val="28"/>
        </w:rPr>
        <w:t xml:space="preserve">Обсуждение </w:t>
      </w:r>
    </w:p>
    <w:p w:rsidR="0052701D" w:rsidRDefault="00D40929">
      <w:pPr>
        <w:spacing w:after="5" w:line="271" w:lineRule="auto"/>
        <w:ind w:left="9" w:right="64" w:firstLine="711"/>
        <w:jc w:val="both"/>
      </w:pPr>
      <w:r>
        <w:rPr>
          <w:rFonts w:ascii="Times New Roman" w:eastAsia="Times New Roman" w:hAnsi="Times New Roman" w:cs="Times New Roman"/>
          <w:sz w:val="28"/>
        </w:rPr>
        <w:lastRenderedPageBreak/>
        <w:t>В настоящий момент экономика</w:t>
      </w:r>
      <w:r>
        <w:rPr>
          <w:rFonts w:ascii="Times New Roman" w:eastAsia="Times New Roman" w:hAnsi="Times New Roman" w:cs="Times New Roman"/>
          <w:sz w:val="28"/>
        </w:rPr>
        <w:t xml:space="preserve"> знаний в России находитcя в состоянии ожидания трансформации, подготовке к развитию в новых условиях. Рост количества наукоёмких предприятий и проведение значительных мер по популяризации науки среди молодежи дают возможность становлению современной эконо</w:t>
      </w:r>
      <w:r>
        <w:rPr>
          <w:rFonts w:ascii="Times New Roman" w:eastAsia="Times New Roman" w:hAnsi="Times New Roman" w:cs="Times New Roman"/>
          <w:sz w:val="28"/>
        </w:rPr>
        <w:t xml:space="preserve">мики знаний. Современные вызовы инновационной безопасности ставят перед приоритетными отраслями большие задачи. </w:t>
      </w:r>
    </w:p>
    <w:p w:rsidR="0052701D" w:rsidRDefault="00D40929">
      <w:pPr>
        <w:spacing w:after="34"/>
        <w:ind w:left="706"/>
      </w:pPr>
      <w:r>
        <w:rPr>
          <w:rFonts w:ascii="Times New Roman" w:eastAsia="Times New Roman" w:hAnsi="Times New Roman" w:cs="Times New Roman"/>
          <w:sz w:val="28"/>
        </w:rPr>
        <w:t xml:space="preserve"> </w:t>
      </w:r>
    </w:p>
    <w:p w:rsidR="0052701D" w:rsidRDefault="00D40929">
      <w:pPr>
        <w:spacing w:after="30" w:line="251" w:lineRule="auto"/>
        <w:ind w:left="720" w:firstLine="9"/>
      </w:pPr>
      <w:r>
        <w:rPr>
          <w:rFonts w:ascii="Times New Roman" w:eastAsia="Times New Roman" w:hAnsi="Times New Roman" w:cs="Times New Roman"/>
          <w:b/>
          <w:sz w:val="28"/>
        </w:rPr>
        <w:t xml:space="preserve">Выводы </w:t>
      </w:r>
    </w:p>
    <w:p w:rsidR="0052701D" w:rsidRDefault="00D40929">
      <w:pPr>
        <w:spacing w:after="5" w:line="271" w:lineRule="auto"/>
        <w:ind w:left="9" w:right="64" w:firstLine="711"/>
        <w:jc w:val="both"/>
      </w:pPr>
      <w:r>
        <w:rPr>
          <w:rFonts w:ascii="Times New Roman" w:eastAsia="Times New Roman" w:hAnsi="Times New Roman" w:cs="Times New Roman"/>
          <w:sz w:val="28"/>
        </w:rPr>
        <w:t>Исходя из вышесказанного, выполнение описанных рекомендаций позволит сформировать новую культуру экономики знаний, организовать транс</w:t>
      </w:r>
      <w:r>
        <w:rPr>
          <w:rFonts w:ascii="Times New Roman" w:eastAsia="Times New Roman" w:hAnsi="Times New Roman" w:cs="Times New Roman"/>
          <w:sz w:val="28"/>
        </w:rPr>
        <w:t>формацию экономики, которая крайне необходима в текущем положении российской экономики в целом. Рассмотрев особенности экономики знаний в современной России, необходимо подчеркнуть ее важность, так как она напрямую влияет на уровень образования, развития б</w:t>
      </w:r>
      <w:r>
        <w:rPr>
          <w:rFonts w:ascii="Times New Roman" w:eastAsia="Times New Roman" w:hAnsi="Times New Roman" w:cs="Times New Roman"/>
          <w:sz w:val="28"/>
        </w:rPr>
        <w:t xml:space="preserve">изнеса, инновационного прогресса и страны в целом.  </w:t>
      </w:r>
    </w:p>
    <w:p w:rsidR="0052701D" w:rsidRDefault="00D40929">
      <w:pPr>
        <w:spacing w:after="33"/>
        <w:ind w:left="711"/>
      </w:pPr>
      <w:r>
        <w:rPr>
          <w:rFonts w:ascii="Times New Roman" w:eastAsia="Times New Roman" w:hAnsi="Times New Roman" w:cs="Times New Roman"/>
          <w:sz w:val="28"/>
        </w:rPr>
        <w:t xml:space="preserve"> </w:t>
      </w:r>
    </w:p>
    <w:p w:rsidR="0052701D" w:rsidRDefault="00D40929">
      <w:pPr>
        <w:spacing w:after="5" w:line="271" w:lineRule="auto"/>
        <w:ind w:left="636" w:hanging="10"/>
        <w:jc w:val="center"/>
      </w:pPr>
      <w:r>
        <w:rPr>
          <w:rFonts w:ascii="Times New Roman" w:eastAsia="Times New Roman" w:hAnsi="Times New Roman" w:cs="Times New Roman"/>
          <w:b/>
          <w:sz w:val="28"/>
        </w:rPr>
        <w:t xml:space="preserve">ИСТОЧНИКИ  </w:t>
      </w:r>
    </w:p>
    <w:p w:rsidR="0052701D" w:rsidRDefault="00D40929">
      <w:pPr>
        <w:spacing w:after="22"/>
        <w:ind w:left="696"/>
        <w:jc w:val="center"/>
      </w:pPr>
      <w:r>
        <w:rPr>
          <w:rFonts w:ascii="Times New Roman" w:eastAsia="Times New Roman" w:hAnsi="Times New Roman" w:cs="Times New Roman"/>
          <w:b/>
          <w:sz w:val="28"/>
        </w:rPr>
        <w:t xml:space="preserve"> </w:t>
      </w:r>
    </w:p>
    <w:p w:rsidR="0052701D" w:rsidRDefault="00D40929">
      <w:pPr>
        <w:numPr>
          <w:ilvl w:val="0"/>
          <w:numId w:val="124"/>
        </w:numPr>
        <w:spacing w:after="5" w:line="271" w:lineRule="auto"/>
        <w:ind w:right="64" w:firstLine="711"/>
        <w:jc w:val="both"/>
      </w:pPr>
      <w:r>
        <w:rPr>
          <w:rFonts w:ascii="Times New Roman" w:eastAsia="Times New Roman" w:hAnsi="Times New Roman" w:cs="Times New Roman"/>
          <w:sz w:val="28"/>
        </w:rPr>
        <w:t xml:space="preserve">Дробышевская Л. Н., Попова Е. Д. Развитие экономики знаний России в эпоху цифровых трансформаций // Креативная экономика. – 2018. – №4 (12). – С. 429-446. </w:t>
      </w:r>
    </w:p>
    <w:p w:rsidR="0052701D" w:rsidRDefault="00D40929">
      <w:pPr>
        <w:numPr>
          <w:ilvl w:val="0"/>
          <w:numId w:val="124"/>
        </w:numPr>
        <w:spacing w:after="5" w:line="271" w:lineRule="auto"/>
        <w:ind w:right="64" w:firstLine="711"/>
        <w:jc w:val="both"/>
      </w:pPr>
      <w:r>
        <w:rPr>
          <w:rFonts w:ascii="Times New Roman" w:eastAsia="Times New Roman" w:hAnsi="Times New Roman" w:cs="Times New Roman"/>
          <w:sz w:val="28"/>
        </w:rPr>
        <w:t>Рейтинг стран мира по уровню об</w:t>
      </w:r>
      <w:r>
        <w:rPr>
          <w:rFonts w:ascii="Times New Roman" w:eastAsia="Times New Roman" w:hAnsi="Times New Roman" w:cs="Times New Roman"/>
          <w:sz w:val="28"/>
        </w:rPr>
        <w:t xml:space="preserve">разования / Гуманитарный портал: Исследования [Электронный ресурс] // Центр гуманитарных технологий, 2006–2022 (последняя редакция: </w:t>
      </w:r>
    </w:p>
    <w:p w:rsidR="0052701D" w:rsidRDefault="00D40929">
      <w:pPr>
        <w:spacing w:after="5" w:line="271" w:lineRule="auto"/>
        <w:ind w:left="9" w:right="64"/>
        <w:jc w:val="both"/>
      </w:pPr>
      <w:r>
        <w:rPr>
          <w:rFonts w:ascii="Times New Roman" w:eastAsia="Times New Roman" w:hAnsi="Times New Roman" w:cs="Times New Roman"/>
          <w:sz w:val="28"/>
        </w:rPr>
        <w:t xml:space="preserve">18.07.2022). URL: https://gtmarket.ru/ratings/education-index </w:t>
      </w:r>
    </w:p>
    <w:p w:rsidR="0052701D" w:rsidRDefault="00D40929">
      <w:pPr>
        <w:numPr>
          <w:ilvl w:val="0"/>
          <w:numId w:val="124"/>
        </w:numPr>
        <w:spacing w:after="5" w:line="271" w:lineRule="auto"/>
        <w:ind w:right="64" w:firstLine="711"/>
        <w:jc w:val="both"/>
      </w:pPr>
      <w:r>
        <w:rPr>
          <w:rFonts w:ascii="Times New Roman" w:eastAsia="Times New Roman" w:hAnsi="Times New Roman" w:cs="Times New Roman"/>
          <w:sz w:val="28"/>
        </w:rPr>
        <w:t>Рейтинг стран мира по уровню расходов на образование / Гуман</w:t>
      </w:r>
      <w:r>
        <w:rPr>
          <w:rFonts w:ascii="Times New Roman" w:eastAsia="Times New Roman" w:hAnsi="Times New Roman" w:cs="Times New Roman"/>
          <w:sz w:val="28"/>
        </w:rPr>
        <w:t xml:space="preserve">итарный портал: Исследования [Электронный ресурс] // Центр гуманитарных технологий, 2006–2022 (последняя редакция: </w:t>
      </w:r>
    </w:p>
    <w:p w:rsidR="0052701D" w:rsidRDefault="00D40929">
      <w:pPr>
        <w:spacing w:after="22"/>
      </w:pPr>
      <w:r>
        <w:rPr>
          <w:rFonts w:ascii="Times New Roman" w:eastAsia="Times New Roman" w:hAnsi="Times New Roman" w:cs="Times New Roman"/>
          <w:sz w:val="28"/>
        </w:rPr>
        <w:t>18.07.2022). URL:</w:t>
      </w:r>
      <w:hyperlink r:id="rId693">
        <w:r>
          <w:rPr>
            <w:rFonts w:ascii="Times New Roman" w:eastAsia="Times New Roman" w:hAnsi="Times New Roman" w:cs="Times New Roman"/>
            <w:sz w:val="28"/>
          </w:rPr>
          <w:t xml:space="preserve"> </w:t>
        </w:r>
      </w:hyperlink>
      <w:hyperlink r:id="rId694">
        <w:r>
          <w:rPr>
            <w:color w:val="0563C1"/>
            <w:sz w:val="28"/>
            <w:u w:val="single" w:color="0563C1"/>
          </w:rPr>
          <w:t>https://gtmarket.ru/ratings/global</w:t>
        </w:r>
      </w:hyperlink>
      <w:hyperlink r:id="rId695">
        <w:r>
          <w:rPr>
            <w:color w:val="0563C1"/>
            <w:sz w:val="28"/>
            <w:u w:val="single" w:color="0563C1"/>
          </w:rPr>
          <w:t>-</w:t>
        </w:r>
      </w:hyperlink>
      <w:hyperlink r:id="rId696">
        <w:r>
          <w:rPr>
            <w:color w:val="0563C1"/>
            <w:sz w:val="28"/>
            <w:u w:val="single" w:color="0563C1"/>
          </w:rPr>
          <w:t>education</w:t>
        </w:r>
      </w:hyperlink>
      <w:hyperlink r:id="rId697">
        <w:r>
          <w:rPr>
            <w:color w:val="0563C1"/>
            <w:sz w:val="28"/>
            <w:u w:val="single" w:color="0563C1"/>
          </w:rPr>
          <w:t>-</w:t>
        </w:r>
      </w:hyperlink>
      <w:hyperlink r:id="rId698">
        <w:r>
          <w:rPr>
            <w:color w:val="0563C1"/>
            <w:sz w:val="28"/>
            <w:u w:val="single" w:color="0563C1"/>
          </w:rPr>
          <w:t>expenditure</w:t>
        </w:r>
      </w:hyperlink>
      <w:hyperlink r:id="rId699">
        <w:r>
          <w:rPr>
            <w:rFonts w:ascii="Times New Roman" w:eastAsia="Times New Roman" w:hAnsi="Times New Roman" w:cs="Times New Roman"/>
            <w:sz w:val="28"/>
          </w:rPr>
          <w:t xml:space="preserve"> </w:t>
        </w:r>
      </w:hyperlink>
    </w:p>
    <w:p w:rsidR="0052701D" w:rsidRDefault="00D40929">
      <w:pPr>
        <w:numPr>
          <w:ilvl w:val="0"/>
          <w:numId w:val="124"/>
        </w:numPr>
        <w:spacing w:after="27" w:line="271" w:lineRule="auto"/>
        <w:ind w:right="64" w:firstLine="711"/>
        <w:jc w:val="both"/>
      </w:pPr>
      <w:r>
        <w:rPr>
          <w:rFonts w:ascii="Times New Roman" w:eastAsia="Times New Roman" w:hAnsi="Times New Roman" w:cs="Times New Roman"/>
          <w:sz w:val="28"/>
        </w:rPr>
        <w:t xml:space="preserve">Зорина Т. Г. </w:t>
      </w:r>
      <w:r>
        <w:rPr>
          <w:rFonts w:ascii="Times New Roman" w:eastAsia="Times New Roman" w:hAnsi="Times New Roman" w:cs="Times New Roman"/>
          <w:sz w:val="28"/>
        </w:rPr>
        <w:t>Совершенствование методологии оценки цифровой трансформации объединенной энергетической системы Республики Беларусь. Проблемы и перспективы / Т. Г. Зорина, С. Прусов // Вестник Казанского государственного энергетического университета. 2021. Т. 13. № 3(51).</w:t>
      </w:r>
      <w:r>
        <w:rPr>
          <w:rFonts w:ascii="Times New Roman" w:eastAsia="Times New Roman" w:hAnsi="Times New Roman" w:cs="Times New Roman"/>
          <w:sz w:val="28"/>
        </w:rPr>
        <w:t xml:space="preserve"> С. 99-113. [5] Сыроваткина Т.Н.. Развитие экономики, основанной на знаниях:</w:t>
      </w:r>
    </w:p>
    <w:p w:rsidR="0052701D" w:rsidRDefault="00D40929">
      <w:pPr>
        <w:spacing w:after="5" w:line="271" w:lineRule="auto"/>
        <w:ind w:left="9" w:right="64"/>
        <w:jc w:val="both"/>
      </w:pPr>
      <w:r>
        <w:rPr>
          <w:rFonts w:ascii="Times New Roman" w:eastAsia="Times New Roman" w:hAnsi="Times New Roman" w:cs="Times New Roman"/>
          <w:sz w:val="28"/>
        </w:rPr>
        <w:t xml:space="preserve">теоретический аспект // Международный научно-исследовательский журнал. – 2022. – №1-4(115). – с. 82-86. </w:t>
      </w:r>
    </w:p>
    <w:p w:rsidR="0052701D" w:rsidRDefault="00D40929">
      <w:pPr>
        <w:numPr>
          <w:ilvl w:val="0"/>
          <w:numId w:val="125"/>
        </w:numPr>
        <w:spacing w:after="5" w:line="271" w:lineRule="auto"/>
        <w:ind w:right="64" w:firstLine="711"/>
        <w:jc w:val="both"/>
      </w:pPr>
      <w:r>
        <w:rPr>
          <w:rFonts w:ascii="Times New Roman" w:eastAsia="Times New Roman" w:hAnsi="Times New Roman" w:cs="Times New Roman"/>
          <w:sz w:val="28"/>
        </w:rPr>
        <w:t xml:space="preserve">Сайт федеральной службы государственной статистики (РОССТАТ) </w:t>
      </w:r>
      <w:hyperlink r:id="rId700">
        <w:r>
          <w:rPr>
            <w:color w:val="0563C1"/>
            <w:sz w:val="28"/>
            <w:u w:val="single" w:color="0563C1"/>
          </w:rPr>
          <w:t>https://rosstat.gov.ru/opendata/</w:t>
        </w:r>
      </w:hyperlink>
      <w:hyperlink r:id="rId701">
        <w:r>
          <w:rPr>
            <w:rFonts w:ascii="Times New Roman" w:eastAsia="Times New Roman" w:hAnsi="Times New Roman" w:cs="Times New Roman"/>
            <w:sz w:val="28"/>
          </w:rPr>
          <w:t xml:space="preserve"> </w:t>
        </w:r>
      </w:hyperlink>
    </w:p>
    <w:p w:rsidR="0052701D" w:rsidRDefault="00D40929">
      <w:pPr>
        <w:numPr>
          <w:ilvl w:val="0"/>
          <w:numId w:val="125"/>
        </w:numPr>
        <w:spacing w:after="5" w:line="271" w:lineRule="auto"/>
        <w:ind w:right="64" w:firstLine="711"/>
        <w:jc w:val="both"/>
      </w:pPr>
      <w:r>
        <w:rPr>
          <w:rFonts w:ascii="Times New Roman" w:eastAsia="Times New Roman" w:hAnsi="Times New Roman" w:cs="Times New Roman"/>
          <w:sz w:val="28"/>
        </w:rPr>
        <w:t xml:space="preserve">Ефремов А. А. Анализ зарубежного опыта в части построения энергетической структуры ТЭС на твердых коммунальных отходах / А. А. </w:t>
      </w:r>
      <w:r>
        <w:rPr>
          <w:rFonts w:ascii="Times New Roman" w:eastAsia="Times New Roman" w:hAnsi="Times New Roman" w:cs="Times New Roman"/>
          <w:sz w:val="28"/>
        </w:rPr>
        <w:lastRenderedPageBreak/>
        <w:t>Ефре</w:t>
      </w:r>
      <w:r>
        <w:rPr>
          <w:rFonts w:ascii="Times New Roman" w:eastAsia="Times New Roman" w:hAnsi="Times New Roman" w:cs="Times New Roman"/>
          <w:sz w:val="28"/>
        </w:rPr>
        <w:t xml:space="preserve">мов, А. Н. Дудолин // Вестник Казанского государственного энергетического университета. 2021. Т. 13. № 2(50). С. 3-14. </w:t>
      </w:r>
    </w:p>
    <w:p w:rsidR="0052701D" w:rsidRDefault="00D40929">
      <w:pPr>
        <w:numPr>
          <w:ilvl w:val="0"/>
          <w:numId w:val="125"/>
        </w:numPr>
        <w:spacing w:after="3"/>
        <w:ind w:right="64" w:firstLine="711"/>
        <w:jc w:val="both"/>
      </w:pPr>
      <w:r>
        <w:rPr>
          <w:rFonts w:ascii="Times New Roman" w:eastAsia="Times New Roman" w:hAnsi="Times New Roman" w:cs="Times New Roman"/>
          <w:sz w:val="28"/>
        </w:rPr>
        <w:t xml:space="preserve">Цыренов Д. Д. Институционализация экономики знаний // Baikal </w:t>
      </w:r>
    </w:p>
    <w:p w:rsidR="0052701D" w:rsidRDefault="00D40929">
      <w:pPr>
        <w:spacing w:after="5" w:line="271" w:lineRule="auto"/>
        <w:ind w:left="9" w:right="64"/>
        <w:jc w:val="both"/>
      </w:pPr>
      <w:r>
        <w:rPr>
          <w:rFonts w:ascii="Times New Roman" w:eastAsia="Times New Roman" w:hAnsi="Times New Roman" w:cs="Times New Roman"/>
          <w:sz w:val="28"/>
        </w:rPr>
        <w:t xml:space="preserve">Research Journal. –2016. – №2(7). – с. 2.   </w:t>
      </w:r>
    </w:p>
    <w:p w:rsidR="0052701D" w:rsidRDefault="00D40929">
      <w:pPr>
        <w:numPr>
          <w:ilvl w:val="0"/>
          <w:numId w:val="125"/>
        </w:numPr>
        <w:spacing w:after="5" w:line="271" w:lineRule="auto"/>
        <w:ind w:right="64" w:firstLine="711"/>
        <w:jc w:val="both"/>
      </w:pPr>
      <w:r>
        <w:rPr>
          <w:rFonts w:ascii="Times New Roman" w:eastAsia="Times New Roman" w:hAnsi="Times New Roman" w:cs="Times New Roman"/>
          <w:sz w:val="28"/>
        </w:rPr>
        <w:t xml:space="preserve">Пронина З. Ю. Креативность в </w:t>
      </w:r>
      <w:r>
        <w:rPr>
          <w:rFonts w:ascii="Times New Roman" w:eastAsia="Times New Roman" w:hAnsi="Times New Roman" w:cs="Times New Roman"/>
          <w:sz w:val="28"/>
        </w:rPr>
        <w:t xml:space="preserve">экономике знаний // Креативная экономика. –2018. –№11(12). – с. 1725-1732. </w:t>
      </w:r>
    </w:p>
    <w:p w:rsidR="0052701D" w:rsidRDefault="00D40929">
      <w:pPr>
        <w:numPr>
          <w:ilvl w:val="0"/>
          <w:numId w:val="125"/>
        </w:numPr>
        <w:spacing w:after="5" w:line="271" w:lineRule="auto"/>
        <w:ind w:right="64" w:firstLine="711"/>
        <w:jc w:val="both"/>
      </w:pPr>
      <w:r>
        <w:rPr>
          <w:rFonts w:ascii="Times New Roman" w:eastAsia="Times New Roman" w:hAnsi="Times New Roman" w:cs="Times New Roman"/>
          <w:sz w:val="28"/>
        </w:rPr>
        <w:t xml:space="preserve">Каленов О. Е. Организация в экономике знаний // Вестник Российского экономического университета им. Г. В. Плеханова. –2019. – №5(107). – с. 5-14.  </w:t>
      </w:r>
    </w:p>
    <w:p w:rsidR="0052701D" w:rsidRDefault="00D40929">
      <w:pPr>
        <w:numPr>
          <w:ilvl w:val="0"/>
          <w:numId w:val="125"/>
        </w:numPr>
        <w:spacing w:after="5" w:line="271" w:lineRule="auto"/>
        <w:ind w:right="64" w:firstLine="711"/>
        <w:jc w:val="both"/>
      </w:pPr>
      <w:r>
        <w:rPr>
          <w:rFonts w:ascii="Times New Roman" w:eastAsia="Times New Roman" w:hAnsi="Times New Roman" w:cs="Times New Roman"/>
          <w:sz w:val="28"/>
        </w:rPr>
        <w:t>Окрепилов В. В. Устойчивое разви</w:t>
      </w:r>
      <w:r>
        <w:rPr>
          <w:rFonts w:ascii="Times New Roman" w:eastAsia="Times New Roman" w:hAnsi="Times New Roman" w:cs="Times New Roman"/>
          <w:sz w:val="28"/>
        </w:rPr>
        <w:t xml:space="preserve">тие наукоёмких предприятий в экономике знаний // Экономическое возрождение России. 2022. №3(73). С.18-23. </w:t>
      </w:r>
    </w:p>
    <w:p w:rsidR="0052701D" w:rsidRDefault="00D40929">
      <w:pPr>
        <w:numPr>
          <w:ilvl w:val="0"/>
          <w:numId w:val="125"/>
        </w:numPr>
        <w:spacing w:after="5" w:line="271" w:lineRule="auto"/>
        <w:ind w:right="64" w:firstLine="711"/>
        <w:jc w:val="both"/>
      </w:pPr>
      <w:r>
        <w:rPr>
          <w:rFonts w:ascii="Times New Roman" w:eastAsia="Times New Roman" w:hAnsi="Times New Roman" w:cs="Times New Roman"/>
          <w:sz w:val="28"/>
        </w:rPr>
        <w:t>Соловьева О. В. Исследование движения газовзвеси в моделях фильтров с твердотельными и пористыми гранулами / О. В. Соловьева, С. А. Соловьев, А. Р. Т</w:t>
      </w:r>
      <w:r>
        <w:rPr>
          <w:rFonts w:ascii="Times New Roman" w:eastAsia="Times New Roman" w:hAnsi="Times New Roman" w:cs="Times New Roman"/>
          <w:sz w:val="28"/>
        </w:rPr>
        <w:t xml:space="preserve">алипова [и др.] // Вестник Казанского государственного энергетического университета. 2021. Т. 13. № 2(50). С. 27-39. </w:t>
      </w:r>
    </w:p>
    <w:p w:rsidR="0052701D" w:rsidRDefault="00D40929">
      <w:pPr>
        <w:numPr>
          <w:ilvl w:val="0"/>
          <w:numId w:val="125"/>
        </w:numPr>
        <w:spacing w:after="5" w:line="271" w:lineRule="auto"/>
        <w:ind w:right="64" w:firstLine="711"/>
        <w:jc w:val="both"/>
      </w:pPr>
      <w:r>
        <w:rPr>
          <w:rFonts w:ascii="Times New Roman" w:eastAsia="Times New Roman" w:hAnsi="Times New Roman" w:cs="Times New Roman"/>
          <w:sz w:val="28"/>
        </w:rPr>
        <w:t xml:space="preserve">Барзов А. А., Пузаков В. С., Ахметова И. Г. Вероятностно-стоимостная модель оптимизации этапов проектирования и экспертизы их качества по </w:t>
      </w:r>
      <w:r>
        <w:rPr>
          <w:rFonts w:ascii="Times New Roman" w:eastAsia="Times New Roman" w:hAnsi="Times New Roman" w:cs="Times New Roman"/>
          <w:sz w:val="28"/>
        </w:rPr>
        <w:t xml:space="preserve">технико-экономическому критерию / Вестник Казанского государственного энергетического университета. 2021. Т. 13. № 3(51). С. 189-198. </w:t>
      </w:r>
    </w:p>
    <w:p w:rsidR="0052701D" w:rsidRDefault="00D40929">
      <w:pPr>
        <w:numPr>
          <w:ilvl w:val="0"/>
          <w:numId w:val="125"/>
        </w:numPr>
        <w:spacing w:after="5" w:line="271" w:lineRule="auto"/>
        <w:ind w:right="64" w:firstLine="711"/>
        <w:jc w:val="both"/>
      </w:pPr>
      <w:r>
        <w:rPr>
          <w:rFonts w:ascii="Times New Roman" w:eastAsia="Times New Roman" w:hAnsi="Times New Roman" w:cs="Times New Roman"/>
          <w:sz w:val="28"/>
        </w:rPr>
        <w:t>Валеева, Ю. С. Региональная инвестиционная политика в Российской Федерации / Ю. С. Валеева, Г. Р. Таишева, Н. С. Шарафутд</w:t>
      </w:r>
      <w:r>
        <w:rPr>
          <w:rFonts w:ascii="Times New Roman" w:eastAsia="Times New Roman" w:hAnsi="Times New Roman" w:cs="Times New Roman"/>
          <w:sz w:val="28"/>
        </w:rPr>
        <w:t xml:space="preserve">инова // Региональная экономика: теория и практика. – 2009. – № 29. – С. 9-14. – EDN KVGFVB. </w:t>
      </w:r>
    </w:p>
    <w:p w:rsidR="0052701D" w:rsidRDefault="00D40929">
      <w:pPr>
        <w:numPr>
          <w:ilvl w:val="0"/>
          <w:numId w:val="125"/>
        </w:numPr>
        <w:spacing w:after="5" w:line="271" w:lineRule="auto"/>
        <w:ind w:right="64" w:firstLine="711"/>
        <w:jc w:val="both"/>
      </w:pPr>
      <w:r>
        <w:rPr>
          <w:rFonts w:ascii="Times New Roman" w:eastAsia="Times New Roman" w:hAnsi="Times New Roman" w:cs="Times New Roman"/>
          <w:sz w:val="28"/>
        </w:rPr>
        <w:t>Исаева, Н. С. Формирование регионального механизма эффективного управления повышением конкурентоспособного потенциала предприятий (на примере Республики Татарстан</w:t>
      </w:r>
      <w:r>
        <w:rPr>
          <w:rFonts w:ascii="Times New Roman" w:eastAsia="Times New Roman" w:hAnsi="Times New Roman" w:cs="Times New Roman"/>
          <w:sz w:val="28"/>
        </w:rPr>
        <w:t xml:space="preserve">) / Н. С. Исаева, Ю. С. Валеева // Региональная экономика: теория и практика. – 2007. – № 16. – С. 16-21. – EDN IBMKNP. </w:t>
      </w:r>
    </w:p>
    <w:p w:rsidR="0052701D" w:rsidRDefault="00D40929">
      <w:pPr>
        <w:numPr>
          <w:ilvl w:val="0"/>
          <w:numId w:val="125"/>
        </w:numPr>
        <w:spacing w:after="5" w:line="271" w:lineRule="auto"/>
        <w:ind w:right="64" w:firstLine="711"/>
        <w:jc w:val="both"/>
      </w:pPr>
      <w:r>
        <w:rPr>
          <w:rFonts w:ascii="Times New Roman" w:eastAsia="Times New Roman" w:hAnsi="Times New Roman" w:cs="Times New Roman"/>
          <w:sz w:val="28"/>
        </w:rPr>
        <w:t>Шарафутдинова, Н. С. Анализ ключевых факторов успеха организации / Н. С. Шарафутдинова, Ю. С. Валеева // Вестник Казанского государстве</w:t>
      </w:r>
      <w:r>
        <w:rPr>
          <w:rFonts w:ascii="Times New Roman" w:eastAsia="Times New Roman" w:hAnsi="Times New Roman" w:cs="Times New Roman"/>
          <w:sz w:val="28"/>
        </w:rPr>
        <w:t xml:space="preserve">нного финансово-экономического института. – 2009. – № 1(14). – С. 13-16. – EDN MUOFAD. </w:t>
      </w:r>
    </w:p>
    <w:p w:rsidR="0052701D" w:rsidRDefault="00D40929">
      <w:pPr>
        <w:numPr>
          <w:ilvl w:val="0"/>
          <w:numId w:val="125"/>
        </w:numPr>
        <w:spacing w:after="5" w:line="271" w:lineRule="auto"/>
        <w:ind w:right="64" w:firstLine="711"/>
        <w:jc w:val="both"/>
      </w:pPr>
      <w:r>
        <w:rPr>
          <w:rFonts w:ascii="Times New Roman" w:eastAsia="Times New Roman" w:hAnsi="Times New Roman" w:cs="Times New Roman"/>
          <w:sz w:val="28"/>
        </w:rPr>
        <w:t>Валеева, Ю. С. Структура инновационного потенциала региональной хозяйственной системы / Ю. С. Валеева, Е. С. Макарова, Н. З. Уразбахтина // Ученые записки Казанской гос</w:t>
      </w:r>
      <w:r>
        <w:rPr>
          <w:rFonts w:ascii="Times New Roman" w:eastAsia="Times New Roman" w:hAnsi="Times New Roman" w:cs="Times New Roman"/>
          <w:sz w:val="28"/>
        </w:rPr>
        <w:t xml:space="preserve">ударственной академии ветеринарной медицины им. Н.Э. Баумана. – 2014. – Т. 220. – № 4. – С. 53-56. – EDN TDRLXB. </w:t>
      </w:r>
    </w:p>
    <w:p w:rsidR="0052701D" w:rsidRDefault="0052701D">
      <w:pPr>
        <w:sectPr w:rsidR="0052701D">
          <w:footerReference w:type="even" r:id="rId702"/>
          <w:footerReference w:type="default" r:id="rId703"/>
          <w:footerReference w:type="first" r:id="rId704"/>
          <w:footnotePr>
            <w:numRestart w:val="eachPage"/>
          </w:footnotePr>
          <w:pgSz w:w="11899" w:h="16838"/>
          <w:pgMar w:top="967" w:right="776" w:bottom="1029" w:left="1416" w:header="720" w:footer="300" w:gutter="0"/>
          <w:cols w:space="720"/>
          <w:titlePg/>
        </w:sectPr>
      </w:pPr>
    </w:p>
    <w:p w:rsidR="0052701D" w:rsidRDefault="00D40929">
      <w:pPr>
        <w:spacing w:after="331" w:line="264" w:lineRule="auto"/>
        <w:ind w:left="563" w:hanging="10"/>
      </w:pPr>
      <w:r>
        <w:rPr>
          <w:rFonts w:ascii="Times New Roman" w:eastAsia="Times New Roman" w:hAnsi="Times New Roman" w:cs="Times New Roman"/>
          <w:b/>
          <w:sz w:val="24"/>
        </w:rPr>
        <w:lastRenderedPageBreak/>
        <w:t>УДК 311.42</w:t>
      </w:r>
    </w:p>
    <w:p w:rsidR="0052701D" w:rsidRDefault="00D40929">
      <w:pPr>
        <w:pStyle w:val="1"/>
        <w:spacing w:after="272" w:line="249" w:lineRule="auto"/>
        <w:ind w:left="576" w:right="566"/>
      </w:pPr>
      <w:r>
        <w:t>ИНОСТРАННЫЙ ПРОФЕССОР КАК ИНСТРУМЕНТ РАЗВИТИЯ</w:t>
      </w:r>
    </w:p>
    <w:p w:rsidR="0052701D" w:rsidRDefault="00D40929">
      <w:pPr>
        <w:pStyle w:val="1"/>
        <w:spacing w:after="272" w:line="249" w:lineRule="auto"/>
        <w:ind w:left="576" w:right="566"/>
      </w:pPr>
      <w:r>
        <w:t xml:space="preserve">УНИВЕРСИТЕТА И ЭЛЕМЕНТ ОТЧЁТНОСТИ </w:t>
      </w:r>
      <w:r>
        <w:rPr>
          <w:b w:val="0"/>
          <w:sz w:val="24"/>
        </w:rPr>
        <w:t>Ахметова И.Г., Валеева Ю.С., Халикова Д.Р.</w:t>
      </w:r>
    </w:p>
    <w:p w:rsidR="0052701D" w:rsidRDefault="00D40929">
      <w:pPr>
        <w:spacing w:after="3" w:line="249" w:lineRule="auto"/>
        <w:ind w:left="2508" w:right="285"/>
        <w:jc w:val="both"/>
      </w:pPr>
      <w:r>
        <w:rPr>
          <w:rFonts w:ascii="Times New Roman" w:eastAsia="Times New Roman" w:hAnsi="Times New Roman" w:cs="Times New Roman"/>
          <w:sz w:val="24"/>
        </w:rPr>
        <w:t>Казанский государственный энергетический университет</w:t>
      </w:r>
    </w:p>
    <w:p w:rsidR="0052701D" w:rsidRDefault="00D40929">
      <w:pPr>
        <w:spacing w:after="262" w:line="249" w:lineRule="auto"/>
        <w:ind w:left="1276" w:right="285"/>
        <w:jc w:val="both"/>
      </w:pPr>
      <w:r>
        <w:rPr>
          <w:rFonts w:ascii="Times New Roman" w:eastAsia="Times New Roman" w:hAnsi="Times New Roman" w:cs="Times New Roman"/>
          <w:sz w:val="24"/>
        </w:rPr>
        <w:t>e-mail: irina_akhmetova@mail.ru, valis2000@mail.ru, alparova.dinara@yandex.ru</w:t>
      </w:r>
    </w:p>
    <w:p w:rsidR="0052701D" w:rsidRDefault="00D40929">
      <w:pPr>
        <w:spacing w:after="3" w:line="249" w:lineRule="auto"/>
        <w:ind w:left="568" w:right="282" w:firstLine="700"/>
        <w:jc w:val="both"/>
      </w:pPr>
      <w:r>
        <w:rPr>
          <w:rFonts w:ascii="Times New Roman" w:eastAsia="Times New Roman" w:hAnsi="Times New Roman" w:cs="Times New Roman"/>
          <w:b/>
          <w:i/>
          <w:sz w:val="24"/>
        </w:rPr>
        <w:t>Ан</w:t>
      </w:r>
      <w:r>
        <w:rPr>
          <w:rFonts w:ascii="Times New Roman" w:eastAsia="Times New Roman" w:hAnsi="Times New Roman" w:cs="Times New Roman"/>
          <w:b/>
          <w:i/>
          <w:sz w:val="24"/>
        </w:rPr>
        <w:t>нотация</w:t>
      </w:r>
      <w:r>
        <w:rPr>
          <w:rFonts w:ascii="Times New Roman" w:eastAsia="Times New Roman" w:hAnsi="Times New Roman" w:cs="Times New Roman"/>
          <w:i/>
          <w:sz w:val="24"/>
        </w:rPr>
        <w:t>: Внедрение в учебный процесс иностранных специалистов высшей школы является одним из важнейших элементов образовательной, научной и исследовательской деятельности университета. Итогом подобного рода интеграции является положительный рост интеллекту</w:t>
      </w:r>
      <w:r>
        <w:rPr>
          <w:rFonts w:ascii="Times New Roman" w:eastAsia="Times New Roman" w:hAnsi="Times New Roman" w:cs="Times New Roman"/>
          <w:i/>
          <w:sz w:val="24"/>
        </w:rPr>
        <w:t>ального потенциала профессорско-преподавательского состава вуза, внедрения нового опыта в научную и образовательную сферы, а также повышение конкурентоспособности вуза на рынке образовательных услуг. Основной целью данной статьи является обоснование роли и</w:t>
      </w:r>
      <w:r>
        <w:rPr>
          <w:rFonts w:ascii="Times New Roman" w:eastAsia="Times New Roman" w:hAnsi="Times New Roman" w:cs="Times New Roman"/>
          <w:i/>
          <w:sz w:val="24"/>
        </w:rPr>
        <w:t xml:space="preserve"> необходимости включения в состав профессорско-преподавательского состава университета иностранных преподавателей, а также отражение статистических данных и динамики показателя среди казанских технических вузов за последние два года, с последующим обоснова</w:t>
      </w:r>
      <w:r>
        <w:rPr>
          <w:rFonts w:ascii="Times New Roman" w:eastAsia="Times New Roman" w:hAnsi="Times New Roman" w:cs="Times New Roman"/>
          <w:i/>
          <w:sz w:val="24"/>
        </w:rPr>
        <w:t>нием итогов аналитических данных.</w:t>
      </w:r>
    </w:p>
    <w:p w:rsidR="0052701D" w:rsidRDefault="00D40929">
      <w:pPr>
        <w:spacing w:after="304" w:line="249" w:lineRule="auto"/>
        <w:ind w:left="568" w:right="282" w:firstLine="700"/>
        <w:jc w:val="both"/>
      </w:pPr>
      <w:r>
        <w:rPr>
          <w:rFonts w:ascii="Times New Roman" w:eastAsia="Times New Roman" w:hAnsi="Times New Roman" w:cs="Times New Roman"/>
          <w:b/>
          <w:i/>
          <w:sz w:val="24"/>
        </w:rPr>
        <w:t xml:space="preserve">Ключевые слова: </w:t>
      </w:r>
      <w:r>
        <w:rPr>
          <w:rFonts w:ascii="Times New Roman" w:eastAsia="Times New Roman" w:hAnsi="Times New Roman" w:cs="Times New Roman"/>
          <w:i/>
          <w:sz w:val="24"/>
        </w:rPr>
        <w:t xml:space="preserve">Иностранный преподаватель; международный рейтинг; национальный рейтинг; коллаборация; конкурентноспособность; международная интеграция; мониторинг эффективности </w:t>
      </w:r>
    </w:p>
    <w:p w:rsidR="0052701D" w:rsidRDefault="00D40929">
      <w:pPr>
        <w:spacing w:after="284" w:line="238" w:lineRule="auto"/>
        <w:jc w:val="center"/>
      </w:pPr>
      <w:r>
        <w:rPr>
          <w:rFonts w:ascii="Times New Roman" w:eastAsia="Times New Roman" w:hAnsi="Times New Roman" w:cs="Times New Roman"/>
          <w:b/>
          <w:color w:val="1B2026"/>
          <w:sz w:val="28"/>
        </w:rPr>
        <w:t>FOREIGN PROFESSORS AS AN INSTRUMENT OF UNIVERSITY DEVELOPMENT AND AN ACCOUNTABILITY ELEMENT</w:t>
      </w:r>
    </w:p>
    <w:p w:rsidR="0052701D" w:rsidRDefault="00D40929">
      <w:pPr>
        <w:spacing w:after="10" w:line="249" w:lineRule="auto"/>
        <w:ind w:left="2656" w:right="1708" w:hanging="10"/>
        <w:jc w:val="center"/>
      </w:pPr>
      <w:r>
        <w:rPr>
          <w:rFonts w:ascii="Times New Roman" w:eastAsia="Times New Roman" w:hAnsi="Times New Roman" w:cs="Times New Roman"/>
          <w:color w:val="1B2026"/>
          <w:sz w:val="24"/>
        </w:rPr>
        <w:t xml:space="preserve">I.G. Akhmetova, Yu.S. Valeeva, D.R. Khalikova </w:t>
      </w:r>
      <w:r>
        <w:rPr>
          <w:rFonts w:ascii="Times New Roman" w:eastAsia="Times New Roman" w:hAnsi="Times New Roman" w:cs="Times New Roman"/>
          <w:sz w:val="24"/>
        </w:rPr>
        <w:t>Kazan State Power Engineering University, Kazan, Russia</w:t>
      </w:r>
    </w:p>
    <w:p w:rsidR="0052701D" w:rsidRDefault="00D40929">
      <w:pPr>
        <w:spacing w:after="262" w:line="249" w:lineRule="auto"/>
        <w:ind w:left="1458" w:right="285"/>
        <w:jc w:val="both"/>
      </w:pPr>
      <w:r>
        <w:rPr>
          <w:rFonts w:ascii="Times New Roman" w:eastAsia="Times New Roman" w:hAnsi="Times New Roman" w:cs="Times New Roman"/>
          <w:sz w:val="24"/>
        </w:rPr>
        <w:t>e-mail: irina_akhmetova@mail.ru, valis2000@mail.ru, alparova.d</w:t>
      </w:r>
      <w:r>
        <w:rPr>
          <w:rFonts w:ascii="Times New Roman" w:eastAsia="Times New Roman" w:hAnsi="Times New Roman" w:cs="Times New Roman"/>
          <w:sz w:val="24"/>
        </w:rPr>
        <w:t>inara@yandex.ru</w:t>
      </w:r>
    </w:p>
    <w:p w:rsidR="0052701D" w:rsidRDefault="00D40929">
      <w:pPr>
        <w:spacing w:after="0" w:line="238" w:lineRule="auto"/>
        <w:ind w:left="553" w:right="321" w:firstLine="698"/>
        <w:jc w:val="both"/>
      </w:pPr>
      <w:r>
        <w:rPr>
          <w:rFonts w:ascii="Times New Roman" w:eastAsia="Times New Roman" w:hAnsi="Times New Roman" w:cs="Times New Roman"/>
          <w:b/>
          <w:i/>
          <w:color w:val="1B2026"/>
          <w:sz w:val="24"/>
        </w:rPr>
        <w:t>Abstract:</w:t>
      </w:r>
      <w:r>
        <w:rPr>
          <w:rFonts w:ascii="Times New Roman" w:eastAsia="Times New Roman" w:hAnsi="Times New Roman" w:cs="Times New Roman"/>
          <w:b/>
          <w:color w:val="1B2026"/>
          <w:sz w:val="24"/>
        </w:rPr>
        <w:t xml:space="preserve"> </w:t>
      </w:r>
      <w:r>
        <w:rPr>
          <w:rFonts w:ascii="Times New Roman" w:eastAsia="Times New Roman" w:hAnsi="Times New Roman" w:cs="Times New Roman"/>
          <w:i/>
          <w:color w:val="1B2026"/>
          <w:sz w:val="24"/>
        </w:rPr>
        <w:t>Introduction to the educational process of foreign specialists of the higher school is one of the most important elements of the educational, scientific and research activi</w:t>
      </w:r>
      <w:r>
        <w:rPr>
          <w:rFonts w:ascii="Times New Roman" w:eastAsia="Times New Roman" w:hAnsi="Times New Roman" w:cs="Times New Roman"/>
          <w:i/>
          <w:color w:val="1B2026"/>
          <w:sz w:val="24"/>
        </w:rPr>
        <w:t>ties of the university. The result of such integration is a positive growth of intellectual potential of the university’s professors and teaching staff, the introduction of new experience in the scientific and educational sphere, as well as increase in the</w:t>
      </w:r>
      <w:r>
        <w:rPr>
          <w:rFonts w:ascii="Times New Roman" w:eastAsia="Times New Roman" w:hAnsi="Times New Roman" w:cs="Times New Roman"/>
          <w:i/>
          <w:color w:val="1B2026"/>
          <w:sz w:val="24"/>
        </w:rPr>
        <w:t xml:space="preserve"> competitiveness of the university in the market of educational services. The main purpose of this article is to justification the role and necessity of inclusion of foreign professors in the composition of the university teaching staff, as well as the ref</w:t>
      </w:r>
      <w:r>
        <w:rPr>
          <w:rFonts w:ascii="Times New Roman" w:eastAsia="Times New Roman" w:hAnsi="Times New Roman" w:cs="Times New Roman"/>
          <w:i/>
          <w:color w:val="1B2026"/>
          <w:sz w:val="24"/>
        </w:rPr>
        <w:t>lection of statistical data and dynamics of the indicators among Kazan technical universities over the past two years, with the subsequent substantiation of the analytical data results.</w:t>
      </w:r>
    </w:p>
    <w:p w:rsidR="0052701D" w:rsidRDefault="00D40929">
      <w:pPr>
        <w:spacing w:after="335" w:line="238" w:lineRule="auto"/>
        <w:ind w:left="553" w:right="321" w:firstLine="698"/>
        <w:jc w:val="both"/>
      </w:pPr>
      <w:r>
        <w:rPr>
          <w:rFonts w:ascii="Times New Roman" w:eastAsia="Times New Roman" w:hAnsi="Times New Roman" w:cs="Times New Roman"/>
          <w:b/>
          <w:i/>
          <w:color w:val="1B2026"/>
          <w:sz w:val="24"/>
        </w:rPr>
        <w:t>Keywords:</w:t>
      </w:r>
      <w:r>
        <w:rPr>
          <w:rFonts w:ascii="Times New Roman" w:eastAsia="Times New Roman" w:hAnsi="Times New Roman" w:cs="Times New Roman"/>
          <w:b/>
          <w:color w:val="1B2026"/>
          <w:sz w:val="24"/>
        </w:rPr>
        <w:t xml:space="preserve"> </w:t>
      </w:r>
      <w:r>
        <w:rPr>
          <w:rFonts w:ascii="Times New Roman" w:eastAsia="Times New Roman" w:hAnsi="Times New Roman" w:cs="Times New Roman"/>
          <w:i/>
          <w:color w:val="1B2026"/>
          <w:sz w:val="24"/>
        </w:rPr>
        <w:t>Foreign professors, international rating, national rating, c</w:t>
      </w:r>
      <w:r>
        <w:rPr>
          <w:rFonts w:ascii="Times New Roman" w:eastAsia="Times New Roman" w:hAnsi="Times New Roman" w:cs="Times New Roman"/>
          <w:i/>
          <w:color w:val="1B2026"/>
          <w:sz w:val="24"/>
        </w:rPr>
        <w:t>ollaboration, competitiveness, international integration,</w:t>
      </w:r>
      <w:r>
        <w:t xml:space="preserve"> </w:t>
      </w:r>
      <w:r>
        <w:rPr>
          <w:rFonts w:ascii="Times New Roman" w:eastAsia="Times New Roman" w:hAnsi="Times New Roman" w:cs="Times New Roman"/>
          <w:i/>
          <w:color w:val="1B2026"/>
          <w:sz w:val="24"/>
        </w:rPr>
        <w:t>monitoring of the effectiveness.</w:t>
      </w:r>
    </w:p>
    <w:p w:rsidR="0052701D" w:rsidRDefault="00D40929">
      <w:pPr>
        <w:spacing w:after="121" w:line="255" w:lineRule="auto"/>
        <w:ind w:left="1286" w:hanging="10"/>
      </w:pPr>
      <w:r>
        <w:rPr>
          <w:rFonts w:ascii="Times New Roman" w:eastAsia="Times New Roman" w:hAnsi="Times New Roman" w:cs="Times New Roman"/>
          <w:b/>
          <w:sz w:val="28"/>
        </w:rPr>
        <w:t>Введение</w:t>
      </w:r>
    </w:p>
    <w:p w:rsidR="0052701D" w:rsidRDefault="00D40929">
      <w:pPr>
        <w:spacing w:after="4" w:line="249" w:lineRule="auto"/>
        <w:ind w:left="568" w:right="336" w:firstLine="698"/>
        <w:jc w:val="both"/>
      </w:pPr>
      <w:r>
        <w:rPr>
          <w:rFonts w:ascii="Times New Roman" w:eastAsia="Times New Roman" w:hAnsi="Times New Roman" w:cs="Times New Roman"/>
          <w:sz w:val="36"/>
        </w:rPr>
        <w:t xml:space="preserve"> </w:t>
      </w:r>
      <w:r>
        <w:rPr>
          <w:rFonts w:ascii="Times New Roman" w:eastAsia="Times New Roman" w:hAnsi="Times New Roman" w:cs="Times New Roman"/>
          <w:sz w:val="28"/>
        </w:rPr>
        <w:t>В современных условиях глобализации большая роль уделяется включению в состав профессорско-преподавательского состава университета иностранных преподавател</w:t>
      </w:r>
      <w:r>
        <w:rPr>
          <w:rFonts w:ascii="Times New Roman" w:eastAsia="Times New Roman" w:hAnsi="Times New Roman" w:cs="Times New Roman"/>
          <w:sz w:val="28"/>
        </w:rPr>
        <w:t xml:space="preserve">ей. Формирование совместных научных групп из числа ведущих российских и зарубежных ученых университета позволяет получать интегрированный результат и </w:t>
      </w:r>
      <w:r>
        <w:rPr>
          <w:rFonts w:ascii="Times New Roman" w:eastAsia="Times New Roman" w:hAnsi="Times New Roman" w:cs="Times New Roman"/>
          <w:sz w:val="28"/>
        </w:rPr>
        <w:lastRenderedPageBreak/>
        <w:t>положительные практико-ориентированные разработки, которые возможно внедрять не только на предприятиях Рос</w:t>
      </w:r>
      <w:r>
        <w:rPr>
          <w:rFonts w:ascii="Times New Roman" w:eastAsia="Times New Roman" w:hAnsi="Times New Roman" w:cs="Times New Roman"/>
          <w:sz w:val="28"/>
        </w:rPr>
        <w:t>сии, но и в других странах.</w:t>
      </w:r>
    </w:p>
    <w:p w:rsidR="0052701D" w:rsidRDefault="00D40929">
      <w:pPr>
        <w:spacing w:after="4" w:line="249" w:lineRule="auto"/>
        <w:ind w:left="568" w:right="345" w:firstLine="698"/>
        <w:jc w:val="both"/>
      </w:pPr>
      <w:r>
        <w:rPr>
          <w:rFonts w:ascii="Times New Roman" w:eastAsia="Times New Roman" w:hAnsi="Times New Roman" w:cs="Times New Roman"/>
          <w:sz w:val="28"/>
        </w:rPr>
        <w:t>Внедрение в учебный процесс иностранных преподавателей дает возможность обучающимся расширить компетенции за счёт новых знаний, внедрения новых методик преподавания, которые имеют место в учебном процессе другой страны [1]. Поэт</w:t>
      </w:r>
      <w:r>
        <w:rPr>
          <w:rFonts w:ascii="Times New Roman" w:eastAsia="Times New Roman" w:hAnsi="Times New Roman" w:cs="Times New Roman"/>
          <w:sz w:val="28"/>
        </w:rPr>
        <w:t>ому такой показатель, как количество привлеченных иностранных преподавателей, является важным элементом в отчётности университета, а также при заполнении данных университета в различных российских и международных рейтингах.</w:t>
      </w:r>
    </w:p>
    <w:p w:rsidR="0052701D" w:rsidRDefault="00D40929">
      <w:pPr>
        <w:spacing w:after="4" w:line="249" w:lineRule="auto"/>
        <w:ind w:left="568" w:right="341" w:firstLine="698"/>
        <w:jc w:val="both"/>
      </w:pPr>
      <w:r>
        <w:rPr>
          <w:rFonts w:ascii="Times New Roman" w:eastAsia="Times New Roman" w:hAnsi="Times New Roman" w:cs="Times New Roman"/>
          <w:sz w:val="28"/>
        </w:rPr>
        <w:t>Актуальность присутствия в учебном процессе иностранных преподавателей, взаимное научное сотрудничество представлены в трудах Т. А. Алферова В. Ф. Лазукин, А. В. Сафонова.</w:t>
      </w:r>
    </w:p>
    <w:p w:rsidR="0052701D" w:rsidRDefault="00D40929">
      <w:pPr>
        <w:spacing w:after="4" w:line="249" w:lineRule="auto"/>
        <w:ind w:left="568" w:right="336" w:firstLine="698"/>
        <w:jc w:val="both"/>
      </w:pPr>
      <w:r>
        <w:rPr>
          <w:rFonts w:ascii="Times New Roman" w:eastAsia="Times New Roman" w:hAnsi="Times New Roman" w:cs="Times New Roman"/>
          <w:sz w:val="28"/>
        </w:rPr>
        <w:t>Рассматривая исторический генезис включения иностранных учёных в состав профессорско</w:t>
      </w:r>
      <w:r>
        <w:rPr>
          <w:rFonts w:ascii="Times New Roman" w:eastAsia="Times New Roman" w:hAnsi="Times New Roman" w:cs="Times New Roman"/>
          <w:sz w:val="28"/>
        </w:rPr>
        <w:t xml:space="preserve">-преподавательского состава университета, отметим проявление широкого интереса к данной проблематике в трудах С. В. Литвинов A. Якушев, В. Гавва, Э. ГюлушанянВ. С. Дубровская, Т. В. Кабанова, Е. В. Рыльцева, Н. В. Щеголева А. А. Костин, Т. В. Костина [2]. </w:t>
      </w:r>
      <w:r>
        <w:rPr>
          <w:rFonts w:ascii="Times New Roman" w:eastAsia="Times New Roman" w:hAnsi="Times New Roman" w:cs="Times New Roman"/>
          <w:sz w:val="28"/>
        </w:rPr>
        <w:t xml:space="preserve"> </w:t>
      </w:r>
    </w:p>
    <w:p w:rsidR="0052701D" w:rsidRDefault="00D40929">
      <w:pPr>
        <w:spacing w:after="4" w:line="249" w:lineRule="auto"/>
        <w:ind w:left="568" w:right="336" w:firstLine="698"/>
        <w:jc w:val="both"/>
      </w:pPr>
      <w:r>
        <w:rPr>
          <w:rFonts w:ascii="Times New Roman" w:eastAsia="Times New Roman" w:hAnsi="Times New Roman" w:cs="Times New Roman"/>
          <w:sz w:val="28"/>
        </w:rPr>
        <w:t xml:space="preserve">Важно отметить, что коллаборация российских и зарубежных учёных находило положительный отклик еще при царской России, что позволяло получать и достигать значимые научные результаты, обеспечивая при этом конкурентоспособность университетского образования </w:t>
      </w:r>
      <w:r>
        <w:rPr>
          <w:rFonts w:ascii="Times New Roman" w:eastAsia="Times New Roman" w:hAnsi="Times New Roman" w:cs="Times New Roman"/>
          <w:sz w:val="28"/>
        </w:rPr>
        <w:t>[3-5,7].</w:t>
      </w:r>
    </w:p>
    <w:p w:rsidR="0052701D" w:rsidRDefault="00D40929">
      <w:pPr>
        <w:spacing w:after="4" w:line="249" w:lineRule="auto"/>
        <w:ind w:left="568" w:right="336" w:firstLine="698"/>
        <w:jc w:val="both"/>
      </w:pPr>
      <w:r>
        <w:rPr>
          <w:rFonts w:ascii="Times New Roman" w:eastAsia="Times New Roman" w:hAnsi="Times New Roman" w:cs="Times New Roman"/>
          <w:sz w:val="28"/>
        </w:rPr>
        <w:t>Положительный опыт вовлечения зарубежных процессоров в магистерские бакалаврской программы, также проведение совместных научных исследований в Томском и Омском университетах представлен в трудах В. С. Дубровская, Т. В. Кабанова, Е. В. Рыльцева, Н.</w:t>
      </w:r>
      <w:r>
        <w:rPr>
          <w:rFonts w:ascii="Times New Roman" w:eastAsia="Times New Roman" w:hAnsi="Times New Roman" w:cs="Times New Roman"/>
          <w:sz w:val="28"/>
        </w:rPr>
        <w:t xml:space="preserve"> В. Щеголева Т. В. Трубникова.</w:t>
      </w:r>
    </w:p>
    <w:p w:rsidR="0052701D" w:rsidRDefault="00D40929">
      <w:pPr>
        <w:spacing w:after="4" w:line="249" w:lineRule="auto"/>
        <w:ind w:left="568" w:right="336" w:firstLine="698"/>
        <w:jc w:val="both"/>
      </w:pPr>
      <w:r>
        <w:rPr>
          <w:rFonts w:ascii="Times New Roman" w:eastAsia="Times New Roman" w:hAnsi="Times New Roman" w:cs="Times New Roman"/>
          <w:sz w:val="28"/>
        </w:rPr>
        <w:t>Одним из важнейших положительных итогов международной интеграции является развитие конкурентоспособности высшего учебного заведения, основными составляющими которой являются: возможность выбора из предложенного числа образова</w:t>
      </w:r>
      <w:r>
        <w:rPr>
          <w:rFonts w:ascii="Times New Roman" w:eastAsia="Times New Roman" w:hAnsi="Times New Roman" w:cs="Times New Roman"/>
          <w:sz w:val="28"/>
        </w:rPr>
        <w:t>тельных услуг наиболее приоритетные направления; адаптация технологий обучения посредством внедрения в учебный план новых совместных разработок; организация совместных учебных курсов; активизация научной деятельности путем внедрения новых методик научных р</w:t>
      </w:r>
      <w:r>
        <w:rPr>
          <w:rFonts w:ascii="Times New Roman" w:eastAsia="Times New Roman" w:hAnsi="Times New Roman" w:cs="Times New Roman"/>
          <w:sz w:val="28"/>
        </w:rPr>
        <w:t xml:space="preserve">азработок; расширение сферы применения научных разработок, получение грантов и финансовых средств для реализации научных исследований; рост публикационной активности профессорскопреподавательского состава российского вуза; формирование бренда, позитивного </w:t>
      </w:r>
      <w:r>
        <w:rPr>
          <w:rFonts w:ascii="Times New Roman" w:eastAsia="Times New Roman" w:hAnsi="Times New Roman" w:cs="Times New Roman"/>
          <w:sz w:val="28"/>
        </w:rPr>
        <w:t>имиджа университета в привлечении абитуриентов и партнеров вуза [6].</w:t>
      </w:r>
    </w:p>
    <w:p w:rsidR="0052701D" w:rsidRDefault="00D40929">
      <w:pPr>
        <w:spacing w:after="4" w:line="249" w:lineRule="auto"/>
        <w:ind w:left="568" w:firstLine="698"/>
        <w:jc w:val="both"/>
      </w:pPr>
      <w:r>
        <w:rPr>
          <w:rFonts w:ascii="Times New Roman" w:eastAsia="Times New Roman" w:hAnsi="Times New Roman" w:cs="Times New Roman"/>
          <w:sz w:val="28"/>
        </w:rPr>
        <w:t>Когда мы говорим о  формирования позитивного представления об университете, о стремлении войти и удержать позиции в национальных и международных рейтингах, необходимо соответствовать крит</w:t>
      </w:r>
      <w:r>
        <w:rPr>
          <w:rFonts w:ascii="Times New Roman" w:eastAsia="Times New Roman" w:hAnsi="Times New Roman" w:cs="Times New Roman"/>
          <w:sz w:val="28"/>
        </w:rPr>
        <w:t xml:space="preserve">ериям данных рейтингов [8]. Одним из показателей, которые используются в мировых рейтингах университетов, например, QS , Times Higher Education , является доля иностранных научно-педагогических сотрудников в их общей </w:t>
      </w:r>
      <w:r>
        <w:rPr>
          <w:rFonts w:ascii="Times New Roman" w:eastAsia="Times New Roman" w:hAnsi="Times New Roman" w:cs="Times New Roman"/>
          <w:sz w:val="28"/>
        </w:rPr>
        <w:lastRenderedPageBreak/>
        <w:t>численности.</w:t>
      </w:r>
      <w:r>
        <w:rPr>
          <w:rFonts w:ascii="Times New Roman" w:eastAsia="Times New Roman" w:hAnsi="Times New Roman" w:cs="Times New Roman"/>
          <w:color w:val="111111"/>
          <w:sz w:val="28"/>
        </w:rPr>
        <w:t xml:space="preserve"> Доля иностранных преподава</w:t>
      </w:r>
      <w:r>
        <w:rPr>
          <w:rFonts w:ascii="Times New Roman" w:eastAsia="Times New Roman" w:hAnsi="Times New Roman" w:cs="Times New Roman"/>
          <w:color w:val="111111"/>
          <w:sz w:val="28"/>
        </w:rPr>
        <w:t xml:space="preserve">телей и сотрудников — один из двух количественных показателей интернационализации, что свидетельствует о способности университета привлекать талантливых преподавателей из зарубежных стран [9]. Таким образом, </w:t>
      </w:r>
      <w:r>
        <w:rPr>
          <w:rFonts w:ascii="Times New Roman" w:eastAsia="Times New Roman" w:hAnsi="Times New Roman" w:cs="Times New Roman"/>
          <w:sz w:val="28"/>
        </w:rPr>
        <w:t>международная составляющая вуза это набор показа</w:t>
      </w:r>
      <w:r>
        <w:rPr>
          <w:rFonts w:ascii="Times New Roman" w:eastAsia="Times New Roman" w:hAnsi="Times New Roman" w:cs="Times New Roman"/>
          <w:sz w:val="28"/>
        </w:rPr>
        <w:t>телей, который включает в себя: присутствие иностранных преподавателей, наличие образовательных программ на иностранных языках, международное взаимодействие в контексте исследовательской деятельности.</w:t>
      </w:r>
    </w:p>
    <w:p w:rsidR="0052701D" w:rsidRDefault="00D40929">
      <w:pPr>
        <w:spacing w:after="4" w:line="249" w:lineRule="auto"/>
        <w:ind w:left="568" w:right="336" w:firstLine="698"/>
        <w:jc w:val="both"/>
      </w:pPr>
      <w:r>
        <w:rPr>
          <w:rFonts w:ascii="Times New Roman" w:eastAsia="Times New Roman" w:hAnsi="Times New Roman" w:cs="Times New Roman"/>
          <w:sz w:val="28"/>
        </w:rPr>
        <w:t>Распределение критерия наличия в вузе иностранного преп</w:t>
      </w:r>
      <w:r>
        <w:rPr>
          <w:rFonts w:ascii="Times New Roman" w:eastAsia="Times New Roman" w:hAnsi="Times New Roman" w:cs="Times New Roman"/>
          <w:sz w:val="28"/>
        </w:rPr>
        <w:t>одавателя в международных и национальных рейтингах выглядит следующим образом:</w:t>
      </w:r>
    </w:p>
    <w:p w:rsidR="0052701D" w:rsidRDefault="00D40929">
      <w:pPr>
        <w:spacing w:after="2" w:line="255" w:lineRule="auto"/>
        <w:ind w:left="1286" w:hanging="10"/>
      </w:pPr>
      <w:r>
        <w:rPr>
          <w:rFonts w:ascii="Times New Roman" w:eastAsia="Times New Roman" w:hAnsi="Times New Roman" w:cs="Times New Roman"/>
          <w:b/>
          <w:sz w:val="28"/>
        </w:rPr>
        <w:t>QS (Мировой университетский рейтинг)</w:t>
      </w:r>
    </w:p>
    <w:p w:rsidR="0052701D" w:rsidRDefault="00D40929">
      <w:pPr>
        <w:spacing w:after="4" w:line="249" w:lineRule="auto"/>
        <w:ind w:left="568" w:right="201" w:firstLine="698"/>
        <w:jc w:val="both"/>
      </w:pPr>
      <w:r>
        <w:rPr>
          <w:rFonts w:ascii="Times New Roman" w:eastAsia="Times New Roman" w:hAnsi="Times New Roman" w:cs="Times New Roman"/>
          <w:sz w:val="28"/>
        </w:rPr>
        <w:t>5% — доля иностранных преподавателей вуза по отношению к общей численности преподавательского состава;</w:t>
      </w:r>
    </w:p>
    <w:p w:rsidR="0052701D" w:rsidRDefault="00D40929">
      <w:pPr>
        <w:spacing w:after="2" w:line="255" w:lineRule="auto"/>
        <w:ind w:left="568" w:firstLine="708"/>
      </w:pPr>
      <w:r>
        <w:rPr>
          <w:rFonts w:ascii="Times New Roman" w:eastAsia="Times New Roman" w:hAnsi="Times New Roman" w:cs="Times New Roman"/>
          <w:b/>
          <w:sz w:val="28"/>
        </w:rPr>
        <w:t>Рейтинг THE WUR (Times Higher Educati</w:t>
      </w:r>
      <w:r>
        <w:rPr>
          <w:rFonts w:ascii="Times New Roman" w:eastAsia="Times New Roman" w:hAnsi="Times New Roman" w:cs="Times New Roman"/>
          <w:b/>
          <w:sz w:val="28"/>
        </w:rPr>
        <w:t>on World University Rankings):</w:t>
      </w:r>
      <w:r>
        <w:rPr>
          <w:rFonts w:ascii="Times New Roman" w:eastAsia="Times New Roman" w:hAnsi="Times New Roman" w:cs="Times New Roman"/>
          <w:sz w:val="28"/>
        </w:rPr>
        <w:t xml:space="preserve"> </w:t>
      </w:r>
    </w:p>
    <w:p w:rsidR="0052701D" w:rsidRDefault="00D40929">
      <w:pPr>
        <w:spacing w:after="4" w:line="249" w:lineRule="auto"/>
        <w:ind w:left="568" w:right="201" w:firstLine="698"/>
        <w:jc w:val="both"/>
      </w:pPr>
      <w:r>
        <w:rPr>
          <w:rFonts w:ascii="Times New Roman" w:eastAsia="Times New Roman" w:hAnsi="Times New Roman" w:cs="Times New Roman"/>
          <w:sz w:val="28"/>
        </w:rPr>
        <w:t>3% — доля иностранных преподавателей вуза по отношению к общей численности преподавательского состава;</w:t>
      </w:r>
    </w:p>
    <w:p w:rsidR="0052701D" w:rsidRDefault="00D40929">
      <w:pPr>
        <w:tabs>
          <w:tab w:val="center" w:pos="3740"/>
          <w:tab w:val="center" w:pos="8109"/>
        </w:tabs>
        <w:spacing w:after="0"/>
      </w:pPr>
      <w:r>
        <w:tab/>
      </w:r>
      <w:hyperlink r:id="rId705" w:anchor="world-2020">
        <w:r>
          <w:rPr>
            <w:rFonts w:ascii="Times New Roman" w:eastAsia="Times New Roman" w:hAnsi="Times New Roman" w:cs="Times New Roman"/>
            <w:b/>
            <w:sz w:val="28"/>
          </w:rPr>
          <w:t xml:space="preserve">RUR World University </w:t>
        </w:r>
        <w:r>
          <w:rPr>
            <w:rFonts w:ascii="Times New Roman" w:eastAsia="Times New Roman" w:hAnsi="Times New Roman" w:cs="Times New Roman"/>
            <w:b/>
            <w:sz w:val="28"/>
          </w:rPr>
          <w:t>Rankings</w:t>
        </w:r>
      </w:hyperlink>
      <w:r>
        <w:rPr>
          <w:rFonts w:ascii="Times New Roman" w:eastAsia="Times New Roman" w:hAnsi="Times New Roman" w:cs="Times New Roman"/>
          <w:b/>
          <w:sz w:val="28"/>
        </w:rPr>
        <w:t xml:space="preserve"> </w:t>
      </w:r>
      <w:r>
        <w:rPr>
          <w:rFonts w:ascii="Times New Roman" w:eastAsia="Times New Roman" w:hAnsi="Times New Roman" w:cs="Times New Roman"/>
          <w:b/>
          <w:sz w:val="28"/>
        </w:rPr>
        <w:tab/>
        <w:t>(</w:t>
      </w:r>
      <w:r>
        <w:rPr>
          <w:rFonts w:ascii="Times New Roman" w:eastAsia="Times New Roman" w:hAnsi="Times New Roman" w:cs="Times New Roman"/>
          <w:sz w:val="28"/>
        </w:rPr>
        <w:t>российская компания</w:t>
      </w:r>
    </w:p>
    <w:p w:rsidR="0052701D" w:rsidRDefault="00D40929">
      <w:pPr>
        <w:spacing w:after="4" w:line="249" w:lineRule="auto"/>
        <w:ind w:left="568"/>
        <w:jc w:val="both"/>
      </w:pPr>
      <w:r>
        <w:rPr>
          <w:rFonts w:ascii="Times New Roman" w:eastAsia="Times New Roman" w:hAnsi="Times New Roman" w:cs="Times New Roman"/>
          <w:sz w:val="28"/>
        </w:rPr>
        <w:t>«Рейтинговое агентство RUR»)</w:t>
      </w:r>
    </w:p>
    <w:p w:rsidR="0052701D" w:rsidRDefault="00D40929">
      <w:pPr>
        <w:spacing w:after="0"/>
        <w:ind w:left="568"/>
      </w:pPr>
      <w:r>
        <w:rPr>
          <w:rFonts w:ascii="Times New Roman" w:eastAsia="Times New Roman" w:hAnsi="Times New Roman" w:cs="Times New Roman"/>
          <w:color w:val="222222"/>
          <w:sz w:val="28"/>
        </w:rPr>
        <w:t>2% — доля иностранных преподавателей;</w:t>
      </w:r>
    </w:p>
    <w:p w:rsidR="0052701D" w:rsidRDefault="00D40929">
      <w:pPr>
        <w:spacing w:after="1" w:line="249" w:lineRule="auto"/>
        <w:ind w:left="553" w:right="323" w:firstLine="698"/>
        <w:jc w:val="both"/>
      </w:pPr>
      <w:r>
        <w:rPr>
          <w:rFonts w:ascii="Times New Roman" w:eastAsia="Times New Roman" w:hAnsi="Times New Roman" w:cs="Times New Roman"/>
          <w:b/>
          <w:color w:val="1B2026"/>
          <w:sz w:val="28"/>
        </w:rPr>
        <w:t>Национальный рейтинг университетов</w:t>
      </w:r>
      <w:r>
        <w:rPr>
          <w:rFonts w:ascii="Times New Roman" w:eastAsia="Times New Roman" w:hAnsi="Times New Roman" w:cs="Times New Roman"/>
          <w:color w:val="1B2026"/>
          <w:sz w:val="28"/>
        </w:rPr>
        <w:t>, проводимый Интерфакс также учитывает в  параметре "</w:t>
      </w:r>
      <w:r>
        <w:rPr>
          <w:rFonts w:ascii="Times New Roman" w:eastAsia="Times New Roman" w:hAnsi="Times New Roman" w:cs="Times New Roman"/>
          <w:sz w:val="28"/>
        </w:rPr>
        <w:t xml:space="preserve">Сотрудничество" </w:t>
      </w:r>
      <w:r>
        <w:rPr>
          <w:rFonts w:ascii="Times New Roman" w:eastAsia="Times New Roman" w:hAnsi="Times New Roman" w:cs="Times New Roman"/>
          <w:color w:val="1B2026"/>
          <w:sz w:val="28"/>
        </w:rPr>
        <w:t>долю международных НПР в общей численности НПР, вес данного показателя составляет 15%.</w:t>
      </w:r>
      <w:r>
        <w:rPr>
          <w:rFonts w:ascii="Times New Roman" w:eastAsia="Times New Roman" w:hAnsi="Times New Roman" w:cs="Times New Roman"/>
          <w:b/>
          <w:sz w:val="32"/>
        </w:rPr>
        <w:t xml:space="preserve"> </w:t>
      </w:r>
    </w:p>
    <w:p w:rsidR="0052701D" w:rsidRDefault="00D40929">
      <w:pPr>
        <w:spacing w:after="4" w:line="249" w:lineRule="auto"/>
        <w:ind w:left="568" w:right="336" w:firstLine="698"/>
        <w:jc w:val="both"/>
      </w:pPr>
      <w:r>
        <w:rPr>
          <w:rFonts w:ascii="Times New Roman" w:eastAsia="Times New Roman" w:hAnsi="Times New Roman" w:cs="Times New Roman"/>
          <w:color w:val="1B2026"/>
          <w:sz w:val="28"/>
        </w:rPr>
        <w:t xml:space="preserve">Рассмотрим динамику показателя «доля </w:t>
      </w:r>
      <w:r>
        <w:rPr>
          <w:rFonts w:ascii="Times New Roman" w:eastAsia="Times New Roman" w:hAnsi="Times New Roman" w:cs="Times New Roman"/>
          <w:sz w:val="28"/>
        </w:rPr>
        <w:t>иностранных преподавателей вуза по отношению к общей численности преподавательского состава» за 2021-2022 г.г. на примере трех техн</w:t>
      </w:r>
      <w:r>
        <w:rPr>
          <w:rFonts w:ascii="Times New Roman" w:eastAsia="Times New Roman" w:hAnsi="Times New Roman" w:cs="Times New Roman"/>
          <w:sz w:val="28"/>
        </w:rPr>
        <w:t>ических вузов города Казани: ФГБОУ ВО «Казанский национальный исследовательский технический университет им. А.Н. Туполева-КАИ» (КНИТУ-КАИ), ФГБОУ ВО « Казанский национальный исследовательский технологический университет» (КНИТУ), ФГБОУ ВО «Казанский госуда</w:t>
      </w:r>
      <w:r>
        <w:rPr>
          <w:rFonts w:ascii="Times New Roman" w:eastAsia="Times New Roman" w:hAnsi="Times New Roman" w:cs="Times New Roman"/>
          <w:sz w:val="28"/>
        </w:rPr>
        <w:t>рственный энергетический университет» (КГЭУ).</w:t>
      </w:r>
    </w:p>
    <w:p w:rsidR="0052701D" w:rsidRDefault="00D40929">
      <w:pPr>
        <w:spacing w:after="4" w:line="249" w:lineRule="auto"/>
        <w:ind w:left="568" w:right="336" w:firstLine="698"/>
        <w:jc w:val="both"/>
      </w:pPr>
      <w:r>
        <w:rPr>
          <w:rFonts w:ascii="Times New Roman" w:eastAsia="Times New Roman" w:hAnsi="Times New Roman" w:cs="Times New Roman"/>
          <w:sz w:val="28"/>
        </w:rPr>
        <w:t>Анализ динамики критерия международной интеграции проводился на основе мониторинга эффективности деятельности образовательных организаций высшего образования в разделе «Международная деятельность». Мониторинг п</w:t>
      </w:r>
      <w:r>
        <w:rPr>
          <w:rFonts w:ascii="Times New Roman" w:eastAsia="Times New Roman" w:hAnsi="Times New Roman" w:cs="Times New Roman"/>
          <w:sz w:val="28"/>
        </w:rPr>
        <w:t>роводится ежегодно Минобрнауки России по целому ряду ключевых показателей в сравнении с их пороговыми значениями с оценкой динамики изменений.</w:t>
      </w:r>
    </w:p>
    <w:p w:rsidR="0052701D" w:rsidRDefault="00D40929">
      <w:pPr>
        <w:spacing w:after="4" w:line="249" w:lineRule="auto"/>
        <w:ind w:left="1276"/>
        <w:jc w:val="both"/>
      </w:pPr>
      <w:r>
        <w:rPr>
          <w:rFonts w:ascii="Times New Roman" w:eastAsia="Times New Roman" w:hAnsi="Times New Roman" w:cs="Times New Roman"/>
          <w:sz w:val="28"/>
        </w:rPr>
        <w:t>Итоги анализа представлены в следующей таблице:</w:t>
      </w:r>
    </w:p>
    <w:tbl>
      <w:tblPr>
        <w:tblStyle w:val="TableGrid"/>
        <w:tblW w:w="9288" w:type="dxa"/>
        <w:tblInd w:w="678" w:type="dxa"/>
        <w:tblCellMar>
          <w:top w:w="95" w:type="dxa"/>
          <w:left w:w="0" w:type="dxa"/>
          <w:bottom w:w="0" w:type="dxa"/>
          <w:right w:w="11" w:type="dxa"/>
        </w:tblCellMar>
        <w:tblLook w:val="04A0" w:firstRow="1" w:lastRow="0" w:firstColumn="1" w:lastColumn="0" w:noHBand="0" w:noVBand="1"/>
      </w:tblPr>
      <w:tblGrid>
        <w:gridCol w:w="2354"/>
        <w:gridCol w:w="1154"/>
        <w:gridCol w:w="1156"/>
        <w:gridCol w:w="1156"/>
        <w:gridCol w:w="1156"/>
        <w:gridCol w:w="1154"/>
        <w:gridCol w:w="1158"/>
      </w:tblGrid>
      <w:tr w:rsidR="0052701D">
        <w:trPr>
          <w:trHeight w:val="446"/>
        </w:trPr>
        <w:tc>
          <w:tcPr>
            <w:tcW w:w="2354" w:type="dxa"/>
            <w:vMerge w:val="restart"/>
            <w:tcBorders>
              <w:top w:val="single" w:sz="4" w:space="0" w:color="000000"/>
              <w:left w:val="single" w:sz="4" w:space="0" w:color="000000"/>
              <w:bottom w:val="single" w:sz="4" w:space="0" w:color="000000"/>
              <w:right w:val="single" w:sz="4" w:space="0" w:color="000000"/>
            </w:tcBorders>
          </w:tcPr>
          <w:p w:rsidR="0052701D" w:rsidRDefault="00D40929">
            <w:pPr>
              <w:spacing w:after="0"/>
              <w:jc w:val="center"/>
            </w:pPr>
            <w:r>
              <w:rPr>
                <w:rFonts w:ascii="Times New Roman" w:eastAsia="Times New Roman" w:hAnsi="Times New Roman" w:cs="Times New Roman"/>
                <w:sz w:val="24"/>
              </w:rPr>
              <w:t>Наименование показателя</w:t>
            </w:r>
          </w:p>
        </w:tc>
        <w:tc>
          <w:tcPr>
            <w:tcW w:w="2310" w:type="dxa"/>
            <w:gridSpan w:val="2"/>
            <w:tcBorders>
              <w:top w:val="single" w:sz="4" w:space="0" w:color="000000"/>
              <w:left w:val="single" w:sz="4" w:space="0" w:color="000000"/>
              <w:bottom w:val="single" w:sz="4" w:space="0" w:color="000000"/>
              <w:right w:val="single" w:sz="4" w:space="0" w:color="000000"/>
            </w:tcBorders>
          </w:tcPr>
          <w:p w:rsidR="0052701D" w:rsidRDefault="00D40929">
            <w:pPr>
              <w:spacing w:after="0"/>
              <w:ind w:left="14"/>
              <w:jc w:val="center"/>
            </w:pPr>
            <w:r>
              <w:rPr>
                <w:rFonts w:ascii="Times New Roman" w:eastAsia="Times New Roman" w:hAnsi="Times New Roman" w:cs="Times New Roman"/>
                <w:sz w:val="24"/>
              </w:rPr>
              <w:t>КНИТУ-КАИ</w:t>
            </w:r>
          </w:p>
        </w:tc>
        <w:tc>
          <w:tcPr>
            <w:tcW w:w="2312" w:type="dxa"/>
            <w:gridSpan w:val="2"/>
            <w:tcBorders>
              <w:top w:val="single" w:sz="4" w:space="0" w:color="000000"/>
              <w:left w:val="single" w:sz="4" w:space="0" w:color="000000"/>
              <w:bottom w:val="single" w:sz="4" w:space="0" w:color="000000"/>
              <w:right w:val="single" w:sz="4" w:space="0" w:color="000000"/>
            </w:tcBorders>
          </w:tcPr>
          <w:p w:rsidR="0052701D" w:rsidRDefault="00D40929">
            <w:pPr>
              <w:spacing w:after="0"/>
              <w:ind w:left="17"/>
              <w:jc w:val="center"/>
            </w:pPr>
            <w:r>
              <w:rPr>
                <w:rFonts w:ascii="Times New Roman" w:eastAsia="Times New Roman" w:hAnsi="Times New Roman" w:cs="Times New Roman"/>
                <w:sz w:val="24"/>
              </w:rPr>
              <w:t>КНИТУ</w:t>
            </w:r>
          </w:p>
        </w:tc>
        <w:tc>
          <w:tcPr>
            <w:tcW w:w="1154" w:type="dxa"/>
            <w:tcBorders>
              <w:top w:val="single" w:sz="4" w:space="0" w:color="000000"/>
              <w:left w:val="single" w:sz="4" w:space="0" w:color="000000"/>
              <w:bottom w:val="single" w:sz="4" w:space="0" w:color="000000"/>
              <w:right w:val="nil"/>
            </w:tcBorders>
          </w:tcPr>
          <w:p w:rsidR="0052701D" w:rsidRDefault="00D40929">
            <w:pPr>
              <w:spacing w:after="0"/>
              <w:jc w:val="right"/>
            </w:pPr>
            <w:r>
              <w:rPr>
                <w:rFonts w:ascii="Times New Roman" w:eastAsia="Times New Roman" w:hAnsi="Times New Roman" w:cs="Times New Roman"/>
                <w:sz w:val="24"/>
              </w:rPr>
              <w:t>КГ</w:t>
            </w:r>
          </w:p>
        </w:tc>
        <w:tc>
          <w:tcPr>
            <w:tcW w:w="1158" w:type="dxa"/>
            <w:tcBorders>
              <w:top w:val="single" w:sz="4" w:space="0" w:color="000000"/>
              <w:left w:val="nil"/>
              <w:bottom w:val="single" w:sz="4" w:space="0" w:color="000000"/>
              <w:right w:val="single" w:sz="4" w:space="0" w:color="000000"/>
            </w:tcBorders>
          </w:tcPr>
          <w:p w:rsidR="0052701D" w:rsidRDefault="00D40929">
            <w:pPr>
              <w:spacing w:after="0"/>
              <w:ind w:left="-12"/>
            </w:pPr>
            <w:r>
              <w:rPr>
                <w:rFonts w:ascii="Times New Roman" w:eastAsia="Times New Roman" w:hAnsi="Times New Roman" w:cs="Times New Roman"/>
                <w:sz w:val="24"/>
              </w:rPr>
              <w:t>ЭУ</w:t>
            </w:r>
          </w:p>
        </w:tc>
      </w:tr>
      <w:tr w:rsidR="0052701D">
        <w:trPr>
          <w:trHeight w:val="446"/>
        </w:trPr>
        <w:tc>
          <w:tcPr>
            <w:tcW w:w="0" w:type="auto"/>
            <w:vMerge/>
            <w:tcBorders>
              <w:top w:val="nil"/>
              <w:left w:val="single" w:sz="4" w:space="0" w:color="000000"/>
              <w:bottom w:val="single" w:sz="4" w:space="0" w:color="000000"/>
              <w:right w:val="single" w:sz="4" w:space="0" w:color="000000"/>
            </w:tcBorders>
          </w:tcPr>
          <w:p w:rsidR="0052701D" w:rsidRDefault="0052701D"/>
        </w:tc>
        <w:tc>
          <w:tcPr>
            <w:tcW w:w="115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2"/>
            </w:pPr>
            <w:r>
              <w:rPr>
                <w:rFonts w:ascii="Times New Roman" w:eastAsia="Times New Roman" w:hAnsi="Times New Roman" w:cs="Times New Roman"/>
                <w:sz w:val="24"/>
              </w:rPr>
              <w:t>2021</w:t>
            </w:r>
          </w:p>
        </w:tc>
        <w:tc>
          <w:tcPr>
            <w:tcW w:w="115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2"/>
            </w:pPr>
            <w:r>
              <w:rPr>
                <w:rFonts w:ascii="Times New Roman" w:eastAsia="Times New Roman" w:hAnsi="Times New Roman" w:cs="Times New Roman"/>
                <w:sz w:val="24"/>
              </w:rPr>
              <w:t>2022</w:t>
            </w:r>
          </w:p>
        </w:tc>
        <w:tc>
          <w:tcPr>
            <w:tcW w:w="115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2"/>
            </w:pPr>
            <w:r>
              <w:rPr>
                <w:rFonts w:ascii="Times New Roman" w:eastAsia="Times New Roman" w:hAnsi="Times New Roman" w:cs="Times New Roman"/>
                <w:sz w:val="24"/>
              </w:rPr>
              <w:t>2021</w:t>
            </w:r>
          </w:p>
        </w:tc>
        <w:tc>
          <w:tcPr>
            <w:tcW w:w="115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2"/>
            </w:pPr>
            <w:r>
              <w:rPr>
                <w:rFonts w:ascii="Times New Roman" w:eastAsia="Times New Roman" w:hAnsi="Times New Roman" w:cs="Times New Roman"/>
                <w:sz w:val="24"/>
              </w:rPr>
              <w:t>2022</w:t>
            </w:r>
          </w:p>
        </w:tc>
        <w:tc>
          <w:tcPr>
            <w:tcW w:w="115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2"/>
            </w:pPr>
            <w:r>
              <w:rPr>
                <w:rFonts w:ascii="Times New Roman" w:eastAsia="Times New Roman" w:hAnsi="Times New Roman" w:cs="Times New Roman"/>
                <w:sz w:val="24"/>
              </w:rPr>
              <w:t>2021</w:t>
            </w:r>
          </w:p>
        </w:tc>
        <w:tc>
          <w:tcPr>
            <w:tcW w:w="115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2"/>
            </w:pPr>
            <w:r>
              <w:rPr>
                <w:rFonts w:ascii="Times New Roman" w:eastAsia="Times New Roman" w:hAnsi="Times New Roman" w:cs="Times New Roman"/>
                <w:sz w:val="24"/>
              </w:rPr>
              <w:t>2022</w:t>
            </w:r>
          </w:p>
        </w:tc>
      </w:tr>
      <w:tr w:rsidR="0052701D">
        <w:trPr>
          <w:trHeight w:val="1800"/>
        </w:trPr>
        <w:tc>
          <w:tcPr>
            <w:tcW w:w="235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2"/>
            </w:pPr>
            <w:r>
              <w:rPr>
                <w:rFonts w:ascii="Times New Roman" w:eastAsia="Times New Roman" w:hAnsi="Times New Roman" w:cs="Times New Roman"/>
                <w:sz w:val="24"/>
              </w:rPr>
              <w:lastRenderedPageBreak/>
              <w:t>Удельный вес численности иностранных граждан из числа НПР в общей численности НПР</w:t>
            </w:r>
          </w:p>
        </w:tc>
        <w:tc>
          <w:tcPr>
            <w:tcW w:w="115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2"/>
            </w:pPr>
            <w:r>
              <w:rPr>
                <w:rFonts w:ascii="Times New Roman" w:eastAsia="Times New Roman" w:hAnsi="Times New Roman" w:cs="Times New Roman"/>
                <w:sz w:val="24"/>
              </w:rPr>
              <w:t>0,26 %</w:t>
            </w:r>
          </w:p>
        </w:tc>
        <w:tc>
          <w:tcPr>
            <w:tcW w:w="115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2"/>
            </w:pPr>
            <w:r>
              <w:rPr>
                <w:rFonts w:ascii="Times New Roman" w:eastAsia="Times New Roman" w:hAnsi="Times New Roman" w:cs="Times New Roman"/>
                <w:sz w:val="24"/>
              </w:rPr>
              <w:t>0,26 %</w:t>
            </w:r>
          </w:p>
        </w:tc>
        <w:tc>
          <w:tcPr>
            <w:tcW w:w="115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2"/>
            </w:pPr>
            <w:r>
              <w:rPr>
                <w:rFonts w:ascii="Times New Roman" w:eastAsia="Times New Roman" w:hAnsi="Times New Roman" w:cs="Times New Roman"/>
                <w:sz w:val="24"/>
              </w:rPr>
              <w:t>0,76 %</w:t>
            </w:r>
          </w:p>
        </w:tc>
        <w:tc>
          <w:tcPr>
            <w:tcW w:w="115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2"/>
            </w:pPr>
            <w:r>
              <w:rPr>
                <w:rFonts w:ascii="Times New Roman" w:eastAsia="Times New Roman" w:hAnsi="Times New Roman" w:cs="Times New Roman"/>
                <w:sz w:val="24"/>
              </w:rPr>
              <w:t>0,76 %</w:t>
            </w:r>
          </w:p>
        </w:tc>
        <w:tc>
          <w:tcPr>
            <w:tcW w:w="115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2"/>
            </w:pPr>
            <w:r>
              <w:rPr>
                <w:rFonts w:ascii="Times New Roman" w:eastAsia="Times New Roman" w:hAnsi="Times New Roman" w:cs="Times New Roman"/>
                <w:sz w:val="24"/>
              </w:rPr>
              <w:t>0,34 %</w:t>
            </w:r>
          </w:p>
        </w:tc>
        <w:tc>
          <w:tcPr>
            <w:tcW w:w="115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2"/>
            </w:pPr>
            <w:r>
              <w:rPr>
                <w:rFonts w:ascii="Times New Roman" w:eastAsia="Times New Roman" w:hAnsi="Times New Roman" w:cs="Times New Roman"/>
                <w:sz w:val="24"/>
              </w:rPr>
              <w:t>0,34 %</w:t>
            </w:r>
          </w:p>
        </w:tc>
      </w:tr>
      <w:tr w:rsidR="0052701D">
        <w:trPr>
          <w:trHeight w:val="3300"/>
        </w:trPr>
        <w:tc>
          <w:tcPr>
            <w:tcW w:w="235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2"/>
            </w:pPr>
            <w:r>
              <w:rPr>
                <w:rFonts w:ascii="Times New Roman" w:eastAsia="Times New Roman" w:hAnsi="Times New Roman" w:cs="Times New Roman"/>
                <w:sz w:val="24"/>
              </w:rPr>
              <w:t>Численность зарубежных ведущих профессоров, преподавателей и исследователей, работающих (работавших) в образо</w:t>
            </w:r>
            <w:r>
              <w:rPr>
                <w:rFonts w:ascii="Times New Roman" w:eastAsia="Times New Roman" w:hAnsi="Times New Roman" w:cs="Times New Roman"/>
                <w:sz w:val="24"/>
              </w:rPr>
              <w:t>вательной организации не менее 1 семестра</w:t>
            </w:r>
          </w:p>
        </w:tc>
        <w:tc>
          <w:tcPr>
            <w:tcW w:w="115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2"/>
            </w:pPr>
            <w:r>
              <w:rPr>
                <w:rFonts w:ascii="Times New Roman" w:eastAsia="Times New Roman" w:hAnsi="Times New Roman" w:cs="Times New Roman"/>
                <w:sz w:val="24"/>
              </w:rPr>
              <w:t>2</w:t>
            </w:r>
          </w:p>
        </w:tc>
        <w:tc>
          <w:tcPr>
            <w:tcW w:w="115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2"/>
            </w:pPr>
            <w:r>
              <w:rPr>
                <w:rFonts w:ascii="Times New Roman" w:eastAsia="Times New Roman" w:hAnsi="Times New Roman" w:cs="Times New Roman"/>
                <w:sz w:val="24"/>
              </w:rPr>
              <w:t>2</w:t>
            </w:r>
          </w:p>
        </w:tc>
        <w:tc>
          <w:tcPr>
            <w:tcW w:w="115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2"/>
            </w:pPr>
            <w:r>
              <w:rPr>
                <w:rFonts w:ascii="Times New Roman" w:eastAsia="Times New Roman" w:hAnsi="Times New Roman" w:cs="Times New Roman"/>
                <w:sz w:val="24"/>
              </w:rPr>
              <w:t>12 чел.</w:t>
            </w:r>
          </w:p>
        </w:tc>
        <w:tc>
          <w:tcPr>
            <w:tcW w:w="115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2"/>
            </w:pPr>
            <w:r>
              <w:rPr>
                <w:rFonts w:ascii="Times New Roman" w:eastAsia="Times New Roman" w:hAnsi="Times New Roman" w:cs="Times New Roman"/>
                <w:sz w:val="24"/>
              </w:rPr>
              <w:t>12 чел.</w:t>
            </w:r>
          </w:p>
        </w:tc>
        <w:tc>
          <w:tcPr>
            <w:tcW w:w="115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2"/>
            </w:pPr>
            <w:r>
              <w:rPr>
                <w:rFonts w:ascii="Times New Roman" w:eastAsia="Times New Roman" w:hAnsi="Times New Roman" w:cs="Times New Roman"/>
                <w:sz w:val="24"/>
              </w:rPr>
              <w:t>4</w:t>
            </w:r>
          </w:p>
        </w:tc>
        <w:tc>
          <w:tcPr>
            <w:tcW w:w="115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2"/>
            </w:pPr>
            <w:r>
              <w:rPr>
                <w:rFonts w:ascii="Times New Roman" w:eastAsia="Times New Roman" w:hAnsi="Times New Roman" w:cs="Times New Roman"/>
                <w:sz w:val="24"/>
              </w:rPr>
              <w:t>4</w:t>
            </w:r>
          </w:p>
        </w:tc>
      </w:tr>
    </w:tbl>
    <w:p w:rsidR="0052701D" w:rsidRDefault="00D40929">
      <w:pPr>
        <w:spacing w:after="0"/>
        <w:ind w:left="1276"/>
      </w:pPr>
      <w:r>
        <w:rPr>
          <w:rFonts w:ascii="Times New Roman" w:eastAsia="Times New Roman" w:hAnsi="Times New Roman" w:cs="Times New Roman"/>
          <w:b/>
          <w:color w:val="1B2026"/>
          <w:sz w:val="28"/>
        </w:rPr>
        <w:t>Заключение</w:t>
      </w:r>
    </w:p>
    <w:p w:rsidR="0052701D" w:rsidRDefault="00D40929">
      <w:pPr>
        <w:spacing w:after="1" w:line="249" w:lineRule="auto"/>
        <w:ind w:left="553" w:right="323" w:firstLine="698"/>
        <w:jc w:val="both"/>
      </w:pPr>
      <w:r>
        <w:rPr>
          <w:rFonts w:ascii="Times New Roman" w:eastAsia="Times New Roman" w:hAnsi="Times New Roman" w:cs="Times New Roman"/>
          <w:color w:val="1B2026"/>
          <w:sz w:val="28"/>
        </w:rPr>
        <w:t>Отсутствие положительной динамики в вопросе привлечения ино</w:t>
      </w:r>
      <w:r>
        <w:rPr>
          <w:rFonts w:ascii="Times New Roman" w:eastAsia="Times New Roman" w:hAnsi="Times New Roman" w:cs="Times New Roman"/>
          <w:color w:val="1B2026"/>
          <w:sz w:val="28"/>
        </w:rPr>
        <w:t>странных сотрудников сферы образования в российские вузы обусловлено рядом факторов: наличием бюрократических проблем, стремлением вузов удержать позиции в международных рейтингах, что также негативно сказывается на формировании интеллектуальной культуры в</w:t>
      </w:r>
      <w:r>
        <w:rPr>
          <w:rFonts w:ascii="Times New Roman" w:eastAsia="Times New Roman" w:hAnsi="Times New Roman" w:cs="Times New Roman"/>
          <w:color w:val="1B2026"/>
          <w:sz w:val="28"/>
        </w:rPr>
        <w:t>ысшего образования. Данная проблематика требует системного подхода по увеличению экспорта образовательных услуг с учетом положительного опыта зарубежных практик по привлечению иностранных специалистов в сфере образования.</w:t>
      </w:r>
    </w:p>
    <w:p w:rsidR="0052701D" w:rsidRDefault="00D40929">
      <w:pPr>
        <w:spacing w:after="1" w:line="249" w:lineRule="auto"/>
        <w:ind w:left="553" w:right="323" w:firstLine="698"/>
        <w:jc w:val="both"/>
      </w:pPr>
      <w:r>
        <w:rPr>
          <w:rFonts w:ascii="Times New Roman" w:eastAsia="Times New Roman" w:hAnsi="Times New Roman" w:cs="Times New Roman"/>
          <w:color w:val="1B2026"/>
          <w:sz w:val="28"/>
        </w:rPr>
        <w:t>Вопрос привлечения в российские вузы иностранных преподавателей нашел отражение в перечне поручений президента Российской федерации по итогам совместного заседания Госсовета и Совета по науке и образованию от 10.02.22 г., который  включает следующую задачу</w:t>
      </w:r>
      <w:r>
        <w:rPr>
          <w:rFonts w:ascii="Times New Roman" w:eastAsia="Times New Roman" w:hAnsi="Times New Roman" w:cs="Times New Roman"/>
          <w:color w:val="1B2026"/>
          <w:sz w:val="28"/>
        </w:rPr>
        <w:t>: «…создание условий для привлечение к работе в России ведущих ученых, аспирантов и молодых исследователей из числа иностранных граждан и соотечественников, проживающих за рубежом, в том числе предоставление таким лицам по принципу «одного окна» информации</w:t>
      </w:r>
      <w:r>
        <w:rPr>
          <w:rFonts w:ascii="Times New Roman" w:eastAsia="Times New Roman" w:hAnsi="Times New Roman" w:cs="Times New Roman"/>
          <w:color w:val="1B2026"/>
          <w:sz w:val="28"/>
        </w:rPr>
        <w:t xml:space="preserve"> о возможностях осуществления ими в России научной и преподавательской деятельности».</w:t>
      </w:r>
    </w:p>
    <w:p w:rsidR="0052701D" w:rsidRDefault="00D40929">
      <w:pPr>
        <w:spacing w:after="269" w:line="249" w:lineRule="auto"/>
        <w:ind w:left="553" w:right="323" w:firstLine="698"/>
        <w:jc w:val="both"/>
      </w:pPr>
      <w:r>
        <w:rPr>
          <w:rFonts w:ascii="Times New Roman" w:eastAsia="Times New Roman" w:hAnsi="Times New Roman" w:cs="Times New Roman"/>
          <w:sz w:val="28"/>
        </w:rPr>
        <w:t xml:space="preserve">Таким образом, меры, предпринимаемые в последние годы и правительственными структурами, и структурами высшей </w:t>
      </w:r>
      <w:r>
        <w:rPr>
          <w:rFonts w:ascii="Times New Roman" w:eastAsia="Times New Roman" w:hAnsi="Times New Roman" w:cs="Times New Roman"/>
          <w:color w:val="1B2026"/>
          <w:sz w:val="28"/>
        </w:rPr>
        <w:t>школы можно обозначить как важные шаги развития системы высше</w:t>
      </w:r>
      <w:r>
        <w:rPr>
          <w:rFonts w:ascii="Times New Roman" w:eastAsia="Times New Roman" w:hAnsi="Times New Roman" w:cs="Times New Roman"/>
          <w:color w:val="1B2026"/>
          <w:sz w:val="28"/>
        </w:rPr>
        <w:t xml:space="preserve">го образования и увеличение его конкурентной способности на рынке образовательных услуг.  </w:t>
      </w:r>
    </w:p>
    <w:p w:rsidR="0052701D" w:rsidRDefault="00D40929">
      <w:pPr>
        <w:spacing w:after="252"/>
        <w:ind w:left="938"/>
        <w:jc w:val="center"/>
      </w:pPr>
      <w:r>
        <w:rPr>
          <w:rFonts w:ascii="Times New Roman" w:eastAsia="Times New Roman" w:hAnsi="Times New Roman" w:cs="Times New Roman"/>
          <w:b/>
          <w:color w:val="1B2026"/>
          <w:sz w:val="24"/>
        </w:rPr>
        <w:t>Источники</w:t>
      </w:r>
    </w:p>
    <w:p w:rsidR="0052701D" w:rsidRDefault="00D40929">
      <w:pPr>
        <w:numPr>
          <w:ilvl w:val="0"/>
          <w:numId w:val="126"/>
        </w:numPr>
        <w:spacing w:after="3" w:line="249" w:lineRule="auto"/>
        <w:ind w:right="338" w:firstLine="698"/>
        <w:jc w:val="both"/>
      </w:pPr>
      <w:r>
        <w:rPr>
          <w:rFonts w:ascii="Times New Roman" w:eastAsia="Times New Roman" w:hAnsi="Times New Roman" w:cs="Times New Roman"/>
          <w:color w:val="1B2026"/>
          <w:sz w:val="24"/>
        </w:rPr>
        <w:t>Алферова, Т. А. Мнение некоторых зарубежных авторов о роли преподавателя университета в эпоху информационных технологий / Т. А. Алферова // Цифровое общест</w:t>
      </w:r>
      <w:r>
        <w:rPr>
          <w:rFonts w:ascii="Times New Roman" w:eastAsia="Times New Roman" w:hAnsi="Times New Roman" w:cs="Times New Roman"/>
          <w:color w:val="1B2026"/>
          <w:sz w:val="24"/>
        </w:rPr>
        <w:t xml:space="preserve">во в контексте развития личности: сборник статей Международной </w:t>
      </w:r>
      <w:r>
        <w:rPr>
          <w:rFonts w:ascii="Times New Roman" w:eastAsia="Times New Roman" w:hAnsi="Times New Roman" w:cs="Times New Roman"/>
          <w:color w:val="1B2026"/>
          <w:sz w:val="24"/>
        </w:rPr>
        <w:lastRenderedPageBreak/>
        <w:t>научнопрактической конференции, Пенза, 13 июня 2017 года. – Пенза: Общество с ограниченной ответственностью "Аэтерна", 2017. – С. 13-16. – EDN YRZNCX.</w:t>
      </w:r>
    </w:p>
    <w:p w:rsidR="0052701D" w:rsidRDefault="00D40929">
      <w:pPr>
        <w:numPr>
          <w:ilvl w:val="0"/>
          <w:numId w:val="126"/>
        </w:numPr>
        <w:spacing w:after="3" w:line="249" w:lineRule="auto"/>
        <w:ind w:right="338" w:firstLine="698"/>
        <w:jc w:val="both"/>
      </w:pPr>
      <w:r>
        <w:rPr>
          <w:rFonts w:ascii="Times New Roman" w:eastAsia="Times New Roman" w:hAnsi="Times New Roman" w:cs="Times New Roman"/>
          <w:color w:val="1B2026"/>
          <w:sz w:val="24"/>
        </w:rPr>
        <w:t>Лазукин, В. Ф. Роль зарубежных командирово</w:t>
      </w:r>
      <w:r>
        <w:rPr>
          <w:rFonts w:ascii="Times New Roman" w:eastAsia="Times New Roman" w:hAnsi="Times New Roman" w:cs="Times New Roman"/>
          <w:color w:val="1B2026"/>
          <w:sz w:val="24"/>
        </w:rPr>
        <w:t>к преподавателей военных вузов России в начале ХХ века / В. Ф. Лазукин, А. В. Сафонова // Воздушно-космические силы. Теория и практика. – 2020. – № 13. – С. 317-325. – EDN TKAIKO.</w:t>
      </w:r>
    </w:p>
    <w:p w:rsidR="0052701D" w:rsidRDefault="00D40929">
      <w:pPr>
        <w:numPr>
          <w:ilvl w:val="0"/>
          <w:numId w:val="126"/>
        </w:numPr>
        <w:spacing w:after="3" w:line="249" w:lineRule="auto"/>
        <w:ind w:right="338" w:firstLine="698"/>
        <w:jc w:val="both"/>
      </w:pPr>
      <w:r>
        <w:rPr>
          <w:rFonts w:ascii="Times New Roman" w:eastAsia="Times New Roman" w:hAnsi="Times New Roman" w:cs="Times New Roman"/>
          <w:color w:val="1B2026"/>
          <w:sz w:val="24"/>
        </w:rPr>
        <w:t>Якушев, A. Иностранные профессора в университетах России (1726-1819) /A. Яку</w:t>
      </w:r>
      <w:r>
        <w:rPr>
          <w:rFonts w:ascii="Times New Roman" w:eastAsia="Times New Roman" w:hAnsi="Times New Roman" w:cs="Times New Roman"/>
          <w:color w:val="1B2026"/>
          <w:sz w:val="24"/>
        </w:rPr>
        <w:t>шев, В. Гавва, Э. Гюлушанян // Высшее образование в России. – 2004. – № 2. – С. 159-162. – EDN IBNAHZ.</w:t>
      </w:r>
    </w:p>
    <w:p w:rsidR="0052701D" w:rsidRDefault="00D40929">
      <w:pPr>
        <w:numPr>
          <w:ilvl w:val="0"/>
          <w:numId w:val="126"/>
        </w:numPr>
        <w:spacing w:after="3" w:line="249" w:lineRule="auto"/>
        <w:ind w:right="338" w:firstLine="698"/>
        <w:jc w:val="both"/>
      </w:pPr>
      <w:r>
        <w:rPr>
          <w:rFonts w:ascii="Times New Roman" w:eastAsia="Times New Roman" w:hAnsi="Times New Roman" w:cs="Times New Roman"/>
          <w:color w:val="1B2026"/>
          <w:sz w:val="24"/>
        </w:rPr>
        <w:t>Литвинов, С. В. Иностранные профессора Московском университете XVIIIXIX вв / С. В. Литвинов // Русская речь. – 2005. – № 2. – С. 83. – EDN OOYGUL.</w:t>
      </w:r>
    </w:p>
    <w:p w:rsidR="0052701D" w:rsidRDefault="00D40929">
      <w:pPr>
        <w:numPr>
          <w:ilvl w:val="0"/>
          <w:numId w:val="126"/>
        </w:numPr>
        <w:spacing w:after="3" w:line="249" w:lineRule="auto"/>
        <w:ind w:right="338" w:firstLine="698"/>
        <w:jc w:val="both"/>
      </w:pPr>
      <w:r>
        <w:rPr>
          <w:rFonts w:ascii="Times New Roman" w:eastAsia="Times New Roman" w:hAnsi="Times New Roman" w:cs="Times New Roman"/>
          <w:color w:val="1B2026"/>
          <w:sz w:val="24"/>
        </w:rPr>
        <w:t>Якушев, A. Иностранные профессора в университетах России (1726-1819) /A. Якушев, В. Гавва, Э. Гюлушанян // Высшее образование в России. – 2004. – № 2. – С. 159-162. – EDN IBNAHZ.</w:t>
      </w:r>
    </w:p>
    <w:p w:rsidR="0052701D" w:rsidRDefault="00D40929">
      <w:pPr>
        <w:numPr>
          <w:ilvl w:val="0"/>
          <w:numId w:val="126"/>
        </w:numPr>
        <w:spacing w:after="3" w:line="249" w:lineRule="auto"/>
        <w:ind w:right="338" w:firstLine="698"/>
        <w:jc w:val="both"/>
      </w:pPr>
      <w:r>
        <w:rPr>
          <w:rFonts w:ascii="Times New Roman" w:eastAsia="Times New Roman" w:hAnsi="Times New Roman" w:cs="Times New Roman"/>
          <w:color w:val="1B2026"/>
          <w:sz w:val="24"/>
        </w:rPr>
        <w:t>Оразбаев Б. Б. Исследование проблем моделирования и принятия решенийпри управ</w:t>
      </w:r>
      <w:r>
        <w:rPr>
          <w:rFonts w:ascii="Times New Roman" w:eastAsia="Times New Roman" w:hAnsi="Times New Roman" w:cs="Times New Roman"/>
          <w:color w:val="1B2026"/>
          <w:sz w:val="24"/>
        </w:rPr>
        <w:t>лении установкой риформинга и подходы к решению / Б. Б. Оразбаев, М. Д. Кабибуллин, А. К. Жумадиллаева и др. / Вестник Казанского государственного энергетического университета. 2022. Т. 14. № 2(54). С. 82-95.</w:t>
      </w:r>
    </w:p>
    <w:p w:rsidR="0052701D" w:rsidRDefault="00D40929">
      <w:pPr>
        <w:numPr>
          <w:ilvl w:val="0"/>
          <w:numId w:val="126"/>
        </w:numPr>
        <w:spacing w:after="3" w:line="249" w:lineRule="auto"/>
        <w:ind w:right="338" w:firstLine="698"/>
        <w:jc w:val="both"/>
      </w:pPr>
      <w:r>
        <w:rPr>
          <w:rFonts w:ascii="Times New Roman" w:eastAsia="Times New Roman" w:hAnsi="Times New Roman" w:cs="Times New Roman"/>
          <w:color w:val="1B2026"/>
          <w:sz w:val="24"/>
        </w:rPr>
        <w:t>Апробация методики создания и внедрения магисте</w:t>
      </w:r>
      <w:r>
        <w:rPr>
          <w:rFonts w:ascii="Times New Roman" w:eastAsia="Times New Roman" w:hAnsi="Times New Roman" w:cs="Times New Roman"/>
          <w:color w:val="1B2026"/>
          <w:sz w:val="24"/>
        </w:rPr>
        <w:t>рских программ сдистанционными модулями с участием иностранных профессоров: опыт ТГУ / В. С. Дубровская, Т. В. Кабанова, Е. В. Рыльцева, Н. В. Щеголева // Открытое и дистанционное образование. – 2015. – № 2(58). – С. 5-11. – EDN UFHTRB.</w:t>
      </w:r>
    </w:p>
    <w:p w:rsidR="0052701D" w:rsidRDefault="00D40929">
      <w:pPr>
        <w:numPr>
          <w:ilvl w:val="0"/>
          <w:numId w:val="126"/>
        </w:numPr>
        <w:spacing w:after="3" w:line="249" w:lineRule="auto"/>
        <w:ind w:right="338" w:firstLine="698"/>
        <w:jc w:val="both"/>
      </w:pPr>
      <w:r>
        <w:rPr>
          <w:rFonts w:ascii="Times New Roman" w:eastAsia="Times New Roman" w:hAnsi="Times New Roman" w:cs="Times New Roman"/>
          <w:color w:val="1B2026"/>
          <w:sz w:val="24"/>
        </w:rPr>
        <w:t>Костин, А. А. Иност</w:t>
      </w:r>
      <w:r>
        <w:rPr>
          <w:rFonts w:ascii="Times New Roman" w:eastAsia="Times New Roman" w:hAnsi="Times New Roman" w:cs="Times New Roman"/>
          <w:color w:val="1B2026"/>
          <w:sz w:val="24"/>
        </w:rPr>
        <w:t>ранные профессора Казанского университета 1830-1850х гг / А. А. Костин, Т. В. Костина // Эхо веков. – 2014. – № 3-4. – С. 108-117. – EDN</w:t>
      </w:r>
    </w:p>
    <w:p w:rsidR="0052701D" w:rsidRDefault="00D40929">
      <w:pPr>
        <w:spacing w:after="3" w:line="249" w:lineRule="auto"/>
        <w:ind w:left="553" w:right="338"/>
        <w:jc w:val="both"/>
      </w:pPr>
      <w:r>
        <w:rPr>
          <w:rFonts w:ascii="Times New Roman" w:eastAsia="Times New Roman" w:hAnsi="Times New Roman" w:cs="Times New Roman"/>
          <w:color w:val="1B2026"/>
          <w:sz w:val="24"/>
        </w:rPr>
        <w:t>TELAHX.</w:t>
      </w:r>
    </w:p>
    <w:p w:rsidR="0052701D" w:rsidRDefault="00D40929">
      <w:pPr>
        <w:numPr>
          <w:ilvl w:val="0"/>
          <w:numId w:val="126"/>
        </w:numPr>
        <w:spacing w:after="3" w:line="249" w:lineRule="auto"/>
        <w:ind w:right="338" w:firstLine="698"/>
        <w:jc w:val="both"/>
      </w:pPr>
      <w:r>
        <w:rPr>
          <w:rFonts w:ascii="Times New Roman" w:eastAsia="Times New Roman" w:hAnsi="Times New Roman" w:cs="Times New Roman"/>
          <w:color w:val="1B2026"/>
          <w:sz w:val="24"/>
        </w:rPr>
        <w:t xml:space="preserve">А.В. Паздерин, В.О. Самойленко, Н. Д. Мухлынин, П. А. Крючков. Ценовыехарактеристики источников электроэнергии </w:t>
      </w:r>
      <w:r>
        <w:rPr>
          <w:rFonts w:ascii="Times New Roman" w:eastAsia="Times New Roman" w:hAnsi="Times New Roman" w:cs="Times New Roman"/>
          <w:color w:val="1B2026"/>
          <w:sz w:val="24"/>
        </w:rPr>
        <w:t>мини и микрогрид // Вестник Казанского государственного энергетического университета. 2022. Т. 14. № 1(53). С. 122-139.</w:t>
      </w:r>
    </w:p>
    <w:p w:rsidR="0052701D" w:rsidRDefault="00D40929">
      <w:pPr>
        <w:numPr>
          <w:ilvl w:val="0"/>
          <w:numId w:val="126"/>
        </w:numPr>
        <w:spacing w:after="3" w:line="249" w:lineRule="auto"/>
        <w:ind w:right="338" w:firstLine="698"/>
        <w:jc w:val="both"/>
      </w:pPr>
      <w:r>
        <w:rPr>
          <w:rFonts w:ascii="Times New Roman" w:eastAsia="Times New Roman" w:hAnsi="Times New Roman" w:cs="Times New Roman"/>
          <w:color w:val="1B2026"/>
          <w:sz w:val="24"/>
        </w:rPr>
        <w:t xml:space="preserve">Дубровская, В. С. Реализация магистерских программ с дистанционнымимодулями с участием иностранных профессоров: опыт и перспективы / В. </w:t>
      </w:r>
      <w:r>
        <w:rPr>
          <w:rFonts w:ascii="Times New Roman" w:eastAsia="Times New Roman" w:hAnsi="Times New Roman" w:cs="Times New Roman"/>
          <w:color w:val="1B2026"/>
          <w:sz w:val="24"/>
        </w:rPr>
        <w:t>С. Дубровская, Е. В. Рыльцева // Развитие единой образовательной информационной среды : Материалы XIV Международной научно-практической конференции, Томск, 29–30 сентября 2015 года. – Томск: Национальный исследовательский Томский государственный университе</w:t>
      </w:r>
      <w:r>
        <w:rPr>
          <w:rFonts w:ascii="Times New Roman" w:eastAsia="Times New Roman" w:hAnsi="Times New Roman" w:cs="Times New Roman"/>
          <w:color w:val="1B2026"/>
          <w:sz w:val="24"/>
        </w:rPr>
        <w:t>т, 2015. – С. 110-114. – DOI 10.17223/978-5-7511-2392-5/22. – EDN VJRFON.</w:t>
      </w:r>
    </w:p>
    <w:p w:rsidR="0052701D" w:rsidRDefault="00D40929">
      <w:pPr>
        <w:numPr>
          <w:ilvl w:val="0"/>
          <w:numId w:val="126"/>
        </w:numPr>
        <w:spacing w:after="0"/>
        <w:ind w:right="338" w:firstLine="698"/>
        <w:jc w:val="both"/>
      </w:pPr>
      <w:r>
        <w:rPr>
          <w:rFonts w:ascii="Times New Roman" w:eastAsia="Times New Roman" w:hAnsi="Times New Roman" w:cs="Times New Roman"/>
          <w:color w:val="1B2026"/>
          <w:sz w:val="24"/>
        </w:rPr>
        <w:t>Иностранные профессора российских университетов (вторая половина</w:t>
      </w:r>
    </w:p>
    <w:p w:rsidR="0052701D" w:rsidRDefault="00D40929">
      <w:pPr>
        <w:spacing w:after="3" w:line="249" w:lineRule="auto"/>
        <w:ind w:left="553" w:right="338"/>
        <w:jc w:val="both"/>
      </w:pPr>
      <w:r>
        <w:rPr>
          <w:rFonts w:ascii="Times New Roman" w:eastAsia="Times New Roman" w:hAnsi="Times New Roman" w:cs="Times New Roman"/>
          <w:color w:val="1B2026"/>
          <w:sz w:val="24"/>
        </w:rPr>
        <w:t>XVIII - первая треть XIX в.) : Биографический словарь / А. М. Феофанов, А. А. Костин, Т. В. Костина [и др.] ; под общ</w:t>
      </w:r>
      <w:r>
        <w:rPr>
          <w:rFonts w:ascii="Times New Roman" w:eastAsia="Times New Roman" w:hAnsi="Times New Roman" w:cs="Times New Roman"/>
          <w:color w:val="1B2026"/>
          <w:sz w:val="24"/>
        </w:rPr>
        <w:t>ей редакцией А.Ю. Андреева; составитель: А.М. Феофанов. – Москва : Издательство "Российская политическая энциклопедия", 2011. – 207 с. – ISBN 978-5-8243-1581-3. – EDN SGMXJB.</w:t>
      </w:r>
    </w:p>
    <w:p w:rsidR="0052701D" w:rsidRDefault="00D40929">
      <w:pPr>
        <w:spacing w:after="13" w:line="248" w:lineRule="auto"/>
        <w:ind w:left="-5" w:right="1251" w:hanging="10"/>
      </w:pPr>
      <w:r>
        <w:rPr>
          <w:rFonts w:ascii="Times New Roman" w:eastAsia="Times New Roman" w:hAnsi="Times New Roman" w:cs="Times New Roman"/>
        </w:rPr>
        <w:t>УДК 378</w:t>
      </w:r>
    </w:p>
    <w:p w:rsidR="0052701D" w:rsidRDefault="00D40929">
      <w:pPr>
        <w:spacing w:after="321" w:line="248" w:lineRule="auto"/>
        <w:ind w:left="-5" w:right="1251" w:hanging="10"/>
      </w:pPr>
      <w:r>
        <w:rPr>
          <w:rFonts w:ascii="Times New Roman" w:eastAsia="Times New Roman" w:hAnsi="Times New Roman" w:cs="Times New Roman"/>
        </w:rPr>
        <w:t>МРНТИ 14.35.01</w:t>
      </w:r>
    </w:p>
    <w:p w:rsidR="0052701D" w:rsidRDefault="00D40929">
      <w:pPr>
        <w:pStyle w:val="1"/>
        <w:spacing w:after="222" w:line="249" w:lineRule="auto"/>
        <w:ind w:left="342" w:right="332"/>
      </w:pPr>
      <w:r>
        <w:t>ИННОВАЦИОННОЕ РАЗВИТИЕ ВУЗА НА ОСНОВЕ ИНЖЕНЕРИИ</w:t>
      </w:r>
    </w:p>
    <w:p w:rsidR="0052701D" w:rsidRDefault="00D40929">
      <w:pPr>
        <w:pStyle w:val="1"/>
        <w:spacing w:after="222" w:line="249" w:lineRule="auto"/>
        <w:ind w:left="342" w:right="332"/>
      </w:pPr>
      <w:r>
        <w:t xml:space="preserve">ЗНАНИЙ </w:t>
      </w:r>
      <w:r>
        <w:rPr>
          <w:b w:val="0"/>
          <w:sz w:val="24"/>
        </w:rPr>
        <w:t>Бай</w:t>
      </w:r>
      <w:r>
        <w:rPr>
          <w:b w:val="0"/>
          <w:sz w:val="24"/>
        </w:rPr>
        <w:t xml:space="preserve">мухамедов М.Ф., Салыкова М.С. </w:t>
      </w:r>
    </w:p>
    <w:p w:rsidR="0052701D" w:rsidRDefault="00D40929">
      <w:pPr>
        <w:spacing w:after="13" w:line="249" w:lineRule="auto"/>
        <w:ind w:left="10" w:hanging="10"/>
        <w:jc w:val="center"/>
      </w:pPr>
      <w:r>
        <w:rPr>
          <w:rFonts w:ascii="Times New Roman" w:eastAsia="Times New Roman" w:hAnsi="Times New Roman" w:cs="Times New Roman"/>
          <w:sz w:val="24"/>
        </w:rPr>
        <w:t>Костанайского социально-технического университета, Республика Казахстан, г. Костанай.</w:t>
      </w:r>
    </w:p>
    <w:p w:rsidR="0052701D" w:rsidRDefault="00D40929">
      <w:pPr>
        <w:spacing w:after="13" w:line="249" w:lineRule="auto"/>
        <w:ind w:left="1001" w:right="995" w:hanging="10"/>
        <w:jc w:val="center"/>
      </w:pPr>
      <w:r>
        <w:rPr>
          <w:rFonts w:ascii="Times New Roman" w:eastAsia="Times New Roman" w:hAnsi="Times New Roman" w:cs="Times New Roman"/>
          <w:sz w:val="24"/>
        </w:rPr>
        <w:t xml:space="preserve">Алматинский университет энергетики и связи имени Гумарбека Даукеева, </w:t>
      </w:r>
    </w:p>
    <w:p w:rsidR="0052701D" w:rsidRDefault="00D40929">
      <w:pPr>
        <w:spacing w:after="266" w:line="249" w:lineRule="auto"/>
        <w:ind w:left="2678" w:right="2667" w:hanging="10"/>
        <w:jc w:val="center"/>
      </w:pPr>
      <w:r>
        <w:rPr>
          <w:rFonts w:ascii="Times New Roman" w:eastAsia="Times New Roman" w:hAnsi="Times New Roman" w:cs="Times New Roman"/>
          <w:sz w:val="24"/>
        </w:rPr>
        <w:t xml:space="preserve">Республика Казахстан , город Алматы E-mail: </w:t>
      </w:r>
      <w:r>
        <w:rPr>
          <w:rFonts w:ascii="Times New Roman" w:eastAsia="Times New Roman" w:hAnsi="Times New Roman" w:cs="Times New Roman"/>
          <w:color w:val="0000FF"/>
          <w:sz w:val="24"/>
          <w:u w:val="single" w:color="0000FF"/>
        </w:rPr>
        <w:t xml:space="preserve"> bmf  45@ </w:t>
      </w:r>
      <w:r>
        <w:rPr>
          <w:rFonts w:ascii="Times New Roman" w:eastAsia="Times New Roman" w:hAnsi="Times New Roman" w:cs="Times New Roman"/>
          <w:color w:val="0000FF"/>
          <w:sz w:val="24"/>
          <w:u w:val="single" w:color="0000FF"/>
          <w:shd w:val="clear" w:color="auto" w:fill="FFFFFF"/>
        </w:rPr>
        <w:t xml:space="preserve"> mail </w:t>
      </w:r>
      <w:r>
        <w:rPr>
          <w:rFonts w:ascii="Times New Roman" w:eastAsia="Times New Roman" w:hAnsi="Times New Roman" w:cs="Times New Roman"/>
          <w:color w:val="0000FF"/>
          <w:sz w:val="24"/>
          <w:u w:val="single" w:color="0000FF"/>
        </w:rPr>
        <w:t>.</w:t>
      </w:r>
      <w:r>
        <w:rPr>
          <w:rFonts w:ascii="Times New Roman" w:eastAsia="Times New Roman" w:hAnsi="Times New Roman" w:cs="Times New Roman"/>
          <w:color w:val="0000FF"/>
          <w:sz w:val="24"/>
          <w:u w:val="single" w:color="0000FF"/>
          <w:shd w:val="clear" w:color="auto" w:fill="FFFFFF"/>
        </w:rPr>
        <w:t xml:space="preserve">  ru</w:t>
      </w:r>
    </w:p>
    <w:p w:rsidR="0052701D" w:rsidRDefault="00D40929">
      <w:pPr>
        <w:spacing w:after="3" w:line="249" w:lineRule="auto"/>
        <w:ind w:right="4" w:firstLine="568"/>
        <w:jc w:val="both"/>
      </w:pPr>
      <w:r>
        <w:rPr>
          <w:rFonts w:ascii="Times New Roman" w:eastAsia="Times New Roman" w:hAnsi="Times New Roman" w:cs="Times New Roman"/>
          <w:sz w:val="24"/>
        </w:rPr>
        <w:lastRenderedPageBreak/>
        <w:t xml:space="preserve">   </w:t>
      </w:r>
      <w:r>
        <w:rPr>
          <w:rFonts w:ascii="Times New Roman" w:eastAsia="Times New Roman" w:hAnsi="Times New Roman" w:cs="Times New Roman"/>
          <w:b/>
          <w:i/>
          <w:sz w:val="24"/>
        </w:rPr>
        <w:t>Аннотация.</w:t>
      </w:r>
      <w:r>
        <w:rPr>
          <w:rFonts w:ascii="Times New Roman" w:eastAsia="Times New Roman" w:hAnsi="Times New Roman" w:cs="Times New Roman"/>
          <w:i/>
          <w:sz w:val="24"/>
        </w:rPr>
        <w:t xml:space="preserve"> В статье рассматривается инновационная стратегия развития высшего учебного заведения, которая является важнейшим фактором успешной деятельности вуза в современных условиях. Выбор инновационно ориентированного пути развития способен обеспечить си</w:t>
      </w:r>
      <w:r>
        <w:rPr>
          <w:rFonts w:ascii="Times New Roman" w:eastAsia="Times New Roman" w:hAnsi="Times New Roman" w:cs="Times New Roman"/>
          <w:i/>
          <w:sz w:val="24"/>
        </w:rPr>
        <w:t>стеме образования высокое качество подготовки специалистов и повысить уровень интеграции рынка образовательных услуг и рынка труда, что применение обучающих роботов в системе высшего образования открывает неограниченные возможности и горизонты развития отк</w:t>
      </w:r>
      <w:r>
        <w:rPr>
          <w:rFonts w:ascii="Times New Roman" w:eastAsia="Times New Roman" w:hAnsi="Times New Roman" w:cs="Times New Roman"/>
          <w:i/>
          <w:sz w:val="24"/>
        </w:rPr>
        <w:t xml:space="preserve">рытого образования для широких слоев населения путем качественного обучения студентов без участия преподавателей. </w:t>
      </w:r>
      <w:r>
        <w:rPr>
          <w:rFonts w:ascii="Times New Roman" w:eastAsia="Times New Roman" w:hAnsi="Times New Roman" w:cs="Times New Roman"/>
          <w:b/>
          <w:i/>
          <w:sz w:val="24"/>
        </w:rPr>
        <w:t xml:space="preserve"> </w:t>
      </w:r>
    </w:p>
    <w:p w:rsidR="0052701D" w:rsidRDefault="00D40929">
      <w:pPr>
        <w:spacing w:after="252"/>
        <w:ind w:left="10" w:right="142" w:hanging="10"/>
        <w:jc w:val="center"/>
      </w:pP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 xml:space="preserve"> инновация, роботизация, высшее учебное заведение, специалисты. </w:t>
      </w:r>
    </w:p>
    <w:p w:rsidR="0052701D" w:rsidRDefault="00D40929">
      <w:pPr>
        <w:spacing w:after="276" w:line="238" w:lineRule="auto"/>
        <w:ind w:left="4124" w:hanging="3404"/>
      </w:pPr>
      <w:r>
        <w:rPr>
          <w:rFonts w:ascii="Times New Roman" w:eastAsia="Times New Roman" w:hAnsi="Times New Roman" w:cs="Times New Roman"/>
          <w:b/>
          <w:sz w:val="24"/>
        </w:rPr>
        <w:t xml:space="preserve">INNOVATIVE DEVELOPMENT OF THE UNIVERSITY BASED ON KNOWLEDGE </w:t>
      </w:r>
      <w:r>
        <w:rPr>
          <w:rFonts w:ascii="Times New Roman" w:eastAsia="Times New Roman" w:hAnsi="Times New Roman" w:cs="Times New Roman"/>
          <w:b/>
          <w:sz w:val="24"/>
        </w:rPr>
        <w:t>ENGINEERING</w:t>
      </w:r>
    </w:p>
    <w:p w:rsidR="0052701D" w:rsidRDefault="00D40929">
      <w:pPr>
        <w:spacing w:after="0"/>
        <w:ind w:left="13" w:hanging="10"/>
        <w:jc w:val="center"/>
      </w:pPr>
      <w:r>
        <w:rPr>
          <w:rFonts w:ascii="Times New Roman" w:eastAsia="Times New Roman" w:hAnsi="Times New Roman" w:cs="Times New Roman"/>
          <w:color w:val="202122"/>
          <w:sz w:val="24"/>
        </w:rPr>
        <w:t>Baymukhamedov M.F., Salykova M.S.</w:t>
      </w:r>
    </w:p>
    <w:p w:rsidR="0052701D" w:rsidRDefault="00D40929">
      <w:pPr>
        <w:spacing w:after="0"/>
        <w:ind w:left="13" w:right="1" w:hanging="10"/>
        <w:jc w:val="center"/>
      </w:pPr>
      <w:r>
        <w:rPr>
          <w:rFonts w:ascii="Times New Roman" w:eastAsia="Times New Roman" w:hAnsi="Times New Roman" w:cs="Times New Roman"/>
          <w:color w:val="202122"/>
          <w:sz w:val="24"/>
        </w:rPr>
        <w:t xml:space="preserve">Kostanay Socio-Technical University, </w:t>
      </w:r>
      <w:r>
        <w:rPr>
          <w:rFonts w:ascii="Times New Roman" w:eastAsia="Times New Roman" w:hAnsi="Times New Roman" w:cs="Times New Roman"/>
        </w:rPr>
        <w:t>Republic of Kazakhstan, Republic of Kazakhstan</w:t>
      </w:r>
      <w:r>
        <w:rPr>
          <w:rFonts w:ascii="Times New Roman" w:eastAsia="Times New Roman" w:hAnsi="Times New Roman" w:cs="Times New Roman"/>
          <w:color w:val="202122"/>
          <w:sz w:val="24"/>
        </w:rPr>
        <w:t>, Kostanay.</w:t>
      </w:r>
    </w:p>
    <w:p w:rsidR="0052701D" w:rsidRDefault="00D40929">
      <w:pPr>
        <w:spacing w:after="10" w:line="248" w:lineRule="auto"/>
        <w:ind w:left="10" w:hanging="10"/>
        <w:jc w:val="center"/>
      </w:pPr>
      <w:r>
        <w:rPr>
          <w:rFonts w:ascii="Times New Roman" w:eastAsia="Times New Roman" w:hAnsi="Times New Roman" w:cs="Times New Roman"/>
        </w:rPr>
        <w:t>Almaty University of Power Engineering and Telecommunications named after Gumarbek Daukeev, Republic of Kazakhstan,</w:t>
      </w:r>
      <w:r>
        <w:rPr>
          <w:rFonts w:ascii="Times New Roman" w:eastAsia="Times New Roman" w:hAnsi="Times New Roman" w:cs="Times New Roman"/>
        </w:rPr>
        <w:t xml:space="preserve"> Almaty</w:t>
      </w:r>
    </w:p>
    <w:p w:rsidR="0052701D" w:rsidRDefault="00D40929">
      <w:pPr>
        <w:spacing w:after="0"/>
        <w:ind w:left="13" w:hanging="10"/>
        <w:jc w:val="center"/>
      </w:pPr>
      <w:r>
        <w:rPr>
          <w:rFonts w:ascii="Times New Roman" w:eastAsia="Times New Roman" w:hAnsi="Times New Roman" w:cs="Times New Roman"/>
          <w:color w:val="202122"/>
          <w:sz w:val="24"/>
        </w:rPr>
        <w:t xml:space="preserve">E-mail: </w:t>
      </w:r>
      <w:r>
        <w:rPr>
          <w:rFonts w:ascii="Times New Roman" w:eastAsia="Times New Roman" w:hAnsi="Times New Roman" w:cs="Times New Roman"/>
          <w:color w:val="0000FF"/>
          <w:sz w:val="24"/>
          <w:u w:val="single" w:color="0000FF"/>
        </w:rPr>
        <w:t>bmf45@mail.ru</w:t>
      </w:r>
      <w:r>
        <w:rPr>
          <w:rFonts w:ascii="Times New Roman" w:eastAsia="Times New Roman" w:hAnsi="Times New Roman" w:cs="Times New Roman"/>
          <w:color w:val="202122"/>
          <w:sz w:val="24"/>
          <w:shd w:val="clear" w:color="auto" w:fill="FFFFFF"/>
        </w:rPr>
        <w:t xml:space="preserve">, </w:t>
      </w:r>
      <w:r>
        <w:rPr>
          <w:rFonts w:ascii="Times New Roman" w:eastAsia="Times New Roman" w:hAnsi="Times New Roman" w:cs="Times New Roman"/>
          <w:color w:val="0000FF"/>
          <w:sz w:val="24"/>
          <w:u w:val="single" w:color="0000FF"/>
        </w:rPr>
        <w:t>m.salykova@aues.kz</w:t>
      </w:r>
      <w:r>
        <w:rPr>
          <w:rFonts w:ascii="Times New Roman" w:eastAsia="Times New Roman" w:hAnsi="Times New Roman" w:cs="Times New Roman"/>
          <w:color w:val="202122"/>
          <w:sz w:val="24"/>
        </w:rPr>
        <w:t xml:space="preserve"> </w:t>
      </w:r>
    </w:p>
    <w:p w:rsidR="0052701D" w:rsidRDefault="00D40929">
      <w:pPr>
        <w:spacing w:after="0"/>
      </w:pPr>
      <w:r>
        <w:rPr>
          <w:rFonts w:ascii="Times New Roman" w:eastAsia="Times New Roman" w:hAnsi="Times New Roman" w:cs="Times New Roman"/>
          <w:color w:val="202122"/>
          <w:sz w:val="28"/>
        </w:rPr>
        <w:t xml:space="preserve">  </w:t>
      </w:r>
    </w:p>
    <w:p w:rsidR="0052701D" w:rsidRDefault="00D40929">
      <w:pPr>
        <w:spacing w:after="3" w:line="249" w:lineRule="auto"/>
        <w:ind w:right="7" w:firstLine="568"/>
        <w:jc w:val="both"/>
      </w:pPr>
      <w:r>
        <w:rPr>
          <w:rFonts w:ascii="Times New Roman" w:eastAsia="Times New Roman" w:hAnsi="Times New Roman" w:cs="Times New Roman"/>
          <w:b/>
          <w:i/>
          <w:sz w:val="24"/>
        </w:rPr>
        <w:t>Annotation.</w:t>
      </w:r>
      <w:r>
        <w:rPr>
          <w:rFonts w:ascii="Times New Roman" w:eastAsia="Times New Roman" w:hAnsi="Times New Roman" w:cs="Times New Roman"/>
          <w:i/>
          <w:sz w:val="24"/>
        </w:rPr>
        <w:t xml:space="preserve"> The article discusses the innovative strategy of the development of higher education institutions, which is the most important factor in the success of the university in modern conditions. The choice of an innovation-oriented development path is able to p</w:t>
      </w:r>
      <w:r>
        <w:rPr>
          <w:rFonts w:ascii="Times New Roman" w:eastAsia="Times New Roman" w:hAnsi="Times New Roman" w:cs="Times New Roman"/>
          <w:i/>
          <w:sz w:val="24"/>
        </w:rPr>
        <w:t>rovide the education system with high-quality training of specialists and increase the level of integration of the educational services market and the labor market, that the use of teaching robots in the higher education system opens unlimited opportunitie</w:t>
      </w:r>
      <w:r>
        <w:rPr>
          <w:rFonts w:ascii="Times New Roman" w:eastAsia="Times New Roman" w:hAnsi="Times New Roman" w:cs="Times New Roman"/>
          <w:i/>
          <w:sz w:val="24"/>
        </w:rPr>
        <w:t>s and horizons for the development of open education for the general population through high-quality training of students without the participation of teachers.</w:t>
      </w:r>
    </w:p>
    <w:p w:rsidR="0052701D" w:rsidRDefault="00D40929">
      <w:pPr>
        <w:spacing w:after="294" w:line="249" w:lineRule="auto"/>
        <w:ind w:left="568" w:right="282"/>
        <w:jc w:val="both"/>
      </w:pPr>
      <w:r>
        <w:rPr>
          <w:rFonts w:ascii="Times New Roman" w:eastAsia="Times New Roman" w:hAnsi="Times New Roman" w:cs="Times New Roman"/>
          <w:b/>
          <w:i/>
          <w:sz w:val="24"/>
        </w:rPr>
        <w:t>Keywords</w:t>
      </w:r>
      <w:r>
        <w:rPr>
          <w:rFonts w:ascii="Times New Roman" w:eastAsia="Times New Roman" w:hAnsi="Times New Roman" w:cs="Times New Roman"/>
          <w:i/>
          <w:sz w:val="24"/>
        </w:rPr>
        <w:t>: innovation, robotization, higher education institution, specialists.</w:t>
      </w:r>
    </w:p>
    <w:p w:rsidR="0052701D" w:rsidRDefault="00D40929">
      <w:pPr>
        <w:spacing w:after="3" w:line="248" w:lineRule="auto"/>
        <w:ind w:right="4" w:firstLine="558"/>
        <w:jc w:val="both"/>
      </w:pPr>
      <w:r>
        <w:rPr>
          <w:rFonts w:ascii="Times New Roman" w:eastAsia="Times New Roman" w:hAnsi="Times New Roman" w:cs="Times New Roman"/>
          <w:sz w:val="28"/>
        </w:rPr>
        <w:t>Образование, пре</w:t>
      </w:r>
      <w:r>
        <w:rPr>
          <w:rFonts w:ascii="Times New Roman" w:eastAsia="Times New Roman" w:hAnsi="Times New Roman" w:cs="Times New Roman"/>
          <w:sz w:val="28"/>
        </w:rPr>
        <w:t>жде всего высшее, играет исключительно важную и все возрастающую роль в современной экономике. Интеллектуальный потенциал, который создается системой образования, становится определяющим фактором развития экономики знаний. Актуальность определяется настоят</w:t>
      </w:r>
      <w:r>
        <w:rPr>
          <w:rFonts w:ascii="Times New Roman" w:eastAsia="Times New Roman" w:hAnsi="Times New Roman" w:cs="Times New Roman"/>
          <w:sz w:val="28"/>
        </w:rPr>
        <w:t>ельной необходимостью модернизации высшего образования на основе интеграции фундаментальной науки, образования и практической деятельности.</w:t>
      </w:r>
    </w:p>
    <w:p w:rsidR="0052701D" w:rsidRDefault="00D40929">
      <w:pPr>
        <w:spacing w:after="3" w:line="248" w:lineRule="auto"/>
        <w:ind w:right="4" w:firstLine="558"/>
        <w:jc w:val="both"/>
      </w:pPr>
      <w:r>
        <w:rPr>
          <w:rFonts w:ascii="Times New Roman" w:eastAsia="Times New Roman" w:hAnsi="Times New Roman" w:cs="Times New Roman"/>
          <w:sz w:val="28"/>
        </w:rPr>
        <w:t>Не получая достаточного финансирования ни на образование, ни на науку, во многих вузах избрана стратегия выживаемости, когда в непрофильных вузах открываются популярные на рынке образовательных услуг специальности. Такой подход значительно снизил инновацио</w:t>
      </w:r>
      <w:r>
        <w:rPr>
          <w:rFonts w:ascii="Times New Roman" w:eastAsia="Times New Roman" w:hAnsi="Times New Roman" w:cs="Times New Roman"/>
          <w:sz w:val="28"/>
        </w:rPr>
        <w:t>нную активность вузов, что выразилось в сокращении принципиально новых научных разработок, что в свою очередь негативно отразилось на подготовке инновационно-ориентированного специалиста, владеющего современными технологиями.</w:t>
      </w:r>
    </w:p>
    <w:p w:rsidR="0052701D" w:rsidRDefault="00D40929">
      <w:pPr>
        <w:spacing w:after="3" w:line="248" w:lineRule="auto"/>
        <w:ind w:right="4" w:firstLine="558"/>
        <w:jc w:val="both"/>
      </w:pPr>
      <w:r>
        <w:rPr>
          <w:rFonts w:ascii="Times New Roman" w:eastAsia="Times New Roman" w:hAnsi="Times New Roman" w:cs="Times New Roman"/>
          <w:sz w:val="28"/>
        </w:rPr>
        <w:t>Инновационная стратегия развит</w:t>
      </w:r>
      <w:r>
        <w:rPr>
          <w:rFonts w:ascii="Times New Roman" w:eastAsia="Times New Roman" w:hAnsi="Times New Roman" w:cs="Times New Roman"/>
          <w:sz w:val="28"/>
        </w:rPr>
        <w:t>ия высшего учебного заведения является важнейшим фактором успешной деятельности вуза в современных условиях. Если ранее вузы могли успешно функционировать, концентрируя внимание в основном на рациональном использовании своего внутреннего потенциала, то в н</w:t>
      </w:r>
      <w:r>
        <w:rPr>
          <w:rFonts w:ascii="Times New Roman" w:eastAsia="Times New Roman" w:hAnsi="Times New Roman" w:cs="Times New Roman"/>
          <w:sz w:val="28"/>
        </w:rPr>
        <w:t>астоящее время назрела необходимость перехода вуза из режима функционирования в режим развития. Стратегия инновационного развития определяет “что изменить” и “как изменить”. Ответы на эти вопросы дают возможность проектировать механизм инновационного разви</w:t>
      </w:r>
      <w:r>
        <w:rPr>
          <w:rFonts w:ascii="Times New Roman" w:eastAsia="Times New Roman" w:hAnsi="Times New Roman" w:cs="Times New Roman"/>
          <w:sz w:val="28"/>
        </w:rPr>
        <w:t xml:space="preserve">тия вуза как системы. В рамках инновационной стратегии </w:t>
      </w:r>
      <w:r>
        <w:rPr>
          <w:rFonts w:ascii="Times New Roman" w:eastAsia="Times New Roman" w:hAnsi="Times New Roman" w:cs="Times New Roman"/>
          <w:sz w:val="28"/>
        </w:rPr>
        <w:lastRenderedPageBreak/>
        <w:t>вузы проводят политику ориентации и переключения на потребительский спрос, тщательное изучение будущих контрагентов, контактов с конкурентами, новыми коммерческими структурами, определяя при этом их на</w:t>
      </w:r>
      <w:r>
        <w:rPr>
          <w:rFonts w:ascii="Times New Roman" w:eastAsia="Times New Roman" w:hAnsi="Times New Roman" w:cs="Times New Roman"/>
          <w:sz w:val="28"/>
        </w:rPr>
        <w:t>дежность и перспективу. Долгосрочные цели в инновационной стратегии определяются результатом анализа изменений во внешней и внутренней среде вуза.</w:t>
      </w:r>
    </w:p>
    <w:p w:rsidR="0052701D" w:rsidRDefault="00D40929">
      <w:pPr>
        <w:spacing w:after="3" w:line="248" w:lineRule="auto"/>
        <w:ind w:right="4" w:firstLine="558"/>
        <w:jc w:val="both"/>
      </w:pPr>
      <w:r>
        <w:rPr>
          <w:rFonts w:ascii="Times New Roman" w:eastAsia="Times New Roman" w:hAnsi="Times New Roman" w:cs="Times New Roman"/>
          <w:sz w:val="28"/>
        </w:rPr>
        <w:t>Инновационная модель развития вуза диктует необходимость глубокой интеграции научной, образовательной и иннов</w:t>
      </w:r>
      <w:r>
        <w:rPr>
          <w:rFonts w:ascii="Times New Roman" w:eastAsia="Times New Roman" w:hAnsi="Times New Roman" w:cs="Times New Roman"/>
          <w:sz w:val="28"/>
        </w:rPr>
        <w:t>ационной деятельности, разработки и внедрения механизмов, повышающих реальную конкурентоспособность вуза за счет повышения качества всех видов его деятельности, широкого применения методов и средств искусственного интеллекта [1].  Главной задачей инновацио</w:t>
      </w:r>
      <w:r>
        <w:rPr>
          <w:rFonts w:ascii="Times New Roman" w:eastAsia="Times New Roman" w:hAnsi="Times New Roman" w:cs="Times New Roman"/>
          <w:sz w:val="28"/>
        </w:rPr>
        <w:t>нного университета является качественная подготовка инновационноориентированных специалистов в приоритетных областях техники и технологий на основе единого процесса получения, распространения и применения новых знаний. Такая подготовка специалистов для инн</w:t>
      </w:r>
      <w:r>
        <w:rPr>
          <w:rFonts w:ascii="Times New Roman" w:eastAsia="Times New Roman" w:hAnsi="Times New Roman" w:cs="Times New Roman"/>
          <w:sz w:val="28"/>
        </w:rPr>
        <w:t>овационной экономики потребовала формирования инновационной среды вуза, а также соответствующей квалификации и культуры преподавателей.</w:t>
      </w:r>
    </w:p>
    <w:p w:rsidR="0052701D" w:rsidRDefault="00D40929">
      <w:pPr>
        <w:spacing w:after="3" w:line="248" w:lineRule="auto"/>
        <w:ind w:right="4" w:firstLine="558"/>
        <w:jc w:val="both"/>
      </w:pPr>
      <w:r>
        <w:rPr>
          <w:rFonts w:ascii="Times New Roman" w:eastAsia="Times New Roman" w:hAnsi="Times New Roman" w:cs="Times New Roman"/>
          <w:sz w:val="28"/>
        </w:rPr>
        <w:t>Выбор инновационно ориентированного пути развития способен обеспечить системе образования высокое качество подготовки сп</w:t>
      </w:r>
      <w:r>
        <w:rPr>
          <w:rFonts w:ascii="Times New Roman" w:eastAsia="Times New Roman" w:hAnsi="Times New Roman" w:cs="Times New Roman"/>
          <w:sz w:val="28"/>
        </w:rPr>
        <w:t xml:space="preserve">ециалистов и повысить уровень интеграции рынка образовательных услуг и рынка труда. Это позволит ориентировать современную систему высшей школы не столько на образовательную деятельность, сколько на наукоемкую технологически выдержанную систему подготовки </w:t>
      </w:r>
      <w:r>
        <w:rPr>
          <w:rFonts w:ascii="Times New Roman" w:eastAsia="Times New Roman" w:hAnsi="Times New Roman" w:cs="Times New Roman"/>
          <w:sz w:val="28"/>
        </w:rPr>
        <w:t>и переподготовки специалистов. Инновационное развитие вуза предполагает процесс качественных изменений системы, предпосылкой, условием и содержанием которых выступают инновации и нововведения, обеспечивающие ее оптимальное и устойчивое развитие. Для обеспе</w:t>
      </w:r>
      <w:r>
        <w:rPr>
          <w:rFonts w:ascii="Times New Roman" w:eastAsia="Times New Roman" w:hAnsi="Times New Roman" w:cs="Times New Roman"/>
          <w:sz w:val="28"/>
        </w:rPr>
        <w:t>чения выполнения задач инновационного типа вуз, как субъект управления, должен соответствовать самым современным требованиям научно-технического прогресса, показывая своим примером перспективы применения достижений науки и техники в практической деятельнос</w:t>
      </w:r>
      <w:r>
        <w:rPr>
          <w:rFonts w:ascii="Times New Roman" w:eastAsia="Times New Roman" w:hAnsi="Times New Roman" w:cs="Times New Roman"/>
          <w:sz w:val="28"/>
        </w:rPr>
        <w:t xml:space="preserve">ти. При этом саморазвитие вуза, совершенствование различных сторон его деятельности носит комплексный и непрерывный характер. </w:t>
      </w:r>
    </w:p>
    <w:p w:rsidR="0052701D" w:rsidRDefault="00D40929">
      <w:pPr>
        <w:spacing w:after="3" w:line="248" w:lineRule="auto"/>
        <w:ind w:right="4" w:firstLine="558"/>
        <w:jc w:val="both"/>
      </w:pPr>
      <w:r>
        <w:rPr>
          <w:rFonts w:ascii="Times New Roman" w:eastAsia="Times New Roman" w:hAnsi="Times New Roman" w:cs="Times New Roman"/>
          <w:sz w:val="28"/>
        </w:rPr>
        <w:t>Формирование стратегии и тактики развития каждого конкретного вуза с учетом и на основе его инновационного потенциала, позволит н</w:t>
      </w:r>
      <w:r>
        <w:rPr>
          <w:rFonts w:ascii="Times New Roman" w:eastAsia="Times New Roman" w:hAnsi="Times New Roman" w:cs="Times New Roman"/>
          <w:sz w:val="28"/>
        </w:rPr>
        <w:t>а всех стадиях инновационного цикла укрепить его конкурентные преимущества и занять свою нишу в условиях формирования механизма инновационного развития. То есть, это позволит прогнозировать потребности в объемах и формах образовательных услуг, разрабатыват</w:t>
      </w:r>
      <w:r>
        <w:rPr>
          <w:rFonts w:ascii="Times New Roman" w:eastAsia="Times New Roman" w:hAnsi="Times New Roman" w:cs="Times New Roman"/>
          <w:sz w:val="28"/>
        </w:rPr>
        <w:t xml:space="preserve">ь и тиражировать на рынок продукты инновационной деятельности. Таким образом, инновационная модель развития вуза диктует необходимость глубокой интеграции научной, образовательной и инновационной деятельности, разработки и внедрения механизмов, повышающих </w:t>
      </w:r>
      <w:r>
        <w:rPr>
          <w:rFonts w:ascii="Times New Roman" w:eastAsia="Times New Roman" w:hAnsi="Times New Roman" w:cs="Times New Roman"/>
          <w:sz w:val="28"/>
        </w:rPr>
        <w:t xml:space="preserve">реальную конкурентоспособность вуза за счет повышения качества всех видов его деятельности. Главной задачей инновационного университета является качественная подготовка инновационно-ориентированных специалистов в приоритетных областях техники и технологий </w:t>
      </w:r>
      <w:r>
        <w:rPr>
          <w:rFonts w:ascii="Times New Roman" w:eastAsia="Times New Roman" w:hAnsi="Times New Roman" w:cs="Times New Roman"/>
          <w:sz w:val="28"/>
        </w:rPr>
        <w:t xml:space="preserve">на основе единого процесса получения, распространения и применения новых знаний. Такая подготовка </w:t>
      </w:r>
      <w:r>
        <w:rPr>
          <w:rFonts w:ascii="Times New Roman" w:eastAsia="Times New Roman" w:hAnsi="Times New Roman" w:cs="Times New Roman"/>
          <w:sz w:val="28"/>
        </w:rPr>
        <w:lastRenderedPageBreak/>
        <w:t xml:space="preserve">специалистов для инновационной экономики потребовала формирования инновационной среды вуза, а также соответствующей квалификации и культуры преподавателей. В </w:t>
      </w:r>
      <w:r>
        <w:rPr>
          <w:rFonts w:ascii="Times New Roman" w:eastAsia="Times New Roman" w:hAnsi="Times New Roman" w:cs="Times New Roman"/>
          <w:sz w:val="28"/>
        </w:rPr>
        <w:t xml:space="preserve">контексте вышесказанного стратегия инновационного развития вуза должна затрагивать все направления его деятельности. </w:t>
      </w:r>
    </w:p>
    <w:p w:rsidR="0052701D" w:rsidRDefault="00D40929">
      <w:pPr>
        <w:spacing w:after="3" w:line="248" w:lineRule="auto"/>
        <w:ind w:right="4" w:firstLine="558"/>
        <w:jc w:val="both"/>
      </w:pPr>
      <w:r>
        <w:rPr>
          <w:rFonts w:ascii="Times New Roman" w:eastAsia="Times New Roman" w:hAnsi="Times New Roman" w:cs="Times New Roman"/>
          <w:sz w:val="28"/>
        </w:rPr>
        <w:t>Важной характеристикой инновационного вуза является управление и использование объектов интеллектуальной собственности (ОИС) Для эффективн</w:t>
      </w:r>
      <w:r>
        <w:rPr>
          <w:rFonts w:ascii="Times New Roman" w:eastAsia="Times New Roman" w:hAnsi="Times New Roman" w:cs="Times New Roman"/>
          <w:sz w:val="28"/>
        </w:rPr>
        <w:t>ого использования объектов интеллектуальной собственности в качестве товара при их коммерческой реализации необходимо создавать в университетах систему управления ОИС. В современных экономических условиях эффективность управления в области интеллектуальной</w:t>
      </w:r>
      <w:r>
        <w:rPr>
          <w:rFonts w:ascii="Times New Roman" w:eastAsia="Times New Roman" w:hAnsi="Times New Roman" w:cs="Times New Roman"/>
          <w:sz w:val="28"/>
        </w:rPr>
        <w:t xml:space="preserve"> собственности в вузе в основном зависит от формирования в нем патентной политики и инфраструктуры, которая может и должна стать одним из важных элементов стратегии инновационного развития университетов, должна быть направлена на развитие: научных исследов</w:t>
      </w:r>
      <w:r>
        <w:rPr>
          <w:rFonts w:ascii="Times New Roman" w:eastAsia="Times New Roman" w:hAnsi="Times New Roman" w:cs="Times New Roman"/>
          <w:sz w:val="28"/>
        </w:rPr>
        <w:t>аний и изобретательства; создание, правовую защиту и эффективное использование создаваемой в нём интеллектуальной собственности; обеспечение учета интересов вуза, авторов и инвесторов; создание необходимых условий для передачи технологий и ОИС промышленнос</w:t>
      </w:r>
      <w:r>
        <w:rPr>
          <w:rFonts w:ascii="Times New Roman" w:eastAsia="Times New Roman" w:hAnsi="Times New Roman" w:cs="Times New Roman"/>
          <w:sz w:val="28"/>
        </w:rPr>
        <w:t>ти и обществу посредством формирования необходимой инфраструктуры и условий для осуществления патентно-лицензионной деятельности. Основными задачами вуза необходимо сделать регулирование организационных, правовых, экономических отношений, возникающих в вуз</w:t>
      </w:r>
      <w:r>
        <w:rPr>
          <w:rFonts w:ascii="Times New Roman" w:eastAsia="Times New Roman" w:hAnsi="Times New Roman" w:cs="Times New Roman"/>
          <w:sz w:val="28"/>
        </w:rPr>
        <w:t xml:space="preserve">е при создании, защите и реализации продуктов интеллектуального и творческого труда в результате образовательной, научной, научно-технической и инновационной деятельности, осуществление эффективного управления их коммерческим использованием. </w:t>
      </w:r>
    </w:p>
    <w:p w:rsidR="0052701D" w:rsidRDefault="00D40929">
      <w:pPr>
        <w:spacing w:after="3" w:line="248" w:lineRule="auto"/>
        <w:ind w:right="4" w:firstLine="558"/>
        <w:jc w:val="both"/>
      </w:pPr>
      <w:r>
        <w:rPr>
          <w:rFonts w:ascii="Times New Roman" w:eastAsia="Times New Roman" w:hAnsi="Times New Roman" w:cs="Times New Roman"/>
          <w:sz w:val="28"/>
        </w:rPr>
        <w:t>Важным направ</w:t>
      </w:r>
      <w:r>
        <w:rPr>
          <w:rFonts w:ascii="Times New Roman" w:eastAsia="Times New Roman" w:hAnsi="Times New Roman" w:cs="Times New Roman"/>
          <w:sz w:val="28"/>
        </w:rPr>
        <w:t>лением развития инновационного вуза является роботизация обучения на базе инженерии знаний. Под инженерией знаний  будем понимать область наук об</w:t>
      </w:r>
      <w:hyperlink r:id="rId706">
        <w:r>
          <w:rPr>
            <w:rFonts w:ascii="Times New Roman" w:eastAsia="Times New Roman" w:hAnsi="Times New Roman" w:cs="Times New Roman"/>
            <w:sz w:val="28"/>
          </w:rPr>
          <w:t xml:space="preserve"> </w:t>
        </w:r>
      </w:hyperlink>
      <w:hyperlink r:id="rId707">
        <w:r>
          <w:rPr>
            <w:rFonts w:ascii="Times New Roman" w:eastAsia="Times New Roman" w:hAnsi="Times New Roman" w:cs="Times New Roman"/>
            <w:sz w:val="28"/>
          </w:rPr>
          <w:t>искусственном интеллекте</w:t>
        </w:r>
      </w:hyperlink>
      <w:r>
        <w:rPr>
          <w:rFonts w:ascii="Times New Roman" w:eastAsia="Times New Roman" w:hAnsi="Times New Roman" w:cs="Times New Roman"/>
          <w:sz w:val="28"/>
        </w:rPr>
        <w:t>, связанной с разработкой</w:t>
      </w:r>
      <w:hyperlink r:id="rId708">
        <w:r>
          <w:rPr>
            <w:rFonts w:ascii="Times New Roman" w:eastAsia="Times New Roman" w:hAnsi="Times New Roman" w:cs="Times New Roman"/>
            <w:sz w:val="28"/>
          </w:rPr>
          <w:t xml:space="preserve"> </w:t>
        </w:r>
      </w:hyperlink>
      <w:hyperlink r:id="rId709">
        <w:r>
          <w:rPr>
            <w:rFonts w:ascii="Times New Roman" w:eastAsia="Times New Roman" w:hAnsi="Times New Roman" w:cs="Times New Roman"/>
            <w:sz w:val="28"/>
          </w:rPr>
          <w:t xml:space="preserve">экспертных </w:t>
        </w:r>
      </w:hyperlink>
      <w:hyperlink r:id="rId710">
        <w:r>
          <w:rPr>
            <w:rFonts w:ascii="Times New Roman" w:eastAsia="Times New Roman" w:hAnsi="Times New Roman" w:cs="Times New Roman"/>
            <w:sz w:val="28"/>
          </w:rPr>
          <w:t>систем</w:t>
        </w:r>
      </w:hyperlink>
      <w:r>
        <w:rPr>
          <w:rFonts w:ascii="Times New Roman" w:eastAsia="Times New Roman" w:hAnsi="Times New Roman" w:cs="Times New Roman"/>
          <w:sz w:val="28"/>
        </w:rPr>
        <w:t xml:space="preserve"> и</w:t>
      </w:r>
      <w:hyperlink r:id="rId711">
        <w:r>
          <w:rPr>
            <w:rFonts w:ascii="Times New Roman" w:eastAsia="Times New Roman" w:hAnsi="Times New Roman" w:cs="Times New Roman"/>
            <w:sz w:val="28"/>
          </w:rPr>
          <w:t xml:space="preserve"> </w:t>
        </w:r>
      </w:hyperlink>
      <w:hyperlink r:id="rId712">
        <w:r>
          <w:rPr>
            <w:rFonts w:ascii="Times New Roman" w:eastAsia="Times New Roman" w:hAnsi="Times New Roman" w:cs="Times New Roman"/>
            <w:sz w:val="28"/>
          </w:rPr>
          <w:t>баз знаний</w:t>
        </w:r>
      </w:hyperlink>
      <w:r>
        <w:rPr>
          <w:rFonts w:ascii="Times New Roman" w:eastAsia="Times New Roman" w:hAnsi="Times New Roman" w:cs="Times New Roman"/>
          <w:sz w:val="28"/>
        </w:rPr>
        <w:t>. Относ</w:t>
      </w:r>
      <w:r>
        <w:rPr>
          <w:rFonts w:ascii="Times New Roman" w:eastAsia="Times New Roman" w:hAnsi="Times New Roman" w:cs="Times New Roman"/>
          <w:sz w:val="28"/>
        </w:rPr>
        <w:t>ится ко всем</w:t>
      </w:r>
      <w:hyperlink r:id="rId713">
        <w:r>
          <w:rPr>
            <w:rFonts w:ascii="Times New Roman" w:eastAsia="Times New Roman" w:hAnsi="Times New Roman" w:cs="Times New Roman"/>
            <w:sz w:val="28"/>
          </w:rPr>
          <w:t xml:space="preserve"> </w:t>
        </w:r>
      </w:hyperlink>
      <w:hyperlink r:id="rId714">
        <w:r>
          <w:rPr>
            <w:rFonts w:ascii="Times New Roman" w:eastAsia="Times New Roman" w:hAnsi="Times New Roman" w:cs="Times New Roman"/>
            <w:sz w:val="28"/>
          </w:rPr>
          <w:t>техническим</w:t>
        </w:r>
      </w:hyperlink>
      <w:r>
        <w:rPr>
          <w:rFonts w:ascii="Times New Roman" w:eastAsia="Times New Roman" w:hAnsi="Times New Roman" w:cs="Times New Roman"/>
          <w:sz w:val="28"/>
        </w:rPr>
        <w:t>,</w:t>
      </w:r>
      <w:hyperlink r:id="rId715">
        <w:r>
          <w:rPr>
            <w:rFonts w:ascii="Times New Roman" w:eastAsia="Times New Roman" w:hAnsi="Times New Roman" w:cs="Times New Roman"/>
            <w:sz w:val="28"/>
          </w:rPr>
          <w:t xml:space="preserve"> </w:t>
        </w:r>
      </w:hyperlink>
      <w:hyperlink r:id="rId716">
        <w:r>
          <w:rPr>
            <w:rFonts w:ascii="Times New Roman" w:eastAsia="Times New Roman" w:hAnsi="Times New Roman" w:cs="Times New Roman"/>
            <w:sz w:val="28"/>
          </w:rPr>
          <w:t>научным</w:t>
        </w:r>
      </w:hyperlink>
      <w:r>
        <w:rPr>
          <w:rFonts w:ascii="Times New Roman" w:eastAsia="Times New Roman" w:hAnsi="Times New Roman" w:cs="Times New Roman"/>
          <w:sz w:val="28"/>
        </w:rPr>
        <w:t xml:space="preserve"> и социальным аспектам, связанным с построением, поддержкой и применением систем, использующих знания.</w:t>
      </w:r>
    </w:p>
    <w:p w:rsidR="0052701D" w:rsidRDefault="00D40929">
      <w:pPr>
        <w:spacing w:after="3" w:line="248" w:lineRule="auto"/>
        <w:ind w:right="4" w:firstLine="558"/>
        <w:jc w:val="both"/>
      </w:pPr>
      <w:r>
        <w:rPr>
          <w:rFonts w:ascii="Times New Roman" w:eastAsia="Times New Roman" w:hAnsi="Times New Roman" w:cs="Times New Roman"/>
          <w:sz w:val="28"/>
        </w:rPr>
        <w:t>Сегодня развитие робототехники и</w:t>
      </w:r>
      <w:r>
        <w:rPr>
          <w:rFonts w:ascii="Times New Roman" w:eastAsia="Times New Roman" w:hAnsi="Times New Roman" w:cs="Times New Roman"/>
          <w:sz w:val="28"/>
        </w:rPr>
        <w:t xml:space="preserve"> искусственного интеллекта обусловили прорывные направления развития системы образования. В условиях пандемии коронавируса стремительно развиваются и внедряются дистанционные технологии обучения с применением методов и средств ИИ [2]. В сфере научных иссле</w:t>
      </w:r>
      <w:r>
        <w:rPr>
          <w:rFonts w:ascii="Times New Roman" w:eastAsia="Times New Roman" w:hAnsi="Times New Roman" w:cs="Times New Roman"/>
          <w:sz w:val="28"/>
        </w:rPr>
        <w:t>дований количество статей, курсов и патентов, связанных с ИИ, резко возросло за последние пять лет. По всей вероятности, достижения в области ИИ и робототехники помогут стимулировать экономический рост и повышение уровня образования во многих странах. В ла</w:t>
      </w:r>
      <w:r>
        <w:rPr>
          <w:rFonts w:ascii="Times New Roman" w:eastAsia="Times New Roman" w:hAnsi="Times New Roman" w:cs="Times New Roman"/>
          <w:sz w:val="28"/>
        </w:rPr>
        <w:t>боратории информационных систем Костанайского социального университета имени З.Алдамжар ведутся исследовательские работы по созданию программных роботов-преподавателей. Интеллектуальной основой роботов-преподавателей являются экспертные системы: ЭС по реше</w:t>
      </w:r>
      <w:r>
        <w:rPr>
          <w:rFonts w:ascii="Times New Roman" w:eastAsia="Times New Roman" w:hAnsi="Times New Roman" w:cs="Times New Roman"/>
          <w:sz w:val="28"/>
        </w:rPr>
        <w:t>нию задач в изучаемой предметной области (ЭС РЗ), ЭС по планированию процесса управления учением и ЭС по диагностике ошибок обучаемого.</w:t>
      </w:r>
    </w:p>
    <w:p w:rsidR="0052701D" w:rsidRDefault="00D40929">
      <w:pPr>
        <w:spacing w:after="3" w:line="248" w:lineRule="auto"/>
        <w:ind w:right="4" w:firstLine="558"/>
        <w:jc w:val="both"/>
      </w:pPr>
      <w:r>
        <w:rPr>
          <w:rFonts w:ascii="Times New Roman" w:eastAsia="Times New Roman" w:hAnsi="Times New Roman" w:cs="Times New Roman"/>
          <w:sz w:val="28"/>
        </w:rPr>
        <w:t>Экспертная система по решению задач предназначена для выработки эталонного решения задачи. Данный компонент может предст</w:t>
      </w:r>
      <w:r>
        <w:rPr>
          <w:rFonts w:ascii="Times New Roman" w:eastAsia="Times New Roman" w:hAnsi="Times New Roman" w:cs="Times New Roman"/>
          <w:sz w:val="28"/>
        </w:rPr>
        <w:t>авлять собой:</w:t>
      </w:r>
    </w:p>
    <w:p w:rsidR="0052701D" w:rsidRDefault="00D40929">
      <w:pPr>
        <w:spacing w:after="12" w:line="249" w:lineRule="auto"/>
        <w:ind w:left="563" w:right="-7" w:hanging="10"/>
        <w:jc w:val="right"/>
      </w:pPr>
      <w:r>
        <w:rPr>
          <w:rFonts w:ascii="Times New Roman" w:eastAsia="Times New Roman" w:hAnsi="Times New Roman" w:cs="Times New Roman"/>
          <w:sz w:val="28"/>
        </w:rPr>
        <w:lastRenderedPageBreak/>
        <w:t xml:space="preserve"> а) собственно ЭС, построенную на знаниях эксперта по решению задач в</w:t>
      </w:r>
    </w:p>
    <w:p w:rsidR="0052701D" w:rsidRDefault="00D40929">
      <w:pPr>
        <w:spacing w:after="3" w:line="248" w:lineRule="auto"/>
        <w:ind w:right="4"/>
        <w:jc w:val="both"/>
      </w:pPr>
      <w:r>
        <w:rPr>
          <w:rFonts w:ascii="Times New Roman" w:eastAsia="Times New Roman" w:hAnsi="Times New Roman" w:cs="Times New Roman"/>
          <w:sz w:val="28"/>
        </w:rPr>
        <w:t>данной предметной области (ПО), если она плохо формализуема;</w:t>
      </w:r>
    </w:p>
    <w:p w:rsidR="0052701D" w:rsidRDefault="00D40929">
      <w:pPr>
        <w:spacing w:after="3" w:line="248" w:lineRule="auto"/>
        <w:ind w:left="553" w:right="4"/>
        <w:jc w:val="both"/>
      </w:pPr>
      <w:r>
        <w:rPr>
          <w:rFonts w:ascii="Times New Roman" w:eastAsia="Times New Roman" w:hAnsi="Times New Roman" w:cs="Times New Roman"/>
          <w:sz w:val="28"/>
        </w:rPr>
        <w:t>б) решатель задач в некоторой хорошо формализуемой ПО;</w:t>
      </w:r>
    </w:p>
    <w:p w:rsidR="0052701D" w:rsidRDefault="00D40929">
      <w:pPr>
        <w:spacing w:after="3" w:line="248" w:lineRule="auto"/>
        <w:ind w:right="4" w:firstLine="558"/>
        <w:jc w:val="both"/>
      </w:pPr>
      <w:r>
        <w:rPr>
          <w:rFonts w:ascii="Times New Roman" w:eastAsia="Times New Roman" w:hAnsi="Times New Roman" w:cs="Times New Roman"/>
          <w:sz w:val="28"/>
        </w:rPr>
        <w:t xml:space="preserve">в) программы поиска или выбора решения данной задачи из </w:t>
      </w:r>
      <w:r>
        <w:rPr>
          <w:rFonts w:ascii="Times New Roman" w:eastAsia="Times New Roman" w:hAnsi="Times New Roman" w:cs="Times New Roman"/>
          <w:sz w:val="28"/>
        </w:rPr>
        <w:t>конечного (возможно большого) набора решений, если обучение ведется на заранее заготовленной совокупности задач.</w:t>
      </w:r>
    </w:p>
    <w:p w:rsidR="0052701D" w:rsidRDefault="00D40929">
      <w:pPr>
        <w:spacing w:after="3" w:line="248" w:lineRule="auto"/>
        <w:ind w:right="4" w:firstLine="558"/>
        <w:jc w:val="both"/>
      </w:pPr>
      <w:r>
        <w:rPr>
          <w:rFonts w:ascii="Times New Roman" w:eastAsia="Times New Roman" w:hAnsi="Times New Roman" w:cs="Times New Roman"/>
          <w:sz w:val="28"/>
        </w:rPr>
        <w:t>ЭС по управлению учебным процессом (ЭС УУ) представляет собой ЭС по планированию в ограничениях, накладываемых имеющимся учебным материалом. ЭС</w:t>
      </w:r>
      <w:r>
        <w:rPr>
          <w:rFonts w:ascii="Times New Roman" w:eastAsia="Times New Roman" w:hAnsi="Times New Roman" w:cs="Times New Roman"/>
          <w:sz w:val="28"/>
        </w:rPr>
        <w:t xml:space="preserve"> УУ формализует знания робота-преподавателя о методиках обучения.</w:t>
      </w:r>
    </w:p>
    <w:p w:rsidR="0052701D" w:rsidRDefault="00D40929">
      <w:pPr>
        <w:spacing w:after="3" w:line="248" w:lineRule="auto"/>
        <w:ind w:right="4" w:firstLine="558"/>
        <w:jc w:val="both"/>
      </w:pPr>
      <w:r>
        <w:rPr>
          <w:rFonts w:ascii="Times New Roman" w:eastAsia="Times New Roman" w:hAnsi="Times New Roman" w:cs="Times New Roman"/>
          <w:sz w:val="28"/>
        </w:rPr>
        <w:t>ЭС по диагностике ошибок обучаемого (ЭС ДО), предназначена для выявления неправильных представлений обучаемого об изучаемой предметной области на основе сравнения его ответа с эталонным.</w:t>
      </w:r>
    </w:p>
    <w:p w:rsidR="0052701D" w:rsidRDefault="00D40929">
      <w:pPr>
        <w:spacing w:after="40" w:line="248" w:lineRule="auto"/>
        <w:ind w:right="4" w:firstLine="558"/>
        <w:jc w:val="both"/>
      </w:pPr>
      <w:r>
        <w:rPr>
          <w:rFonts w:ascii="Times New Roman" w:eastAsia="Times New Roman" w:hAnsi="Times New Roman" w:cs="Times New Roman"/>
          <w:sz w:val="28"/>
        </w:rPr>
        <w:t>В основе структур программных роботов-преподавателей лежит следующая основная модель процесса обучения [3]. Имеется некоторая цель обучения, выраженная в терминах модели обучаемого. Пока цель не достигнута, повторяется такая последовательность действий: на</w:t>
      </w:r>
      <w:r>
        <w:rPr>
          <w:rFonts w:ascii="Times New Roman" w:eastAsia="Times New Roman" w:hAnsi="Times New Roman" w:cs="Times New Roman"/>
          <w:sz w:val="28"/>
        </w:rPr>
        <w:t xml:space="preserve"> основании текущего состояния обучаемого и методики обучения генерируется очередная задача (здесь задача понимается широко, как любая информация, требующая ответных действий обучаемого);</w:t>
      </w:r>
    </w:p>
    <w:p w:rsidR="0052701D" w:rsidRDefault="00D40929">
      <w:pPr>
        <w:numPr>
          <w:ilvl w:val="0"/>
          <w:numId w:val="127"/>
        </w:numPr>
        <w:spacing w:after="39" w:line="248" w:lineRule="auto"/>
        <w:ind w:right="4" w:firstLine="558"/>
        <w:jc w:val="both"/>
      </w:pPr>
      <w:r>
        <w:rPr>
          <w:rFonts w:ascii="Times New Roman" w:eastAsia="Times New Roman" w:hAnsi="Times New Roman" w:cs="Times New Roman"/>
          <w:sz w:val="28"/>
        </w:rPr>
        <w:t>ответ обучаемого посредством ЭС по тестированию и оцениванию знаний с</w:t>
      </w:r>
      <w:r>
        <w:rPr>
          <w:rFonts w:ascii="Times New Roman" w:eastAsia="Times New Roman" w:hAnsi="Times New Roman" w:cs="Times New Roman"/>
          <w:sz w:val="28"/>
        </w:rPr>
        <w:t>равнивается с эталонным решением и на основании различий производится диагностика ошибок обучаемого;</w:t>
      </w:r>
    </w:p>
    <w:p w:rsidR="0052701D" w:rsidRDefault="00D40929">
      <w:pPr>
        <w:numPr>
          <w:ilvl w:val="0"/>
          <w:numId w:val="127"/>
        </w:numPr>
        <w:spacing w:after="3" w:line="248" w:lineRule="auto"/>
        <w:ind w:right="4" w:firstLine="558"/>
        <w:jc w:val="both"/>
      </w:pPr>
      <w:r>
        <w:rPr>
          <w:rFonts w:ascii="Times New Roman" w:eastAsia="Times New Roman" w:hAnsi="Times New Roman" w:cs="Times New Roman"/>
          <w:sz w:val="28"/>
        </w:rPr>
        <w:t>по результатам диагностики корректируются текущие характеристики в модели обучаемого.</w:t>
      </w:r>
    </w:p>
    <w:p w:rsidR="0052701D" w:rsidRDefault="00D40929">
      <w:pPr>
        <w:spacing w:after="3" w:line="248" w:lineRule="auto"/>
        <w:ind w:right="4" w:firstLine="558"/>
        <w:jc w:val="both"/>
      </w:pPr>
      <w:r>
        <w:rPr>
          <w:rFonts w:ascii="Times New Roman" w:eastAsia="Times New Roman" w:hAnsi="Times New Roman" w:cs="Times New Roman"/>
          <w:sz w:val="28"/>
        </w:rPr>
        <w:t>В результате взаимодействия тандема ЭС УУ и ЭС РЗ осуществляется проц</w:t>
      </w:r>
      <w:r>
        <w:rPr>
          <w:rFonts w:ascii="Times New Roman" w:eastAsia="Times New Roman" w:hAnsi="Times New Roman" w:cs="Times New Roman"/>
          <w:sz w:val="28"/>
        </w:rPr>
        <w:t>есс актуализации, обновления и систематизации знаний, составляющих основу профессиональной компетенции робота-преподавателя.</w:t>
      </w:r>
    </w:p>
    <w:p w:rsidR="0052701D" w:rsidRDefault="00D40929">
      <w:pPr>
        <w:spacing w:after="3" w:line="248" w:lineRule="auto"/>
        <w:ind w:right="4" w:firstLine="558"/>
        <w:jc w:val="both"/>
      </w:pPr>
      <w:r>
        <w:rPr>
          <w:rFonts w:ascii="Times New Roman" w:eastAsia="Times New Roman" w:hAnsi="Times New Roman" w:cs="Times New Roman"/>
          <w:sz w:val="28"/>
        </w:rPr>
        <w:t xml:space="preserve">В результате вышерассмотренных процессов системой оцениваются полученные студентом знания, посредством тестирования и выставляется </w:t>
      </w:r>
      <w:r>
        <w:rPr>
          <w:rFonts w:ascii="Times New Roman" w:eastAsia="Times New Roman" w:hAnsi="Times New Roman" w:cs="Times New Roman"/>
          <w:sz w:val="28"/>
        </w:rPr>
        <w:t>оценка. В заключение следует отметить, что применение обучающих роботов в системе высшего образования открывает неограниченные возможности и горизонты развития открытого образования для широких слоев населения путем качественного обучения студентов без уча</w:t>
      </w:r>
      <w:r>
        <w:rPr>
          <w:rFonts w:ascii="Times New Roman" w:eastAsia="Times New Roman" w:hAnsi="Times New Roman" w:cs="Times New Roman"/>
          <w:sz w:val="28"/>
        </w:rPr>
        <w:t xml:space="preserve">стия преподавателей. </w:t>
      </w:r>
      <w:r>
        <w:rPr>
          <w:rFonts w:ascii="Times New Roman" w:eastAsia="Times New Roman" w:hAnsi="Times New Roman" w:cs="Times New Roman"/>
          <w:b/>
          <w:sz w:val="28"/>
        </w:rPr>
        <w:t xml:space="preserve"> </w:t>
      </w:r>
    </w:p>
    <w:p w:rsidR="0052701D" w:rsidRDefault="00D40929">
      <w:pPr>
        <w:spacing w:after="0"/>
        <w:ind w:left="717" w:right="704" w:hanging="10"/>
        <w:jc w:val="center"/>
      </w:pPr>
      <w:r>
        <w:rPr>
          <w:rFonts w:ascii="Times New Roman" w:eastAsia="Times New Roman" w:hAnsi="Times New Roman" w:cs="Times New Roman"/>
          <w:b/>
          <w:sz w:val="24"/>
        </w:rPr>
        <w:t>Источники</w:t>
      </w:r>
    </w:p>
    <w:p w:rsidR="0052701D" w:rsidRDefault="00D40929">
      <w:pPr>
        <w:numPr>
          <w:ilvl w:val="0"/>
          <w:numId w:val="128"/>
        </w:numPr>
        <w:spacing w:after="3" w:line="249" w:lineRule="auto"/>
        <w:ind w:right="1" w:firstLine="568"/>
        <w:jc w:val="both"/>
      </w:pPr>
      <w:r>
        <w:rPr>
          <w:rFonts w:ascii="Times New Roman" w:eastAsia="Times New Roman" w:hAnsi="Times New Roman" w:cs="Times New Roman"/>
          <w:sz w:val="24"/>
        </w:rPr>
        <w:t>Баймухамедов М.Ф. Искусственный интеллект: Основы теории и практики. //Монография, изд-во «Master Reprint», Костанай, 2019. – 278 с.</w:t>
      </w:r>
    </w:p>
    <w:p w:rsidR="0052701D" w:rsidRDefault="00D40929">
      <w:pPr>
        <w:numPr>
          <w:ilvl w:val="0"/>
          <w:numId w:val="128"/>
        </w:numPr>
        <w:spacing w:after="3" w:line="249" w:lineRule="auto"/>
        <w:ind w:right="1" w:firstLine="568"/>
        <w:jc w:val="both"/>
      </w:pPr>
      <w:r>
        <w:rPr>
          <w:rFonts w:ascii="Times New Roman" w:eastAsia="Times New Roman" w:hAnsi="Times New Roman" w:cs="Times New Roman"/>
          <w:sz w:val="24"/>
        </w:rPr>
        <w:t>Баймухамедов М.Ф., Аймурзинов М.С. Экспертные системы дистанционного обучения.// Монография, изд-во «Master Reprint», Костанай, 2015. – 296 с.</w:t>
      </w:r>
    </w:p>
    <w:p w:rsidR="0052701D" w:rsidRDefault="00D40929">
      <w:pPr>
        <w:numPr>
          <w:ilvl w:val="0"/>
          <w:numId w:val="128"/>
        </w:numPr>
        <w:spacing w:after="3" w:line="249" w:lineRule="auto"/>
        <w:ind w:right="1" w:firstLine="568"/>
        <w:jc w:val="both"/>
      </w:pPr>
      <w:r>
        <w:rPr>
          <w:rFonts w:ascii="Times New Roman" w:eastAsia="Times New Roman" w:hAnsi="Times New Roman" w:cs="Times New Roman"/>
          <w:color w:val="202124"/>
          <w:sz w:val="24"/>
        </w:rPr>
        <w:t>Баймухамедов М.Ф., Eслямов С.Г. Применение робототехники в образовании. //</w:t>
      </w:r>
      <w:r>
        <w:rPr>
          <w:rFonts w:ascii="Times New Roman" w:eastAsia="Times New Roman" w:hAnsi="Times New Roman" w:cs="Times New Roman"/>
          <w:sz w:val="24"/>
        </w:rPr>
        <w:t>Международный журнал «Актуальные научны</w:t>
      </w:r>
      <w:r>
        <w:rPr>
          <w:rFonts w:ascii="Times New Roman" w:eastAsia="Times New Roman" w:hAnsi="Times New Roman" w:cs="Times New Roman"/>
          <w:sz w:val="24"/>
        </w:rPr>
        <w:t>е исследования в современном мире», выпуск 6, июнь, 2020 г. Переяслав-Хмельницкий. – С.</w:t>
      </w:r>
      <w:r>
        <w:rPr>
          <w:rFonts w:ascii="Times New Roman" w:eastAsia="Times New Roman" w:hAnsi="Times New Roman" w:cs="Times New Roman"/>
          <w:color w:val="202124"/>
          <w:sz w:val="24"/>
        </w:rPr>
        <w:t>44-49.</w:t>
      </w:r>
    </w:p>
    <w:p w:rsidR="0052701D" w:rsidRDefault="00D40929">
      <w:pPr>
        <w:spacing w:after="303"/>
        <w:ind w:left="566"/>
      </w:pPr>
      <w:hyperlink r:id="rId717">
        <w:r>
          <w:rPr>
            <w:rFonts w:ascii="Times New Roman" w:eastAsia="Times New Roman" w:hAnsi="Times New Roman" w:cs="Times New Roman"/>
            <w:color w:val="0000FF"/>
            <w:u w:val="single" w:color="0000FF"/>
          </w:rPr>
          <w:t xml:space="preserve"> </w:t>
        </w:r>
      </w:hyperlink>
      <w:hyperlink r:id="rId718">
        <w:r>
          <w:rPr>
            <w:rFonts w:ascii="Times New Roman" w:eastAsia="Times New Roman" w:hAnsi="Times New Roman" w:cs="Times New Roman"/>
            <w:color w:val="0000FF"/>
            <w:u w:val="single" w:color="0000FF"/>
          </w:rPr>
          <w:t>JEL</w:t>
        </w:r>
      </w:hyperlink>
      <w:hyperlink r:id="rId719">
        <w:r>
          <w:rPr>
            <w:rFonts w:ascii="Times New Roman" w:eastAsia="Times New Roman" w:hAnsi="Times New Roman" w:cs="Times New Roman"/>
            <w:color w:val="0000FF"/>
            <w:u w:val="single" w:color="0000FF"/>
          </w:rPr>
          <w:t xml:space="preserve">  </w:t>
        </w:r>
      </w:hyperlink>
      <w:hyperlink r:id="rId720">
        <w:r>
          <w:rPr>
            <w:color w:val="0000FF"/>
            <w:u w:val="single" w:color="0000FF"/>
          </w:rPr>
          <w:t xml:space="preserve"> </w:t>
        </w:r>
      </w:hyperlink>
      <w:hyperlink r:id="rId721">
        <w:r>
          <w:rPr>
            <w:rFonts w:ascii="Times New Roman" w:eastAsia="Times New Roman" w:hAnsi="Times New Roman" w:cs="Times New Roman"/>
            <w:color w:val="0000FF"/>
            <w:u w:val="single" w:color="0000FF"/>
          </w:rPr>
          <w:t xml:space="preserve"> </w:t>
        </w:r>
      </w:hyperlink>
      <w:hyperlink r:id="rId722">
        <w:r>
          <w:rPr>
            <w:rFonts w:ascii="Times New Roman" w:eastAsia="Times New Roman" w:hAnsi="Times New Roman" w:cs="Times New Roman"/>
            <w:color w:val="0000FF"/>
            <w:u w:val="single" w:color="0000FF"/>
          </w:rPr>
          <w:t>Classification</w:t>
        </w:r>
      </w:hyperlink>
      <w:hyperlink r:id="rId723">
        <w:r>
          <w:rPr>
            <w:rFonts w:ascii="Times New Roman" w:eastAsia="Times New Roman" w:hAnsi="Times New Roman" w:cs="Times New Roman"/>
            <w:color w:val="0000FF"/>
            <w:u w:val="single" w:color="0000FF"/>
          </w:rPr>
          <w:t xml:space="preserve"> </w:t>
        </w:r>
      </w:hyperlink>
      <w:r>
        <w:rPr>
          <w:rFonts w:ascii="Times New Roman" w:eastAsia="Times New Roman" w:hAnsi="Times New Roman" w:cs="Times New Roman"/>
        </w:rPr>
        <w:t xml:space="preserve">  14.35.01</w:t>
      </w:r>
    </w:p>
    <w:p w:rsidR="0052701D" w:rsidRDefault="00D40929">
      <w:pPr>
        <w:pStyle w:val="1"/>
        <w:spacing w:after="0" w:line="259" w:lineRule="auto"/>
        <w:ind w:left="879" w:right="0"/>
        <w:jc w:val="left"/>
      </w:pPr>
      <w:r>
        <w:t>INTELLECTUALIZATION AND ROTIZATION OF EDUCATION AN IMPORTANT DIRECTION FOR THE DEVELOPMENT OF AN</w:t>
      </w:r>
    </w:p>
    <w:p w:rsidR="0052701D" w:rsidRDefault="00D40929">
      <w:pPr>
        <w:pStyle w:val="1"/>
        <w:spacing w:after="0" w:line="259" w:lineRule="auto"/>
        <w:ind w:left="879" w:right="0"/>
        <w:jc w:val="left"/>
      </w:pPr>
      <w:r>
        <w:t xml:space="preserve">INNOVATIVE UNIVERSITY </w:t>
      </w:r>
      <w:r>
        <w:rPr>
          <w:b w:val="0"/>
          <w:sz w:val="24"/>
        </w:rPr>
        <w:t xml:space="preserve">Baimukhamedova A.M., Mustafa K.A., Amreev M.B. </w:t>
      </w:r>
    </w:p>
    <w:p w:rsidR="0052701D" w:rsidRDefault="00D40929">
      <w:pPr>
        <w:spacing w:after="10" w:line="248" w:lineRule="auto"/>
        <w:ind w:left="521" w:hanging="10"/>
        <w:jc w:val="center"/>
      </w:pPr>
      <w:r>
        <w:rPr>
          <w:rFonts w:ascii="Times New Roman" w:eastAsia="Times New Roman" w:hAnsi="Times New Roman" w:cs="Times New Roman"/>
        </w:rPr>
        <w:t>Gazi University, Ankara, Turkey</w:t>
      </w:r>
    </w:p>
    <w:p w:rsidR="0052701D" w:rsidRDefault="00D40929">
      <w:pPr>
        <w:spacing w:after="10" w:line="248" w:lineRule="auto"/>
        <w:ind w:left="521" w:right="2" w:hanging="10"/>
        <w:jc w:val="center"/>
      </w:pPr>
      <w:r>
        <w:rPr>
          <w:rFonts w:ascii="Times New Roman" w:eastAsia="Times New Roman" w:hAnsi="Times New Roman" w:cs="Times New Roman"/>
        </w:rPr>
        <w:lastRenderedPageBreak/>
        <w:t>Head of the Training Department of the Ministry science, Turkey</w:t>
      </w:r>
    </w:p>
    <w:p w:rsidR="0052701D" w:rsidRDefault="00D40929">
      <w:pPr>
        <w:spacing w:after="10" w:line="248" w:lineRule="auto"/>
        <w:ind w:left="521" w:right="101" w:hanging="10"/>
        <w:jc w:val="center"/>
      </w:pPr>
      <w:r>
        <w:rPr>
          <w:rFonts w:ascii="Times New Roman" w:eastAsia="Times New Roman" w:hAnsi="Times New Roman" w:cs="Times New Roman"/>
        </w:rPr>
        <w:t>Almaty University of Power Engineering and Telecommunications named after Gumarbek Daukeev</w:t>
      </w:r>
      <w:r>
        <w:rPr>
          <w:rFonts w:ascii="Times New Roman" w:eastAsia="Times New Roman" w:hAnsi="Times New Roman" w:cs="Times New Roman"/>
        </w:rPr>
        <w:t>, Republic of Kazakhstan Almaty</w:t>
      </w:r>
    </w:p>
    <w:p w:rsidR="0052701D" w:rsidRDefault="00D40929">
      <w:pPr>
        <w:spacing w:after="257"/>
        <w:ind w:left="522" w:hanging="10"/>
        <w:jc w:val="center"/>
      </w:pPr>
      <w:r>
        <w:rPr>
          <w:rFonts w:ascii="Times New Roman" w:eastAsia="Times New Roman" w:hAnsi="Times New Roman" w:cs="Times New Roman"/>
          <w:sz w:val="24"/>
        </w:rPr>
        <w:t xml:space="preserve">E-mail: </w:t>
      </w:r>
      <w:r>
        <w:rPr>
          <w:rFonts w:ascii="Times New Roman" w:eastAsia="Times New Roman" w:hAnsi="Times New Roman" w:cs="Times New Roman"/>
          <w:color w:val="0000FF"/>
          <w:sz w:val="21"/>
          <w:u w:val="single" w:color="0000FF"/>
        </w:rPr>
        <w:t>bmf45@mail.ru</w:t>
      </w:r>
      <w:r>
        <w:rPr>
          <w:rFonts w:ascii="Times New Roman" w:eastAsia="Times New Roman" w:hAnsi="Times New Roman" w:cs="Times New Roman"/>
          <w:color w:val="222222"/>
          <w:sz w:val="21"/>
          <w:shd w:val="clear" w:color="auto" w:fill="FFFFFF"/>
        </w:rPr>
        <w:t xml:space="preserve">, </w:t>
      </w:r>
      <w:r>
        <w:rPr>
          <w:rFonts w:ascii="Times New Roman" w:eastAsia="Times New Roman" w:hAnsi="Times New Roman" w:cs="Times New Roman"/>
          <w:color w:val="0000FF"/>
          <w:sz w:val="21"/>
          <w:u w:val="single" w:color="0000FF"/>
        </w:rPr>
        <w:t>m.amreev@aues.kz</w:t>
      </w:r>
      <w:r>
        <w:rPr>
          <w:rFonts w:ascii="Times New Roman" w:eastAsia="Times New Roman" w:hAnsi="Times New Roman" w:cs="Times New Roman"/>
          <w:color w:val="222222"/>
          <w:sz w:val="21"/>
        </w:rPr>
        <w:t xml:space="preserve"> </w:t>
      </w:r>
    </w:p>
    <w:p w:rsidR="0052701D" w:rsidRDefault="00D40929">
      <w:pPr>
        <w:spacing w:after="3" w:line="238" w:lineRule="auto"/>
        <w:ind w:left="553" w:right="61" w:firstLine="566"/>
        <w:jc w:val="both"/>
      </w:pPr>
      <w:r>
        <w:rPr>
          <w:rFonts w:ascii="Times New Roman" w:eastAsia="Times New Roman" w:hAnsi="Times New Roman" w:cs="Times New Roman"/>
          <w:b/>
          <w:i/>
          <w:sz w:val="24"/>
        </w:rPr>
        <w:t>Annotation.</w:t>
      </w:r>
      <w:r>
        <w:rPr>
          <w:rFonts w:ascii="Times New Roman" w:eastAsia="Times New Roman" w:hAnsi="Times New Roman" w:cs="Times New Roman"/>
          <w:i/>
          <w:sz w:val="24"/>
        </w:rPr>
        <w:t xml:space="preserve"> The application of robotization and artificial intelligence in the education system is considered. The special role of AI in robotics is noted. The main directions of using AI in the creation of teaching robots, as well as the goals and objectives of the </w:t>
      </w:r>
      <w:r>
        <w:rPr>
          <w:rFonts w:ascii="Times New Roman" w:eastAsia="Times New Roman" w:hAnsi="Times New Roman" w:cs="Times New Roman"/>
          <w:i/>
          <w:sz w:val="24"/>
        </w:rPr>
        <w:t>project: "Roboticization of the higher education system" The goal of this project is to create software intelligent teaching robots that fully provide distance learning for students without the participation of teachers in various disciplines and specialti</w:t>
      </w:r>
      <w:r>
        <w:rPr>
          <w:rFonts w:ascii="Times New Roman" w:eastAsia="Times New Roman" w:hAnsi="Times New Roman" w:cs="Times New Roman"/>
          <w:i/>
          <w:sz w:val="24"/>
        </w:rPr>
        <w:t>es. It is noted that the use of teaching robots in the higher education system opens up unlimited opportunities and horizons for the development of open education for the general population.</w:t>
      </w:r>
    </w:p>
    <w:p w:rsidR="0052701D" w:rsidRDefault="00D40929">
      <w:pPr>
        <w:spacing w:after="360" w:line="238" w:lineRule="auto"/>
        <w:ind w:left="553" w:firstLine="566"/>
        <w:jc w:val="both"/>
      </w:pPr>
      <w:r>
        <w:rPr>
          <w:rFonts w:ascii="Times New Roman" w:eastAsia="Times New Roman" w:hAnsi="Times New Roman" w:cs="Times New Roman"/>
          <w:b/>
          <w:i/>
          <w:sz w:val="24"/>
        </w:rPr>
        <w:t>Key words</w:t>
      </w:r>
      <w:r>
        <w:rPr>
          <w:rFonts w:ascii="Times New Roman" w:eastAsia="Times New Roman" w:hAnsi="Times New Roman" w:cs="Times New Roman"/>
          <w:i/>
          <w:sz w:val="24"/>
        </w:rPr>
        <w:t>: robotization, artificial intelligence, learning robots</w:t>
      </w:r>
      <w:r>
        <w:rPr>
          <w:rFonts w:ascii="Times New Roman" w:eastAsia="Times New Roman" w:hAnsi="Times New Roman" w:cs="Times New Roman"/>
          <w:i/>
          <w:sz w:val="24"/>
        </w:rPr>
        <w:t>, education system, distance technology, adaptive learning.</w:t>
      </w:r>
    </w:p>
    <w:p w:rsidR="0052701D" w:rsidRDefault="00D40929">
      <w:pPr>
        <w:spacing w:after="0"/>
        <w:ind w:left="595" w:hanging="10"/>
      </w:pPr>
      <w:r>
        <w:rPr>
          <w:rFonts w:ascii="Times New Roman" w:eastAsia="Times New Roman" w:hAnsi="Times New Roman" w:cs="Times New Roman"/>
          <w:b/>
          <w:color w:val="202124"/>
          <w:sz w:val="28"/>
        </w:rPr>
        <w:t>ИНТЕЛЛЕКТУАЛИЗАЦИЯ И РОТАЦИЯ ОБРАЗОВАНИЯ – ВАЖНОЕ</w:t>
      </w:r>
    </w:p>
    <w:p w:rsidR="0052701D" w:rsidRDefault="00D40929">
      <w:pPr>
        <w:spacing w:after="210"/>
        <w:ind w:left="595" w:hanging="10"/>
      </w:pPr>
      <w:r>
        <w:rPr>
          <w:rFonts w:ascii="Times New Roman" w:eastAsia="Times New Roman" w:hAnsi="Times New Roman" w:cs="Times New Roman"/>
          <w:b/>
          <w:color w:val="202124"/>
          <w:sz w:val="28"/>
        </w:rPr>
        <w:t>НАПРАВЛЕНИЕ РАЗВИТИЯ ИННОВАЦИОННОГО УНИВЕРСИТЕТА</w:t>
      </w:r>
    </w:p>
    <w:p w:rsidR="0052701D" w:rsidRDefault="00D40929">
      <w:pPr>
        <w:spacing w:after="13" w:line="249" w:lineRule="auto"/>
        <w:ind w:left="1001" w:right="480" w:hanging="10"/>
        <w:jc w:val="center"/>
      </w:pPr>
      <w:r>
        <w:rPr>
          <w:rFonts w:ascii="Times New Roman" w:eastAsia="Times New Roman" w:hAnsi="Times New Roman" w:cs="Times New Roman"/>
          <w:sz w:val="24"/>
        </w:rPr>
        <w:t xml:space="preserve">Баймухамедова А.М., Мустафа К.А., Амреев М.Б. </w:t>
      </w:r>
    </w:p>
    <w:p w:rsidR="0052701D" w:rsidRDefault="00D40929">
      <w:pPr>
        <w:spacing w:after="13" w:line="249" w:lineRule="auto"/>
        <w:ind w:left="1001" w:right="478" w:hanging="10"/>
        <w:jc w:val="center"/>
      </w:pPr>
      <w:r>
        <w:rPr>
          <w:rFonts w:ascii="Times New Roman" w:eastAsia="Times New Roman" w:hAnsi="Times New Roman" w:cs="Times New Roman"/>
          <w:sz w:val="24"/>
        </w:rPr>
        <w:t>Университет Гази, Анкара, Турция</w:t>
      </w:r>
    </w:p>
    <w:p w:rsidR="0052701D" w:rsidRDefault="00D40929">
      <w:pPr>
        <w:spacing w:after="13" w:line="249" w:lineRule="auto"/>
        <w:ind w:left="1001" w:right="483" w:hanging="10"/>
        <w:jc w:val="center"/>
      </w:pPr>
      <w:r>
        <w:rPr>
          <w:rFonts w:ascii="Times New Roman" w:eastAsia="Times New Roman" w:hAnsi="Times New Roman" w:cs="Times New Roman"/>
          <w:sz w:val="24"/>
        </w:rPr>
        <w:t>Начальник отдела подготовки кадров Министерства науки, Турция</w:t>
      </w:r>
    </w:p>
    <w:p w:rsidR="0052701D" w:rsidRDefault="00D40929">
      <w:pPr>
        <w:spacing w:after="13" w:line="249" w:lineRule="auto"/>
        <w:ind w:left="375" w:hanging="10"/>
        <w:jc w:val="center"/>
      </w:pPr>
      <w:r>
        <w:rPr>
          <w:rFonts w:ascii="Times New Roman" w:eastAsia="Times New Roman" w:hAnsi="Times New Roman" w:cs="Times New Roman"/>
          <w:sz w:val="24"/>
        </w:rPr>
        <w:t xml:space="preserve">Алматинский университет энергетики и связи имени Гумарбека Даукеева, Алматы, Республика Казахстан </w:t>
      </w:r>
    </w:p>
    <w:p w:rsidR="0052701D" w:rsidRDefault="00D40929">
      <w:pPr>
        <w:spacing w:after="257"/>
        <w:ind w:left="522" w:hanging="10"/>
        <w:jc w:val="center"/>
      </w:pPr>
      <w:r>
        <w:rPr>
          <w:rFonts w:ascii="Times New Roman" w:eastAsia="Times New Roman" w:hAnsi="Times New Roman" w:cs="Times New Roman"/>
          <w:sz w:val="24"/>
        </w:rPr>
        <w:t xml:space="preserve">E-mail: </w:t>
      </w:r>
      <w:r>
        <w:rPr>
          <w:rFonts w:ascii="Times New Roman" w:eastAsia="Times New Roman" w:hAnsi="Times New Roman" w:cs="Times New Roman"/>
          <w:color w:val="0000FF"/>
          <w:sz w:val="21"/>
          <w:u w:val="single" w:color="0000FF"/>
        </w:rPr>
        <w:t>bmf45@mail.ru</w:t>
      </w:r>
      <w:r>
        <w:rPr>
          <w:rFonts w:ascii="Times New Roman" w:eastAsia="Times New Roman" w:hAnsi="Times New Roman" w:cs="Times New Roman"/>
          <w:color w:val="222222"/>
          <w:sz w:val="21"/>
          <w:shd w:val="clear" w:color="auto" w:fill="FFFFFF"/>
        </w:rPr>
        <w:t xml:space="preserve">, </w:t>
      </w:r>
      <w:r>
        <w:rPr>
          <w:rFonts w:ascii="Times New Roman" w:eastAsia="Times New Roman" w:hAnsi="Times New Roman" w:cs="Times New Roman"/>
          <w:color w:val="0000FF"/>
          <w:sz w:val="21"/>
          <w:u w:val="single" w:color="0000FF"/>
        </w:rPr>
        <w:t>m.amreev@aues.kz</w:t>
      </w:r>
      <w:r>
        <w:rPr>
          <w:rFonts w:ascii="Times New Roman" w:eastAsia="Times New Roman" w:hAnsi="Times New Roman" w:cs="Times New Roman"/>
          <w:color w:val="222222"/>
          <w:sz w:val="21"/>
        </w:rPr>
        <w:t xml:space="preserve"> </w:t>
      </w:r>
    </w:p>
    <w:p w:rsidR="0052701D" w:rsidRDefault="00D40929">
      <w:pPr>
        <w:spacing w:after="0" w:line="238" w:lineRule="auto"/>
        <w:ind w:left="553" w:right="43" w:firstLine="556"/>
        <w:jc w:val="both"/>
      </w:pPr>
      <w:r>
        <w:rPr>
          <w:rFonts w:ascii="Times New Roman" w:eastAsia="Times New Roman" w:hAnsi="Times New Roman" w:cs="Times New Roman"/>
          <w:b/>
          <w:i/>
          <w:color w:val="202124"/>
          <w:sz w:val="24"/>
        </w:rPr>
        <w:t>Аннотация.</w:t>
      </w:r>
      <w:r>
        <w:rPr>
          <w:rFonts w:ascii="Times New Roman" w:eastAsia="Times New Roman" w:hAnsi="Times New Roman" w:cs="Times New Roman"/>
          <w:i/>
          <w:color w:val="202124"/>
          <w:sz w:val="24"/>
        </w:rPr>
        <w:t xml:space="preserve"> Рассмотрено применение роботизации и искусс</w:t>
      </w:r>
      <w:r>
        <w:rPr>
          <w:rFonts w:ascii="Times New Roman" w:eastAsia="Times New Roman" w:hAnsi="Times New Roman" w:cs="Times New Roman"/>
          <w:i/>
          <w:color w:val="202124"/>
          <w:sz w:val="24"/>
        </w:rPr>
        <w:t>твенного интеллекта в системе образования. Отмечается особая роль ИИ в робототехнике. Основные направления использования ИИ при создании обучающих роботов, а также цели и задачи проекта: «Роботизация системы высшего образования» Целью данного проекта являе</w:t>
      </w:r>
      <w:r>
        <w:rPr>
          <w:rFonts w:ascii="Times New Roman" w:eastAsia="Times New Roman" w:hAnsi="Times New Roman" w:cs="Times New Roman"/>
          <w:i/>
          <w:color w:val="202124"/>
          <w:sz w:val="24"/>
        </w:rPr>
        <w:t>тся создание программных интеллектуальных обучающих роботов, полностью обеспечивающих дистанционное обучение для студентов без участия преподавателей по различным дисциплинам и специальностям. Отмечается, что использование обучающих роботов в системе высше</w:t>
      </w:r>
      <w:r>
        <w:rPr>
          <w:rFonts w:ascii="Times New Roman" w:eastAsia="Times New Roman" w:hAnsi="Times New Roman" w:cs="Times New Roman"/>
          <w:i/>
          <w:color w:val="202124"/>
          <w:sz w:val="24"/>
        </w:rPr>
        <w:t>го образования открывает неограниченные возможности и горизонты развития открытого образования для широких слоев населения.</w:t>
      </w:r>
    </w:p>
    <w:p w:rsidR="0052701D" w:rsidRDefault="00D40929">
      <w:pPr>
        <w:spacing w:after="306" w:line="238" w:lineRule="auto"/>
        <w:ind w:left="553" w:right="43" w:firstLine="556"/>
        <w:jc w:val="both"/>
      </w:pPr>
      <w:r>
        <w:rPr>
          <w:rFonts w:ascii="Times New Roman" w:eastAsia="Times New Roman" w:hAnsi="Times New Roman" w:cs="Times New Roman"/>
          <w:b/>
          <w:i/>
          <w:color w:val="202124"/>
          <w:sz w:val="24"/>
        </w:rPr>
        <w:t>Ключевые слова:</w:t>
      </w:r>
      <w:r>
        <w:rPr>
          <w:rFonts w:ascii="Times New Roman" w:eastAsia="Times New Roman" w:hAnsi="Times New Roman" w:cs="Times New Roman"/>
          <w:i/>
          <w:color w:val="202124"/>
          <w:sz w:val="24"/>
        </w:rPr>
        <w:t xml:space="preserve"> роботизация, искусственный интеллект, обучающиеся роботы, система образования, дистанционные технологии, адаптивное </w:t>
      </w:r>
      <w:r>
        <w:rPr>
          <w:rFonts w:ascii="Times New Roman" w:eastAsia="Times New Roman" w:hAnsi="Times New Roman" w:cs="Times New Roman"/>
          <w:i/>
          <w:color w:val="202124"/>
          <w:sz w:val="24"/>
        </w:rPr>
        <w:t>обучение.</w:t>
      </w:r>
    </w:p>
    <w:p w:rsidR="0052701D" w:rsidRDefault="00D40929">
      <w:pPr>
        <w:spacing w:after="3" w:line="248" w:lineRule="auto"/>
        <w:ind w:left="553" w:right="4" w:firstLine="558"/>
        <w:jc w:val="both"/>
      </w:pPr>
      <w:r>
        <w:rPr>
          <w:rFonts w:ascii="Times New Roman" w:eastAsia="Times New Roman" w:hAnsi="Times New Roman" w:cs="Times New Roman"/>
          <w:sz w:val="28"/>
        </w:rPr>
        <w:t>Today, the development of robotics and artificial intelligence (AI) has led to breakthrough directions in the development of the education system. In the context of the coronavirus pandemic, distance learning technologies using AI methods and mea</w:t>
      </w:r>
      <w:r>
        <w:rPr>
          <w:rFonts w:ascii="Times New Roman" w:eastAsia="Times New Roman" w:hAnsi="Times New Roman" w:cs="Times New Roman"/>
          <w:sz w:val="28"/>
        </w:rPr>
        <w:t>ns are rapidly developing and being implemented in the field of scientific research, the number of articles, courses and patents related to AI has increased dramatically over the past five years. Advances in AI and robotics are likely to help spur economic</w:t>
      </w:r>
      <w:r>
        <w:rPr>
          <w:rFonts w:ascii="Times New Roman" w:eastAsia="Times New Roman" w:hAnsi="Times New Roman" w:cs="Times New Roman"/>
          <w:sz w:val="28"/>
        </w:rPr>
        <w:t xml:space="preserve"> growth and education in many countries.</w:t>
      </w:r>
    </w:p>
    <w:p w:rsidR="0052701D" w:rsidRDefault="00D40929">
      <w:pPr>
        <w:spacing w:after="3" w:line="248" w:lineRule="auto"/>
        <w:ind w:left="553" w:right="4" w:firstLine="558"/>
        <w:jc w:val="both"/>
      </w:pPr>
      <w:r>
        <w:rPr>
          <w:rFonts w:ascii="Times New Roman" w:eastAsia="Times New Roman" w:hAnsi="Times New Roman" w:cs="Times New Roman"/>
          <w:sz w:val="28"/>
        </w:rPr>
        <w:t xml:space="preserve">The development of modern robotics is rapidly encompassing fundamentally new applied areas associated with work in uncertain and extreme conditions: from space and deep-sea research, servicing nuclear power plants, </w:t>
      </w:r>
      <w:r>
        <w:rPr>
          <w:rFonts w:ascii="Times New Roman" w:eastAsia="Times New Roman" w:hAnsi="Times New Roman" w:cs="Times New Roman"/>
          <w:sz w:val="28"/>
        </w:rPr>
        <w:t>eliminating the consequences of man-made accidents and disasters, to performing complex medical operations, automation of the utility sector, the organization of everyday life and leisure.  And education is no exception. In world practice, there is a posit</w:t>
      </w:r>
      <w:r>
        <w:rPr>
          <w:rFonts w:ascii="Times New Roman" w:eastAsia="Times New Roman" w:hAnsi="Times New Roman" w:cs="Times New Roman"/>
          <w:sz w:val="28"/>
        </w:rPr>
        <w:t xml:space="preserve">ive </w:t>
      </w:r>
      <w:r>
        <w:rPr>
          <w:rFonts w:ascii="Times New Roman" w:eastAsia="Times New Roman" w:hAnsi="Times New Roman" w:cs="Times New Roman"/>
          <w:sz w:val="28"/>
        </w:rPr>
        <w:lastRenderedPageBreak/>
        <w:t>experience of using robots in teaching. So, in 2017, a robot teacher appeared in Japan. He lectures on literature and quotes excerpts from writers at Nishogakushev University in Tokyo. It is an android robot with a high resemblance to humans, its appea</w:t>
      </w:r>
      <w:r>
        <w:rPr>
          <w:rFonts w:ascii="Times New Roman" w:eastAsia="Times New Roman" w:hAnsi="Times New Roman" w:cs="Times New Roman"/>
          <w:sz w:val="28"/>
        </w:rPr>
        <w:t>rance mimics that of the teacher Natsume Soseki. Since 2012, the robot Engkey has been used to teach English, teaching elementary school in South Korea. In Russia, in 2015, the Promobot robot gave a lecture to students of the lyceum at the Moscow Institute</w:t>
      </w:r>
      <w:r>
        <w:rPr>
          <w:rFonts w:ascii="Times New Roman" w:eastAsia="Times New Roman" w:hAnsi="Times New Roman" w:cs="Times New Roman"/>
          <w:sz w:val="28"/>
        </w:rPr>
        <w:t xml:space="preserve"> of Physics and Technology in Dolgoprudny, Moscow Region [1]. </w:t>
      </w:r>
    </w:p>
    <w:p w:rsidR="0052701D" w:rsidRDefault="00D40929">
      <w:pPr>
        <w:spacing w:after="3" w:line="248" w:lineRule="auto"/>
        <w:ind w:left="553" w:right="4" w:firstLine="558"/>
        <w:jc w:val="both"/>
      </w:pPr>
      <w:r>
        <w:rPr>
          <w:rFonts w:ascii="Times New Roman" w:eastAsia="Times New Roman" w:hAnsi="Times New Roman" w:cs="Times New Roman"/>
          <w:sz w:val="28"/>
        </w:rPr>
        <w:t>А creative group from the Gazy University in Ankara is engaged in the problems of using AI in robotics for educational purposes, the problems of robotization of higher education. Currently, this group is working on the project:</w:t>
      </w:r>
    </w:p>
    <w:p w:rsidR="0052701D" w:rsidRDefault="00D40929">
      <w:pPr>
        <w:spacing w:after="3" w:line="248" w:lineRule="auto"/>
        <w:ind w:left="553" w:right="4"/>
        <w:jc w:val="both"/>
      </w:pPr>
      <w:r>
        <w:rPr>
          <w:rFonts w:ascii="Times New Roman" w:eastAsia="Times New Roman" w:hAnsi="Times New Roman" w:cs="Times New Roman"/>
          <w:sz w:val="28"/>
        </w:rPr>
        <w:t>"Robotization of the higher education system."</w:t>
      </w:r>
    </w:p>
    <w:p w:rsidR="0052701D" w:rsidRDefault="00D40929">
      <w:pPr>
        <w:spacing w:after="3" w:line="248" w:lineRule="auto"/>
        <w:ind w:left="553" w:right="4" w:firstLine="558"/>
        <w:jc w:val="both"/>
      </w:pPr>
      <w:r>
        <w:rPr>
          <w:rFonts w:ascii="Times New Roman" w:eastAsia="Times New Roman" w:hAnsi="Times New Roman" w:cs="Times New Roman"/>
          <w:sz w:val="28"/>
        </w:rPr>
        <w:t>The goal of the project is to create software intelligent teaching robots that fully provide distance learning for students without the participation of teachers in various disciplines and specialties.  The im</w:t>
      </w:r>
      <w:r>
        <w:rPr>
          <w:rFonts w:ascii="Times New Roman" w:eastAsia="Times New Roman" w:hAnsi="Times New Roman" w:cs="Times New Roman"/>
          <w:sz w:val="28"/>
        </w:rPr>
        <w:t>plementation of the project "Robotization of the higher education system" is based on solving the following tasks:</w:t>
      </w:r>
    </w:p>
    <w:p w:rsidR="0052701D" w:rsidRDefault="00D40929">
      <w:pPr>
        <w:numPr>
          <w:ilvl w:val="0"/>
          <w:numId w:val="129"/>
        </w:numPr>
        <w:spacing w:after="3" w:line="248" w:lineRule="auto"/>
        <w:ind w:right="4" w:firstLine="558"/>
        <w:jc w:val="both"/>
      </w:pPr>
      <w:r>
        <w:rPr>
          <w:rFonts w:ascii="Times New Roman" w:eastAsia="Times New Roman" w:hAnsi="Times New Roman" w:cs="Times New Roman"/>
          <w:sz w:val="28"/>
        </w:rPr>
        <w:t>development of mathematical models of adaptive distance learningtechnology, construction of a mathematical model of the learning process, tak</w:t>
      </w:r>
      <w:r>
        <w:rPr>
          <w:rFonts w:ascii="Times New Roman" w:eastAsia="Times New Roman" w:hAnsi="Times New Roman" w:cs="Times New Roman"/>
          <w:sz w:val="28"/>
        </w:rPr>
        <w:t>ing into account the student's model, teaching methods and individual learning paths,</w:t>
      </w:r>
    </w:p>
    <w:p w:rsidR="0052701D" w:rsidRDefault="00D40929">
      <w:pPr>
        <w:spacing w:after="3" w:line="248" w:lineRule="auto"/>
        <w:ind w:left="553" w:right="4"/>
        <w:jc w:val="both"/>
      </w:pPr>
      <w:r>
        <w:rPr>
          <w:rFonts w:ascii="Times New Roman" w:eastAsia="Times New Roman" w:hAnsi="Times New Roman" w:cs="Times New Roman"/>
          <w:sz w:val="28"/>
        </w:rPr>
        <w:t>taking into account the individual characteristics of the student;</w:t>
      </w:r>
    </w:p>
    <w:p w:rsidR="0052701D" w:rsidRDefault="00D40929">
      <w:pPr>
        <w:numPr>
          <w:ilvl w:val="0"/>
          <w:numId w:val="129"/>
        </w:numPr>
        <w:spacing w:after="3" w:line="248" w:lineRule="auto"/>
        <w:ind w:right="4" w:firstLine="558"/>
        <w:jc w:val="both"/>
      </w:pPr>
      <w:r>
        <w:rPr>
          <w:rFonts w:ascii="Times New Roman" w:eastAsia="Times New Roman" w:hAnsi="Times New Roman" w:cs="Times New Roman"/>
          <w:sz w:val="28"/>
        </w:rPr>
        <w:t>development of ES for planning the process of managing the exercise;</w:t>
      </w:r>
    </w:p>
    <w:p w:rsidR="0052701D" w:rsidRDefault="00D40929">
      <w:pPr>
        <w:numPr>
          <w:ilvl w:val="0"/>
          <w:numId w:val="129"/>
        </w:numPr>
        <w:spacing w:after="3" w:line="248" w:lineRule="auto"/>
        <w:ind w:right="4" w:firstLine="558"/>
        <w:jc w:val="both"/>
      </w:pPr>
      <w:r>
        <w:rPr>
          <w:rFonts w:ascii="Times New Roman" w:eastAsia="Times New Roman" w:hAnsi="Times New Roman" w:cs="Times New Roman"/>
          <w:sz w:val="28"/>
        </w:rPr>
        <w:t>creation of ES for solving problem</w:t>
      </w:r>
      <w:r>
        <w:rPr>
          <w:rFonts w:ascii="Times New Roman" w:eastAsia="Times New Roman" w:hAnsi="Times New Roman" w:cs="Times New Roman"/>
          <w:sz w:val="28"/>
        </w:rPr>
        <w:t>s in the studied subject area;</w:t>
      </w:r>
    </w:p>
    <w:p w:rsidR="0052701D" w:rsidRDefault="00D40929">
      <w:pPr>
        <w:numPr>
          <w:ilvl w:val="0"/>
          <w:numId w:val="129"/>
        </w:numPr>
        <w:spacing w:after="3" w:line="248" w:lineRule="auto"/>
        <w:ind w:right="4" w:firstLine="558"/>
        <w:jc w:val="both"/>
      </w:pPr>
      <w:r>
        <w:rPr>
          <w:rFonts w:ascii="Times New Roman" w:eastAsia="Times New Roman" w:hAnsi="Times New Roman" w:cs="Times New Roman"/>
          <w:sz w:val="28"/>
        </w:rPr>
        <w:t>development of ES for diagnosing student errors;</w:t>
      </w:r>
    </w:p>
    <w:p w:rsidR="0052701D" w:rsidRDefault="00D40929">
      <w:pPr>
        <w:numPr>
          <w:ilvl w:val="0"/>
          <w:numId w:val="129"/>
        </w:numPr>
        <w:spacing w:after="3" w:line="248" w:lineRule="auto"/>
        <w:ind w:right="4" w:firstLine="558"/>
        <w:jc w:val="both"/>
      </w:pPr>
      <w:r>
        <w:rPr>
          <w:rFonts w:ascii="Times New Roman" w:eastAsia="Times New Roman" w:hAnsi="Times New Roman" w:cs="Times New Roman"/>
          <w:sz w:val="28"/>
        </w:rPr>
        <w:t>development of ES for testing and assessment of knowledge;</w:t>
      </w:r>
    </w:p>
    <w:p w:rsidR="0052701D" w:rsidRDefault="00D40929">
      <w:pPr>
        <w:numPr>
          <w:ilvl w:val="0"/>
          <w:numId w:val="129"/>
        </w:numPr>
        <w:spacing w:after="3" w:line="248" w:lineRule="auto"/>
        <w:ind w:right="4" w:firstLine="558"/>
        <w:jc w:val="both"/>
      </w:pPr>
      <w:r>
        <w:rPr>
          <w:rFonts w:ascii="Times New Roman" w:eastAsia="Times New Roman" w:hAnsi="Times New Roman" w:cs="Times New Roman"/>
          <w:sz w:val="28"/>
        </w:rPr>
        <w:t>development of hardware and software for an intelligent control system forteaching robots;</w:t>
      </w:r>
    </w:p>
    <w:p w:rsidR="0052701D" w:rsidRDefault="00D40929">
      <w:pPr>
        <w:numPr>
          <w:ilvl w:val="0"/>
          <w:numId w:val="129"/>
        </w:numPr>
        <w:spacing w:after="3" w:line="248" w:lineRule="auto"/>
        <w:ind w:right="4" w:firstLine="558"/>
        <w:jc w:val="both"/>
      </w:pPr>
      <w:r>
        <w:rPr>
          <w:rFonts w:ascii="Times New Roman" w:eastAsia="Times New Roman" w:hAnsi="Times New Roman" w:cs="Times New Roman"/>
          <w:sz w:val="28"/>
        </w:rPr>
        <w:t>development of the structu</w:t>
      </w:r>
      <w:r>
        <w:rPr>
          <w:rFonts w:ascii="Times New Roman" w:eastAsia="Times New Roman" w:hAnsi="Times New Roman" w:cs="Times New Roman"/>
          <w:sz w:val="28"/>
        </w:rPr>
        <w:t>re and functional support of an open roboticuniversity;</w:t>
      </w:r>
    </w:p>
    <w:p w:rsidR="0052701D" w:rsidRDefault="00D40929">
      <w:pPr>
        <w:numPr>
          <w:ilvl w:val="0"/>
          <w:numId w:val="129"/>
        </w:numPr>
        <w:spacing w:after="3" w:line="248" w:lineRule="auto"/>
        <w:ind w:right="4" w:firstLine="558"/>
        <w:jc w:val="both"/>
      </w:pPr>
      <w:r>
        <w:rPr>
          <w:rFonts w:ascii="Times New Roman" w:eastAsia="Times New Roman" w:hAnsi="Times New Roman" w:cs="Times New Roman"/>
          <w:sz w:val="28"/>
        </w:rPr>
        <w:t>approbation of a robotic training system, development of a business planwith recommendations.</w:t>
      </w:r>
    </w:p>
    <w:p w:rsidR="0052701D" w:rsidRDefault="00D40929">
      <w:pPr>
        <w:spacing w:after="3" w:line="248" w:lineRule="auto"/>
        <w:ind w:left="553" w:right="4" w:firstLine="558"/>
        <w:jc w:val="both"/>
      </w:pPr>
      <w:r>
        <w:rPr>
          <w:rFonts w:ascii="Times New Roman" w:eastAsia="Times New Roman" w:hAnsi="Times New Roman" w:cs="Times New Roman"/>
          <w:sz w:val="28"/>
        </w:rPr>
        <w:t xml:space="preserve">  It is generally accepted that an intelligent robot has a so-called. a model of the external world or int</w:t>
      </w:r>
      <w:r>
        <w:rPr>
          <w:rFonts w:ascii="Times New Roman" w:eastAsia="Times New Roman" w:hAnsi="Times New Roman" w:cs="Times New Roman"/>
          <w:sz w:val="28"/>
        </w:rPr>
        <w:t>ernal environment, which allows the robot to act in conditions of information uncertainty. In the event that this model is implemented as a knowledge base, then it is advisable that this knowledge base be dynamic. At the same time, the correction of the in</w:t>
      </w:r>
      <w:r>
        <w:rPr>
          <w:rFonts w:ascii="Times New Roman" w:eastAsia="Times New Roman" w:hAnsi="Times New Roman" w:cs="Times New Roman"/>
          <w:sz w:val="28"/>
        </w:rPr>
        <w:t>ference rules in a changing environment naturally implements the mechanisms of self-learning and adaptation.</w:t>
      </w:r>
    </w:p>
    <w:p w:rsidR="0052701D" w:rsidRDefault="00D40929">
      <w:pPr>
        <w:spacing w:after="40" w:line="248" w:lineRule="auto"/>
        <w:ind w:left="553" w:right="4" w:firstLine="558"/>
        <w:jc w:val="both"/>
      </w:pPr>
      <w:r>
        <w:rPr>
          <w:rFonts w:ascii="Times New Roman" w:eastAsia="Times New Roman" w:hAnsi="Times New Roman" w:cs="Times New Roman"/>
          <w:sz w:val="28"/>
        </w:rPr>
        <w:t xml:space="preserve"> The structures of the robot-professor and the robot-assistant are based on the following basic model of the learning process [2]. There is some le</w:t>
      </w:r>
      <w:r>
        <w:rPr>
          <w:rFonts w:ascii="Times New Roman" w:eastAsia="Times New Roman" w:hAnsi="Times New Roman" w:cs="Times New Roman"/>
          <w:sz w:val="28"/>
        </w:rPr>
        <w:t xml:space="preserve">arning goal expressed in terms of the learner model. Until the goal is achieved, the following sequence of actions is repeated: </w:t>
      </w:r>
    </w:p>
    <w:p w:rsidR="0052701D" w:rsidRDefault="00D40929">
      <w:pPr>
        <w:numPr>
          <w:ilvl w:val="0"/>
          <w:numId w:val="130"/>
        </w:numPr>
        <w:spacing w:after="39" w:line="248" w:lineRule="auto"/>
        <w:ind w:right="4" w:hanging="360"/>
        <w:jc w:val="both"/>
      </w:pPr>
      <w:r>
        <w:rPr>
          <w:rFonts w:ascii="Times New Roman" w:eastAsia="Times New Roman" w:hAnsi="Times New Roman" w:cs="Times New Roman"/>
          <w:sz w:val="28"/>
        </w:rPr>
        <w:t>based on the current state of the student and the teaching methodology, the next task is generated (here the task is understood</w:t>
      </w:r>
      <w:r>
        <w:rPr>
          <w:rFonts w:ascii="Times New Roman" w:eastAsia="Times New Roman" w:hAnsi="Times New Roman" w:cs="Times New Roman"/>
          <w:sz w:val="28"/>
        </w:rPr>
        <w:t xml:space="preserve"> broadly, like any information that requires the student's response);</w:t>
      </w:r>
    </w:p>
    <w:p w:rsidR="0052701D" w:rsidRDefault="00D40929">
      <w:pPr>
        <w:numPr>
          <w:ilvl w:val="0"/>
          <w:numId w:val="130"/>
        </w:numPr>
        <w:spacing w:after="39" w:line="248" w:lineRule="auto"/>
        <w:ind w:right="4" w:hanging="360"/>
        <w:jc w:val="both"/>
      </w:pPr>
      <w:r>
        <w:rPr>
          <w:rFonts w:ascii="Times New Roman" w:eastAsia="Times New Roman" w:hAnsi="Times New Roman" w:cs="Times New Roman"/>
          <w:sz w:val="28"/>
        </w:rPr>
        <w:lastRenderedPageBreak/>
        <w:t>the student's response by means of ES for testing and assessing knowledge is compared with the reference solution and, based on the differences, the student's errors are diagnosed;</w:t>
      </w:r>
    </w:p>
    <w:p w:rsidR="0052701D" w:rsidRDefault="00D40929">
      <w:pPr>
        <w:numPr>
          <w:ilvl w:val="0"/>
          <w:numId w:val="130"/>
        </w:numPr>
        <w:spacing w:after="3" w:line="248" w:lineRule="auto"/>
        <w:ind w:right="4" w:hanging="360"/>
        <w:jc w:val="both"/>
      </w:pPr>
      <w:r>
        <w:rPr>
          <w:rFonts w:ascii="Times New Roman" w:eastAsia="Times New Roman" w:hAnsi="Times New Roman" w:cs="Times New Roman"/>
          <w:sz w:val="28"/>
        </w:rPr>
        <w:t>based on the results of diagnostics, the current characteristics in the learner's model are corrected.</w:t>
      </w:r>
    </w:p>
    <w:p w:rsidR="0052701D" w:rsidRDefault="00D40929">
      <w:pPr>
        <w:spacing w:after="3" w:line="248" w:lineRule="auto"/>
        <w:ind w:left="553" w:right="4" w:firstLine="558"/>
        <w:jc w:val="both"/>
      </w:pPr>
      <w:r>
        <w:rPr>
          <w:rFonts w:ascii="Times New Roman" w:eastAsia="Times New Roman" w:hAnsi="Times New Roman" w:cs="Times New Roman"/>
          <w:sz w:val="28"/>
        </w:rPr>
        <w:t xml:space="preserve"> In accordance with this model of the learning process, the structure of the robot-professor can be considered as a combination of two interacting expert</w:t>
      </w:r>
      <w:r>
        <w:rPr>
          <w:rFonts w:ascii="Times New Roman" w:eastAsia="Times New Roman" w:hAnsi="Times New Roman" w:cs="Times New Roman"/>
          <w:sz w:val="28"/>
        </w:rPr>
        <w:t xml:space="preserve"> systems:</w:t>
      </w:r>
    </w:p>
    <w:p w:rsidR="0052701D" w:rsidRDefault="00D40929">
      <w:pPr>
        <w:spacing w:after="3" w:line="248" w:lineRule="auto"/>
        <w:ind w:left="1134" w:right="1799"/>
        <w:jc w:val="both"/>
      </w:pPr>
      <w:r>
        <w:rPr>
          <w:rFonts w:ascii="Times New Roman" w:eastAsia="Times New Roman" w:hAnsi="Times New Roman" w:cs="Times New Roman"/>
          <w:sz w:val="28"/>
        </w:rPr>
        <w:t>- ES for solving problems in the studied subject area (ES SP); - ES for planning the learning management process (ES LMP).</w:t>
      </w:r>
    </w:p>
    <w:p w:rsidR="0052701D" w:rsidRDefault="00D40929">
      <w:pPr>
        <w:spacing w:after="3" w:line="248" w:lineRule="auto"/>
        <w:ind w:left="553" w:right="4" w:firstLine="558"/>
        <w:jc w:val="both"/>
      </w:pPr>
      <w:r>
        <w:rPr>
          <w:rFonts w:ascii="Times New Roman" w:eastAsia="Times New Roman" w:hAnsi="Times New Roman" w:cs="Times New Roman"/>
          <w:sz w:val="28"/>
        </w:rPr>
        <w:t xml:space="preserve">The expert system for solving problems of ES SP is designed to develop a reference solution to the problem. This component </w:t>
      </w:r>
      <w:r>
        <w:rPr>
          <w:rFonts w:ascii="Times New Roman" w:eastAsia="Times New Roman" w:hAnsi="Times New Roman" w:cs="Times New Roman"/>
          <w:sz w:val="28"/>
        </w:rPr>
        <w:t>can be:</w:t>
      </w:r>
    </w:p>
    <w:p w:rsidR="0052701D" w:rsidRDefault="00D40929">
      <w:pPr>
        <w:numPr>
          <w:ilvl w:val="1"/>
          <w:numId w:val="131"/>
        </w:numPr>
        <w:spacing w:after="12" w:line="249" w:lineRule="auto"/>
        <w:ind w:right="4" w:firstLine="558"/>
        <w:jc w:val="both"/>
      </w:pPr>
      <w:r>
        <w:rPr>
          <w:rFonts w:ascii="Times New Roman" w:eastAsia="Times New Roman" w:hAnsi="Times New Roman" w:cs="Times New Roman"/>
          <w:sz w:val="28"/>
        </w:rPr>
        <w:t>the ES itself, built on the knowledge of an expert in solving problems in a</w:t>
      </w:r>
    </w:p>
    <w:p w:rsidR="0052701D" w:rsidRDefault="00D40929">
      <w:pPr>
        <w:spacing w:after="3" w:line="248" w:lineRule="auto"/>
        <w:ind w:left="553" w:right="4"/>
        <w:jc w:val="both"/>
      </w:pPr>
      <w:r>
        <w:rPr>
          <w:rFonts w:ascii="Times New Roman" w:eastAsia="Times New Roman" w:hAnsi="Times New Roman" w:cs="Times New Roman"/>
          <w:sz w:val="28"/>
        </w:rPr>
        <w:t xml:space="preserve">given subject area (software), if it is poorly formalized; </w:t>
      </w:r>
    </w:p>
    <w:p w:rsidR="0052701D" w:rsidRDefault="00D40929">
      <w:pPr>
        <w:numPr>
          <w:ilvl w:val="1"/>
          <w:numId w:val="131"/>
        </w:numPr>
        <w:spacing w:after="3" w:line="248" w:lineRule="auto"/>
        <w:ind w:right="4" w:firstLine="558"/>
        <w:jc w:val="both"/>
      </w:pPr>
      <w:r>
        <w:rPr>
          <w:rFonts w:ascii="Times New Roman" w:eastAsia="Times New Roman" w:hAnsi="Times New Roman" w:cs="Times New Roman"/>
          <w:sz w:val="28"/>
        </w:rPr>
        <w:t>a problem solver in some well-formalized software;</w:t>
      </w:r>
    </w:p>
    <w:p w:rsidR="0052701D" w:rsidRDefault="00D40929">
      <w:pPr>
        <w:numPr>
          <w:ilvl w:val="1"/>
          <w:numId w:val="131"/>
        </w:numPr>
        <w:spacing w:after="3" w:line="248" w:lineRule="auto"/>
        <w:ind w:right="4" w:firstLine="558"/>
        <w:jc w:val="both"/>
      </w:pPr>
      <w:r>
        <w:rPr>
          <w:rFonts w:ascii="Times New Roman" w:eastAsia="Times New Roman" w:hAnsi="Times New Roman" w:cs="Times New Roman"/>
          <w:sz w:val="28"/>
        </w:rPr>
        <w:t>programs for searching or choosing a solution to a given prob</w:t>
      </w:r>
      <w:r>
        <w:rPr>
          <w:rFonts w:ascii="Times New Roman" w:eastAsia="Times New Roman" w:hAnsi="Times New Roman" w:cs="Times New Roman"/>
          <w:sz w:val="28"/>
        </w:rPr>
        <w:t xml:space="preserve">lem from afinite (possibly large) set of solutions, if training is carried out on a pre-prepared set of tasks.  </w:t>
      </w:r>
    </w:p>
    <w:p w:rsidR="0052701D" w:rsidRDefault="00D40929">
      <w:pPr>
        <w:spacing w:after="3" w:line="248" w:lineRule="auto"/>
        <w:ind w:left="553" w:right="4" w:firstLine="558"/>
        <w:jc w:val="both"/>
      </w:pPr>
      <w:r>
        <w:rPr>
          <w:rFonts w:ascii="Times New Roman" w:eastAsia="Times New Roman" w:hAnsi="Times New Roman" w:cs="Times New Roman"/>
          <w:sz w:val="28"/>
        </w:rPr>
        <w:t>At the final stages of the robot-professor's work, the action subsystem works, which is a combination of the student's intellectual interface a</w:t>
      </w:r>
      <w:r>
        <w:rPr>
          <w:rFonts w:ascii="Times New Roman" w:eastAsia="Times New Roman" w:hAnsi="Times New Roman" w:cs="Times New Roman"/>
          <w:sz w:val="28"/>
        </w:rPr>
        <w:t>nd the dialogue of the robot-professor with the student.</w:t>
      </w:r>
    </w:p>
    <w:p w:rsidR="0052701D" w:rsidRDefault="00D40929">
      <w:pPr>
        <w:spacing w:after="3" w:line="248" w:lineRule="auto"/>
        <w:ind w:left="553" w:right="4" w:firstLine="558"/>
        <w:jc w:val="both"/>
      </w:pPr>
      <w:r>
        <w:rPr>
          <w:rFonts w:ascii="Times New Roman" w:eastAsia="Times New Roman" w:hAnsi="Times New Roman" w:cs="Times New Roman"/>
          <w:sz w:val="28"/>
        </w:rPr>
        <w:t>All this functions in an information environment, which is a collection of a knowledge base (for a specific, pre-selected subject), a database of facts on the subject, and subsystems for explaining a</w:t>
      </w:r>
      <w:r>
        <w:rPr>
          <w:rFonts w:ascii="Times New Roman" w:eastAsia="Times New Roman" w:hAnsi="Times New Roman" w:cs="Times New Roman"/>
          <w:sz w:val="28"/>
        </w:rPr>
        <w:t>nd planning educational material.</w:t>
      </w:r>
    </w:p>
    <w:p w:rsidR="0052701D" w:rsidRDefault="00D40929">
      <w:pPr>
        <w:spacing w:after="3" w:line="248" w:lineRule="auto"/>
        <w:ind w:left="553" w:right="4" w:firstLine="558"/>
        <w:jc w:val="both"/>
      </w:pPr>
      <w:r>
        <w:rPr>
          <w:rFonts w:ascii="Times New Roman" w:eastAsia="Times New Roman" w:hAnsi="Times New Roman" w:cs="Times New Roman"/>
          <w:sz w:val="28"/>
        </w:rPr>
        <w:t>The knowledge base of the knowledge examination contains test formulations intended for formal assessment of the student's knowledge, which were obtained during the study of a particular section in a specific subject area.</w:t>
      </w:r>
    </w:p>
    <w:p w:rsidR="0052701D" w:rsidRDefault="00D40929">
      <w:pPr>
        <w:spacing w:after="3" w:line="248" w:lineRule="auto"/>
        <w:ind w:left="553" w:right="4" w:firstLine="558"/>
        <w:jc w:val="both"/>
      </w:pPr>
      <w:r>
        <w:rPr>
          <w:rFonts w:ascii="Times New Roman" w:eastAsia="Times New Roman" w:hAnsi="Times New Roman" w:cs="Times New Roman"/>
          <w:sz w:val="28"/>
        </w:rPr>
        <w:t>The learning goal is expressed in terms of the learner model. It is customary to distinguish between the student's covering model and the error model. The first is a subset of an expert's knowledge model in a given subject area and, as a rule, is represen</w:t>
      </w:r>
      <w:r>
        <w:rPr>
          <w:rFonts w:ascii="Times New Roman" w:eastAsia="Times New Roman" w:hAnsi="Times New Roman" w:cs="Times New Roman"/>
          <w:sz w:val="28"/>
        </w:rPr>
        <w:t>ted as a set or network of states, one per educational unit, the assimilation of which is controlled (concept, theorem, topic).</w:t>
      </w:r>
    </w:p>
    <w:p w:rsidR="0052701D" w:rsidRDefault="00D40929">
      <w:pPr>
        <w:spacing w:after="3" w:line="248" w:lineRule="auto"/>
        <w:ind w:left="553" w:right="4" w:firstLine="558"/>
        <w:jc w:val="both"/>
      </w:pPr>
      <w:r>
        <w:rPr>
          <w:rFonts w:ascii="Times New Roman" w:eastAsia="Times New Roman" w:hAnsi="Times New Roman" w:cs="Times New Roman"/>
          <w:sz w:val="28"/>
        </w:rPr>
        <w:t>Each state is associated with a certain indicator characterizing the degree of assimilation of the material (for example, "knows</w:t>
      </w:r>
      <w:r>
        <w:rPr>
          <w:rFonts w:ascii="Times New Roman" w:eastAsia="Times New Roman" w:hAnsi="Times New Roman" w:cs="Times New Roman"/>
          <w:sz w:val="28"/>
        </w:rPr>
        <w:t xml:space="preserve"> - does not know" or a probabilistic assessment). The second is represented by a set of elementary actions that make up the solution of the problem, both correct and erroneous. The improper behavior of the learner is modeled by replacing one or more correc</w:t>
      </w:r>
      <w:r>
        <w:rPr>
          <w:rFonts w:ascii="Times New Roman" w:eastAsia="Times New Roman" w:hAnsi="Times New Roman" w:cs="Times New Roman"/>
          <w:sz w:val="28"/>
        </w:rPr>
        <w:t>t elementary actions with incorrect ones. In this case, the learner model is not a subset of the expert's knowledge model [1].</w:t>
      </w:r>
    </w:p>
    <w:p w:rsidR="0052701D" w:rsidRDefault="00D40929">
      <w:pPr>
        <w:spacing w:after="3" w:line="248" w:lineRule="auto"/>
        <w:ind w:left="553" w:right="4" w:firstLine="558"/>
        <w:jc w:val="both"/>
      </w:pPr>
      <w:r>
        <w:rPr>
          <w:rFonts w:ascii="Times New Roman" w:eastAsia="Times New Roman" w:hAnsi="Times New Roman" w:cs="Times New Roman"/>
          <w:sz w:val="28"/>
        </w:rPr>
        <w:t>The knowledge base about learner’s errors (KB LE) contains a catalog of possible student errors and rules for advancing and testi</w:t>
      </w:r>
      <w:r>
        <w:rPr>
          <w:rFonts w:ascii="Times New Roman" w:eastAsia="Times New Roman" w:hAnsi="Times New Roman" w:cs="Times New Roman"/>
          <w:sz w:val="28"/>
        </w:rPr>
        <w:t>ng hypotheses about the student's misconceptions that led to this error, based on the differences between the solutions proposed by the student and the ES SP, as well as the current state of the student's model [3].</w:t>
      </w:r>
    </w:p>
    <w:p w:rsidR="0052701D" w:rsidRDefault="00D40929">
      <w:pPr>
        <w:spacing w:after="3" w:line="248" w:lineRule="auto"/>
        <w:ind w:left="553" w:right="4" w:firstLine="558"/>
        <w:jc w:val="both"/>
      </w:pPr>
      <w:r>
        <w:rPr>
          <w:rFonts w:ascii="Times New Roman" w:eastAsia="Times New Roman" w:hAnsi="Times New Roman" w:cs="Times New Roman"/>
          <w:sz w:val="28"/>
        </w:rPr>
        <w:lastRenderedPageBreak/>
        <w:t>The knowledge base about the learning pr</w:t>
      </w:r>
      <w:r>
        <w:rPr>
          <w:rFonts w:ascii="Times New Roman" w:eastAsia="Times New Roman" w:hAnsi="Times New Roman" w:cs="Times New Roman"/>
          <w:sz w:val="28"/>
        </w:rPr>
        <w:t>ocess (KB LP) contains knowledge about the planning and organization of the learning process, general and specific teaching methods.</w:t>
      </w:r>
    </w:p>
    <w:p w:rsidR="0052701D" w:rsidRDefault="00D40929">
      <w:pPr>
        <w:spacing w:after="3" w:line="248" w:lineRule="auto"/>
        <w:ind w:left="553" w:right="4" w:firstLine="558"/>
        <w:jc w:val="both"/>
      </w:pPr>
      <w:r>
        <w:rPr>
          <w:rFonts w:ascii="Times New Roman" w:eastAsia="Times New Roman" w:hAnsi="Times New Roman" w:cs="Times New Roman"/>
          <w:sz w:val="28"/>
        </w:rPr>
        <w:t>A hierarchical structure is proposed for the KB LP, in which the level of pedagogical, strategic and tactical knowledge is highlighted. Knowledge is presented in the form of rules that determine the type of learning impact. The choice of the next rule is d</w:t>
      </w:r>
      <w:r>
        <w:rPr>
          <w:rFonts w:ascii="Times New Roman" w:eastAsia="Times New Roman" w:hAnsi="Times New Roman" w:cs="Times New Roman"/>
          <w:sz w:val="28"/>
        </w:rPr>
        <w:t>etermined by special meta rules that depend on the current learning goal and the student's model. In general, KB LP can be considered as meta-knowledge in relation to other knowledge bases.</w:t>
      </w:r>
    </w:p>
    <w:p w:rsidR="0052701D" w:rsidRDefault="00D40929">
      <w:pPr>
        <w:spacing w:after="0"/>
        <w:ind w:left="1144" w:hanging="10"/>
      </w:pPr>
      <w:r>
        <w:rPr>
          <w:rFonts w:ascii="Times New Roman" w:eastAsia="Times New Roman" w:hAnsi="Times New Roman" w:cs="Times New Roman"/>
          <w:b/>
          <w:sz w:val="28"/>
        </w:rPr>
        <w:t>Conclusion</w:t>
      </w:r>
    </w:p>
    <w:p w:rsidR="0052701D" w:rsidRDefault="00D40929">
      <w:pPr>
        <w:spacing w:after="3" w:line="248" w:lineRule="auto"/>
        <w:ind w:left="553" w:right="4" w:firstLine="558"/>
        <w:jc w:val="both"/>
      </w:pPr>
      <w:r>
        <w:rPr>
          <w:rFonts w:ascii="Times New Roman" w:eastAsia="Times New Roman" w:hAnsi="Times New Roman" w:cs="Times New Roman"/>
          <w:sz w:val="28"/>
        </w:rPr>
        <w:t>The implementation of our ideas and recommendations wil</w:t>
      </w:r>
      <w:r>
        <w:rPr>
          <w:rFonts w:ascii="Times New Roman" w:eastAsia="Times New Roman" w:hAnsi="Times New Roman" w:cs="Times New Roman"/>
          <w:sz w:val="28"/>
        </w:rPr>
        <w:t>l lead to a truly revolutionary transformation of higher education both in our country and in the world educational space. In the near future, universities will be closed that have a weak scientific and pedagogical potential, which do not have a material a</w:t>
      </w:r>
      <w:r>
        <w:rPr>
          <w:rFonts w:ascii="Times New Roman" w:eastAsia="Times New Roman" w:hAnsi="Times New Roman" w:cs="Times New Roman"/>
          <w:sz w:val="28"/>
        </w:rPr>
        <w:t xml:space="preserve">nd technical base that meets modern requirements, as well as with a small contingent of students. </w:t>
      </w:r>
    </w:p>
    <w:p w:rsidR="0052701D" w:rsidRDefault="00D40929">
      <w:pPr>
        <w:spacing w:after="226" w:line="248" w:lineRule="auto"/>
        <w:ind w:left="553" w:right="4" w:firstLine="558"/>
        <w:jc w:val="both"/>
      </w:pPr>
      <w:r>
        <w:rPr>
          <w:rFonts w:ascii="Times New Roman" w:eastAsia="Times New Roman" w:hAnsi="Times New Roman" w:cs="Times New Roman"/>
          <w:sz w:val="28"/>
        </w:rPr>
        <w:t>In the future, large national universities will be transformed into robotic open universities, which will provide remote training of specialists in various s</w:t>
      </w:r>
      <w:r>
        <w:rPr>
          <w:rFonts w:ascii="Times New Roman" w:eastAsia="Times New Roman" w:hAnsi="Times New Roman" w:cs="Times New Roman"/>
          <w:sz w:val="28"/>
        </w:rPr>
        <w:t>pecialties that are in demand for their time, through high-quality training of students without the participation of teachers. By analogy with robotic factories that produce industrial products without the participation of workers, robotic universities wil</w:t>
      </w:r>
      <w:r>
        <w:rPr>
          <w:rFonts w:ascii="Times New Roman" w:eastAsia="Times New Roman" w:hAnsi="Times New Roman" w:cs="Times New Roman"/>
          <w:sz w:val="28"/>
        </w:rPr>
        <w:t>l train specialists, replacing traditional teachers with robotic professors and robotic assistants. These universities will produce highly qualified, competitive specialists, applying modern teaching technologies, using high-quality teaching materials, tak</w:t>
      </w:r>
      <w:r>
        <w:rPr>
          <w:rFonts w:ascii="Times New Roman" w:eastAsia="Times New Roman" w:hAnsi="Times New Roman" w:cs="Times New Roman"/>
          <w:sz w:val="28"/>
        </w:rPr>
        <w:t>ing into account the individual characteristics and trajectories of the students. A huge army of teachers will be forced to retrain to work in other areas. Robotic open universities will provide an opportunity to get higher education for people who want to</w:t>
      </w:r>
      <w:r>
        <w:rPr>
          <w:rFonts w:ascii="Times New Roman" w:eastAsia="Times New Roman" w:hAnsi="Times New Roman" w:cs="Times New Roman"/>
          <w:sz w:val="28"/>
        </w:rPr>
        <w:t xml:space="preserve"> study at a convenient time and place.</w:t>
      </w:r>
    </w:p>
    <w:p w:rsidR="0052701D" w:rsidRDefault="00D40929">
      <w:pPr>
        <w:spacing w:after="252"/>
        <w:ind w:left="513"/>
        <w:jc w:val="center"/>
      </w:pPr>
      <w:r>
        <w:rPr>
          <w:rFonts w:ascii="Times New Roman" w:eastAsia="Times New Roman" w:hAnsi="Times New Roman" w:cs="Times New Roman"/>
          <w:b/>
          <w:sz w:val="24"/>
        </w:rPr>
        <w:t>Sources</w:t>
      </w:r>
    </w:p>
    <w:p w:rsidR="0052701D" w:rsidRDefault="00D40929">
      <w:pPr>
        <w:spacing w:after="3" w:line="249" w:lineRule="auto"/>
        <w:ind w:left="568" w:right="1" w:firstLine="566"/>
        <w:jc w:val="both"/>
      </w:pPr>
      <w:r>
        <w:rPr>
          <w:rFonts w:ascii="Times New Roman" w:eastAsia="Times New Roman" w:hAnsi="Times New Roman" w:cs="Times New Roman"/>
          <w:sz w:val="24"/>
        </w:rPr>
        <w:t>[1]. Baimukhamedov M.F., Eslyamov S.G. Application of robotics in education. // International journal "Actual scientific research in the modern world", issue 7, July, 2020, pp.44-49.</w:t>
      </w:r>
    </w:p>
    <w:p w:rsidR="0052701D" w:rsidRDefault="00D40929">
      <w:pPr>
        <w:spacing w:after="3" w:line="249" w:lineRule="auto"/>
        <w:ind w:left="568" w:right="1" w:firstLine="566"/>
        <w:jc w:val="both"/>
      </w:pPr>
      <w:r>
        <w:rPr>
          <w:rFonts w:ascii="Times New Roman" w:eastAsia="Times New Roman" w:hAnsi="Times New Roman" w:cs="Times New Roman"/>
          <w:sz w:val="24"/>
        </w:rPr>
        <w:t>[2]. Brusilovsky P.L. Cons</w:t>
      </w:r>
      <w:r>
        <w:rPr>
          <w:rFonts w:ascii="Times New Roman" w:eastAsia="Times New Roman" w:hAnsi="Times New Roman" w:cs="Times New Roman"/>
          <w:sz w:val="24"/>
        </w:rPr>
        <w:t>truction and use of student models in intelligent learning systems // Technical cybernetics. - 2012. - No. 5. - pp. 97-119.</w:t>
      </w:r>
    </w:p>
    <w:p w:rsidR="0052701D" w:rsidRDefault="00D40929">
      <w:pPr>
        <w:spacing w:after="3" w:line="249" w:lineRule="auto"/>
        <w:ind w:left="568" w:right="1" w:firstLine="566"/>
        <w:jc w:val="both"/>
      </w:pPr>
      <w:r>
        <w:rPr>
          <w:rFonts w:ascii="Times New Roman" w:eastAsia="Times New Roman" w:hAnsi="Times New Roman" w:cs="Times New Roman"/>
          <w:sz w:val="24"/>
        </w:rPr>
        <w:t>[3]. Robotics and automation handbook / edited by Thomas R. Kurfess. CRC Press LLC, 2005. – 281 р.</w:t>
      </w:r>
    </w:p>
    <w:p w:rsidR="0052701D" w:rsidRDefault="0052701D">
      <w:pPr>
        <w:sectPr w:rsidR="0052701D">
          <w:footerReference w:type="even" r:id="rId724"/>
          <w:footerReference w:type="default" r:id="rId725"/>
          <w:footerReference w:type="first" r:id="rId726"/>
          <w:footnotePr>
            <w:numRestart w:val="eachPage"/>
          </w:footnotePr>
          <w:pgSz w:w="11906" w:h="16838"/>
          <w:pgMar w:top="860" w:right="795" w:bottom="851" w:left="1136" w:header="720" w:footer="304" w:gutter="0"/>
          <w:cols w:space="720"/>
        </w:sectPr>
      </w:pPr>
    </w:p>
    <w:p w:rsidR="0052701D" w:rsidRDefault="00D40929">
      <w:pPr>
        <w:spacing w:after="44" w:line="252" w:lineRule="auto"/>
        <w:ind w:left="-5" w:right="7660" w:hanging="10"/>
      </w:pPr>
      <w:r>
        <w:rPr>
          <w:rFonts w:ascii="Times New Roman" w:eastAsia="Times New Roman" w:hAnsi="Times New Roman" w:cs="Times New Roman"/>
          <w:b/>
        </w:rPr>
        <w:lastRenderedPageBreak/>
        <w:t xml:space="preserve">ҒТАХР 14.35.09 УДК 373.1:371.8 </w:t>
      </w:r>
    </w:p>
    <w:p w:rsidR="0052701D" w:rsidRDefault="00D40929">
      <w:pPr>
        <w:spacing w:after="32"/>
        <w:ind w:left="567"/>
      </w:pPr>
      <w:r>
        <w:rPr>
          <w:rFonts w:ascii="Times New Roman" w:eastAsia="Times New Roman" w:hAnsi="Times New Roman" w:cs="Times New Roman"/>
          <w:b/>
          <w:sz w:val="28"/>
        </w:rPr>
        <w:t xml:space="preserve"> </w:t>
      </w:r>
    </w:p>
    <w:p w:rsidR="0052701D" w:rsidRDefault="00D40929">
      <w:pPr>
        <w:pStyle w:val="1"/>
        <w:ind w:left="240" w:right="0" w:firstLine="9"/>
        <w:jc w:val="left"/>
      </w:pPr>
      <w:r>
        <w:t xml:space="preserve">ТЕХНИКАЛЫҚ ЖОО-да МАТЕМАТИКАЛЫҚ БІЛІМДІ ӨЗ БЕТІНШЕ </w:t>
      </w:r>
    </w:p>
    <w:p w:rsidR="0052701D" w:rsidRDefault="00D40929">
      <w:pPr>
        <w:spacing w:after="5" w:line="271" w:lineRule="auto"/>
        <w:ind w:left="240" w:firstLine="9"/>
      </w:pPr>
      <w:r>
        <w:rPr>
          <w:rFonts w:ascii="Times New Roman" w:eastAsia="Times New Roman" w:hAnsi="Times New Roman" w:cs="Times New Roman"/>
          <w:b/>
          <w:sz w:val="28"/>
        </w:rPr>
        <w:t xml:space="preserve">МЕҢГЕРУ МӘСЕЛЕЛЕРІ </w:t>
      </w:r>
    </w:p>
    <w:p w:rsidR="0052701D" w:rsidRDefault="00D40929">
      <w:pPr>
        <w:spacing w:after="15"/>
        <w:ind w:left="567"/>
      </w:pPr>
      <w:r>
        <w:rPr>
          <w:rFonts w:ascii="Times New Roman" w:eastAsia="Times New Roman" w:hAnsi="Times New Roman" w:cs="Times New Roman"/>
          <w:b/>
          <w:sz w:val="24"/>
        </w:rPr>
        <w:t xml:space="preserve"> </w:t>
      </w:r>
    </w:p>
    <w:p w:rsidR="0052701D" w:rsidRDefault="00D40929">
      <w:pPr>
        <w:pStyle w:val="1"/>
        <w:spacing w:after="14" w:line="248" w:lineRule="auto"/>
        <w:ind w:left="713" w:right="713" w:hanging="5"/>
      </w:pPr>
      <w:r>
        <w:rPr>
          <w:b w:val="0"/>
          <w:sz w:val="24"/>
        </w:rPr>
        <w:t xml:space="preserve">М.Ж. Байсалова, А.К. Искакова </w:t>
      </w:r>
    </w:p>
    <w:p w:rsidR="0052701D" w:rsidRDefault="00D40929">
      <w:pPr>
        <w:spacing w:after="9" w:line="248" w:lineRule="auto"/>
        <w:ind w:left="10" w:right="3" w:hanging="10"/>
        <w:jc w:val="center"/>
      </w:pPr>
      <w:r>
        <w:rPr>
          <w:rFonts w:ascii="Times New Roman" w:eastAsia="Times New Roman" w:hAnsi="Times New Roman" w:cs="Times New Roman"/>
        </w:rPr>
        <w:t xml:space="preserve">Ғ.Даукеев атындағы Алматы энергетика және байланыс университеті. Алматы қ., Қазақстан  </w:t>
      </w:r>
    </w:p>
    <w:p w:rsidR="0052701D" w:rsidRDefault="00D40929">
      <w:pPr>
        <w:spacing w:after="0"/>
        <w:ind w:left="10" w:right="7" w:hanging="10"/>
        <w:jc w:val="center"/>
      </w:pPr>
      <w:r>
        <w:rPr>
          <w:rFonts w:ascii="Times New Roman" w:eastAsia="Times New Roman" w:hAnsi="Times New Roman" w:cs="Times New Roman"/>
        </w:rPr>
        <w:t xml:space="preserve">e-mail: </w:t>
      </w:r>
      <w:r>
        <w:rPr>
          <w:rFonts w:ascii="Times New Roman" w:eastAsia="Times New Roman" w:hAnsi="Times New Roman" w:cs="Times New Roman"/>
          <w:color w:val="0000FF"/>
          <w:u w:val="single" w:color="0000FF"/>
        </w:rPr>
        <w:t>manshuk966@mail.ru</w:t>
      </w:r>
      <w:r>
        <w:rPr>
          <w:rFonts w:ascii="Times New Roman" w:eastAsia="Times New Roman" w:hAnsi="Times New Roman" w:cs="Times New Roman"/>
          <w:color w:val="0000FF"/>
        </w:rPr>
        <w:t xml:space="preserve"> </w:t>
      </w:r>
      <w:r>
        <w:rPr>
          <w:rFonts w:ascii="Times New Roman" w:eastAsia="Times New Roman" w:hAnsi="Times New Roman" w:cs="Times New Roman"/>
        </w:rPr>
        <w:t>,</w:t>
      </w:r>
      <w:r>
        <w:rPr>
          <w:rFonts w:ascii="Times New Roman" w:eastAsia="Times New Roman" w:hAnsi="Times New Roman" w:cs="Times New Roman"/>
          <w:color w:val="0000FF"/>
        </w:rPr>
        <w:t xml:space="preserve"> </w:t>
      </w:r>
      <w:r>
        <w:rPr>
          <w:rFonts w:ascii="Times New Roman" w:eastAsia="Times New Roman" w:hAnsi="Times New Roman" w:cs="Times New Roman"/>
          <w:color w:val="0000FF"/>
          <w:u w:val="single" w:color="0000FF"/>
        </w:rPr>
        <w:t>akzholtay.iskakova@mail.ru</w:t>
      </w:r>
      <w:r>
        <w:rPr>
          <w:rFonts w:ascii="Times New Roman" w:eastAsia="Times New Roman" w:hAnsi="Times New Roman" w:cs="Times New Roman"/>
        </w:rPr>
        <w:t xml:space="preserve"> </w:t>
      </w:r>
    </w:p>
    <w:p w:rsidR="0052701D" w:rsidRDefault="00D40929">
      <w:pPr>
        <w:spacing w:after="44"/>
        <w:ind w:left="613"/>
        <w:jc w:val="center"/>
      </w:pPr>
      <w:r>
        <w:rPr>
          <w:rFonts w:ascii="Times New Roman" w:eastAsia="Times New Roman" w:hAnsi="Times New Roman" w:cs="Times New Roman"/>
        </w:rPr>
        <w:t xml:space="preserve"> </w:t>
      </w:r>
    </w:p>
    <w:p w:rsidR="0052701D" w:rsidRDefault="00D40929">
      <w:pPr>
        <w:spacing w:after="29" w:line="248" w:lineRule="auto"/>
        <w:ind w:left="9" w:firstLine="567"/>
        <w:jc w:val="both"/>
      </w:pPr>
      <w:r>
        <w:rPr>
          <w:rFonts w:ascii="Times New Roman" w:eastAsia="Times New Roman" w:hAnsi="Times New Roman" w:cs="Times New Roman"/>
          <w:b/>
          <w:i/>
          <w:sz w:val="24"/>
        </w:rPr>
        <w:t>Түйіндеме</w:t>
      </w:r>
      <w:r>
        <w:rPr>
          <w:rFonts w:ascii="Times New Roman" w:eastAsia="Times New Roman" w:hAnsi="Times New Roman" w:cs="Times New Roman"/>
          <w:i/>
          <w:sz w:val="24"/>
        </w:rPr>
        <w:t>. Мақалада білім беруді ақпараттандыру жағдайында техникалық жоғары оқу орындарының студенттерін жүй</w:t>
      </w:r>
      <w:r>
        <w:rPr>
          <w:rFonts w:ascii="Times New Roman" w:eastAsia="Times New Roman" w:hAnsi="Times New Roman" w:cs="Times New Roman"/>
          <w:i/>
          <w:sz w:val="24"/>
        </w:rPr>
        <w:t>елі біліммен қамтамасыз ету мәселелері қарастырылады. Математиканың нақты бөлімін зерттеу алгоритмі ұсынылады, практикалық есептерді шешуде туындайтын мәселелер қарастырылады, оның тиімділігі мен сапасын арттыру мақсатында тақырыпты бекіту үшін бірқатар та</w:t>
      </w:r>
      <w:r>
        <w:rPr>
          <w:rFonts w:ascii="Times New Roman" w:eastAsia="Times New Roman" w:hAnsi="Times New Roman" w:cs="Times New Roman"/>
          <w:i/>
          <w:sz w:val="24"/>
        </w:rPr>
        <w:t xml:space="preserve">псырмалар ұсынылады, сонымен қатар бағдарламада белгіленген көлемде білік пен дағдыларды игеру, оған аз уақыт пен күш жұмсау және техникалық университеттерде математиканы оқытудың қолданбалы мақсаттарына қол жеткізу. </w:t>
      </w:r>
    </w:p>
    <w:p w:rsidR="0052701D" w:rsidRDefault="00D40929">
      <w:pPr>
        <w:spacing w:after="29" w:line="248" w:lineRule="auto"/>
        <w:ind w:left="9" w:firstLine="567"/>
        <w:jc w:val="both"/>
      </w:pPr>
      <w:r>
        <w:rPr>
          <w:rFonts w:ascii="Times New Roman" w:eastAsia="Times New Roman" w:hAnsi="Times New Roman" w:cs="Times New Roman"/>
          <w:b/>
          <w:i/>
          <w:sz w:val="24"/>
        </w:rPr>
        <w:t>Кілттік сөздер</w:t>
      </w:r>
      <w:r>
        <w:rPr>
          <w:rFonts w:ascii="Times New Roman" w:eastAsia="Times New Roman" w:hAnsi="Times New Roman" w:cs="Times New Roman"/>
          <w:i/>
          <w:sz w:val="24"/>
        </w:rPr>
        <w:t>: білім беруді ақпаратта</w:t>
      </w:r>
      <w:r>
        <w:rPr>
          <w:rFonts w:ascii="Times New Roman" w:eastAsia="Times New Roman" w:hAnsi="Times New Roman" w:cs="Times New Roman"/>
          <w:i/>
          <w:sz w:val="24"/>
        </w:rPr>
        <w:t xml:space="preserve">ндыру, білік пен дағдыларды игеру, іздеу процесі, математика, еселі интегралдар. </w:t>
      </w:r>
    </w:p>
    <w:p w:rsidR="0052701D" w:rsidRDefault="00D40929">
      <w:pPr>
        <w:spacing w:after="32"/>
        <w:ind w:left="60"/>
        <w:jc w:val="center"/>
      </w:pPr>
      <w:r>
        <w:rPr>
          <w:rFonts w:ascii="Times New Roman" w:eastAsia="Times New Roman" w:hAnsi="Times New Roman" w:cs="Times New Roman"/>
          <w:b/>
          <w:sz w:val="28"/>
        </w:rPr>
        <w:t xml:space="preserve"> </w:t>
      </w:r>
    </w:p>
    <w:p w:rsidR="0052701D" w:rsidRDefault="00D40929">
      <w:pPr>
        <w:spacing w:after="5" w:line="271" w:lineRule="auto"/>
        <w:ind w:left="77" w:firstLine="9"/>
      </w:pPr>
      <w:r>
        <w:rPr>
          <w:rFonts w:ascii="Times New Roman" w:eastAsia="Times New Roman" w:hAnsi="Times New Roman" w:cs="Times New Roman"/>
          <w:b/>
          <w:sz w:val="28"/>
        </w:rPr>
        <w:t xml:space="preserve">ПРОБЛЕМЫ ИНДИВИДУАЛЬНОГО ОСВОЕНИЯ МАТЕМАТИЧЕСКИХ ЗНАНИЙ В ТЕХНИЧЕСКИХ ВУЗАХ </w:t>
      </w:r>
    </w:p>
    <w:p w:rsidR="0052701D" w:rsidRDefault="00D40929">
      <w:pPr>
        <w:spacing w:after="20"/>
        <w:ind w:left="618"/>
        <w:jc w:val="center"/>
      </w:pPr>
      <w:r>
        <w:rPr>
          <w:rFonts w:ascii="Times New Roman" w:eastAsia="Times New Roman" w:hAnsi="Times New Roman" w:cs="Times New Roman"/>
          <w:b/>
          <w:sz w:val="24"/>
        </w:rPr>
        <w:t xml:space="preserve"> </w:t>
      </w:r>
    </w:p>
    <w:p w:rsidR="0052701D" w:rsidRDefault="00D40929">
      <w:pPr>
        <w:spacing w:after="14" w:line="248" w:lineRule="auto"/>
        <w:ind w:left="713" w:right="714" w:hanging="5"/>
        <w:jc w:val="center"/>
      </w:pPr>
      <w:r>
        <w:rPr>
          <w:rFonts w:ascii="Times New Roman" w:eastAsia="Times New Roman" w:hAnsi="Times New Roman" w:cs="Times New Roman"/>
          <w:sz w:val="24"/>
        </w:rPr>
        <w:t xml:space="preserve">М.Ж. Байсалова, А.К. Искакова </w:t>
      </w:r>
    </w:p>
    <w:p w:rsidR="0052701D" w:rsidRDefault="00D40929">
      <w:pPr>
        <w:spacing w:after="9" w:line="248" w:lineRule="auto"/>
        <w:ind w:left="897" w:right="894" w:hanging="10"/>
        <w:jc w:val="center"/>
      </w:pPr>
      <w:r>
        <w:rPr>
          <w:rFonts w:ascii="Times New Roman" w:eastAsia="Times New Roman" w:hAnsi="Times New Roman" w:cs="Times New Roman"/>
        </w:rPr>
        <w:t xml:space="preserve">Алматинский университет энергетики и связи им. Г.Даукеева, Алматы, Казахстан </w:t>
      </w:r>
    </w:p>
    <w:p w:rsidR="0052701D" w:rsidRDefault="00D40929">
      <w:pPr>
        <w:spacing w:after="0"/>
        <w:ind w:left="10" w:right="7" w:hanging="10"/>
        <w:jc w:val="center"/>
      </w:pPr>
      <w:r>
        <w:rPr>
          <w:rFonts w:ascii="Times New Roman" w:eastAsia="Times New Roman" w:hAnsi="Times New Roman" w:cs="Times New Roman"/>
        </w:rPr>
        <w:t xml:space="preserve">E-mail: </w:t>
      </w:r>
      <w:r>
        <w:rPr>
          <w:rFonts w:ascii="Times New Roman" w:eastAsia="Times New Roman" w:hAnsi="Times New Roman" w:cs="Times New Roman"/>
          <w:color w:val="0000FF"/>
          <w:u w:val="single" w:color="0000FF"/>
        </w:rPr>
        <w:t>manshuk966@mail.ru</w:t>
      </w:r>
      <w:r>
        <w:rPr>
          <w:rFonts w:ascii="Times New Roman" w:eastAsia="Times New Roman" w:hAnsi="Times New Roman" w:cs="Times New Roman"/>
          <w:color w:val="0000FF"/>
        </w:rPr>
        <w:t xml:space="preserve"> </w:t>
      </w:r>
      <w:r>
        <w:rPr>
          <w:rFonts w:ascii="Times New Roman" w:eastAsia="Times New Roman" w:hAnsi="Times New Roman" w:cs="Times New Roman"/>
        </w:rPr>
        <w:t>,</w:t>
      </w:r>
      <w:r>
        <w:rPr>
          <w:rFonts w:ascii="Times New Roman" w:eastAsia="Times New Roman" w:hAnsi="Times New Roman" w:cs="Times New Roman"/>
          <w:color w:val="0000FF"/>
        </w:rPr>
        <w:t xml:space="preserve"> </w:t>
      </w:r>
      <w:r>
        <w:rPr>
          <w:rFonts w:ascii="Times New Roman" w:eastAsia="Times New Roman" w:hAnsi="Times New Roman" w:cs="Times New Roman"/>
          <w:color w:val="0000FF"/>
          <w:u w:val="single" w:color="0000FF"/>
        </w:rPr>
        <w:t>akzholtay.iskakova@mail.ru</w:t>
      </w:r>
      <w:r>
        <w:rPr>
          <w:rFonts w:ascii="Times New Roman" w:eastAsia="Times New Roman" w:hAnsi="Times New Roman" w:cs="Times New Roman"/>
        </w:rPr>
        <w:t xml:space="preserve"> </w:t>
      </w:r>
    </w:p>
    <w:p w:rsidR="0052701D" w:rsidRDefault="00D40929">
      <w:pPr>
        <w:spacing w:after="0"/>
        <w:ind w:left="613"/>
        <w:jc w:val="center"/>
      </w:pPr>
      <w:r>
        <w:rPr>
          <w:rFonts w:ascii="Times New Roman" w:eastAsia="Times New Roman" w:hAnsi="Times New Roman" w:cs="Times New Roman"/>
        </w:rPr>
        <w:t xml:space="preserve"> </w:t>
      </w:r>
    </w:p>
    <w:p w:rsidR="0052701D" w:rsidRDefault="00D40929">
      <w:pPr>
        <w:spacing w:after="29" w:line="248" w:lineRule="auto"/>
        <w:ind w:left="9" w:firstLine="567"/>
        <w:jc w:val="both"/>
      </w:pPr>
      <w:r>
        <w:rPr>
          <w:rFonts w:ascii="Times New Roman" w:eastAsia="Times New Roman" w:hAnsi="Times New Roman" w:cs="Times New Roman"/>
          <w:b/>
          <w:i/>
          <w:sz w:val="24"/>
        </w:rPr>
        <w:t>Аннотация</w:t>
      </w:r>
      <w:r>
        <w:rPr>
          <w:rFonts w:ascii="Times New Roman" w:eastAsia="Times New Roman" w:hAnsi="Times New Roman" w:cs="Times New Roman"/>
          <w:i/>
          <w:sz w:val="24"/>
        </w:rPr>
        <w:t>. В статье «Вопросы самостоятельного освоения математических знаний в техническом вузе» рассматриваются вопрос</w:t>
      </w:r>
      <w:r>
        <w:rPr>
          <w:rFonts w:ascii="Times New Roman" w:eastAsia="Times New Roman" w:hAnsi="Times New Roman" w:cs="Times New Roman"/>
          <w:i/>
          <w:sz w:val="24"/>
        </w:rPr>
        <w:t>ы обеспечения систематизированными знаниями студентов технических вузов в условиях информатизации образования. Предлагается алгоритм изучения конкретного раздела математики, рассматриваются проблемы, возникающие при решении практических задач, рекомендуетс</w:t>
      </w:r>
      <w:r>
        <w:rPr>
          <w:rFonts w:ascii="Times New Roman" w:eastAsia="Times New Roman" w:hAnsi="Times New Roman" w:cs="Times New Roman"/>
          <w:i/>
          <w:sz w:val="24"/>
        </w:rPr>
        <w:t>я круг задач для закрепления темы в целях повышения его эффективности и качества, а также приобретения умений и навыков в объеме, установленном программой, тратя на это минимум времени и сил, и достижение тех прикладных целей, какие ставит изучение математ</w:t>
      </w:r>
      <w:r>
        <w:rPr>
          <w:rFonts w:ascii="Times New Roman" w:eastAsia="Times New Roman" w:hAnsi="Times New Roman" w:cs="Times New Roman"/>
          <w:i/>
          <w:sz w:val="24"/>
        </w:rPr>
        <w:t>ики в технических вузах.</w:t>
      </w:r>
      <w:r>
        <w:rPr>
          <w:rFonts w:ascii="Times New Roman" w:eastAsia="Times New Roman" w:hAnsi="Times New Roman" w:cs="Times New Roman"/>
          <w:sz w:val="24"/>
        </w:rPr>
        <w:t xml:space="preserve">  </w:t>
      </w:r>
    </w:p>
    <w:p w:rsidR="0052701D" w:rsidRDefault="00D40929">
      <w:pPr>
        <w:spacing w:after="29" w:line="248" w:lineRule="auto"/>
        <w:ind w:left="9" w:firstLine="567"/>
        <w:jc w:val="both"/>
      </w:pP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 xml:space="preserve"> информатизация образования, приобретение умений и навыков, поисковый процесс, математика, кратные интегралы. </w:t>
      </w:r>
    </w:p>
    <w:p w:rsidR="0052701D" w:rsidRDefault="00D40929">
      <w:pPr>
        <w:spacing w:after="0"/>
        <w:ind w:left="627"/>
        <w:jc w:val="center"/>
      </w:pPr>
      <w:r>
        <w:rPr>
          <w:rFonts w:ascii="Times New Roman" w:eastAsia="Times New Roman" w:hAnsi="Times New Roman" w:cs="Times New Roman"/>
          <w:b/>
          <w:sz w:val="28"/>
        </w:rPr>
        <w:t xml:space="preserve"> </w:t>
      </w:r>
    </w:p>
    <w:p w:rsidR="0052701D" w:rsidRDefault="00D40929">
      <w:pPr>
        <w:spacing w:after="5" w:line="271" w:lineRule="auto"/>
        <w:ind w:left="173" w:right="183" w:hanging="10"/>
        <w:jc w:val="center"/>
      </w:pPr>
      <w:r>
        <w:rPr>
          <w:rFonts w:ascii="Times New Roman" w:eastAsia="Times New Roman" w:hAnsi="Times New Roman" w:cs="Times New Roman"/>
          <w:b/>
          <w:sz w:val="28"/>
        </w:rPr>
        <w:t xml:space="preserve">PROBLEMS OF INDIVIDUAL DEVELOPMENT OF MATHEMATICAL KNOWLEDGE IN TECHNICAL UNIVERSITIES </w:t>
      </w:r>
    </w:p>
    <w:p w:rsidR="0052701D" w:rsidRDefault="00D40929">
      <w:pPr>
        <w:spacing w:after="2"/>
        <w:ind w:left="618"/>
        <w:jc w:val="center"/>
      </w:pPr>
      <w:r>
        <w:rPr>
          <w:rFonts w:ascii="Times New Roman" w:eastAsia="Times New Roman" w:hAnsi="Times New Roman" w:cs="Times New Roman"/>
          <w:b/>
          <w:sz w:val="24"/>
        </w:rPr>
        <w:t xml:space="preserve"> </w:t>
      </w:r>
    </w:p>
    <w:p w:rsidR="0052701D" w:rsidRDefault="00D40929">
      <w:pPr>
        <w:spacing w:after="14" w:line="248" w:lineRule="auto"/>
        <w:ind w:left="713" w:right="712" w:hanging="5"/>
        <w:jc w:val="center"/>
      </w:pPr>
      <w:r>
        <w:rPr>
          <w:rFonts w:ascii="Times New Roman" w:eastAsia="Times New Roman" w:hAnsi="Times New Roman" w:cs="Times New Roman"/>
          <w:sz w:val="24"/>
        </w:rPr>
        <w:t xml:space="preserve">M.Zh. Baisalova, А.К. Iskakova </w:t>
      </w:r>
    </w:p>
    <w:p w:rsidR="0052701D" w:rsidRDefault="00D40929">
      <w:pPr>
        <w:spacing w:after="0" w:line="250" w:lineRule="auto"/>
        <w:ind w:left="2194" w:hanging="1728"/>
        <w:jc w:val="both"/>
      </w:pPr>
      <w:r>
        <w:rPr>
          <w:rFonts w:ascii="Times New Roman" w:eastAsia="Times New Roman" w:hAnsi="Times New Roman" w:cs="Times New Roman"/>
        </w:rPr>
        <w:t xml:space="preserve">Almaty University of Power Engineering and Telecommunications named after Gumarbek Daukeev E-mail: </w:t>
      </w:r>
      <w:r>
        <w:rPr>
          <w:rFonts w:ascii="Times New Roman" w:eastAsia="Times New Roman" w:hAnsi="Times New Roman" w:cs="Times New Roman"/>
          <w:color w:val="0000FF"/>
          <w:u w:val="single" w:color="0000FF"/>
        </w:rPr>
        <w:t>manshuk966@mail.ru</w:t>
      </w:r>
      <w:r>
        <w:rPr>
          <w:rFonts w:ascii="Times New Roman" w:eastAsia="Times New Roman" w:hAnsi="Times New Roman" w:cs="Times New Roman"/>
          <w:color w:val="0000FF"/>
        </w:rPr>
        <w:t xml:space="preserve"> </w:t>
      </w:r>
      <w:r>
        <w:rPr>
          <w:rFonts w:ascii="Times New Roman" w:eastAsia="Times New Roman" w:hAnsi="Times New Roman" w:cs="Times New Roman"/>
        </w:rPr>
        <w:t>,</w:t>
      </w:r>
      <w:r>
        <w:rPr>
          <w:rFonts w:ascii="Times New Roman" w:eastAsia="Times New Roman" w:hAnsi="Times New Roman" w:cs="Times New Roman"/>
          <w:color w:val="0000FF"/>
        </w:rPr>
        <w:t xml:space="preserve"> </w:t>
      </w:r>
      <w:r>
        <w:rPr>
          <w:rFonts w:ascii="Times New Roman" w:eastAsia="Times New Roman" w:hAnsi="Times New Roman" w:cs="Times New Roman"/>
          <w:color w:val="0000FF"/>
          <w:u w:val="single" w:color="0000FF"/>
        </w:rPr>
        <w:t>akzholtay.iskakova@mail.ru</w:t>
      </w:r>
      <w:r>
        <w:rPr>
          <w:rFonts w:ascii="Times New Roman" w:eastAsia="Times New Roman" w:hAnsi="Times New Roman" w:cs="Times New Roman"/>
        </w:rPr>
        <w:t xml:space="preserve"> </w:t>
      </w:r>
    </w:p>
    <w:p w:rsidR="0052701D" w:rsidRDefault="00D40929">
      <w:pPr>
        <w:spacing w:after="5"/>
        <w:ind w:left="613"/>
        <w:jc w:val="center"/>
      </w:pPr>
      <w:r>
        <w:rPr>
          <w:rFonts w:ascii="Times New Roman" w:eastAsia="Times New Roman" w:hAnsi="Times New Roman" w:cs="Times New Roman"/>
        </w:rPr>
        <w:t xml:space="preserve"> </w:t>
      </w:r>
    </w:p>
    <w:p w:rsidR="0052701D" w:rsidRDefault="00D40929">
      <w:pPr>
        <w:spacing w:after="29" w:line="248" w:lineRule="auto"/>
        <w:ind w:left="9" w:firstLine="567"/>
        <w:jc w:val="both"/>
      </w:pPr>
      <w:r>
        <w:rPr>
          <w:rFonts w:ascii="Times New Roman" w:eastAsia="Times New Roman" w:hAnsi="Times New Roman" w:cs="Times New Roman"/>
          <w:b/>
          <w:i/>
          <w:sz w:val="24"/>
        </w:rPr>
        <w:t>Abstract</w:t>
      </w:r>
      <w:r>
        <w:rPr>
          <w:rFonts w:ascii="Times New Roman" w:eastAsia="Times New Roman" w:hAnsi="Times New Roman" w:cs="Times New Roman"/>
          <w:i/>
          <w:sz w:val="24"/>
        </w:rPr>
        <w:t>. The article «Issues of independent mastery of mathematical knowl</w:t>
      </w:r>
      <w:r>
        <w:rPr>
          <w:rFonts w:ascii="Times New Roman" w:eastAsia="Times New Roman" w:hAnsi="Times New Roman" w:cs="Times New Roman"/>
          <w:i/>
          <w:sz w:val="24"/>
        </w:rPr>
        <w:t>edge in a technical university» deals with the issues of ensuring systematic training of students at technical universities in the conditions of educational information. The algorithm for studying a specific section of mathematics is corrected, the problem</w:t>
      </w:r>
      <w:r>
        <w:rPr>
          <w:rFonts w:ascii="Times New Roman" w:eastAsia="Times New Roman" w:hAnsi="Times New Roman" w:cs="Times New Roman"/>
          <w:i/>
          <w:sz w:val="24"/>
        </w:rPr>
        <w:t xml:space="preserve">s arising in solving practical problems are considered, a range of tasks is </w:t>
      </w:r>
      <w:r>
        <w:rPr>
          <w:rFonts w:ascii="Times New Roman" w:eastAsia="Times New Roman" w:hAnsi="Times New Roman" w:cs="Times New Roman"/>
          <w:i/>
          <w:sz w:val="24"/>
        </w:rPr>
        <w:lastRenderedPageBreak/>
        <w:t>recommended to consolidate the topic to increase its efficiency and quality, as well as the acquisition of skills and abilities in the amount established by the program, spending a</w:t>
      </w:r>
      <w:r>
        <w:rPr>
          <w:rFonts w:ascii="Times New Roman" w:eastAsia="Times New Roman" w:hAnsi="Times New Roman" w:cs="Times New Roman"/>
          <w:i/>
          <w:sz w:val="24"/>
        </w:rPr>
        <w:t xml:space="preserve"> minimum of time and effort on this, and the achievement of those applied goals that the study of mathematics in technical universities sets.  </w:t>
      </w:r>
    </w:p>
    <w:p w:rsidR="0052701D" w:rsidRDefault="00D40929">
      <w:pPr>
        <w:spacing w:after="0" w:line="248" w:lineRule="auto"/>
        <w:ind w:left="9" w:firstLine="567"/>
        <w:jc w:val="both"/>
      </w:pPr>
      <w:r>
        <w:rPr>
          <w:rFonts w:ascii="Times New Roman" w:eastAsia="Times New Roman" w:hAnsi="Times New Roman" w:cs="Times New Roman"/>
          <w:b/>
          <w:i/>
          <w:sz w:val="24"/>
        </w:rPr>
        <w:t>Keywords</w:t>
      </w:r>
      <w:r>
        <w:rPr>
          <w:rFonts w:ascii="Times New Roman" w:eastAsia="Times New Roman" w:hAnsi="Times New Roman" w:cs="Times New Roman"/>
          <w:i/>
          <w:sz w:val="24"/>
        </w:rPr>
        <w:t>: informatization of education, acquisition of skills and abilities, search process, mathematics, multip</w:t>
      </w:r>
      <w:r>
        <w:rPr>
          <w:rFonts w:ascii="Times New Roman" w:eastAsia="Times New Roman" w:hAnsi="Times New Roman" w:cs="Times New Roman"/>
          <w:i/>
          <w:sz w:val="24"/>
        </w:rPr>
        <w:t xml:space="preserve">le integrals </w:t>
      </w:r>
    </w:p>
    <w:p w:rsidR="0052701D" w:rsidRDefault="00D40929">
      <w:pPr>
        <w:spacing w:after="71"/>
        <w:ind w:left="567"/>
      </w:pPr>
      <w:r>
        <w:rPr>
          <w:rFonts w:ascii="Times New Roman" w:eastAsia="Times New Roman" w:hAnsi="Times New Roman" w:cs="Times New Roman"/>
          <w:sz w:val="24"/>
        </w:rPr>
        <w:t xml:space="preserve"> </w:t>
      </w:r>
    </w:p>
    <w:p w:rsidR="0052701D" w:rsidRDefault="00D40929">
      <w:pPr>
        <w:spacing w:after="5" w:line="271" w:lineRule="auto"/>
        <w:ind w:left="9" w:right="64" w:firstLine="567"/>
        <w:jc w:val="both"/>
      </w:pPr>
      <w:r>
        <w:rPr>
          <w:rFonts w:ascii="Times New Roman" w:eastAsia="Times New Roman" w:hAnsi="Times New Roman" w:cs="Times New Roman"/>
          <w:b/>
          <w:sz w:val="28"/>
        </w:rPr>
        <w:t>Кіріспе</w:t>
      </w:r>
      <w:r>
        <w:rPr>
          <w:rFonts w:ascii="Times New Roman" w:eastAsia="Times New Roman" w:hAnsi="Times New Roman" w:cs="Times New Roman"/>
          <w:sz w:val="28"/>
        </w:rPr>
        <w:t>. Техника мен ғылымды дамыту математикалық білім беру мазмұнын үздіксіз жаңартуды, оқу процесін ғылыммен жақындастыруды, оның мазмұнының қоғамның әлеуметтік тапсырысына сәйкес келуін талап етеді. Математика оқу пәні ретінде математик</w:t>
      </w:r>
      <w:r>
        <w:rPr>
          <w:rFonts w:ascii="Times New Roman" w:eastAsia="Times New Roman" w:hAnsi="Times New Roman" w:cs="Times New Roman"/>
          <w:sz w:val="28"/>
        </w:rPr>
        <w:t>адан ғылым ретінде тек көлемімен, жүйесімен және баяндау тереңдігімен ғана емес, сонымен бірге зерттелетін мәселелердің қолданбалы бағытымен де ерекшеленеді. Ғылыми ақпарат көлемінің тез өсуі, оқу мерзімінің шектеулілігі және жаңа ақпаратты енгізу үшін бағ</w:t>
      </w:r>
      <w:r>
        <w:rPr>
          <w:rFonts w:ascii="Times New Roman" w:eastAsia="Times New Roman" w:hAnsi="Times New Roman" w:cs="Times New Roman"/>
          <w:sz w:val="28"/>
        </w:rPr>
        <w:t xml:space="preserve">дарламалық пәндерді толық көлемде оқу қажеттілігі жаңа білімді игеру процесін қиындатады, сондықтан пәннің бағдарламалық курсын ғылыми негізде мұқият және қатаң түрде құру қажет. Қарастырылып отырған мәселе заманауи инженердің моделін, оның құзыреттілігін </w:t>
      </w:r>
      <w:r>
        <w:rPr>
          <w:rFonts w:ascii="Times New Roman" w:eastAsia="Times New Roman" w:hAnsi="Times New Roman" w:cs="Times New Roman"/>
          <w:sz w:val="28"/>
        </w:rPr>
        <w:t>қалыптастыру әдістерін зерттеумен тығыз байланысты, яғни қазіргі инженерлік білім беру үшін өзекті. Осының салдары мазмұн негіздерін қатаң іріктеу; оқытудың нақты мақсаттарын, пәнаралық байланыстарды нақты айқындау, білім алушыларды математикалық даярлауға</w:t>
      </w:r>
      <w:r>
        <w:rPr>
          <w:rFonts w:ascii="Times New Roman" w:eastAsia="Times New Roman" w:hAnsi="Times New Roman" w:cs="Times New Roman"/>
          <w:sz w:val="28"/>
        </w:rPr>
        <w:t xml:space="preserve"> қойылатын талаптар болып табылады. </w:t>
      </w:r>
    </w:p>
    <w:p w:rsidR="0052701D" w:rsidRDefault="00D40929">
      <w:pPr>
        <w:spacing w:after="5" w:line="271" w:lineRule="auto"/>
        <w:ind w:left="9" w:right="64" w:firstLine="567"/>
        <w:jc w:val="both"/>
      </w:pPr>
      <w:r>
        <w:rPr>
          <w:rFonts w:ascii="Times New Roman" w:eastAsia="Times New Roman" w:hAnsi="Times New Roman" w:cs="Times New Roman"/>
          <w:sz w:val="28"/>
        </w:rPr>
        <w:t xml:space="preserve">Студентті математикалық дайындау кезінде келесі сұрақтарға жауап іздеуіміз </w:t>
      </w:r>
      <w:r>
        <w:rPr>
          <w:rFonts w:ascii="Times New Roman" w:eastAsia="Times New Roman" w:hAnsi="Times New Roman" w:cs="Times New Roman"/>
          <w:sz w:val="28"/>
        </w:rPr>
        <w:t>керек деп санаймыз: маманға қандай математика қажет, ол қандай математикалық құзыреттерге ие болуы керек, олардың даму деңгейін қалай бағалау керек; түлек нақты инженерлік есептерді математика құралдарымен шешуге дайын бола ма және әртүрлі техникалық маман</w:t>
      </w:r>
      <w:r>
        <w:rPr>
          <w:rFonts w:ascii="Times New Roman" w:eastAsia="Times New Roman" w:hAnsi="Times New Roman" w:cs="Times New Roman"/>
          <w:sz w:val="28"/>
        </w:rPr>
        <w:t xml:space="preserve">дықтар үшін математикалық есептер қандай сипатта болуы керек.  </w:t>
      </w:r>
    </w:p>
    <w:p w:rsidR="0052701D" w:rsidRDefault="00D40929">
      <w:pPr>
        <w:spacing w:after="5" w:line="271" w:lineRule="auto"/>
        <w:ind w:left="9" w:right="64" w:firstLine="567"/>
        <w:jc w:val="both"/>
      </w:pPr>
      <w:r>
        <w:rPr>
          <w:rFonts w:ascii="Times New Roman" w:eastAsia="Times New Roman" w:hAnsi="Times New Roman" w:cs="Times New Roman"/>
          <w:b/>
          <w:sz w:val="28"/>
        </w:rPr>
        <w:t xml:space="preserve">Теория. </w:t>
      </w:r>
      <w:r>
        <w:rPr>
          <w:rFonts w:ascii="Times New Roman" w:eastAsia="Times New Roman" w:hAnsi="Times New Roman" w:cs="Times New Roman"/>
          <w:sz w:val="28"/>
        </w:rPr>
        <w:t>Қазіргі заманғы оқу бағдарламалары өздігінен білім алуды қамтиды, ол үшін студент пән бағдарламасы туралы нақты түсінік пен силлабуста көрсетілген курсты игеруге қойылатын талаптарды қ</w:t>
      </w:r>
      <w:r>
        <w:rPr>
          <w:rFonts w:ascii="Times New Roman" w:eastAsia="Times New Roman" w:hAnsi="Times New Roman" w:cs="Times New Roman"/>
          <w:sz w:val="28"/>
        </w:rPr>
        <w:t xml:space="preserve">ажет етеді. </w:t>
      </w:r>
    </w:p>
    <w:p w:rsidR="0052701D" w:rsidRDefault="00D40929">
      <w:pPr>
        <w:spacing w:after="5" w:line="271" w:lineRule="auto"/>
        <w:ind w:left="9" w:right="64"/>
        <w:jc w:val="both"/>
      </w:pPr>
      <w:r>
        <w:rPr>
          <w:rFonts w:ascii="Times New Roman" w:eastAsia="Times New Roman" w:hAnsi="Times New Roman" w:cs="Times New Roman"/>
          <w:sz w:val="28"/>
        </w:rPr>
        <w:t>Оқытушыдан контенттермен, ақпараттық деректер базаларымен - ақпараттық технологияларды пайдалану бойынша өзіндік жұмыс талап етіледі. Педагогтардың міндеті жоғары математиканы неғұрлым тиімді оқуға бағыт беру, тек дәстүрлі әдістеме бойынша ған</w:t>
      </w:r>
      <w:r>
        <w:rPr>
          <w:rFonts w:ascii="Times New Roman" w:eastAsia="Times New Roman" w:hAnsi="Times New Roman" w:cs="Times New Roman"/>
          <w:sz w:val="28"/>
        </w:rPr>
        <w:t>а оқыту емес, өйткені болашақ маман мамандану пәндері бойынша білімдерден басқа, өзінің болашақ кәсіби қызметінде жаңа ақпараттық технологиялар құралдарын қолдану саласында ақпараттық мәдениетке және білімге ие болуы тиіс [1].</w:t>
      </w:r>
      <w:r>
        <w:rPr>
          <w:rFonts w:ascii="Times New Roman" w:eastAsia="Times New Roman" w:hAnsi="Times New Roman" w:cs="Times New Roman"/>
          <w:b/>
          <w:sz w:val="28"/>
        </w:rPr>
        <w:t xml:space="preserve"> </w:t>
      </w:r>
    </w:p>
    <w:p w:rsidR="0052701D" w:rsidRDefault="00D40929">
      <w:pPr>
        <w:spacing w:after="5" w:line="271" w:lineRule="auto"/>
        <w:ind w:left="9" w:right="64" w:firstLine="567"/>
        <w:jc w:val="both"/>
      </w:pPr>
      <w:r>
        <w:rPr>
          <w:rFonts w:ascii="Times New Roman" w:eastAsia="Times New Roman" w:hAnsi="Times New Roman" w:cs="Times New Roman"/>
          <w:sz w:val="28"/>
        </w:rPr>
        <w:t>Білім алушылардың өзіндік оқ</w:t>
      </w:r>
      <w:r>
        <w:rPr>
          <w:rFonts w:ascii="Times New Roman" w:eastAsia="Times New Roman" w:hAnsi="Times New Roman" w:cs="Times New Roman"/>
          <w:sz w:val="28"/>
        </w:rPr>
        <w:t xml:space="preserve">у іс-әрекеті ақпараттық ресурстарды қарқынды пайдалануды көздейді және іздеу дағдыларын меңгерудің мінсіз мотивациясы болып табылады. Компьютерлік математика жүйелерін қарқынды жетілдіру, компьютерлік жүйелердің пайда болуы оларды ғылыми, инженерлік </w:t>
      </w:r>
      <w:r>
        <w:rPr>
          <w:rFonts w:ascii="Times New Roman" w:eastAsia="Times New Roman" w:hAnsi="Times New Roman" w:cs="Times New Roman"/>
          <w:sz w:val="28"/>
        </w:rPr>
        <w:lastRenderedPageBreak/>
        <w:t>зертте</w:t>
      </w:r>
      <w:r>
        <w:rPr>
          <w:rFonts w:ascii="Times New Roman" w:eastAsia="Times New Roman" w:hAnsi="Times New Roman" w:cs="Times New Roman"/>
          <w:sz w:val="28"/>
        </w:rPr>
        <w:t>улерде және білім беруде қолдану аясын кеңейтуге әкеледі.</w:t>
      </w:r>
      <w:r>
        <w:rPr>
          <w:rFonts w:ascii="Times New Roman" w:eastAsia="Times New Roman" w:hAnsi="Times New Roman" w:cs="Times New Roman"/>
          <w:color w:val="FF0000"/>
          <w:sz w:val="28"/>
        </w:rPr>
        <w:t xml:space="preserve"> </w:t>
      </w:r>
      <w:r>
        <w:rPr>
          <w:rFonts w:ascii="Times New Roman" w:eastAsia="Times New Roman" w:hAnsi="Times New Roman" w:cs="Times New Roman"/>
          <w:sz w:val="28"/>
        </w:rPr>
        <w:t>Қазіргі уақытта Қазақстанда оқытудың жаңа ақпараттық технологияларының құралы және оқу мақсатындағы бағдарламалық өнімдерді пайдалану құралы ретінде қолданудың табысты дамып келе жатқан бағыты Moodu</w:t>
      </w:r>
      <w:r>
        <w:rPr>
          <w:rFonts w:ascii="Times New Roman" w:eastAsia="Times New Roman" w:hAnsi="Times New Roman" w:cs="Times New Roman"/>
          <w:sz w:val="28"/>
        </w:rPr>
        <w:t xml:space="preserve">le компьютерлік жүйесін бөліп көрсетуге болады.  </w:t>
      </w:r>
    </w:p>
    <w:p w:rsidR="0052701D" w:rsidRDefault="00D40929">
      <w:pPr>
        <w:spacing w:after="5" w:line="271" w:lineRule="auto"/>
        <w:ind w:left="9" w:right="64" w:firstLine="567"/>
        <w:jc w:val="both"/>
      </w:pPr>
      <w:r>
        <w:rPr>
          <w:rFonts w:ascii="Times New Roman" w:eastAsia="Times New Roman" w:hAnsi="Times New Roman" w:cs="Times New Roman"/>
          <w:sz w:val="28"/>
        </w:rPr>
        <w:t>Жоғары математика университетте оқытылатын ерекше білім беру пәні болып табылады, ол басқа жалпы білім беру, Жалпы инженерлік және арнайы пәндерді оқуға негіз болады. Математика студенттердің ғылыми дүниета</w:t>
      </w:r>
      <w:r>
        <w:rPr>
          <w:rFonts w:ascii="Times New Roman" w:eastAsia="Times New Roman" w:hAnsi="Times New Roman" w:cs="Times New Roman"/>
          <w:sz w:val="28"/>
        </w:rPr>
        <w:t>нымын қалыптастыру мен дамытуда, олардың біліктілігі мен дағдыларын тәрбиелеуде, кәсіби құзыреттіліктерін жетілдіруде маңызды рөл атқарады. Жоғары математиканың "еселік интегралдау" бөлімі бүкіл курстың ғылыми деңгейін арттырады, оны мүмкіндігінше ғылымның</w:t>
      </w:r>
      <w:r>
        <w:rPr>
          <w:rFonts w:ascii="Times New Roman" w:eastAsia="Times New Roman" w:hAnsi="Times New Roman" w:cs="Times New Roman"/>
          <w:sz w:val="28"/>
        </w:rPr>
        <w:t xml:space="preserve"> қазіргі жағдайына сәйкестендіруге көмектеседі, болашақ маманның математикалық мәдениетін арттырады. Дифференциалдық есептеумен қатар интегралдық есептеу математика курсын логикалық тұрғыдан үйлесімді, кеңірек етеді және математиканың басқа ғылымдарды зерт</w:t>
      </w:r>
      <w:r>
        <w:rPr>
          <w:rFonts w:ascii="Times New Roman" w:eastAsia="Times New Roman" w:hAnsi="Times New Roman" w:cs="Times New Roman"/>
          <w:sz w:val="28"/>
        </w:rPr>
        <w:t xml:space="preserve">теудегі маңыздылығын тереңірек ашады, қолданбалы пәндердің кейбір мәселелерін оқып, шешуді жеңілдетеді. Өз бетінше жұмыс жасау кезінде студент силлабуста ұсынылған курс бағдарламасын ұстануы керек, яғни жоғары математиканың осы бөлімін оқып үйрену кезінде </w:t>
      </w:r>
      <w:r>
        <w:rPr>
          <w:rFonts w:ascii="Times New Roman" w:eastAsia="Times New Roman" w:hAnsi="Times New Roman" w:cs="Times New Roman"/>
          <w:sz w:val="28"/>
        </w:rPr>
        <w:t>көп өлшемді интегралдар және еселі интегралдау ұғымын қарастырылып отырған ретпен зерделеу қажет. Аудандардың (квадратурасы) өлшемін табу туралы есеп бізді бір айнымалыдан тәуелді функцияның анықталған интегралы ұғымына әкелгені студентке таныс. Енді денел</w:t>
      </w:r>
      <w:r>
        <w:rPr>
          <w:rFonts w:ascii="Times New Roman" w:eastAsia="Times New Roman" w:hAnsi="Times New Roman" w:cs="Times New Roman"/>
          <w:sz w:val="28"/>
        </w:rPr>
        <w:t xml:space="preserve">ер текшесі туралы есеп екі айнымалыдан тәуелді функцияның анықталған интегралы туралы түсінікке әкеледі. Студент қос интегралдардың негізгі қасиеттері қарапайым интегралдардың қасиеттеріне ұқсас екенін білуі керек. </w:t>
      </w:r>
    </w:p>
    <w:p w:rsidR="0052701D" w:rsidRDefault="00D40929">
      <w:pPr>
        <w:spacing w:after="5" w:line="271" w:lineRule="auto"/>
        <w:ind w:left="-56" w:firstLine="623"/>
        <w:jc w:val="both"/>
      </w:pPr>
      <w:r>
        <w:rPr>
          <w:rFonts w:ascii="Times New Roman" w:eastAsia="Times New Roman" w:hAnsi="Times New Roman" w:cs="Times New Roman"/>
          <w:b/>
          <w:sz w:val="28"/>
        </w:rPr>
        <w:t xml:space="preserve">Деректер мен әдістер. </w:t>
      </w:r>
      <w:r>
        <w:rPr>
          <w:rFonts w:ascii="Times New Roman" w:eastAsia="Times New Roman" w:hAnsi="Times New Roman" w:cs="Times New Roman"/>
          <w:sz w:val="28"/>
        </w:rPr>
        <w:t xml:space="preserve">Қос </w:t>
      </w:r>
      <w:r>
        <w:rPr>
          <w:rFonts w:ascii="Times New Roman" w:eastAsia="Times New Roman" w:hAnsi="Times New Roman" w:cs="Times New Roman"/>
          <w:sz w:val="28"/>
        </w:rPr>
        <w:t>интегралдың анықтамасымен таныса отырып, студент екі айнымалыдан тәуелді функцияның берілу аймақтарына назар аударуы керек және түсінікті болу үшін осы аймақтарды суреттерде көрсете білуі керек. Студенттің сыртқы интегралдың шектері тұрақты шамалар болуы к</w:t>
      </w:r>
      <w:r>
        <w:rPr>
          <w:rFonts w:ascii="Times New Roman" w:eastAsia="Times New Roman" w:hAnsi="Times New Roman" w:cs="Times New Roman"/>
          <w:sz w:val="28"/>
        </w:rPr>
        <w:t>ерек екенін нақты түсінуі маңызды. Аймақтар мен сызбаларды талдау студентке қос интегралдарды есептеудің екі формуласының арасындағы айырмашылықты нақты түсінуге және келесі сұрақтың жауабын білуге мүмкіндік береді: интегралдау реті өзгерген кезде интеграл</w:t>
      </w:r>
      <w:r>
        <w:rPr>
          <w:rFonts w:ascii="Times New Roman" w:eastAsia="Times New Roman" w:hAnsi="Times New Roman" w:cs="Times New Roman"/>
          <w:sz w:val="28"/>
        </w:rPr>
        <w:t>дардың шегі қалай өзгереді?</w:t>
      </w:r>
      <w:r>
        <w:rPr>
          <w:rFonts w:ascii="Times New Roman" w:eastAsia="Times New Roman" w:hAnsi="Times New Roman" w:cs="Times New Roman"/>
          <w:color w:val="FF0000"/>
          <w:sz w:val="28"/>
        </w:rPr>
        <w:t xml:space="preserve"> </w:t>
      </w:r>
      <w:r>
        <w:rPr>
          <w:rFonts w:ascii="Times New Roman" w:eastAsia="Times New Roman" w:hAnsi="Times New Roman" w:cs="Times New Roman"/>
          <w:sz w:val="28"/>
        </w:rPr>
        <w:t>Якобиан тұжырымдамасын алдын-ала қарастырып, қос интегралдарды есептеудің негізгі әдістеріне көшуге болады. Қос интегралды есептеу әдістері өте алуан түрлі, бірақ екі негізгі - декарттық және полярлық координаттардағы қос интегр</w:t>
      </w:r>
      <w:r>
        <w:rPr>
          <w:rFonts w:ascii="Times New Roman" w:eastAsia="Times New Roman" w:hAnsi="Times New Roman" w:cs="Times New Roman"/>
          <w:sz w:val="28"/>
        </w:rPr>
        <w:t>алды есептеумен шектелуге болады.</w:t>
      </w:r>
      <w:r>
        <w:rPr>
          <w:rFonts w:ascii="Times New Roman" w:eastAsia="Times New Roman" w:hAnsi="Times New Roman" w:cs="Times New Roman"/>
          <w:color w:val="FF0000"/>
          <w:sz w:val="28"/>
        </w:rPr>
        <w:t xml:space="preserve"> </w:t>
      </w:r>
      <w:r>
        <w:rPr>
          <w:rFonts w:ascii="Times New Roman" w:eastAsia="Times New Roman" w:hAnsi="Times New Roman" w:cs="Times New Roman"/>
          <w:sz w:val="28"/>
        </w:rPr>
        <w:t>Бұл жағдайда студент қос интегралдың мәні интеграл астындағы функциясының түріне ғана емес, сонымен қатар интеграл таратылатын фигураның ауданына да байланысты екенін, ал бір координаттар жүйесінен екіншісіне ауысқан кезде</w:t>
      </w:r>
      <w:r>
        <w:rPr>
          <w:rFonts w:ascii="Times New Roman" w:eastAsia="Times New Roman" w:hAnsi="Times New Roman" w:cs="Times New Roman"/>
          <w:sz w:val="28"/>
        </w:rPr>
        <w:t xml:space="preserve"> тиісті алмастырулар қолданылатындығын түсінуі керек. </w:t>
      </w:r>
      <w:r>
        <w:rPr>
          <w:rFonts w:ascii="Times New Roman" w:eastAsia="Times New Roman" w:hAnsi="Times New Roman" w:cs="Times New Roman"/>
          <w:sz w:val="28"/>
        </w:rPr>
        <w:lastRenderedPageBreak/>
        <w:t>Бұл жерде: бұл ауыстырулар не береді? деген сұрақ туындауы мүмкін. Ұсынылған мысалдарды қарастыра отырып, студенттердің өздері қос интегралда алмастыру жасалғаннан кейін алынған жаңа аймақ берілген айма</w:t>
      </w:r>
      <w:r>
        <w:rPr>
          <w:rFonts w:ascii="Times New Roman" w:eastAsia="Times New Roman" w:hAnsi="Times New Roman" w:cs="Times New Roman"/>
          <w:sz w:val="28"/>
        </w:rPr>
        <w:t>ққа</w:t>
      </w:r>
      <w:r>
        <w:rPr>
          <w:rFonts w:ascii="Times New Roman" w:eastAsia="Times New Roman" w:hAnsi="Times New Roman" w:cs="Times New Roman"/>
          <w:sz w:val="28"/>
        </w:rPr>
        <w:t xml:space="preserve"> қарағанда әлдеқайда қарапайым болуы мүмкін, бұл еселі интегралды есептеу процесін жеңілдетеді деген қорытындыға келуі керек. Қолданбалы есептерді шешуде қос интегралдардың геометриялық және механикалық мағынасы туралы сұрақтар жиі кездеседі. Мысалы,</w:t>
      </w:r>
      <w:r>
        <w:rPr>
          <w:rFonts w:ascii="Times New Roman" w:eastAsia="Times New Roman" w:hAnsi="Times New Roman" w:cs="Times New Roman"/>
          <w:i/>
          <w:sz w:val="28"/>
        </w:rPr>
        <w:t xml:space="preserve"> </w:t>
      </w:r>
      <w:r>
        <w:rPr>
          <w:rFonts w:ascii="Cambria Math" w:eastAsia="Cambria Math" w:hAnsi="Cambria Math" w:cs="Cambria Math"/>
          <w:sz w:val="28"/>
        </w:rPr>
        <w:t>𝑂</w:t>
      </w:r>
      <w:r>
        <w:rPr>
          <w:rFonts w:ascii="Cambria Math" w:eastAsia="Cambria Math" w:hAnsi="Cambria Math" w:cs="Cambria Math"/>
          <w:sz w:val="28"/>
        </w:rPr>
        <w:t>𝑥𝑦</w:t>
      </w:r>
      <w:r>
        <w:rPr>
          <w:rFonts w:ascii="Times New Roman" w:eastAsia="Times New Roman" w:hAnsi="Times New Roman" w:cs="Times New Roman"/>
          <w:sz w:val="28"/>
        </w:rPr>
        <w:t xml:space="preserve">  жазықтығындағы шектеулі тұйық </w:t>
      </w:r>
      <w:r>
        <w:rPr>
          <w:rFonts w:ascii="Times New Roman" w:eastAsia="Times New Roman" w:hAnsi="Times New Roman" w:cs="Times New Roman"/>
          <w:i/>
          <w:sz w:val="28"/>
        </w:rPr>
        <w:t>D</w:t>
      </w:r>
      <w:r>
        <w:rPr>
          <w:rFonts w:ascii="Times New Roman" w:eastAsia="Times New Roman" w:hAnsi="Times New Roman" w:cs="Times New Roman"/>
          <w:sz w:val="28"/>
        </w:rPr>
        <w:t xml:space="preserve"> аймағының ауданын анықтау; (координаталық осьтердің біріне параллель болатын) цилиндрлік дененің көлемін табу, төменнен </w:t>
      </w:r>
      <w:r>
        <w:rPr>
          <w:rFonts w:ascii="Times New Roman" w:eastAsia="Times New Roman" w:hAnsi="Times New Roman" w:cs="Times New Roman"/>
          <w:i/>
          <w:sz w:val="28"/>
        </w:rPr>
        <w:t>D</w:t>
      </w:r>
      <w:r>
        <w:rPr>
          <w:rFonts w:ascii="Times New Roman" w:eastAsia="Times New Roman" w:hAnsi="Times New Roman" w:cs="Times New Roman"/>
          <w:sz w:val="28"/>
        </w:rPr>
        <w:t xml:space="preserve"> аймағымен шектелген, мысалы, ,</w:t>
      </w:r>
      <w:r>
        <w:rPr>
          <w:rFonts w:ascii="Times New Roman" w:eastAsia="Times New Roman" w:hAnsi="Times New Roman" w:cs="Times New Roman"/>
          <w:i/>
          <w:sz w:val="28"/>
        </w:rPr>
        <w:t xml:space="preserve"> </w:t>
      </w:r>
      <w:r>
        <w:rPr>
          <w:rFonts w:ascii="Cambria Math" w:eastAsia="Cambria Math" w:hAnsi="Cambria Math" w:cs="Cambria Math"/>
          <w:sz w:val="28"/>
        </w:rPr>
        <w:t>𝑂𝑥𝑦</w:t>
      </w:r>
      <w:r>
        <w:rPr>
          <w:rFonts w:ascii="Times New Roman" w:eastAsia="Times New Roman" w:hAnsi="Times New Roman" w:cs="Times New Roman"/>
          <w:sz w:val="28"/>
        </w:rPr>
        <w:t xml:space="preserve">  жазықтығымен, ал үстіңгі жағынан </w:t>
      </w:r>
      <w:r>
        <w:rPr>
          <w:rFonts w:ascii="Cambria Math" w:eastAsia="Cambria Math" w:hAnsi="Cambria Math" w:cs="Cambria Math"/>
          <w:sz w:val="28"/>
        </w:rPr>
        <w:t>𝑧</w:t>
      </w:r>
      <w:r>
        <w:rPr>
          <w:rFonts w:ascii="Cambria Math" w:eastAsia="Cambria Math" w:hAnsi="Cambria Math" w:cs="Cambria Math"/>
          <w:sz w:val="28"/>
        </w:rPr>
        <w:t xml:space="preserve"> = </w:t>
      </w:r>
      <w:r>
        <w:rPr>
          <w:rFonts w:ascii="Cambria Math" w:eastAsia="Cambria Math" w:hAnsi="Cambria Math" w:cs="Cambria Math"/>
          <w:sz w:val="28"/>
        </w:rPr>
        <w:t>𝑓</w:t>
      </w:r>
      <w:r>
        <w:rPr>
          <w:rFonts w:ascii="Cambria Math" w:eastAsia="Cambria Math" w:hAnsi="Cambria Math" w:cs="Cambria Math"/>
          <w:sz w:val="28"/>
        </w:rPr>
        <w:t>(</w:t>
      </w:r>
      <w:r>
        <w:rPr>
          <w:rFonts w:ascii="Cambria Math" w:eastAsia="Cambria Math" w:hAnsi="Cambria Math" w:cs="Cambria Math"/>
          <w:sz w:val="28"/>
        </w:rPr>
        <w:t>𝑥</w:t>
      </w:r>
      <w:r>
        <w:rPr>
          <w:rFonts w:ascii="Cambria Math" w:eastAsia="Cambria Math" w:hAnsi="Cambria Math" w:cs="Cambria Math"/>
          <w:sz w:val="28"/>
        </w:rPr>
        <w:t>,</w:t>
      </w:r>
      <w:r>
        <w:rPr>
          <w:rFonts w:ascii="Cambria Math" w:eastAsia="Cambria Math" w:hAnsi="Cambria Math" w:cs="Cambria Math"/>
          <w:sz w:val="28"/>
        </w:rPr>
        <w:t>𝑦</w:t>
      </w:r>
      <w:r>
        <w:rPr>
          <w:rFonts w:ascii="Cambria Math" w:eastAsia="Cambria Math" w:hAnsi="Cambria Math" w:cs="Cambria Math"/>
          <w:sz w:val="28"/>
        </w:rPr>
        <w:t>)</w:t>
      </w:r>
      <w:r>
        <w:rPr>
          <w:rFonts w:ascii="Times New Roman" w:eastAsia="Times New Roman" w:hAnsi="Times New Roman" w:cs="Times New Roman"/>
          <w:sz w:val="28"/>
        </w:rPr>
        <w:t xml:space="preserve">; егер </w:t>
      </w:r>
      <w:r>
        <w:rPr>
          <w:rFonts w:ascii="Cambria Math" w:eastAsia="Cambria Math" w:hAnsi="Cambria Math" w:cs="Cambria Math"/>
          <w:sz w:val="28"/>
        </w:rPr>
        <w:t>𝑧</w:t>
      </w:r>
      <w:r>
        <w:rPr>
          <w:rFonts w:ascii="Cambria Math" w:eastAsia="Cambria Math" w:hAnsi="Cambria Math" w:cs="Cambria Math"/>
          <w:sz w:val="28"/>
        </w:rPr>
        <w:t xml:space="preserve"> </w:t>
      </w:r>
      <w:r>
        <w:rPr>
          <w:rFonts w:ascii="Cambria Math" w:eastAsia="Cambria Math" w:hAnsi="Cambria Math" w:cs="Cambria Math"/>
          <w:sz w:val="28"/>
        </w:rPr>
        <w:t xml:space="preserve">= </w:t>
      </w:r>
      <w:r>
        <w:rPr>
          <w:rFonts w:ascii="Cambria Math" w:eastAsia="Cambria Math" w:hAnsi="Cambria Math" w:cs="Cambria Math"/>
          <w:sz w:val="28"/>
        </w:rPr>
        <w:t>𝑓</w:t>
      </w:r>
      <w:r>
        <w:rPr>
          <w:rFonts w:ascii="Cambria Math" w:eastAsia="Cambria Math" w:hAnsi="Cambria Math" w:cs="Cambria Math"/>
          <w:sz w:val="28"/>
        </w:rPr>
        <w:t>(</w:t>
      </w:r>
      <w:r>
        <w:rPr>
          <w:rFonts w:ascii="Cambria Math" w:eastAsia="Cambria Math" w:hAnsi="Cambria Math" w:cs="Cambria Math"/>
          <w:sz w:val="28"/>
        </w:rPr>
        <w:t>𝑥</w:t>
      </w:r>
      <w:r>
        <w:rPr>
          <w:rFonts w:ascii="Cambria Math" w:eastAsia="Cambria Math" w:hAnsi="Cambria Math" w:cs="Cambria Math"/>
          <w:sz w:val="28"/>
        </w:rPr>
        <w:t>,</w:t>
      </w:r>
      <w:r>
        <w:rPr>
          <w:rFonts w:ascii="Cambria Math" w:eastAsia="Cambria Math" w:hAnsi="Cambria Math" w:cs="Cambria Math"/>
          <w:sz w:val="28"/>
        </w:rPr>
        <w:t>𝑦</w:t>
      </w:r>
      <w:r>
        <w:rPr>
          <w:rFonts w:ascii="Cambria Math" w:eastAsia="Cambria Math" w:hAnsi="Cambria Math" w:cs="Cambria Math"/>
          <w:sz w:val="28"/>
        </w:rPr>
        <w:t xml:space="preserve">)  </w:t>
      </w:r>
      <w:r>
        <w:rPr>
          <w:rFonts w:ascii="Times New Roman" w:eastAsia="Times New Roman" w:hAnsi="Times New Roman" w:cs="Times New Roman"/>
          <w:sz w:val="28"/>
        </w:rPr>
        <w:t xml:space="preserve">теңдеуімен берілген беттің ауданы </w:t>
      </w:r>
      <w:r>
        <w:rPr>
          <w:rFonts w:ascii="Cambria Math" w:eastAsia="Cambria Math" w:hAnsi="Cambria Math" w:cs="Cambria Math"/>
          <w:sz w:val="28"/>
        </w:rPr>
        <w:t>𝑂𝑥𝑦</w:t>
      </w:r>
      <w:r>
        <w:rPr>
          <w:rFonts w:ascii="Times New Roman" w:eastAsia="Times New Roman" w:hAnsi="Times New Roman" w:cs="Times New Roman"/>
          <w:i/>
          <w:sz w:val="28"/>
        </w:rPr>
        <w:t xml:space="preserve"> </w:t>
      </w:r>
      <w:r>
        <w:rPr>
          <w:rFonts w:ascii="Times New Roman" w:eastAsia="Times New Roman" w:hAnsi="Times New Roman" w:cs="Times New Roman"/>
          <w:sz w:val="28"/>
        </w:rPr>
        <w:t xml:space="preserve"> жазықтығындағы</w:t>
      </w:r>
      <w:r>
        <w:rPr>
          <w:rFonts w:ascii="Times New Roman" w:eastAsia="Times New Roman" w:hAnsi="Times New Roman" w:cs="Times New Roman"/>
          <w:i/>
          <w:sz w:val="28"/>
        </w:rPr>
        <w:t xml:space="preserve"> D</w:t>
      </w:r>
      <w:r>
        <w:rPr>
          <w:rFonts w:ascii="Times New Roman" w:eastAsia="Times New Roman" w:hAnsi="Times New Roman" w:cs="Times New Roman"/>
          <w:sz w:val="28"/>
        </w:rPr>
        <w:t xml:space="preserve"> аймағына проекцияланса, және </w:t>
      </w:r>
      <w:r>
        <w:rPr>
          <w:rFonts w:ascii="Cambria Math" w:eastAsia="Cambria Math" w:hAnsi="Cambria Math" w:cs="Cambria Math"/>
          <w:sz w:val="28"/>
        </w:rPr>
        <w:t>𝑓</w:t>
      </w:r>
      <w:r>
        <w:rPr>
          <w:rFonts w:ascii="Cambria Math" w:eastAsia="Cambria Math" w:hAnsi="Cambria Math" w:cs="Cambria Math"/>
          <w:sz w:val="28"/>
        </w:rPr>
        <w:t>(</w:t>
      </w:r>
      <w:r>
        <w:rPr>
          <w:rFonts w:ascii="Cambria Math" w:eastAsia="Cambria Math" w:hAnsi="Cambria Math" w:cs="Cambria Math"/>
          <w:sz w:val="28"/>
        </w:rPr>
        <w:t>𝑥</w:t>
      </w:r>
      <w:r>
        <w:rPr>
          <w:rFonts w:ascii="Cambria Math" w:eastAsia="Cambria Math" w:hAnsi="Cambria Math" w:cs="Cambria Math"/>
          <w:sz w:val="28"/>
        </w:rPr>
        <w:t>,</w:t>
      </w:r>
      <w:r>
        <w:rPr>
          <w:rFonts w:ascii="Cambria Math" w:eastAsia="Cambria Math" w:hAnsi="Cambria Math" w:cs="Cambria Math"/>
          <w:sz w:val="28"/>
        </w:rPr>
        <w:t>𝑦</w:t>
      </w:r>
      <w:r>
        <w:rPr>
          <w:rFonts w:ascii="Cambria Math" w:eastAsia="Cambria Math" w:hAnsi="Cambria Math" w:cs="Cambria Math"/>
          <w:sz w:val="28"/>
        </w:rPr>
        <w:t>),</w:t>
      </w:r>
      <w:r>
        <w:rPr>
          <w:rFonts w:ascii="Times New Roman" w:eastAsia="Times New Roman" w:hAnsi="Times New Roman" w:cs="Times New Roman"/>
          <w:sz w:val="28"/>
        </w:rPr>
        <w:t xml:space="preserve"> </w:t>
      </w:r>
      <w:r>
        <w:rPr>
          <w:rFonts w:ascii="Cambria Math" w:eastAsia="Cambria Math" w:hAnsi="Cambria Math" w:cs="Cambria Math"/>
          <w:sz w:val="28"/>
        </w:rPr>
        <w:t>𝑓</w:t>
      </w:r>
      <w:r>
        <w:rPr>
          <w:rFonts w:ascii="Cambria Math" w:eastAsia="Cambria Math" w:hAnsi="Cambria Math" w:cs="Cambria Math"/>
          <w:sz w:val="28"/>
          <w:vertAlign w:val="subscript"/>
        </w:rPr>
        <w:t>𝑦</w:t>
      </w:r>
      <w:r>
        <w:rPr>
          <w:rFonts w:ascii="Cambria Math" w:eastAsia="Cambria Math" w:hAnsi="Cambria Math" w:cs="Cambria Math"/>
          <w:sz w:val="28"/>
          <w:vertAlign w:val="superscript"/>
        </w:rPr>
        <w:t>′</w:t>
      </w:r>
      <w:r>
        <w:rPr>
          <w:rFonts w:ascii="Cambria Math" w:eastAsia="Cambria Math" w:hAnsi="Cambria Math" w:cs="Cambria Math"/>
          <w:sz w:val="28"/>
        </w:rPr>
        <w:t>(</w:t>
      </w:r>
      <w:r>
        <w:rPr>
          <w:rFonts w:ascii="Cambria Math" w:eastAsia="Cambria Math" w:hAnsi="Cambria Math" w:cs="Cambria Math"/>
          <w:sz w:val="28"/>
        </w:rPr>
        <w:t>𝑥</w:t>
      </w:r>
      <w:r>
        <w:rPr>
          <w:rFonts w:ascii="Cambria Math" w:eastAsia="Cambria Math" w:hAnsi="Cambria Math" w:cs="Cambria Math"/>
          <w:sz w:val="28"/>
        </w:rPr>
        <w:t>,</w:t>
      </w:r>
      <w:r>
        <w:rPr>
          <w:rFonts w:ascii="Cambria Math" w:eastAsia="Cambria Math" w:hAnsi="Cambria Math" w:cs="Cambria Math"/>
          <w:sz w:val="28"/>
        </w:rPr>
        <w:t>𝑦</w:t>
      </w:r>
      <w:r>
        <w:rPr>
          <w:rFonts w:ascii="Cambria Math" w:eastAsia="Cambria Math" w:hAnsi="Cambria Math" w:cs="Cambria Math"/>
          <w:sz w:val="28"/>
        </w:rPr>
        <w:t>),</w:t>
      </w:r>
      <w:r>
        <w:rPr>
          <w:rFonts w:ascii="Times New Roman" w:eastAsia="Times New Roman" w:hAnsi="Times New Roman" w:cs="Times New Roman"/>
          <w:sz w:val="28"/>
        </w:rPr>
        <w:t xml:space="preserve"> </w:t>
      </w:r>
      <w:r>
        <w:rPr>
          <w:noProof/>
        </w:rPr>
        <w:drawing>
          <wp:inline distT="0" distB="0" distL="0" distR="0">
            <wp:extent cx="566928" cy="176785"/>
            <wp:effectExtent l="0" t="0" r="0" b="0"/>
            <wp:docPr id="1048788" name="Picture 1048788"/>
            <wp:cNvGraphicFramePr/>
            <a:graphic xmlns:a="http://schemas.openxmlformats.org/drawingml/2006/main">
              <a:graphicData uri="http://schemas.openxmlformats.org/drawingml/2006/picture">
                <pic:pic xmlns:pic="http://schemas.openxmlformats.org/drawingml/2006/picture">
                  <pic:nvPicPr>
                    <pic:cNvPr id="1048788" name="Picture 1048788"/>
                    <pic:cNvPicPr/>
                  </pic:nvPicPr>
                  <pic:blipFill>
                    <a:blip r:embed="rId727"/>
                    <a:stretch>
                      <a:fillRect/>
                    </a:stretch>
                  </pic:blipFill>
                  <pic:spPr>
                    <a:xfrm>
                      <a:off x="0" y="0"/>
                      <a:ext cx="566928" cy="176785"/>
                    </a:xfrm>
                    <a:prstGeom prst="rect">
                      <a:avLst/>
                    </a:prstGeom>
                  </pic:spPr>
                </pic:pic>
              </a:graphicData>
            </a:graphic>
          </wp:inline>
        </w:drawing>
      </w:r>
      <w:r>
        <w:rPr>
          <w:rFonts w:ascii="Times New Roman" w:eastAsia="Times New Roman" w:hAnsi="Times New Roman" w:cs="Times New Roman"/>
          <w:sz w:val="28"/>
        </w:rPr>
        <w:t xml:space="preserve"> функциялары бұл аймақта үзіліссіз болса, онда беттің берілген бөлігінің </w:t>
      </w:r>
    </w:p>
    <w:p w:rsidR="0052701D" w:rsidRDefault="00D40929">
      <w:pPr>
        <w:spacing w:after="5" w:line="271" w:lineRule="auto"/>
        <w:ind w:left="9" w:right="64"/>
        <w:jc w:val="both"/>
      </w:pPr>
      <w:r>
        <w:rPr>
          <w:rFonts w:ascii="Times New Roman" w:eastAsia="Times New Roman" w:hAnsi="Times New Roman" w:cs="Times New Roman"/>
          <w:sz w:val="28"/>
        </w:rPr>
        <w:t xml:space="preserve">ауданын табу.  </w:t>
      </w:r>
    </w:p>
    <w:p w:rsidR="0052701D" w:rsidRDefault="00D40929">
      <w:pPr>
        <w:spacing w:after="5" w:line="271" w:lineRule="auto"/>
        <w:ind w:left="9" w:right="3" w:firstLine="567"/>
        <w:jc w:val="both"/>
      </w:pPr>
      <w:r>
        <w:rPr>
          <w:rFonts w:ascii="Times New Roman" w:eastAsia="Times New Roman" w:hAnsi="Times New Roman" w:cs="Times New Roman"/>
          <w:sz w:val="28"/>
        </w:rPr>
        <w:t>Цилиндр мен конустың көлемі тақырыбын қ</w:t>
      </w:r>
      <w:r>
        <w:rPr>
          <w:rFonts w:ascii="Times New Roman" w:eastAsia="Times New Roman" w:hAnsi="Times New Roman" w:cs="Times New Roman"/>
          <w:sz w:val="28"/>
        </w:rPr>
        <w:t xml:space="preserve">арастырған кезде кеңістікті елестетуіміз қажет. Өздеріңіз білетіндей, цилиндрлік бет келесідей алынады: біз жасаушы деп аталатын түзу сызық кеңістікте өзіне параллель қозғалады, сонымен бірге осы қисықтың кез-келген нүктесінен үнемі өтеді деп елестетеміз. </w:t>
      </w:r>
      <w:r>
        <w:rPr>
          <w:rFonts w:ascii="Times New Roman" w:eastAsia="Times New Roman" w:hAnsi="Times New Roman" w:cs="Times New Roman"/>
          <w:sz w:val="28"/>
        </w:rPr>
        <w:t>Бұл сызықтың ізі кеңістікте орналасқан және цилиндрлік бетті береді. Материалдық жазық фигураның массасы мен ауырлық центрін есептеу есебін қарастырған кезде, материалдық бет дегеніміз-қалыңдығы аз денені білдіреді, сондықтан оны іс жүзінде бет ретінде қар</w:t>
      </w:r>
      <w:r>
        <w:rPr>
          <w:rFonts w:ascii="Times New Roman" w:eastAsia="Times New Roman" w:hAnsi="Times New Roman" w:cs="Times New Roman"/>
          <w:sz w:val="28"/>
        </w:rPr>
        <w:t xml:space="preserve">астыруға болатындығын атап өту қажет. Мұндай дененің мысалы - пластина деп аталатын кез-келген дене. Теоремаға сүйене отырып: шексіз кіші </w:t>
      </w:r>
      <w:r>
        <w:rPr>
          <w:rFonts w:ascii="Times New Roman" w:eastAsia="Times New Roman" w:hAnsi="Times New Roman" w:cs="Times New Roman"/>
          <w:i/>
          <w:sz w:val="28"/>
        </w:rPr>
        <w:t>q</w:t>
      </w:r>
      <w:r>
        <w:rPr>
          <w:rFonts w:ascii="Times New Roman" w:eastAsia="Times New Roman" w:hAnsi="Times New Roman" w:cs="Times New Roman"/>
          <w:sz w:val="28"/>
        </w:rPr>
        <w:t xml:space="preserve"> фигурасындағы </w:t>
      </w:r>
      <w:r>
        <w:rPr>
          <w:rFonts w:ascii="Times New Roman" w:eastAsia="Times New Roman" w:hAnsi="Times New Roman" w:cs="Times New Roman"/>
          <w:i/>
          <w:sz w:val="28"/>
        </w:rPr>
        <w:t>m</w:t>
      </w:r>
      <w:r>
        <w:rPr>
          <w:rFonts w:ascii="Times New Roman" w:eastAsia="Times New Roman" w:hAnsi="Times New Roman" w:cs="Times New Roman"/>
          <w:sz w:val="28"/>
        </w:rPr>
        <w:t xml:space="preserve"> масса осы фигураның кез-келген нүктесіндегі масса тығыздығының ауданға көбейтіндісіне эквивалентті </w:t>
      </w:r>
      <w:r>
        <w:rPr>
          <w:rFonts w:ascii="Times New Roman" w:eastAsia="Times New Roman" w:hAnsi="Times New Roman" w:cs="Times New Roman"/>
          <w:i/>
          <w:sz w:val="28"/>
        </w:rPr>
        <w:t>m</w:t>
      </w:r>
      <w:r>
        <w:rPr>
          <w:rFonts w:ascii="Times New Roman" w:eastAsia="Times New Roman" w:hAnsi="Times New Roman" w:cs="Times New Roman"/>
          <w:i/>
          <w:sz w:val="28"/>
        </w:rPr>
        <w:t>≈ρq</w:t>
      </w:r>
      <w:r>
        <w:rPr>
          <w:rFonts w:ascii="Times New Roman" w:eastAsia="Times New Roman" w:hAnsi="Times New Roman" w:cs="Times New Roman"/>
          <w:sz w:val="28"/>
        </w:rPr>
        <w:t xml:space="preserve">, келесі есепті шешуге болады: материалдық фигура берілген, осы фигураның әр нүктесіндегі ρ массасының тығыздығын біле отырып, бүкіл фигураның массасын есептеңіз.  </w:t>
      </w:r>
    </w:p>
    <w:p w:rsidR="0052701D" w:rsidRDefault="00D40929">
      <w:pPr>
        <w:spacing w:after="5" w:line="271" w:lineRule="auto"/>
        <w:ind w:left="9" w:right="64" w:firstLine="567"/>
        <w:jc w:val="both"/>
      </w:pPr>
      <w:r>
        <w:rPr>
          <w:rFonts w:ascii="Times New Roman" w:eastAsia="Times New Roman" w:hAnsi="Times New Roman" w:cs="Times New Roman"/>
          <w:sz w:val="28"/>
        </w:rPr>
        <w:t>Қысым центріне анықтама беру орынды деп есептейміз: қысым центрі деп барлық қысым күштер</w:t>
      </w:r>
      <w:r>
        <w:rPr>
          <w:rFonts w:ascii="Times New Roman" w:eastAsia="Times New Roman" w:hAnsi="Times New Roman" w:cs="Times New Roman"/>
          <w:sz w:val="28"/>
        </w:rPr>
        <w:t>і фигураның жазықтығына перпендикуляр болатын берілген жазық фигураға барлық қысым күштерінің нәтижесінің әсер ету нүктесін айтады. Қысым центрінің координаталарын анықтау кезінде кез келген оське қатысты пайда болатын күштің статистикалық моменті (яғни бү</w:t>
      </w:r>
      <w:r>
        <w:rPr>
          <w:rFonts w:ascii="Times New Roman" w:eastAsia="Times New Roman" w:hAnsi="Times New Roman" w:cs="Times New Roman"/>
          <w:sz w:val="28"/>
        </w:rPr>
        <w:t>кіл ауданға түсетін қысым) шамамен бірдей осьтердегі жеке күштердің статистикалық моменттерінің қосындысына тең деп есептелетінін ескеріңіз. Осыған сүйене отырып, мысалы, «Сұйықтыққа ерікті түрде батырылған жазық аудандағы сұйықтықтың қысымы ауданның үстін</w:t>
      </w:r>
      <w:r>
        <w:rPr>
          <w:rFonts w:ascii="Times New Roman" w:eastAsia="Times New Roman" w:hAnsi="Times New Roman" w:cs="Times New Roman"/>
          <w:sz w:val="28"/>
        </w:rPr>
        <w:t xml:space="preserve">де орналасқан осы сұйықтықтың цилиндрлік бағанының салмағына тең бола ма? Егер ол өзінің ауырлық центрінің тереңдігінде көлденең жатса» деген сұраққа жауап табуға болады [2]. </w:t>
      </w:r>
    </w:p>
    <w:p w:rsidR="0052701D" w:rsidRDefault="00D40929">
      <w:pPr>
        <w:spacing w:after="5" w:line="271" w:lineRule="auto"/>
        <w:ind w:left="9" w:right="64" w:firstLine="567"/>
        <w:jc w:val="both"/>
      </w:pPr>
      <w:r>
        <w:rPr>
          <w:rFonts w:ascii="Times New Roman" w:eastAsia="Times New Roman" w:hAnsi="Times New Roman" w:cs="Times New Roman"/>
          <w:sz w:val="28"/>
        </w:rPr>
        <w:t xml:space="preserve">Егер қарапайым және қос интегралдар ұғымдарына әкелетін идеялар үш айнымалыдан тәуелді функцияларға қолданылса, онда үш еселі интеграл ұғымы </w:t>
      </w:r>
      <w:r>
        <w:rPr>
          <w:rFonts w:ascii="Times New Roman" w:eastAsia="Times New Roman" w:hAnsi="Times New Roman" w:cs="Times New Roman"/>
          <w:sz w:val="28"/>
        </w:rPr>
        <w:lastRenderedPageBreak/>
        <w:t>пайда болады. Механикалық тұрғыдан алғанда, кез-келген үш еселі интегралды әрқашан кейбір дененің массасы ретінде қ</w:t>
      </w:r>
      <w:r>
        <w:rPr>
          <w:rFonts w:ascii="Times New Roman" w:eastAsia="Times New Roman" w:hAnsi="Times New Roman" w:cs="Times New Roman"/>
          <w:sz w:val="28"/>
        </w:rPr>
        <w:t xml:space="preserve">арастыруға болады, өйткені дене массасы интегралды қосынды құру үшін денені қандай қарапайым көлемге бөлетінімізге байланысты емес. Бірақ сонымен бірге үш еселі интегралды қандай заңға сәйкес берілген көлемді қарапайым көлемдерге бөлетінімізге және оларды </w:t>
      </w:r>
      <w:r>
        <w:rPr>
          <w:rFonts w:ascii="Times New Roman" w:eastAsia="Times New Roman" w:hAnsi="Times New Roman" w:cs="Times New Roman"/>
          <w:sz w:val="28"/>
        </w:rPr>
        <w:t xml:space="preserve">бастапқы көлемге қалай қосатынымызға байланысты әртүрлі тәсілдермен есептеуге болады. </w:t>
      </w:r>
    </w:p>
    <w:p w:rsidR="0052701D" w:rsidRDefault="00D40929">
      <w:pPr>
        <w:spacing w:after="5" w:line="271" w:lineRule="auto"/>
        <w:ind w:left="9" w:right="64" w:firstLine="567"/>
        <w:jc w:val="both"/>
      </w:pPr>
      <w:r>
        <w:rPr>
          <w:rFonts w:ascii="Times New Roman" w:eastAsia="Times New Roman" w:hAnsi="Times New Roman" w:cs="Times New Roman"/>
          <w:sz w:val="28"/>
        </w:rPr>
        <w:t>Студенттің жеке тәжірибесіне негізделген білімді саналы түрде алу оған қажетті құзіреттіліктерді қалыптастыруға, есептерді шешуде теориялық білімді қолдануға мүмкіндік б</w:t>
      </w:r>
      <w:r>
        <w:rPr>
          <w:rFonts w:ascii="Times New Roman" w:eastAsia="Times New Roman" w:hAnsi="Times New Roman" w:cs="Times New Roman"/>
          <w:sz w:val="28"/>
        </w:rPr>
        <w:t>ереді. Студент негізінен туындаған сұрақтарға өз бетінше жауап табуға мәжбүр, сондықтан ол өзін қызықтыратын сұрақты дұрыс қоя білуі керек. Бұл жағдайда білім алушыға дәстүрлі түріндегі дәрістер де, кез-келген бейне дәрістер де көмектеседі. Өз кезегінде ть</w:t>
      </w:r>
      <w:r>
        <w:rPr>
          <w:rFonts w:ascii="Times New Roman" w:eastAsia="Times New Roman" w:hAnsi="Times New Roman" w:cs="Times New Roman"/>
          <w:sz w:val="28"/>
        </w:rPr>
        <w:t>ютор білім алушылардың жұмысын өз бетінше пайымдауға және дұрыс жауапты белсенді іздеуге итермелейтін сұрақтардың көмегімен бағыттауы тиіс. Зерттелетін тақырып бойынша құзіреттіліктің қалыптасу коэффициентін анықтауға арналған бірнеше сұрақтар келтірейік [</w:t>
      </w:r>
      <w:r>
        <w:rPr>
          <w:rFonts w:ascii="Times New Roman" w:eastAsia="Times New Roman" w:hAnsi="Times New Roman" w:cs="Times New Roman"/>
          <w:sz w:val="28"/>
        </w:rPr>
        <w:t xml:space="preserve">1].  </w:t>
      </w:r>
    </w:p>
    <w:p w:rsidR="0052701D" w:rsidRDefault="00D40929">
      <w:pPr>
        <w:spacing w:after="0"/>
      </w:pPr>
      <w:r>
        <w:rPr>
          <w:rFonts w:ascii="Times New Roman" w:eastAsia="Times New Roman" w:hAnsi="Times New Roman" w:cs="Times New Roman"/>
          <w:sz w:val="28"/>
        </w:rPr>
        <w:t xml:space="preserve"> </w:t>
      </w:r>
      <w:r>
        <w:rPr>
          <w:rFonts w:ascii="Times New Roman" w:eastAsia="Times New Roman" w:hAnsi="Times New Roman" w:cs="Times New Roman"/>
          <w:sz w:val="28"/>
        </w:rPr>
        <w:tab/>
        <w:t xml:space="preserve"> </w:t>
      </w:r>
    </w:p>
    <w:tbl>
      <w:tblPr>
        <w:tblStyle w:val="TableGrid"/>
        <w:tblW w:w="9643" w:type="dxa"/>
        <w:tblInd w:w="144" w:type="dxa"/>
        <w:tblCellMar>
          <w:top w:w="52" w:type="dxa"/>
          <w:left w:w="106" w:type="dxa"/>
          <w:bottom w:w="0" w:type="dxa"/>
          <w:right w:w="183" w:type="dxa"/>
        </w:tblCellMar>
        <w:tblLook w:val="04A0" w:firstRow="1" w:lastRow="0" w:firstColumn="1" w:lastColumn="0" w:noHBand="0" w:noVBand="1"/>
      </w:tblPr>
      <w:tblGrid>
        <w:gridCol w:w="4961"/>
        <w:gridCol w:w="4682"/>
      </w:tblGrid>
      <w:tr w:rsidR="0052701D">
        <w:trPr>
          <w:trHeight w:val="288"/>
        </w:trPr>
        <w:tc>
          <w:tcPr>
            <w:tcW w:w="49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77"/>
              <w:jc w:val="center"/>
            </w:pPr>
            <w:r>
              <w:rPr>
                <w:rFonts w:ascii="Times New Roman" w:eastAsia="Times New Roman" w:hAnsi="Times New Roman" w:cs="Times New Roman"/>
                <w:sz w:val="24"/>
              </w:rPr>
              <w:t xml:space="preserve">Тапсырма </w:t>
            </w:r>
          </w:p>
        </w:tc>
        <w:tc>
          <w:tcPr>
            <w:tcW w:w="468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42"/>
              <w:jc w:val="center"/>
            </w:pPr>
            <w:r>
              <w:rPr>
                <w:rFonts w:ascii="Times New Roman" w:eastAsia="Times New Roman" w:hAnsi="Times New Roman" w:cs="Times New Roman"/>
                <w:sz w:val="24"/>
              </w:rPr>
              <w:t xml:space="preserve">Құзыреттілік </w:t>
            </w:r>
          </w:p>
        </w:tc>
      </w:tr>
      <w:tr w:rsidR="0052701D">
        <w:trPr>
          <w:trHeight w:val="835"/>
        </w:trPr>
        <w:tc>
          <w:tcPr>
            <w:tcW w:w="49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47"/>
              <w:jc w:val="both"/>
            </w:pPr>
            <w:r>
              <w:rPr>
                <w:rFonts w:ascii="Times New Roman" w:eastAsia="Times New Roman" w:hAnsi="Times New Roman" w:cs="Times New Roman"/>
                <w:sz w:val="24"/>
              </w:rPr>
              <w:t xml:space="preserve">Еселі интегралдардың негізгі қасиеттері қарапайым интегралдардың ұқсас қасиеттерінен өзгеше ме? </w:t>
            </w:r>
          </w:p>
        </w:tc>
        <w:tc>
          <w:tcPr>
            <w:tcW w:w="468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sz w:val="24"/>
              </w:rPr>
              <w:t xml:space="preserve">Есептерді шешуде интегралдардың қасиеттерін біледі және қолдана алады </w:t>
            </w:r>
          </w:p>
        </w:tc>
      </w:tr>
      <w:tr w:rsidR="0052701D">
        <w:trPr>
          <w:trHeight w:val="567"/>
        </w:trPr>
        <w:tc>
          <w:tcPr>
            <w:tcW w:w="4961"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Дене көлемін есептеу кезінде нені таба білу керек? </w:t>
            </w:r>
          </w:p>
        </w:tc>
        <w:tc>
          <w:tcPr>
            <w:tcW w:w="468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sz w:val="24"/>
              </w:rPr>
              <w:t xml:space="preserve">Қайталанатын интегралдың анықтамасын түсінеді </w:t>
            </w:r>
          </w:p>
        </w:tc>
      </w:tr>
      <w:tr w:rsidR="0052701D">
        <w:trPr>
          <w:trHeight w:val="835"/>
        </w:trPr>
        <w:tc>
          <w:tcPr>
            <w:tcW w:w="4961"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Қос интегралда интегралдау ретін оңтайлы түрде өзгерту мүмкін бе? Егер мүмкін болса, қалай? </w:t>
            </w:r>
          </w:p>
        </w:tc>
        <w:tc>
          <w:tcPr>
            <w:tcW w:w="468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sz w:val="24"/>
              </w:rPr>
              <w:t xml:space="preserve">Берілген аумақтың сызбасын құра алады және интегралдаудың тиімді ретін таңдай алады </w:t>
            </w:r>
          </w:p>
        </w:tc>
      </w:tr>
      <w:tr w:rsidR="0052701D">
        <w:trPr>
          <w:trHeight w:val="562"/>
        </w:trPr>
        <w:tc>
          <w:tcPr>
            <w:tcW w:w="4961"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Қос </w:t>
            </w:r>
            <w:r>
              <w:rPr>
                <w:rFonts w:ascii="Times New Roman" w:eastAsia="Times New Roman" w:hAnsi="Times New Roman" w:cs="Times New Roman"/>
                <w:sz w:val="24"/>
              </w:rPr>
              <w:t xml:space="preserve">немесе үш еселі интегралда сыртқы интегралдың шектері қандай болуы керек? </w:t>
            </w:r>
          </w:p>
        </w:tc>
        <w:tc>
          <w:tcPr>
            <w:tcW w:w="468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jc w:val="both"/>
            </w:pPr>
            <w:r>
              <w:rPr>
                <w:rFonts w:ascii="Times New Roman" w:eastAsia="Times New Roman" w:hAnsi="Times New Roman" w:cs="Times New Roman"/>
                <w:sz w:val="24"/>
              </w:rPr>
              <w:t xml:space="preserve">Еселі интегралдарды есептеудің негізгі формулаларының мағынасын түсінеді </w:t>
            </w:r>
          </w:p>
        </w:tc>
      </w:tr>
      <w:tr w:rsidR="0052701D">
        <w:trPr>
          <w:trHeight w:val="840"/>
        </w:trPr>
        <w:tc>
          <w:tcPr>
            <w:tcW w:w="49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347"/>
              <w:jc w:val="both"/>
            </w:pPr>
            <w:r>
              <w:rPr>
                <w:rFonts w:ascii="Times New Roman" w:eastAsia="Times New Roman" w:hAnsi="Times New Roman" w:cs="Times New Roman"/>
                <w:sz w:val="24"/>
              </w:rPr>
              <w:t xml:space="preserve">Еселі интегралдарды есептеу кезінде бір координаттар жүйесінен екіншісіне ауысу нені береді? </w:t>
            </w:r>
          </w:p>
        </w:tc>
        <w:tc>
          <w:tcPr>
            <w:tcW w:w="468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sz w:val="24"/>
              </w:rPr>
              <w:t xml:space="preserve">Бір координат жүйесінен екіншісіне ауыстыру формулаларын біледі, оларды нақты жағдайда қолдана алады </w:t>
            </w:r>
          </w:p>
        </w:tc>
      </w:tr>
    </w:tbl>
    <w:p w:rsidR="0052701D" w:rsidRDefault="00D40929">
      <w:pPr>
        <w:spacing w:after="0"/>
        <w:ind w:left="567"/>
      </w:pPr>
      <w:r>
        <w:rPr>
          <w:rFonts w:ascii="Times New Roman" w:eastAsia="Times New Roman" w:hAnsi="Times New Roman" w:cs="Times New Roman"/>
          <w:sz w:val="28"/>
        </w:rPr>
        <w:t xml:space="preserve"> </w:t>
      </w:r>
    </w:p>
    <w:p w:rsidR="0052701D" w:rsidRDefault="00D40929">
      <w:pPr>
        <w:spacing w:after="5" w:line="271" w:lineRule="auto"/>
        <w:ind w:left="9" w:right="64" w:firstLine="567"/>
        <w:jc w:val="both"/>
      </w:pPr>
      <w:r>
        <w:rPr>
          <w:rFonts w:ascii="Times New Roman" w:eastAsia="Times New Roman" w:hAnsi="Times New Roman" w:cs="Times New Roman"/>
          <w:sz w:val="28"/>
        </w:rPr>
        <w:t>Оқытушы білім алушылардың жұмысын өз бетінше пайымдауға және дұрыс жауапты белсенді іздеуге итермелейтін арнайы сұрақтардың көмегімен бағыттайды. Тапсы</w:t>
      </w:r>
      <w:r>
        <w:rPr>
          <w:rFonts w:ascii="Times New Roman" w:eastAsia="Times New Roman" w:hAnsi="Times New Roman" w:cs="Times New Roman"/>
          <w:sz w:val="28"/>
        </w:rPr>
        <w:t xml:space="preserve">рмалар, оларды қарастыруға енгізілген теориялық материалды бейнелеу құралы ретінде қолданумен қатар, оны бекіту құралы ретінде қызмет етеді. Осылайша, курстың материалы, дәлірек айтқанда, тапсырма материалы студент алдымен есептеу дағдыларын игеріп, содан </w:t>
      </w:r>
      <w:r>
        <w:rPr>
          <w:rFonts w:ascii="Times New Roman" w:eastAsia="Times New Roman" w:hAnsi="Times New Roman" w:cs="Times New Roman"/>
          <w:sz w:val="28"/>
        </w:rPr>
        <w:t>кейін қолданбалы тапсырмаларға көшетін етіп жасалуы керек [3]. Есептерді шешу тәуелсіз математикалық пайымдауды, оқу әдебиеттерін таныстыру мен зерттеуді, ақпаратты өңдеуді, тәуелсіз қорытынды жасауды талап етеді. Практикалық материалды игеру барысында пра</w:t>
      </w:r>
      <w:r>
        <w:rPr>
          <w:rFonts w:ascii="Times New Roman" w:eastAsia="Times New Roman" w:hAnsi="Times New Roman" w:cs="Times New Roman"/>
          <w:sz w:val="28"/>
        </w:rPr>
        <w:t xml:space="preserve">ктикалық мәселелерді шешу кезінде студент </w:t>
      </w:r>
      <w:r>
        <w:rPr>
          <w:rFonts w:ascii="Times New Roman" w:eastAsia="Times New Roman" w:hAnsi="Times New Roman" w:cs="Times New Roman"/>
          <w:sz w:val="28"/>
        </w:rPr>
        <w:lastRenderedPageBreak/>
        <w:t xml:space="preserve">белгілі бір қиындықтарды жеңеді, оның белсенділігі мен тәуелсіздігі жоғары деңгейге жетеді. Оқу нәтижелері салыстырмалы түрде жоғары және орнықты.  </w:t>
      </w:r>
    </w:p>
    <w:p w:rsidR="0052701D" w:rsidRDefault="00D40929">
      <w:pPr>
        <w:spacing w:after="5" w:line="271" w:lineRule="auto"/>
        <w:ind w:left="9" w:right="3" w:firstLine="567"/>
        <w:jc w:val="both"/>
      </w:pPr>
      <w:r>
        <w:rPr>
          <w:rFonts w:ascii="Times New Roman" w:eastAsia="Times New Roman" w:hAnsi="Times New Roman" w:cs="Times New Roman"/>
          <w:b/>
          <w:sz w:val="28"/>
        </w:rPr>
        <w:t>Қорытынды</w:t>
      </w:r>
      <w:r>
        <w:rPr>
          <w:rFonts w:ascii="Times New Roman" w:eastAsia="Times New Roman" w:hAnsi="Times New Roman" w:cs="Times New Roman"/>
          <w:sz w:val="28"/>
        </w:rPr>
        <w:t xml:space="preserve">. </w:t>
      </w:r>
      <w:r>
        <w:rPr>
          <w:rFonts w:ascii="Times New Roman" w:eastAsia="Times New Roman" w:hAnsi="Times New Roman" w:cs="Times New Roman"/>
          <w:sz w:val="28"/>
        </w:rPr>
        <w:t>Студенттер алған білімдерін жаңа жағдайларда оңай қолданады және сонымен бірге өз құзыреттіліктерін дамытады. Қоғамның қазіргі даму кезеңінде білімнің әлеуметтік рөлінің (атап айтқанда, математикалық) және тұлғаның шығармашылық мүмкіндіктерінің өзгеруі уни</w:t>
      </w:r>
      <w:r>
        <w:rPr>
          <w:rFonts w:ascii="Times New Roman" w:eastAsia="Times New Roman" w:hAnsi="Times New Roman" w:cs="Times New Roman"/>
          <w:sz w:val="28"/>
        </w:rPr>
        <w:t xml:space="preserve">верситетте математиканы оқытуды ұйымдастыруда, білімді өз бетінше игеруге жағдай жасауда сөзсіз сұрақтар туғызады. Осылайша, психологиялықпедагогикалық талдау және инновациялық педагогикалық процеске тұтас көзқарас негізінде техникалық жоғары оқу орындары </w:t>
      </w:r>
      <w:r>
        <w:rPr>
          <w:rFonts w:ascii="Times New Roman" w:eastAsia="Times New Roman" w:hAnsi="Times New Roman" w:cs="Times New Roman"/>
          <w:sz w:val="28"/>
        </w:rPr>
        <w:t xml:space="preserve">студенттерінің математикалық дайындығының құрылымы мен мазмұнын айтарлықтай қайта құру қажет. </w:t>
      </w:r>
    </w:p>
    <w:p w:rsidR="0052701D" w:rsidRDefault="00D40929">
      <w:pPr>
        <w:spacing w:after="0"/>
        <w:ind w:left="567"/>
      </w:pPr>
      <w:r>
        <w:rPr>
          <w:rFonts w:ascii="Times New Roman" w:eastAsia="Times New Roman" w:hAnsi="Times New Roman" w:cs="Times New Roman"/>
          <w:sz w:val="28"/>
        </w:rPr>
        <w:t xml:space="preserve"> </w:t>
      </w:r>
    </w:p>
    <w:p w:rsidR="0052701D" w:rsidRDefault="00D40929">
      <w:pPr>
        <w:spacing w:after="16" w:line="248" w:lineRule="auto"/>
        <w:ind w:left="819" w:right="254" w:hanging="10"/>
        <w:jc w:val="center"/>
      </w:pPr>
      <w:r>
        <w:rPr>
          <w:rFonts w:ascii="Times New Roman" w:eastAsia="Times New Roman" w:hAnsi="Times New Roman" w:cs="Times New Roman"/>
          <w:b/>
          <w:sz w:val="24"/>
        </w:rPr>
        <w:t xml:space="preserve">Дереккөздер </w:t>
      </w:r>
    </w:p>
    <w:p w:rsidR="0052701D" w:rsidRDefault="00D40929">
      <w:pPr>
        <w:numPr>
          <w:ilvl w:val="0"/>
          <w:numId w:val="132"/>
        </w:numPr>
        <w:spacing w:after="24" w:line="250" w:lineRule="auto"/>
        <w:ind w:firstLine="567"/>
        <w:jc w:val="both"/>
      </w:pPr>
      <w:r>
        <w:rPr>
          <w:rFonts w:ascii="Times New Roman" w:eastAsia="Times New Roman" w:hAnsi="Times New Roman" w:cs="Times New Roman"/>
        </w:rPr>
        <w:t>Искакова А.К., Абдулланова Ж.С. Математиканы қашықтықтан оқыту әдісі туралы. // Алматы</w:t>
      </w:r>
      <w:r>
        <w:rPr>
          <w:rFonts w:ascii="Times New Roman" w:eastAsia="Times New Roman" w:hAnsi="Times New Roman" w:cs="Times New Roman"/>
          <w:i/>
        </w:rPr>
        <w:t xml:space="preserve">: </w:t>
      </w:r>
      <w:r>
        <w:rPr>
          <w:rFonts w:ascii="Times New Roman" w:eastAsia="Times New Roman" w:hAnsi="Times New Roman" w:cs="Times New Roman"/>
        </w:rPr>
        <w:t xml:space="preserve">Ізденіс. 2019, №3(1). С. 10-15 </w:t>
      </w:r>
    </w:p>
    <w:p w:rsidR="0052701D" w:rsidRDefault="00D40929">
      <w:pPr>
        <w:numPr>
          <w:ilvl w:val="0"/>
          <w:numId w:val="132"/>
        </w:numPr>
        <w:spacing w:after="24" w:line="250" w:lineRule="auto"/>
        <w:ind w:firstLine="567"/>
        <w:jc w:val="both"/>
      </w:pPr>
      <w:r>
        <w:rPr>
          <w:rFonts w:ascii="Times New Roman" w:eastAsia="Times New Roman" w:hAnsi="Times New Roman" w:cs="Times New Roman"/>
        </w:rPr>
        <w:t xml:space="preserve">Берман Г.Н. Сборник задач </w:t>
      </w:r>
      <w:r>
        <w:rPr>
          <w:rFonts w:ascii="Times New Roman" w:eastAsia="Times New Roman" w:hAnsi="Times New Roman" w:cs="Times New Roman"/>
        </w:rPr>
        <w:t xml:space="preserve">по курсу математического анализа. - М.: Наука. 1971. </w:t>
      </w:r>
    </w:p>
    <w:p w:rsidR="0052701D" w:rsidRDefault="00D40929">
      <w:pPr>
        <w:numPr>
          <w:ilvl w:val="0"/>
          <w:numId w:val="132"/>
        </w:numPr>
        <w:spacing w:after="24" w:line="250" w:lineRule="auto"/>
        <w:ind w:firstLine="567"/>
        <w:jc w:val="both"/>
      </w:pPr>
      <w:r>
        <w:rPr>
          <w:rFonts w:ascii="Times New Roman" w:eastAsia="Times New Roman" w:hAnsi="Times New Roman" w:cs="Times New Roman"/>
        </w:rPr>
        <w:t xml:space="preserve">Iskakova A., Hanzharova B., Kokazhaeva A. On teaching of bases of real variable functions theory. </w:t>
      </w:r>
    </w:p>
    <w:p w:rsidR="0052701D" w:rsidRDefault="00D40929">
      <w:pPr>
        <w:spacing w:after="24" w:line="250" w:lineRule="auto"/>
        <w:ind w:left="-5" w:hanging="10"/>
        <w:jc w:val="both"/>
      </w:pPr>
      <w:r>
        <w:rPr>
          <w:rFonts w:ascii="Times New Roman" w:eastAsia="Times New Roman" w:hAnsi="Times New Roman" w:cs="Times New Roman"/>
        </w:rPr>
        <w:t xml:space="preserve">// Вестник Карагандинского университета. 2017, №1(85). 76-80 с. Караганда, Казахстан. </w:t>
      </w:r>
    </w:p>
    <w:p w:rsidR="0052701D" w:rsidRDefault="00D40929">
      <w:pPr>
        <w:spacing w:after="16" w:line="248" w:lineRule="auto"/>
        <w:ind w:left="819" w:right="251" w:hanging="10"/>
        <w:jc w:val="center"/>
      </w:pPr>
      <w:r>
        <w:rPr>
          <w:rFonts w:ascii="Times New Roman" w:eastAsia="Times New Roman" w:hAnsi="Times New Roman" w:cs="Times New Roman"/>
          <w:b/>
          <w:sz w:val="24"/>
        </w:rPr>
        <w:t xml:space="preserve">Sources </w:t>
      </w:r>
    </w:p>
    <w:p w:rsidR="0052701D" w:rsidRDefault="00D40929">
      <w:pPr>
        <w:numPr>
          <w:ilvl w:val="0"/>
          <w:numId w:val="133"/>
        </w:numPr>
        <w:spacing w:after="24" w:line="250" w:lineRule="auto"/>
        <w:ind w:firstLine="567"/>
        <w:jc w:val="both"/>
      </w:pPr>
      <w:r>
        <w:rPr>
          <w:rFonts w:ascii="Times New Roman" w:eastAsia="Times New Roman" w:hAnsi="Times New Roman" w:cs="Times New Roman"/>
        </w:rPr>
        <w:t>Iskakov</w:t>
      </w:r>
      <w:r>
        <w:rPr>
          <w:rFonts w:ascii="Times New Roman" w:eastAsia="Times New Roman" w:hAnsi="Times New Roman" w:cs="Times New Roman"/>
        </w:rPr>
        <w:t xml:space="preserve">a А.К., Abdullanova Zh.S. About the methodology of distance learning in mathematics // Almaty: Izdenis.. 2019, №3(1). p. 10-15 </w:t>
      </w:r>
    </w:p>
    <w:p w:rsidR="0052701D" w:rsidRDefault="00D40929">
      <w:pPr>
        <w:numPr>
          <w:ilvl w:val="0"/>
          <w:numId w:val="133"/>
        </w:numPr>
        <w:spacing w:after="24" w:line="250" w:lineRule="auto"/>
        <w:ind w:firstLine="567"/>
        <w:jc w:val="both"/>
      </w:pPr>
      <w:r>
        <w:rPr>
          <w:rFonts w:ascii="Times New Roman" w:eastAsia="Times New Roman" w:hAnsi="Times New Roman" w:cs="Times New Roman"/>
        </w:rPr>
        <w:t xml:space="preserve">Berman G.N. A collection of problems on a course of Mathematical Analysis. - М.: Nauka. 1971. </w:t>
      </w:r>
    </w:p>
    <w:p w:rsidR="0052701D" w:rsidRDefault="00D40929">
      <w:pPr>
        <w:numPr>
          <w:ilvl w:val="0"/>
          <w:numId w:val="133"/>
        </w:numPr>
        <w:spacing w:after="24" w:line="250" w:lineRule="auto"/>
        <w:ind w:firstLine="567"/>
        <w:jc w:val="both"/>
      </w:pPr>
      <w:r>
        <w:rPr>
          <w:rFonts w:ascii="Times New Roman" w:eastAsia="Times New Roman" w:hAnsi="Times New Roman" w:cs="Times New Roman"/>
        </w:rPr>
        <w:t>Iskakova A., Hanzharova B., Kokaz</w:t>
      </w:r>
      <w:r>
        <w:rPr>
          <w:rFonts w:ascii="Times New Roman" w:eastAsia="Times New Roman" w:hAnsi="Times New Roman" w:cs="Times New Roman"/>
        </w:rPr>
        <w:t xml:space="preserve">haeva A. On teaching of bases of real variable functions theory. </w:t>
      </w:r>
    </w:p>
    <w:p w:rsidR="0052701D" w:rsidRDefault="00D40929">
      <w:pPr>
        <w:spacing w:after="24" w:line="250" w:lineRule="auto"/>
        <w:ind w:left="-5" w:hanging="10"/>
        <w:jc w:val="both"/>
      </w:pPr>
      <w:r>
        <w:rPr>
          <w:rFonts w:ascii="Times New Roman" w:eastAsia="Times New Roman" w:hAnsi="Times New Roman" w:cs="Times New Roman"/>
        </w:rPr>
        <w:t xml:space="preserve">// Bulletin of Karaganda university. 1(85). 2017. 76-80. Karaganda, Kazakhstan. </w:t>
      </w:r>
    </w:p>
    <w:p w:rsidR="0052701D" w:rsidRDefault="0052701D">
      <w:pPr>
        <w:sectPr w:rsidR="0052701D">
          <w:footerReference w:type="even" r:id="rId728"/>
          <w:footerReference w:type="default" r:id="rId729"/>
          <w:footerReference w:type="first" r:id="rId730"/>
          <w:footnotePr>
            <w:numRestart w:val="eachPage"/>
          </w:footnotePr>
          <w:pgSz w:w="11904" w:h="16838"/>
          <w:pgMar w:top="852" w:right="730" w:bottom="927" w:left="1416" w:header="720" w:footer="305" w:gutter="0"/>
          <w:cols w:space="720"/>
        </w:sectPr>
      </w:pPr>
    </w:p>
    <w:p w:rsidR="0052701D" w:rsidRDefault="00D40929">
      <w:pPr>
        <w:spacing w:after="4" w:line="271" w:lineRule="auto"/>
        <w:ind w:left="-5" w:right="194" w:hanging="10"/>
      </w:pPr>
      <w:r>
        <w:rPr>
          <w:rFonts w:ascii="Times New Roman" w:eastAsia="Times New Roman" w:hAnsi="Times New Roman" w:cs="Times New Roman"/>
          <w:b/>
          <w:sz w:val="24"/>
        </w:rPr>
        <w:lastRenderedPageBreak/>
        <w:t>УДК 378</w:t>
      </w:r>
      <w:r>
        <w:rPr>
          <w:rFonts w:ascii="Times New Roman" w:eastAsia="Times New Roman" w:hAnsi="Times New Roman" w:cs="Times New Roman"/>
          <w:b/>
          <w:sz w:val="24"/>
        </w:rPr>
        <w:t xml:space="preserve"> 14 001 10.7442 </w:t>
      </w:r>
    </w:p>
    <w:p w:rsidR="0052701D" w:rsidRDefault="00D40929">
      <w:pPr>
        <w:spacing w:after="88"/>
        <w:ind w:left="711"/>
      </w:pPr>
      <w:r>
        <w:rPr>
          <w:rFonts w:ascii="Times New Roman" w:eastAsia="Times New Roman" w:hAnsi="Times New Roman" w:cs="Times New Roman"/>
          <w:b/>
        </w:rPr>
        <w:t xml:space="preserve"> </w:t>
      </w:r>
    </w:p>
    <w:p w:rsidR="0052701D" w:rsidRDefault="00D40929">
      <w:pPr>
        <w:pStyle w:val="1"/>
        <w:spacing w:line="251" w:lineRule="auto"/>
        <w:ind w:left="91" w:right="0" w:firstLine="9"/>
        <w:jc w:val="left"/>
      </w:pPr>
      <w:r>
        <w:t xml:space="preserve">РОЛЬ ПУБЛИКАЦИОННОЙ АКТИВНОСТИ ПРЕПОДАВАТЕЛЕЙ КАК </w:t>
      </w:r>
    </w:p>
    <w:p w:rsidR="0052701D" w:rsidRDefault="00D40929">
      <w:pPr>
        <w:spacing w:after="5" w:line="251" w:lineRule="auto"/>
        <w:ind w:left="91" w:firstLine="9"/>
      </w:pPr>
      <w:r>
        <w:rPr>
          <w:rFonts w:ascii="Times New Roman" w:eastAsia="Times New Roman" w:hAnsi="Times New Roman" w:cs="Times New Roman"/>
          <w:b/>
          <w:sz w:val="28"/>
        </w:rPr>
        <w:t xml:space="preserve">РЕЗУЛЬТАТ ИННОВАЦИОННОЙ ДЕЯТЕЛЬНОСТИ УНИВЕРСИТЕТА </w:t>
      </w:r>
    </w:p>
    <w:p w:rsidR="0052701D" w:rsidRDefault="00D40929">
      <w:pPr>
        <w:spacing w:after="0"/>
        <w:ind w:left="10"/>
        <w:jc w:val="center"/>
      </w:pPr>
      <w:r>
        <w:rPr>
          <w:rFonts w:ascii="Times New Roman" w:eastAsia="Times New Roman" w:hAnsi="Times New Roman" w:cs="Times New Roman"/>
          <w:b/>
          <w:sz w:val="28"/>
        </w:rPr>
        <w:t xml:space="preserve"> </w:t>
      </w:r>
    </w:p>
    <w:p w:rsidR="0052701D" w:rsidRDefault="00D40929">
      <w:pPr>
        <w:pStyle w:val="1"/>
        <w:spacing w:after="14" w:line="248" w:lineRule="auto"/>
        <w:ind w:left="713" w:right="770" w:hanging="5"/>
      </w:pPr>
      <w:r>
        <w:rPr>
          <w:b w:val="0"/>
          <w:sz w:val="24"/>
        </w:rPr>
        <w:t xml:space="preserve">Валеева Ю.С., Калинина М.В. </w:t>
      </w:r>
    </w:p>
    <w:p w:rsidR="0052701D" w:rsidRDefault="00D40929">
      <w:pPr>
        <w:spacing w:after="14" w:line="248" w:lineRule="auto"/>
        <w:ind w:left="781" w:right="776" w:hanging="5"/>
        <w:jc w:val="center"/>
      </w:pPr>
      <w:r>
        <w:rPr>
          <w:rFonts w:ascii="Times New Roman" w:eastAsia="Times New Roman" w:hAnsi="Times New Roman" w:cs="Times New Roman"/>
          <w:sz w:val="24"/>
        </w:rPr>
        <w:t>ФГБОУ ВО «Казанский государственный энергетический университет» e-mail: valis2000@mail.ru, esp_mvkalinin</w:t>
      </w:r>
      <w:r>
        <w:rPr>
          <w:rFonts w:ascii="Times New Roman" w:eastAsia="Times New Roman" w:hAnsi="Times New Roman" w:cs="Times New Roman"/>
          <w:sz w:val="24"/>
        </w:rPr>
        <w:t xml:space="preserve">a@mail.ru  </w:t>
      </w:r>
    </w:p>
    <w:p w:rsidR="0052701D" w:rsidRDefault="00D40929">
      <w:pPr>
        <w:spacing w:after="23"/>
        <w:ind w:left="711"/>
      </w:pPr>
      <w:r>
        <w:rPr>
          <w:rFonts w:ascii="Times New Roman" w:eastAsia="Times New Roman" w:hAnsi="Times New Roman" w:cs="Times New Roman"/>
          <w:sz w:val="24"/>
        </w:rPr>
        <w:t xml:space="preserve"> </w:t>
      </w:r>
    </w:p>
    <w:p w:rsidR="0052701D" w:rsidRDefault="00D40929">
      <w:pPr>
        <w:spacing w:after="29" w:line="248" w:lineRule="auto"/>
        <w:ind w:left="9" w:firstLine="711"/>
        <w:jc w:val="both"/>
      </w:pPr>
      <w:r>
        <w:rPr>
          <w:rFonts w:ascii="Times New Roman" w:eastAsia="Times New Roman" w:hAnsi="Times New Roman" w:cs="Times New Roman"/>
          <w:b/>
          <w:i/>
          <w:sz w:val="24"/>
        </w:rPr>
        <w:t>Аннотация.</w:t>
      </w:r>
      <w:r>
        <w:rPr>
          <w:rFonts w:ascii="Times New Roman" w:eastAsia="Times New Roman" w:hAnsi="Times New Roman" w:cs="Times New Roman"/>
          <w:sz w:val="24"/>
        </w:rPr>
        <w:t xml:space="preserve"> </w:t>
      </w:r>
      <w:r>
        <w:rPr>
          <w:rFonts w:ascii="Times New Roman" w:eastAsia="Times New Roman" w:hAnsi="Times New Roman" w:cs="Times New Roman"/>
          <w:i/>
          <w:sz w:val="24"/>
        </w:rPr>
        <w:t>Проведен анализ публикационной активности ФГБОУ ВО «Казанский государственный энергетический университет» (КГЭУ). КГЭУ готовит специалистов для энергетического спектра, а также ведет активную исследовательскую работу в разработках,</w:t>
      </w:r>
      <w:r>
        <w:rPr>
          <w:rFonts w:ascii="Times New Roman" w:eastAsia="Times New Roman" w:hAnsi="Times New Roman" w:cs="Times New Roman"/>
          <w:i/>
          <w:sz w:val="24"/>
        </w:rPr>
        <w:t xml:space="preserve"> посвященных нуждам отрасли. Основной целью данной статьи является обоснование необходимости организации публикационной активности преподавателей КГЭУ. В статье приводится динамика роста публикационной активности профессорскопреподавательского состава унив</w:t>
      </w:r>
      <w:r>
        <w:rPr>
          <w:rFonts w:ascii="Times New Roman" w:eastAsia="Times New Roman" w:hAnsi="Times New Roman" w:cs="Times New Roman"/>
          <w:i/>
          <w:sz w:val="24"/>
        </w:rPr>
        <w:t>ерситета, положительное влияние на результаты при проведении как внутренних мониторингов, так и для оценки наукометрических показателей всего университета в целом. Анализ публикационной активности КГЭУ проводился на основе статистических данных за предшест</w:t>
      </w:r>
      <w:r>
        <w:rPr>
          <w:rFonts w:ascii="Times New Roman" w:eastAsia="Times New Roman" w:hAnsi="Times New Roman" w:cs="Times New Roman"/>
          <w:i/>
          <w:sz w:val="24"/>
        </w:rPr>
        <w:t xml:space="preserve">вующие два года. В результате исследования подтвержден факт необходимости развития публикационной деятельности профессорскопреподавательского состава, для стабильной динамики роста показателей университета. </w:t>
      </w:r>
    </w:p>
    <w:p w:rsidR="0052701D" w:rsidRDefault="00D40929">
      <w:pPr>
        <w:spacing w:after="8" w:line="248" w:lineRule="auto"/>
        <w:ind w:left="9" w:firstLine="711"/>
        <w:jc w:val="both"/>
      </w:pPr>
      <w:r>
        <w:rPr>
          <w:rFonts w:ascii="Times New Roman" w:eastAsia="Times New Roman" w:hAnsi="Times New Roman" w:cs="Times New Roman"/>
          <w:b/>
          <w:i/>
          <w:sz w:val="24"/>
        </w:rPr>
        <w:t xml:space="preserve">Ключевые слова: </w:t>
      </w:r>
      <w:r>
        <w:rPr>
          <w:rFonts w:ascii="Times New Roman" w:eastAsia="Times New Roman" w:hAnsi="Times New Roman" w:cs="Times New Roman"/>
          <w:i/>
          <w:sz w:val="24"/>
        </w:rPr>
        <w:t>публикационная активность, науко</w:t>
      </w:r>
      <w:r>
        <w:rPr>
          <w:rFonts w:ascii="Times New Roman" w:eastAsia="Times New Roman" w:hAnsi="Times New Roman" w:cs="Times New Roman"/>
          <w:i/>
          <w:sz w:val="24"/>
        </w:rPr>
        <w:t xml:space="preserve">метрические показатели, отчетность, рейтинги университетов, показатели, университеты, РИНЦ, ВАК, Scopus, WoS. </w:t>
      </w:r>
    </w:p>
    <w:p w:rsidR="0052701D" w:rsidRDefault="00D40929">
      <w:pPr>
        <w:spacing w:after="21"/>
        <w:ind w:left="711"/>
      </w:pPr>
      <w:r>
        <w:rPr>
          <w:rFonts w:ascii="Times New Roman" w:eastAsia="Times New Roman" w:hAnsi="Times New Roman" w:cs="Times New Roman"/>
          <w:sz w:val="24"/>
        </w:rPr>
        <w:t xml:space="preserve"> </w:t>
      </w:r>
    </w:p>
    <w:p w:rsidR="0052701D" w:rsidRDefault="00D40929">
      <w:pPr>
        <w:spacing w:after="5" w:line="271" w:lineRule="auto"/>
        <w:ind w:left="82" w:firstLine="9"/>
      </w:pPr>
      <w:r>
        <w:rPr>
          <w:rFonts w:ascii="Times New Roman" w:eastAsia="Times New Roman" w:hAnsi="Times New Roman" w:cs="Times New Roman"/>
          <w:b/>
          <w:sz w:val="28"/>
        </w:rPr>
        <w:t xml:space="preserve">THE ROLE OF TEACHERS' PUBLICATION ACTIVITY AS A RESULT OF UNIVERSITY INNOVATION ACTIVITY </w:t>
      </w:r>
    </w:p>
    <w:p w:rsidR="0052701D" w:rsidRDefault="00D40929">
      <w:pPr>
        <w:spacing w:after="0"/>
        <w:ind w:left="711"/>
      </w:pPr>
      <w:r>
        <w:rPr>
          <w:rFonts w:ascii="Times New Roman" w:eastAsia="Times New Roman" w:hAnsi="Times New Roman" w:cs="Times New Roman"/>
          <w:b/>
          <w:sz w:val="28"/>
        </w:rPr>
        <w:t xml:space="preserve"> </w:t>
      </w:r>
    </w:p>
    <w:p w:rsidR="0052701D" w:rsidRDefault="00D40929">
      <w:pPr>
        <w:spacing w:after="14" w:line="248" w:lineRule="auto"/>
        <w:ind w:left="2257" w:right="2310" w:hanging="5"/>
        <w:jc w:val="center"/>
      </w:pPr>
      <w:r>
        <w:rPr>
          <w:rFonts w:ascii="Times New Roman" w:eastAsia="Times New Roman" w:hAnsi="Times New Roman" w:cs="Times New Roman"/>
          <w:sz w:val="24"/>
        </w:rPr>
        <w:t>Y.S. Valeeva, M.V. Kalinina Kazan State Power Engin</w:t>
      </w:r>
      <w:r>
        <w:rPr>
          <w:rFonts w:ascii="Times New Roman" w:eastAsia="Times New Roman" w:hAnsi="Times New Roman" w:cs="Times New Roman"/>
          <w:sz w:val="24"/>
        </w:rPr>
        <w:t xml:space="preserve">eering University e-mail: valis2000@mail.ru, esp_mvkalinina@mail.ru </w:t>
      </w:r>
    </w:p>
    <w:p w:rsidR="0052701D" w:rsidRDefault="00D40929">
      <w:pPr>
        <w:spacing w:after="0"/>
        <w:ind w:left="711"/>
      </w:pPr>
      <w:r>
        <w:rPr>
          <w:rFonts w:ascii="Times New Roman" w:eastAsia="Times New Roman" w:hAnsi="Times New Roman" w:cs="Times New Roman"/>
        </w:rPr>
        <w:t xml:space="preserve"> </w:t>
      </w:r>
    </w:p>
    <w:p w:rsidR="0052701D" w:rsidRDefault="00D40929">
      <w:pPr>
        <w:spacing w:after="0" w:line="248" w:lineRule="auto"/>
        <w:ind w:left="9" w:firstLine="711"/>
        <w:jc w:val="both"/>
      </w:pPr>
      <w:r>
        <w:rPr>
          <w:rFonts w:ascii="Times New Roman" w:eastAsia="Times New Roman" w:hAnsi="Times New Roman" w:cs="Times New Roman"/>
          <w:b/>
          <w:i/>
          <w:sz w:val="24"/>
        </w:rPr>
        <w:t>Abstract.</w:t>
      </w:r>
      <w:r>
        <w:rPr>
          <w:rFonts w:ascii="Times New Roman" w:eastAsia="Times New Roman" w:hAnsi="Times New Roman" w:cs="Times New Roman"/>
          <w:i/>
          <w:sz w:val="24"/>
        </w:rPr>
        <w:t xml:space="preserve"> The analysis of publication activity of Kazan State Power Engineering University (KSPEU) is carried out. KSPEU prepares specialists for the energy spectrum and also conducts a</w:t>
      </w:r>
      <w:r>
        <w:rPr>
          <w:rFonts w:ascii="Times New Roman" w:eastAsia="Times New Roman" w:hAnsi="Times New Roman" w:cs="Times New Roman"/>
          <w:i/>
          <w:sz w:val="24"/>
        </w:rPr>
        <w:t>ctive research work in developments devoted to the needs of the industry. The main purpose of this article is to justify the necessity of organizing the publication activity of KSPEU teachers. The article presents the dynamics of growth of publication acti</w:t>
      </w:r>
      <w:r>
        <w:rPr>
          <w:rFonts w:ascii="Times New Roman" w:eastAsia="Times New Roman" w:hAnsi="Times New Roman" w:cs="Times New Roman"/>
          <w:i/>
          <w:sz w:val="24"/>
        </w:rPr>
        <w:t>vity of the university teaching staff, the positive impact on the results when conducting both internal monitoring and to assess the scientometric indicators of the entire university in general. Analysis of publication activity of KSPEU was conducted on th</w:t>
      </w:r>
      <w:r>
        <w:rPr>
          <w:rFonts w:ascii="Times New Roman" w:eastAsia="Times New Roman" w:hAnsi="Times New Roman" w:cs="Times New Roman"/>
          <w:i/>
          <w:sz w:val="24"/>
        </w:rPr>
        <w:t xml:space="preserve">e basis of statistical data for the previous two years. As a result of the study the need to develop the publication activity of the teaching staff, for stable dynamics of growth of the university's indicators was confirmed. </w:t>
      </w:r>
    </w:p>
    <w:p w:rsidR="0052701D" w:rsidRDefault="00D40929">
      <w:pPr>
        <w:spacing w:after="29" w:line="248" w:lineRule="auto"/>
        <w:ind w:left="9" w:firstLine="711"/>
        <w:jc w:val="both"/>
      </w:pPr>
      <w:r>
        <w:rPr>
          <w:rFonts w:ascii="Times New Roman" w:eastAsia="Times New Roman" w:hAnsi="Times New Roman" w:cs="Times New Roman"/>
          <w:b/>
          <w:i/>
          <w:sz w:val="24"/>
        </w:rPr>
        <w:t>Key words:</w:t>
      </w:r>
      <w:r>
        <w:rPr>
          <w:rFonts w:ascii="Times New Roman" w:eastAsia="Times New Roman" w:hAnsi="Times New Roman" w:cs="Times New Roman"/>
          <w:i/>
          <w:sz w:val="24"/>
        </w:rPr>
        <w:t xml:space="preserve"> publication activit</w:t>
      </w:r>
      <w:r>
        <w:rPr>
          <w:rFonts w:ascii="Times New Roman" w:eastAsia="Times New Roman" w:hAnsi="Times New Roman" w:cs="Times New Roman"/>
          <w:i/>
          <w:sz w:val="24"/>
        </w:rPr>
        <w:t xml:space="preserve">y, scientometric indicators, reporting, university rankings, indicators, universities, RSCI, VAK, Scopus, WoS. </w:t>
      </w:r>
    </w:p>
    <w:p w:rsidR="0052701D" w:rsidRDefault="00D40929">
      <w:pPr>
        <w:spacing w:after="49"/>
        <w:ind w:left="711"/>
      </w:pPr>
      <w:r>
        <w:rPr>
          <w:rFonts w:ascii="Times New Roman" w:eastAsia="Times New Roman" w:hAnsi="Times New Roman" w:cs="Times New Roman"/>
          <w:sz w:val="28"/>
        </w:rPr>
        <w:t xml:space="preserve"> </w:t>
      </w:r>
    </w:p>
    <w:p w:rsidR="0052701D" w:rsidRDefault="00D40929">
      <w:pPr>
        <w:spacing w:after="49" w:line="251" w:lineRule="auto"/>
        <w:ind w:left="720" w:firstLine="9"/>
      </w:pPr>
      <w:r>
        <w:rPr>
          <w:rFonts w:ascii="Times New Roman" w:eastAsia="Times New Roman" w:hAnsi="Times New Roman" w:cs="Times New Roman"/>
          <w:b/>
          <w:sz w:val="28"/>
        </w:rPr>
        <w:t xml:space="preserve">Введение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Наращивание научной результативности в регионах России идет разными темпами. Среди регионов с высокой публикационной активностью </w:t>
      </w:r>
      <w:r>
        <w:rPr>
          <w:rFonts w:ascii="Times New Roman" w:eastAsia="Times New Roman" w:hAnsi="Times New Roman" w:cs="Times New Roman"/>
          <w:sz w:val="28"/>
        </w:rPr>
        <w:t xml:space="preserve">лидирующие </w:t>
      </w:r>
      <w:r>
        <w:rPr>
          <w:rFonts w:ascii="Times New Roman" w:eastAsia="Times New Roman" w:hAnsi="Times New Roman" w:cs="Times New Roman"/>
          <w:sz w:val="28"/>
        </w:rPr>
        <w:lastRenderedPageBreak/>
        <w:t xml:space="preserve">позиции по темпам прироста числа публикаций занимают Томская, Ленинградская и Самарская области, Республика Татарстан. </w:t>
      </w:r>
    </w:p>
    <w:p w:rsidR="0052701D" w:rsidRDefault="00D40929">
      <w:pPr>
        <w:spacing w:after="5" w:line="271" w:lineRule="auto"/>
        <w:ind w:left="9" w:right="64" w:firstLine="711"/>
        <w:jc w:val="both"/>
      </w:pPr>
      <w:r>
        <w:rPr>
          <w:rFonts w:ascii="Times New Roman" w:eastAsia="Times New Roman" w:hAnsi="Times New Roman" w:cs="Times New Roman"/>
          <w:sz w:val="28"/>
        </w:rPr>
        <w:t>В современных условиях в рамках организации научной деятельности преподавателя публикационная активность занимает важную роль</w:t>
      </w:r>
      <w:r>
        <w:rPr>
          <w:rFonts w:ascii="Times New Roman" w:eastAsia="Times New Roman" w:hAnsi="Times New Roman" w:cs="Times New Roman"/>
          <w:sz w:val="28"/>
        </w:rPr>
        <w:t xml:space="preserve">. Публикационная активность является результатом исследований преподавателя, а также перспективной составляющей для получения грантов, организации договорной деятельности и получения государственных заданий [1]. </w:t>
      </w:r>
    </w:p>
    <w:p w:rsidR="0052701D" w:rsidRDefault="00D40929">
      <w:pPr>
        <w:spacing w:after="5" w:line="271" w:lineRule="auto"/>
        <w:ind w:left="9" w:right="64" w:firstLine="711"/>
        <w:jc w:val="both"/>
      </w:pPr>
      <w:r>
        <w:rPr>
          <w:rFonts w:ascii="Times New Roman" w:eastAsia="Times New Roman" w:hAnsi="Times New Roman" w:cs="Times New Roman"/>
          <w:sz w:val="28"/>
        </w:rPr>
        <w:t>Принимая во внимание, что многие публикации</w:t>
      </w:r>
      <w:r>
        <w:rPr>
          <w:rFonts w:ascii="Times New Roman" w:eastAsia="Times New Roman" w:hAnsi="Times New Roman" w:cs="Times New Roman"/>
          <w:sz w:val="28"/>
        </w:rPr>
        <w:t>, особенно в международных изданиях являются платными для преподавателей и учёных университетов, важна мотивационная составляющая со стороны университетов либо компенсация расходов на публикацию. Основные аспекты положительного опыта программы лояльности и</w:t>
      </w:r>
      <w:r>
        <w:rPr>
          <w:rFonts w:ascii="Times New Roman" w:eastAsia="Times New Roman" w:hAnsi="Times New Roman" w:cs="Times New Roman"/>
          <w:sz w:val="28"/>
        </w:rPr>
        <w:t xml:space="preserve"> мотивации для преподавателей представлена в трудах  Е. А. Гришина А. М. Дуйсенова. Наиболее распространённым элементом мотивации и регламентации публикационной активности является то, что количество опубликованных материалов и их квартильность, учитываютс</w:t>
      </w:r>
      <w:r>
        <w:rPr>
          <w:rFonts w:ascii="Times New Roman" w:eastAsia="Times New Roman" w:hAnsi="Times New Roman" w:cs="Times New Roman"/>
          <w:sz w:val="28"/>
        </w:rPr>
        <w:t>я при формировании рейтинга преподавателей университетов [2-3]. При этом рейтинг является инструментом для начисления премий, выделение лучших преподавателей, предоставление внутренних грантов университета и так далее. Особенности рейтинга системы и формир</w:t>
      </w:r>
      <w:r>
        <w:rPr>
          <w:rFonts w:ascii="Times New Roman" w:eastAsia="Times New Roman" w:hAnsi="Times New Roman" w:cs="Times New Roman"/>
          <w:sz w:val="28"/>
        </w:rPr>
        <w:t>ования публикационной активности представлены в трудах Т. Н. Клейменовой, Т. О. Сюсиной, Н. Н. Смирновой Л. Г. Шестаковой, Р. Р. Хабибулина, А. С. Александрова, А. А. Румянцева. А. Жарнова, Д. Р. Каримова, А. И. Фазылзянова.</w:t>
      </w:r>
      <w:r>
        <w:rPr>
          <w:rFonts w:ascii="Times New Roman" w:eastAsia="Times New Roman" w:hAnsi="Times New Roman" w:cs="Times New Roman"/>
          <w:sz w:val="32"/>
        </w:rPr>
        <w:t xml:space="preserve"> </w:t>
      </w:r>
    </w:p>
    <w:p w:rsidR="0052701D" w:rsidRDefault="00D40929">
      <w:pPr>
        <w:spacing w:after="30" w:line="271" w:lineRule="auto"/>
        <w:ind w:left="9" w:right="64" w:firstLine="711"/>
        <w:jc w:val="both"/>
      </w:pPr>
      <w:r>
        <w:rPr>
          <w:rFonts w:ascii="Times New Roman" w:eastAsia="Times New Roman" w:hAnsi="Times New Roman" w:cs="Times New Roman"/>
          <w:sz w:val="28"/>
        </w:rPr>
        <w:t>В статье проведен анализ публи</w:t>
      </w:r>
      <w:r>
        <w:rPr>
          <w:rFonts w:ascii="Times New Roman" w:eastAsia="Times New Roman" w:hAnsi="Times New Roman" w:cs="Times New Roman"/>
          <w:sz w:val="28"/>
        </w:rPr>
        <w:t xml:space="preserve">кационной активности ведущих университетов г. Казань в сравнении с публикационной активностью ФГБОУ ВО «Казанский государственный энергетический университет». </w:t>
      </w:r>
    </w:p>
    <w:p w:rsidR="0052701D" w:rsidRDefault="00D40929">
      <w:pPr>
        <w:spacing w:after="48" w:line="251" w:lineRule="auto"/>
        <w:ind w:left="720" w:firstLine="9"/>
      </w:pPr>
      <w:r>
        <w:rPr>
          <w:rFonts w:ascii="Times New Roman" w:eastAsia="Times New Roman" w:hAnsi="Times New Roman" w:cs="Times New Roman"/>
          <w:b/>
          <w:sz w:val="28"/>
        </w:rPr>
        <w:t xml:space="preserve">Типология публикаций </w:t>
      </w:r>
    </w:p>
    <w:p w:rsidR="0052701D" w:rsidRDefault="00D40929">
      <w:pPr>
        <w:spacing w:after="25" w:line="271" w:lineRule="auto"/>
        <w:ind w:left="9" w:right="64" w:firstLine="711"/>
        <w:jc w:val="both"/>
      </w:pPr>
      <w:r>
        <w:rPr>
          <w:rFonts w:ascii="Times New Roman" w:eastAsia="Times New Roman" w:hAnsi="Times New Roman" w:cs="Times New Roman"/>
          <w:sz w:val="28"/>
        </w:rPr>
        <w:t>Во всем мире для объективной оценки работы исследователей, научноисследова</w:t>
      </w:r>
      <w:r>
        <w:rPr>
          <w:rFonts w:ascii="Times New Roman" w:eastAsia="Times New Roman" w:hAnsi="Times New Roman" w:cs="Times New Roman"/>
          <w:sz w:val="28"/>
        </w:rPr>
        <w:t>тельских организаций и высших учебных заведений используются наукометрические показатели – индексы результативности научной работы. Показатели результатов научной деятельности, которые сегодня могут считаться «визитной карточкой» современного исследователя</w:t>
      </w:r>
      <w:r>
        <w:rPr>
          <w:rFonts w:ascii="Times New Roman" w:eastAsia="Times New Roman" w:hAnsi="Times New Roman" w:cs="Times New Roman"/>
          <w:sz w:val="28"/>
        </w:rPr>
        <w:t xml:space="preserve">: </w:t>
      </w:r>
    </w:p>
    <w:p w:rsidR="0052701D" w:rsidRDefault="00D40929">
      <w:pPr>
        <w:spacing w:after="5" w:line="271" w:lineRule="auto"/>
        <w:ind w:left="711" w:right="64"/>
        <w:jc w:val="both"/>
      </w:pPr>
      <w:r>
        <w:rPr>
          <w:rFonts w:ascii="Segoe UI Symbol" w:eastAsia="Segoe UI Symbol" w:hAnsi="Segoe UI Symbol" w:cs="Segoe UI Symbol"/>
          <w:sz w:val="28"/>
        </w:rPr>
        <w:t></w:t>
      </w:r>
      <w:r>
        <w:rPr>
          <w:rFonts w:ascii="Times New Roman" w:eastAsia="Times New Roman" w:hAnsi="Times New Roman" w:cs="Times New Roman"/>
          <w:sz w:val="28"/>
        </w:rPr>
        <w:t xml:space="preserve">общее число публикаций </w:t>
      </w:r>
    </w:p>
    <w:p w:rsidR="0052701D" w:rsidRDefault="00D40929">
      <w:pPr>
        <w:spacing w:after="5" w:line="271" w:lineRule="auto"/>
        <w:ind w:left="711" w:right="64"/>
        <w:jc w:val="both"/>
      </w:pPr>
      <w:r>
        <w:rPr>
          <w:rFonts w:ascii="Segoe UI Symbol" w:eastAsia="Segoe UI Symbol" w:hAnsi="Segoe UI Symbol" w:cs="Segoe UI Symbol"/>
          <w:sz w:val="28"/>
        </w:rPr>
        <w:t></w:t>
      </w:r>
      <w:r>
        <w:rPr>
          <w:rFonts w:ascii="Times New Roman" w:eastAsia="Times New Roman" w:hAnsi="Times New Roman" w:cs="Times New Roman"/>
          <w:sz w:val="28"/>
        </w:rPr>
        <w:t xml:space="preserve">индекс цитируемости публикаций </w:t>
      </w:r>
    </w:p>
    <w:p w:rsidR="0052701D" w:rsidRDefault="00D40929">
      <w:pPr>
        <w:spacing w:after="5" w:line="271" w:lineRule="auto"/>
        <w:ind w:left="711" w:right="64"/>
        <w:jc w:val="both"/>
      </w:pPr>
      <w:r>
        <w:rPr>
          <w:rFonts w:ascii="Segoe UI Symbol" w:eastAsia="Segoe UI Symbol" w:hAnsi="Segoe UI Symbol" w:cs="Segoe UI Symbol"/>
          <w:sz w:val="28"/>
        </w:rPr>
        <w:t></w:t>
      </w:r>
      <w:r>
        <w:rPr>
          <w:rFonts w:ascii="Times New Roman" w:eastAsia="Times New Roman" w:hAnsi="Times New Roman" w:cs="Times New Roman"/>
          <w:sz w:val="28"/>
        </w:rPr>
        <w:t xml:space="preserve">индекс Хирша (h-индекс) </w:t>
      </w:r>
    </w:p>
    <w:p w:rsidR="0052701D" w:rsidRDefault="00D40929">
      <w:pPr>
        <w:spacing w:after="25" w:line="271" w:lineRule="auto"/>
        <w:ind w:left="9" w:right="64" w:firstLine="711"/>
        <w:jc w:val="both"/>
      </w:pPr>
      <w:r>
        <w:rPr>
          <w:rFonts w:ascii="Times New Roman" w:eastAsia="Times New Roman" w:hAnsi="Times New Roman" w:cs="Times New Roman"/>
          <w:sz w:val="28"/>
        </w:rPr>
        <w:t xml:space="preserve">В целях повышения научного уровня развития авторов и организаций система наукометрических показателей все более активно используется в России. На законодательном уровне </w:t>
      </w:r>
      <w:r>
        <w:rPr>
          <w:rFonts w:ascii="Times New Roman" w:eastAsia="Times New Roman" w:hAnsi="Times New Roman" w:cs="Times New Roman"/>
          <w:sz w:val="28"/>
        </w:rPr>
        <w:t xml:space="preserve">принят ряд указов и документов, регламентирующих нормативную базу в данной сфере. Министерством </w:t>
      </w:r>
      <w:r>
        <w:rPr>
          <w:rFonts w:ascii="Times New Roman" w:eastAsia="Times New Roman" w:hAnsi="Times New Roman" w:cs="Times New Roman"/>
          <w:sz w:val="28"/>
        </w:rPr>
        <w:lastRenderedPageBreak/>
        <w:t xml:space="preserve">образования и науки России показатели рекомендованы при определении рейтинга как индивидуального автора, так и научной организации. </w:t>
      </w:r>
    </w:p>
    <w:p w:rsidR="0052701D" w:rsidRDefault="00D40929">
      <w:pPr>
        <w:spacing w:after="5" w:line="271" w:lineRule="auto"/>
        <w:ind w:left="9" w:right="64" w:firstLine="711"/>
        <w:jc w:val="both"/>
      </w:pPr>
      <w:r>
        <w:rPr>
          <w:rFonts w:ascii="Times New Roman" w:eastAsia="Times New Roman" w:hAnsi="Times New Roman" w:cs="Times New Roman"/>
          <w:sz w:val="28"/>
        </w:rPr>
        <w:t>Ключевыми показателями резу</w:t>
      </w:r>
      <w:r>
        <w:rPr>
          <w:rFonts w:ascii="Times New Roman" w:eastAsia="Times New Roman" w:hAnsi="Times New Roman" w:cs="Times New Roman"/>
          <w:sz w:val="28"/>
        </w:rPr>
        <w:t xml:space="preserve">льтатов научной деятельности для определения рейтинга научных учреждений и рейтинга ученых являются: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Общее число публикаций - наиболее обобщенный показатель, получаемый из библиографических баз систем цитирования [4]. </w:t>
      </w:r>
    </w:p>
    <w:p w:rsidR="0052701D" w:rsidRDefault="00D40929">
      <w:pPr>
        <w:spacing w:after="5" w:line="271" w:lineRule="auto"/>
        <w:ind w:left="9" w:right="64" w:firstLine="711"/>
        <w:jc w:val="both"/>
      </w:pPr>
      <w:r>
        <w:rPr>
          <w:rFonts w:ascii="Times New Roman" w:eastAsia="Times New Roman" w:hAnsi="Times New Roman" w:cs="Times New Roman"/>
          <w:sz w:val="28"/>
        </w:rPr>
        <w:t>Индекс цитирования публикаций (индек</w:t>
      </w:r>
      <w:r>
        <w:rPr>
          <w:rFonts w:ascii="Times New Roman" w:eastAsia="Times New Roman" w:hAnsi="Times New Roman" w:cs="Times New Roman"/>
          <w:sz w:val="28"/>
        </w:rPr>
        <w:t>с цитируемости) – основной показатель, который обозначает полное количество ссылок на работы, где данный исследователь фигурирует в качестве автора или соавтора, в других источниках, распределенное по годам. Индекс цитирования – широко принятый в научном м</w:t>
      </w:r>
      <w:r>
        <w:rPr>
          <w:rFonts w:ascii="Times New Roman" w:eastAsia="Times New Roman" w:hAnsi="Times New Roman" w:cs="Times New Roman"/>
          <w:sz w:val="28"/>
        </w:rPr>
        <w:t xml:space="preserve">ире показатель «значимости» трудов конкретного ученого. </w:t>
      </w:r>
    </w:p>
    <w:p w:rsidR="0052701D" w:rsidRDefault="00D40929">
      <w:pPr>
        <w:spacing w:after="5" w:line="271" w:lineRule="auto"/>
        <w:ind w:left="9" w:right="64" w:firstLine="711"/>
        <w:jc w:val="both"/>
      </w:pPr>
      <w:r>
        <w:rPr>
          <w:rFonts w:ascii="Times New Roman" w:eastAsia="Times New Roman" w:hAnsi="Times New Roman" w:cs="Times New Roman"/>
          <w:sz w:val="28"/>
        </w:rPr>
        <w:t>Индекс Хирша (h-индекс) - информативный наукометрический параметр, предложенный в 2005 году американским физиком Хорхе Хиршем. Индекс Хирша является количественной характеристикой продуктивности учён</w:t>
      </w:r>
      <w:r>
        <w:rPr>
          <w:rFonts w:ascii="Times New Roman" w:eastAsia="Times New Roman" w:hAnsi="Times New Roman" w:cs="Times New Roman"/>
          <w:sz w:val="28"/>
        </w:rPr>
        <w:t xml:space="preserve">ого, основанной как на количестве его публикаций, так и количества ссылок на них в публикациях других специалистов (объединяет два отдельных наукометрических показателя, о которых говорилось выше) [5-6]. </w:t>
      </w:r>
    </w:p>
    <w:p w:rsidR="0052701D" w:rsidRDefault="00D40929">
      <w:pPr>
        <w:spacing w:after="25" w:line="271" w:lineRule="auto"/>
        <w:ind w:left="9" w:right="64" w:firstLine="711"/>
        <w:jc w:val="both"/>
      </w:pPr>
      <w:r>
        <w:rPr>
          <w:rFonts w:ascii="Times New Roman" w:eastAsia="Times New Roman" w:hAnsi="Times New Roman" w:cs="Times New Roman"/>
          <w:sz w:val="28"/>
        </w:rPr>
        <w:t xml:space="preserve">Основные наукометрические показатели интегрированы </w:t>
      </w:r>
      <w:r>
        <w:rPr>
          <w:rFonts w:ascii="Times New Roman" w:eastAsia="Times New Roman" w:hAnsi="Times New Roman" w:cs="Times New Roman"/>
          <w:sz w:val="28"/>
        </w:rPr>
        <w:t xml:space="preserve">и отражены в информационных ресурсах – индексах цитирования: </w:t>
      </w:r>
    </w:p>
    <w:p w:rsidR="0052701D" w:rsidRDefault="00D40929">
      <w:pPr>
        <w:spacing w:after="5" w:line="271" w:lineRule="auto"/>
        <w:ind w:left="9" w:right="64" w:firstLine="711"/>
        <w:jc w:val="both"/>
      </w:pPr>
      <w:r>
        <w:rPr>
          <w:rFonts w:ascii="Times New Roman" w:eastAsia="Times New Roman" w:hAnsi="Times New Roman" w:cs="Times New Roman"/>
          <w:b/>
          <w:sz w:val="28"/>
        </w:rPr>
        <w:t>РИНЦ</w:t>
      </w:r>
      <w:hyperlink r:id="rId731">
        <w:r>
          <w:rPr>
            <w:rFonts w:ascii="Times New Roman" w:eastAsia="Times New Roman" w:hAnsi="Times New Roman" w:cs="Times New Roman"/>
            <w:sz w:val="28"/>
          </w:rPr>
          <w:t xml:space="preserve"> </w:t>
        </w:r>
      </w:hyperlink>
      <w:hyperlink r:id="rId732">
        <w:r>
          <w:rPr>
            <w:rFonts w:ascii="Times New Roman" w:eastAsia="Times New Roman" w:hAnsi="Times New Roman" w:cs="Times New Roman"/>
            <w:color w:val="0563C1"/>
            <w:sz w:val="28"/>
            <w:u w:val="single" w:color="0563C1"/>
          </w:rPr>
          <w:t>https://elibrary.ru/</w:t>
        </w:r>
      </w:hyperlink>
      <w:hyperlink r:id="rId733">
        <w:r>
          <w:rPr>
            <w:rFonts w:ascii="Times New Roman" w:eastAsia="Times New Roman" w:hAnsi="Times New Roman" w:cs="Times New Roman"/>
            <w:sz w:val="28"/>
          </w:rPr>
          <w:t xml:space="preserve"> </w:t>
        </w:r>
      </w:hyperlink>
      <w:r>
        <w:rPr>
          <w:rFonts w:ascii="Times New Roman" w:eastAsia="Times New Roman" w:hAnsi="Times New Roman" w:cs="Times New Roman"/>
          <w:sz w:val="28"/>
        </w:rPr>
        <w:t xml:space="preserve">– библиографическая база данных. Помимо сбора и </w:t>
      </w:r>
      <w:r>
        <w:rPr>
          <w:rFonts w:ascii="Times New Roman" w:eastAsia="Times New Roman" w:hAnsi="Times New Roman" w:cs="Times New Roman"/>
          <w:sz w:val="28"/>
        </w:rPr>
        <w:t>предоставления актуальной справочно-библиографической информации происходит анализ, позволяющий оценивать результативность, эффективность конкретного ученого, организации или страны в целом. Для всех журналов создается карточка, на которой отражается цитир</w:t>
      </w:r>
      <w:r>
        <w:rPr>
          <w:rFonts w:ascii="Times New Roman" w:eastAsia="Times New Roman" w:hAnsi="Times New Roman" w:cs="Times New Roman"/>
          <w:sz w:val="28"/>
        </w:rPr>
        <w:t>уемость, индекс Хирша, количество скачиваний, собирается статистика. Основой РИНЦ изначально стала база данных электронной библиотеки, однако сейчас платформа содержит иные разнообразные публикации: патенты, учебники, рефераты и так далее. РИНЦ может отпра</w:t>
      </w:r>
      <w:r>
        <w:rPr>
          <w:rFonts w:ascii="Times New Roman" w:eastAsia="Times New Roman" w:hAnsi="Times New Roman" w:cs="Times New Roman"/>
          <w:sz w:val="28"/>
        </w:rPr>
        <w:t xml:space="preserve">влять бесплатные поисковые запросы в Scopus и Web of science, являющимися международными базами, получая в ответ информацию о цитировании публикации.  </w:t>
      </w:r>
    </w:p>
    <w:p w:rsidR="0052701D" w:rsidRDefault="00D40929">
      <w:pPr>
        <w:spacing w:after="26" w:line="271" w:lineRule="auto"/>
        <w:ind w:left="9" w:right="64" w:firstLine="711"/>
        <w:jc w:val="both"/>
      </w:pPr>
      <w:r>
        <w:rPr>
          <w:rFonts w:ascii="Times New Roman" w:eastAsia="Times New Roman" w:hAnsi="Times New Roman" w:cs="Times New Roman"/>
          <w:sz w:val="28"/>
        </w:rPr>
        <w:t xml:space="preserve">Не так давно на базе РИНЦ была разработана система SCIENCE INDEX для научных организаций. После </w:t>
      </w:r>
      <w:r>
        <w:rPr>
          <w:rFonts w:ascii="Times New Roman" w:eastAsia="Times New Roman" w:hAnsi="Times New Roman" w:cs="Times New Roman"/>
          <w:sz w:val="28"/>
        </w:rPr>
        <w:t xml:space="preserve">авторизации появляется возможность не только анализировать и просматривать имеющиеся статьи, но и добавлять работы, которых нет в поисковике [7]. </w:t>
      </w:r>
    </w:p>
    <w:p w:rsidR="0052701D" w:rsidRDefault="00D40929">
      <w:pPr>
        <w:spacing w:after="5" w:line="271" w:lineRule="auto"/>
        <w:ind w:left="9" w:right="64" w:firstLine="711"/>
        <w:jc w:val="both"/>
      </w:pPr>
      <w:r>
        <w:rPr>
          <w:rFonts w:ascii="Times New Roman" w:eastAsia="Times New Roman" w:hAnsi="Times New Roman" w:cs="Times New Roman"/>
          <w:b/>
          <w:sz w:val="28"/>
        </w:rPr>
        <w:t>ВАК</w:t>
      </w:r>
      <w:r>
        <w:rPr>
          <w:rFonts w:ascii="Times New Roman" w:eastAsia="Times New Roman" w:hAnsi="Times New Roman" w:cs="Times New Roman"/>
          <w:sz w:val="28"/>
        </w:rPr>
        <w:t xml:space="preserve"> – государственный орган, назначение которого – присуждение ученых степеней, проведение государственной ат</w:t>
      </w:r>
      <w:r>
        <w:rPr>
          <w:rFonts w:ascii="Times New Roman" w:eastAsia="Times New Roman" w:hAnsi="Times New Roman" w:cs="Times New Roman"/>
          <w:sz w:val="28"/>
        </w:rPr>
        <w:t xml:space="preserve">тестации научных работников. Также ВАК производит анализ научных трудов, обладает собственным утвержденным перечнем изданий </w:t>
      </w:r>
    </w:p>
    <w:p w:rsidR="0052701D" w:rsidRDefault="00D40929">
      <w:pPr>
        <w:spacing w:after="52" w:line="249" w:lineRule="auto"/>
        <w:ind w:left="-5" w:hanging="10"/>
      </w:pPr>
      <w:hyperlink r:id="rId734">
        <w:r>
          <w:rPr>
            <w:rFonts w:ascii="Times New Roman" w:eastAsia="Times New Roman" w:hAnsi="Times New Roman" w:cs="Times New Roman"/>
            <w:sz w:val="28"/>
          </w:rPr>
          <w:t>(</w:t>
        </w:r>
      </w:hyperlink>
      <w:hyperlink r:id="rId735">
        <w:r>
          <w:rPr>
            <w:rFonts w:ascii="Times New Roman" w:eastAsia="Times New Roman" w:hAnsi="Times New Roman" w:cs="Times New Roman"/>
            <w:color w:val="0563C1"/>
            <w:sz w:val="28"/>
            <w:u w:val="single" w:color="0563C1"/>
          </w:rPr>
          <w:t>https://vak.minobrnauki.gov.ru/uploader/loader?type=19&amp;name=91107547002&amp;f=1</w:t>
        </w:r>
      </w:hyperlink>
    </w:p>
    <w:p w:rsidR="0052701D" w:rsidRDefault="00D40929">
      <w:pPr>
        <w:spacing w:after="5" w:line="271" w:lineRule="auto"/>
        <w:ind w:left="9" w:right="64"/>
        <w:jc w:val="both"/>
      </w:pPr>
      <w:hyperlink r:id="rId736">
        <w:r>
          <w:rPr>
            <w:rFonts w:ascii="Times New Roman" w:eastAsia="Times New Roman" w:hAnsi="Times New Roman" w:cs="Times New Roman"/>
            <w:color w:val="0563C1"/>
            <w:sz w:val="28"/>
            <w:u w:val="single" w:color="0563C1"/>
          </w:rPr>
          <w:t>1305</w:t>
        </w:r>
      </w:hyperlink>
      <w:hyperlink r:id="rId737">
        <w:r>
          <w:rPr>
            <w:rFonts w:ascii="Times New Roman" w:eastAsia="Times New Roman" w:hAnsi="Times New Roman" w:cs="Times New Roman"/>
            <w:sz w:val="28"/>
          </w:rPr>
          <w:t>)</w:t>
        </w:r>
      </w:hyperlink>
      <w:r>
        <w:rPr>
          <w:rFonts w:ascii="Times New Roman" w:eastAsia="Times New Roman" w:hAnsi="Times New Roman" w:cs="Times New Roman"/>
          <w:sz w:val="28"/>
        </w:rPr>
        <w:t>, рекомендованных для публикаций. Осуществляет контроль, проверки с предъявлением жестких требований к редакционной коллегии, авторам и рецензиям, всех рецензируемых</w:t>
      </w:r>
      <w:r>
        <w:rPr>
          <w:rFonts w:ascii="Times New Roman" w:eastAsia="Times New Roman" w:hAnsi="Times New Roman" w:cs="Times New Roman"/>
          <w:sz w:val="28"/>
        </w:rPr>
        <w:t xml:space="preserve"> журналов. </w:t>
      </w:r>
    </w:p>
    <w:p w:rsidR="0052701D" w:rsidRDefault="00D40929">
      <w:pPr>
        <w:spacing w:after="25" w:line="271" w:lineRule="auto"/>
        <w:ind w:left="9" w:right="64" w:firstLine="711"/>
        <w:jc w:val="both"/>
      </w:pPr>
      <w:r>
        <w:rPr>
          <w:rFonts w:ascii="Times New Roman" w:eastAsia="Times New Roman" w:hAnsi="Times New Roman" w:cs="Times New Roman"/>
          <w:b/>
          <w:sz w:val="28"/>
        </w:rPr>
        <w:t>SCOPUS</w:t>
      </w:r>
      <w:hyperlink r:id="rId738">
        <w:r>
          <w:rPr>
            <w:rFonts w:ascii="Times New Roman" w:eastAsia="Times New Roman" w:hAnsi="Times New Roman" w:cs="Times New Roman"/>
            <w:b/>
            <w:sz w:val="28"/>
          </w:rPr>
          <w:t xml:space="preserve"> </w:t>
        </w:r>
      </w:hyperlink>
      <w:hyperlink r:id="rId739">
        <w:r>
          <w:rPr>
            <w:rFonts w:ascii="Times New Roman" w:eastAsia="Times New Roman" w:hAnsi="Times New Roman" w:cs="Times New Roman"/>
            <w:color w:val="0563C1"/>
            <w:sz w:val="28"/>
            <w:u w:val="single" w:color="0563C1"/>
          </w:rPr>
          <w:t>https</w:t>
        </w:r>
      </w:hyperlink>
      <w:hyperlink r:id="rId740">
        <w:r>
          <w:rPr>
            <w:rFonts w:ascii="Times New Roman" w:eastAsia="Times New Roman" w:hAnsi="Times New Roman" w:cs="Times New Roman"/>
            <w:color w:val="0563C1"/>
            <w:sz w:val="28"/>
            <w:u w:val="single" w:color="0563C1"/>
          </w:rPr>
          <w:t>://</w:t>
        </w:r>
      </w:hyperlink>
      <w:hyperlink r:id="rId741">
        <w:r>
          <w:rPr>
            <w:rFonts w:ascii="Times New Roman" w:eastAsia="Times New Roman" w:hAnsi="Times New Roman" w:cs="Times New Roman"/>
            <w:color w:val="0563C1"/>
            <w:sz w:val="28"/>
            <w:u w:val="single" w:color="0563C1"/>
          </w:rPr>
          <w:t>www</w:t>
        </w:r>
      </w:hyperlink>
      <w:hyperlink r:id="rId742">
        <w:r>
          <w:rPr>
            <w:rFonts w:ascii="Times New Roman" w:eastAsia="Times New Roman" w:hAnsi="Times New Roman" w:cs="Times New Roman"/>
            <w:color w:val="0563C1"/>
            <w:sz w:val="28"/>
            <w:u w:val="single" w:color="0563C1"/>
          </w:rPr>
          <w:t>.</w:t>
        </w:r>
      </w:hyperlink>
      <w:hyperlink r:id="rId743">
        <w:r>
          <w:rPr>
            <w:rFonts w:ascii="Times New Roman" w:eastAsia="Times New Roman" w:hAnsi="Times New Roman" w:cs="Times New Roman"/>
            <w:color w:val="0563C1"/>
            <w:sz w:val="28"/>
            <w:u w:val="single" w:color="0563C1"/>
          </w:rPr>
          <w:t>scopus</w:t>
        </w:r>
      </w:hyperlink>
      <w:hyperlink r:id="rId744">
        <w:r>
          <w:rPr>
            <w:rFonts w:ascii="Times New Roman" w:eastAsia="Times New Roman" w:hAnsi="Times New Roman" w:cs="Times New Roman"/>
            <w:color w:val="0563C1"/>
            <w:sz w:val="28"/>
            <w:u w:val="single" w:color="0563C1"/>
          </w:rPr>
          <w:t>.</w:t>
        </w:r>
      </w:hyperlink>
      <w:hyperlink r:id="rId745">
        <w:r>
          <w:rPr>
            <w:rFonts w:ascii="Times New Roman" w:eastAsia="Times New Roman" w:hAnsi="Times New Roman" w:cs="Times New Roman"/>
            <w:color w:val="0563C1"/>
            <w:sz w:val="28"/>
            <w:u w:val="single" w:color="0563C1"/>
          </w:rPr>
          <w:t>com</w:t>
        </w:r>
      </w:hyperlink>
      <w:hyperlink r:id="rId746">
        <w:r>
          <w:rPr>
            <w:rFonts w:ascii="Times New Roman" w:eastAsia="Times New Roman" w:hAnsi="Times New Roman" w:cs="Times New Roman"/>
            <w:color w:val="0563C1"/>
            <w:sz w:val="28"/>
            <w:u w:val="single" w:color="0563C1"/>
          </w:rPr>
          <w:t>/</w:t>
        </w:r>
      </w:hyperlink>
      <w:hyperlink r:id="rId747">
        <w:r>
          <w:rPr>
            <w:rFonts w:ascii="Times New Roman" w:eastAsia="Times New Roman" w:hAnsi="Times New Roman" w:cs="Times New Roman"/>
            <w:sz w:val="28"/>
          </w:rPr>
          <w:t xml:space="preserve"> </w:t>
        </w:r>
      </w:hyperlink>
      <w:r>
        <w:rPr>
          <w:rFonts w:ascii="Times New Roman" w:eastAsia="Times New Roman" w:hAnsi="Times New Roman" w:cs="Times New Roman"/>
          <w:sz w:val="28"/>
        </w:rPr>
        <w:t>– международная библиографическая и реф</w:t>
      </w:r>
      <w:r>
        <w:rPr>
          <w:rFonts w:ascii="Times New Roman" w:eastAsia="Times New Roman" w:hAnsi="Times New Roman" w:cs="Times New Roman"/>
          <w:sz w:val="28"/>
        </w:rPr>
        <w:t xml:space="preserve">еративная база данных и инструмент для отслеживания цитируемости статей, опубликованных в научных изданиях. База данных индексирует научные журналы, материалы конференций. </w:t>
      </w:r>
    </w:p>
    <w:p w:rsidR="0052701D" w:rsidRDefault="00D40929">
      <w:pPr>
        <w:spacing w:after="50" w:line="271" w:lineRule="auto"/>
        <w:ind w:left="9" w:right="64" w:firstLine="711"/>
        <w:jc w:val="both"/>
      </w:pPr>
      <w:r>
        <w:rPr>
          <w:rFonts w:ascii="Times New Roman" w:eastAsia="Times New Roman" w:hAnsi="Times New Roman" w:cs="Times New Roman"/>
          <w:b/>
          <w:sz w:val="28"/>
        </w:rPr>
        <w:t>Web of Science (WoS)</w:t>
      </w:r>
      <w:hyperlink r:id="rId748">
        <w:r>
          <w:rPr>
            <w:rFonts w:ascii="Times New Roman" w:eastAsia="Times New Roman" w:hAnsi="Times New Roman" w:cs="Times New Roman"/>
            <w:sz w:val="28"/>
          </w:rPr>
          <w:t xml:space="preserve"> </w:t>
        </w:r>
      </w:hyperlink>
      <w:hyperlink r:id="rId749">
        <w:r>
          <w:rPr>
            <w:rFonts w:ascii="Times New Roman" w:eastAsia="Times New Roman" w:hAnsi="Times New Roman" w:cs="Times New Roman"/>
            <w:color w:val="0563C1"/>
            <w:sz w:val="28"/>
            <w:u w:val="single" w:color="0563C1"/>
          </w:rPr>
          <w:t>https://access.clarivate.com/</w:t>
        </w:r>
      </w:hyperlink>
      <w:hyperlink r:id="rId750">
        <w:r>
          <w:rPr>
            <w:rFonts w:ascii="Times New Roman" w:eastAsia="Times New Roman" w:hAnsi="Times New Roman" w:cs="Times New Roman"/>
            <w:sz w:val="28"/>
          </w:rPr>
          <w:t xml:space="preserve"> </w:t>
        </w:r>
      </w:hyperlink>
      <w:r>
        <w:rPr>
          <w:rFonts w:ascii="Times New Roman" w:eastAsia="Times New Roman" w:hAnsi="Times New Roman" w:cs="Times New Roman"/>
          <w:sz w:val="28"/>
        </w:rPr>
        <w:t>– Поисковая платформа, объединяющая базы данных публикаций в научных журналах и патентах. Платформа обладает встроенными возможностями поиска</w:t>
      </w:r>
      <w:r>
        <w:rPr>
          <w:rFonts w:ascii="Times New Roman" w:eastAsia="Times New Roman" w:hAnsi="Times New Roman" w:cs="Times New Roman"/>
          <w:sz w:val="28"/>
        </w:rPr>
        <w:t xml:space="preserve">, анализа и управления библиографической информацией. </w:t>
      </w:r>
      <w:r>
        <w:rPr>
          <w:rFonts w:ascii="Times New Roman" w:eastAsia="Times New Roman" w:hAnsi="Times New Roman" w:cs="Times New Roman"/>
          <w:i/>
          <w:sz w:val="28"/>
        </w:rPr>
        <w:t>В настоящее время система закрыта для России. Но публикации в этой МБ можно рассматривать ч</w:t>
      </w:r>
      <w:r>
        <w:rPr>
          <w:rFonts w:ascii="Times New Roman" w:eastAsia="Times New Roman" w:hAnsi="Times New Roman" w:cs="Times New Roman"/>
          <w:sz w:val="28"/>
        </w:rPr>
        <w:t xml:space="preserve">ерез </w:t>
      </w:r>
      <w:hyperlink r:id="rId751">
        <w:r>
          <w:rPr>
            <w:rFonts w:ascii="Times New Roman" w:eastAsia="Times New Roman" w:hAnsi="Times New Roman" w:cs="Times New Roman"/>
            <w:color w:val="0563C1"/>
            <w:sz w:val="28"/>
            <w:u w:val="single" w:color="0563C1"/>
          </w:rPr>
          <w:t>https://www.webofscience.com/wos/</w:t>
        </w:r>
      </w:hyperlink>
      <w:hyperlink r:id="rId752">
        <w:r>
          <w:rPr>
            <w:rFonts w:ascii="Times New Roman" w:eastAsia="Times New Roman" w:hAnsi="Times New Roman" w:cs="Times New Roman"/>
            <w:sz w:val="28"/>
          </w:rPr>
          <w:t xml:space="preserve"> </w:t>
        </w:r>
      </w:hyperlink>
      <w:r>
        <w:rPr>
          <w:rFonts w:ascii="Times New Roman" w:eastAsia="Times New Roman" w:hAnsi="Times New Roman" w:cs="Times New Roman"/>
          <w:sz w:val="28"/>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Публикационная активность как показатель наукометрия, также типология статей представлена в трудах таких авторов как В. В. Спасенников, В. М. </w:t>
      </w:r>
    </w:p>
    <w:p w:rsidR="0052701D" w:rsidRDefault="00D40929">
      <w:pPr>
        <w:spacing w:after="29" w:line="271" w:lineRule="auto"/>
        <w:ind w:left="9" w:right="64"/>
        <w:jc w:val="both"/>
      </w:pPr>
      <w:r>
        <w:rPr>
          <w:rFonts w:ascii="Times New Roman" w:eastAsia="Times New Roman" w:hAnsi="Times New Roman" w:cs="Times New Roman"/>
          <w:sz w:val="28"/>
        </w:rPr>
        <w:t>Сканцев, Н. В. Молчанова. С. Попов, В. А. Якименко  Прахов, И. А. Потехина, Ю</w:t>
      </w:r>
      <w:r>
        <w:rPr>
          <w:rFonts w:ascii="Times New Roman" w:eastAsia="Times New Roman" w:hAnsi="Times New Roman" w:cs="Times New Roman"/>
          <w:sz w:val="28"/>
        </w:rPr>
        <w:t xml:space="preserve">. В.  [8].  </w:t>
      </w:r>
    </w:p>
    <w:p w:rsidR="0052701D" w:rsidRDefault="00D40929">
      <w:pPr>
        <w:spacing w:after="35" w:line="271" w:lineRule="auto"/>
        <w:ind w:left="9" w:right="64" w:firstLine="711"/>
        <w:jc w:val="both"/>
      </w:pPr>
      <w:r>
        <w:rPr>
          <w:rFonts w:ascii="Times New Roman" w:eastAsia="Times New Roman" w:hAnsi="Times New Roman" w:cs="Times New Roman"/>
          <w:sz w:val="28"/>
        </w:rPr>
        <w:t>Величина индекса публикационной активности является важным показателем востребованности результатов научной деятельности ученого. В настоящее время научное сообщество сложно представить без полноценного обмена результатами научных исследований</w:t>
      </w:r>
      <w:r>
        <w:rPr>
          <w:rFonts w:ascii="Times New Roman" w:eastAsia="Times New Roman" w:hAnsi="Times New Roman" w:cs="Times New Roman"/>
          <w:sz w:val="28"/>
        </w:rPr>
        <w:t xml:space="preserve">, дискуссий, обсуждения актуальных проблем развития современной науки [9-10]. </w:t>
      </w:r>
    </w:p>
    <w:p w:rsidR="0052701D" w:rsidRDefault="00D40929">
      <w:pPr>
        <w:spacing w:after="48" w:line="251" w:lineRule="auto"/>
        <w:ind w:left="720" w:firstLine="9"/>
      </w:pPr>
      <w:r>
        <w:rPr>
          <w:rFonts w:ascii="Times New Roman" w:eastAsia="Times New Roman" w:hAnsi="Times New Roman" w:cs="Times New Roman"/>
          <w:b/>
          <w:sz w:val="28"/>
        </w:rPr>
        <w:t xml:space="preserve">Отчетность по публикационной активности университета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Высшее образование в России было и будет наиболее массовым социальным институтом для будущих поколений. Именно с этим </w:t>
      </w:r>
      <w:r>
        <w:rPr>
          <w:rFonts w:ascii="Times New Roman" w:eastAsia="Times New Roman" w:hAnsi="Times New Roman" w:cs="Times New Roman"/>
          <w:sz w:val="28"/>
        </w:rPr>
        <w:t>связанны вопросы прозрачности, достаточности и непротиворечивости, предоставляемой обществу информации об образовательном учреждении. Для оценки наукометрических показателей университета несколько раз в год заполняются отчеты. Важную роль в оценке работы у</w:t>
      </w:r>
      <w:r>
        <w:rPr>
          <w:rFonts w:ascii="Times New Roman" w:eastAsia="Times New Roman" w:hAnsi="Times New Roman" w:cs="Times New Roman"/>
          <w:sz w:val="28"/>
        </w:rPr>
        <w:t xml:space="preserve">ниверситета занимает публикационная активность его сотрудников. </w:t>
      </w:r>
    </w:p>
    <w:p w:rsidR="0052701D" w:rsidRDefault="00D40929">
      <w:pPr>
        <w:spacing w:after="26" w:line="271" w:lineRule="auto"/>
        <w:ind w:left="9" w:right="64" w:firstLine="711"/>
        <w:jc w:val="both"/>
      </w:pPr>
      <w:r>
        <w:rPr>
          <w:rFonts w:ascii="Times New Roman" w:eastAsia="Times New Roman" w:hAnsi="Times New Roman" w:cs="Times New Roman"/>
          <w:sz w:val="28"/>
        </w:rPr>
        <w:t xml:space="preserve">В таблице 1 представлены отчеты и учитываемый в каждом из них тип публикации. </w:t>
      </w:r>
    </w:p>
    <w:p w:rsidR="0052701D" w:rsidRDefault="00D40929">
      <w:pPr>
        <w:spacing w:after="0"/>
        <w:ind w:left="711"/>
      </w:pPr>
      <w:r>
        <w:rPr>
          <w:rFonts w:ascii="Times New Roman" w:eastAsia="Times New Roman" w:hAnsi="Times New Roman" w:cs="Times New Roman"/>
          <w:sz w:val="28"/>
        </w:rPr>
        <w:t xml:space="preserve"> </w:t>
      </w:r>
    </w:p>
    <w:p w:rsidR="0052701D" w:rsidRDefault="00D40929">
      <w:pPr>
        <w:spacing w:after="14" w:line="248" w:lineRule="auto"/>
        <w:ind w:left="5" w:hanging="5"/>
        <w:jc w:val="center"/>
      </w:pPr>
      <w:r>
        <w:rPr>
          <w:rFonts w:ascii="Times New Roman" w:eastAsia="Times New Roman" w:hAnsi="Times New Roman" w:cs="Times New Roman"/>
          <w:sz w:val="24"/>
        </w:rPr>
        <w:t xml:space="preserve">Таблица 1. Ежегодные отчеты заполняемые университетом с учитываемым типом публикации </w:t>
      </w:r>
    </w:p>
    <w:tbl>
      <w:tblPr>
        <w:tblStyle w:val="TableGrid"/>
        <w:tblW w:w="9388" w:type="dxa"/>
        <w:tblInd w:w="115" w:type="dxa"/>
        <w:tblCellMar>
          <w:top w:w="107" w:type="dxa"/>
          <w:left w:w="82" w:type="dxa"/>
          <w:bottom w:w="0" w:type="dxa"/>
          <w:right w:w="17" w:type="dxa"/>
        </w:tblCellMar>
        <w:tblLook w:val="04A0" w:firstRow="1" w:lastRow="0" w:firstColumn="1" w:lastColumn="0" w:noHBand="0" w:noVBand="1"/>
      </w:tblPr>
      <w:tblGrid>
        <w:gridCol w:w="6833"/>
        <w:gridCol w:w="2555"/>
      </w:tblGrid>
      <w:tr w:rsidR="0052701D">
        <w:trPr>
          <w:trHeight w:val="446"/>
        </w:trPr>
        <w:tc>
          <w:tcPr>
            <w:tcW w:w="6833"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711"/>
            </w:pPr>
            <w:r>
              <w:rPr>
                <w:rFonts w:ascii="Times New Roman" w:eastAsia="Times New Roman" w:hAnsi="Times New Roman" w:cs="Times New Roman"/>
                <w:sz w:val="24"/>
              </w:rPr>
              <w:t xml:space="preserve">Наименование отчета </w:t>
            </w:r>
          </w:p>
        </w:tc>
        <w:tc>
          <w:tcPr>
            <w:tcW w:w="2555"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Тип</w:t>
            </w:r>
            <w:r>
              <w:rPr>
                <w:rFonts w:ascii="Times New Roman" w:eastAsia="Times New Roman" w:hAnsi="Times New Roman" w:cs="Times New Roman"/>
                <w:sz w:val="24"/>
              </w:rPr>
              <w:t xml:space="preserve"> публикации </w:t>
            </w:r>
          </w:p>
        </w:tc>
      </w:tr>
      <w:tr w:rsidR="0052701D">
        <w:trPr>
          <w:trHeight w:val="826"/>
        </w:trPr>
        <w:tc>
          <w:tcPr>
            <w:tcW w:w="6833"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jc w:val="both"/>
            </w:pPr>
            <w:r>
              <w:rPr>
                <w:rFonts w:ascii="Times New Roman" w:eastAsia="Times New Roman" w:hAnsi="Times New Roman" w:cs="Times New Roman"/>
                <w:sz w:val="24"/>
              </w:rPr>
              <w:t>Мониторинг эффективности деятельности образовательных организаций высшего образования</w:t>
            </w:r>
            <w:hyperlink r:id="rId753">
              <w:r>
                <w:rPr>
                  <w:rFonts w:ascii="Times New Roman" w:eastAsia="Times New Roman" w:hAnsi="Times New Roman" w:cs="Times New Roman"/>
                  <w:sz w:val="24"/>
                </w:rPr>
                <w:t xml:space="preserve"> </w:t>
              </w:r>
            </w:hyperlink>
            <w:hyperlink r:id="rId754">
              <w:r>
                <w:rPr>
                  <w:rFonts w:ascii="Times New Roman" w:eastAsia="Times New Roman" w:hAnsi="Times New Roman" w:cs="Times New Roman"/>
                  <w:color w:val="0563C1"/>
                  <w:sz w:val="24"/>
                  <w:u w:val="single" w:color="0563C1"/>
                </w:rPr>
                <w:t>https://monitoring.miccedu.ru</w:t>
              </w:r>
            </w:hyperlink>
            <w:hyperlink r:id="rId755">
              <w:r>
                <w:rPr>
                  <w:rFonts w:ascii="Times New Roman" w:eastAsia="Times New Roman" w:hAnsi="Times New Roman" w:cs="Times New Roman"/>
                  <w:sz w:val="24"/>
                </w:rPr>
                <w:t xml:space="preserve"> </w:t>
              </w:r>
            </w:hyperlink>
            <w:r>
              <w:rPr>
                <w:rFonts w:ascii="Times New Roman" w:eastAsia="Times New Roman" w:hAnsi="Times New Roman" w:cs="Times New Roman"/>
                <w:sz w:val="24"/>
              </w:rPr>
              <w:t xml:space="preserve"> </w:t>
            </w:r>
          </w:p>
        </w:tc>
        <w:tc>
          <w:tcPr>
            <w:tcW w:w="2555"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pPr>
            <w:r>
              <w:rPr>
                <w:rFonts w:ascii="Times New Roman" w:eastAsia="Times New Roman" w:hAnsi="Times New Roman" w:cs="Times New Roman"/>
                <w:sz w:val="24"/>
              </w:rPr>
              <w:t xml:space="preserve">РИНЦ </w:t>
            </w:r>
          </w:p>
        </w:tc>
      </w:tr>
      <w:tr w:rsidR="0052701D">
        <w:trPr>
          <w:trHeight w:val="998"/>
        </w:trPr>
        <w:tc>
          <w:tcPr>
            <w:tcW w:w="6833"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8"/>
              <w:jc w:val="both"/>
            </w:pPr>
            <w:r>
              <w:rPr>
                <w:rFonts w:ascii="Times New Roman" w:eastAsia="Times New Roman" w:hAnsi="Times New Roman" w:cs="Times New Roman"/>
                <w:sz w:val="24"/>
              </w:rPr>
              <w:lastRenderedPageBreak/>
              <w:t xml:space="preserve">Отчет о научной деятельности образовательных организаций высшего образования Министерства науки и высшего образования Российской Федерации </w:t>
            </w:r>
          </w:p>
        </w:tc>
        <w:tc>
          <w:tcPr>
            <w:tcW w:w="2555"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pPr>
            <w:r>
              <w:rPr>
                <w:rFonts w:ascii="Times New Roman" w:eastAsia="Times New Roman" w:hAnsi="Times New Roman" w:cs="Times New Roman"/>
                <w:sz w:val="24"/>
              </w:rPr>
              <w:t xml:space="preserve">РИНЦ, SCOPUS, WoS </w:t>
            </w:r>
          </w:p>
        </w:tc>
      </w:tr>
      <w:tr w:rsidR="0052701D">
        <w:trPr>
          <w:trHeight w:val="999"/>
        </w:trPr>
        <w:tc>
          <w:tcPr>
            <w:tcW w:w="6833"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6"/>
              <w:jc w:val="both"/>
            </w:pPr>
            <w:r>
              <w:rPr>
                <w:rFonts w:ascii="Times New Roman" w:eastAsia="Times New Roman" w:hAnsi="Times New Roman" w:cs="Times New Roman"/>
                <w:sz w:val="24"/>
              </w:rPr>
              <w:t xml:space="preserve">База данных, содержащая сведения об </w:t>
            </w:r>
            <w:r>
              <w:rPr>
                <w:rFonts w:ascii="Times New Roman" w:eastAsia="Times New Roman" w:hAnsi="Times New Roman" w:cs="Times New Roman"/>
                <w:sz w:val="24"/>
              </w:rPr>
              <w:t xml:space="preserve">оценке и о мониторинге результативности деятельности научных организаций </w:t>
            </w:r>
            <w:hyperlink r:id="rId756">
              <w:r>
                <w:rPr>
                  <w:rFonts w:ascii="Times New Roman" w:eastAsia="Times New Roman" w:hAnsi="Times New Roman" w:cs="Times New Roman"/>
                  <w:sz w:val="24"/>
                </w:rPr>
                <w:t>https</w:t>
              </w:r>
            </w:hyperlink>
            <w:hyperlink r:id="rId757">
              <w:r>
                <w:rPr>
                  <w:rFonts w:ascii="Times New Roman" w:eastAsia="Times New Roman" w:hAnsi="Times New Roman" w:cs="Times New Roman"/>
                  <w:sz w:val="24"/>
                </w:rPr>
                <w:t>://</w:t>
              </w:r>
            </w:hyperlink>
            <w:hyperlink r:id="rId758">
              <w:r>
                <w:rPr>
                  <w:rFonts w:ascii="Times New Roman" w:eastAsia="Times New Roman" w:hAnsi="Times New Roman" w:cs="Times New Roman"/>
                  <w:sz w:val="24"/>
                </w:rPr>
                <w:t>www</w:t>
              </w:r>
            </w:hyperlink>
            <w:hyperlink r:id="rId759">
              <w:r>
                <w:rPr>
                  <w:rFonts w:ascii="Times New Roman" w:eastAsia="Times New Roman" w:hAnsi="Times New Roman" w:cs="Times New Roman"/>
                  <w:sz w:val="24"/>
                </w:rPr>
                <w:t>.</w:t>
              </w:r>
            </w:hyperlink>
            <w:hyperlink r:id="rId760">
              <w:r>
                <w:rPr>
                  <w:rFonts w:ascii="Times New Roman" w:eastAsia="Times New Roman" w:hAnsi="Times New Roman" w:cs="Times New Roman"/>
                  <w:sz w:val="24"/>
                </w:rPr>
                <w:t>sciencemon</w:t>
              </w:r>
            </w:hyperlink>
            <w:hyperlink r:id="rId761">
              <w:r>
                <w:rPr>
                  <w:rFonts w:ascii="Times New Roman" w:eastAsia="Times New Roman" w:hAnsi="Times New Roman" w:cs="Times New Roman"/>
                  <w:sz w:val="24"/>
                </w:rPr>
                <w:t>.</w:t>
              </w:r>
            </w:hyperlink>
            <w:hyperlink r:id="rId762">
              <w:r>
                <w:rPr>
                  <w:rFonts w:ascii="Times New Roman" w:eastAsia="Times New Roman" w:hAnsi="Times New Roman" w:cs="Times New Roman"/>
                  <w:sz w:val="24"/>
                </w:rPr>
                <w:t>ru</w:t>
              </w:r>
            </w:hyperlink>
            <w:hyperlink r:id="rId763">
              <w:r>
                <w:rPr>
                  <w:rFonts w:ascii="Times New Roman" w:eastAsia="Times New Roman" w:hAnsi="Times New Roman" w:cs="Times New Roman"/>
                  <w:sz w:val="24"/>
                </w:rPr>
                <w:t>/</w:t>
              </w:r>
            </w:hyperlink>
            <w:hyperlink r:id="rId764">
              <w:r>
                <w:rPr>
                  <w:rFonts w:ascii="Times New Roman" w:eastAsia="Times New Roman" w:hAnsi="Times New Roman" w:cs="Times New Roman"/>
                  <w:sz w:val="24"/>
                </w:rPr>
                <w:t xml:space="preserve"> </w:t>
              </w:r>
            </w:hyperlink>
          </w:p>
        </w:tc>
        <w:tc>
          <w:tcPr>
            <w:tcW w:w="2555"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pPr>
            <w:r>
              <w:rPr>
                <w:rFonts w:ascii="Times New Roman" w:eastAsia="Times New Roman" w:hAnsi="Times New Roman" w:cs="Times New Roman"/>
                <w:sz w:val="24"/>
              </w:rPr>
              <w:t xml:space="preserve">РИНЦ, SCOPUS, WoS </w:t>
            </w:r>
          </w:p>
        </w:tc>
      </w:tr>
      <w:tr w:rsidR="0052701D">
        <w:trPr>
          <w:trHeight w:val="446"/>
        </w:trPr>
        <w:tc>
          <w:tcPr>
            <w:tcW w:w="6833"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Отчеты по государственным заданиям </w:t>
            </w:r>
          </w:p>
        </w:tc>
        <w:tc>
          <w:tcPr>
            <w:tcW w:w="2555" w:type="dxa"/>
            <w:tcBorders>
              <w:top w:val="single" w:sz="4" w:space="0" w:color="000000"/>
              <w:left w:val="single" w:sz="4" w:space="0" w:color="000000"/>
              <w:bottom w:val="single" w:sz="4" w:space="0" w:color="000000"/>
              <w:right w:val="single" w:sz="4" w:space="0" w:color="000000"/>
            </w:tcBorders>
          </w:tcPr>
          <w:p w:rsidR="0052701D" w:rsidRDefault="00D40929">
            <w:pPr>
              <w:spacing w:after="0"/>
              <w:jc w:val="both"/>
            </w:pPr>
            <w:r>
              <w:rPr>
                <w:rFonts w:ascii="Times New Roman" w:eastAsia="Times New Roman" w:hAnsi="Times New Roman" w:cs="Times New Roman"/>
                <w:sz w:val="24"/>
              </w:rPr>
              <w:t xml:space="preserve">Ядро РИНЦ (SCOPUS) </w:t>
            </w:r>
          </w:p>
        </w:tc>
      </w:tr>
      <w:tr w:rsidR="0052701D">
        <w:trPr>
          <w:trHeight w:val="1273"/>
        </w:trPr>
        <w:tc>
          <w:tcPr>
            <w:tcW w:w="6833"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5"/>
              <w:jc w:val="both"/>
            </w:pPr>
            <w:r>
              <w:rPr>
                <w:rFonts w:ascii="Times New Roman" w:eastAsia="Times New Roman" w:hAnsi="Times New Roman" w:cs="Times New Roman"/>
                <w:sz w:val="24"/>
              </w:rPr>
              <w:t xml:space="preserve">Отчет по грантам РНФ по приоритетному направлению деятельности РНФ «Проведение фундаментальных научных исследований и поисковых научных исследований отдельными научными </w:t>
            </w:r>
            <w:r>
              <w:rPr>
                <w:rFonts w:ascii="Times New Roman" w:eastAsia="Times New Roman" w:hAnsi="Times New Roman" w:cs="Times New Roman"/>
                <w:sz w:val="24"/>
              </w:rPr>
              <w:t xml:space="preserve">группами» </w:t>
            </w:r>
          </w:p>
        </w:tc>
        <w:tc>
          <w:tcPr>
            <w:tcW w:w="2555"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pPr>
            <w:r>
              <w:rPr>
                <w:rFonts w:ascii="Times New Roman" w:eastAsia="Times New Roman" w:hAnsi="Times New Roman" w:cs="Times New Roman"/>
                <w:sz w:val="24"/>
              </w:rPr>
              <w:t xml:space="preserve">РИНЦ, SCOPUS, WoS </w:t>
            </w:r>
          </w:p>
        </w:tc>
      </w:tr>
      <w:tr w:rsidR="0052701D">
        <w:trPr>
          <w:trHeight w:val="725"/>
        </w:trPr>
        <w:tc>
          <w:tcPr>
            <w:tcW w:w="6833"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pPr>
            <w:r>
              <w:rPr>
                <w:rFonts w:ascii="Times New Roman" w:eastAsia="Times New Roman" w:hAnsi="Times New Roman" w:cs="Times New Roman"/>
                <w:sz w:val="24"/>
              </w:rPr>
              <w:t xml:space="preserve">Мониторинг эффективности (внутривузовский КГЭУ) </w:t>
            </w:r>
          </w:p>
        </w:tc>
        <w:tc>
          <w:tcPr>
            <w:tcW w:w="2555"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 xml:space="preserve">РИНЦ, ВАК, SCOPUS, WoS </w:t>
            </w:r>
          </w:p>
        </w:tc>
      </w:tr>
    </w:tbl>
    <w:p w:rsidR="0052701D" w:rsidRDefault="00D40929">
      <w:pPr>
        <w:spacing w:after="0"/>
        <w:ind w:left="711"/>
      </w:pPr>
      <w:r>
        <w:rPr>
          <w:rFonts w:ascii="Times New Roman" w:eastAsia="Times New Roman" w:hAnsi="Times New Roman" w:cs="Times New Roman"/>
          <w:sz w:val="28"/>
        </w:rPr>
        <w:t xml:space="preserve"> </w:t>
      </w:r>
    </w:p>
    <w:p w:rsidR="0052701D" w:rsidRDefault="00D40929">
      <w:pPr>
        <w:spacing w:after="35" w:line="271" w:lineRule="auto"/>
        <w:ind w:left="9" w:right="64" w:firstLine="711"/>
        <w:jc w:val="both"/>
      </w:pPr>
      <w:r>
        <w:rPr>
          <w:rFonts w:ascii="Times New Roman" w:eastAsia="Times New Roman" w:hAnsi="Times New Roman" w:cs="Times New Roman"/>
          <w:sz w:val="28"/>
        </w:rPr>
        <w:t xml:space="preserve">Невзирая на Постановление Правительства РФ № 414 от 19.03.2022 г. не требующим наличия публикаций с индексацией в базах данных Scopus и WoS при </w:t>
      </w:r>
      <w:r>
        <w:rPr>
          <w:rFonts w:ascii="Times New Roman" w:eastAsia="Times New Roman" w:hAnsi="Times New Roman" w:cs="Times New Roman"/>
          <w:sz w:val="28"/>
        </w:rPr>
        <w:t xml:space="preserve">оценке результативности программ и проектов, осуществлении мер государственной поддержки (предоставлении грантов, субсидий), участию в зарубежных конференциях с публикацией статей т.д. из вышеперечисленных отчетов убраны не были. </w:t>
      </w:r>
    </w:p>
    <w:p w:rsidR="0052701D" w:rsidRDefault="00D40929">
      <w:pPr>
        <w:spacing w:after="52" w:line="251" w:lineRule="auto"/>
        <w:ind w:firstLine="711"/>
      </w:pPr>
      <w:r>
        <w:rPr>
          <w:rFonts w:ascii="Times New Roman" w:eastAsia="Times New Roman" w:hAnsi="Times New Roman" w:cs="Times New Roman"/>
          <w:b/>
          <w:sz w:val="28"/>
        </w:rPr>
        <w:t>Показатели публикационной</w:t>
      </w:r>
      <w:r>
        <w:rPr>
          <w:rFonts w:ascii="Times New Roman" w:eastAsia="Times New Roman" w:hAnsi="Times New Roman" w:cs="Times New Roman"/>
          <w:b/>
          <w:sz w:val="28"/>
        </w:rPr>
        <w:t xml:space="preserve"> активности в международных и национальных рейтингах </w:t>
      </w:r>
    </w:p>
    <w:p w:rsidR="0052701D" w:rsidRDefault="00D40929">
      <w:pPr>
        <w:spacing w:after="5" w:line="271" w:lineRule="auto"/>
        <w:ind w:left="9" w:right="64" w:firstLine="711"/>
        <w:jc w:val="both"/>
      </w:pPr>
      <w:r>
        <w:rPr>
          <w:rFonts w:ascii="Times New Roman" w:eastAsia="Times New Roman" w:hAnsi="Times New Roman" w:cs="Times New Roman"/>
          <w:sz w:val="28"/>
        </w:rPr>
        <w:t>Для формирования позитивного представления о КГЭУ, о стремлении войти и удержать позиции в национальных и международных рейтингах, необходимо соответствовать критериям данных рейтингов. Некоторые рейтин</w:t>
      </w:r>
      <w:r>
        <w:rPr>
          <w:rFonts w:ascii="Times New Roman" w:eastAsia="Times New Roman" w:hAnsi="Times New Roman" w:cs="Times New Roman"/>
          <w:sz w:val="28"/>
        </w:rPr>
        <w:t xml:space="preserve">говые агентства не рассматривают анкету университета на участие в своих рейтингах пока университет не достигнет порогового значения в 1000 публикаций за последний год. </w:t>
      </w:r>
    </w:p>
    <w:p w:rsidR="0052701D" w:rsidRDefault="00D40929">
      <w:pPr>
        <w:spacing w:after="5" w:line="271" w:lineRule="auto"/>
        <w:ind w:left="9" w:right="64" w:firstLine="711"/>
        <w:jc w:val="both"/>
      </w:pPr>
      <w:r>
        <w:rPr>
          <w:rFonts w:ascii="Times New Roman" w:eastAsia="Times New Roman" w:hAnsi="Times New Roman" w:cs="Times New Roman"/>
          <w:sz w:val="28"/>
        </w:rPr>
        <w:t>В таблице 2 представлены рейтинги, в которые уже входит КГЭУ или планирует войти, и учи</w:t>
      </w:r>
      <w:r>
        <w:rPr>
          <w:rFonts w:ascii="Times New Roman" w:eastAsia="Times New Roman" w:hAnsi="Times New Roman" w:cs="Times New Roman"/>
          <w:sz w:val="28"/>
        </w:rPr>
        <w:t xml:space="preserve">тываемый в каждом из них тип публикации. </w:t>
      </w:r>
    </w:p>
    <w:p w:rsidR="0052701D" w:rsidRDefault="00D40929">
      <w:pPr>
        <w:spacing w:after="38"/>
        <w:ind w:left="711"/>
      </w:pPr>
      <w:r>
        <w:rPr>
          <w:rFonts w:ascii="Times New Roman" w:eastAsia="Times New Roman" w:hAnsi="Times New Roman" w:cs="Times New Roman"/>
          <w:sz w:val="28"/>
        </w:rPr>
        <w:t xml:space="preserve"> </w:t>
      </w:r>
    </w:p>
    <w:p w:rsidR="0052701D" w:rsidRDefault="00D40929">
      <w:pPr>
        <w:spacing w:after="14" w:line="249" w:lineRule="auto"/>
        <w:ind w:left="10" w:right="66" w:hanging="10"/>
        <w:jc w:val="center"/>
      </w:pPr>
      <w:r>
        <w:rPr>
          <w:rFonts w:ascii="Times New Roman" w:eastAsia="Times New Roman" w:hAnsi="Times New Roman" w:cs="Times New Roman"/>
          <w:sz w:val="28"/>
        </w:rPr>
        <w:t xml:space="preserve">Таблица 2. Рейтинги университетов и учитываемый тип публикации </w:t>
      </w:r>
    </w:p>
    <w:tbl>
      <w:tblPr>
        <w:tblStyle w:val="TableGrid"/>
        <w:tblW w:w="9508" w:type="dxa"/>
        <w:tblInd w:w="130" w:type="dxa"/>
        <w:tblCellMar>
          <w:top w:w="89" w:type="dxa"/>
          <w:left w:w="67" w:type="dxa"/>
          <w:bottom w:w="0" w:type="dxa"/>
          <w:right w:w="17" w:type="dxa"/>
        </w:tblCellMar>
        <w:tblLook w:val="04A0" w:firstRow="1" w:lastRow="0" w:firstColumn="1" w:lastColumn="0" w:noHBand="0" w:noVBand="1"/>
      </w:tblPr>
      <w:tblGrid>
        <w:gridCol w:w="6396"/>
        <w:gridCol w:w="3112"/>
      </w:tblGrid>
      <w:tr w:rsidR="0052701D">
        <w:trPr>
          <w:trHeight w:val="471"/>
        </w:trPr>
        <w:tc>
          <w:tcPr>
            <w:tcW w:w="6396"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58"/>
            </w:pPr>
            <w:r>
              <w:rPr>
                <w:rFonts w:ascii="Times New Roman" w:eastAsia="Times New Roman" w:hAnsi="Times New Roman" w:cs="Times New Roman"/>
                <w:sz w:val="24"/>
              </w:rPr>
              <w:t>Наименование рейтинга</w:t>
            </w:r>
            <w:r>
              <w:t xml:space="preserve"> </w:t>
            </w:r>
          </w:p>
        </w:tc>
        <w:tc>
          <w:tcPr>
            <w:tcW w:w="3112" w:type="dxa"/>
            <w:tcBorders>
              <w:top w:val="single" w:sz="4" w:space="0" w:color="000000"/>
              <w:left w:val="single" w:sz="4" w:space="0" w:color="000000"/>
              <w:bottom w:val="single" w:sz="4" w:space="0" w:color="000000"/>
              <w:right w:val="single" w:sz="8" w:space="0" w:color="000000"/>
            </w:tcBorders>
            <w:vAlign w:val="center"/>
          </w:tcPr>
          <w:p w:rsidR="0052701D" w:rsidRDefault="00D40929">
            <w:pPr>
              <w:spacing w:after="0"/>
              <w:ind w:left="15"/>
            </w:pPr>
            <w:r>
              <w:rPr>
                <w:rFonts w:ascii="Times New Roman" w:eastAsia="Times New Roman" w:hAnsi="Times New Roman" w:cs="Times New Roman"/>
                <w:sz w:val="24"/>
              </w:rPr>
              <w:t>Тип публикации</w:t>
            </w:r>
            <w:r>
              <w:t xml:space="preserve"> </w:t>
            </w:r>
          </w:p>
        </w:tc>
      </w:tr>
      <w:tr w:rsidR="0052701D">
        <w:trPr>
          <w:trHeight w:val="470"/>
        </w:trPr>
        <w:tc>
          <w:tcPr>
            <w:tcW w:w="639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8"/>
            </w:pPr>
            <w:r>
              <w:rPr>
                <w:rFonts w:ascii="Times New Roman" w:eastAsia="Times New Roman" w:hAnsi="Times New Roman" w:cs="Times New Roman"/>
                <w:sz w:val="24"/>
              </w:rPr>
              <w:t>SCIMAGO Institutions Rankings</w:t>
            </w:r>
            <w:r>
              <w:t xml:space="preserve"> </w:t>
            </w:r>
          </w:p>
        </w:tc>
        <w:tc>
          <w:tcPr>
            <w:tcW w:w="3112" w:type="dxa"/>
            <w:tcBorders>
              <w:top w:val="single" w:sz="4" w:space="0" w:color="000000"/>
              <w:left w:val="single" w:sz="4" w:space="0" w:color="000000"/>
              <w:bottom w:val="single" w:sz="4" w:space="0" w:color="000000"/>
              <w:right w:val="single" w:sz="8" w:space="0" w:color="000000"/>
            </w:tcBorders>
          </w:tcPr>
          <w:p w:rsidR="0052701D" w:rsidRDefault="00D40929">
            <w:pPr>
              <w:spacing w:after="0"/>
              <w:ind w:left="15"/>
            </w:pPr>
            <w:r>
              <w:rPr>
                <w:rFonts w:ascii="Times New Roman" w:eastAsia="Times New Roman" w:hAnsi="Times New Roman" w:cs="Times New Roman"/>
                <w:sz w:val="24"/>
              </w:rPr>
              <w:t>SCOPUS</w:t>
            </w:r>
            <w:r>
              <w:t xml:space="preserve"> </w:t>
            </w:r>
          </w:p>
        </w:tc>
      </w:tr>
      <w:tr w:rsidR="0052701D">
        <w:trPr>
          <w:trHeight w:val="470"/>
        </w:trPr>
        <w:tc>
          <w:tcPr>
            <w:tcW w:w="639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8"/>
            </w:pPr>
            <w:r>
              <w:rPr>
                <w:rFonts w:ascii="Times New Roman" w:eastAsia="Times New Roman" w:hAnsi="Times New Roman" w:cs="Times New Roman"/>
                <w:sz w:val="24"/>
              </w:rPr>
              <w:t>The University Impact Rankings</w:t>
            </w:r>
            <w:r>
              <w:t xml:space="preserve"> </w:t>
            </w:r>
          </w:p>
        </w:tc>
        <w:tc>
          <w:tcPr>
            <w:tcW w:w="3112" w:type="dxa"/>
            <w:tcBorders>
              <w:top w:val="single" w:sz="4" w:space="0" w:color="000000"/>
              <w:left w:val="single" w:sz="4" w:space="0" w:color="000000"/>
              <w:bottom w:val="single" w:sz="4" w:space="0" w:color="000000"/>
              <w:right w:val="single" w:sz="8" w:space="0" w:color="000000"/>
            </w:tcBorders>
          </w:tcPr>
          <w:p w:rsidR="0052701D" w:rsidRDefault="00D40929">
            <w:pPr>
              <w:spacing w:after="0"/>
              <w:ind w:left="15"/>
            </w:pPr>
            <w:r>
              <w:rPr>
                <w:rFonts w:ascii="Times New Roman" w:eastAsia="Times New Roman" w:hAnsi="Times New Roman" w:cs="Times New Roman"/>
                <w:sz w:val="24"/>
              </w:rPr>
              <w:t>SCOPUS, WoS</w:t>
            </w:r>
            <w:r>
              <w:t xml:space="preserve"> </w:t>
            </w:r>
          </w:p>
        </w:tc>
      </w:tr>
      <w:tr w:rsidR="0052701D">
        <w:trPr>
          <w:trHeight w:val="768"/>
        </w:trPr>
        <w:tc>
          <w:tcPr>
            <w:tcW w:w="6396"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firstLine="58"/>
              <w:jc w:val="both"/>
            </w:pPr>
            <w:r>
              <w:rPr>
                <w:rFonts w:ascii="Times New Roman" w:eastAsia="Times New Roman" w:hAnsi="Times New Roman" w:cs="Times New Roman"/>
                <w:sz w:val="24"/>
              </w:rPr>
              <w:t xml:space="preserve">Рейтинг «100 лучших </w:t>
            </w:r>
            <w:r>
              <w:rPr>
                <w:rFonts w:ascii="Times New Roman" w:eastAsia="Times New Roman" w:hAnsi="Times New Roman" w:cs="Times New Roman"/>
                <w:sz w:val="24"/>
              </w:rPr>
              <w:t>вузов России» RAEX (Эксперт РА) 2021</w:t>
            </w:r>
            <w:r>
              <w:t xml:space="preserve"> </w:t>
            </w:r>
          </w:p>
        </w:tc>
        <w:tc>
          <w:tcPr>
            <w:tcW w:w="3112" w:type="dxa"/>
            <w:tcBorders>
              <w:top w:val="single" w:sz="4" w:space="0" w:color="000000"/>
              <w:left w:val="single" w:sz="4" w:space="0" w:color="000000"/>
              <w:bottom w:val="single" w:sz="4" w:space="0" w:color="000000"/>
              <w:right w:val="single" w:sz="8" w:space="0" w:color="000000"/>
            </w:tcBorders>
          </w:tcPr>
          <w:p w:rsidR="0052701D" w:rsidRDefault="00D40929">
            <w:pPr>
              <w:spacing w:after="0"/>
              <w:ind w:left="15"/>
              <w:jc w:val="both"/>
            </w:pPr>
            <w:r>
              <w:rPr>
                <w:rFonts w:ascii="Times New Roman" w:eastAsia="Times New Roman" w:hAnsi="Times New Roman" w:cs="Times New Roman"/>
                <w:sz w:val="24"/>
              </w:rPr>
              <w:t>РИНЦ, ВАК, SCOPUS, WoS</w:t>
            </w:r>
            <w:r>
              <w:t xml:space="preserve"> </w:t>
            </w:r>
          </w:p>
        </w:tc>
      </w:tr>
      <w:tr w:rsidR="0052701D">
        <w:trPr>
          <w:trHeight w:val="446"/>
        </w:trPr>
        <w:tc>
          <w:tcPr>
            <w:tcW w:w="639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8"/>
            </w:pPr>
            <w:r>
              <w:rPr>
                <w:rFonts w:ascii="Times New Roman" w:eastAsia="Times New Roman" w:hAnsi="Times New Roman" w:cs="Times New Roman"/>
                <w:sz w:val="24"/>
              </w:rPr>
              <w:lastRenderedPageBreak/>
              <w:t xml:space="preserve">Национальный рейтинг университетов (Интерфакс) </w:t>
            </w:r>
            <w:r>
              <w:t xml:space="preserve"> </w:t>
            </w:r>
          </w:p>
        </w:tc>
        <w:tc>
          <w:tcPr>
            <w:tcW w:w="3112" w:type="dxa"/>
            <w:tcBorders>
              <w:top w:val="single" w:sz="4" w:space="0" w:color="000000"/>
              <w:left w:val="single" w:sz="4" w:space="0" w:color="000000"/>
              <w:bottom w:val="single" w:sz="4" w:space="0" w:color="000000"/>
              <w:right w:val="single" w:sz="8" w:space="0" w:color="000000"/>
            </w:tcBorders>
          </w:tcPr>
          <w:p w:rsidR="0052701D" w:rsidRDefault="00D40929">
            <w:pPr>
              <w:spacing w:after="0"/>
              <w:ind w:left="15"/>
              <w:jc w:val="both"/>
            </w:pPr>
            <w:r>
              <w:rPr>
                <w:rFonts w:ascii="Times New Roman" w:eastAsia="Times New Roman" w:hAnsi="Times New Roman" w:cs="Times New Roman"/>
                <w:sz w:val="24"/>
              </w:rPr>
              <w:t>РИНЦ, ВАК, SCOPUS, WoS</w:t>
            </w:r>
            <w:r>
              <w:t xml:space="preserve"> </w:t>
            </w:r>
          </w:p>
        </w:tc>
      </w:tr>
      <w:tr w:rsidR="0052701D">
        <w:trPr>
          <w:trHeight w:val="470"/>
        </w:trPr>
        <w:tc>
          <w:tcPr>
            <w:tcW w:w="639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8"/>
            </w:pPr>
            <w:r>
              <w:rPr>
                <w:rFonts w:ascii="Times New Roman" w:eastAsia="Times New Roman" w:hAnsi="Times New Roman" w:cs="Times New Roman"/>
                <w:sz w:val="24"/>
              </w:rPr>
              <w:t>QS EECA University Rankings 2021</w:t>
            </w:r>
            <w:r>
              <w:t xml:space="preserve"> </w:t>
            </w:r>
          </w:p>
        </w:tc>
        <w:tc>
          <w:tcPr>
            <w:tcW w:w="3112" w:type="dxa"/>
            <w:tcBorders>
              <w:top w:val="single" w:sz="4" w:space="0" w:color="000000"/>
              <w:left w:val="single" w:sz="4" w:space="0" w:color="000000"/>
              <w:bottom w:val="single" w:sz="4" w:space="0" w:color="000000"/>
              <w:right w:val="single" w:sz="8" w:space="0" w:color="000000"/>
            </w:tcBorders>
          </w:tcPr>
          <w:p w:rsidR="0052701D" w:rsidRDefault="00D40929">
            <w:pPr>
              <w:spacing w:after="0"/>
              <w:ind w:left="15"/>
            </w:pPr>
            <w:r>
              <w:rPr>
                <w:rFonts w:ascii="Times New Roman" w:eastAsia="Times New Roman" w:hAnsi="Times New Roman" w:cs="Times New Roman"/>
                <w:sz w:val="24"/>
              </w:rPr>
              <w:t>SCOPUS, WoS</w:t>
            </w:r>
            <w:r>
              <w:t xml:space="preserve"> </w:t>
            </w:r>
          </w:p>
        </w:tc>
      </w:tr>
      <w:tr w:rsidR="0052701D">
        <w:trPr>
          <w:trHeight w:val="447"/>
        </w:trPr>
        <w:tc>
          <w:tcPr>
            <w:tcW w:w="639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6"/>
            </w:pPr>
            <w:r>
              <w:rPr>
                <w:rFonts w:ascii="Times New Roman" w:eastAsia="Times New Roman" w:hAnsi="Times New Roman" w:cs="Times New Roman"/>
                <w:sz w:val="24"/>
              </w:rPr>
              <w:t>Рейтинг российских вузов «Национальное признание»</w:t>
            </w:r>
            <w:r>
              <w:t xml:space="preserve"> </w:t>
            </w:r>
          </w:p>
        </w:tc>
        <w:tc>
          <w:tcPr>
            <w:tcW w:w="3112" w:type="dxa"/>
            <w:tcBorders>
              <w:top w:val="single" w:sz="4" w:space="0" w:color="000000"/>
              <w:left w:val="single" w:sz="4" w:space="0" w:color="000000"/>
              <w:bottom w:val="single" w:sz="4" w:space="0" w:color="000000"/>
              <w:right w:val="single" w:sz="8" w:space="0" w:color="000000"/>
            </w:tcBorders>
          </w:tcPr>
          <w:p w:rsidR="0052701D" w:rsidRDefault="00D40929">
            <w:pPr>
              <w:spacing w:after="0"/>
              <w:ind w:left="73"/>
            </w:pPr>
            <w:r>
              <w:rPr>
                <w:rFonts w:ascii="Times New Roman" w:eastAsia="Times New Roman" w:hAnsi="Times New Roman" w:cs="Times New Roman"/>
                <w:sz w:val="24"/>
              </w:rPr>
              <w:t xml:space="preserve">РИНЦ, ВАК, SCOPUS, </w:t>
            </w:r>
            <w:r>
              <w:rPr>
                <w:rFonts w:ascii="Times New Roman" w:eastAsia="Times New Roman" w:hAnsi="Times New Roman" w:cs="Times New Roman"/>
                <w:sz w:val="24"/>
              </w:rPr>
              <w:t>WoS</w:t>
            </w:r>
            <w:r>
              <w:t xml:space="preserve"> </w:t>
            </w:r>
          </w:p>
        </w:tc>
      </w:tr>
      <w:tr w:rsidR="0052701D">
        <w:trPr>
          <w:trHeight w:val="470"/>
        </w:trPr>
        <w:tc>
          <w:tcPr>
            <w:tcW w:w="639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6"/>
            </w:pPr>
            <w:r>
              <w:rPr>
                <w:rFonts w:ascii="Times New Roman" w:eastAsia="Times New Roman" w:hAnsi="Times New Roman" w:cs="Times New Roman"/>
                <w:sz w:val="24"/>
              </w:rPr>
              <w:t>THE World University Rankings 2021</w:t>
            </w:r>
            <w:r>
              <w:t xml:space="preserve"> </w:t>
            </w:r>
          </w:p>
        </w:tc>
        <w:tc>
          <w:tcPr>
            <w:tcW w:w="3112" w:type="dxa"/>
            <w:tcBorders>
              <w:top w:val="single" w:sz="4" w:space="0" w:color="000000"/>
              <w:left w:val="single" w:sz="4" w:space="0" w:color="000000"/>
              <w:bottom w:val="single" w:sz="4" w:space="0" w:color="000000"/>
              <w:right w:val="single" w:sz="8" w:space="0" w:color="000000"/>
            </w:tcBorders>
          </w:tcPr>
          <w:p w:rsidR="0052701D" w:rsidRDefault="00D40929">
            <w:pPr>
              <w:spacing w:after="0"/>
              <w:ind w:left="73"/>
            </w:pPr>
            <w:r>
              <w:rPr>
                <w:rFonts w:ascii="Times New Roman" w:eastAsia="Times New Roman" w:hAnsi="Times New Roman" w:cs="Times New Roman"/>
                <w:sz w:val="24"/>
              </w:rPr>
              <w:t>SCOPUS, WoS</w:t>
            </w:r>
            <w:r>
              <w:t xml:space="preserve"> </w:t>
            </w:r>
          </w:p>
        </w:tc>
      </w:tr>
      <w:tr w:rsidR="0052701D">
        <w:trPr>
          <w:trHeight w:val="725"/>
        </w:trPr>
        <w:tc>
          <w:tcPr>
            <w:tcW w:w="639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9" w:firstLine="58"/>
            </w:pPr>
            <w:r>
              <w:rPr>
                <w:rFonts w:ascii="Times New Roman" w:eastAsia="Times New Roman" w:hAnsi="Times New Roman" w:cs="Times New Roman"/>
                <w:sz w:val="24"/>
              </w:rPr>
              <w:t xml:space="preserve">Московский </w:t>
            </w:r>
            <w:r>
              <w:rPr>
                <w:rFonts w:ascii="Times New Roman" w:eastAsia="Times New Roman" w:hAnsi="Times New Roman" w:cs="Times New Roman"/>
                <w:sz w:val="24"/>
              </w:rPr>
              <w:tab/>
              <w:t xml:space="preserve">международный </w:t>
            </w:r>
            <w:r>
              <w:rPr>
                <w:rFonts w:ascii="Times New Roman" w:eastAsia="Times New Roman" w:hAnsi="Times New Roman" w:cs="Times New Roman"/>
                <w:sz w:val="24"/>
              </w:rPr>
              <w:tab/>
              <w:t xml:space="preserve">рейтинг </w:t>
            </w:r>
            <w:r>
              <w:rPr>
                <w:rFonts w:ascii="Times New Roman" w:eastAsia="Times New Roman" w:hAnsi="Times New Roman" w:cs="Times New Roman"/>
                <w:sz w:val="24"/>
              </w:rPr>
              <w:tab/>
              <w:t xml:space="preserve">«Три </w:t>
            </w:r>
            <w:r>
              <w:rPr>
                <w:rFonts w:ascii="Times New Roman" w:eastAsia="Times New Roman" w:hAnsi="Times New Roman" w:cs="Times New Roman"/>
                <w:sz w:val="24"/>
              </w:rPr>
              <w:tab/>
              <w:t>миссии университета</w:t>
            </w:r>
            <w:r>
              <w:t xml:space="preserve"> </w:t>
            </w:r>
          </w:p>
        </w:tc>
        <w:tc>
          <w:tcPr>
            <w:tcW w:w="3112" w:type="dxa"/>
            <w:tcBorders>
              <w:top w:val="single" w:sz="4" w:space="0" w:color="000000"/>
              <w:left w:val="single" w:sz="4" w:space="0" w:color="000000"/>
              <w:bottom w:val="single" w:sz="4" w:space="0" w:color="000000"/>
              <w:right w:val="single" w:sz="8" w:space="0" w:color="000000"/>
            </w:tcBorders>
          </w:tcPr>
          <w:p w:rsidR="0052701D" w:rsidRDefault="00D40929">
            <w:pPr>
              <w:spacing w:after="0"/>
              <w:ind w:left="73"/>
            </w:pPr>
            <w:r>
              <w:rPr>
                <w:rFonts w:ascii="Times New Roman" w:eastAsia="Times New Roman" w:hAnsi="Times New Roman" w:cs="Times New Roman"/>
                <w:sz w:val="24"/>
              </w:rPr>
              <w:t>WoS</w:t>
            </w:r>
            <w:r>
              <w:t xml:space="preserve"> </w:t>
            </w:r>
          </w:p>
        </w:tc>
      </w:tr>
    </w:tbl>
    <w:p w:rsidR="0052701D" w:rsidRDefault="00D40929">
      <w:pPr>
        <w:spacing w:after="214"/>
        <w:jc w:val="right"/>
      </w:pPr>
      <w:r>
        <w:rPr>
          <w:rFonts w:ascii="Times New Roman" w:eastAsia="Times New Roman" w:hAnsi="Times New Roman" w:cs="Times New Roman"/>
          <w:sz w:val="24"/>
        </w:rPr>
        <w:t xml:space="preserve"> </w:t>
      </w:r>
    </w:p>
    <w:p w:rsidR="0052701D" w:rsidRDefault="00D40929">
      <w:pPr>
        <w:spacing w:after="29" w:line="248" w:lineRule="auto"/>
        <w:ind w:left="9" w:right="14"/>
        <w:jc w:val="both"/>
      </w:pPr>
      <w:r>
        <w:rPr>
          <w:rFonts w:ascii="Times New Roman" w:eastAsia="Times New Roman" w:hAnsi="Times New Roman" w:cs="Times New Roman"/>
          <w:sz w:val="24"/>
        </w:rPr>
        <w:t xml:space="preserve">Публикационная активность КГЭУ с 2020-2021 гг в сравнении с университетами  г. Казань </w:t>
      </w:r>
    </w:p>
    <w:p w:rsidR="0052701D" w:rsidRDefault="00D40929">
      <w:pPr>
        <w:spacing w:after="29" w:line="248" w:lineRule="auto"/>
        <w:ind w:left="9" w:right="14"/>
        <w:jc w:val="both"/>
      </w:pPr>
      <w:r>
        <w:rPr>
          <w:rFonts w:ascii="Times New Roman" w:eastAsia="Times New Roman" w:hAnsi="Times New Roman" w:cs="Times New Roman"/>
          <w:sz w:val="24"/>
        </w:rPr>
        <w:t xml:space="preserve">(рис. 1). </w:t>
      </w:r>
    </w:p>
    <w:p w:rsidR="0052701D" w:rsidRDefault="00D40929">
      <w:pPr>
        <w:spacing w:after="151"/>
        <w:ind w:left="809"/>
        <w:jc w:val="center"/>
      </w:pPr>
      <w:r>
        <w:rPr>
          <w:noProof/>
        </w:rPr>
        <w:drawing>
          <wp:inline distT="0" distB="0" distL="0" distR="0">
            <wp:extent cx="2846832" cy="1344168"/>
            <wp:effectExtent l="0" t="0" r="0" b="0"/>
            <wp:docPr id="166559" name="Picture 166559"/>
            <wp:cNvGraphicFramePr/>
            <a:graphic xmlns:a="http://schemas.openxmlformats.org/drawingml/2006/main">
              <a:graphicData uri="http://schemas.openxmlformats.org/drawingml/2006/picture">
                <pic:pic xmlns:pic="http://schemas.openxmlformats.org/drawingml/2006/picture">
                  <pic:nvPicPr>
                    <pic:cNvPr id="166559" name="Picture 166559"/>
                    <pic:cNvPicPr/>
                  </pic:nvPicPr>
                  <pic:blipFill>
                    <a:blip r:embed="rId765"/>
                    <a:stretch>
                      <a:fillRect/>
                    </a:stretch>
                  </pic:blipFill>
                  <pic:spPr>
                    <a:xfrm>
                      <a:off x="0" y="0"/>
                      <a:ext cx="2846832" cy="1344168"/>
                    </a:xfrm>
                    <a:prstGeom prst="rect">
                      <a:avLst/>
                    </a:prstGeom>
                  </pic:spPr>
                </pic:pic>
              </a:graphicData>
            </a:graphic>
          </wp:inline>
        </w:drawing>
      </w:r>
      <w:r>
        <w:t xml:space="preserve"> </w:t>
      </w:r>
    </w:p>
    <w:p w:rsidR="0052701D" w:rsidRDefault="00D40929">
      <w:pPr>
        <w:spacing w:after="14" w:line="248" w:lineRule="auto"/>
        <w:ind w:left="713" w:right="175" w:hanging="5"/>
        <w:jc w:val="center"/>
      </w:pPr>
      <w:r>
        <w:rPr>
          <w:rFonts w:ascii="Times New Roman" w:eastAsia="Times New Roman" w:hAnsi="Times New Roman" w:cs="Times New Roman"/>
          <w:sz w:val="24"/>
        </w:rPr>
        <w:t xml:space="preserve">Рис. 1. Публикационная </w:t>
      </w:r>
      <w:r>
        <w:rPr>
          <w:rFonts w:ascii="Times New Roman" w:eastAsia="Times New Roman" w:hAnsi="Times New Roman" w:cs="Times New Roman"/>
          <w:sz w:val="24"/>
        </w:rPr>
        <w:t>активность КГЭУ</w:t>
      </w:r>
      <w:r>
        <w:t xml:space="preserve"> </w:t>
      </w:r>
    </w:p>
    <w:p w:rsidR="0052701D" w:rsidRDefault="00D40929">
      <w:pPr>
        <w:spacing w:after="184" w:line="271" w:lineRule="auto"/>
        <w:ind w:left="192" w:right="64"/>
        <w:jc w:val="both"/>
      </w:pPr>
      <w:r>
        <w:rPr>
          <w:rFonts w:ascii="Times New Roman" w:eastAsia="Times New Roman" w:hAnsi="Times New Roman" w:cs="Times New Roman"/>
          <w:sz w:val="28"/>
        </w:rPr>
        <w:t>За первое полугодие 2022г. показатели публикаций в РИНЦ повысились на 25%, в Scopus намечена положительная динамика публикаций.</w:t>
      </w:r>
      <w:r>
        <w:t xml:space="preserve"> </w:t>
      </w:r>
    </w:p>
    <w:p w:rsidR="0052701D" w:rsidRDefault="00D40929">
      <w:pPr>
        <w:spacing w:after="81" w:line="251" w:lineRule="auto"/>
        <w:ind w:left="192" w:firstLine="9"/>
      </w:pPr>
      <w:r>
        <w:rPr>
          <w:rFonts w:ascii="Times New Roman" w:eastAsia="Times New Roman" w:hAnsi="Times New Roman" w:cs="Times New Roman"/>
          <w:b/>
          <w:sz w:val="28"/>
        </w:rPr>
        <w:t>Публикационная активность Публикационная активность на 100 казанских вузов за 2021г.</w:t>
      </w:r>
      <w:r>
        <w:t xml:space="preserve"> </w:t>
      </w:r>
      <w:r>
        <w:rPr>
          <w:rFonts w:ascii="Times New Roman" w:eastAsia="Times New Roman" w:hAnsi="Times New Roman" w:cs="Times New Roman"/>
          <w:b/>
          <w:sz w:val="28"/>
        </w:rPr>
        <w:t>НПР казанских вузов за 20</w:t>
      </w:r>
      <w:r>
        <w:rPr>
          <w:rFonts w:ascii="Times New Roman" w:eastAsia="Times New Roman" w:hAnsi="Times New Roman" w:cs="Times New Roman"/>
          <w:b/>
          <w:sz w:val="28"/>
        </w:rPr>
        <w:t>21г.</w:t>
      </w:r>
      <w:r>
        <w:t xml:space="preserve"> </w:t>
      </w:r>
    </w:p>
    <w:p w:rsidR="0052701D" w:rsidRDefault="00D40929">
      <w:pPr>
        <w:spacing w:after="223"/>
        <w:ind w:right="461"/>
        <w:jc w:val="right"/>
      </w:pPr>
      <w:r>
        <w:rPr>
          <w:noProof/>
        </w:rPr>
        <mc:AlternateContent>
          <mc:Choice Requires="wpg">
            <w:drawing>
              <wp:inline distT="0" distB="0" distL="0" distR="0">
                <wp:extent cx="5708905" cy="1831848"/>
                <wp:effectExtent l="0" t="0" r="0" b="0"/>
                <wp:docPr id="1011253" name="Group 1011253"/>
                <wp:cNvGraphicFramePr/>
                <a:graphic xmlns:a="http://schemas.openxmlformats.org/drawingml/2006/main">
                  <a:graphicData uri="http://schemas.microsoft.com/office/word/2010/wordprocessingGroup">
                    <wpg:wgp>
                      <wpg:cNvGrpSpPr/>
                      <wpg:grpSpPr>
                        <a:xfrm>
                          <a:off x="0" y="0"/>
                          <a:ext cx="5708905" cy="1831848"/>
                          <a:chOff x="0" y="0"/>
                          <a:chExt cx="5708905" cy="1831848"/>
                        </a:xfrm>
                      </wpg:grpSpPr>
                      <wps:wsp>
                        <wps:cNvPr id="166638" name="Rectangle 166638"/>
                        <wps:cNvSpPr/>
                        <wps:spPr>
                          <a:xfrm>
                            <a:off x="2680716" y="1681861"/>
                            <a:ext cx="42143" cy="189937"/>
                          </a:xfrm>
                          <a:prstGeom prst="rect">
                            <a:avLst/>
                          </a:prstGeom>
                          <a:ln>
                            <a:noFill/>
                          </a:ln>
                        </wps:spPr>
                        <wps:txbx>
                          <w:txbxContent>
                            <w:p w:rsidR="0052701D" w:rsidRDefault="00D40929">
                              <w:r>
                                <w:t xml:space="preserve"> </w:t>
                              </w:r>
                            </w:p>
                          </w:txbxContent>
                        </wps:txbx>
                        <wps:bodyPr horzOverflow="overflow" vert="horz" lIns="0" tIns="0" rIns="0" bIns="0" rtlCol="0">
                          <a:noAutofit/>
                        </wps:bodyPr>
                      </wps:wsp>
                      <pic:pic xmlns:pic="http://schemas.openxmlformats.org/drawingml/2006/picture">
                        <pic:nvPicPr>
                          <pic:cNvPr id="167053" name="Picture 167053"/>
                          <pic:cNvPicPr/>
                        </pic:nvPicPr>
                        <pic:blipFill>
                          <a:blip r:embed="rId766"/>
                          <a:stretch>
                            <a:fillRect/>
                          </a:stretch>
                        </pic:blipFill>
                        <pic:spPr>
                          <a:xfrm>
                            <a:off x="0" y="48768"/>
                            <a:ext cx="2679192" cy="1737360"/>
                          </a:xfrm>
                          <a:prstGeom prst="rect">
                            <a:avLst/>
                          </a:prstGeom>
                        </pic:spPr>
                      </pic:pic>
                      <pic:pic xmlns:pic="http://schemas.openxmlformats.org/drawingml/2006/picture">
                        <pic:nvPicPr>
                          <pic:cNvPr id="167055" name="Picture 167055"/>
                          <pic:cNvPicPr/>
                        </pic:nvPicPr>
                        <pic:blipFill>
                          <a:blip r:embed="rId767"/>
                          <a:stretch>
                            <a:fillRect/>
                          </a:stretch>
                        </pic:blipFill>
                        <pic:spPr>
                          <a:xfrm>
                            <a:off x="2862072" y="0"/>
                            <a:ext cx="2846833" cy="1831848"/>
                          </a:xfrm>
                          <a:prstGeom prst="rect">
                            <a:avLst/>
                          </a:prstGeom>
                        </pic:spPr>
                      </pic:pic>
                    </wpg:wgp>
                  </a:graphicData>
                </a:graphic>
              </wp:inline>
            </w:drawing>
          </mc:Choice>
          <mc:Fallback xmlns:a="http://schemas.openxmlformats.org/drawingml/2006/main">
            <w:pict>
              <v:group id="Group 1011253" style="width:449.52pt;height:144.24pt;mso-position-horizontal-relative:char;mso-position-vertical-relative:line" coordsize="57089,18318">
                <v:rect id="Rectangle 166638" style="position:absolute;width:421;height:1899;left:26807;top:16818;" filled="f" stroked="f">
                  <v:textbox inset="0,0,0,0">
                    <w:txbxContent>
                      <w:p>
                        <w:pPr>
                          <w:spacing w:before="0" w:after="160" w:line="259" w:lineRule="auto"/>
                        </w:pPr>
                        <w:r>
                          <w:rPr>
                            <w:rFonts w:cs="Calibri" w:hAnsi="Calibri" w:eastAsia="Calibri" w:ascii="Calibri"/>
                            <w:sz w:val="22"/>
                          </w:rPr>
                          <w:t xml:space="preserve"> </w:t>
                        </w:r>
                      </w:p>
                    </w:txbxContent>
                  </v:textbox>
                </v:rect>
                <v:shape id="Picture 167053" style="position:absolute;width:26791;height:17373;left:0;top:487;" filled="f">
                  <v:imagedata r:id="rId768"/>
                </v:shape>
                <v:shape id="Picture 167055" style="position:absolute;width:28468;height:18318;left:28620;top:0;" filled="f">
                  <v:imagedata r:id="rId769"/>
                </v:shape>
              </v:group>
            </w:pict>
          </mc:Fallback>
        </mc:AlternateContent>
      </w:r>
      <w:r>
        <w:t xml:space="preserve"> </w:t>
      </w:r>
    </w:p>
    <w:p w:rsidR="0052701D" w:rsidRDefault="00D40929">
      <w:pPr>
        <w:spacing w:after="5" w:line="271" w:lineRule="auto"/>
        <w:ind w:left="192" w:right="377"/>
        <w:jc w:val="both"/>
      </w:pPr>
      <w:r>
        <w:rPr>
          <w:rFonts w:ascii="Times New Roman" w:eastAsia="Times New Roman" w:hAnsi="Times New Roman" w:cs="Times New Roman"/>
          <w:sz w:val="28"/>
        </w:rPr>
        <w:t xml:space="preserve">В 2021 г. численном соотношении КГЭУ не занимает лидирующих позиций по количеству публикаций. Однако в пересчете на 100 НПР занимает достойные позиции в сравнении с казанскими вузами: 411 статей РИНЦ на 100 НПР КГЭУ в год (в КХТИ – 348,9, КАИ </w:t>
      </w:r>
      <w:r>
        <w:rPr>
          <w:rFonts w:ascii="Times New Roman" w:eastAsia="Times New Roman" w:hAnsi="Times New Roman" w:cs="Times New Roman"/>
          <w:sz w:val="28"/>
        </w:rPr>
        <w:t xml:space="preserve">– 531). </w:t>
      </w:r>
    </w:p>
    <w:p w:rsidR="0052701D" w:rsidRDefault="00D40929">
      <w:pPr>
        <w:spacing w:after="70" w:line="271" w:lineRule="auto"/>
        <w:ind w:left="192" w:right="64"/>
        <w:jc w:val="both"/>
      </w:pPr>
      <w:r>
        <w:rPr>
          <w:rFonts w:ascii="Times New Roman" w:eastAsia="Times New Roman" w:hAnsi="Times New Roman" w:cs="Times New Roman"/>
          <w:sz w:val="28"/>
        </w:rPr>
        <w:t>60,5 статей Scopus на 100 НПР КГЭУ в год (в КХТИ – 48,2, КАИ – 69,7).</w:t>
      </w:r>
      <w:r>
        <w:t xml:space="preserve"> </w:t>
      </w:r>
    </w:p>
    <w:p w:rsidR="0052701D" w:rsidRDefault="00D40929">
      <w:pPr>
        <w:spacing w:after="5"/>
        <w:ind w:left="192"/>
      </w:pPr>
      <w:r>
        <w:rPr>
          <w:rFonts w:ascii="Times New Roman" w:eastAsia="Times New Roman" w:hAnsi="Times New Roman" w:cs="Times New Roman"/>
          <w:b/>
        </w:rPr>
        <w:t xml:space="preserve"> </w:t>
      </w:r>
    </w:p>
    <w:p w:rsidR="0052701D" w:rsidRDefault="00D40929">
      <w:pPr>
        <w:spacing w:after="144" w:line="375" w:lineRule="auto"/>
        <w:ind w:left="202" w:hanging="10"/>
      </w:pPr>
      <w:r>
        <w:rPr>
          <w:rFonts w:ascii="Times New Roman" w:eastAsia="Times New Roman" w:hAnsi="Times New Roman" w:cs="Times New Roman"/>
          <w:b/>
        </w:rPr>
        <w:t>Публикационная активность Казанских Публикационная активность на 100 НПР вузов за 2022г. (1 полугодие)</w:t>
      </w:r>
      <w:r>
        <w:t xml:space="preserve"> </w:t>
      </w:r>
      <w:r>
        <w:rPr>
          <w:rFonts w:ascii="Times New Roman" w:eastAsia="Times New Roman" w:hAnsi="Times New Roman" w:cs="Times New Roman"/>
          <w:b/>
        </w:rPr>
        <w:t>казанских вузов за 2022г. (1 полугодие)</w:t>
      </w:r>
      <w:r>
        <w:t xml:space="preserve"> </w:t>
      </w:r>
    </w:p>
    <w:p w:rsidR="0052701D" w:rsidRDefault="00D40929">
      <w:pPr>
        <w:spacing w:after="45"/>
        <w:ind w:right="461"/>
        <w:jc w:val="right"/>
      </w:pPr>
      <w:r>
        <w:rPr>
          <w:noProof/>
        </w:rPr>
        <w:lastRenderedPageBreak/>
        <mc:AlternateContent>
          <mc:Choice Requires="wpg">
            <w:drawing>
              <wp:inline distT="0" distB="0" distL="0" distR="0">
                <wp:extent cx="5708905" cy="1536192"/>
                <wp:effectExtent l="0" t="0" r="0" b="0"/>
                <wp:docPr id="1011254" name="Group 1011254"/>
                <wp:cNvGraphicFramePr/>
                <a:graphic xmlns:a="http://schemas.openxmlformats.org/drawingml/2006/main">
                  <a:graphicData uri="http://schemas.microsoft.com/office/word/2010/wordprocessingGroup">
                    <wpg:wgp>
                      <wpg:cNvGrpSpPr/>
                      <wpg:grpSpPr>
                        <a:xfrm>
                          <a:off x="0" y="0"/>
                          <a:ext cx="5708905" cy="1536192"/>
                          <a:chOff x="0" y="0"/>
                          <a:chExt cx="5708905" cy="1536192"/>
                        </a:xfrm>
                      </wpg:grpSpPr>
                      <wps:wsp>
                        <wps:cNvPr id="166797" name="Rectangle 166797"/>
                        <wps:cNvSpPr/>
                        <wps:spPr>
                          <a:xfrm>
                            <a:off x="2625852" y="1369187"/>
                            <a:ext cx="42143" cy="189937"/>
                          </a:xfrm>
                          <a:prstGeom prst="rect">
                            <a:avLst/>
                          </a:prstGeom>
                          <a:ln>
                            <a:noFill/>
                          </a:ln>
                        </wps:spPr>
                        <wps:txbx>
                          <w:txbxContent>
                            <w:p w:rsidR="0052701D" w:rsidRDefault="00D40929">
                              <w:r>
                                <w:t xml:space="preserve"> </w:t>
                              </w:r>
                            </w:p>
                          </w:txbxContent>
                        </wps:txbx>
                        <wps:bodyPr horzOverflow="overflow" vert="horz" lIns="0" tIns="0" rIns="0" bIns="0" rtlCol="0">
                          <a:noAutofit/>
                        </wps:bodyPr>
                      </wps:wsp>
                      <pic:pic xmlns:pic="http://schemas.openxmlformats.org/drawingml/2006/picture">
                        <pic:nvPicPr>
                          <pic:cNvPr id="167057" name="Picture 167057"/>
                          <pic:cNvPicPr/>
                        </pic:nvPicPr>
                        <pic:blipFill>
                          <a:blip r:embed="rId770"/>
                          <a:stretch>
                            <a:fillRect/>
                          </a:stretch>
                        </pic:blipFill>
                        <pic:spPr>
                          <a:xfrm>
                            <a:off x="0" y="60959"/>
                            <a:ext cx="2624328" cy="1414272"/>
                          </a:xfrm>
                          <a:prstGeom prst="rect">
                            <a:avLst/>
                          </a:prstGeom>
                        </pic:spPr>
                      </pic:pic>
                      <pic:pic xmlns:pic="http://schemas.openxmlformats.org/drawingml/2006/picture">
                        <pic:nvPicPr>
                          <pic:cNvPr id="167059" name="Picture 167059"/>
                          <pic:cNvPicPr/>
                        </pic:nvPicPr>
                        <pic:blipFill>
                          <a:blip r:embed="rId771"/>
                          <a:stretch>
                            <a:fillRect/>
                          </a:stretch>
                        </pic:blipFill>
                        <pic:spPr>
                          <a:xfrm>
                            <a:off x="2862072" y="0"/>
                            <a:ext cx="2846833" cy="1536192"/>
                          </a:xfrm>
                          <a:prstGeom prst="rect">
                            <a:avLst/>
                          </a:prstGeom>
                        </pic:spPr>
                      </pic:pic>
                    </wpg:wgp>
                  </a:graphicData>
                </a:graphic>
              </wp:inline>
            </w:drawing>
          </mc:Choice>
          <mc:Fallback xmlns:a="http://schemas.openxmlformats.org/drawingml/2006/main">
            <w:pict>
              <v:group id="Group 1011254" style="width:449.52pt;height:120.96pt;mso-position-horizontal-relative:char;mso-position-vertical-relative:line" coordsize="57089,15361">
                <v:rect id="Rectangle 166797" style="position:absolute;width:421;height:1899;left:26258;top:13691;" filled="f" stroked="f">
                  <v:textbox inset="0,0,0,0">
                    <w:txbxContent>
                      <w:p>
                        <w:pPr>
                          <w:spacing w:before="0" w:after="160" w:line="259" w:lineRule="auto"/>
                        </w:pPr>
                        <w:r>
                          <w:rPr>
                            <w:rFonts w:cs="Calibri" w:hAnsi="Calibri" w:eastAsia="Calibri" w:ascii="Calibri"/>
                            <w:sz w:val="22"/>
                          </w:rPr>
                          <w:t xml:space="preserve"> </w:t>
                        </w:r>
                      </w:p>
                    </w:txbxContent>
                  </v:textbox>
                </v:rect>
                <v:shape id="Picture 167057" style="position:absolute;width:26243;height:14142;left:0;top:609;" filled="f">
                  <v:imagedata r:id="rId772"/>
                </v:shape>
                <v:shape id="Picture 167059" style="position:absolute;width:28468;height:15361;left:28620;top:0;" filled="f">
                  <v:imagedata r:id="rId773"/>
                </v:shape>
              </v:group>
            </w:pict>
          </mc:Fallback>
        </mc:AlternateContent>
      </w:r>
      <w:r>
        <w:t xml:space="preserve"> </w:t>
      </w:r>
    </w:p>
    <w:p w:rsidR="0052701D" w:rsidRDefault="00D40929">
      <w:pPr>
        <w:spacing w:after="73"/>
      </w:pPr>
      <w:r>
        <w:rPr>
          <w:rFonts w:ascii="Times New Roman" w:eastAsia="Times New Roman" w:hAnsi="Times New Roman" w:cs="Times New Roman"/>
          <w:sz w:val="24"/>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В первом полугодие </w:t>
      </w:r>
      <w:r>
        <w:rPr>
          <w:rFonts w:ascii="Times New Roman" w:eastAsia="Times New Roman" w:hAnsi="Times New Roman" w:cs="Times New Roman"/>
          <w:sz w:val="28"/>
        </w:rPr>
        <w:t>2022 год КГЭУ улучшил в абсолютных значениях свои показатели по публикации в РИНЦ на 25%, в пересчете на 100 НПР удалось выйти в тройку лидеров, заняв вторую позицию. В 2022 г. 582 статьи в РИНЦ на 100 НПР КГЭУ в год (в КХТИ – 140, КАИ – 167). В КГЭУ в 202</w:t>
      </w:r>
      <w:r>
        <w:rPr>
          <w:rFonts w:ascii="Times New Roman" w:eastAsia="Times New Roman" w:hAnsi="Times New Roman" w:cs="Times New Roman"/>
          <w:sz w:val="28"/>
        </w:rPr>
        <w:t xml:space="preserve">2 г. больше на 41% по сравнению с 2021г. за счет размещения всех сборников конференций КГЭУ в системе РИНЦ. </w:t>
      </w:r>
    </w:p>
    <w:p w:rsidR="0052701D" w:rsidRDefault="00D40929">
      <w:pPr>
        <w:spacing w:after="5" w:line="271" w:lineRule="auto"/>
        <w:ind w:left="9" w:right="64" w:firstLine="711"/>
        <w:jc w:val="both"/>
      </w:pPr>
      <w:r>
        <w:rPr>
          <w:rFonts w:ascii="Times New Roman" w:eastAsia="Times New Roman" w:hAnsi="Times New Roman" w:cs="Times New Roman"/>
          <w:sz w:val="28"/>
        </w:rPr>
        <w:t>40,1 статья в Scopus на 100 НПР КГЭУ в год (в КХТИ – 27,2, КАИ – 25,9, КФУ - 59,7). В КГЭУ в 2022 г. на 33% меньше по сравнению с 2021г. В данный м</w:t>
      </w:r>
      <w:r>
        <w:rPr>
          <w:rFonts w:ascii="Times New Roman" w:eastAsia="Times New Roman" w:hAnsi="Times New Roman" w:cs="Times New Roman"/>
          <w:sz w:val="28"/>
        </w:rPr>
        <w:t>омент в КГЭУ выпущено 7 монографий, к изданию во втором полугодии 2022г.  планируется еще 10 монографий (рис. 2).</w:t>
      </w:r>
      <w:r>
        <w:rPr>
          <w:sz w:val="28"/>
        </w:rPr>
        <w:t xml:space="preserve"> </w:t>
      </w:r>
    </w:p>
    <w:p w:rsidR="0052701D" w:rsidRDefault="00D40929">
      <w:pPr>
        <w:spacing w:after="86"/>
        <w:ind w:left="579"/>
        <w:jc w:val="center"/>
      </w:pPr>
      <w:r>
        <w:rPr>
          <w:noProof/>
        </w:rPr>
        <w:drawing>
          <wp:inline distT="0" distB="0" distL="0" distR="0">
            <wp:extent cx="3108960" cy="1121664"/>
            <wp:effectExtent l="0" t="0" r="0" b="0"/>
            <wp:docPr id="167636" name="Picture 167636"/>
            <wp:cNvGraphicFramePr/>
            <a:graphic xmlns:a="http://schemas.openxmlformats.org/drawingml/2006/main">
              <a:graphicData uri="http://schemas.openxmlformats.org/drawingml/2006/picture">
                <pic:pic xmlns:pic="http://schemas.openxmlformats.org/drawingml/2006/picture">
                  <pic:nvPicPr>
                    <pic:cNvPr id="167636" name="Picture 167636"/>
                    <pic:cNvPicPr/>
                  </pic:nvPicPr>
                  <pic:blipFill>
                    <a:blip r:embed="rId774"/>
                    <a:stretch>
                      <a:fillRect/>
                    </a:stretch>
                  </pic:blipFill>
                  <pic:spPr>
                    <a:xfrm>
                      <a:off x="0" y="0"/>
                      <a:ext cx="3108960" cy="1121664"/>
                    </a:xfrm>
                    <a:prstGeom prst="rect">
                      <a:avLst/>
                    </a:prstGeom>
                  </pic:spPr>
                </pic:pic>
              </a:graphicData>
            </a:graphic>
          </wp:inline>
        </w:drawing>
      </w:r>
      <w:r>
        <w:t xml:space="preserve"> </w:t>
      </w:r>
    </w:p>
    <w:p w:rsidR="0052701D" w:rsidRDefault="00D40929">
      <w:pPr>
        <w:spacing w:after="14" w:line="248" w:lineRule="auto"/>
        <w:ind w:left="713" w:right="762" w:hanging="5"/>
        <w:jc w:val="center"/>
      </w:pPr>
      <w:r>
        <w:rPr>
          <w:rFonts w:ascii="Times New Roman" w:eastAsia="Times New Roman" w:hAnsi="Times New Roman" w:cs="Times New Roman"/>
          <w:sz w:val="24"/>
        </w:rPr>
        <w:t xml:space="preserve">Рис. 2. Монографии, изданные в КГЭУ </w:t>
      </w:r>
    </w:p>
    <w:p w:rsidR="0052701D" w:rsidRDefault="00D40929">
      <w:pPr>
        <w:spacing w:after="106"/>
        <w:ind w:left="711"/>
      </w:pPr>
      <w:r>
        <w:rPr>
          <w:rFonts w:ascii="Times New Roman" w:eastAsia="Times New Roman" w:hAnsi="Times New Roman" w:cs="Times New Roman"/>
          <w:b/>
        </w:rPr>
        <w:t xml:space="preserve"> </w:t>
      </w:r>
    </w:p>
    <w:p w:rsidR="0052701D" w:rsidRDefault="00D40929">
      <w:pPr>
        <w:spacing w:after="44" w:line="251" w:lineRule="auto"/>
        <w:ind w:firstLine="711"/>
      </w:pPr>
      <w:r>
        <w:rPr>
          <w:rFonts w:ascii="Times New Roman" w:eastAsia="Times New Roman" w:hAnsi="Times New Roman" w:cs="Times New Roman"/>
          <w:b/>
          <w:sz w:val="28"/>
        </w:rPr>
        <w:t xml:space="preserve">Мероприятия КГЭУ для обеспечения публикационной активности за 2020-2022 гг. </w:t>
      </w:r>
    </w:p>
    <w:p w:rsidR="0052701D" w:rsidRDefault="00D40929">
      <w:pPr>
        <w:spacing w:after="5" w:line="271" w:lineRule="auto"/>
        <w:ind w:left="9" w:right="64" w:firstLine="711"/>
        <w:jc w:val="both"/>
      </w:pPr>
      <w:r>
        <w:rPr>
          <w:rFonts w:ascii="Times New Roman" w:eastAsia="Times New Roman" w:hAnsi="Times New Roman" w:cs="Times New Roman"/>
          <w:sz w:val="28"/>
        </w:rPr>
        <w:t>Важным для обеспечения</w:t>
      </w:r>
      <w:r>
        <w:rPr>
          <w:rFonts w:ascii="Times New Roman" w:eastAsia="Times New Roman" w:hAnsi="Times New Roman" w:cs="Times New Roman"/>
          <w:sz w:val="28"/>
        </w:rPr>
        <w:t xml:space="preserve"> роста публикационной активности университета является и развитие, и поддержание научного партнерства.  </w:t>
      </w:r>
    </w:p>
    <w:p w:rsidR="0052701D" w:rsidRDefault="00D40929">
      <w:pPr>
        <w:spacing w:after="5" w:line="271" w:lineRule="auto"/>
        <w:ind w:left="9" w:right="64" w:firstLine="711"/>
        <w:jc w:val="both"/>
      </w:pPr>
      <w:r>
        <w:rPr>
          <w:rFonts w:ascii="Times New Roman" w:eastAsia="Times New Roman" w:hAnsi="Times New Roman" w:cs="Times New Roman"/>
          <w:sz w:val="28"/>
        </w:rPr>
        <w:t>Было проведено 27 совместных конференций с ВУЗами России и зарубежья, с публикацией работ в SCOPUS, WoS и РИНЦ. Расширился географический состав авторо</w:t>
      </w:r>
      <w:r>
        <w:rPr>
          <w:rFonts w:ascii="Times New Roman" w:eastAsia="Times New Roman" w:hAnsi="Times New Roman" w:cs="Times New Roman"/>
          <w:sz w:val="28"/>
        </w:rPr>
        <w:t>в в журналах КГЭУ. Были привлечены авторы из Беларуси, Казахстана, Таджикистана, Узбекистана, Кыргызстана, Болгарии, Словакии, Румынии, Португалии и Индии. Также расширился географический состав членов редакционных коллегий журналов. В состав вошли доктора</w:t>
      </w:r>
      <w:r>
        <w:rPr>
          <w:rFonts w:ascii="Times New Roman" w:eastAsia="Times New Roman" w:hAnsi="Times New Roman" w:cs="Times New Roman"/>
          <w:sz w:val="28"/>
        </w:rPr>
        <w:t xml:space="preserve"> наук из Казахстана, Кыргызстана, Португалии, Чехословакии, Китая и из стран СНГ. Продолжил свою работу Консорциум технического образования России и Казахстана (КТОРК). Были проведены совместные научные мероприятия, подготовлены грантовые заявки, совместны</w:t>
      </w:r>
      <w:r>
        <w:rPr>
          <w:rFonts w:ascii="Times New Roman" w:eastAsia="Times New Roman" w:hAnsi="Times New Roman" w:cs="Times New Roman"/>
          <w:sz w:val="28"/>
        </w:rPr>
        <w:t xml:space="preserve">е публикации. </w:t>
      </w:r>
    </w:p>
    <w:p w:rsidR="0052701D" w:rsidRDefault="00D40929">
      <w:pPr>
        <w:spacing w:after="5" w:line="271" w:lineRule="auto"/>
        <w:ind w:left="9" w:right="64" w:firstLine="711"/>
        <w:jc w:val="both"/>
      </w:pPr>
      <w:r>
        <w:rPr>
          <w:rFonts w:ascii="Times New Roman" w:eastAsia="Times New Roman" w:hAnsi="Times New Roman" w:cs="Times New Roman"/>
          <w:sz w:val="28"/>
        </w:rPr>
        <w:lastRenderedPageBreak/>
        <w:t>В КГЭУ в 2019 году был создан Центр публикационной активности (ЦПА). Основной задачей центра является содействие профессорско-</w:t>
      </w:r>
    </w:p>
    <w:p w:rsidR="0052701D" w:rsidRDefault="00D40929">
      <w:pPr>
        <w:spacing w:after="31" w:line="271" w:lineRule="auto"/>
        <w:ind w:left="9" w:right="64"/>
        <w:jc w:val="both"/>
      </w:pPr>
      <w:r>
        <w:rPr>
          <w:rFonts w:ascii="Times New Roman" w:eastAsia="Times New Roman" w:hAnsi="Times New Roman" w:cs="Times New Roman"/>
          <w:sz w:val="28"/>
        </w:rPr>
        <w:t xml:space="preserve">преподавательскому составу университета в подготовке и продвижению статей.  ЦПА регулярно проводит циклы курсов </w:t>
      </w:r>
      <w:r>
        <w:rPr>
          <w:rFonts w:ascii="Times New Roman" w:eastAsia="Times New Roman" w:hAnsi="Times New Roman" w:cs="Times New Roman"/>
          <w:sz w:val="28"/>
        </w:rPr>
        <w:t xml:space="preserve">повышения квалификации «Open Science». На которых сотрудники центра знакомят слушателей с тенденциями и тонкостями публикационной активности. </w:t>
      </w:r>
    </w:p>
    <w:p w:rsidR="0052701D" w:rsidRDefault="00D40929">
      <w:pPr>
        <w:spacing w:after="49" w:line="251" w:lineRule="auto"/>
        <w:ind w:left="720" w:firstLine="9"/>
      </w:pPr>
      <w:r>
        <w:rPr>
          <w:rFonts w:ascii="Times New Roman" w:eastAsia="Times New Roman" w:hAnsi="Times New Roman" w:cs="Times New Roman"/>
          <w:b/>
          <w:sz w:val="28"/>
        </w:rPr>
        <w:t xml:space="preserve">Заключение </w:t>
      </w:r>
    </w:p>
    <w:p w:rsidR="0052701D" w:rsidRDefault="00D40929">
      <w:pPr>
        <w:spacing w:after="25" w:line="271" w:lineRule="auto"/>
        <w:ind w:left="9" w:right="64" w:firstLine="711"/>
        <w:jc w:val="both"/>
      </w:pPr>
      <w:r>
        <w:rPr>
          <w:rFonts w:ascii="Times New Roman" w:eastAsia="Times New Roman" w:hAnsi="Times New Roman" w:cs="Times New Roman"/>
          <w:sz w:val="28"/>
        </w:rPr>
        <w:t>Проведенный анализ публикационной активности КГЭУ показал, что необходимо развивать публикационную де</w:t>
      </w:r>
      <w:r>
        <w:rPr>
          <w:rFonts w:ascii="Times New Roman" w:eastAsia="Times New Roman" w:hAnsi="Times New Roman" w:cs="Times New Roman"/>
          <w:sz w:val="28"/>
        </w:rPr>
        <w:t xml:space="preserve">ятельность профессорскопреподавательского состава, для стабильной динамики роста показателей университета, для укрепления показателей цитируемости, используемые при составлении различных рейтингов. </w:t>
      </w:r>
    </w:p>
    <w:p w:rsidR="0052701D" w:rsidRDefault="00D40929">
      <w:pPr>
        <w:spacing w:after="32" w:line="271" w:lineRule="auto"/>
        <w:ind w:left="9" w:right="64" w:firstLine="711"/>
        <w:jc w:val="both"/>
      </w:pPr>
      <w:r>
        <w:rPr>
          <w:rFonts w:ascii="Times New Roman" w:eastAsia="Times New Roman" w:hAnsi="Times New Roman" w:cs="Times New Roman"/>
          <w:sz w:val="28"/>
        </w:rPr>
        <w:t>Научное сотрудничество на разных уровнях открывает широки</w:t>
      </w:r>
      <w:r>
        <w:rPr>
          <w:rFonts w:ascii="Times New Roman" w:eastAsia="Times New Roman" w:hAnsi="Times New Roman" w:cs="Times New Roman"/>
          <w:sz w:val="28"/>
        </w:rPr>
        <w:t xml:space="preserve">е возможности для развития публикационной активности, увеличивает видимость и цитируемость научных публикаций российских ученых и как результат это станет плацдармом </w:t>
      </w:r>
      <w:r>
        <w:rPr>
          <w:rFonts w:ascii="Times New Roman" w:eastAsia="Times New Roman" w:hAnsi="Times New Roman" w:cs="Times New Roman"/>
        </w:rPr>
        <w:t xml:space="preserve">в инновационной деятельности университета. </w:t>
      </w:r>
    </w:p>
    <w:p w:rsidR="0052701D" w:rsidRDefault="00D40929">
      <w:pPr>
        <w:spacing w:after="52"/>
        <w:ind w:left="711"/>
      </w:pPr>
      <w:r>
        <w:rPr>
          <w:rFonts w:ascii="Times New Roman" w:eastAsia="Times New Roman" w:hAnsi="Times New Roman" w:cs="Times New Roman"/>
        </w:rPr>
        <w:t xml:space="preserve"> </w:t>
      </w:r>
    </w:p>
    <w:p w:rsidR="0052701D" w:rsidRDefault="00D40929">
      <w:pPr>
        <w:spacing w:after="16" w:line="248" w:lineRule="auto"/>
        <w:ind w:left="819" w:right="876" w:hanging="10"/>
        <w:jc w:val="center"/>
      </w:pPr>
      <w:r>
        <w:rPr>
          <w:rFonts w:ascii="Times New Roman" w:eastAsia="Times New Roman" w:hAnsi="Times New Roman" w:cs="Times New Roman"/>
          <w:b/>
          <w:sz w:val="24"/>
        </w:rPr>
        <w:t xml:space="preserve">ИСТОЧНИКИ </w:t>
      </w:r>
    </w:p>
    <w:p w:rsidR="0052701D" w:rsidRDefault="00D40929">
      <w:pPr>
        <w:numPr>
          <w:ilvl w:val="0"/>
          <w:numId w:val="134"/>
        </w:numPr>
        <w:spacing w:after="29" w:line="248" w:lineRule="auto"/>
        <w:ind w:right="14" w:firstLine="591"/>
        <w:jc w:val="both"/>
      </w:pPr>
      <w:r>
        <w:rPr>
          <w:rFonts w:ascii="Times New Roman" w:eastAsia="Times New Roman" w:hAnsi="Times New Roman" w:cs="Times New Roman"/>
          <w:sz w:val="24"/>
        </w:rPr>
        <w:t xml:space="preserve">Ипрахов И. А. Основные практики </w:t>
      </w:r>
      <w:r>
        <w:rPr>
          <w:rFonts w:ascii="Times New Roman" w:eastAsia="Times New Roman" w:hAnsi="Times New Roman" w:cs="Times New Roman"/>
          <w:sz w:val="24"/>
        </w:rPr>
        <w:t xml:space="preserve">научной деятельности и публикационной активности преподавателей вузов: Информационный бюллетень / И. А. Прахов; Национальный исследовательский университет "Высшая школа экономики". Москва: </w:t>
      </w:r>
    </w:p>
    <w:p w:rsidR="0052701D" w:rsidRDefault="00D40929">
      <w:pPr>
        <w:spacing w:after="29" w:line="248" w:lineRule="auto"/>
        <w:ind w:left="120" w:right="14"/>
        <w:jc w:val="both"/>
      </w:pPr>
      <w:r>
        <w:rPr>
          <w:rFonts w:ascii="Times New Roman" w:eastAsia="Times New Roman" w:hAnsi="Times New Roman" w:cs="Times New Roman"/>
          <w:sz w:val="24"/>
        </w:rPr>
        <w:t>Национальный исследовательский университет "Высшая школа экономики</w:t>
      </w:r>
      <w:r>
        <w:rPr>
          <w:rFonts w:ascii="Times New Roman" w:eastAsia="Times New Roman" w:hAnsi="Times New Roman" w:cs="Times New Roman"/>
          <w:sz w:val="24"/>
        </w:rPr>
        <w:t xml:space="preserve">", 2021. 28 с </w:t>
      </w:r>
    </w:p>
    <w:p w:rsidR="0052701D" w:rsidRDefault="00D40929">
      <w:pPr>
        <w:numPr>
          <w:ilvl w:val="0"/>
          <w:numId w:val="134"/>
        </w:numPr>
        <w:spacing w:after="29" w:line="248" w:lineRule="auto"/>
        <w:ind w:right="14" w:firstLine="591"/>
        <w:jc w:val="both"/>
      </w:pPr>
      <w:r>
        <w:rPr>
          <w:rFonts w:ascii="Times New Roman" w:eastAsia="Times New Roman" w:hAnsi="Times New Roman" w:cs="Times New Roman"/>
          <w:sz w:val="24"/>
        </w:rPr>
        <w:t>Потехина Ю.В. Опыт работы по информационной поддержке публикационной активности преподавателей университета в системе "российский индекс научного цитирования" (РИНЦ) / Ю. В. Потехина // Вестник Хабаровского государственного университета экон</w:t>
      </w:r>
      <w:r>
        <w:rPr>
          <w:rFonts w:ascii="Times New Roman" w:eastAsia="Times New Roman" w:hAnsi="Times New Roman" w:cs="Times New Roman"/>
          <w:sz w:val="24"/>
        </w:rPr>
        <w:t xml:space="preserve">омики и права. – 2021. – № 3(107). – С. 113-118.  </w:t>
      </w:r>
    </w:p>
    <w:p w:rsidR="0052701D" w:rsidRDefault="00D40929">
      <w:pPr>
        <w:numPr>
          <w:ilvl w:val="0"/>
          <w:numId w:val="134"/>
        </w:numPr>
        <w:spacing w:after="29" w:line="248" w:lineRule="auto"/>
        <w:ind w:right="14" w:firstLine="591"/>
        <w:jc w:val="both"/>
      </w:pPr>
      <w:r>
        <w:rPr>
          <w:rFonts w:ascii="Times New Roman" w:eastAsia="Times New Roman" w:hAnsi="Times New Roman" w:cs="Times New Roman"/>
          <w:sz w:val="24"/>
        </w:rPr>
        <w:t>Попов С. С. Предиктивная аналитика как основа повышения качества образования.Мониторинг публикационной активности преподавателей / С. С. Попов, В. А. Якименко // СТИН. – 2022. – № 4. – С. 33-37. – EDN KAIX</w:t>
      </w:r>
      <w:r>
        <w:rPr>
          <w:rFonts w:ascii="Times New Roman" w:eastAsia="Times New Roman" w:hAnsi="Times New Roman" w:cs="Times New Roman"/>
          <w:sz w:val="24"/>
        </w:rPr>
        <w:t xml:space="preserve">VP. </w:t>
      </w:r>
    </w:p>
    <w:p w:rsidR="0052701D" w:rsidRDefault="00D40929">
      <w:pPr>
        <w:numPr>
          <w:ilvl w:val="0"/>
          <w:numId w:val="134"/>
        </w:numPr>
        <w:spacing w:after="29" w:line="248" w:lineRule="auto"/>
        <w:ind w:right="14" w:firstLine="591"/>
        <w:jc w:val="both"/>
      </w:pPr>
      <w:r>
        <w:rPr>
          <w:rFonts w:ascii="Times New Roman" w:eastAsia="Times New Roman" w:hAnsi="Times New Roman" w:cs="Times New Roman"/>
          <w:sz w:val="24"/>
        </w:rPr>
        <w:t xml:space="preserve">Спасенников В.В. Публикационная активность и продуктивность преподавателей в зеркале наукометрии / В. В. Спасенников, В. М. Сканцев, Н. В. Молчанова // Эргодизайн. – 2022. – № 1(15). – С. 55-65. – DOI 10.30987/2658-4026-2022-1-55-65. – EDN QFRPBR. </w:t>
      </w:r>
    </w:p>
    <w:p w:rsidR="0052701D" w:rsidRDefault="00D40929">
      <w:pPr>
        <w:numPr>
          <w:ilvl w:val="0"/>
          <w:numId w:val="134"/>
        </w:numPr>
        <w:spacing w:after="29" w:line="248" w:lineRule="auto"/>
        <w:ind w:right="14" w:firstLine="591"/>
        <w:jc w:val="both"/>
      </w:pPr>
      <w:r>
        <w:rPr>
          <w:rFonts w:ascii="Times New Roman" w:eastAsia="Times New Roman" w:hAnsi="Times New Roman" w:cs="Times New Roman"/>
          <w:sz w:val="24"/>
        </w:rPr>
        <w:t>Ду</w:t>
      </w:r>
      <w:r>
        <w:rPr>
          <w:rFonts w:ascii="Times New Roman" w:eastAsia="Times New Roman" w:hAnsi="Times New Roman" w:cs="Times New Roman"/>
          <w:sz w:val="24"/>
        </w:rPr>
        <w:t xml:space="preserve">йсенова А. М. Мотивация публикационной активности преподавателей в медицинском вузе / А. М. Дуйсенова // Вестник Авиценны. – 2022. – Т. 24. – № 1. – С. 39-49. – DOI 10.25005/2074-0581-2022-24-1-39-49. – EDN LIFPYO. </w:t>
      </w:r>
    </w:p>
    <w:p w:rsidR="0052701D" w:rsidRDefault="00D40929">
      <w:pPr>
        <w:numPr>
          <w:ilvl w:val="0"/>
          <w:numId w:val="134"/>
        </w:numPr>
        <w:spacing w:after="29" w:line="248" w:lineRule="auto"/>
        <w:ind w:right="14" w:firstLine="591"/>
        <w:jc w:val="both"/>
      </w:pPr>
      <w:r>
        <w:rPr>
          <w:rFonts w:ascii="Times New Roman" w:eastAsia="Times New Roman" w:hAnsi="Times New Roman" w:cs="Times New Roman"/>
          <w:sz w:val="24"/>
        </w:rPr>
        <w:t xml:space="preserve">Гришина Е.А. Проблемы применения </w:t>
      </w:r>
      <w:r>
        <w:rPr>
          <w:rFonts w:ascii="Times New Roman" w:eastAsia="Times New Roman" w:hAnsi="Times New Roman" w:cs="Times New Roman"/>
          <w:sz w:val="24"/>
        </w:rPr>
        <w:t>наукометрических методов к измерению эффективности публикационной активности вузовских преподавателей / Е. А. Гришина // Вестник РГГУ. Серия: Философия. Социология. Искусствоведение. – 2019. – № 2(16). – С. 103-114. – DOI 10.28995/2073-6401-2019-2-103-114.</w:t>
      </w:r>
      <w:r>
        <w:rPr>
          <w:rFonts w:ascii="Times New Roman" w:eastAsia="Times New Roman" w:hAnsi="Times New Roman" w:cs="Times New Roman"/>
          <w:sz w:val="24"/>
        </w:rPr>
        <w:t xml:space="preserve"> – EDN WECBEE. </w:t>
      </w:r>
    </w:p>
    <w:p w:rsidR="0052701D" w:rsidRDefault="00D40929">
      <w:pPr>
        <w:numPr>
          <w:ilvl w:val="0"/>
          <w:numId w:val="134"/>
        </w:numPr>
        <w:spacing w:after="29" w:line="248" w:lineRule="auto"/>
        <w:ind w:right="14" w:firstLine="591"/>
        <w:jc w:val="both"/>
      </w:pPr>
      <w:r>
        <w:rPr>
          <w:rFonts w:ascii="Times New Roman" w:eastAsia="Times New Roman" w:hAnsi="Times New Roman" w:cs="Times New Roman"/>
          <w:sz w:val="24"/>
        </w:rPr>
        <w:t>Жарнов,Д. А. Рейтинговая система оценки кафедр университета на основе публикационной активности ее преподавателей / Д. А. Жарнов, Д. Р. Каримов, А. И. Фазылзянов // Прикладная математика и информатика: современные исследования в области ест</w:t>
      </w:r>
      <w:r>
        <w:rPr>
          <w:rFonts w:ascii="Times New Roman" w:eastAsia="Times New Roman" w:hAnsi="Times New Roman" w:cs="Times New Roman"/>
          <w:sz w:val="24"/>
        </w:rPr>
        <w:t xml:space="preserve">ественных и технических наук : Материалы V Международной научно-практической </w:t>
      </w:r>
      <w:r>
        <w:rPr>
          <w:rFonts w:ascii="Times New Roman" w:eastAsia="Times New Roman" w:hAnsi="Times New Roman" w:cs="Times New Roman"/>
          <w:sz w:val="24"/>
        </w:rPr>
        <w:lastRenderedPageBreak/>
        <w:t xml:space="preserve">конференции (школы-семинара) молодых ученых, Тольятти, 22–24 апреля 2019 года. Тольятти: Издатель Качалин Александр Васильевич, 2019. С.530-534. </w:t>
      </w:r>
    </w:p>
    <w:p w:rsidR="0052701D" w:rsidRDefault="00D40929">
      <w:pPr>
        <w:numPr>
          <w:ilvl w:val="0"/>
          <w:numId w:val="134"/>
        </w:numPr>
        <w:spacing w:after="29" w:line="248" w:lineRule="auto"/>
        <w:ind w:right="14" w:firstLine="591"/>
        <w:jc w:val="both"/>
      </w:pPr>
      <w:r>
        <w:rPr>
          <w:rFonts w:ascii="Times New Roman" w:eastAsia="Times New Roman" w:hAnsi="Times New Roman" w:cs="Times New Roman"/>
          <w:sz w:val="24"/>
        </w:rPr>
        <w:t>Сардалов Р.Б., Ельмурзаев А.А., Д</w:t>
      </w:r>
      <w:r>
        <w:rPr>
          <w:rFonts w:ascii="Times New Roman" w:eastAsia="Times New Roman" w:hAnsi="Times New Roman" w:cs="Times New Roman"/>
          <w:sz w:val="24"/>
        </w:rPr>
        <w:t xml:space="preserve">ебиев М.В., Хабатов А.В. Перспективы развития традиционной и нетрадиционной энергетики Чеченской Республики // Известия высших учебных заведений. Проблемы энергетики. 2021. Т.23. № . С. 134-144.  </w:t>
      </w:r>
    </w:p>
    <w:p w:rsidR="0052701D" w:rsidRDefault="00D40929">
      <w:pPr>
        <w:numPr>
          <w:ilvl w:val="0"/>
          <w:numId w:val="134"/>
        </w:numPr>
        <w:spacing w:after="29" w:line="248" w:lineRule="auto"/>
        <w:ind w:right="14" w:firstLine="591"/>
        <w:jc w:val="both"/>
      </w:pPr>
      <w:r>
        <w:rPr>
          <w:rFonts w:ascii="Times New Roman" w:eastAsia="Times New Roman" w:hAnsi="Times New Roman" w:cs="Times New Roman"/>
          <w:sz w:val="24"/>
        </w:rPr>
        <w:t>Уколова Е. В. Развитие метода backward/forward для исследов</w:t>
      </w:r>
      <w:r>
        <w:rPr>
          <w:rFonts w:ascii="Times New Roman" w:eastAsia="Times New Roman" w:hAnsi="Times New Roman" w:cs="Times New Roman"/>
          <w:sz w:val="24"/>
        </w:rPr>
        <w:t xml:space="preserve">ания гибкости систем электроснабжения / Е. В. Уколова, Н. И. Воропай // Вестник 2(46). С. 24-35. </w:t>
      </w:r>
    </w:p>
    <w:p w:rsidR="0052701D" w:rsidRDefault="00D40929">
      <w:pPr>
        <w:spacing w:after="29" w:line="248" w:lineRule="auto"/>
        <w:ind w:left="120" w:right="14" w:firstLine="591"/>
        <w:jc w:val="both"/>
      </w:pPr>
      <w:r>
        <w:rPr>
          <w:rFonts w:ascii="Times New Roman" w:eastAsia="Times New Roman" w:hAnsi="Times New Roman" w:cs="Times New Roman"/>
          <w:sz w:val="24"/>
        </w:rPr>
        <w:t>10.Хабибулин Р. Р. Формирование интегрированного рейтинга публикационной активности преподавателей КНИТУ-КАИ / Р. Р. Хабибулин, А. С. Александров, А. А. Румян</w:t>
      </w:r>
      <w:r>
        <w:rPr>
          <w:rFonts w:ascii="Times New Roman" w:eastAsia="Times New Roman" w:hAnsi="Times New Roman" w:cs="Times New Roman"/>
          <w:sz w:val="24"/>
        </w:rPr>
        <w:t xml:space="preserve">цев // Актуальные проблемы науки в студенческих исследованиях: Сборник материалов VIII Всероссийской студенческой научно-практической конференции, Альметьевск, 2018 года. Альметьевск: Издательство "Перо", 2018. С. 330-332.  </w:t>
      </w:r>
    </w:p>
    <w:p w:rsidR="0052701D" w:rsidRDefault="00D40929">
      <w:pPr>
        <w:numPr>
          <w:ilvl w:val="0"/>
          <w:numId w:val="135"/>
        </w:numPr>
        <w:spacing w:after="29" w:line="248" w:lineRule="auto"/>
        <w:ind w:right="14" w:firstLine="591"/>
        <w:jc w:val="both"/>
      </w:pPr>
      <w:r>
        <w:rPr>
          <w:rFonts w:ascii="Times New Roman" w:eastAsia="Times New Roman" w:hAnsi="Times New Roman" w:cs="Times New Roman"/>
          <w:sz w:val="24"/>
        </w:rPr>
        <w:t xml:space="preserve">Чиркова И. Г. Анализ занятости </w:t>
      </w:r>
      <w:r>
        <w:rPr>
          <w:rFonts w:ascii="Times New Roman" w:eastAsia="Times New Roman" w:hAnsi="Times New Roman" w:cs="Times New Roman"/>
          <w:sz w:val="24"/>
        </w:rPr>
        <w:t xml:space="preserve">в энергетическом секторе экономики региона / И. Г. Чиркова, К. М. Бережной // Вестник Казанского государственного энергетического университета. 2022. Т. 14. № 2(54). С. 134-141.  </w:t>
      </w:r>
    </w:p>
    <w:p w:rsidR="0052701D" w:rsidRDefault="00D40929">
      <w:pPr>
        <w:numPr>
          <w:ilvl w:val="0"/>
          <w:numId w:val="135"/>
        </w:numPr>
        <w:spacing w:after="29" w:line="248" w:lineRule="auto"/>
        <w:ind w:right="14" w:firstLine="591"/>
        <w:jc w:val="both"/>
      </w:pPr>
      <w:r>
        <w:rPr>
          <w:rFonts w:ascii="Times New Roman" w:eastAsia="Times New Roman" w:hAnsi="Times New Roman" w:cs="Times New Roman"/>
          <w:sz w:val="24"/>
        </w:rPr>
        <w:t>Шестакова Л. Г. Интеграция количественных и качественных показателей публика</w:t>
      </w:r>
      <w:r>
        <w:rPr>
          <w:rFonts w:ascii="Times New Roman" w:eastAsia="Times New Roman" w:hAnsi="Times New Roman" w:cs="Times New Roman"/>
          <w:sz w:val="24"/>
        </w:rPr>
        <w:t xml:space="preserve">ционной активности преподавателя с позиции актуализированных ФГОС во / Л. Г. Шестакова // Международный научно-исследовательский журнал. – 2020. – № 3-2(93). – С. 53-56. – DOI 10.23670/IRJ.2020.93.3.037. – EDN BCJENS. </w:t>
      </w:r>
    </w:p>
    <w:p w:rsidR="0052701D" w:rsidRDefault="00D40929">
      <w:pPr>
        <w:numPr>
          <w:ilvl w:val="0"/>
          <w:numId w:val="135"/>
        </w:numPr>
        <w:spacing w:after="29" w:line="248" w:lineRule="auto"/>
        <w:ind w:right="14" w:firstLine="591"/>
        <w:jc w:val="both"/>
      </w:pPr>
      <w:r>
        <w:rPr>
          <w:rFonts w:ascii="Times New Roman" w:eastAsia="Times New Roman" w:hAnsi="Times New Roman" w:cs="Times New Roman"/>
          <w:sz w:val="24"/>
        </w:rPr>
        <w:t>Клейменова Т. Н., Т. О. Сюсина, Н. Н.</w:t>
      </w:r>
      <w:r>
        <w:rPr>
          <w:rFonts w:ascii="Times New Roman" w:eastAsia="Times New Roman" w:hAnsi="Times New Roman" w:cs="Times New Roman"/>
          <w:sz w:val="24"/>
        </w:rPr>
        <w:t xml:space="preserve"> Смирнова. Резервы повышения публикационной активности преподавателей высших учебных заведений / Проблемы современного педагогического образования. – 2020. – № 67-4. – С. 179-182. </w:t>
      </w:r>
    </w:p>
    <w:p w:rsidR="0052701D" w:rsidRDefault="00D40929">
      <w:pPr>
        <w:numPr>
          <w:ilvl w:val="0"/>
          <w:numId w:val="135"/>
        </w:numPr>
        <w:spacing w:after="29" w:line="248" w:lineRule="auto"/>
        <w:ind w:right="14" w:firstLine="591"/>
        <w:jc w:val="both"/>
      </w:pPr>
      <w:r>
        <w:rPr>
          <w:rFonts w:ascii="Times New Roman" w:eastAsia="Times New Roman" w:hAnsi="Times New Roman" w:cs="Times New Roman"/>
          <w:sz w:val="24"/>
        </w:rPr>
        <w:t>Соловьева О. В. Исследование движения газовзвеси в моделях фильтров с тверд</w:t>
      </w:r>
      <w:r>
        <w:rPr>
          <w:rFonts w:ascii="Times New Roman" w:eastAsia="Times New Roman" w:hAnsi="Times New Roman" w:cs="Times New Roman"/>
          <w:sz w:val="24"/>
        </w:rPr>
        <w:t xml:space="preserve">отельными и пористыми гранулами / О. В. Соловьева, С. А. Соловьев, А. Р. Талипова </w:t>
      </w:r>
    </w:p>
    <w:p w:rsidR="0052701D" w:rsidRDefault="00D40929">
      <w:pPr>
        <w:spacing w:after="29" w:line="248" w:lineRule="auto"/>
        <w:ind w:left="120" w:right="14"/>
        <w:jc w:val="both"/>
      </w:pPr>
      <w:r>
        <w:rPr>
          <w:rFonts w:ascii="Times New Roman" w:eastAsia="Times New Roman" w:hAnsi="Times New Roman" w:cs="Times New Roman"/>
          <w:sz w:val="24"/>
        </w:rPr>
        <w:t xml:space="preserve">[и др.] // Вестник Казанского государственного энергетического университета. 2021. Т. 13. № 2(50). С. 27-39. </w:t>
      </w:r>
    </w:p>
    <w:p w:rsidR="0052701D" w:rsidRDefault="00D40929">
      <w:pPr>
        <w:numPr>
          <w:ilvl w:val="0"/>
          <w:numId w:val="135"/>
        </w:numPr>
        <w:spacing w:after="29" w:line="248" w:lineRule="auto"/>
        <w:ind w:right="14" w:firstLine="591"/>
        <w:jc w:val="both"/>
      </w:pPr>
      <w:r>
        <w:rPr>
          <w:rFonts w:ascii="Times New Roman" w:eastAsia="Times New Roman" w:hAnsi="Times New Roman" w:cs="Times New Roman"/>
          <w:sz w:val="24"/>
        </w:rPr>
        <w:t>Корнева П.А., Зарипова Р.С. Автоматизированные системы управлен</w:t>
      </w:r>
      <w:r>
        <w:rPr>
          <w:rFonts w:ascii="Times New Roman" w:eastAsia="Times New Roman" w:hAnsi="Times New Roman" w:cs="Times New Roman"/>
          <w:sz w:val="24"/>
        </w:rPr>
        <w:t xml:space="preserve">ия университетом / Информационные технологии в строительных, социальных и экономических системах. 2020. № 4 (22). С. 70-72. </w:t>
      </w:r>
    </w:p>
    <w:p w:rsidR="0052701D" w:rsidRDefault="00D40929">
      <w:pPr>
        <w:numPr>
          <w:ilvl w:val="0"/>
          <w:numId w:val="135"/>
        </w:numPr>
        <w:spacing w:after="29" w:line="248" w:lineRule="auto"/>
        <w:ind w:right="14" w:firstLine="591"/>
        <w:jc w:val="both"/>
      </w:pPr>
      <w:r>
        <w:rPr>
          <w:rFonts w:ascii="Times New Roman" w:eastAsia="Times New Roman" w:hAnsi="Times New Roman" w:cs="Times New Roman"/>
          <w:sz w:val="24"/>
        </w:rPr>
        <w:t>Хуснуллова, А. Р. Четвертая промышленная революция и ее социальноэкономические последствия / А. Р. Хуснуллова, Ю. С. Валеева, С. Г.</w:t>
      </w:r>
      <w:r>
        <w:rPr>
          <w:rFonts w:ascii="Times New Roman" w:eastAsia="Times New Roman" w:hAnsi="Times New Roman" w:cs="Times New Roman"/>
          <w:sz w:val="24"/>
        </w:rPr>
        <w:t xml:space="preserve"> Абсалямова // Научное обозрение. – 2016. – № 13. – С. 157-163.  </w:t>
      </w:r>
    </w:p>
    <w:p w:rsidR="0052701D" w:rsidRDefault="0052701D">
      <w:pPr>
        <w:sectPr w:rsidR="0052701D">
          <w:footerReference w:type="even" r:id="rId775"/>
          <w:footerReference w:type="default" r:id="rId776"/>
          <w:footerReference w:type="first" r:id="rId777"/>
          <w:footnotePr>
            <w:numRestart w:val="eachPage"/>
          </w:footnotePr>
          <w:pgSz w:w="11899" w:h="16838"/>
          <w:pgMar w:top="1002" w:right="790" w:bottom="1230" w:left="1416" w:header="720" w:footer="300" w:gutter="0"/>
          <w:cols w:space="720"/>
        </w:sectPr>
      </w:pPr>
    </w:p>
    <w:p w:rsidR="0052701D" w:rsidRDefault="00D40929">
      <w:pPr>
        <w:spacing w:after="369" w:line="264" w:lineRule="auto"/>
        <w:ind w:left="10" w:hanging="10"/>
      </w:pPr>
      <w:r>
        <w:rPr>
          <w:rFonts w:ascii="Times New Roman" w:eastAsia="Times New Roman" w:hAnsi="Times New Roman" w:cs="Times New Roman"/>
          <w:b/>
          <w:sz w:val="24"/>
        </w:rPr>
        <w:lastRenderedPageBreak/>
        <w:t>УДК 338:378.14</w:t>
      </w:r>
    </w:p>
    <w:p w:rsidR="0052701D" w:rsidRDefault="00D40929">
      <w:pPr>
        <w:pStyle w:val="1"/>
        <w:spacing w:after="310" w:line="249" w:lineRule="auto"/>
        <w:ind w:left="576" w:right="566"/>
      </w:pPr>
      <w:r>
        <w:t>ВЛИЯНИЕ ЦИФРОВОЙ ТРАНСФОРМАЦИИ НА КАЧЕСТВО И СОДЕРЖАНИЕ ОБРАЗОВАТЕЛЬНОЙ ТРАЕКТОРИИ УНИВЕРСИТЕТОВ</w:t>
      </w:r>
    </w:p>
    <w:p w:rsidR="0052701D" w:rsidRDefault="00D40929">
      <w:pPr>
        <w:pStyle w:val="1"/>
        <w:spacing w:after="10" w:line="249" w:lineRule="auto"/>
        <w:ind w:left="714" w:right="0"/>
      </w:pPr>
      <w:r>
        <w:rPr>
          <w:b w:val="0"/>
          <w:sz w:val="24"/>
        </w:rPr>
        <w:t xml:space="preserve">Валеева Светлана Николаевна </w:t>
      </w:r>
    </w:p>
    <w:p w:rsidR="0052701D" w:rsidRDefault="00D40929">
      <w:pPr>
        <w:spacing w:after="266" w:line="249" w:lineRule="auto"/>
        <w:ind w:left="714" w:right="704" w:hanging="10"/>
        <w:jc w:val="center"/>
      </w:pPr>
      <w:r>
        <w:rPr>
          <w:rFonts w:ascii="Times New Roman" w:eastAsia="Times New Roman" w:hAnsi="Times New Roman" w:cs="Times New Roman"/>
          <w:sz w:val="24"/>
        </w:rPr>
        <w:t xml:space="preserve">Казанский государственный энергетический университет, г. Казань, Россия </w:t>
      </w:r>
      <w:r>
        <w:rPr>
          <w:rFonts w:ascii="Times New Roman" w:eastAsia="Times New Roman" w:hAnsi="Times New Roman" w:cs="Times New Roman"/>
          <w:i/>
          <w:sz w:val="24"/>
        </w:rPr>
        <w:t>esp_snvaleeva@mail.ru</w:t>
      </w:r>
    </w:p>
    <w:p w:rsidR="0052701D" w:rsidRDefault="00D40929">
      <w:pPr>
        <w:spacing w:after="3" w:line="249" w:lineRule="auto"/>
        <w:ind w:left="-15" w:right="1" w:firstLine="698"/>
        <w:jc w:val="both"/>
      </w:pPr>
      <w:r>
        <w:rPr>
          <w:rFonts w:ascii="Times New Roman" w:eastAsia="Times New Roman" w:hAnsi="Times New Roman" w:cs="Times New Roman"/>
          <w:b/>
          <w:i/>
          <w:sz w:val="24"/>
        </w:rPr>
        <w:t>Аннотация:</w:t>
      </w:r>
      <w:r>
        <w:rPr>
          <w:rFonts w:ascii="Times New Roman" w:eastAsia="Times New Roman" w:hAnsi="Times New Roman" w:cs="Times New Roman"/>
          <w:i/>
          <w:sz w:val="24"/>
        </w:rPr>
        <w:t xml:space="preserve"> Широкое распространение цифровых технологий привело к глобальной трансформации всех жизненных сфер человека, где применение искусственного интеллекта, робототехники, виртуальной реальности, блокчейна и других инноваций оказало мощное влияние на формирован</w:t>
      </w:r>
      <w:r>
        <w:rPr>
          <w:rFonts w:ascii="Times New Roman" w:eastAsia="Times New Roman" w:hAnsi="Times New Roman" w:cs="Times New Roman"/>
          <w:i/>
          <w:sz w:val="24"/>
        </w:rPr>
        <w:t xml:space="preserve">ие специалистов, владеющих новым типом компетенций, а именно цифровыми компетенциями, цифровой грамотностью. </w:t>
      </w:r>
    </w:p>
    <w:p w:rsidR="0052701D" w:rsidRDefault="00D40929">
      <w:pPr>
        <w:spacing w:after="3" w:line="249" w:lineRule="auto"/>
        <w:ind w:left="-15" w:right="1" w:firstLine="698"/>
        <w:jc w:val="both"/>
      </w:pPr>
      <w:r>
        <w:rPr>
          <w:rFonts w:ascii="Times New Roman" w:eastAsia="Times New Roman" w:hAnsi="Times New Roman" w:cs="Times New Roman"/>
          <w:i/>
          <w:sz w:val="24"/>
        </w:rPr>
        <w:t>Цифровизация экономики ведет к полному проникновению цифровых технологий непосредственно в образование и полное погружение в цифровизацию образова</w:t>
      </w:r>
      <w:r>
        <w:rPr>
          <w:rFonts w:ascii="Times New Roman" w:eastAsia="Times New Roman" w:hAnsi="Times New Roman" w:cs="Times New Roman"/>
          <w:i/>
          <w:sz w:val="24"/>
        </w:rPr>
        <w:t>тельного процесса, поскольку образование становится непрерывным процессом и для достижения его конкурентоспособности нужно формировать специалистов высокого профиля, владеющих цифровыми компетенциями. Для этого необходимо создание специальной среды в образ</w:t>
      </w:r>
      <w:r>
        <w:rPr>
          <w:rFonts w:ascii="Times New Roman" w:eastAsia="Times New Roman" w:hAnsi="Times New Roman" w:cs="Times New Roman"/>
          <w:i/>
          <w:sz w:val="24"/>
        </w:rPr>
        <w:t>овательных учреждениях, включающих не только крепкое материально-техническое обеспечение, но и квалифицированный состав ППС (профессорско-преподавательского состава).</w:t>
      </w:r>
    </w:p>
    <w:p w:rsidR="0052701D" w:rsidRDefault="00D40929">
      <w:pPr>
        <w:spacing w:after="3" w:line="249" w:lineRule="auto"/>
        <w:ind w:left="-15" w:right="1" w:firstLine="698"/>
        <w:jc w:val="both"/>
      </w:pPr>
      <w:r>
        <w:rPr>
          <w:rFonts w:ascii="Times New Roman" w:eastAsia="Times New Roman" w:hAnsi="Times New Roman" w:cs="Times New Roman"/>
          <w:i/>
          <w:sz w:val="24"/>
        </w:rPr>
        <w:t>Суть цифровой трансформации образования в том, чтобы эффективно и гибко применять новейши</w:t>
      </w:r>
      <w:r>
        <w:rPr>
          <w:rFonts w:ascii="Times New Roman" w:eastAsia="Times New Roman" w:hAnsi="Times New Roman" w:cs="Times New Roman"/>
          <w:i/>
          <w:sz w:val="24"/>
        </w:rPr>
        <w:t xml:space="preserve">е цифровые технологии для перехода к персонализированному и ориентированному на результат образовательному процессу. </w:t>
      </w:r>
    </w:p>
    <w:p w:rsidR="0052701D" w:rsidRDefault="00D40929">
      <w:pPr>
        <w:spacing w:after="3" w:line="249" w:lineRule="auto"/>
        <w:ind w:left="-15" w:right="1" w:firstLine="698"/>
        <w:jc w:val="both"/>
      </w:pPr>
      <w:r>
        <w:rPr>
          <w:rFonts w:ascii="Times New Roman" w:eastAsia="Times New Roman" w:hAnsi="Times New Roman" w:cs="Times New Roman"/>
          <w:i/>
          <w:sz w:val="24"/>
        </w:rPr>
        <w:t>Необходима трансформация самой парадигмы образования и пересмотр существующих подходов и моделей обучения, направленных на развитие навыко</w:t>
      </w:r>
      <w:r>
        <w:rPr>
          <w:rFonts w:ascii="Times New Roman" w:eastAsia="Times New Roman" w:hAnsi="Times New Roman" w:cs="Times New Roman"/>
          <w:i/>
          <w:sz w:val="24"/>
        </w:rPr>
        <w:t>в общей цифровой грамотности, необходимых для конкурентной способности в новом цифровом мире.</w:t>
      </w:r>
    </w:p>
    <w:p w:rsidR="0052701D" w:rsidRDefault="00D40929">
      <w:pPr>
        <w:spacing w:after="3" w:line="249" w:lineRule="auto"/>
        <w:ind w:left="-15" w:right="1" w:firstLine="698"/>
        <w:jc w:val="both"/>
      </w:pPr>
      <w:r>
        <w:rPr>
          <w:noProof/>
        </w:rPr>
        <mc:AlternateContent>
          <mc:Choice Requires="wpg">
            <w:drawing>
              <wp:anchor distT="0" distB="0" distL="114300" distR="114300" simplePos="0" relativeHeight="251772928" behindDoc="1" locked="0" layoutInCell="1" allowOverlap="1">
                <wp:simplePos x="0" y="0"/>
                <wp:positionH relativeFrom="column">
                  <wp:posOffset>-1269</wp:posOffset>
                </wp:positionH>
                <wp:positionV relativeFrom="paragraph">
                  <wp:posOffset>-6433</wp:posOffset>
                </wp:positionV>
                <wp:extent cx="5758815" cy="525145"/>
                <wp:effectExtent l="0" t="0" r="0" b="0"/>
                <wp:wrapNone/>
                <wp:docPr id="1012107" name="Group 1012107"/>
                <wp:cNvGraphicFramePr/>
                <a:graphic xmlns:a="http://schemas.openxmlformats.org/drawingml/2006/main">
                  <a:graphicData uri="http://schemas.microsoft.com/office/word/2010/wordprocessingGroup">
                    <wpg:wgp>
                      <wpg:cNvGrpSpPr/>
                      <wpg:grpSpPr>
                        <a:xfrm>
                          <a:off x="0" y="0"/>
                          <a:ext cx="5758815" cy="525145"/>
                          <a:chOff x="0" y="0"/>
                          <a:chExt cx="5758815" cy="525145"/>
                        </a:xfrm>
                      </wpg:grpSpPr>
                      <wps:wsp>
                        <wps:cNvPr id="1065555" name="Shape 1065555"/>
                        <wps:cNvSpPr/>
                        <wps:spPr>
                          <a:xfrm>
                            <a:off x="449580" y="0"/>
                            <a:ext cx="5309235" cy="174625"/>
                          </a:xfrm>
                          <a:custGeom>
                            <a:avLst/>
                            <a:gdLst/>
                            <a:ahLst/>
                            <a:cxnLst/>
                            <a:rect l="0" t="0" r="0" b="0"/>
                            <a:pathLst>
                              <a:path w="5309235" h="174625">
                                <a:moveTo>
                                  <a:pt x="0" y="0"/>
                                </a:moveTo>
                                <a:lnTo>
                                  <a:pt x="5309235" y="0"/>
                                </a:lnTo>
                                <a:lnTo>
                                  <a:pt x="5309235" y="174625"/>
                                </a:lnTo>
                                <a:lnTo>
                                  <a:pt x="0" y="174625"/>
                                </a:lnTo>
                                <a:lnTo>
                                  <a:pt x="0" y="0"/>
                                </a:lnTo>
                              </a:path>
                            </a:pathLst>
                          </a:custGeom>
                          <a:ln w="0" cap="flat">
                            <a:miter lim="127000"/>
                          </a:ln>
                        </wps:spPr>
                        <wps:style>
                          <a:lnRef idx="0">
                            <a:srgbClr val="000000">
                              <a:alpha val="0"/>
                            </a:srgbClr>
                          </a:lnRef>
                          <a:fillRef idx="1">
                            <a:srgbClr val="FCFCFC"/>
                          </a:fillRef>
                          <a:effectRef idx="0">
                            <a:scrgbClr r="0" g="0" b="0"/>
                          </a:effectRef>
                          <a:fontRef idx="none"/>
                        </wps:style>
                        <wps:bodyPr/>
                      </wps:wsp>
                      <wps:wsp>
                        <wps:cNvPr id="1065556" name="Shape 1065556"/>
                        <wps:cNvSpPr/>
                        <wps:spPr>
                          <a:xfrm>
                            <a:off x="0" y="175259"/>
                            <a:ext cx="5758815" cy="174625"/>
                          </a:xfrm>
                          <a:custGeom>
                            <a:avLst/>
                            <a:gdLst/>
                            <a:ahLst/>
                            <a:cxnLst/>
                            <a:rect l="0" t="0" r="0" b="0"/>
                            <a:pathLst>
                              <a:path w="5758815" h="174625">
                                <a:moveTo>
                                  <a:pt x="0" y="0"/>
                                </a:moveTo>
                                <a:lnTo>
                                  <a:pt x="5758815" y="0"/>
                                </a:lnTo>
                                <a:lnTo>
                                  <a:pt x="5758815" y="174625"/>
                                </a:lnTo>
                                <a:lnTo>
                                  <a:pt x="0" y="174625"/>
                                </a:lnTo>
                                <a:lnTo>
                                  <a:pt x="0" y="0"/>
                                </a:lnTo>
                              </a:path>
                            </a:pathLst>
                          </a:custGeom>
                          <a:ln w="0" cap="flat">
                            <a:miter lim="127000"/>
                          </a:ln>
                        </wps:spPr>
                        <wps:style>
                          <a:lnRef idx="0">
                            <a:srgbClr val="000000">
                              <a:alpha val="0"/>
                            </a:srgbClr>
                          </a:lnRef>
                          <a:fillRef idx="1">
                            <a:srgbClr val="FCFCFC"/>
                          </a:fillRef>
                          <a:effectRef idx="0">
                            <a:scrgbClr r="0" g="0" b="0"/>
                          </a:effectRef>
                          <a:fontRef idx="none"/>
                        </wps:style>
                        <wps:bodyPr/>
                      </wps:wsp>
                      <wps:wsp>
                        <wps:cNvPr id="1065557" name="Shape 1065557"/>
                        <wps:cNvSpPr/>
                        <wps:spPr>
                          <a:xfrm>
                            <a:off x="0" y="350520"/>
                            <a:ext cx="1915795" cy="174625"/>
                          </a:xfrm>
                          <a:custGeom>
                            <a:avLst/>
                            <a:gdLst/>
                            <a:ahLst/>
                            <a:cxnLst/>
                            <a:rect l="0" t="0" r="0" b="0"/>
                            <a:pathLst>
                              <a:path w="1915795" h="174625">
                                <a:moveTo>
                                  <a:pt x="0" y="0"/>
                                </a:moveTo>
                                <a:lnTo>
                                  <a:pt x="1915795" y="0"/>
                                </a:lnTo>
                                <a:lnTo>
                                  <a:pt x="1915795" y="174625"/>
                                </a:lnTo>
                                <a:lnTo>
                                  <a:pt x="0" y="174625"/>
                                </a:lnTo>
                                <a:lnTo>
                                  <a:pt x="0" y="0"/>
                                </a:lnTo>
                              </a:path>
                            </a:pathLst>
                          </a:custGeom>
                          <a:ln w="0" cap="flat">
                            <a:miter lim="127000"/>
                          </a:ln>
                        </wps:spPr>
                        <wps:style>
                          <a:lnRef idx="0">
                            <a:srgbClr val="000000">
                              <a:alpha val="0"/>
                            </a:srgbClr>
                          </a:lnRef>
                          <a:fillRef idx="1">
                            <a:srgbClr val="FCFCFC"/>
                          </a:fillRef>
                          <a:effectRef idx="0">
                            <a:scrgbClr r="0" g="0" b="0"/>
                          </a:effectRef>
                          <a:fontRef idx="none"/>
                        </wps:style>
                        <wps:bodyPr/>
                      </wps:wsp>
                      <wps:wsp>
                        <wps:cNvPr id="1065558" name="Shape 1065558"/>
                        <wps:cNvSpPr/>
                        <wps:spPr>
                          <a:xfrm>
                            <a:off x="1916430" y="350520"/>
                            <a:ext cx="37465" cy="174625"/>
                          </a:xfrm>
                          <a:custGeom>
                            <a:avLst/>
                            <a:gdLst/>
                            <a:ahLst/>
                            <a:cxnLst/>
                            <a:rect l="0" t="0" r="0" b="0"/>
                            <a:pathLst>
                              <a:path w="37465" h="174625">
                                <a:moveTo>
                                  <a:pt x="0" y="0"/>
                                </a:moveTo>
                                <a:lnTo>
                                  <a:pt x="37465" y="0"/>
                                </a:lnTo>
                                <a:lnTo>
                                  <a:pt x="37465" y="174625"/>
                                </a:lnTo>
                                <a:lnTo>
                                  <a:pt x="0" y="174625"/>
                                </a:lnTo>
                                <a:lnTo>
                                  <a:pt x="0" y="0"/>
                                </a:lnTo>
                              </a:path>
                            </a:pathLst>
                          </a:custGeom>
                          <a:ln w="0" cap="flat">
                            <a:miter lim="127000"/>
                          </a:ln>
                        </wps:spPr>
                        <wps:style>
                          <a:lnRef idx="0">
                            <a:srgbClr val="000000">
                              <a:alpha val="0"/>
                            </a:srgbClr>
                          </a:lnRef>
                          <a:fillRef idx="1">
                            <a:srgbClr val="FCFCFC"/>
                          </a:fillRef>
                          <a:effectRef idx="0">
                            <a:scrgbClr r="0" g="0" b="0"/>
                          </a:effectRef>
                          <a:fontRef idx="none"/>
                        </wps:style>
                        <wps:bodyPr/>
                      </wps:wsp>
                    </wpg:wgp>
                  </a:graphicData>
                </a:graphic>
              </wp:anchor>
            </w:drawing>
          </mc:Choice>
          <mc:Fallback xmlns:a="http://schemas.openxmlformats.org/drawingml/2006/main">
            <w:pict>
              <v:group id="Group 1012107" style="width:453.45pt;height:41.35pt;position:absolute;z-index:-2147483603;mso-position-horizontal-relative:text;mso-position-horizontal:absolute;margin-left:-0.0999985pt;mso-position-vertical-relative:text;margin-top:-0.506592pt;" coordsize="57588,5251">
                <v:shape id="Shape 1065559" style="position:absolute;width:53092;height:1746;left:4495;top:0;" coordsize="5309235,174625" path="m0,0l5309235,0l5309235,174625l0,174625l0,0">
                  <v:stroke weight="0pt" endcap="flat" joinstyle="miter" miterlimit="10" on="false" color="#000000" opacity="0"/>
                  <v:fill on="true" color="#fcfcfc"/>
                </v:shape>
                <v:shape id="Shape 1065560" style="position:absolute;width:57588;height:1746;left:0;top:1752;" coordsize="5758815,174625" path="m0,0l5758815,0l5758815,174625l0,174625l0,0">
                  <v:stroke weight="0pt" endcap="flat" joinstyle="miter" miterlimit="10" on="false" color="#000000" opacity="0"/>
                  <v:fill on="true" color="#fcfcfc"/>
                </v:shape>
                <v:shape id="Shape 1065561" style="position:absolute;width:19157;height:1746;left:0;top:3505;" coordsize="1915795,174625" path="m0,0l1915795,0l1915795,174625l0,174625l0,0">
                  <v:stroke weight="0pt" endcap="flat" joinstyle="miter" miterlimit="10" on="false" color="#000000" opacity="0"/>
                  <v:fill on="true" color="#fcfcfc"/>
                </v:shape>
                <v:shape id="Shape 1065562" style="position:absolute;width:374;height:1746;left:19164;top:3505;" coordsize="37465,174625" path="m0,0l37465,0l37465,174625l0,174625l0,0">
                  <v:stroke weight="0pt" endcap="flat" joinstyle="miter" miterlimit="10" on="false" color="#000000" opacity="0"/>
                  <v:fill on="true" color="#fcfcfc"/>
                </v:shape>
              </v:group>
            </w:pict>
          </mc:Fallback>
        </mc:AlternateContent>
      </w:r>
      <w:r>
        <w:rPr>
          <w:rFonts w:ascii="Times New Roman" w:eastAsia="Times New Roman" w:hAnsi="Times New Roman" w:cs="Times New Roman"/>
          <w:i/>
          <w:sz w:val="24"/>
        </w:rPr>
        <w:t>В этом исследовании использовался метод систематического обзора, в ходе которого авторы тщательно изучили существующую литературу по основному исследовательскому</w:t>
      </w:r>
      <w:r>
        <w:rPr>
          <w:rFonts w:ascii="Times New Roman" w:eastAsia="Times New Roman" w:hAnsi="Times New Roman" w:cs="Times New Roman"/>
          <w:i/>
          <w:sz w:val="24"/>
        </w:rPr>
        <w:t xml:space="preserve"> вопросу. </w:t>
      </w:r>
    </w:p>
    <w:p w:rsidR="0052701D" w:rsidRDefault="00D40929">
      <w:pPr>
        <w:spacing w:after="388" w:line="249" w:lineRule="auto"/>
        <w:ind w:left="-15" w:right="1" w:firstLine="698"/>
        <w:jc w:val="both"/>
      </w:pP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 xml:space="preserve"> цифровая экономика, компетенции, цифровые компетенции, цифровизация, технологии, образовательный процесс, высокотехнологичная среда.</w:t>
      </w:r>
    </w:p>
    <w:p w:rsidR="0052701D" w:rsidRDefault="00D40929">
      <w:pPr>
        <w:spacing w:after="204" w:line="249" w:lineRule="auto"/>
        <w:ind w:left="10" w:hanging="10"/>
        <w:jc w:val="center"/>
      </w:pPr>
      <w:r>
        <w:rPr>
          <w:rFonts w:ascii="Times New Roman" w:eastAsia="Times New Roman" w:hAnsi="Times New Roman" w:cs="Times New Roman"/>
          <w:b/>
          <w:sz w:val="28"/>
        </w:rPr>
        <w:t>IMPACT OF DIGITAL TRANSFORMATION ON THE QUALITY AND CONTENT OF UNIVERSITY EDUCATIONAL PROGRAMMES</w:t>
      </w:r>
    </w:p>
    <w:p w:rsidR="0052701D" w:rsidRDefault="00D40929">
      <w:pPr>
        <w:spacing w:after="10" w:line="249" w:lineRule="auto"/>
        <w:ind w:left="714" w:right="369" w:hanging="10"/>
        <w:jc w:val="center"/>
      </w:pPr>
      <w:r>
        <w:rPr>
          <w:rFonts w:ascii="Times New Roman" w:eastAsia="Times New Roman" w:hAnsi="Times New Roman" w:cs="Times New Roman"/>
          <w:sz w:val="24"/>
        </w:rPr>
        <w:t>Valeeva Svetlana Nikolaevna</w:t>
      </w:r>
    </w:p>
    <w:p w:rsidR="0052701D" w:rsidRDefault="00D40929">
      <w:pPr>
        <w:spacing w:after="266" w:line="249" w:lineRule="auto"/>
        <w:ind w:left="3736" w:right="285" w:hanging="1844"/>
        <w:jc w:val="both"/>
      </w:pPr>
      <w:r>
        <w:rPr>
          <w:rFonts w:ascii="Times New Roman" w:eastAsia="Times New Roman" w:hAnsi="Times New Roman" w:cs="Times New Roman"/>
          <w:sz w:val="24"/>
        </w:rPr>
        <w:t xml:space="preserve">Kazan State Power Engineering University, Kazan, Russia </w:t>
      </w:r>
      <w:r>
        <w:rPr>
          <w:rFonts w:ascii="Times New Roman" w:eastAsia="Times New Roman" w:hAnsi="Times New Roman" w:cs="Times New Roman"/>
          <w:i/>
          <w:sz w:val="24"/>
        </w:rPr>
        <w:t>esp_snvaleeva@mail.ru</w:t>
      </w:r>
    </w:p>
    <w:p w:rsidR="0052701D" w:rsidRDefault="00D40929">
      <w:pPr>
        <w:spacing w:after="3" w:line="249" w:lineRule="auto"/>
        <w:ind w:left="-15" w:right="1" w:firstLine="698"/>
        <w:jc w:val="both"/>
      </w:pPr>
      <w:r>
        <w:rPr>
          <w:rFonts w:ascii="Times New Roman" w:eastAsia="Times New Roman" w:hAnsi="Times New Roman" w:cs="Times New Roman"/>
          <w:b/>
          <w:i/>
          <w:sz w:val="24"/>
        </w:rPr>
        <w:t>Abstract:</w:t>
      </w:r>
      <w:r>
        <w:rPr>
          <w:rFonts w:ascii="Times New Roman" w:eastAsia="Times New Roman" w:hAnsi="Times New Roman" w:cs="Times New Roman"/>
          <w:i/>
          <w:sz w:val="24"/>
        </w:rPr>
        <w:t xml:space="preserve"> The widespread use of digital technology has led to a global transformation of all areas of human life, where the use of artificial intelligence, robotics, virtual reality, blockchain and other innovations have had a powerful impact on the formation of pr</w:t>
      </w:r>
      <w:r>
        <w:rPr>
          <w:rFonts w:ascii="Times New Roman" w:eastAsia="Times New Roman" w:hAnsi="Times New Roman" w:cs="Times New Roman"/>
          <w:i/>
          <w:sz w:val="24"/>
        </w:rPr>
        <w:t xml:space="preserve">ofessionals, who possess a new type of competences, namely digital competences, digital literacy. </w:t>
      </w:r>
    </w:p>
    <w:p w:rsidR="0052701D" w:rsidRDefault="00D40929">
      <w:pPr>
        <w:spacing w:after="3" w:line="249" w:lineRule="auto"/>
        <w:ind w:left="-15" w:right="1" w:firstLine="698"/>
        <w:jc w:val="both"/>
      </w:pPr>
      <w:r>
        <w:rPr>
          <w:rFonts w:ascii="Times New Roman" w:eastAsia="Times New Roman" w:hAnsi="Times New Roman" w:cs="Times New Roman"/>
          <w:i/>
          <w:sz w:val="24"/>
        </w:rPr>
        <w:lastRenderedPageBreak/>
        <w:t>The digitalization of the economy leads to the full penetration of digital technologies directly into education and full immersion in the digitalization of t</w:t>
      </w:r>
      <w:r>
        <w:rPr>
          <w:rFonts w:ascii="Times New Roman" w:eastAsia="Times New Roman" w:hAnsi="Times New Roman" w:cs="Times New Roman"/>
          <w:i/>
          <w:sz w:val="24"/>
        </w:rPr>
        <w:t>he educational process, As education becomes a continuous process and in order to achieve its competitiveness, it is necessary to develop high-profile specialists with digital competencies. This requires the creation of a special environment in educational</w:t>
      </w:r>
      <w:r>
        <w:rPr>
          <w:rFonts w:ascii="Times New Roman" w:eastAsia="Times New Roman" w:hAnsi="Times New Roman" w:cs="Times New Roman"/>
          <w:i/>
          <w:sz w:val="24"/>
        </w:rPr>
        <w:t xml:space="preserve"> institutions, including not only a strong material and technical support, but also a qualified staff of teaching staff (professors and teachers).</w:t>
      </w:r>
    </w:p>
    <w:p w:rsidR="0052701D" w:rsidRDefault="00D40929">
      <w:pPr>
        <w:spacing w:after="3" w:line="249" w:lineRule="auto"/>
        <w:ind w:left="-15" w:right="1" w:firstLine="698"/>
        <w:jc w:val="both"/>
      </w:pPr>
      <w:r>
        <w:rPr>
          <w:rFonts w:ascii="Times New Roman" w:eastAsia="Times New Roman" w:hAnsi="Times New Roman" w:cs="Times New Roman"/>
          <w:i/>
          <w:sz w:val="24"/>
        </w:rPr>
        <w:t>The essence of the digital transformation of education is to effectively and flexibly apply the latest digita</w:t>
      </w:r>
      <w:r>
        <w:rPr>
          <w:rFonts w:ascii="Times New Roman" w:eastAsia="Times New Roman" w:hAnsi="Times New Roman" w:cs="Times New Roman"/>
          <w:i/>
          <w:sz w:val="24"/>
        </w:rPr>
        <w:t xml:space="preserve">l technologies to the transition to a personalized and result-oriented educational process. </w:t>
      </w:r>
    </w:p>
    <w:p w:rsidR="0052701D" w:rsidRDefault="00D40929">
      <w:pPr>
        <w:spacing w:after="3" w:line="249" w:lineRule="auto"/>
        <w:ind w:left="-15" w:right="1" w:firstLine="698"/>
        <w:jc w:val="both"/>
      </w:pPr>
      <w:r>
        <w:rPr>
          <w:rFonts w:ascii="Times New Roman" w:eastAsia="Times New Roman" w:hAnsi="Times New Roman" w:cs="Times New Roman"/>
          <w:i/>
          <w:sz w:val="24"/>
        </w:rPr>
        <w:t>There is a need to transform the educational paradigm itself and to review existing approaches and learning models aimed at developing the general digital literacy</w:t>
      </w:r>
      <w:r>
        <w:rPr>
          <w:rFonts w:ascii="Times New Roman" w:eastAsia="Times New Roman" w:hAnsi="Times New Roman" w:cs="Times New Roman"/>
          <w:i/>
          <w:sz w:val="24"/>
        </w:rPr>
        <w:t xml:space="preserve"> skills required to compete in the new digital world.</w:t>
      </w:r>
    </w:p>
    <w:p w:rsidR="0052701D" w:rsidRDefault="00D40929">
      <w:pPr>
        <w:spacing w:after="3" w:line="249" w:lineRule="auto"/>
        <w:ind w:left="-15" w:right="1" w:firstLine="698"/>
        <w:jc w:val="both"/>
      </w:pPr>
      <w:r>
        <w:rPr>
          <w:rFonts w:ascii="Times New Roman" w:eastAsia="Times New Roman" w:hAnsi="Times New Roman" w:cs="Times New Roman"/>
          <w:i/>
          <w:sz w:val="24"/>
        </w:rPr>
        <w:t>The author’s hypothesis is that the obvious qualitative and quantitative gap required by society today by specialists with digital skills capable of productive work in a digital economy, necessitates th</w:t>
      </w:r>
      <w:r>
        <w:rPr>
          <w:rFonts w:ascii="Times New Roman" w:eastAsia="Times New Roman" w:hAnsi="Times New Roman" w:cs="Times New Roman"/>
          <w:i/>
          <w:sz w:val="24"/>
        </w:rPr>
        <w:t>e creation of a high-tech environment in universities.</w:t>
      </w:r>
    </w:p>
    <w:p w:rsidR="0052701D" w:rsidRDefault="00D40929">
      <w:pPr>
        <w:spacing w:after="322" w:line="249" w:lineRule="auto"/>
        <w:ind w:left="-15" w:right="1" w:firstLine="698"/>
        <w:jc w:val="both"/>
      </w:pPr>
      <w:r>
        <w:rPr>
          <w:rFonts w:ascii="Times New Roman" w:eastAsia="Times New Roman" w:hAnsi="Times New Roman" w:cs="Times New Roman"/>
          <w:b/>
          <w:i/>
          <w:sz w:val="24"/>
        </w:rPr>
        <w:t>Keywords:</w:t>
      </w:r>
      <w:r>
        <w:rPr>
          <w:rFonts w:ascii="Times New Roman" w:eastAsia="Times New Roman" w:hAnsi="Times New Roman" w:cs="Times New Roman"/>
          <w:i/>
          <w:sz w:val="24"/>
        </w:rPr>
        <w:t xml:space="preserve"> digital economy, competencies, digital competencies, digitalization, technology, educational process, high-tech environment</w:t>
      </w:r>
      <w:r>
        <w:rPr>
          <w:rFonts w:ascii="Times New Roman" w:eastAsia="Times New Roman" w:hAnsi="Times New Roman" w:cs="Times New Roman"/>
          <w:i/>
        </w:rPr>
        <w:t>.</w:t>
      </w:r>
    </w:p>
    <w:p w:rsidR="0052701D" w:rsidRDefault="00D40929">
      <w:pPr>
        <w:spacing w:after="2" w:line="255" w:lineRule="auto"/>
        <w:ind w:left="703" w:hanging="10"/>
      </w:pPr>
      <w:r>
        <w:rPr>
          <w:rFonts w:ascii="Times New Roman" w:eastAsia="Times New Roman" w:hAnsi="Times New Roman" w:cs="Times New Roman"/>
          <w:b/>
          <w:sz w:val="28"/>
        </w:rPr>
        <w:t>Введение</w:t>
      </w:r>
    </w:p>
    <w:p w:rsidR="0052701D" w:rsidRDefault="00D40929">
      <w:pPr>
        <w:spacing w:after="4" w:line="249" w:lineRule="auto"/>
        <w:ind w:left="-15" w:firstLine="698"/>
        <w:jc w:val="both"/>
      </w:pPr>
      <w:r>
        <w:rPr>
          <w:rFonts w:ascii="Times New Roman" w:eastAsia="Times New Roman" w:hAnsi="Times New Roman" w:cs="Times New Roman"/>
          <w:sz w:val="28"/>
        </w:rPr>
        <w:t>Активный рост индустрии информационных технологий, а такж</w:t>
      </w:r>
      <w:r>
        <w:rPr>
          <w:rFonts w:ascii="Times New Roman" w:eastAsia="Times New Roman" w:hAnsi="Times New Roman" w:cs="Times New Roman"/>
          <w:sz w:val="28"/>
        </w:rPr>
        <w:t>е в связи с всё более глубоким проникновением технологий и ростом цифровой грамотности во всех сферах жизни человека, тренд на цифровизацию в буквальном понимании приобрел черты глобальной мировой «паутины», притягивающей к себе все большее внимание.</w:t>
      </w:r>
    </w:p>
    <w:p w:rsidR="0052701D" w:rsidRDefault="00D40929">
      <w:pPr>
        <w:spacing w:after="4" w:line="249" w:lineRule="auto"/>
        <w:ind w:left="-15" w:firstLine="698"/>
        <w:jc w:val="both"/>
      </w:pPr>
      <w:r>
        <w:rPr>
          <w:rFonts w:ascii="Times New Roman" w:eastAsia="Times New Roman" w:hAnsi="Times New Roman" w:cs="Times New Roman"/>
          <w:sz w:val="28"/>
        </w:rPr>
        <w:t>Амери</w:t>
      </w:r>
      <w:r>
        <w:rPr>
          <w:rFonts w:ascii="Times New Roman" w:eastAsia="Times New Roman" w:hAnsi="Times New Roman" w:cs="Times New Roman"/>
          <w:sz w:val="28"/>
        </w:rPr>
        <w:t>канский информатик</w:t>
      </w:r>
      <w:r>
        <w:rPr>
          <w:rFonts w:ascii="Times New Roman" w:eastAsia="Times New Roman" w:hAnsi="Times New Roman" w:cs="Times New Roman"/>
          <w:i/>
          <w:sz w:val="28"/>
        </w:rPr>
        <w:t xml:space="preserve"> </w:t>
      </w:r>
      <w:r>
        <w:rPr>
          <w:rFonts w:ascii="Times New Roman" w:eastAsia="Times New Roman" w:hAnsi="Times New Roman" w:cs="Times New Roman"/>
          <w:sz w:val="28"/>
        </w:rPr>
        <w:t xml:space="preserve">Николас Негропонте из Массачусетского университета в 1995 году применил термин «цифровизация» в значении «преобразование информации в цифровую форму, которое ведет к снижению издержек и появлению новых возможностей, а также интенсивному </w:t>
      </w:r>
      <w:r>
        <w:rPr>
          <w:rFonts w:ascii="Times New Roman" w:eastAsia="Times New Roman" w:hAnsi="Times New Roman" w:cs="Times New Roman"/>
          <w:sz w:val="28"/>
        </w:rPr>
        <w:t>развитию информационно-коммуникационных технологий.» и представить не мог насколько процесс цифровизации проникнет во все сферы жизни человека и надежно в них закрепится.</w:t>
      </w:r>
    </w:p>
    <w:p w:rsidR="0052701D" w:rsidRDefault="00D40929">
      <w:pPr>
        <w:spacing w:after="4" w:line="249" w:lineRule="auto"/>
        <w:ind w:left="-15" w:firstLine="698"/>
        <w:jc w:val="both"/>
      </w:pPr>
      <w:r>
        <w:rPr>
          <w:rFonts w:ascii="Times New Roman" w:eastAsia="Times New Roman" w:hAnsi="Times New Roman" w:cs="Times New Roman"/>
          <w:sz w:val="28"/>
        </w:rPr>
        <w:t>В современных реалиях данный термин раскрывается  в широком смысле  слова как общемир</w:t>
      </w:r>
      <w:r>
        <w:rPr>
          <w:rFonts w:ascii="Times New Roman" w:eastAsia="Times New Roman" w:hAnsi="Times New Roman" w:cs="Times New Roman"/>
          <w:sz w:val="28"/>
        </w:rPr>
        <w:t>овой тренд на всеобщее использование цифровой информации во всех сферах социальной и экономической жизни общества.</w:t>
      </w:r>
    </w:p>
    <w:p w:rsidR="0052701D" w:rsidRDefault="00D40929">
      <w:pPr>
        <w:spacing w:after="4" w:line="249" w:lineRule="auto"/>
        <w:ind w:left="-15" w:firstLine="698"/>
        <w:jc w:val="both"/>
      </w:pPr>
      <w:r>
        <w:rPr>
          <w:rFonts w:ascii="Times New Roman" w:eastAsia="Times New Roman" w:hAnsi="Times New Roman" w:cs="Times New Roman"/>
          <w:sz w:val="28"/>
        </w:rPr>
        <w:t xml:space="preserve">Влияние цифровых технологий на повседневную жизнь человека очевидна на примере сферы образования. Во многих странах разрабатываются школьные </w:t>
      </w:r>
      <w:r>
        <w:rPr>
          <w:rFonts w:ascii="Times New Roman" w:eastAsia="Times New Roman" w:hAnsi="Times New Roman" w:cs="Times New Roman"/>
          <w:sz w:val="28"/>
        </w:rPr>
        <w:t>и университетские реформы, направленные на внедрение smurt устройств в процесс обучения, а Россия находится на активной стадии разработок и внедрения инновационных технологий во все сферы в том числе и в образовательную среду.</w:t>
      </w:r>
    </w:p>
    <w:p w:rsidR="0052701D" w:rsidRDefault="00D40929">
      <w:pPr>
        <w:spacing w:after="4" w:line="249" w:lineRule="auto"/>
        <w:ind w:left="-15" w:firstLine="698"/>
        <w:jc w:val="both"/>
      </w:pPr>
      <w:r>
        <w:rPr>
          <w:rFonts w:ascii="Times New Roman" w:eastAsia="Times New Roman" w:hAnsi="Times New Roman" w:cs="Times New Roman"/>
          <w:sz w:val="28"/>
        </w:rPr>
        <w:t>Цифровизация образования напр</w:t>
      </w:r>
      <w:r>
        <w:rPr>
          <w:rFonts w:ascii="Times New Roman" w:eastAsia="Times New Roman" w:hAnsi="Times New Roman" w:cs="Times New Roman"/>
          <w:sz w:val="28"/>
        </w:rPr>
        <w:t xml:space="preserve">авлена на обеспечение непрерывности процесса обучения в течение всей жизни </w:t>
      </w:r>
      <w:r>
        <w:rPr>
          <w:rFonts w:ascii="Times New Roman" w:eastAsia="Times New Roman" w:hAnsi="Times New Roman" w:cs="Times New Roman"/>
          <w:i/>
          <w:sz w:val="28"/>
        </w:rPr>
        <w:t>(life-longlearning</w:t>
      </w:r>
      <w:r>
        <w:rPr>
          <w:rFonts w:ascii="Times New Roman" w:eastAsia="Times New Roman" w:hAnsi="Times New Roman" w:cs="Times New Roman"/>
          <w:sz w:val="28"/>
        </w:rPr>
        <w:t xml:space="preserve">). Это возможность самостоятельно ориентироваться в цифровом пространстве, в виртуальной, смешанной и дополненной реальности, </w:t>
      </w:r>
      <w:r>
        <w:rPr>
          <w:rFonts w:ascii="Times New Roman" w:eastAsia="Times New Roman" w:hAnsi="Times New Roman" w:cs="Times New Roman"/>
          <w:sz w:val="28"/>
        </w:rPr>
        <w:lastRenderedPageBreak/>
        <w:t>обрабатывать, структурировать и сохра</w:t>
      </w:r>
      <w:r>
        <w:rPr>
          <w:rFonts w:ascii="Times New Roman" w:eastAsia="Times New Roman" w:hAnsi="Times New Roman" w:cs="Times New Roman"/>
          <w:sz w:val="28"/>
        </w:rPr>
        <w:t xml:space="preserve">нять огромное количество необходимых данных, возможность проектировать и создавать модели на 3и 4D принтерах. </w:t>
      </w:r>
    </w:p>
    <w:p w:rsidR="0052701D" w:rsidRDefault="00D40929">
      <w:pPr>
        <w:spacing w:after="4" w:line="249" w:lineRule="auto"/>
        <w:ind w:left="-15" w:firstLine="698"/>
        <w:jc w:val="both"/>
      </w:pPr>
      <w:r>
        <w:rPr>
          <w:rFonts w:ascii="Times New Roman" w:eastAsia="Times New Roman" w:hAnsi="Times New Roman" w:cs="Times New Roman"/>
          <w:sz w:val="28"/>
        </w:rPr>
        <w:t>Цифровизация в глубом понимании - это глобальный тренд, который является одной из национальных целей развития Российской Федерации на период до 2</w:t>
      </w:r>
      <w:r>
        <w:rPr>
          <w:rFonts w:ascii="Times New Roman" w:eastAsia="Times New Roman" w:hAnsi="Times New Roman" w:cs="Times New Roman"/>
          <w:sz w:val="28"/>
        </w:rPr>
        <w:t>024 г, а сегодня цифровизация - фундаментальный технологический тренд, который затрагивает и секторы и практически все сферы жизни.</w:t>
      </w:r>
    </w:p>
    <w:p w:rsidR="0052701D" w:rsidRDefault="00D40929">
      <w:pPr>
        <w:spacing w:after="4" w:line="249" w:lineRule="auto"/>
        <w:ind w:left="-15" w:firstLine="698"/>
        <w:jc w:val="both"/>
      </w:pPr>
      <w:r>
        <w:rPr>
          <w:rFonts w:ascii="Times New Roman" w:eastAsia="Times New Roman" w:hAnsi="Times New Roman" w:cs="Times New Roman"/>
          <w:sz w:val="28"/>
        </w:rPr>
        <w:t xml:space="preserve">Исследователи Уваров А.Ю., Гейбл Э., Дворецкая И.В. </w:t>
      </w:r>
      <w:r>
        <w:rPr>
          <w:rFonts w:ascii="Times New Roman" w:eastAsia="Times New Roman" w:hAnsi="Times New Roman" w:cs="Times New Roman"/>
          <w:sz w:val="28"/>
        </w:rPr>
        <w:t>[1] в своей работе рассматривают как качественные изменения в производственной сфере и на глобальных рынках, связанные с развитием и распространением цифровых технологий (новая промышленная или технологическая (цифровая) революция) отражаются на образовани</w:t>
      </w:r>
      <w:r>
        <w:rPr>
          <w:rFonts w:ascii="Times New Roman" w:eastAsia="Times New Roman" w:hAnsi="Times New Roman" w:cs="Times New Roman"/>
          <w:sz w:val="28"/>
        </w:rPr>
        <w:t>и.</w:t>
      </w:r>
    </w:p>
    <w:p w:rsidR="0052701D" w:rsidRDefault="00D40929">
      <w:pPr>
        <w:spacing w:after="4" w:line="249" w:lineRule="auto"/>
        <w:ind w:left="-15" w:firstLine="698"/>
        <w:jc w:val="both"/>
      </w:pPr>
      <w:r>
        <w:rPr>
          <w:rFonts w:ascii="Times New Roman" w:eastAsia="Times New Roman" w:hAnsi="Times New Roman" w:cs="Times New Roman"/>
          <w:sz w:val="28"/>
        </w:rPr>
        <w:t>На данный момент темпы процесса цифровизации превышают процесс развития навыков и умений в области применения средств цифровой среды, а это говорит о том, что очевиден разрыв между количеством и качеством необходимых обществу в настоящее время специалис</w:t>
      </w:r>
      <w:r>
        <w:rPr>
          <w:rFonts w:ascii="Times New Roman" w:eastAsia="Times New Roman" w:hAnsi="Times New Roman" w:cs="Times New Roman"/>
          <w:sz w:val="28"/>
        </w:rPr>
        <w:t>тов владеющих цифровыми компетенциями.</w:t>
      </w:r>
    </w:p>
    <w:p w:rsidR="0052701D" w:rsidRDefault="00D40929">
      <w:pPr>
        <w:spacing w:after="4" w:line="249" w:lineRule="auto"/>
        <w:ind w:left="-15" w:firstLine="698"/>
        <w:jc w:val="both"/>
      </w:pPr>
      <w:r>
        <w:rPr>
          <w:rFonts w:ascii="Times New Roman" w:eastAsia="Times New Roman" w:hAnsi="Times New Roman" w:cs="Times New Roman"/>
          <w:i/>
          <w:sz w:val="28"/>
        </w:rPr>
        <w:t>Сhristine Blanka, Barbara Krumay, David Rueckel</w:t>
      </w:r>
      <w:r>
        <w:rPr>
          <w:rFonts w:ascii="Times New Roman" w:eastAsia="Times New Roman" w:hAnsi="Times New Roman" w:cs="Times New Roman"/>
          <w:sz w:val="28"/>
        </w:rPr>
        <w:t xml:space="preserve"> [2] рассматривают проблематику цифровой трансформации и пробела в отношении роли человеческих ресурсов, а именно компетентности сотрудников. Авторы разработали структуру, которая учитывает индивидуальные компетенции сотрудников, связанные с уровнем цифров</w:t>
      </w:r>
      <w:r>
        <w:rPr>
          <w:rFonts w:ascii="Times New Roman" w:eastAsia="Times New Roman" w:hAnsi="Times New Roman" w:cs="Times New Roman"/>
          <w:sz w:val="28"/>
        </w:rPr>
        <w:t>ой трансформации организации, что безусловно является актуальной проблемой.</w:t>
      </w:r>
    </w:p>
    <w:p w:rsidR="0052701D" w:rsidRDefault="00D40929">
      <w:pPr>
        <w:spacing w:after="4" w:line="249" w:lineRule="auto"/>
        <w:ind w:left="-15" w:firstLine="698"/>
        <w:jc w:val="both"/>
      </w:pPr>
      <w:r>
        <w:rPr>
          <w:rFonts w:ascii="Times New Roman" w:eastAsia="Times New Roman" w:hAnsi="Times New Roman" w:cs="Times New Roman"/>
          <w:i/>
          <w:sz w:val="28"/>
        </w:rPr>
        <w:t>Jens Konopik, Christoph Jah, Tassilo Schuster, Nadja Hoßbach, Alexander  Pflaum</w:t>
      </w:r>
      <w:r>
        <w:rPr>
          <w:rFonts w:ascii="Times New Roman" w:eastAsia="Times New Roman" w:hAnsi="Times New Roman" w:cs="Times New Roman"/>
          <w:sz w:val="28"/>
        </w:rPr>
        <w:t xml:space="preserve"> [3] пришли в своем исследовании к выводу о том, что цифровую трансформацию необходимо понимать как “</w:t>
      </w:r>
      <w:r>
        <w:rPr>
          <w:rFonts w:ascii="Times New Roman" w:eastAsia="Times New Roman" w:hAnsi="Times New Roman" w:cs="Times New Roman"/>
          <w:sz w:val="28"/>
        </w:rPr>
        <w:t>целостную социально-техническую задачу”, что имеет серьезные цели для экономики, общества, организаций. Эта точка зрения предполагает, что конкурентоспособность компаний зависит не только от интеграции новейших технологий в образовательную среду, но и коли</w:t>
      </w:r>
      <w:r>
        <w:rPr>
          <w:rFonts w:ascii="Times New Roman" w:eastAsia="Times New Roman" w:hAnsi="Times New Roman" w:cs="Times New Roman"/>
          <w:sz w:val="28"/>
        </w:rPr>
        <w:t>чества необходимых компетентных специалистов.</w:t>
      </w:r>
    </w:p>
    <w:p w:rsidR="0052701D" w:rsidRDefault="00D40929">
      <w:pPr>
        <w:spacing w:after="4" w:line="249" w:lineRule="auto"/>
        <w:ind w:left="-15" w:firstLine="698"/>
        <w:jc w:val="both"/>
      </w:pPr>
      <w:r>
        <w:rPr>
          <w:rFonts w:ascii="Times New Roman" w:eastAsia="Times New Roman" w:hAnsi="Times New Roman" w:cs="Times New Roman"/>
          <w:i/>
          <w:sz w:val="28"/>
        </w:rPr>
        <w:t>Bendik Bygstad, Egil Qvrelid, Sten Ludvigse, Morten Dæhlen</w:t>
      </w:r>
      <w:r>
        <w:rPr>
          <w:rFonts w:ascii="Times New Roman" w:eastAsia="Times New Roman" w:hAnsi="Times New Roman" w:cs="Times New Roman"/>
          <w:sz w:val="28"/>
        </w:rPr>
        <w:t xml:space="preserve"> [4] в своем исследовании рассматривают тот фактор, что ключевым подходом цифровизации вузов является переосмысление процесса обучения с помощью техноло</w:t>
      </w:r>
      <w:r>
        <w:rPr>
          <w:rFonts w:ascii="Times New Roman" w:eastAsia="Times New Roman" w:hAnsi="Times New Roman" w:cs="Times New Roman"/>
          <w:sz w:val="28"/>
        </w:rPr>
        <w:t xml:space="preserve">гий, то есть развитие цифрового учебного пространства. Авторы проанализировали три этапа цифровизации. В результатах исследования авторы выделяют следующие этапы: </w:t>
      </w:r>
    </w:p>
    <w:p w:rsidR="0052701D" w:rsidRDefault="00D40929">
      <w:pPr>
        <w:numPr>
          <w:ilvl w:val="0"/>
          <w:numId w:val="136"/>
        </w:numPr>
        <w:spacing w:after="4" w:line="249" w:lineRule="auto"/>
        <w:ind w:firstLine="698"/>
        <w:jc w:val="both"/>
      </w:pPr>
      <w:r>
        <w:rPr>
          <w:rFonts w:ascii="Times New Roman" w:eastAsia="Times New Roman" w:hAnsi="Times New Roman" w:cs="Times New Roman"/>
          <w:sz w:val="28"/>
        </w:rPr>
        <w:t xml:space="preserve">согласование цифрового образования и цифровых предметовобеспечит техническую основу; </w:t>
      </w:r>
    </w:p>
    <w:p w:rsidR="0052701D" w:rsidRDefault="00D40929">
      <w:pPr>
        <w:numPr>
          <w:ilvl w:val="0"/>
          <w:numId w:val="136"/>
        </w:numPr>
        <w:spacing w:after="4" w:line="249" w:lineRule="auto"/>
        <w:ind w:firstLine="698"/>
        <w:jc w:val="both"/>
      </w:pPr>
      <w:r>
        <w:rPr>
          <w:rFonts w:ascii="Times New Roman" w:eastAsia="Times New Roman" w:hAnsi="Times New Roman" w:cs="Times New Roman"/>
          <w:sz w:val="28"/>
        </w:rPr>
        <w:t>цифров</w:t>
      </w:r>
      <w:r>
        <w:rPr>
          <w:rFonts w:ascii="Times New Roman" w:eastAsia="Times New Roman" w:hAnsi="Times New Roman" w:cs="Times New Roman"/>
          <w:sz w:val="28"/>
        </w:rPr>
        <w:t xml:space="preserve">ое учебное пространство должно введено в действие ииспользовано путем переопределения ролей между студентами и </w:t>
      </w:r>
      <w:r>
        <w:rPr>
          <w:rFonts w:ascii="Times New Roman" w:eastAsia="Times New Roman" w:hAnsi="Times New Roman" w:cs="Times New Roman"/>
          <w:sz w:val="28"/>
        </w:rPr>
        <w:lastRenderedPageBreak/>
        <w:t xml:space="preserve">преподавателями, что позволит использовать новые и более глубокие формы обучения, </w:t>
      </w:r>
    </w:p>
    <w:p w:rsidR="0052701D" w:rsidRDefault="00D40929">
      <w:pPr>
        <w:numPr>
          <w:ilvl w:val="0"/>
          <w:numId w:val="136"/>
        </w:numPr>
        <w:spacing w:after="4" w:line="249" w:lineRule="auto"/>
        <w:ind w:firstLine="698"/>
        <w:jc w:val="both"/>
      </w:pPr>
      <w:r>
        <w:rPr>
          <w:rFonts w:ascii="Times New Roman" w:eastAsia="Times New Roman" w:hAnsi="Times New Roman" w:cs="Times New Roman"/>
          <w:sz w:val="28"/>
        </w:rPr>
        <w:t>цифровое учебное пространство позволяет университетампреодолев</w:t>
      </w:r>
      <w:r>
        <w:rPr>
          <w:rFonts w:ascii="Times New Roman" w:eastAsia="Times New Roman" w:hAnsi="Times New Roman" w:cs="Times New Roman"/>
          <w:sz w:val="28"/>
        </w:rPr>
        <w:t>ать физические и институциональные границы и взаимодействовать с обществом в целом.</w:t>
      </w:r>
    </w:p>
    <w:p w:rsidR="0052701D" w:rsidRDefault="00D40929">
      <w:pPr>
        <w:spacing w:after="4" w:line="249" w:lineRule="auto"/>
        <w:ind w:left="-15" w:firstLine="698"/>
        <w:jc w:val="both"/>
      </w:pPr>
      <w:r>
        <w:rPr>
          <w:rFonts w:ascii="Times New Roman" w:eastAsia="Times New Roman" w:hAnsi="Times New Roman" w:cs="Times New Roman"/>
          <w:sz w:val="28"/>
        </w:rPr>
        <w:t>Все представленные точки зрения исследователей очень импонируют, поскольку рассматривают процесс цифровой трансформации вузов с разных аспектов, а именно выделяют необходим</w:t>
      </w:r>
      <w:r>
        <w:rPr>
          <w:rFonts w:ascii="Times New Roman" w:eastAsia="Times New Roman" w:hAnsi="Times New Roman" w:cs="Times New Roman"/>
          <w:sz w:val="28"/>
        </w:rPr>
        <w:t>ость этого процесса.</w:t>
      </w:r>
    </w:p>
    <w:p w:rsidR="0052701D" w:rsidRDefault="00D40929">
      <w:pPr>
        <w:spacing w:after="4" w:line="249" w:lineRule="auto"/>
        <w:ind w:left="-15" w:firstLine="698"/>
        <w:jc w:val="both"/>
      </w:pPr>
      <w:r>
        <w:rPr>
          <w:rFonts w:ascii="Times New Roman" w:eastAsia="Times New Roman" w:hAnsi="Times New Roman" w:cs="Times New Roman"/>
          <w:sz w:val="28"/>
        </w:rPr>
        <w:t>Цифровизация, обозначила огромное проблемное поле и показало разрыв между количеством необходимых специалистов, обладающих цифровыми компетенциями и способных продуктивно работать в условиях цифровой экономики, разрыв между полученными</w:t>
      </w:r>
      <w:r>
        <w:rPr>
          <w:rFonts w:ascii="Times New Roman" w:eastAsia="Times New Roman" w:hAnsi="Times New Roman" w:cs="Times New Roman"/>
          <w:sz w:val="28"/>
        </w:rPr>
        <w:t xml:space="preserve"> знаниями в процессе обучения и применением знаний на практике. </w:t>
      </w:r>
    </w:p>
    <w:p w:rsidR="0052701D" w:rsidRDefault="00D40929">
      <w:pPr>
        <w:spacing w:after="4" w:line="249" w:lineRule="auto"/>
        <w:ind w:left="-15" w:firstLine="698"/>
        <w:jc w:val="both"/>
      </w:pPr>
      <w:r>
        <w:rPr>
          <w:rFonts w:ascii="Times New Roman" w:eastAsia="Times New Roman" w:hAnsi="Times New Roman" w:cs="Times New Roman"/>
          <w:sz w:val="28"/>
        </w:rPr>
        <w:t>Департамент координации деятельности организаций высшего образования Министерства науки и высшего образования РФ в процессе обсуждения вопроса о том, с какого уровня необходимо наращивать циф</w:t>
      </w:r>
      <w:r>
        <w:rPr>
          <w:rFonts w:ascii="Times New Roman" w:eastAsia="Times New Roman" w:hAnsi="Times New Roman" w:cs="Times New Roman"/>
          <w:sz w:val="28"/>
        </w:rPr>
        <w:t>ровые компетенции прошли к выводу о том, что решение проблемы однозначно кроется в перестройке методов обучения в высшей школе. [5].</w:t>
      </w:r>
    </w:p>
    <w:p w:rsidR="0052701D" w:rsidRDefault="00D40929">
      <w:pPr>
        <w:spacing w:after="4" w:line="249" w:lineRule="auto"/>
        <w:ind w:left="-15" w:firstLine="698"/>
        <w:jc w:val="both"/>
      </w:pPr>
      <w:r>
        <w:rPr>
          <w:rFonts w:ascii="Times New Roman" w:eastAsia="Times New Roman" w:hAnsi="Times New Roman" w:cs="Times New Roman"/>
          <w:sz w:val="28"/>
        </w:rPr>
        <w:t xml:space="preserve">Во-первых, нужно основываться на создании высокотехнологичной среды в вузах (создание образовательных платформ, программ с </w:t>
      </w:r>
      <w:r>
        <w:rPr>
          <w:rFonts w:ascii="Times New Roman" w:eastAsia="Times New Roman" w:hAnsi="Times New Roman" w:cs="Times New Roman"/>
          <w:sz w:val="28"/>
        </w:rPr>
        <w:t>применением сквозных цифровых технологий, обновлению оборудования и т.д).</w:t>
      </w:r>
    </w:p>
    <w:p w:rsidR="0052701D" w:rsidRDefault="00D40929">
      <w:pPr>
        <w:spacing w:after="4" w:line="249" w:lineRule="auto"/>
        <w:ind w:left="-15" w:firstLine="698"/>
        <w:jc w:val="both"/>
      </w:pPr>
      <w:r>
        <w:rPr>
          <w:rFonts w:ascii="Times New Roman" w:eastAsia="Times New Roman" w:hAnsi="Times New Roman" w:cs="Times New Roman"/>
          <w:sz w:val="28"/>
        </w:rPr>
        <w:t>Во-вторых, необходимо направлять высшее образование на то, чтобы форма его была модульной, то есть каждый учащийся выбирал бы для себя те модули, которые позволят ему развивать необх</w:t>
      </w:r>
      <w:r>
        <w:rPr>
          <w:rFonts w:ascii="Times New Roman" w:eastAsia="Times New Roman" w:hAnsi="Times New Roman" w:cs="Times New Roman"/>
          <w:sz w:val="28"/>
        </w:rPr>
        <w:t xml:space="preserve">одимые компетенции будущего. </w:t>
      </w:r>
    </w:p>
    <w:p w:rsidR="0052701D" w:rsidRDefault="00D40929">
      <w:pPr>
        <w:spacing w:after="4" w:line="249" w:lineRule="auto"/>
        <w:ind w:left="-15" w:firstLine="698"/>
        <w:jc w:val="both"/>
      </w:pPr>
      <w:r>
        <w:rPr>
          <w:rFonts w:ascii="Times New Roman" w:eastAsia="Times New Roman" w:hAnsi="Times New Roman" w:cs="Times New Roman"/>
          <w:sz w:val="28"/>
        </w:rPr>
        <w:t>14 июля 2021г на сайте Министерства науки и высшего образования появилась «Стратегия цифровой трансформации отрасли науки и высшего образования». Согласно данной стратегии, в России возникнет целый ряд собственных цифровых сис</w:t>
      </w:r>
      <w:r>
        <w:rPr>
          <w:rFonts w:ascii="Times New Roman" w:eastAsia="Times New Roman" w:hAnsi="Times New Roman" w:cs="Times New Roman"/>
          <w:sz w:val="28"/>
        </w:rPr>
        <w:t>тем для научных организаций и университетов.</w:t>
      </w:r>
    </w:p>
    <w:p w:rsidR="0052701D" w:rsidRDefault="00D40929">
      <w:pPr>
        <w:spacing w:after="4" w:line="249" w:lineRule="auto"/>
        <w:ind w:left="-15"/>
        <w:jc w:val="both"/>
      </w:pPr>
      <w:r>
        <w:rPr>
          <w:rFonts w:ascii="Times New Roman" w:eastAsia="Times New Roman" w:hAnsi="Times New Roman" w:cs="Times New Roman"/>
          <w:sz w:val="28"/>
        </w:rPr>
        <w:t>[6].</w:t>
      </w:r>
    </w:p>
    <w:p w:rsidR="0052701D" w:rsidRDefault="00D40929">
      <w:pPr>
        <w:spacing w:after="4" w:line="249" w:lineRule="auto"/>
        <w:ind w:left="-15" w:firstLine="698"/>
        <w:jc w:val="both"/>
      </w:pPr>
      <w:r>
        <w:rPr>
          <w:rFonts w:ascii="Times New Roman" w:eastAsia="Times New Roman" w:hAnsi="Times New Roman" w:cs="Times New Roman"/>
          <w:sz w:val="28"/>
        </w:rPr>
        <w:t>Разработка информационных систем, предусмотренных в рамках реализации стратегического направления, осуществляется в соответствии с действующими в Российской Федерации нормативными правовыми актами и государ</w:t>
      </w:r>
      <w:r>
        <w:rPr>
          <w:rFonts w:ascii="Times New Roman" w:eastAsia="Times New Roman" w:hAnsi="Times New Roman" w:cs="Times New Roman"/>
          <w:sz w:val="28"/>
        </w:rPr>
        <w:t>ственными стандартами, регламентирующими разработку, ввод в действие, эксплуатацию и развитие информационных систем.</w:t>
      </w:r>
    </w:p>
    <w:p w:rsidR="0052701D" w:rsidRDefault="00D40929">
      <w:pPr>
        <w:spacing w:after="4" w:line="249" w:lineRule="auto"/>
        <w:ind w:left="-15" w:firstLine="698"/>
        <w:jc w:val="both"/>
      </w:pPr>
      <w:r>
        <w:rPr>
          <w:rFonts w:ascii="Times New Roman" w:eastAsia="Times New Roman" w:hAnsi="Times New Roman" w:cs="Times New Roman"/>
          <w:sz w:val="28"/>
        </w:rPr>
        <w:t>Стратегия охватывает период до 2030 года и предполагает работы сразу по пяти трека</w:t>
      </w:r>
      <w:r>
        <w:rPr>
          <w:rFonts w:ascii="Times New Roman" w:eastAsia="Times New Roman" w:hAnsi="Times New Roman" w:cs="Times New Roman"/>
          <w:b/>
          <w:sz w:val="28"/>
        </w:rPr>
        <w:t>м</w:t>
      </w:r>
      <w:r>
        <w:rPr>
          <w:rFonts w:ascii="Times New Roman" w:eastAsia="Times New Roman" w:hAnsi="Times New Roman" w:cs="Times New Roman"/>
          <w:sz w:val="28"/>
        </w:rPr>
        <w:t xml:space="preserve"> (направлениям) цифровой трансформации. Каждое направлен</w:t>
      </w:r>
      <w:r>
        <w:rPr>
          <w:rFonts w:ascii="Times New Roman" w:eastAsia="Times New Roman" w:hAnsi="Times New Roman" w:cs="Times New Roman"/>
          <w:sz w:val="28"/>
        </w:rPr>
        <w:t xml:space="preserve">ие - глубоко проблемное для российских университетов и научных организаций. </w:t>
      </w:r>
    </w:p>
    <w:p w:rsidR="0052701D" w:rsidRDefault="00D40929">
      <w:pPr>
        <w:numPr>
          <w:ilvl w:val="0"/>
          <w:numId w:val="137"/>
        </w:numPr>
        <w:spacing w:after="2" w:line="255" w:lineRule="auto"/>
        <w:ind w:hanging="164"/>
      </w:pPr>
      <w:r>
        <w:rPr>
          <w:rFonts w:ascii="Times New Roman" w:eastAsia="Times New Roman" w:hAnsi="Times New Roman" w:cs="Times New Roman"/>
          <w:b/>
          <w:sz w:val="28"/>
        </w:rPr>
        <w:t>Архитектура цифровой трансформации - Развитие цифровых сервисов- Управление данными</w:t>
      </w:r>
      <w:r>
        <w:rPr>
          <w:rFonts w:ascii="Times New Roman" w:eastAsia="Times New Roman" w:hAnsi="Times New Roman" w:cs="Times New Roman"/>
          <w:sz w:val="28"/>
        </w:rPr>
        <w:t xml:space="preserve">. </w:t>
      </w:r>
    </w:p>
    <w:p w:rsidR="0052701D" w:rsidRDefault="00D40929">
      <w:pPr>
        <w:numPr>
          <w:ilvl w:val="0"/>
          <w:numId w:val="137"/>
        </w:numPr>
        <w:spacing w:after="2" w:line="255" w:lineRule="auto"/>
        <w:ind w:hanging="164"/>
      </w:pPr>
      <w:r>
        <w:rPr>
          <w:rFonts w:ascii="Times New Roman" w:eastAsia="Times New Roman" w:hAnsi="Times New Roman" w:cs="Times New Roman"/>
          <w:b/>
          <w:sz w:val="28"/>
        </w:rPr>
        <w:lastRenderedPageBreak/>
        <w:t>Модернизация инфраструктуры</w:t>
      </w:r>
      <w:r>
        <w:rPr>
          <w:rFonts w:ascii="Times New Roman" w:eastAsia="Times New Roman" w:hAnsi="Times New Roman" w:cs="Times New Roman"/>
          <w:sz w:val="28"/>
        </w:rPr>
        <w:t xml:space="preserve">. </w:t>
      </w:r>
    </w:p>
    <w:p w:rsidR="0052701D" w:rsidRDefault="00D40929">
      <w:pPr>
        <w:numPr>
          <w:ilvl w:val="0"/>
          <w:numId w:val="137"/>
        </w:numPr>
        <w:spacing w:after="2" w:line="255" w:lineRule="auto"/>
        <w:ind w:hanging="164"/>
      </w:pPr>
      <w:r>
        <w:rPr>
          <w:rFonts w:ascii="Times New Roman" w:eastAsia="Times New Roman" w:hAnsi="Times New Roman" w:cs="Times New Roman"/>
          <w:b/>
          <w:sz w:val="28"/>
        </w:rPr>
        <w:t>Управление кадровым потенциалом</w:t>
      </w:r>
      <w:r>
        <w:rPr>
          <w:rFonts w:ascii="Times New Roman" w:eastAsia="Times New Roman" w:hAnsi="Times New Roman" w:cs="Times New Roman"/>
          <w:sz w:val="28"/>
        </w:rPr>
        <w:t xml:space="preserve">. </w:t>
      </w:r>
    </w:p>
    <w:p w:rsidR="0052701D" w:rsidRDefault="00D40929">
      <w:pPr>
        <w:spacing w:after="4" w:line="249" w:lineRule="auto"/>
        <w:ind w:left="-15" w:firstLine="698"/>
        <w:jc w:val="both"/>
      </w:pPr>
      <w:r>
        <w:rPr>
          <w:rFonts w:ascii="Times New Roman" w:eastAsia="Times New Roman" w:hAnsi="Times New Roman" w:cs="Times New Roman"/>
          <w:sz w:val="28"/>
        </w:rPr>
        <w:t>В результате реализации страт</w:t>
      </w:r>
      <w:r>
        <w:rPr>
          <w:rFonts w:ascii="Times New Roman" w:eastAsia="Times New Roman" w:hAnsi="Times New Roman" w:cs="Times New Roman"/>
          <w:sz w:val="28"/>
        </w:rPr>
        <w:t xml:space="preserve">егии 100% ППС (профессорскопреподавательского состава), административных сотрудников в вузах должны обладать цифровыми компетенциями. Сейчас этот показатель оценивается ниже среднего, а именно только 23 % преподавателей используют цифровые образовательные </w:t>
      </w:r>
      <w:r>
        <w:rPr>
          <w:rFonts w:ascii="Times New Roman" w:eastAsia="Times New Roman" w:hAnsi="Times New Roman" w:cs="Times New Roman"/>
          <w:sz w:val="28"/>
        </w:rPr>
        <w:t xml:space="preserve">платформы, создают кейсы, используют технологии по сбору информации в цифровой среде. </w:t>
      </w:r>
    </w:p>
    <w:p w:rsidR="0052701D" w:rsidRDefault="00D40929">
      <w:pPr>
        <w:spacing w:after="4" w:line="249" w:lineRule="auto"/>
        <w:ind w:left="-15" w:firstLine="698"/>
        <w:jc w:val="both"/>
      </w:pPr>
      <w:r>
        <w:rPr>
          <w:rFonts w:ascii="Times New Roman" w:eastAsia="Times New Roman" w:hAnsi="Times New Roman" w:cs="Times New Roman"/>
          <w:sz w:val="28"/>
        </w:rPr>
        <w:t>В результате разработанной стратегии будет внедрена целевая модель цифрового университета (рис.1.); достигнут базовый уровень цифровой зрелости; все образовательные прог</w:t>
      </w:r>
      <w:r>
        <w:rPr>
          <w:rFonts w:ascii="Times New Roman" w:eastAsia="Times New Roman" w:hAnsi="Times New Roman" w:cs="Times New Roman"/>
          <w:sz w:val="28"/>
        </w:rPr>
        <w:t>раммы будут реализовываться с построением индивидуальных образовательных траекторий обучающихся.</w:t>
      </w:r>
    </w:p>
    <w:p w:rsidR="0052701D" w:rsidRDefault="00D40929">
      <w:pPr>
        <w:spacing w:after="76"/>
        <w:ind w:left="923"/>
      </w:pPr>
      <w:r>
        <w:rPr>
          <w:noProof/>
        </w:rPr>
        <w:drawing>
          <wp:inline distT="0" distB="0" distL="0" distR="0">
            <wp:extent cx="5034916" cy="2742565"/>
            <wp:effectExtent l="0" t="0" r="0" b="0"/>
            <wp:docPr id="169281" name="Picture 169281"/>
            <wp:cNvGraphicFramePr/>
            <a:graphic xmlns:a="http://schemas.openxmlformats.org/drawingml/2006/main">
              <a:graphicData uri="http://schemas.openxmlformats.org/drawingml/2006/picture">
                <pic:pic xmlns:pic="http://schemas.openxmlformats.org/drawingml/2006/picture">
                  <pic:nvPicPr>
                    <pic:cNvPr id="169281" name="Picture 169281"/>
                    <pic:cNvPicPr/>
                  </pic:nvPicPr>
                  <pic:blipFill>
                    <a:blip r:embed="rId778"/>
                    <a:stretch>
                      <a:fillRect/>
                    </a:stretch>
                  </pic:blipFill>
                  <pic:spPr>
                    <a:xfrm>
                      <a:off x="0" y="0"/>
                      <a:ext cx="5034916" cy="2742565"/>
                    </a:xfrm>
                    <a:prstGeom prst="rect">
                      <a:avLst/>
                    </a:prstGeom>
                  </pic:spPr>
                </pic:pic>
              </a:graphicData>
            </a:graphic>
          </wp:inline>
        </w:drawing>
      </w:r>
    </w:p>
    <w:p w:rsidR="0052701D" w:rsidRDefault="00D40929">
      <w:pPr>
        <w:spacing w:after="382" w:line="249" w:lineRule="auto"/>
        <w:ind w:left="714" w:right="3" w:hanging="10"/>
        <w:jc w:val="center"/>
      </w:pPr>
      <w:r>
        <w:rPr>
          <w:rFonts w:ascii="Times New Roman" w:eastAsia="Times New Roman" w:hAnsi="Times New Roman" w:cs="Times New Roman"/>
          <w:sz w:val="24"/>
        </w:rPr>
        <w:t>Рис.1. Модель цифрового университета</w:t>
      </w:r>
    </w:p>
    <w:p w:rsidR="0052701D" w:rsidRDefault="00D40929">
      <w:pPr>
        <w:spacing w:after="4" w:line="249" w:lineRule="auto"/>
        <w:ind w:left="-15" w:firstLine="698"/>
        <w:jc w:val="both"/>
      </w:pPr>
      <w:r>
        <w:rPr>
          <w:rFonts w:ascii="Times New Roman" w:eastAsia="Times New Roman" w:hAnsi="Times New Roman" w:cs="Times New Roman"/>
          <w:sz w:val="28"/>
        </w:rPr>
        <w:t>С точки зрения основных существующих трендов цифровой экономики рассмотрим процесс цифровизации на примере Томского Политехнического Государственного университета (далее ТПГУ).</w:t>
      </w:r>
    </w:p>
    <w:p w:rsidR="0052701D" w:rsidRDefault="00D40929">
      <w:pPr>
        <w:spacing w:after="4" w:line="249" w:lineRule="auto"/>
        <w:ind w:left="-15" w:firstLine="698"/>
        <w:jc w:val="both"/>
      </w:pPr>
      <w:r>
        <w:rPr>
          <w:rFonts w:ascii="Times New Roman" w:eastAsia="Times New Roman" w:hAnsi="Times New Roman" w:cs="Times New Roman"/>
          <w:sz w:val="28"/>
        </w:rPr>
        <w:t>ТПГУ полностью охвачен процессом внедрения цифровизации в сферу высшего образов</w:t>
      </w:r>
      <w:r>
        <w:rPr>
          <w:rFonts w:ascii="Times New Roman" w:eastAsia="Times New Roman" w:hAnsi="Times New Roman" w:cs="Times New Roman"/>
          <w:sz w:val="28"/>
        </w:rPr>
        <w:t>ания. Это единственный вуз, который в России имеет исследовательский ядерный реактор на базе университета, Геологический полигон в Хакасии (цифровой двойник), единственный в России университет в Ассоциации ведущих инженерных университетов Европы (CESAER).</w:t>
      </w:r>
    </w:p>
    <w:p w:rsidR="0052701D" w:rsidRDefault="00D40929">
      <w:pPr>
        <w:spacing w:after="4" w:line="249" w:lineRule="auto"/>
        <w:ind w:left="-15" w:firstLine="698"/>
        <w:jc w:val="both"/>
      </w:pPr>
      <w:r>
        <w:rPr>
          <w:rFonts w:ascii="Times New Roman" w:eastAsia="Times New Roman" w:hAnsi="Times New Roman" w:cs="Times New Roman"/>
          <w:sz w:val="28"/>
        </w:rPr>
        <w:t>Выстраивание партнерства важная стратегическая составляющая любого вуза. ТПГУ в 2016 году вошел в топ двадцати компаний в объеме 0,46%, а в 2021 году этот показатель вырос до 13%, что несомненно показывает стремительный рост партнерства и как следствие выс</w:t>
      </w:r>
      <w:r>
        <w:rPr>
          <w:rFonts w:ascii="Times New Roman" w:eastAsia="Times New Roman" w:hAnsi="Times New Roman" w:cs="Times New Roman"/>
          <w:sz w:val="28"/>
        </w:rPr>
        <w:t>окие позиции в международных и мировых рейтингах (рис.2.).</w:t>
      </w:r>
    </w:p>
    <w:p w:rsidR="0052701D" w:rsidRDefault="00D40929">
      <w:pPr>
        <w:spacing w:after="415"/>
        <w:ind w:left="2342"/>
      </w:pPr>
      <w:r>
        <w:rPr>
          <w:noProof/>
        </w:rPr>
        <w:lastRenderedPageBreak/>
        <w:drawing>
          <wp:inline distT="0" distB="0" distL="0" distR="0">
            <wp:extent cx="3232150" cy="1569720"/>
            <wp:effectExtent l="0" t="0" r="0" b="0"/>
            <wp:docPr id="169335" name="Picture 169335"/>
            <wp:cNvGraphicFramePr/>
            <a:graphic xmlns:a="http://schemas.openxmlformats.org/drawingml/2006/main">
              <a:graphicData uri="http://schemas.openxmlformats.org/drawingml/2006/picture">
                <pic:pic xmlns:pic="http://schemas.openxmlformats.org/drawingml/2006/picture">
                  <pic:nvPicPr>
                    <pic:cNvPr id="169335" name="Picture 169335"/>
                    <pic:cNvPicPr/>
                  </pic:nvPicPr>
                  <pic:blipFill>
                    <a:blip r:embed="rId779"/>
                    <a:stretch>
                      <a:fillRect/>
                    </a:stretch>
                  </pic:blipFill>
                  <pic:spPr>
                    <a:xfrm>
                      <a:off x="0" y="0"/>
                      <a:ext cx="3232150" cy="1569720"/>
                    </a:xfrm>
                    <a:prstGeom prst="rect">
                      <a:avLst/>
                    </a:prstGeom>
                  </pic:spPr>
                </pic:pic>
              </a:graphicData>
            </a:graphic>
          </wp:inline>
        </w:drawing>
      </w:r>
    </w:p>
    <w:p w:rsidR="0052701D" w:rsidRDefault="00D40929">
      <w:pPr>
        <w:spacing w:after="382" w:line="249" w:lineRule="auto"/>
        <w:ind w:left="714" w:hanging="10"/>
        <w:jc w:val="center"/>
      </w:pPr>
      <w:r>
        <w:rPr>
          <w:rFonts w:ascii="Times New Roman" w:eastAsia="Times New Roman" w:hAnsi="Times New Roman" w:cs="Times New Roman"/>
          <w:sz w:val="24"/>
        </w:rPr>
        <w:t>Рис.2. Партнерство ТПГУ</w:t>
      </w:r>
    </w:p>
    <w:p w:rsidR="0052701D" w:rsidRDefault="00D40929">
      <w:pPr>
        <w:spacing w:after="4" w:line="249" w:lineRule="auto"/>
        <w:ind w:left="-15" w:firstLine="698"/>
        <w:jc w:val="both"/>
      </w:pPr>
      <w:r>
        <w:rPr>
          <w:rFonts w:ascii="Times New Roman" w:eastAsia="Times New Roman" w:hAnsi="Times New Roman" w:cs="Times New Roman"/>
          <w:sz w:val="28"/>
        </w:rPr>
        <w:t xml:space="preserve">На выделенный бюджет (200млн) вузом созданы технологические проекты, проведены сервисные и лабораторные работы, разработаны образовательные программы и короткие курсы для </w:t>
      </w:r>
      <w:r>
        <w:rPr>
          <w:rFonts w:ascii="Times New Roman" w:eastAsia="Times New Roman" w:hAnsi="Times New Roman" w:cs="Times New Roman"/>
          <w:sz w:val="28"/>
        </w:rPr>
        <w:t>индустрии. Создание учебного ЦУДа, (Центра Управления делами), сквозных онлайн-кейсов. В вузе откроется центр оценки и развития надпрофессиональных компетенций. Платформа уже заключила больше 30 соглашений с ведущими российскими вузами. [7-8].</w:t>
      </w:r>
    </w:p>
    <w:p w:rsidR="0052701D" w:rsidRDefault="00D40929">
      <w:pPr>
        <w:spacing w:after="4" w:line="249" w:lineRule="auto"/>
        <w:ind w:left="-15" w:firstLine="698"/>
        <w:jc w:val="both"/>
      </w:pPr>
      <w:r>
        <w:rPr>
          <w:rFonts w:ascii="Times New Roman" w:eastAsia="Times New Roman" w:hAnsi="Times New Roman" w:cs="Times New Roman"/>
          <w:sz w:val="28"/>
        </w:rPr>
        <w:t>Взаимодейств</w:t>
      </w:r>
      <w:r>
        <w:rPr>
          <w:rFonts w:ascii="Times New Roman" w:eastAsia="Times New Roman" w:hAnsi="Times New Roman" w:cs="Times New Roman"/>
          <w:sz w:val="28"/>
        </w:rPr>
        <w:t>ие с работодателями - одно из главных направлений проекта создания центра компетенций. Представители таких крупных компаний и корпораций, как "Росатом", "Роскосмос", АФК "Система", "Газпром", "Газпром нефть" и другие организации будут участвовать как в фор</w:t>
      </w:r>
      <w:r>
        <w:rPr>
          <w:rFonts w:ascii="Times New Roman" w:eastAsia="Times New Roman" w:hAnsi="Times New Roman" w:cs="Times New Roman"/>
          <w:sz w:val="28"/>
        </w:rPr>
        <w:t>мировании профиля компетенций выпускника, так и в разработке и реализации программ обучения.</w:t>
      </w:r>
    </w:p>
    <w:p w:rsidR="0052701D" w:rsidRDefault="00D40929">
      <w:pPr>
        <w:spacing w:after="4" w:line="249" w:lineRule="auto"/>
        <w:ind w:left="-15" w:firstLine="698"/>
        <w:jc w:val="both"/>
      </w:pPr>
      <w:r>
        <w:rPr>
          <w:rFonts w:ascii="Times New Roman" w:eastAsia="Times New Roman" w:hAnsi="Times New Roman" w:cs="Times New Roman"/>
          <w:sz w:val="28"/>
        </w:rPr>
        <w:t>Предполагается, что центры компетенций станут своего рода посредниками между студентами и работодателями. Таким образом, сами университеты будут играть еще большую</w:t>
      </w:r>
      <w:r>
        <w:rPr>
          <w:rFonts w:ascii="Times New Roman" w:eastAsia="Times New Roman" w:hAnsi="Times New Roman" w:cs="Times New Roman"/>
          <w:sz w:val="28"/>
        </w:rPr>
        <w:t xml:space="preserve"> роль в развитии российских регионов. [9]</w:t>
      </w:r>
    </w:p>
    <w:p w:rsidR="0052701D" w:rsidRDefault="00D40929">
      <w:pPr>
        <w:spacing w:after="4" w:line="249" w:lineRule="auto"/>
        <w:ind w:left="-15" w:firstLine="698"/>
        <w:jc w:val="both"/>
      </w:pPr>
      <w:r>
        <w:rPr>
          <w:rFonts w:ascii="Times New Roman" w:eastAsia="Times New Roman" w:hAnsi="Times New Roman" w:cs="Times New Roman"/>
          <w:sz w:val="28"/>
        </w:rPr>
        <w:t>Цифровая трансформация-одна из национальных целей развития России до 2030 г и неразрывно связана с развитием процесса импортозамещения, а также развития приоритетных отраслей экономики.</w:t>
      </w:r>
    </w:p>
    <w:p w:rsidR="0052701D" w:rsidRDefault="00D40929">
      <w:pPr>
        <w:spacing w:after="4" w:line="249" w:lineRule="auto"/>
        <w:ind w:left="-15" w:firstLine="698"/>
        <w:jc w:val="both"/>
      </w:pPr>
      <w:r>
        <w:rPr>
          <w:rFonts w:ascii="Times New Roman" w:eastAsia="Times New Roman" w:hAnsi="Times New Roman" w:cs="Times New Roman"/>
          <w:sz w:val="28"/>
        </w:rPr>
        <w:t>Еще одной проблемной зоной ц</w:t>
      </w:r>
      <w:r>
        <w:rPr>
          <w:rFonts w:ascii="Times New Roman" w:eastAsia="Times New Roman" w:hAnsi="Times New Roman" w:cs="Times New Roman"/>
          <w:sz w:val="28"/>
        </w:rPr>
        <w:t>ифровизации является проблематика программного обеспечения. С февраля 2021 г проблематика программного обеспечения становится наиболее ярко выраженной. Поскольку все ПО (программное обеспечение) зарубежного производства, на первый план выходит вопрос о про</w:t>
      </w:r>
      <w:r>
        <w:rPr>
          <w:rFonts w:ascii="Times New Roman" w:eastAsia="Times New Roman" w:hAnsi="Times New Roman" w:cs="Times New Roman"/>
          <w:sz w:val="28"/>
        </w:rPr>
        <w:t xml:space="preserve">цессе импортозамещения цифровых программ, оборудования. Остро встает вопрос о необходимости в квалифицированных специалистах  владеющих цифровыми компетенциями, а именно специалистов по кибербезопасности, разработчиков (разработка дорожных карт отраслей), </w:t>
      </w:r>
      <w:r>
        <w:rPr>
          <w:rFonts w:ascii="Times New Roman" w:eastAsia="Times New Roman" w:hAnsi="Times New Roman" w:cs="Times New Roman"/>
          <w:sz w:val="28"/>
        </w:rPr>
        <w:t>специалистов для создания платформенного программного обеспечения, создания кастомизированных решений для отрасли образования.</w:t>
      </w:r>
    </w:p>
    <w:p w:rsidR="0052701D" w:rsidRDefault="00D40929">
      <w:pPr>
        <w:spacing w:after="4" w:line="249" w:lineRule="auto"/>
        <w:ind w:left="-15" w:firstLine="698"/>
        <w:jc w:val="both"/>
      </w:pPr>
      <w:r>
        <w:rPr>
          <w:rFonts w:ascii="Times New Roman" w:eastAsia="Times New Roman" w:hAnsi="Times New Roman" w:cs="Times New Roman"/>
          <w:sz w:val="28"/>
        </w:rPr>
        <w:lastRenderedPageBreak/>
        <w:t>В связи с этим мы имеем большой спрос на кандидатские и докторские диссертации, на научные разработки, современные исследования и</w:t>
      </w:r>
      <w:r>
        <w:rPr>
          <w:rFonts w:ascii="Times New Roman" w:eastAsia="Times New Roman" w:hAnsi="Times New Roman" w:cs="Times New Roman"/>
          <w:sz w:val="28"/>
        </w:rPr>
        <w:t xml:space="preserve"> анализ современных трендов, разработка новых технологий, методов и стратегий.</w:t>
      </w:r>
    </w:p>
    <w:p w:rsidR="0052701D" w:rsidRDefault="00D40929">
      <w:pPr>
        <w:spacing w:after="4" w:line="249" w:lineRule="auto"/>
        <w:ind w:left="-15" w:firstLine="698"/>
        <w:jc w:val="both"/>
      </w:pPr>
      <w:r>
        <w:rPr>
          <w:rFonts w:ascii="Times New Roman" w:eastAsia="Times New Roman" w:hAnsi="Times New Roman" w:cs="Times New Roman"/>
          <w:sz w:val="28"/>
        </w:rPr>
        <w:t>Выделим следующие приоритеты глобальной цифровизации образовательной среды вузов:</w:t>
      </w:r>
    </w:p>
    <w:p w:rsidR="0052701D" w:rsidRDefault="00D40929">
      <w:pPr>
        <w:numPr>
          <w:ilvl w:val="0"/>
          <w:numId w:val="138"/>
        </w:numPr>
        <w:spacing w:after="4" w:line="249" w:lineRule="auto"/>
        <w:ind w:firstLine="698"/>
        <w:jc w:val="both"/>
      </w:pPr>
      <w:r>
        <w:rPr>
          <w:rFonts w:ascii="Times New Roman" w:eastAsia="Times New Roman" w:hAnsi="Times New Roman" w:cs="Times New Roman"/>
          <w:sz w:val="28"/>
        </w:rPr>
        <w:t>увеличение объема научных исследований и разработок;</w:t>
      </w:r>
    </w:p>
    <w:p w:rsidR="0052701D" w:rsidRDefault="00D40929">
      <w:pPr>
        <w:numPr>
          <w:ilvl w:val="0"/>
          <w:numId w:val="138"/>
        </w:numPr>
        <w:spacing w:after="4" w:line="249" w:lineRule="auto"/>
        <w:ind w:firstLine="698"/>
        <w:jc w:val="both"/>
      </w:pPr>
      <w:r>
        <w:rPr>
          <w:rFonts w:ascii="Times New Roman" w:eastAsia="Times New Roman" w:hAnsi="Times New Roman" w:cs="Times New Roman"/>
          <w:sz w:val="28"/>
        </w:rPr>
        <w:t>регуляторное обеспечение внедрения цифровых технологий вобразовательных организациях высшего образования и научных организациях;</w:t>
      </w:r>
    </w:p>
    <w:p w:rsidR="0052701D" w:rsidRDefault="00D40929">
      <w:pPr>
        <w:numPr>
          <w:ilvl w:val="0"/>
          <w:numId w:val="138"/>
        </w:numPr>
        <w:spacing w:after="4" w:line="249" w:lineRule="auto"/>
        <w:ind w:firstLine="698"/>
        <w:jc w:val="both"/>
      </w:pPr>
      <w:r>
        <w:rPr>
          <w:rFonts w:ascii="Times New Roman" w:eastAsia="Times New Roman" w:hAnsi="Times New Roman" w:cs="Times New Roman"/>
          <w:sz w:val="28"/>
        </w:rPr>
        <w:t>увеличение экспорта науки и высшего образования;</w:t>
      </w:r>
    </w:p>
    <w:p w:rsidR="0052701D" w:rsidRDefault="00D40929">
      <w:pPr>
        <w:numPr>
          <w:ilvl w:val="0"/>
          <w:numId w:val="138"/>
        </w:numPr>
        <w:spacing w:after="4" w:line="249" w:lineRule="auto"/>
        <w:ind w:firstLine="698"/>
        <w:jc w:val="both"/>
      </w:pPr>
      <w:r>
        <w:rPr>
          <w:rFonts w:ascii="Times New Roman" w:eastAsia="Times New Roman" w:hAnsi="Times New Roman" w:cs="Times New Roman"/>
          <w:sz w:val="28"/>
        </w:rPr>
        <w:t>увеличение доли отечественного оборудования и информационныхсистем, используем</w:t>
      </w:r>
      <w:r>
        <w:rPr>
          <w:rFonts w:ascii="Times New Roman" w:eastAsia="Times New Roman" w:hAnsi="Times New Roman" w:cs="Times New Roman"/>
          <w:sz w:val="28"/>
        </w:rPr>
        <w:t>ых в образовательных организациях высшего образования и научных организациях;</w:t>
      </w:r>
    </w:p>
    <w:p w:rsidR="0052701D" w:rsidRDefault="00D40929">
      <w:pPr>
        <w:numPr>
          <w:ilvl w:val="0"/>
          <w:numId w:val="138"/>
        </w:numPr>
        <w:spacing w:after="0"/>
        <w:ind w:firstLine="698"/>
        <w:jc w:val="both"/>
      </w:pPr>
      <w:r>
        <w:rPr>
          <w:rFonts w:ascii="Times New Roman" w:eastAsia="Times New Roman" w:hAnsi="Times New Roman" w:cs="Times New Roman"/>
          <w:sz w:val="28"/>
        </w:rPr>
        <w:t>обеспечение передовой инфраструктуры для научных</w:t>
      </w:r>
    </w:p>
    <w:p w:rsidR="0052701D" w:rsidRDefault="00D40929">
      <w:pPr>
        <w:spacing w:after="4" w:line="249" w:lineRule="auto"/>
        <w:ind w:left="-15"/>
        <w:jc w:val="both"/>
      </w:pPr>
      <w:r>
        <w:rPr>
          <w:rFonts w:ascii="Times New Roman" w:eastAsia="Times New Roman" w:hAnsi="Times New Roman" w:cs="Times New Roman"/>
          <w:sz w:val="28"/>
        </w:rPr>
        <w:t>исследований;</w:t>
      </w:r>
    </w:p>
    <w:p w:rsidR="0052701D" w:rsidRDefault="00D40929">
      <w:pPr>
        <w:numPr>
          <w:ilvl w:val="0"/>
          <w:numId w:val="138"/>
        </w:numPr>
        <w:spacing w:after="4" w:line="249" w:lineRule="auto"/>
        <w:ind w:firstLine="698"/>
        <w:jc w:val="both"/>
      </w:pPr>
      <w:r>
        <w:rPr>
          <w:rFonts w:ascii="Times New Roman" w:eastAsia="Times New Roman" w:hAnsi="Times New Roman" w:cs="Times New Roman"/>
          <w:sz w:val="28"/>
        </w:rPr>
        <w:t>переход к передовым цифровым, интеллектуальнымпроизводственным технологиям, роботизированным системам, новым материалам и способам конструирования, создание систем обработки больших объемов данных, машинного обучения и искусственного интеллекта.</w:t>
      </w:r>
    </w:p>
    <w:p w:rsidR="0052701D" w:rsidRDefault="00D40929">
      <w:pPr>
        <w:spacing w:after="4" w:line="249" w:lineRule="auto"/>
        <w:ind w:left="-15" w:firstLine="698"/>
        <w:jc w:val="both"/>
      </w:pPr>
      <w:r>
        <w:rPr>
          <w:rFonts w:ascii="Times New Roman" w:eastAsia="Times New Roman" w:hAnsi="Times New Roman" w:cs="Times New Roman"/>
          <w:sz w:val="28"/>
        </w:rPr>
        <w:t xml:space="preserve">На данный </w:t>
      </w:r>
      <w:r>
        <w:rPr>
          <w:rFonts w:ascii="Times New Roman" w:eastAsia="Times New Roman" w:hAnsi="Times New Roman" w:cs="Times New Roman"/>
          <w:sz w:val="28"/>
        </w:rPr>
        <w:t>момент многие вузы России специалистов по кибербезопасности готовят в рамках трех укрупненных групп специальностей и направлений: "Информатика и вычислительная техника", "Информационная безопасность", "Электроника, радиотехника и системы связи". Минобрнаук</w:t>
      </w:r>
      <w:r>
        <w:rPr>
          <w:rFonts w:ascii="Times New Roman" w:eastAsia="Times New Roman" w:hAnsi="Times New Roman" w:cs="Times New Roman"/>
          <w:sz w:val="28"/>
        </w:rPr>
        <w:t xml:space="preserve">и отмечают, что количество бюджетных мест по этим направлениям растет из года в год. Статистика бюджетных мест представлена в таблице 1. </w:t>
      </w:r>
    </w:p>
    <w:p w:rsidR="0052701D" w:rsidRDefault="00D40929">
      <w:pPr>
        <w:spacing w:after="4" w:line="249" w:lineRule="auto"/>
        <w:ind w:left="-15" w:firstLine="698"/>
        <w:jc w:val="both"/>
      </w:pPr>
      <w:r>
        <w:rPr>
          <w:rFonts w:ascii="Times New Roman" w:eastAsia="Times New Roman" w:hAnsi="Times New Roman" w:cs="Times New Roman"/>
          <w:sz w:val="28"/>
        </w:rPr>
        <w:t xml:space="preserve">В 2022 г. по федеральному проекту «Кадры для цифровой экономики» запланировано 90 тыс. бюджетных мест для обучения по </w:t>
      </w:r>
      <w:r>
        <w:rPr>
          <w:rFonts w:ascii="Times New Roman" w:eastAsia="Times New Roman" w:hAnsi="Times New Roman" w:cs="Times New Roman"/>
          <w:sz w:val="28"/>
        </w:rPr>
        <w:t>ИТспециальностям, поскольку система профессионального образования должна в ускоренном темпе начать обеспечивать экономику необходимыми кадрами, обладающими цифровыми компетенциями, что позволит устранить существующий дефицит специалистов. [10].</w:t>
      </w:r>
    </w:p>
    <w:p w:rsidR="0052701D" w:rsidRDefault="00D40929">
      <w:pPr>
        <w:spacing w:after="4" w:line="249" w:lineRule="auto"/>
        <w:ind w:left="-15"/>
        <w:jc w:val="both"/>
      </w:pPr>
      <w:r>
        <w:rPr>
          <w:rFonts w:ascii="Times New Roman" w:eastAsia="Times New Roman" w:hAnsi="Times New Roman" w:cs="Times New Roman"/>
        </w:rPr>
        <w:t xml:space="preserve">Таблица 1. </w:t>
      </w:r>
      <w:r>
        <w:rPr>
          <w:rFonts w:ascii="Times New Roman" w:eastAsia="Times New Roman" w:hAnsi="Times New Roman" w:cs="Times New Roman"/>
          <w:sz w:val="28"/>
        </w:rPr>
        <w:t>Статистика бюджетных мест</w:t>
      </w:r>
    </w:p>
    <w:tbl>
      <w:tblPr>
        <w:tblStyle w:val="TableGrid"/>
        <w:tblW w:w="8888" w:type="dxa"/>
        <w:tblInd w:w="-2" w:type="dxa"/>
        <w:tblCellMar>
          <w:top w:w="15" w:type="dxa"/>
          <w:left w:w="110" w:type="dxa"/>
          <w:bottom w:w="0" w:type="dxa"/>
          <w:right w:w="115" w:type="dxa"/>
        </w:tblCellMar>
        <w:tblLook w:val="04A0" w:firstRow="1" w:lastRow="0" w:firstColumn="1" w:lastColumn="0" w:noHBand="0" w:noVBand="1"/>
      </w:tblPr>
      <w:tblGrid>
        <w:gridCol w:w="3568"/>
        <w:gridCol w:w="2470"/>
        <w:gridCol w:w="2850"/>
      </w:tblGrid>
      <w:tr w:rsidR="0052701D">
        <w:trPr>
          <w:trHeight w:val="562"/>
        </w:trPr>
        <w:tc>
          <w:tcPr>
            <w:tcW w:w="356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9"/>
              <w:jc w:val="center"/>
            </w:pPr>
            <w:r>
              <w:rPr>
                <w:rFonts w:ascii="Times New Roman" w:eastAsia="Times New Roman" w:hAnsi="Times New Roman" w:cs="Times New Roman"/>
                <w:sz w:val="24"/>
              </w:rPr>
              <w:t>Направление</w:t>
            </w:r>
          </w:p>
        </w:tc>
        <w:tc>
          <w:tcPr>
            <w:tcW w:w="247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9"/>
              <w:jc w:val="center"/>
            </w:pPr>
            <w:r>
              <w:rPr>
                <w:rFonts w:ascii="Times New Roman" w:eastAsia="Times New Roman" w:hAnsi="Times New Roman" w:cs="Times New Roman"/>
                <w:sz w:val="24"/>
              </w:rPr>
              <w:t>Период</w:t>
            </w:r>
          </w:p>
        </w:tc>
        <w:tc>
          <w:tcPr>
            <w:tcW w:w="2850" w:type="dxa"/>
            <w:tcBorders>
              <w:top w:val="single" w:sz="4" w:space="0" w:color="000000"/>
              <w:left w:val="single" w:sz="4" w:space="0" w:color="000000"/>
              <w:bottom w:val="single" w:sz="4" w:space="0" w:color="000000"/>
              <w:right w:val="single" w:sz="4" w:space="0" w:color="000000"/>
            </w:tcBorders>
          </w:tcPr>
          <w:p w:rsidR="0052701D" w:rsidRDefault="00D40929">
            <w:pPr>
              <w:spacing w:after="0"/>
              <w:jc w:val="center"/>
            </w:pPr>
            <w:r>
              <w:rPr>
                <w:rFonts w:ascii="Times New Roman" w:eastAsia="Times New Roman" w:hAnsi="Times New Roman" w:cs="Times New Roman"/>
                <w:sz w:val="24"/>
              </w:rPr>
              <w:t>количество бюджетных мест</w:t>
            </w:r>
          </w:p>
        </w:tc>
      </w:tr>
      <w:tr w:rsidR="0052701D">
        <w:trPr>
          <w:trHeight w:val="286"/>
        </w:trPr>
        <w:tc>
          <w:tcPr>
            <w:tcW w:w="3568" w:type="dxa"/>
            <w:vMerge w:val="restart"/>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"Информатика и вычислительная техника"</w:t>
            </w:r>
          </w:p>
        </w:tc>
        <w:tc>
          <w:tcPr>
            <w:tcW w:w="247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1"/>
              <w:jc w:val="center"/>
            </w:pPr>
            <w:r>
              <w:rPr>
                <w:rFonts w:ascii="Times New Roman" w:eastAsia="Times New Roman" w:hAnsi="Times New Roman" w:cs="Times New Roman"/>
                <w:sz w:val="24"/>
              </w:rPr>
              <w:t>2020-2021</w:t>
            </w:r>
          </w:p>
        </w:tc>
        <w:tc>
          <w:tcPr>
            <w:tcW w:w="28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1"/>
              <w:jc w:val="center"/>
            </w:pPr>
            <w:r>
              <w:rPr>
                <w:rFonts w:ascii="Times New Roman" w:eastAsia="Times New Roman" w:hAnsi="Times New Roman" w:cs="Times New Roman"/>
                <w:sz w:val="24"/>
              </w:rPr>
              <w:t>42 723</w:t>
            </w:r>
          </w:p>
        </w:tc>
      </w:tr>
      <w:tr w:rsidR="0052701D">
        <w:trPr>
          <w:trHeight w:val="286"/>
        </w:trPr>
        <w:tc>
          <w:tcPr>
            <w:tcW w:w="0" w:type="auto"/>
            <w:vMerge/>
            <w:tcBorders>
              <w:top w:val="nil"/>
              <w:left w:val="single" w:sz="4" w:space="0" w:color="000000"/>
              <w:bottom w:val="nil"/>
              <w:right w:val="single" w:sz="4" w:space="0" w:color="000000"/>
            </w:tcBorders>
          </w:tcPr>
          <w:p w:rsidR="0052701D" w:rsidRDefault="0052701D"/>
        </w:tc>
        <w:tc>
          <w:tcPr>
            <w:tcW w:w="247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1"/>
              <w:jc w:val="center"/>
            </w:pPr>
            <w:r>
              <w:rPr>
                <w:rFonts w:ascii="Times New Roman" w:eastAsia="Times New Roman" w:hAnsi="Times New Roman" w:cs="Times New Roman"/>
                <w:sz w:val="24"/>
              </w:rPr>
              <w:t>2021-2022</w:t>
            </w:r>
          </w:p>
        </w:tc>
        <w:tc>
          <w:tcPr>
            <w:tcW w:w="28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1"/>
              <w:jc w:val="center"/>
            </w:pPr>
            <w:r>
              <w:rPr>
                <w:rFonts w:ascii="Times New Roman" w:eastAsia="Times New Roman" w:hAnsi="Times New Roman" w:cs="Times New Roman"/>
                <w:sz w:val="24"/>
              </w:rPr>
              <w:t>55тыс</w:t>
            </w:r>
          </w:p>
        </w:tc>
      </w:tr>
      <w:tr w:rsidR="0052701D">
        <w:trPr>
          <w:trHeight w:val="286"/>
        </w:trPr>
        <w:tc>
          <w:tcPr>
            <w:tcW w:w="0" w:type="auto"/>
            <w:vMerge/>
            <w:tcBorders>
              <w:top w:val="nil"/>
              <w:left w:val="single" w:sz="4" w:space="0" w:color="000000"/>
              <w:bottom w:val="single" w:sz="4" w:space="0" w:color="000000"/>
              <w:right w:val="single" w:sz="4" w:space="0" w:color="000000"/>
            </w:tcBorders>
          </w:tcPr>
          <w:p w:rsidR="0052701D" w:rsidRDefault="0052701D"/>
        </w:tc>
        <w:tc>
          <w:tcPr>
            <w:tcW w:w="247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1"/>
              <w:jc w:val="center"/>
            </w:pPr>
            <w:r>
              <w:rPr>
                <w:rFonts w:ascii="Times New Roman" w:eastAsia="Times New Roman" w:hAnsi="Times New Roman" w:cs="Times New Roman"/>
                <w:sz w:val="24"/>
              </w:rPr>
              <w:t>2023</w:t>
            </w:r>
          </w:p>
        </w:tc>
        <w:tc>
          <w:tcPr>
            <w:tcW w:w="28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1"/>
              <w:jc w:val="center"/>
            </w:pPr>
            <w:r>
              <w:rPr>
                <w:rFonts w:ascii="Times New Roman" w:eastAsia="Times New Roman" w:hAnsi="Times New Roman" w:cs="Times New Roman"/>
                <w:sz w:val="24"/>
              </w:rPr>
              <w:t>80 тыс</w:t>
            </w:r>
          </w:p>
        </w:tc>
      </w:tr>
      <w:tr w:rsidR="0052701D">
        <w:trPr>
          <w:trHeight w:val="286"/>
        </w:trPr>
        <w:tc>
          <w:tcPr>
            <w:tcW w:w="3568" w:type="dxa"/>
            <w:vMerge w:val="restart"/>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"Информационная безопасность"</w:t>
            </w:r>
          </w:p>
        </w:tc>
        <w:tc>
          <w:tcPr>
            <w:tcW w:w="247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1"/>
              <w:jc w:val="center"/>
            </w:pPr>
            <w:r>
              <w:rPr>
                <w:rFonts w:ascii="Times New Roman" w:eastAsia="Times New Roman" w:hAnsi="Times New Roman" w:cs="Times New Roman"/>
                <w:sz w:val="24"/>
              </w:rPr>
              <w:t>2020-2021</w:t>
            </w:r>
          </w:p>
        </w:tc>
        <w:tc>
          <w:tcPr>
            <w:tcW w:w="28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1"/>
              <w:jc w:val="center"/>
            </w:pPr>
            <w:r>
              <w:rPr>
                <w:rFonts w:ascii="Times New Roman" w:eastAsia="Times New Roman" w:hAnsi="Times New Roman" w:cs="Times New Roman"/>
                <w:sz w:val="24"/>
              </w:rPr>
              <w:t>7 661</w:t>
            </w:r>
          </w:p>
        </w:tc>
      </w:tr>
      <w:tr w:rsidR="0052701D">
        <w:trPr>
          <w:trHeight w:val="286"/>
        </w:trPr>
        <w:tc>
          <w:tcPr>
            <w:tcW w:w="0" w:type="auto"/>
            <w:vMerge/>
            <w:tcBorders>
              <w:top w:val="nil"/>
              <w:left w:val="single" w:sz="4" w:space="0" w:color="000000"/>
              <w:bottom w:val="single" w:sz="4" w:space="0" w:color="000000"/>
              <w:right w:val="single" w:sz="4" w:space="0" w:color="000000"/>
            </w:tcBorders>
          </w:tcPr>
          <w:p w:rsidR="0052701D" w:rsidRDefault="0052701D"/>
        </w:tc>
        <w:tc>
          <w:tcPr>
            <w:tcW w:w="247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1"/>
              <w:jc w:val="center"/>
            </w:pPr>
            <w:r>
              <w:rPr>
                <w:rFonts w:ascii="Times New Roman" w:eastAsia="Times New Roman" w:hAnsi="Times New Roman" w:cs="Times New Roman"/>
                <w:sz w:val="24"/>
              </w:rPr>
              <w:t>2022-2023</w:t>
            </w:r>
          </w:p>
        </w:tc>
        <w:tc>
          <w:tcPr>
            <w:tcW w:w="28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1"/>
              <w:jc w:val="center"/>
            </w:pPr>
            <w:r>
              <w:rPr>
                <w:rFonts w:ascii="Times New Roman" w:eastAsia="Times New Roman" w:hAnsi="Times New Roman" w:cs="Times New Roman"/>
                <w:sz w:val="24"/>
              </w:rPr>
              <w:t>10 955</w:t>
            </w:r>
          </w:p>
        </w:tc>
      </w:tr>
      <w:tr w:rsidR="0052701D">
        <w:trPr>
          <w:trHeight w:val="286"/>
        </w:trPr>
        <w:tc>
          <w:tcPr>
            <w:tcW w:w="3568" w:type="dxa"/>
            <w:vMerge w:val="restart"/>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"Электроника, радиотехника и системы связи"</w:t>
            </w:r>
          </w:p>
        </w:tc>
        <w:tc>
          <w:tcPr>
            <w:tcW w:w="247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1"/>
              <w:jc w:val="center"/>
            </w:pPr>
            <w:r>
              <w:rPr>
                <w:rFonts w:ascii="Times New Roman" w:eastAsia="Times New Roman" w:hAnsi="Times New Roman" w:cs="Times New Roman"/>
                <w:sz w:val="24"/>
              </w:rPr>
              <w:t>2020-2021</w:t>
            </w:r>
          </w:p>
        </w:tc>
        <w:tc>
          <w:tcPr>
            <w:tcW w:w="28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1"/>
              <w:jc w:val="center"/>
            </w:pPr>
            <w:r>
              <w:rPr>
                <w:rFonts w:ascii="Times New Roman" w:eastAsia="Times New Roman" w:hAnsi="Times New Roman" w:cs="Times New Roman"/>
                <w:sz w:val="24"/>
              </w:rPr>
              <w:t>18 359</w:t>
            </w:r>
          </w:p>
        </w:tc>
      </w:tr>
      <w:tr w:rsidR="0052701D">
        <w:trPr>
          <w:trHeight w:val="286"/>
        </w:trPr>
        <w:tc>
          <w:tcPr>
            <w:tcW w:w="0" w:type="auto"/>
            <w:vMerge/>
            <w:tcBorders>
              <w:top w:val="nil"/>
              <w:left w:val="single" w:sz="4" w:space="0" w:color="000000"/>
              <w:bottom w:val="single" w:sz="4" w:space="0" w:color="000000"/>
              <w:right w:val="single" w:sz="4" w:space="0" w:color="000000"/>
            </w:tcBorders>
          </w:tcPr>
          <w:p w:rsidR="0052701D" w:rsidRDefault="0052701D"/>
        </w:tc>
        <w:tc>
          <w:tcPr>
            <w:tcW w:w="247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1"/>
              <w:jc w:val="center"/>
            </w:pPr>
            <w:r>
              <w:rPr>
                <w:rFonts w:ascii="Times New Roman" w:eastAsia="Times New Roman" w:hAnsi="Times New Roman" w:cs="Times New Roman"/>
                <w:sz w:val="24"/>
              </w:rPr>
              <w:t>2022-2023</w:t>
            </w:r>
          </w:p>
        </w:tc>
        <w:tc>
          <w:tcPr>
            <w:tcW w:w="28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1"/>
              <w:jc w:val="center"/>
            </w:pPr>
            <w:r>
              <w:rPr>
                <w:rFonts w:ascii="Times New Roman" w:eastAsia="Times New Roman" w:hAnsi="Times New Roman" w:cs="Times New Roman"/>
                <w:sz w:val="24"/>
              </w:rPr>
              <w:t>20 989</w:t>
            </w:r>
          </w:p>
        </w:tc>
      </w:tr>
    </w:tbl>
    <w:p w:rsidR="0052701D" w:rsidRDefault="00D40929">
      <w:pPr>
        <w:spacing w:after="393"/>
      </w:pPr>
      <w:r>
        <w:rPr>
          <w:rFonts w:ascii="Times New Roman" w:eastAsia="Times New Roman" w:hAnsi="Times New Roman" w:cs="Times New Roman"/>
        </w:rPr>
        <w:t>*по данным Минцифры</w:t>
      </w:r>
    </w:p>
    <w:p w:rsidR="0052701D" w:rsidRDefault="00D40929">
      <w:pPr>
        <w:spacing w:after="4" w:line="249" w:lineRule="auto"/>
        <w:ind w:left="-15" w:firstLine="698"/>
        <w:jc w:val="both"/>
      </w:pPr>
      <w:r>
        <w:rPr>
          <w:rFonts w:ascii="Times New Roman" w:eastAsia="Times New Roman" w:hAnsi="Times New Roman" w:cs="Times New Roman"/>
          <w:sz w:val="28"/>
        </w:rPr>
        <w:t>По итогам приемной кампании 2021г. самыми востребованными ИТнаправлениями у абитуриентов стали: Бизнес-информатика (конкурс 35,5 человек на место);</w:t>
      </w:r>
      <w:hyperlink r:id="rId780">
        <w:r>
          <w:rPr>
            <w:rFonts w:ascii="Times New Roman" w:eastAsia="Times New Roman" w:hAnsi="Times New Roman" w:cs="Times New Roman"/>
            <w:sz w:val="28"/>
          </w:rPr>
          <w:t xml:space="preserve"> </w:t>
        </w:r>
      </w:hyperlink>
      <w:hyperlink r:id="rId781">
        <w:r>
          <w:rPr>
            <w:rFonts w:ascii="Times New Roman" w:eastAsia="Times New Roman" w:hAnsi="Times New Roman" w:cs="Times New Roman"/>
            <w:sz w:val="28"/>
          </w:rPr>
          <w:t>Информационная безопасность</w:t>
        </w:r>
      </w:hyperlink>
      <w:r>
        <w:rPr>
          <w:rFonts w:ascii="Times New Roman" w:eastAsia="Times New Roman" w:hAnsi="Times New Roman" w:cs="Times New Roman"/>
          <w:sz w:val="28"/>
        </w:rPr>
        <w:t xml:space="preserve"> (24,9 человека на место); Кон</w:t>
      </w:r>
      <w:r>
        <w:rPr>
          <w:rFonts w:ascii="Times New Roman" w:eastAsia="Times New Roman" w:hAnsi="Times New Roman" w:cs="Times New Roman"/>
          <w:sz w:val="28"/>
        </w:rPr>
        <w:t>струирование и технология электронных средств (23,3 человека на место); Фундаментальная информатика и информационные технологии (21,5 человек на место); Компьютерная безопасность (21,5 человек на место).</w:t>
      </w:r>
    </w:p>
    <w:p w:rsidR="0052701D" w:rsidRDefault="00D40929">
      <w:pPr>
        <w:spacing w:after="4" w:line="249" w:lineRule="auto"/>
        <w:ind w:left="-15" w:firstLine="698"/>
        <w:jc w:val="both"/>
      </w:pPr>
      <w:r>
        <w:rPr>
          <w:rFonts w:ascii="Times New Roman" w:eastAsia="Times New Roman" w:hAnsi="Times New Roman" w:cs="Times New Roman"/>
          <w:sz w:val="28"/>
        </w:rPr>
        <w:t>"Приоритетными для государства направлениями подгото</w:t>
      </w:r>
      <w:r>
        <w:rPr>
          <w:rFonts w:ascii="Times New Roman" w:eastAsia="Times New Roman" w:hAnsi="Times New Roman" w:cs="Times New Roman"/>
          <w:sz w:val="28"/>
        </w:rPr>
        <w:t>вки в 2022/2023 году станут инженерно-технические (251 033 мест), педагогические (75 788 мест), медицинские (53 450 мест) и сельскохозяйственные (41 095 мест) специальности.</w:t>
      </w:r>
    </w:p>
    <w:p w:rsidR="0052701D" w:rsidRDefault="00D40929">
      <w:pPr>
        <w:spacing w:after="2" w:line="255" w:lineRule="auto"/>
        <w:ind w:left="703" w:hanging="10"/>
      </w:pPr>
      <w:r>
        <w:rPr>
          <w:rFonts w:ascii="Times New Roman" w:eastAsia="Times New Roman" w:hAnsi="Times New Roman" w:cs="Times New Roman"/>
          <w:b/>
          <w:sz w:val="28"/>
        </w:rPr>
        <w:t>Заключение</w:t>
      </w:r>
    </w:p>
    <w:p w:rsidR="0052701D" w:rsidRDefault="00D40929">
      <w:pPr>
        <w:spacing w:after="4" w:line="249" w:lineRule="auto"/>
        <w:ind w:left="-15" w:firstLine="698"/>
        <w:jc w:val="both"/>
      </w:pPr>
      <w:r>
        <w:rPr>
          <w:rFonts w:ascii="Times New Roman" w:eastAsia="Times New Roman" w:hAnsi="Times New Roman" w:cs="Times New Roman"/>
          <w:sz w:val="28"/>
        </w:rPr>
        <w:t xml:space="preserve">Сегодня многие российские университеты уже поставили перед собой цель  </w:t>
      </w:r>
      <w:r>
        <w:rPr>
          <w:rFonts w:ascii="Times New Roman" w:eastAsia="Times New Roman" w:hAnsi="Times New Roman" w:cs="Times New Roman"/>
          <w:sz w:val="28"/>
        </w:rPr>
        <w:t>активно внедрять цифровые технологии в образовательный процесс вузов. Для этого необходимы: развитие компетенций преподавателей и студентов, создание цифровых образовательных платформ и образовательных программ.</w:t>
      </w:r>
    </w:p>
    <w:p w:rsidR="0052701D" w:rsidRDefault="00D40929">
      <w:pPr>
        <w:spacing w:after="4" w:line="249" w:lineRule="auto"/>
        <w:ind w:left="-15" w:firstLine="340"/>
        <w:jc w:val="both"/>
      </w:pPr>
      <w:r>
        <w:rPr>
          <w:rFonts w:ascii="Times New Roman" w:eastAsia="Times New Roman" w:hAnsi="Times New Roman" w:cs="Times New Roman"/>
          <w:sz w:val="28"/>
        </w:rPr>
        <w:t>Сейчас формируется огромный пласт новых обра</w:t>
      </w:r>
      <w:r>
        <w:rPr>
          <w:rFonts w:ascii="Times New Roman" w:eastAsia="Times New Roman" w:hAnsi="Times New Roman" w:cs="Times New Roman"/>
          <w:sz w:val="28"/>
        </w:rPr>
        <w:t>зовательных программ для успешного формирования и развития IT компетенций специалистов и осуществления баланса между качеством и количеством специалистов, способных продуктивно работать в условиях цифровой экономики, обладающих цифровыми компетенциями. Оба</w:t>
      </w:r>
      <w:r>
        <w:rPr>
          <w:rFonts w:ascii="Times New Roman" w:eastAsia="Times New Roman" w:hAnsi="Times New Roman" w:cs="Times New Roman"/>
          <w:sz w:val="28"/>
        </w:rPr>
        <w:t xml:space="preserve"> представленных в работе фактора являются ключом к любой успешной цифровой трансформации.</w:t>
      </w:r>
    </w:p>
    <w:p w:rsidR="0052701D" w:rsidRDefault="00D40929">
      <w:pPr>
        <w:spacing w:after="325" w:line="249" w:lineRule="auto"/>
        <w:ind w:left="-15" w:firstLine="698"/>
        <w:jc w:val="both"/>
      </w:pPr>
      <w:r>
        <w:rPr>
          <w:rFonts w:ascii="Times New Roman" w:eastAsia="Times New Roman" w:hAnsi="Times New Roman" w:cs="Times New Roman"/>
          <w:sz w:val="28"/>
        </w:rPr>
        <w:t>Дальнейшее исследование представленной проблематики позволит более конкретно изучить роль высокого уровня организации обучения в процессе трансформации. Такое исследование поможет дать подробное представление о том, как происходит внедрение цифровых технол</w:t>
      </w:r>
      <w:r>
        <w:rPr>
          <w:rFonts w:ascii="Times New Roman" w:eastAsia="Times New Roman" w:hAnsi="Times New Roman" w:cs="Times New Roman"/>
          <w:sz w:val="28"/>
        </w:rPr>
        <w:t>огий в вузы и создается высокотехнологичная среда, что позволит вузам достичь высокого уровня цифровой трансформации.</w:t>
      </w:r>
    </w:p>
    <w:p w:rsidR="0052701D" w:rsidRDefault="00D40929">
      <w:pPr>
        <w:spacing w:after="15" w:line="249" w:lineRule="auto"/>
        <w:ind w:left="576" w:right="-140" w:hanging="10"/>
        <w:jc w:val="center"/>
      </w:pPr>
      <w:r>
        <w:rPr>
          <w:rFonts w:ascii="Times New Roman" w:eastAsia="Times New Roman" w:hAnsi="Times New Roman" w:cs="Times New Roman"/>
          <w:b/>
          <w:sz w:val="28"/>
        </w:rPr>
        <w:t>ИСТОЧНИКИ</w:t>
      </w:r>
    </w:p>
    <w:p w:rsidR="0052701D" w:rsidRDefault="00D40929">
      <w:pPr>
        <w:spacing w:after="3" w:line="239" w:lineRule="auto"/>
        <w:ind w:left="-15" w:firstLine="698"/>
        <w:jc w:val="both"/>
      </w:pPr>
      <w:r>
        <w:rPr>
          <w:rFonts w:ascii="Times New Roman" w:eastAsia="Times New Roman" w:hAnsi="Times New Roman" w:cs="Times New Roman"/>
          <w:sz w:val="27"/>
        </w:rPr>
        <w:t>[1]. Уваров А. Ю., Гейбл Э., Дворецкая И. В. [и др.]; под редакцией А. Ю. Уварова, И Д. ФруминаТрудности и перспективы цифровой трансформации образования. Москва: Издательский дом Высшей шк. экономики, 2019.</w:t>
      </w:r>
    </w:p>
    <w:p w:rsidR="0052701D" w:rsidRDefault="00D40929">
      <w:pPr>
        <w:spacing w:after="3" w:line="239" w:lineRule="auto"/>
        <w:ind w:left="-15" w:firstLine="698"/>
        <w:jc w:val="both"/>
      </w:pPr>
      <w:r>
        <w:rPr>
          <w:rFonts w:ascii="Times New Roman" w:eastAsia="Times New Roman" w:hAnsi="Times New Roman" w:cs="Times New Roman"/>
          <w:sz w:val="27"/>
        </w:rPr>
        <w:t>[2]. Сhristine Blanka, Barbara Krumay, David Rue</w:t>
      </w:r>
      <w:r>
        <w:rPr>
          <w:rFonts w:ascii="Times New Roman" w:eastAsia="Times New Roman" w:hAnsi="Times New Roman" w:cs="Times New Roman"/>
          <w:sz w:val="27"/>
        </w:rPr>
        <w:t>ckel. The interplay of digital transformation and employee competency: A design science approach.Technological Forecasting and Social Change. Volume 178, May 2022, 121575.</w:t>
      </w:r>
    </w:p>
    <w:p w:rsidR="0052701D" w:rsidRDefault="00D40929">
      <w:pPr>
        <w:spacing w:after="3" w:line="239" w:lineRule="auto"/>
        <w:ind w:left="-15" w:firstLine="698"/>
        <w:jc w:val="both"/>
      </w:pPr>
      <w:r>
        <w:rPr>
          <w:rFonts w:ascii="Times New Roman" w:eastAsia="Times New Roman" w:hAnsi="Times New Roman" w:cs="Times New Roman"/>
          <w:sz w:val="27"/>
        </w:rPr>
        <w:lastRenderedPageBreak/>
        <w:t>[3]. Jens Konopik, Christoph Jah, Tassilo Schuster, Nadja Hoßbach, Alexander  Pflaum</w:t>
      </w:r>
      <w:r>
        <w:rPr>
          <w:rFonts w:ascii="Times New Roman" w:eastAsia="Times New Roman" w:hAnsi="Times New Roman" w:cs="Times New Roman"/>
          <w:sz w:val="27"/>
        </w:rPr>
        <w:t xml:space="preserve"> Mastering the digital transformation through organizational capabilities: A conceptual framework/ Digital Business/ Volume 2, Issue 2 , 2022 , 100019.</w:t>
      </w:r>
    </w:p>
    <w:p w:rsidR="0052701D" w:rsidRDefault="00D40929">
      <w:pPr>
        <w:spacing w:after="3" w:line="239" w:lineRule="auto"/>
        <w:ind w:left="-15" w:firstLine="698"/>
        <w:jc w:val="both"/>
      </w:pPr>
      <w:r>
        <w:rPr>
          <w:rFonts w:ascii="Times New Roman" w:eastAsia="Times New Roman" w:hAnsi="Times New Roman" w:cs="Times New Roman"/>
          <w:sz w:val="27"/>
        </w:rPr>
        <w:t>[4]. Bendik Bygstad, Egil Qvrelid, Sten Ludvigse, Morten Dæhlen. From dual digitalization to digital lea</w:t>
      </w:r>
      <w:r>
        <w:rPr>
          <w:rFonts w:ascii="Times New Roman" w:eastAsia="Times New Roman" w:hAnsi="Times New Roman" w:cs="Times New Roman"/>
          <w:sz w:val="27"/>
        </w:rPr>
        <w:t>rning space: Exploring the digital transformation of higher education/ Computers &amp; Education. Volume 182, June 2022, 104463</w:t>
      </w:r>
    </w:p>
    <w:tbl>
      <w:tblPr>
        <w:tblStyle w:val="TableGrid"/>
        <w:tblpPr w:vertAnchor="text" w:tblpX="-2" w:tblpY="-11"/>
        <w:tblOverlap w:val="never"/>
        <w:tblW w:w="9027" w:type="dxa"/>
        <w:tblInd w:w="0" w:type="dxa"/>
        <w:tblCellMar>
          <w:top w:w="11" w:type="dxa"/>
          <w:left w:w="0" w:type="dxa"/>
          <w:bottom w:w="0" w:type="dxa"/>
          <w:right w:w="0" w:type="dxa"/>
        </w:tblCellMar>
        <w:tblLook w:val="04A0" w:firstRow="1" w:lastRow="0" w:firstColumn="1" w:lastColumn="0" w:noHBand="0" w:noVBand="1"/>
      </w:tblPr>
      <w:tblGrid>
        <w:gridCol w:w="1050"/>
        <w:gridCol w:w="3136"/>
        <w:gridCol w:w="279"/>
        <w:gridCol w:w="884"/>
        <w:gridCol w:w="264"/>
        <w:gridCol w:w="699"/>
        <w:gridCol w:w="1199"/>
        <w:gridCol w:w="1516"/>
      </w:tblGrid>
      <w:tr w:rsidR="0052701D">
        <w:trPr>
          <w:trHeight w:val="291"/>
        </w:trPr>
        <w:tc>
          <w:tcPr>
            <w:tcW w:w="4188" w:type="dxa"/>
            <w:gridSpan w:val="2"/>
            <w:tcBorders>
              <w:top w:val="nil"/>
              <w:left w:val="nil"/>
              <w:bottom w:val="nil"/>
              <w:right w:val="nil"/>
            </w:tcBorders>
          </w:tcPr>
          <w:p w:rsidR="0052701D" w:rsidRDefault="00D40929">
            <w:pPr>
              <w:spacing w:after="0"/>
              <w:ind w:right="-2"/>
              <w:jc w:val="right"/>
            </w:pPr>
            <w:r>
              <w:rPr>
                <w:rFonts w:ascii="Times New Roman" w:eastAsia="Times New Roman" w:hAnsi="Times New Roman" w:cs="Times New Roman"/>
                <w:sz w:val="27"/>
              </w:rPr>
              <w:t xml:space="preserve">[5]. Цифровой ресурс </w:t>
            </w:r>
            <w:hyperlink r:id="rId782">
              <w:r>
                <w:rPr>
                  <w:rFonts w:ascii="Times New Roman" w:eastAsia="Times New Roman" w:hAnsi="Times New Roman" w:cs="Times New Roman"/>
                  <w:sz w:val="27"/>
                </w:rPr>
                <w:t xml:space="preserve"> </w:t>
              </w:r>
            </w:hyperlink>
            <w:hyperlink r:id="rId783">
              <w:r>
                <w:rPr>
                  <w:rFonts w:ascii="Times New Roman" w:eastAsia="Times New Roman" w:hAnsi="Times New Roman" w:cs="Times New Roman"/>
                  <w:sz w:val="27"/>
                </w:rPr>
                <w:t>https</w:t>
              </w:r>
            </w:hyperlink>
            <w:hyperlink r:id="rId784">
              <w:r>
                <w:rPr>
                  <w:rFonts w:ascii="Times New Roman" w:eastAsia="Times New Roman" w:hAnsi="Times New Roman" w:cs="Times New Roman"/>
                  <w:sz w:val="27"/>
                </w:rPr>
                <w:t xml:space="preserve"> </w:t>
              </w:r>
            </w:hyperlink>
          </w:p>
        </w:tc>
        <w:tc>
          <w:tcPr>
            <w:tcW w:w="1163" w:type="dxa"/>
            <w:gridSpan w:val="2"/>
            <w:tcBorders>
              <w:top w:val="nil"/>
              <w:left w:val="nil"/>
              <w:bottom w:val="single" w:sz="6" w:space="0" w:color="000000"/>
              <w:right w:val="nil"/>
            </w:tcBorders>
            <w:shd w:val="clear" w:color="auto" w:fill="FFFFFF"/>
          </w:tcPr>
          <w:p w:rsidR="0052701D" w:rsidRDefault="00D40929">
            <w:pPr>
              <w:spacing w:after="0"/>
              <w:ind w:right="-3"/>
              <w:jc w:val="both"/>
            </w:pPr>
            <w:hyperlink r:id="rId785">
              <w:r>
                <w:rPr>
                  <w:rFonts w:ascii="Times New Roman" w:eastAsia="Times New Roman" w:hAnsi="Times New Roman" w:cs="Times New Roman"/>
                  <w:sz w:val="27"/>
                </w:rPr>
                <w:t xml:space="preserve"> </w:t>
              </w:r>
            </w:hyperlink>
            <w:hyperlink r:id="rId786">
              <w:r>
                <w:rPr>
                  <w:rFonts w:ascii="Times New Roman" w:eastAsia="Times New Roman" w:hAnsi="Times New Roman" w:cs="Times New Roman"/>
                  <w:sz w:val="27"/>
                </w:rPr>
                <w:t>://</w:t>
              </w:r>
            </w:hyperlink>
            <w:hyperlink r:id="rId787">
              <w:r>
                <w:rPr>
                  <w:rFonts w:ascii="Times New Roman" w:eastAsia="Times New Roman" w:hAnsi="Times New Roman" w:cs="Times New Roman"/>
                  <w:sz w:val="27"/>
                </w:rPr>
                <w:t xml:space="preserve">  </w:t>
              </w:r>
            </w:hyperlink>
            <w:hyperlink r:id="rId788">
              <w:r>
                <w:rPr>
                  <w:rFonts w:ascii="Times New Roman" w:eastAsia="Times New Roman" w:hAnsi="Times New Roman" w:cs="Times New Roman"/>
                  <w:sz w:val="27"/>
                </w:rPr>
                <w:t>skillbox</w:t>
              </w:r>
            </w:hyperlink>
            <w:hyperlink r:id="rId789">
              <w:r>
                <w:rPr>
                  <w:rFonts w:ascii="Times New Roman" w:eastAsia="Times New Roman" w:hAnsi="Times New Roman" w:cs="Times New Roman"/>
                  <w:sz w:val="27"/>
                </w:rPr>
                <w:t xml:space="preserve">  </w:t>
              </w:r>
            </w:hyperlink>
            <w:hyperlink r:id="rId790">
              <w:r>
                <w:rPr>
                  <w:rFonts w:ascii="Times New Roman" w:eastAsia="Times New Roman" w:hAnsi="Times New Roman" w:cs="Times New Roman"/>
                  <w:sz w:val="27"/>
                </w:rPr>
                <w:t>.</w:t>
              </w:r>
            </w:hyperlink>
          </w:p>
        </w:tc>
        <w:tc>
          <w:tcPr>
            <w:tcW w:w="263" w:type="dxa"/>
            <w:tcBorders>
              <w:top w:val="nil"/>
              <w:left w:val="nil"/>
              <w:bottom w:val="single" w:sz="6" w:space="0" w:color="000000"/>
              <w:right w:val="single" w:sz="30" w:space="0" w:color="FFFFFF"/>
            </w:tcBorders>
          </w:tcPr>
          <w:p w:rsidR="0052701D" w:rsidRDefault="00D40929">
            <w:pPr>
              <w:spacing w:after="0"/>
              <w:ind w:left="1"/>
              <w:jc w:val="both"/>
            </w:pPr>
            <w:hyperlink r:id="rId791">
              <w:r>
                <w:rPr>
                  <w:rFonts w:ascii="Times New Roman" w:eastAsia="Times New Roman" w:hAnsi="Times New Roman" w:cs="Times New Roman"/>
                  <w:sz w:val="27"/>
                </w:rPr>
                <w:t xml:space="preserve"> </w:t>
              </w:r>
            </w:hyperlink>
            <w:hyperlink r:id="rId792">
              <w:r>
                <w:rPr>
                  <w:rFonts w:ascii="Times New Roman" w:eastAsia="Times New Roman" w:hAnsi="Times New Roman" w:cs="Times New Roman"/>
                  <w:sz w:val="27"/>
                </w:rPr>
                <w:t>ru</w:t>
              </w:r>
            </w:hyperlink>
            <w:hyperlink r:id="rId793">
              <w:r>
                <w:rPr>
                  <w:rFonts w:ascii="Times New Roman" w:eastAsia="Times New Roman" w:hAnsi="Times New Roman" w:cs="Times New Roman"/>
                  <w:sz w:val="27"/>
                </w:rPr>
                <w:t xml:space="preserve"> </w:t>
              </w:r>
            </w:hyperlink>
          </w:p>
        </w:tc>
        <w:tc>
          <w:tcPr>
            <w:tcW w:w="699" w:type="dxa"/>
            <w:tcBorders>
              <w:top w:val="nil"/>
              <w:left w:val="single" w:sz="30" w:space="0" w:color="FFFFFF"/>
              <w:bottom w:val="single" w:sz="6" w:space="0" w:color="000000"/>
              <w:right w:val="nil"/>
            </w:tcBorders>
          </w:tcPr>
          <w:p w:rsidR="0052701D" w:rsidRDefault="00D40929">
            <w:pPr>
              <w:spacing w:after="0"/>
              <w:ind w:left="-35" w:right="-1"/>
              <w:jc w:val="both"/>
            </w:pPr>
            <w:hyperlink r:id="rId794">
              <w:r>
                <w:rPr>
                  <w:rFonts w:ascii="Times New Roman" w:eastAsia="Times New Roman" w:hAnsi="Times New Roman" w:cs="Times New Roman"/>
                  <w:sz w:val="27"/>
                </w:rPr>
                <w:t>/</w:t>
              </w:r>
            </w:hyperlink>
            <w:hyperlink r:id="rId795">
              <w:r>
                <w:rPr>
                  <w:rFonts w:ascii="Times New Roman" w:eastAsia="Times New Roman" w:hAnsi="Times New Roman" w:cs="Times New Roman"/>
                  <w:sz w:val="27"/>
                </w:rPr>
                <w:t xml:space="preserve">  </w:t>
              </w:r>
            </w:hyperlink>
            <w:hyperlink r:id="rId796">
              <w:r>
                <w:rPr>
                  <w:rFonts w:ascii="Times New Roman" w:eastAsia="Times New Roman" w:hAnsi="Times New Roman" w:cs="Times New Roman"/>
                  <w:sz w:val="27"/>
                </w:rPr>
                <w:t>media</w:t>
              </w:r>
            </w:hyperlink>
            <w:hyperlink r:id="rId797">
              <w:r>
                <w:rPr>
                  <w:rFonts w:ascii="Times New Roman" w:eastAsia="Times New Roman" w:hAnsi="Times New Roman" w:cs="Times New Roman"/>
                  <w:sz w:val="27"/>
                </w:rPr>
                <w:t xml:space="preserve"> </w:t>
              </w:r>
            </w:hyperlink>
          </w:p>
        </w:tc>
        <w:tc>
          <w:tcPr>
            <w:tcW w:w="1199" w:type="dxa"/>
            <w:tcBorders>
              <w:top w:val="nil"/>
              <w:left w:val="nil"/>
              <w:bottom w:val="single" w:sz="6" w:space="0" w:color="000000"/>
              <w:right w:val="nil"/>
            </w:tcBorders>
            <w:shd w:val="clear" w:color="auto" w:fill="FFFFFF"/>
          </w:tcPr>
          <w:p w:rsidR="0052701D" w:rsidRDefault="00D40929">
            <w:pPr>
              <w:spacing w:after="0"/>
              <w:ind w:left="2" w:right="-2"/>
              <w:jc w:val="both"/>
            </w:pPr>
            <w:hyperlink r:id="rId798">
              <w:r>
                <w:rPr>
                  <w:rFonts w:ascii="Times New Roman" w:eastAsia="Times New Roman" w:hAnsi="Times New Roman" w:cs="Times New Roman"/>
                  <w:sz w:val="27"/>
                </w:rPr>
                <w:t>/</w:t>
              </w:r>
            </w:hyperlink>
            <w:hyperlink r:id="rId799">
              <w:r>
                <w:rPr>
                  <w:rFonts w:ascii="Times New Roman" w:eastAsia="Times New Roman" w:hAnsi="Times New Roman" w:cs="Times New Roman"/>
                  <w:sz w:val="27"/>
                </w:rPr>
                <w:t xml:space="preserve">  </w:t>
              </w:r>
            </w:hyperlink>
            <w:hyperlink r:id="rId800">
              <w:r>
                <w:rPr>
                  <w:rFonts w:ascii="Times New Roman" w:eastAsia="Times New Roman" w:hAnsi="Times New Roman" w:cs="Times New Roman"/>
                  <w:sz w:val="27"/>
                </w:rPr>
                <w:t>education</w:t>
              </w:r>
            </w:hyperlink>
            <w:hyperlink r:id="rId801">
              <w:r>
                <w:rPr>
                  <w:rFonts w:ascii="Times New Roman" w:eastAsia="Times New Roman" w:hAnsi="Times New Roman" w:cs="Times New Roman"/>
                  <w:sz w:val="27"/>
                </w:rPr>
                <w:t xml:space="preserve"> </w:t>
              </w:r>
            </w:hyperlink>
            <w:hyperlink r:id="rId802">
              <w:r>
                <w:rPr>
                  <w:rFonts w:ascii="Times New Roman" w:eastAsia="Times New Roman" w:hAnsi="Times New Roman" w:cs="Times New Roman"/>
                  <w:sz w:val="27"/>
                </w:rPr>
                <w:t>/</w:t>
              </w:r>
            </w:hyperlink>
            <w:hyperlink r:id="rId803">
              <w:r>
                <w:rPr>
                  <w:rFonts w:ascii="Times New Roman" w:eastAsia="Times New Roman" w:hAnsi="Times New Roman" w:cs="Times New Roman"/>
                  <w:sz w:val="27"/>
                </w:rPr>
                <w:t xml:space="preserve"> </w:t>
              </w:r>
            </w:hyperlink>
          </w:p>
        </w:tc>
        <w:tc>
          <w:tcPr>
            <w:tcW w:w="1516" w:type="dxa"/>
            <w:tcBorders>
              <w:top w:val="nil"/>
              <w:left w:val="nil"/>
              <w:bottom w:val="single" w:sz="6" w:space="0" w:color="000000"/>
              <w:right w:val="single" w:sz="36" w:space="0" w:color="FFFFFF"/>
            </w:tcBorders>
          </w:tcPr>
          <w:p w:rsidR="0052701D" w:rsidRDefault="00D40929">
            <w:pPr>
              <w:spacing w:after="0"/>
              <w:ind w:left="1"/>
              <w:jc w:val="both"/>
            </w:pPr>
            <w:hyperlink r:id="rId804">
              <w:r>
                <w:rPr>
                  <w:rFonts w:ascii="Times New Roman" w:eastAsia="Times New Roman" w:hAnsi="Times New Roman" w:cs="Times New Roman"/>
                  <w:sz w:val="27"/>
                </w:rPr>
                <w:t xml:space="preserve"> </w:t>
              </w:r>
            </w:hyperlink>
            <w:hyperlink r:id="rId805">
              <w:r>
                <w:rPr>
                  <w:rFonts w:ascii="Times New Roman" w:eastAsia="Times New Roman" w:hAnsi="Times New Roman" w:cs="Times New Roman"/>
                  <w:sz w:val="27"/>
                </w:rPr>
                <w:t>opublikovana</w:t>
              </w:r>
            </w:hyperlink>
            <w:hyperlink r:id="rId806">
              <w:r>
                <w:rPr>
                  <w:rFonts w:ascii="Times New Roman" w:eastAsia="Times New Roman" w:hAnsi="Times New Roman" w:cs="Times New Roman"/>
                  <w:sz w:val="27"/>
                </w:rPr>
                <w:t xml:space="preserve"> </w:t>
              </w:r>
            </w:hyperlink>
          </w:p>
        </w:tc>
      </w:tr>
      <w:tr w:rsidR="0052701D">
        <w:trPr>
          <w:trHeight w:val="312"/>
        </w:trPr>
        <w:tc>
          <w:tcPr>
            <w:tcW w:w="1048" w:type="dxa"/>
            <w:tcBorders>
              <w:top w:val="nil"/>
              <w:left w:val="nil"/>
              <w:bottom w:val="single" w:sz="6" w:space="0" w:color="000000"/>
              <w:right w:val="nil"/>
            </w:tcBorders>
          </w:tcPr>
          <w:p w:rsidR="0052701D" w:rsidRDefault="00D40929">
            <w:pPr>
              <w:spacing w:after="0"/>
              <w:jc w:val="both"/>
            </w:pPr>
            <w:hyperlink r:id="rId807">
              <w:r>
                <w:rPr>
                  <w:rFonts w:ascii="Times New Roman" w:eastAsia="Times New Roman" w:hAnsi="Times New Roman" w:cs="Times New Roman"/>
                  <w:sz w:val="27"/>
                </w:rPr>
                <w:t xml:space="preserve"> </w:t>
              </w:r>
            </w:hyperlink>
            <w:hyperlink r:id="rId808">
              <w:r>
                <w:rPr>
                  <w:rFonts w:ascii="Times New Roman" w:eastAsia="Times New Roman" w:hAnsi="Times New Roman" w:cs="Times New Roman"/>
                  <w:sz w:val="27"/>
                </w:rPr>
                <w:t>strategiya</w:t>
              </w:r>
            </w:hyperlink>
            <w:hyperlink r:id="rId809">
              <w:r>
                <w:rPr>
                  <w:rFonts w:ascii="Times New Roman" w:eastAsia="Times New Roman" w:hAnsi="Times New Roman" w:cs="Times New Roman"/>
                  <w:sz w:val="27"/>
                </w:rPr>
                <w:t xml:space="preserve"> </w:t>
              </w:r>
            </w:hyperlink>
          </w:p>
        </w:tc>
        <w:tc>
          <w:tcPr>
            <w:tcW w:w="3419" w:type="dxa"/>
            <w:gridSpan w:val="2"/>
            <w:tcBorders>
              <w:top w:val="nil"/>
              <w:left w:val="nil"/>
              <w:bottom w:val="single" w:sz="6" w:space="0" w:color="000000"/>
              <w:right w:val="nil"/>
            </w:tcBorders>
            <w:shd w:val="clear" w:color="auto" w:fill="FFFFFF"/>
          </w:tcPr>
          <w:p w:rsidR="0052701D" w:rsidRDefault="00D40929">
            <w:pPr>
              <w:spacing w:after="0"/>
              <w:ind w:left="2" w:right="-2"/>
              <w:jc w:val="both"/>
            </w:pPr>
            <w:hyperlink r:id="rId810">
              <w:r>
                <w:rPr>
                  <w:rFonts w:ascii="Times New Roman" w:eastAsia="Times New Roman" w:hAnsi="Times New Roman" w:cs="Times New Roman"/>
                  <w:sz w:val="27"/>
                </w:rPr>
                <w:t xml:space="preserve">-  </w:t>
              </w:r>
            </w:hyperlink>
            <w:hyperlink r:id="rId811">
              <w:r>
                <w:rPr>
                  <w:rFonts w:ascii="Times New Roman" w:eastAsia="Times New Roman" w:hAnsi="Times New Roman" w:cs="Times New Roman"/>
                  <w:sz w:val="27"/>
                </w:rPr>
                <w:t>tsifrovoy</w:t>
              </w:r>
            </w:hyperlink>
            <w:hyperlink r:id="rId812">
              <w:r>
                <w:rPr>
                  <w:rFonts w:ascii="Times New Roman" w:eastAsia="Times New Roman" w:hAnsi="Times New Roman" w:cs="Times New Roman"/>
                  <w:sz w:val="27"/>
                </w:rPr>
                <w:t xml:space="preserve"> -  </w:t>
              </w:r>
            </w:hyperlink>
            <w:hyperlink r:id="rId813">
              <w:r>
                <w:rPr>
                  <w:rFonts w:ascii="Times New Roman" w:eastAsia="Times New Roman" w:hAnsi="Times New Roman" w:cs="Times New Roman"/>
                  <w:sz w:val="27"/>
                </w:rPr>
                <w:t>transformatsii</w:t>
              </w:r>
            </w:hyperlink>
            <w:hyperlink r:id="rId814">
              <w:r>
                <w:rPr>
                  <w:rFonts w:ascii="Times New Roman" w:eastAsia="Times New Roman" w:hAnsi="Times New Roman" w:cs="Times New Roman"/>
                  <w:sz w:val="27"/>
                </w:rPr>
                <w:t xml:space="preserve"> -  </w:t>
              </w:r>
            </w:hyperlink>
            <w:hyperlink r:id="rId815">
              <w:r>
                <w:rPr>
                  <w:rFonts w:ascii="Times New Roman" w:eastAsia="Times New Roman" w:hAnsi="Times New Roman" w:cs="Times New Roman"/>
                  <w:sz w:val="27"/>
                </w:rPr>
                <w:t>nauki</w:t>
              </w:r>
            </w:hyperlink>
            <w:hyperlink r:id="rId816">
              <w:r>
                <w:rPr>
                  <w:rFonts w:ascii="Times New Roman" w:eastAsia="Times New Roman" w:hAnsi="Times New Roman" w:cs="Times New Roman"/>
                  <w:sz w:val="27"/>
                </w:rPr>
                <w:t xml:space="preserve"> </w:t>
              </w:r>
            </w:hyperlink>
            <w:hyperlink r:id="rId817">
              <w:r>
                <w:rPr>
                  <w:rFonts w:ascii="Times New Roman" w:eastAsia="Times New Roman" w:hAnsi="Times New Roman" w:cs="Times New Roman"/>
                  <w:sz w:val="27"/>
                </w:rPr>
                <w:t>/</w:t>
              </w:r>
            </w:hyperlink>
            <w:hyperlink r:id="rId818">
              <w:r>
                <w:rPr>
                  <w:rFonts w:ascii="Times New Roman" w:eastAsia="Times New Roman" w:hAnsi="Times New Roman" w:cs="Times New Roman"/>
                  <w:sz w:val="27"/>
                </w:rPr>
                <w:t xml:space="preserve"> </w:t>
              </w:r>
            </w:hyperlink>
          </w:p>
        </w:tc>
        <w:tc>
          <w:tcPr>
            <w:tcW w:w="4560" w:type="dxa"/>
            <w:gridSpan w:val="5"/>
            <w:tcBorders>
              <w:top w:val="single" w:sz="6" w:space="0" w:color="000000"/>
              <w:left w:val="nil"/>
              <w:bottom w:val="nil"/>
              <w:right w:val="nil"/>
            </w:tcBorders>
          </w:tcPr>
          <w:p w:rsidR="0052701D" w:rsidRDefault="0052701D"/>
        </w:tc>
      </w:tr>
    </w:tbl>
    <w:p w:rsidR="0052701D" w:rsidRDefault="00D40929">
      <w:pPr>
        <w:spacing w:after="284"/>
        <w:jc w:val="right"/>
      </w:pPr>
      <w:hyperlink r:id="rId819">
        <w:r>
          <w:rPr>
            <w:rFonts w:ascii="Times New Roman" w:eastAsia="Times New Roman" w:hAnsi="Times New Roman" w:cs="Times New Roman"/>
            <w:sz w:val="27"/>
          </w:rPr>
          <w:t xml:space="preserve">- </w:t>
        </w:r>
      </w:hyperlink>
    </w:p>
    <w:p w:rsidR="0052701D" w:rsidRDefault="00D40929">
      <w:pPr>
        <w:spacing w:after="3" w:line="239" w:lineRule="auto"/>
        <w:ind w:left="-15" w:firstLine="698"/>
        <w:jc w:val="both"/>
      </w:pPr>
      <w:r>
        <w:rPr>
          <w:rFonts w:ascii="Times New Roman" w:eastAsia="Times New Roman" w:hAnsi="Times New Roman" w:cs="Times New Roman"/>
          <w:sz w:val="27"/>
        </w:rPr>
        <w:t>[6]. О Стратегии развития информационного общества в Российской Федерации на 2017–2030 годы: Указ Президента РФ от 09.05.2017 № 203. URL: https://base.garant.ru/71670570/ (дата обращения: 30.07.2022).</w:t>
      </w:r>
    </w:p>
    <w:p w:rsidR="0052701D" w:rsidRDefault="00D40929">
      <w:pPr>
        <w:spacing w:after="3" w:line="239" w:lineRule="auto"/>
        <w:ind w:left="-15" w:firstLine="698"/>
        <w:jc w:val="both"/>
      </w:pPr>
      <w:r>
        <w:rPr>
          <w:rFonts w:ascii="Times New Roman" w:eastAsia="Times New Roman" w:hAnsi="Times New Roman" w:cs="Times New Roman"/>
          <w:sz w:val="27"/>
        </w:rPr>
        <w:t>[7]. Боев Артем Сергеевич. Развитие программ подготовки</w:t>
      </w:r>
      <w:r>
        <w:rPr>
          <w:rFonts w:ascii="Times New Roman" w:eastAsia="Times New Roman" w:hAnsi="Times New Roman" w:cs="Times New Roman"/>
          <w:sz w:val="27"/>
        </w:rPr>
        <w:t xml:space="preserve"> специалистов в нефтегазовой отрасли путем интеграции в бизнес-процессы компаний.</w:t>
      </w:r>
    </w:p>
    <w:p w:rsidR="0052701D" w:rsidRDefault="00D40929">
      <w:pPr>
        <w:spacing w:after="3" w:line="239" w:lineRule="auto"/>
        <w:ind w:left="-15" w:firstLine="698"/>
        <w:jc w:val="both"/>
      </w:pPr>
      <w:r>
        <w:rPr>
          <w:rFonts w:ascii="Times New Roman" w:eastAsia="Times New Roman" w:hAnsi="Times New Roman" w:cs="Times New Roman"/>
          <w:sz w:val="27"/>
        </w:rPr>
        <w:t xml:space="preserve">[8]. </w:t>
      </w:r>
      <w:r>
        <w:rPr>
          <w:rFonts w:ascii="Times New Roman" w:eastAsia="Times New Roman" w:hAnsi="Times New Roman" w:cs="Times New Roman"/>
          <w:sz w:val="27"/>
        </w:rPr>
        <w:t>Ивашкина А.А. Проблема цифровизации образовательного процесса в профессиональной образовательной организации. [Электронный ресурс]. URL: http://www.informio.ru/publications/id4026/Problema-cifrovizaciiobrazovatelnogo-processa-v-professionalnoi-obrazovateln</w:t>
      </w:r>
      <w:r>
        <w:rPr>
          <w:rFonts w:ascii="Times New Roman" w:eastAsia="Times New Roman" w:hAnsi="Times New Roman" w:cs="Times New Roman"/>
          <w:sz w:val="27"/>
        </w:rPr>
        <w:t>oi-organizacii (дата обращения: 25.01.2019)</w:t>
      </w:r>
    </w:p>
    <w:p w:rsidR="0052701D" w:rsidRDefault="00D40929">
      <w:pPr>
        <w:spacing w:after="3" w:line="239" w:lineRule="auto"/>
        <w:ind w:left="-15" w:firstLine="698"/>
        <w:jc w:val="both"/>
      </w:pPr>
      <w:r>
        <w:rPr>
          <w:rFonts w:ascii="Times New Roman" w:eastAsia="Times New Roman" w:hAnsi="Times New Roman" w:cs="Times New Roman"/>
          <w:sz w:val="27"/>
        </w:rPr>
        <w:t>[9]. Абдрахманова Г. И., Васильковский С. А., Вишневский К. О. и др. Цифровая экономика: 2022: краткий статистический сборник. Национальный исследовательский университет "Высшая школа экономики", 2022.</w:t>
      </w:r>
    </w:p>
    <w:p w:rsidR="0052701D" w:rsidRDefault="00D40929">
      <w:pPr>
        <w:spacing w:after="3" w:line="239" w:lineRule="auto"/>
        <w:ind w:left="-15" w:firstLine="698"/>
        <w:jc w:val="both"/>
      </w:pPr>
      <w:r>
        <w:rPr>
          <w:rFonts w:ascii="Times New Roman" w:eastAsia="Times New Roman" w:hAnsi="Times New Roman" w:cs="Times New Roman"/>
          <w:sz w:val="27"/>
        </w:rPr>
        <w:t>[10]. Jorg</w:t>
      </w:r>
      <w:r>
        <w:rPr>
          <w:rFonts w:ascii="Times New Roman" w:eastAsia="Times New Roman" w:hAnsi="Times New Roman" w:cs="Times New Roman"/>
          <w:sz w:val="27"/>
        </w:rPr>
        <w:t>e L. Construction of a radiofrequency wireless system for electric energy transmission / L. Jorge, E. Baikova, J. Pina [et al.] // Вестник Казанского государственного энергетического университета. 2021. Vol. 13. №3(51). P. 8198.</w:t>
      </w:r>
    </w:p>
    <w:p w:rsidR="0052701D" w:rsidRDefault="00D40929">
      <w:pPr>
        <w:spacing w:after="3" w:line="239" w:lineRule="auto"/>
        <w:ind w:left="-15" w:firstLine="698"/>
        <w:jc w:val="both"/>
      </w:pPr>
      <w:r>
        <w:rPr>
          <w:rFonts w:ascii="Times New Roman" w:eastAsia="Times New Roman" w:hAnsi="Times New Roman" w:cs="Times New Roman"/>
          <w:sz w:val="27"/>
        </w:rPr>
        <w:t>[11]. Гапоненко С. О. Метод</w:t>
      </w:r>
      <w:r>
        <w:rPr>
          <w:rFonts w:ascii="Times New Roman" w:eastAsia="Times New Roman" w:hAnsi="Times New Roman" w:cs="Times New Roman"/>
          <w:sz w:val="27"/>
        </w:rPr>
        <w:t xml:space="preserve"> повышения эффективности тепловой изоляции трубопроводов / С. О. Гапоненко, Р. А. Фазлиев, М. В. Калинина // Вестник Казанского государственного энергетического университета. 2021. Т. 13. № 2(50). С. 142-147.</w:t>
      </w:r>
    </w:p>
    <w:p w:rsidR="0052701D" w:rsidRDefault="00D40929">
      <w:pPr>
        <w:spacing w:after="3" w:line="239" w:lineRule="auto"/>
        <w:ind w:left="-15" w:firstLine="698"/>
        <w:jc w:val="both"/>
      </w:pPr>
      <w:r>
        <w:rPr>
          <w:rFonts w:ascii="Times New Roman" w:eastAsia="Times New Roman" w:hAnsi="Times New Roman" w:cs="Times New Roman"/>
          <w:sz w:val="27"/>
        </w:rPr>
        <w:t>[12]. Тимофеева С. С. Термохимическая переработ</w:t>
      </w:r>
      <w:r>
        <w:rPr>
          <w:rFonts w:ascii="Times New Roman" w:eastAsia="Times New Roman" w:hAnsi="Times New Roman" w:cs="Times New Roman"/>
          <w:sz w:val="27"/>
        </w:rPr>
        <w:t>ка низкосортного торфа на основе газификации / С. С. Тимофеева, Ю. В. Караева // Вестник Казанского государственного энергетического университета. 2021. Т. 13. № 2(50). С. 15-26.</w:t>
      </w:r>
    </w:p>
    <w:p w:rsidR="0052701D" w:rsidRDefault="0052701D">
      <w:pPr>
        <w:sectPr w:rsidR="0052701D">
          <w:footerReference w:type="even" r:id="rId820"/>
          <w:footerReference w:type="default" r:id="rId821"/>
          <w:footerReference w:type="first" r:id="rId822"/>
          <w:footnotePr>
            <w:numRestart w:val="eachPage"/>
          </w:footnotePr>
          <w:pgSz w:w="11906" w:h="16838"/>
          <w:pgMar w:top="1428" w:right="1130" w:bottom="1139" w:left="1704" w:header="720" w:footer="304" w:gutter="0"/>
          <w:cols w:space="720"/>
        </w:sectPr>
      </w:pPr>
    </w:p>
    <w:p w:rsidR="0052701D" w:rsidRDefault="00D40929">
      <w:pPr>
        <w:spacing w:after="4" w:line="271" w:lineRule="auto"/>
        <w:ind w:left="-5" w:right="194" w:hanging="10"/>
      </w:pPr>
      <w:r>
        <w:rPr>
          <w:rFonts w:ascii="Times New Roman" w:eastAsia="Times New Roman" w:hAnsi="Times New Roman" w:cs="Times New Roman"/>
          <w:b/>
          <w:sz w:val="24"/>
        </w:rPr>
        <w:lastRenderedPageBreak/>
        <w:t xml:space="preserve">УДК 62.620.92 </w:t>
      </w:r>
    </w:p>
    <w:p w:rsidR="0052701D" w:rsidRDefault="00D40929">
      <w:pPr>
        <w:spacing w:after="32"/>
        <w:ind w:left="63"/>
        <w:jc w:val="center"/>
      </w:pPr>
      <w:r>
        <w:rPr>
          <w:rFonts w:ascii="Times New Roman" w:eastAsia="Times New Roman" w:hAnsi="Times New Roman" w:cs="Times New Roman"/>
          <w:b/>
          <w:sz w:val="28"/>
        </w:rPr>
        <w:t xml:space="preserve"> </w:t>
      </w:r>
    </w:p>
    <w:p w:rsidR="0052701D" w:rsidRDefault="00D40929">
      <w:pPr>
        <w:pStyle w:val="1"/>
        <w:spacing w:after="37"/>
        <w:ind w:left="173" w:right="172"/>
      </w:pPr>
      <w:r>
        <w:t xml:space="preserve">ЭКОНОМИКО – ИМИТАЦИОННАЯ МОДЕЛЬ </w:t>
      </w:r>
    </w:p>
    <w:p w:rsidR="0052701D" w:rsidRDefault="00D40929">
      <w:pPr>
        <w:spacing w:after="37" w:line="271" w:lineRule="auto"/>
        <w:ind w:left="173" w:right="172" w:hanging="10"/>
        <w:jc w:val="center"/>
      </w:pPr>
      <w:r>
        <w:rPr>
          <w:rFonts w:ascii="Times New Roman" w:eastAsia="Times New Roman" w:hAnsi="Times New Roman" w:cs="Times New Roman"/>
          <w:b/>
          <w:sz w:val="28"/>
        </w:rPr>
        <w:t xml:space="preserve">АВТОМАТИЗИРОВАННОГО ОПРЕДЕЛЕНИЯ ЦЕН НА ЭЛЕКТРОЭНЕРГИЮ У ПОТРЕБИТЕЛЕЙ В РЫНКЕ ЭЛЕКТРОЭНЕРГИИ И МОЩНОСТИ КАЗАХСТАНА </w:t>
      </w:r>
    </w:p>
    <w:p w:rsidR="0052701D" w:rsidRDefault="00D40929">
      <w:pPr>
        <w:spacing w:after="17"/>
      </w:pPr>
      <w:r>
        <w:rPr>
          <w:rFonts w:ascii="Times New Roman" w:eastAsia="Times New Roman" w:hAnsi="Times New Roman" w:cs="Times New Roman"/>
          <w:b/>
        </w:rPr>
        <w:t xml:space="preserve"> </w:t>
      </w:r>
    </w:p>
    <w:p w:rsidR="0052701D" w:rsidRDefault="00D40929">
      <w:pPr>
        <w:pStyle w:val="1"/>
        <w:spacing w:after="9" w:line="248" w:lineRule="auto"/>
        <w:ind w:left="897" w:right="898"/>
      </w:pPr>
      <w:r>
        <w:rPr>
          <w:b w:val="0"/>
          <w:sz w:val="22"/>
        </w:rPr>
        <w:t>Жакупов А.А., Габелашвили К.Р., Нурмуратова Л</w:t>
      </w:r>
      <w:r>
        <w:rPr>
          <w:b w:val="0"/>
          <w:sz w:val="22"/>
        </w:rPr>
        <w:t xml:space="preserve">.С., Оразбек С.Р.  </w:t>
      </w:r>
    </w:p>
    <w:p w:rsidR="0052701D" w:rsidRDefault="00D40929">
      <w:pPr>
        <w:spacing w:after="9" w:line="248" w:lineRule="auto"/>
        <w:ind w:left="10" w:right="18" w:hanging="10"/>
        <w:jc w:val="center"/>
      </w:pPr>
      <w:r>
        <w:rPr>
          <w:rFonts w:ascii="Times New Roman" w:eastAsia="Times New Roman" w:hAnsi="Times New Roman" w:cs="Times New Roman"/>
        </w:rPr>
        <w:t xml:space="preserve">НАО «Алматинский университет энергетики и связи имени Гумарбека Даукеева», Республика </w:t>
      </w:r>
    </w:p>
    <w:p w:rsidR="0052701D" w:rsidRDefault="00D40929">
      <w:pPr>
        <w:spacing w:after="9" w:line="248" w:lineRule="auto"/>
        <w:ind w:left="897" w:right="891" w:hanging="10"/>
        <w:jc w:val="center"/>
      </w:pPr>
      <w:r>
        <w:rPr>
          <w:rFonts w:ascii="Times New Roman" w:eastAsia="Times New Roman" w:hAnsi="Times New Roman" w:cs="Times New Roman"/>
        </w:rPr>
        <w:t xml:space="preserve">Казахстан, Алматы  </w:t>
      </w:r>
    </w:p>
    <w:p w:rsidR="0052701D" w:rsidRDefault="00D40929">
      <w:pPr>
        <w:spacing w:after="0"/>
        <w:ind w:left="10" w:right="2" w:hanging="10"/>
        <w:jc w:val="center"/>
      </w:pPr>
      <w:r>
        <w:rPr>
          <w:rFonts w:ascii="Times New Roman" w:eastAsia="Times New Roman" w:hAnsi="Times New Roman" w:cs="Times New Roman"/>
        </w:rPr>
        <w:t xml:space="preserve">E-mail: </w:t>
      </w:r>
      <w:r>
        <w:rPr>
          <w:rFonts w:ascii="Times New Roman" w:eastAsia="Times New Roman" w:hAnsi="Times New Roman" w:cs="Times New Roman"/>
          <w:color w:val="0000FF"/>
          <w:u w:val="single" w:color="0000FF"/>
        </w:rPr>
        <w:t>a.zhakupov@aues.kz</w:t>
      </w:r>
      <w:r>
        <w:rPr>
          <w:rFonts w:ascii="Times New Roman" w:eastAsia="Times New Roman" w:hAnsi="Times New Roman" w:cs="Times New Roman"/>
        </w:rPr>
        <w:t xml:space="preserve">, </w:t>
      </w:r>
      <w:r>
        <w:rPr>
          <w:rFonts w:ascii="Times New Roman" w:eastAsia="Times New Roman" w:hAnsi="Times New Roman" w:cs="Times New Roman"/>
          <w:color w:val="0000FF"/>
          <w:u w:val="single" w:color="0000FF"/>
        </w:rPr>
        <w:t>k.gabelashvili@aues.kz</w:t>
      </w:r>
      <w:r>
        <w:rPr>
          <w:rFonts w:ascii="Times New Roman" w:eastAsia="Times New Roman" w:hAnsi="Times New Roman" w:cs="Times New Roman"/>
        </w:rPr>
        <w:t xml:space="preserve">, </w:t>
      </w:r>
      <w:r>
        <w:rPr>
          <w:rFonts w:ascii="Times New Roman" w:eastAsia="Times New Roman" w:hAnsi="Times New Roman" w:cs="Times New Roman"/>
          <w:color w:val="0000FF"/>
          <w:u w:val="single" w:color="0000FF"/>
        </w:rPr>
        <w:t>l.nurmuratova@aues.kz</w:t>
      </w:r>
      <w:r>
        <w:rPr>
          <w:rFonts w:ascii="Times New Roman" w:eastAsia="Times New Roman" w:hAnsi="Times New Roman" w:cs="Times New Roman"/>
        </w:rPr>
        <w:t xml:space="preserve">  </w:t>
      </w:r>
    </w:p>
    <w:p w:rsidR="0052701D" w:rsidRDefault="00D40929">
      <w:pPr>
        <w:spacing w:after="35"/>
        <w:ind w:left="49"/>
        <w:jc w:val="center"/>
      </w:pPr>
      <w:r>
        <w:rPr>
          <w:rFonts w:ascii="Times New Roman" w:eastAsia="Times New Roman" w:hAnsi="Times New Roman" w:cs="Times New Roman"/>
          <w:b/>
        </w:rPr>
        <w:t xml:space="preserve"> </w:t>
      </w:r>
    </w:p>
    <w:p w:rsidR="0052701D" w:rsidRDefault="00D40929">
      <w:pPr>
        <w:spacing w:after="29" w:line="248" w:lineRule="auto"/>
        <w:ind w:left="9" w:firstLine="567"/>
        <w:jc w:val="both"/>
      </w:pPr>
      <w:r>
        <w:rPr>
          <w:rFonts w:ascii="Times New Roman" w:eastAsia="Times New Roman" w:hAnsi="Times New Roman" w:cs="Times New Roman"/>
          <w:b/>
          <w:i/>
          <w:sz w:val="24"/>
        </w:rPr>
        <w:t>Аннотация.</w:t>
      </w:r>
      <w:r>
        <w:rPr>
          <w:rFonts w:ascii="Times New Roman" w:eastAsia="Times New Roman" w:hAnsi="Times New Roman" w:cs="Times New Roman"/>
          <w:i/>
          <w:sz w:val="24"/>
        </w:rPr>
        <w:t xml:space="preserve"> Авторами разработана экономико-</w:t>
      </w:r>
      <w:r>
        <w:rPr>
          <w:rFonts w:ascii="Times New Roman" w:eastAsia="Times New Roman" w:hAnsi="Times New Roman" w:cs="Times New Roman"/>
          <w:i/>
          <w:sz w:val="24"/>
        </w:rPr>
        <w:t>имитационная модель на примере одной условной энергетической системы, где учтены механизмы взаимодействия участников (субъектов) рынка и анализируются индексы прироста и/или снижения клиринговых цен на электроэнергию в сфере электроэнергетики с учетом спро</w:t>
      </w:r>
      <w:r>
        <w:rPr>
          <w:rFonts w:ascii="Times New Roman" w:eastAsia="Times New Roman" w:hAnsi="Times New Roman" w:cs="Times New Roman"/>
          <w:i/>
          <w:sz w:val="24"/>
        </w:rPr>
        <w:t xml:space="preserve">са и предложения в краткосрочном и долгосрочном периоде, минимизация затрат и конечных цен у потребителей за электроэнергию в регионах Казахстана и смежных с нами странах с учетом дохода от экспорта и импорта электроэнергии. </w:t>
      </w:r>
    </w:p>
    <w:p w:rsidR="0052701D" w:rsidRDefault="00D40929">
      <w:pPr>
        <w:spacing w:after="29" w:line="248" w:lineRule="auto"/>
        <w:ind w:left="9" w:firstLine="567"/>
        <w:jc w:val="both"/>
      </w:pP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 энергетика, эк</w:t>
      </w:r>
      <w:r>
        <w:rPr>
          <w:rFonts w:ascii="Times New Roman" w:eastAsia="Times New Roman" w:hAnsi="Times New Roman" w:cs="Times New Roman"/>
          <w:i/>
          <w:sz w:val="24"/>
        </w:rPr>
        <w:t xml:space="preserve">ономико-имитационная модель, рынок мощности, тарифы на электроэнергию, критерии принятия решения, целевая функция, глобальные энергетические модели, эффективность деятельности энергосистем; </w:t>
      </w:r>
    </w:p>
    <w:p w:rsidR="0052701D" w:rsidRDefault="00D40929">
      <w:pPr>
        <w:spacing w:after="0"/>
        <w:ind w:left="63"/>
        <w:jc w:val="center"/>
      </w:pPr>
      <w:r>
        <w:rPr>
          <w:rFonts w:ascii="Times New Roman" w:eastAsia="Times New Roman" w:hAnsi="Times New Roman" w:cs="Times New Roman"/>
          <w:b/>
          <w:sz w:val="28"/>
        </w:rPr>
        <w:t xml:space="preserve"> </w:t>
      </w:r>
    </w:p>
    <w:p w:rsidR="0052701D" w:rsidRDefault="00D40929">
      <w:pPr>
        <w:spacing w:after="5" w:line="251" w:lineRule="auto"/>
        <w:ind w:left="173" w:right="179" w:hanging="10"/>
        <w:jc w:val="center"/>
      </w:pPr>
      <w:r>
        <w:rPr>
          <w:rFonts w:ascii="Times New Roman" w:eastAsia="Times New Roman" w:hAnsi="Times New Roman" w:cs="Times New Roman"/>
          <w:b/>
          <w:sz w:val="28"/>
        </w:rPr>
        <w:t>ECONOMIC SIMULATION MODEL OF AUTOMATED DETERMINATION OF ELECTRI</w:t>
      </w:r>
      <w:r>
        <w:rPr>
          <w:rFonts w:ascii="Times New Roman" w:eastAsia="Times New Roman" w:hAnsi="Times New Roman" w:cs="Times New Roman"/>
          <w:b/>
          <w:sz w:val="28"/>
        </w:rPr>
        <w:t xml:space="preserve">CITY PRICES FOR CONSUMERS IN THE ELECTRICITY AND CAPACITY MARKET OF KAZAKHSTAN </w:t>
      </w:r>
    </w:p>
    <w:p w:rsidR="0052701D" w:rsidRDefault="00D40929">
      <w:pPr>
        <w:spacing w:after="0"/>
      </w:pPr>
      <w:r>
        <w:rPr>
          <w:rFonts w:ascii="Times New Roman" w:eastAsia="Times New Roman" w:hAnsi="Times New Roman" w:cs="Times New Roman"/>
        </w:rPr>
        <w:t xml:space="preserve"> </w:t>
      </w:r>
    </w:p>
    <w:p w:rsidR="0052701D" w:rsidRDefault="00D40929">
      <w:pPr>
        <w:spacing w:after="14" w:line="248" w:lineRule="auto"/>
        <w:ind w:left="713" w:right="713" w:hanging="5"/>
        <w:jc w:val="center"/>
      </w:pPr>
      <w:r>
        <w:rPr>
          <w:rFonts w:ascii="Times New Roman" w:eastAsia="Times New Roman" w:hAnsi="Times New Roman" w:cs="Times New Roman"/>
          <w:sz w:val="24"/>
        </w:rPr>
        <w:t xml:space="preserve">Zhakupov A.A., Gabelashvili K.R., Nurmuratova L.S., Orazbek S.R. </w:t>
      </w:r>
    </w:p>
    <w:p w:rsidR="0052701D" w:rsidRDefault="00D40929">
      <w:pPr>
        <w:spacing w:after="14" w:line="248" w:lineRule="auto"/>
        <w:ind w:left="5" w:hanging="5"/>
        <w:jc w:val="center"/>
      </w:pPr>
      <w:r>
        <w:rPr>
          <w:rFonts w:ascii="Times New Roman" w:eastAsia="Times New Roman" w:hAnsi="Times New Roman" w:cs="Times New Roman"/>
          <w:sz w:val="24"/>
        </w:rPr>
        <w:t>Almaty University of Power Engineering and Telecommunications named after Gumarbek Daukeev, Republic of Kaza</w:t>
      </w:r>
      <w:r>
        <w:rPr>
          <w:rFonts w:ascii="Times New Roman" w:eastAsia="Times New Roman" w:hAnsi="Times New Roman" w:cs="Times New Roman"/>
          <w:sz w:val="24"/>
        </w:rPr>
        <w:t xml:space="preserve">khstan Almaty </w:t>
      </w:r>
    </w:p>
    <w:p w:rsidR="0052701D" w:rsidRDefault="00D40929">
      <w:pPr>
        <w:spacing w:after="0"/>
        <w:ind w:left="10" w:right="2" w:hanging="10"/>
        <w:jc w:val="center"/>
      </w:pPr>
      <w:r>
        <w:rPr>
          <w:rFonts w:ascii="Times New Roman" w:eastAsia="Times New Roman" w:hAnsi="Times New Roman" w:cs="Times New Roman"/>
        </w:rPr>
        <w:t xml:space="preserve">E-mail: </w:t>
      </w:r>
      <w:r>
        <w:rPr>
          <w:rFonts w:ascii="Times New Roman" w:eastAsia="Times New Roman" w:hAnsi="Times New Roman" w:cs="Times New Roman"/>
          <w:color w:val="0000FF"/>
          <w:u w:val="single" w:color="0000FF"/>
        </w:rPr>
        <w:t>a.zhakupov@aues.kz</w:t>
      </w:r>
      <w:r>
        <w:rPr>
          <w:rFonts w:ascii="Times New Roman" w:eastAsia="Times New Roman" w:hAnsi="Times New Roman" w:cs="Times New Roman"/>
        </w:rPr>
        <w:t xml:space="preserve">, </w:t>
      </w:r>
      <w:r>
        <w:rPr>
          <w:rFonts w:ascii="Times New Roman" w:eastAsia="Times New Roman" w:hAnsi="Times New Roman" w:cs="Times New Roman"/>
          <w:color w:val="0000FF"/>
          <w:u w:val="single" w:color="0000FF"/>
        </w:rPr>
        <w:t>k.gabelashvili@aues.kz</w:t>
      </w:r>
      <w:r>
        <w:rPr>
          <w:rFonts w:ascii="Times New Roman" w:eastAsia="Times New Roman" w:hAnsi="Times New Roman" w:cs="Times New Roman"/>
        </w:rPr>
        <w:t xml:space="preserve">, </w:t>
      </w:r>
      <w:r>
        <w:rPr>
          <w:rFonts w:ascii="Times New Roman" w:eastAsia="Times New Roman" w:hAnsi="Times New Roman" w:cs="Times New Roman"/>
          <w:color w:val="0000FF"/>
          <w:u w:val="single" w:color="0000FF"/>
        </w:rPr>
        <w:t>l.nurmuratova@aues.kz</w:t>
      </w:r>
      <w:r>
        <w:rPr>
          <w:rFonts w:ascii="Times New Roman" w:eastAsia="Times New Roman" w:hAnsi="Times New Roman" w:cs="Times New Roman"/>
        </w:rPr>
        <w:t xml:space="preserve">  </w:t>
      </w:r>
    </w:p>
    <w:p w:rsidR="0052701D" w:rsidRDefault="00D40929">
      <w:pPr>
        <w:spacing w:after="12"/>
      </w:pPr>
      <w:r>
        <w:rPr>
          <w:rFonts w:ascii="Times New Roman" w:eastAsia="Times New Roman" w:hAnsi="Times New Roman" w:cs="Times New Roman"/>
          <w:i/>
          <w:sz w:val="20"/>
        </w:rPr>
        <w:t xml:space="preserve"> </w:t>
      </w:r>
    </w:p>
    <w:p w:rsidR="0052701D" w:rsidRDefault="00D40929">
      <w:pPr>
        <w:spacing w:after="0" w:line="248" w:lineRule="auto"/>
        <w:ind w:left="9" w:firstLine="567"/>
        <w:jc w:val="both"/>
      </w:pPr>
      <w:r>
        <w:rPr>
          <w:rFonts w:ascii="Times New Roman" w:eastAsia="Times New Roman" w:hAnsi="Times New Roman" w:cs="Times New Roman"/>
          <w:b/>
          <w:i/>
          <w:sz w:val="24"/>
        </w:rPr>
        <w:t>Annotation.</w:t>
      </w:r>
      <w:r>
        <w:rPr>
          <w:rFonts w:ascii="Times New Roman" w:eastAsia="Times New Roman" w:hAnsi="Times New Roman" w:cs="Times New Roman"/>
          <w:i/>
          <w:sz w:val="24"/>
        </w:rPr>
        <w:t xml:space="preserve"> The authors have developed an economic simulation model based on the example of one conditional energy system, which takes into account the mechanisms </w:t>
      </w:r>
      <w:r>
        <w:rPr>
          <w:rFonts w:ascii="Times New Roman" w:eastAsia="Times New Roman" w:hAnsi="Times New Roman" w:cs="Times New Roman"/>
          <w:i/>
          <w:sz w:val="24"/>
        </w:rPr>
        <w:t xml:space="preserve">of interaction of market participants (subjects) and analyzes the indices of increase and/or decrease in clearing prices for electricity in the electric power industry, taking into account supply and demand in the short and long term, minimizing costs and </w:t>
      </w:r>
      <w:r>
        <w:rPr>
          <w:rFonts w:ascii="Times New Roman" w:eastAsia="Times New Roman" w:hAnsi="Times New Roman" w:cs="Times New Roman"/>
          <w:i/>
          <w:sz w:val="24"/>
        </w:rPr>
        <w:t xml:space="preserve">final prices of consumers for electricity in the regions of Kazakhstan and the countries adjacent to us, taking into account the income from the export and import of electricity. </w:t>
      </w:r>
    </w:p>
    <w:p w:rsidR="0052701D" w:rsidRDefault="00D40929">
      <w:pPr>
        <w:spacing w:after="0" w:line="248" w:lineRule="auto"/>
        <w:ind w:left="9" w:firstLine="567"/>
        <w:jc w:val="both"/>
      </w:pPr>
      <w:r>
        <w:rPr>
          <w:rFonts w:ascii="Times New Roman" w:eastAsia="Times New Roman" w:hAnsi="Times New Roman" w:cs="Times New Roman"/>
          <w:b/>
          <w:i/>
          <w:sz w:val="24"/>
        </w:rPr>
        <w:t>Keywords:</w:t>
      </w:r>
      <w:r>
        <w:rPr>
          <w:rFonts w:ascii="Times New Roman" w:eastAsia="Times New Roman" w:hAnsi="Times New Roman" w:cs="Times New Roman"/>
          <w:i/>
          <w:sz w:val="24"/>
        </w:rPr>
        <w:t xml:space="preserve"> energy, economic simulation model, capacity market, electricity ta</w:t>
      </w:r>
      <w:r>
        <w:rPr>
          <w:rFonts w:ascii="Times New Roman" w:eastAsia="Times New Roman" w:hAnsi="Times New Roman" w:cs="Times New Roman"/>
          <w:i/>
          <w:sz w:val="24"/>
        </w:rPr>
        <w:t xml:space="preserve">riffs, decision criteria, objective function, global energy models, efficiency of energy systems.  </w:t>
      </w:r>
    </w:p>
    <w:p w:rsidR="0052701D" w:rsidRDefault="00D40929">
      <w:pPr>
        <w:spacing w:after="68"/>
        <w:ind w:left="567"/>
      </w:pPr>
      <w:r>
        <w:rPr>
          <w:rFonts w:ascii="Times New Roman" w:eastAsia="Times New Roman" w:hAnsi="Times New Roman" w:cs="Times New Roman"/>
          <w:b/>
          <w:sz w:val="24"/>
        </w:rPr>
        <w:t xml:space="preserve"> </w:t>
      </w:r>
    </w:p>
    <w:p w:rsidR="0052701D" w:rsidRDefault="00D40929">
      <w:pPr>
        <w:spacing w:after="5" w:line="251" w:lineRule="auto"/>
        <w:ind w:left="567" w:firstLine="9"/>
      </w:pPr>
      <w:r>
        <w:rPr>
          <w:rFonts w:ascii="Times New Roman" w:eastAsia="Times New Roman" w:hAnsi="Times New Roman" w:cs="Times New Roman"/>
          <w:b/>
          <w:sz w:val="28"/>
        </w:rPr>
        <w:t xml:space="preserve">Введение </w:t>
      </w:r>
    </w:p>
    <w:p w:rsidR="0052701D" w:rsidRDefault="00D40929">
      <w:pPr>
        <w:spacing w:after="5" w:line="271" w:lineRule="auto"/>
        <w:ind w:left="9" w:right="64" w:firstLine="567"/>
        <w:jc w:val="both"/>
      </w:pPr>
      <w:r>
        <w:rPr>
          <w:rFonts w:ascii="Times New Roman" w:eastAsia="Times New Roman" w:hAnsi="Times New Roman" w:cs="Times New Roman"/>
          <w:sz w:val="28"/>
        </w:rPr>
        <w:t xml:space="preserve">Особенностью современной экономической ситуации в Казахстане является формирование </w:t>
      </w:r>
      <w:r>
        <w:rPr>
          <w:rFonts w:ascii="Times New Roman" w:eastAsia="Times New Roman" w:hAnsi="Times New Roman" w:cs="Times New Roman"/>
          <w:sz w:val="28"/>
        </w:rPr>
        <w:t xml:space="preserve">и развитие элементов рыночной экономики. Создание рыночной инфраструктуры, обеспечивающей свободное продвижение </w:t>
      </w:r>
      <w:r>
        <w:rPr>
          <w:rFonts w:ascii="Times New Roman" w:eastAsia="Times New Roman" w:hAnsi="Times New Roman" w:cs="Times New Roman"/>
          <w:sz w:val="28"/>
        </w:rPr>
        <w:lastRenderedPageBreak/>
        <w:t xml:space="preserve">товаров и капитала, преобразование государственной собственности, развитие частной предпринимательство и инвестиции. </w:t>
      </w:r>
    </w:p>
    <w:p w:rsidR="0052701D" w:rsidRDefault="00D40929">
      <w:pPr>
        <w:spacing w:after="5" w:line="271" w:lineRule="auto"/>
        <w:ind w:left="9" w:right="64" w:firstLine="567"/>
        <w:jc w:val="both"/>
      </w:pPr>
      <w:r>
        <w:rPr>
          <w:rFonts w:ascii="Times New Roman" w:eastAsia="Times New Roman" w:hAnsi="Times New Roman" w:cs="Times New Roman"/>
          <w:sz w:val="28"/>
        </w:rPr>
        <w:t>Современное состояние в эн</w:t>
      </w:r>
      <w:r>
        <w:rPr>
          <w:rFonts w:ascii="Times New Roman" w:eastAsia="Times New Roman" w:hAnsi="Times New Roman" w:cs="Times New Roman"/>
          <w:sz w:val="28"/>
        </w:rPr>
        <w:t xml:space="preserve">ергетике Казахстана, достигнутые экономические и финансовые показатели, оценка реформ, проводимых в стране выявили необходимость: </w:t>
      </w:r>
    </w:p>
    <w:p w:rsidR="0052701D" w:rsidRDefault="00D40929">
      <w:pPr>
        <w:numPr>
          <w:ilvl w:val="0"/>
          <w:numId w:val="139"/>
        </w:numPr>
        <w:spacing w:after="5" w:line="271" w:lineRule="auto"/>
        <w:ind w:right="64" w:firstLine="567"/>
        <w:jc w:val="both"/>
      </w:pPr>
      <w:r>
        <w:rPr>
          <w:rFonts w:ascii="Times New Roman" w:eastAsia="Times New Roman" w:hAnsi="Times New Roman" w:cs="Times New Roman"/>
          <w:sz w:val="28"/>
        </w:rPr>
        <w:t xml:space="preserve">развитие новых экономических отношений между сопредельными странами с казахстанской энергетической отраслью; </w:t>
      </w:r>
    </w:p>
    <w:p w:rsidR="0052701D" w:rsidRDefault="00D40929">
      <w:pPr>
        <w:numPr>
          <w:ilvl w:val="0"/>
          <w:numId w:val="139"/>
        </w:numPr>
        <w:spacing w:after="5" w:line="271" w:lineRule="auto"/>
        <w:ind w:right="64" w:firstLine="567"/>
        <w:jc w:val="both"/>
      </w:pPr>
      <w:r>
        <w:rPr>
          <w:rFonts w:ascii="Times New Roman" w:eastAsia="Times New Roman" w:hAnsi="Times New Roman" w:cs="Times New Roman"/>
          <w:sz w:val="28"/>
        </w:rPr>
        <w:t>проведение комп</w:t>
      </w:r>
      <w:r>
        <w:rPr>
          <w:rFonts w:ascii="Times New Roman" w:eastAsia="Times New Roman" w:hAnsi="Times New Roman" w:cs="Times New Roman"/>
          <w:sz w:val="28"/>
        </w:rPr>
        <w:t xml:space="preserve">лексного исследования, анализа и прогнозирования, развития спроса и потребления на электроэнергию в регионах Казахстана и соседних странах. </w:t>
      </w:r>
    </w:p>
    <w:p w:rsidR="0052701D" w:rsidRDefault="00D40929">
      <w:pPr>
        <w:spacing w:after="5" w:line="271" w:lineRule="auto"/>
        <w:ind w:left="9" w:right="64" w:firstLine="567"/>
        <w:jc w:val="both"/>
      </w:pPr>
      <w:r>
        <w:rPr>
          <w:rFonts w:ascii="Times New Roman" w:eastAsia="Times New Roman" w:hAnsi="Times New Roman" w:cs="Times New Roman"/>
          <w:sz w:val="28"/>
        </w:rPr>
        <w:t xml:space="preserve">Президент Казахстана К.К. Токаев поставил ряд новых, актуальных первоочередных задач в экономике страны: </w:t>
      </w:r>
    </w:p>
    <w:p w:rsidR="0052701D" w:rsidRDefault="00D40929">
      <w:pPr>
        <w:numPr>
          <w:ilvl w:val="0"/>
          <w:numId w:val="139"/>
        </w:numPr>
        <w:spacing w:after="5" w:line="271" w:lineRule="auto"/>
        <w:ind w:right="64" w:firstLine="567"/>
        <w:jc w:val="both"/>
      </w:pPr>
      <w:r>
        <w:rPr>
          <w:rFonts w:ascii="Times New Roman" w:eastAsia="Times New Roman" w:hAnsi="Times New Roman" w:cs="Times New Roman"/>
          <w:sz w:val="28"/>
        </w:rPr>
        <w:t>ограничен</w:t>
      </w:r>
      <w:r>
        <w:rPr>
          <w:rFonts w:ascii="Times New Roman" w:eastAsia="Times New Roman" w:hAnsi="Times New Roman" w:cs="Times New Roman"/>
          <w:sz w:val="28"/>
        </w:rPr>
        <w:t xml:space="preserve">ие инфляционного повышения цен на товары и услуги;  </w:t>
      </w:r>
    </w:p>
    <w:p w:rsidR="0052701D" w:rsidRDefault="00D40929">
      <w:pPr>
        <w:numPr>
          <w:ilvl w:val="0"/>
          <w:numId w:val="139"/>
        </w:numPr>
        <w:spacing w:after="5" w:line="271" w:lineRule="auto"/>
        <w:ind w:right="64" w:firstLine="567"/>
        <w:jc w:val="both"/>
      </w:pPr>
      <w:r>
        <w:rPr>
          <w:rFonts w:ascii="Times New Roman" w:eastAsia="Times New Roman" w:hAnsi="Times New Roman" w:cs="Times New Roman"/>
          <w:sz w:val="28"/>
        </w:rPr>
        <w:t xml:space="preserve">привлечение инвестиций в базовые отрасли на модернизацию, строительство новых генерирующих источников, позволяющих исключить дефицит мощностей в Единой энергосистеме РК; </w:t>
      </w:r>
    </w:p>
    <w:p w:rsidR="0052701D" w:rsidRDefault="00D40929">
      <w:pPr>
        <w:numPr>
          <w:ilvl w:val="0"/>
          <w:numId w:val="139"/>
        </w:numPr>
        <w:spacing w:after="5" w:line="271" w:lineRule="auto"/>
        <w:ind w:right="64" w:firstLine="567"/>
        <w:jc w:val="both"/>
      </w:pPr>
      <w:r>
        <w:rPr>
          <w:rFonts w:ascii="Times New Roman" w:eastAsia="Times New Roman" w:hAnsi="Times New Roman" w:cs="Times New Roman"/>
          <w:sz w:val="28"/>
        </w:rPr>
        <w:t xml:space="preserve">обеспечение </w:t>
      </w:r>
      <w:r>
        <w:rPr>
          <w:rFonts w:ascii="Times New Roman" w:eastAsia="Times New Roman" w:hAnsi="Times New Roman" w:cs="Times New Roman"/>
          <w:sz w:val="28"/>
        </w:rPr>
        <w:tab/>
        <w:t xml:space="preserve">долгосрочной </w:t>
      </w:r>
      <w:r>
        <w:rPr>
          <w:rFonts w:ascii="Times New Roman" w:eastAsia="Times New Roman" w:hAnsi="Times New Roman" w:cs="Times New Roman"/>
          <w:sz w:val="28"/>
        </w:rPr>
        <w:tab/>
        <w:t>надеж</w:t>
      </w:r>
      <w:r>
        <w:rPr>
          <w:rFonts w:ascii="Times New Roman" w:eastAsia="Times New Roman" w:hAnsi="Times New Roman" w:cs="Times New Roman"/>
          <w:sz w:val="28"/>
        </w:rPr>
        <w:t xml:space="preserve">ности </w:t>
      </w:r>
      <w:r>
        <w:rPr>
          <w:rFonts w:ascii="Times New Roman" w:eastAsia="Times New Roman" w:hAnsi="Times New Roman" w:cs="Times New Roman"/>
          <w:sz w:val="28"/>
        </w:rPr>
        <w:tab/>
        <w:t xml:space="preserve">электроснабжения </w:t>
      </w:r>
    </w:p>
    <w:p w:rsidR="0052701D" w:rsidRDefault="00D40929">
      <w:pPr>
        <w:spacing w:after="5" w:line="271" w:lineRule="auto"/>
        <w:ind w:left="9" w:right="64"/>
        <w:jc w:val="both"/>
      </w:pPr>
      <w:r>
        <w:rPr>
          <w:rFonts w:ascii="Times New Roman" w:eastAsia="Times New Roman" w:hAnsi="Times New Roman" w:cs="Times New Roman"/>
          <w:sz w:val="28"/>
        </w:rPr>
        <w:t xml:space="preserve">потребителей товаром и услугами требуемого качества; </w:t>
      </w:r>
    </w:p>
    <w:p w:rsidR="0052701D" w:rsidRDefault="00D40929">
      <w:pPr>
        <w:numPr>
          <w:ilvl w:val="0"/>
          <w:numId w:val="139"/>
        </w:numPr>
        <w:spacing w:after="5" w:line="271" w:lineRule="auto"/>
        <w:ind w:right="64" w:firstLine="567"/>
        <w:jc w:val="both"/>
      </w:pPr>
      <w:r>
        <w:rPr>
          <w:rFonts w:ascii="Times New Roman" w:eastAsia="Times New Roman" w:hAnsi="Times New Roman" w:cs="Times New Roman"/>
          <w:sz w:val="28"/>
        </w:rPr>
        <w:t xml:space="preserve">повышение производительности труда минимум в 1,5 раза; </w:t>
      </w:r>
    </w:p>
    <w:p w:rsidR="0052701D" w:rsidRDefault="00D40929">
      <w:pPr>
        <w:spacing w:after="5" w:line="271" w:lineRule="auto"/>
        <w:ind w:left="9" w:right="64" w:firstLine="567"/>
        <w:jc w:val="both"/>
      </w:pPr>
      <w:r>
        <w:rPr>
          <w:rFonts w:ascii="Times New Roman" w:eastAsia="Times New Roman" w:hAnsi="Times New Roman" w:cs="Times New Roman"/>
          <w:sz w:val="28"/>
        </w:rPr>
        <w:t xml:space="preserve">28 августа 2020 года Президент РК К.К. Токаев </w:t>
      </w:r>
      <w:r>
        <w:rPr>
          <w:rFonts w:ascii="Times New Roman" w:eastAsia="Times New Roman" w:hAnsi="Times New Roman" w:cs="Times New Roman"/>
          <w:sz w:val="28"/>
        </w:rPr>
        <w:t xml:space="preserve">на заседании двух палат парламента, дал поручение правительству: системно и предметно заниматься вопросами ценообразования и тарифами, отметив, что цены в стране – высокие – от продуктов питания до различных услуг естественных монополистов; </w:t>
      </w:r>
    </w:p>
    <w:p w:rsidR="0052701D" w:rsidRDefault="00D40929">
      <w:pPr>
        <w:spacing w:after="5" w:line="271" w:lineRule="auto"/>
        <w:ind w:left="9" w:right="64" w:firstLine="567"/>
        <w:jc w:val="both"/>
      </w:pPr>
      <w:r>
        <w:rPr>
          <w:rFonts w:ascii="Times New Roman" w:eastAsia="Times New Roman" w:hAnsi="Times New Roman" w:cs="Times New Roman"/>
          <w:sz w:val="28"/>
        </w:rPr>
        <w:t>Президент отме</w:t>
      </w:r>
      <w:r>
        <w:rPr>
          <w:rFonts w:ascii="Times New Roman" w:eastAsia="Times New Roman" w:hAnsi="Times New Roman" w:cs="Times New Roman"/>
          <w:sz w:val="28"/>
        </w:rPr>
        <w:t xml:space="preserve">тил, что необходимо обеспечить полноценное развитие рыночных институтов и механизмов при стабилизирующей роли государства.  </w:t>
      </w:r>
    </w:p>
    <w:p w:rsidR="0052701D" w:rsidRDefault="00D40929">
      <w:pPr>
        <w:spacing w:after="37"/>
        <w:ind w:left="567"/>
      </w:pPr>
      <w:r>
        <w:rPr>
          <w:rFonts w:ascii="Times New Roman" w:eastAsia="Times New Roman" w:hAnsi="Times New Roman" w:cs="Times New Roman"/>
          <w:sz w:val="28"/>
        </w:rPr>
        <w:t xml:space="preserve"> </w:t>
      </w:r>
    </w:p>
    <w:p w:rsidR="0052701D" w:rsidRDefault="00D40929">
      <w:pPr>
        <w:spacing w:after="5" w:line="251" w:lineRule="auto"/>
        <w:ind w:left="567" w:firstLine="9"/>
      </w:pPr>
      <w:r>
        <w:rPr>
          <w:rFonts w:ascii="Times New Roman" w:eastAsia="Times New Roman" w:hAnsi="Times New Roman" w:cs="Times New Roman"/>
          <w:b/>
          <w:sz w:val="28"/>
        </w:rPr>
        <w:t xml:space="preserve">Имитационная модель автоматизированного определения цен </w:t>
      </w:r>
      <w:r>
        <w:rPr>
          <w:rFonts w:ascii="Times New Roman" w:eastAsia="Times New Roman" w:hAnsi="Times New Roman" w:cs="Times New Roman"/>
          <w:sz w:val="28"/>
        </w:rPr>
        <w:t xml:space="preserve"> </w:t>
      </w:r>
    </w:p>
    <w:p w:rsidR="0052701D" w:rsidRDefault="00D40929">
      <w:pPr>
        <w:spacing w:after="5" w:line="271" w:lineRule="auto"/>
        <w:ind w:left="9" w:right="64" w:firstLine="567"/>
        <w:jc w:val="both"/>
      </w:pPr>
      <w:r>
        <w:rPr>
          <w:rFonts w:ascii="Times New Roman" w:eastAsia="Times New Roman" w:hAnsi="Times New Roman" w:cs="Times New Roman"/>
          <w:sz w:val="28"/>
        </w:rPr>
        <w:t>В условиях инфляционного повышения цен на электроэнергию Председатель П</w:t>
      </w:r>
      <w:r>
        <w:rPr>
          <w:rFonts w:ascii="Times New Roman" w:eastAsia="Times New Roman" w:hAnsi="Times New Roman" w:cs="Times New Roman"/>
          <w:sz w:val="28"/>
        </w:rPr>
        <w:t>резидиума «Атамекен» обозначил четкую позицию Национальной Палаты Предпринимателей – предотвратить незаконное удорожания тарифов на электроэнергию. На рисунке № 1 представлены результаты проведенных исследовании в динамике с 2011 по 2021 годы роста отпускн</w:t>
      </w:r>
      <w:r>
        <w:rPr>
          <w:rFonts w:ascii="Times New Roman" w:eastAsia="Times New Roman" w:hAnsi="Times New Roman" w:cs="Times New Roman"/>
          <w:sz w:val="28"/>
        </w:rPr>
        <w:t xml:space="preserve">ых цен с шин электростанций в Казахстане.  </w:t>
      </w:r>
    </w:p>
    <w:p w:rsidR="0052701D" w:rsidRDefault="00D40929">
      <w:pPr>
        <w:spacing w:after="5" w:line="271" w:lineRule="auto"/>
        <w:ind w:left="9" w:right="64" w:firstLine="567"/>
        <w:jc w:val="both"/>
      </w:pPr>
      <w:r>
        <w:rPr>
          <w:rFonts w:ascii="Times New Roman" w:eastAsia="Times New Roman" w:hAnsi="Times New Roman" w:cs="Times New Roman"/>
          <w:sz w:val="28"/>
        </w:rPr>
        <w:t>По состоянию на 1 января 2021 года Энергопроизводящих организации(ЭПО) в Казахстане 118; энергопередающих организации -37, из них 19 РЭКов; энергоснабжающих организации -132; потребители с присоединенной мощность</w:t>
      </w:r>
      <w:r>
        <w:rPr>
          <w:rFonts w:ascii="Times New Roman" w:eastAsia="Times New Roman" w:hAnsi="Times New Roman" w:cs="Times New Roman"/>
          <w:sz w:val="28"/>
        </w:rPr>
        <w:t xml:space="preserve">ю более 1 МВт - 94. Всего субъектов рынка 381.  </w:t>
      </w:r>
    </w:p>
    <w:p w:rsidR="0052701D" w:rsidRDefault="00D40929">
      <w:pPr>
        <w:spacing w:after="5" w:line="271" w:lineRule="auto"/>
        <w:ind w:left="9" w:right="64" w:firstLine="567"/>
        <w:jc w:val="both"/>
      </w:pPr>
      <w:r>
        <w:rPr>
          <w:rFonts w:ascii="Times New Roman" w:eastAsia="Times New Roman" w:hAnsi="Times New Roman" w:cs="Times New Roman"/>
          <w:sz w:val="28"/>
        </w:rPr>
        <w:lastRenderedPageBreak/>
        <w:t xml:space="preserve">Исследования позволили выявить, что тарифы на электроэнергии у ЭПО в РК выросли за десять лет в 2,6 раза.  </w:t>
      </w:r>
    </w:p>
    <w:p w:rsidR="0052701D" w:rsidRDefault="00D40929">
      <w:pPr>
        <w:spacing w:after="5" w:line="271" w:lineRule="auto"/>
        <w:ind w:left="9" w:right="64" w:firstLine="567"/>
        <w:jc w:val="both"/>
      </w:pPr>
      <w:r>
        <w:rPr>
          <w:rFonts w:ascii="Times New Roman" w:eastAsia="Times New Roman" w:hAnsi="Times New Roman" w:cs="Times New Roman"/>
          <w:sz w:val="28"/>
        </w:rPr>
        <w:t xml:space="preserve">В место с тем, средние значения разницы в уровнях цен за электроэнергию у потребителей электроэнергии (физических и юридических лиц только за 2021 год) составили 9,58 тенге/кВт*час или в относительной величине 83% как показано на рисунке 2. </w:t>
      </w:r>
    </w:p>
    <w:p w:rsidR="0052701D" w:rsidRDefault="00D40929">
      <w:pPr>
        <w:spacing w:after="5" w:line="271" w:lineRule="auto"/>
        <w:ind w:left="9" w:right="64" w:firstLine="543"/>
        <w:jc w:val="both"/>
      </w:pPr>
      <w:r>
        <w:rPr>
          <w:rFonts w:ascii="Times New Roman" w:eastAsia="Times New Roman" w:hAnsi="Times New Roman" w:cs="Times New Roman"/>
          <w:sz w:val="28"/>
        </w:rPr>
        <w:t>Проведенные ис</w:t>
      </w:r>
      <w:r>
        <w:rPr>
          <w:rFonts w:ascii="Times New Roman" w:eastAsia="Times New Roman" w:hAnsi="Times New Roman" w:cs="Times New Roman"/>
          <w:sz w:val="28"/>
        </w:rPr>
        <w:t xml:space="preserve">следования и полученные результаты на наш взгляд внесут значительный вклад в выборе эффективных путей устойчивого функционирования, как энергетики, так и других смежных с ней отраслей в современных рыночных условиях.  </w:t>
      </w:r>
    </w:p>
    <w:p w:rsidR="0052701D" w:rsidRDefault="00D40929">
      <w:pPr>
        <w:spacing w:after="5" w:line="271" w:lineRule="auto"/>
        <w:ind w:left="9" w:right="64" w:firstLine="543"/>
        <w:jc w:val="both"/>
      </w:pPr>
      <w:r>
        <w:rPr>
          <w:rFonts w:ascii="Times New Roman" w:eastAsia="Times New Roman" w:hAnsi="Times New Roman" w:cs="Times New Roman"/>
          <w:sz w:val="28"/>
        </w:rPr>
        <w:t>Наибольший интерес в научном плане пр</w:t>
      </w:r>
      <w:r>
        <w:rPr>
          <w:rFonts w:ascii="Times New Roman" w:eastAsia="Times New Roman" w:hAnsi="Times New Roman" w:cs="Times New Roman"/>
          <w:sz w:val="28"/>
        </w:rPr>
        <w:t>едставляет разработанная авторами экономико-имитационная модель на примере одной условной энергетической системы, где учтены механизмы взаимодействия участников (субъектов) рынка и анализируются индексы прироста и/или снижения клиринговых цен на электроэне</w:t>
      </w:r>
      <w:r>
        <w:rPr>
          <w:rFonts w:ascii="Times New Roman" w:eastAsia="Times New Roman" w:hAnsi="Times New Roman" w:cs="Times New Roman"/>
          <w:sz w:val="28"/>
        </w:rPr>
        <w:t xml:space="preserve">ргию в сфере электроэнергетики с учетом спроса и предложения </w:t>
      </w:r>
      <w:r>
        <w:rPr>
          <w:rFonts w:ascii="Times New Roman" w:eastAsia="Times New Roman" w:hAnsi="Times New Roman" w:cs="Times New Roman"/>
          <w:b/>
          <w:sz w:val="28"/>
        </w:rPr>
        <w:t>в краткосрочном и долгосрочном периоде.</w:t>
      </w:r>
      <w:r>
        <w:rPr>
          <w:rFonts w:ascii="Times New Roman" w:eastAsia="Times New Roman" w:hAnsi="Times New Roman" w:cs="Times New Roman"/>
          <w:sz w:val="24"/>
        </w:rPr>
        <w:t xml:space="preserve"> </w:t>
      </w:r>
    </w:p>
    <w:p w:rsidR="0052701D" w:rsidRDefault="00D40929">
      <w:pPr>
        <w:spacing w:after="0"/>
        <w:ind w:left="49"/>
        <w:jc w:val="center"/>
      </w:pPr>
      <w:r>
        <w:rPr>
          <w:rFonts w:ascii="Times New Roman" w:eastAsia="Times New Roman" w:hAnsi="Times New Roman" w:cs="Times New Roman"/>
          <w:b/>
        </w:rPr>
        <w:t xml:space="preserve"> </w:t>
      </w:r>
    </w:p>
    <w:p w:rsidR="0052701D" w:rsidRDefault="00D40929">
      <w:pPr>
        <w:spacing w:after="76"/>
        <w:ind w:left="1075"/>
      </w:pPr>
      <w:r>
        <w:rPr>
          <w:noProof/>
        </w:rPr>
        <w:drawing>
          <wp:inline distT="0" distB="0" distL="0" distR="0">
            <wp:extent cx="4209288" cy="2962656"/>
            <wp:effectExtent l="0" t="0" r="0" b="0"/>
            <wp:docPr id="170866" name="Picture 170866"/>
            <wp:cNvGraphicFramePr/>
            <a:graphic xmlns:a="http://schemas.openxmlformats.org/drawingml/2006/main">
              <a:graphicData uri="http://schemas.openxmlformats.org/drawingml/2006/picture">
                <pic:pic xmlns:pic="http://schemas.openxmlformats.org/drawingml/2006/picture">
                  <pic:nvPicPr>
                    <pic:cNvPr id="170866" name="Picture 170866"/>
                    <pic:cNvPicPr/>
                  </pic:nvPicPr>
                  <pic:blipFill>
                    <a:blip r:embed="rId823"/>
                    <a:stretch>
                      <a:fillRect/>
                    </a:stretch>
                  </pic:blipFill>
                  <pic:spPr>
                    <a:xfrm>
                      <a:off x="0" y="0"/>
                      <a:ext cx="4209288" cy="2962656"/>
                    </a:xfrm>
                    <a:prstGeom prst="rect">
                      <a:avLst/>
                    </a:prstGeom>
                  </pic:spPr>
                </pic:pic>
              </a:graphicData>
            </a:graphic>
          </wp:inline>
        </w:drawing>
      </w:r>
    </w:p>
    <w:p w:rsidR="0052701D" w:rsidRDefault="00D40929">
      <w:pPr>
        <w:spacing w:after="14" w:line="249" w:lineRule="auto"/>
        <w:ind w:left="954" w:right="414" w:hanging="10"/>
        <w:jc w:val="center"/>
      </w:pPr>
      <w:r>
        <w:rPr>
          <w:rFonts w:ascii="Times New Roman" w:eastAsia="Times New Roman" w:hAnsi="Times New Roman" w:cs="Times New Roman"/>
          <w:sz w:val="28"/>
        </w:rPr>
        <w:t xml:space="preserve">Рисунок 1 – Сравнение тарифов </w:t>
      </w:r>
    </w:p>
    <w:p w:rsidR="0052701D" w:rsidRDefault="00D40929">
      <w:pPr>
        <w:spacing w:after="89"/>
      </w:pPr>
      <w:r>
        <w:rPr>
          <w:rFonts w:ascii="Times New Roman" w:eastAsia="Times New Roman" w:hAnsi="Times New Roman" w:cs="Times New Roman"/>
          <w:b/>
        </w:rPr>
        <w:t xml:space="preserve"> </w:t>
      </w:r>
    </w:p>
    <w:p w:rsidR="0052701D" w:rsidRDefault="00D40929">
      <w:pPr>
        <w:spacing w:after="5" w:line="251" w:lineRule="auto"/>
        <w:ind w:firstLine="9"/>
      </w:pPr>
      <w:r>
        <w:rPr>
          <w:rFonts w:ascii="Times New Roman" w:eastAsia="Times New Roman" w:hAnsi="Times New Roman" w:cs="Times New Roman"/>
          <w:b/>
          <w:sz w:val="28"/>
        </w:rPr>
        <w:t xml:space="preserve">Таблица 1 – Предельные тарифы у ЭПО </w:t>
      </w:r>
    </w:p>
    <w:tbl>
      <w:tblPr>
        <w:tblStyle w:val="TableGrid"/>
        <w:tblW w:w="9537" w:type="dxa"/>
        <w:tblInd w:w="-86" w:type="dxa"/>
        <w:tblCellMar>
          <w:top w:w="5" w:type="dxa"/>
          <w:left w:w="106" w:type="dxa"/>
          <w:bottom w:w="0" w:type="dxa"/>
          <w:right w:w="103" w:type="dxa"/>
        </w:tblCellMar>
        <w:tblLook w:val="04A0" w:firstRow="1" w:lastRow="0" w:firstColumn="1" w:lastColumn="0" w:noHBand="0" w:noVBand="1"/>
      </w:tblPr>
      <w:tblGrid>
        <w:gridCol w:w="1061"/>
        <w:gridCol w:w="5926"/>
        <w:gridCol w:w="2550"/>
      </w:tblGrid>
      <w:tr w:rsidR="0052701D">
        <w:trPr>
          <w:trHeight w:val="778"/>
        </w:trPr>
        <w:tc>
          <w:tcPr>
            <w:tcW w:w="1061" w:type="dxa"/>
            <w:tcBorders>
              <w:top w:val="single" w:sz="4" w:space="0" w:color="000000"/>
              <w:left w:val="single" w:sz="4" w:space="0" w:color="000000"/>
              <w:bottom w:val="double" w:sz="4" w:space="0" w:color="000000"/>
              <w:right w:val="single" w:sz="4" w:space="0" w:color="000000"/>
            </w:tcBorders>
            <w:vAlign w:val="center"/>
          </w:tcPr>
          <w:p w:rsidR="0052701D" w:rsidRDefault="00D40929">
            <w:pPr>
              <w:spacing w:after="0"/>
              <w:ind w:left="58"/>
            </w:pPr>
            <w:r>
              <w:rPr>
                <w:rFonts w:ascii="Times New Roman" w:eastAsia="Times New Roman" w:hAnsi="Times New Roman" w:cs="Times New Roman"/>
              </w:rPr>
              <w:t xml:space="preserve">Группы </w:t>
            </w:r>
          </w:p>
        </w:tc>
        <w:tc>
          <w:tcPr>
            <w:tcW w:w="5926" w:type="dxa"/>
            <w:tcBorders>
              <w:top w:val="single" w:sz="4" w:space="0" w:color="000000"/>
              <w:left w:val="single" w:sz="4" w:space="0" w:color="000000"/>
              <w:bottom w:val="double" w:sz="4" w:space="0" w:color="000000"/>
              <w:right w:val="single" w:sz="4" w:space="0" w:color="000000"/>
            </w:tcBorders>
            <w:vAlign w:val="center"/>
          </w:tcPr>
          <w:p w:rsidR="0052701D" w:rsidRDefault="00D40929">
            <w:pPr>
              <w:spacing w:after="0"/>
              <w:ind w:right="19"/>
              <w:jc w:val="center"/>
            </w:pPr>
            <w:r>
              <w:rPr>
                <w:rFonts w:ascii="Times New Roman" w:eastAsia="Times New Roman" w:hAnsi="Times New Roman" w:cs="Times New Roman"/>
              </w:rPr>
              <w:t xml:space="preserve">Энергопроизводящие организации </w:t>
            </w:r>
          </w:p>
        </w:tc>
        <w:tc>
          <w:tcPr>
            <w:tcW w:w="2550" w:type="dxa"/>
            <w:tcBorders>
              <w:top w:val="single" w:sz="4" w:space="0" w:color="000000"/>
              <w:left w:val="single" w:sz="4" w:space="0" w:color="000000"/>
              <w:bottom w:val="double" w:sz="4" w:space="0" w:color="000000"/>
              <w:right w:val="single" w:sz="4" w:space="0" w:color="000000"/>
            </w:tcBorders>
          </w:tcPr>
          <w:p w:rsidR="0052701D" w:rsidRDefault="00D40929">
            <w:pPr>
              <w:spacing w:after="0" w:line="272" w:lineRule="auto"/>
              <w:jc w:val="center"/>
            </w:pPr>
            <w:r>
              <w:rPr>
                <w:rFonts w:ascii="Times New Roman" w:eastAsia="Times New Roman" w:hAnsi="Times New Roman" w:cs="Times New Roman"/>
              </w:rPr>
              <w:t xml:space="preserve">Предельные тарифы у ЭПО, теңге/кВт-час </w:t>
            </w:r>
          </w:p>
          <w:p w:rsidR="0052701D" w:rsidRDefault="00D40929">
            <w:pPr>
              <w:spacing w:after="0"/>
              <w:ind w:left="87"/>
              <w:jc w:val="center"/>
            </w:pPr>
            <w:r>
              <w:rPr>
                <w:rFonts w:ascii="Times New Roman" w:eastAsia="Times New Roman" w:hAnsi="Times New Roman" w:cs="Times New Roman"/>
              </w:rPr>
              <w:t xml:space="preserve"> </w:t>
            </w:r>
          </w:p>
        </w:tc>
      </w:tr>
      <w:tr w:rsidR="0052701D">
        <w:trPr>
          <w:trHeight w:val="274"/>
        </w:trPr>
        <w:tc>
          <w:tcPr>
            <w:tcW w:w="1061" w:type="dxa"/>
            <w:tcBorders>
              <w:top w:val="double" w:sz="4" w:space="0" w:color="000000"/>
              <w:left w:val="single" w:sz="4" w:space="0" w:color="000000"/>
              <w:bottom w:val="single" w:sz="4" w:space="0" w:color="000000"/>
              <w:right w:val="single" w:sz="4" w:space="0" w:color="000000"/>
            </w:tcBorders>
          </w:tcPr>
          <w:p w:rsidR="0052701D" w:rsidRDefault="00D40929">
            <w:pPr>
              <w:spacing w:after="0"/>
              <w:ind w:right="13"/>
              <w:jc w:val="center"/>
            </w:pPr>
            <w:r>
              <w:rPr>
                <w:rFonts w:ascii="Times New Roman" w:eastAsia="Times New Roman" w:hAnsi="Times New Roman" w:cs="Times New Roman"/>
              </w:rPr>
              <w:t xml:space="preserve">1-топ </w:t>
            </w:r>
          </w:p>
        </w:tc>
        <w:tc>
          <w:tcPr>
            <w:tcW w:w="5926" w:type="dxa"/>
            <w:tcBorders>
              <w:top w:val="doub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ЖШС "Экибастузская ГРЭС-1" </w:t>
            </w:r>
          </w:p>
        </w:tc>
        <w:tc>
          <w:tcPr>
            <w:tcW w:w="2550" w:type="dxa"/>
            <w:tcBorders>
              <w:top w:val="double" w:sz="4" w:space="0" w:color="000000"/>
              <w:left w:val="single" w:sz="4" w:space="0" w:color="000000"/>
              <w:bottom w:val="single" w:sz="4" w:space="0" w:color="000000"/>
              <w:right w:val="single" w:sz="4" w:space="0" w:color="000000"/>
            </w:tcBorders>
          </w:tcPr>
          <w:p w:rsidR="0052701D" w:rsidRDefault="00D40929">
            <w:pPr>
              <w:spacing w:after="0"/>
              <w:ind w:right="3"/>
              <w:jc w:val="center"/>
            </w:pPr>
            <w:r>
              <w:rPr>
                <w:rFonts w:ascii="Times New Roman" w:eastAsia="Times New Roman" w:hAnsi="Times New Roman" w:cs="Times New Roman"/>
              </w:rPr>
              <w:t xml:space="preserve">5,76 </w:t>
            </w:r>
          </w:p>
        </w:tc>
      </w:tr>
      <w:tr w:rsidR="0052701D">
        <w:trPr>
          <w:trHeight w:val="260"/>
        </w:trPr>
        <w:tc>
          <w:tcPr>
            <w:tcW w:w="10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3"/>
              <w:jc w:val="center"/>
            </w:pPr>
            <w:r>
              <w:rPr>
                <w:rFonts w:ascii="Times New Roman" w:eastAsia="Times New Roman" w:hAnsi="Times New Roman" w:cs="Times New Roman"/>
              </w:rPr>
              <w:t xml:space="preserve">2-топ </w:t>
            </w:r>
          </w:p>
        </w:tc>
        <w:tc>
          <w:tcPr>
            <w:tcW w:w="5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"Евроазиатская энергетическая корпорация" АҚ </w:t>
            </w:r>
          </w:p>
        </w:tc>
        <w:tc>
          <w:tcPr>
            <w:tcW w:w="25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3"/>
              <w:jc w:val="center"/>
            </w:pPr>
            <w:r>
              <w:rPr>
                <w:rFonts w:ascii="Times New Roman" w:eastAsia="Times New Roman" w:hAnsi="Times New Roman" w:cs="Times New Roman"/>
              </w:rPr>
              <w:t xml:space="preserve">4,05 </w:t>
            </w:r>
          </w:p>
        </w:tc>
      </w:tr>
      <w:tr w:rsidR="0052701D">
        <w:trPr>
          <w:trHeight w:val="355"/>
        </w:trPr>
        <w:tc>
          <w:tcPr>
            <w:tcW w:w="10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3"/>
              <w:jc w:val="center"/>
            </w:pPr>
            <w:r>
              <w:rPr>
                <w:rFonts w:ascii="Times New Roman" w:eastAsia="Times New Roman" w:hAnsi="Times New Roman" w:cs="Times New Roman"/>
              </w:rPr>
              <w:t xml:space="preserve">3-топ </w:t>
            </w:r>
          </w:p>
        </w:tc>
        <w:tc>
          <w:tcPr>
            <w:tcW w:w="5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"Станция Экибастузская ГРЭС-2" АҚ </w:t>
            </w:r>
          </w:p>
        </w:tc>
        <w:tc>
          <w:tcPr>
            <w:tcW w:w="25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3"/>
              <w:jc w:val="center"/>
            </w:pPr>
            <w:r>
              <w:rPr>
                <w:rFonts w:ascii="Times New Roman" w:eastAsia="Times New Roman" w:hAnsi="Times New Roman" w:cs="Times New Roman"/>
              </w:rPr>
              <w:t xml:space="preserve">7,31 </w:t>
            </w:r>
          </w:p>
        </w:tc>
      </w:tr>
      <w:tr w:rsidR="0052701D">
        <w:trPr>
          <w:trHeight w:val="264"/>
        </w:trPr>
        <w:tc>
          <w:tcPr>
            <w:tcW w:w="10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3"/>
              <w:jc w:val="center"/>
            </w:pPr>
            <w:r>
              <w:rPr>
                <w:rFonts w:ascii="Times New Roman" w:eastAsia="Times New Roman" w:hAnsi="Times New Roman" w:cs="Times New Roman"/>
              </w:rPr>
              <w:t xml:space="preserve">4-топ </w:t>
            </w:r>
          </w:p>
        </w:tc>
        <w:tc>
          <w:tcPr>
            <w:tcW w:w="5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ЖШС ГРЭС "Топар" </w:t>
            </w:r>
          </w:p>
        </w:tc>
        <w:tc>
          <w:tcPr>
            <w:tcW w:w="25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
              <w:jc w:val="center"/>
            </w:pPr>
            <w:r>
              <w:rPr>
                <w:rFonts w:ascii="Times New Roman" w:eastAsia="Times New Roman" w:hAnsi="Times New Roman" w:cs="Times New Roman"/>
              </w:rPr>
              <w:t xml:space="preserve">4,8 </w:t>
            </w:r>
          </w:p>
        </w:tc>
      </w:tr>
      <w:tr w:rsidR="0052701D">
        <w:trPr>
          <w:trHeight w:val="264"/>
        </w:trPr>
        <w:tc>
          <w:tcPr>
            <w:tcW w:w="10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3"/>
              <w:jc w:val="center"/>
            </w:pPr>
            <w:r>
              <w:rPr>
                <w:rFonts w:ascii="Times New Roman" w:eastAsia="Times New Roman" w:hAnsi="Times New Roman" w:cs="Times New Roman"/>
              </w:rPr>
              <w:t xml:space="preserve">5-топ </w:t>
            </w:r>
          </w:p>
        </w:tc>
        <w:tc>
          <w:tcPr>
            <w:tcW w:w="5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"Жамбылская ГРЭС им.Батурова" АҚ </w:t>
            </w:r>
          </w:p>
        </w:tc>
        <w:tc>
          <w:tcPr>
            <w:tcW w:w="25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
              <w:jc w:val="center"/>
            </w:pPr>
            <w:r>
              <w:rPr>
                <w:rFonts w:ascii="Times New Roman" w:eastAsia="Times New Roman" w:hAnsi="Times New Roman" w:cs="Times New Roman"/>
              </w:rPr>
              <w:t xml:space="preserve">8,1 </w:t>
            </w:r>
          </w:p>
        </w:tc>
      </w:tr>
      <w:tr w:rsidR="0052701D">
        <w:trPr>
          <w:trHeight w:val="264"/>
        </w:trPr>
        <w:tc>
          <w:tcPr>
            <w:tcW w:w="10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3"/>
              <w:jc w:val="center"/>
            </w:pPr>
            <w:r>
              <w:rPr>
                <w:rFonts w:ascii="Times New Roman" w:eastAsia="Times New Roman" w:hAnsi="Times New Roman" w:cs="Times New Roman"/>
              </w:rPr>
              <w:t xml:space="preserve">6-топ </w:t>
            </w:r>
          </w:p>
        </w:tc>
        <w:tc>
          <w:tcPr>
            <w:tcW w:w="5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ЖШС "Караганда Энергоцентр" </w:t>
            </w:r>
          </w:p>
        </w:tc>
        <w:tc>
          <w:tcPr>
            <w:tcW w:w="25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3"/>
              <w:jc w:val="center"/>
            </w:pPr>
            <w:r>
              <w:rPr>
                <w:rFonts w:ascii="Times New Roman" w:eastAsia="Times New Roman" w:hAnsi="Times New Roman" w:cs="Times New Roman"/>
              </w:rPr>
              <w:t xml:space="preserve">5,88 </w:t>
            </w:r>
          </w:p>
        </w:tc>
      </w:tr>
      <w:tr w:rsidR="0052701D">
        <w:trPr>
          <w:trHeight w:val="264"/>
        </w:trPr>
        <w:tc>
          <w:tcPr>
            <w:tcW w:w="10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3"/>
              <w:jc w:val="center"/>
            </w:pPr>
            <w:r>
              <w:rPr>
                <w:rFonts w:ascii="Times New Roman" w:eastAsia="Times New Roman" w:hAnsi="Times New Roman" w:cs="Times New Roman"/>
              </w:rPr>
              <w:lastRenderedPageBreak/>
              <w:t xml:space="preserve">7-топ </w:t>
            </w:r>
          </w:p>
        </w:tc>
        <w:tc>
          <w:tcPr>
            <w:tcW w:w="5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ЖШС "Усть-Каменогорская ТЭЦ" </w:t>
            </w:r>
          </w:p>
        </w:tc>
        <w:tc>
          <w:tcPr>
            <w:tcW w:w="25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3"/>
              <w:jc w:val="center"/>
            </w:pPr>
            <w:r>
              <w:rPr>
                <w:rFonts w:ascii="Times New Roman" w:eastAsia="Times New Roman" w:hAnsi="Times New Roman" w:cs="Times New Roman"/>
              </w:rPr>
              <w:t xml:space="preserve">5,69 </w:t>
            </w:r>
          </w:p>
        </w:tc>
      </w:tr>
      <w:tr w:rsidR="0052701D">
        <w:trPr>
          <w:trHeight w:val="260"/>
        </w:trPr>
        <w:tc>
          <w:tcPr>
            <w:tcW w:w="10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3"/>
              <w:jc w:val="center"/>
            </w:pPr>
            <w:r>
              <w:rPr>
                <w:rFonts w:ascii="Times New Roman" w:eastAsia="Times New Roman" w:hAnsi="Times New Roman" w:cs="Times New Roman"/>
              </w:rPr>
              <w:t xml:space="preserve">8-топ </w:t>
            </w:r>
          </w:p>
        </w:tc>
        <w:tc>
          <w:tcPr>
            <w:tcW w:w="5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"Севказэнерго" АҚ </w:t>
            </w:r>
          </w:p>
        </w:tc>
        <w:tc>
          <w:tcPr>
            <w:tcW w:w="25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3"/>
              <w:jc w:val="center"/>
            </w:pPr>
            <w:r>
              <w:rPr>
                <w:rFonts w:ascii="Times New Roman" w:eastAsia="Times New Roman" w:hAnsi="Times New Roman" w:cs="Times New Roman"/>
              </w:rPr>
              <w:t xml:space="preserve">6,48 </w:t>
            </w:r>
          </w:p>
        </w:tc>
      </w:tr>
      <w:tr w:rsidR="0052701D">
        <w:trPr>
          <w:trHeight w:val="264"/>
        </w:trPr>
        <w:tc>
          <w:tcPr>
            <w:tcW w:w="10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3"/>
              <w:jc w:val="center"/>
            </w:pPr>
            <w:r>
              <w:rPr>
                <w:rFonts w:ascii="Times New Roman" w:eastAsia="Times New Roman" w:hAnsi="Times New Roman" w:cs="Times New Roman"/>
              </w:rPr>
              <w:t xml:space="preserve">9-топ </w:t>
            </w:r>
          </w:p>
        </w:tc>
        <w:tc>
          <w:tcPr>
            <w:tcW w:w="5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"Астана-Энергия" АҚ </w:t>
            </w:r>
          </w:p>
        </w:tc>
        <w:tc>
          <w:tcPr>
            <w:tcW w:w="25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3"/>
              <w:jc w:val="center"/>
            </w:pPr>
            <w:r>
              <w:rPr>
                <w:rFonts w:ascii="Times New Roman" w:eastAsia="Times New Roman" w:hAnsi="Times New Roman" w:cs="Times New Roman"/>
              </w:rPr>
              <w:t xml:space="preserve">4,87 </w:t>
            </w:r>
          </w:p>
        </w:tc>
      </w:tr>
      <w:tr w:rsidR="0052701D">
        <w:trPr>
          <w:trHeight w:val="264"/>
        </w:trPr>
        <w:tc>
          <w:tcPr>
            <w:tcW w:w="10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8"/>
              <w:jc w:val="center"/>
            </w:pPr>
            <w:r>
              <w:rPr>
                <w:rFonts w:ascii="Times New Roman" w:eastAsia="Times New Roman" w:hAnsi="Times New Roman" w:cs="Times New Roman"/>
              </w:rPr>
              <w:t xml:space="preserve">10-топ </w:t>
            </w:r>
          </w:p>
        </w:tc>
        <w:tc>
          <w:tcPr>
            <w:tcW w:w="5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"Павлодарэнерго" АҚ </w:t>
            </w:r>
          </w:p>
        </w:tc>
        <w:tc>
          <w:tcPr>
            <w:tcW w:w="25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
              <w:jc w:val="center"/>
            </w:pPr>
            <w:r>
              <w:rPr>
                <w:rFonts w:ascii="Times New Roman" w:eastAsia="Times New Roman" w:hAnsi="Times New Roman" w:cs="Times New Roman"/>
              </w:rPr>
              <w:t xml:space="preserve">6,1 </w:t>
            </w:r>
          </w:p>
        </w:tc>
      </w:tr>
      <w:tr w:rsidR="0052701D">
        <w:trPr>
          <w:trHeight w:val="274"/>
        </w:trPr>
        <w:tc>
          <w:tcPr>
            <w:tcW w:w="10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8"/>
              <w:jc w:val="center"/>
            </w:pPr>
            <w:r>
              <w:rPr>
                <w:rFonts w:ascii="Times New Roman" w:eastAsia="Times New Roman" w:hAnsi="Times New Roman" w:cs="Times New Roman"/>
              </w:rPr>
              <w:t xml:space="preserve">11-топ </w:t>
            </w:r>
          </w:p>
        </w:tc>
        <w:tc>
          <w:tcPr>
            <w:tcW w:w="5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"АрселорМиттал Темиртау" АҚ, ТЭЦ-2, ТЭЦ-ПВС  </w:t>
            </w:r>
          </w:p>
        </w:tc>
        <w:tc>
          <w:tcPr>
            <w:tcW w:w="25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
              <w:jc w:val="center"/>
            </w:pPr>
            <w:r>
              <w:rPr>
                <w:rFonts w:ascii="Times New Roman" w:eastAsia="Times New Roman" w:hAnsi="Times New Roman" w:cs="Times New Roman"/>
              </w:rPr>
              <w:t xml:space="preserve">6,3 </w:t>
            </w:r>
          </w:p>
        </w:tc>
      </w:tr>
      <w:tr w:rsidR="0052701D">
        <w:trPr>
          <w:trHeight w:val="264"/>
        </w:trPr>
        <w:tc>
          <w:tcPr>
            <w:tcW w:w="10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8"/>
              <w:jc w:val="center"/>
            </w:pPr>
            <w:r>
              <w:rPr>
                <w:rFonts w:ascii="Times New Roman" w:eastAsia="Times New Roman" w:hAnsi="Times New Roman" w:cs="Times New Roman"/>
              </w:rPr>
              <w:t xml:space="preserve">12-топ </w:t>
            </w:r>
          </w:p>
        </w:tc>
        <w:tc>
          <w:tcPr>
            <w:tcW w:w="5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"Алюминий Казахстана" АҚ </w:t>
            </w:r>
          </w:p>
        </w:tc>
        <w:tc>
          <w:tcPr>
            <w:tcW w:w="25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
              <w:jc w:val="center"/>
            </w:pPr>
            <w:r>
              <w:rPr>
                <w:rFonts w:ascii="Times New Roman" w:eastAsia="Times New Roman" w:hAnsi="Times New Roman" w:cs="Times New Roman"/>
              </w:rPr>
              <w:t xml:space="preserve">3,5 </w:t>
            </w:r>
          </w:p>
        </w:tc>
      </w:tr>
      <w:tr w:rsidR="0052701D">
        <w:trPr>
          <w:trHeight w:val="264"/>
        </w:trPr>
        <w:tc>
          <w:tcPr>
            <w:tcW w:w="10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8"/>
              <w:jc w:val="center"/>
            </w:pPr>
            <w:r>
              <w:rPr>
                <w:rFonts w:ascii="Times New Roman" w:eastAsia="Times New Roman" w:hAnsi="Times New Roman" w:cs="Times New Roman"/>
              </w:rPr>
              <w:t xml:space="preserve">13-топ </w:t>
            </w:r>
          </w:p>
        </w:tc>
        <w:tc>
          <w:tcPr>
            <w:tcW w:w="5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ЖШС "Kazakhmys energy" </w:t>
            </w:r>
          </w:p>
        </w:tc>
        <w:tc>
          <w:tcPr>
            <w:tcW w:w="25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
              <w:jc w:val="center"/>
            </w:pPr>
            <w:r>
              <w:rPr>
                <w:rFonts w:ascii="Times New Roman" w:eastAsia="Times New Roman" w:hAnsi="Times New Roman" w:cs="Times New Roman"/>
              </w:rPr>
              <w:t xml:space="preserve">4,8 </w:t>
            </w:r>
          </w:p>
        </w:tc>
      </w:tr>
      <w:tr w:rsidR="0052701D">
        <w:trPr>
          <w:trHeight w:val="264"/>
        </w:trPr>
        <w:tc>
          <w:tcPr>
            <w:tcW w:w="10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8"/>
              <w:jc w:val="center"/>
            </w:pPr>
            <w:r>
              <w:rPr>
                <w:rFonts w:ascii="Times New Roman" w:eastAsia="Times New Roman" w:hAnsi="Times New Roman" w:cs="Times New Roman"/>
              </w:rPr>
              <w:t xml:space="preserve">14-топ </w:t>
            </w:r>
          </w:p>
        </w:tc>
        <w:tc>
          <w:tcPr>
            <w:tcW w:w="5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"Риддер ТЭЦ" АҚ </w:t>
            </w:r>
          </w:p>
        </w:tc>
        <w:tc>
          <w:tcPr>
            <w:tcW w:w="25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3"/>
              <w:jc w:val="center"/>
            </w:pPr>
            <w:r>
              <w:rPr>
                <w:rFonts w:ascii="Times New Roman" w:eastAsia="Times New Roman" w:hAnsi="Times New Roman" w:cs="Times New Roman"/>
              </w:rPr>
              <w:t xml:space="preserve">6,78 </w:t>
            </w:r>
          </w:p>
        </w:tc>
      </w:tr>
      <w:tr w:rsidR="0052701D">
        <w:trPr>
          <w:trHeight w:val="259"/>
        </w:trPr>
        <w:tc>
          <w:tcPr>
            <w:tcW w:w="10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8"/>
              <w:jc w:val="center"/>
            </w:pPr>
            <w:r>
              <w:rPr>
                <w:rFonts w:ascii="Times New Roman" w:eastAsia="Times New Roman" w:hAnsi="Times New Roman" w:cs="Times New Roman"/>
              </w:rPr>
              <w:t xml:space="preserve">15-топ </w:t>
            </w:r>
          </w:p>
        </w:tc>
        <w:tc>
          <w:tcPr>
            <w:tcW w:w="5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ЖШС "Согринская ТЭЦ" </w:t>
            </w:r>
          </w:p>
        </w:tc>
        <w:tc>
          <w:tcPr>
            <w:tcW w:w="25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
              <w:jc w:val="center"/>
            </w:pPr>
            <w:r>
              <w:rPr>
                <w:rFonts w:ascii="Times New Roman" w:eastAsia="Times New Roman" w:hAnsi="Times New Roman" w:cs="Times New Roman"/>
              </w:rPr>
              <w:t xml:space="preserve">7,1 </w:t>
            </w:r>
          </w:p>
        </w:tc>
      </w:tr>
      <w:tr w:rsidR="0052701D">
        <w:trPr>
          <w:trHeight w:val="264"/>
        </w:trPr>
        <w:tc>
          <w:tcPr>
            <w:tcW w:w="10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8"/>
              <w:jc w:val="center"/>
            </w:pPr>
            <w:r>
              <w:rPr>
                <w:rFonts w:ascii="Times New Roman" w:eastAsia="Times New Roman" w:hAnsi="Times New Roman" w:cs="Times New Roman"/>
              </w:rPr>
              <w:t xml:space="preserve">16-топ </w:t>
            </w:r>
          </w:p>
        </w:tc>
        <w:tc>
          <w:tcPr>
            <w:tcW w:w="5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ЖШС "Bassel Guoup LLS" </w:t>
            </w:r>
          </w:p>
        </w:tc>
        <w:tc>
          <w:tcPr>
            <w:tcW w:w="25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
              <w:jc w:val="center"/>
            </w:pPr>
            <w:r>
              <w:rPr>
                <w:rFonts w:ascii="Times New Roman" w:eastAsia="Times New Roman" w:hAnsi="Times New Roman" w:cs="Times New Roman"/>
              </w:rPr>
              <w:t xml:space="preserve">7,1 </w:t>
            </w:r>
          </w:p>
        </w:tc>
      </w:tr>
      <w:tr w:rsidR="0052701D">
        <w:trPr>
          <w:trHeight w:val="264"/>
        </w:trPr>
        <w:tc>
          <w:tcPr>
            <w:tcW w:w="10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8"/>
              <w:jc w:val="center"/>
            </w:pPr>
            <w:r>
              <w:rPr>
                <w:rFonts w:ascii="Times New Roman" w:eastAsia="Times New Roman" w:hAnsi="Times New Roman" w:cs="Times New Roman"/>
              </w:rPr>
              <w:t xml:space="preserve">17-топ </w:t>
            </w:r>
          </w:p>
        </w:tc>
        <w:tc>
          <w:tcPr>
            <w:tcW w:w="5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ЖШС "Текелийский энергокомплекс" </w:t>
            </w:r>
          </w:p>
        </w:tc>
        <w:tc>
          <w:tcPr>
            <w:tcW w:w="25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
              <w:jc w:val="center"/>
            </w:pPr>
            <w:r>
              <w:rPr>
                <w:rFonts w:ascii="Times New Roman" w:eastAsia="Times New Roman" w:hAnsi="Times New Roman" w:cs="Times New Roman"/>
              </w:rPr>
              <w:t xml:space="preserve">6,3 </w:t>
            </w:r>
          </w:p>
        </w:tc>
      </w:tr>
      <w:tr w:rsidR="0052701D">
        <w:trPr>
          <w:trHeight w:val="264"/>
        </w:trPr>
        <w:tc>
          <w:tcPr>
            <w:tcW w:w="10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8"/>
              <w:jc w:val="center"/>
            </w:pPr>
            <w:r>
              <w:rPr>
                <w:rFonts w:ascii="Times New Roman" w:eastAsia="Times New Roman" w:hAnsi="Times New Roman" w:cs="Times New Roman"/>
              </w:rPr>
              <w:t xml:space="preserve">18-топ </w:t>
            </w:r>
          </w:p>
        </w:tc>
        <w:tc>
          <w:tcPr>
            <w:tcW w:w="5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ЖШС "Степногорская ТЭЦ" </w:t>
            </w:r>
          </w:p>
        </w:tc>
        <w:tc>
          <w:tcPr>
            <w:tcW w:w="25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
              <w:jc w:val="center"/>
            </w:pPr>
            <w:r>
              <w:rPr>
                <w:rFonts w:ascii="Times New Roman" w:eastAsia="Times New Roman" w:hAnsi="Times New Roman" w:cs="Times New Roman"/>
              </w:rPr>
              <w:t xml:space="preserve">7,1 </w:t>
            </w:r>
          </w:p>
        </w:tc>
      </w:tr>
      <w:tr w:rsidR="0052701D">
        <w:trPr>
          <w:trHeight w:val="264"/>
        </w:trPr>
        <w:tc>
          <w:tcPr>
            <w:tcW w:w="10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8"/>
              <w:jc w:val="center"/>
            </w:pPr>
            <w:r>
              <w:rPr>
                <w:rFonts w:ascii="Times New Roman" w:eastAsia="Times New Roman" w:hAnsi="Times New Roman" w:cs="Times New Roman"/>
              </w:rPr>
              <w:t xml:space="preserve">19-топ </w:t>
            </w:r>
          </w:p>
        </w:tc>
        <w:tc>
          <w:tcPr>
            <w:tcW w:w="5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"Шахтинсктеплоэнерго" АҚ </w:t>
            </w:r>
          </w:p>
        </w:tc>
        <w:tc>
          <w:tcPr>
            <w:tcW w:w="25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
              <w:jc w:val="center"/>
            </w:pPr>
            <w:r>
              <w:rPr>
                <w:rFonts w:ascii="Times New Roman" w:eastAsia="Times New Roman" w:hAnsi="Times New Roman" w:cs="Times New Roman"/>
              </w:rPr>
              <w:t xml:space="preserve">6,3 </w:t>
            </w:r>
          </w:p>
        </w:tc>
      </w:tr>
      <w:tr w:rsidR="0052701D">
        <w:trPr>
          <w:trHeight w:val="260"/>
        </w:trPr>
        <w:tc>
          <w:tcPr>
            <w:tcW w:w="10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8"/>
              <w:jc w:val="center"/>
            </w:pPr>
            <w:r>
              <w:rPr>
                <w:rFonts w:ascii="Times New Roman" w:eastAsia="Times New Roman" w:hAnsi="Times New Roman" w:cs="Times New Roman"/>
              </w:rPr>
              <w:t xml:space="preserve">20-топ </w:t>
            </w:r>
          </w:p>
        </w:tc>
        <w:tc>
          <w:tcPr>
            <w:tcW w:w="5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"Атырауская ТЭЦ" АҚ </w:t>
            </w:r>
          </w:p>
        </w:tc>
        <w:tc>
          <w:tcPr>
            <w:tcW w:w="25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3"/>
              <w:jc w:val="center"/>
            </w:pPr>
            <w:r>
              <w:rPr>
                <w:rFonts w:ascii="Times New Roman" w:eastAsia="Times New Roman" w:hAnsi="Times New Roman" w:cs="Times New Roman"/>
              </w:rPr>
              <w:t xml:space="preserve">6,06 </w:t>
            </w:r>
          </w:p>
        </w:tc>
      </w:tr>
      <w:tr w:rsidR="0052701D">
        <w:trPr>
          <w:trHeight w:val="264"/>
        </w:trPr>
        <w:tc>
          <w:tcPr>
            <w:tcW w:w="10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8"/>
              <w:jc w:val="center"/>
            </w:pPr>
            <w:r>
              <w:rPr>
                <w:rFonts w:ascii="Times New Roman" w:eastAsia="Times New Roman" w:hAnsi="Times New Roman" w:cs="Times New Roman"/>
              </w:rPr>
              <w:t xml:space="preserve">21-топ </w:t>
            </w:r>
          </w:p>
        </w:tc>
        <w:tc>
          <w:tcPr>
            <w:tcW w:w="5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"Актобе ТЭЦ" АҚ </w:t>
            </w:r>
          </w:p>
        </w:tc>
        <w:tc>
          <w:tcPr>
            <w:tcW w:w="25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3"/>
              <w:jc w:val="center"/>
            </w:pPr>
            <w:r>
              <w:rPr>
                <w:rFonts w:ascii="Times New Roman" w:eastAsia="Times New Roman" w:hAnsi="Times New Roman" w:cs="Times New Roman"/>
              </w:rPr>
              <w:t xml:space="preserve">6,04 </w:t>
            </w:r>
          </w:p>
        </w:tc>
      </w:tr>
      <w:tr w:rsidR="0052701D">
        <w:trPr>
          <w:trHeight w:val="264"/>
        </w:trPr>
        <w:tc>
          <w:tcPr>
            <w:tcW w:w="10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8"/>
              <w:jc w:val="center"/>
            </w:pPr>
            <w:r>
              <w:rPr>
                <w:rFonts w:ascii="Times New Roman" w:eastAsia="Times New Roman" w:hAnsi="Times New Roman" w:cs="Times New Roman"/>
              </w:rPr>
              <w:t xml:space="preserve">22-топ </w:t>
            </w:r>
          </w:p>
        </w:tc>
        <w:tc>
          <w:tcPr>
            <w:tcW w:w="5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МКК "Кентау Сервис" </w:t>
            </w:r>
          </w:p>
        </w:tc>
        <w:tc>
          <w:tcPr>
            <w:tcW w:w="25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
              <w:jc w:val="center"/>
            </w:pPr>
            <w:r>
              <w:rPr>
                <w:rFonts w:ascii="Times New Roman" w:eastAsia="Times New Roman" w:hAnsi="Times New Roman" w:cs="Times New Roman"/>
              </w:rPr>
              <w:t xml:space="preserve">6,3 </w:t>
            </w:r>
          </w:p>
        </w:tc>
      </w:tr>
      <w:tr w:rsidR="0052701D">
        <w:trPr>
          <w:trHeight w:val="264"/>
        </w:trPr>
        <w:tc>
          <w:tcPr>
            <w:tcW w:w="10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8"/>
              <w:jc w:val="center"/>
            </w:pPr>
            <w:r>
              <w:rPr>
                <w:rFonts w:ascii="Times New Roman" w:eastAsia="Times New Roman" w:hAnsi="Times New Roman" w:cs="Times New Roman"/>
              </w:rPr>
              <w:t xml:space="preserve">23-топ </w:t>
            </w:r>
          </w:p>
        </w:tc>
        <w:tc>
          <w:tcPr>
            <w:tcW w:w="5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МКК "Аркалыкская ТЭК" </w:t>
            </w:r>
          </w:p>
        </w:tc>
        <w:tc>
          <w:tcPr>
            <w:tcW w:w="25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
              <w:jc w:val="center"/>
            </w:pPr>
            <w:r>
              <w:rPr>
                <w:rFonts w:ascii="Times New Roman" w:eastAsia="Times New Roman" w:hAnsi="Times New Roman" w:cs="Times New Roman"/>
              </w:rPr>
              <w:t xml:space="preserve">6,4 </w:t>
            </w:r>
          </w:p>
        </w:tc>
      </w:tr>
      <w:tr w:rsidR="0052701D">
        <w:trPr>
          <w:trHeight w:val="259"/>
        </w:trPr>
        <w:tc>
          <w:tcPr>
            <w:tcW w:w="10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8"/>
              <w:jc w:val="center"/>
            </w:pPr>
            <w:r>
              <w:rPr>
                <w:rFonts w:ascii="Times New Roman" w:eastAsia="Times New Roman" w:hAnsi="Times New Roman" w:cs="Times New Roman"/>
              </w:rPr>
              <w:t xml:space="preserve">24-топ </w:t>
            </w:r>
          </w:p>
        </w:tc>
        <w:tc>
          <w:tcPr>
            <w:tcW w:w="5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МКК "Костанайская ТЭК" </w:t>
            </w:r>
          </w:p>
        </w:tc>
        <w:tc>
          <w:tcPr>
            <w:tcW w:w="25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3"/>
              <w:jc w:val="center"/>
            </w:pPr>
            <w:r>
              <w:rPr>
                <w:rFonts w:ascii="Times New Roman" w:eastAsia="Times New Roman" w:hAnsi="Times New Roman" w:cs="Times New Roman"/>
              </w:rPr>
              <w:t xml:space="preserve">5,82 </w:t>
            </w:r>
          </w:p>
        </w:tc>
      </w:tr>
      <w:tr w:rsidR="0052701D">
        <w:trPr>
          <w:trHeight w:val="264"/>
        </w:trPr>
        <w:tc>
          <w:tcPr>
            <w:tcW w:w="10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8"/>
              <w:jc w:val="center"/>
            </w:pPr>
            <w:r>
              <w:rPr>
                <w:rFonts w:ascii="Times New Roman" w:eastAsia="Times New Roman" w:hAnsi="Times New Roman" w:cs="Times New Roman"/>
              </w:rPr>
              <w:t xml:space="preserve">25-топ </w:t>
            </w:r>
          </w:p>
        </w:tc>
        <w:tc>
          <w:tcPr>
            <w:tcW w:w="5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"Жайыктеплоэнерго" АҚ </w:t>
            </w:r>
          </w:p>
        </w:tc>
        <w:tc>
          <w:tcPr>
            <w:tcW w:w="25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3"/>
              <w:jc w:val="center"/>
            </w:pPr>
            <w:r>
              <w:rPr>
                <w:rFonts w:ascii="Times New Roman" w:eastAsia="Times New Roman" w:hAnsi="Times New Roman" w:cs="Times New Roman"/>
              </w:rPr>
              <w:t xml:space="preserve">5,99 </w:t>
            </w:r>
          </w:p>
        </w:tc>
      </w:tr>
      <w:tr w:rsidR="0052701D">
        <w:trPr>
          <w:trHeight w:val="264"/>
        </w:trPr>
        <w:tc>
          <w:tcPr>
            <w:tcW w:w="10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8"/>
              <w:jc w:val="center"/>
            </w:pPr>
            <w:r>
              <w:rPr>
                <w:rFonts w:ascii="Times New Roman" w:eastAsia="Times New Roman" w:hAnsi="Times New Roman" w:cs="Times New Roman"/>
              </w:rPr>
              <w:t xml:space="preserve">26-топ </w:t>
            </w:r>
          </w:p>
        </w:tc>
        <w:tc>
          <w:tcPr>
            <w:tcW w:w="5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"Алматинские электрические станции" АҚ </w:t>
            </w:r>
          </w:p>
        </w:tc>
        <w:tc>
          <w:tcPr>
            <w:tcW w:w="25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3"/>
              <w:jc w:val="center"/>
            </w:pPr>
            <w:r>
              <w:rPr>
                <w:rFonts w:ascii="Times New Roman" w:eastAsia="Times New Roman" w:hAnsi="Times New Roman" w:cs="Times New Roman"/>
              </w:rPr>
              <w:t xml:space="preserve">8,33 </w:t>
            </w:r>
          </w:p>
        </w:tc>
      </w:tr>
      <w:tr w:rsidR="0052701D">
        <w:trPr>
          <w:trHeight w:val="518"/>
        </w:trPr>
        <w:tc>
          <w:tcPr>
            <w:tcW w:w="1061"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right="18"/>
              <w:jc w:val="center"/>
            </w:pPr>
            <w:r>
              <w:rPr>
                <w:rFonts w:ascii="Times New Roman" w:eastAsia="Times New Roman" w:hAnsi="Times New Roman" w:cs="Times New Roman"/>
              </w:rPr>
              <w:t xml:space="preserve">27-топ </w:t>
            </w:r>
          </w:p>
        </w:tc>
        <w:tc>
          <w:tcPr>
            <w:tcW w:w="5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ЖШС "Мангистауский атомный энергетический комбинат - Казатомпром" </w:t>
            </w:r>
          </w:p>
        </w:tc>
        <w:tc>
          <w:tcPr>
            <w:tcW w:w="2550"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2"/>
              <w:jc w:val="center"/>
            </w:pPr>
            <w:r>
              <w:rPr>
                <w:rFonts w:ascii="Times New Roman" w:eastAsia="Times New Roman" w:hAnsi="Times New Roman" w:cs="Times New Roman"/>
              </w:rPr>
              <w:t xml:space="preserve">11,64 </w:t>
            </w:r>
          </w:p>
        </w:tc>
      </w:tr>
      <w:tr w:rsidR="0052701D">
        <w:trPr>
          <w:trHeight w:val="264"/>
        </w:trPr>
        <w:tc>
          <w:tcPr>
            <w:tcW w:w="10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
              <w:jc w:val="center"/>
            </w:pPr>
            <w:r>
              <w:rPr>
                <w:rFonts w:ascii="Times New Roman" w:eastAsia="Times New Roman" w:hAnsi="Times New Roman" w:cs="Times New Roman"/>
              </w:rPr>
              <w:t xml:space="preserve">28-топ </w:t>
            </w:r>
          </w:p>
        </w:tc>
        <w:tc>
          <w:tcPr>
            <w:tcW w:w="5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ЖШС "Жанажолская ГТЭС" </w:t>
            </w:r>
          </w:p>
        </w:tc>
        <w:tc>
          <w:tcPr>
            <w:tcW w:w="25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9"/>
              <w:jc w:val="center"/>
            </w:pPr>
            <w:r>
              <w:rPr>
                <w:rFonts w:ascii="Times New Roman" w:eastAsia="Times New Roman" w:hAnsi="Times New Roman" w:cs="Times New Roman"/>
              </w:rPr>
              <w:t xml:space="preserve">8,95 </w:t>
            </w:r>
          </w:p>
        </w:tc>
      </w:tr>
      <w:tr w:rsidR="0052701D">
        <w:trPr>
          <w:trHeight w:val="264"/>
        </w:trPr>
        <w:tc>
          <w:tcPr>
            <w:tcW w:w="10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
              <w:jc w:val="center"/>
            </w:pPr>
            <w:r>
              <w:rPr>
                <w:rFonts w:ascii="Times New Roman" w:eastAsia="Times New Roman" w:hAnsi="Times New Roman" w:cs="Times New Roman"/>
              </w:rPr>
              <w:t xml:space="preserve">29-топ </w:t>
            </w:r>
          </w:p>
        </w:tc>
        <w:tc>
          <w:tcPr>
            <w:tcW w:w="5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ЖШС "Уральская ГТЭС" </w:t>
            </w:r>
          </w:p>
        </w:tc>
        <w:tc>
          <w:tcPr>
            <w:tcW w:w="25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4"/>
              <w:jc w:val="center"/>
            </w:pPr>
            <w:r>
              <w:rPr>
                <w:rFonts w:ascii="Times New Roman" w:eastAsia="Times New Roman" w:hAnsi="Times New Roman" w:cs="Times New Roman"/>
              </w:rPr>
              <w:t xml:space="preserve">10,55 </w:t>
            </w:r>
          </w:p>
        </w:tc>
      </w:tr>
      <w:tr w:rsidR="0052701D">
        <w:trPr>
          <w:trHeight w:val="264"/>
        </w:trPr>
        <w:tc>
          <w:tcPr>
            <w:tcW w:w="10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
              <w:jc w:val="center"/>
            </w:pPr>
            <w:r>
              <w:rPr>
                <w:rFonts w:ascii="Times New Roman" w:eastAsia="Times New Roman" w:hAnsi="Times New Roman" w:cs="Times New Roman"/>
              </w:rPr>
              <w:t xml:space="preserve">30-топ </w:t>
            </w:r>
          </w:p>
        </w:tc>
        <w:tc>
          <w:tcPr>
            <w:tcW w:w="5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ЖШС "Жаикмунай" ГТЭС </w:t>
            </w:r>
          </w:p>
        </w:tc>
        <w:tc>
          <w:tcPr>
            <w:tcW w:w="25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4"/>
              <w:jc w:val="center"/>
            </w:pPr>
            <w:r>
              <w:rPr>
                <w:rFonts w:ascii="Times New Roman" w:eastAsia="Times New Roman" w:hAnsi="Times New Roman" w:cs="Times New Roman"/>
              </w:rPr>
              <w:t>7,6</w:t>
            </w:r>
            <w:r>
              <w:rPr>
                <w:rFonts w:ascii="Times New Roman" w:eastAsia="Times New Roman" w:hAnsi="Times New Roman" w:cs="Times New Roman"/>
              </w:rPr>
              <w:t xml:space="preserve"> </w:t>
            </w:r>
          </w:p>
        </w:tc>
      </w:tr>
      <w:tr w:rsidR="0052701D">
        <w:trPr>
          <w:trHeight w:val="374"/>
        </w:trPr>
        <w:tc>
          <w:tcPr>
            <w:tcW w:w="10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
              <w:jc w:val="center"/>
            </w:pPr>
            <w:r>
              <w:rPr>
                <w:rFonts w:ascii="Times New Roman" w:eastAsia="Times New Roman" w:hAnsi="Times New Roman" w:cs="Times New Roman"/>
              </w:rPr>
              <w:t xml:space="preserve">31-топ </w:t>
            </w:r>
          </w:p>
        </w:tc>
        <w:tc>
          <w:tcPr>
            <w:tcW w:w="5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ГТЭС "Акшабулак" ЖШС "Кристалл Менеджмент" </w:t>
            </w:r>
          </w:p>
        </w:tc>
        <w:tc>
          <w:tcPr>
            <w:tcW w:w="25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9"/>
              <w:jc w:val="center"/>
            </w:pPr>
            <w:r>
              <w:rPr>
                <w:rFonts w:ascii="Times New Roman" w:eastAsia="Times New Roman" w:hAnsi="Times New Roman" w:cs="Times New Roman"/>
              </w:rPr>
              <w:t xml:space="preserve">8,73 </w:t>
            </w:r>
          </w:p>
        </w:tc>
      </w:tr>
      <w:tr w:rsidR="0052701D">
        <w:trPr>
          <w:trHeight w:val="265"/>
        </w:trPr>
        <w:tc>
          <w:tcPr>
            <w:tcW w:w="10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
              <w:jc w:val="center"/>
            </w:pPr>
            <w:r>
              <w:rPr>
                <w:rFonts w:ascii="Times New Roman" w:eastAsia="Times New Roman" w:hAnsi="Times New Roman" w:cs="Times New Roman"/>
              </w:rPr>
              <w:t xml:space="preserve">32-топ </w:t>
            </w:r>
          </w:p>
        </w:tc>
        <w:tc>
          <w:tcPr>
            <w:tcW w:w="5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ЖШС "Казцинк" Бухтарминский ГЭК </w:t>
            </w:r>
          </w:p>
        </w:tc>
        <w:tc>
          <w:tcPr>
            <w:tcW w:w="25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4"/>
              <w:jc w:val="center"/>
            </w:pPr>
            <w:r>
              <w:rPr>
                <w:rFonts w:ascii="Times New Roman" w:eastAsia="Times New Roman" w:hAnsi="Times New Roman" w:cs="Times New Roman"/>
              </w:rPr>
              <w:t xml:space="preserve">1,1 </w:t>
            </w:r>
          </w:p>
        </w:tc>
      </w:tr>
      <w:tr w:rsidR="0052701D">
        <w:trPr>
          <w:trHeight w:val="259"/>
        </w:trPr>
        <w:tc>
          <w:tcPr>
            <w:tcW w:w="10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
              <w:jc w:val="center"/>
            </w:pPr>
            <w:r>
              <w:rPr>
                <w:rFonts w:ascii="Times New Roman" w:eastAsia="Times New Roman" w:hAnsi="Times New Roman" w:cs="Times New Roman"/>
              </w:rPr>
              <w:t xml:space="preserve">33-топ </w:t>
            </w:r>
          </w:p>
        </w:tc>
        <w:tc>
          <w:tcPr>
            <w:tcW w:w="5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ЖШС "Шульбинская ГЭС" </w:t>
            </w:r>
          </w:p>
        </w:tc>
        <w:tc>
          <w:tcPr>
            <w:tcW w:w="25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9"/>
              <w:jc w:val="center"/>
            </w:pPr>
            <w:r>
              <w:rPr>
                <w:rFonts w:ascii="Times New Roman" w:eastAsia="Times New Roman" w:hAnsi="Times New Roman" w:cs="Times New Roman"/>
              </w:rPr>
              <w:t xml:space="preserve">2,26 </w:t>
            </w:r>
          </w:p>
        </w:tc>
      </w:tr>
      <w:tr w:rsidR="0052701D">
        <w:trPr>
          <w:trHeight w:val="264"/>
        </w:trPr>
        <w:tc>
          <w:tcPr>
            <w:tcW w:w="10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
              <w:jc w:val="center"/>
            </w:pPr>
            <w:r>
              <w:rPr>
                <w:rFonts w:ascii="Times New Roman" w:eastAsia="Times New Roman" w:hAnsi="Times New Roman" w:cs="Times New Roman"/>
              </w:rPr>
              <w:t xml:space="preserve">34-топ </w:t>
            </w:r>
          </w:p>
        </w:tc>
        <w:tc>
          <w:tcPr>
            <w:tcW w:w="5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ЖШС "Усть-Каменогорская ГЭС" </w:t>
            </w:r>
          </w:p>
        </w:tc>
        <w:tc>
          <w:tcPr>
            <w:tcW w:w="25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9"/>
              <w:jc w:val="center"/>
            </w:pPr>
            <w:r>
              <w:rPr>
                <w:rFonts w:ascii="Times New Roman" w:eastAsia="Times New Roman" w:hAnsi="Times New Roman" w:cs="Times New Roman"/>
              </w:rPr>
              <w:t xml:space="preserve">1,78 </w:t>
            </w:r>
          </w:p>
        </w:tc>
      </w:tr>
      <w:tr w:rsidR="0052701D">
        <w:trPr>
          <w:trHeight w:val="264"/>
        </w:trPr>
        <w:tc>
          <w:tcPr>
            <w:tcW w:w="10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
              <w:jc w:val="center"/>
            </w:pPr>
            <w:r>
              <w:rPr>
                <w:rFonts w:ascii="Times New Roman" w:eastAsia="Times New Roman" w:hAnsi="Times New Roman" w:cs="Times New Roman"/>
              </w:rPr>
              <w:t xml:space="preserve">35-топ </w:t>
            </w:r>
          </w:p>
        </w:tc>
        <w:tc>
          <w:tcPr>
            <w:tcW w:w="5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"Шардаринская ГЭС" АҚ </w:t>
            </w:r>
          </w:p>
        </w:tc>
        <w:tc>
          <w:tcPr>
            <w:tcW w:w="25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9"/>
              <w:jc w:val="center"/>
            </w:pPr>
            <w:r>
              <w:rPr>
                <w:rFonts w:ascii="Times New Roman" w:eastAsia="Times New Roman" w:hAnsi="Times New Roman" w:cs="Times New Roman"/>
              </w:rPr>
              <w:t xml:space="preserve">3,25 </w:t>
            </w:r>
          </w:p>
        </w:tc>
      </w:tr>
      <w:tr w:rsidR="0052701D">
        <w:trPr>
          <w:trHeight w:val="264"/>
        </w:trPr>
        <w:tc>
          <w:tcPr>
            <w:tcW w:w="10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
              <w:jc w:val="center"/>
            </w:pPr>
            <w:r>
              <w:rPr>
                <w:rFonts w:ascii="Times New Roman" w:eastAsia="Times New Roman" w:hAnsi="Times New Roman" w:cs="Times New Roman"/>
              </w:rPr>
              <w:t xml:space="preserve">36-топ </w:t>
            </w:r>
          </w:p>
        </w:tc>
        <w:tc>
          <w:tcPr>
            <w:tcW w:w="5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"Мойнакская ГЭС" АҚ </w:t>
            </w:r>
          </w:p>
        </w:tc>
        <w:tc>
          <w:tcPr>
            <w:tcW w:w="25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9"/>
              <w:jc w:val="center"/>
            </w:pPr>
            <w:r>
              <w:rPr>
                <w:rFonts w:ascii="Times New Roman" w:eastAsia="Times New Roman" w:hAnsi="Times New Roman" w:cs="Times New Roman"/>
              </w:rPr>
              <w:t xml:space="preserve">7,14 </w:t>
            </w:r>
          </w:p>
        </w:tc>
      </w:tr>
      <w:tr w:rsidR="0052701D">
        <w:trPr>
          <w:trHeight w:val="317"/>
        </w:trPr>
        <w:tc>
          <w:tcPr>
            <w:tcW w:w="10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
              <w:jc w:val="center"/>
            </w:pPr>
            <w:r>
              <w:rPr>
                <w:rFonts w:ascii="Times New Roman" w:eastAsia="Times New Roman" w:hAnsi="Times New Roman" w:cs="Times New Roman"/>
              </w:rPr>
              <w:t xml:space="preserve">37-топ </w:t>
            </w:r>
          </w:p>
        </w:tc>
        <w:tc>
          <w:tcPr>
            <w:tcW w:w="5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ЖШС "Актюбинский рельсобалочный завод" </w:t>
            </w:r>
          </w:p>
        </w:tc>
        <w:tc>
          <w:tcPr>
            <w:tcW w:w="25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9"/>
              <w:jc w:val="center"/>
            </w:pPr>
            <w:r>
              <w:rPr>
                <w:rFonts w:ascii="Times New Roman" w:eastAsia="Times New Roman" w:hAnsi="Times New Roman" w:cs="Times New Roman"/>
              </w:rPr>
              <w:t xml:space="preserve">7,78 </w:t>
            </w:r>
          </w:p>
        </w:tc>
      </w:tr>
      <w:tr w:rsidR="0052701D">
        <w:trPr>
          <w:trHeight w:val="264"/>
        </w:trPr>
        <w:tc>
          <w:tcPr>
            <w:tcW w:w="10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
              <w:jc w:val="center"/>
            </w:pPr>
            <w:r>
              <w:rPr>
                <w:rFonts w:ascii="Times New Roman" w:eastAsia="Times New Roman" w:hAnsi="Times New Roman" w:cs="Times New Roman"/>
              </w:rPr>
              <w:t xml:space="preserve">38-топ </w:t>
            </w:r>
          </w:p>
        </w:tc>
        <w:tc>
          <w:tcPr>
            <w:tcW w:w="5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ЖШС "Sagat Energy" </w:t>
            </w:r>
          </w:p>
        </w:tc>
        <w:tc>
          <w:tcPr>
            <w:tcW w:w="25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4"/>
              <w:jc w:val="center"/>
            </w:pPr>
            <w:r>
              <w:rPr>
                <w:rFonts w:ascii="Times New Roman" w:eastAsia="Times New Roman" w:hAnsi="Times New Roman" w:cs="Times New Roman"/>
              </w:rPr>
              <w:t xml:space="preserve">9,4 </w:t>
            </w:r>
          </w:p>
        </w:tc>
      </w:tr>
      <w:tr w:rsidR="0052701D">
        <w:trPr>
          <w:trHeight w:val="264"/>
        </w:trPr>
        <w:tc>
          <w:tcPr>
            <w:tcW w:w="10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
              <w:jc w:val="center"/>
            </w:pPr>
            <w:r>
              <w:rPr>
                <w:rFonts w:ascii="Times New Roman" w:eastAsia="Times New Roman" w:hAnsi="Times New Roman" w:cs="Times New Roman"/>
              </w:rPr>
              <w:t xml:space="preserve">39-топ </w:t>
            </w:r>
          </w:p>
        </w:tc>
        <w:tc>
          <w:tcPr>
            <w:tcW w:w="5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"3-Энергоорталык" АҚ </w:t>
            </w:r>
          </w:p>
        </w:tc>
        <w:tc>
          <w:tcPr>
            <w:tcW w:w="25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9"/>
              <w:jc w:val="center"/>
            </w:pPr>
            <w:r>
              <w:rPr>
                <w:rFonts w:ascii="Times New Roman" w:eastAsia="Times New Roman" w:hAnsi="Times New Roman" w:cs="Times New Roman"/>
              </w:rPr>
              <w:t xml:space="preserve">9,89 </w:t>
            </w:r>
          </w:p>
        </w:tc>
      </w:tr>
      <w:tr w:rsidR="0052701D">
        <w:trPr>
          <w:trHeight w:val="283"/>
        </w:trPr>
        <w:tc>
          <w:tcPr>
            <w:tcW w:w="10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
              <w:jc w:val="center"/>
            </w:pPr>
            <w:r>
              <w:rPr>
                <w:rFonts w:ascii="Times New Roman" w:eastAsia="Times New Roman" w:hAnsi="Times New Roman" w:cs="Times New Roman"/>
              </w:rPr>
              <w:t xml:space="preserve">40-топ </w:t>
            </w:r>
          </w:p>
        </w:tc>
        <w:tc>
          <w:tcPr>
            <w:tcW w:w="5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МКК "Кызылордатеплоэлектроцентр" </w:t>
            </w:r>
          </w:p>
        </w:tc>
        <w:tc>
          <w:tcPr>
            <w:tcW w:w="25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9"/>
              <w:jc w:val="center"/>
            </w:pPr>
            <w:r>
              <w:rPr>
                <w:rFonts w:ascii="Times New Roman" w:eastAsia="Times New Roman" w:hAnsi="Times New Roman" w:cs="Times New Roman"/>
              </w:rPr>
              <w:t xml:space="preserve">9,24 </w:t>
            </w:r>
          </w:p>
        </w:tc>
      </w:tr>
      <w:tr w:rsidR="0052701D">
        <w:trPr>
          <w:trHeight w:val="264"/>
        </w:trPr>
        <w:tc>
          <w:tcPr>
            <w:tcW w:w="10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
              <w:jc w:val="center"/>
            </w:pPr>
            <w:r>
              <w:rPr>
                <w:rFonts w:ascii="Times New Roman" w:eastAsia="Times New Roman" w:hAnsi="Times New Roman" w:cs="Times New Roman"/>
              </w:rPr>
              <w:t xml:space="preserve">41-топ </w:t>
            </w:r>
          </w:p>
        </w:tc>
        <w:tc>
          <w:tcPr>
            <w:tcW w:w="5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"Таразэнергоцентр" АҚ </w:t>
            </w:r>
          </w:p>
        </w:tc>
        <w:tc>
          <w:tcPr>
            <w:tcW w:w="25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9"/>
              <w:jc w:val="center"/>
            </w:pPr>
            <w:r>
              <w:rPr>
                <w:rFonts w:ascii="Times New Roman" w:eastAsia="Times New Roman" w:hAnsi="Times New Roman" w:cs="Times New Roman"/>
              </w:rPr>
              <w:t xml:space="preserve">8,76 </w:t>
            </w:r>
          </w:p>
        </w:tc>
      </w:tr>
      <w:tr w:rsidR="0052701D">
        <w:trPr>
          <w:trHeight w:val="264"/>
        </w:trPr>
        <w:tc>
          <w:tcPr>
            <w:tcW w:w="10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
              <w:jc w:val="center"/>
            </w:pPr>
            <w:r>
              <w:rPr>
                <w:rFonts w:ascii="Times New Roman" w:eastAsia="Times New Roman" w:hAnsi="Times New Roman" w:cs="Times New Roman"/>
              </w:rPr>
              <w:t xml:space="preserve">42-топ </w:t>
            </w:r>
          </w:p>
        </w:tc>
        <w:tc>
          <w:tcPr>
            <w:tcW w:w="5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ЖШС "Батыс Пауэр" </w:t>
            </w:r>
          </w:p>
        </w:tc>
        <w:tc>
          <w:tcPr>
            <w:tcW w:w="25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9"/>
              <w:jc w:val="center"/>
            </w:pPr>
            <w:r>
              <w:rPr>
                <w:rFonts w:ascii="Times New Roman" w:eastAsia="Times New Roman" w:hAnsi="Times New Roman" w:cs="Times New Roman"/>
              </w:rPr>
              <w:t xml:space="preserve">10,8 </w:t>
            </w:r>
          </w:p>
        </w:tc>
      </w:tr>
      <w:tr w:rsidR="0052701D">
        <w:trPr>
          <w:trHeight w:val="264"/>
        </w:trPr>
        <w:tc>
          <w:tcPr>
            <w:tcW w:w="10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
              <w:jc w:val="center"/>
            </w:pPr>
            <w:r>
              <w:rPr>
                <w:rFonts w:ascii="Times New Roman" w:eastAsia="Times New Roman" w:hAnsi="Times New Roman" w:cs="Times New Roman"/>
              </w:rPr>
              <w:t xml:space="preserve">43-топ </w:t>
            </w:r>
          </w:p>
        </w:tc>
        <w:tc>
          <w:tcPr>
            <w:tcW w:w="5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ЖШС "УПНК-ПВ" </w:t>
            </w:r>
          </w:p>
        </w:tc>
        <w:tc>
          <w:tcPr>
            <w:tcW w:w="25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9"/>
              <w:jc w:val="center"/>
            </w:pPr>
            <w:r>
              <w:rPr>
                <w:rFonts w:ascii="Times New Roman" w:eastAsia="Times New Roman" w:hAnsi="Times New Roman" w:cs="Times New Roman"/>
              </w:rPr>
              <w:t xml:space="preserve">7 </w:t>
            </w:r>
          </w:p>
        </w:tc>
      </w:tr>
      <w:tr w:rsidR="0052701D">
        <w:trPr>
          <w:trHeight w:val="265"/>
        </w:trPr>
        <w:tc>
          <w:tcPr>
            <w:tcW w:w="106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
              <w:jc w:val="center"/>
            </w:pPr>
            <w:r>
              <w:rPr>
                <w:rFonts w:ascii="Times New Roman" w:eastAsia="Times New Roman" w:hAnsi="Times New Roman" w:cs="Times New Roman"/>
              </w:rPr>
              <w:t xml:space="preserve">44-топ </w:t>
            </w:r>
          </w:p>
        </w:tc>
        <w:tc>
          <w:tcPr>
            <w:tcW w:w="5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МКК "Теплокоммунэнерго" </w:t>
            </w:r>
          </w:p>
        </w:tc>
        <w:tc>
          <w:tcPr>
            <w:tcW w:w="255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2"/>
              <w:jc w:val="center"/>
            </w:pPr>
            <w:r>
              <w:rPr>
                <w:rFonts w:ascii="Times New Roman" w:eastAsia="Times New Roman" w:hAnsi="Times New Roman" w:cs="Times New Roman"/>
              </w:rPr>
              <w:t xml:space="preserve">- </w:t>
            </w:r>
          </w:p>
        </w:tc>
      </w:tr>
    </w:tbl>
    <w:p w:rsidR="0052701D" w:rsidRDefault="00D40929">
      <w:pPr>
        <w:spacing w:after="0"/>
        <w:ind w:left="567" w:right="1682"/>
      </w:pPr>
      <w:r>
        <w:rPr>
          <w:rFonts w:ascii="Times New Roman" w:eastAsia="Times New Roman" w:hAnsi="Times New Roman" w:cs="Times New Roman"/>
          <w:b/>
        </w:rPr>
        <w:t xml:space="preserve"> </w:t>
      </w:r>
    </w:p>
    <w:p w:rsidR="0052701D" w:rsidRDefault="00D40929">
      <w:pPr>
        <w:spacing w:after="36"/>
        <w:ind w:left="1675"/>
      </w:pPr>
      <w:r>
        <w:rPr>
          <w:noProof/>
        </w:rPr>
        <w:lastRenderedPageBreak/>
        <w:drawing>
          <wp:inline distT="0" distB="0" distL="0" distR="0">
            <wp:extent cx="3813048" cy="2523744"/>
            <wp:effectExtent l="0" t="0" r="0" b="0"/>
            <wp:docPr id="171321" name="Picture 171321"/>
            <wp:cNvGraphicFramePr/>
            <a:graphic xmlns:a="http://schemas.openxmlformats.org/drawingml/2006/main">
              <a:graphicData uri="http://schemas.openxmlformats.org/drawingml/2006/picture">
                <pic:pic xmlns:pic="http://schemas.openxmlformats.org/drawingml/2006/picture">
                  <pic:nvPicPr>
                    <pic:cNvPr id="171321" name="Picture 171321"/>
                    <pic:cNvPicPr/>
                  </pic:nvPicPr>
                  <pic:blipFill>
                    <a:blip r:embed="rId824"/>
                    <a:stretch>
                      <a:fillRect/>
                    </a:stretch>
                  </pic:blipFill>
                  <pic:spPr>
                    <a:xfrm>
                      <a:off x="0" y="0"/>
                      <a:ext cx="3813048" cy="2523744"/>
                    </a:xfrm>
                    <a:prstGeom prst="rect">
                      <a:avLst/>
                    </a:prstGeom>
                  </pic:spPr>
                </pic:pic>
              </a:graphicData>
            </a:graphic>
          </wp:inline>
        </w:drawing>
      </w:r>
      <w:r>
        <w:rPr>
          <w:rFonts w:ascii="Times New Roman" w:eastAsia="Times New Roman" w:hAnsi="Times New Roman" w:cs="Times New Roman"/>
          <w:b/>
        </w:rPr>
        <w:t xml:space="preserve"> </w:t>
      </w:r>
    </w:p>
    <w:p w:rsidR="0052701D" w:rsidRDefault="00D40929">
      <w:pPr>
        <w:spacing w:after="14" w:line="249" w:lineRule="auto"/>
        <w:ind w:left="954" w:right="405" w:hanging="10"/>
        <w:jc w:val="center"/>
      </w:pPr>
      <w:r>
        <w:rPr>
          <w:rFonts w:ascii="Times New Roman" w:eastAsia="Times New Roman" w:hAnsi="Times New Roman" w:cs="Times New Roman"/>
          <w:sz w:val="28"/>
        </w:rPr>
        <w:t xml:space="preserve">Рисунок 2 – Сравнение тарифов  </w:t>
      </w:r>
    </w:p>
    <w:p w:rsidR="0052701D" w:rsidRDefault="00D40929">
      <w:pPr>
        <w:spacing w:after="0"/>
        <w:ind w:left="610"/>
        <w:jc w:val="center"/>
      </w:pPr>
      <w:r>
        <w:rPr>
          <w:rFonts w:ascii="Times New Roman" w:eastAsia="Times New Roman" w:hAnsi="Times New Roman" w:cs="Times New Roman"/>
          <w:sz w:val="28"/>
        </w:rPr>
        <w:t xml:space="preserve"> </w:t>
      </w:r>
    </w:p>
    <w:p w:rsidR="0052701D" w:rsidRDefault="00D40929">
      <w:pPr>
        <w:spacing w:after="32"/>
        <w:ind w:right="1441"/>
        <w:jc w:val="right"/>
      </w:pPr>
      <w:r>
        <w:rPr>
          <w:noProof/>
        </w:rPr>
        <w:drawing>
          <wp:inline distT="0" distB="0" distL="0" distR="0">
            <wp:extent cx="4047744" cy="2103120"/>
            <wp:effectExtent l="0" t="0" r="0" b="0"/>
            <wp:docPr id="171323" name="Picture 171323"/>
            <wp:cNvGraphicFramePr/>
            <a:graphic xmlns:a="http://schemas.openxmlformats.org/drawingml/2006/main">
              <a:graphicData uri="http://schemas.openxmlformats.org/drawingml/2006/picture">
                <pic:pic xmlns:pic="http://schemas.openxmlformats.org/drawingml/2006/picture">
                  <pic:nvPicPr>
                    <pic:cNvPr id="171323" name="Picture 171323"/>
                    <pic:cNvPicPr/>
                  </pic:nvPicPr>
                  <pic:blipFill>
                    <a:blip r:embed="rId825"/>
                    <a:stretch>
                      <a:fillRect/>
                    </a:stretch>
                  </pic:blipFill>
                  <pic:spPr>
                    <a:xfrm>
                      <a:off x="0" y="0"/>
                      <a:ext cx="4047744" cy="2103120"/>
                    </a:xfrm>
                    <a:prstGeom prst="rect">
                      <a:avLst/>
                    </a:prstGeom>
                  </pic:spPr>
                </pic:pic>
              </a:graphicData>
            </a:graphic>
          </wp:inline>
        </w:drawing>
      </w:r>
      <w:r>
        <w:rPr>
          <w:rFonts w:ascii="Times New Roman" w:eastAsia="Times New Roman" w:hAnsi="Times New Roman" w:cs="Times New Roman"/>
          <w:b/>
        </w:rPr>
        <w:t xml:space="preserve"> </w:t>
      </w:r>
    </w:p>
    <w:p w:rsidR="0052701D" w:rsidRDefault="00D40929">
      <w:pPr>
        <w:spacing w:after="3"/>
        <w:ind w:left="10" w:right="43" w:hanging="10"/>
        <w:jc w:val="right"/>
      </w:pPr>
      <w:r>
        <w:rPr>
          <w:rFonts w:ascii="Times New Roman" w:eastAsia="Times New Roman" w:hAnsi="Times New Roman" w:cs="Times New Roman"/>
          <w:sz w:val="28"/>
        </w:rPr>
        <w:t xml:space="preserve">Рисунок 3 – Цены от энергоснабжающих организациях(ЭСО) Казахстана </w:t>
      </w:r>
    </w:p>
    <w:p w:rsidR="0052701D" w:rsidRDefault="00D40929">
      <w:pPr>
        <w:spacing w:after="36"/>
        <w:ind w:left="49"/>
        <w:jc w:val="center"/>
      </w:pPr>
      <w:r>
        <w:rPr>
          <w:rFonts w:ascii="Times New Roman" w:eastAsia="Times New Roman" w:hAnsi="Times New Roman" w:cs="Times New Roman"/>
        </w:rPr>
        <w:t xml:space="preserve"> </w:t>
      </w:r>
    </w:p>
    <w:p w:rsidR="0052701D" w:rsidRDefault="00D40929">
      <w:pPr>
        <w:spacing w:after="5" w:line="271" w:lineRule="auto"/>
        <w:ind w:left="9" w:right="64" w:firstLine="543"/>
        <w:jc w:val="both"/>
      </w:pPr>
      <w:r>
        <w:rPr>
          <w:rFonts w:ascii="Times New Roman" w:eastAsia="Times New Roman" w:hAnsi="Times New Roman" w:cs="Times New Roman"/>
          <w:sz w:val="28"/>
        </w:rPr>
        <w:t xml:space="preserve">«Модель условной энергетической системы Казахстана», принятая за основу разработана на основе методологий, применяемых в «Глобальных энергетических моделях» в развитых странах, учитывают, как внешние, так и внутренние </w:t>
      </w:r>
      <w:r>
        <w:rPr>
          <w:rFonts w:ascii="Times New Roman" w:eastAsia="Times New Roman" w:hAnsi="Times New Roman" w:cs="Times New Roman"/>
          <w:sz w:val="28"/>
        </w:rPr>
        <w:tab/>
        <w:t xml:space="preserve">факторы, </w:t>
      </w:r>
      <w:r>
        <w:rPr>
          <w:rFonts w:ascii="Times New Roman" w:eastAsia="Times New Roman" w:hAnsi="Times New Roman" w:cs="Times New Roman"/>
          <w:sz w:val="28"/>
        </w:rPr>
        <w:tab/>
        <w:t xml:space="preserve">влияющие </w:t>
      </w:r>
      <w:r>
        <w:rPr>
          <w:rFonts w:ascii="Times New Roman" w:eastAsia="Times New Roman" w:hAnsi="Times New Roman" w:cs="Times New Roman"/>
          <w:sz w:val="28"/>
        </w:rPr>
        <w:tab/>
        <w:t xml:space="preserve">на </w:t>
      </w:r>
      <w:r>
        <w:rPr>
          <w:rFonts w:ascii="Times New Roman" w:eastAsia="Times New Roman" w:hAnsi="Times New Roman" w:cs="Times New Roman"/>
          <w:sz w:val="28"/>
        </w:rPr>
        <w:tab/>
        <w:t>эффективность</w:t>
      </w:r>
      <w:r>
        <w:rPr>
          <w:rFonts w:ascii="Times New Roman" w:eastAsia="Times New Roman" w:hAnsi="Times New Roman" w:cs="Times New Roman"/>
          <w:sz w:val="28"/>
        </w:rPr>
        <w:t xml:space="preserve"> </w:t>
      </w:r>
      <w:r>
        <w:rPr>
          <w:rFonts w:ascii="Times New Roman" w:eastAsia="Times New Roman" w:hAnsi="Times New Roman" w:cs="Times New Roman"/>
          <w:sz w:val="28"/>
        </w:rPr>
        <w:tab/>
        <w:t xml:space="preserve">деятельности энергосистем. </w:t>
      </w:r>
    </w:p>
    <w:p w:rsidR="0052701D" w:rsidRDefault="00D40929">
      <w:pPr>
        <w:spacing w:after="0" w:line="285" w:lineRule="auto"/>
        <w:ind w:right="7" w:firstLine="543"/>
        <w:jc w:val="both"/>
      </w:pPr>
      <w:r>
        <w:rPr>
          <w:rFonts w:ascii="Times New Roman" w:eastAsia="Times New Roman" w:hAnsi="Times New Roman" w:cs="Times New Roman"/>
          <w:sz w:val="28"/>
        </w:rPr>
        <w:t xml:space="preserve">В математическом описании модели </w:t>
      </w:r>
      <w:r>
        <w:rPr>
          <w:rFonts w:ascii="Times New Roman" w:eastAsia="Times New Roman" w:hAnsi="Times New Roman" w:cs="Times New Roman"/>
          <w:b/>
          <w:sz w:val="28"/>
        </w:rPr>
        <w:t>критерием принятия решения в целевой функции предлагается минимизация затрат и конечных цен у потребителей за электроэнергию в регионах Казахстана смежных с нами странах с учетом дохода от эксп</w:t>
      </w:r>
      <w:r>
        <w:rPr>
          <w:rFonts w:ascii="Times New Roman" w:eastAsia="Times New Roman" w:hAnsi="Times New Roman" w:cs="Times New Roman"/>
          <w:b/>
          <w:sz w:val="28"/>
        </w:rPr>
        <w:t xml:space="preserve">орта и импорта электроэнергии. </w:t>
      </w:r>
    </w:p>
    <w:p w:rsidR="0052701D" w:rsidRDefault="00D40929">
      <w:pPr>
        <w:spacing w:after="5" w:line="271" w:lineRule="auto"/>
        <w:ind w:left="9" w:right="64" w:firstLine="543"/>
        <w:jc w:val="both"/>
      </w:pPr>
      <w:r>
        <w:rPr>
          <w:rFonts w:ascii="Times New Roman" w:eastAsia="Times New Roman" w:hAnsi="Times New Roman" w:cs="Times New Roman"/>
          <w:sz w:val="28"/>
        </w:rPr>
        <w:t>В своем роде это практически единственная модель, раскрывающая суть и актуальность вышеперечисленных проблем в энергетической отрасли предлагающая схему и алгоритм решения указанных проблем. Необходимость знания этих экономи</w:t>
      </w:r>
      <w:r>
        <w:rPr>
          <w:rFonts w:ascii="Times New Roman" w:eastAsia="Times New Roman" w:hAnsi="Times New Roman" w:cs="Times New Roman"/>
          <w:sz w:val="28"/>
        </w:rPr>
        <w:t xml:space="preserve">ческих вопросов будущими экономистами в отрасли сомнению не подлежит.  </w:t>
      </w:r>
    </w:p>
    <w:p w:rsidR="0052701D" w:rsidRDefault="00D40929">
      <w:pPr>
        <w:spacing w:after="5" w:line="271" w:lineRule="auto"/>
        <w:ind w:left="9" w:right="64" w:firstLine="543"/>
        <w:jc w:val="both"/>
      </w:pPr>
      <w:r>
        <w:rPr>
          <w:rFonts w:ascii="Times New Roman" w:eastAsia="Times New Roman" w:hAnsi="Times New Roman" w:cs="Times New Roman"/>
          <w:sz w:val="28"/>
        </w:rPr>
        <w:t xml:space="preserve">В настоящее время на казахстанском книжном рынке имеется достаточно учебной литературы по экономике и менеджменту. В работе содержится </w:t>
      </w:r>
      <w:r>
        <w:rPr>
          <w:rFonts w:ascii="Times New Roman" w:eastAsia="Times New Roman" w:hAnsi="Times New Roman" w:cs="Times New Roman"/>
          <w:sz w:val="28"/>
        </w:rPr>
        <w:lastRenderedPageBreak/>
        <w:t>ценный материал для бакалавров специальности «Эко</w:t>
      </w:r>
      <w:r>
        <w:rPr>
          <w:rFonts w:ascii="Times New Roman" w:eastAsia="Times New Roman" w:hAnsi="Times New Roman" w:cs="Times New Roman"/>
          <w:sz w:val="28"/>
        </w:rPr>
        <w:t xml:space="preserve">номика и менеджмент в отраслях ТЭК» и других технических специальностей энергетических университетов и колледжей. </w:t>
      </w:r>
    </w:p>
    <w:p w:rsidR="0052701D" w:rsidRDefault="00D40929">
      <w:pPr>
        <w:spacing w:after="5" w:line="271" w:lineRule="auto"/>
        <w:ind w:left="9" w:right="64" w:firstLine="543"/>
        <w:jc w:val="both"/>
      </w:pPr>
      <w:r>
        <w:rPr>
          <w:rFonts w:ascii="Times New Roman" w:eastAsia="Times New Roman" w:hAnsi="Times New Roman" w:cs="Times New Roman"/>
          <w:sz w:val="28"/>
        </w:rPr>
        <w:t>Трансформация экономических отношений затрагивает интересы любого руководителя и специалиста. Современный специалист находится в гуще экономи</w:t>
      </w:r>
      <w:r>
        <w:rPr>
          <w:rFonts w:ascii="Times New Roman" w:eastAsia="Times New Roman" w:hAnsi="Times New Roman" w:cs="Times New Roman"/>
          <w:sz w:val="28"/>
        </w:rPr>
        <w:t xml:space="preserve">ческих преобразований, и поэтому должен знать основы рыночной экономики. </w:t>
      </w:r>
    </w:p>
    <w:p w:rsidR="0052701D" w:rsidRDefault="00D40929">
      <w:pPr>
        <w:spacing w:after="5" w:line="271" w:lineRule="auto"/>
        <w:ind w:left="9" w:right="3" w:firstLine="543"/>
        <w:jc w:val="both"/>
      </w:pPr>
      <w:r>
        <w:rPr>
          <w:rFonts w:ascii="Times New Roman" w:eastAsia="Times New Roman" w:hAnsi="Times New Roman" w:cs="Times New Roman"/>
          <w:sz w:val="28"/>
        </w:rPr>
        <w:t>Таким образом, данная научная работа предназначается для студентов, бакалавров и преподавателей, руководителей всех звеньев управления электроэнергетики, может быть использована в де</w:t>
      </w:r>
      <w:r>
        <w:rPr>
          <w:rFonts w:ascii="Times New Roman" w:eastAsia="Times New Roman" w:hAnsi="Times New Roman" w:cs="Times New Roman"/>
          <w:sz w:val="28"/>
        </w:rPr>
        <w:t xml:space="preserve">ловых кругах потенциальными инвесторами энергетики Казахстана. </w:t>
      </w:r>
    </w:p>
    <w:p w:rsidR="0052701D" w:rsidRDefault="00D40929">
      <w:pPr>
        <w:spacing w:after="35" w:line="251" w:lineRule="auto"/>
        <w:ind w:firstLine="543"/>
      </w:pPr>
      <w:r>
        <w:rPr>
          <w:rFonts w:ascii="Times New Roman" w:eastAsia="Times New Roman" w:hAnsi="Times New Roman" w:cs="Times New Roman"/>
          <w:b/>
          <w:sz w:val="28"/>
        </w:rPr>
        <w:t xml:space="preserve">Применение данной модели и алгоритма проведения расчетов имеет следующий порядок: </w:t>
      </w:r>
    </w:p>
    <w:p w:rsidR="0052701D" w:rsidRDefault="00D40929">
      <w:pPr>
        <w:spacing w:after="5" w:line="271" w:lineRule="auto"/>
        <w:ind w:left="9" w:right="64" w:firstLine="543"/>
        <w:jc w:val="both"/>
      </w:pPr>
      <w:r>
        <w:rPr>
          <w:rFonts w:ascii="Times New Roman" w:eastAsia="Times New Roman" w:hAnsi="Times New Roman" w:cs="Times New Roman"/>
          <w:sz w:val="28"/>
        </w:rPr>
        <w:t xml:space="preserve">В предлагаемой комплектации возможно участие 12 станций и 70 потребителей. </w:t>
      </w:r>
    </w:p>
    <w:p w:rsidR="0052701D" w:rsidRDefault="00D40929">
      <w:pPr>
        <w:spacing w:after="46" w:line="251" w:lineRule="auto"/>
        <w:ind w:left="543" w:firstLine="9"/>
      </w:pPr>
      <w:r>
        <w:rPr>
          <w:rFonts w:ascii="Times New Roman" w:eastAsia="Times New Roman" w:hAnsi="Times New Roman" w:cs="Times New Roman"/>
          <w:sz w:val="28"/>
        </w:rPr>
        <w:t xml:space="preserve">При открытии файла открывается Лист 3. </w:t>
      </w:r>
      <w:r>
        <w:rPr>
          <w:rFonts w:ascii="Times New Roman" w:eastAsia="Times New Roman" w:hAnsi="Times New Roman" w:cs="Times New Roman"/>
          <w:b/>
          <w:sz w:val="28"/>
        </w:rPr>
        <w:t xml:space="preserve">Перед использованием необходимо разрешить применение макросов. </w:t>
      </w:r>
    </w:p>
    <w:p w:rsidR="0052701D" w:rsidRDefault="00D40929">
      <w:pPr>
        <w:spacing w:after="0"/>
        <w:ind w:left="543" w:right="943"/>
      </w:pPr>
      <w:r>
        <w:rPr>
          <w:rFonts w:ascii="Times New Roman" w:eastAsia="Times New Roman" w:hAnsi="Times New Roman" w:cs="Times New Roman"/>
          <w:b/>
          <w:sz w:val="28"/>
        </w:rPr>
        <w:t xml:space="preserve"> </w:t>
      </w:r>
    </w:p>
    <w:p w:rsidR="0052701D" w:rsidRDefault="00D40929">
      <w:pPr>
        <w:spacing w:after="23"/>
        <w:ind w:right="888"/>
        <w:jc w:val="right"/>
      </w:pPr>
      <w:r>
        <w:rPr>
          <w:noProof/>
        </w:rPr>
        <w:drawing>
          <wp:inline distT="0" distB="0" distL="0" distR="0">
            <wp:extent cx="4738243" cy="2246376"/>
            <wp:effectExtent l="0" t="0" r="0" b="0"/>
            <wp:docPr id="171485" name="Picture 171485"/>
            <wp:cNvGraphicFramePr/>
            <a:graphic xmlns:a="http://schemas.openxmlformats.org/drawingml/2006/main">
              <a:graphicData uri="http://schemas.openxmlformats.org/drawingml/2006/picture">
                <pic:pic xmlns:pic="http://schemas.openxmlformats.org/drawingml/2006/picture">
                  <pic:nvPicPr>
                    <pic:cNvPr id="171485" name="Picture 171485"/>
                    <pic:cNvPicPr/>
                  </pic:nvPicPr>
                  <pic:blipFill>
                    <a:blip r:embed="rId826"/>
                    <a:stretch>
                      <a:fillRect/>
                    </a:stretch>
                  </pic:blipFill>
                  <pic:spPr>
                    <a:xfrm>
                      <a:off x="0" y="0"/>
                      <a:ext cx="4738243" cy="2246376"/>
                    </a:xfrm>
                    <a:prstGeom prst="rect">
                      <a:avLst/>
                    </a:prstGeom>
                  </pic:spPr>
                </pic:pic>
              </a:graphicData>
            </a:graphic>
          </wp:inline>
        </w:drawing>
      </w:r>
      <w:r>
        <w:rPr>
          <w:rFonts w:ascii="Times New Roman" w:eastAsia="Times New Roman" w:hAnsi="Times New Roman" w:cs="Times New Roman"/>
        </w:rPr>
        <w:t xml:space="preserve"> </w:t>
      </w:r>
    </w:p>
    <w:p w:rsidR="0052701D" w:rsidRDefault="00D40929">
      <w:pPr>
        <w:spacing w:after="14" w:line="249" w:lineRule="auto"/>
        <w:ind w:left="954" w:right="946" w:hanging="10"/>
        <w:jc w:val="center"/>
      </w:pPr>
      <w:r>
        <w:rPr>
          <w:rFonts w:ascii="Times New Roman" w:eastAsia="Times New Roman" w:hAnsi="Times New Roman" w:cs="Times New Roman"/>
          <w:sz w:val="28"/>
        </w:rPr>
        <w:t xml:space="preserve">Рисунок 4 – Лист 3 </w:t>
      </w:r>
    </w:p>
    <w:p w:rsidR="0052701D" w:rsidRDefault="00D40929">
      <w:pPr>
        <w:spacing w:after="0"/>
        <w:ind w:left="49"/>
        <w:jc w:val="center"/>
      </w:pPr>
      <w:r>
        <w:rPr>
          <w:rFonts w:ascii="Times New Roman" w:eastAsia="Times New Roman" w:hAnsi="Times New Roman" w:cs="Times New Roman"/>
        </w:rPr>
        <w:t xml:space="preserve"> </w:t>
      </w:r>
    </w:p>
    <w:p w:rsidR="0052701D" w:rsidRDefault="00D40929">
      <w:pPr>
        <w:spacing w:after="5" w:line="271" w:lineRule="auto"/>
        <w:ind w:left="9" w:right="64" w:firstLine="567"/>
        <w:jc w:val="both"/>
      </w:pPr>
      <w:r>
        <w:rPr>
          <w:rFonts w:ascii="Times New Roman" w:eastAsia="Times New Roman" w:hAnsi="Times New Roman" w:cs="Times New Roman"/>
          <w:b/>
          <w:sz w:val="28"/>
        </w:rPr>
        <w:t>Шаг 1.</w:t>
      </w:r>
      <w:r>
        <w:rPr>
          <w:rFonts w:ascii="Times New Roman" w:eastAsia="Times New Roman" w:hAnsi="Times New Roman" w:cs="Times New Roman"/>
          <w:sz w:val="28"/>
        </w:rPr>
        <w:t xml:space="preserve"> </w:t>
      </w:r>
      <w:r>
        <w:rPr>
          <w:rFonts w:ascii="Times New Roman" w:eastAsia="Times New Roman" w:hAnsi="Times New Roman" w:cs="Times New Roman"/>
          <w:sz w:val="28"/>
        </w:rPr>
        <w:t xml:space="preserve">Для удобства заполнения необходимо расположить станции и потребителей в алфавитном порядке. Для этой цели надо нажать кнопку «Возврат в исходное состояние» </w:t>
      </w:r>
    </w:p>
    <w:p w:rsidR="0052701D" w:rsidRDefault="00D40929">
      <w:pPr>
        <w:spacing w:after="5" w:line="271" w:lineRule="auto"/>
        <w:ind w:left="9" w:right="64" w:firstLine="567"/>
        <w:jc w:val="both"/>
      </w:pPr>
      <w:r>
        <w:rPr>
          <w:rFonts w:ascii="Times New Roman" w:eastAsia="Times New Roman" w:hAnsi="Times New Roman" w:cs="Times New Roman"/>
          <w:b/>
          <w:sz w:val="28"/>
        </w:rPr>
        <w:t>Шаг 2.</w:t>
      </w:r>
      <w:r>
        <w:rPr>
          <w:rFonts w:ascii="Times New Roman" w:eastAsia="Times New Roman" w:hAnsi="Times New Roman" w:cs="Times New Roman"/>
          <w:sz w:val="28"/>
        </w:rPr>
        <w:t xml:space="preserve"> Заполнить данные в зеленые ячейки. При необходимости поменять названия и прочие характеристи</w:t>
      </w:r>
      <w:r>
        <w:rPr>
          <w:rFonts w:ascii="Times New Roman" w:eastAsia="Times New Roman" w:hAnsi="Times New Roman" w:cs="Times New Roman"/>
          <w:sz w:val="28"/>
        </w:rPr>
        <w:t xml:space="preserve">ки в голубых столбцах. </w:t>
      </w:r>
      <w:r>
        <w:rPr>
          <w:rFonts w:ascii="Times New Roman" w:eastAsia="Times New Roman" w:hAnsi="Times New Roman" w:cs="Times New Roman"/>
          <w:b/>
          <w:i/>
          <w:sz w:val="28"/>
        </w:rPr>
        <w:t xml:space="preserve">Запрещается снимать блокировку, заполнять другие ячейки! </w:t>
      </w:r>
    </w:p>
    <w:p w:rsidR="0052701D" w:rsidRDefault="00D40929">
      <w:pPr>
        <w:spacing w:after="5" w:line="271" w:lineRule="auto"/>
        <w:ind w:left="9" w:right="64" w:firstLine="567"/>
        <w:jc w:val="both"/>
      </w:pPr>
      <w:r>
        <w:rPr>
          <w:rFonts w:ascii="Times New Roman" w:eastAsia="Times New Roman" w:hAnsi="Times New Roman" w:cs="Times New Roman"/>
          <w:b/>
          <w:sz w:val="28"/>
        </w:rPr>
        <w:t>Шаг 3.</w:t>
      </w:r>
      <w:r>
        <w:rPr>
          <w:rFonts w:ascii="Times New Roman" w:eastAsia="Times New Roman" w:hAnsi="Times New Roman" w:cs="Times New Roman"/>
          <w:sz w:val="28"/>
        </w:rPr>
        <w:t xml:space="preserve"> Необходимо отсортировать данные нажатием кнопки «ПУСК СОРТИРОВКИ» – появляются результаты расчетов. </w:t>
      </w:r>
    </w:p>
    <w:p w:rsidR="0052701D" w:rsidRDefault="00D40929">
      <w:pPr>
        <w:spacing w:after="5" w:line="271" w:lineRule="auto"/>
        <w:ind w:left="9" w:right="64" w:firstLine="567"/>
        <w:jc w:val="both"/>
      </w:pPr>
      <w:r>
        <w:rPr>
          <w:rFonts w:ascii="Times New Roman" w:eastAsia="Times New Roman" w:hAnsi="Times New Roman" w:cs="Times New Roman"/>
          <w:sz w:val="28"/>
        </w:rPr>
        <w:t>В ячейке G11 – указывается избыток или дефицит генерации и полученн</w:t>
      </w:r>
      <w:r>
        <w:rPr>
          <w:rFonts w:ascii="Times New Roman" w:eastAsia="Times New Roman" w:hAnsi="Times New Roman" w:cs="Times New Roman"/>
          <w:sz w:val="28"/>
        </w:rPr>
        <w:t xml:space="preserve">ый баланс. </w:t>
      </w:r>
    </w:p>
    <w:p w:rsidR="0052701D" w:rsidRDefault="00D40929">
      <w:pPr>
        <w:spacing w:after="5" w:line="271" w:lineRule="auto"/>
        <w:ind w:left="9" w:right="64" w:firstLine="567"/>
        <w:jc w:val="both"/>
      </w:pPr>
      <w:r>
        <w:rPr>
          <w:rFonts w:ascii="Times New Roman" w:eastAsia="Times New Roman" w:hAnsi="Times New Roman" w:cs="Times New Roman"/>
          <w:sz w:val="28"/>
        </w:rPr>
        <w:lastRenderedPageBreak/>
        <w:t xml:space="preserve">В ячейках G13-G15 – отображается число участников, итоговая клиринговая цена, мощность. При числе участников менее 3 сделки не совершаются. </w:t>
      </w:r>
    </w:p>
    <w:p w:rsidR="0052701D" w:rsidRDefault="00D40929">
      <w:pPr>
        <w:spacing w:after="0"/>
      </w:pPr>
      <w:r>
        <w:rPr>
          <w:rFonts w:ascii="Times New Roman" w:eastAsia="Times New Roman" w:hAnsi="Times New Roman" w:cs="Times New Roman"/>
        </w:rPr>
        <w:t xml:space="preserve"> </w:t>
      </w:r>
    </w:p>
    <w:p w:rsidR="0052701D" w:rsidRDefault="00D40929">
      <w:pPr>
        <w:spacing w:after="12"/>
        <w:ind w:left="52"/>
        <w:jc w:val="center"/>
      </w:pPr>
      <w:r>
        <w:rPr>
          <w:noProof/>
        </w:rPr>
        <w:drawing>
          <wp:inline distT="0" distB="0" distL="0" distR="0">
            <wp:extent cx="3328416" cy="2249424"/>
            <wp:effectExtent l="0" t="0" r="0" b="0"/>
            <wp:docPr id="171641" name="Picture 171641"/>
            <wp:cNvGraphicFramePr/>
            <a:graphic xmlns:a="http://schemas.openxmlformats.org/drawingml/2006/main">
              <a:graphicData uri="http://schemas.openxmlformats.org/drawingml/2006/picture">
                <pic:pic xmlns:pic="http://schemas.openxmlformats.org/drawingml/2006/picture">
                  <pic:nvPicPr>
                    <pic:cNvPr id="171641" name="Picture 171641"/>
                    <pic:cNvPicPr/>
                  </pic:nvPicPr>
                  <pic:blipFill>
                    <a:blip r:embed="rId827"/>
                    <a:stretch>
                      <a:fillRect/>
                    </a:stretch>
                  </pic:blipFill>
                  <pic:spPr>
                    <a:xfrm>
                      <a:off x="0" y="0"/>
                      <a:ext cx="3328416" cy="2249424"/>
                    </a:xfrm>
                    <a:prstGeom prst="rect">
                      <a:avLst/>
                    </a:prstGeom>
                  </pic:spPr>
                </pic:pic>
              </a:graphicData>
            </a:graphic>
          </wp:inline>
        </w:drawing>
      </w:r>
      <w:r>
        <w:rPr>
          <w:rFonts w:ascii="Times New Roman" w:eastAsia="Times New Roman" w:hAnsi="Times New Roman" w:cs="Times New Roman"/>
        </w:rPr>
        <w:t xml:space="preserve"> </w:t>
      </w:r>
    </w:p>
    <w:p w:rsidR="0052701D" w:rsidRDefault="00D40929">
      <w:pPr>
        <w:spacing w:after="14" w:line="249" w:lineRule="auto"/>
        <w:ind w:left="954" w:right="245" w:hanging="10"/>
        <w:jc w:val="center"/>
      </w:pPr>
      <w:r>
        <w:rPr>
          <w:rFonts w:ascii="Times New Roman" w:eastAsia="Times New Roman" w:hAnsi="Times New Roman" w:cs="Times New Roman"/>
          <w:sz w:val="28"/>
        </w:rPr>
        <w:t xml:space="preserve">Рисунок 5 - Ячейки G22-G44 </w:t>
      </w:r>
    </w:p>
    <w:p w:rsidR="0052701D" w:rsidRDefault="00D40929">
      <w:pPr>
        <w:spacing w:after="18"/>
        <w:ind w:left="711"/>
      </w:pPr>
      <w:r>
        <w:rPr>
          <w:rFonts w:ascii="Times New Roman" w:eastAsia="Times New Roman" w:hAnsi="Times New Roman" w:cs="Times New Roman"/>
          <w:sz w:val="28"/>
        </w:rPr>
        <w:t xml:space="preserve"> </w:t>
      </w:r>
    </w:p>
    <w:p w:rsidR="0052701D" w:rsidRDefault="00D40929">
      <w:pPr>
        <w:spacing w:after="5" w:line="271" w:lineRule="auto"/>
        <w:ind w:left="567" w:right="64"/>
        <w:jc w:val="both"/>
      </w:pPr>
      <w:r>
        <w:rPr>
          <w:rFonts w:ascii="Times New Roman" w:eastAsia="Times New Roman" w:hAnsi="Times New Roman" w:cs="Times New Roman"/>
          <w:sz w:val="28"/>
        </w:rPr>
        <w:t xml:space="preserve">Ячейки G22-G37 информационные. </w:t>
      </w:r>
    </w:p>
    <w:p w:rsidR="0052701D" w:rsidRDefault="00D40929">
      <w:pPr>
        <w:spacing w:after="5" w:line="271" w:lineRule="auto"/>
        <w:ind w:left="9" w:right="64" w:firstLine="567"/>
        <w:jc w:val="both"/>
      </w:pPr>
      <w:r>
        <w:rPr>
          <w:rFonts w:ascii="Times New Roman" w:eastAsia="Times New Roman" w:hAnsi="Times New Roman" w:cs="Times New Roman"/>
          <w:sz w:val="28"/>
        </w:rPr>
        <w:t>В ячейке G39 – законтрактованная мощ</w:t>
      </w:r>
      <w:r>
        <w:rPr>
          <w:rFonts w:ascii="Times New Roman" w:eastAsia="Times New Roman" w:hAnsi="Times New Roman" w:cs="Times New Roman"/>
          <w:sz w:val="28"/>
        </w:rPr>
        <w:t xml:space="preserve">ность, которая будет проданакуплена. </w:t>
      </w:r>
    </w:p>
    <w:p w:rsidR="0052701D" w:rsidRDefault="00D40929">
      <w:pPr>
        <w:spacing w:after="5" w:line="271" w:lineRule="auto"/>
        <w:ind w:left="9" w:right="64" w:firstLine="567"/>
        <w:jc w:val="both"/>
      </w:pPr>
      <w:r>
        <w:rPr>
          <w:rFonts w:ascii="Times New Roman" w:eastAsia="Times New Roman" w:hAnsi="Times New Roman" w:cs="Times New Roman"/>
          <w:sz w:val="28"/>
        </w:rPr>
        <w:t xml:space="preserve">G40 – цена по станциям, определяемая самой высокой ценой станции до пересечения с графиком потребителей. Иными словами, максимальная цена генерации реальной сделки. Эта цена будет принята при избытке генерации. </w:t>
      </w:r>
    </w:p>
    <w:p w:rsidR="0052701D" w:rsidRDefault="00D40929">
      <w:pPr>
        <w:spacing w:after="5" w:line="271" w:lineRule="auto"/>
        <w:ind w:left="9" w:right="64" w:firstLine="567"/>
        <w:jc w:val="both"/>
      </w:pPr>
      <w:r>
        <w:rPr>
          <w:rFonts w:ascii="Times New Roman" w:eastAsia="Times New Roman" w:hAnsi="Times New Roman" w:cs="Times New Roman"/>
          <w:sz w:val="28"/>
        </w:rPr>
        <w:t xml:space="preserve">G41 – </w:t>
      </w:r>
      <w:r>
        <w:rPr>
          <w:rFonts w:ascii="Times New Roman" w:eastAsia="Times New Roman" w:hAnsi="Times New Roman" w:cs="Times New Roman"/>
          <w:sz w:val="28"/>
        </w:rPr>
        <w:t xml:space="preserve">цена по потребителям, определяемая самой низкой ценой потребителей до пересечения с графиком генерации. Иными словами, минимальная цена потребителя реальной сделки -эта цена будет принята при дефиците генерации. </w:t>
      </w:r>
    </w:p>
    <w:p w:rsidR="0052701D" w:rsidRDefault="00D40929">
      <w:pPr>
        <w:spacing w:after="5" w:line="271" w:lineRule="auto"/>
        <w:ind w:left="9" w:right="64" w:firstLine="567"/>
        <w:jc w:val="both"/>
      </w:pPr>
      <w:r>
        <w:rPr>
          <w:rFonts w:ascii="Times New Roman" w:eastAsia="Times New Roman" w:hAnsi="Times New Roman" w:cs="Times New Roman"/>
          <w:sz w:val="28"/>
        </w:rPr>
        <w:t xml:space="preserve">Реальными, принимаются сделки, при которых </w:t>
      </w:r>
      <w:r>
        <w:rPr>
          <w:rFonts w:ascii="Times New Roman" w:eastAsia="Times New Roman" w:hAnsi="Times New Roman" w:cs="Times New Roman"/>
          <w:sz w:val="28"/>
        </w:rPr>
        <w:t xml:space="preserve">желаемая цена покупки выше желаемой цены продажи со станции, и имеется свободная мощность на продажу у станций, и спрос со стороны потребителей. </w:t>
      </w:r>
    </w:p>
    <w:p w:rsidR="0052701D" w:rsidRDefault="00D40929">
      <w:pPr>
        <w:spacing w:after="5" w:line="271" w:lineRule="auto"/>
        <w:ind w:left="9" w:right="64" w:firstLine="567"/>
        <w:jc w:val="both"/>
      </w:pPr>
      <w:r>
        <w:rPr>
          <w:rFonts w:ascii="Times New Roman" w:eastAsia="Times New Roman" w:hAnsi="Times New Roman" w:cs="Times New Roman"/>
          <w:sz w:val="28"/>
        </w:rPr>
        <w:t>G42 – средняя цена реальных сделок. Данная цена будет принята при балансе генерации и потребителей по мощности</w:t>
      </w:r>
      <w:r>
        <w:rPr>
          <w:rFonts w:ascii="Times New Roman" w:eastAsia="Times New Roman" w:hAnsi="Times New Roman" w:cs="Times New Roman"/>
          <w:sz w:val="28"/>
        </w:rPr>
        <w:t xml:space="preserve"> (МВт). </w:t>
      </w:r>
    </w:p>
    <w:p w:rsidR="0052701D" w:rsidRDefault="00D40929">
      <w:pPr>
        <w:spacing w:after="5" w:line="271" w:lineRule="auto"/>
        <w:ind w:left="9" w:right="64" w:firstLine="567"/>
        <w:jc w:val="both"/>
      </w:pPr>
      <w:r>
        <w:rPr>
          <w:rFonts w:ascii="Times New Roman" w:eastAsia="Times New Roman" w:hAnsi="Times New Roman" w:cs="Times New Roman"/>
          <w:sz w:val="28"/>
        </w:rPr>
        <w:t xml:space="preserve">G43 – величина мощности МВт желаемых сделок (которые можно заключить сделку несмотря на цену за единицу электроэнергии. </w:t>
      </w:r>
    </w:p>
    <w:p w:rsidR="0052701D" w:rsidRDefault="00D40929">
      <w:pPr>
        <w:spacing w:after="5" w:line="271" w:lineRule="auto"/>
        <w:ind w:left="9" w:right="64" w:firstLine="567"/>
        <w:jc w:val="both"/>
      </w:pPr>
      <w:r>
        <w:rPr>
          <w:rFonts w:ascii="Times New Roman" w:eastAsia="Times New Roman" w:hAnsi="Times New Roman" w:cs="Times New Roman"/>
          <w:sz w:val="28"/>
        </w:rPr>
        <w:t>G44 – средняя цена желаемых сделок. Это, как «реальные», так и невозможные по причине несоответствия цен потребителей и станци</w:t>
      </w:r>
      <w:r>
        <w:rPr>
          <w:rFonts w:ascii="Times New Roman" w:eastAsia="Times New Roman" w:hAnsi="Times New Roman" w:cs="Times New Roman"/>
          <w:sz w:val="28"/>
        </w:rPr>
        <w:t xml:space="preserve">й (когда цена станции выше, чем желаемая цена покупки потребителем). </w:t>
      </w:r>
    </w:p>
    <w:p w:rsidR="0052701D" w:rsidRDefault="00D40929">
      <w:pPr>
        <w:spacing w:after="5" w:line="271" w:lineRule="auto"/>
        <w:ind w:left="567" w:right="64"/>
        <w:jc w:val="both"/>
      </w:pPr>
      <w:r>
        <w:rPr>
          <w:rFonts w:ascii="Times New Roman" w:eastAsia="Times New Roman" w:hAnsi="Times New Roman" w:cs="Times New Roman"/>
          <w:b/>
          <w:sz w:val="28"/>
        </w:rPr>
        <w:t>Шаг 4</w:t>
      </w:r>
      <w:r>
        <w:rPr>
          <w:rFonts w:ascii="Times New Roman" w:eastAsia="Times New Roman" w:hAnsi="Times New Roman" w:cs="Times New Roman"/>
          <w:sz w:val="28"/>
        </w:rPr>
        <w:t xml:space="preserve"> – просмотреть график нажав на кнопку «Просмотр графика» </w:t>
      </w:r>
    </w:p>
    <w:p w:rsidR="0052701D" w:rsidRDefault="00D40929">
      <w:pPr>
        <w:spacing w:after="5" w:line="271" w:lineRule="auto"/>
        <w:ind w:left="567" w:right="64"/>
        <w:jc w:val="both"/>
      </w:pPr>
      <w:r>
        <w:rPr>
          <w:rFonts w:ascii="Times New Roman" w:eastAsia="Times New Roman" w:hAnsi="Times New Roman" w:cs="Times New Roman"/>
          <w:b/>
          <w:sz w:val="28"/>
        </w:rPr>
        <w:t>Шаг 5</w:t>
      </w:r>
      <w:r>
        <w:rPr>
          <w:rFonts w:ascii="Times New Roman" w:eastAsia="Times New Roman" w:hAnsi="Times New Roman" w:cs="Times New Roman"/>
          <w:sz w:val="28"/>
        </w:rPr>
        <w:t xml:space="preserve"> – после просмотра, следует вернутся на Лист 3 нажатием кнопки </w:t>
      </w:r>
    </w:p>
    <w:p w:rsidR="0052701D" w:rsidRDefault="00D40929">
      <w:pPr>
        <w:spacing w:after="5" w:line="271" w:lineRule="auto"/>
        <w:ind w:left="9" w:right="64"/>
        <w:jc w:val="both"/>
      </w:pPr>
      <w:r>
        <w:rPr>
          <w:rFonts w:ascii="Times New Roman" w:eastAsia="Times New Roman" w:hAnsi="Times New Roman" w:cs="Times New Roman"/>
          <w:sz w:val="28"/>
        </w:rPr>
        <w:t xml:space="preserve">«Возврат на Лист 3» </w:t>
      </w:r>
    </w:p>
    <w:p w:rsidR="0052701D" w:rsidRDefault="00D40929">
      <w:pPr>
        <w:spacing w:after="0"/>
        <w:ind w:left="711"/>
      </w:pPr>
      <w:r>
        <w:rPr>
          <w:rFonts w:ascii="Times New Roman" w:eastAsia="Times New Roman" w:hAnsi="Times New Roman" w:cs="Times New Roman"/>
          <w:sz w:val="28"/>
        </w:rPr>
        <w:t xml:space="preserve"> </w:t>
      </w:r>
    </w:p>
    <w:p w:rsidR="0052701D" w:rsidRDefault="00D40929">
      <w:pPr>
        <w:spacing w:after="0"/>
        <w:ind w:left="1574"/>
      </w:pPr>
      <w:r>
        <w:rPr>
          <w:noProof/>
        </w:rPr>
        <w:lastRenderedPageBreak/>
        <w:drawing>
          <wp:inline distT="0" distB="0" distL="0" distR="0">
            <wp:extent cx="3906012" cy="1776984"/>
            <wp:effectExtent l="0" t="0" r="0" b="0"/>
            <wp:docPr id="171727" name="Picture 171727"/>
            <wp:cNvGraphicFramePr/>
            <a:graphic xmlns:a="http://schemas.openxmlformats.org/drawingml/2006/main">
              <a:graphicData uri="http://schemas.openxmlformats.org/drawingml/2006/picture">
                <pic:pic xmlns:pic="http://schemas.openxmlformats.org/drawingml/2006/picture">
                  <pic:nvPicPr>
                    <pic:cNvPr id="171727" name="Picture 171727"/>
                    <pic:cNvPicPr/>
                  </pic:nvPicPr>
                  <pic:blipFill>
                    <a:blip r:embed="rId828"/>
                    <a:stretch>
                      <a:fillRect/>
                    </a:stretch>
                  </pic:blipFill>
                  <pic:spPr>
                    <a:xfrm>
                      <a:off x="0" y="0"/>
                      <a:ext cx="3906012" cy="1776984"/>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14" w:line="249" w:lineRule="auto"/>
        <w:ind w:left="10" w:hanging="10"/>
        <w:jc w:val="center"/>
      </w:pPr>
      <w:r>
        <w:rPr>
          <w:rFonts w:ascii="Times New Roman" w:eastAsia="Times New Roman" w:hAnsi="Times New Roman" w:cs="Times New Roman"/>
          <w:sz w:val="28"/>
        </w:rPr>
        <w:t xml:space="preserve">Рисунок 6 – </w:t>
      </w:r>
      <w:r>
        <w:rPr>
          <w:rFonts w:ascii="Times New Roman" w:eastAsia="Times New Roman" w:hAnsi="Times New Roman" w:cs="Times New Roman"/>
          <w:sz w:val="28"/>
        </w:rPr>
        <w:t xml:space="preserve">Иллюстрация графиков торгов и результаты полученных цен на электроэнергию. </w:t>
      </w:r>
    </w:p>
    <w:p w:rsidR="0052701D" w:rsidRDefault="00D40929">
      <w:pPr>
        <w:spacing w:after="37"/>
        <w:ind w:left="773"/>
        <w:jc w:val="center"/>
      </w:pPr>
      <w:r>
        <w:rPr>
          <w:rFonts w:ascii="Times New Roman" w:eastAsia="Times New Roman" w:hAnsi="Times New Roman" w:cs="Times New Roman"/>
          <w:sz w:val="28"/>
        </w:rPr>
        <w:t xml:space="preserve"> </w:t>
      </w:r>
    </w:p>
    <w:p w:rsidR="0052701D" w:rsidRDefault="00D40929">
      <w:pPr>
        <w:spacing w:after="32" w:line="251" w:lineRule="auto"/>
        <w:ind w:left="567" w:firstLine="9"/>
      </w:pPr>
      <w:r>
        <w:rPr>
          <w:rFonts w:ascii="Times New Roman" w:eastAsia="Times New Roman" w:hAnsi="Times New Roman" w:cs="Times New Roman"/>
          <w:b/>
          <w:sz w:val="28"/>
        </w:rPr>
        <w:t xml:space="preserve">Просмотр матрицы контрактов (по желанию) </w:t>
      </w:r>
    </w:p>
    <w:p w:rsidR="0052701D" w:rsidRDefault="00D40929">
      <w:pPr>
        <w:spacing w:after="5" w:line="271" w:lineRule="auto"/>
        <w:ind w:left="567" w:right="64"/>
        <w:jc w:val="both"/>
      </w:pPr>
      <w:r>
        <w:rPr>
          <w:rFonts w:ascii="Times New Roman" w:eastAsia="Times New Roman" w:hAnsi="Times New Roman" w:cs="Times New Roman"/>
          <w:sz w:val="28"/>
        </w:rPr>
        <w:t xml:space="preserve">Для этого перейдите на Лист6 </w:t>
      </w:r>
    </w:p>
    <w:p w:rsidR="0052701D" w:rsidRDefault="00D40929">
      <w:pPr>
        <w:spacing w:after="5" w:line="271" w:lineRule="auto"/>
        <w:ind w:left="567" w:right="64"/>
        <w:jc w:val="both"/>
      </w:pPr>
      <w:r>
        <w:rPr>
          <w:rFonts w:ascii="Times New Roman" w:eastAsia="Times New Roman" w:hAnsi="Times New Roman" w:cs="Times New Roman"/>
          <w:sz w:val="28"/>
        </w:rPr>
        <w:t xml:space="preserve">Для полного показа – щелкните «Показать промежуточные столбцы» </w:t>
      </w:r>
    </w:p>
    <w:p w:rsidR="0052701D" w:rsidRDefault="00D40929">
      <w:pPr>
        <w:spacing w:after="5" w:line="271" w:lineRule="auto"/>
        <w:ind w:left="567" w:right="64"/>
        <w:jc w:val="both"/>
      </w:pPr>
      <w:r>
        <w:rPr>
          <w:rFonts w:ascii="Times New Roman" w:eastAsia="Times New Roman" w:hAnsi="Times New Roman" w:cs="Times New Roman"/>
          <w:sz w:val="28"/>
        </w:rPr>
        <w:t>Для скрытия – «Скрыть промежуточные столбц</w:t>
      </w:r>
      <w:r>
        <w:rPr>
          <w:rFonts w:ascii="Times New Roman" w:eastAsia="Times New Roman" w:hAnsi="Times New Roman" w:cs="Times New Roman"/>
          <w:sz w:val="28"/>
        </w:rPr>
        <w:t xml:space="preserve">ы» </w:t>
      </w:r>
    </w:p>
    <w:p w:rsidR="0052701D" w:rsidRDefault="00D40929">
      <w:pPr>
        <w:spacing w:after="0"/>
        <w:ind w:left="711"/>
      </w:pPr>
      <w:r>
        <w:rPr>
          <w:rFonts w:ascii="Times New Roman" w:eastAsia="Times New Roman" w:hAnsi="Times New Roman" w:cs="Times New Roman"/>
          <w:sz w:val="28"/>
        </w:rPr>
        <w:t xml:space="preserve"> </w:t>
      </w:r>
    </w:p>
    <w:p w:rsidR="0052701D" w:rsidRDefault="00D40929">
      <w:pPr>
        <w:spacing w:after="0"/>
        <w:ind w:right="1239"/>
        <w:jc w:val="right"/>
      </w:pPr>
      <w:r>
        <w:rPr>
          <w:noProof/>
        </w:rPr>
        <w:drawing>
          <wp:inline distT="0" distB="0" distL="0" distR="0">
            <wp:extent cx="4279393" cy="1926336"/>
            <wp:effectExtent l="0" t="0" r="0" b="0"/>
            <wp:docPr id="171729" name="Picture 171729"/>
            <wp:cNvGraphicFramePr/>
            <a:graphic xmlns:a="http://schemas.openxmlformats.org/drawingml/2006/main">
              <a:graphicData uri="http://schemas.openxmlformats.org/drawingml/2006/picture">
                <pic:pic xmlns:pic="http://schemas.openxmlformats.org/drawingml/2006/picture">
                  <pic:nvPicPr>
                    <pic:cNvPr id="171729" name="Picture 171729"/>
                    <pic:cNvPicPr/>
                  </pic:nvPicPr>
                  <pic:blipFill>
                    <a:blip r:embed="rId829"/>
                    <a:stretch>
                      <a:fillRect/>
                    </a:stretch>
                  </pic:blipFill>
                  <pic:spPr>
                    <a:xfrm>
                      <a:off x="0" y="0"/>
                      <a:ext cx="4279393" cy="1926336"/>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14" w:line="249" w:lineRule="auto"/>
        <w:ind w:left="954" w:right="958" w:hanging="10"/>
        <w:jc w:val="center"/>
      </w:pPr>
      <w:r>
        <w:rPr>
          <w:rFonts w:ascii="Times New Roman" w:eastAsia="Times New Roman" w:hAnsi="Times New Roman" w:cs="Times New Roman"/>
          <w:sz w:val="28"/>
        </w:rPr>
        <w:t xml:space="preserve">Рисунок 7 – Лист6 со скрытыми промежуточными столбцами </w:t>
      </w:r>
    </w:p>
    <w:p w:rsidR="0052701D" w:rsidRDefault="00D40929">
      <w:pPr>
        <w:spacing w:after="0"/>
        <w:ind w:left="63"/>
        <w:jc w:val="center"/>
      </w:pPr>
      <w:r>
        <w:rPr>
          <w:rFonts w:ascii="Times New Roman" w:eastAsia="Times New Roman" w:hAnsi="Times New Roman" w:cs="Times New Roman"/>
          <w:sz w:val="28"/>
        </w:rPr>
        <w:t xml:space="preserve"> </w:t>
      </w:r>
    </w:p>
    <w:p w:rsidR="0052701D" w:rsidRDefault="00D40929">
      <w:pPr>
        <w:spacing w:after="0"/>
        <w:ind w:right="1215"/>
        <w:jc w:val="right"/>
      </w:pPr>
      <w:r>
        <w:rPr>
          <w:noProof/>
        </w:rPr>
        <w:drawing>
          <wp:inline distT="0" distB="0" distL="0" distR="0">
            <wp:extent cx="4312921" cy="2356104"/>
            <wp:effectExtent l="0" t="0" r="0" b="0"/>
            <wp:docPr id="171850" name="Picture 171850"/>
            <wp:cNvGraphicFramePr/>
            <a:graphic xmlns:a="http://schemas.openxmlformats.org/drawingml/2006/main">
              <a:graphicData uri="http://schemas.openxmlformats.org/drawingml/2006/picture">
                <pic:pic xmlns:pic="http://schemas.openxmlformats.org/drawingml/2006/picture">
                  <pic:nvPicPr>
                    <pic:cNvPr id="171850" name="Picture 171850"/>
                    <pic:cNvPicPr/>
                  </pic:nvPicPr>
                  <pic:blipFill>
                    <a:blip r:embed="rId830"/>
                    <a:stretch>
                      <a:fillRect/>
                    </a:stretch>
                  </pic:blipFill>
                  <pic:spPr>
                    <a:xfrm>
                      <a:off x="0" y="0"/>
                      <a:ext cx="4312921" cy="2356104"/>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14" w:line="249" w:lineRule="auto"/>
        <w:ind w:left="10" w:right="18" w:hanging="10"/>
        <w:jc w:val="center"/>
      </w:pPr>
      <w:r>
        <w:rPr>
          <w:rFonts w:ascii="Times New Roman" w:eastAsia="Times New Roman" w:hAnsi="Times New Roman" w:cs="Times New Roman"/>
          <w:sz w:val="28"/>
        </w:rPr>
        <w:t xml:space="preserve">Рисунок 8 – Лист6, результаты, полученные в промежуточных столбцах. </w:t>
      </w:r>
    </w:p>
    <w:p w:rsidR="0052701D" w:rsidRDefault="00D40929">
      <w:pPr>
        <w:spacing w:after="26"/>
        <w:ind w:left="711"/>
      </w:pPr>
      <w:r>
        <w:rPr>
          <w:rFonts w:ascii="Times New Roman" w:eastAsia="Times New Roman" w:hAnsi="Times New Roman" w:cs="Times New Roman"/>
          <w:sz w:val="28"/>
        </w:rPr>
        <w:t xml:space="preserve"> </w:t>
      </w:r>
    </w:p>
    <w:p w:rsidR="0052701D" w:rsidRDefault="00D40929">
      <w:pPr>
        <w:spacing w:after="5" w:line="271" w:lineRule="auto"/>
        <w:ind w:left="567" w:right="64"/>
        <w:jc w:val="both"/>
      </w:pPr>
      <w:r>
        <w:rPr>
          <w:rFonts w:ascii="Times New Roman" w:eastAsia="Times New Roman" w:hAnsi="Times New Roman" w:cs="Times New Roman"/>
          <w:sz w:val="28"/>
        </w:rPr>
        <w:t xml:space="preserve">По каждой станции представляются результаты в 6-и столбцах. </w:t>
      </w:r>
    </w:p>
    <w:p w:rsidR="0052701D" w:rsidRDefault="00D40929">
      <w:pPr>
        <w:spacing w:after="5" w:line="271" w:lineRule="auto"/>
        <w:ind w:left="9" w:right="64" w:firstLine="567"/>
        <w:jc w:val="both"/>
      </w:pPr>
      <w:r>
        <w:rPr>
          <w:rFonts w:ascii="Times New Roman" w:eastAsia="Times New Roman" w:hAnsi="Times New Roman" w:cs="Times New Roman"/>
          <w:sz w:val="28"/>
        </w:rPr>
        <w:t xml:space="preserve">Первый столбец Ржел, Ржелпотр – </w:t>
      </w:r>
      <w:r>
        <w:rPr>
          <w:rFonts w:ascii="Times New Roman" w:eastAsia="Times New Roman" w:hAnsi="Times New Roman" w:cs="Times New Roman"/>
          <w:sz w:val="28"/>
        </w:rPr>
        <w:t xml:space="preserve">мощность, которую хотел бы приобрести покупатель у этой станции </w:t>
      </w:r>
    </w:p>
    <w:p w:rsidR="0052701D" w:rsidRDefault="00D40929">
      <w:pPr>
        <w:spacing w:after="5" w:line="271" w:lineRule="auto"/>
        <w:ind w:left="567" w:right="64"/>
        <w:jc w:val="both"/>
      </w:pPr>
      <w:r>
        <w:rPr>
          <w:rFonts w:ascii="Times New Roman" w:eastAsia="Times New Roman" w:hAnsi="Times New Roman" w:cs="Times New Roman"/>
          <w:sz w:val="28"/>
        </w:rPr>
        <w:lastRenderedPageBreak/>
        <w:t xml:space="preserve">Сделка – купленная мощность без учета цен (желаемые сделки) </w:t>
      </w:r>
    </w:p>
    <w:p w:rsidR="0052701D" w:rsidRDefault="00D40929">
      <w:pPr>
        <w:spacing w:after="5" w:line="271" w:lineRule="auto"/>
        <w:ind w:left="9" w:right="64" w:firstLine="567"/>
        <w:jc w:val="both"/>
      </w:pPr>
      <w:r>
        <w:rPr>
          <w:rFonts w:ascii="Times New Roman" w:eastAsia="Times New Roman" w:hAnsi="Times New Roman" w:cs="Times New Roman"/>
          <w:sz w:val="28"/>
        </w:rPr>
        <w:t xml:space="preserve">Остаток станции – свободная мощность, которая остается после заключения сделки </w:t>
      </w:r>
    </w:p>
    <w:p w:rsidR="0052701D" w:rsidRDefault="00D40929">
      <w:pPr>
        <w:spacing w:after="5" w:line="271" w:lineRule="auto"/>
        <w:ind w:left="9" w:right="64" w:firstLine="567"/>
        <w:jc w:val="both"/>
      </w:pPr>
      <w:r>
        <w:rPr>
          <w:rFonts w:ascii="Times New Roman" w:eastAsia="Times New Roman" w:hAnsi="Times New Roman" w:cs="Times New Roman"/>
          <w:sz w:val="28"/>
        </w:rPr>
        <w:t xml:space="preserve">Сделка остановка – показывает, насколько возможно </w:t>
      </w:r>
      <w:r>
        <w:rPr>
          <w:rFonts w:ascii="Times New Roman" w:eastAsia="Times New Roman" w:hAnsi="Times New Roman" w:cs="Times New Roman"/>
          <w:sz w:val="28"/>
        </w:rPr>
        <w:t xml:space="preserve">заключение сделки с учетом цен (0 – сделки нет, 1 – есть) </w:t>
      </w:r>
    </w:p>
    <w:p w:rsidR="0052701D" w:rsidRDefault="00D40929">
      <w:pPr>
        <w:spacing w:after="5" w:line="271" w:lineRule="auto"/>
        <w:ind w:left="567" w:right="703"/>
        <w:jc w:val="both"/>
      </w:pPr>
      <w:r>
        <w:rPr>
          <w:rFonts w:ascii="Times New Roman" w:eastAsia="Times New Roman" w:hAnsi="Times New Roman" w:cs="Times New Roman"/>
          <w:sz w:val="28"/>
        </w:rPr>
        <w:t xml:space="preserve">Два столбца с ценами – дублируют цены для упрощения формул. В нижней части каждой станции написано: </w:t>
      </w:r>
    </w:p>
    <w:p w:rsidR="0052701D" w:rsidRDefault="00D40929">
      <w:pPr>
        <w:spacing w:after="5" w:line="271" w:lineRule="auto"/>
        <w:ind w:left="567" w:right="64"/>
        <w:jc w:val="both"/>
      </w:pPr>
      <w:r>
        <w:rPr>
          <w:rFonts w:ascii="Times New Roman" w:eastAsia="Times New Roman" w:hAnsi="Times New Roman" w:cs="Times New Roman"/>
          <w:sz w:val="28"/>
        </w:rPr>
        <w:t xml:space="preserve">Средняя – средняя цена желаемых сделок </w:t>
      </w:r>
    </w:p>
    <w:p w:rsidR="0052701D" w:rsidRDefault="00D40929">
      <w:pPr>
        <w:spacing w:after="5" w:line="271" w:lineRule="auto"/>
        <w:ind w:left="567" w:right="64"/>
        <w:jc w:val="both"/>
      </w:pPr>
      <w:r>
        <w:rPr>
          <w:rFonts w:ascii="Times New Roman" w:eastAsia="Times New Roman" w:hAnsi="Times New Roman" w:cs="Times New Roman"/>
          <w:sz w:val="28"/>
        </w:rPr>
        <w:t xml:space="preserve">Сделки желаем – объем активной мощности желаемых сделок </w:t>
      </w:r>
    </w:p>
    <w:p w:rsidR="0052701D" w:rsidRDefault="00D40929">
      <w:pPr>
        <w:spacing w:after="5" w:line="271" w:lineRule="auto"/>
        <w:ind w:left="567" w:right="64"/>
        <w:jc w:val="both"/>
      </w:pPr>
      <w:r>
        <w:rPr>
          <w:rFonts w:ascii="Times New Roman" w:eastAsia="Times New Roman" w:hAnsi="Times New Roman" w:cs="Times New Roman"/>
          <w:sz w:val="28"/>
        </w:rPr>
        <w:t xml:space="preserve">Средняя реал – средняя цена реальных сделок </w:t>
      </w:r>
    </w:p>
    <w:p w:rsidR="0052701D" w:rsidRDefault="00D40929">
      <w:pPr>
        <w:spacing w:after="5" w:line="271" w:lineRule="auto"/>
        <w:ind w:left="567" w:right="64"/>
        <w:jc w:val="both"/>
      </w:pPr>
      <w:r>
        <w:rPr>
          <w:rFonts w:ascii="Times New Roman" w:eastAsia="Times New Roman" w:hAnsi="Times New Roman" w:cs="Times New Roman"/>
          <w:sz w:val="28"/>
        </w:rPr>
        <w:t xml:space="preserve">Реализация сделки - объем активной мощности реальных сделок </w:t>
      </w:r>
      <w:r>
        <w:rPr>
          <w:rFonts w:ascii="Times New Roman" w:eastAsia="Times New Roman" w:hAnsi="Times New Roman" w:cs="Times New Roman"/>
          <w:b/>
          <w:sz w:val="28"/>
        </w:rPr>
        <w:t xml:space="preserve">Техническое описание основных принцпов работы модели </w:t>
      </w:r>
    </w:p>
    <w:p w:rsidR="0052701D" w:rsidRDefault="00D40929">
      <w:pPr>
        <w:spacing w:after="28"/>
        <w:ind w:left="567"/>
      </w:pPr>
      <w:r>
        <w:rPr>
          <w:rFonts w:ascii="Times New Roman" w:eastAsia="Times New Roman" w:hAnsi="Times New Roman" w:cs="Times New Roman"/>
          <w:sz w:val="28"/>
        </w:rPr>
        <w:t xml:space="preserve"> </w:t>
      </w:r>
    </w:p>
    <w:p w:rsidR="0052701D" w:rsidRDefault="00D40929">
      <w:pPr>
        <w:spacing w:after="5" w:line="271" w:lineRule="auto"/>
        <w:ind w:left="9" w:right="64" w:firstLine="567"/>
        <w:jc w:val="both"/>
      </w:pPr>
      <w:r>
        <w:rPr>
          <w:rFonts w:ascii="Times New Roman" w:eastAsia="Times New Roman" w:hAnsi="Times New Roman" w:cs="Times New Roman"/>
          <w:sz w:val="28"/>
        </w:rPr>
        <w:t xml:space="preserve">В данном техническом описании отражены основные принципы работы модели. </w:t>
      </w:r>
      <w:r>
        <w:rPr>
          <w:rFonts w:ascii="Times New Roman" w:eastAsia="Times New Roman" w:hAnsi="Times New Roman" w:cs="Times New Roman"/>
          <w:sz w:val="28"/>
        </w:rPr>
        <w:t xml:space="preserve">Модель реализована на MS Excel с применением макросов. </w:t>
      </w:r>
    </w:p>
    <w:p w:rsidR="0052701D" w:rsidRDefault="00D40929">
      <w:pPr>
        <w:spacing w:after="0"/>
        <w:ind w:left="711"/>
      </w:pPr>
      <w:r>
        <w:rPr>
          <w:rFonts w:ascii="Times New Roman" w:eastAsia="Times New Roman" w:hAnsi="Times New Roman" w:cs="Times New Roman"/>
          <w:sz w:val="28"/>
        </w:rPr>
        <w:t xml:space="preserve"> </w:t>
      </w:r>
    </w:p>
    <w:p w:rsidR="0052701D" w:rsidRDefault="00D40929">
      <w:pPr>
        <w:spacing w:after="0"/>
        <w:ind w:right="1297"/>
        <w:jc w:val="right"/>
      </w:pPr>
      <w:r>
        <w:rPr>
          <w:noProof/>
        </w:rPr>
        <w:drawing>
          <wp:inline distT="0" distB="0" distL="0" distR="0">
            <wp:extent cx="4206113" cy="2359152"/>
            <wp:effectExtent l="0" t="0" r="0" b="0"/>
            <wp:docPr id="171852" name="Picture 171852"/>
            <wp:cNvGraphicFramePr/>
            <a:graphic xmlns:a="http://schemas.openxmlformats.org/drawingml/2006/main">
              <a:graphicData uri="http://schemas.openxmlformats.org/drawingml/2006/picture">
                <pic:pic xmlns:pic="http://schemas.openxmlformats.org/drawingml/2006/picture">
                  <pic:nvPicPr>
                    <pic:cNvPr id="171852" name="Picture 171852"/>
                    <pic:cNvPicPr/>
                  </pic:nvPicPr>
                  <pic:blipFill>
                    <a:blip r:embed="rId831"/>
                    <a:stretch>
                      <a:fillRect/>
                    </a:stretch>
                  </pic:blipFill>
                  <pic:spPr>
                    <a:xfrm>
                      <a:off x="0" y="0"/>
                      <a:ext cx="4206113" cy="2359152"/>
                    </a:xfrm>
                    <a:prstGeom prst="rect">
                      <a:avLst/>
                    </a:prstGeom>
                  </pic:spPr>
                </pic:pic>
              </a:graphicData>
            </a:graphic>
          </wp:inline>
        </w:drawing>
      </w:r>
      <w:r>
        <w:rPr>
          <w:rFonts w:ascii="Times New Roman" w:eastAsia="Times New Roman" w:hAnsi="Times New Roman" w:cs="Times New Roman"/>
          <w:sz w:val="28"/>
        </w:rPr>
        <w:t xml:space="preserve"> </w:t>
      </w:r>
    </w:p>
    <w:p w:rsidR="0052701D" w:rsidRDefault="00D40929">
      <w:pPr>
        <w:spacing w:after="14" w:line="249" w:lineRule="auto"/>
        <w:ind w:left="954" w:right="951" w:hanging="10"/>
        <w:jc w:val="center"/>
      </w:pPr>
      <w:r>
        <w:rPr>
          <w:rFonts w:ascii="Times New Roman" w:eastAsia="Times New Roman" w:hAnsi="Times New Roman" w:cs="Times New Roman"/>
          <w:sz w:val="28"/>
        </w:rPr>
        <w:t xml:space="preserve">Рисунок 9 – Лист3 </w:t>
      </w:r>
    </w:p>
    <w:p w:rsidR="0052701D" w:rsidRDefault="00D40929">
      <w:pPr>
        <w:spacing w:after="0"/>
        <w:ind w:left="711"/>
      </w:pPr>
      <w:r>
        <w:rPr>
          <w:rFonts w:ascii="Times New Roman" w:eastAsia="Times New Roman" w:hAnsi="Times New Roman" w:cs="Times New Roman"/>
          <w:sz w:val="28"/>
        </w:rPr>
        <w:t xml:space="preserve"> </w:t>
      </w:r>
    </w:p>
    <w:p w:rsidR="0052701D" w:rsidRDefault="00D40929">
      <w:pPr>
        <w:spacing w:after="5" w:line="271" w:lineRule="auto"/>
        <w:ind w:left="9" w:right="64" w:firstLine="567"/>
        <w:jc w:val="both"/>
      </w:pPr>
      <w:r>
        <w:rPr>
          <w:rFonts w:ascii="Times New Roman" w:eastAsia="Times New Roman" w:hAnsi="Times New Roman" w:cs="Times New Roman"/>
          <w:sz w:val="28"/>
        </w:rPr>
        <w:t xml:space="preserve">Изначально, все данные забиваются в столбцах В3:Е15 по станциям и J2:O72 по потребителям. </w:t>
      </w:r>
    </w:p>
    <w:p w:rsidR="0052701D" w:rsidRDefault="00D40929">
      <w:pPr>
        <w:spacing w:after="5" w:line="271" w:lineRule="auto"/>
        <w:ind w:left="9" w:right="64" w:firstLine="567"/>
        <w:jc w:val="both"/>
      </w:pPr>
      <w:r>
        <w:rPr>
          <w:rFonts w:ascii="Times New Roman" w:eastAsia="Times New Roman" w:hAnsi="Times New Roman" w:cs="Times New Roman"/>
          <w:sz w:val="28"/>
        </w:rPr>
        <w:t>При нажатии кнопки «Возврат в исходное состояние» происходит расстановка данных ста</w:t>
      </w:r>
      <w:r>
        <w:rPr>
          <w:rFonts w:ascii="Times New Roman" w:eastAsia="Times New Roman" w:hAnsi="Times New Roman" w:cs="Times New Roman"/>
          <w:sz w:val="28"/>
        </w:rPr>
        <w:t xml:space="preserve">нций по алфавитному порядку, потребителей – по порядковым номерам. Это применяется для удобства занесения данных. При «ПУСКЕ СОРТИРОВКИ» происходит расстановка данных станций по следующему приоритету: </w:t>
      </w:r>
    </w:p>
    <w:p w:rsidR="0052701D" w:rsidRDefault="00D40929">
      <w:pPr>
        <w:spacing w:after="27"/>
      </w:pPr>
      <w:r>
        <w:rPr>
          <w:rFonts w:ascii="Times New Roman" w:eastAsia="Times New Roman" w:hAnsi="Times New Roman" w:cs="Times New Roman"/>
          <w:sz w:val="28"/>
        </w:rPr>
        <w:t xml:space="preserve"> </w:t>
      </w:r>
    </w:p>
    <w:p w:rsidR="0052701D" w:rsidRDefault="00D40929">
      <w:pPr>
        <w:spacing w:after="5" w:line="271" w:lineRule="auto"/>
        <w:ind w:left="9" w:right="64"/>
        <w:jc w:val="both"/>
      </w:pPr>
      <w:r>
        <w:rPr>
          <w:rFonts w:ascii="Times New Roman" w:eastAsia="Times New Roman" w:hAnsi="Times New Roman" w:cs="Times New Roman"/>
          <w:sz w:val="28"/>
        </w:rPr>
        <w:t xml:space="preserve">Таблица 2 – Приоритеты сортировки </w:t>
      </w:r>
    </w:p>
    <w:tbl>
      <w:tblPr>
        <w:tblStyle w:val="TableGrid"/>
        <w:tblW w:w="8509" w:type="dxa"/>
        <w:tblInd w:w="428" w:type="dxa"/>
        <w:tblCellMar>
          <w:top w:w="5" w:type="dxa"/>
          <w:left w:w="106" w:type="dxa"/>
          <w:bottom w:w="0" w:type="dxa"/>
          <w:right w:w="115" w:type="dxa"/>
        </w:tblCellMar>
        <w:tblLook w:val="04A0" w:firstRow="1" w:lastRow="0" w:firstColumn="1" w:lastColumn="0" w:noHBand="0" w:noVBand="1"/>
      </w:tblPr>
      <w:tblGrid>
        <w:gridCol w:w="5042"/>
        <w:gridCol w:w="3467"/>
      </w:tblGrid>
      <w:tr w:rsidR="0052701D">
        <w:trPr>
          <w:trHeight w:val="298"/>
        </w:trPr>
        <w:tc>
          <w:tcPr>
            <w:tcW w:w="5042"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Приоритет станций</w:t>
            </w:r>
            <w:r>
              <w:rPr>
                <w:rFonts w:ascii="Times New Roman" w:eastAsia="Times New Roman" w:hAnsi="Times New Roman" w:cs="Times New Roman"/>
              </w:rPr>
              <w:t xml:space="preserve"> </w:t>
            </w:r>
          </w:p>
        </w:tc>
        <w:tc>
          <w:tcPr>
            <w:tcW w:w="346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rPr>
              <w:t xml:space="preserve"> </w:t>
            </w:r>
          </w:p>
        </w:tc>
      </w:tr>
      <w:tr w:rsidR="0052701D">
        <w:trPr>
          <w:trHeight w:val="298"/>
        </w:trPr>
        <w:tc>
          <w:tcPr>
            <w:tcW w:w="5042"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1. Цена </w:t>
            </w:r>
          </w:p>
        </w:tc>
        <w:tc>
          <w:tcPr>
            <w:tcW w:w="346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rPr>
              <w:t xml:space="preserve">По возрастанию </w:t>
            </w:r>
          </w:p>
        </w:tc>
      </w:tr>
      <w:tr w:rsidR="0052701D">
        <w:trPr>
          <w:trHeight w:val="298"/>
        </w:trPr>
        <w:tc>
          <w:tcPr>
            <w:tcW w:w="5042"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2. Объем мощности </w:t>
            </w:r>
          </w:p>
        </w:tc>
        <w:tc>
          <w:tcPr>
            <w:tcW w:w="346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rPr>
              <w:t xml:space="preserve">По убыванию </w:t>
            </w:r>
          </w:p>
        </w:tc>
      </w:tr>
      <w:tr w:rsidR="0052701D">
        <w:trPr>
          <w:trHeight w:val="298"/>
        </w:trPr>
        <w:tc>
          <w:tcPr>
            <w:tcW w:w="5042"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3. Экологичность </w:t>
            </w:r>
          </w:p>
        </w:tc>
        <w:tc>
          <w:tcPr>
            <w:tcW w:w="346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rPr>
              <w:t xml:space="preserve">По возрастанию </w:t>
            </w:r>
          </w:p>
        </w:tc>
      </w:tr>
      <w:tr w:rsidR="0052701D">
        <w:trPr>
          <w:trHeight w:val="298"/>
        </w:trPr>
        <w:tc>
          <w:tcPr>
            <w:tcW w:w="5042"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lastRenderedPageBreak/>
              <w:t xml:space="preserve">Приоритет потребителей </w:t>
            </w:r>
          </w:p>
        </w:tc>
        <w:tc>
          <w:tcPr>
            <w:tcW w:w="346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rPr>
              <w:t xml:space="preserve"> </w:t>
            </w:r>
          </w:p>
        </w:tc>
      </w:tr>
      <w:tr w:rsidR="0052701D">
        <w:trPr>
          <w:trHeight w:val="298"/>
        </w:trPr>
        <w:tc>
          <w:tcPr>
            <w:tcW w:w="5042"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1. Цена </w:t>
            </w:r>
          </w:p>
        </w:tc>
        <w:tc>
          <w:tcPr>
            <w:tcW w:w="346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rPr>
              <w:t xml:space="preserve">По убыванию </w:t>
            </w:r>
          </w:p>
        </w:tc>
      </w:tr>
      <w:tr w:rsidR="0052701D">
        <w:trPr>
          <w:trHeight w:val="302"/>
        </w:trPr>
        <w:tc>
          <w:tcPr>
            <w:tcW w:w="5042"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2. Объем мощности </w:t>
            </w:r>
          </w:p>
        </w:tc>
        <w:tc>
          <w:tcPr>
            <w:tcW w:w="346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rPr>
              <w:t xml:space="preserve">По убыванию </w:t>
            </w:r>
          </w:p>
        </w:tc>
      </w:tr>
      <w:tr w:rsidR="0052701D">
        <w:trPr>
          <w:trHeight w:val="298"/>
        </w:trPr>
        <w:tc>
          <w:tcPr>
            <w:tcW w:w="5042"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3. Категорийность </w:t>
            </w:r>
          </w:p>
        </w:tc>
        <w:tc>
          <w:tcPr>
            <w:tcW w:w="346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rPr>
              <w:t xml:space="preserve">По возрастанию </w:t>
            </w:r>
          </w:p>
        </w:tc>
      </w:tr>
    </w:tbl>
    <w:p w:rsidR="0052701D" w:rsidRDefault="00D40929">
      <w:pPr>
        <w:spacing w:after="31"/>
        <w:ind w:left="706"/>
      </w:pPr>
      <w:r>
        <w:rPr>
          <w:rFonts w:ascii="Times New Roman" w:eastAsia="Times New Roman" w:hAnsi="Times New Roman" w:cs="Times New Roman"/>
        </w:rPr>
        <w:t xml:space="preserve"> </w:t>
      </w:r>
    </w:p>
    <w:p w:rsidR="0052701D" w:rsidRDefault="00D40929">
      <w:pPr>
        <w:spacing w:after="5" w:line="271" w:lineRule="auto"/>
        <w:ind w:left="9" w:right="64" w:firstLine="567"/>
        <w:jc w:val="both"/>
      </w:pPr>
      <w:r>
        <w:rPr>
          <w:rFonts w:ascii="Times New Roman" w:eastAsia="Times New Roman" w:hAnsi="Times New Roman" w:cs="Times New Roman"/>
          <w:sz w:val="28"/>
        </w:rPr>
        <w:t>Приоритет имеют станции с низкими ценами. При равенстве цен, приоритет имеют станции предложившие большее значение активной мощности. При равенстве цен и мощности учитывается экологичность станций. Аналогично и с потребителями. Экологичность станций принят</w:t>
      </w:r>
      <w:r>
        <w:rPr>
          <w:rFonts w:ascii="Times New Roman" w:eastAsia="Times New Roman" w:hAnsi="Times New Roman" w:cs="Times New Roman"/>
          <w:sz w:val="28"/>
        </w:rPr>
        <w:t xml:space="preserve">а в следующем порядке: </w:t>
      </w:r>
    </w:p>
    <w:p w:rsidR="0052701D" w:rsidRDefault="00D40929">
      <w:pPr>
        <w:spacing w:after="26"/>
      </w:pPr>
      <w:r>
        <w:rPr>
          <w:rFonts w:ascii="Times New Roman" w:eastAsia="Times New Roman" w:hAnsi="Times New Roman" w:cs="Times New Roman"/>
          <w:sz w:val="28"/>
        </w:rPr>
        <w:t xml:space="preserve"> </w:t>
      </w:r>
    </w:p>
    <w:p w:rsidR="0052701D" w:rsidRDefault="00D40929">
      <w:pPr>
        <w:spacing w:after="5" w:line="271" w:lineRule="auto"/>
        <w:ind w:left="567" w:right="64"/>
        <w:jc w:val="both"/>
      </w:pPr>
      <w:r>
        <w:rPr>
          <w:rFonts w:ascii="Times New Roman" w:eastAsia="Times New Roman" w:hAnsi="Times New Roman" w:cs="Times New Roman"/>
          <w:sz w:val="28"/>
        </w:rPr>
        <w:t xml:space="preserve">Таблица 3 – Уровни экологичности </w:t>
      </w:r>
    </w:p>
    <w:tbl>
      <w:tblPr>
        <w:tblStyle w:val="TableGrid"/>
        <w:tblW w:w="6310" w:type="dxa"/>
        <w:tblInd w:w="1527" w:type="dxa"/>
        <w:tblCellMar>
          <w:top w:w="62" w:type="dxa"/>
          <w:left w:w="106" w:type="dxa"/>
          <w:bottom w:w="0" w:type="dxa"/>
          <w:right w:w="115" w:type="dxa"/>
        </w:tblCellMar>
        <w:tblLook w:val="04A0" w:firstRow="1" w:lastRow="0" w:firstColumn="1" w:lastColumn="0" w:noHBand="0" w:noVBand="1"/>
      </w:tblPr>
      <w:tblGrid>
        <w:gridCol w:w="6310"/>
      </w:tblGrid>
      <w:tr w:rsidR="0052701D">
        <w:trPr>
          <w:trHeight w:val="298"/>
        </w:trPr>
        <w:tc>
          <w:tcPr>
            <w:tcW w:w="6310"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Уровни экологичности </w:t>
            </w:r>
          </w:p>
        </w:tc>
      </w:tr>
      <w:tr w:rsidR="0052701D">
        <w:trPr>
          <w:trHeight w:val="298"/>
        </w:trPr>
        <w:tc>
          <w:tcPr>
            <w:tcW w:w="6310"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1 - СЭС, ВЭС </w:t>
            </w:r>
          </w:p>
        </w:tc>
      </w:tr>
      <w:tr w:rsidR="0052701D">
        <w:trPr>
          <w:trHeight w:val="298"/>
        </w:trPr>
        <w:tc>
          <w:tcPr>
            <w:tcW w:w="6310"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2 - ГЭС </w:t>
            </w:r>
          </w:p>
        </w:tc>
      </w:tr>
      <w:tr w:rsidR="0052701D">
        <w:trPr>
          <w:trHeight w:val="298"/>
        </w:trPr>
        <w:tc>
          <w:tcPr>
            <w:tcW w:w="6310"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3 - АЭС </w:t>
            </w:r>
          </w:p>
        </w:tc>
      </w:tr>
      <w:tr w:rsidR="0052701D">
        <w:trPr>
          <w:trHeight w:val="298"/>
        </w:trPr>
        <w:tc>
          <w:tcPr>
            <w:tcW w:w="6310"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4 - газовые станции </w:t>
            </w:r>
          </w:p>
        </w:tc>
      </w:tr>
      <w:tr w:rsidR="0052701D">
        <w:trPr>
          <w:trHeight w:val="298"/>
        </w:trPr>
        <w:tc>
          <w:tcPr>
            <w:tcW w:w="6310"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5 - угольные станции </w:t>
            </w:r>
          </w:p>
        </w:tc>
      </w:tr>
      <w:tr w:rsidR="0052701D">
        <w:trPr>
          <w:trHeight w:val="302"/>
        </w:trPr>
        <w:tc>
          <w:tcPr>
            <w:tcW w:w="6310"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6 - мазутные станции </w:t>
            </w:r>
          </w:p>
        </w:tc>
      </w:tr>
    </w:tbl>
    <w:p w:rsidR="0052701D" w:rsidRDefault="00D40929">
      <w:pPr>
        <w:spacing w:after="31"/>
      </w:pPr>
      <w:r>
        <w:rPr>
          <w:rFonts w:ascii="Times New Roman" w:eastAsia="Times New Roman" w:hAnsi="Times New Roman" w:cs="Times New Roman"/>
        </w:rPr>
        <w:t xml:space="preserve"> </w:t>
      </w:r>
    </w:p>
    <w:p w:rsidR="0052701D" w:rsidRDefault="00D40929">
      <w:pPr>
        <w:spacing w:after="5" w:line="271" w:lineRule="auto"/>
        <w:ind w:left="9" w:right="64" w:firstLine="567"/>
        <w:jc w:val="both"/>
      </w:pPr>
      <w:r>
        <w:rPr>
          <w:rFonts w:ascii="Times New Roman" w:eastAsia="Times New Roman" w:hAnsi="Times New Roman" w:cs="Times New Roman"/>
          <w:sz w:val="28"/>
        </w:rPr>
        <w:t>Такие критерии, как экологичность станций и категорийность потребителей можно менять. Менять текст. Если учет этих параметров не требуется, можно всем станциям и потребителям установить цифру «1». Для этого необходимо перейти в сервисный режим – снять защи</w:t>
      </w:r>
      <w:r>
        <w:rPr>
          <w:rFonts w:ascii="Times New Roman" w:eastAsia="Times New Roman" w:hAnsi="Times New Roman" w:cs="Times New Roman"/>
          <w:sz w:val="28"/>
        </w:rPr>
        <w:t xml:space="preserve">ту листа на вкладке «Рецензирование». </w:t>
      </w:r>
    </w:p>
    <w:p w:rsidR="0052701D" w:rsidRDefault="00D40929">
      <w:pPr>
        <w:spacing w:after="5" w:line="271" w:lineRule="auto"/>
        <w:ind w:left="9" w:right="64" w:firstLine="567"/>
        <w:jc w:val="both"/>
      </w:pPr>
      <w:r>
        <w:rPr>
          <w:rFonts w:ascii="Times New Roman" w:eastAsia="Times New Roman" w:hAnsi="Times New Roman" w:cs="Times New Roman"/>
          <w:sz w:val="28"/>
        </w:rPr>
        <w:t xml:space="preserve">Данные поступают на Лист4, который используется для построения графика. Для построения графика нужно 2 точки каждому субъекту рынка, данные подвергаются обработке. </w:t>
      </w:r>
    </w:p>
    <w:p w:rsidR="0052701D" w:rsidRDefault="00D40929">
      <w:pPr>
        <w:spacing w:after="5" w:line="271" w:lineRule="auto"/>
        <w:ind w:left="9" w:right="64" w:firstLine="567"/>
        <w:jc w:val="both"/>
      </w:pPr>
      <w:r>
        <w:rPr>
          <w:rFonts w:ascii="Times New Roman" w:eastAsia="Times New Roman" w:hAnsi="Times New Roman" w:cs="Times New Roman"/>
          <w:sz w:val="28"/>
        </w:rPr>
        <w:t xml:space="preserve">По станциям, данный лист сделан для 70 станций (для </w:t>
      </w:r>
      <w:r>
        <w:rPr>
          <w:rFonts w:ascii="Times New Roman" w:eastAsia="Times New Roman" w:hAnsi="Times New Roman" w:cs="Times New Roman"/>
          <w:sz w:val="28"/>
        </w:rPr>
        <w:t xml:space="preserve">возможного будущего расширения модели). </w:t>
      </w:r>
    </w:p>
    <w:p w:rsidR="0052701D" w:rsidRDefault="00D40929">
      <w:pPr>
        <w:spacing w:after="5" w:line="271" w:lineRule="auto"/>
        <w:ind w:left="9" w:right="64" w:firstLine="567"/>
        <w:jc w:val="both"/>
      </w:pPr>
      <w:r>
        <w:rPr>
          <w:rFonts w:ascii="Times New Roman" w:eastAsia="Times New Roman" w:hAnsi="Times New Roman" w:cs="Times New Roman"/>
          <w:sz w:val="28"/>
        </w:rPr>
        <w:t xml:space="preserve">В модели использованы только 12 станций. Их количество ограничено Листом 6. Каждая станция прописывается вручную. </w:t>
      </w:r>
    </w:p>
    <w:p w:rsidR="0052701D" w:rsidRDefault="00D40929">
      <w:pPr>
        <w:spacing w:after="2"/>
        <w:ind w:left="1502"/>
      </w:pPr>
      <w:r>
        <w:rPr>
          <w:noProof/>
        </w:rPr>
        <w:lastRenderedPageBreak/>
        <w:drawing>
          <wp:inline distT="0" distB="0" distL="0" distR="0">
            <wp:extent cx="4053840" cy="2538984"/>
            <wp:effectExtent l="0" t="0" r="0" b="0"/>
            <wp:docPr id="172226" name="Picture 172226"/>
            <wp:cNvGraphicFramePr/>
            <a:graphic xmlns:a="http://schemas.openxmlformats.org/drawingml/2006/main">
              <a:graphicData uri="http://schemas.openxmlformats.org/drawingml/2006/picture">
                <pic:pic xmlns:pic="http://schemas.openxmlformats.org/drawingml/2006/picture">
                  <pic:nvPicPr>
                    <pic:cNvPr id="172226" name="Picture 172226"/>
                    <pic:cNvPicPr/>
                  </pic:nvPicPr>
                  <pic:blipFill>
                    <a:blip r:embed="rId832"/>
                    <a:stretch>
                      <a:fillRect/>
                    </a:stretch>
                  </pic:blipFill>
                  <pic:spPr>
                    <a:xfrm>
                      <a:off x="0" y="0"/>
                      <a:ext cx="4053840" cy="2538984"/>
                    </a:xfrm>
                    <a:prstGeom prst="rect">
                      <a:avLst/>
                    </a:prstGeom>
                  </pic:spPr>
                </pic:pic>
              </a:graphicData>
            </a:graphic>
          </wp:inline>
        </w:drawing>
      </w:r>
    </w:p>
    <w:p w:rsidR="0052701D" w:rsidRDefault="00D40929">
      <w:pPr>
        <w:spacing w:after="89"/>
        <w:ind w:left="759"/>
        <w:jc w:val="center"/>
      </w:pPr>
      <w:r>
        <w:rPr>
          <w:rFonts w:ascii="Times New Roman" w:eastAsia="Times New Roman" w:hAnsi="Times New Roman" w:cs="Times New Roman"/>
        </w:rPr>
        <w:t xml:space="preserve"> </w:t>
      </w:r>
    </w:p>
    <w:p w:rsidR="0052701D" w:rsidRDefault="00D40929">
      <w:pPr>
        <w:spacing w:after="14" w:line="249" w:lineRule="auto"/>
        <w:ind w:left="954" w:right="246" w:hanging="10"/>
        <w:jc w:val="center"/>
      </w:pPr>
      <w:r>
        <w:rPr>
          <w:rFonts w:ascii="Times New Roman" w:eastAsia="Times New Roman" w:hAnsi="Times New Roman" w:cs="Times New Roman"/>
          <w:sz w:val="28"/>
        </w:rPr>
        <w:t xml:space="preserve">Рисунок 10 –Лист 4 </w:t>
      </w:r>
    </w:p>
    <w:p w:rsidR="0052701D" w:rsidRDefault="00D40929">
      <w:pPr>
        <w:spacing w:after="0"/>
        <w:ind w:left="706"/>
      </w:pPr>
      <w:r>
        <w:rPr>
          <w:rFonts w:ascii="Times New Roman" w:eastAsia="Times New Roman" w:hAnsi="Times New Roman" w:cs="Times New Roman"/>
        </w:rPr>
        <w:t xml:space="preserve"> </w:t>
      </w:r>
    </w:p>
    <w:p w:rsidR="0052701D" w:rsidRDefault="00D40929">
      <w:pPr>
        <w:spacing w:after="29"/>
        <w:ind w:right="1206"/>
        <w:jc w:val="right"/>
      </w:pPr>
      <w:r>
        <w:rPr>
          <w:noProof/>
        </w:rPr>
        <w:drawing>
          <wp:inline distT="0" distB="0" distL="0" distR="0">
            <wp:extent cx="4340352" cy="2606040"/>
            <wp:effectExtent l="0" t="0" r="0" b="0"/>
            <wp:docPr id="172224" name="Picture 172224"/>
            <wp:cNvGraphicFramePr/>
            <a:graphic xmlns:a="http://schemas.openxmlformats.org/drawingml/2006/main">
              <a:graphicData uri="http://schemas.openxmlformats.org/drawingml/2006/picture">
                <pic:pic xmlns:pic="http://schemas.openxmlformats.org/drawingml/2006/picture">
                  <pic:nvPicPr>
                    <pic:cNvPr id="172224" name="Picture 172224"/>
                    <pic:cNvPicPr/>
                  </pic:nvPicPr>
                  <pic:blipFill>
                    <a:blip r:embed="rId833"/>
                    <a:stretch>
                      <a:fillRect/>
                    </a:stretch>
                  </pic:blipFill>
                  <pic:spPr>
                    <a:xfrm>
                      <a:off x="0" y="0"/>
                      <a:ext cx="4340352" cy="2606040"/>
                    </a:xfrm>
                    <a:prstGeom prst="rect">
                      <a:avLst/>
                    </a:prstGeom>
                  </pic:spPr>
                </pic:pic>
              </a:graphicData>
            </a:graphic>
          </wp:inline>
        </w:drawing>
      </w:r>
      <w:r>
        <w:rPr>
          <w:rFonts w:ascii="Times New Roman" w:eastAsia="Times New Roman" w:hAnsi="Times New Roman" w:cs="Times New Roman"/>
        </w:rPr>
        <w:t xml:space="preserve"> </w:t>
      </w:r>
    </w:p>
    <w:p w:rsidR="0052701D" w:rsidRDefault="00D40929">
      <w:pPr>
        <w:spacing w:after="14" w:line="249" w:lineRule="auto"/>
        <w:ind w:left="954" w:right="951" w:hanging="10"/>
        <w:jc w:val="center"/>
      </w:pPr>
      <w:r>
        <w:rPr>
          <w:rFonts w:ascii="Times New Roman" w:eastAsia="Times New Roman" w:hAnsi="Times New Roman" w:cs="Times New Roman"/>
          <w:sz w:val="28"/>
        </w:rPr>
        <w:t xml:space="preserve">Рисунок 11 – Лист 6 </w:t>
      </w:r>
    </w:p>
    <w:p w:rsidR="0052701D" w:rsidRDefault="00D40929">
      <w:pPr>
        <w:spacing w:after="0"/>
        <w:ind w:left="773"/>
        <w:jc w:val="center"/>
      </w:pPr>
      <w:r>
        <w:rPr>
          <w:rFonts w:ascii="Times New Roman" w:eastAsia="Times New Roman" w:hAnsi="Times New Roman" w:cs="Times New Roman"/>
          <w:sz w:val="28"/>
        </w:rPr>
        <w:t xml:space="preserve"> </w:t>
      </w:r>
    </w:p>
    <w:p w:rsidR="0052701D" w:rsidRDefault="00D40929">
      <w:pPr>
        <w:spacing w:after="5" w:line="271" w:lineRule="auto"/>
        <w:ind w:left="9" w:right="64" w:firstLine="567"/>
        <w:jc w:val="both"/>
      </w:pPr>
      <w:r>
        <w:rPr>
          <w:rFonts w:ascii="Times New Roman" w:eastAsia="Times New Roman" w:hAnsi="Times New Roman" w:cs="Times New Roman"/>
          <w:sz w:val="28"/>
        </w:rPr>
        <w:t xml:space="preserve">Параллельно вышестоящему процессу, данные поступают на Лист6, где создается матрица сделок. </w:t>
      </w:r>
    </w:p>
    <w:p w:rsidR="0052701D" w:rsidRDefault="00D40929">
      <w:pPr>
        <w:spacing w:after="5" w:line="271" w:lineRule="auto"/>
        <w:ind w:left="567" w:right="64"/>
        <w:jc w:val="both"/>
      </w:pPr>
      <w:r>
        <w:rPr>
          <w:rFonts w:ascii="Times New Roman" w:eastAsia="Times New Roman" w:hAnsi="Times New Roman" w:cs="Times New Roman"/>
          <w:sz w:val="28"/>
        </w:rPr>
        <w:t xml:space="preserve">В строках 2-5 находятся данные станций, взятые с Листа3. </w:t>
      </w:r>
    </w:p>
    <w:p w:rsidR="0052701D" w:rsidRDefault="00D40929">
      <w:pPr>
        <w:spacing w:after="5" w:line="271" w:lineRule="auto"/>
        <w:ind w:left="9" w:right="64" w:firstLine="567"/>
        <w:jc w:val="both"/>
      </w:pPr>
      <w:r>
        <w:rPr>
          <w:rFonts w:ascii="Times New Roman" w:eastAsia="Times New Roman" w:hAnsi="Times New Roman" w:cs="Times New Roman"/>
          <w:sz w:val="28"/>
        </w:rPr>
        <w:t xml:space="preserve">В столбцах С,D,E,F находится информация по потребителям, взятая с Листа3. </w:t>
      </w:r>
    </w:p>
    <w:p w:rsidR="0052701D" w:rsidRDefault="00D40929">
      <w:pPr>
        <w:spacing w:after="5" w:line="271" w:lineRule="auto"/>
        <w:ind w:left="9" w:right="64" w:firstLine="567"/>
        <w:jc w:val="both"/>
      </w:pPr>
      <w:r>
        <w:rPr>
          <w:rFonts w:ascii="Times New Roman" w:eastAsia="Times New Roman" w:hAnsi="Times New Roman" w:cs="Times New Roman"/>
          <w:sz w:val="28"/>
        </w:rPr>
        <w:t>Расчеты в матрице происходят к</w:t>
      </w:r>
      <w:r>
        <w:rPr>
          <w:rFonts w:ascii="Times New Roman" w:eastAsia="Times New Roman" w:hAnsi="Times New Roman" w:cs="Times New Roman"/>
          <w:sz w:val="28"/>
        </w:rPr>
        <w:t xml:space="preserve">ак горизонтально (для потребителей), так и вертикально (для станций). </w:t>
      </w:r>
    </w:p>
    <w:p w:rsidR="0052701D" w:rsidRDefault="00D40929">
      <w:pPr>
        <w:spacing w:after="5" w:line="271" w:lineRule="auto"/>
        <w:ind w:left="9" w:right="64" w:firstLine="567"/>
        <w:jc w:val="both"/>
      </w:pPr>
      <w:r>
        <w:rPr>
          <w:rFonts w:ascii="Times New Roman" w:eastAsia="Times New Roman" w:hAnsi="Times New Roman" w:cs="Times New Roman"/>
          <w:sz w:val="28"/>
        </w:rPr>
        <w:t>При горизонтальных расчетах от предлагаемой мощности станции вычитается Р мощность желательная потребителям (столбцы F). Активная мощность сделки записывается в столбец G. Если при этом</w:t>
      </w:r>
      <w:r>
        <w:rPr>
          <w:rFonts w:ascii="Times New Roman" w:eastAsia="Times New Roman" w:hAnsi="Times New Roman" w:cs="Times New Roman"/>
          <w:sz w:val="28"/>
        </w:rPr>
        <w:t xml:space="preserve"> потребитель удовлетворен, и у станции есть остаток мощности, то он заносится в столбец H. </w:t>
      </w:r>
    </w:p>
    <w:p w:rsidR="0052701D" w:rsidRDefault="00D40929">
      <w:pPr>
        <w:spacing w:after="5" w:line="271" w:lineRule="auto"/>
        <w:ind w:left="9" w:right="64" w:firstLine="567"/>
        <w:jc w:val="both"/>
      </w:pPr>
      <w:r>
        <w:rPr>
          <w:rFonts w:ascii="Times New Roman" w:eastAsia="Times New Roman" w:hAnsi="Times New Roman" w:cs="Times New Roman"/>
          <w:sz w:val="28"/>
        </w:rPr>
        <w:lastRenderedPageBreak/>
        <w:t>Если спрос не удовлетворён, то мощность, которой не хватает потребителю, переносится на запрос следующей станции (в столбец L). Итак процесс продолжается до тех пор</w:t>
      </w:r>
      <w:r>
        <w:rPr>
          <w:rFonts w:ascii="Times New Roman" w:eastAsia="Times New Roman" w:hAnsi="Times New Roman" w:cs="Times New Roman"/>
          <w:sz w:val="28"/>
        </w:rPr>
        <w:t xml:space="preserve">, пока потребитель полностью не закроет свои потребности. </w:t>
      </w:r>
    </w:p>
    <w:p w:rsidR="0052701D" w:rsidRDefault="00D40929">
      <w:pPr>
        <w:spacing w:after="5" w:line="271" w:lineRule="auto"/>
        <w:ind w:left="9" w:right="64" w:firstLine="567"/>
        <w:jc w:val="both"/>
      </w:pPr>
      <w:r>
        <w:rPr>
          <w:rFonts w:ascii="Times New Roman" w:eastAsia="Times New Roman" w:hAnsi="Times New Roman" w:cs="Times New Roman"/>
          <w:sz w:val="28"/>
        </w:rPr>
        <w:t xml:space="preserve">В случаях, когда у станций есть остаток, он участвует в сделках последующих строк. И так мощнсть переносится до тех пор, пока не будет исчерпан ресурс. </w:t>
      </w:r>
    </w:p>
    <w:p w:rsidR="0052701D" w:rsidRDefault="00D40929">
      <w:pPr>
        <w:spacing w:after="5" w:line="271" w:lineRule="auto"/>
        <w:ind w:left="9" w:right="64" w:firstLine="567"/>
        <w:jc w:val="both"/>
      </w:pPr>
      <w:r>
        <w:rPr>
          <w:rFonts w:ascii="Times New Roman" w:eastAsia="Times New Roman" w:hAnsi="Times New Roman" w:cs="Times New Roman"/>
          <w:sz w:val="28"/>
        </w:rPr>
        <w:t>Столбцы J и К предназначены для упрощения ра</w:t>
      </w:r>
      <w:r>
        <w:rPr>
          <w:rFonts w:ascii="Times New Roman" w:eastAsia="Times New Roman" w:hAnsi="Times New Roman" w:cs="Times New Roman"/>
          <w:sz w:val="28"/>
        </w:rPr>
        <w:t xml:space="preserve">счетов. На основании их рассчитываются данные столбца I. В случаях, когда цена продажи превышает желаемую цену покупки, или, когда у соответствующей сделки P=0 МВт, данный параметр становится равным «0». Он является показателем реальных сделок. </w:t>
      </w:r>
    </w:p>
    <w:p w:rsidR="0052701D" w:rsidRDefault="00D40929">
      <w:pPr>
        <w:spacing w:after="27"/>
      </w:pPr>
      <w:r>
        <w:rPr>
          <w:rFonts w:ascii="Times New Roman" w:eastAsia="Times New Roman" w:hAnsi="Times New Roman" w:cs="Times New Roman"/>
          <w:sz w:val="28"/>
        </w:rPr>
        <w:t xml:space="preserve"> </w:t>
      </w:r>
    </w:p>
    <w:p w:rsidR="0052701D" w:rsidRDefault="00D40929">
      <w:pPr>
        <w:spacing w:after="5" w:line="271" w:lineRule="auto"/>
        <w:ind w:left="567" w:right="64"/>
        <w:jc w:val="both"/>
      </w:pPr>
      <w:r>
        <w:rPr>
          <w:rFonts w:ascii="Times New Roman" w:eastAsia="Times New Roman" w:hAnsi="Times New Roman" w:cs="Times New Roman"/>
          <w:sz w:val="28"/>
        </w:rPr>
        <w:t xml:space="preserve">Таблица </w:t>
      </w:r>
      <w:r>
        <w:rPr>
          <w:rFonts w:ascii="Times New Roman" w:eastAsia="Times New Roman" w:hAnsi="Times New Roman" w:cs="Times New Roman"/>
          <w:sz w:val="28"/>
        </w:rPr>
        <w:t xml:space="preserve">4 – Запись в нижней части данных </w:t>
      </w:r>
    </w:p>
    <w:tbl>
      <w:tblPr>
        <w:tblStyle w:val="TableGrid"/>
        <w:tblW w:w="8082" w:type="dxa"/>
        <w:tblInd w:w="639" w:type="dxa"/>
        <w:tblCellMar>
          <w:top w:w="43" w:type="dxa"/>
          <w:left w:w="110" w:type="dxa"/>
          <w:bottom w:w="0" w:type="dxa"/>
          <w:right w:w="115" w:type="dxa"/>
        </w:tblCellMar>
        <w:tblLook w:val="04A0" w:firstRow="1" w:lastRow="0" w:firstColumn="1" w:lastColumn="0" w:noHBand="0" w:noVBand="1"/>
      </w:tblPr>
      <w:tblGrid>
        <w:gridCol w:w="2339"/>
        <w:gridCol w:w="4326"/>
        <w:gridCol w:w="1417"/>
      </w:tblGrid>
      <w:tr w:rsidR="0052701D">
        <w:trPr>
          <w:trHeight w:val="298"/>
        </w:trPr>
        <w:tc>
          <w:tcPr>
            <w:tcW w:w="2339"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средняя </w:t>
            </w:r>
          </w:p>
        </w:tc>
        <w:tc>
          <w:tcPr>
            <w:tcW w:w="4327"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Средняя цена, тенге/кВт*ч </w:t>
            </w:r>
          </w:p>
        </w:tc>
        <w:tc>
          <w:tcPr>
            <w:tcW w:w="1417"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5,5 </w:t>
            </w:r>
          </w:p>
        </w:tc>
      </w:tr>
      <w:tr w:rsidR="0052701D">
        <w:trPr>
          <w:trHeight w:val="298"/>
        </w:trPr>
        <w:tc>
          <w:tcPr>
            <w:tcW w:w="2339"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сделки желаем </w:t>
            </w:r>
          </w:p>
        </w:tc>
        <w:tc>
          <w:tcPr>
            <w:tcW w:w="4327"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Объем желаемой сделки, МВт </w:t>
            </w:r>
          </w:p>
        </w:tc>
        <w:tc>
          <w:tcPr>
            <w:tcW w:w="1417"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2000 </w:t>
            </w:r>
          </w:p>
        </w:tc>
      </w:tr>
      <w:tr w:rsidR="0052701D">
        <w:trPr>
          <w:trHeight w:val="298"/>
        </w:trPr>
        <w:tc>
          <w:tcPr>
            <w:tcW w:w="2339"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средняя реал </w:t>
            </w:r>
          </w:p>
        </w:tc>
        <w:tc>
          <w:tcPr>
            <w:tcW w:w="4327"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Средняя реализации, тенге/кВт*ч </w:t>
            </w:r>
          </w:p>
        </w:tc>
        <w:tc>
          <w:tcPr>
            <w:tcW w:w="1417"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5,5 </w:t>
            </w:r>
          </w:p>
        </w:tc>
      </w:tr>
      <w:tr w:rsidR="0052701D">
        <w:trPr>
          <w:trHeight w:val="302"/>
        </w:trPr>
        <w:tc>
          <w:tcPr>
            <w:tcW w:w="2339"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реалсделки </w:t>
            </w:r>
          </w:p>
        </w:tc>
        <w:tc>
          <w:tcPr>
            <w:tcW w:w="4327"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Реализация сделки, МВт </w:t>
            </w:r>
          </w:p>
        </w:tc>
        <w:tc>
          <w:tcPr>
            <w:tcW w:w="1417"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2000 </w:t>
            </w:r>
          </w:p>
        </w:tc>
      </w:tr>
    </w:tbl>
    <w:p w:rsidR="0052701D" w:rsidRDefault="00D40929">
      <w:pPr>
        <w:spacing w:after="31"/>
        <w:ind w:left="706"/>
      </w:pPr>
      <w:r>
        <w:rPr>
          <w:rFonts w:ascii="Times New Roman" w:eastAsia="Times New Roman" w:hAnsi="Times New Roman" w:cs="Times New Roman"/>
        </w:rPr>
        <w:t xml:space="preserve"> </w:t>
      </w:r>
    </w:p>
    <w:p w:rsidR="0052701D" w:rsidRDefault="00D40929">
      <w:pPr>
        <w:spacing w:after="5" w:line="271" w:lineRule="auto"/>
        <w:ind w:left="9" w:right="64" w:firstLine="567"/>
        <w:jc w:val="both"/>
      </w:pPr>
      <w:r>
        <w:rPr>
          <w:rFonts w:ascii="Times New Roman" w:eastAsia="Times New Roman" w:hAnsi="Times New Roman" w:cs="Times New Roman"/>
          <w:sz w:val="28"/>
        </w:rPr>
        <w:t xml:space="preserve">Средняя цена рассчитывается как сумма произведений мощностей сделок на соответствующие цены потребителей и станций, разделенная на удвоенную сумму мощностей. Это средняя цена всех сделок (желаемые).  </w:t>
      </w:r>
    </w:p>
    <w:p w:rsidR="0052701D" w:rsidRDefault="00D40929">
      <w:pPr>
        <w:spacing w:after="5" w:line="271" w:lineRule="auto"/>
        <w:ind w:left="9" w:right="64" w:firstLine="567"/>
        <w:jc w:val="both"/>
      </w:pPr>
      <w:r>
        <w:rPr>
          <w:rFonts w:ascii="Times New Roman" w:eastAsia="Times New Roman" w:hAnsi="Times New Roman" w:cs="Times New Roman"/>
          <w:b/>
          <w:sz w:val="28"/>
        </w:rPr>
        <w:t>Сделки желаемые</w:t>
      </w:r>
      <w:r>
        <w:rPr>
          <w:rFonts w:ascii="Times New Roman" w:eastAsia="Times New Roman" w:hAnsi="Times New Roman" w:cs="Times New Roman"/>
          <w:sz w:val="28"/>
        </w:rPr>
        <w:t xml:space="preserve"> – это сумма всех желаемых сделок по кон</w:t>
      </w:r>
      <w:r>
        <w:rPr>
          <w:rFonts w:ascii="Times New Roman" w:eastAsia="Times New Roman" w:hAnsi="Times New Roman" w:cs="Times New Roman"/>
          <w:sz w:val="28"/>
        </w:rPr>
        <w:t xml:space="preserve">кретно этой станции. </w:t>
      </w:r>
    </w:p>
    <w:p w:rsidR="0052701D" w:rsidRDefault="00D40929">
      <w:pPr>
        <w:spacing w:after="5" w:line="271" w:lineRule="auto"/>
        <w:ind w:left="9" w:right="64" w:firstLine="567"/>
        <w:jc w:val="both"/>
      </w:pPr>
      <w:r>
        <w:rPr>
          <w:rFonts w:ascii="Times New Roman" w:eastAsia="Times New Roman" w:hAnsi="Times New Roman" w:cs="Times New Roman"/>
          <w:b/>
          <w:sz w:val="28"/>
        </w:rPr>
        <w:t>Средняя реал.</w:t>
      </w:r>
      <w:r>
        <w:rPr>
          <w:rFonts w:ascii="Times New Roman" w:eastAsia="Times New Roman" w:hAnsi="Times New Roman" w:cs="Times New Roman"/>
          <w:sz w:val="28"/>
        </w:rPr>
        <w:t xml:space="preserve"> – средняя цена реальных сделок (с учетом показателя столбца I). </w:t>
      </w:r>
    </w:p>
    <w:p w:rsidR="0052701D" w:rsidRDefault="00D40929">
      <w:pPr>
        <w:spacing w:after="5" w:line="271" w:lineRule="auto"/>
        <w:ind w:left="9" w:right="64" w:firstLine="567"/>
        <w:jc w:val="both"/>
      </w:pPr>
      <w:r>
        <w:rPr>
          <w:rFonts w:ascii="Times New Roman" w:eastAsia="Times New Roman" w:hAnsi="Times New Roman" w:cs="Times New Roman"/>
          <w:b/>
          <w:sz w:val="28"/>
        </w:rPr>
        <w:t xml:space="preserve">Реал.сделки </w:t>
      </w:r>
      <w:r>
        <w:rPr>
          <w:rFonts w:ascii="Times New Roman" w:eastAsia="Times New Roman" w:hAnsi="Times New Roman" w:cs="Times New Roman"/>
          <w:sz w:val="28"/>
        </w:rPr>
        <w:t xml:space="preserve">– сумма активной мощности реальных сделок (с учетом показателя столбца I). </w:t>
      </w:r>
    </w:p>
    <w:p w:rsidR="0052701D" w:rsidRDefault="00D40929">
      <w:pPr>
        <w:spacing w:after="5" w:line="271" w:lineRule="auto"/>
        <w:ind w:left="567" w:right="64"/>
        <w:jc w:val="both"/>
      </w:pPr>
      <w:r>
        <w:rPr>
          <w:rFonts w:ascii="Times New Roman" w:eastAsia="Times New Roman" w:hAnsi="Times New Roman" w:cs="Times New Roman"/>
          <w:sz w:val="28"/>
        </w:rPr>
        <w:t xml:space="preserve">Далее высчитываются данные по всем станциям: </w:t>
      </w:r>
    </w:p>
    <w:tbl>
      <w:tblPr>
        <w:tblStyle w:val="TableGrid"/>
        <w:tblW w:w="5537" w:type="dxa"/>
        <w:tblInd w:w="1911" w:type="dxa"/>
        <w:tblCellMar>
          <w:top w:w="38" w:type="dxa"/>
          <w:left w:w="110" w:type="dxa"/>
          <w:bottom w:w="0" w:type="dxa"/>
          <w:right w:w="115" w:type="dxa"/>
        </w:tblCellMar>
        <w:tblLook w:val="04A0" w:firstRow="1" w:lastRow="0" w:firstColumn="1" w:lastColumn="0" w:noHBand="0" w:noVBand="1"/>
      </w:tblPr>
      <w:tblGrid>
        <w:gridCol w:w="5537"/>
      </w:tblGrid>
      <w:tr w:rsidR="0052701D">
        <w:trPr>
          <w:trHeight w:val="298"/>
        </w:trPr>
        <w:tc>
          <w:tcPr>
            <w:tcW w:w="5537"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сумма желаемых сделок</w:t>
            </w:r>
            <w:r>
              <w:rPr>
                <w:rFonts w:ascii="Times New Roman" w:eastAsia="Times New Roman" w:hAnsi="Times New Roman" w:cs="Times New Roman"/>
              </w:rPr>
              <w:t xml:space="preserve">. </w:t>
            </w:r>
          </w:p>
        </w:tc>
      </w:tr>
      <w:tr w:rsidR="0052701D">
        <w:trPr>
          <w:trHeight w:val="298"/>
        </w:trPr>
        <w:tc>
          <w:tcPr>
            <w:tcW w:w="5537"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7415 </w:t>
            </w:r>
          </w:p>
        </w:tc>
      </w:tr>
      <w:tr w:rsidR="0052701D">
        <w:trPr>
          <w:trHeight w:val="298"/>
        </w:trPr>
        <w:tc>
          <w:tcPr>
            <w:tcW w:w="5537"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 </w:t>
            </w:r>
          </w:p>
        </w:tc>
      </w:tr>
      <w:tr w:rsidR="0052701D">
        <w:trPr>
          <w:trHeight w:val="298"/>
        </w:trPr>
        <w:tc>
          <w:tcPr>
            <w:tcW w:w="5537"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цена желаемая (средняя) </w:t>
            </w:r>
          </w:p>
        </w:tc>
      </w:tr>
      <w:tr w:rsidR="0052701D">
        <w:trPr>
          <w:trHeight w:val="298"/>
        </w:trPr>
        <w:tc>
          <w:tcPr>
            <w:tcW w:w="5537"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5,156035064 </w:t>
            </w:r>
          </w:p>
        </w:tc>
      </w:tr>
      <w:tr w:rsidR="0052701D">
        <w:trPr>
          <w:trHeight w:val="302"/>
        </w:trPr>
        <w:tc>
          <w:tcPr>
            <w:tcW w:w="5537"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 </w:t>
            </w:r>
          </w:p>
        </w:tc>
      </w:tr>
      <w:tr w:rsidR="0052701D">
        <w:trPr>
          <w:trHeight w:val="298"/>
        </w:trPr>
        <w:tc>
          <w:tcPr>
            <w:tcW w:w="5537"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сумма всех реальных сделок </w:t>
            </w:r>
          </w:p>
        </w:tc>
      </w:tr>
      <w:tr w:rsidR="0052701D">
        <w:trPr>
          <w:trHeight w:val="298"/>
        </w:trPr>
        <w:tc>
          <w:tcPr>
            <w:tcW w:w="5537"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6775 </w:t>
            </w:r>
          </w:p>
        </w:tc>
      </w:tr>
      <w:tr w:rsidR="0052701D">
        <w:trPr>
          <w:trHeight w:val="298"/>
        </w:trPr>
        <w:tc>
          <w:tcPr>
            <w:tcW w:w="5537"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 </w:t>
            </w:r>
          </w:p>
        </w:tc>
      </w:tr>
      <w:tr w:rsidR="0052701D">
        <w:trPr>
          <w:trHeight w:val="298"/>
        </w:trPr>
        <w:tc>
          <w:tcPr>
            <w:tcW w:w="5537"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средняя цена реальных сделок </w:t>
            </w:r>
          </w:p>
        </w:tc>
      </w:tr>
      <w:tr w:rsidR="0052701D">
        <w:trPr>
          <w:trHeight w:val="298"/>
        </w:trPr>
        <w:tc>
          <w:tcPr>
            <w:tcW w:w="5537"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5,3700369 </w:t>
            </w:r>
          </w:p>
        </w:tc>
      </w:tr>
    </w:tbl>
    <w:p w:rsidR="0052701D" w:rsidRDefault="00D40929">
      <w:pPr>
        <w:spacing w:after="85"/>
      </w:pPr>
      <w:r>
        <w:rPr>
          <w:rFonts w:ascii="Times New Roman" w:eastAsia="Times New Roman" w:hAnsi="Times New Roman" w:cs="Times New Roman"/>
          <w:b/>
        </w:rPr>
        <w:t xml:space="preserve"> </w:t>
      </w:r>
    </w:p>
    <w:p w:rsidR="0052701D" w:rsidRDefault="00D40929">
      <w:pPr>
        <w:spacing w:after="5" w:line="271" w:lineRule="auto"/>
        <w:ind w:left="9" w:right="64"/>
        <w:jc w:val="both"/>
      </w:pPr>
      <w:r>
        <w:rPr>
          <w:rFonts w:ascii="Times New Roman" w:eastAsia="Times New Roman" w:hAnsi="Times New Roman" w:cs="Times New Roman"/>
          <w:sz w:val="28"/>
        </w:rPr>
        <w:lastRenderedPageBreak/>
        <w:t xml:space="preserve">Таблица 5 – Объем предложения больше спроса </w:t>
      </w:r>
    </w:p>
    <w:tbl>
      <w:tblPr>
        <w:tblStyle w:val="TableGrid"/>
        <w:tblW w:w="9215" w:type="dxa"/>
        <w:tblInd w:w="5" w:type="dxa"/>
        <w:tblCellMar>
          <w:top w:w="5" w:type="dxa"/>
          <w:left w:w="110" w:type="dxa"/>
          <w:bottom w:w="10" w:type="dxa"/>
          <w:right w:w="46" w:type="dxa"/>
        </w:tblCellMar>
        <w:tblLook w:val="04A0" w:firstRow="1" w:lastRow="0" w:firstColumn="1" w:lastColumn="0" w:noHBand="0" w:noVBand="1"/>
      </w:tblPr>
      <w:tblGrid>
        <w:gridCol w:w="1714"/>
        <w:gridCol w:w="1811"/>
        <w:gridCol w:w="1964"/>
        <w:gridCol w:w="2151"/>
        <w:gridCol w:w="1575"/>
      </w:tblGrid>
      <w:tr w:rsidR="0052701D">
        <w:trPr>
          <w:trHeight w:val="769"/>
        </w:trPr>
        <w:tc>
          <w:tcPr>
            <w:tcW w:w="1715" w:type="dxa"/>
            <w:tcBorders>
              <w:top w:val="single" w:sz="4" w:space="0" w:color="000000"/>
              <w:left w:val="single" w:sz="4" w:space="0" w:color="000000"/>
              <w:bottom w:val="single" w:sz="4" w:space="0" w:color="000000"/>
              <w:right w:val="single" w:sz="4" w:space="0" w:color="000000"/>
            </w:tcBorders>
            <w:vAlign w:val="bottom"/>
          </w:tcPr>
          <w:p w:rsidR="0052701D" w:rsidRDefault="00D40929">
            <w:pPr>
              <w:spacing w:after="0"/>
            </w:pPr>
            <w:r>
              <w:rPr>
                <w:rFonts w:ascii="Times New Roman" w:eastAsia="Times New Roman" w:hAnsi="Times New Roman" w:cs="Times New Roman"/>
              </w:rPr>
              <w:t xml:space="preserve">Наименование </w:t>
            </w:r>
          </w:p>
        </w:tc>
        <w:tc>
          <w:tcPr>
            <w:tcW w:w="1811"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Объем предложения, МВт. </w:t>
            </w:r>
          </w:p>
        </w:tc>
        <w:tc>
          <w:tcPr>
            <w:tcW w:w="1964"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Цена продажи желаемое, тенге/кВт*ч </w:t>
            </w:r>
          </w:p>
        </w:tc>
        <w:tc>
          <w:tcPr>
            <w:tcW w:w="2151"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Цена потребителя желаемая, тенге/кВт*ч </w:t>
            </w:r>
          </w:p>
        </w:tc>
        <w:tc>
          <w:tcPr>
            <w:tcW w:w="1575"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Объем потребления, МВт. </w:t>
            </w:r>
          </w:p>
        </w:tc>
      </w:tr>
      <w:tr w:rsidR="0052701D">
        <w:trPr>
          <w:trHeight w:val="312"/>
        </w:trPr>
        <w:tc>
          <w:tcPr>
            <w:tcW w:w="1715"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АЭС </w:t>
            </w:r>
          </w:p>
        </w:tc>
        <w:tc>
          <w:tcPr>
            <w:tcW w:w="181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1"/>
              <w:jc w:val="right"/>
            </w:pPr>
            <w:r>
              <w:rPr>
                <w:rFonts w:ascii="Times New Roman" w:eastAsia="Times New Roman" w:hAnsi="Times New Roman" w:cs="Times New Roman"/>
              </w:rPr>
              <w:t xml:space="preserve">30,00 </w:t>
            </w:r>
          </w:p>
        </w:tc>
        <w:tc>
          <w:tcPr>
            <w:tcW w:w="196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5"/>
              <w:jc w:val="right"/>
            </w:pPr>
            <w:r>
              <w:rPr>
                <w:rFonts w:ascii="Times New Roman" w:eastAsia="Times New Roman" w:hAnsi="Times New Roman" w:cs="Times New Roman"/>
              </w:rPr>
              <w:t xml:space="preserve">5 </w:t>
            </w:r>
          </w:p>
        </w:tc>
        <w:tc>
          <w:tcPr>
            <w:tcW w:w="215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0"/>
              <w:jc w:val="right"/>
            </w:pPr>
            <w:r>
              <w:rPr>
                <w:rFonts w:ascii="Times New Roman" w:eastAsia="Times New Roman" w:hAnsi="Times New Roman" w:cs="Times New Roman"/>
              </w:rPr>
              <w:t xml:space="preserve">11 </w:t>
            </w:r>
          </w:p>
        </w:tc>
        <w:tc>
          <w:tcPr>
            <w:tcW w:w="157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0"/>
              <w:jc w:val="right"/>
            </w:pPr>
            <w:r>
              <w:rPr>
                <w:rFonts w:ascii="Times New Roman" w:eastAsia="Times New Roman" w:hAnsi="Times New Roman" w:cs="Times New Roman"/>
              </w:rPr>
              <w:t xml:space="preserve">135 </w:t>
            </w:r>
          </w:p>
        </w:tc>
      </w:tr>
      <w:tr w:rsidR="0052701D">
        <w:trPr>
          <w:trHeight w:val="307"/>
        </w:trPr>
        <w:tc>
          <w:tcPr>
            <w:tcW w:w="1715"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ВЭС </w:t>
            </w:r>
          </w:p>
        </w:tc>
        <w:tc>
          <w:tcPr>
            <w:tcW w:w="181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1"/>
              <w:jc w:val="right"/>
            </w:pPr>
            <w:r>
              <w:rPr>
                <w:rFonts w:ascii="Times New Roman" w:eastAsia="Times New Roman" w:hAnsi="Times New Roman" w:cs="Times New Roman"/>
              </w:rPr>
              <w:t xml:space="preserve">45,00 </w:t>
            </w:r>
          </w:p>
        </w:tc>
        <w:tc>
          <w:tcPr>
            <w:tcW w:w="196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5"/>
              <w:jc w:val="right"/>
            </w:pPr>
            <w:r>
              <w:rPr>
                <w:rFonts w:ascii="Times New Roman" w:eastAsia="Times New Roman" w:hAnsi="Times New Roman" w:cs="Times New Roman"/>
              </w:rPr>
              <w:t xml:space="preserve">6 </w:t>
            </w:r>
          </w:p>
        </w:tc>
        <w:tc>
          <w:tcPr>
            <w:tcW w:w="215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0"/>
              <w:jc w:val="right"/>
            </w:pPr>
            <w:r>
              <w:rPr>
                <w:rFonts w:ascii="Times New Roman" w:eastAsia="Times New Roman" w:hAnsi="Times New Roman" w:cs="Times New Roman"/>
              </w:rPr>
              <w:t xml:space="preserve">10 </w:t>
            </w:r>
          </w:p>
        </w:tc>
        <w:tc>
          <w:tcPr>
            <w:tcW w:w="157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0"/>
              <w:jc w:val="right"/>
            </w:pPr>
            <w:r>
              <w:rPr>
                <w:rFonts w:ascii="Times New Roman" w:eastAsia="Times New Roman" w:hAnsi="Times New Roman" w:cs="Times New Roman"/>
              </w:rPr>
              <w:t xml:space="preserve">35 </w:t>
            </w:r>
          </w:p>
        </w:tc>
      </w:tr>
      <w:tr w:rsidR="0052701D">
        <w:trPr>
          <w:trHeight w:val="312"/>
        </w:trPr>
        <w:tc>
          <w:tcPr>
            <w:tcW w:w="1715"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СЭС </w:t>
            </w:r>
          </w:p>
        </w:tc>
        <w:tc>
          <w:tcPr>
            <w:tcW w:w="181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1"/>
              <w:jc w:val="right"/>
            </w:pPr>
            <w:r>
              <w:rPr>
                <w:rFonts w:ascii="Times New Roman" w:eastAsia="Times New Roman" w:hAnsi="Times New Roman" w:cs="Times New Roman"/>
              </w:rPr>
              <w:t xml:space="preserve">200,00 </w:t>
            </w:r>
          </w:p>
        </w:tc>
        <w:tc>
          <w:tcPr>
            <w:tcW w:w="196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5"/>
              <w:jc w:val="right"/>
            </w:pPr>
            <w:r>
              <w:rPr>
                <w:rFonts w:ascii="Times New Roman" w:eastAsia="Times New Roman" w:hAnsi="Times New Roman" w:cs="Times New Roman"/>
              </w:rPr>
              <w:t xml:space="preserve">7 </w:t>
            </w:r>
          </w:p>
        </w:tc>
        <w:tc>
          <w:tcPr>
            <w:tcW w:w="215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8"/>
              <w:jc w:val="right"/>
            </w:pPr>
            <w:r>
              <w:rPr>
                <w:rFonts w:ascii="Times New Roman" w:eastAsia="Times New Roman" w:hAnsi="Times New Roman" w:cs="Times New Roman"/>
              </w:rPr>
              <w:t xml:space="preserve">- </w:t>
            </w:r>
          </w:p>
        </w:tc>
        <w:tc>
          <w:tcPr>
            <w:tcW w:w="157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8"/>
              <w:jc w:val="right"/>
            </w:pPr>
            <w:r>
              <w:rPr>
                <w:rFonts w:ascii="Times New Roman" w:eastAsia="Times New Roman" w:hAnsi="Times New Roman" w:cs="Times New Roman"/>
              </w:rPr>
              <w:t xml:space="preserve">- </w:t>
            </w:r>
          </w:p>
        </w:tc>
      </w:tr>
      <w:tr w:rsidR="0052701D">
        <w:trPr>
          <w:trHeight w:val="308"/>
        </w:trPr>
        <w:tc>
          <w:tcPr>
            <w:tcW w:w="1715" w:type="dxa"/>
            <w:vMerge w:val="restart"/>
            <w:tcBorders>
              <w:top w:val="single" w:sz="4" w:space="0" w:color="000000"/>
              <w:left w:val="single" w:sz="4" w:space="0" w:color="000000"/>
              <w:bottom w:val="single" w:sz="4" w:space="0" w:color="000000"/>
              <w:right w:val="single" w:sz="4" w:space="0" w:color="000000"/>
            </w:tcBorders>
            <w:vAlign w:val="bottom"/>
          </w:tcPr>
          <w:p w:rsidR="0052701D" w:rsidRDefault="00D40929">
            <w:pPr>
              <w:spacing w:after="0"/>
            </w:pPr>
            <w:r>
              <w:rPr>
                <w:rFonts w:ascii="Times New Roman" w:eastAsia="Times New Roman" w:hAnsi="Times New Roman" w:cs="Times New Roman"/>
              </w:rPr>
              <w:t xml:space="preserve">Итоговая </w:t>
            </w:r>
          </w:p>
        </w:tc>
        <w:tc>
          <w:tcPr>
            <w:tcW w:w="1811" w:type="dxa"/>
            <w:tcBorders>
              <w:top w:val="single" w:sz="4" w:space="0" w:color="000000"/>
              <w:left w:val="single" w:sz="4" w:space="0" w:color="000000"/>
              <w:bottom w:val="single" w:sz="4" w:space="0" w:color="000000"/>
              <w:right w:val="nil"/>
            </w:tcBorders>
          </w:tcPr>
          <w:p w:rsidR="0052701D" w:rsidRDefault="0052701D"/>
        </w:tc>
        <w:tc>
          <w:tcPr>
            <w:tcW w:w="1964" w:type="dxa"/>
            <w:tcBorders>
              <w:top w:val="single" w:sz="4" w:space="0" w:color="000000"/>
              <w:left w:val="nil"/>
              <w:bottom w:val="single" w:sz="4" w:space="0" w:color="000000"/>
              <w:right w:val="single" w:sz="4" w:space="0" w:color="000000"/>
            </w:tcBorders>
          </w:tcPr>
          <w:p w:rsidR="0052701D" w:rsidRDefault="00D40929">
            <w:pPr>
              <w:spacing w:after="0"/>
              <w:ind w:right="63"/>
              <w:jc w:val="right"/>
            </w:pPr>
            <w:r>
              <w:rPr>
                <w:rFonts w:ascii="Times New Roman" w:eastAsia="Times New Roman" w:hAnsi="Times New Roman" w:cs="Times New Roman"/>
              </w:rPr>
              <w:t xml:space="preserve">Цена сделки </w:t>
            </w:r>
          </w:p>
        </w:tc>
        <w:tc>
          <w:tcPr>
            <w:tcW w:w="2151" w:type="dxa"/>
            <w:tcBorders>
              <w:top w:val="single" w:sz="4" w:space="0" w:color="000000"/>
              <w:left w:val="single" w:sz="4" w:space="0" w:color="000000"/>
              <w:bottom w:val="single" w:sz="4" w:space="0" w:color="000000"/>
              <w:right w:val="nil"/>
            </w:tcBorders>
          </w:tcPr>
          <w:p w:rsidR="0052701D" w:rsidRDefault="0052701D"/>
        </w:tc>
        <w:tc>
          <w:tcPr>
            <w:tcW w:w="1575" w:type="dxa"/>
            <w:tcBorders>
              <w:top w:val="single" w:sz="4" w:space="0" w:color="000000"/>
              <w:left w:val="nil"/>
              <w:bottom w:val="single" w:sz="4" w:space="0" w:color="000000"/>
              <w:right w:val="single" w:sz="4" w:space="0" w:color="000000"/>
            </w:tcBorders>
          </w:tcPr>
          <w:p w:rsidR="0052701D" w:rsidRDefault="00D40929">
            <w:pPr>
              <w:spacing w:after="0"/>
              <w:ind w:left="34"/>
            </w:pPr>
            <w:r>
              <w:rPr>
                <w:rFonts w:ascii="Times New Roman" w:eastAsia="Times New Roman" w:hAnsi="Times New Roman" w:cs="Times New Roman"/>
              </w:rPr>
              <w:t xml:space="preserve">Объем сделки </w:t>
            </w:r>
          </w:p>
        </w:tc>
      </w:tr>
      <w:tr w:rsidR="0052701D">
        <w:trPr>
          <w:trHeight w:val="312"/>
        </w:trPr>
        <w:tc>
          <w:tcPr>
            <w:tcW w:w="0" w:type="auto"/>
            <w:vMerge/>
            <w:tcBorders>
              <w:top w:val="nil"/>
              <w:left w:val="single" w:sz="4" w:space="0" w:color="000000"/>
              <w:bottom w:val="single" w:sz="4" w:space="0" w:color="000000"/>
              <w:right w:val="single" w:sz="4" w:space="0" w:color="000000"/>
            </w:tcBorders>
          </w:tcPr>
          <w:p w:rsidR="0052701D" w:rsidRDefault="0052701D"/>
        </w:tc>
        <w:tc>
          <w:tcPr>
            <w:tcW w:w="1811" w:type="dxa"/>
            <w:tcBorders>
              <w:top w:val="single" w:sz="4" w:space="0" w:color="000000"/>
              <w:left w:val="single" w:sz="4" w:space="0" w:color="000000"/>
              <w:bottom w:val="single" w:sz="4" w:space="0" w:color="000000"/>
              <w:right w:val="nil"/>
            </w:tcBorders>
          </w:tcPr>
          <w:p w:rsidR="0052701D" w:rsidRDefault="0052701D"/>
        </w:tc>
        <w:tc>
          <w:tcPr>
            <w:tcW w:w="1964" w:type="dxa"/>
            <w:tcBorders>
              <w:top w:val="single" w:sz="4" w:space="0" w:color="000000"/>
              <w:left w:val="nil"/>
              <w:bottom w:val="single" w:sz="4" w:space="0" w:color="000000"/>
              <w:right w:val="single" w:sz="4" w:space="0" w:color="000000"/>
            </w:tcBorders>
          </w:tcPr>
          <w:p w:rsidR="0052701D" w:rsidRDefault="00D40929">
            <w:pPr>
              <w:spacing w:after="0"/>
              <w:ind w:right="55"/>
              <w:jc w:val="right"/>
            </w:pPr>
            <w:r>
              <w:rPr>
                <w:rFonts w:ascii="Times New Roman" w:eastAsia="Times New Roman" w:hAnsi="Times New Roman" w:cs="Times New Roman"/>
              </w:rPr>
              <w:t xml:space="preserve">7,0 </w:t>
            </w:r>
          </w:p>
        </w:tc>
        <w:tc>
          <w:tcPr>
            <w:tcW w:w="2151" w:type="dxa"/>
            <w:tcBorders>
              <w:top w:val="single" w:sz="4" w:space="0" w:color="000000"/>
              <w:left w:val="single" w:sz="4" w:space="0" w:color="000000"/>
              <w:bottom w:val="single" w:sz="4" w:space="0" w:color="000000"/>
              <w:right w:val="nil"/>
            </w:tcBorders>
          </w:tcPr>
          <w:p w:rsidR="0052701D" w:rsidRDefault="0052701D"/>
        </w:tc>
        <w:tc>
          <w:tcPr>
            <w:tcW w:w="1575" w:type="dxa"/>
            <w:tcBorders>
              <w:top w:val="single" w:sz="4" w:space="0" w:color="000000"/>
              <w:left w:val="nil"/>
              <w:bottom w:val="single" w:sz="4" w:space="0" w:color="000000"/>
              <w:right w:val="single" w:sz="4" w:space="0" w:color="000000"/>
            </w:tcBorders>
          </w:tcPr>
          <w:p w:rsidR="0052701D" w:rsidRDefault="00D40929">
            <w:pPr>
              <w:spacing w:after="0"/>
              <w:ind w:right="60"/>
              <w:jc w:val="right"/>
            </w:pPr>
            <w:r>
              <w:rPr>
                <w:rFonts w:ascii="Times New Roman" w:eastAsia="Times New Roman" w:hAnsi="Times New Roman" w:cs="Times New Roman"/>
              </w:rPr>
              <w:t xml:space="preserve">170,00 </w:t>
            </w:r>
          </w:p>
        </w:tc>
      </w:tr>
    </w:tbl>
    <w:p w:rsidR="0052701D" w:rsidRDefault="00D40929">
      <w:pPr>
        <w:spacing w:after="0"/>
      </w:pPr>
      <w:r>
        <w:rPr>
          <w:rFonts w:ascii="Times New Roman" w:eastAsia="Times New Roman" w:hAnsi="Times New Roman" w:cs="Times New Roman"/>
        </w:rPr>
        <w:t xml:space="preserve"> </w:t>
      </w:r>
    </w:p>
    <w:p w:rsidR="0052701D" w:rsidRDefault="00D40929">
      <w:pPr>
        <w:spacing w:after="39"/>
        <w:ind w:right="1326"/>
        <w:jc w:val="right"/>
      </w:pPr>
      <w:r>
        <w:rPr>
          <w:noProof/>
        </w:rPr>
        <w:drawing>
          <wp:inline distT="0" distB="0" distL="0" distR="0">
            <wp:extent cx="4187952" cy="1962912"/>
            <wp:effectExtent l="0" t="0" r="0" b="0"/>
            <wp:docPr id="173036" name="Picture 173036"/>
            <wp:cNvGraphicFramePr/>
            <a:graphic xmlns:a="http://schemas.openxmlformats.org/drawingml/2006/main">
              <a:graphicData uri="http://schemas.openxmlformats.org/drawingml/2006/picture">
                <pic:pic xmlns:pic="http://schemas.openxmlformats.org/drawingml/2006/picture">
                  <pic:nvPicPr>
                    <pic:cNvPr id="173036" name="Picture 173036"/>
                    <pic:cNvPicPr/>
                  </pic:nvPicPr>
                  <pic:blipFill>
                    <a:blip r:embed="rId834"/>
                    <a:stretch>
                      <a:fillRect/>
                    </a:stretch>
                  </pic:blipFill>
                  <pic:spPr>
                    <a:xfrm>
                      <a:off x="0" y="0"/>
                      <a:ext cx="4187952" cy="1962912"/>
                    </a:xfrm>
                    <a:prstGeom prst="rect">
                      <a:avLst/>
                    </a:prstGeom>
                  </pic:spPr>
                </pic:pic>
              </a:graphicData>
            </a:graphic>
          </wp:inline>
        </w:drawing>
      </w:r>
      <w:r>
        <w:rPr>
          <w:rFonts w:ascii="Times New Roman" w:eastAsia="Times New Roman" w:hAnsi="Times New Roman" w:cs="Times New Roman"/>
        </w:rPr>
        <w:t xml:space="preserve"> </w:t>
      </w:r>
    </w:p>
    <w:p w:rsidR="0052701D" w:rsidRDefault="00D40929">
      <w:pPr>
        <w:spacing w:after="3"/>
        <w:ind w:left="10" w:right="408" w:hanging="10"/>
        <w:jc w:val="right"/>
      </w:pPr>
      <w:r>
        <w:rPr>
          <w:rFonts w:ascii="Times New Roman" w:eastAsia="Times New Roman" w:hAnsi="Times New Roman" w:cs="Times New Roman"/>
          <w:b/>
          <w:sz w:val="28"/>
        </w:rPr>
        <w:t xml:space="preserve">Примеры графиков. </w:t>
      </w:r>
      <w:r>
        <w:rPr>
          <w:rFonts w:ascii="Times New Roman" w:eastAsia="Times New Roman" w:hAnsi="Times New Roman" w:cs="Times New Roman"/>
          <w:sz w:val="28"/>
        </w:rPr>
        <w:t xml:space="preserve">Графики спроса и предложения не пересекаются. </w:t>
      </w:r>
    </w:p>
    <w:p w:rsidR="0052701D" w:rsidRDefault="00D40929">
      <w:pPr>
        <w:spacing w:after="27"/>
      </w:pPr>
      <w:r>
        <w:rPr>
          <w:rFonts w:ascii="Times New Roman" w:eastAsia="Times New Roman" w:hAnsi="Times New Roman" w:cs="Times New Roman"/>
          <w:sz w:val="28"/>
        </w:rPr>
        <w:t xml:space="preserve"> </w:t>
      </w:r>
    </w:p>
    <w:p w:rsidR="0052701D" w:rsidRDefault="00D40929">
      <w:pPr>
        <w:spacing w:after="5" w:line="271" w:lineRule="auto"/>
        <w:ind w:left="567" w:right="64"/>
        <w:jc w:val="both"/>
      </w:pPr>
      <w:r>
        <w:rPr>
          <w:rFonts w:ascii="Times New Roman" w:eastAsia="Times New Roman" w:hAnsi="Times New Roman" w:cs="Times New Roman"/>
          <w:sz w:val="28"/>
        </w:rPr>
        <w:t xml:space="preserve">Таблица 6 – Объем предложения и спроса равны </w:t>
      </w:r>
    </w:p>
    <w:tbl>
      <w:tblPr>
        <w:tblStyle w:val="TableGrid"/>
        <w:tblW w:w="9350" w:type="dxa"/>
        <w:tblInd w:w="5" w:type="dxa"/>
        <w:tblCellMar>
          <w:top w:w="10" w:type="dxa"/>
          <w:left w:w="110" w:type="dxa"/>
          <w:bottom w:w="0" w:type="dxa"/>
          <w:right w:w="50" w:type="dxa"/>
        </w:tblCellMar>
        <w:tblLook w:val="04A0" w:firstRow="1" w:lastRow="0" w:firstColumn="1" w:lastColumn="0" w:noHBand="0" w:noVBand="1"/>
      </w:tblPr>
      <w:tblGrid>
        <w:gridCol w:w="1715"/>
        <w:gridCol w:w="1969"/>
        <w:gridCol w:w="1805"/>
        <w:gridCol w:w="2166"/>
        <w:gridCol w:w="1695"/>
      </w:tblGrid>
      <w:tr w:rsidR="0052701D">
        <w:trPr>
          <w:trHeight w:val="769"/>
        </w:trPr>
        <w:tc>
          <w:tcPr>
            <w:tcW w:w="171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63"/>
            </w:pPr>
            <w:r>
              <w:rPr>
                <w:rFonts w:ascii="Times New Roman" w:eastAsia="Times New Roman" w:hAnsi="Times New Roman" w:cs="Times New Roman"/>
              </w:rPr>
              <w:t xml:space="preserve">Наименование </w:t>
            </w:r>
          </w:p>
        </w:tc>
        <w:tc>
          <w:tcPr>
            <w:tcW w:w="1969"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Объем предложения, МВт. </w:t>
            </w:r>
          </w:p>
        </w:tc>
        <w:tc>
          <w:tcPr>
            <w:tcW w:w="1805"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Цена продажи желаемое, тенге/кВт*ч </w:t>
            </w:r>
          </w:p>
        </w:tc>
        <w:tc>
          <w:tcPr>
            <w:tcW w:w="216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Цена потребителя желаемая, тенге/кВт*ч </w:t>
            </w:r>
          </w:p>
        </w:tc>
        <w:tc>
          <w:tcPr>
            <w:tcW w:w="1695"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Объем потребления, МВт. </w:t>
            </w:r>
          </w:p>
        </w:tc>
      </w:tr>
      <w:tr w:rsidR="0052701D">
        <w:trPr>
          <w:trHeight w:val="312"/>
        </w:trPr>
        <w:tc>
          <w:tcPr>
            <w:tcW w:w="1715"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АЭС </w:t>
            </w:r>
          </w:p>
        </w:tc>
        <w:tc>
          <w:tcPr>
            <w:tcW w:w="1969"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1"/>
              <w:jc w:val="right"/>
            </w:pPr>
            <w:r>
              <w:rPr>
                <w:rFonts w:ascii="Times New Roman" w:eastAsia="Times New Roman" w:hAnsi="Times New Roman" w:cs="Times New Roman"/>
              </w:rPr>
              <w:t xml:space="preserve">30,00 </w:t>
            </w:r>
          </w:p>
        </w:tc>
        <w:tc>
          <w:tcPr>
            <w:tcW w:w="180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1"/>
              <w:jc w:val="right"/>
            </w:pPr>
            <w:r>
              <w:rPr>
                <w:rFonts w:ascii="Times New Roman" w:eastAsia="Times New Roman" w:hAnsi="Times New Roman" w:cs="Times New Roman"/>
              </w:rPr>
              <w:t xml:space="preserve">6,0 </w:t>
            </w:r>
          </w:p>
        </w:tc>
        <w:tc>
          <w:tcPr>
            <w:tcW w:w="216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0"/>
              <w:jc w:val="right"/>
            </w:pPr>
            <w:r>
              <w:rPr>
                <w:rFonts w:ascii="Times New Roman" w:eastAsia="Times New Roman" w:hAnsi="Times New Roman" w:cs="Times New Roman"/>
              </w:rPr>
              <w:t xml:space="preserve">10 </w:t>
            </w:r>
          </w:p>
        </w:tc>
        <w:tc>
          <w:tcPr>
            <w:tcW w:w="169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6"/>
              <w:jc w:val="right"/>
            </w:pPr>
            <w:r>
              <w:rPr>
                <w:rFonts w:ascii="Times New Roman" w:eastAsia="Times New Roman" w:hAnsi="Times New Roman" w:cs="Times New Roman"/>
              </w:rPr>
              <w:t xml:space="preserve">135 </w:t>
            </w:r>
          </w:p>
        </w:tc>
      </w:tr>
      <w:tr w:rsidR="0052701D">
        <w:trPr>
          <w:trHeight w:val="307"/>
        </w:trPr>
        <w:tc>
          <w:tcPr>
            <w:tcW w:w="1715"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ВЭС </w:t>
            </w:r>
          </w:p>
        </w:tc>
        <w:tc>
          <w:tcPr>
            <w:tcW w:w="1969"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1"/>
              <w:jc w:val="right"/>
            </w:pPr>
            <w:r>
              <w:rPr>
                <w:rFonts w:ascii="Times New Roman" w:eastAsia="Times New Roman" w:hAnsi="Times New Roman" w:cs="Times New Roman"/>
              </w:rPr>
              <w:t xml:space="preserve">45,00 </w:t>
            </w:r>
          </w:p>
        </w:tc>
        <w:tc>
          <w:tcPr>
            <w:tcW w:w="180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1"/>
              <w:jc w:val="right"/>
            </w:pPr>
            <w:r>
              <w:rPr>
                <w:rFonts w:ascii="Times New Roman" w:eastAsia="Times New Roman" w:hAnsi="Times New Roman" w:cs="Times New Roman"/>
              </w:rPr>
              <w:t xml:space="preserve">6,5 </w:t>
            </w:r>
          </w:p>
        </w:tc>
        <w:tc>
          <w:tcPr>
            <w:tcW w:w="216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5"/>
              <w:jc w:val="right"/>
            </w:pPr>
            <w:r>
              <w:rPr>
                <w:rFonts w:ascii="Times New Roman" w:eastAsia="Times New Roman" w:hAnsi="Times New Roman" w:cs="Times New Roman"/>
              </w:rPr>
              <w:t xml:space="preserve">8,7 </w:t>
            </w:r>
          </w:p>
        </w:tc>
        <w:tc>
          <w:tcPr>
            <w:tcW w:w="169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6"/>
              <w:jc w:val="right"/>
            </w:pPr>
            <w:r>
              <w:rPr>
                <w:rFonts w:ascii="Times New Roman" w:eastAsia="Times New Roman" w:hAnsi="Times New Roman" w:cs="Times New Roman"/>
              </w:rPr>
              <w:t xml:space="preserve">35 </w:t>
            </w:r>
          </w:p>
        </w:tc>
      </w:tr>
      <w:tr w:rsidR="0052701D">
        <w:trPr>
          <w:trHeight w:val="312"/>
        </w:trPr>
        <w:tc>
          <w:tcPr>
            <w:tcW w:w="1715"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СЭС </w:t>
            </w:r>
          </w:p>
        </w:tc>
        <w:tc>
          <w:tcPr>
            <w:tcW w:w="1969"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1"/>
              <w:jc w:val="right"/>
            </w:pPr>
            <w:r>
              <w:rPr>
                <w:rFonts w:ascii="Times New Roman" w:eastAsia="Times New Roman" w:hAnsi="Times New Roman" w:cs="Times New Roman"/>
              </w:rPr>
              <w:t xml:space="preserve">200,00 </w:t>
            </w:r>
          </w:p>
        </w:tc>
        <w:tc>
          <w:tcPr>
            <w:tcW w:w="180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5"/>
              <w:jc w:val="right"/>
            </w:pPr>
            <w:r>
              <w:rPr>
                <w:rFonts w:ascii="Times New Roman" w:eastAsia="Times New Roman" w:hAnsi="Times New Roman" w:cs="Times New Roman"/>
              </w:rPr>
              <w:t xml:space="preserve">7 </w:t>
            </w:r>
          </w:p>
        </w:tc>
        <w:tc>
          <w:tcPr>
            <w:tcW w:w="216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5"/>
              <w:jc w:val="right"/>
            </w:pPr>
            <w:r>
              <w:rPr>
                <w:rFonts w:ascii="Times New Roman" w:eastAsia="Times New Roman" w:hAnsi="Times New Roman" w:cs="Times New Roman"/>
              </w:rPr>
              <w:t xml:space="preserve">8,5 </w:t>
            </w:r>
          </w:p>
        </w:tc>
        <w:tc>
          <w:tcPr>
            <w:tcW w:w="169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6"/>
              <w:jc w:val="right"/>
            </w:pPr>
            <w:r>
              <w:rPr>
                <w:rFonts w:ascii="Times New Roman" w:eastAsia="Times New Roman" w:hAnsi="Times New Roman" w:cs="Times New Roman"/>
              </w:rPr>
              <w:t xml:space="preserve">105 </w:t>
            </w:r>
          </w:p>
        </w:tc>
      </w:tr>
      <w:tr w:rsidR="0052701D">
        <w:trPr>
          <w:trHeight w:val="308"/>
        </w:trPr>
        <w:tc>
          <w:tcPr>
            <w:tcW w:w="1715" w:type="dxa"/>
            <w:vMerge w:val="restart"/>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right="60"/>
              <w:jc w:val="center"/>
            </w:pPr>
            <w:r>
              <w:rPr>
                <w:rFonts w:ascii="Times New Roman" w:eastAsia="Times New Roman" w:hAnsi="Times New Roman" w:cs="Times New Roman"/>
              </w:rPr>
              <w:t xml:space="preserve">Итоговая </w:t>
            </w:r>
          </w:p>
        </w:tc>
        <w:tc>
          <w:tcPr>
            <w:tcW w:w="1969" w:type="dxa"/>
            <w:tcBorders>
              <w:top w:val="single" w:sz="4" w:space="0" w:color="000000"/>
              <w:left w:val="single" w:sz="4" w:space="0" w:color="000000"/>
              <w:bottom w:val="single" w:sz="4" w:space="0" w:color="000000"/>
              <w:right w:val="nil"/>
            </w:tcBorders>
          </w:tcPr>
          <w:p w:rsidR="0052701D" w:rsidRDefault="0052701D"/>
        </w:tc>
        <w:tc>
          <w:tcPr>
            <w:tcW w:w="1805" w:type="dxa"/>
            <w:tcBorders>
              <w:top w:val="single" w:sz="4" w:space="0" w:color="000000"/>
              <w:left w:val="nil"/>
              <w:bottom w:val="single" w:sz="4" w:space="0" w:color="000000"/>
              <w:right w:val="single" w:sz="4" w:space="0" w:color="000000"/>
            </w:tcBorders>
          </w:tcPr>
          <w:p w:rsidR="0052701D" w:rsidRDefault="00D40929">
            <w:pPr>
              <w:spacing w:after="0"/>
              <w:ind w:right="58"/>
              <w:jc w:val="right"/>
            </w:pPr>
            <w:r>
              <w:rPr>
                <w:rFonts w:ascii="Times New Roman" w:eastAsia="Times New Roman" w:hAnsi="Times New Roman" w:cs="Times New Roman"/>
              </w:rPr>
              <w:t xml:space="preserve">Цена сделки </w:t>
            </w:r>
          </w:p>
        </w:tc>
        <w:tc>
          <w:tcPr>
            <w:tcW w:w="2166" w:type="dxa"/>
            <w:tcBorders>
              <w:top w:val="single" w:sz="4" w:space="0" w:color="000000"/>
              <w:left w:val="single" w:sz="4" w:space="0" w:color="000000"/>
              <w:bottom w:val="single" w:sz="4" w:space="0" w:color="000000"/>
              <w:right w:val="nil"/>
            </w:tcBorders>
          </w:tcPr>
          <w:p w:rsidR="0052701D" w:rsidRDefault="0052701D"/>
        </w:tc>
        <w:tc>
          <w:tcPr>
            <w:tcW w:w="1695" w:type="dxa"/>
            <w:tcBorders>
              <w:top w:val="single" w:sz="4" w:space="0" w:color="000000"/>
              <w:left w:val="nil"/>
              <w:bottom w:val="single" w:sz="4" w:space="0" w:color="000000"/>
              <w:right w:val="single" w:sz="4" w:space="0" w:color="000000"/>
            </w:tcBorders>
          </w:tcPr>
          <w:p w:rsidR="0052701D" w:rsidRDefault="00D40929">
            <w:pPr>
              <w:spacing w:after="0"/>
              <w:ind w:right="64"/>
              <w:jc w:val="right"/>
            </w:pPr>
            <w:r>
              <w:rPr>
                <w:rFonts w:ascii="Times New Roman" w:eastAsia="Times New Roman" w:hAnsi="Times New Roman" w:cs="Times New Roman"/>
              </w:rPr>
              <w:t xml:space="preserve">Объем сделки </w:t>
            </w:r>
          </w:p>
        </w:tc>
      </w:tr>
      <w:tr w:rsidR="0052701D">
        <w:trPr>
          <w:trHeight w:val="312"/>
        </w:trPr>
        <w:tc>
          <w:tcPr>
            <w:tcW w:w="0" w:type="auto"/>
            <w:vMerge/>
            <w:tcBorders>
              <w:top w:val="nil"/>
              <w:left w:val="single" w:sz="4" w:space="0" w:color="000000"/>
              <w:bottom w:val="single" w:sz="4" w:space="0" w:color="000000"/>
              <w:right w:val="single" w:sz="4" w:space="0" w:color="000000"/>
            </w:tcBorders>
          </w:tcPr>
          <w:p w:rsidR="0052701D" w:rsidRDefault="0052701D"/>
        </w:tc>
        <w:tc>
          <w:tcPr>
            <w:tcW w:w="1969" w:type="dxa"/>
            <w:tcBorders>
              <w:top w:val="single" w:sz="4" w:space="0" w:color="000000"/>
              <w:left w:val="single" w:sz="4" w:space="0" w:color="000000"/>
              <w:bottom w:val="single" w:sz="4" w:space="0" w:color="000000"/>
              <w:right w:val="nil"/>
            </w:tcBorders>
          </w:tcPr>
          <w:p w:rsidR="0052701D" w:rsidRDefault="0052701D"/>
        </w:tc>
        <w:tc>
          <w:tcPr>
            <w:tcW w:w="1805" w:type="dxa"/>
            <w:tcBorders>
              <w:top w:val="single" w:sz="4" w:space="0" w:color="000000"/>
              <w:left w:val="nil"/>
              <w:bottom w:val="single" w:sz="4" w:space="0" w:color="000000"/>
              <w:right w:val="single" w:sz="4" w:space="0" w:color="000000"/>
            </w:tcBorders>
          </w:tcPr>
          <w:p w:rsidR="0052701D" w:rsidRDefault="00D40929">
            <w:pPr>
              <w:spacing w:after="0"/>
              <w:ind w:right="51"/>
              <w:jc w:val="right"/>
            </w:pPr>
            <w:r>
              <w:rPr>
                <w:rFonts w:ascii="Times New Roman" w:eastAsia="Times New Roman" w:hAnsi="Times New Roman" w:cs="Times New Roman"/>
              </w:rPr>
              <w:t xml:space="preserve">8,0 </w:t>
            </w:r>
          </w:p>
        </w:tc>
        <w:tc>
          <w:tcPr>
            <w:tcW w:w="2166" w:type="dxa"/>
            <w:tcBorders>
              <w:top w:val="single" w:sz="4" w:space="0" w:color="000000"/>
              <w:left w:val="single" w:sz="4" w:space="0" w:color="000000"/>
              <w:bottom w:val="single" w:sz="4" w:space="0" w:color="000000"/>
              <w:right w:val="nil"/>
            </w:tcBorders>
          </w:tcPr>
          <w:p w:rsidR="0052701D" w:rsidRDefault="0052701D"/>
        </w:tc>
        <w:tc>
          <w:tcPr>
            <w:tcW w:w="1695" w:type="dxa"/>
            <w:tcBorders>
              <w:top w:val="single" w:sz="4" w:space="0" w:color="000000"/>
              <w:left w:val="nil"/>
              <w:bottom w:val="single" w:sz="4" w:space="0" w:color="000000"/>
              <w:right w:val="single" w:sz="4" w:space="0" w:color="000000"/>
            </w:tcBorders>
          </w:tcPr>
          <w:p w:rsidR="0052701D" w:rsidRDefault="00D40929">
            <w:pPr>
              <w:spacing w:after="0"/>
              <w:ind w:right="51"/>
              <w:jc w:val="right"/>
            </w:pPr>
            <w:r>
              <w:rPr>
                <w:rFonts w:ascii="Times New Roman" w:eastAsia="Times New Roman" w:hAnsi="Times New Roman" w:cs="Times New Roman"/>
              </w:rPr>
              <w:t xml:space="preserve">275,00 </w:t>
            </w:r>
          </w:p>
        </w:tc>
      </w:tr>
    </w:tbl>
    <w:p w:rsidR="0052701D" w:rsidRDefault="00D40929">
      <w:pPr>
        <w:spacing w:after="0"/>
      </w:pPr>
      <w:r>
        <w:rPr>
          <w:rFonts w:ascii="Times New Roman" w:eastAsia="Times New Roman" w:hAnsi="Times New Roman" w:cs="Times New Roman"/>
        </w:rPr>
        <w:t xml:space="preserve"> </w:t>
      </w:r>
    </w:p>
    <w:p w:rsidR="0052701D" w:rsidRDefault="00D40929">
      <w:pPr>
        <w:spacing w:after="0"/>
        <w:ind w:right="410"/>
      </w:pPr>
      <w:r>
        <w:rPr>
          <w:rFonts w:ascii="Times New Roman" w:eastAsia="Times New Roman" w:hAnsi="Times New Roman" w:cs="Times New Roman"/>
        </w:rPr>
        <w:t xml:space="preserve"> </w:t>
      </w:r>
    </w:p>
    <w:p w:rsidR="0052701D" w:rsidRDefault="00D40929">
      <w:pPr>
        <w:spacing w:after="0"/>
        <w:ind w:left="1449"/>
      </w:pPr>
      <w:r>
        <w:rPr>
          <w:noProof/>
        </w:rPr>
        <w:drawing>
          <wp:inline distT="0" distB="0" distL="0" distR="0">
            <wp:extent cx="4764024" cy="2218944"/>
            <wp:effectExtent l="0" t="0" r="0" b="0"/>
            <wp:docPr id="173038" name="Picture 173038"/>
            <wp:cNvGraphicFramePr/>
            <a:graphic xmlns:a="http://schemas.openxmlformats.org/drawingml/2006/main">
              <a:graphicData uri="http://schemas.openxmlformats.org/drawingml/2006/picture">
                <pic:pic xmlns:pic="http://schemas.openxmlformats.org/drawingml/2006/picture">
                  <pic:nvPicPr>
                    <pic:cNvPr id="173038" name="Picture 173038"/>
                    <pic:cNvPicPr/>
                  </pic:nvPicPr>
                  <pic:blipFill>
                    <a:blip r:embed="rId835"/>
                    <a:stretch>
                      <a:fillRect/>
                    </a:stretch>
                  </pic:blipFill>
                  <pic:spPr>
                    <a:xfrm>
                      <a:off x="0" y="0"/>
                      <a:ext cx="4764024" cy="2218944"/>
                    </a:xfrm>
                    <a:prstGeom prst="rect">
                      <a:avLst/>
                    </a:prstGeom>
                  </pic:spPr>
                </pic:pic>
              </a:graphicData>
            </a:graphic>
          </wp:inline>
        </w:drawing>
      </w:r>
    </w:p>
    <w:p w:rsidR="0052701D" w:rsidRDefault="00D40929">
      <w:pPr>
        <w:spacing w:after="0"/>
        <w:ind w:left="567" w:right="410"/>
      </w:pPr>
      <w:r>
        <w:rPr>
          <w:rFonts w:ascii="Times New Roman" w:eastAsia="Times New Roman" w:hAnsi="Times New Roman" w:cs="Times New Roman"/>
          <w:sz w:val="28"/>
        </w:rPr>
        <w:lastRenderedPageBreak/>
        <w:t xml:space="preserve"> </w:t>
      </w:r>
    </w:p>
    <w:p w:rsidR="0052701D" w:rsidRDefault="00D40929">
      <w:pPr>
        <w:spacing w:after="26"/>
        <w:ind w:left="567"/>
      </w:pPr>
      <w:r>
        <w:rPr>
          <w:rFonts w:ascii="Times New Roman" w:eastAsia="Times New Roman" w:hAnsi="Times New Roman" w:cs="Times New Roman"/>
          <w:sz w:val="28"/>
        </w:rPr>
        <w:t xml:space="preserve"> </w:t>
      </w:r>
    </w:p>
    <w:p w:rsidR="0052701D" w:rsidRDefault="00D40929">
      <w:pPr>
        <w:spacing w:after="5" w:line="271" w:lineRule="auto"/>
        <w:ind w:left="567" w:right="64"/>
        <w:jc w:val="both"/>
      </w:pPr>
      <w:r>
        <w:rPr>
          <w:rFonts w:ascii="Times New Roman" w:eastAsia="Times New Roman" w:hAnsi="Times New Roman" w:cs="Times New Roman"/>
          <w:sz w:val="28"/>
        </w:rPr>
        <w:t xml:space="preserve">Таблица 7 – Объем спроса больше </w:t>
      </w:r>
    </w:p>
    <w:tbl>
      <w:tblPr>
        <w:tblStyle w:val="TableGrid"/>
        <w:tblW w:w="9350" w:type="dxa"/>
        <w:tblInd w:w="5" w:type="dxa"/>
        <w:tblCellMar>
          <w:top w:w="10" w:type="dxa"/>
          <w:left w:w="106" w:type="dxa"/>
          <w:bottom w:w="10" w:type="dxa"/>
          <w:right w:w="46" w:type="dxa"/>
        </w:tblCellMar>
        <w:tblLook w:val="04A0" w:firstRow="1" w:lastRow="0" w:firstColumn="1" w:lastColumn="0" w:noHBand="0" w:noVBand="1"/>
      </w:tblPr>
      <w:tblGrid>
        <w:gridCol w:w="1715"/>
        <w:gridCol w:w="2113"/>
        <w:gridCol w:w="1700"/>
        <w:gridCol w:w="2247"/>
        <w:gridCol w:w="1575"/>
      </w:tblGrid>
      <w:tr w:rsidR="0052701D">
        <w:trPr>
          <w:trHeight w:val="768"/>
        </w:trPr>
        <w:tc>
          <w:tcPr>
            <w:tcW w:w="1715" w:type="dxa"/>
            <w:tcBorders>
              <w:top w:val="single" w:sz="4" w:space="0" w:color="000000"/>
              <w:left w:val="single" w:sz="4" w:space="0" w:color="000000"/>
              <w:bottom w:val="single" w:sz="4" w:space="0" w:color="000000"/>
              <w:right w:val="single" w:sz="4" w:space="0" w:color="000000"/>
            </w:tcBorders>
            <w:vAlign w:val="bottom"/>
          </w:tcPr>
          <w:p w:rsidR="0052701D" w:rsidRDefault="00D40929">
            <w:pPr>
              <w:spacing w:after="0"/>
              <w:ind w:left="5"/>
            </w:pPr>
            <w:r>
              <w:rPr>
                <w:rFonts w:ascii="Times New Roman" w:eastAsia="Times New Roman" w:hAnsi="Times New Roman" w:cs="Times New Roman"/>
              </w:rPr>
              <w:t xml:space="preserve">Наименование </w:t>
            </w:r>
          </w:p>
        </w:tc>
        <w:tc>
          <w:tcPr>
            <w:tcW w:w="2113" w:type="dxa"/>
            <w:tcBorders>
              <w:top w:val="single" w:sz="4" w:space="0" w:color="000000"/>
              <w:left w:val="single" w:sz="4" w:space="0" w:color="000000"/>
              <w:bottom w:val="single" w:sz="4" w:space="0" w:color="000000"/>
              <w:right w:val="single" w:sz="4" w:space="0" w:color="000000"/>
            </w:tcBorders>
            <w:vAlign w:val="bottom"/>
          </w:tcPr>
          <w:p w:rsidR="0052701D" w:rsidRDefault="00D40929">
            <w:pPr>
              <w:spacing w:after="0"/>
              <w:ind w:left="5"/>
            </w:pPr>
            <w:r>
              <w:rPr>
                <w:rFonts w:ascii="Times New Roman" w:eastAsia="Times New Roman" w:hAnsi="Times New Roman" w:cs="Times New Roman"/>
              </w:rPr>
              <w:t xml:space="preserve">Объем предложения, МВт. </w:t>
            </w:r>
          </w:p>
        </w:tc>
        <w:tc>
          <w:tcPr>
            <w:tcW w:w="1700"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Цена продажи желаемое, тенге/кВт*ч </w:t>
            </w:r>
          </w:p>
        </w:tc>
        <w:tc>
          <w:tcPr>
            <w:tcW w:w="224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rPr>
              <w:t xml:space="preserve">Цена потребителя желаемая, тенге/кВт*ч </w:t>
            </w:r>
          </w:p>
        </w:tc>
        <w:tc>
          <w:tcPr>
            <w:tcW w:w="157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rPr>
              <w:t xml:space="preserve">Объем потребления, МВт. </w:t>
            </w:r>
          </w:p>
        </w:tc>
      </w:tr>
      <w:tr w:rsidR="0052701D">
        <w:trPr>
          <w:trHeight w:val="312"/>
        </w:trPr>
        <w:tc>
          <w:tcPr>
            <w:tcW w:w="171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rPr>
              <w:t xml:space="preserve">АЭС </w:t>
            </w:r>
          </w:p>
        </w:tc>
        <w:tc>
          <w:tcPr>
            <w:tcW w:w="2113"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1"/>
              <w:jc w:val="right"/>
            </w:pPr>
            <w:r>
              <w:rPr>
                <w:rFonts w:ascii="Times New Roman" w:eastAsia="Times New Roman" w:hAnsi="Times New Roman" w:cs="Times New Roman"/>
              </w:rPr>
              <w:t xml:space="preserve">30,00 </w:t>
            </w:r>
          </w:p>
        </w:tc>
        <w:tc>
          <w:tcPr>
            <w:tcW w:w="170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0"/>
              <w:jc w:val="right"/>
            </w:pPr>
            <w:r>
              <w:rPr>
                <w:rFonts w:ascii="Times New Roman" w:eastAsia="Times New Roman" w:hAnsi="Times New Roman" w:cs="Times New Roman"/>
              </w:rPr>
              <w:t xml:space="preserve">6,0 </w:t>
            </w:r>
          </w:p>
        </w:tc>
        <w:tc>
          <w:tcPr>
            <w:tcW w:w="224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5"/>
              <w:jc w:val="right"/>
            </w:pPr>
            <w:r>
              <w:rPr>
                <w:rFonts w:ascii="Times New Roman" w:eastAsia="Times New Roman" w:hAnsi="Times New Roman" w:cs="Times New Roman"/>
              </w:rPr>
              <w:t xml:space="preserve">10 </w:t>
            </w:r>
          </w:p>
        </w:tc>
        <w:tc>
          <w:tcPr>
            <w:tcW w:w="157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0"/>
              <w:jc w:val="right"/>
            </w:pPr>
            <w:r>
              <w:rPr>
                <w:rFonts w:ascii="Times New Roman" w:eastAsia="Times New Roman" w:hAnsi="Times New Roman" w:cs="Times New Roman"/>
              </w:rPr>
              <w:t xml:space="preserve">135 </w:t>
            </w:r>
          </w:p>
        </w:tc>
      </w:tr>
      <w:tr w:rsidR="0052701D">
        <w:trPr>
          <w:trHeight w:val="308"/>
        </w:trPr>
        <w:tc>
          <w:tcPr>
            <w:tcW w:w="171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rPr>
              <w:t xml:space="preserve">ВЭС </w:t>
            </w:r>
          </w:p>
        </w:tc>
        <w:tc>
          <w:tcPr>
            <w:tcW w:w="2113"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1"/>
              <w:jc w:val="right"/>
            </w:pPr>
            <w:r>
              <w:rPr>
                <w:rFonts w:ascii="Times New Roman" w:eastAsia="Times New Roman" w:hAnsi="Times New Roman" w:cs="Times New Roman"/>
              </w:rPr>
              <w:t xml:space="preserve">45,00 </w:t>
            </w:r>
          </w:p>
        </w:tc>
        <w:tc>
          <w:tcPr>
            <w:tcW w:w="170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0"/>
              <w:jc w:val="right"/>
            </w:pPr>
            <w:r>
              <w:rPr>
                <w:rFonts w:ascii="Times New Roman" w:eastAsia="Times New Roman" w:hAnsi="Times New Roman" w:cs="Times New Roman"/>
              </w:rPr>
              <w:t xml:space="preserve">6,5 </w:t>
            </w:r>
          </w:p>
        </w:tc>
        <w:tc>
          <w:tcPr>
            <w:tcW w:w="224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1"/>
              <w:jc w:val="right"/>
            </w:pPr>
            <w:r>
              <w:rPr>
                <w:rFonts w:ascii="Times New Roman" w:eastAsia="Times New Roman" w:hAnsi="Times New Roman" w:cs="Times New Roman"/>
              </w:rPr>
              <w:t xml:space="preserve">9,5 </w:t>
            </w:r>
          </w:p>
        </w:tc>
        <w:tc>
          <w:tcPr>
            <w:tcW w:w="157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0"/>
              <w:jc w:val="right"/>
            </w:pPr>
            <w:r>
              <w:rPr>
                <w:rFonts w:ascii="Times New Roman" w:eastAsia="Times New Roman" w:hAnsi="Times New Roman" w:cs="Times New Roman"/>
              </w:rPr>
              <w:t xml:space="preserve">35 </w:t>
            </w:r>
          </w:p>
        </w:tc>
      </w:tr>
      <w:tr w:rsidR="0052701D">
        <w:trPr>
          <w:trHeight w:val="312"/>
        </w:trPr>
        <w:tc>
          <w:tcPr>
            <w:tcW w:w="171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rPr>
              <w:t xml:space="preserve">СЭС </w:t>
            </w:r>
          </w:p>
        </w:tc>
        <w:tc>
          <w:tcPr>
            <w:tcW w:w="2113"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1"/>
              <w:jc w:val="right"/>
            </w:pPr>
            <w:r>
              <w:rPr>
                <w:rFonts w:ascii="Times New Roman" w:eastAsia="Times New Roman" w:hAnsi="Times New Roman" w:cs="Times New Roman"/>
              </w:rPr>
              <w:t xml:space="preserve">200,00 </w:t>
            </w:r>
          </w:p>
        </w:tc>
        <w:tc>
          <w:tcPr>
            <w:tcW w:w="170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0"/>
              <w:jc w:val="right"/>
            </w:pPr>
            <w:r>
              <w:rPr>
                <w:rFonts w:ascii="Times New Roman" w:eastAsia="Times New Roman" w:hAnsi="Times New Roman" w:cs="Times New Roman"/>
              </w:rPr>
              <w:t xml:space="preserve">7,0 </w:t>
            </w:r>
          </w:p>
        </w:tc>
        <w:tc>
          <w:tcPr>
            <w:tcW w:w="224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5"/>
              <w:jc w:val="right"/>
            </w:pPr>
            <w:r>
              <w:rPr>
                <w:rFonts w:ascii="Times New Roman" w:eastAsia="Times New Roman" w:hAnsi="Times New Roman" w:cs="Times New Roman"/>
              </w:rPr>
              <w:t xml:space="preserve">9 </w:t>
            </w:r>
          </w:p>
        </w:tc>
        <w:tc>
          <w:tcPr>
            <w:tcW w:w="157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0"/>
              <w:jc w:val="right"/>
            </w:pPr>
            <w:r>
              <w:rPr>
                <w:rFonts w:ascii="Times New Roman" w:eastAsia="Times New Roman" w:hAnsi="Times New Roman" w:cs="Times New Roman"/>
              </w:rPr>
              <w:t xml:space="preserve">165 </w:t>
            </w:r>
          </w:p>
        </w:tc>
      </w:tr>
      <w:tr w:rsidR="0052701D">
        <w:trPr>
          <w:trHeight w:val="307"/>
        </w:trPr>
        <w:tc>
          <w:tcPr>
            <w:tcW w:w="171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rPr>
              <w:t xml:space="preserve">Итоговая </w:t>
            </w:r>
          </w:p>
        </w:tc>
        <w:tc>
          <w:tcPr>
            <w:tcW w:w="2113" w:type="dxa"/>
            <w:tcBorders>
              <w:top w:val="single" w:sz="4" w:space="0" w:color="000000"/>
              <w:left w:val="single" w:sz="4" w:space="0" w:color="000000"/>
              <w:bottom w:val="single" w:sz="4" w:space="0" w:color="000000"/>
              <w:right w:val="nil"/>
            </w:tcBorders>
          </w:tcPr>
          <w:p w:rsidR="0052701D" w:rsidRDefault="0052701D"/>
        </w:tc>
        <w:tc>
          <w:tcPr>
            <w:tcW w:w="1700" w:type="dxa"/>
            <w:tcBorders>
              <w:top w:val="single" w:sz="4" w:space="0" w:color="000000"/>
              <w:left w:val="nil"/>
              <w:bottom w:val="single" w:sz="4" w:space="0" w:color="000000"/>
              <w:right w:val="single" w:sz="4" w:space="0" w:color="000000"/>
            </w:tcBorders>
          </w:tcPr>
          <w:p w:rsidR="0052701D" w:rsidRDefault="00D40929">
            <w:pPr>
              <w:spacing w:after="0"/>
              <w:ind w:right="63"/>
              <w:jc w:val="right"/>
            </w:pPr>
            <w:r>
              <w:rPr>
                <w:rFonts w:ascii="Times New Roman" w:eastAsia="Times New Roman" w:hAnsi="Times New Roman" w:cs="Times New Roman"/>
              </w:rPr>
              <w:t xml:space="preserve">Цена сделки </w:t>
            </w:r>
          </w:p>
        </w:tc>
        <w:tc>
          <w:tcPr>
            <w:tcW w:w="2247" w:type="dxa"/>
            <w:tcBorders>
              <w:top w:val="single" w:sz="4" w:space="0" w:color="000000"/>
              <w:left w:val="single" w:sz="4" w:space="0" w:color="000000"/>
              <w:bottom w:val="single" w:sz="4" w:space="0" w:color="000000"/>
              <w:right w:val="nil"/>
            </w:tcBorders>
          </w:tcPr>
          <w:p w:rsidR="0052701D" w:rsidRDefault="0052701D"/>
        </w:tc>
        <w:tc>
          <w:tcPr>
            <w:tcW w:w="1575" w:type="dxa"/>
            <w:tcBorders>
              <w:top w:val="single" w:sz="4" w:space="0" w:color="000000"/>
              <w:left w:val="nil"/>
              <w:bottom w:val="single" w:sz="4" w:space="0" w:color="000000"/>
              <w:right w:val="single" w:sz="4" w:space="0" w:color="000000"/>
            </w:tcBorders>
          </w:tcPr>
          <w:p w:rsidR="0052701D" w:rsidRDefault="00D40929">
            <w:pPr>
              <w:spacing w:after="0"/>
              <w:ind w:left="43"/>
            </w:pPr>
            <w:r>
              <w:rPr>
                <w:rFonts w:ascii="Times New Roman" w:eastAsia="Times New Roman" w:hAnsi="Times New Roman" w:cs="Times New Roman"/>
              </w:rPr>
              <w:t xml:space="preserve">Объем сделки </w:t>
            </w:r>
          </w:p>
        </w:tc>
      </w:tr>
      <w:tr w:rsidR="0052701D">
        <w:trPr>
          <w:trHeight w:val="312"/>
        </w:trPr>
        <w:tc>
          <w:tcPr>
            <w:tcW w:w="171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rPr>
              <w:t xml:space="preserve"> </w:t>
            </w:r>
          </w:p>
        </w:tc>
        <w:tc>
          <w:tcPr>
            <w:tcW w:w="2113" w:type="dxa"/>
            <w:tcBorders>
              <w:top w:val="single" w:sz="4" w:space="0" w:color="000000"/>
              <w:left w:val="single" w:sz="4" w:space="0" w:color="000000"/>
              <w:bottom w:val="single" w:sz="4" w:space="0" w:color="000000"/>
              <w:right w:val="nil"/>
            </w:tcBorders>
          </w:tcPr>
          <w:p w:rsidR="0052701D" w:rsidRDefault="0052701D"/>
        </w:tc>
        <w:tc>
          <w:tcPr>
            <w:tcW w:w="1700" w:type="dxa"/>
            <w:tcBorders>
              <w:top w:val="single" w:sz="4" w:space="0" w:color="000000"/>
              <w:left w:val="nil"/>
              <w:bottom w:val="single" w:sz="4" w:space="0" w:color="000000"/>
              <w:right w:val="single" w:sz="4" w:space="0" w:color="000000"/>
            </w:tcBorders>
          </w:tcPr>
          <w:p w:rsidR="0052701D" w:rsidRDefault="00D40929">
            <w:pPr>
              <w:spacing w:after="0"/>
              <w:ind w:right="55"/>
              <w:jc w:val="right"/>
            </w:pPr>
            <w:r>
              <w:rPr>
                <w:rFonts w:ascii="Times New Roman" w:eastAsia="Times New Roman" w:hAnsi="Times New Roman" w:cs="Times New Roman"/>
              </w:rPr>
              <w:t xml:space="preserve">9,0 </w:t>
            </w:r>
          </w:p>
        </w:tc>
        <w:tc>
          <w:tcPr>
            <w:tcW w:w="2247" w:type="dxa"/>
            <w:tcBorders>
              <w:top w:val="single" w:sz="4" w:space="0" w:color="000000"/>
              <w:left w:val="single" w:sz="4" w:space="0" w:color="000000"/>
              <w:bottom w:val="single" w:sz="4" w:space="0" w:color="000000"/>
              <w:right w:val="nil"/>
            </w:tcBorders>
          </w:tcPr>
          <w:p w:rsidR="0052701D" w:rsidRDefault="0052701D"/>
        </w:tc>
        <w:tc>
          <w:tcPr>
            <w:tcW w:w="1575" w:type="dxa"/>
            <w:tcBorders>
              <w:top w:val="single" w:sz="4" w:space="0" w:color="000000"/>
              <w:left w:val="nil"/>
              <w:bottom w:val="single" w:sz="4" w:space="0" w:color="000000"/>
              <w:right w:val="single" w:sz="4" w:space="0" w:color="000000"/>
            </w:tcBorders>
          </w:tcPr>
          <w:p w:rsidR="0052701D" w:rsidRDefault="00D40929">
            <w:pPr>
              <w:spacing w:after="0"/>
              <w:ind w:right="56"/>
              <w:jc w:val="right"/>
            </w:pPr>
            <w:r>
              <w:rPr>
                <w:rFonts w:ascii="Times New Roman" w:eastAsia="Times New Roman" w:hAnsi="Times New Roman" w:cs="Times New Roman"/>
              </w:rPr>
              <w:t xml:space="preserve">275,00 </w:t>
            </w:r>
          </w:p>
        </w:tc>
      </w:tr>
    </w:tbl>
    <w:p w:rsidR="0052701D" w:rsidRDefault="00D40929">
      <w:pPr>
        <w:spacing w:after="0"/>
      </w:pPr>
      <w:r>
        <w:rPr>
          <w:rFonts w:ascii="Times New Roman" w:eastAsia="Times New Roman" w:hAnsi="Times New Roman" w:cs="Times New Roman"/>
        </w:rPr>
        <w:t xml:space="preserve"> </w:t>
      </w:r>
    </w:p>
    <w:p w:rsidR="0052701D" w:rsidRDefault="00D40929">
      <w:pPr>
        <w:spacing w:after="0"/>
        <w:ind w:right="648"/>
        <w:jc w:val="right"/>
      </w:pPr>
      <w:r>
        <w:rPr>
          <w:noProof/>
        </w:rPr>
        <w:drawing>
          <wp:inline distT="0" distB="0" distL="0" distR="0">
            <wp:extent cx="5053585" cy="2380488"/>
            <wp:effectExtent l="0" t="0" r="0" b="0"/>
            <wp:docPr id="173450" name="Picture 173450"/>
            <wp:cNvGraphicFramePr/>
            <a:graphic xmlns:a="http://schemas.openxmlformats.org/drawingml/2006/main">
              <a:graphicData uri="http://schemas.openxmlformats.org/drawingml/2006/picture">
                <pic:pic xmlns:pic="http://schemas.openxmlformats.org/drawingml/2006/picture">
                  <pic:nvPicPr>
                    <pic:cNvPr id="173450" name="Picture 173450"/>
                    <pic:cNvPicPr/>
                  </pic:nvPicPr>
                  <pic:blipFill>
                    <a:blip r:embed="rId836"/>
                    <a:stretch>
                      <a:fillRect/>
                    </a:stretch>
                  </pic:blipFill>
                  <pic:spPr>
                    <a:xfrm>
                      <a:off x="0" y="0"/>
                      <a:ext cx="5053585" cy="2380488"/>
                    </a:xfrm>
                    <a:prstGeom prst="rect">
                      <a:avLst/>
                    </a:prstGeom>
                  </pic:spPr>
                </pic:pic>
              </a:graphicData>
            </a:graphic>
          </wp:inline>
        </w:drawing>
      </w:r>
      <w:r>
        <w:rPr>
          <w:rFonts w:ascii="Times New Roman" w:eastAsia="Times New Roman" w:hAnsi="Times New Roman" w:cs="Times New Roman"/>
        </w:rPr>
        <w:t xml:space="preserve"> </w:t>
      </w:r>
    </w:p>
    <w:p w:rsidR="0052701D" w:rsidRDefault="00D40929">
      <w:pPr>
        <w:spacing w:after="90"/>
      </w:pPr>
      <w:r>
        <w:rPr>
          <w:rFonts w:ascii="Times New Roman" w:eastAsia="Times New Roman" w:hAnsi="Times New Roman" w:cs="Times New Roman"/>
        </w:rPr>
        <w:t xml:space="preserve"> </w:t>
      </w:r>
    </w:p>
    <w:p w:rsidR="0052701D" w:rsidRDefault="00D40929">
      <w:pPr>
        <w:spacing w:after="14" w:line="249" w:lineRule="auto"/>
        <w:ind w:left="10" w:right="511" w:hanging="10"/>
        <w:jc w:val="center"/>
      </w:pPr>
      <w:r>
        <w:rPr>
          <w:rFonts w:ascii="Times New Roman" w:eastAsia="Times New Roman" w:hAnsi="Times New Roman" w:cs="Times New Roman"/>
          <w:sz w:val="28"/>
        </w:rPr>
        <w:t xml:space="preserve">Таблица 8 – </w:t>
      </w:r>
      <w:r>
        <w:rPr>
          <w:rFonts w:ascii="Times New Roman" w:eastAsia="Times New Roman" w:hAnsi="Times New Roman" w:cs="Times New Roman"/>
          <w:sz w:val="28"/>
        </w:rPr>
        <w:t xml:space="preserve">Графики пересекаются, объем предложения больше </w:t>
      </w:r>
    </w:p>
    <w:tbl>
      <w:tblPr>
        <w:tblStyle w:val="TableGrid"/>
        <w:tblW w:w="9350" w:type="dxa"/>
        <w:tblInd w:w="5" w:type="dxa"/>
        <w:tblCellMar>
          <w:top w:w="5" w:type="dxa"/>
          <w:left w:w="110" w:type="dxa"/>
          <w:bottom w:w="10" w:type="dxa"/>
          <w:right w:w="50" w:type="dxa"/>
        </w:tblCellMar>
        <w:tblLook w:val="04A0" w:firstRow="1" w:lastRow="0" w:firstColumn="1" w:lastColumn="0" w:noHBand="0" w:noVBand="1"/>
      </w:tblPr>
      <w:tblGrid>
        <w:gridCol w:w="1672"/>
        <w:gridCol w:w="1589"/>
        <w:gridCol w:w="2266"/>
        <w:gridCol w:w="2291"/>
        <w:gridCol w:w="1532"/>
      </w:tblGrid>
      <w:tr w:rsidR="0052701D">
        <w:trPr>
          <w:trHeight w:val="769"/>
        </w:trPr>
        <w:tc>
          <w:tcPr>
            <w:tcW w:w="1671" w:type="dxa"/>
            <w:tcBorders>
              <w:top w:val="single" w:sz="4" w:space="0" w:color="000000"/>
              <w:left w:val="single" w:sz="4" w:space="0" w:color="000000"/>
              <w:bottom w:val="single" w:sz="4" w:space="0" w:color="000000"/>
              <w:right w:val="single" w:sz="4" w:space="0" w:color="000000"/>
            </w:tcBorders>
            <w:vAlign w:val="bottom"/>
          </w:tcPr>
          <w:p w:rsidR="0052701D" w:rsidRDefault="00D40929">
            <w:pPr>
              <w:spacing w:after="0"/>
            </w:pPr>
            <w:r>
              <w:rPr>
                <w:rFonts w:ascii="Times New Roman" w:eastAsia="Times New Roman" w:hAnsi="Times New Roman" w:cs="Times New Roman"/>
              </w:rPr>
              <w:t xml:space="preserve">Наименование </w:t>
            </w:r>
          </w:p>
        </w:tc>
        <w:tc>
          <w:tcPr>
            <w:tcW w:w="1589"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Объем предложения, МВт. </w:t>
            </w:r>
          </w:p>
        </w:tc>
        <w:tc>
          <w:tcPr>
            <w:tcW w:w="226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Цена продажи желаемое, тенге/кВт*ч </w:t>
            </w:r>
          </w:p>
        </w:tc>
        <w:tc>
          <w:tcPr>
            <w:tcW w:w="2291"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Цена потребителя желаемая, тенге/кВт*ч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Объем потребления, МВт. </w:t>
            </w:r>
          </w:p>
        </w:tc>
      </w:tr>
      <w:tr w:rsidR="0052701D">
        <w:trPr>
          <w:trHeight w:val="312"/>
        </w:trPr>
        <w:tc>
          <w:tcPr>
            <w:tcW w:w="1671"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АЭС </w:t>
            </w:r>
          </w:p>
        </w:tc>
        <w:tc>
          <w:tcPr>
            <w:tcW w:w="1589"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1"/>
              <w:jc w:val="right"/>
            </w:pPr>
            <w:r>
              <w:rPr>
                <w:rFonts w:ascii="Times New Roman" w:eastAsia="Times New Roman" w:hAnsi="Times New Roman" w:cs="Times New Roman"/>
              </w:rPr>
              <w:t xml:space="preserve">90,00 </w:t>
            </w:r>
          </w:p>
        </w:tc>
        <w:tc>
          <w:tcPr>
            <w:tcW w:w="226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1"/>
              <w:jc w:val="right"/>
            </w:pPr>
            <w:r>
              <w:rPr>
                <w:rFonts w:ascii="Times New Roman" w:eastAsia="Times New Roman" w:hAnsi="Times New Roman" w:cs="Times New Roman"/>
              </w:rPr>
              <w:t xml:space="preserve">7,00 </w:t>
            </w:r>
          </w:p>
        </w:tc>
        <w:tc>
          <w:tcPr>
            <w:tcW w:w="229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1"/>
              <w:jc w:val="right"/>
            </w:pPr>
            <w:r>
              <w:rPr>
                <w:rFonts w:ascii="Times New Roman" w:eastAsia="Times New Roman" w:hAnsi="Times New Roman" w:cs="Times New Roman"/>
              </w:rPr>
              <w:t xml:space="preserve">8,7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6"/>
              <w:jc w:val="right"/>
            </w:pPr>
            <w:r>
              <w:rPr>
                <w:rFonts w:ascii="Times New Roman" w:eastAsia="Times New Roman" w:hAnsi="Times New Roman" w:cs="Times New Roman"/>
              </w:rPr>
              <w:t xml:space="preserve">75 </w:t>
            </w:r>
          </w:p>
        </w:tc>
      </w:tr>
      <w:tr w:rsidR="0052701D">
        <w:trPr>
          <w:trHeight w:val="312"/>
        </w:trPr>
        <w:tc>
          <w:tcPr>
            <w:tcW w:w="1671"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ВЭС </w:t>
            </w:r>
          </w:p>
        </w:tc>
        <w:tc>
          <w:tcPr>
            <w:tcW w:w="1589"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1"/>
              <w:jc w:val="right"/>
            </w:pPr>
            <w:r>
              <w:rPr>
                <w:rFonts w:ascii="Times New Roman" w:eastAsia="Times New Roman" w:hAnsi="Times New Roman" w:cs="Times New Roman"/>
              </w:rPr>
              <w:t xml:space="preserve">110,00 </w:t>
            </w:r>
          </w:p>
        </w:tc>
        <w:tc>
          <w:tcPr>
            <w:tcW w:w="226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1"/>
              <w:jc w:val="right"/>
            </w:pPr>
            <w:r>
              <w:rPr>
                <w:rFonts w:ascii="Times New Roman" w:eastAsia="Times New Roman" w:hAnsi="Times New Roman" w:cs="Times New Roman"/>
              </w:rPr>
              <w:t xml:space="preserve">8,50 </w:t>
            </w:r>
          </w:p>
        </w:tc>
        <w:tc>
          <w:tcPr>
            <w:tcW w:w="229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1"/>
              <w:jc w:val="right"/>
            </w:pPr>
            <w:r>
              <w:rPr>
                <w:rFonts w:ascii="Times New Roman" w:eastAsia="Times New Roman" w:hAnsi="Times New Roman" w:cs="Times New Roman"/>
              </w:rPr>
              <w:t xml:space="preserve">8,3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6"/>
              <w:jc w:val="right"/>
            </w:pPr>
            <w:r>
              <w:rPr>
                <w:rFonts w:ascii="Times New Roman" w:eastAsia="Times New Roman" w:hAnsi="Times New Roman" w:cs="Times New Roman"/>
              </w:rPr>
              <w:t xml:space="preserve">45 </w:t>
            </w:r>
          </w:p>
        </w:tc>
      </w:tr>
      <w:tr w:rsidR="0052701D">
        <w:trPr>
          <w:trHeight w:val="307"/>
        </w:trPr>
        <w:tc>
          <w:tcPr>
            <w:tcW w:w="1671"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 </w:t>
            </w:r>
          </w:p>
        </w:tc>
        <w:tc>
          <w:tcPr>
            <w:tcW w:w="1589" w:type="dxa"/>
            <w:tcBorders>
              <w:top w:val="single" w:sz="4" w:space="0" w:color="000000"/>
              <w:left w:val="single" w:sz="4" w:space="0" w:color="000000"/>
              <w:bottom w:val="single" w:sz="4" w:space="0" w:color="000000"/>
              <w:right w:val="single" w:sz="4" w:space="0" w:color="000000"/>
            </w:tcBorders>
          </w:tcPr>
          <w:p w:rsidR="0052701D" w:rsidRDefault="00D40929">
            <w:pPr>
              <w:spacing w:after="0"/>
              <w:jc w:val="right"/>
            </w:pPr>
            <w:r>
              <w:rPr>
                <w:rFonts w:ascii="Times New Roman" w:eastAsia="Times New Roman" w:hAnsi="Times New Roman" w:cs="Times New Roman"/>
              </w:rPr>
              <w:t xml:space="preserve"> </w:t>
            </w:r>
          </w:p>
        </w:tc>
        <w:tc>
          <w:tcPr>
            <w:tcW w:w="226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1"/>
              <w:jc w:val="right"/>
            </w:pPr>
            <w:r>
              <w:rPr>
                <w:rFonts w:ascii="Times New Roman" w:eastAsia="Times New Roman" w:hAnsi="Times New Roman" w:cs="Times New Roman"/>
              </w:rPr>
              <w:t xml:space="preserve">8,40 </w:t>
            </w:r>
          </w:p>
        </w:tc>
        <w:tc>
          <w:tcPr>
            <w:tcW w:w="229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1"/>
              <w:jc w:val="right"/>
            </w:pPr>
            <w:r>
              <w:rPr>
                <w:rFonts w:ascii="Times New Roman" w:eastAsia="Times New Roman" w:hAnsi="Times New Roman" w:cs="Times New Roman"/>
              </w:rPr>
              <w:t xml:space="preserve">7,9 </w:t>
            </w:r>
          </w:p>
        </w:tc>
        <w:tc>
          <w:tcPr>
            <w:tcW w:w="153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6"/>
              <w:jc w:val="right"/>
            </w:pPr>
            <w:r>
              <w:rPr>
                <w:rFonts w:ascii="Times New Roman" w:eastAsia="Times New Roman" w:hAnsi="Times New Roman" w:cs="Times New Roman"/>
              </w:rPr>
              <w:t xml:space="preserve">50 </w:t>
            </w:r>
          </w:p>
        </w:tc>
      </w:tr>
      <w:tr w:rsidR="0052701D">
        <w:trPr>
          <w:trHeight w:val="312"/>
        </w:trPr>
        <w:tc>
          <w:tcPr>
            <w:tcW w:w="1671"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Итоговая </w:t>
            </w:r>
          </w:p>
        </w:tc>
        <w:tc>
          <w:tcPr>
            <w:tcW w:w="1589" w:type="dxa"/>
            <w:tcBorders>
              <w:top w:val="single" w:sz="4" w:space="0" w:color="000000"/>
              <w:left w:val="single" w:sz="4" w:space="0" w:color="000000"/>
              <w:bottom w:val="single" w:sz="4" w:space="0" w:color="000000"/>
              <w:right w:val="nil"/>
            </w:tcBorders>
          </w:tcPr>
          <w:p w:rsidR="0052701D" w:rsidRDefault="0052701D"/>
        </w:tc>
        <w:tc>
          <w:tcPr>
            <w:tcW w:w="2266" w:type="dxa"/>
            <w:tcBorders>
              <w:top w:val="single" w:sz="4" w:space="0" w:color="000000"/>
              <w:left w:val="nil"/>
              <w:bottom w:val="single" w:sz="4" w:space="0" w:color="000000"/>
              <w:right w:val="single" w:sz="4" w:space="0" w:color="000000"/>
            </w:tcBorders>
          </w:tcPr>
          <w:p w:rsidR="0052701D" w:rsidRDefault="00D40929">
            <w:pPr>
              <w:spacing w:after="0"/>
              <w:ind w:right="58"/>
              <w:jc w:val="right"/>
            </w:pPr>
            <w:r>
              <w:rPr>
                <w:rFonts w:ascii="Times New Roman" w:eastAsia="Times New Roman" w:hAnsi="Times New Roman" w:cs="Times New Roman"/>
              </w:rPr>
              <w:t xml:space="preserve">Цена сделки </w:t>
            </w:r>
          </w:p>
        </w:tc>
        <w:tc>
          <w:tcPr>
            <w:tcW w:w="3823" w:type="dxa"/>
            <w:gridSpan w:val="2"/>
            <w:tcBorders>
              <w:top w:val="single" w:sz="4" w:space="0" w:color="000000"/>
              <w:left w:val="single" w:sz="4" w:space="0" w:color="000000"/>
              <w:bottom w:val="single" w:sz="4" w:space="0" w:color="000000"/>
              <w:right w:val="single" w:sz="4" w:space="0" w:color="000000"/>
            </w:tcBorders>
          </w:tcPr>
          <w:p w:rsidR="0052701D" w:rsidRDefault="00D40929">
            <w:pPr>
              <w:spacing w:after="0"/>
              <w:ind w:right="64"/>
              <w:jc w:val="right"/>
            </w:pPr>
            <w:r>
              <w:rPr>
                <w:rFonts w:ascii="Times New Roman" w:eastAsia="Times New Roman" w:hAnsi="Times New Roman" w:cs="Times New Roman"/>
              </w:rPr>
              <w:t xml:space="preserve">Объем сделки </w:t>
            </w:r>
          </w:p>
        </w:tc>
      </w:tr>
      <w:tr w:rsidR="0052701D">
        <w:trPr>
          <w:trHeight w:val="307"/>
        </w:trPr>
        <w:tc>
          <w:tcPr>
            <w:tcW w:w="1671"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 </w:t>
            </w:r>
          </w:p>
        </w:tc>
        <w:tc>
          <w:tcPr>
            <w:tcW w:w="1589" w:type="dxa"/>
            <w:tcBorders>
              <w:top w:val="single" w:sz="4" w:space="0" w:color="000000"/>
              <w:left w:val="single" w:sz="4" w:space="0" w:color="000000"/>
              <w:bottom w:val="single" w:sz="4" w:space="0" w:color="000000"/>
              <w:right w:val="nil"/>
            </w:tcBorders>
          </w:tcPr>
          <w:p w:rsidR="0052701D" w:rsidRDefault="0052701D"/>
        </w:tc>
        <w:tc>
          <w:tcPr>
            <w:tcW w:w="2266" w:type="dxa"/>
            <w:tcBorders>
              <w:top w:val="single" w:sz="4" w:space="0" w:color="000000"/>
              <w:left w:val="nil"/>
              <w:bottom w:val="single" w:sz="4" w:space="0" w:color="000000"/>
              <w:right w:val="single" w:sz="4" w:space="0" w:color="000000"/>
            </w:tcBorders>
          </w:tcPr>
          <w:p w:rsidR="0052701D" w:rsidRDefault="00D40929">
            <w:pPr>
              <w:spacing w:after="0"/>
              <w:ind w:right="51"/>
              <w:jc w:val="right"/>
            </w:pPr>
            <w:r>
              <w:rPr>
                <w:rFonts w:ascii="Times New Roman" w:eastAsia="Times New Roman" w:hAnsi="Times New Roman" w:cs="Times New Roman"/>
              </w:rPr>
              <w:t xml:space="preserve">7,0 </w:t>
            </w:r>
          </w:p>
        </w:tc>
        <w:tc>
          <w:tcPr>
            <w:tcW w:w="3823" w:type="dxa"/>
            <w:gridSpan w:val="2"/>
            <w:tcBorders>
              <w:top w:val="single" w:sz="4" w:space="0" w:color="000000"/>
              <w:left w:val="single" w:sz="4" w:space="0" w:color="000000"/>
              <w:bottom w:val="single" w:sz="4" w:space="0" w:color="000000"/>
              <w:right w:val="single" w:sz="4" w:space="0" w:color="000000"/>
            </w:tcBorders>
          </w:tcPr>
          <w:p w:rsidR="0052701D" w:rsidRDefault="00D40929">
            <w:pPr>
              <w:spacing w:after="0"/>
              <w:ind w:right="51"/>
              <w:jc w:val="right"/>
            </w:pPr>
            <w:r>
              <w:rPr>
                <w:rFonts w:ascii="Times New Roman" w:eastAsia="Times New Roman" w:hAnsi="Times New Roman" w:cs="Times New Roman"/>
              </w:rPr>
              <w:t xml:space="preserve">90,00 </w:t>
            </w:r>
          </w:p>
        </w:tc>
      </w:tr>
    </w:tbl>
    <w:p w:rsidR="0052701D" w:rsidRDefault="00D40929">
      <w:pPr>
        <w:spacing w:after="0"/>
        <w:ind w:left="49"/>
        <w:jc w:val="center"/>
      </w:pPr>
      <w:r>
        <w:rPr>
          <w:rFonts w:ascii="Times New Roman" w:eastAsia="Times New Roman" w:hAnsi="Times New Roman" w:cs="Times New Roman"/>
        </w:rPr>
        <w:t xml:space="preserve"> </w:t>
      </w:r>
    </w:p>
    <w:p w:rsidR="0052701D" w:rsidRDefault="00D40929">
      <w:pPr>
        <w:spacing w:after="0"/>
        <w:ind w:left="49"/>
        <w:jc w:val="center"/>
      </w:pPr>
      <w:r>
        <w:rPr>
          <w:rFonts w:ascii="Times New Roman" w:eastAsia="Times New Roman" w:hAnsi="Times New Roman" w:cs="Times New Roman"/>
        </w:rPr>
        <w:t xml:space="preserve"> </w:t>
      </w:r>
    </w:p>
    <w:p w:rsidR="0052701D" w:rsidRDefault="00D40929">
      <w:pPr>
        <w:spacing w:after="0"/>
        <w:ind w:right="735"/>
        <w:jc w:val="right"/>
      </w:pPr>
      <w:r>
        <w:rPr>
          <w:noProof/>
        </w:rPr>
        <w:lastRenderedPageBreak/>
        <w:drawing>
          <wp:inline distT="0" distB="0" distL="0" distR="0">
            <wp:extent cx="4940808" cy="2304288"/>
            <wp:effectExtent l="0" t="0" r="0" b="0"/>
            <wp:docPr id="173452" name="Picture 173452"/>
            <wp:cNvGraphicFramePr/>
            <a:graphic xmlns:a="http://schemas.openxmlformats.org/drawingml/2006/main">
              <a:graphicData uri="http://schemas.openxmlformats.org/drawingml/2006/picture">
                <pic:pic xmlns:pic="http://schemas.openxmlformats.org/drawingml/2006/picture">
                  <pic:nvPicPr>
                    <pic:cNvPr id="173452" name="Picture 173452"/>
                    <pic:cNvPicPr/>
                  </pic:nvPicPr>
                  <pic:blipFill>
                    <a:blip r:embed="rId837"/>
                    <a:stretch>
                      <a:fillRect/>
                    </a:stretch>
                  </pic:blipFill>
                  <pic:spPr>
                    <a:xfrm>
                      <a:off x="0" y="0"/>
                      <a:ext cx="4940808" cy="2304288"/>
                    </a:xfrm>
                    <a:prstGeom prst="rect">
                      <a:avLst/>
                    </a:prstGeom>
                  </pic:spPr>
                </pic:pic>
              </a:graphicData>
            </a:graphic>
          </wp:inline>
        </w:drawing>
      </w:r>
      <w:r>
        <w:rPr>
          <w:rFonts w:ascii="Times New Roman" w:eastAsia="Times New Roman" w:hAnsi="Times New Roman" w:cs="Times New Roman"/>
        </w:rPr>
        <w:t xml:space="preserve"> </w:t>
      </w:r>
    </w:p>
    <w:p w:rsidR="0052701D" w:rsidRDefault="00D40929">
      <w:pPr>
        <w:spacing w:after="90"/>
        <w:ind w:left="567"/>
      </w:pPr>
      <w:r>
        <w:rPr>
          <w:rFonts w:ascii="Times New Roman" w:eastAsia="Times New Roman" w:hAnsi="Times New Roman" w:cs="Times New Roman"/>
        </w:rPr>
        <w:t xml:space="preserve"> </w:t>
      </w:r>
    </w:p>
    <w:p w:rsidR="0052701D" w:rsidRDefault="00D40929">
      <w:pPr>
        <w:spacing w:after="5" w:line="271" w:lineRule="auto"/>
        <w:ind w:left="567" w:right="64"/>
        <w:jc w:val="both"/>
      </w:pPr>
      <w:r>
        <w:rPr>
          <w:rFonts w:ascii="Times New Roman" w:eastAsia="Times New Roman" w:hAnsi="Times New Roman" w:cs="Times New Roman"/>
          <w:sz w:val="28"/>
        </w:rPr>
        <w:t xml:space="preserve">Таблица 9 – Объем предложения и спроса равны </w:t>
      </w:r>
    </w:p>
    <w:tbl>
      <w:tblPr>
        <w:tblStyle w:val="TableGrid"/>
        <w:tblW w:w="9350" w:type="dxa"/>
        <w:tblInd w:w="5" w:type="dxa"/>
        <w:tblCellMar>
          <w:top w:w="5" w:type="dxa"/>
          <w:left w:w="106" w:type="dxa"/>
          <w:bottom w:w="10" w:type="dxa"/>
          <w:right w:w="46" w:type="dxa"/>
        </w:tblCellMar>
        <w:tblLook w:val="04A0" w:firstRow="1" w:lastRow="0" w:firstColumn="1" w:lastColumn="0" w:noHBand="0" w:noVBand="1"/>
      </w:tblPr>
      <w:tblGrid>
        <w:gridCol w:w="1715"/>
        <w:gridCol w:w="1637"/>
        <w:gridCol w:w="1892"/>
        <w:gridCol w:w="2531"/>
        <w:gridCol w:w="1575"/>
      </w:tblGrid>
      <w:tr w:rsidR="0052701D">
        <w:trPr>
          <w:trHeight w:val="768"/>
        </w:trPr>
        <w:tc>
          <w:tcPr>
            <w:tcW w:w="1715" w:type="dxa"/>
            <w:tcBorders>
              <w:top w:val="single" w:sz="4" w:space="0" w:color="000000"/>
              <w:left w:val="single" w:sz="4" w:space="0" w:color="000000"/>
              <w:bottom w:val="single" w:sz="4" w:space="0" w:color="000000"/>
              <w:right w:val="single" w:sz="4" w:space="0" w:color="000000"/>
            </w:tcBorders>
            <w:vAlign w:val="bottom"/>
          </w:tcPr>
          <w:p w:rsidR="0052701D" w:rsidRDefault="00D40929">
            <w:pPr>
              <w:spacing w:after="0"/>
              <w:ind w:left="5"/>
            </w:pPr>
            <w:r>
              <w:rPr>
                <w:rFonts w:ascii="Times New Roman" w:eastAsia="Times New Roman" w:hAnsi="Times New Roman" w:cs="Times New Roman"/>
              </w:rPr>
              <w:t xml:space="preserve">Наименование </w:t>
            </w:r>
          </w:p>
        </w:tc>
        <w:tc>
          <w:tcPr>
            <w:tcW w:w="163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rPr>
              <w:t xml:space="preserve">Объем предложения, МВт. </w:t>
            </w:r>
          </w:p>
        </w:tc>
        <w:tc>
          <w:tcPr>
            <w:tcW w:w="1892"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Цена продажи желаемое, тенге/кВт*ч </w:t>
            </w:r>
          </w:p>
        </w:tc>
        <w:tc>
          <w:tcPr>
            <w:tcW w:w="2531" w:type="dxa"/>
            <w:tcBorders>
              <w:top w:val="single" w:sz="4" w:space="0" w:color="000000"/>
              <w:left w:val="single" w:sz="4" w:space="0" w:color="000000"/>
              <w:bottom w:val="single" w:sz="4" w:space="0" w:color="000000"/>
              <w:right w:val="single" w:sz="4" w:space="0" w:color="000000"/>
            </w:tcBorders>
            <w:vAlign w:val="bottom"/>
          </w:tcPr>
          <w:p w:rsidR="0052701D" w:rsidRDefault="00D40929">
            <w:pPr>
              <w:spacing w:after="0"/>
              <w:ind w:left="5"/>
            </w:pPr>
            <w:r>
              <w:rPr>
                <w:rFonts w:ascii="Times New Roman" w:eastAsia="Times New Roman" w:hAnsi="Times New Roman" w:cs="Times New Roman"/>
              </w:rPr>
              <w:t xml:space="preserve">Цена потребителя желаемая, тенге/кВт*ч </w:t>
            </w:r>
          </w:p>
        </w:tc>
        <w:tc>
          <w:tcPr>
            <w:tcW w:w="157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rPr>
              <w:t xml:space="preserve">Объем потребления, МВт. </w:t>
            </w:r>
          </w:p>
        </w:tc>
      </w:tr>
      <w:tr w:rsidR="0052701D">
        <w:trPr>
          <w:trHeight w:val="312"/>
        </w:trPr>
        <w:tc>
          <w:tcPr>
            <w:tcW w:w="171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rPr>
              <w:t xml:space="preserve">АЭС </w:t>
            </w:r>
          </w:p>
        </w:tc>
        <w:tc>
          <w:tcPr>
            <w:tcW w:w="163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0"/>
              <w:jc w:val="right"/>
            </w:pPr>
            <w:r>
              <w:rPr>
                <w:rFonts w:ascii="Times New Roman" w:eastAsia="Times New Roman" w:hAnsi="Times New Roman" w:cs="Times New Roman"/>
              </w:rPr>
              <w:t xml:space="preserve">90,00 </w:t>
            </w:r>
          </w:p>
        </w:tc>
        <w:tc>
          <w:tcPr>
            <w:tcW w:w="189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0"/>
              <w:jc w:val="right"/>
            </w:pPr>
            <w:r>
              <w:rPr>
                <w:rFonts w:ascii="Times New Roman" w:eastAsia="Times New Roman" w:hAnsi="Times New Roman" w:cs="Times New Roman"/>
              </w:rPr>
              <w:t xml:space="preserve">7,00 </w:t>
            </w:r>
          </w:p>
        </w:tc>
        <w:tc>
          <w:tcPr>
            <w:tcW w:w="253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1"/>
              <w:jc w:val="right"/>
            </w:pPr>
            <w:r>
              <w:rPr>
                <w:rFonts w:ascii="Times New Roman" w:eastAsia="Times New Roman" w:hAnsi="Times New Roman" w:cs="Times New Roman"/>
              </w:rPr>
              <w:t xml:space="preserve">8,7 </w:t>
            </w:r>
          </w:p>
        </w:tc>
        <w:tc>
          <w:tcPr>
            <w:tcW w:w="157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0"/>
              <w:jc w:val="right"/>
            </w:pPr>
            <w:r>
              <w:rPr>
                <w:rFonts w:ascii="Times New Roman" w:eastAsia="Times New Roman" w:hAnsi="Times New Roman" w:cs="Times New Roman"/>
              </w:rPr>
              <w:t xml:space="preserve">75 </w:t>
            </w:r>
          </w:p>
        </w:tc>
      </w:tr>
      <w:tr w:rsidR="0052701D">
        <w:trPr>
          <w:trHeight w:val="308"/>
        </w:trPr>
        <w:tc>
          <w:tcPr>
            <w:tcW w:w="171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rPr>
              <w:t xml:space="preserve">ВЭС </w:t>
            </w:r>
          </w:p>
        </w:tc>
        <w:tc>
          <w:tcPr>
            <w:tcW w:w="163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0"/>
              <w:jc w:val="right"/>
            </w:pPr>
            <w:r>
              <w:rPr>
                <w:rFonts w:ascii="Times New Roman" w:eastAsia="Times New Roman" w:hAnsi="Times New Roman" w:cs="Times New Roman"/>
              </w:rPr>
              <w:t xml:space="preserve">110,00 </w:t>
            </w:r>
          </w:p>
        </w:tc>
        <w:tc>
          <w:tcPr>
            <w:tcW w:w="189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0"/>
              <w:jc w:val="right"/>
            </w:pPr>
            <w:r>
              <w:rPr>
                <w:rFonts w:ascii="Times New Roman" w:eastAsia="Times New Roman" w:hAnsi="Times New Roman" w:cs="Times New Roman"/>
              </w:rPr>
              <w:t xml:space="preserve">8,50 </w:t>
            </w:r>
          </w:p>
        </w:tc>
        <w:tc>
          <w:tcPr>
            <w:tcW w:w="253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1"/>
              <w:jc w:val="right"/>
            </w:pPr>
            <w:r>
              <w:rPr>
                <w:rFonts w:ascii="Times New Roman" w:eastAsia="Times New Roman" w:hAnsi="Times New Roman" w:cs="Times New Roman"/>
              </w:rPr>
              <w:t xml:space="preserve">8,3 </w:t>
            </w:r>
          </w:p>
        </w:tc>
        <w:tc>
          <w:tcPr>
            <w:tcW w:w="157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0"/>
              <w:jc w:val="right"/>
            </w:pPr>
            <w:r>
              <w:rPr>
                <w:rFonts w:ascii="Times New Roman" w:eastAsia="Times New Roman" w:hAnsi="Times New Roman" w:cs="Times New Roman"/>
              </w:rPr>
              <w:t xml:space="preserve">45 </w:t>
            </w:r>
          </w:p>
        </w:tc>
      </w:tr>
      <w:tr w:rsidR="0052701D">
        <w:trPr>
          <w:trHeight w:val="312"/>
        </w:trPr>
        <w:tc>
          <w:tcPr>
            <w:tcW w:w="171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rPr>
              <w:t xml:space="preserve"> </w:t>
            </w:r>
          </w:p>
        </w:tc>
        <w:tc>
          <w:tcPr>
            <w:tcW w:w="163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0"/>
              <w:jc w:val="right"/>
            </w:pPr>
            <w:r>
              <w:rPr>
                <w:rFonts w:ascii="Times New Roman" w:eastAsia="Times New Roman" w:hAnsi="Times New Roman" w:cs="Times New Roman"/>
              </w:rPr>
              <w:t xml:space="preserve"> </w:t>
            </w:r>
          </w:p>
        </w:tc>
        <w:tc>
          <w:tcPr>
            <w:tcW w:w="189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0"/>
              <w:jc w:val="right"/>
            </w:pPr>
            <w:r>
              <w:rPr>
                <w:rFonts w:ascii="Times New Roman" w:eastAsia="Times New Roman" w:hAnsi="Times New Roman" w:cs="Times New Roman"/>
              </w:rPr>
              <w:t xml:space="preserve"> </w:t>
            </w:r>
          </w:p>
        </w:tc>
        <w:tc>
          <w:tcPr>
            <w:tcW w:w="253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1"/>
              <w:jc w:val="right"/>
            </w:pPr>
            <w:r>
              <w:rPr>
                <w:rFonts w:ascii="Times New Roman" w:eastAsia="Times New Roman" w:hAnsi="Times New Roman" w:cs="Times New Roman"/>
              </w:rPr>
              <w:t xml:space="preserve">7,9 </w:t>
            </w:r>
          </w:p>
        </w:tc>
        <w:tc>
          <w:tcPr>
            <w:tcW w:w="157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0"/>
              <w:jc w:val="right"/>
            </w:pPr>
            <w:r>
              <w:rPr>
                <w:rFonts w:ascii="Times New Roman" w:eastAsia="Times New Roman" w:hAnsi="Times New Roman" w:cs="Times New Roman"/>
              </w:rPr>
              <w:t xml:space="preserve">50 </w:t>
            </w:r>
          </w:p>
        </w:tc>
      </w:tr>
      <w:tr w:rsidR="0052701D">
        <w:trPr>
          <w:trHeight w:val="307"/>
        </w:trPr>
        <w:tc>
          <w:tcPr>
            <w:tcW w:w="171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rPr>
              <w:t xml:space="preserve"> </w:t>
            </w:r>
          </w:p>
        </w:tc>
        <w:tc>
          <w:tcPr>
            <w:tcW w:w="1637"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0"/>
              <w:jc w:val="right"/>
            </w:pPr>
            <w:r>
              <w:rPr>
                <w:rFonts w:ascii="Times New Roman" w:eastAsia="Times New Roman" w:hAnsi="Times New Roman" w:cs="Times New Roman"/>
              </w:rPr>
              <w:t xml:space="preserve"> </w:t>
            </w:r>
          </w:p>
        </w:tc>
        <w:tc>
          <w:tcPr>
            <w:tcW w:w="189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0"/>
              <w:jc w:val="right"/>
            </w:pPr>
            <w:r>
              <w:rPr>
                <w:rFonts w:ascii="Times New Roman" w:eastAsia="Times New Roman" w:hAnsi="Times New Roman" w:cs="Times New Roman"/>
              </w:rPr>
              <w:t xml:space="preserve"> </w:t>
            </w:r>
          </w:p>
        </w:tc>
        <w:tc>
          <w:tcPr>
            <w:tcW w:w="253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1"/>
              <w:jc w:val="right"/>
            </w:pPr>
            <w:r>
              <w:rPr>
                <w:rFonts w:ascii="Times New Roman" w:eastAsia="Times New Roman" w:hAnsi="Times New Roman" w:cs="Times New Roman"/>
              </w:rPr>
              <w:t xml:space="preserve">7,5 </w:t>
            </w:r>
          </w:p>
        </w:tc>
        <w:tc>
          <w:tcPr>
            <w:tcW w:w="157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0"/>
              <w:jc w:val="right"/>
            </w:pPr>
            <w:r>
              <w:rPr>
                <w:rFonts w:ascii="Times New Roman" w:eastAsia="Times New Roman" w:hAnsi="Times New Roman" w:cs="Times New Roman"/>
              </w:rPr>
              <w:t xml:space="preserve">30 </w:t>
            </w:r>
          </w:p>
        </w:tc>
      </w:tr>
      <w:tr w:rsidR="0052701D">
        <w:trPr>
          <w:trHeight w:val="312"/>
        </w:trPr>
        <w:tc>
          <w:tcPr>
            <w:tcW w:w="171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rPr>
              <w:t xml:space="preserve">Итоговая </w:t>
            </w:r>
          </w:p>
        </w:tc>
        <w:tc>
          <w:tcPr>
            <w:tcW w:w="1637" w:type="dxa"/>
            <w:tcBorders>
              <w:top w:val="single" w:sz="4" w:space="0" w:color="000000"/>
              <w:left w:val="single" w:sz="4" w:space="0" w:color="000000"/>
              <w:bottom w:val="single" w:sz="4" w:space="0" w:color="000000"/>
              <w:right w:val="nil"/>
            </w:tcBorders>
          </w:tcPr>
          <w:p w:rsidR="0052701D" w:rsidRDefault="0052701D"/>
        </w:tc>
        <w:tc>
          <w:tcPr>
            <w:tcW w:w="1892" w:type="dxa"/>
            <w:tcBorders>
              <w:top w:val="single" w:sz="4" w:space="0" w:color="000000"/>
              <w:left w:val="nil"/>
              <w:bottom w:val="single" w:sz="4" w:space="0" w:color="000000"/>
              <w:right w:val="single" w:sz="4" w:space="0" w:color="000000"/>
            </w:tcBorders>
          </w:tcPr>
          <w:p w:rsidR="0052701D" w:rsidRDefault="00D40929">
            <w:pPr>
              <w:spacing w:after="0"/>
              <w:ind w:right="68"/>
              <w:jc w:val="right"/>
            </w:pPr>
            <w:r>
              <w:rPr>
                <w:rFonts w:ascii="Times New Roman" w:eastAsia="Times New Roman" w:hAnsi="Times New Roman" w:cs="Times New Roman"/>
              </w:rPr>
              <w:t xml:space="preserve">Цена сделки </w:t>
            </w:r>
          </w:p>
        </w:tc>
        <w:tc>
          <w:tcPr>
            <w:tcW w:w="2531" w:type="dxa"/>
            <w:tcBorders>
              <w:top w:val="single" w:sz="4" w:space="0" w:color="000000"/>
              <w:left w:val="single" w:sz="4" w:space="0" w:color="000000"/>
              <w:bottom w:val="single" w:sz="4" w:space="0" w:color="000000"/>
              <w:right w:val="nil"/>
            </w:tcBorders>
          </w:tcPr>
          <w:p w:rsidR="0052701D" w:rsidRDefault="0052701D"/>
        </w:tc>
        <w:tc>
          <w:tcPr>
            <w:tcW w:w="1575" w:type="dxa"/>
            <w:tcBorders>
              <w:top w:val="single" w:sz="4" w:space="0" w:color="000000"/>
              <w:left w:val="nil"/>
              <w:bottom w:val="single" w:sz="4" w:space="0" w:color="000000"/>
              <w:right w:val="single" w:sz="4" w:space="0" w:color="000000"/>
            </w:tcBorders>
          </w:tcPr>
          <w:p w:rsidR="0052701D" w:rsidRDefault="00D40929">
            <w:pPr>
              <w:spacing w:after="0"/>
              <w:ind w:left="43"/>
            </w:pPr>
            <w:r>
              <w:rPr>
                <w:rFonts w:ascii="Times New Roman" w:eastAsia="Times New Roman" w:hAnsi="Times New Roman" w:cs="Times New Roman"/>
              </w:rPr>
              <w:t xml:space="preserve">Объем сделки </w:t>
            </w:r>
          </w:p>
        </w:tc>
      </w:tr>
      <w:tr w:rsidR="0052701D">
        <w:trPr>
          <w:trHeight w:val="312"/>
        </w:trPr>
        <w:tc>
          <w:tcPr>
            <w:tcW w:w="171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rPr>
              <w:t xml:space="preserve"> </w:t>
            </w:r>
          </w:p>
        </w:tc>
        <w:tc>
          <w:tcPr>
            <w:tcW w:w="1637" w:type="dxa"/>
            <w:tcBorders>
              <w:top w:val="single" w:sz="4" w:space="0" w:color="000000"/>
              <w:left w:val="single" w:sz="4" w:space="0" w:color="000000"/>
              <w:bottom w:val="single" w:sz="4" w:space="0" w:color="000000"/>
              <w:right w:val="nil"/>
            </w:tcBorders>
          </w:tcPr>
          <w:p w:rsidR="0052701D" w:rsidRDefault="0052701D"/>
        </w:tc>
        <w:tc>
          <w:tcPr>
            <w:tcW w:w="1892" w:type="dxa"/>
            <w:tcBorders>
              <w:top w:val="single" w:sz="4" w:space="0" w:color="000000"/>
              <w:left w:val="nil"/>
              <w:bottom w:val="single" w:sz="4" w:space="0" w:color="000000"/>
              <w:right w:val="single" w:sz="4" w:space="0" w:color="000000"/>
            </w:tcBorders>
          </w:tcPr>
          <w:p w:rsidR="0052701D" w:rsidRDefault="00D40929">
            <w:pPr>
              <w:spacing w:after="0"/>
              <w:ind w:right="60"/>
              <w:jc w:val="right"/>
            </w:pPr>
            <w:r>
              <w:rPr>
                <w:rFonts w:ascii="Times New Roman" w:eastAsia="Times New Roman" w:hAnsi="Times New Roman" w:cs="Times New Roman"/>
              </w:rPr>
              <w:t xml:space="preserve">7,65 </w:t>
            </w:r>
          </w:p>
        </w:tc>
        <w:tc>
          <w:tcPr>
            <w:tcW w:w="2531" w:type="dxa"/>
            <w:tcBorders>
              <w:top w:val="single" w:sz="4" w:space="0" w:color="000000"/>
              <w:left w:val="single" w:sz="4" w:space="0" w:color="000000"/>
              <w:bottom w:val="single" w:sz="4" w:space="0" w:color="000000"/>
              <w:right w:val="nil"/>
            </w:tcBorders>
          </w:tcPr>
          <w:p w:rsidR="0052701D" w:rsidRDefault="0052701D"/>
        </w:tc>
        <w:tc>
          <w:tcPr>
            <w:tcW w:w="1575" w:type="dxa"/>
            <w:tcBorders>
              <w:top w:val="single" w:sz="4" w:space="0" w:color="000000"/>
              <w:left w:val="nil"/>
              <w:bottom w:val="single" w:sz="4" w:space="0" w:color="000000"/>
              <w:right w:val="single" w:sz="4" w:space="0" w:color="000000"/>
            </w:tcBorders>
          </w:tcPr>
          <w:p w:rsidR="0052701D" w:rsidRDefault="00D40929">
            <w:pPr>
              <w:spacing w:after="0"/>
              <w:ind w:right="56"/>
              <w:jc w:val="right"/>
            </w:pPr>
            <w:r>
              <w:rPr>
                <w:rFonts w:ascii="Times New Roman" w:eastAsia="Times New Roman" w:hAnsi="Times New Roman" w:cs="Times New Roman"/>
              </w:rPr>
              <w:t xml:space="preserve">90,00 </w:t>
            </w:r>
          </w:p>
        </w:tc>
      </w:tr>
    </w:tbl>
    <w:p w:rsidR="0052701D" w:rsidRDefault="00D40929">
      <w:pPr>
        <w:spacing w:after="0"/>
      </w:pPr>
      <w:r>
        <w:rPr>
          <w:rFonts w:ascii="Times New Roman" w:eastAsia="Times New Roman" w:hAnsi="Times New Roman" w:cs="Times New Roman"/>
        </w:rPr>
        <w:t xml:space="preserve"> </w:t>
      </w:r>
    </w:p>
    <w:p w:rsidR="0052701D" w:rsidRDefault="00D40929">
      <w:pPr>
        <w:spacing w:after="0"/>
        <w:ind w:right="427"/>
        <w:jc w:val="right"/>
      </w:pPr>
      <w:r>
        <w:rPr>
          <w:noProof/>
        </w:rPr>
        <w:drawing>
          <wp:inline distT="0" distB="0" distL="0" distR="0">
            <wp:extent cx="5330953" cy="2487169"/>
            <wp:effectExtent l="0" t="0" r="0" b="0"/>
            <wp:docPr id="173826" name="Picture 173826"/>
            <wp:cNvGraphicFramePr/>
            <a:graphic xmlns:a="http://schemas.openxmlformats.org/drawingml/2006/main">
              <a:graphicData uri="http://schemas.openxmlformats.org/drawingml/2006/picture">
                <pic:pic xmlns:pic="http://schemas.openxmlformats.org/drawingml/2006/picture">
                  <pic:nvPicPr>
                    <pic:cNvPr id="173826" name="Picture 173826"/>
                    <pic:cNvPicPr/>
                  </pic:nvPicPr>
                  <pic:blipFill>
                    <a:blip r:embed="rId838"/>
                    <a:stretch>
                      <a:fillRect/>
                    </a:stretch>
                  </pic:blipFill>
                  <pic:spPr>
                    <a:xfrm>
                      <a:off x="0" y="0"/>
                      <a:ext cx="5330953" cy="2487169"/>
                    </a:xfrm>
                    <a:prstGeom prst="rect">
                      <a:avLst/>
                    </a:prstGeom>
                  </pic:spPr>
                </pic:pic>
              </a:graphicData>
            </a:graphic>
          </wp:inline>
        </w:drawing>
      </w:r>
      <w:r>
        <w:rPr>
          <w:rFonts w:ascii="Times New Roman" w:eastAsia="Times New Roman" w:hAnsi="Times New Roman" w:cs="Times New Roman"/>
        </w:rPr>
        <w:t xml:space="preserve"> </w:t>
      </w:r>
    </w:p>
    <w:p w:rsidR="0052701D" w:rsidRDefault="00D40929">
      <w:pPr>
        <w:spacing w:after="89"/>
        <w:ind w:left="49"/>
        <w:jc w:val="center"/>
      </w:pPr>
      <w:r>
        <w:rPr>
          <w:rFonts w:ascii="Times New Roman" w:eastAsia="Times New Roman" w:hAnsi="Times New Roman" w:cs="Times New Roman"/>
        </w:rPr>
        <w:t xml:space="preserve"> </w:t>
      </w:r>
    </w:p>
    <w:p w:rsidR="0052701D" w:rsidRDefault="00D40929">
      <w:pPr>
        <w:spacing w:after="5" w:line="271" w:lineRule="auto"/>
        <w:ind w:left="567" w:right="64"/>
        <w:jc w:val="both"/>
      </w:pPr>
      <w:r>
        <w:rPr>
          <w:rFonts w:ascii="Times New Roman" w:eastAsia="Times New Roman" w:hAnsi="Times New Roman" w:cs="Times New Roman"/>
          <w:sz w:val="28"/>
        </w:rPr>
        <w:t xml:space="preserve">Таблица 10 – Объем спроса больше </w:t>
      </w:r>
    </w:p>
    <w:tbl>
      <w:tblPr>
        <w:tblStyle w:val="TableGrid"/>
        <w:tblW w:w="9350" w:type="dxa"/>
        <w:tblInd w:w="5" w:type="dxa"/>
        <w:tblCellMar>
          <w:top w:w="5" w:type="dxa"/>
          <w:left w:w="110" w:type="dxa"/>
          <w:bottom w:w="10" w:type="dxa"/>
          <w:right w:w="50" w:type="dxa"/>
        </w:tblCellMar>
        <w:tblLook w:val="04A0" w:firstRow="1" w:lastRow="0" w:firstColumn="1" w:lastColumn="0" w:noHBand="0" w:noVBand="1"/>
      </w:tblPr>
      <w:tblGrid>
        <w:gridCol w:w="2276"/>
        <w:gridCol w:w="1691"/>
        <w:gridCol w:w="1733"/>
        <w:gridCol w:w="2075"/>
        <w:gridCol w:w="1575"/>
      </w:tblGrid>
      <w:tr w:rsidR="0052701D">
        <w:trPr>
          <w:trHeight w:val="769"/>
        </w:trPr>
        <w:tc>
          <w:tcPr>
            <w:tcW w:w="2276" w:type="dxa"/>
            <w:tcBorders>
              <w:top w:val="single" w:sz="4" w:space="0" w:color="000000"/>
              <w:left w:val="single" w:sz="4" w:space="0" w:color="000000"/>
              <w:bottom w:val="single" w:sz="4" w:space="0" w:color="000000"/>
              <w:right w:val="single" w:sz="4" w:space="0" w:color="000000"/>
            </w:tcBorders>
            <w:vAlign w:val="bottom"/>
          </w:tcPr>
          <w:p w:rsidR="0052701D" w:rsidRDefault="00D40929">
            <w:pPr>
              <w:spacing w:after="0"/>
            </w:pPr>
            <w:r>
              <w:rPr>
                <w:rFonts w:ascii="Times New Roman" w:eastAsia="Times New Roman" w:hAnsi="Times New Roman" w:cs="Times New Roman"/>
              </w:rPr>
              <w:t xml:space="preserve">Наименование </w:t>
            </w:r>
          </w:p>
        </w:tc>
        <w:tc>
          <w:tcPr>
            <w:tcW w:w="169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
            </w:pPr>
            <w:r>
              <w:rPr>
                <w:rFonts w:ascii="Times New Roman" w:eastAsia="Times New Roman" w:hAnsi="Times New Roman" w:cs="Times New Roman"/>
              </w:rPr>
              <w:t xml:space="preserve">Объем предложения, МВт. </w:t>
            </w:r>
          </w:p>
        </w:tc>
        <w:tc>
          <w:tcPr>
            <w:tcW w:w="1733"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Цена продажи желаемое, тенге/кВт*ч </w:t>
            </w:r>
          </w:p>
        </w:tc>
        <w:tc>
          <w:tcPr>
            <w:tcW w:w="207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
            </w:pPr>
            <w:r>
              <w:rPr>
                <w:rFonts w:ascii="Times New Roman" w:eastAsia="Times New Roman" w:hAnsi="Times New Roman" w:cs="Times New Roman"/>
              </w:rPr>
              <w:t xml:space="preserve">Цена потребителя желаемая, тенге/кВт*ч </w:t>
            </w:r>
          </w:p>
        </w:tc>
        <w:tc>
          <w:tcPr>
            <w:tcW w:w="1575"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Объем потребления, МВт. </w:t>
            </w:r>
          </w:p>
        </w:tc>
      </w:tr>
      <w:tr w:rsidR="0052701D">
        <w:trPr>
          <w:trHeight w:val="307"/>
        </w:trPr>
        <w:tc>
          <w:tcPr>
            <w:tcW w:w="227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АЭС </w:t>
            </w:r>
          </w:p>
        </w:tc>
        <w:tc>
          <w:tcPr>
            <w:tcW w:w="169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1"/>
              <w:jc w:val="right"/>
            </w:pPr>
            <w:r>
              <w:rPr>
                <w:rFonts w:ascii="Times New Roman" w:eastAsia="Times New Roman" w:hAnsi="Times New Roman" w:cs="Times New Roman"/>
              </w:rPr>
              <w:t xml:space="preserve">90,00 </w:t>
            </w:r>
          </w:p>
        </w:tc>
        <w:tc>
          <w:tcPr>
            <w:tcW w:w="1733"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1"/>
              <w:jc w:val="right"/>
            </w:pPr>
            <w:r>
              <w:rPr>
                <w:rFonts w:ascii="Times New Roman" w:eastAsia="Times New Roman" w:hAnsi="Times New Roman" w:cs="Times New Roman"/>
              </w:rPr>
              <w:t xml:space="preserve">7,00 </w:t>
            </w:r>
          </w:p>
        </w:tc>
        <w:tc>
          <w:tcPr>
            <w:tcW w:w="207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5"/>
              <w:jc w:val="right"/>
            </w:pPr>
            <w:r>
              <w:rPr>
                <w:rFonts w:ascii="Times New Roman" w:eastAsia="Times New Roman" w:hAnsi="Times New Roman" w:cs="Times New Roman"/>
              </w:rPr>
              <w:t xml:space="preserve">10 </w:t>
            </w:r>
          </w:p>
        </w:tc>
        <w:tc>
          <w:tcPr>
            <w:tcW w:w="157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6"/>
              <w:jc w:val="right"/>
            </w:pPr>
            <w:r>
              <w:rPr>
                <w:rFonts w:ascii="Times New Roman" w:eastAsia="Times New Roman" w:hAnsi="Times New Roman" w:cs="Times New Roman"/>
              </w:rPr>
              <w:t xml:space="preserve">50 </w:t>
            </w:r>
          </w:p>
        </w:tc>
      </w:tr>
      <w:tr w:rsidR="0052701D">
        <w:trPr>
          <w:trHeight w:val="312"/>
        </w:trPr>
        <w:tc>
          <w:tcPr>
            <w:tcW w:w="227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ВЭС </w:t>
            </w:r>
          </w:p>
        </w:tc>
        <w:tc>
          <w:tcPr>
            <w:tcW w:w="169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1"/>
              <w:jc w:val="right"/>
            </w:pPr>
            <w:r>
              <w:rPr>
                <w:rFonts w:ascii="Times New Roman" w:eastAsia="Times New Roman" w:hAnsi="Times New Roman" w:cs="Times New Roman"/>
              </w:rPr>
              <w:t xml:space="preserve">110,00 </w:t>
            </w:r>
          </w:p>
        </w:tc>
        <w:tc>
          <w:tcPr>
            <w:tcW w:w="1733"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1"/>
              <w:jc w:val="right"/>
            </w:pPr>
            <w:r>
              <w:rPr>
                <w:rFonts w:ascii="Times New Roman" w:eastAsia="Times New Roman" w:hAnsi="Times New Roman" w:cs="Times New Roman"/>
              </w:rPr>
              <w:t xml:space="preserve">8,50 </w:t>
            </w:r>
          </w:p>
        </w:tc>
        <w:tc>
          <w:tcPr>
            <w:tcW w:w="207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5"/>
              <w:jc w:val="right"/>
            </w:pPr>
            <w:r>
              <w:rPr>
                <w:rFonts w:ascii="Times New Roman" w:eastAsia="Times New Roman" w:hAnsi="Times New Roman" w:cs="Times New Roman"/>
              </w:rPr>
              <w:t xml:space="preserve">9 </w:t>
            </w:r>
          </w:p>
        </w:tc>
        <w:tc>
          <w:tcPr>
            <w:tcW w:w="157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6"/>
              <w:jc w:val="right"/>
            </w:pPr>
            <w:r>
              <w:rPr>
                <w:rFonts w:ascii="Times New Roman" w:eastAsia="Times New Roman" w:hAnsi="Times New Roman" w:cs="Times New Roman"/>
              </w:rPr>
              <w:t xml:space="preserve">75 </w:t>
            </w:r>
          </w:p>
        </w:tc>
      </w:tr>
      <w:tr w:rsidR="0052701D">
        <w:trPr>
          <w:trHeight w:val="312"/>
        </w:trPr>
        <w:tc>
          <w:tcPr>
            <w:tcW w:w="227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 </w:t>
            </w:r>
          </w:p>
        </w:tc>
        <w:tc>
          <w:tcPr>
            <w:tcW w:w="1691" w:type="dxa"/>
            <w:tcBorders>
              <w:top w:val="single" w:sz="4" w:space="0" w:color="000000"/>
              <w:left w:val="single" w:sz="4" w:space="0" w:color="000000"/>
              <w:bottom w:val="single" w:sz="4" w:space="0" w:color="000000"/>
              <w:right w:val="single" w:sz="4" w:space="0" w:color="000000"/>
            </w:tcBorders>
          </w:tcPr>
          <w:p w:rsidR="0052701D" w:rsidRDefault="00D40929">
            <w:pPr>
              <w:spacing w:after="0"/>
              <w:jc w:val="right"/>
            </w:pPr>
            <w:r>
              <w:rPr>
                <w:rFonts w:ascii="Times New Roman" w:eastAsia="Times New Roman" w:hAnsi="Times New Roman" w:cs="Times New Roman"/>
              </w:rPr>
              <w:t xml:space="preserve"> </w:t>
            </w:r>
          </w:p>
        </w:tc>
        <w:tc>
          <w:tcPr>
            <w:tcW w:w="1733" w:type="dxa"/>
            <w:tcBorders>
              <w:top w:val="single" w:sz="4" w:space="0" w:color="000000"/>
              <w:left w:val="single" w:sz="4" w:space="0" w:color="000000"/>
              <w:bottom w:val="single" w:sz="4" w:space="0" w:color="000000"/>
              <w:right w:val="single" w:sz="4" w:space="0" w:color="000000"/>
            </w:tcBorders>
          </w:tcPr>
          <w:p w:rsidR="0052701D" w:rsidRDefault="00D40929">
            <w:pPr>
              <w:spacing w:after="0"/>
              <w:jc w:val="center"/>
            </w:pPr>
            <w:r>
              <w:rPr>
                <w:rFonts w:ascii="Times New Roman" w:eastAsia="Times New Roman" w:hAnsi="Times New Roman" w:cs="Times New Roman"/>
              </w:rPr>
              <w:t xml:space="preserve"> </w:t>
            </w:r>
          </w:p>
        </w:tc>
        <w:tc>
          <w:tcPr>
            <w:tcW w:w="207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5"/>
              <w:jc w:val="right"/>
            </w:pPr>
            <w:r>
              <w:rPr>
                <w:rFonts w:ascii="Times New Roman" w:eastAsia="Times New Roman" w:hAnsi="Times New Roman" w:cs="Times New Roman"/>
              </w:rPr>
              <w:t xml:space="preserve">6 </w:t>
            </w:r>
          </w:p>
        </w:tc>
        <w:tc>
          <w:tcPr>
            <w:tcW w:w="157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6"/>
              <w:jc w:val="right"/>
            </w:pPr>
            <w:r>
              <w:rPr>
                <w:rFonts w:ascii="Times New Roman" w:eastAsia="Times New Roman" w:hAnsi="Times New Roman" w:cs="Times New Roman"/>
              </w:rPr>
              <w:t xml:space="preserve">45 </w:t>
            </w:r>
          </w:p>
        </w:tc>
      </w:tr>
      <w:tr w:rsidR="0052701D">
        <w:trPr>
          <w:trHeight w:val="307"/>
        </w:trPr>
        <w:tc>
          <w:tcPr>
            <w:tcW w:w="227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 </w:t>
            </w:r>
          </w:p>
        </w:tc>
        <w:tc>
          <w:tcPr>
            <w:tcW w:w="1691" w:type="dxa"/>
            <w:tcBorders>
              <w:top w:val="single" w:sz="4" w:space="0" w:color="000000"/>
              <w:left w:val="single" w:sz="4" w:space="0" w:color="000000"/>
              <w:bottom w:val="single" w:sz="4" w:space="0" w:color="000000"/>
              <w:right w:val="single" w:sz="4" w:space="0" w:color="000000"/>
            </w:tcBorders>
          </w:tcPr>
          <w:p w:rsidR="0052701D" w:rsidRDefault="00D40929">
            <w:pPr>
              <w:spacing w:after="0"/>
              <w:jc w:val="right"/>
            </w:pPr>
            <w:r>
              <w:rPr>
                <w:rFonts w:ascii="Times New Roman" w:eastAsia="Times New Roman" w:hAnsi="Times New Roman" w:cs="Times New Roman"/>
              </w:rPr>
              <w:t xml:space="preserve"> </w:t>
            </w:r>
          </w:p>
        </w:tc>
        <w:tc>
          <w:tcPr>
            <w:tcW w:w="1733" w:type="dxa"/>
            <w:tcBorders>
              <w:top w:val="single" w:sz="4" w:space="0" w:color="000000"/>
              <w:left w:val="single" w:sz="4" w:space="0" w:color="000000"/>
              <w:bottom w:val="single" w:sz="4" w:space="0" w:color="000000"/>
              <w:right w:val="single" w:sz="4" w:space="0" w:color="000000"/>
            </w:tcBorders>
          </w:tcPr>
          <w:p w:rsidR="0052701D" w:rsidRDefault="00D40929">
            <w:pPr>
              <w:spacing w:after="0"/>
              <w:jc w:val="right"/>
            </w:pPr>
            <w:r>
              <w:rPr>
                <w:rFonts w:ascii="Times New Roman" w:eastAsia="Times New Roman" w:hAnsi="Times New Roman" w:cs="Times New Roman"/>
              </w:rPr>
              <w:t xml:space="preserve"> </w:t>
            </w:r>
          </w:p>
        </w:tc>
        <w:tc>
          <w:tcPr>
            <w:tcW w:w="207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5"/>
              <w:jc w:val="right"/>
            </w:pPr>
            <w:r>
              <w:rPr>
                <w:rFonts w:ascii="Times New Roman" w:eastAsia="Times New Roman" w:hAnsi="Times New Roman" w:cs="Times New Roman"/>
              </w:rPr>
              <w:t xml:space="preserve">5 </w:t>
            </w:r>
          </w:p>
        </w:tc>
        <w:tc>
          <w:tcPr>
            <w:tcW w:w="157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6"/>
              <w:jc w:val="right"/>
            </w:pPr>
            <w:r>
              <w:rPr>
                <w:rFonts w:ascii="Times New Roman" w:eastAsia="Times New Roman" w:hAnsi="Times New Roman" w:cs="Times New Roman"/>
              </w:rPr>
              <w:t xml:space="preserve">50 </w:t>
            </w:r>
          </w:p>
        </w:tc>
      </w:tr>
      <w:tr w:rsidR="0052701D">
        <w:trPr>
          <w:trHeight w:val="312"/>
        </w:trPr>
        <w:tc>
          <w:tcPr>
            <w:tcW w:w="227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lastRenderedPageBreak/>
              <w:t xml:space="preserve">Итоговая </w:t>
            </w:r>
          </w:p>
        </w:tc>
        <w:tc>
          <w:tcPr>
            <w:tcW w:w="1691" w:type="dxa"/>
            <w:tcBorders>
              <w:top w:val="single" w:sz="4" w:space="0" w:color="000000"/>
              <w:left w:val="single" w:sz="4" w:space="0" w:color="000000"/>
              <w:bottom w:val="single" w:sz="4" w:space="0" w:color="000000"/>
              <w:right w:val="nil"/>
            </w:tcBorders>
          </w:tcPr>
          <w:p w:rsidR="0052701D" w:rsidRDefault="0052701D"/>
        </w:tc>
        <w:tc>
          <w:tcPr>
            <w:tcW w:w="1733" w:type="dxa"/>
            <w:tcBorders>
              <w:top w:val="single" w:sz="4" w:space="0" w:color="000000"/>
              <w:left w:val="nil"/>
              <w:bottom w:val="single" w:sz="4" w:space="0" w:color="000000"/>
              <w:right w:val="single" w:sz="4" w:space="0" w:color="000000"/>
            </w:tcBorders>
          </w:tcPr>
          <w:p w:rsidR="0052701D" w:rsidRDefault="00D40929">
            <w:pPr>
              <w:spacing w:after="0"/>
              <w:ind w:right="58"/>
              <w:jc w:val="right"/>
            </w:pPr>
            <w:r>
              <w:rPr>
                <w:rFonts w:ascii="Times New Roman" w:eastAsia="Times New Roman" w:hAnsi="Times New Roman" w:cs="Times New Roman"/>
              </w:rPr>
              <w:t xml:space="preserve">Цена сделки </w:t>
            </w:r>
          </w:p>
        </w:tc>
        <w:tc>
          <w:tcPr>
            <w:tcW w:w="2075" w:type="dxa"/>
            <w:tcBorders>
              <w:top w:val="single" w:sz="4" w:space="0" w:color="000000"/>
              <w:left w:val="single" w:sz="4" w:space="0" w:color="000000"/>
              <w:bottom w:val="single" w:sz="4" w:space="0" w:color="000000"/>
              <w:right w:val="nil"/>
            </w:tcBorders>
          </w:tcPr>
          <w:p w:rsidR="0052701D" w:rsidRDefault="0052701D"/>
        </w:tc>
        <w:tc>
          <w:tcPr>
            <w:tcW w:w="1575" w:type="dxa"/>
            <w:tcBorders>
              <w:top w:val="single" w:sz="4" w:space="0" w:color="000000"/>
              <w:left w:val="nil"/>
              <w:bottom w:val="single" w:sz="4" w:space="0" w:color="000000"/>
              <w:right w:val="single" w:sz="4" w:space="0" w:color="000000"/>
            </w:tcBorders>
          </w:tcPr>
          <w:p w:rsidR="0052701D" w:rsidRDefault="00D40929">
            <w:pPr>
              <w:spacing w:after="0"/>
              <w:ind w:left="38"/>
            </w:pPr>
            <w:r>
              <w:rPr>
                <w:rFonts w:ascii="Times New Roman" w:eastAsia="Times New Roman" w:hAnsi="Times New Roman" w:cs="Times New Roman"/>
              </w:rPr>
              <w:t xml:space="preserve">Объем сделки </w:t>
            </w:r>
          </w:p>
        </w:tc>
      </w:tr>
      <w:tr w:rsidR="0052701D">
        <w:trPr>
          <w:trHeight w:val="307"/>
        </w:trPr>
        <w:tc>
          <w:tcPr>
            <w:tcW w:w="227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 </w:t>
            </w:r>
          </w:p>
        </w:tc>
        <w:tc>
          <w:tcPr>
            <w:tcW w:w="1691" w:type="dxa"/>
            <w:tcBorders>
              <w:top w:val="single" w:sz="4" w:space="0" w:color="000000"/>
              <w:left w:val="single" w:sz="4" w:space="0" w:color="000000"/>
              <w:bottom w:val="single" w:sz="4" w:space="0" w:color="000000"/>
              <w:right w:val="nil"/>
            </w:tcBorders>
          </w:tcPr>
          <w:p w:rsidR="0052701D" w:rsidRDefault="0052701D"/>
        </w:tc>
        <w:tc>
          <w:tcPr>
            <w:tcW w:w="1733" w:type="dxa"/>
            <w:tcBorders>
              <w:top w:val="single" w:sz="4" w:space="0" w:color="000000"/>
              <w:left w:val="nil"/>
              <w:bottom w:val="single" w:sz="4" w:space="0" w:color="000000"/>
              <w:right w:val="single" w:sz="4" w:space="0" w:color="000000"/>
            </w:tcBorders>
          </w:tcPr>
          <w:p w:rsidR="0052701D" w:rsidRDefault="00D40929">
            <w:pPr>
              <w:spacing w:after="0"/>
              <w:ind w:right="51"/>
              <w:jc w:val="right"/>
            </w:pPr>
            <w:r>
              <w:rPr>
                <w:rFonts w:ascii="Times New Roman" w:eastAsia="Times New Roman" w:hAnsi="Times New Roman" w:cs="Times New Roman"/>
              </w:rPr>
              <w:t xml:space="preserve">9,0 </w:t>
            </w:r>
          </w:p>
        </w:tc>
        <w:tc>
          <w:tcPr>
            <w:tcW w:w="2075" w:type="dxa"/>
            <w:tcBorders>
              <w:top w:val="single" w:sz="4" w:space="0" w:color="000000"/>
              <w:left w:val="single" w:sz="4" w:space="0" w:color="000000"/>
              <w:bottom w:val="single" w:sz="4" w:space="0" w:color="000000"/>
              <w:right w:val="nil"/>
            </w:tcBorders>
          </w:tcPr>
          <w:p w:rsidR="0052701D" w:rsidRDefault="0052701D"/>
        </w:tc>
        <w:tc>
          <w:tcPr>
            <w:tcW w:w="1575" w:type="dxa"/>
            <w:tcBorders>
              <w:top w:val="single" w:sz="4" w:space="0" w:color="000000"/>
              <w:left w:val="nil"/>
              <w:bottom w:val="single" w:sz="4" w:space="0" w:color="000000"/>
              <w:right w:val="single" w:sz="4" w:space="0" w:color="000000"/>
            </w:tcBorders>
          </w:tcPr>
          <w:p w:rsidR="0052701D" w:rsidRDefault="00D40929">
            <w:pPr>
              <w:spacing w:after="0"/>
              <w:ind w:right="51"/>
              <w:jc w:val="right"/>
            </w:pPr>
            <w:r>
              <w:rPr>
                <w:rFonts w:ascii="Times New Roman" w:eastAsia="Times New Roman" w:hAnsi="Times New Roman" w:cs="Times New Roman"/>
              </w:rPr>
              <w:t xml:space="preserve">125,00 </w:t>
            </w:r>
          </w:p>
        </w:tc>
      </w:tr>
    </w:tbl>
    <w:p w:rsidR="0052701D" w:rsidRDefault="00D40929">
      <w:pPr>
        <w:spacing w:after="0"/>
      </w:pPr>
      <w:r>
        <w:rPr>
          <w:rFonts w:ascii="Times New Roman" w:eastAsia="Times New Roman" w:hAnsi="Times New Roman" w:cs="Times New Roman"/>
        </w:rPr>
        <w:t xml:space="preserve"> </w:t>
      </w:r>
    </w:p>
    <w:p w:rsidR="0052701D" w:rsidRDefault="00D40929">
      <w:pPr>
        <w:spacing w:after="0"/>
      </w:pPr>
      <w:r>
        <w:rPr>
          <w:rFonts w:ascii="Times New Roman" w:eastAsia="Times New Roman" w:hAnsi="Times New Roman" w:cs="Times New Roman"/>
        </w:rPr>
        <w:t xml:space="preserve"> </w:t>
      </w:r>
    </w:p>
    <w:p w:rsidR="0052701D" w:rsidRDefault="00D40929">
      <w:pPr>
        <w:spacing w:after="0"/>
        <w:ind w:right="711"/>
        <w:jc w:val="right"/>
      </w:pPr>
      <w:r>
        <w:rPr>
          <w:noProof/>
        </w:rPr>
        <w:drawing>
          <wp:inline distT="0" distB="0" distL="0" distR="0">
            <wp:extent cx="4965193" cy="2304288"/>
            <wp:effectExtent l="0" t="0" r="0" b="0"/>
            <wp:docPr id="173828" name="Picture 173828"/>
            <wp:cNvGraphicFramePr/>
            <a:graphic xmlns:a="http://schemas.openxmlformats.org/drawingml/2006/main">
              <a:graphicData uri="http://schemas.openxmlformats.org/drawingml/2006/picture">
                <pic:pic xmlns:pic="http://schemas.openxmlformats.org/drawingml/2006/picture">
                  <pic:nvPicPr>
                    <pic:cNvPr id="173828" name="Picture 173828"/>
                    <pic:cNvPicPr/>
                  </pic:nvPicPr>
                  <pic:blipFill>
                    <a:blip r:embed="rId839"/>
                    <a:stretch>
                      <a:fillRect/>
                    </a:stretch>
                  </pic:blipFill>
                  <pic:spPr>
                    <a:xfrm>
                      <a:off x="0" y="0"/>
                      <a:ext cx="4965193" cy="2304288"/>
                    </a:xfrm>
                    <a:prstGeom prst="rect">
                      <a:avLst/>
                    </a:prstGeom>
                  </pic:spPr>
                </pic:pic>
              </a:graphicData>
            </a:graphic>
          </wp:inline>
        </w:drawing>
      </w:r>
      <w:r>
        <w:rPr>
          <w:rFonts w:ascii="Times New Roman" w:eastAsia="Times New Roman" w:hAnsi="Times New Roman" w:cs="Times New Roman"/>
        </w:rPr>
        <w:t xml:space="preserve"> </w:t>
      </w:r>
    </w:p>
    <w:p w:rsidR="0052701D" w:rsidRDefault="00D40929">
      <w:pPr>
        <w:spacing w:after="88"/>
        <w:ind w:left="49"/>
        <w:jc w:val="center"/>
      </w:pPr>
      <w:r>
        <w:rPr>
          <w:rFonts w:ascii="Times New Roman" w:eastAsia="Times New Roman" w:hAnsi="Times New Roman" w:cs="Times New Roman"/>
        </w:rPr>
        <w:t xml:space="preserve"> </w:t>
      </w:r>
    </w:p>
    <w:p w:rsidR="0052701D" w:rsidRDefault="00D40929">
      <w:pPr>
        <w:spacing w:after="5" w:line="271" w:lineRule="auto"/>
        <w:ind w:left="567" w:right="64"/>
        <w:jc w:val="both"/>
      </w:pPr>
      <w:r>
        <w:rPr>
          <w:rFonts w:ascii="Times New Roman" w:eastAsia="Times New Roman" w:hAnsi="Times New Roman" w:cs="Times New Roman"/>
          <w:sz w:val="28"/>
        </w:rPr>
        <w:t xml:space="preserve">Таблица 11 – Менее 3-х участников </w:t>
      </w:r>
    </w:p>
    <w:tbl>
      <w:tblPr>
        <w:tblStyle w:val="TableGrid"/>
        <w:tblW w:w="9350" w:type="dxa"/>
        <w:tblInd w:w="5" w:type="dxa"/>
        <w:tblCellMar>
          <w:top w:w="5" w:type="dxa"/>
          <w:left w:w="106" w:type="dxa"/>
          <w:bottom w:w="10" w:type="dxa"/>
          <w:right w:w="50" w:type="dxa"/>
        </w:tblCellMar>
        <w:tblLook w:val="04A0" w:firstRow="1" w:lastRow="0" w:firstColumn="1" w:lastColumn="0" w:noHBand="0" w:noVBand="1"/>
      </w:tblPr>
      <w:tblGrid>
        <w:gridCol w:w="2099"/>
        <w:gridCol w:w="1729"/>
        <w:gridCol w:w="1839"/>
        <w:gridCol w:w="2108"/>
        <w:gridCol w:w="1575"/>
      </w:tblGrid>
      <w:tr w:rsidR="0052701D">
        <w:trPr>
          <w:trHeight w:val="768"/>
        </w:trPr>
        <w:tc>
          <w:tcPr>
            <w:tcW w:w="2099" w:type="dxa"/>
            <w:tcBorders>
              <w:top w:val="single" w:sz="4" w:space="0" w:color="000000"/>
              <w:left w:val="single" w:sz="4" w:space="0" w:color="000000"/>
              <w:bottom w:val="single" w:sz="4" w:space="0" w:color="000000"/>
              <w:right w:val="single" w:sz="4" w:space="0" w:color="000000"/>
            </w:tcBorders>
            <w:vAlign w:val="bottom"/>
          </w:tcPr>
          <w:p w:rsidR="0052701D" w:rsidRDefault="00D40929">
            <w:pPr>
              <w:spacing w:after="0"/>
              <w:ind w:left="5"/>
            </w:pPr>
            <w:r>
              <w:rPr>
                <w:rFonts w:ascii="Times New Roman" w:eastAsia="Times New Roman" w:hAnsi="Times New Roman" w:cs="Times New Roman"/>
              </w:rPr>
              <w:t xml:space="preserve">Наименование </w:t>
            </w:r>
          </w:p>
        </w:tc>
        <w:tc>
          <w:tcPr>
            <w:tcW w:w="1729"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rPr>
              <w:t xml:space="preserve">Объем предложения, МВт. </w:t>
            </w:r>
          </w:p>
        </w:tc>
        <w:tc>
          <w:tcPr>
            <w:tcW w:w="1839"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Цена продажи желаемое, тенге/кВт*ч </w:t>
            </w:r>
          </w:p>
        </w:tc>
        <w:tc>
          <w:tcPr>
            <w:tcW w:w="210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rPr>
              <w:t xml:space="preserve">Цена потребителя желаемая, тенге/кВт*ч </w:t>
            </w:r>
          </w:p>
        </w:tc>
        <w:tc>
          <w:tcPr>
            <w:tcW w:w="157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rPr>
              <w:t xml:space="preserve">Объем потребления, МВт. </w:t>
            </w:r>
          </w:p>
        </w:tc>
      </w:tr>
      <w:tr w:rsidR="0052701D">
        <w:trPr>
          <w:trHeight w:val="313"/>
        </w:trPr>
        <w:tc>
          <w:tcPr>
            <w:tcW w:w="2099"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rPr>
              <w:t xml:space="preserve">АЭС </w:t>
            </w:r>
          </w:p>
        </w:tc>
        <w:tc>
          <w:tcPr>
            <w:tcW w:w="1729"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6"/>
              <w:jc w:val="right"/>
            </w:pPr>
            <w:r>
              <w:rPr>
                <w:rFonts w:ascii="Times New Roman" w:eastAsia="Times New Roman" w:hAnsi="Times New Roman" w:cs="Times New Roman"/>
              </w:rPr>
              <w:t xml:space="preserve">100,00 </w:t>
            </w:r>
          </w:p>
        </w:tc>
        <w:tc>
          <w:tcPr>
            <w:tcW w:w="1839"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1"/>
              <w:jc w:val="right"/>
            </w:pPr>
            <w:r>
              <w:rPr>
                <w:rFonts w:ascii="Times New Roman" w:eastAsia="Times New Roman" w:hAnsi="Times New Roman" w:cs="Times New Roman"/>
              </w:rPr>
              <w:t xml:space="preserve">7,50 </w:t>
            </w:r>
          </w:p>
        </w:tc>
        <w:tc>
          <w:tcPr>
            <w:tcW w:w="210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5"/>
              <w:jc w:val="right"/>
            </w:pPr>
            <w:r>
              <w:rPr>
                <w:rFonts w:ascii="Times New Roman" w:eastAsia="Times New Roman" w:hAnsi="Times New Roman" w:cs="Times New Roman"/>
              </w:rPr>
              <w:t xml:space="preserve">8 </w:t>
            </w:r>
          </w:p>
        </w:tc>
        <w:tc>
          <w:tcPr>
            <w:tcW w:w="157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6"/>
              <w:jc w:val="right"/>
            </w:pPr>
            <w:r>
              <w:rPr>
                <w:rFonts w:ascii="Times New Roman" w:eastAsia="Times New Roman" w:hAnsi="Times New Roman" w:cs="Times New Roman"/>
              </w:rPr>
              <w:t xml:space="preserve">100 </w:t>
            </w:r>
          </w:p>
        </w:tc>
      </w:tr>
      <w:tr w:rsidR="0052701D">
        <w:trPr>
          <w:trHeight w:val="307"/>
        </w:trPr>
        <w:tc>
          <w:tcPr>
            <w:tcW w:w="2099"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rPr>
              <w:t xml:space="preserve">Итоговая </w:t>
            </w:r>
          </w:p>
        </w:tc>
        <w:tc>
          <w:tcPr>
            <w:tcW w:w="1729" w:type="dxa"/>
            <w:tcBorders>
              <w:top w:val="single" w:sz="4" w:space="0" w:color="000000"/>
              <w:left w:val="single" w:sz="4" w:space="0" w:color="000000"/>
              <w:bottom w:val="single" w:sz="4" w:space="0" w:color="000000"/>
              <w:right w:val="nil"/>
            </w:tcBorders>
          </w:tcPr>
          <w:p w:rsidR="0052701D" w:rsidRDefault="0052701D"/>
        </w:tc>
        <w:tc>
          <w:tcPr>
            <w:tcW w:w="1839" w:type="dxa"/>
            <w:tcBorders>
              <w:top w:val="single" w:sz="4" w:space="0" w:color="000000"/>
              <w:left w:val="nil"/>
              <w:bottom w:val="single" w:sz="4" w:space="0" w:color="000000"/>
              <w:right w:val="single" w:sz="4" w:space="0" w:color="000000"/>
            </w:tcBorders>
          </w:tcPr>
          <w:p w:rsidR="0052701D" w:rsidRDefault="00D40929">
            <w:pPr>
              <w:spacing w:after="0"/>
              <w:ind w:right="58"/>
              <w:jc w:val="right"/>
            </w:pPr>
            <w:r>
              <w:rPr>
                <w:rFonts w:ascii="Times New Roman" w:eastAsia="Times New Roman" w:hAnsi="Times New Roman" w:cs="Times New Roman"/>
              </w:rPr>
              <w:t xml:space="preserve">Цена сделки </w:t>
            </w:r>
          </w:p>
        </w:tc>
        <w:tc>
          <w:tcPr>
            <w:tcW w:w="2108" w:type="dxa"/>
            <w:tcBorders>
              <w:top w:val="single" w:sz="4" w:space="0" w:color="000000"/>
              <w:left w:val="single" w:sz="4" w:space="0" w:color="000000"/>
              <w:bottom w:val="single" w:sz="4" w:space="0" w:color="000000"/>
              <w:right w:val="nil"/>
            </w:tcBorders>
          </w:tcPr>
          <w:p w:rsidR="0052701D" w:rsidRDefault="0052701D"/>
        </w:tc>
        <w:tc>
          <w:tcPr>
            <w:tcW w:w="1575" w:type="dxa"/>
            <w:tcBorders>
              <w:top w:val="single" w:sz="4" w:space="0" w:color="000000"/>
              <w:left w:val="nil"/>
              <w:bottom w:val="single" w:sz="4" w:space="0" w:color="000000"/>
              <w:right w:val="single" w:sz="4" w:space="0" w:color="000000"/>
            </w:tcBorders>
          </w:tcPr>
          <w:p w:rsidR="0052701D" w:rsidRDefault="00D40929">
            <w:pPr>
              <w:spacing w:after="0"/>
              <w:ind w:left="43"/>
            </w:pPr>
            <w:r>
              <w:rPr>
                <w:rFonts w:ascii="Times New Roman" w:eastAsia="Times New Roman" w:hAnsi="Times New Roman" w:cs="Times New Roman"/>
              </w:rPr>
              <w:t xml:space="preserve">Объем сделки </w:t>
            </w:r>
          </w:p>
        </w:tc>
      </w:tr>
      <w:tr w:rsidR="0052701D">
        <w:trPr>
          <w:trHeight w:val="312"/>
        </w:trPr>
        <w:tc>
          <w:tcPr>
            <w:tcW w:w="2099"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rPr>
              <w:t xml:space="preserve"> </w:t>
            </w:r>
          </w:p>
        </w:tc>
        <w:tc>
          <w:tcPr>
            <w:tcW w:w="1729" w:type="dxa"/>
            <w:tcBorders>
              <w:top w:val="single" w:sz="4" w:space="0" w:color="000000"/>
              <w:left w:val="single" w:sz="4" w:space="0" w:color="000000"/>
              <w:bottom w:val="single" w:sz="4" w:space="0" w:color="000000"/>
              <w:right w:val="nil"/>
            </w:tcBorders>
          </w:tcPr>
          <w:p w:rsidR="0052701D" w:rsidRDefault="0052701D"/>
        </w:tc>
        <w:tc>
          <w:tcPr>
            <w:tcW w:w="1839" w:type="dxa"/>
            <w:tcBorders>
              <w:top w:val="single" w:sz="4" w:space="0" w:color="000000"/>
              <w:left w:val="nil"/>
              <w:bottom w:val="single" w:sz="4" w:space="0" w:color="000000"/>
              <w:right w:val="single" w:sz="4" w:space="0" w:color="000000"/>
            </w:tcBorders>
          </w:tcPr>
          <w:p w:rsidR="0052701D" w:rsidRDefault="00D40929">
            <w:pPr>
              <w:spacing w:after="0"/>
              <w:ind w:right="54"/>
              <w:jc w:val="right"/>
            </w:pPr>
            <w:r>
              <w:rPr>
                <w:rFonts w:ascii="Times New Roman" w:eastAsia="Times New Roman" w:hAnsi="Times New Roman" w:cs="Times New Roman"/>
              </w:rPr>
              <w:t xml:space="preserve">- </w:t>
            </w:r>
          </w:p>
        </w:tc>
        <w:tc>
          <w:tcPr>
            <w:tcW w:w="2108" w:type="dxa"/>
            <w:tcBorders>
              <w:top w:val="single" w:sz="4" w:space="0" w:color="000000"/>
              <w:left w:val="single" w:sz="4" w:space="0" w:color="000000"/>
              <w:bottom w:val="single" w:sz="4" w:space="0" w:color="000000"/>
              <w:right w:val="nil"/>
            </w:tcBorders>
          </w:tcPr>
          <w:p w:rsidR="0052701D" w:rsidRDefault="0052701D"/>
        </w:tc>
        <w:tc>
          <w:tcPr>
            <w:tcW w:w="1575" w:type="dxa"/>
            <w:tcBorders>
              <w:top w:val="single" w:sz="4" w:space="0" w:color="000000"/>
              <w:left w:val="nil"/>
              <w:bottom w:val="single" w:sz="4" w:space="0" w:color="000000"/>
              <w:right w:val="single" w:sz="4" w:space="0" w:color="000000"/>
            </w:tcBorders>
          </w:tcPr>
          <w:p w:rsidR="0052701D" w:rsidRDefault="00D40929">
            <w:pPr>
              <w:spacing w:after="0"/>
              <w:ind w:right="54"/>
              <w:jc w:val="right"/>
            </w:pPr>
            <w:r>
              <w:rPr>
                <w:rFonts w:ascii="Times New Roman" w:eastAsia="Times New Roman" w:hAnsi="Times New Roman" w:cs="Times New Roman"/>
              </w:rPr>
              <w:t xml:space="preserve">- </w:t>
            </w:r>
          </w:p>
        </w:tc>
      </w:tr>
    </w:tbl>
    <w:p w:rsidR="0052701D" w:rsidRDefault="00D40929">
      <w:pPr>
        <w:spacing w:after="0"/>
      </w:pPr>
      <w:r>
        <w:rPr>
          <w:rFonts w:ascii="Times New Roman" w:eastAsia="Times New Roman" w:hAnsi="Times New Roman" w:cs="Times New Roman"/>
        </w:rPr>
        <w:t xml:space="preserve"> </w:t>
      </w:r>
    </w:p>
    <w:p w:rsidR="0052701D" w:rsidRDefault="00D40929">
      <w:pPr>
        <w:spacing w:after="0"/>
        <w:ind w:right="67"/>
        <w:jc w:val="right"/>
      </w:pPr>
      <w:r>
        <w:rPr>
          <w:noProof/>
        </w:rPr>
        <w:drawing>
          <wp:inline distT="0" distB="0" distL="0" distR="0">
            <wp:extent cx="5791201" cy="2715768"/>
            <wp:effectExtent l="0" t="0" r="0" b="0"/>
            <wp:docPr id="174044" name="Picture 174044"/>
            <wp:cNvGraphicFramePr/>
            <a:graphic xmlns:a="http://schemas.openxmlformats.org/drawingml/2006/main">
              <a:graphicData uri="http://schemas.openxmlformats.org/drawingml/2006/picture">
                <pic:pic xmlns:pic="http://schemas.openxmlformats.org/drawingml/2006/picture">
                  <pic:nvPicPr>
                    <pic:cNvPr id="174044" name="Picture 174044"/>
                    <pic:cNvPicPr/>
                  </pic:nvPicPr>
                  <pic:blipFill>
                    <a:blip r:embed="rId840"/>
                    <a:stretch>
                      <a:fillRect/>
                    </a:stretch>
                  </pic:blipFill>
                  <pic:spPr>
                    <a:xfrm>
                      <a:off x="0" y="0"/>
                      <a:ext cx="5791201" cy="2715768"/>
                    </a:xfrm>
                    <a:prstGeom prst="rect">
                      <a:avLst/>
                    </a:prstGeom>
                  </pic:spPr>
                </pic:pic>
              </a:graphicData>
            </a:graphic>
          </wp:inline>
        </w:drawing>
      </w:r>
      <w:r>
        <w:rPr>
          <w:rFonts w:ascii="Times New Roman" w:eastAsia="Times New Roman" w:hAnsi="Times New Roman" w:cs="Times New Roman"/>
        </w:rPr>
        <w:t xml:space="preserve"> </w:t>
      </w:r>
    </w:p>
    <w:p w:rsidR="0052701D" w:rsidRDefault="00D40929">
      <w:pPr>
        <w:spacing w:after="90"/>
      </w:pPr>
      <w:r>
        <w:rPr>
          <w:rFonts w:ascii="Times New Roman" w:eastAsia="Times New Roman" w:hAnsi="Times New Roman" w:cs="Times New Roman"/>
        </w:rPr>
        <w:t xml:space="preserve"> </w:t>
      </w:r>
    </w:p>
    <w:p w:rsidR="0052701D" w:rsidRDefault="00D40929">
      <w:pPr>
        <w:spacing w:after="5" w:line="271" w:lineRule="auto"/>
        <w:ind w:left="567" w:right="64"/>
        <w:jc w:val="both"/>
      </w:pPr>
      <w:r>
        <w:rPr>
          <w:rFonts w:ascii="Times New Roman" w:eastAsia="Times New Roman" w:hAnsi="Times New Roman" w:cs="Times New Roman"/>
          <w:sz w:val="28"/>
        </w:rPr>
        <w:t xml:space="preserve">Таблица 12 – Цена спроса меньше цены предложения  </w:t>
      </w:r>
    </w:p>
    <w:tbl>
      <w:tblPr>
        <w:tblStyle w:val="TableGrid"/>
        <w:tblW w:w="9350" w:type="dxa"/>
        <w:tblInd w:w="5" w:type="dxa"/>
        <w:tblCellMar>
          <w:top w:w="5" w:type="dxa"/>
          <w:left w:w="110" w:type="dxa"/>
          <w:bottom w:w="10" w:type="dxa"/>
          <w:right w:w="46" w:type="dxa"/>
        </w:tblCellMar>
        <w:tblLook w:val="04A0" w:firstRow="1" w:lastRow="0" w:firstColumn="1" w:lastColumn="0" w:noHBand="0" w:noVBand="1"/>
      </w:tblPr>
      <w:tblGrid>
        <w:gridCol w:w="1869"/>
        <w:gridCol w:w="1638"/>
        <w:gridCol w:w="1872"/>
        <w:gridCol w:w="2228"/>
        <w:gridCol w:w="1743"/>
      </w:tblGrid>
      <w:tr w:rsidR="0052701D">
        <w:trPr>
          <w:trHeight w:val="768"/>
        </w:trPr>
        <w:tc>
          <w:tcPr>
            <w:tcW w:w="1868" w:type="dxa"/>
            <w:tcBorders>
              <w:top w:val="single" w:sz="4" w:space="0" w:color="000000"/>
              <w:left w:val="single" w:sz="4" w:space="0" w:color="000000"/>
              <w:bottom w:val="single" w:sz="4" w:space="0" w:color="000000"/>
              <w:right w:val="single" w:sz="4" w:space="0" w:color="000000"/>
            </w:tcBorders>
            <w:vAlign w:val="bottom"/>
          </w:tcPr>
          <w:p w:rsidR="0052701D" w:rsidRDefault="00D40929">
            <w:pPr>
              <w:spacing w:after="0"/>
            </w:pPr>
            <w:r>
              <w:rPr>
                <w:rFonts w:ascii="Times New Roman" w:eastAsia="Times New Roman" w:hAnsi="Times New Roman" w:cs="Times New Roman"/>
              </w:rPr>
              <w:t xml:space="preserve">Наименование </w:t>
            </w:r>
          </w:p>
        </w:tc>
        <w:tc>
          <w:tcPr>
            <w:tcW w:w="1638"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Объем предложения, МВт. </w:t>
            </w:r>
          </w:p>
        </w:tc>
        <w:tc>
          <w:tcPr>
            <w:tcW w:w="1872"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Цена продажи желаемое, тенге/кВт*ч </w:t>
            </w:r>
          </w:p>
        </w:tc>
        <w:tc>
          <w:tcPr>
            <w:tcW w:w="2228"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Цена потребителя желаемая, тенге/кВт*ч </w:t>
            </w:r>
          </w:p>
        </w:tc>
        <w:tc>
          <w:tcPr>
            <w:tcW w:w="1743"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Объем потребления, МВт. </w:t>
            </w:r>
          </w:p>
        </w:tc>
      </w:tr>
      <w:tr w:rsidR="0052701D">
        <w:trPr>
          <w:trHeight w:val="307"/>
        </w:trPr>
        <w:tc>
          <w:tcPr>
            <w:tcW w:w="1868"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АЭС </w:t>
            </w:r>
          </w:p>
        </w:tc>
        <w:tc>
          <w:tcPr>
            <w:tcW w:w="163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1"/>
              <w:jc w:val="right"/>
            </w:pPr>
            <w:r>
              <w:rPr>
                <w:rFonts w:ascii="Times New Roman" w:eastAsia="Times New Roman" w:hAnsi="Times New Roman" w:cs="Times New Roman"/>
              </w:rPr>
              <w:t xml:space="preserve">70,00 </w:t>
            </w:r>
          </w:p>
        </w:tc>
        <w:tc>
          <w:tcPr>
            <w:tcW w:w="18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1"/>
              <w:jc w:val="right"/>
            </w:pPr>
            <w:r>
              <w:rPr>
                <w:rFonts w:ascii="Times New Roman" w:eastAsia="Times New Roman" w:hAnsi="Times New Roman" w:cs="Times New Roman"/>
              </w:rPr>
              <w:t xml:space="preserve">8,10 </w:t>
            </w:r>
          </w:p>
        </w:tc>
        <w:tc>
          <w:tcPr>
            <w:tcW w:w="222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5"/>
              <w:jc w:val="right"/>
            </w:pPr>
            <w:r>
              <w:rPr>
                <w:rFonts w:ascii="Times New Roman" w:eastAsia="Times New Roman" w:hAnsi="Times New Roman" w:cs="Times New Roman"/>
              </w:rPr>
              <w:t xml:space="preserve">7,9 </w:t>
            </w:r>
          </w:p>
        </w:tc>
        <w:tc>
          <w:tcPr>
            <w:tcW w:w="1743"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0"/>
              <w:jc w:val="right"/>
            </w:pPr>
            <w:r>
              <w:rPr>
                <w:rFonts w:ascii="Times New Roman" w:eastAsia="Times New Roman" w:hAnsi="Times New Roman" w:cs="Times New Roman"/>
              </w:rPr>
              <w:t xml:space="preserve">50 </w:t>
            </w:r>
          </w:p>
        </w:tc>
      </w:tr>
      <w:tr w:rsidR="0052701D">
        <w:trPr>
          <w:trHeight w:val="312"/>
        </w:trPr>
        <w:tc>
          <w:tcPr>
            <w:tcW w:w="1868"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lastRenderedPageBreak/>
              <w:t xml:space="preserve">ВЭС </w:t>
            </w:r>
          </w:p>
        </w:tc>
        <w:tc>
          <w:tcPr>
            <w:tcW w:w="163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1"/>
              <w:jc w:val="right"/>
            </w:pPr>
            <w:r>
              <w:rPr>
                <w:rFonts w:ascii="Times New Roman" w:eastAsia="Times New Roman" w:hAnsi="Times New Roman" w:cs="Times New Roman"/>
              </w:rPr>
              <w:t xml:space="preserve">30,00 </w:t>
            </w:r>
          </w:p>
        </w:tc>
        <w:tc>
          <w:tcPr>
            <w:tcW w:w="18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1"/>
              <w:jc w:val="right"/>
            </w:pPr>
            <w:r>
              <w:rPr>
                <w:rFonts w:ascii="Times New Roman" w:eastAsia="Times New Roman" w:hAnsi="Times New Roman" w:cs="Times New Roman"/>
              </w:rPr>
              <w:t xml:space="preserve">8,30 </w:t>
            </w:r>
          </w:p>
        </w:tc>
        <w:tc>
          <w:tcPr>
            <w:tcW w:w="222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5"/>
              <w:jc w:val="right"/>
            </w:pPr>
            <w:r>
              <w:rPr>
                <w:rFonts w:ascii="Times New Roman" w:eastAsia="Times New Roman" w:hAnsi="Times New Roman" w:cs="Times New Roman"/>
              </w:rPr>
              <w:t xml:space="preserve">7,5 </w:t>
            </w:r>
          </w:p>
        </w:tc>
        <w:tc>
          <w:tcPr>
            <w:tcW w:w="1743"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0"/>
              <w:jc w:val="right"/>
            </w:pPr>
            <w:r>
              <w:rPr>
                <w:rFonts w:ascii="Times New Roman" w:eastAsia="Times New Roman" w:hAnsi="Times New Roman" w:cs="Times New Roman"/>
              </w:rPr>
              <w:t xml:space="preserve">30 </w:t>
            </w:r>
          </w:p>
        </w:tc>
      </w:tr>
      <w:tr w:rsidR="0052701D">
        <w:trPr>
          <w:trHeight w:val="312"/>
        </w:trPr>
        <w:tc>
          <w:tcPr>
            <w:tcW w:w="1868"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СЭС </w:t>
            </w:r>
          </w:p>
        </w:tc>
        <w:tc>
          <w:tcPr>
            <w:tcW w:w="163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1"/>
              <w:jc w:val="right"/>
            </w:pPr>
            <w:r>
              <w:rPr>
                <w:rFonts w:ascii="Times New Roman" w:eastAsia="Times New Roman" w:hAnsi="Times New Roman" w:cs="Times New Roman"/>
              </w:rPr>
              <w:t xml:space="preserve">40,00 </w:t>
            </w:r>
          </w:p>
        </w:tc>
        <w:tc>
          <w:tcPr>
            <w:tcW w:w="187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51"/>
              <w:jc w:val="right"/>
            </w:pPr>
            <w:r>
              <w:rPr>
                <w:rFonts w:ascii="Times New Roman" w:eastAsia="Times New Roman" w:hAnsi="Times New Roman" w:cs="Times New Roman"/>
              </w:rPr>
              <w:t xml:space="preserve">8,50 </w:t>
            </w:r>
          </w:p>
        </w:tc>
        <w:tc>
          <w:tcPr>
            <w:tcW w:w="222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0"/>
              <w:jc w:val="right"/>
            </w:pPr>
            <w:r>
              <w:rPr>
                <w:rFonts w:ascii="Times New Roman" w:eastAsia="Times New Roman" w:hAnsi="Times New Roman" w:cs="Times New Roman"/>
              </w:rPr>
              <w:t xml:space="preserve">7 </w:t>
            </w:r>
          </w:p>
        </w:tc>
        <w:tc>
          <w:tcPr>
            <w:tcW w:w="1743"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60"/>
              <w:jc w:val="right"/>
            </w:pPr>
            <w:r>
              <w:rPr>
                <w:rFonts w:ascii="Times New Roman" w:eastAsia="Times New Roman" w:hAnsi="Times New Roman" w:cs="Times New Roman"/>
              </w:rPr>
              <w:t xml:space="preserve">70 </w:t>
            </w:r>
          </w:p>
        </w:tc>
      </w:tr>
      <w:tr w:rsidR="0052701D">
        <w:trPr>
          <w:trHeight w:val="307"/>
        </w:trPr>
        <w:tc>
          <w:tcPr>
            <w:tcW w:w="1868"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Итоговая </w:t>
            </w:r>
          </w:p>
        </w:tc>
        <w:tc>
          <w:tcPr>
            <w:tcW w:w="1638" w:type="dxa"/>
            <w:tcBorders>
              <w:top w:val="single" w:sz="4" w:space="0" w:color="000000"/>
              <w:left w:val="single" w:sz="4" w:space="0" w:color="000000"/>
              <w:bottom w:val="single" w:sz="4" w:space="0" w:color="000000"/>
              <w:right w:val="nil"/>
            </w:tcBorders>
          </w:tcPr>
          <w:p w:rsidR="0052701D" w:rsidRDefault="0052701D"/>
        </w:tc>
        <w:tc>
          <w:tcPr>
            <w:tcW w:w="1872" w:type="dxa"/>
            <w:tcBorders>
              <w:top w:val="single" w:sz="4" w:space="0" w:color="000000"/>
              <w:left w:val="nil"/>
              <w:bottom w:val="single" w:sz="4" w:space="0" w:color="000000"/>
              <w:right w:val="single" w:sz="4" w:space="0" w:color="000000"/>
            </w:tcBorders>
          </w:tcPr>
          <w:p w:rsidR="0052701D" w:rsidRDefault="00D40929">
            <w:pPr>
              <w:spacing w:after="0"/>
              <w:ind w:right="63"/>
              <w:jc w:val="right"/>
            </w:pPr>
            <w:r>
              <w:rPr>
                <w:rFonts w:ascii="Times New Roman" w:eastAsia="Times New Roman" w:hAnsi="Times New Roman" w:cs="Times New Roman"/>
              </w:rPr>
              <w:t xml:space="preserve">Цена сделки </w:t>
            </w:r>
          </w:p>
        </w:tc>
        <w:tc>
          <w:tcPr>
            <w:tcW w:w="2228" w:type="dxa"/>
            <w:tcBorders>
              <w:top w:val="single" w:sz="4" w:space="0" w:color="000000"/>
              <w:left w:val="single" w:sz="4" w:space="0" w:color="000000"/>
              <w:bottom w:val="single" w:sz="4" w:space="0" w:color="000000"/>
              <w:right w:val="nil"/>
            </w:tcBorders>
          </w:tcPr>
          <w:p w:rsidR="0052701D" w:rsidRDefault="0052701D"/>
        </w:tc>
        <w:tc>
          <w:tcPr>
            <w:tcW w:w="1743" w:type="dxa"/>
            <w:tcBorders>
              <w:top w:val="single" w:sz="4" w:space="0" w:color="000000"/>
              <w:left w:val="nil"/>
              <w:bottom w:val="single" w:sz="4" w:space="0" w:color="000000"/>
              <w:right w:val="single" w:sz="4" w:space="0" w:color="000000"/>
            </w:tcBorders>
          </w:tcPr>
          <w:p w:rsidR="0052701D" w:rsidRDefault="00D40929">
            <w:pPr>
              <w:spacing w:after="0"/>
              <w:ind w:right="69"/>
              <w:jc w:val="right"/>
            </w:pPr>
            <w:r>
              <w:rPr>
                <w:rFonts w:ascii="Times New Roman" w:eastAsia="Times New Roman" w:hAnsi="Times New Roman" w:cs="Times New Roman"/>
              </w:rPr>
              <w:t xml:space="preserve">Объем сделки </w:t>
            </w:r>
          </w:p>
        </w:tc>
      </w:tr>
      <w:tr w:rsidR="0052701D">
        <w:trPr>
          <w:trHeight w:val="312"/>
        </w:trPr>
        <w:tc>
          <w:tcPr>
            <w:tcW w:w="1868"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rPr>
              <w:t xml:space="preserve"> </w:t>
            </w:r>
          </w:p>
        </w:tc>
        <w:tc>
          <w:tcPr>
            <w:tcW w:w="1638" w:type="dxa"/>
            <w:tcBorders>
              <w:top w:val="single" w:sz="4" w:space="0" w:color="000000"/>
              <w:left w:val="single" w:sz="4" w:space="0" w:color="000000"/>
              <w:bottom w:val="single" w:sz="4" w:space="0" w:color="000000"/>
              <w:right w:val="nil"/>
            </w:tcBorders>
          </w:tcPr>
          <w:p w:rsidR="0052701D" w:rsidRDefault="0052701D"/>
        </w:tc>
        <w:tc>
          <w:tcPr>
            <w:tcW w:w="1872" w:type="dxa"/>
            <w:tcBorders>
              <w:top w:val="single" w:sz="4" w:space="0" w:color="000000"/>
              <w:left w:val="nil"/>
              <w:bottom w:val="single" w:sz="4" w:space="0" w:color="000000"/>
              <w:right w:val="single" w:sz="4" w:space="0" w:color="000000"/>
            </w:tcBorders>
          </w:tcPr>
          <w:p w:rsidR="0052701D" w:rsidRDefault="00D40929">
            <w:pPr>
              <w:spacing w:after="0"/>
              <w:ind w:right="58"/>
              <w:jc w:val="right"/>
            </w:pPr>
            <w:r>
              <w:rPr>
                <w:rFonts w:ascii="Times New Roman" w:eastAsia="Times New Roman" w:hAnsi="Times New Roman" w:cs="Times New Roman"/>
              </w:rPr>
              <w:t xml:space="preserve">- </w:t>
            </w:r>
          </w:p>
        </w:tc>
        <w:tc>
          <w:tcPr>
            <w:tcW w:w="2228" w:type="dxa"/>
            <w:tcBorders>
              <w:top w:val="single" w:sz="4" w:space="0" w:color="000000"/>
              <w:left w:val="single" w:sz="4" w:space="0" w:color="000000"/>
              <w:bottom w:val="single" w:sz="4" w:space="0" w:color="000000"/>
              <w:right w:val="nil"/>
            </w:tcBorders>
          </w:tcPr>
          <w:p w:rsidR="0052701D" w:rsidRDefault="0052701D"/>
        </w:tc>
        <w:tc>
          <w:tcPr>
            <w:tcW w:w="1743" w:type="dxa"/>
            <w:tcBorders>
              <w:top w:val="single" w:sz="4" w:space="0" w:color="000000"/>
              <w:left w:val="nil"/>
              <w:bottom w:val="single" w:sz="4" w:space="0" w:color="000000"/>
              <w:right w:val="single" w:sz="4" w:space="0" w:color="000000"/>
            </w:tcBorders>
          </w:tcPr>
          <w:p w:rsidR="0052701D" w:rsidRDefault="00D40929">
            <w:pPr>
              <w:spacing w:after="0"/>
              <w:ind w:right="59"/>
              <w:jc w:val="right"/>
            </w:pPr>
            <w:r>
              <w:rPr>
                <w:rFonts w:ascii="Times New Roman" w:eastAsia="Times New Roman" w:hAnsi="Times New Roman" w:cs="Times New Roman"/>
              </w:rPr>
              <w:t xml:space="preserve">- </w:t>
            </w:r>
          </w:p>
        </w:tc>
      </w:tr>
    </w:tbl>
    <w:p w:rsidR="0052701D" w:rsidRDefault="00D40929">
      <w:pPr>
        <w:spacing w:after="0"/>
        <w:ind w:left="49"/>
        <w:jc w:val="center"/>
      </w:pPr>
      <w:r>
        <w:rPr>
          <w:rFonts w:ascii="Times New Roman" w:eastAsia="Times New Roman" w:hAnsi="Times New Roman" w:cs="Times New Roman"/>
        </w:rPr>
        <w:t xml:space="preserve"> </w:t>
      </w:r>
    </w:p>
    <w:p w:rsidR="0052701D" w:rsidRDefault="00D40929">
      <w:pPr>
        <w:spacing w:after="0"/>
        <w:ind w:left="49"/>
        <w:jc w:val="center"/>
      </w:pPr>
      <w:r>
        <w:rPr>
          <w:rFonts w:ascii="Times New Roman" w:eastAsia="Times New Roman" w:hAnsi="Times New Roman" w:cs="Times New Roman"/>
        </w:rPr>
        <w:t xml:space="preserve"> </w:t>
      </w:r>
    </w:p>
    <w:p w:rsidR="0052701D" w:rsidRDefault="00D40929">
      <w:pPr>
        <w:spacing w:after="0"/>
        <w:ind w:right="322"/>
        <w:jc w:val="right"/>
      </w:pPr>
      <w:r>
        <w:rPr>
          <w:noProof/>
        </w:rPr>
        <w:drawing>
          <wp:inline distT="0" distB="0" distL="0" distR="0">
            <wp:extent cx="5471160" cy="2581656"/>
            <wp:effectExtent l="0" t="0" r="0" b="0"/>
            <wp:docPr id="174046" name="Picture 174046"/>
            <wp:cNvGraphicFramePr/>
            <a:graphic xmlns:a="http://schemas.openxmlformats.org/drawingml/2006/main">
              <a:graphicData uri="http://schemas.openxmlformats.org/drawingml/2006/picture">
                <pic:pic xmlns:pic="http://schemas.openxmlformats.org/drawingml/2006/picture">
                  <pic:nvPicPr>
                    <pic:cNvPr id="174046" name="Picture 174046"/>
                    <pic:cNvPicPr/>
                  </pic:nvPicPr>
                  <pic:blipFill>
                    <a:blip r:embed="rId841"/>
                    <a:stretch>
                      <a:fillRect/>
                    </a:stretch>
                  </pic:blipFill>
                  <pic:spPr>
                    <a:xfrm>
                      <a:off x="0" y="0"/>
                      <a:ext cx="5471160" cy="2581656"/>
                    </a:xfrm>
                    <a:prstGeom prst="rect">
                      <a:avLst/>
                    </a:prstGeom>
                  </pic:spPr>
                </pic:pic>
              </a:graphicData>
            </a:graphic>
          </wp:inline>
        </w:drawing>
      </w:r>
      <w:r>
        <w:rPr>
          <w:rFonts w:ascii="Times New Roman" w:eastAsia="Times New Roman" w:hAnsi="Times New Roman" w:cs="Times New Roman"/>
        </w:rPr>
        <w:t xml:space="preserve"> </w:t>
      </w:r>
    </w:p>
    <w:p w:rsidR="0052701D" w:rsidRDefault="00D40929">
      <w:pPr>
        <w:spacing w:after="91"/>
        <w:ind w:left="706"/>
      </w:pPr>
      <w:r>
        <w:rPr>
          <w:rFonts w:ascii="Times New Roman" w:eastAsia="Times New Roman" w:hAnsi="Times New Roman" w:cs="Times New Roman"/>
        </w:rPr>
        <w:t xml:space="preserve"> </w:t>
      </w:r>
    </w:p>
    <w:p w:rsidR="0052701D" w:rsidRDefault="00D40929">
      <w:pPr>
        <w:spacing w:after="5" w:line="271" w:lineRule="auto"/>
        <w:ind w:left="9" w:right="64" w:firstLine="543"/>
        <w:jc w:val="both"/>
      </w:pPr>
      <w:r>
        <w:rPr>
          <w:rFonts w:ascii="Times New Roman" w:eastAsia="Times New Roman" w:hAnsi="Times New Roman" w:cs="Times New Roman"/>
          <w:b/>
          <w:sz w:val="28"/>
        </w:rPr>
        <w:t>Выводы:</w:t>
      </w:r>
      <w:r>
        <w:rPr>
          <w:rFonts w:ascii="Times New Roman" w:eastAsia="Times New Roman" w:hAnsi="Times New Roman" w:cs="Times New Roman"/>
          <w:sz w:val="28"/>
        </w:rPr>
        <w:t xml:space="preserve"> </w:t>
      </w:r>
      <w:r>
        <w:rPr>
          <w:rFonts w:ascii="Times New Roman" w:eastAsia="Times New Roman" w:hAnsi="Times New Roman" w:cs="Times New Roman"/>
          <w:sz w:val="28"/>
        </w:rPr>
        <w:t xml:space="preserve">Проведенные исследования и полученные результаты внесут значительный вклад в выборе эффективных путей устойчивого функционирования, как энергетики, так и других смежных с ней отраслей в современных рыночных условиях.  </w:t>
      </w:r>
    </w:p>
    <w:p w:rsidR="0052701D" w:rsidRDefault="00D40929">
      <w:pPr>
        <w:spacing w:after="5" w:line="271" w:lineRule="auto"/>
        <w:ind w:left="9" w:right="64" w:firstLine="543"/>
        <w:jc w:val="both"/>
      </w:pPr>
      <w:r>
        <w:rPr>
          <w:rFonts w:ascii="Times New Roman" w:eastAsia="Times New Roman" w:hAnsi="Times New Roman" w:cs="Times New Roman"/>
          <w:sz w:val="28"/>
        </w:rPr>
        <w:t xml:space="preserve">Разработан экономико-имитационная </w:t>
      </w:r>
      <w:r>
        <w:rPr>
          <w:rFonts w:ascii="Times New Roman" w:eastAsia="Times New Roman" w:hAnsi="Times New Roman" w:cs="Times New Roman"/>
          <w:sz w:val="28"/>
        </w:rPr>
        <w:t xml:space="preserve">модель на примере одной условной энергетической системы, где учтены механизмы взаимодействия участников </w:t>
      </w:r>
    </w:p>
    <w:p w:rsidR="0052701D" w:rsidRDefault="00D40929">
      <w:pPr>
        <w:spacing w:after="5" w:line="271" w:lineRule="auto"/>
        <w:ind w:left="9" w:right="64"/>
        <w:jc w:val="both"/>
      </w:pPr>
      <w:r>
        <w:rPr>
          <w:rFonts w:ascii="Times New Roman" w:eastAsia="Times New Roman" w:hAnsi="Times New Roman" w:cs="Times New Roman"/>
          <w:sz w:val="28"/>
        </w:rPr>
        <w:t>(субъектов) рынка и анализируются индексы прироста и/или снижения клиринговых цен на электроэнергию в сфере электроэнергетики с учетом спроса и предлож</w:t>
      </w:r>
      <w:r>
        <w:rPr>
          <w:rFonts w:ascii="Times New Roman" w:eastAsia="Times New Roman" w:hAnsi="Times New Roman" w:cs="Times New Roman"/>
          <w:sz w:val="28"/>
        </w:rPr>
        <w:t xml:space="preserve">ения в краткосрочном и долгосрочном периоде.   </w:t>
      </w:r>
    </w:p>
    <w:p w:rsidR="0052701D" w:rsidRDefault="00D40929">
      <w:pPr>
        <w:spacing w:after="5" w:line="271" w:lineRule="auto"/>
        <w:ind w:left="9" w:right="64" w:firstLine="543"/>
        <w:jc w:val="both"/>
      </w:pPr>
      <w:r>
        <w:rPr>
          <w:rFonts w:ascii="Times New Roman" w:eastAsia="Times New Roman" w:hAnsi="Times New Roman" w:cs="Times New Roman"/>
          <w:sz w:val="28"/>
        </w:rPr>
        <w:t xml:space="preserve"> В математическом описании модели критерием принятия решения в целевой функции предлагается минимизация затрат и конечных цен у потребителей за электроэнергию в регионах Казахстана смежных с нами странах с уч</w:t>
      </w:r>
      <w:r>
        <w:rPr>
          <w:rFonts w:ascii="Times New Roman" w:eastAsia="Times New Roman" w:hAnsi="Times New Roman" w:cs="Times New Roman"/>
          <w:sz w:val="28"/>
        </w:rPr>
        <w:t xml:space="preserve">етом дохода от экспорта и импорта электроэнергии. </w:t>
      </w:r>
    </w:p>
    <w:p w:rsidR="0052701D" w:rsidRDefault="00D40929">
      <w:pPr>
        <w:spacing w:after="5" w:line="271" w:lineRule="auto"/>
        <w:ind w:left="9" w:right="64" w:firstLine="543"/>
        <w:jc w:val="both"/>
      </w:pPr>
      <w:r>
        <w:rPr>
          <w:rFonts w:ascii="Times New Roman" w:eastAsia="Times New Roman" w:hAnsi="Times New Roman" w:cs="Times New Roman"/>
          <w:sz w:val="28"/>
        </w:rPr>
        <w:t xml:space="preserve">В своем роде это практически единственная модель, раскрывающая суть и актуальность вышеперечисленных проблем в энергетической отрасли предлагающая схему и алгоритм решения указанных проблем. Необходимость </w:t>
      </w:r>
      <w:r>
        <w:rPr>
          <w:rFonts w:ascii="Times New Roman" w:eastAsia="Times New Roman" w:hAnsi="Times New Roman" w:cs="Times New Roman"/>
          <w:sz w:val="28"/>
        </w:rPr>
        <w:t xml:space="preserve">знания этих экономических вопросов будущими экономистами в отрасли сомнению не подлежит.  </w:t>
      </w:r>
    </w:p>
    <w:p w:rsidR="0052701D" w:rsidRDefault="00D40929">
      <w:pPr>
        <w:spacing w:after="98"/>
        <w:ind w:left="543"/>
      </w:pPr>
      <w:r>
        <w:rPr>
          <w:rFonts w:ascii="Times New Roman" w:eastAsia="Times New Roman" w:hAnsi="Times New Roman" w:cs="Times New Roman"/>
        </w:rPr>
        <w:t xml:space="preserve"> </w:t>
      </w:r>
    </w:p>
    <w:p w:rsidR="0052701D" w:rsidRDefault="00D40929">
      <w:pPr>
        <w:spacing w:after="5" w:line="271" w:lineRule="auto"/>
        <w:ind w:left="173" w:right="171" w:hanging="10"/>
        <w:jc w:val="center"/>
      </w:pPr>
      <w:r>
        <w:rPr>
          <w:rFonts w:ascii="Times New Roman" w:eastAsia="Times New Roman" w:hAnsi="Times New Roman" w:cs="Times New Roman"/>
          <w:b/>
          <w:sz w:val="28"/>
        </w:rPr>
        <w:t xml:space="preserve">ИСТОЧНИКИ </w:t>
      </w:r>
    </w:p>
    <w:p w:rsidR="0052701D" w:rsidRDefault="00D40929">
      <w:pPr>
        <w:spacing w:after="74"/>
        <w:ind w:left="543"/>
      </w:pPr>
      <w:r>
        <w:rPr>
          <w:rFonts w:ascii="Times New Roman" w:eastAsia="Times New Roman" w:hAnsi="Times New Roman" w:cs="Times New Roman"/>
          <w:b/>
          <w:sz w:val="24"/>
        </w:rPr>
        <w:t xml:space="preserve"> </w:t>
      </w:r>
    </w:p>
    <w:p w:rsidR="0052701D" w:rsidRDefault="00D40929">
      <w:pPr>
        <w:numPr>
          <w:ilvl w:val="0"/>
          <w:numId w:val="140"/>
        </w:numPr>
        <w:spacing w:after="26" w:line="271" w:lineRule="auto"/>
        <w:ind w:right="64" w:firstLine="567"/>
        <w:jc w:val="both"/>
      </w:pPr>
      <w:r>
        <w:rPr>
          <w:rFonts w:ascii="Times New Roman" w:eastAsia="Times New Roman" w:hAnsi="Times New Roman" w:cs="Times New Roman"/>
          <w:sz w:val="28"/>
        </w:rPr>
        <w:lastRenderedPageBreak/>
        <w:t>Закон Республики Казахстан от 9 июля 2004 года № 588-II Об электроэнергетике</w:t>
      </w:r>
      <w:r>
        <w:rPr>
          <w:rFonts w:ascii="Times New Roman" w:eastAsia="Times New Roman" w:hAnsi="Times New Roman" w:cs="Times New Roman"/>
          <w:b/>
          <w:sz w:val="28"/>
        </w:rPr>
        <w:t xml:space="preserve"> </w:t>
      </w:r>
    </w:p>
    <w:p w:rsidR="0052701D" w:rsidRDefault="00D40929">
      <w:pPr>
        <w:numPr>
          <w:ilvl w:val="0"/>
          <w:numId w:val="140"/>
        </w:numPr>
        <w:spacing w:after="5" w:line="271" w:lineRule="auto"/>
        <w:ind w:right="64" w:firstLine="567"/>
        <w:jc w:val="both"/>
      </w:pPr>
      <w:r>
        <w:rPr>
          <w:rFonts w:ascii="Times New Roman" w:eastAsia="Times New Roman" w:hAnsi="Times New Roman" w:cs="Times New Roman"/>
          <w:sz w:val="28"/>
        </w:rPr>
        <w:t xml:space="preserve">Приказ Министра энергетики Республики Казахстан от 27 февраля 2015 года </w:t>
      </w:r>
      <w:r>
        <w:rPr>
          <w:rFonts w:ascii="Times New Roman" w:eastAsia="Times New Roman" w:hAnsi="Times New Roman" w:cs="Times New Roman"/>
          <w:sz w:val="28"/>
        </w:rPr>
        <w:t>№ 152 Об утверждении Правил организации и функционирования рынка электрической мощности</w:t>
      </w:r>
      <w:r>
        <w:rPr>
          <w:rFonts w:ascii="Times New Roman" w:eastAsia="Times New Roman" w:hAnsi="Times New Roman" w:cs="Times New Roman"/>
          <w:b/>
          <w:sz w:val="28"/>
        </w:rPr>
        <w:t xml:space="preserve"> </w:t>
      </w:r>
    </w:p>
    <w:p w:rsidR="0052701D" w:rsidRDefault="00D40929">
      <w:pPr>
        <w:numPr>
          <w:ilvl w:val="0"/>
          <w:numId w:val="140"/>
        </w:numPr>
        <w:spacing w:after="5" w:line="271" w:lineRule="auto"/>
        <w:ind w:right="64" w:firstLine="567"/>
        <w:jc w:val="both"/>
      </w:pPr>
      <w:r>
        <w:rPr>
          <w:rFonts w:ascii="Times New Roman" w:eastAsia="Times New Roman" w:hAnsi="Times New Roman" w:cs="Times New Roman"/>
          <w:sz w:val="28"/>
        </w:rPr>
        <w:t>Обзор рынка электроэнергии Казахстана, Halyk Research, январь 2022 года</w:t>
      </w:r>
      <w:r>
        <w:rPr>
          <w:rFonts w:ascii="Times New Roman" w:eastAsia="Times New Roman" w:hAnsi="Times New Roman" w:cs="Times New Roman"/>
          <w:b/>
          <w:sz w:val="28"/>
        </w:rPr>
        <w:t xml:space="preserve"> </w:t>
      </w:r>
    </w:p>
    <w:p w:rsidR="0052701D" w:rsidRDefault="00D40929">
      <w:pPr>
        <w:numPr>
          <w:ilvl w:val="0"/>
          <w:numId w:val="140"/>
        </w:numPr>
        <w:spacing w:after="32"/>
        <w:ind w:right="64" w:firstLine="567"/>
        <w:jc w:val="both"/>
      </w:pPr>
      <w:r>
        <w:rPr>
          <w:rFonts w:ascii="Times New Roman" w:eastAsia="Times New Roman" w:hAnsi="Times New Roman" w:cs="Times New Roman"/>
          <w:sz w:val="28"/>
        </w:rPr>
        <w:t xml:space="preserve">Анализ рынка электроэнергетической отрасли Казахстана, Samruk </w:t>
      </w:r>
    </w:p>
    <w:p w:rsidR="0052701D" w:rsidRDefault="00D40929">
      <w:pPr>
        <w:spacing w:after="32" w:line="271" w:lineRule="auto"/>
        <w:ind w:left="9" w:right="64"/>
        <w:jc w:val="both"/>
      </w:pPr>
      <w:r>
        <w:rPr>
          <w:rFonts w:ascii="Times New Roman" w:eastAsia="Times New Roman" w:hAnsi="Times New Roman" w:cs="Times New Roman"/>
          <w:sz w:val="28"/>
        </w:rPr>
        <w:t xml:space="preserve">Energy, январь 2022 года </w:t>
      </w:r>
    </w:p>
    <w:p w:rsidR="0052701D" w:rsidRDefault="00D40929">
      <w:pPr>
        <w:numPr>
          <w:ilvl w:val="0"/>
          <w:numId w:val="140"/>
        </w:numPr>
        <w:spacing w:after="5" w:line="271" w:lineRule="auto"/>
        <w:ind w:right="64" w:firstLine="567"/>
        <w:jc w:val="both"/>
      </w:pPr>
      <w:r>
        <w:rPr>
          <w:rFonts w:ascii="Times New Roman" w:eastAsia="Times New Roman" w:hAnsi="Times New Roman" w:cs="Times New Roman"/>
          <w:sz w:val="28"/>
        </w:rPr>
        <w:t xml:space="preserve">Приказ Министра энергетики Республики Казахстан №16 от 14.01.2022 года «Об утверждении прогнозных балансов электрической энергии и мощности на 2022 - 2028 годы» </w:t>
      </w:r>
    </w:p>
    <w:p w:rsidR="0052701D" w:rsidRDefault="00D40929">
      <w:pPr>
        <w:numPr>
          <w:ilvl w:val="0"/>
          <w:numId w:val="140"/>
        </w:numPr>
        <w:spacing w:after="29" w:line="271" w:lineRule="auto"/>
        <w:ind w:right="64" w:firstLine="567"/>
        <w:jc w:val="both"/>
      </w:pPr>
      <w:r>
        <w:rPr>
          <w:rFonts w:ascii="Times New Roman" w:eastAsia="Times New Roman" w:hAnsi="Times New Roman" w:cs="Times New Roman"/>
          <w:sz w:val="28"/>
        </w:rPr>
        <w:t xml:space="preserve">Приказ Министра энергетики Республики Казахстан от 14 декабря 2018 года № 514 «Об утверждении </w:t>
      </w:r>
      <w:r>
        <w:rPr>
          <w:rFonts w:ascii="Times New Roman" w:eastAsia="Times New Roman" w:hAnsi="Times New Roman" w:cs="Times New Roman"/>
          <w:sz w:val="28"/>
        </w:rPr>
        <w:t xml:space="preserve">предельных тарифов на электрическую энергию». </w:t>
      </w:r>
    </w:p>
    <w:p w:rsidR="0052701D" w:rsidRDefault="00D40929">
      <w:pPr>
        <w:numPr>
          <w:ilvl w:val="0"/>
          <w:numId w:val="140"/>
        </w:numPr>
        <w:spacing w:after="31" w:line="271" w:lineRule="auto"/>
        <w:ind w:right="64" w:firstLine="567"/>
        <w:jc w:val="both"/>
      </w:pPr>
      <w:r>
        <w:rPr>
          <w:rFonts w:ascii="Times New Roman" w:eastAsia="Times New Roman" w:hAnsi="Times New Roman" w:cs="Times New Roman"/>
          <w:sz w:val="28"/>
        </w:rPr>
        <w:t>.Валеева, Ю. С. Структура инновационного потенциала региональной хозяйственной системы / Ю. С. Валеева, Е. С. Макарова, Н. З. Уразбахтина // Ученые записки Казанской государственной академии ветеринарной медиц</w:t>
      </w:r>
      <w:r>
        <w:rPr>
          <w:rFonts w:ascii="Times New Roman" w:eastAsia="Times New Roman" w:hAnsi="Times New Roman" w:cs="Times New Roman"/>
          <w:sz w:val="28"/>
        </w:rPr>
        <w:t xml:space="preserve">ины им. Н.Э. Баумана. – 2014. – Т. 220. – № 4. – С. 53-56.  </w:t>
      </w:r>
    </w:p>
    <w:p w:rsidR="0052701D" w:rsidRDefault="00D40929">
      <w:pPr>
        <w:numPr>
          <w:ilvl w:val="0"/>
          <w:numId w:val="140"/>
        </w:numPr>
        <w:spacing w:after="5" w:line="271" w:lineRule="auto"/>
        <w:ind w:right="64" w:firstLine="567"/>
        <w:jc w:val="both"/>
      </w:pPr>
      <w:r>
        <w:rPr>
          <w:rFonts w:ascii="Times New Roman" w:eastAsia="Times New Roman" w:hAnsi="Times New Roman" w:cs="Times New Roman"/>
          <w:sz w:val="28"/>
        </w:rPr>
        <w:t>Хуснуллова, А. Р. Четвертая промышленная революция и ее социально-экономические последствия / А. Р. Хуснуллова, Ю. С. Валеева, С. Г. Абсалямова // Научное обозрение. – 2016. – № 13. – С. 157-</w:t>
      </w:r>
      <w:r>
        <w:rPr>
          <w:rFonts w:ascii="Times New Roman" w:eastAsia="Times New Roman" w:hAnsi="Times New Roman" w:cs="Times New Roman"/>
          <w:sz w:val="28"/>
        </w:rPr>
        <w:t xml:space="preserve">163.  </w:t>
      </w:r>
    </w:p>
    <w:p w:rsidR="0052701D" w:rsidRDefault="0052701D">
      <w:pPr>
        <w:sectPr w:rsidR="0052701D">
          <w:footerReference w:type="even" r:id="rId842"/>
          <w:footerReference w:type="default" r:id="rId843"/>
          <w:footerReference w:type="first" r:id="rId844"/>
          <w:footnotePr>
            <w:numRestart w:val="eachPage"/>
          </w:footnotePr>
          <w:pgSz w:w="11904" w:h="16838"/>
          <w:pgMar w:top="1133" w:right="843" w:bottom="859" w:left="1700" w:header="720" w:footer="300" w:gutter="0"/>
          <w:cols w:space="720"/>
        </w:sectPr>
      </w:pPr>
    </w:p>
    <w:p w:rsidR="0052701D" w:rsidRDefault="00D40929">
      <w:pPr>
        <w:spacing w:after="415" w:line="264" w:lineRule="auto"/>
        <w:ind w:left="563" w:hanging="10"/>
      </w:pPr>
      <w:r>
        <w:rPr>
          <w:rFonts w:ascii="Times New Roman" w:eastAsia="Times New Roman" w:hAnsi="Times New Roman" w:cs="Times New Roman"/>
          <w:b/>
          <w:sz w:val="24"/>
        </w:rPr>
        <w:lastRenderedPageBreak/>
        <w:t>УДК 378:004</w:t>
      </w:r>
    </w:p>
    <w:p w:rsidR="0052701D" w:rsidRDefault="00D40929">
      <w:pPr>
        <w:pStyle w:val="1"/>
        <w:spacing w:after="321" w:line="311" w:lineRule="auto"/>
        <w:ind w:left="472" w:right="425"/>
      </w:pPr>
      <w:r>
        <w:rPr>
          <w:sz w:val="24"/>
        </w:rPr>
        <w:t xml:space="preserve">ИНФОРМАЦИОННАЯ СРЕДА ВУЗА И ОРГАНИЗАЦИЯ РАБОТЫ СТУДЕНТОВ В ЛИЧНЫХ КАБИНЕТАХ </w:t>
      </w:r>
    </w:p>
    <w:p w:rsidR="0052701D" w:rsidRDefault="00D40929">
      <w:pPr>
        <w:spacing w:after="89" w:line="249" w:lineRule="auto"/>
        <w:ind w:left="714" w:right="423" w:hanging="10"/>
        <w:jc w:val="center"/>
      </w:pPr>
      <w:r>
        <w:rPr>
          <w:rFonts w:ascii="Times New Roman" w:eastAsia="Times New Roman" w:hAnsi="Times New Roman" w:cs="Times New Roman"/>
          <w:sz w:val="24"/>
        </w:rPr>
        <w:t>Зарипова Р.С.</w:t>
      </w:r>
      <w:r>
        <w:rPr>
          <w:rFonts w:ascii="Times New Roman" w:eastAsia="Times New Roman" w:hAnsi="Times New Roman" w:cs="Times New Roman"/>
          <w:vertAlign w:val="superscript"/>
        </w:rPr>
        <w:t>1</w:t>
      </w:r>
      <w:r>
        <w:rPr>
          <w:rFonts w:ascii="Times New Roman" w:eastAsia="Times New Roman" w:hAnsi="Times New Roman" w:cs="Times New Roman"/>
          <w:sz w:val="24"/>
        </w:rPr>
        <w:t>, Рочева О.А.</w:t>
      </w:r>
      <w:r>
        <w:rPr>
          <w:rFonts w:ascii="Times New Roman" w:eastAsia="Times New Roman" w:hAnsi="Times New Roman" w:cs="Times New Roman"/>
          <w:vertAlign w:val="superscript"/>
        </w:rPr>
        <w:t>2</w:t>
      </w:r>
      <w:r>
        <w:rPr>
          <w:rFonts w:ascii="Times New Roman" w:eastAsia="Times New Roman" w:hAnsi="Times New Roman" w:cs="Times New Roman"/>
          <w:sz w:val="24"/>
        </w:rPr>
        <w:t>, Алемасов Е.П.</w:t>
      </w:r>
      <w:r>
        <w:rPr>
          <w:rFonts w:ascii="Times New Roman" w:eastAsia="Times New Roman" w:hAnsi="Times New Roman" w:cs="Times New Roman"/>
          <w:vertAlign w:val="superscript"/>
        </w:rPr>
        <w:t>1</w:t>
      </w:r>
      <w:r>
        <w:rPr>
          <w:rFonts w:ascii="Times New Roman" w:eastAsia="Times New Roman" w:hAnsi="Times New Roman" w:cs="Times New Roman"/>
          <w:sz w:val="24"/>
        </w:rPr>
        <w:t xml:space="preserve"> </w:t>
      </w:r>
    </w:p>
    <w:p w:rsidR="0052701D" w:rsidRDefault="00D40929">
      <w:pPr>
        <w:spacing w:after="325" w:line="341" w:lineRule="auto"/>
        <w:ind w:left="2035" w:right="1744" w:hanging="10"/>
        <w:jc w:val="center"/>
      </w:pPr>
      <w:r>
        <w:rPr>
          <w:rFonts w:ascii="Times New Roman" w:eastAsia="Times New Roman" w:hAnsi="Times New Roman" w:cs="Times New Roman"/>
          <w:vertAlign w:val="superscript"/>
        </w:rPr>
        <w:t>1</w:t>
      </w:r>
      <w:r>
        <w:rPr>
          <w:rFonts w:ascii="Times New Roman" w:eastAsia="Times New Roman" w:hAnsi="Times New Roman" w:cs="Times New Roman"/>
          <w:sz w:val="24"/>
        </w:rPr>
        <w:t xml:space="preserve">КГЭУ, </w:t>
      </w:r>
      <w:r>
        <w:rPr>
          <w:rFonts w:ascii="Times New Roman" w:eastAsia="Times New Roman" w:hAnsi="Times New Roman" w:cs="Times New Roman"/>
          <w:vertAlign w:val="superscript"/>
        </w:rPr>
        <w:t>2</w:t>
      </w:r>
      <w:r>
        <w:rPr>
          <w:rFonts w:ascii="Times New Roman" w:eastAsia="Times New Roman" w:hAnsi="Times New Roman" w:cs="Times New Roman"/>
          <w:sz w:val="24"/>
        </w:rPr>
        <w:t>КИУ им. В.Г. Тимирясова, г. Казань, zarim@rambler.ru</w:t>
      </w:r>
    </w:p>
    <w:p w:rsidR="0052701D" w:rsidRDefault="00D40929">
      <w:pPr>
        <w:spacing w:after="3" w:line="311" w:lineRule="auto"/>
        <w:ind w:left="553" w:right="285" w:firstLine="710"/>
        <w:jc w:val="both"/>
      </w:pPr>
      <w:r>
        <w:rPr>
          <w:rFonts w:ascii="Times New Roman" w:eastAsia="Times New Roman" w:hAnsi="Times New Roman" w:cs="Times New Roman"/>
          <w:b/>
          <w:sz w:val="24"/>
        </w:rPr>
        <w:t xml:space="preserve">Аннотация: </w:t>
      </w:r>
      <w:r>
        <w:rPr>
          <w:rFonts w:ascii="Times New Roman" w:eastAsia="Times New Roman" w:hAnsi="Times New Roman" w:cs="Times New Roman"/>
          <w:sz w:val="24"/>
        </w:rPr>
        <w:t>Статья посвящена анализу эффективности применения информационной среды ВУЗа в практике педагогического работника. Причем одна из ключевых и широко обсуждаемых проблем преподавания в ву</w:t>
      </w:r>
      <w:r>
        <w:rPr>
          <w:rFonts w:ascii="Times New Roman" w:eastAsia="Times New Roman" w:hAnsi="Times New Roman" w:cs="Times New Roman"/>
          <w:sz w:val="24"/>
        </w:rPr>
        <w:t>зе – организация работы обучающихся в личных кабинетах информационной среды ВУЗа. В статье обосновывается необходимость данного вида деятельности студентов. Также описывается процесс организации этой деятельности на примере страницы одной из дисциплин, соз</w:t>
      </w:r>
      <w:r>
        <w:rPr>
          <w:rFonts w:ascii="Times New Roman" w:eastAsia="Times New Roman" w:hAnsi="Times New Roman" w:cs="Times New Roman"/>
          <w:sz w:val="24"/>
        </w:rPr>
        <w:t>данной средствами LMS Moodle.</w:t>
      </w:r>
    </w:p>
    <w:p w:rsidR="0052701D" w:rsidRDefault="00D40929">
      <w:pPr>
        <w:spacing w:after="360" w:line="311" w:lineRule="auto"/>
        <w:ind w:left="553" w:right="285" w:firstLine="710"/>
        <w:jc w:val="both"/>
      </w:pPr>
      <w:r>
        <w:rPr>
          <w:rFonts w:ascii="Times New Roman" w:eastAsia="Times New Roman" w:hAnsi="Times New Roman" w:cs="Times New Roman"/>
          <w:b/>
          <w:sz w:val="24"/>
        </w:rPr>
        <w:t xml:space="preserve">Ключевые слова: </w:t>
      </w:r>
      <w:r>
        <w:rPr>
          <w:rFonts w:ascii="Times New Roman" w:eastAsia="Times New Roman" w:hAnsi="Times New Roman" w:cs="Times New Roman"/>
          <w:sz w:val="24"/>
        </w:rPr>
        <w:t>самостоятельная работа обучающихся, электронная информационная образовательная среда, система дистанционного обучения LMS Moodle, страница дисциплины, личный кабинет.</w:t>
      </w:r>
    </w:p>
    <w:p w:rsidR="0052701D" w:rsidRDefault="00D40929">
      <w:pPr>
        <w:spacing w:after="321" w:line="311" w:lineRule="auto"/>
        <w:ind w:left="472" w:right="186" w:hanging="10"/>
        <w:jc w:val="center"/>
      </w:pPr>
      <w:r>
        <w:rPr>
          <w:rFonts w:ascii="Times New Roman" w:eastAsia="Times New Roman" w:hAnsi="Times New Roman" w:cs="Times New Roman"/>
          <w:b/>
          <w:sz w:val="24"/>
        </w:rPr>
        <w:t>UNIVERSITY INFORMATION ENVIRONMENT AND ORGA</w:t>
      </w:r>
      <w:r>
        <w:rPr>
          <w:rFonts w:ascii="Times New Roman" w:eastAsia="Times New Roman" w:hAnsi="Times New Roman" w:cs="Times New Roman"/>
          <w:b/>
          <w:sz w:val="24"/>
        </w:rPr>
        <w:t xml:space="preserve">NIZATION OF STUDENTS' WORK IN PERSONAL ACCOUNTS </w:t>
      </w:r>
    </w:p>
    <w:p w:rsidR="0052701D" w:rsidRDefault="00D40929">
      <w:pPr>
        <w:spacing w:after="80" w:line="249" w:lineRule="auto"/>
        <w:ind w:left="714" w:right="421" w:hanging="10"/>
        <w:jc w:val="center"/>
      </w:pPr>
      <w:r>
        <w:rPr>
          <w:rFonts w:ascii="Times New Roman" w:eastAsia="Times New Roman" w:hAnsi="Times New Roman" w:cs="Times New Roman"/>
          <w:sz w:val="24"/>
        </w:rPr>
        <w:t>R.S. Zaripova</w:t>
      </w:r>
      <w:r>
        <w:rPr>
          <w:rFonts w:ascii="Times New Roman" w:eastAsia="Times New Roman" w:hAnsi="Times New Roman" w:cs="Times New Roman"/>
          <w:vertAlign w:val="superscript"/>
        </w:rPr>
        <w:t>1</w:t>
      </w:r>
      <w:r>
        <w:rPr>
          <w:rFonts w:ascii="Times New Roman" w:eastAsia="Times New Roman" w:hAnsi="Times New Roman" w:cs="Times New Roman"/>
          <w:sz w:val="24"/>
        </w:rPr>
        <w:t>, O.A. Rocheva</w:t>
      </w:r>
      <w:r>
        <w:rPr>
          <w:rFonts w:ascii="Times New Roman" w:eastAsia="Times New Roman" w:hAnsi="Times New Roman" w:cs="Times New Roman"/>
          <w:vertAlign w:val="superscript"/>
        </w:rPr>
        <w:t>2</w:t>
      </w:r>
      <w:r>
        <w:rPr>
          <w:rFonts w:ascii="Times New Roman" w:eastAsia="Times New Roman" w:hAnsi="Times New Roman" w:cs="Times New Roman"/>
          <w:sz w:val="24"/>
        </w:rPr>
        <w:t>, E.P. Alemasov</w:t>
      </w:r>
      <w:r>
        <w:rPr>
          <w:rFonts w:ascii="Times New Roman" w:eastAsia="Times New Roman" w:hAnsi="Times New Roman" w:cs="Times New Roman"/>
          <w:vertAlign w:val="superscript"/>
        </w:rPr>
        <w:t>1</w:t>
      </w:r>
    </w:p>
    <w:p w:rsidR="0052701D" w:rsidRDefault="00D40929">
      <w:pPr>
        <w:spacing w:after="311" w:line="353" w:lineRule="auto"/>
        <w:ind w:left="714" w:right="425" w:hanging="10"/>
        <w:jc w:val="center"/>
      </w:pPr>
      <w:r>
        <w:rPr>
          <w:rFonts w:ascii="Times New Roman" w:eastAsia="Times New Roman" w:hAnsi="Times New Roman" w:cs="Times New Roman"/>
          <w:vertAlign w:val="superscript"/>
        </w:rPr>
        <w:t>1</w:t>
      </w:r>
      <w:r>
        <w:rPr>
          <w:rFonts w:ascii="Times New Roman" w:eastAsia="Times New Roman" w:hAnsi="Times New Roman" w:cs="Times New Roman"/>
          <w:sz w:val="24"/>
        </w:rPr>
        <w:t xml:space="preserve">KSPEU, </w:t>
      </w:r>
      <w:r>
        <w:rPr>
          <w:rFonts w:ascii="Times New Roman" w:eastAsia="Times New Roman" w:hAnsi="Times New Roman" w:cs="Times New Roman"/>
          <w:vertAlign w:val="superscript"/>
        </w:rPr>
        <w:t>2</w:t>
      </w:r>
      <w:r>
        <w:rPr>
          <w:rFonts w:ascii="Times New Roman" w:eastAsia="Times New Roman" w:hAnsi="Times New Roman" w:cs="Times New Roman"/>
          <w:sz w:val="24"/>
        </w:rPr>
        <w:t>Kazan Innovative University named after V. G. Timiryasov, Kazan, zarim@rambler.ru</w:t>
      </w:r>
    </w:p>
    <w:p w:rsidR="0052701D" w:rsidRDefault="00D40929">
      <w:pPr>
        <w:spacing w:after="3" w:line="311" w:lineRule="auto"/>
        <w:ind w:left="553" w:right="285" w:firstLine="710"/>
        <w:jc w:val="both"/>
      </w:pPr>
      <w:r>
        <w:rPr>
          <w:rFonts w:ascii="Times New Roman" w:eastAsia="Times New Roman" w:hAnsi="Times New Roman" w:cs="Times New Roman"/>
          <w:b/>
          <w:sz w:val="24"/>
        </w:rPr>
        <w:t>Abstract:</w:t>
      </w:r>
      <w:r>
        <w:rPr>
          <w:rFonts w:ascii="Times New Roman" w:eastAsia="Times New Roman" w:hAnsi="Times New Roman" w:cs="Times New Roman"/>
          <w:sz w:val="24"/>
        </w:rPr>
        <w:t xml:space="preserve"> The paper is devoted to the analysis of the efficiency of ap</w:t>
      </w:r>
      <w:r>
        <w:rPr>
          <w:rFonts w:ascii="Times New Roman" w:eastAsia="Times New Roman" w:hAnsi="Times New Roman" w:cs="Times New Roman"/>
          <w:sz w:val="24"/>
        </w:rPr>
        <w:t xml:space="preserve">plying the information environment of the university in pedagogical practice. Moreover, one of the key and widely discussed problems of teaching in the university is the organization of students' work in the personal cabinets of the university information </w:t>
      </w:r>
      <w:r>
        <w:rPr>
          <w:rFonts w:ascii="Times New Roman" w:eastAsia="Times New Roman" w:hAnsi="Times New Roman" w:cs="Times New Roman"/>
          <w:sz w:val="24"/>
        </w:rPr>
        <w:t>environment. The article substantiates the need for this type of students' activity. Also describes the process of organizing this activity on the example of a page one of the disciplines, created by means of LMS Moodle.</w:t>
      </w:r>
    </w:p>
    <w:p w:rsidR="0052701D" w:rsidRDefault="00D40929">
      <w:pPr>
        <w:spacing w:after="360" w:line="311" w:lineRule="auto"/>
        <w:ind w:left="553" w:right="285" w:firstLine="710"/>
        <w:jc w:val="both"/>
      </w:pPr>
      <w:r>
        <w:rPr>
          <w:rFonts w:ascii="Times New Roman" w:eastAsia="Times New Roman" w:hAnsi="Times New Roman" w:cs="Times New Roman"/>
          <w:b/>
          <w:sz w:val="24"/>
        </w:rPr>
        <w:t>Key words:</w:t>
      </w:r>
      <w:r>
        <w:rPr>
          <w:rFonts w:ascii="Times New Roman" w:eastAsia="Times New Roman" w:hAnsi="Times New Roman" w:cs="Times New Roman"/>
          <w:sz w:val="24"/>
        </w:rPr>
        <w:t xml:space="preserve"> independent work of students, electronic information educational environment, LMS Moodle, page of the discipline, personal office.</w:t>
      </w:r>
    </w:p>
    <w:p w:rsidR="0052701D" w:rsidRDefault="00D40929">
      <w:pPr>
        <w:spacing w:after="3" w:line="311" w:lineRule="auto"/>
        <w:ind w:left="553" w:right="285" w:firstLine="710"/>
        <w:jc w:val="both"/>
      </w:pPr>
      <w:r>
        <w:rPr>
          <w:rFonts w:ascii="Times New Roman" w:eastAsia="Times New Roman" w:hAnsi="Times New Roman" w:cs="Times New Roman"/>
          <w:sz w:val="24"/>
        </w:rPr>
        <w:t>Одной из ключевых и широко обсуждаемых проблем преподавания в вузе является организация работы обучающихся в личных кабинета</w:t>
      </w:r>
      <w:r>
        <w:rPr>
          <w:rFonts w:ascii="Times New Roman" w:eastAsia="Times New Roman" w:hAnsi="Times New Roman" w:cs="Times New Roman"/>
          <w:sz w:val="24"/>
        </w:rPr>
        <w:t>х в информационной среде, что касается и самостоятельной работы студентов в личных кабинетах образовательной среды вуза. В настоящее время университеты мира используют для обучения систему LMS Moodle. Moodle – это свободная система управления обучением, ор</w:t>
      </w:r>
      <w:r>
        <w:rPr>
          <w:rFonts w:ascii="Times New Roman" w:eastAsia="Times New Roman" w:hAnsi="Times New Roman" w:cs="Times New Roman"/>
          <w:sz w:val="24"/>
        </w:rPr>
        <w:t xml:space="preserve">иентированная на </w:t>
      </w:r>
      <w:r>
        <w:rPr>
          <w:rFonts w:ascii="Times New Roman" w:eastAsia="Times New Roman" w:hAnsi="Times New Roman" w:cs="Times New Roman"/>
          <w:sz w:val="24"/>
        </w:rPr>
        <w:lastRenderedPageBreak/>
        <w:t xml:space="preserve">организацию взаимодействия между преподавателем и обучающимися, подходит для организации дистанционных курсов и поддержки традиционного очного обучения. </w:t>
      </w:r>
    </w:p>
    <w:p w:rsidR="0052701D" w:rsidRDefault="00D40929">
      <w:pPr>
        <w:spacing w:after="3" w:line="311" w:lineRule="auto"/>
        <w:ind w:left="553" w:right="285" w:firstLine="710"/>
        <w:jc w:val="both"/>
      </w:pPr>
      <w:r>
        <w:rPr>
          <w:rFonts w:ascii="Times New Roman" w:eastAsia="Times New Roman" w:hAnsi="Times New Roman" w:cs="Times New Roman"/>
          <w:sz w:val="24"/>
        </w:rPr>
        <w:t>Федеральные государственные образовательные стандарты высшего образования рассматрива</w:t>
      </w:r>
      <w:r>
        <w:rPr>
          <w:rFonts w:ascii="Times New Roman" w:eastAsia="Times New Roman" w:hAnsi="Times New Roman" w:cs="Times New Roman"/>
          <w:sz w:val="24"/>
        </w:rPr>
        <w:t>ют самостоятельную работу студентов как важнейшую составляющую профессиональной подготовки будущих специалистов. С каждым новым поколением государственных образовательных стандартов на самостоятельную работу отводится все больше учебного времени. И такая т</w:t>
      </w:r>
      <w:r>
        <w:rPr>
          <w:rFonts w:ascii="Times New Roman" w:eastAsia="Times New Roman" w:hAnsi="Times New Roman" w:cs="Times New Roman"/>
          <w:sz w:val="24"/>
        </w:rPr>
        <w:t>енденция вполне закономерна, ведь современное общество ставит перед вузом задачу подготовки творчески мыслящего специалиста, способного самостоятельно добывать знания и умения, необходимые для профессиональной практики. В таких условиях перед преподавателе</w:t>
      </w:r>
      <w:r>
        <w:rPr>
          <w:rFonts w:ascii="Times New Roman" w:eastAsia="Times New Roman" w:hAnsi="Times New Roman" w:cs="Times New Roman"/>
          <w:sz w:val="24"/>
        </w:rPr>
        <w:t xml:space="preserve">м стоит задача организации активной учебной деятельности студентов с предоставлением им максимальной самостоятельности [1]. </w:t>
      </w:r>
    </w:p>
    <w:p w:rsidR="0052701D" w:rsidRDefault="00D40929">
      <w:pPr>
        <w:spacing w:after="3" w:line="311" w:lineRule="auto"/>
        <w:ind w:left="553" w:right="285" w:firstLine="710"/>
        <w:jc w:val="both"/>
      </w:pPr>
      <w:r>
        <w:rPr>
          <w:rFonts w:ascii="Times New Roman" w:eastAsia="Times New Roman" w:hAnsi="Times New Roman" w:cs="Times New Roman"/>
          <w:sz w:val="24"/>
        </w:rPr>
        <w:t>Дистанционные системы обучения создают принципиально новые условия для организации самостоятельной работы обучающихся, обеспечивают</w:t>
      </w:r>
      <w:r>
        <w:rPr>
          <w:rFonts w:ascii="Times New Roman" w:eastAsia="Times New Roman" w:hAnsi="Times New Roman" w:cs="Times New Roman"/>
          <w:sz w:val="24"/>
        </w:rPr>
        <w:t xml:space="preserve"> оперативную передачу заданий, интерактивность и обратную связь [2]. В настоящее время во многих вузах важной составляющей учебного процесса является работа в электронной информационной образовательной среде (ЭИОС). Причем у студента должна быть возможност</w:t>
      </w:r>
      <w:r>
        <w:rPr>
          <w:rFonts w:ascii="Times New Roman" w:eastAsia="Times New Roman" w:hAnsi="Times New Roman" w:cs="Times New Roman"/>
          <w:sz w:val="24"/>
        </w:rPr>
        <w:t xml:space="preserve">ь доступа к ЭИОС через сеть Интернет как на территории вуза, так и вне его [3]. </w:t>
      </w:r>
    </w:p>
    <w:p w:rsidR="0052701D" w:rsidRDefault="00D40929">
      <w:pPr>
        <w:spacing w:after="3" w:line="311" w:lineRule="auto"/>
        <w:ind w:left="553" w:right="285" w:firstLine="710"/>
        <w:jc w:val="both"/>
      </w:pPr>
      <w:r>
        <w:rPr>
          <w:rFonts w:ascii="Times New Roman" w:eastAsia="Times New Roman" w:hAnsi="Times New Roman" w:cs="Times New Roman"/>
          <w:sz w:val="24"/>
        </w:rPr>
        <w:t>Базовой составляющей ЭИОС в Казанском государственном энергетическом университете (КГЭУ) является LMS Moodle – система дистанционного обучения, обеспечивающая реализацию учебн</w:t>
      </w:r>
      <w:r>
        <w:rPr>
          <w:rFonts w:ascii="Times New Roman" w:eastAsia="Times New Roman" w:hAnsi="Times New Roman" w:cs="Times New Roman"/>
          <w:sz w:val="24"/>
        </w:rPr>
        <w:t>ого процесса. Системы дистанционного обучения являются удобным средством для создания страниц дисциплин, на которых преподавателем размещаются все необходимые для самостоятельной работы студента сведения [4]. В рамках самостоятельной работы студентов с пом</w:t>
      </w:r>
      <w:r>
        <w:rPr>
          <w:rFonts w:ascii="Times New Roman" w:eastAsia="Times New Roman" w:hAnsi="Times New Roman" w:cs="Times New Roman"/>
          <w:sz w:val="24"/>
        </w:rPr>
        <w:t>ощью Moodle организуется доступ к учебным планам, программам дисциплин, практик, а также к внутренним и внешним электронным образовательным ресурсам [5]. В частности, средствами ЭИОС КГЭУ создана страница дисциплины «Программирование микроконтроллеров» для</w:t>
      </w:r>
      <w:r>
        <w:rPr>
          <w:rFonts w:ascii="Times New Roman" w:eastAsia="Times New Roman" w:hAnsi="Times New Roman" w:cs="Times New Roman"/>
          <w:sz w:val="24"/>
        </w:rPr>
        <w:t xml:space="preserve"> направления подготовки бакалавров «Информатика и вычислительная техника». При организации самостоятельной работы студентов по данной дисциплине возможности системы Moodle используются по нескольким направлениям [6].</w:t>
      </w:r>
    </w:p>
    <w:p w:rsidR="0052701D" w:rsidRDefault="00D40929">
      <w:pPr>
        <w:spacing w:after="3" w:line="311" w:lineRule="auto"/>
        <w:ind w:left="553" w:right="285" w:firstLine="710"/>
        <w:jc w:val="both"/>
      </w:pPr>
      <w:r>
        <w:rPr>
          <w:rFonts w:ascii="Times New Roman" w:eastAsia="Times New Roman" w:hAnsi="Times New Roman" w:cs="Times New Roman"/>
          <w:sz w:val="24"/>
        </w:rPr>
        <w:t>Так, при проектировании страницы дисцип</w:t>
      </w:r>
      <w:r>
        <w:rPr>
          <w:rFonts w:ascii="Times New Roman" w:eastAsia="Times New Roman" w:hAnsi="Times New Roman" w:cs="Times New Roman"/>
          <w:sz w:val="24"/>
        </w:rPr>
        <w:t>лины был разработан инструктивный блок и задействованы средства оперативной передачи заданий. Важной задачей является организация доступа со страницы дисциплины не только к изданиям в электронной библиотеке вуза, но и к внешним электронным библиотечным сис</w:t>
      </w:r>
      <w:r>
        <w:rPr>
          <w:rFonts w:ascii="Times New Roman" w:eastAsia="Times New Roman" w:hAnsi="Times New Roman" w:cs="Times New Roman"/>
          <w:sz w:val="24"/>
        </w:rPr>
        <w:t>темам, к информационным справочным системам, электронным образовательным и иным ресурсам сети Интернет, указанным в рабочей программе. Также для студентов доступны темы для самостоятельного изучения теоретического материала и индивидуальные задания на расч</w:t>
      </w:r>
      <w:r>
        <w:rPr>
          <w:rFonts w:ascii="Times New Roman" w:eastAsia="Times New Roman" w:hAnsi="Times New Roman" w:cs="Times New Roman"/>
          <w:sz w:val="24"/>
        </w:rPr>
        <w:t xml:space="preserve">етно-графическую работу, которые реализуются с помощью элемента «Задание». В элементе «Глоссарий» содержится подробная инструкция для заполнения словаря терминов. </w:t>
      </w:r>
    </w:p>
    <w:p w:rsidR="0052701D" w:rsidRDefault="00D40929">
      <w:pPr>
        <w:spacing w:after="3" w:line="311" w:lineRule="auto"/>
        <w:ind w:left="553" w:right="285" w:firstLine="710"/>
        <w:jc w:val="both"/>
      </w:pPr>
      <w:r>
        <w:rPr>
          <w:rFonts w:ascii="Times New Roman" w:eastAsia="Times New Roman" w:hAnsi="Times New Roman" w:cs="Times New Roman"/>
          <w:sz w:val="24"/>
        </w:rPr>
        <w:t xml:space="preserve">С помощью ЭИОС обеспечивается постоянный онлайн мониторинг выполнения самостоятельной работы. Для коммуникации преподавателя и студентов, а также для </w:t>
      </w:r>
      <w:r>
        <w:rPr>
          <w:rFonts w:ascii="Times New Roman" w:eastAsia="Times New Roman" w:hAnsi="Times New Roman" w:cs="Times New Roman"/>
          <w:sz w:val="24"/>
        </w:rPr>
        <w:lastRenderedPageBreak/>
        <w:t>индивидуального обсуждения учебных проблем LMS Moodle предоставляет ряд сервисов. В их числе форум, которы</w:t>
      </w:r>
      <w:r>
        <w:rPr>
          <w:rFonts w:ascii="Times New Roman" w:eastAsia="Times New Roman" w:hAnsi="Times New Roman" w:cs="Times New Roman"/>
          <w:sz w:val="24"/>
        </w:rPr>
        <w:t>й позволяет организовать обсуждение изучаемых тем и исследуемых проблем. Достоинством форума является то, что к сообщениям в форуме можно прикреплять файлы любых форматов. Также у форума есть возможность оценивания сообщений как преподавателями, так и студ</w:t>
      </w:r>
      <w:r>
        <w:rPr>
          <w:rFonts w:ascii="Times New Roman" w:eastAsia="Times New Roman" w:hAnsi="Times New Roman" w:cs="Times New Roman"/>
          <w:sz w:val="24"/>
        </w:rPr>
        <w:t>ентами. В личном кабинете имеется функция рассылки, с помощью которой можно оперативно оповещать обучающихся или отдельные группы обучающихся о новых событиях. Чат позволяет организовать студентам и преподавателям обсуждение проблем в режиме онлайн. ЭИОС п</w:t>
      </w:r>
      <w:r>
        <w:rPr>
          <w:rFonts w:ascii="Times New Roman" w:eastAsia="Times New Roman" w:hAnsi="Times New Roman" w:cs="Times New Roman"/>
          <w:sz w:val="24"/>
        </w:rPr>
        <w:t>редоставляет преподавателям возможность контролировать активность студентов и время их учебной работы в сети, имеется возможность вывода статистических данных подобного анализа.</w:t>
      </w:r>
    </w:p>
    <w:p w:rsidR="0052701D" w:rsidRDefault="00D40929">
      <w:pPr>
        <w:spacing w:after="3" w:line="311" w:lineRule="auto"/>
        <w:ind w:left="553" w:right="285" w:firstLine="710"/>
        <w:jc w:val="both"/>
      </w:pPr>
      <w:r>
        <w:rPr>
          <w:rFonts w:ascii="Times New Roman" w:eastAsia="Times New Roman" w:hAnsi="Times New Roman" w:cs="Times New Roman"/>
          <w:sz w:val="24"/>
        </w:rPr>
        <w:t>Организация контроля и фиксация результатов представляют особую проблему при п</w:t>
      </w:r>
      <w:r>
        <w:rPr>
          <w:rFonts w:ascii="Times New Roman" w:eastAsia="Times New Roman" w:hAnsi="Times New Roman" w:cs="Times New Roman"/>
          <w:sz w:val="24"/>
        </w:rPr>
        <w:t>роектировании и реализации управляемого процесса обучения и необходимы для активизации самостоятельной работы студентов. Преподаватель имеет возможность создавать и использовать любую систему оценивания знаний обучающихся. Поскольку дисциплина «Программиро</w:t>
      </w:r>
      <w:r>
        <w:rPr>
          <w:rFonts w:ascii="Times New Roman" w:eastAsia="Times New Roman" w:hAnsi="Times New Roman" w:cs="Times New Roman"/>
          <w:sz w:val="24"/>
        </w:rPr>
        <w:t>вание микроконтроллеров» преподается в рамках модульнорейтинговой системы, то оценивание самостоятельной работы выполняется в баллах. Для этой цели используются такие элементы дисциплины, как «Задание», обеспечивающее интерактивность и обратную связь, позв</w:t>
      </w:r>
      <w:r>
        <w:rPr>
          <w:rFonts w:ascii="Times New Roman" w:eastAsia="Times New Roman" w:hAnsi="Times New Roman" w:cs="Times New Roman"/>
          <w:sz w:val="24"/>
        </w:rPr>
        <w:t>оляющее выставлять оценки, сохранять отзывы в поле комментария, прикреплять файлы с рецензиями, контролировать сроки сдачи задания. Для контроля самостоятельного изучения теоретического материала используется элемент «Лекция», содержащий помимо лекционного</w:t>
      </w:r>
      <w:r>
        <w:rPr>
          <w:rFonts w:ascii="Times New Roman" w:eastAsia="Times New Roman" w:hAnsi="Times New Roman" w:cs="Times New Roman"/>
          <w:sz w:val="24"/>
        </w:rPr>
        <w:t xml:space="preserve"> материала, средства контроля знаний, а также элемент «Тест», позволяющий провести контроль знаний на основе базы вопросов. Баллы по дисциплине отображаются в сводной ведомости. Там же можно настроить вывод суммы баллов за все виды самостоятельной работы [</w:t>
      </w:r>
      <w:r>
        <w:rPr>
          <w:rFonts w:ascii="Times New Roman" w:eastAsia="Times New Roman" w:hAnsi="Times New Roman" w:cs="Times New Roman"/>
          <w:sz w:val="24"/>
        </w:rPr>
        <w:t>7].</w:t>
      </w:r>
    </w:p>
    <w:p w:rsidR="0052701D" w:rsidRDefault="00D40929">
      <w:pPr>
        <w:spacing w:after="3" w:line="311" w:lineRule="auto"/>
        <w:ind w:left="553" w:right="285" w:firstLine="710"/>
        <w:jc w:val="both"/>
      </w:pPr>
      <w:r>
        <w:rPr>
          <w:rFonts w:ascii="Times New Roman" w:eastAsia="Times New Roman" w:hAnsi="Times New Roman" w:cs="Times New Roman"/>
          <w:sz w:val="24"/>
        </w:rPr>
        <w:t>Преподавание дисциплины начинается с входного контроля, определяющего готовность студента к изучению дисциплины. Помимо беседы преподавателя со студентом на данном этапе используются такие возможности LMS Moodle как тестирование знаний и анкетирование.</w:t>
      </w:r>
      <w:r>
        <w:rPr>
          <w:rFonts w:ascii="Times New Roman" w:eastAsia="Times New Roman" w:hAnsi="Times New Roman" w:cs="Times New Roman"/>
          <w:sz w:val="24"/>
        </w:rPr>
        <w:t xml:space="preserve"> Выявленные особенности в знаниях и научноисследовательских интересах отдельных обучающихся позволяют преподавателю вести индивидуальную работу с такими студентами. Текущий контроль дает преподавателю сведения о ходе самостоятельной работы и степени усвоен</w:t>
      </w:r>
      <w:r>
        <w:rPr>
          <w:rFonts w:ascii="Times New Roman" w:eastAsia="Times New Roman" w:hAnsi="Times New Roman" w:cs="Times New Roman"/>
          <w:sz w:val="24"/>
        </w:rPr>
        <w:t>ия студентами новых знаний, уровне овладения умениями и навыками. В зависимости от полученных результатов преподаватель корректирует ход учебной деятельности: проводит консультации, меняет методику обучения для отдельных тем и т.п. Важной особенностью Mood</w:t>
      </w:r>
      <w:r>
        <w:rPr>
          <w:rFonts w:ascii="Times New Roman" w:eastAsia="Times New Roman" w:hAnsi="Times New Roman" w:cs="Times New Roman"/>
          <w:sz w:val="24"/>
        </w:rPr>
        <w:t>le является возможность хранить результаты самостоятельной работы обучающихся (эссе, рефераты, расчетно-графические работы, курсовые работы, курсовые проекты), оценки, комментарии, отзывы, рецензии преподавателя к работам, сообщения в форуме. Результаты са</w:t>
      </w:r>
      <w:r>
        <w:rPr>
          <w:rFonts w:ascii="Times New Roman" w:eastAsia="Times New Roman" w:hAnsi="Times New Roman" w:cs="Times New Roman"/>
          <w:sz w:val="24"/>
        </w:rPr>
        <w:t>мостоятельной работы используются при формировании электронного портфолио каждого обучающегося.</w:t>
      </w:r>
    </w:p>
    <w:p w:rsidR="0052701D" w:rsidRDefault="00D40929">
      <w:pPr>
        <w:spacing w:after="330" w:line="311" w:lineRule="auto"/>
        <w:ind w:left="553" w:right="285" w:firstLine="710"/>
        <w:jc w:val="both"/>
      </w:pPr>
      <w:r>
        <w:rPr>
          <w:rFonts w:ascii="Times New Roman" w:eastAsia="Times New Roman" w:hAnsi="Times New Roman" w:cs="Times New Roman"/>
          <w:sz w:val="24"/>
        </w:rPr>
        <w:t>Таким образом, практика использования ЭИОС для организации работы студентов показала, что ЭИОС формирует у обучающихся ответственное отношение к самостоятельной</w:t>
      </w:r>
      <w:r>
        <w:rPr>
          <w:rFonts w:ascii="Times New Roman" w:eastAsia="Times New Roman" w:hAnsi="Times New Roman" w:cs="Times New Roman"/>
          <w:sz w:val="24"/>
        </w:rPr>
        <w:t xml:space="preserve"> работе; оптимизирует деятельность студентов по поиску, хранению, обработке и представлению информационных ресурсов, делает ее более производительной </w:t>
      </w:r>
      <w:r>
        <w:rPr>
          <w:rFonts w:ascii="Times New Roman" w:eastAsia="Times New Roman" w:hAnsi="Times New Roman" w:cs="Times New Roman"/>
          <w:sz w:val="24"/>
        </w:rPr>
        <w:lastRenderedPageBreak/>
        <w:t>и целенаправленной; развивает творческие способности студентов; позволяет отслеживать и в случае необходим</w:t>
      </w:r>
      <w:r>
        <w:rPr>
          <w:rFonts w:ascii="Times New Roman" w:eastAsia="Times New Roman" w:hAnsi="Times New Roman" w:cs="Times New Roman"/>
          <w:sz w:val="24"/>
        </w:rPr>
        <w:t xml:space="preserve">ости корректировать процесс самостоятельной работы при решении учебных задач. </w:t>
      </w:r>
    </w:p>
    <w:p w:rsidR="0052701D" w:rsidRDefault="00D40929">
      <w:pPr>
        <w:spacing w:after="62" w:line="311" w:lineRule="auto"/>
        <w:ind w:left="472" w:right="182" w:hanging="10"/>
        <w:jc w:val="center"/>
      </w:pPr>
      <w:r>
        <w:rPr>
          <w:rFonts w:ascii="Times New Roman" w:eastAsia="Times New Roman" w:hAnsi="Times New Roman" w:cs="Times New Roman"/>
          <w:b/>
          <w:sz w:val="24"/>
        </w:rPr>
        <w:t>Источники</w:t>
      </w:r>
    </w:p>
    <w:p w:rsidR="0052701D" w:rsidRDefault="00D40929">
      <w:pPr>
        <w:numPr>
          <w:ilvl w:val="0"/>
          <w:numId w:val="141"/>
        </w:numPr>
        <w:spacing w:after="3" w:line="249" w:lineRule="auto"/>
        <w:ind w:right="285" w:firstLine="710"/>
        <w:jc w:val="both"/>
      </w:pPr>
      <w:r>
        <w:rPr>
          <w:rFonts w:ascii="Times New Roman" w:eastAsia="Times New Roman" w:hAnsi="Times New Roman" w:cs="Times New Roman"/>
          <w:sz w:val="24"/>
        </w:rPr>
        <w:t>Пырнова О.А., Зарипова Р.С. Перспективы цифровой трансформацииобразования / Приборостроение и автоматизированный электропривод в топливноэнергетическом комплексе и жил</w:t>
      </w:r>
      <w:r>
        <w:rPr>
          <w:rFonts w:ascii="Times New Roman" w:eastAsia="Times New Roman" w:hAnsi="Times New Roman" w:cs="Times New Roman"/>
          <w:sz w:val="24"/>
        </w:rPr>
        <w:t>ищно-коммунальном хозяйстве: материалы VI Национальной научно-практической конференции. Казань, 2020. С. 147-149.</w:t>
      </w:r>
    </w:p>
    <w:p w:rsidR="0052701D" w:rsidRDefault="00D40929">
      <w:pPr>
        <w:numPr>
          <w:ilvl w:val="0"/>
          <w:numId w:val="141"/>
        </w:numPr>
        <w:spacing w:after="3" w:line="249" w:lineRule="auto"/>
        <w:ind w:right="285" w:firstLine="710"/>
        <w:jc w:val="both"/>
      </w:pPr>
      <w:r>
        <w:rPr>
          <w:rFonts w:ascii="Times New Roman" w:eastAsia="Times New Roman" w:hAnsi="Times New Roman" w:cs="Times New Roman"/>
          <w:sz w:val="24"/>
        </w:rPr>
        <w:t>Ильина Д.И., Зарипова Р.С Применение информационных технологий вобучении как средство повышения качества образования / Преподавание информацио</w:t>
      </w:r>
      <w:r>
        <w:rPr>
          <w:rFonts w:ascii="Times New Roman" w:eastAsia="Times New Roman" w:hAnsi="Times New Roman" w:cs="Times New Roman"/>
          <w:sz w:val="24"/>
        </w:rPr>
        <w:t>нных технологий в Российской Федерации: материалы Девятнадцатой открытой Всероссийской конференции. Москва, 2021. С. 491-492.</w:t>
      </w:r>
    </w:p>
    <w:p w:rsidR="0052701D" w:rsidRDefault="00D40929">
      <w:pPr>
        <w:numPr>
          <w:ilvl w:val="0"/>
          <w:numId w:val="141"/>
        </w:numPr>
        <w:spacing w:after="3" w:line="249" w:lineRule="auto"/>
        <w:ind w:right="285" w:firstLine="710"/>
        <w:jc w:val="both"/>
      </w:pPr>
      <w:r>
        <w:rPr>
          <w:rFonts w:ascii="Times New Roman" w:eastAsia="Times New Roman" w:hAnsi="Times New Roman" w:cs="Times New Roman"/>
          <w:sz w:val="24"/>
        </w:rPr>
        <w:t>Корнева П.А., Зарипова Р.С. Автоматизированные системы управленияуниверситетом / Информационные технологии в строительных, социаль</w:t>
      </w:r>
      <w:r>
        <w:rPr>
          <w:rFonts w:ascii="Times New Roman" w:eastAsia="Times New Roman" w:hAnsi="Times New Roman" w:cs="Times New Roman"/>
          <w:sz w:val="24"/>
        </w:rPr>
        <w:t>ных и экономических системах. 2020. № 4 (22). С. 70-72.</w:t>
      </w:r>
    </w:p>
    <w:p w:rsidR="0052701D" w:rsidRDefault="00D40929">
      <w:pPr>
        <w:numPr>
          <w:ilvl w:val="0"/>
          <w:numId w:val="141"/>
        </w:numPr>
        <w:spacing w:after="3" w:line="249" w:lineRule="auto"/>
        <w:ind w:right="285" w:firstLine="710"/>
        <w:jc w:val="both"/>
      </w:pPr>
      <w:r>
        <w:rPr>
          <w:rFonts w:ascii="Times New Roman" w:eastAsia="Times New Roman" w:hAnsi="Times New Roman" w:cs="Times New Roman"/>
          <w:sz w:val="24"/>
        </w:rPr>
        <w:t>Сафин А.Р., Ranjan Kumar Behera. Аддитивное производство и оптимизация топологии магнитных материалов для электрических машин. Проблемы энергетики. 2021. Т. 23. № 3. С. 14-33.</w:t>
      </w:r>
    </w:p>
    <w:p w:rsidR="0052701D" w:rsidRDefault="00D40929">
      <w:pPr>
        <w:numPr>
          <w:ilvl w:val="0"/>
          <w:numId w:val="141"/>
        </w:numPr>
        <w:spacing w:after="3" w:line="249" w:lineRule="auto"/>
        <w:ind w:right="285" w:firstLine="710"/>
        <w:jc w:val="both"/>
      </w:pPr>
      <w:r>
        <w:rPr>
          <w:rFonts w:ascii="Times New Roman" w:eastAsia="Times New Roman" w:hAnsi="Times New Roman" w:cs="Times New Roman"/>
          <w:sz w:val="24"/>
        </w:rPr>
        <w:t xml:space="preserve">Алемасов Е.П., Зарипова </w:t>
      </w:r>
      <w:r>
        <w:rPr>
          <w:rFonts w:ascii="Times New Roman" w:eastAsia="Times New Roman" w:hAnsi="Times New Roman" w:cs="Times New Roman"/>
          <w:sz w:val="24"/>
        </w:rPr>
        <w:t>Р.С. Информационно-коммуникационные технологиикак фактор развития обучающихся / Информационные технологии в строительных, социальных и экономических системах. 2020. № 4 (22). С. 39-41.</w:t>
      </w:r>
    </w:p>
    <w:p w:rsidR="0052701D" w:rsidRDefault="00D40929">
      <w:pPr>
        <w:numPr>
          <w:ilvl w:val="0"/>
          <w:numId w:val="141"/>
        </w:numPr>
        <w:spacing w:after="3" w:line="249" w:lineRule="auto"/>
        <w:ind w:right="285" w:firstLine="710"/>
        <w:jc w:val="both"/>
      </w:pPr>
      <w:r>
        <w:rPr>
          <w:rFonts w:ascii="Times New Roman" w:eastAsia="Times New Roman" w:hAnsi="Times New Roman" w:cs="Times New Roman"/>
          <w:sz w:val="24"/>
        </w:rPr>
        <w:t>Кривоногова А.Е., Зарипова Р.С. Современные информационные технологии иих применение в сфере образования / Преподавание информационных технологий в Российской Федерации: Материалы Семнадцатой открытой Всероссийской конференции. 2019. С. 399-401.</w:t>
      </w:r>
    </w:p>
    <w:p w:rsidR="0052701D" w:rsidRDefault="00D40929">
      <w:pPr>
        <w:numPr>
          <w:ilvl w:val="0"/>
          <w:numId w:val="141"/>
        </w:numPr>
        <w:spacing w:after="3" w:line="249" w:lineRule="auto"/>
        <w:ind w:right="285" w:firstLine="710"/>
        <w:jc w:val="both"/>
      </w:pPr>
      <w:r>
        <w:rPr>
          <w:rFonts w:ascii="Times New Roman" w:eastAsia="Times New Roman" w:hAnsi="Times New Roman" w:cs="Times New Roman"/>
          <w:sz w:val="24"/>
        </w:rPr>
        <w:t>Зарипова Р</w:t>
      </w:r>
      <w:r>
        <w:rPr>
          <w:rFonts w:ascii="Times New Roman" w:eastAsia="Times New Roman" w:hAnsi="Times New Roman" w:cs="Times New Roman"/>
          <w:sz w:val="24"/>
        </w:rPr>
        <w:t>.С., Халуева В.В. Анализ функционирования системы оценки знаний обучающихся / Russian Journal of Education and Psychology. 2019. Т. 10. №5. С. 31-35.</w:t>
      </w:r>
    </w:p>
    <w:p w:rsidR="0052701D" w:rsidRDefault="00D40929">
      <w:pPr>
        <w:numPr>
          <w:ilvl w:val="0"/>
          <w:numId w:val="141"/>
        </w:numPr>
        <w:spacing w:after="3" w:line="249" w:lineRule="auto"/>
        <w:ind w:right="285" w:firstLine="710"/>
        <w:jc w:val="both"/>
      </w:pPr>
      <w:r>
        <w:rPr>
          <w:rFonts w:ascii="Times New Roman" w:eastAsia="Times New Roman" w:hAnsi="Times New Roman" w:cs="Times New Roman"/>
          <w:sz w:val="24"/>
        </w:rPr>
        <w:t>Солуянов Ю.И., Федотов А.И., Ахметшин А.Р., Солуянов В.И. Анализфактических электрических нагрузок помещен</w:t>
      </w:r>
      <w:r>
        <w:rPr>
          <w:rFonts w:ascii="Times New Roman" w:eastAsia="Times New Roman" w:hAnsi="Times New Roman" w:cs="Times New Roman"/>
          <w:sz w:val="24"/>
        </w:rPr>
        <w:t>ий общественного назначения, встроенных в жилые здания. Проблемы энергетики. 2021. Т. 23. № 6. С. 137-147.</w:t>
      </w:r>
    </w:p>
    <w:p w:rsidR="0052701D" w:rsidRDefault="00D40929">
      <w:pPr>
        <w:numPr>
          <w:ilvl w:val="0"/>
          <w:numId w:val="141"/>
        </w:numPr>
        <w:spacing w:after="3" w:line="249" w:lineRule="auto"/>
        <w:ind w:right="285" w:firstLine="710"/>
        <w:jc w:val="both"/>
      </w:pPr>
      <w:r>
        <w:rPr>
          <w:rFonts w:ascii="Times New Roman" w:eastAsia="Times New Roman" w:hAnsi="Times New Roman" w:cs="Times New Roman"/>
          <w:sz w:val="24"/>
        </w:rPr>
        <w:t xml:space="preserve">Алемасов Е.П., Зарипова Р.С. Модернизация образования посредством интеграции информационных технологий в процесс обучения / Приоритетные направления </w:t>
      </w:r>
      <w:r>
        <w:rPr>
          <w:rFonts w:ascii="Times New Roman" w:eastAsia="Times New Roman" w:hAnsi="Times New Roman" w:cs="Times New Roman"/>
          <w:sz w:val="24"/>
        </w:rPr>
        <w:t>развития спорта, туризма, образования и науки: материалы международной научно-практической конференции. Нижний Новгород, 2021. С. 603-605.</w:t>
      </w:r>
    </w:p>
    <w:p w:rsidR="0052701D" w:rsidRDefault="00D40929">
      <w:pPr>
        <w:numPr>
          <w:ilvl w:val="0"/>
          <w:numId w:val="141"/>
        </w:numPr>
        <w:spacing w:after="3" w:line="249" w:lineRule="auto"/>
        <w:ind w:right="285" w:firstLine="710"/>
        <w:jc w:val="both"/>
      </w:pPr>
      <w:r>
        <w:rPr>
          <w:rFonts w:ascii="Times New Roman" w:eastAsia="Times New Roman" w:hAnsi="Times New Roman" w:cs="Times New Roman"/>
          <w:sz w:val="24"/>
        </w:rPr>
        <w:t>Лукичева И.А., Куликов А.Л. Использование многомодельной прогнознойоценки состояния систем электроснабжения для обнар</w:t>
      </w:r>
      <w:r>
        <w:rPr>
          <w:rFonts w:ascii="Times New Roman" w:eastAsia="Times New Roman" w:hAnsi="Times New Roman" w:cs="Times New Roman"/>
          <w:sz w:val="24"/>
        </w:rPr>
        <w:t>ужения кибер-атак // Известия высших учебных заведений. Проблемы энергетики. 2021. Т. 23. № 5. С.13-23.</w:t>
      </w:r>
    </w:p>
    <w:p w:rsidR="0052701D" w:rsidRDefault="00D40929">
      <w:pPr>
        <w:spacing w:after="0"/>
        <w:ind w:left="279" w:hanging="10"/>
      </w:pPr>
      <w:r>
        <w:rPr>
          <w:rFonts w:ascii="Times New Roman" w:eastAsia="Times New Roman" w:hAnsi="Times New Roman" w:cs="Times New Roman"/>
          <w:b/>
        </w:rPr>
        <w:t>IRSTI 14.35.09</w:t>
      </w:r>
    </w:p>
    <w:p w:rsidR="0052701D" w:rsidRDefault="00D40929">
      <w:pPr>
        <w:spacing w:after="289"/>
        <w:ind w:left="279" w:hanging="10"/>
      </w:pPr>
      <w:r>
        <w:rPr>
          <w:rFonts w:ascii="Times New Roman" w:eastAsia="Times New Roman" w:hAnsi="Times New Roman" w:cs="Times New Roman"/>
          <w:b/>
        </w:rPr>
        <w:t>UDC 371.321.5</w:t>
      </w:r>
    </w:p>
    <w:p w:rsidR="0052701D" w:rsidRDefault="00D40929">
      <w:pPr>
        <w:pStyle w:val="1"/>
        <w:spacing w:after="225" w:line="249" w:lineRule="auto"/>
        <w:ind w:left="476" w:right="0"/>
        <w:jc w:val="left"/>
      </w:pPr>
      <w:r>
        <w:t>CONSCIOUS ACQUISITION OF KNOWLEDGE IS THE BASIS FOR THE</w:t>
      </w:r>
    </w:p>
    <w:p w:rsidR="0052701D" w:rsidRDefault="00D40929">
      <w:pPr>
        <w:spacing w:after="225" w:line="249" w:lineRule="auto"/>
        <w:ind w:left="476" w:hanging="10"/>
      </w:pPr>
      <w:r>
        <w:rPr>
          <w:rFonts w:ascii="Times New Roman" w:eastAsia="Times New Roman" w:hAnsi="Times New Roman" w:cs="Times New Roman"/>
          <w:b/>
          <w:sz w:val="28"/>
        </w:rPr>
        <w:t xml:space="preserve">FORMATION O </w:t>
      </w:r>
      <w:r>
        <w:rPr>
          <w:rFonts w:ascii="Times New Roman" w:eastAsia="Times New Roman" w:hAnsi="Times New Roman" w:cs="Times New Roman"/>
          <w:b/>
          <w:sz w:val="28"/>
        </w:rPr>
        <w:tab/>
        <w:t>F THE NECESSARY COMPETENCIES FOR A MODERN ENGINEER</w:t>
      </w:r>
      <w:r>
        <w:rPr>
          <w:rFonts w:ascii="Times New Roman" w:eastAsia="Times New Roman" w:hAnsi="Times New Roman" w:cs="Times New Roman"/>
          <w:sz w:val="28"/>
        </w:rPr>
        <w:t xml:space="preserve"> (on</w:t>
      </w:r>
      <w:r>
        <w:rPr>
          <w:rFonts w:ascii="Times New Roman" w:eastAsia="Times New Roman" w:hAnsi="Times New Roman" w:cs="Times New Roman"/>
          <w:sz w:val="28"/>
        </w:rPr>
        <w:t xml:space="preserve"> the example of mathematics)</w:t>
      </w:r>
    </w:p>
    <w:p w:rsidR="0052701D" w:rsidRDefault="00D40929">
      <w:pPr>
        <w:spacing w:after="10" w:line="249" w:lineRule="auto"/>
        <w:ind w:left="714" w:right="707" w:hanging="10"/>
        <w:jc w:val="center"/>
      </w:pPr>
      <w:r>
        <w:rPr>
          <w:rFonts w:ascii="Times New Roman" w:eastAsia="Times New Roman" w:hAnsi="Times New Roman" w:cs="Times New Roman"/>
          <w:sz w:val="24"/>
        </w:rPr>
        <w:t xml:space="preserve">A.K. Iskakova,  M.Zh. Baisalova </w:t>
      </w:r>
    </w:p>
    <w:p w:rsidR="0052701D" w:rsidRDefault="00D40929">
      <w:pPr>
        <w:spacing w:after="48" w:line="237" w:lineRule="auto"/>
        <w:ind w:left="120" w:right="117" w:hanging="10"/>
        <w:jc w:val="center"/>
      </w:pPr>
      <w:r>
        <w:rPr>
          <w:rFonts w:ascii="Times New Roman" w:eastAsia="Times New Roman" w:hAnsi="Times New Roman" w:cs="Times New Roman"/>
        </w:rPr>
        <w:t>NJSC Almaty university of power engineering and telecommunications named after Gumarbek Daukeev. Almaty, Kazakhstan</w:t>
      </w:r>
    </w:p>
    <w:p w:rsidR="0052701D" w:rsidRDefault="00D40929">
      <w:pPr>
        <w:spacing w:after="234"/>
        <w:ind w:left="10" w:right="1" w:hanging="10"/>
        <w:jc w:val="center"/>
      </w:pPr>
      <w:r>
        <w:rPr>
          <w:rFonts w:ascii="Times New Roman" w:eastAsia="Times New Roman" w:hAnsi="Times New Roman" w:cs="Times New Roman"/>
          <w:sz w:val="24"/>
        </w:rPr>
        <w:t xml:space="preserve">E-mail: </w:t>
      </w:r>
      <w:r>
        <w:rPr>
          <w:rFonts w:ascii="Times New Roman" w:eastAsia="Times New Roman" w:hAnsi="Times New Roman" w:cs="Times New Roman"/>
          <w:color w:val="0000FF"/>
          <w:sz w:val="21"/>
          <w:u w:val="single" w:color="0000FF"/>
        </w:rPr>
        <w:t xml:space="preserve"> </w:t>
      </w:r>
      <w:r>
        <w:rPr>
          <w:rFonts w:ascii="Times New Roman" w:eastAsia="Times New Roman" w:hAnsi="Times New Roman" w:cs="Times New Roman"/>
          <w:color w:val="0000FF"/>
          <w:sz w:val="20"/>
          <w:u w:val="single" w:color="0000FF"/>
        </w:rPr>
        <w:t>akzholtay.</w:t>
      </w:r>
      <w:r>
        <w:rPr>
          <w:rFonts w:ascii="Times New Roman" w:eastAsia="Times New Roman" w:hAnsi="Times New Roman" w:cs="Times New Roman"/>
          <w:color w:val="0000FF"/>
          <w:sz w:val="21"/>
          <w:u w:val="single" w:color="0000FF"/>
        </w:rPr>
        <w:t xml:space="preserve">  </w:t>
      </w:r>
      <w:r>
        <w:rPr>
          <w:rFonts w:ascii="Times New Roman" w:eastAsia="Times New Roman" w:hAnsi="Times New Roman" w:cs="Times New Roman"/>
          <w:color w:val="0000FF"/>
          <w:u w:val="single" w:color="0000FF"/>
        </w:rPr>
        <w:t>iskakova</w:t>
      </w:r>
      <w:r>
        <w:rPr>
          <w:rFonts w:ascii="Times New Roman" w:eastAsia="Times New Roman" w:hAnsi="Times New Roman" w:cs="Times New Roman"/>
          <w:color w:val="0000FF"/>
          <w:sz w:val="21"/>
          <w:u w:val="single" w:color="0000FF"/>
        </w:rPr>
        <w:t xml:space="preserve">  </w:t>
      </w:r>
      <w:r>
        <w:rPr>
          <w:rFonts w:ascii="Times New Roman" w:eastAsia="Times New Roman" w:hAnsi="Times New Roman" w:cs="Times New Roman"/>
          <w:color w:val="0000FF"/>
          <w:sz w:val="20"/>
          <w:u w:val="single" w:color="0000FF"/>
        </w:rPr>
        <w:t>@mail.ru</w:t>
      </w:r>
      <w:r>
        <w:rPr>
          <w:rFonts w:ascii="Times New Roman" w:eastAsia="Times New Roman" w:hAnsi="Times New Roman" w:cs="Times New Roman"/>
          <w:color w:val="0000FF"/>
          <w:sz w:val="21"/>
          <w:u w:val="single" w:color="0000FF"/>
        </w:rPr>
        <w:t xml:space="preserve"> </w:t>
      </w:r>
      <w:r>
        <w:rPr>
          <w:rFonts w:ascii="Times New Roman" w:eastAsia="Times New Roman" w:hAnsi="Times New Roman" w:cs="Times New Roman"/>
          <w:color w:val="0000FF"/>
          <w:sz w:val="20"/>
        </w:rPr>
        <w:t xml:space="preserve"> , </w:t>
      </w:r>
      <w:r>
        <w:rPr>
          <w:rFonts w:ascii="Times New Roman" w:eastAsia="Times New Roman" w:hAnsi="Times New Roman" w:cs="Times New Roman"/>
          <w:color w:val="0000FF"/>
          <w:sz w:val="20"/>
          <w:u w:val="single" w:color="0000FF"/>
        </w:rPr>
        <w:t>manshuk966@mail.ru</w:t>
      </w:r>
    </w:p>
    <w:p w:rsidR="0052701D" w:rsidRDefault="00D40929">
      <w:pPr>
        <w:spacing w:after="3" w:line="249" w:lineRule="auto"/>
        <w:ind w:left="269" w:right="282" w:firstLine="700"/>
        <w:jc w:val="both"/>
      </w:pPr>
      <w:r>
        <w:rPr>
          <w:rFonts w:ascii="Times New Roman" w:eastAsia="Times New Roman" w:hAnsi="Times New Roman" w:cs="Times New Roman"/>
          <w:b/>
          <w:i/>
          <w:sz w:val="24"/>
        </w:rPr>
        <w:lastRenderedPageBreak/>
        <w:t>Abstract</w:t>
      </w:r>
      <w:r>
        <w:rPr>
          <w:rFonts w:ascii="Times New Roman" w:eastAsia="Times New Roman" w:hAnsi="Times New Roman" w:cs="Times New Roman"/>
          <w:sz w:val="24"/>
        </w:rPr>
        <w:t xml:space="preserve">. </w:t>
      </w:r>
      <w:r>
        <w:rPr>
          <w:rFonts w:ascii="Times New Roman" w:eastAsia="Times New Roman" w:hAnsi="Times New Roman" w:cs="Times New Roman"/>
          <w:i/>
          <w:sz w:val="24"/>
        </w:rPr>
        <w:t>The article deals with the issues of conscious acquisition of knowledge based on the student's own experience, which gives him the opportunity to form the necessary competencies, apply theoretical knowledge in problems solving. The authors propose to consi</w:t>
      </w:r>
      <w:r>
        <w:rPr>
          <w:rFonts w:ascii="Times New Roman" w:eastAsia="Times New Roman" w:hAnsi="Times New Roman" w:cs="Times New Roman"/>
          <w:i/>
          <w:sz w:val="24"/>
        </w:rPr>
        <w:t xml:space="preserve">der an algorithm for studying the section of higher mathematics "Multiple integration", where they consider issues arising in solving practical problems. The authors also recommend a range of tasks to increase effectiveness and quality of studying of this </w:t>
      </w:r>
      <w:r>
        <w:rPr>
          <w:rFonts w:ascii="Times New Roman" w:eastAsia="Times New Roman" w:hAnsi="Times New Roman" w:cs="Times New Roman"/>
          <w:i/>
          <w:sz w:val="24"/>
        </w:rPr>
        <w:t>topic. This will allow students to acquire competencies in the amount established by the education program, spend less time and effort on it, and achieve those applied goals that it sets studying mathematics in technical universities.</w:t>
      </w:r>
    </w:p>
    <w:p w:rsidR="0052701D" w:rsidRDefault="00D40929">
      <w:pPr>
        <w:spacing w:after="350" w:line="249" w:lineRule="auto"/>
        <w:ind w:left="269" w:right="282" w:firstLine="700"/>
        <w:jc w:val="both"/>
      </w:pPr>
      <w:r>
        <w:rPr>
          <w:rFonts w:ascii="Times New Roman" w:eastAsia="Times New Roman" w:hAnsi="Times New Roman" w:cs="Times New Roman"/>
          <w:b/>
          <w:i/>
          <w:sz w:val="24"/>
        </w:rPr>
        <w:t>Key words:</w:t>
      </w:r>
      <w:r>
        <w:rPr>
          <w:rFonts w:ascii="Times New Roman" w:eastAsia="Times New Roman" w:hAnsi="Times New Roman" w:cs="Times New Roman"/>
          <w:sz w:val="24"/>
        </w:rPr>
        <w:t xml:space="preserve"> </w:t>
      </w:r>
      <w:r>
        <w:rPr>
          <w:rFonts w:ascii="Times New Roman" w:eastAsia="Times New Roman" w:hAnsi="Times New Roman" w:cs="Times New Roman"/>
          <w:i/>
          <w:sz w:val="24"/>
        </w:rPr>
        <w:t>independen</w:t>
      </w:r>
      <w:r>
        <w:rPr>
          <w:rFonts w:ascii="Times New Roman" w:eastAsia="Times New Roman" w:hAnsi="Times New Roman" w:cs="Times New Roman"/>
          <w:i/>
          <w:sz w:val="24"/>
        </w:rPr>
        <w:t>t reasoning, active search, conscious acquisition of knowledge, competencies, mathematics, multiple integrals.</w:t>
      </w:r>
    </w:p>
    <w:p w:rsidR="0052701D" w:rsidRDefault="00D40929">
      <w:pPr>
        <w:spacing w:after="15" w:line="249" w:lineRule="auto"/>
        <w:ind w:left="576" w:right="574" w:hanging="10"/>
        <w:jc w:val="center"/>
      </w:pPr>
      <w:r>
        <w:rPr>
          <w:rFonts w:ascii="Times New Roman" w:eastAsia="Times New Roman" w:hAnsi="Times New Roman" w:cs="Times New Roman"/>
          <w:b/>
          <w:sz w:val="28"/>
        </w:rPr>
        <w:t>СОЗНАТЕЛЬНОЕ ПРИОБРЕТЕНИЕ ЗНАНИЙ - ОСНОВА ФОРМИРОВАНИЯ НЕОБХОДИМЫХ КОМПЕТЕНЦИЙ</w:t>
      </w:r>
    </w:p>
    <w:p w:rsidR="0052701D" w:rsidRDefault="00D40929">
      <w:pPr>
        <w:spacing w:after="268" w:line="249" w:lineRule="auto"/>
        <w:ind w:left="576" w:right="569" w:hanging="10"/>
        <w:jc w:val="center"/>
      </w:pPr>
      <w:r>
        <w:rPr>
          <w:rFonts w:ascii="Times New Roman" w:eastAsia="Times New Roman" w:hAnsi="Times New Roman" w:cs="Times New Roman"/>
          <w:b/>
          <w:sz w:val="28"/>
        </w:rPr>
        <w:t>СОВРЕМЕННОГО ИНЖЕНЕРА (на примере математики)</w:t>
      </w:r>
    </w:p>
    <w:p w:rsidR="0052701D" w:rsidRDefault="00D40929">
      <w:pPr>
        <w:spacing w:after="10" w:line="249" w:lineRule="auto"/>
        <w:ind w:left="714" w:right="708" w:hanging="10"/>
        <w:jc w:val="center"/>
      </w:pPr>
      <w:r>
        <w:rPr>
          <w:rFonts w:ascii="Times New Roman" w:eastAsia="Times New Roman" w:hAnsi="Times New Roman" w:cs="Times New Roman"/>
          <w:sz w:val="24"/>
        </w:rPr>
        <w:t xml:space="preserve">А.К. Искакова, М.Ж. </w:t>
      </w:r>
      <w:r>
        <w:rPr>
          <w:rFonts w:ascii="Times New Roman" w:eastAsia="Times New Roman" w:hAnsi="Times New Roman" w:cs="Times New Roman"/>
          <w:sz w:val="24"/>
        </w:rPr>
        <w:t>Байсалова</w:t>
      </w:r>
    </w:p>
    <w:p w:rsidR="0052701D" w:rsidRDefault="00D40929">
      <w:pPr>
        <w:spacing w:after="20" w:line="237" w:lineRule="auto"/>
        <w:ind w:left="120" w:right="123" w:hanging="10"/>
        <w:jc w:val="center"/>
      </w:pPr>
      <w:r>
        <w:rPr>
          <w:rFonts w:ascii="Times New Roman" w:eastAsia="Times New Roman" w:hAnsi="Times New Roman" w:cs="Times New Roman"/>
        </w:rPr>
        <w:t xml:space="preserve">НАО «Алматинский университет энергетики и связи имени Г.Даукеева». Алматы, Казахстан </w:t>
      </w:r>
    </w:p>
    <w:p w:rsidR="0052701D" w:rsidRDefault="00D40929">
      <w:pPr>
        <w:spacing w:after="234"/>
        <w:ind w:left="10" w:right="1" w:hanging="10"/>
        <w:jc w:val="center"/>
      </w:pPr>
      <w:r>
        <w:rPr>
          <w:rFonts w:ascii="Times New Roman" w:eastAsia="Times New Roman" w:hAnsi="Times New Roman" w:cs="Times New Roman"/>
        </w:rPr>
        <w:t xml:space="preserve">E-mail: </w:t>
      </w:r>
      <w:r>
        <w:rPr>
          <w:rFonts w:ascii="Times New Roman" w:eastAsia="Times New Roman" w:hAnsi="Times New Roman" w:cs="Times New Roman"/>
          <w:color w:val="0000FF"/>
          <w:sz w:val="21"/>
          <w:u w:val="single" w:color="0000FF"/>
        </w:rPr>
        <w:t xml:space="preserve"> </w:t>
      </w:r>
      <w:r>
        <w:rPr>
          <w:rFonts w:ascii="Times New Roman" w:eastAsia="Times New Roman" w:hAnsi="Times New Roman" w:cs="Times New Roman"/>
          <w:color w:val="0000FF"/>
          <w:sz w:val="20"/>
          <w:u w:val="single" w:color="0000FF"/>
        </w:rPr>
        <w:t>akzholtay.</w:t>
      </w:r>
      <w:r>
        <w:rPr>
          <w:rFonts w:ascii="Times New Roman" w:eastAsia="Times New Roman" w:hAnsi="Times New Roman" w:cs="Times New Roman"/>
          <w:color w:val="0000FF"/>
          <w:sz w:val="21"/>
          <w:u w:val="single" w:color="0000FF"/>
        </w:rPr>
        <w:t xml:space="preserve">  </w:t>
      </w:r>
      <w:r>
        <w:rPr>
          <w:rFonts w:ascii="Times New Roman" w:eastAsia="Times New Roman" w:hAnsi="Times New Roman" w:cs="Times New Roman"/>
          <w:color w:val="0000FF"/>
          <w:u w:val="single" w:color="0000FF"/>
        </w:rPr>
        <w:t>iskakova</w:t>
      </w:r>
      <w:r>
        <w:rPr>
          <w:rFonts w:ascii="Times New Roman" w:eastAsia="Times New Roman" w:hAnsi="Times New Roman" w:cs="Times New Roman"/>
          <w:color w:val="0000FF"/>
          <w:sz w:val="21"/>
          <w:u w:val="single" w:color="0000FF"/>
        </w:rPr>
        <w:t xml:space="preserve">  </w:t>
      </w:r>
      <w:r>
        <w:rPr>
          <w:rFonts w:ascii="Times New Roman" w:eastAsia="Times New Roman" w:hAnsi="Times New Roman" w:cs="Times New Roman"/>
          <w:color w:val="0000FF"/>
          <w:sz w:val="20"/>
          <w:u w:val="single" w:color="0000FF"/>
        </w:rPr>
        <w:t>@mail.ru</w:t>
      </w:r>
      <w:r>
        <w:rPr>
          <w:rFonts w:ascii="Times New Roman" w:eastAsia="Times New Roman" w:hAnsi="Times New Roman" w:cs="Times New Roman"/>
          <w:color w:val="0000FF"/>
          <w:sz w:val="21"/>
          <w:u w:val="single" w:color="0000FF"/>
        </w:rPr>
        <w:t xml:space="preserve"> </w:t>
      </w:r>
      <w:r>
        <w:rPr>
          <w:rFonts w:ascii="Times New Roman" w:eastAsia="Times New Roman" w:hAnsi="Times New Roman" w:cs="Times New Roman"/>
          <w:color w:val="0000FF"/>
          <w:sz w:val="20"/>
        </w:rPr>
        <w:t xml:space="preserve"> , </w:t>
      </w:r>
      <w:r>
        <w:rPr>
          <w:rFonts w:ascii="Times New Roman" w:eastAsia="Times New Roman" w:hAnsi="Times New Roman" w:cs="Times New Roman"/>
          <w:color w:val="0000FF"/>
          <w:sz w:val="20"/>
          <w:u w:val="single" w:color="0000FF"/>
        </w:rPr>
        <w:t>manshuk966@mail.ru</w:t>
      </w:r>
    </w:p>
    <w:p w:rsidR="0052701D" w:rsidRDefault="00D40929">
      <w:pPr>
        <w:spacing w:after="3" w:line="249" w:lineRule="auto"/>
        <w:ind w:left="269" w:right="282" w:firstLine="568"/>
        <w:jc w:val="both"/>
      </w:pPr>
      <w:r>
        <w:rPr>
          <w:rFonts w:ascii="Times New Roman" w:eastAsia="Times New Roman" w:hAnsi="Times New Roman" w:cs="Times New Roman"/>
          <w:b/>
          <w:i/>
          <w:sz w:val="24"/>
        </w:rPr>
        <w:t>Аннотация</w:t>
      </w:r>
      <w:r>
        <w:rPr>
          <w:rFonts w:ascii="Times New Roman" w:eastAsia="Times New Roman" w:hAnsi="Times New Roman" w:cs="Times New Roman"/>
          <w:b/>
          <w:sz w:val="24"/>
        </w:rPr>
        <w:t>.</w:t>
      </w:r>
      <w:r>
        <w:rPr>
          <w:rFonts w:ascii="Times New Roman" w:eastAsia="Times New Roman" w:hAnsi="Times New Roman" w:cs="Times New Roman"/>
          <w:sz w:val="24"/>
        </w:rPr>
        <w:t xml:space="preserve"> </w:t>
      </w:r>
      <w:r>
        <w:rPr>
          <w:rFonts w:ascii="Times New Roman" w:eastAsia="Times New Roman" w:hAnsi="Times New Roman" w:cs="Times New Roman"/>
          <w:i/>
          <w:sz w:val="24"/>
        </w:rPr>
        <w:t>В статье рассматриваются вопросы сознательного приобретения знаний, основанных на собст</w:t>
      </w:r>
      <w:r>
        <w:rPr>
          <w:rFonts w:ascii="Times New Roman" w:eastAsia="Times New Roman" w:hAnsi="Times New Roman" w:cs="Times New Roman"/>
          <w:i/>
          <w:sz w:val="24"/>
        </w:rPr>
        <w:t>венном опыте студента, что дает ему возможность формировать необходимые компетенции, применять теоретические знания при решении задач. Предлагается алгоритм изучения раздела высшей математики «Кратное интегрирование», рассматриваются вопросы, возникающие п</w:t>
      </w:r>
      <w:r>
        <w:rPr>
          <w:rFonts w:ascii="Times New Roman" w:eastAsia="Times New Roman" w:hAnsi="Times New Roman" w:cs="Times New Roman"/>
          <w:i/>
          <w:sz w:val="24"/>
        </w:rPr>
        <w:t>ри решении практических задач, рекомендуется круг задач для закрепления темы в целях повышения его эффективности и качества, а также приобретения компетенций в объеме, установленном программой, тратя на это минимум времени и сил, и достижение тех прикладны</w:t>
      </w:r>
      <w:r>
        <w:rPr>
          <w:rFonts w:ascii="Times New Roman" w:eastAsia="Times New Roman" w:hAnsi="Times New Roman" w:cs="Times New Roman"/>
          <w:i/>
          <w:sz w:val="24"/>
        </w:rPr>
        <w:t xml:space="preserve">х целей, какие ставит изучение математики в технических вузах. </w:t>
      </w:r>
    </w:p>
    <w:p w:rsidR="0052701D" w:rsidRDefault="00D40929">
      <w:pPr>
        <w:spacing w:after="280" w:line="249" w:lineRule="auto"/>
        <w:ind w:left="269" w:right="282" w:firstLine="568"/>
        <w:jc w:val="both"/>
      </w:pP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 самостоятельное рассуждение, активный поиск, сознательное приобретение знаний, компетенции, математика, кратные интегралы.</w:t>
      </w:r>
    </w:p>
    <w:p w:rsidR="0052701D" w:rsidRDefault="00D40929">
      <w:pPr>
        <w:spacing w:after="39" w:line="249" w:lineRule="auto"/>
        <w:ind w:left="284" w:right="293" w:firstLine="568"/>
        <w:jc w:val="both"/>
      </w:pPr>
      <w:r>
        <w:rPr>
          <w:rFonts w:ascii="Times New Roman" w:eastAsia="Times New Roman" w:hAnsi="Times New Roman" w:cs="Times New Roman"/>
          <w:b/>
          <w:sz w:val="28"/>
        </w:rPr>
        <w:t>Introduction</w:t>
      </w:r>
      <w:r>
        <w:rPr>
          <w:rFonts w:ascii="Times New Roman" w:eastAsia="Times New Roman" w:hAnsi="Times New Roman" w:cs="Times New Roman"/>
          <w:sz w:val="28"/>
        </w:rPr>
        <w:t>. Mathematics as an academic subject differs from mathematics as a science not only in the volume, in system and in depth of presentation, but also in the applied orientation of the issues studied. Technology and science development requires:</w:t>
      </w:r>
    </w:p>
    <w:p w:rsidR="0052701D" w:rsidRDefault="00D40929">
      <w:pPr>
        <w:spacing w:after="4" w:line="249" w:lineRule="auto"/>
        <w:ind w:left="1560" w:right="1019"/>
        <w:jc w:val="both"/>
      </w:pPr>
      <w:r>
        <w:rPr>
          <w:rFonts w:ascii="Segoe UI Symbol" w:eastAsia="Segoe UI Symbol" w:hAnsi="Segoe UI Symbol" w:cs="Segoe UI Symbol"/>
          <w:sz w:val="28"/>
        </w:rPr>
        <w:t></w:t>
      </w:r>
      <w:r>
        <w:rPr>
          <w:rFonts w:ascii="Times New Roman" w:eastAsia="Times New Roman" w:hAnsi="Times New Roman" w:cs="Times New Roman"/>
          <w:sz w:val="28"/>
        </w:rPr>
        <w:t xml:space="preserve">continuous updating of the content of mathematical education; </w:t>
      </w:r>
      <w:r>
        <w:rPr>
          <w:rFonts w:ascii="Segoe UI Symbol" w:eastAsia="Segoe UI Symbol" w:hAnsi="Segoe UI Symbol" w:cs="Segoe UI Symbol"/>
          <w:sz w:val="28"/>
        </w:rPr>
        <w:t></w:t>
      </w:r>
      <w:r>
        <w:rPr>
          <w:rFonts w:ascii="Times New Roman" w:eastAsia="Times New Roman" w:hAnsi="Times New Roman" w:cs="Times New Roman"/>
          <w:sz w:val="28"/>
        </w:rPr>
        <w:t>the convergence of the educational process with science;</w:t>
      </w:r>
    </w:p>
    <w:p w:rsidR="0052701D" w:rsidRDefault="00D40929">
      <w:pPr>
        <w:spacing w:after="4" w:line="249" w:lineRule="auto"/>
        <w:ind w:left="1560"/>
        <w:jc w:val="both"/>
      </w:pPr>
      <w:r>
        <w:rPr>
          <w:rFonts w:ascii="Segoe UI Symbol" w:eastAsia="Segoe UI Symbol" w:hAnsi="Segoe UI Symbol" w:cs="Segoe UI Symbol"/>
          <w:sz w:val="28"/>
        </w:rPr>
        <w:t></w:t>
      </w:r>
      <w:r>
        <w:rPr>
          <w:rFonts w:ascii="Times New Roman" w:eastAsia="Times New Roman" w:hAnsi="Times New Roman" w:cs="Times New Roman"/>
          <w:sz w:val="28"/>
        </w:rPr>
        <w:t xml:space="preserve">the conformity of its content to the social order of society. </w:t>
      </w:r>
    </w:p>
    <w:p w:rsidR="0052701D" w:rsidRDefault="00D40929">
      <w:pPr>
        <w:spacing w:after="4" w:line="249" w:lineRule="auto"/>
        <w:ind w:left="492" w:right="295" w:firstLine="566"/>
        <w:jc w:val="both"/>
      </w:pPr>
      <w:r>
        <w:rPr>
          <w:rFonts w:ascii="Times New Roman" w:eastAsia="Times New Roman" w:hAnsi="Times New Roman" w:cs="Times New Roman"/>
          <w:sz w:val="28"/>
        </w:rPr>
        <w:t>The rapid growth of the volume of scientific information, the limited te</w:t>
      </w:r>
      <w:r>
        <w:rPr>
          <w:rFonts w:ascii="Times New Roman" w:eastAsia="Times New Roman" w:hAnsi="Times New Roman" w:cs="Times New Roman"/>
          <w:sz w:val="28"/>
        </w:rPr>
        <w:t>rm of study and the need to master program disciplines in full (to include new information) complicate the process of acquiring new knowledge. Therefore, it is necessary to prepare the program course of the discipline more carefully and strictly on a scien</w:t>
      </w:r>
      <w:r>
        <w:rPr>
          <w:rFonts w:ascii="Times New Roman" w:eastAsia="Times New Roman" w:hAnsi="Times New Roman" w:cs="Times New Roman"/>
          <w:sz w:val="28"/>
        </w:rPr>
        <w:t>tific basis.</w:t>
      </w:r>
    </w:p>
    <w:p w:rsidR="0052701D" w:rsidRDefault="00D40929">
      <w:pPr>
        <w:spacing w:after="4" w:line="249" w:lineRule="auto"/>
        <w:ind w:left="284" w:right="295" w:firstLine="568"/>
        <w:jc w:val="both"/>
      </w:pPr>
      <w:r>
        <w:rPr>
          <w:rFonts w:ascii="Times New Roman" w:eastAsia="Times New Roman" w:hAnsi="Times New Roman" w:cs="Times New Roman"/>
          <w:sz w:val="28"/>
        </w:rPr>
        <w:t>The issue under consideration is relevant for modern engineering education, as it is closely related to the development of the model of a modern engineer, methods of forming his competencies. The consequence of this is a strict selection of th</w:t>
      </w:r>
      <w:r>
        <w:rPr>
          <w:rFonts w:ascii="Times New Roman" w:eastAsia="Times New Roman" w:hAnsi="Times New Roman" w:cs="Times New Roman"/>
          <w:sz w:val="28"/>
        </w:rPr>
        <w:t>e content, a clear definition of specific learning objectives, interdisciplinary connections, and requirements for the mathematical training of students.</w:t>
      </w:r>
    </w:p>
    <w:p w:rsidR="0052701D" w:rsidRDefault="00D40929">
      <w:pPr>
        <w:spacing w:after="4" w:line="249" w:lineRule="auto"/>
        <w:ind w:left="284" w:right="293" w:firstLine="568"/>
        <w:jc w:val="both"/>
      </w:pPr>
      <w:r>
        <w:rPr>
          <w:rFonts w:ascii="Times New Roman" w:eastAsia="Times New Roman" w:hAnsi="Times New Roman" w:cs="Times New Roman"/>
          <w:b/>
          <w:sz w:val="28"/>
        </w:rPr>
        <w:lastRenderedPageBreak/>
        <w:t>Theory</w:t>
      </w:r>
      <w:r>
        <w:rPr>
          <w:rFonts w:ascii="Times New Roman" w:eastAsia="Times New Roman" w:hAnsi="Times New Roman" w:cs="Times New Roman"/>
          <w:sz w:val="28"/>
        </w:rPr>
        <w:t>. Modern training programs require self-education and individual work on the part of the student</w:t>
      </w:r>
      <w:r>
        <w:rPr>
          <w:rFonts w:ascii="Times New Roman" w:eastAsia="Times New Roman" w:hAnsi="Times New Roman" w:cs="Times New Roman"/>
          <w:sz w:val="28"/>
        </w:rPr>
        <w:t>. The student should clear understand the discipline program and the requirements for mastering the proposed course, set out in the syllabus. The student is required to work independently with contents, with information databases and use all necessary info</w:t>
      </w:r>
      <w:r>
        <w:rPr>
          <w:rFonts w:ascii="Times New Roman" w:eastAsia="Times New Roman" w:hAnsi="Times New Roman" w:cs="Times New Roman"/>
          <w:sz w:val="28"/>
        </w:rPr>
        <w:t>rmation technologies as well. The task of teachers is to give direction for a more effective study of higher mathematics, to teach not only according to the traditional methodology but use creative approach, since the future specialist, in addition to know</w:t>
      </w:r>
      <w:r>
        <w:rPr>
          <w:rFonts w:ascii="Times New Roman" w:eastAsia="Times New Roman" w:hAnsi="Times New Roman" w:cs="Times New Roman"/>
          <w:sz w:val="28"/>
        </w:rPr>
        <w:t>ledge in the subjects of specialization, must have an information culture and knowledge in the field of using new information technologies in their future professional activities [1].</w:t>
      </w:r>
    </w:p>
    <w:p w:rsidR="0052701D" w:rsidRDefault="00D40929">
      <w:pPr>
        <w:spacing w:after="38" w:line="249" w:lineRule="auto"/>
        <w:ind w:left="284" w:firstLine="568"/>
        <w:jc w:val="both"/>
      </w:pPr>
      <w:r>
        <w:rPr>
          <w:rFonts w:ascii="Times New Roman" w:eastAsia="Times New Roman" w:hAnsi="Times New Roman" w:cs="Times New Roman"/>
          <w:sz w:val="28"/>
        </w:rPr>
        <w:t>We believe that during the mathematical training of a student, it is nec</w:t>
      </w:r>
      <w:r>
        <w:rPr>
          <w:rFonts w:ascii="Times New Roman" w:eastAsia="Times New Roman" w:hAnsi="Times New Roman" w:cs="Times New Roman"/>
          <w:sz w:val="28"/>
        </w:rPr>
        <w:t xml:space="preserve">essary to raise the following questions: </w:t>
      </w:r>
    </w:p>
    <w:p w:rsidR="0052701D" w:rsidRDefault="00D40929">
      <w:pPr>
        <w:numPr>
          <w:ilvl w:val="0"/>
          <w:numId w:val="142"/>
        </w:numPr>
        <w:spacing w:after="4" w:line="249" w:lineRule="auto"/>
        <w:ind w:hanging="360"/>
        <w:jc w:val="both"/>
      </w:pPr>
      <w:r>
        <w:rPr>
          <w:rFonts w:ascii="Times New Roman" w:eastAsia="Times New Roman" w:hAnsi="Times New Roman" w:cs="Times New Roman"/>
          <w:sz w:val="28"/>
        </w:rPr>
        <w:t>What kind of mathematics does a specialist need?</w:t>
      </w:r>
    </w:p>
    <w:p w:rsidR="0052701D" w:rsidRDefault="00D40929">
      <w:pPr>
        <w:numPr>
          <w:ilvl w:val="0"/>
          <w:numId w:val="142"/>
        </w:numPr>
        <w:spacing w:after="4" w:line="249" w:lineRule="auto"/>
        <w:ind w:hanging="360"/>
        <w:jc w:val="both"/>
      </w:pPr>
      <w:r>
        <w:rPr>
          <w:rFonts w:ascii="Times New Roman" w:eastAsia="Times New Roman" w:hAnsi="Times New Roman" w:cs="Times New Roman"/>
          <w:sz w:val="28"/>
        </w:rPr>
        <w:t>What mathematical competencies he should achieve?</w:t>
      </w:r>
    </w:p>
    <w:p w:rsidR="0052701D" w:rsidRDefault="00D40929">
      <w:pPr>
        <w:numPr>
          <w:ilvl w:val="0"/>
          <w:numId w:val="142"/>
        </w:numPr>
        <w:spacing w:after="4" w:line="249" w:lineRule="auto"/>
        <w:ind w:hanging="360"/>
        <w:jc w:val="both"/>
      </w:pPr>
      <w:r>
        <w:rPr>
          <w:rFonts w:ascii="Times New Roman" w:eastAsia="Times New Roman" w:hAnsi="Times New Roman" w:cs="Times New Roman"/>
          <w:sz w:val="28"/>
        </w:rPr>
        <w:t xml:space="preserve">How to assess the level of student’s development? </w:t>
      </w:r>
    </w:p>
    <w:p w:rsidR="0052701D" w:rsidRDefault="00D40929">
      <w:pPr>
        <w:numPr>
          <w:ilvl w:val="0"/>
          <w:numId w:val="142"/>
        </w:numPr>
        <w:spacing w:after="38" w:line="249" w:lineRule="auto"/>
        <w:ind w:hanging="360"/>
        <w:jc w:val="both"/>
      </w:pPr>
      <w:r>
        <w:rPr>
          <w:rFonts w:ascii="Times New Roman" w:eastAsia="Times New Roman" w:hAnsi="Times New Roman" w:cs="Times New Roman"/>
          <w:sz w:val="28"/>
        </w:rPr>
        <w:t xml:space="preserve">Whether a graduate will be ready to solve real engineering problems by means of mathematics? </w:t>
      </w:r>
    </w:p>
    <w:p w:rsidR="0052701D" w:rsidRDefault="00D40929">
      <w:pPr>
        <w:numPr>
          <w:ilvl w:val="0"/>
          <w:numId w:val="142"/>
        </w:numPr>
        <w:spacing w:after="4" w:line="249" w:lineRule="auto"/>
        <w:ind w:hanging="360"/>
        <w:jc w:val="both"/>
      </w:pPr>
      <w:r>
        <w:rPr>
          <w:rFonts w:ascii="Times New Roman" w:eastAsia="Times New Roman" w:hAnsi="Times New Roman" w:cs="Times New Roman"/>
          <w:sz w:val="28"/>
        </w:rPr>
        <w:t>What kind of mathematical problems should students be trained for different technical specialties?</w:t>
      </w:r>
    </w:p>
    <w:p w:rsidR="0052701D" w:rsidRDefault="00D40929">
      <w:pPr>
        <w:spacing w:after="4" w:line="249" w:lineRule="auto"/>
        <w:ind w:left="284" w:right="293" w:firstLine="568"/>
        <w:jc w:val="both"/>
      </w:pPr>
      <w:r>
        <w:rPr>
          <w:rFonts w:ascii="Times New Roman" w:eastAsia="Times New Roman" w:hAnsi="Times New Roman" w:cs="Times New Roman"/>
          <w:sz w:val="28"/>
        </w:rPr>
        <w:t>Individual activity of students involves intensive use of infor</w:t>
      </w:r>
      <w:r>
        <w:rPr>
          <w:rFonts w:ascii="Times New Roman" w:eastAsia="Times New Roman" w:hAnsi="Times New Roman" w:cs="Times New Roman"/>
          <w:sz w:val="28"/>
        </w:rPr>
        <w:t xml:space="preserve">mation resources and is an ideal motivation for mastering investigation skills. Intensive improvement of computer mathematical software entails the expansion of their application in scientific, engineering research and education. Currently, in Kazakhstan, </w:t>
      </w:r>
      <w:r>
        <w:rPr>
          <w:rFonts w:ascii="Times New Roman" w:eastAsia="Times New Roman" w:hAnsi="Times New Roman" w:cs="Times New Roman"/>
          <w:sz w:val="28"/>
        </w:rPr>
        <w:t>there is a successfully developing computer system Moodle as a means of new information technologies for teaching and as a means of using educational software products.</w:t>
      </w:r>
    </w:p>
    <w:p w:rsidR="0052701D" w:rsidRDefault="00D40929">
      <w:pPr>
        <w:spacing w:after="4" w:line="249" w:lineRule="auto"/>
        <w:ind w:left="284" w:right="294" w:firstLine="568"/>
        <w:jc w:val="both"/>
      </w:pPr>
      <w:r>
        <w:rPr>
          <w:rFonts w:ascii="Times New Roman" w:eastAsia="Times New Roman" w:hAnsi="Times New Roman" w:cs="Times New Roman"/>
          <w:sz w:val="28"/>
        </w:rPr>
        <w:t>Higher mathematics is a special educational discipline studied at the university. It se</w:t>
      </w:r>
      <w:r>
        <w:rPr>
          <w:rFonts w:ascii="Times New Roman" w:eastAsia="Times New Roman" w:hAnsi="Times New Roman" w:cs="Times New Roman"/>
          <w:sz w:val="28"/>
        </w:rPr>
        <w:t>rves as the foundation for the study of other general engineering and special disciplines. Mathematics plays an important role in the formation and development of the scientific worldview of students, in the development of their skills and abilities, and i</w:t>
      </w:r>
      <w:r>
        <w:rPr>
          <w:rFonts w:ascii="Times New Roman" w:eastAsia="Times New Roman" w:hAnsi="Times New Roman" w:cs="Times New Roman"/>
          <w:sz w:val="28"/>
        </w:rPr>
        <w:t>n the improvement of their professional competencies.</w:t>
      </w:r>
    </w:p>
    <w:p w:rsidR="0052701D" w:rsidRDefault="00D40929">
      <w:pPr>
        <w:spacing w:after="4" w:line="249" w:lineRule="auto"/>
        <w:ind w:left="284" w:right="291" w:firstLine="568"/>
        <w:jc w:val="both"/>
      </w:pPr>
      <w:r>
        <w:rPr>
          <w:rFonts w:ascii="Times New Roman" w:eastAsia="Times New Roman" w:hAnsi="Times New Roman" w:cs="Times New Roman"/>
          <w:b/>
          <w:sz w:val="28"/>
        </w:rPr>
        <w:t>Methodology</w:t>
      </w:r>
      <w:r>
        <w:rPr>
          <w:rFonts w:ascii="Times New Roman" w:eastAsia="Times New Roman" w:hAnsi="Times New Roman" w:cs="Times New Roman"/>
          <w:sz w:val="28"/>
        </w:rPr>
        <w:t xml:space="preserve">. The section of higher mathematics "Multiple integration" increases the scientific level of the entire course of higher mathematics, helps to bring it, if possible, in line with the current </w:t>
      </w:r>
      <w:r>
        <w:rPr>
          <w:rFonts w:ascii="Times New Roman" w:eastAsia="Times New Roman" w:hAnsi="Times New Roman" w:cs="Times New Roman"/>
          <w:sz w:val="28"/>
        </w:rPr>
        <w:t>level of science. In general, it increases the mathematical culture of the future specialist. Along with differential calculus, integral calculus it makes the course of mathematics logically coherent, it reveals the wider and deeper importance of mathemati</w:t>
      </w:r>
      <w:r>
        <w:rPr>
          <w:rFonts w:ascii="Times New Roman" w:eastAsia="Times New Roman" w:hAnsi="Times New Roman" w:cs="Times New Roman"/>
          <w:sz w:val="28"/>
        </w:rPr>
        <w:t>cs for other sciences and facilitates investigation and solution of some issues of applied disciplines by means of mathematics.</w:t>
      </w:r>
    </w:p>
    <w:p w:rsidR="0052701D" w:rsidRDefault="00D40929">
      <w:pPr>
        <w:spacing w:after="4" w:line="249" w:lineRule="auto"/>
        <w:ind w:left="284" w:right="295" w:firstLine="568"/>
        <w:jc w:val="both"/>
      </w:pPr>
      <w:r>
        <w:rPr>
          <w:rFonts w:ascii="Times New Roman" w:eastAsia="Times New Roman" w:hAnsi="Times New Roman" w:cs="Times New Roman"/>
          <w:sz w:val="28"/>
        </w:rPr>
        <w:t>During individual work, the student must adhere to the course program proposed in the syllabus, that is, when studying this sect</w:t>
      </w:r>
      <w:r>
        <w:rPr>
          <w:rFonts w:ascii="Times New Roman" w:eastAsia="Times New Roman" w:hAnsi="Times New Roman" w:cs="Times New Roman"/>
          <w:sz w:val="28"/>
        </w:rPr>
        <w:t>ion of higher mathematics, it is necessary to study the concept of multidimensional integrals and multiple integration. The student knows that the area squaring problem led us to the concept of a definite integral of one variable function. Now the bodies c</w:t>
      </w:r>
      <w:r>
        <w:rPr>
          <w:rFonts w:ascii="Times New Roman" w:eastAsia="Times New Roman" w:hAnsi="Times New Roman" w:cs="Times New Roman"/>
          <w:sz w:val="28"/>
        </w:rPr>
        <w:t>ubature problem leads us to the concept of a definite integral of two variables function. The student also should know that the basic properties of double and ordinary integrals are similar.</w:t>
      </w:r>
    </w:p>
    <w:p w:rsidR="0052701D" w:rsidRDefault="00D40929">
      <w:pPr>
        <w:spacing w:after="4" w:line="249" w:lineRule="auto"/>
        <w:ind w:left="284" w:right="295" w:firstLine="568"/>
        <w:jc w:val="both"/>
      </w:pPr>
      <w:r>
        <w:rPr>
          <w:rFonts w:ascii="Times New Roman" w:eastAsia="Times New Roman" w:hAnsi="Times New Roman" w:cs="Times New Roman"/>
          <w:sz w:val="28"/>
        </w:rPr>
        <w:lastRenderedPageBreak/>
        <w:t>Studying concept of a double integral, the student should pay att</w:t>
      </w:r>
      <w:r>
        <w:rPr>
          <w:rFonts w:ascii="Times New Roman" w:eastAsia="Times New Roman" w:hAnsi="Times New Roman" w:cs="Times New Roman"/>
          <w:sz w:val="28"/>
        </w:rPr>
        <w:t>ention to the areas of definition of two variables function and, for clarity, he should be able to show these areas in pictures. At the same time, it is important that the student clearly understands that the limits of the external integral must be constan</w:t>
      </w:r>
      <w:r>
        <w:rPr>
          <w:rFonts w:ascii="Times New Roman" w:eastAsia="Times New Roman" w:hAnsi="Times New Roman" w:cs="Times New Roman"/>
          <w:sz w:val="28"/>
        </w:rPr>
        <w:t>t values. The analysis of areas and pictures will allow the student to clearly understand the difference between two formulas for double integrals calculating. The student should know the answer to the question: if we change the order of integration, how t</w:t>
      </w:r>
      <w:r>
        <w:rPr>
          <w:rFonts w:ascii="Times New Roman" w:eastAsia="Times New Roman" w:hAnsi="Times New Roman" w:cs="Times New Roman"/>
          <w:sz w:val="28"/>
        </w:rPr>
        <w:t>he limits of the integrals will change? Further we should consider the concept of the Jacobian and then we can proceed to the main methods for double integrals calculating.</w:t>
      </w:r>
    </w:p>
    <w:p w:rsidR="0052701D" w:rsidRDefault="00D40929">
      <w:pPr>
        <w:spacing w:after="4" w:line="249" w:lineRule="auto"/>
        <w:ind w:left="284" w:right="296" w:firstLine="568"/>
        <w:jc w:val="both"/>
      </w:pPr>
      <w:r>
        <w:rPr>
          <w:rFonts w:ascii="Times New Roman" w:eastAsia="Times New Roman" w:hAnsi="Times New Roman" w:cs="Times New Roman"/>
          <w:sz w:val="28"/>
        </w:rPr>
        <w:t>Methods for the double integral calculating are very different, but we can limit ou</w:t>
      </w:r>
      <w:r>
        <w:rPr>
          <w:rFonts w:ascii="Times New Roman" w:eastAsia="Times New Roman" w:hAnsi="Times New Roman" w:cs="Times New Roman"/>
          <w:sz w:val="28"/>
        </w:rPr>
        <w:t>rselves by considering calculations of the double integral in Cartesian and polar coordinates. At the same time, the student must understand that the value of the double integral, obviously, depends not only on the type of the integrand, but also on the ar</w:t>
      </w:r>
      <w:r>
        <w:rPr>
          <w:rFonts w:ascii="Times New Roman" w:eastAsia="Times New Roman" w:hAnsi="Times New Roman" w:cs="Times New Roman"/>
          <w:sz w:val="28"/>
        </w:rPr>
        <w:t>ea of the figure to which the integral is extended, and when moving from one coordinate system to another, appropriate substitutions are used. Here the question may arise: what do these replacements give? After considering the examples provided, students t</w:t>
      </w:r>
      <w:r>
        <w:rPr>
          <w:rFonts w:ascii="Times New Roman" w:eastAsia="Times New Roman" w:hAnsi="Times New Roman" w:cs="Times New Roman"/>
          <w:sz w:val="28"/>
        </w:rPr>
        <w:t>hemselves should conclude that after the replacement in the double integral, the resulting new area may be much simpler than the given area, which facilitates the process of the multiple integral calculating.</w:t>
      </w:r>
    </w:p>
    <w:p w:rsidR="0052701D" w:rsidRDefault="00D40929">
      <w:pPr>
        <w:spacing w:after="4" w:line="249" w:lineRule="auto"/>
        <w:ind w:left="284" w:right="293" w:firstLine="568"/>
        <w:jc w:val="both"/>
      </w:pPr>
      <w:r>
        <w:rPr>
          <w:rFonts w:ascii="Times New Roman" w:eastAsia="Times New Roman" w:hAnsi="Times New Roman" w:cs="Times New Roman"/>
          <w:sz w:val="28"/>
        </w:rPr>
        <w:t>In technical universities, applied problems occ</w:t>
      </w:r>
      <w:r>
        <w:rPr>
          <w:rFonts w:ascii="Times New Roman" w:eastAsia="Times New Roman" w:hAnsi="Times New Roman" w:cs="Times New Roman"/>
          <w:sz w:val="28"/>
        </w:rPr>
        <w:t>upies a special place and usually we solved them with the help of multiple integrals. But these tasks also generate difficulties in the independent study of double and triple integrals on the course of mathematical analysis. So, for example, independent de</w:t>
      </w:r>
      <w:r>
        <w:rPr>
          <w:rFonts w:ascii="Times New Roman" w:eastAsia="Times New Roman" w:hAnsi="Times New Roman" w:cs="Times New Roman"/>
          <w:sz w:val="28"/>
        </w:rPr>
        <w:t xml:space="preserve">velopment of physical applications of double integrals: the area of a flat figure, the volume of a body, the surface area and geometric applications: the length of the curve, the area of the area bounded by a closed curve, the volume of the body formed by </w:t>
      </w:r>
      <w:r>
        <w:rPr>
          <w:rFonts w:ascii="Times New Roman" w:eastAsia="Times New Roman" w:hAnsi="Times New Roman" w:cs="Times New Roman"/>
          <w:sz w:val="28"/>
        </w:rPr>
        <w:t>the rotation of a closed curve relative to some axis, as well as solving problems for calculating the area of a curved surface, the moment of inertia of a flat figure, coordinates the center of mass of a flat figure, the moment of inertia of the body in th</w:t>
      </w:r>
      <w:r>
        <w:rPr>
          <w:rFonts w:ascii="Times New Roman" w:eastAsia="Times New Roman" w:hAnsi="Times New Roman" w:cs="Times New Roman"/>
          <w:sz w:val="28"/>
        </w:rPr>
        <w:t>e triple integrals section require constant monitoring and consultation from the tutor.</w:t>
      </w:r>
    </w:p>
    <w:p w:rsidR="0052701D" w:rsidRDefault="00D40929">
      <w:pPr>
        <w:spacing w:after="4" w:line="249" w:lineRule="auto"/>
        <w:ind w:left="284" w:right="294" w:firstLine="568"/>
        <w:jc w:val="both"/>
      </w:pPr>
      <w:r>
        <w:rPr>
          <w:rFonts w:ascii="Times New Roman" w:eastAsia="Times New Roman" w:hAnsi="Times New Roman" w:cs="Times New Roman"/>
          <w:sz w:val="28"/>
        </w:rPr>
        <w:t xml:space="preserve">Considering the topic “Cylinder and cone volumes”, spatial imagination is necessary. As you know, a cylindrical surface can be represented as follows: we imagine that there is a straight line, called a generatrix, if we move it in space parallel to itself </w:t>
      </w:r>
      <w:r>
        <w:rPr>
          <w:rFonts w:ascii="Times New Roman" w:eastAsia="Times New Roman" w:hAnsi="Times New Roman" w:cs="Times New Roman"/>
          <w:sz w:val="28"/>
        </w:rPr>
        <w:t>and at the same time constantly will pass through some point of the given curve, we obtain the trace of this straight line in space which gives us a cylindrical surface. When considering the problems of calculating the mass and center of gravity of a mater</w:t>
      </w:r>
      <w:r>
        <w:rPr>
          <w:rFonts w:ascii="Times New Roman" w:eastAsia="Times New Roman" w:hAnsi="Times New Roman" w:cs="Times New Roman"/>
          <w:sz w:val="28"/>
        </w:rPr>
        <w:t xml:space="preserve">ial plane figure, it should be noted that by a material surface they mean a body of such small thickness that it can practically be considered as a surface. An example of such a body can be any body called a plate. Based on the theorem: ”The mass </w:t>
      </w:r>
      <w:r>
        <w:rPr>
          <w:i/>
          <w:sz w:val="24"/>
        </w:rPr>
        <w:t>m</w:t>
      </w:r>
      <w:r>
        <w:rPr>
          <w:rFonts w:ascii="Times New Roman" w:eastAsia="Times New Roman" w:hAnsi="Times New Roman" w:cs="Times New Roman"/>
          <w:sz w:val="28"/>
        </w:rPr>
        <w:t xml:space="preserve"> enclose</w:t>
      </w:r>
      <w:r>
        <w:rPr>
          <w:rFonts w:ascii="Times New Roman" w:eastAsia="Times New Roman" w:hAnsi="Times New Roman" w:cs="Times New Roman"/>
          <w:sz w:val="28"/>
        </w:rPr>
        <w:t xml:space="preserve">d in an infinitesimal figure </w:t>
      </w:r>
      <w:r>
        <w:rPr>
          <w:i/>
          <w:sz w:val="24"/>
        </w:rPr>
        <w:t>q</w:t>
      </w:r>
      <w:r>
        <w:rPr>
          <w:rFonts w:ascii="Times New Roman" w:eastAsia="Times New Roman" w:hAnsi="Times New Roman" w:cs="Times New Roman"/>
          <w:sz w:val="28"/>
        </w:rPr>
        <w:t xml:space="preserve"> is equivalent to the product of the area by the mass density at any point of this figure </w:t>
      </w:r>
      <w:r>
        <w:rPr>
          <w:i/>
          <w:sz w:val="24"/>
        </w:rPr>
        <w:t>m≈ p∙q</w:t>
      </w:r>
      <w:r>
        <w:rPr>
          <w:rFonts w:ascii="Times New Roman" w:eastAsia="Times New Roman" w:hAnsi="Times New Roman" w:cs="Times New Roman"/>
          <w:sz w:val="28"/>
        </w:rPr>
        <w:t xml:space="preserve">”, we can solve the following problem: let’s a material figure is given, knowing the mass density </w:t>
      </w:r>
      <w:r>
        <w:rPr>
          <w:i/>
          <w:sz w:val="24"/>
        </w:rPr>
        <w:t>p</w:t>
      </w:r>
      <w:r>
        <w:rPr>
          <w:rFonts w:ascii="Times New Roman" w:eastAsia="Times New Roman" w:hAnsi="Times New Roman" w:cs="Times New Roman"/>
          <w:sz w:val="28"/>
        </w:rPr>
        <w:t xml:space="preserve"> at each point of this figure, </w:t>
      </w:r>
      <w:r>
        <w:rPr>
          <w:rFonts w:ascii="Times New Roman" w:eastAsia="Times New Roman" w:hAnsi="Times New Roman" w:cs="Times New Roman"/>
          <w:sz w:val="28"/>
        </w:rPr>
        <w:t>calculate the mass of the entire figure.</w:t>
      </w:r>
    </w:p>
    <w:p w:rsidR="0052701D" w:rsidRDefault="00D40929">
      <w:pPr>
        <w:spacing w:after="4" w:line="249" w:lineRule="auto"/>
        <w:ind w:left="284" w:right="292" w:firstLine="568"/>
        <w:jc w:val="both"/>
      </w:pPr>
      <w:r>
        <w:rPr>
          <w:rFonts w:ascii="Times New Roman" w:eastAsia="Times New Roman" w:hAnsi="Times New Roman" w:cs="Times New Roman"/>
          <w:sz w:val="28"/>
        </w:rPr>
        <w:t xml:space="preserve">We consider it appropriate to define the center of pressure: the center of pressure is the point of application of the resultant of all pressure forces on a given flat figure, </w:t>
      </w:r>
      <w:r>
        <w:rPr>
          <w:rFonts w:ascii="Times New Roman" w:eastAsia="Times New Roman" w:hAnsi="Times New Roman" w:cs="Times New Roman"/>
          <w:sz w:val="28"/>
        </w:rPr>
        <w:lastRenderedPageBreak/>
        <w:t>where all pressure forces are perpendic</w:t>
      </w:r>
      <w:r>
        <w:rPr>
          <w:rFonts w:ascii="Times New Roman" w:eastAsia="Times New Roman" w:hAnsi="Times New Roman" w:cs="Times New Roman"/>
          <w:sz w:val="28"/>
        </w:rPr>
        <w:t xml:space="preserve">ular to the plane of the figure. It should be noted that when determining the coordinates of the pressure center, it is assumed that the statistical moment of the resultant force (that is, the pressure on the entire site) relative to any axis, is equal to </w:t>
      </w:r>
      <w:r>
        <w:rPr>
          <w:rFonts w:ascii="Times New Roman" w:eastAsia="Times New Roman" w:hAnsi="Times New Roman" w:cs="Times New Roman"/>
          <w:sz w:val="28"/>
        </w:rPr>
        <w:t>the sum of the statistical moments of individual forces relative to the same axis. Based on the above, it is possible to find answers, for example, to the question "Whether the pressure of a liquid on a flat platform (arbitrarily immersed in a liquid) is e</w:t>
      </w:r>
      <w:r>
        <w:rPr>
          <w:rFonts w:ascii="Times New Roman" w:eastAsia="Times New Roman" w:hAnsi="Times New Roman" w:cs="Times New Roman"/>
          <w:sz w:val="28"/>
        </w:rPr>
        <w:t>qual to the weight of a cylindrical column of this liquid located above the platform, provided that it lies horizontally at the depth of its center of gravity" [2].</w:t>
      </w:r>
    </w:p>
    <w:p w:rsidR="0052701D" w:rsidRDefault="00D40929">
      <w:pPr>
        <w:spacing w:after="4" w:line="249" w:lineRule="auto"/>
        <w:ind w:left="284" w:right="296" w:firstLine="568"/>
        <w:jc w:val="both"/>
      </w:pPr>
      <w:r>
        <w:rPr>
          <w:rFonts w:ascii="Times New Roman" w:eastAsia="Times New Roman" w:hAnsi="Times New Roman" w:cs="Times New Roman"/>
          <w:sz w:val="28"/>
        </w:rPr>
        <w:t xml:space="preserve">If the same ideas that lead us to the concepts of simple and double integrals, we apply to </w:t>
      </w:r>
      <w:r>
        <w:rPr>
          <w:rFonts w:ascii="Times New Roman" w:eastAsia="Times New Roman" w:hAnsi="Times New Roman" w:cs="Times New Roman"/>
          <w:sz w:val="28"/>
        </w:rPr>
        <w:t>the functions of three variables we naturally come to the concept of a triple integral. From a mechanical point of view, any triple integral can always be considered as the mass of some body, since the mass of the body does not depend on what elementary vo</w:t>
      </w:r>
      <w:r>
        <w:rPr>
          <w:rFonts w:ascii="Times New Roman" w:eastAsia="Times New Roman" w:hAnsi="Times New Roman" w:cs="Times New Roman"/>
          <w:sz w:val="28"/>
        </w:rPr>
        <w:t>lumes we will divide the body into to form an integral sum. But at the same time, the triple integral can be calculated in different ways, depending on the law by which we divide this volume into elementary volumes and how we then combine them into the ini</w:t>
      </w:r>
      <w:r>
        <w:rPr>
          <w:rFonts w:ascii="Times New Roman" w:eastAsia="Times New Roman" w:hAnsi="Times New Roman" w:cs="Times New Roman"/>
          <w:sz w:val="28"/>
        </w:rPr>
        <w:t>tial volume.</w:t>
      </w:r>
    </w:p>
    <w:p w:rsidR="0052701D" w:rsidRDefault="00D40929">
      <w:pPr>
        <w:spacing w:after="4" w:line="249" w:lineRule="auto"/>
        <w:ind w:left="284" w:right="293" w:firstLine="568"/>
        <w:jc w:val="both"/>
      </w:pPr>
      <w:r>
        <w:rPr>
          <w:rFonts w:ascii="Times New Roman" w:eastAsia="Times New Roman" w:hAnsi="Times New Roman" w:cs="Times New Roman"/>
          <w:sz w:val="28"/>
        </w:rPr>
        <w:t xml:space="preserve">The teacher directs the work of students with the help of special questions that encourage them to think independently and actively search for the right answer. The student has to find answers to the questions that arise mostly on his own, so </w:t>
      </w:r>
      <w:r>
        <w:rPr>
          <w:rFonts w:ascii="Times New Roman" w:eastAsia="Times New Roman" w:hAnsi="Times New Roman" w:cs="Times New Roman"/>
          <w:sz w:val="28"/>
        </w:rPr>
        <w:t>he must be able to correctly put the question he is interested in. Lectures in any form (video lectures, traditional lectures) will help the student in this activity. At the same time, the tutor should direct the work of students with the help of questions</w:t>
      </w:r>
      <w:r>
        <w:rPr>
          <w:rFonts w:ascii="Times New Roman" w:eastAsia="Times New Roman" w:hAnsi="Times New Roman" w:cs="Times New Roman"/>
          <w:sz w:val="28"/>
        </w:rPr>
        <w:t xml:space="preserve"> that encourage them to think independently and actively look for the right answer.</w:t>
      </w:r>
    </w:p>
    <w:tbl>
      <w:tblPr>
        <w:tblStyle w:val="TableGrid"/>
        <w:tblW w:w="9072" w:type="dxa"/>
        <w:tblInd w:w="282" w:type="dxa"/>
        <w:tblCellMar>
          <w:top w:w="15" w:type="dxa"/>
          <w:left w:w="110" w:type="dxa"/>
          <w:bottom w:w="0" w:type="dxa"/>
          <w:right w:w="115" w:type="dxa"/>
        </w:tblCellMar>
        <w:tblLook w:val="04A0" w:firstRow="1" w:lastRow="0" w:firstColumn="1" w:lastColumn="0" w:noHBand="0" w:noVBand="1"/>
      </w:tblPr>
      <w:tblGrid>
        <w:gridCol w:w="4678"/>
        <w:gridCol w:w="4394"/>
      </w:tblGrid>
      <w:tr w:rsidR="0052701D">
        <w:trPr>
          <w:trHeight w:val="286"/>
        </w:trPr>
        <w:tc>
          <w:tcPr>
            <w:tcW w:w="467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9"/>
              <w:jc w:val="center"/>
            </w:pPr>
            <w:r>
              <w:rPr>
                <w:rFonts w:ascii="Times New Roman" w:eastAsia="Times New Roman" w:hAnsi="Times New Roman" w:cs="Times New Roman"/>
                <w:sz w:val="24"/>
              </w:rPr>
              <w:t>Question</w:t>
            </w:r>
          </w:p>
        </w:tc>
        <w:tc>
          <w:tcPr>
            <w:tcW w:w="439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
              <w:jc w:val="center"/>
            </w:pPr>
            <w:r>
              <w:rPr>
                <w:rFonts w:ascii="Times New Roman" w:eastAsia="Times New Roman" w:hAnsi="Times New Roman" w:cs="Times New Roman"/>
                <w:sz w:val="24"/>
              </w:rPr>
              <w:t>Competence</w:t>
            </w:r>
          </w:p>
        </w:tc>
      </w:tr>
      <w:tr w:rsidR="0052701D">
        <w:trPr>
          <w:trHeight w:val="838"/>
        </w:trPr>
        <w:tc>
          <w:tcPr>
            <w:tcW w:w="4678"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Do the basic properties of multiple integrals differ from similar properties of ordinary integrals?</w:t>
            </w:r>
          </w:p>
        </w:tc>
        <w:tc>
          <w:tcPr>
            <w:tcW w:w="4394"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Student knows and is able to apply the properties of integrals in solving problems.</w:t>
            </w:r>
          </w:p>
        </w:tc>
      </w:tr>
      <w:tr w:rsidR="0052701D">
        <w:trPr>
          <w:trHeight w:val="562"/>
        </w:trPr>
        <w:tc>
          <w:tcPr>
            <w:tcW w:w="4678"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What student should be able to find in order to calculate the volumes of bodies?</w:t>
            </w:r>
          </w:p>
        </w:tc>
        <w:tc>
          <w:tcPr>
            <w:tcW w:w="4394"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Student understands the definition of iterated integral.</w:t>
            </w:r>
          </w:p>
        </w:tc>
      </w:tr>
      <w:tr w:rsidR="0052701D">
        <w:trPr>
          <w:trHeight w:val="838"/>
        </w:trPr>
        <w:tc>
          <w:tcPr>
            <w:tcW w:w="4678"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Is it possible, and if so, how, to change the order of integration in the double integral optimally?</w:t>
            </w:r>
          </w:p>
        </w:tc>
        <w:tc>
          <w:tcPr>
            <w:tcW w:w="4394"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Student can create a drawing scheme of a given area and choose the optimal order of integration.</w:t>
            </w:r>
          </w:p>
        </w:tc>
      </w:tr>
      <w:tr w:rsidR="0052701D">
        <w:trPr>
          <w:trHeight w:val="838"/>
        </w:trPr>
        <w:tc>
          <w:tcPr>
            <w:tcW w:w="4678"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What should be the limits of the external integral in a d</w:t>
            </w:r>
            <w:r>
              <w:rPr>
                <w:rFonts w:ascii="Times New Roman" w:eastAsia="Times New Roman" w:hAnsi="Times New Roman" w:cs="Times New Roman"/>
                <w:sz w:val="24"/>
              </w:rPr>
              <w:t>ouble or triple integral?</w:t>
            </w:r>
          </w:p>
        </w:tc>
        <w:tc>
          <w:tcPr>
            <w:tcW w:w="4394"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Student knows and understands the meaning of the formulas for multiple integrals calculating.</w:t>
            </w:r>
          </w:p>
        </w:tc>
      </w:tr>
      <w:tr w:rsidR="0052701D">
        <w:trPr>
          <w:trHeight w:val="838"/>
        </w:trPr>
        <w:tc>
          <w:tcPr>
            <w:tcW w:w="4678"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To calculate multiple integrals, what gives the transition from one coordinate system to another?</w:t>
            </w:r>
          </w:p>
        </w:tc>
        <w:tc>
          <w:tcPr>
            <w:tcW w:w="4394"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4"/>
              </w:rPr>
              <w:t>Student knows the replacement formulas and knows how to apply them in a specific situation.</w:t>
            </w:r>
          </w:p>
        </w:tc>
      </w:tr>
    </w:tbl>
    <w:p w:rsidR="0052701D" w:rsidRDefault="00D40929">
      <w:pPr>
        <w:spacing w:after="4" w:line="249" w:lineRule="auto"/>
        <w:ind w:left="284" w:firstLine="568"/>
        <w:jc w:val="both"/>
      </w:pPr>
      <w:r>
        <w:rPr>
          <w:rFonts w:ascii="Times New Roman" w:eastAsia="Times New Roman" w:hAnsi="Times New Roman" w:cs="Times New Roman"/>
          <w:sz w:val="28"/>
        </w:rPr>
        <w:t>Here we give a few questions to determine the coefficient of competence formation after the topic has been studied [1].</w:t>
      </w:r>
    </w:p>
    <w:p w:rsidR="0052701D" w:rsidRDefault="00D40929">
      <w:pPr>
        <w:spacing w:after="4" w:line="249" w:lineRule="auto"/>
        <w:ind w:left="284" w:right="294" w:firstLine="568"/>
        <w:jc w:val="both"/>
      </w:pPr>
      <w:r>
        <w:rPr>
          <w:rFonts w:ascii="Times New Roman" w:eastAsia="Times New Roman" w:hAnsi="Times New Roman" w:cs="Times New Roman"/>
          <w:sz w:val="28"/>
        </w:rPr>
        <w:t>Tasks, which we use for illustration of the study material, also serve as a means for fixing the theory. Thus, the course educational material, and more specifically the course tasks, should be constructed by such a way that the student would start masteri</w:t>
      </w:r>
      <w:r>
        <w:rPr>
          <w:rFonts w:ascii="Times New Roman" w:eastAsia="Times New Roman" w:hAnsi="Times New Roman" w:cs="Times New Roman"/>
          <w:sz w:val="28"/>
        </w:rPr>
        <w:t xml:space="preserve">ng the skills of calculation, then moved on to applied problems [3]. Solving problems requires independent mathematical reasoning, familiarization and study of educational literature, the ability to process information and make independent </w:t>
      </w:r>
      <w:r>
        <w:rPr>
          <w:rFonts w:ascii="Times New Roman" w:eastAsia="Times New Roman" w:hAnsi="Times New Roman" w:cs="Times New Roman"/>
          <w:sz w:val="28"/>
        </w:rPr>
        <w:lastRenderedPageBreak/>
        <w:t>conclusions. Dur</w:t>
      </w:r>
      <w:r>
        <w:rPr>
          <w:rFonts w:ascii="Times New Roman" w:eastAsia="Times New Roman" w:hAnsi="Times New Roman" w:cs="Times New Roman"/>
          <w:sz w:val="28"/>
        </w:rPr>
        <w:t xml:space="preserve">ing the course the student masters practical material, solves practical problems, overcomes certain difficulties, his activity and independence reach a high level. Learning outcomes of the students are relatively high and stable. It is easier for students </w:t>
      </w:r>
      <w:r>
        <w:rPr>
          <w:rFonts w:ascii="Times New Roman" w:eastAsia="Times New Roman" w:hAnsi="Times New Roman" w:cs="Times New Roman"/>
          <w:sz w:val="28"/>
        </w:rPr>
        <w:t>to apply the acquired knowledge in new situations and at the same time it develops their competencies.</w:t>
      </w:r>
    </w:p>
    <w:p w:rsidR="0052701D" w:rsidRDefault="00D40929">
      <w:pPr>
        <w:spacing w:after="241" w:line="249" w:lineRule="auto"/>
        <w:ind w:left="284" w:right="291" w:firstLine="568"/>
        <w:jc w:val="both"/>
      </w:pPr>
      <w:r>
        <w:rPr>
          <w:rFonts w:ascii="Times New Roman" w:eastAsia="Times New Roman" w:hAnsi="Times New Roman" w:cs="Times New Roman"/>
          <w:b/>
          <w:sz w:val="28"/>
        </w:rPr>
        <w:t>Conclusion</w:t>
      </w:r>
      <w:r>
        <w:rPr>
          <w:rFonts w:ascii="Times New Roman" w:eastAsia="Times New Roman" w:hAnsi="Times New Roman" w:cs="Times New Roman"/>
          <w:sz w:val="28"/>
        </w:rPr>
        <w:t>. We have considered one method of self-study of double and triple integrals in the course of mathematical analysis. We believe that The change</w:t>
      </w:r>
      <w:r>
        <w:rPr>
          <w:rFonts w:ascii="Times New Roman" w:eastAsia="Times New Roman" w:hAnsi="Times New Roman" w:cs="Times New Roman"/>
          <w:sz w:val="28"/>
        </w:rPr>
        <w:t xml:space="preserve"> in the social role of knowledge (in particular, mathematical knowledge) and the creative capabilities of the individual in the modern period of the development of society inevitably raises questions in the organization of teaching mathematics at a univers</w:t>
      </w:r>
      <w:r>
        <w:rPr>
          <w:rFonts w:ascii="Times New Roman" w:eastAsia="Times New Roman" w:hAnsi="Times New Roman" w:cs="Times New Roman"/>
          <w:sz w:val="28"/>
        </w:rPr>
        <w:t>ity, creating conditions for independent development of knowledge. Thus, it is necessary to significantly restructure the structure and content of the mathematical training of students at technical universities on the basis of psychological and pedagogical</w:t>
      </w:r>
      <w:r>
        <w:rPr>
          <w:rFonts w:ascii="Times New Roman" w:eastAsia="Times New Roman" w:hAnsi="Times New Roman" w:cs="Times New Roman"/>
          <w:sz w:val="28"/>
        </w:rPr>
        <w:t xml:space="preserve"> analysis and a holistic approach to the innovative pedagogical process.</w:t>
      </w:r>
    </w:p>
    <w:p w:rsidR="0052701D" w:rsidRDefault="00D40929">
      <w:pPr>
        <w:spacing w:after="306" w:line="249" w:lineRule="auto"/>
        <w:ind w:left="576" w:right="568" w:hanging="10"/>
        <w:jc w:val="center"/>
      </w:pPr>
      <w:r>
        <w:rPr>
          <w:rFonts w:ascii="Times New Roman" w:eastAsia="Times New Roman" w:hAnsi="Times New Roman" w:cs="Times New Roman"/>
          <w:b/>
          <w:sz w:val="28"/>
        </w:rPr>
        <w:t>Sources</w:t>
      </w:r>
    </w:p>
    <w:p w:rsidR="0052701D" w:rsidRDefault="00D40929">
      <w:pPr>
        <w:numPr>
          <w:ilvl w:val="0"/>
          <w:numId w:val="143"/>
        </w:numPr>
        <w:spacing w:after="4" w:line="249" w:lineRule="auto"/>
        <w:ind w:right="144" w:firstLine="568"/>
        <w:jc w:val="both"/>
      </w:pPr>
      <w:r>
        <w:rPr>
          <w:rFonts w:ascii="Times New Roman" w:eastAsia="Times New Roman" w:hAnsi="Times New Roman" w:cs="Times New Roman"/>
          <w:sz w:val="28"/>
        </w:rPr>
        <w:t>Iskakova А.К., Abdullanova Zh.S. About the methodology of distancelearning in mathematics // Almaty: Izdenis. №3(1) / 2019. P. 10-15</w:t>
      </w:r>
    </w:p>
    <w:p w:rsidR="0052701D" w:rsidRDefault="00D40929">
      <w:pPr>
        <w:numPr>
          <w:ilvl w:val="0"/>
          <w:numId w:val="143"/>
        </w:numPr>
        <w:spacing w:after="4" w:line="249" w:lineRule="auto"/>
        <w:ind w:right="144" w:firstLine="568"/>
        <w:jc w:val="both"/>
      </w:pPr>
      <w:r>
        <w:rPr>
          <w:rFonts w:ascii="Times New Roman" w:eastAsia="Times New Roman" w:hAnsi="Times New Roman" w:cs="Times New Roman"/>
          <w:sz w:val="28"/>
        </w:rPr>
        <w:t xml:space="preserve">Berman G.N. A collection of problems on a </w:t>
      </w:r>
      <w:r>
        <w:rPr>
          <w:rFonts w:ascii="Times New Roman" w:eastAsia="Times New Roman" w:hAnsi="Times New Roman" w:cs="Times New Roman"/>
          <w:sz w:val="28"/>
        </w:rPr>
        <w:t>course of MathematicalAnalysis. - М.: Nauka. 1971.</w:t>
      </w:r>
    </w:p>
    <w:p w:rsidR="0052701D" w:rsidRDefault="00D40929">
      <w:pPr>
        <w:numPr>
          <w:ilvl w:val="0"/>
          <w:numId w:val="143"/>
        </w:numPr>
        <w:spacing w:after="4" w:line="249" w:lineRule="auto"/>
        <w:ind w:right="144" w:firstLine="568"/>
        <w:jc w:val="both"/>
      </w:pPr>
      <w:r>
        <w:rPr>
          <w:rFonts w:ascii="Times New Roman" w:eastAsia="Times New Roman" w:hAnsi="Times New Roman" w:cs="Times New Roman"/>
          <w:sz w:val="28"/>
        </w:rPr>
        <w:t>Iskakova A., Hanzharova B., Kokazhaeva A. On teaching of bases of real variable functions theory. // Вестник Карагандинского университета. №1(85). 2017. P. 76-80</w:t>
      </w:r>
    </w:p>
    <w:p w:rsidR="0052701D" w:rsidRDefault="00D40929">
      <w:pPr>
        <w:numPr>
          <w:ilvl w:val="0"/>
          <w:numId w:val="143"/>
        </w:numPr>
        <w:spacing w:after="4" w:line="249" w:lineRule="auto"/>
        <w:ind w:right="144" w:firstLine="568"/>
        <w:jc w:val="both"/>
      </w:pPr>
      <w:r>
        <w:rPr>
          <w:rFonts w:ascii="Times New Roman" w:eastAsia="Times New Roman" w:hAnsi="Times New Roman" w:cs="Times New Roman"/>
          <w:sz w:val="28"/>
        </w:rPr>
        <w:t>Iskakova A.К., Baisalova M.Zh. On the integ</w:t>
      </w:r>
      <w:r>
        <w:rPr>
          <w:rFonts w:ascii="Times New Roman" w:eastAsia="Times New Roman" w:hAnsi="Times New Roman" w:cs="Times New Roman"/>
          <w:sz w:val="28"/>
        </w:rPr>
        <w:t>ral as the limit of the sum and the integral as the primitive // UDC 001.1 Scientific Collection «InterConf», (50): with the Proceedings of the 8th International Scientific and Practical Conference «Scientific Horizon in The Context of Social Crises» (Apri</w:t>
      </w:r>
      <w:r>
        <w:rPr>
          <w:rFonts w:ascii="Times New Roman" w:eastAsia="Times New Roman" w:hAnsi="Times New Roman" w:cs="Times New Roman"/>
          <w:sz w:val="28"/>
        </w:rPr>
        <w:t xml:space="preserve">l 11-12, 2021). Tokyo, Japan: Otsuki Press, 2021. Р. 160-166. </w:t>
      </w:r>
    </w:p>
    <w:p w:rsidR="0052701D" w:rsidRDefault="00D40929">
      <w:pPr>
        <w:spacing w:after="0"/>
        <w:ind w:left="578" w:hanging="10"/>
      </w:pPr>
      <w:r>
        <w:rPr>
          <w:rFonts w:ascii="Times New Roman" w:eastAsia="Times New Roman" w:hAnsi="Times New Roman" w:cs="Times New Roman"/>
          <w:b/>
        </w:rPr>
        <w:t>ҒТАХР 14.35.09</w:t>
      </w:r>
    </w:p>
    <w:p w:rsidR="0052701D" w:rsidRDefault="00D40929">
      <w:pPr>
        <w:spacing w:after="357"/>
        <w:ind w:left="578" w:hanging="10"/>
      </w:pPr>
      <w:r>
        <w:rPr>
          <w:rFonts w:ascii="Times New Roman" w:eastAsia="Times New Roman" w:hAnsi="Times New Roman" w:cs="Times New Roman"/>
          <w:b/>
        </w:rPr>
        <w:t xml:space="preserve">УДК 373.545 </w:t>
      </w:r>
    </w:p>
    <w:p w:rsidR="0052701D" w:rsidRDefault="00D40929">
      <w:pPr>
        <w:pStyle w:val="1"/>
        <w:spacing w:after="222" w:line="249" w:lineRule="auto"/>
        <w:ind w:left="576" w:right="572"/>
      </w:pPr>
      <w:r>
        <w:t xml:space="preserve">БІЛІМ БЕРУДІ КӘСІБИЛЕНДІРУДЕГІ АҚПАРАТТЫҚ - КОММУНИКАЦИЯЛЫҚ ТЕХНОЛОГИЯЛАР </w:t>
      </w:r>
    </w:p>
    <w:p w:rsidR="0052701D" w:rsidRDefault="00D40929">
      <w:pPr>
        <w:spacing w:after="3" w:line="249" w:lineRule="auto"/>
        <w:ind w:left="2856" w:right="285"/>
        <w:jc w:val="both"/>
      </w:pPr>
      <w:r>
        <w:rPr>
          <w:rFonts w:ascii="Times New Roman" w:eastAsia="Times New Roman" w:hAnsi="Times New Roman" w:cs="Times New Roman"/>
          <w:sz w:val="24"/>
        </w:rPr>
        <w:t>А.К. Искакова, Сагынбаева Э.Е., М.Ж. Байсалова</w:t>
      </w:r>
    </w:p>
    <w:p w:rsidR="0052701D" w:rsidRDefault="00D40929">
      <w:pPr>
        <w:spacing w:after="10" w:line="249" w:lineRule="auto"/>
        <w:ind w:left="714" w:right="711" w:hanging="10"/>
        <w:jc w:val="center"/>
      </w:pPr>
      <w:r>
        <w:rPr>
          <w:rFonts w:ascii="Times New Roman" w:eastAsia="Times New Roman" w:hAnsi="Times New Roman" w:cs="Times New Roman"/>
          <w:sz w:val="24"/>
        </w:rPr>
        <w:t>Ғ.Даукеев атындағы Алматы энергетика және байланыс университеті, Алматы қ.,</w:t>
      </w:r>
    </w:p>
    <w:p w:rsidR="0052701D" w:rsidRDefault="00D40929">
      <w:pPr>
        <w:spacing w:after="10" w:line="249" w:lineRule="auto"/>
        <w:ind w:left="714" w:right="707" w:hanging="10"/>
        <w:jc w:val="center"/>
      </w:pPr>
      <w:r>
        <w:rPr>
          <w:rFonts w:ascii="Times New Roman" w:eastAsia="Times New Roman" w:hAnsi="Times New Roman" w:cs="Times New Roman"/>
          <w:sz w:val="24"/>
        </w:rPr>
        <w:t xml:space="preserve">Қазақстан </w:t>
      </w:r>
    </w:p>
    <w:p w:rsidR="0052701D" w:rsidRDefault="00D40929">
      <w:pPr>
        <w:spacing w:after="228"/>
        <w:ind w:left="690"/>
      </w:pPr>
      <w:r>
        <w:rPr>
          <w:rFonts w:ascii="Times New Roman" w:eastAsia="Times New Roman" w:hAnsi="Times New Roman" w:cs="Times New Roman"/>
          <w:sz w:val="24"/>
        </w:rPr>
        <w:t xml:space="preserve">e-mail: </w:t>
      </w:r>
      <w:r>
        <w:rPr>
          <w:rFonts w:ascii="Times New Roman" w:eastAsia="Times New Roman" w:hAnsi="Times New Roman" w:cs="Times New Roman"/>
          <w:color w:val="0000FF"/>
          <w:sz w:val="24"/>
          <w:u w:val="single" w:color="0000FF"/>
        </w:rPr>
        <w:t>akzholtay.iskakova@mail.ru</w:t>
      </w:r>
      <w:r>
        <w:rPr>
          <w:sz w:val="24"/>
        </w:rPr>
        <w:t xml:space="preserve">, </w:t>
      </w:r>
      <w:r>
        <w:rPr>
          <w:rFonts w:ascii="Times New Roman" w:eastAsia="Times New Roman" w:hAnsi="Times New Roman" w:cs="Times New Roman"/>
          <w:color w:val="0000FF"/>
          <w:sz w:val="24"/>
          <w:u w:val="single" w:color="0000FF"/>
        </w:rPr>
        <w:t>sagynbaevaelmira@gmail.com</w:t>
      </w:r>
      <w:r>
        <w:rPr>
          <w:rFonts w:ascii="Times New Roman" w:eastAsia="Times New Roman" w:hAnsi="Times New Roman" w:cs="Times New Roman"/>
          <w:color w:val="0000FF"/>
          <w:sz w:val="24"/>
        </w:rPr>
        <w:t>,</w:t>
      </w:r>
      <w:r>
        <w:rPr>
          <w:sz w:val="24"/>
        </w:rPr>
        <w:t xml:space="preserve"> </w:t>
      </w:r>
      <w:r>
        <w:rPr>
          <w:rFonts w:ascii="Times New Roman" w:eastAsia="Times New Roman" w:hAnsi="Times New Roman" w:cs="Times New Roman"/>
          <w:color w:val="0000FF"/>
          <w:sz w:val="24"/>
          <w:u w:val="single" w:color="0000FF"/>
        </w:rPr>
        <w:t>manshuk966@mail.ru</w:t>
      </w:r>
      <w:r>
        <w:rPr>
          <w:rFonts w:ascii="Times New Roman" w:eastAsia="Times New Roman" w:hAnsi="Times New Roman" w:cs="Times New Roman"/>
          <w:color w:val="0000FF"/>
          <w:sz w:val="24"/>
        </w:rPr>
        <w:t xml:space="preserve">  </w:t>
      </w:r>
    </w:p>
    <w:p w:rsidR="0052701D" w:rsidRDefault="00D40929">
      <w:pPr>
        <w:spacing w:after="3" w:line="238" w:lineRule="auto"/>
        <w:ind w:left="553" w:right="559" w:firstLine="698"/>
        <w:jc w:val="both"/>
      </w:pPr>
      <w:r>
        <w:rPr>
          <w:rFonts w:ascii="Times New Roman" w:eastAsia="Times New Roman" w:hAnsi="Times New Roman" w:cs="Times New Roman"/>
          <w:b/>
          <w:i/>
          <w:sz w:val="24"/>
        </w:rPr>
        <w:t>Түйіндеме</w:t>
      </w:r>
      <w:r>
        <w:rPr>
          <w:rFonts w:ascii="Times New Roman" w:eastAsia="Times New Roman" w:hAnsi="Times New Roman" w:cs="Times New Roman"/>
          <w:i/>
          <w:sz w:val="24"/>
        </w:rPr>
        <w:t>. Мақалада білім беруді кәсібилендіру мәселелері, атап айтқанда студенттерд</w:t>
      </w:r>
      <w:r>
        <w:rPr>
          <w:rFonts w:ascii="Times New Roman" w:eastAsia="Times New Roman" w:hAnsi="Times New Roman" w:cs="Times New Roman"/>
          <w:i/>
          <w:sz w:val="24"/>
        </w:rPr>
        <w:t xml:space="preserve">ің компьютерлерді меңгеруі, оқу қызметінде пайдалану және болашақ кәсіби қызметте қажетті дағдылар мен қабілеттерді игеру мәселелері қарастырылады. Цифрлық сауаттылықтың анықтамалары берілген, қоғамның қазіргі өмірін компьютерлендірумен байланысты жағымды </w:t>
      </w:r>
      <w:r>
        <w:rPr>
          <w:rFonts w:ascii="Times New Roman" w:eastAsia="Times New Roman" w:hAnsi="Times New Roman" w:cs="Times New Roman"/>
          <w:i/>
          <w:sz w:val="24"/>
        </w:rPr>
        <w:t xml:space="preserve">жақтар мен мәселелер сипатталған. Жас маманға деген сұраныс факторларының бірі цифрлық сауаттылық екендігі көрсетілген. Білім беру процесінде ақпараттық-коммуникациялық технологияларды қолданудың өзектілігі негізделген, қоғам дамуының әр кезеңінде оқу </w:t>
      </w:r>
      <w:r>
        <w:rPr>
          <w:rFonts w:ascii="Times New Roman" w:eastAsia="Times New Roman" w:hAnsi="Times New Roman" w:cs="Times New Roman"/>
          <w:i/>
          <w:sz w:val="24"/>
        </w:rPr>
        <w:lastRenderedPageBreak/>
        <w:t>проц</w:t>
      </w:r>
      <w:r>
        <w:rPr>
          <w:rFonts w:ascii="Times New Roman" w:eastAsia="Times New Roman" w:hAnsi="Times New Roman" w:cs="Times New Roman"/>
          <w:i/>
          <w:sz w:val="24"/>
        </w:rPr>
        <w:t>есін үнемі жаңартып отыру қажеттілігінің себеп – салдарлық байланыстары негізделген. Ақпараттық әлем үнемі жаңарып отырады, инновациялар заманауи компьютерлендірілген әлемнің ажырамас бөлігіне айналды және цифрлық сауаттылық білім беруді кәсібилендірудің т</w:t>
      </w:r>
      <w:r>
        <w:rPr>
          <w:rFonts w:ascii="Times New Roman" w:eastAsia="Times New Roman" w:hAnsi="Times New Roman" w:cs="Times New Roman"/>
          <w:i/>
          <w:sz w:val="24"/>
        </w:rPr>
        <w:t>иімді жүйесі ретінде қарастырылуы керек.</w:t>
      </w:r>
    </w:p>
    <w:p w:rsidR="0052701D" w:rsidRDefault="00D40929">
      <w:pPr>
        <w:spacing w:after="682" w:line="238" w:lineRule="auto"/>
        <w:ind w:left="553" w:right="559" w:firstLine="698"/>
        <w:jc w:val="both"/>
      </w:pPr>
      <w:r>
        <w:rPr>
          <w:rFonts w:ascii="Times New Roman" w:eastAsia="Times New Roman" w:hAnsi="Times New Roman" w:cs="Times New Roman"/>
          <w:b/>
          <w:i/>
          <w:sz w:val="24"/>
        </w:rPr>
        <w:t>Кілттік сөздер</w:t>
      </w:r>
      <w:r>
        <w:rPr>
          <w:rFonts w:ascii="Times New Roman" w:eastAsia="Times New Roman" w:hAnsi="Times New Roman" w:cs="Times New Roman"/>
          <w:i/>
          <w:sz w:val="24"/>
        </w:rPr>
        <w:t>: цифрлық сауаттылық, компьютерлік технология, цифрлық құзыреттіліктер, дағдылар мен біліктер, кәсібилендіру, кәсіби даму.</w:t>
      </w:r>
    </w:p>
    <w:p w:rsidR="0052701D" w:rsidRDefault="00D40929">
      <w:pPr>
        <w:spacing w:after="226" w:line="249" w:lineRule="auto"/>
        <w:ind w:left="576" w:right="566" w:hanging="10"/>
        <w:jc w:val="center"/>
      </w:pPr>
      <w:r>
        <w:rPr>
          <w:rFonts w:ascii="Times New Roman" w:eastAsia="Times New Roman" w:hAnsi="Times New Roman" w:cs="Times New Roman"/>
          <w:b/>
          <w:sz w:val="28"/>
        </w:rPr>
        <w:t>ИНФОРМАЦИОННО-КОММУНИКАЦИОННЫЕ ТЕХНОЛОГИИ В ПРОФЕССИОНАЛИЗАЦИИ ОБРАЗОВАНИЯ</w:t>
      </w:r>
    </w:p>
    <w:p w:rsidR="0052701D" w:rsidRDefault="00D40929">
      <w:pPr>
        <w:spacing w:after="10" w:line="249" w:lineRule="auto"/>
        <w:ind w:left="714" w:right="707" w:hanging="10"/>
        <w:jc w:val="center"/>
      </w:pPr>
      <w:r>
        <w:rPr>
          <w:rFonts w:ascii="Times New Roman" w:eastAsia="Times New Roman" w:hAnsi="Times New Roman" w:cs="Times New Roman"/>
          <w:sz w:val="24"/>
        </w:rPr>
        <w:t>А.К</w:t>
      </w:r>
      <w:r>
        <w:rPr>
          <w:rFonts w:ascii="Times New Roman" w:eastAsia="Times New Roman" w:hAnsi="Times New Roman" w:cs="Times New Roman"/>
          <w:sz w:val="24"/>
        </w:rPr>
        <w:t>. Искакова, Э.Е. Сагынбаева, М.Ж. Байсалова</w:t>
      </w:r>
    </w:p>
    <w:p w:rsidR="0052701D" w:rsidRDefault="00D40929">
      <w:pPr>
        <w:spacing w:after="275" w:line="237" w:lineRule="auto"/>
        <w:ind w:left="946" w:right="949" w:hanging="10"/>
        <w:jc w:val="center"/>
      </w:pPr>
      <w:r>
        <w:rPr>
          <w:rFonts w:ascii="Times New Roman" w:eastAsia="Times New Roman" w:hAnsi="Times New Roman" w:cs="Times New Roman"/>
        </w:rPr>
        <w:t xml:space="preserve">Алматинский университет энергетики и связи им. Г.Даукеева, Алматы, Казахстан e-mail: </w:t>
      </w:r>
      <w:r>
        <w:rPr>
          <w:rFonts w:ascii="Times New Roman" w:eastAsia="Times New Roman" w:hAnsi="Times New Roman" w:cs="Times New Roman"/>
          <w:color w:val="0000FF"/>
          <w:u w:val="single" w:color="0000FF"/>
        </w:rPr>
        <w:t>akzholtay.iskakova@mail.ru</w:t>
      </w:r>
      <w:r>
        <w:t xml:space="preserve">, </w:t>
      </w:r>
      <w:r>
        <w:rPr>
          <w:rFonts w:ascii="Times New Roman" w:eastAsia="Times New Roman" w:hAnsi="Times New Roman" w:cs="Times New Roman"/>
          <w:color w:val="0000FF"/>
          <w:u w:val="single" w:color="0000FF"/>
        </w:rPr>
        <w:t>sagynbaevaelmira@gmail.com</w:t>
      </w:r>
      <w:r>
        <w:rPr>
          <w:rFonts w:ascii="Times New Roman" w:eastAsia="Times New Roman" w:hAnsi="Times New Roman" w:cs="Times New Roman"/>
          <w:color w:val="0000FF"/>
        </w:rPr>
        <w:t>,</w:t>
      </w:r>
      <w:r>
        <w:t xml:space="preserve"> </w:t>
      </w:r>
      <w:r>
        <w:rPr>
          <w:rFonts w:ascii="Times New Roman" w:eastAsia="Times New Roman" w:hAnsi="Times New Roman" w:cs="Times New Roman"/>
          <w:color w:val="0000FF"/>
          <w:u w:val="single" w:color="0000FF"/>
        </w:rPr>
        <w:t>manshuk966@mail.ru</w:t>
      </w:r>
      <w:r>
        <w:rPr>
          <w:rFonts w:ascii="Times New Roman" w:eastAsia="Times New Roman" w:hAnsi="Times New Roman" w:cs="Times New Roman"/>
          <w:color w:val="0000FF"/>
        </w:rPr>
        <w:t xml:space="preserve">  </w:t>
      </w:r>
    </w:p>
    <w:p w:rsidR="0052701D" w:rsidRDefault="00D40929">
      <w:pPr>
        <w:spacing w:after="3" w:line="238" w:lineRule="auto"/>
        <w:ind w:left="553" w:right="559" w:firstLine="698"/>
        <w:jc w:val="both"/>
      </w:pPr>
      <w:r>
        <w:rPr>
          <w:rFonts w:ascii="Times New Roman" w:eastAsia="Times New Roman" w:hAnsi="Times New Roman" w:cs="Times New Roman"/>
          <w:b/>
          <w:i/>
          <w:sz w:val="24"/>
        </w:rPr>
        <w:t>Аннотация</w:t>
      </w:r>
      <w:r>
        <w:rPr>
          <w:rFonts w:ascii="Times New Roman" w:eastAsia="Times New Roman" w:hAnsi="Times New Roman" w:cs="Times New Roman"/>
          <w:i/>
          <w:sz w:val="24"/>
        </w:rPr>
        <w:t>.</w:t>
      </w:r>
      <w:r>
        <w:rPr>
          <w:rFonts w:ascii="Times New Roman" w:eastAsia="Times New Roman" w:hAnsi="Times New Roman" w:cs="Times New Roman"/>
          <w:i/>
          <w:sz w:val="24"/>
        </w:rPr>
        <w:t xml:space="preserve"> В статье «Информационно коммуникационные технологии в профессионализации образования</w:t>
      </w:r>
      <w:r>
        <w:rPr>
          <w:rFonts w:ascii="Times New Roman" w:eastAsia="Times New Roman" w:hAnsi="Times New Roman" w:cs="Times New Roman"/>
          <w:b/>
          <w:i/>
          <w:sz w:val="24"/>
        </w:rPr>
        <w:t xml:space="preserve">» </w:t>
      </w:r>
      <w:r>
        <w:rPr>
          <w:rFonts w:ascii="Times New Roman" w:eastAsia="Times New Roman" w:hAnsi="Times New Roman" w:cs="Times New Roman"/>
          <w:i/>
          <w:sz w:val="24"/>
        </w:rPr>
        <w:t>рассматриваются вопросы профессионализации образования, в частности вопросы владения студентами компьютерами, использования в учебной деятельности и приобретение навыков</w:t>
      </w:r>
      <w:r>
        <w:rPr>
          <w:rFonts w:ascii="Times New Roman" w:eastAsia="Times New Roman" w:hAnsi="Times New Roman" w:cs="Times New Roman"/>
          <w:i/>
          <w:sz w:val="24"/>
        </w:rPr>
        <w:t xml:space="preserve"> и умений, необходимых в будущей профессиональной деятельности. Даются определения цифровой грамотности, излагаются положительные стороны и проблемы, связанные с компьютеризацией современной жизни общества. Показано, что одним из факторов востребованности </w:t>
      </w:r>
      <w:r>
        <w:rPr>
          <w:rFonts w:ascii="Times New Roman" w:eastAsia="Times New Roman" w:hAnsi="Times New Roman" w:cs="Times New Roman"/>
          <w:i/>
          <w:sz w:val="24"/>
        </w:rPr>
        <w:t>молодого специалиста является цифровая грамотность. Аргументирована актуальность использования в образовательном процессе информационно коммуникационных технологий, обоснованы причинно – следственные связи необходимости регулярного обновления процесса обуч</w:t>
      </w:r>
      <w:r>
        <w:rPr>
          <w:rFonts w:ascii="Times New Roman" w:eastAsia="Times New Roman" w:hAnsi="Times New Roman" w:cs="Times New Roman"/>
          <w:i/>
          <w:sz w:val="24"/>
        </w:rPr>
        <w:t>ения на каждом этапе развития общества. Информационный мир постоянно обновляется, инновации стали неотъемлемой частью современного компьютеризированного мира, и цифровая грамотность должна рассматриваться как эффективная система профессионализации образова</w:t>
      </w:r>
      <w:r>
        <w:rPr>
          <w:rFonts w:ascii="Times New Roman" w:eastAsia="Times New Roman" w:hAnsi="Times New Roman" w:cs="Times New Roman"/>
          <w:i/>
          <w:sz w:val="24"/>
        </w:rPr>
        <w:t>ния.</w:t>
      </w:r>
      <w:r>
        <w:rPr>
          <w:rFonts w:ascii="Times New Roman" w:eastAsia="Times New Roman" w:hAnsi="Times New Roman" w:cs="Times New Roman"/>
          <w:sz w:val="24"/>
        </w:rPr>
        <w:t xml:space="preserve"> </w:t>
      </w:r>
    </w:p>
    <w:p w:rsidR="0052701D" w:rsidRDefault="00D40929">
      <w:pPr>
        <w:spacing w:after="38" w:line="238" w:lineRule="auto"/>
        <w:ind w:left="553" w:right="559" w:firstLine="698"/>
        <w:jc w:val="both"/>
      </w:pP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w:t>
      </w:r>
      <w:r>
        <w:rPr>
          <w:rFonts w:ascii="Times New Roman" w:eastAsia="Times New Roman" w:hAnsi="Times New Roman" w:cs="Times New Roman"/>
          <w:b/>
          <w:i/>
          <w:sz w:val="24"/>
        </w:rPr>
        <w:t xml:space="preserve"> </w:t>
      </w:r>
      <w:r>
        <w:rPr>
          <w:rFonts w:ascii="Times New Roman" w:eastAsia="Times New Roman" w:hAnsi="Times New Roman" w:cs="Times New Roman"/>
          <w:i/>
          <w:sz w:val="24"/>
        </w:rPr>
        <w:t>цифровая грамотность, компьютерные технологии, цифровые компетенции, навыки и умения, профессионализация, профессиональное развитие.</w:t>
      </w:r>
    </w:p>
    <w:p w:rsidR="0052701D" w:rsidRDefault="00D40929">
      <w:pPr>
        <w:spacing w:after="4" w:line="249" w:lineRule="auto"/>
        <w:ind w:left="568" w:right="572" w:firstLine="698"/>
        <w:jc w:val="both"/>
      </w:pPr>
      <w:r>
        <w:rPr>
          <w:rFonts w:ascii="Times New Roman" w:eastAsia="Times New Roman" w:hAnsi="Times New Roman" w:cs="Times New Roman"/>
          <w:b/>
          <w:sz w:val="28"/>
        </w:rPr>
        <w:t xml:space="preserve">Кіріспе. </w:t>
      </w:r>
      <w:r>
        <w:rPr>
          <w:rFonts w:ascii="Times New Roman" w:eastAsia="Times New Roman" w:hAnsi="Times New Roman" w:cs="Times New Roman"/>
          <w:sz w:val="28"/>
        </w:rPr>
        <w:t>Қазіргі қоғамда ақпараттандыру дамудың жетекші элементіне айналды, ал компьютерлік сауаттылық жоғары кәсіби тұлғаның құрамдас бөліктерінің бірі болып табылады, сондықтан жоғары білім беру жүйесіне қойылатын талаптар да өзгереді. Қазіргі уақытта Қазақстанда</w:t>
      </w:r>
      <w:r>
        <w:rPr>
          <w:rFonts w:ascii="Times New Roman" w:eastAsia="Times New Roman" w:hAnsi="Times New Roman" w:cs="Times New Roman"/>
          <w:sz w:val="28"/>
        </w:rPr>
        <w:t xml:space="preserve"> цифрлық экономиканы дамытуға бағытталған мемлекеттік бағдарламалар жұмыс істейді. "Цифрлық Қазақстан" мемлекеттік бағдарламасына сәйкес цифрландыру ел экономикасын да, кәсіби білім беру жүйесін де толығымен өзгертеді, соның салдары қазақстандықтардың өмір</w:t>
      </w:r>
      <w:r>
        <w:rPr>
          <w:rFonts w:ascii="Times New Roman" w:eastAsia="Times New Roman" w:hAnsi="Times New Roman" w:cs="Times New Roman"/>
          <w:sz w:val="28"/>
        </w:rPr>
        <w:t xml:space="preserve"> сүру сапасын арттыру, елдің тұрақты экономикалық өсуін қамтамасыз ету болып табылады.</w:t>
      </w:r>
    </w:p>
    <w:p w:rsidR="0052701D" w:rsidRDefault="00D40929">
      <w:pPr>
        <w:spacing w:after="4" w:line="249" w:lineRule="auto"/>
        <w:ind w:left="568" w:right="574" w:firstLine="698"/>
        <w:jc w:val="both"/>
      </w:pPr>
      <w:r>
        <w:rPr>
          <w:rFonts w:ascii="Times New Roman" w:eastAsia="Times New Roman" w:hAnsi="Times New Roman" w:cs="Times New Roman"/>
          <w:b/>
          <w:sz w:val="28"/>
        </w:rPr>
        <w:t xml:space="preserve">Теория. </w:t>
      </w:r>
      <w:r>
        <w:rPr>
          <w:rFonts w:ascii="Times New Roman" w:eastAsia="Times New Roman" w:hAnsi="Times New Roman" w:cs="Times New Roman"/>
          <w:sz w:val="28"/>
        </w:rPr>
        <w:t>Цифрлық білім беру кеңістігін дамыта отырып, елімізде білім беру сапасын тиімді арттыру үшін жағдай жасауға және азаматтардың барлық санаттары үшін цифрлық сауат</w:t>
      </w:r>
      <w:r>
        <w:rPr>
          <w:rFonts w:ascii="Times New Roman" w:eastAsia="Times New Roman" w:hAnsi="Times New Roman" w:cs="Times New Roman"/>
          <w:sz w:val="28"/>
        </w:rPr>
        <w:t>тылықтың кең мүмкіндіктерін қолжетімді етуге болатыны белгілі. Осыған байланысты жас мамандарға, жоғары білікті кадрларды даярлауға қойылатын талаптар артып келеді, бұл білім беру мәртебесін арттыруға және білім беру саласындағы саясатты қайта қарауға ықпа</w:t>
      </w:r>
      <w:r>
        <w:rPr>
          <w:rFonts w:ascii="Times New Roman" w:eastAsia="Times New Roman" w:hAnsi="Times New Roman" w:cs="Times New Roman"/>
          <w:sz w:val="28"/>
        </w:rPr>
        <w:t xml:space="preserve">л етеді. Сондай-ақ, цифрлық білім беру ресурстары ауылдық және қалалық мектептер арасындағы білім беру сапасындағы </w:t>
      </w:r>
      <w:r>
        <w:rPr>
          <w:rFonts w:ascii="Times New Roman" w:eastAsia="Times New Roman" w:hAnsi="Times New Roman" w:cs="Times New Roman"/>
          <w:sz w:val="28"/>
        </w:rPr>
        <w:lastRenderedPageBreak/>
        <w:t>алшақтықты қысқартуға, білім алуға тең қолжетімділікті қамтамасыз етуге мүмкіндік береді</w:t>
      </w:r>
      <w:r>
        <w:rPr>
          <w:rFonts w:ascii="Times New Roman" w:eastAsia="Times New Roman" w:hAnsi="Times New Roman" w:cs="Times New Roman"/>
          <w:b/>
          <w:sz w:val="28"/>
        </w:rPr>
        <w:t xml:space="preserve"> </w:t>
      </w:r>
      <w:r>
        <w:rPr>
          <w:rFonts w:ascii="Times New Roman" w:eastAsia="Times New Roman" w:hAnsi="Times New Roman" w:cs="Times New Roman"/>
          <w:sz w:val="28"/>
        </w:rPr>
        <w:t>[1].</w:t>
      </w:r>
    </w:p>
    <w:p w:rsidR="0052701D" w:rsidRDefault="00D40929">
      <w:pPr>
        <w:spacing w:after="4" w:line="249" w:lineRule="auto"/>
        <w:ind w:left="568" w:right="575" w:firstLine="698"/>
        <w:jc w:val="both"/>
      </w:pPr>
      <w:r>
        <w:rPr>
          <w:noProof/>
        </w:rPr>
        <mc:AlternateContent>
          <mc:Choice Requires="wpg">
            <w:drawing>
              <wp:anchor distT="0" distB="0" distL="114300" distR="114300" simplePos="0" relativeHeight="251773952" behindDoc="1" locked="0" layoutInCell="1" allowOverlap="1">
                <wp:simplePos x="0" y="0"/>
                <wp:positionH relativeFrom="column">
                  <wp:posOffset>1713230</wp:posOffset>
                </wp:positionH>
                <wp:positionV relativeFrom="paragraph">
                  <wp:posOffset>605480</wp:posOffset>
                </wp:positionV>
                <wp:extent cx="80645" cy="203835"/>
                <wp:effectExtent l="0" t="0" r="0" b="0"/>
                <wp:wrapNone/>
                <wp:docPr id="1024254" name="Group 1024254"/>
                <wp:cNvGraphicFramePr/>
                <a:graphic xmlns:a="http://schemas.openxmlformats.org/drawingml/2006/main">
                  <a:graphicData uri="http://schemas.microsoft.com/office/word/2010/wordprocessingGroup">
                    <wpg:wgp>
                      <wpg:cNvGrpSpPr/>
                      <wpg:grpSpPr>
                        <a:xfrm>
                          <a:off x="0" y="0"/>
                          <a:ext cx="80645" cy="203835"/>
                          <a:chOff x="0" y="0"/>
                          <a:chExt cx="80645" cy="203835"/>
                        </a:xfrm>
                      </wpg:grpSpPr>
                      <wps:wsp>
                        <wps:cNvPr id="1065613" name="Shape 1065613"/>
                        <wps:cNvSpPr/>
                        <wps:spPr>
                          <a:xfrm>
                            <a:off x="0" y="0"/>
                            <a:ext cx="80645" cy="203835"/>
                          </a:xfrm>
                          <a:custGeom>
                            <a:avLst/>
                            <a:gdLst/>
                            <a:ahLst/>
                            <a:cxnLst/>
                            <a:rect l="0" t="0" r="0" b="0"/>
                            <a:pathLst>
                              <a:path w="80645" h="203835">
                                <a:moveTo>
                                  <a:pt x="0" y="0"/>
                                </a:moveTo>
                                <a:lnTo>
                                  <a:pt x="80645" y="0"/>
                                </a:lnTo>
                                <a:lnTo>
                                  <a:pt x="80645" y="203835"/>
                                </a:lnTo>
                                <a:lnTo>
                                  <a:pt x="0" y="203835"/>
                                </a:lnTo>
                                <a:lnTo>
                                  <a:pt x="0" y="0"/>
                                </a:lnTo>
                              </a:path>
                            </a:pathLst>
                          </a:custGeom>
                          <a:ln w="0" cap="flat">
                            <a:miter lim="127000"/>
                          </a:ln>
                        </wps:spPr>
                        <wps:style>
                          <a:lnRef idx="0">
                            <a:srgbClr val="000000">
                              <a:alpha val="0"/>
                            </a:srgbClr>
                          </a:lnRef>
                          <a:fillRef idx="1">
                            <a:srgbClr val="F5F5F5"/>
                          </a:fillRef>
                          <a:effectRef idx="0">
                            <a:scrgbClr r="0" g="0" b="0"/>
                          </a:effectRef>
                          <a:fontRef idx="none"/>
                        </wps:style>
                        <wps:bodyPr/>
                      </wps:wsp>
                    </wpg:wgp>
                  </a:graphicData>
                </a:graphic>
              </wp:anchor>
            </w:drawing>
          </mc:Choice>
          <mc:Fallback xmlns:a="http://schemas.openxmlformats.org/drawingml/2006/main">
            <w:pict>
              <v:group id="Group 1024254" style="width:6.35001pt;height:16.05pt;position:absolute;z-index:-2147483610;mso-position-horizontal-relative:text;mso-position-horizontal:absolute;margin-left:134.9pt;mso-position-vertical-relative:text;margin-top:47.6756pt;" coordsize="806,2038">
                <v:shape id="Shape 1065614" style="position:absolute;width:806;height:2038;left:0;top:0;" coordsize="80645,203835" path="m0,0l80645,0l80645,203835l0,203835l0,0">
                  <v:stroke weight="0pt" endcap="flat" joinstyle="miter" miterlimit="10" on="false" color="#000000" opacity="0"/>
                  <v:fill on="true" color="#f5f5f5"/>
                </v:shape>
              </v:group>
            </w:pict>
          </mc:Fallback>
        </mc:AlternateContent>
      </w:r>
      <w:r>
        <w:rPr>
          <w:rFonts w:ascii="Times New Roman" w:eastAsia="Times New Roman" w:hAnsi="Times New Roman" w:cs="Times New Roman"/>
          <w:sz w:val="28"/>
        </w:rPr>
        <w:t>«Цифрлық экономика» термині бастапқыда «өндірі</w:t>
      </w:r>
      <w:r>
        <w:rPr>
          <w:rFonts w:ascii="Times New Roman" w:eastAsia="Times New Roman" w:hAnsi="Times New Roman" w:cs="Times New Roman"/>
          <w:sz w:val="28"/>
        </w:rPr>
        <w:t>стің негізгі факторы цифрлық түрдегі деректер, үлкен көлемдерді өңдеу және талдау нәтижесін пайдалану болып табылатын» қызметтің анықтамасы ретінде енгізілген [2,8б.]. Бұл терминнің күнделікті өмірге енуі «цифрлық білім беру», «цифрлық сауаттылық» сияқты ұ</w:t>
      </w:r>
      <w:r>
        <w:rPr>
          <w:rFonts w:ascii="Times New Roman" w:eastAsia="Times New Roman" w:hAnsi="Times New Roman" w:cs="Times New Roman"/>
          <w:sz w:val="28"/>
        </w:rPr>
        <w:t>ғымдардың пайда болуына түрткі болды.</w:t>
      </w:r>
    </w:p>
    <w:p w:rsidR="0052701D" w:rsidRDefault="00D40929">
      <w:pPr>
        <w:spacing w:after="4" w:line="249" w:lineRule="auto"/>
        <w:ind w:left="568" w:right="573" w:firstLine="698"/>
        <w:jc w:val="both"/>
      </w:pPr>
      <w:r>
        <w:rPr>
          <w:rFonts w:ascii="Times New Roman" w:eastAsia="Times New Roman" w:hAnsi="Times New Roman" w:cs="Times New Roman"/>
          <w:b/>
          <w:sz w:val="28"/>
        </w:rPr>
        <w:t xml:space="preserve">Деректер мен әдістер. </w:t>
      </w:r>
      <w:r>
        <w:rPr>
          <w:rFonts w:ascii="Times New Roman" w:eastAsia="Times New Roman" w:hAnsi="Times New Roman" w:cs="Times New Roman"/>
          <w:sz w:val="28"/>
        </w:rPr>
        <w:t>Мақалада "цифрлық білім беру" ұғымы Б.С.Гершунскийдің көзқарасы бойынша білім беруді мазмұнды түсіндірудің төрт аспектісін бөліп көрсету туралы қарастырылады: Білім беру құндылық ретінде (мемлекет</w:t>
      </w:r>
      <w:r>
        <w:rPr>
          <w:rFonts w:ascii="Times New Roman" w:eastAsia="Times New Roman" w:hAnsi="Times New Roman" w:cs="Times New Roman"/>
          <w:sz w:val="28"/>
        </w:rPr>
        <w:t xml:space="preserve">тік, қоғамдық, жеке), білім беру жүйе ретінде (белгілі бір қасиеттері бар объектілердің өзара байланысты жиынтығы: икемділік, динамизм, өзгергіштік, бейімделу, тұрақтылық, сабақтастық, тұтастық), білім беру процесс ретінде (мақсаттардан нәтижеге қозғалыс, </w:t>
      </w:r>
      <w:r>
        <w:rPr>
          <w:rFonts w:ascii="Times New Roman" w:eastAsia="Times New Roman" w:hAnsi="Times New Roman" w:cs="Times New Roman"/>
          <w:sz w:val="28"/>
        </w:rPr>
        <w:t xml:space="preserve">білім алушы мен білім алушылардың және білім алушылардың бір-бірімен белгілі бір ұйымдастырушылық нысандарда оқытудың әртүрлі құралдарын тарта отырып, субъектілік-объектілік және субъектілік-субъектілік өзара іс-қимылы), </w:t>
      </w:r>
      <w:r>
        <w:rPr>
          <w:rFonts w:ascii="Times New Roman" w:eastAsia="Times New Roman" w:hAnsi="Times New Roman" w:cs="Times New Roman"/>
          <w:color w:val="202124"/>
          <w:sz w:val="28"/>
        </w:rPr>
        <w:t>нәтиже ретіндегі білім беру (сауатт</w:t>
      </w:r>
      <w:r>
        <w:rPr>
          <w:rFonts w:ascii="Times New Roman" w:eastAsia="Times New Roman" w:hAnsi="Times New Roman" w:cs="Times New Roman"/>
          <w:color w:val="202124"/>
          <w:sz w:val="28"/>
        </w:rPr>
        <w:t xml:space="preserve">ылық - білім беру - кәсіби құзіреттілік – мәдениет және менталитет) </w:t>
      </w:r>
      <w:r>
        <w:rPr>
          <w:rFonts w:ascii="Times New Roman" w:eastAsia="Times New Roman" w:hAnsi="Times New Roman" w:cs="Times New Roman"/>
          <w:sz w:val="28"/>
        </w:rPr>
        <w:t>[3, 68 б.].</w:t>
      </w:r>
    </w:p>
    <w:p w:rsidR="0052701D" w:rsidRDefault="00D40929">
      <w:pPr>
        <w:spacing w:after="4" w:line="249" w:lineRule="auto"/>
        <w:ind w:left="568" w:right="574" w:firstLine="698"/>
        <w:jc w:val="both"/>
      </w:pPr>
      <w:r>
        <w:rPr>
          <w:rFonts w:ascii="Times New Roman" w:eastAsia="Times New Roman" w:hAnsi="Times New Roman" w:cs="Times New Roman"/>
          <w:sz w:val="28"/>
        </w:rPr>
        <w:t>Біз "Цифрлық сауаттылық" ұғымының бірнеше анықтамасын келтіру керек деп санаймыз, бірақ біз мақаланың шеңберімен шектелеміз, сондықтан анықтамаға тоқталамыз: цифрлық сауаттылық</w:t>
      </w:r>
      <w:r>
        <w:rPr>
          <w:rFonts w:ascii="Times New Roman" w:eastAsia="Times New Roman" w:hAnsi="Times New Roman" w:cs="Times New Roman"/>
          <w:sz w:val="28"/>
        </w:rPr>
        <w:t xml:space="preserve"> - адамның ақпараттық технологияларды күнделікті өмірде және өндірістік қызметте қолдана алуы және білуі, бұл ақпаратты іздеу және саналы қабылдау, бұл цифрлық ортаның тәуекелдерін талдау және қорғану қабілеті.</w:t>
      </w:r>
    </w:p>
    <w:p w:rsidR="0052701D" w:rsidRDefault="00D40929">
      <w:pPr>
        <w:spacing w:after="4" w:line="249" w:lineRule="auto"/>
        <w:ind w:left="568" w:right="573" w:firstLine="698"/>
        <w:jc w:val="both"/>
      </w:pPr>
      <w:r>
        <w:rPr>
          <w:rFonts w:ascii="Times New Roman" w:eastAsia="Times New Roman" w:hAnsi="Times New Roman" w:cs="Times New Roman"/>
          <w:sz w:val="28"/>
        </w:rPr>
        <w:t>Қазіргі уақытта цифрлық сауаттылықтың үш түрі</w:t>
      </w:r>
      <w:r>
        <w:rPr>
          <w:rFonts w:ascii="Times New Roman" w:eastAsia="Times New Roman" w:hAnsi="Times New Roman" w:cs="Times New Roman"/>
          <w:sz w:val="28"/>
        </w:rPr>
        <w:t xml:space="preserve"> анықталды: техникалық сауаттылық, медиа сауаттылық, эмоционалды сауаттылық [4, 111-бет]. Желілерде пайдаланушы айналып өте алатын қауіптер бар. Осыған байланысты студент желіде сәтті жұмыс істеу үшін қажетті біліктер мен дағдыларға ие болуы керек, соның і</w:t>
      </w:r>
      <w:r>
        <w:rPr>
          <w:rFonts w:ascii="Times New Roman" w:eastAsia="Times New Roman" w:hAnsi="Times New Roman" w:cs="Times New Roman"/>
          <w:sz w:val="28"/>
        </w:rPr>
        <w:t>шінде артық ақпаратты болдырмау мүмкіндігі. Білім беруді кәсібилендірудің тиімді жүйесі ретінде цифрлық сауаттылықтың негізгі міндеттерін қарастырайық: заманауи ақпараттық технологиялар контекстінде мамандарды даярлау сапасын арттыру; оқытудың белсенді әді</w:t>
      </w:r>
      <w:r>
        <w:rPr>
          <w:rFonts w:ascii="Times New Roman" w:eastAsia="Times New Roman" w:hAnsi="Times New Roman" w:cs="Times New Roman"/>
          <w:sz w:val="28"/>
        </w:rPr>
        <w:t xml:space="preserve">стерін қолдану, креативті ойлау шығармашылығын дамыту; білім беру қызметінің әртүрлі түрлерін біріктіру (оқу, зерттеу және т.б.); оқытуды даралау. </w:t>
      </w:r>
    </w:p>
    <w:p w:rsidR="0052701D" w:rsidRDefault="00D40929">
      <w:pPr>
        <w:spacing w:after="4" w:line="249" w:lineRule="auto"/>
        <w:ind w:left="568" w:right="576" w:firstLine="698"/>
        <w:jc w:val="both"/>
      </w:pPr>
      <w:r>
        <w:rPr>
          <w:rFonts w:ascii="Times New Roman" w:eastAsia="Times New Roman" w:hAnsi="Times New Roman" w:cs="Times New Roman"/>
          <w:sz w:val="28"/>
        </w:rPr>
        <w:t>Цифрландырудың деректерді қорғауды талап ететін, сондай-ақ интернет-ресурстарға тең емес қолжетімділікті, ад</w:t>
      </w:r>
      <w:r>
        <w:rPr>
          <w:rFonts w:ascii="Times New Roman" w:eastAsia="Times New Roman" w:hAnsi="Times New Roman" w:cs="Times New Roman"/>
          <w:sz w:val="28"/>
        </w:rPr>
        <w:t>амдардың әл-ауқаты деңгейінің нашарлауын ескере отырып, киберқауіптер қаупі сияқты өзінің теріс жақтары бар екенін атап өткен жөн. Сондай-ақ ғылым мен қазіргі заманғы технологиялардың дамуы техника дамуының жоғары деңгейі мен оларды оқу процесінде пайдалан</w:t>
      </w:r>
      <w:r>
        <w:rPr>
          <w:rFonts w:ascii="Times New Roman" w:eastAsia="Times New Roman" w:hAnsi="Times New Roman" w:cs="Times New Roman"/>
          <w:sz w:val="28"/>
        </w:rPr>
        <w:t>у тиімділігінің аздығы арасындағы сәйкессіздіктің туындауының сөзсіздігін болжайды.</w:t>
      </w:r>
    </w:p>
    <w:p w:rsidR="0052701D" w:rsidRDefault="00D40929">
      <w:pPr>
        <w:spacing w:after="4" w:line="249" w:lineRule="auto"/>
        <w:ind w:left="568" w:right="574" w:firstLine="698"/>
        <w:jc w:val="both"/>
      </w:pPr>
      <w:r>
        <w:rPr>
          <w:rFonts w:ascii="Times New Roman" w:eastAsia="Times New Roman" w:hAnsi="Times New Roman" w:cs="Times New Roman"/>
          <w:sz w:val="28"/>
        </w:rPr>
        <w:lastRenderedPageBreak/>
        <w:t>Барлық студенттер ақпаратпен жұмыс істеудің бастапқы дағдыларына ие (интернеттен іздеу, ақпарат беру және т.б.), күнделікті өмірде өз гаджеттерін еркін пайдаланады (Вконтак</w:t>
      </w:r>
      <w:r>
        <w:rPr>
          <w:rFonts w:ascii="Times New Roman" w:eastAsia="Times New Roman" w:hAnsi="Times New Roman" w:cs="Times New Roman"/>
          <w:sz w:val="28"/>
        </w:rPr>
        <w:t>те, Facebook, Twitter, Instagram, Telegram және ақпаратты тарату желілерінің басқа да мүмкіндіктері), бірақ оларда оқу процесінде цифрлық технологияларды пайдалануда қиындықтар пайда болады, яғни білім алушы ақпаратпен жұмыс істей алмайды, қажетті ақпаратт</w:t>
      </w:r>
      <w:r>
        <w:rPr>
          <w:rFonts w:ascii="Times New Roman" w:eastAsia="Times New Roman" w:hAnsi="Times New Roman" w:cs="Times New Roman"/>
          <w:sz w:val="28"/>
        </w:rPr>
        <w:t xml:space="preserve">ы таңдай алмайды. Демек, студенттерді цифрлық сауаттылыққа үйрету қажеттілігі туындайды. </w:t>
      </w:r>
    </w:p>
    <w:p w:rsidR="0052701D" w:rsidRDefault="00D40929">
      <w:pPr>
        <w:spacing w:after="4" w:line="249" w:lineRule="auto"/>
        <w:ind w:left="568" w:right="572" w:firstLine="698"/>
        <w:jc w:val="both"/>
      </w:pPr>
      <w:r>
        <w:rPr>
          <w:rFonts w:ascii="Times New Roman" w:eastAsia="Times New Roman" w:hAnsi="Times New Roman" w:cs="Times New Roman"/>
          <w:sz w:val="28"/>
        </w:rPr>
        <w:t>Оқытудың ескі әдістері (рефераттар, типтік тапсырмалар, қарапайым тесттер) енді тиімді емес. Білім беруді дамытудың қазіргі кезеңінде оқытушының міндеті студентте кел</w:t>
      </w:r>
      <w:r>
        <w:rPr>
          <w:rFonts w:ascii="Times New Roman" w:eastAsia="Times New Roman" w:hAnsi="Times New Roman" w:cs="Times New Roman"/>
          <w:sz w:val="28"/>
        </w:rPr>
        <w:t>есілерді үйрету: зерттелетін проблемаға сәйкес келетін бағытта ақпарат іздеуді жүргізу; оқытушы студентті кілт сөздермен қамтамасыз ететін қосымша ақпарат пен ақпараттық ресурстарды бөлу; аннотацияларды оқу, қарастырылған тақырып бойынша глоссарийді зертте</w:t>
      </w:r>
      <w:r>
        <w:rPr>
          <w:rFonts w:ascii="Times New Roman" w:eastAsia="Times New Roman" w:hAnsi="Times New Roman" w:cs="Times New Roman"/>
          <w:sz w:val="28"/>
        </w:rPr>
        <w:t xml:space="preserve">у. Студенттің зерттеуші ретіндегі жұмысы келесі схема бойынша жүргізілуі мүмкін: </w:t>
      </w:r>
      <w:r>
        <w:rPr>
          <w:rFonts w:ascii="Times New Roman" w:eastAsia="Times New Roman" w:hAnsi="Times New Roman" w:cs="Times New Roman"/>
          <w:i/>
          <w:sz w:val="28"/>
        </w:rPr>
        <w:t>Студент → Зерттеу тақырыбы → Кітапхана, Интернет-ресурстар → Ақпаратты талдау → Талқылау (аудиторияда, желіде) → Зерттеу тақырыбын тұжырымдау → Аннотация → Эссе → Презентация жасау → Көпшілік алдында сөйлеу.</w:t>
      </w:r>
    </w:p>
    <w:p w:rsidR="0052701D" w:rsidRDefault="00D40929">
      <w:pPr>
        <w:spacing w:after="4" w:line="249" w:lineRule="auto"/>
        <w:ind w:left="568" w:right="576" w:firstLine="698"/>
        <w:jc w:val="both"/>
      </w:pPr>
      <w:r>
        <w:rPr>
          <w:rFonts w:ascii="Times New Roman" w:eastAsia="Times New Roman" w:hAnsi="Times New Roman" w:cs="Times New Roman"/>
          <w:sz w:val="28"/>
        </w:rPr>
        <w:t>Студентке осы схема бойынша жұмыс не береді? Бір</w:t>
      </w:r>
      <w:r>
        <w:rPr>
          <w:rFonts w:ascii="Times New Roman" w:eastAsia="Times New Roman" w:hAnsi="Times New Roman" w:cs="Times New Roman"/>
          <w:sz w:val="28"/>
        </w:rPr>
        <w:t>іншіден, ақпаратты талдау қабілетіне ие болу, сыни көзқарасты дамыту, Интернеттен алынған ақпараттың дұрыстығын тексеру қажеттілігі, ақпаратпен мақсатты түрде жұмыс істей білу (іздеу, іріктеу), Ақпараттық технологиялар құралдарымен өңдеу және беру дағдылар</w:t>
      </w:r>
      <w:r>
        <w:rPr>
          <w:rFonts w:ascii="Times New Roman" w:eastAsia="Times New Roman" w:hAnsi="Times New Roman" w:cs="Times New Roman"/>
          <w:sz w:val="28"/>
        </w:rPr>
        <w:t>ын игеру.</w:t>
      </w:r>
    </w:p>
    <w:p w:rsidR="0052701D" w:rsidRDefault="00D40929">
      <w:pPr>
        <w:spacing w:after="4" w:line="249" w:lineRule="auto"/>
        <w:ind w:left="568"/>
        <w:jc w:val="both"/>
      </w:pPr>
      <w:r>
        <w:rPr>
          <w:rFonts w:ascii="Times New Roman" w:eastAsia="Times New Roman" w:hAnsi="Times New Roman" w:cs="Times New Roman"/>
          <w:sz w:val="28"/>
        </w:rPr>
        <w:t xml:space="preserve">Осылайша, жаңа білім мен дағдыларды игере отырып, студенттің оқуға деген ынтасы артады. </w:t>
      </w:r>
    </w:p>
    <w:p w:rsidR="0052701D" w:rsidRDefault="00D40929">
      <w:pPr>
        <w:spacing w:after="4" w:line="249" w:lineRule="auto"/>
        <w:ind w:left="568" w:right="575" w:firstLine="698"/>
        <w:jc w:val="both"/>
      </w:pPr>
      <w:r>
        <w:rPr>
          <w:rFonts w:ascii="Times New Roman" w:eastAsia="Times New Roman" w:hAnsi="Times New Roman" w:cs="Times New Roman"/>
          <w:sz w:val="28"/>
        </w:rPr>
        <w:t>Жұмыс берушілердің жас мамандарға қоятын талаптары үнемі өсіп келеді. Осыған байланысты, ЖОО білім алушылары үшін цифрлық сауаттылық білім беруді кәсібилендірудің тиімді жүйесі болуы үшін әр түрлі мамандықтар үшін тиісті бағыттарды таңдау қажет деп санаймы</w:t>
      </w:r>
      <w:r>
        <w:rPr>
          <w:rFonts w:ascii="Times New Roman" w:eastAsia="Times New Roman" w:hAnsi="Times New Roman" w:cs="Times New Roman"/>
          <w:sz w:val="28"/>
        </w:rPr>
        <w:t>з, мысалы, компьютерлік бағдарламалық оқыту – белгілі бір мәселелерді шешу кезінде бағдарламалардың дайын пакеттерін пайдалану; компьютердің көмегімен оқу – компьютердің көмегімен жаңа тақырыппен өз бетінше танысу, өздігінен білім алу; компьютерлік оқыту –</w:t>
      </w:r>
      <w:r>
        <w:rPr>
          <w:rFonts w:ascii="Times New Roman" w:eastAsia="Times New Roman" w:hAnsi="Times New Roman" w:cs="Times New Roman"/>
          <w:sz w:val="28"/>
        </w:rPr>
        <w:t xml:space="preserve"> білім алушылардың дербестігін талап ететін бағдарламалық өнімдермен жұмыс істеу; компьютерлік оқыту – білім алушыларға білім берудің белгілі бір нысандары.</w:t>
      </w:r>
    </w:p>
    <w:p w:rsidR="0052701D" w:rsidRDefault="00D40929">
      <w:pPr>
        <w:spacing w:after="4" w:line="249" w:lineRule="auto"/>
        <w:ind w:left="568" w:right="575" w:firstLine="698"/>
        <w:jc w:val="both"/>
      </w:pPr>
      <w:r>
        <w:rPr>
          <w:rFonts w:ascii="Times New Roman" w:eastAsia="Times New Roman" w:hAnsi="Times New Roman" w:cs="Times New Roman"/>
          <w:sz w:val="28"/>
        </w:rPr>
        <w:t>Біздің ойымызша, егер бұл арнайы пәндер бойынша бейне дәрістер мен практикалық курстардан, қашықтық</w:t>
      </w:r>
      <w:r>
        <w:rPr>
          <w:rFonts w:ascii="Times New Roman" w:eastAsia="Times New Roman" w:hAnsi="Times New Roman" w:cs="Times New Roman"/>
          <w:sz w:val="28"/>
        </w:rPr>
        <w:t>тан оқыту жүйелерінен, телеконференциялар мен вебинарлардан, 3D модельдеу мен басып шығарудан тұратын кешен болса, білімді кәсібилендіру тиімді.</w:t>
      </w:r>
    </w:p>
    <w:p w:rsidR="0052701D" w:rsidRDefault="00D40929">
      <w:pPr>
        <w:spacing w:after="4" w:line="249" w:lineRule="auto"/>
        <w:ind w:left="568" w:right="570" w:firstLine="698"/>
        <w:jc w:val="both"/>
      </w:pPr>
      <w:r>
        <w:rPr>
          <w:rFonts w:ascii="Times New Roman" w:eastAsia="Times New Roman" w:hAnsi="Times New Roman" w:cs="Times New Roman"/>
          <w:sz w:val="28"/>
        </w:rPr>
        <w:t>Білім беруді кәсібилендірудің негізгі мақсаттарының бірі - білім алушыларда креативті ойлауды дамыту, өз білімі</w:t>
      </w:r>
      <w:r>
        <w:rPr>
          <w:rFonts w:ascii="Times New Roman" w:eastAsia="Times New Roman" w:hAnsi="Times New Roman" w:cs="Times New Roman"/>
          <w:sz w:val="28"/>
        </w:rPr>
        <w:t xml:space="preserve">н өндірістік </w:t>
      </w:r>
      <w:r>
        <w:rPr>
          <w:rFonts w:ascii="Times New Roman" w:eastAsia="Times New Roman" w:hAnsi="Times New Roman" w:cs="Times New Roman"/>
          <w:color w:val="202124"/>
          <w:sz w:val="28"/>
        </w:rPr>
        <w:t xml:space="preserve">іс-әрекетте </w:t>
      </w:r>
      <w:r>
        <w:rPr>
          <w:rFonts w:ascii="Times New Roman" w:eastAsia="Times New Roman" w:hAnsi="Times New Roman" w:cs="Times New Roman"/>
          <w:sz w:val="28"/>
        </w:rPr>
        <w:t xml:space="preserve">қолдана білу, </w:t>
      </w:r>
      <w:r>
        <w:rPr>
          <w:rFonts w:ascii="Times New Roman" w:eastAsia="Times New Roman" w:hAnsi="Times New Roman" w:cs="Times New Roman"/>
          <w:color w:val="202124"/>
          <w:sz w:val="28"/>
        </w:rPr>
        <w:t>үздіксіз оқуға дайын болу</w:t>
      </w:r>
      <w:r>
        <w:rPr>
          <w:rFonts w:ascii="Times New Roman" w:eastAsia="Times New Roman" w:hAnsi="Times New Roman" w:cs="Times New Roman"/>
          <w:sz w:val="28"/>
        </w:rPr>
        <w:t xml:space="preserve">, жаңа дағдыларды игеру процесінде барлық прогрессивті </w:t>
      </w:r>
      <w:r>
        <w:rPr>
          <w:rFonts w:ascii="Times New Roman" w:eastAsia="Times New Roman" w:hAnsi="Times New Roman" w:cs="Times New Roman"/>
          <w:color w:val="202124"/>
          <w:sz w:val="28"/>
        </w:rPr>
        <w:t>нәрселерді</w:t>
      </w:r>
      <w:r>
        <w:rPr>
          <w:rFonts w:ascii="Times New Roman" w:eastAsia="Times New Roman" w:hAnsi="Times New Roman" w:cs="Times New Roman"/>
          <w:sz w:val="28"/>
        </w:rPr>
        <w:t xml:space="preserve"> қабылдау және өмір бойы оқу қабілеті </w:t>
      </w:r>
      <w:r>
        <w:rPr>
          <w:rFonts w:ascii="Times New Roman" w:eastAsia="Times New Roman" w:hAnsi="Times New Roman" w:cs="Times New Roman"/>
          <w:sz w:val="28"/>
        </w:rPr>
        <w:lastRenderedPageBreak/>
        <w:t>болып табылады. Цифрлық сауаттылық өз уақытын тиімді ұйымдастыруға, ізденіс жұмысын артты</w:t>
      </w:r>
      <w:r>
        <w:rPr>
          <w:rFonts w:ascii="Times New Roman" w:eastAsia="Times New Roman" w:hAnsi="Times New Roman" w:cs="Times New Roman"/>
          <w:sz w:val="28"/>
        </w:rPr>
        <w:t xml:space="preserve">руға және қажет емес ақпаратты сұрыптауға ықпал етеді, бұл жас маманның бәсекеге </w:t>
      </w:r>
      <w:r>
        <w:rPr>
          <w:rFonts w:ascii="Times New Roman" w:eastAsia="Times New Roman" w:hAnsi="Times New Roman" w:cs="Times New Roman"/>
          <w:color w:val="202124"/>
          <w:sz w:val="28"/>
        </w:rPr>
        <w:t>қабілеттілігін арттыруға ықпал етеді.</w:t>
      </w:r>
    </w:p>
    <w:p w:rsidR="0052701D" w:rsidRDefault="00D40929">
      <w:pPr>
        <w:spacing w:after="4" w:line="249" w:lineRule="auto"/>
        <w:ind w:left="568" w:right="569" w:firstLine="698"/>
        <w:jc w:val="both"/>
      </w:pPr>
      <w:r>
        <w:rPr>
          <w:rFonts w:ascii="Times New Roman" w:eastAsia="Times New Roman" w:hAnsi="Times New Roman" w:cs="Times New Roman"/>
          <w:sz w:val="28"/>
        </w:rPr>
        <w:t>Ақпараттық орта дамуының қазіргі кезеңінде білім беруді кәсібилендірудің проблемалары бар, мысалы, цифрландыру дәуірінде қажетті кәсіби қ</w:t>
      </w:r>
      <w:r>
        <w:rPr>
          <w:rFonts w:ascii="Times New Roman" w:eastAsia="Times New Roman" w:hAnsi="Times New Roman" w:cs="Times New Roman"/>
          <w:sz w:val="28"/>
        </w:rPr>
        <w:t xml:space="preserve">асиеттердің қалыптасу динамикасын зерттеу қажеттілігі; қоғамды цифрландыруға енгізілген болашақ маманның заманауи моделін зерттеу қажеттілігі; цифрлық </w:t>
      </w:r>
      <w:r>
        <w:rPr>
          <w:rFonts w:ascii="Times New Roman" w:eastAsia="Times New Roman" w:hAnsi="Times New Roman" w:cs="Times New Roman"/>
          <w:color w:val="202124"/>
          <w:sz w:val="28"/>
        </w:rPr>
        <w:t xml:space="preserve">құзыреттіліктерді дамыту тұрғысынан </w:t>
      </w:r>
      <w:r>
        <w:rPr>
          <w:rFonts w:ascii="Times New Roman" w:eastAsia="Times New Roman" w:hAnsi="Times New Roman" w:cs="Times New Roman"/>
          <w:sz w:val="28"/>
        </w:rPr>
        <w:t>білім берудегі инновациялық технологияларды нақтылау қажеттілігі; ақп</w:t>
      </w:r>
      <w:r>
        <w:rPr>
          <w:rFonts w:ascii="Times New Roman" w:eastAsia="Times New Roman" w:hAnsi="Times New Roman" w:cs="Times New Roman"/>
          <w:sz w:val="28"/>
        </w:rPr>
        <w:t xml:space="preserve">араттық және цифрлық </w:t>
      </w:r>
      <w:r>
        <w:rPr>
          <w:rFonts w:ascii="Times New Roman" w:eastAsia="Times New Roman" w:hAnsi="Times New Roman" w:cs="Times New Roman"/>
          <w:color w:val="202124"/>
          <w:sz w:val="28"/>
        </w:rPr>
        <w:t xml:space="preserve">құзыреттілік деңгейінің төмендігінің </w:t>
      </w:r>
      <w:r>
        <w:rPr>
          <w:rFonts w:ascii="Times New Roman" w:eastAsia="Times New Roman" w:hAnsi="Times New Roman" w:cs="Times New Roman"/>
          <w:sz w:val="28"/>
        </w:rPr>
        <w:t xml:space="preserve">себептерін анықтау, жоғарыда аталған барлық </w:t>
      </w:r>
      <w:r>
        <w:rPr>
          <w:rFonts w:ascii="Times New Roman" w:eastAsia="Times New Roman" w:hAnsi="Times New Roman" w:cs="Times New Roman"/>
          <w:color w:val="202124"/>
          <w:sz w:val="28"/>
        </w:rPr>
        <w:t>байланыстарды</w:t>
      </w:r>
      <w:r>
        <w:rPr>
          <w:rFonts w:ascii="Times New Roman" w:eastAsia="Times New Roman" w:hAnsi="Times New Roman" w:cs="Times New Roman"/>
          <w:sz w:val="28"/>
        </w:rPr>
        <w:t xml:space="preserve"> зерттеу [4, 119-бет].</w:t>
      </w:r>
    </w:p>
    <w:p w:rsidR="0052701D" w:rsidRDefault="00D40929">
      <w:pPr>
        <w:spacing w:after="4" w:line="249" w:lineRule="auto"/>
        <w:ind w:left="568" w:right="572" w:firstLine="698"/>
        <w:jc w:val="both"/>
      </w:pPr>
      <w:r>
        <w:rPr>
          <w:rFonts w:ascii="Times New Roman" w:eastAsia="Times New Roman" w:hAnsi="Times New Roman" w:cs="Times New Roman"/>
          <w:sz w:val="28"/>
        </w:rPr>
        <w:t>Білім алушылардың цифрлық сауаттылығының олардың кәсіби дамуына әсер ету процесін зерттеу цифрлық сауаттылық ұғымын та</w:t>
      </w:r>
      <w:r>
        <w:rPr>
          <w:rFonts w:ascii="Times New Roman" w:eastAsia="Times New Roman" w:hAnsi="Times New Roman" w:cs="Times New Roman"/>
          <w:sz w:val="28"/>
        </w:rPr>
        <w:t xml:space="preserve">р мағынада, бір мамандық </w:t>
      </w:r>
      <w:r>
        <w:rPr>
          <w:rFonts w:ascii="Times New Roman" w:eastAsia="Times New Roman" w:hAnsi="Times New Roman" w:cs="Times New Roman"/>
          <w:color w:val="202124"/>
          <w:sz w:val="28"/>
        </w:rPr>
        <w:t>аясында қарастыруға,</w:t>
      </w:r>
      <w:r>
        <w:rPr>
          <w:rFonts w:ascii="Times New Roman" w:eastAsia="Times New Roman" w:hAnsi="Times New Roman" w:cs="Times New Roman"/>
          <w:sz w:val="28"/>
        </w:rPr>
        <w:t xml:space="preserve"> </w:t>
      </w:r>
      <w:r>
        <w:rPr>
          <w:rFonts w:ascii="Times New Roman" w:eastAsia="Times New Roman" w:hAnsi="Times New Roman" w:cs="Times New Roman"/>
          <w:color w:val="202124"/>
          <w:sz w:val="28"/>
        </w:rPr>
        <w:t xml:space="preserve">диагностикалық әдістерді табуға </w:t>
      </w:r>
      <w:r>
        <w:rPr>
          <w:rFonts w:ascii="Times New Roman" w:eastAsia="Times New Roman" w:hAnsi="Times New Roman" w:cs="Times New Roman"/>
          <w:sz w:val="28"/>
        </w:rPr>
        <w:t>және білім алушылардың цифрлық сауаттылығының басты белгілерін бөліп көрсету негізінде сауатты маманның моделін жасауға мүмкіндік береді. Осылайша, цифрлық сауаттылық - бұл, ең а</w:t>
      </w:r>
      <w:r>
        <w:rPr>
          <w:rFonts w:ascii="Times New Roman" w:eastAsia="Times New Roman" w:hAnsi="Times New Roman" w:cs="Times New Roman"/>
          <w:sz w:val="28"/>
        </w:rPr>
        <w:t xml:space="preserve">лдымен, маманның еңбек </w:t>
      </w:r>
      <w:r>
        <w:rPr>
          <w:rFonts w:ascii="Times New Roman" w:eastAsia="Times New Roman" w:hAnsi="Times New Roman" w:cs="Times New Roman"/>
          <w:color w:val="202124"/>
          <w:sz w:val="28"/>
        </w:rPr>
        <w:t xml:space="preserve">өнімділігін арттыру құралы болып табылады. Компьютерлік сауаттылықтың құрамдас бөліктерін толық меңгермеген </w:t>
      </w:r>
      <w:r>
        <w:rPr>
          <w:rFonts w:ascii="Times New Roman" w:eastAsia="Times New Roman" w:hAnsi="Times New Roman" w:cs="Times New Roman"/>
          <w:sz w:val="28"/>
        </w:rPr>
        <w:t>маман қазіргі еңбек нарығында бәсекеге қабілетті емес.</w:t>
      </w:r>
    </w:p>
    <w:p w:rsidR="0052701D" w:rsidRDefault="00D40929">
      <w:pPr>
        <w:spacing w:after="241" w:line="249" w:lineRule="auto"/>
        <w:ind w:left="568" w:right="575" w:firstLine="698"/>
        <w:jc w:val="both"/>
      </w:pPr>
      <w:r>
        <w:rPr>
          <w:rFonts w:ascii="Times New Roman" w:eastAsia="Times New Roman" w:hAnsi="Times New Roman" w:cs="Times New Roman"/>
          <w:b/>
          <w:color w:val="202124"/>
          <w:sz w:val="28"/>
        </w:rPr>
        <w:t>Қорытынды</w:t>
      </w:r>
      <w:r>
        <w:rPr>
          <w:rFonts w:ascii="Times New Roman" w:eastAsia="Times New Roman" w:hAnsi="Times New Roman" w:cs="Times New Roman"/>
          <w:color w:val="202124"/>
          <w:sz w:val="28"/>
        </w:rPr>
        <w:t xml:space="preserve">. </w:t>
      </w:r>
      <w:r>
        <w:rPr>
          <w:rFonts w:ascii="Times New Roman" w:eastAsia="Times New Roman" w:hAnsi="Times New Roman" w:cs="Times New Roman"/>
          <w:sz w:val="28"/>
        </w:rPr>
        <w:t>Цифрлық технологиялардың қазіргі даму қарқыны жоғары білікт</w:t>
      </w:r>
      <w:r>
        <w:rPr>
          <w:rFonts w:ascii="Times New Roman" w:eastAsia="Times New Roman" w:hAnsi="Times New Roman" w:cs="Times New Roman"/>
          <w:sz w:val="28"/>
        </w:rPr>
        <w:t>і мамандарды қалыптастырудың басымдықтарын анықтайды. Маманға цифрлық сауаттылық не береді? Ақпараттық коммуникациялық технологияларды жүйелеу, қайда және қалай қолдану керектігін білу, бір бағдарлама аясында мәтіндік ақпаратты, графиканы, дыбысты, гиперсі</w:t>
      </w:r>
      <w:r>
        <w:rPr>
          <w:rFonts w:ascii="Times New Roman" w:eastAsia="Times New Roman" w:hAnsi="Times New Roman" w:cs="Times New Roman"/>
          <w:sz w:val="28"/>
        </w:rPr>
        <w:t>лтемелерді, фотобейнелерді пайдалануға мүмкіндік беретін бағдарламалар пакеттерімен жұмыс істеу дағдылары, яғни ақпаратты өңдеу және талдау құралдары мен әдістерін қолдану дағдыларының болуы. Осылайша, маманның оқыту мақсаттары оның кәсіби қызметінде шешіл</w:t>
      </w:r>
      <w:r>
        <w:rPr>
          <w:rFonts w:ascii="Times New Roman" w:eastAsia="Times New Roman" w:hAnsi="Times New Roman" w:cs="Times New Roman"/>
          <w:sz w:val="28"/>
        </w:rPr>
        <w:t>уі керек міндеттер шеңберін қамтиды.</w:t>
      </w:r>
    </w:p>
    <w:p w:rsidR="0052701D" w:rsidRDefault="00D40929">
      <w:pPr>
        <w:spacing w:after="354" w:line="249" w:lineRule="auto"/>
        <w:ind w:left="576" w:right="-140" w:hanging="10"/>
        <w:jc w:val="center"/>
      </w:pPr>
      <w:r>
        <w:rPr>
          <w:rFonts w:ascii="Times New Roman" w:eastAsia="Times New Roman" w:hAnsi="Times New Roman" w:cs="Times New Roman"/>
          <w:b/>
          <w:sz w:val="28"/>
        </w:rPr>
        <w:t>Дереккөздер</w:t>
      </w:r>
    </w:p>
    <w:p w:rsidR="0052701D" w:rsidRDefault="00D40929">
      <w:pPr>
        <w:spacing w:after="0" w:line="268" w:lineRule="auto"/>
        <w:ind w:left="568" w:firstLine="708"/>
      </w:pPr>
      <w:r>
        <w:rPr>
          <w:rFonts w:ascii="Times New Roman" w:eastAsia="Times New Roman" w:hAnsi="Times New Roman" w:cs="Times New Roman"/>
          <w:sz w:val="28"/>
        </w:rPr>
        <w:t>[1]</w:t>
      </w:r>
      <w:hyperlink r:id="rId845">
        <w:r>
          <w:rPr>
            <w:color w:val="0000FF"/>
            <w:sz w:val="28"/>
            <w:u w:val="single" w:color="0000FF"/>
          </w:rPr>
          <w:t>http://lenta.inform.kz/ru/cifrovizaciya-v-obrazovanii-novye</w:t>
        </w:r>
      </w:hyperlink>
      <w:hyperlink r:id="rId846">
        <w:r>
          <w:rPr>
            <w:color w:val="0000FF"/>
            <w:sz w:val="28"/>
            <w:u w:val="single" w:color="0000FF"/>
          </w:rPr>
          <w:t>tehnologii-v-pomosch-processu-obucheniya_a3477335</w:t>
        </w:r>
      </w:hyperlink>
      <w:r>
        <w:rPr>
          <w:rFonts w:ascii="Times New Roman" w:eastAsia="Times New Roman" w:hAnsi="Times New Roman" w:cs="Times New Roman"/>
          <w:sz w:val="28"/>
        </w:rPr>
        <w:t xml:space="preserve">. </w:t>
      </w:r>
    </w:p>
    <w:p w:rsidR="0052701D" w:rsidRDefault="00D40929">
      <w:pPr>
        <w:numPr>
          <w:ilvl w:val="0"/>
          <w:numId w:val="144"/>
        </w:numPr>
        <w:spacing w:after="4" w:line="249" w:lineRule="auto"/>
        <w:ind w:right="567" w:firstLine="698"/>
        <w:jc w:val="both"/>
      </w:pPr>
      <w:r>
        <w:rPr>
          <w:rFonts w:ascii="Times New Roman" w:eastAsia="Times New Roman" w:hAnsi="Times New Roman" w:cs="Times New Roman"/>
          <w:sz w:val="28"/>
        </w:rPr>
        <w:t>Кешелава А.В. Цифирлық экономикаға кіріспе. -М., 2017.</w:t>
      </w:r>
    </w:p>
    <w:p w:rsidR="0052701D" w:rsidRDefault="00D40929">
      <w:pPr>
        <w:numPr>
          <w:ilvl w:val="0"/>
          <w:numId w:val="144"/>
        </w:numPr>
        <w:spacing w:after="4" w:line="249" w:lineRule="auto"/>
        <w:ind w:right="567" w:firstLine="698"/>
        <w:jc w:val="both"/>
      </w:pPr>
      <w:r>
        <w:rPr>
          <w:rFonts w:ascii="Times New Roman" w:eastAsia="Times New Roman" w:hAnsi="Times New Roman" w:cs="Times New Roman"/>
          <w:sz w:val="28"/>
        </w:rPr>
        <w:t xml:space="preserve">Гершунский Б.С. XXI ғасырдағы білім </w:t>
      </w:r>
      <w:r>
        <w:rPr>
          <w:rFonts w:ascii="Times New Roman" w:eastAsia="Times New Roman" w:hAnsi="Times New Roman" w:cs="Times New Roman"/>
          <w:sz w:val="28"/>
        </w:rPr>
        <w:t xml:space="preserve">беру философиясы (Тәжірибеге бағытталған білім беру тұжырымдамаларын іздеуде): монография. -М., 1998. 680 б. </w:t>
      </w:r>
    </w:p>
    <w:p w:rsidR="0052701D" w:rsidRDefault="00D40929">
      <w:pPr>
        <w:numPr>
          <w:ilvl w:val="0"/>
          <w:numId w:val="144"/>
        </w:numPr>
        <w:spacing w:after="309" w:line="249" w:lineRule="auto"/>
        <w:ind w:right="567" w:firstLine="698"/>
        <w:jc w:val="both"/>
      </w:pPr>
      <w:r>
        <w:rPr>
          <w:rFonts w:ascii="Times New Roman" w:eastAsia="Times New Roman" w:hAnsi="Times New Roman" w:cs="Times New Roman"/>
          <w:sz w:val="28"/>
        </w:rPr>
        <w:t xml:space="preserve">Зябрева В.С. Психология тыңдаушыларының кәсіби дамуындағы цифрлық сауаттылық маңыздылығының факторлық талдауы. // </w:t>
      </w:r>
      <w:r>
        <w:rPr>
          <w:rFonts w:ascii="Times New Roman" w:eastAsia="Times New Roman" w:hAnsi="Times New Roman" w:cs="Times New Roman"/>
          <w:sz w:val="28"/>
        </w:rPr>
        <w:t>Психология. Тарих – сыни бақылаулар және қазіргі заманғы зерттеулер. 2018. Т.7. №2А. Б.110-121.</w:t>
      </w:r>
    </w:p>
    <w:p w:rsidR="0052701D" w:rsidRDefault="00D40929">
      <w:pPr>
        <w:spacing w:after="306" w:line="249" w:lineRule="auto"/>
        <w:ind w:left="576" w:hanging="10"/>
        <w:jc w:val="center"/>
      </w:pPr>
      <w:r>
        <w:rPr>
          <w:rFonts w:ascii="Times New Roman" w:eastAsia="Times New Roman" w:hAnsi="Times New Roman" w:cs="Times New Roman"/>
          <w:b/>
          <w:sz w:val="28"/>
        </w:rPr>
        <w:t>Источники</w:t>
      </w:r>
    </w:p>
    <w:p w:rsidR="0052701D" w:rsidRDefault="00D40929">
      <w:pPr>
        <w:numPr>
          <w:ilvl w:val="0"/>
          <w:numId w:val="145"/>
        </w:numPr>
        <w:spacing w:after="0" w:line="238" w:lineRule="auto"/>
        <w:ind w:right="569" w:firstLine="698"/>
        <w:jc w:val="both"/>
      </w:pPr>
      <w:hyperlink r:id="rId847">
        <w:r>
          <w:rPr>
            <w:rFonts w:ascii="Times New Roman" w:eastAsia="Times New Roman" w:hAnsi="Times New Roman" w:cs="Times New Roman"/>
            <w:sz w:val="28"/>
            <w:u w:val="single" w:color="000000"/>
          </w:rPr>
          <w:t>http://lenta.inform.kz/ru/cifrovizaciya-v-obrazovanii-novye</w:t>
        </w:r>
      </w:hyperlink>
      <w:hyperlink r:id="rId848">
        <w:r>
          <w:rPr>
            <w:rFonts w:ascii="Times New Roman" w:eastAsia="Times New Roman" w:hAnsi="Times New Roman" w:cs="Times New Roman"/>
            <w:sz w:val="28"/>
            <w:u w:val="single" w:color="000000"/>
          </w:rPr>
          <w:t>tehnologii-v-pomosch-processu-obucheniya_a3477335</w:t>
        </w:r>
      </w:hyperlink>
      <w:r>
        <w:rPr>
          <w:rFonts w:ascii="Times New Roman" w:eastAsia="Times New Roman" w:hAnsi="Times New Roman" w:cs="Times New Roman"/>
          <w:sz w:val="28"/>
        </w:rPr>
        <w:t>. Дата обращения 01</w:t>
      </w:r>
      <w:r>
        <w:rPr>
          <w:rFonts w:ascii="Times New Roman" w:eastAsia="Times New Roman" w:hAnsi="Times New Roman" w:cs="Times New Roman"/>
          <w:sz w:val="28"/>
        </w:rPr>
        <w:t>.06.2019.</w:t>
      </w:r>
    </w:p>
    <w:p w:rsidR="0052701D" w:rsidRDefault="00D40929">
      <w:pPr>
        <w:numPr>
          <w:ilvl w:val="0"/>
          <w:numId w:val="145"/>
        </w:numPr>
        <w:spacing w:after="0"/>
        <w:ind w:right="569" w:firstLine="698"/>
        <w:jc w:val="both"/>
      </w:pPr>
      <w:r>
        <w:rPr>
          <w:rFonts w:ascii="Times New Roman" w:eastAsia="Times New Roman" w:hAnsi="Times New Roman" w:cs="Times New Roman"/>
          <w:sz w:val="28"/>
        </w:rPr>
        <w:t xml:space="preserve">Кешелава А.В. Введение в цифровую экономику. -М., 2017. </w:t>
      </w:r>
    </w:p>
    <w:p w:rsidR="0052701D" w:rsidRDefault="00D40929">
      <w:pPr>
        <w:numPr>
          <w:ilvl w:val="0"/>
          <w:numId w:val="145"/>
        </w:numPr>
        <w:spacing w:after="4" w:line="249" w:lineRule="auto"/>
        <w:ind w:right="569" w:firstLine="698"/>
        <w:jc w:val="both"/>
      </w:pPr>
      <w:r>
        <w:rPr>
          <w:rFonts w:ascii="Times New Roman" w:eastAsia="Times New Roman" w:hAnsi="Times New Roman" w:cs="Times New Roman"/>
          <w:sz w:val="28"/>
        </w:rPr>
        <w:t>Гершунский Б.С. Философия образования для XXI века (В поисках практико ориентированных образовательных концепций): монография. -М., 1998. 680 с.</w:t>
      </w:r>
    </w:p>
    <w:p w:rsidR="0052701D" w:rsidRDefault="00D40929">
      <w:pPr>
        <w:numPr>
          <w:ilvl w:val="0"/>
          <w:numId w:val="145"/>
        </w:numPr>
        <w:spacing w:after="4" w:line="249" w:lineRule="auto"/>
        <w:ind w:right="569" w:firstLine="698"/>
        <w:jc w:val="both"/>
      </w:pPr>
      <w:r>
        <w:rPr>
          <w:rFonts w:ascii="Times New Roman" w:eastAsia="Times New Roman" w:hAnsi="Times New Roman" w:cs="Times New Roman"/>
          <w:sz w:val="28"/>
        </w:rPr>
        <w:t>Зябрева В.С. Факторный анализ значимости циф</w:t>
      </w:r>
      <w:r>
        <w:rPr>
          <w:rFonts w:ascii="Times New Roman" w:eastAsia="Times New Roman" w:hAnsi="Times New Roman" w:cs="Times New Roman"/>
          <w:sz w:val="28"/>
        </w:rPr>
        <w:t>ровойграмотности в профессиональном развитии студентов психологов. // Психология. Историко – критические обзоры и современные исследования.</w:t>
      </w:r>
    </w:p>
    <w:p w:rsidR="0052701D" w:rsidRDefault="00D40929">
      <w:pPr>
        <w:spacing w:after="4" w:line="249" w:lineRule="auto"/>
        <w:ind w:left="568"/>
        <w:jc w:val="both"/>
      </w:pPr>
      <w:r>
        <w:rPr>
          <w:rFonts w:ascii="Times New Roman" w:eastAsia="Times New Roman" w:hAnsi="Times New Roman" w:cs="Times New Roman"/>
          <w:sz w:val="28"/>
        </w:rPr>
        <w:t>2018. Т.7. №2А. С.110-121.</w:t>
      </w:r>
    </w:p>
    <w:p w:rsidR="0052701D" w:rsidRDefault="00D40929">
      <w:pPr>
        <w:spacing w:after="422" w:line="249" w:lineRule="auto"/>
        <w:ind w:left="279" w:right="1" w:hanging="10"/>
        <w:jc w:val="both"/>
      </w:pPr>
      <w:r>
        <w:rPr>
          <w:rFonts w:ascii="Times New Roman" w:eastAsia="Times New Roman" w:hAnsi="Times New Roman" w:cs="Times New Roman"/>
          <w:sz w:val="24"/>
        </w:rPr>
        <w:t>УДК: 004.92</w:t>
      </w:r>
    </w:p>
    <w:p w:rsidR="0052701D" w:rsidRDefault="00D40929">
      <w:pPr>
        <w:pStyle w:val="1"/>
        <w:spacing w:after="268" w:line="249" w:lineRule="auto"/>
        <w:ind w:left="678" w:right="0"/>
        <w:jc w:val="left"/>
      </w:pPr>
      <w:r>
        <w:t>ОСОБЕННОСТИ ПРИМЕНЕНИЯ КОМПЬЮТЕРНОЙ ГРАФИКИ В</w:t>
      </w:r>
    </w:p>
    <w:p w:rsidR="0052701D" w:rsidRDefault="00D40929">
      <w:pPr>
        <w:pStyle w:val="1"/>
        <w:spacing w:after="268" w:line="249" w:lineRule="auto"/>
        <w:ind w:left="678" w:right="0"/>
        <w:jc w:val="left"/>
      </w:pPr>
      <w:r>
        <w:t xml:space="preserve">УЧЕБНОМ ПРОЦЕССЕ </w:t>
      </w:r>
      <w:r>
        <w:rPr>
          <w:b w:val="0"/>
          <w:sz w:val="24"/>
        </w:rPr>
        <w:t>Кривоножкин Ки</w:t>
      </w:r>
      <w:r>
        <w:rPr>
          <w:b w:val="0"/>
          <w:sz w:val="24"/>
        </w:rPr>
        <w:t>рилл Евгеньевич, Зарипова Римма Солтановна</w:t>
      </w:r>
    </w:p>
    <w:p w:rsidR="0052701D" w:rsidRDefault="00D40929">
      <w:pPr>
        <w:spacing w:after="276" w:line="311" w:lineRule="auto"/>
        <w:ind w:left="1228" w:right="1225" w:hanging="10"/>
        <w:jc w:val="center"/>
      </w:pPr>
      <w:r>
        <w:rPr>
          <w:rFonts w:ascii="Times New Roman" w:eastAsia="Times New Roman" w:hAnsi="Times New Roman" w:cs="Times New Roman"/>
          <w:sz w:val="24"/>
        </w:rPr>
        <w:t>Казанский государственный энергетический университет, г. Казань, Россия zarim@rambler.ru</w:t>
      </w:r>
    </w:p>
    <w:p w:rsidR="0052701D" w:rsidRDefault="00D40929">
      <w:pPr>
        <w:spacing w:after="3" w:line="249" w:lineRule="auto"/>
        <w:ind w:left="269" w:right="289" w:firstLine="710"/>
        <w:jc w:val="both"/>
      </w:pPr>
      <w:r>
        <w:rPr>
          <w:rFonts w:ascii="Times New Roman" w:eastAsia="Times New Roman" w:hAnsi="Times New Roman" w:cs="Times New Roman"/>
          <w:b/>
          <w:sz w:val="24"/>
        </w:rPr>
        <w:t xml:space="preserve">Аннотация: </w:t>
      </w:r>
      <w:r>
        <w:rPr>
          <w:rFonts w:ascii="Times New Roman" w:eastAsia="Times New Roman" w:hAnsi="Times New Roman" w:cs="Times New Roman"/>
          <w:sz w:val="24"/>
        </w:rPr>
        <w:t xml:space="preserve">в данной статье рассматривается применение и влияние компьютерной графики в сфере образования, её роль в формирование в компетентности. Раскрыто понятие компьютерной графики и какие способности она развивает. Компьютерная графика используется для создание </w:t>
      </w:r>
      <w:r>
        <w:rPr>
          <w:rFonts w:ascii="Times New Roman" w:eastAsia="Times New Roman" w:hAnsi="Times New Roman" w:cs="Times New Roman"/>
          <w:sz w:val="24"/>
        </w:rPr>
        <w:t xml:space="preserve">различных рисунков и 3D-моделей, сложно создаваемые на бумаге, так как в редакторах можно редактировать, вырезать и выполнять прочие действия. Проанализированы какие компетенции получает обучающийся или учитель в работе с компьютерной графикой. </w:t>
      </w:r>
    </w:p>
    <w:p w:rsidR="0052701D" w:rsidRDefault="00D40929">
      <w:pPr>
        <w:spacing w:after="460" w:line="249" w:lineRule="auto"/>
        <w:ind w:left="269" w:right="1" w:firstLine="710"/>
        <w:jc w:val="both"/>
      </w:pPr>
      <w:r>
        <w:rPr>
          <w:rFonts w:ascii="Times New Roman" w:eastAsia="Times New Roman" w:hAnsi="Times New Roman" w:cs="Times New Roman"/>
          <w:b/>
          <w:sz w:val="24"/>
        </w:rPr>
        <w:t>Ключевые с</w:t>
      </w:r>
      <w:r>
        <w:rPr>
          <w:rFonts w:ascii="Times New Roman" w:eastAsia="Times New Roman" w:hAnsi="Times New Roman" w:cs="Times New Roman"/>
          <w:b/>
          <w:sz w:val="24"/>
        </w:rPr>
        <w:t xml:space="preserve">лова: </w:t>
      </w:r>
      <w:r>
        <w:rPr>
          <w:rFonts w:ascii="Times New Roman" w:eastAsia="Times New Roman" w:hAnsi="Times New Roman" w:cs="Times New Roman"/>
          <w:sz w:val="24"/>
        </w:rPr>
        <w:t>компьютерная графика, развитие способностей, 3D-модели, редактор, редактирование, компетенции.</w:t>
      </w:r>
    </w:p>
    <w:p w:rsidR="0052701D" w:rsidRDefault="00D40929">
      <w:pPr>
        <w:spacing w:after="268" w:line="249" w:lineRule="auto"/>
        <w:ind w:left="342" w:right="337" w:hanging="10"/>
        <w:jc w:val="center"/>
      </w:pPr>
      <w:r>
        <w:rPr>
          <w:rFonts w:ascii="Times New Roman" w:eastAsia="Times New Roman" w:hAnsi="Times New Roman" w:cs="Times New Roman"/>
          <w:b/>
          <w:sz w:val="28"/>
        </w:rPr>
        <w:t>THE SPECIFIC APPLICATION OF COMPUTER GRAPHICS IN THE TEACHING PROCESS</w:t>
      </w:r>
    </w:p>
    <w:p w:rsidR="0052701D" w:rsidRDefault="00D40929">
      <w:pPr>
        <w:spacing w:after="704" w:line="249" w:lineRule="auto"/>
        <w:ind w:left="2245" w:right="2073" w:hanging="175"/>
        <w:jc w:val="center"/>
      </w:pPr>
      <w:r>
        <w:rPr>
          <w:rFonts w:ascii="Times New Roman" w:eastAsia="Times New Roman" w:hAnsi="Times New Roman" w:cs="Times New Roman"/>
          <w:sz w:val="24"/>
        </w:rPr>
        <w:t>Kirill Evgenievich Krivonozhkin, Rimma Soltanovna Zaripova KSPEU, Kazan, Russia zarim</w:t>
      </w:r>
      <w:r>
        <w:rPr>
          <w:rFonts w:ascii="Times New Roman" w:eastAsia="Times New Roman" w:hAnsi="Times New Roman" w:cs="Times New Roman"/>
          <w:sz w:val="24"/>
        </w:rPr>
        <w:t>@rambler.ru</w:t>
      </w:r>
    </w:p>
    <w:p w:rsidR="0052701D" w:rsidRDefault="00D40929">
      <w:pPr>
        <w:spacing w:after="25" w:line="249" w:lineRule="auto"/>
        <w:ind w:left="269" w:right="290" w:firstLine="710"/>
        <w:jc w:val="both"/>
      </w:pPr>
      <w:r>
        <w:rPr>
          <w:rFonts w:ascii="Times New Roman" w:eastAsia="Times New Roman" w:hAnsi="Times New Roman" w:cs="Times New Roman"/>
          <w:b/>
          <w:sz w:val="24"/>
        </w:rPr>
        <w:t>Abstract:</w:t>
      </w:r>
      <w:r>
        <w:rPr>
          <w:rFonts w:ascii="Times New Roman" w:eastAsia="Times New Roman" w:hAnsi="Times New Roman" w:cs="Times New Roman"/>
          <w:sz w:val="24"/>
        </w:rPr>
        <w:t xml:space="preserve"> this article examines the application and influence of computer graphics in the field of education, as well as its role in the formation of competence. The concept of computer graphics and what abilities it develops is revealed. Compu</w:t>
      </w:r>
      <w:r>
        <w:rPr>
          <w:rFonts w:ascii="Times New Roman" w:eastAsia="Times New Roman" w:hAnsi="Times New Roman" w:cs="Times New Roman"/>
          <w:sz w:val="24"/>
        </w:rPr>
        <w:t>ter graphics are used to create various drawings that are difficult to create on paper, since editors can edit, cut, and perform other actions. It also analyzes what competencies a student or teacher receives in working with computer graphics.</w:t>
      </w:r>
    </w:p>
    <w:p w:rsidR="0052701D" w:rsidRDefault="00D40929">
      <w:pPr>
        <w:spacing w:after="460" w:line="249" w:lineRule="auto"/>
        <w:ind w:left="269" w:right="1" w:firstLine="710"/>
        <w:jc w:val="both"/>
      </w:pPr>
      <w:r>
        <w:rPr>
          <w:rFonts w:ascii="Times New Roman" w:eastAsia="Times New Roman" w:hAnsi="Times New Roman" w:cs="Times New Roman"/>
          <w:b/>
          <w:sz w:val="24"/>
        </w:rPr>
        <w:t>Keywords:</w:t>
      </w:r>
      <w:r>
        <w:rPr>
          <w:rFonts w:ascii="Times New Roman" w:eastAsia="Times New Roman" w:hAnsi="Times New Roman" w:cs="Times New Roman"/>
          <w:sz w:val="24"/>
        </w:rPr>
        <w:t xml:space="preserve"> co</w:t>
      </w:r>
      <w:r>
        <w:rPr>
          <w:rFonts w:ascii="Times New Roman" w:eastAsia="Times New Roman" w:hAnsi="Times New Roman" w:cs="Times New Roman"/>
          <w:sz w:val="24"/>
        </w:rPr>
        <w:t>mputer graphics, education, development of abilities, various drawings, 3D models, editor, editing, competencies.</w:t>
      </w:r>
    </w:p>
    <w:p w:rsidR="0052701D" w:rsidRDefault="00D40929">
      <w:pPr>
        <w:spacing w:after="3" w:line="248" w:lineRule="auto"/>
        <w:ind w:left="284" w:right="292" w:firstLine="710"/>
        <w:jc w:val="both"/>
      </w:pPr>
      <w:r>
        <w:rPr>
          <w:rFonts w:ascii="Times New Roman" w:eastAsia="Times New Roman" w:hAnsi="Times New Roman" w:cs="Times New Roman"/>
          <w:sz w:val="28"/>
        </w:rPr>
        <w:lastRenderedPageBreak/>
        <w:t>В настоящее время компьютерная графика активно развивается в различных сферах деятельности. С помощью компьютерной графики можно визуализирова</w:t>
      </w:r>
      <w:r>
        <w:rPr>
          <w:rFonts w:ascii="Times New Roman" w:eastAsia="Times New Roman" w:hAnsi="Times New Roman" w:cs="Times New Roman"/>
          <w:sz w:val="28"/>
        </w:rPr>
        <w:t>ть несуществующие объекты или явления. Компьютерная графика используется в проектировании зданий, механизмов, автомобилей, техники; в медицинских лабораториях; в научных направлениях. Маркетинг не обходится без программ, помогающие создавать эффекты и рису</w:t>
      </w:r>
      <w:r>
        <w:rPr>
          <w:rFonts w:ascii="Times New Roman" w:eastAsia="Times New Roman" w:hAnsi="Times New Roman" w:cs="Times New Roman"/>
          <w:sz w:val="28"/>
        </w:rPr>
        <w:t>нки для рекламы. Программы помогают создавать графики, диаграммы и статистику для компаний настоящего мира. Для создания текстов, рефератов, докладов, презентаций и прочих работ в сфере образования используют разные программы [1].</w:t>
      </w:r>
    </w:p>
    <w:p w:rsidR="0052701D" w:rsidRDefault="00D40929">
      <w:pPr>
        <w:spacing w:after="3" w:line="248" w:lineRule="auto"/>
        <w:ind w:left="284" w:right="293" w:firstLine="710"/>
        <w:jc w:val="both"/>
      </w:pPr>
      <w:r>
        <w:rPr>
          <w:rFonts w:ascii="Times New Roman" w:eastAsia="Times New Roman" w:hAnsi="Times New Roman" w:cs="Times New Roman"/>
          <w:sz w:val="28"/>
        </w:rPr>
        <w:t>Компьютерная графика широ</w:t>
      </w:r>
      <w:r>
        <w:rPr>
          <w:rFonts w:ascii="Times New Roman" w:eastAsia="Times New Roman" w:hAnsi="Times New Roman" w:cs="Times New Roman"/>
          <w:sz w:val="28"/>
        </w:rPr>
        <w:t xml:space="preserve">ко используются при создании кинофильмов, архитектуры, прототипов, а также создание компьютерной графики. Для всего вышеперечисленного нужны квалифицированные специалисты, имеющие хорошие и развитые качества. Именно поэтому обучение компьютерной графики – </w:t>
      </w:r>
      <w:r>
        <w:rPr>
          <w:rFonts w:ascii="Times New Roman" w:eastAsia="Times New Roman" w:hAnsi="Times New Roman" w:cs="Times New Roman"/>
          <w:sz w:val="28"/>
        </w:rPr>
        <w:t xml:space="preserve">важнейший компонент на сегодняшний день [2]. </w:t>
      </w:r>
    </w:p>
    <w:p w:rsidR="0052701D" w:rsidRDefault="00D40929">
      <w:pPr>
        <w:spacing w:after="3" w:line="248" w:lineRule="auto"/>
        <w:ind w:left="284" w:right="286" w:firstLine="710"/>
        <w:jc w:val="both"/>
      </w:pPr>
      <w:r>
        <w:rPr>
          <w:rFonts w:ascii="Times New Roman" w:eastAsia="Times New Roman" w:hAnsi="Times New Roman" w:cs="Times New Roman"/>
          <w:sz w:val="28"/>
        </w:rPr>
        <w:t>Применение компьютерной графики позволяет обучающемуся увеличить скорость усвоения информации, развивает его творчество и развивает образовательное мышление. Однако в школьной программе обучение компьютерной графики рассматривается слишком быстро и недоста</w:t>
      </w:r>
      <w:r>
        <w:rPr>
          <w:rFonts w:ascii="Times New Roman" w:eastAsia="Times New Roman" w:hAnsi="Times New Roman" w:cs="Times New Roman"/>
          <w:sz w:val="28"/>
        </w:rPr>
        <w:t>точно углубленно. Изучаются такие базовые программы, как редактор “Paint”, “Adobe Photoshop”. “CorelDraw”. Рассмотрим их подробно [3].</w:t>
      </w:r>
    </w:p>
    <w:p w:rsidR="0052701D" w:rsidRDefault="00D40929">
      <w:pPr>
        <w:spacing w:after="3" w:line="248" w:lineRule="auto"/>
        <w:ind w:left="284" w:right="291" w:firstLine="710"/>
        <w:jc w:val="both"/>
      </w:pPr>
      <w:r>
        <w:rPr>
          <w:rFonts w:ascii="Times New Roman" w:eastAsia="Times New Roman" w:hAnsi="Times New Roman" w:cs="Times New Roman"/>
          <w:sz w:val="28"/>
        </w:rPr>
        <w:t xml:space="preserve">Paint – простейший редактор, являющийся доступным всем. В силу своей простоты и доступности является важнейшим и базовым </w:t>
      </w:r>
      <w:r>
        <w:rPr>
          <w:rFonts w:ascii="Times New Roman" w:eastAsia="Times New Roman" w:hAnsi="Times New Roman" w:cs="Times New Roman"/>
          <w:sz w:val="28"/>
        </w:rPr>
        <w:t xml:space="preserve">редактором для начинания изучения компьютерной графики. Изучив данный редактор, обучающийся сможет продолжать изучать и постигать более сложные редакторы графики [4]. Таким образом, Paint – редактор для изучения основ и создания графики. Редактор обладает </w:t>
      </w:r>
      <w:r>
        <w:rPr>
          <w:rFonts w:ascii="Times New Roman" w:eastAsia="Times New Roman" w:hAnsi="Times New Roman" w:cs="Times New Roman"/>
          <w:sz w:val="28"/>
        </w:rPr>
        <w:t>удобным интерфейсом и ориентирован на рисование изображения.</w:t>
      </w:r>
    </w:p>
    <w:p w:rsidR="0052701D" w:rsidRDefault="00D40929">
      <w:pPr>
        <w:spacing w:after="3" w:line="248" w:lineRule="auto"/>
        <w:ind w:left="284" w:right="293" w:firstLine="710"/>
        <w:jc w:val="both"/>
      </w:pPr>
      <w:r>
        <w:rPr>
          <w:rFonts w:ascii="Times New Roman" w:eastAsia="Times New Roman" w:hAnsi="Times New Roman" w:cs="Times New Roman"/>
          <w:sz w:val="28"/>
        </w:rPr>
        <w:t>Adobe Photoshop – совершенный редактор, представляет из себя инструмент для обработки растрового изображения. Редактором в настоящее время пользуются многие дизайнеры. Редактор имеет удобный инте</w:t>
      </w:r>
      <w:r>
        <w:rPr>
          <w:rFonts w:ascii="Times New Roman" w:eastAsia="Times New Roman" w:hAnsi="Times New Roman" w:cs="Times New Roman"/>
          <w:sz w:val="28"/>
        </w:rPr>
        <w:t>рфейс, высокую обработку изображения, работу с цветовыми профилями, набор команд фильтрации и автоматизацию обработки растровых изображений [5]. Однако редактор не способен выполнять такие легчайшие операции, как склеивание двух и более изображений, клонир</w:t>
      </w:r>
      <w:r>
        <w:rPr>
          <w:rFonts w:ascii="Times New Roman" w:eastAsia="Times New Roman" w:hAnsi="Times New Roman" w:cs="Times New Roman"/>
          <w:sz w:val="28"/>
        </w:rPr>
        <w:t xml:space="preserve">овать изображение, одновременное рисование и регулировки заливки и её прозрачности. </w:t>
      </w:r>
    </w:p>
    <w:p w:rsidR="0052701D" w:rsidRDefault="00D40929">
      <w:pPr>
        <w:spacing w:after="0" w:line="266" w:lineRule="auto"/>
        <w:ind w:left="269" w:right="278" w:firstLine="700"/>
        <w:jc w:val="both"/>
      </w:pPr>
      <w:r>
        <w:rPr>
          <w:rFonts w:ascii="Times New Roman" w:eastAsia="Times New Roman" w:hAnsi="Times New Roman" w:cs="Times New Roman"/>
          <w:color w:val="181818"/>
          <w:sz w:val="28"/>
        </w:rPr>
        <w:t>CorelDraw – редактор предназначенный для разработки документов для публикации типографической и электронной продукции. Редактор способен делать макет отдельных страниц, со</w:t>
      </w:r>
      <w:r>
        <w:rPr>
          <w:rFonts w:ascii="Times New Roman" w:eastAsia="Times New Roman" w:hAnsi="Times New Roman" w:cs="Times New Roman"/>
          <w:color w:val="181818"/>
          <w:sz w:val="28"/>
        </w:rPr>
        <w:t>здавать их нумерацию, обрабатывать информацию и работать с документами, имеющих множество страниц. Редактор может обрабатывать и векторную, и растровую графику, а также в нём можно собственноручно настроить интерфейс.</w:t>
      </w:r>
    </w:p>
    <w:p w:rsidR="0052701D" w:rsidRDefault="00D40929">
      <w:pPr>
        <w:spacing w:after="0" w:line="266" w:lineRule="auto"/>
        <w:ind w:left="269" w:right="278" w:firstLine="700"/>
        <w:jc w:val="both"/>
      </w:pPr>
      <w:r>
        <w:rPr>
          <w:rFonts w:ascii="Times New Roman" w:eastAsia="Times New Roman" w:hAnsi="Times New Roman" w:cs="Times New Roman"/>
          <w:color w:val="181818"/>
          <w:sz w:val="28"/>
        </w:rPr>
        <w:t>Подобные программы ещё в школьной прог</w:t>
      </w:r>
      <w:r>
        <w:rPr>
          <w:rFonts w:ascii="Times New Roman" w:eastAsia="Times New Roman" w:hAnsi="Times New Roman" w:cs="Times New Roman"/>
          <w:color w:val="181818"/>
          <w:sz w:val="28"/>
        </w:rPr>
        <w:t xml:space="preserve">рамме способны развить у учащихся многие способности, такие как креативность – важнейшая компетенция, которую можно получить, изучая компьютерную графику [6]. </w:t>
      </w:r>
      <w:r>
        <w:rPr>
          <w:rFonts w:ascii="Times New Roman" w:eastAsia="Times New Roman" w:hAnsi="Times New Roman" w:cs="Times New Roman"/>
          <w:color w:val="181818"/>
          <w:sz w:val="28"/>
        </w:rPr>
        <w:lastRenderedPageBreak/>
        <w:t>Однако, компьютерная графика в школьных программах изучается поверхностно, останавливаясь лишь на</w:t>
      </w:r>
      <w:r>
        <w:rPr>
          <w:rFonts w:ascii="Times New Roman" w:eastAsia="Times New Roman" w:hAnsi="Times New Roman" w:cs="Times New Roman"/>
          <w:color w:val="181818"/>
          <w:sz w:val="28"/>
        </w:rPr>
        <w:t xml:space="preserve"> одном редакторе – Paint.</w:t>
      </w:r>
    </w:p>
    <w:p w:rsidR="0052701D" w:rsidRDefault="00D40929">
      <w:pPr>
        <w:spacing w:after="0" w:line="266" w:lineRule="auto"/>
        <w:ind w:left="269" w:right="278" w:firstLine="700"/>
        <w:jc w:val="both"/>
      </w:pPr>
      <w:r>
        <w:rPr>
          <w:rFonts w:ascii="Times New Roman" w:eastAsia="Times New Roman" w:hAnsi="Times New Roman" w:cs="Times New Roman"/>
          <w:color w:val="181818"/>
          <w:sz w:val="28"/>
        </w:rPr>
        <w:t>Ещё в 2008 году был впервые проведён первый курс компьютерной графики. А уже к 2009 интерес к ней возрос, и она стала намного шире: появились такие факультеты, как введение дизайна и анимации. Компьютерную графику стали включать в</w:t>
      </w:r>
      <w:r>
        <w:rPr>
          <w:rFonts w:ascii="Times New Roman" w:eastAsia="Times New Roman" w:hAnsi="Times New Roman" w:cs="Times New Roman"/>
          <w:color w:val="181818"/>
          <w:sz w:val="28"/>
        </w:rPr>
        <w:t>о многие направления («Прикладная математика», «Прикладная информатика и математика»). Кроме того, рос показатель преподавателей и студентов, которые хотели получить высшую квалификацию по компьютерной графике. Из-за этого росло число профессиональных комп</w:t>
      </w:r>
      <w:r>
        <w:rPr>
          <w:rFonts w:ascii="Times New Roman" w:eastAsia="Times New Roman" w:hAnsi="Times New Roman" w:cs="Times New Roman"/>
          <w:color w:val="181818"/>
          <w:sz w:val="28"/>
        </w:rPr>
        <w:t xml:space="preserve">етенций в области графики [4, 7]. </w:t>
      </w:r>
    </w:p>
    <w:p w:rsidR="0052701D" w:rsidRDefault="00D40929">
      <w:pPr>
        <w:spacing w:after="0" w:line="266" w:lineRule="auto"/>
        <w:ind w:left="269" w:right="278" w:firstLine="700"/>
        <w:jc w:val="both"/>
      </w:pPr>
      <w:r>
        <w:rPr>
          <w:rFonts w:ascii="Times New Roman" w:eastAsia="Times New Roman" w:hAnsi="Times New Roman" w:cs="Times New Roman"/>
          <w:color w:val="181818"/>
          <w:sz w:val="28"/>
        </w:rPr>
        <w:t>В результате изучения компьютерной графике отмечаем следующее: повышен интерес компьютерной графики в среде образования, развитие графических изображений, формирование опыта и навыков при изучении редакторов ещё в школьно</w:t>
      </w:r>
      <w:r>
        <w:rPr>
          <w:rFonts w:ascii="Times New Roman" w:eastAsia="Times New Roman" w:hAnsi="Times New Roman" w:cs="Times New Roman"/>
          <w:color w:val="181818"/>
          <w:sz w:val="28"/>
        </w:rPr>
        <w:t xml:space="preserve">м образовании, улучшение знаний в области графики и развитие самой компьютерной графики. </w:t>
      </w:r>
    </w:p>
    <w:p w:rsidR="0052701D" w:rsidRDefault="00D40929">
      <w:pPr>
        <w:spacing w:after="0"/>
        <w:ind w:right="2"/>
        <w:jc w:val="center"/>
      </w:pPr>
      <w:r>
        <w:rPr>
          <w:rFonts w:ascii="Times New Roman" w:eastAsia="Times New Roman" w:hAnsi="Times New Roman" w:cs="Times New Roman"/>
          <w:b/>
          <w:color w:val="181818"/>
          <w:sz w:val="28"/>
        </w:rPr>
        <w:t>Источники</w:t>
      </w:r>
    </w:p>
    <w:p w:rsidR="0052701D" w:rsidRDefault="00D40929">
      <w:pPr>
        <w:numPr>
          <w:ilvl w:val="0"/>
          <w:numId w:val="146"/>
        </w:numPr>
        <w:spacing w:after="3" w:line="249" w:lineRule="auto"/>
        <w:ind w:right="293" w:firstLine="710"/>
        <w:jc w:val="both"/>
      </w:pPr>
      <w:r>
        <w:rPr>
          <w:rFonts w:ascii="Times New Roman" w:eastAsia="Times New Roman" w:hAnsi="Times New Roman" w:cs="Times New Roman"/>
          <w:sz w:val="24"/>
        </w:rPr>
        <w:t>Шакиров А.А., Зарипова Р.С. Внедрение инновационных технологий в учебный процесс / Приборостроение и автоматизированный электропривод в топливноэнергетическом комплексе и жилищно-коммунальном хозяйстве: материалы VI Национальной научно-практической конфере</w:t>
      </w:r>
      <w:r>
        <w:rPr>
          <w:rFonts w:ascii="Times New Roman" w:eastAsia="Times New Roman" w:hAnsi="Times New Roman" w:cs="Times New Roman"/>
          <w:sz w:val="24"/>
        </w:rPr>
        <w:t>нции. Казань, 2020. С. 161-163.</w:t>
      </w:r>
    </w:p>
    <w:p w:rsidR="0052701D" w:rsidRDefault="00D40929">
      <w:pPr>
        <w:numPr>
          <w:ilvl w:val="0"/>
          <w:numId w:val="146"/>
        </w:numPr>
        <w:spacing w:after="3" w:line="249" w:lineRule="auto"/>
        <w:ind w:right="293" w:firstLine="710"/>
        <w:jc w:val="both"/>
      </w:pPr>
      <w:r>
        <w:rPr>
          <w:rFonts w:ascii="Times New Roman" w:eastAsia="Times New Roman" w:hAnsi="Times New Roman" w:cs="Times New Roman"/>
          <w:sz w:val="24"/>
        </w:rPr>
        <w:t>Мустахитдинова Ю.А., Зарипова Р.С. Особенности профильной подготовки ITспециалистов в России / Преподавание информационных технологий в Российской Федерации: материалы Девятнадцатой открытой Всероссийской конференции. Москва</w:t>
      </w:r>
      <w:r>
        <w:rPr>
          <w:rFonts w:ascii="Times New Roman" w:eastAsia="Times New Roman" w:hAnsi="Times New Roman" w:cs="Times New Roman"/>
          <w:sz w:val="24"/>
        </w:rPr>
        <w:t>, 2021. С. 292-293.</w:t>
      </w:r>
    </w:p>
    <w:p w:rsidR="0052701D" w:rsidRDefault="00D40929">
      <w:pPr>
        <w:numPr>
          <w:ilvl w:val="0"/>
          <w:numId w:val="146"/>
        </w:numPr>
        <w:spacing w:after="3" w:line="249" w:lineRule="auto"/>
        <w:ind w:right="293" w:firstLine="710"/>
        <w:jc w:val="both"/>
      </w:pPr>
      <w:r>
        <w:rPr>
          <w:rFonts w:ascii="Times New Roman" w:eastAsia="Times New Roman" w:hAnsi="Times New Roman" w:cs="Times New Roman"/>
          <w:sz w:val="24"/>
        </w:rPr>
        <w:t xml:space="preserve">Сафина С.Б. Геометрическое моделирование в начальной школе // Гуманитарные научные исследования. 2017. [Электронный ресурс]. URL: https://human.snauka.ru/2017/04/23671 </w:t>
      </w:r>
    </w:p>
    <w:p w:rsidR="0052701D" w:rsidRDefault="00D40929">
      <w:pPr>
        <w:numPr>
          <w:ilvl w:val="0"/>
          <w:numId w:val="146"/>
        </w:numPr>
        <w:spacing w:after="3" w:line="249" w:lineRule="auto"/>
        <w:ind w:right="293" w:firstLine="710"/>
        <w:jc w:val="both"/>
      </w:pPr>
      <w:r>
        <w:rPr>
          <w:rFonts w:ascii="Times New Roman" w:eastAsia="Times New Roman" w:hAnsi="Times New Roman" w:cs="Times New Roman"/>
          <w:sz w:val="24"/>
        </w:rPr>
        <w:t>Сакулина Ю.В., Рожина И.В. Компьютерная графика как средство формир</w:t>
      </w:r>
      <w:r>
        <w:rPr>
          <w:rFonts w:ascii="Times New Roman" w:eastAsia="Times New Roman" w:hAnsi="Times New Roman" w:cs="Times New Roman"/>
          <w:sz w:val="24"/>
        </w:rPr>
        <w:t>ованияпрофессиональных компетенций. 2012. [Электронный ресурс]. URL:</w:t>
      </w:r>
    </w:p>
    <w:p w:rsidR="0052701D" w:rsidRDefault="00D40929">
      <w:pPr>
        <w:spacing w:after="3" w:line="249" w:lineRule="auto"/>
        <w:ind w:left="279" w:right="1" w:hanging="10"/>
        <w:jc w:val="both"/>
      </w:pPr>
      <w:r>
        <w:rPr>
          <w:rFonts w:ascii="Times New Roman" w:eastAsia="Times New Roman" w:hAnsi="Times New Roman" w:cs="Times New Roman"/>
          <w:sz w:val="24"/>
        </w:rPr>
        <w:t>https://cyberleninka.ru/article/n/kompyuternaya-grafika-kak-sredstvo-formirovaniyaprofessionalnyh-kompetentsiy?ysclid= lay1oct6vy5400 77896.</w:t>
      </w:r>
    </w:p>
    <w:p w:rsidR="0052701D" w:rsidRDefault="00D40929">
      <w:pPr>
        <w:numPr>
          <w:ilvl w:val="0"/>
          <w:numId w:val="146"/>
        </w:numPr>
        <w:spacing w:after="3" w:line="249" w:lineRule="auto"/>
        <w:ind w:right="293" w:firstLine="710"/>
        <w:jc w:val="both"/>
      </w:pPr>
      <w:r>
        <w:rPr>
          <w:rFonts w:ascii="Times New Roman" w:eastAsia="Times New Roman" w:hAnsi="Times New Roman" w:cs="Times New Roman"/>
          <w:sz w:val="24"/>
        </w:rPr>
        <w:t>Шакиров А.А., Зарипова Р.С. Роль компьютерного моделирования в учебном процессе / Достижения и приложения современной информатики, математики и физики: материалы VII Всеросс. научно-практической заочной конференции. 2018. С. 367-372.</w:t>
      </w:r>
    </w:p>
    <w:p w:rsidR="0052701D" w:rsidRDefault="00D40929">
      <w:pPr>
        <w:numPr>
          <w:ilvl w:val="0"/>
          <w:numId w:val="146"/>
        </w:numPr>
        <w:spacing w:after="3" w:line="249" w:lineRule="auto"/>
        <w:ind w:right="293" w:firstLine="710"/>
        <w:jc w:val="both"/>
      </w:pPr>
      <w:r>
        <w:rPr>
          <w:rFonts w:ascii="Times New Roman" w:eastAsia="Times New Roman" w:hAnsi="Times New Roman" w:cs="Times New Roman"/>
          <w:sz w:val="24"/>
        </w:rPr>
        <w:t>Соловьева О. В. Исслед</w:t>
      </w:r>
      <w:r>
        <w:rPr>
          <w:rFonts w:ascii="Times New Roman" w:eastAsia="Times New Roman" w:hAnsi="Times New Roman" w:cs="Times New Roman"/>
          <w:sz w:val="24"/>
        </w:rPr>
        <w:t>ование движения газовзвеси в моделях фильтров ствердотельными и пористыми гранулами / О. В. Соловьева, С. А. Соловьев, А. Р. Талипова [и др.] // Вестник Казанского государственного энергетического университета. 2021. Т. 13. № 2(50). С. 27-39.</w:t>
      </w:r>
    </w:p>
    <w:p w:rsidR="0052701D" w:rsidRDefault="00D40929">
      <w:pPr>
        <w:numPr>
          <w:ilvl w:val="0"/>
          <w:numId w:val="146"/>
        </w:numPr>
        <w:spacing w:after="3" w:line="249" w:lineRule="auto"/>
        <w:ind w:right="293" w:firstLine="710"/>
        <w:jc w:val="both"/>
      </w:pPr>
      <w:r>
        <w:rPr>
          <w:rFonts w:ascii="Times New Roman" w:eastAsia="Times New Roman" w:hAnsi="Times New Roman" w:cs="Times New Roman"/>
          <w:sz w:val="24"/>
        </w:rPr>
        <w:t>Пырнова О.А.,</w:t>
      </w:r>
      <w:r>
        <w:rPr>
          <w:rFonts w:ascii="Times New Roman" w:eastAsia="Times New Roman" w:hAnsi="Times New Roman" w:cs="Times New Roman"/>
          <w:sz w:val="24"/>
        </w:rPr>
        <w:t xml:space="preserve"> Зарипова Р.С. Особенности и тенденции развития современного инженерного образования / Приборостроение и автоматизированный электропривод в топливно-энергетическом комплексе и жилищно-коммунальном хозяйстве: материалы IV Национальной научно-практической ко</w:t>
      </w:r>
      <w:r>
        <w:rPr>
          <w:rFonts w:ascii="Times New Roman" w:eastAsia="Times New Roman" w:hAnsi="Times New Roman" w:cs="Times New Roman"/>
          <w:sz w:val="24"/>
        </w:rPr>
        <w:t>нференции. Казанский государственный энергетический университет. 2019. С. 564-567.</w:t>
      </w:r>
    </w:p>
    <w:p w:rsidR="0052701D" w:rsidRDefault="00D40929">
      <w:pPr>
        <w:numPr>
          <w:ilvl w:val="0"/>
          <w:numId w:val="146"/>
        </w:numPr>
        <w:spacing w:after="3" w:line="249" w:lineRule="auto"/>
        <w:ind w:right="293" w:firstLine="710"/>
        <w:jc w:val="both"/>
      </w:pPr>
      <w:r>
        <w:rPr>
          <w:rFonts w:ascii="Times New Roman" w:eastAsia="Times New Roman" w:hAnsi="Times New Roman" w:cs="Times New Roman"/>
          <w:sz w:val="24"/>
        </w:rPr>
        <w:t>Шакиров А.А., Зарипова Р.С. Обучение компьютерному моделированию сиспользованием интерактивных сред / International Journal of Advanced Studies in Education and Sociology. 2</w:t>
      </w:r>
      <w:r>
        <w:rPr>
          <w:rFonts w:ascii="Times New Roman" w:eastAsia="Times New Roman" w:hAnsi="Times New Roman" w:cs="Times New Roman"/>
          <w:sz w:val="24"/>
        </w:rPr>
        <w:t>019. № 1. С. 56-59.</w:t>
      </w:r>
    </w:p>
    <w:p w:rsidR="0052701D" w:rsidRDefault="00D40929">
      <w:pPr>
        <w:numPr>
          <w:ilvl w:val="0"/>
          <w:numId w:val="146"/>
        </w:numPr>
        <w:spacing w:after="3" w:line="249" w:lineRule="auto"/>
        <w:ind w:right="293" w:firstLine="710"/>
        <w:jc w:val="both"/>
      </w:pPr>
      <w:r>
        <w:rPr>
          <w:rFonts w:ascii="Times New Roman" w:eastAsia="Times New Roman" w:hAnsi="Times New Roman" w:cs="Times New Roman"/>
          <w:sz w:val="24"/>
        </w:rPr>
        <w:t xml:space="preserve">Малев Н. А. Анализ динамических характеристик вентильного двигателямехатронной системы в условиях параметрической неопределённости методами </w:t>
      </w:r>
      <w:r>
        <w:rPr>
          <w:rFonts w:ascii="Times New Roman" w:eastAsia="Times New Roman" w:hAnsi="Times New Roman" w:cs="Times New Roman"/>
          <w:sz w:val="24"/>
        </w:rPr>
        <w:lastRenderedPageBreak/>
        <w:t>компьютерного моделирования / Н. А. Малев, О. В. Погодицкий, О. В. Козелков, А. М. Дюрягин // Из</w:t>
      </w:r>
      <w:r>
        <w:rPr>
          <w:rFonts w:ascii="Times New Roman" w:eastAsia="Times New Roman" w:hAnsi="Times New Roman" w:cs="Times New Roman"/>
          <w:sz w:val="24"/>
        </w:rPr>
        <w:t>вестия высших учебных заведений. Проблемы энергетики. 2022. Т. 24. № 3. С. 158-174.</w:t>
      </w:r>
    </w:p>
    <w:p w:rsidR="0052701D" w:rsidRDefault="00D40929">
      <w:pPr>
        <w:numPr>
          <w:ilvl w:val="0"/>
          <w:numId w:val="146"/>
        </w:numPr>
        <w:spacing w:after="3" w:line="249" w:lineRule="auto"/>
        <w:ind w:right="293" w:firstLine="710"/>
        <w:jc w:val="both"/>
      </w:pPr>
      <w:r>
        <w:rPr>
          <w:rFonts w:ascii="Times New Roman" w:eastAsia="Times New Roman" w:hAnsi="Times New Roman" w:cs="Times New Roman"/>
          <w:sz w:val="24"/>
        </w:rPr>
        <w:t xml:space="preserve">Зарипова Р.С., Шакиров А.А. Использование сред схемотехническогопроектирования и машиностроительных САПР для моделирования виртуальных прототипов приборов / Р.С. Зарипова, </w:t>
      </w:r>
      <w:r>
        <w:rPr>
          <w:rFonts w:ascii="Times New Roman" w:eastAsia="Times New Roman" w:hAnsi="Times New Roman" w:cs="Times New Roman"/>
          <w:sz w:val="24"/>
        </w:rPr>
        <w:t>А.А. Шакиров / International Journal of Advanced Studies. 2018. Т. 8. № 4-2. С. 29-32.</w:t>
      </w:r>
    </w:p>
    <w:p w:rsidR="0052701D" w:rsidRDefault="00D40929">
      <w:pPr>
        <w:spacing w:after="3" w:line="249" w:lineRule="auto"/>
        <w:ind w:left="578" w:right="1" w:hanging="10"/>
        <w:jc w:val="both"/>
      </w:pPr>
      <w:r>
        <w:rPr>
          <w:rFonts w:ascii="Times New Roman" w:eastAsia="Times New Roman" w:hAnsi="Times New Roman" w:cs="Times New Roman"/>
          <w:sz w:val="24"/>
        </w:rPr>
        <w:t>МРНТИ</w:t>
      </w:r>
      <w:r>
        <w:rPr>
          <w:rFonts w:ascii="Times New Roman" w:eastAsia="Times New Roman" w:hAnsi="Times New Roman" w:cs="Times New Roman"/>
          <w:color w:val="FF0000"/>
          <w:sz w:val="24"/>
        </w:rPr>
        <w:t xml:space="preserve"> </w:t>
      </w:r>
      <w:r>
        <w:rPr>
          <w:rFonts w:ascii="Times New Roman" w:eastAsia="Times New Roman" w:hAnsi="Times New Roman" w:cs="Times New Roman"/>
          <w:sz w:val="24"/>
        </w:rPr>
        <w:t>50.41.00</w:t>
      </w:r>
    </w:p>
    <w:p w:rsidR="0052701D" w:rsidRDefault="00D40929">
      <w:pPr>
        <w:spacing w:after="346" w:line="249" w:lineRule="auto"/>
        <w:ind w:left="578" w:right="1" w:hanging="10"/>
        <w:jc w:val="both"/>
      </w:pPr>
      <w:r>
        <w:rPr>
          <w:rFonts w:ascii="Times New Roman" w:eastAsia="Times New Roman" w:hAnsi="Times New Roman" w:cs="Times New Roman"/>
          <w:sz w:val="24"/>
        </w:rPr>
        <w:t>УДК 37:002; 004.82; 004.85</w:t>
      </w:r>
    </w:p>
    <w:p w:rsidR="0052701D" w:rsidRDefault="00D40929">
      <w:pPr>
        <w:pStyle w:val="1"/>
        <w:spacing w:after="272" w:line="249" w:lineRule="auto"/>
        <w:ind w:left="2968" w:right="0" w:hanging="1142"/>
        <w:jc w:val="left"/>
      </w:pPr>
      <w:r>
        <w:t>ОБРАЗОВАТЕЛЬНЫЙ ИНЖИНИРИНГ И ПОНЯТИЙНАЯ</w:t>
      </w:r>
    </w:p>
    <w:p w:rsidR="0052701D" w:rsidRDefault="00D40929">
      <w:pPr>
        <w:pStyle w:val="1"/>
        <w:spacing w:after="272" w:line="249" w:lineRule="auto"/>
        <w:ind w:left="2968" w:right="0" w:hanging="1142"/>
        <w:jc w:val="left"/>
      </w:pPr>
      <w:r>
        <w:t xml:space="preserve">ЦИФРОВИЗАЦИЯ ОБРАЗОВАНИЯ </w:t>
      </w:r>
      <w:r>
        <w:rPr>
          <w:b w:val="0"/>
          <w:sz w:val="24"/>
        </w:rPr>
        <w:t xml:space="preserve">Б.С. Кубеков  </w:t>
      </w:r>
    </w:p>
    <w:p w:rsidR="0052701D" w:rsidRDefault="00D40929">
      <w:pPr>
        <w:spacing w:after="13" w:line="249" w:lineRule="auto"/>
        <w:ind w:left="1001" w:right="2" w:hanging="10"/>
        <w:jc w:val="center"/>
      </w:pPr>
      <w:r>
        <w:rPr>
          <w:rFonts w:ascii="Times New Roman" w:eastAsia="Times New Roman" w:hAnsi="Times New Roman" w:cs="Times New Roman"/>
          <w:sz w:val="24"/>
        </w:rPr>
        <w:t>Учреждение «Университет «Туран»</w:t>
      </w:r>
    </w:p>
    <w:p w:rsidR="0052701D" w:rsidRDefault="00D40929">
      <w:pPr>
        <w:spacing w:after="13" w:line="249" w:lineRule="auto"/>
        <w:ind w:left="1001" w:right="2" w:hanging="10"/>
        <w:jc w:val="center"/>
      </w:pPr>
      <w:r>
        <w:rPr>
          <w:rFonts w:ascii="Times New Roman" w:eastAsia="Times New Roman" w:hAnsi="Times New Roman" w:cs="Times New Roman"/>
          <w:sz w:val="24"/>
        </w:rPr>
        <w:t>E-mail:</w:t>
      </w:r>
      <w:r>
        <w:rPr>
          <w:rFonts w:ascii="Times New Roman" w:eastAsia="Times New Roman" w:hAnsi="Times New Roman" w:cs="Times New Roman"/>
          <w:sz w:val="24"/>
          <w:u w:val="single" w:color="000000"/>
        </w:rPr>
        <w:t xml:space="preserve"> </w:t>
      </w:r>
      <w:r>
        <w:rPr>
          <w:rFonts w:ascii="Times New Roman" w:eastAsia="Times New Roman" w:hAnsi="Times New Roman" w:cs="Times New Roman"/>
          <w:sz w:val="24"/>
        </w:rPr>
        <w:t>b.kubek</w:t>
      </w:r>
      <w:r>
        <w:rPr>
          <w:rFonts w:ascii="Times New Roman" w:eastAsia="Times New Roman" w:hAnsi="Times New Roman" w:cs="Times New Roman"/>
          <w:sz w:val="24"/>
        </w:rPr>
        <w:t xml:space="preserve">ov@mail.ru </w:t>
      </w:r>
    </w:p>
    <w:p w:rsidR="0052701D" w:rsidRDefault="00D40929">
      <w:pPr>
        <w:spacing w:after="0"/>
        <w:ind w:left="1114"/>
        <w:jc w:val="center"/>
      </w:pPr>
      <w:r>
        <w:rPr>
          <w:rFonts w:ascii="Times New Roman" w:eastAsia="Times New Roman" w:hAnsi="Times New Roman" w:cs="Times New Roman"/>
          <w:sz w:val="24"/>
          <w:u w:val="single" w:color="000000"/>
        </w:rPr>
        <w:t xml:space="preserve">  </w:t>
      </w:r>
    </w:p>
    <w:p w:rsidR="0052701D" w:rsidRDefault="00D40929">
      <w:pPr>
        <w:spacing w:after="3" w:line="249" w:lineRule="auto"/>
        <w:ind w:left="568" w:right="142" w:firstLine="700"/>
        <w:jc w:val="both"/>
      </w:pPr>
      <w:r>
        <w:rPr>
          <w:rFonts w:ascii="Times New Roman" w:eastAsia="Times New Roman" w:hAnsi="Times New Roman" w:cs="Times New Roman"/>
          <w:b/>
          <w:i/>
          <w:sz w:val="24"/>
        </w:rPr>
        <w:t>Аннотация</w:t>
      </w:r>
      <w:r>
        <w:rPr>
          <w:rFonts w:ascii="Times New Roman" w:eastAsia="Times New Roman" w:hAnsi="Times New Roman" w:cs="Times New Roman"/>
          <w:i/>
          <w:sz w:val="24"/>
        </w:rPr>
        <w:t xml:space="preserve">. В статье рассматривается образовательный инжиниринг в контексте цифровой трансформации образования. </w:t>
      </w:r>
      <w:r>
        <w:rPr>
          <w:rFonts w:ascii="Times New Roman" w:eastAsia="Times New Roman" w:hAnsi="Times New Roman" w:cs="Times New Roman"/>
          <w:i/>
          <w:sz w:val="24"/>
        </w:rPr>
        <w:t>Особое внимание уделяется вопросам обновления содержания образования и организации учебной работы. Обосновывается необходимость перехода на понятийную цифровизацию, в которой понятия и понятийные структуры рассматриваются в качестве особых познавательных е</w:t>
      </w:r>
      <w:r>
        <w:rPr>
          <w:rFonts w:ascii="Times New Roman" w:eastAsia="Times New Roman" w:hAnsi="Times New Roman" w:cs="Times New Roman"/>
          <w:i/>
          <w:sz w:val="24"/>
        </w:rPr>
        <w:t xml:space="preserve">диниц. Для формирования единого знаниевого формата, приняты концепции и механизмы онтологического инжиниринга и проектно-компетентностный подход. Для проектирования и формирования знаниевого контента, применяется метод контрактного проектирования. </w:t>
      </w:r>
    </w:p>
    <w:p w:rsidR="0052701D" w:rsidRDefault="00D40929">
      <w:pPr>
        <w:spacing w:after="350" w:line="249" w:lineRule="auto"/>
        <w:ind w:left="568" w:right="146" w:firstLine="700"/>
        <w:jc w:val="both"/>
      </w:pPr>
      <w:r>
        <w:rPr>
          <w:rFonts w:ascii="Times New Roman" w:eastAsia="Times New Roman" w:hAnsi="Times New Roman" w:cs="Times New Roman"/>
          <w:b/>
          <w:i/>
          <w:sz w:val="24"/>
        </w:rPr>
        <w:t>Ключевы</w:t>
      </w:r>
      <w:r>
        <w:rPr>
          <w:rFonts w:ascii="Times New Roman" w:eastAsia="Times New Roman" w:hAnsi="Times New Roman" w:cs="Times New Roman"/>
          <w:b/>
          <w:i/>
          <w:sz w:val="24"/>
        </w:rPr>
        <w:t xml:space="preserve">е слова: </w:t>
      </w:r>
      <w:r>
        <w:rPr>
          <w:rFonts w:ascii="Times New Roman" w:eastAsia="Times New Roman" w:hAnsi="Times New Roman" w:cs="Times New Roman"/>
          <w:i/>
          <w:sz w:val="24"/>
        </w:rPr>
        <w:t>образовательный инжиниринг, образовательный продукт, проектный подход в обучении, STEM-педагогика, онтологический инжиниринг, контрактное проектирование, smart-контракт.</w:t>
      </w:r>
    </w:p>
    <w:p w:rsidR="0052701D" w:rsidRDefault="00D40929">
      <w:pPr>
        <w:spacing w:after="180" w:line="249" w:lineRule="auto"/>
        <w:ind w:left="2910" w:hanging="466"/>
      </w:pPr>
      <w:r>
        <w:rPr>
          <w:rFonts w:ascii="Times New Roman" w:eastAsia="Times New Roman" w:hAnsi="Times New Roman" w:cs="Times New Roman"/>
          <w:b/>
          <w:sz w:val="28"/>
        </w:rPr>
        <w:t>EDUCATIONAL ENGINEERING AND CONCEPT DIGITALIZATION OF EDUCATION</w:t>
      </w:r>
    </w:p>
    <w:p w:rsidR="0052701D" w:rsidRDefault="00D40929">
      <w:pPr>
        <w:spacing w:after="13" w:line="249" w:lineRule="auto"/>
        <w:ind w:left="1001" w:hanging="10"/>
        <w:jc w:val="center"/>
      </w:pPr>
      <w:r>
        <w:rPr>
          <w:rFonts w:ascii="Times New Roman" w:eastAsia="Times New Roman" w:hAnsi="Times New Roman" w:cs="Times New Roman"/>
          <w:sz w:val="24"/>
        </w:rPr>
        <w:t>B.S. Kubekov</w:t>
      </w:r>
    </w:p>
    <w:p w:rsidR="0052701D" w:rsidRDefault="00D40929">
      <w:pPr>
        <w:spacing w:after="13" w:line="248" w:lineRule="auto"/>
        <w:ind w:left="4382" w:right="2609" w:hanging="164"/>
      </w:pPr>
      <w:r>
        <w:rPr>
          <w:rFonts w:ascii="Times New Roman" w:eastAsia="Times New Roman" w:hAnsi="Times New Roman" w:cs="Times New Roman"/>
        </w:rPr>
        <w:t>Institution “University “Turan” e-mail:</w:t>
      </w:r>
      <w:r>
        <w:rPr>
          <w:rFonts w:ascii="Times New Roman" w:eastAsia="Times New Roman" w:hAnsi="Times New Roman" w:cs="Times New Roman"/>
          <w:u w:val="single" w:color="000000"/>
        </w:rPr>
        <w:t xml:space="preserve"> b.kubekov   @ mail.ru </w:t>
      </w:r>
    </w:p>
    <w:p w:rsidR="0052701D" w:rsidRDefault="00D40929">
      <w:pPr>
        <w:spacing w:after="5"/>
        <w:ind w:left="1103"/>
        <w:jc w:val="center"/>
      </w:pPr>
      <w:r>
        <w:rPr>
          <w:rFonts w:ascii="Times New Roman" w:eastAsia="Times New Roman" w:hAnsi="Times New Roman" w:cs="Times New Roman"/>
          <w:u w:val="single" w:color="000000"/>
        </w:rPr>
        <w:t xml:space="preserve">  </w:t>
      </w:r>
    </w:p>
    <w:p w:rsidR="0052701D" w:rsidRDefault="00D40929">
      <w:pPr>
        <w:spacing w:after="3" w:line="249" w:lineRule="auto"/>
        <w:ind w:left="568" w:right="282" w:firstLine="700"/>
        <w:jc w:val="both"/>
      </w:pPr>
      <w:r>
        <w:rPr>
          <w:rFonts w:ascii="Times New Roman" w:eastAsia="Times New Roman" w:hAnsi="Times New Roman" w:cs="Times New Roman"/>
          <w:b/>
          <w:i/>
          <w:sz w:val="24"/>
        </w:rPr>
        <w:t>Annotation</w:t>
      </w:r>
      <w:r>
        <w:rPr>
          <w:rFonts w:ascii="Times New Roman" w:eastAsia="Times New Roman" w:hAnsi="Times New Roman" w:cs="Times New Roman"/>
          <w:i/>
          <w:sz w:val="24"/>
        </w:rPr>
        <w:t>. The article discusses educational engineering in the context of the digital transformation of education. Particular attention is paid to the issues of updating the content of edu</w:t>
      </w:r>
      <w:r>
        <w:rPr>
          <w:rFonts w:ascii="Times New Roman" w:eastAsia="Times New Roman" w:hAnsi="Times New Roman" w:cs="Times New Roman"/>
          <w:i/>
          <w:sz w:val="24"/>
        </w:rPr>
        <w:t>cation and the organization of educational work. The necessity of transition to conceptual digitalization is substantiated, in which concepts and conceptual structures are considered as special cognitive units. For the formation of a single knowledge forma</w:t>
      </w:r>
      <w:r>
        <w:rPr>
          <w:rFonts w:ascii="Times New Roman" w:eastAsia="Times New Roman" w:hAnsi="Times New Roman" w:cs="Times New Roman"/>
          <w:i/>
          <w:sz w:val="24"/>
        </w:rPr>
        <w:t>t, the concepts and mechanisms of ontological engineering and the design-competence approach were adopted. For the design and formation of knowledge content, the contract design method is used.</w:t>
      </w:r>
    </w:p>
    <w:p w:rsidR="0052701D" w:rsidRDefault="00D40929">
      <w:pPr>
        <w:spacing w:after="304" w:line="249" w:lineRule="auto"/>
        <w:ind w:left="568" w:right="282" w:firstLine="700"/>
        <w:jc w:val="both"/>
      </w:pPr>
      <w:r>
        <w:rPr>
          <w:rFonts w:ascii="Times New Roman" w:eastAsia="Times New Roman" w:hAnsi="Times New Roman" w:cs="Times New Roman"/>
          <w:b/>
          <w:i/>
          <w:sz w:val="24"/>
        </w:rPr>
        <w:t>Key words:</w:t>
      </w:r>
      <w:r>
        <w:rPr>
          <w:rFonts w:ascii="Times New Roman" w:eastAsia="Times New Roman" w:hAnsi="Times New Roman" w:cs="Times New Roman"/>
          <w:i/>
          <w:sz w:val="24"/>
        </w:rPr>
        <w:t xml:space="preserve"> educational engineering, educational product, proje</w:t>
      </w:r>
      <w:r>
        <w:rPr>
          <w:rFonts w:ascii="Times New Roman" w:eastAsia="Times New Roman" w:hAnsi="Times New Roman" w:cs="Times New Roman"/>
          <w:i/>
          <w:sz w:val="24"/>
        </w:rPr>
        <w:t>ct approach in teaching, STEM pedagogy, ontological engineering, contract design, smart contract.</w:t>
      </w:r>
    </w:p>
    <w:p w:rsidR="0052701D" w:rsidRDefault="00D40929">
      <w:pPr>
        <w:spacing w:after="17" w:line="249" w:lineRule="auto"/>
        <w:ind w:left="1129" w:hanging="10"/>
      </w:pPr>
      <w:r>
        <w:rPr>
          <w:rFonts w:ascii="Times New Roman" w:eastAsia="Times New Roman" w:hAnsi="Times New Roman" w:cs="Times New Roman"/>
          <w:b/>
          <w:sz w:val="28"/>
        </w:rPr>
        <w:t>Введение</w:t>
      </w:r>
    </w:p>
    <w:p w:rsidR="0052701D" w:rsidRDefault="00D40929">
      <w:pPr>
        <w:spacing w:after="3" w:line="248" w:lineRule="auto"/>
        <w:ind w:left="553" w:right="149" w:firstLine="558"/>
        <w:jc w:val="both"/>
      </w:pPr>
      <w:r>
        <w:rPr>
          <w:rFonts w:ascii="Times New Roman" w:eastAsia="Times New Roman" w:hAnsi="Times New Roman" w:cs="Times New Roman"/>
          <w:sz w:val="28"/>
        </w:rPr>
        <w:t>Образовательный инжиниринг – это целенаправленная и совместная деятельность педагога и инженера по созданию, освоению, внедрению и распространению инновационных образовательных продуктов [1].</w:t>
      </w:r>
    </w:p>
    <w:p w:rsidR="0052701D" w:rsidRDefault="00D40929">
      <w:pPr>
        <w:spacing w:after="3" w:line="248" w:lineRule="auto"/>
        <w:ind w:left="553" w:right="4" w:firstLine="558"/>
        <w:jc w:val="both"/>
      </w:pPr>
      <w:r>
        <w:rPr>
          <w:rFonts w:ascii="Times New Roman" w:eastAsia="Times New Roman" w:hAnsi="Times New Roman" w:cs="Times New Roman"/>
          <w:sz w:val="28"/>
        </w:rPr>
        <w:lastRenderedPageBreak/>
        <w:t>Необходимость применения образовательного инжиниринга в педагоги</w:t>
      </w:r>
      <w:r>
        <w:rPr>
          <w:rFonts w:ascii="Times New Roman" w:eastAsia="Times New Roman" w:hAnsi="Times New Roman" w:cs="Times New Roman"/>
          <w:sz w:val="28"/>
        </w:rPr>
        <w:t>ческой деятельности обусловлены:</w:t>
      </w:r>
    </w:p>
    <w:p w:rsidR="0052701D" w:rsidRDefault="00D40929">
      <w:pPr>
        <w:spacing w:after="3" w:line="248" w:lineRule="auto"/>
        <w:ind w:left="553" w:right="4" w:firstLine="558"/>
        <w:jc w:val="both"/>
      </w:pPr>
      <w:r>
        <w:rPr>
          <w:rFonts w:ascii="Times New Roman" w:eastAsia="Times New Roman" w:hAnsi="Times New Roman" w:cs="Times New Roman"/>
          <w:sz w:val="28"/>
        </w:rPr>
        <w:t>-необходимостью интеграции инженерного мышления и инженерного подхода в практику образования;</w:t>
      </w:r>
    </w:p>
    <w:p w:rsidR="0052701D" w:rsidRDefault="00D40929">
      <w:pPr>
        <w:spacing w:after="3" w:line="248" w:lineRule="auto"/>
        <w:ind w:left="553" w:right="4" w:firstLine="558"/>
        <w:jc w:val="both"/>
      </w:pPr>
      <w:r>
        <w:rPr>
          <w:rFonts w:ascii="Times New Roman" w:eastAsia="Times New Roman" w:hAnsi="Times New Roman" w:cs="Times New Roman"/>
          <w:sz w:val="28"/>
        </w:rPr>
        <w:t>-поскольку инжиниринг</w:t>
      </w:r>
      <w:r>
        <w:rPr>
          <w:rFonts w:ascii="Times New Roman" w:eastAsia="Times New Roman" w:hAnsi="Times New Roman" w:cs="Times New Roman"/>
          <w:b/>
          <w:sz w:val="28"/>
        </w:rPr>
        <w:t xml:space="preserve"> </w:t>
      </w:r>
      <w:r>
        <w:rPr>
          <w:rFonts w:ascii="Times New Roman" w:eastAsia="Times New Roman" w:hAnsi="Times New Roman" w:cs="Times New Roman"/>
          <w:sz w:val="28"/>
        </w:rPr>
        <w:t>находится между наукой и производством, формируя технологическую базу производственной деятельности, именно</w:t>
      </w:r>
      <w:r>
        <w:rPr>
          <w:rFonts w:ascii="Times New Roman" w:eastAsia="Times New Roman" w:hAnsi="Times New Roman" w:cs="Times New Roman"/>
          <w:sz w:val="28"/>
        </w:rPr>
        <w:t xml:space="preserve"> в этом формате термин «инжиниринг» должен быть интегрирован и в педагогическую науку, формируя тем самым технологическую базу образовательной деятельности. Данный формат позволит рассматривать прикладной характер педагогических задач и будет способствоват</w:t>
      </w:r>
      <w:r>
        <w:rPr>
          <w:rFonts w:ascii="Times New Roman" w:eastAsia="Times New Roman" w:hAnsi="Times New Roman" w:cs="Times New Roman"/>
          <w:sz w:val="28"/>
        </w:rPr>
        <w:t xml:space="preserve">ь тем самым формированию основ инновационного мышления педагога, умения работать в условиях неопределенности, что соответствует современным тенденциям в образовании; </w:t>
      </w:r>
    </w:p>
    <w:p w:rsidR="0052701D" w:rsidRDefault="00D40929">
      <w:pPr>
        <w:spacing w:after="3" w:line="248" w:lineRule="auto"/>
        <w:ind w:left="553" w:right="150" w:firstLine="558"/>
        <w:jc w:val="both"/>
      </w:pPr>
      <w:r>
        <w:rPr>
          <w:rFonts w:ascii="Times New Roman" w:eastAsia="Times New Roman" w:hAnsi="Times New Roman" w:cs="Times New Roman"/>
          <w:sz w:val="28"/>
        </w:rPr>
        <w:t xml:space="preserve">-необходимостью создания таких учебных и технологических разработок, которые бы отвечали </w:t>
      </w:r>
      <w:r>
        <w:rPr>
          <w:rFonts w:ascii="Times New Roman" w:eastAsia="Times New Roman" w:hAnsi="Times New Roman" w:cs="Times New Roman"/>
          <w:sz w:val="28"/>
        </w:rPr>
        <w:t xml:space="preserve">долгосрочным потребностям обучающихся и позволяли достичь требуемых результатов, в соответствии с требованиями цифровой экономики; </w:t>
      </w:r>
    </w:p>
    <w:p w:rsidR="0052701D" w:rsidRDefault="00D40929">
      <w:pPr>
        <w:spacing w:after="3" w:line="248" w:lineRule="auto"/>
        <w:ind w:left="553" w:right="150" w:firstLine="558"/>
        <w:jc w:val="both"/>
      </w:pPr>
      <w:r>
        <w:rPr>
          <w:rFonts w:ascii="Times New Roman" w:eastAsia="Times New Roman" w:hAnsi="Times New Roman" w:cs="Times New Roman"/>
          <w:sz w:val="28"/>
        </w:rPr>
        <w:t>-требованиями к педагогам по освоению навыков проектирования и умения продвижения своих идей, именно поэтому в основу понима</w:t>
      </w:r>
      <w:r>
        <w:rPr>
          <w:rFonts w:ascii="Times New Roman" w:eastAsia="Times New Roman" w:hAnsi="Times New Roman" w:cs="Times New Roman"/>
          <w:sz w:val="28"/>
        </w:rPr>
        <w:t xml:space="preserve">ния термина «педагогический инжиниринг» положено проектирование, как один из основных типов образовательных отношений; </w:t>
      </w:r>
    </w:p>
    <w:p w:rsidR="0052701D" w:rsidRDefault="00D40929">
      <w:pPr>
        <w:spacing w:after="3" w:line="248" w:lineRule="auto"/>
        <w:ind w:left="553" w:right="149" w:firstLine="558"/>
        <w:jc w:val="both"/>
      </w:pPr>
      <w:r>
        <w:rPr>
          <w:rFonts w:ascii="Times New Roman" w:eastAsia="Times New Roman" w:hAnsi="Times New Roman" w:cs="Times New Roman"/>
          <w:sz w:val="28"/>
        </w:rPr>
        <w:t xml:space="preserve">-становлением нового вектора развития идей инжиниринга в образовании - STEM-педагогика, как интегрированного подхода, в рамках которого </w:t>
      </w:r>
      <w:r>
        <w:rPr>
          <w:rFonts w:ascii="Times New Roman" w:eastAsia="Times New Roman" w:hAnsi="Times New Roman" w:cs="Times New Roman"/>
          <w:sz w:val="28"/>
        </w:rPr>
        <w:t xml:space="preserve">академические и научно-технические концепции изучаются в контексте реальной цифровой жизни [2]; </w:t>
      </w:r>
    </w:p>
    <w:p w:rsidR="0052701D" w:rsidRDefault="00D40929">
      <w:pPr>
        <w:spacing w:after="3" w:line="248" w:lineRule="auto"/>
        <w:ind w:left="553" w:right="147" w:firstLine="558"/>
        <w:jc w:val="both"/>
      </w:pPr>
      <w:r>
        <w:rPr>
          <w:rFonts w:ascii="Times New Roman" w:eastAsia="Times New Roman" w:hAnsi="Times New Roman" w:cs="Times New Roman"/>
          <w:sz w:val="28"/>
        </w:rPr>
        <w:t>-необходимостью перехода на инжиниринговый процесс в работе педагога, направленный на создание и продвижение образовательного продукта, который должен обладать</w:t>
      </w:r>
      <w:r>
        <w:rPr>
          <w:rFonts w:ascii="Times New Roman" w:eastAsia="Times New Roman" w:hAnsi="Times New Roman" w:cs="Times New Roman"/>
          <w:sz w:val="28"/>
        </w:rPr>
        <w:t>, по меньшей мере, следующими свойствами: востребованность, планируемость и проектная ограниченность, духовный потенциал, адекватность цели, антропо-центричность, культуросообразность, технологичность, системность, уровневость, вероятностность (эвристичнос</w:t>
      </w:r>
      <w:r>
        <w:rPr>
          <w:rFonts w:ascii="Times New Roman" w:eastAsia="Times New Roman" w:hAnsi="Times New Roman" w:cs="Times New Roman"/>
          <w:sz w:val="28"/>
        </w:rPr>
        <w:t xml:space="preserve">ть), интегрированность, динамичность; </w:t>
      </w:r>
    </w:p>
    <w:p w:rsidR="0052701D" w:rsidRDefault="00D40929">
      <w:pPr>
        <w:spacing w:after="3" w:line="248" w:lineRule="auto"/>
        <w:ind w:left="553" w:right="150" w:firstLine="558"/>
        <w:jc w:val="both"/>
      </w:pPr>
      <w:r>
        <w:rPr>
          <w:rFonts w:ascii="Times New Roman" w:eastAsia="Times New Roman" w:hAnsi="Times New Roman" w:cs="Times New Roman"/>
          <w:sz w:val="28"/>
        </w:rPr>
        <w:t xml:space="preserve">-необходимостью внедрения идей инжиниринга в образование и прикладных систем искусственного интеллекта, с целью обновления содержания образования и организации учебной работы; </w:t>
      </w:r>
    </w:p>
    <w:p w:rsidR="0052701D" w:rsidRDefault="00D40929">
      <w:pPr>
        <w:spacing w:after="3" w:line="248" w:lineRule="auto"/>
        <w:ind w:left="553" w:right="4" w:firstLine="558"/>
        <w:jc w:val="both"/>
      </w:pPr>
      <w:r>
        <w:rPr>
          <w:rFonts w:ascii="Times New Roman" w:eastAsia="Times New Roman" w:hAnsi="Times New Roman" w:cs="Times New Roman"/>
          <w:sz w:val="28"/>
        </w:rPr>
        <w:t>-необходимостью превращения образователь</w:t>
      </w:r>
      <w:r>
        <w:rPr>
          <w:rFonts w:ascii="Times New Roman" w:eastAsia="Times New Roman" w:hAnsi="Times New Roman" w:cs="Times New Roman"/>
          <w:sz w:val="28"/>
        </w:rPr>
        <w:t>ной организации в цифровое предприятие со своей цифровой экосистемой;</w:t>
      </w:r>
    </w:p>
    <w:p w:rsidR="0052701D" w:rsidRDefault="00D40929">
      <w:pPr>
        <w:spacing w:after="3" w:line="248" w:lineRule="auto"/>
        <w:ind w:left="553" w:right="141" w:firstLine="558"/>
        <w:jc w:val="both"/>
      </w:pPr>
      <w:r>
        <w:rPr>
          <w:rFonts w:ascii="Times New Roman" w:eastAsia="Times New Roman" w:hAnsi="Times New Roman" w:cs="Times New Roman"/>
          <w:sz w:val="28"/>
        </w:rPr>
        <w:t>-необходимостью модернизации функционального пространства педагогического труда, посредством обеспечения педагогов средствами smartтехнологий.</w:t>
      </w:r>
    </w:p>
    <w:p w:rsidR="0052701D" w:rsidRDefault="00D40929">
      <w:pPr>
        <w:spacing w:after="3" w:line="248" w:lineRule="auto"/>
        <w:ind w:left="553" w:right="151" w:firstLine="558"/>
        <w:jc w:val="both"/>
      </w:pPr>
      <w:r>
        <w:rPr>
          <w:rFonts w:ascii="Times New Roman" w:eastAsia="Times New Roman" w:hAnsi="Times New Roman" w:cs="Times New Roman"/>
          <w:sz w:val="28"/>
        </w:rPr>
        <w:t>Таким образом, становлению и активному внед</w:t>
      </w:r>
      <w:r>
        <w:rPr>
          <w:rFonts w:ascii="Times New Roman" w:eastAsia="Times New Roman" w:hAnsi="Times New Roman" w:cs="Times New Roman"/>
          <w:sz w:val="28"/>
        </w:rPr>
        <w:t>рению в педагогическую науку и практику понятия «Образовательный инжиниринг» будет способствовать:</w:t>
      </w:r>
    </w:p>
    <w:p w:rsidR="0052701D" w:rsidRDefault="00D40929">
      <w:pPr>
        <w:spacing w:after="3" w:line="248" w:lineRule="auto"/>
        <w:ind w:left="553" w:right="150" w:firstLine="558"/>
        <w:jc w:val="both"/>
      </w:pPr>
      <w:r>
        <w:rPr>
          <w:rFonts w:ascii="Times New Roman" w:eastAsia="Times New Roman" w:hAnsi="Times New Roman" w:cs="Times New Roman"/>
          <w:sz w:val="28"/>
        </w:rPr>
        <w:t xml:space="preserve"> во-первых, проектный характер педагогической деятельности и необходимость доведения до этапа внедрения современных образовательных продуктов; во-вторых, нео</w:t>
      </w:r>
      <w:r>
        <w:rPr>
          <w:rFonts w:ascii="Times New Roman" w:eastAsia="Times New Roman" w:hAnsi="Times New Roman" w:cs="Times New Roman"/>
          <w:sz w:val="28"/>
        </w:rPr>
        <w:t xml:space="preserve">бходимость цифровой трансформации образования и </w:t>
      </w:r>
      <w:r>
        <w:rPr>
          <w:rFonts w:ascii="Times New Roman" w:eastAsia="Times New Roman" w:hAnsi="Times New Roman" w:cs="Times New Roman"/>
          <w:sz w:val="28"/>
        </w:rPr>
        <w:lastRenderedPageBreak/>
        <w:t>развитие цифровых образовательных инструментов, что будет способствовать подготовке специалистов нового типа - драйверов экономического и социального развития.</w:t>
      </w:r>
    </w:p>
    <w:p w:rsidR="0052701D" w:rsidRDefault="00D40929">
      <w:pPr>
        <w:spacing w:after="3" w:line="248" w:lineRule="auto"/>
        <w:ind w:left="553" w:right="147" w:firstLine="558"/>
        <w:jc w:val="both"/>
      </w:pPr>
      <w:r>
        <w:rPr>
          <w:rFonts w:ascii="Times New Roman" w:eastAsia="Times New Roman" w:hAnsi="Times New Roman" w:cs="Times New Roman"/>
          <w:sz w:val="28"/>
        </w:rPr>
        <w:t>В этой связи, проблемно-ориентированные концепци</w:t>
      </w:r>
      <w:r>
        <w:rPr>
          <w:rFonts w:ascii="Times New Roman" w:eastAsia="Times New Roman" w:hAnsi="Times New Roman" w:cs="Times New Roman"/>
          <w:sz w:val="28"/>
        </w:rPr>
        <w:t>и должны служить лишь точкой входа мотивации обучающихся для освоения фундаментальных знаний, а все конкретные задачи должны обязательно вести к осмыслению общих решений, теорий и идей, так как суть современного стиля обучения должна заключаться в понимани</w:t>
      </w:r>
      <w:r>
        <w:rPr>
          <w:rFonts w:ascii="Times New Roman" w:eastAsia="Times New Roman" w:hAnsi="Times New Roman" w:cs="Times New Roman"/>
          <w:sz w:val="28"/>
        </w:rPr>
        <w:t>и принципов получения знаний и важности развития знаний до некоторого обобщенного подхода. Только такой стиль обучения будет способствовать подготовке специалистов, способных заниматься наукой и решать уникальные задачи.</w:t>
      </w:r>
    </w:p>
    <w:p w:rsidR="0052701D" w:rsidRDefault="00D40929">
      <w:pPr>
        <w:spacing w:after="310" w:line="248" w:lineRule="auto"/>
        <w:ind w:left="553" w:right="148" w:firstLine="558"/>
        <w:jc w:val="both"/>
      </w:pPr>
      <w:r>
        <w:rPr>
          <w:rFonts w:ascii="Times New Roman" w:eastAsia="Times New Roman" w:hAnsi="Times New Roman" w:cs="Times New Roman"/>
          <w:sz w:val="28"/>
        </w:rPr>
        <w:t>Интенсивность современного научно-педагогического поиска новых подходов можно рассматривать как яркий симптом назревших трансформаций в сфере образования. Сегодня образовательный инжиниринг - это зона активного поиска, эксперимента и инноваций в образовани</w:t>
      </w:r>
      <w:r>
        <w:rPr>
          <w:rFonts w:ascii="Times New Roman" w:eastAsia="Times New Roman" w:hAnsi="Times New Roman" w:cs="Times New Roman"/>
          <w:sz w:val="28"/>
        </w:rPr>
        <w:t>и. И, несмотря на сосредоточенность на технологиях, проектировании и конструировании, вопросы инжиниринга образования - это вопросы и проблемы также и области гуманитарных и социальных наук, но, прежде всего, это вопросы методологии управления и организаци</w:t>
      </w:r>
      <w:r>
        <w:rPr>
          <w:rFonts w:ascii="Times New Roman" w:eastAsia="Times New Roman" w:hAnsi="Times New Roman" w:cs="Times New Roman"/>
          <w:sz w:val="28"/>
        </w:rPr>
        <w:t>и образовательных процессов.</w:t>
      </w:r>
    </w:p>
    <w:p w:rsidR="0052701D" w:rsidRDefault="00D40929">
      <w:pPr>
        <w:spacing w:after="17" w:line="249" w:lineRule="auto"/>
        <w:ind w:left="1129" w:hanging="10"/>
      </w:pPr>
      <w:r>
        <w:rPr>
          <w:rFonts w:ascii="Times New Roman" w:eastAsia="Times New Roman" w:hAnsi="Times New Roman" w:cs="Times New Roman"/>
          <w:b/>
          <w:sz w:val="28"/>
        </w:rPr>
        <w:t>Основная часть 1. Обновление содержания образования и организации учебной работы</w:t>
      </w:r>
    </w:p>
    <w:p w:rsidR="0052701D" w:rsidRDefault="00D40929">
      <w:pPr>
        <w:spacing w:after="3" w:line="248" w:lineRule="auto"/>
        <w:ind w:left="553" w:right="149" w:firstLine="558"/>
        <w:jc w:val="both"/>
      </w:pPr>
      <w:r>
        <w:rPr>
          <w:rFonts w:ascii="Times New Roman" w:eastAsia="Times New Roman" w:hAnsi="Times New Roman" w:cs="Times New Roman"/>
          <w:sz w:val="28"/>
        </w:rPr>
        <w:t>В контексте образовательного инжиниринга, на кафедре «Компьютерная и программная инженерия» университета «Туран», проводятся исследования и разраб</w:t>
      </w:r>
      <w:r>
        <w:rPr>
          <w:rFonts w:ascii="Times New Roman" w:eastAsia="Times New Roman" w:hAnsi="Times New Roman" w:cs="Times New Roman"/>
          <w:sz w:val="28"/>
        </w:rPr>
        <w:t xml:space="preserve">отки, связанные с применением онтологического инжиниринга, на базе проектно-компетентностного подхода, направленные как на обновление содержания образования, так и на обновление организации учебной работы. </w:t>
      </w:r>
    </w:p>
    <w:p w:rsidR="0052701D" w:rsidRDefault="00D40929">
      <w:pPr>
        <w:spacing w:after="3" w:line="248" w:lineRule="auto"/>
        <w:ind w:left="553" w:right="151" w:firstLine="558"/>
        <w:jc w:val="both"/>
      </w:pPr>
      <w:r>
        <w:rPr>
          <w:rFonts w:ascii="Times New Roman" w:eastAsia="Times New Roman" w:hAnsi="Times New Roman" w:cs="Times New Roman"/>
          <w:sz w:val="28"/>
        </w:rPr>
        <w:t>Так как человек понимает смысл и назначение вещей</w:t>
      </w:r>
      <w:r>
        <w:rPr>
          <w:rFonts w:ascii="Times New Roman" w:eastAsia="Times New Roman" w:hAnsi="Times New Roman" w:cs="Times New Roman"/>
          <w:sz w:val="28"/>
        </w:rPr>
        <w:t xml:space="preserve"> и действий с ними, только если они в его сознании находятся в рамках некоторой системы связанных друг с другом понятий, поэтому, принятая в исследовании когнитивно-фреймовая модель отображения знаний, на базе онтологии понятий, во-первых, способствует обу</w:t>
      </w:r>
      <w:r>
        <w:rPr>
          <w:rFonts w:ascii="Times New Roman" w:eastAsia="Times New Roman" w:hAnsi="Times New Roman" w:cs="Times New Roman"/>
          <w:sz w:val="28"/>
        </w:rPr>
        <w:t>чению навыкам и рациональным приемам сжатия информации и развитию когнитивного мышления обучающихся и, во-вторых, способствует осмыслению принципов получения знаний и важности развития знаний до некоторого обобщенного подхода.</w:t>
      </w:r>
    </w:p>
    <w:p w:rsidR="0052701D" w:rsidRDefault="00D40929">
      <w:pPr>
        <w:spacing w:after="3" w:line="248" w:lineRule="auto"/>
        <w:ind w:left="553" w:right="144" w:firstLine="558"/>
        <w:jc w:val="both"/>
      </w:pPr>
      <w:r>
        <w:rPr>
          <w:rFonts w:ascii="Times New Roman" w:eastAsia="Times New Roman" w:hAnsi="Times New Roman" w:cs="Times New Roman"/>
          <w:sz w:val="28"/>
        </w:rPr>
        <w:t>Важность такого осмысления ро</w:t>
      </w:r>
      <w:r>
        <w:rPr>
          <w:rFonts w:ascii="Times New Roman" w:eastAsia="Times New Roman" w:hAnsi="Times New Roman" w:cs="Times New Roman"/>
          <w:sz w:val="28"/>
        </w:rPr>
        <w:t xml:space="preserve">ли понятий и понятийных структур, как особых познавательных единиц, была подчеркнута Второй РоссийскоКитайской конференцией исследователей образования «Цифровая трансформация образования и искусственный интеллект» Москва, Россия 2627 сентября 2019г.[3]. </w:t>
      </w:r>
    </w:p>
    <w:p w:rsidR="0052701D" w:rsidRDefault="00D40929">
      <w:pPr>
        <w:spacing w:after="3" w:line="248" w:lineRule="auto"/>
        <w:ind w:left="553" w:right="145" w:firstLine="558"/>
        <w:jc w:val="both"/>
      </w:pPr>
      <w:r>
        <w:rPr>
          <w:rFonts w:ascii="Times New Roman" w:eastAsia="Times New Roman" w:hAnsi="Times New Roman" w:cs="Times New Roman"/>
          <w:sz w:val="28"/>
        </w:rPr>
        <w:t>К</w:t>
      </w:r>
      <w:r>
        <w:rPr>
          <w:rFonts w:ascii="Times New Roman" w:eastAsia="Times New Roman" w:hAnsi="Times New Roman" w:cs="Times New Roman"/>
          <w:sz w:val="28"/>
        </w:rPr>
        <w:t>онференция отметила, что в ходе цифровой трансформации образования, помимо описания новых образовательных результатов, требуется уточнение и переосмысление традиционного содержания образования. Обновленное содержание образования должно способствовать овлад</w:t>
      </w:r>
      <w:r>
        <w:rPr>
          <w:rFonts w:ascii="Times New Roman" w:eastAsia="Times New Roman" w:hAnsi="Times New Roman" w:cs="Times New Roman"/>
          <w:sz w:val="28"/>
        </w:rPr>
        <w:t xml:space="preserve">ению обучающимися ограниченного набора ключевых или базовых понятий, что позволит избежать </w:t>
      </w:r>
      <w:r>
        <w:rPr>
          <w:rFonts w:ascii="Times New Roman" w:eastAsia="Times New Roman" w:hAnsi="Times New Roman" w:cs="Times New Roman"/>
          <w:sz w:val="28"/>
        </w:rPr>
        <w:lastRenderedPageBreak/>
        <w:t>поверхностного изучения большого количества не всегда связанных между собой вопросов, что является распространенным недостатком современных учебных программ. Более т</w:t>
      </w:r>
      <w:r>
        <w:rPr>
          <w:rFonts w:ascii="Times New Roman" w:eastAsia="Times New Roman" w:hAnsi="Times New Roman" w:cs="Times New Roman"/>
          <w:sz w:val="28"/>
        </w:rPr>
        <w:t>ого, сокращение объема фактически изучаемого материала высвобождает время для того, чтобы учащиеся могли выстраивать собственное знание в ходе учебной работы, осваивать базовые компетентности, которые ученые и инженеры используют в своей практической работ</w:t>
      </w:r>
      <w:r>
        <w:rPr>
          <w:rFonts w:ascii="Times New Roman" w:eastAsia="Times New Roman" w:hAnsi="Times New Roman" w:cs="Times New Roman"/>
          <w:sz w:val="28"/>
        </w:rPr>
        <w:t>е, рефлексивно осмысливать осваиваемый материал и глубже понимать природу изучаемых явлений.</w:t>
      </w:r>
    </w:p>
    <w:p w:rsidR="0052701D" w:rsidRDefault="00D40929">
      <w:pPr>
        <w:spacing w:after="3" w:line="248" w:lineRule="auto"/>
        <w:ind w:left="553" w:right="148" w:firstLine="558"/>
        <w:jc w:val="both"/>
      </w:pPr>
      <w:r>
        <w:rPr>
          <w:rFonts w:ascii="Times New Roman" w:eastAsia="Times New Roman" w:hAnsi="Times New Roman" w:cs="Times New Roman"/>
          <w:sz w:val="28"/>
        </w:rPr>
        <w:t xml:space="preserve">Далее, выделение базовых понятий помогает сформировать у обучающихся понятийные структуры, которые облегчают приобретение новых знаний. </w:t>
      </w:r>
    </w:p>
    <w:p w:rsidR="0052701D" w:rsidRDefault="00D40929">
      <w:pPr>
        <w:spacing w:after="3" w:line="248" w:lineRule="auto"/>
        <w:ind w:left="553" w:right="4" w:firstLine="558"/>
        <w:jc w:val="both"/>
      </w:pPr>
      <w:r>
        <w:rPr>
          <w:rFonts w:ascii="Times New Roman" w:eastAsia="Times New Roman" w:hAnsi="Times New Roman" w:cs="Times New Roman"/>
          <w:sz w:val="28"/>
        </w:rPr>
        <w:t>Основательное изучение баз</w:t>
      </w:r>
      <w:r>
        <w:rPr>
          <w:rFonts w:ascii="Times New Roman" w:eastAsia="Times New Roman" w:hAnsi="Times New Roman" w:cs="Times New Roman"/>
          <w:sz w:val="28"/>
        </w:rPr>
        <w:t>овых понятий</w:t>
      </w:r>
      <w:r>
        <w:rPr>
          <w:rFonts w:ascii="Times New Roman" w:eastAsia="Times New Roman" w:hAnsi="Times New Roman" w:cs="Times New Roman"/>
          <w:b/>
          <w:sz w:val="28"/>
        </w:rPr>
        <w:t xml:space="preserve"> </w:t>
      </w:r>
      <w:r>
        <w:rPr>
          <w:rFonts w:ascii="Times New Roman" w:eastAsia="Times New Roman" w:hAnsi="Times New Roman" w:cs="Times New Roman"/>
          <w:sz w:val="28"/>
        </w:rPr>
        <w:t>в рамках обязательных курсов, а также участие в реализации научных и инженерных проектов помогает:</w:t>
      </w:r>
    </w:p>
    <w:p w:rsidR="0052701D" w:rsidRDefault="00D40929">
      <w:pPr>
        <w:spacing w:after="12" w:line="249" w:lineRule="auto"/>
        <w:ind w:left="563" w:right="146" w:hanging="10"/>
        <w:jc w:val="right"/>
      </w:pPr>
      <w:r>
        <w:rPr>
          <w:rFonts w:ascii="Times New Roman" w:eastAsia="Times New Roman" w:hAnsi="Times New Roman" w:cs="Times New Roman"/>
          <w:sz w:val="28"/>
        </w:rPr>
        <w:t>во-первых, глубокому и осознанному усвоению современных естественных представлений естественно-научных дисциплин; во-вторых, служит основой для понимания и изучения других ключевых, более сложных понятий, для решения задач в одной или нескольких предметных</w:t>
      </w:r>
      <w:r>
        <w:rPr>
          <w:rFonts w:ascii="Times New Roman" w:eastAsia="Times New Roman" w:hAnsi="Times New Roman" w:cs="Times New Roman"/>
          <w:sz w:val="28"/>
        </w:rPr>
        <w:t xml:space="preserve"> областях; в-третьих, входить в область интересов обучающихся и быть связанными с их жизненным и профессиональным опытом, с важными социальными и (или) личными проблемами, решение которых требует естественно-научных знаний; в-четвертых, самое главное, быть</w:t>
      </w:r>
      <w:r>
        <w:rPr>
          <w:rFonts w:ascii="Times New Roman" w:eastAsia="Times New Roman" w:hAnsi="Times New Roman" w:cs="Times New Roman"/>
          <w:sz w:val="28"/>
        </w:rPr>
        <w:t xml:space="preserve"> востребованными в ходе продолжения</w:t>
      </w:r>
    </w:p>
    <w:p w:rsidR="0052701D" w:rsidRDefault="00D40929">
      <w:pPr>
        <w:spacing w:after="3" w:line="248" w:lineRule="auto"/>
        <w:ind w:left="553" w:right="4"/>
        <w:jc w:val="both"/>
      </w:pPr>
      <w:r>
        <w:rPr>
          <w:rFonts w:ascii="Times New Roman" w:eastAsia="Times New Roman" w:hAnsi="Times New Roman" w:cs="Times New Roman"/>
          <w:sz w:val="28"/>
        </w:rPr>
        <w:t>обучения на протяжении всей жизни.</w:t>
      </w:r>
    </w:p>
    <w:p w:rsidR="0052701D" w:rsidRDefault="00D40929">
      <w:pPr>
        <w:spacing w:after="3" w:line="248" w:lineRule="auto"/>
        <w:ind w:left="553" w:right="146" w:firstLine="558"/>
        <w:jc w:val="both"/>
      </w:pPr>
      <w:r>
        <w:rPr>
          <w:rFonts w:ascii="Times New Roman" w:eastAsia="Times New Roman" w:hAnsi="Times New Roman" w:cs="Times New Roman"/>
          <w:sz w:val="28"/>
        </w:rPr>
        <w:t>Такие выводы данной конференции, подтвердили правильность наших исследований, проведенных в рамках грантового финансирования МОН РК, в 2018-2020 годах, по теме «Исследование и разработк</w:t>
      </w:r>
      <w:r>
        <w:rPr>
          <w:rFonts w:ascii="Times New Roman" w:eastAsia="Times New Roman" w:hAnsi="Times New Roman" w:cs="Times New Roman"/>
          <w:sz w:val="28"/>
        </w:rPr>
        <w:t>а моделей и методики представления и организации знаний, с применением онтологического подхода и инструментальных средств smart-технологии, при реализации образовательных программ и процессов», и проводимых по настоящее время под научным руководством профе</w:t>
      </w:r>
      <w:r>
        <w:rPr>
          <w:rFonts w:ascii="Times New Roman" w:eastAsia="Times New Roman" w:hAnsi="Times New Roman" w:cs="Times New Roman"/>
          <w:sz w:val="28"/>
        </w:rPr>
        <w:t>ссора Кубекова Б.С.[4].</w:t>
      </w:r>
    </w:p>
    <w:p w:rsidR="0052701D" w:rsidRDefault="00D40929">
      <w:pPr>
        <w:tabs>
          <w:tab w:val="center" w:pos="1239"/>
          <w:tab w:val="center" w:pos="3057"/>
        </w:tabs>
        <w:spacing w:after="17" w:line="249" w:lineRule="auto"/>
      </w:pPr>
      <w:r>
        <w:tab/>
      </w:r>
      <w:r>
        <w:rPr>
          <w:rFonts w:ascii="Times New Roman" w:eastAsia="Times New Roman" w:hAnsi="Times New Roman" w:cs="Times New Roman"/>
          <w:b/>
          <w:sz w:val="28"/>
        </w:rPr>
        <w:t>2.</w:t>
      </w:r>
      <w:r>
        <w:rPr>
          <w:rFonts w:ascii="Times New Roman" w:eastAsia="Times New Roman" w:hAnsi="Times New Roman" w:cs="Times New Roman"/>
          <w:b/>
          <w:sz w:val="28"/>
        </w:rPr>
        <w:tab/>
        <w:t>Формализмы методики</w:t>
      </w:r>
      <w:r>
        <w:rPr>
          <w:rFonts w:ascii="Times New Roman" w:eastAsia="Times New Roman" w:hAnsi="Times New Roman" w:cs="Times New Roman"/>
          <w:sz w:val="28"/>
        </w:rPr>
        <w:t xml:space="preserve"> </w:t>
      </w:r>
      <w:r>
        <w:rPr>
          <w:rFonts w:ascii="Times New Roman" w:eastAsia="Times New Roman" w:hAnsi="Times New Roman" w:cs="Times New Roman"/>
          <w:b/>
          <w:sz w:val="28"/>
        </w:rPr>
        <w:t xml:space="preserve"> </w:t>
      </w:r>
    </w:p>
    <w:p w:rsidR="0052701D" w:rsidRDefault="00D40929">
      <w:pPr>
        <w:spacing w:after="3" w:line="248" w:lineRule="auto"/>
        <w:ind w:left="553" w:right="142" w:firstLine="558"/>
        <w:jc w:val="both"/>
      </w:pPr>
      <w:r>
        <w:rPr>
          <w:rFonts w:ascii="Times New Roman" w:eastAsia="Times New Roman" w:hAnsi="Times New Roman" w:cs="Times New Roman"/>
          <w:sz w:val="28"/>
        </w:rPr>
        <w:t xml:space="preserve">В наших исследованиях представление компетенций осуществляется с помощью необходимого и достаточного набора опорных понятий, где опорное понятие - базовая абстракция, или ядро понятий семантического контекста предметной области, обладающая индивидуальными </w:t>
      </w:r>
      <w:r>
        <w:rPr>
          <w:rFonts w:ascii="Times New Roman" w:eastAsia="Times New Roman" w:hAnsi="Times New Roman" w:cs="Times New Roman"/>
          <w:sz w:val="28"/>
        </w:rPr>
        <w:t xml:space="preserve">свойствами, и определяющая свойство общности для понятий вариантов своего представления. </w:t>
      </w:r>
    </w:p>
    <w:p w:rsidR="0052701D" w:rsidRDefault="00D40929">
      <w:pPr>
        <w:spacing w:after="3" w:line="248" w:lineRule="auto"/>
        <w:ind w:left="553" w:right="145" w:firstLine="558"/>
        <w:jc w:val="both"/>
      </w:pPr>
      <w:r>
        <w:rPr>
          <w:rFonts w:ascii="Times New Roman" w:eastAsia="Times New Roman" w:hAnsi="Times New Roman" w:cs="Times New Roman"/>
          <w:sz w:val="28"/>
        </w:rPr>
        <w:t>Каждое опорное понятие моделируется в виде онтологии понятий, для чего применяется когнитивно-фреймовая модель отображения знаний.  Для хранения и обработки знаний, о</w:t>
      </w:r>
      <w:r>
        <w:rPr>
          <w:rFonts w:ascii="Times New Roman" w:eastAsia="Times New Roman" w:hAnsi="Times New Roman" w:cs="Times New Roman"/>
          <w:sz w:val="28"/>
        </w:rPr>
        <w:t xml:space="preserve">нтология опорного понятия специфицируется в виде выражения знания. Таким образом, опорное понятие можно считать, как одну из форм отражения мира на рациональной ступени познания. </w:t>
      </w:r>
    </w:p>
    <w:p w:rsidR="0052701D" w:rsidRDefault="00D40929">
      <w:pPr>
        <w:spacing w:after="3" w:line="248" w:lineRule="auto"/>
        <w:ind w:left="553" w:right="4" w:firstLine="558"/>
        <w:jc w:val="both"/>
      </w:pPr>
      <w:r>
        <w:rPr>
          <w:rFonts w:ascii="Times New Roman" w:eastAsia="Times New Roman" w:hAnsi="Times New Roman" w:cs="Times New Roman"/>
          <w:sz w:val="28"/>
        </w:rPr>
        <w:t>Аналогично, для спецификации компетенций введено понятие выражение компетенц</w:t>
      </w:r>
      <w:r>
        <w:rPr>
          <w:rFonts w:ascii="Times New Roman" w:eastAsia="Times New Roman" w:hAnsi="Times New Roman" w:cs="Times New Roman"/>
          <w:sz w:val="28"/>
        </w:rPr>
        <w:t xml:space="preserve">ий. </w:t>
      </w:r>
    </w:p>
    <w:p w:rsidR="0052701D" w:rsidRDefault="00D40929">
      <w:pPr>
        <w:spacing w:after="3" w:line="248" w:lineRule="auto"/>
        <w:ind w:left="553" w:right="4" w:firstLine="558"/>
        <w:jc w:val="both"/>
      </w:pPr>
      <w:r>
        <w:rPr>
          <w:rFonts w:ascii="Times New Roman" w:eastAsia="Times New Roman" w:hAnsi="Times New Roman" w:cs="Times New Roman"/>
          <w:sz w:val="28"/>
        </w:rPr>
        <w:t xml:space="preserve">В качестве примера онтологии опорного понятия и ее визуального представления, приведем выражение знания и соответствующий реляционный </w:t>
      </w:r>
      <w:r>
        <w:rPr>
          <w:rFonts w:ascii="Times New Roman" w:eastAsia="Times New Roman" w:hAnsi="Times New Roman" w:cs="Times New Roman"/>
          <w:sz w:val="28"/>
        </w:rPr>
        <w:lastRenderedPageBreak/>
        <w:t>граф опорного понятия С</w:t>
      </w:r>
      <w:r>
        <w:rPr>
          <w:rFonts w:ascii="Times New Roman" w:eastAsia="Times New Roman" w:hAnsi="Times New Roman" w:cs="Times New Roman"/>
          <w:sz w:val="25"/>
          <w:vertAlign w:val="subscript"/>
        </w:rPr>
        <w:t xml:space="preserve">5 </w:t>
      </w:r>
      <w:r>
        <w:rPr>
          <w:rFonts w:ascii="Times New Roman" w:eastAsia="Times New Roman" w:hAnsi="Times New Roman" w:cs="Times New Roman"/>
          <w:sz w:val="28"/>
        </w:rPr>
        <w:t>- «Архитектура распределенных приложенийпараллельных и реального времени», проекта «Банковск</w:t>
      </w:r>
      <w:r>
        <w:rPr>
          <w:rFonts w:ascii="Times New Roman" w:eastAsia="Times New Roman" w:hAnsi="Times New Roman" w:cs="Times New Roman"/>
          <w:sz w:val="28"/>
        </w:rPr>
        <w:t>ая система типа клиент-сервер» (рис.1).</w:t>
      </w:r>
    </w:p>
    <w:p w:rsidR="0052701D" w:rsidRDefault="00D40929">
      <w:pPr>
        <w:spacing w:after="340"/>
        <w:ind w:left="1132"/>
      </w:pPr>
      <w:r>
        <w:rPr>
          <w:noProof/>
        </w:rPr>
        <w:drawing>
          <wp:inline distT="0" distB="0" distL="0" distR="0">
            <wp:extent cx="5600701" cy="2865120"/>
            <wp:effectExtent l="0" t="0" r="0" b="0"/>
            <wp:docPr id="176041" name="Picture 176041"/>
            <wp:cNvGraphicFramePr/>
            <a:graphic xmlns:a="http://schemas.openxmlformats.org/drawingml/2006/main">
              <a:graphicData uri="http://schemas.openxmlformats.org/drawingml/2006/picture">
                <pic:pic xmlns:pic="http://schemas.openxmlformats.org/drawingml/2006/picture">
                  <pic:nvPicPr>
                    <pic:cNvPr id="176041" name="Picture 176041"/>
                    <pic:cNvPicPr/>
                  </pic:nvPicPr>
                  <pic:blipFill>
                    <a:blip r:embed="rId849"/>
                    <a:stretch>
                      <a:fillRect/>
                    </a:stretch>
                  </pic:blipFill>
                  <pic:spPr>
                    <a:xfrm>
                      <a:off x="0" y="0"/>
                      <a:ext cx="5600701" cy="2865120"/>
                    </a:xfrm>
                    <a:prstGeom prst="rect">
                      <a:avLst/>
                    </a:prstGeom>
                  </pic:spPr>
                </pic:pic>
              </a:graphicData>
            </a:graphic>
          </wp:inline>
        </w:drawing>
      </w:r>
    </w:p>
    <w:p w:rsidR="0052701D" w:rsidRDefault="00D40929">
      <w:pPr>
        <w:spacing w:after="12" w:line="249" w:lineRule="auto"/>
        <w:ind w:left="563" w:right="147" w:hanging="10"/>
        <w:jc w:val="right"/>
      </w:pPr>
      <w:r>
        <w:rPr>
          <w:rFonts w:ascii="Times New Roman" w:eastAsia="Times New Roman" w:hAnsi="Times New Roman" w:cs="Times New Roman"/>
          <w:sz w:val="28"/>
        </w:rPr>
        <w:t>Рисунок 1 - Выражение знания и реляционный граф опорного понятия С</w:t>
      </w:r>
      <w:r>
        <w:rPr>
          <w:rFonts w:ascii="Times New Roman" w:eastAsia="Times New Roman" w:hAnsi="Times New Roman" w:cs="Times New Roman"/>
          <w:sz w:val="25"/>
          <w:vertAlign w:val="subscript"/>
        </w:rPr>
        <w:t>5 –</w:t>
      </w:r>
    </w:p>
    <w:p w:rsidR="0052701D" w:rsidRDefault="00D40929">
      <w:pPr>
        <w:spacing w:after="296"/>
        <w:ind w:left="1003" w:right="573" w:hanging="10"/>
        <w:jc w:val="center"/>
      </w:pPr>
      <w:r>
        <w:rPr>
          <w:rFonts w:ascii="Times New Roman" w:eastAsia="Times New Roman" w:hAnsi="Times New Roman" w:cs="Times New Roman"/>
          <w:sz w:val="16"/>
        </w:rPr>
        <w:t>«</w:t>
      </w:r>
      <w:r>
        <w:rPr>
          <w:rFonts w:ascii="Times New Roman" w:eastAsia="Times New Roman" w:hAnsi="Times New Roman" w:cs="Times New Roman"/>
          <w:sz w:val="28"/>
        </w:rPr>
        <w:t>Архитектура распределенных приложений-параллельных и реального времени», проекта «Банковская система типа клиент-сервер».</w:t>
      </w:r>
    </w:p>
    <w:p w:rsidR="0052701D" w:rsidRDefault="00D40929">
      <w:pPr>
        <w:spacing w:after="332" w:line="248" w:lineRule="auto"/>
        <w:ind w:left="553" w:right="144" w:firstLine="558"/>
        <w:jc w:val="both"/>
      </w:pPr>
      <w:r>
        <w:rPr>
          <w:rFonts w:ascii="Times New Roman" w:eastAsia="Times New Roman" w:hAnsi="Times New Roman" w:cs="Times New Roman"/>
          <w:sz w:val="28"/>
        </w:rPr>
        <w:t>В качестве выражения компетенций, приведем следующую спецификацию профессиональных компетенций, требуемых для успешной разработки проекта «Банковская система типа клиент-сервер», этапа Conceive плана CDIO Syllabus, в соответствии со Всемирной инициативой M</w:t>
      </w:r>
      <w:r>
        <w:rPr>
          <w:rFonts w:ascii="Times New Roman" w:eastAsia="Times New Roman" w:hAnsi="Times New Roman" w:cs="Times New Roman"/>
          <w:sz w:val="28"/>
        </w:rPr>
        <w:t xml:space="preserve">IT[5]. </w:t>
      </w:r>
    </w:p>
    <w:p w:rsidR="0052701D" w:rsidRDefault="00D40929">
      <w:pPr>
        <w:spacing w:after="296"/>
        <w:ind w:left="1003" w:hanging="10"/>
        <w:jc w:val="center"/>
      </w:pPr>
      <w:r>
        <w:rPr>
          <w:rFonts w:ascii="Times New Roman" w:eastAsia="Times New Roman" w:hAnsi="Times New Roman" w:cs="Times New Roman"/>
          <w:sz w:val="28"/>
        </w:rPr>
        <w:t>PrC.Conceive &lt;= *PrC</w:t>
      </w:r>
      <w:r>
        <w:rPr>
          <w:rFonts w:ascii="Times New Roman" w:eastAsia="Times New Roman" w:hAnsi="Times New Roman" w:cs="Times New Roman"/>
          <w:sz w:val="25"/>
          <w:vertAlign w:val="subscript"/>
        </w:rPr>
        <w:t xml:space="preserve">1 </w:t>
      </w:r>
      <w:r>
        <w:rPr>
          <w:rFonts w:ascii="Times New Roman" w:eastAsia="Times New Roman" w:hAnsi="Times New Roman" w:cs="Times New Roman"/>
          <w:sz w:val="28"/>
        </w:rPr>
        <w:t>(*P</w:t>
      </w:r>
      <w:r>
        <w:rPr>
          <w:rFonts w:ascii="Times New Roman" w:eastAsia="Times New Roman" w:hAnsi="Times New Roman" w:cs="Times New Roman"/>
          <w:sz w:val="25"/>
          <w:vertAlign w:val="subscript"/>
        </w:rPr>
        <w:t>1</w:t>
      </w:r>
      <w:r>
        <w:rPr>
          <w:rFonts w:ascii="Times New Roman" w:eastAsia="Times New Roman" w:hAnsi="Times New Roman" w:cs="Times New Roman"/>
          <w:sz w:val="28"/>
        </w:rPr>
        <w:t>*P</w:t>
      </w:r>
      <w:r>
        <w:rPr>
          <w:rFonts w:ascii="Times New Roman" w:eastAsia="Times New Roman" w:hAnsi="Times New Roman" w:cs="Times New Roman"/>
          <w:sz w:val="25"/>
          <w:vertAlign w:val="subscript"/>
        </w:rPr>
        <w:t>2</w:t>
      </w:r>
      <w:r>
        <w:rPr>
          <w:rFonts w:ascii="Times New Roman" w:eastAsia="Times New Roman" w:hAnsi="Times New Roman" w:cs="Times New Roman"/>
          <w:sz w:val="28"/>
        </w:rPr>
        <w:t>)*PrC</w:t>
      </w:r>
      <w:r>
        <w:rPr>
          <w:rFonts w:ascii="Times New Roman" w:eastAsia="Times New Roman" w:hAnsi="Times New Roman" w:cs="Times New Roman"/>
          <w:sz w:val="25"/>
          <w:vertAlign w:val="subscript"/>
        </w:rPr>
        <w:t>2</w:t>
      </w:r>
      <w:r>
        <w:rPr>
          <w:rFonts w:ascii="Times New Roman" w:eastAsia="Times New Roman" w:hAnsi="Times New Roman" w:cs="Times New Roman"/>
          <w:sz w:val="28"/>
        </w:rPr>
        <w:t>*PrC</w:t>
      </w:r>
      <w:r>
        <w:rPr>
          <w:rFonts w:ascii="Times New Roman" w:eastAsia="Times New Roman" w:hAnsi="Times New Roman" w:cs="Times New Roman"/>
          <w:sz w:val="25"/>
          <w:vertAlign w:val="subscript"/>
        </w:rPr>
        <w:t>3</w:t>
      </w:r>
      <w:r>
        <w:rPr>
          <w:rFonts w:ascii="Times New Roman" w:eastAsia="Times New Roman" w:hAnsi="Times New Roman" w:cs="Times New Roman"/>
          <w:sz w:val="28"/>
        </w:rPr>
        <w:t>;</w:t>
      </w:r>
    </w:p>
    <w:p w:rsidR="0052701D" w:rsidRDefault="00D40929">
      <w:pPr>
        <w:spacing w:after="310" w:line="248" w:lineRule="auto"/>
        <w:ind w:left="553" w:right="145" w:firstLine="558"/>
        <w:jc w:val="both"/>
      </w:pPr>
      <w:r>
        <w:rPr>
          <w:rFonts w:ascii="Times New Roman" w:eastAsia="Times New Roman" w:hAnsi="Times New Roman" w:cs="Times New Roman"/>
          <w:sz w:val="28"/>
        </w:rPr>
        <w:t>В нашей методике, выражения компетенций используются для моделирования и конфигурирования знаниевого контента плана CDIO Syllabus, а также для формирования пред- и постусловий smart-контракта, представленно</w:t>
      </w:r>
      <w:r>
        <w:rPr>
          <w:rFonts w:ascii="Times New Roman" w:eastAsia="Times New Roman" w:hAnsi="Times New Roman" w:cs="Times New Roman"/>
          <w:sz w:val="28"/>
        </w:rPr>
        <w:t xml:space="preserve">го в следующем виде: </w:t>
      </w:r>
    </w:p>
    <w:p w:rsidR="0052701D" w:rsidRDefault="00D40929">
      <w:pPr>
        <w:spacing w:after="296"/>
        <w:ind w:left="1003" w:right="1" w:hanging="10"/>
        <w:jc w:val="center"/>
      </w:pPr>
      <w:r>
        <w:rPr>
          <w:rFonts w:ascii="Times New Roman" w:eastAsia="Times New Roman" w:hAnsi="Times New Roman" w:cs="Times New Roman"/>
          <w:sz w:val="28"/>
        </w:rPr>
        <w:t>{P} &lt; CDIOSyllabus &gt; {Q},</w:t>
      </w:r>
    </w:p>
    <w:p w:rsidR="0052701D" w:rsidRDefault="00D40929">
      <w:pPr>
        <w:spacing w:after="3" w:line="248" w:lineRule="auto"/>
        <w:ind w:left="553" w:right="144" w:firstLine="558"/>
        <w:jc w:val="both"/>
      </w:pPr>
      <w:r>
        <w:rPr>
          <w:rFonts w:ascii="Times New Roman" w:eastAsia="Times New Roman" w:hAnsi="Times New Roman" w:cs="Times New Roman"/>
          <w:sz w:val="28"/>
        </w:rPr>
        <w:t>где {P} и {Q} – пред- и постусловия, представляющие собой утверждения, в виде сигнатур компетенций. Посредством предусловий {P} в smart-контракте задаются требования к уровню компетенций обучающегося, необход</w:t>
      </w:r>
      <w:r>
        <w:rPr>
          <w:rFonts w:ascii="Times New Roman" w:eastAsia="Times New Roman" w:hAnsi="Times New Roman" w:cs="Times New Roman"/>
          <w:sz w:val="28"/>
        </w:rPr>
        <w:t>имому для усвоения знаний и компетенций плана CDIO Syllabus, а с помощью постусловий {Q} – компетенции, которые гарантируются обучающемуся после выполнения предусловий и успешном завершении обучения.</w:t>
      </w:r>
    </w:p>
    <w:p w:rsidR="0052701D" w:rsidRDefault="00D40929">
      <w:pPr>
        <w:spacing w:after="3" w:line="248" w:lineRule="auto"/>
        <w:ind w:left="553" w:right="4" w:firstLine="558"/>
        <w:jc w:val="both"/>
      </w:pPr>
      <w:r>
        <w:rPr>
          <w:rFonts w:ascii="Times New Roman" w:eastAsia="Times New Roman" w:hAnsi="Times New Roman" w:cs="Times New Roman"/>
          <w:sz w:val="28"/>
        </w:rPr>
        <w:t>Другое направление наших исследований связано с обновлен</w:t>
      </w:r>
      <w:r>
        <w:rPr>
          <w:rFonts w:ascii="Times New Roman" w:eastAsia="Times New Roman" w:hAnsi="Times New Roman" w:cs="Times New Roman"/>
          <w:sz w:val="28"/>
        </w:rPr>
        <w:t xml:space="preserve">ием организации учебной работы. </w:t>
      </w:r>
    </w:p>
    <w:p w:rsidR="0052701D" w:rsidRDefault="00D40929">
      <w:pPr>
        <w:spacing w:after="3" w:line="248" w:lineRule="auto"/>
        <w:ind w:left="553" w:right="4" w:firstLine="558"/>
        <w:jc w:val="both"/>
      </w:pPr>
      <w:r>
        <w:rPr>
          <w:rFonts w:ascii="Times New Roman" w:eastAsia="Times New Roman" w:hAnsi="Times New Roman" w:cs="Times New Roman"/>
          <w:sz w:val="28"/>
        </w:rPr>
        <w:lastRenderedPageBreak/>
        <w:t>В этом случае, разработанная методика и образовательный портал позволяют:</w:t>
      </w:r>
    </w:p>
    <w:p w:rsidR="0052701D" w:rsidRDefault="00D40929">
      <w:pPr>
        <w:spacing w:after="310" w:line="248" w:lineRule="auto"/>
        <w:ind w:left="553" w:right="143" w:firstLine="558"/>
        <w:jc w:val="both"/>
      </w:pPr>
      <w:r>
        <w:rPr>
          <w:rFonts w:ascii="Times New Roman" w:eastAsia="Times New Roman" w:hAnsi="Times New Roman" w:cs="Times New Roman"/>
          <w:sz w:val="28"/>
        </w:rPr>
        <w:t>во-первых, используя компетенции smart-контракта, определять требования по содержимому знаниевого контента дисциплин, как того требует рынок труда; формировать и управлять знаниевым контентом дисциплин; адаптировать знаниевый контент, в соответствии с разв</w:t>
      </w:r>
      <w:r>
        <w:rPr>
          <w:rFonts w:ascii="Times New Roman" w:eastAsia="Times New Roman" w:hAnsi="Times New Roman" w:cs="Times New Roman"/>
          <w:sz w:val="28"/>
        </w:rPr>
        <w:t>итием новых технологий и инструментальных средств; контролировать релевантность знаниевого контента дисциплин требованиям профессиональных стандартов; во-вторых, используя компетенции smart-контракта и проектноориентированную технологию обучения, планирова</w:t>
      </w:r>
      <w:r>
        <w:rPr>
          <w:rFonts w:ascii="Times New Roman" w:eastAsia="Times New Roman" w:hAnsi="Times New Roman" w:cs="Times New Roman"/>
          <w:sz w:val="28"/>
        </w:rPr>
        <w:t>ть знаниевый тренд и формировать знаниевый контент дисциплин образовательной программы специальности, в соответствии с этапами CDIO Всемирной инициативы MIT; в-третьих, используя компетенции smart-контракта и проектноориентированную технологию обучения, пл</w:t>
      </w:r>
      <w:r>
        <w:rPr>
          <w:rFonts w:ascii="Times New Roman" w:eastAsia="Times New Roman" w:hAnsi="Times New Roman" w:cs="Times New Roman"/>
          <w:sz w:val="28"/>
        </w:rPr>
        <w:t xml:space="preserve">анировать знаниевый тренд и формировать знаниевый контент индивидуальной траектории обучения, для любой из форм обучения. </w:t>
      </w:r>
    </w:p>
    <w:p w:rsidR="0052701D" w:rsidRDefault="00D40929">
      <w:pPr>
        <w:spacing w:after="17" w:line="249" w:lineRule="auto"/>
        <w:ind w:left="1129" w:hanging="10"/>
      </w:pPr>
      <w:r>
        <w:rPr>
          <w:rFonts w:ascii="Times New Roman" w:eastAsia="Times New Roman" w:hAnsi="Times New Roman" w:cs="Times New Roman"/>
          <w:b/>
          <w:sz w:val="28"/>
        </w:rPr>
        <w:t>Обсуждение</w:t>
      </w:r>
    </w:p>
    <w:p w:rsidR="0052701D" w:rsidRDefault="00D40929">
      <w:pPr>
        <w:spacing w:after="3" w:line="248" w:lineRule="auto"/>
        <w:ind w:left="553" w:right="289" w:firstLine="558"/>
        <w:jc w:val="both"/>
      </w:pPr>
      <w:r>
        <w:rPr>
          <w:rFonts w:ascii="Times New Roman" w:eastAsia="Times New Roman" w:hAnsi="Times New Roman" w:cs="Times New Roman"/>
          <w:sz w:val="28"/>
        </w:rPr>
        <w:t>Проблема вузовского образования имеет общий характер и зачастую, заключается в отсутствии деятельности, связанной с исполь</w:t>
      </w:r>
      <w:r>
        <w:rPr>
          <w:rFonts w:ascii="Times New Roman" w:eastAsia="Times New Roman" w:hAnsi="Times New Roman" w:cs="Times New Roman"/>
          <w:sz w:val="28"/>
        </w:rPr>
        <w:t>зованием знаний при работе над проектами с целью приобретения навыков и умений, с вытекающими из этого последствиями, в виде несоответствия выпускников требованиям рынка труда.   Кроме того, следует отметить слабую ориентированность образования на трудоуст</w:t>
      </w:r>
      <w:r>
        <w:rPr>
          <w:rFonts w:ascii="Times New Roman" w:eastAsia="Times New Roman" w:hAnsi="Times New Roman" w:cs="Times New Roman"/>
          <w:sz w:val="28"/>
        </w:rPr>
        <w:t>ройство, что снижает конкурентоспособность выпускников вуза у работодателя; отсутствие гибкости и адаптивности высшего образования к изменяющимся реалиям современных технологий и направлений профессиональной деятельности выпускника.</w:t>
      </w:r>
    </w:p>
    <w:p w:rsidR="0052701D" w:rsidRDefault="00D40929">
      <w:pPr>
        <w:spacing w:after="3" w:line="248" w:lineRule="auto"/>
        <w:ind w:left="553" w:right="290" w:firstLine="558"/>
        <w:jc w:val="both"/>
      </w:pPr>
      <w:r>
        <w:rPr>
          <w:rFonts w:ascii="Times New Roman" w:eastAsia="Times New Roman" w:hAnsi="Times New Roman" w:cs="Times New Roman"/>
          <w:sz w:val="28"/>
        </w:rPr>
        <w:t xml:space="preserve">Отмеченные особенности </w:t>
      </w:r>
      <w:r>
        <w:rPr>
          <w:rFonts w:ascii="Times New Roman" w:eastAsia="Times New Roman" w:hAnsi="Times New Roman" w:cs="Times New Roman"/>
          <w:sz w:val="28"/>
        </w:rPr>
        <w:t>и трудности высшего образования могут и должны быть реализованы только через знаниевую парадигму проектноориентированной технологии обучения и компетентностной модели выпускника. При этом, не менее важным, если не главным, встает вопрос о важности отображе</w:t>
      </w:r>
      <w:r>
        <w:rPr>
          <w:rFonts w:ascii="Times New Roman" w:eastAsia="Times New Roman" w:hAnsi="Times New Roman" w:cs="Times New Roman"/>
          <w:sz w:val="28"/>
        </w:rPr>
        <w:t>ния и представления знаний, где под словом «знание» понимается термин, описывающий весь спектр содержимого дисциплины, то есть: информацию, артефакты, данные, роли, методы, процедуры, методики, процессы, и литературу. Конечно, современное состояние когнити</w:t>
      </w:r>
      <w:r>
        <w:rPr>
          <w:rFonts w:ascii="Times New Roman" w:eastAsia="Times New Roman" w:hAnsi="Times New Roman" w:cs="Times New Roman"/>
          <w:sz w:val="28"/>
        </w:rPr>
        <w:t>вных, деятельностных и мотивационных аспектов подготовки требует переосмысления образовательных методик и технологий обучения, в сторону усиления когнитивности обучающихся, за счет структуризации и единого формата представления и описания свойств образоват</w:t>
      </w:r>
      <w:r>
        <w:rPr>
          <w:rFonts w:ascii="Times New Roman" w:eastAsia="Times New Roman" w:hAnsi="Times New Roman" w:cs="Times New Roman"/>
          <w:sz w:val="28"/>
        </w:rPr>
        <w:t>ельных ресурсов и концентрации внимания на семантически важном их контенте.</w:t>
      </w:r>
    </w:p>
    <w:p w:rsidR="0052701D" w:rsidRDefault="00D40929">
      <w:pPr>
        <w:spacing w:after="310" w:line="248" w:lineRule="auto"/>
        <w:ind w:left="553" w:right="289" w:firstLine="558"/>
        <w:jc w:val="both"/>
      </w:pPr>
      <w:r>
        <w:rPr>
          <w:rFonts w:ascii="Times New Roman" w:eastAsia="Times New Roman" w:hAnsi="Times New Roman" w:cs="Times New Roman"/>
          <w:sz w:val="28"/>
        </w:rPr>
        <w:t>Каким образом видится решение поставленных вопросов? Во-первых, в переходе на новую парадигму представления и организации знаний, на основе онтологии и инженерии знаний; во-вторых,</w:t>
      </w:r>
      <w:r>
        <w:rPr>
          <w:rFonts w:ascii="Times New Roman" w:eastAsia="Times New Roman" w:hAnsi="Times New Roman" w:cs="Times New Roman"/>
          <w:sz w:val="28"/>
        </w:rPr>
        <w:t xml:space="preserve"> на принципах и стандартах всемирной инициативы CDIO, как основы проектноориентированной технологии обучения, ориентированной на обучающегося и интегрированной </w:t>
      </w:r>
      <w:r>
        <w:rPr>
          <w:rFonts w:ascii="Times New Roman" w:eastAsia="Times New Roman" w:hAnsi="Times New Roman" w:cs="Times New Roman"/>
          <w:sz w:val="28"/>
        </w:rPr>
        <w:lastRenderedPageBreak/>
        <w:t>с проблемами и опытом реального производства; в-третьих, на компетентностной модели, как компози</w:t>
      </w:r>
      <w:r>
        <w:rPr>
          <w:rFonts w:ascii="Times New Roman" w:eastAsia="Times New Roman" w:hAnsi="Times New Roman" w:cs="Times New Roman"/>
          <w:sz w:val="28"/>
        </w:rPr>
        <w:t>ции профессиональных, базовых и дополнительных компетенций, сигнатуры которых используются для формирования знаниевого тренда и знаниевого контента дисциплин образовательной программы и индивидуальных траекторий обучения; вчетвертых, в индивидуализации обу</w:t>
      </w:r>
      <w:r>
        <w:rPr>
          <w:rFonts w:ascii="Times New Roman" w:eastAsia="Times New Roman" w:hAnsi="Times New Roman" w:cs="Times New Roman"/>
          <w:sz w:val="28"/>
        </w:rPr>
        <w:t>чения, с использованием методики формирования знаниевых компонент, взаимодействие которых осуществляется с помощью smart-контракта; в-пятых, в развитии концепции smart в образовании, поскольку smart-образование предполагает комплексную модернизацию содержа</w:t>
      </w:r>
      <w:r>
        <w:rPr>
          <w:rFonts w:ascii="Times New Roman" w:eastAsia="Times New Roman" w:hAnsi="Times New Roman" w:cs="Times New Roman"/>
          <w:sz w:val="28"/>
        </w:rPr>
        <w:t>ния образования, организации учебной работы и образовательных процессов, а также методов и технологий, используемых в этих процессах.</w:t>
      </w:r>
    </w:p>
    <w:p w:rsidR="0052701D" w:rsidRDefault="00D40929">
      <w:pPr>
        <w:spacing w:after="17" w:line="249" w:lineRule="auto"/>
        <w:ind w:left="1129" w:hanging="10"/>
      </w:pPr>
      <w:r>
        <w:rPr>
          <w:rFonts w:ascii="Times New Roman" w:eastAsia="Times New Roman" w:hAnsi="Times New Roman" w:cs="Times New Roman"/>
          <w:b/>
          <w:sz w:val="28"/>
        </w:rPr>
        <w:t>Выводы</w:t>
      </w:r>
    </w:p>
    <w:p w:rsidR="0052701D" w:rsidRDefault="00D40929">
      <w:pPr>
        <w:spacing w:after="264" w:line="248" w:lineRule="auto"/>
        <w:ind w:left="553" w:right="290" w:firstLine="558"/>
        <w:jc w:val="both"/>
      </w:pPr>
      <w:r>
        <w:rPr>
          <w:rFonts w:ascii="Times New Roman" w:eastAsia="Times New Roman" w:hAnsi="Times New Roman" w:cs="Times New Roman"/>
          <w:sz w:val="28"/>
        </w:rPr>
        <w:t>Основной смысл проведенных исследований и разработанных инноваций связан, во-первых, с созданием благоприятных усло</w:t>
      </w:r>
      <w:r>
        <w:rPr>
          <w:rFonts w:ascii="Times New Roman" w:eastAsia="Times New Roman" w:hAnsi="Times New Roman" w:cs="Times New Roman"/>
          <w:sz w:val="28"/>
        </w:rPr>
        <w:t xml:space="preserve">вий для саморазвития личности во всей её системной сложности, одним из оптимальных условий которого является семиосфера образовательного процесса, предназначенная для формирования знаково-символьной системы образов, терминов и понятий, в виде спецификации </w:t>
      </w:r>
      <w:r>
        <w:rPr>
          <w:rFonts w:ascii="Times New Roman" w:eastAsia="Times New Roman" w:hAnsi="Times New Roman" w:cs="Times New Roman"/>
          <w:sz w:val="28"/>
        </w:rPr>
        <w:t>знаний и онтологии опорных понятий, а во-вторых, с  модернизацией функционального пространства педагогического труда и переходом на инжиниринговый процесс в работе педагога, посредством обеспечения педагогов средствами smart-технологий для планирования, пр</w:t>
      </w:r>
      <w:r>
        <w:rPr>
          <w:rFonts w:ascii="Times New Roman" w:eastAsia="Times New Roman" w:hAnsi="Times New Roman" w:cs="Times New Roman"/>
          <w:sz w:val="28"/>
        </w:rPr>
        <w:t>оектирования и формирования знаниевого контента образовательных ресурсов, для различных форм обучения.</w:t>
      </w:r>
    </w:p>
    <w:p w:rsidR="0052701D" w:rsidRDefault="00D40929">
      <w:pPr>
        <w:spacing w:after="260" w:line="249" w:lineRule="auto"/>
        <w:ind w:left="1000" w:hanging="10"/>
        <w:jc w:val="center"/>
      </w:pPr>
      <w:r>
        <w:rPr>
          <w:rFonts w:ascii="Times New Roman" w:eastAsia="Times New Roman" w:hAnsi="Times New Roman" w:cs="Times New Roman"/>
          <w:b/>
          <w:sz w:val="28"/>
        </w:rPr>
        <w:t>Источники</w:t>
      </w:r>
    </w:p>
    <w:p w:rsidR="0052701D" w:rsidRDefault="00D40929">
      <w:pPr>
        <w:numPr>
          <w:ilvl w:val="0"/>
          <w:numId w:val="147"/>
        </w:numPr>
        <w:spacing w:after="3" w:line="248" w:lineRule="auto"/>
        <w:ind w:right="4" w:hanging="360"/>
        <w:jc w:val="both"/>
      </w:pPr>
      <w:r>
        <w:rPr>
          <w:rFonts w:ascii="Times New Roman" w:eastAsia="Times New Roman" w:hAnsi="Times New Roman" w:cs="Times New Roman"/>
          <w:sz w:val="28"/>
        </w:rPr>
        <w:t>Андрюхина, Л. М. Образовательный инжиниринг в контексте цифровизации / Л.М. Андрюхина //Инновации в профессиональном и профессионально-педагоги</w:t>
      </w:r>
      <w:r>
        <w:rPr>
          <w:rFonts w:ascii="Times New Roman" w:eastAsia="Times New Roman" w:hAnsi="Times New Roman" w:cs="Times New Roman"/>
          <w:sz w:val="28"/>
        </w:rPr>
        <w:t>ческом образовании: материалы 24-й Международной научно-практической конференции. - Екатеринбург: Изд-во РГППУ 2019. -с.17-22.</w:t>
      </w:r>
    </w:p>
    <w:p w:rsidR="0052701D" w:rsidRDefault="00D40929">
      <w:pPr>
        <w:numPr>
          <w:ilvl w:val="0"/>
          <w:numId w:val="147"/>
        </w:numPr>
        <w:spacing w:after="3" w:line="248" w:lineRule="auto"/>
        <w:ind w:right="4" w:hanging="360"/>
        <w:jc w:val="both"/>
      </w:pPr>
      <w:r>
        <w:rPr>
          <w:rFonts w:ascii="Times New Roman" w:eastAsia="Times New Roman" w:hAnsi="Times New Roman" w:cs="Times New Roman"/>
          <w:sz w:val="28"/>
        </w:rPr>
        <w:t xml:space="preserve">Schunn, C. (2008) engineering education Design. Educational designer, 1 (1). Obtained </w:t>
      </w:r>
      <w:hyperlink r:id="rId850">
        <w:r>
          <w:rPr>
            <w:rFonts w:ascii="Times New Roman" w:eastAsia="Times New Roman" w:hAnsi="Times New Roman" w:cs="Times New Roman"/>
            <w:color w:val="0000FF"/>
            <w:sz w:val="28"/>
            <w:u w:val="single" w:color="0000FF"/>
          </w:rPr>
          <w:t xml:space="preserve">http://www.educationaldesigner.org/ed/volume1/issue1/art </w:t>
        </w:r>
      </w:hyperlink>
      <w:hyperlink r:id="rId851">
        <w:r>
          <w:rPr>
            <w:rFonts w:ascii="Times New Roman" w:eastAsia="Times New Roman" w:hAnsi="Times New Roman" w:cs="Times New Roman"/>
            <w:color w:val="0000FF"/>
            <w:sz w:val="28"/>
            <w:u w:val="single" w:color="0000FF"/>
          </w:rPr>
          <w:t>icle2</w:t>
        </w:r>
      </w:hyperlink>
      <w:r>
        <w:rPr>
          <w:rFonts w:ascii="Times New Roman" w:eastAsia="Times New Roman" w:hAnsi="Times New Roman" w:cs="Times New Roman"/>
          <w:sz w:val="28"/>
        </w:rPr>
        <w:t>.</w:t>
      </w:r>
    </w:p>
    <w:p w:rsidR="0052701D" w:rsidRDefault="00D40929">
      <w:pPr>
        <w:numPr>
          <w:ilvl w:val="0"/>
          <w:numId w:val="147"/>
        </w:numPr>
        <w:spacing w:after="0"/>
        <w:ind w:right="4" w:hanging="360"/>
        <w:jc w:val="both"/>
      </w:pPr>
      <w:r>
        <w:rPr>
          <w:rFonts w:ascii="Times New Roman" w:eastAsia="Times New Roman" w:hAnsi="Times New Roman" w:cs="Times New Roman"/>
          <w:sz w:val="28"/>
        </w:rPr>
        <w:t xml:space="preserve">URL: </w:t>
      </w:r>
      <w:hyperlink r:id="rId852">
        <w:r>
          <w:rPr>
            <w:rFonts w:ascii="Times New Roman" w:eastAsia="Times New Roman" w:hAnsi="Times New Roman" w:cs="Times New Roman"/>
            <w:color w:val="0000FF"/>
            <w:sz w:val="28"/>
            <w:u w:val="single" w:color="0000FF"/>
          </w:rPr>
          <w:t>https://aiedu.hse.ru/2019/</w:t>
        </w:r>
      </w:hyperlink>
    </w:p>
    <w:p w:rsidR="0052701D" w:rsidRDefault="00D40929">
      <w:pPr>
        <w:numPr>
          <w:ilvl w:val="0"/>
          <w:numId w:val="147"/>
        </w:numPr>
        <w:spacing w:after="3" w:line="248" w:lineRule="auto"/>
        <w:ind w:right="4" w:hanging="360"/>
        <w:jc w:val="both"/>
      </w:pPr>
      <w:r>
        <w:rPr>
          <w:rFonts w:ascii="Times New Roman" w:eastAsia="Times New Roman" w:hAnsi="Times New Roman" w:cs="Times New Roman"/>
          <w:sz w:val="28"/>
        </w:rPr>
        <w:t>Кубеков Б.С. Организация и представление знаний планируемого обучения на основе онтологии. Монография, Издательство «LP-</w:t>
      </w:r>
    </w:p>
    <w:p w:rsidR="0052701D" w:rsidRDefault="00D40929">
      <w:pPr>
        <w:spacing w:after="3" w:line="248" w:lineRule="auto"/>
        <w:ind w:left="1288" w:right="4"/>
        <w:jc w:val="both"/>
      </w:pPr>
      <w:r>
        <w:rPr>
          <w:rFonts w:ascii="Times New Roman" w:eastAsia="Times New Roman" w:hAnsi="Times New Roman" w:cs="Times New Roman"/>
          <w:sz w:val="28"/>
        </w:rPr>
        <w:t xml:space="preserve">Zhasulan», 2019г., Алматы. с. 336. </w:t>
      </w:r>
    </w:p>
    <w:p w:rsidR="0052701D" w:rsidRDefault="00D40929">
      <w:pPr>
        <w:numPr>
          <w:ilvl w:val="0"/>
          <w:numId w:val="147"/>
        </w:numPr>
        <w:spacing w:after="3" w:line="248" w:lineRule="auto"/>
        <w:ind w:right="4" w:hanging="360"/>
        <w:jc w:val="both"/>
      </w:pPr>
      <w:r>
        <w:rPr>
          <w:rFonts w:ascii="Times New Roman" w:eastAsia="Times New Roman" w:hAnsi="Times New Roman" w:cs="Times New Roman"/>
          <w:sz w:val="28"/>
        </w:rPr>
        <w:t xml:space="preserve">URL: http://www.cdio.org  </w:t>
      </w:r>
    </w:p>
    <w:p w:rsidR="0052701D" w:rsidRDefault="00D40929">
      <w:pPr>
        <w:spacing w:after="13" w:line="248" w:lineRule="auto"/>
        <w:ind w:left="578" w:right="1251" w:hanging="10"/>
      </w:pPr>
      <w:r>
        <w:rPr>
          <w:rFonts w:ascii="Times New Roman" w:eastAsia="Times New Roman" w:hAnsi="Times New Roman" w:cs="Times New Roman"/>
        </w:rPr>
        <w:t>МРНТИ 14.35.01</w:t>
      </w:r>
    </w:p>
    <w:p w:rsidR="0052701D" w:rsidRDefault="00D40929">
      <w:pPr>
        <w:spacing w:after="367" w:line="248" w:lineRule="auto"/>
        <w:ind w:left="578" w:right="1251" w:hanging="10"/>
      </w:pPr>
      <w:r>
        <w:rPr>
          <w:rFonts w:ascii="Times New Roman" w:eastAsia="Times New Roman" w:hAnsi="Times New Roman" w:cs="Times New Roman"/>
        </w:rPr>
        <w:t>УДК 378</w:t>
      </w:r>
    </w:p>
    <w:p w:rsidR="0052701D" w:rsidRDefault="00D40929">
      <w:pPr>
        <w:pStyle w:val="1"/>
        <w:spacing w:after="226" w:line="249" w:lineRule="auto"/>
        <w:ind w:left="342" w:right="338"/>
      </w:pPr>
      <w:r>
        <w:lastRenderedPageBreak/>
        <w:t xml:space="preserve">THE MODERN UNIVERSITY </w:t>
      </w:r>
      <w:r>
        <w:t>ON THE WAY TO A KNOWLEDGE</w:t>
      </w:r>
    </w:p>
    <w:p w:rsidR="0052701D" w:rsidRDefault="00D40929">
      <w:pPr>
        <w:pStyle w:val="1"/>
        <w:spacing w:after="226" w:line="249" w:lineRule="auto"/>
        <w:ind w:left="342" w:right="338"/>
      </w:pPr>
      <w:r>
        <w:t xml:space="preserve">ECONOMY: PROBLEMS AND SOLUTIONS </w:t>
      </w:r>
      <w:r>
        <w:rPr>
          <w:b w:val="0"/>
          <w:sz w:val="24"/>
        </w:rPr>
        <w:t>Mukhambedyarova A.T., Smirnova Y.G.</w:t>
      </w:r>
    </w:p>
    <w:p w:rsidR="0052701D" w:rsidRDefault="00D40929">
      <w:pPr>
        <w:spacing w:after="13" w:line="249" w:lineRule="auto"/>
        <w:ind w:left="230" w:right="223" w:hanging="10"/>
        <w:jc w:val="center"/>
      </w:pPr>
      <w:r>
        <w:rPr>
          <w:rFonts w:ascii="Times New Roman" w:eastAsia="Times New Roman" w:hAnsi="Times New Roman" w:cs="Times New Roman"/>
          <w:sz w:val="24"/>
        </w:rPr>
        <w:t>Almaty University of Power Engineering and Telecommunications named after G. Daukeev, Republic of Kazakhstan, Almaty</w:t>
      </w:r>
    </w:p>
    <w:p w:rsidR="0052701D" w:rsidRDefault="00D40929">
      <w:pPr>
        <w:spacing w:after="252"/>
        <w:ind w:left="13" w:right="5" w:hanging="10"/>
        <w:jc w:val="center"/>
      </w:pPr>
      <w:r>
        <w:rPr>
          <w:rFonts w:ascii="Times New Roman" w:eastAsia="Times New Roman" w:hAnsi="Times New Roman" w:cs="Times New Roman"/>
          <w:sz w:val="24"/>
        </w:rPr>
        <w:t xml:space="preserve">E-mail: </w:t>
      </w:r>
      <w:r>
        <w:rPr>
          <w:rFonts w:ascii="Times New Roman" w:eastAsia="Times New Roman" w:hAnsi="Times New Roman" w:cs="Times New Roman"/>
          <w:color w:val="0000FF"/>
          <w:sz w:val="24"/>
          <w:u w:val="single" w:color="0000FF"/>
        </w:rPr>
        <w:t>a.mukhambedyarova@aues.kz</w:t>
      </w:r>
      <w:r>
        <w:rPr>
          <w:rFonts w:ascii="Times New Roman" w:eastAsia="Times New Roman" w:hAnsi="Times New Roman" w:cs="Times New Roman"/>
          <w:sz w:val="24"/>
        </w:rPr>
        <w:t xml:space="preserve">, </w:t>
      </w:r>
      <w:r>
        <w:rPr>
          <w:rFonts w:ascii="Times New Roman" w:eastAsia="Times New Roman" w:hAnsi="Times New Roman" w:cs="Times New Roman"/>
          <w:color w:val="0000FF"/>
          <w:sz w:val="24"/>
          <w:u w:val="single" w:color="0000FF"/>
        </w:rPr>
        <w:t>y.smirnova</w:t>
      </w:r>
      <w:r>
        <w:rPr>
          <w:rFonts w:ascii="Times New Roman" w:eastAsia="Times New Roman" w:hAnsi="Times New Roman" w:cs="Times New Roman"/>
          <w:color w:val="0000FF"/>
          <w:sz w:val="24"/>
          <w:u w:val="single" w:color="0000FF"/>
        </w:rPr>
        <w:t>@aues.kz</w:t>
      </w:r>
      <w:r>
        <w:rPr>
          <w:rFonts w:ascii="Times New Roman" w:eastAsia="Times New Roman" w:hAnsi="Times New Roman" w:cs="Times New Roman"/>
          <w:sz w:val="24"/>
        </w:rPr>
        <w:t xml:space="preserve"> </w:t>
      </w:r>
    </w:p>
    <w:p w:rsidR="0052701D" w:rsidRDefault="00D40929">
      <w:pPr>
        <w:spacing w:after="3" w:line="249" w:lineRule="auto"/>
        <w:ind w:left="568" w:right="580" w:firstLine="566"/>
        <w:jc w:val="both"/>
      </w:pPr>
      <w:r>
        <w:rPr>
          <w:rFonts w:ascii="Times New Roman" w:eastAsia="Times New Roman" w:hAnsi="Times New Roman" w:cs="Times New Roman"/>
          <w:i/>
          <w:sz w:val="24"/>
        </w:rPr>
        <w:t>The article considers ways of solving problems of building knowledge economy in modern university, outlines specific steps being implemented in this direction within existing political environment.</w:t>
      </w:r>
    </w:p>
    <w:p w:rsidR="0052701D" w:rsidRDefault="00D40929">
      <w:pPr>
        <w:spacing w:after="668" w:line="249" w:lineRule="auto"/>
        <w:ind w:left="1134" w:right="1"/>
        <w:jc w:val="both"/>
      </w:pPr>
      <w:r>
        <w:rPr>
          <w:rFonts w:ascii="Times New Roman" w:eastAsia="Times New Roman" w:hAnsi="Times New Roman" w:cs="Times New Roman"/>
          <w:b/>
          <w:i/>
          <w:sz w:val="24"/>
        </w:rPr>
        <w:t>Key words:</w:t>
      </w:r>
      <w:r>
        <w:rPr>
          <w:rFonts w:ascii="Times New Roman" w:eastAsia="Times New Roman" w:hAnsi="Times New Roman" w:cs="Times New Roman"/>
          <w:i/>
          <w:sz w:val="24"/>
        </w:rPr>
        <w:t xml:space="preserve"> knowledge economy, university, human capital.</w:t>
      </w:r>
    </w:p>
    <w:p w:rsidR="0052701D" w:rsidRDefault="00D40929">
      <w:pPr>
        <w:spacing w:after="272" w:line="249" w:lineRule="auto"/>
        <w:ind w:left="342" w:right="337" w:hanging="10"/>
        <w:jc w:val="center"/>
      </w:pPr>
      <w:r>
        <w:rPr>
          <w:rFonts w:ascii="Times New Roman" w:eastAsia="Times New Roman" w:hAnsi="Times New Roman" w:cs="Times New Roman"/>
          <w:b/>
          <w:sz w:val="28"/>
        </w:rPr>
        <w:t>СОВРЕМЕННЫЙ УНИВЕРСИТЕТ НА ПУТИ К ЭКОНОМИКЕ ЗНАНИЙ: ПРОБЛЕМЫ И РЕШЕНИЯ</w:t>
      </w:r>
    </w:p>
    <w:p w:rsidR="0052701D" w:rsidRDefault="00D40929">
      <w:pPr>
        <w:spacing w:after="262" w:line="249" w:lineRule="auto"/>
        <w:ind w:left="1001" w:right="994" w:hanging="10"/>
        <w:jc w:val="center"/>
      </w:pPr>
      <w:r>
        <w:rPr>
          <w:rFonts w:ascii="Times New Roman" w:eastAsia="Times New Roman" w:hAnsi="Times New Roman" w:cs="Times New Roman"/>
          <w:sz w:val="24"/>
        </w:rPr>
        <w:t>Мухамедьярова А.Т., Смирнова Ю.Г.</w:t>
      </w:r>
    </w:p>
    <w:p w:rsidR="0052701D" w:rsidRDefault="00D40929">
      <w:pPr>
        <w:spacing w:after="13" w:line="249" w:lineRule="auto"/>
        <w:ind w:left="1001" w:right="998" w:hanging="10"/>
        <w:jc w:val="center"/>
      </w:pPr>
      <w:r>
        <w:rPr>
          <w:rFonts w:ascii="Times New Roman" w:eastAsia="Times New Roman" w:hAnsi="Times New Roman" w:cs="Times New Roman"/>
          <w:sz w:val="24"/>
        </w:rPr>
        <w:t xml:space="preserve">Алматинский университет энергетики и связи имени Г. Даукеева, Республика Казахстан, г.Алматы </w:t>
      </w:r>
    </w:p>
    <w:p w:rsidR="0052701D" w:rsidRDefault="00D40929">
      <w:pPr>
        <w:spacing w:after="252"/>
        <w:ind w:left="13" w:right="5" w:hanging="10"/>
        <w:jc w:val="center"/>
      </w:pPr>
      <w:r>
        <w:rPr>
          <w:rFonts w:ascii="Times New Roman" w:eastAsia="Times New Roman" w:hAnsi="Times New Roman" w:cs="Times New Roman"/>
          <w:sz w:val="24"/>
        </w:rPr>
        <w:t xml:space="preserve">E-mail: </w:t>
      </w:r>
      <w:r>
        <w:rPr>
          <w:rFonts w:ascii="Times New Roman" w:eastAsia="Times New Roman" w:hAnsi="Times New Roman" w:cs="Times New Roman"/>
          <w:color w:val="0000FF"/>
          <w:sz w:val="24"/>
          <w:u w:val="single" w:color="0000FF"/>
        </w:rPr>
        <w:t>a.</w:t>
      </w:r>
      <w:r>
        <w:rPr>
          <w:rFonts w:ascii="Times New Roman" w:eastAsia="Times New Roman" w:hAnsi="Times New Roman" w:cs="Times New Roman"/>
          <w:color w:val="0000FF"/>
          <w:sz w:val="24"/>
          <w:u w:val="single" w:color="0000FF"/>
        </w:rPr>
        <w:t>mukhambedyarova@aues.kz</w:t>
      </w:r>
      <w:r>
        <w:rPr>
          <w:rFonts w:ascii="Times New Roman" w:eastAsia="Times New Roman" w:hAnsi="Times New Roman" w:cs="Times New Roman"/>
          <w:sz w:val="24"/>
        </w:rPr>
        <w:t xml:space="preserve">, </w:t>
      </w:r>
      <w:r>
        <w:rPr>
          <w:rFonts w:ascii="Times New Roman" w:eastAsia="Times New Roman" w:hAnsi="Times New Roman" w:cs="Times New Roman"/>
          <w:color w:val="0000FF"/>
          <w:sz w:val="24"/>
          <w:u w:val="single" w:color="0000FF"/>
        </w:rPr>
        <w:t>y.smirnova@aues.kz</w:t>
      </w:r>
    </w:p>
    <w:p w:rsidR="0052701D" w:rsidRDefault="00D40929">
      <w:pPr>
        <w:spacing w:after="3" w:line="249" w:lineRule="auto"/>
        <w:ind w:left="568" w:right="576" w:firstLine="566"/>
        <w:jc w:val="both"/>
      </w:pPr>
      <w:r>
        <w:rPr>
          <w:rFonts w:ascii="Times New Roman" w:eastAsia="Times New Roman" w:hAnsi="Times New Roman" w:cs="Times New Roman"/>
          <w:i/>
          <w:sz w:val="24"/>
        </w:rPr>
        <w:t>В статье рассматриваются пути решения проблем построения экономики знаний в современном университете, намечаются конкретные шаги, реализуемые в этом направлении в рамках существующей политической среды.</w:t>
      </w:r>
    </w:p>
    <w:p w:rsidR="0052701D" w:rsidRDefault="00D40929">
      <w:pPr>
        <w:spacing w:after="300" w:line="249" w:lineRule="auto"/>
        <w:ind w:left="1134" w:right="1"/>
        <w:jc w:val="both"/>
      </w:pP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 xml:space="preserve"> экономика знаний, университет, человеческий капитал.</w:t>
      </w:r>
    </w:p>
    <w:p w:rsidR="0052701D" w:rsidRDefault="00D40929">
      <w:pPr>
        <w:spacing w:after="3" w:line="248" w:lineRule="auto"/>
        <w:ind w:left="553" w:right="574" w:firstLine="708"/>
        <w:jc w:val="both"/>
      </w:pPr>
      <w:r>
        <w:rPr>
          <w:rFonts w:ascii="Times New Roman" w:eastAsia="Times New Roman" w:hAnsi="Times New Roman" w:cs="Times New Roman"/>
          <w:sz w:val="28"/>
        </w:rPr>
        <w:t>Today, the term "knowledge economy" has many meanings. First of all, it includes elements relating to one of the sectors of the economy in which both the production, processing and management of knowledge takes place. The term originated in the research of</w:t>
      </w:r>
      <w:r>
        <w:rPr>
          <w:rFonts w:ascii="Times New Roman" w:eastAsia="Times New Roman" w:hAnsi="Times New Roman" w:cs="Times New Roman"/>
          <w:sz w:val="28"/>
        </w:rPr>
        <w:t xml:space="preserve"> three graduates of the University of Vienna who laid the foundations for the study of knowledge economics: Joseph Schumpeter, Friedrich Hayek and Fritz Maсhlup. The founder of knowledge economy as a discipline is considered to be F.Maсhlup, the author of </w:t>
      </w:r>
      <w:r>
        <w:rPr>
          <w:rFonts w:ascii="Times New Roman" w:eastAsia="Times New Roman" w:hAnsi="Times New Roman" w:cs="Times New Roman"/>
          <w:sz w:val="28"/>
        </w:rPr>
        <w:t xml:space="preserve">the book "Production and Dissemination of Knowledge in the USA", published in 1962 and translated into Russian in 1966. [1] However, as the 'knowledge sector' grew, with the greatest economic growth being achieved through research and innovation, and with </w:t>
      </w:r>
      <w:r>
        <w:rPr>
          <w:rFonts w:ascii="Times New Roman" w:eastAsia="Times New Roman" w:hAnsi="Times New Roman" w:cs="Times New Roman"/>
          <w:sz w:val="28"/>
        </w:rPr>
        <w:t>an increasingly educated population, the term 'knowledge economy' came to have a second meaning, which later became more widely used. The "knowledge economy" or "knowledge-based economy" came to be understood as a type of economy in which knowledge plays a</w:t>
      </w:r>
      <w:r>
        <w:rPr>
          <w:rFonts w:ascii="Times New Roman" w:eastAsia="Times New Roman" w:hAnsi="Times New Roman" w:cs="Times New Roman"/>
          <w:sz w:val="28"/>
        </w:rPr>
        <w:t xml:space="preserve"> decisive role.</w:t>
      </w:r>
    </w:p>
    <w:p w:rsidR="0052701D" w:rsidRDefault="00D40929">
      <w:pPr>
        <w:spacing w:after="3" w:line="248" w:lineRule="auto"/>
        <w:ind w:left="553" w:right="574" w:firstLine="708"/>
        <w:jc w:val="both"/>
      </w:pPr>
      <w:r>
        <w:rPr>
          <w:rFonts w:ascii="Times New Roman" w:eastAsia="Times New Roman" w:hAnsi="Times New Roman" w:cs="Times New Roman"/>
          <w:sz w:val="28"/>
        </w:rPr>
        <w:t>Today in Kazakhstan's education system attempts are being made to implement the knowledge economy as understood by F. Mahlup. Thus, the "Amanat" party adopted the programme "The welfare society: 10 goals of the decade".  The document is aim</w:t>
      </w:r>
      <w:r>
        <w:rPr>
          <w:rFonts w:ascii="Times New Roman" w:eastAsia="Times New Roman" w:hAnsi="Times New Roman" w:cs="Times New Roman"/>
          <w:sz w:val="28"/>
        </w:rPr>
        <w:t xml:space="preserve">ed at realization of the new social doctrine of the </w:t>
      </w:r>
      <w:r>
        <w:rPr>
          <w:rFonts w:ascii="Times New Roman" w:eastAsia="Times New Roman" w:hAnsi="Times New Roman" w:cs="Times New Roman"/>
          <w:sz w:val="28"/>
        </w:rPr>
        <w:lastRenderedPageBreak/>
        <w:t>President of Kazakhstan K.-J.Tokayev. The programme sets out 10 priority objectives for the party's activities.</w:t>
      </w:r>
    </w:p>
    <w:p w:rsidR="0052701D" w:rsidRDefault="00D40929">
      <w:pPr>
        <w:spacing w:after="3" w:line="248" w:lineRule="auto"/>
        <w:ind w:left="553" w:right="576" w:firstLine="708"/>
        <w:jc w:val="both"/>
      </w:pPr>
      <w:r>
        <w:rPr>
          <w:rFonts w:ascii="Times New Roman" w:eastAsia="Times New Roman" w:hAnsi="Times New Roman" w:cs="Times New Roman"/>
          <w:sz w:val="28"/>
        </w:rPr>
        <w:t>One of the priority objectives of the programme is "Education of the future available to eve</w:t>
      </w:r>
      <w:r>
        <w:rPr>
          <w:rFonts w:ascii="Times New Roman" w:eastAsia="Times New Roman" w:hAnsi="Times New Roman" w:cs="Times New Roman"/>
          <w:sz w:val="28"/>
        </w:rPr>
        <w:t>ryone". The main areas of work will be the training of a new, innovative generation of Kazakhstanis, attracting the best specialists to the education system, and developing the education infrastructure. The State is paying increasing attention to technical</w:t>
      </w:r>
      <w:r>
        <w:rPr>
          <w:rFonts w:ascii="Times New Roman" w:eastAsia="Times New Roman" w:hAnsi="Times New Roman" w:cs="Times New Roman"/>
          <w:sz w:val="28"/>
        </w:rPr>
        <w:t xml:space="preserve"> specialities. In his speech at the 3rd meeting of the National Council of Public Trust, the President of Kazakhstan K.J. Tokayev, noting the particular importance of the education system for the state, announced that by 2025, funding for education will in</w:t>
      </w:r>
      <w:r>
        <w:rPr>
          <w:rFonts w:ascii="Times New Roman" w:eastAsia="Times New Roman" w:hAnsi="Times New Roman" w:cs="Times New Roman"/>
          <w:sz w:val="28"/>
        </w:rPr>
        <w:t>crease 6-fold, and for science 7-fold.</w:t>
      </w:r>
    </w:p>
    <w:p w:rsidR="0052701D" w:rsidRDefault="00D40929">
      <w:pPr>
        <w:spacing w:after="3" w:line="248" w:lineRule="auto"/>
        <w:ind w:left="553" w:right="576" w:firstLine="708"/>
        <w:jc w:val="both"/>
      </w:pPr>
      <w:r>
        <w:rPr>
          <w:rFonts w:ascii="Times New Roman" w:eastAsia="Times New Roman" w:hAnsi="Times New Roman" w:cs="Times New Roman"/>
          <w:sz w:val="28"/>
        </w:rPr>
        <w:t>The Almaty University of Power Engineering and Telecommunications named after G.Daukeev (hereinafter referred to as AUPET) participates and contributes to the implementation of this important direction. For example, i</w:t>
      </w:r>
      <w:r>
        <w:rPr>
          <w:rFonts w:ascii="Times New Roman" w:eastAsia="Times New Roman" w:hAnsi="Times New Roman" w:cs="Times New Roman"/>
          <w:sz w:val="28"/>
        </w:rPr>
        <w:t>n 202. AUPET was ranked 6th in the National ranking of the best technical universities in Kazakhstan, and 8th in the National ranking of demand for universities, occupying leading positions: in the institutional ranking for training areas – "Information an</w:t>
      </w:r>
      <w:r>
        <w:rPr>
          <w:rFonts w:ascii="Times New Roman" w:eastAsia="Times New Roman" w:hAnsi="Times New Roman" w:cs="Times New Roman"/>
          <w:sz w:val="28"/>
        </w:rPr>
        <w:t>d communication technologies" (bachelor's – 2nd place, master's – 1st place); for groups of educational programs:  "Communications and Communication Technologies" – 1st place; "Information Security" – 1st place; "Electrical Engineering and Power Engineerin</w:t>
      </w:r>
      <w:r>
        <w:rPr>
          <w:rFonts w:ascii="Times New Roman" w:eastAsia="Times New Roman" w:hAnsi="Times New Roman" w:cs="Times New Roman"/>
          <w:sz w:val="28"/>
        </w:rPr>
        <w:t>g" – 1st place; "Information Technologies" –  1st place; "Space Engineering and Technology" – 2nd place, "Instrumentation Engineering" – 3rd place. In particular, AUPET is one of the few universities in Kazakhstan that trains highly qualified specialists i</w:t>
      </w:r>
      <w:r>
        <w:rPr>
          <w:rFonts w:ascii="Times New Roman" w:eastAsia="Times New Roman" w:hAnsi="Times New Roman" w:cs="Times New Roman"/>
          <w:sz w:val="28"/>
        </w:rPr>
        <w:t xml:space="preserve">n power engineering, telecommunications and IT technologies, space engineering and technologies in the entire Central Asian region. </w:t>
      </w:r>
    </w:p>
    <w:p w:rsidR="0052701D" w:rsidRDefault="00D40929">
      <w:pPr>
        <w:spacing w:after="3" w:line="248" w:lineRule="auto"/>
        <w:ind w:left="553" w:right="573" w:firstLine="708"/>
        <w:jc w:val="both"/>
      </w:pPr>
      <w:r>
        <w:rPr>
          <w:rFonts w:ascii="Times New Roman" w:eastAsia="Times New Roman" w:hAnsi="Times New Roman" w:cs="Times New Roman"/>
          <w:sz w:val="28"/>
        </w:rPr>
        <w:t>The university prepares specialists in the fields of Bachelor's, Master's and PhD studies. Our university offers 23 Bachelo</w:t>
      </w:r>
      <w:r>
        <w:rPr>
          <w:rFonts w:ascii="Times New Roman" w:eastAsia="Times New Roman" w:hAnsi="Times New Roman" w:cs="Times New Roman"/>
          <w:sz w:val="28"/>
        </w:rPr>
        <w:t>r's, 14 Master's and 6 PhD programmes. Our partners are leading universities in Spain, Sweden, Finland, Germany, Italy, Turkey, France, Poland and other EU countries. The best AUPET students have an opportunity to spend a semester in the universities of Eu</w:t>
      </w:r>
      <w:r>
        <w:rPr>
          <w:rFonts w:ascii="Times New Roman" w:eastAsia="Times New Roman" w:hAnsi="Times New Roman" w:cs="Times New Roman"/>
          <w:sz w:val="28"/>
        </w:rPr>
        <w:t xml:space="preserve">rope, Japan, China, India, CIS countries and the Shanghai Cooperation Organisation. AUPET professors deliver lectures and trainings within the framework of the above mentioned programmes under the cooperation agreements with foreign universities. In turn, </w:t>
      </w:r>
      <w:r>
        <w:rPr>
          <w:rFonts w:ascii="Times New Roman" w:eastAsia="Times New Roman" w:hAnsi="Times New Roman" w:cs="Times New Roman"/>
          <w:sz w:val="28"/>
        </w:rPr>
        <w:t>our university hosts professors from international universities and representatives of the world's leading companies (HUAWEI, Siemens, Kaspersky Lab, ABB, Schnider Electrics etc.). The University has dual degree programmes with leading universities in Russ</w:t>
      </w:r>
      <w:r>
        <w:rPr>
          <w:rFonts w:ascii="Times New Roman" w:eastAsia="Times New Roman" w:hAnsi="Times New Roman" w:cs="Times New Roman"/>
          <w:sz w:val="28"/>
        </w:rPr>
        <w:t>ia (Moscow Engineering and Physics Institute and Moscow Power Engineering</w:t>
      </w:r>
    </w:p>
    <w:p w:rsidR="0052701D" w:rsidRDefault="00D40929">
      <w:pPr>
        <w:spacing w:after="3" w:line="248" w:lineRule="auto"/>
        <w:ind w:left="553" w:right="4"/>
        <w:jc w:val="both"/>
      </w:pPr>
      <w:r>
        <w:rPr>
          <w:rFonts w:ascii="Times New Roman" w:eastAsia="Times New Roman" w:hAnsi="Times New Roman" w:cs="Times New Roman"/>
          <w:sz w:val="28"/>
        </w:rPr>
        <w:t>Institute) and De Lorraine University (France), in the Geoenergetics programme.</w:t>
      </w:r>
    </w:p>
    <w:p w:rsidR="0052701D" w:rsidRDefault="00D40929">
      <w:pPr>
        <w:spacing w:after="3" w:line="248" w:lineRule="auto"/>
        <w:ind w:left="553" w:right="576" w:firstLine="708"/>
        <w:jc w:val="both"/>
      </w:pPr>
      <w:r>
        <w:rPr>
          <w:rFonts w:ascii="Times New Roman" w:eastAsia="Times New Roman" w:hAnsi="Times New Roman" w:cs="Times New Roman"/>
          <w:sz w:val="28"/>
        </w:rPr>
        <w:t>One of the goals of the direction "Effective State in the interests of citizens" is the reduction of c</w:t>
      </w:r>
      <w:r>
        <w:rPr>
          <w:rFonts w:ascii="Times New Roman" w:eastAsia="Times New Roman" w:hAnsi="Times New Roman" w:cs="Times New Roman"/>
          <w:sz w:val="28"/>
        </w:rPr>
        <w:t>orruption, evolutionary development and strengthening of the political system. In this direction, the AUPET has developed an anti-corruption policy, an anti-corruption culture is being formed, and regular anti-corruption monitoring is being carried out thr</w:t>
      </w:r>
      <w:r>
        <w:rPr>
          <w:rFonts w:ascii="Times New Roman" w:eastAsia="Times New Roman" w:hAnsi="Times New Roman" w:cs="Times New Roman"/>
          <w:sz w:val="28"/>
        </w:rPr>
        <w:t xml:space="preserve">ough mass sociological surveys: "Clean Session", "Society without Corruption", "Corruption as a negative legal and social </w:t>
      </w:r>
      <w:r>
        <w:rPr>
          <w:rFonts w:ascii="Times New Roman" w:eastAsia="Times New Roman" w:hAnsi="Times New Roman" w:cs="Times New Roman"/>
          <w:sz w:val="28"/>
        </w:rPr>
        <w:lastRenderedPageBreak/>
        <w:t>phenomenon".  There is a hotline for reporting corruption and there are boxes in the lobbies. There is a Commission on Counteracting C</w:t>
      </w:r>
      <w:r>
        <w:rPr>
          <w:rFonts w:ascii="Times New Roman" w:eastAsia="Times New Roman" w:hAnsi="Times New Roman" w:cs="Times New Roman"/>
          <w:sz w:val="28"/>
        </w:rPr>
        <w:t>orruption. Among the tasks of the Commission is the organization of educational work with students aimed at creating a stable moral and ethical standards and the legal framework for the prevention of corruption. Within the walls of AUPET events are constan</w:t>
      </w:r>
      <w:r>
        <w:rPr>
          <w:rFonts w:ascii="Times New Roman" w:eastAsia="Times New Roman" w:hAnsi="Times New Roman" w:cs="Times New Roman"/>
          <w:sz w:val="28"/>
        </w:rPr>
        <w:t xml:space="preserve">tly held to promote the direction of "effective state in the interests of citizens".  </w:t>
      </w:r>
    </w:p>
    <w:p w:rsidR="0052701D" w:rsidRDefault="00D40929">
      <w:pPr>
        <w:spacing w:after="3" w:line="248" w:lineRule="auto"/>
        <w:ind w:left="553" w:right="574" w:firstLine="708"/>
        <w:jc w:val="both"/>
      </w:pPr>
      <w:r>
        <w:rPr>
          <w:rFonts w:ascii="Times New Roman" w:eastAsia="Times New Roman" w:hAnsi="Times New Roman" w:cs="Times New Roman"/>
          <w:sz w:val="28"/>
        </w:rPr>
        <w:t>We would like to mention the role of the party cell at AUPET in promoting the ideological party project "A country without corruption –  a prosperous country" and ensuri</w:t>
      </w:r>
      <w:r>
        <w:rPr>
          <w:rFonts w:ascii="Times New Roman" w:eastAsia="Times New Roman" w:hAnsi="Times New Roman" w:cs="Times New Roman"/>
          <w:sz w:val="28"/>
        </w:rPr>
        <w:t>ng the transparency of the university through the creation of an online portal and the formation of intolerance to corruption in universities.  The university continuously implements measures aimed at spiritual, moral and civic-patriotic education of stude</w:t>
      </w:r>
      <w:r>
        <w:rPr>
          <w:rFonts w:ascii="Times New Roman" w:eastAsia="Times New Roman" w:hAnsi="Times New Roman" w:cs="Times New Roman"/>
          <w:sz w:val="28"/>
        </w:rPr>
        <w:t>nts, formation of political and legal knowledge, anti-corruption consciousness and anti-corruption culture among students. The modern period is characterised by the transition of the entire educational system to new standards of general, vocational, higher</w:t>
      </w:r>
      <w:r>
        <w:rPr>
          <w:rFonts w:ascii="Times New Roman" w:eastAsia="Times New Roman" w:hAnsi="Times New Roman" w:cs="Times New Roman"/>
          <w:sz w:val="28"/>
        </w:rPr>
        <w:t xml:space="preserve"> and postgraduate education.  It is important to note that the anti-corruption activities conducted show the relevance, importance and evidence that the anti-corruption consciousness of our society is developing and strengthening.</w:t>
      </w:r>
    </w:p>
    <w:p w:rsidR="0052701D" w:rsidRDefault="00D40929">
      <w:pPr>
        <w:spacing w:after="3" w:line="248" w:lineRule="auto"/>
        <w:ind w:left="553" w:right="569" w:firstLine="708"/>
        <w:jc w:val="both"/>
      </w:pPr>
      <w:r>
        <w:rPr>
          <w:rFonts w:ascii="Times New Roman" w:eastAsia="Times New Roman" w:hAnsi="Times New Roman" w:cs="Times New Roman"/>
          <w:sz w:val="28"/>
        </w:rPr>
        <w:t>There is no doubt that th</w:t>
      </w:r>
      <w:r>
        <w:rPr>
          <w:rFonts w:ascii="Times New Roman" w:eastAsia="Times New Roman" w:hAnsi="Times New Roman" w:cs="Times New Roman"/>
          <w:sz w:val="28"/>
        </w:rPr>
        <w:t>e strengthening of anti-corruption consciousness of our society will only contribute to the implementation of another important goal – "Harmonious society of responsible citizens". In its framework, the promotion in society of the values of modernisation d</w:t>
      </w:r>
      <w:r>
        <w:rPr>
          <w:rFonts w:ascii="Times New Roman" w:eastAsia="Times New Roman" w:hAnsi="Times New Roman" w:cs="Times New Roman"/>
          <w:sz w:val="28"/>
        </w:rPr>
        <w:t>efined by President K.J.Tokayev, the construction of harmonious social relations in the country, and the active cooperation of the party with the civil sector as one of its main partners are noted.</w:t>
      </w:r>
    </w:p>
    <w:p w:rsidR="0052701D" w:rsidRDefault="00D40929">
      <w:pPr>
        <w:spacing w:after="3" w:line="248" w:lineRule="auto"/>
        <w:ind w:left="553" w:right="571" w:firstLine="708"/>
        <w:jc w:val="both"/>
      </w:pPr>
      <w:r>
        <w:rPr>
          <w:rFonts w:ascii="Times New Roman" w:eastAsia="Times New Roman" w:hAnsi="Times New Roman" w:cs="Times New Roman"/>
          <w:sz w:val="28"/>
        </w:rPr>
        <w:t xml:space="preserve">"Youth - Generation of Great Opportunities" goal provides </w:t>
      </w:r>
      <w:r>
        <w:rPr>
          <w:rFonts w:ascii="Times New Roman" w:eastAsia="Times New Roman" w:hAnsi="Times New Roman" w:cs="Times New Roman"/>
          <w:sz w:val="28"/>
        </w:rPr>
        <w:t>for social support for young people and the development of their potential, increasing the level of patriotism among young people and improving the effectiveness of state youth policy. This objective, outlined in the Party's 2030 Development Programme, has</w:t>
      </w:r>
      <w:r>
        <w:rPr>
          <w:rFonts w:ascii="Times New Roman" w:eastAsia="Times New Roman" w:hAnsi="Times New Roman" w:cs="Times New Roman"/>
          <w:sz w:val="28"/>
        </w:rPr>
        <w:t xml:space="preserve"> always been one of the priorities of AUPET. AUPET has a Student Service Centre and a Career and Employment Centre. There is a library with 500 square metres of reading room space and a collection of almost 600,000 items. The university campus consists of </w:t>
      </w:r>
      <w:r>
        <w:rPr>
          <w:rFonts w:ascii="Times New Roman" w:eastAsia="Times New Roman" w:hAnsi="Times New Roman" w:cs="Times New Roman"/>
          <w:sz w:val="28"/>
        </w:rPr>
        <w:t>3 academic buildings with canteens and cafeterias with wireless internet access, modernly equipped laboratories, lecture theatres and an auditorium. For students' convenience, there are 3 dormitories with more than 1600 beds, sports halls and a football pi</w:t>
      </w:r>
      <w:r>
        <w:rPr>
          <w:rFonts w:ascii="Times New Roman" w:eastAsia="Times New Roman" w:hAnsi="Times New Roman" w:cs="Times New Roman"/>
          <w:sz w:val="28"/>
        </w:rPr>
        <w:t>tch. Physical Education classes are offered in a range of sports: Athletics, Powerlifting, Fitness, Sports Dancing, Volleyball, Football, Taekwondo, Judo, Jiu Jitsu and Table Tennis. Combining studies with creativity, science, sports, volunteering promotes</w:t>
      </w:r>
      <w:r>
        <w:rPr>
          <w:rFonts w:ascii="Times New Roman" w:eastAsia="Times New Roman" w:hAnsi="Times New Roman" w:cs="Times New Roman"/>
          <w:sz w:val="28"/>
        </w:rPr>
        <w:t xml:space="preserve"> self-actualisation, stimulates activity, teaches to plan your time effectively, broadens your horizons. Participation in extracurricular life of the university allows you to develop communication skills, learn to work in a team, lead a team, which increas</w:t>
      </w:r>
      <w:r>
        <w:rPr>
          <w:rFonts w:ascii="Times New Roman" w:eastAsia="Times New Roman" w:hAnsi="Times New Roman" w:cs="Times New Roman"/>
          <w:sz w:val="28"/>
        </w:rPr>
        <w:t>es confidence in your abilities and serves as a guarantee of future success.  For example, the AUPET has a unique club "Gibrat", which aims not only to preserve but also to develop the Kazakh language and traditions in a modern way. "ENACTUS AUPET" is part</w:t>
      </w:r>
      <w:r>
        <w:rPr>
          <w:rFonts w:ascii="Times New Roman" w:eastAsia="Times New Roman" w:hAnsi="Times New Roman" w:cs="Times New Roman"/>
          <w:sz w:val="28"/>
        </w:rPr>
        <w:t xml:space="preserve"> of the global organisation "Enactus </w:t>
      </w:r>
      <w:r>
        <w:rPr>
          <w:rFonts w:ascii="Times New Roman" w:eastAsia="Times New Roman" w:hAnsi="Times New Roman" w:cs="Times New Roman"/>
          <w:sz w:val="28"/>
        </w:rPr>
        <w:lastRenderedPageBreak/>
        <w:t>KAZAKHSTAN". It is an international organisation with the mission to improve people's lives through entrepreneurial action. "Ulagat" – the main objective of the club is to strengthen national identity, to promote the he</w:t>
      </w:r>
      <w:r>
        <w:rPr>
          <w:rFonts w:ascii="Times New Roman" w:eastAsia="Times New Roman" w:hAnsi="Times New Roman" w:cs="Times New Roman"/>
          <w:sz w:val="28"/>
        </w:rPr>
        <w:t>ritage of the people: language, traditions, national culture and values, to preserve the continuity of generations. "SCC (Children Charity Club) – charity club, whose main purpose is to help children living in orphanages, university students and ordinary p</w:t>
      </w:r>
      <w:r>
        <w:rPr>
          <w:rFonts w:ascii="Times New Roman" w:eastAsia="Times New Roman" w:hAnsi="Times New Roman" w:cs="Times New Roman"/>
          <w:sz w:val="28"/>
        </w:rPr>
        <w:t xml:space="preserve">eople who find themselves in difficult situations. "StudiA315" is a creative laboratory, where our students offer a creative approach to any idea.  Student Council of the dormitory for the organization of educational, cultural, sports work, as well as for </w:t>
      </w:r>
      <w:r>
        <w:rPr>
          <w:rFonts w:ascii="Times New Roman" w:eastAsia="Times New Roman" w:hAnsi="Times New Roman" w:cs="Times New Roman"/>
          <w:sz w:val="28"/>
        </w:rPr>
        <w:t>maintaining order, discipline, improvement of living conditions. "The Fun and Resourceful Club" of AUPET is an open internal university league that promotes the discovery of students' creative abilities and the development and maintenance of young talents.</w:t>
      </w:r>
    </w:p>
    <w:p w:rsidR="0052701D" w:rsidRDefault="00D40929">
      <w:pPr>
        <w:spacing w:after="310" w:line="248" w:lineRule="auto"/>
        <w:ind w:left="553" w:right="574" w:firstLine="708"/>
        <w:jc w:val="both"/>
      </w:pPr>
      <w:r>
        <w:rPr>
          <w:rFonts w:ascii="Times New Roman" w:eastAsia="Times New Roman" w:hAnsi="Times New Roman" w:cs="Times New Roman"/>
          <w:sz w:val="28"/>
        </w:rPr>
        <w:t>Conclusions. Thus, all university activities are aimed at creating the conditions for students, their personal growth and professional development. New educational technologies, double degree, additional and distant education, internships, professional de</w:t>
      </w:r>
      <w:r>
        <w:rPr>
          <w:rFonts w:ascii="Times New Roman" w:eastAsia="Times New Roman" w:hAnsi="Times New Roman" w:cs="Times New Roman"/>
          <w:sz w:val="28"/>
        </w:rPr>
        <w:t xml:space="preserve">velopment courses, digitalization of management systems and risk management are the tools that allow us to talk about the high quality of educational services offered and as a result - the formation of commodifiable human capital, able to really modernize </w:t>
      </w:r>
      <w:r>
        <w:rPr>
          <w:rFonts w:ascii="Times New Roman" w:eastAsia="Times New Roman" w:hAnsi="Times New Roman" w:cs="Times New Roman"/>
          <w:sz w:val="28"/>
        </w:rPr>
        <w:t>the Kazakhstani society against the background of the arrival of the era of knowledge economy.</w:t>
      </w:r>
    </w:p>
    <w:p w:rsidR="0052701D" w:rsidRDefault="00D40929">
      <w:pPr>
        <w:spacing w:after="306" w:line="249" w:lineRule="auto"/>
        <w:ind w:left="342" w:right="334" w:hanging="10"/>
        <w:jc w:val="center"/>
      </w:pPr>
      <w:r>
        <w:rPr>
          <w:rFonts w:ascii="Times New Roman" w:eastAsia="Times New Roman" w:hAnsi="Times New Roman" w:cs="Times New Roman"/>
          <w:b/>
          <w:sz w:val="28"/>
        </w:rPr>
        <w:t>Sources</w:t>
      </w:r>
    </w:p>
    <w:p w:rsidR="0052701D" w:rsidRDefault="00D40929">
      <w:pPr>
        <w:spacing w:after="12" w:line="249" w:lineRule="auto"/>
        <w:ind w:left="563" w:right="586" w:hanging="10"/>
        <w:jc w:val="right"/>
      </w:pPr>
      <w:r>
        <w:rPr>
          <w:rFonts w:ascii="Times New Roman" w:eastAsia="Times New Roman" w:hAnsi="Times New Roman" w:cs="Times New Roman"/>
          <w:sz w:val="28"/>
        </w:rPr>
        <w:t>[1] Mahlup F. Proizvodstvo i rasprostranenie znanij v SSHA. – M.:</w:t>
      </w:r>
    </w:p>
    <w:p w:rsidR="0052701D" w:rsidRDefault="00D40929">
      <w:pPr>
        <w:spacing w:after="3" w:line="248" w:lineRule="auto"/>
        <w:ind w:left="553" w:right="4"/>
        <w:jc w:val="both"/>
      </w:pPr>
      <w:r>
        <w:rPr>
          <w:rFonts w:ascii="Times New Roman" w:eastAsia="Times New Roman" w:hAnsi="Times New Roman" w:cs="Times New Roman"/>
          <w:sz w:val="28"/>
        </w:rPr>
        <w:t>«Progress», 1966. – 462 s.</w:t>
      </w:r>
    </w:p>
    <w:p w:rsidR="0052701D" w:rsidRDefault="00D40929">
      <w:pPr>
        <w:spacing w:after="277" w:line="249" w:lineRule="auto"/>
        <w:ind w:left="279" w:right="1" w:hanging="10"/>
        <w:jc w:val="both"/>
      </w:pPr>
      <w:r>
        <w:rPr>
          <w:rFonts w:ascii="Times New Roman" w:eastAsia="Times New Roman" w:hAnsi="Times New Roman" w:cs="Times New Roman"/>
        </w:rPr>
        <w:t xml:space="preserve">  </w:t>
      </w:r>
      <w:r>
        <w:rPr>
          <w:rFonts w:ascii="Times New Roman" w:eastAsia="Times New Roman" w:hAnsi="Times New Roman" w:cs="Times New Roman"/>
          <w:sz w:val="24"/>
        </w:rPr>
        <w:t xml:space="preserve">УДК 338 </w:t>
      </w:r>
    </w:p>
    <w:p w:rsidR="0052701D" w:rsidRDefault="00D40929">
      <w:pPr>
        <w:pStyle w:val="1"/>
        <w:spacing w:after="272" w:line="249" w:lineRule="auto"/>
        <w:ind w:left="342" w:right="337"/>
      </w:pPr>
      <w:r>
        <w:t>ИНДУСТРИЯЛДЫ ҚОҒАМНЫҢ  АДАМИ КАПИТАЛЫНА</w:t>
      </w:r>
    </w:p>
    <w:p w:rsidR="0052701D" w:rsidRDefault="00D40929">
      <w:pPr>
        <w:pStyle w:val="1"/>
        <w:spacing w:after="272" w:line="249" w:lineRule="auto"/>
        <w:ind w:left="342" w:right="337"/>
      </w:pPr>
      <w:r>
        <w:t xml:space="preserve">ИНВЕСТИЦИЯ </w:t>
      </w:r>
      <w:r>
        <w:rPr>
          <w:b w:val="0"/>
          <w:sz w:val="24"/>
        </w:rPr>
        <w:t>Нұрпейіс Е.М.</w:t>
      </w:r>
    </w:p>
    <w:p w:rsidR="0052701D" w:rsidRDefault="00D40929">
      <w:pPr>
        <w:spacing w:after="10" w:line="248" w:lineRule="auto"/>
        <w:ind w:left="521" w:right="525" w:hanging="10"/>
        <w:jc w:val="center"/>
      </w:pPr>
      <w:r>
        <w:rPr>
          <w:rFonts w:ascii="Times New Roman" w:eastAsia="Times New Roman" w:hAnsi="Times New Roman" w:cs="Times New Roman"/>
        </w:rPr>
        <w:t xml:space="preserve">Ғұмарбек Дәукеев атындағы Алматы энергетика және байланыс университеті, </w:t>
      </w:r>
    </w:p>
    <w:p w:rsidR="0052701D" w:rsidRDefault="00D40929">
      <w:pPr>
        <w:spacing w:after="10" w:line="248" w:lineRule="auto"/>
        <w:ind w:left="521" w:right="518" w:hanging="10"/>
        <w:jc w:val="center"/>
      </w:pPr>
      <w:r>
        <w:rPr>
          <w:rFonts w:ascii="Times New Roman" w:eastAsia="Times New Roman" w:hAnsi="Times New Roman" w:cs="Times New Roman"/>
        </w:rPr>
        <w:t xml:space="preserve">Қазақстан Республикасы, Алматы қаласы </w:t>
      </w:r>
    </w:p>
    <w:p w:rsidR="0052701D" w:rsidRDefault="00D40929">
      <w:pPr>
        <w:spacing w:after="319"/>
        <w:ind w:right="1"/>
        <w:jc w:val="center"/>
      </w:pPr>
      <w:r>
        <w:rPr>
          <w:noProof/>
        </w:rPr>
        <mc:AlternateContent>
          <mc:Choice Requires="wpg">
            <w:drawing>
              <wp:anchor distT="0" distB="0" distL="114300" distR="114300" simplePos="0" relativeHeight="251774976" behindDoc="0" locked="0" layoutInCell="1" allowOverlap="1">
                <wp:simplePos x="0" y="0"/>
                <wp:positionH relativeFrom="column">
                  <wp:posOffset>2915920</wp:posOffset>
                </wp:positionH>
                <wp:positionV relativeFrom="paragraph">
                  <wp:posOffset>-6321</wp:posOffset>
                </wp:positionV>
                <wp:extent cx="1099820" cy="160655"/>
                <wp:effectExtent l="0" t="0" r="0" b="0"/>
                <wp:wrapNone/>
                <wp:docPr id="1027709" name="Group 1027709"/>
                <wp:cNvGraphicFramePr/>
                <a:graphic xmlns:a="http://schemas.openxmlformats.org/drawingml/2006/main">
                  <a:graphicData uri="http://schemas.microsoft.com/office/word/2010/wordprocessingGroup">
                    <wpg:wgp>
                      <wpg:cNvGrpSpPr/>
                      <wpg:grpSpPr>
                        <a:xfrm>
                          <a:off x="0" y="0"/>
                          <a:ext cx="1099820" cy="160655"/>
                          <a:chOff x="0" y="0"/>
                          <a:chExt cx="1099820" cy="160655"/>
                        </a:xfrm>
                      </wpg:grpSpPr>
                      <wps:wsp>
                        <wps:cNvPr id="176500" name="Shape 176500"/>
                        <wps:cNvSpPr/>
                        <wps:spPr>
                          <a:xfrm>
                            <a:off x="0" y="143511"/>
                            <a:ext cx="69850" cy="0"/>
                          </a:xfrm>
                          <a:custGeom>
                            <a:avLst/>
                            <a:gdLst/>
                            <a:ahLst/>
                            <a:cxnLst/>
                            <a:rect l="0" t="0" r="0" b="0"/>
                            <a:pathLst>
                              <a:path w="69850">
                                <a:moveTo>
                                  <a:pt x="0" y="0"/>
                                </a:moveTo>
                                <a:lnTo>
                                  <a:pt x="69850" y="0"/>
                                </a:lnTo>
                              </a:path>
                            </a:pathLst>
                          </a:custGeom>
                          <a:ln w="7620" cap="flat">
                            <a:miter lim="127000"/>
                          </a:ln>
                        </wps:spPr>
                        <wps:style>
                          <a:lnRef idx="1">
                            <a:srgbClr val="0000FF"/>
                          </a:lnRef>
                          <a:fillRef idx="0">
                            <a:srgbClr val="000000">
                              <a:alpha val="0"/>
                            </a:srgbClr>
                          </a:fillRef>
                          <a:effectRef idx="0">
                            <a:scrgbClr r="0" g="0" b="0"/>
                          </a:effectRef>
                          <a:fontRef idx="none"/>
                        </wps:style>
                        <wps:bodyPr/>
                      </wps:wsp>
                      <wps:wsp>
                        <wps:cNvPr id="1065639" name="Shape 1065639"/>
                        <wps:cNvSpPr/>
                        <wps:spPr>
                          <a:xfrm>
                            <a:off x="69850" y="0"/>
                            <a:ext cx="34925" cy="160655"/>
                          </a:xfrm>
                          <a:custGeom>
                            <a:avLst/>
                            <a:gdLst/>
                            <a:ahLst/>
                            <a:cxnLst/>
                            <a:rect l="0" t="0" r="0" b="0"/>
                            <a:pathLst>
                              <a:path w="34925" h="160655">
                                <a:moveTo>
                                  <a:pt x="0" y="0"/>
                                </a:moveTo>
                                <a:lnTo>
                                  <a:pt x="34925" y="0"/>
                                </a:lnTo>
                                <a:lnTo>
                                  <a:pt x="34925" y="160655"/>
                                </a:lnTo>
                                <a:lnTo>
                                  <a:pt x="0" y="16065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6504" name="Shape 176504"/>
                        <wps:cNvSpPr/>
                        <wps:spPr>
                          <a:xfrm>
                            <a:off x="69850" y="143511"/>
                            <a:ext cx="35560" cy="0"/>
                          </a:xfrm>
                          <a:custGeom>
                            <a:avLst/>
                            <a:gdLst/>
                            <a:ahLst/>
                            <a:cxnLst/>
                            <a:rect l="0" t="0" r="0" b="0"/>
                            <a:pathLst>
                              <a:path w="35560">
                                <a:moveTo>
                                  <a:pt x="0" y="0"/>
                                </a:moveTo>
                                <a:lnTo>
                                  <a:pt x="35560" y="0"/>
                                </a:lnTo>
                              </a:path>
                            </a:pathLst>
                          </a:custGeom>
                          <a:ln w="7620" cap="flat">
                            <a:miter lim="127000"/>
                          </a:ln>
                        </wps:spPr>
                        <wps:style>
                          <a:lnRef idx="1">
                            <a:srgbClr val="0000FF"/>
                          </a:lnRef>
                          <a:fillRef idx="0">
                            <a:srgbClr val="000000">
                              <a:alpha val="0"/>
                            </a:srgbClr>
                          </a:fillRef>
                          <a:effectRef idx="0">
                            <a:scrgbClr r="0" g="0" b="0"/>
                          </a:effectRef>
                          <a:fontRef idx="none"/>
                        </wps:style>
                        <wps:bodyPr/>
                      </wps:wsp>
                      <wps:wsp>
                        <wps:cNvPr id="176508" name="Shape 176508"/>
                        <wps:cNvSpPr/>
                        <wps:spPr>
                          <a:xfrm>
                            <a:off x="105410" y="143511"/>
                            <a:ext cx="450850" cy="0"/>
                          </a:xfrm>
                          <a:custGeom>
                            <a:avLst/>
                            <a:gdLst/>
                            <a:ahLst/>
                            <a:cxnLst/>
                            <a:rect l="0" t="0" r="0" b="0"/>
                            <a:pathLst>
                              <a:path w="450850">
                                <a:moveTo>
                                  <a:pt x="0" y="0"/>
                                </a:moveTo>
                                <a:lnTo>
                                  <a:pt x="450850" y="0"/>
                                </a:lnTo>
                              </a:path>
                            </a:pathLst>
                          </a:custGeom>
                          <a:ln w="7620" cap="flat">
                            <a:miter lim="127000"/>
                          </a:ln>
                        </wps:spPr>
                        <wps:style>
                          <a:lnRef idx="1">
                            <a:srgbClr val="0000FF"/>
                          </a:lnRef>
                          <a:fillRef idx="0">
                            <a:srgbClr val="000000">
                              <a:alpha val="0"/>
                            </a:srgbClr>
                          </a:fillRef>
                          <a:effectRef idx="0">
                            <a:scrgbClr r="0" g="0" b="0"/>
                          </a:effectRef>
                          <a:fontRef idx="none"/>
                        </wps:style>
                        <wps:bodyPr/>
                      </wps:wsp>
                      <wps:wsp>
                        <wps:cNvPr id="1065640" name="Shape 1065640"/>
                        <wps:cNvSpPr/>
                        <wps:spPr>
                          <a:xfrm>
                            <a:off x="554990" y="0"/>
                            <a:ext cx="128905" cy="160655"/>
                          </a:xfrm>
                          <a:custGeom>
                            <a:avLst/>
                            <a:gdLst/>
                            <a:ahLst/>
                            <a:cxnLst/>
                            <a:rect l="0" t="0" r="0" b="0"/>
                            <a:pathLst>
                              <a:path w="128905" h="160655">
                                <a:moveTo>
                                  <a:pt x="0" y="0"/>
                                </a:moveTo>
                                <a:lnTo>
                                  <a:pt x="128905" y="0"/>
                                </a:lnTo>
                                <a:lnTo>
                                  <a:pt x="128905" y="160655"/>
                                </a:lnTo>
                                <a:lnTo>
                                  <a:pt x="0" y="16065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6512" name="Shape 176512"/>
                        <wps:cNvSpPr/>
                        <wps:spPr>
                          <a:xfrm>
                            <a:off x="554990" y="143511"/>
                            <a:ext cx="128270" cy="0"/>
                          </a:xfrm>
                          <a:custGeom>
                            <a:avLst/>
                            <a:gdLst/>
                            <a:ahLst/>
                            <a:cxnLst/>
                            <a:rect l="0" t="0" r="0" b="0"/>
                            <a:pathLst>
                              <a:path w="128270">
                                <a:moveTo>
                                  <a:pt x="0" y="0"/>
                                </a:moveTo>
                                <a:lnTo>
                                  <a:pt x="128270" y="0"/>
                                </a:lnTo>
                              </a:path>
                            </a:pathLst>
                          </a:custGeom>
                          <a:ln w="7620" cap="flat">
                            <a:miter lim="127000"/>
                          </a:ln>
                        </wps:spPr>
                        <wps:style>
                          <a:lnRef idx="1">
                            <a:srgbClr val="0000FF"/>
                          </a:lnRef>
                          <a:fillRef idx="0">
                            <a:srgbClr val="000000">
                              <a:alpha val="0"/>
                            </a:srgbClr>
                          </a:fillRef>
                          <a:effectRef idx="0">
                            <a:scrgbClr r="0" g="0" b="0"/>
                          </a:effectRef>
                          <a:fontRef idx="none"/>
                        </wps:style>
                        <wps:bodyPr/>
                      </wps:wsp>
                      <wps:wsp>
                        <wps:cNvPr id="176516" name="Shape 176516"/>
                        <wps:cNvSpPr/>
                        <wps:spPr>
                          <a:xfrm>
                            <a:off x="684530" y="143511"/>
                            <a:ext cx="248920" cy="0"/>
                          </a:xfrm>
                          <a:custGeom>
                            <a:avLst/>
                            <a:gdLst/>
                            <a:ahLst/>
                            <a:cxnLst/>
                            <a:rect l="0" t="0" r="0" b="0"/>
                            <a:pathLst>
                              <a:path w="248920">
                                <a:moveTo>
                                  <a:pt x="0" y="0"/>
                                </a:moveTo>
                                <a:lnTo>
                                  <a:pt x="248920" y="0"/>
                                </a:lnTo>
                              </a:path>
                            </a:pathLst>
                          </a:custGeom>
                          <a:ln w="7620" cap="flat">
                            <a:miter lim="127000"/>
                          </a:ln>
                        </wps:spPr>
                        <wps:style>
                          <a:lnRef idx="1">
                            <a:srgbClr val="0000FF"/>
                          </a:lnRef>
                          <a:fillRef idx="0">
                            <a:srgbClr val="000000">
                              <a:alpha val="0"/>
                            </a:srgbClr>
                          </a:fillRef>
                          <a:effectRef idx="0">
                            <a:scrgbClr r="0" g="0" b="0"/>
                          </a:effectRef>
                          <a:fontRef idx="none"/>
                        </wps:style>
                        <wps:bodyPr/>
                      </wps:wsp>
                      <wps:wsp>
                        <wps:cNvPr id="1065641" name="Shape 1065641"/>
                        <wps:cNvSpPr/>
                        <wps:spPr>
                          <a:xfrm>
                            <a:off x="932180" y="0"/>
                            <a:ext cx="34925" cy="160655"/>
                          </a:xfrm>
                          <a:custGeom>
                            <a:avLst/>
                            <a:gdLst/>
                            <a:ahLst/>
                            <a:cxnLst/>
                            <a:rect l="0" t="0" r="0" b="0"/>
                            <a:pathLst>
                              <a:path w="34925" h="160655">
                                <a:moveTo>
                                  <a:pt x="0" y="0"/>
                                </a:moveTo>
                                <a:lnTo>
                                  <a:pt x="34925" y="0"/>
                                </a:lnTo>
                                <a:lnTo>
                                  <a:pt x="34925" y="160655"/>
                                </a:lnTo>
                                <a:lnTo>
                                  <a:pt x="0" y="16065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6520" name="Shape 176520"/>
                        <wps:cNvSpPr/>
                        <wps:spPr>
                          <a:xfrm>
                            <a:off x="932180" y="143511"/>
                            <a:ext cx="35560" cy="0"/>
                          </a:xfrm>
                          <a:custGeom>
                            <a:avLst/>
                            <a:gdLst/>
                            <a:ahLst/>
                            <a:cxnLst/>
                            <a:rect l="0" t="0" r="0" b="0"/>
                            <a:pathLst>
                              <a:path w="35560">
                                <a:moveTo>
                                  <a:pt x="0" y="0"/>
                                </a:moveTo>
                                <a:lnTo>
                                  <a:pt x="35560" y="0"/>
                                </a:lnTo>
                              </a:path>
                            </a:pathLst>
                          </a:custGeom>
                          <a:ln w="7620" cap="flat">
                            <a:miter lim="127000"/>
                          </a:ln>
                        </wps:spPr>
                        <wps:style>
                          <a:lnRef idx="1">
                            <a:srgbClr val="0000FF"/>
                          </a:lnRef>
                          <a:fillRef idx="0">
                            <a:srgbClr val="000000">
                              <a:alpha val="0"/>
                            </a:srgbClr>
                          </a:fillRef>
                          <a:effectRef idx="0">
                            <a:scrgbClr r="0" g="0" b="0"/>
                          </a:effectRef>
                          <a:fontRef idx="none"/>
                        </wps:style>
                        <wps:bodyPr/>
                      </wps:wsp>
                      <wps:wsp>
                        <wps:cNvPr id="176524" name="Shape 176524"/>
                        <wps:cNvSpPr/>
                        <wps:spPr>
                          <a:xfrm>
                            <a:off x="967740" y="143511"/>
                            <a:ext cx="132080" cy="0"/>
                          </a:xfrm>
                          <a:custGeom>
                            <a:avLst/>
                            <a:gdLst/>
                            <a:ahLst/>
                            <a:cxnLst/>
                            <a:rect l="0" t="0" r="0" b="0"/>
                            <a:pathLst>
                              <a:path w="132080">
                                <a:moveTo>
                                  <a:pt x="0" y="0"/>
                                </a:moveTo>
                                <a:lnTo>
                                  <a:pt x="132080" y="0"/>
                                </a:lnTo>
                              </a:path>
                            </a:pathLst>
                          </a:custGeom>
                          <a:ln w="7620" cap="flat">
                            <a:miter lim="127000"/>
                          </a:ln>
                        </wps:spPr>
                        <wps:style>
                          <a:lnRef idx="1">
                            <a:srgbClr val="0000F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27709" style="width:86.6pt;height:12.65pt;position:absolute;z-index:26;mso-position-horizontal-relative:text;mso-position-horizontal:absolute;margin-left:229.6pt;mso-position-vertical-relative:text;margin-top:-0.497772pt;" coordsize="10998,1606">
                <v:shape id="Shape 176500" style="position:absolute;width:698;height:0;left:0;top:1435;" coordsize="69850,0" path="m0,0l69850,0">
                  <v:stroke weight="0.6pt" endcap="flat" joinstyle="miter" miterlimit="10" on="true" color="#0000ff"/>
                  <v:fill on="false" color="#000000" opacity="0"/>
                </v:shape>
                <v:shape id="Shape 1065642" style="position:absolute;width:349;height:1606;left:698;top:0;" coordsize="34925,160655" path="m0,0l34925,0l34925,160655l0,160655l0,0">
                  <v:stroke weight="0pt" endcap="flat" joinstyle="miter" miterlimit="10" on="false" color="#000000" opacity="0"/>
                  <v:fill on="true" color="#ffffff"/>
                </v:shape>
                <v:shape id="Shape 176504" style="position:absolute;width:355;height:0;left:698;top:1435;" coordsize="35560,0" path="m0,0l35560,0">
                  <v:stroke weight="0.6pt" endcap="flat" joinstyle="miter" miterlimit="10" on="true" color="#0000ff"/>
                  <v:fill on="false" color="#000000" opacity="0"/>
                </v:shape>
                <v:shape id="Shape 176508" style="position:absolute;width:4508;height:0;left:1054;top:1435;" coordsize="450850,0" path="m0,0l450850,0">
                  <v:stroke weight="0.6pt" endcap="flat" joinstyle="miter" miterlimit="10" on="true" color="#0000ff"/>
                  <v:fill on="false" color="#000000" opacity="0"/>
                </v:shape>
                <v:shape id="Shape 1065643" style="position:absolute;width:1289;height:1606;left:5549;top:0;" coordsize="128905,160655" path="m0,0l128905,0l128905,160655l0,160655l0,0">
                  <v:stroke weight="0pt" endcap="flat" joinstyle="miter" miterlimit="10" on="false" color="#000000" opacity="0"/>
                  <v:fill on="true" color="#ffffff"/>
                </v:shape>
                <v:shape id="Shape 176512" style="position:absolute;width:1282;height:0;left:5549;top:1435;" coordsize="128270,0" path="m0,0l128270,0">
                  <v:stroke weight="0.6pt" endcap="flat" joinstyle="miter" miterlimit="10" on="true" color="#0000ff"/>
                  <v:fill on="false" color="#000000" opacity="0"/>
                </v:shape>
                <v:shape id="Shape 176516" style="position:absolute;width:2489;height:0;left:6845;top:1435;" coordsize="248920,0" path="m0,0l248920,0">
                  <v:stroke weight="0.6pt" endcap="flat" joinstyle="miter" miterlimit="10" on="true" color="#0000ff"/>
                  <v:fill on="false" color="#000000" opacity="0"/>
                </v:shape>
                <v:shape id="Shape 1065644" style="position:absolute;width:349;height:1606;left:9321;top:0;" coordsize="34925,160655" path="m0,0l34925,0l34925,160655l0,160655l0,0">
                  <v:stroke weight="0pt" endcap="flat" joinstyle="miter" miterlimit="10" on="false" color="#000000" opacity="0"/>
                  <v:fill on="true" color="#ffffff"/>
                </v:shape>
                <v:shape id="Shape 176520" style="position:absolute;width:355;height:0;left:9321;top:1435;" coordsize="35560,0" path="m0,0l35560,0">
                  <v:stroke weight="0.6pt" endcap="flat" joinstyle="miter" miterlimit="10" on="true" color="#0000ff"/>
                  <v:fill on="false" color="#000000" opacity="0"/>
                </v:shape>
                <v:shape id="Shape 176524" style="position:absolute;width:1320;height:0;left:9677;top:1435;" coordsize="132080,0" path="m0,0l132080,0">
                  <v:stroke weight="0.6pt" endcap="flat" joinstyle="miter" miterlimit="10" on="true" color="#0000ff"/>
                  <v:fill on="false" color="#000000" opacity="0"/>
                </v:shape>
              </v:group>
            </w:pict>
          </mc:Fallback>
        </mc:AlternateContent>
      </w:r>
      <w:r>
        <w:rPr>
          <w:rFonts w:ascii="Times New Roman" w:eastAsia="Times New Roman" w:hAnsi="Times New Roman" w:cs="Times New Roman"/>
        </w:rPr>
        <w:t xml:space="preserve">E-mail: </w:t>
      </w:r>
      <w:r>
        <w:rPr>
          <w:rFonts w:ascii="Times New Roman" w:eastAsia="Times New Roman" w:hAnsi="Times New Roman" w:cs="Times New Roman"/>
          <w:color w:val="0000FF"/>
        </w:rPr>
        <w:t xml:space="preserve">  y. nurpeiis   @ aues .  kz</w:t>
      </w:r>
      <w:r>
        <w:rPr>
          <w:rFonts w:ascii="Times New Roman" w:eastAsia="Times New Roman" w:hAnsi="Times New Roman" w:cs="Times New Roman"/>
        </w:rPr>
        <w:t xml:space="preserve"> </w:t>
      </w:r>
    </w:p>
    <w:p w:rsidR="0052701D" w:rsidRDefault="00D40929">
      <w:pPr>
        <w:spacing w:after="3" w:line="249" w:lineRule="auto"/>
        <w:ind w:left="269" w:right="282" w:firstLine="568"/>
        <w:jc w:val="both"/>
      </w:pPr>
      <w:r>
        <w:rPr>
          <w:rFonts w:ascii="Times New Roman" w:eastAsia="Times New Roman" w:hAnsi="Times New Roman" w:cs="Times New Roman"/>
          <w:b/>
          <w:i/>
          <w:sz w:val="24"/>
        </w:rPr>
        <w:t>Аңдатпа.</w:t>
      </w:r>
      <w:r>
        <w:rPr>
          <w:rFonts w:ascii="Times New Roman" w:eastAsia="Times New Roman" w:hAnsi="Times New Roman" w:cs="Times New Roman"/>
          <w:i/>
          <w:sz w:val="24"/>
        </w:rPr>
        <w:t xml:space="preserve"> Мақалада индустриялды қоғамның басты өндіргіш күші ретінде адами капиталды қалыптастырудағы инвестицияның рөлі қарастырылады.             </w:t>
      </w:r>
    </w:p>
    <w:p w:rsidR="0052701D" w:rsidRDefault="00D40929">
      <w:pPr>
        <w:spacing w:after="3" w:line="249" w:lineRule="auto"/>
        <w:ind w:left="269" w:right="282" w:firstLine="568"/>
        <w:jc w:val="both"/>
      </w:pPr>
      <w:r>
        <w:rPr>
          <w:rFonts w:ascii="Times New Roman" w:eastAsia="Times New Roman" w:hAnsi="Times New Roman" w:cs="Times New Roman"/>
          <w:b/>
          <w:i/>
          <w:sz w:val="24"/>
        </w:rPr>
        <w:t>Тірек сөздер:</w:t>
      </w:r>
      <w:r>
        <w:rPr>
          <w:rFonts w:ascii="Times New Roman" w:eastAsia="Times New Roman" w:hAnsi="Times New Roman" w:cs="Times New Roman"/>
          <w:i/>
          <w:sz w:val="24"/>
        </w:rPr>
        <w:t xml:space="preserve"> адами капитал, адами капиталға инвестиция, индустриялды қоғамның өндіргіш  күштері, біліктілік, бәсеке</w:t>
      </w:r>
      <w:r>
        <w:rPr>
          <w:rFonts w:ascii="Times New Roman" w:eastAsia="Times New Roman" w:hAnsi="Times New Roman" w:cs="Times New Roman"/>
          <w:i/>
          <w:sz w:val="24"/>
        </w:rPr>
        <w:t>лік қабілет, еңбек өнімділегі.</w:t>
      </w:r>
    </w:p>
    <w:p w:rsidR="0052701D" w:rsidRDefault="00D40929">
      <w:pPr>
        <w:spacing w:after="0"/>
        <w:ind w:left="302"/>
        <w:jc w:val="center"/>
      </w:pPr>
      <w:r>
        <w:rPr>
          <w:rFonts w:ascii="Times New Roman" w:eastAsia="Times New Roman" w:hAnsi="Times New Roman" w:cs="Times New Roman"/>
          <w:sz w:val="24"/>
        </w:rPr>
        <w:t xml:space="preserve">     </w:t>
      </w:r>
    </w:p>
    <w:p w:rsidR="0052701D" w:rsidRDefault="00D40929">
      <w:pPr>
        <w:spacing w:after="0"/>
        <w:ind w:left="717" w:right="713" w:hanging="10"/>
        <w:jc w:val="center"/>
      </w:pPr>
      <w:r>
        <w:rPr>
          <w:rFonts w:ascii="Times New Roman" w:eastAsia="Times New Roman" w:hAnsi="Times New Roman" w:cs="Times New Roman"/>
          <w:sz w:val="24"/>
        </w:rPr>
        <w:t xml:space="preserve">    </w:t>
      </w:r>
      <w:r>
        <w:rPr>
          <w:rFonts w:ascii="Times New Roman" w:eastAsia="Times New Roman" w:hAnsi="Times New Roman" w:cs="Times New Roman"/>
          <w:b/>
          <w:sz w:val="24"/>
        </w:rPr>
        <w:t>ИНВЕСТИЦИИ В ЧЕЛОВЕЧЕСКИЙ КАПИТАЛ ИНДУСТРИАЛЬНОГО</w:t>
      </w:r>
    </w:p>
    <w:p w:rsidR="0052701D" w:rsidRDefault="00D40929">
      <w:pPr>
        <w:spacing w:after="252"/>
        <w:ind w:left="717" w:right="707" w:hanging="10"/>
        <w:jc w:val="center"/>
      </w:pPr>
      <w:r>
        <w:rPr>
          <w:rFonts w:ascii="Times New Roman" w:eastAsia="Times New Roman" w:hAnsi="Times New Roman" w:cs="Times New Roman"/>
          <w:b/>
          <w:sz w:val="24"/>
        </w:rPr>
        <w:t>ОБЩЕСТВА</w:t>
      </w:r>
    </w:p>
    <w:p w:rsidR="0052701D" w:rsidRDefault="00D40929">
      <w:pPr>
        <w:spacing w:after="13" w:line="249" w:lineRule="auto"/>
        <w:ind w:left="1001" w:right="992" w:hanging="10"/>
        <w:jc w:val="center"/>
      </w:pPr>
      <w:r>
        <w:rPr>
          <w:rFonts w:ascii="Times New Roman" w:eastAsia="Times New Roman" w:hAnsi="Times New Roman" w:cs="Times New Roman"/>
          <w:sz w:val="24"/>
        </w:rPr>
        <w:t>Нұрпейіс Е.М.</w:t>
      </w:r>
    </w:p>
    <w:p w:rsidR="0052701D" w:rsidRDefault="00D40929">
      <w:pPr>
        <w:spacing w:after="3" w:line="249" w:lineRule="auto"/>
        <w:ind w:left="4038" w:right="1" w:hanging="3094"/>
        <w:jc w:val="both"/>
      </w:pPr>
      <w:r>
        <w:rPr>
          <w:rFonts w:ascii="Times New Roman" w:eastAsia="Times New Roman" w:hAnsi="Times New Roman" w:cs="Times New Roman"/>
          <w:sz w:val="24"/>
        </w:rPr>
        <w:t xml:space="preserve">Алматинский университет энергетики и связи имени Гумарбека Даукеева, Республика Казахстан, г.Алматы </w:t>
      </w:r>
    </w:p>
    <w:p w:rsidR="0052701D" w:rsidRDefault="00D40929">
      <w:pPr>
        <w:spacing w:after="263" w:line="249" w:lineRule="auto"/>
        <w:ind w:left="1001" w:right="991" w:hanging="10"/>
        <w:jc w:val="center"/>
      </w:pPr>
      <w:r>
        <w:rPr>
          <w:rFonts w:ascii="Times New Roman" w:eastAsia="Times New Roman" w:hAnsi="Times New Roman" w:cs="Times New Roman"/>
        </w:rPr>
        <w:t xml:space="preserve">E-mail: </w:t>
      </w:r>
      <w:r>
        <w:rPr>
          <w:rFonts w:ascii="Times New Roman" w:eastAsia="Times New Roman" w:hAnsi="Times New Roman" w:cs="Times New Roman"/>
          <w:sz w:val="24"/>
        </w:rPr>
        <w:t>y.nurpeiis@aues.kz</w:t>
      </w:r>
    </w:p>
    <w:p w:rsidR="0052701D" w:rsidRDefault="00D40929">
      <w:pPr>
        <w:spacing w:after="3" w:line="249" w:lineRule="auto"/>
        <w:ind w:left="269" w:right="282" w:firstLine="568"/>
        <w:jc w:val="both"/>
      </w:pPr>
      <w:r>
        <w:rPr>
          <w:rFonts w:ascii="Times New Roman" w:eastAsia="Times New Roman" w:hAnsi="Times New Roman" w:cs="Times New Roman"/>
          <w:b/>
          <w:i/>
          <w:sz w:val="24"/>
        </w:rPr>
        <w:lastRenderedPageBreak/>
        <w:t>Резюме.</w:t>
      </w:r>
      <w:r>
        <w:rPr>
          <w:rFonts w:ascii="Times New Roman" w:eastAsia="Times New Roman" w:hAnsi="Times New Roman" w:cs="Times New Roman"/>
          <w:i/>
          <w:sz w:val="24"/>
        </w:rPr>
        <w:t xml:space="preserve"> В стат</w:t>
      </w:r>
      <w:r>
        <w:rPr>
          <w:rFonts w:ascii="Times New Roman" w:eastAsia="Times New Roman" w:hAnsi="Times New Roman" w:cs="Times New Roman"/>
          <w:i/>
          <w:sz w:val="24"/>
        </w:rPr>
        <w:t>ье рассматривается роль нивестиции в становлении человеческого капитала как главной производительной силы индустириального общества.</w:t>
      </w:r>
    </w:p>
    <w:p w:rsidR="0052701D" w:rsidRDefault="00D40929">
      <w:pPr>
        <w:spacing w:after="550" w:line="240" w:lineRule="auto"/>
        <w:ind w:left="269" w:firstLine="558"/>
      </w:pPr>
      <w:r>
        <w:rPr>
          <w:rFonts w:ascii="Times New Roman" w:eastAsia="Times New Roman" w:hAnsi="Times New Roman" w:cs="Times New Roman"/>
          <w:i/>
          <w:sz w:val="24"/>
        </w:rPr>
        <w:t xml:space="preserve">   </w:t>
      </w: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 xml:space="preserve"> человеческий капитал, инвестиции в человеческий капитал, производительные</w:t>
      </w:r>
      <w:r>
        <w:rPr>
          <w:rFonts w:ascii="Times New Roman" w:eastAsia="Times New Roman" w:hAnsi="Times New Roman" w:cs="Times New Roman"/>
          <w:i/>
          <w:sz w:val="24"/>
        </w:rPr>
        <w:tab/>
        <w:t xml:space="preserve"> </w:t>
      </w:r>
      <w:r>
        <w:rPr>
          <w:rFonts w:ascii="Times New Roman" w:eastAsia="Times New Roman" w:hAnsi="Times New Roman" w:cs="Times New Roman"/>
          <w:i/>
          <w:sz w:val="24"/>
        </w:rPr>
        <w:tab/>
        <w:t>силы</w:t>
      </w:r>
      <w:r>
        <w:rPr>
          <w:rFonts w:ascii="Times New Roman" w:eastAsia="Times New Roman" w:hAnsi="Times New Roman" w:cs="Times New Roman"/>
          <w:i/>
          <w:sz w:val="24"/>
        </w:rPr>
        <w:tab/>
        <w:t xml:space="preserve"> </w:t>
      </w:r>
      <w:r>
        <w:rPr>
          <w:rFonts w:ascii="Times New Roman" w:eastAsia="Times New Roman" w:hAnsi="Times New Roman" w:cs="Times New Roman"/>
          <w:i/>
          <w:sz w:val="24"/>
        </w:rPr>
        <w:tab/>
        <w:t>индустриального</w:t>
      </w:r>
      <w:r>
        <w:rPr>
          <w:rFonts w:ascii="Times New Roman" w:eastAsia="Times New Roman" w:hAnsi="Times New Roman" w:cs="Times New Roman"/>
          <w:i/>
          <w:sz w:val="24"/>
        </w:rPr>
        <w:tab/>
        <w:t xml:space="preserve"> </w:t>
      </w:r>
      <w:r>
        <w:rPr>
          <w:rFonts w:ascii="Times New Roman" w:eastAsia="Times New Roman" w:hAnsi="Times New Roman" w:cs="Times New Roman"/>
          <w:i/>
          <w:sz w:val="24"/>
        </w:rPr>
        <w:tab/>
        <w:t>общ</w:t>
      </w:r>
      <w:r>
        <w:rPr>
          <w:rFonts w:ascii="Times New Roman" w:eastAsia="Times New Roman" w:hAnsi="Times New Roman" w:cs="Times New Roman"/>
          <w:i/>
          <w:sz w:val="24"/>
        </w:rPr>
        <w:t>ества,</w:t>
      </w:r>
      <w:r>
        <w:rPr>
          <w:rFonts w:ascii="Times New Roman" w:eastAsia="Times New Roman" w:hAnsi="Times New Roman" w:cs="Times New Roman"/>
          <w:i/>
          <w:sz w:val="24"/>
        </w:rPr>
        <w:tab/>
        <w:t xml:space="preserve"> </w:t>
      </w:r>
      <w:r>
        <w:rPr>
          <w:rFonts w:ascii="Times New Roman" w:eastAsia="Times New Roman" w:hAnsi="Times New Roman" w:cs="Times New Roman"/>
          <w:i/>
          <w:sz w:val="24"/>
        </w:rPr>
        <w:tab/>
        <w:t>квалификация, конкурентоспособность, производительность труда.</w:t>
      </w:r>
    </w:p>
    <w:p w:rsidR="0052701D" w:rsidRDefault="00D40929">
      <w:pPr>
        <w:spacing w:after="0"/>
        <w:ind w:left="717" w:right="712" w:hanging="10"/>
        <w:jc w:val="center"/>
      </w:pPr>
      <w:r>
        <w:rPr>
          <w:rFonts w:ascii="Times New Roman" w:eastAsia="Times New Roman" w:hAnsi="Times New Roman" w:cs="Times New Roman"/>
          <w:b/>
          <w:sz w:val="24"/>
        </w:rPr>
        <w:t>INVESTMENTS IN THE HUMAN CAPITAL OF AN INDUSTRIAL SOCIETY</w:t>
      </w:r>
    </w:p>
    <w:p w:rsidR="0052701D" w:rsidRDefault="00D40929">
      <w:pPr>
        <w:spacing w:after="0"/>
        <w:ind w:right="3"/>
        <w:jc w:val="center"/>
      </w:pPr>
      <w:r>
        <w:rPr>
          <w:rFonts w:ascii="Times New Roman" w:eastAsia="Times New Roman" w:hAnsi="Times New Roman" w:cs="Times New Roman"/>
          <w:color w:val="212529"/>
        </w:rPr>
        <w:t>Nurpeiis E.M.</w:t>
      </w:r>
    </w:p>
    <w:p w:rsidR="0052701D" w:rsidRDefault="00D40929">
      <w:pPr>
        <w:spacing w:after="9" w:line="235" w:lineRule="auto"/>
        <w:ind w:left="3530" w:hanging="2920"/>
      </w:pPr>
      <w:r>
        <w:rPr>
          <w:rFonts w:ascii="Times New Roman" w:eastAsia="Times New Roman" w:hAnsi="Times New Roman" w:cs="Times New Roman"/>
          <w:color w:val="212529"/>
        </w:rPr>
        <w:t xml:space="preserve">Almaty University of Power Engineering and Telecommunications named after Gumarbek Daukeyev, </w:t>
      </w:r>
      <w:r>
        <w:rPr>
          <w:rFonts w:ascii="Times New Roman" w:eastAsia="Times New Roman" w:hAnsi="Times New Roman" w:cs="Times New Roman"/>
          <w:sz w:val="24"/>
        </w:rPr>
        <w:t>Republic of Kazakhstan, Almaty</w:t>
      </w:r>
    </w:p>
    <w:p w:rsidR="0052701D" w:rsidRDefault="00D40929">
      <w:pPr>
        <w:spacing w:after="263" w:line="249" w:lineRule="auto"/>
        <w:ind w:left="1001" w:right="991" w:hanging="10"/>
        <w:jc w:val="center"/>
      </w:pPr>
      <w:r>
        <w:rPr>
          <w:rFonts w:ascii="Times New Roman" w:eastAsia="Times New Roman" w:hAnsi="Times New Roman" w:cs="Times New Roman"/>
          <w:i/>
          <w:sz w:val="24"/>
        </w:rPr>
        <w:t xml:space="preserve">  </w:t>
      </w:r>
      <w:r>
        <w:rPr>
          <w:rFonts w:ascii="Times New Roman" w:eastAsia="Times New Roman" w:hAnsi="Times New Roman" w:cs="Times New Roman"/>
        </w:rPr>
        <w:t xml:space="preserve">E-mail: </w:t>
      </w:r>
      <w:r>
        <w:rPr>
          <w:rFonts w:ascii="Times New Roman" w:eastAsia="Times New Roman" w:hAnsi="Times New Roman" w:cs="Times New Roman"/>
          <w:sz w:val="24"/>
        </w:rPr>
        <w:t>y.nurpeiis@aues.kz</w:t>
      </w:r>
    </w:p>
    <w:p w:rsidR="0052701D" w:rsidRDefault="00D40929">
      <w:pPr>
        <w:spacing w:after="3" w:line="249" w:lineRule="auto"/>
        <w:ind w:left="269" w:right="282" w:firstLine="568"/>
        <w:jc w:val="both"/>
      </w:pPr>
      <w:r>
        <w:rPr>
          <w:rFonts w:ascii="Times New Roman" w:eastAsia="Times New Roman" w:hAnsi="Times New Roman" w:cs="Times New Roman"/>
          <w:b/>
          <w:i/>
          <w:sz w:val="24"/>
        </w:rPr>
        <w:t>Summary.</w:t>
      </w:r>
      <w:r>
        <w:rPr>
          <w:rFonts w:ascii="Times New Roman" w:eastAsia="Times New Roman" w:hAnsi="Times New Roman" w:cs="Times New Roman"/>
          <w:i/>
          <w:sz w:val="24"/>
        </w:rPr>
        <w:t xml:space="preserve"> The article considers the role of investment in the development of human capital, as the main productive force of industrial society.</w:t>
      </w:r>
    </w:p>
    <w:p w:rsidR="0052701D" w:rsidRDefault="00D40929">
      <w:pPr>
        <w:spacing w:after="304" w:line="249" w:lineRule="auto"/>
        <w:ind w:left="269" w:right="282" w:firstLine="568"/>
        <w:jc w:val="both"/>
      </w:pPr>
      <w:r>
        <w:rPr>
          <w:rFonts w:ascii="Times New Roman" w:eastAsia="Times New Roman" w:hAnsi="Times New Roman" w:cs="Times New Roman"/>
          <w:b/>
          <w:i/>
          <w:sz w:val="24"/>
        </w:rPr>
        <w:t>Keywords:</w:t>
      </w:r>
      <w:r>
        <w:rPr>
          <w:rFonts w:ascii="Times New Roman" w:eastAsia="Times New Roman" w:hAnsi="Times New Roman" w:cs="Times New Roman"/>
          <w:i/>
          <w:sz w:val="24"/>
        </w:rPr>
        <w:t xml:space="preserve"> human capital, investments in human capital</w:t>
      </w:r>
      <w:r>
        <w:rPr>
          <w:rFonts w:ascii="Times New Roman" w:eastAsia="Times New Roman" w:hAnsi="Times New Roman" w:cs="Times New Roman"/>
          <w:i/>
          <w:sz w:val="24"/>
        </w:rPr>
        <w:t>, productive forces of industrial society, qualification, competitiveness, labor productivity.</w:t>
      </w:r>
    </w:p>
    <w:p w:rsidR="0052701D" w:rsidRDefault="00D40929">
      <w:pPr>
        <w:spacing w:after="3" w:line="248" w:lineRule="auto"/>
        <w:ind w:left="284" w:right="293" w:firstLine="558"/>
        <w:jc w:val="both"/>
      </w:pPr>
      <w:r>
        <w:rPr>
          <w:rFonts w:ascii="Times New Roman" w:eastAsia="Times New Roman" w:hAnsi="Times New Roman" w:cs="Times New Roman"/>
          <w:sz w:val="28"/>
        </w:rPr>
        <w:t xml:space="preserve">Заманауи индустриалды экономикада адами капитал қоғам дамуының күре тамырына  айналған. </w:t>
      </w:r>
      <w:r>
        <w:rPr>
          <w:rFonts w:ascii="Times New Roman" w:eastAsia="Times New Roman" w:hAnsi="Times New Roman" w:cs="Times New Roman"/>
          <w:b/>
          <w:sz w:val="28"/>
        </w:rPr>
        <w:t xml:space="preserve"> </w:t>
      </w:r>
      <w:r>
        <w:rPr>
          <w:rFonts w:ascii="Times New Roman" w:eastAsia="Times New Roman" w:hAnsi="Times New Roman" w:cs="Times New Roman"/>
          <w:sz w:val="28"/>
        </w:rPr>
        <w:t>Бәсекелік қабілеттің нығайуын, экономика өсуін және экономика тиімд</w:t>
      </w:r>
      <w:r>
        <w:rPr>
          <w:rFonts w:ascii="Times New Roman" w:eastAsia="Times New Roman" w:hAnsi="Times New Roman" w:cs="Times New Roman"/>
          <w:b/>
          <w:sz w:val="28"/>
        </w:rPr>
        <w:t>і</w:t>
      </w:r>
      <w:r>
        <w:rPr>
          <w:rFonts w:ascii="Times New Roman" w:eastAsia="Times New Roman" w:hAnsi="Times New Roman" w:cs="Times New Roman"/>
          <w:sz w:val="28"/>
        </w:rPr>
        <w:t>лігі</w:t>
      </w:r>
      <w:r>
        <w:rPr>
          <w:rFonts w:ascii="Times New Roman" w:eastAsia="Times New Roman" w:hAnsi="Times New Roman" w:cs="Times New Roman"/>
          <w:sz w:val="28"/>
        </w:rPr>
        <w:t>н тұтастай анықтаушы фактор ретінде өндіріс құралдары, технологиялар, табиғи ресурстармен қатар адами капиталдың  рөлі. Десек те, индустриялды қоғамда жер , еңбек, капитал және кәсіпкерлік әрекет өндіріс факторы ретіндегі атқаратын функцияларын сақтай отыр</w:t>
      </w:r>
      <w:r>
        <w:rPr>
          <w:rFonts w:ascii="Times New Roman" w:eastAsia="Times New Roman" w:hAnsi="Times New Roman" w:cs="Times New Roman"/>
          <w:sz w:val="28"/>
        </w:rPr>
        <w:t>ып заман талабына сай жаңа қырынан көріне бастады. ХХ-ғасырдың 50 жылдарына дейін рухани тәрбие, білімге, іргелі ғылымға инвестиция салуды экономикаға ауыртпалығы зор, пайдасынан зияны басым сала деп танылып, аталған саланы шеттету принципі бойынша қаржыла</w:t>
      </w:r>
      <w:r>
        <w:rPr>
          <w:rFonts w:ascii="Times New Roman" w:eastAsia="Times New Roman" w:hAnsi="Times New Roman" w:cs="Times New Roman"/>
          <w:sz w:val="28"/>
        </w:rPr>
        <w:t>ндыру дағдыға айналды. Сөйтіп, адамдардың ойсанасын жетілдіретін, еңбекке қабілетін шыңдайтын, денсаулығын бір ырғаққа келтіретін салалар үкімет назарынан тыс қалды.  Әрбір қоғамның қалыптасқан өндірістік қатынасына сай өндіргіш күштері пара-пар келуі, әрі</w:t>
      </w:r>
      <w:r>
        <w:rPr>
          <w:rFonts w:ascii="Times New Roman" w:eastAsia="Times New Roman" w:hAnsi="Times New Roman" w:cs="Times New Roman"/>
          <w:sz w:val="28"/>
        </w:rPr>
        <w:t xml:space="preserve"> оның өнемейін үздіксіз даму үстінде  болатыны диалектикалық заңдылық бола тұрса да, ғалымдар зерттеуінің күн тәртібінен түспеген. Индустрияға дейінгі қоғамның басты өндіргіш күштеріне білімсіз, денсаулығына сай өмір жасы қысқа, тек жалдамалы қара күш еңбе</w:t>
      </w:r>
      <w:r>
        <w:rPr>
          <w:rFonts w:ascii="Times New Roman" w:eastAsia="Times New Roman" w:hAnsi="Times New Roman" w:cs="Times New Roman"/>
          <w:sz w:val="28"/>
        </w:rPr>
        <w:t>гіне қабілетті  жұмысшы күші жатқызылды. Ал, индустриялды қоғамның өндіргіш күшіне ойы, санасы жоғары, білімді, денсаулығы қалыптағы, еңбек етуге, табыс табуға бейімделген, әрі интеллектуалды еңбекке деген  қабілеті шыңдалған жалдамалы адам, яғни оқудан жә</w:t>
      </w:r>
      <w:r>
        <w:rPr>
          <w:rFonts w:ascii="Times New Roman" w:eastAsia="Times New Roman" w:hAnsi="Times New Roman" w:cs="Times New Roman"/>
          <w:sz w:val="28"/>
        </w:rPr>
        <w:t>не өндіріс тәжірибесінен қордаланған белгілі бір мамандықты шебер меңгерген оқшау индивид жатады. Адами капитал теориясының негізін салушы ғалымдар өндіргіш күштердің сапалы түрде алдыға ілгерлеуі, өндірістегі қабілетінің шыңдалуы келешекте мол табыс әкеле</w:t>
      </w:r>
      <w:r>
        <w:rPr>
          <w:rFonts w:ascii="Times New Roman" w:eastAsia="Times New Roman" w:hAnsi="Times New Roman" w:cs="Times New Roman"/>
          <w:sz w:val="28"/>
        </w:rPr>
        <w:t>тін тәуекелі басым инвестицияны талап ететінін атады. ҒТПның дамуына сай адамның еңбекке деген қабілетін үздіксіз жетілдіріп, көтеріп отыру келешекте пайда кіргізетін тұтыну инвестициясы деп танылды, бұны капитал сиымдылығы мол, тәуекелі басым қаржыландыру</w:t>
      </w:r>
      <w:r>
        <w:rPr>
          <w:rFonts w:ascii="Times New Roman" w:eastAsia="Times New Roman" w:hAnsi="Times New Roman" w:cs="Times New Roman"/>
          <w:sz w:val="28"/>
        </w:rPr>
        <w:t xml:space="preserve"> десе болғандай.</w:t>
      </w:r>
    </w:p>
    <w:p w:rsidR="0052701D" w:rsidRDefault="00D40929">
      <w:pPr>
        <w:spacing w:after="3" w:line="248" w:lineRule="auto"/>
        <w:ind w:left="284" w:right="4" w:firstLine="558"/>
        <w:jc w:val="both"/>
      </w:pPr>
      <w:r>
        <w:rPr>
          <w:rFonts w:ascii="Times New Roman" w:eastAsia="Times New Roman" w:hAnsi="Times New Roman" w:cs="Times New Roman"/>
          <w:sz w:val="28"/>
        </w:rPr>
        <w:t xml:space="preserve">К. Макконнел мен С. Брю адами капиталға инвестицияның келесі түрлерін атап көрсеткен: </w:t>
      </w:r>
    </w:p>
    <w:p w:rsidR="0052701D" w:rsidRDefault="00D40929">
      <w:pPr>
        <w:numPr>
          <w:ilvl w:val="0"/>
          <w:numId w:val="148"/>
        </w:numPr>
        <w:spacing w:after="3" w:line="248" w:lineRule="auto"/>
        <w:ind w:right="293" w:firstLine="558"/>
        <w:jc w:val="both"/>
      </w:pPr>
      <w:r>
        <w:rPr>
          <w:rFonts w:ascii="Times New Roman" w:eastAsia="Times New Roman" w:hAnsi="Times New Roman" w:cs="Times New Roman"/>
          <w:sz w:val="28"/>
        </w:rPr>
        <w:lastRenderedPageBreak/>
        <w:t xml:space="preserve">білім алуға шығындар – ол жалпы және арнайы білімге және жұмысорнында шеберлікті шыңдау   шығындары; </w:t>
      </w:r>
    </w:p>
    <w:p w:rsidR="0052701D" w:rsidRDefault="00D40929">
      <w:pPr>
        <w:numPr>
          <w:ilvl w:val="0"/>
          <w:numId w:val="148"/>
        </w:numPr>
        <w:spacing w:after="3" w:line="248" w:lineRule="auto"/>
        <w:ind w:right="293" w:firstLine="558"/>
        <w:jc w:val="both"/>
      </w:pPr>
      <w:r>
        <w:rPr>
          <w:rFonts w:ascii="Times New Roman" w:eastAsia="Times New Roman" w:hAnsi="Times New Roman" w:cs="Times New Roman"/>
          <w:sz w:val="28"/>
        </w:rPr>
        <w:t xml:space="preserve">жұмысшылардың  денсаулығын бақылау шығындары ол аурудың алдыналу профилактикасы, медициналық қызметтер, диеталық тағамдар, үй- күйін, тұрмысын жақсарту; </w:t>
      </w:r>
    </w:p>
    <w:p w:rsidR="0052701D" w:rsidRDefault="00D40929">
      <w:pPr>
        <w:numPr>
          <w:ilvl w:val="0"/>
          <w:numId w:val="148"/>
        </w:numPr>
        <w:spacing w:after="3" w:line="248" w:lineRule="auto"/>
        <w:ind w:right="293" w:firstLine="558"/>
        <w:jc w:val="both"/>
      </w:pPr>
      <w:r>
        <w:rPr>
          <w:rFonts w:ascii="Times New Roman" w:eastAsia="Times New Roman" w:hAnsi="Times New Roman" w:cs="Times New Roman"/>
          <w:sz w:val="28"/>
        </w:rPr>
        <w:t>адам мобильдігіне кететін шығындар , мобильдік инвестициялықшығынның арқасында жұмысшы еңбек өнімділіг</w:t>
      </w:r>
      <w:r>
        <w:rPr>
          <w:rFonts w:ascii="Times New Roman" w:eastAsia="Times New Roman" w:hAnsi="Times New Roman" w:cs="Times New Roman"/>
          <w:sz w:val="28"/>
        </w:rPr>
        <w:t>і төмен, еңбек етуге жағдай жасалмаған, жалақысы күн көрісіне жетпейтін жұмыс орнынан салыстырмалы түрде жұмыс жасауға, еңбек етуге жағдай жасалған, еңбегін бағалап жақсы жалақы төлейтін кәсіпорынға тіптен шет елдерге өз еркімен миграциалану немесе қоныс а</w:t>
      </w:r>
      <w:r>
        <w:rPr>
          <w:rFonts w:ascii="Times New Roman" w:eastAsia="Times New Roman" w:hAnsi="Times New Roman" w:cs="Times New Roman"/>
          <w:sz w:val="28"/>
        </w:rPr>
        <w:t>удару шығындарын жатқызған. [1.283]</w:t>
      </w:r>
    </w:p>
    <w:p w:rsidR="0052701D" w:rsidRDefault="00D40929">
      <w:pPr>
        <w:spacing w:after="3" w:line="248" w:lineRule="auto"/>
        <w:ind w:left="284" w:right="293" w:firstLine="558"/>
        <w:jc w:val="both"/>
      </w:pPr>
      <w:r>
        <w:rPr>
          <w:rFonts w:ascii="Times New Roman" w:eastAsia="Times New Roman" w:hAnsi="Times New Roman" w:cs="Times New Roman"/>
          <w:sz w:val="28"/>
        </w:rPr>
        <w:t>Батыс экономист ғалымдарының ұстанымы бойынша адамның инициативалы шығармашылық еңбек қабілетін ояту, әрі дамыту уақыт пен қаржыны талап етеді, әрі индивидтің сұранысы бар мамандықты игеруде қателеспеуі  өз құзырында деп</w:t>
      </w:r>
      <w:r>
        <w:rPr>
          <w:rFonts w:ascii="Times New Roman" w:eastAsia="Times New Roman" w:hAnsi="Times New Roman" w:cs="Times New Roman"/>
          <w:sz w:val="28"/>
        </w:rPr>
        <w:t xml:space="preserve"> кесіп айтқан, яғни сұранысы бар мамандықты таңдау, меңгеру субъектің құзырына қалдырған.  Себебі бәсекелі еңбек нарығында ақыл ой еңбегіне қабілеті жоғары мамандардың еңбегіне сұраныстың жоғары болатыны заңды құбылыс.  Адами капиталды қалыптастыру белгілі</w:t>
      </w:r>
      <w:r>
        <w:rPr>
          <w:rFonts w:ascii="Times New Roman" w:eastAsia="Times New Roman" w:hAnsi="Times New Roman" w:cs="Times New Roman"/>
          <w:sz w:val="28"/>
        </w:rPr>
        <w:t xml:space="preserve"> бір сомада капитал инвестициясына келіп тіреледі, ол адам қабілетіне инвестиция деп аталады. [4.347] Заттай капитал материалдық формада болса, заттай емес адами капитал материалдық формада болмайды, адами капиталға шығын ол өндірілген өнім құнынан көрініс</w:t>
      </w:r>
      <w:r>
        <w:rPr>
          <w:rFonts w:ascii="Times New Roman" w:eastAsia="Times New Roman" w:hAnsi="Times New Roman" w:cs="Times New Roman"/>
          <w:sz w:val="28"/>
        </w:rPr>
        <w:t xml:space="preserve"> табады.  Заттай капитал өндіріс факторларына айналады, әрі қоғамдық байлық   болып саналады - олар өндіріс ғимараттары, жер, машиналар, ұзақ мерзім пайдаланылатын өндіріс құрал жабдықтары, тауар күйіндегі материалды запастар. Адам санасы   мен ақыл-ойынан</w:t>
      </w:r>
      <w:r>
        <w:rPr>
          <w:rFonts w:ascii="Times New Roman" w:eastAsia="Times New Roman" w:hAnsi="Times New Roman" w:cs="Times New Roman"/>
          <w:sz w:val="28"/>
        </w:rPr>
        <w:t xml:space="preserve"> және еңбек қабілетінен көрініс табатын капитал инвестициясы адами капитал инвестициясына жатады. Егер, адамға салынған капитал оның еңбекке қабілеті рухани және интеллектуалды байлығы қоғамға пайда мен табыс кіргізіп қоғамның алдыға қарай ілгерілеуіне сеп</w:t>
      </w:r>
      <w:r>
        <w:rPr>
          <w:rFonts w:ascii="Times New Roman" w:eastAsia="Times New Roman" w:hAnsi="Times New Roman" w:cs="Times New Roman"/>
          <w:sz w:val="28"/>
        </w:rPr>
        <w:t>тігі болмаса онда жұмсалған капиталдың зая кеткені. Бұл, адами капиталға салынған инвестицияның құмға сіңген судай болғанын білдіреді немесе зая кеткен шығынға айналады.</w:t>
      </w:r>
    </w:p>
    <w:p w:rsidR="0052701D" w:rsidRDefault="00D40929">
      <w:pPr>
        <w:spacing w:after="3" w:line="248" w:lineRule="auto"/>
        <w:ind w:left="284" w:right="292" w:firstLine="558"/>
        <w:jc w:val="both"/>
      </w:pPr>
      <w:r>
        <w:rPr>
          <w:rFonts w:ascii="Times New Roman" w:eastAsia="Times New Roman" w:hAnsi="Times New Roman" w:cs="Times New Roman"/>
          <w:sz w:val="28"/>
        </w:rPr>
        <w:t>Нарығы кемелденген индустриалды экономикада да адами капиталға инвестиция құю түбегейл</w:t>
      </w:r>
      <w:r>
        <w:rPr>
          <w:rFonts w:ascii="Times New Roman" w:eastAsia="Times New Roman" w:hAnsi="Times New Roman" w:cs="Times New Roman"/>
          <w:sz w:val="28"/>
        </w:rPr>
        <w:t>і шешімін таппаған сыңайлы. Бүгінгі таңда адами капиталға рационалды инвестиция салушылар болып мемлекет, кәсіпорын иесі, отбасы (ата-ана) және индивидтің өзі болып табылады. Адами капиталға инвестиция  жобасының тәуекелі мейлінше аз әрі келешекте мол табы</w:t>
      </w:r>
      <w:r>
        <w:rPr>
          <w:rFonts w:ascii="Times New Roman" w:eastAsia="Times New Roman" w:hAnsi="Times New Roman" w:cs="Times New Roman"/>
          <w:sz w:val="28"/>
        </w:rPr>
        <w:t>с немесе пайда кіргізу арқылы, кеткен инвестицияны толық ақтайтын болуы тиіс, яғни адамға салынған қаржының қайтарымдылығы 100% дан кемі-кем. Экономикалық ұстаным бойынша инвестиция тиімді әрі ақталады деп саналады егер, инвестиция қайтарымдылығы қысқа мер</w:t>
      </w:r>
      <w:r>
        <w:rPr>
          <w:rFonts w:ascii="Times New Roman" w:eastAsia="Times New Roman" w:hAnsi="Times New Roman" w:cs="Times New Roman"/>
          <w:sz w:val="28"/>
        </w:rPr>
        <w:t xml:space="preserve">зім 5 жылда өтелетін болса. Әдетте техникалық мамандықтар 5-10 жылда моралды тозып, қажетсіз болып қалады, ал мамандықты өндіріс ағынына, техникалық талапқа сай жетілдіріп отыру индивидтің өз құзырында әрі өз есебінен. [2.128] </w:t>
      </w:r>
    </w:p>
    <w:p w:rsidR="0052701D" w:rsidRDefault="00D40929">
      <w:pPr>
        <w:spacing w:after="3" w:line="248" w:lineRule="auto"/>
        <w:ind w:left="284" w:right="292" w:firstLine="558"/>
        <w:jc w:val="both"/>
      </w:pPr>
      <w:r>
        <w:rPr>
          <w:rFonts w:ascii="Times New Roman" w:eastAsia="Times New Roman" w:hAnsi="Times New Roman" w:cs="Times New Roman"/>
          <w:sz w:val="28"/>
        </w:rPr>
        <w:t xml:space="preserve">Адами капиталға инвестиция  </w:t>
      </w:r>
      <w:r>
        <w:rPr>
          <w:rFonts w:ascii="Times New Roman" w:eastAsia="Times New Roman" w:hAnsi="Times New Roman" w:cs="Times New Roman"/>
          <w:sz w:val="28"/>
        </w:rPr>
        <w:t xml:space="preserve">тек индивид жалданушының жалақысы өсіп жалдаушының пайдасы артуымен шектелмейді, сонымен қатар еңбек </w:t>
      </w:r>
      <w:r>
        <w:rPr>
          <w:rFonts w:ascii="Times New Roman" w:eastAsia="Times New Roman" w:hAnsi="Times New Roman" w:cs="Times New Roman"/>
          <w:sz w:val="28"/>
        </w:rPr>
        <w:lastRenderedPageBreak/>
        <w:t>өнімділігінің артуына, тұтынушы үшін қолжетімді баға, тауардың нарықтағы бәсекелік қабілетін арттырады. Еуропа елдерінде ХХ-ғасырдың 60-жылдарынан бастап а</w:t>
      </w:r>
      <w:r>
        <w:rPr>
          <w:rFonts w:ascii="Times New Roman" w:eastAsia="Times New Roman" w:hAnsi="Times New Roman" w:cs="Times New Roman"/>
          <w:sz w:val="28"/>
        </w:rPr>
        <w:t>дамға инвестиция құюды жүйелі түрде қолға алынған, әрі ең бағалы капитал ол адамның рухани байлығына, біліміне, интеллектуалды еңбек қабілетіне жұмсалған капитал деп нүкте қойды. Еуропа елдерінің үкіметтері ұлттық экономиканың әлемдік нарықта бәсекелік қаб</w:t>
      </w:r>
      <w:r>
        <w:rPr>
          <w:rFonts w:ascii="Times New Roman" w:eastAsia="Times New Roman" w:hAnsi="Times New Roman" w:cs="Times New Roman"/>
          <w:sz w:val="28"/>
        </w:rPr>
        <w:t xml:space="preserve">ілетін арттырушы фактор әрі өндірістік қатынас аренасына жаңа қырынан көрінетін біліктілігі мен білімі жоғары өндіргіш күштерді қалыптастыруды жүйелі түрде жүргізе бастады, жұмыс күшінің еңбекке деген интеллектуалды қабілетін адами капитал деген категория </w:t>
      </w:r>
      <w:r>
        <w:rPr>
          <w:rFonts w:ascii="Times New Roman" w:eastAsia="Times New Roman" w:hAnsi="Times New Roman" w:cs="Times New Roman"/>
          <w:sz w:val="28"/>
        </w:rPr>
        <w:t xml:space="preserve">түсінігімен өрнектеді, әрі бекітті.[3.312]  </w:t>
      </w:r>
    </w:p>
    <w:p w:rsidR="0052701D" w:rsidRDefault="00D40929">
      <w:pPr>
        <w:spacing w:after="3" w:line="248" w:lineRule="auto"/>
        <w:ind w:left="284" w:right="291" w:firstLine="558"/>
        <w:jc w:val="both"/>
      </w:pPr>
      <w:r>
        <w:rPr>
          <w:rFonts w:ascii="Times New Roman" w:eastAsia="Times New Roman" w:hAnsi="Times New Roman" w:cs="Times New Roman"/>
          <w:sz w:val="28"/>
        </w:rPr>
        <w:t>Мақсат, өндірістік қатынастар мен өндіргіш күштерді жетілдіре отырып индустриялды-инновациялық қоғам құру және шикізат өндірісінен өнім өндеу саласында өздеріне теңдесі жоқ бәсекелік қабілеті өте жоғары дайын  т</w:t>
      </w:r>
      <w:r>
        <w:rPr>
          <w:rFonts w:ascii="Times New Roman" w:eastAsia="Times New Roman" w:hAnsi="Times New Roman" w:cs="Times New Roman"/>
          <w:sz w:val="28"/>
        </w:rPr>
        <w:t>ұтыну тауарларын шығару арқылы ішкі және сыртқы нарықтарда үстемдік құрып пайдаға барынша абсолютті кенелу. Өткен ғасырдың 60-80 жылдарынан бастап ағылшын-саксон елдері капитал сыйымдылығы мол және капитал қайтарымдылығы ширек ғасырды талап ететін адами ка</w:t>
      </w:r>
      <w:r>
        <w:rPr>
          <w:rFonts w:ascii="Times New Roman" w:eastAsia="Times New Roman" w:hAnsi="Times New Roman" w:cs="Times New Roman"/>
          <w:sz w:val="28"/>
        </w:rPr>
        <w:t>питал жобасын қаржыландырғаннан гөрі шет елдерден біліктілігіне теңдесі жоқ   жоғары білімі бар дайын мамандарды өз елдеріне тарту жобаларын жүзеге асыра бастады және қаржыландырды, бұл жоба нәтижесін көп күттірмеді. Дамушы елдердің білікті, әрі білімді өз</w:t>
      </w:r>
      <w:r>
        <w:rPr>
          <w:rFonts w:ascii="Times New Roman" w:eastAsia="Times New Roman" w:hAnsi="Times New Roman" w:cs="Times New Roman"/>
          <w:sz w:val="28"/>
        </w:rPr>
        <w:t xml:space="preserve"> ісінің хас шебер өндіргіш күштері ағылшын-саксон елдеріне ағыла бастады. Бұл жоба ақыл- ойдың,  интеллектуалды потенциалдың, ақылды мидың отанынан бөгде елге миграциясына ұласты. Бұл жоба дамушы елдер экономикасының кері кетуіне ерекше үлесін қосты. Бұл д</w:t>
      </w:r>
      <w:r>
        <w:rPr>
          <w:rFonts w:ascii="Times New Roman" w:eastAsia="Times New Roman" w:hAnsi="Times New Roman" w:cs="Times New Roman"/>
          <w:sz w:val="28"/>
        </w:rPr>
        <w:t xml:space="preserve">егеніміз Қазақстан азаматтары, біліді Қазақсан бюджеті есебінен алып, пайданы бөгде елдер экономикасына кіргізді десе болғандай.  </w:t>
      </w:r>
    </w:p>
    <w:p w:rsidR="0052701D" w:rsidRDefault="00D40929">
      <w:pPr>
        <w:spacing w:after="3" w:line="248" w:lineRule="auto"/>
        <w:ind w:left="284" w:right="292" w:firstLine="558"/>
        <w:jc w:val="both"/>
      </w:pPr>
      <w:r>
        <w:rPr>
          <w:rFonts w:ascii="Times New Roman" w:eastAsia="Times New Roman" w:hAnsi="Times New Roman" w:cs="Times New Roman"/>
          <w:sz w:val="28"/>
        </w:rPr>
        <w:t>Заманауи әлемдік экономикада Қазақстан да өзіндік орнын тапқан сыңайлы. Қазақстан экономикалық даму деңгейіне қарай әлемдік э</w:t>
      </w:r>
      <w:r>
        <w:rPr>
          <w:rFonts w:ascii="Times New Roman" w:eastAsia="Times New Roman" w:hAnsi="Times New Roman" w:cs="Times New Roman"/>
          <w:sz w:val="28"/>
        </w:rPr>
        <w:t>кономикалық қауымдастықта нарықтық бағыттағы дамушы ел статусындағы мемлекет. Себебі, Қазақстанның 1-президенті мемлекетіміз әлем таныған бәсекелі алдыңғы қатарлы 30 елдер қатарына қосылуы керек деп үкімет алдына тапсырма қойды әрі бағдарламалар жасалды. С</w:t>
      </w:r>
      <w:r>
        <w:rPr>
          <w:rFonts w:ascii="Times New Roman" w:eastAsia="Times New Roman" w:hAnsi="Times New Roman" w:cs="Times New Roman"/>
          <w:sz w:val="28"/>
        </w:rPr>
        <w:t>ондықтан елімізге  әлеуметтікэкономикалық дамудың өркениетті елдерде қалыптасқан тиімді үлгілерін дайын күйінде қабылдау немесе Қазақстанның ұлттық ерекшеліктерін ескере отырып, Қазақстандық өзіндік даму үлгісін жасап шығару күн тәртібіне енгізілді. Қазақс</w:t>
      </w:r>
      <w:r>
        <w:rPr>
          <w:rFonts w:ascii="Times New Roman" w:eastAsia="Times New Roman" w:hAnsi="Times New Roman" w:cs="Times New Roman"/>
          <w:sz w:val="28"/>
        </w:rPr>
        <w:t>тан тәуелсіздігін жариялап, дербес ел болғалы макроэкономикалық көрсеткіштеріне үңілетін болсақ ұлттық экономикада 2000 жылдан бастап экономикалық өсу байқалады. Тіпті соңғы 10-15 жылда ЖІӨ-нің өсу деңгейі 10% тұрақтады. Бұл көрсеткіш еліміз үшін үлкен жет</w:t>
      </w:r>
      <w:r>
        <w:rPr>
          <w:rFonts w:ascii="Times New Roman" w:eastAsia="Times New Roman" w:hAnsi="Times New Roman" w:cs="Times New Roman"/>
          <w:sz w:val="28"/>
        </w:rPr>
        <w:t>істік, әрі әлем рейтингінде ЖІӨ өсімі бойынша беделді орынға орнықты. Алайда  ЖІӨ өсуі шетелдерге өңдеусіз сатылған шикізат есебінен және соңғы жылдары мұнай мен металл бағасының әлемдік нарықта өсуімен байланысты болып тұр. Шикізат өндіру оны өңдеусіз шет</w:t>
      </w:r>
      <w:r>
        <w:rPr>
          <w:rFonts w:ascii="Times New Roman" w:eastAsia="Times New Roman" w:hAnsi="Times New Roman" w:cs="Times New Roman"/>
          <w:sz w:val="28"/>
        </w:rPr>
        <w:t xml:space="preserve"> елдерге сату ел экономикасының кіріс көзіне айналды. Алайда өнімді өңдеусіз шикізат күйінде сатушы елдер халықаралық еңбек бөлінісінде еш үлесі жоқ елдер қатарында болатынын естен шығармаған дұрыс.</w:t>
      </w:r>
    </w:p>
    <w:p w:rsidR="0052701D" w:rsidRDefault="00D40929">
      <w:pPr>
        <w:spacing w:after="3" w:line="248" w:lineRule="auto"/>
        <w:ind w:left="284" w:right="291" w:firstLine="558"/>
        <w:jc w:val="both"/>
      </w:pPr>
      <w:r>
        <w:rPr>
          <w:rFonts w:ascii="Times New Roman" w:eastAsia="Times New Roman" w:hAnsi="Times New Roman" w:cs="Times New Roman"/>
          <w:sz w:val="28"/>
        </w:rPr>
        <w:lastRenderedPageBreak/>
        <w:t>Экономика ғылымдарының классигі А. Смит пайданы шикізат с</w:t>
      </w:r>
      <w:r>
        <w:rPr>
          <w:rFonts w:ascii="Times New Roman" w:eastAsia="Times New Roman" w:hAnsi="Times New Roman" w:cs="Times New Roman"/>
          <w:sz w:val="28"/>
        </w:rPr>
        <w:t>атушы елдер емес, шикізатты өңдеп дайын тұтыну тауарын шығарып сатушы елдер алатынын заманында айтып кеткен. Кеңес Одағы өндірістерін шикізатпен қамтамасыз  көзіне айналған Қазақстан экономикасы бүгін әлемнің шикізат базасына айналған сыңайлы. Ал дамыған и</w:t>
      </w:r>
      <w:r>
        <w:rPr>
          <w:rFonts w:ascii="Times New Roman" w:eastAsia="Times New Roman" w:hAnsi="Times New Roman" w:cs="Times New Roman"/>
          <w:sz w:val="28"/>
        </w:rPr>
        <w:t>ндустриялды елдердің экономикадағы жетістіктерін талдап қарайтын болсақ, олар шикізат өндірісінен сервистік-технологиялық өндіріске өтіп, адами капитал мен индустриялыинновациялық дамуға бет бұрған. Ал шикізат өндірісімен айналысу өндіріс құралдары дамымағ</w:t>
      </w:r>
      <w:r>
        <w:rPr>
          <w:rFonts w:ascii="Times New Roman" w:eastAsia="Times New Roman" w:hAnsi="Times New Roman" w:cs="Times New Roman"/>
          <w:sz w:val="28"/>
        </w:rPr>
        <w:t xml:space="preserve">ан, ғылымсыз, технологиясы механикаландырылмаған, өндіргіш күштерінің даму деңгейлері төмен артта қалған дамушы мешеу елдердің еншісіне қалдырылған. </w:t>
      </w:r>
    </w:p>
    <w:p w:rsidR="0052701D" w:rsidRDefault="00D40929">
      <w:pPr>
        <w:spacing w:after="3" w:line="248" w:lineRule="auto"/>
        <w:ind w:left="284" w:right="292" w:firstLine="558"/>
        <w:jc w:val="both"/>
      </w:pPr>
      <w:r>
        <w:rPr>
          <w:rFonts w:ascii="Times New Roman" w:eastAsia="Times New Roman" w:hAnsi="Times New Roman" w:cs="Times New Roman"/>
          <w:sz w:val="28"/>
        </w:rPr>
        <w:t>Еліміздің 2050 стратегиялық бағдарламасында дамыған елдер қатарына қосылудың бірден-бір бағыты экономиканы</w:t>
      </w:r>
      <w:r>
        <w:rPr>
          <w:rFonts w:ascii="Times New Roman" w:eastAsia="Times New Roman" w:hAnsi="Times New Roman" w:cs="Times New Roman"/>
          <w:sz w:val="28"/>
        </w:rPr>
        <w:t xml:space="preserve"> шикізат көзіне  тәуелдендірмей ырғақты экономикалық өсудің  инновациялық  бағытын қолға алды. Соның ішінде инженер, технократ мамандарды дайындауды қолға алып мемлекеттік гранттар көптеп бөлінді. Жекеменшік үстемдік еткен, нарықтық қатынастарының механизм</w:t>
      </w:r>
      <w:r>
        <w:rPr>
          <w:rFonts w:ascii="Times New Roman" w:eastAsia="Times New Roman" w:hAnsi="Times New Roman" w:cs="Times New Roman"/>
          <w:sz w:val="28"/>
        </w:rPr>
        <w:t xml:space="preserve">дері қалыптасқан, әрі бәсекелік қабілеті кемелденген индустриялды «экономикада» мемлекеттің экономиканы реттеудегі рөлі түбегейлі жойылмайды, бірақ нарық механизмдері арқылы адами капитал мен этно-ұлттық өндірістік қатынасты қалыптастырмай әлемдік нарықта </w:t>
      </w:r>
      <w:r>
        <w:rPr>
          <w:rFonts w:ascii="Times New Roman" w:eastAsia="Times New Roman" w:hAnsi="Times New Roman" w:cs="Times New Roman"/>
          <w:sz w:val="28"/>
        </w:rPr>
        <w:t xml:space="preserve">ойып орын алу жәй констатация болып қала беретіні ықылымнан белгілі. </w:t>
      </w:r>
    </w:p>
    <w:p w:rsidR="0052701D" w:rsidRDefault="00D40929">
      <w:pPr>
        <w:spacing w:after="3" w:line="248" w:lineRule="auto"/>
        <w:ind w:left="284" w:right="292" w:firstLine="558"/>
        <w:jc w:val="both"/>
      </w:pPr>
      <w:r>
        <w:rPr>
          <w:rFonts w:ascii="Times New Roman" w:eastAsia="Times New Roman" w:hAnsi="Times New Roman" w:cs="Times New Roman"/>
          <w:sz w:val="28"/>
        </w:rPr>
        <w:t xml:space="preserve">    Индустриялды дамыған елдер тәжірибесін ой елегінен өткізіп қорытындылайтын болсақ,  инновациялық даму мемлекеттің араласуынсыз және бақылауысыз оң нәтиже бермейтініне экономист ғалым</w:t>
      </w:r>
      <w:r>
        <w:rPr>
          <w:rFonts w:ascii="Times New Roman" w:eastAsia="Times New Roman" w:hAnsi="Times New Roman" w:cs="Times New Roman"/>
          <w:sz w:val="28"/>
        </w:rPr>
        <w:t>дар дәлелдеп көз жеткізген. Қазақстанда да инвестиция мен инновация  мемлекеттің араласуынсыз, реттеуінсіз   еш мүмкін емес, сондықтан инновация мен инвестиция мемлекеттің реттеу объектісі болып қалуы тиіс. Табиғи ресурстарға бай көптеген дамушы елдерде эк</w:t>
      </w:r>
      <w:r>
        <w:rPr>
          <w:rFonts w:ascii="Times New Roman" w:eastAsia="Times New Roman" w:hAnsi="Times New Roman" w:cs="Times New Roman"/>
          <w:sz w:val="28"/>
        </w:rPr>
        <w:t>ономиканы бір беткей шикізатқа тәуелдендіріп ғылым-білім, технологиялық даму, келер ұрпақты рухани тәрбиелеу, санасын түзету, халық денсаулығы, экономика өсуін бір ырғаққа келтіру секілді маңызды мәселелер назардан тыс қалдырған. Бүгінгі күні аталған олқыл</w:t>
      </w:r>
      <w:r>
        <w:rPr>
          <w:rFonts w:ascii="Times New Roman" w:eastAsia="Times New Roman" w:hAnsi="Times New Roman" w:cs="Times New Roman"/>
          <w:sz w:val="28"/>
        </w:rPr>
        <w:t>ықтардың орнын толтыру, дамыған индустриялды елдерге теңелуге жасаған бағдарламалар  экономиканы кері бұрумен пара-пар. Экономиканы тығырықтан шығарудың бірден-бір жолы, ол адами капиталға және ғылым мен білімге  инвестиция салып технологияны дамытатын инн</w:t>
      </w:r>
      <w:r>
        <w:rPr>
          <w:rFonts w:ascii="Times New Roman" w:eastAsia="Times New Roman" w:hAnsi="Times New Roman" w:cs="Times New Roman"/>
          <w:sz w:val="28"/>
        </w:rPr>
        <w:t xml:space="preserve">овацияны қолға алу арқылы жүзеге асатыны дәлелді талап етпейтін аксиома. </w:t>
      </w:r>
    </w:p>
    <w:p w:rsidR="0052701D" w:rsidRDefault="00D40929">
      <w:pPr>
        <w:spacing w:after="3" w:line="248" w:lineRule="auto"/>
        <w:ind w:left="284" w:right="295" w:firstLine="558"/>
        <w:jc w:val="both"/>
      </w:pPr>
      <w:r>
        <w:rPr>
          <w:rFonts w:ascii="Times New Roman" w:eastAsia="Times New Roman" w:hAnsi="Times New Roman" w:cs="Times New Roman"/>
          <w:sz w:val="28"/>
        </w:rPr>
        <w:t>Қазақстанның бүгінгі таңда экономикасы жандандырудағы шешуші факторлар - ғылым мен білім, инновациялық технологиялар және олардың ажырамас бөлігі адами капитал екеніне ғалымдардың кө</w:t>
      </w:r>
      <w:r>
        <w:rPr>
          <w:rFonts w:ascii="Times New Roman" w:eastAsia="Times New Roman" w:hAnsi="Times New Roman" w:cs="Times New Roman"/>
          <w:sz w:val="28"/>
        </w:rPr>
        <w:t>здері толық жетті. Бүкіл әлемде теңдесі жоқ озық және бәсекелік қабілеті көшілгері технология мен техниканы насихаттайтын 1951 ж. Калифорнияда бастама алған дүние жүзіндегі ең алғашқы технопарк АҚШтағы Силикон аңғарының  пайда болуына ұйытқы  болады. Ал ад</w:t>
      </w:r>
      <w:r>
        <w:rPr>
          <w:rFonts w:ascii="Times New Roman" w:eastAsia="Times New Roman" w:hAnsi="Times New Roman" w:cs="Times New Roman"/>
          <w:sz w:val="28"/>
        </w:rPr>
        <w:t xml:space="preserve">ами капитал теориясының да ірге тасы ортаға 10 жыл салып қалана бастады. Өткен ғасырдың 80-жылдары технопарктер жаппай құрылып, адамға инвестиция салу қалыптағы жағдайға айналды.  Шұғылалы шығыс елі Жапония </w:t>
      </w:r>
      <w:r>
        <w:rPr>
          <w:rFonts w:ascii="Times New Roman" w:eastAsia="Times New Roman" w:hAnsi="Times New Roman" w:cs="Times New Roman"/>
          <w:sz w:val="28"/>
        </w:rPr>
        <w:lastRenderedPageBreak/>
        <w:t>өнімнің жаңа үлгісін ойлап табу және оны өндіріст</w:t>
      </w:r>
      <w:r>
        <w:rPr>
          <w:rFonts w:ascii="Times New Roman" w:eastAsia="Times New Roman" w:hAnsi="Times New Roman" w:cs="Times New Roman"/>
          <w:sz w:val="28"/>
        </w:rPr>
        <w:t>е жасап шығару жылдамдығынан АҚШ пен Еуропа елдерін басып озды. Жапонияда инновацияланған жаңа өнім немесе тауар үш айдан кейін өндірістен шыға бастаса, Еуропа елдерінде 6, АҚШ-та 9 айдан кейін шығады. Жапондықтар үшін тауар сапасын бәсекелік деңгейге жетк</w:t>
      </w:r>
      <w:r>
        <w:rPr>
          <w:rFonts w:ascii="Times New Roman" w:eastAsia="Times New Roman" w:hAnsi="Times New Roman" w:cs="Times New Roman"/>
          <w:sz w:val="28"/>
        </w:rPr>
        <w:t>ізу 6 ай жеткілікті болса, ал АҚШта бұл көрсеткіш бір жыл. 70 жылдан аса тарихы бар КСРО тәуелсіздіке дейінгі Қазақстан экономикасын өзінің бір беткейлі  шикізат өдіру көзіне айналдырғанымен шектелмей, ұттық өндіргіш күштерді еркінен тыс күштеп ауыл шарушы</w:t>
      </w:r>
      <w:r>
        <w:rPr>
          <w:rFonts w:ascii="Times New Roman" w:eastAsia="Times New Roman" w:hAnsi="Times New Roman" w:cs="Times New Roman"/>
          <w:sz w:val="28"/>
        </w:rPr>
        <w:t xml:space="preserve">лығының шикізат өндіру саласына отырғызды, орнықтырды. </w:t>
      </w:r>
    </w:p>
    <w:p w:rsidR="0052701D" w:rsidRDefault="00D40929">
      <w:pPr>
        <w:spacing w:after="3" w:line="248" w:lineRule="auto"/>
        <w:ind w:left="284" w:right="292" w:firstLine="558"/>
        <w:jc w:val="both"/>
      </w:pPr>
      <w:r>
        <w:rPr>
          <w:rFonts w:ascii="Times New Roman" w:eastAsia="Times New Roman" w:hAnsi="Times New Roman" w:cs="Times New Roman"/>
          <w:sz w:val="28"/>
        </w:rPr>
        <w:t xml:space="preserve">Қазақстандағы ірі шикізат өндіру кен орындарына ұлттық өндіргіш күштерді тартуда арнайы дискриминация жасап жұмысқа жергілікті ұлттық өндіргіш күштерді қабылдамады, есесіне КСРО елдерінен славян және </w:t>
      </w:r>
      <w:r>
        <w:rPr>
          <w:rFonts w:ascii="Times New Roman" w:eastAsia="Times New Roman" w:hAnsi="Times New Roman" w:cs="Times New Roman"/>
          <w:sz w:val="28"/>
        </w:rPr>
        <w:t>славян емес ұлт өкілдерінен өндіргіш күштерді көптеп тартып Қазақстанды аз уақыт ішінде көп ұлтты елге айналдырып жіберді. Қазақстан қазақтың тарихи отаны бола тұра ұлттың ұлттық өндіргіш күштері, яғни жұмыс күштері жалақысы көп, табысы жоғары, техникасы м</w:t>
      </w:r>
      <w:r>
        <w:rPr>
          <w:rFonts w:ascii="Times New Roman" w:eastAsia="Times New Roman" w:hAnsi="Times New Roman" w:cs="Times New Roman"/>
          <w:sz w:val="28"/>
        </w:rPr>
        <w:t xml:space="preserve">еханикаландырылған шикізат өндіру өндірістерінен  түбегейлі аластатылды. </w:t>
      </w:r>
    </w:p>
    <w:p w:rsidR="0052701D" w:rsidRDefault="00D40929">
      <w:pPr>
        <w:spacing w:after="3" w:line="248" w:lineRule="auto"/>
        <w:ind w:left="284" w:right="293" w:firstLine="558"/>
        <w:jc w:val="both"/>
      </w:pPr>
      <w:r>
        <w:rPr>
          <w:rFonts w:ascii="Times New Roman" w:eastAsia="Times New Roman" w:hAnsi="Times New Roman" w:cs="Times New Roman"/>
          <w:sz w:val="28"/>
        </w:rPr>
        <w:t>Ұлттық экономикада этно өндіргіш күші мен өндірістік қатынасы қалыптаспаған елдің әлемдік нарықта орны мен болашағы да жоқ екені экономика ғылымында жаңалық емес. Тәуелсіздік алған Қ</w:t>
      </w:r>
      <w:r>
        <w:rPr>
          <w:rFonts w:ascii="Times New Roman" w:eastAsia="Times New Roman" w:hAnsi="Times New Roman" w:cs="Times New Roman"/>
          <w:sz w:val="28"/>
        </w:rPr>
        <w:t>азақстан еншісінде құрал жабдықтарының тозығы жеткен зауыт пен фабрикалар, пайдасынан зияны-шығыны көп қажетсіз өндірістер, жаны ашымайтын өзге ұлт жетекшілік еткен тиімсіз басқару, сын көтермейтін қаржылық жағдай, өршіген жемқорлық пен сыбайластық  қалды.</w:t>
      </w:r>
      <w:r>
        <w:rPr>
          <w:rFonts w:ascii="Times New Roman" w:eastAsia="Times New Roman" w:hAnsi="Times New Roman" w:cs="Times New Roman"/>
          <w:sz w:val="28"/>
        </w:rPr>
        <w:t xml:space="preserve"> Қазақстан нарыққа көшу кезеңінен бастан   кейінгі жылдарда экономикада жандану мен даму шикізат сатудан түскен валюталық түсімдерге тікелей байланысты әрі тәуелді болды. 1999-2019 жылдар аралығында Қазақстанда ЖІӨ өсуі шикізат сатудан түскен пайда есебіне</w:t>
      </w:r>
      <w:r>
        <w:rPr>
          <w:rFonts w:ascii="Times New Roman" w:eastAsia="Times New Roman" w:hAnsi="Times New Roman" w:cs="Times New Roman"/>
          <w:sz w:val="28"/>
        </w:rPr>
        <w:t xml:space="preserve">н, яғни өзін-өзі алдау, көз бояушылыққа бой алдырыу дағдыға айналды бұдан шығудың төселген жолы экономиканы индустриялды-инновациялық дамуға бет бұрыс жасау. </w:t>
      </w:r>
    </w:p>
    <w:p w:rsidR="0052701D" w:rsidRDefault="00D40929">
      <w:pPr>
        <w:spacing w:after="3" w:line="248" w:lineRule="auto"/>
        <w:ind w:left="284" w:right="290" w:firstLine="558"/>
        <w:jc w:val="both"/>
      </w:pPr>
      <w:r>
        <w:rPr>
          <w:rFonts w:ascii="Times New Roman" w:eastAsia="Times New Roman" w:hAnsi="Times New Roman" w:cs="Times New Roman"/>
          <w:sz w:val="28"/>
        </w:rPr>
        <w:t>Кез-келген дамыған ел аймақтық не болмаса дүниежүзілік базарда өз орнын айқындап, ара салмағы мен</w:t>
      </w:r>
      <w:r>
        <w:rPr>
          <w:rFonts w:ascii="Times New Roman" w:eastAsia="Times New Roman" w:hAnsi="Times New Roman" w:cs="Times New Roman"/>
          <w:sz w:val="28"/>
        </w:rPr>
        <w:t xml:space="preserve"> үлесінен арттыруға  бар күшін салады. Бұл үздіксіз инновация мен адами капиталға инвестиция салуға тікелей тәуелді екені белгілі. Бүгінгі күнгі аймақтағы және дүниежүзіндегі экономикалық дағдарыстар, империялар арасындағы саяси теке-тірестер, энергоресурс</w:t>
      </w:r>
      <w:r>
        <w:rPr>
          <w:rFonts w:ascii="Times New Roman" w:eastAsia="Times New Roman" w:hAnsi="Times New Roman" w:cs="Times New Roman"/>
          <w:sz w:val="28"/>
        </w:rPr>
        <w:t>тарға баға мен саудадағы тербелістер, валюталық интервенциялар Қазақстан экономикасына кері әсерін тигізуде. Осындай экономикалық келеңсіздіктерге бой алдырмау отандық өндірушілер мен ұлттық кәсіпкерлердің халықаралық нарықтағы бәсекелік қабілетіне тіреліп</w:t>
      </w:r>
      <w:r>
        <w:rPr>
          <w:rFonts w:ascii="Times New Roman" w:eastAsia="Times New Roman" w:hAnsi="Times New Roman" w:cs="Times New Roman"/>
          <w:sz w:val="28"/>
        </w:rPr>
        <w:t xml:space="preserve"> тұр. Қазақстан экономикасында тұрақталған проблемалар: ұлттық экономиканың бір жақты шикізат өндісіне бағытталғандығы; аймақтық және әлемдік экономикада, яғни базарда орнының жоқтығы мен анықталмандығы; ішкі базардағы сұраныстарды түкке тұрғысыз импортпен</w:t>
      </w:r>
      <w:r>
        <w:rPr>
          <w:rFonts w:ascii="Times New Roman" w:eastAsia="Times New Roman" w:hAnsi="Times New Roman" w:cs="Times New Roman"/>
          <w:sz w:val="28"/>
        </w:rPr>
        <w:t xml:space="preserve"> қанағаттандыруы; ұлттық буржуазия мен ұлттық өндіргіш күштерді қалыптастырудағы ел үкіметінің немқұрайлығы; экономикаға келімсек арзан қол шетел жұмысшыларын, гастарбайтерлерді тартуы т.б. Қазақстанның аталған </w:t>
      </w:r>
      <w:r>
        <w:rPr>
          <w:rFonts w:ascii="Times New Roman" w:eastAsia="Times New Roman" w:hAnsi="Times New Roman" w:cs="Times New Roman"/>
          <w:sz w:val="28"/>
        </w:rPr>
        <w:lastRenderedPageBreak/>
        <w:t xml:space="preserve">проблемалардың түйінін тарқату үшін бәсекеге </w:t>
      </w:r>
      <w:r>
        <w:rPr>
          <w:rFonts w:ascii="Times New Roman" w:eastAsia="Times New Roman" w:hAnsi="Times New Roman" w:cs="Times New Roman"/>
          <w:sz w:val="28"/>
        </w:rPr>
        <w:t>қабілетті жаңа индустриялды елдер санатына қосылуымен қатар экономикадағы өсуді тұрақтандыру мақсатында 2025 ж. индустриялды-инновациялық дамудың стратегиясын мақұлдады. Стратегияның басты мақсаты ғылым мен техника жетістіктерін өндірісте кең қолдана отыры</w:t>
      </w:r>
      <w:r>
        <w:rPr>
          <w:rFonts w:ascii="Times New Roman" w:eastAsia="Times New Roman" w:hAnsi="Times New Roman" w:cs="Times New Roman"/>
          <w:sz w:val="28"/>
        </w:rPr>
        <w:t xml:space="preserve">п экономиканы шикізат өндіру тәуелділігінен арылтып, тұрақты өсуді сервистік-технологиялық экономикаға көшу арқылы өндіріс салаларын диверсификациялау көзделген. </w:t>
      </w:r>
    </w:p>
    <w:p w:rsidR="0052701D" w:rsidRDefault="00D40929">
      <w:pPr>
        <w:spacing w:after="272" w:line="248" w:lineRule="auto"/>
        <w:ind w:left="284" w:right="292" w:firstLine="558"/>
        <w:jc w:val="both"/>
      </w:pPr>
      <w:r>
        <w:rPr>
          <w:rFonts w:ascii="Times New Roman" w:eastAsia="Times New Roman" w:hAnsi="Times New Roman" w:cs="Times New Roman"/>
          <w:sz w:val="28"/>
        </w:rPr>
        <w:t xml:space="preserve">Қазақ елінің индустриялды-инновациялық дамуға бетбұрыс жасауының себептері ол әлем елдерінің технологиялық даму қарқыны, әлемдегі жаһандану процесінің өріс алуы, БСҰ-ға кіру мақсатына сай бәсекелестік қабылеті бар дайын тұтыну  өнімдерін өндіру мүмкіндігі </w:t>
      </w:r>
      <w:r>
        <w:rPr>
          <w:rFonts w:ascii="Times New Roman" w:eastAsia="Times New Roman" w:hAnsi="Times New Roman" w:cs="Times New Roman"/>
          <w:sz w:val="28"/>
        </w:rPr>
        <w:t>бар бәсекеге қабілетті мықты елу елдердің қатарынан көріну. Бұл дегеніміз индустриялды қоғамның  бәсеке қабілеттілігі жоғары өндіріс технологиясы мен бәсеке қабілеттілігі жоғары адами капитал өндірісіне  тіреледі. Қазақстан экономикасына, елдің тәуелсіздіг</w:t>
      </w:r>
      <w:r>
        <w:rPr>
          <w:rFonts w:ascii="Times New Roman" w:eastAsia="Times New Roman" w:hAnsi="Times New Roman" w:cs="Times New Roman"/>
          <w:sz w:val="28"/>
        </w:rPr>
        <w:t xml:space="preserve">іне төніп тұрған  қауіп: ұлттық өндіргіш күш пен ұттық буржуазияның жоқтығы; экономиканың шикізат өндірісіне тәуелділігі; ғалымы көп те ғылымы жоқтығы.  </w:t>
      </w:r>
    </w:p>
    <w:p w:rsidR="0052701D" w:rsidRDefault="00D40929">
      <w:pPr>
        <w:spacing w:after="252"/>
        <w:ind w:left="717" w:right="708" w:hanging="10"/>
        <w:jc w:val="center"/>
      </w:pPr>
      <w:r>
        <w:rPr>
          <w:rFonts w:ascii="Times New Roman" w:eastAsia="Times New Roman" w:hAnsi="Times New Roman" w:cs="Times New Roman"/>
          <w:b/>
          <w:sz w:val="24"/>
        </w:rPr>
        <w:t>Дереккөздер</w:t>
      </w:r>
    </w:p>
    <w:p w:rsidR="0052701D" w:rsidRDefault="00D40929">
      <w:pPr>
        <w:numPr>
          <w:ilvl w:val="0"/>
          <w:numId w:val="149"/>
        </w:numPr>
        <w:spacing w:after="3" w:line="249" w:lineRule="auto"/>
        <w:ind w:right="1" w:firstLine="568"/>
        <w:jc w:val="both"/>
      </w:pPr>
      <w:r>
        <w:rPr>
          <w:rFonts w:ascii="Times New Roman" w:eastAsia="Times New Roman" w:hAnsi="Times New Roman" w:cs="Times New Roman"/>
          <w:sz w:val="24"/>
        </w:rPr>
        <w:t>К.Макконнелл и С. Брю «Экономикс», М, 1996 г.</w:t>
      </w:r>
    </w:p>
    <w:p w:rsidR="0052701D" w:rsidRDefault="00D40929">
      <w:pPr>
        <w:numPr>
          <w:ilvl w:val="0"/>
          <w:numId w:val="149"/>
        </w:numPr>
        <w:spacing w:after="3" w:line="249" w:lineRule="auto"/>
        <w:ind w:right="1" w:firstLine="568"/>
        <w:jc w:val="both"/>
      </w:pPr>
      <w:r>
        <w:rPr>
          <w:rFonts w:ascii="Times New Roman" w:eastAsia="Times New Roman" w:hAnsi="Times New Roman" w:cs="Times New Roman"/>
          <w:sz w:val="24"/>
        </w:rPr>
        <w:t xml:space="preserve">Человеческий капитал в условиях обеспечения </w:t>
      </w:r>
      <w:r>
        <w:rPr>
          <w:rFonts w:ascii="Times New Roman" w:eastAsia="Times New Roman" w:hAnsi="Times New Roman" w:cs="Times New Roman"/>
          <w:sz w:val="24"/>
        </w:rPr>
        <w:t>конкурентоспособности национальной экономики: приоритеты и механизмы реализации: / под ред. М.К.</w:t>
      </w:r>
    </w:p>
    <w:p w:rsidR="0052701D" w:rsidRDefault="00D40929">
      <w:pPr>
        <w:spacing w:after="3" w:line="249" w:lineRule="auto"/>
        <w:ind w:left="279" w:right="1" w:hanging="10"/>
        <w:jc w:val="both"/>
      </w:pPr>
      <w:r>
        <w:rPr>
          <w:rFonts w:ascii="Times New Roman" w:eastAsia="Times New Roman" w:hAnsi="Times New Roman" w:cs="Times New Roman"/>
          <w:sz w:val="24"/>
        </w:rPr>
        <w:t>Мельдаханова. Алматы, 2012.</w:t>
      </w:r>
    </w:p>
    <w:p w:rsidR="0052701D" w:rsidRDefault="00D40929">
      <w:pPr>
        <w:numPr>
          <w:ilvl w:val="0"/>
          <w:numId w:val="149"/>
        </w:numPr>
        <w:spacing w:after="3" w:line="249" w:lineRule="auto"/>
        <w:ind w:right="1" w:firstLine="568"/>
        <w:jc w:val="both"/>
      </w:pPr>
      <w:r>
        <w:rPr>
          <w:rFonts w:ascii="Times New Roman" w:eastAsia="Times New Roman" w:hAnsi="Times New Roman" w:cs="Times New Roman"/>
          <w:sz w:val="24"/>
        </w:rPr>
        <w:t>Папулярная экономическая энциклопедия – М.,2003</w:t>
      </w:r>
    </w:p>
    <w:p w:rsidR="0052701D" w:rsidRDefault="00D40929">
      <w:pPr>
        <w:numPr>
          <w:ilvl w:val="0"/>
          <w:numId w:val="149"/>
        </w:numPr>
        <w:spacing w:after="3" w:line="249" w:lineRule="auto"/>
        <w:ind w:right="1" w:firstLine="568"/>
        <w:jc w:val="both"/>
      </w:pPr>
      <w:r>
        <w:rPr>
          <w:rFonts w:ascii="Times New Roman" w:eastAsia="Times New Roman" w:hAnsi="Times New Roman" w:cs="Times New Roman"/>
          <w:sz w:val="24"/>
        </w:rPr>
        <w:t>Маршалл А. «Принципы экономической науки». М. 2010.</w:t>
      </w:r>
    </w:p>
    <w:p w:rsidR="0052701D" w:rsidRDefault="00D40929">
      <w:pPr>
        <w:spacing w:after="346" w:line="249" w:lineRule="auto"/>
        <w:ind w:left="279" w:right="1" w:hanging="10"/>
        <w:jc w:val="both"/>
      </w:pPr>
      <w:r>
        <w:rPr>
          <w:rFonts w:ascii="Times New Roman" w:eastAsia="Times New Roman" w:hAnsi="Times New Roman" w:cs="Times New Roman"/>
          <w:sz w:val="24"/>
        </w:rPr>
        <w:t>МРНТИ</w:t>
      </w:r>
      <w:r>
        <w:rPr>
          <w:rFonts w:ascii="Times New Roman" w:eastAsia="Times New Roman" w:hAnsi="Times New Roman" w:cs="Times New Roman"/>
          <w:color w:val="FF0000"/>
          <w:sz w:val="24"/>
        </w:rPr>
        <w:t xml:space="preserve"> </w:t>
      </w:r>
      <w:r>
        <w:rPr>
          <w:rFonts w:ascii="Times New Roman" w:eastAsia="Times New Roman" w:hAnsi="Times New Roman" w:cs="Times New Roman"/>
          <w:sz w:val="24"/>
        </w:rPr>
        <w:t>50.41.00</w:t>
      </w:r>
    </w:p>
    <w:p w:rsidR="0052701D" w:rsidRDefault="00D40929">
      <w:pPr>
        <w:pStyle w:val="1"/>
        <w:spacing w:after="199" w:line="249" w:lineRule="auto"/>
        <w:ind w:left="2082" w:right="0" w:hanging="432"/>
        <w:jc w:val="left"/>
      </w:pPr>
      <w:r>
        <w:t>ПРИМЕНЕНИЕ ИСКУС</w:t>
      </w:r>
      <w:r>
        <w:t>СТВЕННОГО ИНТЕЛЛЕКТА В</w:t>
      </w:r>
    </w:p>
    <w:p w:rsidR="0052701D" w:rsidRDefault="00D40929">
      <w:pPr>
        <w:spacing w:after="199" w:line="249" w:lineRule="auto"/>
        <w:ind w:left="2082" w:hanging="432"/>
      </w:pPr>
      <w:r>
        <w:rPr>
          <w:rFonts w:ascii="Times New Roman" w:eastAsia="Times New Roman" w:hAnsi="Times New Roman" w:cs="Times New Roman"/>
          <w:b/>
          <w:sz w:val="28"/>
        </w:rPr>
        <w:t>РОБОТИЗАЦИИ СИСТЕМЫ ОБРАЗОВАНИЯ</w:t>
      </w:r>
      <w:r>
        <w:rPr>
          <w:rFonts w:ascii="Times New Roman" w:eastAsia="Times New Roman" w:hAnsi="Times New Roman" w:cs="Times New Roman"/>
          <w:sz w:val="24"/>
        </w:rPr>
        <w:t xml:space="preserve"> </w:t>
      </w:r>
    </w:p>
    <w:p w:rsidR="0052701D" w:rsidRDefault="00D40929">
      <w:pPr>
        <w:spacing w:after="3" w:line="249" w:lineRule="auto"/>
        <w:ind w:left="1920" w:right="1" w:hanging="10"/>
        <w:jc w:val="both"/>
      </w:pPr>
      <w:r>
        <w:rPr>
          <w:rFonts w:ascii="Times New Roman" w:eastAsia="Times New Roman" w:hAnsi="Times New Roman" w:cs="Times New Roman"/>
          <w:sz w:val="24"/>
        </w:rPr>
        <w:t>Сатова Р.К.</w:t>
      </w:r>
      <w:r>
        <w:rPr>
          <w:rFonts w:ascii="Times New Roman" w:eastAsia="Times New Roman" w:hAnsi="Times New Roman" w:cs="Times New Roman"/>
          <w:vertAlign w:val="superscript"/>
        </w:rPr>
        <w:t>1</w:t>
      </w:r>
      <w:r>
        <w:rPr>
          <w:rFonts w:ascii="Times New Roman" w:eastAsia="Times New Roman" w:hAnsi="Times New Roman" w:cs="Times New Roman"/>
          <w:sz w:val="24"/>
        </w:rPr>
        <w:t>, Баймухамедова Г.С.</w:t>
      </w:r>
      <w:r>
        <w:rPr>
          <w:rFonts w:ascii="Times New Roman" w:eastAsia="Times New Roman" w:hAnsi="Times New Roman" w:cs="Times New Roman"/>
          <w:vertAlign w:val="superscript"/>
        </w:rPr>
        <w:t>2</w:t>
      </w:r>
      <w:r>
        <w:rPr>
          <w:rFonts w:ascii="Times New Roman" w:eastAsia="Times New Roman" w:hAnsi="Times New Roman" w:cs="Times New Roman"/>
          <w:sz w:val="24"/>
        </w:rPr>
        <w:t>, Айтбенова А.А.</w:t>
      </w:r>
      <w:r>
        <w:rPr>
          <w:rFonts w:ascii="Times New Roman" w:eastAsia="Times New Roman" w:hAnsi="Times New Roman" w:cs="Times New Roman"/>
          <w:vertAlign w:val="superscript"/>
        </w:rPr>
        <w:t>3</w:t>
      </w:r>
      <w:r>
        <w:rPr>
          <w:rFonts w:ascii="Times New Roman" w:eastAsia="Times New Roman" w:hAnsi="Times New Roman" w:cs="Times New Roman"/>
          <w:sz w:val="24"/>
        </w:rPr>
        <w:t>, Гадылбек А.</w:t>
      </w:r>
      <w:r>
        <w:rPr>
          <w:rFonts w:ascii="Times New Roman" w:eastAsia="Times New Roman" w:hAnsi="Times New Roman" w:cs="Times New Roman"/>
          <w:vertAlign w:val="superscript"/>
        </w:rPr>
        <w:t>4</w:t>
      </w:r>
    </w:p>
    <w:p w:rsidR="0052701D" w:rsidRDefault="00D40929">
      <w:pPr>
        <w:spacing w:after="13" w:line="248" w:lineRule="auto"/>
        <w:ind w:left="1746" w:right="1251" w:hanging="10"/>
      </w:pPr>
      <w:r>
        <w:rPr>
          <w:rFonts w:ascii="Times New Roman" w:eastAsia="Times New Roman" w:hAnsi="Times New Roman" w:cs="Times New Roman"/>
        </w:rPr>
        <w:t>Алматинский университет энергетики и связи имени Гумарбека Даукеева</w:t>
      </w:r>
      <w:r>
        <w:rPr>
          <w:rFonts w:ascii="Times New Roman" w:eastAsia="Times New Roman" w:hAnsi="Times New Roman" w:cs="Times New Roman"/>
          <w:sz w:val="20"/>
          <w:vertAlign w:val="superscript"/>
        </w:rPr>
        <w:t>1,4</w:t>
      </w:r>
      <w:r>
        <w:rPr>
          <w:rFonts w:ascii="Times New Roman" w:eastAsia="Times New Roman" w:hAnsi="Times New Roman" w:cs="Times New Roman"/>
        </w:rPr>
        <w:t xml:space="preserve">, </w:t>
      </w:r>
    </w:p>
    <w:p w:rsidR="0052701D" w:rsidRDefault="00D40929">
      <w:pPr>
        <w:spacing w:after="13" w:line="248" w:lineRule="auto"/>
        <w:ind w:left="2068" w:right="1251" w:hanging="10"/>
      </w:pPr>
      <w:r>
        <w:rPr>
          <w:rFonts w:ascii="Times New Roman" w:eastAsia="Times New Roman" w:hAnsi="Times New Roman" w:cs="Times New Roman"/>
        </w:rPr>
        <w:t>Костанайский социально-технический университет им. З.Алдамжар</w:t>
      </w:r>
      <w:r>
        <w:rPr>
          <w:rFonts w:ascii="Times New Roman" w:eastAsia="Times New Roman" w:hAnsi="Times New Roman" w:cs="Times New Roman"/>
          <w:sz w:val="20"/>
          <w:vertAlign w:val="superscript"/>
        </w:rPr>
        <w:t>2</w:t>
      </w:r>
      <w:r>
        <w:rPr>
          <w:rFonts w:ascii="Times New Roman" w:eastAsia="Times New Roman" w:hAnsi="Times New Roman" w:cs="Times New Roman"/>
        </w:rPr>
        <w:t>,</w:t>
      </w:r>
    </w:p>
    <w:p w:rsidR="0052701D" w:rsidRDefault="00D40929">
      <w:pPr>
        <w:spacing w:after="258" w:line="248" w:lineRule="auto"/>
        <w:ind w:left="3426" w:right="1251" w:hanging="1090"/>
      </w:pPr>
      <w:r>
        <w:rPr>
          <w:noProof/>
        </w:rPr>
        <mc:AlternateContent>
          <mc:Choice Requires="wpg">
            <w:drawing>
              <wp:anchor distT="0" distB="0" distL="114300" distR="114300" simplePos="0" relativeHeight="251776000" behindDoc="1" locked="0" layoutInCell="1" allowOverlap="1">
                <wp:simplePos x="0" y="0"/>
                <wp:positionH relativeFrom="column">
                  <wp:posOffset>2627630</wp:posOffset>
                </wp:positionH>
                <wp:positionV relativeFrom="paragraph">
                  <wp:posOffset>154995</wp:posOffset>
                </wp:positionV>
                <wp:extent cx="1945640" cy="159385"/>
                <wp:effectExtent l="0" t="0" r="0" b="0"/>
                <wp:wrapNone/>
                <wp:docPr id="1028639" name="Group 1028639"/>
                <wp:cNvGraphicFramePr/>
                <a:graphic xmlns:a="http://schemas.openxmlformats.org/drawingml/2006/main">
                  <a:graphicData uri="http://schemas.microsoft.com/office/word/2010/wordprocessingGroup">
                    <wpg:wgp>
                      <wpg:cNvGrpSpPr/>
                      <wpg:grpSpPr>
                        <a:xfrm>
                          <a:off x="0" y="0"/>
                          <a:ext cx="1945640" cy="159385"/>
                          <a:chOff x="0" y="0"/>
                          <a:chExt cx="1945640" cy="159385"/>
                        </a:xfrm>
                      </wpg:grpSpPr>
                      <wps:wsp>
                        <wps:cNvPr id="176929" name="Shape 176929"/>
                        <wps:cNvSpPr/>
                        <wps:spPr>
                          <a:xfrm>
                            <a:off x="0" y="142240"/>
                            <a:ext cx="226060" cy="0"/>
                          </a:xfrm>
                          <a:custGeom>
                            <a:avLst/>
                            <a:gdLst/>
                            <a:ahLst/>
                            <a:cxnLst/>
                            <a:rect l="0" t="0" r="0" b="0"/>
                            <a:pathLst>
                              <a:path w="226060">
                                <a:moveTo>
                                  <a:pt x="0" y="0"/>
                                </a:moveTo>
                                <a:lnTo>
                                  <a:pt x="226060" y="0"/>
                                </a:lnTo>
                              </a:path>
                            </a:pathLst>
                          </a:custGeom>
                          <a:ln w="7620" cap="flat">
                            <a:miter lim="127000"/>
                          </a:ln>
                        </wps:spPr>
                        <wps:style>
                          <a:lnRef idx="1">
                            <a:srgbClr val="0000FF"/>
                          </a:lnRef>
                          <a:fillRef idx="0">
                            <a:srgbClr val="000000">
                              <a:alpha val="0"/>
                            </a:srgbClr>
                          </a:fillRef>
                          <a:effectRef idx="0">
                            <a:scrgbClr r="0" g="0" b="0"/>
                          </a:effectRef>
                          <a:fontRef idx="none"/>
                        </wps:style>
                        <wps:bodyPr/>
                      </wps:wsp>
                      <wps:wsp>
                        <wps:cNvPr id="1065651" name="Shape 1065651"/>
                        <wps:cNvSpPr/>
                        <wps:spPr>
                          <a:xfrm>
                            <a:off x="226060" y="0"/>
                            <a:ext cx="267335" cy="159385"/>
                          </a:xfrm>
                          <a:custGeom>
                            <a:avLst/>
                            <a:gdLst/>
                            <a:ahLst/>
                            <a:cxnLst/>
                            <a:rect l="0" t="0" r="0" b="0"/>
                            <a:pathLst>
                              <a:path w="267335" h="159385">
                                <a:moveTo>
                                  <a:pt x="0" y="0"/>
                                </a:moveTo>
                                <a:lnTo>
                                  <a:pt x="267335" y="0"/>
                                </a:lnTo>
                                <a:lnTo>
                                  <a:pt x="267335" y="159385"/>
                                </a:lnTo>
                                <a:lnTo>
                                  <a:pt x="0" y="15938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6933" name="Shape 176933"/>
                        <wps:cNvSpPr/>
                        <wps:spPr>
                          <a:xfrm>
                            <a:off x="226060" y="142240"/>
                            <a:ext cx="267970" cy="0"/>
                          </a:xfrm>
                          <a:custGeom>
                            <a:avLst/>
                            <a:gdLst/>
                            <a:ahLst/>
                            <a:cxnLst/>
                            <a:rect l="0" t="0" r="0" b="0"/>
                            <a:pathLst>
                              <a:path w="267970">
                                <a:moveTo>
                                  <a:pt x="0" y="0"/>
                                </a:moveTo>
                                <a:lnTo>
                                  <a:pt x="267970" y="0"/>
                                </a:lnTo>
                              </a:path>
                            </a:pathLst>
                          </a:custGeom>
                          <a:ln w="7620" cap="flat">
                            <a:miter lim="127000"/>
                          </a:ln>
                        </wps:spPr>
                        <wps:style>
                          <a:lnRef idx="1">
                            <a:srgbClr val="0000FF"/>
                          </a:lnRef>
                          <a:fillRef idx="0">
                            <a:srgbClr val="000000">
                              <a:alpha val="0"/>
                            </a:srgbClr>
                          </a:fillRef>
                          <a:effectRef idx="0">
                            <a:scrgbClr r="0" g="0" b="0"/>
                          </a:effectRef>
                          <a:fontRef idx="none"/>
                        </wps:style>
                        <wps:bodyPr/>
                      </wps:wsp>
                      <wps:wsp>
                        <wps:cNvPr id="1065652" name="Shape 1065652"/>
                        <wps:cNvSpPr/>
                        <wps:spPr>
                          <a:xfrm>
                            <a:off x="494030" y="0"/>
                            <a:ext cx="248285" cy="159385"/>
                          </a:xfrm>
                          <a:custGeom>
                            <a:avLst/>
                            <a:gdLst/>
                            <a:ahLst/>
                            <a:cxnLst/>
                            <a:rect l="0" t="0" r="0" b="0"/>
                            <a:pathLst>
                              <a:path w="248285" h="159385">
                                <a:moveTo>
                                  <a:pt x="0" y="0"/>
                                </a:moveTo>
                                <a:lnTo>
                                  <a:pt x="248285" y="0"/>
                                </a:lnTo>
                                <a:lnTo>
                                  <a:pt x="248285" y="159385"/>
                                </a:lnTo>
                                <a:lnTo>
                                  <a:pt x="0" y="15938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6937" name="Shape 176937"/>
                        <wps:cNvSpPr/>
                        <wps:spPr>
                          <a:xfrm>
                            <a:off x="494030" y="142240"/>
                            <a:ext cx="248920" cy="0"/>
                          </a:xfrm>
                          <a:custGeom>
                            <a:avLst/>
                            <a:gdLst/>
                            <a:ahLst/>
                            <a:cxnLst/>
                            <a:rect l="0" t="0" r="0" b="0"/>
                            <a:pathLst>
                              <a:path w="248920">
                                <a:moveTo>
                                  <a:pt x="0" y="0"/>
                                </a:moveTo>
                                <a:lnTo>
                                  <a:pt x="248920" y="0"/>
                                </a:lnTo>
                              </a:path>
                            </a:pathLst>
                          </a:custGeom>
                          <a:ln w="7620" cap="flat">
                            <a:miter lim="127000"/>
                          </a:ln>
                        </wps:spPr>
                        <wps:style>
                          <a:lnRef idx="1">
                            <a:srgbClr val="0000FF"/>
                          </a:lnRef>
                          <a:fillRef idx="0">
                            <a:srgbClr val="000000">
                              <a:alpha val="0"/>
                            </a:srgbClr>
                          </a:fillRef>
                          <a:effectRef idx="0">
                            <a:scrgbClr r="0" g="0" b="0"/>
                          </a:effectRef>
                          <a:fontRef idx="none"/>
                        </wps:style>
                        <wps:bodyPr/>
                      </wps:wsp>
                      <wps:wsp>
                        <wps:cNvPr id="1065653" name="Shape 1065653"/>
                        <wps:cNvSpPr/>
                        <wps:spPr>
                          <a:xfrm>
                            <a:off x="742950" y="0"/>
                            <a:ext cx="33655" cy="159385"/>
                          </a:xfrm>
                          <a:custGeom>
                            <a:avLst/>
                            <a:gdLst/>
                            <a:ahLst/>
                            <a:cxnLst/>
                            <a:rect l="0" t="0" r="0" b="0"/>
                            <a:pathLst>
                              <a:path w="33655" h="159385">
                                <a:moveTo>
                                  <a:pt x="0" y="0"/>
                                </a:moveTo>
                                <a:lnTo>
                                  <a:pt x="33655" y="0"/>
                                </a:lnTo>
                                <a:lnTo>
                                  <a:pt x="33655" y="159385"/>
                                </a:lnTo>
                                <a:lnTo>
                                  <a:pt x="0" y="15938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6941" name="Shape 176941"/>
                        <wps:cNvSpPr/>
                        <wps:spPr>
                          <a:xfrm>
                            <a:off x="742950" y="142240"/>
                            <a:ext cx="35560" cy="0"/>
                          </a:xfrm>
                          <a:custGeom>
                            <a:avLst/>
                            <a:gdLst/>
                            <a:ahLst/>
                            <a:cxnLst/>
                            <a:rect l="0" t="0" r="0" b="0"/>
                            <a:pathLst>
                              <a:path w="35560">
                                <a:moveTo>
                                  <a:pt x="0" y="0"/>
                                </a:moveTo>
                                <a:lnTo>
                                  <a:pt x="35560" y="0"/>
                                </a:lnTo>
                              </a:path>
                            </a:pathLst>
                          </a:custGeom>
                          <a:ln w="7620" cap="flat">
                            <a:miter lim="127000"/>
                          </a:ln>
                        </wps:spPr>
                        <wps:style>
                          <a:lnRef idx="1">
                            <a:srgbClr val="0000FF"/>
                          </a:lnRef>
                          <a:fillRef idx="0">
                            <a:srgbClr val="000000">
                              <a:alpha val="0"/>
                            </a:srgbClr>
                          </a:fillRef>
                          <a:effectRef idx="0">
                            <a:scrgbClr r="0" g="0" b="0"/>
                          </a:effectRef>
                          <a:fontRef idx="none"/>
                        </wps:style>
                        <wps:bodyPr/>
                      </wps:wsp>
                      <wps:wsp>
                        <wps:cNvPr id="1065654" name="Shape 1065654"/>
                        <wps:cNvSpPr/>
                        <wps:spPr>
                          <a:xfrm>
                            <a:off x="777240" y="0"/>
                            <a:ext cx="116205" cy="159385"/>
                          </a:xfrm>
                          <a:custGeom>
                            <a:avLst/>
                            <a:gdLst/>
                            <a:ahLst/>
                            <a:cxnLst/>
                            <a:rect l="0" t="0" r="0" b="0"/>
                            <a:pathLst>
                              <a:path w="116205" h="159385">
                                <a:moveTo>
                                  <a:pt x="0" y="0"/>
                                </a:moveTo>
                                <a:lnTo>
                                  <a:pt x="116205" y="0"/>
                                </a:lnTo>
                                <a:lnTo>
                                  <a:pt x="116205" y="159385"/>
                                </a:lnTo>
                                <a:lnTo>
                                  <a:pt x="0" y="15938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6945" name="Shape 176945"/>
                        <wps:cNvSpPr/>
                        <wps:spPr>
                          <a:xfrm>
                            <a:off x="777240" y="142240"/>
                            <a:ext cx="116840" cy="0"/>
                          </a:xfrm>
                          <a:custGeom>
                            <a:avLst/>
                            <a:gdLst/>
                            <a:ahLst/>
                            <a:cxnLst/>
                            <a:rect l="0" t="0" r="0" b="0"/>
                            <a:pathLst>
                              <a:path w="116840">
                                <a:moveTo>
                                  <a:pt x="0" y="0"/>
                                </a:moveTo>
                                <a:lnTo>
                                  <a:pt x="116840" y="0"/>
                                </a:lnTo>
                              </a:path>
                            </a:pathLst>
                          </a:custGeom>
                          <a:ln w="7620" cap="flat">
                            <a:miter lim="127000"/>
                          </a:ln>
                        </wps:spPr>
                        <wps:style>
                          <a:lnRef idx="1">
                            <a:srgbClr val="0000FF"/>
                          </a:lnRef>
                          <a:fillRef idx="0">
                            <a:srgbClr val="000000">
                              <a:alpha val="0"/>
                            </a:srgbClr>
                          </a:fillRef>
                          <a:effectRef idx="0">
                            <a:scrgbClr r="0" g="0" b="0"/>
                          </a:effectRef>
                          <a:fontRef idx="none"/>
                        </wps:style>
                        <wps:bodyPr/>
                      </wps:wsp>
                      <wps:wsp>
                        <wps:cNvPr id="1065655" name="Shape 1065655"/>
                        <wps:cNvSpPr/>
                        <wps:spPr>
                          <a:xfrm>
                            <a:off x="894080" y="0"/>
                            <a:ext cx="69215" cy="159385"/>
                          </a:xfrm>
                          <a:custGeom>
                            <a:avLst/>
                            <a:gdLst/>
                            <a:ahLst/>
                            <a:cxnLst/>
                            <a:rect l="0" t="0" r="0" b="0"/>
                            <a:pathLst>
                              <a:path w="69215" h="159385">
                                <a:moveTo>
                                  <a:pt x="0" y="0"/>
                                </a:moveTo>
                                <a:lnTo>
                                  <a:pt x="69215" y="0"/>
                                </a:lnTo>
                                <a:lnTo>
                                  <a:pt x="69215" y="159385"/>
                                </a:lnTo>
                                <a:lnTo>
                                  <a:pt x="0" y="15938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6951" name="Shape 176951"/>
                        <wps:cNvSpPr/>
                        <wps:spPr>
                          <a:xfrm>
                            <a:off x="963930" y="142240"/>
                            <a:ext cx="46990" cy="0"/>
                          </a:xfrm>
                          <a:custGeom>
                            <a:avLst/>
                            <a:gdLst/>
                            <a:ahLst/>
                            <a:cxnLst/>
                            <a:rect l="0" t="0" r="0" b="0"/>
                            <a:pathLst>
                              <a:path w="46990">
                                <a:moveTo>
                                  <a:pt x="0" y="0"/>
                                </a:moveTo>
                                <a:lnTo>
                                  <a:pt x="46990" y="0"/>
                                </a:lnTo>
                              </a:path>
                            </a:pathLst>
                          </a:custGeom>
                          <a:ln w="7620" cap="flat">
                            <a:miter lim="127000"/>
                          </a:ln>
                        </wps:spPr>
                        <wps:style>
                          <a:lnRef idx="1">
                            <a:srgbClr val="0000FF"/>
                          </a:lnRef>
                          <a:fillRef idx="0">
                            <a:srgbClr val="000000">
                              <a:alpha val="0"/>
                            </a:srgbClr>
                          </a:fillRef>
                          <a:effectRef idx="0">
                            <a:scrgbClr r="0" g="0" b="0"/>
                          </a:effectRef>
                          <a:fontRef idx="none"/>
                        </wps:style>
                        <wps:bodyPr/>
                      </wps:wsp>
                      <wps:wsp>
                        <wps:cNvPr id="1065656" name="Shape 1065656"/>
                        <wps:cNvSpPr/>
                        <wps:spPr>
                          <a:xfrm>
                            <a:off x="1009650" y="0"/>
                            <a:ext cx="34925" cy="159385"/>
                          </a:xfrm>
                          <a:custGeom>
                            <a:avLst/>
                            <a:gdLst/>
                            <a:ahLst/>
                            <a:cxnLst/>
                            <a:rect l="0" t="0" r="0" b="0"/>
                            <a:pathLst>
                              <a:path w="34925" h="159385">
                                <a:moveTo>
                                  <a:pt x="0" y="0"/>
                                </a:moveTo>
                                <a:lnTo>
                                  <a:pt x="34925" y="0"/>
                                </a:lnTo>
                                <a:lnTo>
                                  <a:pt x="34925" y="159385"/>
                                </a:lnTo>
                                <a:lnTo>
                                  <a:pt x="0" y="15938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6955" name="Shape 176955"/>
                        <wps:cNvSpPr/>
                        <wps:spPr>
                          <a:xfrm>
                            <a:off x="1009650" y="142240"/>
                            <a:ext cx="35560" cy="0"/>
                          </a:xfrm>
                          <a:custGeom>
                            <a:avLst/>
                            <a:gdLst/>
                            <a:ahLst/>
                            <a:cxnLst/>
                            <a:rect l="0" t="0" r="0" b="0"/>
                            <a:pathLst>
                              <a:path w="35560">
                                <a:moveTo>
                                  <a:pt x="0" y="0"/>
                                </a:moveTo>
                                <a:lnTo>
                                  <a:pt x="35560" y="0"/>
                                </a:lnTo>
                              </a:path>
                            </a:pathLst>
                          </a:custGeom>
                          <a:ln w="7620" cap="flat">
                            <a:miter lim="127000"/>
                          </a:ln>
                        </wps:spPr>
                        <wps:style>
                          <a:lnRef idx="1">
                            <a:srgbClr val="0000FF"/>
                          </a:lnRef>
                          <a:fillRef idx="0">
                            <a:srgbClr val="000000">
                              <a:alpha val="0"/>
                            </a:srgbClr>
                          </a:fillRef>
                          <a:effectRef idx="0">
                            <a:scrgbClr r="0" g="0" b="0"/>
                          </a:effectRef>
                          <a:fontRef idx="none"/>
                        </wps:style>
                        <wps:bodyPr/>
                      </wps:wsp>
                      <wps:wsp>
                        <wps:cNvPr id="1065657" name="Shape 1065657"/>
                        <wps:cNvSpPr/>
                        <wps:spPr>
                          <a:xfrm>
                            <a:off x="1045210" y="0"/>
                            <a:ext cx="356235" cy="159385"/>
                          </a:xfrm>
                          <a:custGeom>
                            <a:avLst/>
                            <a:gdLst/>
                            <a:ahLst/>
                            <a:cxnLst/>
                            <a:rect l="0" t="0" r="0" b="0"/>
                            <a:pathLst>
                              <a:path w="356235" h="159385">
                                <a:moveTo>
                                  <a:pt x="0" y="0"/>
                                </a:moveTo>
                                <a:lnTo>
                                  <a:pt x="356235" y="0"/>
                                </a:lnTo>
                                <a:lnTo>
                                  <a:pt x="356235" y="159385"/>
                                </a:lnTo>
                                <a:lnTo>
                                  <a:pt x="0" y="15938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6959" name="Shape 176959"/>
                        <wps:cNvSpPr/>
                        <wps:spPr>
                          <a:xfrm>
                            <a:off x="1045210" y="142240"/>
                            <a:ext cx="356870" cy="0"/>
                          </a:xfrm>
                          <a:custGeom>
                            <a:avLst/>
                            <a:gdLst/>
                            <a:ahLst/>
                            <a:cxnLst/>
                            <a:rect l="0" t="0" r="0" b="0"/>
                            <a:pathLst>
                              <a:path w="356870">
                                <a:moveTo>
                                  <a:pt x="0" y="0"/>
                                </a:moveTo>
                                <a:lnTo>
                                  <a:pt x="356870" y="0"/>
                                </a:lnTo>
                              </a:path>
                            </a:pathLst>
                          </a:custGeom>
                          <a:ln w="7620" cap="flat">
                            <a:miter lim="127000"/>
                          </a:ln>
                        </wps:spPr>
                        <wps:style>
                          <a:lnRef idx="1">
                            <a:srgbClr val="0000FF"/>
                          </a:lnRef>
                          <a:fillRef idx="0">
                            <a:srgbClr val="000000">
                              <a:alpha val="0"/>
                            </a:srgbClr>
                          </a:fillRef>
                          <a:effectRef idx="0">
                            <a:scrgbClr r="0" g="0" b="0"/>
                          </a:effectRef>
                          <a:fontRef idx="none"/>
                        </wps:style>
                        <wps:bodyPr/>
                      </wps:wsp>
                      <wps:wsp>
                        <wps:cNvPr id="1065658" name="Shape 1065658"/>
                        <wps:cNvSpPr/>
                        <wps:spPr>
                          <a:xfrm>
                            <a:off x="1402080" y="0"/>
                            <a:ext cx="127635" cy="159385"/>
                          </a:xfrm>
                          <a:custGeom>
                            <a:avLst/>
                            <a:gdLst/>
                            <a:ahLst/>
                            <a:cxnLst/>
                            <a:rect l="0" t="0" r="0" b="0"/>
                            <a:pathLst>
                              <a:path w="127635" h="159385">
                                <a:moveTo>
                                  <a:pt x="0" y="0"/>
                                </a:moveTo>
                                <a:lnTo>
                                  <a:pt x="127635" y="0"/>
                                </a:lnTo>
                                <a:lnTo>
                                  <a:pt x="127635" y="159385"/>
                                </a:lnTo>
                                <a:lnTo>
                                  <a:pt x="0" y="15938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6963" name="Shape 176963"/>
                        <wps:cNvSpPr/>
                        <wps:spPr>
                          <a:xfrm>
                            <a:off x="1402080" y="142240"/>
                            <a:ext cx="128270" cy="0"/>
                          </a:xfrm>
                          <a:custGeom>
                            <a:avLst/>
                            <a:gdLst/>
                            <a:ahLst/>
                            <a:cxnLst/>
                            <a:rect l="0" t="0" r="0" b="0"/>
                            <a:pathLst>
                              <a:path w="128270">
                                <a:moveTo>
                                  <a:pt x="0" y="0"/>
                                </a:moveTo>
                                <a:lnTo>
                                  <a:pt x="128270" y="0"/>
                                </a:lnTo>
                              </a:path>
                            </a:pathLst>
                          </a:custGeom>
                          <a:ln w="7620" cap="flat">
                            <a:miter lim="127000"/>
                          </a:ln>
                        </wps:spPr>
                        <wps:style>
                          <a:lnRef idx="1">
                            <a:srgbClr val="0000FF"/>
                          </a:lnRef>
                          <a:fillRef idx="0">
                            <a:srgbClr val="000000">
                              <a:alpha val="0"/>
                            </a:srgbClr>
                          </a:fillRef>
                          <a:effectRef idx="0">
                            <a:scrgbClr r="0" g="0" b="0"/>
                          </a:effectRef>
                          <a:fontRef idx="none"/>
                        </wps:style>
                        <wps:bodyPr/>
                      </wps:wsp>
                      <wps:wsp>
                        <wps:cNvPr id="1065659" name="Shape 1065659"/>
                        <wps:cNvSpPr/>
                        <wps:spPr>
                          <a:xfrm>
                            <a:off x="1530350" y="0"/>
                            <a:ext cx="248285" cy="159385"/>
                          </a:xfrm>
                          <a:custGeom>
                            <a:avLst/>
                            <a:gdLst/>
                            <a:ahLst/>
                            <a:cxnLst/>
                            <a:rect l="0" t="0" r="0" b="0"/>
                            <a:pathLst>
                              <a:path w="248285" h="159385">
                                <a:moveTo>
                                  <a:pt x="0" y="0"/>
                                </a:moveTo>
                                <a:lnTo>
                                  <a:pt x="248285" y="0"/>
                                </a:lnTo>
                                <a:lnTo>
                                  <a:pt x="248285" y="159385"/>
                                </a:lnTo>
                                <a:lnTo>
                                  <a:pt x="0" y="15938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6967" name="Shape 176967"/>
                        <wps:cNvSpPr/>
                        <wps:spPr>
                          <a:xfrm>
                            <a:off x="1530350" y="142240"/>
                            <a:ext cx="248920" cy="0"/>
                          </a:xfrm>
                          <a:custGeom>
                            <a:avLst/>
                            <a:gdLst/>
                            <a:ahLst/>
                            <a:cxnLst/>
                            <a:rect l="0" t="0" r="0" b="0"/>
                            <a:pathLst>
                              <a:path w="248920">
                                <a:moveTo>
                                  <a:pt x="0" y="0"/>
                                </a:moveTo>
                                <a:lnTo>
                                  <a:pt x="248920" y="0"/>
                                </a:lnTo>
                              </a:path>
                            </a:pathLst>
                          </a:custGeom>
                          <a:ln w="7620" cap="flat">
                            <a:miter lim="127000"/>
                          </a:ln>
                        </wps:spPr>
                        <wps:style>
                          <a:lnRef idx="1">
                            <a:srgbClr val="0000FF"/>
                          </a:lnRef>
                          <a:fillRef idx="0">
                            <a:srgbClr val="000000">
                              <a:alpha val="0"/>
                            </a:srgbClr>
                          </a:fillRef>
                          <a:effectRef idx="0">
                            <a:scrgbClr r="0" g="0" b="0"/>
                          </a:effectRef>
                          <a:fontRef idx="none"/>
                        </wps:style>
                        <wps:bodyPr/>
                      </wps:wsp>
                      <wps:wsp>
                        <wps:cNvPr id="1065660" name="Shape 1065660"/>
                        <wps:cNvSpPr/>
                        <wps:spPr>
                          <a:xfrm>
                            <a:off x="1779270" y="0"/>
                            <a:ext cx="33655" cy="159385"/>
                          </a:xfrm>
                          <a:custGeom>
                            <a:avLst/>
                            <a:gdLst/>
                            <a:ahLst/>
                            <a:cxnLst/>
                            <a:rect l="0" t="0" r="0" b="0"/>
                            <a:pathLst>
                              <a:path w="33655" h="159385">
                                <a:moveTo>
                                  <a:pt x="0" y="0"/>
                                </a:moveTo>
                                <a:lnTo>
                                  <a:pt x="33655" y="0"/>
                                </a:lnTo>
                                <a:lnTo>
                                  <a:pt x="33655" y="159385"/>
                                </a:lnTo>
                                <a:lnTo>
                                  <a:pt x="0" y="15938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6971" name="Shape 176971"/>
                        <wps:cNvSpPr/>
                        <wps:spPr>
                          <a:xfrm>
                            <a:off x="1779270" y="142240"/>
                            <a:ext cx="35560" cy="0"/>
                          </a:xfrm>
                          <a:custGeom>
                            <a:avLst/>
                            <a:gdLst/>
                            <a:ahLst/>
                            <a:cxnLst/>
                            <a:rect l="0" t="0" r="0" b="0"/>
                            <a:pathLst>
                              <a:path w="35560">
                                <a:moveTo>
                                  <a:pt x="0" y="0"/>
                                </a:moveTo>
                                <a:lnTo>
                                  <a:pt x="35560" y="0"/>
                                </a:lnTo>
                              </a:path>
                            </a:pathLst>
                          </a:custGeom>
                          <a:ln w="7620" cap="flat">
                            <a:miter lim="127000"/>
                          </a:ln>
                        </wps:spPr>
                        <wps:style>
                          <a:lnRef idx="1">
                            <a:srgbClr val="0000FF"/>
                          </a:lnRef>
                          <a:fillRef idx="0">
                            <a:srgbClr val="000000">
                              <a:alpha val="0"/>
                            </a:srgbClr>
                          </a:fillRef>
                          <a:effectRef idx="0">
                            <a:scrgbClr r="0" g="0" b="0"/>
                          </a:effectRef>
                          <a:fontRef idx="none"/>
                        </wps:style>
                        <wps:bodyPr/>
                      </wps:wsp>
                      <wps:wsp>
                        <wps:cNvPr id="1065661" name="Shape 1065661"/>
                        <wps:cNvSpPr/>
                        <wps:spPr>
                          <a:xfrm>
                            <a:off x="1813560" y="0"/>
                            <a:ext cx="131445" cy="159385"/>
                          </a:xfrm>
                          <a:custGeom>
                            <a:avLst/>
                            <a:gdLst/>
                            <a:ahLst/>
                            <a:cxnLst/>
                            <a:rect l="0" t="0" r="0" b="0"/>
                            <a:pathLst>
                              <a:path w="131445" h="159385">
                                <a:moveTo>
                                  <a:pt x="0" y="0"/>
                                </a:moveTo>
                                <a:lnTo>
                                  <a:pt x="131445" y="0"/>
                                </a:lnTo>
                                <a:lnTo>
                                  <a:pt x="131445" y="159385"/>
                                </a:lnTo>
                                <a:lnTo>
                                  <a:pt x="0" y="15938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6975" name="Shape 176975"/>
                        <wps:cNvSpPr/>
                        <wps:spPr>
                          <a:xfrm>
                            <a:off x="1813560" y="142240"/>
                            <a:ext cx="132080" cy="0"/>
                          </a:xfrm>
                          <a:custGeom>
                            <a:avLst/>
                            <a:gdLst/>
                            <a:ahLst/>
                            <a:cxnLst/>
                            <a:rect l="0" t="0" r="0" b="0"/>
                            <a:pathLst>
                              <a:path w="132080">
                                <a:moveTo>
                                  <a:pt x="0" y="0"/>
                                </a:moveTo>
                                <a:lnTo>
                                  <a:pt x="132080" y="0"/>
                                </a:lnTo>
                              </a:path>
                            </a:pathLst>
                          </a:custGeom>
                          <a:ln w="7620" cap="flat">
                            <a:miter lim="127000"/>
                          </a:ln>
                        </wps:spPr>
                        <wps:style>
                          <a:lnRef idx="1">
                            <a:srgbClr val="0000F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28639" style="width:153.2pt;height:12.55pt;position:absolute;z-index:-2147483556;mso-position-horizontal-relative:text;mso-position-horizontal:absolute;margin-left:206.9pt;mso-position-vertical-relative:text;margin-top:12.2044pt;" coordsize="19456,1593">
                <v:shape id="Shape 176929" style="position:absolute;width:2260;height:0;left:0;top:1422;" coordsize="226060,0" path="m0,0l226060,0">
                  <v:stroke weight="0.6pt" endcap="flat" joinstyle="miter" miterlimit="10" on="true" color="#0000ff"/>
                  <v:fill on="false" color="#000000" opacity="0"/>
                </v:shape>
                <v:shape id="Shape 1065662" style="position:absolute;width:2673;height:1593;left:2260;top:0;" coordsize="267335,159385" path="m0,0l267335,0l267335,159385l0,159385l0,0">
                  <v:stroke weight="0pt" endcap="flat" joinstyle="miter" miterlimit="10" on="false" color="#000000" opacity="0"/>
                  <v:fill on="true" color="#ffffff"/>
                </v:shape>
                <v:shape id="Shape 176933" style="position:absolute;width:2679;height:0;left:2260;top:1422;" coordsize="267970,0" path="m0,0l267970,0">
                  <v:stroke weight="0.6pt" endcap="flat" joinstyle="miter" miterlimit="10" on="true" color="#0000ff"/>
                  <v:fill on="false" color="#000000" opacity="0"/>
                </v:shape>
                <v:shape id="Shape 1065663" style="position:absolute;width:2482;height:1593;left:4940;top:0;" coordsize="248285,159385" path="m0,0l248285,0l248285,159385l0,159385l0,0">
                  <v:stroke weight="0pt" endcap="flat" joinstyle="miter" miterlimit="10" on="false" color="#000000" opacity="0"/>
                  <v:fill on="true" color="#ffffff"/>
                </v:shape>
                <v:shape id="Shape 176937" style="position:absolute;width:2489;height:0;left:4940;top:1422;" coordsize="248920,0" path="m0,0l248920,0">
                  <v:stroke weight="0.6pt" endcap="flat" joinstyle="miter" miterlimit="10" on="true" color="#0000ff"/>
                  <v:fill on="false" color="#000000" opacity="0"/>
                </v:shape>
                <v:shape id="Shape 1065664" style="position:absolute;width:336;height:1593;left:7429;top:0;" coordsize="33655,159385" path="m0,0l33655,0l33655,159385l0,159385l0,0">
                  <v:stroke weight="0pt" endcap="flat" joinstyle="miter" miterlimit="10" on="false" color="#000000" opacity="0"/>
                  <v:fill on="true" color="#ffffff"/>
                </v:shape>
                <v:shape id="Shape 176941" style="position:absolute;width:355;height:0;left:7429;top:1422;" coordsize="35560,0" path="m0,0l35560,0">
                  <v:stroke weight="0.6pt" endcap="flat" joinstyle="miter" miterlimit="10" on="true" color="#0000ff"/>
                  <v:fill on="false" color="#000000" opacity="0"/>
                </v:shape>
                <v:shape id="Shape 1065665" style="position:absolute;width:1162;height:1593;left:7772;top:0;" coordsize="116205,159385" path="m0,0l116205,0l116205,159385l0,159385l0,0">
                  <v:stroke weight="0pt" endcap="flat" joinstyle="miter" miterlimit="10" on="false" color="#000000" opacity="0"/>
                  <v:fill on="true" color="#ffffff"/>
                </v:shape>
                <v:shape id="Shape 176945" style="position:absolute;width:1168;height:0;left:7772;top:1422;" coordsize="116840,0" path="m0,0l116840,0">
                  <v:stroke weight="0.6pt" endcap="flat" joinstyle="miter" miterlimit="10" on="true" color="#0000ff"/>
                  <v:fill on="false" color="#000000" opacity="0"/>
                </v:shape>
                <v:shape id="Shape 1065666" style="position:absolute;width:692;height:1593;left:8940;top:0;" coordsize="69215,159385" path="m0,0l69215,0l69215,159385l0,159385l0,0">
                  <v:stroke weight="0pt" endcap="flat" joinstyle="miter" miterlimit="10" on="false" color="#000000" opacity="0"/>
                  <v:fill on="true" color="#ffffff"/>
                </v:shape>
                <v:shape id="Shape 176951" style="position:absolute;width:469;height:0;left:9639;top:1422;" coordsize="46990,0" path="m0,0l46990,0">
                  <v:stroke weight="0.6pt" endcap="flat" joinstyle="miter" miterlimit="10" on="true" color="#0000ff"/>
                  <v:fill on="false" color="#000000" opacity="0"/>
                </v:shape>
                <v:shape id="Shape 1065667" style="position:absolute;width:349;height:1593;left:10096;top:0;" coordsize="34925,159385" path="m0,0l34925,0l34925,159385l0,159385l0,0">
                  <v:stroke weight="0pt" endcap="flat" joinstyle="miter" miterlimit="10" on="false" color="#000000" opacity="0"/>
                  <v:fill on="true" color="#ffffff"/>
                </v:shape>
                <v:shape id="Shape 176955" style="position:absolute;width:355;height:0;left:10096;top:1422;" coordsize="35560,0" path="m0,0l35560,0">
                  <v:stroke weight="0.6pt" endcap="flat" joinstyle="miter" miterlimit="10" on="true" color="#0000ff"/>
                  <v:fill on="false" color="#000000" opacity="0"/>
                </v:shape>
                <v:shape id="Shape 1065668" style="position:absolute;width:3562;height:1593;left:10452;top:0;" coordsize="356235,159385" path="m0,0l356235,0l356235,159385l0,159385l0,0">
                  <v:stroke weight="0pt" endcap="flat" joinstyle="miter" miterlimit="10" on="false" color="#000000" opacity="0"/>
                  <v:fill on="true" color="#ffffff"/>
                </v:shape>
                <v:shape id="Shape 176959" style="position:absolute;width:3568;height:0;left:10452;top:1422;" coordsize="356870,0" path="m0,0l356870,0">
                  <v:stroke weight="0.6pt" endcap="flat" joinstyle="miter" miterlimit="10" on="true" color="#0000ff"/>
                  <v:fill on="false" color="#000000" opacity="0"/>
                </v:shape>
                <v:shape id="Shape 1065669" style="position:absolute;width:1276;height:1593;left:14020;top:0;" coordsize="127635,159385" path="m0,0l127635,0l127635,159385l0,159385l0,0">
                  <v:stroke weight="0pt" endcap="flat" joinstyle="miter" miterlimit="10" on="false" color="#000000" opacity="0"/>
                  <v:fill on="true" color="#ffffff"/>
                </v:shape>
                <v:shape id="Shape 176963" style="position:absolute;width:1282;height:0;left:14020;top:1422;" coordsize="128270,0" path="m0,0l128270,0">
                  <v:stroke weight="0.6pt" endcap="flat" joinstyle="miter" miterlimit="10" on="true" color="#0000ff"/>
                  <v:fill on="false" color="#000000" opacity="0"/>
                </v:shape>
                <v:shape id="Shape 1065670" style="position:absolute;width:2482;height:1593;left:15303;top:0;" coordsize="248285,159385" path="m0,0l248285,0l248285,159385l0,159385l0,0">
                  <v:stroke weight="0pt" endcap="flat" joinstyle="miter" miterlimit="10" on="false" color="#000000" opacity="0"/>
                  <v:fill on="true" color="#ffffff"/>
                </v:shape>
                <v:shape id="Shape 176967" style="position:absolute;width:2489;height:0;left:15303;top:1422;" coordsize="248920,0" path="m0,0l248920,0">
                  <v:stroke weight="0.6pt" endcap="flat" joinstyle="miter" miterlimit="10" on="true" color="#0000ff"/>
                  <v:fill on="false" color="#000000" opacity="0"/>
                </v:shape>
                <v:shape id="Shape 1065671" style="position:absolute;width:336;height:1593;left:17792;top:0;" coordsize="33655,159385" path="m0,0l33655,0l33655,159385l0,159385l0,0">
                  <v:stroke weight="0pt" endcap="flat" joinstyle="miter" miterlimit="10" on="false" color="#000000" opacity="0"/>
                  <v:fill on="true" color="#ffffff"/>
                </v:shape>
                <v:shape id="Shape 176971" style="position:absolute;width:355;height:0;left:17792;top:1422;" coordsize="35560,0" path="m0,0l35560,0">
                  <v:stroke weight="0.6pt" endcap="flat" joinstyle="miter" miterlimit="10" on="true" color="#0000ff"/>
                  <v:fill on="false" color="#000000" opacity="0"/>
                </v:shape>
                <v:shape id="Shape 1065672" style="position:absolute;width:1314;height:1593;left:18135;top:0;" coordsize="131445,159385" path="m0,0l131445,0l131445,159385l0,159385l0,0">
                  <v:stroke weight="0pt" endcap="flat" joinstyle="miter" miterlimit="10" on="false" color="#000000" opacity="0"/>
                  <v:fill on="true" color="#ffffff"/>
                </v:shape>
                <v:shape id="Shape 176975" style="position:absolute;width:1320;height:0;left:18135;top:1422;" coordsize="132080,0" path="m0,0l132080,0">
                  <v:stroke weight="0.6pt" endcap="flat" joinstyle="miter" miterlimit="10" on="true" color="#0000ff"/>
                  <v:fill on="false" color="#000000" opacity="0"/>
                </v:shape>
              </v:group>
            </w:pict>
          </mc:Fallback>
        </mc:AlternateContent>
      </w:r>
      <w:r>
        <w:rPr>
          <w:rFonts w:ascii="Times New Roman" w:eastAsia="Times New Roman" w:hAnsi="Times New Roman" w:cs="Times New Roman"/>
        </w:rPr>
        <w:t>Костанайский региональный университет им. А.Байтурсынова</w:t>
      </w:r>
      <w:r>
        <w:rPr>
          <w:rFonts w:ascii="Times New Roman" w:eastAsia="Times New Roman" w:hAnsi="Times New Roman" w:cs="Times New Roman"/>
          <w:sz w:val="20"/>
          <w:vertAlign w:val="superscript"/>
        </w:rPr>
        <w:t xml:space="preserve">3 </w:t>
      </w:r>
      <w:r>
        <w:rPr>
          <w:rFonts w:ascii="Times New Roman" w:eastAsia="Times New Roman" w:hAnsi="Times New Roman" w:cs="Times New Roman"/>
        </w:rPr>
        <w:t xml:space="preserve">E-mail: </w:t>
      </w:r>
      <w:r>
        <w:rPr>
          <w:rFonts w:ascii="Times New Roman" w:eastAsia="Times New Roman" w:hAnsi="Times New Roman" w:cs="Times New Roman"/>
          <w:color w:val="0000FF"/>
        </w:rPr>
        <w:t xml:space="preserve"> bmf  45@  mail .  ru</w:t>
      </w:r>
      <w:r>
        <w:rPr>
          <w:rFonts w:ascii="Times New Roman" w:eastAsia="Times New Roman" w:hAnsi="Times New Roman" w:cs="Times New Roman"/>
          <w:color w:val="5E5E5E"/>
        </w:rPr>
        <w:t xml:space="preserve">, </w:t>
      </w:r>
      <w:r>
        <w:rPr>
          <w:rFonts w:ascii="Times New Roman" w:eastAsia="Times New Roman" w:hAnsi="Times New Roman" w:cs="Times New Roman"/>
          <w:color w:val="0000FF"/>
        </w:rPr>
        <w:t>r. satova   @ aues .  kz</w:t>
      </w:r>
      <w:r>
        <w:rPr>
          <w:rFonts w:ascii="Times New Roman" w:eastAsia="Times New Roman" w:hAnsi="Times New Roman" w:cs="Times New Roman"/>
          <w:color w:val="5E5E5E"/>
        </w:rPr>
        <w:t xml:space="preserve"> </w:t>
      </w:r>
    </w:p>
    <w:p w:rsidR="0052701D" w:rsidRDefault="00D40929">
      <w:pPr>
        <w:spacing w:after="3" w:line="249" w:lineRule="auto"/>
        <w:ind w:left="284" w:right="293" w:firstLine="426"/>
        <w:jc w:val="both"/>
      </w:pPr>
      <w:r>
        <w:rPr>
          <w:rFonts w:ascii="Times New Roman" w:eastAsia="Times New Roman" w:hAnsi="Times New Roman" w:cs="Times New Roman"/>
          <w:i/>
          <w:sz w:val="24"/>
        </w:rPr>
        <w:t xml:space="preserve"> </w:t>
      </w:r>
      <w:r>
        <w:rPr>
          <w:rFonts w:ascii="Times New Roman" w:eastAsia="Times New Roman" w:hAnsi="Times New Roman" w:cs="Times New Roman"/>
          <w:b/>
          <w:i/>
          <w:sz w:val="24"/>
        </w:rPr>
        <w:t>Аннотация.</w:t>
      </w:r>
      <w:r>
        <w:rPr>
          <w:rFonts w:ascii="Times New Roman" w:eastAsia="Times New Roman" w:hAnsi="Times New Roman" w:cs="Times New Roman"/>
          <w:i/>
          <w:sz w:val="24"/>
        </w:rPr>
        <w:t xml:space="preserve"> Рассматривается применение искусственного интеллекта в системе образования. Отмечается особая роль ИИ в робототехнике. Указаны</w:t>
      </w:r>
      <w:r>
        <w:rPr>
          <w:rFonts w:ascii="Times New Roman" w:eastAsia="Times New Roman" w:hAnsi="Times New Roman" w:cs="Times New Roman"/>
          <w:i/>
          <w:sz w:val="24"/>
        </w:rPr>
        <w:t xml:space="preserve"> основные направления применения ИИ в образовании, применения ИИ при создании обучающих роботов. Отмечается, что применение обучающих роботов в системе высшего образования открывает неограниченные возможности и горизонты развития открытого образования для </w:t>
      </w:r>
      <w:r>
        <w:rPr>
          <w:rFonts w:ascii="Times New Roman" w:eastAsia="Times New Roman" w:hAnsi="Times New Roman" w:cs="Times New Roman"/>
          <w:i/>
          <w:sz w:val="24"/>
        </w:rPr>
        <w:t xml:space="preserve">широких слоев населения. </w:t>
      </w:r>
      <w:r>
        <w:rPr>
          <w:rFonts w:ascii="Times New Roman" w:eastAsia="Times New Roman" w:hAnsi="Times New Roman" w:cs="Times New Roman"/>
          <w:b/>
          <w:i/>
          <w:sz w:val="24"/>
        </w:rPr>
        <w:t xml:space="preserve">   </w:t>
      </w:r>
    </w:p>
    <w:p w:rsidR="0052701D" w:rsidRDefault="00D40929">
      <w:pPr>
        <w:spacing w:after="304" w:line="249" w:lineRule="auto"/>
        <w:ind w:left="284" w:right="1" w:firstLine="426"/>
        <w:jc w:val="both"/>
      </w:pP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 xml:space="preserve"> роботизация, искусственный интеллект, обучающие роботы, система образования, дистанционная технология, адаптивное обучение.</w:t>
      </w:r>
    </w:p>
    <w:p w:rsidR="0052701D" w:rsidRDefault="00D40929">
      <w:pPr>
        <w:spacing w:after="141" w:line="249" w:lineRule="auto"/>
        <w:ind w:left="500" w:hanging="10"/>
      </w:pPr>
      <w:r>
        <w:rPr>
          <w:rFonts w:ascii="Times New Roman" w:eastAsia="Times New Roman" w:hAnsi="Times New Roman" w:cs="Times New Roman"/>
          <w:sz w:val="24"/>
        </w:rPr>
        <w:t xml:space="preserve">    </w:t>
      </w:r>
      <w:r>
        <w:rPr>
          <w:rFonts w:ascii="Times New Roman" w:eastAsia="Times New Roman" w:hAnsi="Times New Roman" w:cs="Times New Roman"/>
          <w:b/>
          <w:sz w:val="28"/>
        </w:rPr>
        <w:t>THE USE OF ARTIFICIAL INTELLIGENCE IN THE ROBOTIZATION OF THE EDUCATION SYSTEM</w:t>
      </w:r>
    </w:p>
    <w:p w:rsidR="0052701D" w:rsidRDefault="00D40929">
      <w:pPr>
        <w:spacing w:after="10" w:line="248" w:lineRule="auto"/>
        <w:ind w:left="521" w:right="509" w:hanging="10"/>
        <w:jc w:val="center"/>
      </w:pPr>
      <w:r>
        <w:rPr>
          <w:rFonts w:ascii="Times New Roman" w:eastAsia="Times New Roman" w:hAnsi="Times New Roman" w:cs="Times New Roman"/>
        </w:rPr>
        <w:lastRenderedPageBreak/>
        <w:t>Sato</w:t>
      </w:r>
      <w:r>
        <w:rPr>
          <w:rFonts w:ascii="Times New Roman" w:eastAsia="Times New Roman" w:hAnsi="Times New Roman" w:cs="Times New Roman"/>
        </w:rPr>
        <w:t>va R.K.</w:t>
      </w:r>
      <w:r>
        <w:rPr>
          <w:rFonts w:ascii="Times New Roman" w:eastAsia="Times New Roman" w:hAnsi="Times New Roman" w:cs="Times New Roman"/>
          <w:sz w:val="20"/>
          <w:vertAlign w:val="superscript"/>
        </w:rPr>
        <w:t>1</w:t>
      </w:r>
      <w:r>
        <w:rPr>
          <w:rFonts w:ascii="Times New Roman" w:eastAsia="Times New Roman" w:hAnsi="Times New Roman" w:cs="Times New Roman"/>
        </w:rPr>
        <w:t>, Baymukhamedova G.S.</w:t>
      </w:r>
      <w:r>
        <w:rPr>
          <w:rFonts w:ascii="Times New Roman" w:eastAsia="Times New Roman" w:hAnsi="Times New Roman" w:cs="Times New Roman"/>
          <w:sz w:val="20"/>
          <w:vertAlign w:val="superscript"/>
        </w:rPr>
        <w:t>2</w:t>
      </w:r>
      <w:r>
        <w:rPr>
          <w:rFonts w:ascii="Times New Roman" w:eastAsia="Times New Roman" w:hAnsi="Times New Roman" w:cs="Times New Roman"/>
        </w:rPr>
        <w:t>, Aitenova A.A.</w:t>
      </w:r>
      <w:r>
        <w:rPr>
          <w:rFonts w:ascii="Times New Roman" w:eastAsia="Times New Roman" w:hAnsi="Times New Roman" w:cs="Times New Roman"/>
          <w:sz w:val="20"/>
          <w:vertAlign w:val="superscript"/>
        </w:rPr>
        <w:t>3</w:t>
      </w:r>
      <w:r>
        <w:rPr>
          <w:rFonts w:ascii="Times New Roman" w:eastAsia="Times New Roman" w:hAnsi="Times New Roman" w:cs="Times New Roman"/>
        </w:rPr>
        <w:t>, Gadylbek. A</w:t>
      </w:r>
      <w:r>
        <w:rPr>
          <w:rFonts w:ascii="Times New Roman" w:eastAsia="Times New Roman" w:hAnsi="Times New Roman" w:cs="Times New Roman"/>
          <w:sz w:val="20"/>
          <w:vertAlign w:val="superscript"/>
        </w:rPr>
        <w:t>4</w:t>
      </w:r>
    </w:p>
    <w:p w:rsidR="0052701D" w:rsidRDefault="00D40929">
      <w:pPr>
        <w:spacing w:after="10" w:line="248" w:lineRule="auto"/>
        <w:ind w:left="521" w:right="511" w:hanging="10"/>
        <w:jc w:val="center"/>
      </w:pPr>
      <w:r>
        <w:rPr>
          <w:rFonts w:ascii="Times New Roman" w:eastAsia="Times New Roman" w:hAnsi="Times New Roman" w:cs="Times New Roman"/>
        </w:rPr>
        <w:t>Almaty University of Power Engineering and Telecommunications named after Gumarbek Daukeev</w:t>
      </w:r>
      <w:r>
        <w:rPr>
          <w:rFonts w:ascii="Times New Roman" w:eastAsia="Times New Roman" w:hAnsi="Times New Roman" w:cs="Times New Roman"/>
          <w:sz w:val="20"/>
          <w:vertAlign w:val="superscript"/>
        </w:rPr>
        <w:t>1,4</w:t>
      </w:r>
    </w:p>
    <w:p w:rsidR="0052701D" w:rsidRDefault="00D40929">
      <w:pPr>
        <w:spacing w:after="10" w:line="248" w:lineRule="auto"/>
        <w:ind w:left="521" w:right="510" w:hanging="10"/>
        <w:jc w:val="center"/>
      </w:pPr>
      <w:r>
        <w:rPr>
          <w:rFonts w:ascii="Times New Roman" w:eastAsia="Times New Roman" w:hAnsi="Times New Roman" w:cs="Times New Roman"/>
        </w:rPr>
        <w:t>Kostanay Socio-Technical University named after Z.Aldamzhar</w:t>
      </w:r>
      <w:r>
        <w:rPr>
          <w:rFonts w:ascii="Times New Roman" w:eastAsia="Times New Roman" w:hAnsi="Times New Roman" w:cs="Times New Roman"/>
          <w:sz w:val="20"/>
          <w:vertAlign w:val="superscript"/>
        </w:rPr>
        <w:t>2</w:t>
      </w:r>
      <w:r>
        <w:rPr>
          <w:rFonts w:ascii="Times New Roman" w:eastAsia="Times New Roman" w:hAnsi="Times New Roman" w:cs="Times New Roman"/>
        </w:rPr>
        <w:t>,</w:t>
      </w:r>
    </w:p>
    <w:p w:rsidR="0052701D" w:rsidRDefault="00D40929">
      <w:pPr>
        <w:spacing w:after="10" w:line="248" w:lineRule="auto"/>
        <w:ind w:left="521" w:right="511" w:hanging="10"/>
        <w:jc w:val="center"/>
      </w:pPr>
      <w:r>
        <w:rPr>
          <w:rFonts w:ascii="Times New Roman" w:eastAsia="Times New Roman" w:hAnsi="Times New Roman" w:cs="Times New Roman"/>
        </w:rPr>
        <w:t>Kostanay Regional University named after A.Baitursynov</w:t>
      </w:r>
      <w:r>
        <w:rPr>
          <w:rFonts w:ascii="Times New Roman" w:eastAsia="Times New Roman" w:hAnsi="Times New Roman" w:cs="Times New Roman"/>
          <w:sz w:val="20"/>
          <w:vertAlign w:val="superscript"/>
        </w:rPr>
        <w:t>3</w:t>
      </w:r>
    </w:p>
    <w:p w:rsidR="0052701D" w:rsidRDefault="00D40929">
      <w:pPr>
        <w:spacing w:after="249"/>
        <w:ind w:left="423"/>
        <w:jc w:val="center"/>
      </w:pPr>
      <w:r>
        <w:rPr>
          <w:rFonts w:ascii="Times New Roman" w:eastAsia="Times New Roman" w:hAnsi="Times New Roman" w:cs="Times New Roman"/>
        </w:rPr>
        <w:t xml:space="preserve">E-mail: </w:t>
      </w:r>
      <w:r>
        <w:rPr>
          <w:rFonts w:ascii="Times New Roman" w:eastAsia="Times New Roman" w:hAnsi="Times New Roman" w:cs="Times New Roman"/>
          <w:u w:val="single" w:color="000000"/>
        </w:rPr>
        <w:t>bmf45@mail.ru</w:t>
      </w:r>
      <w:r>
        <w:rPr>
          <w:rFonts w:ascii="Times New Roman" w:eastAsia="Times New Roman" w:hAnsi="Times New Roman" w:cs="Times New Roman"/>
          <w:shd w:val="clear" w:color="auto" w:fill="FFFFFF"/>
        </w:rPr>
        <w:t xml:space="preserve">, </w:t>
      </w:r>
      <w:r>
        <w:rPr>
          <w:rFonts w:ascii="Times New Roman" w:eastAsia="Times New Roman" w:hAnsi="Times New Roman" w:cs="Times New Roman"/>
          <w:u w:val="single" w:color="000000"/>
        </w:rPr>
        <w:t>r.satova@aues.kz</w:t>
      </w:r>
      <w:r>
        <w:rPr>
          <w:rFonts w:ascii="Times New Roman" w:eastAsia="Times New Roman" w:hAnsi="Times New Roman" w:cs="Times New Roman"/>
        </w:rPr>
        <w:t xml:space="preserve"> </w:t>
      </w:r>
    </w:p>
    <w:p w:rsidR="0052701D" w:rsidRDefault="00D40929">
      <w:pPr>
        <w:spacing w:after="3" w:line="249" w:lineRule="auto"/>
        <w:ind w:left="284" w:right="297" w:firstLine="568"/>
        <w:jc w:val="both"/>
      </w:pPr>
      <w:r>
        <w:rPr>
          <w:rFonts w:ascii="Times New Roman" w:eastAsia="Times New Roman" w:hAnsi="Times New Roman" w:cs="Times New Roman"/>
          <w:b/>
          <w:i/>
          <w:sz w:val="24"/>
        </w:rPr>
        <w:t>Annotation.</w:t>
      </w:r>
      <w:r>
        <w:rPr>
          <w:rFonts w:ascii="Times New Roman" w:eastAsia="Times New Roman" w:hAnsi="Times New Roman" w:cs="Times New Roman"/>
          <w:i/>
          <w:sz w:val="24"/>
        </w:rPr>
        <w:t xml:space="preserve"> The application of artificial intelligence in the education system is considered. The special role of AI in robotics is noted. The main directions of the use of AI in education, the use of AI in the creation of training robots are indicated. It is noted t</w:t>
      </w:r>
      <w:r>
        <w:rPr>
          <w:rFonts w:ascii="Times New Roman" w:eastAsia="Times New Roman" w:hAnsi="Times New Roman" w:cs="Times New Roman"/>
          <w:i/>
          <w:sz w:val="24"/>
        </w:rPr>
        <w:t>hat the use of teaching robots in the higher education system opens up unlimited opportunities and horizons for the development of open education for the general population.</w:t>
      </w:r>
    </w:p>
    <w:p w:rsidR="0052701D" w:rsidRDefault="00D40929">
      <w:pPr>
        <w:spacing w:after="304" w:line="249" w:lineRule="auto"/>
        <w:ind w:left="284" w:right="1" w:firstLine="568"/>
        <w:jc w:val="both"/>
      </w:pPr>
      <w:r>
        <w:rPr>
          <w:rFonts w:ascii="Times New Roman" w:eastAsia="Times New Roman" w:hAnsi="Times New Roman" w:cs="Times New Roman"/>
          <w:b/>
          <w:i/>
          <w:sz w:val="24"/>
        </w:rPr>
        <w:t>Keywords:</w:t>
      </w:r>
      <w:r>
        <w:rPr>
          <w:rFonts w:ascii="Times New Roman" w:eastAsia="Times New Roman" w:hAnsi="Times New Roman" w:cs="Times New Roman"/>
          <w:i/>
          <w:sz w:val="24"/>
        </w:rPr>
        <w:t xml:space="preserve"> robotics, artificial intelligence, learning robots, education system, di</w:t>
      </w:r>
      <w:r>
        <w:rPr>
          <w:rFonts w:ascii="Times New Roman" w:eastAsia="Times New Roman" w:hAnsi="Times New Roman" w:cs="Times New Roman"/>
          <w:i/>
          <w:sz w:val="24"/>
        </w:rPr>
        <w:t>stance technology, adaptive learning.</w:t>
      </w:r>
    </w:p>
    <w:p w:rsidR="0052701D" w:rsidRDefault="00D40929">
      <w:pPr>
        <w:spacing w:after="3" w:line="248" w:lineRule="auto"/>
        <w:ind w:left="284" w:right="294" w:firstLine="558"/>
        <w:jc w:val="both"/>
      </w:pPr>
      <w:r>
        <w:rPr>
          <w:rFonts w:ascii="Times New Roman" w:eastAsia="Times New Roman" w:hAnsi="Times New Roman" w:cs="Times New Roman"/>
          <w:sz w:val="28"/>
        </w:rPr>
        <w:t>Нынешний век характеризуется бурным развитием современных технологий, использующих искусственный интеллект [1,2]. Особую роль играет применение ИИ в робототехнике. Роботы, основанные на использовании ИИ широко применяю</w:t>
      </w:r>
      <w:r>
        <w:rPr>
          <w:rFonts w:ascii="Times New Roman" w:eastAsia="Times New Roman" w:hAnsi="Times New Roman" w:cs="Times New Roman"/>
          <w:sz w:val="28"/>
        </w:rPr>
        <w:t>тся, а в промышленности, в военной области, в космонавтике, в океанологии и других областях человеческой деятельности [3].</w:t>
      </w:r>
    </w:p>
    <w:p w:rsidR="0052701D" w:rsidRDefault="00D40929">
      <w:pPr>
        <w:spacing w:after="3" w:line="248" w:lineRule="auto"/>
        <w:ind w:left="852" w:right="4"/>
        <w:jc w:val="both"/>
      </w:pPr>
      <w:r>
        <w:rPr>
          <w:rFonts w:ascii="Times New Roman" w:eastAsia="Times New Roman" w:hAnsi="Times New Roman" w:cs="Times New Roman"/>
          <w:sz w:val="28"/>
        </w:rPr>
        <w:t>Как ИИ будет интегрироваться в образовательный процесс?</w:t>
      </w:r>
    </w:p>
    <w:p w:rsidR="0052701D" w:rsidRDefault="00D40929">
      <w:pPr>
        <w:spacing w:after="12" w:line="249" w:lineRule="auto"/>
        <w:ind w:left="862" w:hanging="10"/>
      </w:pPr>
      <w:r>
        <w:rPr>
          <w:rFonts w:ascii="Times New Roman" w:eastAsia="Times New Roman" w:hAnsi="Times New Roman" w:cs="Times New Roman"/>
          <w:i/>
          <w:sz w:val="28"/>
        </w:rPr>
        <w:t>Искусственный интеллект может быть репетитором</w:t>
      </w:r>
    </w:p>
    <w:p w:rsidR="0052701D" w:rsidRDefault="00D40929">
      <w:pPr>
        <w:spacing w:after="3" w:line="248" w:lineRule="auto"/>
        <w:ind w:left="284" w:right="292" w:firstLine="558"/>
        <w:jc w:val="both"/>
      </w:pPr>
      <w:r>
        <w:rPr>
          <w:rFonts w:ascii="Times New Roman" w:eastAsia="Times New Roman" w:hAnsi="Times New Roman" w:cs="Times New Roman"/>
          <w:sz w:val="28"/>
        </w:rPr>
        <w:t>Уже существует несколько приложений-репетиторов, благодаря которым можно в любой момент дополнительно изучить непонятную тему. ИИ может также проанализировать самостоятельные работы студентов, определить проблемные области, а также создать индивидуальные з</w:t>
      </w:r>
      <w:r>
        <w:rPr>
          <w:rFonts w:ascii="Times New Roman" w:eastAsia="Times New Roman" w:hAnsi="Times New Roman" w:cs="Times New Roman"/>
          <w:sz w:val="28"/>
        </w:rPr>
        <w:t>анятия для заполнения пробелов в знаниях.</w:t>
      </w:r>
    </w:p>
    <w:p w:rsidR="0052701D" w:rsidRDefault="00D40929">
      <w:pPr>
        <w:spacing w:after="12" w:line="249" w:lineRule="auto"/>
        <w:ind w:left="269" w:firstLine="568"/>
      </w:pPr>
      <w:r>
        <w:rPr>
          <w:rFonts w:ascii="Times New Roman" w:eastAsia="Times New Roman" w:hAnsi="Times New Roman" w:cs="Times New Roman"/>
          <w:i/>
          <w:sz w:val="28"/>
        </w:rPr>
        <w:t>Искусственный интеллект может автоматизировать оценку знаний обучаемых.</w:t>
      </w:r>
    </w:p>
    <w:p w:rsidR="0052701D" w:rsidRDefault="00D40929">
      <w:pPr>
        <w:spacing w:after="3" w:line="248" w:lineRule="auto"/>
        <w:ind w:left="284" w:right="292" w:firstLine="558"/>
        <w:jc w:val="both"/>
      </w:pPr>
      <w:r>
        <w:rPr>
          <w:rFonts w:ascii="Times New Roman" w:eastAsia="Times New Roman" w:hAnsi="Times New Roman" w:cs="Times New Roman"/>
          <w:sz w:val="28"/>
        </w:rPr>
        <w:t xml:space="preserve">Ожидается, что в скором времени ИИ научится полноценно проверять письменные работы и экзаменационные задания с помощью установленных метрик и </w:t>
      </w:r>
      <w:r>
        <w:rPr>
          <w:rFonts w:ascii="Times New Roman" w:eastAsia="Times New Roman" w:hAnsi="Times New Roman" w:cs="Times New Roman"/>
          <w:sz w:val="28"/>
        </w:rPr>
        <w:t>эталонов, которые будут исключать предвзятость либо некомпетентность преподавателей.</w:t>
      </w:r>
    </w:p>
    <w:p w:rsidR="0052701D" w:rsidRDefault="00D40929">
      <w:pPr>
        <w:spacing w:after="0"/>
        <w:ind w:left="234"/>
        <w:jc w:val="center"/>
      </w:pPr>
      <w:r>
        <w:rPr>
          <w:rFonts w:ascii="Times New Roman" w:eastAsia="Times New Roman" w:hAnsi="Times New Roman" w:cs="Times New Roman"/>
          <w:i/>
          <w:sz w:val="28"/>
        </w:rPr>
        <w:t>Искусственный интеллект может анализировать поведение обучаемых</w:t>
      </w:r>
    </w:p>
    <w:p w:rsidR="0052701D" w:rsidRDefault="00D40929">
      <w:pPr>
        <w:spacing w:after="3" w:line="248" w:lineRule="auto"/>
        <w:ind w:left="284" w:right="294" w:firstLine="558"/>
        <w:jc w:val="both"/>
      </w:pPr>
      <w:r>
        <w:rPr>
          <w:rFonts w:ascii="Times New Roman" w:eastAsia="Times New Roman" w:hAnsi="Times New Roman" w:cs="Times New Roman"/>
          <w:sz w:val="28"/>
        </w:rPr>
        <w:t xml:space="preserve">Камеры с ИИ помогают анализировать поведение студентов. Эти системы способны распознавать и оценивать, как </w:t>
      </w:r>
      <w:r>
        <w:rPr>
          <w:rFonts w:ascii="Times New Roman" w:eastAsia="Times New Roman" w:hAnsi="Times New Roman" w:cs="Times New Roman"/>
          <w:sz w:val="28"/>
        </w:rPr>
        <w:t>студенты реагируют на разные темы и задания. Эта система должна помочь преподавателям определять сильные и слабые стороны обучаемых.</w:t>
      </w:r>
    </w:p>
    <w:p w:rsidR="0052701D" w:rsidRDefault="00D40929">
      <w:pPr>
        <w:spacing w:after="3" w:line="248" w:lineRule="auto"/>
        <w:ind w:left="284" w:right="4" w:firstLine="558"/>
        <w:jc w:val="both"/>
      </w:pPr>
      <w:r>
        <w:rPr>
          <w:rFonts w:ascii="Times New Roman" w:eastAsia="Times New Roman" w:hAnsi="Times New Roman" w:cs="Times New Roman"/>
          <w:sz w:val="28"/>
        </w:rPr>
        <w:t>Также ИИ может анализировать эмоциональное и физическое состояние студента в текущий момент, профессиональные навыки препод</w:t>
      </w:r>
      <w:r>
        <w:rPr>
          <w:rFonts w:ascii="Times New Roman" w:eastAsia="Times New Roman" w:hAnsi="Times New Roman" w:cs="Times New Roman"/>
          <w:sz w:val="28"/>
        </w:rPr>
        <w:t>авателей.</w:t>
      </w:r>
    </w:p>
    <w:p w:rsidR="0052701D" w:rsidRDefault="00D40929">
      <w:pPr>
        <w:spacing w:after="3" w:line="248" w:lineRule="auto"/>
        <w:ind w:left="284" w:right="293" w:firstLine="558"/>
        <w:jc w:val="both"/>
      </w:pPr>
      <w:r>
        <w:rPr>
          <w:rFonts w:ascii="Times New Roman" w:eastAsia="Times New Roman" w:hAnsi="Times New Roman" w:cs="Times New Roman"/>
          <w:sz w:val="28"/>
        </w:rPr>
        <w:t>И нет сомнений, что он сможет делать это лучше людей. Недавно этому появилось очередное подтверждение: нейросеть от китайской компании</w:t>
      </w:r>
      <w:hyperlink r:id="rId853">
        <w:r>
          <w:rPr>
            <w:rFonts w:ascii="Times New Roman" w:eastAsia="Times New Roman" w:hAnsi="Times New Roman" w:cs="Times New Roman"/>
            <w:sz w:val="28"/>
          </w:rPr>
          <w:t xml:space="preserve"> </w:t>
        </w:r>
      </w:hyperlink>
      <w:hyperlink r:id="rId854">
        <w:r>
          <w:rPr>
            <w:rFonts w:ascii="Times New Roman" w:eastAsia="Times New Roman" w:hAnsi="Times New Roman" w:cs="Times New Roman"/>
            <w:sz w:val="28"/>
            <w:u w:val="single" w:color="000000"/>
            <w:shd w:val="clear" w:color="auto" w:fill="F6F6F6"/>
          </w:rPr>
          <w:t>Baidu</w:t>
        </w:r>
      </w:hyperlink>
      <w:r>
        <w:rPr>
          <w:rFonts w:ascii="Times New Roman" w:eastAsia="Times New Roman" w:hAnsi="Times New Roman" w:cs="Times New Roman"/>
          <w:sz w:val="28"/>
        </w:rPr>
        <w:t xml:space="preserve"> может теперь распознавать человеческий язык лучше, чем сам человек. Это стало известно в рамках состязания по распознаванию языка GLUE, которое с</w:t>
      </w:r>
      <w:r>
        <w:rPr>
          <w:rFonts w:ascii="Times New Roman" w:eastAsia="Times New Roman" w:hAnsi="Times New Roman" w:cs="Times New Roman"/>
          <w:sz w:val="28"/>
        </w:rPr>
        <w:t>остоит из девяти различных тестов. Средний человек обычно набирает по методике GLUE 87 баллов из 100. ERNIE, нейросеть от Baidu, смогла получить 90 баллов.</w:t>
      </w:r>
    </w:p>
    <w:p w:rsidR="0052701D" w:rsidRDefault="00D40929">
      <w:pPr>
        <w:spacing w:after="3" w:line="248" w:lineRule="auto"/>
        <w:ind w:left="284" w:right="289" w:firstLine="558"/>
        <w:jc w:val="both"/>
      </w:pPr>
      <w:r>
        <w:rPr>
          <w:rFonts w:ascii="Times New Roman" w:eastAsia="Times New Roman" w:hAnsi="Times New Roman" w:cs="Times New Roman"/>
          <w:sz w:val="28"/>
        </w:rPr>
        <w:lastRenderedPageBreak/>
        <w:t>Япония запускает внедрение ИИ в систему образования. Роботы заменяют учителей английского в некоторы</w:t>
      </w:r>
      <w:r>
        <w:rPr>
          <w:rFonts w:ascii="Times New Roman" w:eastAsia="Times New Roman" w:hAnsi="Times New Roman" w:cs="Times New Roman"/>
          <w:sz w:val="28"/>
        </w:rPr>
        <w:t>х школах. В августе 2018 года стало известно о планах Министерства образования</w:t>
      </w:r>
      <w:hyperlink r:id="rId855">
        <w:r>
          <w:rPr>
            <w:rFonts w:ascii="Times New Roman" w:eastAsia="Times New Roman" w:hAnsi="Times New Roman" w:cs="Times New Roman"/>
            <w:sz w:val="28"/>
          </w:rPr>
          <w:t xml:space="preserve"> </w:t>
        </w:r>
      </w:hyperlink>
      <w:hyperlink r:id="rId856">
        <w:r>
          <w:rPr>
            <w:rFonts w:ascii="Times New Roman" w:eastAsia="Times New Roman" w:hAnsi="Times New Roman" w:cs="Times New Roman"/>
            <w:sz w:val="28"/>
          </w:rPr>
          <w:t>Японии</w:t>
        </w:r>
      </w:hyperlink>
      <w:r>
        <w:rPr>
          <w:rFonts w:ascii="Times New Roman" w:eastAsia="Times New Roman" w:hAnsi="Times New Roman" w:cs="Times New Roman"/>
          <w:sz w:val="28"/>
        </w:rPr>
        <w:t xml:space="preserve"> запустить в 2019 году пилотную программу, в рамках которой в школах страны будут внедрены англоговорящие роботы с</w:t>
      </w:r>
      <w:hyperlink r:id="rId857">
        <w:r>
          <w:rPr>
            <w:rFonts w:ascii="Times New Roman" w:eastAsia="Times New Roman" w:hAnsi="Times New Roman" w:cs="Times New Roman"/>
            <w:sz w:val="28"/>
          </w:rPr>
          <w:t xml:space="preserve"> </w:t>
        </w:r>
      </w:hyperlink>
      <w:hyperlink r:id="rId858">
        <w:r>
          <w:rPr>
            <w:rFonts w:ascii="Times New Roman" w:eastAsia="Times New Roman" w:hAnsi="Times New Roman" w:cs="Times New Roman"/>
            <w:sz w:val="28"/>
          </w:rPr>
          <w:t>искусственным интеллектом</w:t>
        </w:r>
      </w:hyperlink>
      <w:r>
        <w:rPr>
          <w:rFonts w:ascii="Times New Roman" w:eastAsia="Times New Roman" w:hAnsi="Times New Roman" w:cs="Times New Roman"/>
          <w:sz w:val="28"/>
        </w:rPr>
        <w:t>. По расчетам японских властей, ИИроботы помогут решить проблему нехватки педагогических кадров и позволят учащимся улучшить навыки разговорной и письменной речи на английском языке.</w:t>
      </w:r>
    </w:p>
    <w:p w:rsidR="0052701D" w:rsidRDefault="00D40929">
      <w:pPr>
        <w:spacing w:after="3" w:line="248" w:lineRule="auto"/>
        <w:ind w:left="284" w:right="292" w:firstLine="558"/>
        <w:jc w:val="both"/>
      </w:pPr>
      <w:r>
        <w:rPr>
          <w:rFonts w:ascii="Times New Roman" w:eastAsia="Times New Roman" w:hAnsi="Times New Roman" w:cs="Times New Roman"/>
          <w:sz w:val="28"/>
        </w:rPr>
        <w:t>ИИ-роботы, уже имеющиеся на рынке, обладают разн</w:t>
      </w:r>
      <w:r>
        <w:rPr>
          <w:rFonts w:ascii="Times New Roman" w:eastAsia="Times New Roman" w:hAnsi="Times New Roman" w:cs="Times New Roman"/>
          <w:sz w:val="28"/>
        </w:rPr>
        <w:t>ообразными функциями. Например, они могут проследить за правильностью английского произношения у каждого ученика, что затруднительно для обычных учителей, заявил чиновник, курирующий вопросы международного образования, который попросил не раскрывать своего</w:t>
      </w:r>
      <w:r>
        <w:rPr>
          <w:rFonts w:ascii="Times New Roman" w:eastAsia="Times New Roman" w:hAnsi="Times New Roman" w:cs="Times New Roman"/>
          <w:sz w:val="28"/>
        </w:rPr>
        <w:t xml:space="preserve"> имени.</w:t>
      </w:r>
    </w:p>
    <w:p w:rsidR="0052701D" w:rsidRDefault="00D40929">
      <w:pPr>
        <w:spacing w:after="3" w:line="248" w:lineRule="auto"/>
        <w:ind w:left="284" w:right="292" w:firstLine="558"/>
        <w:jc w:val="both"/>
      </w:pPr>
      <w:r>
        <w:rPr>
          <w:rFonts w:ascii="Times New Roman" w:eastAsia="Times New Roman" w:hAnsi="Times New Roman" w:cs="Times New Roman"/>
          <w:sz w:val="28"/>
        </w:rPr>
        <w:t xml:space="preserve">Одним из наиболее перспективных направлений применения искусственного интеллекта в образовании является адаптивное обучение. Уровень знаний у приступающих к изучению чего-либо разный. И способности разные. Разный жизненный опыт и разные мотивации. </w:t>
      </w:r>
      <w:r>
        <w:rPr>
          <w:rFonts w:ascii="Times New Roman" w:eastAsia="Times New Roman" w:hAnsi="Times New Roman" w:cs="Times New Roman"/>
          <w:sz w:val="28"/>
        </w:rPr>
        <w:t>Поэтому кому-то из обучающихся программа всегда кажется слишком легкой, кому-то невыносимо трудной. Кому-то удобно воспринимать материал в одной форме. Кому-то в другой. В результате, преподаватель всё время оказывается перед нерешаемой задачей: как обеспе</w:t>
      </w:r>
      <w:r>
        <w:rPr>
          <w:rFonts w:ascii="Times New Roman" w:eastAsia="Times New Roman" w:hAnsi="Times New Roman" w:cs="Times New Roman"/>
          <w:sz w:val="28"/>
        </w:rPr>
        <w:t>чить приемлемую успеваемость «слабых» учеников и не отбить желание учиться легким материалом у сильных? Решить эту проблему должно применение адаптивных технологий. Предполагается, что искусственный интеллект будет отслеживать успеваемость каждого отдельно</w:t>
      </w:r>
      <w:r>
        <w:rPr>
          <w:rFonts w:ascii="Times New Roman" w:eastAsia="Times New Roman" w:hAnsi="Times New Roman" w:cs="Times New Roman"/>
          <w:sz w:val="28"/>
        </w:rPr>
        <w:t>го обучающегося и либо подстраивать порядок показа блоков курса под его способности, либо информировать преподавателя о том, какой материал хуже усвоен, а какой лучше. В более общем контексте применение ИИ в образовании предполагает индивидуализацию обучен</w:t>
      </w:r>
      <w:r>
        <w:rPr>
          <w:rFonts w:ascii="Times New Roman" w:eastAsia="Times New Roman" w:hAnsi="Times New Roman" w:cs="Times New Roman"/>
          <w:sz w:val="28"/>
        </w:rPr>
        <w:t xml:space="preserve">ия. Индивидуализация обучения предполагает адаптацию процесса обучения по следующим трем параметрам (критериям): - адаптацию к индивидуальным характеристикам обучаемого; адаптацию к методике обучения; -  адаптацию к предмету обучения. </w:t>
      </w:r>
    </w:p>
    <w:p w:rsidR="0052701D" w:rsidRDefault="00D40929">
      <w:pPr>
        <w:spacing w:after="3" w:line="248" w:lineRule="auto"/>
        <w:ind w:left="284" w:right="290" w:firstLine="558"/>
        <w:jc w:val="both"/>
      </w:pPr>
      <w:r>
        <w:rPr>
          <w:rFonts w:ascii="Times New Roman" w:eastAsia="Times New Roman" w:hAnsi="Times New Roman" w:cs="Times New Roman"/>
          <w:sz w:val="28"/>
        </w:rPr>
        <w:t>В последние годы бол</w:t>
      </w:r>
      <w:r>
        <w:rPr>
          <w:rFonts w:ascii="Times New Roman" w:eastAsia="Times New Roman" w:hAnsi="Times New Roman" w:cs="Times New Roman"/>
          <w:sz w:val="28"/>
        </w:rPr>
        <w:t>ьшое внимание уделяется созданию обучающих роботов, используемых в системе образования. Ожидается, что в скором времени образование невозможно будет представить без участия</w:t>
      </w:r>
      <w:hyperlink r:id="rId859">
        <w:r>
          <w:rPr>
            <w:rFonts w:ascii="Times New Roman" w:eastAsia="Times New Roman" w:hAnsi="Times New Roman" w:cs="Times New Roman"/>
            <w:sz w:val="28"/>
          </w:rPr>
          <w:t xml:space="preserve"> </w:t>
        </w:r>
      </w:hyperlink>
      <w:hyperlink r:id="rId860">
        <w:r>
          <w:rPr>
            <w:rFonts w:ascii="Times New Roman" w:eastAsia="Times New Roman" w:hAnsi="Times New Roman" w:cs="Times New Roman"/>
            <w:sz w:val="28"/>
          </w:rPr>
          <w:t>искусственного интеллекта</w:t>
        </w:r>
      </w:hyperlink>
      <w:r>
        <w:rPr>
          <w:rFonts w:ascii="Times New Roman" w:eastAsia="Times New Roman" w:hAnsi="Times New Roman" w:cs="Times New Roman"/>
          <w:sz w:val="28"/>
        </w:rPr>
        <w:t>(ИИ), который будет контролировать образовательный процесс от начала до конца. Пока алгоритмы привлекают к о</w:t>
      </w:r>
      <w:r>
        <w:rPr>
          <w:rFonts w:ascii="Times New Roman" w:eastAsia="Times New Roman" w:hAnsi="Times New Roman" w:cs="Times New Roman"/>
          <w:sz w:val="28"/>
        </w:rPr>
        <w:t xml:space="preserve">бразованию фрагментарно. </w:t>
      </w:r>
    </w:p>
    <w:p w:rsidR="0052701D" w:rsidRDefault="00D40929">
      <w:pPr>
        <w:spacing w:after="3" w:line="248" w:lineRule="auto"/>
        <w:ind w:left="284" w:right="291" w:firstLine="558"/>
        <w:jc w:val="both"/>
      </w:pPr>
      <w:r>
        <w:rPr>
          <w:rFonts w:ascii="Times New Roman" w:eastAsia="Times New Roman" w:hAnsi="Times New Roman" w:cs="Times New Roman"/>
          <w:sz w:val="28"/>
        </w:rPr>
        <w:t>Создание и применение обучающих роботов в системе высшего образования открывает неограниченные   возможности и горизонты развития открытого образования для  широких слоев населения.</w:t>
      </w:r>
    </w:p>
    <w:p w:rsidR="0052701D" w:rsidRDefault="00D40929">
      <w:pPr>
        <w:spacing w:after="3" w:line="248" w:lineRule="auto"/>
        <w:ind w:left="284" w:right="287" w:firstLine="558"/>
        <w:jc w:val="both"/>
      </w:pPr>
      <w:r>
        <w:rPr>
          <w:rFonts w:ascii="Times New Roman" w:eastAsia="Times New Roman" w:hAnsi="Times New Roman" w:cs="Times New Roman"/>
          <w:sz w:val="28"/>
        </w:rPr>
        <w:t xml:space="preserve">В работах [4,5] рассматриваются вопросы применения обучающих роботов в системе образования. Авторы отмечают, что в ближайшей перспективе в нашей стране будут создаваться открытые университеты, оснащенные роботами-преподавателями, обеспечивающие подготовку </w:t>
      </w:r>
      <w:r>
        <w:rPr>
          <w:rFonts w:ascii="Times New Roman" w:eastAsia="Times New Roman" w:hAnsi="Times New Roman" w:cs="Times New Roman"/>
          <w:sz w:val="28"/>
        </w:rPr>
        <w:t xml:space="preserve">специалистов по различным    специальностям, востребованным для отраслей   народного хозяйства и общественной жизни. При этом обучение будет осуществляться дистанционно и </w:t>
      </w:r>
      <w:r>
        <w:rPr>
          <w:rFonts w:ascii="Times New Roman" w:eastAsia="Times New Roman" w:hAnsi="Times New Roman" w:cs="Times New Roman"/>
          <w:sz w:val="28"/>
        </w:rPr>
        <w:lastRenderedPageBreak/>
        <w:t>охватывать все регионы нашей республики.  Обучаемый из любого города, деревни или пос</w:t>
      </w:r>
      <w:r>
        <w:rPr>
          <w:rFonts w:ascii="Times New Roman" w:eastAsia="Times New Roman" w:hAnsi="Times New Roman" w:cs="Times New Roman"/>
          <w:sz w:val="28"/>
        </w:rPr>
        <w:t>елка, имеющий персональный компьютер, будет в   онлайн (интерактивном) режиме осваивать программу подготовки по выбранной им специальности и по окончанию подготовки получать соответствующий документ (диплом, сертификат и т.п.). Важно отметить, что роботиза</w:t>
      </w:r>
      <w:r>
        <w:rPr>
          <w:rFonts w:ascii="Times New Roman" w:eastAsia="Times New Roman" w:hAnsi="Times New Roman" w:cs="Times New Roman"/>
          <w:sz w:val="28"/>
        </w:rPr>
        <w:t>ция обучения   будет обеспечивать высокое качество подготовки, поскольку роботы -преподаватели будут использовать новейшие технологии обучения и наиболее качественные учебные материалы.</w:t>
      </w:r>
      <w:r>
        <w:rPr>
          <w:rFonts w:ascii="Times New Roman" w:eastAsia="Times New Roman" w:hAnsi="Times New Roman" w:cs="Times New Roman"/>
          <w:b/>
          <w:sz w:val="28"/>
        </w:rPr>
        <w:t xml:space="preserve"> </w:t>
      </w:r>
      <w:r>
        <w:rPr>
          <w:rFonts w:ascii="Times New Roman" w:eastAsia="Times New Roman" w:hAnsi="Times New Roman" w:cs="Times New Roman"/>
          <w:sz w:val="28"/>
        </w:rPr>
        <w:t xml:space="preserve"> Они будут полноценно проверять письменные работы и экзаменационные за</w:t>
      </w:r>
      <w:r>
        <w:rPr>
          <w:rFonts w:ascii="Times New Roman" w:eastAsia="Times New Roman" w:hAnsi="Times New Roman" w:cs="Times New Roman"/>
          <w:sz w:val="28"/>
        </w:rPr>
        <w:t xml:space="preserve">дания с помощью установленных метрик и эталонов, которые будут исключать предвзятость либо некомпетентность преподавателей. </w:t>
      </w:r>
    </w:p>
    <w:p w:rsidR="0052701D" w:rsidRDefault="00D40929">
      <w:pPr>
        <w:spacing w:after="3" w:line="248" w:lineRule="auto"/>
        <w:ind w:left="284" w:right="291" w:firstLine="558"/>
        <w:jc w:val="both"/>
      </w:pPr>
      <w:r>
        <w:rPr>
          <w:rFonts w:ascii="Times New Roman" w:eastAsia="Times New Roman" w:hAnsi="Times New Roman" w:cs="Times New Roman"/>
          <w:sz w:val="28"/>
        </w:rPr>
        <w:t>В заключение следует отметить, что применение методов и средств ИИ при создании обучающих роботов откроет новую эру компьютеризации</w:t>
      </w:r>
      <w:r>
        <w:rPr>
          <w:rFonts w:ascii="Times New Roman" w:eastAsia="Times New Roman" w:hAnsi="Times New Roman" w:cs="Times New Roman"/>
          <w:sz w:val="28"/>
        </w:rPr>
        <w:t xml:space="preserve">, автоматизации и роботизации процесса обучения в системе образования. </w:t>
      </w:r>
    </w:p>
    <w:p w:rsidR="0052701D" w:rsidRDefault="00D40929">
      <w:pPr>
        <w:spacing w:after="5"/>
        <w:ind w:left="284"/>
      </w:pPr>
      <w:r>
        <w:rPr>
          <w:rFonts w:ascii="Times New Roman" w:eastAsia="Times New Roman" w:hAnsi="Times New Roman" w:cs="Times New Roman"/>
        </w:rPr>
        <w:t xml:space="preserve">  </w:t>
      </w:r>
    </w:p>
    <w:p w:rsidR="0052701D" w:rsidRDefault="00D40929">
      <w:pPr>
        <w:spacing w:after="0"/>
        <w:ind w:left="717" w:right="707" w:hanging="10"/>
        <w:jc w:val="center"/>
      </w:pPr>
      <w:r>
        <w:rPr>
          <w:rFonts w:ascii="Times New Roman" w:eastAsia="Times New Roman" w:hAnsi="Times New Roman" w:cs="Times New Roman"/>
          <w:b/>
          <w:sz w:val="24"/>
        </w:rPr>
        <w:t>Источники</w:t>
      </w:r>
    </w:p>
    <w:p w:rsidR="0052701D" w:rsidRDefault="00D40929">
      <w:pPr>
        <w:numPr>
          <w:ilvl w:val="0"/>
          <w:numId w:val="150"/>
        </w:numPr>
        <w:spacing w:after="3" w:line="249" w:lineRule="auto"/>
        <w:ind w:right="149" w:hanging="10"/>
        <w:jc w:val="both"/>
      </w:pPr>
      <w:r>
        <w:rPr>
          <w:rFonts w:ascii="Times New Roman" w:eastAsia="Times New Roman" w:hAnsi="Times New Roman" w:cs="Times New Roman"/>
          <w:sz w:val="24"/>
        </w:rPr>
        <w:t>Баймухамедов М.Ф. Искусственный интеллект: Основы теории и практики. //Монография, изд-во «Master Reprint», Костанай, 2019. – 278 с.</w:t>
      </w:r>
    </w:p>
    <w:p w:rsidR="0052701D" w:rsidRDefault="00D40929">
      <w:pPr>
        <w:numPr>
          <w:ilvl w:val="0"/>
          <w:numId w:val="150"/>
        </w:numPr>
        <w:spacing w:after="3" w:line="249" w:lineRule="auto"/>
        <w:ind w:right="149" w:hanging="10"/>
        <w:jc w:val="both"/>
      </w:pPr>
      <w:r>
        <w:rPr>
          <w:rFonts w:ascii="Times New Roman" w:eastAsia="Times New Roman" w:hAnsi="Times New Roman" w:cs="Times New Roman"/>
          <w:sz w:val="24"/>
        </w:rPr>
        <w:t>Баймухамедов М.Ф., Баймухамедова А.М.,</w:t>
      </w:r>
      <w:r>
        <w:rPr>
          <w:rFonts w:ascii="Times New Roman" w:eastAsia="Times New Roman" w:hAnsi="Times New Roman" w:cs="Times New Roman"/>
          <w:sz w:val="24"/>
        </w:rPr>
        <w:t xml:space="preserve"> Боранбаев С.Н. Искусственный интеллект: современная теория и практика. // Учебник, 2 том, изд-во «Бастау», Алматы, 2020 г. 248 с. [3] Баймухамедов М.Ф., Айтбенова А.А. Основы робототехники. //Учебник (на каз. языке), изд-во «Master Reprint», Костанай, 202</w:t>
      </w:r>
      <w:r>
        <w:rPr>
          <w:rFonts w:ascii="Times New Roman" w:eastAsia="Times New Roman" w:hAnsi="Times New Roman" w:cs="Times New Roman"/>
          <w:sz w:val="24"/>
        </w:rPr>
        <w:t>0 г. – 189 с.</w:t>
      </w:r>
    </w:p>
    <w:p w:rsidR="0052701D" w:rsidRDefault="00D40929">
      <w:pPr>
        <w:numPr>
          <w:ilvl w:val="0"/>
          <w:numId w:val="151"/>
        </w:numPr>
        <w:spacing w:after="3" w:line="249" w:lineRule="auto"/>
        <w:ind w:right="291" w:hanging="10"/>
        <w:jc w:val="both"/>
      </w:pPr>
      <w:r>
        <w:rPr>
          <w:rFonts w:ascii="Times New Roman" w:eastAsia="Times New Roman" w:hAnsi="Times New Roman" w:cs="Times New Roman"/>
          <w:sz w:val="24"/>
        </w:rPr>
        <w:t>Баймухамедов М.Ф., Еслямов С.Г. Об использовании роботов в подготовке специалистовс высшим образованием. // Международный журнал «Актуальные научные исследования в современном мире», выпуск 6, 2020, Переяслав-Хмельницкий. C.18-22.</w:t>
      </w:r>
    </w:p>
    <w:p w:rsidR="0052701D" w:rsidRDefault="00D40929">
      <w:pPr>
        <w:numPr>
          <w:ilvl w:val="0"/>
          <w:numId w:val="151"/>
        </w:numPr>
        <w:spacing w:after="3" w:line="249" w:lineRule="auto"/>
        <w:ind w:right="291" w:hanging="10"/>
        <w:jc w:val="both"/>
      </w:pPr>
      <w:r>
        <w:rPr>
          <w:rFonts w:ascii="Times New Roman" w:eastAsia="Times New Roman" w:hAnsi="Times New Roman" w:cs="Times New Roman"/>
          <w:sz w:val="24"/>
        </w:rPr>
        <w:t>Баймухамедо</w:t>
      </w:r>
      <w:r>
        <w:rPr>
          <w:rFonts w:ascii="Times New Roman" w:eastAsia="Times New Roman" w:hAnsi="Times New Roman" w:cs="Times New Roman"/>
          <w:sz w:val="24"/>
        </w:rPr>
        <w:t>в М.Ф., Еслямов С.Г. Применение робототехники в образовании. //Международный журнал «Актуальные научные исследования в современном мире», Выпуск 7, июль,2020, Переяслав-Хмельницкий. - С. 44- 49.</w:t>
      </w:r>
    </w:p>
    <w:p w:rsidR="0052701D" w:rsidRDefault="00D40929">
      <w:pPr>
        <w:spacing w:after="360" w:line="238" w:lineRule="auto"/>
        <w:ind w:left="566" w:right="6405" w:firstLine="2"/>
      </w:pPr>
      <w:r>
        <w:rPr>
          <w:rFonts w:ascii="Times New Roman" w:eastAsia="Times New Roman" w:hAnsi="Times New Roman" w:cs="Times New Roman"/>
          <w:sz w:val="24"/>
        </w:rPr>
        <w:t xml:space="preserve">МРНТИ 06.61.33 УДК 33.332.12 </w:t>
      </w:r>
      <w:hyperlink r:id="rId861">
        <w:r>
          <w:rPr>
            <w:rFonts w:ascii="Times New Roman" w:eastAsia="Times New Roman" w:hAnsi="Times New Roman" w:cs="Times New Roman"/>
            <w:sz w:val="24"/>
            <w:u w:val="single" w:color="000000"/>
          </w:rPr>
          <w:t xml:space="preserve"> </w:t>
        </w:r>
      </w:hyperlink>
      <w:hyperlink r:id="rId862">
        <w:r>
          <w:rPr>
            <w:rFonts w:ascii="Times New Roman" w:eastAsia="Times New Roman" w:hAnsi="Times New Roman" w:cs="Times New Roman"/>
            <w:sz w:val="24"/>
            <w:u w:val="single" w:color="000000"/>
          </w:rPr>
          <w:t>JEL</w:t>
        </w:r>
      </w:hyperlink>
      <w:hyperlink r:id="rId863">
        <w:r>
          <w:rPr>
            <w:rFonts w:ascii="Times New Roman" w:eastAsia="Times New Roman" w:hAnsi="Times New Roman" w:cs="Times New Roman"/>
            <w:sz w:val="24"/>
            <w:u w:val="single" w:color="000000"/>
          </w:rPr>
          <w:t xml:space="preserve">   </w:t>
        </w:r>
      </w:hyperlink>
      <w:hyperlink r:id="rId864">
        <w:r>
          <w:rPr>
            <w:rFonts w:ascii="Times New Roman" w:eastAsia="Times New Roman" w:hAnsi="Times New Roman" w:cs="Times New Roman"/>
            <w:sz w:val="24"/>
            <w:u w:val="single" w:color="000000"/>
          </w:rPr>
          <w:t>Classification</w:t>
        </w:r>
      </w:hyperlink>
      <w:hyperlink r:id="rId865">
        <w:r>
          <w:rPr>
            <w:rFonts w:ascii="Times New Roman" w:eastAsia="Times New Roman" w:hAnsi="Times New Roman" w:cs="Times New Roman"/>
            <w:sz w:val="24"/>
            <w:u w:val="single" w:color="000000"/>
          </w:rPr>
          <w:t xml:space="preserve"> </w:t>
        </w:r>
      </w:hyperlink>
      <w:r>
        <w:rPr>
          <w:rFonts w:ascii="Times New Roman" w:eastAsia="Times New Roman" w:hAnsi="Times New Roman" w:cs="Times New Roman"/>
          <w:sz w:val="24"/>
        </w:rPr>
        <w:t xml:space="preserve">  D30, I18, P25</w:t>
      </w:r>
    </w:p>
    <w:p w:rsidR="0052701D" w:rsidRDefault="00D40929">
      <w:pPr>
        <w:pStyle w:val="1"/>
        <w:spacing w:after="235" w:line="249" w:lineRule="auto"/>
        <w:ind w:left="1326" w:right="0"/>
        <w:jc w:val="left"/>
      </w:pPr>
      <w:r>
        <w:t>ANALYSIS, EVALUATION OF THE MANAGEMENT OF SOCIO-</w:t>
      </w:r>
    </w:p>
    <w:p w:rsidR="0052701D" w:rsidRDefault="00D40929">
      <w:pPr>
        <w:spacing w:after="235" w:line="249" w:lineRule="auto"/>
        <w:ind w:left="1326" w:hanging="10"/>
      </w:pPr>
      <w:r>
        <w:rPr>
          <w:rFonts w:ascii="Times New Roman" w:eastAsia="Times New Roman" w:hAnsi="Times New Roman" w:cs="Times New Roman"/>
          <w:b/>
          <w:sz w:val="28"/>
        </w:rPr>
        <w:t>ECONOMIC DEVELOPMENT OF THE REGION AND DEVELOPMENT OF A MANAGEMENT SYSTEM MODEL</w:t>
      </w:r>
    </w:p>
    <w:p w:rsidR="0052701D" w:rsidRDefault="00D40929">
      <w:pPr>
        <w:spacing w:after="13" w:line="249" w:lineRule="auto"/>
        <w:ind w:left="1001" w:right="991" w:hanging="10"/>
        <w:jc w:val="center"/>
      </w:pPr>
      <w:r>
        <w:rPr>
          <w:rFonts w:ascii="Times New Roman" w:eastAsia="Times New Roman" w:hAnsi="Times New Roman" w:cs="Times New Roman"/>
          <w:sz w:val="24"/>
        </w:rPr>
        <w:t>Tleuberdiyeva S.S.</w:t>
      </w:r>
      <w:r>
        <w:rPr>
          <w:rFonts w:ascii="Times New Roman" w:eastAsia="Times New Roman" w:hAnsi="Times New Roman" w:cs="Times New Roman"/>
          <w:vertAlign w:val="superscript"/>
        </w:rPr>
        <w:t>1</w:t>
      </w:r>
      <w:r>
        <w:rPr>
          <w:rFonts w:ascii="Times New Roman" w:eastAsia="Times New Roman" w:hAnsi="Times New Roman" w:cs="Times New Roman"/>
          <w:sz w:val="24"/>
        </w:rPr>
        <w:t>, Mukhiyayeva D.M.</w:t>
      </w:r>
      <w:r>
        <w:rPr>
          <w:rFonts w:ascii="Times New Roman" w:eastAsia="Times New Roman" w:hAnsi="Times New Roman" w:cs="Times New Roman"/>
          <w:vertAlign w:val="superscript"/>
        </w:rPr>
        <w:t>2</w:t>
      </w:r>
      <w:r>
        <w:rPr>
          <w:rFonts w:ascii="Times New Roman" w:eastAsia="Times New Roman" w:hAnsi="Times New Roman" w:cs="Times New Roman"/>
          <w:sz w:val="24"/>
        </w:rPr>
        <w:t>, Satova R.K.</w:t>
      </w:r>
      <w:r>
        <w:rPr>
          <w:rFonts w:ascii="Times New Roman" w:eastAsia="Times New Roman" w:hAnsi="Times New Roman" w:cs="Times New Roman"/>
          <w:vertAlign w:val="superscript"/>
        </w:rPr>
        <w:t>3</w:t>
      </w:r>
      <w:r>
        <w:rPr>
          <w:rFonts w:ascii="Times New Roman" w:eastAsia="Times New Roman" w:hAnsi="Times New Roman" w:cs="Times New Roman"/>
          <w:sz w:val="24"/>
        </w:rPr>
        <w:t>, Nurmuratova L.S.</w:t>
      </w:r>
      <w:r>
        <w:rPr>
          <w:rFonts w:ascii="Times New Roman" w:eastAsia="Times New Roman" w:hAnsi="Times New Roman" w:cs="Times New Roman"/>
          <w:vertAlign w:val="superscript"/>
        </w:rPr>
        <w:t>4</w:t>
      </w:r>
    </w:p>
    <w:p w:rsidR="0052701D" w:rsidRDefault="00D40929">
      <w:pPr>
        <w:spacing w:after="42" w:line="248" w:lineRule="auto"/>
        <w:ind w:left="11" w:hanging="10"/>
        <w:jc w:val="center"/>
      </w:pPr>
      <w:r>
        <w:rPr>
          <w:rFonts w:ascii="Times New Roman" w:eastAsia="Times New Roman" w:hAnsi="Times New Roman" w:cs="Times New Roman"/>
        </w:rPr>
        <w:t>L. N. Gumilyov Eurasian National University, PhD, associate professor, Republic of Kazakhstan, Astana</w:t>
      </w:r>
      <w:r>
        <w:rPr>
          <w:rFonts w:ascii="Times New Roman" w:eastAsia="Times New Roman" w:hAnsi="Times New Roman" w:cs="Times New Roman"/>
          <w:sz w:val="20"/>
          <w:vertAlign w:val="superscript"/>
        </w:rPr>
        <w:t>1,2</w:t>
      </w:r>
      <w:r>
        <w:rPr>
          <w:rFonts w:ascii="Times New Roman" w:eastAsia="Times New Roman" w:hAnsi="Times New Roman" w:cs="Times New Roman"/>
        </w:rPr>
        <w:t>,</w:t>
      </w:r>
    </w:p>
    <w:p w:rsidR="0052701D" w:rsidRDefault="00D40929">
      <w:pPr>
        <w:spacing w:after="10" w:line="248" w:lineRule="auto"/>
        <w:ind w:left="10" w:right="2" w:hanging="10"/>
        <w:jc w:val="center"/>
      </w:pPr>
      <w:r>
        <w:rPr>
          <w:rFonts w:ascii="Times New Roman" w:eastAsia="Times New Roman" w:hAnsi="Times New Roman" w:cs="Times New Roman"/>
        </w:rPr>
        <w:t>Almaty University of Power Engineering and Telecommunications named after Gumarbek Daukeev, Doctor of</w:t>
      </w:r>
    </w:p>
    <w:p w:rsidR="0052701D" w:rsidRDefault="00D40929">
      <w:pPr>
        <w:spacing w:after="10" w:line="248" w:lineRule="auto"/>
        <w:ind w:left="521" w:right="511" w:hanging="10"/>
        <w:jc w:val="center"/>
      </w:pPr>
      <w:r>
        <w:rPr>
          <w:rFonts w:ascii="Times New Roman" w:eastAsia="Times New Roman" w:hAnsi="Times New Roman" w:cs="Times New Roman"/>
        </w:rPr>
        <w:t>Economics, Professor, Senior Lecturer, Master of Economics, Republic of Kazakhstan Almaty</w:t>
      </w:r>
      <w:r>
        <w:rPr>
          <w:rFonts w:ascii="Times New Roman" w:eastAsia="Times New Roman" w:hAnsi="Times New Roman" w:cs="Times New Roman"/>
          <w:sz w:val="20"/>
          <w:vertAlign w:val="superscript"/>
        </w:rPr>
        <w:t>3,4</w:t>
      </w:r>
    </w:p>
    <w:p w:rsidR="0052701D" w:rsidRDefault="00D40929">
      <w:pPr>
        <w:spacing w:after="319"/>
        <w:ind w:right="11"/>
        <w:jc w:val="center"/>
      </w:pPr>
      <w:r>
        <w:rPr>
          <w:rFonts w:ascii="Times New Roman" w:eastAsia="Times New Roman" w:hAnsi="Times New Roman" w:cs="Times New Roman"/>
        </w:rPr>
        <w:t>E-mail:</w:t>
      </w:r>
      <w:r>
        <w:rPr>
          <w:rFonts w:ascii="Times New Roman" w:eastAsia="Times New Roman" w:hAnsi="Times New Roman" w:cs="Times New Roman"/>
          <w:u w:val="single" w:color="0563C1"/>
        </w:rPr>
        <w:t xml:space="preserve"> </w:t>
      </w:r>
      <w:r>
        <w:rPr>
          <w:rFonts w:ascii="Times New Roman" w:eastAsia="Times New Roman" w:hAnsi="Times New Roman" w:cs="Times New Roman"/>
          <w:color w:val="0563C1"/>
          <w:u w:val="single" w:color="0563C1"/>
        </w:rPr>
        <w:t>tleuberdieva@yandex.ru, dinara_muhiyaeva@mail.ru, r.s</w:t>
      </w:r>
      <w:r>
        <w:rPr>
          <w:rFonts w:ascii="Times New Roman" w:eastAsia="Times New Roman" w:hAnsi="Times New Roman" w:cs="Times New Roman"/>
          <w:color w:val="0563C1"/>
          <w:u w:val="single" w:color="0563C1"/>
        </w:rPr>
        <w:t>atova@aues, l.nurmuratova@aues.kz</w:t>
      </w:r>
      <w:r>
        <w:rPr>
          <w:rFonts w:ascii="Times New Roman" w:eastAsia="Times New Roman" w:hAnsi="Times New Roman" w:cs="Times New Roman"/>
          <w:u w:val="single" w:color="0563C1"/>
        </w:rPr>
        <w:t xml:space="preserve"> </w:t>
      </w:r>
    </w:p>
    <w:p w:rsidR="0052701D" w:rsidRDefault="00D40929">
      <w:pPr>
        <w:spacing w:after="3" w:line="249" w:lineRule="auto"/>
        <w:ind w:right="8" w:firstLine="568"/>
        <w:jc w:val="both"/>
      </w:pPr>
      <w:r>
        <w:rPr>
          <w:rFonts w:ascii="Times New Roman" w:eastAsia="Times New Roman" w:hAnsi="Times New Roman" w:cs="Times New Roman"/>
          <w:b/>
          <w:i/>
          <w:sz w:val="24"/>
        </w:rPr>
        <w:t>Annotation.</w:t>
      </w:r>
      <w:r>
        <w:rPr>
          <w:rFonts w:ascii="Times New Roman" w:eastAsia="Times New Roman" w:hAnsi="Times New Roman" w:cs="Times New Roman"/>
          <w:i/>
          <w:sz w:val="24"/>
        </w:rPr>
        <w:t xml:space="preserve"> The region is an integral part not only of the administrative and territorial structure, but also of the entire economic system of the country. The region, which is an agglomeration of productive forces, chara</w:t>
      </w:r>
      <w:r>
        <w:rPr>
          <w:rFonts w:ascii="Times New Roman" w:eastAsia="Times New Roman" w:hAnsi="Times New Roman" w:cs="Times New Roman"/>
          <w:i/>
          <w:sz w:val="24"/>
        </w:rPr>
        <w:t xml:space="preserve">cterized by natural-geographical, socio-economic, demographic and other features, is the central link of economic development on a national scale. </w:t>
      </w:r>
    </w:p>
    <w:p w:rsidR="0052701D" w:rsidRDefault="00D40929">
      <w:pPr>
        <w:spacing w:after="3" w:line="249" w:lineRule="auto"/>
        <w:ind w:right="10" w:firstLine="568"/>
        <w:jc w:val="both"/>
      </w:pPr>
      <w:r>
        <w:rPr>
          <w:rFonts w:ascii="Times New Roman" w:eastAsia="Times New Roman" w:hAnsi="Times New Roman" w:cs="Times New Roman"/>
          <w:i/>
          <w:sz w:val="24"/>
        </w:rPr>
        <w:t xml:space="preserve">The purpose of the article is to study the management of socio-economic development of the region, identify </w:t>
      </w:r>
      <w:r>
        <w:rPr>
          <w:rFonts w:ascii="Times New Roman" w:eastAsia="Times New Roman" w:hAnsi="Times New Roman" w:cs="Times New Roman"/>
          <w:i/>
          <w:sz w:val="24"/>
        </w:rPr>
        <w:t xml:space="preserve">current problems and develop proposals for their solution. The scientific and practical significance </w:t>
      </w:r>
      <w:r>
        <w:rPr>
          <w:rFonts w:ascii="Times New Roman" w:eastAsia="Times New Roman" w:hAnsi="Times New Roman" w:cs="Times New Roman"/>
          <w:i/>
          <w:sz w:val="24"/>
        </w:rPr>
        <w:lastRenderedPageBreak/>
        <w:t>of the article is to consider the methodological foundations of assessing the management of socio-economic development of the region, studying foreign expe</w:t>
      </w:r>
      <w:r>
        <w:rPr>
          <w:rFonts w:ascii="Times New Roman" w:eastAsia="Times New Roman" w:hAnsi="Times New Roman" w:cs="Times New Roman"/>
          <w:i/>
          <w:sz w:val="24"/>
        </w:rPr>
        <w:t xml:space="preserve">rience in managing socio-economic processes of the region, assessing the socio-economic development of the Zhetysay district and developing ways to improve the efficiency of managing socio-economic development of the Zhetysay district. </w:t>
      </w:r>
    </w:p>
    <w:p w:rsidR="0052701D" w:rsidRDefault="00D40929">
      <w:pPr>
        <w:spacing w:after="3" w:line="249" w:lineRule="auto"/>
        <w:ind w:right="13" w:firstLine="568"/>
        <w:jc w:val="both"/>
      </w:pPr>
      <w:r>
        <w:rPr>
          <w:rFonts w:ascii="Times New Roman" w:eastAsia="Times New Roman" w:hAnsi="Times New Roman" w:cs="Times New Roman"/>
          <w:i/>
          <w:sz w:val="24"/>
        </w:rPr>
        <w:t>The article uses th</w:t>
      </w:r>
      <w:r>
        <w:rPr>
          <w:rFonts w:ascii="Times New Roman" w:eastAsia="Times New Roman" w:hAnsi="Times New Roman" w:cs="Times New Roman"/>
          <w:i/>
          <w:sz w:val="24"/>
        </w:rPr>
        <w:t xml:space="preserve">e research methodology-theoretical and practical methodology. Among them were normative, functional, static, dynamic methods of analysis, generalization, refinement, measurement. </w:t>
      </w:r>
    </w:p>
    <w:p w:rsidR="0052701D" w:rsidRDefault="00D40929">
      <w:pPr>
        <w:spacing w:after="3" w:line="249" w:lineRule="auto"/>
        <w:ind w:right="13" w:firstLine="568"/>
        <w:jc w:val="both"/>
      </w:pPr>
      <w:r>
        <w:rPr>
          <w:rFonts w:ascii="Times New Roman" w:eastAsia="Times New Roman" w:hAnsi="Times New Roman" w:cs="Times New Roman"/>
          <w:i/>
          <w:sz w:val="24"/>
        </w:rPr>
        <w:t>The main results and analysis of the article are characterized by the presen</w:t>
      </w:r>
      <w:r>
        <w:rPr>
          <w:rFonts w:ascii="Times New Roman" w:eastAsia="Times New Roman" w:hAnsi="Times New Roman" w:cs="Times New Roman"/>
          <w:i/>
          <w:sz w:val="24"/>
        </w:rPr>
        <w:t>tation of mechanisms for managing the socio-economic development of the region and the scientific justification of their effectiveness. The scientific results achieved during the research can be used in the programs of socioeconomic development of the regi</w:t>
      </w:r>
      <w:r>
        <w:rPr>
          <w:rFonts w:ascii="Times New Roman" w:eastAsia="Times New Roman" w:hAnsi="Times New Roman" w:cs="Times New Roman"/>
          <w:i/>
          <w:sz w:val="24"/>
        </w:rPr>
        <w:t>on.</w:t>
      </w:r>
    </w:p>
    <w:p w:rsidR="0052701D" w:rsidRDefault="00D40929">
      <w:pPr>
        <w:spacing w:after="3" w:line="249" w:lineRule="auto"/>
        <w:ind w:right="10" w:firstLine="568"/>
        <w:jc w:val="both"/>
      </w:pPr>
      <w:r>
        <w:rPr>
          <w:rFonts w:ascii="Times New Roman" w:eastAsia="Times New Roman" w:hAnsi="Times New Roman" w:cs="Times New Roman"/>
          <w:i/>
          <w:sz w:val="24"/>
        </w:rPr>
        <w:t xml:space="preserve">The results of the study make a definite contribution to the improvement of the theoretical and methodological foundations of managing the socio-economic development of the region. The model defines only significantly expanded tools, each of which assumes </w:t>
      </w:r>
      <w:r>
        <w:rPr>
          <w:rFonts w:ascii="Times New Roman" w:eastAsia="Times New Roman" w:hAnsi="Times New Roman" w:cs="Times New Roman"/>
          <w:i/>
          <w:sz w:val="24"/>
        </w:rPr>
        <w:t>a more detailed organizational, economic and financial use of scientifically based elements, which in practice increases the effectiveness of managing the development of the territory and ensures an improvement in the quality of life of the population.</w:t>
      </w:r>
    </w:p>
    <w:p w:rsidR="0052701D" w:rsidRDefault="00D40929">
      <w:pPr>
        <w:spacing w:after="3" w:line="249" w:lineRule="auto"/>
        <w:ind w:right="7" w:firstLine="568"/>
        <w:jc w:val="both"/>
      </w:pPr>
      <w:r>
        <w:rPr>
          <w:rFonts w:ascii="Times New Roman" w:eastAsia="Times New Roman" w:hAnsi="Times New Roman" w:cs="Times New Roman"/>
          <w:i/>
          <w:sz w:val="24"/>
        </w:rPr>
        <w:t>The</w:t>
      </w:r>
      <w:r>
        <w:rPr>
          <w:rFonts w:ascii="Times New Roman" w:eastAsia="Times New Roman" w:hAnsi="Times New Roman" w:cs="Times New Roman"/>
          <w:i/>
          <w:sz w:val="24"/>
        </w:rPr>
        <w:t xml:space="preserve"> value of the research lies in the fact that the system of continuous planning is based on the principles of strategic management, and operational management is carried out taking into account the established development strategy and is ensured by the cont</w:t>
      </w:r>
      <w:r>
        <w:rPr>
          <w:rFonts w:ascii="Times New Roman" w:eastAsia="Times New Roman" w:hAnsi="Times New Roman" w:cs="Times New Roman"/>
          <w:i/>
          <w:sz w:val="24"/>
        </w:rPr>
        <w:t>inuity and continuity of the entire process of managing the socio-economic development of the region. The use of this planning system allows not only to consistently carry out planned activities, but also to determine in advance the feasibility of their im</w:t>
      </w:r>
      <w:r>
        <w:rPr>
          <w:rFonts w:ascii="Times New Roman" w:eastAsia="Times New Roman" w:hAnsi="Times New Roman" w:cs="Times New Roman"/>
          <w:i/>
          <w:sz w:val="24"/>
        </w:rPr>
        <w:t>plementation in a certain period of time.</w:t>
      </w:r>
    </w:p>
    <w:p w:rsidR="0052701D" w:rsidRDefault="00D40929">
      <w:pPr>
        <w:spacing w:after="336"/>
        <w:ind w:left="10" w:right="79" w:hanging="10"/>
        <w:jc w:val="center"/>
      </w:pPr>
      <w:r>
        <w:rPr>
          <w:rFonts w:ascii="Times New Roman" w:eastAsia="Times New Roman" w:hAnsi="Times New Roman" w:cs="Times New Roman"/>
          <w:b/>
          <w:i/>
          <w:sz w:val="24"/>
        </w:rPr>
        <w:t>Keywords:</w:t>
      </w:r>
      <w:r>
        <w:rPr>
          <w:rFonts w:ascii="Times New Roman" w:eastAsia="Times New Roman" w:hAnsi="Times New Roman" w:cs="Times New Roman"/>
          <w:i/>
          <w:sz w:val="24"/>
        </w:rPr>
        <w:t xml:space="preserve"> region, socio-economic development, analysis, assessment, management model</w:t>
      </w:r>
    </w:p>
    <w:p w:rsidR="0052701D" w:rsidRDefault="00D40929">
      <w:pPr>
        <w:spacing w:after="185" w:line="249" w:lineRule="auto"/>
        <w:ind w:left="2108" w:hanging="10"/>
      </w:pPr>
      <w:r>
        <w:rPr>
          <w:rFonts w:ascii="Times New Roman" w:eastAsia="Times New Roman" w:hAnsi="Times New Roman" w:cs="Times New Roman"/>
          <w:b/>
          <w:sz w:val="28"/>
        </w:rPr>
        <w:t>АНАЛИЗ, ОЦЕНКА УПРАВЛЕНИЯ СОЦИАЛЬНОЭКОНОМИЧЕСКИМ РАЗВИТИЕМ РЕГИОНА И РАЗРАБОТКА МОДЕЛИ СИСТЕМЫ УПРАВЛЕНИЯ</w:t>
      </w:r>
    </w:p>
    <w:p w:rsidR="0052701D" w:rsidRDefault="00D40929">
      <w:pPr>
        <w:spacing w:after="13" w:line="249" w:lineRule="auto"/>
        <w:ind w:left="1001" w:right="991" w:hanging="10"/>
        <w:jc w:val="center"/>
      </w:pPr>
      <w:r>
        <w:rPr>
          <w:rFonts w:ascii="Times New Roman" w:eastAsia="Times New Roman" w:hAnsi="Times New Roman" w:cs="Times New Roman"/>
          <w:sz w:val="24"/>
        </w:rPr>
        <w:t>Тлеубердиева С.С.</w:t>
      </w:r>
      <w:r>
        <w:rPr>
          <w:rFonts w:ascii="Times New Roman" w:eastAsia="Times New Roman" w:hAnsi="Times New Roman" w:cs="Times New Roman"/>
          <w:vertAlign w:val="superscript"/>
        </w:rPr>
        <w:t>1</w:t>
      </w:r>
      <w:r>
        <w:rPr>
          <w:rFonts w:ascii="Times New Roman" w:eastAsia="Times New Roman" w:hAnsi="Times New Roman" w:cs="Times New Roman"/>
          <w:sz w:val="24"/>
        </w:rPr>
        <w:t>, Мух</w:t>
      </w:r>
      <w:r>
        <w:rPr>
          <w:rFonts w:ascii="Times New Roman" w:eastAsia="Times New Roman" w:hAnsi="Times New Roman" w:cs="Times New Roman"/>
          <w:sz w:val="24"/>
        </w:rPr>
        <w:t>ияева Д.М.</w:t>
      </w:r>
      <w:r>
        <w:rPr>
          <w:rFonts w:ascii="Times New Roman" w:eastAsia="Times New Roman" w:hAnsi="Times New Roman" w:cs="Times New Roman"/>
          <w:vertAlign w:val="superscript"/>
        </w:rPr>
        <w:t>2</w:t>
      </w:r>
      <w:r>
        <w:rPr>
          <w:rFonts w:ascii="Times New Roman" w:eastAsia="Times New Roman" w:hAnsi="Times New Roman" w:cs="Times New Roman"/>
          <w:sz w:val="24"/>
        </w:rPr>
        <w:t>, Сатова Р.К.</w:t>
      </w:r>
      <w:r>
        <w:rPr>
          <w:rFonts w:ascii="Times New Roman" w:eastAsia="Times New Roman" w:hAnsi="Times New Roman" w:cs="Times New Roman"/>
          <w:vertAlign w:val="superscript"/>
        </w:rPr>
        <w:t>3</w:t>
      </w:r>
      <w:r>
        <w:rPr>
          <w:rFonts w:ascii="Times New Roman" w:eastAsia="Times New Roman" w:hAnsi="Times New Roman" w:cs="Times New Roman"/>
          <w:sz w:val="24"/>
        </w:rPr>
        <w:t>, Нурмуратова Л.С.</w:t>
      </w:r>
      <w:r>
        <w:rPr>
          <w:rFonts w:ascii="Times New Roman" w:eastAsia="Times New Roman" w:hAnsi="Times New Roman" w:cs="Times New Roman"/>
          <w:vertAlign w:val="superscript"/>
        </w:rPr>
        <w:t>4</w:t>
      </w:r>
      <w:r>
        <w:rPr>
          <w:rFonts w:ascii="Times New Roman" w:eastAsia="Times New Roman" w:hAnsi="Times New Roman" w:cs="Times New Roman"/>
          <w:sz w:val="24"/>
        </w:rPr>
        <w:t xml:space="preserve"> </w:t>
      </w:r>
    </w:p>
    <w:p w:rsidR="0052701D" w:rsidRDefault="00D40929">
      <w:pPr>
        <w:spacing w:after="38" w:line="249" w:lineRule="auto"/>
        <w:ind w:left="12" w:hanging="10"/>
        <w:jc w:val="center"/>
      </w:pPr>
      <w:r>
        <w:rPr>
          <w:rFonts w:ascii="Times New Roman" w:eastAsia="Times New Roman" w:hAnsi="Times New Roman" w:cs="Times New Roman"/>
          <w:sz w:val="24"/>
        </w:rPr>
        <w:t>Евразийский Национальный университет Л.Н. Гумилева,</w:t>
      </w:r>
      <w:r>
        <w:t xml:space="preserve"> </w:t>
      </w:r>
      <w:r>
        <w:rPr>
          <w:rFonts w:ascii="Times New Roman" w:eastAsia="Times New Roman" w:hAnsi="Times New Roman" w:cs="Times New Roman"/>
          <w:sz w:val="24"/>
        </w:rPr>
        <w:t xml:space="preserve">Республика Казахстан, г. Астана </w:t>
      </w:r>
      <w:r>
        <w:rPr>
          <w:rFonts w:ascii="Times New Roman" w:eastAsia="Times New Roman" w:hAnsi="Times New Roman" w:cs="Times New Roman"/>
          <w:vertAlign w:val="superscript"/>
        </w:rPr>
        <w:t>1,2</w:t>
      </w:r>
    </w:p>
    <w:p w:rsidR="0052701D" w:rsidRDefault="00D40929">
      <w:pPr>
        <w:spacing w:after="49" w:line="249" w:lineRule="auto"/>
        <w:ind w:left="1001" w:right="936" w:hanging="10"/>
        <w:jc w:val="center"/>
      </w:pPr>
      <w:r>
        <w:rPr>
          <w:rFonts w:ascii="Times New Roman" w:eastAsia="Times New Roman" w:hAnsi="Times New Roman" w:cs="Times New Roman"/>
          <w:sz w:val="24"/>
        </w:rPr>
        <w:t xml:space="preserve">Алматинский университет энергетики и связи имени Гумарбека Даукеева, Республика Казахстан Алматы </w:t>
      </w:r>
      <w:r>
        <w:rPr>
          <w:rFonts w:ascii="Times New Roman" w:eastAsia="Times New Roman" w:hAnsi="Times New Roman" w:cs="Times New Roman"/>
          <w:vertAlign w:val="superscript"/>
        </w:rPr>
        <w:t>3,4</w:t>
      </w:r>
    </w:p>
    <w:p w:rsidR="0052701D" w:rsidRDefault="00D40929">
      <w:pPr>
        <w:spacing w:after="3"/>
        <w:ind w:left="580"/>
      </w:pPr>
      <w:r>
        <w:rPr>
          <w:rFonts w:ascii="Times New Roman" w:eastAsia="Times New Roman" w:hAnsi="Times New Roman" w:cs="Times New Roman"/>
        </w:rPr>
        <w:t>E-mail:</w:t>
      </w:r>
      <w:r>
        <w:rPr>
          <w:rFonts w:ascii="Times New Roman" w:eastAsia="Times New Roman" w:hAnsi="Times New Roman" w:cs="Times New Roman"/>
          <w:u w:val="single" w:color="0563C1"/>
        </w:rPr>
        <w:t xml:space="preserve"> </w:t>
      </w:r>
      <w:r>
        <w:rPr>
          <w:rFonts w:ascii="Times New Roman" w:eastAsia="Times New Roman" w:hAnsi="Times New Roman" w:cs="Times New Roman"/>
          <w:color w:val="0563C1"/>
          <w:u w:val="single" w:color="0563C1"/>
        </w:rPr>
        <w:t>tleuberdieva</w:t>
      </w:r>
      <w:r>
        <w:rPr>
          <w:rFonts w:ascii="Times New Roman" w:eastAsia="Times New Roman" w:hAnsi="Times New Roman" w:cs="Times New Roman"/>
          <w:u w:val="single" w:color="0563C1"/>
        </w:rPr>
        <w:t xml:space="preserve">   </w:t>
      </w:r>
      <w:r>
        <w:rPr>
          <w:rFonts w:ascii="Times New Roman" w:eastAsia="Times New Roman" w:hAnsi="Times New Roman" w:cs="Times New Roman"/>
          <w:color w:val="0563C1"/>
          <w:u w:val="single" w:color="0563C1"/>
        </w:rPr>
        <w:t>@</w:t>
      </w:r>
      <w:r>
        <w:rPr>
          <w:rFonts w:ascii="Times New Roman" w:eastAsia="Times New Roman" w:hAnsi="Times New Roman" w:cs="Times New Roman"/>
          <w:u w:val="single" w:color="0563C1"/>
        </w:rPr>
        <w:t xml:space="preserve"> </w:t>
      </w:r>
      <w:r>
        <w:rPr>
          <w:rFonts w:ascii="Times New Roman" w:eastAsia="Times New Roman" w:hAnsi="Times New Roman" w:cs="Times New Roman"/>
          <w:color w:val="0563C1"/>
          <w:u w:val="single" w:color="0563C1"/>
        </w:rPr>
        <w:t>yandex</w:t>
      </w:r>
      <w:r>
        <w:rPr>
          <w:rFonts w:ascii="Times New Roman" w:eastAsia="Times New Roman" w:hAnsi="Times New Roman" w:cs="Times New Roman"/>
          <w:u w:val="single" w:color="0563C1"/>
        </w:rPr>
        <w:t xml:space="preserve"> </w:t>
      </w:r>
      <w:r>
        <w:rPr>
          <w:rFonts w:ascii="Times New Roman" w:eastAsia="Times New Roman" w:hAnsi="Times New Roman" w:cs="Times New Roman"/>
          <w:color w:val="0563C1"/>
          <w:u w:val="single" w:color="0563C1"/>
        </w:rPr>
        <w:t>.</w:t>
      </w:r>
      <w:r>
        <w:rPr>
          <w:rFonts w:ascii="Times New Roman" w:eastAsia="Times New Roman" w:hAnsi="Times New Roman" w:cs="Times New Roman"/>
          <w:u w:val="single" w:color="0563C1"/>
        </w:rPr>
        <w:t xml:space="preserve">  </w:t>
      </w:r>
      <w:r>
        <w:rPr>
          <w:rFonts w:ascii="Times New Roman" w:eastAsia="Times New Roman" w:hAnsi="Times New Roman" w:cs="Times New Roman"/>
          <w:color w:val="0563C1"/>
          <w:u w:val="single" w:color="0563C1"/>
        </w:rPr>
        <w:t>ru</w:t>
      </w:r>
      <w:r>
        <w:rPr>
          <w:rFonts w:ascii="Times New Roman" w:eastAsia="Times New Roman" w:hAnsi="Times New Roman" w:cs="Times New Roman"/>
          <w:u w:val="single" w:color="0563C1"/>
        </w:rPr>
        <w:t xml:space="preserve">  </w:t>
      </w:r>
      <w:r>
        <w:rPr>
          <w:rFonts w:ascii="Times New Roman" w:eastAsia="Times New Roman" w:hAnsi="Times New Roman" w:cs="Times New Roman"/>
          <w:color w:val="0563C1"/>
          <w:u w:val="single" w:color="0563C1"/>
        </w:rPr>
        <w:t>,</w:t>
      </w:r>
      <w:r>
        <w:rPr>
          <w:rFonts w:ascii="Times New Roman" w:eastAsia="Times New Roman" w:hAnsi="Times New Roman" w:cs="Times New Roman"/>
          <w:u w:val="single" w:color="0563C1"/>
        </w:rPr>
        <w:t xml:space="preserve"> </w:t>
      </w:r>
      <w:r>
        <w:rPr>
          <w:rFonts w:ascii="Times New Roman" w:eastAsia="Times New Roman" w:hAnsi="Times New Roman" w:cs="Times New Roman"/>
          <w:color w:val="0563C1"/>
          <w:u w:val="single" w:color="0563C1"/>
        </w:rPr>
        <w:t>dinara</w:t>
      </w:r>
      <w:r>
        <w:rPr>
          <w:rFonts w:ascii="Times New Roman" w:eastAsia="Times New Roman" w:hAnsi="Times New Roman" w:cs="Times New Roman"/>
          <w:u w:val="single" w:color="0563C1"/>
        </w:rPr>
        <w:t xml:space="preserve">   </w:t>
      </w:r>
      <w:r>
        <w:rPr>
          <w:rFonts w:ascii="Times New Roman" w:eastAsia="Times New Roman" w:hAnsi="Times New Roman" w:cs="Times New Roman"/>
          <w:color w:val="0563C1"/>
          <w:u w:val="single" w:color="0563C1"/>
        </w:rPr>
        <w:t>_</w:t>
      </w:r>
      <w:r>
        <w:rPr>
          <w:rFonts w:ascii="Times New Roman" w:eastAsia="Times New Roman" w:hAnsi="Times New Roman" w:cs="Times New Roman"/>
          <w:u w:val="single" w:color="0563C1"/>
        </w:rPr>
        <w:t xml:space="preserve"> </w:t>
      </w:r>
      <w:r>
        <w:rPr>
          <w:rFonts w:ascii="Times New Roman" w:eastAsia="Times New Roman" w:hAnsi="Times New Roman" w:cs="Times New Roman"/>
          <w:color w:val="0563C1"/>
          <w:u w:val="single" w:color="0563C1"/>
        </w:rPr>
        <w:t>muhiyaeva</w:t>
      </w:r>
      <w:r>
        <w:rPr>
          <w:rFonts w:ascii="Times New Roman" w:eastAsia="Times New Roman" w:hAnsi="Times New Roman" w:cs="Times New Roman"/>
          <w:u w:val="single" w:color="0563C1"/>
        </w:rPr>
        <w:t xml:space="preserve">   </w:t>
      </w:r>
      <w:r>
        <w:rPr>
          <w:rFonts w:ascii="Times New Roman" w:eastAsia="Times New Roman" w:hAnsi="Times New Roman" w:cs="Times New Roman"/>
          <w:color w:val="0563C1"/>
          <w:u w:val="single" w:color="0563C1"/>
        </w:rPr>
        <w:t>@</w:t>
      </w:r>
      <w:r>
        <w:rPr>
          <w:rFonts w:ascii="Times New Roman" w:eastAsia="Times New Roman" w:hAnsi="Times New Roman" w:cs="Times New Roman"/>
          <w:u w:val="single" w:color="0563C1"/>
        </w:rPr>
        <w:t xml:space="preserve"> </w:t>
      </w:r>
      <w:r>
        <w:rPr>
          <w:rFonts w:ascii="Times New Roman" w:eastAsia="Times New Roman" w:hAnsi="Times New Roman" w:cs="Times New Roman"/>
          <w:color w:val="0563C1"/>
          <w:u w:val="single" w:color="0563C1"/>
        </w:rPr>
        <w:t>mail</w:t>
      </w:r>
      <w:r>
        <w:rPr>
          <w:rFonts w:ascii="Times New Roman" w:eastAsia="Times New Roman" w:hAnsi="Times New Roman" w:cs="Times New Roman"/>
          <w:u w:val="single" w:color="0563C1"/>
        </w:rPr>
        <w:t xml:space="preserve"> </w:t>
      </w:r>
      <w:r>
        <w:rPr>
          <w:rFonts w:ascii="Times New Roman" w:eastAsia="Times New Roman" w:hAnsi="Times New Roman" w:cs="Times New Roman"/>
          <w:color w:val="0563C1"/>
          <w:u w:val="single" w:color="0563C1"/>
        </w:rPr>
        <w:t>.</w:t>
      </w:r>
      <w:r>
        <w:rPr>
          <w:rFonts w:ascii="Times New Roman" w:eastAsia="Times New Roman" w:hAnsi="Times New Roman" w:cs="Times New Roman"/>
          <w:u w:val="single" w:color="0563C1"/>
        </w:rPr>
        <w:t xml:space="preserve">  </w:t>
      </w:r>
      <w:r>
        <w:rPr>
          <w:rFonts w:ascii="Times New Roman" w:eastAsia="Times New Roman" w:hAnsi="Times New Roman" w:cs="Times New Roman"/>
          <w:color w:val="0563C1"/>
          <w:u w:val="single" w:color="0563C1"/>
        </w:rPr>
        <w:t>ru</w:t>
      </w:r>
      <w:r>
        <w:rPr>
          <w:rFonts w:ascii="Times New Roman" w:eastAsia="Times New Roman" w:hAnsi="Times New Roman" w:cs="Times New Roman"/>
          <w:u w:val="single" w:color="0563C1"/>
        </w:rPr>
        <w:t xml:space="preserve">  </w:t>
      </w:r>
      <w:r>
        <w:rPr>
          <w:rFonts w:ascii="Times New Roman" w:eastAsia="Times New Roman" w:hAnsi="Times New Roman" w:cs="Times New Roman"/>
          <w:color w:val="0563C1"/>
          <w:u w:val="single" w:color="0563C1"/>
        </w:rPr>
        <w:t>, r.</w:t>
      </w:r>
      <w:r>
        <w:rPr>
          <w:rFonts w:ascii="Times New Roman" w:eastAsia="Times New Roman" w:hAnsi="Times New Roman" w:cs="Times New Roman"/>
          <w:u w:val="single" w:color="0563C1"/>
        </w:rPr>
        <w:t xml:space="preserve"> </w:t>
      </w:r>
      <w:r>
        <w:rPr>
          <w:rFonts w:ascii="Times New Roman" w:eastAsia="Times New Roman" w:hAnsi="Times New Roman" w:cs="Times New Roman"/>
          <w:color w:val="0563C1"/>
          <w:u w:val="single" w:color="0563C1"/>
        </w:rPr>
        <w:t>satova</w:t>
      </w:r>
      <w:r>
        <w:rPr>
          <w:rFonts w:ascii="Times New Roman" w:eastAsia="Times New Roman" w:hAnsi="Times New Roman" w:cs="Times New Roman"/>
          <w:u w:val="single" w:color="0563C1"/>
        </w:rPr>
        <w:t xml:space="preserve">   </w:t>
      </w:r>
      <w:r>
        <w:rPr>
          <w:rFonts w:ascii="Times New Roman" w:eastAsia="Times New Roman" w:hAnsi="Times New Roman" w:cs="Times New Roman"/>
          <w:color w:val="0563C1"/>
          <w:u w:val="single" w:color="0563C1"/>
        </w:rPr>
        <w:t>@</w:t>
      </w:r>
      <w:r>
        <w:rPr>
          <w:rFonts w:ascii="Times New Roman" w:eastAsia="Times New Roman" w:hAnsi="Times New Roman" w:cs="Times New Roman"/>
          <w:u w:val="single" w:color="0563C1"/>
        </w:rPr>
        <w:t xml:space="preserve"> </w:t>
      </w:r>
      <w:r>
        <w:rPr>
          <w:rFonts w:ascii="Times New Roman" w:eastAsia="Times New Roman" w:hAnsi="Times New Roman" w:cs="Times New Roman"/>
          <w:color w:val="0563C1"/>
          <w:u w:val="single" w:color="0563C1"/>
        </w:rPr>
        <w:t>aues</w:t>
      </w:r>
      <w:r>
        <w:rPr>
          <w:rFonts w:ascii="Times New Roman" w:eastAsia="Times New Roman" w:hAnsi="Times New Roman" w:cs="Times New Roman"/>
          <w:u w:val="single" w:color="0563C1"/>
        </w:rPr>
        <w:t xml:space="preserve">   </w:t>
      </w:r>
      <w:r>
        <w:rPr>
          <w:rFonts w:ascii="Times New Roman" w:eastAsia="Times New Roman" w:hAnsi="Times New Roman" w:cs="Times New Roman"/>
          <w:color w:val="0563C1"/>
          <w:u w:val="single" w:color="0563C1"/>
        </w:rPr>
        <w:t>, l.</w:t>
      </w:r>
      <w:r>
        <w:rPr>
          <w:rFonts w:ascii="Times New Roman" w:eastAsia="Times New Roman" w:hAnsi="Times New Roman" w:cs="Times New Roman"/>
          <w:u w:val="single" w:color="0563C1"/>
        </w:rPr>
        <w:t xml:space="preserve"> </w:t>
      </w:r>
      <w:r>
        <w:rPr>
          <w:rFonts w:ascii="Times New Roman" w:eastAsia="Times New Roman" w:hAnsi="Times New Roman" w:cs="Times New Roman"/>
          <w:color w:val="0563C1"/>
          <w:u w:val="single" w:color="0563C1"/>
        </w:rPr>
        <w:t>nurmuratova</w:t>
      </w:r>
      <w:r>
        <w:rPr>
          <w:rFonts w:ascii="Times New Roman" w:eastAsia="Times New Roman" w:hAnsi="Times New Roman" w:cs="Times New Roman"/>
          <w:u w:val="single" w:color="0563C1"/>
        </w:rPr>
        <w:t xml:space="preserve">   </w:t>
      </w:r>
      <w:r>
        <w:rPr>
          <w:rFonts w:ascii="Times New Roman" w:eastAsia="Times New Roman" w:hAnsi="Times New Roman" w:cs="Times New Roman"/>
          <w:color w:val="0563C1"/>
          <w:u w:val="single" w:color="0563C1"/>
        </w:rPr>
        <w:t>@</w:t>
      </w:r>
      <w:r>
        <w:rPr>
          <w:rFonts w:ascii="Times New Roman" w:eastAsia="Times New Roman" w:hAnsi="Times New Roman" w:cs="Times New Roman"/>
          <w:u w:val="single" w:color="0563C1"/>
        </w:rPr>
        <w:t xml:space="preserve"> </w:t>
      </w:r>
      <w:r>
        <w:rPr>
          <w:rFonts w:ascii="Times New Roman" w:eastAsia="Times New Roman" w:hAnsi="Times New Roman" w:cs="Times New Roman"/>
          <w:color w:val="0563C1"/>
          <w:u w:val="single" w:color="0563C1"/>
        </w:rPr>
        <w:t>aues</w:t>
      </w:r>
      <w:r>
        <w:rPr>
          <w:rFonts w:ascii="Times New Roman" w:eastAsia="Times New Roman" w:hAnsi="Times New Roman" w:cs="Times New Roman"/>
          <w:u w:val="single" w:color="0563C1"/>
        </w:rPr>
        <w:t xml:space="preserve"> </w:t>
      </w:r>
      <w:r>
        <w:rPr>
          <w:rFonts w:ascii="Times New Roman" w:eastAsia="Times New Roman" w:hAnsi="Times New Roman" w:cs="Times New Roman"/>
          <w:color w:val="0563C1"/>
          <w:u w:val="single" w:color="0563C1"/>
        </w:rPr>
        <w:t>.</w:t>
      </w:r>
      <w:r>
        <w:rPr>
          <w:rFonts w:ascii="Times New Roman" w:eastAsia="Times New Roman" w:hAnsi="Times New Roman" w:cs="Times New Roman"/>
          <w:u w:val="single" w:color="0563C1"/>
        </w:rPr>
        <w:t xml:space="preserve">  </w:t>
      </w:r>
      <w:r>
        <w:rPr>
          <w:rFonts w:ascii="Times New Roman" w:eastAsia="Times New Roman" w:hAnsi="Times New Roman" w:cs="Times New Roman"/>
          <w:color w:val="0563C1"/>
          <w:u w:val="single" w:color="0563C1"/>
        </w:rPr>
        <w:t>kz</w:t>
      </w:r>
    </w:p>
    <w:p w:rsidR="0052701D" w:rsidRDefault="00D40929">
      <w:pPr>
        <w:spacing w:after="3" w:line="249" w:lineRule="auto"/>
        <w:ind w:right="7" w:firstLine="700"/>
        <w:jc w:val="both"/>
      </w:pPr>
      <w:r>
        <w:rPr>
          <w:rFonts w:ascii="Times New Roman" w:eastAsia="Times New Roman" w:hAnsi="Times New Roman" w:cs="Times New Roman"/>
          <w:b/>
          <w:i/>
          <w:sz w:val="24"/>
        </w:rPr>
        <w:t>Аннотация.</w:t>
      </w:r>
      <w:r>
        <w:rPr>
          <w:rFonts w:ascii="Times New Roman" w:eastAsia="Times New Roman" w:hAnsi="Times New Roman" w:cs="Times New Roman"/>
          <w:i/>
          <w:sz w:val="24"/>
        </w:rPr>
        <w:t xml:space="preserve"> Регион является составной частью не только административнотерриториального устройства, но и всей экономической системы страны. Регио</w:t>
      </w:r>
      <w:r>
        <w:rPr>
          <w:rFonts w:ascii="Times New Roman" w:eastAsia="Times New Roman" w:hAnsi="Times New Roman" w:cs="Times New Roman"/>
          <w:i/>
          <w:sz w:val="24"/>
        </w:rPr>
        <w:t xml:space="preserve">н, представляющий собой агломерацию производительных сил, характеризующуюся природногеографическими, социально-экономическими, демографическими и другими особенностями, является центральным звеном экономического развития национального масштаба. </w:t>
      </w:r>
    </w:p>
    <w:p w:rsidR="0052701D" w:rsidRDefault="00D40929">
      <w:pPr>
        <w:spacing w:after="3" w:line="249" w:lineRule="auto"/>
        <w:ind w:right="6" w:firstLine="700"/>
        <w:jc w:val="both"/>
      </w:pPr>
      <w:r>
        <w:rPr>
          <w:rFonts w:ascii="Times New Roman" w:eastAsia="Times New Roman" w:hAnsi="Times New Roman" w:cs="Times New Roman"/>
          <w:i/>
          <w:sz w:val="24"/>
        </w:rPr>
        <w:t>Цель статьи-изучение управления социально-экономическим развитием региона, выявление актуальных проблем и выработка предложений по их решению. Научная и практическая значимость статьи заключается в рассмотрении методических основ оценки управления социальн</w:t>
      </w:r>
      <w:r>
        <w:rPr>
          <w:rFonts w:ascii="Times New Roman" w:eastAsia="Times New Roman" w:hAnsi="Times New Roman" w:cs="Times New Roman"/>
          <w:i/>
          <w:sz w:val="24"/>
        </w:rPr>
        <w:t xml:space="preserve">о-экономическим развитием региона, изучении зарубежного опыта управления социально-экономическими процессами региона, оценке социально-экономического развития Жетысайского района и разработке путей повышения эффективности управления социальноэкономическим </w:t>
      </w:r>
      <w:r>
        <w:rPr>
          <w:rFonts w:ascii="Times New Roman" w:eastAsia="Times New Roman" w:hAnsi="Times New Roman" w:cs="Times New Roman"/>
          <w:i/>
          <w:sz w:val="24"/>
        </w:rPr>
        <w:t xml:space="preserve">развитием Жетысайского района. </w:t>
      </w:r>
    </w:p>
    <w:p w:rsidR="0052701D" w:rsidRDefault="00D40929">
      <w:pPr>
        <w:spacing w:after="3" w:line="249" w:lineRule="auto"/>
        <w:ind w:right="6" w:firstLine="700"/>
        <w:jc w:val="both"/>
      </w:pPr>
      <w:r>
        <w:rPr>
          <w:rFonts w:ascii="Times New Roman" w:eastAsia="Times New Roman" w:hAnsi="Times New Roman" w:cs="Times New Roman"/>
          <w:i/>
          <w:sz w:val="24"/>
        </w:rPr>
        <w:t xml:space="preserve">В статье использована методология исследования-теоретическая и практическая методология. Среди них были нормативные, функциональные, статические, динамические методы анализа, обобщения, уточнения, измерения. </w:t>
      </w:r>
    </w:p>
    <w:p w:rsidR="0052701D" w:rsidRDefault="00D40929">
      <w:pPr>
        <w:spacing w:after="3" w:line="249" w:lineRule="auto"/>
        <w:ind w:right="10" w:firstLine="700"/>
        <w:jc w:val="both"/>
      </w:pPr>
      <w:r>
        <w:rPr>
          <w:rFonts w:ascii="Times New Roman" w:eastAsia="Times New Roman" w:hAnsi="Times New Roman" w:cs="Times New Roman"/>
          <w:i/>
          <w:sz w:val="24"/>
        </w:rPr>
        <w:t xml:space="preserve">Основные результаты и анализ статьи характеризуются представлением механизмов управления социально-экономическим развитием региона и научным обоснованием их </w:t>
      </w:r>
      <w:r>
        <w:rPr>
          <w:rFonts w:ascii="Times New Roman" w:eastAsia="Times New Roman" w:hAnsi="Times New Roman" w:cs="Times New Roman"/>
          <w:i/>
          <w:sz w:val="24"/>
        </w:rPr>
        <w:lastRenderedPageBreak/>
        <w:t>эффективности. Научные результаты, достигнутые в ходе исследования, могут быть использованы в прогр</w:t>
      </w:r>
      <w:r>
        <w:rPr>
          <w:rFonts w:ascii="Times New Roman" w:eastAsia="Times New Roman" w:hAnsi="Times New Roman" w:cs="Times New Roman"/>
          <w:i/>
          <w:sz w:val="24"/>
        </w:rPr>
        <w:t>аммах социально-экономического развития региона.</w:t>
      </w:r>
    </w:p>
    <w:p w:rsidR="0052701D" w:rsidRDefault="00D40929">
      <w:pPr>
        <w:spacing w:after="3" w:line="249" w:lineRule="auto"/>
        <w:ind w:right="9" w:firstLine="700"/>
        <w:jc w:val="both"/>
      </w:pPr>
      <w:r>
        <w:rPr>
          <w:rFonts w:ascii="Times New Roman" w:eastAsia="Times New Roman" w:hAnsi="Times New Roman" w:cs="Times New Roman"/>
          <w:i/>
          <w:sz w:val="24"/>
        </w:rPr>
        <w:t>Результаты исследования вносят определенный вклад в совершенствование теоретических и методических основ управления социально-экономическим развитием региона. Модель определяет только существенно расширенные</w:t>
      </w:r>
      <w:r>
        <w:rPr>
          <w:rFonts w:ascii="Times New Roman" w:eastAsia="Times New Roman" w:hAnsi="Times New Roman" w:cs="Times New Roman"/>
          <w:i/>
          <w:sz w:val="24"/>
        </w:rPr>
        <w:t xml:space="preserve"> инструменты, каждый из которых предполагает более детальное организационное, экономическое и финансовое использование научно обоснованных элементов, что на практике повышает эффективность управления развитием территории и обеспечивает повышение качества ж</w:t>
      </w:r>
      <w:r>
        <w:rPr>
          <w:rFonts w:ascii="Times New Roman" w:eastAsia="Times New Roman" w:hAnsi="Times New Roman" w:cs="Times New Roman"/>
          <w:i/>
          <w:sz w:val="24"/>
        </w:rPr>
        <w:t>изни населения.</w:t>
      </w:r>
    </w:p>
    <w:p w:rsidR="0052701D" w:rsidRDefault="00D40929">
      <w:pPr>
        <w:spacing w:after="3" w:line="249" w:lineRule="auto"/>
        <w:ind w:right="8" w:firstLine="700"/>
        <w:jc w:val="both"/>
      </w:pPr>
      <w:r>
        <w:rPr>
          <w:rFonts w:ascii="Times New Roman" w:eastAsia="Times New Roman" w:hAnsi="Times New Roman" w:cs="Times New Roman"/>
          <w:i/>
          <w:sz w:val="24"/>
        </w:rPr>
        <w:t>Ценность исследования состоит в том, что система непрерывного планирования основывается на принципах стратегического управления, а оперативное управление осуществляется с учетом сложившейся стратегии развития и обеспечивается непрерывностью</w:t>
      </w:r>
      <w:r>
        <w:rPr>
          <w:rFonts w:ascii="Times New Roman" w:eastAsia="Times New Roman" w:hAnsi="Times New Roman" w:cs="Times New Roman"/>
          <w:i/>
          <w:sz w:val="24"/>
        </w:rPr>
        <w:t xml:space="preserve"> и преемственностью всего процесса управления социально-экономическим развитием региона. Использование данной системы планирования позволяет не только последовательно осуществлять запланированные мероприятия, но и заранее определить целесообразность их осу</w:t>
      </w:r>
      <w:r>
        <w:rPr>
          <w:rFonts w:ascii="Times New Roman" w:eastAsia="Times New Roman" w:hAnsi="Times New Roman" w:cs="Times New Roman"/>
          <w:i/>
          <w:sz w:val="24"/>
        </w:rPr>
        <w:t>ществления в определенный период времени.</w:t>
      </w:r>
    </w:p>
    <w:p w:rsidR="0052701D" w:rsidRDefault="00D40929">
      <w:pPr>
        <w:spacing w:after="278" w:line="249" w:lineRule="auto"/>
        <w:ind w:firstLine="700"/>
        <w:jc w:val="both"/>
      </w:pP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 регион, социально-экономическое развитие, анализ, оцека, модель управления.</w:t>
      </w:r>
    </w:p>
    <w:p w:rsidR="0052701D" w:rsidRDefault="00D40929">
      <w:pPr>
        <w:spacing w:after="0" w:line="248" w:lineRule="auto"/>
        <w:ind w:left="-15" w:right="1" w:firstLine="558"/>
        <w:jc w:val="both"/>
      </w:pPr>
      <w:r>
        <w:rPr>
          <w:rFonts w:ascii="Times New Roman" w:eastAsia="Times New Roman" w:hAnsi="Times New Roman" w:cs="Times New Roman"/>
          <w:b/>
          <w:sz w:val="26"/>
        </w:rPr>
        <w:t>Introduction.</w:t>
      </w:r>
      <w:r>
        <w:rPr>
          <w:rFonts w:ascii="Times New Roman" w:eastAsia="Times New Roman" w:hAnsi="Times New Roman" w:cs="Times New Roman"/>
          <w:sz w:val="26"/>
        </w:rPr>
        <w:t xml:space="preserve"> In all countries of the world, the level of socio-economic development of regions is different due to distin</w:t>
      </w:r>
      <w:r>
        <w:rPr>
          <w:rFonts w:ascii="Times New Roman" w:eastAsia="Times New Roman" w:hAnsi="Times New Roman" w:cs="Times New Roman"/>
          <w:sz w:val="26"/>
        </w:rPr>
        <w:t>ctions in geographical location, climatic, demographic situation, history of development and other factors. This creates many serious socio-economic problems. Therefore, each state strives to improve the standard of living in backward regions, i.e. pursues</w:t>
      </w:r>
      <w:r>
        <w:rPr>
          <w:rFonts w:ascii="Times New Roman" w:eastAsia="Times New Roman" w:hAnsi="Times New Roman" w:cs="Times New Roman"/>
          <w:sz w:val="26"/>
        </w:rPr>
        <w:t xml:space="preserve"> a regional policy aimed at leveling the state and increasing the level of their development.</w:t>
      </w:r>
    </w:p>
    <w:p w:rsidR="0052701D" w:rsidRDefault="00D40929">
      <w:pPr>
        <w:spacing w:after="0" w:line="248" w:lineRule="auto"/>
        <w:ind w:left="-15" w:right="1" w:firstLine="558"/>
        <w:jc w:val="both"/>
      </w:pPr>
      <w:r>
        <w:rPr>
          <w:rFonts w:ascii="Times New Roman" w:eastAsia="Times New Roman" w:hAnsi="Times New Roman" w:cs="Times New Roman"/>
          <w:sz w:val="26"/>
        </w:rPr>
        <w:t>The purpose of the article is to study the management of socio-economic development of the region, identify problems and develop proposals for their solution.</w:t>
      </w:r>
    </w:p>
    <w:p w:rsidR="0052701D" w:rsidRDefault="00D40929">
      <w:pPr>
        <w:spacing w:after="0" w:line="248" w:lineRule="auto"/>
        <w:ind w:left="568" w:right="1"/>
        <w:jc w:val="both"/>
      </w:pPr>
      <w:r>
        <w:rPr>
          <w:rFonts w:ascii="Times New Roman" w:eastAsia="Times New Roman" w:hAnsi="Times New Roman" w:cs="Times New Roman"/>
          <w:sz w:val="26"/>
        </w:rPr>
        <w:t xml:space="preserve">To </w:t>
      </w:r>
      <w:r>
        <w:rPr>
          <w:rFonts w:ascii="Times New Roman" w:eastAsia="Times New Roman" w:hAnsi="Times New Roman" w:cs="Times New Roman"/>
          <w:sz w:val="26"/>
        </w:rPr>
        <w:t>achieve this goal, you need to perform the following tasks:</w:t>
      </w:r>
    </w:p>
    <w:p w:rsidR="0052701D" w:rsidRDefault="00D40929">
      <w:pPr>
        <w:numPr>
          <w:ilvl w:val="0"/>
          <w:numId w:val="152"/>
        </w:numPr>
        <w:spacing w:after="0" w:line="248" w:lineRule="auto"/>
        <w:ind w:right="1" w:firstLine="558"/>
        <w:jc w:val="both"/>
      </w:pPr>
      <w:r>
        <w:rPr>
          <w:rFonts w:ascii="Times New Roman" w:eastAsia="Times New Roman" w:hAnsi="Times New Roman" w:cs="Times New Roman"/>
          <w:sz w:val="26"/>
        </w:rPr>
        <w:t>to reveal the essence and content of the socio-economic development of the region;</w:t>
      </w:r>
    </w:p>
    <w:p w:rsidR="0052701D" w:rsidRDefault="00D40929">
      <w:pPr>
        <w:numPr>
          <w:ilvl w:val="0"/>
          <w:numId w:val="152"/>
        </w:numPr>
        <w:spacing w:after="0" w:line="248" w:lineRule="auto"/>
        <w:ind w:right="1" w:firstLine="558"/>
        <w:jc w:val="both"/>
      </w:pPr>
      <w:r>
        <w:rPr>
          <w:rFonts w:ascii="Times New Roman" w:eastAsia="Times New Roman" w:hAnsi="Times New Roman" w:cs="Times New Roman"/>
          <w:sz w:val="26"/>
        </w:rPr>
        <w:t>to consider the methodological basis for assessing the management of socio-economicdevelopment of the region;</w:t>
      </w:r>
    </w:p>
    <w:p w:rsidR="0052701D" w:rsidRDefault="00D40929">
      <w:pPr>
        <w:numPr>
          <w:ilvl w:val="0"/>
          <w:numId w:val="152"/>
        </w:numPr>
        <w:spacing w:after="0" w:line="248" w:lineRule="auto"/>
        <w:ind w:right="1" w:firstLine="558"/>
        <w:jc w:val="both"/>
      </w:pPr>
      <w:r>
        <w:rPr>
          <w:rFonts w:ascii="Times New Roman" w:eastAsia="Times New Roman" w:hAnsi="Times New Roman" w:cs="Times New Roman"/>
          <w:sz w:val="26"/>
        </w:rPr>
        <w:t xml:space="preserve">to </w:t>
      </w:r>
      <w:r>
        <w:rPr>
          <w:rFonts w:ascii="Times New Roman" w:eastAsia="Times New Roman" w:hAnsi="Times New Roman" w:cs="Times New Roman"/>
          <w:sz w:val="26"/>
        </w:rPr>
        <w:t>study foreign experience in managing socio-economic processes in the region;</w:t>
      </w:r>
    </w:p>
    <w:p w:rsidR="0052701D" w:rsidRDefault="00D40929">
      <w:pPr>
        <w:numPr>
          <w:ilvl w:val="0"/>
          <w:numId w:val="152"/>
        </w:numPr>
        <w:spacing w:after="0" w:line="248" w:lineRule="auto"/>
        <w:ind w:right="1" w:firstLine="558"/>
        <w:jc w:val="both"/>
      </w:pPr>
      <w:r>
        <w:rPr>
          <w:rFonts w:ascii="Times New Roman" w:eastAsia="Times New Roman" w:hAnsi="Times New Roman" w:cs="Times New Roman"/>
          <w:sz w:val="26"/>
        </w:rPr>
        <w:t>to determine the current state of socio-economic development of Zhetysay district;</w:t>
      </w:r>
    </w:p>
    <w:p w:rsidR="0052701D" w:rsidRDefault="00D40929">
      <w:pPr>
        <w:numPr>
          <w:ilvl w:val="0"/>
          <w:numId w:val="152"/>
        </w:numPr>
        <w:spacing w:after="0" w:line="248" w:lineRule="auto"/>
        <w:ind w:right="1" w:firstLine="558"/>
        <w:jc w:val="both"/>
      </w:pPr>
      <w:r>
        <w:rPr>
          <w:rFonts w:ascii="Times New Roman" w:eastAsia="Times New Roman" w:hAnsi="Times New Roman" w:cs="Times New Roman"/>
          <w:sz w:val="26"/>
        </w:rPr>
        <w:t>to assess the socio-economic development of Zhetysay district;</w:t>
      </w:r>
    </w:p>
    <w:p w:rsidR="0052701D" w:rsidRDefault="00D40929">
      <w:pPr>
        <w:numPr>
          <w:ilvl w:val="0"/>
          <w:numId w:val="152"/>
        </w:numPr>
        <w:spacing w:after="0" w:line="248" w:lineRule="auto"/>
        <w:ind w:right="1" w:firstLine="558"/>
        <w:jc w:val="both"/>
      </w:pPr>
      <w:r>
        <w:rPr>
          <w:rFonts w:ascii="Times New Roman" w:eastAsia="Times New Roman" w:hAnsi="Times New Roman" w:cs="Times New Roman"/>
          <w:sz w:val="26"/>
        </w:rPr>
        <w:t>to analyze the management of socio-economic development of Zhetysay district;</w:t>
      </w:r>
    </w:p>
    <w:p w:rsidR="0052701D" w:rsidRDefault="00D40929">
      <w:pPr>
        <w:numPr>
          <w:ilvl w:val="0"/>
          <w:numId w:val="152"/>
        </w:numPr>
        <w:spacing w:after="0" w:line="248" w:lineRule="auto"/>
        <w:ind w:right="1" w:firstLine="558"/>
        <w:jc w:val="both"/>
      </w:pPr>
      <w:r>
        <w:rPr>
          <w:rFonts w:ascii="Times New Roman" w:eastAsia="Times New Roman" w:hAnsi="Times New Roman" w:cs="Times New Roman"/>
          <w:sz w:val="26"/>
        </w:rPr>
        <w:t xml:space="preserve">to develop ways to improve the management of socio-economic development of Zhetysaydistrict. </w:t>
      </w:r>
    </w:p>
    <w:p w:rsidR="0052701D" w:rsidRDefault="00D40929">
      <w:pPr>
        <w:spacing w:after="0" w:line="248" w:lineRule="auto"/>
        <w:ind w:left="-15" w:right="1" w:firstLine="558"/>
        <w:jc w:val="both"/>
      </w:pPr>
      <w:r>
        <w:rPr>
          <w:rFonts w:ascii="Times New Roman" w:eastAsia="Times New Roman" w:hAnsi="Times New Roman" w:cs="Times New Roman"/>
          <w:sz w:val="26"/>
        </w:rPr>
        <w:t>The object of research of the article is the management of socio-economic developmen</w:t>
      </w:r>
      <w:r>
        <w:rPr>
          <w:rFonts w:ascii="Times New Roman" w:eastAsia="Times New Roman" w:hAnsi="Times New Roman" w:cs="Times New Roman"/>
          <w:sz w:val="26"/>
        </w:rPr>
        <w:t>t of the Zhetysay district.</w:t>
      </w:r>
    </w:p>
    <w:p w:rsidR="0052701D" w:rsidRDefault="00D40929">
      <w:pPr>
        <w:spacing w:after="0" w:line="248" w:lineRule="auto"/>
        <w:ind w:left="-15" w:right="1" w:firstLine="558"/>
        <w:jc w:val="both"/>
      </w:pPr>
      <w:r>
        <w:rPr>
          <w:rFonts w:ascii="Times New Roman" w:eastAsia="Times New Roman" w:hAnsi="Times New Roman" w:cs="Times New Roman"/>
          <w:sz w:val="26"/>
        </w:rPr>
        <w:t>The subject of the study is public relations related to the management of socio-economic development of the region.</w:t>
      </w:r>
    </w:p>
    <w:p w:rsidR="0052701D" w:rsidRDefault="00D40929">
      <w:pPr>
        <w:spacing w:after="0" w:line="248" w:lineRule="auto"/>
        <w:ind w:left="-15" w:right="1" w:firstLine="558"/>
        <w:jc w:val="both"/>
      </w:pPr>
      <w:r>
        <w:rPr>
          <w:rFonts w:ascii="Times New Roman" w:eastAsia="Times New Roman" w:hAnsi="Times New Roman" w:cs="Times New Roman"/>
          <w:b/>
          <w:sz w:val="26"/>
        </w:rPr>
        <w:t xml:space="preserve">Materials and methods. </w:t>
      </w:r>
      <w:r>
        <w:rPr>
          <w:rFonts w:ascii="Times New Roman" w:eastAsia="Times New Roman" w:hAnsi="Times New Roman" w:cs="Times New Roman"/>
          <w:sz w:val="26"/>
        </w:rPr>
        <w:t>The specifics of the country, unlike countries with a fundamental regional economy and lo</w:t>
      </w:r>
      <w:r>
        <w:rPr>
          <w:rFonts w:ascii="Times New Roman" w:eastAsia="Times New Roman" w:hAnsi="Times New Roman" w:cs="Times New Roman"/>
          <w:sz w:val="26"/>
        </w:rPr>
        <w:t>cal self-government capabilities, are determined by large territories, low population density, high production capacity and low capacity of the domestic market. In our opinion, a focused long-term approach is the basis for the optimal development of the st</w:t>
      </w:r>
      <w:r>
        <w:rPr>
          <w:rFonts w:ascii="Times New Roman" w:eastAsia="Times New Roman" w:hAnsi="Times New Roman" w:cs="Times New Roman"/>
          <w:sz w:val="26"/>
        </w:rPr>
        <w:t>ate. Therefore, this section of the thesis analyzes the socio-economic development of the Zhetysay district.</w:t>
      </w:r>
    </w:p>
    <w:p w:rsidR="0052701D" w:rsidRDefault="00D40929">
      <w:pPr>
        <w:spacing w:after="0" w:line="248" w:lineRule="auto"/>
        <w:ind w:left="-15" w:right="1" w:firstLine="558"/>
        <w:jc w:val="both"/>
      </w:pPr>
      <w:r>
        <w:rPr>
          <w:rFonts w:ascii="Times New Roman" w:eastAsia="Times New Roman" w:hAnsi="Times New Roman" w:cs="Times New Roman"/>
          <w:sz w:val="26"/>
        </w:rPr>
        <w:t>Thus, the gross regional product of Zhetysay district in 2021 increased by 21.9% compared to 2019 and amounted to 221.4 million tenge, the physical</w:t>
      </w:r>
      <w:r>
        <w:rPr>
          <w:rFonts w:ascii="Times New Roman" w:eastAsia="Times New Roman" w:hAnsi="Times New Roman" w:cs="Times New Roman"/>
          <w:sz w:val="26"/>
        </w:rPr>
        <w:t xml:space="preserve"> volume index -104% (in 2019 – 112.9 million tenge, IFO-104.2%, in 2020 – 189.2 million tenge, IFO-101.8%).</w:t>
      </w:r>
    </w:p>
    <w:p w:rsidR="0052701D" w:rsidRDefault="00D40929">
      <w:pPr>
        <w:spacing w:after="0" w:line="248" w:lineRule="auto"/>
        <w:ind w:left="568" w:right="1"/>
        <w:jc w:val="both"/>
      </w:pPr>
      <w:r>
        <w:rPr>
          <w:rFonts w:ascii="Times New Roman" w:eastAsia="Times New Roman" w:hAnsi="Times New Roman" w:cs="Times New Roman"/>
          <w:sz w:val="26"/>
        </w:rPr>
        <w:t>The share of the republican GDP of the region is 4.5%.</w:t>
      </w:r>
    </w:p>
    <w:p w:rsidR="0052701D" w:rsidRDefault="00D40929">
      <w:pPr>
        <w:spacing w:after="0" w:line="248" w:lineRule="auto"/>
        <w:ind w:left="-15" w:right="1" w:firstLine="558"/>
        <w:jc w:val="both"/>
      </w:pPr>
      <w:r>
        <w:rPr>
          <w:rFonts w:ascii="Times New Roman" w:eastAsia="Times New Roman" w:hAnsi="Times New Roman" w:cs="Times New Roman"/>
          <w:sz w:val="26"/>
        </w:rPr>
        <w:lastRenderedPageBreak/>
        <w:t>The change in the total regional product of the Zhetysay district for 2019-2021 is determined</w:t>
      </w:r>
      <w:r>
        <w:rPr>
          <w:rFonts w:ascii="Times New Roman" w:eastAsia="Times New Roman" w:hAnsi="Times New Roman" w:cs="Times New Roman"/>
          <w:sz w:val="26"/>
        </w:rPr>
        <w:t xml:space="preserve"> by the following indicators (Fig.1).</w:t>
      </w:r>
    </w:p>
    <w:tbl>
      <w:tblPr>
        <w:tblStyle w:val="TableGrid"/>
        <w:tblW w:w="6412" w:type="dxa"/>
        <w:tblInd w:w="1886" w:type="dxa"/>
        <w:tblCellMar>
          <w:top w:w="0" w:type="dxa"/>
          <w:left w:w="90" w:type="dxa"/>
          <w:bottom w:w="0" w:type="dxa"/>
          <w:right w:w="144" w:type="dxa"/>
        </w:tblCellMar>
        <w:tblLook w:val="04A0" w:firstRow="1" w:lastRow="0" w:firstColumn="1" w:lastColumn="0" w:noHBand="0" w:noVBand="1"/>
      </w:tblPr>
      <w:tblGrid>
        <w:gridCol w:w="546"/>
        <w:gridCol w:w="1949"/>
        <w:gridCol w:w="1950"/>
        <w:gridCol w:w="1967"/>
      </w:tblGrid>
      <w:tr w:rsidR="0052701D">
        <w:trPr>
          <w:trHeight w:val="192"/>
        </w:trPr>
        <w:tc>
          <w:tcPr>
            <w:tcW w:w="545" w:type="dxa"/>
            <w:vMerge w:val="restart"/>
            <w:tcBorders>
              <w:top w:val="single" w:sz="8" w:space="0" w:color="888888"/>
              <w:left w:val="single" w:sz="8" w:space="0" w:color="888888"/>
              <w:bottom w:val="single" w:sz="8" w:space="0" w:color="888888"/>
              <w:right w:val="nil"/>
            </w:tcBorders>
          </w:tcPr>
          <w:p w:rsidR="0052701D" w:rsidRDefault="00D40929">
            <w:pPr>
              <w:spacing w:after="446"/>
            </w:pPr>
            <w:r>
              <w:rPr>
                <w:sz w:val="20"/>
              </w:rPr>
              <w:t>240</w:t>
            </w:r>
          </w:p>
          <w:p w:rsidR="0052701D" w:rsidRDefault="00D40929">
            <w:pPr>
              <w:spacing w:after="448"/>
            </w:pPr>
            <w:r>
              <w:rPr>
                <w:sz w:val="20"/>
              </w:rPr>
              <w:t>180</w:t>
            </w:r>
          </w:p>
          <w:p w:rsidR="0052701D" w:rsidRDefault="00D40929">
            <w:pPr>
              <w:spacing w:after="0" w:line="700" w:lineRule="auto"/>
              <w:jc w:val="right"/>
            </w:pPr>
            <w:r>
              <w:rPr>
                <w:sz w:val="20"/>
              </w:rPr>
              <w:t>120 60</w:t>
            </w:r>
          </w:p>
          <w:p w:rsidR="0052701D" w:rsidRDefault="00D40929">
            <w:pPr>
              <w:spacing w:after="0"/>
              <w:ind w:left="210"/>
              <w:jc w:val="center"/>
            </w:pPr>
            <w:r>
              <w:rPr>
                <w:sz w:val="20"/>
              </w:rPr>
              <w:t>0</w:t>
            </w:r>
          </w:p>
        </w:tc>
        <w:tc>
          <w:tcPr>
            <w:tcW w:w="1950" w:type="dxa"/>
            <w:tcBorders>
              <w:top w:val="single" w:sz="8" w:space="0" w:color="888888"/>
              <w:left w:val="nil"/>
              <w:bottom w:val="single" w:sz="8" w:space="0" w:color="888888"/>
              <w:right w:val="nil"/>
            </w:tcBorders>
          </w:tcPr>
          <w:p w:rsidR="0052701D" w:rsidRDefault="0052701D"/>
        </w:tc>
        <w:tc>
          <w:tcPr>
            <w:tcW w:w="1950" w:type="dxa"/>
            <w:tcBorders>
              <w:top w:val="single" w:sz="8" w:space="0" w:color="888888"/>
              <w:left w:val="nil"/>
              <w:bottom w:val="single" w:sz="8" w:space="0" w:color="888888"/>
              <w:right w:val="nil"/>
            </w:tcBorders>
          </w:tcPr>
          <w:p w:rsidR="0052701D" w:rsidRDefault="0052701D"/>
        </w:tc>
        <w:tc>
          <w:tcPr>
            <w:tcW w:w="1967" w:type="dxa"/>
            <w:tcBorders>
              <w:top w:val="single" w:sz="8" w:space="0" w:color="888888"/>
              <w:left w:val="nil"/>
              <w:bottom w:val="single" w:sz="8" w:space="0" w:color="888888"/>
              <w:right w:val="single" w:sz="8" w:space="0" w:color="888888"/>
            </w:tcBorders>
          </w:tcPr>
          <w:p w:rsidR="0052701D" w:rsidRDefault="0052701D"/>
        </w:tc>
      </w:tr>
      <w:tr w:rsidR="0052701D">
        <w:trPr>
          <w:trHeight w:val="711"/>
        </w:trPr>
        <w:tc>
          <w:tcPr>
            <w:tcW w:w="0" w:type="auto"/>
            <w:vMerge/>
            <w:tcBorders>
              <w:top w:val="nil"/>
              <w:left w:val="single" w:sz="8" w:space="0" w:color="888888"/>
              <w:bottom w:val="nil"/>
              <w:right w:val="nil"/>
            </w:tcBorders>
          </w:tcPr>
          <w:p w:rsidR="0052701D" w:rsidRDefault="0052701D"/>
        </w:tc>
        <w:tc>
          <w:tcPr>
            <w:tcW w:w="1950" w:type="dxa"/>
            <w:tcBorders>
              <w:top w:val="single" w:sz="8" w:space="0" w:color="888888"/>
              <w:left w:val="single" w:sz="8" w:space="0" w:color="888888"/>
              <w:bottom w:val="single" w:sz="8" w:space="0" w:color="888888"/>
              <w:right w:val="nil"/>
            </w:tcBorders>
            <w:shd w:val="clear" w:color="auto" w:fill="FFFFFF"/>
          </w:tcPr>
          <w:p w:rsidR="0052701D" w:rsidRDefault="0052701D"/>
        </w:tc>
        <w:tc>
          <w:tcPr>
            <w:tcW w:w="1950" w:type="dxa"/>
            <w:tcBorders>
              <w:top w:val="single" w:sz="8" w:space="0" w:color="888888"/>
              <w:left w:val="nil"/>
              <w:bottom w:val="single" w:sz="8" w:space="0" w:color="888888"/>
              <w:right w:val="nil"/>
            </w:tcBorders>
            <w:shd w:val="clear" w:color="auto" w:fill="FFFFFF"/>
            <w:vAlign w:val="bottom"/>
          </w:tcPr>
          <w:p w:rsidR="0052701D" w:rsidRDefault="00D40929">
            <w:pPr>
              <w:spacing w:after="0"/>
              <w:ind w:left="52"/>
              <w:jc w:val="center"/>
            </w:pPr>
            <w:r>
              <w:rPr>
                <w:sz w:val="20"/>
              </w:rPr>
              <w:t>189.2</w:t>
            </w:r>
          </w:p>
        </w:tc>
        <w:tc>
          <w:tcPr>
            <w:tcW w:w="1967" w:type="dxa"/>
            <w:tcBorders>
              <w:top w:val="single" w:sz="8" w:space="0" w:color="888888"/>
              <w:left w:val="nil"/>
              <w:bottom w:val="single" w:sz="8" w:space="0" w:color="888888"/>
              <w:right w:val="single" w:sz="8" w:space="0" w:color="888888"/>
            </w:tcBorders>
            <w:shd w:val="clear" w:color="auto" w:fill="FFFFFF"/>
          </w:tcPr>
          <w:p w:rsidR="0052701D" w:rsidRDefault="00D40929">
            <w:pPr>
              <w:spacing w:after="0"/>
              <w:ind w:left="35"/>
              <w:jc w:val="center"/>
            </w:pPr>
            <w:r>
              <w:rPr>
                <w:sz w:val="20"/>
              </w:rPr>
              <w:t>221.4</w:t>
            </w:r>
          </w:p>
        </w:tc>
      </w:tr>
      <w:tr w:rsidR="0052701D">
        <w:trPr>
          <w:trHeight w:val="712"/>
        </w:trPr>
        <w:tc>
          <w:tcPr>
            <w:tcW w:w="0" w:type="auto"/>
            <w:vMerge/>
            <w:tcBorders>
              <w:top w:val="nil"/>
              <w:left w:val="single" w:sz="8" w:space="0" w:color="888888"/>
              <w:bottom w:val="nil"/>
              <w:right w:val="nil"/>
            </w:tcBorders>
          </w:tcPr>
          <w:p w:rsidR="0052701D" w:rsidRDefault="0052701D"/>
        </w:tc>
        <w:tc>
          <w:tcPr>
            <w:tcW w:w="1950" w:type="dxa"/>
            <w:tcBorders>
              <w:top w:val="single" w:sz="8" w:space="0" w:color="888888"/>
              <w:left w:val="single" w:sz="8" w:space="0" w:color="888888"/>
              <w:bottom w:val="single" w:sz="8" w:space="0" w:color="888888"/>
              <w:right w:val="nil"/>
            </w:tcBorders>
            <w:shd w:val="clear" w:color="auto" w:fill="FFFFFF"/>
            <w:vAlign w:val="bottom"/>
          </w:tcPr>
          <w:p w:rsidR="0052701D" w:rsidRDefault="00D40929">
            <w:pPr>
              <w:spacing w:after="0"/>
              <w:ind w:left="50"/>
              <w:jc w:val="center"/>
            </w:pPr>
            <w:r>
              <w:rPr>
                <w:sz w:val="20"/>
              </w:rPr>
              <w:t>112.9</w:t>
            </w:r>
          </w:p>
        </w:tc>
        <w:tc>
          <w:tcPr>
            <w:tcW w:w="1950" w:type="dxa"/>
            <w:tcBorders>
              <w:top w:val="single" w:sz="8" w:space="0" w:color="888888"/>
              <w:left w:val="nil"/>
              <w:bottom w:val="single" w:sz="8" w:space="0" w:color="888888"/>
              <w:right w:val="nil"/>
            </w:tcBorders>
            <w:shd w:val="clear" w:color="auto" w:fill="FFFFFF"/>
          </w:tcPr>
          <w:p w:rsidR="0052701D" w:rsidRDefault="0052701D"/>
        </w:tc>
        <w:tc>
          <w:tcPr>
            <w:tcW w:w="1967" w:type="dxa"/>
            <w:tcBorders>
              <w:top w:val="single" w:sz="8" w:space="0" w:color="888888"/>
              <w:left w:val="nil"/>
              <w:bottom w:val="single" w:sz="8" w:space="0" w:color="888888"/>
              <w:right w:val="single" w:sz="8" w:space="0" w:color="888888"/>
            </w:tcBorders>
            <w:shd w:val="clear" w:color="auto" w:fill="FFFFFF"/>
          </w:tcPr>
          <w:p w:rsidR="0052701D" w:rsidRDefault="0052701D"/>
        </w:tc>
      </w:tr>
      <w:tr w:rsidR="0052701D">
        <w:trPr>
          <w:trHeight w:val="712"/>
        </w:trPr>
        <w:tc>
          <w:tcPr>
            <w:tcW w:w="0" w:type="auto"/>
            <w:vMerge/>
            <w:tcBorders>
              <w:top w:val="nil"/>
              <w:left w:val="single" w:sz="8" w:space="0" w:color="888888"/>
              <w:bottom w:val="nil"/>
              <w:right w:val="nil"/>
            </w:tcBorders>
          </w:tcPr>
          <w:p w:rsidR="0052701D" w:rsidRDefault="0052701D"/>
        </w:tc>
        <w:tc>
          <w:tcPr>
            <w:tcW w:w="1950" w:type="dxa"/>
            <w:tcBorders>
              <w:top w:val="single" w:sz="8" w:space="0" w:color="888888"/>
              <w:left w:val="single" w:sz="8" w:space="0" w:color="888888"/>
              <w:bottom w:val="single" w:sz="8" w:space="0" w:color="888888"/>
              <w:right w:val="nil"/>
            </w:tcBorders>
            <w:shd w:val="clear" w:color="auto" w:fill="FFFFFF"/>
          </w:tcPr>
          <w:p w:rsidR="0052701D" w:rsidRDefault="0052701D"/>
        </w:tc>
        <w:tc>
          <w:tcPr>
            <w:tcW w:w="1950" w:type="dxa"/>
            <w:tcBorders>
              <w:top w:val="single" w:sz="8" w:space="0" w:color="888888"/>
              <w:left w:val="nil"/>
              <w:bottom w:val="single" w:sz="8" w:space="0" w:color="888888"/>
              <w:right w:val="nil"/>
            </w:tcBorders>
            <w:shd w:val="clear" w:color="auto" w:fill="FFFFFF"/>
          </w:tcPr>
          <w:p w:rsidR="0052701D" w:rsidRDefault="00D40929">
            <w:pPr>
              <w:spacing w:after="0"/>
              <w:ind w:left="495"/>
            </w:pPr>
            <w:r>
              <w:rPr>
                <w:noProof/>
              </w:rPr>
              <mc:AlternateContent>
                <mc:Choice Requires="wpg">
                  <w:drawing>
                    <wp:inline distT="0" distB="0" distL="0" distR="0">
                      <wp:extent cx="495300" cy="1425575"/>
                      <wp:effectExtent l="0" t="0" r="0" b="0"/>
                      <wp:docPr id="1029901" name="Group 1029901"/>
                      <wp:cNvGraphicFramePr/>
                      <a:graphic xmlns:a="http://schemas.openxmlformats.org/drawingml/2006/main">
                        <a:graphicData uri="http://schemas.microsoft.com/office/word/2010/wordprocessingGroup">
                          <wpg:wgp>
                            <wpg:cNvGrpSpPr/>
                            <wpg:grpSpPr>
                              <a:xfrm>
                                <a:off x="0" y="0"/>
                                <a:ext cx="495300" cy="1425575"/>
                                <a:chOff x="0" y="0"/>
                                <a:chExt cx="495300" cy="1425575"/>
                              </a:xfrm>
                            </wpg:grpSpPr>
                            <wps:wsp>
                              <wps:cNvPr id="1065695" name="Shape 1065695"/>
                              <wps:cNvSpPr/>
                              <wps:spPr>
                                <a:xfrm>
                                  <a:off x="0" y="0"/>
                                  <a:ext cx="495300" cy="1425575"/>
                                </a:xfrm>
                                <a:custGeom>
                                  <a:avLst/>
                                  <a:gdLst/>
                                  <a:ahLst/>
                                  <a:cxnLst/>
                                  <a:rect l="0" t="0" r="0" b="0"/>
                                  <a:pathLst>
                                    <a:path w="495300" h="1425575">
                                      <a:moveTo>
                                        <a:pt x="0" y="0"/>
                                      </a:moveTo>
                                      <a:lnTo>
                                        <a:pt x="495300" y="0"/>
                                      </a:lnTo>
                                      <a:lnTo>
                                        <a:pt x="495300" y="1425575"/>
                                      </a:lnTo>
                                      <a:lnTo>
                                        <a:pt x="0" y="1425575"/>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g:wgp>
                        </a:graphicData>
                      </a:graphic>
                    </wp:inline>
                  </w:drawing>
                </mc:Choice>
                <mc:Fallback xmlns:a="http://schemas.openxmlformats.org/drawingml/2006/main">
                  <w:pict>
                    <v:group id="Group 1029901" style="width:39pt;height:112.25pt;mso-position-horizontal-relative:char;mso-position-vertical-relative:line" coordsize="4953,14255">
                      <v:shape id="Shape 1065696" style="position:absolute;width:4953;height:14255;left:0;top:0;" coordsize="495300,1425575" path="m0,0l495300,0l495300,1425575l0,1425575l0,0">
                        <v:stroke weight="0pt" endcap="flat" joinstyle="miter" miterlimit="10" on="false" color="#000000" opacity="0"/>
                        <v:fill on="true" color="#4f81bd"/>
                      </v:shape>
                    </v:group>
                  </w:pict>
                </mc:Fallback>
              </mc:AlternateContent>
            </w:r>
          </w:p>
        </w:tc>
        <w:tc>
          <w:tcPr>
            <w:tcW w:w="1967" w:type="dxa"/>
            <w:tcBorders>
              <w:top w:val="single" w:sz="8" w:space="0" w:color="888888"/>
              <w:left w:val="nil"/>
              <w:bottom w:val="single" w:sz="8" w:space="0" w:color="888888"/>
              <w:right w:val="single" w:sz="8" w:space="0" w:color="888888"/>
            </w:tcBorders>
            <w:shd w:val="clear" w:color="auto" w:fill="FFFFFF"/>
          </w:tcPr>
          <w:p w:rsidR="0052701D" w:rsidRDefault="00D40929">
            <w:pPr>
              <w:spacing w:after="0"/>
              <w:ind w:left="495"/>
            </w:pPr>
            <w:r>
              <w:rPr>
                <w:noProof/>
              </w:rPr>
              <mc:AlternateContent>
                <mc:Choice Requires="wpg">
                  <w:drawing>
                    <wp:inline distT="0" distB="0" distL="0" distR="0">
                      <wp:extent cx="495300" cy="1668145"/>
                      <wp:effectExtent l="0" t="0" r="0" b="0"/>
                      <wp:docPr id="1029915" name="Group 1029915"/>
                      <wp:cNvGraphicFramePr/>
                      <a:graphic xmlns:a="http://schemas.openxmlformats.org/drawingml/2006/main">
                        <a:graphicData uri="http://schemas.microsoft.com/office/word/2010/wordprocessingGroup">
                          <wpg:wgp>
                            <wpg:cNvGrpSpPr/>
                            <wpg:grpSpPr>
                              <a:xfrm>
                                <a:off x="0" y="0"/>
                                <a:ext cx="495300" cy="1668145"/>
                                <a:chOff x="0" y="0"/>
                                <a:chExt cx="495300" cy="1668145"/>
                              </a:xfrm>
                            </wpg:grpSpPr>
                            <wps:wsp>
                              <wps:cNvPr id="1065697" name="Shape 1065697"/>
                              <wps:cNvSpPr/>
                              <wps:spPr>
                                <a:xfrm>
                                  <a:off x="0" y="0"/>
                                  <a:ext cx="495300" cy="1668145"/>
                                </a:xfrm>
                                <a:custGeom>
                                  <a:avLst/>
                                  <a:gdLst/>
                                  <a:ahLst/>
                                  <a:cxnLst/>
                                  <a:rect l="0" t="0" r="0" b="0"/>
                                  <a:pathLst>
                                    <a:path w="495300" h="1668145">
                                      <a:moveTo>
                                        <a:pt x="0" y="0"/>
                                      </a:moveTo>
                                      <a:lnTo>
                                        <a:pt x="495300" y="0"/>
                                      </a:lnTo>
                                      <a:lnTo>
                                        <a:pt x="495300" y="1668145"/>
                                      </a:lnTo>
                                      <a:lnTo>
                                        <a:pt x="0" y="1668145"/>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g:wgp>
                        </a:graphicData>
                      </a:graphic>
                    </wp:inline>
                  </w:drawing>
                </mc:Choice>
                <mc:Fallback xmlns:a="http://schemas.openxmlformats.org/drawingml/2006/main">
                  <w:pict>
                    <v:group id="Group 1029915" style="width:39pt;height:131.35pt;mso-position-horizontal-relative:char;mso-position-vertical-relative:line" coordsize="4953,16681">
                      <v:shape id="Shape 1065698" style="position:absolute;width:4953;height:16681;left:0;top:0;" coordsize="495300,1668145" path="m0,0l495300,0l495300,1668145l0,1668145l0,0">
                        <v:stroke weight="0pt" endcap="flat" joinstyle="miter" miterlimit="10" on="false" color="#000000" opacity="0"/>
                        <v:fill on="true" color="#4f81bd"/>
                      </v:shape>
                    </v:group>
                  </w:pict>
                </mc:Fallback>
              </mc:AlternateContent>
            </w:r>
          </w:p>
        </w:tc>
      </w:tr>
      <w:tr w:rsidR="0052701D">
        <w:trPr>
          <w:trHeight w:val="712"/>
        </w:trPr>
        <w:tc>
          <w:tcPr>
            <w:tcW w:w="0" w:type="auto"/>
            <w:vMerge/>
            <w:tcBorders>
              <w:top w:val="nil"/>
              <w:left w:val="single" w:sz="8" w:space="0" w:color="888888"/>
              <w:bottom w:val="nil"/>
              <w:right w:val="nil"/>
            </w:tcBorders>
          </w:tcPr>
          <w:p w:rsidR="0052701D" w:rsidRDefault="0052701D"/>
        </w:tc>
        <w:tc>
          <w:tcPr>
            <w:tcW w:w="1950" w:type="dxa"/>
            <w:tcBorders>
              <w:top w:val="single" w:sz="8" w:space="0" w:color="888888"/>
              <w:left w:val="single" w:sz="8" w:space="0" w:color="888888"/>
              <w:bottom w:val="single" w:sz="8" w:space="0" w:color="888888"/>
              <w:right w:val="nil"/>
            </w:tcBorders>
            <w:shd w:val="clear" w:color="auto" w:fill="FFFFFF"/>
          </w:tcPr>
          <w:p w:rsidR="0052701D" w:rsidRDefault="00D40929">
            <w:pPr>
              <w:spacing w:after="0"/>
              <w:ind w:left="494"/>
            </w:pPr>
            <w:r>
              <w:rPr>
                <w:noProof/>
              </w:rPr>
              <mc:AlternateContent>
                <mc:Choice Requires="wpg">
                  <w:drawing>
                    <wp:inline distT="0" distB="0" distL="0" distR="0">
                      <wp:extent cx="495935" cy="850900"/>
                      <wp:effectExtent l="0" t="0" r="0" b="0"/>
                      <wp:docPr id="1029921" name="Group 1029921"/>
                      <wp:cNvGraphicFramePr/>
                      <a:graphic xmlns:a="http://schemas.openxmlformats.org/drawingml/2006/main">
                        <a:graphicData uri="http://schemas.microsoft.com/office/word/2010/wordprocessingGroup">
                          <wpg:wgp>
                            <wpg:cNvGrpSpPr/>
                            <wpg:grpSpPr>
                              <a:xfrm>
                                <a:off x="0" y="0"/>
                                <a:ext cx="495935" cy="850900"/>
                                <a:chOff x="0" y="0"/>
                                <a:chExt cx="495935" cy="850900"/>
                              </a:xfrm>
                            </wpg:grpSpPr>
                            <wps:wsp>
                              <wps:cNvPr id="1065699" name="Shape 1065699"/>
                              <wps:cNvSpPr/>
                              <wps:spPr>
                                <a:xfrm>
                                  <a:off x="0" y="0"/>
                                  <a:ext cx="495935" cy="850900"/>
                                </a:xfrm>
                                <a:custGeom>
                                  <a:avLst/>
                                  <a:gdLst/>
                                  <a:ahLst/>
                                  <a:cxnLst/>
                                  <a:rect l="0" t="0" r="0" b="0"/>
                                  <a:pathLst>
                                    <a:path w="495935" h="850900">
                                      <a:moveTo>
                                        <a:pt x="0" y="0"/>
                                      </a:moveTo>
                                      <a:lnTo>
                                        <a:pt x="495935" y="0"/>
                                      </a:lnTo>
                                      <a:lnTo>
                                        <a:pt x="495935" y="850900"/>
                                      </a:lnTo>
                                      <a:lnTo>
                                        <a:pt x="0" y="850900"/>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g:wgp>
                        </a:graphicData>
                      </a:graphic>
                    </wp:inline>
                  </w:drawing>
                </mc:Choice>
                <mc:Fallback xmlns:a="http://schemas.openxmlformats.org/drawingml/2006/main">
                  <w:pict>
                    <v:group id="Group 1029921" style="width:39.05pt;height:67pt;mso-position-horizontal-relative:char;mso-position-vertical-relative:line" coordsize="4959,8509">
                      <v:shape id="Shape 1065700" style="position:absolute;width:4959;height:8509;left:0;top:0;" coordsize="495935,850900" path="m0,0l495935,0l495935,850900l0,850900l0,0">
                        <v:stroke weight="0pt" endcap="flat" joinstyle="miter" miterlimit="10" on="false" color="#000000" opacity="0"/>
                        <v:fill on="true" color="#4f81bd"/>
                      </v:shape>
                    </v:group>
                  </w:pict>
                </mc:Fallback>
              </mc:AlternateContent>
            </w:r>
          </w:p>
        </w:tc>
        <w:tc>
          <w:tcPr>
            <w:tcW w:w="1950" w:type="dxa"/>
            <w:tcBorders>
              <w:top w:val="single" w:sz="8" w:space="0" w:color="888888"/>
              <w:left w:val="nil"/>
              <w:bottom w:val="single" w:sz="8" w:space="0" w:color="888888"/>
              <w:right w:val="nil"/>
            </w:tcBorders>
            <w:shd w:val="clear" w:color="auto" w:fill="FFFFFF"/>
          </w:tcPr>
          <w:p w:rsidR="0052701D" w:rsidRDefault="0052701D"/>
        </w:tc>
        <w:tc>
          <w:tcPr>
            <w:tcW w:w="1967" w:type="dxa"/>
            <w:tcBorders>
              <w:top w:val="single" w:sz="8" w:space="0" w:color="888888"/>
              <w:left w:val="nil"/>
              <w:bottom w:val="single" w:sz="8" w:space="0" w:color="888888"/>
              <w:right w:val="single" w:sz="8" w:space="0" w:color="888888"/>
            </w:tcBorders>
            <w:shd w:val="clear" w:color="auto" w:fill="FFFFFF"/>
          </w:tcPr>
          <w:p w:rsidR="0052701D" w:rsidRDefault="0052701D"/>
        </w:tc>
      </w:tr>
      <w:tr w:rsidR="0052701D">
        <w:trPr>
          <w:trHeight w:val="343"/>
        </w:trPr>
        <w:tc>
          <w:tcPr>
            <w:tcW w:w="0" w:type="auto"/>
            <w:vMerge/>
            <w:tcBorders>
              <w:top w:val="nil"/>
              <w:left w:val="single" w:sz="8" w:space="0" w:color="888888"/>
              <w:bottom w:val="single" w:sz="8" w:space="0" w:color="888888"/>
              <w:right w:val="nil"/>
            </w:tcBorders>
          </w:tcPr>
          <w:p w:rsidR="0052701D" w:rsidRDefault="0052701D"/>
        </w:tc>
        <w:tc>
          <w:tcPr>
            <w:tcW w:w="1950" w:type="dxa"/>
            <w:tcBorders>
              <w:top w:val="single" w:sz="8" w:space="0" w:color="888888"/>
              <w:left w:val="nil"/>
              <w:bottom w:val="single" w:sz="8" w:space="0" w:color="888888"/>
              <w:right w:val="nil"/>
            </w:tcBorders>
            <w:vAlign w:val="bottom"/>
          </w:tcPr>
          <w:p w:rsidR="0052701D" w:rsidRDefault="00D40929">
            <w:pPr>
              <w:spacing w:after="0"/>
              <w:ind w:left="48"/>
              <w:jc w:val="center"/>
            </w:pPr>
            <w:r>
              <w:rPr>
                <w:sz w:val="20"/>
              </w:rPr>
              <w:t>2019</w:t>
            </w:r>
          </w:p>
        </w:tc>
        <w:tc>
          <w:tcPr>
            <w:tcW w:w="1950" w:type="dxa"/>
            <w:tcBorders>
              <w:top w:val="single" w:sz="8" w:space="0" w:color="888888"/>
              <w:left w:val="nil"/>
              <w:bottom w:val="single" w:sz="8" w:space="0" w:color="888888"/>
              <w:right w:val="nil"/>
            </w:tcBorders>
            <w:vAlign w:val="bottom"/>
          </w:tcPr>
          <w:p w:rsidR="0052701D" w:rsidRDefault="00D40929">
            <w:pPr>
              <w:spacing w:after="0"/>
              <w:ind w:left="52"/>
              <w:jc w:val="center"/>
            </w:pPr>
            <w:r>
              <w:rPr>
                <w:sz w:val="20"/>
              </w:rPr>
              <w:t>2020</w:t>
            </w:r>
          </w:p>
        </w:tc>
        <w:tc>
          <w:tcPr>
            <w:tcW w:w="1967" w:type="dxa"/>
            <w:tcBorders>
              <w:top w:val="single" w:sz="8" w:space="0" w:color="888888"/>
              <w:left w:val="nil"/>
              <w:bottom w:val="single" w:sz="8" w:space="0" w:color="888888"/>
              <w:right w:val="double" w:sz="8" w:space="0" w:color="888888"/>
            </w:tcBorders>
            <w:vAlign w:val="bottom"/>
          </w:tcPr>
          <w:p w:rsidR="0052701D" w:rsidRDefault="00D40929">
            <w:pPr>
              <w:spacing w:after="0"/>
              <w:ind w:left="35"/>
              <w:jc w:val="center"/>
            </w:pPr>
            <w:r>
              <w:rPr>
                <w:sz w:val="20"/>
              </w:rPr>
              <w:t>2021</w:t>
            </w:r>
          </w:p>
        </w:tc>
      </w:tr>
    </w:tbl>
    <w:p w:rsidR="0052701D" w:rsidRDefault="00D40929">
      <w:pPr>
        <w:spacing w:after="0"/>
        <w:ind w:left="563" w:hanging="10"/>
      </w:pPr>
      <w:r>
        <w:rPr>
          <w:rFonts w:ascii="Times New Roman" w:eastAsia="Times New Roman" w:hAnsi="Times New Roman" w:cs="Times New Roman"/>
          <w:i/>
          <w:sz w:val="28"/>
        </w:rPr>
        <w:t>Note - The image is compiled by the authors based on the source [15]</w:t>
      </w:r>
    </w:p>
    <w:p w:rsidR="0052701D" w:rsidRDefault="00D40929">
      <w:pPr>
        <w:spacing w:after="264" w:line="248" w:lineRule="auto"/>
        <w:ind w:left="1576" w:right="4"/>
        <w:jc w:val="both"/>
      </w:pPr>
      <w:r>
        <w:rPr>
          <w:rFonts w:ascii="Times New Roman" w:eastAsia="Times New Roman" w:hAnsi="Times New Roman" w:cs="Times New Roman"/>
          <w:b/>
          <w:sz w:val="28"/>
        </w:rPr>
        <w:t xml:space="preserve">Figure 1 </w:t>
      </w:r>
      <w:r>
        <w:rPr>
          <w:rFonts w:ascii="Times New Roman" w:eastAsia="Times New Roman" w:hAnsi="Times New Roman" w:cs="Times New Roman"/>
          <w:sz w:val="28"/>
        </w:rPr>
        <w:t>Gross Regional Product of Zhetysay district, million tenge</w:t>
      </w:r>
    </w:p>
    <w:p w:rsidR="0052701D" w:rsidRDefault="00D40929">
      <w:pPr>
        <w:spacing w:after="330" w:line="248" w:lineRule="auto"/>
        <w:ind w:left="-15" w:right="1" w:firstLine="558"/>
        <w:jc w:val="both"/>
      </w:pPr>
      <w:r>
        <w:rPr>
          <w:rFonts w:ascii="Times New Roman" w:eastAsia="Times New Roman" w:hAnsi="Times New Roman" w:cs="Times New Roman"/>
          <w:sz w:val="26"/>
        </w:rPr>
        <w:t>It was shown that the leading industry in the growth of the economy of Zhetysay district is industry, communications and transport, agriculture (Table 1).</w:t>
      </w:r>
    </w:p>
    <w:p w:rsidR="0052701D" w:rsidRDefault="00D40929">
      <w:pPr>
        <w:spacing w:after="3" w:line="248" w:lineRule="auto"/>
        <w:ind w:left="553" w:right="4"/>
        <w:jc w:val="both"/>
      </w:pPr>
      <w:r>
        <w:rPr>
          <w:rFonts w:ascii="Times New Roman" w:eastAsia="Times New Roman" w:hAnsi="Times New Roman" w:cs="Times New Roman"/>
          <w:sz w:val="28"/>
        </w:rPr>
        <w:t>Table 1</w:t>
      </w:r>
    </w:p>
    <w:p w:rsidR="0052701D" w:rsidRDefault="00D40929">
      <w:pPr>
        <w:spacing w:after="3" w:line="248" w:lineRule="auto"/>
        <w:ind w:left="553" w:right="4"/>
        <w:jc w:val="both"/>
      </w:pPr>
      <w:r>
        <w:rPr>
          <w:rFonts w:ascii="Times New Roman" w:eastAsia="Times New Roman" w:hAnsi="Times New Roman" w:cs="Times New Roman"/>
          <w:sz w:val="28"/>
        </w:rPr>
        <w:t>Share of industries in the growth of regional GDP of Zhetysay district, %</w:t>
      </w:r>
    </w:p>
    <w:tbl>
      <w:tblPr>
        <w:tblStyle w:val="TableGrid"/>
        <w:tblW w:w="9570" w:type="dxa"/>
        <w:tblInd w:w="316" w:type="dxa"/>
        <w:tblCellMar>
          <w:top w:w="15" w:type="dxa"/>
          <w:left w:w="2" w:type="dxa"/>
          <w:bottom w:w="0" w:type="dxa"/>
          <w:right w:w="115" w:type="dxa"/>
        </w:tblCellMar>
        <w:tblLook w:val="04A0" w:firstRow="1" w:lastRow="0" w:firstColumn="1" w:lastColumn="0" w:noHBand="0" w:noVBand="1"/>
      </w:tblPr>
      <w:tblGrid>
        <w:gridCol w:w="3508"/>
        <w:gridCol w:w="1986"/>
        <w:gridCol w:w="1984"/>
        <w:gridCol w:w="2092"/>
      </w:tblGrid>
      <w:tr w:rsidR="0052701D">
        <w:trPr>
          <w:trHeight w:val="286"/>
        </w:trPr>
        <w:tc>
          <w:tcPr>
            <w:tcW w:w="350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
              <w:jc w:val="center"/>
            </w:pPr>
            <w:r>
              <w:rPr>
                <w:rFonts w:ascii="Times New Roman" w:eastAsia="Times New Roman" w:hAnsi="Times New Roman" w:cs="Times New Roman"/>
                <w:sz w:val="24"/>
              </w:rPr>
              <w:t>Industries</w:t>
            </w:r>
          </w:p>
        </w:tc>
        <w:tc>
          <w:tcPr>
            <w:tcW w:w="198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
              <w:jc w:val="center"/>
            </w:pPr>
            <w:r>
              <w:rPr>
                <w:rFonts w:ascii="Times New Roman" w:eastAsia="Times New Roman" w:hAnsi="Times New Roman" w:cs="Times New Roman"/>
                <w:sz w:val="24"/>
              </w:rPr>
              <w:t>2019 yea</w:t>
            </w:r>
            <w:r>
              <w:rPr>
                <w:rFonts w:ascii="Times New Roman" w:eastAsia="Times New Roman" w:hAnsi="Times New Roman" w:cs="Times New Roman"/>
                <w:sz w:val="24"/>
              </w:rPr>
              <w:t>r</w:t>
            </w:r>
          </w:p>
        </w:tc>
        <w:tc>
          <w:tcPr>
            <w:tcW w:w="198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4"/>
              <w:jc w:val="center"/>
            </w:pPr>
            <w:r>
              <w:rPr>
                <w:rFonts w:ascii="Times New Roman" w:eastAsia="Times New Roman" w:hAnsi="Times New Roman" w:cs="Times New Roman"/>
                <w:sz w:val="24"/>
              </w:rPr>
              <w:t>2020 year</w:t>
            </w:r>
          </w:p>
        </w:tc>
        <w:tc>
          <w:tcPr>
            <w:tcW w:w="209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4"/>
              <w:jc w:val="center"/>
            </w:pPr>
            <w:r>
              <w:rPr>
                <w:rFonts w:ascii="Times New Roman" w:eastAsia="Times New Roman" w:hAnsi="Times New Roman" w:cs="Times New Roman"/>
                <w:sz w:val="24"/>
              </w:rPr>
              <w:t>2021 year</w:t>
            </w:r>
          </w:p>
        </w:tc>
      </w:tr>
      <w:tr w:rsidR="0052701D">
        <w:trPr>
          <w:trHeight w:val="286"/>
        </w:trPr>
        <w:tc>
          <w:tcPr>
            <w:tcW w:w="350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
              <w:jc w:val="center"/>
            </w:pPr>
            <w:r>
              <w:rPr>
                <w:rFonts w:ascii="Times New Roman" w:eastAsia="Times New Roman" w:hAnsi="Times New Roman" w:cs="Times New Roman"/>
                <w:sz w:val="24"/>
              </w:rPr>
              <w:t>Agriculture</w:t>
            </w:r>
          </w:p>
        </w:tc>
        <w:tc>
          <w:tcPr>
            <w:tcW w:w="198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6"/>
              <w:jc w:val="center"/>
            </w:pPr>
            <w:r>
              <w:rPr>
                <w:rFonts w:ascii="Times New Roman" w:eastAsia="Times New Roman" w:hAnsi="Times New Roman" w:cs="Times New Roman"/>
                <w:sz w:val="24"/>
              </w:rPr>
              <w:t>16,2</w:t>
            </w:r>
          </w:p>
        </w:tc>
        <w:tc>
          <w:tcPr>
            <w:tcW w:w="198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4"/>
              <w:jc w:val="center"/>
            </w:pPr>
            <w:r>
              <w:rPr>
                <w:rFonts w:ascii="Times New Roman" w:eastAsia="Times New Roman" w:hAnsi="Times New Roman" w:cs="Times New Roman"/>
                <w:sz w:val="24"/>
              </w:rPr>
              <w:t>15,7</w:t>
            </w:r>
          </w:p>
        </w:tc>
        <w:tc>
          <w:tcPr>
            <w:tcW w:w="209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4"/>
              <w:jc w:val="center"/>
            </w:pPr>
            <w:r>
              <w:rPr>
                <w:rFonts w:ascii="Times New Roman" w:eastAsia="Times New Roman" w:hAnsi="Times New Roman" w:cs="Times New Roman"/>
                <w:sz w:val="24"/>
              </w:rPr>
              <w:t>15,6</w:t>
            </w:r>
          </w:p>
        </w:tc>
      </w:tr>
      <w:tr w:rsidR="0052701D">
        <w:trPr>
          <w:trHeight w:val="286"/>
        </w:trPr>
        <w:tc>
          <w:tcPr>
            <w:tcW w:w="350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4"/>
              <w:jc w:val="center"/>
            </w:pPr>
            <w:r>
              <w:rPr>
                <w:rFonts w:ascii="Times New Roman" w:eastAsia="Times New Roman" w:hAnsi="Times New Roman" w:cs="Times New Roman"/>
                <w:sz w:val="24"/>
              </w:rPr>
              <w:t>Industry</w:t>
            </w:r>
          </w:p>
        </w:tc>
        <w:tc>
          <w:tcPr>
            <w:tcW w:w="198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6"/>
              <w:jc w:val="center"/>
            </w:pPr>
            <w:r>
              <w:rPr>
                <w:rFonts w:ascii="Times New Roman" w:eastAsia="Times New Roman" w:hAnsi="Times New Roman" w:cs="Times New Roman"/>
                <w:sz w:val="24"/>
              </w:rPr>
              <w:t>21,7</w:t>
            </w:r>
          </w:p>
        </w:tc>
        <w:tc>
          <w:tcPr>
            <w:tcW w:w="198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4"/>
              <w:jc w:val="center"/>
            </w:pPr>
            <w:r>
              <w:rPr>
                <w:rFonts w:ascii="Times New Roman" w:eastAsia="Times New Roman" w:hAnsi="Times New Roman" w:cs="Times New Roman"/>
                <w:sz w:val="24"/>
              </w:rPr>
              <w:t>21,7</w:t>
            </w:r>
          </w:p>
        </w:tc>
        <w:tc>
          <w:tcPr>
            <w:tcW w:w="209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4"/>
              <w:jc w:val="center"/>
            </w:pPr>
            <w:r>
              <w:rPr>
                <w:rFonts w:ascii="Times New Roman" w:eastAsia="Times New Roman" w:hAnsi="Times New Roman" w:cs="Times New Roman"/>
                <w:sz w:val="24"/>
              </w:rPr>
              <w:t>24,2</w:t>
            </w:r>
          </w:p>
        </w:tc>
      </w:tr>
      <w:tr w:rsidR="0052701D">
        <w:trPr>
          <w:trHeight w:val="286"/>
        </w:trPr>
        <w:tc>
          <w:tcPr>
            <w:tcW w:w="350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
              <w:jc w:val="center"/>
            </w:pPr>
            <w:r>
              <w:rPr>
                <w:rFonts w:ascii="Times New Roman" w:eastAsia="Times New Roman" w:hAnsi="Times New Roman" w:cs="Times New Roman"/>
                <w:sz w:val="24"/>
              </w:rPr>
              <w:t>Construction</w:t>
            </w:r>
          </w:p>
        </w:tc>
        <w:tc>
          <w:tcPr>
            <w:tcW w:w="198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6"/>
              <w:jc w:val="center"/>
            </w:pPr>
            <w:r>
              <w:rPr>
                <w:rFonts w:ascii="Times New Roman" w:eastAsia="Times New Roman" w:hAnsi="Times New Roman" w:cs="Times New Roman"/>
                <w:sz w:val="24"/>
              </w:rPr>
              <w:t>11,1</w:t>
            </w:r>
          </w:p>
        </w:tc>
        <w:tc>
          <w:tcPr>
            <w:tcW w:w="198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4"/>
              <w:jc w:val="center"/>
            </w:pPr>
            <w:r>
              <w:rPr>
                <w:rFonts w:ascii="Times New Roman" w:eastAsia="Times New Roman" w:hAnsi="Times New Roman" w:cs="Times New Roman"/>
                <w:sz w:val="24"/>
              </w:rPr>
              <w:t>10,5</w:t>
            </w:r>
          </w:p>
        </w:tc>
        <w:tc>
          <w:tcPr>
            <w:tcW w:w="209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4"/>
              <w:jc w:val="center"/>
            </w:pPr>
            <w:r>
              <w:rPr>
                <w:rFonts w:ascii="Times New Roman" w:eastAsia="Times New Roman" w:hAnsi="Times New Roman" w:cs="Times New Roman"/>
                <w:sz w:val="24"/>
              </w:rPr>
              <w:t>10,1</w:t>
            </w:r>
          </w:p>
        </w:tc>
      </w:tr>
      <w:tr w:rsidR="0052701D">
        <w:trPr>
          <w:trHeight w:val="286"/>
        </w:trPr>
        <w:tc>
          <w:tcPr>
            <w:tcW w:w="350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
              <w:jc w:val="center"/>
            </w:pPr>
            <w:r>
              <w:rPr>
                <w:rFonts w:ascii="Times New Roman" w:eastAsia="Times New Roman" w:hAnsi="Times New Roman" w:cs="Times New Roman"/>
                <w:sz w:val="24"/>
              </w:rPr>
              <w:t>Trade</w:t>
            </w:r>
          </w:p>
        </w:tc>
        <w:tc>
          <w:tcPr>
            <w:tcW w:w="198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6"/>
              <w:jc w:val="center"/>
            </w:pPr>
            <w:r>
              <w:rPr>
                <w:rFonts w:ascii="Times New Roman" w:eastAsia="Times New Roman" w:hAnsi="Times New Roman" w:cs="Times New Roman"/>
                <w:sz w:val="24"/>
              </w:rPr>
              <w:t>9,7</w:t>
            </w:r>
          </w:p>
        </w:tc>
        <w:tc>
          <w:tcPr>
            <w:tcW w:w="198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4"/>
              <w:jc w:val="center"/>
            </w:pPr>
            <w:r>
              <w:rPr>
                <w:rFonts w:ascii="Times New Roman" w:eastAsia="Times New Roman" w:hAnsi="Times New Roman" w:cs="Times New Roman"/>
                <w:sz w:val="24"/>
              </w:rPr>
              <w:t>10,1</w:t>
            </w:r>
          </w:p>
        </w:tc>
        <w:tc>
          <w:tcPr>
            <w:tcW w:w="209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4"/>
              <w:jc w:val="center"/>
            </w:pPr>
            <w:r>
              <w:rPr>
                <w:rFonts w:ascii="Times New Roman" w:eastAsia="Times New Roman" w:hAnsi="Times New Roman" w:cs="Times New Roman"/>
                <w:sz w:val="24"/>
              </w:rPr>
              <w:t>9,7</w:t>
            </w:r>
          </w:p>
        </w:tc>
      </w:tr>
      <w:tr w:rsidR="0052701D">
        <w:trPr>
          <w:trHeight w:val="286"/>
        </w:trPr>
        <w:tc>
          <w:tcPr>
            <w:tcW w:w="350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
              <w:jc w:val="center"/>
            </w:pPr>
            <w:r>
              <w:rPr>
                <w:rFonts w:ascii="Times New Roman" w:eastAsia="Times New Roman" w:hAnsi="Times New Roman" w:cs="Times New Roman"/>
                <w:sz w:val="24"/>
              </w:rPr>
              <w:t>Transport and communication</w:t>
            </w:r>
          </w:p>
        </w:tc>
        <w:tc>
          <w:tcPr>
            <w:tcW w:w="198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6"/>
              <w:jc w:val="center"/>
            </w:pPr>
            <w:r>
              <w:rPr>
                <w:rFonts w:ascii="Times New Roman" w:eastAsia="Times New Roman" w:hAnsi="Times New Roman" w:cs="Times New Roman"/>
                <w:sz w:val="24"/>
              </w:rPr>
              <w:t>9,5</w:t>
            </w:r>
          </w:p>
        </w:tc>
        <w:tc>
          <w:tcPr>
            <w:tcW w:w="198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4"/>
              <w:jc w:val="center"/>
            </w:pPr>
            <w:r>
              <w:rPr>
                <w:rFonts w:ascii="Times New Roman" w:eastAsia="Times New Roman" w:hAnsi="Times New Roman" w:cs="Times New Roman"/>
                <w:sz w:val="24"/>
              </w:rPr>
              <w:t>10,9</w:t>
            </w:r>
          </w:p>
        </w:tc>
        <w:tc>
          <w:tcPr>
            <w:tcW w:w="209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4"/>
              <w:jc w:val="center"/>
            </w:pPr>
            <w:r>
              <w:rPr>
                <w:rFonts w:ascii="Times New Roman" w:eastAsia="Times New Roman" w:hAnsi="Times New Roman" w:cs="Times New Roman"/>
                <w:sz w:val="24"/>
              </w:rPr>
              <w:t>10,7</w:t>
            </w:r>
          </w:p>
        </w:tc>
      </w:tr>
      <w:tr w:rsidR="0052701D">
        <w:trPr>
          <w:trHeight w:val="286"/>
        </w:trPr>
        <w:tc>
          <w:tcPr>
            <w:tcW w:w="350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3"/>
              <w:jc w:val="center"/>
            </w:pPr>
            <w:r>
              <w:rPr>
                <w:rFonts w:ascii="Times New Roman" w:eastAsia="Times New Roman" w:hAnsi="Times New Roman" w:cs="Times New Roman"/>
                <w:sz w:val="24"/>
              </w:rPr>
              <w:t>Other areas</w:t>
            </w:r>
          </w:p>
        </w:tc>
        <w:tc>
          <w:tcPr>
            <w:tcW w:w="198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6"/>
              <w:jc w:val="center"/>
            </w:pPr>
            <w:r>
              <w:rPr>
                <w:rFonts w:ascii="Times New Roman" w:eastAsia="Times New Roman" w:hAnsi="Times New Roman" w:cs="Times New Roman"/>
                <w:sz w:val="24"/>
              </w:rPr>
              <w:t>31,8</w:t>
            </w:r>
          </w:p>
        </w:tc>
        <w:tc>
          <w:tcPr>
            <w:tcW w:w="198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4"/>
              <w:jc w:val="center"/>
            </w:pPr>
            <w:r>
              <w:rPr>
                <w:rFonts w:ascii="Times New Roman" w:eastAsia="Times New Roman" w:hAnsi="Times New Roman" w:cs="Times New Roman"/>
                <w:sz w:val="24"/>
              </w:rPr>
              <w:t>31,1</w:t>
            </w:r>
          </w:p>
        </w:tc>
        <w:tc>
          <w:tcPr>
            <w:tcW w:w="209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4"/>
              <w:jc w:val="center"/>
            </w:pPr>
            <w:r>
              <w:rPr>
                <w:rFonts w:ascii="Times New Roman" w:eastAsia="Times New Roman" w:hAnsi="Times New Roman" w:cs="Times New Roman"/>
                <w:sz w:val="24"/>
              </w:rPr>
              <w:t>29,7</w:t>
            </w:r>
          </w:p>
        </w:tc>
      </w:tr>
      <w:tr w:rsidR="0052701D">
        <w:trPr>
          <w:trHeight w:val="286"/>
        </w:trPr>
        <w:tc>
          <w:tcPr>
            <w:tcW w:w="350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17"/>
              <w:jc w:val="center"/>
            </w:pPr>
            <w:r>
              <w:rPr>
                <w:rFonts w:ascii="Times New Roman" w:eastAsia="Times New Roman" w:hAnsi="Times New Roman" w:cs="Times New Roman"/>
                <w:sz w:val="24"/>
              </w:rPr>
              <w:t>Summary</w:t>
            </w:r>
          </w:p>
        </w:tc>
        <w:tc>
          <w:tcPr>
            <w:tcW w:w="198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19"/>
              <w:jc w:val="center"/>
            </w:pPr>
            <w:r>
              <w:rPr>
                <w:rFonts w:ascii="Times New Roman" w:eastAsia="Times New Roman" w:hAnsi="Times New Roman" w:cs="Times New Roman"/>
                <w:sz w:val="24"/>
              </w:rPr>
              <w:t>100,0</w:t>
            </w:r>
          </w:p>
        </w:tc>
        <w:tc>
          <w:tcPr>
            <w:tcW w:w="198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17"/>
              <w:jc w:val="center"/>
            </w:pPr>
            <w:r>
              <w:rPr>
                <w:rFonts w:ascii="Times New Roman" w:eastAsia="Times New Roman" w:hAnsi="Times New Roman" w:cs="Times New Roman"/>
                <w:sz w:val="24"/>
              </w:rPr>
              <w:t>100,0</w:t>
            </w:r>
          </w:p>
        </w:tc>
        <w:tc>
          <w:tcPr>
            <w:tcW w:w="209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17"/>
              <w:jc w:val="center"/>
            </w:pPr>
            <w:r>
              <w:rPr>
                <w:rFonts w:ascii="Times New Roman" w:eastAsia="Times New Roman" w:hAnsi="Times New Roman" w:cs="Times New Roman"/>
                <w:sz w:val="24"/>
              </w:rPr>
              <w:t>100</w:t>
            </w:r>
          </w:p>
        </w:tc>
      </w:tr>
      <w:tr w:rsidR="0052701D">
        <w:trPr>
          <w:trHeight w:val="286"/>
        </w:trPr>
        <w:tc>
          <w:tcPr>
            <w:tcW w:w="5494" w:type="dxa"/>
            <w:gridSpan w:val="2"/>
            <w:tcBorders>
              <w:top w:val="single" w:sz="4" w:space="0" w:color="000000"/>
              <w:left w:val="single" w:sz="4" w:space="0" w:color="000000"/>
              <w:bottom w:val="single" w:sz="4" w:space="0" w:color="000000"/>
              <w:right w:val="nil"/>
            </w:tcBorders>
          </w:tcPr>
          <w:p w:rsidR="0052701D" w:rsidRDefault="00D40929">
            <w:pPr>
              <w:spacing w:after="0"/>
            </w:pPr>
            <w:r>
              <w:rPr>
                <w:rFonts w:ascii="Times New Roman" w:eastAsia="Times New Roman" w:hAnsi="Times New Roman" w:cs="Times New Roman"/>
                <w:i/>
                <w:sz w:val="24"/>
              </w:rPr>
              <w:t>Note-compiled by the authors based on the source [15]</w:t>
            </w:r>
          </w:p>
        </w:tc>
        <w:tc>
          <w:tcPr>
            <w:tcW w:w="1984" w:type="dxa"/>
            <w:tcBorders>
              <w:top w:val="single" w:sz="4" w:space="0" w:color="000000"/>
              <w:left w:val="nil"/>
              <w:bottom w:val="single" w:sz="4" w:space="0" w:color="000000"/>
              <w:right w:val="nil"/>
            </w:tcBorders>
          </w:tcPr>
          <w:p w:rsidR="0052701D" w:rsidRDefault="0052701D"/>
        </w:tc>
        <w:tc>
          <w:tcPr>
            <w:tcW w:w="2092" w:type="dxa"/>
            <w:tcBorders>
              <w:top w:val="single" w:sz="4" w:space="0" w:color="000000"/>
              <w:left w:val="nil"/>
              <w:bottom w:val="single" w:sz="4" w:space="0" w:color="000000"/>
              <w:right w:val="single" w:sz="4" w:space="0" w:color="000000"/>
            </w:tcBorders>
          </w:tcPr>
          <w:p w:rsidR="0052701D" w:rsidRDefault="0052701D"/>
        </w:tc>
      </w:tr>
    </w:tbl>
    <w:p w:rsidR="0052701D" w:rsidRDefault="00D40929">
      <w:pPr>
        <w:spacing w:after="3" w:line="248" w:lineRule="auto"/>
        <w:ind w:right="4" w:firstLine="558"/>
        <w:jc w:val="both"/>
      </w:pPr>
      <w:r>
        <w:rPr>
          <w:rFonts w:ascii="Times New Roman" w:eastAsia="Times New Roman" w:hAnsi="Times New Roman" w:cs="Times New Roman"/>
          <w:sz w:val="28"/>
        </w:rPr>
        <w:t>The predominant share in the structure of domestic products is occupied by industry – 24.2%, transport and communications – 10.7%, agriculture – 15.6%.</w:t>
      </w:r>
    </w:p>
    <w:p w:rsidR="0052701D" w:rsidRDefault="00D40929">
      <w:pPr>
        <w:spacing w:after="3" w:line="248" w:lineRule="auto"/>
        <w:ind w:right="4" w:firstLine="558"/>
        <w:jc w:val="both"/>
      </w:pPr>
      <w:r>
        <w:rPr>
          <w:rFonts w:ascii="Times New Roman" w:eastAsia="Times New Roman" w:hAnsi="Times New Roman" w:cs="Times New Roman"/>
          <w:sz w:val="28"/>
        </w:rPr>
        <w:t>The budget of Zhetysay district in terms of revenues in 2021 amounted to 17.3 billion tenge, which is 31.5% higher than revenues in 2019. The increase in revenue was influenced by the maintenance of new facilities, the creation of new jobs, changes in rate</w:t>
      </w:r>
      <w:r>
        <w:rPr>
          <w:rFonts w:ascii="Times New Roman" w:eastAsia="Times New Roman" w:hAnsi="Times New Roman" w:cs="Times New Roman"/>
          <w:sz w:val="28"/>
        </w:rPr>
        <w:t>s in tax legislation, and an increase in the tax base from revenues of a single nature.</w:t>
      </w:r>
    </w:p>
    <w:p w:rsidR="0052701D" w:rsidRDefault="00D40929">
      <w:pPr>
        <w:spacing w:after="310" w:line="248" w:lineRule="auto"/>
        <w:ind w:right="4" w:firstLine="558"/>
        <w:jc w:val="both"/>
      </w:pPr>
      <w:r>
        <w:rPr>
          <w:rFonts w:ascii="Times New Roman" w:eastAsia="Times New Roman" w:hAnsi="Times New Roman" w:cs="Times New Roman"/>
          <w:sz w:val="28"/>
        </w:rPr>
        <w:lastRenderedPageBreak/>
        <w:t>In the period from 2019 to 2021, investments in fixed assets increased by 6.7% and amounted to 52.4 million tenge (Table 2).</w:t>
      </w:r>
    </w:p>
    <w:p w:rsidR="0052701D" w:rsidRDefault="00D40929">
      <w:pPr>
        <w:spacing w:after="3" w:line="248" w:lineRule="auto"/>
        <w:ind w:left="553" w:right="4"/>
        <w:jc w:val="both"/>
      </w:pPr>
      <w:r>
        <w:rPr>
          <w:rFonts w:ascii="Times New Roman" w:eastAsia="Times New Roman" w:hAnsi="Times New Roman" w:cs="Times New Roman"/>
          <w:sz w:val="28"/>
        </w:rPr>
        <w:t>Table 2</w:t>
      </w:r>
    </w:p>
    <w:p w:rsidR="0052701D" w:rsidRDefault="00D40929">
      <w:pPr>
        <w:spacing w:after="3" w:line="248" w:lineRule="auto"/>
        <w:ind w:left="553" w:right="4"/>
        <w:jc w:val="both"/>
      </w:pPr>
      <w:r>
        <w:rPr>
          <w:rFonts w:ascii="Times New Roman" w:eastAsia="Times New Roman" w:hAnsi="Times New Roman" w:cs="Times New Roman"/>
          <w:sz w:val="28"/>
        </w:rPr>
        <w:t>Composition of investments in fixed</w:t>
      </w:r>
      <w:r>
        <w:rPr>
          <w:rFonts w:ascii="Times New Roman" w:eastAsia="Times New Roman" w:hAnsi="Times New Roman" w:cs="Times New Roman"/>
          <w:sz w:val="28"/>
        </w:rPr>
        <w:t xml:space="preserve"> assets in Zhetysay district, thousand tenge</w:t>
      </w:r>
    </w:p>
    <w:tbl>
      <w:tblPr>
        <w:tblStyle w:val="TableGrid"/>
        <w:tblW w:w="9370" w:type="dxa"/>
        <w:tblInd w:w="416" w:type="dxa"/>
        <w:tblCellMar>
          <w:top w:w="13" w:type="dxa"/>
          <w:left w:w="110" w:type="dxa"/>
          <w:bottom w:w="0" w:type="dxa"/>
          <w:right w:w="115" w:type="dxa"/>
        </w:tblCellMar>
        <w:tblLook w:val="04A0" w:firstRow="1" w:lastRow="0" w:firstColumn="1" w:lastColumn="0" w:noHBand="0" w:noVBand="1"/>
      </w:tblPr>
      <w:tblGrid>
        <w:gridCol w:w="4434"/>
        <w:gridCol w:w="1242"/>
        <w:gridCol w:w="1104"/>
        <w:gridCol w:w="1106"/>
        <w:gridCol w:w="1484"/>
      </w:tblGrid>
      <w:tr w:rsidR="0052701D">
        <w:trPr>
          <w:trHeight w:val="1292"/>
        </w:trPr>
        <w:tc>
          <w:tcPr>
            <w:tcW w:w="4434" w:type="dxa"/>
            <w:tcBorders>
              <w:top w:val="single" w:sz="2" w:space="0" w:color="000000"/>
              <w:left w:val="single" w:sz="2" w:space="0" w:color="000000"/>
              <w:bottom w:val="single" w:sz="2" w:space="0" w:color="000000"/>
              <w:right w:val="single" w:sz="2" w:space="0" w:color="000000"/>
            </w:tcBorders>
            <w:vAlign w:val="center"/>
          </w:tcPr>
          <w:p w:rsidR="0052701D" w:rsidRDefault="00D40929">
            <w:pPr>
              <w:spacing w:after="0"/>
              <w:ind w:left="6"/>
              <w:jc w:val="center"/>
            </w:pPr>
            <w:r>
              <w:rPr>
                <w:rFonts w:ascii="Times New Roman" w:eastAsia="Times New Roman" w:hAnsi="Times New Roman" w:cs="Times New Roman"/>
                <w:sz w:val="28"/>
              </w:rPr>
              <w:t>Source of financing</w:t>
            </w:r>
          </w:p>
        </w:tc>
        <w:tc>
          <w:tcPr>
            <w:tcW w:w="1242" w:type="dxa"/>
            <w:tcBorders>
              <w:top w:val="single" w:sz="2" w:space="0" w:color="000000"/>
              <w:left w:val="single" w:sz="2" w:space="0" w:color="000000"/>
              <w:bottom w:val="single" w:sz="2" w:space="0" w:color="000000"/>
              <w:right w:val="single" w:sz="2" w:space="0" w:color="000000"/>
            </w:tcBorders>
            <w:vAlign w:val="center"/>
          </w:tcPr>
          <w:p w:rsidR="0052701D" w:rsidRDefault="00D40929">
            <w:pPr>
              <w:spacing w:after="0"/>
              <w:jc w:val="center"/>
            </w:pPr>
            <w:r>
              <w:rPr>
                <w:rFonts w:ascii="Times New Roman" w:eastAsia="Times New Roman" w:hAnsi="Times New Roman" w:cs="Times New Roman"/>
                <w:sz w:val="28"/>
              </w:rPr>
              <w:t xml:space="preserve">2019 year </w:t>
            </w:r>
          </w:p>
        </w:tc>
        <w:tc>
          <w:tcPr>
            <w:tcW w:w="1104" w:type="dxa"/>
            <w:tcBorders>
              <w:top w:val="single" w:sz="2" w:space="0" w:color="000000"/>
              <w:left w:val="single" w:sz="2" w:space="0" w:color="000000"/>
              <w:bottom w:val="single" w:sz="2" w:space="0" w:color="000000"/>
              <w:right w:val="single" w:sz="2" w:space="0" w:color="000000"/>
            </w:tcBorders>
            <w:vAlign w:val="center"/>
          </w:tcPr>
          <w:p w:rsidR="0052701D" w:rsidRDefault="00D40929">
            <w:pPr>
              <w:spacing w:after="0"/>
              <w:jc w:val="center"/>
            </w:pPr>
            <w:r>
              <w:rPr>
                <w:rFonts w:ascii="Times New Roman" w:eastAsia="Times New Roman" w:hAnsi="Times New Roman" w:cs="Times New Roman"/>
                <w:sz w:val="28"/>
              </w:rPr>
              <w:t xml:space="preserve">2020 year </w:t>
            </w:r>
          </w:p>
        </w:tc>
        <w:tc>
          <w:tcPr>
            <w:tcW w:w="1106" w:type="dxa"/>
            <w:tcBorders>
              <w:top w:val="single" w:sz="2" w:space="0" w:color="000000"/>
              <w:left w:val="single" w:sz="2" w:space="0" w:color="000000"/>
              <w:bottom w:val="single" w:sz="2" w:space="0" w:color="000000"/>
              <w:right w:val="single" w:sz="2" w:space="0" w:color="000000"/>
            </w:tcBorders>
            <w:vAlign w:val="center"/>
          </w:tcPr>
          <w:p w:rsidR="0052701D" w:rsidRDefault="00D40929">
            <w:pPr>
              <w:spacing w:after="0"/>
              <w:jc w:val="center"/>
            </w:pPr>
            <w:r>
              <w:rPr>
                <w:rFonts w:ascii="Times New Roman" w:eastAsia="Times New Roman" w:hAnsi="Times New Roman" w:cs="Times New Roman"/>
                <w:sz w:val="28"/>
              </w:rPr>
              <w:t>2021 year</w:t>
            </w:r>
          </w:p>
        </w:tc>
        <w:tc>
          <w:tcPr>
            <w:tcW w:w="1484" w:type="dxa"/>
            <w:tcBorders>
              <w:top w:val="single" w:sz="2" w:space="0" w:color="000000"/>
              <w:left w:val="single" w:sz="2" w:space="0" w:color="000000"/>
              <w:bottom w:val="single" w:sz="2" w:space="0" w:color="000000"/>
              <w:right w:val="single" w:sz="2" w:space="0" w:color="000000"/>
            </w:tcBorders>
          </w:tcPr>
          <w:p w:rsidR="0052701D" w:rsidRDefault="00D40929">
            <w:pPr>
              <w:spacing w:after="0"/>
              <w:ind w:left="52"/>
            </w:pPr>
            <w:r>
              <w:rPr>
                <w:rFonts w:ascii="Times New Roman" w:eastAsia="Times New Roman" w:hAnsi="Times New Roman" w:cs="Times New Roman"/>
                <w:sz w:val="28"/>
              </w:rPr>
              <w:t>compariso</w:t>
            </w:r>
          </w:p>
          <w:p w:rsidR="0052701D" w:rsidRDefault="00D40929">
            <w:pPr>
              <w:spacing w:after="0"/>
              <w:ind w:left="9"/>
              <w:jc w:val="center"/>
            </w:pPr>
            <w:r>
              <w:rPr>
                <w:rFonts w:ascii="Times New Roman" w:eastAsia="Times New Roman" w:hAnsi="Times New Roman" w:cs="Times New Roman"/>
                <w:sz w:val="28"/>
              </w:rPr>
              <w:t>n 2019y.</w:t>
            </w:r>
          </w:p>
          <w:p w:rsidR="0052701D" w:rsidRDefault="00D40929">
            <w:pPr>
              <w:spacing w:after="0"/>
              <w:ind w:left="9"/>
              <w:jc w:val="center"/>
            </w:pPr>
            <w:r>
              <w:rPr>
                <w:rFonts w:ascii="Times New Roman" w:eastAsia="Times New Roman" w:hAnsi="Times New Roman" w:cs="Times New Roman"/>
                <w:sz w:val="28"/>
              </w:rPr>
              <w:t>and</w:t>
            </w:r>
          </w:p>
          <w:p w:rsidR="0052701D" w:rsidRDefault="00D40929">
            <w:pPr>
              <w:spacing w:after="0"/>
              <w:ind w:left="64"/>
            </w:pPr>
            <w:r>
              <w:rPr>
                <w:rFonts w:ascii="Times New Roman" w:eastAsia="Times New Roman" w:hAnsi="Times New Roman" w:cs="Times New Roman"/>
                <w:sz w:val="28"/>
              </w:rPr>
              <w:t>2021y., %</w:t>
            </w:r>
          </w:p>
        </w:tc>
      </w:tr>
      <w:tr w:rsidR="0052701D">
        <w:trPr>
          <w:trHeight w:val="382"/>
        </w:trPr>
        <w:tc>
          <w:tcPr>
            <w:tcW w:w="4434" w:type="dxa"/>
            <w:tcBorders>
              <w:top w:val="single" w:sz="2" w:space="0" w:color="000000"/>
              <w:left w:val="single" w:sz="2" w:space="0" w:color="000000"/>
              <w:bottom w:val="single" w:sz="2" w:space="0" w:color="000000"/>
              <w:right w:val="single" w:sz="2" w:space="0" w:color="000000"/>
            </w:tcBorders>
          </w:tcPr>
          <w:p w:rsidR="0052701D" w:rsidRDefault="00D40929">
            <w:pPr>
              <w:spacing w:after="0"/>
            </w:pPr>
            <w:r>
              <w:rPr>
                <w:rFonts w:ascii="Times New Roman" w:eastAsia="Times New Roman" w:hAnsi="Times New Roman" w:cs="Times New Roman"/>
                <w:sz w:val="28"/>
              </w:rPr>
              <w:t>Capital investments - all</w:t>
            </w:r>
          </w:p>
        </w:tc>
        <w:tc>
          <w:tcPr>
            <w:tcW w:w="1242" w:type="dxa"/>
            <w:tcBorders>
              <w:top w:val="single" w:sz="2" w:space="0" w:color="000000"/>
              <w:left w:val="single" w:sz="2" w:space="0" w:color="000000"/>
              <w:bottom w:val="single" w:sz="2" w:space="0" w:color="000000"/>
              <w:right w:val="single" w:sz="2" w:space="0" w:color="000000"/>
            </w:tcBorders>
          </w:tcPr>
          <w:p w:rsidR="0052701D" w:rsidRDefault="00D40929">
            <w:pPr>
              <w:spacing w:after="0"/>
              <w:ind w:left="128"/>
            </w:pPr>
            <w:r>
              <w:rPr>
                <w:rFonts w:ascii="Times New Roman" w:eastAsia="Times New Roman" w:hAnsi="Times New Roman" w:cs="Times New Roman"/>
                <w:sz w:val="28"/>
              </w:rPr>
              <w:t>49 061</w:t>
            </w:r>
          </w:p>
        </w:tc>
        <w:tc>
          <w:tcPr>
            <w:tcW w:w="1104" w:type="dxa"/>
            <w:tcBorders>
              <w:top w:val="single" w:sz="2" w:space="0" w:color="000000"/>
              <w:left w:val="single" w:sz="2" w:space="0" w:color="000000"/>
              <w:bottom w:val="single" w:sz="2" w:space="0" w:color="000000"/>
              <w:right w:val="single" w:sz="2" w:space="0" w:color="000000"/>
            </w:tcBorders>
          </w:tcPr>
          <w:p w:rsidR="0052701D" w:rsidRDefault="00D40929">
            <w:pPr>
              <w:spacing w:after="0"/>
              <w:ind w:left="60"/>
            </w:pPr>
            <w:r>
              <w:rPr>
                <w:rFonts w:ascii="Times New Roman" w:eastAsia="Times New Roman" w:hAnsi="Times New Roman" w:cs="Times New Roman"/>
                <w:sz w:val="28"/>
              </w:rPr>
              <w:t>52 888</w:t>
            </w:r>
          </w:p>
        </w:tc>
        <w:tc>
          <w:tcPr>
            <w:tcW w:w="1106" w:type="dxa"/>
            <w:tcBorders>
              <w:top w:val="single" w:sz="2" w:space="0" w:color="000000"/>
              <w:left w:val="single" w:sz="2" w:space="0" w:color="000000"/>
              <w:bottom w:val="single" w:sz="2" w:space="0" w:color="000000"/>
              <w:right w:val="single" w:sz="2" w:space="0" w:color="000000"/>
            </w:tcBorders>
          </w:tcPr>
          <w:p w:rsidR="0052701D" w:rsidRDefault="00D40929">
            <w:pPr>
              <w:spacing w:after="0"/>
              <w:ind w:left="60"/>
            </w:pPr>
            <w:r>
              <w:rPr>
                <w:rFonts w:ascii="Times New Roman" w:eastAsia="Times New Roman" w:hAnsi="Times New Roman" w:cs="Times New Roman"/>
                <w:sz w:val="28"/>
              </w:rPr>
              <w:t>52 421</w:t>
            </w:r>
          </w:p>
        </w:tc>
        <w:tc>
          <w:tcPr>
            <w:tcW w:w="1484" w:type="dxa"/>
            <w:tcBorders>
              <w:top w:val="single" w:sz="2" w:space="0" w:color="000000"/>
              <w:left w:val="single" w:sz="2" w:space="0" w:color="000000"/>
              <w:bottom w:val="single" w:sz="2" w:space="0" w:color="000000"/>
              <w:right w:val="single" w:sz="2" w:space="0" w:color="000000"/>
            </w:tcBorders>
          </w:tcPr>
          <w:p w:rsidR="0052701D" w:rsidRDefault="00D40929">
            <w:pPr>
              <w:spacing w:after="0"/>
              <w:ind w:left="11"/>
              <w:jc w:val="center"/>
            </w:pPr>
            <w:r>
              <w:rPr>
                <w:rFonts w:ascii="Times New Roman" w:eastAsia="Times New Roman" w:hAnsi="Times New Roman" w:cs="Times New Roman"/>
                <w:sz w:val="28"/>
              </w:rPr>
              <w:t>106,8</w:t>
            </w:r>
          </w:p>
        </w:tc>
      </w:tr>
      <w:tr w:rsidR="0052701D">
        <w:trPr>
          <w:trHeight w:val="328"/>
        </w:trPr>
        <w:tc>
          <w:tcPr>
            <w:tcW w:w="4434" w:type="dxa"/>
            <w:tcBorders>
              <w:top w:val="single" w:sz="2" w:space="0" w:color="000000"/>
              <w:left w:val="single" w:sz="2" w:space="0" w:color="000000"/>
              <w:bottom w:val="single" w:sz="2" w:space="0" w:color="000000"/>
              <w:right w:val="single" w:sz="2" w:space="0" w:color="000000"/>
            </w:tcBorders>
          </w:tcPr>
          <w:p w:rsidR="0052701D" w:rsidRDefault="00D40929">
            <w:pPr>
              <w:spacing w:after="0"/>
            </w:pPr>
            <w:r>
              <w:rPr>
                <w:rFonts w:ascii="Times New Roman" w:eastAsia="Times New Roman" w:hAnsi="Times New Roman" w:cs="Times New Roman"/>
                <w:sz w:val="28"/>
              </w:rPr>
              <w:t>Budget investments</w:t>
            </w:r>
          </w:p>
        </w:tc>
        <w:tc>
          <w:tcPr>
            <w:tcW w:w="1242" w:type="dxa"/>
            <w:tcBorders>
              <w:top w:val="single" w:sz="2" w:space="0" w:color="000000"/>
              <w:left w:val="single" w:sz="2" w:space="0" w:color="000000"/>
              <w:bottom w:val="single" w:sz="2" w:space="0" w:color="000000"/>
              <w:right w:val="single" w:sz="2" w:space="0" w:color="000000"/>
            </w:tcBorders>
          </w:tcPr>
          <w:p w:rsidR="0052701D" w:rsidRDefault="00D40929">
            <w:pPr>
              <w:spacing w:after="0"/>
              <w:ind w:left="128"/>
            </w:pPr>
            <w:r>
              <w:rPr>
                <w:rFonts w:ascii="Times New Roman" w:eastAsia="Times New Roman" w:hAnsi="Times New Roman" w:cs="Times New Roman"/>
                <w:sz w:val="28"/>
              </w:rPr>
              <w:t>13 285</w:t>
            </w:r>
          </w:p>
        </w:tc>
        <w:tc>
          <w:tcPr>
            <w:tcW w:w="1104" w:type="dxa"/>
            <w:tcBorders>
              <w:top w:val="single" w:sz="2" w:space="0" w:color="000000"/>
              <w:left w:val="single" w:sz="2" w:space="0" w:color="000000"/>
              <w:bottom w:val="single" w:sz="2" w:space="0" w:color="000000"/>
              <w:right w:val="single" w:sz="2" w:space="0" w:color="000000"/>
            </w:tcBorders>
          </w:tcPr>
          <w:p w:rsidR="0052701D" w:rsidRDefault="00D40929">
            <w:pPr>
              <w:spacing w:after="0"/>
              <w:ind w:left="60"/>
            </w:pPr>
            <w:r>
              <w:rPr>
                <w:rFonts w:ascii="Times New Roman" w:eastAsia="Times New Roman" w:hAnsi="Times New Roman" w:cs="Times New Roman"/>
                <w:sz w:val="28"/>
              </w:rPr>
              <w:t>12 767</w:t>
            </w:r>
          </w:p>
        </w:tc>
        <w:tc>
          <w:tcPr>
            <w:tcW w:w="1106" w:type="dxa"/>
            <w:tcBorders>
              <w:top w:val="single" w:sz="2" w:space="0" w:color="000000"/>
              <w:left w:val="single" w:sz="2" w:space="0" w:color="000000"/>
              <w:bottom w:val="single" w:sz="2" w:space="0" w:color="000000"/>
              <w:right w:val="single" w:sz="2" w:space="0" w:color="000000"/>
            </w:tcBorders>
          </w:tcPr>
          <w:p w:rsidR="0052701D" w:rsidRDefault="00D40929">
            <w:pPr>
              <w:spacing w:after="0"/>
              <w:ind w:left="60"/>
            </w:pPr>
            <w:r>
              <w:rPr>
                <w:rFonts w:ascii="Times New Roman" w:eastAsia="Times New Roman" w:hAnsi="Times New Roman" w:cs="Times New Roman"/>
                <w:sz w:val="28"/>
              </w:rPr>
              <w:t>11 482</w:t>
            </w:r>
          </w:p>
        </w:tc>
        <w:tc>
          <w:tcPr>
            <w:tcW w:w="1484" w:type="dxa"/>
            <w:tcBorders>
              <w:top w:val="single" w:sz="2" w:space="0" w:color="000000"/>
              <w:left w:val="single" w:sz="2" w:space="0" w:color="000000"/>
              <w:bottom w:val="single" w:sz="2" w:space="0" w:color="000000"/>
              <w:right w:val="single" w:sz="2" w:space="0" w:color="000000"/>
            </w:tcBorders>
          </w:tcPr>
          <w:p w:rsidR="0052701D" w:rsidRDefault="00D40929">
            <w:pPr>
              <w:spacing w:after="0"/>
              <w:ind w:left="11"/>
              <w:jc w:val="center"/>
            </w:pPr>
            <w:r>
              <w:rPr>
                <w:rFonts w:ascii="Times New Roman" w:eastAsia="Times New Roman" w:hAnsi="Times New Roman" w:cs="Times New Roman"/>
                <w:sz w:val="28"/>
              </w:rPr>
              <w:t>86,4</w:t>
            </w:r>
          </w:p>
        </w:tc>
      </w:tr>
      <w:tr w:rsidR="0052701D">
        <w:trPr>
          <w:trHeight w:val="326"/>
        </w:trPr>
        <w:tc>
          <w:tcPr>
            <w:tcW w:w="4434" w:type="dxa"/>
            <w:tcBorders>
              <w:top w:val="single" w:sz="2" w:space="0" w:color="000000"/>
              <w:left w:val="single" w:sz="2" w:space="0" w:color="000000"/>
              <w:bottom w:val="single" w:sz="2" w:space="0" w:color="000000"/>
              <w:right w:val="single" w:sz="2" w:space="0" w:color="000000"/>
            </w:tcBorders>
          </w:tcPr>
          <w:p w:rsidR="0052701D" w:rsidRDefault="00D40929">
            <w:pPr>
              <w:spacing w:after="0"/>
            </w:pPr>
            <w:r>
              <w:rPr>
                <w:rFonts w:ascii="Times New Roman" w:eastAsia="Times New Roman" w:hAnsi="Times New Roman" w:cs="Times New Roman"/>
                <w:sz w:val="28"/>
              </w:rPr>
              <w:t>Own funds</w:t>
            </w:r>
          </w:p>
        </w:tc>
        <w:tc>
          <w:tcPr>
            <w:tcW w:w="1242" w:type="dxa"/>
            <w:tcBorders>
              <w:top w:val="single" w:sz="2" w:space="0" w:color="000000"/>
              <w:left w:val="single" w:sz="2" w:space="0" w:color="000000"/>
              <w:bottom w:val="single" w:sz="2" w:space="0" w:color="000000"/>
              <w:right w:val="single" w:sz="2" w:space="0" w:color="000000"/>
            </w:tcBorders>
          </w:tcPr>
          <w:p w:rsidR="0052701D" w:rsidRDefault="00D40929">
            <w:pPr>
              <w:spacing w:after="0"/>
              <w:ind w:left="128"/>
            </w:pPr>
            <w:r>
              <w:rPr>
                <w:rFonts w:ascii="Times New Roman" w:eastAsia="Times New Roman" w:hAnsi="Times New Roman" w:cs="Times New Roman"/>
                <w:sz w:val="28"/>
              </w:rPr>
              <w:t>22 035</w:t>
            </w:r>
          </w:p>
        </w:tc>
        <w:tc>
          <w:tcPr>
            <w:tcW w:w="1104" w:type="dxa"/>
            <w:tcBorders>
              <w:top w:val="single" w:sz="2" w:space="0" w:color="000000"/>
              <w:left w:val="single" w:sz="2" w:space="0" w:color="000000"/>
              <w:bottom w:val="single" w:sz="2" w:space="0" w:color="000000"/>
              <w:right w:val="single" w:sz="2" w:space="0" w:color="000000"/>
            </w:tcBorders>
          </w:tcPr>
          <w:p w:rsidR="0052701D" w:rsidRDefault="00D40929">
            <w:pPr>
              <w:spacing w:after="0"/>
              <w:ind w:left="60"/>
            </w:pPr>
            <w:r>
              <w:rPr>
                <w:rFonts w:ascii="Times New Roman" w:eastAsia="Times New Roman" w:hAnsi="Times New Roman" w:cs="Times New Roman"/>
                <w:sz w:val="28"/>
              </w:rPr>
              <w:t>27 141</w:t>
            </w:r>
          </w:p>
        </w:tc>
        <w:tc>
          <w:tcPr>
            <w:tcW w:w="1106" w:type="dxa"/>
            <w:tcBorders>
              <w:top w:val="single" w:sz="2" w:space="0" w:color="000000"/>
              <w:left w:val="single" w:sz="2" w:space="0" w:color="000000"/>
              <w:bottom w:val="single" w:sz="2" w:space="0" w:color="000000"/>
              <w:right w:val="single" w:sz="2" w:space="0" w:color="000000"/>
            </w:tcBorders>
          </w:tcPr>
          <w:p w:rsidR="0052701D" w:rsidRDefault="00D40929">
            <w:pPr>
              <w:spacing w:after="0"/>
              <w:ind w:left="60"/>
            </w:pPr>
            <w:r>
              <w:rPr>
                <w:rFonts w:ascii="Times New Roman" w:eastAsia="Times New Roman" w:hAnsi="Times New Roman" w:cs="Times New Roman"/>
                <w:sz w:val="28"/>
              </w:rPr>
              <w:t>33 536</w:t>
            </w:r>
          </w:p>
        </w:tc>
        <w:tc>
          <w:tcPr>
            <w:tcW w:w="1484" w:type="dxa"/>
            <w:tcBorders>
              <w:top w:val="single" w:sz="2" w:space="0" w:color="000000"/>
              <w:left w:val="single" w:sz="2" w:space="0" w:color="000000"/>
              <w:bottom w:val="single" w:sz="2" w:space="0" w:color="000000"/>
              <w:right w:val="single" w:sz="2" w:space="0" w:color="000000"/>
            </w:tcBorders>
          </w:tcPr>
          <w:p w:rsidR="0052701D" w:rsidRDefault="00D40929">
            <w:pPr>
              <w:spacing w:after="0"/>
              <w:ind w:left="11"/>
              <w:jc w:val="center"/>
            </w:pPr>
            <w:r>
              <w:rPr>
                <w:rFonts w:ascii="Times New Roman" w:eastAsia="Times New Roman" w:hAnsi="Times New Roman" w:cs="Times New Roman"/>
                <w:sz w:val="28"/>
              </w:rPr>
              <w:t>152,2</w:t>
            </w:r>
          </w:p>
        </w:tc>
      </w:tr>
      <w:tr w:rsidR="0052701D">
        <w:trPr>
          <w:trHeight w:val="328"/>
        </w:trPr>
        <w:tc>
          <w:tcPr>
            <w:tcW w:w="4434" w:type="dxa"/>
            <w:tcBorders>
              <w:top w:val="single" w:sz="2" w:space="0" w:color="000000"/>
              <w:left w:val="single" w:sz="2" w:space="0" w:color="000000"/>
              <w:bottom w:val="single" w:sz="2" w:space="0" w:color="000000"/>
              <w:right w:val="single" w:sz="2" w:space="0" w:color="000000"/>
            </w:tcBorders>
          </w:tcPr>
          <w:p w:rsidR="0052701D" w:rsidRDefault="00D40929">
            <w:pPr>
              <w:spacing w:after="0"/>
            </w:pPr>
            <w:r>
              <w:rPr>
                <w:rFonts w:ascii="Times New Roman" w:eastAsia="Times New Roman" w:hAnsi="Times New Roman" w:cs="Times New Roman"/>
                <w:sz w:val="28"/>
              </w:rPr>
              <w:t>bank credit</w:t>
            </w:r>
          </w:p>
        </w:tc>
        <w:tc>
          <w:tcPr>
            <w:tcW w:w="1242" w:type="dxa"/>
            <w:tcBorders>
              <w:top w:val="single" w:sz="2" w:space="0" w:color="000000"/>
              <w:left w:val="single" w:sz="2" w:space="0" w:color="000000"/>
              <w:bottom w:val="single" w:sz="2" w:space="0" w:color="000000"/>
              <w:right w:val="single" w:sz="2" w:space="0" w:color="000000"/>
            </w:tcBorders>
          </w:tcPr>
          <w:p w:rsidR="0052701D" w:rsidRDefault="00D40929">
            <w:pPr>
              <w:spacing w:after="0"/>
              <w:ind w:left="9"/>
              <w:jc w:val="center"/>
            </w:pPr>
            <w:r>
              <w:rPr>
                <w:rFonts w:ascii="Times New Roman" w:eastAsia="Times New Roman" w:hAnsi="Times New Roman" w:cs="Times New Roman"/>
                <w:sz w:val="28"/>
              </w:rPr>
              <w:t>1 942</w:t>
            </w:r>
          </w:p>
        </w:tc>
        <w:tc>
          <w:tcPr>
            <w:tcW w:w="1104" w:type="dxa"/>
            <w:tcBorders>
              <w:top w:val="single" w:sz="2" w:space="0" w:color="000000"/>
              <w:left w:val="single" w:sz="2" w:space="0" w:color="000000"/>
              <w:bottom w:val="single" w:sz="2" w:space="0" w:color="000000"/>
              <w:right w:val="single" w:sz="2" w:space="0" w:color="000000"/>
            </w:tcBorders>
          </w:tcPr>
          <w:p w:rsidR="0052701D" w:rsidRDefault="00D40929">
            <w:pPr>
              <w:spacing w:after="0"/>
              <w:ind w:left="130"/>
            </w:pPr>
            <w:r>
              <w:rPr>
                <w:rFonts w:ascii="Times New Roman" w:eastAsia="Times New Roman" w:hAnsi="Times New Roman" w:cs="Times New Roman"/>
                <w:sz w:val="28"/>
              </w:rPr>
              <w:t>1 299</w:t>
            </w:r>
          </w:p>
        </w:tc>
        <w:tc>
          <w:tcPr>
            <w:tcW w:w="1106" w:type="dxa"/>
            <w:tcBorders>
              <w:top w:val="single" w:sz="2" w:space="0" w:color="000000"/>
              <w:left w:val="single" w:sz="2" w:space="0" w:color="000000"/>
              <w:bottom w:val="single" w:sz="2" w:space="0" w:color="000000"/>
              <w:right w:val="single" w:sz="2" w:space="0" w:color="000000"/>
            </w:tcBorders>
          </w:tcPr>
          <w:p w:rsidR="0052701D" w:rsidRDefault="00D40929">
            <w:pPr>
              <w:spacing w:after="0"/>
              <w:ind w:left="130"/>
            </w:pPr>
            <w:r>
              <w:rPr>
                <w:rFonts w:ascii="Times New Roman" w:eastAsia="Times New Roman" w:hAnsi="Times New Roman" w:cs="Times New Roman"/>
                <w:sz w:val="28"/>
              </w:rPr>
              <w:t>1 791</w:t>
            </w:r>
          </w:p>
        </w:tc>
        <w:tc>
          <w:tcPr>
            <w:tcW w:w="1484" w:type="dxa"/>
            <w:tcBorders>
              <w:top w:val="single" w:sz="2" w:space="0" w:color="000000"/>
              <w:left w:val="single" w:sz="2" w:space="0" w:color="000000"/>
              <w:bottom w:val="single" w:sz="2" w:space="0" w:color="000000"/>
              <w:right w:val="single" w:sz="2" w:space="0" w:color="000000"/>
            </w:tcBorders>
          </w:tcPr>
          <w:p w:rsidR="0052701D" w:rsidRDefault="00D40929">
            <w:pPr>
              <w:spacing w:after="0"/>
              <w:ind w:left="11"/>
              <w:jc w:val="center"/>
            </w:pPr>
            <w:r>
              <w:rPr>
                <w:rFonts w:ascii="Times New Roman" w:eastAsia="Times New Roman" w:hAnsi="Times New Roman" w:cs="Times New Roman"/>
                <w:sz w:val="28"/>
              </w:rPr>
              <w:t>92,2</w:t>
            </w:r>
          </w:p>
        </w:tc>
      </w:tr>
      <w:tr w:rsidR="0052701D">
        <w:trPr>
          <w:trHeight w:val="326"/>
        </w:trPr>
        <w:tc>
          <w:tcPr>
            <w:tcW w:w="4434" w:type="dxa"/>
            <w:tcBorders>
              <w:top w:val="single" w:sz="2" w:space="0" w:color="000000"/>
              <w:left w:val="single" w:sz="2" w:space="0" w:color="000000"/>
              <w:bottom w:val="single" w:sz="2" w:space="0" w:color="000000"/>
              <w:right w:val="single" w:sz="2" w:space="0" w:color="000000"/>
            </w:tcBorders>
          </w:tcPr>
          <w:p w:rsidR="0052701D" w:rsidRDefault="00D40929">
            <w:pPr>
              <w:spacing w:after="0"/>
            </w:pPr>
            <w:r>
              <w:rPr>
                <w:rFonts w:ascii="Times New Roman" w:eastAsia="Times New Roman" w:hAnsi="Times New Roman" w:cs="Times New Roman"/>
                <w:sz w:val="28"/>
              </w:rPr>
              <w:t>Other credit</w:t>
            </w:r>
          </w:p>
        </w:tc>
        <w:tc>
          <w:tcPr>
            <w:tcW w:w="1242" w:type="dxa"/>
            <w:tcBorders>
              <w:top w:val="single" w:sz="2" w:space="0" w:color="000000"/>
              <w:left w:val="single" w:sz="2" w:space="0" w:color="000000"/>
              <w:bottom w:val="single" w:sz="2" w:space="0" w:color="000000"/>
              <w:right w:val="single" w:sz="2" w:space="0" w:color="000000"/>
            </w:tcBorders>
          </w:tcPr>
          <w:p w:rsidR="0052701D" w:rsidRDefault="00D40929">
            <w:pPr>
              <w:spacing w:after="0"/>
              <w:ind w:left="128"/>
            </w:pPr>
            <w:r>
              <w:rPr>
                <w:rFonts w:ascii="Times New Roman" w:eastAsia="Times New Roman" w:hAnsi="Times New Roman" w:cs="Times New Roman"/>
                <w:sz w:val="28"/>
              </w:rPr>
              <w:t>11 797</w:t>
            </w:r>
          </w:p>
        </w:tc>
        <w:tc>
          <w:tcPr>
            <w:tcW w:w="1104" w:type="dxa"/>
            <w:tcBorders>
              <w:top w:val="single" w:sz="2" w:space="0" w:color="000000"/>
              <w:left w:val="single" w:sz="2" w:space="0" w:color="000000"/>
              <w:bottom w:val="single" w:sz="2" w:space="0" w:color="000000"/>
              <w:right w:val="single" w:sz="2" w:space="0" w:color="000000"/>
            </w:tcBorders>
          </w:tcPr>
          <w:p w:rsidR="0052701D" w:rsidRDefault="00D40929">
            <w:pPr>
              <w:spacing w:after="0"/>
              <w:ind w:left="60"/>
            </w:pPr>
            <w:r>
              <w:rPr>
                <w:rFonts w:ascii="Times New Roman" w:eastAsia="Times New Roman" w:hAnsi="Times New Roman" w:cs="Times New Roman"/>
                <w:sz w:val="28"/>
              </w:rPr>
              <w:t>10 779</w:t>
            </w:r>
          </w:p>
        </w:tc>
        <w:tc>
          <w:tcPr>
            <w:tcW w:w="1106" w:type="dxa"/>
            <w:tcBorders>
              <w:top w:val="single" w:sz="2" w:space="0" w:color="000000"/>
              <w:left w:val="single" w:sz="2" w:space="0" w:color="000000"/>
              <w:bottom w:val="single" w:sz="2" w:space="0" w:color="000000"/>
              <w:right w:val="single" w:sz="2" w:space="0" w:color="000000"/>
            </w:tcBorders>
          </w:tcPr>
          <w:p w:rsidR="0052701D" w:rsidRDefault="00D40929">
            <w:pPr>
              <w:spacing w:after="0"/>
              <w:ind w:left="130"/>
            </w:pPr>
            <w:r>
              <w:rPr>
                <w:rFonts w:ascii="Times New Roman" w:eastAsia="Times New Roman" w:hAnsi="Times New Roman" w:cs="Times New Roman"/>
                <w:sz w:val="28"/>
              </w:rPr>
              <w:t>5 612</w:t>
            </w:r>
          </w:p>
        </w:tc>
        <w:tc>
          <w:tcPr>
            <w:tcW w:w="1484" w:type="dxa"/>
            <w:tcBorders>
              <w:top w:val="single" w:sz="2" w:space="0" w:color="000000"/>
              <w:left w:val="single" w:sz="2" w:space="0" w:color="000000"/>
              <w:bottom w:val="single" w:sz="2" w:space="0" w:color="000000"/>
              <w:right w:val="single" w:sz="2" w:space="0" w:color="000000"/>
            </w:tcBorders>
          </w:tcPr>
          <w:p w:rsidR="0052701D" w:rsidRDefault="00D40929">
            <w:pPr>
              <w:spacing w:after="0"/>
              <w:ind w:left="11"/>
              <w:jc w:val="center"/>
            </w:pPr>
            <w:r>
              <w:rPr>
                <w:rFonts w:ascii="Times New Roman" w:eastAsia="Times New Roman" w:hAnsi="Times New Roman" w:cs="Times New Roman"/>
                <w:sz w:val="28"/>
              </w:rPr>
              <w:t>47,6</w:t>
            </w:r>
          </w:p>
        </w:tc>
      </w:tr>
      <w:tr w:rsidR="0052701D">
        <w:trPr>
          <w:trHeight w:val="328"/>
        </w:trPr>
        <w:tc>
          <w:tcPr>
            <w:tcW w:w="9370" w:type="dxa"/>
            <w:gridSpan w:val="5"/>
            <w:tcBorders>
              <w:top w:val="single" w:sz="2" w:space="0" w:color="000000"/>
              <w:left w:val="single" w:sz="2" w:space="0" w:color="000000"/>
              <w:bottom w:val="single" w:sz="2" w:space="0" w:color="000000"/>
              <w:right w:val="single" w:sz="2" w:space="0" w:color="000000"/>
            </w:tcBorders>
          </w:tcPr>
          <w:p w:rsidR="0052701D" w:rsidRDefault="00D40929">
            <w:pPr>
              <w:spacing w:after="0"/>
            </w:pPr>
            <w:r>
              <w:rPr>
                <w:rFonts w:ascii="Times New Roman" w:eastAsia="Times New Roman" w:hAnsi="Times New Roman" w:cs="Times New Roman"/>
                <w:i/>
                <w:sz w:val="28"/>
              </w:rPr>
              <w:t>Note-compiled by the authors based on the source [15]</w:t>
            </w:r>
          </w:p>
        </w:tc>
      </w:tr>
    </w:tbl>
    <w:p w:rsidR="0052701D" w:rsidRDefault="00D40929">
      <w:pPr>
        <w:spacing w:after="3" w:line="248" w:lineRule="auto"/>
        <w:ind w:right="4" w:firstLine="558"/>
        <w:jc w:val="both"/>
      </w:pPr>
      <w:r>
        <w:rPr>
          <w:rFonts w:ascii="Times New Roman" w:eastAsia="Times New Roman" w:hAnsi="Times New Roman" w:cs="Times New Roman"/>
          <w:sz w:val="28"/>
        </w:rPr>
        <w:t>An analysis of investment financing in Zhetysay district revealed that the most important of them are their own funds – 63%, 13.1% was disbursed at the expense of borrowed funds, and budget investments are 22.9%. According to the types of economic activity</w:t>
      </w:r>
      <w:r>
        <w:rPr>
          <w:rFonts w:ascii="Times New Roman" w:eastAsia="Times New Roman" w:hAnsi="Times New Roman" w:cs="Times New Roman"/>
          <w:sz w:val="28"/>
        </w:rPr>
        <w:t>, in 2021, most of the investments were directed to the industrial sector – 31.5%.</w:t>
      </w:r>
    </w:p>
    <w:p w:rsidR="0052701D" w:rsidRDefault="00D40929">
      <w:pPr>
        <w:spacing w:after="3" w:line="248" w:lineRule="auto"/>
        <w:ind w:right="4" w:firstLine="558"/>
        <w:jc w:val="both"/>
      </w:pPr>
      <w:r>
        <w:rPr>
          <w:rFonts w:ascii="Times New Roman" w:eastAsia="Times New Roman" w:hAnsi="Times New Roman" w:cs="Times New Roman"/>
          <w:sz w:val="28"/>
        </w:rPr>
        <w:t>The number of the region's labor force in 2021 is 103.7 thousand people (49.4% of the total population, 51.2% of the national indicator).</w:t>
      </w:r>
    </w:p>
    <w:p w:rsidR="0052701D" w:rsidRDefault="00D40929">
      <w:pPr>
        <w:spacing w:after="3" w:line="248" w:lineRule="auto"/>
        <w:ind w:right="4" w:firstLine="558"/>
        <w:jc w:val="both"/>
      </w:pPr>
      <w:r>
        <w:rPr>
          <w:rFonts w:ascii="Times New Roman" w:eastAsia="Times New Roman" w:hAnsi="Times New Roman" w:cs="Times New Roman"/>
          <w:sz w:val="28"/>
        </w:rPr>
        <w:t>Compared to 2019, the number of lab</w:t>
      </w:r>
      <w:r>
        <w:rPr>
          <w:rFonts w:ascii="Times New Roman" w:eastAsia="Times New Roman" w:hAnsi="Times New Roman" w:cs="Times New Roman"/>
          <w:sz w:val="28"/>
        </w:rPr>
        <w:t>or force increased by 4.6% or amounted to 46.0 thousand people, in 2019 this figure was 79.2 thousand people. The level of economically active population of Zhetysay district in 2020 was 72.7%, which is higher than 70.7% in the Republic as a whole.</w:t>
      </w:r>
    </w:p>
    <w:p w:rsidR="0052701D" w:rsidRDefault="00D40929">
      <w:pPr>
        <w:spacing w:after="3" w:line="248" w:lineRule="auto"/>
        <w:ind w:right="4" w:firstLine="558"/>
        <w:jc w:val="both"/>
      </w:pPr>
      <w:r>
        <w:rPr>
          <w:rFonts w:ascii="Times New Roman" w:eastAsia="Times New Roman" w:hAnsi="Times New Roman" w:cs="Times New Roman"/>
          <w:sz w:val="28"/>
        </w:rPr>
        <w:t xml:space="preserve">At the same time, a significant share in the structure of the employed population in Zhetysay district belongs to those who are engaged in their own business – 26.0% (the national indicator is 25.5%) and those who are employed in the field of services and </w:t>
      </w:r>
      <w:r>
        <w:rPr>
          <w:rFonts w:ascii="Times New Roman" w:eastAsia="Times New Roman" w:hAnsi="Times New Roman" w:cs="Times New Roman"/>
          <w:sz w:val="28"/>
        </w:rPr>
        <w:t>trade. In 2019-2021, the number of people engaged in their own business decreased from 24.7 thousand people to 26.6 thousand people, or 7.7%. Of the population engaged in their own business, the share of people engaged in their own business, which is not p</w:t>
      </w:r>
      <w:r>
        <w:rPr>
          <w:rFonts w:ascii="Times New Roman" w:eastAsia="Times New Roman" w:hAnsi="Times New Roman" w:cs="Times New Roman"/>
          <w:sz w:val="28"/>
        </w:rPr>
        <w:t>rofitable, is 15.5%.</w:t>
      </w:r>
    </w:p>
    <w:p w:rsidR="0052701D" w:rsidRDefault="00D40929">
      <w:pPr>
        <w:spacing w:after="3" w:line="248" w:lineRule="auto"/>
        <w:ind w:right="4" w:firstLine="558"/>
        <w:jc w:val="both"/>
      </w:pPr>
      <w:r>
        <w:rPr>
          <w:rFonts w:ascii="Times New Roman" w:eastAsia="Times New Roman" w:hAnsi="Times New Roman" w:cs="Times New Roman"/>
          <w:sz w:val="28"/>
        </w:rPr>
        <w:t>The number of unemployed in 2021 amounted to 4.9 thousand people compared to 4.9 thousand people in 2019, the unemployment rate decreased from 4.7% to 4.6%, in the Republic- 4.8%, youth unemployment- 3.1%, in the Republic – 3.9%.</w:t>
      </w:r>
    </w:p>
    <w:p w:rsidR="0052701D" w:rsidRDefault="00D40929">
      <w:pPr>
        <w:spacing w:after="3" w:line="248" w:lineRule="auto"/>
        <w:ind w:right="4" w:firstLine="558"/>
        <w:jc w:val="both"/>
      </w:pPr>
      <w:r>
        <w:rPr>
          <w:rFonts w:ascii="Times New Roman" w:eastAsia="Times New Roman" w:hAnsi="Times New Roman" w:cs="Times New Roman"/>
          <w:sz w:val="28"/>
        </w:rPr>
        <w:t>The analysis of the youth and gender structure of the unemployed revealed that the share of middle - aged people is 67.0%, namely from 31 to 55 young people, 58% of the unemployed are women. According to the professional and qualification composition of th</w:t>
      </w:r>
      <w:r>
        <w:rPr>
          <w:rFonts w:ascii="Times New Roman" w:eastAsia="Times New Roman" w:hAnsi="Times New Roman" w:cs="Times New Roman"/>
          <w:sz w:val="28"/>
        </w:rPr>
        <w:t>e unemployed, 76% are those with general education and secondary professional education.</w:t>
      </w:r>
    </w:p>
    <w:p w:rsidR="0052701D" w:rsidRDefault="00D40929">
      <w:pPr>
        <w:spacing w:after="3" w:line="248" w:lineRule="auto"/>
        <w:ind w:right="4" w:firstLine="558"/>
        <w:jc w:val="both"/>
      </w:pPr>
      <w:r>
        <w:rPr>
          <w:rFonts w:ascii="Times New Roman" w:eastAsia="Times New Roman" w:hAnsi="Times New Roman" w:cs="Times New Roman"/>
          <w:sz w:val="28"/>
        </w:rPr>
        <w:t>At the same time, there are positive changes in the field of employment, but there are many unresolved issues. In rural areas, there is a large number of jobs that are</w:t>
      </w:r>
      <w:r>
        <w:rPr>
          <w:rFonts w:ascii="Times New Roman" w:eastAsia="Times New Roman" w:hAnsi="Times New Roman" w:cs="Times New Roman"/>
          <w:sz w:val="28"/>
        </w:rPr>
        <w:t xml:space="preserve"> not covered, which is associated with seasonality in agriculture, a large number of labor in the yard economy, low qualifications of the rural population, and the lack of work corresponding to the specialty.</w:t>
      </w:r>
    </w:p>
    <w:p w:rsidR="0052701D" w:rsidRDefault="00D40929">
      <w:pPr>
        <w:spacing w:after="3" w:line="248" w:lineRule="auto"/>
        <w:ind w:right="4" w:firstLine="558"/>
        <w:jc w:val="both"/>
      </w:pPr>
      <w:r>
        <w:rPr>
          <w:rFonts w:ascii="Times New Roman" w:eastAsia="Times New Roman" w:hAnsi="Times New Roman" w:cs="Times New Roman"/>
          <w:sz w:val="28"/>
        </w:rPr>
        <w:lastRenderedPageBreak/>
        <w:t>There has been an inequality between the supply</w:t>
      </w:r>
      <w:r>
        <w:rPr>
          <w:rFonts w:ascii="Times New Roman" w:eastAsia="Times New Roman" w:hAnsi="Times New Roman" w:cs="Times New Roman"/>
          <w:sz w:val="28"/>
        </w:rPr>
        <w:t xml:space="preserve"> and demand of young people and people with disabilities for labor in the labor market, as well as between people who have not worked for a long time and are in pre-retirement. For employment of this category of the population, a comprehensive plan for ass</w:t>
      </w:r>
      <w:r>
        <w:rPr>
          <w:rFonts w:ascii="Times New Roman" w:eastAsia="Times New Roman" w:hAnsi="Times New Roman" w:cs="Times New Roman"/>
          <w:sz w:val="28"/>
        </w:rPr>
        <w:t>istance in employment of the population has been prepared, which provides for weak targeted work of the population in the region.</w:t>
      </w:r>
    </w:p>
    <w:p w:rsidR="0052701D" w:rsidRDefault="00D40929">
      <w:pPr>
        <w:spacing w:after="3" w:line="248" w:lineRule="auto"/>
        <w:ind w:right="4" w:firstLine="558"/>
        <w:jc w:val="both"/>
      </w:pPr>
      <w:r>
        <w:rPr>
          <w:rFonts w:ascii="Times New Roman" w:eastAsia="Times New Roman" w:hAnsi="Times New Roman" w:cs="Times New Roman"/>
          <w:sz w:val="28"/>
        </w:rPr>
        <w:t>There are 131 industrial enterprises operating in Zhetysay district, of which 39 are large and medium-sized enterprises, the s</w:t>
      </w:r>
      <w:r>
        <w:rPr>
          <w:rFonts w:ascii="Times New Roman" w:eastAsia="Times New Roman" w:hAnsi="Times New Roman" w:cs="Times New Roman"/>
          <w:sz w:val="28"/>
        </w:rPr>
        <w:t>hare of the volume of manufactured products is 79%.</w:t>
      </w:r>
    </w:p>
    <w:p w:rsidR="0052701D" w:rsidRDefault="00D40929">
      <w:pPr>
        <w:spacing w:after="310" w:line="248" w:lineRule="auto"/>
        <w:ind w:right="4" w:firstLine="558"/>
        <w:jc w:val="both"/>
      </w:pPr>
      <w:r>
        <w:rPr>
          <w:rFonts w:ascii="Times New Roman" w:eastAsia="Times New Roman" w:hAnsi="Times New Roman" w:cs="Times New Roman"/>
          <w:sz w:val="28"/>
        </w:rPr>
        <w:t>In 2021, 1.3% of industrial production accounted for the mining industry and mine development, 75.1%-the manufacturing industry, 13.4% - electricity, gas and air condensation, 1.3% - water supply, waste c</w:t>
      </w:r>
      <w:r>
        <w:rPr>
          <w:rFonts w:ascii="Times New Roman" w:eastAsia="Times New Roman" w:hAnsi="Times New Roman" w:cs="Times New Roman"/>
          <w:sz w:val="28"/>
        </w:rPr>
        <w:t xml:space="preserve">ollection.  </w:t>
      </w:r>
    </w:p>
    <w:p w:rsidR="0052701D" w:rsidRDefault="00D40929">
      <w:pPr>
        <w:spacing w:after="3" w:line="248" w:lineRule="auto"/>
        <w:ind w:left="553" w:right="4"/>
        <w:jc w:val="both"/>
      </w:pPr>
      <w:r>
        <w:rPr>
          <w:rFonts w:ascii="Times New Roman" w:eastAsia="Times New Roman" w:hAnsi="Times New Roman" w:cs="Times New Roman"/>
          <w:sz w:val="28"/>
        </w:rPr>
        <w:t>Table 3</w:t>
      </w:r>
    </w:p>
    <w:p w:rsidR="0052701D" w:rsidRDefault="00D40929">
      <w:pPr>
        <w:spacing w:after="3" w:line="248" w:lineRule="auto"/>
        <w:ind w:left="553" w:right="4"/>
        <w:jc w:val="both"/>
      </w:pPr>
      <w:r>
        <w:rPr>
          <w:rFonts w:ascii="Times New Roman" w:eastAsia="Times New Roman" w:hAnsi="Times New Roman" w:cs="Times New Roman"/>
          <w:sz w:val="28"/>
        </w:rPr>
        <w:t>The main indicators of the labor market of Zhetysay district, thousand people</w:t>
      </w:r>
    </w:p>
    <w:tbl>
      <w:tblPr>
        <w:tblStyle w:val="TableGrid"/>
        <w:tblW w:w="9350" w:type="dxa"/>
        <w:tblInd w:w="426" w:type="dxa"/>
        <w:tblCellMar>
          <w:top w:w="17" w:type="dxa"/>
          <w:left w:w="110" w:type="dxa"/>
          <w:bottom w:w="0" w:type="dxa"/>
          <w:right w:w="114" w:type="dxa"/>
        </w:tblCellMar>
        <w:tblLook w:val="04A0" w:firstRow="1" w:lastRow="0" w:firstColumn="1" w:lastColumn="0" w:noHBand="0" w:noVBand="1"/>
      </w:tblPr>
      <w:tblGrid>
        <w:gridCol w:w="4120"/>
        <w:gridCol w:w="1262"/>
        <w:gridCol w:w="1274"/>
        <w:gridCol w:w="1276"/>
        <w:gridCol w:w="1418"/>
      </w:tblGrid>
      <w:tr w:rsidR="0052701D">
        <w:trPr>
          <w:trHeight w:val="1298"/>
        </w:trPr>
        <w:tc>
          <w:tcPr>
            <w:tcW w:w="4120"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9"/>
              <w:jc w:val="center"/>
            </w:pPr>
            <w:r>
              <w:rPr>
                <w:rFonts w:ascii="Times New Roman" w:eastAsia="Times New Roman" w:hAnsi="Times New Roman" w:cs="Times New Roman"/>
                <w:sz w:val="28"/>
              </w:rPr>
              <w:t>Indicators</w:t>
            </w:r>
          </w:p>
        </w:tc>
        <w:tc>
          <w:tcPr>
            <w:tcW w:w="1262"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3"/>
              <w:jc w:val="center"/>
            </w:pPr>
            <w:r>
              <w:rPr>
                <w:rFonts w:ascii="Times New Roman" w:eastAsia="Times New Roman" w:hAnsi="Times New Roman" w:cs="Times New Roman"/>
                <w:sz w:val="28"/>
              </w:rPr>
              <w:t xml:space="preserve">2020 year </w:t>
            </w:r>
          </w:p>
        </w:tc>
        <w:tc>
          <w:tcPr>
            <w:tcW w:w="1274"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9"/>
              <w:jc w:val="center"/>
            </w:pPr>
            <w:r>
              <w:rPr>
                <w:rFonts w:ascii="Times New Roman" w:eastAsia="Times New Roman" w:hAnsi="Times New Roman" w:cs="Times New Roman"/>
                <w:sz w:val="28"/>
              </w:rPr>
              <w:t>2021 year</w:t>
            </w:r>
          </w:p>
        </w:tc>
        <w:tc>
          <w:tcPr>
            <w:tcW w:w="1276"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jc w:val="center"/>
            </w:pPr>
            <w:r>
              <w:rPr>
                <w:rFonts w:ascii="Times New Roman" w:eastAsia="Times New Roman" w:hAnsi="Times New Roman" w:cs="Times New Roman"/>
                <w:sz w:val="28"/>
              </w:rPr>
              <w:t>deviation (+,-)</w:t>
            </w:r>
          </w:p>
        </w:tc>
        <w:tc>
          <w:tcPr>
            <w:tcW w:w="141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8"/>
              <w:jc w:val="both"/>
            </w:pPr>
            <w:r>
              <w:rPr>
                <w:rFonts w:ascii="Times New Roman" w:eastAsia="Times New Roman" w:hAnsi="Times New Roman" w:cs="Times New Roman"/>
                <w:sz w:val="28"/>
              </w:rPr>
              <w:t>compariso</w:t>
            </w:r>
          </w:p>
          <w:p w:rsidR="0052701D" w:rsidRDefault="00D40929">
            <w:pPr>
              <w:spacing w:after="0"/>
              <w:ind w:left="112"/>
            </w:pPr>
            <w:r>
              <w:rPr>
                <w:rFonts w:ascii="Times New Roman" w:eastAsia="Times New Roman" w:hAnsi="Times New Roman" w:cs="Times New Roman"/>
                <w:sz w:val="28"/>
              </w:rPr>
              <w:t>n 2020y.</w:t>
            </w:r>
          </w:p>
          <w:p w:rsidR="0052701D" w:rsidRDefault="00D40929">
            <w:pPr>
              <w:spacing w:after="0"/>
              <w:ind w:left="10"/>
              <w:jc w:val="center"/>
            </w:pPr>
            <w:r>
              <w:rPr>
                <w:rFonts w:ascii="Times New Roman" w:eastAsia="Times New Roman" w:hAnsi="Times New Roman" w:cs="Times New Roman"/>
                <w:sz w:val="28"/>
              </w:rPr>
              <w:t>and</w:t>
            </w:r>
          </w:p>
          <w:p w:rsidR="0052701D" w:rsidRDefault="00D40929">
            <w:pPr>
              <w:spacing w:after="0"/>
              <w:ind w:left="30"/>
            </w:pPr>
            <w:r>
              <w:rPr>
                <w:rFonts w:ascii="Times New Roman" w:eastAsia="Times New Roman" w:hAnsi="Times New Roman" w:cs="Times New Roman"/>
                <w:sz w:val="28"/>
              </w:rPr>
              <w:t>2021y., %</w:t>
            </w:r>
          </w:p>
        </w:tc>
      </w:tr>
      <w:tr w:rsidR="0052701D">
        <w:trPr>
          <w:trHeight w:val="332"/>
        </w:trPr>
        <w:tc>
          <w:tcPr>
            <w:tcW w:w="4120"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Economically active population</w:t>
            </w:r>
          </w:p>
        </w:tc>
        <w:tc>
          <w:tcPr>
            <w:tcW w:w="126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
              <w:jc w:val="center"/>
            </w:pPr>
            <w:r>
              <w:rPr>
                <w:rFonts w:ascii="Times New Roman" w:eastAsia="Times New Roman" w:hAnsi="Times New Roman" w:cs="Times New Roman"/>
                <w:sz w:val="28"/>
              </w:rPr>
              <w:t>99,2</w:t>
            </w:r>
          </w:p>
        </w:tc>
        <w:tc>
          <w:tcPr>
            <w:tcW w:w="127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
              <w:jc w:val="center"/>
            </w:pPr>
            <w:r>
              <w:rPr>
                <w:rFonts w:ascii="Times New Roman" w:eastAsia="Times New Roman" w:hAnsi="Times New Roman" w:cs="Times New Roman"/>
                <w:sz w:val="28"/>
              </w:rPr>
              <w:t>103,7</w:t>
            </w:r>
          </w:p>
        </w:tc>
        <w:tc>
          <w:tcPr>
            <w:tcW w:w="127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0"/>
              <w:jc w:val="center"/>
            </w:pPr>
            <w:r>
              <w:rPr>
                <w:rFonts w:ascii="Times New Roman" w:eastAsia="Times New Roman" w:hAnsi="Times New Roman" w:cs="Times New Roman"/>
                <w:sz w:val="28"/>
              </w:rPr>
              <w:t>4,5</w:t>
            </w:r>
          </w:p>
        </w:tc>
        <w:tc>
          <w:tcPr>
            <w:tcW w:w="141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
              <w:jc w:val="center"/>
            </w:pPr>
            <w:r>
              <w:rPr>
                <w:rFonts w:ascii="Times New Roman" w:eastAsia="Times New Roman" w:hAnsi="Times New Roman" w:cs="Times New Roman"/>
                <w:sz w:val="28"/>
              </w:rPr>
              <w:t>104,5</w:t>
            </w:r>
          </w:p>
        </w:tc>
      </w:tr>
      <w:tr w:rsidR="0052701D">
        <w:trPr>
          <w:trHeight w:val="332"/>
        </w:trPr>
        <w:tc>
          <w:tcPr>
            <w:tcW w:w="4120"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Employed population</w:t>
            </w:r>
          </w:p>
        </w:tc>
        <w:tc>
          <w:tcPr>
            <w:tcW w:w="126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
              <w:jc w:val="center"/>
            </w:pPr>
            <w:r>
              <w:rPr>
                <w:rFonts w:ascii="Times New Roman" w:eastAsia="Times New Roman" w:hAnsi="Times New Roman" w:cs="Times New Roman"/>
                <w:sz w:val="28"/>
              </w:rPr>
              <w:t>94,3</w:t>
            </w:r>
          </w:p>
        </w:tc>
        <w:tc>
          <w:tcPr>
            <w:tcW w:w="127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
              <w:jc w:val="center"/>
            </w:pPr>
            <w:r>
              <w:rPr>
                <w:rFonts w:ascii="Times New Roman" w:eastAsia="Times New Roman" w:hAnsi="Times New Roman" w:cs="Times New Roman"/>
                <w:sz w:val="28"/>
              </w:rPr>
              <w:t>98,8</w:t>
            </w:r>
          </w:p>
        </w:tc>
        <w:tc>
          <w:tcPr>
            <w:tcW w:w="127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0"/>
              <w:jc w:val="center"/>
            </w:pPr>
            <w:r>
              <w:rPr>
                <w:rFonts w:ascii="Times New Roman" w:eastAsia="Times New Roman" w:hAnsi="Times New Roman" w:cs="Times New Roman"/>
                <w:sz w:val="28"/>
              </w:rPr>
              <w:t>4,5</w:t>
            </w:r>
          </w:p>
        </w:tc>
        <w:tc>
          <w:tcPr>
            <w:tcW w:w="141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
              <w:jc w:val="center"/>
            </w:pPr>
            <w:r>
              <w:rPr>
                <w:rFonts w:ascii="Times New Roman" w:eastAsia="Times New Roman" w:hAnsi="Times New Roman" w:cs="Times New Roman"/>
                <w:sz w:val="28"/>
              </w:rPr>
              <w:t>104,8</w:t>
            </w:r>
          </w:p>
        </w:tc>
      </w:tr>
      <w:tr w:rsidR="0052701D">
        <w:trPr>
          <w:trHeight w:val="332"/>
        </w:trPr>
        <w:tc>
          <w:tcPr>
            <w:tcW w:w="4120"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including:</w:t>
            </w:r>
          </w:p>
        </w:tc>
        <w:tc>
          <w:tcPr>
            <w:tcW w:w="1262" w:type="dxa"/>
            <w:tcBorders>
              <w:top w:val="single" w:sz="4" w:space="0" w:color="000000"/>
              <w:left w:val="single" w:sz="4" w:space="0" w:color="000000"/>
              <w:bottom w:val="single" w:sz="4" w:space="0" w:color="000000"/>
              <w:right w:val="single" w:sz="4" w:space="0" w:color="000000"/>
            </w:tcBorders>
          </w:tcPr>
          <w:p w:rsidR="0052701D" w:rsidRDefault="0052701D"/>
        </w:tc>
        <w:tc>
          <w:tcPr>
            <w:tcW w:w="1274" w:type="dxa"/>
            <w:tcBorders>
              <w:top w:val="single" w:sz="4" w:space="0" w:color="000000"/>
              <w:left w:val="single" w:sz="4" w:space="0" w:color="000000"/>
              <w:bottom w:val="single" w:sz="4" w:space="0" w:color="000000"/>
              <w:right w:val="single" w:sz="4" w:space="0" w:color="000000"/>
            </w:tcBorders>
          </w:tcPr>
          <w:p w:rsidR="0052701D" w:rsidRDefault="0052701D"/>
        </w:tc>
        <w:tc>
          <w:tcPr>
            <w:tcW w:w="1276" w:type="dxa"/>
            <w:tcBorders>
              <w:top w:val="single" w:sz="4" w:space="0" w:color="000000"/>
              <w:left w:val="single" w:sz="4" w:space="0" w:color="000000"/>
              <w:bottom w:val="single" w:sz="4" w:space="0" w:color="000000"/>
              <w:right w:val="single" w:sz="4" w:space="0" w:color="000000"/>
            </w:tcBorders>
          </w:tcPr>
          <w:p w:rsidR="0052701D" w:rsidRDefault="0052701D"/>
        </w:tc>
        <w:tc>
          <w:tcPr>
            <w:tcW w:w="1418" w:type="dxa"/>
            <w:tcBorders>
              <w:top w:val="single" w:sz="4" w:space="0" w:color="000000"/>
              <w:left w:val="single" w:sz="4" w:space="0" w:color="000000"/>
              <w:bottom w:val="single" w:sz="4" w:space="0" w:color="000000"/>
              <w:right w:val="single" w:sz="4" w:space="0" w:color="000000"/>
            </w:tcBorders>
          </w:tcPr>
          <w:p w:rsidR="0052701D" w:rsidRDefault="0052701D"/>
        </w:tc>
      </w:tr>
      <w:tr w:rsidR="0052701D">
        <w:trPr>
          <w:trHeight w:val="332"/>
        </w:trPr>
        <w:tc>
          <w:tcPr>
            <w:tcW w:w="4120"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Hired</w:t>
            </w:r>
          </w:p>
        </w:tc>
        <w:tc>
          <w:tcPr>
            <w:tcW w:w="126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
              <w:jc w:val="center"/>
            </w:pPr>
            <w:r>
              <w:rPr>
                <w:rFonts w:ascii="Times New Roman" w:eastAsia="Times New Roman" w:hAnsi="Times New Roman" w:cs="Times New Roman"/>
                <w:sz w:val="28"/>
              </w:rPr>
              <w:t>69,5</w:t>
            </w:r>
          </w:p>
        </w:tc>
        <w:tc>
          <w:tcPr>
            <w:tcW w:w="127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
              <w:jc w:val="center"/>
            </w:pPr>
            <w:r>
              <w:rPr>
                <w:rFonts w:ascii="Times New Roman" w:eastAsia="Times New Roman" w:hAnsi="Times New Roman" w:cs="Times New Roman"/>
                <w:sz w:val="28"/>
              </w:rPr>
              <w:t>72,1</w:t>
            </w:r>
          </w:p>
        </w:tc>
        <w:tc>
          <w:tcPr>
            <w:tcW w:w="127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0"/>
              <w:jc w:val="center"/>
            </w:pPr>
            <w:r>
              <w:rPr>
                <w:rFonts w:ascii="Times New Roman" w:eastAsia="Times New Roman" w:hAnsi="Times New Roman" w:cs="Times New Roman"/>
                <w:sz w:val="28"/>
              </w:rPr>
              <w:t>2,6</w:t>
            </w:r>
          </w:p>
        </w:tc>
        <w:tc>
          <w:tcPr>
            <w:tcW w:w="141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
              <w:jc w:val="center"/>
            </w:pPr>
            <w:r>
              <w:rPr>
                <w:rFonts w:ascii="Times New Roman" w:eastAsia="Times New Roman" w:hAnsi="Times New Roman" w:cs="Times New Roman"/>
                <w:sz w:val="28"/>
              </w:rPr>
              <w:t>103,8</w:t>
            </w:r>
          </w:p>
        </w:tc>
      </w:tr>
      <w:tr w:rsidR="0052701D">
        <w:trPr>
          <w:trHeight w:val="332"/>
        </w:trPr>
        <w:tc>
          <w:tcPr>
            <w:tcW w:w="4120"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self-employed people</w:t>
            </w:r>
          </w:p>
        </w:tc>
        <w:tc>
          <w:tcPr>
            <w:tcW w:w="126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
              <w:jc w:val="center"/>
            </w:pPr>
            <w:r>
              <w:rPr>
                <w:rFonts w:ascii="Times New Roman" w:eastAsia="Times New Roman" w:hAnsi="Times New Roman" w:cs="Times New Roman"/>
                <w:sz w:val="28"/>
              </w:rPr>
              <w:t>24,7</w:t>
            </w:r>
          </w:p>
        </w:tc>
        <w:tc>
          <w:tcPr>
            <w:tcW w:w="127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
              <w:jc w:val="center"/>
            </w:pPr>
            <w:r>
              <w:rPr>
                <w:rFonts w:ascii="Times New Roman" w:eastAsia="Times New Roman" w:hAnsi="Times New Roman" w:cs="Times New Roman"/>
                <w:sz w:val="28"/>
              </w:rPr>
              <w:t>26,6</w:t>
            </w:r>
          </w:p>
        </w:tc>
        <w:tc>
          <w:tcPr>
            <w:tcW w:w="127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0"/>
              <w:jc w:val="center"/>
            </w:pPr>
            <w:r>
              <w:rPr>
                <w:rFonts w:ascii="Times New Roman" w:eastAsia="Times New Roman" w:hAnsi="Times New Roman" w:cs="Times New Roman"/>
                <w:sz w:val="28"/>
              </w:rPr>
              <w:t>1,9</w:t>
            </w:r>
          </w:p>
        </w:tc>
        <w:tc>
          <w:tcPr>
            <w:tcW w:w="141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
              <w:jc w:val="center"/>
            </w:pPr>
            <w:r>
              <w:rPr>
                <w:rFonts w:ascii="Times New Roman" w:eastAsia="Times New Roman" w:hAnsi="Times New Roman" w:cs="Times New Roman"/>
                <w:sz w:val="28"/>
              </w:rPr>
              <w:t>107,8</w:t>
            </w:r>
          </w:p>
        </w:tc>
      </w:tr>
      <w:tr w:rsidR="0052701D">
        <w:trPr>
          <w:trHeight w:val="654"/>
        </w:trPr>
        <w:tc>
          <w:tcPr>
            <w:tcW w:w="4120"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share of self-employed persons in the employed population, %</w:t>
            </w:r>
          </w:p>
        </w:tc>
        <w:tc>
          <w:tcPr>
            <w:tcW w:w="1262"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8"/>
              <w:jc w:val="center"/>
            </w:pPr>
            <w:r>
              <w:rPr>
                <w:rFonts w:ascii="Times New Roman" w:eastAsia="Times New Roman" w:hAnsi="Times New Roman" w:cs="Times New Roman"/>
                <w:sz w:val="28"/>
              </w:rPr>
              <w:t>25,3</w:t>
            </w:r>
          </w:p>
        </w:tc>
        <w:tc>
          <w:tcPr>
            <w:tcW w:w="1274"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8"/>
              <w:jc w:val="center"/>
            </w:pPr>
            <w:r>
              <w:rPr>
                <w:rFonts w:ascii="Times New Roman" w:eastAsia="Times New Roman" w:hAnsi="Times New Roman" w:cs="Times New Roman"/>
                <w:sz w:val="28"/>
              </w:rPr>
              <w:t>26,0</w:t>
            </w:r>
          </w:p>
        </w:tc>
        <w:tc>
          <w:tcPr>
            <w:tcW w:w="1276"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10"/>
              <w:jc w:val="center"/>
            </w:pPr>
            <w:r>
              <w:rPr>
                <w:rFonts w:ascii="Times New Roman" w:eastAsia="Times New Roman" w:hAnsi="Times New Roman" w:cs="Times New Roman"/>
                <w:sz w:val="28"/>
              </w:rPr>
              <w:t>0,7</w:t>
            </w:r>
          </w:p>
        </w:tc>
        <w:tc>
          <w:tcPr>
            <w:tcW w:w="1418"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10"/>
              <w:jc w:val="center"/>
            </w:pPr>
            <w:r>
              <w:rPr>
                <w:rFonts w:ascii="Times New Roman" w:eastAsia="Times New Roman" w:hAnsi="Times New Roman" w:cs="Times New Roman"/>
                <w:sz w:val="28"/>
              </w:rPr>
              <w:t>х</w:t>
            </w:r>
          </w:p>
        </w:tc>
      </w:tr>
      <w:tr w:rsidR="0052701D">
        <w:trPr>
          <w:trHeight w:val="332"/>
        </w:trPr>
        <w:tc>
          <w:tcPr>
            <w:tcW w:w="4120"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gainless employment</w:t>
            </w:r>
          </w:p>
        </w:tc>
        <w:tc>
          <w:tcPr>
            <w:tcW w:w="126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
              <w:jc w:val="center"/>
            </w:pPr>
            <w:r>
              <w:rPr>
                <w:rFonts w:ascii="Times New Roman" w:eastAsia="Times New Roman" w:hAnsi="Times New Roman" w:cs="Times New Roman"/>
                <w:sz w:val="28"/>
              </w:rPr>
              <w:t>55,2</w:t>
            </w:r>
          </w:p>
        </w:tc>
        <w:tc>
          <w:tcPr>
            <w:tcW w:w="127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
              <w:jc w:val="center"/>
            </w:pPr>
            <w:r>
              <w:rPr>
                <w:rFonts w:ascii="Times New Roman" w:eastAsia="Times New Roman" w:hAnsi="Times New Roman" w:cs="Times New Roman"/>
                <w:sz w:val="28"/>
              </w:rPr>
              <w:t>37,7</w:t>
            </w:r>
          </w:p>
        </w:tc>
        <w:tc>
          <w:tcPr>
            <w:tcW w:w="127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0"/>
              <w:jc w:val="center"/>
            </w:pPr>
            <w:r>
              <w:rPr>
                <w:rFonts w:ascii="Times New Roman" w:eastAsia="Times New Roman" w:hAnsi="Times New Roman" w:cs="Times New Roman"/>
                <w:sz w:val="28"/>
              </w:rPr>
              <w:t>-16,5</w:t>
            </w:r>
          </w:p>
        </w:tc>
        <w:tc>
          <w:tcPr>
            <w:tcW w:w="141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
              <w:jc w:val="center"/>
            </w:pPr>
            <w:r>
              <w:rPr>
                <w:rFonts w:ascii="Times New Roman" w:eastAsia="Times New Roman" w:hAnsi="Times New Roman" w:cs="Times New Roman"/>
                <w:sz w:val="28"/>
              </w:rPr>
              <w:t>68,9</w:t>
            </w:r>
          </w:p>
        </w:tc>
      </w:tr>
      <w:tr w:rsidR="0052701D">
        <w:trPr>
          <w:trHeight w:val="332"/>
        </w:trPr>
        <w:tc>
          <w:tcPr>
            <w:tcW w:w="4120"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Share of unemployed, %</w:t>
            </w:r>
          </w:p>
        </w:tc>
        <w:tc>
          <w:tcPr>
            <w:tcW w:w="126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
              <w:jc w:val="center"/>
            </w:pPr>
            <w:r>
              <w:rPr>
                <w:rFonts w:ascii="Times New Roman" w:eastAsia="Times New Roman" w:hAnsi="Times New Roman" w:cs="Times New Roman"/>
                <w:sz w:val="28"/>
              </w:rPr>
              <w:t>23,7</w:t>
            </w:r>
          </w:p>
        </w:tc>
        <w:tc>
          <w:tcPr>
            <w:tcW w:w="127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
              <w:jc w:val="center"/>
            </w:pPr>
            <w:r>
              <w:rPr>
                <w:rFonts w:ascii="Times New Roman" w:eastAsia="Times New Roman" w:hAnsi="Times New Roman" w:cs="Times New Roman"/>
                <w:sz w:val="28"/>
              </w:rPr>
              <w:t>15,5</w:t>
            </w:r>
          </w:p>
        </w:tc>
        <w:tc>
          <w:tcPr>
            <w:tcW w:w="127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1"/>
              <w:jc w:val="center"/>
            </w:pPr>
            <w:r>
              <w:rPr>
                <w:rFonts w:ascii="Times New Roman" w:eastAsia="Times New Roman" w:hAnsi="Times New Roman" w:cs="Times New Roman"/>
                <w:sz w:val="28"/>
              </w:rPr>
              <w:t>-8,2</w:t>
            </w:r>
          </w:p>
        </w:tc>
        <w:tc>
          <w:tcPr>
            <w:tcW w:w="141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0"/>
              <w:jc w:val="center"/>
            </w:pPr>
            <w:r>
              <w:rPr>
                <w:rFonts w:ascii="Times New Roman" w:eastAsia="Times New Roman" w:hAnsi="Times New Roman" w:cs="Times New Roman"/>
                <w:sz w:val="28"/>
              </w:rPr>
              <w:t>х</w:t>
            </w:r>
          </w:p>
        </w:tc>
      </w:tr>
      <w:tr w:rsidR="0052701D">
        <w:trPr>
          <w:trHeight w:val="332"/>
        </w:trPr>
        <w:tc>
          <w:tcPr>
            <w:tcW w:w="4120"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Unemployed people</w:t>
            </w:r>
          </w:p>
        </w:tc>
        <w:tc>
          <w:tcPr>
            <w:tcW w:w="126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
              <w:jc w:val="center"/>
            </w:pPr>
            <w:r>
              <w:rPr>
                <w:rFonts w:ascii="Times New Roman" w:eastAsia="Times New Roman" w:hAnsi="Times New Roman" w:cs="Times New Roman"/>
                <w:sz w:val="28"/>
              </w:rPr>
              <w:t>4,9</w:t>
            </w:r>
          </w:p>
        </w:tc>
        <w:tc>
          <w:tcPr>
            <w:tcW w:w="127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
              <w:jc w:val="center"/>
            </w:pPr>
            <w:r>
              <w:rPr>
                <w:rFonts w:ascii="Times New Roman" w:eastAsia="Times New Roman" w:hAnsi="Times New Roman" w:cs="Times New Roman"/>
                <w:sz w:val="28"/>
              </w:rPr>
              <w:t>4,9</w:t>
            </w:r>
          </w:p>
        </w:tc>
        <w:tc>
          <w:tcPr>
            <w:tcW w:w="127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
              <w:jc w:val="center"/>
            </w:pPr>
            <w:r>
              <w:rPr>
                <w:rFonts w:ascii="Times New Roman" w:eastAsia="Times New Roman" w:hAnsi="Times New Roman" w:cs="Times New Roman"/>
                <w:sz w:val="28"/>
              </w:rPr>
              <w:t>0</w:t>
            </w:r>
          </w:p>
        </w:tc>
        <w:tc>
          <w:tcPr>
            <w:tcW w:w="141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
              <w:jc w:val="center"/>
            </w:pPr>
            <w:r>
              <w:rPr>
                <w:rFonts w:ascii="Times New Roman" w:eastAsia="Times New Roman" w:hAnsi="Times New Roman" w:cs="Times New Roman"/>
                <w:sz w:val="28"/>
              </w:rPr>
              <w:t>99,2</w:t>
            </w:r>
          </w:p>
        </w:tc>
      </w:tr>
      <w:tr w:rsidR="0052701D">
        <w:trPr>
          <w:trHeight w:val="332"/>
        </w:trPr>
        <w:tc>
          <w:tcPr>
            <w:tcW w:w="4120"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Total unemployment rate, %</w:t>
            </w:r>
          </w:p>
        </w:tc>
        <w:tc>
          <w:tcPr>
            <w:tcW w:w="126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
              <w:jc w:val="center"/>
            </w:pPr>
            <w:r>
              <w:rPr>
                <w:rFonts w:ascii="Times New Roman" w:eastAsia="Times New Roman" w:hAnsi="Times New Roman" w:cs="Times New Roman"/>
                <w:sz w:val="28"/>
              </w:rPr>
              <w:t>5,0</w:t>
            </w:r>
          </w:p>
        </w:tc>
        <w:tc>
          <w:tcPr>
            <w:tcW w:w="127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
              <w:jc w:val="center"/>
            </w:pPr>
            <w:r>
              <w:rPr>
                <w:rFonts w:ascii="Times New Roman" w:eastAsia="Times New Roman" w:hAnsi="Times New Roman" w:cs="Times New Roman"/>
                <w:sz w:val="28"/>
              </w:rPr>
              <w:t>4,7</w:t>
            </w:r>
          </w:p>
        </w:tc>
        <w:tc>
          <w:tcPr>
            <w:tcW w:w="127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1"/>
              <w:jc w:val="center"/>
            </w:pPr>
            <w:r>
              <w:rPr>
                <w:rFonts w:ascii="Times New Roman" w:eastAsia="Times New Roman" w:hAnsi="Times New Roman" w:cs="Times New Roman"/>
                <w:sz w:val="28"/>
              </w:rPr>
              <w:t>-0,3</w:t>
            </w:r>
          </w:p>
        </w:tc>
        <w:tc>
          <w:tcPr>
            <w:tcW w:w="141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0"/>
              <w:jc w:val="center"/>
            </w:pPr>
            <w:r>
              <w:rPr>
                <w:rFonts w:ascii="Times New Roman" w:eastAsia="Times New Roman" w:hAnsi="Times New Roman" w:cs="Times New Roman"/>
                <w:sz w:val="28"/>
              </w:rPr>
              <w:t>х</w:t>
            </w:r>
          </w:p>
        </w:tc>
      </w:tr>
      <w:tr w:rsidR="0052701D">
        <w:trPr>
          <w:trHeight w:val="654"/>
        </w:trPr>
        <w:tc>
          <w:tcPr>
            <w:tcW w:w="4120"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Youth unemployment rate (15-28 years),%</w:t>
            </w:r>
          </w:p>
        </w:tc>
        <w:tc>
          <w:tcPr>
            <w:tcW w:w="1262"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8"/>
              <w:jc w:val="center"/>
            </w:pPr>
            <w:r>
              <w:rPr>
                <w:rFonts w:ascii="Times New Roman" w:eastAsia="Times New Roman" w:hAnsi="Times New Roman" w:cs="Times New Roman"/>
                <w:sz w:val="28"/>
              </w:rPr>
              <w:t>2,6</w:t>
            </w:r>
          </w:p>
        </w:tc>
        <w:tc>
          <w:tcPr>
            <w:tcW w:w="1274"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8"/>
              <w:jc w:val="center"/>
            </w:pPr>
            <w:r>
              <w:rPr>
                <w:rFonts w:ascii="Times New Roman" w:eastAsia="Times New Roman" w:hAnsi="Times New Roman" w:cs="Times New Roman"/>
                <w:sz w:val="28"/>
              </w:rPr>
              <w:t>3,0</w:t>
            </w:r>
          </w:p>
        </w:tc>
        <w:tc>
          <w:tcPr>
            <w:tcW w:w="1276"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10"/>
              <w:jc w:val="center"/>
            </w:pPr>
            <w:r>
              <w:rPr>
                <w:rFonts w:ascii="Times New Roman" w:eastAsia="Times New Roman" w:hAnsi="Times New Roman" w:cs="Times New Roman"/>
                <w:sz w:val="28"/>
              </w:rPr>
              <w:t>0,4</w:t>
            </w:r>
          </w:p>
        </w:tc>
        <w:tc>
          <w:tcPr>
            <w:tcW w:w="1418"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10"/>
              <w:jc w:val="center"/>
            </w:pPr>
            <w:r>
              <w:rPr>
                <w:rFonts w:ascii="Times New Roman" w:eastAsia="Times New Roman" w:hAnsi="Times New Roman" w:cs="Times New Roman"/>
                <w:sz w:val="28"/>
              </w:rPr>
              <w:t>х</w:t>
            </w:r>
          </w:p>
        </w:tc>
      </w:tr>
      <w:tr w:rsidR="0052701D">
        <w:trPr>
          <w:trHeight w:val="332"/>
        </w:trPr>
        <w:tc>
          <w:tcPr>
            <w:tcW w:w="4120"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Female unemployment rate, %</w:t>
            </w:r>
          </w:p>
        </w:tc>
        <w:tc>
          <w:tcPr>
            <w:tcW w:w="126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
              <w:jc w:val="center"/>
            </w:pPr>
            <w:r>
              <w:rPr>
                <w:rFonts w:ascii="Times New Roman" w:eastAsia="Times New Roman" w:hAnsi="Times New Roman" w:cs="Times New Roman"/>
                <w:sz w:val="28"/>
              </w:rPr>
              <w:t>5,8</w:t>
            </w:r>
          </w:p>
        </w:tc>
        <w:tc>
          <w:tcPr>
            <w:tcW w:w="127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
              <w:jc w:val="center"/>
            </w:pPr>
            <w:r>
              <w:rPr>
                <w:rFonts w:ascii="Times New Roman" w:eastAsia="Times New Roman" w:hAnsi="Times New Roman" w:cs="Times New Roman"/>
                <w:sz w:val="28"/>
              </w:rPr>
              <w:t>6,0</w:t>
            </w:r>
          </w:p>
        </w:tc>
        <w:tc>
          <w:tcPr>
            <w:tcW w:w="127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0"/>
              <w:jc w:val="center"/>
            </w:pPr>
            <w:r>
              <w:rPr>
                <w:rFonts w:ascii="Times New Roman" w:eastAsia="Times New Roman" w:hAnsi="Times New Roman" w:cs="Times New Roman"/>
                <w:sz w:val="28"/>
              </w:rPr>
              <w:t>0,2</w:t>
            </w:r>
          </w:p>
        </w:tc>
        <w:tc>
          <w:tcPr>
            <w:tcW w:w="141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0"/>
              <w:jc w:val="center"/>
            </w:pPr>
            <w:r>
              <w:rPr>
                <w:rFonts w:ascii="Times New Roman" w:eastAsia="Times New Roman" w:hAnsi="Times New Roman" w:cs="Times New Roman"/>
                <w:sz w:val="28"/>
              </w:rPr>
              <w:t>х</w:t>
            </w:r>
          </w:p>
        </w:tc>
      </w:tr>
      <w:tr w:rsidR="0052701D">
        <w:trPr>
          <w:trHeight w:val="332"/>
        </w:trPr>
        <w:tc>
          <w:tcPr>
            <w:tcW w:w="9350" w:type="dxa"/>
            <w:gridSpan w:val="5"/>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i/>
                <w:sz w:val="28"/>
              </w:rPr>
              <w:t>Note-compiled by the authors based on the source [15]</w:t>
            </w:r>
          </w:p>
        </w:tc>
      </w:tr>
    </w:tbl>
    <w:p w:rsidR="0052701D" w:rsidRDefault="00D40929">
      <w:pPr>
        <w:spacing w:after="3" w:line="248" w:lineRule="auto"/>
        <w:ind w:right="4" w:firstLine="558"/>
        <w:jc w:val="both"/>
      </w:pPr>
      <w:r>
        <w:rPr>
          <w:rFonts w:ascii="Times New Roman" w:eastAsia="Times New Roman" w:hAnsi="Times New Roman" w:cs="Times New Roman"/>
          <w:sz w:val="28"/>
        </w:rPr>
        <w:t>In the period from 2019 to 2021, it increased by 39.7% in industry and amounted to 79.5 million tenge (in 2019 - 56.1 million tenge). 34 new facilities were put into operation, 15 existing production facilities were expanded and 180 plants were put into op</w:t>
      </w:r>
      <w:r>
        <w:rPr>
          <w:rFonts w:ascii="Times New Roman" w:eastAsia="Times New Roman" w:hAnsi="Times New Roman" w:cs="Times New Roman"/>
          <w:sz w:val="28"/>
        </w:rPr>
        <w:t>eration.</w:t>
      </w:r>
    </w:p>
    <w:p w:rsidR="0052701D" w:rsidRDefault="00D40929">
      <w:pPr>
        <w:spacing w:after="3" w:line="248" w:lineRule="auto"/>
        <w:ind w:right="4" w:firstLine="558"/>
        <w:jc w:val="both"/>
      </w:pPr>
      <w:r>
        <w:rPr>
          <w:rFonts w:ascii="Times New Roman" w:eastAsia="Times New Roman" w:hAnsi="Times New Roman" w:cs="Times New Roman"/>
          <w:sz w:val="28"/>
        </w:rPr>
        <w:t>The share of Zhetysay district in the production of goods in the region decreased from 3.7% in 2019 to 3.6% in 2021. During this period, the physical volume of industrial production remained at the level of 104.7% of the indicator of 2019, which i</w:t>
      </w:r>
      <w:r>
        <w:rPr>
          <w:rFonts w:ascii="Times New Roman" w:eastAsia="Times New Roman" w:hAnsi="Times New Roman" w:cs="Times New Roman"/>
          <w:sz w:val="28"/>
        </w:rPr>
        <w:t>s characterized by a decrease in consumption due to the financial and economic crisis of 2020.</w:t>
      </w:r>
    </w:p>
    <w:p w:rsidR="0052701D" w:rsidRDefault="00D40929">
      <w:pPr>
        <w:spacing w:after="3" w:line="248" w:lineRule="auto"/>
        <w:ind w:right="4" w:firstLine="558"/>
        <w:jc w:val="both"/>
      </w:pPr>
      <w:r>
        <w:rPr>
          <w:rFonts w:ascii="Times New Roman" w:eastAsia="Times New Roman" w:hAnsi="Times New Roman" w:cs="Times New Roman"/>
          <w:sz w:val="28"/>
        </w:rPr>
        <w:t>In the period from 2019 to 2021, measures were taken to introduce forces aimed at increasing the construction of household chemicals, food, building materials, e</w:t>
      </w:r>
      <w:r>
        <w:rPr>
          <w:rFonts w:ascii="Times New Roman" w:eastAsia="Times New Roman" w:hAnsi="Times New Roman" w:cs="Times New Roman"/>
          <w:sz w:val="28"/>
        </w:rPr>
        <w:t>lectricity and the production of medicines.</w:t>
      </w:r>
    </w:p>
    <w:p w:rsidR="0052701D" w:rsidRDefault="00D40929">
      <w:pPr>
        <w:spacing w:after="3" w:line="248" w:lineRule="auto"/>
        <w:ind w:right="4" w:firstLine="558"/>
        <w:jc w:val="both"/>
      </w:pPr>
      <w:r>
        <w:rPr>
          <w:rFonts w:ascii="Times New Roman" w:eastAsia="Times New Roman" w:hAnsi="Times New Roman" w:cs="Times New Roman"/>
          <w:sz w:val="28"/>
        </w:rPr>
        <w:lastRenderedPageBreak/>
        <w:t>However, the dominance of Russian, Chinese and other foreign manufacturers in the regional market for several years did not allow enterprises to develop the supply of goods.</w:t>
      </w:r>
    </w:p>
    <w:p w:rsidR="0052701D" w:rsidRDefault="00D40929">
      <w:pPr>
        <w:spacing w:after="3" w:line="248" w:lineRule="auto"/>
        <w:ind w:right="4" w:firstLine="558"/>
        <w:jc w:val="both"/>
      </w:pPr>
      <w:r>
        <w:rPr>
          <w:rFonts w:ascii="Times New Roman" w:eastAsia="Times New Roman" w:hAnsi="Times New Roman" w:cs="Times New Roman"/>
          <w:sz w:val="28"/>
        </w:rPr>
        <w:t>Clusters of fruit and vegetable produc</w:t>
      </w:r>
      <w:r>
        <w:rPr>
          <w:rFonts w:ascii="Times New Roman" w:eastAsia="Times New Roman" w:hAnsi="Times New Roman" w:cs="Times New Roman"/>
          <w:sz w:val="28"/>
        </w:rPr>
        <w:t>ts and building materials are being formed using the advantages and features of the Zhetysay district and the existing potential.</w:t>
      </w:r>
    </w:p>
    <w:p w:rsidR="0052701D" w:rsidRDefault="00D40929">
      <w:pPr>
        <w:spacing w:after="3" w:line="248" w:lineRule="auto"/>
        <w:ind w:right="4" w:firstLine="558"/>
        <w:jc w:val="both"/>
      </w:pPr>
      <w:r>
        <w:rPr>
          <w:rFonts w:ascii="Times New Roman" w:eastAsia="Times New Roman" w:hAnsi="Times New Roman" w:cs="Times New Roman"/>
          <w:sz w:val="28"/>
        </w:rPr>
        <w:t>Agricultural production in the district amounted to 64.7 million tenge, which is 1.2 times more than in 2019. The average annual growth rate of MFIs is 3.7%, in crop production – 3.4%, in animal husbandry – 4.2%.</w:t>
      </w:r>
    </w:p>
    <w:p w:rsidR="0052701D" w:rsidRDefault="00D40929">
      <w:pPr>
        <w:spacing w:after="3" w:line="248" w:lineRule="auto"/>
        <w:ind w:right="4" w:firstLine="558"/>
        <w:jc w:val="both"/>
      </w:pPr>
      <w:r>
        <w:rPr>
          <w:rFonts w:ascii="Times New Roman" w:eastAsia="Times New Roman" w:hAnsi="Times New Roman" w:cs="Times New Roman"/>
          <w:sz w:val="28"/>
        </w:rPr>
        <w:t>In addition, 9.1 million tenge of budget fu</w:t>
      </w:r>
      <w:r>
        <w:rPr>
          <w:rFonts w:ascii="Times New Roman" w:eastAsia="Times New Roman" w:hAnsi="Times New Roman" w:cs="Times New Roman"/>
          <w:sz w:val="28"/>
        </w:rPr>
        <w:t>nds were allocated to support the agricultural sector over the reporting three years, including 7.6 million tenge for subsidizing the industry.</w:t>
      </w:r>
    </w:p>
    <w:p w:rsidR="0052701D" w:rsidRDefault="00D40929">
      <w:pPr>
        <w:spacing w:after="3" w:line="248" w:lineRule="auto"/>
        <w:ind w:right="4" w:firstLine="558"/>
        <w:jc w:val="both"/>
      </w:pPr>
      <w:r>
        <w:rPr>
          <w:rFonts w:ascii="Times New Roman" w:eastAsia="Times New Roman" w:hAnsi="Times New Roman" w:cs="Times New Roman"/>
          <w:sz w:val="28"/>
        </w:rPr>
        <w:t>In 2019-2021, 13.3 million tenge was invested in fixed assets in the agricultural sector, the average annual gro</w:t>
      </w:r>
      <w:r>
        <w:rPr>
          <w:rFonts w:ascii="Times New Roman" w:eastAsia="Times New Roman" w:hAnsi="Times New Roman" w:cs="Times New Roman"/>
          <w:sz w:val="28"/>
        </w:rPr>
        <w:t>wth of MFIs is 32.5%.</w:t>
      </w:r>
    </w:p>
    <w:p w:rsidR="0052701D" w:rsidRDefault="00D40929">
      <w:pPr>
        <w:spacing w:after="306" w:line="248" w:lineRule="auto"/>
        <w:ind w:left="553" w:right="4"/>
        <w:jc w:val="both"/>
      </w:pPr>
      <w:r>
        <w:rPr>
          <w:rFonts w:ascii="Times New Roman" w:eastAsia="Times New Roman" w:hAnsi="Times New Roman" w:cs="Times New Roman"/>
          <w:sz w:val="28"/>
        </w:rPr>
        <w:t>The following indicators are shown by types of crop production (Table 4).</w:t>
      </w:r>
    </w:p>
    <w:p w:rsidR="0052701D" w:rsidRDefault="00D40929">
      <w:pPr>
        <w:spacing w:after="3" w:line="248" w:lineRule="auto"/>
        <w:ind w:left="553" w:right="4"/>
        <w:jc w:val="both"/>
      </w:pPr>
      <w:r>
        <w:rPr>
          <w:rFonts w:ascii="Times New Roman" w:eastAsia="Times New Roman" w:hAnsi="Times New Roman" w:cs="Times New Roman"/>
          <w:sz w:val="28"/>
        </w:rPr>
        <w:t>Table 4</w:t>
      </w:r>
    </w:p>
    <w:p w:rsidR="0052701D" w:rsidRDefault="00D40929">
      <w:pPr>
        <w:spacing w:after="3" w:line="248" w:lineRule="auto"/>
        <w:ind w:left="553" w:right="4"/>
        <w:jc w:val="both"/>
      </w:pPr>
      <w:r>
        <w:rPr>
          <w:rFonts w:ascii="Times New Roman" w:eastAsia="Times New Roman" w:hAnsi="Times New Roman" w:cs="Times New Roman"/>
          <w:sz w:val="28"/>
        </w:rPr>
        <w:t xml:space="preserve">Production of crop production in Zhetysay district  </w:t>
      </w:r>
    </w:p>
    <w:tbl>
      <w:tblPr>
        <w:tblStyle w:val="TableGrid"/>
        <w:tblW w:w="9358" w:type="dxa"/>
        <w:tblInd w:w="422" w:type="dxa"/>
        <w:tblCellMar>
          <w:top w:w="17" w:type="dxa"/>
          <w:left w:w="110" w:type="dxa"/>
          <w:bottom w:w="0" w:type="dxa"/>
          <w:right w:w="107" w:type="dxa"/>
        </w:tblCellMar>
        <w:tblLook w:val="04A0" w:firstRow="1" w:lastRow="0" w:firstColumn="1" w:lastColumn="0" w:noHBand="0" w:noVBand="1"/>
      </w:tblPr>
      <w:tblGrid>
        <w:gridCol w:w="2978"/>
        <w:gridCol w:w="1276"/>
        <w:gridCol w:w="1276"/>
        <w:gridCol w:w="1274"/>
        <w:gridCol w:w="1276"/>
        <w:gridCol w:w="1278"/>
      </w:tblGrid>
      <w:tr w:rsidR="0052701D">
        <w:trPr>
          <w:trHeight w:val="654"/>
        </w:trPr>
        <w:tc>
          <w:tcPr>
            <w:tcW w:w="2978" w:type="dxa"/>
            <w:vMerge w:val="restart"/>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314"/>
            </w:pPr>
            <w:r>
              <w:rPr>
                <w:rFonts w:ascii="Times New Roman" w:eastAsia="Times New Roman" w:hAnsi="Times New Roman" w:cs="Times New Roman"/>
                <w:sz w:val="28"/>
              </w:rPr>
              <w:t>Product types</w:t>
            </w:r>
          </w:p>
        </w:tc>
        <w:tc>
          <w:tcPr>
            <w:tcW w:w="1276" w:type="dxa"/>
            <w:vMerge w:val="restart"/>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9" w:right="8"/>
              <w:jc w:val="center"/>
            </w:pPr>
            <w:r>
              <w:rPr>
                <w:rFonts w:ascii="Times New Roman" w:eastAsia="Times New Roman" w:hAnsi="Times New Roman" w:cs="Times New Roman"/>
                <w:sz w:val="28"/>
              </w:rPr>
              <w:t>2019 year</w:t>
            </w:r>
          </w:p>
        </w:tc>
        <w:tc>
          <w:tcPr>
            <w:tcW w:w="1276" w:type="dxa"/>
            <w:vMerge w:val="restart"/>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9" w:right="8"/>
              <w:jc w:val="center"/>
            </w:pPr>
            <w:r>
              <w:rPr>
                <w:rFonts w:ascii="Times New Roman" w:eastAsia="Times New Roman" w:hAnsi="Times New Roman" w:cs="Times New Roman"/>
                <w:sz w:val="28"/>
              </w:rPr>
              <w:t>2020 year</w:t>
            </w:r>
          </w:p>
        </w:tc>
        <w:tc>
          <w:tcPr>
            <w:tcW w:w="1274" w:type="dxa"/>
            <w:vMerge w:val="restart"/>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7" w:right="8"/>
              <w:jc w:val="center"/>
            </w:pPr>
            <w:r>
              <w:rPr>
                <w:rFonts w:ascii="Times New Roman" w:eastAsia="Times New Roman" w:hAnsi="Times New Roman" w:cs="Times New Roman"/>
                <w:sz w:val="28"/>
              </w:rPr>
              <w:t>2021 year</w:t>
            </w:r>
          </w:p>
        </w:tc>
        <w:tc>
          <w:tcPr>
            <w:tcW w:w="2554" w:type="dxa"/>
            <w:gridSpan w:val="2"/>
            <w:tcBorders>
              <w:top w:val="single" w:sz="4" w:space="0" w:color="000000"/>
              <w:left w:val="single" w:sz="4" w:space="0" w:color="000000"/>
              <w:bottom w:val="single" w:sz="4" w:space="0" w:color="000000"/>
              <w:right w:val="single" w:sz="4" w:space="0" w:color="000000"/>
            </w:tcBorders>
          </w:tcPr>
          <w:p w:rsidR="0052701D" w:rsidRDefault="00D40929">
            <w:pPr>
              <w:spacing w:after="0"/>
              <w:jc w:val="center"/>
            </w:pPr>
            <w:r>
              <w:rPr>
                <w:rFonts w:ascii="Times New Roman" w:eastAsia="Times New Roman" w:hAnsi="Times New Roman" w:cs="Times New Roman"/>
                <w:sz w:val="28"/>
              </w:rPr>
              <w:t>comparison 2019y. and 2021 year</w:t>
            </w:r>
          </w:p>
        </w:tc>
      </w:tr>
      <w:tr w:rsidR="0052701D">
        <w:trPr>
          <w:trHeight w:val="332"/>
        </w:trPr>
        <w:tc>
          <w:tcPr>
            <w:tcW w:w="0" w:type="auto"/>
            <w:vMerge/>
            <w:tcBorders>
              <w:top w:val="nil"/>
              <w:left w:val="single" w:sz="4" w:space="0" w:color="000000"/>
              <w:bottom w:val="single" w:sz="4" w:space="0" w:color="000000"/>
              <w:right w:val="single" w:sz="4" w:space="0" w:color="000000"/>
            </w:tcBorders>
          </w:tcPr>
          <w:p w:rsidR="0052701D" w:rsidRDefault="0052701D"/>
        </w:tc>
        <w:tc>
          <w:tcPr>
            <w:tcW w:w="0" w:type="auto"/>
            <w:vMerge/>
            <w:tcBorders>
              <w:top w:val="nil"/>
              <w:left w:val="single" w:sz="4" w:space="0" w:color="000000"/>
              <w:bottom w:val="single" w:sz="4" w:space="0" w:color="000000"/>
              <w:right w:val="single" w:sz="4" w:space="0" w:color="000000"/>
            </w:tcBorders>
          </w:tcPr>
          <w:p w:rsidR="0052701D" w:rsidRDefault="0052701D"/>
        </w:tc>
        <w:tc>
          <w:tcPr>
            <w:tcW w:w="0" w:type="auto"/>
            <w:vMerge/>
            <w:tcBorders>
              <w:top w:val="nil"/>
              <w:left w:val="single" w:sz="4" w:space="0" w:color="000000"/>
              <w:bottom w:val="single" w:sz="4" w:space="0" w:color="000000"/>
              <w:right w:val="single" w:sz="4" w:space="0" w:color="000000"/>
            </w:tcBorders>
          </w:tcPr>
          <w:p w:rsidR="0052701D" w:rsidRDefault="0052701D"/>
        </w:tc>
        <w:tc>
          <w:tcPr>
            <w:tcW w:w="0" w:type="auto"/>
            <w:vMerge/>
            <w:tcBorders>
              <w:top w:val="nil"/>
              <w:left w:val="single" w:sz="4" w:space="0" w:color="000000"/>
              <w:bottom w:val="single" w:sz="4" w:space="0" w:color="000000"/>
              <w:right w:val="single" w:sz="4" w:space="0" w:color="000000"/>
            </w:tcBorders>
          </w:tcPr>
          <w:p w:rsidR="0052701D" w:rsidRDefault="0052701D"/>
        </w:tc>
        <w:tc>
          <w:tcPr>
            <w:tcW w:w="127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
              <w:jc w:val="center"/>
            </w:pPr>
            <w:r>
              <w:rPr>
                <w:rFonts w:ascii="Times New Roman" w:eastAsia="Times New Roman" w:hAnsi="Times New Roman" w:cs="Times New Roman"/>
                <w:sz w:val="28"/>
              </w:rPr>
              <w:t>%</w:t>
            </w:r>
          </w:p>
        </w:tc>
        <w:tc>
          <w:tcPr>
            <w:tcW w:w="1278" w:type="dxa"/>
            <w:tcBorders>
              <w:top w:val="single" w:sz="4" w:space="0" w:color="000000"/>
              <w:left w:val="single" w:sz="4" w:space="0" w:color="000000"/>
              <w:bottom w:val="single" w:sz="4" w:space="0" w:color="000000"/>
              <w:right w:val="single" w:sz="4" w:space="0" w:color="000000"/>
            </w:tcBorders>
          </w:tcPr>
          <w:p w:rsidR="0052701D" w:rsidRDefault="00D40929">
            <w:pPr>
              <w:spacing w:after="0"/>
              <w:jc w:val="center"/>
            </w:pPr>
            <w:r>
              <w:rPr>
                <w:rFonts w:ascii="Times New Roman" w:eastAsia="Times New Roman" w:hAnsi="Times New Roman" w:cs="Times New Roman"/>
                <w:sz w:val="28"/>
              </w:rPr>
              <w:t>+,-</w:t>
            </w:r>
          </w:p>
        </w:tc>
      </w:tr>
      <w:tr w:rsidR="0052701D">
        <w:trPr>
          <w:trHeight w:val="332"/>
        </w:trPr>
        <w:tc>
          <w:tcPr>
            <w:tcW w:w="2978"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Cereal crops</w:t>
            </w:r>
          </w:p>
        </w:tc>
        <w:tc>
          <w:tcPr>
            <w:tcW w:w="127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
              <w:jc w:val="center"/>
            </w:pPr>
            <w:r>
              <w:rPr>
                <w:rFonts w:ascii="Times New Roman" w:eastAsia="Times New Roman" w:hAnsi="Times New Roman" w:cs="Times New Roman"/>
                <w:sz w:val="28"/>
              </w:rPr>
              <w:t>122,0</w:t>
            </w:r>
          </w:p>
        </w:tc>
        <w:tc>
          <w:tcPr>
            <w:tcW w:w="127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
              <w:jc w:val="center"/>
            </w:pPr>
            <w:r>
              <w:rPr>
                <w:rFonts w:ascii="Times New Roman" w:eastAsia="Times New Roman" w:hAnsi="Times New Roman" w:cs="Times New Roman"/>
                <w:sz w:val="28"/>
              </w:rPr>
              <w:t>131,5</w:t>
            </w:r>
          </w:p>
        </w:tc>
        <w:tc>
          <w:tcPr>
            <w:tcW w:w="127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
              <w:jc w:val="center"/>
            </w:pPr>
            <w:r>
              <w:rPr>
                <w:rFonts w:ascii="Times New Roman" w:eastAsia="Times New Roman" w:hAnsi="Times New Roman" w:cs="Times New Roman"/>
                <w:sz w:val="28"/>
              </w:rPr>
              <w:t>133,9</w:t>
            </w:r>
          </w:p>
        </w:tc>
        <w:tc>
          <w:tcPr>
            <w:tcW w:w="127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
              <w:jc w:val="center"/>
            </w:pPr>
            <w:r>
              <w:rPr>
                <w:rFonts w:ascii="Times New Roman" w:eastAsia="Times New Roman" w:hAnsi="Times New Roman" w:cs="Times New Roman"/>
                <w:sz w:val="28"/>
              </w:rPr>
              <w:t>109,8</w:t>
            </w:r>
          </w:p>
        </w:tc>
        <w:tc>
          <w:tcPr>
            <w:tcW w:w="127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
              <w:jc w:val="center"/>
            </w:pPr>
            <w:r>
              <w:rPr>
                <w:rFonts w:ascii="Times New Roman" w:eastAsia="Times New Roman" w:hAnsi="Times New Roman" w:cs="Times New Roman"/>
                <w:sz w:val="28"/>
              </w:rPr>
              <w:t>11,9</w:t>
            </w:r>
          </w:p>
        </w:tc>
      </w:tr>
      <w:tr w:rsidR="0052701D">
        <w:trPr>
          <w:trHeight w:val="332"/>
        </w:trPr>
        <w:tc>
          <w:tcPr>
            <w:tcW w:w="2978"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Sugar beet</w:t>
            </w:r>
          </w:p>
        </w:tc>
        <w:tc>
          <w:tcPr>
            <w:tcW w:w="127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
              <w:jc w:val="center"/>
            </w:pPr>
            <w:r>
              <w:rPr>
                <w:rFonts w:ascii="Times New Roman" w:eastAsia="Times New Roman" w:hAnsi="Times New Roman" w:cs="Times New Roman"/>
                <w:sz w:val="28"/>
              </w:rPr>
              <w:t>12,2</w:t>
            </w:r>
          </w:p>
        </w:tc>
        <w:tc>
          <w:tcPr>
            <w:tcW w:w="127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
              <w:jc w:val="center"/>
            </w:pPr>
            <w:r>
              <w:rPr>
                <w:rFonts w:ascii="Times New Roman" w:eastAsia="Times New Roman" w:hAnsi="Times New Roman" w:cs="Times New Roman"/>
                <w:sz w:val="28"/>
              </w:rPr>
              <w:t>25,6</w:t>
            </w:r>
          </w:p>
        </w:tc>
        <w:tc>
          <w:tcPr>
            <w:tcW w:w="127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
              <w:jc w:val="center"/>
            </w:pPr>
            <w:r>
              <w:rPr>
                <w:rFonts w:ascii="Times New Roman" w:eastAsia="Times New Roman" w:hAnsi="Times New Roman" w:cs="Times New Roman"/>
                <w:sz w:val="28"/>
              </w:rPr>
              <w:t>33,4</w:t>
            </w:r>
          </w:p>
        </w:tc>
        <w:tc>
          <w:tcPr>
            <w:tcW w:w="127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
              <w:jc w:val="center"/>
            </w:pPr>
            <w:r>
              <w:rPr>
                <w:rFonts w:ascii="Times New Roman" w:eastAsia="Times New Roman" w:hAnsi="Times New Roman" w:cs="Times New Roman"/>
                <w:sz w:val="28"/>
              </w:rPr>
              <w:t>272,2</w:t>
            </w:r>
          </w:p>
        </w:tc>
        <w:tc>
          <w:tcPr>
            <w:tcW w:w="127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
              <w:jc w:val="center"/>
            </w:pPr>
            <w:r>
              <w:rPr>
                <w:rFonts w:ascii="Times New Roman" w:eastAsia="Times New Roman" w:hAnsi="Times New Roman" w:cs="Times New Roman"/>
                <w:sz w:val="28"/>
              </w:rPr>
              <w:t>21,1</w:t>
            </w:r>
          </w:p>
        </w:tc>
      </w:tr>
      <w:tr w:rsidR="0052701D">
        <w:trPr>
          <w:trHeight w:val="332"/>
        </w:trPr>
        <w:tc>
          <w:tcPr>
            <w:tcW w:w="2978"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Oil crops</w:t>
            </w:r>
          </w:p>
        </w:tc>
        <w:tc>
          <w:tcPr>
            <w:tcW w:w="127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
              <w:jc w:val="center"/>
            </w:pPr>
            <w:r>
              <w:rPr>
                <w:rFonts w:ascii="Times New Roman" w:eastAsia="Times New Roman" w:hAnsi="Times New Roman" w:cs="Times New Roman"/>
                <w:sz w:val="28"/>
              </w:rPr>
              <w:t>26,3</w:t>
            </w:r>
          </w:p>
        </w:tc>
        <w:tc>
          <w:tcPr>
            <w:tcW w:w="127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
              <w:jc w:val="center"/>
            </w:pPr>
            <w:r>
              <w:rPr>
                <w:rFonts w:ascii="Times New Roman" w:eastAsia="Times New Roman" w:hAnsi="Times New Roman" w:cs="Times New Roman"/>
                <w:sz w:val="28"/>
              </w:rPr>
              <w:t>27,5</w:t>
            </w:r>
          </w:p>
        </w:tc>
        <w:tc>
          <w:tcPr>
            <w:tcW w:w="127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
              <w:jc w:val="center"/>
            </w:pPr>
            <w:r>
              <w:rPr>
                <w:rFonts w:ascii="Times New Roman" w:eastAsia="Times New Roman" w:hAnsi="Times New Roman" w:cs="Times New Roman"/>
                <w:sz w:val="28"/>
              </w:rPr>
              <w:t>29,3</w:t>
            </w:r>
          </w:p>
        </w:tc>
        <w:tc>
          <w:tcPr>
            <w:tcW w:w="127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
              <w:jc w:val="center"/>
            </w:pPr>
            <w:r>
              <w:rPr>
                <w:rFonts w:ascii="Times New Roman" w:eastAsia="Times New Roman" w:hAnsi="Times New Roman" w:cs="Times New Roman"/>
                <w:sz w:val="28"/>
              </w:rPr>
              <w:t>111,1</w:t>
            </w:r>
          </w:p>
        </w:tc>
        <w:tc>
          <w:tcPr>
            <w:tcW w:w="127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
              <w:jc w:val="center"/>
            </w:pPr>
            <w:r>
              <w:rPr>
                <w:rFonts w:ascii="Times New Roman" w:eastAsia="Times New Roman" w:hAnsi="Times New Roman" w:cs="Times New Roman"/>
                <w:sz w:val="28"/>
              </w:rPr>
              <w:t>2,9</w:t>
            </w:r>
          </w:p>
        </w:tc>
      </w:tr>
      <w:tr w:rsidR="0052701D">
        <w:trPr>
          <w:trHeight w:val="332"/>
        </w:trPr>
        <w:tc>
          <w:tcPr>
            <w:tcW w:w="2978"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Potatoes</w:t>
            </w:r>
          </w:p>
        </w:tc>
        <w:tc>
          <w:tcPr>
            <w:tcW w:w="127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
              <w:jc w:val="center"/>
            </w:pPr>
            <w:r>
              <w:rPr>
                <w:rFonts w:ascii="Times New Roman" w:eastAsia="Times New Roman" w:hAnsi="Times New Roman" w:cs="Times New Roman"/>
                <w:sz w:val="28"/>
              </w:rPr>
              <w:t>70,6</w:t>
            </w:r>
          </w:p>
        </w:tc>
        <w:tc>
          <w:tcPr>
            <w:tcW w:w="127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
              <w:jc w:val="center"/>
            </w:pPr>
            <w:r>
              <w:rPr>
                <w:rFonts w:ascii="Times New Roman" w:eastAsia="Times New Roman" w:hAnsi="Times New Roman" w:cs="Times New Roman"/>
                <w:sz w:val="28"/>
              </w:rPr>
              <w:t>71,7</w:t>
            </w:r>
          </w:p>
        </w:tc>
        <w:tc>
          <w:tcPr>
            <w:tcW w:w="127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
              <w:jc w:val="center"/>
            </w:pPr>
            <w:r>
              <w:rPr>
                <w:rFonts w:ascii="Times New Roman" w:eastAsia="Times New Roman" w:hAnsi="Times New Roman" w:cs="Times New Roman"/>
                <w:sz w:val="28"/>
              </w:rPr>
              <w:t>72,2</w:t>
            </w:r>
          </w:p>
        </w:tc>
        <w:tc>
          <w:tcPr>
            <w:tcW w:w="127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
              <w:jc w:val="center"/>
            </w:pPr>
            <w:r>
              <w:rPr>
                <w:rFonts w:ascii="Times New Roman" w:eastAsia="Times New Roman" w:hAnsi="Times New Roman" w:cs="Times New Roman"/>
                <w:sz w:val="28"/>
              </w:rPr>
              <w:t>102,2</w:t>
            </w:r>
          </w:p>
        </w:tc>
        <w:tc>
          <w:tcPr>
            <w:tcW w:w="127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
              <w:jc w:val="center"/>
            </w:pPr>
            <w:r>
              <w:rPr>
                <w:rFonts w:ascii="Times New Roman" w:eastAsia="Times New Roman" w:hAnsi="Times New Roman" w:cs="Times New Roman"/>
                <w:sz w:val="28"/>
              </w:rPr>
              <w:t>1,5</w:t>
            </w:r>
          </w:p>
        </w:tc>
      </w:tr>
      <w:tr w:rsidR="0052701D">
        <w:trPr>
          <w:trHeight w:val="654"/>
        </w:trPr>
        <w:tc>
          <w:tcPr>
            <w:tcW w:w="2978"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Vegetable and garden spot.</w:t>
            </w:r>
          </w:p>
        </w:tc>
        <w:tc>
          <w:tcPr>
            <w:tcW w:w="127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
              <w:jc w:val="center"/>
            </w:pPr>
            <w:r>
              <w:rPr>
                <w:rFonts w:ascii="Times New Roman" w:eastAsia="Times New Roman" w:hAnsi="Times New Roman" w:cs="Times New Roman"/>
                <w:sz w:val="28"/>
              </w:rPr>
              <w:t>105,4</w:t>
            </w:r>
          </w:p>
        </w:tc>
        <w:tc>
          <w:tcPr>
            <w:tcW w:w="127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
              <w:jc w:val="center"/>
            </w:pPr>
            <w:r>
              <w:rPr>
                <w:rFonts w:ascii="Times New Roman" w:eastAsia="Times New Roman" w:hAnsi="Times New Roman" w:cs="Times New Roman"/>
                <w:sz w:val="28"/>
              </w:rPr>
              <w:t>106,2</w:t>
            </w:r>
          </w:p>
        </w:tc>
        <w:tc>
          <w:tcPr>
            <w:tcW w:w="127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
              <w:jc w:val="center"/>
            </w:pPr>
            <w:r>
              <w:rPr>
                <w:rFonts w:ascii="Times New Roman" w:eastAsia="Times New Roman" w:hAnsi="Times New Roman" w:cs="Times New Roman"/>
                <w:sz w:val="28"/>
              </w:rPr>
              <w:t>106,5</w:t>
            </w:r>
          </w:p>
        </w:tc>
        <w:tc>
          <w:tcPr>
            <w:tcW w:w="127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
              <w:jc w:val="center"/>
            </w:pPr>
            <w:r>
              <w:rPr>
                <w:rFonts w:ascii="Times New Roman" w:eastAsia="Times New Roman" w:hAnsi="Times New Roman" w:cs="Times New Roman"/>
                <w:sz w:val="28"/>
              </w:rPr>
              <w:t>101,1</w:t>
            </w:r>
          </w:p>
        </w:tc>
        <w:tc>
          <w:tcPr>
            <w:tcW w:w="127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
              <w:jc w:val="center"/>
            </w:pPr>
            <w:r>
              <w:rPr>
                <w:rFonts w:ascii="Times New Roman" w:eastAsia="Times New Roman" w:hAnsi="Times New Roman" w:cs="Times New Roman"/>
                <w:sz w:val="28"/>
              </w:rPr>
              <w:t>1,1</w:t>
            </w:r>
          </w:p>
        </w:tc>
      </w:tr>
      <w:tr w:rsidR="0052701D">
        <w:trPr>
          <w:trHeight w:val="332"/>
        </w:trPr>
        <w:tc>
          <w:tcPr>
            <w:tcW w:w="2978"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Fruits</w:t>
            </w:r>
          </w:p>
        </w:tc>
        <w:tc>
          <w:tcPr>
            <w:tcW w:w="127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
              <w:jc w:val="center"/>
            </w:pPr>
            <w:r>
              <w:rPr>
                <w:rFonts w:ascii="Times New Roman" w:eastAsia="Times New Roman" w:hAnsi="Times New Roman" w:cs="Times New Roman"/>
                <w:sz w:val="28"/>
              </w:rPr>
              <w:t>10,9</w:t>
            </w:r>
          </w:p>
        </w:tc>
        <w:tc>
          <w:tcPr>
            <w:tcW w:w="127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
              <w:jc w:val="center"/>
            </w:pPr>
            <w:r>
              <w:rPr>
                <w:rFonts w:ascii="Times New Roman" w:eastAsia="Times New Roman" w:hAnsi="Times New Roman" w:cs="Times New Roman"/>
                <w:sz w:val="28"/>
              </w:rPr>
              <w:t>11,7</w:t>
            </w:r>
          </w:p>
        </w:tc>
        <w:tc>
          <w:tcPr>
            <w:tcW w:w="1274"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
              <w:jc w:val="center"/>
            </w:pPr>
            <w:r>
              <w:rPr>
                <w:rFonts w:ascii="Times New Roman" w:eastAsia="Times New Roman" w:hAnsi="Times New Roman" w:cs="Times New Roman"/>
                <w:sz w:val="28"/>
              </w:rPr>
              <w:t>11,9</w:t>
            </w:r>
          </w:p>
        </w:tc>
        <w:tc>
          <w:tcPr>
            <w:tcW w:w="127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right="1"/>
              <w:jc w:val="center"/>
            </w:pPr>
            <w:r>
              <w:rPr>
                <w:rFonts w:ascii="Times New Roman" w:eastAsia="Times New Roman" w:hAnsi="Times New Roman" w:cs="Times New Roman"/>
                <w:sz w:val="28"/>
              </w:rPr>
              <w:t>109,5</w:t>
            </w:r>
          </w:p>
        </w:tc>
        <w:tc>
          <w:tcPr>
            <w:tcW w:w="1278"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
              <w:jc w:val="center"/>
            </w:pPr>
            <w:r>
              <w:rPr>
                <w:rFonts w:ascii="Times New Roman" w:eastAsia="Times New Roman" w:hAnsi="Times New Roman" w:cs="Times New Roman"/>
                <w:sz w:val="28"/>
              </w:rPr>
              <w:t>1,0</w:t>
            </w:r>
          </w:p>
        </w:tc>
      </w:tr>
      <w:tr w:rsidR="0052701D">
        <w:trPr>
          <w:trHeight w:val="332"/>
        </w:trPr>
        <w:tc>
          <w:tcPr>
            <w:tcW w:w="6804" w:type="dxa"/>
            <w:gridSpan w:val="4"/>
            <w:tcBorders>
              <w:top w:val="single" w:sz="4" w:space="0" w:color="000000"/>
              <w:left w:val="single" w:sz="4" w:space="0" w:color="000000"/>
              <w:bottom w:val="single" w:sz="4" w:space="0" w:color="000000"/>
              <w:right w:val="nil"/>
            </w:tcBorders>
          </w:tcPr>
          <w:p w:rsidR="0052701D" w:rsidRDefault="00D40929">
            <w:pPr>
              <w:spacing w:after="0"/>
            </w:pPr>
            <w:r>
              <w:rPr>
                <w:rFonts w:ascii="Times New Roman" w:eastAsia="Times New Roman" w:hAnsi="Times New Roman" w:cs="Times New Roman"/>
                <w:i/>
                <w:sz w:val="28"/>
              </w:rPr>
              <w:t>Note-compiled by the authors based on the source [15]</w:t>
            </w:r>
          </w:p>
        </w:tc>
        <w:tc>
          <w:tcPr>
            <w:tcW w:w="2554" w:type="dxa"/>
            <w:gridSpan w:val="2"/>
            <w:tcBorders>
              <w:top w:val="single" w:sz="4" w:space="0" w:color="000000"/>
              <w:left w:val="nil"/>
              <w:bottom w:val="single" w:sz="4" w:space="0" w:color="000000"/>
              <w:right w:val="single" w:sz="4" w:space="0" w:color="000000"/>
            </w:tcBorders>
          </w:tcPr>
          <w:p w:rsidR="0052701D" w:rsidRDefault="0052701D"/>
        </w:tc>
      </w:tr>
    </w:tbl>
    <w:p w:rsidR="0052701D" w:rsidRDefault="00D40929">
      <w:pPr>
        <w:spacing w:after="3" w:line="248" w:lineRule="auto"/>
        <w:ind w:right="4" w:firstLine="558"/>
        <w:jc w:val="both"/>
      </w:pPr>
      <w:r>
        <w:rPr>
          <w:rFonts w:ascii="Times New Roman" w:eastAsia="Times New Roman" w:hAnsi="Times New Roman" w:cs="Times New Roman"/>
          <w:sz w:val="28"/>
        </w:rPr>
        <w:t>Specialization in animal husbandry is meat and dairy cattle breeding, horse breeding, sheep breeding, camel farming, poultry farming.</w:t>
      </w:r>
    </w:p>
    <w:p w:rsidR="0052701D" w:rsidRDefault="00D40929">
      <w:pPr>
        <w:spacing w:after="3" w:line="248" w:lineRule="auto"/>
        <w:ind w:right="4" w:firstLine="558"/>
        <w:jc w:val="both"/>
      </w:pPr>
      <w:r>
        <w:rPr>
          <w:rFonts w:ascii="Times New Roman" w:eastAsia="Times New Roman" w:hAnsi="Times New Roman" w:cs="Times New Roman"/>
          <w:sz w:val="28"/>
        </w:rPr>
        <w:t>The share of breeding domestic animals in cattle is 17.5%, sheep – 21.8%, horses – 14.3%, camels – 51.2% and birds - 12.8%.</w:t>
      </w:r>
    </w:p>
    <w:p w:rsidR="0052701D" w:rsidRDefault="00D40929">
      <w:pPr>
        <w:spacing w:after="3" w:line="248" w:lineRule="auto"/>
        <w:ind w:right="4" w:firstLine="558"/>
        <w:jc w:val="both"/>
      </w:pPr>
      <w:r>
        <w:rPr>
          <w:rFonts w:ascii="Times New Roman" w:eastAsia="Times New Roman" w:hAnsi="Times New Roman" w:cs="Times New Roman"/>
          <w:sz w:val="28"/>
        </w:rPr>
        <w:t xml:space="preserve">Food industry production facilities are located in all territories of Zhetysay district. In 2019-2021, 14 new production facilities </w:t>
      </w:r>
      <w:r>
        <w:rPr>
          <w:rFonts w:ascii="Times New Roman" w:eastAsia="Times New Roman" w:hAnsi="Times New Roman" w:cs="Times New Roman"/>
          <w:sz w:val="28"/>
        </w:rPr>
        <w:t>were launched, seven production facilities were expanded, 46 enterprises in total are engaged in food production, which account for 23% of the region's industry volume.</w:t>
      </w:r>
    </w:p>
    <w:p w:rsidR="0052701D" w:rsidRDefault="00D40929">
      <w:pPr>
        <w:spacing w:after="3" w:line="248" w:lineRule="auto"/>
        <w:ind w:right="4" w:firstLine="558"/>
        <w:jc w:val="both"/>
      </w:pPr>
      <w:r>
        <w:rPr>
          <w:rFonts w:ascii="Times New Roman" w:eastAsia="Times New Roman" w:hAnsi="Times New Roman" w:cs="Times New Roman"/>
          <w:sz w:val="28"/>
        </w:rPr>
        <w:t>Thus, as a result of the analysis of the agro-industrial complex, the following main pr</w:t>
      </w:r>
      <w:r>
        <w:rPr>
          <w:rFonts w:ascii="Times New Roman" w:eastAsia="Times New Roman" w:hAnsi="Times New Roman" w:cs="Times New Roman"/>
          <w:sz w:val="28"/>
        </w:rPr>
        <w:t>oblems were identified: high investment risk is associated with the proximity of the district to neighboring countries, affecting the competitiveness and various characteristics of products; limitation of long-term and cheap loans for agricultural business</w:t>
      </w:r>
      <w:r>
        <w:rPr>
          <w:rFonts w:ascii="Times New Roman" w:eastAsia="Times New Roman" w:hAnsi="Times New Roman" w:cs="Times New Roman"/>
          <w:sz w:val="28"/>
        </w:rPr>
        <w:t xml:space="preserve"> in the financial market.</w:t>
      </w:r>
    </w:p>
    <w:p w:rsidR="0052701D" w:rsidRDefault="00D40929">
      <w:pPr>
        <w:spacing w:after="3" w:line="248" w:lineRule="auto"/>
        <w:ind w:right="4" w:firstLine="558"/>
        <w:jc w:val="both"/>
      </w:pPr>
      <w:r>
        <w:rPr>
          <w:rFonts w:ascii="Times New Roman" w:eastAsia="Times New Roman" w:hAnsi="Times New Roman" w:cs="Times New Roman"/>
          <w:sz w:val="28"/>
        </w:rPr>
        <w:t>The dispersion of enterprises in crop production and small volumes in land management do not allow maintaining a scientifically sound crop rotation and the widespread use of modern technologies, while the wear of agricultural mach</w:t>
      </w:r>
      <w:r>
        <w:rPr>
          <w:rFonts w:ascii="Times New Roman" w:eastAsia="Times New Roman" w:hAnsi="Times New Roman" w:cs="Times New Roman"/>
          <w:sz w:val="28"/>
        </w:rPr>
        <w:t>inery exceeds 82%.</w:t>
      </w:r>
    </w:p>
    <w:p w:rsidR="0052701D" w:rsidRDefault="00D40929">
      <w:pPr>
        <w:spacing w:after="3" w:line="248" w:lineRule="auto"/>
        <w:ind w:right="4" w:firstLine="558"/>
        <w:jc w:val="both"/>
      </w:pPr>
      <w:r>
        <w:rPr>
          <w:rFonts w:ascii="Times New Roman" w:eastAsia="Times New Roman" w:hAnsi="Times New Roman" w:cs="Times New Roman"/>
          <w:sz w:val="28"/>
        </w:rPr>
        <w:lastRenderedPageBreak/>
        <w:t>Animal husbandry: medium- and large-scale production in the area hinders largescale breeding and hybridization, prevents the feeding of farm animals, the yield of pasture farming is reduced due to low pasture turnover, low grass growth.</w:t>
      </w:r>
    </w:p>
    <w:p w:rsidR="0052701D" w:rsidRDefault="00D40929">
      <w:pPr>
        <w:spacing w:after="3" w:line="248" w:lineRule="auto"/>
        <w:ind w:right="4" w:firstLine="558"/>
        <w:jc w:val="both"/>
      </w:pPr>
      <w:r>
        <w:rPr>
          <w:rFonts w:ascii="Times New Roman" w:eastAsia="Times New Roman" w:hAnsi="Times New Roman" w:cs="Times New Roman"/>
          <w:sz w:val="28"/>
        </w:rPr>
        <w:t>There are 61 healthcare organizations in the district, of which 48 are public and 13 are private, 89.1% are located in rural areas. In addition, in 40 rural settlements, medical institutions are located in adapted buildings, 21 - in rental buildings.</w:t>
      </w:r>
    </w:p>
    <w:p w:rsidR="0052701D" w:rsidRDefault="00D40929">
      <w:pPr>
        <w:spacing w:after="3" w:line="248" w:lineRule="auto"/>
        <w:ind w:right="4" w:firstLine="558"/>
        <w:jc w:val="both"/>
      </w:pPr>
      <w:r>
        <w:rPr>
          <w:rFonts w:ascii="Times New Roman" w:eastAsia="Times New Roman" w:hAnsi="Times New Roman" w:cs="Times New Roman"/>
          <w:sz w:val="28"/>
        </w:rPr>
        <w:t>In ad</w:t>
      </w:r>
      <w:r>
        <w:rPr>
          <w:rFonts w:ascii="Times New Roman" w:eastAsia="Times New Roman" w:hAnsi="Times New Roman" w:cs="Times New Roman"/>
          <w:sz w:val="28"/>
        </w:rPr>
        <w:t>dition, there are 899 beds in the district, the security is 44.6 per 10 people. Hospital-substituting technologies are being implemented in the district, by the end of 2020, 156 day-stay beds were installed, the total number of discharged patients is 7.1 t</w:t>
      </w:r>
      <w:r>
        <w:rPr>
          <w:rFonts w:ascii="Times New Roman" w:eastAsia="Times New Roman" w:hAnsi="Times New Roman" w:cs="Times New Roman"/>
          <w:sz w:val="28"/>
        </w:rPr>
        <w:t>housand people.</w:t>
      </w:r>
    </w:p>
    <w:p w:rsidR="0052701D" w:rsidRDefault="00D40929">
      <w:pPr>
        <w:spacing w:after="306" w:line="248" w:lineRule="auto"/>
        <w:ind w:left="553" w:right="4"/>
        <w:jc w:val="both"/>
      </w:pPr>
      <w:r>
        <w:rPr>
          <w:rFonts w:ascii="Times New Roman" w:eastAsia="Times New Roman" w:hAnsi="Times New Roman" w:cs="Times New Roman"/>
          <w:sz w:val="28"/>
        </w:rPr>
        <w:t>Table 5 below shows the indicators in the health sector.</w:t>
      </w:r>
    </w:p>
    <w:p w:rsidR="0052701D" w:rsidRDefault="00D40929">
      <w:pPr>
        <w:spacing w:after="3" w:line="248" w:lineRule="auto"/>
        <w:ind w:left="553" w:right="4"/>
        <w:jc w:val="both"/>
      </w:pPr>
      <w:r>
        <w:rPr>
          <w:rFonts w:ascii="Times New Roman" w:eastAsia="Times New Roman" w:hAnsi="Times New Roman" w:cs="Times New Roman"/>
          <w:sz w:val="28"/>
        </w:rPr>
        <w:t>Table 5</w:t>
      </w:r>
    </w:p>
    <w:p w:rsidR="0052701D" w:rsidRDefault="00D40929">
      <w:pPr>
        <w:spacing w:after="3" w:line="248" w:lineRule="auto"/>
        <w:ind w:left="553" w:right="4"/>
        <w:jc w:val="both"/>
      </w:pPr>
      <w:r>
        <w:rPr>
          <w:rFonts w:ascii="Times New Roman" w:eastAsia="Times New Roman" w:hAnsi="Times New Roman" w:cs="Times New Roman"/>
          <w:sz w:val="28"/>
        </w:rPr>
        <w:t>The main indicators of health care in Zhetysay district</w:t>
      </w:r>
    </w:p>
    <w:tbl>
      <w:tblPr>
        <w:tblStyle w:val="TableGrid"/>
        <w:tblW w:w="9924" w:type="dxa"/>
        <w:tblInd w:w="140" w:type="dxa"/>
        <w:tblCellMar>
          <w:top w:w="17" w:type="dxa"/>
          <w:left w:w="104" w:type="dxa"/>
          <w:bottom w:w="0" w:type="dxa"/>
          <w:right w:w="110" w:type="dxa"/>
        </w:tblCellMar>
        <w:tblLook w:val="04A0" w:firstRow="1" w:lastRow="0" w:firstColumn="1" w:lastColumn="0" w:noHBand="0" w:noVBand="1"/>
      </w:tblPr>
      <w:tblGrid>
        <w:gridCol w:w="566"/>
        <w:gridCol w:w="4112"/>
        <w:gridCol w:w="1276"/>
        <w:gridCol w:w="1700"/>
        <w:gridCol w:w="2270"/>
      </w:tblGrid>
      <w:tr w:rsidR="0052701D">
        <w:trPr>
          <w:trHeight w:val="976"/>
        </w:trPr>
        <w:tc>
          <w:tcPr>
            <w:tcW w:w="566"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10"/>
              <w:jc w:val="center"/>
            </w:pPr>
            <w:r>
              <w:rPr>
                <w:rFonts w:ascii="Times New Roman" w:eastAsia="Times New Roman" w:hAnsi="Times New Roman" w:cs="Times New Roman"/>
                <w:sz w:val="28"/>
              </w:rPr>
              <w:t xml:space="preserve"> </w:t>
            </w:r>
          </w:p>
        </w:tc>
        <w:tc>
          <w:tcPr>
            <w:tcW w:w="4112"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10"/>
              <w:jc w:val="center"/>
            </w:pPr>
            <w:r>
              <w:rPr>
                <w:rFonts w:ascii="Times New Roman" w:eastAsia="Times New Roman" w:hAnsi="Times New Roman" w:cs="Times New Roman"/>
                <w:sz w:val="28"/>
              </w:rPr>
              <w:t>Indicators</w:t>
            </w:r>
          </w:p>
        </w:tc>
        <w:tc>
          <w:tcPr>
            <w:tcW w:w="127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1" w:right="9"/>
              <w:jc w:val="center"/>
            </w:pPr>
            <w:r>
              <w:rPr>
                <w:rFonts w:ascii="Times New Roman" w:eastAsia="Times New Roman" w:hAnsi="Times New Roman" w:cs="Times New Roman"/>
                <w:sz w:val="28"/>
              </w:rPr>
              <w:t>2020 year</w:t>
            </w:r>
          </w:p>
        </w:tc>
        <w:tc>
          <w:tcPr>
            <w:tcW w:w="170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
              <w:jc w:val="center"/>
            </w:pPr>
            <w:r>
              <w:rPr>
                <w:rFonts w:ascii="Times New Roman" w:eastAsia="Times New Roman" w:hAnsi="Times New Roman" w:cs="Times New Roman"/>
                <w:sz w:val="28"/>
              </w:rPr>
              <w:t>2021 year</w:t>
            </w:r>
          </w:p>
        </w:tc>
        <w:tc>
          <w:tcPr>
            <w:tcW w:w="227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2"/>
              <w:jc w:val="center"/>
            </w:pPr>
            <w:r>
              <w:rPr>
                <w:rFonts w:ascii="Times New Roman" w:eastAsia="Times New Roman" w:hAnsi="Times New Roman" w:cs="Times New Roman"/>
                <w:sz w:val="28"/>
              </w:rPr>
              <w:t>comparison</w:t>
            </w:r>
          </w:p>
          <w:p w:rsidR="0052701D" w:rsidRDefault="00D40929">
            <w:pPr>
              <w:spacing w:after="0"/>
              <w:ind w:left="12"/>
              <w:jc w:val="center"/>
            </w:pPr>
            <w:r>
              <w:rPr>
                <w:rFonts w:ascii="Times New Roman" w:eastAsia="Times New Roman" w:hAnsi="Times New Roman" w:cs="Times New Roman"/>
                <w:sz w:val="28"/>
              </w:rPr>
              <w:t>2020y. and</w:t>
            </w:r>
          </w:p>
          <w:p w:rsidR="0052701D" w:rsidRDefault="00D40929">
            <w:pPr>
              <w:spacing w:after="0"/>
              <w:ind w:left="11"/>
              <w:jc w:val="center"/>
            </w:pPr>
            <w:r>
              <w:rPr>
                <w:rFonts w:ascii="Times New Roman" w:eastAsia="Times New Roman" w:hAnsi="Times New Roman" w:cs="Times New Roman"/>
                <w:sz w:val="28"/>
              </w:rPr>
              <w:t>2021y., %</w:t>
            </w:r>
          </w:p>
        </w:tc>
      </w:tr>
      <w:tr w:rsidR="0052701D">
        <w:trPr>
          <w:trHeight w:val="654"/>
        </w:trPr>
        <w:tc>
          <w:tcPr>
            <w:tcW w:w="566"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112"/>
            </w:pPr>
            <w:r>
              <w:rPr>
                <w:rFonts w:ascii="Times New Roman" w:eastAsia="Times New Roman" w:hAnsi="Times New Roman" w:cs="Times New Roman"/>
                <w:sz w:val="28"/>
              </w:rPr>
              <w:t>1</w:t>
            </w:r>
          </w:p>
        </w:tc>
        <w:tc>
          <w:tcPr>
            <w:tcW w:w="411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6" w:hanging="6"/>
            </w:pPr>
            <w:r>
              <w:rPr>
                <w:rFonts w:ascii="Times New Roman" w:eastAsia="Times New Roman" w:hAnsi="Times New Roman" w:cs="Times New Roman"/>
                <w:sz w:val="28"/>
              </w:rPr>
              <w:t>Life expectancy of the population, years</w:t>
            </w:r>
          </w:p>
        </w:tc>
        <w:tc>
          <w:tcPr>
            <w:tcW w:w="1276"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8"/>
              <w:jc w:val="center"/>
            </w:pPr>
            <w:r>
              <w:rPr>
                <w:rFonts w:ascii="Times New Roman" w:eastAsia="Times New Roman" w:hAnsi="Times New Roman" w:cs="Times New Roman"/>
                <w:sz w:val="28"/>
              </w:rPr>
              <w:t>70,8</w:t>
            </w:r>
          </w:p>
        </w:tc>
        <w:tc>
          <w:tcPr>
            <w:tcW w:w="1700"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12"/>
              <w:jc w:val="center"/>
            </w:pPr>
            <w:r>
              <w:rPr>
                <w:rFonts w:ascii="Times New Roman" w:eastAsia="Times New Roman" w:hAnsi="Times New Roman" w:cs="Times New Roman"/>
                <w:sz w:val="28"/>
              </w:rPr>
              <w:t>71,0</w:t>
            </w:r>
          </w:p>
        </w:tc>
        <w:tc>
          <w:tcPr>
            <w:tcW w:w="2270"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10"/>
              <w:jc w:val="center"/>
            </w:pPr>
            <w:r>
              <w:rPr>
                <w:rFonts w:ascii="Times New Roman" w:eastAsia="Times New Roman" w:hAnsi="Times New Roman" w:cs="Times New Roman"/>
                <w:sz w:val="28"/>
              </w:rPr>
              <w:t>100,3</w:t>
            </w:r>
          </w:p>
        </w:tc>
      </w:tr>
      <w:tr w:rsidR="0052701D">
        <w:trPr>
          <w:trHeight w:val="332"/>
        </w:trPr>
        <w:tc>
          <w:tcPr>
            <w:tcW w:w="56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12"/>
            </w:pPr>
            <w:r>
              <w:rPr>
                <w:rFonts w:ascii="Times New Roman" w:eastAsia="Times New Roman" w:hAnsi="Times New Roman" w:cs="Times New Roman"/>
                <w:sz w:val="28"/>
              </w:rPr>
              <w:t>2</w:t>
            </w:r>
          </w:p>
        </w:tc>
        <w:tc>
          <w:tcPr>
            <w:tcW w:w="4112"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Total deaths per 1,000 people</w:t>
            </w:r>
          </w:p>
        </w:tc>
        <w:tc>
          <w:tcPr>
            <w:tcW w:w="127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
              <w:jc w:val="center"/>
            </w:pPr>
            <w:r>
              <w:rPr>
                <w:rFonts w:ascii="Times New Roman" w:eastAsia="Times New Roman" w:hAnsi="Times New Roman" w:cs="Times New Roman"/>
                <w:sz w:val="28"/>
              </w:rPr>
              <w:t>7,19</w:t>
            </w:r>
          </w:p>
        </w:tc>
        <w:tc>
          <w:tcPr>
            <w:tcW w:w="170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2"/>
              <w:jc w:val="center"/>
            </w:pPr>
            <w:r>
              <w:rPr>
                <w:rFonts w:ascii="Times New Roman" w:eastAsia="Times New Roman" w:hAnsi="Times New Roman" w:cs="Times New Roman"/>
                <w:sz w:val="28"/>
              </w:rPr>
              <w:t>6,84</w:t>
            </w:r>
          </w:p>
        </w:tc>
        <w:tc>
          <w:tcPr>
            <w:tcW w:w="227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0"/>
              <w:jc w:val="center"/>
            </w:pPr>
            <w:r>
              <w:rPr>
                <w:rFonts w:ascii="Times New Roman" w:eastAsia="Times New Roman" w:hAnsi="Times New Roman" w:cs="Times New Roman"/>
                <w:sz w:val="28"/>
              </w:rPr>
              <w:t>95,1</w:t>
            </w:r>
          </w:p>
        </w:tc>
      </w:tr>
      <w:tr w:rsidR="0052701D">
        <w:trPr>
          <w:trHeight w:val="654"/>
        </w:trPr>
        <w:tc>
          <w:tcPr>
            <w:tcW w:w="566"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112"/>
            </w:pPr>
            <w:r>
              <w:rPr>
                <w:rFonts w:ascii="Times New Roman" w:eastAsia="Times New Roman" w:hAnsi="Times New Roman" w:cs="Times New Roman"/>
                <w:sz w:val="28"/>
              </w:rPr>
              <w:t>3</w:t>
            </w:r>
          </w:p>
        </w:tc>
        <w:tc>
          <w:tcPr>
            <w:tcW w:w="411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6" w:hanging="6"/>
            </w:pPr>
            <w:r>
              <w:rPr>
                <w:rFonts w:ascii="Times New Roman" w:eastAsia="Times New Roman" w:hAnsi="Times New Roman" w:cs="Times New Roman"/>
                <w:sz w:val="28"/>
              </w:rPr>
              <w:t>Infant mortality rate per 1,000 live births</w:t>
            </w:r>
          </w:p>
        </w:tc>
        <w:tc>
          <w:tcPr>
            <w:tcW w:w="1276"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8"/>
              <w:jc w:val="center"/>
            </w:pPr>
            <w:r>
              <w:rPr>
                <w:rFonts w:ascii="Times New Roman" w:eastAsia="Times New Roman" w:hAnsi="Times New Roman" w:cs="Times New Roman"/>
                <w:sz w:val="28"/>
              </w:rPr>
              <w:t>8,24</w:t>
            </w:r>
          </w:p>
        </w:tc>
        <w:tc>
          <w:tcPr>
            <w:tcW w:w="1700"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12"/>
              <w:jc w:val="center"/>
            </w:pPr>
            <w:r>
              <w:rPr>
                <w:rFonts w:ascii="Times New Roman" w:eastAsia="Times New Roman" w:hAnsi="Times New Roman" w:cs="Times New Roman"/>
                <w:sz w:val="28"/>
              </w:rPr>
              <w:t>7,76</w:t>
            </w:r>
          </w:p>
        </w:tc>
        <w:tc>
          <w:tcPr>
            <w:tcW w:w="2270"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10"/>
              <w:jc w:val="center"/>
            </w:pPr>
            <w:r>
              <w:rPr>
                <w:rFonts w:ascii="Times New Roman" w:eastAsia="Times New Roman" w:hAnsi="Times New Roman" w:cs="Times New Roman"/>
                <w:sz w:val="28"/>
              </w:rPr>
              <w:t>94,1</w:t>
            </w:r>
          </w:p>
        </w:tc>
      </w:tr>
      <w:tr w:rsidR="0052701D">
        <w:trPr>
          <w:trHeight w:val="654"/>
        </w:trPr>
        <w:tc>
          <w:tcPr>
            <w:tcW w:w="566"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112"/>
            </w:pPr>
            <w:r>
              <w:rPr>
                <w:rFonts w:ascii="Times New Roman" w:eastAsia="Times New Roman" w:hAnsi="Times New Roman" w:cs="Times New Roman"/>
                <w:sz w:val="28"/>
              </w:rPr>
              <w:t>4</w:t>
            </w:r>
          </w:p>
        </w:tc>
        <w:tc>
          <w:tcPr>
            <w:tcW w:w="411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6" w:hanging="6"/>
              <w:jc w:val="both"/>
            </w:pPr>
            <w:r>
              <w:rPr>
                <w:rFonts w:ascii="Times New Roman" w:eastAsia="Times New Roman" w:hAnsi="Times New Roman" w:cs="Times New Roman"/>
                <w:sz w:val="28"/>
              </w:rPr>
              <w:t>Deaths from circulatory system diseases per 100,000 people</w:t>
            </w:r>
          </w:p>
        </w:tc>
        <w:tc>
          <w:tcPr>
            <w:tcW w:w="1276"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150"/>
            </w:pPr>
            <w:r>
              <w:rPr>
                <w:rFonts w:ascii="Times New Roman" w:eastAsia="Times New Roman" w:hAnsi="Times New Roman" w:cs="Times New Roman"/>
                <w:sz w:val="28"/>
              </w:rPr>
              <w:t>152,70</w:t>
            </w:r>
          </w:p>
        </w:tc>
        <w:tc>
          <w:tcPr>
            <w:tcW w:w="1700"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12"/>
              <w:jc w:val="center"/>
            </w:pPr>
            <w:r>
              <w:rPr>
                <w:rFonts w:ascii="Times New Roman" w:eastAsia="Times New Roman" w:hAnsi="Times New Roman" w:cs="Times New Roman"/>
                <w:sz w:val="28"/>
              </w:rPr>
              <w:t>131,03</w:t>
            </w:r>
          </w:p>
        </w:tc>
        <w:tc>
          <w:tcPr>
            <w:tcW w:w="2270"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10"/>
              <w:jc w:val="center"/>
            </w:pPr>
            <w:r>
              <w:rPr>
                <w:rFonts w:ascii="Times New Roman" w:eastAsia="Times New Roman" w:hAnsi="Times New Roman" w:cs="Times New Roman"/>
                <w:sz w:val="28"/>
              </w:rPr>
              <w:t>85,7</w:t>
            </w:r>
          </w:p>
        </w:tc>
      </w:tr>
      <w:tr w:rsidR="0052701D">
        <w:trPr>
          <w:trHeight w:val="332"/>
        </w:trPr>
        <w:tc>
          <w:tcPr>
            <w:tcW w:w="56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12"/>
            </w:pPr>
            <w:r>
              <w:rPr>
                <w:rFonts w:ascii="Times New Roman" w:eastAsia="Times New Roman" w:hAnsi="Times New Roman" w:cs="Times New Roman"/>
                <w:sz w:val="28"/>
              </w:rPr>
              <w:t>5</w:t>
            </w:r>
          </w:p>
        </w:tc>
        <w:tc>
          <w:tcPr>
            <w:tcW w:w="4112"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Cancer deaths per 100,000 people</w:t>
            </w:r>
          </w:p>
        </w:tc>
        <w:tc>
          <w:tcPr>
            <w:tcW w:w="127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8"/>
              <w:jc w:val="center"/>
            </w:pPr>
            <w:r>
              <w:rPr>
                <w:rFonts w:ascii="Times New Roman" w:eastAsia="Times New Roman" w:hAnsi="Times New Roman" w:cs="Times New Roman"/>
                <w:sz w:val="28"/>
              </w:rPr>
              <w:t>71,90</w:t>
            </w:r>
          </w:p>
        </w:tc>
        <w:tc>
          <w:tcPr>
            <w:tcW w:w="170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2"/>
              <w:jc w:val="center"/>
            </w:pPr>
            <w:r>
              <w:rPr>
                <w:rFonts w:ascii="Times New Roman" w:eastAsia="Times New Roman" w:hAnsi="Times New Roman" w:cs="Times New Roman"/>
                <w:sz w:val="28"/>
              </w:rPr>
              <w:t>64,62</w:t>
            </w:r>
          </w:p>
        </w:tc>
        <w:tc>
          <w:tcPr>
            <w:tcW w:w="2270"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0"/>
              <w:jc w:val="center"/>
            </w:pPr>
            <w:r>
              <w:rPr>
                <w:rFonts w:ascii="Times New Roman" w:eastAsia="Times New Roman" w:hAnsi="Times New Roman" w:cs="Times New Roman"/>
                <w:sz w:val="28"/>
              </w:rPr>
              <w:t>89,7</w:t>
            </w:r>
          </w:p>
        </w:tc>
      </w:tr>
      <w:tr w:rsidR="0052701D">
        <w:trPr>
          <w:trHeight w:val="654"/>
        </w:trPr>
        <w:tc>
          <w:tcPr>
            <w:tcW w:w="566"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112"/>
            </w:pPr>
            <w:r>
              <w:rPr>
                <w:rFonts w:ascii="Times New Roman" w:eastAsia="Times New Roman" w:hAnsi="Times New Roman" w:cs="Times New Roman"/>
                <w:sz w:val="28"/>
              </w:rPr>
              <w:t>6</w:t>
            </w:r>
          </w:p>
        </w:tc>
        <w:tc>
          <w:tcPr>
            <w:tcW w:w="4112"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6" w:hanging="6"/>
            </w:pPr>
            <w:r>
              <w:rPr>
                <w:rFonts w:ascii="Times New Roman" w:eastAsia="Times New Roman" w:hAnsi="Times New Roman" w:cs="Times New Roman"/>
                <w:sz w:val="28"/>
              </w:rPr>
              <w:t>Tuberculosis deaths per 100,000 people</w:t>
            </w:r>
          </w:p>
        </w:tc>
        <w:tc>
          <w:tcPr>
            <w:tcW w:w="1276"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8"/>
              <w:jc w:val="center"/>
            </w:pPr>
            <w:r>
              <w:rPr>
                <w:rFonts w:ascii="Times New Roman" w:eastAsia="Times New Roman" w:hAnsi="Times New Roman" w:cs="Times New Roman"/>
                <w:sz w:val="28"/>
              </w:rPr>
              <w:t>1,9</w:t>
            </w:r>
          </w:p>
        </w:tc>
        <w:tc>
          <w:tcPr>
            <w:tcW w:w="1700"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12"/>
              <w:jc w:val="center"/>
            </w:pPr>
            <w:r>
              <w:rPr>
                <w:rFonts w:ascii="Times New Roman" w:eastAsia="Times New Roman" w:hAnsi="Times New Roman" w:cs="Times New Roman"/>
                <w:sz w:val="28"/>
              </w:rPr>
              <w:t>1,7</w:t>
            </w:r>
          </w:p>
        </w:tc>
        <w:tc>
          <w:tcPr>
            <w:tcW w:w="2270" w:type="dxa"/>
            <w:tcBorders>
              <w:top w:val="single" w:sz="4" w:space="0" w:color="000000"/>
              <w:left w:val="single" w:sz="4" w:space="0" w:color="000000"/>
              <w:bottom w:val="single" w:sz="4" w:space="0" w:color="000000"/>
              <w:right w:val="single" w:sz="4" w:space="0" w:color="000000"/>
            </w:tcBorders>
            <w:vAlign w:val="center"/>
          </w:tcPr>
          <w:p w:rsidR="0052701D" w:rsidRDefault="00D40929">
            <w:pPr>
              <w:spacing w:after="0"/>
              <w:ind w:left="10"/>
              <w:jc w:val="center"/>
            </w:pPr>
            <w:r>
              <w:rPr>
                <w:rFonts w:ascii="Times New Roman" w:eastAsia="Times New Roman" w:hAnsi="Times New Roman" w:cs="Times New Roman"/>
                <w:sz w:val="28"/>
              </w:rPr>
              <w:t>84,2</w:t>
            </w:r>
          </w:p>
        </w:tc>
      </w:tr>
      <w:tr w:rsidR="0052701D">
        <w:trPr>
          <w:trHeight w:val="332"/>
        </w:trPr>
        <w:tc>
          <w:tcPr>
            <w:tcW w:w="7654" w:type="dxa"/>
            <w:gridSpan w:val="4"/>
            <w:tcBorders>
              <w:top w:val="single" w:sz="4" w:space="0" w:color="000000"/>
              <w:left w:val="single" w:sz="4" w:space="0" w:color="000000"/>
              <w:bottom w:val="single" w:sz="4" w:space="0" w:color="000000"/>
              <w:right w:val="nil"/>
            </w:tcBorders>
          </w:tcPr>
          <w:p w:rsidR="0052701D" w:rsidRDefault="00D40929">
            <w:pPr>
              <w:spacing w:after="0"/>
              <w:ind w:left="6"/>
            </w:pPr>
            <w:r>
              <w:rPr>
                <w:rFonts w:ascii="Times New Roman" w:eastAsia="Times New Roman" w:hAnsi="Times New Roman" w:cs="Times New Roman"/>
                <w:i/>
                <w:sz w:val="28"/>
              </w:rPr>
              <w:t>Note-compiled by the authors based on the source [15]</w:t>
            </w:r>
          </w:p>
        </w:tc>
        <w:tc>
          <w:tcPr>
            <w:tcW w:w="2270" w:type="dxa"/>
            <w:tcBorders>
              <w:top w:val="single" w:sz="4" w:space="0" w:color="000000"/>
              <w:left w:val="nil"/>
              <w:bottom w:val="single" w:sz="4" w:space="0" w:color="000000"/>
              <w:right w:val="single" w:sz="4" w:space="0" w:color="000000"/>
            </w:tcBorders>
          </w:tcPr>
          <w:p w:rsidR="0052701D" w:rsidRDefault="0052701D"/>
        </w:tc>
      </w:tr>
    </w:tbl>
    <w:p w:rsidR="0052701D" w:rsidRDefault="00D40929">
      <w:pPr>
        <w:spacing w:after="3" w:line="248" w:lineRule="auto"/>
        <w:ind w:right="4" w:firstLine="558"/>
        <w:jc w:val="both"/>
      </w:pPr>
      <w:r>
        <w:rPr>
          <w:rFonts w:ascii="Times New Roman" w:eastAsia="Times New Roman" w:hAnsi="Times New Roman" w:cs="Times New Roman"/>
          <w:sz w:val="28"/>
        </w:rPr>
        <w:t xml:space="preserve"> As a result of the implemented measures, the life expectancy of citizens at birth increased by 70.8 years in 2020, by 0.3 years in 2021 compared to 2020, and amounted to 71.0 years, and the national indicator is 73.5 years.</w:t>
      </w:r>
    </w:p>
    <w:p w:rsidR="0052701D" w:rsidRDefault="00D40929">
      <w:pPr>
        <w:spacing w:after="3" w:line="248" w:lineRule="auto"/>
        <w:ind w:right="4" w:firstLine="558"/>
        <w:jc w:val="both"/>
      </w:pPr>
      <w:r>
        <w:rPr>
          <w:rFonts w:ascii="Times New Roman" w:eastAsia="Times New Roman" w:hAnsi="Times New Roman" w:cs="Times New Roman"/>
          <w:sz w:val="28"/>
        </w:rPr>
        <w:t>In the period from 2020 to 2021</w:t>
      </w:r>
      <w:r>
        <w:rPr>
          <w:rFonts w:ascii="Times New Roman" w:eastAsia="Times New Roman" w:hAnsi="Times New Roman" w:cs="Times New Roman"/>
          <w:sz w:val="28"/>
        </w:rPr>
        <w:t>, there is a tendency to decrease the indicators of the spread of socially significant diseases and the death of the population. Mortality decreased from 7.19 to</w:t>
      </w:r>
    </w:p>
    <w:p w:rsidR="0052701D" w:rsidRDefault="00D40929">
      <w:pPr>
        <w:spacing w:after="3" w:line="248" w:lineRule="auto"/>
        <w:ind w:right="4"/>
        <w:jc w:val="both"/>
      </w:pPr>
      <w:r>
        <w:rPr>
          <w:rFonts w:ascii="Times New Roman" w:eastAsia="Times New Roman" w:hAnsi="Times New Roman" w:cs="Times New Roman"/>
          <w:sz w:val="28"/>
        </w:rPr>
        <w:t>6.84 – by 4.9% (RK-7.2), mortality from tuberculosis-from 1.9 to 1.7 - 13.3% (RK-2.9), mortali</w:t>
      </w:r>
      <w:r>
        <w:rPr>
          <w:rFonts w:ascii="Times New Roman" w:eastAsia="Times New Roman" w:hAnsi="Times New Roman" w:cs="Times New Roman"/>
          <w:sz w:val="28"/>
        </w:rPr>
        <w:t>ty from circulatory diseases-from 152.70 to 131.03, the spread of ICD is inhibited within 0.3-0.7%, in the district this figure is 0.173%.</w:t>
      </w:r>
    </w:p>
    <w:p w:rsidR="0052701D" w:rsidRDefault="00D40929">
      <w:pPr>
        <w:spacing w:after="3" w:line="248" w:lineRule="auto"/>
        <w:ind w:right="4" w:firstLine="558"/>
        <w:jc w:val="both"/>
      </w:pPr>
      <w:r>
        <w:rPr>
          <w:rFonts w:ascii="Times New Roman" w:eastAsia="Times New Roman" w:hAnsi="Times New Roman" w:cs="Times New Roman"/>
          <w:sz w:val="28"/>
        </w:rPr>
        <w:t>Maternal mortality per 100 Live Women in 2020 was recorded at 18.6 and increased by 1.9 times compared to 2019, the n</w:t>
      </w:r>
      <w:r>
        <w:rPr>
          <w:rFonts w:ascii="Times New Roman" w:eastAsia="Times New Roman" w:hAnsi="Times New Roman" w:cs="Times New Roman"/>
          <w:sz w:val="28"/>
        </w:rPr>
        <w:t>ational indicator is 9.7 per 100 thousand people and 11.5.</w:t>
      </w:r>
    </w:p>
    <w:p w:rsidR="0052701D" w:rsidRDefault="00D40929">
      <w:pPr>
        <w:spacing w:after="3" w:line="248" w:lineRule="auto"/>
        <w:ind w:right="4" w:firstLine="558"/>
        <w:jc w:val="both"/>
      </w:pPr>
      <w:r>
        <w:rPr>
          <w:rFonts w:ascii="Times New Roman" w:eastAsia="Times New Roman" w:hAnsi="Times New Roman" w:cs="Times New Roman"/>
          <w:sz w:val="28"/>
        </w:rPr>
        <w:t>The infant mortality rate per 1,000 live births decreased by 5.8% to 7.76 in 2021 compared to 8.24 in 2020.</w:t>
      </w:r>
    </w:p>
    <w:p w:rsidR="0052701D" w:rsidRDefault="00D40929">
      <w:pPr>
        <w:spacing w:after="3" w:line="248" w:lineRule="auto"/>
        <w:ind w:right="4" w:firstLine="558"/>
        <w:jc w:val="both"/>
      </w:pPr>
      <w:r>
        <w:rPr>
          <w:rFonts w:ascii="Times New Roman" w:eastAsia="Times New Roman" w:hAnsi="Times New Roman" w:cs="Times New Roman"/>
          <w:sz w:val="28"/>
        </w:rPr>
        <w:lastRenderedPageBreak/>
        <w:t>To reduce maternal mortality and infant mortality in the district, the rules of neontological care have been introduced, the material and technical base of organizations providing child and birth care is being strengthened, the degree of education of neont</w:t>
      </w:r>
      <w:r>
        <w:rPr>
          <w:rFonts w:ascii="Times New Roman" w:eastAsia="Times New Roman" w:hAnsi="Times New Roman" w:cs="Times New Roman"/>
          <w:sz w:val="28"/>
        </w:rPr>
        <w:t>ologists, pediatricians, obstetricians and genecologists of doctors is being increased.</w:t>
      </w:r>
    </w:p>
    <w:p w:rsidR="0052701D" w:rsidRDefault="00D40929">
      <w:pPr>
        <w:spacing w:after="3" w:line="248" w:lineRule="auto"/>
        <w:ind w:right="4" w:firstLine="558"/>
        <w:jc w:val="both"/>
      </w:pPr>
      <w:r>
        <w:rPr>
          <w:rFonts w:ascii="Times New Roman" w:eastAsia="Times New Roman" w:hAnsi="Times New Roman" w:cs="Times New Roman"/>
          <w:sz w:val="28"/>
        </w:rPr>
        <w:t xml:space="preserve">Basic Rules. The effectiveness of the use of resources is becoming a key factor in the socio-economic development of Zhetysay district. This is justified by the modern </w:t>
      </w:r>
      <w:r>
        <w:rPr>
          <w:rFonts w:ascii="Times New Roman" w:eastAsia="Times New Roman" w:hAnsi="Times New Roman" w:cs="Times New Roman"/>
          <w:sz w:val="28"/>
        </w:rPr>
        <w:t>vision of the model of the regional economic management system and pays due attention to the fact that when managing the regional economy, it is necessary to strengthen intraregional ties, observe the proportions of development, preserve fertility, qualita</w:t>
      </w:r>
      <w:r>
        <w:rPr>
          <w:rFonts w:ascii="Times New Roman" w:eastAsia="Times New Roman" w:hAnsi="Times New Roman" w:cs="Times New Roman"/>
          <w:sz w:val="28"/>
        </w:rPr>
        <w:t>tively improve the potential, all components and ensure interaction between them.</w:t>
      </w:r>
    </w:p>
    <w:p w:rsidR="0052701D" w:rsidRDefault="00D40929">
      <w:pPr>
        <w:spacing w:after="3" w:line="248" w:lineRule="auto"/>
        <w:ind w:right="4" w:firstLine="558"/>
        <w:jc w:val="both"/>
      </w:pPr>
      <w:r>
        <w:rPr>
          <w:rFonts w:ascii="Times New Roman" w:eastAsia="Times New Roman" w:hAnsi="Times New Roman" w:cs="Times New Roman"/>
          <w:sz w:val="28"/>
        </w:rPr>
        <w:t>The development of the region is the result of Management, which is assessed by the dynamics of the main parameters characterizing the state of its economy, the social sphere</w:t>
      </w:r>
      <w:r>
        <w:rPr>
          <w:rFonts w:ascii="Times New Roman" w:eastAsia="Times New Roman" w:hAnsi="Times New Roman" w:cs="Times New Roman"/>
          <w:sz w:val="28"/>
        </w:rPr>
        <w:t xml:space="preserve"> and the living conditions of the population [2].</w:t>
      </w:r>
    </w:p>
    <w:p w:rsidR="0052701D" w:rsidRDefault="00D40929">
      <w:pPr>
        <w:spacing w:after="40" w:line="248" w:lineRule="auto"/>
        <w:ind w:right="4" w:firstLine="558"/>
        <w:jc w:val="both"/>
      </w:pPr>
      <w:r>
        <w:rPr>
          <w:rFonts w:ascii="Times New Roman" w:eastAsia="Times New Roman" w:hAnsi="Times New Roman" w:cs="Times New Roman"/>
          <w:sz w:val="28"/>
        </w:rPr>
        <w:t>The conceptual model of the regional economic management system provides for the formation and further preservation of key regional priorities:</w:t>
      </w:r>
    </w:p>
    <w:p w:rsidR="0052701D" w:rsidRDefault="00D40929">
      <w:pPr>
        <w:numPr>
          <w:ilvl w:val="0"/>
          <w:numId w:val="153"/>
        </w:numPr>
        <w:spacing w:after="39" w:line="248" w:lineRule="auto"/>
        <w:ind w:right="4" w:firstLine="558"/>
        <w:jc w:val="both"/>
      </w:pPr>
      <w:r>
        <w:rPr>
          <w:rFonts w:ascii="Times New Roman" w:eastAsia="Times New Roman" w:hAnsi="Times New Roman" w:cs="Times New Roman"/>
          <w:sz w:val="28"/>
        </w:rPr>
        <w:t>сompliance of the model of the regional economic management system with the requirements of the current stage of social development, taking into account socioeconomic components;</w:t>
      </w:r>
    </w:p>
    <w:p w:rsidR="0052701D" w:rsidRDefault="00D40929">
      <w:pPr>
        <w:numPr>
          <w:ilvl w:val="0"/>
          <w:numId w:val="153"/>
        </w:numPr>
        <w:spacing w:after="38" w:line="248" w:lineRule="auto"/>
        <w:ind w:right="4" w:firstLine="558"/>
        <w:jc w:val="both"/>
      </w:pPr>
      <w:r>
        <w:rPr>
          <w:rFonts w:ascii="Times New Roman" w:eastAsia="Times New Roman" w:hAnsi="Times New Roman" w:cs="Times New Roman"/>
          <w:sz w:val="28"/>
        </w:rPr>
        <w:t xml:space="preserve">to direct the construction of the model to the prospects for the development </w:t>
      </w:r>
      <w:r>
        <w:rPr>
          <w:rFonts w:ascii="Times New Roman" w:eastAsia="Times New Roman" w:hAnsi="Times New Roman" w:cs="Times New Roman"/>
          <w:sz w:val="28"/>
        </w:rPr>
        <w:t>of the area, taking into account territorial features;</w:t>
      </w:r>
    </w:p>
    <w:p w:rsidR="0052701D" w:rsidRDefault="00D40929">
      <w:pPr>
        <w:numPr>
          <w:ilvl w:val="0"/>
          <w:numId w:val="153"/>
        </w:numPr>
        <w:spacing w:after="39" w:line="248" w:lineRule="auto"/>
        <w:ind w:right="4" w:firstLine="558"/>
        <w:jc w:val="both"/>
      </w:pPr>
      <w:r>
        <w:rPr>
          <w:rFonts w:ascii="Times New Roman" w:eastAsia="Times New Roman" w:hAnsi="Times New Roman" w:cs="Times New Roman"/>
          <w:sz w:val="28"/>
        </w:rPr>
        <w:t>the systematic influence of territorial institutions on the socio-economic development of the region;</w:t>
      </w:r>
    </w:p>
    <w:p w:rsidR="0052701D" w:rsidRDefault="00D40929">
      <w:pPr>
        <w:numPr>
          <w:ilvl w:val="0"/>
          <w:numId w:val="153"/>
        </w:numPr>
        <w:spacing w:after="38" w:line="248" w:lineRule="auto"/>
        <w:ind w:right="4" w:firstLine="558"/>
        <w:jc w:val="both"/>
      </w:pPr>
      <w:r>
        <w:rPr>
          <w:rFonts w:ascii="Times New Roman" w:eastAsia="Times New Roman" w:hAnsi="Times New Roman" w:cs="Times New Roman"/>
          <w:sz w:val="28"/>
        </w:rPr>
        <w:t>the need for competencies in the implementation of the conceptual model of the regional economic ma</w:t>
      </w:r>
      <w:r>
        <w:rPr>
          <w:rFonts w:ascii="Times New Roman" w:eastAsia="Times New Roman" w:hAnsi="Times New Roman" w:cs="Times New Roman"/>
          <w:sz w:val="28"/>
        </w:rPr>
        <w:t>nagement system;</w:t>
      </w:r>
    </w:p>
    <w:p w:rsidR="0052701D" w:rsidRDefault="00D40929">
      <w:pPr>
        <w:numPr>
          <w:ilvl w:val="0"/>
          <w:numId w:val="153"/>
        </w:numPr>
        <w:spacing w:after="3" w:line="248" w:lineRule="auto"/>
        <w:ind w:right="4" w:firstLine="558"/>
        <w:jc w:val="both"/>
      </w:pPr>
      <w:r>
        <w:rPr>
          <w:rFonts w:ascii="Times New Roman" w:eastAsia="Times New Roman" w:hAnsi="Times New Roman" w:cs="Times New Roman"/>
          <w:sz w:val="28"/>
        </w:rPr>
        <w:t>mandatory observance of ethical aspects, since this model is aimed primarily at improving the quality of life of the population, which is achieved through the growth of the region's economy.</w:t>
      </w:r>
    </w:p>
    <w:p w:rsidR="0052701D" w:rsidRDefault="00D40929">
      <w:pPr>
        <w:spacing w:after="40" w:line="248" w:lineRule="auto"/>
        <w:ind w:right="4" w:firstLine="558"/>
        <w:jc w:val="both"/>
      </w:pPr>
      <w:r>
        <w:rPr>
          <w:rFonts w:ascii="Times New Roman" w:eastAsia="Times New Roman" w:hAnsi="Times New Roman" w:cs="Times New Roman"/>
          <w:sz w:val="28"/>
        </w:rPr>
        <w:t>It is important for the region to increase the e</w:t>
      </w:r>
      <w:r>
        <w:rPr>
          <w:rFonts w:ascii="Times New Roman" w:eastAsia="Times New Roman" w:hAnsi="Times New Roman" w:cs="Times New Roman"/>
          <w:sz w:val="28"/>
        </w:rPr>
        <w:t>fficiency of reproduction processes and ensure its competitiveness. This is achieved mainly by solving the following tasks:</w:t>
      </w:r>
    </w:p>
    <w:p w:rsidR="0052701D" w:rsidRDefault="00D40929">
      <w:pPr>
        <w:spacing w:after="39" w:line="248" w:lineRule="auto"/>
        <w:ind w:right="4" w:firstLine="558"/>
        <w:jc w:val="both"/>
      </w:pPr>
      <w:r>
        <w:rPr>
          <w:rFonts w:ascii="Segoe UI Symbol" w:eastAsia="Segoe UI Symbol" w:hAnsi="Segoe UI Symbol" w:cs="Segoe UI Symbol"/>
          <w:sz w:val="28"/>
        </w:rPr>
        <w:t>-</w:t>
      </w:r>
      <w:r>
        <w:rPr>
          <w:rFonts w:ascii="Times New Roman" w:eastAsia="Times New Roman" w:hAnsi="Times New Roman" w:cs="Times New Roman"/>
          <w:sz w:val="28"/>
        </w:rPr>
        <w:t>to achieve the stability of the system of managing the created economy of the region, adapted to possible changes in the external a</w:t>
      </w:r>
      <w:r>
        <w:rPr>
          <w:rFonts w:ascii="Times New Roman" w:eastAsia="Times New Roman" w:hAnsi="Times New Roman" w:cs="Times New Roman"/>
          <w:sz w:val="28"/>
        </w:rPr>
        <w:t>nd internal environment;</w:t>
      </w:r>
    </w:p>
    <w:p w:rsidR="0052701D" w:rsidRDefault="00D40929">
      <w:pPr>
        <w:spacing w:after="40" w:line="248" w:lineRule="auto"/>
        <w:ind w:right="4" w:firstLine="558"/>
        <w:jc w:val="both"/>
      </w:pPr>
      <w:r>
        <w:rPr>
          <w:rFonts w:ascii="Segoe UI Symbol" w:eastAsia="Segoe UI Symbol" w:hAnsi="Segoe UI Symbol" w:cs="Segoe UI Symbol"/>
          <w:sz w:val="28"/>
        </w:rPr>
        <w:t>-</w:t>
      </w:r>
      <w:r>
        <w:rPr>
          <w:rFonts w:ascii="Times New Roman" w:eastAsia="Times New Roman" w:hAnsi="Times New Roman" w:cs="Times New Roman"/>
          <w:sz w:val="28"/>
        </w:rPr>
        <w:t>professional development of personnel involved in the regional management system;</w:t>
      </w:r>
    </w:p>
    <w:p w:rsidR="0052701D" w:rsidRDefault="00D40929">
      <w:pPr>
        <w:spacing w:after="3" w:line="248" w:lineRule="auto"/>
        <w:ind w:right="4" w:firstLine="558"/>
        <w:jc w:val="both"/>
      </w:pPr>
      <w:r>
        <w:rPr>
          <w:rFonts w:ascii="Segoe UI Symbol" w:eastAsia="Segoe UI Symbol" w:hAnsi="Segoe UI Symbol" w:cs="Segoe UI Symbol"/>
          <w:sz w:val="28"/>
        </w:rPr>
        <w:t>-</w:t>
      </w:r>
      <w:r>
        <w:rPr>
          <w:rFonts w:ascii="Times New Roman" w:eastAsia="Times New Roman" w:hAnsi="Times New Roman" w:cs="Times New Roman"/>
          <w:sz w:val="28"/>
        </w:rPr>
        <w:t>consolidation of the regional community in order to contribute to the economic development of the region by activating its activities.</w:t>
      </w:r>
    </w:p>
    <w:p w:rsidR="0052701D" w:rsidRDefault="00D40929">
      <w:pPr>
        <w:spacing w:after="3" w:line="248" w:lineRule="auto"/>
        <w:ind w:right="4" w:firstLine="558"/>
        <w:jc w:val="both"/>
      </w:pPr>
      <w:r>
        <w:rPr>
          <w:rFonts w:ascii="Times New Roman" w:eastAsia="Times New Roman" w:hAnsi="Times New Roman" w:cs="Times New Roman"/>
          <w:sz w:val="28"/>
        </w:rPr>
        <w:t>The solution</w:t>
      </w:r>
      <w:r>
        <w:rPr>
          <w:rFonts w:ascii="Times New Roman" w:eastAsia="Times New Roman" w:hAnsi="Times New Roman" w:cs="Times New Roman"/>
          <w:sz w:val="28"/>
        </w:rPr>
        <w:t xml:space="preserve"> of these tasks should be achieved by introducing a conceptual model of the regional economic management system [12].</w:t>
      </w:r>
    </w:p>
    <w:p w:rsidR="0052701D" w:rsidRDefault="00D40929">
      <w:pPr>
        <w:spacing w:after="3" w:line="248" w:lineRule="auto"/>
        <w:ind w:right="4" w:firstLine="558"/>
        <w:jc w:val="both"/>
      </w:pPr>
      <w:r>
        <w:rPr>
          <w:rFonts w:ascii="Times New Roman" w:eastAsia="Times New Roman" w:hAnsi="Times New Roman" w:cs="Times New Roman"/>
          <w:sz w:val="28"/>
        </w:rPr>
        <w:t>In the modern economy of any region, there is a need for appropriate organizational restructuring in the field of regional management, whi</w:t>
      </w:r>
      <w:r>
        <w:rPr>
          <w:rFonts w:ascii="Times New Roman" w:eastAsia="Times New Roman" w:hAnsi="Times New Roman" w:cs="Times New Roman"/>
          <w:sz w:val="28"/>
        </w:rPr>
        <w:t xml:space="preserve">ch requires the mandatory presence of established institutional conditions. With this in mind, in the course of the study, we identified specific principles that underlie the organizational and institutional development of the regional economic management </w:t>
      </w:r>
      <w:r>
        <w:rPr>
          <w:rFonts w:ascii="Times New Roman" w:eastAsia="Times New Roman" w:hAnsi="Times New Roman" w:cs="Times New Roman"/>
          <w:sz w:val="28"/>
        </w:rPr>
        <w:t>system and respond to modern conditions.</w:t>
      </w:r>
    </w:p>
    <w:p w:rsidR="0052701D" w:rsidRDefault="00D40929">
      <w:pPr>
        <w:spacing w:after="36" w:line="248" w:lineRule="auto"/>
        <w:ind w:left="553" w:right="4"/>
        <w:jc w:val="both"/>
      </w:pPr>
      <w:r>
        <w:rPr>
          <w:rFonts w:ascii="Times New Roman" w:eastAsia="Times New Roman" w:hAnsi="Times New Roman" w:cs="Times New Roman"/>
          <w:sz w:val="28"/>
        </w:rPr>
        <w:t>These principles form the basis of our model:</w:t>
      </w:r>
    </w:p>
    <w:p w:rsidR="0052701D" w:rsidRDefault="00D40929">
      <w:pPr>
        <w:spacing w:after="40" w:line="248" w:lineRule="auto"/>
        <w:ind w:right="4" w:firstLine="558"/>
        <w:jc w:val="both"/>
      </w:pPr>
      <w:r>
        <w:rPr>
          <w:rFonts w:ascii="Segoe UI Symbol" w:eastAsia="Segoe UI Symbol" w:hAnsi="Segoe UI Symbol" w:cs="Segoe UI Symbol"/>
          <w:sz w:val="28"/>
        </w:rPr>
        <w:lastRenderedPageBreak/>
        <w:t>-</w:t>
      </w:r>
      <w:r>
        <w:rPr>
          <w:rFonts w:ascii="Times New Roman" w:eastAsia="Times New Roman" w:hAnsi="Times New Roman" w:cs="Times New Roman"/>
          <w:sz w:val="28"/>
        </w:rPr>
        <w:t>the principle of systematic organizational and institutional transformations at all levels, the implementation of which makes it possible to achieve unity of perception</w:t>
      </w:r>
      <w:r>
        <w:rPr>
          <w:rFonts w:ascii="Times New Roman" w:eastAsia="Times New Roman" w:hAnsi="Times New Roman" w:cs="Times New Roman"/>
          <w:sz w:val="28"/>
        </w:rPr>
        <w:t xml:space="preserve"> of the ideology of transformations;</w:t>
      </w:r>
    </w:p>
    <w:p w:rsidR="0052701D" w:rsidRDefault="00D40929">
      <w:pPr>
        <w:spacing w:after="40" w:line="248" w:lineRule="auto"/>
        <w:ind w:right="4" w:firstLine="558"/>
        <w:jc w:val="both"/>
      </w:pPr>
      <w:r>
        <w:rPr>
          <w:rFonts w:ascii="Segoe UI Symbol" w:eastAsia="Segoe UI Symbol" w:hAnsi="Segoe UI Symbol" w:cs="Segoe UI Symbol"/>
          <w:sz w:val="28"/>
        </w:rPr>
        <w:t>-</w:t>
      </w:r>
      <w:r>
        <w:rPr>
          <w:rFonts w:ascii="Times New Roman" w:eastAsia="Times New Roman" w:hAnsi="Times New Roman" w:cs="Times New Roman"/>
          <w:sz w:val="28"/>
        </w:rPr>
        <w:t>the principle of harmony, which reflects the achievement of a balance of changes in the management system with the level and state of development of the regional community;</w:t>
      </w:r>
    </w:p>
    <w:p w:rsidR="0052701D" w:rsidRDefault="00D40929">
      <w:pPr>
        <w:spacing w:after="40" w:line="248" w:lineRule="auto"/>
        <w:ind w:right="4" w:firstLine="558"/>
        <w:jc w:val="both"/>
      </w:pPr>
      <w:r>
        <w:rPr>
          <w:rFonts w:ascii="Segoe UI Symbol" w:eastAsia="Segoe UI Symbol" w:hAnsi="Segoe UI Symbol" w:cs="Segoe UI Symbol"/>
          <w:sz w:val="28"/>
        </w:rPr>
        <w:t>-</w:t>
      </w:r>
      <w:r>
        <w:rPr>
          <w:rFonts w:ascii="Times New Roman" w:eastAsia="Times New Roman" w:hAnsi="Times New Roman" w:cs="Times New Roman"/>
          <w:sz w:val="28"/>
        </w:rPr>
        <w:t>the principle of formation and maintenance of a highly moral intellectual organizational culture;</w:t>
      </w:r>
    </w:p>
    <w:p w:rsidR="0052701D" w:rsidRDefault="00D40929">
      <w:pPr>
        <w:spacing w:after="40" w:line="248" w:lineRule="auto"/>
        <w:ind w:right="4" w:firstLine="558"/>
        <w:jc w:val="both"/>
      </w:pPr>
      <w:r>
        <w:rPr>
          <w:rFonts w:ascii="Segoe UI Symbol" w:eastAsia="Segoe UI Symbol" w:hAnsi="Segoe UI Symbol" w:cs="Segoe UI Symbol"/>
          <w:sz w:val="28"/>
        </w:rPr>
        <w:t>-</w:t>
      </w:r>
      <w:r>
        <w:rPr>
          <w:rFonts w:ascii="Times New Roman" w:eastAsia="Times New Roman" w:hAnsi="Times New Roman" w:cs="Times New Roman"/>
          <w:sz w:val="28"/>
        </w:rPr>
        <w:t>the principle of strategic development of the personnel potential of heads and specialists of state bodies, aimed at improving decision-making literacy throu</w:t>
      </w:r>
      <w:r>
        <w:rPr>
          <w:rFonts w:ascii="Times New Roman" w:eastAsia="Times New Roman" w:hAnsi="Times New Roman" w:cs="Times New Roman"/>
          <w:sz w:val="28"/>
        </w:rPr>
        <w:t>gh continuous professional development of persons involved in the implementation of the strategy of socio-economic development of the region;</w:t>
      </w:r>
    </w:p>
    <w:p w:rsidR="0052701D" w:rsidRDefault="00D40929">
      <w:pPr>
        <w:spacing w:after="40" w:line="248" w:lineRule="auto"/>
        <w:ind w:right="4" w:firstLine="558"/>
        <w:jc w:val="both"/>
      </w:pPr>
      <w:r>
        <w:rPr>
          <w:rFonts w:ascii="Segoe UI Symbol" w:eastAsia="Segoe UI Symbol" w:hAnsi="Segoe UI Symbol" w:cs="Segoe UI Symbol"/>
          <w:sz w:val="28"/>
        </w:rPr>
        <w:t>-</w:t>
      </w:r>
      <w:r>
        <w:rPr>
          <w:rFonts w:ascii="Times New Roman" w:eastAsia="Times New Roman" w:hAnsi="Times New Roman" w:cs="Times New Roman"/>
          <w:sz w:val="28"/>
        </w:rPr>
        <w:t>the principle of building an effective knowledge system through the hierarchical distribution of cognition, compe</w:t>
      </w:r>
      <w:r>
        <w:rPr>
          <w:rFonts w:ascii="Times New Roman" w:eastAsia="Times New Roman" w:hAnsi="Times New Roman" w:cs="Times New Roman"/>
          <w:sz w:val="28"/>
        </w:rPr>
        <w:t>tence, creativity, learning;</w:t>
      </w:r>
    </w:p>
    <w:p w:rsidR="0052701D" w:rsidRDefault="00D40929">
      <w:pPr>
        <w:spacing w:after="40" w:line="248" w:lineRule="auto"/>
        <w:ind w:right="4" w:firstLine="558"/>
        <w:jc w:val="both"/>
      </w:pPr>
      <w:r>
        <w:rPr>
          <w:rFonts w:ascii="Segoe UI Symbol" w:eastAsia="Segoe UI Symbol" w:hAnsi="Segoe UI Symbol" w:cs="Segoe UI Symbol"/>
          <w:sz w:val="28"/>
        </w:rPr>
        <w:t>-</w:t>
      </w:r>
      <w:r>
        <w:rPr>
          <w:rFonts w:ascii="Times New Roman" w:eastAsia="Times New Roman" w:hAnsi="Times New Roman" w:cs="Times New Roman"/>
          <w:sz w:val="28"/>
        </w:rPr>
        <w:t xml:space="preserve">the principle of creating a comprehensive information support for the conceptual system of the regional model of economic management and ensuring reliable feedback, which makes it possible to create a single information space </w:t>
      </w:r>
      <w:r>
        <w:rPr>
          <w:rFonts w:ascii="Times New Roman" w:eastAsia="Times New Roman" w:hAnsi="Times New Roman" w:cs="Times New Roman"/>
          <w:sz w:val="28"/>
        </w:rPr>
        <w:t>– an information exchange platform;</w:t>
      </w:r>
    </w:p>
    <w:p w:rsidR="0052701D" w:rsidRDefault="00D40929">
      <w:pPr>
        <w:spacing w:after="3" w:line="248" w:lineRule="auto"/>
        <w:ind w:right="4" w:firstLine="558"/>
        <w:jc w:val="both"/>
      </w:pPr>
      <w:r>
        <w:rPr>
          <w:rFonts w:ascii="Segoe UI Symbol" w:eastAsia="Segoe UI Symbol" w:hAnsi="Segoe UI Symbol" w:cs="Segoe UI Symbol"/>
          <w:sz w:val="28"/>
        </w:rPr>
        <w:t>-</w:t>
      </w:r>
      <w:r>
        <w:rPr>
          <w:rFonts w:ascii="Times New Roman" w:eastAsia="Times New Roman" w:hAnsi="Times New Roman" w:cs="Times New Roman"/>
          <w:sz w:val="28"/>
        </w:rPr>
        <w:t xml:space="preserve">the principle of controllability, implemented in monitoring the progress of activities within the framework of the model, monitoring the main parameters and evaluating the results of changes, which makes it possible to </w:t>
      </w:r>
      <w:r>
        <w:rPr>
          <w:rFonts w:ascii="Times New Roman" w:eastAsia="Times New Roman" w:hAnsi="Times New Roman" w:cs="Times New Roman"/>
          <w:sz w:val="28"/>
        </w:rPr>
        <w:t xml:space="preserve">objectively analyze the management system of the region's economy at any time. </w:t>
      </w:r>
    </w:p>
    <w:p w:rsidR="0052701D" w:rsidRDefault="00D40929">
      <w:pPr>
        <w:spacing w:after="3" w:line="248" w:lineRule="auto"/>
        <w:ind w:right="4" w:firstLine="558"/>
        <w:jc w:val="both"/>
      </w:pPr>
      <w:r>
        <w:rPr>
          <w:rFonts w:ascii="Times New Roman" w:eastAsia="Times New Roman" w:hAnsi="Times New Roman" w:cs="Times New Roman"/>
          <w:sz w:val="28"/>
        </w:rPr>
        <w:t>The joint use of these principles ensures the effectiveness of the entire conceptual model of the regional economic management system through the effective implementation of or</w:t>
      </w:r>
      <w:r>
        <w:rPr>
          <w:rFonts w:ascii="Times New Roman" w:eastAsia="Times New Roman" w:hAnsi="Times New Roman" w:cs="Times New Roman"/>
          <w:sz w:val="28"/>
        </w:rPr>
        <w:t>ganizational changes through the creation of appropriate institutional conditions [13].</w:t>
      </w:r>
    </w:p>
    <w:p w:rsidR="0052701D" w:rsidRDefault="00D40929">
      <w:pPr>
        <w:spacing w:after="3" w:line="248" w:lineRule="auto"/>
        <w:ind w:right="4" w:firstLine="558"/>
        <w:jc w:val="both"/>
      </w:pPr>
      <w:r>
        <w:rPr>
          <w:rFonts w:ascii="Times New Roman" w:eastAsia="Times New Roman" w:hAnsi="Times New Roman" w:cs="Times New Roman"/>
          <w:sz w:val="28"/>
        </w:rPr>
        <w:t>It is no secret that the socio-economic well-being of any region largely depends on the quality of management, the effective use of progressive methods, modern informat</w:t>
      </w:r>
      <w:r>
        <w:rPr>
          <w:rFonts w:ascii="Times New Roman" w:eastAsia="Times New Roman" w:hAnsi="Times New Roman" w:cs="Times New Roman"/>
          <w:sz w:val="28"/>
        </w:rPr>
        <w:t>ion technologies, and the achievements of domestic and foreign management.</w:t>
      </w:r>
    </w:p>
    <w:p w:rsidR="0052701D" w:rsidRDefault="00D40929">
      <w:pPr>
        <w:spacing w:after="3" w:line="248" w:lineRule="auto"/>
        <w:ind w:right="4" w:firstLine="558"/>
        <w:jc w:val="both"/>
      </w:pPr>
      <w:r>
        <w:rPr>
          <w:rFonts w:ascii="Times New Roman" w:eastAsia="Times New Roman" w:hAnsi="Times New Roman" w:cs="Times New Roman"/>
          <w:sz w:val="28"/>
        </w:rPr>
        <w:t>The main direction in the framework of the organizational and institutional development of the regional economic management system is the creation of a system of innovative manageme</w:t>
      </w:r>
      <w:r>
        <w:rPr>
          <w:rFonts w:ascii="Times New Roman" w:eastAsia="Times New Roman" w:hAnsi="Times New Roman" w:cs="Times New Roman"/>
          <w:sz w:val="28"/>
        </w:rPr>
        <w:t>nt of the regional economy through the development of institutional conditions for updating management activities. The implementation of this direction is carried out in the process of carrying out actions to form organizational and institutional component</w:t>
      </w:r>
      <w:r>
        <w:rPr>
          <w:rFonts w:ascii="Times New Roman" w:eastAsia="Times New Roman" w:hAnsi="Times New Roman" w:cs="Times New Roman"/>
          <w:sz w:val="28"/>
        </w:rPr>
        <w:t>s. Let's describe each of them.</w:t>
      </w:r>
    </w:p>
    <w:p w:rsidR="0052701D" w:rsidRDefault="00D40929">
      <w:pPr>
        <w:spacing w:after="3" w:line="248" w:lineRule="auto"/>
        <w:ind w:right="4" w:firstLine="558"/>
        <w:jc w:val="both"/>
      </w:pPr>
      <w:r>
        <w:rPr>
          <w:rFonts w:ascii="Times New Roman" w:eastAsia="Times New Roman" w:hAnsi="Times New Roman" w:cs="Times New Roman"/>
          <w:sz w:val="28"/>
        </w:rPr>
        <w:t>Formation of organizational culture in the management system. Organizational culture is characterized by the role of an informal institution for the development and regulation of human relations in the management system. The</w:t>
      </w:r>
      <w:r>
        <w:rPr>
          <w:rFonts w:ascii="Times New Roman" w:eastAsia="Times New Roman" w:hAnsi="Times New Roman" w:cs="Times New Roman"/>
          <w:sz w:val="28"/>
        </w:rPr>
        <w:t xml:space="preserve"> set of values, informal rules that make up an organizational culture is usually not openly expressed and documented, but it constitutes unspecified norms of behavior. The organizational culture cannot change quickly, since its formation occurs gradually a</w:t>
      </w:r>
      <w:r>
        <w:rPr>
          <w:rFonts w:ascii="Times New Roman" w:eastAsia="Times New Roman" w:hAnsi="Times New Roman" w:cs="Times New Roman"/>
          <w:sz w:val="28"/>
        </w:rPr>
        <w:t>nd corresponds to the level of education of the bulk of the region's population, and its change requires certain material and intangible costs.</w:t>
      </w:r>
    </w:p>
    <w:p w:rsidR="0052701D" w:rsidRDefault="00D40929">
      <w:pPr>
        <w:spacing w:after="3" w:line="248" w:lineRule="auto"/>
        <w:ind w:right="4" w:firstLine="558"/>
        <w:jc w:val="both"/>
      </w:pPr>
      <w:r>
        <w:rPr>
          <w:rFonts w:ascii="Times New Roman" w:eastAsia="Times New Roman" w:hAnsi="Times New Roman" w:cs="Times New Roman"/>
          <w:sz w:val="28"/>
        </w:rPr>
        <w:t>Strategic professional development of managers and specialists of all levels involved in the management system o</w:t>
      </w:r>
      <w:r>
        <w:rPr>
          <w:rFonts w:ascii="Times New Roman" w:eastAsia="Times New Roman" w:hAnsi="Times New Roman" w:cs="Times New Roman"/>
          <w:sz w:val="28"/>
        </w:rPr>
        <w:t xml:space="preserve">f the region's economy. The concept of Human Resource Management is implemented on the basis of continuous training and retraining by increasing </w:t>
      </w:r>
      <w:r>
        <w:rPr>
          <w:rFonts w:ascii="Times New Roman" w:eastAsia="Times New Roman" w:hAnsi="Times New Roman" w:cs="Times New Roman"/>
          <w:sz w:val="28"/>
        </w:rPr>
        <w:lastRenderedPageBreak/>
        <w:t>the competencies, cognition, dynamic abilities, creativity and job satisfaction of various categories of employ</w:t>
      </w:r>
      <w:r>
        <w:rPr>
          <w:rFonts w:ascii="Times New Roman" w:eastAsia="Times New Roman" w:hAnsi="Times New Roman" w:cs="Times New Roman"/>
          <w:sz w:val="28"/>
        </w:rPr>
        <w:t>ees at all levels and in all management structures. Its implementation requires material costs, which are subsequently justified by objective decisions within the framework of managing the region's economy.</w:t>
      </w:r>
    </w:p>
    <w:p w:rsidR="0052701D" w:rsidRDefault="00D40929">
      <w:pPr>
        <w:spacing w:after="3" w:line="248" w:lineRule="auto"/>
        <w:ind w:right="4" w:firstLine="558"/>
        <w:jc w:val="both"/>
      </w:pPr>
      <w:r>
        <w:rPr>
          <w:rFonts w:ascii="Times New Roman" w:eastAsia="Times New Roman" w:hAnsi="Times New Roman" w:cs="Times New Roman"/>
          <w:sz w:val="28"/>
        </w:rPr>
        <w:t>Improving the structure of regional management bo</w:t>
      </w:r>
      <w:r>
        <w:rPr>
          <w:rFonts w:ascii="Times New Roman" w:eastAsia="Times New Roman" w:hAnsi="Times New Roman" w:cs="Times New Roman"/>
          <w:sz w:val="28"/>
        </w:rPr>
        <w:t>dies by optimizing them. The organizational structure of regional management is the basis for the implementation of state functions, programs, projects and the achievement of the goals of the management system. In this regard, it is necessary to constantly</w:t>
      </w:r>
      <w:r>
        <w:rPr>
          <w:rFonts w:ascii="Times New Roman" w:eastAsia="Times New Roman" w:hAnsi="Times New Roman" w:cs="Times New Roman"/>
          <w:sz w:val="28"/>
        </w:rPr>
        <w:t xml:space="preserve"> assess the feasibility of changing the structure of regional authorities by monitoring the activities of each link and each performer. This structure of regional state bodies must meet the tasks to be solved, meet modern requirements, reflect the composit</w:t>
      </w:r>
      <w:r>
        <w:rPr>
          <w:rFonts w:ascii="Times New Roman" w:eastAsia="Times New Roman" w:hAnsi="Times New Roman" w:cs="Times New Roman"/>
          <w:sz w:val="28"/>
        </w:rPr>
        <w:t>ion of the service and take into account the changing conditions of functioning and development. An analysis of the existing organizational structures of regional management showed that they are formed due to the influence of objective and subjective facto</w:t>
      </w:r>
      <w:r>
        <w:rPr>
          <w:rFonts w:ascii="Times New Roman" w:eastAsia="Times New Roman" w:hAnsi="Times New Roman" w:cs="Times New Roman"/>
          <w:sz w:val="28"/>
        </w:rPr>
        <w:t>rs. The industry approach to the construction and functioning of regional management bodies, which is prevailing today, does not meet the modern requirements of a market economy and requires a restructuring of the existing organizational structures for man</w:t>
      </w:r>
      <w:r>
        <w:rPr>
          <w:rFonts w:ascii="Times New Roman" w:eastAsia="Times New Roman" w:hAnsi="Times New Roman" w:cs="Times New Roman"/>
          <w:sz w:val="28"/>
        </w:rPr>
        <w:t>aging the region in all areas. However, the implementation of these transformations also affects the redistribution of powers between ministries and departments, so it is necessary to clearly outline the competencies and justify the changes being made.</w:t>
      </w:r>
    </w:p>
    <w:p w:rsidR="0052701D" w:rsidRDefault="00D40929">
      <w:pPr>
        <w:spacing w:after="3" w:line="248" w:lineRule="auto"/>
        <w:ind w:right="4" w:firstLine="558"/>
        <w:jc w:val="both"/>
      </w:pPr>
      <w:r>
        <w:rPr>
          <w:rFonts w:ascii="Times New Roman" w:eastAsia="Times New Roman" w:hAnsi="Times New Roman" w:cs="Times New Roman"/>
          <w:sz w:val="28"/>
        </w:rPr>
        <w:t>For</w:t>
      </w:r>
      <w:r>
        <w:rPr>
          <w:rFonts w:ascii="Times New Roman" w:eastAsia="Times New Roman" w:hAnsi="Times New Roman" w:cs="Times New Roman"/>
          <w:sz w:val="28"/>
        </w:rPr>
        <w:t xml:space="preserve">mation of an institutional environment for regional development. The modern institutional environment should provide: creating favorable competitive conditions on which the growth of business activity of economic entities depends; creating entrepreneurial </w:t>
      </w:r>
      <w:r>
        <w:rPr>
          <w:rFonts w:ascii="Times New Roman" w:eastAsia="Times New Roman" w:hAnsi="Times New Roman" w:cs="Times New Roman"/>
          <w:sz w:val="28"/>
        </w:rPr>
        <w:t>resources for the emergence of new companies; developing the land market; creating an effective system of financial and insurance institutions; the effectiveness of state and local government; forming civil society; exercising public control over the activ</w:t>
      </w:r>
      <w:r>
        <w:rPr>
          <w:rFonts w:ascii="Times New Roman" w:eastAsia="Times New Roman" w:hAnsi="Times New Roman" w:cs="Times New Roman"/>
          <w:sz w:val="28"/>
        </w:rPr>
        <w:t>ities of state bodies and business entities; reducing the level of corruption and increasing confidence in the government and its policies.</w:t>
      </w:r>
    </w:p>
    <w:p w:rsidR="0052701D" w:rsidRDefault="00D40929">
      <w:pPr>
        <w:spacing w:after="3" w:line="248" w:lineRule="auto"/>
        <w:ind w:right="4" w:firstLine="558"/>
        <w:jc w:val="both"/>
      </w:pPr>
      <w:r>
        <w:rPr>
          <w:rFonts w:ascii="Times New Roman" w:eastAsia="Times New Roman" w:hAnsi="Times New Roman" w:cs="Times New Roman"/>
          <w:sz w:val="28"/>
        </w:rPr>
        <w:t>On this basis, there was a need to create new regional economic institutions. The formation of a modern system of ec</w:t>
      </w:r>
      <w:r>
        <w:rPr>
          <w:rFonts w:ascii="Times New Roman" w:eastAsia="Times New Roman" w:hAnsi="Times New Roman" w:cs="Times New Roman"/>
          <w:sz w:val="28"/>
        </w:rPr>
        <w:t>onomic institutions involves the following measures: stimulating competition in all regional markets in order to produce competitive goods and services at the national and international levels; developing market infrastructure, the quality of which determi</w:t>
      </w:r>
      <w:r>
        <w:rPr>
          <w:rFonts w:ascii="Times New Roman" w:eastAsia="Times New Roman" w:hAnsi="Times New Roman" w:cs="Times New Roman"/>
          <w:sz w:val="28"/>
        </w:rPr>
        <w:t>nes the activities of economic entities; activating innovations aimed at reducing management costs and improving its quality; increase in investments for the implementation of large projects not only of economic, but also social importance; assistance in t</w:t>
      </w:r>
      <w:r>
        <w:rPr>
          <w:rFonts w:ascii="Times New Roman" w:eastAsia="Times New Roman" w:hAnsi="Times New Roman" w:cs="Times New Roman"/>
          <w:sz w:val="28"/>
        </w:rPr>
        <w:t>he development of entrepreneurship; effective interaction between the state, local authorities, the population, Business, public structures.</w:t>
      </w:r>
    </w:p>
    <w:p w:rsidR="0052701D" w:rsidRDefault="00D40929">
      <w:pPr>
        <w:spacing w:after="3" w:line="248" w:lineRule="auto"/>
        <w:ind w:right="4" w:firstLine="558"/>
        <w:jc w:val="both"/>
      </w:pPr>
      <w:r>
        <w:rPr>
          <w:rFonts w:ascii="Times New Roman" w:eastAsia="Times New Roman" w:hAnsi="Times New Roman" w:cs="Times New Roman"/>
          <w:sz w:val="28"/>
        </w:rPr>
        <w:t xml:space="preserve">The conceptual model of the regional economic management system should correspond to the balance of the formal and </w:t>
      </w:r>
      <w:r>
        <w:rPr>
          <w:rFonts w:ascii="Times New Roman" w:eastAsia="Times New Roman" w:hAnsi="Times New Roman" w:cs="Times New Roman"/>
          <w:sz w:val="28"/>
        </w:rPr>
        <w:t>informal institutional environment, which plays the role of the internal corporate culture of the Region [6].</w:t>
      </w:r>
    </w:p>
    <w:p w:rsidR="0052701D" w:rsidRDefault="00D40929">
      <w:pPr>
        <w:spacing w:after="3" w:line="248" w:lineRule="auto"/>
        <w:ind w:right="4" w:firstLine="558"/>
        <w:jc w:val="both"/>
      </w:pPr>
      <w:r>
        <w:rPr>
          <w:rFonts w:ascii="Times New Roman" w:eastAsia="Times New Roman" w:hAnsi="Times New Roman" w:cs="Times New Roman"/>
          <w:sz w:val="28"/>
        </w:rPr>
        <w:t>A constituent element of the regional economic management system is a management mechanism, that is, a subsystem that can determine the regularity</w:t>
      </w:r>
      <w:r>
        <w:rPr>
          <w:rFonts w:ascii="Times New Roman" w:eastAsia="Times New Roman" w:hAnsi="Times New Roman" w:cs="Times New Roman"/>
          <w:sz w:val="28"/>
        </w:rPr>
        <w:t xml:space="preserve"> and General Order of regional management processes. The functioning and development of this subsystem is determined by a number of market requirements, specific conditions and needs for the implementation of the life of the regional community. The impleme</w:t>
      </w:r>
      <w:r>
        <w:rPr>
          <w:rFonts w:ascii="Times New Roman" w:eastAsia="Times New Roman" w:hAnsi="Times New Roman" w:cs="Times New Roman"/>
          <w:sz w:val="28"/>
        </w:rPr>
        <w:t xml:space="preserve">ntation of this </w:t>
      </w:r>
      <w:r>
        <w:rPr>
          <w:rFonts w:ascii="Times New Roman" w:eastAsia="Times New Roman" w:hAnsi="Times New Roman" w:cs="Times New Roman"/>
          <w:sz w:val="28"/>
        </w:rPr>
        <w:lastRenderedPageBreak/>
        <w:t>mechanism should be regulated by regional authorities and clearly reflected in the strategy of socio-economic development of the region.</w:t>
      </w:r>
    </w:p>
    <w:p w:rsidR="0052701D" w:rsidRDefault="00D40929">
      <w:pPr>
        <w:spacing w:after="3" w:line="248" w:lineRule="auto"/>
        <w:ind w:right="4" w:firstLine="558"/>
        <w:jc w:val="both"/>
      </w:pPr>
      <w:r>
        <w:rPr>
          <w:rFonts w:ascii="Times New Roman" w:eastAsia="Times New Roman" w:hAnsi="Times New Roman" w:cs="Times New Roman"/>
          <w:sz w:val="28"/>
        </w:rPr>
        <w:t xml:space="preserve">A systematic characteristic of the activities of executive authorities, in particular its officials at </w:t>
      </w:r>
      <w:r>
        <w:rPr>
          <w:rFonts w:ascii="Times New Roman" w:eastAsia="Times New Roman" w:hAnsi="Times New Roman" w:cs="Times New Roman"/>
          <w:sz w:val="28"/>
        </w:rPr>
        <w:t>all levels, is the quality of regional management. This characteristic is evaluated in accordance with the socially significant goals and results achieved, taking into account the specified resource, time, scale and other parameters, from the point of view</w:t>
      </w:r>
      <w:r>
        <w:rPr>
          <w:rFonts w:ascii="Times New Roman" w:eastAsia="Times New Roman" w:hAnsi="Times New Roman" w:cs="Times New Roman"/>
          <w:sz w:val="28"/>
        </w:rPr>
        <w:t xml:space="preserve"> of completeness and effectiveness of their achievement.</w:t>
      </w:r>
    </w:p>
    <w:p w:rsidR="0052701D" w:rsidRDefault="00D40929">
      <w:pPr>
        <w:spacing w:after="3" w:line="248" w:lineRule="auto"/>
        <w:ind w:right="4" w:firstLine="558"/>
        <w:jc w:val="both"/>
      </w:pPr>
      <w:r>
        <w:rPr>
          <w:rFonts w:ascii="Times New Roman" w:eastAsia="Times New Roman" w:hAnsi="Times New Roman" w:cs="Times New Roman"/>
          <w:sz w:val="28"/>
        </w:rPr>
        <w:t>The main direction in the framework of the organizational and institutional development of the regional economic management system is the creation of a system of innovative management of the regional</w:t>
      </w:r>
      <w:r>
        <w:rPr>
          <w:rFonts w:ascii="Times New Roman" w:eastAsia="Times New Roman" w:hAnsi="Times New Roman" w:cs="Times New Roman"/>
          <w:sz w:val="28"/>
        </w:rPr>
        <w:t xml:space="preserve"> economy through the development of institutional conditions for updating management activities. The implementation of this direction is carried out in the process of carrying out actions to form organizational and institutional components. Let's describe </w:t>
      </w:r>
      <w:r>
        <w:rPr>
          <w:rFonts w:ascii="Times New Roman" w:eastAsia="Times New Roman" w:hAnsi="Times New Roman" w:cs="Times New Roman"/>
          <w:sz w:val="28"/>
        </w:rPr>
        <w:t>each of them.</w:t>
      </w:r>
    </w:p>
    <w:p w:rsidR="0052701D" w:rsidRDefault="00D40929">
      <w:pPr>
        <w:spacing w:after="3" w:line="248" w:lineRule="auto"/>
        <w:ind w:right="4" w:firstLine="558"/>
        <w:jc w:val="both"/>
      </w:pPr>
      <w:r>
        <w:rPr>
          <w:rFonts w:ascii="Times New Roman" w:eastAsia="Times New Roman" w:hAnsi="Times New Roman" w:cs="Times New Roman"/>
          <w:sz w:val="28"/>
        </w:rPr>
        <w:t>Formation of organizational culture in the management system. Organizational culture is characterized by the role of an informal institution for the development and regulation of human relations in the management system. The set of values, in</w:t>
      </w:r>
      <w:r>
        <w:rPr>
          <w:rFonts w:ascii="Times New Roman" w:eastAsia="Times New Roman" w:hAnsi="Times New Roman" w:cs="Times New Roman"/>
          <w:sz w:val="28"/>
        </w:rPr>
        <w:t xml:space="preserve">formal rules that make up an organizational culture is usually not openly expressed and documented, but it constitutes unspecified norms of behavior. The organizational culture cannot change quickly, since its formation occurs gradually and corresponds to </w:t>
      </w:r>
      <w:r>
        <w:rPr>
          <w:rFonts w:ascii="Times New Roman" w:eastAsia="Times New Roman" w:hAnsi="Times New Roman" w:cs="Times New Roman"/>
          <w:sz w:val="28"/>
        </w:rPr>
        <w:t>the level of education of the bulk of the region's population, and its change requires certain material and intangible costs.</w:t>
      </w:r>
    </w:p>
    <w:p w:rsidR="0052701D" w:rsidRDefault="00D40929">
      <w:pPr>
        <w:spacing w:after="3" w:line="248" w:lineRule="auto"/>
        <w:ind w:right="4" w:firstLine="558"/>
        <w:jc w:val="both"/>
      </w:pPr>
      <w:r>
        <w:rPr>
          <w:rFonts w:ascii="Times New Roman" w:eastAsia="Times New Roman" w:hAnsi="Times New Roman" w:cs="Times New Roman"/>
          <w:sz w:val="28"/>
        </w:rPr>
        <w:t>Strategic professional development of managers and specialists of all levels involved in the management system of the region's eco</w:t>
      </w:r>
      <w:r>
        <w:rPr>
          <w:rFonts w:ascii="Times New Roman" w:eastAsia="Times New Roman" w:hAnsi="Times New Roman" w:cs="Times New Roman"/>
          <w:sz w:val="28"/>
        </w:rPr>
        <w:t xml:space="preserve">nomy. The concept of Human Resource Management is implemented on the basis of continuous training and retraining by increasing the competencies, cognition, dynamic abilities, creativity and job satisfaction of various categories of employees at all levels </w:t>
      </w:r>
      <w:r>
        <w:rPr>
          <w:rFonts w:ascii="Times New Roman" w:eastAsia="Times New Roman" w:hAnsi="Times New Roman" w:cs="Times New Roman"/>
          <w:sz w:val="28"/>
        </w:rPr>
        <w:t>and in all management structures. Its implementation requires material costs, which are subsequently justified by objective decisions within the framework of managing the region's economy.</w:t>
      </w:r>
    </w:p>
    <w:p w:rsidR="0052701D" w:rsidRDefault="00D40929">
      <w:pPr>
        <w:spacing w:after="3" w:line="248" w:lineRule="auto"/>
        <w:ind w:right="4" w:firstLine="558"/>
        <w:jc w:val="both"/>
      </w:pPr>
      <w:r>
        <w:rPr>
          <w:rFonts w:ascii="Times New Roman" w:eastAsia="Times New Roman" w:hAnsi="Times New Roman" w:cs="Times New Roman"/>
          <w:sz w:val="28"/>
        </w:rPr>
        <w:t>Improving the structure of regional management bodies by optimizing</w:t>
      </w:r>
      <w:r>
        <w:rPr>
          <w:rFonts w:ascii="Times New Roman" w:eastAsia="Times New Roman" w:hAnsi="Times New Roman" w:cs="Times New Roman"/>
          <w:sz w:val="28"/>
        </w:rPr>
        <w:t xml:space="preserve"> them. The organizational structure of regional management is the basis for the implementation of state functions, programs, projects and the achievement of the goals of the management system. In this regard, it is necessary to constantly assess the feasib</w:t>
      </w:r>
      <w:r>
        <w:rPr>
          <w:rFonts w:ascii="Times New Roman" w:eastAsia="Times New Roman" w:hAnsi="Times New Roman" w:cs="Times New Roman"/>
          <w:sz w:val="28"/>
        </w:rPr>
        <w:t>ility of changing the structure of regional authorities by monitoring the activities of each link and each performer. This structure of regional state bodies must meet the tasks to be solved, meet modern requirements, reflect the composition of the service</w:t>
      </w:r>
      <w:r>
        <w:rPr>
          <w:rFonts w:ascii="Times New Roman" w:eastAsia="Times New Roman" w:hAnsi="Times New Roman" w:cs="Times New Roman"/>
          <w:sz w:val="28"/>
        </w:rPr>
        <w:t xml:space="preserve"> and take into account the changing conditions of functioning and development. An analysis of the existing organizational structures of regional management showed that they are formed due to the influence of objective and subjective factors. The industry a</w:t>
      </w:r>
      <w:r>
        <w:rPr>
          <w:rFonts w:ascii="Times New Roman" w:eastAsia="Times New Roman" w:hAnsi="Times New Roman" w:cs="Times New Roman"/>
          <w:sz w:val="28"/>
        </w:rPr>
        <w:t>pproach to the construction and functioning of regional management bodies, which is prevailing today, does not meet the modern requirements of a market economy and requires a restructuring of the existing organizational structures for managing the region i</w:t>
      </w:r>
      <w:r>
        <w:rPr>
          <w:rFonts w:ascii="Times New Roman" w:eastAsia="Times New Roman" w:hAnsi="Times New Roman" w:cs="Times New Roman"/>
          <w:sz w:val="28"/>
        </w:rPr>
        <w:t>n all areas. However, the implementation of these transformations also affects the redistribution of powers between ministries and departments, so it is necessary to clearly outline the competencies and justify the changes being made.</w:t>
      </w:r>
    </w:p>
    <w:p w:rsidR="0052701D" w:rsidRDefault="00D40929">
      <w:pPr>
        <w:spacing w:after="3" w:line="248" w:lineRule="auto"/>
        <w:ind w:right="4" w:firstLine="558"/>
        <w:jc w:val="both"/>
      </w:pPr>
      <w:r>
        <w:rPr>
          <w:rFonts w:ascii="Times New Roman" w:eastAsia="Times New Roman" w:hAnsi="Times New Roman" w:cs="Times New Roman"/>
          <w:sz w:val="28"/>
        </w:rPr>
        <w:t>Formation of an insti</w:t>
      </w:r>
      <w:r>
        <w:rPr>
          <w:rFonts w:ascii="Times New Roman" w:eastAsia="Times New Roman" w:hAnsi="Times New Roman" w:cs="Times New Roman"/>
          <w:sz w:val="28"/>
        </w:rPr>
        <w:t xml:space="preserve">tutional environment for regional development. The modern institutional environment should provide: creating favorable competitive conditions on </w:t>
      </w:r>
      <w:r>
        <w:rPr>
          <w:rFonts w:ascii="Times New Roman" w:eastAsia="Times New Roman" w:hAnsi="Times New Roman" w:cs="Times New Roman"/>
          <w:sz w:val="28"/>
        </w:rPr>
        <w:lastRenderedPageBreak/>
        <w:t xml:space="preserve">which the growth of business activity of economic entities depends; creating entrepreneurial resources for the </w:t>
      </w:r>
      <w:r>
        <w:rPr>
          <w:rFonts w:ascii="Times New Roman" w:eastAsia="Times New Roman" w:hAnsi="Times New Roman" w:cs="Times New Roman"/>
          <w:sz w:val="28"/>
        </w:rPr>
        <w:t>emergence of new companies; developing the land market; creating an effective system of financial and insurance institutions; the effectiveness of state and local government; forming civil society; exercising public control over the activities of state bod</w:t>
      </w:r>
      <w:r>
        <w:rPr>
          <w:rFonts w:ascii="Times New Roman" w:eastAsia="Times New Roman" w:hAnsi="Times New Roman" w:cs="Times New Roman"/>
          <w:sz w:val="28"/>
        </w:rPr>
        <w:t>ies and business entities; reducing the level of corruption and increasing confidence in the government and its policies.</w:t>
      </w:r>
    </w:p>
    <w:p w:rsidR="0052701D" w:rsidRDefault="00D40929">
      <w:pPr>
        <w:spacing w:after="3" w:line="248" w:lineRule="auto"/>
        <w:ind w:right="4" w:firstLine="558"/>
        <w:jc w:val="both"/>
      </w:pPr>
      <w:r>
        <w:rPr>
          <w:rFonts w:ascii="Times New Roman" w:eastAsia="Times New Roman" w:hAnsi="Times New Roman" w:cs="Times New Roman"/>
          <w:sz w:val="28"/>
        </w:rPr>
        <w:t>On this basis, there was a need to create new regional economic institutions. The formation of a modern system of economic institution</w:t>
      </w:r>
      <w:r>
        <w:rPr>
          <w:rFonts w:ascii="Times New Roman" w:eastAsia="Times New Roman" w:hAnsi="Times New Roman" w:cs="Times New Roman"/>
          <w:sz w:val="28"/>
        </w:rPr>
        <w:t>s involves the following measures: stimulating competition in all regional markets in order to produce competitive goods and services at the national and international levels; developing market infrastructure, the quality of which determines the activities</w:t>
      </w:r>
      <w:r>
        <w:rPr>
          <w:rFonts w:ascii="Times New Roman" w:eastAsia="Times New Roman" w:hAnsi="Times New Roman" w:cs="Times New Roman"/>
          <w:sz w:val="28"/>
        </w:rPr>
        <w:t xml:space="preserve"> of economic entities; activating innovations aimed at reducing management costs and improving its quality; increase in investments for the implementation of large projects not only of economic, but also social importance; assistance in the development of </w:t>
      </w:r>
      <w:r>
        <w:rPr>
          <w:rFonts w:ascii="Times New Roman" w:eastAsia="Times New Roman" w:hAnsi="Times New Roman" w:cs="Times New Roman"/>
          <w:sz w:val="28"/>
        </w:rPr>
        <w:t>entrepreneurship; effective interaction between the state, local authorities, the population, Business, public structures.</w:t>
      </w:r>
    </w:p>
    <w:p w:rsidR="0052701D" w:rsidRDefault="00D40929">
      <w:pPr>
        <w:spacing w:after="3" w:line="248" w:lineRule="auto"/>
        <w:ind w:right="4" w:firstLine="558"/>
        <w:jc w:val="both"/>
      </w:pPr>
      <w:r>
        <w:rPr>
          <w:rFonts w:ascii="Times New Roman" w:eastAsia="Times New Roman" w:hAnsi="Times New Roman" w:cs="Times New Roman"/>
          <w:sz w:val="28"/>
        </w:rPr>
        <w:t>The conceptual model of the regional economic management system should correspond to the balance of the formal and informal institutional environment, which plays the role of the internal corporate culture of the Region [6].</w:t>
      </w:r>
    </w:p>
    <w:p w:rsidR="0052701D" w:rsidRDefault="00D40929">
      <w:pPr>
        <w:spacing w:after="3" w:line="248" w:lineRule="auto"/>
        <w:ind w:right="4" w:firstLine="558"/>
        <w:jc w:val="both"/>
      </w:pPr>
      <w:r>
        <w:rPr>
          <w:rFonts w:ascii="Times New Roman" w:eastAsia="Times New Roman" w:hAnsi="Times New Roman" w:cs="Times New Roman"/>
          <w:sz w:val="28"/>
        </w:rPr>
        <w:t>A constituent element of the re</w:t>
      </w:r>
      <w:r>
        <w:rPr>
          <w:rFonts w:ascii="Times New Roman" w:eastAsia="Times New Roman" w:hAnsi="Times New Roman" w:cs="Times New Roman"/>
          <w:sz w:val="28"/>
        </w:rPr>
        <w:t>gional economic management system is a management mechanism, that is, a subsystem that can determine the regularity and General Order of regional management processes. The functioning and development of this subsystem is determined by a number of market re</w:t>
      </w:r>
      <w:r>
        <w:rPr>
          <w:rFonts w:ascii="Times New Roman" w:eastAsia="Times New Roman" w:hAnsi="Times New Roman" w:cs="Times New Roman"/>
          <w:sz w:val="28"/>
        </w:rPr>
        <w:t xml:space="preserve">quirements, specific conditions and needs for the implementation of the life of the regional community. The implementation of this mechanism should be regulated by regional authorities and clearly reflected in the strategy of socio-economic development of </w:t>
      </w:r>
      <w:r>
        <w:rPr>
          <w:rFonts w:ascii="Times New Roman" w:eastAsia="Times New Roman" w:hAnsi="Times New Roman" w:cs="Times New Roman"/>
          <w:sz w:val="28"/>
        </w:rPr>
        <w:t xml:space="preserve">the region.  </w:t>
      </w:r>
    </w:p>
    <w:p w:rsidR="0052701D" w:rsidRDefault="00D40929">
      <w:pPr>
        <w:spacing w:after="39" w:line="248" w:lineRule="auto"/>
        <w:ind w:right="4" w:firstLine="558"/>
        <w:jc w:val="both"/>
      </w:pPr>
      <w:r>
        <w:rPr>
          <w:rFonts w:ascii="Times New Roman" w:eastAsia="Times New Roman" w:hAnsi="Times New Roman" w:cs="Times New Roman"/>
          <w:sz w:val="28"/>
        </w:rPr>
        <w:t>Within the framework of the mechanism, legal and economic components of improving the quality of life of the population should be implemented. What this mechanism will be depends on the originality of the region. Zhetysay district is characterized by the c</w:t>
      </w:r>
      <w:r>
        <w:rPr>
          <w:rFonts w:ascii="Times New Roman" w:eastAsia="Times New Roman" w:hAnsi="Times New Roman" w:cs="Times New Roman"/>
          <w:sz w:val="28"/>
        </w:rPr>
        <w:t>reation of a mechanism for transforming the regional market infrastructure, which is a subsystem of the national market infrastructure, on the one hand, and the regional economy, on the other. In addition, the regional market infrastructure is characterize</w:t>
      </w:r>
      <w:r>
        <w:rPr>
          <w:rFonts w:ascii="Times New Roman" w:eastAsia="Times New Roman" w:hAnsi="Times New Roman" w:cs="Times New Roman"/>
          <w:sz w:val="28"/>
        </w:rPr>
        <w:t>d by the presence of many components: organizations that differ in the diversity of industry subordination, types of activities, forms of ownership, organizational structures, sizes and names. At the same time, these organizations merge:</w:t>
      </w:r>
    </w:p>
    <w:p w:rsidR="0052701D" w:rsidRDefault="00D40929">
      <w:pPr>
        <w:spacing w:after="3" w:line="248" w:lineRule="auto"/>
        <w:ind w:left="553" w:right="4"/>
        <w:jc w:val="both"/>
      </w:pPr>
      <w:r>
        <w:rPr>
          <w:rFonts w:ascii="Segoe UI Symbol" w:eastAsia="Segoe UI Symbol" w:hAnsi="Segoe UI Symbol" w:cs="Segoe UI Symbol"/>
          <w:sz w:val="28"/>
        </w:rPr>
        <w:t>-</w:t>
      </w:r>
      <w:r>
        <w:rPr>
          <w:rFonts w:ascii="Times New Roman" w:eastAsia="Times New Roman" w:hAnsi="Times New Roman" w:cs="Times New Roman"/>
          <w:sz w:val="28"/>
        </w:rPr>
        <w:t>unit of purpose o</w:t>
      </w:r>
      <w:r>
        <w:rPr>
          <w:rFonts w:ascii="Times New Roman" w:eastAsia="Times New Roman" w:hAnsi="Times New Roman" w:cs="Times New Roman"/>
          <w:sz w:val="28"/>
        </w:rPr>
        <w:t>f the service product-specific services;</w:t>
      </w:r>
    </w:p>
    <w:p w:rsidR="0052701D" w:rsidRDefault="00D40929">
      <w:pPr>
        <w:spacing w:after="3" w:line="248" w:lineRule="auto"/>
        <w:ind w:left="553" w:right="4"/>
        <w:jc w:val="both"/>
      </w:pPr>
      <w:r>
        <w:rPr>
          <w:rFonts w:ascii="Segoe UI Symbol" w:eastAsia="Segoe UI Symbol" w:hAnsi="Segoe UI Symbol" w:cs="Segoe UI Symbol"/>
          <w:sz w:val="28"/>
        </w:rPr>
        <w:t>-</w:t>
      </w:r>
      <w:r>
        <w:rPr>
          <w:rFonts w:ascii="Times New Roman" w:eastAsia="Times New Roman" w:hAnsi="Times New Roman" w:cs="Times New Roman"/>
          <w:sz w:val="28"/>
        </w:rPr>
        <w:t>component of the service-contacts with consumers of services;</w:t>
      </w:r>
    </w:p>
    <w:p w:rsidR="0052701D" w:rsidRDefault="00D40929">
      <w:pPr>
        <w:spacing w:after="12" w:line="249" w:lineRule="auto"/>
        <w:ind w:left="563" w:right="-7" w:hanging="10"/>
        <w:jc w:val="right"/>
      </w:pPr>
      <w:r>
        <w:rPr>
          <w:rFonts w:ascii="Segoe UI Symbol" w:eastAsia="Segoe UI Symbol" w:hAnsi="Segoe UI Symbol" w:cs="Segoe UI Symbol"/>
          <w:sz w:val="28"/>
        </w:rPr>
        <w:t>-</w:t>
      </w:r>
      <w:r>
        <w:rPr>
          <w:rFonts w:ascii="Times New Roman" w:eastAsia="Times New Roman" w:hAnsi="Times New Roman" w:cs="Times New Roman"/>
          <w:sz w:val="28"/>
        </w:rPr>
        <w:t>the actual composition of personnel related to the provision of entrepreneurial</w:t>
      </w:r>
    </w:p>
    <w:p w:rsidR="0052701D" w:rsidRDefault="00D40929">
      <w:pPr>
        <w:spacing w:after="35" w:line="248" w:lineRule="auto"/>
        <w:ind w:right="4"/>
        <w:jc w:val="both"/>
      </w:pPr>
      <w:r>
        <w:rPr>
          <w:rFonts w:ascii="Times New Roman" w:eastAsia="Times New Roman" w:hAnsi="Times New Roman" w:cs="Times New Roman"/>
          <w:sz w:val="28"/>
        </w:rPr>
        <w:t>activities;</w:t>
      </w:r>
    </w:p>
    <w:p w:rsidR="0052701D" w:rsidRDefault="00D40929">
      <w:pPr>
        <w:spacing w:after="3" w:line="248" w:lineRule="auto"/>
        <w:ind w:left="553" w:right="4"/>
        <w:jc w:val="both"/>
      </w:pPr>
      <w:r>
        <w:rPr>
          <w:rFonts w:ascii="Segoe UI Symbol" w:eastAsia="Segoe UI Symbol" w:hAnsi="Segoe UI Symbol" w:cs="Segoe UI Symbol"/>
          <w:sz w:val="28"/>
        </w:rPr>
        <w:t>-</w:t>
      </w:r>
      <w:r>
        <w:rPr>
          <w:rFonts w:ascii="Times New Roman" w:eastAsia="Times New Roman" w:hAnsi="Times New Roman" w:cs="Times New Roman"/>
          <w:sz w:val="28"/>
        </w:rPr>
        <w:t>homogeneity of the resources used;</w:t>
      </w:r>
    </w:p>
    <w:p w:rsidR="0052701D" w:rsidRDefault="00D40929">
      <w:pPr>
        <w:spacing w:after="3" w:line="248" w:lineRule="auto"/>
        <w:ind w:left="553" w:right="3161"/>
        <w:jc w:val="both"/>
      </w:pPr>
      <w:r>
        <w:rPr>
          <w:rFonts w:ascii="Segoe UI Symbol" w:eastAsia="Segoe UI Symbol" w:hAnsi="Segoe UI Symbol" w:cs="Segoe UI Symbol"/>
          <w:sz w:val="28"/>
        </w:rPr>
        <w:t>-</w:t>
      </w:r>
      <w:r>
        <w:rPr>
          <w:rFonts w:ascii="Times New Roman" w:eastAsia="Times New Roman" w:hAnsi="Times New Roman" w:cs="Times New Roman"/>
          <w:sz w:val="28"/>
        </w:rPr>
        <w:t>a sufficiently high sp</w:t>
      </w:r>
      <w:r>
        <w:rPr>
          <w:rFonts w:ascii="Times New Roman" w:eastAsia="Times New Roman" w:hAnsi="Times New Roman" w:cs="Times New Roman"/>
          <w:sz w:val="28"/>
        </w:rPr>
        <w:t xml:space="preserve">eed of resource turnover; </w:t>
      </w:r>
      <w:r>
        <w:rPr>
          <w:rFonts w:ascii="Segoe UI Symbol" w:eastAsia="Segoe UI Symbol" w:hAnsi="Segoe UI Symbol" w:cs="Segoe UI Symbol"/>
          <w:sz w:val="28"/>
        </w:rPr>
        <w:t>-</w:t>
      </w:r>
      <w:r>
        <w:rPr>
          <w:rFonts w:ascii="Times New Roman" w:eastAsia="Times New Roman" w:hAnsi="Times New Roman" w:cs="Times New Roman"/>
          <w:sz w:val="28"/>
        </w:rPr>
        <w:t>tendency to diversify services.</w:t>
      </w:r>
    </w:p>
    <w:p w:rsidR="0052701D" w:rsidRDefault="00D40929">
      <w:pPr>
        <w:spacing w:after="3" w:line="248" w:lineRule="auto"/>
        <w:ind w:right="4" w:firstLine="558"/>
        <w:jc w:val="both"/>
      </w:pPr>
      <w:r>
        <w:rPr>
          <w:rFonts w:ascii="Times New Roman" w:eastAsia="Times New Roman" w:hAnsi="Times New Roman" w:cs="Times New Roman"/>
          <w:sz w:val="28"/>
        </w:rPr>
        <w:t>The successful development of the regional economic management system depends on the internal organizational and economic integration of the regions themselves [4]. The conceptual model of the regi</w:t>
      </w:r>
      <w:r>
        <w:rPr>
          <w:rFonts w:ascii="Times New Roman" w:eastAsia="Times New Roman" w:hAnsi="Times New Roman" w:cs="Times New Roman"/>
          <w:sz w:val="28"/>
        </w:rPr>
        <w:t xml:space="preserve">onal economic management system (Figure 2) is determined </w:t>
      </w:r>
      <w:r>
        <w:rPr>
          <w:rFonts w:ascii="Times New Roman" w:eastAsia="Times New Roman" w:hAnsi="Times New Roman" w:cs="Times New Roman"/>
          <w:sz w:val="28"/>
        </w:rPr>
        <w:lastRenderedPageBreak/>
        <w:t>by the totality of its components and the presence of interrelationships in the regional management system. It presents the constituent elements that occupy the main places in managing the socio-econ</w:t>
      </w:r>
      <w:r>
        <w:rPr>
          <w:rFonts w:ascii="Times New Roman" w:eastAsia="Times New Roman" w:hAnsi="Times New Roman" w:cs="Times New Roman"/>
          <w:sz w:val="28"/>
        </w:rPr>
        <w:t>omic development of the region: organizational culture; competencies; control mechanisms. The model reflects the influence of external factors on the economic management system of the region: a changing economic situation; state socio-economic policy and s</w:t>
      </w:r>
      <w:r>
        <w:rPr>
          <w:rFonts w:ascii="Times New Roman" w:eastAsia="Times New Roman" w:hAnsi="Times New Roman" w:cs="Times New Roman"/>
          <w:sz w:val="28"/>
        </w:rPr>
        <w:t>tate regulation; experience of Kazakhstan and foreign management.</w:t>
      </w:r>
    </w:p>
    <w:p w:rsidR="0052701D" w:rsidRDefault="00D40929">
      <w:pPr>
        <w:spacing w:after="3" w:line="248" w:lineRule="auto"/>
        <w:ind w:right="4" w:firstLine="558"/>
        <w:jc w:val="both"/>
      </w:pPr>
      <w:r>
        <w:rPr>
          <w:rFonts w:ascii="Times New Roman" w:eastAsia="Times New Roman" w:hAnsi="Times New Roman" w:cs="Times New Roman"/>
          <w:sz w:val="28"/>
        </w:rPr>
        <w:t>This model reflects both the main objects of management and areas of influence, and most importantly, the ultimate goal, which is defined as ensuring high-quality conditions for the existenc</w:t>
      </w:r>
      <w:r>
        <w:rPr>
          <w:rFonts w:ascii="Times New Roman" w:eastAsia="Times New Roman" w:hAnsi="Times New Roman" w:cs="Times New Roman"/>
          <w:sz w:val="28"/>
        </w:rPr>
        <w:t>e of the entire regional community. The effectiveness of the implementation of the proposed model depends on the correct management actions and decisions made at all levels of management. When assessing the effectiveness of the socioeconomic development of</w:t>
      </w:r>
      <w:r>
        <w:rPr>
          <w:rFonts w:ascii="Times New Roman" w:eastAsia="Times New Roman" w:hAnsi="Times New Roman" w:cs="Times New Roman"/>
          <w:sz w:val="28"/>
        </w:rPr>
        <w:t xml:space="preserve"> the region, it is advisable to evaluate the economic and social components separately and only then study them together. Each region should strive to ensure that the implementation of any managerial decision will lead to the expected result, and the total</w:t>
      </w:r>
      <w:r>
        <w:rPr>
          <w:rFonts w:ascii="Times New Roman" w:eastAsia="Times New Roman" w:hAnsi="Times New Roman" w:cs="Times New Roman"/>
          <w:sz w:val="28"/>
        </w:rPr>
        <w:t>ity of such decisions should be aimed at economic growth in the region and improving the quality of life of the population.</w:t>
      </w:r>
    </w:p>
    <w:p w:rsidR="0052701D" w:rsidRDefault="00D40929">
      <w:pPr>
        <w:spacing w:after="0"/>
        <w:ind w:left="1609"/>
      </w:pPr>
      <w:r>
        <w:rPr>
          <w:noProof/>
        </w:rPr>
        <w:drawing>
          <wp:inline distT="0" distB="0" distL="0" distR="0">
            <wp:extent cx="4794250" cy="4065905"/>
            <wp:effectExtent l="0" t="0" r="0" b="0"/>
            <wp:docPr id="178754" name="Picture 178754"/>
            <wp:cNvGraphicFramePr/>
            <a:graphic xmlns:a="http://schemas.openxmlformats.org/drawingml/2006/main">
              <a:graphicData uri="http://schemas.openxmlformats.org/drawingml/2006/picture">
                <pic:pic xmlns:pic="http://schemas.openxmlformats.org/drawingml/2006/picture">
                  <pic:nvPicPr>
                    <pic:cNvPr id="178754" name="Picture 178754"/>
                    <pic:cNvPicPr/>
                  </pic:nvPicPr>
                  <pic:blipFill>
                    <a:blip r:embed="rId866"/>
                    <a:stretch>
                      <a:fillRect/>
                    </a:stretch>
                  </pic:blipFill>
                  <pic:spPr>
                    <a:xfrm>
                      <a:off x="0" y="0"/>
                      <a:ext cx="4794250" cy="4065905"/>
                    </a:xfrm>
                    <a:prstGeom prst="rect">
                      <a:avLst/>
                    </a:prstGeom>
                  </pic:spPr>
                </pic:pic>
              </a:graphicData>
            </a:graphic>
          </wp:inline>
        </w:drawing>
      </w:r>
    </w:p>
    <w:p w:rsidR="0052701D" w:rsidRDefault="00D40929">
      <w:pPr>
        <w:spacing w:after="0"/>
        <w:ind w:left="563" w:hanging="10"/>
      </w:pPr>
      <w:r>
        <w:rPr>
          <w:rFonts w:ascii="Times New Roman" w:eastAsia="Times New Roman" w:hAnsi="Times New Roman" w:cs="Times New Roman"/>
          <w:i/>
          <w:sz w:val="28"/>
        </w:rPr>
        <w:t xml:space="preserve">Note - the authors based on the source compile the image </w:t>
      </w:r>
    </w:p>
    <w:p w:rsidR="0052701D" w:rsidRDefault="00D40929">
      <w:pPr>
        <w:spacing w:after="3" w:line="248" w:lineRule="auto"/>
        <w:ind w:left="1206" w:right="4"/>
        <w:jc w:val="both"/>
      </w:pPr>
      <w:r>
        <w:rPr>
          <w:rFonts w:ascii="Times New Roman" w:eastAsia="Times New Roman" w:hAnsi="Times New Roman" w:cs="Times New Roman"/>
          <w:b/>
          <w:sz w:val="28"/>
        </w:rPr>
        <w:t xml:space="preserve">Figure 2 </w:t>
      </w:r>
      <w:r>
        <w:rPr>
          <w:rFonts w:ascii="Times New Roman" w:eastAsia="Times New Roman" w:hAnsi="Times New Roman" w:cs="Times New Roman"/>
          <w:sz w:val="28"/>
        </w:rPr>
        <w:t>Conceptual Model of the regional economic management system</w:t>
      </w:r>
    </w:p>
    <w:p w:rsidR="0052701D" w:rsidRDefault="00D40929">
      <w:pPr>
        <w:spacing w:after="3" w:line="248" w:lineRule="auto"/>
        <w:ind w:right="4" w:firstLine="558"/>
        <w:jc w:val="both"/>
      </w:pPr>
      <w:r>
        <w:rPr>
          <w:rFonts w:ascii="Times New Roman" w:eastAsia="Times New Roman" w:hAnsi="Times New Roman" w:cs="Times New Roman"/>
          <w:sz w:val="28"/>
        </w:rPr>
        <w:t>The organizational and economic mechanism for managing regional development is the main structural element of the developed model. The mechanism, guided by the socioeconomic policy and the specifics of the development of the relevant territory, reveals the</w:t>
      </w:r>
      <w:r>
        <w:rPr>
          <w:rFonts w:ascii="Times New Roman" w:eastAsia="Times New Roman" w:hAnsi="Times New Roman" w:cs="Times New Roman"/>
          <w:sz w:val="28"/>
        </w:rPr>
        <w:t xml:space="preserve"> processes of appropriate influence on the implementation and the tools used for this by the authorized bodies of the region's administration.</w:t>
      </w:r>
    </w:p>
    <w:p w:rsidR="0052701D" w:rsidRDefault="00D40929">
      <w:pPr>
        <w:spacing w:after="3" w:line="248" w:lineRule="auto"/>
        <w:ind w:right="4" w:firstLine="558"/>
        <w:jc w:val="both"/>
      </w:pPr>
      <w:r>
        <w:rPr>
          <w:rFonts w:ascii="Times New Roman" w:eastAsia="Times New Roman" w:hAnsi="Times New Roman" w:cs="Times New Roman"/>
          <w:b/>
          <w:sz w:val="28"/>
        </w:rPr>
        <w:t>Results and discussion.</w:t>
      </w:r>
      <w:r>
        <w:rPr>
          <w:rFonts w:ascii="Times New Roman" w:eastAsia="Times New Roman" w:hAnsi="Times New Roman" w:cs="Times New Roman"/>
          <w:sz w:val="28"/>
        </w:rPr>
        <w:t xml:space="preserve"> The regional development management mechanism should include the following blocks.</w:t>
      </w:r>
    </w:p>
    <w:p w:rsidR="0052701D" w:rsidRDefault="00D40929">
      <w:pPr>
        <w:spacing w:after="3" w:line="248" w:lineRule="auto"/>
        <w:ind w:right="4" w:firstLine="558"/>
        <w:jc w:val="both"/>
      </w:pPr>
      <w:r>
        <w:rPr>
          <w:rFonts w:ascii="Times New Roman" w:eastAsia="Times New Roman" w:hAnsi="Times New Roman" w:cs="Times New Roman"/>
          <w:sz w:val="28"/>
        </w:rPr>
        <w:lastRenderedPageBreak/>
        <w:t>The fi</w:t>
      </w:r>
      <w:r>
        <w:rPr>
          <w:rFonts w:ascii="Times New Roman" w:eastAsia="Times New Roman" w:hAnsi="Times New Roman" w:cs="Times New Roman"/>
          <w:sz w:val="28"/>
        </w:rPr>
        <w:t>rst block is tools of influence, which include implementation of planning the activities of state organizational structures; direct financing and investment of public sector enterprises; investment in the development of regional infrastructure; Organizatio</w:t>
      </w:r>
      <w:r>
        <w:rPr>
          <w:rFonts w:ascii="Times New Roman" w:eastAsia="Times New Roman" w:hAnsi="Times New Roman" w:cs="Times New Roman"/>
          <w:sz w:val="28"/>
        </w:rPr>
        <w:t>n of implementation of projects and programs, taking into account the specifics of the region; improvement of the regional management apparatus.</w:t>
      </w:r>
    </w:p>
    <w:p w:rsidR="0052701D" w:rsidRDefault="00D40929">
      <w:pPr>
        <w:spacing w:after="3" w:line="248" w:lineRule="auto"/>
        <w:ind w:right="4" w:firstLine="558"/>
        <w:jc w:val="both"/>
      </w:pPr>
      <w:r>
        <w:rPr>
          <w:rFonts w:ascii="Times New Roman" w:eastAsia="Times New Roman" w:hAnsi="Times New Roman" w:cs="Times New Roman"/>
          <w:sz w:val="28"/>
        </w:rPr>
        <w:t>The second block is the Coordination of activities and development processes of the region, carried out using s</w:t>
      </w:r>
      <w:r>
        <w:rPr>
          <w:rFonts w:ascii="Times New Roman" w:eastAsia="Times New Roman" w:hAnsi="Times New Roman" w:cs="Times New Roman"/>
          <w:sz w:val="28"/>
        </w:rPr>
        <w:t>pecific means of influence, which include: legal framework; development of forecasts, plans and programs for the development of Regions; selection and implementation of development strategies; clustering of economic activities; publicprivate partnership.</w:t>
      </w:r>
    </w:p>
    <w:p w:rsidR="0052701D" w:rsidRDefault="00D40929">
      <w:pPr>
        <w:spacing w:after="3" w:line="248" w:lineRule="auto"/>
        <w:ind w:right="4" w:firstLine="558"/>
        <w:jc w:val="both"/>
      </w:pPr>
      <w:r>
        <w:rPr>
          <w:rFonts w:ascii="Times New Roman" w:eastAsia="Times New Roman" w:hAnsi="Times New Roman" w:cs="Times New Roman"/>
          <w:sz w:val="28"/>
        </w:rPr>
        <w:t>T</w:t>
      </w:r>
      <w:r>
        <w:rPr>
          <w:rFonts w:ascii="Times New Roman" w:eastAsia="Times New Roman" w:hAnsi="Times New Roman" w:cs="Times New Roman"/>
          <w:sz w:val="28"/>
        </w:rPr>
        <w:t>he third block is processes aimed at stimulating the market, regulating and supporting economic agents in the region using established market instruments of influence.</w:t>
      </w:r>
    </w:p>
    <w:p w:rsidR="0052701D" w:rsidRDefault="00D40929">
      <w:pPr>
        <w:spacing w:after="3" w:line="248" w:lineRule="auto"/>
        <w:ind w:right="4" w:firstLine="558"/>
        <w:jc w:val="both"/>
      </w:pPr>
      <w:r>
        <w:rPr>
          <w:rFonts w:ascii="Times New Roman" w:eastAsia="Times New Roman" w:hAnsi="Times New Roman" w:cs="Times New Roman"/>
          <w:sz w:val="28"/>
        </w:rPr>
        <w:t>This model reflects the main objects of management and areas of influence, as well as th</w:t>
      </w:r>
      <w:r>
        <w:rPr>
          <w:rFonts w:ascii="Times New Roman" w:eastAsia="Times New Roman" w:hAnsi="Times New Roman" w:cs="Times New Roman"/>
          <w:sz w:val="28"/>
        </w:rPr>
        <w:t>e ultimate goal of ensuring high-quality living conditions for the entire regional community.</w:t>
      </w:r>
    </w:p>
    <w:p w:rsidR="0052701D" w:rsidRDefault="00D40929">
      <w:pPr>
        <w:spacing w:after="3" w:line="248" w:lineRule="auto"/>
        <w:ind w:right="4" w:firstLine="558"/>
        <w:jc w:val="both"/>
      </w:pPr>
      <w:r>
        <w:rPr>
          <w:rFonts w:ascii="Times New Roman" w:eastAsia="Times New Roman" w:hAnsi="Times New Roman" w:cs="Times New Roman"/>
          <w:sz w:val="28"/>
        </w:rPr>
        <w:t xml:space="preserve">Thus, the results of the study make a certain contribution to improving the theoretical and methodological foundations of managing the socio-economic development </w:t>
      </w:r>
      <w:r>
        <w:rPr>
          <w:rFonts w:ascii="Times New Roman" w:eastAsia="Times New Roman" w:hAnsi="Times New Roman" w:cs="Times New Roman"/>
          <w:sz w:val="28"/>
        </w:rPr>
        <w:t>of the region. The model defines only significantly expanded tools, each of which includes more detailed organizational, economic and financial elements, scientifically based use, which in fact increases the efficiency of managing the development of the te</w:t>
      </w:r>
      <w:r>
        <w:rPr>
          <w:rFonts w:ascii="Times New Roman" w:eastAsia="Times New Roman" w:hAnsi="Times New Roman" w:cs="Times New Roman"/>
          <w:sz w:val="28"/>
        </w:rPr>
        <w:t>rritory and ensures an increase in the quality of life of the population.</w:t>
      </w:r>
    </w:p>
    <w:p w:rsidR="0052701D" w:rsidRDefault="00D40929">
      <w:pPr>
        <w:spacing w:after="3" w:line="248" w:lineRule="auto"/>
        <w:ind w:right="4" w:firstLine="558"/>
        <w:jc w:val="both"/>
      </w:pPr>
      <w:r>
        <w:rPr>
          <w:rFonts w:ascii="Times New Roman" w:eastAsia="Times New Roman" w:hAnsi="Times New Roman" w:cs="Times New Roman"/>
          <w:b/>
          <w:sz w:val="28"/>
        </w:rPr>
        <w:t xml:space="preserve">Conclusion. </w:t>
      </w:r>
      <w:r>
        <w:rPr>
          <w:rFonts w:ascii="Times New Roman" w:eastAsia="Times New Roman" w:hAnsi="Times New Roman" w:cs="Times New Roman"/>
          <w:sz w:val="28"/>
        </w:rPr>
        <w:t>The process of managing the socio-economic development of the region is one of the main directions in regional policy. The practical activities of state bodies in managin</w:t>
      </w:r>
      <w:r>
        <w:rPr>
          <w:rFonts w:ascii="Times New Roman" w:eastAsia="Times New Roman" w:hAnsi="Times New Roman" w:cs="Times New Roman"/>
          <w:sz w:val="28"/>
        </w:rPr>
        <w:t xml:space="preserve">g the socio-economic development of the region develop a regional development strategy and are responsible for implementation. At the same time, the commitment of a long-term forecast of socio-economic development of the region within the framework of the </w:t>
      </w:r>
      <w:r>
        <w:rPr>
          <w:rFonts w:ascii="Times New Roman" w:eastAsia="Times New Roman" w:hAnsi="Times New Roman" w:cs="Times New Roman"/>
          <w:sz w:val="28"/>
        </w:rPr>
        <w:t>strategy and the main projects and programs formulated on the basis of this forecast lead to the achievement of the goal and the main planned indicators.</w:t>
      </w:r>
    </w:p>
    <w:p w:rsidR="0052701D" w:rsidRDefault="00D40929">
      <w:pPr>
        <w:spacing w:after="39" w:line="248" w:lineRule="auto"/>
        <w:ind w:right="4" w:firstLine="558"/>
        <w:jc w:val="both"/>
      </w:pPr>
      <w:r>
        <w:rPr>
          <w:rFonts w:ascii="Times New Roman" w:eastAsia="Times New Roman" w:hAnsi="Times New Roman" w:cs="Times New Roman"/>
          <w:sz w:val="28"/>
        </w:rPr>
        <w:t>The analysis of world experience made it possible to conclude that in modern conditions it is necessar</w:t>
      </w:r>
      <w:r>
        <w:rPr>
          <w:rFonts w:ascii="Times New Roman" w:eastAsia="Times New Roman" w:hAnsi="Times New Roman" w:cs="Times New Roman"/>
          <w:sz w:val="28"/>
        </w:rPr>
        <w:t>y to create an effectively functioning economic basis for effective management of the socio-economic development of the territory along with institutional prerequisites. Among the models that have proven themselves in foreign countries when performing thes</w:t>
      </w:r>
      <w:r>
        <w:rPr>
          <w:rFonts w:ascii="Times New Roman" w:eastAsia="Times New Roman" w:hAnsi="Times New Roman" w:cs="Times New Roman"/>
          <w:sz w:val="28"/>
        </w:rPr>
        <w:t>e tasks, the following stand out:</w:t>
      </w:r>
    </w:p>
    <w:p w:rsidR="0052701D" w:rsidRDefault="00D40929">
      <w:pPr>
        <w:spacing w:after="3" w:line="248" w:lineRule="auto"/>
        <w:ind w:left="553" w:right="4"/>
        <w:jc w:val="both"/>
      </w:pPr>
      <w:r>
        <w:rPr>
          <w:rFonts w:ascii="Segoe UI Symbol" w:eastAsia="Segoe UI Symbol" w:hAnsi="Segoe UI Symbol" w:cs="Segoe UI Symbol"/>
          <w:sz w:val="28"/>
        </w:rPr>
        <w:t>-</w:t>
      </w:r>
      <w:r>
        <w:rPr>
          <w:rFonts w:ascii="Times New Roman" w:eastAsia="Times New Roman" w:hAnsi="Times New Roman" w:cs="Times New Roman"/>
          <w:sz w:val="28"/>
        </w:rPr>
        <w:t>regional integration models;</w:t>
      </w:r>
    </w:p>
    <w:p w:rsidR="0052701D" w:rsidRDefault="00D40929">
      <w:pPr>
        <w:spacing w:after="3" w:line="248" w:lineRule="auto"/>
        <w:ind w:left="553" w:right="4"/>
        <w:jc w:val="both"/>
      </w:pPr>
      <w:r>
        <w:rPr>
          <w:rFonts w:ascii="Segoe UI Symbol" w:eastAsia="Segoe UI Symbol" w:hAnsi="Segoe UI Symbol" w:cs="Segoe UI Symbol"/>
          <w:sz w:val="28"/>
        </w:rPr>
        <w:t>-</w:t>
      </w:r>
      <w:r>
        <w:rPr>
          <w:rFonts w:ascii="Times New Roman" w:eastAsia="Times New Roman" w:hAnsi="Times New Roman" w:cs="Times New Roman"/>
          <w:sz w:val="28"/>
        </w:rPr>
        <w:t>innovative regional development models.</w:t>
      </w:r>
    </w:p>
    <w:p w:rsidR="0052701D" w:rsidRDefault="00D40929">
      <w:pPr>
        <w:spacing w:after="3" w:line="248" w:lineRule="auto"/>
        <w:ind w:right="4" w:firstLine="558"/>
        <w:jc w:val="both"/>
      </w:pPr>
      <w:r>
        <w:rPr>
          <w:rFonts w:ascii="Times New Roman" w:eastAsia="Times New Roman" w:hAnsi="Times New Roman" w:cs="Times New Roman"/>
          <w:sz w:val="28"/>
        </w:rPr>
        <w:t>The difficulty of using the models given above in Kazakhstan is explained by the fact that copying the experience of other countries does not lead to s</w:t>
      </w:r>
      <w:r>
        <w:rPr>
          <w:rFonts w:ascii="Times New Roman" w:eastAsia="Times New Roman" w:hAnsi="Times New Roman" w:cs="Times New Roman"/>
          <w:sz w:val="28"/>
        </w:rPr>
        <w:t>uch results in the country. As an example, despite the activation of the efforts of state bodies in the field of formation of regional innovation systems, the level of development of innovative active regions may still remain low. The reason for the diffic</w:t>
      </w:r>
      <w:r>
        <w:rPr>
          <w:rFonts w:ascii="Times New Roman" w:eastAsia="Times New Roman" w:hAnsi="Times New Roman" w:cs="Times New Roman"/>
          <w:sz w:val="28"/>
        </w:rPr>
        <w:t>ulty of using new institutions in our country lies in the lack of an established institutional environment that does not ensure the unity and integrity of the national economy.</w:t>
      </w:r>
    </w:p>
    <w:p w:rsidR="0052701D" w:rsidRDefault="00D40929">
      <w:pPr>
        <w:spacing w:after="3" w:line="248" w:lineRule="auto"/>
        <w:ind w:right="4" w:firstLine="558"/>
        <w:jc w:val="both"/>
      </w:pPr>
      <w:r>
        <w:rPr>
          <w:rFonts w:ascii="Times New Roman" w:eastAsia="Times New Roman" w:hAnsi="Times New Roman" w:cs="Times New Roman"/>
          <w:sz w:val="28"/>
        </w:rPr>
        <w:t>There are positive changes in the field of employment, but there are many unres</w:t>
      </w:r>
      <w:r>
        <w:rPr>
          <w:rFonts w:ascii="Times New Roman" w:eastAsia="Times New Roman" w:hAnsi="Times New Roman" w:cs="Times New Roman"/>
          <w:sz w:val="28"/>
        </w:rPr>
        <w:t xml:space="preserve">olved issues. In rural areas, there is a large number of jobs that are not covered, which is associated </w:t>
      </w:r>
      <w:r>
        <w:rPr>
          <w:rFonts w:ascii="Times New Roman" w:eastAsia="Times New Roman" w:hAnsi="Times New Roman" w:cs="Times New Roman"/>
          <w:sz w:val="28"/>
        </w:rPr>
        <w:lastRenderedPageBreak/>
        <w:t>with seasonality in agriculture, a large number of labor in the yard economy, low qualifications of the rural population, and the lack of work correspon</w:t>
      </w:r>
      <w:r>
        <w:rPr>
          <w:rFonts w:ascii="Times New Roman" w:eastAsia="Times New Roman" w:hAnsi="Times New Roman" w:cs="Times New Roman"/>
          <w:sz w:val="28"/>
        </w:rPr>
        <w:t>ding to the specialty.</w:t>
      </w:r>
    </w:p>
    <w:p w:rsidR="0052701D" w:rsidRDefault="00D40929">
      <w:pPr>
        <w:spacing w:after="3" w:line="248" w:lineRule="auto"/>
        <w:ind w:right="4" w:firstLine="558"/>
        <w:jc w:val="both"/>
      </w:pPr>
      <w:r>
        <w:rPr>
          <w:rFonts w:ascii="Times New Roman" w:eastAsia="Times New Roman" w:hAnsi="Times New Roman" w:cs="Times New Roman"/>
          <w:sz w:val="28"/>
        </w:rPr>
        <w:t>To reduce maternal mortality and infant mortality in the district, the rules of neontological care have been introduced, the material and technical base of organizations providing child and birth care is being strengthened, the degre</w:t>
      </w:r>
      <w:r>
        <w:rPr>
          <w:rFonts w:ascii="Times New Roman" w:eastAsia="Times New Roman" w:hAnsi="Times New Roman" w:cs="Times New Roman"/>
          <w:sz w:val="28"/>
        </w:rPr>
        <w:t>e of education of neontologists, pediatricians, obstetricians and genecologists of doctors is being increased.</w:t>
      </w:r>
    </w:p>
    <w:p w:rsidR="0052701D" w:rsidRDefault="00D40929">
      <w:pPr>
        <w:spacing w:after="202" w:line="248" w:lineRule="auto"/>
        <w:ind w:right="4" w:firstLine="558"/>
        <w:jc w:val="both"/>
      </w:pPr>
      <w:r>
        <w:rPr>
          <w:rFonts w:ascii="Times New Roman" w:eastAsia="Times New Roman" w:hAnsi="Times New Roman" w:cs="Times New Roman"/>
          <w:sz w:val="28"/>
        </w:rPr>
        <w:t>Balanced sustainable development in the context of the economic crisis is impossible without interrelated regulation through the improvement of e</w:t>
      </w:r>
      <w:r>
        <w:rPr>
          <w:rFonts w:ascii="Times New Roman" w:eastAsia="Times New Roman" w:hAnsi="Times New Roman" w:cs="Times New Roman"/>
          <w:sz w:val="28"/>
        </w:rPr>
        <w:t>xisting economic and legal mechanisms, natural-resource and industrial sectors, providing for integrated accounting of social, economic and environmental factors, optimization of consumer resources. The need to implement this approach is relevant for rural</w:t>
      </w:r>
      <w:r>
        <w:rPr>
          <w:rFonts w:ascii="Times New Roman" w:eastAsia="Times New Roman" w:hAnsi="Times New Roman" w:cs="Times New Roman"/>
          <w:sz w:val="28"/>
        </w:rPr>
        <w:t xml:space="preserve"> districts of Zhetysai district, since there is still an imbalance between the region's need for resources and the availability of available sources of resource replenishment, having the necessary resources.</w:t>
      </w:r>
    </w:p>
    <w:p w:rsidR="0052701D" w:rsidRDefault="00D40929">
      <w:pPr>
        <w:spacing w:after="252"/>
        <w:ind w:left="717" w:right="708" w:hanging="10"/>
        <w:jc w:val="center"/>
      </w:pPr>
      <w:r>
        <w:rPr>
          <w:rFonts w:ascii="Times New Roman" w:eastAsia="Times New Roman" w:hAnsi="Times New Roman" w:cs="Times New Roman"/>
          <w:b/>
          <w:sz w:val="24"/>
        </w:rPr>
        <w:t>Sources</w:t>
      </w:r>
    </w:p>
    <w:p w:rsidR="0052701D" w:rsidRDefault="00D40929">
      <w:pPr>
        <w:numPr>
          <w:ilvl w:val="0"/>
          <w:numId w:val="154"/>
        </w:numPr>
        <w:spacing w:after="3" w:line="249" w:lineRule="auto"/>
        <w:ind w:right="1" w:firstLine="568"/>
        <w:jc w:val="both"/>
      </w:pPr>
      <w:r>
        <w:rPr>
          <w:rFonts w:ascii="Times New Roman" w:eastAsia="Times New Roman" w:hAnsi="Times New Roman" w:cs="Times New Roman"/>
          <w:sz w:val="24"/>
        </w:rPr>
        <w:t xml:space="preserve">Прядкина Н. Н. Аймақтық менеджмент </w:t>
      </w:r>
      <w:r>
        <w:rPr>
          <w:rFonts w:ascii="Times New Roman" w:eastAsia="Times New Roman" w:hAnsi="Times New Roman" w:cs="Times New Roman"/>
          <w:sz w:val="24"/>
        </w:rPr>
        <w:t>әлеуметтік — экономикалық процестерді басқарудың негізі ретінде // «ХХІ ғасырдағы басқару» VI Халықаралық ғылыми-практикалық конференциясы. – 2019.– Б.232-235.</w:t>
      </w:r>
    </w:p>
    <w:p w:rsidR="0052701D" w:rsidRDefault="00D40929">
      <w:pPr>
        <w:numPr>
          <w:ilvl w:val="0"/>
          <w:numId w:val="154"/>
        </w:numPr>
        <w:spacing w:after="3" w:line="249" w:lineRule="auto"/>
        <w:ind w:right="1" w:firstLine="568"/>
        <w:jc w:val="both"/>
      </w:pPr>
      <w:r>
        <w:rPr>
          <w:rFonts w:ascii="Times New Roman" w:eastAsia="Times New Roman" w:hAnsi="Times New Roman" w:cs="Times New Roman"/>
          <w:sz w:val="24"/>
        </w:rPr>
        <w:t xml:space="preserve">Пушкаренко А. Б. Аймақтық инновациялық жүйе: ғылыми әзірлемелерді коммерцияландыру шарттары// / </w:t>
      </w:r>
      <w:r>
        <w:rPr>
          <w:rFonts w:ascii="Times New Roman" w:eastAsia="Times New Roman" w:hAnsi="Times New Roman" w:cs="Times New Roman"/>
          <w:sz w:val="24"/>
        </w:rPr>
        <w:t>/ ЭКО. - 2019. -№2.-Б.114-119.</w:t>
      </w:r>
    </w:p>
    <w:p w:rsidR="0052701D" w:rsidRDefault="00D40929">
      <w:pPr>
        <w:numPr>
          <w:ilvl w:val="0"/>
          <w:numId w:val="154"/>
        </w:numPr>
        <w:spacing w:after="0"/>
        <w:ind w:right="1" w:firstLine="568"/>
        <w:jc w:val="both"/>
      </w:pPr>
      <w:r>
        <w:rPr>
          <w:rFonts w:ascii="Times New Roman" w:eastAsia="Times New Roman" w:hAnsi="Times New Roman" w:cs="Times New Roman"/>
          <w:sz w:val="24"/>
        </w:rPr>
        <w:t>Methodology Report on European Innovation Scoreboard 2015. - URL:</w:t>
      </w:r>
    </w:p>
    <w:p w:rsidR="0052701D" w:rsidRDefault="00D40929">
      <w:pPr>
        <w:spacing w:after="0"/>
      </w:pPr>
      <w:hyperlink r:id="rId867">
        <w:r>
          <w:rPr>
            <w:rFonts w:ascii="Times New Roman" w:eastAsia="Times New Roman" w:hAnsi="Times New Roman" w:cs="Times New Roman"/>
            <w:color w:val="0563C1"/>
            <w:sz w:val="24"/>
            <w:u w:val="single" w:color="0563C1"/>
          </w:rPr>
          <w:t>http://trendchart.cordis.Iu/scoreboard2015/index.cfin</w:t>
        </w:r>
      </w:hyperlink>
      <w:r>
        <w:rPr>
          <w:rFonts w:ascii="Times New Roman" w:eastAsia="Times New Roman" w:hAnsi="Times New Roman" w:cs="Times New Roman"/>
          <w:sz w:val="24"/>
        </w:rPr>
        <w:t>. (өтініш берілген күн: 13.07.202</w:t>
      </w:r>
      <w:r>
        <w:rPr>
          <w:rFonts w:ascii="Times New Roman" w:eastAsia="Times New Roman" w:hAnsi="Times New Roman" w:cs="Times New Roman"/>
          <w:sz w:val="24"/>
        </w:rPr>
        <w:t>2)</w:t>
      </w:r>
    </w:p>
    <w:p w:rsidR="0052701D" w:rsidRDefault="00D40929">
      <w:pPr>
        <w:numPr>
          <w:ilvl w:val="0"/>
          <w:numId w:val="154"/>
        </w:numPr>
        <w:spacing w:after="3" w:line="249" w:lineRule="auto"/>
        <w:ind w:right="1" w:firstLine="568"/>
        <w:jc w:val="both"/>
      </w:pPr>
      <w:r>
        <w:rPr>
          <w:rFonts w:ascii="Times New Roman" w:eastAsia="Times New Roman" w:hAnsi="Times New Roman" w:cs="Times New Roman"/>
          <w:sz w:val="24"/>
        </w:rPr>
        <w:t>Enright, M.J. Survey on the Characterization of Regional Clusters: Initial Results. WorkingPaper, Institute of Economic Policy and Business Strategy: Compe¬titions. Program, University of Hong Kong. - 2020. - 27 p.</w:t>
      </w:r>
    </w:p>
    <w:p w:rsidR="0052701D" w:rsidRDefault="00D40929">
      <w:pPr>
        <w:numPr>
          <w:ilvl w:val="0"/>
          <w:numId w:val="154"/>
        </w:numPr>
        <w:spacing w:after="3" w:line="249" w:lineRule="auto"/>
        <w:ind w:right="1" w:firstLine="568"/>
        <w:jc w:val="both"/>
      </w:pPr>
      <w:r>
        <w:rPr>
          <w:rFonts w:ascii="Times New Roman" w:eastAsia="Times New Roman" w:hAnsi="Times New Roman" w:cs="Times New Roman"/>
          <w:sz w:val="24"/>
        </w:rPr>
        <w:t>Раевский В. В. Аймақ экономикасының да</w:t>
      </w:r>
      <w:r>
        <w:rPr>
          <w:rFonts w:ascii="Times New Roman" w:eastAsia="Times New Roman" w:hAnsi="Times New Roman" w:cs="Times New Roman"/>
          <w:sz w:val="24"/>
        </w:rPr>
        <w:t>муын тұрақтандыру мәселелері. / Оқу құралы. Хабаровск: ДВАГС, 2019. - 188 б.</w:t>
      </w:r>
    </w:p>
    <w:p w:rsidR="0052701D" w:rsidRDefault="00D40929">
      <w:pPr>
        <w:numPr>
          <w:ilvl w:val="0"/>
          <w:numId w:val="154"/>
        </w:numPr>
        <w:spacing w:after="3" w:line="249" w:lineRule="auto"/>
        <w:ind w:right="1" w:firstLine="568"/>
        <w:jc w:val="both"/>
      </w:pPr>
      <w:r>
        <w:rPr>
          <w:rFonts w:ascii="Times New Roman" w:eastAsia="Times New Roman" w:hAnsi="Times New Roman" w:cs="Times New Roman"/>
          <w:sz w:val="24"/>
        </w:rPr>
        <w:t>Қажымұрат К. / Таңдамалы ғылыми еңбектер. Алматы: Қазақстан даму институты, 2018. 360 б.</w:t>
      </w:r>
    </w:p>
    <w:p w:rsidR="0052701D" w:rsidRDefault="00D40929">
      <w:pPr>
        <w:numPr>
          <w:ilvl w:val="0"/>
          <w:numId w:val="154"/>
        </w:numPr>
        <w:spacing w:after="3" w:line="249" w:lineRule="auto"/>
        <w:ind w:right="1" w:firstLine="568"/>
        <w:jc w:val="both"/>
      </w:pPr>
      <w:r>
        <w:rPr>
          <w:rFonts w:ascii="Times New Roman" w:eastAsia="Times New Roman" w:hAnsi="Times New Roman" w:cs="Times New Roman"/>
          <w:sz w:val="24"/>
        </w:rPr>
        <w:t>Нурланова Н.К. Қазақстанның тұрақты дамуының аймақтық парадигмасы: теория жәнепрактика мәс</w:t>
      </w:r>
      <w:r>
        <w:rPr>
          <w:rFonts w:ascii="Times New Roman" w:eastAsia="Times New Roman" w:hAnsi="Times New Roman" w:cs="Times New Roman"/>
          <w:sz w:val="24"/>
        </w:rPr>
        <w:t>елелері. Алматы: ҚР БҒМ ҒК Экономика институты, 2017. 338 Б.</w:t>
      </w:r>
    </w:p>
    <w:p w:rsidR="0052701D" w:rsidRDefault="00D40929">
      <w:pPr>
        <w:numPr>
          <w:ilvl w:val="0"/>
          <w:numId w:val="154"/>
        </w:numPr>
        <w:spacing w:after="3" w:line="249" w:lineRule="auto"/>
        <w:ind w:right="1" w:firstLine="568"/>
        <w:jc w:val="both"/>
      </w:pPr>
      <w:r>
        <w:rPr>
          <w:rFonts w:ascii="Times New Roman" w:eastAsia="Times New Roman" w:hAnsi="Times New Roman" w:cs="Times New Roman"/>
          <w:sz w:val="24"/>
        </w:rPr>
        <w:t>Enright, M.J. Survey on the Characterization of Regional Clusters: Initial Results. WorkingPaper, Institute of Economic Policy and Business Strategy: Compe¬titions. Program, University of Hong Ko</w:t>
      </w:r>
      <w:r>
        <w:rPr>
          <w:rFonts w:ascii="Times New Roman" w:eastAsia="Times New Roman" w:hAnsi="Times New Roman" w:cs="Times New Roman"/>
          <w:sz w:val="24"/>
        </w:rPr>
        <w:t>ng. - 2020. - 27 p.</w:t>
      </w:r>
    </w:p>
    <w:p w:rsidR="0052701D" w:rsidRDefault="00D40929">
      <w:pPr>
        <w:numPr>
          <w:ilvl w:val="0"/>
          <w:numId w:val="154"/>
        </w:numPr>
        <w:spacing w:after="3" w:line="249" w:lineRule="auto"/>
        <w:ind w:right="1" w:firstLine="568"/>
        <w:jc w:val="both"/>
      </w:pPr>
      <w:r>
        <w:rPr>
          <w:rFonts w:ascii="Times New Roman" w:eastAsia="Times New Roman" w:hAnsi="Times New Roman" w:cs="Times New Roman"/>
          <w:sz w:val="24"/>
        </w:rPr>
        <w:t>Большаков С.Н. Аймақтық дамуды стратегиялық жоспарлауға кейбір тәсілдер туралы // Экономиканы қайта құрудың аймақтық мәселелері. - №4. - 2020. - Б.25-31.</w:t>
      </w:r>
    </w:p>
    <w:p w:rsidR="0052701D" w:rsidRDefault="00D40929">
      <w:pPr>
        <w:numPr>
          <w:ilvl w:val="0"/>
          <w:numId w:val="154"/>
        </w:numPr>
        <w:spacing w:after="3" w:line="249" w:lineRule="auto"/>
        <w:ind w:right="1" w:firstLine="568"/>
        <w:jc w:val="both"/>
      </w:pPr>
      <w:r>
        <w:rPr>
          <w:rFonts w:ascii="Times New Roman" w:eastAsia="Times New Roman" w:hAnsi="Times New Roman" w:cs="Times New Roman"/>
          <w:sz w:val="24"/>
        </w:rPr>
        <w:t>Ансофф И. Стратегиялық басқару/ Оқу құралы - М.: Экономика, 2019.- Б.478.</w:t>
      </w:r>
    </w:p>
    <w:p w:rsidR="0052701D" w:rsidRDefault="00D40929">
      <w:pPr>
        <w:numPr>
          <w:ilvl w:val="0"/>
          <w:numId w:val="154"/>
        </w:numPr>
        <w:spacing w:after="3" w:line="249" w:lineRule="auto"/>
        <w:ind w:right="1" w:firstLine="568"/>
        <w:jc w:val="both"/>
      </w:pPr>
      <w:r>
        <w:rPr>
          <w:rFonts w:ascii="Times New Roman" w:eastAsia="Times New Roman" w:hAnsi="Times New Roman" w:cs="Times New Roman"/>
          <w:sz w:val="24"/>
        </w:rPr>
        <w:t>Ишаев В.</w:t>
      </w:r>
      <w:r>
        <w:rPr>
          <w:rFonts w:ascii="Times New Roman" w:eastAsia="Times New Roman" w:hAnsi="Times New Roman" w:cs="Times New Roman"/>
          <w:sz w:val="24"/>
        </w:rPr>
        <w:t xml:space="preserve"> Л. Ресейдің әлеуметтік-экономикалық даму стратегиясының негізгіпринциптері/ Болжау теориясы мен практикасы мәселелері. - 2018. - № 5. - Б.31-36.</w:t>
      </w:r>
    </w:p>
    <w:p w:rsidR="0052701D" w:rsidRDefault="00D40929">
      <w:pPr>
        <w:numPr>
          <w:ilvl w:val="0"/>
          <w:numId w:val="154"/>
        </w:numPr>
        <w:spacing w:after="3" w:line="249" w:lineRule="auto"/>
        <w:ind w:right="1" w:firstLine="568"/>
        <w:jc w:val="both"/>
      </w:pPr>
      <w:r>
        <w:rPr>
          <w:rFonts w:ascii="Times New Roman" w:eastAsia="Times New Roman" w:hAnsi="Times New Roman" w:cs="Times New Roman"/>
          <w:sz w:val="24"/>
        </w:rPr>
        <w:t>Лексин В. Н. Ресейдегі мемлекеттік аймақтық саясат// Ресейдің экономикалық жәнеэкономикалық саясатын модерниза</w:t>
      </w:r>
      <w:r>
        <w:rPr>
          <w:rFonts w:ascii="Times New Roman" w:eastAsia="Times New Roman" w:hAnsi="Times New Roman" w:cs="Times New Roman"/>
          <w:sz w:val="24"/>
        </w:rPr>
        <w:t>циялауды дамыту мен жүзеге асырудың проблемалары, жағдайы және мүмкіндіктері. Ресей Федерациясының экономикалық доктринасы: Бүкілресейлік материалдар. ғылыми.-экон. жиналыс, 19-20 қазан, Мәскеу. - М.: Ғылыми сарапшы, 2018. - Б.182201.</w:t>
      </w:r>
    </w:p>
    <w:p w:rsidR="0052701D" w:rsidRDefault="00D40929">
      <w:pPr>
        <w:numPr>
          <w:ilvl w:val="0"/>
          <w:numId w:val="154"/>
        </w:numPr>
        <w:spacing w:after="3" w:line="249" w:lineRule="auto"/>
        <w:ind w:right="1" w:firstLine="568"/>
        <w:jc w:val="both"/>
      </w:pPr>
      <w:r>
        <w:rPr>
          <w:rFonts w:ascii="Times New Roman" w:eastAsia="Times New Roman" w:hAnsi="Times New Roman" w:cs="Times New Roman"/>
          <w:sz w:val="24"/>
        </w:rPr>
        <w:t>Прядкина Н.Н. аймақты</w:t>
      </w:r>
      <w:r>
        <w:rPr>
          <w:rFonts w:ascii="Times New Roman" w:eastAsia="Times New Roman" w:hAnsi="Times New Roman" w:cs="Times New Roman"/>
          <w:sz w:val="24"/>
        </w:rPr>
        <w:t>ң әлеуметтік - экономикалық дамуын басқару механизмі // VIIIБүкілресейлік (халықаралық қатысумен) "Қазіргі қоғамның инновациялық және технологиялық дамуының тиімді тетіктері" ғылыми-практикалық конференциясы, Сочи, 2019. - Б.155-159.</w:t>
      </w:r>
    </w:p>
    <w:p w:rsidR="0052701D" w:rsidRDefault="00D40929">
      <w:pPr>
        <w:numPr>
          <w:ilvl w:val="0"/>
          <w:numId w:val="154"/>
        </w:numPr>
        <w:spacing w:after="3" w:line="249" w:lineRule="auto"/>
        <w:ind w:right="1" w:firstLine="568"/>
        <w:jc w:val="both"/>
      </w:pPr>
      <w:r>
        <w:rPr>
          <w:rFonts w:ascii="Times New Roman" w:eastAsia="Times New Roman" w:hAnsi="Times New Roman" w:cs="Times New Roman"/>
          <w:sz w:val="24"/>
        </w:rPr>
        <w:lastRenderedPageBreak/>
        <w:t>Прядкина Н.Н., Аймақты</w:t>
      </w:r>
      <w:r>
        <w:rPr>
          <w:rFonts w:ascii="Times New Roman" w:eastAsia="Times New Roman" w:hAnsi="Times New Roman" w:cs="Times New Roman"/>
          <w:sz w:val="24"/>
        </w:rPr>
        <w:t>қ менеджмент әлеуметтік — экономикалық процестердібасқарудың негізі ретінде / Н. Н.Прядкина / / "ХХІ ғасырдағы басқару" VI Халықаралық ғылымипрактикалық конференциясы, Киров, 2019. - С. 242-245</w:t>
      </w:r>
    </w:p>
    <w:p w:rsidR="0052701D" w:rsidRDefault="00D40929">
      <w:pPr>
        <w:numPr>
          <w:ilvl w:val="0"/>
          <w:numId w:val="154"/>
        </w:numPr>
        <w:spacing w:after="0"/>
        <w:ind w:right="1" w:firstLine="568"/>
        <w:jc w:val="both"/>
      </w:pPr>
      <w:r>
        <w:rPr>
          <w:rFonts w:ascii="Times New Roman" w:eastAsia="Times New Roman" w:hAnsi="Times New Roman" w:cs="Times New Roman"/>
          <w:sz w:val="24"/>
        </w:rPr>
        <w:t>Жетісай ауданының әлеуметтік-экономикалық дамуының 2021 жылғы</w:t>
      </w:r>
    </w:p>
    <w:p w:rsidR="0052701D" w:rsidRDefault="00D40929">
      <w:pPr>
        <w:spacing w:after="3" w:line="249" w:lineRule="auto"/>
        <w:ind w:left="10" w:right="1" w:hanging="10"/>
        <w:jc w:val="both"/>
      </w:pPr>
      <w:r>
        <w:rPr>
          <w:rFonts w:ascii="Times New Roman" w:eastAsia="Times New Roman" w:hAnsi="Times New Roman" w:cs="Times New Roman"/>
          <w:sz w:val="24"/>
        </w:rPr>
        <w:t xml:space="preserve">есебі.URL:https://www.gov.kz/memleket/entities/turkestan zhetisai/documents/details/269393?lang=ru </w:t>
      </w:r>
      <w:r>
        <w:br w:type="page"/>
      </w:r>
    </w:p>
    <w:p w:rsidR="0052701D" w:rsidRDefault="00D40929">
      <w:pPr>
        <w:spacing w:after="3" w:line="249" w:lineRule="auto"/>
        <w:ind w:left="279" w:right="1" w:hanging="10"/>
        <w:jc w:val="both"/>
      </w:pPr>
      <w:r>
        <w:rPr>
          <w:rFonts w:ascii="Times New Roman" w:eastAsia="Times New Roman" w:hAnsi="Times New Roman" w:cs="Times New Roman"/>
          <w:sz w:val="24"/>
        </w:rPr>
        <w:lastRenderedPageBreak/>
        <w:t>МРНТИ 06.71,</w:t>
      </w:r>
    </w:p>
    <w:p w:rsidR="0052701D" w:rsidRDefault="00D40929">
      <w:pPr>
        <w:spacing w:after="300" w:line="249" w:lineRule="auto"/>
        <w:ind w:left="279" w:right="1" w:hanging="10"/>
        <w:jc w:val="both"/>
      </w:pPr>
      <w:r>
        <w:rPr>
          <w:rFonts w:ascii="Times New Roman" w:eastAsia="Times New Roman" w:hAnsi="Times New Roman" w:cs="Times New Roman"/>
          <w:sz w:val="24"/>
        </w:rPr>
        <w:t>УДК 332.053</w:t>
      </w:r>
    </w:p>
    <w:p w:rsidR="0052701D" w:rsidRDefault="00D40929">
      <w:pPr>
        <w:pStyle w:val="1"/>
        <w:spacing w:after="272" w:line="249" w:lineRule="auto"/>
        <w:ind w:left="342" w:right="337"/>
      </w:pPr>
      <w:r>
        <w:t>ЭЛЕКТР ЖЕЛІЛЕРІНДЕ АУА-РАЙЫНЫҢ НАШАРЛАУЫНА</w:t>
      </w:r>
    </w:p>
    <w:p w:rsidR="0052701D" w:rsidRDefault="00D40929">
      <w:pPr>
        <w:pStyle w:val="1"/>
        <w:spacing w:after="272" w:line="249" w:lineRule="auto"/>
        <w:ind w:left="342" w:right="337"/>
      </w:pPr>
      <w:r>
        <w:t xml:space="preserve">БАЙЛАНЫСТЫ БОЛАТЫН ЭЛЕКТР ЭНЕРГИЯСЫНЫҢ ШЫҒЫНДАРЫН ЭКОНОМИКАЛЫҚ БАҒАЛАУ </w:t>
      </w:r>
      <w:r>
        <w:rPr>
          <w:b w:val="0"/>
          <w:sz w:val="24"/>
        </w:rPr>
        <w:t>Б.И. Тузелбаев</w:t>
      </w:r>
    </w:p>
    <w:p w:rsidR="0052701D" w:rsidRDefault="00D40929">
      <w:pPr>
        <w:spacing w:after="48" w:line="248" w:lineRule="auto"/>
        <w:ind w:left="713" w:right="718" w:hanging="10"/>
        <w:jc w:val="center"/>
      </w:pPr>
      <w:r>
        <w:rPr>
          <w:rFonts w:ascii="Times New Roman" w:eastAsia="Times New Roman" w:hAnsi="Times New Roman" w:cs="Times New Roman"/>
        </w:rPr>
        <w:t>«Ғұмарбек Даукеев атындағы Алматы энергетика және байланыс университеті» КеАҚ E-mail:</w:t>
      </w:r>
      <w:r>
        <w:rPr>
          <w:rFonts w:ascii="Times New Roman" w:eastAsia="Times New Roman" w:hAnsi="Times New Roman" w:cs="Times New Roman"/>
          <w:color w:val="0563C1"/>
          <w:u w:val="single" w:color="000000"/>
        </w:rPr>
        <w:t xml:space="preserve"> b.tuzelbayev@aues.kz </w:t>
      </w:r>
    </w:p>
    <w:p w:rsidR="0052701D" w:rsidRDefault="00D40929">
      <w:pPr>
        <w:spacing w:after="9"/>
        <w:ind w:left="111"/>
        <w:jc w:val="center"/>
      </w:pPr>
      <w:r>
        <w:rPr>
          <w:rFonts w:ascii="Times New Roman" w:eastAsia="Times New Roman" w:hAnsi="Times New Roman" w:cs="Times New Roman"/>
          <w:u w:val="single" w:color="000000"/>
        </w:rPr>
        <w:t xml:space="preserve">  </w:t>
      </w:r>
    </w:p>
    <w:p w:rsidR="0052701D" w:rsidRDefault="00D40929">
      <w:pPr>
        <w:spacing w:after="3" w:line="249" w:lineRule="auto"/>
        <w:ind w:left="269" w:right="282" w:firstLine="700"/>
        <w:jc w:val="both"/>
      </w:pPr>
      <w:r>
        <w:rPr>
          <w:rFonts w:ascii="Times New Roman" w:eastAsia="Times New Roman" w:hAnsi="Times New Roman" w:cs="Times New Roman"/>
          <w:b/>
          <w:i/>
          <w:sz w:val="24"/>
        </w:rPr>
        <w:t>Аңдатпа.</w:t>
      </w:r>
      <w:r>
        <w:rPr>
          <w:rFonts w:ascii="Times New Roman" w:eastAsia="Times New Roman" w:hAnsi="Times New Roman" w:cs="Times New Roman"/>
          <w:i/>
          <w:sz w:val="24"/>
        </w:rPr>
        <w:t xml:space="preserve"> Зерттеудің мақсаты – ауа-райының нашарлауына байланысты электр желілеріндегі электр энергиясының ысыраптарын экономикалық бағалау.</w:t>
      </w:r>
    </w:p>
    <w:p w:rsidR="0052701D" w:rsidRDefault="00D40929">
      <w:pPr>
        <w:spacing w:after="3" w:line="249" w:lineRule="auto"/>
        <w:ind w:left="269" w:right="282" w:firstLine="700"/>
        <w:jc w:val="both"/>
      </w:pPr>
      <w:r>
        <w:rPr>
          <w:rFonts w:ascii="Times New Roman" w:eastAsia="Times New Roman" w:hAnsi="Times New Roman" w:cs="Times New Roman"/>
          <w:i/>
          <w:sz w:val="24"/>
        </w:rPr>
        <w:t>Зерттеудің өзектілігі – бұл мәселелер бойынша Қазақстанда ешкім жеке зерттеу жүргізбеген. Электр желілері компаниялары КСРО-да, содан кейін Ресейде ауа райын зерттеген ғалымдардың мәліметтерін ғана пайдаланады. Ұсынылған талаптарға сәйкес Қазақстан желілер</w:t>
      </w:r>
      <w:r>
        <w:rPr>
          <w:rFonts w:ascii="Times New Roman" w:eastAsia="Times New Roman" w:hAnsi="Times New Roman" w:cs="Times New Roman"/>
          <w:i/>
          <w:sz w:val="24"/>
        </w:rPr>
        <w:t>ін аймақтарға бөлу, метеорологиялық жағдайларды және ауа райының нашарлауына байланысты электр энергиясының ысыраптарының салыстырмалы мәндерін зерттеп мұздану картасын және қазақстандық нормативті әзірлеу қажет.</w:t>
      </w:r>
    </w:p>
    <w:p w:rsidR="0052701D" w:rsidRDefault="00D40929">
      <w:pPr>
        <w:spacing w:after="3" w:line="249" w:lineRule="auto"/>
        <w:ind w:left="269" w:right="282" w:firstLine="700"/>
        <w:jc w:val="both"/>
      </w:pPr>
      <w:r>
        <w:rPr>
          <w:rFonts w:ascii="Times New Roman" w:eastAsia="Times New Roman" w:hAnsi="Times New Roman" w:cs="Times New Roman"/>
          <w:i/>
          <w:sz w:val="24"/>
        </w:rPr>
        <w:t>Электр желілеріндегі электр энергиясының жо</w:t>
      </w:r>
      <w:r>
        <w:rPr>
          <w:rFonts w:ascii="Times New Roman" w:eastAsia="Times New Roman" w:hAnsi="Times New Roman" w:cs="Times New Roman"/>
          <w:i/>
          <w:sz w:val="24"/>
        </w:rPr>
        <w:t>ғалуы бірнеше факторларға байланысты. Атап айтқанда, зерттеуде ауа-райының нашарлауының электр желілеріндегі электр энергиясының ысыраптарының артуына әсерін талдау және экономикалық шығындарды бағалау қарастырылған.</w:t>
      </w:r>
    </w:p>
    <w:p w:rsidR="0052701D" w:rsidRDefault="00D40929">
      <w:pPr>
        <w:spacing w:after="3" w:line="249" w:lineRule="auto"/>
        <w:ind w:left="269" w:right="282" w:firstLine="700"/>
        <w:jc w:val="both"/>
      </w:pPr>
      <w:r>
        <w:rPr>
          <w:rFonts w:ascii="Times New Roman" w:eastAsia="Times New Roman" w:hAnsi="Times New Roman" w:cs="Times New Roman"/>
          <w:i/>
          <w:sz w:val="24"/>
        </w:rPr>
        <w:t xml:space="preserve"> Зерттеу үшін Қазақстанның 220-500 кВ ж</w:t>
      </w:r>
      <w:r>
        <w:rPr>
          <w:rFonts w:ascii="Times New Roman" w:eastAsia="Times New Roman" w:hAnsi="Times New Roman" w:cs="Times New Roman"/>
          <w:i/>
          <w:sz w:val="24"/>
        </w:rPr>
        <w:t>елілері таңдалды. Зерттеу нәтижелері ауа-райының қолайсыздығынан желілер арқылы электр энергиясын беру кезінде электр энергиясының айтарлықтай мөлшері жоғалатынын көрсетті. Сондықтан, нәтижесінде желідегі электр энергиясының құны айтарлықтай қаржылық шығын</w:t>
      </w:r>
      <w:r>
        <w:rPr>
          <w:rFonts w:ascii="Times New Roman" w:eastAsia="Times New Roman" w:hAnsi="Times New Roman" w:cs="Times New Roman"/>
          <w:i/>
          <w:sz w:val="24"/>
        </w:rPr>
        <w:t>дарға әкеледі.</w:t>
      </w:r>
    </w:p>
    <w:p w:rsidR="0052701D" w:rsidRDefault="00D40929">
      <w:pPr>
        <w:spacing w:after="3" w:line="249" w:lineRule="auto"/>
        <w:ind w:left="269" w:right="282" w:firstLine="700"/>
        <w:jc w:val="both"/>
      </w:pPr>
      <w:r>
        <w:rPr>
          <w:rFonts w:ascii="Times New Roman" w:eastAsia="Times New Roman" w:hAnsi="Times New Roman" w:cs="Times New Roman"/>
          <w:i/>
          <w:sz w:val="24"/>
        </w:rPr>
        <w:t>Зерттеу нәтижелері бойынша ауа райының қолайсыздығына байланысты желілерде электр энергиясын беру кезінде электр энергиясының жоғалуы жылына 4,215 млрд теңгені құрады. Бұл шығындарды азайту үшін арнайы бизнес-жоспарлар жасап, жоғарыдағы ұсын</w:t>
      </w:r>
      <w:r>
        <w:rPr>
          <w:rFonts w:ascii="Times New Roman" w:eastAsia="Times New Roman" w:hAnsi="Times New Roman" w:cs="Times New Roman"/>
          <w:i/>
          <w:sz w:val="24"/>
        </w:rPr>
        <w:t>ыстар бойынша олардың табыстылығын бағалау қажет. Бұл мәселелер алдағы зерттеулерде қарастырылатын болады, өйткені бұл көп ақпаратты қажет етеді.</w:t>
      </w:r>
    </w:p>
    <w:p w:rsidR="0052701D" w:rsidRDefault="00D40929">
      <w:pPr>
        <w:spacing w:after="350" w:line="249" w:lineRule="auto"/>
        <w:ind w:left="269" w:right="282" w:firstLine="700"/>
        <w:jc w:val="both"/>
      </w:pPr>
      <w:r>
        <w:rPr>
          <w:rFonts w:ascii="Times New Roman" w:eastAsia="Times New Roman" w:hAnsi="Times New Roman" w:cs="Times New Roman"/>
          <w:b/>
          <w:i/>
          <w:sz w:val="24"/>
        </w:rPr>
        <w:t>Кілт сөздер</w:t>
      </w:r>
      <w:r>
        <w:rPr>
          <w:rFonts w:ascii="Times New Roman" w:eastAsia="Times New Roman" w:hAnsi="Times New Roman" w:cs="Times New Roman"/>
          <w:i/>
          <w:sz w:val="24"/>
        </w:rPr>
        <w:t>: электр желілері, электр энергиясының ысырабы, тәждік шығындар, электр шығындарын азайту амалдары.</w:t>
      </w:r>
    </w:p>
    <w:p w:rsidR="0052701D" w:rsidRDefault="00D40929">
      <w:pPr>
        <w:spacing w:after="222" w:line="249" w:lineRule="auto"/>
        <w:ind w:left="342" w:right="337" w:hanging="10"/>
        <w:jc w:val="center"/>
      </w:pPr>
      <w:r>
        <w:rPr>
          <w:rFonts w:ascii="Times New Roman" w:eastAsia="Times New Roman" w:hAnsi="Times New Roman" w:cs="Times New Roman"/>
          <w:b/>
          <w:sz w:val="28"/>
        </w:rPr>
        <w:t>ЭКОНОМИЧЕСКАЯ ОЦЕНКА ПОТЕРЬ ЭЛЕКТРОЭНЕРГИИ В ЭЛЕКТРИЧЕСКИХ СЕТЯХ ИЗ-ЗА УХУДШЕНИЯ ПОГОДНЫХ УСЛОВИЙ</w:t>
      </w:r>
    </w:p>
    <w:p w:rsidR="0052701D" w:rsidRDefault="00D40929">
      <w:pPr>
        <w:spacing w:after="13" w:line="249" w:lineRule="auto"/>
        <w:ind w:left="1001" w:right="995" w:hanging="10"/>
        <w:jc w:val="center"/>
      </w:pPr>
      <w:r>
        <w:rPr>
          <w:rFonts w:ascii="Times New Roman" w:eastAsia="Times New Roman" w:hAnsi="Times New Roman" w:cs="Times New Roman"/>
          <w:sz w:val="24"/>
        </w:rPr>
        <w:t>Б.И. Тузелбаев</w:t>
      </w:r>
    </w:p>
    <w:p w:rsidR="0052701D" w:rsidRDefault="00D40929">
      <w:pPr>
        <w:spacing w:after="264" w:line="248" w:lineRule="auto"/>
        <w:ind w:left="1152" w:right="1154" w:hanging="10"/>
        <w:jc w:val="center"/>
      </w:pPr>
      <w:r>
        <w:rPr>
          <w:rFonts w:ascii="Times New Roman" w:eastAsia="Times New Roman" w:hAnsi="Times New Roman" w:cs="Times New Roman"/>
        </w:rPr>
        <w:t>НАО «Алматинский университет энергетики и связи им.Гумарбека Даукеева» e-mail</w:t>
      </w:r>
      <w:r>
        <w:rPr>
          <w:rFonts w:ascii="Times New Roman" w:eastAsia="Times New Roman" w:hAnsi="Times New Roman" w:cs="Times New Roman"/>
          <w:color w:val="0563C1"/>
          <w:u w:val="single" w:color="000000"/>
        </w:rPr>
        <w:t xml:space="preserve"> b.tuzelbayev@aues.kz </w:t>
      </w:r>
    </w:p>
    <w:p w:rsidR="0052701D" w:rsidRDefault="00D40929">
      <w:pPr>
        <w:spacing w:after="3" w:line="249" w:lineRule="auto"/>
        <w:ind w:left="269" w:right="282" w:firstLine="700"/>
        <w:jc w:val="both"/>
      </w:pPr>
      <w:r>
        <w:rPr>
          <w:rFonts w:ascii="Times New Roman" w:eastAsia="Times New Roman" w:hAnsi="Times New Roman" w:cs="Times New Roman"/>
          <w:b/>
          <w:i/>
          <w:sz w:val="24"/>
        </w:rPr>
        <w:t>Аннотация.</w:t>
      </w:r>
      <w:r>
        <w:rPr>
          <w:rFonts w:ascii="Times New Roman" w:eastAsia="Times New Roman" w:hAnsi="Times New Roman" w:cs="Times New Roman"/>
          <w:i/>
          <w:sz w:val="24"/>
        </w:rPr>
        <w:t xml:space="preserve"> Цель исследования - экономическая оценка потерь электроэнергии в электрических сетях из-за ухудшения погодных условий.</w:t>
      </w:r>
    </w:p>
    <w:p w:rsidR="0052701D" w:rsidRDefault="00D40929">
      <w:pPr>
        <w:spacing w:after="3" w:line="249" w:lineRule="auto"/>
        <w:ind w:left="269" w:right="282" w:firstLine="700"/>
        <w:jc w:val="both"/>
      </w:pPr>
      <w:r>
        <w:rPr>
          <w:rFonts w:ascii="Times New Roman" w:eastAsia="Times New Roman" w:hAnsi="Times New Roman" w:cs="Times New Roman"/>
          <w:i/>
          <w:sz w:val="24"/>
        </w:rPr>
        <w:t>Актуальность исследования заключается в том, что никто в Казахстане не проводил индивидуальных исследований по этим вопросам. Электросет</w:t>
      </w:r>
      <w:r>
        <w:rPr>
          <w:rFonts w:ascii="Times New Roman" w:eastAsia="Times New Roman" w:hAnsi="Times New Roman" w:cs="Times New Roman"/>
          <w:i/>
          <w:sz w:val="24"/>
        </w:rPr>
        <w:t>евые компании используют только данные ученых, изучавших погоду в СССР, а затем в России. Согласно предложенным требованиям, необходимо разделить казахстанские сети на регионы, изучить метеорологические условия и относительные величины потерь электроэнерги</w:t>
      </w:r>
      <w:r>
        <w:rPr>
          <w:rFonts w:ascii="Times New Roman" w:eastAsia="Times New Roman" w:hAnsi="Times New Roman" w:cs="Times New Roman"/>
          <w:i/>
          <w:sz w:val="24"/>
        </w:rPr>
        <w:t>и изза ухудшения погодных условий, разработать карту замерзания и казахстанские нормативы.</w:t>
      </w:r>
    </w:p>
    <w:p w:rsidR="0052701D" w:rsidRDefault="00D40929">
      <w:pPr>
        <w:spacing w:after="3" w:line="249" w:lineRule="auto"/>
        <w:ind w:left="269" w:right="282" w:firstLine="700"/>
        <w:jc w:val="both"/>
      </w:pPr>
      <w:r>
        <w:rPr>
          <w:rFonts w:ascii="Times New Roman" w:eastAsia="Times New Roman" w:hAnsi="Times New Roman" w:cs="Times New Roman"/>
          <w:i/>
          <w:sz w:val="24"/>
        </w:rPr>
        <w:lastRenderedPageBreak/>
        <w:t xml:space="preserve">Потери электроэнергии в электрических сетях зависят от нескольких факторов. В частности, в исследовании рассматривается анализ влияния ухудшения погодных условий на </w:t>
      </w:r>
      <w:r>
        <w:rPr>
          <w:rFonts w:ascii="Times New Roman" w:eastAsia="Times New Roman" w:hAnsi="Times New Roman" w:cs="Times New Roman"/>
          <w:i/>
          <w:sz w:val="24"/>
        </w:rPr>
        <w:t>увеличение потерь электроэнергии в электрических сетях и оцениваются экономические затраты.</w:t>
      </w:r>
    </w:p>
    <w:p w:rsidR="0052701D" w:rsidRDefault="00D40929">
      <w:pPr>
        <w:spacing w:after="3" w:line="249" w:lineRule="auto"/>
        <w:ind w:left="269" w:right="282" w:firstLine="700"/>
        <w:jc w:val="both"/>
      </w:pPr>
      <w:r>
        <w:rPr>
          <w:rFonts w:ascii="Times New Roman" w:eastAsia="Times New Roman" w:hAnsi="Times New Roman" w:cs="Times New Roman"/>
          <w:i/>
          <w:sz w:val="24"/>
        </w:rPr>
        <w:t xml:space="preserve"> Для исследования были выбраны линии 220-500 кВ в Казахстане. Результаты исследования показывают, что из-за непогоды значительное количество электроэнергии теряется</w:t>
      </w:r>
      <w:r>
        <w:rPr>
          <w:rFonts w:ascii="Times New Roman" w:eastAsia="Times New Roman" w:hAnsi="Times New Roman" w:cs="Times New Roman"/>
          <w:i/>
          <w:sz w:val="24"/>
        </w:rPr>
        <w:t xml:space="preserve"> при передаче электроэнергии по сетям. Поэтому в итоге себестоимость электроэнергии в сети приводит к значительным финансовым затратам.</w:t>
      </w:r>
    </w:p>
    <w:p w:rsidR="0052701D" w:rsidRDefault="00D40929">
      <w:pPr>
        <w:spacing w:after="3" w:line="249" w:lineRule="auto"/>
        <w:ind w:left="269" w:right="282" w:firstLine="700"/>
        <w:jc w:val="both"/>
      </w:pPr>
      <w:r>
        <w:rPr>
          <w:rFonts w:ascii="Times New Roman" w:eastAsia="Times New Roman" w:hAnsi="Times New Roman" w:cs="Times New Roman"/>
          <w:i/>
          <w:sz w:val="24"/>
        </w:rPr>
        <w:t>По результатам исследования потери электроэнергии при передаче электроэнергии в сетях из-за непогоды составили 4,215 млр</w:t>
      </w:r>
      <w:r>
        <w:rPr>
          <w:rFonts w:ascii="Times New Roman" w:eastAsia="Times New Roman" w:hAnsi="Times New Roman" w:cs="Times New Roman"/>
          <w:i/>
          <w:sz w:val="24"/>
        </w:rPr>
        <w:t xml:space="preserve">д тенге в год. Для снижения этих затрат необходимо разработать специальные бизнес-планы и оценить их рентабельность в соответствии с приведенными выше рекомендациями. </w:t>
      </w:r>
    </w:p>
    <w:p w:rsidR="0052701D" w:rsidRDefault="00D40929">
      <w:pPr>
        <w:spacing w:after="350" w:line="249" w:lineRule="auto"/>
        <w:ind w:left="269" w:right="282" w:firstLine="700"/>
        <w:jc w:val="both"/>
      </w:pP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 xml:space="preserve"> электрические сети, потери электроэнергии, потери на корону, пути снижен</w:t>
      </w:r>
      <w:r>
        <w:rPr>
          <w:rFonts w:ascii="Times New Roman" w:eastAsia="Times New Roman" w:hAnsi="Times New Roman" w:cs="Times New Roman"/>
          <w:i/>
          <w:sz w:val="24"/>
        </w:rPr>
        <w:t>ия потерь электроэнергии.</w:t>
      </w:r>
    </w:p>
    <w:p w:rsidR="0052701D" w:rsidRDefault="00D40929">
      <w:pPr>
        <w:spacing w:after="226" w:line="249" w:lineRule="auto"/>
        <w:ind w:left="342" w:right="332" w:hanging="10"/>
        <w:jc w:val="center"/>
      </w:pPr>
      <w:r>
        <w:rPr>
          <w:rFonts w:ascii="Times New Roman" w:eastAsia="Times New Roman" w:hAnsi="Times New Roman" w:cs="Times New Roman"/>
          <w:b/>
          <w:sz w:val="28"/>
        </w:rPr>
        <w:t>ECONOMIC ASSESSMENT OF ELECTRICITY LOSSES IN ELECTRICAL NETWORKS DUE TO WORSENING WEATHER CONDITIONS</w:t>
      </w:r>
    </w:p>
    <w:p w:rsidR="0052701D" w:rsidRDefault="00D40929">
      <w:pPr>
        <w:spacing w:after="13" w:line="249" w:lineRule="auto"/>
        <w:ind w:left="1001" w:right="993" w:hanging="10"/>
        <w:jc w:val="center"/>
      </w:pPr>
      <w:r>
        <w:rPr>
          <w:rFonts w:ascii="Times New Roman" w:eastAsia="Times New Roman" w:hAnsi="Times New Roman" w:cs="Times New Roman"/>
          <w:sz w:val="24"/>
        </w:rPr>
        <w:t>B.I. Tuzelbayev</w:t>
      </w:r>
    </w:p>
    <w:p w:rsidR="0052701D" w:rsidRDefault="00D40929">
      <w:pPr>
        <w:spacing w:after="332" w:line="248" w:lineRule="auto"/>
        <w:ind w:left="521" w:right="522" w:hanging="10"/>
        <w:jc w:val="center"/>
      </w:pPr>
      <w:r>
        <w:rPr>
          <w:rFonts w:ascii="Times New Roman" w:eastAsia="Times New Roman" w:hAnsi="Times New Roman" w:cs="Times New Roman"/>
        </w:rPr>
        <w:t>Almaty University of Power Engineering and Telecommunications named after Gumarbek Daukeev e-mail</w:t>
      </w:r>
      <w:r>
        <w:rPr>
          <w:rFonts w:ascii="Times New Roman" w:eastAsia="Times New Roman" w:hAnsi="Times New Roman" w:cs="Times New Roman"/>
          <w:color w:val="0563C1"/>
          <w:u w:val="single" w:color="000000"/>
        </w:rPr>
        <w:t xml:space="preserve"> b.tuzelbayev@au</w:t>
      </w:r>
      <w:r>
        <w:rPr>
          <w:rFonts w:ascii="Times New Roman" w:eastAsia="Times New Roman" w:hAnsi="Times New Roman" w:cs="Times New Roman"/>
          <w:color w:val="0563C1"/>
          <w:u w:val="single" w:color="000000"/>
        </w:rPr>
        <w:t xml:space="preserve">es.kz </w:t>
      </w:r>
    </w:p>
    <w:p w:rsidR="0052701D" w:rsidRDefault="00D40929">
      <w:pPr>
        <w:spacing w:after="3" w:line="249" w:lineRule="auto"/>
        <w:ind w:left="269" w:right="282" w:firstLine="700"/>
        <w:jc w:val="both"/>
      </w:pPr>
      <w:r>
        <w:rPr>
          <w:rFonts w:ascii="Times New Roman" w:eastAsia="Times New Roman" w:hAnsi="Times New Roman" w:cs="Times New Roman"/>
          <w:b/>
          <w:i/>
          <w:sz w:val="24"/>
        </w:rPr>
        <w:t xml:space="preserve">Annotation. </w:t>
      </w:r>
      <w:r>
        <w:rPr>
          <w:rFonts w:ascii="Times New Roman" w:eastAsia="Times New Roman" w:hAnsi="Times New Roman" w:cs="Times New Roman"/>
          <w:i/>
          <w:sz w:val="24"/>
        </w:rPr>
        <w:t>The purpose of the study is the economic assessment of electricity losses in electrical networks due to worsening weather conditions.</w:t>
      </w:r>
    </w:p>
    <w:p w:rsidR="0052701D" w:rsidRDefault="00D40929">
      <w:pPr>
        <w:spacing w:after="3" w:line="249" w:lineRule="auto"/>
        <w:ind w:left="269" w:right="282" w:firstLine="700"/>
        <w:jc w:val="both"/>
      </w:pPr>
      <w:r>
        <w:rPr>
          <w:rFonts w:ascii="Times New Roman" w:eastAsia="Times New Roman" w:hAnsi="Times New Roman" w:cs="Times New Roman"/>
          <w:i/>
          <w:sz w:val="24"/>
        </w:rPr>
        <w:t>The relevance of the study lies in the fact that no one in Kazakhstan has conducted individual studies on these issues. Power grid companies only use data from scientists who studied the weather in the USSR and then in Russia. According to the proposed req</w:t>
      </w:r>
      <w:r>
        <w:rPr>
          <w:rFonts w:ascii="Times New Roman" w:eastAsia="Times New Roman" w:hAnsi="Times New Roman" w:cs="Times New Roman"/>
          <w:i/>
          <w:sz w:val="24"/>
        </w:rPr>
        <w:t>uirements, it is necessary to divide Kazakhstan's networks into regions, study the meteorological conditions and the relative values of electricity losses due to worsening weather conditions, and develop a map of freezing and Kazakhstani normative.</w:t>
      </w:r>
    </w:p>
    <w:p w:rsidR="0052701D" w:rsidRDefault="00D40929">
      <w:pPr>
        <w:spacing w:after="3" w:line="249" w:lineRule="auto"/>
        <w:ind w:left="269" w:right="282" w:firstLine="700"/>
        <w:jc w:val="both"/>
      </w:pPr>
      <w:r>
        <w:rPr>
          <w:rFonts w:ascii="Times New Roman" w:eastAsia="Times New Roman" w:hAnsi="Times New Roman" w:cs="Times New Roman"/>
          <w:i/>
          <w:sz w:val="24"/>
        </w:rPr>
        <w:t>Electri</w:t>
      </w:r>
      <w:r>
        <w:rPr>
          <w:rFonts w:ascii="Times New Roman" w:eastAsia="Times New Roman" w:hAnsi="Times New Roman" w:cs="Times New Roman"/>
          <w:i/>
          <w:sz w:val="24"/>
        </w:rPr>
        <w:t>city losses in electrical networks depend on several factors. In particular, the study examines the analysis of the impact of deteriorating weather conditions on the increase in electricity losses in electrical networks and estimates economic costs.</w:t>
      </w:r>
    </w:p>
    <w:p w:rsidR="0052701D" w:rsidRDefault="00D40929">
      <w:pPr>
        <w:spacing w:after="3" w:line="249" w:lineRule="auto"/>
        <w:ind w:left="269" w:right="282" w:firstLine="700"/>
        <w:jc w:val="both"/>
      </w:pPr>
      <w:r>
        <w:rPr>
          <w:rFonts w:ascii="Times New Roman" w:eastAsia="Times New Roman" w:hAnsi="Times New Roman" w:cs="Times New Roman"/>
          <w:i/>
          <w:sz w:val="24"/>
        </w:rPr>
        <w:t xml:space="preserve"> For t</w:t>
      </w:r>
      <w:r>
        <w:rPr>
          <w:rFonts w:ascii="Times New Roman" w:eastAsia="Times New Roman" w:hAnsi="Times New Roman" w:cs="Times New Roman"/>
          <w:i/>
          <w:sz w:val="24"/>
        </w:rPr>
        <w:t>he study, 220-500 kV lines in Kazakhstan were selected. The results of the study show that due to bad weather, a significant amount of electricity is lost during transmission of electricity through the networks. Therefore, as a result, the cost of electric</w:t>
      </w:r>
      <w:r>
        <w:rPr>
          <w:rFonts w:ascii="Times New Roman" w:eastAsia="Times New Roman" w:hAnsi="Times New Roman" w:cs="Times New Roman"/>
          <w:i/>
          <w:sz w:val="24"/>
        </w:rPr>
        <w:t>ity in the network leads to significant financial costs.</w:t>
      </w:r>
    </w:p>
    <w:p w:rsidR="0052701D" w:rsidRDefault="00D40929">
      <w:pPr>
        <w:spacing w:after="0" w:line="240" w:lineRule="auto"/>
        <w:ind w:left="269" w:firstLine="710"/>
      </w:pPr>
      <w:r>
        <w:rPr>
          <w:rFonts w:ascii="Times New Roman" w:eastAsia="Times New Roman" w:hAnsi="Times New Roman" w:cs="Times New Roman"/>
          <w:i/>
          <w:sz w:val="24"/>
        </w:rPr>
        <w:t>According to the results of the study, electricity losses during transmission of electricity in networks due to bad weather amounted to 4.215 billion tenge per year. To reduce these costs, it is nece</w:t>
      </w:r>
      <w:r>
        <w:rPr>
          <w:rFonts w:ascii="Times New Roman" w:eastAsia="Times New Roman" w:hAnsi="Times New Roman" w:cs="Times New Roman"/>
          <w:i/>
          <w:sz w:val="24"/>
        </w:rPr>
        <w:t xml:space="preserve">ssary to develop special business plans and evaluate their profitability according to the above recommendations. </w:t>
      </w:r>
    </w:p>
    <w:p w:rsidR="0052701D" w:rsidRDefault="00D40929">
      <w:pPr>
        <w:spacing w:after="300" w:line="249" w:lineRule="auto"/>
        <w:ind w:left="992" w:right="282"/>
        <w:jc w:val="both"/>
      </w:pPr>
      <w:r>
        <w:rPr>
          <w:rFonts w:ascii="Times New Roman" w:eastAsia="Times New Roman" w:hAnsi="Times New Roman" w:cs="Times New Roman"/>
          <w:b/>
          <w:i/>
          <w:sz w:val="24"/>
        </w:rPr>
        <w:t>Key words:</w:t>
      </w:r>
      <w:r>
        <w:rPr>
          <w:rFonts w:ascii="Times New Roman" w:eastAsia="Times New Roman" w:hAnsi="Times New Roman" w:cs="Times New Roman"/>
          <w:i/>
          <w:sz w:val="24"/>
        </w:rPr>
        <w:t xml:space="preserve"> power networks, power loss, corona loss, ways to reduce power loss.</w:t>
      </w:r>
    </w:p>
    <w:p w:rsidR="0052701D" w:rsidRDefault="00D40929">
      <w:pPr>
        <w:spacing w:after="17" w:line="249" w:lineRule="auto"/>
        <w:ind w:left="1004" w:hanging="10"/>
      </w:pPr>
      <w:r>
        <w:rPr>
          <w:rFonts w:ascii="Times New Roman" w:eastAsia="Times New Roman" w:hAnsi="Times New Roman" w:cs="Times New Roman"/>
          <w:b/>
          <w:sz w:val="28"/>
        </w:rPr>
        <w:t xml:space="preserve">Кіріспе </w:t>
      </w:r>
    </w:p>
    <w:p w:rsidR="0052701D" w:rsidRDefault="00D40929">
      <w:pPr>
        <w:spacing w:after="3" w:line="248" w:lineRule="auto"/>
        <w:ind w:left="284" w:right="295" w:firstLine="710"/>
        <w:jc w:val="both"/>
      </w:pPr>
      <w:r>
        <w:rPr>
          <w:rFonts w:ascii="Times New Roman" w:eastAsia="Times New Roman" w:hAnsi="Times New Roman" w:cs="Times New Roman"/>
          <w:sz w:val="28"/>
        </w:rPr>
        <w:t>Қазақстанда қолданылып жүрген тәждік шығындарды есепте</w:t>
      </w:r>
      <w:r>
        <w:rPr>
          <w:rFonts w:ascii="Times New Roman" w:eastAsia="Times New Roman" w:hAnsi="Times New Roman" w:cs="Times New Roman"/>
          <w:sz w:val="28"/>
        </w:rPr>
        <w:t xml:space="preserve">у әдістемесі [1, 2] өткен ғасырдың соңғы ширегінде жасалған.  Бұл әдіс тәждік шығындардың кернеуге тәуелділіктің өлшеу мәліметтерін орта есеппен тәжге шаққандағы қуат пен электр шығынын есептеу үшін қолданылады. </w:t>
      </w:r>
    </w:p>
    <w:p w:rsidR="0052701D" w:rsidRDefault="00D40929">
      <w:pPr>
        <w:spacing w:after="3" w:line="248" w:lineRule="auto"/>
        <w:ind w:left="284" w:right="294" w:firstLine="710"/>
        <w:jc w:val="both"/>
      </w:pPr>
      <w:r>
        <w:rPr>
          <w:rFonts w:ascii="Times New Roman" w:eastAsia="Times New Roman" w:hAnsi="Times New Roman" w:cs="Times New Roman"/>
          <w:sz w:val="28"/>
        </w:rPr>
        <w:t xml:space="preserve">Әдістемені талдау [1] көрсеткендей, ол бір </w:t>
      </w:r>
      <w:r>
        <w:rPr>
          <w:rFonts w:ascii="Times New Roman" w:eastAsia="Times New Roman" w:hAnsi="Times New Roman" w:cs="Times New Roman"/>
          <w:sz w:val="28"/>
        </w:rPr>
        <w:t xml:space="preserve">тәжге шаққандағы меншікті қуат шығынын да, [2] -де анықталған бір тәж үшін жылдық қуат шығынын да </w:t>
      </w:r>
      <w:r>
        <w:rPr>
          <w:rFonts w:ascii="Times New Roman" w:eastAsia="Times New Roman" w:hAnsi="Times New Roman" w:cs="Times New Roman"/>
          <w:sz w:val="28"/>
        </w:rPr>
        <w:lastRenderedPageBreak/>
        <w:t>төмендетеді. Шын мәнінде, электр энергиясының көп мөлшері 220-500кВ тасымалдау желілерде жоғалады, ал бір тәжге келетін электр қуатының максималды шығыны элек</w:t>
      </w:r>
      <w:r>
        <w:rPr>
          <w:rFonts w:ascii="Times New Roman" w:eastAsia="Times New Roman" w:hAnsi="Times New Roman" w:cs="Times New Roman"/>
          <w:sz w:val="28"/>
        </w:rPr>
        <w:t>тр станциялары генераторларының белгіленген қуатының едәуір бөлігін жейді. Жаңа әуе желілерін жобалау кезінде бұл әдістемені қолдану  экономикалық жағынан тиімсіз желілер санын көбейтеді.</w:t>
      </w:r>
    </w:p>
    <w:p w:rsidR="0052701D" w:rsidRDefault="00D40929">
      <w:pPr>
        <w:spacing w:after="3" w:line="248" w:lineRule="auto"/>
        <w:ind w:left="284" w:right="285" w:firstLine="710"/>
        <w:jc w:val="both"/>
      </w:pPr>
      <w:r>
        <w:rPr>
          <w:rFonts w:ascii="Times New Roman" w:eastAsia="Times New Roman" w:hAnsi="Times New Roman" w:cs="Times New Roman"/>
          <w:sz w:val="28"/>
        </w:rPr>
        <w:t>Әуе желілерін жобалағанда [1] сәйкес, тәждің максималды шығыны ескер</w:t>
      </w:r>
      <w:r>
        <w:rPr>
          <w:rFonts w:ascii="Times New Roman" w:eastAsia="Times New Roman" w:hAnsi="Times New Roman" w:cs="Times New Roman"/>
          <w:sz w:val="28"/>
        </w:rPr>
        <w:t>ілмейді. Алайда американдық анықтамалық нұсқауларда [3]: «Тәждің максималды ысырабы электрмен жабдықтауға айтарлықтай әсер етуі мүмкін, өйткені максималды шығындарды жабу үшін қосымша белгіленген қуат қажет болуы мүмкін».</w:t>
      </w:r>
    </w:p>
    <w:p w:rsidR="0052701D" w:rsidRDefault="00D40929">
      <w:pPr>
        <w:spacing w:after="310" w:line="248" w:lineRule="auto"/>
        <w:ind w:left="284" w:right="296" w:firstLine="710"/>
        <w:jc w:val="both"/>
      </w:pPr>
      <w:r>
        <w:rPr>
          <w:rFonts w:ascii="Times New Roman" w:eastAsia="Times New Roman" w:hAnsi="Times New Roman" w:cs="Times New Roman"/>
          <w:sz w:val="28"/>
        </w:rPr>
        <w:t>Әлемдік тәжірибеде тәждік шығындар</w:t>
      </w:r>
      <w:r>
        <w:rPr>
          <w:rFonts w:ascii="Times New Roman" w:eastAsia="Times New Roman" w:hAnsi="Times New Roman" w:cs="Times New Roman"/>
          <w:sz w:val="28"/>
        </w:rPr>
        <w:t xml:space="preserve">ды азайту мақсатында қолданылып жүрген әдістер мен амалдарға шолу жасайтын болсақ, соның ішінде желідегі мұздануды азайту бағытында қолданып жүрген әдістерді [4]-гі мәліметтерге сүйене отырып қарастырайық. </w:t>
      </w:r>
    </w:p>
    <w:p w:rsidR="0052701D" w:rsidRDefault="00D40929">
      <w:pPr>
        <w:spacing w:after="3" w:line="248" w:lineRule="auto"/>
        <w:ind w:left="852" w:right="4"/>
        <w:jc w:val="both"/>
      </w:pPr>
      <w:r>
        <w:rPr>
          <w:rFonts w:ascii="Times New Roman" w:eastAsia="Times New Roman" w:hAnsi="Times New Roman" w:cs="Times New Roman"/>
          <w:sz w:val="28"/>
        </w:rPr>
        <w:t>Кесте 1. Қолданыстағы негізгі тәсілдер мен амалдар</w:t>
      </w:r>
    </w:p>
    <w:tbl>
      <w:tblPr>
        <w:tblStyle w:val="TableGrid"/>
        <w:tblW w:w="9320" w:type="dxa"/>
        <w:tblInd w:w="438" w:type="dxa"/>
        <w:tblCellMar>
          <w:top w:w="16" w:type="dxa"/>
          <w:left w:w="0" w:type="dxa"/>
          <w:bottom w:w="0" w:type="dxa"/>
          <w:right w:w="0" w:type="dxa"/>
        </w:tblCellMar>
        <w:tblLook w:val="04A0" w:firstRow="1" w:lastRow="0" w:firstColumn="1" w:lastColumn="0" w:noHBand="0" w:noVBand="1"/>
      </w:tblPr>
      <w:tblGrid>
        <w:gridCol w:w="2120"/>
        <w:gridCol w:w="2994"/>
        <w:gridCol w:w="2409"/>
        <w:gridCol w:w="1006"/>
        <w:gridCol w:w="791"/>
      </w:tblGrid>
      <w:tr w:rsidR="0052701D">
        <w:trPr>
          <w:trHeight w:val="708"/>
        </w:trPr>
        <w:tc>
          <w:tcPr>
            <w:tcW w:w="2120"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7" w:right="3"/>
              <w:jc w:val="center"/>
            </w:pPr>
            <w:r>
              <w:rPr>
                <w:rFonts w:ascii="Times New Roman" w:eastAsia="Times New Roman" w:hAnsi="Times New Roman" w:cs="Times New Roman"/>
                <w:b/>
                <w:sz w:val="20"/>
              </w:rPr>
              <w:t>Мұздан тазарту әдістері</w:t>
            </w:r>
          </w:p>
        </w:tc>
        <w:tc>
          <w:tcPr>
            <w:tcW w:w="2996"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4"/>
              <w:jc w:val="center"/>
            </w:pPr>
            <w:r>
              <w:rPr>
                <w:rFonts w:ascii="Times New Roman" w:eastAsia="Times New Roman" w:hAnsi="Times New Roman" w:cs="Times New Roman"/>
                <w:b/>
                <w:sz w:val="20"/>
              </w:rPr>
              <w:t>Сипаттамасы</w:t>
            </w:r>
          </w:p>
        </w:tc>
        <w:tc>
          <w:tcPr>
            <w:tcW w:w="2410"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3" w:hanging="13"/>
              <w:jc w:val="center"/>
            </w:pPr>
            <w:r>
              <w:rPr>
                <w:rFonts w:ascii="Times New Roman" w:eastAsia="Times New Roman" w:hAnsi="Times New Roman" w:cs="Times New Roman"/>
                <w:b/>
                <w:sz w:val="20"/>
              </w:rPr>
              <w:t>Сипаттамалары (күйі, кемшіліктері, желі ұзындығы, орнату)</w:t>
            </w:r>
          </w:p>
        </w:tc>
        <w:tc>
          <w:tcPr>
            <w:tcW w:w="1003" w:type="dxa"/>
            <w:tcBorders>
              <w:top w:val="single" w:sz="6" w:space="0" w:color="000000"/>
              <w:left w:val="single" w:sz="6" w:space="0" w:color="000000"/>
              <w:bottom w:val="single" w:sz="6" w:space="0" w:color="000000"/>
              <w:right w:val="single" w:sz="10" w:space="0" w:color="000000"/>
            </w:tcBorders>
          </w:tcPr>
          <w:p w:rsidR="0052701D" w:rsidRDefault="00D40929">
            <w:pPr>
              <w:spacing w:after="0"/>
              <w:ind w:left="10" w:hanging="10"/>
              <w:jc w:val="center"/>
            </w:pPr>
            <w:r>
              <w:rPr>
                <w:rFonts w:ascii="Times New Roman" w:eastAsia="Times New Roman" w:hAnsi="Times New Roman" w:cs="Times New Roman"/>
                <w:b/>
                <w:sz w:val="20"/>
              </w:rPr>
              <w:t>Қолданып жүрген елдер</w:t>
            </w:r>
          </w:p>
        </w:tc>
        <w:tc>
          <w:tcPr>
            <w:tcW w:w="791" w:type="dxa"/>
            <w:tcBorders>
              <w:top w:val="single" w:sz="6" w:space="0" w:color="000000"/>
              <w:left w:val="single" w:sz="10" w:space="0" w:color="000000"/>
              <w:bottom w:val="single" w:sz="6" w:space="0" w:color="000000"/>
              <w:right w:val="single" w:sz="11" w:space="0" w:color="000000"/>
            </w:tcBorders>
          </w:tcPr>
          <w:p w:rsidR="0052701D" w:rsidRDefault="00D40929">
            <w:pPr>
              <w:spacing w:after="0"/>
              <w:jc w:val="center"/>
            </w:pPr>
            <w:r>
              <w:rPr>
                <w:rFonts w:ascii="Times New Roman" w:eastAsia="Times New Roman" w:hAnsi="Times New Roman" w:cs="Times New Roman"/>
                <w:b/>
                <w:sz w:val="20"/>
              </w:rPr>
              <w:t>Шығын деңгейі</w:t>
            </w:r>
          </w:p>
        </w:tc>
      </w:tr>
      <w:tr w:rsidR="0052701D">
        <w:trPr>
          <w:trHeight w:val="1170"/>
        </w:trPr>
        <w:tc>
          <w:tcPr>
            <w:tcW w:w="2120"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
              <w:jc w:val="center"/>
            </w:pPr>
            <w:r>
              <w:rPr>
                <w:rFonts w:ascii="Times New Roman" w:eastAsia="Times New Roman" w:hAnsi="Times New Roman" w:cs="Times New Roman"/>
                <w:sz w:val="20"/>
              </w:rPr>
              <w:t>Қарсы салмақ</w:t>
            </w:r>
          </w:p>
        </w:tc>
        <w:tc>
          <w:tcPr>
            <w:tcW w:w="2996" w:type="dxa"/>
            <w:tcBorders>
              <w:top w:val="single" w:sz="6" w:space="0" w:color="000000"/>
              <w:left w:val="single" w:sz="6" w:space="0" w:color="000000"/>
              <w:bottom w:val="single" w:sz="6" w:space="0" w:color="000000"/>
              <w:right w:val="single" w:sz="6" w:space="0" w:color="000000"/>
            </w:tcBorders>
          </w:tcPr>
          <w:p w:rsidR="0052701D" w:rsidRDefault="00D40929">
            <w:pPr>
              <w:spacing w:after="0" w:line="240" w:lineRule="auto"/>
              <w:ind w:left="186" w:right="184"/>
              <w:jc w:val="center"/>
            </w:pPr>
            <w:r>
              <w:rPr>
                <w:rFonts w:ascii="Times New Roman" w:eastAsia="Times New Roman" w:hAnsi="Times New Roman" w:cs="Times New Roman"/>
                <w:sz w:val="20"/>
              </w:rPr>
              <w:t>Мұзды немесе дымқыл қардың жиналуын азайту үшін</w:t>
            </w:r>
          </w:p>
          <w:p w:rsidR="0052701D" w:rsidRDefault="00D40929">
            <w:pPr>
              <w:spacing w:after="0"/>
              <w:ind w:left="3"/>
              <w:jc w:val="center"/>
            </w:pPr>
            <w:r>
              <w:rPr>
                <w:rFonts w:ascii="Times New Roman" w:eastAsia="Times New Roman" w:hAnsi="Times New Roman" w:cs="Times New Roman"/>
                <w:sz w:val="20"/>
              </w:rPr>
              <w:t>қолданылады</w:t>
            </w:r>
          </w:p>
        </w:tc>
        <w:tc>
          <w:tcPr>
            <w:tcW w:w="2410" w:type="dxa"/>
            <w:tcBorders>
              <w:top w:val="single" w:sz="6" w:space="0" w:color="000000"/>
              <w:left w:val="single" w:sz="6" w:space="0" w:color="000000"/>
              <w:bottom w:val="single" w:sz="6" w:space="0" w:color="000000"/>
              <w:right w:val="single" w:sz="6" w:space="0" w:color="000000"/>
            </w:tcBorders>
          </w:tcPr>
          <w:p w:rsidR="0052701D" w:rsidRDefault="00D40929">
            <w:pPr>
              <w:numPr>
                <w:ilvl w:val="0"/>
                <w:numId w:val="169"/>
              </w:numPr>
              <w:spacing w:after="0"/>
              <w:ind w:firstLine="520"/>
              <w:jc w:val="center"/>
            </w:pPr>
            <w:r>
              <w:rPr>
                <w:rFonts w:ascii="Times New Roman" w:eastAsia="Times New Roman" w:hAnsi="Times New Roman" w:cs="Times New Roman"/>
                <w:sz w:val="20"/>
              </w:rPr>
              <w:t>жедел жүзеге асады</w:t>
            </w:r>
          </w:p>
          <w:p w:rsidR="0052701D" w:rsidRDefault="00D40929">
            <w:pPr>
              <w:numPr>
                <w:ilvl w:val="0"/>
                <w:numId w:val="169"/>
              </w:numPr>
              <w:spacing w:after="0" w:line="239" w:lineRule="auto"/>
              <w:ind w:firstLine="520"/>
              <w:jc w:val="center"/>
            </w:pPr>
            <w:r>
              <w:rPr>
                <w:rFonts w:ascii="Times New Roman" w:eastAsia="Times New Roman" w:hAnsi="Times New Roman" w:cs="Times New Roman"/>
                <w:sz w:val="20"/>
              </w:rPr>
              <w:t>кез келген желі ұзындығына қолданыладын қолданылады</w:t>
            </w:r>
          </w:p>
          <w:p w:rsidR="0052701D" w:rsidRDefault="00D40929">
            <w:pPr>
              <w:numPr>
                <w:ilvl w:val="0"/>
                <w:numId w:val="169"/>
              </w:numPr>
              <w:spacing w:after="0"/>
              <w:ind w:firstLine="520"/>
              <w:jc w:val="center"/>
            </w:pPr>
            <w:r>
              <w:rPr>
                <w:rFonts w:ascii="Times New Roman" w:eastAsia="Times New Roman" w:hAnsi="Times New Roman" w:cs="Times New Roman"/>
                <w:sz w:val="20"/>
              </w:rPr>
              <w:t>тұрақты қондырғы</w:t>
            </w:r>
          </w:p>
        </w:tc>
        <w:tc>
          <w:tcPr>
            <w:tcW w:w="1003" w:type="dxa"/>
            <w:tcBorders>
              <w:top w:val="single" w:sz="6" w:space="0" w:color="000000"/>
              <w:left w:val="single" w:sz="6" w:space="0" w:color="000000"/>
              <w:bottom w:val="single" w:sz="6" w:space="0" w:color="000000"/>
              <w:right w:val="single" w:sz="10" w:space="0" w:color="000000"/>
            </w:tcBorders>
          </w:tcPr>
          <w:p w:rsidR="0052701D" w:rsidRDefault="00D40929">
            <w:pPr>
              <w:spacing w:after="0"/>
              <w:ind w:left="90"/>
              <w:jc w:val="both"/>
            </w:pPr>
            <w:r>
              <w:rPr>
                <w:rFonts w:ascii="Times New Roman" w:eastAsia="Times New Roman" w:hAnsi="Times New Roman" w:cs="Times New Roman"/>
                <w:sz w:val="20"/>
              </w:rPr>
              <w:t>Жапония,</w:t>
            </w:r>
          </w:p>
          <w:p w:rsidR="0052701D" w:rsidRDefault="00D40929">
            <w:pPr>
              <w:spacing w:after="0"/>
              <w:ind w:left="-4" w:firstLine="96"/>
            </w:pPr>
            <w:r>
              <w:rPr>
                <w:rFonts w:ascii="Times New Roman" w:eastAsia="Times New Roman" w:hAnsi="Times New Roman" w:cs="Times New Roman"/>
                <w:sz w:val="20"/>
              </w:rPr>
              <w:t>Исландия а Франция</w:t>
            </w:r>
          </w:p>
        </w:tc>
        <w:tc>
          <w:tcPr>
            <w:tcW w:w="791" w:type="dxa"/>
            <w:tcBorders>
              <w:top w:val="single" w:sz="6" w:space="0" w:color="000000"/>
              <w:left w:val="single" w:sz="10" w:space="0" w:color="000000"/>
              <w:bottom w:val="single" w:sz="6" w:space="0" w:color="000000"/>
              <w:right w:val="single" w:sz="11" w:space="0" w:color="000000"/>
            </w:tcBorders>
          </w:tcPr>
          <w:p w:rsidR="0052701D" w:rsidRDefault="00D40929">
            <w:pPr>
              <w:spacing w:after="0"/>
              <w:ind w:left="131"/>
            </w:pPr>
            <w:r>
              <w:rPr>
                <w:rFonts w:ascii="Times New Roman" w:eastAsia="Times New Roman" w:hAnsi="Times New Roman" w:cs="Times New Roman"/>
                <w:sz w:val="20"/>
              </w:rPr>
              <w:t>Төмен</w:t>
            </w:r>
          </w:p>
        </w:tc>
      </w:tr>
      <w:tr w:rsidR="0052701D">
        <w:trPr>
          <w:trHeight w:val="1170"/>
        </w:trPr>
        <w:tc>
          <w:tcPr>
            <w:tcW w:w="2120"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6" w:right="2"/>
              <w:jc w:val="center"/>
            </w:pPr>
            <w:r>
              <w:rPr>
                <w:rFonts w:ascii="Times New Roman" w:eastAsia="Times New Roman" w:hAnsi="Times New Roman" w:cs="Times New Roman"/>
                <w:sz w:val="20"/>
              </w:rPr>
              <w:t>Қар сақиналары, сымдар, және қарсы салмақ пен қар сақиналары комбинациясы</w:t>
            </w:r>
          </w:p>
        </w:tc>
        <w:tc>
          <w:tcPr>
            <w:tcW w:w="2996" w:type="dxa"/>
            <w:tcBorders>
              <w:top w:val="single" w:sz="6" w:space="0" w:color="000000"/>
              <w:left w:val="single" w:sz="6" w:space="0" w:color="000000"/>
              <w:bottom w:val="single" w:sz="6" w:space="0" w:color="000000"/>
              <w:right w:val="single" w:sz="6" w:space="0" w:color="000000"/>
            </w:tcBorders>
          </w:tcPr>
          <w:p w:rsidR="0052701D" w:rsidRDefault="00D40929">
            <w:pPr>
              <w:spacing w:after="0"/>
              <w:jc w:val="center"/>
            </w:pPr>
            <w:r>
              <w:rPr>
                <w:rFonts w:ascii="Times New Roman" w:eastAsia="Times New Roman" w:hAnsi="Times New Roman" w:cs="Times New Roman"/>
                <w:sz w:val="20"/>
              </w:rPr>
              <w:t>Ылғал қардың жиналуын азайту үшін қолданылады</w:t>
            </w:r>
          </w:p>
        </w:tc>
        <w:tc>
          <w:tcPr>
            <w:tcW w:w="2410" w:type="dxa"/>
            <w:tcBorders>
              <w:top w:val="single" w:sz="6" w:space="0" w:color="000000"/>
              <w:left w:val="single" w:sz="6" w:space="0" w:color="000000"/>
              <w:bottom w:val="single" w:sz="6" w:space="0" w:color="000000"/>
              <w:right w:val="single" w:sz="6" w:space="0" w:color="000000"/>
            </w:tcBorders>
          </w:tcPr>
          <w:p w:rsidR="0052701D" w:rsidRDefault="00D40929">
            <w:pPr>
              <w:numPr>
                <w:ilvl w:val="0"/>
                <w:numId w:val="170"/>
              </w:numPr>
              <w:spacing w:after="0"/>
              <w:jc w:val="center"/>
            </w:pPr>
            <w:r>
              <w:rPr>
                <w:rFonts w:ascii="Times New Roman" w:eastAsia="Times New Roman" w:hAnsi="Times New Roman" w:cs="Times New Roman"/>
                <w:sz w:val="20"/>
              </w:rPr>
              <w:t xml:space="preserve">жедел </w:t>
            </w:r>
            <w:r>
              <w:rPr>
                <w:rFonts w:ascii="Times New Roman" w:eastAsia="Times New Roman" w:hAnsi="Times New Roman" w:cs="Times New Roman"/>
                <w:sz w:val="20"/>
              </w:rPr>
              <w:t>жүзеге асады</w:t>
            </w:r>
          </w:p>
          <w:p w:rsidR="0052701D" w:rsidRDefault="00D40929">
            <w:pPr>
              <w:numPr>
                <w:ilvl w:val="0"/>
                <w:numId w:val="170"/>
              </w:numPr>
              <w:spacing w:after="2" w:line="238" w:lineRule="auto"/>
              <w:jc w:val="center"/>
            </w:pPr>
            <w:r>
              <w:rPr>
                <w:rFonts w:ascii="Times New Roman" w:eastAsia="Times New Roman" w:hAnsi="Times New Roman" w:cs="Times New Roman"/>
                <w:sz w:val="20"/>
              </w:rPr>
              <w:t>кез келген желі ұзындығына қолданылады</w:t>
            </w:r>
          </w:p>
          <w:p w:rsidR="0052701D" w:rsidRDefault="00D40929">
            <w:pPr>
              <w:numPr>
                <w:ilvl w:val="0"/>
                <w:numId w:val="170"/>
              </w:numPr>
              <w:spacing w:after="0"/>
              <w:jc w:val="center"/>
            </w:pPr>
            <w:r>
              <w:rPr>
                <w:rFonts w:ascii="Times New Roman" w:eastAsia="Times New Roman" w:hAnsi="Times New Roman" w:cs="Times New Roman"/>
                <w:sz w:val="20"/>
              </w:rPr>
              <w:t>тұрақты қондырғы</w:t>
            </w:r>
          </w:p>
        </w:tc>
        <w:tc>
          <w:tcPr>
            <w:tcW w:w="1003" w:type="dxa"/>
            <w:tcBorders>
              <w:top w:val="single" w:sz="6" w:space="0" w:color="000000"/>
              <w:left w:val="single" w:sz="6" w:space="0" w:color="000000"/>
              <w:bottom w:val="single" w:sz="6" w:space="0" w:color="000000"/>
              <w:right w:val="single" w:sz="10" w:space="0" w:color="000000"/>
            </w:tcBorders>
          </w:tcPr>
          <w:p w:rsidR="0052701D" w:rsidRDefault="00D40929">
            <w:pPr>
              <w:spacing w:after="0"/>
              <w:ind w:left="116"/>
            </w:pPr>
            <w:r>
              <w:rPr>
                <w:rFonts w:ascii="Times New Roman" w:eastAsia="Times New Roman" w:hAnsi="Times New Roman" w:cs="Times New Roman"/>
                <w:sz w:val="20"/>
              </w:rPr>
              <w:t>Жапония</w:t>
            </w:r>
          </w:p>
        </w:tc>
        <w:tc>
          <w:tcPr>
            <w:tcW w:w="791" w:type="dxa"/>
            <w:tcBorders>
              <w:top w:val="single" w:sz="6" w:space="0" w:color="000000"/>
              <w:left w:val="single" w:sz="10" w:space="0" w:color="000000"/>
              <w:bottom w:val="single" w:sz="6" w:space="0" w:color="000000"/>
              <w:right w:val="single" w:sz="11" w:space="0" w:color="000000"/>
            </w:tcBorders>
          </w:tcPr>
          <w:p w:rsidR="0052701D" w:rsidRDefault="00D40929">
            <w:pPr>
              <w:spacing w:after="0"/>
              <w:ind w:left="131"/>
            </w:pPr>
            <w:r>
              <w:rPr>
                <w:rFonts w:ascii="Times New Roman" w:eastAsia="Times New Roman" w:hAnsi="Times New Roman" w:cs="Times New Roman"/>
                <w:sz w:val="20"/>
              </w:rPr>
              <w:t>Төмен</w:t>
            </w:r>
          </w:p>
        </w:tc>
      </w:tr>
      <w:tr w:rsidR="0052701D">
        <w:trPr>
          <w:trHeight w:val="1402"/>
        </w:trPr>
        <w:tc>
          <w:tcPr>
            <w:tcW w:w="2120" w:type="dxa"/>
            <w:tcBorders>
              <w:top w:val="single" w:sz="6" w:space="0" w:color="000000"/>
              <w:left w:val="single" w:sz="6" w:space="0" w:color="000000"/>
              <w:bottom w:val="single" w:sz="6" w:space="0" w:color="000000"/>
              <w:right w:val="single" w:sz="6" w:space="0" w:color="000000"/>
            </w:tcBorders>
          </w:tcPr>
          <w:p w:rsidR="0052701D" w:rsidRDefault="00D40929">
            <w:pPr>
              <w:spacing w:after="1" w:line="239" w:lineRule="auto"/>
              <w:jc w:val="center"/>
            </w:pPr>
            <w:r>
              <w:rPr>
                <w:rFonts w:ascii="Times New Roman" w:eastAsia="Times New Roman" w:hAnsi="Times New Roman" w:cs="Times New Roman"/>
                <w:sz w:val="20"/>
              </w:rPr>
              <w:t>Әр фаза үшін жеке құрылымдарды қолдана отырып, ригельдік</w:t>
            </w:r>
          </w:p>
          <w:p w:rsidR="0052701D" w:rsidRDefault="00D40929">
            <w:pPr>
              <w:spacing w:after="0"/>
              <w:ind w:left="2"/>
              <w:jc w:val="center"/>
            </w:pPr>
            <w:r>
              <w:rPr>
                <w:rFonts w:ascii="Times New Roman" w:eastAsia="Times New Roman" w:hAnsi="Times New Roman" w:cs="Times New Roman"/>
                <w:sz w:val="20"/>
              </w:rPr>
              <w:t>өзгерту, фазалық</w:t>
            </w:r>
          </w:p>
          <w:p w:rsidR="0052701D" w:rsidRDefault="00D40929">
            <w:pPr>
              <w:spacing w:after="0"/>
              <w:ind w:left="74"/>
              <w:jc w:val="both"/>
            </w:pPr>
            <w:r>
              <w:rPr>
                <w:rFonts w:ascii="Times New Roman" w:eastAsia="Times New Roman" w:hAnsi="Times New Roman" w:cs="Times New Roman"/>
                <w:sz w:val="20"/>
              </w:rPr>
              <w:t>конфигурацияны қайта</w:t>
            </w:r>
          </w:p>
          <w:p w:rsidR="0052701D" w:rsidRDefault="00D40929">
            <w:pPr>
              <w:spacing w:after="0"/>
              <w:ind w:left="4"/>
              <w:jc w:val="center"/>
            </w:pPr>
            <w:r>
              <w:rPr>
                <w:rFonts w:ascii="Times New Roman" w:eastAsia="Times New Roman" w:hAnsi="Times New Roman" w:cs="Times New Roman"/>
                <w:sz w:val="20"/>
              </w:rPr>
              <w:t>құру</w:t>
            </w:r>
          </w:p>
        </w:tc>
        <w:tc>
          <w:tcPr>
            <w:tcW w:w="2996"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25" w:right="23"/>
              <w:jc w:val="center"/>
            </w:pPr>
            <w:r>
              <w:rPr>
                <w:rFonts w:ascii="Times New Roman" w:eastAsia="Times New Roman" w:hAnsi="Times New Roman" w:cs="Times New Roman"/>
                <w:sz w:val="20"/>
              </w:rPr>
              <w:t>Қос тізбекті желілердегі электр саңылауларына мұзданудың әсерін азайту үшін қолданылады</w:t>
            </w:r>
          </w:p>
        </w:tc>
        <w:tc>
          <w:tcPr>
            <w:tcW w:w="2410" w:type="dxa"/>
            <w:tcBorders>
              <w:top w:val="single" w:sz="6" w:space="0" w:color="000000"/>
              <w:left w:val="single" w:sz="6" w:space="0" w:color="000000"/>
              <w:bottom w:val="single" w:sz="6" w:space="0" w:color="000000"/>
              <w:right w:val="single" w:sz="6" w:space="0" w:color="000000"/>
            </w:tcBorders>
          </w:tcPr>
          <w:p w:rsidR="0052701D" w:rsidRDefault="00D40929">
            <w:pPr>
              <w:numPr>
                <w:ilvl w:val="0"/>
                <w:numId w:val="171"/>
              </w:numPr>
              <w:spacing w:after="0"/>
              <w:jc w:val="center"/>
            </w:pPr>
            <w:r>
              <w:rPr>
                <w:rFonts w:ascii="Times New Roman" w:eastAsia="Times New Roman" w:hAnsi="Times New Roman" w:cs="Times New Roman"/>
                <w:sz w:val="20"/>
              </w:rPr>
              <w:t>жедел жүзеге асады</w:t>
            </w:r>
          </w:p>
          <w:p w:rsidR="0052701D" w:rsidRDefault="00D40929">
            <w:pPr>
              <w:numPr>
                <w:ilvl w:val="0"/>
                <w:numId w:val="171"/>
              </w:numPr>
              <w:spacing w:after="2" w:line="238" w:lineRule="auto"/>
              <w:jc w:val="center"/>
            </w:pPr>
            <w:r>
              <w:rPr>
                <w:rFonts w:ascii="Times New Roman" w:eastAsia="Times New Roman" w:hAnsi="Times New Roman" w:cs="Times New Roman"/>
                <w:sz w:val="20"/>
              </w:rPr>
              <w:t>кез келген желі ұзындығына қолданылады</w:t>
            </w:r>
          </w:p>
          <w:p w:rsidR="0052701D" w:rsidRDefault="00D40929">
            <w:pPr>
              <w:numPr>
                <w:ilvl w:val="0"/>
                <w:numId w:val="171"/>
              </w:numPr>
              <w:spacing w:after="0"/>
              <w:jc w:val="center"/>
            </w:pPr>
            <w:r>
              <w:rPr>
                <w:rFonts w:ascii="Times New Roman" w:eastAsia="Times New Roman" w:hAnsi="Times New Roman" w:cs="Times New Roman"/>
                <w:sz w:val="20"/>
              </w:rPr>
              <w:t>тұрақты қондырғы</w:t>
            </w:r>
          </w:p>
        </w:tc>
        <w:tc>
          <w:tcPr>
            <w:tcW w:w="1003" w:type="dxa"/>
            <w:tcBorders>
              <w:top w:val="single" w:sz="6" w:space="0" w:color="000000"/>
              <w:left w:val="single" w:sz="6" w:space="0" w:color="000000"/>
              <w:bottom w:val="single" w:sz="6" w:space="0" w:color="000000"/>
              <w:right w:val="single" w:sz="10" w:space="0" w:color="000000"/>
            </w:tcBorders>
          </w:tcPr>
          <w:p w:rsidR="0052701D" w:rsidRDefault="00D40929">
            <w:pPr>
              <w:spacing w:after="0"/>
              <w:ind w:left="9"/>
              <w:jc w:val="center"/>
            </w:pPr>
            <w:r>
              <w:rPr>
                <w:rFonts w:ascii="Times New Roman" w:eastAsia="Times New Roman" w:hAnsi="Times New Roman" w:cs="Times New Roman"/>
                <w:sz w:val="20"/>
              </w:rPr>
              <w:t>Жаңа</w:t>
            </w:r>
          </w:p>
          <w:p w:rsidR="0052701D" w:rsidRDefault="00D40929">
            <w:pPr>
              <w:spacing w:after="0"/>
              <w:ind w:left="114"/>
            </w:pPr>
            <w:r>
              <w:rPr>
                <w:rFonts w:ascii="Times New Roman" w:eastAsia="Times New Roman" w:hAnsi="Times New Roman" w:cs="Times New Roman"/>
                <w:sz w:val="20"/>
              </w:rPr>
              <w:t xml:space="preserve">Зеландия </w:t>
            </w:r>
          </w:p>
        </w:tc>
        <w:tc>
          <w:tcPr>
            <w:tcW w:w="791" w:type="dxa"/>
            <w:tcBorders>
              <w:top w:val="single" w:sz="6" w:space="0" w:color="000000"/>
              <w:left w:val="single" w:sz="10" w:space="0" w:color="000000"/>
              <w:bottom w:val="single" w:sz="6" w:space="0" w:color="000000"/>
              <w:right w:val="single" w:sz="11" w:space="0" w:color="000000"/>
            </w:tcBorders>
          </w:tcPr>
          <w:p w:rsidR="0052701D" w:rsidRDefault="00D40929">
            <w:pPr>
              <w:spacing w:after="0"/>
              <w:ind w:left="71"/>
              <w:jc w:val="both"/>
            </w:pPr>
            <w:r>
              <w:rPr>
                <w:rFonts w:ascii="Times New Roman" w:eastAsia="Times New Roman" w:hAnsi="Times New Roman" w:cs="Times New Roman"/>
                <w:sz w:val="20"/>
              </w:rPr>
              <w:t>Орташа</w:t>
            </w:r>
          </w:p>
        </w:tc>
      </w:tr>
      <w:tr w:rsidR="0052701D">
        <w:trPr>
          <w:trHeight w:val="1400"/>
        </w:trPr>
        <w:tc>
          <w:tcPr>
            <w:tcW w:w="2120" w:type="dxa"/>
            <w:tcBorders>
              <w:top w:val="single" w:sz="6" w:space="0" w:color="000000"/>
              <w:left w:val="single" w:sz="6" w:space="0" w:color="000000"/>
              <w:bottom w:val="single" w:sz="6" w:space="0" w:color="000000"/>
              <w:right w:val="single" w:sz="6" w:space="0" w:color="000000"/>
            </w:tcBorders>
          </w:tcPr>
          <w:p w:rsidR="0052701D" w:rsidRDefault="00D40929">
            <w:pPr>
              <w:spacing w:after="0"/>
              <w:jc w:val="center"/>
            </w:pPr>
            <w:r>
              <w:rPr>
                <w:rFonts w:ascii="Times New Roman" w:eastAsia="Times New Roman" w:hAnsi="Times New Roman" w:cs="Times New Roman"/>
                <w:sz w:val="20"/>
              </w:rPr>
              <w:t>Ферромагнитті спиральды сымдар</w:t>
            </w:r>
          </w:p>
        </w:tc>
        <w:tc>
          <w:tcPr>
            <w:tcW w:w="2996"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40" w:right="26" w:hanging="10"/>
              <w:jc w:val="center"/>
            </w:pPr>
            <w:r>
              <w:rPr>
                <w:rFonts w:ascii="Times New Roman" w:eastAsia="Times New Roman" w:hAnsi="Times New Roman" w:cs="Times New Roman"/>
                <w:sz w:val="20"/>
              </w:rPr>
              <w:t>Қарды жұмсақ температурада еріту және төгу үшін қолданылады</w:t>
            </w:r>
          </w:p>
        </w:tc>
        <w:tc>
          <w:tcPr>
            <w:tcW w:w="2410" w:type="dxa"/>
            <w:tcBorders>
              <w:top w:val="single" w:sz="6" w:space="0" w:color="000000"/>
              <w:left w:val="single" w:sz="6" w:space="0" w:color="000000"/>
              <w:bottom w:val="single" w:sz="6" w:space="0" w:color="000000"/>
              <w:right w:val="single" w:sz="6" w:space="0" w:color="000000"/>
            </w:tcBorders>
          </w:tcPr>
          <w:p w:rsidR="0052701D" w:rsidRDefault="00D40929">
            <w:pPr>
              <w:numPr>
                <w:ilvl w:val="0"/>
                <w:numId w:val="172"/>
              </w:numPr>
              <w:spacing w:after="0"/>
              <w:jc w:val="center"/>
            </w:pPr>
            <w:r>
              <w:rPr>
                <w:rFonts w:ascii="Times New Roman" w:eastAsia="Times New Roman" w:hAnsi="Times New Roman" w:cs="Times New Roman"/>
                <w:sz w:val="20"/>
              </w:rPr>
              <w:t>жедел жүзеге асады</w:t>
            </w:r>
          </w:p>
          <w:p w:rsidR="0052701D" w:rsidRDefault="00D40929">
            <w:pPr>
              <w:numPr>
                <w:ilvl w:val="0"/>
                <w:numId w:val="172"/>
              </w:numPr>
              <w:spacing w:after="0" w:line="240" w:lineRule="auto"/>
              <w:jc w:val="center"/>
            </w:pPr>
            <w:r>
              <w:rPr>
                <w:rFonts w:ascii="Times New Roman" w:eastAsia="Times New Roman" w:hAnsi="Times New Roman" w:cs="Times New Roman"/>
                <w:sz w:val="20"/>
              </w:rPr>
              <w:t>қосымша шығындар тудырады</w:t>
            </w:r>
          </w:p>
          <w:p w:rsidR="0052701D" w:rsidRDefault="00D40929">
            <w:pPr>
              <w:numPr>
                <w:ilvl w:val="0"/>
                <w:numId w:val="172"/>
              </w:numPr>
              <w:spacing w:after="0" w:line="240" w:lineRule="auto"/>
              <w:jc w:val="center"/>
            </w:pPr>
            <w:r>
              <w:rPr>
                <w:rFonts w:ascii="Times New Roman" w:eastAsia="Times New Roman" w:hAnsi="Times New Roman" w:cs="Times New Roman"/>
                <w:sz w:val="20"/>
              </w:rPr>
              <w:t>кез келген желі ұзындығына қолданылады</w:t>
            </w:r>
          </w:p>
          <w:p w:rsidR="0052701D" w:rsidRDefault="00D40929">
            <w:pPr>
              <w:numPr>
                <w:ilvl w:val="0"/>
                <w:numId w:val="172"/>
              </w:numPr>
              <w:spacing w:after="0"/>
              <w:jc w:val="center"/>
            </w:pPr>
            <w:r>
              <w:rPr>
                <w:rFonts w:ascii="Times New Roman" w:eastAsia="Times New Roman" w:hAnsi="Times New Roman" w:cs="Times New Roman"/>
                <w:sz w:val="20"/>
              </w:rPr>
              <w:t>тұрақты қондырғы</w:t>
            </w:r>
          </w:p>
        </w:tc>
        <w:tc>
          <w:tcPr>
            <w:tcW w:w="1003" w:type="dxa"/>
            <w:tcBorders>
              <w:top w:val="single" w:sz="6" w:space="0" w:color="000000"/>
              <w:left w:val="single" w:sz="6" w:space="0" w:color="000000"/>
              <w:bottom w:val="single" w:sz="6" w:space="0" w:color="000000"/>
              <w:right w:val="single" w:sz="10" w:space="0" w:color="000000"/>
            </w:tcBorders>
          </w:tcPr>
          <w:p w:rsidR="0052701D" w:rsidRDefault="00D40929">
            <w:pPr>
              <w:spacing w:after="0"/>
              <w:jc w:val="center"/>
            </w:pPr>
            <w:r>
              <w:rPr>
                <w:rFonts w:ascii="Times New Roman" w:eastAsia="Times New Roman" w:hAnsi="Times New Roman" w:cs="Times New Roman"/>
                <w:sz w:val="20"/>
              </w:rPr>
              <w:t>Жапония, Шотландия</w:t>
            </w:r>
          </w:p>
        </w:tc>
        <w:tc>
          <w:tcPr>
            <w:tcW w:w="791" w:type="dxa"/>
            <w:tcBorders>
              <w:top w:val="single" w:sz="6" w:space="0" w:color="000000"/>
              <w:left w:val="single" w:sz="10" w:space="0" w:color="000000"/>
              <w:bottom w:val="single" w:sz="6" w:space="0" w:color="000000"/>
              <w:right w:val="single" w:sz="11" w:space="0" w:color="000000"/>
            </w:tcBorders>
          </w:tcPr>
          <w:p w:rsidR="0052701D" w:rsidRDefault="00D40929">
            <w:pPr>
              <w:spacing w:after="0"/>
              <w:ind w:left="131"/>
            </w:pPr>
            <w:r>
              <w:rPr>
                <w:rFonts w:ascii="Times New Roman" w:eastAsia="Times New Roman" w:hAnsi="Times New Roman" w:cs="Times New Roman"/>
                <w:sz w:val="20"/>
              </w:rPr>
              <w:t>Төмен</w:t>
            </w:r>
          </w:p>
        </w:tc>
      </w:tr>
      <w:tr w:rsidR="0052701D">
        <w:trPr>
          <w:trHeight w:val="1402"/>
        </w:trPr>
        <w:tc>
          <w:tcPr>
            <w:tcW w:w="2120"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9" w:right="6"/>
              <w:jc w:val="center"/>
            </w:pPr>
            <w:r>
              <w:rPr>
                <w:rFonts w:ascii="Times New Roman" w:eastAsia="Times New Roman" w:hAnsi="Times New Roman" w:cs="Times New Roman"/>
                <w:sz w:val="20"/>
              </w:rPr>
              <w:t>Қашықтан басқарылатын көлік құралы</w:t>
            </w:r>
          </w:p>
        </w:tc>
        <w:tc>
          <w:tcPr>
            <w:tcW w:w="2996"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28" w:right="28"/>
              <w:jc w:val="center"/>
            </w:pPr>
            <w:r>
              <w:rPr>
                <w:rFonts w:ascii="Times New Roman" w:eastAsia="Times New Roman" w:hAnsi="Times New Roman" w:cs="Times New Roman"/>
                <w:sz w:val="20"/>
              </w:rPr>
              <w:t>315 кВ дейінгі жердегі сымдар мен желілік өткізгіштерді мұздан тазарту үшін қолданылады</w:t>
            </w:r>
          </w:p>
        </w:tc>
        <w:tc>
          <w:tcPr>
            <w:tcW w:w="2410" w:type="dxa"/>
            <w:tcBorders>
              <w:top w:val="single" w:sz="6" w:space="0" w:color="000000"/>
              <w:left w:val="single" w:sz="6" w:space="0" w:color="000000"/>
              <w:bottom w:val="single" w:sz="6" w:space="0" w:color="000000"/>
              <w:right w:val="single" w:sz="6" w:space="0" w:color="000000"/>
            </w:tcBorders>
          </w:tcPr>
          <w:p w:rsidR="0052701D" w:rsidRDefault="00D40929">
            <w:pPr>
              <w:numPr>
                <w:ilvl w:val="0"/>
                <w:numId w:val="173"/>
              </w:numPr>
              <w:spacing w:after="0" w:line="240" w:lineRule="auto"/>
              <w:jc w:val="center"/>
            </w:pPr>
            <w:r>
              <w:rPr>
                <w:rFonts w:ascii="Times New Roman" w:eastAsia="Times New Roman" w:hAnsi="Times New Roman" w:cs="Times New Roman"/>
                <w:sz w:val="20"/>
              </w:rPr>
              <w:t>қысқа мерзімді жағдайда тиімді</w:t>
            </w:r>
          </w:p>
          <w:p w:rsidR="0052701D" w:rsidRDefault="00D40929">
            <w:pPr>
              <w:numPr>
                <w:ilvl w:val="0"/>
                <w:numId w:val="173"/>
              </w:numPr>
              <w:spacing w:after="0" w:line="240" w:lineRule="auto"/>
              <w:jc w:val="center"/>
            </w:pPr>
            <w:r>
              <w:rPr>
                <w:rFonts w:ascii="Times New Roman" w:eastAsia="Times New Roman" w:hAnsi="Times New Roman" w:cs="Times New Roman"/>
                <w:sz w:val="20"/>
              </w:rPr>
              <w:t>Жолға орнату қиын болуы мүмкін</w:t>
            </w:r>
          </w:p>
          <w:p w:rsidR="0052701D" w:rsidRDefault="00D40929">
            <w:pPr>
              <w:numPr>
                <w:ilvl w:val="0"/>
                <w:numId w:val="173"/>
              </w:numPr>
              <w:spacing w:after="0"/>
              <w:jc w:val="center"/>
            </w:pPr>
            <w:r>
              <w:rPr>
                <w:rFonts w:ascii="Times New Roman" w:eastAsia="Times New Roman" w:hAnsi="Times New Roman" w:cs="Times New Roman"/>
                <w:sz w:val="20"/>
              </w:rPr>
              <w:t>1 км-ге дейін</w:t>
            </w:r>
          </w:p>
          <w:p w:rsidR="0052701D" w:rsidRDefault="00D40929">
            <w:pPr>
              <w:numPr>
                <w:ilvl w:val="0"/>
                <w:numId w:val="173"/>
              </w:numPr>
              <w:spacing w:after="0"/>
              <w:jc w:val="center"/>
            </w:pPr>
            <w:r>
              <w:rPr>
                <w:rFonts w:ascii="Times New Roman" w:eastAsia="Times New Roman" w:hAnsi="Times New Roman" w:cs="Times New Roman"/>
                <w:sz w:val="20"/>
              </w:rPr>
              <w:t>Уақытша орнату</w:t>
            </w:r>
          </w:p>
        </w:tc>
        <w:tc>
          <w:tcPr>
            <w:tcW w:w="1003" w:type="dxa"/>
            <w:tcBorders>
              <w:top w:val="single" w:sz="6" w:space="0" w:color="000000"/>
              <w:left w:val="single" w:sz="6" w:space="0" w:color="000000"/>
              <w:bottom w:val="single" w:sz="6" w:space="0" w:color="000000"/>
              <w:right w:val="single" w:sz="10" w:space="0" w:color="000000"/>
            </w:tcBorders>
          </w:tcPr>
          <w:p w:rsidR="0052701D" w:rsidRDefault="00D40929">
            <w:pPr>
              <w:spacing w:after="0"/>
              <w:ind w:left="202"/>
            </w:pPr>
            <w:r>
              <w:rPr>
                <w:rFonts w:ascii="Times New Roman" w:eastAsia="Times New Roman" w:hAnsi="Times New Roman" w:cs="Times New Roman"/>
                <w:sz w:val="20"/>
              </w:rPr>
              <w:t>Канада</w:t>
            </w:r>
          </w:p>
        </w:tc>
        <w:tc>
          <w:tcPr>
            <w:tcW w:w="791" w:type="dxa"/>
            <w:tcBorders>
              <w:top w:val="single" w:sz="6" w:space="0" w:color="000000"/>
              <w:left w:val="single" w:sz="10" w:space="0" w:color="000000"/>
              <w:bottom w:val="single" w:sz="6" w:space="0" w:color="000000"/>
              <w:right w:val="single" w:sz="11" w:space="0" w:color="000000"/>
            </w:tcBorders>
          </w:tcPr>
          <w:p w:rsidR="0052701D" w:rsidRDefault="00D40929">
            <w:pPr>
              <w:spacing w:after="0"/>
              <w:ind w:left="71"/>
              <w:jc w:val="both"/>
            </w:pPr>
            <w:r>
              <w:rPr>
                <w:rFonts w:ascii="Times New Roman" w:eastAsia="Times New Roman" w:hAnsi="Times New Roman" w:cs="Times New Roman"/>
                <w:sz w:val="20"/>
              </w:rPr>
              <w:t>Орташа</w:t>
            </w:r>
          </w:p>
        </w:tc>
      </w:tr>
      <w:tr w:rsidR="0052701D">
        <w:trPr>
          <w:trHeight w:val="1170"/>
        </w:trPr>
        <w:tc>
          <w:tcPr>
            <w:tcW w:w="2120"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26"/>
            </w:pPr>
            <w:r>
              <w:rPr>
                <w:rFonts w:ascii="Times New Roman" w:eastAsia="Times New Roman" w:hAnsi="Times New Roman" w:cs="Times New Roman"/>
                <w:sz w:val="20"/>
              </w:rPr>
              <w:t>Пневматикалық балға</w:t>
            </w:r>
          </w:p>
        </w:tc>
        <w:tc>
          <w:tcPr>
            <w:tcW w:w="2996" w:type="dxa"/>
            <w:tcBorders>
              <w:top w:val="single" w:sz="6" w:space="0" w:color="000000"/>
              <w:left w:val="single" w:sz="6" w:space="0" w:color="000000"/>
              <w:bottom w:val="single" w:sz="6" w:space="0" w:color="000000"/>
              <w:right w:val="single" w:sz="6" w:space="0" w:color="000000"/>
            </w:tcBorders>
          </w:tcPr>
          <w:p w:rsidR="0052701D" w:rsidRDefault="00D40929">
            <w:pPr>
              <w:spacing w:after="0"/>
              <w:jc w:val="center"/>
            </w:pPr>
            <w:r>
              <w:rPr>
                <w:rFonts w:ascii="Times New Roman" w:eastAsia="Times New Roman" w:hAnsi="Times New Roman" w:cs="Times New Roman"/>
                <w:sz w:val="20"/>
              </w:rPr>
              <w:t>Мұздан тазарту үшін өткізгіштер үшін бір аралықта қолданылады</w:t>
            </w:r>
          </w:p>
        </w:tc>
        <w:tc>
          <w:tcPr>
            <w:tcW w:w="2410" w:type="dxa"/>
            <w:tcBorders>
              <w:top w:val="single" w:sz="6" w:space="0" w:color="000000"/>
              <w:left w:val="single" w:sz="6" w:space="0" w:color="000000"/>
              <w:bottom w:val="single" w:sz="6" w:space="0" w:color="000000"/>
              <w:right w:val="single" w:sz="6" w:space="0" w:color="000000"/>
            </w:tcBorders>
          </w:tcPr>
          <w:p w:rsidR="0052701D" w:rsidRDefault="00D40929">
            <w:pPr>
              <w:numPr>
                <w:ilvl w:val="0"/>
                <w:numId w:val="174"/>
              </w:numPr>
              <w:spacing w:after="2" w:line="238" w:lineRule="auto"/>
              <w:jc w:val="center"/>
            </w:pPr>
            <w:r>
              <w:rPr>
                <w:rFonts w:ascii="Times New Roman" w:eastAsia="Times New Roman" w:hAnsi="Times New Roman" w:cs="Times New Roman"/>
                <w:sz w:val="20"/>
              </w:rPr>
              <w:t>нақты тиімділігі тексерілмеген</w:t>
            </w:r>
          </w:p>
          <w:p w:rsidR="0052701D" w:rsidRDefault="00D40929">
            <w:pPr>
              <w:numPr>
                <w:ilvl w:val="0"/>
                <w:numId w:val="174"/>
              </w:numPr>
              <w:spacing w:after="0"/>
              <w:jc w:val="center"/>
            </w:pPr>
            <w:r>
              <w:rPr>
                <w:rFonts w:ascii="Times New Roman" w:eastAsia="Times New Roman" w:hAnsi="Times New Roman" w:cs="Times New Roman"/>
                <w:sz w:val="20"/>
              </w:rPr>
              <w:t>еңбекті қажет етеді</w:t>
            </w:r>
          </w:p>
          <w:p w:rsidR="0052701D" w:rsidRDefault="00D40929">
            <w:pPr>
              <w:numPr>
                <w:ilvl w:val="0"/>
                <w:numId w:val="174"/>
              </w:numPr>
              <w:spacing w:after="0"/>
              <w:jc w:val="center"/>
            </w:pPr>
            <w:r>
              <w:rPr>
                <w:rFonts w:ascii="Times New Roman" w:eastAsia="Times New Roman" w:hAnsi="Times New Roman" w:cs="Times New Roman"/>
                <w:sz w:val="20"/>
              </w:rPr>
              <w:t>қысқа желіге тиімді</w:t>
            </w:r>
          </w:p>
          <w:p w:rsidR="0052701D" w:rsidRDefault="00D40929">
            <w:pPr>
              <w:numPr>
                <w:ilvl w:val="0"/>
                <w:numId w:val="174"/>
              </w:numPr>
              <w:spacing w:after="0"/>
              <w:jc w:val="center"/>
            </w:pPr>
            <w:r>
              <w:rPr>
                <w:rFonts w:ascii="Times New Roman" w:eastAsia="Times New Roman" w:hAnsi="Times New Roman" w:cs="Times New Roman"/>
                <w:sz w:val="20"/>
              </w:rPr>
              <w:lastRenderedPageBreak/>
              <w:t>Уақытша орнату</w:t>
            </w:r>
          </w:p>
        </w:tc>
        <w:tc>
          <w:tcPr>
            <w:tcW w:w="1003" w:type="dxa"/>
            <w:tcBorders>
              <w:top w:val="single" w:sz="6" w:space="0" w:color="000000"/>
              <w:left w:val="single" w:sz="6" w:space="0" w:color="000000"/>
              <w:bottom w:val="single" w:sz="6" w:space="0" w:color="000000"/>
              <w:right w:val="single" w:sz="10" w:space="0" w:color="000000"/>
            </w:tcBorders>
          </w:tcPr>
          <w:p w:rsidR="0052701D" w:rsidRDefault="00D40929">
            <w:pPr>
              <w:spacing w:after="0"/>
              <w:ind w:left="196"/>
            </w:pPr>
            <w:r>
              <w:rPr>
                <w:rFonts w:ascii="Times New Roman" w:eastAsia="Times New Roman" w:hAnsi="Times New Roman" w:cs="Times New Roman"/>
                <w:sz w:val="20"/>
              </w:rPr>
              <w:lastRenderedPageBreak/>
              <w:t>Канада</w:t>
            </w:r>
          </w:p>
        </w:tc>
        <w:tc>
          <w:tcPr>
            <w:tcW w:w="791" w:type="dxa"/>
            <w:tcBorders>
              <w:top w:val="single" w:sz="6" w:space="0" w:color="000000"/>
              <w:left w:val="single" w:sz="10" w:space="0" w:color="000000"/>
              <w:bottom w:val="single" w:sz="6" w:space="0" w:color="000000"/>
              <w:right w:val="single" w:sz="11" w:space="0" w:color="000000"/>
            </w:tcBorders>
          </w:tcPr>
          <w:p w:rsidR="0052701D" w:rsidRDefault="00D40929">
            <w:pPr>
              <w:spacing w:after="0"/>
              <w:ind w:left="67"/>
              <w:jc w:val="both"/>
            </w:pPr>
            <w:r>
              <w:rPr>
                <w:rFonts w:ascii="Times New Roman" w:eastAsia="Times New Roman" w:hAnsi="Times New Roman" w:cs="Times New Roman"/>
                <w:sz w:val="20"/>
              </w:rPr>
              <w:t>белгісіз</w:t>
            </w:r>
          </w:p>
        </w:tc>
      </w:tr>
      <w:tr w:rsidR="0052701D">
        <w:trPr>
          <w:trHeight w:val="960"/>
        </w:trPr>
        <w:tc>
          <w:tcPr>
            <w:tcW w:w="2120" w:type="dxa"/>
            <w:tcBorders>
              <w:top w:val="single" w:sz="6" w:space="0" w:color="000000"/>
              <w:left w:val="single" w:sz="6" w:space="0" w:color="000000"/>
              <w:bottom w:val="single" w:sz="6" w:space="0" w:color="000000"/>
              <w:right w:val="single" w:sz="6" w:space="0" w:color="000000"/>
            </w:tcBorders>
          </w:tcPr>
          <w:p w:rsidR="0052701D" w:rsidRDefault="00D40929">
            <w:pPr>
              <w:spacing w:after="0"/>
              <w:jc w:val="center"/>
            </w:pPr>
            <w:r>
              <w:rPr>
                <w:rFonts w:ascii="Times New Roman" w:eastAsia="Times New Roman" w:hAnsi="Times New Roman" w:cs="Times New Roman"/>
                <w:sz w:val="20"/>
              </w:rPr>
              <w:t xml:space="preserve">Мұзды еріткіш картридждер </w:t>
            </w:r>
          </w:p>
        </w:tc>
        <w:tc>
          <w:tcPr>
            <w:tcW w:w="2996" w:type="dxa"/>
            <w:tcBorders>
              <w:top w:val="single" w:sz="6" w:space="0" w:color="000000"/>
              <w:left w:val="single" w:sz="6" w:space="0" w:color="000000"/>
              <w:bottom w:val="single" w:sz="6" w:space="0" w:color="000000"/>
              <w:right w:val="single" w:sz="6" w:space="0" w:color="000000"/>
            </w:tcBorders>
          </w:tcPr>
          <w:p w:rsidR="0052701D" w:rsidRDefault="00D40929">
            <w:pPr>
              <w:spacing w:after="0"/>
              <w:jc w:val="center"/>
            </w:pPr>
            <w:r>
              <w:rPr>
                <w:rFonts w:ascii="Times New Roman" w:eastAsia="Times New Roman" w:hAnsi="Times New Roman" w:cs="Times New Roman"/>
                <w:sz w:val="20"/>
              </w:rPr>
              <w:t>Кәдімгі жер сымдарын мұздан тазарту үшін қолданылады</w:t>
            </w:r>
          </w:p>
        </w:tc>
        <w:tc>
          <w:tcPr>
            <w:tcW w:w="2410" w:type="dxa"/>
            <w:tcBorders>
              <w:top w:val="single" w:sz="6" w:space="0" w:color="000000"/>
              <w:left w:val="single" w:sz="6" w:space="0" w:color="000000"/>
              <w:bottom w:val="single" w:sz="6" w:space="0" w:color="000000"/>
              <w:right w:val="single" w:sz="6" w:space="0" w:color="000000"/>
            </w:tcBorders>
          </w:tcPr>
          <w:p w:rsidR="0052701D" w:rsidRDefault="00D40929">
            <w:pPr>
              <w:numPr>
                <w:ilvl w:val="0"/>
                <w:numId w:val="175"/>
              </w:numPr>
              <w:spacing w:after="0"/>
              <w:ind w:hanging="216"/>
              <w:jc w:val="center"/>
            </w:pPr>
            <w:r>
              <w:rPr>
                <w:rFonts w:ascii="Times New Roman" w:eastAsia="Times New Roman" w:hAnsi="Times New Roman" w:cs="Times New Roman"/>
                <w:sz w:val="20"/>
              </w:rPr>
              <w:t>қысқа мерзімге тиімді</w:t>
            </w:r>
          </w:p>
          <w:p w:rsidR="0052701D" w:rsidRDefault="00D40929">
            <w:pPr>
              <w:numPr>
                <w:ilvl w:val="0"/>
                <w:numId w:val="175"/>
              </w:numPr>
              <w:spacing w:after="0"/>
              <w:ind w:hanging="216"/>
              <w:jc w:val="center"/>
            </w:pPr>
            <w:r>
              <w:rPr>
                <w:rFonts w:ascii="Times New Roman" w:eastAsia="Times New Roman" w:hAnsi="Times New Roman" w:cs="Times New Roman"/>
                <w:sz w:val="20"/>
              </w:rPr>
              <w:t>еңбекті қажет етеді</w:t>
            </w:r>
          </w:p>
          <w:p w:rsidR="0052701D" w:rsidRDefault="00D40929">
            <w:pPr>
              <w:numPr>
                <w:ilvl w:val="0"/>
                <w:numId w:val="175"/>
              </w:numPr>
              <w:spacing w:after="0"/>
              <w:ind w:hanging="216"/>
              <w:jc w:val="center"/>
            </w:pPr>
            <w:r>
              <w:rPr>
                <w:rFonts w:ascii="Times New Roman" w:eastAsia="Times New Roman" w:hAnsi="Times New Roman" w:cs="Times New Roman"/>
                <w:sz w:val="20"/>
              </w:rPr>
              <w:t>қысқа желіге тиімді</w:t>
            </w:r>
          </w:p>
          <w:p w:rsidR="0052701D" w:rsidRDefault="00D40929">
            <w:pPr>
              <w:numPr>
                <w:ilvl w:val="0"/>
                <w:numId w:val="175"/>
              </w:numPr>
              <w:spacing w:after="0"/>
              <w:ind w:hanging="216"/>
              <w:jc w:val="center"/>
            </w:pPr>
            <w:r>
              <w:rPr>
                <w:rFonts w:ascii="Times New Roman" w:eastAsia="Times New Roman" w:hAnsi="Times New Roman" w:cs="Times New Roman"/>
                <w:sz w:val="20"/>
              </w:rPr>
              <w:t>уақытша орнату</w:t>
            </w:r>
          </w:p>
        </w:tc>
        <w:tc>
          <w:tcPr>
            <w:tcW w:w="1003" w:type="dxa"/>
            <w:tcBorders>
              <w:top w:val="single" w:sz="6" w:space="0" w:color="000000"/>
              <w:left w:val="single" w:sz="6" w:space="0" w:color="000000"/>
              <w:bottom w:val="single" w:sz="6" w:space="0" w:color="000000"/>
              <w:right w:val="single" w:sz="10" w:space="0" w:color="000000"/>
            </w:tcBorders>
          </w:tcPr>
          <w:p w:rsidR="0052701D" w:rsidRDefault="00D40929">
            <w:pPr>
              <w:spacing w:after="0"/>
              <w:ind w:left="196"/>
            </w:pPr>
            <w:r>
              <w:rPr>
                <w:rFonts w:ascii="Times New Roman" w:eastAsia="Times New Roman" w:hAnsi="Times New Roman" w:cs="Times New Roman"/>
                <w:sz w:val="20"/>
              </w:rPr>
              <w:t>Канада</w:t>
            </w:r>
          </w:p>
        </w:tc>
        <w:tc>
          <w:tcPr>
            <w:tcW w:w="791" w:type="dxa"/>
            <w:tcBorders>
              <w:top w:val="single" w:sz="6" w:space="0" w:color="000000"/>
              <w:left w:val="single" w:sz="10" w:space="0" w:color="000000"/>
              <w:bottom w:val="single" w:sz="6" w:space="0" w:color="000000"/>
              <w:right w:val="single" w:sz="11" w:space="0" w:color="000000"/>
            </w:tcBorders>
          </w:tcPr>
          <w:p w:rsidR="0052701D" w:rsidRDefault="00D40929">
            <w:pPr>
              <w:spacing w:after="0"/>
              <w:ind w:left="119"/>
            </w:pPr>
            <w:r>
              <w:rPr>
                <w:rFonts w:ascii="Times New Roman" w:eastAsia="Times New Roman" w:hAnsi="Times New Roman" w:cs="Times New Roman"/>
                <w:sz w:val="20"/>
              </w:rPr>
              <w:t>Төмен</w:t>
            </w:r>
          </w:p>
        </w:tc>
      </w:tr>
      <w:tr w:rsidR="0052701D">
        <w:trPr>
          <w:trHeight w:val="1012"/>
        </w:trPr>
        <w:tc>
          <w:tcPr>
            <w:tcW w:w="2120" w:type="dxa"/>
            <w:tcBorders>
              <w:top w:val="single" w:sz="6" w:space="0" w:color="000000"/>
              <w:left w:val="single" w:sz="6" w:space="0" w:color="000000"/>
              <w:bottom w:val="nil"/>
              <w:right w:val="single" w:sz="6" w:space="0" w:color="000000"/>
            </w:tcBorders>
          </w:tcPr>
          <w:p w:rsidR="0052701D" w:rsidRDefault="00D40929">
            <w:pPr>
              <w:spacing w:after="0"/>
              <w:ind w:left="36" w:right="34"/>
              <w:jc w:val="center"/>
            </w:pPr>
            <w:r>
              <w:rPr>
                <w:rFonts w:ascii="Times New Roman" w:eastAsia="Times New Roman" w:hAnsi="Times New Roman" w:cs="Times New Roman"/>
                <w:sz w:val="20"/>
              </w:rPr>
              <w:t>Мұз төгетін құрылғылар</w:t>
            </w:r>
          </w:p>
        </w:tc>
        <w:tc>
          <w:tcPr>
            <w:tcW w:w="2996" w:type="dxa"/>
            <w:tcBorders>
              <w:top w:val="single" w:sz="6" w:space="0" w:color="000000"/>
              <w:left w:val="single" w:sz="6" w:space="0" w:color="000000"/>
              <w:bottom w:val="nil"/>
              <w:right w:val="single" w:sz="6" w:space="0" w:color="000000"/>
            </w:tcBorders>
          </w:tcPr>
          <w:p w:rsidR="0052701D" w:rsidRDefault="00D40929">
            <w:pPr>
              <w:spacing w:after="0" w:line="240" w:lineRule="auto"/>
              <w:jc w:val="center"/>
            </w:pPr>
            <w:r>
              <w:rPr>
                <w:rFonts w:ascii="Times New Roman" w:eastAsia="Times New Roman" w:hAnsi="Times New Roman" w:cs="Times New Roman"/>
                <w:sz w:val="20"/>
              </w:rPr>
              <w:t>Желілік өткізгіштер мен жердегі сымдарды мұздан тазарту үшін</w:t>
            </w:r>
          </w:p>
          <w:p w:rsidR="0052701D" w:rsidRDefault="00D40929">
            <w:pPr>
              <w:spacing w:after="0"/>
              <w:jc w:val="center"/>
            </w:pPr>
            <w:r>
              <w:rPr>
                <w:rFonts w:ascii="Times New Roman" w:eastAsia="Times New Roman" w:hAnsi="Times New Roman" w:cs="Times New Roman"/>
                <w:sz w:val="20"/>
              </w:rPr>
              <w:t>белгілі бір дірілдеу диапазонын енгізу үшін қолданылады</w:t>
            </w:r>
          </w:p>
        </w:tc>
        <w:tc>
          <w:tcPr>
            <w:tcW w:w="2410" w:type="dxa"/>
            <w:tcBorders>
              <w:top w:val="single" w:sz="6" w:space="0" w:color="000000"/>
              <w:left w:val="single" w:sz="6" w:space="0" w:color="000000"/>
              <w:bottom w:val="nil"/>
              <w:right w:val="single" w:sz="6" w:space="0" w:color="000000"/>
            </w:tcBorders>
          </w:tcPr>
          <w:p w:rsidR="0052701D" w:rsidRDefault="00D40929">
            <w:pPr>
              <w:numPr>
                <w:ilvl w:val="0"/>
                <w:numId w:val="176"/>
              </w:numPr>
              <w:spacing w:after="0" w:line="240" w:lineRule="auto"/>
              <w:ind w:firstLine="213"/>
            </w:pPr>
            <w:r>
              <w:rPr>
                <w:rFonts w:ascii="Times New Roman" w:eastAsia="Times New Roman" w:hAnsi="Times New Roman" w:cs="Times New Roman"/>
                <w:sz w:val="20"/>
              </w:rPr>
              <w:t>нақты тиімділігі тексерілмеген</w:t>
            </w:r>
          </w:p>
          <w:p w:rsidR="0052701D" w:rsidRDefault="00D40929">
            <w:pPr>
              <w:numPr>
                <w:ilvl w:val="0"/>
                <w:numId w:val="176"/>
              </w:numPr>
              <w:spacing w:after="0"/>
              <w:ind w:firstLine="213"/>
            </w:pPr>
            <w:r>
              <w:rPr>
                <w:rFonts w:ascii="Times New Roman" w:eastAsia="Times New Roman" w:hAnsi="Times New Roman" w:cs="Times New Roman"/>
                <w:sz w:val="20"/>
              </w:rPr>
              <w:t>ұзақ уақыт бойы қолданылған жағдайда жел</w:t>
            </w:r>
          </w:p>
        </w:tc>
        <w:tc>
          <w:tcPr>
            <w:tcW w:w="1003" w:type="dxa"/>
            <w:tcBorders>
              <w:top w:val="single" w:sz="6" w:space="0" w:color="000000"/>
              <w:left w:val="single" w:sz="6" w:space="0" w:color="000000"/>
              <w:bottom w:val="nil"/>
              <w:right w:val="single" w:sz="10" w:space="0" w:color="000000"/>
            </w:tcBorders>
          </w:tcPr>
          <w:p w:rsidR="0052701D" w:rsidRDefault="00D40929">
            <w:pPr>
              <w:spacing w:after="444"/>
              <w:ind w:left="196"/>
            </w:pPr>
            <w:r>
              <w:rPr>
                <w:rFonts w:ascii="Times New Roman" w:eastAsia="Times New Roman" w:hAnsi="Times New Roman" w:cs="Times New Roman"/>
                <w:sz w:val="20"/>
              </w:rPr>
              <w:t>Канада</w:t>
            </w:r>
          </w:p>
          <w:p w:rsidR="0052701D" w:rsidRDefault="00D40929">
            <w:pPr>
              <w:spacing w:after="0"/>
              <w:ind w:left="-14"/>
            </w:pPr>
            <w:r>
              <w:rPr>
                <w:rFonts w:ascii="Times New Roman" w:eastAsia="Times New Roman" w:hAnsi="Times New Roman" w:cs="Times New Roman"/>
                <w:sz w:val="20"/>
              </w:rPr>
              <w:t>і</w:t>
            </w:r>
          </w:p>
        </w:tc>
        <w:tc>
          <w:tcPr>
            <w:tcW w:w="791" w:type="dxa"/>
            <w:tcBorders>
              <w:top w:val="single" w:sz="6" w:space="0" w:color="000000"/>
              <w:left w:val="single" w:sz="10" w:space="0" w:color="000000"/>
              <w:bottom w:val="nil"/>
              <w:right w:val="single" w:sz="11" w:space="0" w:color="000000"/>
            </w:tcBorders>
          </w:tcPr>
          <w:p w:rsidR="0052701D" w:rsidRDefault="00D40929">
            <w:pPr>
              <w:spacing w:after="0"/>
              <w:ind w:left="67"/>
              <w:jc w:val="both"/>
            </w:pPr>
            <w:r>
              <w:rPr>
                <w:rFonts w:ascii="Times New Roman" w:eastAsia="Times New Roman" w:hAnsi="Times New Roman" w:cs="Times New Roman"/>
                <w:sz w:val="20"/>
              </w:rPr>
              <w:t>белгісіз</w:t>
            </w:r>
          </w:p>
        </w:tc>
      </w:tr>
      <w:tr w:rsidR="0052701D">
        <w:trPr>
          <w:trHeight w:val="940"/>
        </w:trPr>
        <w:tc>
          <w:tcPr>
            <w:tcW w:w="2120" w:type="dxa"/>
            <w:tcBorders>
              <w:top w:val="single" w:sz="6" w:space="0" w:color="000000"/>
              <w:left w:val="single" w:sz="6" w:space="0" w:color="000000"/>
              <w:bottom w:val="single" w:sz="6" w:space="0" w:color="000000"/>
              <w:right w:val="single" w:sz="6" w:space="0" w:color="000000"/>
            </w:tcBorders>
          </w:tcPr>
          <w:p w:rsidR="0052701D" w:rsidRDefault="0052701D"/>
        </w:tc>
        <w:tc>
          <w:tcPr>
            <w:tcW w:w="2996" w:type="dxa"/>
            <w:tcBorders>
              <w:top w:val="single" w:sz="6" w:space="0" w:color="000000"/>
              <w:left w:val="single" w:sz="6" w:space="0" w:color="000000"/>
              <w:bottom w:val="single" w:sz="6" w:space="0" w:color="000000"/>
              <w:right w:val="single" w:sz="6" w:space="0" w:color="000000"/>
            </w:tcBorders>
          </w:tcPr>
          <w:p w:rsidR="0052701D" w:rsidRDefault="0052701D"/>
        </w:tc>
        <w:tc>
          <w:tcPr>
            <w:tcW w:w="2410"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24"/>
              <w:jc w:val="center"/>
            </w:pPr>
            <w:r>
              <w:rPr>
                <w:rFonts w:ascii="Times New Roman" w:eastAsia="Times New Roman" w:hAnsi="Times New Roman" w:cs="Times New Roman"/>
                <w:sz w:val="20"/>
              </w:rPr>
              <w:t>зақымдалуы мүмкін</w:t>
            </w:r>
          </w:p>
          <w:p w:rsidR="0052701D" w:rsidRDefault="00D40929">
            <w:pPr>
              <w:numPr>
                <w:ilvl w:val="0"/>
                <w:numId w:val="177"/>
              </w:numPr>
              <w:spacing w:after="2" w:line="238" w:lineRule="auto"/>
              <w:jc w:val="center"/>
            </w:pPr>
            <w:r>
              <w:rPr>
                <w:rFonts w:ascii="Times New Roman" w:eastAsia="Times New Roman" w:hAnsi="Times New Roman" w:cs="Times New Roman"/>
                <w:sz w:val="20"/>
              </w:rPr>
              <w:t>кез келген желі ұзындығына қолданылады</w:t>
            </w:r>
          </w:p>
          <w:p w:rsidR="0052701D" w:rsidRDefault="00D40929">
            <w:pPr>
              <w:numPr>
                <w:ilvl w:val="0"/>
                <w:numId w:val="177"/>
              </w:numPr>
              <w:spacing w:after="0"/>
              <w:jc w:val="center"/>
            </w:pPr>
            <w:r>
              <w:rPr>
                <w:rFonts w:ascii="Times New Roman" w:eastAsia="Times New Roman" w:hAnsi="Times New Roman" w:cs="Times New Roman"/>
                <w:sz w:val="20"/>
              </w:rPr>
              <w:t>тұрақты қондырғы</w:t>
            </w:r>
          </w:p>
        </w:tc>
        <w:tc>
          <w:tcPr>
            <w:tcW w:w="1003" w:type="dxa"/>
            <w:tcBorders>
              <w:top w:val="single" w:sz="6" w:space="0" w:color="000000"/>
              <w:left w:val="single" w:sz="6" w:space="0" w:color="000000"/>
              <w:bottom w:val="single" w:sz="6" w:space="0" w:color="000000"/>
              <w:right w:val="single" w:sz="6" w:space="0" w:color="000000"/>
            </w:tcBorders>
          </w:tcPr>
          <w:p w:rsidR="0052701D" w:rsidRDefault="0052701D"/>
        </w:tc>
        <w:tc>
          <w:tcPr>
            <w:tcW w:w="791" w:type="dxa"/>
            <w:tcBorders>
              <w:top w:val="single" w:sz="6" w:space="0" w:color="000000"/>
              <w:left w:val="single" w:sz="6" w:space="0" w:color="000000"/>
              <w:bottom w:val="single" w:sz="6" w:space="0" w:color="000000"/>
              <w:right w:val="single" w:sz="6" w:space="0" w:color="000000"/>
            </w:tcBorders>
          </w:tcPr>
          <w:p w:rsidR="0052701D" w:rsidRDefault="0052701D"/>
        </w:tc>
      </w:tr>
      <w:tr w:rsidR="0052701D">
        <w:trPr>
          <w:trHeight w:val="1170"/>
        </w:trPr>
        <w:tc>
          <w:tcPr>
            <w:tcW w:w="2120"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firstLine="15"/>
              <w:jc w:val="center"/>
            </w:pPr>
            <w:r>
              <w:rPr>
                <w:rFonts w:ascii="Times New Roman" w:eastAsia="Times New Roman" w:hAnsi="Times New Roman" w:cs="Times New Roman"/>
                <w:sz w:val="20"/>
              </w:rPr>
              <w:t>Желіні айналдыру(бұрау) құрылғылары</w:t>
            </w:r>
          </w:p>
        </w:tc>
        <w:tc>
          <w:tcPr>
            <w:tcW w:w="2996"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344" w:hanging="302"/>
              <w:jc w:val="both"/>
            </w:pPr>
            <w:r>
              <w:rPr>
                <w:rFonts w:ascii="Times New Roman" w:eastAsia="Times New Roman" w:hAnsi="Times New Roman" w:cs="Times New Roman"/>
                <w:sz w:val="20"/>
              </w:rPr>
              <w:t xml:space="preserve">Өткізгіштерді механикалық бұрау арқылы   мұздан </w:t>
            </w:r>
            <w:r>
              <w:rPr>
                <w:rFonts w:ascii="Times New Roman" w:eastAsia="Times New Roman" w:hAnsi="Times New Roman" w:cs="Times New Roman"/>
                <w:sz w:val="20"/>
              </w:rPr>
              <w:t>тазартады</w:t>
            </w:r>
          </w:p>
        </w:tc>
        <w:tc>
          <w:tcPr>
            <w:tcW w:w="2410" w:type="dxa"/>
            <w:tcBorders>
              <w:top w:val="single" w:sz="6" w:space="0" w:color="000000"/>
              <w:left w:val="single" w:sz="6" w:space="0" w:color="000000"/>
              <w:bottom w:val="single" w:sz="6" w:space="0" w:color="000000"/>
              <w:right w:val="single" w:sz="6" w:space="0" w:color="000000"/>
            </w:tcBorders>
          </w:tcPr>
          <w:p w:rsidR="0052701D" w:rsidRDefault="00D40929">
            <w:pPr>
              <w:numPr>
                <w:ilvl w:val="0"/>
                <w:numId w:val="178"/>
              </w:numPr>
              <w:spacing w:after="2" w:line="238" w:lineRule="auto"/>
              <w:jc w:val="center"/>
            </w:pPr>
            <w:r>
              <w:rPr>
                <w:rFonts w:ascii="Times New Roman" w:eastAsia="Times New Roman" w:hAnsi="Times New Roman" w:cs="Times New Roman"/>
                <w:sz w:val="20"/>
              </w:rPr>
              <w:t>нақты тиімділігі тексерілмеген</w:t>
            </w:r>
          </w:p>
          <w:p w:rsidR="0052701D" w:rsidRDefault="00D40929">
            <w:pPr>
              <w:numPr>
                <w:ilvl w:val="0"/>
                <w:numId w:val="178"/>
              </w:numPr>
              <w:spacing w:after="2" w:line="238" w:lineRule="auto"/>
              <w:jc w:val="center"/>
            </w:pPr>
            <w:r>
              <w:rPr>
                <w:rFonts w:ascii="Times New Roman" w:eastAsia="Times New Roman" w:hAnsi="Times New Roman" w:cs="Times New Roman"/>
                <w:sz w:val="20"/>
              </w:rPr>
              <w:t>кез келген желі ұзындығына қолданылады</w:t>
            </w:r>
          </w:p>
          <w:p w:rsidR="0052701D" w:rsidRDefault="00D40929">
            <w:pPr>
              <w:numPr>
                <w:ilvl w:val="0"/>
                <w:numId w:val="178"/>
              </w:numPr>
              <w:spacing w:after="0"/>
              <w:jc w:val="center"/>
            </w:pPr>
            <w:r>
              <w:rPr>
                <w:rFonts w:ascii="Times New Roman" w:eastAsia="Times New Roman" w:hAnsi="Times New Roman" w:cs="Times New Roman"/>
                <w:sz w:val="20"/>
              </w:rPr>
              <w:t>тұрақты қондырғы</w:t>
            </w:r>
          </w:p>
        </w:tc>
        <w:tc>
          <w:tcPr>
            <w:tcW w:w="1003"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96"/>
            </w:pPr>
            <w:r>
              <w:rPr>
                <w:rFonts w:ascii="Times New Roman" w:eastAsia="Times New Roman" w:hAnsi="Times New Roman" w:cs="Times New Roman"/>
                <w:sz w:val="20"/>
              </w:rPr>
              <w:t>Канада</w:t>
            </w:r>
          </w:p>
        </w:tc>
        <w:tc>
          <w:tcPr>
            <w:tcW w:w="791"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24"/>
            </w:pPr>
            <w:r>
              <w:rPr>
                <w:rFonts w:ascii="Times New Roman" w:eastAsia="Times New Roman" w:hAnsi="Times New Roman" w:cs="Times New Roman"/>
                <w:sz w:val="20"/>
              </w:rPr>
              <w:t>Төмен</w:t>
            </w:r>
          </w:p>
        </w:tc>
      </w:tr>
      <w:tr w:rsidR="0052701D">
        <w:trPr>
          <w:trHeight w:val="974"/>
        </w:trPr>
        <w:tc>
          <w:tcPr>
            <w:tcW w:w="2120"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20"/>
              <w:jc w:val="center"/>
            </w:pPr>
            <w:r>
              <w:rPr>
                <w:rFonts w:ascii="Times New Roman" w:eastAsia="Times New Roman" w:hAnsi="Times New Roman" w:cs="Times New Roman"/>
                <w:sz w:val="20"/>
              </w:rPr>
              <w:t>Ірі тросқа бекітілген</w:t>
            </w:r>
          </w:p>
          <w:p w:rsidR="0052701D" w:rsidRDefault="00D40929">
            <w:pPr>
              <w:spacing w:after="0"/>
              <w:ind w:left="21"/>
              <w:jc w:val="center"/>
            </w:pPr>
            <w:r>
              <w:rPr>
                <w:rFonts w:ascii="Times New Roman" w:eastAsia="Times New Roman" w:hAnsi="Times New Roman" w:cs="Times New Roman"/>
                <w:sz w:val="20"/>
              </w:rPr>
              <w:t>жүк</w:t>
            </w:r>
          </w:p>
        </w:tc>
        <w:tc>
          <w:tcPr>
            <w:tcW w:w="2996" w:type="dxa"/>
            <w:tcBorders>
              <w:top w:val="single" w:sz="6" w:space="0" w:color="000000"/>
              <w:left w:val="single" w:sz="6" w:space="0" w:color="000000"/>
              <w:bottom w:val="single" w:sz="6" w:space="0" w:color="000000"/>
              <w:right w:val="single" w:sz="6" w:space="0" w:color="000000"/>
            </w:tcBorders>
          </w:tcPr>
          <w:p w:rsidR="0052701D" w:rsidRDefault="00D40929">
            <w:pPr>
              <w:spacing w:after="0"/>
              <w:jc w:val="center"/>
            </w:pPr>
            <w:r>
              <w:rPr>
                <w:rFonts w:ascii="Times New Roman" w:eastAsia="Times New Roman" w:hAnsi="Times New Roman" w:cs="Times New Roman"/>
                <w:sz w:val="20"/>
              </w:rPr>
              <w:t>Тікұшақтар көмегімен таулы аймақтарда қарды желілерден түсіру үшін қолданылады</w:t>
            </w:r>
          </w:p>
        </w:tc>
        <w:tc>
          <w:tcPr>
            <w:tcW w:w="2410" w:type="dxa"/>
            <w:tcBorders>
              <w:top w:val="single" w:sz="6" w:space="0" w:color="000000"/>
              <w:left w:val="single" w:sz="6" w:space="0" w:color="000000"/>
              <w:bottom w:val="single" w:sz="6" w:space="0" w:color="000000"/>
              <w:right w:val="single" w:sz="6" w:space="0" w:color="000000"/>
            </w:tcBorders>
          </w:tcPr>
          <w:p w:rsidR="0052701D" w:rsidRDefault="00D40929">
            <w:pPr>
              <w:numPr>
                <w:ilvl w:val="0"/>
                <w:numId w:val="179"/>
              </w:numPr>
              <w:spacing w:after="0"/>
              <w:ind w:hanging="216"/>
              <w:jc w:val="center"/>
            </w:pPr>
            <w:r>
              <w:rPr>
                <w:rFonts w:ascii="Times New Roman" w:eastAsia="Times New Roman" w:hAnsi="Times New Roman" w:cs="Times New Roman"/>
                <w:sz w:val="20"/>
              </w:rPr>
              <w:t>жедел жүзеге асады</w:t>
            </w:r>
          </w:p>
          <w:p w:rsidR="0052701D" w:rsidRDefault="00D40929">
            <w:pPr>
              <w:numPr>
                <w:ilvl w:val="0"/>
                <w:numId w:val="179"/>
              </w:numPr>
              <w:spacing w:after="0"/>
              <w:ind w:hanging="216"/>
              <w:jc w:val="center"/>
            </w:pPr>
            <w:r>
              <w:rPr>
                <w:rFonts w:ascii="Times New Roman" w:eastAsia="Times New Roman" w:hAnsi="Times New Roman" w:cs="Times New Roman"/>
                <w:sz w:val="20"/>
              </w:rPr>
              <w:t>тікұшақ қажет</w:t>
            </w:r>
          </w:p>
          <w:p w:rsidR="0052701D" w:rsidRDefault="00D40929">
            <w:pPr>
              <w:numPr>
                <w:ilvl w:val="0"/>
                <w:numId w:val="179"/>
              </w:numPr>
              <w:spacing w:after="0"/>
              <w:ind w:hanging="216"/>
              <w:jc w:val="center"/>
            </w:pPr>
            <w:r>
              <w:rPr>
                <w:rFonts w:ascii="Times New Roman" w:eastAsia="Times New Roman" w:hAnsi="Times New Roman" w:cs="Times New Roman"/>
                <w:sz w:val="20"/>
              </w:rPr>
              <w:t>қысқа желіге тиімді</w:t>
            </w:r>
          </w:p>
          <w:p w:rsidR="0052701D" w:rsidRDefault="00D40929">
            <w:pPr>
              <w:numPr>
                <w:ilvl w:val="0"/>
                <w:numId w:val="179"/>
              </w:numPr>
              <w:spacing w:after="0"/>
              <w:ind w:hanging="216"/>
              <w:jc w:val="center"/>
            </w:pPr>
            <w:r>
              <w:rPr>
                <w:rFonts w:ascii="Times New Roman" w:eastAsia="Times New Roman" w:hAnsi="Times New Roman" w:cs="Times New Roman"/>
                <w:sz w:val="20"/>
              </w:rPr>
              <w:t>уақытша пайдалану</w:t>
            </w:r>
          </w:p>
        </w:tc>
        <w:tc>
          <w:tcPr>
            <w:tcW w:w="1003"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96"/>
            </w:pPr>
            <w:r>
              <w:rPr>
                <w:rFonts w:ascii="Times New Roman" w:eastAsia="Times New Roman" w:hAnsi="Times New Roman" w:cs="Times New Roman"/>
                <w:sz w:val="20"/>
              </w:rPr>
              <w:t>Канада</w:t>
            </w:r>
          </w:p>
        </w:tc>
        <w:tc>
          <w:tcPr>
            <w:tcW w:w="791"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64"/>
              <w:jc w:val="both"/>
            </w:pPr>
            <w:r>
              <w:rPr>
                <w:rFonts w:ascii="Times New Roman" w:eastAsia="Times New Roman" w:hAnsi="Times New Roman" w:cs="Times New Roman"/>
                <w:sz w:val="20"/>
              </w:rPr>
              <w:t>Орташа</w:t>
            </w:r>
          </w:p>
        </w:tc>
      </w:tr>
      <w:tr w:rsidR="0052701D">
        <w:trPr>
          <w:trHeight w:val="1402"/>
        </w:trPr>
        <w:tc>
          <w:tcPr>
            <w:tcW w:w="2120" w:type="dxa"/>
            <w:tcBorders>
              <w:top w:val="single" w:sz="6" w:space="0" w:color="000000"/>
              <w:left w:val="single" w:sz="6" w:space="0" w:color="000000"/>
              <w:bottom w:val="single" w:sz="6" w:space="0" w:color="000000"/>
              <w:right w:val="single" w:sz="6" w:space="0" w:color="000000"/>
            </w:tcBorders>
          </w:tcPr>
          <w:p w:rsidR="0052701D" w:rsidRDefault="00D40929">
            <w:pPr>
              <w:spacing w:after="0"/>
              <w:jc w:val="center"/>
            </w:pPr>
            <w:r>
              <w:rPr>
                <w:rFonts w:ascii="Times New Roman" w:eastAsia="Times New Roman" w:hAnsi="Times New Roman" w:cs="Times New Roman"/>
                <w:sz w:val="20"/>
              </w:rPr>
              <w:t>Электр жүктемесін ауыстыру әдісі</w:t>
            </w:r>
          </w:p>
        </w:tc>
        <w:tc>
          <w:tcPr>
            <w:tcW w:w="2996"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firstLine="76"/>
              <w:jc w:val="center"/>
            </w:pPr>
            <w:r>
              <w:rPr>
                <w:rFonts w:ascii="Times New Roman" w:eastAsia="Times New Roman" w:hAnsi="Times New Roman" w:cs="Times New Roman"/>
                <w:sz w:val="20"/>
              </w:rPr>
              <w:t>Желілік өткізгіштердің жүктемелерін басқа тізбектерден беру немесе ауыстыру арқылы мұздануға қарсы және мұздан тазарту үшін қолданылады</w:t>
            </w:r>
          </w:p>
        </w:tc>
        <w:tc>
          <w:tcPr>
            <w:tcW w:w="2410" w:type="dxa"/>
            <w:tcBorders>
              <w:top w:val="single" w:sz="6" w:space="0" w:color="000000"/>
              <w:left w:val="single" w:sz="6" w:space="0" w:color="000000"/>
              <w:bottom w:val="single" w:sz="6" w:space="0" w:color="000000"/>
              <w:right w:val="single" w:sz="6" w:space="0" w:color="000000"/>
            </w:tcBorders>
          </w:tcPr>
          <w:p w:rsidR="0052701D" w:rsidRDefault="00D40929">
            <w:pPr>
              <w:numPr>
                <w:ilvl w:val="0"/>
                <w:numId w:val="180"/>
              </w:numPr>
              <w:spacing w:after="0"/>
              <w:jc w:val="center"/>
            </w:pPr>
            <w:r>
              <w:rPr>
                <w:rFonts w:ascii="Times New Roman" w:eastAsia="Times New Roman" w:hAnsi="Times New Roman" w:cs="Times New Roman"/>
                <w:sz w:val="20"/>
              </w:rPr>
              <w:t>жедел жүзеге асады</w:t>
            </w:r>
          </w:p>
          <w:p w:rsidR="0052701D" w:rsidRDefault="00D40929">
            <w:pPr>
              <w:numPr>
                <w:ilvl w:val="0"/>
                <w:numId w:val="180"/>
              </w:numPr>
              <w:spacing w:after="2" w:line="238" w:lineRule="auto"/>
              <w:jc w:val="center"/>
            </w:pPr>
            <w:r>
              <w:rPr>
                <w:rFonts w:ascii="Times New Roman" w:eastAsia="Times New Roman" w:hAnsi="Times New Roman" w:cs="Times New Roman"/>
                <w:sz w:val="20"/>
              </w:rPr>
              <w:t>тек бір желіде жұмыс істейді</w:t>
            </w:r>
          </w:p>
          <w:p w:rsidR="0052701D" w:rsidRDefault="00D40929">
            <w:pPr>
              <w:numPr>
                <w:ilvl w:val="0"/>
                <w:numId w:val="180"/>
              </w:numPr>
              <w:spacing w:after="2" w:line="238" w:lineRule="auto"/>
              <w:jc w:val="center"/>
            </w:pPr>
            <w:r>
              <w:rPr>
                <w:rFonts w:ascii="Times New Roman" w:eastAsia="Times New Roman" w:hAnsi="Times New Roman" w:cs="Times New Roman"/>
                <w:sz w:val="20"/>
              </w:rPr>
              <w:t>ұзындығы орташа желіде  тиімді</w:t>
            </w:r>
          </w:p>
          <w:p w:rsidR="0052701D" w:rsidRDefault="00D40929">
            <w:pPr>
              <w:numPr>
                <w:ilvl w:val="0"/>
                <w:numId w:val="180"/>
              </w:numPr>
              <w:spacing w:after="0"/>
              <w:jc w:val="center"/>
            </w:pPr>
            <w:r>
              <w:rPr>
                <w:rFonts w:ascii="Times New Roman" w:eastAsia="Times New Roman" w:hAnsi="Times New Roman" w:cs="Times New Roman"/>
                <w:sz w:val="20"/>
              </w:rPr>
              <w:t>тұрақты қондырғы</w:t>
            </w:r>
          </w:p>
        </w:tc>
        <w:tc>
          <w:tcPr>
            <w:tcW w:w="1003" w:type="dxa"/>
            <w:tcBorders>
              <w:top w:val="single" w:sz="6" w:space="0" w:color="000000"/>
              <w:left w:val="single" w:sz="6" w:space="0" w:color="000000"/>
              <w:bottom w:val="single" w:sz="6" w:space="0" w:color="000000"/>
              <w:right w:val="single" w:sz="6" w:space="0" w:color="000000"/>
            </w:tcBorders>
          </w:tcPr>
          <w:p w:rsidR="0052701D" w:rsidRDefault="00D40929">
            <w:pPr>
              <w:spacing w:after="0"/>
              <w:jc w:val="center"/>
            </w:pPr>
            <w:r>
              <w:rPr>
                <w:rFonts w:ascii="Times New Roman" w:eastAsia="Times New Roman" w:hAnsi="Times New Roman" w:cs="Times New Roman"/>
                <w:sz w:val="20"/>
              </w:rPr>
              <w:t>Көптеген елдерде</w:t>
            </w:r>
          </w:p>
        </w:tc>
        <w:tc>
          <w:tcPr>
            <w:tcW w:w="791"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24"/>
            </w:pPr>
            <w:r>
              <w:rPr>
                <w:rFonts w:ascii="Times New Roman" w:eastAsia="Times New Roman" w:hAnsi="Times New Roman" w:cs="Times New Roman"/>
                <w:sz w:val="20"/>
              </w:rPr>
              <w:t>Төмен</w:t>
            </w:r>
          </w:p>
        </w:tc>
      </w:tr>
      <w:tr w:rsidR="0052701D">
        <w:trPr>
          <w:trHeight w:val="2094"/>
        </w:trPr>
        <w:tc>
          <w:tcPr>
            <w:tcW w:w="2120"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20"/>
              <w:jc w:val="center"/>
            </w:pPr>
            <w:r>
              <w:rPr>
                <w:rFonts w:ascii="Times New Roman" w:eastAsia="Times New Roman" w:hAnsi="Times New Roman" w:cs="Times New Roman"/>
                <w:sz w:val="20"/>
              </w:rPr>
              <w:t>төмендетілген</w:t>
            </w:r>
          </w:p>
          <w:p w:rsidR="0052701D" w:rsidRDefault="00D40929">
            <w:pPr>
              <w:spacing w:after="0"/>
              <w:jc w:val="center"/>
            </w:pPr>
            <w:r>
              <w:rPr>
                <w:rFonts w:ascii="Times New Roman" w:eastAsia="Times New Roman" w:hAnsi="Times New Roman" w:cs="Times New Roman"/>
                <w:sz w:val="20"/>
              </w:rPr>
              <w:t>кернеудің қысқа тұйықталу әдісі</w:t>
            </w:r>
          </w:p>
        </w:tc>
        <w:tc>
          <w:tcPr>
            <w:tcW w:w="2996" w:type="dxa"/>
            <w:tcBorders>
              <w:top w:val="single" w:sz="6" w:space="0" w:color="000000"/>
              <w:left w:val="single" w:sz="6" w:space="0" w:color="000000"/>
              <w:bottom w:val="single" w:sz="6" w:space="0" w:color="000000"/>
              <w:right w:val="single" w:sz="6" w:space="0" w:color="000000"/>
            </w:tcBorders>
          </w:tcPr>
          <w:p w:rsidR="0052701D" w:rsidRDefault="00D40929">
            <w:pPr>
              <w:spacing w:after="2" w:line="238" w:lineRule="auto"/>
              <w:jc w:val="center"/>
            </w:pPr>
            <w:r>
              <w:rPr>
                <w:rFonts w:ascii="Times New Roman" w:eastAsia="Times New Roman" w:hAnsi="Times New Roman" w:cs="Times New Roman"/>
                <w:sz w:val="20"/>
              </w:rPr>
              <w:t>3 фазалы қысқа тұйықталуды қолдану</w:t>
            </w:r>
          </w:p>
          <w:p w:rsidR="0052701D" w:rsidRDefault="00D40929">
            <w:pPr>
              <w:spacing w:after="0"/>
              <w:ind w:left="16" w:hanging="16"/>
              <w:jc w:val="center"/>
            </w:pPr>
            <w:r>
              <w:rPr>
                <w:rFonts w:ascii="Times New Roman" w:eastAsia="Times New Roman" w:hAnsi="Times New Roman" w:cs="Times New Roman"/>
                <w:sz w:val="20"/>
              </w:rPr>
              <w:t xml:space="preserve">арқылы желілік өткізгіштердің мұ здануына қарсы және мұздан тазарту үшін </w:t>
            </w:r>
            <w:r>
              <w:rPr>
                <w:rFonts w:ascii="Times New Roman" w:eastAsia="Times New Roman" w:hAnsi="Times New Roman" w:cs="Times New Roman"/>
                <w:sz w:val="20"/>
              </w:rPr>
              <w:t>қолданылады</w:t>
            </w:r>
          </w:p>
        </w:tc>
        <w:tc>
          <w:tcPr>
            <w:tcW w:w="2410" w:type="dxa"/>
            <w:tcBorders>
              <w:top w:val="single" w:sz="6" w:space="0" w:color="000000"/>
              <w:left w:val="single" w:sz="6" w:space="0" w:color="000000"/>
              <w:bottom w:val="single" w:sz="6" w:space="0" w:color="000000"/>
              <w:right w:val="single" w:sz="6" w:space="0" w:color="000000"/>
            </w:tcBorders>
          </w:tcPr>
          <w:p w:rsidR="0052701D" w:rsidRDefault="00D40929">
            <w:pPr>
              <w:numPr>
                <w:ilvl w:val="0"/>
                <w:numId w:val="181"/>
              </w:numPr>
              <w:spacing w:after="0"/>
              <w:ind w:hanging="182"/>
            </w:pPr>
            <w:r>
              <w:rPr>
                <w:rFonts w:ascii="Times New Roman" w:eastAsia="Times New Roman" w:hAnsi="Times New Roman" w:cs="Times New Roman"/>
                <w:sz w:val="20"/>
              </w:rPr>
              <w:t>жедел жүзеге асады</w:t>
            </w:r>
          </w:p>
          <w:p w:rsidR="0052701D" w:rsidRDefault="00D40929">
            <w:pPr>
              <w:numPr>
                <w:ilvl w:val="0"/>
                <w:numId w:val="181"/>
              </w:numPr>
              <w:spacing w:after="0" w:line="240" w:lineRule="auto"/>
              <w:ind w:hanging="182"/>
            </w:pPr>
            <w:r>
              <w:rPr>
                <w:rFonts w:ascii="Times New Roman" w:eastAsia="Times New Roman" w:hAnsi="Times New Roman" w:cs="Times New Roman"/>
                <w:sz w:val="20"/>
              </w:rPr>
              <w:t>электр қуатына деген қажеттіліктің жоғары</w:t>
            </w:r>
          </w:p>
          <w:p w:rsidR="0052701D" w:rsidRDefault="00D40929">
            <w:pPr>
              <w:spacing w:after="0" w:line="240" w:lineRule="auto"/>
              <w:ind w:left="484" w:hanging="454"/>
            </w:pPr>
            <w:r>
              <w:rPr>
                <w:rFonts w:ascii="Times New Roman" w:eastAsia="Times New Roman" w:hAnsi="Times New Roman" w:cs="Times New Roman"/>
                <w:sz w:val="20"/>
              </w:rPr>
              <w:t>болуына байланысты орта деңгейлі электр</w:t>
            </w:r>
          </w:p>
          <w:p w:rsidR="0052701D" w:rsidRDefault="00D40929">
            <w:pPr>
              <w:spacing w:after="0"/>
              <w:ind w:right="85"/>
              <w:jc w:val="center"/>
            </w:pPr>
            <w:r>
              <w:rPr>
                <w:rFonts w:ascii="Times New Roman" w:eastAsia="Times New Roman" w:hAnsi="Times New Roman" w:cs="Times New Roman"/>
                <w:sz w:val="20"/>
              </w:rPr>
              <w:t>желілерінде тиімді</w:t>
            </w:r>
          </w:p>
          <w:p w:rsidR="0052701D" w:rsidRDefault="00D40929">
            <w:pPr>
              <w:numPr>
                <w:ilvl w:val="0"/>
                <w:numId w:val="181"/>
              </w:numPr>
              <w:spacing w:after="2" w:line="238" w:lineRule="auto"/>
              <w:ind w:hanging="182"/>
            </w:pPr>
            <w:r>
              <w:rPr>
                <w:rFonts w:ascii="Times New Roman" w:eastAsia="Times New Roman" w:hAnsi="Times New Roman" w:cs="Times New Roman"/>
                <w:sz w:val="20"/>
              </w:rPr>
              <w:t>ұзындығы  орташа желілерде тиімді</w:t>
            </w:r>
          </w:p>
          <w:p w:rsidR="0052701D" w:rsidRDefault="00D40929">
            <w:pPr>
              <w:numPr>
                <w:ilvl w:val="0"/>
                <w:numId w:val="181"/>
              </w:numPr>
              <w:spacing w:after="0"/>
              <w:ind w:hanging="182"/>
            </w:pPr>
            <w:r>
              <w:rPr>
                <w:rFonts w:ascii="Times New Roman" w:eastAsia="Times New Roman" w:hAnsi="Times New Roman" w:cs="Times New Roman"/>
                <w:sz w:val="20"/>
              </w:rPr>
              <w:t>тұрақты қондырғы</w:t>
            </w:r>
          </w:p>
        </w:tc>
        <w:tc>
          <w:tcPr>
            <w:tcW w:w="1003" w:type="dxa"/>
            <w:tcBorders>
              <w:top w:val="single" w:sz="6" w:space="0" w:color="000000"/>
              <w:left w:val="single" w:sz="6" w:space="0" w:color="000000"/>
              <w:bottom w:val="single" w:sz="6" w:space="0" w:color="000000"/>
              <w:right w:val="single" w:sz="6" w:space="0" w:color="000000"/>
            </w:tcBorders>
          </w:tcPr>
          <w:p w:rsidR="0052701D" w:rsidRDefault="00D40929">
            <w:pPr>
              <w:spacing w:after="0"/>
              <w:jc w:val="center"/>
            </w:pPr>
            <w:r>
              <w:rPr>
                <w:rFonts w:ascii="Times New Roman" w:eastAsia="Times New Roman" w:hAnsi="Times New Roman" w:cs="Times New Roman"/>
                <w:sz w:val="20"/>
              </w:rPr>
              <w:t>Көптеген елдерде</w:t>
            </w:r>
          </w:p>
        </w:tc>
        <w:tc>
          <w:tcPr>
            <w:tcW w:w="791"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64"/>
              <w:jc w:val="both"/>
            </w:pPr>
            <w:r>
              <w:rPr>
                <w:rFonts w:ascii="Times New Roman" w:eastAsia="Times New Roman" w:hAnsi="Times New Roman" w:cs="Times New Roman"/>
                <w:sz w:val="20"/>
              </w:rPr>
              <w:t>Орташа</w:t>
            </w:r>
          </w:p>
        </w:tc>
      </w:tr>
      <w:tr w:rsidR="0052701D">
        <w:trPr>
          <w:trHeight w:val="1632"/>
        </w:trPr>
        <w:tc>
          <w:tcPr>
            <w:tcW w:w="2120"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20"/>
              <w:jc w:val="center"/>
            </w:pPr>
            <w:r>
              <w:rPr>
                <w:rFonts w:ascii="Times New Roman" w:eastAsia="Times New Roman" w:hAnsi="Times New Roman" w:cs="Times New Roman"/>
                <w:sz w:val="20"/>
              </w:rPr>
              <w:t>Тұрақты ток әдісі</w:t>
            </w:r>
          </w:p>
        </w:tc>
        <w:tc>
          <w:tcPr>
            <w:tcW w:w="2996" w:type="dxa"/>
            <w:tcBorders>
              <w:top w:val="single" w:sz="6" w:space="0" w:color="000000"/>
              <w:left w:val="single" w:sz="6" w:space="0" w:color="000000"/>
              <w:bottom w:val="single" w:sz="6" w:space="0" w:color="000000"/>
              <w:right w:val="single" w:sz="6" w:space="0" w:color="000000"/>
            </w:tcBorders>
          </w:tcPr>
          <w:p w:rsidR="0052701D" w:rsidRDefault="00D40929">
            <w:pPr>
              <w:spacing w:after="2" w:line="238" w:lineRule="auto"/>
              <w:jc w:val="center"/>
            </w:pPr>
            <w:r>
              <w:rPr>
                <w:rFonts w:ascii="Times New Roman" w:eastAsia="Times New Roman" w:hAnsi="Times New Roman" w:cs="Times New Roman"/>
                <w:sz w:val="20"/>
              </w:rPr>
              <w:t>Тұрақты токты фазалық өткізгіштер арқылы кезең-</w:t>
            </w:r>
          </w:p>
          <w:p w:rsidR="0052701D" w:rsidRDefault="00D40929">
            <w:pPr>
              <w:spacing w:after="0"/>
              <w:ind w:left="58"/>
              <w:jc w:val="both"/>
            </w:pPr>
            <w:r>
              <w:rPr>
                <w:rFonts w:ascii="Times New Roman" w:eastAsia="Times New Roman" w:hAnsi="Times New Roman" w:cs="Times New Roman"/>
                <w:sz w:val="20"/>
              </w:rPr>
              <w:t>кезеңмен жүргізу арқылы жоғары</w:t>
            </w:r>
          </w:p>
          <w:p w:rsidR="0052701D" w:rsidRDefault="00D40929">
            <w:pPr>
              <w:spacing w:after="0" w:line="240" w:lineRule="auto"/>
              <w:jc w:val="center"/>
            </w:pPr>
            <w:r>
              <w:rPr>
                <w:rFonts w:ascii="Times New Roman" w:eastAsia="Times New Roman" w:hAnsi="Times New Roman" w:cs="Times New Roman"/>
                <w:sz w:val="20"/>
              </w:rPr>
              <w:t>ток желілерінің ұзын учаскелерін мұздан тазарту үшін</w:t>
            </w:r>
          </w:p>
          <w:p w:rsidR="0052701D" w:rsidRDefault="00D40929">
            <w:pPr>
              <w:spacing w:after="0"/>
              <w:jc w:val="center"/>
            </w:pPr>
            <w:r>
              <w:rPr>
                <w:rFonts w:ascii="Times New Roman" w:eastAsia="Times New Roman" w:hAnsi="Times New Roman" w:cs="Times New Roman"/>
                <w:sz w:val="20"/>
              </w:rPr>
              <w:t>қолданылады. Жер сымдарына да қолдануға болады.</w:t>
            </w:r>
          </w:p>
        </w:tc>
        <w:tc>
          <w:tcPr>
            <w:tcW w:w="2410" w:type="dxa"/>
            <w:tcBorders>
              <w:top w:val="single" w:sz="6" w:space="0" w:color="000000"/>
              <w:left w:val="single" w:sz="6" w:space="0" w:color="000000"/>
              <w:bottom w:val="single" w:sz="6" w:space="0" w:color="000000"/>
              <w:right w:val="single" w:sz="6" w:space="0" w:color="000000"/>
            </w:tcBorders>
          </w:tcPr>
          <w:p w:rsidR="0052701D" w:rsidRDefault="00D40929">
            <w:pPr>
              <w:numPr>
                <w:ilvl w:val="0"/>
                <w:numId w:val="182"/>
              </w:numPr>
              <w:spacing w:after="0"/>
              <w:ind w:hanging="118"/>
              <w:jc w:val="center"/>
            </w:pPr>
            <w:r>
              <w:rPr>
                <w:rFonts w:ascii="Times New Roman" w:eastAsia="Times New Roman" w:hAnsi="Times New Roman" w:cs="Times New Roman"/>
                <w:sz w:val="20"/>
              </w:rPr>
              <w:t>жедел жүзеге асады</w:t>
            </w:r>
          </w:p>
          <w:p w:rsidR="0052701D" w:rsidRDefault="00D40929">
            <w:pPr>
              <w:numPr>
                <w:ilvl w:val="0"/>
                <w:numId w:val="182"/>
              </w:numPr>
              <w:spacing w:after="0"/>
              <w:ind w:hanging="118"/>
              <w:jc w:val="center"/>
            </w:pPr>
            <w:r>
              <w:rPr>
                <w:rFonts w:ascii="Times New Roman" w:eastAsia="Times New Roman" w:hAnsi="Times New Roman" w:cs="Times New Roman"/>
                <w:sz w:val="20"/>
              </w:rPr>
              <w:t>үлкен қондырғы</w:t>
            </w:r>
          </w:p>
          <w:p w:rsidR="0052701D" w:rsidRDefault="00D40929">
            <w:pPr>
              <w:numPr>
                <w:ilvl w:val="0"/>
                <w:numId w:val="182"/>
              </w:numPr>
              <w:spacing w:after="2" w:line="238" w:lineRule="auto"/>
              <w:ind w:hanging="118"/>
              <w:jc w:val="center"/>
            </w:pPr>
            <w:r>
              <w:rPr>
                <w:rFonts w:ascii="Times New Roman" w:eastAsia="Times New Roman" w:hAnsi="Times New Roman" w:cs="Times New Roman"/>
                <w:sz w:val="20"/>
              </w:rPr>
              <w:t>ұзындығы  орташа желілерге тиімді</w:t>
            </w:r>
          </w:p>
          <w:p w:rsidR="0052701D" w:rsidRDefault="00D40929">
            <w:pPr>
              <w:numPr>
                <w:ilvl w:val="0"/>
                <w:numId w:val="182"/>
              </w:numPr>
              <w:spacing w:after="0"/>
              <w:ind w:hanging="118"/>
              <w:jc w:val="center"/>
            </w:pPr>
            <w:r>
              <w:rPr>
                <w:rFonts w:ascii="Times New Roman" w:eastAsia="Times New Roman" w:hAnsi="Times New Roman" w:cs="Times New Roman"/>
                <w:sz w:val="20"/>
              </w:rPr>
              <w:t>тұрақты қондырғы</w:t>
            </w:r>
          </w:p>
        </w:tc>
        <w:tc>
          <w:tcPr>
            <w:tcW w:w="1003" w:type="dxa"/>
            <w:tcBorders>
              <w:top w:val="single" w:sz="6" w:space="0" w:color="000000"/>
              <w:left w:val="single" w:sz="6" w:space="0" w:color="000000"/>
              <w:bottom w:val="single" w:sz="6" w:space="0" w:color="000000"/>
              <w:right w:val="single" w:sz="6" w:space="0" w:color="000000"/>
            </w:tcBorders>
          </w:tcPr>
          <w:p w:rsidR="0052701D" w:rsidRDefault="00D40929">
            <w:pPr>
              <w:spacing w:after="0"/>
              <w:jc w:val="center"/>
            </w:pPr>
            <w:r>
              <w:rPr>
                <w:rFonts w:ascii="Times New Roman" w:eastAsia="Times New Roman" w:hAnsi="Times New Roman" w:cs="Times New Roman"/>
                <w:sz w:val="20"/>
              </w:rPr>
              <w:t>ТМД / Канада</w:t>
            </w:r>
          </w:p>
        </w:tc>
        <w:tc>
          <w:tcPr>
            <w:tcW w:w="791"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54"/>
              <w:jc w:val="both"/>
            </w:pPr>
            <w:r>
              <w:rPr>
                <w:rFonts w:ascii="Times New Roman" w:eastAsia="Times New Roman" w:hAnsi="Times New Roman" w:cs="Times New Roman"/>
                <w:sz w:val="20"/>
              </w:rPr>
              <w:t>Жоғары</w:t>
            </w:r>
          </w:p>
        </w:tc>
      </w:tr>
      <w:tr w:rsidR="0052701D">
        <w:trPr>
          <w:trHeight w:val="1862"/>
        </w:trPr>
        <w:tc>
          <w:tcPr>
            <w:tcW w:w="2120" w:type="dxa"/>
            <w:tcBorders>
              <w:top w:val="single" w:sz="6" w:space="0" w:color="000000"/>
              <w:left w:val="single" w:sz="6" w:space="0" w:color="000000"/>
              <w:bottom w:val="single" w:sz="6" w:space="0" w:color="000000"/>
              <w:right w:val="single" w:sz="6" w:space="0" w:color="000000"/>
            </w:tcBorders>
          </w:tcPr>
          <w:p w:rsidR="0052701D" w:rsidRDefault="00D40929">
            <w:pPr>
              <w:spacing w:after="0"/>
              <w:jc w:val="center"/>
            </w:pPr>
            <w:r>
              <w:rPr>
                <w:rFonts w:ascii="Times New Roman" w:eastAsia="Times New Roman" w:hAnsi="Times New Roman" w:cs="Times New Roman"/>
                <w:sz w:val="20"/>
              </w:rPr>
              <w:t>Мұздан тазартудың желілік әдісі</w:t>
            </w:r>
          </w:p>
        </w:tc>
        <w:tc>
          <w:tcPr>
            <w:tcW w:w="2996" w:type="dxa"/>
            <w:tcBorders>
              <w:top w:val="single" w:sz="6" w:space="0" w:color="000000"/>
              <w:left w:val="single" w:sz="6" w:space="0" w:color="000000"/>
              <w:bottom w:val="single" w:sz="6" w:space="0" w:color="000000"/>
              <w:right w:val="single" w:sz="6" w:space="0" w:color="000000"/>
            </w:tcBorders>
          </w:tcPr>
          <w:p w:rsidR="0052701D" w:rsidRDefault="00D40929">
            <w:pPr>
              <w:spacing w:after="2" w:line="238" w:lineRule="auto"/>
              <w:jc w:val="center"/>
            </w:pPr>
            <w:r>
              <w:rPr>
                <w:rFonts w:ascii="Times New Roman" w:eastAsia="Times New Roman" w:hAnsi="Times New Roman" w:cs="Times New Roman"/>
                <w:sz w:val="20"/>
              </w:rPr>
              <w:t>Желіні мұздан тазарту үшін фазаны ауыстыратын</w:t>
            </w:r>
          </w:p>
          <w:p w:rsidR="0052701D" w:rsidRDefault="00D40929">
            <w:pPr>
              <w:spacing w:after="0"/>
              <w:ind w:left="21"/>
              <w:jc w:val="center"/>
            </w:pPr>
            <w:r>
              <w:rPr>
                <w:rFonts w:ascii="Times New Roman" w:eastAsia="Times New Roman" w:hAnsi="Times New Roman" w:cs="Times New Roman"/>
                <w:sz w:val="20"/>
              </w:rPr>
              <w:t>трансформаторды қолдана</w:t>
            </w:r>
          </w:p>
          <w:p w:rsidR="0052701D" w:rsidRDefault="00D40929">
            <w:pPr>
              <w:spacing w:after="0"/>
              <w:ind w:left="20"/>
              <w:jc w:val="center"/>
            </w:pPr>
            <w:r>
              <w:rPr>
                <w:rFonts w:ascii="Times New Roman" w:eastAsia="Times New Roman" w:hAnsi="Times New Roman" w:cs="Times New Roman"/>
                <w:sz w:val="20"/>
              </w:rPr>
              <w:t>отырып, токты бір өткізгіштен</w:t>
            </w:r>
          </w:p>
          <w:p w:rsidR="0052701D" w:rsidRDefault="00D40929">
            <w:pPr>
              <w:spacing w:after="0"/>
              <w:ind w:left="42" w:right="23"/>
              <w:jc w:val="center"/>
            </w:pPr>
            <w:r>
              <w:rPr>
                <w:rFonts w:ascii="Times New Roman" w:eastAsia="Times New Roman" w:hAnsi="Times New Roman" w:cs="Times New Roman"/>
                <w:sz w:val="20"/>
              </w:rPr>
              <w:t xml:space="preserve">екіншісіне өзгерту арқылы жүзеге асады, мұздан тазартылатын </w:t>
            </w:r>
            <w:r>
              <w:rPr>
                <w:rFonts w:ascii="Times New Roman" w:eastAsia="Times New Roman" w:hAnsi="Times New Roman" w:cs="Times New Roman"/>
                <w:sz w:val="20"/>
              </w:rPr>
              <w:t>қиманы желіден ажыратуды қажет етпейді.</w:t>
            </w:r>
          </w:p>
        </w:tc>
        <w:tc>
          <w:tcPr>
            <w:tcW w:w="2410" w:type="dxa"/>
            <w:tcBorders>
              <w:top w:val="single" w:sz="6" w:space="0" w:color="000000"/>
              <w:left w:val="single" w:sz="6" w:space="0" w:color="000000"/>
              <w:bottom w:val="single" w:sz="6" w:space="0" w:color="000000"/>
              <w:right w:val="single" w:sz="6" w:space="0" w:color="000000"/>
            </w:tcBorders>
          </w:tcPr>
          <w:p w:rsidR="0052701D" w:rsidRDefault="00D40929">
            <w:pPr>
              <w:numPr>
                <w:ilvl w:val="0"/>
                <w:numId w:val="183"/>
              </w:numPr>
              <w:spacing w:after="0"/>
              <w:jc w:val="center"/>
            </w:pPr>
            <w:r>
              <w:rPr>
                <w:rFonts w:ascii="Times New Roman" w:eastAsia="Times New Roman" w:hAnsi="Times New Roman" w:cs="Times New Roman"/>
                <w:sz w:val="20"/>
              </w:rPr>
              <w:t>Болашақ</w:t>
            </w:r>
          </w:p>
          <w:p w:rsidR="0052701D" w:rsidRDefault="00D40929">
            <w:pPr>
              <w:numPr>
                <w:ilvl w:val="0"/>
                <w:numId w:val="183"/>
              </w:numPr>
              <w:spacing w:after="0" w:line="240" w:lineRule="auto"/>
              <w:jc w:val="center"/>
            </w:pPr>
            <w:r>
              <w:rPr>
                <w:rFonts w:ascii="Times New Roman" w:eastAsia="Times New Roman" w:hAnsi="Times New Roman" w:cs="Times New Roman"/>
                <w:sz w:val="20"/>
              </w:rPr>
              <w:t>Тек бір өткізгіш желіде жұмыс істейді</w:t>
            </w:r>
          </w:p>
          <w:p w:rsidR="0052701D" w:rsidRDefault="00D40929">
            <w:pPr>
              <w:numPr>
                <w:ilvl w:val="0"/>
                <w:numId w:val="183"/>
              </w:numPr>
              <w:spacing w:after="0"/>
              <w:jc w:val="center"/>
            </w:pPr>
            <w:r>
              <w:rPr>
                <w:rFonts w:ascii="Times New Roman" w:eastAsia="Times New Roman" w:hAnsi="Times New Roman" w:cs="Times New Roman"/>
                <w:sz w:val="20"/>
              </w:rPr>
              <w:t>ұзындығы  орташа желіле</w:t>
            </w:r>
          </w:p>
          <w:p w:rsidR="0052701D" w:rsidRDefault="00D40929">
            <w:pPr>
              <w:numPr>
                <w:ilvl w:val="0"/>
                <w:numId w:val="183"/>
              </w:numPr>
              <w:spacing w:after="0"/>
              <w:jc w:val="center"/>
            </w:pPr>
            <w:r>
              <w:rPr>
                <w:rFonts w:ascii="Times New Roman" w:eastAsia="Times New Roman" w:hAnsi="Times New Roman" w:cs="Times New Roman"/>
                <w:sz w:val="20"/>
              </w:rPr>
              <w:t>Тұрақты қондырғы</w:t>
            </w:r>
          </w:p>
        </w:tc>
        <w:tc>
          <w:tcPr>
            <w:tcW w:w="1003"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208"/>
            </w:pPr>
            <w:r>
              <w:rPr>
                <w:rFonts w:ascii="Times New Roman" w:eastAsia="Times New Roman" w:hAnsi="Times New Roman" w:cs="Times New Roman"/>
                <w:sz w:val="20"/>
              </w:rPr>
              <w:t>АҚШ /</w:t>
            </w:r>
          </w:p>
          <w:p w:rsidR="0052701D" w:rsidRDefault="00D40929">
            <w:pPr>
              <w:spacing w:after="0"/>
              <w:ind w:left="-39" w:right="76" w:firstLine="235"/>
            </w:pPr>
            <w:r>
              <w:rPr>
                <w:rFonts w:ascii="Times New Roman" w:eastAsia="Times New Roman" w:hAnsi="Times New Roman" w:cs="Times New Roman"/>
                <w:sz w:val="20"/>
              </w:rPr>
              <w:t>Канада р</w:t>
            </w:r>
          </w:p>
        </w:tc>
        <w:tc>
          <w:tcPr>
            <w:tcW w:w="791"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54"/>
              <w:jc w:val="both"/>
            </w:pPr>
            <w:r>
              <w:rPr>
                <w:rFonts w:ascii="Times New Roman" w:eastAsia="Times New Roman" w:hAnsi="Times New Roman" w:cs="Times New Roman"/>
                <w:sz w:val="20"/>
              </w:rPr>
              <w:t>Жоғары</w:t>
            </w:r>
          </w:p>
        </w:tc>
      </w:tr>
      <w:tr w:rsidR="0052701D">
        <w:trPr>
          <w:trHeight w:val="1170"/>
        </w:trPr>
        <w:tc>
          <w:tcPr>
            <w:tcW w:w="2120"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42"/>
              <w:jc w:val="both"/>
            </w:pPr>
            <w:r>
              <w:rPr>
                <w:rFonts w:ascii="Times New Roman" w:eastAsia="Times New Roman" w:hAnsi="Times New Roman" w:cs="Times New Roman"/>
                <w:sz w:val="20"/>
              </w:rPr>
              <w:lastRenderedPageBreak/>
              <w:t>Бу шығаратын құрылғы</w:t>
            </w:r>
          </w:p>
        </w:tc>
        <w:tc>
          <w:tcPr>
            <w:tcW w:w="2996" w:type="dxa"/>
            <w:tcBorders>
              <w:top w:val="single" w:sz="6" w:space="0" w:color="000000"/>
              <w:left w:val="single" w:sz="6" w:space="0" w:color="000000"/>
              <w:bottom w:val="single" w:sz="6" w:space="0" w:color="000000"/>
              <w:right w:val="single" w:sz="6" w:space="0" w:color="000000"/>
            </w:tcBorders>
          </w:tcPr>
          <w:p w:rsidR="0052701D" w:rsidRDefault="00D40929">
            <w:pPr>
              <w:spacing w:after="0"/>
              <w:jc w:val="center"/>
            </w:pPr>
            <w:r>
              <w:rPr>
                <w:rFonts w:ascii="Times New Roman" w:eastAsia="Times New Roman" w:hAnsi="Times New Roman" w:cs="Times New Roman"/>
                <w:sz w:val="20"/>
              </w:rPr>
              <w:t>Ажыратқыштар мен оқшаулағыштары мұздан тазарту үшін қолданылады</w:t>
            </w:r>
          </w:p>
        </w:tc>
        <w:tc>
          <w:tcPr>
            <w:tcW w:w="2410" w:type="dxa"/>
            <w:tcBorders>
              <w:top w:val="single" w:sz="6" w:space="0" w:color="000000"/>
              <w:left w:val="single" w:sz="6" w:space="0" w:color="000000"/>
              <w:bottom w:val="single" w:sz="6" w:space="0" w:color="000000"/>
              <w:right w:val="single" w:sz="6" w:space="0" w:color="000000"/>
            </w:tcBorders>
          </w:tcPr>
          <w:p w:rsidR="0052701D" w:rsidRDefault="00D40929">
            <w:pPr>
              <w:numPr>
                <w:ilvl w:val="0"/>
                <w:numId w:val="184"/>
              </w:numPr>
              <w:spacing w:after="0"/>
              <w:jc w:val="center"/>
            </w:pPr>
            <w:r>
              <w:rPr>
                <w:rFonts w:ascii="Times New Roman" w:eastAsia="Times New Roman" w:hAnsi="Times New Roman" w:cs="Times New Roman"/>
                <w:sz w:val="20"/>
              </w:rPr>
              <w:t>жедел жүзеге асады</w:t>
            </w:r>
          </w:p>
          <w:p w:rsidR="0052701D" w:rsidRDefault="00D40929">
            <w:pPr>
              <w:numPr>
                <w:ilvl w:val="0"/>
                <w:numId w:val="184"/>
              </w:numPr>
              <w:spacing w:after="0"/>
              <w:jc w:val="center"/>
            </w:pPr>
            <w:r>
              <w:rPr>
                <w:rFonts w:ascii="Times New Roman" w:eastAsia="Times New Roman" w:hAnsi="Times New Roman" w:cs="Times New Roman"/>
                <w:sz w:val="20"/>
              </w:rPr>
              <w:t>еңбекті қажет етеді</w:t>
            </w:r>
          </w:p>
          <w:p w:rsidR="0052701D" w:rsidRDefault="00D40929">
            <w:pPr>
              <w:numPr>
                <w:ilvl w:val="0"/>
                <w:numId w:val="184"/>
              </w:numPr>
              <w:spacing w:after="0" w:line="240" w:lineRule="auto"/>
              <w:jc w:val="center"/>
            </w:pPr>
            <w:r>
              <w:rPr>
                <w:rFonts w:ascii="Times New Roman" w:eastAsia="Times New Roman" w:hAnsi="Times New Roman" w:cs="Times New Roman"/>
                <w:sz w:val="20"/>
              </w:rPr>
              <w:t>ұзындығы  қысқа желіге тиімді</w:t>
            </w:r>
          </w:p>
          <w:p w:rsidR="0052701D" w:rsidRDefault="00D40929">
            <w:pPr>
              <w:numPr>
                <w:ilvl w:val="0"/>
                <w:numId w:val="184"/>
              </w:numPr>
              <w:spacing w:after="0"/>
              <w:jc w:val="center"/>
            </w:pPr>
            <w:r>
              <w:rPr>
                <w:rFonts w:ascii="Times New Roman" w:eastAsia="Times New Roman" w:hAnsi="Times New Roman" w:cs="Times New Roman"/>
                <w:sz w:val="20"/>
              </w:rPr>
              <w:t>уақытша пайдалану</w:t>
            </w:r>
          </w:p>
        </w:tc>
        <w:tc>
          <w:tcPr>
            <w:tcW w:w="1003"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96"/>
            </w:pPr>
            <w:r>
              <w:rPr>
                <w:rFonts w:ascii="Times New Roman" w:eastAsia="Times New Roman" w:hAnsi="Times New Roman" w:cs="Times New Roman"/>
                <w:sz w:val="20"/>
              </w:rPr>
              <w:t>Канада</w:t>
            </w:r>
          </w:p>
        </w:tc>
        <w:tc>
          <w:tcPr>
            <w:tcW w:w="791"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64"/>
              <w:jc w:val="both"/>
            </w:pPr>
            <w:r>
              <w:rPr>
                <w:rFonts w:ascii="Times New Roman" w:eastAsia="Times New Roman" w:hAnsi="Times New Roman" w:cs="Times New Roman"/>
                <w:sz w:val="20"/>
              </w:rPr>
              <w:t>Орташа</w:t>
            </w:r>
          </w:p>
        </w:tc>
      </w:tr>
    </w:tbl>
    <w:p w:rsidR="0052701D" w:rsidRDefault="00D40929">
      <w:pPr>
        <w:spacing w:after="0"/>
        <w:ind w:left="284"/>
      </w:pPr>
      <w:r>
        <w:rPr>
          <w:rFonts w:ascii="Courier New" w:eastAsia="Courier New" w:hAnsi="Courier New" w:cs="Courier New"/>
          <w:sz w:val="2"/>
        </w:rPr>
        <w:t xml:space="preserve"> </w:t>
      </w:r>
    </w:p>
    <w:p w:rsidR="0052701D" w:rsidRDefault="00D40929">
      <w:pPr>
        <w:spacing w:after="181"/>
        <w:ind w:left="284"/>
      </w:pPr>
      <w:r>
        <w:rPr>
          <w:rFonts w:ascii="Courier New" w:eastAsia="Courier New" w:hAnsi="Courier New" w:cs="Courier New"/>
          <w:sz w:val="2"/>
        </w:rPr>
        <w:t xml:space="preserve"> </w:t>
      </w:r>
    </w:p>
    <w:p w:rsidR="0052701D" w:rsidRDefault="00D40929">
      <w:pPr>
        <w:spacing w:after="40"/>
        <w:ind w:left="284"/>
      </w:pPr>
      <w:r>
        <w:rPr>
          <w:rFonts w:ascii="Courier New" w:eastAsia="Courier New" w:hAnsi="Courier New" w:cs="Courier New"/>
          <w:sz w:val="24"/>
        </w:rPr>
        <w:t xml:space="preserve"> </w:t>
      </w:r>
    </w:p>
    <w:p w:rsidR="0052701D" w:rsidRDefault="00D40929">
      <w:pPr>
        <w:spacing w:after="3" w:line="248" w:lineRule="auto"/>
        <w:ind w:left="284" w:right="292" w:firstLine="710"/>
        <w:jc w:val="both"/>
      </w:pPr>
      <w:r>
        <w:rPr>
          <w:rFonts w:ascii="Times New Roman" w:eastAsia="Times New Roman" w:hAnsi="Times New Roman" w:cs="Times New Roman"/>
          <w:sz w:val="28"/>
        </w:rPr>
        <w:t>Осы қарастырылған әдістер мен теориялардың Қазақстанда тек жоғары кернеулі желілер үшін қолдану мүмкіндіктерін зерттеу қажет. Алдымен осы тиімді деген әдістердің ерекшеліктеріне тоқталайық.</w:t>
      </w:r>
    </w:p>
    <w:p w:rsidR="0052701D" w:rsidRDefault="00D40929">
      <w:pPr>
        <w:spacing w:after="3" w:line="248" w:lineRule="auto"/>
        <w:ind w:left="284" w:right="290" w:firstLine="708"/>
        <w:jc w:val="both"/>
      </w:pPr>
      <w:r>
        <w:rPr>
          <w:rFonts w:ascii="Times New Roman" w:eastAsia="Times New Roman" w:hAnsi="Times New Roman" w:cs="Times New Roman"/>
          <w:i/>
          <w:sz w:val="28"/>
          <w:u w:val="single" w:color="000000"/>
        </w:rPr>
        <w:t xml:space="preserve"> Қар сақиналары және қарсы салмақ әдістері   н</w:t>
      </w:r>
      <w:r>
        <w:rPr>
          <w:rFonts w:ascii="Times New Roman" w:eastAsia="Times New Roman" w:hAnsi="Times New Roman" w:cs="Times New Roman"/>
          <w:sz w:val="28"/>
        </w:rPr>
        <w:t xml:space="preserve"> толық тиімді деп  а</w:t>
      </w:r>
      <w:r>
        <w:rPr>
          <w:rFonts w:ascii="Times New Roman" w:eastAsia="Times New Roman" w:hAnsi="Times New Roman" w:cs="Times New Roman"/>
          <w:sz w:val="28"/>
        </w:rPr>
        <w:t xml:space="preserve">йтуға келмейді, бірақ біршама қар тұру мен мұздануды төмендетуге септігін тигізеді. Қар сақиналары және қарсы салмақ қолдану әдістерін суреттен көруге болады. </w:t>
      </w:r>
    </w:p>
    <w:p w:rsidR="0052701D" w:rsidRDefault="00D40929">
      <w:pPr>
        <w:spacing w:after="3" w:line="248" w:lineRule="auto"/>
        <w:ind w:left="284" w:right="293" w:firstLine="708"/>
        <w:jc w:val="both"/>
      </w:pPr>
      <w:r>
        <w:rPr>
          <w:rFonts w:ascii="Times New Roman" w:eastAsia="Times New Roman" w:hAnsi="Times New Roman" w:cs="Times New Roman"/>
          <w:sz w:val="28"/>
        </w:rPr>
        <w:t xml:space="preserve">Теориялық тұрғыдан мұзға қарсы жабындарды қолданудың пассивті әдістері өте тартымды нұсқа болып табылады. Бұл фазалық өткізгіштердегі мұзды азайтуы мүмкін. Бірақ жабындар ұзақ мерзімді әсер ету кезінде тәжге әсері толық зерттелмеген. </w:t>
      </w:r>
    </w:p>
    <w:p w:rsidR="0052701D" w:rsidRDefault="00D40929">
      <w:pPr>
        <w:spacing w:after="3" w:line="248" w:lineRule="auto"/>
        <w:ind w:left="284" w:right="293" w:firstLine="710"/>
        <w:jc w:val="both"/>
      </w:pPr>
      <w:r>
        <w:rPr>
          <w:rFonts w:ascii="Times New Roman" w:eastAsia="Times New Roman" w:hAnsi="Times New Roman" w:cs="Times New Roman"/>
          <w:i/>
          <w:sz w:val="28"/>
          <w:u w:val="single" w:color="000000"/>
        </w:rPr>
        <w:t>Ферромагниттік спирал</w:t>
      </w:r>
      <w:r>
        <w:rPr>
          <w:rFonts w:ascii="Times New Roman" w:eastAsia="Times New Roman" w:hAnsi="Times New Roman" w:cs="Times New Roman"/>
          <w:i/>
          <w:sz w:val="28"/>
          <w:u w:val="single" w:color="000000"/>
        </w:rPr>
        <w:t>ьдар.</w:t>
      </w:r>
      <w:r>
        <w:rPr>
          <w:rFonts w:ascii="Times New Roman" w:eastAsia="Times New Roman" w:hAnsi="Times New Roman" w:cs="Times New Roman"/>
          <w:sz w:val="28"/>
        </w:rPr>
        <w:t xml:space="preserve"> Бұл ұзақ және оң тәжірибесі бар құрылғы, бірақ, тек фазалық өткізгіштерге қолданылады. Бұл құрылғыдар өте қымбат деп саналады.</w:t>
      </w:r>
    </w:p>
    <w:p w:rsidR="0052701D" w:rsidRDefault="00D40929">
      <w:pPr>
        <w:spacing w:after="3" w:line="248" w:lineRule="auto"/>
        <w:ind w:left="284" w:right="292" w:firstLine="710"/>
        <w:jc w:val="both"/>
      </w:pPr>
      <w:r>
        <w:rPr>
          <w:rFonts w:ascii="Times New Roman" w:eastAsia="Times New Roman" w:hAnsi="Times New Roman" w:cs="Times New Roman"/>
          <w:i/>
          <w:sz w:val="28"/>
          <w:u w:val="single" w:color="000000"/>
        </w:rPr>
        <w:t>Сыртқы электр көздері.</w:t>
      </w:r>
      <w:r>
        <w:rPr>
          <w:rFonts w:ascii="Times New Roman" w:eastAsia="Times New Roman" w:hAnsi="Times New Roman" w:cs="Times New Roman"/>
          <w:sz w:val="28"/>
        </w:rPr>
        <w:t xml:space="preserve"> Егер кез-келген қашықтықтан басқарылатын құрылғы сыни учаскелерде орнатылса, оны іс-шара басталғанға</w:t>
      </w:r>
      <w:r>
        <w:rPr>
          <w:rFonts w:ascii="Times New Roman" w:eastAsia="Times New Roman" w:hAnsi="Times New Roman" w:cs="Times New Roman"/>
          <w:sz w:val="28"/>
        </w:rPr>
        <w:t xml:space="preserve"> дейін уақытында қосып, өткізгіштерді мұздың пайда болуын болдырмайтындай етіп жылытуға болады. Осындай алдын-алу қызмет көрсетуді пайдалану қажетті қуатты үнемдеуге көмектеседі. Айнымалы немесе тұрақты ток құрылғыларын зерттеу керек. Көптеген түрлі жылыту</w:t>
      </w:r>
      <w:r>
        <w:rPr>
          <w:rFonts w:ascii="Times New Roman" w:eastAsia="Times New Roman" w:hAnsi="Times New Roman" w:cs="Times New Roman"/>
          <w:sz w:val="28"/>
        </w:rPr>
        <w:t xml:space="preserve"> әдістері бар, бірақ біз олардың кейбіреулерін ғана қарастырамыз, термиялық әдістерді екі санатқа бөлуге болады:</w:t>
      </w:r>
    </w:p>
    <w:p w:rsidR="0052701D" w:rsidRDefault="00D40929">
      <w:pPr>
        <w:numPr>
          <w:ilvl w:val="0"/>
          <w:numId w:val="155"/>
        </w:numPr>
        <w:spacing w:after="3" w:line="248" w:lineRule="auto"/>
        <w:ind w:right="4"/>
        <w:jc w:val="both"/>
      </w:pPr>
      <w:r>
        <w:rPr>
          <w:rFonts w:ascii="Times New Roman" w:eastAsia="Times New Roman" w:hAnsi="Times New Roman" w:cs="Times New Roman"/>
          <w:sz w:val="28"/>
        </w:rPr>
        <w:t>таза Джоуль эффектісіне негізделген әдістер;</w:t>
      </w:r>
    </w:p>
    <w:p w:rsidR="0052701D" w:rsidRDefault="00D40929">
      <w:pPr>
        <w:numPr>
          <w:ilvl w:val="0"/>
          <w:numId w:val="155"/>
        </w:numPr>
        <w:spacing w:after="3" w:line="248" w:lineRule="auto"/>
        <w:ind w:right="4"/>
        <w:jc w:val="both"/>
      </w:pPr>
      <w:r>
        <w:rPr>
          <w:rFonts w:ascii="Times New Roman" w:eastAsia="Times New Roman" w:hAnsi="Times New Roman" w:cs="Times New Roman"/>
          <w:sz w:val="28"/>
        </w:rPr>
        <w:t>диэлектрлік шығындарға, радиациялық толқындарға және сыртқы жылукөздеріне негізделген әдістер.</w:t>
      </w:r>
    </w:p>
    <w:p w:rsidR="0052701D" w:rsidRDefault="00D40929">
      <w:pPr>
        <w:spacing w:after="3" w:line="248" w:lineRule="auto"/>
        <w:ind w:left="284" w:right="292" w:firstLine="710"/>
        <w:jc w:val="both"/>
      </w:pPr>
      <w:r>
        <w:rPr>
          <w:rFonts w:ascii="Times New Roman" w:eastAsia="Times New Roman" w:hAnsi="Times New Roman" w:cs="Times New Roman"/>
          <w:sz w:val="28"/>
        </w:rPr>
        <w:t>Ток</w:t>
      </w:r>
      <w:r>
        <w:rPr>
          <w:rFonts w:ascii="Times New Roman" w:eastAsia="Times New Roman" w:hAnsi="Times New Roman" w:cs="Times New Roman"/>
          <w:sz w:val="28"/>
        </w:rPr>
        <w:t xml:space="preserve"> көзі ретінде айнымалы токтың негізгі тізбегі арқылы берілуі мүмкін және оған кейбір орташа кернеудегі айнымалы трансформатор қолданылуы мүмкін. Бұл әдіс бірнеше шақырымдық әуе желілерін мұздан тазартуға мүмкін болар еді. </w:t>
      </w:r>
    </w:p>
    <w:p w:rsidR="0052701D" w:rsidRDefault="00D40929">
      <w:pPr>
        <w:spacing w:after="3" w:line="248" w:lineRule="auto"/>
        <w:ind w:left="284" w:right="292" w:firstLine="710"/>
        <w:jc w:val="both"/>
      </w:pPr>
      <w:r>
        <w:rPr>
          <w:rFonts w:ascii="Times New Roman" w:eastAsia="Times New Roman" w:hAnsi="Times New Roman" w:cs="Times New Roman"/>
          <w:sz w:val="28"/>
        </w:rPr>
        <w:t>Яғни осы бағытта, Қазақстанның жо</w:t>
      </w:r>
      <w:r>
        <w:rPr>
          <w:rFonts w:ascii="Times New Roman" w:eastAsia="Times New Roman" w:hAnsi="Times New Roman" w:cs="Times New Roman"/>
          <w:sz w:val="28"/>
        </w:rPr>
        <w:t>ғары вольтты желілері бойынша мұз картасын құру екенін атап өткен жөн. Осы картаны қолдана отырып, осындай стационарлық және қашықтан басқарылатын құрылғыларды орнатуға болатын әуе желілерінің маңызды учаскелерінің саны мен орналасуын алдын ала анықтап алу</w:t>
      </w:r>
      <w:r>
        <w:rPr>
          <w:rFonts w:ascii="Times New Roman" w:eastAsia="Times New Roman" w:hAnsi="Times New Roman" w:cs="Times New Roman"/>
          <w:sz w:val="28"/>
        </w:rPr>
        <w:t>ға мүмкіндік туады.</w:t>
      </w:r>
    </w:p>
    <w:p w:rsidR="0052701D" w:rsidRDefault="00D40929">
      <w:pPr>
        <w:spacing w:after="3" w:line="248" w:lineRule="auto"/>
        <w:ind w:left="284" w:right="289" w:firstLine="710"/>
        <w:jc w:val="both"/>
      </w:pPr>
      <w:r>
        <w:rPr>
          <w:rFonts w:ascii="Times New Roman" w:eastAsia="Times New Roman" w:hAnsi="Times New Roman" w:cs="Times New Roman"/>
          <w:i/>
          <w:sz w:val="28"/>
          <w:u w:val="single" w:color="000000"/>
        </w:rPr>
        <w:t>Өткізгіштердегі жылуды қайта бөлу теориясы</w:t>
      </w:r>
      <w:r>
        <w:rPr>
          <w:rFonts w:ascii="Times New Roman" w:eastAsia="Times New Roman" w:hAnsi="Times New Roman" w:cs="Times New Roman"/>
          <w:sz w:val="28"/>
        </w:rPr>
        <w:t>. Бұл желілік өткізгіштер үшін зерттеу жүргізудің перспективалы әдісі болуы мүмкін. Теориялық тұрғыдан алғанда, бұл жүйе қолданыстағы төмен вольтты ажыратқыштар мен оқшаулағыштарды қолдана отыры</w:t>
      </w:r>
      <w:r>
        <w:rPr>
          <w:rFonts w:ascii="Times New Roman" w:eastAsia="Times New Roman" w:hAnsi="Times New Roman" w:cs="Times New Roman"/>
          <w:sz w:val="28"/>
        </w:rPr>
        <w:t>п жүзеге асыруға болады.</w:t>
      </w:r>
    </w:p>
    <w:p w:rsidR="0052701D" w:rsidRDefault="00D40929">
      <w:pPr>
        <w:spacing w:after="3" w:line="248" w:lineRule="auto"/>
        <w:ind w:left="284" w:right="291" w:firstLine="710"/>
        <w:jc w:val="both"/>
      </w:pPr>
      <w:r>
        <w:rPr>
          <w:rFonts w:ascii="Times New Roman" w:eastAsia="Times New Roman" w:hAnsi="Times New Roman" w:cs="Times New Roman"/>
          <w:i/>
          <w:sz w:val="28"/>
          <w:u w:val="single" w:color="000000"/>
        </w:rPr>
        <w:lastRenderedPageBreak/>
        <w:t>Жоғары жиілікпен жылыту.</w:t>
      </w:r>
      <w:r>
        <w:rPr>
          <w:rFonts w:ascii="Times New Roman" w:eastAsia="Times New Roman" w:hAnsi="Times New Roman" w:cs="Times New Roman"/>
          <w:sz w:val="28"/>
        </w:rPr>
        <w:t xml:space="preserve"> Онда ажыратқыштың орнына өткізгіш шоғырына жоғары жиілікті генератор қосылуы керек. Дайындық деңгейі қосалқы өткізгіштердегі токтың қайта бөлінуіне қарағанда төмен болып көрінеді, сонымен қатар тәждің мәсел</w:t>
      </w:r>
      <w:r>
        <w:rPr>
          <w:rFonts w:ascii="Times New Roman" w:eastAsia="Times New Roman" w:hAnsi="Times New Roman" w:cs="Times New Roman"/>
          <w:sz w:val="28"/>
        </w:rPr>
        <w:t xml:space="preserve">елері зерттелуі керек.  </w:t>
      </w:r>
    </w:p>
    <w:p w:rsidR="0052701D" w:rsidRDefault="00D40929">
      <w:pPr>
        <w:spacing w:after="3" w:line="248" w:lineRule="auto"/>
        <w:ind w:left="284" w:right="291" w:firstLine="710"/>
        <w:jc w:val="both"/>
      </w:pPr>
      <w:r>
        <w:rPr>
          <w:rFonts w:ascii="Times New Roman" w:eastAsia="Times New Roman" w:hAnsi="Times New Roman" w:cs="Times New Roman"/>
          <w:i/>
          <w:sz w:val="28"/>
          <w:u w:val="single" w:color="000000"/>
        </w:rPr>
        <w:t>Робототехника</w:t>
      </w:r>
      <w:r>
        <w:rPr>
          <w:rFonts w:ascii="Times New Roman" w:eastAsia="Times New Roman" w:hAnsi="Times New Roman" w:cs="Times New Roman"/>
          <w:sz w:val="28"/>
        </w:rPr>
        <w:t>. Қолданыстағы роботтар қымбат болып көрінеді, ал басты кемшілігі - оларды мұз басу кезінде әуе желісіне жеткізу мүмкін емес. Дегенмен, роботтарды қолдану келешегі зор. Мысалы фантастикалық робот Инфрақызылды жылыту не</w:t>
      </w:r>
      <w:r>
        <w:rPr>
          <w:rFonts w:ascii="Times New Roman" w:eastAsia="Times New Roman" w:hAnsi="Times New Roman" w:cs="Times New Roman"/>
          <w:sz w:val="28"/>
        </w:rPr>
        <w:t>месе бу генераторын пайдалану арқылы дронмен басқарылады, ал дрон да, робот та өткізгіштен индуктивті зарядталады.</w:t>
      </w:r>
    </w:p>
    <w:p w:rsidR="0052701D" w:rsidRDefault="00D40929">
      <w:pPr>
        <w:spacing w:after="17" w:line="249" w:lineRule="auto"/>
        <w:ind w:left="284" w:firstLine="710"/>
      </w:pPr>
      <w:r>
        <w:rPr>
          <w:rFonts w:ascii="Times New Roman" w:eastAsia="Times New Roman" w:hAnsi="Times New Roman" w:cs="Times New Roman"/>
          <w:b/>
          <w:sz w:val="28"/>
        </w:rPr>
        <w:t xml:space="preserve">Электр энергиясын тасымалдайтын 220-500 кВ желілердің электр энергиясының шығындарын талдау  </w:t>
      </w:r>
    </w:p>
    <w:p w:rsidR="0052701D" w:rsidRDefault="00D40929">
      <w:pPr>
        <w:spacing w:after="3" w:line="248" w:lineRule="auto"/>
        <w:ind w:left="284" w:right="286" w:firstLine="710"/>
        <w:jc w:val="both"/>
      </w:pPr>
      <w:r>
        <w:rPr>
          <w:rFonts w:ascii="Times New Roman" w:eastAsia="Times New Roman" w:hAnsi="Times New Roman" w:cs="Times New Roman"/>
          <w:sz w:val="28"/>
        </w:rPr>
        <w:t>Қазақстандағы электр энергиясын тасымалдайтын 220-500 кВ желілер «KEGOС» Акционерлік қоғамына тиесілі. Біз зерттеуде осы компанияның нақты бір жылғы жұмысының нәтижелері зерттелді. Талдау нәтижелері көрсеткендей Қазақстанның 2019 жылғы электр желілердегі э</w:t>
      </w:r>
      <w:r>
        <w:rPr>
          <w:rFonts w:ascii="Times New Roman" w:eastAsia="Times New Roman" w:hAnsi="Times New Roman" w:cs="Times New Roman"/>
          <w:sz w:val="28"/>
        </w:rPr>
        <w:t>нергия шығындарының техникалық деңгейі шамамен 13% құрады /3/.  Әлемдік тәжірибеде электр энергиясының техникалық шығындарының шамасын қарастратын болсақ: мысалы, Германия мен Жапонияда техникалық ысыраптар 4-5% деңгейінде, Канада мен Норвегияда және аумағ</w:t>
      </w:r>
      <w:r>
        <w:rPr>
          <w:rFonts w:ascii="Times New Roman" w:eastAsia="Times New Roman" w:hAnsi="Times New Roman" w:cs="Times New Roman"/>
          <w:sz w:val="28"/>
        </w:rPr>
        <w:t>ы кеңейтілген және өндірісі шоғырланған елдерде - 10% деңгейінде электр энергиясы шығындалады.</w:t>
      </w:r>
    </w:p>
    <w:p w:rsidR="0052701D" w:rsidRDefault="00D40929">
      <w:pPr>
        <w:spacing w:after="3" w:line="248" w:lineRule="auto"/>
        <w:ind w:left="284" w:right="293" w:firstLine="710"/>
        <w:jc w:val="both"/>
      </w:pPr>
      <w:r>
        <w:rPr>
          <w:rFonts w:ascii="Times New Roman" w:eastAsia="Times New Roman" w:hAnsi="Times New Roman" w:cs="Times New Roman"/>
          <w:sz w:val="28"/>
        </w:rPr>
        <w:t xml:space="preserve">  KEGOС ұлттық желісіндегі электр энергиясының ысырабы көршілес елдердің транзитін қоспағанда, жеткізу көлемінің 6,0% деңгейінде бағаланды /4/. KEGOC желілерінде</w:t>
      </w:r>
      <w:r>
        <w:rPr>
          <w:rFonts w:ascii="Times New Roman" w:eastAsia="Times New Roman" w:hAnsi="Times New Roman" w:cs="Times New Roman"/>
          <w:sz w:val="28"/>
        </w:rPr>
        <w:t>гі тәждік шығындары нақты электр беру желілерінің параметрлерін, сондай-ақ бақылау қосалқы станцияларының күнделікті ауарайы мәліметтерін пайдаланатын өзінің бағдарламасы бойынша есептеледі. Бұл деректер айдың соңында өңделеді, содан кейін әр жолдағы тәжді</w:t>
      </w:r>
      <w:r>
        <w:rPr>
          <w:rFonts w:ascii="Times New Roman" w:eastAsia="Times New Roman" w:hAnsi="Times New Roman" w:cs="Times New Roman"/>
          <w:sz w:val="28"/>
        </w:rPr>
        <w:t xml:space="preserve">к шығындар есептеледі, сонымен қатар аймақтар бойынша нақты шығындар көрсетіледі. Мұндағы бір мәселе - есептік жолмен жылдың басында болжанған нормативтік электр энергиясының шығындары жыл соңындағы нақты болған шығынмен сәйкес келмей жатады. </w:t>
      </w:r>
    </w:p>
    <w:p w:rsidR="0052701D" w:rsidRDefault="00D40929">
      <w:pPr>
        <w:spacing w:after="3" w:line="248" w:lineRule="auto"/>
        <w:ind w:left="284" w:right="293" w:firstLine="710"/>
        <w:jc w:val="both"/>
      </w:pPr>
      <w:r>
        <w:rPr>
          <w:rFonts w:ascii="Times New Roman" w:eastAsia="Times New Roman" w:hAnsi="Times New Roman" w:cs="Times New Roman"/>
          <w:sz w:val="28"/>
        </w:rPr>
        <w:t>«KEGOC» Акци</w:t>
      </w:r>
      <w:r>
        <w:rPr>
          <w:rFonts w:ascii="Times New Roman" w:eastAsia="Times New Roman" w:hAnsi="Times New Roman" w:cs="Times New Roman"/>
          <w:sz w:val="28"/>
        </w:rPr>
        <w:t>онерлік қоғамының жүйелераралық электр желілерінің 9 филиалы бар. Тәждік шығындарды есептеу филиалдар бойынша шығындар 3-5 жыл ішінде зерттеліп орташаланған мәнін анықтайды және әр филиалдың желілері үшін тәждік шығындардың нормативіне кіреді.</w:t>
      </w:r>
    </w:p>
    <w:p w:rsidR="0052701D" w:rsidRDefault="00D40929">
      <w:pPr>
        <w:spacing w:after="3" w:line="248" w:lineRule="auto"/>
        <w:ind w:left="284" w:right="4" w:firstLine="710"/>
        <w:jc w:val="both"/>
      </w:pPr>
      <w:r>
        <w:rPr>
          <w:rFonts w:ascii="Times New Roman" w:eastAsia="Times New Roman" w:hAnsi="Times New Roman" w:cs="Times New Roman"/>
          <w:sz w:val="28"/>
        </w:rPr>
        <w:t>Қазақстанның</w:t>
      </w:r>
      <w:r>
        <w:rPr>
          <w:rFonts w:ascii="Times New Roman" w:eastAsia="Times New Roman" w:hAnsi="Times New Roman" w:cs="Times New Roman"/>
          <w:sz w:val="28"/>
        </w:rPr>
        <w:t xml:space="preserve"> 220-500кВ электр желілеріндегі электр шығындарын талдау 2-ші кестеде және «-суретте берілді.</w:t>
      </w:r>
    </w:p>
    <w:p w:rsidR="0052701D" w:rsidRDefault="00D40929">
      <w:pPr>
        <w:spacing w:after="0"/>
        <w:ind w:left="994"/>
      </w:pPr>
      <w:r>
        <w:rPr>
          <w:rFonts w:ascii="Times New Roman" w:eastAsia="Times New Roman" w:hAnsi="Times New Roman" w:cs="Times New Roman"/>
          <w:sz w:val="28"/>
        </w:rPr>
        <w:t xml:space="preserve"> </w:t>
      </w:r>
    </w:p>
    <w:p w:rsidR="0052701D" w:rsidRDefault="00D40929">
      <w:pPr>
        <w:spacing w:after="3" w:line="248" w:lineRule="auto"/>
        <w:ind w:left="284" w:right="4" w:firstLine="710"/>
        <w:jc w:val="both"/>
      </w:pPr>
      <w:r>
        <w:rPr>
          <w:rFonts w:ascii="Times New Roman" w:eastAsia="Times New Roman" w:hAnsi="Times New Roman" w:cs="Times New Roman"/>
          <w:sz w:val="28"/>
        </w:rPr>
        <w:t xml:space="preserve">Кесте 2 - «KEGOC» АҚ-ның 220-500 кВ желілеріндегі электр энергиясының 2019 жылғы техникалық ысыраптарының құрылымы  </w:t>
      </w:r>
    </w:p>
    <w:tbl>
      <w:tblPr>
        <w:tblStyle w:val="TableGrid"/>
        <w:tblW w:w="9064" w:type="dxa"/>
        <w:tblInd w:w="290" w:type="dxa"/>
        <w:tblCellMar>
          <w:top w:w="16" w:type="dxa"/>
          <w:left w:w="110" w:type="dxa"/>
          <w:bottom w:w="0" w:type="dxa"/>
          <w:right w:w="115" w:type="dxa"/>
        </w:tblCellMar>
        <w:tblLook w:val="04A0" w:firstRow="1" w:lastRow="0" w:firstColumn="1" w:lastColumn="0" w:noHBand="0" w:noVBand="1"/>
      </w:tblPr>
      <w:tblGrid>
        <w:gridCol w:w="5948"/>
        <w:gridCol w:w="3116"/>
      </w:tblGrid>
      <w:tr w:rsidR="0052701D">
        <w:trPr>
          <w:trHeight w:val="522"/>
        </w:trPr>
        <w:tc>
          <w:tcPr>
            <w:tcW w:w="5948"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6"/>
              <w:jc w:val="center"/>
            </w:pPr>
            <w:r>
              <w:rPr>
                <w:rFonts w:ascii="Times New Roman" w:eastAsia="Times New Roman" w:hAnsi="Times New Roman" w:cs="Times New Roman"/>
              </w:rPr>
              <w:t>Көрсеткіштердің атауы</w:t>
            </w:r>
          </w:p>
        </w:tc>
        <w:tc>
          <w:tcPr>
            <w:tcW w:w="3116"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4"/>
              <w:jc w:val="center"/>
            </w:pPr>
            <w:r>
              <w:rPr>
                <w:rFonts w:ascii="Times New Roman" w:eastAsia="Times New Roman" w:hAnsi="Times New Roman" w:cs="Times New Roman"/>
              </w:rPr>
              <w:t>«KEGOC» АҚ-ның 220- 5</w:t>
            </w:r>
            <w:r>
              <w:rPr>
                <w:rFonts w:ascii="Times New Roman" w:eastAsia="Times New Roman" w:hAnsi="Times New Roman" w:cs="Times New Roman"/>
              </w:rPr>
              <w:t>00 кВ желісі</w:t>
            </w:r>
          </w:p>
        </w:tc>
      </w:tr>
      <w:tr w:rsidR="0052701D">
        <w:trPr>
          <w:trHeight w:val="268"/>
        </w:trPr>
        <w:tc>
          <w:tcPr>
            <w:tcW w:w="5948" w:type="dxa"/>
            <w:tcBorders>
              <w:top w:val="single" w:sz="6" w:space="0" w:color="000000"/>
              <w:left w:val="single" w:sz="6" w:space="0" w:color="000000"/>
              <w:bottom w:val="single" w:sz="6" w:space="0" w:color="000000"/>
              <w:right w:val="single" w:sz="6" w:space="0" w:color="000000"/>
            </w:tcBorders>
          </w:tcPr>
          <w:p w:rsidR="0052701D" w:rsidRDefault="00D40929">
            <w:pPr>
              <w:spacing w:after="0"/>
            </w:pPr>
            <w:r>
              <w:rPr>
                <w:rFonts w:ascii="Times New Roman" w:eastAsia="Times New Roman" w:hAnsi="Times New Roman" w:cs="Times New Roman"/>
              </w:rPr>
              <w:t>Нормативтік техникалық ысыраптар (шығындар)</w:t>
            </w:r>
          </w:p>
        </w:tc>
        <w:tc>
          <w:tcPr>
            <w:tcW w:w="3116"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5"/>
              <w:jc w:val="center"/>
            </w:pPr>
            <w:r>
              <w:rPr>
                <w:rFonts w:ascii="Times New Roman" w:eastAsia="Times New Roman" w:hAnsi="Times New Roman" w:cs="Times New Roman"/>
              </w:rPr>
              <w:t>2 827 162 мың кВтсағ (6,0%)</w:t>
            </w:r>
          </w:p>
        </w:tc>
      </w:tr>
      <w:tr w:rsidR="0052701D">
        <w:trPr>
          <w:trHeight w:val="268"/>
        </w:trPr>
        <w:tc>
          <w:tcPr>
            <w:tcW w:w="5948" w:type="dxa"/>
            <w:tcBorders>
              <w:top w:val="single" w:sz="6" w:space="0" w:color="000000"/>
              <w:left w:val="single" w:sz="6" w:space="0" w:color="000000"/>
              <w:bottom w:val="single" w:sz="6" w:space="0" w:color="000000"/>
              <w:right w:val="single" w:sz="6" w:space="0" w:color="000000"/>
            </w:tcBorders>
          </w:tcPr>
          <w:p w:rsidR="0052701D" w:rsidRDefault="00D40929">
            <w:pPr>
              <w:spacing w:after="0"/>
            </w:pPr>
            <w:r>
              <w:rPr>
                <w:rFonts w:ascii="Times New Roman" w:eastAsia="Times New Roman" w:hAnsi="Times New Roman" w:cs="Times New Roman"/>
              </w:rPr>
              <w:t>Электр энергиясының ысырабы:</w:t>
            </w:r>
          </w:p>
        </w:tc>
        <w:tc>
          <w:tcPr>
            <w:tcW w:w="3116"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8"/>
              <w:jc w:val="center"/>
            </w:pPr>
            <w:r>
              <w:rPr>
                <w:rFonts w:ascii="Times New Roman" w:eastAsia="Times New Roman" w:hAnsi="Times New Roman" w:cs="Times New Roman"/>
              </w:rPr>
              <w:t>%</w:t>
            </w:r>
          </w:p>
        </w:tc>
      </w:tr>
      <w:tr w:rsidR="0052701D">
        <w:trPr>
          <w:trHeight w:val="268"/>
        </w:trPr>
        <w:tc>
          <w:tcPr>
            <w:tcW w:w="5948" w:type="dxa"/>
            <w:tcBorders>
              <w:top w:val="single" w:sz="6" w:space="0" w:color="000000"/>
              <w:left w:val="single" w:sz="6" w:space="0" w:color="000000"/>
              <w:bottom w:val="single" w:sz="6" w:space="0" w:color="000000"/>
              <w:right w:val="single" w:sz="6" w:space="0" w:color="000000"/>
            </w:tcBorders>
          </w:tcPr>
          <w:p w:rsidR="0052701D" w:rsidRDefault="00D40929">
            <w:pPr>
              <w:spacing w:after="0"/>
            </w:pPr>
            <w:r>
              <w:rPr>
                <w:rFonts w:ascii="Times New Roman" w:eastAsia="Times New Roman" w:hAnsi="Times New Roman" w:cs="Times New Roman"/>
              </w:rPr>
              <w:t xml:space="preserve">Жүктемелік шығындар  </w:t>
            </w:r>
          </w:p>
        </w:tc>
        <w:tc>
          <w:tcPr>
            <w:tcW w:w="3116"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9"/>
              <w:jc w:val="center"/>
            </w:pPr>
            <w:r>
              <w:rPr>
                <w:rFonts w:ascii="Times New Roman" w:eastAsia="Times New Roman" w:hAnsi="Times New Roman" w:cs="Times New Roman"/>
              </w:rPr>
              <w:t>62,70</w:t>
            </w:r>
          </w:p>
        </w:tc>
      </w:tr>
      <w:tr w:rsidR="0052701D">
        <w:trPr>
          <w:trHeight w:val="268"/>
        </w:trPr>
        <w:tc>
          <w:tcPr>
            <w:tcW w:w="5948" w:type="dxa"/>
            <w:tcBorders>
              <w:top w:val="single" w:sz="6" w:space="0" w:color="000000"/>
              <w:left w:val="single" w:sz="6" w:space="0" w:color="000000"/>
              <w:bottom w:val="single" w:sz="6" w:space="0" w:color="000000"/>
              <w:right w:val="single" w:sz="6" w:space="0" w:color="000000"/>
            </w:tcBorders>
          </w:tcPr>
          <w:p w:rsidR="0052701D" w:rsidRDefault="00D40929">
            <w:pPr>
              <w:spacing w:after="0"/>
            </w:pPr>
            <w:r>
              <w:rPr>
                <w:rFonts w:ascii="Times New Roman" w:eastAsia="Times New Roman" w:hAnsi="Times New Roman" w:cs="Times New Roman"/>
              </w:rPr>
              <w:t>Трансформаторлардағы шығындар</w:t>
            </w:r>
          </w:p>
        </w:tc>
        <w:tc>
          <w:tcPr>
            <w:tcW w:w="3116"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9"/>
              <w:jc w:val="center"/>
            </w:pPr>
            <w:r>
              <w:rPr>
                <w:rFonts w:ascii="Times New Roman" w:eastAsia="Times New Roman" w:hAnsi="Times New Roman" w:cs="Times New Roman"/>
              </w:rPr>
              <w:t>1,3</w:t>
            </w:r>
          </w:p>
        </w:tc>
      </w:tr>
      <w:tr w:rsidR="0052701D">
        <w:trPr>
          <w:trHeight w:val="268"/>
        </w:trPr>
        <w:tc>
          <w:tcPr>
            <w:tcW w:w="5948" w:type="dxa"/>
            <w:tcBorders>
              <w:top w:val="single" w:sz="6" w:space="0" w:color="000000"/>
              <w:left w:val="single" w:sz="6" w:space="0" w:color="000000"/>
              <w:bottom w:val="single" w:sz="6" w:space="0" w:color="000000"/>
              <w:right w:val="single" w:sz="6" w:space="0" w:color="000000"/>
            </w:tcBorders>
          </w:tcPr>
          <w:p w:rsidR="0052701D" w:rsidRDefault="00D40929">
            <w:pPr>
              <w:spacing w:after="0"/>
            </w:pPr>
            <w:r>
              <w:rPr>
                <w:rFonts w:ascii="Times New Roman" w:eastAsia="Times New Roman" w:hAnsi="Times New Roman" w:cs="Times New Roman"/>
              </w:rPr>
              <w:lastRenderedPageBreak/>
              <w:t xml:space="preserve">бос жүрістегі электр энергиясының жоғалуы </w:t>
            </w:r>
          </w:p>
        </w:tc>
        <w:tc>
          <w:tcPr>
            <w:tcW w:w="3116"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9"/>
              <w:jc w:val="center"/>
            </w:pPr>
            <w:r>
              <w:rPr>
                <w:rFonts w:ascii="Times New Roman" w:eastAsia="Times New Roman" w:hAnsi="Times New Roman" w:cs="Times New Roman"/>
              </w:rPr>
              <w:t>4,5</w:t>
            </w:r>
          </w:p>
        </w:tc>
      </w:tr>
      <w:tr w:rsidR="0052701D">
        <w:trPr>
          <w:trHeight w:val="268"/>
        </w:trPr>
        <w:tc>
          <w:tcPr>
            <w:tcW w:w="5948" w:type="dxa"/>
            <w:tcBorders>
              <w:top w:val="single" w:sz="6" w:space="0" w:color="000000"/>
              <w:left w:val="single" w:sz="6" w:space="0" w:color="000000"/>
              <w:bottom w:val="single" w:sz="6" w:space="0" w:color="000000"/>
              <w:right w:val="single" w:sz="6" w:space="0" w:color="000000"/>
            </w:tcBorders>
          </w:tcPr>
          <w:p w:rsidR="0052701D" w:rsidRDefault="00D40929">
            <w:pPr>
              <w:spacing w:after="0"/>
            </w:pPr>
            <w:r>
              <w:rPr>
                <w:rFonts w:ascii="Times New Roman" w:eastAsia="Times New Roman" w:hAnsi="Times New Roman" w:cs="Times New Roman"/>
              </w:rPr>
              <w:t>әуе желілеріндегі тәжге кететін шығындар</w:t>
            </w:r>
          </w:p>
        </w:tc>
        <w:tc>
          <w:tcPr>
            <w:tcW w:w="3116"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9"/>
              <w:jc w:val="center"/>
            </w:pPr>
            <w:r>
              <w:rPr>
                <w:rFonts w:ascii="Times New Roman" w:eastAsia="Times New Roman" w:hAnsi="Times New Roman" w:cs="Times New Roman"/>
              </w:rPr>
              <w:t>21,7</w:t>
            </w:r>
          </w:p>
        </w:tc>
      </w:tr>
      <w:tr w:rsidR="0052701D">
        <w:trPr>
          <w:trHeight w:val="268"/>
        </w:trPr>
        <w:tc>
          <w:tcPr>
            <w:tcW w:w="5948" w:type="dxa"/>
            <w:tcBorders>
              <w:top w:val="single" w:sz="6" w:space="0" w:color="000000"/>
              <w:left w:val="single" w:sz="6" w:space="0" w:color="000000"/>
              <w:bottom w:val="single" w:sz="6" w:space="0" w:color="000000"/>
              <w:right w:val="single" w:sz="6" w:space="0" w:color="000000"/>
            </w:tcBorders>
          </w:tcPr>
          <w:p w:rsidR="0052701D" w:rsidRDefault="00D40929">
            <w:pPr>
              <w:spacing w:after="0"/>
            </w:pPr>
            <w:r>
              <w:rPr>
                <w:rFonts w:ascii="Times New Roman" w:eastAsia="Times New Roman" w:hAnsi="Times New Roman" w:cs="Times New Roman"/>
              </w:rPr>
              <w:t xml:space="preserve">компенсациялық құрылғылардағы шығындар </w:t>
            </w:r>
          </w:p>
        </w:tc>
        <w:tc>
          <w:tcPr>
            <w:tcW w:w="3116"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9"/>
              <w:jc w:val="center"/>
            </w:pPr>
            <w:r>
              <w:rPr>
                <w:rFonts w:ascii="Times New Roman" w:eastAsia="Times New Roman" w:hAnsi="Times New Roman" w:cs="Times New Roman"/>
              </w:rPr>
              <w:t>6,6</w:t>
            </w:r>
          </w:p>
        </w:tc>
      </w:tr>
      <w:tr w:rsidR="0052701D">
        <w:trPr>
          <w:trHeight w:val="268"/>
        </w:trPr>
        <w:tc>
          <w:tcPr>
            <w:tcW w:w="5948" w:type="dxa"/>
            <w:tcBorders>
              <w:top w:val="single" w:sz="6" w:space="0" w:color="000000"/>
              <w:left w:val="single" w:sz="6" w:space="0" w:color="000000"/>
              <w:bottom w:val="single" w:sz="6" w:space="0" w:color="000000"/>
              <w:right w:val="single" w:sz="6" w:space="0" w:color="000000"/>
            </w:tcBorders>
          </w:tcPr>
          <w:p w:rsidR="0052701D" w:rsidRDefault="00D40929">
            <w:pPr>
              <w:spacing w:after="0"/>
            </w:pPr>
            <w:r>
              <w:rPr>
                <w:rFonts w:ascii="Times New Roman" w:eastAsia="Times New Roman" w:hAnsi="Times New Roman" w:cs="Times New Roman"/>
              </w:rPr>
              <w:t>қосалқы станциялары өзіндік тұтыну  шығындары</w:t>
            </w:r>
          </w:p>
        </w:tc>
        <w:tc>
          <w:tcPr>
            <w:tcW w:w="3116"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9"/>
              <w:jc w:val="center"/>
            </w:pPr>
            <w:r>
              <w:rPr>
                <w:rFonts w:ascii="Times New Roman" w:eastAsia="Times New Roman" w:hAnsi="Times New Roman" w:cs="Times New Roman"/>
              </w:rPr>
              <w:t>3,2</w:t>
            </w:r>
          </w:p>
        </w:tc>
      </w:tr>
      <w:tr w:rsidR="0052701D">
        <w:trPr>
          <w:trHeight w:val="268"/>
        </w:trPr>
        <w:tc>
          <w:tcPr>
            <w:tcW w:w="5948" w:type="dxa"/>
            <w:tcBorders>
              <w:top w:val="single" w:sz="6" w:space="0" w:color="000000"/>
              <w:left w:val="single" w:sz="6" w:space="0" w:color="000000"/>
              <w:bottom w:val="single" w:sz="6" w:space="0" w:color="000000"/>
              <w:right w:val="single" w:sz="6" w:space="0" w:color="000000"/>
            </w:tcBorders>
          </w:tcPr>
          <w:p w:rsidR="0052701D" w:rsidRDefault="00D40929">
            <w:pPr>
              <w:spacing w:after="0"/>
            </w:pPr>
            <w:r>
              <w:rPr>
                <w:rFonts w:ascii="Times New Roman" w:eastAsia="Times New Roman" w:hAnsi="Times New Roman" w:cs="Times New Roman"/>
              </w:rPr>
              <w:t>есептеу құралдары  кететін шығындар</w:t>
            </w:r>
          </w:p>
        </w:tc>
        <w:tc>
          <w:tcPr>
            <w:tcW w:w="3116"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9"/>
              <w:jc w:val="center"/>
            </w:pPr>
            <w:r>
              <w:rPr>
                <w:rFonts w:ascii="Times New Roman" w:eastAsia="Times New Roman" w:hAnsi="Times New Roman" w:cs="Times New Roman"/>
              </w:rPr>
              <w:t>3,2</w:t>
            </w:r>
          </w:p>
        </w:tc>
      </w:tr>
      <w:tr w:rsidR="0052701D">
        <w:trPr>
          <w:trHeight w:val="268"/>
        </w:trPr>
        <w:tc>
          <w:tcPr>
            <w:tcW w:w="5948" w:type="dxa"/>
            <w:tcBorders>
              <w:top w:val="single" w:sz="6" w:space="0" w:color="000000"/>
              <w:left w:val="single" w:sz="6" w:space="0" w:color="000000"/>
              <w:bottom w:val="single" w:sz="6" w:space="0" w:color="000000"/>
              <w:right w:val="single" w:sz="6" w:space="0" w:color="000000"/>
            </w:tcBorders>
          </w:tcPr>
          <w:p w:rsidR="0052701D" w:rsidRDefault="00D40929">
            <w:pPr>
              <w:spacing w:after="0"/>
            </w:pPr>
            <w:r>
              <w:rPr>
                <w:rFonts w:ascii="Times New Roman" w:eastAsia="Times New Roman" w:hAnsi="Times New Roman" w:cs="Times New Roman"/>
              </w:rPr>
              <w:t>Басқа да шығындар</w:t>
            </w:r>
          </w:p>
        </w:tc>
        <w:tc>
          <w:tcPr>
            <w:tcW w:w="3116"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10"/>
              <w:jc w:val="center"/>
            </w:pPr>
            <w:r>
              <w:rPr>
                <w:rFonts w:ascii="Times New Roman" w:eastAsia="Times New Roman" w:hAnsi="Times New Roman" w:cs="Times New Roman"/>
              </w:rPr>
              <w:t>-</w:t>
            </w:r>
          </w:p>
        </w:tc>
      </w:tr>
      <w:tr w:rsidR="0052701D">
        <w:trPr>
          <w:trHeight w:val="268"/>
        </w:trPr>
        <w:tc>
          <w:tcPr>
            <w:tcW w:w="5948" w:type="dxa"/>
            <w:tcBorders>
              <w:top w:val="single" w:sz="6" w:space="0" w:color="000000"/>
              <w:left w:val="single" w:sz="6" w:space="0" w:color="000000"/>
              <w:bottom w:val="single" w:sz="6" w:space="0" w:color="000000"/>
              <w:right w:val="single" w:sz="6" w:space="0" w:color="000000"/>
            </w:tcBorders>
          </w:tcPr>
          <w:p w:rsidR="0052701D" w:rsidRDefault="00D40929">
            <w:pPr>
              <w:spacing w:after="0"/>
            </w:pPr>
            <w:r>
              <w:rPr>
                <w:rFonts w:ascii="Times New Roman" w:eastAsia="Times New Roman" w:hAnsi="Times New Roman" w:cs="Times New Roman"/>
              </w:rPr>
              <w:t xml:space="preserve">Қосынды шығындар ( %)  </w:t>
            </w:r>
          </w:p>
        </w:tc>
        <w:tc>
          <w:tcPr>
            <w:tcW w:w="3116"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7"/>
              <w:jc w:val="center"/>
            </w:pPr>
            <w:r>
              <w:rPr>
                <w:rFonts w:ascii="Times New Roman" w:eastAsia="Times New Roman" w:hAnsi="Times New Roman" w:cs="Times New Roman"/>
              </w:rPr>
              <w:t>100</w:t>
            </w:r>
          </w:p>
        </w:tc>
      </w:tr>
    </w:tbl>
    <w:p w:rsidR="0052701D" w:rsidRDefault="00D40929">
      <w:pPr>
        <w:spacing w:after="3" w:line="248" w:lineRule="auto"/>
        <w:ind w:left="284" w:right="288" w:firstLine="710"/>
        <w:jc w:val="both"/>
      </w:pPr>
      <w:r>
        <w:rPr>
          <w:rFonts w:ascii="Times New Roman" w:eastAsia="Times New Roman" w:hAnsi="Times New Roman" w:cs="Times New Roman"/>
          <w:sz w:val="28"/>
        </w:rPr>
        <w:t xml:space="preserve">Кестеден 220-500 кВ </w:t>
      </w:r>
      <w:r>
        <w:rPr>
          <w:rFonts w:ascii="Times New Roman" w:eastAsia="Times New Roman" w:hAnsi="Times New Roman" w:cs="Times New Roman"/>
          <w:sz w:val="28"/>
        </w:rPr>
        <w:t>желілердегі шығындар құрылымынан көрініп тұрғандай, негізгі шығындар желілердегі жүктеме шығындары мен тәждік шығындар болып табылады.</w:t>
      </w:r>
    </w:p>
    <w:p w:rsidR="0052701D" w:rsidRDefault="00D40929">
      <w:pPr>
        <w:spacing w:after="312" w:line="248" w:lineRule="auto"/>
        <w:ind w:left="284" w:right="295" w:firstLine="710"/>
        <w:jc w:val="both"/>
      </w:pPr>
      <w:r>
        <w:rPr>
          <w:rFonts w:ascii="Times New Roman" w:eastAsia="Times New Roman" w:hAnsi="Times New Roman" w:cs="Times New Roman"/>
          <w:sz w:val="28"/>
        </w:rPr>
        <w:t>Алынған мәліметтер бойынша Қазақстанның 220-500 кВ желіліеріндегі (2019 жылдың деректері бойынша ) шығындар құрылымы кестеде берілді. Электр энергиясын беру кезіндегі шығындар құны:</w:t>
      </w:r>
    </w:p>
    <w:p w:rsidR="0052701D" w:rsidRDefault="00D40929">
      <w:pPr>
        <w:spacing w:after="3" w:line="248" w:lineRule="auto"/>
        <w:ind w:left="2714" w:right="4"/>
        <w:jc w:val="both"/>
      </w:pPr>
      <w:r>
        <w:rPr>
          <w:rFonts w:ascii="Times New Roman" w:eastAsia="Times New Roman" w:hAnsi="Times New Roman" w:cs="Times New Roman"/>
          <w:sz w:val="28"/>
        </w:rPr>
        <w:t xml:space="preserve">Шқ = Б * Δ W </w:t>
      </w:r>
      <w:r>
        <w:rPr>
          <w:rFonts w:ascii="Times New Roman" w:eastAsia="Times New Roman" w:hAnsi="Times New Roman" w:cs="Times New Roman"/>
          <w:sz w:val="25"/>
          <w:vertAlign w:val="subscript"/>
        </w:rPr>
        <w:t xml:space="preserve"> </w:t>
      </w:r>
      <w:r>
        <w:rPr>
          <w:rFonts w:ascii="Times New Roman" w:eastAsia="Times New Roman" w:hAnsi="Times New Roman" w:cs="Times New Roman"/>
          <w:sz w:val="28"/>
        </w:rPr>
        <w:t xml:space="preserve">  = 2 886,69 * 6,73 = 19421,3 тг.</w:t>
      </w:r>
    </w:p>
    <w:p w:rsidR="0052701D" w:rsidRDefault="00D40929">
      <w:pPr>
        <w:spacing w:after="3" w:line="248" w:lineRule="auto"/>
        <w:ind w:left="284" w:right="4"/>
        <w:jc w:val="both"/>
      </w:pPr>
      <w:r>
        <w:rPr>
          <w:rFonts w:ascii="Times New Roman" w:eastAsia="Times New Roman" w:hAnsi="Times New Roman" w:cs="Times New Roman"/>
          <w:sz w:val="28"/>
        </w:rPr>
        <w:t>мұндағы:</w:t>
      </w:r>
    </w:p>
    <w:p w:rsidR="0052701D" w:rsidRDefault="00D40929">
      <w:pPr>
        <w:spacing w:after="3" w:line="248" w:lineRule="auto"/>
        <w:ind w:left="284" w:right="289" w:firstLine="710"/>
        <w:jc w:val="both"/>
      </w:pPr>
      <w:r>
        <w:rPr>
          <w:rFonts w:ascii="Times New Roman" w:eastAsia="Times New Roman" w:hAnsi="Times New Roman" w:cs="Times New Roman"/>
          <w:sz w:val="28"/>
        </w:rPr>
        <w:t xml:space="preserve"> Б</w:t>
      </w:r>
      <w:r>
        <w:rPr>
          <w:rFonts w:ascii="Times New Roman" w:eastAsia="Times New Roman" w:hAnsi="Times New Roman" w:cs="Times New Roman"/>
          <w:sz w:val="25"/>
          <w:vertAlign w:val="subscript"/>
        </w:rPr>
        <w:t xml:space="preserve"> </w:t>
      </w:r>
      <w:r>
        <w:rPr>
          <w:rFonts w:ascii="Times New Roman" w:eastAsia="Times New Roman" w:hAnsi="Times New Roman" w:cs="Times New Roman"/>
          <w:sz w:val="28"/>
        </w:rPr>
        <w:t>- KEGOC желіле</w:t>
      </w:r>
      <w:r>
        <w:rPr>
          <w:rFonts w:ascii="Times New Roman" w:eastAsia="Times New Roman" w:hAnsi="Times New Roman" w:cs="Times New Roman"/>
          <w:sz w:val="28"/>
        </w:rPr>
        <w:t xml:space="preserve">рі бойынша электр энергиясының шығындарын өтеу үшін электр энергиясының орташа сатып алу бағасы, теңге/кВтсағ;               ΔW - электр энергиясының шығындалуы, мың кВтсағ; </w:t>
      </w:r>
    </w:p>
    <w:p w:rsidR="0052701D" w:rsidRDefault="00D40929">
      <w:pPr>
        <w:spacing w:after="3" w:line="248" w:lineRule="auto"/>
        <w:ind w:left="284" w:right="4" w:firstLine="710"/>
        <w:jc w:val="both"/>
      </w:pPr>
      <w:r>
        <w:rPr>
          <w:rFonts w:ascii="Times New Roman" w:eastAsia="Times New Roman" w:hAnsi="Times New Roman" w:cs="Times New Roman"/>
          <w:sz w:val="28"/>
        </w:rPr>
        <w:t>Тәждік шығындардың болжамды шығыны = 2886,69*(21,7/100) = 626,41 млн.кВтсағ.</w:t>
      </w:r>
    </w:p>
    <w:p w:rsidR="0052701D" w:rsidRDefault="00D40929">
      <w:pPr>
        <w:spacing w:after="0"/>
        <w:ind w:left="1003" w:right="776" w:hanging="10"/>
        <w:jc w:val="center"/>
      </w:pPr>
      <w:r>
        <w:rPr>
          <w:rFonts w:ascii="Times New Roman" w:eastAsia="Times New Roman" w:hAnsi="Times New Roman" w:cs="Times New Roman"/>
          <w:sz w:val="28"/>
        </w:rPr>
        <w:t>Тәжг</w:t>
      </w:r>
      <w:r>
        <w:rPr>
          <w:rFonts w:ascii="Times New Roman" w:eastAsia="Times New Roman" w:hAnsi="Times New Roman" w:cs="Times New Roman"/>
          <w:sz w:val="28"/>
        </w:rPr>
        <w:t>е кеткен ақшалай шығындар = 626,41 * 6,73 = 4215,74 млн. теңге.</w:t>
      </w:r>
    </w:p>
    <w:p w:rsidR="0052701D" w:rsidRDefault="00D40929">
      <w:pPr>
        <w:spacing w:after="14"/>
        <w:ind w:left="1463"/>
      </w:pPr>
      <w:r>
        <w:rPr>
          <w:noProof/>
        </w:rPr>
        <w:drawing>
          <wp:inline distT="0" distB="0" distL="0" distR="0">
            <wp:extent cx="4619625" cy="2181225"/>
            <wp:effectExtent l="0" t="0" r="0" b="0"/>
            <wp:docPr id="180227" name="Picture 180227"/>
            <wp:cNvGraphicFramePr/>
            <a:graphic xmlns:a="http://schemas.openxmlformats.org/drawingml/2006/main">
              <a:graphicData uri="http://schemas.openxmlformats.org/drawingml/2006/picture">
                <pic:pic xmlns:pic="http://schemas.openxmlformats.org/drawingml/2006/picture">
                  <pic:nvPicPr>
                    <pic:cNvPr id="180227" name="Picture 180227"/>
                    <pic:cNvPicPr/>
                  </pic:nvPicPr>
                  <pic:blipFill>
                    <a:blip r:embed="rId868"/>
                    <a:stretch>
                      <a:fillRect/>
                    </a:stretch>
                  </pic:blipFill>
                  <pic:spPr>
                    <a:xfrm>
                      <a:off x="0" y="0"/>
                      <a:ext cx="4619625" cy="2181225"/>
                    </a:xfrm>
                    <a:prstGeom prst="rect">
                      <a:avLst/>
                    </a:prstGeom>
                  </pic:spPr>
                </pic:pic>
              </a:graphicData>
            </a:graphic>
          </wp:inline>
        </w:drawing>
      </w:r>
    </w:p>
    <w:p w:rsidR="0052701D" w:rsidRDefault="00D40929">
      <w:pPr>
        <w:spacing w:after="224"/>
        <w:ind w:left="1003" w:right="993" w:hanging="10"/>
        <w:jc w:val="center"/>
      </w:pPr>
      <w:r>
        <w:rPr>
          <w:rFonts w:ascii="Times New Roman" w:eastAsia="Times New Roman" w:hAnsi="Times New Roman" w:cs="Times New Roman"/>
          <w:sz w:val="28"/>
        </w:rPr>
        <w:t>Сурет 1 - Электр энергиясының шығындарының құрылымы</w:t>
      </w:r>
      <w:r>
        <w:rPr>
          <w:rFonts w:ascii="Times New Roman" w:eastAsia="Times New Roman" w:hAnsi="Times New Roman" w:cs="Times New Roman"/>
          <w:b/>
          <w:sz w:val="28"/>
        </w:rPr>
        <w:t>; %</w:t>
      </w:r>
    </w:p>
    <w:p w:rsidR="0052701D" w:rsidRDefault="00D40929">
      <w:pPr>
        <w:spacing w:after="3" w:line="248" w:lineRule="auto"/>
        <w:ind w:left="284" w:right="4" w:firstLine="710"/>
        <w:jc w:val="both"/>
      </w:pPr>
      <w:r>
        <w:rPr>
          <w:rFonts w:ascii="Times New Roman" w:eastAsia="Times New Roman" w:hAnsi="Times New Roman" w:cs="Times New Roman"/>
          <w:sz w:val="28"/>
        </w:rPr>
        <w:t>Кесте 3 - 2019 жылға арналған «KEGOC » желілерінің 220-500кВ электр энергиясының техникалық ысыраптарының құрылымы:</w:t>
      </w:r>
    </w:p>
    <w:tbl>
      <w:tblPr>
        <w:tblStyle w:val="TableGrid"/>
        <w:tblW w:w="9326" w:type="dxa"/>
        <w:tblInd w:w="290" w:type="dxa"/>
        <w:tblCellMar>
          <w:top w:w="16" w:type="dxa"/>
          <w:left w:w="110" w:type="dxa"/>
          <w:bottom w:w="0" w:type="dxa"/>
          <w:right w:w="114" w:type="dxa"/>
        </w:tblCellMar>
        <w:tblLook w:val="04A0" w:firstRow="1" w:lastRow="0" w:firstColumn="1" w:lastColumn="0" w:noHBand="0" w:noVBand="1"/>
      </w:tblPr>
      <w:tblGrid>
        <w:gridCol w:w="5806"/>
        <w:gridCol w:w="1646"/>
        <w:gridCol w:w="1874"/>
      </w:tblGrid>
      <w:tr w:rsidR="0052701D">
        <w:trPr>
          <w:trHeight w:val="316"/>
        </w:trPr>
        <w:tc>
          <w:tcPr>
            <w:tcW w:w="5806"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713"/>
              <w:jc w:val="center"/>
            </w:pPr>
            <w:r>
              <w:rPr>
                <w:rFonts w:ascii="Times New Roman" w:eastAsia="Times New Roman" w:hAnsi="Times New Roman" w:cs="Times New Roman"/>
              </w:rPr>
              <w:t>Көрсеткіштердің ата</w:t>
            </w:r>
            <w:r>
              <w:rPr>
                <w:rFonts w:ascii="Times New Roman" w:eastAsia="Times New Roman" w:hAnsi="Times New Roman" w:cs="Times New Roman"/>
              </w:rPr>
              <w:t>уы</w:t>
            </w:r>
          </w:p>
        </w:tc>
        <w:tc>
          <w:tcPr>
            <w:tcW w:w="1646"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68"/>
            </w:pPr>
            <w:r>
              <w:rPr>
                <w:rFonts w:ascii="Times New Roman" w:eastAsia="Times New Roman" w:hAnsi="Times New Roman" w:cs="Times New Roman"/>
              </w:rPr>
              <w:t>Өлшем бірлігі</w:t>
            </w:r>
          </w:p>
        </w:tc>
        <w:tc>
          <w:tcPr>
            <w:tcW w:w="187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37"/>
              <w:jc w:val="center"/>
            </w:pPr>
            <w:r>
              <w:rPr>
                <w:rFonts w:ascii="Times New Roman" w:eastAsia="Times New Roman" w:hAnsi="Times New Roman" w:cs="Times New Roman"/>
              </w:rPr>
              <w:t>Мәні</w:t>
            </w:r>
          </w:p>
        </w:tc>
      </w:tr>
      <w:tr w:rsidR="0052701D">
        <w:trPr>
          <w:trHeight w:val="596"/>
        </w:trPr>
        <w:tc>
          <w:tcPr>
            <w:tcW w:w="5806"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firstLine="22"/>
            </w:pPr>
            <w:r>
              <w:rPr>
                <w:rFonts w:ascii="Times New Roman" w:eastAsia="Times New Roman" w:hAnsi="Times New Roman" w:cs="Times New Roman"/>
              </w:rPr>
              <w:t>Көрсетілетін қызметтердің (тауарлардың, жұмыстардың) көлемі</w:t>
            </w:r>
          </w:p>
        </w:tc>
        <w:tc>
          <w:tcPr>
            <w:tcW w:w="1646"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42"/>
            </w:pPr>
            <w:r>
              <w:rPr>
                <w:rFonts w:ascii="Times New Roman" w:eastAsia="Times New Roman" w:hAnsi="Times New Roman" w:cs="Times New Roman"/>
              </w:rPr>
              <w:t>млн кВтсағ</w:t>
            </w:r>
          </w:p>
        </w:tc>
        <w:tc>
          <w:tcPr>
            <w:tcW w:w="187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38"/>
              <w:jc w:val="center"/>
            </w:pPr>
            <w:r>
              <w:rPr>
                <w:rFonts w:ascii="Times New Roman" w:eastAsia="Times New Roman" w:hAnsi="Times New Roman" w:cs="Times New Roman"/>
              </w:rPr>
              <w:t>42532,15</w:t>
            </w:r>
          </w:p>
        </w:tc>
      </w:tr>
      <w:tr w:rsidR="0052701D">
        <w:trPr>
          <w:trHeight w:val="324"/>
        </w:trPr>
        <w:tc>
          <w:tcPr>
            <w:tcW w:w="5806"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22"/>
            </w:pPr>
            <w:r>
              <w:rPr>
                <w:rFonts w:ascii="Times New Roman" w:eastAsia="Times New Roman" w:hAnsi="Times New Roman" w:cs="Times New Roman"/>
              </w:rPr>
              <w:t>Нақты шығындар</w:t>
            </w:r>
          </w:p>
        </w:tc>
        <w:tc>
          <w:tcPr>
            <w:tcW w:w="1646"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42"/>
            </w:pPr>
            <w:r>
              <w:rPr>
                <w:rFonts w:ascii="Times New Roman" w:eastAsia="Times New Roman" w:hAnsi="Times New Roman" w:cs="Times New Roman"/>
              </w:rPr>
              <w:t>%</w:t>
            </w:r>
          </w:p>
        </w:tc>
        <w:tc>
          <w:tcPr>
            <w:tcW w:w="187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39"/>
              <w:jc w:val="center"/>
            </w:pPr>
            <w:r>
              <w:rPr>
                <w:rFonts w:ascii="Times New Roman" w:eastAsia="Times New Roman" w:hAnsi="Times New Roman" w:cs="Times New Roman"/>
              </w:rPr>
              <w:t>6,2%</w:t>
            </w:r>
          </w:p>
        </w:tc>
      </w:tr>
      <w:tr w:rsidR="0052701D">
        <w:trPr>
          <w:trHeight w:val="272"/>
        </w:trPr>
        <w:tc>
          <w:tcPr>
            <w:tcW w:w="5806"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22"/>
            </w:pPr>
            <w:r>
              <w:rPr>
                <w:rFonts w:ascii="Times New Roman" w:eastAsia="Times New Roman" w:hAnsi="Times New Roman" w:cs="Times New Roman"/>
              </w:rPr>
              <w:t>Нақты шығындар</w:t>
            </w:r>
          </w:p>
        </w:tc>
        <w:tc>
          <w:tcPr>
            <w:tcW w:w="1646"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42"/>
            </w:pPr>
            <w:r>
              <w:rPr>
                <w:rFonts w:ascii="Times New Roman" w:eastAsia="Times New Roman" w:hAnsi="Times New Roman" w:cs="Times New Roman"/>
              </w:rPr>
              <w:t>млн. кВтсағ</w:t>
            </w:r>
          </w:p>
        </w:tc>
        <w:tc>
          <w:tcPr>
            <w:tcW w:w="187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38"/>
              <w:jc w:val="center"/>
            </w:pPr>
            <w:r>
              <w:rPr>
                <w:rFonts w:ascii="Times New Roman" w:eastAsia="Times New Roman" w:hAnsi="Times New Roman" w:cs="Times New Roman"/>
              </w:rPr>
              <w:t>2886,69</w:t>
            </w:r>
          </w:p>
        </w:tc>
      </w:tr>
      <w:tr w:rsidR="0052701D">
        <w:trPr>
          <w:trHeight w:val="642"/>
        </w:trPr>
        <w:tc>
          <w:tcPr>
            <w:tcW w:w="5806"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firstLine="22"/>
              <w:jc w:val="both"/>
            </w:pPr>
            <w:r>
              <w:rPr>
                <w:rFonts w:ascii="Times New Roman" w:eastAsia="Times New Roman" w:hAnsi="Times New Roman" w:cs="Times New Roman"/>
              </w:rPr>
              <w:t>Электр энергиясын жоғалтудың орнын толтыру үшін электр энергиясының орташа сатып алу бағасы</w:t>
            </w:r>
          </w:p>
        </w:tc>
        <w:tc>
          <w:tcPr>
            <w:tcW w:w="1646"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42"/>
            </w:pPr>
            <w:r>
              <w:rPr>
                <w:rFonts w:ascii="Times New Roman" w:eastAsia="Times New Roman" w:hAnsi="Times New Roman" w:cs="Times New Roman"/>
              </w:rPr>
              <w:t>теңге / кВтсағ</w:t>
            </w:r>
          </w:p>
        </w:tc>
        <w:tc>
          <w:tcPr>
            <w:tcW w:w="187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38"/>
              <w:jc w:val="center"/>
            </w:pPr>
            <w:r>
              <w:rPr>
                <w:rFonts w:ascii="Times New Roman" w:eastAsia="Times New Roman" w:hAnsi="Times New Roman" w:cs="Times New Roman"/>
              </w:rPr>
              <w:t>6,73</w:t>
            </w:r>
          </w:p>
        </w:tc>
      </w:tr>
      <w:tr w:rsidR="0052701D">
        <w:trPr>
          <w:trHeight w:val="270"/>
        </w:trPr>
        <w:tc>
          <w:tcPr>
            <w:tcW w:w="5806"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22"/>
            </w:pPr>
            <w:r>
              <w:rPr>
                <w:rFonts w:ascii="Times New Roman" w:eastAsia="Times New Roman" w:hAnsi="Times New Roman" w:cs="Times New Roman"/>
              </w:rPr>
              <w:t xml:space="preserve">Қосынды шығындар </w:t>
            </w:r>
          </w:p>
        </w:tc>
        <w:tc>
          <w:tcPr>
            <w:tcW w:w="1646"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42"/>
            </w:pPr>
            <w:r>
              <w:rPr>
                <w:rFonts w:ascii="Times New Roman" w:eastAsia="Times New Roman" w:hAnsi="Times New Roman" w:cs="Times New Roman"/>
              </w:rPr>
              <w:t>млн. теңге</w:t>
            </w:r>
          </w:p>
        </w:tc>
        <w:tc>
          <w:tcPr>
            <w:tcW w:w="187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38"/>
              <w:jc w:val="center"/>
            </w:pPr>
            <w:r>
              <w:rPr>
                <w:rFonts w:ascii="Times New Roman" w:eastAsia="Times New Roman" w:hAnsi="Times New Roman" w:cs="Times New Roman"/>
              </w:rPr>
              <w:t>19421,3</w:t>
            </w:r>
          </w:p>
        </w:tc>
      </w:tr>
      <w:tr w:rsidR="0052701D">
        <w:trPr>
          <w:trHeight w:val="268"/>
        </w:trPr>
        <w:tc>
          <w:tcPr>
            <w:tcW w:w="5806"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22"/>
            </w:pPr>
            <w:r>
              <w:rPr>
                <w:rFonts w:ascii="Times New Roman" w:eastAsia="Times New Roman" w:hAnsi="Times New Roman" w:cs="Times New Roman"/>
              </w:rPr>
              <w:t>- тәжге арналған шығындар (21,7%)</w:t>
            </w:r>
          </w:p>
        </w:tc>
        <w:tc>
          <w:tcPr>
            <w:tcW w:w="1646"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42"/>
            </w:pPr>
            <w:r>
              <w:rPr>
                <w:rFonts w:ascii="Times New Roman" w:eastAsia="Times New Roman" w:hAnsi="Times New Roman" w:cs="Times New Roman"/>
              </w:rPr>
              <w:t>млн. кВтсағ</w:t>
            </w:r>
          </w:p>
        </w:tc>
        <w:tc>
          <w:tcPr>
            <w:tcW w:w="187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38"/>
              <w:jc w:val="center"/>
            </w:pPr>
            <w:r>
              <w:rPr>
                <w:rFonts w:ascii="Times New Roman" w:eastAsia="Times New Roman" w:hAnsi="Times New Roman" w:cs="Times New Roman"/>
              </w:rPr>
              <w:t>626, 41</w:t>
            </w:r>
          </w:p>
        </w:tc>
      </w:tr>
      <w:tr w:rsidR="0052701D">
        <w:trPr>
          <w:trHeight w:val="276"/>
        </w:trPr>
        <w:tc>
          <w:tcPr>
            <w:tcW w:w="5806"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22"/>
            </w:pPr>
            <w:r>
              <w:rPr>
                <w:rFonts w:ascii="Times New Roman" w:eastAsia="Times New Roman" w:hAnsi="Times New Roman" w:cs="Times New Roman"/>
              </w:rPr>
              <w:lastRenderedPageBreak/>
              <w:t xml:space="preserve">-ақшалай шығындар </w:t>
            </w:r>
          </w:p>
        </w:tc>
        <w:tc>
          <w:tcPr>
            <w:tcW w:w="1646"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42"/>
            </w:pPr>
            <w:r>
              <w:rPr>
                <w:rFonts w:ascii="Times New Roman" w:eastAsia="Times New Roman" w:hAnsi="Times New Roman" w:cs="Times New Roman"/>
              </w:rPr>
              <w:t>млн. теңге</w:t>
            </w:r>
          </w:p>
        </w:tc>
        <w:tc>
          <w:tcPr>
            <w:tcW w:w="1874" w:type="dxa"/>
            <w:tcBorders>
              <w:top w:val="single" w:sz="6" w:space="0" w:color="000000"/>
              <w:left w:val="single" w:sz="6" w:space="0" w:color="000000"/>
              <w:bottom w:val="single" w:sz="6" w:space="0" w:color="000000"/>
              <w:right w:val="single" w:sz="6" w:space="0" w:color="000000"/>
            </w:tcBorders>
          </w:tcPr>
          <w:p w:rsidR="0052701D" w:rsidRDefault="00D40929">
            <w:pPr>
              <w:spacing w:after="0"/>
              <w:ind w:left="38"/>
              <w:jc w:val="center"/>
            </w:pPr>
            <w:r>
              <w:rPr>
                <w:rFonts w:ascii="Times New Roman" w:eastAsia="Times New Roman" w:hAnsi="Times New Roman" w:cs="Times New Roman"/>
              </w:rPr>
              <w:t>4215,74</w:t>
            </w:r>
          </w:p>
        </w:tc>
      </w:tr>
    </w:tbl>
    <w:p w:rsidR="0052701D" w:rsidRDefault="00D40929">
      <w:pPr>
        <w:spacing w:after="35"/>
        <w:ind w:left="994"/>
      </w:pPr>
      <w:r>
        <w:rPr>
          <w:rFonts w:ascii="Times New Roman" w:eastAsia="Times New Roman" w:hAnsi="Times New Roman" w:cs="Times New Roman"/>
          <w:b/>
        </w:rPr>
        <w:t xml:space="preserve"> </w:t>
      </w:r>
    </w:p>
    <w:p w:rsidR="0052701D" w:rsidRDefault="00D40929">
      <w:pPr>
        <w:spacing w:after="17" w:line="249" w:lineRule="auto"/>
        <w:ind w:left="284" w:firstLine="710"/>
      </w:pPr>
      <w:r>
        <w:rPr>
          <w:rFonts w:ascii="Times New Roman" w:eastAsia="Times New Roman" w:hAnsi="Times New Roman" w:cs="Times New Roman"/>
          <w:b/>
          <w:sz w:val="28"/>
        </w:rPr>
        <w:t xml:space="preserve">Электр желілеріндегі электр энергиясының ауа-райының нашарлауынан болатын тәждік </w:t>
      </w:r>
      <w:r>
        <w:rPr>
          <w:rFonts w:ascii="Times New Roman" w:eastAsia="Times New Roman" w:hAnsi="Times New Roman" w:cs="Times New Roman"/>
          <w:b/>
          <w:sz w:val="28"/>
        </w:rPr>
        <w:t xml:space="preserve"> шығындарды азайтуға ұсыныстар</w:t>
      </w:r>
    </w:p>
    <w:p w:rsidR="0052701D" w:rsidRDefault="00D40929">
      <w:pPr>
        <w:numPr>
          <w:ilvl w:val="0"/>
          <w:numId w:val="156"/>
        </w:numPr>
        <w:spacing w:after="3" w:line="248" w:lineRule="auto"/>
        <w:ind w:right="292" w:firstLine="710"/>
        <w:jc w:val="both"/>
      </w:pPr>
      <w:r>
        <w:rPr>
          <w:rFonts w:ascii="Times New Roman" w:eastAsia="Times New Roman" w:hAnsi="Times New Roman" w:cs="Times New Roman"/>
          <w:sz w:val="28"/>
        </w:rPr>
        <w:t>Шетелдік тәжірибеге шолу көрсеткендей ондағы қаралып отырған әрбір әдістерді зерттеп, тиімділігін бағалау керек.</w:t>
      </w:r>
    </w:p>
    <w:p w:rsidR="0052701D" w:rsidRDefault="00D40929">
      <w:pPr>
        <w:numPr>
          <w:ilvl w:val="0"/>
          <w:numId w:val="156"/>
        </w:numPr>
        <w:spacing w:after="3" w:line="248" w:lineRule="auto"/>
        <w:ind w:right="292" w:firstLine="710"/>
        <w:jc w:val="both"/>
      </w:pPr>
      <w:r>
        <w:rPr>
          <w:rFonts w:ascii="Times New Roman" w:eastAsia="Times New Roman" w:hAnsi="Times New Roman" w:cs="Times New Roman"/>
          <w:sz w:val="28"/>
        </w:rPr>
        <w:t>Қазақстанның 220-500 кВ желілеріндегі мұз қату және оның ұзақтығы туралы мәліметтер бойынша желідегі мұздану кар</w:t>
      </w:r>
      <w:r>
        <w:rPr>
          <w:rFonts w:ascii="Times New Roman" w:eastAsia="Times New Roman" w:hAnsi="Times New Roman" w:cs="Times New Roman"/>
          <w:sz w:val="28"/>
        </w:rPr>
        <w:t>тасы жасалу керек.</w:t>
      </w:r>
    </w:p>
    <w:p w:rsidR="0052701D" w:rsidRDefault="00D40929">
      <w:pPr>
        <w:numPr>
          <w:ilvl w:val="0"/>
          <w:numId w:val="156"/>
        </w:numPr>
        <w:spacing w:after="3" w:line="248" w:lineRule="auto"/>
        <w:ind w:right="292" w:firstLine="710"/>
        <w:jc w:val="both"/>
      </w:pPr>
      <w:r>
        <w:rPr>
          <w:rFonts w:ascii="Times New Roman" w:eastAsia="Times New Roman" w:hAnsi="Times New Roman" w:cs="Times New Roman"/>
          <w:sz w:val="28"/>
        </w:rPr>
        <w:t>Отандық және шетелдік мамандардың ақыл-кеңестерін ала отырып, әуе электр желілері үшін арнайы наножабындарды өндірушілермен консультациялар өткізу қажет. Атап айтқанда, әсіресе қыс кезінде тәждік шығындар «KEGOC» АҚ-ның қай аймағындағы ж</w:t>
      </w:r>
      <w:r>
        <w:rPr>
          <w:rFonts w:ascii="Times New Roman" w:eastAsia="Times New Roman" w:hAnsi="Times New Roman" w:cs="Times New Roman"/>
          <w:sz w:val="28"/>
        </w:rPr>
        <w:t>елілерінде көп болатын анықтап, жол желілерде инновациялық жабынды сынаудың пилоттық жобаларын жүзеге асыру қажет</w:t>
      </w:r>
      <w:r>
        <w:rPr>
          <w:rFonts w:ascii="Times New Roman" w:eastAsia="Times New Roman" w:hAnsi="Times New Roman" w:cs="Times New Roman"/>
          <w:b/>
          <w:sz w:val="28"/>
        </w:rPr>
        <w:t>.</w:t>
      </w:r>
    </w:p>
    <w:p w:rsidR="0052701D" w:rsidRDefault="00D40929">
      <w:pPr>
        <w:numPr>
          <w:ilvl w:val="0"/>
          <w:numId w:val="156"/>
        </w:numPr>
        <w:spacing w:after="3" w:line="248" w:lineRule="auto"/>
        <w:ind w:right="292" w:firstLine="710"/>
        <w:jc w:val="both"/>
      </w:pPr>
      <w:r>
        <w:rPr>
          <w:rFonts w:ascii="Times New Roman" w:eastAsia="Times New Roman" w:hAnsi="Times New Roman" w:cs="Times New Roman"/>
          <w:sz w:val="28"/>
        </w:rPr>
        <w:t>Тәждік шығындарды төмендету мақсатындағы шараларда алдымен қарапайым және аз шығын кететін жұмыстардан бастау қажет. Мұз қататын не қар көп ж</w:t>
      </w:r>
      <w:r>
        <w:rPr>
          <w:rFonts w:ascii="Times New Roman" w:eastAsia="Times New Roman" w:hAnsi="Times New Roman" w:cs="Times New Roman"/>
          <w:sz w:val="28"/>
        </w:rPr>
        <w:t>ауатын аймақтарда мұздан тазалау мақсатында уақытша бригада құрылып жол талғамайтын қарда жүретін көліктермен кезекшілік жазау міндетті. Қар күнде жауа бермеуі мүмкін, желілерге  тоқ өткізбейтін арқандар ілу немесе асу арылы қарды немесе мұзду түсіру тиімд</w:t>
      </w:r>
      <w:r>
        <w:rPr>
          <w:rFonts w:ascii="Times New Roman" w:eastAsia="Times New Roman" w:hAnsi="Times New Roman" w:cs="Times New Roman"/>
          <w:sz w:val="28"/>
        </w:rPr>
        <w:t>і болуы мүмкін. Әрине Норвегиядағы тікұшақты қолданудан гөрі тиімдірек болары сөзсіз.</w:t>
      </w:r>
    </w:p>
    <w:p w:rsidR="0052701D" w:rsidRDefault="00D40929">
      <w:pPr>
        <w:numPr>
          <w:ilvl w:val="0"/>
          <w:numId w:val="156"/>
        </w:numPr>
        <w:spacing w:after="3" w:line="248" w:lineRule="auto"/>
        <w:ind w:right="292" w:firstLine="710"/>
        <w:jc w:val="both"/>
      </w:pPr>
      <w:r>
        <w:rPr>
          <w:rFonts w:ascii="Times New Roman" w:eastAsia="Times New Roman" w:hAnsi="Times New Roman" w:cs="Times New Roman"/>
          <w:sz w:val="28"/>
        </w:rPr>
        <w:t>Фазалық өткізгіштер үшін қажетті желі учаскелерінде тұрақты орнатылған арнайы төмен орта кернеулі ажыратқыштарды қолдану арқылы электрөткізгіштердегі токты қайта бөліп та</w:t>
      </w:r>
      <w:r>
        <w:rPr>
          <w:rFonts w:ascii="Times New Roman" w:eastAsia="Times New Roman" w:hAnsi="Times New Roman" w:cs="Times New Roman"/>
          <w:sz w:val="28"/>
        </w:rPr>
        <w:t>рату әдісін қолдану тиімділігін зерттеу қажет. Сондай-ақ, екінші перспективалы нұсқа - қажетті желі учаскелерінде қосылған жоғары жиілікті генераторларды орнату тиімділігін зерттеу қажет.</w:t>
      </w:r>
    </w:p>
    <w:p w:rsidR="0052701D" w:rsidRDefault="00D40929">
      <w:pPr>
        <w:numPr>
          <w:ilvl w:val="0"/>
          <w:numId w:val="156"/>
        </w:numPr>
        <w:spacing w:after="3" w:line="248" w:lineRule="auto"/>
        <w:ind w:right="292" w:firstLine="710"/>
        <w:jc w:val="both"/>
      </w:pPr>
      <w:r>
        <w:rPr>
          <w:rFonts w:ascii="Times New Roman" w:eastAsia="Times New Roman" w:hAnsi="Times New Roman" w:cs="Times New Roman"/>
          <w:sz w:val="28"/>
        </w:rPr>
        <w:t>Шығындарды, соның ішінде тәждік шығындарды азайту үшін электр станци</w:t>
      </w:r>
      <w:r>
        <w:rPr>
          <w:rFonts w:ascii="Times New Roman" w:eastAsia="Times New Roman" w:hAnsi="Times New Roman" w:cs="Times New Roman"/>
          <w:sz w:val="28"/>
        </w:rPr>
        <w:t xml:space="preserve">яларындағы кернеуді реттеу қажет. Кернеуді төмендету үшін реактивті қуат құралдарын қолдануға болады, оларға шунт реакторлары, синхронды компенсаторлар және статистикалық тиристорлар компенсаторлары кіреді. </w:t>
      </w:r>
    </w:p>
    <w:p w:rsidR="0052701D" w:rsidRDefault="00D40929">
      <w:pPr>
        <w:numPr>
          <w:ilvl w:val="0"/>
          <w:numId w:val="156"/>
        </w:numPr>
        <w:spacing w:after="3" w:line="248" w:lineRule="auto"/>
        <w:ind w:right="292" w:firstLine="710"/>
        <w:jc w:val="both"/>
      </w:pPr>
      <w:r>
        <w:rPr>
          <w:rFonts w:ascii="Times New Roman" w:eastAsia="Times New Roman" w:hAnsi="Times New Roman" w:cs="Times New Roman"/>
          <w:sz w:val="28"/>
        </w:rPr>
        <w:t>Қолданыстағы және жаңадан салынатын жоғары вольт</w:t>
      </w:r>
      <w:r>
        <w:rPr>
          <w:rFonts w:ascii="Times New Roman" w:eastAsia="Times New Roman" w:hAnsi="Times New Roman" w:cs="Times New Roman"/>
          <w:sz w:val="28"/>
        </w:rPr>
        <w:t xml:space="preserve">ты желілердегішығындарды азайту үшін:  </w:t>
      </w:r>
    </w:p>
    <w:p w:rsidR="0052701D" w:rsidRDefault="00D40929">
      <w:pPr>
        <w:numPr>
          <w:ilvl w:val="0"/>
          <w:numId w:val="157"/>
        </w:numPr>
        <w:spacing w:after="3" w:line="248" w:lineRule="auto"/>
        <w:ind w:right="4" w:hanging="232"/>
        <w:jc w:val="both"/>
      </w:pPr>
      <w:r>
        <w:rPr>
          <w:rFonts w:ascii="Times New Roman" w:eastAsia="Times New Roman" w:hAnsi="Times New Roman" w:cs="Times New Roman"/>
          <w:sz w:val="28"/>
        </w:rPr>
        <w:t>сымның диаметрін ұлғайту, сымды бөлу;</w:t>
      </w:r>
    </w:p>
    <w:p w:rsidR="0052701D" w:rsidRDefault="00D40929">
      <w:pPr>
        <w:numPr>
          <w:ilvl w:val="0"/>
          <w:numId w:val="157"/>
        </w:numPr>
        <w:spacing w:after="3" w:line="248" w:lineRule="auto"/>
        <w:ind w:right="4" w:hanging="232"/>
        <w:jc w:val="both"/>
      </w:pPr>
      <w:r>
        <w:rPr>
          <w:rFonts w:ascii="Times New Roman" w:eastAsia="Times New Roman" w:hAnsi="Times New Roman" w:cs="Times New Roman"/>
          <w:sz w:val="28"/>
        </w:rPr>
        <w:t>сымның бетін өзгерту;</w:t>
      </w:r>
    </w:p>
    <w:p w:rsidR="0052701D" w:rsidRDefault="00D40929">
      <w:pPr>
        <w:numPr>
          <w:ilvl w:val="0"/>
          <w:numId w:val="157"/>
        </w:numPr>
        <w:spacing w:after="3" w:line="248" w:lineRule="auto"/>
        <w:ind w:right="4" w:hanging="232"/>
        <w:jc w:val="both"/>
      </w:pPr>
      <w:r>
        <w:rPr>
          <w:rFonts w:ascii="Times New Roman" w:eastAsia="Times New Roman" w:hAnsi="Times New Roman" w:cs="Times New Roman"/>
          <w:sz w:val="28"/>
        </w:rPr>
        <w:t>сым қорытпасын және оның құрылымын өзгерту;</w:t>
      </w:r>
    </w:p>
    <w:p w:rsidR="0052701D" w:rsidRDefault="00D40929">
      <w:pPr>
        <w:numPr>
          <w:ilvl w:val="0"/>
          <w:numId w:val="157"/>
        </w:numPr>
        <w:spacing w:after="3" w:line="248" w:lineRule="auto"/>
        <w:ind w:right="4" w:hanging="232"/>
        <w:jc w:val="both"/>
      </w:pPr>
      <w:r>
        <w:rPr>
          <w:rFonts w:ascii="Times New Roman" w:eastAsia="Times New Roman" w:hAnsi="Times New Roman" w:cs="Times New Roman"/>
          <w:sz w:val="28"/>
        </w:rPr>
        <w:t>сымның сыртқы бетіне арнайы жабындарды жағу және т.б.</w:t>
      </w:r>
    </w:p>
    <w:p w:rsidR="0052701D" w:rsidRDefault="00D40929">
      <w:pPr>
        <w:spacing w:after="3" w:line="248" w:lineRule="auto"/>
        <w:ind w:left="284" w:right="292" w:firstLine="710"/>
        <w:jc w:val="both"/>
      </w:pPr>
      <w:r>
        <w:rPr>
          <w:rFonts w:ascii="Times New Roman" w:eastAsia="Times New Roman" w:hAnsi="Times New Roman" w:cs="Times New Roman"/>
          <w:sz w:val="28"/>
        </w:rPr>
        <w:t>Қазіргі уақытта жұмыстың екі негізгі бағытын: сымдарды үлкен көлденең қимамен ауыстыру немесе фазалық құрылымның өзгеруі әуе желісін толық қайта құру маңызды болып табылады.</w:t>
      </w:r>
    </w:p>
    <w:p w:rsidR="0052701D" w:rsidRDefault="00D40929">
      <w:pPr>
        <w:spacing w:after="3" w:line="248" w:lineRule="auto"/>
        <w:ind w:left="284" w:right="287" w:firstLine="710"/>
        <w:jc w:val="both"/>
      </w:pPr>
      <w:r>
        <w:rPr>
          <w:rFonts w:ascii="Times New Roman" w:eastAsia="Times New Roman" w:hAnsi="Times New Roman" w:cs="Times New Roman"/>
          <w:sz w:val="28"/>
        </w:rPr>
        <w:t>Жылдың жалпы уақытының 10-нан 20% -на дейін болатын ауа-райының қолайсыздығы кезін</w:t>
      </w:r>
      <w:r>
        <w:rPr>
          <w:rFonts w:ascii="Times New Roman" w:eastAsia="Times New Roman" w:hAnsi="Times New Roman" w:cs="Times New Roman"/>
          <w:sz w:val="28"/>
        </w:rPr>
        <w:t>де (жоғары ылғалдылық, аяз, мұз, жауын-шашын) барлық шығындардың 80%-дан астамы тәжге кетеді. Тәжді шығарумен күресудің перспективалы шешімдерінің бірі - қорғаныш жабындарын өндіру және қолдану, олардың бетінде жаңбыр мен аяз кезінде тамшылар пайда болмайд</w:t>
      </w:r>
      <w:r>
        <w:rPr>
          <w:rFonts w:ascii="Times New Roman" w:eastAsia="Times New Roman" w:hAnsi="Times New Roman" w:cs="Times New Roman"/>
          <w:sz w:val="28"/>
        </w:rPr>
        <w:t xml:space="preserve">ы. Бұл </w:t>
      </w:r>
      <w:r>
        <w:rPr>
          <w:rFonts w:ascii="Times New Roman" w:eastAsia="Times New Roman" w:hAnsi="Times New Roman" w:cs="Times New Roman"/>
          <w:sz w:val="28"/>
        </w:rPr>
        <w:lastRenderedPageBreak/>
        <w:t>жағдайда тәждік шығындар электр желілеріндегі барлық шығындардың шамамен 50% немесе 15-20% азайтылуы мүмкін.</w:t>
      </w:r>
    </w:p>
    <w:p w:rsidR="0052701D" w:rsidRDefault="00D40929">
      <w:pPr>
        <w:spacing w:after="3" w:line="248" w:lineRule="auto"/>
        <w:ind w:left="284" w:right="298" w:firstLine="710"/>
        <w:jc w:val="both"/>
      </w:pPr>
      <w:r>
        <w:rPr>
          <w:rFonts w:ascii="Times New Roman" w:eastAsia="Times New Roman" w:hAnsi="Times New Roman" w:cs="Times New Roman"/>
          <w:sz w:val="28"/>
        </w:rPr>
        <w:t>8. Жаңа әуе желілеріне келетін болсақ, олар тәждік шығындардың нақты құнын және максималды жүктеме мен тәж жоғалту кезеңінде қыста жүктемені</w:t>
      </w:r>
      <w:r>
        <w:rPr>
          <w:rFonts w:ascii="Times New Roman" w:eastAsia="Times New Roman" w:hAnsi="Times New Roman" w:cs="Times New Roman"/>
          <w:sz w:val="28"/>
        </w:rPr>
        <w:t xml:space="preserve"> үзіліссіз қамтамасыз ету қажеттілігін ескере отырып салынуы керек.</w:t>
      </w:r>
    </w:p>
    <w:p w:rsidR="0052701D" w:rsidRDefault="00D40929">
      <w:pPr>
        <w:spacing w:after="3" w:line="248" w:lineRule="auto"/>
        <w:ind w:left="284" w:right="295" w:firstLine="710"/>
        <w:jc w:val="both"/>
      </w:pPr>
      <w:r>
        <w:rPr>
          <w:rFonts w:ascii="Times New Roman" w:eastAsia="Times New Roman" w:hAnsi="Times New Roman" w:cs="Times New Roman"/>
          <w:sz w:val="28"/>
        </w:rPr>
        <w:t>Ауа-райының қолайсыздығы жағдайында 500 кВ әуе желілеріндегі кернеуді орташа жұмыс кернеуі 515кВ, оның 500кВ-ға дейін төмендеуі тәждің ысырабын 10-15%-ға немесе одан да көп азайтуға мүмкін</w:t>
      </w:r>
      <w:r>
        <w:rPr>
          <w:rFonts w:ascii="Times New Roman" w:eastAsia="Times New Roman" w:hAnsi="Times New Roman" w:cs="Times New Roman"/>
          <w:sz w:val="28"/>
        </w:rPr>
        <w:t>дік береді. Ұзындығы 100 км-ден асатын әр түрлі 500 кВ әуе желілерінде кернеуді реттеу кезінде энергия үнемдеу жылына 5 млн.кВт/сағ-тан асуы мүмкін екендігі эксперименталды түрде Ресей ғалымдары анықтап отыр. Бұл экономикалық тұрғыдан өте маңызды және келе</w:t>
      </w:r>
      <w:r>
        <w:rPr>
          <w:rFonts w:ascii="Times New Roman" w:eastAsia="Times New Roman" w:hAnsi="Times New Roman" w:cs="Times New Roman"/>
          <w:sz w:val="28"/>
        </w:rPr>
        <w:t>шек шығындарды бағалауға мүмкіндік береді.</w:t>
      </w:r>
    </w:p>
    <w:p w:rsidR="0052701D" w:rsidRDefault="00D40929">
      <w:pPr>
        <w:spacing w:after="17" w:line="249" w:lineRule="auto"/>
        <w:ind w:left="1004" w:hanging="10"/>
      </w:pPr>
      <w:r>
        <w:rPr>
          <w:rFonts w:ascii="Times New Roman" w:eastAsia="Times New Roman" w:hAnsi="Times New Roman" w:cs="Times New Roman"/>
          <w:b/>
          <w:sz w:val="28"/>
        </w:rPr>
        <w:t>Қорытындылар</w:t>
      </w:r>
    </w:p>
    <w:p w:rsidR="0052701D" w:rsidRDefault="00D40929">
      <w:pPr>
        <w:numPr>
          <w:ilvl w:val="0"/>
          <w:numId w:val="158"/>
        </w:numPr>
        <w:spacing w:after="3" w:line="248" w:lineRule="auto"/>
        <w:ind w:right="291" w:firstLine="710"/>
        <w:jc w:val="both"/>
      </w:pPr>
      <w:r>
        <w:rPr>
          <w:rFonts w:ascii="Times New Roman" w:eastAsia="Times New Roman" w:hAnsi="Times New Roman" w:cs="Times New Roman"/>
          <w:sz w:val="28"/>
        </w:rPr>
        <w:t xml:space="preserve">Зерттеу нәтижесі көрсеткендей ауа-райының нашарлауына байланысты Қазақстанның жоғары кернеулі желілерінде электр энергиясын беру кезінде электр энергиясының шығындарды жылына орташа 4215,74 млн.теңге </w:t>
      </w:r>
      <w:r>
        <w:rPr>
          <w:rFonts w:ascii="Times New Roman" w:eastAsia="Times New Roman" w:hAnsi="Times New Roman" w:cs="Times New Roman"/>
          <w:sz w:val="28"/>
        </w:rPr>
        <w:t>құрады. Тұтынушыға әсер ететін экономикалық тиімділікті ескере отырып, оны азайту жолдарын іздеу керек.</w:t>
      </w:r>
    </w:p>
    <w:p w:rsidR="0052701D" w:rsidRDefault="00D40929">
      <w:pPr>
        <w:numPr>
          <w:ilvl w:val="0"/>
          <w:numId w:val="158"/>
        </w:numPr>
        <w:spacing w:after="3" w:line="248" w:lineRule="auto"/>
        <w:ind w:right="291" w:firstLine="710"/>
        <w:jc w:val="both"/>
      </w:pPr>
      <w:r>
        <w:rPr>
          <w:rFonts w:ascii="Times New Roman" w:eastAsia="Times New Roman" w:hAnsi="Times New Roman" w:cs="Times New Roman"/>
          <w:sz w:val="28"/>
        </w:rPr>
        <w:t>Қазақстанның 220-500 кВ желілеріндегі мұз қату және оның ұзақтығы туралы мәліметтер бойынша желідегі мұздану картасын жасау қажет.</w:t>
      </w:r>
    </w:p>
    <w:p w:rsidR="0052701D" w:rsidRDefault="00D40929">
      <w:pPr>
        <w:numPr>
          <w:ilvl w:val="0"/>
          <w:numId w:val="158"/>
        </w:numPr>
        <w:spacing w:after="3" w:line="248" w:lineRule="auto"/>
        <w:ind w:right="291" w:firstLine="710"/>
        <w:jc w:val="both"/>
      </w:pPr>
      <w:r>
        <w:rPr>
          <w:rFonts w:ascii="Times New Roman" w:eastAsia="Times New Roman" w:hAnsi="Times New Roman" w:cs="Times New Roman"/>
          <w:sz w:val="28"/>
        </w:rPr>
        <w:t>Қазақстанның желілері</w:t>
      </w:r>
      <w:r>
        <w:rPr>
          <w:rFonts w:ascii="Times New Roman" w:eastAsia="Times New Roman" w:hAnsi="Times New Roman" w:cs="Times New Roman"/>
          <w:sz w:val="28"/>
        </w:rPr>
        <w:t>нде жасалған мұздану картасы бойынша шығындарды зерттеп, шығындарды төмендету үшін келесідей шаралар жүзеге асырылуы тиіс:</w:t>
      </w:r>
    </w:p>
    <w:p w:rsidR="0052701D" w:rsidRDefault="00D40929">
      <w:pPr>
        <w:numPr>
          <w:ilvl w:val="0"/>
          <w:numId w:val="159"/>
        </w:numPr>
        <w:spacing w:after="12" w:line="249" w:lineRule="auto"/>
        <w:ind w:right="292" w:firstLine="710"/>
        <w:jc w:val="both"/>
      </w:pPr>
      <w:r>
        <w:rPr>
          <w:rFonts w:ascii="Times New Roman" w:eastAsia="Times New Roman" w:hAnsi="Times New Roman" w:cs="Times New Roman"/>
          <w:sz w:val="28"/>
        </w:rPr>
        <w:t>реактивті қуатты компенсациялау мен кернеуді реттеу құралдарын</w:t>
      </w:r>
    </w:p>
    <w:p w:rsidR="0052701D" w:rsidRDefault="00D40929">
      <w:pPr>
        <w:spacing w:after="3" w:line="248" w:lineRule="auto"/>
        <w:ind w:left="284" w:right="4"/>
        <w:jc w:val="both"/>
      </w:pPr>
      <w:r>
        <w:rPr>
          <w:rFonts w:ascii="Times New Roman" w:eastAsia="Times New Roman" w:hAnsi="Times New Roman" w:cs="Times New Roman"/>
          <w:sz w:val="28"/>
        </w:rPr>
        <w:t>енгізу;</w:t>
      </w:r>
    </w:p>
    <w:p w:rsidR="0052701D" w:rsidRDefault="00D40929">
      <w:pPr>
        <w:numPr>
          <w:ilvl w:val="0"/>
          <w:numId w:val="159"/>
        </w:numPr>
        <w:spacing w:after="3" w:line="248" w:lineRule="auto"/>
        <w:ind w:right="292" w:firstLine="710"/>
        <w:jc w:val="both"/>
      </w:pPr>
      <w:r>
        <w:rPr>
          <w:rFonts w:ascii="Times New Roman" w:eastAsia="Times New Roman" w:hAnsi="Times New Roman" w:cs="Times New Roman"/>
          <w:sz w:val="28"/>
        </w:rPr>
        <w:t xml:space="preserve">электр желілеріндегі электр энергиясының шығындарын есептеудіңжаңа технологияларын жетілдіру және енгізу; </w:t>
      </w:r>
    </w:p>
    <w:p w:rsidR="0052701D" w:rsidRDefault="00D40929">
      <w:pPr>
        <w:numPr>
          <w:ilvl w:val="0"/>
          <w:numId w:val="159"/>
        </w:numPr>
        <w:spacing w:after="3" w:line="248" w:lineRule="auto"/>
        <w:ind w:right="292" w:firstLine="710"/>
        <w:jc w:val="both"/>
      </w:pPr>
      <w:r>
        <w:rPr>
          <w:rFonts w:ascii="Times New Roman" w:eastAsia="Times New Roman" w:hAnsi="Times New Roman" w:cs="Times New Roman"/>
          <w:sz w:val="28"/>
        </w:rPr>
        <w:t>техникалық ысыраптарды есептеу, ысыраптарды азайту жөніндегішараларды әзірлеу;</w:t>
      </w:r>
    </w:p>
    <w:p w:rsidR="0052701D" w:rsidRDefault="00D40929">
      <w:pPr>
        <w:numPr>
          <w:ilvl w:val="0"/>
          <w:numId w:val="159"/>
        </w:numPr>
        <w:spacing w:after="3" w:line="248" w:lineRule="auto"/>
        <w:ind w:right="292" w:firstLine="710"/>
        <w:jc w:val="both"/>
      </w:pPr>
      <w:r>
        <w:rPr>
          <w:rFonts w:ascii="Times New Roman" w:eastAsia="Times New Roman" w:hAnsi="Times New Roman" w:cs="Times New Roman"/>
          <w:sz w:val="28"/>
        </w:rPr>
        <w:t>электр желілеріндегі электр энергиясының ысыраптарын есептеу, талдау ж</w:t>
      </w:r>
      <w:r>
        <w:rPr>
          <w:rFonts w:ascii="Times New Roman" w:eastAsia="Times New Roman" w:hAnsi="Times New Roman" w:cs="Times New Roman"/>
          <w:sz w:val="28"/>
        </w:rPr>
        <w:t>әне реттеуге байланысты ғылыми-зерттеу жұмыстарын жүргізуді көбейту, нормативтік құжаттарды қайта әзірлеу және жетілдіру;</w:t>
      </w:r>
    </w:p>
    <w:p w:rsidR="0052701D" w:rsidRDefault="00D40929">
      <w:pPr>
        <w:numPr>
          <w:ilvl w:val="0"/>
          <w:numId w:val="159"/>
        </w:numPr>
        <w:spacing w:after="3" w:line="248" w:lineRule="auto"/>
        <w:ind w:right="292" w:firstLine="710"/>
        <w:jc w:val="both"/>
      </w:pPr>
      <w:r>
        <w:rPr>
          <w:rFonts w:ascii="Times New Roman" w:eastAsia="Times New Roman" w:hAnsi="Times New Roman" w:cs="Times New Roman"/>
          <w:sz w:val="28"/>
        </w:rPr>
        <w:t>электр энергиясын шығындалуы саласында қазіргі заман талабынасәйкес жұмыс істейтін кадрларды даярлау және олардың біліктілігін арттыру</w:t>
      </w:r>
      <w:r>
        <w:rPr>
          <w:rFonts w:ascii="Times New Roman" w:eastAsia="Times New Roman" w:hAnsi="Times New Roman" w:cs="Times New Roman"/>
          <w:sz w:val="28"/>
        </w:rPr>
        <w:t xml:space="preserve"> және т.б.</w:t>
      </w:r>
    </w:p>
    <w:p w:rsidR="0052701D" w:rsidRDefault="00D40929">
      <w:pPr>
        <w:numPr>
          <w:ilvl w:val="0"/>
          <w:numId w:val="159"/>
        </w:numPr>
        <w:spacing w:after="3" w:line="248" w:lineRule="auto"/>
        <w:ind w:right="292" w:firstLine="710"/>
        <w:jc w:val="both"/>
      </w:pPr>
      <w:r>
        <w:rPr>
          <w:rFonts w:ascii="Times New Roman" w:eastAsia="Times New Roman" w:hAnsi="Times New Roman" w:cs="Times New Roman"/>
          <w:sz w:val="28"/>
        </w:rPr>
        <w:t>отандық және шетелдік мамандардың ақыл-кеңестерін ала отырып, әуеэлектр желілері үшін арнайы наножабындарды өндірушілермен желілерде инновациялық жабынды сынаудың пилоттық жобаларын жүзеге асыру;</w:t>
      </w:r>
    </w:p>
    <w:p w:rsidR="0052701D" w:rsidRDefault="00D40929">
      <w:pPr>
        <w:numPr>
          <w:ilvl w:val="0"/>
          <w:numId w:val="159"/>
        </w:numPr>
        <w:spacing w:after="3" w:line="248" w:lineRule="auto"/>
        <w:ind w:right="292" w:firstLine="710"/>
        <w:jc w:val="both"/>
      </w:pPr>
      <w:r>
        <w:rPr>
          <w:rFonts w:ascii="Times New Roman" w:eastAsia="Times New Roman" w:hAnsi="Times New Roman" w:cs="Times New Roman"/>
          <w:sz w:val="28"/>
        </w:rPr>
        <w:t>фазалық өткізгіштер үшін қажетті желі учаскелерін</w:t>
      </w:r>
      <w:r>
        <w:rPr>
          <w:rFonts w:ascii="Times New Roman" w:eastAsia="Times New Roman" w:hAnsi="Times New Roman" w:cs="Times New Roman"/>
          <w:sz w:val="28"/>
        </w:rPr>
        <w:t>де тұрақты орнатылған арнайы төмен орта кернеулі ажыратқыштарды қолдану арқылы электрөткізгіштердегі токты қайта бөліп тарату әдісін қолдану тиімділігін зерттеу. Сондай-ақ, екінші перспективалы нұсқа - қажетті желі учаскелерінде қосылған жоғары жиілікті ге</w:t>
      </w:r>
      <w:r>
        <w:rPr>
          <w:rFonts w:ascii="Times New Roman" w:eastAsia="Times New Roman" w:hAnsi="Times New Roman" w:cs="Times New Roman"/>
          <w:sz w:val="28"/>
        </w:rPr>
        <w:t>нераторларды орнату тиімділігін зерттеу қажет.</w:t>
      </w:r>
    </w:p>
    <w:p w:rsidR="0052701D" w:rsidRDefault="00D40929">
      <w:pPr>
        <w:spacing w:after="204" w:line="248" w:lineRule="auto"/>
        <w:ind w:left="284" w:right="294" w:firstLine="710"/>
        <w:jc w:val="both"/>
      </w:pPr>
      <w:r>
        <w:rPr>
          <w:rFonts w:ascii="Times New Roman" w:eastAsia="Times New Roman" w:hAnsi="Times New Roman" w:cs="Times New Roman"/>
          <w:sz w:val="28"/>
        </w:rPr>
        <w:t xml:space="preserve">Осы зерттеудің жалғасы ретінде аталған шығындардың мөлшерін азайту үшін ұсынылған шараларға арнайы бизнес-жоспаралар жасап, сол </w:t>
      </w:r>
      <w:r>
        <w:rPr>
          <w:rFonts w:ascii="Times New Roman" w:eastAsia="Times New Roman" w:hAnsi="Times New Roman" w:cs="Times New Roman"/>
          <w:sz w:val="28"/>
        </w:rPr>
        <w:lastRenderedPageBreak/>
        <w:t>ұсыныстардың экономикалық тиімділігін бағалау керек. Ол көп мәліметтерді қажет ет</w:t>
      </w:r>
      <w:r>
        <w:rPr>
          <w:rFonts w:ascii="Times New Roman" w:eastAsia="Times New Roman" w:hAnsi="Times New Roman" w:cs="Times New Roman"/>
          <w:sz w:val="28"/>
        </w:rPr>
        <w:t>еді.</w:t>
      </w:r>
    </w:p>
    <w:p w:rsidR="0052701D" w:rsidRDefault="00D40929">
      <w:pPr>
        <w:spacing w:after="336"/>
        <w:ind w:left="717" w:hanging="10"/>
        <w:jc w:val="center"/>
      </w:pPr>
      <w:r>
        <w:rPr>
          <w:rFonts w:ascii="Times New Roman" w:eastAsia="Times New Roman" w:hAnsi="Times New Roman" w:cs="Times New Roman"/>
          <w:b/>
          <w:sz w:val="24"/>
        </w:rPr>
        <w:t>Дереккөздер</w:t>
      </w:r>
    </w:p>
    <w:p w:rsidR="0052701D" w:rsidRDefault="00D40929">
      <w:pPr>
        <w:numPr>
          <w:ilvl w:val="0"/>
          <w:numId w:val="160"/>
        </w:numPr>
        <w:spacing w:after="3" w:line="248" w:lineRule="auto"/>
        <w:ind w:right="290" w:firstLine="710"/>
        <w:jc w:val="both"/>
      </w:pPr>
      <w:r>
        <w:rPr>
          <w:rFonts w:ascii="Times New Roman" w:eastAsia="Times New Roman" w:hAnsi="Times New Roman" w:cs="Times New Roman"/>
          <w:sz w:val="28"/>
        </w:rPr>
        <w:t>Руководящие указания по учёту потерь на корону и помех от короныпри выборе проводов воздушных линий электропередачи переменного тока 330 – 750 кВ и постоянного тока 800 – 1500 кВ. М. СЦНТИ. 1975.</w:t>
      </w:r>
    </w:p>
    <w:p w:rsidR="0052701D" w:rsidRDefault="00D40929">
      <w:pPr>
        <w:numPr>
          <w:ilvl w:val="0"/>
          <w:numId w:val="160"/>
        </w:numPr>
        <w:spacing w:after="3" w:line="248" w:lineRule="auto"/>
        <w:ind w:right="290" w:firstLine="710"/>
        <w:jc w:val="both"/>
      </w:pPr>
      <w:r>
        <w:rPr>
          <w:rFonts w:ascii="Times New Roman" w:eastAsia="Times New Roman" w:hAnsi="Times New Roman" w:cs="Times New Roman"/>
          <w:sz w:val="28"/>
        </w:rPr>
        <w:t>Методика расчёта нормативных технологически</w:t>
      </w:r>
      <w:r>
        <w:rPr>
          <w:rFonts w:ascii="Times New Roman" w:eastAsia="Times New Roman" w:hAnsi="Times New Roman" w:cs="Times New Roman"/>
          <w:sz w:val="28"/>
        </w:rPr>
        <w:t>х потерьэлектроэнергии при её передаче по электрическим сетям в базовом периоде. 2005.</w:t>
      </w:r>
    </w:p>
    <w:p w:rsidR="0052701D" w:rsidRDefault="00D40929">
      <w:pPr>
        <w:numPr>
          <w:ilvl w:val="0"/>
          <w:numId w:val="160"/>
        </w:numPr>
        <w:spacing w:after="12" w:line="249" w:lineRule="auto"/>
        <w:ind w:right="290" w:firstLine="710"/>
        <w:jc w:val="both"/>
      </w:pPr>
      <w:r>
        <w:rPr>
          <w:rFonts w:ascii="Times New Roman" w:eastAsia="Times New Roman" w:hAnsi="Times New Roman" w:cs="Times New Roman"/>
          <w:sz w:val="28"/>
        </w:rPr>
        <w:t>Линии «электропередачи 345 кВ и выше. Перевод под ред. В.В.</w:t>
      </w:r>
    </w:p>
    <w:p w:rsidR="0052701D" w:rsidRDefault="00D40929">
      <w:pPr>
        <w:spacing w:after="3" w:line="248" w:lineRule="auto"/>
        <w:ind w:left="284" w:right="4"/>
        <w:jc w:val="both"/>
      </w:pPr>
      <w:r>
        <w:rPr>
          <w:rFonts w:ascii="Times New Roman" w:eastAsia="Times New Roman" w:hAnsi="Times New Roman" w:cs="Times New Roman"/>
          <w:sz w:val="28"/>
        </w:rPr>
        <w:t>Бургсдорфа. М. Энергия. 1980.</w:t>
      </w:r>
    </w:p>
    <w:p w:rsidR="0052701D" w:rsidRDefault="00D40929">
      <w:pPr>
        <w:numPr>
          <w:ilvl w:val="0"/>
          <w:numId w:val="160"/>
        </w:numPr>
        <w:spacing w:after="3" w:line="248" w:lineRule="auto"/>
        <w:ind w:right="290" w:firstLine="710"/>
        <w:jc w:val="both"/>
      </w:pPr>
      <w:r>
        <w:rPr>
          <w:rFonts w:ascii="Times New Roman" w:eastAsia="Times New Roman" w:hAnsi="Times New Roman" w:cs="Times New Roman"/>
          <w:sz w:val="28"/>
        </w:rPr>
        <w:t>CIGRE WG B2.44, “Coatings for Protecting Overhead Power Network Equipment in Wi</w:t>
      </w:r>
      <w:r>
        <w:rPr>
          <w:rFonts w:ascii="Times New Roman" w:eastAsia="Times New Roman" w:hAnsi="Times New Roman" w:cs="Times New Roman"/>
          <w:sz w:val="28"/>
        </w:rPr>
        <w:t xml:space="preserve">nter Conditions”, TB 631, September 2015. </w:t>
      </w:r>
    </w:p>
    <w:p w:rsidR="0052701D" w:rsidRDefault="00D40929">
      <w:pPr>
        <w:spacing w:after="3"/>
        <w:ind w:left="279" w:hanging="10"/>
      </w:pPr>
      <w:hyperlink r:id="rId869">
        <w:r>
          <w:rPr>
            <w:rFonts w:ascii="Times New Roman" w:eastAsia="Times New Roman" w:hAnsi="Times New Roman" w:cs="Times New Roman"/>
            <w:color w:val="0563C1"/>
            <w:sz w:val="28"/>
            <w:u w:val="single" w:color="0563C1"/>
          </w:rPr>
          <w:t>https://www.lafarga.es/es/productos-y-mercados/conductores-lineas-aereas?</w:t>
        </w:r>
      </w:hyperlink>
    </w:p>
    <w:p w:rsidR="0052701D" w:rsidRDefault="00D40929">
      <w:pPr>
        <w:spacing w:after="3" w:line="248" w:lineRule="auto"/>
        <w:ind w:left="284" w:right="4"/>
        <w:jc w:val="both"/>
      </w:pPr>
      <w:hyperlink r:id="rId870">
        <w:r>
          <w:rPr>
            <w:rFonts w:ascii="Times New Roman" w:eastAsia="Times New Roman" w:hAnsi="Times New Roman" w:cs="Times New Roman"/>
            <w:color w:val="0563C1"/>
            <w:sz w:val="28"/>
            <w:u w:val="single" w:color="0563C1"/>
          </w:rPr>
          <w:t>task=callelement&amp;format=raw&amp;item_id=401&amp;element</w:t>
        </w:r>
      </w:hyperlink>
      <w:r>
        <w:rPr>
          <w:rFonts w:ascii="Times New Roman" w:eastAsia="Times New Roman" w:hAnsi="Times New Roman" w:cs="Times New Roman"/>
          <w:sz w:val="28"/>
        </w:rPr>
        <w:t>= 8b19cd4d-d064-4ba2-aea6cbecb3b50c7d&amp;method=download</w:t>
      </w:r>
    </w:p>
    <w:p w:rsidR="0052701D" w:rsidRDefault="00D40929">
      <w:pPr>
        <w:numPr>
          <w:ilvl w:val="0"/>
          <w:numId w:val="160"/>
        </w:numPr>
        <w:spacing w:after="3" w:line="248" w:lineRule="auto"/>
        <w:ind w:right="290" w:firstLine="710"/>
        <w:jc w:val="both"/>
      </w:pPr>
      <w:r>
        <w:rPr>
          <w:rFonts w:ascii="Times New Roman" w:eastAsia="Times New Roman" w:hAnsi="Times New Roman" w:cs="Times New Roman"/>
          <w:sz w:val="28"/>
        </w:rPr>
        <w:t>Отчет об испол</w:t>
      </w:r>
      <w:r>
        <w:rPr>
          <w:rFonts w:ascii="Times New Roman" w:eastAsia="Times New Roman" w:hAnsi="Times New Roman" w:cs="Times New Roman"/>
          <w:sz w:val="28"/>
        </w:rPr>
        <w:t>нении тарифной сметы АО «KEGOC» на услуги по передаче электрической энергии за 2019 год/</w:t>
      </w:r>
    </w:p>
    <w:p w:rsidR="0052701D" w:rsidRDefault="00D40929">
      <w:pPr>
        <w:spacing w:after="3"/>
        <w:ind w:left="279" w:hanging="10"/>
      </w:pPr>
      <w:hyperlink r:id="rId871">
        <w:r>
          <w:rPr>
            <w:rFonts w:ascii="Times New Roman" w:eastAsia="Times New Roman" w:hAnsi="Times New Roman" w:cs="Times New Roman"/>
            <w:color w:val="0563C1"/>
            <w:sz w:val="28"/>
            <w:u w:val="single" w:color="0563C1"/>
          </w:rPr>
          <w:t>https://www.kegoc.kz/sites/default/files/files/prilozhenie_2.xls</w:t>
        </w:r>
      </w:hyperlink>
    </w:p>
    <w:p w:rsidR="0052701D" w:rsidRDefault="00D40929">
      <w:pPr>
        <w:spacing w:after="300" w:line="249" w:lineRule="auto"/>
        <w:ind w:left="578" w:right="1" w:hanging="10"/>
        <w:jc w:val="both"/>
      </w:pPr>
      <w:r>
        <w:rPr>
          <w:rFonts w:ascii="Times New Roman" w:eastAsia="Times New Roman" w:hAnsi="Times New Roman" w:cs="Times New Roman"/>
          <w:sz w:val="24"/>
        </w:rPr>
        <w:t>МРНТИ 06.71.37</w:t>
      </w:r>
    </w:p>
    <w:p w:rsidR="0052701D" w:rsidRDefault="00D40929">
      <w:pPr>
        <w:pStyle w:val="1"/>
        <w:spacing w:after="226" w:line="249" w:lineRule="auto"/>
        <w:ind w:left="342" w:right="331"/>
      </w:pPr>
      <w:r>
        <w:t>ПЕР</w:t>
      </w:r>
      <w:r>
        <w:t>СПЕКТИВЫ РАЗВИТИЯ МАЛОГО БИЗНЕСА В ЭНЕРГЕТИЧЕ-</w:t>
      </w:r>
    </w:p>
    <w:p w:rsidR="0052701D" w:rsidRDefault="00D40929">
      <w:pPr>
        <w:spacing w:after="226" w:line="249" w:lineRule="auto"/>
        <w:ind w:left="342" w:right="331" w:hanging="10"/>
        <w:jc w:val="center"/>
      </w:pPr>
      <w:r>
        <w:rPr>
          <w:rFonts w:ascii="Times New Roman" w:eastAsia="Times New Roman" w:hAnsi="Times New Roman" w:cs="Times New Roman"/>
          <w:b/>
          <w:sz w:val="28"/>
        </w:rPr>
        <w:t>СКОМ СЕКТОРЕ РОССИИ НА СОВРЕМЕННОМ ЭТАПЕ</w:t>
      </w:r>
    </w:p>
    <w:p w:rsidR="0052701D" w:rsidRDefault="00D40929">
      <w:pPr>
        <w:spacing w:after="13" w:line="249" w:lineRule="auto"/>
        <w:ind w:left="1001" w:right="995" w:hanging="10"/>
        <w:jc w:val="center"/>
      </w:pPr>
      <w:r>
        <w:rPr>
          <w:rFonts w:ascii="Times New Roman" w:eastAsia="Times New Roman" w:hAnsi="Times New Roman" w:cs="Times New Roman"/>
          <w:sz w:val="24"/>
        </w:rPr>
        <w:t>Яковлева А.Э., Казнова Д.Д., к.э.н,доцент Хусаинова Е.А.</w:t>
      </w:r>
    </w:p>
    <w:p w:rsidR="0052701D" w:rsidRDefault="00D40929">
      <w:pPr>
        <w:spacing w:after="13" w:line="249" w:lineRule="auto"/>
        <w:ind w:left="1001" w:right="994" w:hanging="10"/>
        <w:jc w:val="center"/>
      </w:pPr>
      <w:r>
        <w:rPr>
          <w:rFonts w:ascii="Times New Roman" w:eastAsia="Times New Roman" w:hAnsi="Times New Roman" w:cs="Times New Roman"/>
          <w:sz w:val="24"/>
        </w:rPr>
        <w:t>ФГБОУ ВО КГЭУ, г. Казань, Россия</w:t>
      </w:r>
    </w:p>
    <w:p w:rsidR="0052701D" w:rsidRDefault="00D40929">
      <w:pPr>
        <w:spacing w:after="252"/>
        <w:ind w:left="13" w:right="5" w:hanging="10"/>
        <w:jc w:val="center"/>
      </w:pPr>
      <w:r>
        <w:rPr>
          <w:rFonts w:ascii="Times New Roman" w:eastAsia="Times New Roman" w:hAnsi="Times New Roman" w:cs="Times New Roman"/>
          <w:sz w:val="24"/>
        </w:rPr>
        <w:t xml:space="preserve">E-mail: </w:t>
      </w:r>
      <w:r>
        <w:rPr>
          <w:rFonts w:ascii="Times New Roman" w:eastAsia="Times New Roman" w:hAnsi="Times New Roman" w:cs="Times New Roman"/>
          <w:color w:val="0000FF"/>
          <w:sz w:val="24"/>
          <w:u w:val="single" w:color="0000FF"/>
        </w:rPr>
        <w:t>Sashylya.yakovleva@mail.ru</w:t>
      </w:r>
      <w:r>
        <w:rPr>
          <w:rFonts w:ascii="Times New Roman" w:eastAsia="Times New Roman" w:hAnsi="Times New Roman" w:cs="Times New Roman"/>
          <w:sz w:val="24"/>
        </w:rPr>
        <w:t xml:space="preserve">,  </w:t>
      </w:r>
      <w:r>
        <w:rPr>
          <w:rFonts w:ascii="Times New Roman" w:eastAsia="Times New Roman" w:hAnsi="Times New Roman" w:cs="Times New Roman"/>
          <w:color w:val="0000FF"/>
          <w:sz w:val="24"/>
          <w:u w:val="single" w:color="0000FF"/>
        </w:rPr>
        <w:t>di.kaznova02@yandex.ru</w:t>
      </w:r>
      <w:r>
        <w:rPr>
          <w:rFonts w:ascii="Times New Roman" w:eastAsia="Times New Roman" w:hAnsi="Times New Roman" w:cs="Times New Roman"/>
          <w:sz w:val="24"/>
        </w:rPr>
        <w:t xml:space="preserve">, </w:t>
      </w:r>
      <w:r>
        <w:rPr>
          <w:rFonts w:ascii="Times New Roman" w:eastAsia="Times New Roman" w:hAnsi="Times New Roman" w:cs="Times New Roman"/>
          <w:color w:val="0000FF"/>
          <w:sz w:val="24"/>
          <w:u w:val="single" w:color="0000FF"/>
        </w:rPr>
        <w:t>eop100@mail.ru</w:t>
      </w:r>
      <w:r>
        <w:rPr>
          <w:rFonts w:ascii="Times New Roman" w:eastAsia="Times New Roman" w:hAnsi="Times New Roman" w:cs="Times New Roman"/>
          <w:sz w:val="24"/>
        </w:rPr>
        <w:t xml:space="preserve"> </w:t>
      </w:r>
    </w:p>
    <w:p w:rsidR="0052701D" w:rsidRDefault="00D40929">
      <w:pPr>
        <w:spacing w:after="3" w:line="249" w:lineRule="auto"/>
        <w:ind w:left="568" w:right="566" w:firstLine="700"/>
        <w:jc w:val="both"/>
      </w:pPr>
      <w:r>
        <w:rPr>
          <w:rFonts w:ascii="Times New Roman" w:eastAsia="Times New Roman" w:hAnsi="Times New Roman" w:cs="Times New Roman"/>
          <w:b/>
          <w:i/>
          <w:sz w:val="24"/>
        </w:rPr>
        <w:t xml:space="preserve">Xülasə: </w:t>
      </w:r>
      <w:r>
        <w:rPr>
          <w:rFonts w:ascii="Times New Roman" w:eastAsia="Times New Roman" w:hAnsi="Times New Roman" w:cs="Times New Roman"/>
          <w:i/>
          <w:sz w:val="24"/>
        </w:rPr>
        <w:t>bu məqalə müasir şəraitdə Rusiyada kiçik biznesin inkişaf perspektivlərini müzakirə edir. Rusiyada kiçik biznesin inkişafının müasir reallıqlarına uyğun gələn problem</w:t>
      </w:r>
      <w:r>
        <w:rPr>
          <w:rFonts w:ascii="Times New Roman" w:eastAsia="Times New Roman" w:hAnsi="Times New Roman" w:cs="Times New Roman"/>
          <w:i/>
          <w:sz w:val="24"/>
        </w:rPr>
        <w:t>lər, habelə xüsusi diqqət tələb edən perspektivli sahələr müəyyən edilmişdir. Hazırda kiçik sahibkarlığa dövlət dəstəyinin, o cümlədən enerji sektorunda kiçik sahibkarlığın dəstəklənməsi üsul və vasitələrinin təhlilinə maraq artır. Bu baxımdan məqalədə Rus</w:t>
      </w:r>
      <w:r>
        <w:rPr>
          <w:rFonts w:ascii="Times New Roman" w:eastAsia="Times New Roman" w:hAnsi="Times New Roman" w:cs="Times New Roman"/>
          <w:i/>
          <w:sz w:val="24"/>
        </w:rPr>
        <w:t>iyada kiçik biznesin inkişafının əsas tendensiyaları təhlil edilir. Kiçik sahibkarlıq fəaliyyətinin həyata keçirilməsinin səmərəliliyi məsələləri də öyrənilir, iqtisadiyyatın bu sahəsinin əsas üstünlükləri və çatışmazlıqları təqdim olunur.</w:t>
      </w:r>
    </w:p>
    <w:p w:rsidR="0052701D" w:rsidRDefault="00D40929">
      <w:pPr>
        <w:spacing w:after="304" w:line="249" w:lineRule="auto"/>
        <w:ind w:left="568" w:right="282" w:firstLine="700"/>
        <w:jc w:val="both"/>
      </w:pPr>
      <w:r>
        <w:rPr>
          <w:rFonts w:ascii="Times New Roman" w:eastAsia="Times New Roman" w:hAnsi="Times New Roman" w:cs="Times New Roman"/>
          <w:b/>
          <w:i/>
          <w:sz w:val="24"/>
        </w:rPr>
        <w:t>Açar sözlər:</w:t>
      </w:r>
      <w:r>
        <w:rPr>
          <w:rFonts w:ascii="Times New Roman" w:eastAsia="Times New Roman" w:hAnsi="Times New Roman" w:cs="Times New Roman"/>
          <w:i/>
          <w:sz w:val="24"/>
        </w:rPr>
        <w:t xml:space="preserve"> ene</w:t>
      </w:r>
      <w:r>
        <w:rPr>
          <w:rFonts w:ascii="Times New Roman" w:eastAsia="Times New Roman" w:hAnsi="Times New Roman" w:cs="Times New Roman"/>
          <w:i/>
          <w:sz w:val="24"/>
        </w:rPr>
        <w:t>rji sahəsində kiçik biznes,</w:t>
      </w:r>
      <w:r>
        <w:rPr>
          <w:rFonts w:ascii="Times New Roman" w:eastAsia="Times New Roman" w:hAnsi="Times New Roman" w:cs="Times New Roman"/>
          <w:sz w:val="24"/>
        </w:rPr>
        <w:t xml:space="preserve"> </w:t>
      </w:r>
      <w:r>
        <w:rPr>
          <w:rFonts w:ascii="Times New Roman" w:eastAsia="Times New Roman" w:hAnsi="Times New Roman" w:cs="Times New Roman"/>
          <w:i/>
          <w:sz w:val="24"/>
        </w:rPr>
        <w:t>fərdi sahibkarlar, sahibkarlıq problemləri, inkişaf perspektivləri, müəssisələr.</w:t>
      </w:r>
    </w:p>
    <w:p w:rsidR="0052701D" w:rsidRDefault="00D40929">
      <w:pPr>
        <w:spacing w:after="17" w:line="249" w:lineRule="auto"/>
        <w:ind w:left="342" w:right="331" w:hanging="10"/>
        <w:jc w:val="center"/>
      </w:pPr>
      <w:r>
        <w:rPr>
          <w:rFonts w:ascii="Times New Roman" w:eastAsia="Times New Roman" w:hAnsi="Times New Roman" w:cs="Times New Roman"/>
          <w:b/>
          <w:sz w:val="28"/>
        </w:rPr>
        <w:t>ПЕРСПЕКТИВЫ РАЗВИТИЯ МАЛОГО БИЗНЕСА В ЭНЕРГЕТИЧЕСКОМ СЕКТОРЕ РОССИИ НА СОВРЕМЕННОМ ЭТАПЕ</w:t>
      </w:r>
    </w:p>
    <w:p w:rsidR="0052701D" w:rsidRDefault="00D40929">
      <w:pPr>
        <w:spacing w:after="13" w:line="249" w:lineRule="auto"/>
        <w:ind w:left="1001" w:right="995" w:hanging="10"/>
        <w:jc w:val="center"/>
      </w:pPr>
      <w:r>
        <w:rPr>
          <w:rFonts w:ascii="Times New Roman" w:eastAsia="Times New Roman" w:hAnsi="Times New Roman" w:cs="Times New Roman"/>
          <w:sz w:val="24"/>
        </w:rPr>
        <w:t>Яковлева А.Э., Казнова Д.Д., к.э.н,доцент Хусаинова Е.А.</w:t>
      </w:r>
    </w:p>
    <w:p w:rsidR="0052701D" w:rsidRDefault="00D40929">
      <w:pPr>
        <w:spacing w:after="13" w:line="249" w:lineRule="auto"/>
        <w:ind w:left="1001" w:right="994" w:hanging="10"/>
        <w:jc w:val="center"/>
      </w:pPr>
      <w:r>
        <w:rPr>
          <w:rFonts w:ascii="Times New Roman" w:eastAsia="Times New Roman" w:hAnsi="Times New Roman" w:cs="Times New Roman"/>
          <w:sz w:val="24"/>
        </w:rPr>
        <w:t>Ф</w:t>
      </w:r>
      <w:r>
        <w:rPr>
          <w:rFonts w:ascii="Times New Roman" w:eastAsia="Times New Roman" w:hAnsi="Times New Roman" w:cs="Times New Roman"/>
          <w:sz w:val="24"/>
        </w:rPr>
        <w:t>ГБОУ ВО КГЭУ, г. Казань, Россия</w:t>
      </w:r>
    </w:p>
    <w:p w:rsidR="0052701D" w:rsidRDefault="00D40929">
      <w:pPr>
        <w:spacing w:after="208"/>
        <w:ind w:left="1276"/>
      </w:pPr>
      <w:r>
        <w:rPr>
          <w:rFonts w:ascii="Times New Roman" w:eastAsia="Times New Roman" w:hAnsi="Times New Roman" w:cs="Times New Roman"/>
          <w:sz w:val="24"/>
        </w:rPr>
        <w:t xml:space="preserve">E-mail: </w:t>
      </w:r>
      <w:r>
        <w:rPr>
          <w:rFonts w:ascii="Times New Roman" w:eastAsia="Times New Roman" w:hAnsi="Times New Roman" w:cs="Times New Roman"/>
          <w:color w:val="0000FF"/>
          <w:sz w:val="24"/>
          <w:u w:val="single" w:color="0000FF"/>
        </w:rPr>
        <w:t>Sashylya.yakovleva@mail.ru</w:t>
      </w:r>
      <w:r>
        <w:rPr>
          <w:rFonts w:ascii="Times New Roman" w:eastAsia="Times New Roman" w:hAnsi="Times New Roman" w:cs="Times New Roman"/>
          <w:sz w:val="24"/>
        </w:rPr>
        <w:t xml:space="preserve">,  </w:t>
      </w:r>
      <w:r>
        <w:rPr>
          <w:rFonts w:ascii="Times New Roman" w:eastAsia="Times New Roman" w:hAnsi="Times New Roman" w:cs="Times New Roman"/>
          <w:color w:val="0000FF"/>
          <w:sz w:val="24"/>
          <w:u w:val="single" w:color="0000FF"/>
        </w:rPr>
        <w:t>di.kaznova02@yandex.ru</w:t>
      </w:r>
      <w:r>
        <w:rPr>
          <w:rFonts w:ascii="Times New Roman" w:eastAsia="Times New Roman" w:hAnsi="Times New Roman" w:cs="Times New Roman"/>
          <w:sz w:val="24"/>
        </w:rPr>
        <w:t xml:space="preserve">, </w:t>
      </w:r>
      <w:r>
        <w:rPr>
          <w:rFonts w:ascii="Times New Roman" w:eastAsia="Times New Roman" w:hAnsi="Times New Roman" w:cs="Times New Roman"/>
          <w:color w:val="0000FF"/>
          <w:sz w:val="24"/>
          <w:u w:val="single" w:color="0000FF"/>
        </w:rPr>
        <w:t>eop100@mail.ru</w:t>
      </w:r>
    </w:p>
    <w:p w:rsidR="0052701D" w:rsidRDefault="00D40929">
      <w:pPr>
        <w:spacing w:after="3" w:line="249" w:lineRule="auto"/>
        <w:ind w:left="568" w:right="566" w:firstLine="700"/>
        <w:jc w:val="both"/>
      </w:pPr>
      <w:r>
        <w:rPr>
          <w:rFonts w:ascii="Times New Roman" w:eastAsia="Times New Roman" w:hAnsi="Times New Roman" w:cs="Times New Roman"/>
          <w:b/>
          <w:i/>
          <w:sz w:val="24"/>
        </w:rPr>
        <w:lastRenderedPageBreak/>
        <w:t>Аннотация:</w:t>
      </w:r>
      <w:r>
        <w:rPr>
          <w:rFonts w:ascii="Times New Roman" w:eastAsia="Times New Roman" w:hAnsi="Times New Roman" w:cs="Times New Roman"/>
          <w:i/>
          <w:sz w:val="24"/>
        </w:rPr>
        <w:t xml:space="preserve"> в данной статье рассматриваются перспективы развития малого бизнеса в России в современных условиях. Определены проблемы, соответствующие</w:t>
      </w:r>
      <w:r>
        <w:rPr>
          <w:rFonts w:ascii="Times New Roman" w:eastAsia="Times New Roman" w:hAnsi="Times New Roman" w:cs="Times New Roman"/>
          <w:i/>
          <w:sz w:val="24"/>
        </w:rPr>
        <w:t xml:space="preserve"> современным реалиям развития малого бизнеса в России, а также перспективные направления, требующие особого внимания. В настоящее время растет интерес к анализу государственной поддержки малого бизнеса, включая методы и средства поддержки малого бизнеса в </w:t>
      </w:r>
      <w:r>
        <w:rPr>
          <w:rFonts w:ascii="Times New Roman" w:eastAsia="Times New Roman" w:hAnsi="Times New Roman" w:cs="Times New Roman"/>
          <w:i/>
          <w:sz w:val="24"/>
        </w:rPr>
        <w:t>энергетическом секторе. В связи с этим в статье анализируются основные тенденции развития малого бизнеса в России. Также изучаются вопросы эффективности осуществления деятельности малого бизнеса, представлены основные преимущества и недостатки этой сферы э</w:t>
      </w:r>
      <w:r>
        <w:rPr>
          <w:rFonts w:ascii="Times New Roman" w:eastAsia="Times New Roman" w:hAnsi="Times New Roman" w:cs="Times New Roman"/>
          <w:i/>
          <w:sz w:val="24"/>
        </w:rPr>
        <w:t>кономики.</w:t>
      </w:r>
    </w:p>
    <w:p w:rsidR="0052701D" w:rsidRDefault="00D40929">
      <w:pPr>
        <w:spacing w:after="580" w:line="249" w:lineRule="auto"/>
        <w:ind w:left="568" w:right="282" w:firstLine="700"/>
        <w:jc w:val="both"/>
      </w:pPr>
      <w:r>
        <w:rPr>
          <w:rFonts w:ascii="Times New Roman" w:eastAsia="Times New Roman" w:hAnsi="Times New Roman" w:cs="Times New Roman"/>
          <w:b/>
          <w:i/>
          <w:sz w:val="24"/>
        </w:rPr>
        <w:t xml:space="preserve">Ключевые слова: </w:t>
      </w:r>
      <w:r>
        <w:rPr>
          <w:rFonts w:ascii="Times New Roman" w:eastAsia="Times New Roman" w:hAnsi="Times New Roman" w:cs="Times New Roman"/>
          <w:i/>
          <w:sz w:val="24"/>
        </w:rPr>
        <w:t>малый бизнес в энергетике, индивидуальные предприниматели, проблемы предпринимательства, перспективы развития, предприятия.</w:t>
      </w:r>
    </w:p>
    <w:p w:rsidR="0052701D" w:rsidRDefault="00D40929">
      <w:pPr>
        <w:spacing w:after="222" w:line="249" w:lineRule="auto"/>
        <w:ind w:right="665"/>
        <w:jc w:val="right"/>
      </w:pPr>
      <w:r>
        <w:rPr>
          <w:rFonts w:ascii="Times New Roman" w:eastAsia="Times New Roman" w:hAnsi="Times New Roman" w:cs="Times New Roman"/>
          <w:b/>
          <w:sz w:val="28"/>
        </w:rPr>
        <w:t>PROSPECTS FOR THE DEVELOPMENT OF SMALL BUSINESS IN THE ENERGY SECTOR OF RUSSIA AT THE PRESENT STAGE</w:t>
      </w:r>
    </w:p>
    <w:p w:rsidR="0052701D" w:rsidRDefault="00D40929">
      <w:pPr>
        <w:spacing w:after="3" w:line="249" w:lineRule="auto"/>
        <w:ind w:left="4486" w:right="1" w:hanging="3128"/>
        <w:jc w:val="both"/>
      </w:pPr>
      <w:r>
        <w:rPr>
          <w:rFonts w:ascii="Times New Roman" w:eastAsia="Times New Roman" w:hAnsi="Times New Roman" w:cs="Times New Roman"/>
          <w:sz w:val="24"/>
        </w:rPr>
        <w:t>Yakovleva A.E., Kazanova D.D., Candidate of Economics, Associate Professor Khusainova E.A.</w:t>
      </w:r>
    </w:p>
    <w:p w:rsidR="0052701D" w:rsidRDefault="00D40929">
      <w:pPr>
        <w:spacing w:after="13" w:line="249" w:lineRule="auto"/>
        <w:ind w:left="1001" w:right="285" w:hanging="10"/>
        <w:jc w:val="center"/>
      </w:pPr>
      <w:r>
        <w:rPr>
          <w:rFonts w:ascii="Times New Roman" w:eastAsia="Times New Roman" w:hAnsi="Times New Roman" w:cs="Times New Roman"/>
          <w:sz w:val="24"/>
        </w:rPr>
        <w:t>FGBOU VO KSEU, Kazan, Russia</w:t>
      </w:r>
    </w:p>
    <w:p w:rsidR="0052701D" w:rsidRDefault="00D40929">
      <w:pPr>
        <w:spacing w:after="252"/>
        <w:ind w:left="13" w:right="5" w:hanging="10"/>
        <w:jc w:val="center"/>
      </w:pPr>
      <w:r>
        <w:rPr>
          <w:rFonts w:ascii="Times New Roman" w:eastAsia="Times New Roman" w:hAnsi="Times New Roman" w:cs="Times New Roman"/>
          <w:sz w:val="24"/>
        </w:rPr>
        <w:t xml:space="preserve">E-mail: </w:t>
      </w:r>
      <w:r>
        <w:rPr>
          <w:rFonts w:ascii="Times New Roman" w:eastAsia="Times New Roman" w:hAnsi="Times New Roman" w:cs="Times New Roman"/>
          <w:color w:val="0000FF"/>
          <w:sz w:val="24"/>
          <w:u w:val="single" w:color="0000FF"/>
        </w:rPr>
        <w:t>Sashylya.yakovleva@mail.ru</w:t>
      </w:r>
      <w:r>
        <w:rPr>
          <w:rFonts w:ascii="Times New Roman" w:eastAsia="Times New Roman" w:hAnsi="Times New Roman" w:cs="Times New Roman"/>
          <w:sz w:val="24"/>
        </w:rPr>
        <w:t xml:space="preserve">,  </w:t>
      </w:r>
      <w:r>
        <w:rPr>
          <w:rFonts w:ascii="Times New Roman" w:eastAsia="Times New Roman" w:hAnsi="Times New Roman" w:cs="Times New Roman"/>
          <w:color w:val="0000FF"/>
          <w:sz w:val="24"/>
          <w:u w:val="single" w:color="0000FF"/>
        </w:rPr>
        <w:t>di.kaznova02@yandex.ru</w:t>
      </w:r>
      <w:r>
        <w:rPr>
          <w:rFonts w:ascii="Times New Roman" w:eastAsia="Times New Roman" w:hAnsi="Times New Roman" w:cs="Times New Roman"/>
          <w:sz w:val="24"/>
        </w:rPr>
        <w:t xml:space="preserve">, </w:t>
      </w:r>
      <w:r>
        <w:rPr>
          <w:rFonts w:ascii="Times New Roman" w:eastAsia="Times New Roman" w:hAnsi="Times New Roman" w:cs="Times New Roman"/>
          <w:color w:val="0000FF"/>
          <w:sz w:val="24"/>
          <w:u w:val="single" w:color="0000FF"/>
        </w:rPr>
        <w:t>eop100@mail.ru</w:t>
      </w:r>
    </w:p>
    <w:p w:rsidR="0052701D" w:rsidRDefault="00D40929">
      <w:pPr>
        <w:spacing w:after="3" w:line="249" w:lineRule="auto"/>
        <w:ind w:left="568" w:right="577" w:firstLine="700"/>
        <w:jc w:val="both"/>
      </w:pPr>
      <w:r>
        <w:rPr>
          <w:rFonts w:ascii="Times New Roman" w:eastAsia="Times New Roman" w:hAnsi="Times New Roman" w:cs="Times New Roman"/>
          <w:b/>
          <w:i/>
          <w:sz w:val="24"/>
        </w:rPr>
        <w:t>Summary:</w:t>
      </w:r>
      <w:r>
        <w:rPr>
          <w:rFonts w:ascii="Times New Roman" w:eastAsia="Times New Roman" w:hAnsi="Times New Roman" w:cs="Times New Roman"/>
          <w:i/>
          <w:sz w:val="24"/>
        </w:rPr>
        <w:t xml:space="preserve"> this article discusses the prospects for the develo</w:t>
      </w:r>
      <w:r>
        <w:rPr>
          <w:rFonts w:ascii="Times New Roman" w:eastAsia="Times New Roman" w:hAnsi="Times New Roman" w:cs="Times New Roman"/>
          <w:i/>
          <w:sz w:val="24"/>
        </w:rPr>
        <w:t>pment of small business in Russia in modern conditions. The problems corresponding to the modern realities of small business development in Russia, as well as promising areas that require special attention, are identified. Currently, there is a growing int</w:t>
      </w:r>
      <w:r>
        <w:rPr>
          <w:rFonts w:ascii="Times New Roman" w:eastAsia="Times New Roman" w:hAnsi="Times New Roman" w:cs="Times New Roman"/>
          <w:i/>
          <w:sz w:val="24"/>
        </w:rPr>
        <w:t>erest in the analysis of state support for small businesses, including methods and means of supporting small businesses in the energy sector. In this regard, the article analyzes the main trends in the development of small business in Russia. The issues of</w:t>
      </w:r>
      <w:r>
        <w:rPr>
          <w:rFonts w:ascii="Times New Roman" w:eastAsia="Times New Roman" w:hAnsi="Times New Roman" w:cs="Times New Roman"/>
          <w:i/>
          <w:sz w:val="24"/>
        </w:rPr>
        <w:t xml:space="preserve"> the effectiveness of the implementation of small business activities are also studied, the main advantages and disadvantages of this sphere of the economy are presented.</w:t>
      </w:r>
    </w:p>
    <w:p w:rsidR="0052701D" w:rsidRDefault="00D40929">
      <w:pPr>
        <w:spacing w:after="303" w:line="249" w:lineRule="auto"/>
        <w:ind w:left="568" w:right="282" w:firstLine="700"/>
        <w:jc w:val="both"/>
      </w:pPr>
      <w:r>
        <w:rPr>
          <w:rFonts w:ascii="Times New Roman" w:eastAsia="Times New Roman" w:hAnsi="Times New Roman" w:cs="Times New Roman"/>
          <w:b/>
          <w:i/>
          <w:sz w:val="24"/>
        </w:rPr>
        <w:t>Key words:</w:t>
      </w:r>
      <w:r>
        <w:rPr>
          <w:rFonts w:ascii="Times New Roman" w:eastAsia="Times New Roman" w:hAnsi="Times New Roman" w:cs="Times New Roman"/>
          <w:i/>
          <w:sz w:val="24"/>
        </w:rPr>
        <w:t xml:space="preserve"> small business in energy,</w:t>
      </w:r>
      <w:r>
        <w:rPr>
          <w:sz w:val="24"/>
        </w:rPr>
        <w:t xml:space="preserve"> </w:t>
      </w:r>
      <w:r>
        <w:rPr>
          <w:rFonts w:ascii="Times New Roman" w:eastAsia="Times New Roman" w:hAnsi="Times New Roman" w:cs="Times New Roman"/>
          <w:i/>
          <w:sz w:val="24"/>
        </w:rPr>
        <w:t>individual entrepreneurs, entrepreneurship probl</w:t>
      </w:r>
      <w:r>
        <w:rPr>
          <w:rFonts w:ascii="Times New Roman" w:eastAsia="Times New Roman" w:hAnsi="Times New Roman" w:cs="Times New Roman"/>
          <w:i/>
          <w:sz w:val="24"/>
        </w:rPr>
        <w:t>ems, development prospects, enterprises.</w:t>
      </w:r>
    </w:p>
    <w:p w:rsidR="0052701D" w:rsidRDefault="00D40929">
      <w:pPr>
        <w:spacing w:after="3" w:line="248" w:lineRule="auto"/>
        <w:ind w:left="553" w:right="567" w:firstLine="426"/>
        <w:jc w:val="both"/>
      </w:pPr>
      <w:r>
        <w:rPr>
          <w:rFonts w:ascii="Times New Roman" w:eastAsia="Times New Roman" w:hAnsi="Times New Roman" w:cs="Times New Roman"/>
          <w:sz w:val="28"/>
        </w:rPr>
        <w:t>Малый бизнес</w:t>
      </w:r>
      <w:r>
        <w:rPr>
          <w:sz w:val="28"/>
        </w:rPr>
        <w:t xml:space="preserve"> </w:t>
      </w:r>
      <w:r>
        <w:rPr>
          <w:rFonts w:ascii="Times New Roman" w:eastAsia="Times New Roman" w:hAnsi="Times New Roman" w:cs="Times New Roman"/>
          <w:sz w:val="28"/>
        </w:rPr>
        <w:t>является ведущей отраслью рыночной экономики, так как он создает новые рабочие места, обеспечивает наполнение рынка товарами и услугами, создает условия для здоровой рыночной конкуренции и в то же время</w:t>
      </w:r>
      <w:r>
        <w:rPr>
          <w:rFonts w:ascii="Times New Roman" w:eastAsia="Times New Roman" w:hAnsi="Times New Roman" w:cs="Times New Roman"/>
          <w:sz w:val="28"/>
        </w:rPr>
        <w:t xml:space="preserve"> удовлетворяет потребности населения [1].</w:t>
      </w:r>
    </w:p>
    <w:p w:rsidR="0052701D" w:rsidRDefault="00D40929">
      <w:pPr>
        <w:spacing w:after="3" w:line="248" w:lineRule="auto"/>
        <w:ind w:left="553" w:right="567" w:firstLine="426"/>
        <w:jc w:val="both"/>
      </w:pPr>
      <w:r>
        <w:rPr>
          <w:rFonts w:ascii="Times New Roman" w:eastAsia="Times New Roman" w:hAnsi="Times New Roman" w:cs="Times New Roman"/>
          <w:sz w:val="28"/>
        </w:rPr>
        <w:t>Внедрение положительных тенденций в стране и реализация комплексных мер по совершенствованию малого предпринимательства напрямую зависят от выработки последовательной и правильной государственной политики в сфере э</w:t>
      </w:r>
      <w:r>
        <w:rPr>
          <w:rFonts w:ascii="Times New Roman" w:eastAsia="Times New Roman" w:hAnsi="Times New Roman" w:cs="Times New Roman"/>
          <w:sz w:val="28"/>
        </w:rPr>
        <w:t>кономической деятельности и деятельности компетентных органов. Если государственная поддержка поможет развитию малого бизнеса, это приведет к улучшению ситуации во всех аспектах. Правильный подход к развитию сектора малого бизнеса (МБ) в России будет стиму</w:t>
      </w:r>
      <w:r>
        <w:rPr>
          <w:rFonts w:ascii="Times New Roman" w:eastAsia="Times New Roman" w:hAnsi="Times New Roman" w:cs="Times New Roman"/>
          <w:sz w:val="28"/>
        </w:rPr>
        <w:t>лировать рынок труда за счет увеличения как рабочих мест, так и заработной платы. Увеличение числа малых предприятий делает монополии невозможными и благодаря здоровой конкуренции на рынке приводит к повышению качества товаров и услуг, с которыми имеют дел</w:t>
      </w:r>
      <w:r>
        <w:rPr>
          <w:rFonts w:ascii="Times New Roman" w:eastAsia="Times New Roman" w:hAnsi="Times New Roman" w:cs="Times New Roman"/>
          <w:sz w:val="28"/>
        </w:rPr>
        <w:t>о представители бизнеса [2].</w:t>
      </w:r>
    </w:p>
    <w:p w:rsidR="0052701D" w:rsidRDefault="00D40929">
      <w:pPr>
        <w:spacing w:after="3" w:line="248" w:lineRule="auto"/>
        <w:ind w:left="553" w:right="567" w:firstLine="426"/>
        <w:jc w:val="both"/>
      </w:pPr>
      <w:r>
        <w:rPr>
          <w:rFonts w:ascii="Times New Roman" w:eastAsia="Times New Roman" w:hAnsi="Times New Roman" w:cs="Times New Roman"/>
          <w:sz w:val="28"/>
        </w:rPr>
        <w:lastRenderedPageBreak/>
        <w:t>Сегмент энергетической отрасли в малом бизнесе также обладает высоким потенциалом роста в силу возрастающей роли топливно-энергетического комплекса (ТЭК) в РФ. Чтобы малые организации заняли соответствующее место на рынке, необ</w:t>
      </w:r>
      <w:r>
        <w:rPr>
          <w:rFonts w:ascii="Times New Roman" w:eastAsia="Times New Roman" w:hAnsi="Times New Roman" w:cs="Times New Roman"/>
          <w:sz w:val="28"/>
        </w:rPr>
        <w:t>ходимо определение траектории устойчивого развития малого бизнеса в энергетике. Малые предприниматели в секторе энергетики работают в таких направлениях как инновационные разработки, инжиниринг, «зеленая энергетика». Одним из самых перспективных направлени</w:t>
      </w:r>
      <w:r>
        <w:rPr>
          <w:rFonts w:ascii="Times New Roman" w:eastAsia="Times New Roman" w:hAnsi="Times New Roman" w:cs="Times New Roman"/>
          <w:sz w:val="28"/>
        </w:rPr>
        <w:t>й является здесь вклад малого бизнеса в развитие возобновляемых и нетрадиционных источников энергии [3].</w:t>
      </w:r>
    </w:p>
    <w:p w:rsidR="0052701D" w:rsidRDefault="00D40929">
      <w:pPr>
        <w:spacing w:after="3" w:line="248" w:lineRule="auto"/>
        <w:ind w:left="553" w:right="567" w:firstLine="426"/>
        <w:jc w:val="both"/>
      </w:pPr>
      <w:r>
        <w:rPr>
          <w:rFonts w:ascii="Times New Roman" w:eastAsia="Times New Roman" w:hAnsi="Times New Roman" w:cs="Times New Roman"/>
          <w:sz w:val="28"/>
        </w:rPr>
        <w:t>Одним из способов поддержки малого бизнеса является объединение его с крупным видом предпринимательства. Наиболее популярными способами объединения мал</w:t>
      </w:r>
      <w:r>
        <w:rPr>
          <w:rFonts w:ascii="Times New Roman" w:eastAsia="Times New Roman" w:hAnsi="Times New Roman" w:cs="Times New Roman"/>
          <w:sz w:val="28"/>
        </w:rPr>
        <w:t>ого и крупного бизнеса являются лизинг, франчайзинг и субподряд. Первый способ – это форма сотрудничества, при которой малый бизнес арендует оборудование во временное пользование с возможностью его последующего возврата по остаточной стоимости. Франчайзинг</w:t>
      </w:r>
      <w:r>
        <w:rPr>
          <w:rFonts w:ascii="Times New Roman" w:eastAsia="Times New Roman" w:hAnsi="Times New Roman" w:cs="Times New Roman"/>
          <w:sz w:val="28"/>
        </w:rPr>
        <w:t xml:space="preserve"> — это когда крупная фирма дает малому бизнесу право продавать свою продукцию под торговой маркой крупной фирмы. Этот способ удобен для тех, у кого нет опыта работы. Субподряд – это договор, заключаемый генеральным подрядчиком с юридическим или физическим </w:t>
      </w:r>
      <w:r>
        <w:rPr>
          <w:rFonts w:ascii="Times New Roman" w:eastAsia="Times New Roman" w:hAnsi="Times New Roman" w:cs="Times New Roman"/>
          <w:sz w:val="28"/>
        </w:rPr>
        <w:t>лицом на частичное выполнение какой-либо работы. Данная форма сотрудничества широко распространена в России [4].</w:t>
      </w:r>
    </w:p>
    <w:p w:rsidR="0052701D" w:rsidRDefault="00D40929">
      <w:pPr>
        <w:spacing w:after="3" w:line="248" w:lineRule="auto"/>
        <w:ind w:left="553" w:right="567" w:firstLine="426"/>
        <w:jc w:val="both"/>
      </w:pPr>
      <w:r>
        <w:rPr>
          <w:rFonts w:ascii="Times New Roman" w:eastAsia="Times New Roman" w:hAnsi="Times New Roman" w:cs="Times New Roman"/>
          <w:sz w:val="28"/>
        </w:rPr>
        <w:t>Основными проблемами, сдерживающими активное развитие малого бизнеса в нашей стране, являются нехватка квалифицированных кадров; ограниченный д</w:t>
      </w:r>
      <w:r>
        <w:rPr>
          <w:rFonts w:ascii="Times New Roman" w:eastAsia="Times New Roman" w:hAnsi="Times New Roman" w:cs="Times New Roman"/>
          <w:sz w:val="28"/>
        </w:rPr>
        <w:t>оступ к услугам лизинговых компаний; отсутствие оборотных средств и достаточного начального капитала для малого бизнеса; сложный процесс получения заемного капитала; отсутствие системы социальной защиты владельцев и работников субъектов малого предпринимат</w:t>
      </w:r>
      <w:r>
        <w:rPr>
          <w:rFonts w:ascii="Times New Roman" w:eastAsia="Times New Roman" w:hAnsi="Times New Roman" w:cs="Times New Roman"/>
          <w:sz w:val="28"/>
        </w:rPr>
        <w:t>ельства; сложности с арендой производственных площадей [5].</w:t>
      </w:r>
    </w:p>
    <w:p w:rsidR="0052701D" w:rsidRDefault="00D40929">
      <w:pPr>
        <w:spacing w:after="3" w:line="248" w:lineRule="auto"/>
        <w:ind w:left="553" w:right="567" w:firstLine="426"/>
        <w:jc w:val="both"/>
      </w:pPr>
      <w:r>
        <w:rPr>
          <w:rFonts w:ascii="Times New Roman" w:eastAsia="Times New Roman" w:hAnsi="Times New Roman" w:cs="Times New Roman"/>
          <w:sz w:val="28"/>
        </w:rPr>
        <w:t>В настоящее время в Российской Федерации государство активно под</w:t>
      </w:r>
      <w:r>
        <w:rPr>
          <w:rFonts w:ascii="Times New Roman" w:eastAsia="Times New Roman" w:hAnsi="Times New Roman" w:cs="Times New Roman"/>
          <w:sz w:val="28"/>
        </w:rPr>
        <w:t>держивает развитие малого бизнеса как важной отрасли экономики. В первую очередь это связано с тем, что МБ является основным направлением стратегического развития экономики, обеспечивает диверсификацию производства, развитие новых видов экономической деяте</w:t>
      </w:r>
      <w:r>
        <w:rPr>
          <w:rFonts w:ascii="Times New Roman" w:eastAsia="Times New Roman" w:hAnsi="Times New Roman" w:cs="Times New Roman"/>
          <w:sz w:val="28"/>
        </w:rPr>
        <w:t>льности, развивает инновационные процессы и технологии, создает стабильность на рынке, обеспечивает занятость населения, а также улучшает благосостояние социальной среды [6].</w:t>
      </w:r>
    </w:p>
    <w:p w:rsidR="0052701D" w:rsidRDefault="00D40929">
      <w:pPr>
        <w:spacing w:after="3" w:line="248" w:lineRule="auto"/>
        <w:ind w:left="553" w:right="567" w:firstLine="426"/>
        <w:jc w:val="both"/>
      </w:pPr>
      <w:r>
        <w:rPr>
          <w:rFonts w:ascii="Times New Roman" w:eastAsia="Times New Roman" w:hAnsi="Times New Roman" w:cs="Times New Roman"/>
          <w:sz w:val="28"/>
        </w:rPr>
        <w:t>Государство реализует различные меры поддержки в сфере МБ: упро</w:t>
      </w:r>
      <w:r>
        <w:rPr>
          <w:rFonts w:ascii="Times New Roman" w:eastAsia="Times New Roman" w:hAnsi="Times New Roman" w:cs="Times New Roman"/>
          <w:sz w:val="28"/>
        </w:rPr>
        <w:t xml:space="preserve">щение процедуры регистрации, развитие инфраструктуры поддержки малого предпринимательства, совершенствование системы налогообложения, предоставление грантов и субсидий, увеличение квоты закупок со стороны государства. </w:t>
      </w:r>
    </w:p>
    <w:p w:rsidR="0052701D" w:rsidRDefault="00D40929">
      <w:pPr>
        <w:spacing w:after="3" w:line="248" w:lineRule="auto"/>
        <w:ind w:left="553" w:right="567" w:firstLine="426"/>
        <w:jc w:val="both"/>
      </w:pPr>
      <w:r>
        <w:rPr>
          <w:rFonts w:ascii="Times New Roman" w:eastAsia="Times New Roman" w:hAnsi="Times New Roman" w:cs="Times New Roman"/>
          <w:sz w:val="28"/>
        </w:rPr>
        <w:t>В энергетике же в настоящее время гос</w:t>
      </w:r>
      <w:r>
        <w:rPr>
          <w:rFonts w:ascii="Times New Roman" w:eastAsia="Times New Roman" w:hAnsi="Times New Roman" w:cs="Times New Roman"/>
          <w:sz w:val="28"/>
        </w:rPr>
        <w:t xml:space="preserve">ударственная политика реформирования также включает повышение инвестиционной </w:t>
      </w:r>
      <w:r>
        <w:rPr>
          <w:rFonts w:ascii="Times New Roman" w:eastAsia="Times New Roman" w:hAnsi="Times New Roman" w:cs="Times New Roman"/>
          <w:sz w:val="28"/>
        </w:rPr>
        <w:lastRenderedPageBreak/>
        <w:t xml:space="preserve">привлекательности отрасли и увеличение эффективности её функционирования. </w:t>
      </w:r>
    </w:p>
    <w:p w:rsidR="0052701D" w:rsidRDefault="00D40929">
      <w:pPr>
        <w:spacing w:after="3" w:line="248" w:lineRule="auto"/>
        <w:ind w:left="553" w:right="567" w:firstLine="426"/>
        <w:jc w:val="both"/>
      </w:pPr>
      <w:r>
        <w:rPr>
          <w:rFonts w:ascii="Times New Roman" w:eastAsia="Times New Roman" w:hAnsi="Times New Roman" w:cs="Times New Roman"/>
          <w:sz w:val="28"/>
        </w:rPr>
        <w:t>К основным преимуществам МБ относятся: оперативность и гибкость в принятии управленческих решений; относ</w:t>
      </w:r>
      <w:r>
        <w:rPr>
          <w:rFonts w:ascii="Times New Roman" w:eastAsia="Times New Roman" w:hAnsi="Times New Roman" w:cs="Times New Roman"/>
          <w:sz w:val="28"/>
        </w:rPr>
        <w:t>ительно низкие затраты, особенно затраты на управление; малые предприятия требуют меньших капитальных затрат и меньших сроков строительства, быстрой адаптации к внедрению новых технологий и автоматизации производства, работники этого вида бизнеса более мот</w:t>
      </w:r>
      <w:r>
        <w:rPr>
          <w:rFonts w:ascii="Times New Roman" w:eastAsia="Times New Roman" w:hAnsi="Times New Roman" w:cs="Times New Roman"/>
          <w:sz w:val="28"/>
        </w:rPr>
        <w:t>ивированы на достижение успеха, реализацию идей и демонстрацию своих навыков, вся прибыль сконцентрирована в руках руководителей этих предприятий.</w:t>
      </w:r>
    </w:p>
    <w:p w:rsidR="0052701D" w:rsidRDefault="00D40929">
      <w:pPr>
        <w:spacing w:after="204" w:line="248" w:lineRule="auto"/>
        <w:ind w:left="553" w:right="567" w:firstLine="426"/>
        <w:jc w:val="both"/>
      </w:pPr>
      <w:r>
        <w:rPr>
          <w:rFonts w:ascii="Times New Roman" w:eastAsia="Times New Roman" w:hAnsi="Times New Roman" w:cs="Times New Roman"/>
          <w:sz w:val="28"/>
        </w:rPr>
        <w:t>Из недостатков малого бизнеса можно назвать первоначальные большие капитальные затраты, систему налогообложен</w:t>
      </w:r>
      <w:r>
        <w:rPr>
          <w:rFonts w:ascii="Times New Roman" w:eastAsia="Times New Roman" w:hAnsi="Times New Roman" w:cs="Times New Roman"/>
          <w:sz w:val="28"/>
        </w:rPr>
        <w:t>ия, предпочтение населения работать на государственной работе вместо старта предпринимательской деятельности с целью получения пенсии, слабую поддержку начала деятельности предпринимателей, трудности в получении всех необходимых разрешений на ведение бизне</w:t>
      </w:r>
      <w:r>
        <w:rPr>
          <w:rFonts w:ascii="Times New Roman" w:eastAsia="Times New Roman" w:hAnsi="Times New Roman" w:cs="Times New Roman"/>
          <w:sz w:val="28"/>
        </w:rPr>
        <w:t>са от правительства, низкую осведомленность населения, их недоверие и негативные ожидания [7].</w:t>
      </w:r>
    </w:p>
    <w:p w:rsidR="0052701D" w:rsidRDefault="00D40929">
      <w:pPr>
        <w:spacing w:after="290"/>
        <w:ind w:left="717" w:right="707" w:hanging="10"/>
        <w:jc w:val="center"/>
      </w:pPr>
      <w:r>
        <w:rPr>
          <w:rFonts w:ascii="Times New Roman" w:eastAsia="Times New Roman" w:hAnsi="Times New Roman" w:cs="Times New Roman"/>
          <w:b/>
          <w:sz w:val="24"/>
        </w:rPr>
        <w:t>Источники</w:t>
      </w:r>
    </w:p>
    <w:p w:rsidR="0052701D" w:rsidRDefault="00D40929">
      <w:pPr>
        <w:numPr>
          <w:ilvl w:val="0"/>
          <w:numId w:val="161"/>
        </w:numPr>
        <w:spacing w:after="3" w:line="248" w:lineRule="auto"/>
        <w:ind w:right="567" w:firstLine="558"/>
        <w:jc w:val="both"/>
      </w:pPr>
      <w:r>
        <w:rPr>
          <w:rFonts w:ascii="Times New Roman" w:eastAsia="Times New Roman" w:hAnsi="Times New Roman" w:cs="Times New Roman"/>
          <w:sz w:val="28"/>
        </w:rPr>
        <w:t>Алпатов, А. И. Развитие малого и среднего предпринимательстваРоссии в современных условиях / А. И. Алпатов // Международный студенческий научный вестни</w:t>
      </w:r>
      <w:r>
        <w:rPr>
          <w:rFonts w:ascii="Times New Roman" w:eastAsia="Times New Roman" w:hAnsi="Times New Roman" w:cs="Times New Roman"/>
          <w:sz w:val="28"/>
        </w:rPr>
        <w:t>к. – 2017. – № 3. – С. 14.</w:t>
      </w:r>
    </w:p>
    <w:p w:rsidR="0052701D" w:rsidRDefault="00D40929">
      <w:pPr>
        <w:numPr>
          <w:ilvl w:val="0"/>
          <w:numId w:val="161"/>
        </w:numPr>
        <w:spacing w:after="3" w:line="248" w:lineRule="auto"/>
        <w:ind w:right="567" w:firstLine="558"/>
        <w:jc w:val="both"/>
      </w:pPr>
      <w:r>
        <w:rPr>
          <w:rFonts w:ascii="Times New Roman" w:eastAsia="Times New Roman" w:hAnsi="Times New Roman" w:cs="Times New Roman"/>
          <w:sz w:val="28"/>
        </w:rPr>
        <w:t>Винокурова, М. Г. Малый бизнес в России: проблемы и перспективы развития / М. Г. Винокурова // Проблемы социально-экономического развития России: сборник статей по материалам Всероссийской научнопрактической конференции. – Уфа: г</w:t>
      </w:r>
      <w:r>
        <w:rPr>
          <w:rFonts w:ascii="Times New Roman" w:eastAsia="Times New Roman" w:hAnsi="Times New Roman" w:cs="Times New Roman"/>
          <w:sz w:val="28"/>
        </w:rPr>
        <w:t xml:space="preserve">осударственное автономное учреждение дополнительного профессионального образования Институт развития образования Республики Башкортостан, 2018. – С. 114-116. </w:t>
      </w:r>
    </w:p>
    <w:p w:rsidR="0052701D" w:rsidRDefault="00D40929">
      <w:pPr>
        <w:numPr>
          <w:ilvl w:val="0"/>
          <w:numId w:val="161"/>
        </w:numPr>
        <w:spacing w:after="3" w:line="248" w:lineRule="auto"/>
        <w:ind w:right="567" w:firstLine="558"/>
        <w:jc w:val="both"/>
      </w:pPr>
      <w:r>
        <w:rPr>
          <w:rFonts w:ascii="Times New Roman" w:eastAsia="Times New Roman" w:hAnsi="Times New Roman" w:cs="Times New Roman"/>
          <w:sz w:val="28"/>
        </w:rPr>
        <w:t>Коршунов Е. А. Автоматизация процессов обслуживания энергетического оборудования с помощью специа</w:t>
      </w:r>
      <w:r>
        <w:rPr>
          <w:rFonts w:ascii="Times New Roman" w:eastAsia="Times New Roman" w:hAnsi="Times New Roman" w:cs="Times New Roman"/>
          <w:sz w:val="28"/>
        </w:rPr>
        <w:t xml:space="preserve">лизированных программных решений / Е. А. Коршунов, А. А. Капанский, К. Е.Коршунов // Вестник Казанского государственного энергетического университета. 2022. Т. 14. № 1(53). С. 65-75. </w:t>
      </w:r>
    </w:p>
    <w:p w:rsidR="0052701D" w:rsidRDefault="00D40929">
      <w:pPr>
        <w:numPr>
          <w:ilvl w:val="0"/>
          <w:numId w:val="161"/>
        </w:numPr>
        <w:spacing w:after="3" w:line="248" w:lineRule="auto"/>
        <w:ind w:right="567" w:firstLine="558"/>
        <w:jc w:val="both"/>
      </w:pPr>
      <w:r>
        <w:rPr>
          <w:rFonts w:ascii="Times New Roman" w:eastAsia="Times New Roman" w:hAnsi="Times New Roman" w:cs="Times New Roman"/>
          <w:sz w:val="28"/>
        </w:rPr>
        <w:t>Гацкая, Л. П. "Зеленые" перспективы финансового развития / Л. П.Гацкая /</w:t>
      </w:r>
      <w:r>
        <w:rPr>
          <w:rFonts w:ascii="Times New Roman" w:eastAsia="Times New Roman" w:hAnsi="Times New Roman" w:cs="Times New Roman"/>
          <w:sz w:val="28"/>
        </w:rPr>
        <w:t>/ Международный научный журнал Интернаука. Серия: Экономические науки. – 2017. – № 6(6). – С. 20-23.</w:t>
      </w:r>
    </w:p>
    <w:p w:rsidR="0052701D" w:rsidRDefault="00D40929">
      <w:pPr>
        <w:numPr>
          <w:ilvl w:val="0"/>
          <w:numId w:val="161"/>
        </w:numPr>
        <w:spacing w:after="3" w:line="248" w:lineRule="auto"/>
        <w:ind w:right="567" w:firstLine="558"/>
        <w:jc w:val="both"/>
      </w:pPr>
      <w:r>
        <w:rPr>
          <w:rFonts w:ascii="Times New Roman" w:eastAsia="Times New Roman" w:hAnsi="Times New Roman" w:cs="Times New Roman"/>
          <w:sz w:val="28"/>
        </w:rPr>
        <w:t>Ищенко, М. В. Проблемы развития малого предпринимательства /М. В. Ищенко // Омские научные чтения - 2019: материалы Третьей Всероссийской научной конференц</w:t>
      </w:r>
      <w:r>
        <w:rPr>
          <w:rFonts w:ascii="Times New Roman" w:eastAsia="Times New Roman" w:hAnsi="Times New Roman" w:cs="Times New Roman"/>
          <w:sz w:val="28"/>
        </w:rPr>
        <w:t>ии. – Омск: Омский государственный университет им. Ф.М. Достоевского, 2019. – С. 674-676.</w:t>
      </w:r>
    </w:p>
    <w:p w:rsidR="0052701D" w:rsidRDefault="00D40929">
      <w:pPr>
        <w:numPr>
          <w:ilvl w:val="0"/>
          <w:numId w:val="161"/>
        </w:numPr>
        <w:spacing w:after="3" w:line="248" w:lineRule="auto"/>
        <w:ind w:right="567" w:firstLine="558"/>
        <w:jc w:val="both"/>
      </w:pPr>
      <w:r>
        <w:rPr>
          <w:rFonts w:ascii="Times New Roman" w:eastAsia="Times New Roman" w:hAnsi="Times New Roman" w:cs="Times New Roman"/>
          <w:sz w:val="28"/>
        </w:rPr>
        <w:t xml:space="preserve">Масюк, Н. Н. Предпринимательство в России: Состояние, путиразвития и саморегулирование / Н. Н. Масюк, Д. Н. Маркин. – </w:t>
      </w:r>
      <w:r>
        <w:rPr>
          <w:rFonts w:ascii="Times New Roman" w:eastAsia="Times New Roman" w:hAnsi="Times New Roman" w:cs="Times New Roman"/>
          <w:sz w:val="28"/>
        </w:rPr>
        <w:lastRenderedPageBreak/>
        <w:t>Владивосток: Владивостокский государственный уни</w:t>
      </w:r>
      <w:r>
        <w:rPr>
          <w:rFonts w:ascii="Times New Roman" w:eastAsia="Times New Roman" w:hAnsi="Times New Roman" w:cs="Times New Roman"/>
          <w:sz w:val="28"/>
        </w:rPr>
        <w:t>верситет экономики и сервиса, 2018. – 164 с.</w:t>
      </w:r>
    </w:p>
    <w:p w:rsidR="0052701D" w:rsidRDefault="00D40929">
      <w:pPr>
        <w:numPr>
          <w:ilvl w:val="0"/>
          <w:numId w:val="161"/>
        </w:numPr>
        <w:spacing w:after="3" w:line="248" w:lineRule="auto"/>
        <w:ind w:right="567" w:firstLine="558"/>
        <w:jc w:val="both"/>
      </w:pPr>
      <w:r>
        <w:rPr>
          <w:rFonts w:ascii="Times New Roman" w:eastAsia="Times New Roman" w:hAnsi="Times New Roman" w:cs="Times New Roman"/>
          <w:sz w:val="28"/>
        </w:rPr>
        <w:t>Виноградов А. В. Анализ доли потребителей разной мощности вструктуре технологических присоединений в электросетевых компаниях / А. В. Виноградов, М. В. Бородин, А. А. Лансберг, Н. В. Махиянова // Вестник Казанск</w:t>
      </w:r>
      <w:r>
        <w:rPr>
          <w:rFonts w:ascii="Times New Roman" w:eastAsia="Times New Roman" w:hAnsi="Times New Roman" w:cs="Times New Roman"/>
          <w:sz w:val="28"/>
        </w:rPr>
        <w:t>ого государственного энергетического университета. 2022. Т. 14. № 1(53). С. 86-95.</w:t>
      </w:r>
    </w:p>
    <w:p w:rsidR="0052701D" w:rsidRDefault="00D40929">
      <w:pPr>
        <w:numPr>
          <w:ilvl w:val="0"/>
          <w:numId w:val="161"/>
        </w:numPr>
        <w:spacing w:after="3" w:line="248" w:lineRule="auto"/>
        <w:ind w:right="567" w:firstLine="558"/>
        <w:jc w:val="both"/>
      </w:pPr>
      <w:r>
        <w:rPr>
          <w:rFonts w:ascii="Times New Roman" w:eastAsia="Times New Roman" w:hAnsi="Times New Roman" w:cs="Times New Roman"/>
          <w:sz w:val="28"/>
        </w:rPr>
        <w:t>Репушевская, О. А. Анализ и перспективы развития малого исреднего предпринимательства в России / О. А. Репушевская // Фундаментальные и прикладные исследования кооперативног</w:t>
      </w:r>
      <w:r>
        <w:rPr>
          <w:rFonts w:ascii="Times New Roman" w:eastAsia="Times New Roman" w:hAnsi="Times New Roman" w:cs="Times New Roman"/>
          <w:sz w:val="28"/>
        </w:rPr>
        <w:t>о сектора экономики. – 2020. – № 2. – С. 129-135.</w:t>
      </w:r>
    </w:p>
    <w:p w:rsidR="0052701D" w:rsidRDefault="00D40929">
      <w:pPr>
        <w:numPr>
          <w:ilvl w:val="0"/>
          <w:numId w:val="161"/>
        </w:numPr>
        <w:spacing w:after="3" w:line="248" w:lineRule="auto"/>
        <w:ind w:right="567" w:firstLine="558"/>
        <w:jc w:val="both"/>
      </w:pPr>
      <w:r>
        <w:rPr>
          <w:rFonts w:ascii="Times New Roman" w:eastAsia="Times New Roman" w:hAnsi="Times New Roman" w:cs="Times New Roman"/>
          <w:sz w:val="28"/>
        </w:rPr>
        <w:t>Савватеев, Е. В. Развитие малого бизнеса в России: проблемы ипути решения / Е. В. Савватеев, П. А. Новиков // Всероссийский исследовательский форум студентов и учащихся: Сборник статей Всероссийской научно-</w:t>
      </w:r>
      <w:r>
        <w:rPr>
          <w:rFonts w:ascii="Times New Roman" w:eastAsia="Times New Roman" w:hAnsi="Times New Roman" w:cs="Times New Roman"/>
          <w:sz w:val="28"/>
        </w:rPr>
        <w:t xml:space="preserve">практической конференции. – Петрозаводск: Международный центр научного партнерства «Новая Наука» (ИП Ивановская Ирина Игоревна), 2020. – С. 25-33. </w:t>
      </w:r>
    </w:p>
    <w:p w:rsidR="0052701D" w:rsidRDefault="0052701D">
      <w:pPr>
        <w:sectPr w:rsidR="0052701D">
          <w:footerReference w:type="even" r:id="rId872"/>
          <w:footerReference w:type="default" r:id="rId873"/>
          <w:footerReference w:type="first" r:id="rId874"/>
          <w:footnotePr>
            <w:numRestart w:val="eachPage"/>
          </w:footnotePr>
          <w:pgSz w:w="11906" w:h="16838"/>
          <w:pgMar w:top="903" w:right="564" w:bottom="865" w:left="1136" w:header="720" w:footer="304" w:gutter="0"/>
          <w:cols w:space="720"/>
        </w:sectPr>
      </w:pPr>
    </w:p>
    <w:p w:rsidR="0052701D" w:rsidRDefault="00D40929">
      <w:pPr>
        <w:spacing w:after="61" w:line="248" w:lineRule="auto"/>
        <w:ind w:left="110" w:right="14"/>
        <w:jc w:val="both"/>
      </w:pPr>
      <w:r>
        <w:rPr>
          <w:rFonts w:ascii="Times New Roman" w:eastAsia="Times New Roman" w:hAnsi="Times New Roman" w:cs="Times New Roman"/>
          <w:sz w:val="24"/>
        </w:rPr>
        <w:lastRenderedPageBreak/>
        <w:t>УДК 33</w:t>
      </w:r>
      <w:r>
        <w:rPr>
          <w:rFonts w:ascii="Times New Roman" w:eastAsia="Times New Roman" w:hAnsi="Times New Roman" w:cs="Times New Roman"/>
          <w:sz w:val="24"/>
        </w:rPr>
        <w:t xml:space="preserve">-332.1-330.15 </w:t>
      </w:r>
    </w:p>
    <w:p w:rsidR="0052701D" w:rsidRDefault="00D40929">
      <w:pPr>
        <w:spacing w:after="75"/>
        <w:ind w:left="110"/>
      </w:pPr>
      <w:r>
        <w:rPr>
          <w:rFonts w:ascii="Times New Roman" w:eastAsia="Times New Roman" w:hAnsi="Times New Roman" w:cs="Times New Roman"/>
          <w:sz w:val="28"/>
        </w:rPr>
        <w:t xml:space="preserve"> </w:t>
      </w:r>
    </w:p>
    <w:p w:rsidR="0052701D" w:rsidRDefault="00D40929">
      <w:pPr>
        <w:pStyle w:val="1"/>
        <w:ind w:left="720" w:right="0" w:firstLine="9"/>
        <w:jc w:val="left"/>
      </w:pPr>
      <w:r>
        <w:t xml:space="preserve">ОСОБЕННОСТИ ЭКОЛОГО-ЭНЕРГЕТИЧЕСКОЙ ПОЛИТИКИ </w:t>
      </w:r>
    </w:p>
    <w:p w:rsidR="0052701D" w:rsidRDefault="00D40929">
      <w:pPr>
        <w:spacing w:after="5" w:line="271" w:lineRule="auto"/>
        <w:ind w:left="720" w:firstLine="9"/>
      </w:pPr>
      <w:r>
        <w:rPr>
          <w:rFonts w:ascii="Times New Roman" w:eastAsia="Times New Roman" w:hAnsi="Times New Roman" w:cs="Times New Roman"/>
          <w:b/>
          <w:sz w:val="28"/>
        </w:rPr>
        <w:t xml:space="preserve">ТЕРРИТОРИИ </w:t>
      </w:r>
    </w:p>
    <w:p w:rsidR="0052701D" w:rsidRDefault="00D40929">
      <w:pPr>
        <w:spacing w:after="67"/>
        <w:ind w:left="174"/>
        <w:jc w:val="center"/>
      </w:pPr>
      <w:r>
        <w:rPr>
          <w:rFonts w:ascii="Times New Roman" w:eastAsia="Times New Roman" w:hAnsi="Times New Roman" w:cs="Times New Roman"/>
          <w:sz w:val="28"/>
        </w:rPr>
        <w:t xml:space="preserve"> </w:t>
      </w:r>
    </w:p>
    <w:p w:rsidR="0052701D" w:rsidRDefault="00D40929">
      <w:pPr>
        <w:pStyle w:val="1"/>
        <w:spacing w:after="118" w:line="248" w:lineRule="auto"/>
        <w:ind w:left="713" w:right="609" w:hanging="5"/>
      </w:pPr>
      <w:r>
        <w:rPr>
          <w:b w:val="0"/>
          <w:sz w:val="24"/>
        </w:rPr>
        <w:t xml:space="preserve">Имамеев Адель Дамирович, Галимова Эльмира Ирековна </w:t>
      </w:r>
    </w:p>
    <w:p w:rsidR="0052701D" w:rsidRDefault="00D40929">
      <w:pPr>
        <w:spacing w:after="14" w:line="311" w:lineRule="auto"/>
        <w:ind w:left="2428" w:right="2263" w:hanging="5"/>
        <w:jc w:val="center"/>
      </w:pPr>
      <w:r>
        <w:rPr>
          <w:rFonts w:ascii="Times New Roman" w:eastAsia="Times New Roman" w:hAnsi="Times New Roman" w:cs="Times New Roman"/>
          <w:sz w:val="24"/>
        </w:rPr>
        <w:t xml:space="preserve">ФГБОУ ВО «КГЭУ», г. Казань valis2000@mail.ru </w:t>
      </w:r>
    </w:p>
    <w:p w:rsidR="0052701D" w:rsidRDefault="00D40929">
      <w:pPr>
        <w:spacing w:after="69"/>
        <w:ind w:left="821"/>
      </w:pPr>
      <w:r>
        <w:rPr>
          <w:rFonts w:ascii="Times New Roman" w:eastAsia="Times New Roman" w:hAnsi="Times New Roman" w:cs="Times New Roman"/>
          <w:sz w:val="28"/>
        </w:rPr>
        <w:t xml:space="preserve"> </w:t>
      </w:r>
    </w:p>
    <w:p w:rsidR="0052701D" w:rsidRDefault="00D40929">
      <w:pPr>
        <w:spacing w:after="29" w:line="322" w:lineRule="auto"/>
        <w:ind w:left="110" w:firstLine="711"/>
        <w:jc w:val="both"/>
      </w:pPr>
      <w:r>
        <w:rPr>
          <w:rFonts w:ascii="Times New Roman" w:eastAsia="Times New Roman" w:hAnsi="Times New Roman" w:cs="Times New Roman"/>
          <w:b/>
          <w:i/>
          <w:sz w:val="24"/>
        </w:rPr>
        <w:t>Аннотация:</w:t>
      </w:r>
      <w:r>
        <w:rPr>
          <w:rFonts w:ascii="Times New Roman" w:eastAsia="Times New Roman" w:hAnsi="Times New Roman" w:cs="Times New Roman"/>
          <w:i/>
          <w:sz w:val="24"/>
        </w:rPr>
        <w:t xml:space="preserve"> Международные организации и научные сообщества разработали различные </w:t>
      </w:r>
      <w:r>
        <w:rPr>
          <w:rFonts w:ascii="Times New Roman" w:eastAsia="Times New Roman" w:hAnsi="Times New Roman" w:cs="Times New Roman"/>
          <w:i/>
          <w:sz w:val="24"/>
        </w:rPr>
        <w:t>методологии, индикаторы и индексы для оценки различных аспектов устойчивости и безопасности энергетических систем. Особую научную ценность представляют те методы изучения мировой энергетики, которые комплексно рассматривают отрасль во всей ее сложности и в</w:t>
      </w:r>
      <w:r>
        <w:rPr>
          <w:rFonts w:ascii="Times New Roman" w:eastAsia="Times New Roman" w:hAnsi="Times New Roman" w:cs="Times New Roman"/>
          <w:i/>
          <w:sz w:val="24"/>
        </w:rPr>
        <w:t>ключают несколько оценочных параметров. В статье подробно рассмотрены эколого-энергетические аспекты региональной политики, сделав акцент на необходимости инвестирования и реализации проектов в экологию, в области энергетики, обеспечивая экологическую усто</w:t>
      </w:r>
      <w:r>
        <w:rPr>
          <w:rFonts w:ascii="Times New Roman" w:eastAsia="Times New Roman" w:hAnsi="Times New Roman" w:cs="Times New Roman"/>
          <w:i/>
          <w:sz w:val="24"/>
        </w:rPr>
        <w:t xml:space="preserve">йчивость. </w:t>
      </w:r>
    </w:p>
    <w:p w:rsidR="0052701D" w:rsidRDefault="00D40929">
      <w:pPr>
        <w:spacing w:after="62" w:line="248" w:lineRule="auto"/>
        <w:ind w:left="821"/>
        <w:jc w:val="both"/>
      </w:pP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 xml:space="preserve"> экология. энергетика, политика, проекты </w:t>
      </w:r>
    </w:p>
    <w:p w:rsidR="0052701D" w:rsidRDefault="00D40929">
      <w:pPr>
        <w:spacing w:after="16"/>
        <w:ind w:left="821"/>
      </w:pPr>
      <w:r>
        <w:rPr>
          <w:rFonts w:ascii="Times New Roman" w:eastAsia="Times New Roman" w:hAnsi="Times New Roman" w:cs="Times New Roman"/>
          <w:sz w:val="28"/>
        </w:rPr>
        <w:t xml:space="preserve"> </w:t>
      </w:r>
    </w:p>
    <w:p w:rsidR="0052701D" w:rsidRDefault="00D40929">
      <w:pPr>
        <w:spacing w:after="5" w:line="271" w:lineRule="auto"/>
        <w:ind w:left="173" w:right="39" w:hanging="10"/>
        <w:jc w:val="center"/>
      </w:pPr>
      <w:r>
        <w:rPr>
          <w:rFonts w:ascii="Times New Roman" w:eastAsia="Times New Roman" w:hAnsi="Times New Roman" w:cs="Times New Roman"/>
          <w:b/>
          <w:sz w:val="28"/>
        </w:rPr>
        <w:t xml:space="preserve">FEATURES OF THE TERRITORY’S ENVIRONMENTAL ENERGY POLICY </w:t>
      </w:r>
    </w:p>
    <w:p w:rsidR="0052701D" w:rsidRDefault="00D40929">
      <w:pPr>
        <w:spacing w:after="60"/>
        <w:ind w:left="165"/>
        <w:jc w:val="center"/>
      </w:pPr>
      <w:r>
        <w:rPr>
          <w:rFonts w:ascii="Times New Roman" w:eastAsia="Times New Roman" w:hAnsi="Times New Roman" w:cs="Times New Roman"/>
          <w:sz w:val="24"/>
        </w:rPr>
        <w:t xml:space="preserve"> </w:t>
      </w:r>
    </w:p>
    <w:p w:rsidR="0052701D" w:rsidRDefault="00D40929">
      <w:pPr>
        <w:spacing w:after="71" w:line="248" w:lineRule="auto"/>
        <w:ind w:left="713" w:right="614" w:hanging="5"/>
        <w:jc w:val="center"/>
      </w:pPr>
      <w:r>
        <w:rPr>
          <w:rFonts w:ascii="Times New Roman" w:eastAsia="Times New Roman" w:hAnsi="Times New Roman" w:cs="Times New Roman"/>
          <w:sz w:val="24"/>
        </w:rPr>
        <w:t xml:space="preserve">Imameev Adel Damirovich, Galimova Elmira Irekovna </w:t>
      </w:r>
    </w:p>
    <w:p w:rsidR="0052701D" w:rsidRDefault="00D40929">
      <w:pPr>
        <w:spacing w:after="14" w:line="311" w:lineRule="auto"/>
        <w:ind w:left="2502" w:right="2397" w:hanging="5"/>
        <w:jc w:val="center"/>
      </w:pPr>
      <w:r>
        <w:rPr>
          <w:rFonts w:ascii="Times New Roman" w:eastAsia="Times New Roman" w:hAnsi="Times New Roman" w:cs="Times New Roman"/>
          <w:sz w:val="24"/>
        </w:rPr>
        <w:t xml:space="preserve">Scientific hand. Yulia Sergeyevna Valeeva </w:t>
      </w:r>
      <w:r>
        <w:rPr>
          <w:rFonts w:ascii="Times New Roman" w:eastAsia="Times New Roman" w:hAnsi="Times New Roman" w:cs="Times New Roman"/>
          <w:sz w:val="24"/>
        </w:rPr>
        <w:t xml:space="preserve">Kazan State Power Engineering University, Kazan valis2000@mail.ru </w:t>
      </w:r>
    </w:p>
    <w:p w:rsidR="0052701D" w:rsidRDefault="00D40929">
      <w:pPr>
        <w:spacing w:after="22"/>
        <w:ind w:left="821"/>
      </w:pPr>
      <w:r>
        <w:rPr>
          <w:rFonts w:ascii="Times New Roman" w:eastAsia="Times New Roman" w:hAnsi="Times New Roman" w:cs="Times New Roman"/>
          <w:sz w:val="28"/>
        </w:rPr>
        <w:t xml:space="preserve"> </w:t>
      </w:r>
    </w:p>
    <w:p w:rsidR="0052701D" w:rsidRDefault="00D40929">
      <w:pPr>
        <w:spacing w:after="0" w:line="311" w:lineRule="auto"/>
        <w:ind w:left="110" w:firstLine="711"/>
        <w:jc w:val="both"/>
      </w:pPr>
      <w:r>
        <w:rPr>
          <w:rFonts w:ascii="Times New Roman" w:eastAsia="Times New Roman" w:hAnsi="Times New Roman" w:cs="Times New Roman"/>
          <w:b/>
          <w:i/>
          <w:sz w:val="24"/>
        </w:rPr>
        <w:t>Annotation:</w:t>
      </w:r>
      <w:r>
        <w:rPr>
          <w:rFonts w:ascii="Times New Roman" w:eastAsia="Times New Roman" w:hAnsi="Times New Roman" w:cs="Times New Roman"/>
          <w:i/>
          <w:sz w:val="24"/>
        </w:rPr>
        <w:t xml:space="preserve"> International organizations and scientific communities have developed various methodologies, indicators and indices to assess various aspects of sustainability and safety of e</w:t>
      </w:r>
      <w:r>
        <w:rPr>
          <w:rFonts w:ascii="Times New Roman" w:eastAsia="Times New Roman" w:hAnsi="Times New Roman" w:cs="Times New Roman"/>
          <w:i/>
          <w:sz w:val="24"/>
        </w:rPr>
        <w:t>nergy systems. Of particular scientific value are those methods of studying the world energy, which comprehensively consider the industry in all its complexity and include several estimation parameters. The article considers in detail the ecological and en</w:t>
      </w:r>
      <w:r>
        <w:rPr>
          <w:rFonts w:ascii="Times New Roman" w:eastAsia="Times New Roman" w:hAnsi="Times New Roman" w:cs="Times New Roman"/>
          <w:i/>
          <w:sz w:val="24"/>
        </w:rPr>
        <w:t xml:space="preserve">ergy aspects of regional policy, emphasizing the need to invest and implement projects in the environment, in the field of energy, ensuring environmental sustainability. </w:t>
      </w:r>
    </w:p>
    <w:p w:rsidR="0052701D" w:rsidRDefault="00D40929">
      <w:pPr>
        <w:spacing w:after="62" w:line="248" w:lineRule="auto"/>
        <w:ind w:left="821"/>
        <w:jc w:val="both"/>
      </w:pPr>
      <w:r>
        <w:rPr>
          <w:rFonts w:ascii="Times New Roman" w:eastAsia="Times New Roman" w:hAnsi="Times New Roman" w:cs="Times New Roman"/>
          <w:b/>
          <w:i/>
          <w:sz w:val="24"/>
        </w:rPr>
        <w:t>Keywords</w:t>
      </w:r>
      <w:r>
        <w:rPr>
          <w:rFonts w:ascii="Times New Roman" w:eastAsia="Times New Roman" w:hAnsi="Times New Roman" w:cs="Times New Roman"/>
          <w:i/>
          <w:sz w:val="24"/>
        </w:rPr>
        <w:t xml:space="preserve">: ecology, energy, policy, projects </w:t>
      </w:r>
    </w:p>
    <w:p w:rsidR="0052701D" w:rsidRDefault="00D40929">
      <w:pPr>
        <w:spacing w:after="12"/>
        <w:ind w:left="821"/>
      </w:pPr>
      <w:r>
        <w:rPr>
          <w:rFonts w:ascii="Times New Roman" w:eastAsia="Times New Roman" w:hAnsi="Times New Roman" w:cs="Times New Roman"/>
          <w:sz w:val="28"/>
        </w:rPr>
        <w:t xml:space="preserve"> </w:t>
      </w:r>
    </w:p>
    <w:p w:rsidR="0052701D" w:rsidRDefault="00D40929">
      <w:pPr>
        <w:spacing w:after="5" w:line="271" w:lineRule="auto"/>
        <w:ind w:left="110" w:right="64" w:firstLine="711"/>
        <w:jc w:val="both"/>
      </w:pPr>
      <w:r>
        <w:rPr>
          <w:rFonts w:ascii="Times New Roman" w:eastAsia="Times New Roman" w:hAnsi="Times New Roman" w:cs="Times New Roman"/>
          <w:sz w:val="28"/>
        </w:rPr>
        <w:t>Практика реализации политических согла</w:t>
      </w:r>
      <w:r>
        <w:rPr>
          <w:rFonts w:ascii="Times New Roman" w:eastAsia="Times New Roman" w:hAnsi="Times New Roman" w:cs="Times New Roman"/>
          <w:sz w:val="28"/>
        </w:rPr>
        <w:t>шений показывает, что поставленные цели по сокращению выбросов в атмосферу с жёсткими экологическими нормами, а также внедрение зелёных инноваций позволяет странам ОЭСР их достигать [1, 2]. Экспортные операции способствуют максимальному внедрению «зелёных»</w:t>
      </w:r>
      <w:r>
        <w:rPr>
          <w:rFonts w:ascii="Times New Roman" w:eastAsia="Times New Roman" w:hAnsi="Times New Roman" w:cs="Times New Roman"/>
          <w:sz w:val="28"/>
        </w:rPr>
        <w:t xml:space="preserve"> инноваций и позволяют сокращать </w:t>
      </w:r>
      <w:r>
        <w:rPr>
          <w:rFonts w:ascii="Times New Roman" w:eastAsia="Times New Roman" w:hAnsi="Times New Roman" w:cs="Times New Roman"/>
          <w:sz w:val="28"/>
        </w:rPr>
        <w:lastRenderedPageBreak/>
        <w:t xml:space="preserve">выбросы углеводорода. При этом обратные реакции имеют импортные операции, сопровождающиеся интенсивными выбросами [3]. </w:t>
      </w:r>
    </w:p>
    <w:p w:rsidR="0052701D" w:rsidRDefault="00D40929">
      <w:pPr>
        <w:spacing w:after="5" w:line="271" w:lineRule="auto"/>
        <w:ind w:left="110" w:right="64" w:firstLine="711"/>
        <w:jc w:val="both"/>
      </w:pPr>
      <w:r>
        <w:rPr>
          <w:rFonts w:ascii="Times New Roman" w:eastAsia="Times New Roman" w:hAnsi="Times New Roman" w:cs="Times New Roman"/>
          <w:sz w:val="28"/>
        </w:rPr>
        <w:t>Возобновляемые источники энергии являются важным инструментом реализации экологической политики. Однако</w:t>
      </w:r>
      <w:r>
        <w:rPr>
          <w:rFonts w:ascii="Times New Roman" w:eastAsia="Times New Roman" w:hAnsi="Times New Roman" w:cs="Times New Roman"/>
          <w:sz w:val="28"/>
        </w:rPr>
        <w:t xml:space="preserve"> современные условия требуют больших вложений инвестиций в исследования для поиска новых источников и эффективного получения энергии на их основе. Только топ-20 стран вкладывают большие инвестиции в возобновляемые источники энергии, что позволяет давать хо</w:t>
      </w:r>
      <w:r>
        <w:rPr>
          <w:rFonts w:ascii="Times New Roman" w:eastAsia="Times New Roman" w:hAnsi="Times New Roman" w:cs="Times New Roman"/>
          <w:sz w:val="28"/>
        </w:rPr>
        <w:t xml:space="preserve">роший результат по получению чистой энергии. Однако другие страны не имеют возможности столько инвестировать, поэтому наблюдается разрыв в использовании альтернативных источников энергии [4]. </w:t>
      </w:r>
    </w:p>
    <w:p w:rsidR="0052701D" w:rsidRDefault="00D40929">
      <w:pPr>
        <w:spacing w:after="5" w:line="271" w:lineRule="auto"/>
        <w:ind w:left="110" w:right="64" w:firstLine="711"/>
        <w:jc w:val="both"/>
      </w:pPr>
      <w:r>
        <w:rPr>
          <w:rFonts w:ascii="Times New Roman" w:eastAsia="Times New Roman" w:hAnsi="Times New Roman" w:cs="Times New Roman"/>
          <w:sz w:val="28"/>
        </w:rPr>
        <w:t>В экологической политике должны учитываться три основных фактор</w:t>
      </w:r>
      <w:r>
        <w:rPr>
          <w:rFonts w:ascii="Times New Roman" w:eastAsia="Times New Roman" w:hAnsi="Times New Roman" w:cs="Times New Roman"/>
          <w:sz w:val="28"/>
        </w:rPr>
        <w:t>а, влияющих на окружающую среду такие как загрязнения воздуха, всемирное потепление, наводнение или таяние ледников в связи с потеплением. Для решения этих проблемных вопросов необходимо создание стандартов качества окружающей среды. Современная администра</w:t>
      </w:r>
      <w:r>
        <w:rPr>
          <w:rFonts w:ascii="Times New Roman" w:eastAsia="Times New Roman" w:hAnsi="Times New Roman" w:cs="Times New Roman"/>
          <w:sz w:val="28"/>
        </w:rPr>
        <w:t xml:space="preserve">тивная политика не всегда является достаточной для решения этих вопросов и обеспечения экономической эффективности экологических мероприятий, поэтому важны исследования в отношении эффективной экологической политики [5, 6]. </w:t>
      </w:r>
    </w:p>
    <w:p w:rsidR="0052701D" w:rsidRDefault="00D40929">
      <w:pPr>
        <w:spacing w:after="5" w:line="271" w:lineRule="auto"/>
        <w:ind w:left="110" w:right="64" w:firstLine="711"/>
        <w:jc w:val="both"/>
      </w:pPr>
      <w:r>
        <w:rPr>
          <w:rFonts w:ascii="Times New Roman" w:eastAsia="Times New Roman" w:hAnsi="Times New Roman" w:cs="Times New Roman"/>
          <w:sz w:val="28"/>
        </w:rPr>
        <w:t>Экологическая политика является</w:t>
      </w:r>
      <w:r>
        <w:rPr>
          <w:rFonts w:ascii="Times New Roman" w:eastAsia="Times New Roman" w:hAnsi="Times New Roman" w:cs="Times New Roman"/>
          <w:sz w:val="28"/>
        </w:rPr>
        <w:t xml:space="preserve"> инструментом реализации цели устойчивого развития ООН. Проводимые исследования позволяют сделать вывод о том, что рациональное природопользование должно быть основой в процессе планирования национального развития как долгосрочная программа </w:t>
      </w:r>
    </w:p>
    <w:p w:rsidR="0052701D" w:rsidRDefault="00D40929">
      <w:pPr>
        <w:spacing w:after="5" w:line="271" w:lineRule="auto"/>
        <w:ind w:left="110" w:right="64"/>
        <w:jc w:val="both"/>
      </w:pPr>
      <w:r>
        <w:rPr>
          <w:rFonts w:ascii="Times New Roman" w:eastAsia="Times New Roman" w:hAnsi="Times New Roman" w:cs="Times New Roman"/>
          <w:sz w:val="28"/>
        </w:rPr>
        <w:t xml:space="preserve">[7]. </w:t>
      </w:r>
    </w:p>
    <w:p w:rsidR="0052701D" w:rsidRDefault="00D40929">
      <w:pPr>
        <w:spacing w:after="5" w:line="271" w:lineRule="auto"/>
        <w:ind w:left="110" w:right="64" w:firstLine="711"/>
        <w:jc w:val="both"/>
      </w:pPr>
      <w:r>
        <w:rPr>
          <w:rFonts w:ascii="Times New Roman" w:eastAsia="Times New Roman" w:hAnsi="Times New Roman" w:cs="Times New Roman"/>
          <w:sz w:val="28"/>
        </w:rPr>
        <w:t>Концепция устойчивого развития закладывается многими странами. Однако финансирование этих проектов не всегда является повсеместным, особенно для развивающихся стран. Поэтому вопросы глобального характера потепления, выбросов углеводорода остаются достаточн</w:t>
      </w:r>
      <w:r>
        <w:rPr>
          <w:rFonts w:ascii="Times New Roman" w:eastAsia="Times New Roman" w:hAnsi="Times New Roman" w:cs="Times New Roman"/>
          <w:sz w:val="28"/>
        </w:rPr>
        <w:t xml:space="preserve">о жёсткими [8]. </w:t>
      </w:r>
    </w:p>
    <w:p w:rsidR="0052701D" w:rsidRDefault="00D40929">
      <w:pPr>
        <w:spacing w:after="5" w:line="271" w:lineRule="auto"/>
        <w:ind w:left="110" w:right="64" w:firstLine="711"/>
        <w:jc w:val="both"/>
      </w:pPr>
      <w:r>
        <w:rPr>
          <w:rFonts w:ascii="Times New Roman" w:eastAsia="Times New Roman" w:hAnsi="Times New Roman" w:cs="Times New Roman"/>
          <w:sz w:val="28"/>
        </w:rPr>
        <w:t>С другой стороны развитые страны являются капиталоемкими и энергоемкими, так как обязаны обеспечивать энергетикой промышленный сектор [9]. Одним из вопросов энергетического сектора является ликвидация атомных станций. При этом можно наблюд</w:t>
      </w:r>
      <w:r>
        <w:rPr>
          <w:rFonts w:ascii="Times New Roman" w:eastAsia="Times New Roman" w:hAnsi="Times New Roman" w:cs="Times New Roman"/>
          <w:sz w:val="28"/>
        </w:rPr>
        <w:t>ать различные подходы стран к устранению и развитию атомных электростанций. Выше обозначенные вопросы являются актуальными для развития и совершенствования экологической политики на уровне конкретной страны. Рассматривая особенности экологической политики,</w:t>
      </w:r>
      <w:r>
        <w:rPr>
          <w:rFonts w:ascii="Times New Roman" w:eastAsia="Times New Roman" w:hAnsi="Times New Roman" w:cs="Times New Roman"/>
          <w:sz w:val="28"/>
        </w:rPr>
        <w:t xml:space="preserve"> реализуемой в различных странах, необходимо проводить сравнительный анализ с помощью системы показателей оценки экономической эффективности [10]. Рассмотрим существующие подходы и предложим свой набор показателей, позволяющий, по нашему мнению, осуществит</w:t>
      </w:r>
      <w:r>
        <w:rPr>
          <w:rFonts w:ascii="Times New Roman" w:eastAsia="Times New Roman" w:hAnsi="Times New Roman" w:cs="Times New Roman"/>
          <w:sz w:val="28"/>
        </w:rPr>
        <w:t xml:space="preserve">ь репрезентативную оценку экологической политики страны. </w:t>
      </w:r>
    </w:p>
    <w:p w:rsidR="0052701D" w:rsidRDefault="00D40929">
      <w:pPr>
        <w:spacing w:after="3"/>
        <w:ind w:left="10" w:right="43" w:hanging="10"/>
        <w:jc w:val="right"/>
      </w:pPr>
      <w:r>
        <w:rPr>
          <w:rFonts w:ascii="Times New Roman" w:eastAsia="Times New Roman" w:hAnsi="Times New Roman" w:cs="Times New Roman"/>
          <w:sz w:val="28"/>
        </w:rPr>
        <w:t xml:space="preserve">Индекс экологической эффективности (EPI – Environmental Performance </w:t>
      </w:r>
    </w:p>
    <w:p w:rsidR="0052701D" w:rsidRDefault="00D40929">
      <w:pPr>
        <w:spacing w:after="5" w:line="271" w:lineRule="auto"/>
        <w:ind w:left="110" w:right="64"/>
        <w:jc w:val="both"/>
      </w:pPr>
      <w:r>
        <w:rPr>
          <w:rFonts w:ascii="Times New Roman" w:eastAsia="Times New Roman" w:hAnsi="Times New Roman" w:cs="Times New Roman"/>
          <w:sz w:val="28"/>
        </w:rPr>
        <w:lastRenderedPageBreak/>
        <w:t>Index), который рассчитывается «Центром экологического права и политики Йельского и Колумбийского университетов» с 2006 г., являе</w:t>
      </w:r>
      <w:r>
        <w:rPr>
          <w:rFonts w:ascii="Times New Roman" w:eastAsia="Times New Roman" w:hAnsi="Times New Roman" w:cs="Times New Roman"/>
          <w:sz w:val="28"/>
        </w:rPr>
        <w:t>тся одним из самых применяемых методов оценки экологической политики. Он пришел на смену индексу экологической устойчивости. Этот метод предполагает использование рейтингового индексного метода. Интегральный показатель экономической эффективности экологиче</w:t>
      </w:r>
      <w:r>
        <w:rPr>
          <w:rFonts w:ascii="Times New Roman" w:eastAsia="Times New Roman" w:hAnsi="Times New Roman" w:cs="Times New Roman"/>
          <w:sz w:val="28"/>
        </w:rPr>
        <w:t>ской политики состоит из двух основных критериев. Первый критерий экологического здоровья – это коннотация через показатели качества воздуха, воды и санитарии, наличия тяжёлых металлов [5]. Второй критерий отражает жизнеспособность экосистем через показате</w:t>
      </w:r>
      <w:r>
        <w:rPr>
          <w:rFonts w:ascii="Times New Roman" w:eastAsia="Times New Roman" w:hAnsi="Times New Roman" w:cs="Times New Roman"/>
          <w:sz w:val="28"/>
        </w:rPr>
        <w:t xml:space="preserve">ли биоразнообразия и среды обитания, лесопосадки, рыболовства, климата, загрязнения воздуха, водных ресурсов, сельского хозяйства. Интеграция двух критериев позволяет получить объективную оценку экономической эффективности этой политики [4]. </w:t>
      </w:r>
    </w:p>
    <w:p w:rsidR="0052701D" w:rsidRDefault="00D40929">
      <w:pPr>
        <w:spacing w:after="5" w:line="271" w:lineRule="auto"/>
        <w:ind w:left="110" w:right="64" w:firstLine="711"/>
        <w:jc w:val="both"/>
      </w:pPr>
      <w:r>
        <w:rPr>
          <w:rFonts w:ascii="Times New Roman" w:eastAsia="Times New Roman" w:hAnsi="Times New Roman" w:cs="Times New Roman"/>
          <w:sz w:val="28"/>
        </w:rPr>
        <w:t>С применением</w:t>
      </w:r>
      <w:r>
        <w:rPr>
          <w:rFonts w:ascii="Times New Roman" w:eastAsia="Times New Roman" w:hAnsi="Times New Roman" w:cs="Times New Roman"/>
          <w:sz w:val="28"/>
        </w:rPr>
        <w:t xml:space="preserve"> метода табличного анализа выделены и обобщены подходы к формированию экологической политики страны. При использовании методов сравнения выделены основные тренды экологических политик стран. </w:t>
      </w:r>
    </w:p>
    <w:p w:rsidR="0052701D" w:rsidRDefault="00D40929">
      <w:pPr>
        <w:spacing w:after="0"/>
        <w:ind w:left="821"/>
      </w:pPr>
      <w:r>
        <w:rPr>
          <w:rFonts w:ascii="Times New Roman" w:eastAsia="Times New Roman" w:hAnsi="Times New Roman" w:cs="Times New Roman"/>
          <w:sz w:val="28"/>
        </w:rPr>
        <w:t xml:space="preserve"> </w:t>
      </w:r>
    </w:p>
    <w:p w:rsidR="0052701D" w:rsidRDefault="00D40929">
      <w:pPr>
        <w:spacing w:after="16" w:line="248" w:lineRule="auto"/>
        <w:ind w:left="819" w:right="710" w:hanging="10"/>
        <w:jc w:val="center"/>
      </w:pPr>
      <w:r>
        <w:rPr>
          <w:rFonts w:ascii="Times New Roman" w:eastAsia="Times New Roman" w:hAnsi="Times New Roman" w:cs="Times New Roman"/>
          <w:b/>
          <w:sz w:val="24"/>
        </w:rPr>
        <w:t xml:space="preserve">ИСТОЧНИКИ </w:t>
      </w:r>
    </w:p>
    <w:p w:rsidR="0052701D" w:rsidRDefault="00D40929">
      <w:pPr>
        <w:spacing w:after="18"/>
        <w:ind w:left="165"/>
        <w:jc w:val="center"/>
      </w:pPr>
      <w:r>
        <w:rPr>
          <w:rFonts w:ascii="Times New Roman" w:eastAsia="Times New Roman" w:hAnsi="Times New Roman" w:cs="Times New Roman"/>
          <w:b/>
          <w:sz w:val="24"/>
        </w:rPr>
        <w:t xml:space="preserve"> </w:t>
      </w:r>
    </w:p>
    <w:p w:rsidR="0052701D" w:rsidRDefault="00D40929">
      <w:pPr>
        <w:spacing w:after="29" w:line="248" w:lineRule="auto"/>
        <w:ind w:left="110" w:right="14" w:firstLine="428"/>
        <w:jc w:val="both"/>
      </w:pPr>
      <w:r>
        <w:rPr>
          <w:rFonts w:ascii="Times New Roman" w:eastAsia="Times New Roman" w:hAnsi="Times New Roman" w:cs="Times New Roman"/>
          <w:sz w:val="24"/>
        </w:rPr>
        <w:t>1.</w:t>
      </w:r>
      <w:r>
        <w:rPr>
          <w:rFonts w:ascii="Arial" w:eastAsia="Arial" w:hAnsi="Arial" w:cs="Arial"/>
          <w:sz w:val="24"/>
        </w:rPr>
        <w:t xml:space="preserve"> </w:t>
      </w:r>
      <w:r>
        <w:rPr>
          <w:rFonts w:ascii="Times New Roman" w:eastAsia="Times New Roman" w:hAnsi="Times New Roman" w:cs="Times New Roman"/>
          <w:sz w:val="24"/>
        </w:rPr>
        <w:t>Ахметова, И. Г. Цифровизация энергосектора: ге</w:t>
      </w:r>
      <w:r>
        <w:rPr>
          <w:rFonts w:ascii="Times New Roman" w:eastAsia="Times New Roman" w:hAnsi="Times New Roman" w:cs="Times New Roman"/>
          <w:sz w:val="24"/>
        </w:rPr>
        <w:t>незис, содержание, составляющие, методика оценки / И. Г. Ахметова, Ю. С. Валеева, М. В. Калинина // Экономика промышленности. 2022. Т. 15. № 3. С. 308-322. – DOI 10.17073/2072-1633-2022-3-308-322. 2.</w:t>
      </w:r>
      <w:r>
        <w:rPr>
          <w:rFonts w:ascii="Arial" w:eastAsia="Arial" w:hAnsi="Arial" w:cs="Arial"/>
          <w:sz w:val="24"/>
        </w:rPr>
        <w:t xml:space="preserve"> </w:t>
      </w:r>
      <w:r>
        <w:rPr>
          <w:rFonts w:ascii="Times New Roman" w:eastAsia="Times New Roman" w:hAnsi="Times New Roman" w:cs="Times New Roman"/>
          <w:sz w:val="24"/>
        </w:rPr>
        <w:t>Мубаракшина, Р. Р. Аналитика развития рынка электротранс</w:t>
      </w:r>
      <w:r>
        <w:rPr>
          <w:rFonts w:ascii="Times New Roman" w:eastAsia="Times New Roman" w:hAnsi="Times New Roman" w:cs="Times New Roman"/>
          <w:sz w:val="24"/>
        </w:rPr>
        <w:t>порта в России / Р. Р. Мубаракшина, Ю. С. Валеева // Вестник Поволжского государственного технологического университета. Серия: Экономика и управление. – 2022. – № 1(53). – С. 57-65. – DOI 10.25686/2306-2800.2022.1.57. – EDN MJWIJM. 3.</w:t>
      </w:r>
      <w:r>
        <w:rPr>
          <w:rFonts w:ascii="Arial" w:eastAsia="Arial" w:hAnsi="Arial" w:cs="Arial"/>
          <w:sz w:val="24"/>
        </w:rPr>
        <w:t xml:space="preserve"> </w:t>
      </w:r>
      <w:r>
        <w:rPr>
          <w:rFonts w:ascii="Times New Roman" w:eastAsia="Times New Roman" w:hAnsi="Times New Roman" w:cs="Times New Roman"/>
          <w:sz w:val="24"/>
        </w:rPr>
        <w:t>Стимулирование разви</w:t>
      </w:r>
      <w:r>
        <w:rPr>
          <w:rFonts w:ascii="Times New Roman" w:eastAsia="Times New Roman" w:hAnsi="Times New Roman" w:cs="Times New Roman"/>
          <w:sz w:val="24"/>
        </w:rPr>
        <w:t xml:space="preserve">тия электротранспорта как инструмент развития территории / Ю. С. Валеева, М. В. Калинина, Т. Г. Зорина, И. Г. Ахметова // Вестник Казанского государственного энергетического университета. – 2022. – Т. 14. – № 1(53). – С. 155-172. – </w:t>
      </w:r>
    </w:p>
    <w:p w:rsidR="0052701D" w:rsidRDefault="00D40929">
      <w:pPr>
        <w:spacing w:after="29" w:line="248" w:lineRule="auto"/>
        <w:ind w:left="110" w:right="14"/>
        <w:jc w:val="both"/>
      </w:pPr>
      <w:r>
        <w:rPr>
          <w:rFonts w:ascii="Times New Roman" w:eastAsia="Times New Roman" w:hAnsi="Times New Roman" w:cs="Times New Roman"/>
          <w:sz w:val="24"/>
        </w:rPr>
        <w:t xml:space="preserve">EDN UCKMFG. </w:t>
      </w:r>
    </w:p>
    <w:p w:rsidR="0052701D" w:rsidRDefault="00D40929">
      <w:pPr>
        <w:numPr>
          <w:ilvl w:val="0"/>
          <w:numId w:val="162"/>
        </w:numPr>
        <w:spacing w:after="5"/>
        <w:ind w:right="14" w:firstLine="428"/>
      </w:pPr>
      <w:r>
        <w:rPr>
          <w:rFonts w:ascii="Times New Roman" w:eastAsia="Times New Roman" w:hAnsi="Times New Roman" w:cs="Times New Roman"/>
          <w:sz w:val="24"/>
        </w:rPr>
        <w:t xml:space="preserve">Чиркова, И. Г. Анализ занятости в энергетическом секторе экономики региона / И. Г. </w:t>
      </w:r>
    </w:p>
    <w:p w:rsidR="0052701D" w:rsidRDefault="00D40929">
      <w:pPr>
        <w:spacing w:after="29" w:line="248" w:lineRule="auto"/>
        <w:ind w:left="110" w:right="14"/>
        <w:jc w:val="both"/>
      </w:pPr>
      <w:r>
        <w:rPr>
          <w:rFonts w:ascii="Times New Roman" w:eastAsia="Times New Roman" w:hAnsi="Times New Roman" w:cs="Times New Roman"/>
          <w:sz w:val="24"/>
        </w:rPr>
        <w:t xml:space="preserve">Чиркова, К. М. Бережной // Вестник Казанского государственного энергетического университета. – 2022. – Т. 14. – № 2(54). – С. 134-141. – EDN QYCLGC. </w:t>
      </w:r>
    </w:p>
    <w:p w:rsidR="0052701D" w:rsidRDefault="00D40929">
      <w:pPr>
        <w:numPr>
          <w:ilvl w:val="0"/>
          <w:numId w:val="162"/>
        </w:numPr>
        <w:spacing w:after="29" w:line="248" w:lineRule="auto"/>
        <w:ind w:right="14" w:firstLine="428"/>
      </w:pPr>
      <w:r>
        <w:rPr>
          <w:rFonts w:ascii="Times New Roman" w:eastAsia="Times New Roman" w:hAnsi="Times New Roman" w:cs="Times New Roman"/>
          <w:sz w:val="24"/>
        </w:rPr>
        <w:t>Сиразева А.Л., Зарипов</w:t>
      </w:r>
      <w:r>
        <w:rPr>
          <w:rFonts w:ascii="Times New Roman" w:eastAsia="Times New Roman" w:hAnsi="Times New Roman" w:cs="Times New Roman"/>
          <w:sz w:val="24"/>
        </w:rPr>
        <w:t xml:space="preserve">а Р.С. Экологическая эффективность производства из различных источников сырья / Бутаковские чтения. Сборник материалов I Всероссийской с международным участием молодежной конференции. Томск, 2021. С. 404-408.  </w:t>
      </w:r>
    </w:p>
    <w:p w:rsidR="0052701D" w:rsidRDefault="00D40929">
      <w:pPr>
        <w:numPr>
          <w:ilvl w:val="0"/>
          <w:numId w:val="162"/>
        </w:numPr>
        <w:spacing w:after="4" w:line="245" w:lineRule="auto"/>
        <w:ind w:right="14" w:firstLine="428"/>
      </w:pPr>
      <w:r>
        <w:rPr>
          <w:rFonts w:ascii="Times New Roman" w:eastAsia="Times New Roman" w:hAnsi="Times New Roman" w:cs="Times New Roman"/>
          <w:sz w:val="24"/>
        </w:rPr>
        <w:t>Шарафутдинова, Н. С. Подходы к совершенствованию производственного процесса на предприятии / Н. С. Шарафутдинова, Ю. С. Валеева // Научное обозрение. – 2016. – № 24. – С. 276-278. – EDN XQVKHR. 7. Валеева, Ю. С. Региональная инвестиционная политика в Росси</w:t>
      </w:r>
      <w:r>
        <w:rPr>
          <w:rFonts w:ascii="Times New Roman" w:eastAsia="Times New Roman" w:hAnsi="Times New Roman" w:cs="Times New Roman"/>
          <w:sz w:val="24"/>
        </w:rPr>
        <w:t xml:space="preserve">йской Федерации / Ю. </w:t>
      </w:r>
    </w:p>
    <w:p w:rsidR="0052701D" w:rsidRDefault="00D40929">
      <w:pPr>
        <w:spacing w:after="29" w:line="248" w:lineRule="auto"/>
        <w:ind w:left="110" w:right="14"/>
        <w:jc w:val="both"/>
      </w:pPr>
      <w:r>
        <w:rPr>
          <w:rFonts w:ascii="Times New Roman" w:eastAsia="Times New Roman" w:hAnsi="Times New Roman" w:cs="Times New Roman"/>
          <w:sz w:val="24"/>
        </w:rPr>
        <w:t xml:space="preserve">С. Валеева, Г. Р. Таишева, Н. С. Шарафутдинова // Региональная экономика: теория и практика. – 2009. – № 29. – С. 9-14. – EDN KVGFVB. </w:t>
      </w:r>
    </w:p>
    <w:p w:rsidR="0052701D" w:rsidRDefault="00D40929">
      <w:pPr>
        <w:numPr>
          <w:ilvl w:val="0"/>
          <w:numId w:val="163"/>
        </w:numPr>
        <w:spacing w:after="29" w:line="248" w:lineRule="auto"/>
        <w:ind w:right="14" w:firstLine="567"/>
        <w:jc w:val="both"/>
      </w:pPr>
      <w:r>
        <w:rPr>
          <w:rFonts w:ascii="Times New Roman" w:eastAsia="Times New Roman" w:hAnsi="Times New Roman" w:cs="Times New Roman"/>
          <w:sz w:val="24"/>
        </w:rPr>
        <w:t>Исаева, Н. С. Формирование регионального механизма эффективного управления повышением конкурентоспо</w:t>
      </w:r>
      <w:r>
        <w:rPr>
          <w:rFonts w:ascii="Times New Roman" w:eastAsia="Times New Roman" w:hAnsi="Times New Roman" w:cs="Times New Roman"/>
          <w:sz w:val="24"/>
        </w:rPr>
        <w:t xml:space="preserve">собного потенциала предприятий (на примере Республики Татарстан) / Н. С. Исаева, Ю. С. Валеева // Региональная экономика: теория и практика. – 2007. – № 16. – С. 16-21. – EDN IBMKNP. </w:t>
      </w:r>
    </w:p>
    <w:p w:rsidR="0052701D" w:rsidRDefault="00D40929">
      <w:pPr>
        <w:numPr>
          <w:ilvl w:val="0"/>
          <w:numId w:val="163"/>
        </w:numPr>
        <w:spacing w:after="29" w:line="248" w:lineRule="auto"/>
        <w:ind w:right="14" w:firstLine="567"/>
        <w:jc w:val="both"/>
      </w:pPr>
      <w:r>
        <w:rPr>
          <w:rFonts w:ascii="Times New Roman" w:eastAsia="Times New Roman" w:hAnsi="Times New Roman" w:cs="Times New Roman"/>
          <w:sz w:val="24"/>
        </w:rPr>
        <w:lastRenderedPageBreak/>
        <w:t>Шарафутдинова, Н. С. Анализ ключевых факторов успеха организации / Н. С.</w:t>
      </w:r>
      <w:r>
        <w:rPr>
          <w:rFonts w:ascii="Times New Roman" w:eastAsia="Times New Roman" w:hAnsi="Times New Roman" w:cs="Times New Roman"/>
          <w:sz w:val="24"/>
        </w:rPr>
        <w:t xml:space="preserve"> Шарафутдинова, Ю. С. Валеева // Вестник Казанского государственного финансовоэкономического института. – 2009. – № 1(14). – С. 13-16. – EDN MUOFAD. </w:t>
      </w:r>
    </w:p>
    <w:p w:rsidR="0052701D" w:rsidRDefault="00D40929">
      <w:pPr>
        <w:numPr>
          <w:ilvl w:val="0"/>
          <w:numId w:val="163"/>
        </w:numPr>
        <w:spacing w:after="29" w:line="248" w:lineRule="auto"/>
        <w:ind w:right="14" w:firstLine="567"/>
        <w:jc w:val="both"/>
      </w:pPr>
      <w:r>
        <w:rPr>
          <w:rFonts w:ascii="Times New Roman" w:eastAsia="Times New Roman" w:hAnsi="Times New Roman" w:cs="Times New Roman"/>
          <w:sz w:val="24"/>
        </w:rPr>
        <w:t>Валеева, Ю. С. Сравнительный анализ методик оценки инновационного потенциала региона / Ю. С. Валеева, Е. С</w:t>
      </w:r>
      <w:r>
        <w:rPr>
          <w:rFonts w:ascii="Times New Roman" w:eastAsia="Times New Roman" w:hAnsi="Times New Roman" w:cs="Times New Roman"/>
          <w:sz w:val="24"/>
        </w:rPr>
        <w:t xml:space="preserve">. Макарова // Научное обозрение. – 2016. – № 13. – С. 148-151. </w:t>
      </w:r>
    </w:p>
    <w:p w:rsidR="0052701D" w:rsidRDefault="00D40929">
      <w:pPr>
        <w:spacing w:after="61" w:line="248" w:lineRule="auto"/>
        <w:ind w:left="9" w:right="14"/>
        <w:jc w:val="both"/>
      </w:pPr>
      <w:r>
        <w:rPr>
          <w:rFonts w:ascii="Times New Roman" w:eastAsia="Times New Roman" w:hAnsi="Times New Roman" w:cs="Times New Roman"/>
          <w:sz w:val="24"/>
        </w:rPr>
        <w:t xml:space="preserve">УДК 33-332.1-330.15 </w:t>
      </w:r>
    </w:p>
    <w:p w:rsidR="0052701D" w:rsidRDefault="00D40929">
      <w:pPr>
        <w:spacing w:after="16"/>
        <w:ind w:left="58"/>
      </w:pPr>
      <w:r>
        <w:rPr>
          <w:rFonts w:ascii="Times New Roman" w:eastAsia="Times New Roman" w:hAnsi="Times New Roman" w:cs="Times New Roman"/>
          <w:sz w:val="28"/>
        </w:rPr>
        <w:t xml:space="preserve"> </w:t>
      </w:r>
    </w:p>
    <w:p w:rsidR="0052701D" w:rsidRDefault="00D40929">
      <w:pPr>
        <w:pStyle w:val="1"/>
        <w:ind w:left="173" w:right="110"/>
      </w:pPr>
      <w:r>
        <w:t xml:space="preserve">МЕТОДОЛОГИЯ ИССЛЕДОВАНИЯ ЭНЕРГЕТИЧЕСКОЙ </w:t>
      </w:r>
    </w:p>
    <w:p w:rsidR="0052701D" w:rsidRDefault="00D40929">
      <w:pPr>
        <w:spacing w:after="5" w:line="271" w:lineRule="auto"/>
        <w:ind w:left="173" w:right="110" w:hanging="10"/>
        <w:jc w:val="center"/>
      </w:pPr>
      <w:r>
        <w:rPr>
          <w:rFonts w:ascii="Times New Roman" w:eastAsia="Times New Roman" w:hAnsi="Times New Roman" w:cs="Times New Roman"/>
          <w:b/>
          <w:sz w:val="28"/>
        </w:rPr>
        <w:t xml:space="preserve">БЕЗОПАСНОСТИ ТЕРРИТОРИИ </w:t>
      </w:r>
    </w:p>
    <w:p w:rsidR="0052701D" w:rsidRDefault="00D40929">
      <w:pPr>
        <w:spacing w:after="49"/>
        <w:ind w:left="126"/>
        <w:jc w:val="center"/>
      </w:pPr>
      <w:r>
        <w:rPr>
          <w:rFonts w:ascii="Times New Roman" w:eastAsia="Times New Roman" w:hAnsi="Times New Roman" w:cs="Times New Roman"/>
          <w:b/>
          <w:sz w:val="28"/>
        </w:rPr>
        <w:t xml:space="preserve"> </w:t>
      </w:r>
    </w:p>
    <w:p w:rsidR="0052701D" w:rsidRDefault="00D40929">
      <w:pPr>
        <w:spacing w:after="140" w:line="248" w:lineRule="auto"/>
        <w:ind w:left="713" w:right="654" w:hanging="5"/>
        <w:jc w:val="center"/>
      </w:pPr>
      <w:r>
        <w:rPr>
          <w:rFonts w:ascii="Times New Roman" w:eastAsia="Times New Roman" w:hAnsi="Times New Roman" w:cs="Times New Roman"/>
          <w:sz w:val="24"/>
          <w:vertAlign w:val="superscript"/>
        </w:rPr>
        <w:t>1</w:t>
      </w:r>
      <w:r>
        <w:rPr>
          <w:rFonts w:ascii="Times New Roman" w:eastAsia="Times New Roman" w:hAnsi="Times New Roman" w:cs="Times New Roman"/>
          <w:sz w:val="24"/>
        </w:rPr>
        <w:t xml:space="preserve">Шараф Тимур Рустэмович, </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xml:space="preserve">Салихова Регина Рафаэловна </w:t>
      </w:r>
    </w:p>
    <w:p w:rsidR="0052701D" w:rsidRDefault="00D40929">
      <w:pPr>
        <w:spacing w:after="14" w:line="336" w:lineRule="auto"/>
        <w:ind w:left="2015" w:right="1182" w:hanging="5"/>
        <w:jc w:val="center"/>
      </w:pPr>
      <w:r>
        <w:rPr>
          <w:rFonts w:ascii="Times New Roman" w:eastAsia="Times New Roman" w:hAnsi="Times New Roman" w:cs="Times New Roman"/>
          <w:sz w:val="24"/>
          <w:vertAlign w:val="superscript"/>
        </w:rPr>
        <w:t>1</w:t>
      </w:r>
      <w:r>
        <w:rPr>
          <w:rFonts w:ascii="Times New Roman" w:eastAsia="Times New Roman" w:hAnsi="Times New Roman" w:cs="Times New Roman"/>
          <w:sz w:val="24"/>
        </w:rPr>
        <w:t xml:space="preserve">УУ «ТИСБИ», </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xml:space="preserve">ФГБОУ «КГЭУ», г. Казань </w:t>
      </w:r>
      <w:r>
        <w:rPr>
          <w:rFonts w:ascii="Times New Roman" w:eastAsia="Times New Roman" w:hAnsi="Times New Roman" w:cs="Times New Roman"/>
          <w:color w:val="0563C1"/>
          <w:sz w:val="24"/>
          <w:u w:val="single" w:color="0563C1"/>
        </w:rPr>
        <w:t>sharaftimur@mail.ru</w:t>
      </w:r>
      <w:r>
        <w:rPr>
          <w:rFonts w:ascii="Times New Roman" w:eastAsia="Times New Roman" w:hAnsi="Times New Roman" w:cs="Times New Roman"/>
          <w:sz w:val="24"/>
        </w:rPr>
        <w:t xml:space="preserve"> </w:t>
      </w:r>
    </w:p>
    <w:p w:rsidR="0052701D" w:rsidRDefault="00D40929">
      <w:pPr>
        <w:spacing w:after="69"/>
        <w:ind w:left="837"/>
        <w:jc w:val="center"/>
      </w:pPr>
      <w:r>
        <w:rPr>
          <w:rFonts w:ascii="Times New Roman" w:eastAsia="Times New Roman" w:hAnsi="Times New Roman" w:cs="Times New Roman"/>
          <w:sz w:val="28"/>
        </w:rPr>
        <w:t xml:space="preserve"> </w:t>
      </w:r>
    </w:p>
    <w:p w:rsidR="0052701D" w:rsidRDefault="00D40929">
      <w:pPr>
        <w:spacing w:after="29" w:line="314" w:lineRule="auto"/>
        <w:ind w:left="9" w:firstLine="711"/>
        <w:jc w:val="both"/>
      </w:pPr>
      <w:r>
        <w:rPr>
          <w:rFonts w:ascii="Times New Roman" w:eastAsia="Times New Roman" w:hAnsi="Times New Roman" w:cs="Times New Roman"/>
          <w:b/>
          <w:i/>
          <w:sz w:val="24"/>
        </w:rPr>
        <w:t>Аннотация:</w:t>
      </w:r>
      <w:r>
        <w:rPr>
          <w:rFonts w:ascii="Times New Roman" w:eastAsia="Times New Roman" w:hAnsi="Times New Roman" w:cs="Times New Roman"/>
          <w:i/>
          <w:sz w:val="24"/>
        </w:rPr>
        <w:t xml:space="preserve"> Методы оценки энергетической безопасности во многом зависят от трактовки и содержания понятия «энергетическая безопасность». Традиционную концепцию энергетической безопасности, зародившуюся во время кризиса 1973 года, необ</w:t>
      </w:r>
      <w:r>
        <w:rPr>
          <w:rFonts w:ascii="Times New Roman" w:eastAsia="Times New Roman" w:hAnsi="Times New Roman" w:cs="Times New Roman"/>
          <w:i/>
          <w:sz w:val="24"/>
        </w:rPr>
        <w:t>ходимо расширить, включив в нее защиту всей цепочки энергоснабжения и инфраструктуры. При этом автор выделяет некоторые принципы энергетической безопасности, с которыми страны должны считаться для обеспечения энергетической безопасности: диверсификация пос</w:t>
      </w:r>
      <w:r>
        <w:rPr>
          <w:rFonts w:ascii="Times New Roman" w:eastAsia="Times New Roman" w:hAnsi="Times New Roman" w:cs="Times New Roman"/>
          <w:i/>
          <w:sz w:val="24"/>
        </w:rPr>
        <w:t>тавок, устойчивость, признание реальности интеграции, важность информации для поддержки хорошо функционирующих рынков. Новая концепция энергетической безопасности должна включать два важнейших аспекта: признание глобализации системы энергетической безопасн</w:t>
      </w:r>
      <w:r>
        <w:rPr>
          <w:rFonts w:ascii="Times New Roman" w:eastAsia="Times New Roman" w:hAnsi="Times New Roman" w:cs="Times New Roman"/>
          <w:i/>
          <w:sz w:val="24"/>
        </w:rPr>
        <w:t xml:space="preserve">ости и признание того факта, что вся цепочка поставок энергии нуждается в защите. </w:t>
      </w:r>
    </w:p>
    <w:p w:rsidR="0052701D" w:rsidRDefault="00D40929">
      <w:pPr>
        <w:spacing w:after="62" w:line="248" w:lineRule="auto"/>
        <w:ind w:left="769"/>
        <w:jc w:val="both"/>
      </w:pP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 xml:space="preserve"> оценка, метод, энергетика, политика, проекты </w:t>
      </w:r>
    </w:p>
    <w:p w:rsidR="0052701D" w:rsidRDefault="00D40929">
      <w:pPr>
        <w:spacing w:after="17"/>
        <w:ind w:left="769"/>
      </w:pPr>
      <w:r>
        <w:rPr>
          <w:rFonts w:ascii="Times New Roman" w:eastAsia="Times New Roman" w:hAnsi="Times New Roman" w:cs="Times New Roman"/>
          <w:sz w:val="28"/>
        </w:rPr>
        <w:t xml:space="preserve"> </w:t>
      </w:r>
    </w:p>
    <w:p w:rsidR="0052701D" w:rsidRDefault="00D40929">
      <w:pPr>
        <w:spacing w:after="5" w:line="271" w:lineRule="auto"/>
        <w:ind w:left="1321" w:firstLine="9"/>
      </w:pPr>
      <w:r>
        <w:rPr>
          <w:rFonts w:ascii="Times New Roman" w:eastAsia="Times New Roman" w:hAnsi="Times New Roman" w:cs="Times New Roman"/>
          <w:b/>
          <w:sz w:val="28"/>
        </w:rPr>
        <w:t xml:space="preserve">METHODS FOR ASSESSING THE ENERGY SECURITY OF A TERRITORY </w:t>
      </w:r>
    </w:p>
    <w:p w:rsidR="0052701D" w:rsidRDefault="00D40929">
      <w:pPr>
        <w:spacing w:after="8"/>
        <w:ind w:left="837"/>
        <w:jc w:val="center"/>
      </w:pPr>
      <w:r>
        <w:rPr>
          <w:rFonts w:ascii="Times New Roman" w:eastAsia="Times New Roman" w:hAnsi="Times New Roman" w:cs="Times New Roman"/>
          <w:b/>
          <w:sz w:val="28"/>
        </w:rPr>
        <w:t xml:space="preserve"> </w:t>
      </w:r>
    </w:p>
    <w:p w:rsidR="0052701D" w:rsidRDefault="00D40929">
      <w:pPr>
        <w:spacing w:after="91" w:line="248" w:lineRule="auto"/>
        <w:ind w:left="2391" w:right="14"/>
        <w:jc w:val="both"/>
      </w:pPr>
      <w:r>
        <w:rPr>
          <w:rFonts w:ascii="Times New Roman" w:eastAsia="Times New Roman" w:hAnsi="Times New Roman" w:cs="Times New Roman"/>
          <w:sz w:val="24"/>
          <w:vertAlign w:val="superscript"/>
        </w:rPr>
        <w:t>1</w:t>
      </w:r>
      <w:r>
        <w:rPr>
          <w:rFonts w:ascii="Times New Roman" w:eastAsia="Times New Roman" w:hAnsi="Times New Roman" w:cs="Times New Roman"/>
          <w:sz w:val="24"/>
        </w:rPr>
        <w:t xml:space="preserve">Sharaf Timur Rustemovich, </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Salikhova Regina Rafa</w:t>
      </w:r>
      <w:r>
        <w:rPr>
          <w:rFonts w:ascii="Times New Roman" w:eastAsia="Times New Roman" w:hAnsi="Times New Roman" w:cs="Times New Roman"/>
          <w:sz w:val="24"/>
        </w:rPr>
        <w:t xml:space="preserve">elovna </w:t>
      </w:r>
    </w:p>
    <w:p w:rsidR="0052701D" w:rsidRDefault="00D40929">
      <w:pPr>
        <w:spacing w:after="14" w:line="340" w:lineRule="auto"/>
        <w:ind w:left="3068" w:right="2240" w:hanging="5"/>
        <w:jc w:val="center"/>
      </w:pPr>
      <w:r>
        <w:rPr>
          <w:rFonts w:ascii="Times New Roman" w:eastAsia="Times New Roman" w:hAnsi="Times New Roman" w:cs="Times New Roman"/>
          <w:sz w:val="24"/>
          <w:vertAlign w:val="superscript"/>
        </w:rPr>
        <w:t>1</w:t>
      </w:r>
      <w:r>
        <w:rPr>
          <w:rFonts w:ascii="Times New Roman" w:eastAsia="Times New Roman" w:hAnsi="Times New Roman" w:cs="Times New Roman"/>
          <w:sz w:val="24"/>
        </w:rPr>
        <w:t xml:space="preserve">TISUI, </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xml:space="preserve">KSPEU, Kazan </w:t>
      </w:r>
      <w:r>
        <w:rPr>
          <w:rFonts w:ascii="Times New Roman" w:eastAsia="Times New Roman" w:hAnsi="Times New Roman" w:cs="Times New Roman"/>
          <w:color w:val="0563C1"/>
          <w:sz w:val="24"/>
          <w:u w:val="single" w:color="0563C1"/>
        </w:rPr>
        <w:t>sharaftimur@mail.ru</w:t>
      </w:r>
      <w:r>
        <w:rPr>
          <w:rFonts w:ascii="Times New Roman" w:eastAsia="Times New Roman" w:hAnsi="Times New Roman" w:cs="Times New Roman"/>
          <w:sz w:val="24"/>
        </w:rPr>
        <w:t xml:space="preserve"> </w:t>
      </w:r>
    </w:p>
    <w:p w:rsidR="0052701D" w:rsidRDefault="00D40929">
      <w:pPr>
        <w:spacing w:after="21"/>
        <w:ind w:left="837"/>
        <w:jc w:val="center"/>
      </w:pPr>
      <w:r>
        <w:rPr>
          <w:rFonts w:ascii="Times New Roman" w:eastAsia="Times New Roman" w:hAnsi="Times New Roman" w:cs="Times New Roman"/>
          <w:sz w:val="28"/>
        </w:rPr>
        <w:t xml:space="preserve"> </w:t>
      </w:r>
    </w:p>
    <w:p w:rsidR="0052701D" w:rsidRDefault="00D40929">
      <w:pPr>
        <w:spacing w:after="0" w:line="311" w:lineRule="auto"/>
        <w:ind w:left="9" w:firstLine="711"/>
        <w:jc w:val="both"/>
      </w:pPr>
      <w:r>
        <w:rPr>
          <w:rFonts w:ascii="Times New Roman" w:eastAsia="Times New Roman" w:hAnsi="Times New Roman" w:cs="Times New Roman"/>
          <w:b/>
          <w:i/>
          <w:sz w:val="24"/>
        </w:rPr>
        <w:t>Abstract:</w:t>
      </w:r>
      <w:r>
        <w:rPr>
          <w:rFonts w:ascii="Times New Roman" w:eastAsia="Times New Roman" w:hAnsi="Times New Roman" w:cs="Times New Roman"/>
          <w:i/>
          <w:sz w:val="24"/>
        </w:rPr>
        <w:t xml:space="preserve"> </w:t>
      </w:r>
      <w:r>
        <w:rPr>
          <w:rFonts w:ascii="Times New Roman" w:eastAsia="Times New Roman" w:hAnsi="Times New Roman" w:cs="Times New Roman"/>
          <w:i/>
          <w:sz w:val="24"/>
        </w:rPr>
        <w:t>Methods for assessing energy security largely depend on the interpretation and content of the concept of "energy security". The traditional concept of energy security, which originated during the 1973 crisis, needs to be expanded to include protection of t</w:t>
      </w:r>
      <w:r>
        <w:rPr>
          <w:rFonts w:ascii="Times New Roman" w:eastAsia="Times New Roman" w:hAnsi="Times New Roman" w:cs="Times New Roman"/>
          <w:i/>
          <w:sz w:val="24"/>
        </w:rPr>
        <w:t xml:space="preserve">he entire energy supply chain and infrastructure. In doing so, the author highlights some of the principles of energy security that countries must reckon with to ensure energy security: diversification of supply, sustainability, recognition of the reality </w:t>
      </w:r>
      <w:r>
        <w:rPr>
          <w:rFonts w:ascii="Times New Roman" w:eastAsia="Times New Roman" w:hAnsi="Times New Roman" w:cs="Times New Roman"/>
          <w:i/>
          <w:sz w:val="24"/>
        </w:rPr>
        <w:t>of integration, and the importance of information to support well-functioning markets. A new concept of energy security must incorporate two critical aspects: a recognition of the globalization of the energy security system and the recognition that the ent</w:t>
      </w:r>
      <w:r>
        <w:rPr>
          <w:rFonts w:ascii="Times New Roman" w:eastAsia="Times New Roman" w:hAnsi="Times New Roman" w:cs="Times New Roman"/>
          <w:i/>
          <w:sz w:val="24"/>
        </w:rPr>
        <w:t xml:space="preserve">ire energy supply chain needs to be protected. </w:t>
      </w:r>
    </w:p>
    <w:p w:rsidR="0052701D" w:rsidRDefault="00D40929">
      <w:pPr>
        <w:spacing w:after="71" w:line="248" w:lineRule="auto"/>
        <w:ind w:left="769"/>
        <w:jc w:val="both"/>
      </w:pPr>
      <w:r>
        <w:rPr>
          <w:rFonts w:ascii="Times New Roman" w:eastAsia="Times New Roman" w:hAnsi="Times New Roman" w:cs="Times New Roman"/>
          <w:b/>
          <w:i/>
          <w:sz w:val="24"/>
        </w:rPr>
        <w:lastRenderedPageBreak/>
        <w:t>Keywords:</w:t>
      </w:r>
      <w:r>
        <w:rPr>
          <w:rFonts w:ascii="Times New Roman" w:eastAsia="Times New Roman" w:hAnsi="Times New Roman" w:cs="Times New Roman"/>
          <w:i/>
          <w:sz w:val="24"/>
        </w:rPr>
        <w:t xml:space="preserve"> assessment, method, energy, policy, projects </w:t>
      </w:r>
    </w:p>
    <w:p w:rsidR="0052701D" w:rsidRDefault="00D40929">
      <w:pPr>
        <w:spacing w:after="51"/>
        <w:ind w:left="769"/>
      </w:pPr>
      <w:r>
        <w:rPr>
          <w:rFonts w:ascii="Times New Roman" w:eastAsia="Times New Roman" w:hAnsi="Times New Roman" w:cs="Times New Roman"/>
          <w:i/>
          <w:sz w:val="24"/>
        </w:rPr>
        <w:t xml:space="preserve">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Практика реализации политических соглашений показывает, что поставленные цели по сокращению выбросов в атмосферу с жёсткими </w:t>
      </w:r>
      <w:r>
        <w:rPr>
          <w:rFonts w:ascii="Times New Roman" w:eastAsia="Times New Roman" w:hAnsi="Times New Roman" w:cs="Times New Roman"/>
          <w:sz w:val="28"/>
        </w:rPr>
        <w:t>экологическими нормами, а также внедрение зелёных инноваций позволяет странам ОЭСР их достигать [1, 2]. Экспортные операции способствуют максимальному внедрению «зелёных» инноваций и позволяют сокращать  выбросы углеводорода. При этом обратные реакции имею</w:t>
      </w:r>
      <w:r>
        <w:rPr>
          <w:rFonts w:ascii="Times New Roman" w:eastAsia="Times New Roman" w:hAnsi="Times New Roman" w:cs="Times New Roman"/>
          <w:sz w:val="28"/>
        </w:rPr>
        <w:t xml:space="preserve">т импортные операции, сопровождающиеся интенсивными выбросами [3]. </w:t>
      </w:r>
    </w:p>
    <w:p w:rsidR="0052701D" w:rsidRDefault="00D40929">
      <w:pPr>
        <w:spacing w:after="5" w:line="271" w:lineRule="auto"/>
        <w:ind w:left="9" w:right="64" w:firstLine="711"/>
        <w:jc w:val="both"/>
      </w:pPr>
      <w:r>
        <w:rPr>
          <w:rFonts w:ascii="Times New Roman" w:eastAsia="Times New Roman" w:hAnsi="Times New Roman" w:cs="Times New Roman"/>
          <w:sz w:val="28"/>
        </w:rPr>
        <w:t>Возобновляемые источники энергии являются важным инструментом реализации экологической политики [4]. Однако современные условия требуют больших вложений инвестиций в исследования для поиск</w:t>
      </w:r>
      <w:r>
        <w:rPr>
          <w:rFonts w:ascii="Times New Roman" w:eastAsia="Times New Roman" w:hAnsi="Times New Roman" w:cs="Times New Roman"/>
          <w:sz w:val="28"/>
        </w:rPr>
        <w:t>а новых источников и эффективного получения энергии на их основе [5]. Только топ-20 стран вкладывают большие инвестиции в возобновляемые источники энергии, что позволяет давать хороший результат по получению чистой энергии. Однако другие страны не имеют во</w:t>
      </w:r>
      <w:r>
        <w:rPr>
          <w:rFonts w:ascii="Times New Roman" w:eastAsia="Times New Roman" w:hAnsi="Times New Roman" w:cs="Times New Roman"/>
          <w:sz w:val="28"/>
        </w:rPr>
        <w:t xml:space="preserve">зможности столько инвестировать, поэтому наблюдается разрыв в использовании альтернативных источников энергии [5, 6]. </w:t>
      </w:r>
    </w:p>
    <w:p w:rsidR="0052701D" w:rsidRDefault="00D40929">
      <w:pPr>
        <w:spacing w:after="5" w:line="271" w:lineRule="auto"/>
        <w:ind w:left="9" w:right="64" w:firstLine="711"/>
        <w:jc w:val="both"/>
      </w:pPr>
      <w:r>
        <w:rPr>
          <w:rFonts w:ascii="Times New Roman" w:eastAsia="Times New Roman" w:hAnsi="Times New Roman" w:cs="Times New Roman"/>
          <w:sz w:val="28"/>
        </w:rPr>
        <w:t>В экологической политике должны учитываться три основных фактора, влияющих на окружающую среду такие как загрязнения воздуха, всемирное п</w:t>
      </w:r>
      <w:r>
        <w:rPr>
          <w:rFonts w:ascii="Times New Roman" w:eastAsia="Times New Roman" w:hAnsi="Times New Roman" w:cs="Times New Roman"/>
          <w:sz w:val="28"/>
        </w:rPr>
        <w:t>отепление, наводнение или таяние ледников в связи с потеплением. Для решения этих проблемных вопросов необходимо создание стандартов качества окружающей среды. Современная административная политика не всегда является достаточной для решения этих вопросов и</w:t>
      </w:r>
      <w:r>
        <w:rPr>
          <w:rFonts w:ascii="Times New Roman" w:eastAsia="Times New Roman" w:hAnsi="Times New Roman" w:cs="Times New Roman"/>
          <w:sz w:val="28"/>
        </w:rPr>
        <w:t xml:space="preserve"> обеспечения экономической эффективности экологических мероприятий, поэтому важны исследования в отношении эффективной экологической политики [7].  </w:t>
      </w:r>
    </w:p>
    <w:p w:rsidR="0052701D" w:rsidRDefault="00D40929">
      <w:pPr>
        <w:spacing w:after="5" w:line="271" w:lineRule="auto"/>
        <w:ind w:left="9" w:right="64" w:firstLine="711"/>
        <w:jc w:val="both"/>
      </w:pPr>
      <w:r>
        <w:rPr>
          <w:rFonts w:ascii="Times New Roman" w:eastAsia="Times New Roman" w:hAnsi="Times New Roman" w:cs="Times New Roman"/>
          <w:sz w:val="28"/>
        </w:rPr>
        <w:t>Экологическая политика является инструментом реализации цели устойчивого развития ООН. Проводимые исследова</w:t>
      </w:r>
      <w:r>
        <w:rPr>
          <w:rFonts w:ascii="Times New Roman" w:eastAsia="Times New Roman" w:hAnsi="Times New Roman" w:cs="Times New Roman"/>
          <w:sz w:val="28"/>
        </w:rPr>
        <w:t xml:space="preserve">ния позволяют сделать вывод о том, что рациональное природопользование должно быть основой в процессе планирования национального развития как долгосрочная программа [8]. </w:t>
      </w:r>
    </w:p>
    <w:p w:rsidR="0052701D" w:rsidRDefault="00D40929">
      <w:pPr>
        <w:spacing w:after="5" w:line="271" w:lineRule="auto"/>
        <w:ind w:left="9" w:right="64" w:firstLine="711"/>
        <w:jc w:val="both"/>
      </w:pPr>
      <w:r>
        <w:rPr>
          <w:rFonts w:ascii="Times New Roman" w:eastAsia="Times New Roman" w:hAnsi="Times New Roman" w:cs="Times New Roman"/>
          <w:sz w:val="28"/>
        </w:rPr>
        <w:t xml:space="preserve">Концепция устойчивого развития закладывается многими странами. Однако финансирование </w:t>
      </w:r>
      <w:r>
        <w:rPr>
          <w:rFonts w:ascii="Times New Roman" w:eastAsia="Times New Roman" w:hAnsi="Times New Roman" w:cs="Times New Roman"/>
          <w:sz w:val="28"/>
        </w:rPr>
        <w:t xml:space="preserve">этих проектов не всегда является повсеместным, особенно для развивающихся стран. Поэтому  вопросы глобального характера потепления, выбросов углеводорода  остаются достаточно жёсткими [9]. </w:t>
      </w:r>
    </w:p>
    <w:p w:rsidR="0052701D" w:rsidRDefault="00D40929">
      <w:pPr>
        <w:spacing w:after="5" w:line="271" w:lineRule="auto"/>
        <w:ind w:left="9" w:right="64" w:firstLine="711"/>
        <w:jc w:val="both"/>
      </w:pPr>
      <w:r>
        <w:rPr>
          <w:rFonts w:ascii="Times New Roman" w:eastAsia="Times New Roman" w:hAnsi="Times New Roman" w:cs="Times New Roman"/>
          <w:sz w:val="28"/>
        </w:rPr>
        <w:t>С другой стороны развитые страны  являются капиталоемкими и энерго</w:t>
      </w:r>
      <w:r>
        <w:rPr>
          <w:rFonts w:ascii="Times New Roman" w:eastAsia="Times New Roman" w:hAnsi="Times New Roman" w:cs="Times New Roman"/>
          <w:sz w:val="28"/>
        </w:rPr>
        <w:t>емкими, так как обязаны обеспечивать энергетикой промышленный сектор.  Одним из вопросов энергетического сектора является ликвидация атомных станций. При этом можно наблюдать различные подходы стран к устранению и развитию атомных электростанций. Выше обоз</w:t>
      </w:r>
      <w:r>
        <w:rPr>
          <w:rFonts w:ascii="Times New Roman" w:eastAsia="Times New Roman" w:hAnsi="Times New Roman" w:cs="Times New Roman"/>
          <w:sz w:val="28"/>
        </w:rPr>
        <w:t xml:space="preserve">наченные вопросы являются актуальными для развития и совершенствования экологической политики на уровне конкретной страны. Рассматривая особенности экологической политики, реализуемой в различных странах, необходимо </w:t>
      </w:r>
      <w:r>
        <w:rPr>
          <w:rFonts w:ascii="Times New Roman" w:eastAsia="Times New Roman" w:hAnsi="Times New Roman" w:cs="Times New Roman"/>
          <w:sz w:val="28"/>
        </w:rPr>
        <w:lastRenderedPageBreak/>
        <w:t>проводить сравнительный анализ с помощью</w:t>
      </w:r>
      <w:r>
        <w:rPr>
          <w:rFonts w:ascii="Times New Roman" w:eastAsia="Times New Roman" w:hAnsi="Times New Roman" w:cs="Times New Roman"/>
          <w:sz w:val="28"/>
        </w:rPr>
        <w:t xml:space="preserve"> системы показателей оценки экономической эффективности. Рассмотрим существующие подходы и предложим свой набор показателей, позволяющий, по нашему мнению, осуществить репрезентативную оценку экологической политики страны. </w:t>
      </w:r>
    </w:p>
    <w:p w:rsidR="0052701D" w:rsidRDefault="00D40929">
      <w:pPr>
        <w:spacing w:after="3"/>
        <w:ind w:left="10" w:right="43" w:hanging="10"/>
        <w:jc w:val="right"/>
      </w:pPr>
      <w:r>
        <w:rPr>
          <w:rFonts w:ascii="Times New Roman" w:eastAsia="Times New Roman" w:hAnsi="Times New Roman" w:cs="Times New Roman"/>
          <w:sz w:val="28"/>
        </w:rPr>
        <w:t>Индекс экологической эффективнос</w:t>
      </w:r>
      <w:r>
        <w:rPr>
          <w:rFonts w:ascii="Times New Roman" w:eastAsia="Times New Roman" w:hAnsi="Times New Roman" w:cs="Times New Roman"/>
          <w:sz w:val="28"/>
        </w:rPr>
        <w:t xml:space="preserve">ти (EPI – Environmental Performance </w:t>
      </w:r>
    </w:p>
    <w:p w:rsidR="0052701D" w:rsidRDefault="00D40929">
      <w:pPr>
        <w:spacing w:after="5" w:line="271" w:lineRule="auto"/>
        <w:ind w:left="9" w:right="64"/>
        <w:jc w:val="both"/>
      </w:pPr>
      <w:r>
        <w:rPr>
          <w:rFonts w:ascii="Times New Roman" w:eastAsia="Times New Roman" w:hAnsi="Times New Roman" w:cs="Times New Roman"/>
          <w:sz w:val="28"/>
        </w:rPr>
        <w:t>Index), который рассчитывается «Центром экологического права и политики Йельского и Колумбийского университетов» с 2006 г., является одним из самых применяемых методов оценки экологической политики. Он пришел на смену и</w:t>
      </w:r>
      <w:r>
        <w:rPr>
          <w:rFonts w:ascii="Times New Roman" w:eastAsia="Times New Roman" w:hAnsi="Times New Roman" w:cs="Times New Roman"/>
          <w:sz w:val="28"/>
        </w:rPr>
        <w:t xml:space="preserve">ндексу экологической устойчивости. Этот метод предполагает использование рейтингового индексного метода. Интегральный показатель экономической эффективности экологической политики состоит из двух основных критериев. Первый критерий экологического здоровья </w:t>
      </w:r>
      <w:r>
        <w:rPr>
          <w:rFonts w:ascii="Times New Roman" w:eastAsia="Times New Roman" w:hAnsi="Times New Roman" w:cs="Times New Roman"/>
          <w:sz w:val="28"/>
        </w:rPr>
        <w:t>– это коннотация через показатели качества воздуха, воды и санитарии, наличия тяжёлых металлов. Второй критерий отражает жизнеспособность экосистем через показатели биоразнообразия и среды обитания, лесопосадки, рыболовства, климата, загрязнения воздуха, в</w:t>
      </w:r>
      <w:r>
        <w:rPr>
          <w:rFonts w:ascii="Times New Roman" w:eastAsia="Times New Roman" w:hAnsi="Times New Roman" w:cs="Times New Roman"/>
          <w:sz w:val="28"/>
        </w:rPr>
        <w:t xml:space="preserve">одных ресурсов, сельского хозяйства. Интеграция двух критериев позволяет получить объективную оценку экономической эффективности этой политики [4]. </w:t>
      </w:r>
    </w:p>
    <w:p w:rsidR="0052701D" w:rsidRDefault="00D40929">
      <w:pPr>
        <w:spacing w:after="5" w:line="271" w:lineRule="auto"/>
        <w:ind w:left="9" w:right="64" w:firstLine="711"/>
        <w:jc w:val="both"/>
      </w:pPr>
      <w:r>
        <w:rPr>
          <w:rFonts w:ascii="Times New Roman" w:eastAsia="Times New Roman" w:hAnsi="Times New Roman" w:cs="Times New Roman"/>
          <w:sz w:val="28"/>
        </w:rPr>
        <w:t>С применением метода табличного анализа выделены и обобщены подходы к формированию экологической политики с</w:t>
      </w:r>
      <w:r>
        <w:rPr>
          <w:rFonts w:ascii="Times New Roman" w:eastAsia="Times New Roman" w:hAnsi="Times New Roman" w:cs="Times New Roman"/>
          <w:sz w:val="28"/>
        </w:rPr>
        <w:t xml:space="preserve">траны. При использовании методов сравнения выделены основные тренды экологических политик стран. </w:t>
      </w:r>
    </w:p>
    <w:p w:rsidR="0052701D" w:rsidRDefault="00D40929">
      <w:pPr>
        <w:spacing w:after="0"/>
        <w:ind w:left="769"/>
      </w:pPr>
      <w:r>
        <w:rPr>
          <w:rFonts w:ascii="Times New Roman" w:eastAsia="Times New Roman" w:hAnsi="Times New Roman" w:cs="Times New Roman"/>
          <w:sz w:val="28"/>
        </w:rPr>
        <w:t xml:space="preserve"> </w:t>
      </w:r>
    </w:p>
    <w:p w:rsidR="0052701D" w:rsidRDefault="00D40929">
      <w:pPr>
        <w:spacing w:after="16" w:line="248" w:lineRule="auto"/>
        <w:ind w:left="819" w:right="48" w:hanging="10"/>
        <w:jc w:val="center"/>
      </w:pPr>
      <w:r>
        <w:rPr>
          <w:rFonts w:ascii="Times New Roman" w:eastAsia="Times New Roman" w:hAnsi="Times New Roman" w:cs="Times New Roman"/>
          <w:b/>
          <w:sz w:val="24"/>
        </w:rPr>
        <w:t xml:space="preserve">ИСТОЧНИКИ </w:t>
      </w:r>
    </w:p>
    <w:p w:rsidR="0052701D" w:rsidRDefault="00D40929">
      <w:pPr>
        <w:spacing w:after="29" w:line="248" w:lineRule="auto"/>
        <w:ind w:left="9" w:right="14" w:firstLine="567"/>
        <w:jc w:val="both"/>
      </w:pPr>
      <w:r>
        <w:rPr>
          <w:rFonts w:ascii="Times New Roman" w:eastAsia="Times New Roman" w:hAnsi="Times New Roman" w:cs="Times New Roman"/>
          <w:sz w:val="24"/>
        </w:rPr>
        <w:t>1.</w:t>
      </w:r>
      <w:r>
        <w:rPr>
          <w:rFonts w:ascii="Arial" w:eastAsia="Arial" w:hAnsi="Arial" w:cs="Arial"/>
          <w:sz w:val="24"/>
        </w:rPr>
        <w:t xml:space="preserve"> </w:t>
      </w:r>
      <w:r>
        <w:rPr>
          <w:rFonts w:ascii="Times New Roman" w:eastAsia="Times New Roman" w:hAnsi="Times New Roman" w:cs="Times New Roman"/>
          <w:sz w:val="24"/>
        </w:rPr>
        <w:t>Ахметова, И. Г. Цифровизация энергосектора: генезис, содержание, составляющие, методика оценки / И. Г. Ахметова, Ю. С. Валеева, М. В. Калинина // Экономика промышленности. 2022. Т. 15. № 3. С. 308-322. DOI 10.17073/2072-1633-2022-3-308-322. 2.</w:t>
      </w:r>
      <w:r>
        <w:rPr>
          <w:rFonts w:ascii="Arial" w:eastAsia="Arial" w:hAnsi="Arial" w:cs="Arial"/>
          <w:sz w:val="24"/>
        </w:rPr>
        <w:t xml:space="preserve"> </w:t>
      </w:r>
      <w:r>
        <w:rPr>
          <w:rFonts w:ascii="Times New Roman" w:eastAsia="Times New Roman" w:hAnsi="Times New Roman" w:cs="Times New Roman"/>
          <w:sz w:val="24"/>
        </w:rPr>
        <w:t>Мубаракшина,</w:t>
      </w:r>
      <w:r>
        <w:rPr>
          <w:rFonts w:ascii="Times New Roman" w:eastAsia="Times New Roman" w:hAnsi="Times New Roman" w:cs="Times New Roman"/>
          <w:sz w:val="24"/>
        </w:rPr>
        <w:t xml:space="preserve"> Р. Р. Аналитика развития рынка электротранспорта в России / Р. Р. Мубаракшина, Ю. С. Валеева // Вестник Поволжского государственного технологического университета. Серия: Экономика и управление. – 2022. – № 1(53). – С. 57-65.  </w:t>
      </w:r>
    </w:p>
    <w:p w:rsidR="0052701D" w:rsidRDefault="00D40929">
      <w:pPr>
        <w:numPr>
          <w:ilvl w:val="0"/>
          <w:numId w:val="164"/>
        </w:numPr>
        <w:spacing w:after="29" w:line="248" w:lineRule="auto"/>
        <w:ind w:right="14" w:firstLine="567"/>
        <w:jc w:val="both"/>
      </w:pPr>
      <w:r>
        <w:rPr>
          <w:rFonts w:ascii="Times New Roman" w:eastAsia="Times New Roman" w:hAnsi="Times New Roman" w:cs="Times New Roman"/>
          <w:sz w:val="24"/>
        </w:rPr>
        <w:t>Стимулирование развития эле</w:t>
      </w:r>
      <w:r>
        <w:rPr>
          <w:rFonts w:ascii="Times New Roman" w:eastAsia="Times New Roman" w:hAnsi="Times New Roman" w:cs="Times New Roman"/>
          <w:sz w:val="24"/>
        </w:rPr>
        <w:t xml:space="preserve">ктротранспорта как инструмент развития территории / Ю. С. Валеева, М. В. Калинина, Т. Г. Зорина, И. Г. Ахметова // Вестник Казанского государственного энергетического университета. – 2022. – Т. 14. – № 1(53). – С. 155-172.  </w:t>
      </w:r>
    </w:p>
    <w:p w:rsidR="0052701D" w:rsidRDefault="00D40929">
      <w:pPr>
        <w:numPr>
          <w:ilvl w:val="0"/>
          <w:numId w:val="164"/>
        </w:numPr>
        <w:spacing w:after="5"/>
        <w:ind w:right="14" w:firstLine="567"/>
        <w:jc w:val="both"/>
      </w:pPr>
      <w:r>
        <w:rPr>
          <w:rFonts w:ascii="Times New Roman" w:eastAsia="Times New Roman" w:hAnsi="Times New Roman" w:cs="Times New Roman"/>
          <w:sz w:val="24"/>
        </w:rPr>
        <w:t>Чиркова, И. Г. Анализ занятости</w:t>
      </w:r>
      <w:r>
        <w:rPr>
          <w:rFonts w:ascii="Times New Roman" w:eastAsia="Times New Roman" w:hAnsi="Times New Roman" w:cs="Times New Roman"/>
          <w:sz w:val="24"/>
        </w:rPr>
        <w:t xml:space="preserve"> в энергетическом секторе экономики региона / И. Г. </w:t>
      </w:r>
    </w:p>
    <w:p w:rsidR="0052701D" w:rsidRDefault="00D40929">
      <w:pPr>
        <w:spacing w:after="29" w:line="248" w:lineRule="auto"/>
        <w:ind w:left="9" w:right="14"/>
        <w:jc w:val="both"/>
      </w:pPr>
      <w:r>
        <w:rPr>
          <w:rFonts w:ascii="Times New Roman" w:eastAsia="Times New Roman" w:hAnsi="Times New Roman" w:cs="Times New Roman"/>
          <w:sz w:val="24"/>
        </w:rPr>
        <w:t xml:space="preserve">Чиркова, К. М. Бережной // Вестник Казанского государственного энергетического университета. – 2022. – Т. 14. – № 2(54). – С. 134-141. – EDN QYCLGC. </w:t>
      </w:r>
    </w:p>
    <w:p w:rsidR="0052701D" w:rsidRDefault="00D40929">
      <w:pPr>
        <w:numPr>
          <w:ilvl w:val="0"/>
          <w:numId w:val="164"/>
        </w:numPr>
        <w:spacing w:after="29" w:line="248" w:lineRule="auto"/>
        <w:ind w:right="14" w:firstLine="567"/>
        <w:jc w:val="both"/>
      </w:pPr>
      <w:r>
        <w:rPr>
          <w:rFonts w:ascii="Times New Roman" w:eastAsia="Times New Roman" w:hAnsi="Times New Roman" w:cs="Times New Roman"/>
          <w:sz w:val="24"/>
        </w:rPr>
        <w:t>Силкина О.Ю., Зарипова Р.С. "Зелёная экономика" как с</w:t>
      </w:r>
      <w:r>
        <w:rPr>
          <w:rFonts w:ascii="Times New Roman" w:eastAsia="Times New Roman" w:hAnsi="Times New Roman" w:cs="Times New Roman"/>
          <w:sz w:val="24"/>
        </w:rPr>
        <w:t xml:space="preserve">овременный способ развития / Информационные технологии в строительных, социальных и экономических системах. 2022. №3 (29). С.43-45. </w:t>
      </w:r>
    </w:p>
    <w:p w:rsidR="0052701D" w:rsidRDefault="00D40929">
      <w:pPr>
        <w:numPr>
          <w:ilvl w:val="0"/>
          <w:numId w:val="164"/>
        </w:numPr>
        <w:spacing w:after="29" w:line="248" w:lineRule="auto"/>
        <w:ind w:right="14" w:firstLine="567"/>
        <w:jc w:val="both"/>
      </w:pPr>
      <w:r>
        <w:rPr>
          <w:rFonts w:ascii="Times New Roman" w:eastAsia="Times New Roman" w:hAnsi="Times New Roman" w:cs="Times New Roman"/>
          <w:sz w:val="24"/>
        </w:rPr>
        <w:t xml:space="preserve">The implementation challenges of zero carbon and zero waste approaches / L. Švecová, G. Ostapenko, J. Veber, Y. Valeeva // </w:t>
      </w:r>
      <w:r>
        <w:rPr>
          <w:rFonts w:ascii="Times New Roman" w:eastAsia="Times New Roman" w:hAnsi="Times New Roman" w:cs="Times New Roman"/>
          <w:sz w:val="24"/>
        </w:rPr>
        <w:t xml:space="preserve">E3S Web of Conferences : 2019 International Scientific and Technical Conference Smart Energy Systems, SES 2019, Kazan, 18–20 сентября 2019 года. – Kazan: EDP Sciences, 2019. – P. 04025. – DOI 10.1051/e3sconf/201912404025. – EDN PHIWKJ. </w:t>
      </w:r>
    </w:p>
    <w:p w:rsidR="0052701D" w:rsidRDefault="00D40929">
      <w:pPr>
        <w:numPr>
          <w:ilvl w:val="0"/>
          <w:numId w:val="164"/>
        </w:numPr>
        <w:spacing w:after="29" w:line="248" w:lineRule="auto"/>
        <w:ind w:right="14" w:firstLine="567"/>
        <w:jc w:val="both"/>
      </w:pPr>
      <w:r>
        <w:rPr>
          <w:rFonts w:ascii="Times New Roman" w:eastAsia="Times New Roman" w:hAnsi="Times New Roman" w:cs="Times New Roman"/>
          <w:sz w:val="24"/>
        </w:rPr>
        <w:t>Валеева, Ю. С. Стру</w:t>
      </w:r>
      <w:r>
        <w:rPr>
          <w:rFonts w:ascii="Times New Roman" w:eastAsia="Times New Roman" w:hAnsi="Times New Roman" w:cs="Times New Roman"/>
          <w:sz w:val="24"/>
        </w:rPr>
        <w:t xml:space="preserve">ктура инновационного потенциала региональной хозяйственной системы / Ю. С. Валеева, Е. С. Макарова, Н. З. Уразбахтина // Ученые записки Казанской государственной академии ветеринарной медицины им. Н.Э. Баумана. – 2014. – Т. </w:t>
      </w:r>
      <w:r>
        <w:rPr>
          <w:rFonts w:ascii="Times New Roman" w:eastAsia="Times New Roman" w:hAnsi="Times New Roman" w:cs="Times New Roman"/>
          <w:sz w:val="24"/>
        </w:rPr>
        <w:lastRenderedPageBreak/>
        <w:t>220. – № 4. – С. 53-56. – EDN TD</w:t>
      </w:r>
      <w:r>
        <w:rPr>
          <w:rFonts w:ascii="Times New Roman" w:eastAsia="Times New Roman" w:hAnsi="Times New Roman" w:cs="Times New Roman"/>
          <w:sz w:val="24"/>
        </w:rPr>
        <w:t>RLXB. 8. Кошаева, Э. А. Применение цифровых ресурсов в образовательном процессе / Э. А. Кошаева, Ю. С. Валеева // Актуальные проблемы управления: Сборник научных статей по итогам VI Всероссийской научно-практической конференции, Нижний Новгород, 01–05 октя</w:t>
      </w:r>
      <w:r>
        <w:rPr>
          <w:rFonts w:ascii="Times New Roman" w:eastAsia="Times New Roman" w:hAnsi="Times New Roman" w:cs="Times New Roman"/>
          <w:sz w:val="24"/>
        </w:rPr>
        <w:t xml:space="preserve">бря 2019 года / Редколлегия: С.Н. Яшин, Ю.С.Ширяева. – Нижний Новгород: </w:t>
      </w:r>
    </w:p>
    <w:p w:rsidR="0052701D" w:rsidRDefault="00D40929">
      <w:pPr>
        <w:spacing w:after="29" w:line="248" w:lineRule="auto"/>
        <w:ind w:left="9" w:right="14"/>
        <w:jc w:val="both"/>
      </w:pPr>
      <w:r>
        <w:rPr>
          <w:rFonts w:ascii="Times New Roman" w:eastAsia="Times New Roman" w:hAnsi="Times New Roman" w:cs="Times New Roman"/>
          <w:sz w:val="24"/>
        </w:rPr>
        <w:t xml:space="preserve">Национальный исследовательский Нижегородский государственный университет им. Н.И. Лобачевского, 2019. – С. 254-257. – EDN TLOOSI. </w:t>
      </w:r>
    </w:p>
    <w:p w:rsidR="0052701D" w:rsidRDefault="00D40929">
      <w:pPr>
        <w:spacing w:after="29" w:line="248" w:lineRule="auto"/>
        <w:ind w:left="9" w:right="14" w:firstLine="567"/>
        <w:jc w:val="both"/>
      </w:pPr>
      <w:r>
        <w:rPr>
          <w:rFonts w:ascii="Times New Roman" w:eastAsia="Times New Roman" w:hAnsi="Times New Roman" w:cs="Times New Roman"/>
          <w:sz w:val="24"/>
        </w:rPr>
        <w:t>9. Шарафутдинова, Н. С. Анализ ключевых факторов усп</w:t>
      </w:r>
      <w:r>
        <w:rPr>
          <w:rFonts w:ascii="Times New Roman" w:eastAsia="Times New Roman" w:hAnsi="Times New Roman" w:cs="Times New Roman"/>
          <w:sz w:val="24"/>
        </w:rPr>
        <w:t xml:space="preserve">еха организации / Н. С. Шарафутдинова, Ю. С. Валеева // Вестник Казанского государственного финансовоэкономического института. – 2009. – № 1(14). – С. 13-16. – EDN MUOFAD. </w:t>
      </w:r>
    </w:p>
    <w:p w:rsidR="0052701D" w:rsidRDefault="00D40929">
      <w:pPr>
        <w:spacing w:after="61" w:line="248" w:lineRule="auto"/>
        <w:ind w:left="9" w:right="14"/>
        <w:jc w:val="both"/>
      </w:pPr>
      <w:r>
        <w:rPr>
          <w:rFonts w:ascii="Times New Roman" w:eastAsia="Times New Roman" w:hAnsi="Times New Roman" w:cs="Times New Roman"/>
          <w:sz w:val="24"/>
        </w:rPr>
        <w:t xml:space="preserve">УДК 33-332.1-330.15 </w:t>
      </w:r>
    </w:p>
    <w:p w:rsidR="0052701D" w:rsidRDefault="00D40929">
      <w:pPr>
        <w:spacing w:after="75"/>
      </w:pPr>
      <w:r>
        <w:rPr>
          <w:rFonts w:ascii="Times New Roman" w:eastAsia="Times New Roman" w:hAnsi="Times New Roman" w:cs="Times New Roman"/>
          <w:sz w:val="28"/>
        </w:rPr>
        <w:t xml:space="preserve"> </w:t>
      </w:r>
    </w:p>
    <w:p w:rsidR="0052701D" w:rsidRDefault="00D40929">
      <w:pPr>
        <w:pStyle w:val="1"/>
        <w:ind w:left="250" w:right="0" w:firstLine="9"/>
        <w:jc w:val="left"/>
      </w:pPr>
      <w:r>
        <w:t xml:space="preserve">ФИНАНСОВЫЕ РЕЗУЛЬТАТЫ ПРЕДПРИЯТИЯ КАК ИНСТРУМЕНТ </w:t>
      </w:r>
    </w:p>
    <w:p w:rsidR="0052701D" w:rsidRDefault="00D40929">
      <w:pPr>
        <w:spacing w:after="5" w:line="271" w:lineRule="auto"/>
        <w:ind w:left="250" w:firstLine="9"/>
      </w:pPr>
      <w:r>
        <w:rPr>
          <w:rFonts w:ascii="Times New Roman" w:eastAsia="Times New Roman" w:hAnsi="Times New Roman" w:cs="Times New Roman"/>
          <w:b/>
          <w:sz w:val="28"/>
        </w:rPr>
        <w:t xml:space="preserve">РАЗВИТИЯ </w:t>
      </w:r>
    </w:p>
    <w:p w:rsidR="0052701D" w:rsidRDefault="00D40929">
      <w:pPr>
        <w:spacing w:after="63"/>
        <w:ind w:left="59"/>
        <w:jc w:val="center"/>
      </w:pPr>
      <w:r>
        <w:rPr>
          <w:rFonts w:ascii="Times New Roman" w:eastAsia="Times New Roman" w:hAnsi="Times New Roman" w:cs="Times New Roman"/>
          <w:b/>
          <w:sz w:val="28"/>
        </w:rPr>
        <w:t xml:space="preserve"> </w:t>
      </w:r>
    </w:p>
    <w:p w:rsidR="0052701D" w:rsidRDefault="00D40929">
      <w:pPr>
        <w:pStyle w:val="1"/>
        <w:spacing w:after="118" w:line="248" w:lineRule="auto"/>
        <w:ind w:left="713" w:right="716" w:hanging="5"/>
      </w:pPr>
      <w:r>
        <w:rPr>
          <w:b w:val="0"/>
          <w:sz w:val="24"/>
        </w:rPr>
        <w:t xml:space="preserve">Мокроусов Кирилл Владимирович, Салихова Регина Рафаэловна </w:t>
      </w:r>
    </w:p>
    <w:p w:rsidR="0052701D" w:rsidRDefault="00D40929">
      <w:pPr>
        <w:spacing w:after="14" w:line="311" w:lineRule="auto"/>
        <w:ind w:left="2376" w:right="2316" w:hanging="5"/>
        <w:jc w:val="center"/>
      </w:pPr>
      <w:r>
        <w:rPr>
          <w:rFonts w:ascii="Times New Roman" w:eastAsia="Times New Roman" w:hAnsi="Times New Roman" w:cs="Times New Roman"/>
          <w:sz w:val="24"/>
        </w:rPr>
        <w:t xml:space="preserve">ФГБОУ ВО «КГЭУ», г. Казань valis2000@mail.ru </w:t>
      </w:r>
    </w:p>
    <w:p w:rsidR="0052701D" w:rsidRDefault="00D40929">
      <w:pPr>
        <w:spacing w:after="69"/>
        <w:ind w:left="711"/>
      </w:pPr>
      <w:r>
        <w:rPr>
          <w:rFonts w:ascii="Times New Roman" w:eastAsia="Times New Roman" w:hAnsi="Times New Roman" w:cs="Times New Roman"/>
          <w:sz w:val="28"/>
        </w:rPr>
        <w:t xml:space="preserve"> </w:t>
      </w:r>
    </w:p>
    <w:p w:rsidR="0052701D" w:rsidRDefault="00D40929">
      <w:pPr>
        <w:spacing w:after="29" w:line="319" w:lineRule="auto"/>
        <w:ind w:left="9" w:firstLine="711"/>
        <w:jc w:val="both"/>
      </w:pPr>
      <w:r>
        <w:rPr>
          <w:rFonts w:ascii="Times New Roman" w:eastAsia="Times New Roman" w:hAnsi="Times New Roman" w:cs="Times New Roman"/>
          <w:b/>
          <w:i/>
          <w:sz w:val="24"/>
        </w:rPr>
        <w:t>Аннотация:</w:t>
      </w:r>
      <w:r>
        <w:rPr>
          <w:rFonts w:ascii="Times New Roman" w:eastAsia="Times New Roman" w:hAnsi="Times New Roman" w:cs="Times New Roman"/>
          <w:i/>
          <w:sz w:val="24"/>
        </w:rPr>
        <w:t xml:space="preserve"> </w:t>
      </w:r>
      <w:r>
        <w:rPr>
          <w:rFonts w:ascii="Times New Roman" w:eastAsia="Times New Roman" w:hAnsi="Times New Roman" w:cs="Times New Roman"/>
          <w:i/>
          <w:sz w:val="24"/>
        </w:rPr>
        <w:t>Внедрение современных мер снижения расходов на принципах бережливого производства и проведение автоматизации управления запасами в АО «Сетевая компания» важный фактор снижения риска возникновения кризисной ситуации. Контролирование процесса управления запа</w:t>
      </w:r>
      <w:r>
        <w:rPr>
          <w:rFonts w:ascii="Times New Roman" w:eastAsia="Times New Roman" w:hAnsi="Times New Roman" w:cs="Times New Roman"/>
          <w:i/>
          <w:sz w:val="24"/>
        </w:rPr>
        <w:t xml:space="preserve">сами позволяет уравновешивать все материальные и финансовые потоки, а знание специфики отрасли даст возможность осуществить данную операцию максимально эффективно для АО «Сетевая компания». </w:t>
      </w:r>
    </w:p>
    <w:p w:rsidR="0052701D" w:rsidRDefault="00D40929">
      <w:pPr>
        <w:spacing w:after="71" w:line="248" w:lineRule="auto"/>
        <w:ind w:left="711"/>
        <w:jc w:val="both"/>
      </w:pP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 xml:space="preserve"> финансовые результаты, анализ, энергетика, предпр</w:t>
      </w:r>
      <w:r>
        <w:rPr>
          <w:rFonts w:ascii="Times New Roman" w:eastAsia="Times New Roman" w:hAnsi="Times New Roman" w:cs="Times New Roman"/>
          <w:i/>
          <w:sz w:val="24"/>
        </w:rPr>
        <w:t xml:space="preserve">иятие  </w:t>
      </w:r>
    </w:p>
    <w:p w:rsidR="0052701D" w:rsidRDefault="00D40929">
      <w:pPr>
        <w:spacing w:after="55"/>
        <w:ind w:left="711"/>
      </w:pPr>
      <w:r>
        <w:rPr>
          <w:rFonts w:ascii="Times New Roman" w:eastAsia="Times New Roman" w:hAnsi="Times New Roman" w:cs="Times New Roman"/>
          <w:i/>
          <w:sz w:val="24"/>
        </w:rPr>
        <w:t xml:space="preserve"> </w:t>
      </w:r>
    </w:p>
    <w:p w:rsidR="0052701D" w:rsidRDefault="00D40929">
      <w:pPr>
        <w:spacing w:after="5" w:line="271" w:lineRule="auto"/>
        <w:ind w:left="1585" w:firstLine="9"/>
      </w:pPr>
      <w:r>
        <w:rPr>
          <w:rFonts w:ascii="Times New Roman" w:eastAsia="Times New Roman" w:hAnsi="Times New Roman" w:cs="Times New Roman"/>
          <w:b/>
          <w:sz w:val="28"/>
        </w:rPr>
        <w:t xml:space="preserve">FINANCIAL RESULTS OF ENTERPRISE AS A TOOL OF DEVELOPMENT </w:t>
      </w:r>
    </w:p>
    <w:p w:rsidR="0052701D" w:rsidRDefault="00D40929">
      <w:pPr>
        <w:spacing w:after="16"/>
        <w:ind w:left="770"/>
        <w:jc w:val="center"/>
      </w:pPr>
      <w:r>
        <w:rPr>
          <w:rFonts w:ascii="Times New Roman" w:eastAsia="Times New Roman" w:hAnsi="Times New Roman" w:cs="Times New Roman"/>
          <w:b/>
          <w:sz w:val="28"/>
        </w:rPr>
        <w:t xml:space="preserve"> </w:t>
      </w:r>
    </w:p>
    <w:p w:rsidR="0052701D" w:rsidRDefault="00D40929">
      <w:pPr>
        <w:spacing w:after="14" w:line="311" w:lineRule="auto"/>
        <w:ind w:left="1993" w:right="1838" w:hanging="178"/>
        <w:jc w:val="center"/>
      </w:pPr>
      <w:r>
        <w:rPr>
          <w:rFonts w:ascii="Times New Roman" w:eastAsia="Times New Roman" w:hAnsi="Times New Roman" w:cs="Times New Roman"/>
          <w:sz w:val="24"/>
        </w:rPr>
        <w:t xml:space="preserve">Mokrousov Kirill Vladimirovich, Salikhova Regina Rafaelovna KSPEU, Kazan, Russia valis2000@mail.ru </w:t>
      </w:r>
    </w:p>
    <w:p w:rsidR="0052701D" w:rsidRDefault="00D40929">
      <w:pPr>
        <w:spacing w:after="21"/>
        <w:ind w:left="770"/>
        <w:jc w:val="center"/>
      </w:pPr>
      <w:r>
        <w:rPr>
          <w:rFonts w:ascii="Times New Roman" w:eastAsia="Times New Roman" w:hAnsi="Times New Roman" w:cs="Times New Roman"/>
          <w:sz w:val="28"/>
        </w:rPr>
        <w:t xml:space="preserve"> </w:t>
      </w:r>
    </w:p>
    <w:p w:rsidR="0052701D" w:rsidRDefault="00D40929">
      <w:pPr>
        <w:spacing w:after="0" w:line="311" w:lineRule="auto"/>
        <w:ind w:left="9" w:firstLine="711"/>
        <w:jc w:val="both"/>
      </w:pPr>
      <w:r>
        <w:rPr>
          <w:rFonts w:ascii="Times New Roman" w:eastAsia="Times New Roman" w:hAnsi="Times New Roman" w:cs="Times New Roman"/>
          <w:b/>
          <w:i/>
          <w:sz w:val="24"/>
        </w:rPr>
        <w:t>Abstract:</w:t>
      </w:r>
      <w:r>
        <w:rPr>
          <w:rFonts w:ascii="Times New Roman" w:eastAsia="Times New Roman" w:hAnsi="Times New Roman" w:cs="Times New Roman"/>
          <w:i/>
          <w:sz w:val="24"/>
        </w:rPr>
        <w:t xml:space="preserve"> </w:t>
      </w:r>
      <w:r>
        <w:rPr>
          <w:rFonts w:ascii="Times New Roman" w:eastAsia="Times New Roman" w:hAnsi="Times New Roman" w:cs="Times New Roman"/>
          <w:i/>
          <w:sz w:val="24"/>
        </w:rPr>
        <w:t>The introduction of modern cost reduction measures on the principles of lean production and inventory management automation in JSC "Network Company" is an important factor in reducing the risk of crisis situation. Controlling the process of inventory manag</w:t>
      </w:r>
      <w:r>
        <w:rPr>
          <w:rFonts w:ascii="Times New Roman" w:eastAsia="Times New Roman" w:hAnsi="Times New Roman" w:cs="Times New Roman"/>
          <w:i/>
          <w:sz w:val="24"/>
        </w:rPr>
        <w:t xml:space="preserve">ement allows to balance all material and financial flows, and knowledge of the specifics of the industry will provide an opportunity to carry out this operation as efficiently as possible for the JSC "Network Company". </w:t>
      </w:r>
    </w:p>
    <w:p w:rsidR="0052701D" w:rsidRDefault="00D40929">
      <w:pPr>
        <w:spacing w:after="62" w:line="248" w:lineRule="auto"/>
        <w:ind w:left="711"/>
        <w:jc w:val="both"/>
      </w:pPr>
      <w:r>
        <w:rPr>
          <w:rFonts w:ascii="Times New Roman" w:eastAsia="Times New Roman" w:hAnsi="Times New Roman" w:cs="Times New Roman"/>
          <w:b/>
          <w:i/>
          <w:sz w:val="24"/>
        </w:rPr>
        <w:t>Keywords:</w:t>
      </w:r>
      <w:r>
        <w:rPr>
          <w:rFonts w:ascii="Times New Roman" w:eastAsia="Times New Roman" w:hAnsi="Times New Roman" w:cs="Times New Roman"/>
          <w:i/>
          <w:sz w:val="24"/>
        </w:rPr>
        <w:t xml:space="preserve"> financial results, analysi</w:t>
      </w:r>
      <w:r>
        <w:rPr>
          <w:rFonts w:ascii="Times New Roman" w:eastAsia="Times New Roman" w:hAnsi="Times New Roman" w:cs="Times New Roman"/>
          <w:i/>
          <w:sz w:val="24"/>
        </w:rPr>
        <w:t xml:space="preserve">s, energy, enterprise </w:t>
      </w:r>
    </w:p>
    <w:p w:rsidR="0052701D" w:rsidRDefault="00D40929">
      <w:pPr>
        <w:spacing w:after="67"/>
        <w:ind w:left="770"/>
        <w:jc w:val="center"/>
      </w:pPr>
      <w:r>
        <w:rPr>
          <w:rFonts w:ascii="Times New Roman" w:eastAsia="Times New Roman" w:hAnsi="Times New Roman" w:cs="Times New Roman"/>
          <w:sz w:val="28"/>
        </w:rPr>
        <w:t xml:space="preserve"> </w:t>
      </w:r>
    </w:p>
    <w:p w:rsidR="0052701D" w:rsidRDefault="00D40929">
      <w:pPr>
        <w:spacing w:after="50" w:line="271" w:lineRule="auto"/>
        <w:ind w:left="9" w:right="64" w:firstLine="711"/>
        <w:jc w:val="both"/>
      </w:pPr>
      <w:r>
        <w:rPr>
          <w:rFonts w:ascii="Times New Roman" w:eastAsia="Times New Roman" w:hAnsi="Times New Roman" w:cs="Times New Roman"/>
          <w:sz w:val="28"/>
        </w:rPr>
        <w:t xml:space="preserve">Финансовый результат – оценочный показатель, выражающий экономическую эффективность осуществляемой деятельности хозяйствующего субъекта. Определяется при помощи показателя убытка или прибыли на </w:t>
      </w:r>
      <w:r>
        <w:rPr>
          <w:rFonts w:ascii="Times New Roman" w:eastAsia="Times New Roman" w:hAnsi="Times New Roman" w:cs="Times New Roman"/>
          <w:sz w:val="28"/>
        </w:rPr>
        <w:lastRenderedPageBreak/>
        <w:t>протяжении 1 календарного года, являе</w:t>
      </w:r>
      <w:r>
        <w:rPr>
          <w:rFonts w:ascii="Times New Roman" w:eastAsia="Times New Roman" w:hAnsi="Times New Roman" w:cs="Times New Roman"/>
          <w:sz w:val="28"/>
        </w:rPr>
        <w:t xml:space="preserve">тся разницей сумм доходов, расходов хозяйствующего субъекта. </w:t>
      </w:r>
    </w:p>
    <w:p w:rsidR="0052701D" w:rsidRDefault="00D40929">
      <w:pPr>
        <w:spacing w:after="5" w:line="271" w:lineRule="auto"/>
        <w:ind w:left="9" w:right="64" w:firstLine="711"/>
        <w:jc w:val="both"/>
      </w:pPr>
      <w:r>
        <w:rPr>
          <w:rFonts w:ascii="Times New Roman" w:eastAsia="Times New Roman" w:hAnsi="Times New Roman" w:cs="Times New Roman"/>
          <w:sz w:val="28"/>
        </w:rPr>
        <w:t>Рентабельность – коэффициент, который представляет собой зависимость прибыли от затрат, где в роли прибыли выступает размер чистой, балансовой прибыли, прибыль, полученная от реализации изготовл</w:t>
      </w:r>
      <w:r>
        <w:rPr>
          <w:rFonts w:ascii="Times New Roman" w:eastAsia="Times New Roman" w:hAnsi="Times New Roman" w:cs="Times New Roman"/>
          <w:sz w:val="28"/>
        </w:rPr>
        <w:t xml:space="preserve">енной продукции, от вида деятельности компании. Тогда как место знаменателя занимает показатель стоимости оборотных и основных фондов, выручка от реализации, себестоимость продукции и пр.  </w:t>
      </w:r>
    </w:p>
    <w:p w:rsidR="0052701D" w:rsidRDefault="00D40929">
      <w:pPr>
        <w:spacing w:after="5" w:line="271" w:lineRule="auto"/>
        <w:ind w:left="9" w:right="64" w:firstLine="711"/>
        <w:jc w:val="both"/>
      </w:pPr>
      <w:r>
        <w:rPr>
          <w:rFonts w:ascii="Times New Roman" w:eastAsia="Times New Roman" w:hAnsi="Times New Roman" w:cs="Times New Roman"/>
          <w:sz w:val="28"/>
        </w:rPr>
        <w:t>В 2021 году, если сравнивать с 2020 годом, в организации выручка о</w:t>
      </w:r>
      <w:r>
        <w:rPr>
          <w:rFonts w:ascii="Times New Roman" w:eastAsia="Times New Roman" w:hAnsi="Times New Roman" w:cs="Times New Roman"/>
          <w:sz w:val="28"/>
        </w:rPr>
        <w:t>т реализации выросла на 3 962 579 тысяч рублей. При этом себестоимость увеличилась на 959 444 тыс. руб. Вместе с тем валовая прибыль компании возросла на 3 003 135 тыс. руб. Управленческие расходы в 2021 году, если сравнивать с 2020 годом, выросли на 21 08</w:t>
      </w:r>
      <w:r>
        <w:rPr>
          <w:rFonts w:ascii="Times New Roman" w:eastAsia="Times New Roman" w:hAnsi="Times New Roman" w:cs="Times New Roman"/>
          <w:sz w:val="28"/>
        </w:rPr>
        <w:t xml:space="preserve">3 тыс. руб. </w:t>
      </w:r>
    </w:p>
    <w:p w:rsidR="0052701D" w:rsidRDefault="00D40929">
      <w:pPr>
        <w:spacing w:after="5" w:line="271" w:lineRule="auto"/>
        <w:ind w:left="9" w:right="64" w:firstLine="711"/>
        <w:jc w:val="both"/>
      </w:pPr>
      <w:r>
        <w:rPr>
          <w:rFonts w:ascii="Times New Roman" w:eastAsia="Times New Roman" w:hAnsi="Times New Roman" w:cs="Times New Roman"/>
          <w:sz w:val="28"/>
        </w:rPr>
        <w:t>В 2021 г., если сравнивать с 2020 г., прибыль от реализации товаров в компании возросла на 2 982 052 тыс. руб. Если сравнивать с 2020 г. в 2021 г. в компании прибыль до обложения налогами и чистая прибыль выросли на 3 511 376 тыс. руб. и 3 296</w:t>
      </w:r>
      <w:r>
        <w:rPr>
          <w:rFonts w:ascii="Times New Roman" w:eastAsia="Times New Roman" w:hAnsi="Times New Roman" w:cs="Times New Roman"/>
          <w:sz w:val="28"/>
        </w:rPr>
        <w:t xml:space="preserve"> 464 тыс. руб. соответственно. </w:t>
      </w:r>
    </w:p>
    <w:p w:rsidR="0052701D" w:rsidRDefault="00D40929">
      <w:pPr>
        <w:spacing w:after="49" w:line="271" w:lineRule="auto"/>
        <w:ind w:left="9" w:right="64" w:firstLine="711"/>
        <w:jc w:val="both"/>
      </w:pPr>
      <w:r>
        <w:rPr>
          <w:rFonts w:ascii="Times New Roman" w:eastAsia="Times New Roman" w:hAnsi="Times New Roman" w:cs="Times New Roman"/>
          <w:sz w:val="28"/>
        </w:rPr>
        <w:t>Основной проблемой можно назвать излишек запасов, таким образом весьма актуальной становится задача оптимизации материальных запасов. Проведенное в работе исследование показало, что системе управления запасами АО «Сетевая ко</w:t>
      </w:r>
      <w:r>
        <w:rPr>
          <w:rFonts w:ascii="Times New Roman" w:eastAsia="Times New Roman" w:hAnsi="Times New Roman" w:cs="Times New Roman"/>
          <w:sz w:val="28"/>
        </w:rPr>
        <w:t xml:space="preserve">мпания» присуще следующие проблемы: </w:t>
      </w:r>
    </w:p>
    <w:p w:rsidR="0052701D" w:rsidRDefault="00D40929">
      <w:pPr>
        <w:numPr>
          <w:ilvl w:val="0"/>
          <w:numId w:val="165"/>
        </w:numPr>
        <w:spacing w:after="74"/>
        <w:ind w:right="64" w:firstLine="711"/>
        <w:jc w:val="both"/>
      </w:pPr>
      <w:r>
        <w:rPr>
          <w:rFonts w:ascii="Times New Roman" w:eastAsia="Times New Roman" w:hAnsi="Times New Roman" w:cs="Times New Roman"/>
          <w:sz w:val="28"/>
        </w:rPr>
        <w:t xml:space="preserve">система </w:t>
      </w:r>
      <w:r>
        <w:rPr>
          <w:rFonts w:ascii="Times New Roman" w:eastAsia="Times New Roman" w:hAnsi="Times New Roman" w:cs="Times New Roman"/>
          <w:sz w:val="28"/>
        </w:rPr>
        <w:tab/>
        <w:t xml:space="preserve">нормирования </w:t>
      </w:r>
      <w:r>
        <w:rPr>
          <w:rFonts w:ascii="Times New Roman" w:eastAsia="Times New Roman" w:hAnsi="Times New Roman" w:cs="Times New Roman"/>
          <w:sz w:val="28"/>
        </w:rPr>
        <w:tab/>
        <w:t xml:space="preserve">и </w:t>
      </w:r>
      <w:r>
        <w:rPr>
          <w:rFonts w:ascii="Times New Roman" w:eastAsia="Times New Roman" w:hAnsi="Times New Roman" w:cs="Times New Roman"/>
          <w:sz w:val="28"/>
        </w:rPr>
        <w:tab/>
        <w:t xml:space="preserve">планирования </w:t>
      </w:r>
      <w:r>
        <w:rPr>
          <w:rFonts w:ascii="Times New Roman" w:eastAsia="Times New Roman" w:hAnsi="Times New Roman" w:cs="Times New Roman"/>
          <w:sz w:val="28"/>
        </w:rPr>
        <w:tab/>
        <w:t xml:space="preserve">необходимого </w:t>
      </w:r>
      <w:r>
        <w:rPr>
          <w:rFonts w:ascii="Times New Roman" w:eastAsia="Times New Roman" w:hAnsi="Times New Roman" w:cs="Times New Roman"/>
          <w:sz w:val="28"/>
        </w:rPr>
        <w:tab/>
        <w:t xml:space="preserve">объема </w:t>
      </w:r>
    </w:p>
    <w:p w:rsidR="0052701D" w:rsidRDefault="00D40929">
      <w:pPr>
        <w:spacing w:after="52" w:line="271" w:lineRule="auto"/>
        <w:ind w:left="9" w:right="64"/>
        <w:jc w:val="both"/>
      </w:pPr>
      <w:r>
        <w:rPr>
          <w:rFonts w:ascii="Times New Roman" w:eastAsia="Times New Roman" w:hAnsi="Times New Roman" w:cs="Times New Roman"/>
          <w:sz w:val="28"/>
        </w:rPr>
        <w:t xml:space="preserve">производственных запасов не эффективна и требует оптимизации; </w:t>
      </w:r>
    </w:p>
    <w:p w:rsidR="0052701D" w:rsidRDefault="00D40929">
      <w:pPr>
        <w:numPr>
          <w:ilvl w:val="0"/>
          <w:numId w:val="165"/>
        </w:numPr>
        <w:spacing w:after="43" w:line="271" w:lineRule="auto"/>
        <w:ind w:right="64" w:firstLine="711"/>
        <w:jc w:val="both"/>
      </w:pPr>
      <w:r>
        <w:rPr>
          <w:rFonts w:ascii="Times New Roman" w:eastAsia="Times New Roman" w:hAnsi="Times New Roman" w:cs="Times New Roman"/>
          <w:sz w:val="28"/>
        </w:rPr>
        <w:t xml:space="preserve">низкий уровень системы информационного обеспечения снабженческой деятельности АО «Сетевая компания»; </w:t>
      </w:r>
    </w:p>
    <w:p w:rsidR="0052701D" w:rsidRDefault="00D40929">
      <w:pPr>
        <w:numPr>
          <w:ilvl w:val="0"/>
          <w:numId w:val="165"/>
        </w:numPr>
        <w:spacing w:after="44" w:line="271" w:lineRule="auto"/>
        <w:ind w:right="64" w:firstLine="711"/>
        <w:jc w:val="both"/>
      </w:pPr>
      <w:r>
        <w:rPr>
          <w:rFonts w:ascii="Times New Roman" w:eastAsia="Times New Roman" w:hAnsi="Times New Roman" w:cs="Times New Roman"/>
          <w:sz w:val="28"/>
        </w:rPr>
        <w:t xml:space="preserve">низкий уровень эффективности системы управления затратами на получение и хранение запасов; </w:t>
      </w:r>
    </w:p>
    <w:p w:rsidR="0052701D" w:rsidRDefault="00D40929">
      <w:pPr>
        <w:numPr>
          <w:ilvl w:val="0"/>
          <w:numId w:val="165"/>
        </w:numPr>
        <w:spacing w:after="52" w:line="271" w:lineRule="auto"/>
        <w:ind w:right="64" w:firstLine="711"/>
        <w:jc w:val="both"/>
      </w:pPr>
      <w:r>
        <w:rPr>
          <w:rFonts w:ascii="Times New Roman" w:eastAsia="Times New Roman" w:hAnsi="Times New Roman" w:cs="Times New Roman"/>
          <w:sz w:val="28"/>
        </w:rPr>
        <w:t>система контроля снабженческой деятельности требует оптимизаци</w:t>
      </w:r>
      <w:r>
        <w:rPr>
          <w:rFonts w:ascii="Times New Roman" w:eastAsia="Times New Roman" w:hAnsi="Times New Roman" w:cs="Times New Roman"/>
          <w:sz w:val="28"/>
        </w:rPr>
        <w:t xml:space="preserve">и; </w:t>
      </w:r>
    </w:p>
    <w:p w:rsidR="0052701D" w:rsidRDefault="00D40929">
      <w:pPr>
        <w:numPr>
          <w:ilvl w:val="0"/>
          <w:numId w:val="165"/>
        </w:numPr>
        <w:spacing w:after="44" w:line="271" w:lineRule="auto"/>
        <w:ind w:right="64" w:firstLine="711"/>
        <w:jc w:val="both"/>
      </w:pPr>
      <w:r>
        <w:rPr>
          <w:rFonts w:ascii="Times New Roman" w:eastAsia="Times New Roman" w:hAnsi="Times New Roman" w:cs="Times New Roman"/>
          <w:sz w:val="28"/>
        </w:rPr>
        <w:t xml:space="preserve">низкий уровень общей эффективности управления запасами в АО «Сетевая компания»; </w:t>
      </w:r>
    </w:p>
    <w:p w:rsidR="0052701D" w:rsidRDefault="00D40929">
      <w:pPr>
        <w:numPr>
          <w:ilvl w:val="0"/>
          <w:numId w:val="165"/>
        </w:numPr>
        <w:spacing w:after="5" w:line="271" w:lineRule="auto"/>
        <w:ind w:right="64" w:firstLine="711"/>
        <w:jc w:val="both"/>
      </w:pPr>
      <w:r>
        <w:rPr>
          <w:rFonts w:ascii="Times New Roman" w:eastAsia="Times New Roman" w:hAnsi="Times New Roman" w:cs="Times New Roman"/>
          <w:sz w:val="28"/>
        </w:rPr>
        <w:t xml:space="preserve">в АО «Сетевая компания» не реализуются принципы бережливого производства в управлении запасами, что приводит к высокому уровню потерь из–за лишних запасов; имеются потери </w:t>
      </w:r>
      <w:r>
        <w:rPr>
          <w:rFonts w:ascii="Times New Roman" w:eastAsia="Times New Roman" w:hAnsi="Times New Roman" w:cs="Times New Roman"/>
          <w:sz w:val="28"/>
        </w:rPr>
        <w:t xml:space="preserve">от лишних затрат на хранение излишних запасов. </w:t>
      </w:r>
    </w:p>
    <w:p w:rsidR="0052701D" w:rsidRDefault="00D40929">
      <w:pPr>
        <w:spacing w:after="5" w:line="271" w:lineRule="auto"/>
        <w:ind w:left="9" w:right="64" w:firstLine="711"/>
        <w:jc w:val="both"/>
      </w:pPr>
      <w:r>
        <w:rPr>
          <w:rFonts w:ascii="Times New Roman" w:eastAsia="Times New Roman" w:hAnsi="Times New Roman" w:cs="Times New Roman"/>
          <w:sz w:val="28"/>
        </w:rPr>
        <w:t>Главные элементы системы управления запасами, которые необходимо внедрить в работу АО «Сетевая компания», состоят в реализации принципов бережливого производства. Система управления запасами в АО «Сетевая ком</w:t>
      </w:r>
      <w:r>
        <w:rPr>
          <w:rFonts w:ascii="Times New Roman" w:eastAsia="Times New Roman" w:hAnsi="Times New Roman" w:cs="Times New Roman"/>
          <w:sz w:val="28"/>
        </w:rPr>
        <w:t xml:space="preserve">пания» нуждается в совершенствовании на принципах бережливого </w:t>
      </w:r>
      <w:r>
        <w:rPr>
          <w:rFonts w:ascii="Times New Roman" w:eastAsia="Times New Roman" w:hAnsi="Times New Roman" w:cs="Times New Roman"/>
          <w:sz w:val="28"/>
        </w:rPr>
        <w:lastRenderedPageBreak/>
        <w:t>производства. Система управления запасами на принципах бережливого производства в АО «Сетевая компания» должна базироваться на построении вытягивающей системы управления запасами. Применение выт</w:t>
      </w:r>
      <w:r>
        <w:rPr>
          <w:rFonts w:ascii="Times New Roman" w:eastAsia="Times New Roman" w:hAnsi="Times New Roman" w:cs="Times New Roman"/>
          <w:sz w:val="28"/>
        </w:rPr>
        <w:t xml:space="preserve">ягивающей системы управления позволит в АО «Сетевая компания» организовать систему гибкого производства, обеспечивающего выпуск требуемого количества изделий в нужное время в соответствии с изменением спроса потребителей. </w:t>
      </w:r>
    </w:p>
    <w:p w:rsidR="0052701D" w:rsidRDefault="00D40929">
      <w:pPr>
        <w:spacing w:after="47" w:line="271" w:lineRule="auto"/>
        <w:ind w:left="9" w:right="64" w:firstLine="711"/>
        <w:jc w:val="both"/>
      </w:pPr>
      <w:r>
        <w:rPr>
          <w:rFonts w:ascii="Times New Roman" w:eastAsia="Times New Roman" w:hAnsi="Times New Roman" w:cs="Times New Roman"/>
          <w:sz w:val="28"/>
        </w:rPr>
        <w:t>Предложенный АО «Сетевая компания</w:t>
      </w:r>
      <w:r>
        <w:rPr>
          <w:rFonts w:ascii="Times New Roman" w:eastAsia="Times New Roman" w:hAnsi="Times New Roman" w:cs="Times New Roman"/>
          <w:sz w:val="28"/>
        </w:rPr>
        <w:t xml:space="preserve">» проект внедрения системы управления запасами на принципах бережливого производства будет строится на реализации нескольких систем бережливого производства: </w:t>
      </w:r>
    </w:p>
    <w:p w:rsidR="0052701D" w:rsidRDefault="00D40929">
      <w:pPr>
        <w:numPr>
          <w:ilvl w:val="0"/>
          <w:numId w:val="165"/>
        </w:numPr>
        <w:spacing w:after="5" w:line="271" w:lineRule="auto"/>
        <w:ind w:right="64" w:firstLine="711"/>
        <w:jc w:val="both"/>
      </w:pPr>
      <w:r>
        <w:rPr>
          <w:rFonts w:ascii="Times New Roman" w:eastAsia="Times New Roman" w:hAnsi="Times New Roman" w:cs="Times New Roman"/>
          <w:sz w:val="28"/>
        </w:rPr>
        <w:t xml:space="preserve">система «Точно в срок» и система «Канбан». Эффективный способ снизить запасы материалов, готовых </w:t>
      </w:r>
      <w:r>
        <w:rPr>
          <w:rFonts w:ascii="Times New Roman" w:eastAsia="Times New Roman" w:hAnsi="Times New Roman" w:cs="Times New Roman"/>
          <w:sz w:val="28"/>
        </w:rPr>
        <w:t xml:space="preserve">изделий, размеры занимаемых площадей. Этот метод также повышает эффективность движения потоков денежных средств. </w:t>
      </w:r>
    </w:p>
    <w:p w:rsidR="0052701D" w:rsidRDefault="00D40929">
      <w:pPr>
        <w:tabs>
          <w:tab w:val="center" w:pos="1939"/>
          <w:tab w:val="center" w:pos="3582"/>
          <w:tab w:val="center" w:pos="5033"/>
          <w:tab w:val="center" w:pos="6346"/>
          <w:tab w:val="center" w:pos="7818"/>
          <w:tab w:val="right" w:pos="9758"/>
        </w:tabs>
        <w:spacing w:after="59" w:line="271" w:lineRule="auto"/>
      </w:pPr>
      <w:r>
        <w:rPr>
          <w:rFonts w:ascii="Times New Roman" w:eastAsia="Times New Roman" w:hAnsi="Times New Roman" w:cs="Times New Roman"/>
          <w:sz w:val="28"/>
        </w:rPr>
        <w:t xml:space="preserve">Методы </w:t>
      </w:r>
      <w:r>
        <w:rPr>
          <w:rFonts w:ascii="Times New Roman" w:eastAsia="Times New Roman" w:hAnsi="Times New Roman" w:cs="Times New Roman"/>
          <w:sz w:val="28"/>
        </w:rPr>
        <w:tab/>
        <w:t xml:space="preserve">позволяют </w:t>
      </w:r>
      <w:r>
        <w:rPr>
          <w:rFonts w:ascii="Times New Roman" w:eastAsia="Times New Roman" w:hAnsi="Times New Roman" w:cs="Times New Roman"/>
          <w:sz w:val="28"/>
        </w:rPr>
        <w:tab/>
        <w:t xml:space="preserve">уменьшить </w:t>
      </w:r>
      <w:r>
        <w:rPr>
          <w:rFonts w:ascii="Times New Roman" w:eastAsia="Times New Roman" w:hAnsi="Times New Roman" w:cs="Times New Roman"/>
          <w:sz w:val="28"/>
        </w:rPr>
        <w:tab/>
        <w:t xml:space="preserve">потери, </w:t>
      </w:r>
      <w:r>
        <w:rPr>
          <w:rFonts w:ascii="Times New Roman" w:eastAsia="Times New Roman" w:hAnsi="Times New Roman" w:cs="Times New Roman"/>
          <w:sz w:val="28"/>
        </w:rPr>
        <w:tab/>
        <w:t xml:space="preserve">излишки </w:t>
      </w:r>
      <w:r>
        <w:rPr>
          <w:rFonts w:ascii="Times New Roman" w:eastAsia="Times New Roman" w:hAnsi="Times New Roman" w:cs="Times New Roman"/>
          <w:sz w:val="28"/>
        </w:rPr>
        <w:tab/>
        <w:t xml:space="preserve">складских </w:t>
      </w:r>
      <w:r>
        <w:rPr>
          <w:rFonts w:ascii="Times New Roman" w:eastAsia="Times New Roman" w:hAnsi="Times New Roman" w:cs="Times New Roman"/>
          <w:sz w:val="28"/>
        </w:rPr>
        <w:tab/>
        <w:t xml:space="preserve">запасов, </w:t>
      </w:r>
    </w:p>
    <w:p w:rsidR="0052701D" w:rsidRDefault="00D40929">
      <w:pPr>
        <w:spacing w:after="52" w:line="271" w:lineRule="auto"/>
        <w:ind w:left="9" w:right="64"/>
        <w:jc w:val="both"/>
      </w:pPr>
      <w:r>
        <w:rPr>
          <w:rFonts w:ascii="Times New Roman" w:eastAsia="Times New Roman" w:hAnsi="Times New Roman" w:cs="Times New Roman"/>
          <w:sz w:val="28"/>
        </w:rPr>
        <w:t xml:space="preserve">перепроизводство; </w:t>
      </w:r>
    </w:p>
    <w:p w:rsidR="0052701D" w:rsidRDefault="00D40929">
      <w:pPr>
        <w:numPr>
          <w:ilvl w:val="0"/>
          <w:numId w:val="165"/>
        </w:numPr>
        <w:spacing w:after="49" w:line="271" w:lineRule="auto"/>
        <w:ind w:right="64" w:firstLine="711"/>
        <w:jc w:val="both"/>
      </w:pPr>
      <w:r>
        <w:rPr>
          <w:rFonts w:ascii="Times New Roman" w:eastAsia="Times New Roman" w:hAnsi="Times New Roman" w:cs="Times New Roman"/>
          <w:sz w:val="28"/>
        </w:rPr>
        <w:t>система «Постоянное улучшение (Kaizen)», а именно совместные усилия всех сотрудников АО «Сетевая компания» по достижению ежедневных побед, достижений, улучшений в управлении запасами. Если в АО «Сетевая компания» удастся привить культуру ориентации на поис</w:t>
      </w:r>
      <w:r>
        <w:rPr>
          <w:rFonts w:ascii="Times New Roman" w:eastAsia="Times New Roman" w:hAnsi="Times New Roman" w:cs="Times New Roman"/>
          <w:sz w:val="28"/>
        </w:rPr>
        <w:t xml:space="preserve">к и реализацию постоянных улучшений, то она становится практически вечным двигателем по уменьшению потерь в системе управления запасами; </w:t>
      </w:r>
    </w:p>
    <w:p w:rsidR="0052701D" w:rsidRDefault="00D40929">
      <w:pPr>
        <w:numPr>
          <w:ilvl w:val="0"/>
          <w:numId w:val="165"/>
        </w:numPr>
        <w:spacing w:after="5" w:line="271" w:lineRule="auto"/>
        <w:ind w:right="64" w:firstLine="711"/>
        <w:jc w:val="both"/>
      </w:pPr>
      <w:r>
        <w:rPr>
          <w:rFonts w:ascii="Times New Roman" w:eastAsia="Times New Roman" w:hAnsi="Times New Roman" w:cs="Times New Roman"/>
          <w:sz w:val="28"/>
        </w:rPr>
        <w:t xml:space="preserve">система «5S». Оптимальная организация рабочего пространства на складах АО «Сетевая компания» и автоматизация процесса </w:t>
      </w:r>
      <w:r>
        <w:rPr>
          <w:rFonts w:ascii="Times New Roman" w:eastAsia="Times New Roman" w:hAnsi="Times New Roman" w:cs="Times New Roman"/>
          <w:sz w:val="28"/>
        </w:rPr>
        <w:t xml:space="preserve">управления запасами АО «Сетевая компания» с целью визуализации проблем, быстрое обнаружение отклонений в системе управления запасами. </w:t>
      </w:r>
    </w:p>
    <w:p w:rsidR="0052701D" w:rsidRDefault="00D40929">
      <w:pPr>
        <w:spacing w:after="60" w:line="271" w:lineRule="auto"/>
        <w:ind w:left="9" w:right="64" w:firstLine="711"/>
        <w:jc w:val="both"/>
      </w:pPr>
      <w:r>
        <w:rPr>
          <w:rFonts w:ascii="Times New Roman" w:eastAsia="Times New Roman" w:hAnsi="Times New Roman" w:cs="Times New Roman"/>
          <w:sz w:val="28"/>
        </w:rPr>
        <w:t>После реализации проекта по внедрению системы управления запасами на принципах бережливого производства АО «Сетевая компа</w:t>
      </w:r>
      <w:r>
        <w:rPr>
          <w:rFonts w:ascii="Times New Roman" w:eastAsia="Times New Roman" w:hAnsi="Times New Roman" w:cs="Times New Roman"/>
          <w:sz w:val="28"/>
        </w:rPr>
        <w:t xml:space="preserve">ния» получит положительный годовой эффект в размере 26940 тыс. руб.; финансовые результаты предприятия увеличатся. Вырастет общая рентабельность, рентабельность продаж и рентабельность основной деятельности АО «Сетевая компания». </w:t>
      </w:r>
    </w:p>
    <w:p w:rsidR="0052701D" w:rsidRDefault="00D40929">
      <w:pPr>
        <w:spacing w:after="16" w:line="248" w:lineRule="auto"/>
        <w:ind w:left="819" w:right="960" w:hanging="10"/>
        <w:jc w:val="center"/>
      </w:pPr>
      <w:r>
        <w:rPr>
          <w:rFonts w:ascii="Times New Roman" w:eastAsia="Times New Roman" w:hAnsi="Times New Roman" w:cs="Times New Roman"/>
          <w:b/>
          <w:sz w:val="24"/>
        </w:rPr>
        <w:t xml:space="preserve">ИСТОЧНИКИ </w:t>
      </w:r>
    </w:p>
    <w:p w:rsidR="0052701D" w:rsidRDefault="00D40929">
      <w:pPr>
        <w:spacing w:after="8" w:line="248" w:lineRule="auto"/>
        <w:ind w:left="9" w:right="14" w:firstLine="567"/>
        <w:jc w:val="both"/>
      </w:pPr>
      <w:r>
        <w:rPr>
          <w:rFonts w:ascii="Times New Roman" w:eastAsia="Times New Roman" w:hAnsi="Times New Roman" w:cs="Times New Roman"/>
          <w:sz w:val="24"/>
        </w:rPr>
        <w:t>1.</w:t>
      </w:r>
      <w:r>
        <w:rPr>
          <w:rFonts w:ascii="Arial" w:eastAsia="Arial" w:hAnsi="Arial" w:cs="Arial"/>
          <w:sz w:val="24"/>
        </w:rPr>
        <w:t xml:space="preserve"> </w:t>
      </w:r>
      <w:r>
        <w:rPr>
          <w:rFonts w:ascii="Times New Roman" w:eastAsia="Times New Roman" w:hAnsi="Times New Roman" w:cs="Times New Roman"/>
          <w:sz w:val="24"/>
        </w:rPr>
        <w:t xml:space="preserve">Ахметова, И. Г. Цифровизация энергосектора: генезис, содержание, составляющие, методика оценки / И. Г. Ахметова, Ю. С. Валеева, М. В. Калинина // Экономика промышленности. – 2022. – Т. 15. – № 3. – С. 308-322. – DOI 10.17073/2072-1633-2022-3-308322. – EDN </w:t>
      </w:r>
      <w:r>
        <w:rPr>
          <w:rFonts w:ascii="Times New Roman" w:eastAsia="Times New Roman" w:hAnsi="Times New Roman" w:cs="Times New Roman"/>
          <w:sz w:val="24"/>
        </w:rPr>
        <w:t>AJDYHS. 2.</w:t>
      </w:r>
      <w:r>
        <w:rPr>
          <w:rFonts w:ascii="Arial" w:eastAsia="Arial" w:hAnsi="Arial" w:cs="Arial"/>
          <w:sz w:val="24"/>
        </w:rPr>
        <w:t xml:space="preserve"> </w:t>
      </w:r>
      <w:r>
        <w:rPr>
          <w:rFonts w:ascii="Times New Roman" w:eastAsia="Times New Roman" w:hAnsi="Times New Roman" w:cs="Times New Roman"/>
          <w:sz w:val="24"/>
        </w:rPr>
        <w:t xml:space="preserve">Мубаракшина, Р. Р. Аналитика развития рынка электротранспорта в России / Р. Р. Мубаракшина, Ю. С. Валеева // Вестник Поволжского государственного технологического университета. Серия: Экономика и управление. – 2022. – № 1(53). – С. 57-65. – DOI </w:t>
      </w:r>
      <w:r>
        <w:rPr>
          <w:rFonts w:ascii="Times New Roman" w:eastAsia="Times New Roman" w:hAnsi="Times New Roman" w:cs="Times New Roman"/>
          <w:sz w:val="24"/>
        </w:rPr>
        <w:t>10.25686/2306-2800.2022.1.57. – EDN MJWIJM. 3.</w:t>
      </w:r>
      <w:r>
        <w:rPr>
          <w:rFonts w:ascii="Arial" w:eastAsia="Arial" w:hAnsi="Arial" w:cs="Arial"/>
          <w:sz w:val="24"/>
        </w:rPr>
        <w:t xml:space="preserve"> </w:t>
      </w:r>
      <w:r>
        <w:rPr>
          <w:rFonts w:ascii="Times New Roman" w:eastAsia="Times New Roman" w:hAnsi="Times New Roman" w:cs="Times New Roman"/>
          <w:sz w:val="24"/>
        </w:rPr>
        <w:t>Стимулирование развития электротранспорта как инструмент развития территории / Ю. С. Валеева, М. В. Калинина, Т. Г. Зорина, И. Г. Ахметова // Вестник Казанского государственного энергетического университета. –</w:t>
      </w:r>
      <w:r>
        <w:rPr>
          <w:rFonts w:ascii="Times New Roman" w:eastAsia="Times New Roman" w:hAnsi="Times New Roman" w:cs="Times New Roman"/>
          <w:sz w:val="24"/>
        </w:rPr>
        <w:t xml:space="preserve"> 2022. – Т. 14. – № 1(53). – С. 155-172. – EDN </w:t>
      </w:r>
    </w:p>
    <w:p w:rsidR="0052701D" w:rsidRDefault="00D40929">
      <w:pPr>
        <w:spacing w:after="29" w:line="248" w:lineRule="auto"/>
        <w:ind w:left="9" w:right="14"/>
        <w:jc w:val="both"/>
      </w:pPr>
      <w:r>
        <w:rPr>
          <w:rFonts w:ascii="Times New Roman" w:eastAsia="Times New Roman" w:hAnsi="Times New Roman" w:cs="Times New Roman"/>
          <w:sz w:val="24"/>
        </w:rPr>
        <w:t xml:space="preserve">UCKMFG. </w:t>
      </w:r>
    </w:p>
    <w:p w:rsidR="0052701D" w:rsidRDefault="00D40929">
      <w:pPr>
        <w:numPr>
          <w:ilvl w:val="0"/>
          <w:numId w:val="166"/>
        </w:numPr>
        <w:spacing w:after="5"/>
        <w:ind w:right="14" w:firstLine="567"/>
        <w:jc w:val="both"/>
      </w:pPr>
      <w:r>
        <w:rPr>
          <w:rFonts w:ascii="Times New Roman" w:eastAsia="Times New Roman" w:hAnsi="Times New Roman" w:cs="Times New Roman"/>
          <w:sz w:val="24"/>
        </w:rPr>
        <w:lastRenderedPageBreak/>
        <w:t xml:space="preserve">Чиркова, И. Г. Анализ занятости в энергетическом секторе экономики региона / И. Г. </w:t>
      </w:r>
    </w:p>
    <w:p w:rsidR="0052701D" w:rsidRDefault="00D40929">
      <w:pPr>
        <w:spacing w:after="29" w:line="248" w:lineRule="auto"/>
        <w:ind w:left="9" w:right="14"/>
        <w:jc w:val="both"/>
      </w:pPr>
      <w:r>
        <w:rPr>
          <w:rFonts w:ascii="Times New Roman" w:eastAsia="Times New Roman" w:hAnsi="Times New Roman" w:cs="Times New Roman"/>
          <w:sz w:val="24"/>
        </w:rPr>
        <w:t xml:space="preserve">Чиркова, К. М. Бережной // Вестник Казанского государственного энергетического университета. – 2022. – Т. 14. </w:t>
      </w:r>
      <w:r>
        <w:rPr>
          <w:rFonts w:ascii="Times New Roman" w:eastAsia="Times New Roman" w:hAnsi="Times New Roman" w:cs="Times New Roman"/>
          <w:sz w:val="24"/>
        </w:rPr>
        <w:t xml:space="preserve">– № 2(54). – С. 134-141. – EDN QYCLGC. </w:t>
      </w:r>
    </w:p>
    <w:p w:rsidR="0052701D" w:rsidRDefault="00D40929">
      <w:pPr>
        <w:numPr>
          <w:ilvl w:val="0"/>
          <w:numId w:val="166"/>
        </w:numPr>
        <w:spacing w:after="29" w:line="248" w:lineRule="auto"/>
        <w:ind w:right="14" w:firstLine="567"/>
        <w:jc w:val="both"/>
      </w:pPr>
      <w:r>
        <w:rPr>
          <w:rFonts w:ascii="Times New Roman" w:eastAsia="Times New Roman" w:hAnsi="Times New Roman" w:cs="Times New Roman"/>
          <w:sz w:val="24"/>
        </w:rPr>
        <w:t>Valeeva, Y. S. Digital Competence of Students, Postgraduates by means of Cross-cutting Digital Technologies in the Educational Process of Universities / Y. S. Valeeva, S. N. Valeeva, M. F. Shakurova // 2022 6th Inter</w:t>
      </w:r>
      <w:r>
        <w:rPr>
          <w:rFonts w:ascii="Times New Roman" w:eastAsia="Times New Roman" w:hAnsi="Times New Roman" w:cs="Times New Roman"/>
          <w:sz w:val="24"/>
        </w:rPr>
        <w:t xml:space="preserve">national Conference on Information Technologies in Engineering Education, Inforino 2022 - Proceedings : 6, Moscow, 12–15 апреля 2022 года. – Moscow, 2022. – DOI 10.1109/Inforino53888.2022.9782960. – EDN XOCGHW. </w:t>
      </w:r>
    </w:p>
    <w:p w:rsidR="0052701D" w:rsidRDefault="00D40929">
      <w:pPr>
        <w:numPr>
          <w:ilvl w:val="0"/>
          <w:numId w:val="166"/>
        </w:numPr>
        <w:spacing w:after="29" w:line="248" w:lineRule="auto"/>
        <w:ind w:right="14" w:firstLine="567"/>
        <w:jc w:val="both"/>
      </w:pPr>
      <w:r>
        <w:rPr>
          <w:rFonts w:ascii="Times New Roman" w:eastAsia="Times New Roman" w:hAnsi="Times New Roman" w:cs="Times New Roman"/>
          <w:sz w:val="24"/>
        </w:rPr>
        <w:t>Зуева, К. В. Анализ инновационной деятельнос</w:t>
      </w:r>
      <w:r>
        <w:rPr>
          <w:rFonts w:ascii="Times New Roman" w:eastAsia="Times New Roman" w:hAnsi="Times New Roman" w:cs="Times New Roman"/>
          <w:sz w:val="24"/>
        </w:rPr>
        <w:t>ти организации, современных наукоемких и информационных технологий, применяемых в организации / К. В. Зуева, Ю. С. Валеева // Актуальные проблемы управления : Сборник научных статей по итогам VI Всероссийской научно-практической конференции, Нижний Новгоро</w:t>
      </w:r>
      <w:r>
        <w:rPr>
          <w:rFonts w:ascii="Times New Roman" w:eastAsia="Times New Roman" w:hAnsi="Times New Roman" w:cs="Times New Roman"/>
          <w:sz w:val="24"/>
        </w:rPr>
        <w:t xml:space="preserve">д, 01–05 октября 2019 года / Редколлегия: С.Н. Яшин, Ю.С.Ширяева. – Нижний Новгород: Национальный исследовательский Нижегородский государственный университет им. Н.И. Лобачевского, 2019. – С. 198-201. – EDN RLCKLY. </w:t>
      </w:r>
    </w:p>
    <w:p w:rsidR="0052701D" w:rsidRDefault="00D40929">
      <w:pPr>
        <w:spacing w:after="29" w:line="248" w:lineRule="auto"/>
        <w:ind w:left="110" w:right="14"/>
        <w:jc w:val="both"/>
      </w:pPr>
      <w:r>
        <w:rPr>
          <w:rFonts w:ascii="Times New Roman" w:eastAsia="Times New Roman" w:hAnsi="Times New Roman" w:cs="Times New Roman"/>
          <w:sz w:val="24"/>
        </w:rPr>
        <w:t xml:space="preserve">УДК 33-332.1-330.15 </w:t>
      </w:r>
    </w:p>
    <w:p w:rsidR="0052701D" w:rsidRDefault="00D40929">
      <w:pPr>
        <w:spacing w:after="0"/>
        <w:ind w:left="110"/>
      </w:pPr>
      <w:r>
        <w:rPr>
          <w:rFonts w:ascii="Times New Roman" w:eastAsia="Times New Roman" w:hAnsi="Times New Roman" w:cs="Times New Roman"/>
          <w:sz w:val="28"/>
        </w:rPr>
        <w:t xml:space="preserve"> </w:t>
      </w:r>
    </w:p>
    <w:p w:rsidR="0052701D" w:rsidRDefault="00D40929">
      <w:pPr>
        <w:pStyle w:val="1"/>
        <w:ind w:left="720" w:right="0" w:firstLine="9"/>
        <w:jc w:val="left"/>
      </w:pPr>
      <w:r>
        <w:t>ОСОБЕННОСТИ ЭЛЕКТ</w:t>
      </w:r>
      <w:r>
        <w:t xml:space="preserve">РОСНАБЖЕНИЯ САДОВОДЧЕСКИХ </w:t>
      </w:r>
    </w:p>
    <w:p w:rsidR="0052701D" w:rsidRDefault="00D40929">
      <w:pPr>
        <w:spacing w:after="5" w:line="271" w:lineRule="auto"/>
        <w:ind w:left="720" w:firstLine="9"/>
      </w:pPr>
      <w:r>
        <w:rPr>
          <w:rFonts w:ascii="Times New Roman" w:eastAsia="Times New Roman" w:hAnsi="Times New Roman" w:cs="Times New Roman"/>
          <w:b/>
          <w:sz w:val="28"/>
        </w:rPr>
        <w:t xml:space="preserve">ТОВАРИЩЕСТВ  </w:t>
      </w:r>
    </w:p>
    <w:p w:rsidR="0052701D" w:rsidRDefault="00D40929">
      <w:pPr>
        <w:spacing w:after="0"/>
        <w:ind w:left="174"/>
        <w:jc w:val="center"/>
      </w:pPr>
      <w:r>
        <w:rPr>
          <w:rFonts w:ascii="Times New Roman" w:eastAsia="Times New Roman" w:hAnsi="Times New Roman" w:cs="Times New Roman"/>
          <w:sz w:val="28"/>
        </w:rPr>
        <w:t xml:space="preserve"> </w:t>
      </w:r>
    </w:p>
    <w:p w:rsidR="0052701D" w:rsidRDefault="00D40929">
      <w:pPr>
        <w:pStyle w:val="1"/>
        <w:spacing w:after="14" w:line="248" w:lineRule="auto"/>
        <w:ind w:left="2878" w:right="2713" w:hanging="5"/>
      </w:pPr>
      <w:r>
        <w:rPr>
          <w:b w:val="0"/>
          <w:sz w:val="24"/>
        </w:rPr>
        <w:t xml:space="preserve">Шайдуллин И.И., Галимова Э.И </w:t>
      </w:r>
    </w:p>
    <w:p w:rsidR="0052701D" w:rsidRDefault="00D40929">
      <w:pPr>
        <w:spacing w:after="14" w:line="248" w:lineRule="auto"/>
        <w:ind w:left="2878" w:right="2713" w:hanging="5"/>
        <w:jc w:val="center"/>
      </w:pPr>
      <w:r>
        <w:rPr>
          <w:rFonts w:ascii="Times New Roman" w:eastAsia="Times New Roman" w:hAnsi="Times New Roman" w:cs="Times New Roman"/>
          <w:sz w:val="24"/>
        </w:rPr>
        <w:t xml:space="preserve">ФГБОУ ВО «КГЭУ», г. Казань valis2000@mail.ru </w:t>
      </w:r>
    </w:p>
    <w:p w:rsidR="0052701D" w:rsidRDefault="00D40929">
      <w:pPr>
        <w:spacing w:after="0"/>
        <w:ind w:left="821"/>
      </w:pPr>
      <w:r>
        <w:rPr>
          <w:rFonts w:ascii="Times New Roman" w:eastAsia="Times New Roman" w:hAnsi="Times New Roman" w:cs="Times New Roman"/>
          <w:sz w:val="28"/>
        </w:rPr>
        <w:t xml:space="preserve"> </w:t>
      </w:r>
    </w:p>
    <w:p w:rsidR="0052701D" w:rsidRDefault="00D40929">
      <w:pPr>
        <w:spacing w:after="29" w:line="248" w:lineRule="auto"/>
        <w:ind w:left="110" w:firstLine="711"/>
        <w:jc w:val="both"/>
      </w:pPr>
      <w:r>
        <w:rPr>
          <w:rFonts w:ascii="Times New Roman" w:eastAsia="Times New Roman" w:hAnsi="Times New Roman" w:cs="Times New Roman"/>
          <w:b/>
          <w:i/>
          <w:sz w:val="24"/>
        </w:rPr>
        <w:t>Аннотация:</w:t>
      </w:r>
      <w:r>
        <w:rPr>
          <w:rFonts w:ascii="Times New Roman" w:eastAsia="Times New Roman" w:hAnsi="Times New Roman" w:cs="Times New Roman"/>
          <w:i/>
          <w:sz w:val="24"/>
        </w:rPr>
        <w:t xml:space="preserve"> В статье рассмотрены особенности электроснабжения садоводческих товариществ РТ.  </w:t>
      </w:r>
    </w:p>
    <w:p w:rsidR="0052701D" w:rsidRDefault="00D40929">
      <w:pPr>
        <w:spacing w:after="29" w:line="248" w:lineRule="auto"/>
        <w:ind w:left="821"/>
        <w:jc w:val="both"/>
      </w:pPr>
      <w:r>
        <w:rPr>
          <w:rFonts w:ascii="Times New Roman" w:eastAsia="Times New Roman" w:hAnsi="Times New Roman" w:cs="Times New Roman"/>
          <w:b/>
          <w:i/>
          <w:sz w:val="24"/>
        </w:rPr>
        <w:t>Ключевые слова:</w:t>
      </w:r>
      <w:r>
        <w:rPr>
          <w:rFonts w:ascii="Times New Roman" w:eastAsia="Times New Roman" w:hAnsi="Times New Roman" w:cs="Times New Roman"/>
          <w:i/>
          <w:sz w:val="24"/>
        </w:rPr>
        <w:t xml:space="preserve"> электроснабжение, </w:t>
      </w:r>
      <w:r>
        <w:rPr>
          <w:rFonts w:ascii="Times New Roman" w:eastAsia="Times New Roman" w:hAnsi="Times New Roman" w:cs="Times New Roman"/>
          <w:i/>
          <w:sz w:val="24"/>
        </w:rPr>
        <w:t xml:space="preserve">товарищества, СНТ </w:t>
      </w:r>
    </w:p>
    <w:p w:rsidR="0052701D" w:rsidRDefault="00D40929">
      <w:pPr>
        <w:spacing w:after="0"/>
        <w:ind w:left="821"/>
      </w:pPr>
      <w:r>
        <w:rPr>
          <w:rFonts w:ascii="Times New Roman" w:eastAsia="Times New Roman" w:hAnsi="Times New Roman" w:cs="Times New Roman"/>
          <w:sz w:val="28"/>
        </w:rPr>
        <w:t xml:space="preserve"> </w:t>
      </w:r>
    </w:p>
    <w:p w:rsidR="0052701D" w:rsidRDefault="00D40929">
      <w:pPr>
        <w:spacing w:after="5" w:line="271" w:lineRule="auto"/>
        <w:ind w:left="903" w:firstLine="9"/>
      </w:pPr>
      <w:r>
        <w:rPr>
          <w:rFonts w:ascii="Times New Roman" w:eastAsia="Times New Roman" w:hAnsi="Times New Roman" w:cs="Times New Roman"/>
          <w:b/>
          <w:sz w:val="28"/>
        </w:rPr>
        <w:t xml:space="preserve">PECULIARITIES OF ELECTRICITY SUPPLY IN GARDENING COMMUNITIES </w:t>
      </w:r>
    </w:p>
    <w:p w:rsidR="0052701D" w:rsidRDefault="00D40929">
      <w:pPr>
        <w:spacing w:after="0"/>
        <w:ind w:left="885"/>
        <w:jc w:val="center"/>
      </w:pPr>
      <w:r>
        <w:rPr>
          <w:rFonts w:ascii="Times New Roman" w:eastAsia="Times New Roman" w:hAnsi="Times New Roman" w:cs="Times New Roman"/>
          <w:b/>
          <w:sz w:val="28"/>
        </w:rPr>
        <w:t xml:space="preserve"> </w:t>
      </w:r>
    </w:p>
    <w:p w:rsidR="0052701D" w:rsidRDefault="00D40929">
      <w:pPr>
        <w:spacing w:after="14" w:line="248" w:lineRule="auto"/>
        <w:ind w:left="713" w:right="607" w:hanging="5"/>
        <w:jc w:val="center"/>
      </w:pPr>
      <w:r>
        <w:rPr>
          <w:rFonts w:ascii="Times New Roman" w:eastAsia="Times New Roman" w:hAnsi="Times New Roman" w:cs="Times New Roman"/>
          <w:sz w:val="24"/>
        </w:rPr>
        <w:t xml:space="preserve">Shaidullin I.I., Galimova E.I. </w:t>
      </w:r>
    </w:p>
    <w:p w:rsidR="0052701D" w:rsidRDefault="00D40929">
      <w:pPr>
        <w:spacing w:after="14" w:line="248" w:lineRule="auto"/>
        <w:ind w:left="2890" w:right="2725" w:hanging="5"/>
        <w:jc w:val="center"/>
      </w:pPr>
      <w:r>
        <w:rPr>
          <w:rFonts w:ascii="Times New Roman" w:eastAsia="Times New Roman" w:hAnsi="Times New Roman" w:cs="Times New Roman"/>
          <w:sz w:val="24"/>
        </w:rPr>
        <w:t xml:space="preserve">KSPEU, Kazan, Russia valis2000@mail.ru </w:t>
      </w:r>
    </w:p>
    <w:p w:rsidR="0052701D" w:rsidRDefault="00D40929">
      <w:pPr>
        <w:spacing w:after="0"/>
        <w:ind w:left="821"/>
      </w:pPr>
      <w:r>
        <w:rPr>
          <w:rFonts w:ascii="Times New Roman" w:eastAsia="Times New Roman" w:hAnsi="Times New Roman" w:cs="Times New Roman"/>
          <w:sz w:val="28"/>
        </w:rPr>
        <w:t xml:space="preserve"> </w:t>
      </w:r>
    </w:p>
    <w:p w:rsidR="0052701D" w:rsidRDefault="00D40929">
      <w:pPr>
        <w:spacing w:after="0" w:line="248" w:lineRule="auto"/>
        <w:ind w:left="110" w:firstLine="711"/>
        <w:jc w:val="both"/>
      </w:pPr>
      <w:r>
        <w:rPr>
          <w:rFonts w:ascii="Times New Roman" w:eastAsia="Times New Roman" w:hAnsi="Times New Roman" w:cs="Times New Roman"/>
          <w:b/>
          <w:i/>
          <w:sz w:val="24"/>
        </w:rPr>
        <w:t>Abstract:</w:t>
      </w:r>
      <w:r>
        <w:rPr>
          <w:rFonts w:ascii="Times New Roman" w:eastAsia="Times New Roman" w:hAnsi="Times New Roman" w:cs="Times New Roman"/>
          <w:i/>
          <w:sz w:val="24"/>
        </w:rPr>
        <w:t xml:space="preserve"> Peculiarities of power supply to gardeners' associations in RT are studied in the artic</w:t>
      </w:r>
      <w:r>
        <w:rPr>
          <w:rFonts w:ascii="Times New Roman" w:eastAsia="Times New Roman" w:hAnsi="Times New Roman" w:cs="Times New Roman"/>
          <w:i/>
          <w:sz w:val="24"/>
        </w:rPr>
        <w:t xml:space="preserve">le. </w:t>
      </w:r>
    </w:p>
    <w:p w:rsidR="0052701D" w:rsidRDefault="00D40929">
      <w:pPr>
        <w:spacing w:after="29" w:line="248" w:lineRule="auto"/>
        <w:ind w:left="821"/>
        <w:jc w:val="both"/>
      </w:pPr>
      <w:r>
        <w:rPr>
          <w:rFonts w:ascii="Times New Roman" w:eastAsia="Times New Roman" w:hAnsi="Times New Roman" w:cs="Times New Roman"/>
          <w:b/>
          <w:i/>
          <w:sz w:val="24"/>
        </w:rPr>
        <w:t>Key words:</w:t>
      </w:r>
      <w:r>
        <w:rPr>
          <w:rFonts w:ascii="Times New Roman" w:eastAsia="Times New Roman" w:hAnsi="Times New Roman" w:cs="Times New Roman"/>
          <w:i/>
          <w:sz w:val="24"/>
        </w:rPr>
        <w:t xml:space="preserve"> power supply, associations, gardening associations </w:t>
      </w:r>
    </w:p>
    <w:p w:rsidR="0052701D" w:rsidRDefault="00D40929">
      <w:pPr>
        <w:spacing w:after="0"/>
        <w:ind w:left="821"/>
      </w:pPr>
      <w:r>
        <w:rPr>
          <w:rFonts w:ascii="Times New Roman" w:eastAsia="Times New Roman" w:hAnsi="Times New Roman" w:cs="Times New Roman"/>
          <w:sz w:val="28"/>
        </w:rPr>
        <w:t xml:space="preserve"> </w:t>
      </w:r>
    </w:p>
    <w:p w:rsidR="0052701D" w:rsidRDefault="00D40929">
      <w:pPr>
        <w:spacing w:after="5" w:line="271" w:lineRule="auto"/>
        <w:ind w:left="110" w:right="64" w:firstLine="711"/>
        <w:jc w:val="both"/>
      </w:pPr>
      <w:r>
        <w:rPr>
          <w:rFonts w:ascii="Times New Roman" w:eastAsia="Times New Roman" w:hAnsi="Times New Roman" w:cs="Times New Roman"/>
          <w:sz w:val="28"/>
        </w:rPr>
        <w:t xml:space="preserve">Основу системы электроснабжения дачных массивов садоводческих обществ (СО) составляют распределительные сети напряжением 0,4–10 кВ, Причѐм </w:t>
      </w:r>
      <w:r>
        <w:rPr>
          <w:rFonts w:ascii="Times New Roman" w:eastAsia="Times New Roman" w:hAnsi="Times New Roman" w:cs="Times New Roman"/>
          <w:sz w:val="28"/>
        </w:rPr>
        <w:t>более 95 % из них составляет доля сетей напряжением 0,4 кВ. Нарезка дачных массивов выполнялась так, что длина улиц достигала длины до 1 км. Сезонный характер функционирования садоводческих обществ определял относительно невысокие электрические нагрузки, п</w:t>
      </w:r>
      <w:r>
        <w:rPr>
          <w:rFonts w:ascii="Times New Roman" w:eastAsia="Times New Roman" w:hAnsi="Times New Roman" w:cs="Times New Roman"/>
          <w:sz w:val="28"/>
        </w:rPr>
        <w:t xml:space="preserve">реимущественно в летний и отчасти в весенне-осенний периоды (около 1 кВт). Соответственно, в системе электроснабжения устанавливались маломощные трансформаторные пункты </w:t>
      </w:r>
      <w:r>
        <w:rPr>
          <w:rFonts w:ascii="Times New Roman" w:eastAsia="Times New Roman" w:hAnsi="Times New Roman" w:cs="Times New Roman"/>
          <w:sz w:val="28"/>
        </w:rPr>
        <w:lastRenderedPageBreak/>
        <w:t>(ТП) 6–10 кВ. Электрическое освещение практически не требовалось, и основными электропр</w:t>
      </w:r>
      <w:r>
        <w:rPr>
          <w:rFonts w:ascii="Times New Roman" w:eastAsia="Times New Roman" w:hAnsi="Times New Roman" w:cs="Times New Roman"/>
          <w:sz w:val="28"/>
        </w:rPr>
        <w:t xml:space="preserve">иѐмниками были маломощные однофазные электрические насосы [1]. В силу этих факторов, изначально магистральные электрические сети 0,4 кВ выполнялись голым алюминиевым проводом относительно небольшого сечения (16–35 мм 2) [2]. Учет электроэнергии в основном </w:t>
      </w:r>
      <w:r>
        <w:rPr>
          <w:rFonts w:ascii="Times New Roman" w:eastAsia="Times New Roman" w:hAnsi="Times New Roman" w:cs="Times New Roman"/>
          <w:sz w:val="28"/>
        </w:rPr>
        <w:t>выполнялся на вводах 0,4 кВ головных ТП садоводческих обществ, а плата за электроэнергию распределялась между членами СО в составе ежегодных взносов. В современных условиях наблюдается устойчивая тенденция неуклонного роста объѐмов дачного строительства [3</w:t>
      </w:r>
      <w:r>
        <w:rPr>
          <w:rFonts w:ascii="Times New Roman" w:eastAsia="Times New Roman" w:hAnsi="Times New Roman" w:cs="Times New Roman"/>
          <w:sz w:val="28"/>
        </w:rPr>
        <w:t>]. При этом, на территории садовых участков возводятся капитальные жилые дома, включающие всю необходимую бытовую инфраструктуру, что коренным образом изменило требования к техническим и технологическим возможностям дачных электрических сетей, в том числе,</w:t>
      </w:r>
      <w:r>
        <w:rPr>
          <w:rFonts w:ascii="Times New Roman" w:eastAsia="Times New Roman" w:hAnsi="Times New Roman" w:cs="Times New Roman"/>
          <w:sz w:val="28"/>
        </w:rPr>
        <w:t xml:space="preserve"> и к организации индивидуального учёта электрической энергии. Низкие уровни напряжений в удалённых точках электрической сети 0,4 кВ, перегруженность силовых трансформаторов ТП, высокий процент коммерческих потерь, вследствие несанкционированного потреблени</w:t>
      </w:r>
      <w:r>
        <w:rPr>
          <w:rFonts w:ascii="Times New Roman" w:eastAsia="Times New Roman" w:hAnsi="Times New Roman" w:cs="Times New Roman"/>
          <w:sz w:val="28"/>
        </w:rPr>
        <w:t>я (хищения) электроэнергии, особенно в зимний период привели к острой необходимости реконструкции системы электроснабжения и строительству новых линий и трансформаторных пунктов [4, 5]. Кроме того, физические лица – владельцы дачных хозяйств в массовом пор</w:t>
      </w:r>
      <w:r>
        <w:rPr>
          <w:rFonts w:ascii="Times New Roman" w:eastAsia="Times New Roman" w:hAnsi="Times New Roman" w:cs="Times New Roman"/>
          <w:sz w:val="28"/>
        </w:rPr>
        <w:t>ядке оформляют технологическое присоединение к электрической сети для последующего выхода на прямые расчѐты с гарантирующим поставщиком (энергосбытовой организацией). При этом, в соответствии с постановлением Правительства РФ № 861 от 27.12.2004 г. (ред. о</w:t>
      </w:r>
      <w:r>
        <w:rPr>
          <w:rFonts w:ascii="Times New Roman" w:eastAsia="Times New Roman" w:hAnsi="Times New Roman" w:cs="Times New Roman"/>
          <w:sz w:val="28"/>
        </w:rPr>
        <w:t xml:space="preserve">т 22.06.2019 г.), после обследования точки присоединения соответствующая территориальная сетевая компания (ТСО) разрабатывает технические условия как приложение к договору об осуществлении технологического присоединения, в котором определяются технические </w:t>
      </w:r>
      <w:r>
        <w:rPr>
          <w:rFonts w:ascii="Times New Roman" w:eastAsia="Times New Roman" w:hAnsi="Times New Roman" w:cs="Times New Roman"/>
          <w:sz w:val="28"/>
        </w:rPr>
        <w:t>мероприятия для обеих сторон договора [6]. Следует отметить, что в современных условиях для выполнения всех необходимых технических требований по эксплуатации электрических сетей, а также для осуществления технических мероприятий по их реконструкции и разв</w:t>
      </w:r>
      <w:r>
        <w:rPr>
          <w:rFonts w:ascii="Times New Roman" w:eastAsia="Times New Roman" w:hAnsi="Times New Roman" w:cs="Times New Roman"/>
          <w:sz w:val="28"/>
        </w:rPr>
        <w:t>итию садовые общества, как правило, передают свои электрические сети в аренду или собственность территориальным сетевым организациям [7, 8]. Это, кроме всего прочего, ещё и способствует повышению надёжности электроснабжения бытовых потребителей, за счёт то</w:t>
      </w:r>
      <w:r>
        <w:rPr>
          <w:rFonts w:ascii="Times New Roman" w:eastAsia="Times New Roman" w:hAnsi="Times New Roman" w:cs="Times New Roman"/>
          <w:sz w:val="28"/>
        </w:rPr>
        <w:t>го, что ТСО организуют оперативное диспетчерское технологическое сопровождение, а также дежурство и работу аварийных ремонтных бригад. Всё это, в комплексе, отчасти уменьшило остроту указанных выше технических проблем, но не решило их полностью. В частност</w:t>
      </w:r>
      <w:r>
        <w:rPr>
          <w:rFonts w:ascii="Times New Roman" w:eastAsia="Times New Roman" w:hAnsi="Times New Roman" w:cs="Times New Roman"/>
          <w:sz w:val="28"/>
        </w:rPr>
        <w:t xml:space="preserve">и, по-прежнему весьма актуальным является состояние системы учёта электроэнергии, потребленной дачными хозяйствами, поскольку от их достоверности и полноты напрямую зависит экономика ТСО в части </w:t>
      </w:r>
      <w:r>
        <w:rPr>
          <w:rFonts w:ascii="Times New Roman" w:eastAsia="Times New Roman" w:hAnsi="Times New Roman" w:cs="Times New Roman"/>
          <w:sz w:val="28"/>
        </w:rPr>
        <w:lastRenderedPageBreak/>
        <w:t xml:space="preserve">финансового возмещения потерь электроэнергии в электрической </w:t>
      </w:r>
      <w:r>
        <w:rPr>
          <w:rFonts w:ascii="Times New Roman" w:eastAsia="Times New Roman" w:hAnsi="Times New Roman" w:cs="Times New Roman"/>
          <w:sz w:val="28"/>
        </w:rPr>
        <w:t>сети [9]. В настоящее время техническое и организационное обеспечение эксплуатации системы электроснабжения дачных хозяйств выполняется в рамках требований нормативных и директивных документов отрасли электроэнергетики, в том числе постановлений Правительс</w:t>
      </w:r>
      <w:r>
        <w:rPr>
          <w:rFonts w:ascii="Times New Roman" w:eastAsia="Times New Roman" w:hAnsi="Times New Roman" w:cs="Times New Roman"/>
          <w:sz w:val="28"/>
        </w:rPr>
        <w:t>тва РФ № 1351 от 10.11.2017 г., № 442 от 04.05.2012 г. Указанные документы регламентируют процедуру технологического присоединения к электрическим сетям территориальных сетевых организаций, а также включают требования к выполнению учёта электроэнергии в то</w:t>
      </w:r>
      <w:r>
        <w:rPr>
          <w:rFonts w:ascii="Times New Roman" w:eastAsia="Times New Roman" w:hAnsi="Times New Roman" w:cs="Times New Roman"/>
          <w:sz w:val="28"/>
        </w:rPr>
        <w:t xml:space="preserve">чках балансового разграничения Заявителей и ТСО [10].  </w:t>
      </w:r>
    </w:p>
    <w:p w:rsidR="0052701D" w:rsidRDefault="00D40929">
      <w:pPr>
        <w:spacing w:after="5" w:line="271" w:lineRule="auto"/>
        <w:ind w:left="110" w:right="64" w:firstLine="711"/>
        <w:jc w:val="both"/>
      </w:pPr>
      <w:r>
        <w:rPr>
          <w:rFonts w:ascii="Times New Roman" w:eastAsia="Times New Roman" w:hAnsi="Times New Roman" w:cs="Times New Roman"/>
          <w:sz w:val="28"/>
        </w:rPr>
        <w:t>Садоводческие товарищества, имеющие на своем балансе электрические сети, вынуждены оплачивать их содержание, потери, возникающие при транспортировке электроэнергии, а также расходы, возникающие при не</w:t>
      </w:r>
      <w:r>
        <w:rPr>
          <w:rFonts w:ascii="Times New Roman" w:eastAsia="Times New Roman" w:hAnsi="Times New Roman" w:cs="Times New Roman"/>
          <w:sz w:val="28"/>
        </w:rPr>
        <w:t xml:space="preserve">санкционированном потреблении электроэнергии.  </w:t>
      </w:r>
    </w:p>
    <w:p w:rsidR="0052701D" w:rsidRDefault="00D40929">
      <w:pPr>
        <w:spacing w:after="5" w:line="271" w:lineRule="auto"/>
        <w:ind w:left="110" w:right="64" w:firstLine="711"/>
        <w:jc w:val="both"/>
      </w:pPr>
      <w:r>
        <w:rPr>
          <w:rFonts w:ascii="Times New Roman" w:eastAsia="Times New Roman" w:hAnsi="Times New Roman" w:cs="Times New Roman"/>
          <w:sz w:val="28"/>
        </w:rPr>
        <w:t>По распоряжению Кабинета Министров РТ от 30.12.2016г. №3201-р с 2017г. ежегодно выделяется 100 млн. руб. на финансирование плана мероприятий по строительству реконструкции и капитальному ремонту объектов элек</w:t>
      </w:r>
      <w:r>
        <w:rPr>
          <w:rFonts w:ascii="Times New Roman" w:eastAsia="Times New Roman" w:hAnsi="Times New Roman" w:cs="Times New Roman"/>
          <w:sz w:val="28"/>
        </w:rPr>
        <w:t xml:space="preserve">тросетевого хозяйства СНТ. </w:t>
      </w:r>
    </w:p>
    <w:p w:rsidR="0052701D" w:rsidRDefault="00D40929">
      <w:pPr>
        <w:spacing w:after="5" w:line="271" w:lineRule="auto"/>
        <w:ind w:left="110" w:right="64" w:firstLine="711"/>
        <w:jc w:val="both"/>
      </w:pPr>
      <w:r>
        <w:rPr>
          <w:rFonts w:ascii="Times New Roman" w:eastAsia="Times New Roman" w:hAnsi="Times New Roman" w:cs="Times New Roman"/>
          <w:sz w:val="28"/>
        </w:rPr>
        <w:t>В таблице 1 представлено количество садовых товариществ в РТ, по которым были выполнены вышеназванные работы. Следует отметить, что динамики снижения реконструируемых СНТ и количественных характеристик вызвана неудовлетворительн</w:t>
      </w:r>
      <w:r>
        <w:rPr>
          <w:rFonts w:ascii="Times New Roman" w:eastAsia="Times New Roman" w:hAnsi="Times New Roman" w:cs="Times New Roman"/>
          <w:sz w:val="28"/>
        </w:rPr>
        <w:t xml:space="preserve">ым состоянием электросетевого хозяйства и как следствие необходимостью решения большого комплекса задач для приведения электрооборудования в нормативное состояние в каждом конкретном садовом товариществе.  </w:t>
      </w:r>
    </w:p>
    <w:p w:rsidR="0052701D" w:rsidRDefault="00D40929">
      <w:pPr>
        <w:spacing w:after="5" w:line="271" w:lineRule="auto"/>
        <w:ind w:left="110" w:right="64" w:firstLine="711"/>
        <w:jc w:val="both"/>
      </w:pPr>
      <w:r>
        <w:rPr>
          <w:rFonts w:ascii="Times New Roman" w:eastAsia="Times New Roman" w:hAnsi="Times New Roman" w:cs="Times New Roman"/>
          <w:sz w:val="28"/>
        </w:rPr>
        <w:t xml:space="preserve">В таблице 2 представлена разбивка по муниципальным районам РТ, в которых в 2021 году были проведены работы по строительству, реконструкции и капитальному ремонту объектов электросетевого хозяйства.  </w:t>
      </w:r>
    </w:p>
    <w:p w:rsidR="0052701D" w:rsidRDefault="00D40929">
      <w:pPr>
        <w:spacing w:after="26"/>
        <w:ind w:left="821"/>
      </w:pPr>
      <w:r>
        <w:rPr>
          <w:rFonts w:ascii="Times New Roman" w:eastAsia="Times New Roman" w:hAnsi="Times New Roman" w:cs="Times New Roman"/>
          <w:sz w:val="28"/>
        </w:rPr>
        <w:t xml:space="preserve"> </w:t>
      </w:r>
    </w:p>
    <w:p w:rsidR="0052701D" w:rsidRDefault="00D40929">
      <w:pPr>
        <w:spacing w:after="14" w:line="249" w:lineRule="auto"/>
        <w:ind w:left="954" w:right="852" w:hanging="10"/>
        <w:jc w:val="center"/>
      </w:pPr>
      <w:r>
        <w:rPr>
          <w:rFonts w:ascii="Times New Roman" w:eastAsia="Times New Roman" w:hAnsi="Times New Roman" w:cs="Times New Roman"/>
          <w:sz w:val="28"/>
        </w:rPr>
        <w:t xml:space="preserve">Таблица 1 - Реализация программы СНТ </w:t>
      </w:r>
    </w:p>
    <w:tbl>
      <w:tblPr>
        <w:tblStyle w:val="TableGrid"/>
        <w:tblW w:w="9633" w:type="dxa"/>
        <w:tblInd w:w="115" w:type="dxa"/>
        <w:tblCellMar>
          <w:top w:w="83" w:type="dxa"/>
          <w:left w:w="19" w:type="dxa"/>
          <w:bottom w:w="0" w:type="dxa"/>
          <w:right w:w="103" w:type="dxa"/>
        </w:tblCellMar>
        <w:tblLook w:val="04A0" w:firstRow="1" w:lastRow="0" w:firstColumn="1" w:lastColumn="0" w:noHBand="0" w:noVBand="1"/>
      </w:tblPr>
      <w:tblGrid>
        <w:gridCol w:w="1925"/>
        <w:gridCol w:w="1931"/>
        <w:gridCol w:w="1925"/>
        <w:gridCol w:w="1926"/>
        <w:gridCol w:w="1926"/>
      </w:tblGrid>
      <w:tr w:rsidR="0052701D">
        <w:trPr>
          <w:trHeight w:val="1128"/>
        </w:trPr>
        <w:tc>
          <w:tcPr>
            <w:tcW w:w="192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25"/>
            </w:pPr>
            <w:r>
              <w:rPr>
                <w:rFonts w:ascii="Times New Roman" w:eastAsia="Times New Roman" w:hAnsi="Times New Roman" w:cs="Times New Roman"/>
                <w:sz w:val="28"/>
              </w:rPr>
              <w:t xml:space="preserve">Год </w:t>
            </w:r>
          </w:p>
        </w:tc>
        <w:tc>
          <w:tcPr>
            <w:tcW w:w="193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30"/>
            </w:pPr>
            <w:r>
              <w:rPr>
                <w:rFonts w:ascii="Times New Roman" w:eastAsia="Times New Roman" w:hAnsi="Times New Roman" w:cs="Times New Roman"/>
                <w:sz w:val="28"/>
              </w:rPr>
              <w:t>Кол-во СНТ,</w:t>
            </w:r>
            <w:r>
              <w:rPr>
                <w:rFonts w:ascii="Times New Roman" w:eastAsia="Times New Roman" w:hAnsi="Times New Roman" w:cs="Times New Roman"/>
                <w:sz w:val="28"/>
              </w:rPr>
              <w:t xml:space="preserve">  шт. </w:t>
            </w:r>
          </w:p>
        </w:tc>
        <w:tc>
          <w:tcPr>
            <w:tcW w:w="1925"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25"/>
            </w:pPr>
            <w:r>
              <w:rPr>
                <w:rFonts w:ascii="Times New Roman" w:eastAsia="Times New Roman" w:hAnsi="Times New Roman" w:cs="Times New Roman"/>
                <w:sz w:val="28"/>
              </w:rPr>
              <w:t xml:space="preserve">Кол-во участков, шт. </w:t>
            </w:r>
          </w:p>
        </w:tc>
        <w:tc>
          <w:tcPr>
            <w:tcW w:w="1926" w:type="dxa"/>
            <w:tcBorders>
              <w:top w:val="single" w:sz="4" w:space="0" w:color="000000"/>
              <w:left w:val="single" w:sz="4" w:space="0" w:color="000000"/>
              <w:bottom w:val="single" w:sz="4" w:space="0" w:color="000000"/>
              <w:right w:val="single" w:sz="4" w:space="0" w:color="000000"/>
            </w:tcBorders>
          </w:tcPr>
          <w:p w:rsidR="0052701D" w:rsidRDefault="00D40929">
            <w:pPr>
              <w:spacing w:after="25"/>
              <w:ind w:left="125"/>
            </w:pPr>
            <w:r>
              <w:rPr>
                <w:rFonts w:ascii="Times New Roman" w:eastAsia="Times New Roman" w:hAnsi="Times New Roman" w:cs="Times New Roman"/>
                <w:sz w:val="28"/>
              </w:rPr>
              <w:t xml:space="preserve">Длина </w:t>
            </w:r>
          </w:p>
          <w:p w:rsidR="0052701D" w:rsidRDefault="00D40929">
            <w:pPr>
              <w:spacing w:after="0"/>
              <w:ind w:left="125"/>
            </w:pPr>
            <w:r>
              <w:rPr>
                <w:rFonts w:ascii="Times New Roman" w:eastAsia="Times New Roman" w:hAnsi="Times New Roman" w:cs="Times New Roman"/>
                <w:sz w:val="28"/>
              </w:rPr>
              <w:t xml:space="preserve">ВЛ/КЛ, км </w:t>
            </w:r>
          </w:p>
        </w:tc>
        <w:tc>
          <w:tcPr>
            <w:tcW w:w="192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25"/>
            </w:pPr>
            <w:r>
              <w:rPr>
                <w:rFonts w:ascii="Times New Roman" w:eastAsia="Times New Roman" w:hAnsi="Times New Roman" w:cs="Times New Roman"/>
                <w:sz w:val="28"/>
              </w:rPr>
              <w:t xml:space="preserve">Кол-во КТП,  шт </w:t>
            </w:r>
          </w:p>
        </w:tc>
      </w:tr>
      <w:tr w:rsidR="0052701D">
        <w:trPr>
          <w:trHeight w:val="475"/>
        </w:trPr>
        <w:tc>
          <w:tcPr>
            <w:tcW w:w="192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25"/>
            </w:pPr>
            <w:r>
              <w:rPr>
                <w:rFonts w:ascii="Times New Roman" w:eastAsia="Times New Roman" w:hAnsi="Times New Roman" w:cs="Times New Roman"/>
                <w:sz w:val="28"/>
              </w:rPr>
              <w:t xml:space="preserve">2017 </w:t>
            </w:r>
          </w:p>
        </w:tc>
        <w:tc>
          <w:tcPr>
            <w:tcW w:w="193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sz w:val="28"/>
              </w:rPr>
              <w:t xml:space="preserve">58 </w:t>
            </w:r>
          </w:p>
        </w:tc>
        <w:tc>
          <w:tcPr>
            <w:tcW w:w="1925"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 xml:space="preserve">35 431 </w:t>
            </w:r>
          </w:p>
        </w:tc>
        <w:tc>
          <w:tcPr>
            <w:tcW w:w="1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 xml:space="preserve">59 </w:t>
            </w:r>
          </w:p>
        </w:tc>
        <w:tc>
          <w:tcPr>
            <w:tcW w:w="1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 xml:space="preserve">16 </w:t>
            </w:r>
          </w:p>
        </w:tc>
      </w:tr>
      <w:tr w:rsidR="0052701D">
        <w:trPr>
          <w:trHeight w:val="475"/>
        </w:trPr>
        <w:tc>
          <w:tcPr>
            <w:tcW w:w="192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25"/>
            </w:pPr>
            <w:r>
              <w:rPr>
                <w:rFonts w:ascii="Times New Roman" w:eastAsia="Times New Roman" w:hAnsi="Times New Roman" w:cs="Times New Roman"/>
                <w:sz w:val="28"/>
              </w:rPr>
              <w:t xml:space="preserve">2018 </w:t>
            </w:r>
          </w:p>
        </w:tc>
        <w:tc>
          <w:tcPr>
            <w:tcW w:w="193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sz w:val="28"/>
              </w:rPr>
              <w:t xml:space="preserve">73 </w:t>
            </w:r>
          </w:p>
        </w:tc>
        <w:tc>
          <w:tcPr>
            <w:tcW w:w="1925"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 xml:space="preserve">22 614 </w:t>
            </w:r>
          </w:p>
        </w:tc>
        <w:tc>
          <w:tcPr>
            <w:tcW w:w="1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 xml:space="preserve">38 </w:t>
            </w:r>
          </w:p>
        </w:tc>
        <w:tc>
          <w:tcPr>
            <w:tcW w:w="1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 xml:space="preserve">30 </w:t>
            </w:r>
          </w:p>
        </w:tc>
      </w:tr>
      <w:tr w:rsidR="0052701D">
        <w:trPr>
          <w:trHeight w:val="475"/>
        </w:trPr>
        <w:tc>
          <w:tcPr>
            <w:tcW w:w="192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25"/>
            </w:pPr>
            <w:r>
              <w:rPr>
                <w:rFonts w:ascii="Times New Roman" w:eastAsia="Times New Roman" w:hAnsi="Times New Roman" w:cs="Times New Roman"/>
                <w:sz w:val="28"/>
              </w:rPr>
              <w:t xml:space="preserve">2019 </w:t>
            </w:r>
          </w:p>
        </w:tc>
        <w:tc>
          <w:tcPr>
            <w:tcW w:w="193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sz w:val="28"/>
              </w:rPr>
              <w:t xml:space="preserve">63 </w:t>
            </w:r>
          </w:p>
        </w:tc>
        <w:tc>
          <w:tcPr>
            <w:tcW w:w="1925"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 xml:space="preserve">25 169 </w:t>
            </w:r>
          </w:p>
        </w:tc>
        <w:tc>
          <w:tcPr>
            <w:tcW w:w="1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 xml:space="preserve">21 </w:t>
            </w:r>
          </w:p>
        </w:tc>
        <w:tc>
          <w:tcPr>
            <w:tcW w:w="1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 xml:space="preserve">74 </w:t>
            </w:r>
          </w:p>
        </w:tc>
      </w:tr>
      <w:tr w:rsidR="0052701D">
        <w:trPr>
          <w:trHeight w:val="476"/>
        </w:trPr>
        <w:tc>
          <w:tcPr>
            <w:tcW w:w="192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25"/>
            </w:pPr>
            <w:r>
              <w:rPr>
                <w:rFonts w:ascii="Times New Roman" w:eastAsia="Times New Roman" w:hAnsi="Times New Roman" w:cs="Times New Roman"/>
                <w:sz w:val="28"/>
              </w:rPr>
              <w:t xml:space="preserve">2020 </w:t>
            </w:r>
          </w:p>
        </w:tc>
        <w:tc>
          <w:tcPr>
            <w:tcW w:w="193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sz w:val="28"/>
              </w:rPr>
              <w:t xml:space="preserve">58 </w:t>
            </w:r>
          </w:p>
        </w:tc>
        <w:tc>
          <w:tcPr>
            <w:tcW w:w="1925"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 xml:space="preserve">22 279 </w:t>
            </w:r>
          </w:p>
        </w:tc>
        <w:tc>
          <w:tcPr>
            <w:tcW w:w="1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 xml:space="preserve">12 </w:t>
            </w:r>
          </w:p>
        </w:tc>
        <w:tc>
          <w:tcPr>
            <w:tcW w:w="1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 xml:space="preserve">70 </w:t>
            </w:r>
          </w:p>
        </w:tc>
      </w:tr>
      <w:tr w:rsidR="0052701D">
        <w:trPr>
          <w:trHeight w:val="475"/>
        </w:trPr>
        <w:tc>
          <w:tcPr>
            <w:tcW w:w="192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25"/>
            </w:pPr>
            <w:r>
              <w:rPr>
                <w:rFonts w:ascii="Times New Roman" w:eastAsia="Times New Roman" w:hAnsi="Times New Roman" w:cs="Times New Roman"/>
                <w:sz w:val="28"/>
              </w:rPr>
              <w:t xml:space="preserve">2021 </w:t>
            </w:r>
          </w:p>
        </w:tc>
        <w:tc>
          <w:tcPr>
            <w:tcW w:w="193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sz w:val="28"/>
              </w:rPr>
              <w:t xml:space="preserve">33 </w:t>
            </w:r>
          </w:p>
        </w:tc>
        <w:tc>
          <w:tcPr>
            <w:tcW w:w="1925"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 xml:space="preserve">12 539 </w:t>
            </w:r>
          </w:p>
        </w:tc>
        <w:tc>
          <w:tcPr>
            <w:tcW w:w="1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 xml:space="preserve">16 </w:t>
            </w:r>
          </w:p>
        </w:tc>
        <w:tc>
          <w:tcPr>
            <w:tcW w:w="1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 xml:space="preserve">39 </w:t>
            </w:r>
          </w:p>
        </w:tc>
      </w:tr>
      <w:tr w:rsidR="0052701D">
        <w:trPr>
          <w:trHeight w:val="480"/>
        </w:trPr>
        <w:tc>
          <w:tcPr>
            <w:tcW w:w="1926"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125"/>
            </w:pPr>
            <w:r>
              <w:rPr>
                <w:rFonts w:ascii="Times New Roman" w:eastAsia="Times New Roman" w:hAnsi="Times New Roman" w:cs="Times New Roman"/>
                <w:sz w:val="28"/>
              </w:rPr>
              <w:t xml:space="preserve">Итого </w:t>
            </w:r>
          </w:p>
        </w:tc>
        <w:tc>
          <w:tcPr>
            <w:tcW w:w="1931" w:type="dxa"/>
            <w:tcBorders>
              <w:top w:val="single" w:sz="4" w:space="0" w:color="000000"/>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sz w:val="28"/>
              </w:rPr>
              <w:t xml:space="preserve">285 </w:t>
            </w:r>
          </w:p>
        </w:tc>
        <w:tc>
          <w:tcPr>
            <w:tcW w:w="1925"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 xml:space="preserve">118 032 </w:t>
            </w:r>
          </w:p>
        </w:tc>
        <w:tc>
          <w:tcPr>
            <w:tcW w:w="1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 xml:space="preserve">146 </w:t>
            </w:r>
          </w:p>
        </w:tc>
        <w:tc>
          <w:tcPr>
            <w:tcW w:w="1926" w:type="dxa"/>
            <w:tcBorders>
              <w:top w:val="single" w:sz="4" w:space="0" w:color="000000"/>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 xml:space="preserve">229 </w:t>
            </w:r>
          </w:p>
        </w:tc>
      </w:tr>
    </w:tbl>
    <w:p w:rsidR="0052701D" w:rsidRDefault="00D40929">
      <w:pPr>
        <w:spacing w:after="0"/>
        <w:ind w:left="821"/>
      </w:pPr>
      <w:r>
        <w:rPr>
          <w:rFonts w:ascii="Times New Roman" w:eastAsia="Times New Roman" w:hAnsi="Times New Roman" w:cs="Times New Roman"/>
          <w:sz w:val="28"/>
        </w:rPr>
        <w:lastRenderedPageBreak/>
        <w:t xml:space="preserve"> </w:t>
      </w:r>
    </w:p>
    <w:p w:rsidR="0052701D" w:rsidRDefault="00D40929">
      <w:pPr>
        <w:spacing w:after="26"/>
        <w:ind w:left="821"/>
      </w:pPr>
      <w:r>
        <w:rPr>
          <w:rFonts w:ascii="Times New Roman" w:eastAsia="Times New Roman" w:hAnsi="Times New Roman" w:cs="Times New Roman"/>
          <w:sz w:val="28"/>
        </w:rPr>
        <w:t xml:space="preserve"> </w:t>
      </w:r>
    </w:p>
    <w:p w:rsidR="0052701D" w:rsidRDefault="00D40929">
      <w:pPr>
        <w:spacing w:after="14" w:line="249" w:lineRule="auto"/>
        <w:ind w:left="108" w:hanging="10"/>
        <w:jc w:val="center"/>
      </w:pPr>
      <w:r>
        <w:rPr>
          <w:rFonts w:ascii="Times New Roman" w:eastAsia="Times New Roman" w:hAnsi="Times New Roman" w:cs="Times New Roman"/>
          <w:sz w:val="28"/>
        </w:rPr>
        <w:t xml:space="preserve">Таблица 2 – </w:t>
      </w:r>
      <w:r>
        <w:rPr>
          <w:rFonts w:ascii="Times New Roman" w:eastAsia="Times New Roman" w:hAnsi="Times New Roman" w:cs="Times New Roman"/>
          <w:sz w:val="28"/>
        </w:rPr>
        <w:t xml:space="preserve">Охват муниципальных районов РТ по программе СНТ в 2021г. </w:t>
      </w:r>
    </w:p>
    <w:tbl>
      <w:tblPr>
        <w:tblStyle w:val="TableGrid"/>
        <w:tblW w:w="9633" w:type="dxa"/>
        <w:tblInd w:w="115" w:type="dxa"/>
        <w:tblCellMar>
          <w:top w:w="12" w:type="dxa"/>
          <w:left w:w="10" w:type="dxa"/>
          <w:bottom w:w="0" w:type="dxa"/>
          <w:right w:w="115" w:type="dxa"/>
        </w:tblCellMar>
        <w:tblLook w:val="04A0" w:firstRow="1" w:lastRow="0" w:firstColumn="1" w:lastColumn="0" w:noHBand="0" w:noVBand="1"/>
      </w:tblPr>
      <w:tblGrid>
        <w:gridCol w:w="1345"/>
        <w:gridCol w:w="5839"/>
        <w:gridCol w:w="2449"/>
      </w:tblGrid>
      <w:tr w:rsidR="0052701D">
        <w:trPr>
          <w:trHeight w:val="395"/>
        </w:trPr>
        <w:tc>
          <w:tcPr>
            <w:tcW w:w="1345" w:type="dxa"/>
            <w:tcBorders>
              <w:top w:val="single" w:sz="4" w:space="0" w:color="000000"/>
              <w:left w:val="single" w:sz="4" w:space="0" w:color="000000"/>
              <w:bottom w:val="single" w:sz="6" w:space="0" w:color="FFFFFF"/>
              <w:right w:val="single" w:sz="4" w:space="0" w:color="000000"/>
            </w:tcBorders>
          </w:tcPr>
          <w:p w:rsidR="0052701D" w:rsidRDefault="00D40929">
            <w:pPr>
              <w:spacing w:after="0"/>
            </w:pPr>
            <w:r>
              <w:rPr>
                <w:rFonts w:ascii="Times New Roman" w:eastAsia="Times New Roman" w:hAnsi="Times New Roman" w:cs="Times New Roman"/>
                <w:sz w:val="28"/>
              </w:rPr>
              <w:t xml:space="preserve">№ п/п </w:t>
            </w:r>
          </w:p>
        </w:tc>
        <w:tc>
          <w:tcPr>
            <w:tcW w:w="5839" w:type="dxa"/>
            <w:tcBorders>
              <w:top w:val="single" w:sz="4" w:space="0" w:color="000000"/>
              <w:left w:val="single" w:sz="4" w:space="0" w:color="000000"/>
              <w:bottom w:val="single" w:sz="6" w:space="0" w:color="FFFFFF"/>
              <w:right w:val="single" w:sz="4" w:space="0" w:color="000000"/>
            </w:tcBorders>
          </w:tcPr>
          <w:p w:rsidR="0052701D" w:rsidRDefault="00D40929">
            <w:pPr>
              <w:spacing w:after="0"/>
              <w:ind w:left="5"/>
            </w:pPr>
            <w:r>
              <w:rPr>
                <w:rFonts w:ascii="Times New Roman" w:eastAsia="Times New Roman" w:hAnsi="Times New Roman" w:cs="Times New Roman"/>
                <w:sz w:val="28"/>
              </w:rPr>
              <w:t xml:space="preserve">Муниципальный район </w:t>
            </w:r>
          </w:p>
        </w:tc>
        <w:tc>
          <w:tcPr>
            <w:tcW w:w="2449" w:type="dxa"/>
            <w:tcBorders>
              <w:top w:val="single" w:sz="4" w:space="0" w:color="000000"/>
              <w:left w:val="single" w:sz="4" w:space="0" w:color="000000"/>
              <w:bottom w:val="single" w:sz="6" w:space="0" w:color="FFFFFF"/>
              <w:right w:val="single" w:sz="4" w:space="0" w:color="000000"/>
            </w:tcBorders>
          </w:tcPr>
          <w:p w:rsidR="0052701D" w:rsidRDefault="00D40929">
            <w:pPr>
              <w:spacing w:after="0"/>
            </w:pPr>
            <w:r>
              <w:rPr>
                <w:rFonts w:ascii="Times New Roman" w:eastAsia="Times New Roman" w:hAnsi="Times New Roman" w:cs="Times New Roman"/>
                <w:sz w:val="28"/>
              </w:rPr>
              <w:t xml:space="preserve">Кол-во СНТ, шт. </w:t>
            </w:r>
          </w:p>
        </w:tc>
      </w:tr>
      <w:tr w:rsidR="0052701D">
        <w:trPr>
          <w:trHeight w:val="346"/>
        </w:trPr>
        <w:tc>
          <w:tcPr>
            <w:tcW w:w="1345" w:type="dxa"/>
            <w:tcBorders>
              <w:top w:val="single" w:sz="6" w:space="0" w:color="FFFFFF"/>
              <w:left w:val="single" w:sz="4" w:space="0" w:color="000000"/>
              <w:bottom w:val="single" w:sz="6" w:space="0" w:color="FFFFFF"/>
              <w:right w:val="single" w:sz="4" w:space="0" w:color="000000"/>
            </w:tcBorders>
          </w:tcPr>
          <w:p w:rsidR="0052701D" w:rsidRDefault="00D40929">
            <w:pPr>
              <w:spacing w:after="0"/>
            </w:pPr>
            <w:r>
              <w:rPr>
                <w:rFonts w:ascii="Times New Roman" w:eastAsia="Times New Roman" w:hAnsi="Times New Roman" w:cs="Times New Roman"/>
                <w:sz w:val="28"/>
              </w:rPr>
              <w:t xml:space="preserve">1 </w:t>
            </w:r>
          </w:p>
        </w:tc>
        <w:tc>
          <w:tcPr>
            <w:tcW w:w="5839" w:type="dxa"/>
            <w:tcBorders>
              <w:top w:val="single" w:sz="6" w:space="0" w:color="FFFFFF"/>
              <w:left w:val="single" w:sz="4" w:space="0" w:color="000000"/>
              <w:bottom w:val="single" w:sz="6" w:space="0" w:color="FFFFFF"/>
              <w:right w:val="single" w:sz="4" w:space="0" w:color="000000"/>
            </w:tcBorders>
          </w:tcPr>
          <w:p w:rsidR="0052701D" w:rsidRDefault="00D40929">
            <w:pPr>
              <w:spacing w:after="0"/>
              <w:ind w:left="101"/>
            </w:pPr>
            <w:r>
              <w:rPr>
                <w:rFonts w:ascii="Times New Roman" w:eastAsia="Times New Roman" w:hAnsi="Times New Roman" w:cs="Times New Roman"/>
                <w:sz w:val="28"/>
              </w:rPr>
              <w:t xml:space="preserve">Азнакаевский район </w:t>
            </w:r>
          </w:p>
        </w:tc>
        <w:tc>
          <w:tcPr>
            <w:tcW w:w="2449" w:type="dxa"/>
            <w:tcBorders>
              <w:top w:val="single" w:sz="6" w:space="0" w:color="FFFFFF"/>
              <w:left w:val="single" w:sz="4" w:space="0" w:color="000000"/>
              <w:bottom w:val="single" w:sz="6" w:space="0" w:color="FFFFFF"/>
              <w:right w:val="single" w:sz="4" w:space="0" w:color="000000"/>
            </w:tcBorders>
          </w:tcPr>
          <w:p w:rsidR="0052701D" w:rsidRDefault="00D40929">
            <w:pPr>
              <w:spacing w:after="0"/>
              <w:ind w:left="101"/>
            </w:pPr>
            <w:r>
              <w:rPr>
                <w:rFonts w:ascii="Times New Roman" w:eastAsia="Times New Roman" w:hAnsi="Times New Roman" w:cs="Times New Roman"/>
                <w:sz w:val="28"/>
              </w:rPr>
              <w:t xml:space="preserve">2 </w:t>
            </w:r>
          </w:p>
        </w:tc>
      </w:tr>
      <w:tr w:rsidR="0052701D">
        <w:trPr>
          <w:trHeight w:val="404"/>
        </w:trPr>
        <w:tc>
          <w:tcPr>
            <w:tcW w:w="1345" w:type="dxa"/>
            <w:tcBorders>
              <w:top w:val="single" w:sz="6" w:space="0" w:color="FFFFFF"/>
              <w:left w:val="single" w:sz="4" w:space="0" w:color="000000"/>
              <w:bottom w:val="single" w:sz="6" w:space="0" w:color="FFFFFF"/>
              <w:right w:val="single" w:sz="4" w:space="0" w:color="000000"/>
            </w:tcBorders>
          </w:tcPr>
          <w:p w:rsidR="0052701D" w:rsidRDefault="00D40929">
            <w:pPr>
              <w:spacing w:after="0"/>
            </w:pPr>
            <w:r>
              <w:rPr>
                <w:rFonts w:ascii="Times New Roman" w:eastAsia="Times New Roman" w:hAnsi="Times New Roman" w:cs="Times New Roman"/>
                <w:sz w:val="28"/>
              </w:rPr>
              <w:t xml:space="preserve">2 </w:t>
            </w:r>
          </w:p>
        </w:tc>
        <w:tc>
          <w:tcPr>
            <w:tcW w:w="5839" w:type="dxa"/>
            <w:tcBorders>
              <w:top w:val="single" w:sz="6" w:space="0" w:color="FFFFFF"/>
              <w:left w:val="single" w:sz="4" w:space="0" w:color="000000"/>
              <w:bottom w:val="single" w:sz="6" w:space="0" w:color="FFFFFF"/>
              <w:right w:val="single" w:sz="4" w:space="0" w:color="000000"/>
            </w:tcBorders>
          </w:tcPr>
          <w:p w:rsidR="0052701D" w:rsidRDefault="00D40929">
            <w:pPr>
              <w:spacing w:after="0"/>
              <w:ind w:left="101"/>
            </w:pPr>
            <w:r>
              <w:rPr>
                <w:rFonts w:ascii="Times New Roman" w:eastAsia="Times New Roman" w:hAnsi="Times New Roman" w:cs="Times New Roman"/>
                <w:sz w:val="28"/>
              </w:rPr>
              <w:t xml:space="preserve">Верхнеуслонский район </w:t>
            </w:r>
          </w:p>
        </w:tc>
        <w:tc>
          <w:tcPr>
            <w:tcW w:w="2449" w:type="dxa"/>
            <w:tcBorders>
              <w:top w:val="single" w:sz="6" w:space="0" w:color="FFFFFF"/>
              <w:left w:val="single" w:sz="4" w:space="0" w:color="000000"/>
              <w:bottom w:val="single" w:sz="6" w:space="0" w:color="FFFFFF"/>
              <w:right w:val="single" w:sz="4" w:space="0" w:color="000000"/>
            </w:tcBorders>
          </w:tcPr>
          <w:p w:rsidR="0052701D" w:rsidRDefault="00D40929">
            <w:pPr>
              <w:spacing w:after="0"/>
              <w:ind w:left="101"/>
            </w:pPr>
            <w:r>
              <w:rPr>
                <w:rFonts w:ascii="Times New Roman" w:eastAsia="Times New Roman" w:hAnsi="Times New Roman" w:cs="Times New Roman"/>
                <w:sz w:val="28"/>
              </w:rPr>
              <w:t xml:space="preserve">2 </w:t>
            </w:r>
          </w:p>
        </w:tc>
      </w:tr>
      <w:tr w:rsidR="0052701D">
        <w:trPr>
          <w:trHeight w:val="346"/>
        </w:trPr>
        <w:tc>
          <w:tcPr>
            <w:tcW w:w="1345" w:type="dxa"/>
            <w:tcBorders>
              <w:top w:val="single" w:sz="6" w:space="0" w:color="FFFFFF"/>
              <w:left w:val="single" w:sz="4" w:space="0" w:color="000000"/>
              <w:bottom w:val="single" w:sz="6" w:space="0" w:color="FFFFFF"/>
              <w:right w:val="single" w:sz="4" w:space="0" w:color="000000"/>
            </w:tcBorders>
          </w:tcPr>
          <w:p w:rsidR="0052701D" w:rsidRDefault="00D40929">
            <w:pPr>
              <w:spacing w:after="0"/>
            </w:pPr>
            <w:r>
              <w:rPr>
                <w:rFonts w:ascii="Times New Roman" w:eastAsia="Times New Roman" w:hAnsi="Times New Roman" w:cs="Times New Roman"/>
                <w:sz w:val="28"/>
              </w:rPr>
              <w:t xml:space="preserve">3 </w:t>
            </w:r>
          </w:p>
        </w:tc>
        <w:tc>
          <w:tcPr>
            <w:tcW w:w="5839" w:type="dxa"/>
            <w:tcBorders>
              <w:top w:val="single" w:sz="6" w:space="0" w:color="FFFFFF"/>
              <w:left w:val="single" w:sz="4" w:space="0" w:color="000000"/>
              <w:bottom w:val="single" w:sz="6" w:space="0" w:color="FFFFFF"/>
              <w:right w:val="single" w:sz="4" w:space="0" w:color="000000"/>
            </w:tcBorders>
          </w:tcPr>
          <w:p w:rsidR="0052701D" w:rsidRDefault="00D40929">
            <w:pPr>
              <w:spacing w:after="0"/>
              <w:ind w:left="101"/>
            </w:pPr>
            <w:r>
              <w:rPr>
                <w:rFonts w:ascii="Times New Roman" w:eastAsia="Times New Roman" w:hAnsi="Times New Roman" w:cs="Times New Roman"/>
                <w:sz w:val="28"/>
              </w:rPr>
              <w:t xml:space="preserve">Высокогорский район </w:t>
            </w:r>
          </w:p>
        </w:tc>
        <w:tc>
          <w:tcPr>
            <w:tcW w:w="2449" w:type="dxa"/>
            <w:tcBorders>
              <w:top w:val="single" w:sz="6" w:space="0" w:color="FFFFFF"/>
              <w:left w:val="single" w:sz="4" w:space="0" w:color="000000"/>
              <w:bottom w:val="single" w:sz="6" w:space="0" w:color="FFFFFF"/>
              <w:right w:val="single" w:sz="4" w:space="0" w:color="000000"/>
            </w:tcBorders>
          </w:tcPr>
          <w:p w:rsidR="0052701D" w:rsidRDefault="00D40929">
            <w:pPr>
              <w:spacing w:after="0"/>
              <w:ind w:left="101"/>
            </w:pPr>
            <w:r>
              <w:rPr>
                <w:rFonts w:ascii="Times New Roman" w:eastAsia="Times New Roman" w:hAnsi="Times New Roman" w:cs="Times New Roman"/>
                <w:sz w:val="28"/>
              </w:rPr>
              <w:t xml:space="preserve">4 </w:t>
            </w:r>
          </w:p>
        </w:tc>
      </w:tr>
      <w:tr w:rsidR="0052701D">
        <w:trPr>
          <w:trHeight w:val="350"/>
        </w:trPr>
        <w:tc>
          <w:tcPr>
            <w:tcW w:w="1345" w:type="dxa"/>
            <w:tcBorders>
              <w:top w:val="single" w:sz="6" w:space="0" w:color="FFFFFF"/>
              <w:left w:val="single" w:sz="4" w:space="0" w:color="000000"/>
              <w:bottom w:val="single" w:sz="6" w:space="0" w:color="FFFFFF"/>
              <w:right w:val="single" w:sz="4" w:space="0" w:color="000000"/>
            </w:tcBorders>
          </w:tcPr>
          <w:p w:rsidR="0052701D" w:rsidRDefault="00D40929">
            <w:pPr>
              <w:spacing w:after="0"/>
            </w:pPr>
            <w:r>
              <w:rPr>
                <w:rFonts w:ascii="Times New Roman" w:eastAsia="Times New Roman" w:hAnsi="Times New Roman" w:cs="Times New Roman"/>
                <w:sz w:val="28"/>
              </w:rPr>
              <w:t xml:space="preserve">4 </w:t>
            </w:r>
          </w:p>
        </w:tc>
        <w:tc>
          <w:tcPr>
            <w:tcW w:w="5839" w:type="dxa"/>
            <w:tcBorders>
              <w:top w:val="single" w:sz="6" w:space="0" w:color="FFFFFF"/>
              <w:left w:val="single" w:sz="4" w:space="0" w:color="000000"/>
              <w:bottom w:val="single" w:sz="6" w:space="0" w:color="FFFFFF"/>
              <w:right w:val="single" w:sz="4" w:space="0" w:color="000000"/>
            </w:tcBorders>
          </w:tcPr>
          <w:p w:rsidR="0052701D" w:rsidRDefault="00D40929">
            <w:pPr>
              <w:spacing w:after="0"/>
              <w:ind w:left="101"/>
            </w:pPr>
            <w:r>
              <w:rPr>
                <w:rFonts w:ascii="Times New Roman" w:eastAsia="Times New Roman" w:hAnsi="Times New Roman" w:cs="Times New Roman"/>
                <w:sz w:val="28"/>
              </w:rPr>
              <w:t xml:space="preserve">Елабужский район </w:t>
            </w:r>
          </w:p>
        </w:tc>
        <w:tc>
          <w:tcPr>
            <w:tcW w:w="2449" w:type="dxa"/>
            <w:tcBorders>
              <w:top w:val="single" w:sz="6" w:space="0" w:color="FFFFFF"/>
              <w:left w:val="single" w:sz="4" w:space="0" w:color="000000"/>
              <w:bottom w:val="single" w:sz="6" w:space="0" w:color="FFFFFF"/>
              <w:right w:val="single" w:sz="4" w:space="0" w:color="000000"/>
            </w:tcBorders>
          </w:tcPr>
          <w:p w:rsidR="0052701D" w:rsidRDefault="00D40929">
            <w:pPr>
              <w:spacing w:after="0"/>
              <w:ind w:left="101"/>
            </w:pPr>
            <w:r>
              <w:rPr>
                <w:rFonts w:ascii="Times New Roman" w:eastAsia="Times New Roman" w:hAnsi="Times New Roman" w:cs="Times New Roman"/>
                <w:sz w:val="28"/>
              </w:rPr>
              <w:t xml:space="preserve">2 </w:t>
            </w:r>
          </w:p>
        </w:tc>
      </w:tr>
      <w:tr w:rsidR="0052701D">
        <w:trPr>
          <w:trHeight w:val="346"/>
        </w:trPr>
        <w:tc>
          <w:tcPr>
            <w:tcW w:w="1345" w:type="dxa"/>
            <w:tcBorders>
              <w:top w:val="single" w:sz="6" w:space="0" w:color="FFFFFF"/>
              <w:left w:val="single" w:sz="4" w:space="0" w:color="000000"/>
              <w:bottom w:val="single" w:sz="6" w:space="0" w:color="FFFFFF"/>
              <w:right w:val="single" w:sz="4" w:space="0" w:color="000000"/>
            </w:tcBorders>
          </w:tcPr>
          <w:p w:rsidR="0052701D" w:rsidRDefault="00D40929">
            <w:pPr>
              <w:spacing w:after="0"/>
            </w:pPr>
            <w:r>
              <w:rPr>
                <w:rFonts w:ascii="Times New Roman" w:eastAsia="Times New Roman" w:hAnsi="Times New Roman" w:cs="Times New Roman"/>
                <w:sz w:val="28"/>
              </w:rPr>
              <w:t xml:space="preserve">5 </w:t>
            </w:r>
          </w:p>
        </w:tc>
        <w:tc>
          <w:tcPr>
            <w:tcW w:w="5839" w:type="dxa"/>
            <w:tcBorders>
              <w:top w:val="single" w:sz="6" w:space="0" w:color="FFFFFF"/>
              <w:left w:val="single" w:sz="4" w:space="0" w:color="000000"/>
              <w:bottom w:val="single" w:sz="6" w:space="0" w:color="FFFFFF"/>
              <w:right w:val="single" w:sz="4" w:space="0" w:color="000000"/>
            </w:tcBorders>
          </w:tcPr>
          <w:p w:rsidR="0052701D" w:rsidRDefault="00D40929">
            <w:pPr>
              <w:spacing w:after="0"/>
              <w:ind w:left="101"/>
            </w:pPr>
            <w:r>
              <w:rPr>
                <w:rFonts w:ascii="Times New Roman" w:eastAsia="Times New Roman" w:hAnsi="Times New Roman" w:cs="Times New Roman"/>
                <w:sz w:val="28"/>
              </w:rPr>
              <w:t xml:space="preserve">Зеленодольский район </w:t>
            </w:r>
          </w:p>
        </w:tc>
        <w:tc>
          <w:tcPr>
            <w:tcW w:w="2449" w:type="dxa"/>
            <w:tcBorders>
              <w:top w:val="single" w:sz="6" w:space="0" w:color="FFFFFF"/>
              <w:left w:val="single" w:sz="4" w:space="0" w:color="000000"/>
              <w:bottom w:val="single" w:sz="6" w:space="0" w:color="FFFFFF"/>
              <w:right w:val="single" w:sz="4" w:space="0" w:color="000000"/>
            </w:tcBorders>
          </w:tcPr>
          <w:p w:rsidR="0052701D" w:rsidRDefault="00D40929">
            <w:pPr>
              <w:spacing w:after="0"/>
              <w:ind w:left="101"/>
            </w:pPr>
            <w:r>
              <w:rPr>
                <w:rFonts w:ascii="Times New Roman" w:eastAsia="Times New Roman" w:hAnsi="Times New Roman" w:cs="Times New Roman"/>
                <w:sz w:val="28"/>
              </w:rPr>
              <w:t xml:space="preserve">3 </w:t>
            </w:r>
          </w:p>
        </w:tc>
      </w:tr>
      <w:tr w:rsidR="0052701D">
        <w:trPr>
          <w:trHeight w:val="380"/>
        </w:trPr>
        <w:tc>
          <w:tcPr>
            <w:tcW w:w="1345" w:type="dxa"/>
            <w:tcBorders>
              <w:top w:val="single" w:sz="6" w:space="0" w:color="FFFFFF"/>
              <w:left w:val="single" w:sz="4" w:space="0" w:color="000000"/>
              <w:bottom w:val="single" w:sz="6" w:space="0" w:color="FFFFFF"/>
              <w:right w:val="single" w:sz="4" w:space="0" w:color="000000"/>
            </w:tcBorders>
          </w:tcPr>
          <w:p w:rsidR="0052701D" w:rsidRDefault="00D40929">
            <w:pPr>
              <w:spacing w:after="0"/>
            </w:pPr>
            <w:r>
              <w:rPr>
                <w:rFonts w:ascii="Times New Roman" w:eastAsia="Times New Roman" w:hAnsi="Times New Roman" w:cs="Times New Roman"/>
                <w:sz w:val="28"/>
              </w:rPr>
              <w:t xml:space="preserve">6 </w:t>
            </w:r>
          </w:p>
        </w:tc>
        <w:tc>
          <w:tcPr>
            <w:tcW w:w="5839" w:type="dxa"/>
            <w:tcBorders>
              <w:top w:val="single" w:sz="6" w:space="0" w:color="FFFFFF"/>
              <w:left w:val="single" w:sz="4" w:space="0" w:color="000000"/>
              <w:bottom w:val="single" w:sz="6" w:space="0" w:color="FFFFFF"/>
              <w:right w:val="single" w:sz="4" w:space="0" w:color="000000"/>
            </w:tcBorders>
          </w:tcPr>
          <w:p w:rsidR="0052701D" w:rsidRDefault="00D40929">
            <w:pPr>
              <w:spacing w:after="0"/>
              <w:ind w:left="101"/>
            </w:pPr>
            <w:r>
              <w:rPr>
                <w:rFonts w:ascii="Times New Roman" w:eastAsia="Times New Roman" w:hAnsi="Times New Roman" w:cs="Times New Roman"/>
                <w:sz w:val="28"/>
              </w:rPr>
              <w:t xml:space="preserve">Лаишевский район </w:t>
            </w:r>
          </w:p>
        </w:tc>
        <w:tc>
          <w:tcPr>
            <w:tcW w:w="2449" w:type="dxa"/>
            <w:tcBorders>
              <w:top w:val="single" w:sz="6" w:space="0" w:color="FFFFFF"/>
              <w:left w:val="single" w:sz="4" w:space="0" w:color="000000"/>
              <w:bottom w:val="single" w:sz="6" w:space="0" w:color="FFFFFF"/>
              <w:right w:val="single" w:sz="4" w:space="0" w:color="000000"/>
            </w:tcBorders>
          </w:tcPr>
          <w:p w:rsidR="0052701D" w:rsidRDefault="00D40929">
            <w:pPr>
              <w:spacing w:after="0"/>
              <w:ind w:left="101"/>
            </w:pPr>
            <w:r>
              <w:rPr>
                <w:rFonts w:ascii="Times New Roman" w:eastAsia="Times New Roman" w:hAnsi="Times New Roman" w:cs="Times New Roman"/>
                <w:sz w:val="28"/>
              </w:rPr>
              <w:t xml:space="preserve">3 </w:t>
            </w:r>
          </w:p>
        </w:tc>
      </w:tr>
      <w:tr w:rsidR="0052701D">
        <w:trPr>
          <w:trHeight w:val="346"/>
        </w:trPr>
        <w:tc>
          <w:tcPr>
            <w:tcW w:w="1345" w:type="dxa"/>
            <w:tcBorders>
              <w:top w:val="single" w:sz="6" w:space="0" w:color="FFFFFF"/>
              <w:left w:val="single" w:sz="4" w:space="0" w:color="000000"/>
              <w:bottom w:val="single" w:sz="6" w:space="0" w:color="FFFFFF"/>
              <w:right w:val="single" w:sz="4" w:space="0" w:color="000000"/>
            </w:tcBorders>
          </w:tcPr>
          <w:p w:rsidR="0052701D" w:rsidRDefault="00D40929">
            <w:pPr>
              <w:spacing w:after="0"/>
            </w:pPr>
            <w:r>
              <w:rPr>
                <w:rFonts w:ascii="Times New Roman" w:eastAsia="Times New Roman" w:hAnsi="Times New Roman" w:cs="Times New Roman"/>
                <w:sz w:val="28"/>
              </w:rPr>
              <w:t xml:space="preserve">7 </w:t>
            </w:r>
          </w:p>
        </w:tc>
        <w:tc>
          <w:tcPr>
            <w:tcW w:w="5839" w:type="dxa"/>
            <w:tcBorders>
              <w:top w:val="single" w:sz="6" w:space="0" w:color="FFFFFF"/>
              <w:left w:val="single" w:sz="4" w:space="0" w:color="000000"/>
              <w:bottom w:val="single" w:sz="6" w:space="0" w:color="FFFFFF"/>
              <w:right w:val="single" w:sz="4" w:space="0" w:color="000000"/>
            </w:tcBorders>
          </w:tcPr>
          <w:p w:rsidR="0052701D" w:rsidRDefault="00D40929">
            <w:pPr>
              <w:spacing w:after="0"/>
              <w:ind w:left="101"/>
            </w:pPr>
            <w:r>
              <w:rPr>
                <w:rFonts w:ascii="Times New Roman" w:eastAsia="Times New Roman" w:hAnsi="Times New Roman" w:cs="Times New Roman"/>
                <w:sz w:val="28"/>
              </w:rPr>
              <w:t xml:space="preserve">Пестречинский район </w:t>
            </w:r>
          </w:p>
        </w:tc>
        <w:tc>
          <w:tcPr>
            <w:tcW w:w="2449" w:type="dxa"/>
            <w:tcBorders>
              <w:top w:val="single" w:sz="6" w:space="0" w:color="FFFFFF"/>
              <w:left w:val="single" w:sz="4" w:space="0" w:color="000000"/>
              <w:bottom w:val="single" w:sz="6" w:space="0" w:color="FFFFFF"/>
              <w:right w:val="single" w:sz="4" w:space="0" w:color="000000"/>
            </w:tcBorders>
          </w:tcPr>
          <w:p w:rsidR="0052701D" w:rsidRDefault="00D40929">
            <w:pPr>
              <w:spacing w:after="0"/>
              <w:ind w:left="101"/>
            </w:pPr>
            <w:r>
              <w:rPr>
                <w:rFonts w:ascii="Times New Roman" w:eastAsia="Times New Roman" w:hAnsi="Times New Roman" w:cs="Times New Roman"/>
                <w:sz w:val="28"/>
              </w:rPr>
              <w:t xml:space="preserve">2 </w:t>
            </w:r>
          </w:p>
        </w:tc>
      </w:tr>
      <w:tr w:rsidR="0052701D">
        <w:trPr>
          <w:trHeight w:val="360"/>
        </w:trPr>
        <w:tc>
          <w:tcPr>
            <w:tcW w:w="1345" w:type="dxa"/>
            <w:tcBorders>
              <w:top w:val="single" w:sz="6" w:space="0" w:color="FFFFFF"/>
              <w:left w:val="single" w:sz="4" w:space="0" w:color="000000"/>
              <w:bottom w:val="single" w:sz="6" w:space="0" w:color="FFFFFF"/>
              <w:right w:val="single" w:sz="4" w:space="0" w:color="000000"/>
            </w:tcBorders>
          </w:tcPr>
          <w:p w:rsidR="0052701D" w:rsidRDefault="00D40929">
            <w:pPr>
              <w:spacing w:after="0"/>
            </w:pPr>
            <w:r>
              <w:rPr>
                <w:rFonts w:ascii="Times New Roman" w:eastAsia="Times New Roman" w:hAnsi="Times New Roman" w:cs="Times New Roman"/>
                <w:sz w:val="28"/>
              </w:rPr>
              <w:t xml:space="preserve">8 </w:t>
            </w:r>
          </w:p>
        </w:tc>
        <w:tc>
          <w:tcPr>
            <w:tcW w:w="5839" w:type="dxa"/>
            <w:tcBorders>
              <w:top w:val="single" w:sz="6" w:space="0" w:color="FFFFFF"/>
              <w:left w:val="single" w:sz="4" w:space="0" w:color="000000"/>
              <w:bottom w:val="single" w:sz="6" w:space="0" w:color="FFFFFF"/>
              <w:right w:val="single" w:sz="4" w:space="0" w:color="000000"/>
            </w:tcBorders>
          </w:tcPr>
          <w:p w:rsidR="0052701D" w:rsidRDefault="00D40929">
            <w:pPr>
              <w:spacing w:after="0"/>
              <w:ind w:left="101"/>
            </w:pPr>
            <w:r>
              <w:rPr>
                <w:rFonts w:ascii="Times New Roman" w:eastAsia="Times New Roman" w:hAnsi="Times New Roman" w:cs="Times New Roman"/>
                <w:sz w:val="28"/>
              </w:rPr>
              <w:t xml:space="preserve">Тукаевский район </w:t>
            </w:r>
          </w:p>
        </w:tc>
        <w:tc>
          <w:tcPr>
            <w:tcW w:w="2449" w:type="dxa"/>
            <w:tcBorders>
              <w:top w:val="single" w:sz="6" w:space="0" w:color="FFFFFF"/>
              <w:left w:val="single" w:sz="4" w:space="0" w:color="000000"/>
              <w:bottom w:val="single" w:sz="6" w:space="0" w:color="FFFFFF"/>
              <w:right w:val="single" w:sz="4" w:space="0" w:color="000000"/>
            </w:tcBorders>
          </w:tcPr>
          <w:p w:rsidR="0052701D" w:rsidRDefault="00D40929">
            <w:pPr>
              <w:spacing w:after="0"/>
              <w:ind w:left="101"/>
            </w:pPr>
            <w:r>
              <w:rPr>
                <w:rFonts w:ascii="Times New Roman" w:eastAsia="Times New Roman" w:hAnsi="Times New Roman" w:cs="Times New Roman"/>
                <w:sz w:val="28"/>
              </w:rPr>
              <w:t xml:space="preserve">5 </w:t>
            </w:r>
          </w:p>
        </w:tc>
      </w:tr>
      <w:tr w:rsidR="0052701D">
        <w:trPr>
          <w:trHeight w:val="422"/>
        </w:trPr>
        <w:tc>
          <w:tcPr>
            <w:tcW w:w="1345" w:type="dxa"/>
            <w:tcBorders>
              <w:top w:val="single" w:sz="6" w:space="0" w:color="FFFFFF"/>
              <w:left w:val="single" w:sz="4" w:space="0" w:color="000000"/>
              <w:bottom w:val="single" w:sz="6" w:space="0" w:color="FFFFFF"/>
              <w:right w:val="single" w:sz="4" w:space="0" w:color="000000"/>
            </w:tcBorders>
          </w:tcPr>
          <w:p w:rsidR="0052701D" w:rsidRDefault="00D40929">
            <w:pPr>
              <w:spacing w:after="0"/>
            </w:pPr>
            <w:r>
              <w:rPr>
                <w:rFonts w:ascii="Times New Roman" w:eastAsia="Times New Roman" w:hAnsi="Times New Roman" w:cs="Times New Roman"/>
                <w:sz w:val="28"/>
              </w:rPr>
              <w:t xml:space="preserve">9 </w:t>
            </w:r>
          </w:p>
        </w:tc>
        <w:tc>
          <w:tcPr>
            <w:tcW w:w="5839" w:type="dxa"/>
            <w:tcBorders>
              <w:top w:val="single" w:sz="6" w:space="0" w:color="FFFFFF"/>
              <w:left w:val="single" w:sz="4" w:space="0" w:color="000000"/>
              <w:bottom w:val="single" w:sz="6" w:space="0" w:color="FFFFFF"/>
              <w:right w:val="single" w:sz="4" w:space="0" w:color="000000"/>
            </w:tcBorders>
          </w:tcPr>
          <w:p w:rsidR="0052701D" w:rsidRDefault="00D40929">
            <w:pPr>
              <w:spacing w:after="0"/>
              <w:ind w:left="101"/>
            </w:pPr>
            <w:r>
              <w:rPr>
                <w:rFonts w:ascii="Times New Roman" w:eastAsia="Times New Roman" w:hAnsi="Times New Roman" w:cs="Times New Roman"/>
                <w:sz w:val="28"/>
              </w:rPr>
              <w:t xml:space="preserve">Чистопольский район </w:t>
            </w:r>
          </w:p>
        </w:tc>
        <w:tc>
          <w:tcPr>
            <w:tcW w:w="2449" w:type="dxa"/>
            <w:tcBorders>
              <w:top w:val="single" w:sz="6" w:space="0" w:color="FFFFFF"/>
              <w:left w:val="single" w:sz="4" w:space="0" w:color="000000"/>
              <w:bottom w:val="single" w:sz="6" w:space="0" w:color="FFFFFF"/>
              <w:right w:val="single" w:sz="4" w:space="0" w:color="000000"/>
            </w:tcBorders>
          </w:tcPr>
          <w:p w:rsidR="0052701D" w:rsidRDefault="00D40929">
            <w:pPr>
              <w:spacing w:after="0"/>
              <w:ind w:left="101"/>
            </w:pPr>
            <w:r>
              <w:rPr>
                <w:rFonts w:ascii="Times New Roman" w:eastAsia="Times New Roman" w:hAnsi="Times New Roman" w:cs="Times New Roman"/>
                <w:sz w:val="28"/>
              </w:rPr>
              <w:t xml:space="preserve">2 </w:t>
            </w:r>
          </w:p>
        </w:tc>
      </w:tr>
      <w:tr w:rsidR="0052701D">
        <w:trPr>
          <w:trHeight w:val="349"/>
        </w:trPr>
        <w:tc>
          <w:tcPr>
            <w:tcW w:w="1345" w:type="dxa"/>
            <w:tcBorders>
              <w:top w:val="single" w:sz="6" w:space="0" w:color="FFFFFF"/>
              <w:left w:val="single" w:sz="4" w:space="0" w:color="000000"/>
              <w:bottom w:val="single" w:sz="4" w:space="0" w:color="FFFFFF"/>
              <w:right w:val="single" w:sz="4" w:space="0" w:color="000000"/>
            </w:tcBorders>
          </w:tcPr>
          <w:p w:rsidR="0052701D" w:rsidRDefault="00D40929">
            <w:pPr>
              <w:spacing w:after="0"/>
            </w:pPr>
            <w:r>
              <w:rPr>
                <w:rFonts w:ascii="Times New Roman" w:eastAsia="Times New Roman" w:hAnsi="Times New Roman" w:cs="Times New Roman"/>
                <w:sz w:val="28"/>
              </w:rPr>
              <w:t xml:space="preserve">10 </w:t>
            </w:r>
          </w:p>
        </w:tc>
        <w:tc>
          <w:tcPr>
            <w:tcW w:w="5839" w:type="dxa"/>
            <w:tcBorders>
              <w:top w:val="single" w:sz="6" w:space="0" w:color="FFFFFF"/>
              <w:left w:val="single" w:sz="4" w:space="0" w:color="000000"/>
              <w:bottom w:val="single" w:sz="4" w:space="0" w:color="FFFFFF"/>
              <w:right w:val="single" w:sz="4" w:space="0" w:color="000000"/>
            </w:tcBorders>
          </w:tcPr>
          <w:p w:rsidR="0052701D" w:rsidRDefault="00D40929">
            <w:pPr>
              <w:spacing w:after="0"/>
              <w:ind w:left="101"/>
            </w:pPr>
            <w:r>
              <w:rPr>
                <w:rFonts w:ascii="Times New Roman" w:eastAsia="Times New Roman" w:hAnsi="Times New Roman" w:cs="Times New Roman"/>
                <w:sz w:val="28"/>
              </w:rPr>
              <w:t xml:space="preserve">город Казань </w:t>
            </w:r>
          </w:p>
        </w:tc>
        <w:tc>
          <w:tcPr>
            <w:tcW w:w="2449" w:type="dxa"/>
            <w:tcBorders>
              <w:top w:val="single" w:sz="6" w:space="0" w:color="FFFFFF"/>
              <w:left w:val="single" w:sz="4" w:space="0" w:color="000000"/>
              <w:bottom w:val="single" w:sz="4" w:space="0" w:color="FFFFFF"/>
              <w:right w:val="single" w:sz="4" w:space="0" w:color="000000"/>
            </w:tcBorders>
          </w:tcPr>
          <w:p w:rsidR="0052701D" w:rsidRDefault="00D40929">
            <w:pPr>
              <w:spacing w:after="0"/>
              <w:ind w:left="101"/>
            </w:pPr>
            <w:r>
              <w:rPr>
                <w:rFonts w:ascii="Times New Roman" w:eastAsia="Times New Roman" w:hAnsi="Times New Roman" w:cs="Times New Roman"/>
                <w:sz w:val="28"/>
              </w:rPr>
              <w:t xml:space="preserve">8 </w:t>
            </w:r>
          </w:p>
        </w:tc>
      </w:tr>
      <w:tr w:rsidR="0052701D">
        <w:trPr>
          <w:trHeight w:val="332"/>
        </w:trPr>
        <w:tc>
          <w:tcPr>
            <w:tcW w:w="1345" w:type="dxa"/>
            <w:tcBorders>
              <w:top w:val="single" w:sz="4" w:space="0" w:color="FFFFFF"/>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 xml:space="preserve"> </w:t>
            </w:r>
          </w:p>
        </w:tc>
        <w:tc>
          <w:tcPr>
            <w:tcW w:w="5839" w:type="dxa"/>
            <w:tcBorders>
              <w:top w:val="single" w:sz="4" w:space="0" w:color="FFFFFF"/>
              <w:left w:val="single" w:sz="4" w:space="0" w:color="000000"/>
              <w:bottom w:val="single" w:sz="4" w:space="0" w:color="000000"/>
              <w:right w:val="single" w:sz="4" w:space="0" w:color="000000"/>
            </w:tcBorders>
          </w:tcPr>
          <w:p w:rsidR="0052701D" w:rsidRDefault="00D40929">
            <w:pPr>
              <w:spacing w:after="0"/>
              <w:ind w:left="5"/>
            </w:pPr>
            <w:r>
              <w:rPr>
                <w:rFonts w:ascii="Times New Roman" w:eastAsia="Times New Roman" w:hAnsi="Times New Roman" w:cs="Times New Roman"/>
                <w:sz w:val="28"/>
              </w:rPr>
              <w:t xml:space="preserve"> Итого: </w:t>
            </w:r>
          </w:p>
        </w:tc>
        <w:tc>
          <w:tcPr>
            <w:tcW w:w="2449" w:type="dxa"/>
            <w:tcBorders>
              <w:top w:val="single" w:sz="4" w:space="0" w:color="FFFFFF"/>
              <w:left w:val="single" w:sz="4" w:space="0" w:color="000000"/>
              <w:bottom w:val="single" w:sz="4" w:space="0" w:color="000000"/>
              <w:right w:val="single" w:sz="4" w:space="0" w:color="000000"/>
            </w:tcBorders>
          </w:tcPr>
          <w:p w:rsidR="0052701D" w:rsidRDefault="00D40929">
            <w:pPr>
              <w:spacing w:after="0"/>
            </w:pPr>
            <w:r>
              <w:rPr>
                <w:rFonts w:ascii="Times New Roman" w:eastAsia="Times New Roman" w:hAnsi="Times New Roman" w:cs="Times New Roman"/>
                <w:sz w:val="28"/>
              </w:rPr>
              <w:t xml:space="preserve">33 </w:t>
            </w:r>
          </w:p>
        </w:tc>
      </w:tr>
    </w:tbl>
    <w:p w:rsidR="0052701D" w:rsidRDefault="00D40929">
      <w:pPr>
        <w:spacing w:after="0"/>
        <w:ind w:left="821"/>
      </w:pPr>
      <w:r>
        <w:rPr>
          <w:rFonts w:ascii="Times New Roman" w:eastAsia="Times New Roman" w:hAnsi="Times New Roman" w:cs="Times New Roman"/>
          <w:sz w:val="28"/>
        </w:rPr>
        <w:t xml:space="preserve"> </w:t>
      </w:r>
    </w:p>
    <w:p w:rsidR="0052701D" w:rsidRDefault="00D40929">
      <w:pPr>
        <w:spacing w:after="5" w:line="271" w:lineRule="auto"/>
        <w:ind w:left="110" w:right="64" w:firstLine="711"/>
        <w:jc w:val="both"/>
      </w:pPr>
      <w:r>
        <w:rPr>
          <w:rFonts w:ascii="Times New Roman" w:eastAsia="Times New Roman" w:hAnsi="Times New Roman" w:cs="Times New Roman"/>
          <w:sz w:val="28"/>
        </w:rPr>
        <w:t>Наиболее проблемными вопросами являются несоответствие роста электрических нагрузок дачных хозяйств реальным темпам реконструкции и развития электрической сети 0,4–10 кВ и суммарной трансформаторной мощности ТП-10/0,4 кВ и отсутствие целевой государственно</w:t>
      </w:r>
      <w:r>
        <w:rPr>
          <w:rFonts w:ascii="Times New Roman" w:eastAsia="Times New Roman" w:hAnsi="Times New Roman" w:cs="Times New Roman"/>
          <w:sz w:val="28"/>
        </w:rPr>
        <w:t xml:space="preserve">й программы опережающего финансирования на развитие системы электроснабжения садоводческих обществ. В современных условиях существенно возрастает роль территориальных сетевых организаций в разработке и проведении технических мероприятий по реконструкции и </w:t>
      </w:r>
      <w:r>
        <w:rPr>
          <w:rFonts w:ascii="Times New Roman" w:eastAsia="Times New Roman" w:hAnsi="Times New Roman" w:cs="Times New Roman"/>
          <w:sz w:val="28"/>
        </w:rPr>
        <w:t>новому строительству электросетевого комплекса садоводческих обществ. Применение микропроцессорных электросчётчиков с внешними измерительными блоками, устанавливаемыми на опорах в непосредственной близости от точки присоединения, существенно снижает возмож</w:t>
      </w:r>
      <w:r>
        <w:rPr>
          <w:rFonts w:ascii="Times New Roman" w:eastAsia="Times New Roman" w:hAnsi="Times New Roman" w:cs="Times New Roman"/>
          <w:sz w:val="28"/>
        </w:rPr>
        <w:t xml:space="preserve">ности для хищения электроэнергии. </w:t>
      </w:r>
    </w:p>
    <w:p w:rsidR="0052701D" w:rsidRDefault="00D40929">
      <w:pPr>
        <w:spacing w:after="0"/>
        <w:ind w:left="821"/>
      </w:pPr>
      <w:r>
        <w:rPr>
          <w:rFonts w:ascii="Times New Roman" w:eastAsia="Times New Roman" w:hAnsi="Times New Roman" w:cs="Times New Roman"/>
          <w:sz w:val="28"/>
        </w:rPr>
        <w:t xml:space="preserve"> </w:t>
      </w:r>
    </w:p>
    <w:p w:rsidR="0052701D" w:rsidRDefault="00D40929">
      <w:pPr>
        <w:spacing w:after="16" w:line="248" w:lineRule="auto"/>
        <w:ind w:left="819" w:hanging="10"/>
        <w:jc w:val="center"/>
      </w:pPr>
      <w:r>
        <w:rPr>
          <w:rFonts w:ascii="Times New Roman" w:eastAsia="Times New Roman" w:hAnsi="Times New Roman" w:cs="Times New Roman"/>
          <w:b/>
          <w:sz w:val="24"/>
        </w:rPr>
        <w:t xml:space="preserve">ИСТОЧНИКИ </w:t>
      </w:r>
    </w:p>
    <w:p w:rsidR="0052701D" w:rsidRDefault="00D40929">
      <w:pPr>
        <w:spacing w:after="29" w:line="248" w:lineRule="auto"/>
        <w:ind w:left="110" w:right="14" w:firstLine="567"/>
        <w:jc w:val="both"/>
      </w:pPr>
      <w:r>
        <w:rPr>
          <w:rFonts w:ascii="Times New Roman" w:eastAsia="Times New Roman" w:hAnsi="Times New Roman" w:cs="Times New Roman"/>
          <w:sz w:val="24"/>
        </w:rPr>
        <w:t xml:space="preserve">1. Ахметова, И. Г. Цифровизация энергосектора: генезис, содержание, составляющие, методика оценки / И. Г. Ахметова, Ю. С. Валеева, М. В. Калинина // Экономика промышленности. 2022. Т. 15. № 3. С. 308-322. </w:t>
      </w:r>
      <w:r>
        <w:rPr>
          <w:rFonts w:ascii="Times New Roman" w:eastAsia="Times New Roman" w:hAnsi="Times New Roman" w:cs="Times New Roman"/>
          <w:sz w:val="24"/>
        </w:rPr>
        <w:t>DOI 10.17073/2072-1633-2022-3-308-322.  2. Мубаракшина, Р. Р. Аналитика развития рынка электротранспорта в России / Р. Р. Мубаракшина, Ю. С. Валеева // Вестник Поволжского государственного технологического университета. Серия: Экономика и управление. – 202</w:t>
      </w:r>
      <w:r>
        <w:rPr>
          <w:rFonts w:ascii="Times New Roman" w:eastAsia="Times New Roman" w:hAnsi="Times New Roman" w:cs="Times New Roman"/>
          <w:sz w:val="24"/>
        </w:rPr>
        <w:t>2. – № 1(53). – С. 57-65. – DOI 10.25686/2306-2800.2022.1.57. 3. Стимулирование развития электротранспорта как инструмент развития территории / Ю. С. Валеева, М. В. Калинина, Т. Г. Зорина, И. Г. Ахметова // Вестник Казанского государственного энергетическо</w:t>
      </w:r>
      <w:r>
        <w:rPr>
          <w:rFonts w:ascii="Times New Roman" w:eastAsia="Times New Roman" w:hAnsi="Times New Roman" w:cs="Times New Roman"/>
          <w:sz w:val="24"/>
        </w:rPr>
        <w:t xml:space="preserve">го университета. – 2022. – Т. 14. – № 1(53). – С. 155-172. – </w:t>
      </w:r>
    </w:p>
    <w:p w:rsidR="0052701D" w:rsidRDefault="00D40929">
      <w:pPr>
        <w:spacing w:after="29" w:line="248" w:lineRule="auto"/>
        <w:ind w:left="110" w:right="14"/>
        <w:jc w:val="both"/>
      </w:pPr>
      <w:r>
        <w:rPr>
          <w:rFonts w:ascii="Times New Roman" w:eastAsia="Times New Roman" w:hAnsi="Times New Roman" w:cs="Times New Roman"/>
          <w:sz w:val="24"/>
        </w:rPr>
        <w:t xml:space="preserve">EDN UCKMFG. </w:t>
      </w:r>
    </w:p>
    <w:p w:rsidR="0052701D" w:rsidRDefault="00D40929">
      <w:pPr>
        <w:numPr>
          <w:ilvl w:val="0"/>
          <w:numId w:val="167"/>
        </w:numPr>
        <w:spacing w:after="29" w:line="248" w:lineRule="auto"/>
        <w:ind w:right="14" w:firstLine="567"/>
        <w:jc w:val="both"/>
      </w:pPr>
      <w:r>
        <w:rPr>
          <w:rFonts w:ascii="Times New Roman" w:eastAsia="Times New Roman" w:hAnsi="Times New Roman" w:cs="Times New Roman"/>
          <w:sz w:val="24"/>
        </w:rPr>
        <w:t>Чиркова, И. Г. Анализ занятости в энергетическом секторе экономики региона / И. Г. Чиркова, К. М. Бережной // Вестник Казанского государственного энергетического университета. – 202</w:t>
      </w:r>
      <w:r>
        <w:rPr>
          <w:rFonts w:ascii="Times New Roman" w:eastAsia="Times New Roman" w:hAnsi="Times New Roman" w:cs="Times New Roman"/>
          <w:sz w:val="24"/>
        </w:rPr>
        <w:t xml:space="preserve">2. – Т. 14. – № 2(54). – С. 134-141.  </w:t>
      </w:r>
    </w:p>
    <w:p w:rsidR="0052701D" w:rsidRDefault="00D40929">
      <w:pPr>
        <w:numPr>
          <w:ilvl w:val="0"/>
          <w:numId w:val="167"/>
        </w:numPr>
        <w:spacing w:after="0" w:line="248" w:lineRule="auto"/>
        <w:ind w:right="14" w:firstLine="567"/>
        <w:jc w:val="both"/>
      </w:pPr>
      <w:r>
        <w:rPr>
          <w:rFonts w:ascii="Times New Roman" w:eastAsia="Times New Roman" w:hAnsi="Times New Roman" w:cs="Times New Roman"/>
          <w:sz w:val="24"/>
        </w:rPr>
        <w:lastRenderedPageBreak/>
        <w:t xml:space="preserve">The implementation challenges of zero carbon and zero waste approaches / L. Švecová, G. Ostapenko, J. Veber, Y. Valeeva // E3S Web of Conferences : 2019 International Scientific and </w:t>
      </w:r>
    </w:p>
    <w:p w:rsidR="0052701D" w:rsidRDefault="00D40929">
      <w:pPr>
        <w:spacing w:after="29" w:line="248" w:lineRule="auto"/>
        <w:ind w:left="110" w:right="14"/>
        <w:jc w:val="both"/>
      </w:pPr>
      <w:r>
        <w:rPr>
          <w:rFonts w:ascii="Times New Roman" w:eastAsia="Times New Roman" w:hAnsi="Times New Roman" w:cs="Times New Roman"/>
          <w:sz w:val="24"/>
        </w:rPr>
        <w:t xml:space="preserve">Technical Conference Smart Energy </w:t>
      </w:r>
      <w:r>
        <w:rPr>
          <w:rFonts w:ascii="Times New Roman" w:eastAsia="Times New Roman" w:hAnsi="Times New Roman" w:cs="Times New Roman"/>
          <w:sz w:val="24"/>
        </w:rPr>
        <w:t>Systems, SES 2019, Kazan, 18–20 сентября 2019 года. – Kazan: EDP Sciences, 2019. – P. 04025. – DOI 10.1051/e3sconf/201912404025. – EDN PHIWKJ. 6. Валеева, Ю. С. Структура инновационного потенциала региональной хозяйственной системы / Ю. С. Валеева, Е. С. М</w:t>
      </w:r>
      <w:r>
        <w:rPr>
          <w:rFonts w:ascii="Times New Roman" w:eastAsia="Times New Roman" w:hAnsi="Times New Roman" w:cs="Times New Roman"/>
          <w:sz w:val="24"/>
        </w:rPr>
        <w:t xml:space="preserve">акарова, Н. З. Уразбахтина // Ученые записки Казанской государственной академии ветеринарной медицины им. Н.Э. Баумана. – 2014. – Т. 220. – № 4. – С. 53-56. – EDN TDRLXB. </w:t>
      </w:r>
    </w:p>
    <w:p w:rsidR="0052701D" w:rsidRDefault="00D40929">
      <w:pPr>
        <w:spacing w:after="29" w:line="248" w:lineRule="auto"/>
        <w:ind w:left="110" w:right="14" w:firstLine="567"/>
        <w:jc w:val="both"/>
      </w:pPr>
      <w:r>
        <w:rPr>
          <w:rFonts w:ascii="Times New Roman" w:eastAsia="Times New Roman" w:hAnsi="Times New Roman" w:cs="Times New Roman"/>
          <w:sz w:val="24"/>
        </w:rPr>
        <w:t>7. Шакиров А.А., Зарипова Р.С. Проблемы и перспективы внедрения информационных и упр</w:t>
      </w:r>
      <w:r>
        <w:rPr>
          <w:rFonts w:ascii="Times New Roman" w:eastAsia="Times New Roman" w:hAnsi="Times New Roman" w:cs="Times New Roman"/>
          <w:sz w:val="24"/>
        </w:rPr>
        <w:t>авляющих систем для энергетических объектов / Сборник статей ХХ Всероссийской студенческой научно-практической конференции Нижневартовского государственного университета. 2018. С. 147-149. 8. Кошаева, Э. А. Применение цифровых ресурсов в образовательном пр</w:t>
      </w:r>
      <w:r>
        <w:rPr>
          <w:rFonts w:ascii="Times New Roman" w:eastAsia="Times New Roman" w:hAnsi="Times New Roman" w:cs="Times New Roman"/>
          <w:sz w:val="24"/>
        </w:rPr>
        <w:t xml:space="preserve">оцессе / Э. А. Кошаева, Ю. С. Валеева // Актуальные проблемы управления : Сборник научных статей по итогам VI Всероссийской научно-практической конференции, Нижний Новгород, 01–05 октября 2019 года / Редколлегия: С.Н. Яшин, Ю.С.Ширяева. – Нижний Новгород: </w:t>
      </w:r>
    </w:p>
    <w:p w:rsidR="0052701D" w:rsidRDefault="00D40929">
      <w:pPr>
        <w:spacing w:after="29" w:line="248" w:lineRule="auto"/>
        <w:ind w:left="110" w:right="14"/>
        <w:jc w:val="both"/>
      </w:pPr>
      <w:r>
        <w:rPr>
          <w:rFonts w:ascii="Times New Roman" w:eastAsia="Times New Roman" w:hAnsi="Times New Roman" w:cs="Times New Roman"/>
          <w:sz w:val="24"/>
        </w:rPr>
        <w:t xml:space="preserve">Национальный исследовательский Нижегородский государственный университет им. Н.И. Лобачевского, 2019. – С. 254-257. – EDN TLOOSI. </w:t>
      </w:r>
    </w:p>
    <w:p w:rsidR="0052701D" w:rsidRDefault="00D40929">
      <w:pPr>
        <w:numPr>
          <w:ilvl w:val="0"/>
          <w:numId w:val="168"/>
        </w:numPr>
        <w:spacing w:after="29" w:line="248" w:lineRule="auto"/>
        <w:ind w:right="7" w:firstLine="567"/>
        <w:jc w:val="both"/>
      </w:pPr>
      <w:r>
        <w:rPr>
          <w:rFonts w:ascii="Times New Roman" w:eastAsia="Times New Roman" w:hAnsi="Times New Roman" w:cs="Times New Roman"/>
          <w:sz w:val="24"/>
        </w:rPr>
        <w:t>Валеева, Ю. С. Сравнительный анализ методик оценки инновационного потенциала региона / Ю. С. Валеева, Е. С. Макарова // Науч</w:t>
      </w:r>
      <w:r>
        <w:rPr>
          <w:rFonts w:ascii="Times New Roman" w:eastAsia="Times New Roman" w:hAnsi="Times New Roman" w:cs="Times New Roman"/>
          <w:sz w:val="24"/>
        </w:rPr>
        <w:t xml:space="preserve">ное обозрение. – 2016. – № 13. – С. 148-151. </w:t>
      </w:r>
    </w:p>
    <w:p w:rsidR="0052701D" w:rsidRDefault="00D40929">
      <w:pPr>
        <w:numPr>
          <w:ilvl w:val="0"/>
          <w:numId w:val="168"/>
        </w:numPr>
        <w:spacing w:after="29" w:line="248" w:lineRule="auto"/>
        <w:ind w:right="7" w:firstLine="567"/>
        <w:jc w:val="both"/>
      </w:pPr>
      <w:r>
        <w:rPr>
          <w:rFonts w:ascii="Times New Roman" w:eastAsia="Times New Roman" w:hAnsi="Times New Roman" w:cs="Times New Roman"/>
          <w:sz w:val="24"/>
        </w:rPr>
        <w:t xml:space="preserve">Хуснуллова, А. Р. Четвертая промышленная революция и ее социальноэкономические последствия / А. Р. Хуснуллова, Ю. С. Валеева, С. Г. Абсалямова // Научное обозрение. – 2016. – № 13. – С. 157-163. – EDN WJLBAB. </w:t>
      </w:r>
    </w:p>
    <w:p w:rsidR="0052701D" w:rsidRDefault="00D40929">
      <w:pPr>
        <w:numPr>
          <w:ilvl w:val="0"/>
          <w:numId w:val="168"/>
        </w:numPr>
        <w:spacing w:after="24" w:line="250" w:lineRule="auto"/>
        <w:ind w:right="7" w:firstLine="567"/>
        <w:jc w:val="both"/>
      </w:pPr>
      <w:r>
        <w:rPr>
          <w:rFonts w:ascii="Times New Roman" w:eastAsia="Times New Roman" w:hAnsi="Times New Roman" w:cs="Times New Roman"/>
        </w:rPr>
        <w:t xml:space="preserve">Шарафутдинова, Н. С. Подходы к совершенствованию производственного процесса на предприятии / Н. С. Шарафутдинова, Ю. С. Валеева // Научное обозрение. – 2016. – № 24. – С. 276-278. – EDN XQVKHR. </w:t>
      </w:r>
    </w:p>
    <w:p w:rsidR="0052701D" w:rsidRDefault="00D40929">
      <w:pPr>
        <w:numPr>
          <w:ilvl w:val="0"/>
          <w:numId w:val="168"/>
        </w:numPr>
        <w:spacing w:after="24" w:line="250" w:lineRule="auto"/>
        <w:ind w:right="7" w:firstLine="567"/>
        <w:jc w:val="both"/>
      </w:pPr>
      <w:r>
        <w:rPr>
          <w:rFonts w:ascii="Times New Roman" w:eastAsia="Times New Roman" w:hAnsi="Times New Roman" w:cs="Times New Roman"/>
        </w:rPr>
        <w:t>Валеева, Ю. С. Региональная инвестиционная политика в Российс</w:t>
      </w:r>
      <w:r>
        <w:rPr>
          <w:rFonts w:ascii="Times New Roman" w:eastAsia="Times New Roman" w:hAnsi="Times New Roman" w:cs="Times New Roman"/>
        </w:rPr>
        <w:t xml:space="preserve">кой Федерации / Ю. С. Валеева, Г. Р. Таишева, Н. С. Шарафутдинова // Региональная экономика: теория и практика. – 2009. – № 29. – С. 9-14. – EDN KVGFVB. </w:t>
      </w:r>
    </w:p>
    <w:p w:rsidR="0052701D" w:rsidRDefault="00D40929">
      <w:pPr>
        <w:spacing w:after="0"/>
        <w:ind w:left="677"/>
      </w:pPr>
      <w:r>
        <w:rPr>
          <w:rFonts w:ascii="Times New Roman" w:eastAsia="Times New Roman" w:hAnsi="Times New Roman" w:cs="Times New Roman"/>
          <w:sz w:val="24"/>
        </w:rPr>
        <w:t xml:space="preserve"> </w:t>
      </w:r>
    </w:p>
    <w:p w:rsidR="0052701D" w:rsidRDefault="00D40929">
      <w:pPr>
        <w:pStyle w:val="1"/>
        <w:ind w:left="173" w:right="493"/>
      </w:pPr>
      <w:r>
        <w:t xml:space="preserve">ОГЛАВЛЕНИЕ </w:t>
      </w:r>
    </w:p>
    <w:p w:rsidR="0052701D" w:rsidRDefault="00D40929">
      <w:r>
        <w:rPr>
          <w:rFonts w:ascii="Times New Roman" w:eastAsia="Times New Roman" w:hAnsi="Times New Roman" w:cs="Times New Roman"/>
          <w:b/>
          <w:i/>
          <w:sz w:val="28"/>
        </w:rPr>
        <w:t xml:space="preserve">СЕКЦИЯ «КОСМИЧЕСКАЯ ИНЖЕНЕРИЯ И РОБОТОТЕХНИКА» </w:t>
      </w:r>
      <w:r>
        <w:rPr>
          <w:rFonts w:ascii="Times New Roman" w:eastAsia="Times New Roman" w:hAnsi="Times New Roman" w:cs="Times New Roman"/>
          <w:sz w:val="28"/>
        </w:rPr>
        <w:t xml:space="preserve">3 </w:t>
      </w:r>
    </w:p>
    <w:p w:rsidR="0052701D" w:rsidRDefault="00D40929">
      <w:pPr>
        <w:tabs>
          <w:tab w:val="center" w:pos="9078"/>
        </w:tabs>
      </w:pPr>
      <w:r>
        <w:rPr>
          <w:rFonts w:ascii="Times New Roman" w:eastAsia="Times New Roman" w:hAnsi="Times New Roman" w:cs="Times New Roman"/>
          <w:sz w:val="28"/>
        </w:rPr>
        <w:t xml:space="preserve">ПЕРСПЕКТИВЫ ПРИМЕНЕНИЯ ТЕХНОЛОГИЙ АНАЛИЗА </w:t>
      </w:r>
      <w:r>
        <w:rPr>
          <w:rFonts w:ascii="Times New Roman" w:eastAsia="Times New Roman" w:hAnsi="Times New Roman" w:cs="Times New Roman"/>
          <w:sz w:val="28"/>
        </w:rPr>
        <w:tab/>
        <w:t xml:space="preserve">3 </w:t>
      </w:r>
    </w:p>
    <w:p w:rsidR="0052701D" w:rsidRDefault="00D40929">
      <w:r>
        <w:rPr>
          <w:rFonts w:ascii="Times New Roman" w:eastAsia="Times New Roman" w:hAnsi="Times New Roman" w:cs="Times New Roman"/>
          <w:sz w:val="28"/>
        </w:rPr>
        <w:t xml:space="preserve">БОЛЬШИХ ДАННЫХ В ЗАДАЧЕ ПОИСКА ПРЕДВЕСТНИКОВ </w:t>
      </w:r>
    </w:p>
    <w:p w:rsidR="0052701D" w:rsidRDefault="00D40929">
      <w:r>
        <w:rPr>
          <w:rFonts w:ascii="Times New Roman" w:eastAsia="Times New Roman" w:hAnsi="Times New Roman" w:cs="Times New Roman"/>
          <w:sz w:val="28"/>
        </w:rPr>
        <w:t xml:space="preserve">СЕЙСМИЧЕСКОЙ АКТИВНОСТИ ПУТЕМ ОБРАБОТКИ </w:t>
      </w:r>
    </w:p>
    <w:p w:rsidR="0052701D" w:rsidRDefault="00D40929">
      <w:r>
        <w:rPr>
          <w:rFonts w:ascii="Times New Roman" w:eastAsia="Times New Roman" w:hAnsi="Times New Roman" w:cs="Times New Roman"/>
          <w:sz w:val="28"/>
        </w:rPr>
        <w:t xml:space="preserve">РЕЗУЛЬТАТОВ ИЗМЕРЕНИЙ, ПРОВЕДЕННЫХ КОСМИЧЕСКИМИ </w:t>
      </w:r>
    </w:p>
    <w:p w:rsidR="0052701D" w:rsidRDefault="00D40929">
      <w:r>
        <w:rPr>
          <w:rFonts w:ascii="Times New Roman" w:eastAsia="Times New Roman" w:hAnsi="Times New Roman" w:cs="Times New Roman"/>
          <w:sz w:val="28"/>
        </w:rPr>
        <w:t xml:space="preserve">АППАРАТАМИ </w:t>
      </w:r>
    </w:p>
    <w:p w:rsidR="0052701D" w:rsidRDefault="00D40929">
      <w:r>
        <w:rPr>
          <w:rFonts w:ascii="Times New Roman" w:eastAsia="Times New Roman" w:hAnsi="Times New Roman" w:cs="Times New Roman"/>
          <w:sz w:val="28"/>
        </w:rPr>
        <w:t xml:space="preserve">Алипбаев Куаныш Арингожаевич, Сулеев Тимур Адильжанулы </w:t>
      </w:r>
    </w:p>
    <w:p w:rsidR="0052701D" w:rsidRDefault="00D40929">
      <w:pPr>
        <w:tabs>
          <w:tab w:val="center" w:pos="9078"/>
        </w:tabs>
      </w:pPr>
      <w:r>
        <w:rPr>
          <w:rFonts w:ascii="Times New Roman" w:eastAsia="Times New Roman" w:hAnsi="Times New Roman" w:cs="Times New Roman"/>
          <w:sz w:val="28"/>
        </w:rPr>
        <w:t>РОБОТТ</w:t>
      </w:r>
      <w:r>
        <w:rPr>
          <w:rFonts w:ascii="Times New Roman" w:eastAsia="Times New Roman" w:hAnsi="Times New Roman" w:cs="Times New Roman"/>
          <w:sz w:val="28"/>
        </w:rPr>
        <w:t xml:space="preserve">АРДЫҢ МАНИПУЛЯТОРЛАРЫН ЖӘНЕ КЕҢІСТІК </w:t>
      </w:r>
      <w:r>
        <w:rPr>
          <w:rFonts w:ascii="Times New Roman" w:eastAsia="Times New Roman" w:hAnsi="Times New Roman" w:cs="Times New Roman"/>
          <w:sz w:val="28"/>
        </w:rPr>
        <w:tab/>
        <w:t xml:space="preserve">9 </w:t>
      </w:r>
    </w:p>
    <w:p w:rsidR="0052701D" w:rsidRDefault="00D40929">
      <w:r>
        <w:rPr>
          <w:rFonts w:ascii="Times New Roman" w:eastAsia="Times New Roman" w:hAnsi="Times New Roman" w:cs="Times New Roman"/>
          <w:sz w:val="28"/>
        </w:rPr>
        <w:t xml:space="preserve">МЕХАНИЗМДЕРДІ ЖОБАУ </w:t>
      </w:r>
    </w:p>
    <w:p w:rsidR="0052701D" w:rsidRDefault="00D40929">
      <w:r>
        <w:rPr>
          <w:rFonts w:ascii="Times New Roman" w:eastAsia="Times New Roman" w:hAnsi="Times New Roman" w:cs="Times New Roman"/>
          <w:sz w:val="28"/>
        </w:rPr>
        <w:t xml:space="preserve">Косболов Cерикбай Байтикович, Әбітай Әнуар </w:t>
      </w:r>
    </w:p>
    <w:p w:rsidR="0052701D" w:rsidRDefault="00D40929">
      <w:pPr>
        <w:tabs>
          <w:tab w:val="center" w:pos="9148"/>
        </w:tabs>
      </w:pPr>
      <w:r>
        <w:rPr>
          <w:rFonts w:ascii="Times New Roman" w:eastAsia="Times New Roman" w:hAnsi="Times New Roman" w:cs="Times New Roman"/>
          <w:sz w:val="28"/>
        </w:rPr>
        <w:t xml:space="preserve">OVERVIEW OF PROGRAMMING LANGUAGES FOR IMAGE </w:t>
      </w:r>
      <w:r>
        <w:rPr>
          <w:rFonts w:ascii="Times New Roman" w:eastAsia="Times New Roman" w:hAnsi="Times New Roman" w:cs="Times New Roman"/>
          <w:sz w:val="28"/>
        </w:rPr>
        <w:tab/>
        <w:t xml:space="preserve">17 </w:t>
      </w:r>
    </w:p>
    <w:p w:rsidR="0052701D" w:rsidRDefault="00D40929">
      <w:r>
        <w:rPr>
          <w:rFonts w:ascii="Times New Roman" w:eastAsia="Times New Roman" w:hAnsi="Times New Roman" w:cs="Times New Roman"/>
          <w:sz w:val="28"/>
        </w:rPr>
        <w:lastRenderedPageBreak/>
        <w:t xml:space="preserve">RECOGNITION </w:t>
      </w:r>
    </w:p>
    <w:p w:rsidR="0052701D" w:rsidRDefault="00D40929">
      <w:r>
        <w:rPr>
          <w:rFonts w:ascii="Times New Roman" w:eastAsia="Times New Roman" w:hAnsi="Times New Roman" w:cs="Times New Roman"/>
          <w:sz w:val="28"/>
        </w:rPr>
        <w:t xml:space="preserve">Nurbai Daryn </w:t>
      </w:r>
    </w:p>
    <w:p w:rsidR="0052701D" w:rsidRDefault="00D40929">
      <w:pPr>
        <w:tabs>
          <w:tab w:val="center" w:pos="9148"/>
        </w:tabs>
      </w:pPr>
      <w:r>
        <w:rPr>
          <w:rFonts w:ascii="Times New Roman" w:eastAsia="Times New Roman" w:hAnsi="Times New Roman" w:cs="Times New Roman"/>
          <w:sz w:val="28"/>
        </w:rPr>
        <w:t xml:space="preserve">КОНФИГУРАЦИЯ STM32. ДОБАВЛЕНИЕ ТАЙМЕРА ДЛЯ </w:t>
      </w:r>
      <w:r>
        <w:rPr>
          <w:rFonts w:ascii="Times New Roman" w:eastAsia="Times New Roman" w:hAnsi="Times New Roman" w:cs="Times New Roman"/>
          <w:sz w:val="28"/>
        </w:rPr>
        <w:tab/>
        <w:t xml:space="preserve">23 </w:t>
      </w:r>
    </w:p>
    <w:p w:rsidR="0052701D" w:rsidRDefault="00D40929">
      <w:r>
        <w:rPr>
          <w:rFonts w:ascii="Times New Roman" w:eastAsia="Times New Roman" w:hAnsi="Times New Roman" w:cs="Times New Roman"/>
          <w:sz w:val="28"/>
        </w:rPr>
        <w:t xml:space="preserve">ПЕРИФЕРИЙНОГО УСТРОЙСТВА </w:t>
      </w:r>
    </w:p>
    <w:p w:rsidR="0052701D" w:rsidRDefault="00D40929">
      <w:r>
        <w:rPr>
          <w:rFonts w:ascii="Times New Roman" w:eastAsia="Times New Roman" w:hAnsi="Times New Roman" w:cs="Times New Roman"/>
          <w:sz w:val="28"/>
        </w:rPr>
        <w:t xml:space="preserve">Асан Даулет Талгатулы </w:t>
      </w:r>
    </w:p>
    <w:p w:rsidR="0052701D" w:rsidRDefault="00D40929">
      <w:pPr>
        <w:tabs>
          <w:tab w:val="center" w:pos="9148"/>
        </w:tabs>
      </w:pPr>
      <w:r>
        <w:rPr>
          <w:rFonts w:ascii="Times New Roman" w:eastAsia="Times New Roman" w:hAnsi="Times New Roman" w:cs="Times New Roman"/>
          <w:sz w:val="28"/>
        </w:rPr>
        <w:t xml:space="preserve">ИССЛЕДОВАНИЕ ИЗГИБА СИММЕТРИЧНО НАГРУЖЕННОЙ </w:t>
      </w:r>
      <w:r>
        <w:rPr>
          <w:rFonts w:ascii="Times New Roman" w:eastAsia="Times New Roman" w:hAnsi="Times New Roman" w:cs="Times New Roman"/>
          <w:sz w:val="28"/>
        </w:rPr>
        <w:tab/>
        <w:t xml:space="preserve">26 </w:t>
      </w:r>
    </w:p>
    <w:p w:rsidR="0052701D" w:rsidRDefault="00D40929">
      <w:r>
        <w:rPr>
          <w:rFonts w:ascii="Times New Roman" w:eastAsia="Times New Roman" w:hAnsi="Times New Roman" w:cs="Times New Roman"/>
          <w:sz w:val="28"/>
        </w:rPr>
        <w:t xml:space="preserve">ЗАМКНУТОЙ ЦИЛИНДРИЧЕСКОЙ ОБОЛОЧКИ В </w:t>
      </w:r>
    </w:p>
    <w:p w:rsidR="0052701D" w:rsidRDefault="00D40929">
      <w:r>
        <w:rPr>
          <w:rFonts w:ascii="Times New Roman" w:eastAsia="Times New Roman" w:hAnsi="Times New Roman" w:cs="Times New Roman"/>
          <w:sz w:val="28"/>
        </w:rPr>
        <w:t xml:space="preserve">НЕОДНОРОДНОМ ТЕМПЕРАТУРНОМ ПОЛЕ </w:t>
      </w:r>
    </w:p>
    <w:p w:rsidR="0052701D" w:rsidRDefault="00D40929">
      <w:r>
        <w:rPr>
          <w:rFonts w:ascii="Times New Roman" w:eastAsia="Times New Roman" w:hAnsi="Times New Roman" w:cs="Times New Roman"/>
          <w:sz w:val="28"/>
        </w:rPr>
        <w:t xml:space="preserve">Кырыкбаев Батырхан Жамашулы </w:t>
      </w:r>
    </w:p>
    <w:p w:rsidR="0052701D" w:rsidRDefault="00D40929">
      <w:pPr>
        <w:tabs>
          <w:tab w:val="center" w:pos="9148"/>
        </w:tabs>
      </w:pPr>
      <w:r>
        <w:rPr>
          <w:rFonts w:ascii="Times New Roman" w:eastAsia="Times New Roman" w:hAnsi="Times New Roman" w:cs="Times New Roman"/>
          <w:sz w:val="28"/>
        </w:rPr>
        <w:t xml:space="preserve">СПОСОБ АВТОМАТИЧЕСКОГО И НЕПРЕРЫВНОГО ИЗМЕНЕНИЯ </w:t>
      </w:r>
      <w:r>
        <w:rPr>
          <w:rFonts w:ascii="Times New Roman" w:eastAsia="Times New Roman" w:hAnsi="Times New Roman" w:cs="Times New Roman"/>
          <w:sz w:val="28"/>
        </w:rPr>
        <w:tab/>
        <w:t xml:space="preserve">33 </w:t>
      </w:r>
    </w:p>
    <w:p w:rsidR="0052701D" w:rsidRDefault="00D40929">
      <w:r>
        <w:rPr>
          <w:rFonts w:ascii="Times New Roman" w:eastAsia="Times New Roman" w:hAnsi="Times New Roman" w:cs="Times New Roman"/>
          <w:sz w:val="28"/>
        </w:rPr>
        <w:t>КРУТЯЩЕГО МОМЕНТА И СКОРОСТИ ВРА</w:t>
      </w:r>
      <w:r>
        <w:rPr>
          <w:rFonts w:ascii="Times New Roman" w:eastAsia="Times New Roman" w:hAnsi="Times New Roman" w:cs="Times New Roman"/>
          <w:sz w:val="28"/>
        </w:rPr>
        <w:t xml:space="preserve">ЩЕНИЯ </w:t>
      </w:r>
    </w:p>
    <w:p w:rsidR="0052701D" w:rsidRDefault="00D40929">
      <w:r>
        <w:rPr>
          <w:rFonts w:ascii="Times New Roman" w:eastAsia="Times New Roman" w:hAnsi="Times New Roman" w:cs="Times New Roman"/>
          <w:sz w:val="28"/>
        </w:rPr>
        <w:t xml:space="preserve">ВЫХОДНОГО ВАЛА В ЗАВИСИМОСТИ ОТ СОПРОТИВЛЕНИЯ </w:t>
      </w:r>
    </w:p>
    <w:p w:rsidR="0052701D" w:rsidRDefault="00D40929">
      <w:r>
        <w:rPr>
          <w:rFonts w:ascii="Times New Roman" w:eastAsia="Times New Roman" w:hAnsi="Times New Roman" w:cs="Times New Roman"/>
          <w:sz w:val="28"/>
        </w:rPr>
        <w:t xml:space="preserve">ДВИЖЕНИЮ </w:t>
      </w:r>
    </w:p>
    <w:p w:rsidR="0052701D" w:rsidRDefault="00D40929">
      <w:r>
        <w:rPr>
          <w:rFonts w:ascii="Times New Roman" w:eastAsia="Times New Roman" w:hAnsi="Times New Roman" w:cs="Times New Roman"/>
          <w:sz w:val="28"/>
        </w:rPr>
        <w:t xml:space="preserve">Абрар Анель Ерланкызы </w:t>
      </w:r>
    </w:p>
    <w:p w:rsidR="0052701D" w:rsidRDefault="00D40929">
      <w:pPr>
        <w:tabs>
          <w:tab w:val="center" w:pos="9148"/>
        </w:tabs>
      </w:pPr>
      <w:r>
        <w:rPr>
          <w:rFonts w:ascii="Times New Roman" w:eastAsia="Times New Roman" w:hAnsi="Times New Roman" w:cs="Times New Roman"/>
          <w:sz w:val="28"/>
        </w:rPr>
        <w:t xml:space="preserve">ПОДХОД К ОЦЕНКЕ КАЧЕСТВА ПРОГРАММНЫХ СРЕДСТВ С </w:t>
      </w:r>
      <w:r>
        <w:rPr>
          <w:rFonts w:ascii="Times New Roman" w:eastAsia="Times New Roman" w:hAnsi="Times New Roman" w:cs="Times New Roman"/>
          <w:sz w:val="28"/>
        </w:rPr>
        <w:tab/>
        <w:t xml:space="preserve">40 </w:t>
      </w:r>
    </w:p>
    <w:p w:rsidR="0052701D" w:rsidRDefault="00D40929">
      <w:r>
        <w:rPr>
          <w:rFonts w:ascii="Times New Roman" w:eastAsia="Times New Roman" w:hAnsi="Times New Roman" w:cs="Times New Roman"/>
          <w:sz w:val="28"/>
        </w:rPr>
        <w:t xml:space="preserve">УЧЕТОМ РИСКОВ </w:t>
      </w:r>
    </w:p>
    <w:p w:rsidR="0052701D" w:rsidRDefault="00D40929">
      <w:r>
        <w:rPr>
          <w:rFonts w:ascii="Times New Roman" w:eastAsia="Times New Roman" w:hAnsi="Times New Roman" w:cs="Times New Roman"/>
          <w:sz w:val="28"/>
        </w:rPr>
        <w:t xml:space="preserve">Исмаил Есмагамбет Есмагзамулы, Утелиева Нуршат Карлыбаевна, </w:t>
      </w:r>
    </w:p>
    <w:p w:rsidR="0052701D" w:rsidRDefault="00D40929">
      <w:r>
        <w:rPr>
          <w:rFonts w:ascii="Times New Roman" w:eastAsia="Times New Roman" w:hAnsi="Times New Roman" w:cs="Times New Roman"/>
          <w:sz w:val="28"/>
        </w:rPr>
        <w:t xml:space="preserve">Смагулова Жулдыз </w:t>
      </w:r>
    </w:p>
    <w:p w:rsidR="0052701D" w:rsidRDefault="00D40929">
      <w:pPr>
        <w:tabs>
          <w:tab w:val="center" w:pos="9148"/>
        </w:tabs>
      </w:pPr>
      <w:r>
        <w:rPr>
          <w:rFonts w:ascii="Times New Roman" w:eastAsia="Times New Roman" w:hAnsi="Times New Roman" w:cs="Times New Roman"/>
          <w:sz w:val="28"/>
        </w:rPr>
        <w:t xml:space="preserve">ИСПОЛЬЗОВАНИЕ АДДИТИВНЫХ ТЕХНОЛОГИЙ В </w:t>
      </w:r>
      <w:r>
        <w:rPr>
          <w:rFonts w:ascii="Times New Roman" w:eastAsia="Times New Roman" w:hAnsi="Times New Roman" w:cs="Times New Roman"/>
          <w:sz w:val="28"/>
        </w:rPr>
        <w:tab/>
        <w:t xml:space="preserve">48 </w:t>
      </w:r>
    </w:p>
    <w:p w:rsidR="0052701D" w:rsidRDefault="00D40929">
      <w:r>
        <w:rPr>
          <w:rFonts w:ascii="Times New Roman" w:eastAsia="Times New Roman" w:hAnsi="Times New Roman" w:cs="Times New Roman"/>
          <w:sz w:val="28"/>
        </w:rPr>
        <w:t xml:space="preserve">ИЗГОТОВЛЕНИЕ ВЫСОКОТОЧНЫХ МЕТАЛЛИЧЕСКИХ </w:t>
      </w:r>
    </w:p>
    <w:p w:rsidR="0052701D" w:rsidRDefault="00D40929">
      <w:r>
        <w:rPr>
          <w:rFonts w:ascii="Times New Roman" w:eastAsia="Times New Roman" w:hAnsi="Times New Roman" w:cs="Times New Roman"/>
          <w:sz w:val="28"/>
        </w:rPr>
        <w:t xml:space="preserve">ИЗДЕЛИЙ </w:t>
      </w:r>
    </w:p>
    <w:p w:rsidR="0052701D" w:rsidRDefault="00D40929">
      <w:r>
        <w:rPr>
          <w:rFonts w:ascii="Times New Roman" w:eastAsia="Times New Roman" w:hAnsi="Times New Roman" w:cs="Times New Roman"/>
          <w:sz w:val="28"/>
        </w:rPr>
        <w:t xml:space="preserve">Токтанай Жанибек Аскарулы </w:t>
      </w:r>
    </w:p>
    <w:p w:rsidR="0052701D" w:rsidRDefault="00D40929">
      <w:pPr>
        <w:tabs>
          <w:tab w:val="center" w:pos="9148"/>
        </w:tabs>
      </w:pPr>
      <w:r>
        <w:rPr>
          <w:rFonts w:ascii="Times New Roman" w:eastAsia="Times New Roman" w:hAnsi="Times New Roman" w:cs="Times New Roman"/>
          <w:sz w:val="28"/>
        </w:rPr>
        <w:t xml:space="preserve">ANALYSİS OF CLUSTERİNG METHODS AND MODELLİNG A </w:t>
      </w:r>
      <w:r>
        <w:rPr>
          <w:rFonts w:ascii="Times New Roman" w:eastAsia="Times New Roman" w:hAnsi="Times New Roman" w:cs="Times New Roman"/>
          <w:sz w:val="28"/>
        </w:rPr>
        <w:tab/>
        <w:t xml:space="preserve">53 </w:t>
      </w:r>
    </w:p>
    <w:p w:rsidR="0052701D" w:rsidRDefault="00D40929">
      <w:r>
        <w:rPr>
          <w:rFonts w:ascii="Times New Roman" w:eastAsia="Times New Roman" w:hAnsi="Times New Roman" w:cs="Times New Roman"/>
          <w:sz w:val="28"/>
        </w:rPr>
        <w:t xml:space="preserve">CLUSTERİNG DATA NETWORK </w:t>
      </w:r>
    </w:p>
    <w:p w:rsidR="0052701D" w:rsidRDefault="00D40929">
      <w:r>
        <w:rPr>
          <w:rFonts w:ascii="Times New Roman" w:eastAsia="Times New Roman" w:hAnsi="Times New Roman" w:cs="Times New Roman"/>
          <w:sz w:val="28"/>
        </w:rPr>
        <w:t xml:space="preserve">Kalkabekova Tomiris Zhenisbekkyzy </w:t>
      </w:r>
    </w:p>
    <w:p w:rsidR="0052701D" w:rsidRDefault="00D40929">
      <w:pPr>
        <w:tabs>
          <w:tab w:val="center" w:pos="9148"/>
        </w:tabs>
      </w:pPr>
      <w:r>
        <w:rPr>
          <w:rFonts w:ascii="Times New Roman" w:eastAsia="Times New Roman" w:hAnsi="Times New Roman" w:cs="Times New Roman"/>
          <w:sz w:val="28"/>
        </w:rPr>
        <w:t xml:space="preserve">ӨЗДІГІНЕН БЕЙІМДЕЛЕТІН </w:t>
      </w:r>
      <w:r>
        <w:rPr>
          <w:rFonts w:ascii="Times New Roman" w:eastAsia="Times New Roman" w:hAnsi="Times New Roman" w:cs="Times New Roman"/>
          <w:sz w:val="28"/>
        </w:rPr>
        <w:t xml:space="preserve">ЖҮЙЕЛЕРГЕ АРНАЛҒАН ТИІМДІ </w:t>
      </w:r>
      <w:r>
        <w:rPr>
          <w:rFonts w:ascii="Times New Roman" w:eastAsia="Times New Roman" w:hAnsi="Times New Roman" w:cs="Times New Roman"/>
          <w:sz w:val="28"/>
        </w:rPr>
        <w:tab/>
        <w:t xml:space="preserve">62 </w:t>
      </w:r>
    </w:p>
    <w:p w:rsidR="0052701D" w:rsidRDefault="00D40929">
      <w:r>
        <w:rPr>
          <w:rFonts w:ascii="Times New Roman" w:eastAsia="Times New Roman" w:hAnsi="Times New Roman" w:cs="Times New Roman"/>
          <w:sz w:val="28"/>
        </w:rPr>
        <w:t xml:space="preserve">БЕЙІМДЕЛГІШ МЕХАНИКАЛЫҚ ЖЕТЕК </w:t>
      </w:r>
    </w:p>
    <w:p w:rsidR="0052701D" w:rsidRDefault="00D40929">
      <w:r>
        <w:rPr>
          <w:rFonts w:ascii="Times New Roman" w:eastAsia="Times New Roman" w:hAnsi="Times New Roman" w:cs="Times New Roman"/>
          <w:sz w:val="28"/>
        </w:rPr>
        <w:t xml:space="preserve">Иванов Константин Самсонович, Наурызбаева Гульнара </w:t>
      </w:r>
    </w:p>
    <w:p w:rsidR="0052701D" w:rsidRDefault="00D40929">
      <w:r>
        <w:rPr>
          <w:rFonts w:ascii="Times New Roman" w:eastAsia="Times New Roman" w:hAnsi="Times New Roman" w:cs="Times New Roman"/>
          <w:sz w:val="28"/>
        </w:rPr>
        <w:t xml:space="preserve">Қадырбековна, Сайра Мухтаркызы Сарсенбаева </w:t>
      </w:r>
    </w:p>
    <w:p w:rsidR="0052701D" w:rsidRDefault="00D40929">
      <w:pPr>
        <w:tabs>
          <w:tab w:val="center" w:pos="9148"/>
        </w:tabs>
      </w:pPr>
      <w:r>
        <w:rPr>
          <w:rFonts w:ascii="Times New Roman" w:eastAsia="Times New Roman" w:hAnsi="Times New Roman" w:cs="Times New Roman"/>
          <w:sz w:val="28"/>
        </w:rPr>
        <w:t xml:space="preserve">DEVELOPMENT OF A WIRELESS REMOTE CONTROL AND </w:t>
      </w:r>
      <w:r>
        <w:rPr>
          <w:rFonts w:ascii="Times New Roman" w:eastAsia="Times New Roman" w:hAnsi="Times New Roman" w:cs="Times New Roman"/>
          <w:sz w:val="28"/>
        </w:rPr>
        <w:tab/>
        <w:t xml:space="preserve">68 </w:t>
      </w:r>
    </w:p>
    <w:p w:rsidR="0052701D" w:rsidRDefault="00D40929">
      <w:r>
        <w:rPr>
          <w:rFonts w:ascii="Times New Roman" w:eastAsia="Times New Roman" w:hAnsi="Times New Roman" w:cs="Times New Roman"/>
          <w:sz w:val="28"/>
        </w:rPr>
        <w:lastRenderedPageBreak/>
        <w:t>MANAGEMENT SYSTEM BASED ON THE ESP8266 MODULE WI</w:t>
      </w:r>
      <w:r>
        <w:rPr>
          <w:rFonts w:ascii="Times New Roman" w:eastAsia="Times New Roman" w:hAnsi="Times New Roman" w:cs="Times New Roman"/>
          <w:sz w:val="28"/>
        </w:rPr>
        <w:t xml:space="preserve">-FI </w:t>
      </w:r>
    </w:p>
    <w:p w:rsidR="0052701D" w:rsidRDefault="00D40929">
      <w:r>
        <w:rPr>
          <w:rFonts w:ascii="Times New Roman" w:eastAsia="Times New Roman" w:hAnsi="Times New Roman" w:cs="Times New Roman"/>
          <w:sz w:val="28"/>
        </w:rPr>
        <w:t xml:space="preserve">Zhumatayev Ilyas, Muravyev Daniil Olegovich </w:t>
      </w:r>
    </w:p>
    <w:p w:rsidR="0052701D" w:rsidRDefault="00D40929">
      <w:pPr>
        <w:tabs>
          <w:tab w:val="center" w:pos="9148"/>
        </w:tabs>
        <w:spacing w:after="5" w:line="271" w:lineRule="auto"/>
      </w:pPr>
      <w:r>
        <w:rPr>
          <w:rFonts w:ascii="Times New Roman" w:eastAsia="Times New Roman" w:hAnsi="Times New Roman" w:cs="Times New Roman"/>
          <w:sz w:val="28"/>
        </w:rPr>
        <w:t xml:space="preserve">OVERVIEW OF MODERN ROBOTS WITH VIDEO CONTROL </w:t>
      </w:r>
      <w:r>
        <w:rPr>
          <w:rFonts w:ascii="Times New Roman" w:eastAsia="Times New Roman" w:hAnsi="Times New Roman" w:cs="Times New Roman"/>
          <w:sz w:val="28"/>
        </w:rPr>
        <w:tab/>
        <w:t xml:space="preserve">75 </w:t>
      </w:r>
    </w:p>
    <w:p w:rsidR="0052701D" w:rsidRDefault="00D40929">
      <w:pPr>
        <w:spacing w:after="5" w:line="271" w:lineRule="auto"/>
        <w:ind w:left="221" w:right="64"/>
        <w:jc w:val="both"/>
      </w:pPr>
      <w:r>
        <w:rPr>
          <w:rFonts w:ascii="Times New Roman" w:eastAsia="Times New Roman" w:hAnsi="Times New Roman" w:cs="Times New Roman"/>
          <w:sz w:val="28"/>
        </w:rPr>
        <w:t xml:space="preserve">SYSTEM </w:t>
      </w:r>
    </w:p>
    <w:p w:rsidR="0052701D" w:rsidRDefault="00D40929">
      <w:pPr>
        <w:spacing w:after="5" w:line="271" w:lineRule="auto"/>
        <w:ind w:left="221" w:right="64"/>
        <w:jc w:val="both"/>
      </w:pPr>
      <w:r>
        <w:rPr>
          <w:rFonts w:ascii="Times New Roman" w:eastAsia="Times New Roman" w:hAnsi="Times New Roman" w:cs="Times New Roman"/>
          <w:sz w:val="28"/>
        </w:rPr>
        <w:t xml:space="preserve">Abuov Alyas Dzamilevich </w:t>
      </w:r>
    </w:p>
    <w:p w:rsidR="0052701D" w:rsidRDefault="00D40929">
      <w:pPr>
        <w:tabs>
          <w:tab w:val="center" w:pos="9148"/>
        </w:tabs>
        <w:spacing w:after="5" w:line="271" w:lineRule="auto"/>
      </w:pPr>
      <w:r>
        <w:rPr>
          <w:rFonts w:ascii="Times New Roman" w:eastAsia="Times New Roman" w:hAnsi="Times New Roman" w:cs="Times New Roman"/>
          <w:sz w:val="28"/>
        </w:rPr>
        <w:t xml:space="preserve">ASSEMBLY OF A ROBOT TO DETECT BLOCKAGE BY MOVING </w:t>
      </w:r>
      <w:r>
        <w:rPr>
          <w:rFonts w:ascii="Times New Roman" w:eastAsia="Times New Roman" w:hAnsi="Times New Roman" w:cs="Times New Roman"/>
          <w:sz w:val="28"/>
        </w:rPr>
        <w:tab/>
        <w:t xml:space="preserve">80 </w:t>
      </w:r>
    </w:p>
    <w:p w:rsidR="0052701D" w:rsidRDefault="00D40929">
      <w:pPr>
        <w:spacing w:after="5" w:line="271" w:lineRule="auto"/>
        <w:ind w:left="221" w:right="64"/>
        <w:jc w:val="both"/>
      </w:pPr>
      <w:r>
        <w:rPr>
          <w:rFonts w:ascii="Times New Roman" w:eastAsia="Times New Roman" w:hAnsi="Times New Roman" w:cs="Times New Roman"/>
          <w:sz w:val="28"/>
        </w:rPr>
        <w:t xml:space="preserve">INSIDE THE PIPE </w:t>
      </w:r>
    </w:p>
    <w:p w:rsidR="0052701D" w:rsidRDefault="00D40929">
      <w:pPr>
        <w:spacing w:after="5" w:line="271" w:lineRule="auto"/>
        <w:ind w:left="221" w:right="64"/>
        <w:jc w:val="both"/>
      </w:pPr>
      <w:r>
        <w:rPr>
          <w:rFonts w:ascii="Times New Roman" w:eastAsia="Times New Roman" w:hAnsi="Times New Roman" w:cs="Times New Roman"/>
          <w:sz w:val="28"/>
        </w:rPr>
        <w:t>Nurgizat Yerkebulan Sametuly, Sultanazhina Akzhan Ma</w:t>
      </w:r>
      <w:r>
        <w:rPr>
          <w:rFonts w:ascii="Times New Roman" w:eastAsia="Times New Roman" w:hAnsi="Times New Roman" w:cs="Times New Roman"/>
          <w:sz w:val="28"/>
        </w:rPr>
        <w:t xml:space="preserve">ksatovna, </w:t>
      </w:r>
    </w:p>
    <w:p w:rsidR="0052701D" w:rsidRDefault="00D40929">
      <w:pPr>
        <w:spacing w:after="5" w:line="271" w:lineRule="auto"/>
        <w:ind w:left="221" w:right="64"/>
        <w:jc w:val="both"/>
      </w:pPr>
      <w:r>
        <w:rPr>
          <w:rFonts w:ascii="Times New Roman" w:eastAsia="Times New Roman" w:hAnsi="Times New Roman" w:cs="Times New Roman"/>
          <w:sz w:val="28"/>
        </w:rPr>
        <w:t xml:space="preserve">Uzbekbayev Аrman Makhmudovich, Duisenbek Saya Nurdauletkyzy </w:t>
      </w:r>
    </w:p>
    <w:p w:rsidR="0052701D" w:rsidRDefault="00D40929">
      <w:pPr>
        <w:tabs>
          <w:tab w:val="center" w:pos="9148"/>
        </w:tabs>
        <w:spacing w:after="5" w:line="271" w:lineRule="auto"/>
      </w:pPr>
      <w:r>
        <w:rPr>
          <w:rFonts w:ascii="Times New Roman" w:eastAsia="Times New Roman" w:hAnsi="Times New Roman" w:cs="Times New Roman"/>
          <w:sz w:val="28"/>
        </w:rPr>
        <w:t xml:space="preserve">CONTROLLING THE MOVEMENT OF A GROUP OF ROBOTS </w:t>
      </w:r>
      <w:r>
        <w:rPr>
          <w:rFonts w:ascii="Times New Roman" w:eastAsia="Times New Roman" w:hAnsi="Times New Roman" w:cs="Times New Roman"/>
          <w:sz w:val="28"/>
        </w:rPr>
        <w:tab/>
        <w:t xml:space="preserve">87 </w:t>
      </w:r>
    </w:p>
    <w:p w:rsidR="0052701D" w:rsidRDefault="00D40929">
      <w:pPr>
        <w:spacing w:after="5" w:line="271" w:lineRule="auto"/>
        <w:ind w:left="221" w:right="64"/>
        <w:jc w:val="both"/>
      </w:pPr>
      <w:r>
        <w:rPr>
          <w:rFonts w:ascii="Times New Roman" w:eastAsia="Times New Roman" w:hAnsi="Times New Roman" w:cs="Times New Roman"/>
          <w:sz w:val="28"/>
        </w:rPr>
        <w:t xml:space="preserve">BASED ON VISUAL INFORMATION FROM THE ACCOMPANYING </w:t>
      </w:r>
    </w:p>
    <w:p w:rsidR="0052701D" w:rsidRDefault="00D40929">
      <w:pPr>
        <w:spacing w:after="5" w:line="271" w:lineRule="auto"/>
        <w:ind w:left="221" w:right="64"/>
        <w:jc w:val="both"/>
      </w:pPr>
      <w:r>
        <w:rPr>
          <w:rFonts w:ascii="Times New Roman" w:eastAsia="Times New Roman" w:hAnsi="Times New Roman" w:cs="Times New Roman"/>
          <w:sz w:val="28"/>
        </w:rPr>
        <w:t xml:space="preserve">DRONE </w:t>
      </w:r>
    </w:p>
    <w:p w:rsidR="0052701D" w:rsidRDefault="00D40929">
      <w:pPr>
        <w:spacing w:after="5" w:line="271" w:lineRule="auto"/>
        <w:ind w:left="221" w:right="64"/>
        <w:jc w:val="both"/>
      </w:pPr>
      <w:r>
        <w:rPr>
          <w:rFonts w:ascii="Times New Roman" w:eastAsia="Times New Roman" w:hAnsi="Times New Roman" w:cs="Times New Roman"/>
          <w:sz w:val="28"/>
        </w:rPr>
        <w:t xml:space="preserve">Toleugazyyev Alisher Bolatuly </w:t>
      </w:r>
    </w:p>
    <w:p w:rsidR="0052701D" w:rsidRDefault="00D40929">
      <w:pPr>
        <w:tabs>
          <w:tab w:val="center" w:pos="9148"/>
        </w:tabs>
        <w:spacing w:after="5" w:line="271" w:lineRule="auto"/>
      </w:pPr>
      <w:r>
        <w:rPr>
          <w:rFonts w:ascii="Times New Roman" w:eastAsia="Times New Roman" w:hAnsi="Times New Roman" w:cs="Times New Roman"/>
          <w:sz w:val="28"/>
        </w:rPr>
        <w:t xml:space="preserve">МОДЕЛИРОВАНИЕ МЕХАНИЗМА ПАНТОГРАФА, </w:t>
      </w:r>
      <w:r>
        <w:rPr>
          <w:rFonts w:ascii="Times New Roman" w:eastAsia="Times New Roman" w:hAnsi="Times New Roman" w:cs="Times New Roman"/>
          <w:sz w:val="28"/>
        </w:rPr>
        <w:tab/>
        <w:t xml:space="preserve">91 </w:t>
      </w:r>
    </w:p>
    <w:p w:rsidR="0052701D" w:rsidRDefault="00D40929">
      <w:pPr>
        <w:spacing w:after="5" w:line="271" w:lineRule="auto"/>
        <w:ind w:left="221" w:right="64"/>
        <w:jc w:val="both"/>
      </w:pPr>
      <w:r>
        <w:rPr>
          <w:rFonts w:ascii="Times New Roman" w:eastAsia="Times New Roman" w:hAnsi="Times New Roman" w:cs="Times New Roman"/>
          <w:sz w:val="28"/>
        </w:rPr>
        <w:t xml:space="preserve">ВЗАИМОДЕЙСТВУЮЩЕГО С ОКРУЖАЮЩЕЙ СРЕДОЙ </w:t>
      </w:r>
    </w:p>
    <w:p w:rsidR="0052701D" w:rsidRDefault="00D40929">
      <w:pPr>
        <w:spacing w:after="5" w:line="271" w:lineRule="auto"/>
        <w:ind w:left="221" w:right="64"/>
        <w:jc w:val="both"/>
      </w:pPr>
      <w:r>
        <w:rPr>
          <w:rFonts w:ascii="Times New Roman" w:eastAsia="Times New Roman" w:hAnsi="Times New Roman" w:cs="Times New Roman"/>
          <w:sz w:val="28"/>
        </w:rPr>
        <w:t xml:space="preserve">Азилкияшева Маржан Мухтарбековна, Совет Aйгерим Бериккызы </w:t>
      </w:r>
    </w:p>
    <w:p w:rsidR="0052701D" w:rsidRDefault="00D40929">
      <w:pPr>
        <w:tabs>
          <w:tab w:val="center" w:pos="9148"/>
        </w:tabs>
        <w:spacing w:after="5" w:line="271" w:lineRule="auto"/>
      </w:pPr>
      <w:r>
        <w:rPr>
          <w:rFonts w:ascii="Times New Roman" w:eastAsia="Times New Roman" w:hAnsi="Times New Roman" w:cs="Times New Roman"/>
          <w:sz w:val="28"/>
        </w:rPr>
        <w:t xml:space="preserve">ТАБИҒИ ҚҰБЫЛЫСТАРДЫҢ САЛДАРЫН БАҒАЛАУ КЕЗІНДЕ </w:t>
      </w:r>
      <w:r>
        <w:rPr>
          <w:rFonts w:ascii="Times New Roman" w:eastAsia="Times New Roman" w:hAnsi="Times New Roman" w:cs="Times New Roman"/>
          <w:sz w:val="28"/>
        </w:rPr>
        <w:tab/>
        <w:t xml:space="preserve">98 </w:t>
      </w:r>
    </w:p>
    <w:p w:rsidR="0052701D" w:rsidRDefault="00D40929">
      <w:pPr>
        <w:spacing w:after="5" w:line="271" w:lineRule="auto"/>
        <w:ind w:left="221" w:right="64"/>
        <w:jc w:val="both"/>
      </w:pPr>
      <w:r>
        <w:rPr>
          <w:rFonts w:ascii="Times New Roman" w:eastAsia="Times New Roman" w:hAnsi="Times New Roman" w:cs="Times New Roman"/>
          <w:sz w:val="28"/>
        </w:rPr>
        <w:t xml:space="preserve">ЖАСАНДЫ ЗЕРДЕНІ ҚОЛДАНУДЫҢ МАҢЫЗЫ </w:t>
      </w:r>
    </w:p>
    <w:p w:rsidR="0052701D" w:rsidRDefault="00D40929">
      <w:pPr>
        <w:spacing w:after="5" w:line="271" w:lineRule="auto"/>
        <w:ind w:left="221" w:right="64"/>
        <w:jc w:val="both"/>
      </w:pPr>
      <w:r>
        <w:rPr>
          <w:rFonts w:ascii="Times New Roman" w:eastAsia="Times New Roman" w:hAnsi="Times New Roman" w:cs="Times New Roman"/>
          <w:sz w:val="28"/>
        </w:rPr>
        <w:t xml:space="preserve">Г.Т. Алджамбекова, Г.Қ. Наурызбаева, Р.Н. Сыздықова </w:t>
      </w:r>
    </w:p>
    <w:p w:rsidR="0052701D" w:rsidRDefault="00D40929">
      <w:pPr>
        <w:spacing w:after="5" w:line="271" w:lineRule="auto"/>
        <w:ind w:left="221" w:right="64"/>
        <w:jc w:val="both"/>
      </w:pPr>
      <w:r>
        <w:rPr>
          <w:rFonts w:ascii="Times New Roman" w:eastAsia="Times New Roman" w:hAnsi="Times New Roman" w:cs="Times New Roman"/>
          <w:sz w:val="28"/>
        </w:rPr>
        <w:t>РAЗРAБОТКA МAКЕТНО</w:t>
      </w:r>
      <w:r>
        <w:rPr>
          <w:rFonts w:ascii="Times New Roman" w:eastAsia="Times New Roman" w:hAnsi="Times New Roman" w:cs="Times New Roman"/>
          <w:sz w:val="28"/>
        </w:rPr>
        <w:t xml:space="preserve">ГО ОБРAЗЦA ВЫCОКОЭФФЕКТИВНОГО 104 </w:t>
      </w:r>
    </w:p>
    <w:p w:rsidR="0052701D" w:rsidRDefault="00D40929">
      <w:pPr>
        <w:spacing w:after="5" w:line="271" w:lineRule="auto"/>
        <w:ind w:left="221" w:right="64"/>
        <w:jc w:val="both"/>
      </w:pPr>
      <w:r>
        <w:rPr>
          <w:rFonts w:ascii="Times New Roman" w:eastAsia="Times New Roman" w:hAnsi="Times New Roman" w:cs="Times New Roman"/>
          <w:sz w:val="28"/>
        </w:rPr>
        <w:t xml:space="preserve">МAЛОГAБAРИТНОГО ПРЕОБРAЗОВAТЕЛЯ НAПРЯЖЕНИЯ НA </w:t>
      </w:r>
    </w:p>
    <w:p w:rsidR="0052701D" w:rsidRDefault="00D40929">
      <w:pPr>
        <w:spacing w:after="5" w:line="271" w:lineRule="auto"/>
        <w:ind w:left="221" w:right="482"/>
        <w:jc w:val="both"/>
      </w:pPr>
      <w:r>
        <w:rPr>
          <w:rFonts w:ascii="Times New Roman" w:eastAsia="Times New Roman" w:hAnsi="Times New Roman" w:cs="Times New Roman"/>
          <w:sz w:val="28"/>
        </w:rPr>
        <w:t xml:space="preserve">ОCНОВЕ КВAЗИРЕЗОНAНCНОГО МЕТОДA ДЛЯ МИКРОCПУТНИКОВ И МУЛЬТИКОПТЕРОВ </w:t>
      </w:r>
    </w:p>
    <w:p w:rsidR="0052701D" w:rsidRDefault="00D40929">
      <w:pPr>
        <w:spacing w:after="5" w:line="271" w:lineRule="auto"/>
        <w:ind w:left="221" w:right="64"/>
        <w:jc w:val="both"/>
      </w:pPr>
      <w:r>
        <w:rPr>
          <w:rFonts w:ascii="Times New Roman" w:eastAsia="Times New Roman" w:hAnsi="Times New Roman" w:cs="Times New Roman"/>
          <w:sz w:val="28"/>
        </w:rPr>
        <w:t xml:space="preserve">Aлипбaев К.A., Кенжеғaрaевa A.Д., Caуровa К.C. </w:t>
      </w:r>
    </w:p>
    <w:p w:rsidR="0052701D" w:rsidRDefault="00D40929">
      <w:pPr>
        <w:tabs>
          <w:tab w:val="center" w:pos="9218"/>
        </w:tabs>
        <w:spacing w:after="5" w:line="271" w:lineRule="auto"/>
      </w:pPr>
      <w:r>
        <w:rPr>
          <w:rFonts w:ascii="Times New Roman" w:eastAsia="Times New Roman" w:hAnsi="Times New Roman" w:cs="Times New Roman"/>
          <w:sz w:val="28"/>
        </w:rPr>
        <w:t xml:space="preserve">РАЗРАБОТКА ИНТЕГРИРОВАННОГО </w:t>
      </w:r>
      <w:r>
        <w:rPr>
          <w:rFonts w:ascii="Times New Roman" w:eastAsia="Times New Roman" w:hAnsi="Times New Roman" w:cs="Times New Roman"/>
          <w:sz w:val="28"/>
        </w:rPr>
        <w:tab/>
        <w:t xml:space="preserve">112 </w:t>
      </w:r>
    </w:p>
    <w:p w:rsidR="0052701D" w:rsidRDefault="00D40929">
      <w:pPr>
        <w:spacing w:after="5" w:line="271" w:lineRule="auto"/>
        <w:ind w:left="221" w:right="64"/>
        <w:jc w:val="both"/>
      </w:pPr>
      <w:r>
        <w:rPr>
          <w:rFonts w:ascii="Times New Roman" w:eastAsia="Times New Roman" w:hAnsi="Times New Roman" w:cs="Times New Roman"/>
          <w:sz w:val="28"/>
        </w:rPr>
        <w:t>МНОГОФУНКЦИОНАЛЬНОГО КО</w:t>
      </w:r>
      <w:r>
        <w:rPr>
          <w:rFonts w:ascii="Times New Roman" w:eastAsia="Times New Roman" w:hAnsi="Times New Roman" w:cs="Times New Roman"/>
          <w:sz w:val="28"/>
        </w:rPr>
        <w:t xml:space="preserve">МПЛЕКСА ОСВЕЩЕНИЯ </w:t>
      </w:r>
    </w:p>
    <w:p w:rsidR="0052701D" w:rsidRDefault="00D40929">
      <w:pPr>
        <w:spacing w:after="5" w:line="271" w:lineRule="auto"/>
        <w:ind w:left="221" w:right="64"/>
        <w:jc w:val="both"/>
      </w:pPr>
      <w:r>
        <w:rPr>
          <w:rFonts w:ascii="Times New Roman" w:eastAsia="Times New Roman" w:hAnsi="Times New Roman" w:cs="Times New Roman"/>
          <w:sz w:val="28"/>
        </w:rPr>
        <w:t xml:space="preserve">КОСМИЧЕСКОЙ ОБСТАНОВКИ В СЕКТОРЕ КАСПИЙСКОГО </w:t>
      </w:r>
    </w:p>
    <w:p w:rsidR="0052701D" w:rsidRDefault="00D40929">
      <w:pPr>
        <w:spacing w:after="5" w:line="271" w:lineRule="auto"/>
        <w:ind w:left="221" w:right="64"/>
        <w:jc w:val="both"/>
      </w:pPr>
      <w:r>
        <w:rPr>
          <w:rFonts w:ascii="Times New Roman" w:eastAsia="Times New Roman" w:hAnsi="Times New Roman" w:cs="Times New Roman"/>
          <w:sz w:val="28"/>
        </w:rPr>
        <w:t xml:space="preserve">МОРЯ </w:t>
      </w:r>
    </w:p>
    <w:p w:rsidR="0052701D" w:rsidRDefault="00D40929">
      <w:pPr>
        <w:spacing w:after="5" w:line="271" w:lineRule="auto"/>
        <w:ind w:left="221" w:right="64"/>
        <w:jc w:val="both"/>
      </w:pPr>
      <w:r>
        <w:rPr>
          <w:rFonts w:ascii="Times New Roman" w:eastAsia="Times New Roman" w:hAnsi="Times New Roman" w:cs="Times New Roman"/>
          <w:sz w:val="28"/>
        </w:rPr>
        <w:t xml:space="preserve">Боранбаева АнаргульТалгатовна, Саурова Камила Серикбаевна, </w:t>
      </w:r>
    </w:p>
    <w:p w:rsidR="0052701D" w:rsidRDefault="00D40929">
      <w:pPr>
        <w:spacing w:after="5" w:line="271" w:lineRule="auto"/>
        <w:ind w:left="221" w:right="64"/>
        <w:jc w:val="both"/>
      </w:pPr>
      <w:r>
        <w:rPr>
          <w:rFonts w:ascii="Times New Roman" w:eastAsia="Times New Roman" w:hAnsi="Times New Roman" w:cs="Times New Roman"/>
          <w:sz w:val="28"/>
        </w:rPr>
        <w:t xml:space="preserve">Кенжегараева Ансаган Дарханкызы </w:t>
      </w:r>
    </w:p>
    <w:p w:rsidR="0052701D" w:rsidRDefault="00D40929">
      <w:pPr>
        <w:tabs>
          <w:tab w:val="center" w:pos="9218"/>
        </w:tabs>
        <w:spacing w:after="5" w:line="271" w:lineRule="auto"/>
      </w:pPr>
      <w:r>
        <w:rPr>
          <w:rFonts w:ascii="Times New Roman" w:eastAsia="Times New Roman" w:hAnsi="Times New Roman" w:cs="Times New Roman"/>
          <w:sz w:val="28"/>
        </w:rPr>
        <w:t xml:space="preserve">ЖОҒАРҒЫ ҚОЛДЫ ОҢАЛТУҒА АРНАЛҒАН ЖАҢА ЭКЗОСКЕЛЕТ </w:t>
      </w:r>
      <w:r>
        <w:rPr>
          <w:rFonts w:ascii="Times New Roman" w:eastAsia="Times New Roman" w:hAnsi="Times New Roman" w:cs="Times New Roman"/>
          <w:sz w:val="28"/>
        </w:rPr>
        <w:tab/>
        <w:t xml:space="preserve">121 </w:t>
      </w:r>
    </w:p>
    <w:p w:rsidR="0052701D" w:rsidRDefault="00D40929">
      <w:pPr>
        <w:spacing w:after="5" w:line="271" w:lineRule="auto"/>
        <w:ind w:left="221" w:right="64"/>
        <w:jc w:val="both"/>
      </w:pPr>
      <w:r>
        <w:rPr>
          <w:rFonts w:ascii="Times New Roman" w:eastAsia="Times New Roman" w:hAnsi="Times New Roman" w:cs="Times New Roman"/>
          <w:sz w:val="28"/>
        </w:rPr>
        <w:t xml:space="preserve">ҚҰРАСТЫРУ </w:t>
      </w:r>
    </w:p>
    <w:p w:rsidR="0052701D" w:rsidRDefault="00D40929">
      <w:pPr>
        <w:spacing w:after="5" w:line="271" w:lineRule="auto"/>
        <w:ind w:left="221" w:right="64"/>
        <w:jc w:val="both"/>
      </w:pPr>
      <w:r>
        <w:rPr>
          <w:rFonts w:ascii="Times New Roman" w:eastAsia="Times New Roman" w:hAnsi="Times New Roman" w:cs="Times New Roman"/>
          <w:sz w:val="28"/>
        </w:rPr>
        <w:t>Жетенбаев Н.Т., Шингисов Б.</w:t>
      </w:r>
      <w:r>
        <w:rPr>
          <w:rFonts w:ascii="Times New Roman" w:eastAsia="Times New Roman" w:hAnsi="Times New Roman" w:cs="Times New Roman"/>
          <w:sz w:val="28"/>
        </w:rPr>
        <w:t xml:space="preserve">Т., Ғани М.Б. </w:t>
      </w:r>
    </w:p>
    <w:p w:rsidR="0052701D" w:rsidRDefault="00D40929">
      <w:pPr>
        <w:tabs>
          <w:tab w:val="center" w:pos="9218"/>
        </w:tabs>
        <w:spacing w:after="5" w:line="271" w:lineRule="auto"/>
      </w:pPr>
      <w:r>
        <w:rPr>
          <w:rFonts w:ascii="Times New Roman" w:eastAsia="Times New Roman" w:hAnsi="Times New Roman" w:cs="Times New Roman"/>
          <w:sz w:val="28"/>
        </w:rPr>
        <w:t xml:space="preserve">КЕҢІСТІКТЕГІ МОБИЛЬДІ РОБОТТАРДЫ ЖОБАЛАУ ЖӘНЕ </w:t>
      </w:r>
      <w:r>
        <w:rPr>
          <w:rFonts w:ascii="Times New Roman" w:eastAsia="Times New Roman" w:hAnsi="Times New Roman" w:cs="Times New Roman"/>
          <w:sz w:val="28"/>
        </w:rPr>
        <w:tab/>
        <w:t xml:space="preserve">129 </w:t>
      </w:r>
    </w:p>
    <w:p w:rsidR="0052701D" w:rsidRDefault="00D40929">
      <w:pPr>
        <w:spacing w:after="5" w:line="271" w:lineRule="auto"/>
        <w:ind w:left="221" w:right="64"/>
        <w:jc w:val="both"/>
      </w:pPr>
      <w:r>
        <w:rPr>
          <w:rFonts w:ascii="Times New Roman" w:eastAsia="Times New Roman" w:hAnsi="Times New Roman" w:cs="Times New Roman"/>
          <w:sz w:val="28"/>
        </w:rPr>
        <w:t xml:space="preserve">БАСҚАРУ </w:t>
      </w:r>
    </w:p>
    <w:p w:rsidR="0052701D" w:rsidRDefault="00D40929">
      <w:pPr>
        <w:spacing w:after="5" w:line="271" w:lineRule="auto"/>
        <w:ind w:left="221" w:right="64"/>
        <w:jc w:val="both"/>
      </w:pPr>
      <w:r>
        <w:rPr>
          <w:rFonts w:ascii="Times New Roman" w:eastAsia="Times New Roman" w:hAnsi="Times New Roman" w:cs="Times New Roman"/>
          <w:sz w:val="28"/>
        </w:rPr>
        <w:t xml:space="preserve">Серикбай Байтекович Косболов, Елдос Нурланович Корабаев, Әділхан </w:t>
      </w:r>
    </w:p>
    <w:p w:rsidR="0052701D" w:rsidRDefault="00D40929">
      <w:pPr>
        <w:spacing w:after="5" w:line="271" w:lineRule="auto"/>
        <w:ind w:left="221" w:right="64"/>
        <w:jc w:val="both"/>
      </w:pPr>
      <w:r>
        <w:rPr>
          <w:rFonts w:ascii="Times New Roman" w:eastAsia="Times New Roman" w:hAnsi="Times New Roman" w:cs="Times New Roman"/>
          <w:sz w:val="28"/>
        </w:rPr>
        <w:t xml:space="preserve">Досмаханбетұлы Әсілхан </w:t>
      </w:r>
    </w:p>
    <w:p w:rsidR="0052701D" w:rsidRDefault="00D40929">
      <w:pPr>
        <w:tabs>
          <w:tab w:val="center" w:pos="9218"/>
        </w:tabs>
        <w:spacing w:after="5" w:line="271" w:lineRule="auto"/>
      </w:pPr>
      <w:r>
        <w:rPr>
          <w:rFonts w:ascii="Times New Roman" w:eastAsia="Times New Roman" w:hAnsi="Times New Roman" w:cs="Times New Roman"/>
          <w:sz w:val="28"/>
        </w:rPr>
        <w:t xml:space="preserve">СРАВНИТЕЛЬНЫЙ АНАЛИЗ КЛАССИЧЕСКОЙ И КВАНТОВОЙ </w:t>
      </w:r>
      <w:r>
        <w:rPr>
          <w:rFonts w:ascii="Times New Roman" w:eastAsia="Times New Roman" w:hAnsi="Times New Roman" w:cs="Times New Roman"/>
          <w:sz w:val="28"/>
        </w:rPr>
        <w:tab/>
        <w:t xml:space="preserve">136 </w:t>
      </w:r>
    </w:p>
    <w:p w:rsidR="0052701D" w:rsidRDefault="00D40929">
      <w:pPr>
        <w:spacing w:after="5" w:line="271" w:lineRule="auto"/>
        <w:ind w:left="221" w:right="64"/>
        <w:jc w:val="both"/>
      </w:pPr>
      <w:r>
        <w:rPr>
          <w:rFonts w:ascii="Times New Roman" w:eastAsia="Times New Roman" w:hAnsi="Times New Roman" w:cs="Times New Roman"/>
          <w:sz w:val="28"/>
        </w:rPr>
        <w:t xml:space="preserve">КРИПТОГРАФИИ </w:t>
      </w:r>
    </w:p>
    <w:p w:rsidR="0052701D" w:rsidRDefault="00D40929">
      <w:pPr>
        <w:spacing w:after="5" w:line="271" w:lineRule="auto"/>
        <w:ind w:left="221" w:right="64"/>
        <w:jc w:val="both"/>
      </w:pPr>
      <w:r>
        <w:rPr>
          <w:rFonts w:ascii="Times New Roman" w:eastAsia="Times New Roman" w:hAnsi="Times New Roman" w:cs="Times New Roman"/>
          <w:sz w:val="28"/>
        </w:rPr>
        <w:t xml:space="preserve">Кусаинов Ануар Бауржанович </w:t>
      </w:r>
    </w:p>
    <w:p w:rsidR="0052701D" w:rsidRDefault="00D40929">
      <w:pPr>
        <w:tabs>
          <w:tab w:val="center" w:pos="9218"/>
        </w:tabs>
        <w:spacing w:after="5" w:line="271" w:lineRule="auto"/>
      </w:pPr>
      <w:r>
        <w:rPr>
          <w:rFonts w:ascii="Times New Roman" w:eastAsia="Times New Roman" w:hAnsi="Times New Roman" w:cs="Times New Roman"/>
          <w:sz w:val="28"/>
        </w:rPr>
        <w:lastRenderedPageBreak/>
        <w:t xml:space="preserve">МЕХАТРОННЫЙ МОДУЛЬ ВАКУУМНОЙ ТЕРАПИИ ДЛЯ </w:t>
      </w:r>
      <w:r>
        <w:rPr>
          <w:rFonts w:ascii="Times New Roman" w:eastAsia="Times New Roman" w:hAnsi="Times New Roman" w:cs="Times New Roman"/>
          <w:sz w:val="28"/>
        </w:rPr>
        <w:tab/>
        <w:t xml:space="preserve">142 </w:t>
      </w:r>
    </w:p>
    <w:p w:rsidR="0052701D" w:rsidRDefault="00D40929">
      <w:pPr>
        <w:spacing w:after="5" w:line="271" w:lineRule="auto"/>
        <w:ind w:left="221" w:right="64"/>
        <w:jc w:val="both"/>
      </w:pPr>
      <w:r>
        <w:rPr>
          <w:rFonts w:ascii="Times New Roman" w:eastAsia="Times New Roman" w:hAnsi="Times New Roman" w:cs="Times New Roman"/>
          <w:sz w:val="28"/>
        </w:rPr>
        <w:t xml:space="preserve">МОБИЛЬНЫХ СТАНЦИЙ МЕДПОМОЩИ </w:t>
      </w:r>
    </w:p>
    <w:p w:rsidR="0052701D" w:rsidRDefault="00D40929">
      <w:pPr>
        <w:spacing w:after="5" w:line="271" w:lineRule="auto"/>
        <w:ind w:left="221" w:right="64"/>
        <w:jc w:val="both"/>
      </w:pPr>
      <w:r>
        <w:rPr>
          <w:rFonts w:ascii="Times New Roman" w:eastAsia="Times New Roman" w:hAnsi="Times New Roman" w:cs="Times New Roman"/>
          <w:sz w:val="28"/>
        </w:rPr>
        <w:t xml:space="preserve">И.В. Ломакин, К.Ю. Самохвалова </w:t>
      </w:r>
    </w:p>
    <w:p w:rsidR="0052701D" w:rsidRDefault="00D40929">
      <w:pPr>
        <w:tabs>
          <w:tab w:val="center" w:pos="9218"/>
        </w:tabs>
        <w:spacing w:after="5" w:line="271" w:lineRule="auto"/>
      </w:pPr>
      <w:r>
        <w:rPr>
          <w:rFonts w:ascii="Times New Roman" w:eastAsia="Times New Roman" w:hAnsi="Times New Roman" w:cs="Times New Roman"/>
          <w:sz w:val="28"/>
        </w:rPr>
        <w:t xml:space="preserve">АЗАММАТТЫҚ МАҚСАТТАР ҮШІН ӘСКЕРИ СУАСТЫ </w:t>
      </w:r>
      <w:r>
        <w:rPr>
          <w:rFonts w:ascii="Times New Roman" w:eastAsia="Times New Roman" w:hAnsi="Times New Roman" w:cs="Times New Roman"/>
          <w:sz w:val="28"/>
        </w:rPr>
        <w:tab/>
        <w:t xml:space="preserve">147 </w:t>
      </w:r>
    </w:p>
    <w:p w:rsidR="0052701D" w:rsidRDefault="00D40929">
      <w:pPr>
        <w:spacing w:after="5" w:line="271" w:lineRule="auto"/>
        <w:ind w:left="221" w:right="64"/>
        <w:jc w:val="both"/>
      </w:pPr>
      <w:r>
        <w:rPr>
          <w:rFonts w:ascii="Times New Roman" w:eastAsia="Times New Roman" w:hAnsi="Times New Roman" w:cs="Times New Roman"/>
          <w:sz w:val="28"/>
        </w:rPr>
        <w:t xml:space="preserve">ЗЫМЫРАНДАРДЫҢ ЗЫМЫРАН ТАСЫҒЫШ ЕСЕБІНДЕ </w:t>
      </w:r>
    </w:p>
    <w:p w:rsidR="0052701D" w:rsidRDefault="00D40929">
      <w:pPr>
        <w:spacing w:after="5" w:line="271" w:lineRule="auto"/>
        <w:ind w:left="221" w:right="64"/>
        <w:jc w:val="both"/>
      </w:pPr>
      <w:r>
        <w:rPr>
          <w:rFonts w:ascii="Times New Roman" w:eastAsia="Times New Roman" w:hAnsi="Times New Roman" w:cs="Times New Roman"/>
          <w:sz w:val="28"/>
        </w:rPr>
        <w:t xml:space="preserve">ҚАРАСТЫРУ </w:t>
      </w:r>
    </w:p>
    <w:p w:rsidR="0052701D" w:rsidRDefault="00D40929">
      <w:pPr>
        <w:spacing w:after="5" w:line="271" w:lineRule="auto"/>
        <w:ind w:left="221" w:right="64"/>
        <w:jc w:val="both"/>
      </w:pPr>
      <w:r>
        <w:rPr>
          <w:rFonts w:ascii="Times New Roman" w:eastAsia="Times New Roman" w:hAnsi="Times New Roman" w:cs="Times New Roman"/>
          <w:sz w:val="28"/>
        </w:rPr>
        <w:t xml:space="preserve">Ораз Ф.Б., Кемелхан Ә.Ә., Оразалиева А.Н., Жалымбетова І. </w:t>
      </w:r>
    </w:p>
    <w:p w:rsidR="0052701D" w:rsidRDefault="00D40929">
      <w:pPr>
        <w:tabs>
          <w:tab w:val="center" w:pos="9218"/>
        </w:tabs>
        <w:spacing w:after="5" w:line="271" w:lineRule="auto"/>
      </w:pPr>
      <w:r>
        <w:rPr>
          <w:rFonts w:ascii="Times New Roman" w:eastAsia="Times New Roman" w:hAnsi="Times New Roman" w:cs="Times New Roman"/>
          <w:sz w:val="28"/>
        </w:rPr>
        <w:t xml:space="preserve">РАСЧЕТ ПАРАМЕТРОВ КВАЗИРЕЗОНАНСНОГО </w:t>
      </w:r>
      <w:r>
        <w:rPr>
          <w:rFonts w:ascii="Times New Roman" w:eastAsia="Times New Roman" w:hAnsi="Times New Roman" w:cs="Times New Roman"/>
          <w:sz w:val="28"/>
        </w:rPr>
        <w:tab/>
        <w:t>152</w:t>
      </w:r>
    </w:p>
    <w:p w:rsidR="0052701D" w:rsidRDefault="00D40929">
      <w:pPr>
        <w:spacing w:after="5" w:line="271" w:lineRule="auto"/>
        <w:ind w:left="221" w:right="64"/>
        <w:jc w:val="both"/>
      </w:pPr>
      <w:r>
        <w:rPr>
          <w:rFonts w:ascii="Times New Roman" w:eastAsia="Times New Roman" w:hAnsi="Times New Roman" w:cs="Times New Roman"/>
          <w:sz w:val="28"/>
        </w:rPr>
        <w:t xml:space="preserve">ПРЕОБРАЗОВАТЕЛЯ НАПРЯЖЕНИЯ ДЛЯ МИКРОСПУТНИКОВ И </w:t>
      </w:r>
    </w:p>
    <w:p w:rsidR="0052701D" w:rsidRDefault="00D40929">
      <w:pPr>
        <w:spacing w:after="5" w:line="271" w:lineRule="auto"/>
        <w:ind w:left="221" w:right="64"/>
        <w:jc w:val="both"/>
      </w:pPr>
      <w:r>
        <w:rPr>
          <w:rFonts w:ascii="Times New Roman" w:eastAsia="Times New Roman" w:hAnsi="Times New Roman" w:cs="Times New Roman"/>
          <w:sz w:val="28"/>
        </w:rPr>
        <w:t xml:space="preserve">МУЛЬТИКОПТЕРОВ </w:t>
      </w:r>
    </w:p>
    <w:p w:rsidR="0052701D" w:rsidRDefault="00D40929">
      <w:pPr>
        <w:spacing w:after="5" w:line="271" w:lineRule="auto"/>
        <w:ind w:left="221" w:right="64"/>
        <w:jc w:val="both"/>
      </w:pPr>
      <w:r>
        <w:rPr>
          <w:rFonts w:ascii="Times New Roman" w:eastAsia="Times New Roman" w:hAnsi="Times New Roman" w:cs="Times New Roman"/>
          <w:sz w:val="28"/>
        </w:rPr>
        <w:t xml:space="preserve">Алипбаев Куаныш Арингожаевич, Саурова Камила Серикбаевна, </w:t>
      </w:r>
    </w:p>
    <w:p w:rsidR="0052701D" w:rsidRDefault="00D40929">
      <w:pPr>
        <w:spacing w:after="5" w:line="271" w:lineRule="auto"/>
        <w:ind w:left="221" w:right="64"/>
        <w:jc w:val="both"/>
      </w:pPr>
      <w:r>
        <w:rPr>
          <w:rFonts w:ascii="Times New Roman" w:eastAsia="Times New Roman" w:hAnsi="Times New Roman" w:cs="Times New Roman"/>
          <w:sz w:val="28"/>
        </w:rPr>
        <w:t xml:space="preserve">Кенжегараева Ансаган Дарханкызы </w:t>
      </w:r>
    </w:p>
    <w:p w:rsidR="0052701D" w:rsidRDefault="00D40929">
      <w:pPr>
        <w:tabs>
          <w:tab w:val="center" w:pos="9218"/>
        </w:tabs>
        <w:spacing w:after="5" w:line="271" w:lineRule="auto"/>
      </w:pPr>
      <w:r>
        <w:rPr>
          <w:rFonts w:ascii="Times New Roman" w:eastAsia="Times New Roman" w:hAnsi="Times New Roman" w:cs="Times New Roman"/>
          <w:sz w:val="28"/>
        </w:rPr>
        <w:t xml:space="preserve">ПРИМЕНЕНИЕ БЕСПИЛОТНЫХ ЛЕТАТЕЛЬНЫХ АППАРАТОВ С </w:t>
      </w:r>
      <w:r>
        <w:rPr>
          <w:rFonts w:ascii="Times New Roman" w:eastAsia="Times New Roman" w:hAnsi="Times New Roman" w:cs="Times New Roman"/>
          <w:sz w:val="28"/>
        </w:rPr>
        <w:tab/>
        <w:t xml:space="preserve">163 </w:t>
      </w:r>
    </w:p>
    <w:p w:rsidR="0052701D" w:rsidRDefault="00D40929">
      <w:pPr>
        <w:spacing w:after="5" w:line="271" w:lineRule="auto"/>
        <w:ind w:left="221" w:right="64"/>
        <w:jc w:val="both"/>
      </w:pPr>
      <w:r>
        <w:rPr>
          <w:rFonts w:ascii="Times New Roman" w:eastAsia="Times New Roman" w:hAnsi="Times New Roman" w:cs="Times New Roman"/>
          <w:sz w:val="28"/>
        </w:rPr>
        <w:t xml:space="preserve">ТЕХНОЛОГИЯМИ НЕЙРОННЫХ СЕТЕЙ, ДЛЯ ПРОФИЛАКТИКИ И </w:t>
      </w:r>
    </w:p>
    <w:p w:rsidR="0052701D" w:rsidRDefault="00D40929">
      <w:pPr>
        <w:spacing w:after="5" w:line="271" w:lineRule="auto"/>
        <w:ind w:left="221" w:right="64"/>
        <w:jc w:val="both"/>
      </w:pPr>
      <w:r>
        <w:rPr>
          <w:rFonts w:ascii="Times New Roman" w:eastAsia="Times New Roman" w:hAnsi="Times New Roman" w:cs="Times New Roman"/>
          <w:sz w:val="28"/>
        </w:rPr>
        <w:t xml:space="preserve">БОРЬБЫ С ПРИРОДНЫМИ И ТЕХНОГЕННЫМИ </w:t>
      </w:r>
    </w:p>
    <w:p w:rsidR="0052701D" w:rsidRDefault="00D40929">
      <w:pPr>
        <w:spacing w:after="5" w:line="271" w:lineRule="auto"/>
        <w:ind w:left="221" w:right="492"/>
        <w:jc w:val="both"/>
      </w:pPr>
      <w:r>
        <w:rPr>
          <w:rFonts w:ascii="Times New Roman" w:eastAsia="Times New Roman" w:hAnsi="Times New Roman" w:cs="Times New Roman"/>
          <w:sz w:val="28"/>
        </w:rPr>
        <w:t xml:space="preserve">КАТАСТРОФАМИ, А ТАКЖЕ ДЛЯ ЛИКВИДАЦИИ ИХ ПОСЛЕДСТВИЙ </w:t>
      </w:r>
    </w:p>
    <w:p w:rsidR="0052701D" w:rsidRDefault="00D40929">
      <w:pPr>
        <w:spacing w:after="5" w:line="271" w:lineRule="auto"/>
        <w:ind w:left="221" w:right="64"/>
        <w:jc w:val="both"/>
      </w:pPr>
      <w:r>
        <w:rPr>
          <w:rFonts w:ascii="Times New Roman" w:eastAsia="Times New Roman" w:hAnsi="Times New Roman" w:cs="Times New Roman"/>
          <w:sz w:val="28"/>
        </w:rPr>
        <w:t xml:space="preserve">Т.Д. Сейдегалиев, Ә.Е. Әден, Е.Е. Оразалы, Бекешев Е.А. </w:t>
      </w:r>
    </w:p>
    <w:p w:rsidR="0052701D" w:rsidRDefault="00D40929">
      <w:pPr>
        <w:tabs>
          <w:tab w:val="center" w:pos="9218"/>
        </w:tabs>
      </w:pPr>
      <w:r>
        <w:rPr>
          <w:rFonts w:ascii="Times New Roman" w:eastAsia="Times New Roman" w:hAnsi="Times New Roman" w:cs="Times New Roman"/>
          <w:sz w:val="28"/>
        </w:rPr>
        <w:t>ҒАРЫШТ</w:t>
      </w:r>
      <w:r>
        <w:rPr>
          <w:rFonts w:ascii="Times New Roman" w:eastAsia="Times New Roman" w:hAnsi="Times New Roman" w:cs="Times New Roman"/>
          <w:sz w:val="28"/>
        </w:rPr>
        <w:t xml:space="preserve">ЫҚ ТЕХНОЛОГИЯДА АСҚЫН ӨТКІЗГІШ </w:t>
      </w:r>
      <w:r>
        <w:rPr>
          <w:rFonts w:ascii="Times New Roman" w:eastAsia="Times New Roman" w:hAnsi="Times New Roman" w:cs="Times New Roman"/>
          <w:sz w:val="28"/>
        </w:rPr>
        <w:tab/>
        <w:t xml:space="preserve">169 </w:t>
      </w:r>
    </w:p>
    <w:p w:rsidR="0052701D" w:rsidRDefault="00D40929">
      <w:r>
        <w:rPr>
          <w:rFonts w:ascii="Times New Roman" w:eastAsia="Times New Roman" w:hAnsi="Times New Roman" w:cs="Times New Roman"/>
          <w:sz w:val="28"/>
        </w:rPr>
        <w:t xml:space="preserve">МАТЕРИАЛДАРДЫ ҚОЛДАНУ ПЕРСПЕКТИВАЛАРЫНА </w:t>
      </w:r>
    </w:p>
    <w:p w:rsidR="0052701D" w:rsidRDefault="00D40929">
      <w:r>
        <w:rPr>
          <w:rFonts w:ascii="Times New Roman" w:eastAsia="Times New Roman" w:hAnsi="Times New Roman" w:cs="Times New Roman"/>
          <w:sz w:val="28"/>
        </w:rPr>
        <w:t xml:space="preserve">ҚЫСҚАША ШОЛУ </w:t>
      </w:r>
    </w:p>
    <w:p w:rsidR="0052701D" w:rsidRDefault="00D40929">
      <w:r>
        <w:rPr>
          <w:rFonts w:ascii="Times New Roman" w:eastAsia="Times New Roman" w:hAnsi="Times New Roman" w:cs="Times New Roman"/>
          <w:sz w:val="28"/>
        </w:rPr>
        <w:t xml:space="preserve">Совет Ә.Б., Назаргалиева Д., Төлендіұлы С. </w:t>
      </w:r>
    </w:p>
    <w:p w:rsidR="0052701D" w:rsidRDefault="00D40929">
      <w:pPr>
        <w:tabs>
          <w:tab w:val="center" w:pos="9218"/>
        </w:tabs>
      </w:pPr>
      <w:r>
        <w:rPr>
          <w:rFonts w:ascii="Times New Roman" w:eastAsia="Times New Roman" w:hAnsi="Times New Roman" w:cs="Times New Roman"/>
          <w:sz w:val="28"/>
        </w:rPr>
        <w:t xml:space="preserve">PROBE DIAGNOSTICS AND OPTICAL EMISSION SPECTROSCOPY </w:t>
      </w:r>
      <w:r>
        <w:rPr>
          <w:rFonts w:ascii="Times New Roman" w:eastAsia="Times New Roman" w:hAnsi="Times New Roman" w:cs="Times New Roman"/>
          <w:sz w:val="28"/>
        </w:rPr>
        <w:tab/>
        <w:t xml:space="preserve">175 </w:t>
      </w:r>
    </w:p>
    <w:p w:rsidR="0052701D" w:rsidRDefault="00D40929">
      <w:r>
        <w:rPr>
          <w:rFonts w:ascii="Times New Roman" w:eastAsia="Times New Roman" w:hAnsi="Times New Roman" w:cs="Times New Roman"/>
          <w:sz w:val="28"/>
        </w:rPr>
        <w:t xml:space="preserve">OF THE PLASMA PLUME CREATED BY A MAGNETIC NOZZLE OF </w:t>
      </w:r>
    </w:p>
    <w:p w:rsidR="0052701D" w:rsidRDefault="00D40929">
      <w:r>
        <w:rPr>
          <w:rFonts w:ascii="Times New Roman" w:eastAsia="Times New Roman" w:hAnsi="Times New Roman" w:cs="Times New Roman"/>
          <w:sz w:val="28"/>
        </w:rPr>
        <w:t xml:space="preserve">AN INDUCTIVELY COUPLED PLASMA SOURCE </w:t>
      </w:r>
    </w:p>
    <w:p w:rsidR="0052701D" w:rsidRDefault="00D40929">
      <w:r>
        <w:rPr>
          <w:rFonts w:ascii="Times New Roman" w:eastAsia="Times New Roman" w:hAnsi="Times New Roman" w:cs="Times New Roman"/>
          <w:sz w:val="28"/>
        </w:rPr>
        <w:t xml:space="preserve">A.R. Gizzatullin, A.I. Shumeiko, V.D. Telekh </w:t>
      </w:r>
    </w:p>
    <w:p w:rsidR="0052701D" w:rsidRDefault="00D40929">
      <w:pPr>
        <w:tabs>
          <w:tab w:val="center" w:pos="9218"/>
        </w:tabs>
      </w:pPr>
      <w:r>
        <w:rPr>
          <w:rFonts w:ascii="Times New Roman" w:eastAsia="Times New Roman" w:hAnsi="Times New Roman" w:cs="Times New Roman"/>
          <w:sz w:val="28"/>
        </w:rPr>
        <w:t xml:space="preserve">МЕТОДЫ ОБНАРУЖЕНИЕ НАЗЕМНЫХ МИН С ПОМОЩЬЮ </w:t>
      </w:r>
      <w:r>
        <w:rPr>
          <w:rFonts w:ascii="Times New Roman" w:eastAsia="Times New Roman" w:hAnsi="Times New Roman" w:cs="Times New Roman"/>
          <w:sz w:val="28"/>
        </w:rPr>
        <w:tab/>
        <w:t xml:space="preserve">180 </w:t>
      </w:r>
    </w:p>
    <w:p w:rsidR="0052701D" w:rsidRDefault="00D40929">
      <w:r>
        <w:rPr>
          <w:rFonts w:ascii="Times New Roman" w:eastAsia="Times New Roman" w:hAnsi="Times New Roman" w:cs="Times New Roman"/>
          <w:sz w:val="28"/>
        </w:rPr>
        <w:t xml:space="preserve">СОВРЕМЕННЫХ ТЕХНОЛОГИЙ </w:t>
      </w:r>
    </w:p>
    <w:p w:rsidR="0052701D" w:rsidRDefault="00D40929">
      <w:r>
        <w:rPr>
          <w:rFonts w:ascii="Times New Roman" w:eastAsia="Times New Roman" w:hAnsi="Times New Roman" w:cs="Times New Roman"/>
          <w:sz w:val="28"/>
        </w:rPr>
        <w:t xml:space="preserve">Оразалиева А.Н., Ораз Ф., Жалымбетова И., Кемелхан А. </w:t>
      </w:r>
    </w:p>
    <w:p w:rsidR="0052701D" w:rsidRDefault="00D40929">
      <w:pPr>
        <w:tabs>
          <w:tab w:val="center" w:pos="9218"/>
        </w:tabs>
      </w:pPr>
      <w:r>
        <w:rPr>
          <w:rFonts w:ascii="Times New Roman" w:eastAsia="Times New Roman" w:hAnsi="Times New Roman" w:cs="Times New Roman"/>
          <w:sz w:val="28"/>
        </w:rPr>
        <w:t xml:space="preserve">ТОЧНЫЕ МОДИФИКАЦИИ РОБОТОВ С НЕАБСОЛЮТНОЙ </w:t>
      </w:r>
      <w:r>
        <w:rPr>
          <w:rFonts w:ascii="Times New Roman" w:eastAsia="Times New Roman" w:hAnsi="Times New Roman" w:cs="Times New Roman"/>
          <w:sz w:val="28"/>
        </w:rPr>
        <w:tab/>
        <w:t>18</w:t>
      </w:r>
      <w:r>
        <w:rPr>
          <w:rFonts w:ascii="Times New Roman" w:eastAsia="Times New Roman" w:hAnsi="Times New Roman" w:cs="Times New Roman"/>
          <w:sz w:val="28"/>
        </w:rPr>
        <w:t xml:space="preserve">4 </w:t>
      </w:r>
    </w:p>
    <w:p w:rsidR="0052701D" w:rsidRDefault="00D40929">
      <w:r>
        <w:rPr>
          <w:rFonts w:ascii="Times New Roman" w:eastAsia="Times New Roman" w:hAnsi="Times New Roman" w:cs="Times New Roman"/>
          <w:sz w:val="28"/>
        </w:rPr>
        <w:t xml:space="preserve">ПАМЯТЬЮ </w:t>
      </w:r>
    </w:p>
    <w:p w:rsidR="0052701D" w:rsidRDefault="00D40929">
      <w:r>
        <w:rPr>
          <w:rFonts w:ascii="Times New Roman" w:eastAsia="Times New Roman" w:hAnsi="Times New Roman" w:cs="Times New Roman"/>
          <w:sz w:val="28"/>
        </w:rPr>
        <w:t xml:space="preserve">А.С. Қабылкәрім, Э.Н. Кожакметов </w:t>
      </w:r>
    </w:p>
    <w:p w:rsidR="0052701D" w:rsidRDefault="00D40929">
      <w:pPr>
        <w:tabs>
          <w:tab w:val="center" w:pos="9218"/>
        </w:tabs>
      </w:pPr>
      <w:r>
        <w:rPr>
          <w:rFonts w:ascii="Times New Roman" w:eastAsia="Times New Roman" w:hAnsi="Times New Roman" w:cs="Times New Roman"/>
          <w:sz w:val="28"/>
        </w:rPr>
        <w:t xml:space="preserve">РАЗВИТИЕ СЕТИ ЗАРЯДНЫХ СТАНЦИЙ ДЛЯ </w:t>
      </w:r>
      <w:r>
        <w:rPr>
          <w:rFonts w:ascii="Times New Roman" w:eastAsia="Times New Roman" w:hAnsi="Times New Roman" w:cs="Times New Roman"/>
          <w:sz w:val="28"/>
        </w:rPr>
        <w:tab/>
        <w:t xml:space="preserve">188 </w:t>
      </w:r>
    </w:p>
    <w:p w:rsidR="0052701D" w:rsidRDefault="00D40929">
      <w:r>
        <w:rPr>
          <w:rFonts w:ascii="Times New Roman" w:eastAsia="Times New Roman" w:hAnsi="Times New Roman" w:cs="Times New Roman"/>
          <w:sz w:val="28"/>
        </w:rPr>
        <w:t xml:space="preserve">ЭЛЕКТРОТРАНСПОРТА С ИСПОЛЬЗОВАНИЕМ </w:t>
      </w:r>
    </w:p>
    <w:p w:rsidR="0052701D" w:rsidRDefault="00D40929">
      <w:r>
        <w:rPr>
          <w:rFonts w:ascii="Times New Roman" w:eastAsia="Times New Roman" w:hAnsi="Times New Roman" w:cs="Times New Roman"/>
          <w:sz w:val="28"/>
        </w:rPr>
        <w:t xml:space="preserve">ИМИТАЦИОННОГО МОДЕЛИРОВАНИЯ </w:t>
      </w:r>
    </w:p>
    <w:p w:rsidR="0052701D" w:rsidRDefault="00D40929">
      <w:r>
        <w:rPr>
          <w:rFonts w:ascii="Times New Roman" w:eastAsia="Times New Roman" w:hAnsi="Times New Roman" w:cs="Times New Roman"/>
          <w:sz w:val="28"/>
        </w:rPr>
        <w:lastRenderedPageBreak/>
        <w:t xml:space="preserve">Майорова Екатерина Сергеевна, Беляев Эдуард Ирекович </w:t>
      </w:r>
    </w:p>
    <w:p w:rsidR="0052701D" w:rsidRDefault="00D40929">
      <w:pPr>
        <w:tabs>
          <w:tab w:val="center" w:pos="4503"/>
          <w:tab w:val="center" w:pos="9218"/>
        </w:tabs>
      </w:pPr>
      <w:r>
        <w:tab/>
      </w:r>
      <w:r>
        <w:rPr>
          <w:rFonts w:ascii="Times New Roman" w:eastAsia="Times New Roman" w:hAnsi="Times New Roman" w:cs="Times New Roman"/>
          <w:b/>
          <w:i/>
          <w:sz w:val="28"/>
        </w:rPr>
        <w:t xml:space="preserve">СЕКЦИЯ «СОЦИАЛЬНО-ПОЛИТИЧЕСКОЕ И КУЛЬТУРНОЕ </w:t>
      </w:r>
      <w:r>
        <w:rPr>
          <w:rFonts w:ascii="Times New Roman" w:eastAsia="Times New Roman" w:hAnsi="Times New Roman" w:cs="Times New Roman"/>
          <w:b/>
          <w:i/>
          <w:sz w:val="28"/>
        </w:rPr>
        <w:tab/>
      </w:r>
      <w:r>
        <w:rPr>
          <w:rFonts w:ascii="Times New Roman" w:eastAsia="Times New Roman" w:hAnsi="Times New Roman" w:cs="Times New Roman"/>
          <w:sz w:val="28"/>
        </w:rPr>
        <w:t xml:space="preserve">192 </w:t>
      </w:r>
    </w:p>
    <w:p w:rsidR="0052701D" w:rsidRDefault="00D40929">
      <w:r>
        <w:rPr>
          <w:rFonts w:ascii="Times New Roman" w:eastAsia="Times New Roman" w:hAnsi="Times New Roman" w:cs="Times New Roman"/>
          <w:b/>
          <w:i/>
          <w:sz w:val="28"/>
        </w:rPr>
        <w:t xml:space="preserve">РАЗВИТИЕ ЕВРАЗИИ» </w:t>
      </w:r>
    </w:p>
    <w:p w:rsidR="0052701D" w:rsidRDefault="00D40929">
      <w:pPr>
        <w:tabs>
          <w:tab w:val="center" w:pos="9218"/>
        </w:tabs>
      </w:pPr>
      <w:r>
        <w:rPr>
          <w:rFonts w:ascii="Times New Roman" w:eastAsia="Times New Roman" w:hAnsi="Times New Roman" w:cs="Times New Roman"/>
          <w:sz w:val="28"/>
        </w:rPr>
        <w:t xml:space="preserve">БУНТАРЬ </w:t>
      </w:r>
      <w:r>
        <w:rPr>
          <w:rFonts w:ascii="Times New Roman" w:eastAsia="Times New Roman" w:hAnsi="Times New Roman" w:cs="Times New Roman"/>
          <w:sz w:val="28"/>
        </w:rPr>
        <w:tab/>
        <w:t xml:space="preserve">192 </w:t>
      </w:r>
    </w:p>
    <w:p w:rsidR="0052701D" w:rsidRDefault="00D40929">
      <w:r>
        <w:rPr>
          <w:rFonts w:ascii="Times New Roman" w:eastAsia="Times New Roman" w:hAnsi="Times New Roman" w:cs="Times New Roman"/>
          <w:sz w:val="28"/>
        </w:rPr>
        <w:t xml:space="preserve">Б.Ж. Кабдушев </w:t>
      </w:r>
    </w:p>
    <w:p w:rsidR="0052701D" w:rsidRDefault="00D40929">
      <w:pPr>
        <w:tabs>
          <w:tab w:val="center" w:pos="9218"/>
        </w:tabs>
      </w:pPr>
      <w:r>
        <w:rPr>
          <w:rFonts w:ascii="Times New Roman" w:eastAsia="Times New Roman" w:hAnsi="Times New Roman" w:cs="Times New Roman"/>
          <w:sz w:val="28"/>
        </w:rPr>
        <w:t xml:space="preserve">РОЛЬ СИБИРСКОГО КОРПУСА В ЗАВОЕВАНИИ ЮЖНОГО </w:t>
      </w:r>
      <w:r>
        <w:rPr>
          <w:rFonts w:ascii="Times New Roman" w:eastAsia="Times New Roman" w:hAnsi="Times New Roman" w:cs="Times New Roman"/>
          <w:sz w:val="28"/>
        </w:rPr>
        <w:tab/>
        <w:t xml:space="preserve">199 </w:t>
      </w:r>
    </w:p>
    <w:p w:rsidR="0052701D" w:rsidRDefault="00D40929">
      <w:r>
        <w:rPr>
          <w:rFonts w:ascii="Times New Roman" w:eastAsia="Times New Roman" w:hAnsi="Times New Roman" w:cs="Times New Roman"/>
          <w:sz w:val="28"/>
        </w:rPr>
        <w:t xml:space="preserve">КАЗАХСТАНА </w:t>
      </w:r>
    </w:p>
    <w:p w:rsidR="0052701D" w:rsidRDefault="00D40929">
      <w:r>
        <w:rPr>
          <w:rFonts w:ascii="Times New Roman" w:eastAsia="Times New Roman" w:hAnsi="Times New Roman" w:cs="Times New Roman"/>
          <w:sz w:val="28"/>
        </w:rPr>
        <w:t xml:space="preserve">К.К. Кенжебеков </w:t>
      </w:r>
    </w:p>
    <w:p w:rsidR="0052701D" w:rsidRDefault="00D40929">
      <w:pPr>
        <w:tabs>
          <w:tab w:val="center" w:pos="9218"/>
        </w:tabs>
      </w:pPr>
      <w:r>
        <w:rPr>
          <w:rFonts w:ascii="Times New Roman" w:eastAsia="Times New Roman" w:hAnsi="Times New Roman" w:cs="Times New Roman"/>
          <w:sz w:val="28"/>
        </w:rPr>
        <w:t xml:space="preserve">ГЕОПОЛИТИЧЕСКАЯ ТУРБУЛЕНТНОСТЬ ЕВРАЗИИ И </w:t>
      </w:r>
      <w:r>
        <w:rPr>
          <w:rFonts w:ascii="Times New Roman" w:eastAsia="Times New Roman" w:hAnsi="Times New Roman" w:cs="Times New Roman"/>
          <w:sz w:val="28"/>
        </w:rPr>
        <w:tab/>
        <w:t xml:space="preserve">208 </w:t>
      </w:r>
    </w:p>
    <w:p w:rsidR="0052701D" w:rsidRDefault="00D40929">
      <w:r>
        <w:rPr>
          <w:rFonts w:ascii="Times New Roman" w:eastAsia="Times New Roman" w:hAnsi="Times New Roman" w:cs="Times New Roman"/>
          <w:sz w:val="28"/>
        </w:rPr>
        <w:t xml:space="preserve">ПРОЕКЦИЯ НЕСТАБИЛЬНОСТИ НА ЦЕНТРАЛЬНОАЗИАТСКИЙ </w:t>
      </w:r>
    </w:p>
    <w:p w:rsidR="0052701D" w:rsidRDefault="00D40929">
      <w:r>
        <w:rPr>
          <w:rFonts w:ascii="Times New Roman" w:eastAsia="Times New Roman" w:hAnsi="Times New Roman" w:cs="Times New Roman"/>
          <w:sz w:val="28"/>
        </w:rPr>
        <w:t xml:space="preserve">РЕГИОН </w:t>
      </w:r>
    </w:p>
    <w:p w:rsidR="0052701D" w:rsidRDefault="00D40929">
      <w:r>
        <w:rPr>
          <w:rFonts w:ascii="Times New Roman" w:eastAsia="Times New Roman" w:hAnsi="Times New Roman" w:cs="Times New Roman"/>
          <w:sz w:val="28"/>
        </w:rPr>
        <w:t xml:space="preserve">М.М. Сарсекеев </w:t>
      </w:r>
    </w:p>
    <w:p w:rsidR="0052701D" w:rsidRDefault="00D40929">
      <w:pPr>
        <w:tabs>
          <w:tab w:val="center" w:pos="9218"/>
        </w:tabs>
      </w:pPr>
      <w:r>
        <w:rPr>
          <w:rFonts w:ascii="Times New Roman" w:eastAsia="Times New Roman" w:hAnsi="Times New Roman" w:cs="Times New Roman"/>
          <w:sz w:val="28"/>
        </w:rPr>
        <w:t xml:space="preserve">ЦИФРОВИЗАЦИЯ ОБРАЗОВАНИЯ В СИСТЕМЕ СОВРЕМЕННЫХ </w:t>
      </w:r>
      <w:r>
        <w:rPr>
          <w:rFonts w:ascii="Times New Roman" w:eastAsia="Times New Roman" w:hAnsi="Times New Roman" w:cs="Times New Roman"/>
          <w:sz w:val="28"/>
        </w:rPr>
        <w:tab/>
        <w:t xml:space="preserve">213 </w:t>
      </w:r>
    </w:p>
    <w:p w:rsidR="0052701D" w:rsidRDefault="00D40929">
      <w:r>
        <w:rPr>
          <w:rFonts w:ascii="Times New Roman" w:eastAsia="Times New Roman" w:hAnsi="Times New Roman" w:cs="Times New Roman"/>
          <w:sz w:val="28"/>
        </w:rPr>
        <w:t xml:space="preserve">СОЦИАЛЬНО-ЭКОНОМИЧЕСКИХ УСЛОВИЯХ </w:t>
      </w:r>
    </w:p>
    <w:p w:rsidR="0052701D" w:rsidRDefault="00D40929">
      <w:r>
        <w:rPr>
          <w:rFonts w:ascii="Times New Roman" w:eastAsia="Times New Roman" w:hAnsi="Times New Roman" w:cs="Times New Roman"/>
          <w:sz w:val="28"/>
        </w:rPr>
        <w:t xml:space="preserve">Радмила Радиковна Хизбуллина </w:t>
      </w:r>
    </w:p>
    <w:p w:rsidR="0052701D" w:rsidRDefault="00D40929">
      <w:pPr>
        <w:tabs>
          <w:tab w:val="center" w:pos="9218"/>
        </w:tabs>
      </w:pPr>
      <w:r>
        <w:rPr>
          <w:rFonts w:ascii="Times New Roman" w:eastAsia="Times New Roman" w:hAnsi="Times New Roman" w:cs="Times New Roman"/>
          <w:sz w:val="28"/>
        </w:rPr>
        <w:t xml:space="preserve">РОЛЬ ФИЛОСОФИИ В ФОРМИРОВАНИИ НАУЧНОГО </w:t>
      </w:r>
      <w:r>
        <w:rPr>
          <w:rFonts w:ascii="Times New Roman" w:eastAsia="Times New Roman" w:hAnsi="Times New Roman" w:cs="Times New Roman"/>
          <w:sz w:val="28"/>
        </w:rPr>
        <w:tab/>
        <w:t xml:space="preserve">216 </w:t>
      </w:r>
    </w:p>
    <w:p w:rsidR="0052701D" w:rsidRDefault="00D40929">
      <w:r>
        <w:rPr>
          <w:rFonts w:ascii="Times New Roman" w:eastAsia="Times New Roman" w:hAnsi="Times New Roman" w:cs="Times New Roman"/>
          <w:sz w:val="28"/>
        </w:rPr>
        <w:t xml:space="preserve">МИРОВОЗЗРЕНИЯ </w:t>
      </w:r>
    </w:p>
    <w:p w:rsidR="0052701D" w:rsidRDefault="00D40929">
      <w:r>
        <w:rPr>
          <w:rFonts w:ascii="Times New Roman" w:eastAsia="Times New Roman" w:hAnsi="Times New Roman" w:cs="Times New Roman"/>
          <w:sz w:val="28"/>
        </w:rPr>
        <w:t xml:space="preserve">Г.Д. Шаракпаева </w:t>
      </w:r>
    </w:p>
    <w:p w:rsidR="0052701D" w:rsidRDefault="0052701D">
      <w:pPr>
        <w:spacing w:after="0"/>
        <w:ind w:left="-1306" w:right="263"/>
      </w:pPr>
    </w:p>
    <w:p w:rsidR="0052701D" w:rsidRDefault="00D40929">
      <w:pPr>
        <w:tabs>
          <w:tab w:val="center" w:pos="9218"/>
        </w:tabs>
      </w:pPr>
      <w:r>
        <w:rPr>
          <w:rFonts w:ascii="Times New Roman" w:eastAsia="Times New Roman" w:hAnsi="Times New Roman" w:cs="Times New Roman"/>
          <w:sz w:val="28"/>
        </w:rPr>
        <w:t xml:space="preserve">CТАЛИНСКИЕ РЕПРЕССИИ В КАЗАХСТАНЕ В АРХИВНЫХ </w:t>
      </w:r>
      <w:r>
        <w:rPr>
          <w:rFonts w:ascii="Times New Roman" w:eastAsia="Times New Roman" w:hAnsi="Times New Roman" w:cs="Times New Roman"/>
          <w:sz w:val="28"/>
        </w:rPr>
        <w:tab/>
        <w:t>223</w:t>
      </w:r>
    </w:p>
    <w:p w:rsidR="0052701D" w:rsidRDefault="00D40929">
      <w:r>
        <w:rPr>
          <w:rFonts w:ascii="Times New Roman" w:eastAsia="Times New Roman" w:hAnsi="Times New Roman" w:cs="Times New Roman"/>
          <w:sz w:val="28"/>
        </w:rPr>
        <w:t xml:space="preserve">ИСТОЧНИКАХ: НОВОЕ ПРОЧТЕНИЕ МАСШТАБОВ И </w:t>
      </w:r>
    </w:p>
    <w:p w:rsidR="0052701D" w:rsidRDefault="00D40929">
      <w:r>
        <w:rPr>
          <w:rFonts w:ascii="Times New Roman" w:eastAsia="Times New Roman" w:hAnsi="Times New Roman" w:cs="Times New Roman"/>
          <w:sz w:val="28"/>
        </w:rPr>
        <w:t xml:space="preserve">ПОСЛЕДСТВИЙ ТРАГЕДИИ </w:t>
      </w:r>
    </w:p>
    <w:p w:rsidR="0052701D" w:rsidRDefault="00D40929">
      <w:r>
        <w:rPr>
          <w:rFonts w:ascii="Times New Roman" w:eastAsia="Times New Roman" w:hAnsi="Times New Roman" w:cs="Times New Roman"/>
          <w:sz w:val="28"/>
        </w:rPr>
        <w:t xml:space="preserve">Утегалиева Алмажан Джусуповна </w:t>
      </w:r>
    </w:p>
    <w:p w:rsidR="0052701D" w:rsidRDefault="00D40929">
      <w:pPr>
        <w:tabs>
          <w:tab w:val="center" w:pos="9218"/>
        </w:tabs>
      </w:pPr>
      <w:r>
        <w:rPr>
          <w:rFonts w:ascii="Times New Roman" w:eastAsia="Times New Roman" w:hAnsi="Times New Roman" w:cs="Times New Roman"/>
          <w:sz w:val="28"/>
        </w:rPr>
        <w:t xml:space="preserve">THE PROBLEM OF PERSONALITY IN THE INFORMATION </w:t>
      </w:r>
      <w:r>
        <w:rPr>
          <w:rFonts w:ascii="Times New Roman" w:eastAsia="Times New Roman" w:hAnsi="Times New Roman" w:cs="Times New Roman"/>
          <w:sz w:val="28"/>
        </w:rPr>
        <w:tab/>
        <w:t xml:space="preserve">228 </w:t>
      </w:r>
    </w:p>
    <w:p w:rsidR="0052701D" w:rsidRDefault="00D40929">
      <w:r>
        <w:rPr>
          <w:rFonts w:ascii="Times New Roman" w:eastAsia="Times New Roman" w:hAnsi="Times New Roman" w:cs="Times New Roman"/>
          <w:sz w:val="28"/>
        </w:rPr>
        <w:t xml:space="preserve">SOCIETY </w:t>
      </w:r>
    </w:p>
    <w:p w:rsidR="0052701D" w:rsidRDefault="00D40929">
      <w:r>
        <w:rPr>
          <w:rFonts w:ascii="Times New Roman" w:eastAsia="Times New Roman" w:hAnsi="Times New Roman" w:cs="Times New Roman"/>
          <w:sz w:val="28"/>
        </w:rPr>
        <w:t xml:space="preserve">Naurzbekova I., Omirbekova Zh.O. </w:t>
      </w:r>
    </w:p>
    <w:p w:rsidR="0052701D" w:rsidRDefault="00D40929">
      <w:r>
        <w:rPr>
          <w:rFonts w:ascii="Times New Roman" w:eastAsia="Times New Roman" w:hAnsi="Times New Roman" w:cs="Times New Roman"/>
          <w:sz w:val="28"/>
        </w:rPr>
        <w:t xml:space="preserve">ОСОБЕННОСТИ И ТЕНДЕНЦИИ РАЗВИТИЯ ОБРАЗОВАТЕЛЬНЫХ 232 </w:t>
      </w:r>
    </w:p>
    <w:p w:rsidR="0052701D" w:rsidRDefault="00D40929">
      <w:r>
        <w:rPr>
          <w:rFonts w:ascii="Times New Roman" w:eastAsia="Times New Roman" w:hAnsi="Times New Roman" w:cs="Times New Roman"/>
          <w:sz w:val="28"/>
        </w:rPr>
        <w:t xml:space="preserve">ТЕХНОЛОГИЙ </w:t>
      </w:r>
    </w:p>
    <w:p w:rsidR="0052701D" w:rsidRDefault="00D40929">
      <w:r>
        <w:rPr>
          <w:rFonts w:ascii="Times New Roman" w:eastAsia="Times New Roman" w:hAnsi="Times New Roman" w:cs="Times New Roman"/>
          <w:sz w:val="28"/>
        </w:rPr>
        <w:t>А</w:t>
      </w:r>
      <w:r>
        <w:rPr>
          <w:rFonts w:ascii="Times New Roman" w:eastAsia="Times New Roman" w:hAnsi="Times New Roman" w:cs="Times New Roman"/>
          <w:sz w:val="28"/>
        </w:rPr>
        <w:t xml:space="preserve">.Т. Мухамбедьярова </w:t>
      </w:r>
    </w:p>
    <w:p w:rsidR="0052701D" w:rsidRDefault="00D40929">
      <w:pPr>
        <w:tabs>
          <w:tab w:val="center" w:pos="9218"/>
        </w:tabs>
      </w:pPr>
      <w:r>
        <w:rPr>
          <w:rFonts w:ascii="Times New Roman" w:eastAsia="Times New Roman" w:hAnsi="Times New Roman" w:cs="Times New Roman"/>
          <w:sz w:val="28"/>
        </w:rPr>
        <w:t xml:space="preserve">KAZAKHSTAN WITHIN THE MILITARY AND INDUSTRIAL </w:t>
      </w:r>
      <w:r>
        <w:rPr>
          <w:rFonts w:ascii="Times New Roman" w:eastAsia="Times New Roman" w:hAnsi="Times New Roman" w:cs="Times New Roman"/>
          <w:sz w:val="28"/>
        </w:rPr>
        <w:tab/>
        <w:t xml:space="preserve">237 </w:t>
      </w:r>
    </w:p>
    <w:p w:rsidR="0052701D" w:rsidRDefault="00D40929">
      <w:r>
        <w:rPr>
          <w:rFonts w:ascii="Times New Roman" w:eastAsia="Times New Roman" w:hAnsi="Times New Roman" w:cs="Times New Roman"/>
          <w:sz w:val="28"/>
        </w:rPr>
        <w:lastRenderedPageBreak/>
        <w:t xml:space="preserve">COMPLEX SYSTEM OF THE USSR: PLANT NO. 692 (FORMER </w:t>
      </w:r>
    </w:p>
    <w:p w:rsidR="0052701D" w:rsidRDefault="00D40929">
      <w:r>
        <w:rPr>
          <w:rFonts w:ascii="Times New Roman" w:eastAsia="Times New Roman" w:hAnsi="Times New Roman" w:cs="Times New Roman"/>
          <w:sz w:val="28"/>
        </w:rPr>
        <w:t xml:space="preserve">MOSCOW X-RAY PLANT) </w:t>
      </w:r>
    </w:p>
    <w:p w:rsidR="0052701D" w:rsidRDefault="00D40929">
      <w:r>
        <w:rPr>
          <w:rFonts w:ascii="Times New Roman" w:eastAsia="Times New Roman" w:hAnsi="Times New Roman" w:cs="Times New Roman"/>
          <w:sz w:val="28"/>
        </w:rPr>
        <w:t xml:space="preserve">Saule Baidildina Fellan </w:t>
      </w:r>
    </w:p>
    <w:p w:rsidR="0052701D" w:rsidRDefault="00D40929">
      <w:pPr>
        <w:tabs>
          <w:tab w:val="center" w:pos="9218"/>
        </w:tabs>
      </w:pPr>
      <w:r>
        <w:rPr>
          <w:rFonts w:ascii="Times New Roman" w:eastAsia="Times New Roman" w:hAnsi="Times New Roman" w:cs="Times New Roman"/>
          <w:sz w:val="28"/>
        </w:rPr>
        <w:t xml:space="preserve">КЕМЕЛ ТҰЖЫРЫМ АРҚЫЛЫ ҰРПАҚ ТӘРБИЕЛЕУДЕГІ ТАРИХИ </w:t>
      </w:r>
      <w:r>
        <w:rPr>
          <w:rFonts w:ascii="Times New Roman" w:eastAsia="Times New Roman" w:hAnsi="Times New Roman" w:cs="Times New Roman"/>
          <w:sz w:val="28"/>
        </w:rPr>
        <w:tab/>
        <w:t xml:space="preserve">244 </w:t>
      </w:r>
    </w:p>
    <w:p w:rsidR="0052701D" w:rsidRDefault="00D40929">
      <w:r>
        <w:rPr>
          <w:rFonts w:ascii="Times New Roman" w:eastAsia="Times New Roman" w:hAnsi="Times New Roman" w:cs="Times New Roman"/>
          <w:sz w:val="28"/>
        </w:rPr>
        <w:t xml:space="preserve">БІЛІМНІҢ РӨЛІ </w:t>
      </w:r>
    </w:p>
    <w:p w:rsidR="0052701D" w:rsidRDefault="00D40929">
      <w:r>
        <w:rPr>
          <w:rFonts w:ascii="Times New Roman" w:eastAsia="Times New Roman" w:hAnsi="Times New Roman" w:cs="Times New Roman"/>
          <w:sz w:val="28"/>
        </w:rPr>
        <w:t xml:space="preserve">Берлібаев Б.Т. </w:t>
      </w:r>
    </w:p>
    <w:p w:rsidR="0052701D" w:rsidRDefault="00D40929">
      <w:pPr>
        <w:tabs>
          <w:tab w:val="center" w:pos="9218"/>
        </w:tabs>
      </w:pPr>
      <w:r>
        <w:rPr>
          <w:rFonts w:ascii="Times New Roman" w:eastAsia="Times New Roman" w:hAnsi="Times New Roman" w:cs="Times New Roman"/>
          <w:sz w:val="28"/>
        </w:rPr>
        <w:t>ИС</w:t>
      </w:r>
      <w:r>
        <w:rPr>
          <w:rFonts w:ascii="Times New Roman" w:eastAsia="Times New Roman" w:hAnsi="Times New Roman" w:cs="Times New Roman"/>
          <w:sz w:val="28"/>
        </w:rPr>
        <w:t xml:space="preserve">ТОКИ ИДЕИ РЕЛИГИОЗНОЙ ТОЛЕРАНТНОСТИ </w:t>
      </w:r>
      <w:r>
        <w:rPr>
          <w:rFonts w:ascii="Times New Roman" w:eastAsia="Times New Roman" w:hAnsi="Times New Roman" w:cs="Times New Roman"/>
          <w:sz w:val="28"/>
        </w:rPr>
        <w:tab/>
        <w:t xml:space="preserve">251 </w:t>
      </w:r>
    </w:p>
    <w:p w:rsidR="0052701D" w:rsidRDefault="00D40929">
      <w:r>
        <w:rPr>
          <w:rFonts w:ascii="Times New Roman" w:eastAsia="Times New Roman" w:hAnsi="Times New Roman" w:cs="Times New Roman"/>
          <w:sz w:val="28"/>
        </w:rPr>
        <w:t xml:space="preserve">Ж.И.Даулбаева, Г.А.Абрахматова </w:t>
      </w:r>
    </w:p>
    <w:p w:rsidR="0052701D" w:rsidRDefault="00D40929">
      <w:pPr>
        <w:tabs>
          <w:tab w:val="center" w:pos="9218"/>
        </w:tabs>
      </w:pPr>
      <w:r>
        <w:rPr>
          <w:rFonts w:ascii="Times New Roman" w:eastAsia="Times New Roman" w:hAnsi="Times New Roman" w:cs="Times New Roman"/>
          <w:sz w:val="28"/>
        </w:rPr>
        <w:t xml:space="preserve">К ВОПРОСУ О ПАТРИОТИЧЕСКОМ ВОСПИТАНИИ МОЛОДЕЖИ </w:t>
      </w:r>
      <w:r>
        <w:rPr>
          <w:rFonts w:ascii="Times New Roman" w:eastAsia="Times New Roman" w:hAnsi="Times New Roman" w:cs="Times New Roman"/>
          <w:sz w:val="28"/>
        </w:rPr>
        <w:tab/>
        <w:t xml:space="preserve">257 </w:t>
      </w:r>
    </w:p>
    <w:p w:rsidR="0052701D" w:rsidRDefault="00D40929">
      <w:r>
        <w:rPr>
          <w:rFonts w:ascii="Times New Roman" w:eastAsia="Times New Roman" w:hAnsi="Times New Roman" w:cs="Times New Roman"/>
          <w:sz w:val="28"/>
        </w:rPr>
        <w:t xml:space="preserve">В УСЛОВИЯХ РАЗВИТИЯ НОВОГО КАЗАХСТАНА </w:t>
      </w:r>
    </w:p>
    <w:p w:rsidR="0052701D" w:rsidRDefault="00D40929">
      <w:r>
        <w:rPr>
          <w:rFonts w:ascii="Times New Roman" w:eastAsia="Times New Roman" w:hAnsi="Times New Roman" w:cs="Times New Roman"/>
          <w:sz w:val="28"/>
        </w:rPr>
        <w:t xml:space="preserve">А.З. Бисенова </w:t>
      </w:r>
    </w:p>
    <w:p w:rsidR="0052701D" w:rsidRDefault="00D40929">
      <w:pPr>
        <w:tabs>
          <w:tab w:val="center" w:pos="9218"/>
        </w:tabs>
      </w:pPr>
      <w:r>
        <w:rPr>
          <w:rFonts w:ascii="Times New Roman" w:eastAsia="Times New Roman" w:hAnsi="Times New Roman" w:cs="Times New Roman"/>
          <w:sz w:val="28"/>
        </w:rPr>
        <w:t xml:space="preserve">ТРАНСФОРМАЦИЯ РЕГИОНОВ ТРАДИЦИОННОГО </w:t>
      </w:r>
      <w:r>
        <w:rPr>
          <w:rFonts w:ascii="Times New Roman" w:eastAsia="Times New Roman" w:hAnsi="Times New Roman" w:cs="Times New Roman"/>
          <w:sz w:val="28"/>
        </w:rPr>
        <w:tab/>
        <w:t xml:space="preserve">262 </w:t>
      </w:r>
    </w:p>
    <w:p w:rsidR="0052701D" w:rsidRDefault="00D40929">
      <w:r>
        <w:rPr>
          <w:rFonts w:ascii="Times New Roman" w:eastAsia="Times New Roman" w:hAnsi="Times New Roman" w:cs="Times New Roman"/>
          <w:sz w:val="28"/>
        </w:rPr>
        <w:t xml:space="preserve">РАСПРОСТРАНЕНИЯ ИСЛАМА В ПОСТСОВЕТСКИЙ ПЕРИОД </w:t>
      </w:r>
    </w:p>
    <w:p w:rsidR="0052701D" w:rsidRDefault="00D40929">
      <w:r>
        <w:rPr>
          <w:rFonts w:ascii="Times New Roman" w:eastAsia="Times New Roman" w:hAnsi="Times New Roman" w:cs="Times New Roman"/>
          <w:sz w:val="28"/>
        </w:rPr>
        <w:t xml:space="preserve">(ИСТОРИЧЕСКИЙ АСПЕКТ) </w:t>
      </w:r>
    </w:p>
    <w:p w:rsidR="0052701D" w:rsidRDefault="00D40929">
      <w:r>
        <w:rPr>
          <w:rFonts w:ascii="Times New Roman" w:eastAsia="Times New Roman" w:hAnsi="Times New Roman" w:cs="Times New Roman"/>
          <w:sz w:val="28"/>
        </w:rPr>
        <w:t xml:space="preserve">Нуриахметова Флюра Мубаракзяновна, Холоднов Владимир </w:t>
      </w:r>
    </w:p>
    <w:p w:rsidR="0052701D" w:rsidRDefault="00D40929">
      <w:r>
        <w:rPr>
          <w:rFonts w:ascii="Times New Roman" w:eastAsia="Times New Roman" w:hAnsi="Times New Roman" w:cs="Times New Roman"/>
          <w:sz w:val="28"/>
        </w:rPr>
        <w:t xml:space="preserve">Григорьевич </w:t>
      </w:r>
    </w:p>
    <w:p w:rsidR="0052701D" w:rsidRDefault="00D40929">
      <w:pPr>
        <w:tabs>
          <w:tab w:val="center" w:pos="9218"/>
        </w:tabs>
      </w:pPr>
      <w:r>
        <w:rPr>
          <w:rFonts w:ascii="Times New Roman" w:eastAsia="Times New Roman" w:hAnsi="Times New Roman" w:cs="Times New Roman"/>
          <w:sz w:val="28"/>
        </w:rPr>
        <w:t xml:space="preserve">ЖАСТАР АРАСЫНДА ҚҰНДЫЛЫҚТАР ҚАЛЫПТАСУ МӘСЕЛЕСІ </w:t>
      </w:r>
      <w:r>
        <w:rPr>
          <w:rFonts w:ascii="Times New Roman" w:eastAsia="Times New Roman" w:hAnsi="Times New Roman" w:cs="Times New Roman"/>
          <w:sz w:val="28"/>
        </w:rPr>
        <w:tab/>
        <w:t xml:space="preserve">268 </w:t>
      </w:r>
    </w:p>
    <w:p w:rsidR="0052701D" w:rsidRDefault="00D40929">
      <w:r>
        <w:rPr>
          <w:rFonts w:ascii="Times New Roman" w:eastAsia="Times New Roman" w:hAnsi="Times New Roman" w:cs="Times New Roman"/>
          <w:sz w:val="28"/>
        </w:rPr>
        <w:t xml:space="preserve">Орынбекова Дина Серикбековна </w:t>
      </w:r>
    </w:p>
    <w:p w:rsidR="0052701D" w:rsidRDefault="00D40929">
      <w:pPr>
        <w:tabs>
          <w:tab w:val="center" w:pos="9218"/>
        </w:tabs>
      </w:pPr>
      <w:r>
        <w:rPr>
          <w:rFonts w:ascii="Times New Roman" w:eastAsia="Times New Roman" w:hAnsi="Times New Roman" w:cs="Times New Roman"/>
          <w:sz w:val="28"/>
        </w:rPr>
        <w:t>ИЗУЧЕНИЕ ЦЕННОСТЕЙ И СОЦИАЛЬНЫХ АКСИ</w:t>
      </w:r>
      <w:r>
        <w:rPr>
          <w:rFonts w:ascii="Times New Roman" w:eastAsia="Times New Roman" w:hAnsi="Times New Roman" w:cs="Times New Roman"/>
          <w:sz w:val="28"/>
        </w:rPr>
        <w:t xml:space="preserve">ОМ </w:t>
      </w:r>
      <w:r>
        <w:rPr>
          <w:rFonts w:ascii="Times New Roman" w:eastAsia="Times New Roman" w:hAnsi="Times New Roman" w:cs="Times New Roman"/>
          <w:sz w:val="28"/>
        </w:rPr>
        <w:tab/>
        <w:t xml:space="preserve">273 </w:t>
      </w:r>
    </w:p>
    <w:p w:rsidR="0052701D" w:rsidRDefault="00D40929">
      <w:r>
        <w:rPr>
          <w:rFonts w:ascii="Times New Roman" w:eastAsia="Times New Roman" w:hAnsi="Times New Roman" w:cs="Times New Roman"/>
          <w:sz w:val="28"/>
        </w:rPr>
        <w:t xml:space="preserve">КАЗАХСТАНСКИХ СТУДЕНТОВ: ГЕНДЕРНЫЙ АСПЕКТ </w:t>
      </w:r>
    </w:p>
    <w:p w:rsidR="0052701D" w:rsidRDefault="00D40929">
      <w:r>
        <w:rPr>
          <w:rFonts w:ascii="Times New Roman" w:eastAsia="Times New Roman" w:hAnsi="Times New Roman" w:cs="Times New Roman"/>
          <w:sz w:val="28"/>
        </w:rPr>
        <w:t xml:space="preserve">Аширбаева Н.Н., Сатымгалиева М.Б. </w:t>
      </w:r>
    </w:p>
    <w:p w:rsidR="0052701D" w:rsidRDefault="00D40929">
      <w:pPr>
        <w:tabs>
          <w:tab w:val="center" w:pos="9218"/>
        </w:tabs>
      </w:pPr>
      <w:r>
        <w:rPr>
          <w:rFonts w:ascii="Times New Roman" w:eastAsia="Times New Roman" w:hAnsi="Times New Roman" w:cs="Times New Roman"/>
          <w:sz w:val="28"/>
        </w:rPr>
        <w:t xml:space="preserve">ИНДИВИДУАЛЬНАЯ ТЕОРИЯ ЛИЧНОСТИ В </w:t>
      </w:r>
      <w:r>
        <w:rPr>
          <w:rFonts w:ascii="Times New Roman" w:eastAsia="Times New Roman" w:hAnsi="Times New Roman" w:cs="Times New Roman"/>
          <w:sz w:val="28"/>
        </w:rPr>
        <w:tab/>
        <w:t xml:space="preserve">280 </w:t>
      </w:r>
    </w:p>
    <w:p w:rsidR="0052701D" w:rsidRDefault="00D40929">
      <w:r>
        <w:rPr>
          <w:rFonts w:ascii="Times New Roman" w:eastAsia="Times New Roman" w:hAnsi="Times New Roman" w:cs="Times New Roman"/>
          <w:sz w:val="28"/>
        </w:rPr>
        <w:t xml:space="preserve">ГУМАНИСТИЧЕСКОЙ ПСИХОЛОГИИ АЛЬФРЕДА АДЛЕРА </w:t>
      </w:r>
    </w:p>
    <w:p w:rsidR="0052701D" w:rsidRDefault="00D40929">
      <w:r>
        <w:rPr>
          <w:rFonts w:ascii="Times New Roman" w:eastAsia="Times New Roman" w:hAnsi="Times New Roman" w:cs="Times New Roman"/>
          <w:sz w:val="28"/>
        </w:rPr>
        <w:t xml:space="preserve">Абдиева Г.И., Попков В. К. </w:t>
      </w:r>
    </w:p>
    <w:p w:rsidR="0052701D" w:rsidRDefault="00D40929">
      <w:pPr>
        <w:tabs>
          <w:tab w:val="center" w:pos="9218"/>
        </w:tabs>
      </w:pPr>
      <w:r>
        <w:rPr>
          <w:rFonts w:ascii="Times New Roman" w:eastAsia="Times New Roman" w:hAnsi="Times New Roman" w:cs="Times New Roman"/>
          <w:sz w:val="28"/>
        </w:rPr>
        <w:t xml:space="preserve">РАБОТА В СТУДЕНЧЕСКИХ ОТРЯДАХ КАК ФАКТОР </w:t>
      </w:r>
      <w:r>
        <w:rPr>
          <w:rFonts w:ascii="Times New Roman" w:eastAsia="Times New Roman" w:hAnsi="Times New Roman" w:cs="Times New Roman"/>
          <w:sz w:val="28"/>
        </w:rPr>
        <w:tab/>
        <w:t xml:space="preserve">286 </w:t>
      </w:r>
    </w:p>
    <w:p w:rsidR="0052701D" w:rsidRDefault="00D40929">
      <w:r>
        <w:rPr>
          <w:rFonts w:ascii="Times New Roman" w:eastAsia="Times New Roman" w:hAnsi="Times New Roman" w:cs="Times New Roman"/>
          <w:sz w:val="28"/>
        </w:rPr>
        <w:t>ДОФОРМИРОВА</w:t>
      </w:r>
      <w:r>
        <w:rPr>
          <w:rFonts w:ascii="Times New Roman" w:eastAsia="Times New Roman" w:hAnsi="Times New Roman" w:cs="Times New Roman"/>
          <w:sz w:val="28"/>
        </w:rPr>
        <w:t xml:space="preserve">НИЯ ПРОФЕССИОНАЛЬНО ВАЖНЫХ КАЧЕСТВ </w:t>
      </w:r>
    </w:p>
    <w:p w:rsidR="0052701D" w:rsidRDefault="00D40929">
      <w:r>
        <w:rPr>
          <w:rFonts w:ascii="Times New Roman" w:eastAsia="Times New Roman" w:hAnsi="Times New Roman" w:cs="Times New Roman"/>
          <w:sz w:val="28"/>
        </w:rPr>
        <w:t xml:space="preserve">У СТУДЕНТОВ ВУЗОВ </w:t>
      </w:r>
    </w:p>
    <w:p w:rsidR="0052701D" w:rsidRDefault="00D40929">
      <w:r>
        <w:rPr>
          <w:rFonts w:ascii="Times New Roman" w:eastAsia="Times New Roman" w:hAnsi="Times New Roman" w:cs="Times New Roman"/>
          <w:sz w:val="28"/>
        </w:rPr>
        <w:t xml:space="preserve">Ш.Н. Якупов, Г.В. Завада </w:t>
      </w:r>
    </w:p>
    <w:p w:rsidR="0052701D" w:rsidRDefault="00D40929">
      <w:pPr>
        <w:tabs>
          <w:tab w:val="center" w:pos="9218"/>
        </w:tabs>
      </w:pPr>
      <w:r>
        <w:rPr>
          <w:rFonts w:ascii="Times New Roman" w:eastAsia="Times New Roman" w:hAnsi="Times New Roman" w:cs="Times New Roman"/>
          <w:sz w:val="28"/>
        </w:rPr>
        <w:t xml:space="preserve">ПОВЫШЕНИЕ УРОВНЯ КУЛЬТУРЫ РУССКОЙ РЕЧИ </w:t>
      </w:r>
      <w:r>
        <w:rPr>
          <w:rFonts w:ascii="Times New Roman" w:eastAsia="Times New Roman" w:hAnsi="Times New Roman" w:cs="Times New Roman"/>
          <w:sz w:val="28"/>
        </w:rPr>
        <w:tab/>
        <w:t xml:space="preserve">291 </w:t>
      </w:r>
    </w:p>
    <w:p w:rsidR="0052701D" w:rsidRDefault="00D40929">
      <w:r>
        <w:rPr>
          <w:rFonts w:ascii="Times New Roman" w:eastAsia="Times New Roman" w:hAnsi="Times New Roman" w:cs="Times New Roman"/>
          <w:sz w:val="28"/>
        </w:rPr>
        <w:t xml:space="preserve">СТУДЕНТОВ-КАЗАХОВ ТЕХНИЧЕСКОГО ВУЗА </w:t>
      </w:r>
    </w:p>
    <w:p w:rsidR="0052701D" w:rsidRDefault="00D40929">
      <w:r>
        <w:rPr>
          <w:rFonts w:ascii="Times New Roman" w:eastAsia="Times New Roman" w:hAnsi="Times New Roman" w:cs="Times New Roman"/>
          <w:sz w:val="28"/>
        </w:rPr>
        <w:lastRenderedPageBreak/>
        <w:t xml:space="preserve">Н.С. Саньярова </w:t>
      </w:r>
    </w:p>
    <w:p w:rsidR="0052701D" w:rsidRDefault="00D40929">
      <w:pPr>
        <w:tabs>
          <w:tab w:val="center" w:pos="9218"/>
        </w:tabs>
      </w:pPr>
      <w:r>
        <w:rPr>
          <w:rFonts w:ascii="Times New Roman" w:eastAsia="Times New Roman" w:hAnsi="Times New Roman" w:cs="Times New Roman"/>
          <w:sz w:val="28"/>
        </w:rPr>
        <w:t xml:space="preserve">ПОЛИТИЧЕСКИЕ КАМПАНИИ В ПЕРИОД 20-30-Х ГОДОВ ХХ </w:t>
      </w:r>
      <w:r>
        <w:rPr>
          <w:rFonts w:ascii="Times New Roman" w:eastAsia="Times New Roman" w:hAnsi="Times New Roman" w:cs="Times New Roman"/>
          <w:sz w:val="28"/>
        </w:rPr>
        <w:tab/>
        <w:t xml:space="preserve">296 </w:t>
      </w:r>
    </w:p>
    <w:p w:rsidR="0052701D" w:rsidRDefault="00D40929">
      <w:r>
        <w:rPr>
          <w:rFonts w:ascii="Times New Roman" w:eastAsia="Times New Roman" w:hAnsi="Times New Roman" w:cs="Times New Roman"/>
          <w:sz w:val="28"/>
        </w:rPr>
        <w:t xml:space="preserve">ВЕКА </w:t>
      </w:r>
    </w:p>
    <w:p w:rsidR="0052701D" w:rsidRDefault="00D40929">
      <w:r>
        <w:rPr>
          <w:rFonts w:ascii="Times New Roman" w:eastAsia="Times New Roman" w:hAnsi="Times New Roman" w:cs="Times New Roman"/>
          <w:sz w:val="28"/>
        </w:rPr>
        <w:t xml:space="preserve">Рыскильдинова Д.Б. </w:t>
      </w:r>
    </w:p>
    <w:p w:rsidR="0052701D" w:rsidRDefault="0052701D">
      <w:pPr>
        <w:spacing w:after="0"/>
        <w:ind w:left="-1306" w:right="263"/>
      </w:pPr>
    </w:p>
    <w:p w:rsidR="0052701D" w:rsidRDefault="00D40929">
      <w:pPr>
        <w:tabs>
          <w:tab w:val="center" w:pos="9218"/>
        </w:tabs>
      </w:pPr>
      <w:r>
        <w:rPr>
          <w:rFonts w:ascii="Times New Roman" w:eastAsia="Times New Roman" w:hAnsi="Times New Roman" w:cs="Times New Roman"/>
          <w:sz w:val="28"/>
        </w:rPr>
        <w:t xml:space="preserve">СПЕЦИФИКА ПЕРЕВОДА РЕКЛАМНОГО ТЕКСТА В РАМКАХ </w:t>
      </w:r>
      <w:r>
        <w:rPr>
          <w:rFonts w:ascii="Times New Roman" w:eastAsia="Times New Roman" w:hAnsi="Times New Roman" w:cs="Times New Roman"/>
          <w:sz w:val="28"/>
        </w:rPr>
        <w:tab/>
        <w:t>301</w:t>
      </w:r>
    </w:p>
    <w:p w:rsidR="0052701D" w:rsidRDefault="00D40929">
      <w:r>
        <w:rPr>
          <w:rFonts w:ascii="Times New Roman" w:eastAsia="Times New Roman" w:hAnsi="Times New Roman" w:cs="Times New Roman"/>
          <w:sz w:val="28"/>
        </w:rPr>
        <w:t xml:space="preserve">МЕЖКУЛЬТУРНОЙ КОММУНИКАЦИИ </w:t>
      </w:r>
    </w:p>
    <w:p w:rsidR="0052701D" w:rsidRDefault="00D40929">
      <w:r>
        <w:rPr>
          <w:rFonts w:ascii="Times New Roman" w:eastAsia="Times New Roman" w:hAnsi="Times New Roman" w:cs="Times New Roman"/>
          <w:sz w:val="28"/>
        </w:rPr>
        <w:t xml:space="preserve">Нурмаханова Маржан Калжановна </w:t>
      </w:r>
    </w:p>
    <w:p w:rsidR="0052701D" w:rsidRDefault="00D40929">
      <w:pPr>
        <w:tabs>
          <w:tab w:val="center" w:pos="9218"/>
        </w:tabs>
      </w:pPr>
      <w:r>
        <w:rPr>
          <w:rFonts w:ascii="Times New Roman" w:eastAsia="Times New Roman" w:hAnsi="Times New Roman" w:cs="Times New Roman"/>
          <w:sz w:val="28"/>
        </w:rPr>
        <w:t xml:space="preserve">ҚАЗАҚ БАЙЛАРЫН ТӘРКІЛЕУ НЫҒМЕТ НҰРМАҚОВ </w:t>
      </w:r>
      <w:r>
        <w:rPr>
          <w:rFonts w:ascii="Times New Roman" w:eastAsia="Times New Roman" w:hAnsi="Times New Roman" w:cs="Times New Roman"/>
          <w:sz w:val="28"/>
        </w:rPr>
        <w:tab/>
        <w:t xml:space="preserve">305 </w:t>
      </w:r>
    </w:p>
    <w:p w:rsidR="0052701D" w:rsidRDefault="00D40929">
      <w:r>
        <w:rPr>
          <w:rFonts w:ascii="Times New Roman" w:eastAsia="Times New Roman" w:hAnsi="Times New Roman" w:cs="Times New Roman"/>
          <w:sz w:val="28"/>
        </w:rPr>
        <w:t xml:space="preserve">Кабдушев Б.Ж., Абуханов Ш.А. </w:t>
      </w:r>
    </w:p>
    <w:p w:rsidR="0052701D" w:rsidRDefault="00D40929">
      <w:pPr>
        <w:tabs>
          <w:tab w:val="center" w:pos="9218"/>
        </w:tabs>
      </w:pPr>
      <w:r>
        <w:rPr>
          <w:rFonts w:ascii="Times New Roman" w:eastAsia="Times New Roman" w:hAnsi="Times New Roman" w:cs="Times New Roman"/>
          <w:sz w:val="28"/>
        </w:rPr>
        <w:t xml:space="preserve">НЕКОТОРЫЕ ВОПРОСЫ СОЦИАЛИЗАЦИИ ЛИЧНОСТИ В </w:t>
      </w:r>
      <w:r>
        <w:rPr>
          <w:rFonts w:ascii="Times New Roman" w:eastAsia="Times New Roman" w:hAnsi="Times New Roman" w:cs="Times New Roman"/>
          <w:sz w:val="28"/>
        </w:rPr>
        <w:tab/>
        <w:t xml:space="preserve">314 </w:t>
      </w:r>
    </w:p>
    <w:p w:rsidR="0052701D" w:rsidRDefault="00D40929">
      <w:r>
        <w:rPr>
          <w:rFonts w:ascii="Times New Roman" w:eastAsia="Times New Roman" w:hAnsi="Times New Roman" w:cs="Times New Roman"/>
          <w:sz w:val="28"/>
        </w:rPr>
        <w:t xml:space="preserve">ПРОЦЕССЕ ОБУЧЕНИЯ В ВУЗЕ </w:t>
      </w:r>
    </w:p>
    <w:p w:rsidR="0052701D" w:rsidRDefault="00D40929">
      <w:r>
        <w:rPr>
          <w:rFonts w:ascii="Times New Roman" w:eastAsia="Times New Roman" w:hAnsi="Times New Roman" w:cs="Times New Roman"/>
          <w:sz w:val="28"/>
        </w:rPr>
        <w:t xml:space="preserve">Абдиева Г.И. </w:t>
      </w:r>
    </w:p>
    <w:p w:rsidR="0052701D" w:rsidRDefault="00D40929">
      <w:pPr>
        <w:tabs>
          <w:tab w:val="center" w:pos="9218"/>
        </w:tabs>
      </w:pPr>
      <w:r>
        <w:rPr>
          <w:rFonts w:ascii="Times New Roman" w:eastAsia="Times New Roman" w:hAnsi="Times New Roman" w:cs="Times New Roman"/>
          <w:sz w:val="28"/>
        </w:rPr>
        <w:t xml:space="preserve">ПОЛИТИЧЕСКИЕ РЕПРЕССИИ: ИСТОРИЯ ТРАГЕДИИ </w:t>
      </w:r>
      <w:r>
        <w:rPr>
          <w:rFonts w:ascii="Times New Roman" w:eastAsia="Times New Roman" w:hAnsi="Times New Roman" w:cs="Times New Roman"/>
          <w:sz w:val="28"/>
        </w:rPr>
        <w:tab/>
        <w:t xml:space="preserve">321 </w:t>
      </w:r>
    </w:p>
    <w:p w:rsidR="0052701D" w:rsidRDefault="00D40929">
      <w:r>
        <w:rPr>
          <w:rFonts w:ascii="Times New Roman" w:eastAsia="Times New Roman" w:hAnsi="Times New Roman" w:cs="Times New Roman"/>
          <w:sz w:val="28"/>
        </w:rPr>
        <w:t xml:space="preserve">А.Т. Мухамбедьярова </w:t>
      </w:r>
    </w:p>
    <w:p w:rsidR="0052701D" w:rsidRDefault="00D40929">
      <w:pPr>
        <w:tabs>
          <w:tab w:val="center" w:pos="9218"/>
        </w:tabs>
      </w:pPr>
      <w:r>
        <w:rPr>
          <w:rFonts w:ascii="Times New Roman" w:eastAsia="Times New Roman" w:hAnsi="Times New Roman" w:cs="Times New Roman"/>
          <w:sz w:val="28"/>
        </w:rPr>
        <w:t xml:space="preserve">ЭКОЛОГИЧЕСКАЯ СОСТАВЛЯЮЩАЯ КАЧЕСТВА ЖИЗНИ </w:t>
      </w:r>
      <w:r>
        <w:rPr>
          <w:rFonts w:ascii="Times New Roman" w:eastAsia="Times New Roman" w:hAnsi="Times New Roman" w:cs="Times New Roman"/>
          <w:sz w:val="28"/>
        </w:rPr>
        <w:tab/>
        <w:t xml:space="preserve">325 </w:t>
      </w:r>
    </w:p>
    <w:p w:rsidR="0052701D" w:rsidRDefault="00D40929">
      <w:r>
        <w:rPr>
          <w:rFonts w:ascii="Times New Roman" w:eastAsia="Times New Roman" w:hAnsi="Times New Roman" w:cs="Times New Roman"/>
          <w:sz w:val="28"/>
        </w:rPr>
        <w:t xml:space="preserve">НАСЕЛЕНИЯ </w:t>
      </w:r>
    </w:p>
    <w:p w:rsidR="0052701D" w:rsidRDefault="00D40929">
      <w:r>
        <w:rPr>
          <w:rFonts w:ascii="Times New Roman" w:eastAsia="Times New Roman" w:hAnsi="Times New Roman" w:cs="Times New Roman"/>
          <w:sz w:val="28"/>
        </w:rPr>
        <w:t xml:space="preserve">Рочева О.А., Зарипова Р.С., Рочева Я.О. </w:t>
      </w:r>
    </w:p>
    <w:p w:rsidR="0052701D" w:rsidRDefault="00D40929">
      <w:pPr>
        <w:tabs>
          <w:tab w:val="center" w:pos="9218"/>
        </w:tabs>
      </w:pPr>
      <w:r>
        <w:rPr>
          <w:rFonts w:ascii="Times New Roman" w:eastAsia="Times New Roman" w:hAnsi="Times New Roman" w:cs="Times New Roman"/>
          <w:sz w:val="28"/>
        </w:rPr>
        <w:t xml:space="preserve">АНАЛИЗ УСЛОВИЙ ЖИЗНИ НАСЕЛЕНИЯ РОССИИ </w:t>
      </w:r>
      <w:r>
        <w:rPr>
          <w:rFonts w:ascii="Times New Roman" w:eastAsia="Times New Roman" w:hAnsi="Times New Roman" w:cs="Times New Roman"/>
          <w:sz w:val="28"/>
        </w:rPr>
        <w:tab/>
        <w:t xml:space="preserve">328 </w:t>
      </w:r>
    </w:p>
    <w:p w:rsidR="0052701D" w:rsidRDefault="00D40929">
      <w:r>
        <w:rPr>
          <w:rFonts w:ascii="Times New Roman" w:eastAsia="Times New Roman" w:hAnsi="Times New Roman" w:cs="Times New Roman"/>
          <w:sz w:val="28"/>
        </w:rPr>
        <w:t>Роче</w:t>
      </w:r>
      <w:r>
        <w:rPr>
          <w:rFonts w:ascii="Times New Roman" w:eastAsia="Times New Roman" w:hAnsi="Times New Roman" w:cs="Times New Roman"/>
          <w:sz w:val="28"/>
        </w:rPr>
        <w:t xml:space="preserve">ва О.А., Рочева Я.О. </w:t>
      </w:r>
    </w:p>
    <w:p w:rsidR="0052701D" w:rsidRDefault="00D40929">
      <w:pPr>
        <w:tabs>
          <w:tab w:val="center" w:pos="4503"/>
          <w:tab w:val="center" w:pos="9218"/>
        </w:tabs>
      </w:pPr>
      <w:r>
        <w:tab/>
      </w:r>
      <w:r>
        <w:rPr>
          <w:rFonts w:ascii="Times New Roman" w:eastAsia="Times New Roman" w:hAnsi="Times New Roman" w:cs="Times New Roman"/>
          <w:b/>
          <w:i/>
          <w:sz w:val="28"/>
        </w:rPr>
        <w:t xml:space="preserve">СЕКЦИЯ «ЭКОНОМИКА ЗНАНИЙ КАК ФАКТОР </w:t>
      </w:r>
      <w:r>
        <w:rPr>
          <w:rFonts w:ascii="Times New Roman" w:eastAsia="Times New Roman" w:hAnsi="Times New Roman" w:cs="Times New Roman"/>
          <w:b/>
          <w:i/>
          <w:sz w:val="28"/>
        </w:rPr>
        <w:tab/>
        <w:t xml:space="preserve">332 </w:t>
      </w:r>
    </w:p>
    <w:p w:rsidR="0052701D" w:rsidRDefault="00D40929">
      <w:r>
        <w:rPr>
          <w:rFonts w:ascii="Times New Roman" w:eastAsia="Times New Roman" w:hAnsi="Times New Roman" w:cs="Times New Roman"/>
          <w:b/>
          <w:i/>
          <w:sz w:val="28"/>
        </w:rPr>
        <w:t xml:space="preserve">ИННОВАЦИОННОГО РАЗВИТИЯ ВЫСШЕГО ОБРАЗОВАНИЯ» </w:t>
      </w:r>
    </w:p>
    <w:p w:rsidR="0052701D" w:rsidRDefault="00D40929">
      <w:pPr>
        <w:tabs>
          <w:tab w:val="center" w:pos="9218"/>
        </w:tabs>
      </w:pPr>
      <w:r>
        <w:rPr>
          <w:rFonts w:ascii="Times New Roman" w:eastAsia="Times New Roman" w:hAnsi="Times New Roman" w:cs="Times New Roman"/>
          <w:sz w:val="28"/>
        </w:rPr>
        <w:t xml:space="preserve">ОСОБЕННОСТИ ЭКОНОМИКИ ЗНАНИЙ В УСЛОВИЯХ </w:t>
      </w:r>
      <w:r>
        <w:rPr>
          <w:rFonts w:ascii="Times New Roman" w:eastAsia="Times New Roman" w:hAnsi="Times New Roman" w:cs="Times New Roman"/>
          <w:sz w:val="28"/>
        </w:rPr>
        <w:tab/>
        <w:t xml:space="preserve">332 </w:t>
      </w:r>
    </w:p>
    <w:p w:rsidR="0052701D" w:rsidRDefault="00D40929">
      <w:r>
        <w:rPr>
          <w:rFonts w:ascii="Times New Roman" w:eastAsia="Times New Roman" w:hAnsi="Times New Roman" w:cs="Times New Roman"/>
          <w:sz w:val="28"/>
        </w:rPr>
        <w:t xml:space="preserve">ГЛОБАЛЬНЫХ ИЗМЕНЕНИЙ </w:t>
      </w:r>
    </w:p>
    <w:p w:rsidR="0052701D" w:rsidRDefault="00D40929">
      <w:r>
        <w:rPr>
          <w:rFonts w:ascii="Times New Roman" w:eastAsia="Times New Roman" w:hAnsi="Times New Roman" w:cs="Times New Roman"/>
          <w:sz w:val="28"/>
        </w:rPr>
        <w:t xml:space="preserve">Афанасьев М.В., Уразбахтина Л.Р. </w:t>
      </w:r>
    </w:p>
    <w:p w:rsidR="0052701D" w:rsidRDefault="00D40929">
      <w:pPr>
        <w:tabs>
          <w:tab w:val="center" w:pos="9218"/>
        </w:tabs>
      </w:pPr>
      <w:r>
        <w:rPr>
          <w:rFonts w:ascii="Times New Roman" w:eastAsia="Times New Roman" w:hAnsi="Times New Roman" w:cs="Times New Roman"/>
          <w:sz w:val="28"/>
        </w:rPr>
        <w:t>ИНОСТРАННЫЙ ПРОФЕССОР КАК ИНСТРУМЕНТ РАЗВИТ</w:t>
      </w:r>
      <w:r>
        <w:rPr>
          <w:rFonts w:ascii="Times New Roman" w:eastAsia="Times New Roman" w:hAnsi="Times New Roman" w:cs="Times New Roman"/>
          <w:sz w:val="28"/>
        </w:rPr>
        <w:t xml:space="preserve">ИЯ </w:t>
      </w:r>
      <w:r>
        <w:rPr>
          <w:rFonts w:ascii="Times New Roman" w:eastAsia="Times New Roman" w:hAnsi="Times New Roman" w:cs="Times New Roman"/>
          <w:sz w:val="28"/>
        </w:rPr>
        <w:tab/>
        <w:t xml:space="preserve">337 </w:t>
      </w:r>
    </w:p>
    <w:p w:rsidR="0052701D" w:rsidRDefault="00D40929">
      <w:r>
        <w:rPr>
          <w:rFonts w:ascii="Times New Roman" w:eastAsia="Times New Roman" w:hAnsi="Times New Roman" w:cs="Times New Roman"/>
          <w:sz w:val="28"/>
        </w:rPr>
        <w:t xml:space="preserve">УНИВЕРСИТЕТА И ЭЛЕМЕНТ ОТЧЁТНОСТИ </w:t>
      </w:r>
    </w:p>
    <w:p w:rsidR="0052701D" w:rsidRDefault="00D40929">
      <w:r>
        <w:rPr>
          <w:rFonts w:ascii="Times New Roman" w:eastAsia="Times New Roman" w:hAnsi="Times New Roman" w:cs="Times New Roman"/>
          <w:sz w:val="28"/>
        </w:rPr>
        <w:t xml:space="preserve">Ахметова И.Г., Валеева Ю.С., Халикова Д.Р. </w:t>
      </w:r>
    </w:p>
    <w:p w:rsidR="0052701D" w:rsidRDefault="00D40929">
      <w:pPr>
        <w:tabs>
          <w:tab w:val="center" w:pos="9218"/>
        </w:tabs>
      </w:pPr>
      <w:r>
        <w:rPr>
          <w:rFonts w:ascii="Times New Roman" w:eastAsia="Times New Roman" w:hAnsi="Times New Roman" w:cs="Times New Roman"/>
          <w:sz w:val="28"/>
        </w:rPr>
        <w:t xml:space="preserve">ИННОВАЦИОННОЕ РАЗВИТИЕ ВУЗА НА ОСНОВЕ ИНЖЕНЕРИИ </w:t>
      </w:r>
      <w:r>
        <w:rPr>
          <w:rFonts w:ascii="Times New Roman" w:eastAsia="Times New Roman" w:hAnsi="Times New Roman" w:cs="Times New Roman"/>
          <w:sz w:val="28"/>
        </w:rPr>
        <w:tab/>
        <w:t xml:space="preserve">342 </w:t>
      </w:r>
    </w:p>
    <w:p w:rsidR="0052701D" w:rsidRDefault="00D40929">
      <w:r>
        <w:rPr>
          <w:rFonts w:ascii="Times New Roman" w:eastAsia="Times New Roman" w:hAnsi="Times New Roman" w:cs="Times New Roman"/>
          <w:sz w:val="28"/>
        </w:rPr>
        <w:t xml:space="preserve">ЗНАНИЙ </w:t>
      </w:r>
    </w:p>
    <w:p w:rsidR="0052701D" w:rsidRDefault="00D40929">
      <w:r>
        <w:rPr>
          <w:rFonts w:ascii="Times New Roman" w:eastAsia="Times New Roman" w:hAnsi="Times New Roman" w:cs="Times New Roman"/>
          <w:sz w:val="28"/>
        </w:rPr>
        <w:lastRenderedPageBreak/>
        <w:t xml:space="preserve">Баймухамедов М.Ф., Салыкова М.С. </w:t>
      </w:r>
    </w:p>
    <w:p w:rsidR="0052701D" w:rsidRDefault="00D40929">
      <w:pPr>
        <w:tabs>
          <w:tab w:val="center" w:pos="9218"/>
        </w:tabs>
      </w:pPr>
      <w:r>
        <w:rPr>
          <w:rFonts w:ascii="Times New Roman" w:eastAsia="Times New Roman" w:hAnsi="Times New Roman" w:cs="Times New Roman"/>
          <w:sz w:val="28"/>
        </w:rPr>
        <w:t xml:space="preserve">INTELLECTUALIZATION AND ROTIZATION OF EDUCATION AN </w:t>
      </w:r>
      <w:r>
        <w:rPr>
          <w:rFonts w:ascii="Times New Roman" w:eastAsia="Times New Roman" w:hAnsi="Times New Roman" w:cs="Times New Roman"/>
          <w:sz w:val="28"/>
        </w:rPr>
        <w:tab/>
        <w:t xml:space="preserve">346 </w:t>
      </w:r>
    </w:p>
    <w:p w:rsidR="0052701D" w:rsidRDefault="00D40929">
      <w:r>
        <w:rPr>
          <w:rFonts w:ascii="Times New Roman" w:eastAsia="Times New Roman" w:hAnsi="Times New Roman" w:cs="Times New Roman"/>
          <w:sz w:val="28"/>
        </w:rPr>
        <w:t>IMPORTANT DIREC</w:t>
      </w:r>
      <w:r>
        <w:rPr>
          <w:rFonts w:ascii="Times New Roman" w:eastAsia="Times New Roman" w:hAnsi="Times New Roman" w:cs="Times New Roman"/>
          <w:sz w:val="28"/>
        </w:rPr>
        <w:t xml:space="preserve">TION FOR THE DEVELOPMENT OF AN </w:t>
      </w:r>
    </w:p>
    <w:p w:rsidR="0052701D" w:rsidRDefault="00D40929">
      <w:r>
        <w:rPr>
          <w:rFonts w:ascii="Times New Roman" w:eastAsia="Times New Roman" w:hAnsi="Times New Roman" w:cs="Times New Roman"/>
          <w:sz w:val="28"/>
        </w:rPr>
        <w:t xml:space="preserve">INNOVATIVE UNIVERSITY </w:t>
      </w:r>
    </w:p>
    <w:p w:rsidR="0052701D" w:rsidRDefault="00D40929">
      <w:r>
        <w:rPr>
          <w:rFonts w:ascii="Times New Roman" w:eastAsia="Times New Roman" w:hAnsi="Times New Roman" w:cs="Times New Roman"/>
          <w:sz w:val="28"/>
        </w:rPr>
        <w:t xml:space="preserve">Baimukhamedova A.M., Mustafa K.A., Amreev M.B. </w:t>
      </w:r>
    </w:p>
    <w:p w:rsidR="0052701D" w:rsidRDefault="00D40929">
      <w:pPr>
        <w:tabs>
          <w:tab w:val="center" w:pos="9218"/>
        </w:tabs>
      </w:pPr>
      <w:r>
        <w:rPr>
          <w:rFonts w:ascii="Times New Roman" w:eastAsia="Times New Roman" w:hAnsi="Times New Roman" w:cs="Times New Roman"/>
          <w:sz w:val="28"/>
        </w:rPr>
        <w:t xml:space="preserve">ТЕХНИКАЛЫҚ ЖОО-да МАТЕМАТИКАЛЫҚ БІЛІМДІ ӨЗ </w:t>
      </w:r>
      <w:r>
        <w:rPr>
          <w:rFonts w:ascii="Times New Roman" w:eastAsia="Times New Roman" w:hAnsi="Times New Roman" w:cs="Times New Roman"/>
          <w:sz w:val="28"/>
        </w:rPr>
        <w:tab/>
        <w:t xml:space="preserve">350 </w:t>
      </w:r>
    </w:p>
    <w:p w:rsidR="0052701D" w:rsidRDefault="00D40929">
      <w:r>
        <w:rPr>
          <w:rFonts w:ascii="Times New Roman" w:eastAsia="Times New Roman" w:hAnsi="Times New Roman" w:cs="Times New Roman"/>
          <w:sz w:val="28"/>
        </w:rPr>
        <w:t xml:space="preserve">БЕТІНШЕ МЕҢГЕРУ МӘСЕЛЕЛЕРІ </w:t>
      </w:r>
    </w:p>
    <w:p w:rsidR="0052701D" w:rsidRDefault="00D40929">
      <w:r>
        <w:rPr>
          <w:rFonts w:ascii="Times New Roman" w:eastAsia="Times New Roman" w:hAnsi="Times New Roman" w:cs="Times New Roman"/>
          <w:sz w:val="28"/>
        </w:rPr>
        <w:t xml:space="preserve">М.Ж. Байсалова, А.К. Искакова </w:t>
      </w:r>
    </w:p>
    <w:p w:rsidR="0052701D" w:rsidRDefault="00D40929">
      <w:pPr>
        <w:tabs>
          <w:tab w:val="center" w:pos="9218"/>
        </w:tabs>
      </w:pPr>
      <w:r>
        <w:rPr>
          <w:rFonts w:ascii="Times New Roman" w:eastAsia="Times New Roman" w:hAnsi="Times New Roman" w:cs="Times New Roman"/>
          <w:sz w:val="28"/>
        </w:rPr>
        <w:t xml:space="preserve">РОЛЬ ПУБЛИКАЦИОННОЙ АКТИВНОСТИ ПРЕПОДАВАТЕЛЕЙ </w:t>
      </w:r>
      <w:r>
        <w:rPr>
          <w:rFonts w:ascii="Times New Roman" w:eastAsia="Times New Roman" w:hAnsi="Times New Roman" w:cs="Times New Roman"/>
          <w:sz w:val="28"/>
        </w:rPr>
        <w:tab/>
        <w:t xml:space="preserve">355 </w:t>
      </w:r>
    </w:p>
    <w:p w:rsidR="0052701D" w:rsidRDefault="00D40929">
      <w:r>
        <w:rPr>
          <w:rFonts w:ascii="Times New Roman" w:eastAsia="Times New Roman" w:hAnsi="Times New Roman" w:cs="Times New Roman"/>
          <w:sz w:val="28"/>
        </w:rPr>
        <w:t xml:space="preserve">КАК РЕЗУЛЬТАТ ИННОВАЦИОННОЙ ДЕЯТЕЛЬНОСТИ </w:t>
      </w:r>
    </w:p>
    <w:p w:rsidR="0052701D" w:rsidRDefault="00D40929">
      <w:r>
        <w:rPr>
          <w:rFonts w:ascii="Times New Roman" w:eastAsia="Times New Roman" w:hAnsi="Times New Roman" w:cs="Times New Roman"/>
          <w:sz w:val="28"/>
        </w:rPr>
        <w:t xml:space="preserve">УНИВЕРСИТЕТА </w:t>
      </w:r>
    </w:p>
    <w:p w:rsidR="0052701D" w:rsidRDefault="00D40929">
      <w:r>
        <w:rPr>
          <w:rFonts w:ascii="Times New Roman" w:eastAsia="Times New Roman" w:hAnsi="Times New Roman" w:cs="Times New Roman"/>
          <w:sz w:val="28"/>
        </w:rPr>
        <w:t xml:space="preserve">Валеева Ю.С., Калинина М.В. </w:t>
      </w:r>
    </w:p>
    <w:p w:rsidR="0052701D" w:rsidRDefault="00D40929">
      <w:pPr>
        <w:tabs>
          <w:tab w:val="center" w:pos="9218"/>
        </w:tabs>
      </w:pPr>
      <w:r>
        <w:rPr>
          <w:rFonts w:ascii="Times New Roman" w:eastAsia="Times New Roman" w:hAnsi="Times New Roman" w:cs="Times New Roman"/>
          <w:sz w:val="28"/>
        </w:rPr>
        <w:t xml:space="preserve">ВЛИЯНИЕ ЦИФРОВОЙ ТРАНСФОРМАЦИИ НА КАЧЕСТВО И </w:t>
      </w:r>
      <w:r>
        <w:rPr>
          <w:rFonts w:ascii="Times New Roman" w:eastAsia="Times New Roman" w:hAnsi="Times New Roman" w:cs="Times New Roman"/>
          <w:sz w:val="28"/>
        </w:rPr>
        <w:tab/>
        <w:t xml:space="preserve">363 </w:t>
      </w:r>
    </w:p>
    <w:p w:rsidR="0052701D" w:rsidRDefault="00D40929">
      <w:r>
        <w:rPr>
          <w:rFonts w:ascii="Times New Roman" w:eastAsia="Times New Roman" w:hAnsi="Times New Roman" w:cs="Times New Roman"/>
          <w:sz w:val="28"/>
        </w:rPr>
        <w:t xml:space="preserve">СОДЕРЖАНИЕ ОБРАЗОВАТЕЛЬНОЙ ТРАЕКТОРИИ </w:t>
      </w:r>
    </w:p>
    <w:p w:rsidR="0052701D" w:rsidRDefault="00D40929">
      <w:r>
        <w:rPr>
          <w:rFonts w:ascii="Times New Roman" w:eastAsia="Times New Roman" w:hAnsi="Times New Roman" w:cs="Times New Roman"/>
          <w:sz w:val="28"/>
        </w:rPr>
        <w:t xml:space="preserve">УНИВЕРСИТЕТОВ </w:t>
      </w:r>
    </w:p>
    <w:p w:rsidR="0052701D" w:rsidRDefault="00D40929">
      <w:r>
        <w:rPr>
          <w:rFonts w:ascii="Times New Roman" w:eastAsia="Times New Roman" w:hAnsi="Times New Roman" w:cs="Times New Roman"/>
          <w:sz w:val="28"/>
        </w:rPr>
        <w:t>Валеева Светла</w:t>
      </w:r>
      <w:r>
        <w:rPr>
          <w:rFonts w:ascii="Times New Roman" w:eastAsia="Times New Roman" w:hAnsi="Times New Roman" w:cs="Times New Roman"/>
          <w:sz w:val="28"/>
        </w:rPr>
        <w:t xml:space="preserve">на Николаевна </w:t>
      </w:r>
    </w:p>
    <w:p w:rsidR="0052701D" w:rsidRDefault="00D40929">
      <w:pPr>
        <w:tabs>
          <w:tab w:val="center" w:pos="9218"/>
        </w:tabs>
      </w:pPr>
      <w:r>
        <w:rPr>
          <w:rFonts w:ascii="Times New Roman" w:eastAsia="Times New Roman" w:hAnsi="Times New Roman" w:cs="Times New Roman"/>
          <w:sz w:val="28"/>
        </w:rPr>
        <w:t xml:space="preserve">ЭКОНОМИКО – ИМИТАЦИОННАЯ МОДЕЛЬ </w:t>
      </w:r>
      <w:r>
        <w:rPr>
          <w:rFonts w:ascii="Times New Roman" w:eastAsia="Times New Roman" w:hAnsi="Times New Roman" w:cs="Times New Roman"/>
          <w:sz w:val="28"/>
        </w:rPr>
        <w:tab/>
        <w:t xml:space="preserve">372 </w:t>
      </w:r>
    </w:p>
    <w:p w:rsidR="0052701D" w:rsidRDefault="00D40929">
      <w:r>
        <w:rPr>
          <w:rFonts w:ascii="Times New Roman" w:eastAsia="Times New Roman" w:hAnsi="Times New Roman" w:cs="Times New Roman"/>
          <w:sz w:val="28"/>
        </w:rPr>
        <w:t xml:space="preserve">АВТОМАТИЗИРОВАННОГО ОПРЕДЕЛЕНИЯ ЦЕН НА </w:t>
      </w:r>
    </w:p>
    <w:p w:rsidR="0052701D" w:rsidRDefault="00D40929">
      <w:r>
        <w:rPr>
          <w:rFonts w:ascii="Times New Roman" w:eastAsia="Times New Roman" w:hAnsi="Times New Roman" w:cs="Times New Roman"/>
          <w:sz w:val="28"/>
        </w:rPr>
        <w:t xml:space="preserve">ЭЛЕКТРОЭНЕРГИЮ У ПОТРЕБИТЕЛЕЙ В РЫНКЕ </w:t>
      </w:r>
    </w:p>
    <w:p w:rsidR="0052701D" w:rsidRDefault="00D40929">
      <w:r>
        <w:rPr>
          <w:rFonts w:ascii="Times New Roman" w:eastAsia="Times New Roman" w:hAnsi="Times New Roman" w:cs="Times New Roman"/>
          <w:sz w:val="28"/>
        </w:rPr>
        <w:t xml:space="preserve">ЭЛЕКТРОЭНЕРГИИ И МОЩНОСТИ КАЗАХСТАНА </w:t>
      </w:r>
    </w:p>
    <w:p w:rsidR="0052701D" w:rsidRDefault="00D40929">
      <w:r>
        <w:rPr>
          <w:rFonts w:ascii="Times New Roman" w:eastAsia="Times New Roman" w:hAnsi="Times New Roman" w:cs="Times New Roman"/>
          <w:sz w:val="28"/>
        </w:rPr>
        <w:t xml:space="preserve">Жакупов А.А., Габелашвили К.Р., Нурмуратова Л.С., Оразбек С.Р. </w:t>
      </w:r>
    </w:p>
    <w:p w:rsidR="0052701D" w:rsidRDefault="0052701D">
      <w:pPr>
        <w:spacing w:after="0"/>
        <w:ind w:left="-1306" w:right="263"/>
      </w:pPr>
    </w:p>
    <w:p w:rsidR="0052701D" w:rsidRDefault="00D40929">
      <w:pPr>
        <w:tabs>
          <w:tab w:val="center" w:pos="9218"/>
        </w:tabs>
      </w:pPr>
      <w:r>
        <w:rPr>
          <w:rFonts w:ascii="Times New Roman" w:eastAsia="Times New Roman" w:hAnsi="Times New Roman" w:cs="Times New Roman"/>
          <w:sz w:val="28"/>
        </w:rPr>
        <w:t xml:space="preserve">ИНФОРМАЦИОННАЯ СРЕДА ВУЗА И ОРГАНИЗАЦИЯ РАБОТЫ </w:t>
      </w:r>
      <w:r>
        <w:rPr>
          <w:rFonts w:ascii="Times New Roman" w:eastAsia="Times New Roman" w:hAnsi="Times New Roman" w:cs="Times New Roman"/>
          <w:sz w:val="28"/>
        </w:rPr>
        <w:tab/>
        <w:t>388</w:t>
      </w:r>
    </w:p>
    <w:p w:rsidR="0052701D" w:rsidRDefault="00D40929">
      <w:r>
        <w:rPr>
          <w:rFonts w:ascii="Times New Roman" w:eastAsia="Times New Roman" w:hAnsi="Times New Roman" w:cs="Times New Roman"/>
          <w:sz w:val="28"/>
        </w:rPr>
        <w:t xml:space="preserve">СТУДЕНТОВ В ЛИЧНЫХ КАБИНЕТАХ </w:t>
      </w:r>
    </w:p>
    <w:p w:rsidR="0052701D" w:rsidRDefault="00D40929">
      <w:r>
        <w:rPr>
          <w:rFonts w:ascii="Times New Roman" w:eastAsia="Times New Roman" w:hAnsi="Times New Roman" w:cs="Times New Roman"/>
          <w:sz w:val="28"/>
        </w:rPr>
        <w:t xml:space="preserve">Зарипова Р.С., Рочева О.А., Алемасов Е.П. </w:t>
      </w:r>
    </w:p>
    <w:p w:rsidR="0052701D" w:rsidRDefault="00D40929">
      <w:pPr>
        <w:tabs>
          <w:tab w:val="center" w:pos="9218"/>
        </w:tabs>
      </w:pPr>
      <w:r>
        <w:rPr>
          <w:rFonts w:ascii="Times New Roman" w:eastAsia="Times New Roman" w:hAnsi="Times New Roman" w:cs="Times New Roman"/>
          <w:sz w:val="28"/>
        </w:rPr>
        <w:t xml:space="preserve">CONSCIOUS ACQUISITION OF KNOWLEDGE IS THE BASIS FOR </w:t>
      </w:r>
      <w:r>
        <w:rPr>
          <w:rFonts w:ascii="Times New Roman" w:eastAsia="Times New Roman" w:hAnsi="Times New Roman" w:cs="Times New Roman"/>
          <w:sz w:val="28"/>
        </w:rPr>
        <w:tab/>
        <w:t xml:space="preserve">392 </w:t>
      </w:r>
    </w:p>
    <w:p w:rsidR="0052701D" w:rsidRDefault="00D40929">
      <w:r>
        <w:rPr>
          <w:rFonts w:ascii="Times New Roman" w:eastAsia="Times New Roman" w:hAnsi="Times New Roman" w:cs="Times New Roman"/>
          <w:sz w:val="28"/>
        </w:rPr>
        <w:t xml:space="preserve">THE FORMATION OF THE NECESSARY COMPETENCIES FOR A </w:t>
      </w:r>
    </w:p>
    <w:p w:rsidR="0052701D" w:rsidRDefault="00D40929">
      <w:r>
        <w:rPr>
          <w:rFonts w:ascii="Times New Roman" w:eastAsia="Times New Roman" w:hAnsi="Times New Roman" w:cs="Times New Roman"/>
          <w:sz w:val="28"/>
        </w:rPr>
        <w:t>MODERN ENGINEER (on th</w:t>
      </w:r>
      <w:r>
        <w:rPr>
          <w:rFonts w:ascii="Times New Roman" w:eastAsia="Times New Roman" w:hAnsi="Times New Roman" w:cs="Times New Roman"/>
          <w:sz w:val="28"/>
        </w:rPr>
        <w:t xml:space="preserve">e example of mathematics) </w:t>
      </w:r>
    </w:p>
    <w:p w:rsidR="0052701D" w:rsidRDefault="00D40929">
      <w:r>
        <w:rPr>
          <w:rFonts w:ascii="Times New Roman" w:eastAsia="Times New Roman" w:hAnsi="Times New Roman" w:cs="Times New Roman"/>
          <w:sz w:val="28"/>
        </w:rPr>
        <w:t xml:space="preserve">A.K. Iskakova, M.Zh. Baisalova </w:t>
      </w:r>
    </w:p>
    <w:p w:rsidR="0052701D" w:rsidRDefault="00D40929">
      <w:pPr>
        <w:tabs>
          <w:tab w:val="center" w:pos="9218"/>
        </w:tabs>
      </w:pPr>
      <w:r>
        <w:rPr>
          <w:rFonts w:ascii="Times New Roman" w:eastAsia="Times New Roman" w:hAnsi="Times New Roman" w:cs="Times New Roman"/>
          <w:sz w:val="28"/>
        </w:rPr>
        <w:t xml:space="preserve">БІЛІМ БЕРУДІ КӘСІБИЛЕНДІРУДЕГІ АҚПАРАТТЫҚ - </w:t>
      </w:r>
      <w:r>
        <w:rPr>
          <w:rFonts w:ascii="Times New Roman" w:eastAsia="Times New Roman" w:hAnsi="Times New Roman" w:cs="Times New Roman"/>
          <w:sz w:val="28"/>
        </w:rPr>
        <w:tab/>
        <w:t xml:space="preserve">395 </w:t>
      </w:r>
    </w:p>
    <w:p w:rsidR="0052701D" w:rsidRDefault="00D40929">
      <w:r>
        <w:rPr>
          <w:rFonts w:ascii="Times New Roman" w:eastAsia="Times New Roman" w:hAnsi="Times New Roman" w:cs="Times New Roman"/>
          <w:sz w:val="28"/>
        </w:rPr>
        <w:lastRenderedPageBreak/>
        <w:t xml:space="preserve">КОММУНИКАЦИЯЛЫҚ ТЕХНОЛОГИЯЛАР </w:t>
      </w:r>
    </w:p>
    <w:p w:rsidR="0052701D" w:rsidRDefault="00D40929">
      <w:r>
        <w:rPr>
          <w:rFonts w:ascii="Times New Roman" w:eastAsia="Times New Roman" w:hAnsi="Times New Roman" w:cs="Times New Roman"/>
          <w:sz w:val="28"/>
        </w:rPr>
        <w:t xml:space="preserve">А.К. Искакова, Сагынбаева Э.Е., М.Ж. Байсалова </w:t>
      </w:r>
    </w:p>
    <w:p w:rsidR="0052701D" w:rsidRDefault="00D40929">
      <w:pPr>
        <w:tabs>
          <w:tab w:val="center" w:pos="9218"/>
        </w:tabs>
      </w:pPr>
      <w:r>
        <w:rPr>
          <w:rFonts w:ascii="Times New Roman" w:eastAsia="Times New Roman" w:hAnsi="Times New Roman" w:cs="Times New Roman"/>
          <w:sz w:val="28"/>
        </w:rPr>
        <w:t xml:space="preserve">ОСОБЕННОСТИ ПРИМЕНЕНИЯ КОМПЬЮТЕРНОЙ ГРАФИКИ В </w:t>
      </w:r>
      <w:r>
        <w:rPr>
          <w:rFonts w:ascii="Times New Roman" w:eastAsia="Times New Roman" w:hAnsi="Times New Roman" w:cs="Times New Roman"/>
          <w:sz w:val="28"/>
        </w:rPr>
        <w:tab/>
        <w:t xml:space="preserve">402 </w:t>
      </w:r>
    </w:p>
    <w:p w:rsidR="0052701D" w:rsidRDefault="00D40929">
      <w:r>
        <w:rPr>
          <w:rFonts w:ascii="Times New Roman" w:eastAsia="Times New Roman" w:hAnsi="Times New Roman" w:cs="Times New Roman"/>
          <w:sz w:val="28"/>
        </w:rPr>
        <w:t>УЧЕБНОМ ПРОЦЕССЕ</w:t>
      </w:r>
      <w:r>
        <w:rPr>
          <w:rFonts w:ascii="Times New Roman" w:eastAsia="Times New Roman" w:hAnsi="Times New Roman" w:cs="Times New Roman"/>
          <w:sz w:val="28"/>
        </w:rPr>
        <w:t xml:space="preserve"> </w:t>
      </w:r>
    </w:p>
    <w:p w:rsidR="0052701D" w:rsidRDefault="00D40929">
      <w:r>
        <w:rPr>
          <w:rFonts w:ascii="Times New Roman" w:eastAsia="Times New Roman" w:hAnsi="Times New Roman" w:cs="Times New Roman"/>
          <w:sz w:val="28"/>
        </w:rPr>
        <w:t xml:space="preserve">Кривоножкин Кирилл Евгеньевич, Зарипова Римма Солтановна </w:t>
      </w:r>
    </w:p>
    <w:p w:rsidR="0052701D" w:rsidRDefault="00D40929">
      <w:pPr>
        <w:tabs>
          <w:tab w:val="center" w:pos="9218"/>
        </w:tabs>
      </w:pPr>
      <w:r>
        <w:rPr>
          <w:rFonts w:ascii="Times New Roman" w:eastAsia="Times New Roman" w:hAnsi="Times New Roman" w:cs="Times New Roman"/>
          <w:sz w:val="28"/>
        </w:rPr>
        <w:t xml:space="preserve">ОБРАЗОВАТЕЛЬНЫЙ ИНЖИНИРИНГ И ПОНЯТИЙНАЯ </w:t>
      </w:r>
      <w:r>
        <w:rPr>
          <w:rFonts w:ascii="Times New Roman" w:eastAsia="Times New Roman" w:hAnsi="Times New Roman" w:cs="Times New Roman"/>
          <w:sz w:val="28"/>
        </w:rPr>
        <w:tab/>
        <w:t xml:space="preserve">405 </w:t>
      </w:r>
    </w:p>
    <w:p w:rsidR="0052701D" w:rsidRDefault="00D40929">
      <w:r>
        <w:rPr>
          <w:rFonts w:ascii="Times New Roman" w:eastAsia="Times New Roman" w:hAnsi="Times New Roman" w:cs="Times New Roman"/>
          <w:sz w:val="28"/>
        </w:rPr>
        <w:t xml:space="preserve">ЦИФРОВИЗАЦИЯ ОБРАЗОВАНИЯ </w:t>
      </w:r>
    </w:p>
    <w:p w:rsidR="0052701D" w:rsidRDefault="00D40929">
      <w:r>
        <w:rPr>
          <w:rFonts w:ascii="Times New Roman" w:eastAsia="Times New Roman" w:hAnsi="Times New Roman" w:cs="Times New Roman"/>
          <w:sz w:val="28"/>
        </w:rPr>
        <w:t xml:space="preserve">Б.С. Кубеков </w:t>
      </w:r>
    </w:p>
    <w:p w:rsidR="0052701D" w:rsidRDefault="00D40929">
      <w:pPr>
        <w:tabs>
          <w:tab w:val="center" w:pos="9218"/>
        </w:tabs>
      </w:pPr>
      <w:r>
        <w:rPr>
          <w:rFonts w:ascii="Times New Roman" w:eastAsia="Times New Roman" w:hAnsi="Times New Roman" w:cs="Times New Roman"/>
          <w:sz w:val="28"/>
        </w:rPr>
        <w:t xml:space="preserve">THE MODERN UNIVERSITY ON THE WAY TO A KNOWLEDGE </w:t>
      </w:r>
      <w:r>
        <w:rPr>
          <w:rFonts w:ascii="Times New Roman" w:eastAsia="Times New Roman" w:hAnsi="Times New Roman" w:cs="Times New Roman"/>
          <w:sz w:val="28"/>
        </w:rPr>
        <w:tab/>
        <w:t xml:space="preserve">412 </w:t>
      </w:r>
    </w:p>
    <w:p w:rsidR="0052701D" w:rsidRDefault="00D40929">
      <w:r>
        <w:rPr>
          <w:rFonts w:ascii="Times New Roman" w:eastAsia="Times New Roman" w:hAnsi="Times New Roman" w:cs="Times New Roman"/>
          <w:sz w:val="28"/>
        </w:rPr>
        <w:t xml:space="preserve">ECONOMY: PROBLEMS AND SOLUTIONS </w:t>
      </w:r>
    </w:p>
    <w:p w:rsidR="0052701D" w:rsidRDefault="00D40929">
      <w:r>
        <w:rPr>
          <w:rFonts w:ascii="Times New Roman" w:eastAsia="Times New Roman" w:hAnsi="Times New Roman" w:cs="Times New Roman"/>
          <w:sz w:val="28"/>
        </w:rPr>
        <w:t>Mukhambedyarova A.T., S</w:t>
      </w:r>
      <w:r>
        <w:rPr>
          <w:rFonts w:ascii="Times New Roman" w:eastAsia="Times New Roman" w:hAnsi="Times New Roman" w:cs="Times New Roman"/>
          <w:sz w:val="28"/>
        </w:rPr>
        <w:t xml:space="preserve">mirnova Y.G. </w:t>
      </w:r>
    </w:p>
    <w:p w:rsidR="0052701D" w:rsidRDefault="00D40929">
      <w:pPr>
        <w:tabs>
          <w:tab w:val="center" w:pos="9218"/>
        </w:tabs>
      </w:pPr>
      <w:r>
        <w:rPr>
          <w:rFonts w:ascii="Times New Roman" w:eastAsia="Times New Roman" w:hAnsi="Times New Roman" w:cs="Times New Roman"/>
          <w:sz w:val="28"/>
        </w:rPr>
        <w:t xml:space="preserve">ИНДУСТРИЯЛДЫ ҚОҒАМНЫҢ АДАМИ КАПИТАЛЫНА </w:t>
      </w:r>
      <w:r>
        <w:rPr>
          <w:rFonts w:ascii="Times New Roman" w:eastAsia="Times New Roman" w:hAnsi="Times New Roman" w:cs="Times New Roman"/>
          <w:sz w:val="28"/>
        </w:rPr>
        <w:tab/>
        <w:t xml:space="preserve">416 </w:t>
      </w:r>
    </w:p>
    <w:p w:rsidR="0052701D" w:rsidRDefault="00D40929">
      <w:r>
        <w:rPr>
          <w:rFonts w:ascii="Times New Roman" w:eastAsia="Times New Roman" w:hAnsi="Times New Roman" w:cs="Times New Roman"/>
          <w:sz w:val="28"/>
        </w:rPr>
        <w:t xml:space="preserve">ИНВЕСТИЦИЯ </w:t>
      </w:r>
    </w:p>
    <w:p w:rsidR="0052701D" w:rsidRDefault="00D40929">
      <w:r>
        <w:rPr>
          <w:rFonts w:ascii="Times New Roman" w:eastAsia="Times New Roman" w:hAnsi="Times New Roman" w:cs="Times New Roman"/>
          <w:sz w:val="28"/>
        </w:rPr>
        <w:t xml:space="preserve">Нұрпейіс Е.М. </w:t>
      </w:r>
    </w:p>
    <w:p w:rsidR="0052701D" w:rsidRDefault="00D40929">
      <w:pPr>
        <w:tabs>
          <w:tab w:val="center" w:pos="9218"/>
        </w:tabs>
      </w:pPr>
      <w:r>
        <w:rPr>
          <w:rFonts w:ascii="Times New Roman" w:eastAsia="Times New Roman" w:hAnsi="Times New Roman" w:cs="Times New Roman"/>
          <w:sz w:val="28"/>
        </w:rPr>
        <w:t xml:space="preserve">ПРИМЕНЕНИЕ ИСКУССТВЕННОГО ИНТЕЛЛЕКТА В </w:t>
      </w:r>
      <w:r>
        <w:rPr>
          <w:rFonts w:ascii="Times New Roman" w:eastAsia="Times New Roman" w:hAnsi="Times New Roman" w:cs="Times New Roman"/>
          <w:sz w:val="28"/>
        </w:rPr>
        <w:tab/>
        <w:t xml:space="preserve">422 </w:t>
      </w:r>
    </w:p>
    <w:p w:rsidR="0052701D" w:rsidRDefault="00D40929">
      <w:r>
        <w:rPr>
          <w:rFonts w:ascii="Times New Roman" w:eastAsia="Times New Roman" w:hAnsi="Times New Roman" w:cs="Times New Roman"/>
          <w:sz w:val="28"/>
        </w:rPr>
        <w:t xml:space="preserve">РОБОТИЗАЦИИ СИСТЕМЫ ОБРАЗОВАНИЯ </w:t>
      </w:r>
    </w:p>
    <w:p w:rsidR="0052701D" w:rsidRDefault="00D40929">
      <w:r>
        <w:rPr>
          <w:rFonts w:ascii="Times New Roman" w:eastAsia="Times New Roman" w:hAnsi="Times New Roman" w:cs="Times New Roman"/>
          <w:sz w:val="28"/>
        </w:rPr>
        <w:t xml:space="preserve">Сатова Р.К., Баймухамедова Г.С., Айтбенова А.А., Гадылбек А. </w:t>
      </w:r>
    </w:p>
    <w:p w:rsidR="0052701D" w:rsidRDefault="00D40929">
      <w:pPr>
        <w:tabs>
          <w:tab w:val="center" w:pos="9218"/>
        </w:tabs>
      </w:pPr>
      <w:r>
        <w:rPr>
          <w:rFonts w:ascii="Times New Roman" w:eastAsia="Times New Roman" w:hAnsi="Times New Roman" w:cs="Times New Roman"/>
          <w:sz w:val="28"/>
        </w:rPr>
        <w:t>ANALYSIS, EVALUATION OF THE MA</w:t>
      </w:r>
      <w:r>
        <w:rPr>
          <w:rFonts w:ascii="Times New Roman" w:eastAsia="Times New Roman" w:hAnsi="Times New Roman" w:cs="Times New Roman"/>
          <w:sz w:val="28"/>
        </w:rPr>
        <w:t xml:space="preserve">NAGEMENT OF </w:t>
      </w:r>
      <w:r>
        <w:rPr>
          <w:rFonts w:ascii="Times New Roman" w:eastAsia="Times New Roman" w:hAnsi="Times New Roman" w:cs="Times New Roman"/>
          <w:sz w:val="28"/>
        </w:rPr>
        <w:tab/>
        <w:t xml:space="preserve">425 </w:t>
      </w:r>
    </w:p>
    <w:p w:rsidR="0052701D" w:rsidRDefault="00D40929">
      <w:r>
        <w:rPr>
          <w:rFonts w:ascii="Times New Roman" w:eastAsia="Times New Roman" w:hAnsi="Times New Roman" w:cs="Times New Roman"/>
          <w:sz w:val="28"/>
        </w:rPr>
        <w:t xml:space="preserve">SOCIOECONOMIC DEVELOPMENT OF THE REGION AND </w:t>
      </w:r>
    </w:p>
    <w:p w:rsidR="0052701D" w:rsidRDefault="00D40929">
      <w:r>
        <w:rPr>
          <w:rFonts w:ascii="Times New Roman" w:eastAsia="Times New Roman" w:hAnsi="Times New Roman" w:cs="Times New Roman"/>
          <w:sz w:val="28"/>
        </w:rPr>
        <w:t xml:space="preserve">DEVELOPMENT OF A MANAGEMENT SYSTEM MODEL </w:t>
      </w:r>
    </w:p>
    <w:p w:rsidR="0052701D" w:rsidRDefault="00D40929">
      <w:r>
        <w:rPr>
          <w:rFonts w:ascii="Times New Roman" w:eastAsia="Times New Roman" w:hAnsi="Times New Roman" w:cs="Times New Roman"/>
          <w:sz w:val="28"/>
        </w:rPr>
        <w:t xml:space="preserve">Tleuberdiyeva S.S., Mukhiyayeva D.M., Satova R.K., Nurmuratova L.S. </w:t>
      </w:r>
    </w:p>
    <w:p w:rsidR="0052701D" w:rsidRDefault="00D40929">
      <w:pPr>
        <w:tabs>
          <w:tab w:val="center" w:pos="9218"/>
        </w:tabs>
      </w:pPr>
      <w:r>
        <w:rPr>
          <w:rFonts w:ascii="Times New Roman" w:eastAsia="Times New Roman" w:hAnsi="Times New Roman" w:cs="Times New Roman"/>
          <w:sz w:val="28"/>
        </w:rPr>
        <w:t xml:space="preserve">ЭЛЕКТР ЖЕЛІЛЕРІНДЕ АУА-РАЙЫНЫҢ НАШАРЛАУЫНА </w:t>
      </w:r>
      <w:r>
        <w:rPr>
          <w:rFonts w:ascii="Times New Roman" w:eastAsia="Times New Roman" w:hAnsi="Times New Roman" w:cs="Times New Roman"/>
          <w:sz w:val="28"/>
        </w:rPr>
        <w:tab/>
        <w:t xml:space="preserve">441 </w:t>
      </w:r>
    </w:p>
    <w:p w:rsidR="0052701D" w:rsidRDefault="00D40929">
      <w:r>
        <w:rPr>
          <w:rFonts w:ascii="Times New Roman" w:eastAsia="Times New Roman" w:hAnsi="Times New Roman" w:cs="Times New Roman"/>
          <w:sz w:val="28"/>
        </w:rPr>
        <w:t>БАЙЛАНЫСТЫ БОЛАТЫН ЭЛЕКТР ЭНЕРГИЯ</w:t>
      </w:r>
      <w:r>
        <w:rPr>
          <w:rFonts w:ascii="Times New Roman" w:eastAsia="Times New Roman" w:hAnsi="Times New Roman" w:cs="Times New Roman"/>
          <w:sz w:val="28"/>
        </w:rPr>
        <w:t xml:space="preserve">СЫНЫҢ </w:t>
      </w:r>
    </w:p>
    <w:p w:rsidR="0052701D" w:rsidRDefault="00D40929">
      <w:r>
        <w:rPr>
          <w:rFonts w:ascii="Times New Roman" w:eastAsia="Times New Roman" w:hAnsi="Times New Roman" w:cs="Times New Roman"/>
          <w:sz w:val="28"/>
        </w:rPr>
        <w:t xml:space="preserve">ШЫҒЫНДАРЫН ЭКОНОМИКАЛЫҚ БАҒАЛАУ </w:t>
      </w:r>
    </w:p>
    <w:p w:rsidR="0052701D" w:rsidRDefault="00D40929">
      <w:r>
        <w:rPr>
          <w:rFonts w:ascii="Times New Roman" w:eastAsia="Times New Roman" w:hAnsi="Times New Roman" w:cs="Times New Roman"/>
          <w:sz w:val="28"/>
        </w:rPr>
        <w:t xml:space="preserve">Б.И. Тузелбаев </w:t>
      </w:r>
    </w:p>
    <w:p w:rsidR="0052701D" w:rsidRDefault="00D40929">
      <w:pPr>
        <w:tabs>
          <w:tab w:val="center" w:pos="9218"/>
        </w:tabs>
      </w:pPr>
      <w:r>
        <w:rPr>
          <w:rFonts w:ascii="Times New Roman" w:eastAsia="Times New Roman" w:hAnsi="Times New Roman" w:cs="Times New Roman"/>
          <w:sz w:val="28"/>
        </w:rPr>
        <w:t xml:space="preserve">ПЕРСПЕКТИВЫ РАЗВИТИЯ МАЛОГО БИЗНЕСА В </w:t>
      </w:r>
      <w:r>
        <w:rPr>
          <w:rFonts w:ascii="Times New Roman" w:eastAsia="Times New Roman" w:hAnsi="Times New Roman" w:cs="Times New Roman"/>
          <w:sz w:val="28"/>
        </w:rPr>
        <w:tab/>
        <w:t xml:space="preserve">450 </w:t>
      </w:r>
    </w:p>
    <w:p w:rsidR="0052701D" w:rsidRDefault="00D40929">
      <w:r>
        <w:rPr>
          <w:rFonts w:ascii="Times New Roman" w:eastAsia="Times New Roman" w:hAnsi="Times New Roman" w:cs="Times New Roman"/>
          <w:sz w:val="28"/>
        </w:rPr>
        <w:t xml:space="preserve">ЭНЕРГЕТИЧЕСКОМ СЕКТОРЕ РОССИИ НА СОВРЕМЕННОМ </w:t>
      </w:r>
    </w:p>
    <w:p w:rsidR="0052701D" w:rsidRDefault="00D40929">
      <w:r>
        <w:rPr>
          <w:rFonts w:ascii="Times New Roman" w:eastAsia="Times New Roman" w:hAnsi="Times New Roman" w:cs="Times New Roman"/>
          <w:sz w:val="28"/>
        </w:rPr>
        <w:t xml:space="preserve">ЭТАПЕ </w:t>
      </w:r>
    </w:p>
    <w:p w:rsidR="0052701D" w:rsidRDefault="00D40929">
      <w:r>
        <w:rPr>
          <w:rFonts w:ascii="Times New Roman" w:eastAsia="Times New Roman" w:hAnsi="Times New Roman" w:cs="Times New Roman"/>
          <w:sz w:val="28"/>
        </w:rPr>
        <w:t xml:space="preserve">Яковлева А.Э., Казнова Д.Д., Хусаинова Е.А. </w:t>
      </w:r>
    </w:p>
    <w:p w:rsidR="0052701D" w:rsidRDefault="00D40929">
      <w:pPr>
        <w:tabs>
          <w:tab w:val="center" w:pos="9218"/>
        </w:tabs>
      </w:pPr>
      <w:r>
        <w:rPr>
          <w:rFonts w:ascii="Times New Roman" w:eastAsia="Times New Roman" w:hAnsi="Times New Roman" w:cs="Times New Roman"/>
          <w:sz w:val="28"/>
        </w:rPr>
        <w:t xml:space="preserve">ОСОБЕННОСТИ ЭКОЛОГО-ЭНЕРГЕТИЧЕСКОЙ ПОЛИТИКИ </w:t>
      </w:r>
      <w:r>
        <w:rPr>
          <w:rFonts w:ascii="Times New Roman" w:eastAsia="Times New Roman" w:hAnsi="Times New Roman" w:cs="Times New Roman"/>
          <w:sz w:val="28"/>
        </w:rPr>
        <w:tab/>
        <w:t xml:space="preserve">454 </w:t>
      </w:r>
    </w:p>
    <w:p w:rsidR="0052701D" w:rsidRDefault="00D40929">
      <w:r>
        <w:rPr>
          <w:rFonts w:ascii="Times New Roman" w:eastAsia="Times New Roman" w:hAnsi="Times New Roman" w:cs="Times New Roman"/>
          <w:sz w:val="28"/>
        </w:rPr>
        <w:lastRenderedPageBreak/>
        <w:t xml:space="preserve">ТЕРРИТОРИИ </w:t>
      </w:r>
    </w:p>
    <w:p w:rsidR="0052701D" w:rsidRDefault="00D40929">
      <w:r>
        <w:rPr>
          <w:rFonts w:ascii="Times New Roman" w:eastAsia="Times New Roman" w:hAnsi="Times New Roman" w:cs="Times New Roman"/>
          <w:sz w:val="28"/>
        </w:rPr>
        <w:t xml:space="preserve">Имамеев Адель Дамирович, Галимова Эльмира Ирековна </w:t>
      </w:r>
    </w:p>
    <w:p w:rsidR="0052701D" w:rsidRDefault="00D40929">
      <w:pPr>
        <w:tabs>
          <w:tab w:val="center" w:pos="9218"/>
        </w:tabs>
      </w:pPr>
      <w:r>
        <w:rPr>
          <w:rFonts w:ascii="Times New Roman" w:eastAsia="Times New Roman" w:hAnsi="Times New Roman" w:cs="Times New Roman"/>
          <w:sz w:val="28"/>
        </w:rPr>
        <w:t xml:space="preserve">МЕТОДОЛОГИЯ ИССЛЕДОВАНИЯ ЭНЕРГЕТИЧЕСКОЙ </w:t>
      </w:r>
      <w:r>
        <w:rPr>
          <w:rFonts w:ascii="Times New Roman" w:eastAsia="Times New Roman" w:hAnsi="Times New Roman" w:cs="Times New Roman"/>
          <w:sz w:val="28"/>
        </w:rPr>
        <w:tab/>
        <w:t xml:space="preserve">457 </w:t>
      </w:r>
    </w:p>
    <w:p w:rsidR="0052701D" w:rsidRDefault="00D40929">
      <w:r>
        <w:rPr>
          <w:rFonts w:ascii="Times New Roman" w:eastAsia="Times New Roman" w:hAnsi="Times New Roman" w:cs="Times New Roman"/>
          <w:sz w:val="28"/>
        </w:rPr>
        <w:t xml:space="preserve">БЕЗОПАСНОСТИ ТЕРРИТОРИИ </w:t>
      </w:r>
    </w:p>
    <w:p w:rsidR="0052701D" w:rsidRDefault="00D40929">
      <w:r>
        <w:rPr>
          <w:rFonts w:ascii="Times New Roman" w:eastAsia="Times New Roman" w:hAnsi="Times New Roman" w:cs="Times New Roman"/>
          <w:sz w:val="28"/>
        </w:rPr>
        <w:t xml:space="preserve">Шараф Тимур Рустэмович, Салихова Регина Рафаэловна </w:t>
      </w:r>
    </w:p>
    <w:p w:rsidR="0052701D" w:rsidRDefault="00D40929">
      <w:pPr>
        <w:tabs>
          <w:tab w:val="center" w:pos="9218"/>
        </w:tabs>
        <w:spacing w:after="5" w:line="271" w:lineRule="auto"/>
      </w:pPr>
      <w:r>
        <w:rPr>
          <w:rFonts w:ascii="Times New Roman" w:eastAsia="Times New Roman" w:hAnsi="Times New Roman" w:cs="Times New Roman"/>
          <w:sz w:val="28"/>
        </w:rPr>
        <w:t xml:space="preserve">ФИНАНСОВЫЕ РЕЗУЛЬТАТЫ ПРЕДПРИЯТИЯ КАК </w:t>
      </w:r>
      <w:r>
        <w:rPr>
          <w:rFonts w:ascii="Times New Roman" w:eastAsia="Times New Roman" w:hAnsi="Times New Roman" w:cs="Times New Roman"/>
          <w:sz w:val="28"/>
        </w:rPr>
        <w:tab/>
        <w:t>460</w:t>
      </w:r>
    </w:p>
    <w:p w:rsidR="0052701D" w:rsidRDefault="00D40929">
      <w:pPr>
        <w:spacing w:after="5" w:line="271" w:lineRule="auto"/>
        <w:ind w:left="221" w:right="64"/>
        <w:jc w:val="both"/>
      </w:pPr>
      <w:r>
        <w:rPr>
          <w:rFonts w:ascii="Times New Roman" w:eastAsia="Times New Roman" w:hAnsi="Times New Roman" w:cs="Times New Roman"/>
          <w:sz w:val="28"/>
        </w:rPr>
        <w:t xml:space="preserve">ИНСТРУМЕНТ РАЗВИТИЯ </w:t>
      </w:r>
    </w:p>
    <w:p w:rsidR="0052701D" w:rsidRDefault="00D40929">
      <w:pPr>
        <w:spacing w:after="175" w:line="271" w:lineRule="auto"/>
        <w:ind w:left="221" w:right="64"/>
        <w:jc w:val="both"/>
      </w:pPr>
      <w:r>
        <w:rPr>
          <w:rFonts w:ascii="Times New Roman" w:eastAsia="Times New Roman" w:hAnsi="Times New Roman" w:cs="Times New Roman"/>
          <w:sz w:val="28"/>
        </w:rPr>
        <w:t xml:space="preserve">Мокроусов Кирилл Владимирович, Салихова Регина Рафаэловна </w:t>
      </w:r>
    </w:p>
    <w:p w:rsidR="0052701D" w:rsidRDefault="00D40929">
      <w:pPr>
        <w:tabs>
          <w:tab w:val="center" w:pos="9218"/>
        </w:tabs>
        <w:spacing w:after="5" w:line="271" w:lineRule="auto"/>
      </w:pPr>
      <w:r>
        <w:rPr>
          <w:rFonts w:ascii="Times New Roman" w:eastAsia="Times New Roman" w:hAnsi="Times New Roman" w:cs="Times New Roman"/>
          <w:sz w:val="28"/>
        </w:rPr>
        <w:t xml:space="preserve">ОСОБЕННОСТИ ЭЛЕКТРОСНАБЖЕНИЯ САДОВОДЧЕСКИХ </w:t>
      </w:r>
      <w:r>
        <w:rPr>
          <w:rFonts w:ascii="Times New Roman" w:eastAsia="Times New Roman" w:hAnsi="Times New Roman" w:cs="Times New Roman"/>
          <w:sz w:val="28"/>
        </w:rPr>
        <w:tab/>
        <w:t xml:space="preserve">463 </w:t>
      </w:r>
    </w:p>
    <w:p w:rsidR="0052701D" w:rsidRDefault="00D40929">
      <w:pPr>
        <w:spacing w:after="5" w:line="271" w:lineRule="auto"/>
        <w:ind w:left="221" w:right="64"/>
        <w:jc w:val="both"/>
      </w:pPr>
      <w:r>
        <w:rPr>
          <w:rFonts w:ascii="Times New Roman" w:eastAsia="Times New Roman" w:hAnsi="Times New Roman" w:cs="Times New Roman"/>
          <w:sz w:val="28"/>
        </w:rPr>
        <w:t xml:space="preserve">ТОВАРИЩЕСТВ </w:t>
      </w:r>
    </w:p>
    <w:p w:rsidR="0052701D" w:rsidRDefault="00D40929">
      <w:pPr>
        <w:spacing w:after="189" w:line="271" w:lineRule="auto"/>
        <w:ind w:left="221" w:right="64"/>
        <w:jc w:val="both"/>
      </w:pPr>
      <w:r>
        <w:rPr>
          <w:rFonts w:ascii="Times New Roman" w:eastAsia="Times New Roman" w:hAnsi="Times New Roman" w:cs="Times New Roman"/>
          <w:sz w:val="28"/>
        </w:rPr>
        <w:t xml:space="preserve">Шайдуллин И.И., Галимова Э.И </w:t>
      </w:r>
    </w:p>
    <w:p w:rsidR="0052701D" w:rsidRDefault="00D40929">
      <w:pPr>
        <w:tabs>
          <w:tab w:val="center" w:pos="9218"/>
        </w:tabs>
        <w:spacing w:after="5" w:line="271" w:lineRule="auto"/>
      </w:pPr>
      <w:r>
        <w:rPr>
          <w:rFonts w:ascii="Times New Roman" w:eastAsia="Times New Roman" w:hAnsi="Times New Roman" w:cs="Times New Roman"/>
          <w:sz w:val="28"/>
        </w:rPr>
        <w:t xml:space="preserve">ОГЛАВЛЕНИЕ </w:t>
      </w:r>
      <w:r>
        <w:rPr>
          <w:rFonts w:ascii="Times New Roman" w:eastAsia="Times New Roman" w:hAnsi="Times New Roman" w:cs="Times New Roman"/>
          <w:sz w:val="28"/>
        </w:rPr>
        <w:tab/>
        <w:t xml:space="preserve">467 </w:t>
      </w:r>
    </w:p>
    <w:p w:rsidR="0052701D" w:rsidRDefault="00D40929">
      <w:pPr>
        <w:spacing w:after="0"/>
        <w:ind w:left="110"/>
      </w:pPr>
      <w:r>
        <w:t xml:space="preserve"> </w:t>
      </w:r>
    </w:p>
    <w:p w:rsidR="0052701D" w:rsidRDefault="0052701D">
      <w:pPr>
        <w:sectPr w:rsidR="0052701D">
          <w:footerReference w:type="even" r:id="rId875"/>
          <w:footerReference w:type="default" r:id="rId876"/>
          <w:footerReference w:type="first" r:id="rId877"/>
          <w:footnotePr>
            <w:numRestart w:val="eachPage"/>
          </w:footnotePr>
          <w:pgSz w:w="11904" w:h="16838"/>
          <w:pgMar w:top="780" w:right="839" w:bottom="871" w:left="1306" w:header="720" w:footer="305" w:gutter="0"/>
          <w:cols w:space="720"/>
        </w:sectPr>
      </w:pPr>
    </w:p>
    <w:p w:rsidR="0052701D" w:rsidRDefault="00D40929">
      <w:pPr>
        <w:ind w:right="205"/>
        <w:jc w:val="center"/>
      </w:pPr>
      <w:r>
        <w:rPr>
          <w:rFonts w:ascii="Times New Roman" w:eastAsia="Times New Roman" w:hAnsi="Times New Roman" w:cs="Times New Roman"/>
          <w:i/>
          <w:sz w:val="28"/>
        </w:rPr>
        <w:lastRenderedPageBreak/>
        <w:t xml:space="preserve"> </w:t>
      </w:r>
    </w:p>
    <w:p w:rsidR="0052701D" w:rsidRDefault="00D40929">
      <w:pPr>
        <w:ind w:right="205"/>
        <w:jc w:val="center"/>
      </w:pPr>
      <w:r>
        <w:rPr>
          <w:rFonts w:ascii="Times New Roman" w:eastAsia="Times New Roman" w:hAnsi="Times New Roman" w:cs="Times New Roman"/>
          <w:i/>
          <w:sz w:val="28"/>
        </w:rPr>
        <w:t xml:space="preserve"> </w:t>
      </w:r>
    </w:p>
    <w:p w:rsidR="0052701D" w:rsidRDefault="00D40929">
      <w:pPr>
        <w:spacing w:after="209"/>
        <w:ind w:right="205"/>
        <w:jc w:val="center"/>
      </w:pPr>
      <w:r>
        <w:rPr>
          <w:rFonts w:ascii="Times New Roman" w:eastAsia="Times New Roman" w:hAnsi="Times New Roman" w:cs="Times New Roman"/>
          <w:i/>
          <w:sz w:val="28"/>
        </w:rPr>
        <w:t xml:space="preserve"> </w:t>
      </w:r>
    </w:p>
    <w:p w:rsidR="0052701D" w:rsidRDefault="00D40929">
      <w:pPr>
        <w:ind w:right="279"/>
        <w:jc w:val="center"/>
      </w:pPr>
      <w:r>
        <w:rPr>
          <w:rFonts w:ascii="Times New Roman" w:eastAsia="Times New Roman" w:hAnsi="Times New Roman" w:cs="Times New Roman"/>
          <w:i/>
          <w:sz w:val="28"/>
        </w:rPr>
        <w:t xml:space="preserve">Научное издание </w:t>
      </w:r>
    </w:p>
    <w:p w:rsidR="0052701D" w:rsidRDefault="00D40929">
      <w:pPr>
        <w:ind w:right="205"/>
        <w:jc w:val="center"/>
      </w:pPr>
      <w:r>
        <w:rPr>
          <w:rFonts w:ascii="Times New Roman" w:eastAsia="Times New Roman" w:hAnsi="Times New Roman" w:cs="Times New Roman"/>
          <w:i/>
          <w:sz w:val="28"/>
        </w:rPr>
        <w:t xml:space="preserve"> </w:t>
      </w:r>
    </w:p>
    <w:p w:rsidR="0052701D" w:rsidRDefault="00D40929">
      <w:pPr>
        <w:spacing w:after="199"/>
        <w:ind w:right="205"/>
        <w:jc w:val="center"/>
      </w:pPr>
      <w:r>
        <w:rPr>
          <w:rFonts w:ascii="Times New Roman" w:eastAsia="Times New Roman" w:hAnsi="Times New Roman" w:cs="Times New Roman"/>
          <w:i/>
          <w:sz w:val="28"/>
        </w:rPr>
        <w:t xml:space="preserve"> </w:t>
      </w:r>
    </w:p>
    <w:p w:rsidR="0052701D" w:rsidRDefault="00D40929">
      <w:pPr>
        <w:spacing w:after="0"/>
        <w:ind w:left="-5" w:hanging="10"/>
      </w:pPr>
      <w:r>
        <w:rPr>
          <w:rFonts w:ascii="Times New Roman" w:eastAsia="Times New Roman" w:hAnsi="Times New Roman" w:cs="Times New Roman"/>
          <w:b/>
          <w:sz w:val="32"/>
        </w:rPr>
        <w:t xml:space="preserve">ЭНЕРГЕТИКА, ИНФОКОММУНИКАЦИОННЫЕ ТЕХНОЛОГИИ И ВЫСШЕЕ ОБРАЗОВАНИЕ </w:t>
      </w:r>
    </w:p>
    <w:p w:rsidR="0052701D" w:rsidRDefault="00D40929">
      <w:pPr>
        <w:spacing w:after="0"/>
        <w:ind w:right="195"/>
        <w:jc w:val="center"/>
      </w:pPr>
      <w:r>
        <w:rPr>
          <w:rFonts w:ascii="Times New Roman" w:eastAsia="Times New Roman" w:hAnsi="Times New Roman" w:cs="Times New Roman"/>
          <w:sz w:val="32"/>
        </w:rPr>
        <w:t xml:space="preserve"> </w:t>
      </w:r>
    </w:p>
    <w:p w:rsidR="0052701D" w:rsidRDefault="00D40929">
      <w:pPr>
        <w:spacing w:after="0"/>
        <w:ind w:right="195"/>
        <w:jc w:val="center"/>
      </w:pPr>
      <w:r>
        <w:rPr>
          <w:rFonts w:ascii="Times New Roman" w:eastAsia="Times New Roman" w:hAnsi="Times New Roman" w:cs="Times New Roman"/>
          <w:sz w:val="32"/>
        </w:rPr>
        <w:t xml:space="preserve"> </w:t>
      </w:r>
    </w:p>
    <w:p w:rsidR="0052701D" w:rsidRDefault="00D40929">
      <w:pPr>
        <w:spacing w:after="51" w:line="271" w:lineRule="auto"/>
        <w:ind w:left="557" w:right="64"/>
        <w:jc w:val="both"/>
      </w:pPr>
      <w:r>
        <w:rPr>
          <w:rFonts w:ascii="Times New Roman" w:eastAsia="Times New Roman" w:hAnsi="Times New Roman" w:cs="Times New Roman"/>
          <w:sz w:val="28"/>
        </w:rPr>
        <w:t xml:space="preserve">Международная научно-техническая конференция </w:t>
      </w:r>
    </w:p>
    <w:p w:rsidR="0052701D" w:rsidRDefault="00D40929">
      <w:pPr>
        <w:spacing w:after="5" w:line="271" w:lineRule="auto"/>
        <w:ind w:left="1676" w:right="64"/>
        <w:jc w:val="both"/>
      </w:pPr>
      <w:r>
        <w:rPr>
          <w:rFonts w:ascii="Times New Roman" w:eastAsia="Times New Roman" w:hAnsi="Times New Roman" w:cs="Times New Roman"/>
          <w:sz w:val="28"/>
        </w:rPr>
        <w:t xml:space="preserve">(Алматы, 20-21 октября 2022 г.) </w:t>
      </w:r>
    </w:p>
    <w:p w:rsidR="0052701D" w:rsidRDefault="00D40929">
      <w:pPr>
        <w:spacing w:after="66"/>
        <w:ind w:right="205"/>
        <w:jc w:val="center"/>
      </w:pPr>
      <w:r>
        <w:rPr>
          <w:rFonts w:ascii="Times New Roman" w:eastAsia="Times New Roman" w:hAnsi="Times New Roman" w:cs="Times New Roman"/>
          <w:sz w:val="28"/>
        </w:rPr>
        <w:t xml:space="preserve"> </w:t>
      </w:r>
    </w:p>
    <w:p w:rsidR="0052701D" w:rsidRDefault="00D40929">
      <w:pPr>
        <w:spacing w:after="49" w:line="271" w:lineRule="auto"/>
        <w:ind w:left="82" w:right="64"/>
        <w:jc w:val="both"/>
      </w:pPr>
      <w:r>
        <w:rPr>
          <w:rFonts w:ascii="Times New Roman" w:eastAsia="Times New Roman" w:hAnsi="Times New Roman" w:cs="Times New Roman"/>
          <w:sz w:val="28"/>
        </w:rPr>
        <w:t xml:space="preserve">Электронный сборник статей по материалам конференции </w:t>
      </w:r>
    </w:p>
    <w:p w:rsidR="0052701D" w:rsidRDefault="00D40929">
      <w:pPr>
        <w:spacing w:after="14" w:line="249" w:lineRule="auto"/>
        <w:ind w:left="954" w:right="1220" w:hanging="10"/>
        <w:jc w:val="center"/>
      </w:pPr>
      <w:r>
        <w:rPr>
          <w:rFonts w:ascii="Times New Roman" w:eastAsia="Times New Roman" w:hAnsi="Times New Roman" w:cs="Times New Roman"/>
          <w:sz w:val="28"/>
        </w:rPr>
        <w:t xml:space="preserve">В </w:t>
      </w:r>
      <w:r>
        <w:rPr>
          <w:rFonts w:ascii="Times New Roman" w:eastAsia="Times New Roman" w:hAnsi="Times New Roman" w:cs="Times New Roman"/>
          <w:sz w:val="28"/>
        </w:rPr>
        <w:t xml:space="preserve">трех томах </w:t>
      </w:r>
    </w:p>
    <w:p w:rsidR="0052701D" w:rsidRDefault="00D40929">
      <w:pPr>
        <w:spacing w:after="52"/>
        <w:ind w:right="205"/>
        <w:jc w:val="center"/>
      </w:pPr>
      <w:r>
        <w:rPr>
          <w:rFonts w:ascii="Times New Roman" w:eastAsia="Times New Roman" w:hAnsi="Times New Roman" w:cs="Times New Roman"/>
          <w:sz w:val="28"/>
        </w:rPr>
        <w:t xml:space="preserve"> </w:t>
      </w:r>
    </w:p>
    <w:p w:rsidR="0052701D" w:rsidRDefault="00D40929">
      <w:pPr>
        <w:spacing w:after="14" w:line="249" w:lineRule="auto"/>
        <w:ind w:left="954" w:right="1214" w:hanging="10"/>
        <w:jc w:val="center"/>
      </w:pPr>
      <w:r>
        <w:rPr>
          <w:rFonts w:ascii="Times New Roman" w:eastAsia="Times New Roman" w:hAnsi="Times New Roman" w:cs="Times New Roman"/>
          <w:sz w:val="28"/>
        </w:rPr>
        <w:t xml:space="preserve">Том 3 </w:t>
      </w:r>
    </w:p>
    <w:p w:rsidR="0052701D" w:rsidRDefault="00D40929">
      <w:pPr>
        <w:spacing w:after="0"/>
        <w:ind w:right="205"/>
        <w:jc w:val="center"/>
      </w:pPr>
      <w:r>
        <w:rPr>
          <w:rFonts w:ascii="Times New Roman" w:eastAsia="Times New Roman" w:hAnsi="Times New Roman" w:cs="Times New Roman"/>
          <w:sz w:val="28"/>
        </w:rPr>
        <w:t xml:space="preserve"> </w:t>
      </w:r>
    </w:p>
    <w:p w:rsidR="0052701D" w:rsidRDefault="00D40929">
      <w:pPr>
        <w:spacing w:after="0"/>
        <w:ind w:right="205"/>
        <w:jc w:val="center"/>
      </w:pPr>
      <w:r>
        <w:rPr>
          <w:rFonts w:ascii="Times New Roman" w:eastAsia="Times New Roman" w:hAnsi="Times New Roman" w:cs="Times New Roman"/>
          <w:sz w:val="28"/>
        </w:rPr>
        <w:t xml:space="preserve"> </w:t>
      </w:r>
    </w:p>
    <w:p w:rsidR="0052701D" w:rsidRDefault="00D40929">
      <w:pPr>
        <w:spacing w:after="0"/>
        <w:ind w:right="205"/>
        <w:jc w:val="center"/>
      </w:pPr>
      <w:r>
        <w:rPr>
          <w:rFonts w:ascii="Times New Roman" w:eastAsia="Times New Roman" w:hAnsi="Times New Roman" w:cs="Times New Roman"/>
          <w:sz w:val="28"/>
        </w:rPr>
        <w:t xml:space="preserve"> </w:t>
      </w:r>
    </w:p>
    <w:p w:rsidR="0052701D" w:rsidRDefault="00D40929">
      <w:pPr>
        <w:spacing w:after="0"/>
        <w:ind w:right="205"/>
        <w:jc w:val="center"/>
      </w:pPr>
      <w:r>
        <w:rPr>
          <w:rFonts w:ascii="Times New Roman" w:eastAsia="Times New Roman" w:hAnsi="Times New Roman" w:cs="Times New Roman"/>
          <w:sz w:val="28"/>
        </w:rPr>
        <w:t xml:space="preserve"> </w:t>
      </w:r>
    </w:p>
    <w:p w:rsidR="0052701D" w:rsidRDefault="00D40929">
      <w:pPr>
        <w:spacing w:after="0"/>
        <w:ind w:right="205"/>
        <w:jc w:val="center"/>
      </w:pPr>
      <w:r>
        <w:rPr>
          <w:rFonts w:ascii="Times New Roman" w:eastAsia="Times New Roman" w:hAnsi="Times New Roman" w:cs="Times New Roman"/>
          <w:sz w:val="28"/>
        </w:rPr>
        <w:t xml:space="preserve"> </w:t>
      </w:r>
    </w:p>
    <w:p w:rsidR="0052701D" w:rsidRDefault="00D40929">
      <w:pPr>
        <w:spacing w:after="65"/>
        <w:ind w:right="205"/>
        <w:jc w:val="center"/>
      </w:pPr>
      <w:r>
        <w:rPr>
          <w:rFonts w:ascii="Times New Roman" w:eastAsia="Times New Roman" w:hAnsi="Times New Roman" w:cs="Times New Roman"/>
          <w:sz w:val="28"/>
        </w:rPr>
        <w:t xml:space="preserve"> </w:t>
      </w:r>
    </w:p>
    <w:p w:rsidR="0052701D" w:rsidRDefault="00D40929">
      <w:pPr>
        <w:spacing w:after="78" w:line="249" w:lineRule="auto"/>
        <w:ind w:left="954" w:right="1224" w:hanging="10"/>
        <w:jc w:val="center"/>
      </w:pPr>
      <w:r>
        <w:rPr>
          <w:rFonts w:ascii="Times New Roman" w:eastAsia="Times New Roman" w:hAnsi="Times New Roman" w:cs="Times New Roman"/>
          <w:sz w:val="28"/>
        </w:rPr>
        <w:t xml:space="preserve">Корректор Р.С. Зарипова </w:t>
      </w:r>
    </w:p>
    <w:p w:rsidR="0052701D" w:rsidRDefault="00D40929">
      <w:pPr>
        <w:spacing w:after="5" w:line="271" w:lineRule="auto"/>
        <w:ind w:left="1350" w:right="64"/>
        <w:jc w:val="both"/>
      </w:pPr>
      <w:r>
        <w:rPr>
          <w:rFonts w:ascii="Times New Roman" w:eastAsia="Times New Roman" w:hAnsi="Times New Roman" w:cs="Times New Roman"/>
          <w:sz w:val="28"/>
        </w:rPr>
        <w:t xml:space="preserve">Компьютерная верстка Р.С. Зарипова </w:t>
      </w:r>
    </w:p>
    <w:p w:rsidR="0052701D" w:rsidRDefault="00D40929">
      <w:pPr>
        <w:spacing w:after="12"/>
        <w:ind w:right="205"/>
        <w:jc w:val="center"/>
      </w:pPr>
      <w:r>
        <w:rPr>
          <w:rFonts w:ascii="Times New Roman" w:eastAsia="Times New Roman" w:hAnsi="Times New Roman" w:cs="Times New Roman"/>
          <w:sz w:val="28"/>
        </w:rPr>
        <w:t xml:space="preserve"> </w:t>
      </w:r>
    </w:p>
    <w:p w:rsidR="0052701D" w:rsidRDefault="00D40929">
      <w:pPr>
        <w:spacing w:after="66"/>
        <w:ind w:right="205"/>
        <w:jc w:val="center"/>
      </w:pPr>
      <w:r>
        <w:rPr>
          <w:rFonts w:ascii="Times New Roman" w:eastAsia="Times New Roman" w:hAnsi="Times New Roman" w:cs="Times New Roman"/>
          <w:sz w:val="28"/>
        </w:rPr>
        <w:t xml:space="preserve"> </w:t>
      </w:r>
    </w:p>
    <w:p w:rsidR="0052701D" w:rsidRDefault="00D40929">
      <w:pPr>
        <w:spacing w:after="53" w:line="271" w:lineRule="auto"/>
        <w:ind w:left="1066" w:right="64"/>
        <w:jc w:val="both"/>
      </w:pPr>
      <w:r>
        <w:rPr>
          <w:rFonts w:ascii="Times New Roman" w:eastAsia="Times New Roman" w:hAnsi="Times New Roman" w:cs="Times New Roman"/>
          <w:sz w:val="28"/>
        </w:rPr>
        <w:t xml:space="preserve">Центр публикационной активности КГЭУ </w:t>
      </w:r>
    </w:p>
    <w:p w:rsidR="0052701D" w:rsidRDefault="00D40929">
      <w:pPr>
        <w:spacing w:after="5" w:line="271" w:lineRule="auto"/>
        <w:ind w:left="1124" w:right="64"/>
        <w:jc w:val="both"/>
      </w:pPr>
      <w:r>
        <w:rPr>
          <w:rFonts w:ascii="Times New Roman" w:eastAsia="Times New Roman" w:hAnsi="Times New Roman" w:cs="Times New Roman"/>
          <w:sz w:val="28"/>
        </w:rPr>
        <w:t xml:space="preserve">420066, г. Казань, ул. Красносельская, 51 </w:t>
      </w:r>
    </w:p>
    <w:p w:rsidR="0052701D" w:rsidRDefault="00D40929">
      <w:pPr>
        <w:spacing w:after="198"/>
        <w:ind w:right="220"/>
        <w:jc w:val="center"/>
      </w:pPr>
      <w:r>
        <w:rPr>
          <w:rFonts w:ascii="Times New Roman" w:eastAsia="Times New Roman" w:hAnsi="Times New Roman" w:cs="Times New Roman"/>
        </w:rPr>
        <w:t xml:space="preserve"> </w:t>
      </w:r>
    </w:p>
    <w:p w:rsidR="0052701D" w:rsidRDefault="00D40929">
      <w:pPr>
        <w:spacing w:after="0"/>
        <w:ind w:right="203"/>
        <w:jc w:val="center"/>
      </w:pPr>
      <w:r>
        <w:rPr>
          <w:noProof/>
        </w:rPr>
        <w:lastRenderedPageBreak/>
        <w:drawing>
          <wp:inline distT="0" distB="0" distL="0" distR="0">
            <wp:extent cx="2334768" cy="1856232"/>
            <wp:effectExtent l="0" t="0" r="0" b="0"/>
            <wp:docPr id="184487" name="Picture 184487"/>
            <wp:cNvGraphicFramePr/>
            <a:graphic xmlns:a="http://schemas.openxmlformats.org/drawingml/2006/main">
              <a:graphicData uri="http://schemas.openxmlformats.org/drawingml/2006/picture">
                <pic:pic xmlns:pic="http://schemas.openxmlformats.org/drawingml/2006/picture">
                  <pic:nvPicPr>
                    <pic:cNvPr id="184487" name="Picture 184487"/>
                    <pic:cNvPicPr/>
                  </pic:nvPicPr>
                  <pic:blipFill>
                    <a:blip r:embed="rId878"/>
                    <a:stretch>
                      <a:fillRect/>
                    </a:stretch>
                  </pic:blipFill>
                  <pic:spPr>
                    <a:xfrm>
                      <a:off x="0" y="0"/>
                      <a:ext cx="2334768" cy="1856232"/>
                    </a:xfrm>
                    <a:prstGeom prst="rect">
                      <a:avLst/>
                    </a:prstGeom>
                  </pic:spPr>
                </pic:pic>
              </a:graphicData>
            </a:graphic>
          </wp:inline>
        </w:drawing>
      </w:r>
      <w:r>
        <w:rPr>
          <w:rFonts w:ascii="Times New Roman" w:eastAsia="Times New Roman" w:hAnsi="Times New Roman" w:cs="Times New Roman"/>
          <w:sz w:val="28"/>
        </w:rPr>
        <w:t xml:space="preserve"> </w:t>
      </w:r>
    </w:p>
    <w:sectPr w:rsidR="0052701D">
      <w:footerReference w:type="even" r:id="rId879"/>
      <w:footerReference w:type="default" r:id="rId880"/>
      <w:footerReference w:type="first" r:id="rId881"/>
      <w:footnotePr>
        <w:numRestart w:val="eachPage"/>
      </w:footnotePr>
      <w:pgSz w:w="11904" w:h="16838"/>
      <w:pgMar w:top="1440" w:right="1664" w:bottom="1258" w:left="279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40929" w:rsidRDefault="00D40929">
      <w:pPr>
        <w:spacing w:after="0" w:line="240" w:lineRule="auto"/>
      </w:pPr>
      <w:r>
        <w:separator/>
      </w:r>
    </w:p>
  </w:endnote>
  <w:endnote w:type="continuationSeparator" w:id="0">
    <w:p w:rsidR="00D40929" w:rsidRDefault="00D409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CC"/>
    <w:family w:val="swiss"/>
    <w:pitch w:val="variable"/>
    <w:sig w:usb0="E4002EFF" w:usb1="C0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Consolas">
    <w:panose1 w:val="020B0609020204030204"/>
    <w:charset w:val="CC"/>
    <w:family w:val="modern"/>
    <w:pitch w:val="fixed"/>
    <w:sig w:usb0="E00006FF" w:usb1="0000FCFF" w:usb2="00000001" w:usb3="00000000" w:csb0="0000019F" w:csb1="00000000"/>
  </w:font>
  <w:font w:name="Courier New">
    <w:panose1 w:val="02070309020205020404"/>
    <w:charset w:val="CC"/>
    <w:family w:val="modern"/>
    <w:pitch w:val="fixed"/>
    <w:sig w:usb0="E0002EFF" w:usb1="C0007843"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1D" w:rsidRDefault="0052701D"/>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1D" w:rsidRDefault="00D40929">
    <w:pPr>
      <w:spacing w:after="0"/>
      <w:ind w:right="5"/>
      <w:jc w:val="right"/>
    </w:pPr>
    <w:r>
      <w:rPr>
        <w:rFonts w:ascii="Times New Roman" w:eastAsia="Times New Roman" w:hAnsi="Times New Roman" w:cs="Times New Roman"/>
        <w:sz w:val="28"/>
      </w:rPr>
      <w:t xml:space="preserve"> </w:t>
    </w:r>
  </w:p>
  <w:p w:rsidR="0052701D" w:rsidRDefault="00D40929">
    <w:pPr>
      <w:spacing w:after="0"/>
      <w:ind w:right="5"/>
      <w:jc w:val="right"/>
    </w:pPr>
    <w:r>
      <w:rPr>
        <w:rFonts w:ascii="Times New Roman" w:eastAsia="Times New Roman" w:hAnsi="Times New Roman" w:cs="Times New Roman"/>
        <w:sz w:val="28"/>
      </w:rPr>
      <w:t xml:space="preserve"> </w:t>
    </w:r>
  </w:p>
  <w:p w:rsidR="0052701D" w:rsidRDefault="00D40929">
    <w:pPr>
      <w:spacing w:after="0"/>
      <w:ind w:right="5"/>
      <w:jc w:val="right"/>
    </w:pPr>
    <w:r>
      <w:rPr>
        <w:rFonts w:ascii="Times New Roman" w:eastAsia="Times New Roman" w:hAnsi="Times New Roman" w:cs="Times New Roman"/>
        <w:sz w:val="28"/>
      </w:rPr>
      <w:t xml:space="preserve"> </w:t>
    </w:r>
  </w:p>
  <w:p w:rsidR="0052701D" w:rsidRDefault="00D40929">
    <w:pPr>
      <w:spacing w:after="16"/>
      <w:ind w:right="5"/>
      <w:jc w:val="right"/>
    </w:pPr>
    <w:r>
      <w:rPr>
        <w:rFonts w:ascii="Times New Roman" w:eastAsia="Times New Roman" w:hAnsi="Times New Roman" w:cs="Times New Roman"/>
        <w:sz w:val="28"/>
      </w:rPr>
      <w:t xml:space="preserve"> </w:t>
    </w:r>
  </w:p>
  <w:p w:rsidR="0052701D" w:rsidRDefault="00D40929">
    <w:pPr>
      <w:spacing w:after="117"/>
      <w:ind w:right="25"/>
      <w:jc w:val="center"/>
    </w:pPr>
    <w:r>
      <w:t xml:space="preserve"> </w:t>
    </w:r>
  </w:p>
  <w:p w:rsidR="0052701D" w:rsidRDefault="00D40929">
    <w:pPr>
      <w:spacing w:after="0"/>
      <w:ind w:right="641"/>
      <w:jc w:val="center"/>
    </w:pPr>
    <w:r>
      <w:fldChar w:fldCharType="begin"/>
    </w:r>
    <w:r>
      <w:instrText xml:space="preserve"> PAGE   \* MERGEFORMAT </w:instrText>
    </w:r>
    <w:r>
      <w:fldChar w:fldCharType="separate"/>
    </w:r>
    <w:r w:rsidR="00DF7EF4" w:rsidRPr="00DF7EF4">
      <w:rPr>
        <w:rFonts w:ascii="Arial" w:eastAsia="Arial" w:hAnsi="Arial" w:cs="Arial"/>
        <w:noProof/>
        <w:sz w:val="26"/>
      </w:rPr>
      <w:t>382</w:t>
    </w:r>
    <w:r>
      <w:rPr>
        <w:rFonts w:ascii="Arial" w:eastAsia="Arial" w:hAnsi="Arial" w:cs="Arial"/>
        <w:sz w:val="26"/>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1D" w:rsidRDefault="00D40929">
    <w:pPr>
      <w:spacing w:after="117"/>
      <w:ind w:right="25"/>
      <w:jc w:val="center"/>
    </w:pPr>
    <w:r>
      <w:t xml:space="preserve"> </w:t>
    </w:r>
  </w:p>
  <w:p w:rsidR="0052701D" w:rsidRDefault="00D40929">
    <w:pPr>
      <w:spacing w:after="0"/>
      <w:ind w:right="641"/>
      <w:jc w:val="center"/>
    </w:pPr>
    <w:r>
      <w:fldChar w:fldCharType="begin"/>
    </w:r>
    <w:r>
      <w:instrText xml:space="preserve"> PAGE   \* MERGEFORMAT </w:instrText>
    </w:r>
    <w:r>
      <w:fldChar w:fldCharType="separate"/>
    </w:r>
    <w:r w:rsidR="00DF7EF4" w:rsidRPr="00DF7EF4">
      <w:rPr>
        <w:rFonts w:ascii="Arial" w:eastAsia="Arial" w:hAnsi="Arial" w:cs="Arial"/>
        <w:noProof/>
        <w:sz w:val="26"/>
      </w:rPr>
      <w:t>381</w:t>
    </w:r>
    <w:r>
      <w:rPr>
        <w:rFonts w:ascii="Arial" w:eastAsia="Arial" w:hAnsi="Arial" w:cs="Arial"/>
        <w:sz w:val="26"/>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1D" w:rsidRDefault="00D40929">
    <w:pPr>
      <w:spacing w:after="117"/>
      <w:ind w:right="25"/>
      <w:jc w:val="center"/>
    </w:pPr>
    <w:r>
      <w:t xml:space="preserve"> </w:t>
    </w:r>
  </w:p>
  <w:p w:rsidR="0052701D" w:rsidRDefault="00D40929">
    <w:pPr>
      <w:spacing w:after="0"/>
      <w:ind w:right="641"/>
      <w:jc w:val="center"/>
    </w:pPr>
    <w:r>
      <w:fldChar w:fldCharType="begin"/>
    </w:r>
    <w:r>
      <w:instrText xml:space="preserve"> PAGE   \* MERGEFORMAT </w:instrText>
    </w:r>
    <w:r>
      <w:fldChar w:fldCharType="separate"/>
    </w:r>
    <w:r w:rsidR="00DF7EF4" w:rsidRPr="00DF7EF4">
      <w:rPr>
        <w:rFonts w:ascii="Arial" w:eastAsia="Arial" w:hAnsi="Arial" w:cs="Arial"/>
        <w:noProof/>
        <w:sz w:val="26"/>
      </w:rPr>
      <w:t>213</w:t>
    </w:r>
    <w:r>
      <w:rPr>
        <w:rFonts w:ascii="Arial" w:eastAsia="Arial" w:hAnsi="Arial" w:cs="Arial"/>
        <w:sz w:val="26"/>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1D" w:rsidRDefault="00D40929">
    <w:pPr>
      <w:spacing w:after="0"/>
      <w:ind w:right="339"/>
      <w:jc w:val="center"/>
    </w:pPr>
    <w:r>
      <w:fldChar w:fldCharType="begin"/>
    </w:r>
    <w:r>
      <w:instrText xml:space="preserve"> PAGE   \* MERGEFORMAT </w:instrText>
    </w:r>
    <w:r>
      <w:fldChar w:fldCharType="separate"/>
    </w:r>
    <w:r w:rsidR="00DF7EF4" w:rsidRPr="00DF7EF4">
      <w:rPr>
        <w:rFonts w:ascii="Arial" w:eastAsia="Arial" w:hAnsi="Arial" w:cs="Arial"/>
        <w:noProof/>
        <w:sz w:val="26"/>
      </w:rPr>
      <w:t>394</w:t>
    </w:r>
    <w:r>
      <w:rPr>
        <w:rFonts w:ascii="Arial" w:eastAsia="Arial" w:hAnsi="Arial" w:cs="Arial"/>
        <w:sz w:val="26"/>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1D" w:rsidRDefault="00D40929">
    <w:pPr>
      <w:spacing w:after="0"/>
      <w:ind w:right="339"/>
      <w:jc w:val="center"/>
    </w:pPr>
    <w:r>
      <w:fldChar w:fldCharType="begin"/>
    </w:r>
    <w:r>
      <w:instrText xml:space="preserve"> PAGE   \* MERGEFORMAT </w:instrText>
    </w:r>
    <w:r>
      <w:fldChar w:fldCharType="separate"/>
    </w:r>
    <w:r w:rsidR="00DF7EF4" w:rsidRPr="00DF7EF4">
      <w:rPr>
        <w:rFonts w:ascii="Arial" w:eastAsia="Arial" w:hAnsi="Arial" w:cs="Arial"/>
        <w:noProof/>
        <w:sz w:val="26"/>
      </w:rPr>
      <w:t>395</w:t>
    </w:r>
    <w:r>
      <w:rPr>
        <w:rFonts w:ascii="Arial" w:eastAsia="Arial" w:hAnsi="Arial" w:cs="Arial"/>
        <w:sz w:val="26"/>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1D" w:rsidRDefault="00D40929">
    <w:pPr>
      <w:spacing w:after="0"/>
      <w:ind w:right="339"/>
      <w:jc w:val="center"/>
    </w:pPr>
    <w:r>
      <w:fldChar w:fldCharType="begin"/>
    </w:r>
    <w:r>
      <w:instrText xml:space="preserve"> PAGE   \* MERGEFORMAT </w:instrText>
    </w:r>
    <w:r>
      <w:fldChar w:fldCharType="separate"/>
    </w:r>
    <w:r>
      <w:rPr>
        <w:rFonts w:ascii="Arial" w:eastAsia="Arial" w:hAnsi="Arial" w:cs="Arial"/>
        <w:sz w:val="26"/>
      </w:rPr>
      <w:t>3</w:t>
    </w:r>
    <w:r>
      <w:rPr>
        <w:rFonts w:ascii="Arial" w:eastAsia="Arial" w:hAnsi="Arial" w:cs="Arial"/>
        <w:sz w:val="26"/>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1D" w:rsidRDefault="00D40929">
    <w:pPr>
      <w:spacing w:after="0"/>
      <w:ind w:right="681"/>
      <w:jc w:val="center"/>
    </w:pPr>
    <w:r>
      <w:fldChar w:fldCharType="begin"/>
    </w:r>
    <w:r>
      <w:instrText xml:space="preserve"> PAGE   \* MERGEFORMAT </w:instrText>
    </w:r>
    <w:r>
      <w:fldChar w:fldCharType="separate"/>
    </w:r>
    <w:r w:rsidR="00DF7EF4" w:rsidRPr="00DF7EF4">
      <w:rPr>
        <w:rFonts w:ascii="Arial" w:eastAsia="Arial" w:hAnsi="Arial" w:cs="Arial"/>
        <w:noProof/>
        <w:sz w:val="26"/>
      </w:rPr>
      <w:t>400</w:t>
    </w:r>
    <w:r>
      <w:rPr>
        <w:rFonts w:ascii="Arial" w:eastAsia="Arial" w:hAnsi="Arial" w:cs="Arial"/>
        <w:sz w:val="26"/>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1D" w:rsidRDefault="00D40929">
    <w:pPr>
      <w:spacing w:after="0"/>
      <w:ind w:right="681"/>
      <w:jc w:val="center"/>
    </w:pPr>
    <w:r>
      <w:fldChar w:fldCharType="begin"/>
    </w:r>
    <w:r>
      <w:instrText xml:space="preserve"> PAGE   \* MERGEFORMAT </w:instrText>
    </w:r>
    <w:r>
      <w:fldChar w:fldCharType="separate"/>
    </w:r>
    <w:r w:rsidR="00DF7EF4" w:rsidRPr="00DF7EF4">
      <w:rPr>
        <w:rFonts w:ascii="Arial" w:eastAsia="Arial" w:hAnsi="Arial" w:cs="Arial"/>
        <w:noProof/>
        <w:sz w:val="26"/>
      </w:rPr>
      <w:t>401</w:t>
    </w:r>
    <w:r>
      <w:rPr>
        <w:rFonts w:ascii="Arial" w:eastAsia="Arial" w:hAnsi="Arial" w:cs="Arial"/>
        <w:sz w:val="26"/>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1D" w:rsidRDefault="00D40929">
    <w:pPr>
      <w:spacing w:after="0"/>
      <w:ind w:right="681"/>
      <w:jc w:val="center"/>
    </w:pPr>
    <w:r>
      <w:fldChar w:fldCharType="begin"/>
    </w:r>
    <w:r>
      <w:instrText xml:space="preserve"> PAGE   \* MERGEFORMAT </w:instrText>
    </w:r>
    <w:r>
      <w:fldChar w:fldCharType="separate"/>
    </w:r>
    <w:r>
      <w:rPr>
        <w:rFonts w:ascii="Arial" w:eastAsia="Arial" w:hAnsi="Arial" w:cs="Arial"/>
        <w:sz w:val="26"/>
      </w:rPr>
      <w:t>3</w:t>
    </w:r>
    <w:r>
      <w:rPr>
        <w:rFonts w:ascii="Arial" w:eastAsia="Arial" w:hAnsi="Arial" w:cs="Arial"/>
        <w:sz w:val="26"/>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1D" w:rsidRDefault="00D40929">
    <w:pPr>
      <w:spacing w:after="108"/>
    </w:pPr>
    <w:r>
      <w:rPr>
        <w:rFonts w:ascii="Times New Roman" w:eastAsia="Times New Roman" w:hAnsi="Times New Roman" w:cs="Times New Roman"/>
        <w:sz w:val="24"/>
      </w:rPr>
      <w:t xml:space="preserve"> </w:t>
    </w:r>
  </w:p>
  <w:p w:rsidR="0052701D" w:rsidRDefault="00D40929">
    <w:pPr>
      <w:spacing w:after="0"/>
      <w:ind w:right="626"/>
      <w:jc w:val="center"/>
    </w:pPr>
    <w:r>
      <w:fldChar w:fldCharType="begin"/>
    </w:r>
    <w:r>
      <w:instrText xml:space="preserve"> PAGE   \* MERGEFORMAT </w:instrText>
    </w:r>
    <w:r>
      <w:fldChar w:fldCharType="separate"/>
    </w:r>
    <w:r w:rsidR="00DF7EF4" w:rsidRPr="00DF7EF4">
      <w:rPr>
        <w:rFonts w:ascii="Arial" w:eastAsia="Arial" w:hAnsi="Arial" w:cs="Arial"/>
        <w:noProof/>
        <w:sz w:val="26"/>
      </w:rPr>
      <w:t>410</w:t>
    </w:r>
    <w:r>
      <w:rPr>
        <w:rFonts w:ascii="Arial" w:eastAsia="Arial" w:hAnsi="Arial" w:cs="Arial"/>
        <w:sz w:val="2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1D" w:rsidRDefault="0052701D"/>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1D" w:rsidRDefault="00D40929">
    <w:pPr>
      <w:spacing w:after="108"/>
    </w:pPr>
    <w:r>
      <w:rPr>
        <w:rFonts w:ascii="Times New Roman" w:eastAsia="Times New Roman" w:hAnsi="Times New Roman" w:cs="Times New Roman"/>
        <w:sz w:val="24"/>
      </w:rPr>
      <w:t xml:space="preserve"> </w:t>
    </w:r>
  </w:p>
  <w:p w:rsidR="0052701D" w:rsidRDefault="00D40929">
    <w:pPr>
      <w:spacing w:after="0"/>
      <w:ind w:right="626"/>
      <w:jc w:val="center"/>
    </w:pPr>
    <w:r>
      <w:fldChar w:fldCharType="begin"/>
    </w:r>
    <w:r>
      <w:instrText xml:space="preserve"> PAGE   \* MERGEFORMAT </w:instrText>
    </w:r>
    <w:r>
      <w:fldChar w:fldCharType="separate"/>
    </w:r>
    <w:r w:rsidR="00DF7EF4" w:rsidRPr="00DF7EF4">
      <w:rPr>
        <w:rFonts w:ascii="Arial" w:eastAsia="Arial" w:hAnsi="Arial" w:cs="Arial"/>
        <w:noProof/>
        <w:sz w:val="26"/>
      </w:rPr>
      <w:t>409</w:t>
    </w:r>
    <w:r>
      <w:rPr>
        <w:rFonts w:ascii="Arial" w:eastAsia="Arial" w:hAnsi="Arial" w:cs="Arial"/>
        <w:sz w:val="26"/>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1D" w:rsidRDefault="00D40929">
    <w:pPr>
      <w:spacing w:after="108"/>
    </w:pPr>
    <w:r>
      <w:rPr>
        <w:rFonts w:ascii="Times New Roman" w:eastAsia="Times New Roman" w:hAnsi="Times New Roman" w:cs="Times New Roman"/>
        <w:sz w:val="24"/>
      </w:rPr>
      <w:t xml:space="preserve"> </w:t>
    </w:r>
  </w:p>
  <w:p w:rsidR="0052701D" w:rsidRDefault="00D40929">
    <w:pPr>
      <w:spacing w:after="0"/>
      <w:ind w:right="626"/>
      <w:jc w:val="center"/>
    </w:pPr>
    <w:r>
      <w:fldChar w:fldCharType="begin"/>
    </w:r>
    <w:r>
      <w:instrText xml:space="preserve"> PAGE   \* MERGEFORMAT </w:instrText>
    </w:r>
    <w:r>
      <w:fldChar w:fldCharType="separate"/>
    </w:r>
    <w:r>
      <w:rPr>
        <w:rFonts w:ascii="Arial" w:eastAsia="Arial" w:hAnsi="Arial" w:cs="Arial"/>
        <w:sz w:val="26"/>
      </w:rPr>
      <w:t>355</w:t>
    </w:r>
    <w:r>
      <w:rPr>
        <w:rFonts w:ascii="Arial" w:eastAsia="Arial" w:hAnsi="Arial" w:cs="Arial"/>
        <w:sz w:val="26"/>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1D" w:rsidRDefault="00D40929">
    <w:pPr>
      <w:spacing w:after="0"/>
      <w:ind w:right="571"/>
      <w:jc w:val="center"/>
    </w:pPr>
    <w:r>
      <w:fldChar w:fldCharType="begin"/>
    </w:r>
    <w:r>
      <w:instrText xml:space="preserve"> PAGE   \* MERGEFORMAT </w:instrText>
    </w:r>
    <w:r>
      <w:fldChar w:fldCharType="separate"/>
    </w:r>
    <w:r w:rsidR="00DF7EF4" w:rsidRPr="00DF7EF4">
      <w:rPr>
        <w:rFonts w:ascii="Arial" w:eastAsia="Arial" w:hAnsi="Arial" w:cs="Arial"/>
        <w:noProof/>
        <w:sz w:val="26"/>
      </w:rPr>
      <w:t>418</w:t>
    </w:r>
    <w:r>
      <w:rPr>
        <w:rFonts w:ascii="Arial" w:eastAsia="Arial" w:hAnsi="Arial" w:cs="Arial"/>
        <w:sz w:val="26"/>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1D" w:rsidRDefault="00D40929">
    <w:pPr>
      <w:spacing w:after="0"/>
      <w:ind w:right="571"/>
      <w:jc w:val="center"/>
    </w:pPr>
    <w:r>
      <w:fldChar w:fldCharType="begin"/>
    </w:r>
    <w:r>
      <w:instrText xml:space="preserve"> PAGE   \* MERGEFORMAT </w:instrText>
    </w:r>
    <w:r>
      <w:fldChar w:fldCharType="separate"/>
    </w:r>
    <w:r w:rsidR="00DF7EF4" w:rsidRPr="00DF7EF4">
      <w:rPr>
        <w:rFonts w:ascii="Arial" w:eastAsia="Arial" w:hAnsi="Arial" w:cs="Arial"/>
        <w:noProof/>
        <w:sz w:val="26"/>
      </w:rPr>
      <w:t>419</w:t>
    </w:r>
    <w:r>
      <w:rPr>
        <w:rFonts w:ascii="Arial" w:eastAsia="Arial" w:hAnsi="Arial" w:cs="Arial"/>
        <w:sz w:val="26"/>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1D" w:rsidRDefault="00D40929">
    <w:pPr>
      <w:spacing w:after="0"/>
      <w:ind w:right="571"/>
      <w:jc w:val="center"/>
    </w:pPr>
    <w:r>
      <w:fldChar w:fldCharType="begin"/>
    </w:r>
    <w:r>
      <w:instrText xml:space="preserve"> PAGE   \* MERGEFORMAT </w:instrText>
    </w:r>
    <w:r>
      <w:fldChar w:fldCharType="separate"/>
    </w:r>
    <w:r>
      <w:rPr>
        <w:rFonts w:ascii="Arial" w:eastAsia="Arial" w:hAnsi="Arial" w:cs="Arial"/>
        <w:sz w:val="26"/>
      </w:rPr>
      <w:t>3</w:t>
    </w:r>
    <w:r>
      <w:rPr>
        <w:rFonts w:ascii="Arial" w:eastAsia="Arial" w:hAnsi="Arial" w:cs="Arial"/>
        <w:sz w:val="26"/>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1D" w:rsidRDefault="00D40929">
    <w:pPr>
      <w:spacing w:after="0"/>
      <w:ind w:left="53"/>
      <w:jc w:val="center"/>
    </w:pPr>
    <w:r>
      <w:rPr>
        <w:rFonts w:ascii="Times New Roman" w:eastAsia="Times New Roman" w:hAnsi="Times New Roman" w:cs="Times New Roman"/>
        <w:sz w:val="24"/>
      </w:rPr>
      <w:t xml:space="preserve"> </w:t>
    </w:r>
  </w:p>
  <w:p w:rsidR="0052701D" w:rsidRDefault="00D40929">
    <w:pPr>
      <w:spacing w:after="0"/>
      <w:ind w:right="857"/>
      <w:jc w:val="center"/>
    </w:pPr>
    <w:r>
      <w:fldChar w:fldCharType="begin"/>
    </w:r>
    <w:r>
      <w:instrText xml:space="preserve"> PAGE   \* MERGEFORMAT </w:instrText>
    </w:r>
    <w:r>
      <w:fldChar w:fldCharType="separate"/>
    </w:r>
    <w:r w:rsidR="00DF7EF4" w:rsidRPr="00DF7EF4">
      <w:rPr>
        <w:rFonts w:ascii="Arial" w:eastAsia="Arial" w:hAnsi="Arial" w:cs="Arial"/>
        <w:noProof/>
        <w:sz w:val="26"/>
      </w:rPr>
      <w:t>436</w:t>
    </w:r>
    <w:r>
      <w:rPr>
        <w:rFonts w:ascii="Arial" w:eastAsia="Arial" w:hAnsi="Arial" w:cs="Arial"/>
        <w:sz w:val="26"/>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1D" w:rsidRDefault="00D40929">
    <w:pPr>
      <w:spacing w:after="0"/>
      <w:ind w:left="53"/>
      <w:jc w:val="center"/>
    </w:pPr>
    <w:r>
      <w:rPr>
        <w:rFonts w:ascii="Times New Roman" w:eastAsia="Times New Roman" w:hAnsi="Times New Roman" w:cs="Times New Roman"/>
        <w:sz w:val="24"/>
      </w:rPr>
      <w:t xml:space="preserve"> </w:t>
    </w:r>
  </w:p>
  <w:p w:rsidR="0052701D" w:rsidRDefault="00D40929">
    <w:pPr>
      <w:spacing w:after="0"/>
      <w:ind w:right="857"/>
      <w:jc w:val="center"/>
    </w:pPr>
    <w:r>
      <w:fldChar w:fldCharType="begin"/>
    </w:r>
    <w:r>
      <w:instrText xml:space="preserve"> PAGE   \* MERGEFORMAT </w:instrText>
    </w:r>
    <w:r>
      <w:fldChar w:fldCharType="separate"/>
    </w:r>
    <w:r w:rsidR="00DF7EF4" w:rsidRPr="00DF7EF4">
      <w:rPr>
        <w:rFonts w:ascii="Arial" w:eastAsia="Arial" w:hAnsi="Arial" w:cs="Arial"/>
        <w:noProof/>
        <w:sz w:val="26"/>
      </w:rPr>
      <w:t>437</w:t>
    </w:r>
    <w:r>
      <w:rPr>
        <w:rFonts w:ascii="Arial" w:eastAsia="Arial" w:hAnsi="Arial" w:cs="Arial"/>
        <w:sz w:val="26"/>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1D" w:rsidRDefault="00D40929">
    <w:pPr>
      <w:spacing w:after="0"/>
      <w:ind w:left="53"/>
      <w:jc w:val="center"/>
    </w:pPr>
    <w:r>
      <w:rPr>
        <w:rFonts w:ascii="Times New Roman" w:eastAsia="Times New Roman" w:hAnsi="Times New Roman" w:cs="Times New Roman"/>
        <w:sz w:val="24"/>
      </w:rPr>
      <w:t xml:space="preserve"> </w:t>
    </w:r>
  </w:p>
  <w:p w:rsidR="0052701D" w:rsidRDefault="00D40929">
    <w:pPr>
      <w:spacing w:after="0"/>
      <w:ind w:right="857"/>
      <w:jc w:val="center"/>
    </w:pPr>
    <w:r>
      <w:fldChar w:fldCharType="begin"/>
    </w:r>
    <w:r>
      <w:instrText xml:space="preserve"> PAGE   \* MERGEFORMAT </w:instrText>
    </w:r>
    <w:r>
      <w:fldChar w:fldCharType="separate"/>
    </w:r>
    <w:r>
      <w:rPr>
        <w:rFonts w:ascii="Arial" w:eastAsia="Arial" w:hAnsi="Arial" w:cs="Arial"/>
        <w:sz w:val="26"/>
      </w:rPr>
      <w:t>372</w:t>
    </w:r>
    <w:r>
      <w:rPr>
        <w:rFonts w:ascii="Arial" w:eastAsia="Arial" w:hAnsi="Arial" w:cs="Arial"/>
        <w:sz w:val="26"/>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1D" w:rsidRDefault="00D40929">
    <w:pPr>
      <w:spacing w:after="0"/>
      <w:ind w:right="569"/>
      <w:jc w:val="center"/>
    </w:pPr>
    <w:r>
      <w:fldChar w:fldCharType="begin"/>
    </w:r>
    <w:r>
      <w:instrText xml:space="preserve"> PAGE   \* MERGEFORMAT </w:instrText>
    </w:r>
    <w:r>
      <w:fldChar w:fldCharType="separate"/>
    </w:r>
    <w:r w:rsidR="00DF7EF4" w:rsidRPr="00DF7EF4">
      <w:rPr>
        <w:rFonts w:ascii="Arial" w:eastAsia="Arial" w:hAnsi="Arial" w:cs="Arial"/>
        <w:noProof/>
        <w:sz w:val="26"/>
      </w:rPr>
      <w:t>502</w:t>
    </w:r>
    <w:r>
      <w:rPr>
        <w:rFonts w:ascii="Arial" w:eastAsia="Arial" w:hAnsi="Arial" w:cs="Arial"/>
        <w:sz w:val="26"/>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1D" w:rsidRDefault="00D40929">
    <w:pPr>
      <w:spacing w:after="0"/>
      <w:ind w:right="569"/>
      <w:jc w:val="center"/>
    </w:pPr>
    <w:r>
      <w:fldChar w:fldCharType="begin"/>
    </w:r>
    <w:r>
      <w:instrText xml:space="preserve"> PAGE   \* MERGEFORMAT </w:instrText>
    </w:r>
    <w:r>
      <w:fldChar w:fldCharType="separate"/>
    </w:r>
    <w:r w:rsidR="00DF7EF4" w:rsidRPr="00DF7EF4">
      <w:rPr>
        <w:rFonts w:ascii="Arial" w:eastAsia="Arial" w:hAnsi="Arial" w:cs="Arial"/>
        <w:noProof/>
        <w:sz w:val="26"/>
      </w:rPr>
      <w:t>503</w:t>
    </w:r>
    <w:r>
      <w:rPr>
        <w:rFonts w:ascii="Arial" w:eastAsia="Arial" w:hAnsi="Arial" w:cs="Arial"/>
        <w:sz w:val="2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1D" w:rsidRDefault="0052701D"/>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1D" w:rsidRDefault="00D40929">
    <w:pPr>
      <w:spacing w:after="0"/>
      <w:ind w:right="569"/>
      <w:jc w:val="center"/>
    </w:pPr>
    <w:r>
      <w:fldChar w:fldCharType="begin"/>
    </w:r>
    <w:r>
      <w:instrText xml:space="preserve"> PAGE   \* MERGEFORMAT </w:instrText>
    </w:r>
    <w:r>
      <w:fldChar w:fldCharType="separate"/>
    </w:r>
    <w:r>
      <w:rPr>
        <w:rFonts w:ascii="Arial" w:eastAsia="Arial" w:hAnsi="Arial" w:cs="Arial"/>
        <w:sz w:val="26"/>
      </w:rPr>
      <w:t>3</w:t>
    </w:r>
    <w:r>
      <w:rPr>
        <w:rFonts w:ascii="Arial" w:eastAsia="Arial" w:hAnsi="Arial" w:cs="Arial"/>
        <w:sz w:val="26"/>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1D" w:rsidRDefault="00D40929">
    <w:pPr>
      <w:spacing w:after="0"/>
      <w:ind w:right="462"/>
      <w:jc w:val="center"/>
    </w:pPr>
    <w:r>
      <w:fldChar w:fldCharType="begin"/>
    </w:r>
    <w:r>
      <w:instrText xml:space="preserve"> PAGE   \* MERGEFORMAT </w:instrText>
    </w:r>
    <w:r>
      <w:fldChar w:fldCharType="separate"/>
    </w:r>
    <w:r w:rsidR="00DF7EF4" w:rsidRPr="00DF7EF4">
      <w:rPr>
        <w:rFonts w:ascii="Arial" w:eastAsia="Arial" w:hAnsi="Arial" w:cs="Arial"/>
        <w:noProof/>
        <w:sz w:val="26"/>
      </w:rPr>
      <w:t>526</w:t>
    </w:r>
    <w:r>
      <w:rPr>
        <w:rFonts w:ascii="Arial" w:eastAsia="Arial" w:hAnsi="Arial" w:cs="Arial"/>
        <w:sz w:val="26"/>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1D" w:rsidRDefault="00D40929">
    <w:pPr>
      <w:spacing w:after="0"/>
      <w:ind w:right="462"/>
      <w:jc w:val="center"/>
    </w:pPr>
    <w:r>
      <w:fldChar w:fldCharType="begin"/>
    </w:r>
    <w:r>
      <w:instrText xml:space="preserve"> PAGE   \* MERGEFORMAT </w:instrText>
    </w:r>
    <w:r>
      <w:fldChar w:fldCharType="separate"/>
    </w:r>
    <w:r w:rsidR="00DF7EF4" w:rsidRPr="00DF7EF4">
      <w:rPr>
        <w:rFonts w:ascii="Arial" w:eastAsia="Arial" w:hAnsi="Arial" w:cs="Arial"/>
        <w:noProof/>
        <w:sz w:val="26"/>
      </w:rPr>
      <w:t>525</w:t>
    </w:r>
    <w:r>
      <w:rPr>
        <w:rFonts w:ascii="Arial" w:eastAsia="Arial" w:hAnsi="Arial" w:cs="Arial"/>
        <w:sz w:val="26"/>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1D" w:rsidRDefault="00D40929">
    <w:pPr>
      <w:spacing w:after="0"/>
      <w:ind w:right="462"/>
      <w:jc w:val="center"/>
    </w:pPr>
    <w:r>
      <w:fldChar w:fldCharType="begin"/>
    </w:r>
    <w:r>
      <w:instrText xml:space="preserve"> PAGE   \* MERGEFORMAT </w:instrText>
    </w:r>
    <w:r>
      <w:fldChar w:fldCharType="separate"/>
    </w:r>
    <w:r>
      <w:rPr>
        <w:rFonts w:ascii="Arial" w:eastAsia="Arial" w:hAnsi="Arial" w:cs="Arial"/>
        <w:sz w:val="26"/>
      </w:rPr>
      <w:t>3</w:t>
    </w:r>
    <w:r>
      <w:rPr>
        <w:rFonts w:ascii="Arial" w:eastAsia="Arial" w:hAnsi="Arial" w:cs="Arial"/>
        <w:sz w:val="26"/>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1D" w:rsidRDefault="0052701D"/>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1D" w:rsidRDefault="0052701D"/>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1D" w:rsidRDefault="0052701D"/>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1D" w:rsidRDefault="00D40929">
    <w:pPr>
      <w:spacing w:after="0"/>
      <w:ind w:right="573"/>
      <w:jc w:val="center"/>
    </w:pPr>
    <w:r>
      <w:fldChar w:fldCharType="begin"/>
    </w:r>
    <w:r>
      <w:instrText xml:space="preserve"> PAGE   \* MERGEFORMAT </w:instrText>
    </w:r>
    <w:r>
      <w:fldChar w:fldCharType="separate"/>
    </w:r>
    <w:r w:rsidR="00DF7EF4" w:rsidRPr="00DF7EF4">
      <w:rPr>
        <w:rFonts w:ascii="Arial" w:eastAsia="Arial" w:hAnsi="Arial" w:cs="Arial"/>
        <w:noProof/>
        <w:sz w:val="26"/>
      </w:rPr>
      <w:t>14</w:t>
    </w:r>
    <w:r>
      <w:rPr>
        <w:rFonts w:ascii="Arial" w:eastAsia="Arial" w:hAnsi="Arial" w:cs="Arial"/>
        <w:sz w:val="26"/>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1D" w:rsidRDefault="00D40929">
    <w:pPr>
      <w:spacing w:after="0"/>
      <w:ind w:right="573"/>
      <w:jc w:val="center"/>
    </w:pPr>
    <w:r>
      <w:fldChar w:fldCharType="begin"/>
    </w:r>
    <w:r>
      <w:instrText xml:space="preserve"> PAGE   \* MERGEFORMAT </w:instrText>
    </w:r>
    <w:r>
      <w:fldChar w:fldCharType="separate"/>
    </w:r>
    <w:r w:rsidR="00DF7EF4" w:rsidRPr="00DF7EF4">
      <w:rPr>
        <w:rFonts w:ascii="Arial" w:eastAsia="Arial" w:hAnsi="Arial" w:cs="Arial"/>
        <w:noProof/>
        <w:sz w:val="26"/>
      </w:rPr>
      <w:t>13</w:t>
    </w:r>
    <w:r>
      <w:rPr>
        <w:rFonts w:ascii="Arial" w:eastAsia="Arial" w:hAnsi="Arial" w:cs="Arial"/>
        <w:sz w:val="26"/>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1D" w:rsidRDefault="00D40929">
    <w:pPr>
      <w:spacing w:after="0"/>
      <w:ind w:right="573"/>
      <w:jc w:val="center"/>
    </w:pPr>
    <w:r>
      <w:fldChar w:fldCharType="begin"/>
    </w:r>
    <w:r>
      <w:instrText xml:space="preserve"> PAGE   \* MERGEFORMAT </w:instrText>
    </w:r>
    <w:r>
      <w:fldChar w:fldCharType="separate"/>
    </w:r>
    <w:r>
      <w:rPr>
        <w:rFonts w:ascii="Arial" w:eastAsia="Arial" w:hAnsi="Arial" w:cs="Arial"/>
        <w:sz w:val="26"/>
      </w:rPr>
      <w:t>3</w:t>
    </w:r>
    <w:r>
      <w:rPr>
        <w:rFonts w:ascii="Arial" w:eastAsia="Arial" w:hAnsi="Arial" w:cs="Arial"/>
        <w:sz w:val="26"/>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1D" w:rsidRDefault="00D40929">
    <w:pPr>
      <w:spacing w:after="103"/>
    </w:pPr>
    <w:r>
      <w:rPr>
        <w:rFonts w:ascii="Times New Roman" w:eastAsia="Times New Roman" w:hAnsi="Times New Roman" w:cs="Times New Roman"/>
        <w:sz w:val="20"/>
      </w:rPr>
      <w:t xml:space="preserve"> </w:t>
    </w:r>
  </w:p>
  <w:p w:rsidR="0052701D" w:rsidRDefault="00D40929">
    <w:pPr>
      <w:spacing w:after="0"/>
      <w:ind w:right="576"/>
      <w:jc w:val="center"/>
    </w:pPr>
    <w:r>
      <w:fldChar w:fldCharType="begin"/>
    </w:r>
    <w:r>
      <w:instrText xml:space="preserve"> PAGE   \* MERGEFORMAT </w:instrText>
    </w:r>
    <w:r>
      <w:fldChar w:fldCharType="separate"/>
    </w:r>
    <w:r w:rsidR="00DF7EF4" w:rsidRPr="00DF7EF4">
      <w:rPr>
        <w:rFonts w:ascii="Arial" w:eastAsia="Arial" w:hAnsi="Arial" w:cs="Arial"/>
        <w:noProof/>
        <w:sz w:val="26"/>
      </w:rPr>
      <w:t>212</w:t>
    </w:r>
    <w:r>
      <w:rPr>
        <w:rFonts w:ascii="Arial" w:eastAsia="Arial" w:hAnsi="Arial" w:cs="Arial"/>
        <w:sz w:val="26"/>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1D" w:rsidRDefault="00D40929">
    <w:pPr>
      <w:spacing w:after="103"/>
    </w:pPr>
    <w:r>
      <w:rPr>
        <w:rFonts w:ascii="Times New Roman" w:eastAsia="Times New Roman" w:hAnsi="Times New Roman" w:cs="Times New Roman"/>
        <w:sz w:val="20"/>
      </w:rPr>
      <w:t xml:space="preserve"> </w:t>
    </w:r>
  </w:p>
  <w:p w:rsidR="0052701D" w:rsidRDefault="00D40929">
    <w:pPr>
      <w:spacing w:after="0"/>
      <w:ind w:right="576"/>
      <w:jc w:val="center"/>
    </w:pPr>
    <w:r>
      <w:fldChar w:fldCharType="begin"/>
    </w:r>
    <w:r>
      <w:instrText xml:space="preserve"> PAGE   </w:instrText>
    </w:r>
    <w:r>
      <w:instrText xml:space="preserve">\* MERGEFORMAT </w:instrText>
    </w:r>
    <w:r>
      <w:fldChar w:fldCharType="separate"/>
    </w:r>
    <w:r w:rsidR="00DF7EF4" w:rsidRPr="00DF7EF4">
      <w:rPr>
        <w:rFonts w:ascii="Arial" w:eastAsia="Arial" w:hAnsi="Arial" w:cs="Arial"/>
        <w:noProof/>
        <w:sz w:val="26"/>
      </w:rPr>
      <w:t>211</w:t>
    </w:r>
    <w:r>
      <w:rPr>
        <w:rFonts w:ascii="Arial" w:eastAsia="Arial" w:hAnsi="Arial" w:cs="Arial"/>
        <w:sz w:val="26"/>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1D" w:rsidRDefault="00D40929">
    <w:pPr>
      <w:spacing w:after="103"/>
    </w:pPr>
    <w:r>
      <w:rPr>
        <w:rFonts w:ascii="Times New Roman" w:eastAsia="Times New Roman" w:hAnsi="Times New Roman" w:cs="Times New Roman"/>
        <w:sz w:val="20"/>
      </w:rPr>
      <w:t xml:space="preserve"> </w:t>
    </w:r>
  </w:p>
  <w:p w:rsidR="0052701D" w:rsidRDefault="00D40929">
    <w:pPr>
      <w:spacing w:after="0"/>
      <w:ind w:right="576"/>
      <w:jc w:val="center"/>
    </w:pPr>
    <w:r>
      <w:fldChar w:fldCharType="begin"/>
    </w:r>
    <w:r>
      <w:instrText xml:space="preserve"> PAGE   \* MERGEFORMAT </w:instrText>
    </w:r>
    <w:r>
      <w:fldChar w:fldCharType="separate"/>
    </w:r>
    <w:r>
      <w:rPr>
        <w:rFonts w:ascii="Arial" w:eastAsia="Arial" w:hAnsi="Arial" w:cs="Arial"/>
        <w:sz w:val="26"/>
      </w:rPr>
      <w:t>163</w:t>
    </w:r>
    <w:r>
      <w:rPr>
        <w:rFonts w:ascii="Arial" w:eastAsia="Arial" w:hAnsi="Arial" w:cs="Arial"/>
        <w:sz w:val="2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40929" w:rsidRDefault="00D40929">
      <w:pPr>
        <w:spacing w:after="5"/>
        <w:ind w:left="628"/>
        <w:jc w:val="center"/>
      </w:pPr>
      <w:r>
        <w:separator/>
      </w:r>
    </w:p>
  </w:footnote>
  <w:footnote w:type="continuationSeparator" w:id="0">
    <w:p w:rsidR="00D40929" w:rsidRDefault="00D40929">
      <w:pPr>
        <w:spacing w:after="5"/>
        <w:ind w:left="628"/>
        <w:jc w:val="center"/>
      </w:pPr>
      <w:r>
        <w:continuationSeparator/>
      </w:r>
    </w:p>
  </w:footnote>
  <w:footnote w:id="1">
    <w:p w:rsidR="0052701D" w:rsidRDefault="00D40929">
      <w:pPr>
        <w:pStyle w:val="footnotedescription"/>
        <w:spacing w:after="58"/>
        <w:ind w:left="500" w:right="0"/>
        <w:jc w:val="left"/>
      </w:pPr>
      <w:r>
        <w:rPr>
          <w:rStyle w:val="footnotemark"/>
        </w:rPr>
        <w:footnoteRef/>
      </w:r>
      <w:r>
        <w:t xml:space="preserve"> </w:t>
      </w:r>
      <w:r>
        <w:rPr>
          <w:vertAlign w:val="superscript"/>
        </w:rPr>
        <w:t>,2,3</w:t>
      </w:r>
      <w:r>
        <w:t>НАО «Алматинский университет энергетики и связи им.Гумарбек</w:t>
      </w:r>
      <w:r>
        <w:t xml:space="preserve">а Даукеева», г. </w:t>
      </w:r>
    </w:p>
    <w:p w:rsidR="0052701D" w:rsidRDefault="00D40929">
      <w:pPr>
        <w:pStyle w:val="footnotedescription"/>
        <w:ind w:left="0" w:right="51"/>
      </w:pPr>
      <w:r>
        <w:t xml:space="preserve">Алматы, Казахстан </w:t>
      </w:r>
    </w:p>
  </w:footnote>
  <w:footnote w:id="2">
    <w:p w:rsidR="0052701D" w:rsidRDefault="00D40929">
      <w:pPr>
        <w:pStyle w:val="footnotedescription"/>
        <w:ind w:left="0" w:right="43"/>
      </w:pPr>
      <w:r>
        <w:rPr>
          <w:rStyle w:val="footnotemark"/>
        </w:rPr>
        <w:footnoteRef/>
      </w:r>
      <w:r>
        <w:t xml:space="preserve"> </w:t>
      </w:r>
      <w:r>
        <w:rPr>
          <w:color w:val="0563C1"/>
          <w:u w:val="single" w:color="0563C1"/>
        </w:rPr>
        <w:t>s.kosbolov@aues.kz</w:t>
      </w:r>
      <w:r>
        <w:t xml:space="preserve">, </w:t>
      </w:r>
      <w:r>
        <w:rPr>
          <w:vertAlign w:val="superscript"/>
        </w:rPr>
        <w:t>2</w:t>
      </w:r>
      <w:r>
        <w:rPr>
          <w:color w:val="0563C1"/>
          <w:u w:val="single" w:color="0563C1"/>
        </w:rPr>
        <w:t>y.korabayev@aues.kz</w:t>
      </w:r>
      <w:r>
        <w:t xml:space="preserve">, </w:t>
      </w:r>
      <w:r>
        <w:rPr>
          <w:vertAlign w:val="superscript"/>
        </w:rPr>
        <w:t>3</w:t>
      </w:r>
      <w:r>
        <w:rPr>
          <w:color w:val="0563C1"/>
          <w:u w:val="single" w:color="0563C1"/>
        </w:rPr>
        <w:t>a.asilkhan@aues.kz</w:t>
      </w:r>
      <w:r>
        <w:t xml:space="preserve"> </w:t>
      </w:r>
    </w:p>
    <w:p w:rsidR="0052701D" w:rsidRDefault="00D40929">
      <w:pPr>
        <w:pStyle w:val="footnotedescription"/>
        <w:ind w:left="994" w:right="0"/>
        <w:jc w:val="left"/>
      </w:pPr>
      <w:r>
        <w:t xml:space="preserve"> </w:t>
      </w:r>
    </w:p>
    <w:p w:rsidR="0052701D" w:rsidRDefault="00D40929">
      <w:pPr>
        <w:pStyle w:val="footnotedescription"/>
        <w:spacing w:line="238" w:lineRule="auto"/>
        <w:ind w:left="283" w:right="321" w:firstLine="711"/>
        <w:jc w:val="both"/>
      </w:pPr>
      <w:r>
        <w:rPr>
          <w:b/>
          <w:i/>
        </w:rPr>
        <w:t>Аннотация</w:t>
      </w:r>
      <w:r>
        <w:rPr>
          <w:i/>
        </w:rPr>
        <w:t>. Қазіргі уақытта мобильді роботтар сұранысқа ие, олар рельефке жақсы бейімделеді, жеткілікті жүк көтергіштігі және жоғары қозғалғыштығы бар. Өздігінен қозғалатын және қоршаған ортаны және қоршаған ортаны қабылдау арқылы ақылға қонымды шешімдер қабылдай ал</w:t>
      </w:r>
      <w:r>
        <w:rPr>
          <w:i/>
        </w:rPr>
        <w:t xml:space="preserve">атын Роботтар автономды мобильді роботтар деп аталады. Мұндай жұмыстар біздің өмірімізде, үйлерде, кеңселерде, ауруханаларда, әртүрлі салаларда және тіпті көшелерде әртүрлі рөлдерді орындау </w:t>
      </w:r>
    </w:p>
  </w:footnote>
  <w:footnote w:id="3">
    <w:p w:rsidR="0052701D" w:rsidRDefault="00D40929">
      <w:pPr>
        <w:pStyle w:val="footnotedescription"/>
        <w:spacing w:after="5"/>
        <w:ind w:left="628" w:right="0"/>
      </w:pPr>
      <w:r>
        <w:rPr>
          <w:rStyle w:val="footnotemark"/>
        </w:rPr>
        <w:footnoteRef/>
      </w:r>
      <w:r>
        <w:t xml:space="preserve"> Astana Medical University, </w:t>
      </w:r>
    </w:p>
  </w:footnote>
  <w:footnote w:id="4">
    <w:p w:rsidR="0052701D" w:rsidRDefault="00D40929">
      <w:pPr>
        <w:pStyle w:val="footnotedescription"/>
        <w:spacing w:line="244" w:lineRule="auto"/>
        <w:ind w:left="133" w:right="0"/>
      </w:pPr>
      <w:r>
        <w:rPr>
          <w:rStyle w:val="footnotemark"/>
        </w:rPr>
        <w:footnoteRef/>
      </w:r>
      <w:r>
        <w:t xml:space="preserve"> Almaty University of Energy and </w:t>
      </w:r>
      <w:r>
        <w:t xml:space="preserve">Communications named after G. Daukeev, Almaty, d_jannat@mail.ru abrahmatova-g@mail.ru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E47B5"/>
    <w:multiLevelType w:val="hybridMultilevel"/>
    <w:tmpl w:val="817E1D3A"/>
    <w:lvl w:ilvl="0" w:tplc="9DA8D1AE">
      <w:start w:val="1"/>
      <w:numFmt w:val="decimal"/>
      <w:lvlText w:val="%1."/>
      <w:lvlJc w:val="left"/>
      <w:pPr>
        <w:ind w:left="12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964D4E6">
      <w:start w:val="1"/>
      <w:numFmt w:val="lowerLetter"/>
      <w:lvlText w:val="%2"/>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388B92A">
      <w:start w:val="1"/>
      <w:numFmt w:val="lowerRoman"/>
      <w:lvlText w:val="%3"/>
      <w:lvlJc w:val="left"/>
      <w:pPr>
        <w:ind w:left="2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4DC4B20">
      <w:start w:val="1"/>
      <w:numFmt w:val="decimal"/>
      <w:lvlText w:val="%4"/>
      <w:lvlJc w:val="left"/>
      <w:pPr>
        <w:ind w:left="28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E6CE32C">
      <w:start w:val="1"/>
      <w:numFmt w:val="lowerLetter"/>
      <w:lvlText w:val="%5"/>
      <w:lvlJc w:val="left"/>
      <w:pPr>
        <w:ind w:left="36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542716A">
      <w:start w:val="1"/>
      <w:numFmt w:val="lowerRoman"/>
      <w:lvlText w:val="%6"/>
      <w:lvlJc w:val="left"/>
      <w:pPr>
        <w:ind w:left="43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064EC92">
      <w:start w:val="1"/>
      <w:numFmt w:val="decimal"/>
      <w:lvlText w:val="%7"/>
      <w:lvlJc w:val="left"/>
      <w:pPr>
        <w:ind w:left="50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228317A">
      <w:start w:val="1"/>
      <w:numFmt w:val="lowerLetter"/>
      <w:lvlText w:val="%8"/>
      <w:lvlJc w:val="left"/>
      <w:pPr>
        <w:ind w:left="57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0AA5F9A">
      <w:start w:val="1"/>
      <w:numFmt w:val="lowerRoman"/>
      <w:lvlText w:val="%9"/>
      <w:lvlJc w:val="left"/>
      <w:pPr>
        <w:ind w:left="64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 w15:restartNumberingAfterBreak="0">
    <w:nsid w:val="00E7522D"/>
    <w:multiLevelType w:val="hybridMultilevel"/>
    <w:tmpl w:val="87647BB8"/>
    <w:lvl w:ilvl="0" w:tplc="B950ADB8">
      <w:start w:val="1"/>
      <w:numFmt w:val="decimal"/>
      <w:lvlText w:val="%1."/>
      <w:lvlJc w:val="left"/>
      <w:pPr>
        <w:ind w:left="7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6A02A20">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D6E2CF8">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97CEDEE">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26C6084">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D8A4B5E">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2F8F22C">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CDA1F6C">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710181A">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 w15:restartNumberingAfterBreak="0">
    <w:nsid w:val="01831B5E"/>
    <w:multiLevelType w:val="hybridMultilevel"/>
    <w:tmpl w:val="259C4F2C"/>
    <w:lvl w:ilvl="0" w:tplc="C916EB8A">
      <w:start w:val="1"/>
      <w:numFmt w:val="bullet"/>
      <w:lvlText w:val="•"/>
      <w:lvlJc w:val="left"/>
      <w:pPr>
        <w:ind w:left="128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C144D7AC">
      <w:start w:val="1"/>
      <w:numFmt w:val="bullet"/>
      <w:lvlText w:val="o"/>
      <w:lvlJc w:val="left"/>
      <w:pPr>
        <w:ind w:left="144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58645818">
      <w:start w:val="1"/>
      <w:numFmt w:val="bullet"/>
      <w:lvlText w:val="▪"/>
      <w:lvlJc w:val="left"/>
      <w:pPr>
        <w:ind w:left="21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19AC4F72">
      <w:start w:val="1"/>
      <w:numFmt w:val="bullet"/>
      <w:lvlText w:val="•"/>
      <w:lvlJc w:val="left"/>
      <w:pPr>
        <w:ind w:left="288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57F6CEAC">
      <w:start w:val="1"/>
      <w:numFmt w:val="bullet"/>
      <w:lvlText w:val="o"/>
      <w:lvlJc w:val="left"/>
      <w:pPr>
        <w:ind w:left="360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13422F84">
      <w:start w:val="1"/>
      <w:numFmt w:val="bullet"/>
      <w:lvlText w:val="▪"/>
      <w:lvlJc w:val="left"/>
      <w:pPr>
        <w:ind w:left="432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300C8D44">
      <w:start w:val="1"/>
      <w:numFmt w:val="bullet"/>
      <w:lvlText w:val="•"/>
      <w:lvlJc w:val="left"/>
      <w:pPr>
        <w:ind w:left="504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083EABA2">
      <w:start w:val="1"/>
      <w:numFmt w:val="bullet"/>
      <w:lvlText w:val="o"/>
      <w:lvlJc w:val="left"/>
      <w:pPr>
        <w:ind w:left="57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F242555C">
      <w:start w:val="1"/>
      <w:numFmt w:val="bullet"/>
      <w:lvlText w:val="▪"/>
      <w:lvlJc w:val="left"/>
      <w:pPr>
        <w:ind w:left="648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3" w15:restartNumberingAfterBreak="0">
    <w:nsid w:val="02511DD9"/>
    <w:multiLevelType w:val="hybridMultilevel"/>
    <w:tmpl w:val="9EF80B8A"/>
    <w:lvl w:ilvl="0" w:tplc="11CE7254">
      <w:start w:val="1"/>
      <w:numFmt w:val="decimal"/>
      <w:lvlText w:val="%1)"/>
      <w:lvlJc w:val="left"/>
      <w:pPr>
        <w:ind w:left="7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C4C3B6E">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8626F24">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6D0A0E6">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37A6516">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8049028">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1FE2AD2">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682F656">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E70D4E0">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 w15:restartNumberingAfterBreak="0">
    <w:nsid w:val="033C34F4"/>
    <w:multiLevelType w:val="hybridMultilevel"/>
    <w:tmpl w:val="71DC883E"/>
    <w:lvl w:ilvl="0" w:tplc="2C5E898C">
      <w:start w:val="4"/>
      <w:numFmt w:val="decimal"/>
      <w:lvlText w:val="[%1]"/>
      <w:lvlJc w:val="left"/>
      <w:pPr>
        <w:ind w:left="4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F389916">
      <w:start w:val="1"/>
      <w:numFmt w:val="lowerLetter"/>
      <w:lvlText w:val="%2"/>
      <w:lvlJc w:val="left"/>
      <w:pPr>
        <w:ind w:left="1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A081EC6">
      <w:start w:val="1"/>
      <w:numFmt w:val="lowerRoman"/>
      <w:lvlText w:val="%3"/>
      <w:lvlJc w:val="left"/>
      <w:pPr>
        <w:ind w:left="2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3E47D54">
      <w:start w:val="1"/>
      <w:numFmt w:val="decimal"/>
      <w:lvlText w:val="%4"/>
      <w:lvlJc w:val="left"/>
      <w:pPr>
        <w:ind w:left="2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EDE58FA">
      <w:start w:val="1"/>
      <w:numFmt w:val="lowerLetter"/>
      <w:lvlText w:val="%5"/>
      <w:lvlJc w:val="left"/>
      <w:pPr>
        <w:ind w:left="36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57A4BEA">
      <w:start w:val="1"/>
      <w:numFmt w:val="lowerRoman"/>
      <w:lvlText w:val="%6"/>
      <w:lvlJc w:val="left"/>
      <w:pPr>
        <w:ind w:left="4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B7E5702">
      <w:start w:val="1"/>
      <w:numFmt w:val="decimal"/>
      <w:lvlText w:val="%7"/>
      <w:lvlJc w:val="left"/>
      <w:pPr>
        <w:ind w:left="5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A82AC18">
      <w:start w:val="1"/>
      <w:numFmt w:val="lowerLetter"/>
      <w:lvlText w:val="%8"/>
      <w:lvlJc w:val="left"/>
      <w:pPr>
        <w:ind w:left="58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15C9194">
      <w:start w:val="1"/>
      <w:numFmt w:val="lowerRoman"/>
      <w:lvlText w:val="%9"/>
      <w:lvlJc w:val="left"/>
      <w:pPr>
        <w:ind w:left="65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03A332DC"/>
    <w:multiLevelType w:val="hybridMultilevel"/>
    <w:tmpl w:val="AE440D72"/>
    <w:lvl w:ilvl="0" w:tplc="44D2B9E6">
      <w:start w:val="1"/>
      <w:numFmt w:val="bullet"/>
      <w:lvlText w:val=""/>
      <w:lvlJc w:val="left"/>
      <w:pPr>
        <w:ind w:left="1245"/>
      </w:pPr>
      <w:rPr>
        <w:rFonts w:ascii="Segoe UI Symbol" w:eastAsia="Segoe UI Symbol" w:hAnsi="Segoe UI Symbol" w:cs="Segoe UI Symbol"/>
        <w:b w:val="0"/>
        <w:i w:val="0"/>
        <w:strike w:val="0"/>
        <w:dstrike w:val="0"/>
        <w:color w:val="000000"/>
        <w:sz w:val="25"/>
        <w:szCs w:val="25"/>
        <w:u w:val="none" w:color="000000"/>
        <w:bdr w:val="none" w:sz="0" w:space="0" w:color="auto"/>
        <w:shd w:val="clear" w:color="auto" w:fill="auto"/>
        <w:vertAlign w:val="baseline"/>
      </w:rPr>
    </w:lvl>
    <w:lvl w:ilvl="1" w:tplc="53F205F4">
      <w:start w:val="1"/>
      <w:numFmt w:val="decimal"/>
      <w:lvlText w:val="%2"/>
      <w:lvlJc w:val="left"/>
      <w:pPr>
        <w:ind w:left="72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DF66D020">
      <w:start w:val="1"/>
      <w:numFmt w:val="lowerRoman"/>
      <w:lvlText w:val="%3"/>
      <w:lvlJc w:val="left"/>
      <w:pPr>
        <w:ind w:left="188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E0BACB66">
      <w:start w:val="1"/>
      <w:numFmt w:val="decimal"/>
      <w:lvlText w:val="%4"/>
      <w:lvlJc w:val="left"/>
      <w:pPr>
        <w:ind w:left="260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BE3EE744">
      <w:start w:val="1"/>
      <w:numFmt w:val="lowerLetter"/>
      <w:lvlText w:val="%5"/>
      <w:lvlJc w:val="left"/>
      <w:pPr>
        <w:ind w:left="332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D7B616D4">
      <w:start w:val="1"/>
      <w:numFmt w:val="lowerRoman"/>
      <w:lvlText w:val="%6"/>
      <w:lvlJc w:val="left"/>
      <w:pPr>
        <w:ind w:left="404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40AC7D7C">
      <w:start w:val="1"/>
      <w:numFmt w:val="decimal"/>
      <w:lvlText w:val="%7"/>
      <w:lvlJc w:val="left"/>
      <w:pPr>
        <w:ind w:left="476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5B683BAA">
      <w:start w:val="1"/>
      <w:numFmt w:val="lowerLetter"/>
      <w:lvlText w:val="%8"/>
      <w:lvlJc w:val="left"/>
      <w:pPr>
        <w:ind w:left="548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5CF0CFDC">
      <w:start w:val="1"/>
      <w:numFmt w:val="lowerRoman"/>
      <w:lvlText w:val="%9"/>
      <w:lvlJc w:val="left"/>
      <w:pPr>
        <w:ind w:left="620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6" w15:restartNumberingAfterBreak="0">
    <w:nsid w:val="03C67522"/>
    <w:multiLevelType w:val="hybridMultilevel"/>
    <w:tmpl w:val="F9BA0C66"/>
    <w:lvl w:ilvl="0" w:tplc="E820A36A">
      <w:start w:val="1"/>
      <w:numFmt w:val="decimal"/>
      <w:lvlText w:val="[%1]"/>
      <w:lvlJc w:val="left"/>
      <w:pPr>
        <w:ind w:left="8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7F4D644">
      <w:start w:val="1"/>
      <w:numFmt w:val="lowerLetter"/>
      <w:lvlText w:val="%2"/>
      <w:lvlJc w:val="left"/>
      <w:pPr>
        <w:ind w:left="16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8568DB2">
      <w:start w:val="1"/>
      <w:numFmt w:val="lowerRoman"/>
      <w:lvlText w:val="%3"/>
      <w:lvlJc w:val="left"/>
      <w:pPr>
        <w:ind w:left="23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DBC56AC">
      <w:start w:val="1"/>
      <w:numFmt w:val="decimal"/>
      <w:lvlText w:val="%4"/>
      <w:lvlJc w:val="left"/>
      <w:pPr>
        <w:ind w:left="30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DAC7ED6">
      <w:start w:val="1"/>
      <w:numFmt w:val="lowerLetter"/>
      <w:lvlText w:val="%5"/>
      <w:lvlJc w:val="left"/>
      <w:pPr>
        <w:ind w:left="38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470E784">
      <w:start w:val="1"/>
      <w:numFmt w:val="lowerRoman"/>
      <w:lvlText w:val="%6"/>
      <w:lvlJc w:val="left"/>
      <w:pPr>
        <w:ind w:left="45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FB04EDE">
      <w:start w:val="1"/>
      <w:numFmt w:val="decimal"/>
      <w:lvlText w:val="%7"/>
      <w:lvlJc w:val="left"/>
      <w:pPr>
        <w:ind w:left="52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39C3358">
      <w:start w:val="1"/>
      <w:numFmt w:val="lowerLetter"/>
      <w:lvlText w:val="%8"/>
      <w:lvlJc w:val="left"/>
      <w:pPr>
        <w:ind w:left="59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A624FF8">
      <w:start w:val="1"/>
      <w:numFmt w:val="lowerRoman"/>
      <w:lvlText w:val="%9"/>
      <w:lvlJc w:val="left"/>
      <w:pPr>
        <w:ind w:left="66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03DB06C5"/>
    <w:multiLevelType w:val="hybridMultilevel"/>
    <w:tmpl w:val="BE986F44"/>
    <w:lvl w:ilvl="0" w:tplc="14AE963A">
      <w:start w:val="1"/>
      <w:numFmt w:val="decimal"/>
      <w:lvlText w:val="[%1]"/>
      <w:lvlJc w:val="left"/>
      <w:pPr>
        <w:ind w:left="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F661118">
      <w:start w:val="1"/>
      <w:numFmt w:val="lowerLetter"/>
      <w:lvlText w:val="%2"/>
      <w:lvlJc w:val="left"/>
      <w:pPr>
        <w:ind w:left="17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B4C5576">
      <w:start w:val="1"/>
      <w:numFmt w:val="lowerRoman"/>
      <w:lvlText w:val="%3"/>
      <w:lvlJc w:val="left"/>
      <w:pPr>
        <w:ind w:left="2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03E3F4A">
      <w:start w:val="1"/>
      <w:numFmt w:val="decimal"/>
      <w:lvlText w:val="%4"/>
      <w:lvlJc w:val="left"/>
      <w:pPr>
        <w:ind w:left="3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9B6A682">
      <w:start w:val="1"/>
      <w:numFmt w:val="lowerLetter"/>
      <w:lvlText w:val="%5"/>
      <w:lvlJc w:val="left"/>
      <w:pPr>
        <w:ind w:left="3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4BEBB2E">
      <w:start w:val="1"/>
      <w:numFmt w:val="lowerRoman"/>
      <w:lvlText w:val="%6"/>
      <w:lvlJc w:val="left"/>
      <w:pPr>
        <w:ind w:left="4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FFA4D86">
      <w:start w:val="1"/>
      <w:numFmt w:val="decimal"/>
      <w:lvlText w:val="%7"/>
      <w:lvlJc w:val="left"/>
      <w:pPr>
        <w:ind w:left="5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28460AC">
      <w:start w:val="1"/>
      <w:numFmt w:val="lowerLetter"/>
      <w:lvlText w:val="%8"/>
      <w:lvlJc w:val="left"/>
      <w:pPr>
        <w:ind w:left="6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9147D2A">
      <w:start w:val="1"/>
      <w:numFmt w:val="lowerRoman"/>
      <w:lvlText w:val="%9"/>
      <w:lvlJc w:val="left"/>
      <w:pPr>
        <w:ind w:left="6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04293F79"/>
    <w:multiLevelType w:val="hybridMultilevel"/>
    <w:tmpl w:val="8836E1F2"/>
    <w:lvl w:ilvl="0" w:tplc="9C4A56F8">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B48DD1E">
      <w:start w:val="1"/>
      <w:numFmt w:val="lowerLetter"/>
      <w:lvlText w:val="%2"/>
      <w:lvlJc w:val="left"/>
      <w:pPr>
        <w:ind w:left="17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B9E1906">
      <w:start w:val="1"/>
      <w:numFmt w:val="lowerRoman"/>
      <w:lvlText w:val="%3"/>
      <w:lvlJc w:val="left"/>
      <w:pPr>
        <w:ind w:left="2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C30AF58">
      <w:start w:val="1"/>
      <w:numFmt w:val="decimal"/>
      <w:lvlText w:val="%4"/>
      <w:lvlJc w:val="left"/>
      <w:pPr>
        <w:ind w:left="3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CC0AB14">
      <w:start w:val="1"/>
      <w:numFmt w:val="lowerLetter"/>
      <w:lvlText w:val="%5"/>
      <w:lvlJc w:val="left"/>
      <w:pPr>
        <w:ind w:left="3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E000F5A">
      <w:start w:val="1"/>
      <w:numFmt w:val="lowerRoman"/>
      <w:lvlText w:val="%6"/>
      <w:lvlJc w:val="left"/>
      <w:pPr>
        <w:ind w:left="4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3BE0DD0">
      <w:start w:val="1"/>
      <w:numFmt w:val="decimal"/>
      <w:lvlText w:val="%7"/>
      <w:lvlJc w:val="left"/>
      <w:pPr>
        <w:ind w:left="5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67E5F32">
      <w:start w:val="1"/>
      <w:numFmt w:val="lowerLetter"/>
      <w:lvlText w:val="%8"/>
      <w:lvlJc w:val="left"/>
      <w:pPr>
        <w:ind w:left="6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C08E23C">
      <w:start w:val="1"/>
      <w:numFmt w:val="lowerRoman"/>
      <w:lvlText w:val="%9"/>
      <w:lvlJc w:val="left"/>
      <w:pPr>
        <w:ind w:left="6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06DC4E0F"/>
    <w:multiLevelType w:val="hybridMultilevel"/>
    <w:tmpl w:val="922E9B80"/>
    <w:lvl w:ilvl="0" w:tplc="0456A840">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DF08224">
      <w:start w:val="1"/>
      <w:numFmt w:val="lowerLetter"/>
      <w:lvlText w:val="%2)"/>
      <w:lvlJc w:val="left"/>
      <w:pPr>
        <w:ind w:left="55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6F2F226">
      <w:start w:val="1"/>
      <w:numFmt w:val="lowerRoman"/>
      <w:lvlText w:val="%3"/>
      <w:lvlJc w:val="left"/>
      <w:pPr>
        <w:ind w:left="167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D1640F4">
      <w:start w:val="1"/>
      <w:numFmt w:val="decimal"/>
      <w:lvlText w:val="%4"/>
      <w:lvlJc w:val="left"/>
      <w:pPr>
        <w:ind w:left="239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EE4261E">
      <w:start w:val="1"/>
      <w:numFmt w:val="lowerLetter"/>
      <w:lvlText w:val="%5"/>
      <w:lvlJc w:val="left"/>
      <w:pPr>
        <w:ind w:left="311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9D4DF08">
      <w:start w:val="1"/>
      <w:numFmt w:val="lowerRoman"/>
      <w:lvlText w:val="%6"/>
      <w:lvlJc w:val="left"/>
      <w:pPr>
        <w:ind w:left="383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A2C66F0">
      <w:start w:val="1"/>
      <w:numFmt w:val="decimal"/>
      <w:lvlText w:val="%7"/>
      <w:lvlJc w:val="left"/>
      <w:pPr>
        <w:ind w:left="455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E485534">
      <w:start w:val="1"/>
      <w:numFmt w:val="lowerLetter"/>
      <w:lvlText w:val="%8"/>
      <w:lvlJc w:val="left"/>
      <w:pPr>
        <w:ind w:left="527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7764224">
      <w:start w:val="1"/>
      <w:numFmt w:val="lowerRoman"/>
      <w:lvlText w:val="%9"/>
      <w:lvlJc w:val="left"/>
      <w:pPr>
        <w:ind w:left="599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 w15:restartNumberingAfterBreak="0">
    <w:nsid w:val="072662AA"/>
    <w:multiLevelType w:val="hybridMultilevel"/>
    <w:tmpl w:val="AE0A3680"/>
    <w:lvl w:ilvl="0" w:tplc="5B9A85F6">
      <w:start w:val="1"/>
      <w:numFmt w:val="bullet"/>
      <w:lvlText w:val="-"/>
      <w:lvlJc w:val="left"/>
      <w:pPr>
        <w:ind w:left="5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D2D8224C">
      <w:start w:val="1"/>
      <w:numFmt w:val="bullet"/>
      <w:lvlText w:val="o"/>
      <w:lvlJc w:val="left"/>
      <w:pPr>
        <w:ind w:left="141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0EC03FF8">
      <w:start w:val="1"/>
      <w:numFmt w:val="bullet"/>
      <w:lvlText w:val="▪"/>
      <w:lvlJc w:val="left"/>
      <w:pPr>
        <w:ind w:left="213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7F148F3E">
      <w:start w:val="1"/>
      <w:numFmt w:val="bullet"/>
      <w:lvlText w:val="•"/>
      <w:lvlJc w:val="left"/>
      <w:pPr>
        <w:ind w:left="285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D374CA8E">
      <w:start w:val="1"/>
      <w:numFmt w:val="bullet"/>
      <w:lvlText w:val="o"/>
      <w:lvlJc w:val="left"/>
      <w:pPr>
        <w:ind w:left="357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1CB4983A">
      <w:start w:val="1"/>
      <w:numFmt w:val="bullet"/>
      <w:lvlText w:val="▪"/>
      <w:lvlJc w:val="left"/>
      <w:pPr>
        <w:ind w:left="429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8698DD14">
      <w:start w:val="1"/>
      <w:numFmt w:val="bullet"/>
      <w:lvlText w:val="•"/>
      <w:lvlJc w:val="left"/>
      <w:pPr>
        <w:ind w:left="501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FC5C1E62">
      <w:start w:val="1"/>
      <w:numFmt w:val="bullet"/>
      <w:lvlText w:val="o"/>
      <w:lvlJc w:val="left"/>
      <w:pPr>
        <w:ind w:left="573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09B6E45E">
      <w:start w:val="1"/>
      <w:numFmt w:val="bullet"/>
      <w:lvlText w:val="▪"/>
      <w:lvlJc w:val="left"/>
      <w:pPr>
        <w:ind w:left="645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1" w15:restartNumberingAfterBreak="0">
    <w:nsid w:val="07AE4B86"/>
    <w:multiLevelType w:val="hybridMultilevel"/>
    <w:tmpl w:val="1B421E5C"/>
    <w:lvl w:ilvl="0" w:tplc="2BD04CE2">
      <w:start w:val="3"/>
      <w:numFmt w:val="decimal"/>
      <w:lvlText w:val="[%1]"/>
      <w:lvlJc w:val="left"/>
      <w:pPr>
        <w:ind w:left="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C68AB5E">
      <w:start w:val="1"/>
      <w:numFmt w:val="lowerLetter"/>
      <w:lvlText w:val="%2"/>
      <w:lvlJc w:val="left"/>
      <w:pPr>
        <w:ind w:left="17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8123F26">
      <w:start w:val="1"/>
      <w:numFmt w:val="lowerRoman"/>
      <w:lvlText w:val="%3"/>
      <w:lvlJc w:val="left"/>
      <w:pPr>
        <w:ind w:left="25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24E46F6">
      <w:start w:val="1"/>
      <w:numFmt w:val="decimal"/>
      <w:lvlText w:val="%4"/>
      <w:lvlJc w:val="left"/>
      <w:pPr>
        <w:ind w:left="32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4E439AE">
      <w:start w:val="1"/>
      <w:numFmt w:val="lowerLetter"/>
      <w:lvlText w:val="%5"/>
      <w:lvlJc w:val="left"/>
      <w:pPr>
        <w:ind w:left="39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9E66D3A">
      <w:start w:val="1"/>
      <w:numFmt w:val="lowerRoman"/>
      <w:lvlText w:val="%6"/>
      <w:lvlJc w:val="left"/>
      <w:pPr>
        <w:ind w:left="46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9A4699A">
      <w:start w:val="1"/>
      <w:numFmt w:val="decimal"/>
      <w:lvlText w:val="%7"/>
      <w:lvlJc w:val="left"/>
      <w:pPr>
        <w:ind w:left="53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510050E">
      <w:start w:val="1"/>
      <w:numFmt w:val="lowerLetter"/>
      <w:lvlText w:val="%8"/>
      <w:lvlJc w:val="left"/>
      <w:pPr>
        <w:ind w:left="61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A0EB0A0">
      <w:start w:val="1"/>
      <w:numFmt w:val="lowerRoman"/>
      <w:lvlText w:val="%9"/>
      <w:lvlJc w:val="left"/>
      <w:pPr>
        <w:ind w:left="68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08960A8D"/>
    <w:multiLevelType w:val="hybridMultilevel"/>
    <w:tmpl w:val="F16ECDA6"/>
    <w:lvl w:ilvl="0" w:tplc="170A1DE4">
      <w:start w:val="9"/>
      <w:numFmt w:val="decimal"/>
      <w:lvlText w:val="%1."/>
      <w:lvlJc w:val="left"/>
      <w:pPr>
        <w:ind w:left="1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50E386C">
      <w:start w:val="1"/>
      <w:numFmt w:val="lowerLetter"/>
      <w:lvlText w:val="%2"/>
      <w:lvlJc w:val="left"/>
      <w:pPr>
        <w:ind w:left="16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33404A2">
      <w:start w:val="1"/>
      <w:numFmt w:val="lowerRoman"/>
      <w:lvlText w:val="%3"/>
      <w:lvlJc w:val="left"/>
      <w:pPr>
        <w:ind w:left="23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7F459A0">
      <w:start w:val="1"/>
      <w:numFmt w:val="decimal"/>
      <w:lvlText w:val="%4"/>
      <w:lvlJc w:val="left"/>
      <w:pPr>
        <w:ind w:left="30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3A8CA52">
      <w:start w:val="1"/>
      <w:numFmt w:val="lowerLetter"/>
      <w:lvlText w:val="%5"/>
      <w:lvlJc w:val="left"/>
      <w:pPr>
        <w:ind w:left="38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B568FDE">
      <w:start w:val="1"/>
      <w:numFmt w:val="lowerRoman"/>
      <w:lvlText w:val="%6"/>
      <w:lvlJc w:val="left"/>
      <w:pPr>
        <w:ind w:left="45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8EEF3DA">
      <w:start w:val="1"/>
      <w:numFmt w:val="decimal"/>
      <w:lvlText w:val="%7"/>
      <w:lvlJc w:val="left"/>
      <w:pPr>
        <w:ind w:left="52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09A2D9E">
      <w:start w:val="1"/>
      <w:numFmt w:val="lowerLetter"/>
      <w:lvlText w:val="%8"/>
      <w:lvlJc w:val="left"/>
      <w:pPr>
        <w:ind w:left="59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544A758">
      <w:start w:val="1"/>
      <w:numFmt w:val="lowerRoman"/>
      <w:lvlText w:val="%9"/>
      <w:lvlJc w:val="left"/>
      <w:pPr>
        <w:ind w:left="66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093607D2"/>
    <w:multiLevelType w:val="hybridMultilevel"/>
    <w:tmpl w:val="5F3E27A8"/>
    <w:lvl w:ilvl="0" w:tplc="C7966760">
      <w:start w:val="1"/>
      <w:numFmt w:val="bullet"/>
      <w:lvlText w:val="●"/>
      <w:lvlJc w:val="left"/>
      <w:pPr>
        <w:ind w:left="135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3B1C0A62">
      <w:start w:val="1"/>
      <w:numFmt w:val="bullet"/>
      <w:lvlText w:val="o"/>
      <w:lvlJc w:val="left"/>
      <w:pPr>
        <w:ind w:left="215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A3A21F36">
      <w:start w:val="1"/>
      <w:numFmt w:val="bullet"/>
      <w:lvlText w:val="▪"/>
      <w:lvlJc w:val="left"/>
      <w:pPr>
        <w:ind w:left="287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CB88DAD8">
      <w:start w:val="1"/>
      <w:numFmt w:val="bullet"/>
      <w:lvlText w:val="•"/>
      <w:lvlJc w:val="left"/>
      <w:pPr>
        <w:ind w:left="359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1A6E47DE">
      <w:start w:val="1"/>
      <w:numFmt w:val="bullet"/>
      <w:lvlText w:val="o"/>
      <w:lvlJc w:val="left"/>
      <w:pPr>
        <w:ind w:left="431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A1C151C">
      <w:start w:val="1"/>
      <w:numFmt w:val="bullet"/>
      <w:lvlText w:val="▪"/>
      <w:lvlJc w:val="left"/>
      <w:pPr>
        <w:ind w:left="503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2F04262E">
      <w:start w:val="1"/>
      <w:numFmt w:val="bullet"/>
      <w:lvlText w:val="•"/>
      <w:lvlJc w:val="left"/>
      <w:pPr>
        <w:ind w:left="575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6DC0556">
      <w:start w:val="1"/>
      <w:numFmt w:val="bullet"/>
      <w:lvlText w:val="o"/>
      <w:lvlJc w:val="left"/>
      <w:pPr>
        <w:ind w:left="647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DB041C8">
      <w:start w:val="1"/>
      <w:numFmt w:val="bullet"/>
      <w:lvlText w:val="▪"/>
      <w:lvlJc w:val="left"/>
      <w:pPr>
        <w:ind w:left="719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097F70F6"/>
    <w:multiLevelType w:val="hybridMultilevel"/>
    <w:tmpl w:val="D99E1E2C"/>
    <w:lvl w:ilvl="0" w:tplc="087848A2">
      <w:start w:val="1"/>
      <w:numFmt w:val="decimal"/>
      <w:lvlText w:val="%1."/>
      <w:lvlJc w:val="left"/>
      <w:pPr>
        <w:ind w:left="7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19000A2">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8FADA08">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E38C9B0">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108C7CC">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902738A">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71E5A9C">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85E235C">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DC2F174">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5" w15:restartNumberingAfterBreak="0">
    <w:nsid w:val="0AE401C7"/>
    <w:multiLevelType w:val="hybridMultilevel"/>
    <w:tmpl w:val="CEB2F8BC"/>
    <w:lvl w:ilvl="0" w:tplc="F9A23FE2">
      <w:start w:val="1"/>
      <w:numFmt w:val="decimal"/>
      <w:lvlText w:val="%1."/>
      <w:lvlJc w:val="left"/>
      <w:pPr>
        <w:ind w:left="7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AFC937C">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AEAF6CA">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9A02C9C">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224B754">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4E4C574">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A6A5BA6">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D5E0C4C">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FC8A1D4">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6" w15:restartNumberingAfterBreak="0">
    <w:nsid w:val="0B5A2C62"/>
    <w:multiLevelType w:val="hybridMultilevel"/>
    <w:tmpl w:val="E4924A02"/>
    <w:lvl w:ilvl="0" w:tplc="BA0E58DE">
      <w:start w:val="9"/>
      <w:numFmt w:val="decimal"/>
      <w:lvlText w:val="%1."/>
      <w:lvlJc w:val="left"/>
      <w:pPr>
        <w:ind w:left="2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BFEF82A">
      <w:start w:val="1"/>
      <w:numFmt w:val="lowerLetter"/>
      <w:lvlText w:val="%2"/>
      <w:lvlJc w:val="left"/>
      <w:pPr>
        <w:ind w:left="17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E9A2856">
      <w:start w:val="1"/>
      <w:numFmt w:val="lowerRoman"/>
      <w:lvlText w:val="%3"/>
      <w:lvlJc w:val="left"/>
      <w:pPr>
        <w:ind w:left="2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8DA84D0">
      <w:start w:val="1"/>
      <w:numFmt w:val="decimal"/>
      <w:lvlText w:val="%4"/>
      <w:lvlJc w:val="left"/>
      <w:pPr>
        <w:ind w:left="3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A302DE2">
      <w:start w:val="1"/>
      <w:numFmt w:val="lowerLetter"/>
      <w:lvlText w:val="%5"/>
      <w:lvlJc w:val="left"/>
      <w:pPr>
        <w:ind w:left="3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DF2CC76">
      <w:start w:val="1"/>
      <w:numFmt w:val="lowerRoman"/>
      <w:lvlText w:val="%6"/>
      <w:lvlJc w:val="left"/>
      <w:pPr>
        <w:ind w:left="4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55CBE0A">
      <w:start w:val="1"/>
      <w:numFmt w:val="decimal"/>
      <w:lvlText w:val="%7"/>
      <w:lvlJc w:val="left"/>
      <w:pPr>
        <w:ind w:left="5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9A29C80">
      <w:start w:val="1"/>
      <w:numFmt w:val="lowerLetter"/>
      <w:lvlText w:val="%8"/>
      <w:lvlJc w:val="left"/>
      <w:pPr>
        <w:ind w:left="6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15883B8">
      <w:start w:val="1"/>
      <w:numFmt w:val="lowerRoman"/>
      <w:lvlText w:val="%9"/>
      <w:lvlJc w:val="left"/>
      <w:pPr>
        <w:ind w:left="6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0B9335CC"/>
    <w:multiLevelType w:val="hybridMultilevel"/>
    <w:tmpl w:val="1436CB04"/>
    <w:lvl w:ilvl="0" w:tplc="DF5C7352">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EE641D8">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9FE1EE8">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ED05B4A">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198792E">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DCEC8FC">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F321DD2">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0FCEF18">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5E68884">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8" w15:restartNumberingAfterBreak="0">
    <w:nsid w:val="0BC06B56"/>
    <w:multiLevelType w:val="hybridMultilevel"/>
    <w:tmpl w:val="30F233BE"/>
    <w:lvl w:ilvl="0" w:tplc="8C7856C8">
      <w:start w:val="1"/>
      <w:numFmt w:val="decimal"/>
      <w:lvlText w:val="[%1]"/>
      <w:lvlJc w:val="left"/>
      <w:pPr>
        <w:ind w:left="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AF0C22E">
      <w:start w:val="1"/>
      <w:numFmt w:val="lowerLetter"/>
      <w:lvlText w:val="%2"/>
      <w:lvlJc w:val="left"/>
      <w:pPr>
        <w:ind w:left="17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EEEABEE">
      <w:start w:val="1"/>
      <w:numFmt w:val="lowerRoman"/>
      <w:lvlText w:val="%3"/>
      <w:lvlJc w:val="left"/>
      <w:pPr>
        <w:ind w:left="2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F980474">
      <w:start w:val="1"/>
      <w:numFmt w:val="decimal"/>
      <w:lvlText w:val="%4"/>
      <w:lvlJc w:val="left"/>
      <w:pPr>
        <w:ind w:left="3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F4ED1DE">
      <w:start w:val="1"/>
      <w:numFmt w:val="lowerLetter"/>
      <w:lvlText w:val="%5"/>
      <w:lvlJc w:val="left"/>
      <w:pPr>
        <w:ind w:left="3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31EAC6A">
      <w:start w:val="1"/>
      <w:numFmt w:val="lowerRoman"/>
      <w:lvlText w:val="%6"/>
      <w:lvlJc w:val="left"/>
      <w:pPr>
        <w:ind w:left="4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3EA3C48">
      <w:start w:val="1"/>
      <w:numFmt w:val="decimal"/>
      <w:lvlText w:val="%7"/>
      <w:lvlJc w:val="left"/>
      <w:pPr>
        <w:ind w:left="5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E9C944A">
      <w:start w:val="1"/>
      <w:numFmt w:val="lowerLetter"/>
      <w:lvlText w:val="%8"/>
      <w:lvlJc w:val="left"/>
      <w:pPr>
        <w:ind w:left="6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9AC6FB8">
      <w:start w:val="1"/>
      <w:numFmt w:val="lowerRoman"/>
      <w:lvlText w:val="%9"/>
      <w:lvlJc w:val="left"/>
      <w:pPr>
        <w:ind w:left="6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0BDC2EDD"/>
    <w:multiLevelType w:val="hybridMultilevel"/>
    <w:tmpl w:val="064AC87A"/>
    <w:lvl w:ilvl="0" w:tplc="AA8C3F24">
      <w:start w:val="1"/>
      <w:numFmt w:val="decimal"/>
      <w:lvlText w:val="[%1]"/>
      <w:lvlJc w:val="left"/>
      <w:pPr>
        <w:ind w:left="7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11E109A">
      <w:start w:val="1"/>
      <w:numFmt w:val="lowerLetter"/>
      <w:lvlText w:val="%2"/>
      <w:lvlJc w:val="left"/>
      <w:pPr>
        <w:ind w:left="17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3948E1C">
      <w:start w:val="1"/>
      <w:numFmt w:val="lowerRoman"/>
      <w:lvlText w:val="%3"/>
      <w:lvlJc w:val="left"/>
      <w:pPr>
        <w:ind w:left="2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5E49F06">
      <w:start w:val="1"/>
      <w:numFmt w:val="decimal"/>
      <w:lvlText w:val="%4"/>
      <w:lvlJc w:val="left"/>
      <w:pPr>
        <w:ind w:left="3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A8CC626">
      <w:start w:val="1"/>
      <w:numFmt w:val="lowerLetter"/>
      <w:lvlText w:val="%5"/>
      <w:lvlJc w:val="left"/>
      <w:pPr>
        <w:ind w:left="3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C5A7084">
      <w:start w:val="1"/>
      <w:numFmt w:val="lowerRoman"/>
      <w:lvlText w:val="%6"/>
      <w:lvlJc w:val="left"/>
      <w:pPr>
        <w:ind w:left="4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4102DFE">
      <w:start w:val="1"/>
      <w:numFmt w:val="decimal"/>
      <w:lvlText w:val="%7"/>
      <w:lvlJc w:val="left"/>
      <w:pPr>
        <w:ind w:left="5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F004058">
      <w:start w:val="1"/>
      <w:numFmt w:val="lowerLetter"/>
      <w:lvlText w:val="%8"/>
      <w:lvlJc w:val="left"/>
      <w:pPr>
        <w:ind w:left="6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EB23228">
      <w:start w:val="1"/>
      <w:numFmt w:val="lowerRoman"/>
      <w:lvlText w:val="%9"/>
      <w:lvlJc w:val="left"/>
      <w:pPr>
        <w:ind w:left="6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0C4E3C4A"/>
    <w:multiLevelType w:val="hybridMultilevel"/>
    <w:tmpl w:val="551C86FA"/>
    <w:lvl w:ilvl="0" w:tplc="98B26C40">
      <w:start w:val="8"/>
      <w:numFmt w:val="decimal"/>
      <w:lvlText w:val="%1."/>
      <w:lvlJc w:val="left"/>
      <w:pPr>
        <w:ind w:left="1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FCE31FE">
      <w:start w:val="1"/>
      <w:numFmt w:val="lowerLetter"/>
      <w:lvlText w:val="%2"/>
      <w:lvlJc w:val="left"/>
      <w:pPr>
        <w:ind w:left="1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6224828">
      <w:start w:val="1"/>
      <w:numFmt w:val="lowerRoman"/>
      <w:lvlText w:val="%3"/>
      <w:lvlJc w:val="left"/>
      <w:pPr>
        <w:ind w:left="2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A8CBA5A">
      <w:start w:val="1"/>
      <w:numFmt w:val="decimal"/>
      <w:lvlText w:val="%4"/>
      <w:lvlJc w:val="left"/>
      <w:pPr>
        <w:ind w:left="3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D74F2AE">
      <w:start w:val="1"/>
      <w:numFmt w:val="lowerLetter"/>
      <w:lvlText w:val="%5"/>
      <w:lvlJc w:val="left"/>
      <w:pPr>
        <w:ind w:left="3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B0EEC4C">
      <w:start w:val="1"/>
      <w:numFmt w:val="lowerRoman"/>
      <w:lvlText w:val="%6"/>
      <w:lvlJc w:val="left"/>
      <w:pPr>
        <w:ind w:left="4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E40E73A">
      <w:start w:val="1"/>
      <w:numFmt w:val="decimal"/>
      <w:lvlText w:val="%7"/>
      <w:lvlJc w:val="left"/>
      <w:pPr>
        <w:ind w:left="52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830DBF8">
      <w:start w:val="1"/>
      <w:numFmt w:val="lowerLetter"/>
      <w:lvlText w:val="%8"/>
      <w:lvlJc w:val="left"/>
      <w:pPr>
        <w:ind w:left="59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FE6D5BA">
      <w:start w:val="1"/>
      <w:numFmt w:val="lowerRoman"/>
      <w:lvlText w:val="%9"/>
      <w:lvlJc w:val="left"/>
      <w:pPr>
        <w:ind w:left="66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0CB35EF3"/>
    <w:multiLevelType w:val="hybridMultilevel"/>
    <w:tmpl w:val="99E207C2"/>
    <w:lvl w:ilvl="0" w:tplc="FD7659EC">
      <w:start w:val="1"/>
      <w:numFmt w:val="decimal"/>
      <w:lvlText w:val="%1."/>
      <w:lvlJc w:val="left"/>
      <w:pPr>
        <w:ind w:left="9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7CEA4AA">
      <w:start w:val="1"/>
      <w:numFmt w:val="lowerLetter"/>
      <w:lvlText w:val="%2"/>
      <w:lvlJc w:val="left"/>
      <w:pPr>
        <w:ind w:left="17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CECB374">
      <w:start w:val="1"/>
      <w:numFmt w:val="lowerRoman"/>
      <w:lvlText w:val="%3"/>
      <w:lvlJc w:val="left"/>
      <w:pPr>
        <w:ind w:left="2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5765B48">
      <w:start w:val="1"/>
      <w:numFmt w:val="decimal"/>
      <w:lvlText w:val="%4"/>
      <w:lvlJc w:val="left"/>
      <w:pPr>
        <w:ind w:left="3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D38D1E6">
      <w:start w:val="1"/>
      <w:numFmt w:val="lowerLetter"/>
      <w:lvlText w:val="%5"/>
      <w:lvlJc w:val="left"/>
      <w:pPr>
        <w:ind w:left="3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B04DFB2">
      <w:start w:val="1"/>
      <w:numFmt w:val="lowerRoman"/>
      <w:lvlText w:val="%6"/>
      <w:lvlJc w:val="left"/>
      <w:pPr>
        <w:ind w:left="4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27614AC">
      <w:start w:val="1"/>
      <w:numFmt w:val="decimal"/>
      <w:lvlText w:val="%7"/>
      <w:lvlJc w:val="left"/>
      <w:pPr>
        <w:ind w:left="5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4B02818">
      <w:start w:val="1"/>
      <w:numFmt w:val="lowerLetter"/>
      <w:lvlText w:val="%8"/>
      <w:lvlJc w:val="left"/>
      <w:pPr>
        <w:ind w:left="6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E842E9E">
      <w:start w:val="1"/>
      <w:numFmt w:val="lowerRoman"/>
      <w:lvlText w:val="%9"/>
      <w:lvlJc w:val="left"/>
      <w:pPr>
        <w:ind w:left="6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0D1179D2"/>
    <w:multiLevelType w:val="hybridMultilevel"/>
    <w:tmpl w:val="88C0D25A"/>
    <w:lvl w:ilvl="0" w:tplc="57526F2C">
      <w:start w:val="1"/>
      <w:numFmt w:val="bullet"/>
      <w:lvlText w:val="-"/>
      <w:lvlJc w:val="left"/>
      <w:pPr>
        <w:ind w:left="28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FC2C74C">
      <w:start w:val="1"/>
      <w:numFmt w:val="bullet"/>
      <w:lvlText w:val="o"/>
      <w:lvlJc w:val="left"/>
      <w:pPr>
        <w:ind w:left="17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9769CB4">
      <w:start w:val="1"/>
      <w:numFmt w:val="bullet"/>
      <w:lvlText w:val="▪"/>
      <w:lvlJc w:val="left"/>
      <w:pPr>
        <w:ind w:left="25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48E748A">
      <w:start w:val="1"/>
      <w:numFmt w:val="bullet"/>
      <w:lvlText w:val="•"/>
      <w:lvlJc w:val="left"/>
      <w:pPr>
        <w:ind w:left="32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F40DA6C">
      <w:start w:val="1"/>
      <w:numFmt w:val="bullet"/>
      <w:lvlText w:val="o"/>
      <w:lvlJc w:val="left"/>
      <w:pPr>
        <w:ind w:left="39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3E8E84C">
      <w:start w:val="1"/>
      <w:numFmt w:val="bullet"/>
      <w:lvlText w:val="▪"/>
      <w:lvlJc w:val="left"/>
      <w:pPr>
        <w:ind w:left="46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8326318">
      <w:start w:val="1"/>
      <w:numFmt w:val="bullet"/>
      <w:lvlText w:val="•"/>
      <w:lvlJc w:val="left"/>
      <w:pPr>
        <w:ind w:left="53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D90C0F4">
      <w:start w:val="1"/>
      <w:numFmt w:val="bullet"/>
      <w:lvlText w:val="o"/>
      <w:lvlJc w:val="left"/>
      <w:pPr>
        <w:ind w:left="61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668CF5A">
      <w:start w:val="1"/>
      <w:numFmt w:val="bullet"/>
      <w:lvlText w:val="▪"/>
      <w:lvlJc w:val="left"/>
      <w:pPr>
        <w:ind w:left="68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3" w15:restartNumberingAfterBreak="0">
    <w:nsid w:val="0D1A4F59"/>
    <w:multiLevelType w:val="hybridMultilevel"/>
    <w:tmpl w:val="C194018A"/>
    <w:lvl w:ilvl="0" w:tplc="6B8EBDF4">
      <w:start w:val="1"/>
      <w:numFmt w:val="decimal"/>
      <w:lvlText w:val="%1)"/>
      <w:lvlJc w:val="left"/>
      <w:pPr>
        <w:ind w:left="28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2D4F372">
      <w:start w:val="1"/>
      <w:numFmt w:val="lowerLetter"/>
      <w:lvlText w:val="%2"/>
      <w:lvlJc w:val="left"/>
      <w:pPr>
        <w:ind w:left="16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D6E7606">
      <w:start w:val="1"/>
      <w:numFmt w:val="lowerRoman"/>
      <w:lvlText w:val="%3"/>
      <w:lvlJc w:val="left"/>
      <w:pPr>
        <w:ind w:left="23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FBEA39C">
      <w:start w:val="1"/>
      <w:numFmt w:val="decimal"/>
      <w:lvlText w:val="%4"/>
      <w:lvlJc w:val="left"/>
      <w:pPr>
        <w:ind w:left="30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57C57DE">
      <w:start w:val="1"/>
      <w:numFmt w:val="lowerLetter"/>
      <w:lvlText w:val="%5"/>
      <w:lvlJc w:val="left"/>
      <w:pPr>
        <w:ind w:left="38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E60DC50">
      <w:start w:val="1"/>
      <w:numFmt w:val="lowerRoman"/>
      <w:lvlText w:val="%6"/>
      <w:lvlJc w:val="left"/>
      <w:pPr>
        <w:ind w:left="45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05825A4">
      <w:start w:val="1"/>
      <w:numFmt w:val="decimal"/>
      <w:lvlText w:val="%7"/>
      <w:lvlJc w:val="left"/>
      <w:pPr>
        <w:ind w:left="52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3040272">
      <w:start w:val="1"/>
      <w:numFmt w:val="lowerLetter"/>
      <w:lvlText w:val="%8"/>
      <w:lvlJc w:val="left"/>
      <w:pPr>
        <w:ind w:left="59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80A1F74">
      <w:start w:val="1"/>
      <w:numFmt w:val="lowerRoman"/>
      <w:lvlText w:val="%9"/>
      <w:lvlJc w:val="left"/>
      <w:pPr>
        <w:ind w:left="66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4" w15:restartNumberingAfterBreak="0">
    <w:nsid w:val="0D523741"/>
    <w:multiLevelType w:val="hybridMultilevel"/>
    <w:tmpl w:val="F22AC008"/>
    <w:lvl w:ilvl="0" w:tplc="9DEA94D8">
      <w:start w:val="1"/>
      <w:numFmt w:val="lowerLetter"/>
      <w:lvlText w:val="%1)"/>
      <w:lvlJc w:val="left"/>
      <w:pPr>
        <w:ind w:left="101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7060D92">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6C87780">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122A898">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CAEBF78">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BE0AA3C">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0C0927A">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76AD6AC">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CFED628">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5" w15:restartNumberingAfterBreak="0">
    <w:nsid w:val="0DA47A6B"/>
    <w:multiLevelType w:val="hybridMultilevel"/>
    <w:tmpl w:val="505064F0"/>
    <w:lvl w:ilvl="0" w:tplc="BEEE5982">
      <w:start w:val="1"/>
      <w:numFmt w:val="bullet"/>
      <w:lvlText w:val="•"/>
      <w:lvlJc w:val="left"/>
      <w:pPr>
        <w:ind w:left="10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9FA35D0">
      <w:start w:val="1"/>
      <w:numFmt w:val="bullet"/>
      <w:lvlText w:val="o"/>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2EA38E0">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35E6F8A">
      <w:start w:val="1"/>
      <w:numFmt w:val="bullet"/>
      <w:lvlText w:val="•"/>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E328412">
      <w:start w:val="1"/>
      <w:numFmt w:val="bullet"/>
      <w:lvlText w:val="o"/>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386694A">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B3C2682">
      <w:start w:val="1"/>
      <w:numFmt w:val="bullet"/>
      <w:lvlText w:val="•"/>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0484276">
      <w:start w:val="1"/>
      <w:numFmt w:val="bullet"/>
      <w:lvlText w:val="o"/>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9420B3A">
      <w:start w:val="1"/>
      <w:numFmt w:val="bullet"/>
      <w:lvlText w:val="▪"/>
      <w:lvlJc w:val="left"/>
      <w:pPr>
        <w:ind w:left="6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6" w15:restartNumberingAfterBreak="0">
    <w:nsid w:val="0E3A0665"/>
    <w:multiLevelType w:val="hybridMultilevel"/>
    <w:tmpl w:val="FF1C584A"/>
    <w:lvl w:ilvl="0" w:tplc="75781558">
      <w:start w:val="9"/>
      <w:numFmt w:val="decimal"/>
      <w:lvlText w:val="[%1]"/>
      <w:lvlJc w:val="left"/>
      <w:pPr>
        <w:ind w:left="2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33401C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9C044C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7BAB054">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C12DE14">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4BADAE6">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F065510">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9C8A48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BDAE70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0E6B5947"/>
    <w:multiLevelType w:val="hybridMultilevel"/>
    <w:tmpl w:val="6BF65CEA"/>
    <w:lvl w:ilvl="0" w:tplc="EC46D0A0">
      <w:start w:val="1"/>
      <w:numFmt w:val="decimal"/>
      <w:lvlText w:val="[%1]"/>
      <w:lvlJc w:val="left"/>
      <w:pPr>
        <w:ind w:left="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26293C0">
      <w:start w:val="1"/>
      <w:numFmt w:val="lowerLetter"/>
      <w:lvlText w:val="%2"/>
      <w:lvlJc w:val="left"/>
      <w:pPr>
        <w:ind w:left="17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B40541A">
      <w:start w:val="1"/>
      <w:numFmt w:val="lowerRoman"/>
      <w:lvlText w:val="%3"/>
      <w:lvlJc w:val="left"/>
      <w:pPr>
        <w:ind w:left="2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14AB9CE">
      <w:start w:val="1"/>
      <w:numFmt w:val="decimal"/>
      <w:lvlText w:val="%4"/>
      <w:lvlJc w:val="left"/>
      <w:pPr>
        <w:ind w:left="3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F9A2546">
      <w:start w:val="1"/>
      <w:numFmt w:val="lowerLetter"/>
      <w:lvlText w:val="%5"/>
      <w:lvlJc w:val="left"/>
      <w:pPr>
        <w:ind w:left="3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03A5074">
      <w:start w:val="1"/>
      <w:numFmt w:val="lowerRoman"/>
      <w:lvlText w:val="%6"/>
      <w:lvlJc w:val="left"/>
      <w:pPr>
        <w:ind w:left="4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0F4D64A">
      <w:start w:val="1"/>
      <w:numFmt w:val="decimal"/>
      <w:lvlText w:val="%7"/>
      <w:lvlJc w:val="left"/>
      <w:pPr>
        <w:ind w:left="5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7865D8A">
      <w:start w:val="1"/>
      <w:numFmt w:val="lowerLetter"/>
      <w:lvlText w:val="%8"/>
      <w:lvlJc w:val="left"/>
      <w:pPr>
        <w:ind w:left="6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E260650">
      <w:start w:val="1"/>
      <w:numFmt w:val="lowerRoman"/>
      <w:lvlText w:val="%9"/>
      <w:lvlJc w:val="left"/>
      <w:pPr>
        <w:ind w:left="6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0F974B4C"/>
    <w:multiLevelType w:val="hybridMultilevel"/>
    <w:tmpl w:val="B0623FF8"/>
    <w:lvl w:ilvl="0" w:tplc="60E49D7C">
      <w:start w:val="1"/>
      <w:numFmt w:val="bullet"/>
      <w:lvlText w:val="●"/>
      <w:lvlJc w:val="left"/>
      <w:pPr>
        <w:ind w:left="7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902A6F6">
      <w:start w:val="1"/>
      <w:numFmt w:val="bullet"/>
      <w:lvlText w:val="o"/>
      <w:lvlJc w:val="left"/>
      <w:pPr>
        <w:ind w:left="145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C3C1D72">
      <w:start w:val="1"/>
      <w:numFmt w:val="bullet"/>
      <w:lvlText w:val="▪"/>
      <w:lvlJc w:val="left"/>
      <w:pPr>
        <w:ind w:left="217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DEC9308">
      <w:start w:val="1"/>
      <w:numFmt w:val="bullet"/>
      <w:lvlText w:val="•"/>
      <w:lvlJc w:val="left"/>
      <w:pPr>
        <w:ind w:left="28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68AA8CE">
      <w:start w:val="1"/>
      <w:numFmt w:val="bullet"/>
      <w:lvlText w:val="o"/>
      <w:lvlJc w:val="left"/>
      <w:pPr>
        <w:ind w:left="36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5AABD8E">
      <w:start w:val="1"/>
      <w:numFmt w:val="bullet"/>
      <w:lvlText w:val="▪"/>
      <w:lvlJc w:val="left"/>
      <w:pPr>
        <w:ind w:left="433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28E457A">
      <w:start w:val="1"/>
      <w:numFmt w:val="bullet"/>
      <w:lvlText w:val="•"/>
      <w:lvlJc w:val="left"/>
      <w:pPr>
        <w:ind w:left="505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1B82CBE">
      <w:start w:val="1"/>
      <w:numFmt w:val="bullet"/>
      <w:lvlText w:val="o"/>
      <w:lvlJc w:val="left"/>
      <w:pPr>
        <w:ind w:left="577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97EC550">
      <w:start w:val="1"/>
      <w:numFmt w:val="bullet"/>
      <w:lvlText w:val="▪"/>
      <w:lvlJc w:val="left"/>
      <w:pPr>
        <w:ind w:left="64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9" w15:restartNumberingAfterBreak="0">
    <w:nsid w:val="10B34733"/>
    <w:multiLevelType w:val="hybridMultilevel"/>
    <w:tmpl w:val="6A8635C2"/>
    <w:lvl w:ilvl="0" w:tplc="A0A0C4DA">
      <w:start w:val="1"/>
      <w:numFmt w:val="bullet"/>
      <w:lvlText w:val="-"/>
      <w:lvlJc w:val="left"/>
      <w:pPr>
        <w:ind w:left="5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616B764">
      <w:start w:val="1"/>
      <w:numFmt w:val="bullet"/>
      <w:lvlText w:val="o"/>
      <w:lvlJc w:val="left"/>
      <w:pPr>
        <w:ind w:left="16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30B4EE60">
      <w:start w:val="1"/>
      <w:numFmt w:val="bullet"/>
      <w:lvlText w:val="▪"/>
      <w:lvlJc w:val="left"/>
      <w:pPr>
        <w:ind w:left="23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6A303AF4">
      <w:start w:val="1"/>
      <w:numFmt w:val="bullet"/>
      <w:lvlText w:val="•"/>
      <w:lvlJc w:val="left"/>
      <w:pPr>
        <w:ind w:left="30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51295CC">
      <w:start w:val="1"/>
      <w:numFmt w:val="bullet"/>
      <w:lvlText w:val="o"/>
      <w:lvlJc w:val="left"/>
      <w:pPr>
        <w:ind w:left="38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4F20FB6A">
      <w:start w:val="1"/>
      <w:numFmt w:val="bullet"/>
      <w:lvlText w:val="▪"/>
      <w:lvlJc w:val="left"/>
      <w:pPr>
        <w:ind w:left="45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A786D28">
      <w:start w:val="1"/>
      <w:numFmt w:val="bullet"/>
      <w:lvlText w:val="•"/>
      <w:lvlJc w:val="left"/>
      <w:pPr>
        <w:ind w:left="52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080AD740">
      <w:start w:val="1"/>
      <w:numFmt w:val="bullet"/>
      <w:lvlText w:val="o"/>
      <w:lvlJc w:val="left"/>
      <w:pPr>
        <w:ind w:left="59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DA0B1A6">
      <w:start w:val="1"/>
      <w:numFmt w:val="bullet"/>
      <w:lvlText w:val="▪"/>
      <w:lvlJc w:val="left"/>
      <w:pPr>
        <w:ind w:left="66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0" w15:restartNumberingAfterBreak="0">
    <w:nsid w:val="10FB1F3D"/>
    <w:multiLevelType w:val="hybridMultilevel"/>
    <w:tmpl w:val="3B32492E"/>
    <w:lvl w:ilvl="0" w:tplc="E74A84AC">
      <w:start w:val="1"/>
      <w:numFmt w:val="decimal"/>
      <w:lvlText w:val="%1."/>
      <w:lvlJc w:val="left"/>
      <w:pPr>
        <w:ind w:left="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10ABE7A">
      <w:start w:val="1"/>
      <w:numFmt w:val="lowerLetter"/>
      <w:lvlText w:val="%2"/>
      <w:lvlJc w:val="left"/>
      <w:pPr>
        <w:ind w:left="17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272D4E2">
      <w:start w:val="1"/>
      <w:numFmt w:val="lowerRoman"/>
      <w:lvlText w:val="%3"/>
      <w:lvlJc w:val="left"/>
      <w:pPr>
        <w:ind w:left="2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538808A">
      <w:start w:val="1"/>
      <w:numFmt w:val="decimal"/>
      <w:lvlText w:val="%4"/>
      <w:lvlJc w:val="left"/>
      <w:pPr>
        <w:ind w:left="3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EEEE2F8">
      <w:start w:val="1"/>
      <w:numFmt w:val="lowerLetter"/>
      <w:lvlText w:val="%5"/>
      <w:lvlJc w:val="left"/>
      <w:pPr>
        <w:ind w:left="3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280035A">
      <w:start w:val="1"/>
      <w:numFmt w:val="lowerRoman"/>
      <w:lvlText w:val="%6"/>
      <w:lvlJc w:val="left"/>
      <w:pPr>
        <w:ind w:left="4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5AA709A">
      <w:start w:val="1"/>
      <w:numFmt w:val="decimal"/>
      <w:lvlText w:val="%7"/>
      <w:lvlJc w:val="left"/>
      <w:pPr>
        <w:ind w:left="5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A3E852E">
      <w:start w:val="1"/>
      <w:numFmt w:val="lowerLetter"/>
      <w:lvlText w:val="%8"/>
      <w:lvlJc w:val="left"/>
      <w:pPr>
        <w:ind w:left="6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17C0D2A">
      <w:start w:val="1"/>
      <w:numFmt w:val="lowerRoman"/>
      <w:lvlText w:val="%9"/>
      <w:lvlJc w:val="left"/>
      <w:pPr>
        <w:ind w:left="6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1" w15:restartNumberingAfterBreak="0">
    <w:nsid w:val="1276747D"/>
    <w:multiLevelType w:val="hybridMultilevel"/>
    <w:tmpl w:val="80325B12"/>
    <w:lvl w:ilvl="0" w:tplc="3E583910">
      <w:start w:val="5"/>
      <w:numFmt w:val="decimal"/>
      <w:lvlText w:val="[%1]"/>
      <w:lvlJc w:val="left"/>
      <w:pPr>
        <w:ind w:left="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3F41DB0">
      <w:start w:val="1"/>
      <w:numFmt w:val="lowerLetter"/>
      <w:lvlText w:val="%2"/>
      <w:lvlJc w:val="left"/>
      <w:pPr>
        <w:ind w:left="17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B72E3EA">
      <w:start w:val="1"/>
      <w:numFmt w:val="lowerRoman"/>
      <w:lvlText w:val="%3"/>
      <w:lvlJc w:val="left"/>
      <w:pPr>
        <w:ind w:left="25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7D21EE6">
      <w:start w:val="1"/>
      <w:numFmt w:val="decimal"/>
      <w:lvlText w:val="%4"/>
      <w:lvlJc w:val="left"/>
      <w:pPr>
        <w:ind w:left="32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2528A62">
      <w:start w:val="1"/>
      <w:numFmt w:val="lowerLetter"/>
      <w:lvlText w:val="%5"/>
      <w:lvlJc w:val="left"/>
      <w:pPr>
        <w:ind w:left="39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D801614">
      <w:start w:val="1"/>
      <w:numFmt w:val="lowerRoman"/>
      <w:lvlText w:val="%6"/>
      <w:lvlJc w:val="left"/>
      <w:pPr>
        <w:ind w:left="46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0BE92CC">
      <w:start w:val="1"/>
      <w:numFmt w:val="decimal"/>
      <w:lvlText w:val="%7"/>
      <w:lvlJc w:val="left"/>
      <w:pPr>
        <w:ind w:left="53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AE8936A">
      <w:start w:val="1"/>
      <w:numFmt w:val="lowerLetter"/>
      <w:lvlText w:val="%8"/>
      <w:lvlJc w:val="left"/>
      <w:pPr>
        <w:ind w:left="61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3BA14AC">
      <w:start w:val="1"/>
      <w:numFmt w:val="lowerRoman"/>
      <w:lvlText w:val="%9"/>
      <w:lvlJc w:val="left"/>
      <w:pPr>
        <w:ind w:left="68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137366BA"/>
    <w:multiLevelType w:val="hybridMultilevel"/>
    <w:tmpl w:val="674A15A8"/>
    <w:lvl w:ilvl="0" w:tplc="3F10D38C">
      <w:start w:val="1"/>
      <w:numFmt w:val="decimal"/>
      <w:lvlText w:val="[%1]"/>
      <w:lvlJc w:val="left"/>
      <w:pPr>
        <w:ind w:left="10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56A21F24">
      <w:start w:val="1"/>
      <w:numFmt w:val="lowerLetter"/>
      <w:lvlText w:val="%2"/>
      <w:lvlJc w:val="left"/>
      <w:pPr>
        <w:ind w:left="189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26C0087C">
      <w:start w:val="1"/>
      <w:numFmt w:val="lowerRoman"/>
      <w:lvlText w:val="%3"/>
      <w:lvlJc w:val="left"/>
      <w:pPr>
        <w:ind w:left="261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B7A0F4B0">
      <w:start w:val="1"/>
      <w:numFmt w:val="decimal"/>
      <w:lvlText w:val="%4"/>
      <w:lvlJc w:val="left"/>
      <w:pPr>
        <w:ind w:left="333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A0D47C48">
      <w:start w:val="1"/>
      <w:numFmt w:val="lowerLetter"/>
      <w:lvlText w:val="%5"/>
      <w:lvlJc w:val="left"/>
      <w:pPr>
        <w:ind w:left="405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3CC479B0">
      <w:start w:val="1"/>
      <w:numFmt w:val="lowerRoman"/>
      <w:lvlText w:val="%6"/>
      <w:lvlJc w:val="left"/>
      <w:pPr>
        <w:ind w:left="477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D68C7B90">
      <w:start w:val="1"/>
      <w:numFmt w:val="decimal"/>
      <w:lvlText w:val="%7"/>
      <w:lvlJc w:val="left"/>
      <w:pPr>
        <w:ind w:left="549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CC46437A">
      <w:start w:val="1"/>
      <w:numFmt w:val="lowerLetter"/>
      <w:lvlText w:val="%8"/>
      <w:lvlJc w:val="left"/>
      <w:pPr>
        <w:ind w:left="621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29AC227E">
      <w:start w:val="1"/>
      <w:numFmt w:val="lowerRoman"/>
      <w:lvlText w:val="%9"/>
      <w:lvlJc w:val="left"/>
      <w:pPr>
        <w:ind w:left="693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3" w15:restartNumberingAfterBreak="0">
    <w:nsid w:val="148A143A"/>
    <w:multiLevelType w:val="hybridMultilevel"/>
    <w:tmpl w:val="5F6AC96A"/>
    <w:lvl w:ilvl="0" w:tplc="9ED02CFC">
      <w:start w:val="2"/>
      <w:numFmt w:val="decimal"/>
      <w:lvlText w:val="[%1]"/>
      <w:lvlJc w:val="left"/>
      <w:pPr>
        <w:ind w:left="5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7F63AC0">
      <w:start w:val="1"/>
      <w:numFmt w:val="lowerLetter"/>
      <w:lvlText w:val="%2"/>
      <w:lvlJc w:val="left"/>
      <w:pPr>
        <w:ind w:left="16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064EF76">
      <w:start w:val="1"/>
      <w:numFmt w:val="lowerRoman"/>
      <w:lvlText w:val="%3"/>
      <w:lvlJc w:val="left"/>
      <w:pPr>
        <w:ind w:left="23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50ACEDC">
      <w:start w:val="1"/>
      <w:numFmt w:val="decimal"/>
      <w:lvlText w:val="%4"/>
      <w:lvlJc w:val="left"/>
      <w:pPr>
        <w:ind w:left="30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AB01298">
      <w:start w:val="1"/>
      <w:numFmt w:val="lowerLetter"/>
      <w:lvlText w:val="%5"/>
      <w:lvlJc w:val="left"/>
      <w:pPr>
        <w:ind w:left="38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8C66E50">
      <w:start w:val="1"/>
      <w:numFmt w:val="lowerRoman"/>
      <w:lvlText w:val="%6"/>
      <w:lvlJc w:val="left"/>
      <w:pPr>
        <w:ind w:left="45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03607C2">
      <w:start w:val="1"/>
      <w:numFmt w:val="decimal"/>
      <w:lvlText w:val="%7"/>
      <w:lvlJc w:val="left"/>
      <w:pPr>
        <w:ind w:left="52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18CB5CC">
      <w:start w:val="1"/>
      <w:numFmt w:val="lowerLetter"/>
      <w:lvlText w:val="%8"/>
      <w:lvlJc w:val="left"/>
      <w:pPr>
        <w:ind w:left="59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2DE4986">
      <w:start w:val="1"/>
      <w:numFmt w:val="lowerRoman"/>
      <w:lvlText w:val="%9"/>
      <w:lvlJc w:val="left"/>
      <w:pPr>
        <w:ind w:left="66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4" w15:restartNumberingAfterBreak="0">
    <w:nsid w:val="14C508EA"/>
    <w:multiLevelType w:val="hybridMultilevel"/>
    <w:tmpl w:val="6394C0A4"/>
    <w:lvl w:ilvl="0" w:tplc="F4ECA3F4">
      <w:start w:val="1"/>
      <w:numFmt w:val="bullet"/>
      <w:lvlText w:val="–"/>
      <w:lvlJc w:val="left"/>
      <w:pPr>
        <w:ind w:left="2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C7E15EC">
      <w:start w:val="1"/>
      <w:numFmt w:val="bullet"/>
      <w:lvlText w:val="o"/>
      <w:lvlJc w:val="left"/>
      <w:pPr>
        <w:ind w:left="16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B488C80">
      <w:start w:val="1"/>
      <w:numFmt w:val="bullet"/>
      <w:lvlText w:val="▪"/>
      <w:lvlJc w:val="left"/>
      <w:pPr>
        <w:ind w:left="23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118DB7C">
      <w:start w:val="1"/>
      <w:numFmt w:val="bullet"/>
      <w:lvlText w:val="•"/>
      <w:lvlJc w:val="left"/>
      <w:pPr>
        <w:ind w:left="30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2F877BE">
      <w:start w:val="1"/>
      <w:numFmt w:val="bullet"/>
      <w:lvlText w:val="o"/>
      <w:lvlJc w:val="left"/>
      <w:pPr>
        <w:ind w:left="38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EAAD158">
      <w:start w:val="1"/>
      <w:numFmt w:val="bullet"/>
      <w:lvlText w:val="▪"/>
      <w:lvlJc w:val="left"/>
      <w:pPr>
        <w:ind w:left="45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2EA2A28">
      <w:start w:val="1"/>
      <w:numFmt w:val="bullet"/>
      <w:lvlText w:val="•"/>
      <w:lvlJc w:val="left"/>
      <w:pPr>
        <w:ind w:left="52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F0CB366">
      <w:start w:val="1"/>
      <w:numFmt w:val="bullet"/>
      <w:lvlText w:val="o"/>
      <w:lvlJc w:val="left"/>
      <w:pPr>
        <w:ind w:left="59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7FE7630">
      <w:start w:val="1"/>
      <w:numFmt w:val="bullet"/>
      <w:lvlText w:val="▪"/>
      <w:lvlJc w:val="left"/>
      <w:pPr>
        <w:ind w:left="66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5" w15:restartNumberingAfterBreak="0">
    <w:nsid w:val="15354172"/>
    <w:multiLevelType w:val="hybridMultilevel"/>
    <w:tmpl w:val="D64231F0"/>
    <w:lvl w:ilvl="0" w:tplc="2AD82316">
      <w:start w:val="1"/>
      <w:numFmt w:val="bullet"/>
      <w:lvlText w:val="-"/>
      <w:lvlJc w:val="left"/>
      <w:pPr>
        <w:ind w:left="1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78D0658C">
      <w:start w:val="1"/>
      <w:numFmt w:val="bullet"/>
      <w:lvlText w:val="o"/>
      <w:lvlJc w:val="left"/>
      <w:pPr>
        <w:ind w:left="156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190E88F2">
      <w:start w:val="1"/>
      <w:numFmt w:val="bullet"/>
      <w:lvlText w:val="▪"/>
      <w:lvlJc w:val="left"/>
      <w:pPr>
        <w:ind w:left="228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0D82B350">
      <w:start w:val="1"/>
      <w:numFmt w:val="bullet"/>
      <w:lvlText w:val="•"/>
      <w:lvlJc w:val="left"/>
      <w:pPr>
        <w:ind w:left="300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B54A7EBC">
      <w:start w:val="1"/>
      <w:numFmt w:val="bullet"/>
      <w:lvlText w:val="o"/>
      <w:lvlJc w:val="left"/>
      <w:pPr>
        <w:ind w:left="372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930CCB36">
      <w:start w:val="1"/>
      <w:numFmt w:val="bullet"/>
      <w:lvlText w:val="▪"/>
      <w:lvlJc w:val="left"/>
      <w:pPr>
        <w:ind w:left="444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879A80C8">
      <w:start w:val="1"/>
      <w:numFmt w:val="bullet"/>
      <w:lvlText w:val="•"/>
      <w:lvlJc w:val="left"/>
      <w:pPr>
        <w:ind w:left="516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F7889D9A">
      <w:start w:val="1"/>
      <w:numFmt w:val="bullet"/>
      <w:lvlText w:val="o"/>
      <w:lvlJc w:val="left"/>
      <w:pPr>
        <w:ind w:left="588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C832D5E4">
      <w:start w:val="1"/>
      <w:numFmt w:val="bullet"/>
      <w:lvlText w:val="▪"/>
      <w:lvlJc w:val="left"/>
      <w:pPr>
        <w:ind w:left="660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36" w15:restartNumberingAfterBreak="0">
    <w:nsid w:val="15481EEC"/>
    <w:multiLevelType w:val="hybridMultilevel"/>
    <w:tmpl w:val="D0F8543C"/>
    <w:lvl w:ilvl="0" w:tplc="F86A8080">
      <w:start w:val="1"/>
      <w:numFmt w:val="bullet"/>
      <w:lvlText w:val="-"/>
      <w:lvlJc w:val="left"/>
      <w:pPr>
        <w:ind w:left="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51A240D0">
      <w:start w:val="1"/>
      <w:numFmt w:val="bullet"/>
      <w:lvlText w:val="o"/>
      <w:lvlJc w:val="left"/>
      <w:pPr>
        <w:ind w:left="155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FB488418">
      <w:start w:val="1"/>
      <w:numFmt w:val="bullet"/>
      <w:lvlText w:val="▪"/>
      <w:lvlJc w:val="left"/>
      <w:pPr>
        <w:ind w:left="227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144C2FF0">
      <w:start w:val="1"/>
      <w:numFmt w:val="bullet"/>
      <w:lvlText w:val="•"/>
      <w:lvlJc w:val="left"/>
      <w:pPr>
        <w:ind w:left="299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5BC032B2">
      <w:start w:val="1"/>
      <w:numFmt w:val="bullet"/>
      <w:lvlText w:val="o"/>
      <w:lvlJc w:val="left"/>
      <w:pPr>
        <w:ind w:left="371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3A4249DE">
      <w:start w:val="1"/>
      <w:numFmt w:val="bullet"/>
      <w:lvlText w:val="▪"/>
      <w:lvlJc w:val="left"/>
      <w:pPr>
        <w:ind w:left="443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4A5055A2">
      <w:start w:val="1"/>
      <w:numFmt w:val="bullet"/>
      <w:lvlText w:val="•"/>
      <w:lvlJc w:val="left"/>
      <w:pPr>
        <w:ind w:left="515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85545274">
      <w:start w:val="1"/>
      <w:numFmt w:val="bullet"/>
      <w:lvlText w:val="o"/>
      <w:lvlJc w:val="left"/>
      <w:pPr>
        <w:ind w:left="587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8188A4A8">
      <w:start w:val="1"/>
      <w:numFmt w:val="bullet"/>
      <w:lvlText w:val="▪"/>
      <w:lvlJc w:val="left"/>
      <w:pPr>
        <w:ind w:left="659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37" w15:restartNumberingAfterBreak="0">
    <w:nsid w:val="1837346F"/>
    <w:multiLevelType w:val="hybridMultilevel"/>
    <w:tmpl w:val="A1E66B0C"/>
    <w:lvl w:ilvl="0" w:tplc="17884380">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2CA0E32">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1C896E8">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9B267D6">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B88255C">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8EA661C">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B706664">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364F542">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A88E9F6">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8" w15:restartNumberingAfterBreak="0">
    <w:nsid w:val="18CF6750"/>
    <w:multiLevelType w:val="hybridMultilevel"/>
    <w:tmpl w:val="495CCAB0"/>
    <w:lvl w:ilvl="0" w:tplc="65DE76CC">
      <w:start w:val="1"/>
      <w:numFmt w:val="decimal"/>
      <w:lvlText w:val="%1)"/>
      <w:lvlJc w:val="left"/>
      <w:pPr>
        <w:ind w:left="2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D224060">
      <w:start w:val="1"/>
      <w:numFmt w:val="lowerLetter"/>
      <w:lvlText w:val="%2"/>
      <w:lvlJc w:val="left"/>
      <w:pPr>
        <w:ind w:left="17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482CB4E">
      <w:start w:val="1"/>
      <w:numFmt w:val="lowerRoman"/>
      <w:lvlText w:val="%3"/>
      <w:lvlJc w:val="left"/>
      <w:pPr>
        <w:ind w:left="2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60ABA92">
      <w:start w:val="1"/>
      <w:numFmt w:val="decimal"/>
      <w:lvlText w:val="%4"/>
      <w:lvlJc w:val="left"/>
      <w:pPr>
        <w:ind w:left="3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DC6994A">
      <w:start w:val="1"/>
      <w:numFmt w:val="lowerLetter"/>
      <w:lvlText w:val="%5"/>
      <w:lvlJc w:val="left"/>
      <w:pPr>
        <w:ind w:left="3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6C62788">
      <w:start w:val="1"/>
      <w:numFmt w:val="lowerRoman"/>
      <w:lvlText w:val="%6"/>
      <w:lvlJc w:val="left"/>
      <w:pPr>
        <w:ind w:left="4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8825FFC">
      <w:start w:val="1"/>
      <w:numFmt w:val="decimal"/>
      <w:lvlText w:val="%7"/>
      <w:lvlJc w:val="left"/>
      <w:pPr>
        <w:ind w:left="5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46A7664">
      <w:start w:val="1"/>
      <w:numFmt w:val="lowerLetter"/>
      <w:lvlText w:val="%8"/>
      <w:lvlJc w:val="left"/>
      <w:pPr>
        <w:ind w:left="6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138148E">
      <w:start w:val="1"/>
      <w:numFmt w:val="lowerRoman"/>
      <w:lvlText w:val="%9"/>
      <w:lvlJc w:val="left"/>
      <w:pPr>
        <w:ind w:left="6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9" w15:restartNumberingAfterBreak="0">
    <w:nsid w:val="1984071F"/>
    <w:multiLevelType w:val="multilevel"/>
    <w:tmpl w:val="B51EE53A"/>
    <w:lvl w:ilvl="0">
      <w:start w:val="2"/>
      <w:numFmt w:val="decimal"/>
      <w:lvlText w:val="%1."/>
      <w:lvlJc w:val="left"/>
      <w:pPr>
        <w:ind w:left="1003"/>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start w:val="1"/>
      <w:numFmt w:val="decimal"/>
      <w:lvlText w:val="%1.%2"/>
      <w:lvlJc w:val="left"/>
      <w:pPr>
        <w:ind w:left="1142"/>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179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251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323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95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67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539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611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40" w15:restartNumberingAfterBreak="0">
    <w:nsid w:val="1B3F7A23"/>
    <w:multiLevelType w:val="hybridMultilevel"/>
    <w:tmpl w:val="BD783E0C"/>
    <w:lvl w:ilvl="0" w:tplc="BF6E59A2">
      <w:start w:val="1"/>
      <w:numFmt w:val="decimal"/>
      <w:lvlText w:val="%1"/>
      <w:lvlJc w:val="left"/>
      <w:pPr>
        <w:ind w:left="56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superscript"/>
      </w:rPr>
    </w:lvl>
    <w:lvl w:ilvl="1" w:tplc="FF62EAE4">
      <w:start w:val="1"/>
      <w:numFmt w:val="lowerLetter"/>
      <w:lvlText w:val="%2"/>
      <w:lvlJc w:val="left"/>
      <w:pPr>
        <w:ind w:left="254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superscript"/>
      </w:rPr>
    </w:lvl>
    <w:lvl w:ilvl="2" w:tplc="B890E5BC">
      <w:start w:val="1"/>
      <w:numFmt w:val="lowerRoman"/>
      <w:lvlText w:val="%3"/>
      <w:lvlJc w:val="left"/>
      <w:pPr>
        <w:ind w:left="326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superscript"/>
      </w:rPr>
    </w:lvl>
    <w:lvl w:ilvl="3" w:tplc="03B6C7BC">
      <w:start w:val="1"/>
      <w:numFmt w:val="decimal"/>
      <w:lvlText w:val="%4"/>
      <w:lvlJc w:val="left"/>
      <w:pPr>
        <w:ind w:left="398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superscript"/>
      </w:rPr>
    </w:lvl>
    <w:lvl w:ilvl="4" w:tplc="2BDAB072">
      <w:start w:val="1"/>
      <w:numFmt w:val="lowerLetter"/>
      <w:lvlText w:val="%5"/>
      <w:lvlJc w:val="left"/>
      <w:pPr>
        <w:ind w:left="470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superscript"/>
      </w:rPr>
    </w:lvl>
    <w:lvl w:ilvl="5" w:tplc="9E0A8BEA">
      <w:start w:val="1"/>
      <w:numFmt w:val="lowerRoman"/>
      <w:lvlText w:val="%6"/>
      <w:lvlJc w:val="left"/>
      <w:pPr>
        <w:ind w:left="542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superscript"/>
      </w:rPr>
    </w:lvl>
    <w:lvl w:ilvl="6" w:tplc="179C0BAE">
      <w:start w:val="1"/>
      <w:numFmt w:val="decimal"/>
      <w:lvlText w:val="%7"/>
      <w:lvlJc w:val="left"/>
      <w:pPr>
        <w:ind w:left="614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superscript"/>
      </w:rPr>
    </w:lvl>
    <w:lvl w:ilvl="7" w:tplc="7DC68EE6">
      <w:start w:val="1"/>
      <w:numFmt w:val="lowerLetter"/>
      <w:lvlText w:val="%8"/>
      <w:lvlJc w:val="left"/>
      <w:pPr>
        <w:ind w:left="686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superscript"/>
      </w:rPr>
    </w:lvl>
    <w:lvl w:ilvl="8" w:tplc="980EB696">
      <w:start w:val="1"/>
      <w:numFmt w:val="lowerRoman"/>
      <w:lvlText w:val="%9"/>
      <w:lvlJc w:val="left"/>
      <w:pPr>
        <w:ind w:left="758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superscript"/>
      </w:rPr>
    </w:lvl>
  </w:abstractNum>
  <w:abstractNum w:abstractNumId="41" w15:restartNumberingAfterBreak="0">
    <w:nsid w:val="1BD03C69"/>
    <w:multiLevelType w:val="hybridMultilevel"/>
    <w:tmpl w:val="99B8BFF8"/>
    <w:lvl w:ilvl="0" w:tplc="1E9EE5BA">
      <w:start w:val="1"/>
      <w:numFmt w:val="decimal"/>
      <w:lvlText w:val="%1)"/>
      <w:lvlJc w:val="left"/>
      <w:pPr>
        <w:ind w:left="7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096E094">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F02C132">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48EA3F8">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97496DA">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9802B9C">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B2A821A">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42EB9E2">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6C8314C">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2" w15:restartNumberingAfterBreak="0">
    <w:nsid w:val="1D743509"/>
    <w:multiLevelType w:val="hybridMultilevel"/>
    <w:tmpl w:val="C8145A08"/>
    <w:lvl w:ilvl="0" w:tplc="56CE7DEE">
      <w:start w:val="1"/>
      <w:numFmt w:val="bullet"/>
      <w:lvlText w:val="-"/>
      <w:lvlJc w:val="left"/>
      <w:pPr>
        <w:ind w:left="3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701C7F56">
      <w:start w:val="1"/>
      <w:numFmt w:val="bullet"/>
      <w:lvlText w:val="o"/>
      <w:lvlJc w:val="left"/>
      <w:pPr>
        <w:ind w:left="14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6B06337A">
      <w:start w:val="1"/>
      <w:numFmt w:val="bullet"/>
      <w:lvlText w:val="▪"/>
      <w:lvlJc w:val="left"/>
      <w:pPr>
        <w:ind w:left="22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376A45C6">
      <w:start w:val="1"/>
      <w:numFmt w:val="bullet"/>
      <w:lvlText w:val="•"/>
      <w:lvlJc w:val="left"/>
      <w:pPr>
        <w:ind w:left="29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29E819E0">
      <w:start w:val="1"/>
      <w:numFmt w:val="bullet"/>
      <w:lvlText w:val="o"/>
      <w:lvlJc w:val="left"/>
      <w:pPr>
        <w:ind w:left="36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0534188C">
      <w:start w:val="1"/>
      <w:numFmt w:val="bullet"/>
      <w:lvlText w:val="▪"/>
      <w:lvlJc w:val="left"/>
      <w:pPr>
        <w:ind w:left="43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2558ED60">
      <w:start w:val="1"/>
      <w:numFmt w:val="bullet"/>
      <w:lvlText w:val="•"/>
      <w:lvlJc w:val="left"/>
      <w:pPr>
        <w:ind w:left="5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06FC4DF8">
      <w:start w:val="1"/>
      <w:numFmt w:val="bullet"/>
      <w:lvlText w:val="o"/>
      <w:lvlJc w:val="left"/>
      <w:pPr>
        <w:ind w:left="5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B024D036">
      <w:start w:val="1"/>
      <w:numFmt w:val="bullet"/>
      <w:lvlText w:val="▪"/>
      <w:lvlJc w:val="left"/>
      <w:pPr>
        <w:ind w:left="6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43" w15:restartNumberingAfterBreak="0">
    <w:nsid w:val="1DB90A86"/>
    <w:multiLevelType w:val="hybridMultilevel"/>
    <w:tmpl w:val="C7BC30D2"/>
    <w:lvl w:ilvl="0" w:tplc="306E6FD6">
      <w:start w:val="1"/>
      <w:numFmt w:val="decimal"/>
      <w:lvlText w:val="%1."/>
      <w:lvlJc w:val="left"/>
      <w:pPr>
        <w:ind w:left="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DDC14DE">
      <w:start w:val="1"/>
      <w:numFmt w:val="lowerLetter"/>
      <w:lvlText w:val="%2"/>
      <w:lvlJc w:val="left"/>
      <w:pPr>
        <w:ind w:left="17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3424038">
      <w:start w:val="1"/>
      <w:numFmt w:val="lowerRoman"/>
      <w:lvlText w:val="%3"/>
      <w:lvlJc w:val="left"/>
      <w:pPr>
        <w:ind w:left="2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B8C4F74">
      <w:start w:val="1"/>
      <w:numFmt w:val="decimal"/>
      <w:lvlText w:val="%4"/>
      <w:lvlJc w:val="left"/>
      <w:pPr>
        <w:ind w:left="3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9D6B4C2">
      <w:start w:val="1"/>
      <w:numFmt w:val="lowerLetter"/>
      <w:lvlText w:val="%5"/>
      <w:lvlJc w:val="left"/>
      <w:pPr>
        <w:ind w:left="3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2B05AB0">
      <w:start w:val="1"/>
      <w:numFmt w:val="lowerRoman"/>
      <w:lvlText w:val="%6"/>
      <w:lvlJc w:val="left"/>
      <w:pPr>
        <w:ind w:left="4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DE80FF6">
      <w:start w:val="1"/>
      <w:numFmt w:val="decimal"/>
      <w:lvlText w:val="%7"/>
      <w:lvlJc w:val="left"/>
      <w:pPr>
        <w:ind w:left="5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9A45768">
      <w:start w:val="1"/>
      <w:numFmt w:val="lowerLetter"/>
      <w:lvlText w:val="%8"/>
      <w:lvlJc w:val="left"/>
      <w:pPr>
        <w:ind w:left="6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4AA4D4A">
      <w:start w:val="1"/>
      <w:numFmt w:val="lowerRoman"/>
      <w:lvlText w:val="%9"/>
      <w:lvlJc w:val="left"/>
      <w:pPr>
        <w:ind w:left="6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4" w15:restartNumberingAfterBreak="0">
    <w:nsid w:val="1E8F06FF"/>
    <w:multiLevelType w:val="hybridMultilevel"/>
    <w:tmpl w:val="33E41932"/>
    <w:lvl w:ilvl="0" w:tplc="152464CC">
      <w:start w:val="4"/>
      <w:numFmt w:val="decimal"/>
      <w:lvlText w:val="%1."/>
      <w:lvlJc w:val="left"/>
      <w:pPr>
        <w:ind w:left="2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8DAA5BA">
      <w:start w:val="1"/>
      <w:numFmt w:val="lowerLetter"/>
      <w:lvlText w:val="%2"/>
      <w:lvlJc w:val="left"/>
      <w:pPr>
        <w:ind w:left="17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AA28CE0">
      <w:start w:val="1"/>
      <w:numFmt w:val="lowerRoman"/>
      <w:lvlText w:val="%3"/>
      <w:lvlJc w:val="left"/>
      <w:pPr>
        <w:ind w:left="2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1D6440C">
      <w:start w:val="1"/>
      <w:numFmt w:val="decimal"/>
      <w:lvlText w:val="%4"/>
      <w:lvlJc w:val="left"/>
      <w:pPr>
        <w:ind w:left="3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36CBAD0">
      <w:start w:val="1"/>
      <w:numFmt w:val="lowerLetter"/>
      <w:lvlText w:val="%5"/>
      <w:lvlJc w:val="left"/>
      <w:pPr>
        <w:ind w:left="3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45A14D0">
      <w:start w:val="1"/>
      <w:numFmt w:val="lowerRoman"/>
      <w:lvlText w:val="%6"/>
      <w:lvlJc w:val="left"/>
      <w:pPr>
        <w:ind w:left="4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C568662">
      <w:start w:val="1"/>
      <w:numFmt w:val="decimal"/>
      <w:lvlText w:val="%7"/>
      <w:lvlJc w:val="left"/>
      <w:pPr>
        <w:ind w:left="5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5C43990">
      <w:start w:val="1"/>
      <w:numFmt w:val="lowerLetter"/>
      <w:lvlText w:val="%8"/>
      <w:lvlJc w:val="left"/>
      <w:pPr>
        <w:ind w:left="6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27240D0">
      <w:start w:val="1"/>
      <w:numFmt w:val="lowerRoman"/>
      <w:lvlText w:val="%9"/>
      <w:lvlJc w:val="left"/>
      <w:pPr>
        <w:ind w:left="6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5" w15:restartNumberingAfterBreak="0">
    <w:nsid w:val="1E9852EE"/>
    <w:multiLevelType w:val="hybridMultilevel"/>
    <w:tmpl w:val="8D3EFE10"/>
    <w:lvl w:ilvl="0" w:tplc="49F8FC70">
      <w:start w:val="10"/>
      <w:numFmt w:val="decimal"/>
      <w:lvlText w:val="[%1]"/>
      <w:lvlJc w:val="left"/>
      <w:pPr>
        <w:ind w:left="89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F1AA6B0">
      <w:start w:val="1"/>
      <w:numFmt w:val="lowerLetter"/>
      <w:lvlText w:val="%2"/>
      <w:lvlJc w:val="left"/>
      <w:pPr>
        <w:ind w:left="1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2FC6EF6">
      <w:start w:val="1"/>
      <w:numFmt w:val="lowerRoman"/>
      <w:lvlText w:val="%3"/>
      <w:lvlJc w:val="left"/>
      <w:pPr>
        <w:ind w:left="2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B982EDA">
      <w:start w:val="1"/>
      <w:numFmt w:val="decimal"/>
      <w:lvlText w:val="%4"/>
      <w:lvlJc w:val="left"/>
      <w:pPr>
        <w:ind w:left="2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7A0F6D0">
      <w:start w:val="1"/>
      <w:numFmt w:val="lowerLetter"/>
      <w:lvlText w:val="%5"/>
      <w:lvlJc w:val="left"/>
      <w:pPr>
        <w:ind w:left="36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54E125E">
      <w:start w:val="1"/>
      <w:numFmt w:val="lowerRoman"/>
      <w:lvlText w:val="%6"/>
      <w:lvlJc w:val="left"/>
      <w:pPr>
        <w:ind w:left="4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CFEA0D8">
      <w:start w:val="1"/>
      <w:numFmt w:val="decimal"/>
      <w:lvlText w:val="%7"/>
      <w:lvlJc w:val="left"/>
      <w:pPr>
        <w:ind w:left="5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212A744">
      <w:start w:val="1"/>
      <w:numFmt w:val="lowerLetter"/>
      <w:lvlText w:val="%8"/>
      <w:lvlJc w:val="left"/>
      <w:pPr>
        <w:ind w:left="58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BFE7CD8">
      <w:start w:val="1"/>
      <w:numFmt w:val="lowerRoman"/>
      <w:lvlText w:val="%9"/>
      <w:lvlJc w:val="left"/>
      <w:pPr>
        <w:ind w:left="65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6" w15:restartNumberingAfterBreak="0">
    <w:nsid w:val="1ECB0DF1"/>
    <w:multiLevelType w:val="hybridMultilevel"/>
    <w:tmpl w:val="2F9CFC24"/>
    <w:lvl w:ilvl="0" w:tplc="92A2D5BC">
      <w:start w:val="1"/>
      <w:numFmt w:val="decimal"/>
      <w:lvlText w:val="[%1]"/>
      <w:lvlJc w:val="left"/>
      <w:pPr>
        <w:ind w:left="27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9D421E6">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CB0D81C">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F1C923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70CF19A">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CAC093E">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8882CA6">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C5CC824">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090FCF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7" w15:restartNumberingAfterBreak="0">
    <w:nsid w:val="1F8B49AD"/>
    <w:multiLevelType w:val="hybridMultilevel"/>
    <w:tmpl w:val="5096FB0C"/>
    <w:lvl w:ilvl="0" w:tplc="A5E492E2">
      <w:start w:val="1"/>
      <w:numFmt w:val="bullet"/>
      <w:lvlText w:val="-"/>
      <w:lvlJc w:val="left"/>
      <w:pPr>
        <w:ind w:left="857"/>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6C567656">
      <w:start w:val="1"/>
      <w:numFmt w:val="bullet"/>
      <w:lvlText w:val="o"/>
      <w:lvlJc w:val="left"/>
      <w:pPr>
        <w:ind w:left="178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5C56BC04">
      <w:start w:val="1"/>
      <w:numFmt w:val="bullet"/>
      <w:lvlText w:val="▪"/>
      <w:lvlJc w:val="left"/>
      <w:pPr>
        <w:ind w:left="250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808CF04C">
      <w:start w:val="1"/>
      <w:numFmt w:val="bullet"/>
      <w:lvlText w:val="•"/>
      <w:lvlJc w:val="left"/>
      <w:pPr>
        <w:ind w:left="322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594AC77E">
      <w:start w:val="1"/>
      <w:numFmt w:val="bullet"/>
      <w:lvlText w:val="o"/>
      <w:lvlJc w:val="left"/>
      <w:pPr>
        <w:ind w:left="394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A06849DE">
      <w:start w:val="1"/>
      <w:numFmt w:val="bullet"/>
      <w:lvlText w:val="▪"/>
      <w:lvlJc w:val="left"/>
      <w:pPr>
        <w:ind w:left="466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34424792">
      <w:start w:val="1"/>
      <w:numFmt w:val="bullet"/>
      <w:lvlText w:val="•"/>
      <w:lvlJc w:val="left"/>
      <w:pPr>
        <w:ind w:left="538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025E28C4">
      <w:start w:val="1"/>
      <w:numFmt w:val="bullet"/>
      <w:lvlText w:val="o"/>
      <w:lvlJc w:val="left"/>
      <w:pPr>
        <w:ind w:left="610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555C12BC">
      <w:start w:val="1"/>
      <w:numFmt w:val="bullet"/>
      <w:lvlText w:val="▪"/>
      <w:lvlJc w:val="left"/>
      <w:pPr>
        <w:ind w:left="682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48" w15:restartNumberingAfterBreak="0">
    <w:nsid w:val="204B1201"/>
    <w:multiLevelType w:val="hybridMultilevel"/>
    <w:tmpl w:val="D9E4A578"/>
    <w:lvl w:ilvl="0" w:tplc="8EDAC584">
      <w:start w:val="1"/>
      <w:numFmt w:val="decimal"/>
      <w:lvlText w:val="%1)"/>
      <w:lvlJc w:val="left"/>
      <w:pPr>
        <w:ind w:left="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91ED0A6">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352A7DA">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3449D4C">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83AE902">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A0E7F2E">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C5CBCF8">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A0A5FAA">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B48279C">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9" w15:restartNumberingAfterBreak="0">
    <w:nsid w:val="20906B7E"/>
    <w:multiLevelType w:val="hybridMultilevel"/>
    <w:tmpl w:val="392A7444"/>
    <w:lvl w:ilvl="0" w:tplc="EE2EE476">
      <w:start w:val="1"/>
      <w:numFmt w:val="bullet"/>
      <w:lvlText w:val="-"/>
      <w:lvlJc w:val="left"/>
      <w:pPr>
        <w:ind w:left="10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14B25254">
      <w:start w:val="1"/>
      <w:numFmt w:val="bullet"/>
      <w:lvlText w:val="o"/>
      <w:lvlJc w:val="left"/>
      <w:pPr>
        <w:ind w:left="151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BAD61EC0">
      <w:start w:val="1"/>
      <w:numFmt w:val="bullet"/>
      <w:lvlText w:val="▪"/>
      <w:lvlJc w:val="left"/>
      <w:pPr>
        <w:ind w:left="223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F2FC7924">
      <w:start w:val="1"/>
      <w:numFmt w:val="bullet"/>
      <w:lvlText w:val="•"/>
      <w:lvlJc w:val="left"/>
      <w:pPr>
        <w:ind w:left="295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CB087DD6">
      <w:start w:val="1"/>
      <w:numFmt w:val="bullet"/>
      <w:lvlText w:val="o"/>
      <w:lvlJc w:val="left"/>
      <w:pPr>
        <w:ind w:left="367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FE44434A">
      <w:start w:val="1"/>
      <w:numFmt w:val="bullet"/>
      <w:lvlText w:val="▪"/>
      <w:lvlJc w:val="left"/>
      <w:pPr>
        <w:ind w:left="439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D3167A2E">
      <w:start w:val="1"/>
      <w:numFmt w:val="bullet"/>
      <w:lvlText w:val="•"/>
      <w:lvlJc w:val="left"/>
      <w:pPr>
        <w:ind w:left="511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CDB2CB3A">
      <w:start w:val="1"/>
      <w:numFmt w:val="bullet"/>
      <w:lvlText w:val="o"/>
      <w:lvlJc w:val="left"/>
      <w:pPr>
        <w:ind w:left="583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08F287A8">
      <w:start w:val="1"/>
      <w:numFmt w:val="bullet"/>
      <w:lvlText w:val="▪"/>
      <w:lvlJc w:val="left"/>
      <w:pPr>
        <w:ind w:left="655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50" w15:restartNumberingAfterBreak="0">
    <w:nsid w:val="20EA5722"/>
    <w:multiLevelType w:val="hybridMultilevel"/>
    <w:tmpl w:val="018A4328"/>
    <w:lvl w:ilvl="0" w:tplc="B894B90E">
      <w:start w:val="1"/>
      <w:numFmt w:val="decimal"/>
      <w:lvlText w:val="[%1]"/>
      <w:lvlJc w:val="left"/>
      <w:pPr>
        <w:ind w:left="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C569B3C">
      <w:start w:val="1"/>
      <w:numFmt w:val="lowerLetter"/>
      <w:lvlText w:val="%2"/>
      <w:lvlJc w:val="left"/>
      <w:pPr>
        <w:ind w:left="17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65400D0">
      <w:start w:val="1"/>
      <w:numFmt w:val="lowerRoman"/>
      <w:lvlText w:val="%3"/>
      <w:lvlJc w:val="left"/>
      <w:pPr>
        <w:ind w:left="2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25893AE">
      <w:start w:val="1"/>
      <w:numFmt w:val="decimal"/>
      <w:lvlText w:val="%4"/>
      <w:lvlJc w:val="left"/>
      <w:pPr>
        <w:ind w:left="3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0E2ACE2">
      <w:start w:val="1"/>
      <w:numFmt w:val="lowerLetter"/>
      <w:lvlText w:val="%5"/>
      <w:lvlJc w:val="left"/>
      <w:pPr>
        <w:ind w:left="3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28697C0">
      <w:start w:val="1"/>
      <w:numFmt w:val="lowerRoman"/>
      <w:lvlText w:val="%6"/>
      <w:lvlJc w:val="left"/>
      <w:pPr>
        <w:ind w:left="4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F462B2C">
      <w:start w:val="1"/>
      <w:numFmt w:val="decimal"/>
      <w:lvlText w:val="%7"/>
      <w:lvlJc w:val="left"/>
      <w:pPr>
        <w:ind w:left="5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FD873E4">
      <w:start w:val="1"/>
      <w:numFmt w:val="lowerLetter"/>
      <w:lvlText w:val="%8"/>
      <w:lvlJc w:val="left"/>
      <w:pPr>
        <w:ind w:left="6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F84CBD4">
      <w:start w:val="1"/>
      <w:numFmt w:val="lowerRoman"/>
      <w:lvlText w:val="%9"/>
      <w:lvlJc w:val="left"/>
      <w:pPr>
        <w:ind w:left="6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1" w15:restartNumberingAfterBreak="0">
    <w:nsid w:val="20FC1D1B"/>
    <w:multiLevelType w:val="hybridMultilevel"/>
    <w:tmpl w:val="A2B80926"/>
    <w:lvl w:ilvl="0" w:tplc="30F6D414">
      <w:start w:val="4"/>
      <w:numFmt w:val="decimal"/>
      <w:lvlText w:val="[%1]"/>
      <w:lvlJc w:val="left"/>
      <w:pPr>
        <w:ind w:left="27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6A2D296">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1160A4A">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F7654A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8226486">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FC04DE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064444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4F647E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35E574A">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2" w15:restartNumberingAfterBreak="0">
    <w:nsid w:val="21E50053"/>
    <w:multiLevelType w:val="hybridMultilevel"/>
    <w:tmpl w:val="49D4DA3A"/>
    <w:lvl w:ilvl="0" w:tplc="A5E84B22">
      <w:start w:val="1"/>
      <w:numFmt w:val="bullet"/>
      <w:lvlText w:val="-"/>
      <w:lvlJc w:val="left"/>
      <w:pPr>
        <w:ind w:left="5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D0EC874A">
      <w:start w:val="1"/>
      <w:numFmt w:val="bullet"/>
      <w:lvlText w:val="o"/>
      <w:lvlJc w:val="left"/>
      <w:pPr>
        <w:ind w:left="148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BC187624">
      <w:start w:val="1"/>
      <w:numFmt w:val="bullet"/>
      <w:lvlText w:val="▪"/>
      <w:lvlJc w:val="left"/>
      <w:pPr>
        <w:ind w:left="220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C82836EC">
      <w:start w:val="1"/>
      <w:numFmt w:val="bullet"/>
      <w:lvlText w:val="•"/>
      <w:lvlJc w:val="left"/>
      <w:pPr>
        <w:ind w:left="292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61682C8A">
      <w:start w:val="1"/>
      <w:numFmt w:val="bullet"/>
      <w:lvlText w:val="o"/>
      <w:lvlJc w:val="left"/>
      <w:pPr>
        <w:ind w:left="364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34A4C280">
      <w:start w:val="1"/>
      <w:numFmt w:val="bullet"/>
      <w:lvlText w:val="▪"/>
      <w:lvlJc w:val="left"/>
      <w:pPr>
        <w:ind w:left="436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3438B104">
      <w:start w:val="1"/>
      <w:numFmt w:val="bullet"/>
      <w:lvlText w:val="•"/>
      <w:lvlJc w:val="left"/>
      <w:pPr>
        <w:ind w:left="508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9C7A6CF8">
      <w:start w:val="1"/>
      <w:numFmt w:val="bullet"/>
      <w:lvlText w:val="o"/>
      <w:lvlJc w:val="left"/>
      <w:pPr>
        <w:ind w:left="580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D910E154">
      <w:start w:val="1"/>
      <w:numFmt w:val="bullet"/>
      <w:lvlText w:val="▪"/>
      <w:lvlJc w:val="left"/>
      <w:pPr>
        <w:ind w:left="652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53" w15:restartNumberingAfterBreak="0">
    <w:nsid w:val="21FE3858"/>
    <w:multiLevelType w:val="hybridMultilevel"/>
    <w:tmpl w:val="A50AED3A"/>
    <w:lvl w:ilvl="0" w:tplc="63D202A2">
      <w:start w:val="1"/>
      <w:numFmt w:val="bullet"/>
      <w:lvlText w:val="-"/>
      <w:lvlJc w:val="left"/>
      <w:pPr>
        <w:ind w:left="12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62BAF2B8">
      <w:start w:val="1"/>
      <w:numFmt w:val="bullet"/>
      <w:lvlText w:val="o"/>
      <w:lvlJc w:val="left"/>
      <w:pPr>
        <w:ind w:left="143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FDF40DFE">
      <w:start w:val="1"/>
      <w:numFmt w:val="bullet"/>
      <w:lvlText w:val="▪"/>
      <w:lvlJc w:val="left"/>
      <w:pPr>
        <w:ind w:left="215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445CE5AC">
      <w:start w:val="1"/>
      <w:numFmt w:val="bullet"/>
      <w:lvlText w:val="•"/>
      <w:lvlJc w:val="left"/>
      <w:pPr>
        <w:ind w:left="287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9C84FCC8">
      <w:start w:val="1"/>
      <w:numFmt w:val="bullet"/>
      <w:lvlText w:val="o"/>
      <w:lvlJc w:val="left"/>
      <w:pPr>
        <w:ind w:left="359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35161362">
      <w:start w:val="1"/>
      <w:numFmt w:val="bullet"/>
      <w:lvlText w:val="▪"/>
      <w:lvlJc w:val="left"/>
      <w:pPr>
        <w:ind w:left="431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F6AA6366">
      <w:start w:val="1"/>
      <w:numFmt w:val="bullet"/>
      <w:lvlText w:val="•"/>
      <w:lvlJc w:val="left"/>
      <w:pPr>
        <w:ind w:left="503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9BF4695E">
      <w:start w:val="1"/>
      <w:numFmt w:val="bullet"/>
      <w:lvlText w:val="o"/>
      <w:lvlJc w:val="left"/>
      <w:pPr>
        <w:ind w:left="575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C6E24F80">
      <w:start w:val="1"/>
      <w:numFmt w:val="bullet"/>
      <w:lvlText w:val="▪"/>
      <w:lvlJc w:val="left"/>
      <w:pPr>
        <w:ind w:left="647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54" w15:restartNumberingAfterBreak="0">
    <w:nsid w:val="22427702"/>
    <w:multiLevelType w:val="hybridMultilevel"/>
    <w:tmpl w:val="B98A51FA"/>
    <w:lvl w:ilvl="0" w:tplc="46CA4582">
      <w:start w:val="1"/>
      <w:numFmt w:val="bullet"/>
      <w:lvlText w:val="●"/>
      <w:lvlJc w:val="left"/>
      <w:pPr>
        <w:ind w:left="5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78C8FFA">
      <w:start w:val="1"/>
      <w:numFmt w:val="bullet"/>
      <w:lvlText w:val="o"/>
      <w:lvlJc w:val="left"/>
      <w:pPr>
        <w:ind w:left="16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87C37F8">
      <w:start w:val="1"/>
      <w:numFmt w:val="bullet"/>
      <w:lvlText w:val="▪"/>
      <w:lvlJc w:val="left"/>
      <w:pPr>
        <w:ind w:left="23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3E22BE6">
      <w:start w:val="1"/>
      <w:numFmt w:val="bullet"/>
      <w:lvlText w:val="•"/>
      <w:lvlJc w:val="left"/>
      <w:pPr>
        <w:ind w:left="30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EB20D00">
      <w:start w:val="1"/>
      <w:numFmt w:val="bullet"/>
      <w:lvlText w:val="o"/>
      <w:lvlJc w:val="left"/>
      <w:pPr>
        <w:ind w:left="38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7620306">
      <w:start w:val="1"/>
      <w:numFmt w:val="bullet"/>
      <w:lvlText w:val="▪"/>
      <w:lvlJc w:val="left"/>
      <w:pPr>
        <w:ind w:left="45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DD419B8">
      <w:start w:val="1"/>
      <w:numFmt w:val="bullet"/>
      <w:lvlText w:val="•"/>
      <w:lvlJc w:val="left"/>
      <w:pPr>
        <w:ind w:left="52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DFEFF6E">
      <w:start w:val="1"/>
      <w:numFmt w:val="bullet"/>
      <w:lvlText w:val="o"/>
      <w:lvlJc w:val="left"/>
      <w:pPr>
        <w:ind w:left="59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5A456CC">
      <w:start w:val="1"/>
      <w:numFmt w:val="bullet"/>
      <w:lvlText w:val="▪"/>
      <w:lvlJc w:val="left"/>
      <w:pPr>
        <w:ind w:left="66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5" w15:restartNumberingAfterBreak="0">
    <w:nsid w:val="22B07F23"/>
    <w:multiLevelType w:val="hybridMultilevel"/>
    <w:tmpl w:val="4F50FE9A"/>
    <w:lvl w:ilvl="0" w:tplc="20A478C6">
      <w:start w:val="1"/>
      <w:numFmt w:val="decimal"/>
      <w:lvlText w:val="[%1]"/>
      <w:lvlJc w:val="left"/>
      <w:pPr>
        <w:ind w:left="2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124FC78">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9288D2A">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33C074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E84232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41AA23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4B47B9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8F8D55A">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5C69DC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6" w15:restartNumberingAfterBreak="0">
    <w:nsid w:val="22C060A5"/>
    <w:multiLevelType w:val="hybridMultilevel"/>
    <w:tmpl w:val="C0B6C01A"/>
    <w:lvl w:ilvl="0" w:tplc="4E64C226">
      <w:start w:val="1"/>
      <w:numFmt w:val="bullet"/>
      <w:lvlText w:val="-"/>
      <w:lvlJc w:val="left"/>
      <w:pPr>
        <w:ind w:left="10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B316E006">
      <w:start w:val="1"/>
      <w:numFmt w:val="bullet"/>
      <w:lvlText w:val="o"/>
      <w:lvlJc w:val="left"/>
      <w:pPr>
        <w:ind w:left="151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ECA8A064">
      <w:start w:val="1"/>
      <w:numFmt w:val="bullet"/>
      <w:lvlText w:val="▪"/>
      <w:lvlJc w:val="left"/>
      <w:pPr>
        <w:ind w:left="223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BB0664DC">
      <w:start w:val="1"/>
      <w:numFmt w:val="bullet"/>
      <w:lvlText w:val="•"/>
      <w:lvlJc w:val="left"/>
      <w:pPr>
        <w:ind w:left="295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CC9E6308">
      <w:start w:val="1"/>
      <w:numFmt w:val="bullet"/>
      <w:lvlText w:val="o"/>
      <w:lvlJc w:val="left"/>
      <w:pPr>
        <w:ind w:left="367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C54EECB6">
      <w:start w:val="1"/>
      <w:numFmt w:val="bullet"/>
      <w:lvlText w:val="▪"/>
      <w:lvlJc w:val="left"/>
      <w:pPr>
        <w:ind w:left="439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95C4ED5C">
      <w:start w:val="1"/>
      <w:numFmt w:val="bullet"/>
      <w:lvlText w:val="•"/>
      <w:lvlJc w:val="left"/>
      <w:pPr>
        <w:ind w:left="511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8FF29A12">
      <w:start w:val="1"/>
      <w:numFmt w:val="bullet"/>
      <w:lvlText w:val="o"/>
      <w:lvlJc w:val="left"/>
      <w:pPr>
        <w:ind w:left="583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46CC788E">
      <w:start w:val="1"/>
      <w:numFmt w:val="bullet"/>
      <w:lvlText w:val="▪"/>
      <w:lvlJc w:val="left"/>
      <w:pPr>
        <w:ind w:left="655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57" w15:restartNumberingAfterBreak="0">
    <w:nsid w:val="23F23B41"/>
    <w:multiLevelType w:val="hybridMultilevel"/>
    <w:tmpl w:val="D744D980"/>
    <w:lvl w:ilvl="0" w:tplc="C3B229B4">
      <w:start w:val="1"/>
      <w:numFmt w:val="decimal"/>
      <w:lvlText w:val="%1."/>
      <w:lvlJc w:val="left"/>
      <w:pPr>
        <w:ind w:left="56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CDA5BC2">
      <w:start w:val="1"/>
      <w:numFmt w:val="lowerLetter"/>
      <w:lvlText w:val="%2"/>
      <w:lvlJc w:val="left"/>
      <w:pPr>
        <w:ind w:left="164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AA18FE0E">
      <w:start w:val="1"/>
      <w:numFmt w:val="lowerRoman"/>
      <w:lvlText w:val="%3"/>
      <w:lvlJc w:val="left"/>
      <w:pPr>
        <w:ind w:left="236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20A81EAA">
      <w:start w:val="1"/>
      <w:numFmt w:val="decimal"/>
      <w:lvlText w:val="%4"/>
      <w:lvlJc w:val="left"/>
      <w:pPr>
        <w:ind w:left="308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DAE884C2">
      <w:start w:val="1"/>
      <w:numFmt w:val="lowerLetter"/>
      <w:lvlText w:val="%5"/>
      <w:lvlJc w:val="left"/>
      <w:pPr>
        <w:ind w:left="380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A838EDD2">
      <w:start w:val="1"/>
      <w:numFmt w:val="lowerRoman"/>
      <w:lvlText w:val="%6"/>
      <w:lvlJc w:val="left"/>
      <w:pPr>
        <w:ind w:left="452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596E6AC6">
      <w:start w:val="1"/>
      <w:numFmt w:val="decimal"/>
      <w:lvlText w:val="%7"/>
      <w:lvlJc w:val="left"/>
      <w:pPr>
        <w:ind w:left="524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A470F56A">
      <w:start w:val="1"/>
      <w:numFmt w:val="lowerLetter"/>
      <w:lvlText w:val="%8"/>
      <w:lvlJc w:val="left"/>
      <w:pPr>
        <w:ind w:left="596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AC6C355C">
      <w:start w:val="1"/>
      <w:numFmt w:val="lowerRoman"/>
      <w:lvlText w:val="%9"/>
      <w:lvlJc w:val="left"/>
      <w:pPr>
        <w:ind w:left="668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8" w15:restartNumberingAfterBreak="0">
    <w:nsid w:val="251964B4"/>
    <w:multiLevelType w:val="hybridMultilevel"/>
    <w:tmpl w:val="5398623C"/>
    <w:lvl w:ilvl="0" w:tplc="04F0A9DC">
      <w:start w:val="1"/>
      <w:numFmt w:val="bullet"/>
      <w:lvlText w:val="•"/>
      <w:lvlJc w:val="left"/>
      <w:pPr>
        <w:ind w:left="9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2383E1E">
      <w:start w:val="1"/>
      <w:numFmt w:val="bullet"/>
      <w:lvlText w:val="o"/>
      <w:lvlJc w:val="left"/>
      <w:pPr>
        <w:ind w:left="17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9F06B46">
      <w:start w:val="1"/>
      <w:numFmt w:val="bullet"/>
      <w:lvlText w:val="▪"/>
      <w:lvlJc w:val="left"/>
      <w:pPr>
        <w:ind w:left="2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3F26F1C">
      <w:start w:val="1"/>
      <w:numFmt w:val="bullet"/>
      <w:lvlText w:val="•"/>
      <w:lvlJc w:val="left"/>
      <w:pPr>
        <w:ind w:left="3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2A0DFA8">
      <w:start w:val="1"/>
      <w:numFmt w:val="bullet"/>
      <w:lvlText w:val="o"/>
      <w:lvlJc w:val="left"/>
      <w:pPr>
        <w:ind w:left="3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9201B2C">
      <w:start w:val="1"/>
      <w:numFmt w:val="bullet"/>
      <w:lvlText w:val="▪"/>
      <w:lvlJc w:val="left"/>
      <w:pPr>
        <w:ind w:left="4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1FE92AE">
      <w:start w:val="1"/>
      <w:numFmt w:val="bullet"/>
      <w:lvlText w:val="•"/>
      <w:lvlJc w:val="left"/>
      <w:pPr>
        <w:ind w:left="5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550CCAE">
      <w:start w:val="1"/>
      <w:numFmt w:val="bullet"/>
      <w:lvlText w:val="o"/>
      <w:lvlJc w:val="left"/>
      <w:pPr>
        <w:ind w:left="6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0DA1270">
      <w:start w:val="1"/>
      <w:numFmt w:val="bullet"/>
      <w:lvlText w:val="▪"/>
      <w:lvlJc w:val="left"/>
      <w:pPr>
        <w:ind w:left="6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9" w15:restartNumberingAfterBreak="0">
    <w:nsid w:val="256A0AA2"/>
    <w:multiLevelType w:val="hybridMultilevel"/>
    <w:tmpl w:val="183C39C0"/>
    <w:lvl w:ilvl="0" w:tplc="0E52A686">
      <w:start w:val="1"/>
      <w:numFmt w:val="lowerLetter"/>
      <w:lvlText w:val="%1)"/>
      <w:lvlJc w:val="left"/>
      <w:pPr>
        <w:ind w:left="10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CF03CE8">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4684A8E">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E86F30C">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7FC2644">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EDC7610">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ECA1248">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274ABD8">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C6482F4">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0" w15:restartNumberingAfterBreak="0">
    <w:nsid w:val="27621226"/>
    <w:multiLevelType w:val="hybridMultilevel"/>
    <w:tmpl w:val="E6A266BE"/>
    <w:lvl w:ilvl="0" w:tplc="E8EEA7CE">
      <w:start w:val="1"/>
      <w:numFmt w:val="decimal"/>
      <w:lvlText w:val="[%1]"/>
      <w:lvlJc w:val="left"/>
      <w:pPr>
        <w:ind w:left="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7183D72">
      <w:start w:val="1"/>
      <w:numFmt w:val="lowerLetter"/>
      <w:lvlText w:val="%2"/>
      <w:lvlJc w:val="left"/>
      <w:pPr>
        <w:ind w:left="1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504BD7C">
      <w:start w:val="1"/>
      <w:numFmt w:val="lowerRoman"/>
      <w:lvlText w:val="%3"/>
      <w:lvlJc w:val="left"/>
      <w:pPr>
        <w:ind w:left="2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028D676">
      <w:start w:val="1"/>
      <w:numFmt w:val="decimal"/>
      <w:lvlText w:val="%4"/>
      <w:lvlJc w:val="left"/>
      <w:pPr>
        <w:ind w:left="2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F3ED362">
      <w:start w:val="1"/>
      <w:numFmt w:val="lowerLetter"/>
      <w:lvlText w:val="%5"/>
      <w:lvlJc w:val="left"/>
      <w:pPr>
        <w:ind w:left="3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444E9C6">
      <w:start w:val="1"/>
      <w:numFmt w:val="lowerRoman"/>
      <w:lvlText w:val="%6"/>
      <w:lvlJc w:val="left"/>
      <w:pPr>
        <w:ind w:left="4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E6490B0">
      <w:start w:val="1"/>
      <w:numFmt w:val="decimal"/>
      <w:lvlText w:val="%7"/>
      <w:lvlJc w:val="left"/>
      <w:pPr>
        <w:ind w:left="5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746B3D4">
      <w:start w:val="1"/>
      <w:numFmt w:val="lowerLetter"/>
      <w:lvlText w:val="%8"/>
      <w:lvlJc w:val="left"/>
      <w:pPr>
        <w:ind w:left="5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5EEFB3A">
      <w:start w:val="1"/>
      <w:numFmt w:val="lowerRoman"/>
      <w:lvlText w:val="%9"/>
      <w:lvlJc w:val="left"/>
      <w:pPr>
        <w:ind w:left="65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1" w15:restartNumberingAfterBreak="0">
    <w:nsid w:val="27D97C48"/>
    <w:multiLevelType w:val="hybridMultilevel"/>
    <w:tmpl w:val="44EC6B20"/>
    <w:lvl w:ilvl="0" w:tplc="49CC6E12">
      <w:start w:val="2"/>
      <w:numFmt w:val="decimal"/>
      <w:lvlText w:val="[%1]"/>
      <w:lvlJc w:val="left"/>
      <w:pPr>
        <w:ind w:left="5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21481DA">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1506FAA">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660757C">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EDC9B2C">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3B64E1C">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A069602">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B4C16D4">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E74DDBA">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2" w15:restartNumberingAfterBreak="0">
    <w:nsid w:val="27DA0BB7"/>
    <w:multiLevelType w:val="hybridMultilevel"/>
    <w:tmpl w:val="2E04CAC4"/>
    <w:lvl w:ilvl="0" w:tplc="5B9E36AE">
      <w:start w:val="4"/>
      <w:numFmt w:val="decimal"/>
      <w:lvlText w:val="[%1]"/>
      <w:lvlJc w:val="left"/>
      <w:pPr>
        <w:ind w:left="2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172B44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5AEF52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36C08C0">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1841086">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5681E5E">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76665A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506A63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DF6AA1A">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3" w15:restartNumberingAfterBreak="0">
    <w:nsid w:val="282959C0"/>
    <w:multiLevelType w:val="hybridMultilevel"/>
    <w:tmpl w:val="D21286BA"/>
    <w:lvl w:ilvl="0" w:tplc="EF24D774">
      <w:start w:val="1"/>
      <w:numFmt w:val="bullet"/>
      <w:lvlText w:val="-"/>
      <w:lvlJc w:val="left"/>
      <w:pPr>
        <w:ind w:left="39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2AAA1954">
      <w:start w:val="1"/>
      <w:numFmt w:val="bullet"/>
      <w:lvlText w:val="o"/>
      <w:lvlJc w:val="left"/>
      <w:pPr>
        <w:ind w:left="134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1450B03E">
      <w:start w:val="1"/>
      <w:numFmt w:val="bullet"/>
      <w:lvlText w:val="▪"/>
      <w:lvlJc w:val="left"/>
      <w:pPr>
        <w:ind w:left="206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BB0C69AA">
      <w:start w:val="1"/>
      <w:numFmt w:val="bullet"/>
      <w:lvlText w:val="•"/>
      <w:lvlJc w:val="left"/>
      <w:pPr>
        <w:ind w:left="278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F790DF06">
      <w:start w:val="1"/>
      <w:numFmt w:val="bullet"/>
      <w:lvlText w:val="o"/>
      <w:lvlJc w:val="left"/>
      <w:pPr>
        <w:ind w:left="350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AD426660">
      <w:start w:val="1"/>
      <w:numFmt w:val="bullet"/>
      <w:lvlText w:val="▪"/>
      <w:lvlJc w:val="left"/>
      <w:pPr>
        <w:ind w:left="422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076046EA">
      <w:start w:val="1"/>
      <w:numFmt w:val="bullet"/>
      <w:lvlText w:val="•"/>
      <w:lvlJc w:val="left"/>
      <w:pPr>
        <w:ind w:left="494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E6A298B2">
      <w:start w:val="1"/>
      <w:numFmt w:val="bullet"/>
      <w:lvlText w:val="o"/>
      <w:lvlJc w:val="left"/>
      <w:pPr>
        <w:ind w:left="566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64CA1982">
      <w:start w:val="1"/>
      <w:numFmt w:val="bullet"/>
      <w:lvlText w:val="▪"/>
      <w:lvlJc w:val="left"/>
      <w:pPr>
        <w:ind w:left="638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64" w15:restartNumberingAfterBreak="0">
    <w:nsid w:val="293A5C8F"/>
    <w:multiLevelType w:val="hybridMultilevel"/>
    <w:tmpl w:val="4F886CE8"/>
    <w:lvl w:ilvl="0" w:tplc="78DAE764">
      <w:start w:val="2"/>
      <w:numFmt w:val="decimal"/>
      <w:lvlText w:val="[%1]"/>
      <w:lvlJc w:val="left"/>
      <w:pPr>
        <w:ind w:left="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6609F46">
      <w:start w:val="1"/>
      <w:numFmt w:val="lowerLetter"/>
      <w:lvlText w:val="%2"/>
      <w:lvlJc w:val="left"/>
      <w:pPr>
        <w:ind w:left="17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9844032">
      <w:start w:val="1"/>
      <w:numFmt w:val="lowerRoman"/>
      <w:lvlText w:val="%3"/>
      <w:lvlJc w:val="left"/>
      <w:pPr>
        <w:ind w:left="2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18A2A80">
      <w:start w:val="1"/>
      <w:numFmt w:val="decimal"/>
      <w:lvlText w:val="%4"/>
      <w:lvlJc w:val="left"/>
      <w:pPr>
        <w:ind w:left="3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8E0CC20">
      <w:start w:val="1"/>
      <w:numFmt w:val="lowerLetter"/>
      <w:lvlText w:val="%5"/>
      <w:lvlJc w:val="left"/>
      <w:pPr>
        <w:ind w:left="3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78A9246">
      <w:start w:val="1"/>
      <w:numFmt w:val="lowerRoman"/>
      <w:lvlText w:val="%6"/>
      <w:lvlJc w:val="left"/>
      <w:pPr>
        <w:ind w:left="4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C3EF5A8">
      <w:start w:val="1"/>
      <w:numFmt w:val="decimal"/>
      <w:lvlText w:val="%7"/>
      <w:lvlJc w:val="left"/>
      <w:pPr>
        <w:ind w:left="5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8E2D10C">
      <w:start w:val="1"/>
      <w:numFmt w:val="lowerLetter"/>
      <w:lvlText w:val="%8"/>
      <w:lvlJc w:val="left"/>
      <w:pPr>
        <w:ind w:left="6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C1063EC">
      <w:start w:val="1"/>
      <w:numFmt w:val="lowerRoman"/>
      <w:lvlText w:val="%9"/>
      <w:lvlJc w:val="left"/>
      <w:pPr>
        <w:ind w:left="6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5" w15:restartNumberingAfterBreak="0">
    <w:nsid w:val="2A536445"/>
    <w:multiLevelType w:val="hybridMultilevel"/>
    <w:tmpl w:val="11E282B6"/>
    <w:lvl w:ilvl="0" w:tplc="22905A7C">
      <w:start w:val="1"/>
      <w:numFmt w:val="decimal"/>
      <w:lvlText w:val="[%1]"/>
      <w:lvlJc w:val="left"/>
      <w:pPr>
        <w:ind w:left="55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39A7A5E">
      <w:start w:val="1"/>
      <w:numFmt w:val="lowerLetter"/>
      <w:lvlText w:val="%2"/>
      <w:lvlJc w:val="left"/>
      <w:pPr>
        <w:ind w:left="16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7565DA8">
      <w:start w:val="1"/>
      <w:numFmt w:val="lowerRoman"/>
      <w:lvlText w:val="%3"/>
      <w:lvlJc w:val="left"/>
      <w:pPr>
        <w:ind w:left="23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C1C9984">
      <w:start w:val="1"/>
      <w:numFmt w:val="decimal"/>
      <w:lvlText w:val="%4"/>
      <w:lvlJc w:val="left"/>
      <w:pPr>
        <w:ind w:left="30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6F8B932">
      <w:start w:val="1"/>
      <w:numFmt w:val="lowerLetter"/>
      <w:lvlText w:val="%5"/>
      <w:lvlJc w:val="left"/>
      <w:pPr>
        <w:ind w:left="38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066B9A6">
      <w:start w:val="1"/>
      <w:numFmt w:val="lowerRoman"/>
      <w:lvlText w:val="%6"/>
      <w:lvlJc w:val="left"/>
      <w:pPr>
        <w:ind w:left="45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1ACE0A4">
      <w:start w:val="1"/>
      <w:numFmt w:val="decimal"/>
      <w:lvlText w:val="%7"/>
      <w:lvlJc w:val="left"/>
      <w:pPr>
        <w:ind w:left="5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7EC7CD4">
      <w:start w:val="1"/>
      <w:numFmt w:val="lowerLetter"/>
      <w:lvlText w:val="%8"/>
      <w:lvlJc w:val="left"/>
      <w:pPr>
        <w:ind w:left="5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C3636E6">
      <w:start w:val="1"/>
      <w:numFmt w:val="lowerRoman"/>
      <w:lvlText w:val="%9"/>
      <w:lvlJc w:val="left"/>
      <w:pPr>
        <w:ind w:left="6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6" w15:restartNumberingAfterBreak="0">
    <w:nsid w:val="2A8C0089"/>
    <w:multiLevelType w:val="hybridMultilevel"/>
    <w:tmpl w:val="5944DDF2"/>
    <w:lvl w:ilvl="0" w:tplc="07A498EA">
      <w:start w:val="1"/>
      <w:numFmt w:val="decimal"/>
      <w:lvlText w:val="[%1]"/>
      <w:lvlJc w:val="left"/>
      <w:pPr>
        <w:ind w:left="28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87CEE40">
      <w:start w:val="1"/>
      <w:numFmt w:val="lowerLetter"/>
      <w:lvlText w:val="%2"/>
      <w:lvlJc w:val="left"/>
      <w:pPr>
        <w:ind w:left="17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A0C3C1C">
      <w:start w:val="1"/>
      <w:numFmt w:val="lowerRoman"/>
      <w:lvlText w:val="%3"/>
      <w:lvlJc w:val="left"/>
      <w:pPr>
        <w:ind w:left="25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15ED470">
      <w:start w:val="1"/>
      <w:numFmt w:val="decimal"/>
      <w:lvlText w:val="%4"/>
      <w:lvlJc w:val="left"/>
      <w:pPr>
        <w:ind w:left="32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74A0D0A">
      <w:start w:val="1"/>
      <w:numFmt w:val="lowerLetter"/>
      <w:lvlText w:val="%5"/>
      <w:lvlJc w:val="left"/>
      <w:pPr>
        <w:ind w:left="39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B40545A">
      <w:start w:val="1"/>
      <w:numFmt w:val="lowerRoman"/>
      <w:lvlText w:val="%6"/>
      <w:lvlJc w:val="left"/>
      <w:pPr>
        <w:ind w:left="46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72086D6">
      <w:start w:val="1"/>
      <w:numFmt w:val="decimal"/>
      <w:lvlText w:val="%7"/>
      <w:lvlJc w:val="left"/>
      <w:pPr>
        <w:ind w:left="53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0A8FA74">
      <w:start w:val="1"/>
      <w:numFmt w:val="lowerLetter"/>
      <w:lvlText w:val="%8"/>
      <w:lvlJc w:val="left"/>
      <w:pPr>
        <w:ind w:left="61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1E02CBA">
      <w:start w:val="1"/>
      <w:numFmt w:val="lowerRoman"/>
      <w:lvlText w:val="%9"/>
      <w:lvlJc w:val="left"/>
      <w:pPr>
        <w:ind w:left="68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7" w15:restartNumberingAfterBreak="0">
    <w:nsid w:val="2D403C7D"/>
    <w:multiLevelType w:val="hybridMultilevel"/>
    <w:tmpl w:val="99D8A3E2"/>
    <w:lvl w:ilvl="0" w:tplc="9B28D0D8">
      <w:start w:val="1"/>
      <w:numFmt w:val="bullet"/>
      <w:lvlText w:val="-"/>
      <w:lvlJc w:val="left"/>
      <w:pPr>
        <w:ind w:left="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AB226C2">
      <w:start w:val="1"/>
      <w:numFmt w:val="bullet"/>
      <w:lvlText w:val="o"/>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0EEE67C">
      <w:start w:val="1"/>
      <w:numFmt w:val="bullet"/>
      <w:lvlText w:val="▪"/>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95209DA">
      <w:start w:val="1"/>
      <w:numFmt w:val="bullet"/>
      <w:lvlText w:val="•"/>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F0E60AC">
      <w:start w:val="1"/>
      <w:numFmt w:val="bullet"/>
      <w:lvlText w:val="o"/>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D6405AA">
      <w:start w:val="1"/>
      <w:numFmt w:val="bullet"/>
      <w:lvlText w:val="▪"/>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25C35B6">
      <w:start w:val="1"/>
      <w:numFmt w:val="bullet"/>
      <w:lvlText w:val="•"/>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E209446">
      <w:start w:val="1"/>
      <w:numFmt w:val="bullet"/>
      <w:lvlText w:val="o"/>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9C04100">
      <w:start w:val="1"/>
      <w:numFmt w:val="bullet"/>
      <w:lvlText w:val="▪"/>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8" w15:restartNumberingAfterBreak="0">
    <w:nsid w:val="2E6106D6"/>
    <w:multiLevelType w:val="hybridMultilevel"/>
    <w:tmpl w:val="CB087516"/>
    <w:lvl w:ilvl="0" w:tplc="64A8E6F2">
      <w:start w:val="1"/>
      <w:numFmt w:val="bullet"/>
      <w:lvlText w:val="●"/>
      <w:lvlJc w:val="left"/>
      <w:pPr>
        <w:ind w:left="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6C569998">
      <w:start w:val="1"/>
      <w:numFmt w:val="bullet"/>
      <w:lvlText w:val="o"/>
      <w:lvlJc w:val="left"/>
      <w:pPr>
        <w:ind w:left="179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F7BA335E">
      <w:start w:val="1"/>
      <w:numFmt w:val="bullet"/>
      <w:lvlText w:val="▪"/>
      <w:lvlJc w:val="left"/>
      <w:pPr>
        <w:ind w:left="251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14568F38">
      <w:start w:val="1"/>
      <w:numFmt w:val="bullet"/>
      <w:lvlText w:val="•"/>
      <w:lvlJc w:val="left"/>
      <w:pPr>
        <w:ind w:left="323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C4F81946">
      <w:start w:val="1"/>
      <w:numFmt w:val="bullet"/>
      <w:lvlText w:val="o"/>
      <w:lvlJc w:val="left"/>
      <w:pPr>
        <w:ind w:left="395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D970471C">
      <w:start w:val="1"/>
      <w:numFmt w:val="bullet"/>
      <w:lvlText w:val="▪"/>
      <w:lvlJc w:val="left"/>
      <w:pPr>
        <w:ind w:left="467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7D48C1FE">
      <w:start w:val="1"/>
      <w:numFmt w:val="bullet"/>
      <w:lvlText w:val="•"/>
      <w:lvlJc w:val="left"/>
      <w:pPr>
        <w:ind w:left="539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9DE87B8A">
      <w:start w:val="1"/>
      <w:numFmt w:val="bullet"/>
      <w:lvlText w:val="o"/>
      <w:lvlJc w:val="left"/>
      <w:pPr>
        <w:ind w:left="611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02C76E4">
      <w:start w:val="1"/>
      <w:numFmt w:val="bullet"/>
      <w:lvlText w:val="▪"/>
      <w:lvlJc w:val="left"/>
      <w:pPr>
        <w:ind w:left="683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69" w15:restartNumberingAfterBreak="0">
    <w:nsid w:val="2ED25F9E"/>
    <w:multiLevelType w:val="hybridMultilevel"/>
    <w:tmpl w:val="E0FE1720"/>
    <w:lvl w:ilvl="0" w:tplc="954059F0">
      <w:start w:val="1"/>
      <w:numFmt w:val="bullet"/>
      <w:lvlText w:val="-"/>
      <w:lvlJc w:val="left"/>
      <w:pPr>
        <w:ind w:left="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7F09EF2">
      <w:start w:val="1"/>
      <w:numFmt w:val="bullet"/>
      <w:lvlText w:val="o"/>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F72A722">
      <w:start w:val="1"/>
      <w:numFmt w:val="bullet"/>
      <w:lvlText w:val="▪"/>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F646520">
      <w:start w:val="1"/>
      <w:numFmt w:val="bullet"/>
      <w:lvlText w:val="•"/>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C74D724">
      <w:start w:val="1"/>
      <w:numFmt w:val="bullet"/>
      <w:lvlText w:val="o"/>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FBC68C0">
      <w:start w:val="1"/>
      <w:numFmt w:val="bullet"/>
      <w:lvlText w:val="▪"/>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7C63A6C">
      <w:start w:val="1"/>
      <w:numFmt w:val="bullet"/>
      <w:lvlText w:val="•"/>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610695A">
      <w:start w:val="1"/>
      <w:numFmt w:val="bullet"/>
      <w:lvlText w:val="o"/>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D18293C">
      <w:start w:val="1"/>
      <w:numFmt w:val="bullet"/>
      <w:lvlText w:val="▪"/>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0" w15:restartNumberingAfterBreak="0">
    <w:nsid w:val="2F593040"/>
    <w:multiLevelType w:val="hybridMultilevel"/>
    <w:tmpl w:val="98C2C6F2"/>
    <w:lvl w:ilvl="0" w:tplc="A9DCDD30">
      <w:start w:val="1"/>
      <w:numFmt w:val="decimal"/>
      <w:lvlText w:val="[%1]"/>
      <w:lvlJc w:val="left"/>
      <w:pPr>
        <w:ind w:left="7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0E44008">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1CC2E92">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0A815D0">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33A740C">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5222FAE">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01E50CE">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1A21BCE">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FD6C834">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1" w15:restartNumberingAfterBreak="0">
    <w:nsid w:val="2F5D4704"/>
    <w:multiLevelType w:val="hybridMultilevel"/>
    <w:tmpl w:val="6178C190"/>
    <w:lvl w:ilvl="0" w:tplc="4996673C">
      <w:start w:val="1"/>
      <w:numFmt w:val="bullet"/>
      <w:lvlText w:val="-"/>
      <w:lvlJc w:val="left"/>
      <w:pPr>
        <w:ind w:left="87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FEAD32A">
      <w:start w:val="1"/>
      <w:numFmt w:val="bullet"/>
      <w:lvlText w:val="o"/>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8BCDAC8">
      <w:start w:val="1"/>
      <w:numFmt w:val="bullet"/>
      <w:lvlText w:val="▪"/>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978F0D0">
      <w:start w:val="1"/>
      <w:numFmt w:val="bullet"/>
      <w:lvlText w:val="•"/>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E2E2370">
      <w:start w:val="1"/>
      <w:numFmt w:val="bullet"/>
      <w:lvlText w:val="o"/>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2408B08">
      <w:start w:val="1"/>
      <w:numFmt w:val="bullet"/>
      <w:lvlText w:val="▪"/>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4CEE2D6">
      <w:start w:val="1"/>
      <w:numFmt w:val="bullet"/>
      <w:lvlText w:val="•"/>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DD85160">
      <w:start w:val="1"/>
      <w:numFmt w:val="bullet"/>
      <w:lvlText w:val="o"/>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6DAF8EE">
      <w:start w:val="1"/>
      <w:numFmt w:val="bullet"/>
      <w:lvlText w:val="▪"/>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2" w15:restartNumberingAfterBreak="0">
    <w:nsid w:val="2FBB57F9"/>
    <w:multiLevelType w:val="hybridMultilevel"/>
    <w:tmpl w:val="7436CD82"/>
    <w:lvl w:ilvl="0" w:tplc="771AC33A">
      <w:start w:val="4"/>
      <w:numFmt w:val="decimal"/>
      <w:lvlText w:val="%1."/>
      <w:lvlJc w:val="left"/>
      <w:pPr>
        <w:ind w:left="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F98FD82">
      <w:start w:val="1"/>
      <w:numFmt w:val="lowerLetter"/>
      <w:lvlText w:val="%2"/>
      <w:lvlJc w:val="left"/>
      <w:pPr>
        <w:ind w:left="16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0060BD2">
      <w:start w:val="1"/>
      <w:numFmt w:val="lowerRoman"/>
      <w:lvlText w:val="%3"/>
      <w:lvlJc w:val="left"/>
      <w:pPr>
        <w:ind w:left="23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FDAAB08">
      <w:start w:val="1"/>
      <w:numFmt w:val="decimal"/>
      <w:lvlText w:val="%4"/>
      <w:lvlJc w:val="left"/>
      <w:pPr>
        <w:ind w:left="30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D0852E8">
      <w:start w:val="1"/>
      <w:numFmt w:val="lowerLetter"/>
      <w:lvlText w:val="%5"/>
      <w:lvlJc w:val="left"/>
      <w:pPr>
        <w:ind w:left="38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02E6092">
      <w:start w:val="1"/>
      <w:numFmt w:val="lowerRoman"/>
      <w:lvlText w:val="%6"/>
      <w:lvlJc w:val="left"/>
      <w:pPr>
        <w:ind w:left="45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C3884E0">
      <w:start w:val="1"/>
      <w:numFmt w:val="decimal"/>
      <w:lvlText w:val="%7"/>
      <w:lvlJc w:val="left"/>
      <w:pPr>
        <w:ind w:left="52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05285C6">
      <w:start w:val="1"/>
      <w:numFmt w:val="lowerLetter"/>
      <w:lvlText w:val="%8"/>
      <w:lvlJc w:val="left"/>
      <w:pPr>
        <w:ind w:left="59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3883952">
      <w:start w:val="1"/>
      <w:numFmt w:val="lowerRoman"/>
      <w:lvlText w:val="%9"/>
      <w:lvlJc w:val="left"/>
      <w:pPr>
        <w:ind w:left="66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3" w15:restartNumberingAfterBreak="0">
    <w:nsid w:val="2FC543E2"/>
    <w:multiLevelType w:val="hybridMultilevel"/>
    <w:tmpl w:val="EAD81E16"/>
    <w:lvl w:ilvl="0" w:tplc="A8C4D09C">
      <w:start w:val="1"/>
      <w:numFmt w:val="decimal"/>
      <w:lvlText w:val="[%1]"/>
      <w:lvlJc w:val="left"/>
      <w:pPr>
        <w:ind w:left="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07CA02E">
      <w:start w:val="1"/>
      <w:numFmt w:val="lowerLetter"/>
      <w:lvlText w:val="%2"/>
      <w:lvlJc w:val="left"/>
      <w:pPr>
        <w:ind w:left="17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20C4A5A">
      <w:start w:val="1"/>
      <w:numFmt w:val="lowerRoman"/>
      <w:lvlText w:val="%3"/>
      <w:lvlJc w:val="left"/>
      <w:pPr>
        <w:ind w:left="2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522F798">
      <w:start w:val="1"/>
      <w:numFmt w:val="decimal"/>
      <w:lvlText w:val="%4"/>
      <w:lvlJc w:val="left"/>
      <w:pPr>
        <w:ind w:left="3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1F89732">
      <w:start w:val="1"/>
      <w:numFmt w:val="lowerLetter"/>
      <w:lvlText w:val="%5"/>
      <w:lvlJc w:val="left"/>
      <w:pPr>
        <w:ind w:left="3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30602E0">
      <w:start w:val="1"/>
      <w:numFmt w:val="lowerRoman"/>
      <w:lvlText w:val="%6"/>
      <w:lvlJc w:val="left"/>
      <w:pPr>
        <w:ind w:left="4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AECB982">
      <w:start w:val="1"/>
      <w:numFmt w:val="decimal"/>
      <w:lvlText w:val="%7"/>
      <w:lvlJc w:val="left"/>
      <w:pPr>
        <w:ind w:left="5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D4C0366">
      <w:start w:val="1"/>
      <w:numFmt w:val="lowerLetter"/>
      <w:lvlText w:val="%8"/>
      <w:lvlJc w:val="left"/>
      <w:pPr>
        <w:ind w:left="6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98CDDB6">
      <w:start w:val="1"/>
      <w:numFmt w:val="lowerRoman"/>
      <w:lvlText w:val="%9"/>
      <w:lvlJc w:val="left"/>
      <w:pPr>
        <w:ind w:left="6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4" w15:restartNumberingAfterBreak="0">
    <w:nsid w:val="2FD24130"/>
    <w:multiLevelType w:val="hybridMultilevel"/>
    <w:tmpl w:val="0224917A"/>
    <w:lvl w:ilvl="0" w:tplc="7BCA8FFA">
      <w:start w:val="1"/>
      <w:numFmt w:val="lowerLetter"/>
      <w:lvlText w:val="%1)"/>
      <w:lvlJc w:val="left"/>
      <w:pPr>
        <w:ind w:left="2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E10B9F8">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65E9212">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9E4EF88">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8AEE74A">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314B0A2">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704923C">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C583816">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FAEB97E">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5" w15:restartNumberingAfterBreak="0">
    <w:nsid w:val="30572521"/>
    <w:multiLevelType w:val="hybridMultilevel"/>
    <w:tmpl w:val="4E047210"/>
    <w:lvl w:ilvl="0" w:tplc="54C44C76">
      <w:start w:val="1"/>
      <w:numFmt w:val="bullet"/>
      <w:lvlText w:val="-"/>
      <w:lvlJc w:val="left"/>
      <w:pPr>
        <w:ind w:left="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69A5DE6">
      <w:start w:val="1"/>
      <w:numFmt w:val="bullet"/>
      <w:lvlText w:val="o"/>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D609344">
      <w:start w:val="1"/>
      <w:numFmt w:val="bullet"/>
      <w:lvlText w:val="▪"/>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698BB0C">
      <w:start w:val="1"/>
      <w:numFmt w:val="bullet"/>
      <w:lvlText w:val="•"/>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122E702">
      <w:start w:val="1"/>
      <w:numFmt w:val="bullet"/>
      <w:lvlText w:val="o"/>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80E588A">
      <w:start w:val="1"/>
      <w:numFmt w:val="bullet"/>
      <w:lvlText w:val="▪"/>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E5AD110">
      <w:start w:val="1"/>
      <w:numFmt w:val="bullet"/>
      <w:lvlText w:val="•"/>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8D6432C">
      <w:start w:val="1"/>
      <w:numFmt w:val="bullet"/>
      <w:lvlText w:val="o"/>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00C7DF0">
      <w:start w:val="1"/>
      <w:numFmt w:val="bullet"/>
      <w:lvlText w:val="▪"/>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6" w15:restartNumberingAfterBreak="0">
    <w:nsid w:val="312D484A"/>
    <w:multiLevelType w:val="hybridMultilevel"/>
    <w:tmpl w:val="FA36B302"/>
    <w:lvl w:ilvl="0" w:tplc="E4EE3AB8">
      <w:start w:val="7"/>
      <w:numFmt w:val="decimal"/>
      <w:lvlText w:val="[%1]"/>
      <w:lvlJc w:val="left"/>
      <w:pPr>
        <w:ind w:left="5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F287A1A">
      <w:start w:val="1"/>
      <w:numFmt w:val="lowerLetter"/>
      <w:lvlText w:val="%2"/>
      <w:lvlJc w:val="left"/>
      <w:pPr>
        <w:ind w:left="16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1A81D4A">
      <w:start w:val="1"/>
      <w:numFmt w:val="lowerRoman"/>
      <w:lvlText w:val="%3"/>
      <w:lvlJc w:val="left"/>
      <w:pPr>
        <w:ind w:left="23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6FA757C">
      <w:start w:val="1"/>
      <w:numFmt w:val="decimal"/>
      <w:lvlText w:val="%4"/>
      <w:lvlJc w:val="left"/>
      <w:pPr>
        <w:ind w:left="30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936879A">
      <w:start w:val="1"/>
      <w:numFmt w:val="lowerLetter"/>
      <w:lvlText w:val="%5"/>
      <w:lvlJc w:val="left"/>
      <w:pPr>
        <w:ind w:left="38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9D22740">
      <w:start w:val="1"/>
      <w:numFmt w:val="lowerRoman"/>
      <w:lvlText w:val="%6"/>
      <w:lvlJc w:val="left"/>
      <w:pPr>
        <w:ind w:left="45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FB6383C">
      <w:start w:val="1"/>
      <w:numFmt w:val="decimal"/>
      <w:lvlText w:val="%7"/>
      <w:lvlJc w:val="left"/>
      <w:pPr>
        <w:ind w:left="52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4FEDE32">
      <w:start w:val="1"/>
      <w:numFmt w:val="lowerLetter"/>
      <w:lvlText w:val="%8"/>
      <w:lvlJc w:val="left"/>
      <w:pPr>
        <w:ind w:left="59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A50735A">
      <w:start w:val="1"/>
      <w:numFmt w:val="lowerRoman"/>
      <w:lvlText w:val="%9"/>
      <w:lvlJc w:val="left"/>
      <w:pPr>
        <w:ind w:left="66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7" w15:restartNumberingAfterBreak="0">
    <w:nsid w:val="34CF2E6A"/>
    <w:multiLevelType w:val="hybridMultilevel"/>
    <w:tmpl w:val="98E8904E"/>
    <w:lvl w:ilvl="0" w:tplc="81C268EA">
      <w:start w:val="6"/>
      <w:numFmt w:val="decimal"/>
      <w:lvlText w:val="[%1]"/>
      <w:lvlJc w:val="left"/>
      <w:pPr>
        <w:ind w:left="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ABC6E0C">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8C44CE0">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0947506">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4EC2F80">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ABECDE2">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9F88CEC">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080D672">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35CA880">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8" w15:restartNumberingAfterBreak="0">
    <w:nsid w:val="3554240E"/>
    <w:multiLevelType w:val="hybridMultilevel"/>
    <w:tmpl w:val="E89A2136"/>
    <w:lvl w:ilvl="0" w:tplc="60E81D84">
      <w:start w:val="1"/>
      <w:numFmt w:val="decimal"/>
      <w:lvlText w:val="[%1]"/>
      <w:lvlJc w:val="left"/>
      <w:pPr>
        <w:ind w:left="5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2942486">
      <w:start w:val="1"/>
      <w:numFmt w:val="lowerLetter"/>
      <w:lvlText w:val="%2"/>
      <w:lvlJc w:val="left"/>
      <w:pPr>
        <w:ind w:left="16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4FA8E2E">
      <w:start w:val="1"/>
      <w:numFmt w:val="lowerRoman"/>
      <w:lvlText w:val="%3"/>
      <w:lvlJc w:val="left"/>
      <w:pPr>
        <w:ind w:left="23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EB66394">
      <w:start w:val="1"/>
      <w:numFmt w:val="decimal"/>
      <w:lvlText w:val="%4"/>
      <w:lvlJc w:val="left"/>
      <w:pPr>
        <w:ind w:left="30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48A1B30">
      <w:start w:val="1"/>
      <w:numFmt w:val="lowerLetter"/>
      <w:lvlText w:val="%5"/>
      <w:lvlJc w:val="left"/>
      <w:pPr>
        <w:ind w:left="38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824137C">
      <w:start w:val="1"/>
      <w:numFmt w:val="lowerRoman"/>
      <w:lvlText w:val="%6"/>
      <w:lvlJc w:val="left"/>
      <w:pPr>
        <w:ind w:left="45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FFA447E">
      <w:start w:val="1"/>
      <w:numFmt w:val="decimal"/>
      <w:lvlText w:val="%7"/>
      <w:lvlJc w:val="left"/>
      <w:pPr>
        <w:ind w:left="52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24034EC">
      <w:start w:val="1"/>
      <w:numFmt w:val="lowerLetter"/>
      <w:lvlText w:val="%8"/>
      <w:lvlJc w:val="left"/>
      <w:pPr>
        <w:ind w:left="59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A48553C">
      <w:start w:val="1"/>
      <w:numFmt w:val="lowerRoman"/>
      <w:lvlText w:val="%9"/>
      <w:lvlJc w:val="left"/>
      <w:pPr>
        <w:ind w:left="66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9" w15:restartNumberingAfterBreak="0">
    <w:nsid w:val="368C6075"/>
    <w:multiLevelType w:val="hybridMultilevel"/>
    <w:tmpl w:val="7982CFA8"/>
    <w:lvl w:ilvl="0" w:tplc="FA868384">
      <w:start w:val="9"/>
      <w:numFmt w:val="decimal"/>
      <w:lvlText w:val="[%1]"/>
      <w:lvlJc w:val="left"/>
      <w:pPr>
        <w:ind w:left="2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F726BA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738335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5AA0798">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D72DAA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54C5D8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3F2757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AD6766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524D86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0" w15:restartNumberingAfterBreak="0">
    <w:nsid w:val="375C15CC"/>
    <w:multiLevelType w:val="hybridMultilevel"/>
    <w:tmpl w:val="C8D06558"/>
    <w:lvl w:ilvl="0" w:tplc="4790CC68">
      <w:start w:val="1"/>
      <w:numFmt w:val="decimal"/>
      <w:lvlText w:val="%1."/>
      <w:lvlJc w:val="left"/>
      <w:pPr>
        <w:ind w:left="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AC8406E">
      <w:start w:val="1"/>
      <w:numFmt w:val="lowerLetter"/>
      <w:lvlText w:val="%2"/>
      <w:lvlJc w:val="left"/>
      <w:pPr>
        <w:ind w:left="17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EA413F2">
      <w:start w:val="1"/>
      <w:numFmt w:val="lowerRoman"/>
      <w:lvlText w:val="%3"/>
      <w:lvlJc w:val="left"/>
      <w:pPr>
        <w:ind w:left="2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0AC7D14">
      <w:start w:val="1"/>
      <w:numFmt w:val="decimal"/>
      <w:lvlText w:val="%4"/>
      <w:lvlJc w:val="left"/>
      <w:pPr>
        <w:ind w:left="3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A84B5B8">
      <w:start w:val="1"/>
      <w:numFmt w:val="lowerLetter"/>
      <w:lvlText w:val="%5"/>
      <w:lvlJc w:val="left"/>
      <w:pPr>
        <w:ind w:left="3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A0AD87A">
      <w:start w:val="1"/>
      <w:numFmt w:val="lowerRoman"/>
      <w:lvlText w:val="%6"/>
      <w:lvlJc w:val="left"/>
      <w:pPr>
        <w:ind w:left="4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D469A48">
      <w:start w:val="1"/>
      <w:numFmt w:val="decimal"/>
      <w:lvlText w:val="%7"/>
      <w:lvlJc w:val="left"/>
      <w:pPr>
        <w:ind w:left="5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C54C722">
      <w:start w:val="1"/>
      <w:numFmt w:val="lowerLetter"/>
      <w:lvlText w:val="%8"/>
      <w:lvlJc w:val="left"/>
      <w:pPr>
        <w:ind w:left="6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BA0EB7A">
      <w:start w:val="1"/>
      <w:numFmt w:val="lowerRoman"/>
      <w:lvlText w:val="%9"/>
      <w:lvlJc w:val="left"/>
      <w:pPr>
        <w:ind w:left="6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1" w15:restartNumberingAfterBreak="0">
    <w:nsid w:val="388201CB"/>
    <w:multiLevelType w:val="hybridMultilevel"/>
    <w:tmpl w:val="F80EB9A8"/>
    <w:lvl w:ilvl="0" w:tplc="F104CD78">
      <w:start w:val="1"/>
      <w:numFmt w:val="decimal"/>
      <w:lvlText w:val="[%1]"/>
      <w:lvlJc w:val="left"/>
      <w:pPr>
        <w:ind w:left="56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17F0D2C0">
      <w:start w:val="1"/>
      <w:numFmt w:val="lowerLetter"/>
      <w:lvlText w:val="%2"/>
      <w:lvlJc w:val="left"/>
      <w:pPr>
        <w:ind w:left="164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86B2CF7E">
      <w:start w:val="1"/>
      <w:numFmt w:val="lowerRoman"/>
      <w:lvlText w:val="%3"/>
      <w:lvlJc w:val="left"/>
      <w:pPr>
        <w:ind w:left="236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CC905DA2">
      <w:start w:val="1"/>
      <w:numFmt w:val="decimal"/>
      <w:lvlText w:val="%4"/>
      <w:lvlJc w:val="left"/>
      <w:pPr>
        <w:ind w:left="308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654ED82E">
      <w:start w:val="1"/>
      <w:numFmt w:val="lowerLetter"/>
      <w:lvlText w:val="%5"/>
      <w:lvlJc w:val="left"/>
      <w:pPr>
        <w:ind w:left="380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04E875E8">
      <w:start w:val="1"/>
      <w:numFmt w:val="lowerRoman"/>
      <w:lvlText w:val="%6"/>
      <w:lvlJc w:val="left"/>
      <w:pPr>
        <w:ind w:left="452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A25EA12C">
      <w:start w:val="1"/>
      <w:numFmt w:val="decimal"/>
      <w:lvlText w:val="%7"/>
      <w:lvlJc w:val="left"/>
      <w:pPr>
        <w:ind w:left="524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8BFA62FC">
      <w:start w:val="1"/>
      <w:numFmt w:val="lowerLetter"/>
      <w:lvlText w:val="%8"/>
      <w:lvlJc w:val="left"/>
      <w:pPr>
        <w:ind w:left="596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CDB8BDF4">
      <w:start w:val="1"/>
      <w:numFmt w:val="lowerRoman"/>
      <w:lvlText w:val="%9"/>
      <w:lvlJc w:val="left"/>
      <w:pPr>
        <w:ind w:left="668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82" w15:restartNumberingAfterBreak="0">
    <w:nsid w:val="38C17DE1"/>
    <w:multiLevelType w:val="hybridMultilevel"/>
    <w:tmpl w:val="C82003D8"/>
    <w:lvl w:ilvl="0" w:tplc="D79C3944">
      <w:start w:val="1"/>
      <w:numFmt w:val="decimal"/>
      <w:lvlText w:val="%1."/>
      <w:lvlJc w:val="left"/>
      <w:pPr>
        <w:ind w:left="2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F50726E">
      <w:start w:val="1"/>
      <w:numFmt w:val="lowerLetter"/>
      <w:lvlText w:val="%2"/>
      <w:lvlJc w:val="left"/>
      <w:pPr>
        <w:ind w:left="17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04EB2A4">
      <w:start w:val="1"/>
      <w:numFmt w:val="lowerRoman"/>
      <w:lvlText w:val="%3"/>
      <w:lvlJc w:val="left"/>
      <w:pPr>
        <w:ind w:left="25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8ECE46A">
      <w:start w:val="1"/>
      <w:numFmt w:val="decimal"/>
      <w:lvlText w:val="%4"/>
      <w:lvlJc w:val="left"/>
      <w:pPr>
        <w:ind w:left="32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84E1C14">
      <w:start w:val="1"/>
      <w:numFmt w:val="lowerLetter"/>
      <w:lvlText w:val="%5"/>
      <w:lvlJc w:val="left"/>
      <w:pPr>
        <w:ind w:left="39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B6C6D44">
      <w:start w:val="1"/>
      <w:numFmt w:val="lowerRoman"/>
      <w:lvlText w:val="%6"/>
      <w:lvlJc w:val="left"/>
      <w:pPr>
        <w:ind w:left="46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CB6377E">
      <w:start w:val="1"/>
      <w:numFmt w:val="decimal"/>
      <w:lvlText w:val="%7"/>
      <w:lvlJc w:val="left"/>
      <w:pPr>
        <w:ind w:left="53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950DCD6">
      <w:start w:val="1"/>
      <w:numFmt w:val="lowerLetter"/>
      <w:lvlText w:val="%8"/>
      <w:lvlJc w:val="left"/>
      <w:pPr>
        <w:ind w:left="61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7A03510">
      <w:start w:val="1"/>
      <w:numFmt w:val="lowerRoman"/>
      <w:lvlText w:val="%9"/>
      <w:lvlJc w:val="left"/>
      <w:pPr>
        <w:ind w:left="68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3" w15:restartNumberingAfterBreak="0">
    <w:nsid w:val="395406D7"/>
    <w:multiLevelType w:val="hybridMultilevel"/>
    <w:tmpl w:val="18BC3BC8"/>
    <w:lvl w:ilvl="0" w:tplc="BAEEC178">
      <w:start w:val="1"/>
      <w:numFmt w:val="decimal"/>
      <w:lvlText w:val="%1)"/>
      <w:lvlJc w:val="left"/>
      <w:pPr>
        <w:ind w:left="12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F9E0482">
      <w:start w:val="1"/>
      <w:numFmt w:val="lowerLetter"/>
      <w:lvlText w:val="%2"/>
      <w:lvlJc w:val="left"/>
      <w:pPr>
        <w:ind w:left="17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3466D5E">
      <w:start w:val="1"/>
      <w:numFmt w:val="lowerRoman"/>
      <w:lvlText w:val="%3"/>
      <w:lvlJc w:val="left"/>
      <w:pPr>
        <w:ind w:left="2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D904BA6">
      <w:start w:val="1"/>
      <w:numFmt w:val="decimal"/>
      <w:lvlText w:val="%4"/>
      <w:lvlJc w:val="left"/>
      <w:pPr>
        <w:ind w:left="3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6E45B8C">
      <w:start w:val="1"/>
      <w:numFmt w:val="lowerLetter"/>
      <w:lvlText w:val="%5"/>
      <w:lvlJc w:val="left"/>
      <w:pPr>
        <w:ind w:left="3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7AEB726">
      <w:start w:val="1"/>
      <w:numFmt w:val="lowerRoman"/>
      <w:lvlText w:val="%6"/>
      <w:lvlJc w:val="left"/>
      <w:pPr>
        <w:ind w:left="4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FCE0352">
      <w:start w:val="1"/>
      <w:numFmt w:val="decimal"/>
      <w:lvlText w:val="%7"/>
      <w:lvlJc w:val="left"/>
      <w:pPr>
        <w:ind w:left="5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3C8667A">
      <w:start w:val="1"/>
      <w:numFmt w:val="lowerLetter"/>
      <w:lvlText w:val="%8"/>
      <w:lvlJc w:val="left"/>
      <w:pPr>
        <w:ind w:left="6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BD441E4">
      <w:start w:val="1"/>
      <w:numFmt w:val="lowerRoman"/>
      <w:lvlText w:val="%9"/>
      <w:lvlJc w:val="left"/>
      <w:pPr>
        <w:ind w:left="6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4" w15:restartNumberingAfterBreak="0">
    <w:nsid w:val="39635081"/>
    <w:multiLevelType w:val="hybridMultilevel"/>
    <w:tmpl w:val="65F86A7E"/>
    <w:lvl w:ilvl="0" w:tplc="EBAAA058">
      <w:start w:val="1"/>
      <w:numFmt w:val="decimal"/>
      <w:lvlText w:val="[%1]"/>
      <w:lvlJc w:val="left"/>
      <w:pPr>
        <w:ind w:left="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126423A">
      <w:start w:val="1"/>
      <w:numFmt w:val="lowerLetter"/>
      <w:lvlText w:val="%2"/>
      <w:lvlJc w:val="left"/>
      <w:pPr>
        <w:ind w:left="17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B3A0A26">
      <w:start w:val="1"/>
      <w:numFmt w:val="lowerRoman"/>
      <w:lvlText w:val="%3"/>
      <w:lvlJc w:val="left"/>
      <w:pPr>
        <w:ind w:left="2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1C6BC12">
      <w:start w:val="1"/>
      <w:numFmt w:val="decimal"/>
      <w:lvlText w:val="%4"/>
      <w:lvlJc w:val="left"/>
      <w:pPr>
        <w:ind w:left="3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96C2A0E">
      <w:start w:val="1"/>
      <w:numFmt w:val="lowerLetter"/>
      <w:lvlText w:val="%5"/>
      <w:lvlJc w:val="left"/>
      <w:pPr>
        <w:ind w:left="3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052449E">
      <w:start w:val="1"/>
      <w:numFmt w:val="lowerRoman"/>
      <w:lvlText w:val="%6"/>
      <w:lvlJc w:val="left"/>
      <w:pPr>
        <w:ind w:left="4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6A6DB3A">
      <w:start w:val="1"/>
      <w:numFmt w:val="decimal"/>
      <w:lvlText w:val="%7"/>
      <w:lvlJc w:val="left"/>
      <w:pPr>
        <w:ind w:left="5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1CA84AC">
      <w:start w:val="1"/>
      <w:numFmt w:val="lowerLetter"/>
      <w:lvlText w:val="%8"/>
      <w:lvlJc w:val="left"/>
      <w:pPr>
        <w:ind w:left="6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F04F9C0">
      <w:start w:val="1"/>
      <w:numFmt w:val="lowerRoman"/>
      <w:lvlText w:val="%9"/>
      <w:lvlJc w:val="left"/>
      <w:pPr>
        <w:ind w:left="6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5" w15:restartNumberingAfterBreak="0">
    <w:nsid w:val="39DF57D6"/>
    <w:multiLevelType w:val="hybridMultilevel"/>
    <w:tmpl w:val="D4EA9B02"/>
    <w:lvl w:ilvl="0" w:tplc="1B529830">
      <w:start w:val="1"/>
      <w:numFmt w:val="decimal"/>
      <w:lvlText w:val="[%1]"/>
      <w:lvlJc w:val="left"/>
      <w:pPr>
        <w:ind w:left="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4A8988E">
      <w:start w:val="1"/>
      <w:numFmt w:val="lowerLetter"/>
      <w:lvlText w:val="%2"/>
      <w:lvlJc w:val="left"/>
      <w:pPr>
        <w:ind w:left="17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8C0BAF8">
      <w:start w:val="1"/>
      <w:numFmt w:val="lowerRoman"/>
      <w:lvlText w:val="%3"/>
      <w:lvlJc w:val="left"/>
      <w:pPr>
        <w:ind w:left="2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B3C60B8">
      <w:start w:val="1"/>
      <w:numFmt w:val="decimal"/>
      <w:lvlText w:val="%4"/>
      <w:lvlJc w:val="left"/>
      <w:pPr>
        <w:ind w:left="3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0969D2A">
      <w:start w:val="1"/>
      <w:numFmt w:val="lowerLetter"/>
      <w:lvlText w:val="%5"/>
      <w:lvlJc w:val="left"/>
      <w:pPr>
        <w:ind w:left="3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D384796">
      <w:start w:val="1"/>
      <w:numFmt w:val="lowerRoman"/>
      <w:lvlText w:val="%6"/>
      <w:lvlJc w:val="left"/>
      <w:pPr>
        <w:ind w:left="4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E68638A">
      <w:start w:val="1"/>
      <w:numFmt w:val="decimal"/>
      <w:lvlText w:val="%7"/>
      <w:lvlJc w:val="left"/>
      <w:pPr>
        <w:ind w:left="5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4EE26B8">
      <w:start w:val="1"/>
      <w:numFmt w:val="lowerLetter"/>
      <w:lvlText w:val="%8"/>
      <w:lvlJc w:val="left"/>
      <w:pPr>
        <w:ind w:left="6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7385854">
      <w:start w:val="1"/>
      <w:numFmt w:val="lowerRoman"/>
      <w:lvlText w:val="%9"/>
      <w:lvlJc w:val="left"/>
      <w:pPr>
        <w:ind w:left="6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6" w15:restartNumberingAfterBreak="0">
    <w:nsid w:val="3B0E5627"/>
    <w:multiLevelType w:val="hybridMultilevel"/>
    <w:tmpl w:val="A2DC6AF8"/>
    <w:lvl w:ilvl="0" w:tplc="0EAAD98E">
      <w:start w:val="1"/>
      <w:numFmt w:val="decimal"/>
      <w:lvlText w:val="[%1]"/>
      <w:lvlJc w:val="left"/>
      <w:pPr>
        <w:ind w:left="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B6C079F2">
      <w:start w:val="1"/>
      <w:numFmt w:val="lowerLetter"/>
      <w:lvlText w:val="%2"/>
      <w:lvlJc w:val="left"/>
      <w:pPr>
        <w:ind w:left="179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C77EDFEC">
      <w:start w:val="1"/>
      <w:numFmt w:val="lowerRoman"/>
      <w:lvlText w:val="%3"/>
      <w:lvlJc w:val="left"/>
      <w:pPr>
        <w:ind w:left="251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F8DCC2D0">
      <w:start w:val="1"/>
      <w:numFmt w:val="decimal"/>
      <w:lvlText w:val="%4"/>
      <w:lvlJc w:val="left"/>
      <w:pPr>
        <w:ind w:left="323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1E40F01C">
      <w:start w:val="1"/>
      <w:numFmt w:val="lowerLetter"/>
      <w:lvlText w:val="%5"/>
      <w:lvlJc w:val="left"/>
      <w:pPr>
        <w:ind w:left="395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EBBAFE5C">
      <w:start w:val="1"/>
      <w:numFmt w:val="lowerRoman"/>
      <w:lvlText w:val="%6"/>
      <w:lvlJc w:val="left"/>
      <w:pPr>
        <w:ind w:left="467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C6B0F856">
      <w:start w:val="1"/>
      <w:numFmt w:val="decimal"/>
      <w:lvlText w:val="%7"/>
      <w:lvlJc w:val="left"/>
      <w:pPr>
        <w:ind w:left="539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9A2AB3B0">
      <w:start w:val="1"/>
      <w:numFmt w:val="lowerLetter"/>
      <w:lvlText w:val="%8"/>
      <w:lvlJc w:val="left"/>
      <w:pPr>
        <w:ind w:left="611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DF208D54">
      <w:start w:val="1"/>
      <w:numFmt w:val="lowerRoman"/>
      <w:lvlText w:val="%9"/>
      <w:lvlJc w:val="left"/>
      <w:pPr>
        <w:ind w:left="683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87" w15:restartNumberingAfterBreak="0">
    <w:nsid w:val="3B36536E"/>
    <w:multiLevelType w:val="hybridMultilevel"/>
    <w:tmpl w:val="ED60FD6C"/>
    <w:lvl w:ilvl="0" w:tplc="E3E44632">
      <w:start w:val="1"/>
      <w:numFmt w:val="decimal"/>
      <w:lvlText w:val="[%1]"/>
      <w:lvlJc w:val="left"/>
      <w:pPr>
        <w:ind w:left="7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148D44C">
      <w:start w:val="1"/>
      <w:numFmt w:val="lowerLetter"/>
      <w:lvlText w:val="%2"/>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7B6B022">
      <w:start w:val="1"/>
      <w:numFmt w:val="lowerRoman"/>
      <w:lvlText w:val="%3"/>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8BA857C">
      <w:start w:val="1"/>
      <w:numFmt w:val="decimal"/>
      <w:lvlText w:val="%4"/>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77092B8">
      <w:start w:val="1"/>
      <w:numFmt w:val="lowerLetter"/>
      <w:lvlText w:val="%5"/>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7F4ADD6">
      <w:start w:val="1"/>
      <w:numFmt w:val="lowerRoman"/>
      <w:lvlText w:val="%6"/>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A4CACD8">
      <w:start w:val="1"/>
      <w:numFmt w:val="decimal"/>
      <w:lvlText w:val="%7"/>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D42E154">
      <w:start w:val="1"/>
      <w:numFmt w:val="lowerLetter"/>
      <w:lvlText w:val="%8"/>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89C7F04">
      <w:start w:val="1"/>
      <w:numFmt w:val="lowerRoman"/>
      <w:lvlText w:val="%9"/>
      <w:lvlJc w:val="left"/>
      <w:pPr>
        <w:ind w:left="68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8" w15:restartNumberingAfterBreak="0">
    <w:nsid w:val="3CBF24D0"/>
    <w:multiLevelType w:val="hybridMultilevel"/>
    <w:tmpl w:val="F214B174"/>
    <w:lvl w:ilvl="0" w:tplc="3F4E125E">
      <w:start w:val="20"/>
      <w:numFmt w:val="decimal"/>
      <w:lvlText w:val="[%1]"/>
      <w:lvlJc w:val="left"/>
      <w:pPr>
        <w:ind w:left="4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EFE60F0">
      <w:start w:val="1"/>
      <w:numFmt w:val="lowerLetter"/>
      <w:lvlText w:val="%2"/>
      <w:lvlJc w:val="left"/>
      <w:pPr>
        <w:ind w:left="1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2120D24">
      <w:start w:val="1"/>
      <w:numFmt w:val="lowerRoman"/>
      <w:lvlText w:val="%3"/>
      <w:lvlJc w:val="left"/>
      <w:pPr>
        <w:ind w:left="2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0DCD99C">
      <w:start w:val="1"/>
      <w:numFmt w:val="decimal"/>
      <w:lvlText w:val="%4"/>
      <w:lvlJc w:val="left"/>
      <w:pPr>
        <w:ind w:left="2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526E442">
      <w:start w:val="1"/>
      <w:numFmt w:val="lowerLetter"/>
      <w:lvlText w:val="%5"/>
      <w:lvlJc w:val="left"/>
      <w:pPr>
        <w:ind w:left="36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F88AAC0">
      <w:start w:val="1"/>
      <w:numFmt w:val="lowerRoman"/>
      <w:lvlText w:val="%6"/>
      <w:lvlJc w:val="left"/>
      <w:pPr>
        <w:ind w:left="4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1A883E8">
      <w:start w:val="1"/>
      <w:numFmt w:val="decimal"/>
      <w:lvlText w:val="%7"/>
      <w:lvlJc w:val="left"/>
      <w:pPr>
        <w:ind w:left="5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8126856">
      <w:start w:val="1"/>
      <w:numFmt w:val="lowerLetter"/>
      <w:lvlText w:val="%8"/>
      <w:lvlJc w:val="left"/>
      <w:pPr>
        <w:ind w:left="58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B5C4416">
      <w:start w:val="1"/>
      <w:numFmt w:val="lowerRoman"/>
      <w:lvlText w:val="%9"/>
      <w:lvlJc w:val="left"/>
      <w:pPr>
        <w:ind w:left="65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9" w15:restartNumberingAfterBreak="0">
    <w:nsid w:val="3F1D02A3"/>
    <w:multiLevelType w:val="hybridMultilevel"/>
    <w:tmpl w:val="8C54F658"/>
    <w:lvl w:ilvl="0" w:tplc="163C4910">
      <w:start w:val="1"/>
      <w:numFmt w:val="bullet"/>
      <w:lvlText w:val="-"/>
      <w:lvlJc w:val="left"/>
      <w:pPr>
        <w:ind w:left="12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67D8216A">
      <w:start w:val="1"/>
      <w:numFmt w:val="bullet"/>
      <w:lvlText w:val="o"/>
      <w:lvlJc w:val="left"/>
      <w:pPr>
        <w:ind w:left="138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2244129C">
      <w:start w:val="1"/>
      <w:numFmt w:val="bullet"/>
      <w:lvlText w:val="▪"/>
      <w:lvlJc w:val="left"/>
      <w:pPr>
        <w:ind w:left="210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702E387C">
      <w:start w:val="1"/>
      <w:numFmt w:val="bullet"/>
      <w:lvlText w:val="•"/>
      <w:lvlJc w:val="left"/>
      <w:pPr>
        <w:ind w:left="282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36A8464E">
      <w:start w:val="1"/>
      <w:numFmt w:val="bullet"/>
      <w:lvlText w:val="o"/>
      <w:lvlJc w:val="left"/>
      <w:pPr>
        <w:ind w:left="354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AA782A8C">
      <w:start w:val="1"/>
      <w:numFmt w:val="bullet"/>
      <w:lvlText w:val="▪"/>
      <w:lvlJc w:val="left"/>
      <w:pPr>
        <w:ind w:left="426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8D5096E2">
      <w:start w:val="1"/>
      <w:numFmt w:val="bullet"/>
      <w:lvlText w:val="•"/>
      <w:lvlJc w:val="left"/>
      <w:pPr>
        <w:ind w:left="498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F1AE341C">
      <w:start w:val="1"/>
      <w:numFmt w:val="bullet"/>
      <w:lvlText w:val="o"/>
      <w:lvlJc w:val="left"/>
      <w:pPr>
        <w:ind w:left="570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5E9C1510">
      <w:start w:val="1"/>
      <w:numFmt w:val="bullet"/>
      <w:lvlText w:val="▪"/>
      <w:lvlJc w:val="left"/>
      <w:pPr>
        <w:ind w:left="642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90" w15:restartNumberingAfterBreak="0">
    <w:nsid w:val="40E55F10"/>
    <w:multiLevelType w:val="hybridMultilevel"/>
    <w:tmpl w:val="660A26DC"/>
    <w:lvl w:ilvl="0" w:tplc="38D231DC">
      <w:start w:val="4"/>
      <w:numFmt w:val="decimal"/>
      <w:lvlText w:val="%1."/>
      <w:lvlJc w:val="left"/>
      <w:pPr>
        <w:ind w:left="1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326D90A">
      <w:start w:val="1"/>
      <w:numFmt w:val="lowerLetter"/>
      <w:lvlText w:val="%2"/>
      <w:lvlJc w:val="left"/>
      <w:pPr>
        <w:ind w:left="16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8446F42">
      <w:start w:val="1"/>
      <w:numFmt w:val="lowerRoman"/>
      <w:lvlText w:val="%3"/>
      <w:lvlJc w:val="left"/>
      <w:pPr>
        <w:ind w:left="23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0C09A8A">
      <w:start w:val="1"/>
      <w:numFmt w:val="decimal"/>
      <w:lvlText w:val="%4"/>
      <w:lvlJc w:val="left"/>
      <w:pPr>
        <w:ind w:left="30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EEABD94">
      <w:start w:val="1"/>
      <w:numFmt w:val="lowerLetter"/>
      <w:lvlText w:val="%5"/>
      <w:lvlJc w:val="left"/>
      <w:pPr>
        <w:ind w:left="38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AD64ED8">
      <w:start w:val="1"/>
      <w:numFmt w:val="lowerRoman"/>
      <w:lvlText w:val="%6"/>
      <w:lvlJc w:val="left"/>
      <w:pPr>
        <w:ind w:left="45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26886DC">
      <w:start w:val="1"/>
      <w:numFmt w:val="decimal"/>
      <w:lvlText w:val="%7"/>
      <w:lvlJc w:val="left"/>
      <w:pPr>
        <w:ind w:left="52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B94BE04">
      <w:start w:val="1"/>
      <w:numFmt w:val="lowerLetter"/>
      <w:lvlText w:val="%8"/>
      <w:lvlJc w:val="left"/>
      <w:pPr>
        <w:ind w:left="59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072D716">
      <w:start w:val="1"/>
      <w:numFmt w:val="lowerRoman"/>
      <w:lvlText w:val="%9"/>
      <w:lvlJc w:val="left"/>
      <w:pPr>
        <w:ind w:left="66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1" w15:restartNumberingAfterBreak="0">
    <w:nsid w:val="416C0A4B"/>
    <w:multiLevelType w:val="hybridMultilevel"/>
    <w:tmpl w:val="09F43CA2"/>
    <w:lvl w:ilvl="0" w:tplc="7A30FADC">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034D21E">
      <w:start w:val="1"/>
      <w:numFmt w:val="lowerLetter"/>
      <w:lvlText w:val="%2"/>
      <w:lvlJc w:val="left"/>
      <w:pPr>
        <w:ind w:left="16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2BEC43E">
      <w:start w:val="1"/>
      <w:numFmt w:val="lowerRoman"/>
      <w:lvlText w:val="%3"/>
      <w:lvlJc w:val="left"/>
      <w:pPr>
        <w:ind w:left="23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96A3B6E">
      <w:start w:val="1"/>
      <w:numFmt w:val="decimal"/>
      <w:lvlText w:val="%4"/>
      <w:lvlJc w:val="left"/>
      <w:pPr>
        <w:ind w:left="30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63CC77C">
      <w:start w:val="1"/>
      <w:numFmt w:val="lowerLetter"/>
      <w:lvlText w:val="%5"/>
      <w:lvlJc w:val="left"/>
      <w:pPr>
        <w:ind w:left="38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7AC0B06">
      <w:start w:val="1"/>
      <w:numFmt w:val="lowerRoman"/>
      <w:lvlText w:val="%6"/>
      <w:lvlJc w:val="left"/>
      <w:pPr>
        <w:ind w:left="45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F7406A6">
      <w:start w:val="1"/>
      <w:numFmt w:val="decimal"/>
      <w:lvlText w:val="%7"/>
      <w:lvlJc w:val="left"/>
      <w:pPr>
        <w:ind w:left="52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0E44918">
      <w:start w:val="1"/>
      <w:numFmt w:val="lowerLetter"/>
      <w:lvlText w:val="%8"/>
      <w:lvlJc w:val="left"/>
      <w:pPr>
        <w:ind w:left="59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96683F0">
      <w:start w:val="1"/>
      <w:numFmt w:val="lowerRoman"/>
      <w:lvlText w:val="%9"/>
      <w:lvlJc w:val="left"/>
      <w:pPr>
        <w:ind w:left="66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2" w15:restartNumberingAfterBreak="0">
    <w:nsid w:val="41DE2752"/>
    <w:multiLevelType w:val="hybridMultilevel"/>
    <w:tmpl w:val="5052D784"/>
    <w:lvl w:ilvl="0" w:tplc="7F10036C">
      <w:start w:val="1"/>
      <w:numFmt w:val="bullet"/>
      <w:lvlText w:val="-"/>
      <w:lvlJc w:val="left"/>
      <w:pPr>
        <w:ind w:left="7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F92BB26">
      <w:start w:val="1"/>
      <w:numFmt w:val="bullet"/>
      <w:lvlText w:val="o"/>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8DC2FD2">
      <w:start w:val="1"/>
      <w:numFmt w:val="bullet"/>
      <w:lvlText w:val="▪"/>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5CC9644">
      <w:start w:val="1"/>
      <w:numFmt w:val="bullet"/>
      <w:lvlText w:val="•"/>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A30241A">
      <w:start w:val="1"/>
      <w:numFmt w:val="bullet"/>
      <w:lvlText w:val="o"/>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5FA8D08">
      <w:start w:val="1"/>
      <w:numFmt w:val="bullet"/>
      <w:lvlText w:val="▪"/>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EE46FC2">
      <w:start w:val="1"/>
      <w:numFmt w:val="bullet"/>
      <w:lvlText w:val="•"/>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78CBCB8">
      <w:start w:val="1"/>
      <w:numFmt w:val="bullet"/>
      <w:lvlText w:val="o"/>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ED23714">
      <w:start w:val="1"/>
      <w:numFmt w:val="bullet"/>
      <w:lvlText w:val="▪"/>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3" w15:restartNumberingAfterBreak="0">
    <w:nsid w:val="42DB1C6E"/>
    <w:multiLevelType w:val="hybridMultilevel"/>
    <w:tmpl w:val="DA86C58A"/>
    <w:lvl w:ilvl="0" w:tplc="D408BC80">
      <w:start w:val="1"/>
      <w:numFmt w:val="decimal"/>
      <w:lvlText w:val="[%1]"/>
      <w:lvlJc w:val="left"/>
      <w:pPr>
        <w:ind w:left="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19C7242">
      <w:start w:val="1"/>
      <w:numFmt w:val="lowerLetter"/>
      <w:lvlText w:val="%2"/>
      <w:lvlJc w:val="left"/>
      <w:pPr>
        <w:ind w:left="17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48839F0">
      <w:start w:val="1"/>
      <w:numFmt w:val="lowerRoman"/>
      <w:lvlText w:val="%3"/>
      <w:lvlJc w:val="left"/>
      <w:pPr>
        <w:ind w:left="2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BD6F2A6">
      <w:start w:val="1"/>
      <w:numFmt w:val="decimal"/>
      <w:lvlText w:val="%4"/>
      <w:lvlJc w:val="left"/>
      <w:pPr>
        <w:ind w:left="3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9546DD2">
      <w:start w:val="1"/>
      <w:numFmt w:val="lowerLetter"/>
      <w:lvlText w:val="%5"/>
      <w:lvlJc w:val="left"/>
      <w:pPr>
        <w:ind w:left="3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6F872AE">
      <w:start w:val="1"/>
      <w:numFmt w:val="lowerRoman"/>
      <w:lvlText w:val="%6"/>
      <w:lvlJc w:val="left"/>
      <w:pPr>
        <w:ind w:left="4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2E07608">
      <w:start w:val="1"/>
      <w:numFmt w:val="decimal"/>
      <w:lvlText w:val="%7"/>
      <w:lvlJc w:val="left"/>
      <w:pPr>
        <w:ind w:left="5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A064DC6">
      <w:start w:val="1"/>
      <w:numFmt w:val="lowerLetter"/>
      <w:lvlText w:val="%8"/>
      <w:lvlJc w:val="left"/>
      <w:pPr>
        <w:ind w:left="6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EB405CE">
      <w:start w:val="1"/>
      <w:numFmt w:val="lowerRoman"/>
      <w:lvlText w:val="%9"/>
      <w:lvlJc w:val="left"/>
      <w:pPr>
        <w:ind w:left="6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4" w15:restartNumberingAfterBreak="0">
    <w:nsid w:val="4309664C"/>
    <w:multiLevelType w:val="hybridMultilevel"/>
    <w:tmpl w:val="7C068B88"/>
    <w:lvl w:ilvl="0" w:tplc="5BF63FB2">
      <w:start w:val="7"/>
      <w:numFmt w:val="decimal"/>
      <w:lvlText w:val="%1."/>
      <w:lvlJc w:val="left"/>
      <w:pPr>
        <w:ind w:left="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126FEEA">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B0A6F78">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C10F522">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0C290C4">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A460BD2">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8B0056E">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CF64836">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4C426CC">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5" w15:restartNumberingAfterBreak="0">
    <w:nsid w:val="43671AAD"/>
    <w:multiLevelType w:val="hybridMultilevel"/>
    <w:tmpl w:val="45C62572"/>
    <w:lvl w:ilvl="0" w:tplc="FE7A1D1E">
      <w:start w:val="1"/>
      <w:numFmt w:val="decimal"/>
      <w:lvlText w:val="[%1]"/>
      <w:lvlJc w:val="left"/>
      <w:pPr>
        <w:ind w:left="5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DB612D8">
      <w:start w:val="1"/>
      <w:numFmt w:val="lowerLetter"/>
      <w:lvlText w:val="%2"/>
      <w:lvlJc w:val="left"/>
      <w:pPr>
        <w:ind w:left="16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2760E4C">
      <w:start w:val="1"/>
      <w:numFmt w:val="lowerRoman"/>
      <w:lvlText w:val="%3"/>
      <w:lvlJc w:val="left"/>
      <w:pPr>
        <w:ind w:left="23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2243C16">
      <w:start w:val="1"/>
      <w:numFmt w:val="decimal"/>
      <w:lvlText w:val="%4"/>
      <w:lvlJc w:val="left"/>
      <w:pPr>
        <w:ind w:left="30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370574E">
      <w:start w:val="1"/>
      <w:numFmt w:val="lowerLetter"/>
      <w:lvlText w:val="%5"/>
      <w:lvlJc w:val="left"/>
      <w:pPr>
        <w:ind w:left="38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7CA7350">
      <w:start w:val="1"/>
      <w:numFmt w:val="lowerRoman"/>
      <w:lvlText w:val="%6"/>
      <w:lvlJc w:val="left"/>
      <w:pPr>
        <w:ind w:left="45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8065C46">
      <w:start w:val="1"/>
      <w:numFmt w:val="decimal"/>
      <w:lvlText w:val="%7"/>
      <w:lvlJc w:val="left"/>
      <w:pPr>
        <w:ind w:left="52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3785B88">
      <w:start w:val="1"/>
      <w:numFmt w:val="lowerLetter"/>
      <w:lvlText w:val="%8"/>
      <w:lvlJc w:val="left"/>
      <w:pPr>
        <w:ind w:left="59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07429E4">
      <w:start w:val="1"/>
      <w:numFmt w:val="lowerRoman"/>
      <w:lvlText w:val="%9"/>
      <w:lvlJc w:val="left"/>
      <w:pPr>
        <w:ind w:left="66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6" w15:restartNumberingAfterBreak="0">
    <w:nsid w:val="436F28A3"/>
    <w:multiLevelType w:val="hybridMultilevel"/>
    <w:tmpl w:val="812CEA74"/>
    <w:lvl w:ilvl="0" w:tplc="2A1A9386">
      <w:start w:val="1"/>
      <w:numFmt w:val="decimal"/>
      <w:lvlText w:val="[%1]"/>
      <w:lvlJc w:val="left"/>
      <w:pPr>
        <w:ind w:left="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8709332">
      <w:start w:val="1"/>
      <w:numFmt w:val="lowerLetter"/>
      <w:lvlText w:val="%2"/>
      <w:lvlJc w:val="left"/>
      <w:pPr>
        <w:ind w:left="16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ADC1588">
      <w:start w:val="1"/>
      <w:numFmt w:val="lowerRoman"/>
      <w:lvlText w:val="%3"/>
      <w:lvlJc w:val="left"/>
      <w:pPr>
        <w:ind w:left="23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9880B5C">
      <w:start w:val="1"/>
      <w:numFmt w:val="decimal"/>
      <w:lvlText w:val="%4"/>
      <w:lvlJc w:val="left"/>
      <w:pPr>
        <w:ind w:left="30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5A20CC4">
      <w:start w:val="1"/>
      <w:numFmt w:val="lowerLetter"/>
      <w:lvlText w:val="%5"/>
      <w:lvlJc w:val="left"/>
      <w:pPr>
        <w:ind w:left="38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7CC14A2">
      <w:start w:val="1"/>
      <w:numFmt w:val="lowerRoman"/>
      <w:lvlText w:val="%6"/>
      <w:lvlJc w:val="left"/>
      <w:pPr>
        <w:ind w:left="45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A92FB6A">
      <w:start w:val="1"/>
      <w:numFmt w:val="decimal"/>
      <w:lvlText w:val="%7"/>
      <w:lvlJc w:val="left"/>
      <w:pPr>
        <w:ind w:left="52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C7AE934">
      <w:start w:val="1"/>
      <w:numFmt w:val="lowerLetter"/>
      <w:lvlText w:val="%8"/>
      <w:lvlJc w:val="left"/>
      <w:pPr>
        <w:ind w:left="59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CAEC164">
      <w:start w:val="1"/>
      <w:numFmt w:val="lowerRoman"/>
      <w:lvlText w:val="%9"/>
      <w:lvlJc w:val="left"/>
      <w:pPr>
        <w:ind w:left="66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7" w15:restartNumberingAfterBreak="0">
    <w:nsid w:val="45DE0CFE"/>
    <w:multiLevelType w:val="hybridMultilevel"/>
    <w:tmpl w:val="4AB42E7A"/>
    <w:lvl w:ilvl="0" w:tplc="50066998">
      <w:start w:val="1"/>
      <w:numFmt w:val="bullet"/>
      <w:lvlText w:val="-"/>
      <w:lvlJc w:val="left"/>
      <w:pPr>
        <w:ind w:left="84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BDADC0C">
      <w:start w:val="1"/>
      <w:numFmt w:val="bullet"/>
      <w:lvlText w:val="o"/>
      <w:lvlJc w:val="left"/>
      <w:pPr>
        <w:ind w:left="169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B4E2976">
      <w:start w:val="1"/>
      <w:numFmt w:val="bullet"/>
      <w:lvlText w:val="▪"/>
      <w:lvlJc w:val="left"/>
      <w:pPr>
        <w:ind w:left="241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37A71C6">
      <w:start w:val="1"/>
      <w:numFmt w:val="bullet"/>
      <w:lvlText w:val="•"/>
      <w:lvlJc w:val="left"/>
      <w:pPr>
        <w:ind w:left="313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A70819A">
      <w:start w:val="1"/>
      <w:numFmt w:val="bullet"/>
      <w:lvlText w:val="o"/>
      <w:lvlJc w:val="left"/>
      <w:pPr>
        <w:ind w:left="385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EF60DD6">
      <w:start w:val="1"/>
      <w:numFmt w:val="bullet"/>
      <w:lvlText w:val="▪"/>
      <w:lvlJc w:val="left"/>
      <w:pPr>
        <w:ind w:left="457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EDE7024">
      <w:start w:val="1"/>
      <w:numFmt w:val="bullet"/>
      <w:lvlText w:val="•"/>
      <w:lvlJc w:val="left"/>
      <w:pPr>
        <w:ind w:left="529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2CEE93C">
      <w:start w:val="1"/>
      <w:numFmt w:val="bullet"/>
      <w:lvlText w:val="o"/>
      <w:lvlJc w:val="left"/>
      <w:pPr>
        <w:ind w:left="601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3920138">
      <w:start w:val="1"/>
      <w:numFmt w:val="bullet"/>
      <w:lvlText w:val="▪"/>
      <w:lvlJc w:val="left"/>
      <w:pPr>
        <w:ind w:left="673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8" w15:restartNumberingAfterBreak="0">
    <w:nsid w:val="46986CC4"/>
    <w:multiLevelType w:val="hybridMultilevel"/>
    <w:tmpl w:val="E7123AD0"/>
    <w:lvl w:ilvl="0" w:tplc="A3D0FB4C">
      <w:start w:val="1"/>
      <w:numFmt w:val="bullet"/>
      <w:lvlText w:val="-"/>
      <w:lvlJc w:val="left"/>
      <w:pPr>
        <w:ind w:left="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578696C">
      <w:start w:val="1"/>
      <w:numFmt w:val="bullet"/>
      <w:lvlText w:val="o"/>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FB88458">
      <w:start w:val="1"/>
      <w:numFmt w:val="bullet"/>
      <w:lvlText w:val="▪"/>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87C8CA2">
      <w:start w:val="1"/>
      <w:numFmt w:val="bullet"/>
      <w:lvlText w:val="•"/>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9223946">
      <w:start w:val="1"/>
      <w:numFmt w:val="bullet"/>
      <w:lvlText w:val="o"/>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280B1B0">
      <w:start w:val="1"/>
      <w:numFmt w:val="bullet"/>
      <w:lvlText w:val="▪"/>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0CE964E">
      <w:start w:val="1"/>
      <w:numFmt w:val="bullet"/>
      <w:lvlText w:val="•"/>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76043D6">
      <w:start w:val="1"/>
      <w:numFmt w:val="bullet"/>
      <w:lvlText w:val="o"/>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E424450">
      <w:start w:val="1"/>
      <w:numFmt w:val="bullet"/>
      <w:lvlText w:val="▪"/>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9" w15:restartNumberingAfterBreak="0">
    <w:nsid w:val="46F86CA8"/>
    <w:multiLevelType w:val="hybridMultilevel"/>
    <w:tmpl w:val="62FE0F9A"/>
    <w:lvl w:ilvl="0" w:tplc="C6F41480">
      <w:start w:val="24"/>
      <w:numFmt w:val="decimal"/>
      <w:lvlText w:val="[%1]"/>
      <w:lvlJc w:val="left"/>
      <w:pPr>
        <w:ind w:left="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6F8370C">
      <w:start w:val="1"/>
      <w:numFmt w:val="lowerLetter"/>
      <w:lvlText w:val="%2"/>
      <w:lvlJc w:val="left"/>
      <w:pPr>
        <w:ind w:left="1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542ED6A">
      <w:start w:val="1"/>
      <w:numFmt w:val="lowerRoman"/>
      <w:lvlText w:val="%3"/>
      <w:lvlJc w:val="left"/>
      <w:pPr>
        <w:ind w:left="2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C40B412">
      <w:start w:val="1"/>
      <w:numFmt w:val="decimal"/>
      <w:lvlText w:val="%4"/>
      <w:lvlJc w:val="left"/>
      <w:pPr>
        <w:ind w:left="2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9168CAC">
      <w:start w:val="1"/>
      <w:numFmt w:val="lowerLetter"/>
      <w:lvlText w:val="%5"/>
      <w:lvlJc w:val="left"/>
      <w:pPr>
        <w:ind w:left="36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3BE51EA">
      <w:start w:val="1"/>
      <w:numFmt w:val="lowerRoman"/>
      <w:lvlText w:val="%6"/>
      <w:lvlJc w:val="left"/>
      <w:pPr>
        <w:ind w:left="4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6646B9A">
      <w:start w:val="1"/>
      <w:numFmt w:val="decimal"/>
      <w:lvlText w:val="%7"/>
      <w:lvlJc w:val="left"/>
      <w:pPr>
        <w:ind w:left="5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02A4B5A">
      <w:start w:val="1"/>
      <w:numFmt w:val="lowerLetter"/>
      <w:lvlText w:val="%8"/>
      <w:lvlJc w:val="left"/>
      <w:pPr>
        <w:ind w:left="58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E7A3CE6">
      <w:start w:val="1"/>
      <w:numFmt w:val="lowerRoman"/>
      <w:lvlText w:val="%9"/>
      <w:lvlJc w:val="left"/>
      <w:pPr>
        <w:ind w:left="65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0" w15:restartNumberingAfterBreak="0">
    <w:nsid w:val="47640A41"/>
    <w:multiLevelType w:val="hybridMultilevel"/>
    <w:tmpl w:val="2D3A6814"/>
    <w:lvl w:ilvl="0" w:tplc="21529384">
      <w:start w:val="1"/>
      <w:numFmt w:val="decimal"/>
      <w:lvlText w:val="%1)"/>
      <w:lvlJc w:val="left"/>
      <w:pPr>
        <w:ind w:left="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7663F6E">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37E19A0">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68AE60C">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944E9C4">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2CE7F12">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2122F7C">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E36F4E6">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6AEC232">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1" w15:restartNumberingAfterBreak="0">
    <w:nsid w:val="47F13087"/>
    <w:multiLevelType w:val="hybridMultilevel"/>
    <w:tmpl w:val="E2B4C5BA"/>
    <w:lvl w:ilvl="0" w:tplc="EB665DD4">
      <w:start w:val="1"/>
      <w:numFmt w:val="decimal"/>
      <w:lvlText w:val="%1."/>
      <w:lvlJc w:val="left"/>
      <w:pPr>
        <w:ind w:left="28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6BE774E">
      <w:start w:val="1"/>
      <w:numFmt w:val="lowerLetter"/>
      <w:lvlText w:val="%2"/>
      <w:lvlJc w:val="left"/>
      <w:pPr>
        <w:ind w:left="17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CDCDF02">
      <w:start w:val="1"/>
      <w:numFmt w:val="lowerRoman"/>
      <w:lvlText w:val="%3"/>
      <w:lvlJc w:val="left"/>
      <w:pPr>
        <w:ind w:left="25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3B0C942">
      <w:start w:val="1"/>
      <w:numFmt w:val="decimal"/>
      <w:lvlText w:val="%4"/>
      <w:lvlJc w:val="left"/>
      <w:pPr>
        <w:ind w:left="32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DD6AD0A">
      <w:start w:val="1"/>
      <w:numFmt w:val="lowerLetter"/>
      <w:lvlText w:val="%5"/>
      <w:lvlJc w:val="left"/>
      <w:pPr>
        <w:ind w:left="39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D26E8E8">
      <w:start w:val="1"/>
      <w:numFmt w:val="lowerRoman"/>
      <w:lvlText w:val="%6"/>
      <w:lvlJc w:val="left"/>
      <w:pPr>
        <w:ind w:left="46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86AD806">
      <w:start w:val="1"/>
      <w:numFmt w:val="decimal"/>
      <w:lvlText w:val="%7"/>
      <w:lvlJc w:val="left"/>
      <w:pPr>
        <w:ind w:left="53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042F7A0">
      <w:start w:val="1"/>
      <w:numFmt w:val="lowerLetter"/>
      <w:lvlText w:val="%8"/>
      <w:lvlJc w:val="left"/>
      <w:pPr>
        <w:ind w:left="61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D502F8A">
      <w:start w:val="1"/>
      <w:numFmt w:val="lowerRoman"/>
      <w:lvlText w:val="%9"/>
      <w:lvlJc w:val="left"/>
      <w:pPr>
        <w:ind w:left="68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2" w15:restartNumberingAfterBreak="0">
    <w:nsid w:val="48760A41"/>
    <w:multiLevelType w:val="hybridMultilevel"/>
    <w:tmpl w:val="153E73A2"/>
    <w:lvl w:ilvl="0" w:tplc="A9C21AE2">
      <w:start w:val="1"/>
      <w:numFmt w:val="decimal"/>
      <w:lvlText w:val="[%1]"/>
      <w:lvlJc w:val="left"/>
      <w:pPr>
        <w:ind w:left="28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C967868">
      <w:start w:val="1"/>
      <w:numFmt w:val="lowerLetter"/>
      <w:lvlText w:val="%2"/>
      <w:lvlJc w:val="left"/>
      <w:pPr>
        <w:ind w:left="16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AC82F9A">
      <w:start w:val="1"/>
      <w:numFmt w:val="lowerRoman"/>
      <w:lvlText w:val="%3"/>
      <w:lvlJc w:val="left"/>
      <w:pPr>
        <w:ind w:left="23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36A4582">
      <w:start w:val="1"/>
      <w:numFmt w:val="decimal"/>
      <w:lvlText w:val="%4"/>
      <w:lvlJc w:val="left"/>
      <w:pPr>
        <w:ind w:left="30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292C97A">
      <w:start w:val="1"/>
      <w:numFmt w:val="lowerLetter"/>
      <w:lvlText w:val="%5"/>
      <w:lvlJc w:val="left"/>
      <w:pPr>
        <w:ind w:left="38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0B66726">
      <w:start w:val="1"/>
      <w:numFmt w:val="lowerRoman"/>
      <w:lvlText w:val="%6"/>
      <w:lvlJc w:val="left"/>
      <w:pPr>
        <w:ind w:left="45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31E5190">
      <w:start w:val="1"/>
      <w:numFmt w:val="decimal"/>
      <w:lvlText w:val="%7"/>
      <w:lvlJc w:val="left"/>
      <w:pPr>
        <w:ind w:left="52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6C0F7A2">
      <w:start w:val="1"/>
      <w:numFmt w:val="lowerLetter"/>
      <w:lvlText w:val="%8"/>
      <w:lvlJc w:val="left"/>
      <w:pPr>
        <w:ind w:left="59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50AF66C">
      <w:start w:val="1"/>
      <w:numFmt w:val="lowerRoman"/>
      <w:lvlText w:val="%9"/>
      <w:lvlJc w:val="left"/>
      <w:pPr>
        <w:ind w:left="66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3" w15:restartNumberingAfterBreak="0">
    <w:nsid w:val="48A22BA5"/>
    <w:multiLevelType w:val="hybridMultilevel"/>
    <w:tmpl w:val="11AE9EC4"/>
    <w:lvl w:ilvl="0" w:tplc="304C53E4">
      <w:start w:val="9"/>
      <w:numFmt w:val="decimal"/>
      <w:lvlText w:val="[%1]"/>
      <w:lvlJc w:val="left"/>
      <w:pPr>
        <w:ind w:left="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C6CE0F4">
      <w:start w:val="1"/>
      <w:numFmt w:val="lowerLetter"/>
      <w:lvlText w:val="%2"/>
      <w:lvlJc w:val="left"/>
      <w:pPr>
        <w:ind w:left="17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FBEA7B6">
      <w:start w:val="1"/>
      <w:numFmt w:val="lowerRoman"/>
      <w:lvlText w:val="%3"/>
      <w:lvlJc w:val="left"/>
      <w:pPr>
        <w:ind w:left="25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F58B072">
      <w:start w:val="1"/>
      <w:numFmt w:val="decimal"/>
      <w:lvlText w:val="%4"/>
      <w:lvlJc w:val="left"/>
      <w:pPr>
        <w:ind w:left="32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1CE2DBE">
      <w:start w:val="1"/>
      <w:numFmt w:val="lowerLetter"/>
      <w:lvlText w:val="%5"/>
      <w:lvlJc w:val="left"/>
      <w:pPr>
        <w:ind w:left="39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0949832">
      <w:start w:val="1"/>
      <w:numFmt w:val="lowerRoman"/>
      <w:lvlText w:val="%6"/>
      <w:lvlJc w:val="left"/>
      <w:pPr>
        <w:ind w:left="46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C0C29BE">
      <w:start w:val="1"/>
      <w:numFmt w:val="decimal"/>
      <w:lvlText w:val="%7"/>
      <w:lvlJc w:val="left"/>
      <w:pPr>
        <w:ind w:left="53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FDE321A">
      <w:start w:val="1"/>
      <w:numFmt w:val="lowerLetter"/>
      <w:lvlText w:val="%8"/>
      <w:lvlJc w:val="left"/>
      <w:pPr>
        <w:ind w:left="61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B54F3D6">
      <w:start w:val="1"/>
      <w:numFmt w:val="lowerRoman"/>
      <w:lvlText w:val="%9"/>
      <w:lvlJc w:val="left"/>
      <w:pPr>
        <w:ind w:left="68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4" w15:restartNumberingAfterBreak="0">
    <w:nsid w:val="498A68BB"/>
    <w:multiLevelType w:val="hybridMultilevel"/>
    <w:tmpl w:val="19483D1C"/>
    <w:lvl w:ilvl="0" w:tplc="AAAC00E6">
      <w:start w:val="8"/>
      <w:numFmt w:val="decimal"/>
      <w:lvlText w:val="%1"/>
      <w:lvlJc w:val="left"/>
      <w:pPr>
        <w:ind w:left="2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9F4459C">
      <w:start w:val="1"/>
      <w:numFmt w:val="lowerLetter"/>
      <w:lvlText w:val="%2"/>
      <w:lvlJc w:val="left"/>
      <w:pPr>
        <w:ind w:left="16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67AEEE4">
      <w:start w:val="1"/>
      <w:numFmt w:val="lowerRoman"/>
      <w:lvlText w:val="%3"/>
      <w:lvlJc w:val="left"/>
      <w:pPr>
        <w:ind w:left="23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516E7A6">
      <w:start w:val="1"/>
      <w:numFmt w:val="decimal"/>
      <w:lvlText w:val="%4"/>
      <w:lvlJc w:val="left"/>
      <w:pPr>
        <w:ind w:left="30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916C2EC">
      <w:start w:val="1"/>
      <w:numFmt w:val="lowerLetter"/>
      <w:lvlText w:val="%5"/>
      <w:lvlJc w:val="left"/>
      <w:pPr>
        <w:ind w:left="38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B58B6F0">
      <w:start w:val="1"/>
      <w:numFmt w:val="lowerRoman"/>
      <w:lvlText w:val="%6"/>
      <w:lvlJc w:val="left"/>
      <w:pPr>
        <w:ind w:left="45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A5E0586">
      <w:start w:val="1"/>
      <w:numFmt w:val="decimal"/>
      <w:lvlText w:val="%7"/>
      <w:lvlJc w:val="left"/>
      <w:pPr>
        <w:ind w:left="52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0F8D48E">
      <w:start w:val="1"/>
      <w:numFmt w:val="lowerLetter"/>
      <w:lvlText w:val="%8"/>
      <w:lvlJc w:val="left"/>
      <w:pPr>
        <w:ind w:left="59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71E16F0">
      <w:start w:val="1"/>
      <w:numFmt w:val="lowerRoman"/>
      <w:lvlText w:val="%9"/>
      <w:lvlJc w:val="left"/>
      <w:pPr>
        <w:ind w:left="66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5" w15:restartNumberingAfterBreak="0">
    <w:nsid w:val="4A0D2197"/>
    <w:multiLevelType w:val="hybridMultilevel"/>
    <w:tmpl w:val="99A62606"/>
    <w:lvl w:ilvl="0" w:tplc="40ECF3D8">
      <w:start w:val="1"/>
      <w:numFmt w:val="bullet"/>
      <w:lvlText w:val="-"/>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D16AD72">
      <w:start w:val="1"/>
      <w:numFmt w:val="bullet"/>
      <w:lvlText w:val="o"/>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F702504">
      <w:start w:val="1"/>
      <w:numFmt w:val="bullet"/>
      <w:lvlText w:val="▪"/>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FA0A5F2">
      <w:start w:val="1"/>
      <w:numFmt w:val="bullet"/>
      <w:lvlText w:val="•"/>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49A954C">
      <w:start w:val="1"/>
      <w:numFmt w:val="bullet"/>
      <w:lvlText w:val="o"/>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EFEEB14">
      <w:start w:val="1"/>
      <w:numFmt w:val="bullet"/>
      <w:lvlText w:val="▪"/>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A00F122">
      <w:start w:val="1"/>
      <w:numFmt w:val="bullet"/>
      <w:lvlText w:val="•"/>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0D2DCEA">
      <w:start w:val="1"/>
      <w:numFmt w:val="bullet"/>
      <w:lvlText w:val="o"/>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6A21A5E">
      <w:start w:val="1"/>
      <w:numFmt w:val="bullet"/>
      <w:lvlText w:val="▪"/>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6" w15:restartNumberingAfterBreak="0">
    <w:nsid w:val="4A9D2931"/>
    <w:multiLevelType w:val="hybridMultilevel"/>
    <w:tmpl w:val="F5208E78"/>
    <w:lvl w:ilvl="0" w:tplc="0CBAB92A">
      <w:start w:val="1"/>
      <w:numFmt w:val="bullet"/>
      <w:lvlText w:val="•"/>
      <w:lvlJc w:val="left"/>
      <w:pPr>
        <w:ind w:left="73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EB0A6D4">
      <w:start w:val="1"/>
      <w:numFmt w:val="bullet"/>
      <w:lvlText w:val="o"/>
      <w:lvlJc w:val="left"/>
      <w:pPr>
        <w:ind w:left="17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F7E7382">
      <w:start w:val="1"/>
      <w:numFmt w:val="bullet"/>
      <w:lvlText w:val="▪"/>
      <w:lvlJc w:val="left"/>
      <w:pPr>
        <w:ind w:left="2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16CB1BC">
      <w:start w:val="1"/>
      <w:numFmt w:val="bullet"/>
      <w:lvlText w:val="•"/>
      <w:lvlJc w:val="left"/>
      <w:pPr>
        <w:ind w:left="3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65610B0">
      <w:start w:val="1"/>
      <w:numFmt w:val="bullet"/>
      <w:lvlText w:val="o"/>
      <w:lvlJc w:val="left"/>
      <w:pPr>
        <w:ind w:left="3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C983BEC">
      <w:start w:val="1"/>
      <w:numFmt w:val="bullet"/>
      <w:lvlText w:val="▪"/>
      <w:lvlJc w:val="left"/>
      <w:pPr>
        <w:ind w:left="4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B3057BC">
      <w:start w:val="1"/>
      <w:numFmt w:val="bullet"/>
      <w:lvlText w:val="•"/>
      <w:lvlJc w:val="left"/>
      <w:pPr>
        <w:ind w:left="5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8822728">
      <w:start w:val="1"/>
      <w:numFmt w:val="bullet"/>
      <w:lvlText w:val="o"/>
      <w:lvlJc w:val="left"/>
      <w:pPr>
        <w:ind w:left="6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AB0FE8C">
      <w:start w:val="1"/>
      <w:numFmt w:val="bullet"/>
      <w:lvlText w:val="▪"/>
      <w:lvlJc w:val="left"/>
      <w:pPr>
        <w:ind w:left="6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7" w15:restartNumberingAfterBreak="0">
    <w:nsid w:val="4AED34FA"/>
    <w:multiLevelType w:val="hybridMultilevel"/>
    <w:tmpl w:val="425072F0"/>
    <w:lvl w:ilvl="0" w:tplc="CA3CEA7A">
      <w:start w:val="4"/>
      <w:numFmt w:val="decimal"/>
      <w:lvlText w:val="%1."/>
      <w:lvlJc w:val="left"/>
      <w:pPr>
        <w:ind w:left="1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CACF73C">
      <w:start w:val="1"/>
      <w:numFmt w:val="lowerLetter"/>
      <w:lvlText w:val="%2"/>
      <w:lvlJc w:val="left"/>
      <w:pPr>
        <w:ind w:left="1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69E2456">
      <w:start w:val="1"/>
      <w:numFmt w:val="lowerRoman"/>
      <w:lvlText w:val="%3"/>
      <w:lvlJc w:val="left"/>
      <w:pPr>
        <w:ind w:left="2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2520FD2">
      <w:start w:val="1"/>
      <w:numFmt w:val="decimal"/>
      <w:lvlText w:val="%4"/>
      <w:lvlJc w:val="left"/>
      <w:pPr>
        <w:ind w:left="2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D449318">
      <w:start w:val="1"/>
      <w:numFmt w:val="lowerLetter"/>
      <w:lvlText w:val="%5"/>
      <w:lvlJc w:val="left"/>
      <w:pPr>
        <w:ind w:left="36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74078EA">
      <w:start w:val="1"/>
      <w:numFmt w:val="lowerRoman"/>
      <w:lvlText w:val="%6"/>
      <w:lvlJc w:val="left"/>
      <w:pPr>
        <w:ind w:left="4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528D866">
      <w:start w:val="1"/>
      <w:numFmt w:val="decimal"/>
      <w:lvlText w:val="%7"/>
      <w:lvlJc w:val="left"/>
      <w:pPr>
        <w:ind w:left="5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9607D8A">
      <w:start w:val="1"/>
      <w:numFmt w:val="lowerLetter"/>
      <w:lvlText w:val="%8"/>
      <w:lvlJc w:val="left"/>
      <w:pPr>
        <w:ind w:left="58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4009DA4">
      <w:start w:val="1"/>
      <w:numFmt w:val="lowerRoman"/>
      <w:lvlText w:val="%9"/>
      <w:lvlJc w:val="left"/>
      <w:pPr>
        <w:ind w:left="65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8" w15:restartNumberingAfterBreak="0">
    <w:nsid w:val="4B6C406C"/>
    <w:multiLevelType w:val="hybridMultilevel"/>
    <w:tmpl w:val="557017C4"/>
    <w:lvl w:ilvl="0" w:tplc="400C80CA">
      <w:start w:val="3"/>
      <w:numFmt w:val="decimal"/>
      <w:lvlText w:val="[%1]"/>
      <w:lvlJc w:val="left"/>
      <w:pPr>
        <w:ind w:left="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32AB4F2">
      <w:start w:val="1"/>
      <w:numFmt w:val="lowerLetter"/>
      <w:lvlText w:val="%2"/>
      <w:lvlJc w:val="left"/>
      <w:pPr>
        <w:ind w:left="16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FBE7366">
      <w:start w:val="1"/>
      <w:numFmt w:val="lowerRoman"/>
      <w:lvlText w:val="%3"/>
      <w:lvlJc w:val="left"/>
      <w:pPr>
        <w:ind w:left="23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8AE1EAA">
      <w:start w:val="1"/>
      <w:numFmt w:val="decimal"/>
      <w:lvlText w:val="%4"/>
      <w:lvlJc w:val="left"/>
      <w:pPr>
        <w:ind w:left="30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D08FF20">
      <w:start w:val="1"/>
      <w:numFmt w:val="lowerLetter"/>
      <w:lvlText w:val="%5"/>
      <w:lvlJc w:val="left"/>
      <w:pPr>
        <w:ind w:left="38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2DE1E80">
      <w:start w:val="1"/>
      <w:numFmt w:val="lowerRoman"/>
      <w:lvlText w:val="%6"/>
      <w:lvlJc w:val="left"/>
      <w:pPr>
        <w:ind w:left="45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3A0C474">
      <w:start w:val="1"/>
      <w:numFmt w:val="decimal"/>
      <w:lvlText w:val="%7"/>
      <w:lvlJc w:val="left"/>
      <w:pPr>
        <w:ind w:left="52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CDA6D0E">
      <w:start w:val="1"/>
      <w:numFmt w:val="lowerLetter"/>
      <w:lvlText w:val="%8"/>
      <w:lvlJc w:val="left"/>
      <w:pPr>
        <w:ind w:left="59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958ECDA">
      <w:start w:val="1"/>
      <w:numFmt w:val="lowerRoman"/>
      <w:lvlText w:val="%9"/>
      <w:lvlJc w:val="left"/>
      <w:pPr>
        <w:ind w:left="66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9" w15:restartNumberingAfterBreak="0">
    <w:nsid w:val="4BB473C2"/>
    <w:multiLevelType w:val="hybridMultilevel"/>
    <w:tmpl w:val="40069F30"/>
    <w:lvl w:ilvl="0" w:tplc="6A12A4EC">
      <w:start w:val="4"/>
      <w:numFmt w:val="decimal"/>
      <w:lvlText w:val="[%1]"/>
      <w:lvlJc w:val="left"/>
      <w:pPr>
        <w:ind w:left="2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EBC9A28">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160B77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C4828B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16E2F88">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BF498C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2BC853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572DF5A">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8B6434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0" w15:restartNumberingAfterBreak="0">
    <w:nsid w:val="4CE66221"/>
    <w:multiLevelType w:val="hybridMultilevel"/>
    <w:tmpl w:val="9BAA2DFC"/>
    <w:lvl w:ilvl="0" w:tplc="74A68898">
      <w:start w:val="1"/>
      <w:numFmt w:val="decimal"/>
      <w:lvlText w:val="%1)"/>
      <w:lvlJc w:val="left"/>
      <w:pPr>
        <w:ind w:left="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4668AA6">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A9A4B00">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DE4C8B6">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8BA56FA">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84CE520">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D26942C">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3661ADA">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35812AA">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1" w15:restartNumberingAfterBreak="0">
    <w:nsid w:val="4D643F80"/>
    <w:multiLevelType w:val="hybridMultilevel"/>
    <w:tmpl w:val="914C8D12"/>
    <w:lvl w:ilvl="0" w:tplc="609A6DC2">
      <w:start w:val="1"/>
      <w:numFmt w:val="bullet"/>
      <w:lvlText w:val="-"/>
      <w:lvlJc w:val="left"/>
      <w:pPr>
        <w:ind w:left="10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28081D3C">
      <w:start w:val="1"/>
      <w:numFmt w:val="bullet"/>
      <w:lvlText w:val="o"/>
      <w:lvlJc w:val="left"/>
      <w:pPr>
        <w:ind w:left="149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071886A4">
      <w:start w:val="1"/>
      <w:numFmt w:val="bullet"/>
      <w:lvlText w:val="▪"/>
      <w:lvlJc w:val="left"/>
      <w:pPr>
        <w:ind w:left="221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C0B6971C">
      <w:start w:val="1"/>
      <w:numFmt w:val="bullet"/>
      <w:lvlText w:val="•"/>
      <w:lvlJc w:val="left"/>
      <w:pPr>
        <w:ind w:left="293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83A25BB8">
      <w:start w:val="1"/>
      <w:numFmt w:val="bullet"/>
      <w:lvlText w:val="o"/>
      <w:lvlJc w:val="left"/>
      <w:pPr>
        <w:ind w:left="365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1AFEFA78">
      <w:start w:val="1"/>
      <w:numFmt w:val="bullet"/>
      <w:lvlText w:val="▪"/>
      <w:lvlJc w:val="left"/>
      <w:pPr>
        <w:ind w:left="437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511E4496">
      <w:start w:val="1"/>
      <w:numFmt w:val="bullet"/>
      <w:lvlText w:val="•"/>
      <w:lvlJc w:val="left"/>
      <w:pPr>
        <w:ind w:left="509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7F322686">
      <w:start w:val="1"/>
      <w:numFmt w:val="bullet"/>
      <w:lvlText w:val="o"/>
      <w:lvlJc w:val="left"/>
      <w:pPr>
        <w:ind w:left="581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3A9A792A">
      <w:start w:val="1"/>
      <w:numFmt w:val="bullet"/>
      <w:lvlText w:val="▪"/>
      <w:lvlJc w:val="left"/>
      <w:pPr>
        <w:ind w:left="653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12" w15:restartNumberingAfterBreak="0">
    <w:nsid w:val="4DB608C2"/>
    <w:multiLevelType w:val="hybridMultilevel"/>
    <w:tmpl w:val="399C78FA"/>
    <w:lvl w:ilvl="0" w:tplc="8D28D76A">
      <w:start w:val="1"/>
      <w:numFmt w:val="bullet"/>
      <w:lvlText w:val=""/>
      <w:lvlJc w:val="left"/>
      <w:pPr>
        <w:ind w:left="23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1" w:tplc="97C27A86">
      <w:start w:val="1"/>
      <w:numFmt w:val="bullet"/>
      <w:lvlText w:val="o"/>
      <w:lvlJc w:val="left"/>
      <w:pPr>
        <w:ind w:left="111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2FAA5A0">
      <w:start w:val="1"/>
      <w:numFmt w:val="bullet"/>
      <w:lvlText w:val="▪"/>
      <w:lvlJc w:val="left"/>
      <w:pPr>
        <w:ind w:left="183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40633C6">
      <w:start w:val="1"/>
      <w:numFmt w:val="bullet"/>
      <w:lvlText w:val="•"/>
      <w:lvlJc w:val="left"/>
      <w:pPr>
        <w:ind w:left="255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90A8AD0">
      <w:start w:val="1"/>
      <w:numFmt w:val="bullet"/>
      <w:lvlText w:val="o"/>
      <w:lvlJc w:val="left"/>
      <w:pPr>
        <w:ind w:left="327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B48605D8">
      <w:start w:val="1"/>
      <w:numFmt w:val="bullet"/>
      <w:lvlText w:val="▪"/>
      <w:lvlJc w:val="left"/>
      <w:pPr>
        <w:ind w:left="399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7C87C2C">
      <w:start w:val="1"/>
      <w:numFmt w:val="bullet"/>
      <w:lvlText w:val="•"/>
      <w:lvlJc w:val="left"/>
      <w:pPr>
        <w:ind w:left="47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58A5A7A">
      <w:start w:val="1"/>
      <w:numFmt w:val="bullet"/>
      <w:lvlText w:val="o"/>
      <w:lvlJc w:val="left"/>
      <w:pPr>
        <w:ind w:left="543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02E46D6">
      <w:start w:val="1"/>
      <w:numFmt w:val="bullet"/>
      <w:lvlText w:val="▪"/>
      <w:lvlJc w:val="left"/>
      <w:pPr>
        <w:ind w:left="615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13" w15:restartNumberingAfterBreak="0">
    <w:nsid w:val="4DD119CE"/>
    <w:multiLevelType w:val="hybridMultilevel"/>
    <w:tmpl w:val="3F6456B0"/>
    <w:lvl w:ilvl="0" w:tplc="38B009A4">
      <w:start w:val="11"/>
      <w:numFmt w:val="decimal"/>
      <w:lvlText w:val="%1."/>
      <w:lvlJc w:val="left"/>
      <w:pPr>
        <w:ind w:left="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15CC662">
      <w:start w:val="1"/>
      <w:numFmt w:val="lowerLetter"/>
      <w:lvlText w:val="%2"/>
      <w:lvlJc w:val="left"/>
      <w:pPr>
        <w:ind w:left="17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4A2E79E">
      <w:start w:val="1"/>
      <w:numFmt w:val="lowerRoman"/>
      <w:lvlText w:val="%3"/>
      <w:lvlJc w:val="left"/>
      <w:pPr>
        <w:ind w:left="2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7AC34A8">
      <w:start w:val="1"/>
      <w:numFmt w:val="decimal"/>
      <w:lvlText w:val="%4"/>
      <w:lvlJc w:val="left"/>
      <w:pPr>
        <w:ind w:left="3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50C5D5C">
      <w:start w:val="1"/>
      <w:numFmt w:val="lowerLetter"/>
      <w:lvlText w:val="%5"/>
      <w:lvlJc w:val="left"/>
      <w:pPr>
        <w:ind w:left="3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5541A9C">
      <w:start w:val="1"/>
      <w:numFmt w:val="lowerRoman"/>
      <w:lvlText w:val="%6"/>
      <w:lvlJc w:val="left"/>
      <w:pPr>
        <w:ind w:left="4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C62C648">
      <w:start w:val="1"/>
      <w:numFmt w:val="decimal"/>
      <w:lvlText w:val="%7"/>
      <w:lvlJc w:val="left"/>
      <w:pPr>
        <w:ind w:left="5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C3877D6">
      <w:start w:val="1"/>
      <w:numFmt w:val="lowerLetter"/>
      <w:lvlText w:val="%8"/>
      <w:lvlJc w:val="left"/>
      <w:pPr>
        <w:ind w:left="6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A1CBD6E">
      <w:start w:val="1"/>
      <w:numFmt w:val="lowerRoman"/>
      <w:lvlText w:val="%9"/>
      <w:lvlJc w:val="left"/>
      <w:pPr>
        <w:ind w:left="6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4" w15:restartNumberingAfterBreak="0">
    <w:nsid w:val="4E0C62BD"/>
    <w:multiLevelType w:val="hybridMultilevel"/>
    <w:tmpl w:val="8F52DC52"/>
    <w:lvl w:ilvl="0" w:tplc="F9909542">
      <w:start w:val="1"/>
      <w:numFmt w:val="decimal"/>
      <w:lvlText w:val="%1."/>
      <w:lvlJc w:val="left"/>
      <w:pPr>
        <w:ind w:left="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901868C8">
      <w:start w:val="1"/>
      <w:numFmt w:val="lowerLetter"/>
      <w:lvlText w:val="%2"/>
      <w:lvlJc w:val="left"/>
      <w:pPr>
        <w:ind w:left="164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2A00CB84">
      <w:start w:val="1"/>
      <w:numFmt w:val="lowerRoman"/>
      <w:lvlText w:val="%3"/>
      <w:lvlJc w:val="left"/>
      <w:pPr>
        <w:ind w:left="236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3E2C8482">
      <w:start w:val="1"/>
      <w:numFmt w:val="decimal"/>
      <w:lvlText w:val="%4"/>
      <w:lvlJc w:val="left"/>
      <w:pPr>
        <w:ind w:left="308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18525908">
      <w:start w:val="1"/>
      <w:numFmt w:val="lowerLetter"/>
      <w:lvlText w:val="%5"/>
      <w:lvlJc w:val="left"/>
      <w:pPr>
        <w:ind w:left="380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197880DC">
      <w:start w:val="1"/>
      <w:numFmt w:val="lowerRoman"/>
      <w:lvlText w:val="%6"/>
      <w:lvlJc w:val="left"/>
      <w:pPr>
        <w:ind w:left="452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00AACA38">
      <w:start w:val="1"/>
      <w:numFmt w:val="decimal"/>
      <w:lvlText w:val="%7"/>
      <w:lvlJc w:val="left"/>
      <w:pPr>
        <w:ind w:left="524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57D85010">
      <w:start w:val="1"/>
      <w:numFmt w:val="lowerLetter"/>
      <w:lvlText w:val="%8"/>
      <w:lvlJc w:val="left"/>
      <w:pPr>
        <w:ind w:left="596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FA1232B6">
      <w:start w:val="1"/>
      <w:numFmt w:val="lowerRoman"/>
      <w:lvlText w:val="%9"/>
      <w:lvlJc w:val="left"/>
      <w:pPr>
        <w:ind w:left="668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15" w15:restartNumberingAfterBreak="0">
    <w:nsid w:val="4E33487C"/>
    <w:multiLevelType w:val="hybridMultilevel"/>
    <w:tmpl w:val="F9920BF8"/>
    <w:lvl w:ilvl="0" w:tplc="6DB66F78">
      <w:start w:val="1"/>
      <w:numFmt w:val="decimal"/>
      <w:lvlText w:val="[%1]"/>
      <w:lvlJc w:val="left"/>
      <w:pPr>
        <w:ind w:left="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F788140">
      <w:start w:val="1"/>
      <w:numFmt w:val="lowerLetter"/>
      <w:lvlText w:val="%2"/>
      <w:lvlJc w:val="left"/>
      <w:pPr>
        <w:ind w:left="16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7CE5294">
      <w:start w:val="1"/>
      <w:numFmt w:val="lowerRoman"/>
      <w:lvlText w:val="%3"/>
      <w:lvlJc w:val="left"/>
      <w:pPr>
        <w:ind w:left="23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04EA43A">
      <w:start w:val="1"/>
      <w:numFmt w:val="decimal"/>
      <w:lvlText w:val="%4"/>
      <w:lvlJc w:val="left"/>
      <w:pPr>
        <w:ind w:left="30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97056A8">
      <w:start w:val="1"/>
      <w:numFmt w:val="lowerLetter"/>
      <w:lvlText w:val="%5"/>
      <w:lvlJc w:val="left"/>
      <w:pPr>
        <w:ind w:left="38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C20175E">
      <w:start w:val="1"/>
      <w:numFmt w:val="lowerRoman"/>
      <w:lvlText w:val="%6"/>
      <w:lvlJc w:val="left"/>
      <w:pPr>
        <w:ind w:left="45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21AC306">
      <w:start w:val="1"/>
      <w:numFmt w:val="decimal"/>
      <w:lvlText w:val="%7"/>
      <w:lvlJc w:val="left"/>
      <w:pPr>
        <w:ind w:left="52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092A010">
      <w:start w:val="1"/>
      <w:numFmt w:val="lowerLetter"/>
      <w:lvlText w:val="%8"/>
      <w:lvlJc w:val="left"/>
      <w:pPr>
        <w:ind w:left="59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1AAB6B6">
      <w:start w:val="1"/>
      <w:numFmt w:val="lowerRoman"/>
      <w:lvlText w:val="%9"/>
      <w:lvlJc w:val="left"/>
      <w:pPr>
        <w:ind w:left="66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6" w15:restartNumberingAfterBreak="0">
    <w:nsid w:val="4E52731C"/>
    <w:multiLevelType w:val="hybridMultilevel"/>
    <w:tmpl w:val="B4C4325C"/>
    <w:lvl w:ilvl="0" w:tplc="57BE7A66">
      <w:start w:val="1"/>
      <w:numFmt w:val="bullet"/>
      <w:lvlText w:val="-"/>
      <w:lvlJc w:val="left"/>
      <w:pPr>
        <w:ind w:left="32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2A6CC84C">
      <w:start w:val="1"/>
      <w:numFmt w:val="bullet"/>
      <w:lvlText w:val="o"/>
      <w:lvlJc w:val="left"/>
      <w:pPr>
        <w:ind w:left="144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90408696">
      <w:start w:val="1"/>
      <w:numFmt w:val="bullet"/>
      <w:lvlText w:val="▪"/>
      <w:lvlJc w:val="left"/>
      <w:pPr>
        <w:ind w:left="216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A6AC9DC6">
      <w:start w:val="1"/>
      <w:numFmt w:val="bullet"/>
      <w:lvlText w:val="•"/>
      <w:lvlJc w:val="left"/>
      <w:pPr>
        <w:ind w:left="288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6486C3BA">
      <w:start w:val="1"/>
      <w:numFmt w:val="bullet"/>
      <w:lvlText w:val="o"/>
      <w:lvlJc w:val="left"/>
      <w:pPr>
        <w:ind w:left="360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5C2EB692">
      <w:start w:val="1"/>
      <w:numFmt w:val="bullet"/>
      <w:lvlText w:val="▪"/>
      <w:lvlJc w:val="left"/>
      <w:pPr>
        <w:ind w:left="432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71287B6C">
      <w:start w:val="1"/>
      <w:numFmt w:val="bullet"/>
      <w:lvlText w:val="•"/>
      <w:lvlJc w:val="left"/>
      <w:pPr>
        <w:ind w:left="504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7B447E22">
      <w:start w:val="1"/>
      <w:numFmt w:val="bullet"/>
      <w:lvlText w:val="o"/>
      <w:lvlJc w:val="left"/>
      <w:pPr>
        <w:ind w:left="576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6CE037D2">
      <w:start w:val="1"/>
      <w:numFmt w:val="bullet"/>
      <w:lvlText w:val="▪"/>
      <w:lvlJc w:val="left"/>
      <w:pPr>
        <w:ind w:left="648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17" w15:restartNumberingAfterBreak="0">
    <w:nsid w:val="4EC35F59"/>
    <w:multiLevelType w:val="hybridMultilevel"/>
    <w:tmpl w:val="36B422EE"/>
    <w:lvl w:ilvl="0" w:tplc="508C84BC">
      <w:start w:val="1"/>
      <w:numFmt w:val="decimal"/>
      <w:lvlText w:val="[%1]"/>
      <w:lvlJc w:val="left"/>
      <w:pPr>
        <w:ind w:left="4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410719C">
      <w:start w:val="1"/>
      <w:numFmt w:val="lowerLetter"/>
      <w:lvlText w:val="%2"/>
      <w:lvlJc w:val="left"/>
      <w:pPr>
        <w:ind w:left="1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4E866F0">
      <w:start w:val="1"/>
      <w:numFmt w:val="lowerRoman"/>
      <w:lvlText w:val="%3"/>
      <w:lvlJc w:val="left"/>
      <w:pPr>
        <w:ind w:left="2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C983B10">
      <w:start w:val="1"/>
      <w:numFmt w:val="decimal"/>
      <w:lvlText w:val="%4"/>
      <w:lvlJc w:val="left"/>
      <w:pPr>
        <w:ind w:left="2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978BB20">
      <w:start w:val="1"/>
      <w:numFmt w:val="lowerLetter"/>
      <w:lvlText w:val="%5"/>
      <w:lvlJc w:val="left"/>
      <w:pPr>
        <w:ind w:left="36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E14A7F4">
      <w:start w:val="1"/>
      <w:numFmt w:val="lowerRoman"/>
      <w:lvlText w:val="%6"/>
      <w:lvlJc w:val="left"/>
      <w:pPr>
        <w:ind w:left="4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BEE559E">
      <w:start w:val="1"/>
      <w:numFmt w:val="decimal"/>
      <w:lvlText w:val="%7"/>
      <w:lvlJc w:val="left"/>
      <w:pPr>
        <w:ind w:left="5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4DA94B8">
      <w:start w:val="1"/>
      <w:numFmt w:val="lowerLetter"/>
      <w:lvlText w:val="%8"/>
      <w:lvlJc w:val="left"/>
      <w:pPr>
        <w:ind w:left="58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FBA3636">
      <w:start w:val="1"/>
      <w:numFmt w:val="lowerRoman"/>
      <w:lvlText w:val="%9"/>
      <w:lvlJc w:val="left"/>
      <w:pPr>
        <w:ind w:left="65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8" w15:restartNumberingAfterBreak="0">
    <w:nsid w:val="4F6E654B"/>
    <w:multiLevelType w:val="hybridMultilevel"/>
    <w:tmpl w:val="6E46FBEE"/>
    <w:lvl w:ilvl="0" w:tplc="6BF05FB0">
      <w:start w:val="1"/>
      <w:numFmt w:val="decimal"/>
      <w:lvlText w:val="[%1]"/>
      <w:lvlJc w:val="left"/>
      <w:pPr>
        <w:ind w:left="7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E2E0DE4">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2944860">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37471D4">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134C4FE">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4C0736C">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53A7AD6">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F20F372">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560F10C">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9" w15:restartNumberingAfterBreak="0">
    <w:nsid w:val="4FE83604"/>
    <w:multiLevelType w:val="hybridMultilevel"/>
    <w:tmpl w:val="039A9BF0"/>
    <w:lvl w:ilvl="0" w:tplc="BA8E8EFC">
      <w:start w:val="1"/>
      <w:numFmt w:val="decimal"/>
      <w:lvlText w:val="[%1]"/>
      <w:lvlJc w:val="left"/>
      <w:pPr>
        <w:ind w:left="553"/>
      </w:pPr>
      <w:rPr>
        <w:rFonts w:ascii="Times New Roman" w:eastAsia="Times New Roman" w:hAnsi="Times New Roman" w:cs="Times New Roman"/>
        <w:b w:val="0"/>
        <w:i w:val="0"/>
        <w:strike w:val="0"/>
        <w:dstrike w:val="0"/>
        <w:color w:val="1B2026"/>
        <w:sz w:val="24"/>
        <w:szCs w:val="24"/>
        <w:u w:val="none" w:color="000000"/>
        <w:bdr w:val="none" w:sz="0" w:space="0" w:color="auto"/>
        <w:shd w:val="clear" w:color="auto" w:fill="auto"/>
        <w:vertAlign w:val="baseline"/>
      </w:rPr>
    </w:lvl>
    <w:lvl w:ilvl="1" w:tplc="F1F27318">
      <w:start w:val="1"/>
      <w:numFmt w:val="lowerLetter"/>
      <w:lvlText w:val="%2"/>
      <w:lvlJc w:val="left"/>
      <w:pPr>
        <w:ind w:left="1801"/>
      </w:pPr>
      <w:rPr>
        <w:rFonts w:ascii="Times New Roman" w:eastAsia="Times New Roman" w:hAnsi="Times New Roman" w:cs="Times New Roman"/>
        <w:b w:val="0"/>
        <w:i w:val="0"/>
        <w:strike w:val="0"/>
        <w:dstrike w:val="0"/>
        <w:color w:val="1B2026"/>
        <w:sz w:val="24"/>
        <w:szCs w:val="24"/>
        <w:u w:val="none" w:color="000000"/>
        <w:bdr w:val="none" w:sz="0" w:space="0" w:color="auto"/>
        <w:shd w:val="clear" w:color="auto" w:fill="auto"/>
        <w:vertAlign w:val="baseline"/>
      </w:rPr>
    </w:lvl>
    <w:lvl w:ilvl="2" w:tplc="F286936E">
      <w:start w:val="1"/>
      <w:numFmt w:val="lowerRoman"/>
      <w:lvlText w:val="%3"/>
      <w:lvlJc w:val="left"/>
      <w:pPr>
        <w:ind w:left="2521"/>
      </w:pPr>
      <w:rPr>
        <w:rFonts w:ascii="Times New Roman" w:eastAsia="Times New Roman" w:hAnsi="Times New Roman" w:cs="Times New Roman"/>
        <w:b w:val="0"/>
        <w:i w:val="0"/>
        <w:strike w:val="0"/>
        <w:dstrike w:val="0"/>
        <w:color w:val="1B2026"/>
        <w:sz w:val="24"/>
        <w:szCs w:val="24"/>
        <w:u w:val="none" w:color="000000"/>
        <w:bdr w:val="none" w:sz="0" w:space="0" w:color="auto"/>
        <w:shd w:val="clear" w:color="auto" w:fill="auto"/>
        <w:vertAlign w:val="baseline"/>
      </w:rPr>
    </w:lvl>
    <w:lvl w:ilvl="3" w:tplc="5838AFEE">
      <w:start w:val="1"/>
      <w:numFmt w:val="decimal"/>
      <w:lvlText w:val="%4"/>
      <w:lvlJc w:val="left"/>
      <w:pPr>
        <w:ind w:left="3241"/>
      </w:pPr>
      <w:rPr>
        <w:rFonts w:ascii="Times New Roman" w:eastAsia="Times New Roman" w:hAnsi="Times New Roman" w:cs="Times New Roman"/>
        <w:b w:val="0"/>
        <w:i w:val="0"/>
        <w:strike w:val="0"/>
        <w:dstrike w:val="0"/>
        <w:color w:val="1B2026"/>
        <w:sz w:val="24"/>
        <w:szCs w:val="24"/>
        <w:u w:val="none" w:color="000000"/>
        <w:bdr w:val="none" w:sz="0" w:space="0" w:color="auto"/>
        <w:shd w:val="clear" w:color="auto" w:fill="auto"/>
        <w:vertAlign w:val="baseline"/>
      </w:rPr>
    </w:lvl>
    <w:lvl w:ilvl="4" w:tplc="E6E44DD6">
      <w:start w:val="1"/>
      <w:numFmt w:val="lowerLetter"/>
      <w:lvlText w:val="%5"/>
      <w:lvlJc w:val="left"/>
      <w:pPr>
        <w:ind w:left="3961"/>
      </w:pPr>
      <w:rPr>
        <w:rFonts w:ascii="Times New Roman" w:eastAsia="Times New Roman" w:hAnsi="Times New Roman" w:cs="Times New Roman"/>
        <w:b w:val="0"/>
        <w:i w:val="0"/>
        <w:strike w:val="0"/>
        <w:dstrike w:val="0"/>
        <w:color w:val="1B2026"/>
        <w:sz w:val="24"/>
        <w:szCs w:val="24"/>
        <w:u w:val="none" w:color="000000"/>
        <w:bdr w:val="none" w:sz="0" w:space="0" w:color="auto"/>
        <w:shd w:val="clear" w:color="auto" w:fill="auto"/>
        <w:vertAlign w:val="baseline"/>
      </w:rPr>
    </w:lvl>
    <w:lvl w:ilvl="5" w:tplc="6DB8B558">
      <w:start w:val="1"/>
      <w:numFmt w:val="lowerRoman"/>
      <w:lvlText w:val="%6"/>
      <w:lvlJc w:val="left"/>
      <w:pPr>
        <w:ind w:left="4681"/>
      </w:pPr>
      <w:rPr>
        <w:rFonts w:ascii="Times New Roman" w:eastAsia="Times New Roman" w:hAnsi="Times New Roman" w:cs="Times New Roman"/>
        <w:b w:val="0"/>
        <w:i w:val="0"/>
        <w:strike w:val="0"/>
        <w:dstrike w:val="0"/>
        <w:color w:val="1B2026"/>
        <w:sz w:val="24"/>
        <w:szCs w:val="24"/>
        <w:u w:val="none" w:color="000000"/>
        <w:bdr w:val="none" w:sz="0" w:space="0" w:color="auto"/>
        <w:shd w:val="clear" w:color="auto" w:fill="auto"/>
        <w:vertAlign w:val="baseline"/>
      </w:rPr>
    </w:lvl>
    <w:lvl w:ilvl="6" w:tplc="A350D8DA">
      <w:start w:val="1"/>
      <w:numFmt w:val="decimal"/>
      <w:lvlText w:val="%7"/>
      <w:lvlJc w:val="left"/>
      <w:pPr>
        <w:ind w:left="5401"/>
      </w:pPr>
      <w:rPr>
        <w:rFonts w:ascii="Times New Roman" w:eastAsia="Times New Roman" w:hAnsi="Times New Roman" w:cs="Times New Roman"/>
        <w:b w:val="0"/>
        <w:i w:val="0"/>
        <w:strike w:val="0"/>
        <w:dstrike w:val="0"/>
        <w:color w:val="1B2026"/>
        <w:sz w:val="24"/>
        <w:szCs w:val="24"/>
        <w:u w:val="none" w:color="000000"/>
        <w:bdr w:val="none" w:sz="0" w:space="0" w:color="auto"/>
        <w:shd w:val="clear" w:color="auto" w:fill="auto"/>
        <w:vertAlign w:val="baseline"/>
      </w:rPr>
    </w:lvl>
    <w:lvl w:ilvl="7" w:tplc="C256178C">
      <w:start w:val="1"/>
      <w:numFmt w:val="lowerLetter"/>
      <w:lvlText w:val="%8"/>
      <w:lvlJc w:val="left"/>
      <w:pPr>
        <w:ind w:left="6121"/>
      </w:pPr>
      <w:rPr>
        <w:rFonts w:ascii="Times New Roman" w:eastAsia="Times New Roman" w:hAnsi="Times New Roman" w:cs="Times New Roman"/>
        <w:b w:val="0"/>
        <w:i w:val="0"/>
        <w:strike w:val="0"/>
        <w:dstrike w:val="0"/>
        <w:color w:val="1B2026"/>
        <w:sz w:val="24"/>
        <w:szCs w:val="24"/>
        <w:u w:val="none" w:color="000000"/>
        <w:bdr w:val="none" w:sz="0" w:space="0" w:color="auto"/>
        <w:shd w:val="clear" w:color="auto" w:fill="auto"/>
        <w:vertAlign w:val="baseline"/>
      </w:rPr>
    </w:lvl>
    <w:lvl w:ilvl="8" w:tplc="9618A09A">
      <w:start w:val="1"/>
      <w:numFmt w:val="lowerRoman"/>
      <w:lvlText w:val="%9"/>
      <w:lvlJc w:val="left"/>
      <w:pPr>
        <w:ind w:left="6841"/>
      </w:pPr>
      <w:rPr>
        <w:rFonts w:ascii="Times New Roman" w:eastAsia="Times New Roman" w:hAnsi="Times New Roman" w:cs="Times New Roman"/>
        <w:b w:val="0"/>
        <w:i w:val="0"/>
        <w:strike w:val="0"/>
        <w:dstrike w:val="0"/>
        <w:color w:val="1B2026"/>
        <w:sz w:val="24"/>
        <w:szCs w:val="24"/>
        <w:u w:val="none" w:color="000000"/>
        <w:bdr w:val="none" w:sz="0" w:space="0" w:color="auto"/>
        <w:shd w:val="clear" w:color="auto" w:fill="auto"/>
        <w:vertAlign w:val="baseline"/>
      </w:rPr>
    </w:lvl>
  </w:abstractNum>
  <w:abstractNum w:abstractNumId="120" w15:restartNumberingAfterBreak="0">
    <w:nsid w:val="512A086B"/>
    <w:multiLevelType w:val="multilevel"/>
    <w:tmpl w:val="4F447872"/>
    <w:lvl w:ilvl="0">
      <w:start w:val="1"/>
      <w:numFmt w:val="decimal"/>
      <w:lvlText w:val="%1."/>
      <w:lvlJc w:val="left"/>
      <w:pPr>
        <w:ind w:left="1003"/>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start w:val="1"/>
      <w:numFmt w:val="decimal"/>
      <w:lvlText w:val="%1.%2."/>
      <w:lvlJc w:val="left"/>
      <w:pPr>
        <w:ind w:left="1214"/>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179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251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323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95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67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539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611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121" w15:restartNumberingAfterBreak="0">
    <w:nsid w:val="514C25D9"/>
    <w:multiLevelType w:val="hybridMultilevel"/>
    <w:tmpl w:val="51021FB0"/>
    <w:lvl w:ilvl="0" w:tplc="0494F950">
      <w:start w:val="1"/>
      <w:numFmt w:val="bullet"/>
      <w:lvlText w:val=""/>
      <w:lvlJc w:val="left"/>
      <w:pPr>
        <w:ind w:left="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1" w:tplc="2F74D800">
      <w:start w:val="1"/>
      <w:numFmt w:val="bullet"/>
      <w:lvlText w:val="o"/>
      <w:lvlJc w:val="left"/>
      <w:pPr>
        <w:ind w:left="164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0EC8681C">
      <w:start w:val="1"/>
      <w:numFmt w:val="bullet"/>
      <w:lvlText w:val="▪"/>
      <w:lvlJc w:val="left"/>
      <w:pPr>
        <w:ind w:left="236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56AC6A2A">
      <w:start w:val="1"/>
      <w:numFmt w:val="bullet"/>
      <w:lvlText w:val="•"/>
      <w:lvlJc w:val="left"/>
      <w:pPr>
        <w:ind w:left="308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487299A8">
      <w:start w:val="1"/>
      <w:numFmt w:val="bullet"/>
      <w:lvlText w:val="o"/>
      <w:lvlJc w:val="left"/>
      <w:pPr>
        <w:ind w:left="380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509A9874">
      <w:start w:val="1"/>
      <w:numFmt w:val="bullet"/>
      <w:lvlText w:val="▪"/>
      <w:lvlJc w:val="left"/>
      <w:pPr>
        <w:ind w:left="452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2976F864">
      <w:start w:val="1"/>
      <w:numFmt w:val="bullet"/>
      <w:lvlText w:val="•"/>
      <w:lvlJc w:val="left"/>
      <w:pPr>
        <w:ind w:left="524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C368F1AE">
      <w:start w:val="1"/>
      <w:numFmt w:val="bullet"/>
      <w:lvlText w:val="o"/>
      <w:lvlJc w:val="left"/>
      <w:pPr>
        <w:ind w:left="596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43E2CBCC">
      <w:start w:val="1"/>
      <w:numFmt w:val="bullet"/>
      <w:lvlText w:val="▪"/>
      <w:lvlJc w:val="left"/>
      <w:pPr>
        <w:ind w:left="668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22" w15:restartNumberingAfterBreak="0">
    <w:nsid w:val="51F01FE2"/>
    <w:multiLevelType w:val="hybridMultilevel"/>
    <w:tmpl w:val="8FBC8A8C"/>
    <w:lvl w:ilvl="0" w:tplc="C8808168">
      <w:start w:val="1"/>
      <w:numFmt w:val="decimal"/>
      <w:lvlText w:val="[%1]"/>
      <w:lvlJc w:val="left"/>
      <w:pPr>
        <w:ind w:left="5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00E5BE6">
      <w:start w:val="1"/>
      <w:numFmt w:val="lowerLetter"/>
      <w:lvlText w:val="%2"/>
      <w:lvlJc w:val="left"/>
      <w:pPr>
        <w:ind w:left="1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638A44E">
      <w:start w:val="1"/>
      <w:numFmt w:val="lowerRoman"/>
      <w:lvlText w:val="%3"/>
      <w:lvlJc w:val="left"/>
      <w:pPr>
        <w:ind w:left="2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326FD32">
      <w:start w:val="1"/>
      <w:numFmt w:val="decimal"/>
      <w:lvlText w:val="%4"/>
      <w:lvlJc w:val="left"/>
      <w:pPr>
        <w:ind w:left="3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0106F48">
      <w:start w:val="1"/>
      <w:numFmt w:val="lowerLetter"/>
      <w:lvlText w:val="%5"/>
      <w:lvlJc w:val="left"/>
      <w:pPr>
        <w:ind w:left="38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4005902">
      <w:start w:val="1"/>
      <w:numFmt w:val="lowerRoman"/>
      <w:lvlText w:val="%6"/>
      <w:lvlJc w:val="left"/>
      <w:pPr>
        <w:ind w:left="45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A005C4C">
      <w:start w:val="1"/>
      <w:numFmt w:val="decimal"/>
      <w:lvlText w:val="%7"/>
      <w:lvlJc w:val="left"/>
      <w:pPr>
        <w:ind w:left="52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FF48DA0">
      <w:start w:val="1"/>
      <w:numFmt w:val="lowerLetter"/>
      <w:lvlText w:val="%8"/>
      <w:lvlJc w:val="left"/>
      <w:pPr>
        <w:ind w:left="60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1E8BD88">
      <w:start w:val="1"/>
      <w:numFmt w:val="lowerRoman"/>
      <w:lvlText w:val="%9"/>
      <w:lvlJc w:val="left"/>
      <w:pPr>
        <w:ind w:left="67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3" w15:restartNumberingAfterBreak="0">
    <w:nsid w:val="5221797C"/>
    <w:multiLevelType w:val="hybridMultilevel"/>
    <w:tmpl w:val="A2369582"/>
    <w:lvl w:ilvl="0" w:tplc="12025AEE">
      <w:start w:val="1"/>
      <w:numFmt w:val="decimal"/>
      <w:lvlText w:val="%1"/>
      <w:lvlJc w:val="left"/>
      <w:pPr>
        <w:ind w:left="360"/>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lvl w:ilvl="1" w:tplc="EA3E11B8">
      <w:start w:val="2"/>
      <w:numFmt w:val="decimal"/>
      <w:lvlText w:val="%2"/>
      <w:lvlJc w:val="left"/>
      <w:pPr>
        <w:ind w:left="1498"/>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lvl w:ilvl="2" w:tplc="03401CA2">
      <w:start w:val="1"/>
      <w:numFmt w:val="lowerRoman"/>
      <w:lvlText w:val="%3"/>
      <w:lvlJc w:val="left"/>
      <w:pPr>
        <w:ind w:left="1889"/>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lvl w:ilvl="3" w:tplc="BA5846CE">
      <w:start w:val="1"/>
      <w:numFmt w:val="decimal"/>
      <w:lvlText w:val="%4"/>
      <w:lvlJc w:val="left"/>
      <w:pPr>
        <w:ind w:left="2609"/>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lvl w:ilvl="4" w:tplc="C1EADB38">
      <w:start w:val="1"/>
      <w:numFmt w:val="lowerLetter"/>
      <w:lvlText w:val="%5"/>
      <w:lvlJc w:val="left"/>
      <w:pPr>
        <w:ind w:left="3329"/>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lvl w:ilvl="5" w:tplc="7AC66E3C">
      <w:start w:val="1"/>
      <w:numFmt w:val="lowerRoman"/>
      <w:lvlText w:val="%6"/>
      <w:lvlJc w:val="left"/>
      <w:pPr>
        <w:ind w:left="4049"/>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lvl w:ilvl="6" w:tplc="68A4BAD2">
      <w:start w:val="1"/>
      <w:numFmt w:val="decimal"/>
      <w:lvlText w:val="%7"/>
      <w:lvlJc w:val="left"/>
      <w:pPr>
        <w:ind w:left="4769"/>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lvl w:ilvl="7" w:tplc="812269FA">
      <w:start w:val="1"/>
      <w:numFmt w:val="lowerLetter"/>
      <w:lvlText w:val="%8"/>
      <w:lvlJc w:val="left"/>
      <w:pPr>
        <w:ind w:left="5489"/>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lvl w:ilvl="8" w:tplc="32706640">
      <w:start w:val="1"/>
      <w:numFmt w:val="lowerRoman"/>
      <w:lvlText w:val="%9"/>
      <w:lvlJc w:val="left"/>
      <w:pPr>
        <w:ind w:left="6209"/>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abstractNum>
  <w:abstractNum w:abstractNumId="124" w15:restartNumberingAfterBreak="0">
    <w:nsid w:val="52A54A7A"/>
    <w:multiLevelType w:val="hybridMultilevel"/>
    <w:tmpl w:val="F958556C"/>
    <w:lvl w:ilvl="0" w:tplc="853855C2">
      <w:start w:val="1"/>
      <w:numFmt w:val="decimal"/>
      <w:lvlText w:val="[%1]"/>
      <w:lvlJc w:val="left"/>
      <w:pPr>
        <w:ind w:left="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47AD9E2">
      <w:start w:val="1"/>
      <w:numFmt w:val="lowerLetter"/>
      <w:lvlText w:val="%2"/>
      <w:lvlJc w:val="left"/>
      <w:pPr>
        <w:ind w:left="17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26884FA">
      <w:start w:val="1"/>
      <w:numFmt w:val="lowerRoman"/>
      <w:lvlText w:val="%3"/>
      <w:lvlJc w:val="left"/>
      <w:pPr>
        <w:ind w:left="2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000F4A4">
      <w:start w:val="1"/>
      <w:numFmt w:val="decimal"/>
      <w:lvlText w:val="%4"/>
      <w:lvlJc w:val="left"/>
      <w:pPr>
        <w:ind w:left="3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15A24A6">
      <w:start w:val="1"/>
      <w:numFmt w:val="lowerLetter"/>
      <w:lvlText w:val="%5"/>
      <w:lvlJc w:val="left"/>
      <w:pPr>
        <w:ind w:left="3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12289D6">
      <w:start w:val="1"/>
      <w:numFmt w:val="lowerRoman"/>
      <w:lvlText w:val="%6"/>
      <w:lvlJc w:val="left"/>
      <w:pPr>
        <w:ind w:left="4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3F41B10">
      <w:start w:val="1"/>
      <w:numFmt w:val="decimal"/>
      <w:lvlText w:val="%7"/>
      <w:lvlJc w:val="left"/>
      <w:pPr>
        <w:ind w:left="5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7923402">
      <w:start w:val="1"/>
      <w:numFmt w:val="lowerLetter"/>
      <w:lvlText w:val="%8"/>
      <w:lvlJc w:val="left"/>
      <w:pPr>
        <w:ind w:left="6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DBE4F06">
      <w:start w:val="1"/>
      <w:numFmt w:val="lowerRoman"/>
      <w:lvlText w:val="%9"/>
      <w:lvlJc w:val="left"/>
      <w:pPr>
        <w:ind w:left="6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5" w15:restartNumberingAfterBreak="0">
    <w:nsid w:val="52D7416B"/>
    <w:multiLevelType w:val="hybridMultilevel"/>
    <w:tmpl w:val="D79C264C"/>
    <w:lvl w:ilvl="0" w:tplc="ABFC5A66">
      <w:start w:val="1"/>
      <w:numFmt w:val="decimal"/>
      <w:lvlText w:val="[%1]"/>
      <w:lvlJc w:val="left"/>
      <w:pPr>
        <w:ind w:left="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A321070">
      <w:start w:val="1"/>
      <w:numFmt w:val="lowerLetter"/>
      <w:lvlText w:val="%2"/>
      <w:lvlJc w:val="left"/>
      <w:pPr>
        <w:ind w:left="16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C5E59AA">
      <w:start w:val="1"/>
      <w:numFmt w:val="lowerRoman"/>
      <w:lvlText w:val="%3"/>
      <w:lvlJc w:val="left"/>
      <w:pPr>
        <w:ind w:left="23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E16D8BA">
      <w:start w:val="1"/>
      <w:numFmt w:val="decimal"/>
      <w:lvlText w:val="%4"/>
      <w:lvlJc w:val="left"/>
      <w:pPr>
        <w:ind w:left="30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B14FA66">
      <w:start w:val="1"/>
      <w:numFmt w:val="lowerLetter"/>
      <w:lvlText w:val="%5"/>
      <w:lvlJc w:val="left"/>
      <w:pPr>
        <w:ind w:left="38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FB4D5BC">
      <w:start w:val="1"/>
      <w:numFmt w:val="lowerRoman"/>
      <w:lvlText w:val="%6"/>
      <w:lvlJc w:val="left"/>
      <w:pPr>
        <w:ind w:left="45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E081152">
      <w:start w:val="1"/>
      <w:numFmt w:val="decimal"/>
      <w:lvlText w:val="%7"/>
      <w:lvlJc w:val="left"/>
      <w:pPr>
        <w:ind w:left="52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1683BBA">
      <w:start w:val="1"/>
      <w:numFmt w:val="lowerLetter"/>
      <w:lvlText w:val="%8"/>
      <w:lvlJc w:val="left"/>
      <w:pPr>
        <w:ind w:left="59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42A4B10">
      <w:start w:val="1"/>
      <w:numFmt w:val="lowerRoman"/>
      <w:lvlText w:val="%9"/>
      <w:lvlJc w:val="left"/>
      <w:pPr>
        <w:ind w:left="66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6" w15:restartNumberingAfterBreak="0">
    <w:nsid w:val="542269F9"/>
    <w:multiLevelType w:val="hybridMultilevel"/>
    <w:tmpl w:val="805A749A"/>
    <w:lvl w:ilvl="0" w:tplc="BF7CA8AE">
      <w:start w:val="1"/>
      <w:numFmt w:val="decimal"/>
      <w:lvlText w:val="[%1]"/>
      <w:lvlJc w:val="left"/>
      <w:pPr>
        <w:ind w:left="28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A442F028">
      <w:start w:val="1"/>
      <w:numFmt w:val="lowerLetter"/>
      <w:lvlText w:val="%2"/>
      <w:lvlJc w:val="left"/>
      <w:pPr>
        <w:ind w:left="202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B02030BA">
      <w:start w:val="1"/>
      <w:numFmt w:val="lowerRoman"/>
      <w:lvlText w:val="%3"/>
      <w:lvlJc w:val="left"/>
      <w:pPr>
        <w:ind w:left="274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A49803B4">
      <w:start w:val="1"/>
      <w:numFmt w:val="decimal"/>
      <w:lvlText w:val="%4"/>
      <w:lvlJc w:val="left"/>
      <w:pPr>
        <w:ind w:left="346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53F08ED0">
      <w:start w:val="1"/>
      <w:numFmt w:val="lowerLetter"/>
      <w:lvlText w:val="%5"/>
      <w:lvlJc w:val="left"/>
      <w:pPr>
        <w:ind w:left="418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56486F9C">
      <w:start w:val="1"/>
      <w:numFmt w:val="lowerRoman"/>
      <w:lvlText w:val="%6"/>
      <w:lvlJc w:val="left"/>
      <w:pPr>
        <w:ind w:left="490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214493E8">
      <w:start w:val="1"/>
      <w:numFmt w:val="decimal"/>
      <w:lvlText w:val="%7"/>
      <w:lvlJc w:val="left"/>
      <w:pPr>
        <w:ind w:left="562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C408151A">
      <w:start w:val="1"/>
      <w:numFmt w:val="lowerLetter"/>
      <w:lvlText w:val="%8"/>
      <w:lvlJc w:val="left"/>
      <w:pPr>
        <w:ind w:left="634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0AACD69C">
      <w:start w:val="1"/>
      <w:numFmt w:val="lowerRoman"/>
      <w:lvlText w:val="%9"/>
      <w:lvlJc w:val="left"/>
      <w:pPr>
        <w:ind w:left="706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27" w15:restartNumberingAfterBreak="0">
    <w:nsid w:val="54A344A6"/>
    <w:multiLevelType w:val="hybridMultilevel"/>
    <w:tmpl w:val="9FA86078"/>
    <w:lvl w:ilvl="0" w:tplc="53041DCA">
      <w:start w:val="1"/>
      <w:numFmt w:val="decimal"/>
      <w:lvlText w:val="%1."/>
      <w:lvlJc w:val="left"/>
      <w:pPr>
        <w:ind w:left="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28E2BF6">
      <w:start w:val="1"/>
      <w:numFmt w:val="lowerLetter"/>
      <w:lvlText w:val="%2"/>
      <w:lvlJc w:val="left"/>
      <w:pPr>
        <w:ind w:left="17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B10B356">
      <w:start w:val="1"/>
      <w:numFmt w:val="lowerRoman"/>
      <w:lvlText w:val="%3"/>
      <w:lvlJc w:val="left"/>
      <w:pPr>
        <w:ind w:left="2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1F28DAE">
      <w:start w:val="1"/>
      <w:numFmt w:val="decimal"/>
      <w:lvlText w:val="%4"/>
      <w:lvlJc w:val="left"/>
      <w:pPr>
        <w:ind w:left="3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0D63288">
      <w:start w:val="1"/>
      <w:numFmt w:val="lowerLetter"/>
      <w:lvlText w:val="%5"/>
      <w:lvlJc w:val="left"/>
      <w:pPr>
        <w:ind w:left="3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23E6EA2">
      <w:start w:val="1"/>
      <w:numFmt w:val="lowerRoman"/>
      <w:lvlText w:val="%6"/>
      <w:lvlJc w:val="left"/>
      <w:pPr>
        <w:ind w:left="4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3D4419C">
      <w:start w:val="1"/>
      <w:numFmt w:val="decimal"/>
      <w:lvlText w:val="%7"/>
      <w:lvlJc w:val="left"/>
      <w:pPr>
        <w:ind w:left="5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BE05F36">
      <w:start w:val="1"/>
      <w:numFmt w:val="lowerLetter"/>
      <w:lvlText w:val="%8"/>
      <w:lvlJc w:val="left"/>
      <w:pPr>
        <w:ind w:left="6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DCC9EAC">
      <w:start w:val="1"/>
      <w:numFmt w:val="lowerRoman"/>
      <w:lvlText w:val="%9"/>
      <w:lvlJc w:val="left"/>
      <w:pPr>
        <w:ind w:left="6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8" w15:restartNumberingAfterBreak="0">
    <w:nsid w:val="55450AFB"/>
    <w:multiLevelType w:val="hybridMultilevel"/>
    <w:tmpl w:val="DE96E314"/>
    <w:lvl w:ilvl="0" w:tplc="14D6C870">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C52B870">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0129CF8">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7BED794">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3308A0C">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466CDB4">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D461CB4">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3804C16">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94AD8F8">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9" w15:restartNumberingAfterBreak="0">
    <w:nsid w:val="55D220A0"/>
    <w:multiLevelType w:val="hybridMultilevel"/>
    <w:tmpl w:val="BB6008F4"/>
    <w:lvl w:ilvl="0" w:tplc="D8166B54">
      <w:start w:val="1"/>
      <w:numFmt w:val="decimal"/>
      <w:lvlText w:val="%1)"/>
      <w:lvlJc w:val="left"/>
      <w:pPr>
        <w:ind w:left="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648C662">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1A60F6E">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3E855F2">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05A1B5E">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662C446">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670B884">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43E90D0">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2F2EC24">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30" w15:restartNumberingAfterBreak="0">
    <w:nsid w:val="567171F5"/>
    <w:multiLevelType w:val="hybridMultilevel"/>
    <w:tmpl w:val="4734FB18"/>
    <w:lvl w:ilvl="0" w:tplc="4D6ED4F6">
      <w:start w:val="3"/>
      <w:numFmt w:val="upperLetter"/>
      <w:lvlText w:val="%1"/>
      <w:lvlJc w:val="left"/>
      <w:pPr>
        <w:ind w:left="821"/>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1" w:tplc="6FEC15A4">
      <w:start w:val="1"/>
      <w:numFmt w:val="lowerLetter"/>
      <w:lvlText w:val="%2"/>
      <w:lvlJc w:val="left"/>
      <w:pPr>
        <w:ind w:left="166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2" w:tplc="B4C8CCE6">
      <w:start w:val="1"/>
      <w:numFmt w:val="lowerRoman"/>
      <w:lvlText w:val="%3"/>
      <w:lvlJc w:val="left"/>
      <w:pPr>
        <w:ind w:left="238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3" w:tplc="1F241E0E">
      <w:start w:val="1"/>
      <w:numFmt w:val="decimal"/>
      <w:lvlText w:val="%4"/>
      <w:lvlJc w:val="left"/>
      <w:pPr>
        <w:ind w:left="310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4" w:tplc="7ED8A4D6">
      <w:start w:val="1"/>
      <w:numFmt w:val="lowerLetter"/>
      <w:lvlText w:val="%5"/>
      <w:lvlJc w:val="left"/>
      <w:pPr>
        <w:ind w:left="382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5" w:tplc="59243B92">
      <w:start w:val="1"/>
      <w:numFmt w:val="lowerRoman"/>
      <w:lvlText w:val="%6"/>
      <w:lvlJc w:val="left"/>
      <w:pPr>
        <w:ind w:left="454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6" w:tplc="AEB852F6">
      <w:start w:val="1"/>
      <w:numFmt w:val="decimal"/>
      <w:lvlText w:val="%7"/>
      <w:lvlJc w:val="left"/>
      <w:pPr>
        <w:ind w:left="526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7" w:tplc="192ADCA6">
      <w:start w:val="1"/>
      <w:numFmt w:val="lowerLetter"/>
      <w:lvlText w:val="%8"/>
      <w:lvlJc w:val="left"/>
      <w:pPr>
        <w:ind w:left="598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8" w:tplc="68285FE8">
      <w:start w:val="1"/>
      <w:numFmt w:val="lowerRoman"/>
      <w:lvlText w:val="%9"/>
      <w:lvlJc w:val="left"/>
      <w:pPr>
        <w:ind w:left="670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abstractNum>
  <w:abstractNum w:abstractNumId="131" w15:restartNumberingAfterBreak="0">
    <w:nsid w:val="57E954D2"/>
    <w:multiLevelType w:val="hybridMultilevel"/>
    <w:tmpl w:val="8758D5B2"/>
    <w:lvl w:ilvl="0" w:tplc="B9021A14">
      <w:start w:val="1"/>
      <w:numFmt w:val="decimal"/>
      <w:lvlText w:val="[%1]"/>
      <w:lvlJc w:val="left"/>
      <w:pPr>
        <w:ind w:left="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88E4D14">
      <w:start w:val="1"/>
      <w:numFmt w:val="lowerLetter"/>
      <w:lvlText w:val="%2"/>
      <w:lvlJc w:val="left"/>
      <w:pPr>
        <w:ind w:left="17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7009838">
      <w:start w:val="1"/>
      <w:numFmt w:val="lowerRoman"/>
      <w:lvlText w:val="%3"/>
      <w:lvlJc w:val="left"/>
      <w:pPr>
        <w:ind w:left="25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148F5F6">
      <w:start w:val="1"/>
      <w:numFmt w:val="decimal"/>
      <w:lvlText w:val="%4"/>
      <w:lvlJc w:val="left"/>
      <w:pPr>
        <w:ind w:left="32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E721F86">
      <w:start w:val="1"/>
      <w:numFmt w:val="lowerLetter"/>
      <w:lvlText w:val="%5"/>
      <w:lvlJc w:val="left"/>
      <w:pPr>
        <w:ind w:left="39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792B59A">
      <w:start w:val="1"/>
      <w:numFmt w:val="lowerRoman"/>
      <w:lvlText w:val="%6"/>
      <w:lvlJc w:val="left"/>
      <w:pPr>
        <w:ind w:left="46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50842B6">
      <w:start w:val="1"/>
      <w:numFmt w:val="decimal"/>
      <w:lvlText w:val="%7"/>
      <w:lvlJc w:val="left"/>
      <w:pPr>
        <w:ind w:left="53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764BEBA">
      <w:start w:val="1"/>
      <w:numFmt w:val="lowerLetter"/>
      <w:lvlText w:val="%8"/>
      <w:lvlJc w:val="left"/>
      <w:pPr>
        <w:ind w:left="61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602AA9C">
      <w:start w:val="1"/>
      <w:numFmt w:val="lowerRoman"/>
      <w:lvlText w:val="%9"/>
      <w:lvlJc w:val="left"/>
      <w:pPr>
        <w:ind w:left="68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2" w15:restartNumberingAfterBreak="0">
    <w:nsid w:val="584643D2"/>
    <w:multiLevelType w:val="hybridMultilevel"/>
    <w:tmpl w:val="3DD2369C"/>
    <w:lvl w:ilvl="0" w:tplc="5386BDBC">
      <w:start w:val="11"/>
      <w:numFmt w:val="decimal"/>
      <w:lvlText w:val="[%1]"/>
      <w:lvlJc w:val="left"/>
      <w:pPr>
        <w:ind w:left="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F5C790A">
      <w:start w:val="1"/>
      <w:numFmt w:val="lowerLetter"/>
      <w:lvlText w:val="%2"/>
      <w:lvlJc w:val="left"/>
      <w:pPr>
        <w:ind w:left="17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83CF240">
      <w:start w:val="1"/>
      <w:numFmt w:val="lowerRoman"/>
      <w:lvlText w:val="%3"/>
      <w:lvlJc w:val="left"/>
      <w:pPr>
        <w:ind w:left="25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73EBF6E">
      <w:start w:val="1"/>
      <w:numFmt w:val="decimal"/>
      <w:lvlText w:val="%4"/>
      <w:lvlJc w:val="left"/>
      <w:pPr>
        <w:ind w:left="32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872D0EE">
      <w:start w:val="1"/>
      <w:numFmt w:val="lowerLetter"/>
      <w:lvlText w:val="%5"/>
      <w:lvlJc w:val="left"/>
      <w:pPr>
        <w:ind w:left="39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B5299B0">
      <w:start w:val="1"/>
      <w:numFmt w:val="lowerRoman"/>
      <w:lvlText w:val="%6"/>
      <w:lvlJc w:val="left"/>
      <w:pPr>
        <w:ind w:left="46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900A416">
      <w:start w:val="1"/>
      <w:numFmt w:val="decimal"/>
      <w:lvlText w:val="%7"/>
      <w:lvlJc w:val="left"/>
      <w:pPr>
        <w:ind w:left="53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10EC038">
      <w:start w:val="1"/>
      <w:numFmt w:val="lowerLetter"/>
      <w:lvlText w:val="%8"/>
      <w:lvlJc w:val="left"/>
      <w:pPr>
        <w:ind w:left="61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212F384">
      <w:start w:val="1"/>
      <w:numFmt w:val="lowerRoman"/>
      <w:lvlText w:val="%9"/>
      <w:lvlJc w:val="left"/>
      <w:pPr>
        <w:ind w:left="68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3" w15:restartNumberingAfterBreak="0">
    <w:nsid w:val="587B3C77"/>
    <w:multiLevelType w:val="hybridMultilevel"/>
    <w:tmpl w:val="C536259A"/>
    <w:lvl w:ilvl="0" w:tplc="F6BE7B8C">
      <w:start w:val="1"/>
      <w:numFmt w:val="bullet"/>
      <w:lvlText w:val="-"/>
      <w:lvlJc w:val="left"/>
      <w:pPr>
        <w:ind w:left="8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30685F32">
      <w:start w:val="1"/>
      <w:numFmt w:val="bullet"/>
      <w:lvlText w:val="o"/>
      <w:lvlJc w:val="left"/>
      <w:pPr>
        <w:ind w:left="144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96C0A730">
      <w:start w:val="1"/>
      <w:numFmt w:val="bullet"/>
      <w:lvlText w:val="▪"/>
      <w:lvlJc w:val="left"/>
      <w:pPr>
        <w:ind w:left="216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70C23EF6">
      <w:start w:val="1"/>
      <w:numFmt w:val="bullet"/>
      <w:lvlText w:val="•"/>
      <w:lvlJc w:val="left"/>
      <w:pPr>
        <w:ind w:left="28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E82C8748">
      <w:start w:val="1"/>
      <w:numFmt w:val="bullet"/>
      <w:lvlText w:val="o"/>
      <w:lvlJc w:val="left"/>
      <w:pPr>
        <w:ind w:left="360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3C54BA34">
      <w:start w:val="1"/>
      <w:numFmt w:val="bullet"/>
      <w:lvlText w:val="▪"/>
      <w:lvlJc w:val="left"/>
      <w:pPr>
        <w:ind w:left="432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D68C6EA2">
      <w:start w:val="1"/>
      <w:numFmt w:val="bullet"/>
      <w:lvlText w:val="•"/>
      <w:lvlJc w:val="left"/>
      <w:pPr>
        <w:ind w:left="504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B1081F8E">
      <w:start w:val="1"/>
      <w:numFmt w:val="bullet"/>
      <w:lvlText w:val="o"/>
      <w:lvlJc w:val="left"/>
      <w:pPr>
        <w:ind w:left="576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0BD8D4CE">
      <w:start w:val="1"/>
      <w:numFmt w:val="bullet"/>
      <w:lvlText w:val="▪"/>
      <w:lvlJc w:val="left"/>
      <w:pPr>
        <w:ind w:left="64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34" w15:restartNumberingAfterBreak="0">
    <w:nsid w:val="58947A86"/>
    <w:multiLevelType w:val="hybridMultilevel"/>
    <w:tmpl w:val="6950A07C"/>
    <w:lvl w:ilvl="0" w:tplc="62D28C0E">
      <w:start w:val="1"/>
      <w:numFmt w:val="decimal"/>
      <w:lvlText w:val="%1)"/>
      <w:lvlJc w:val="left"/>
      <w:pPr>
        <w:ind w:left="12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81298EC">
      <w:start w:val="1"/>
      <w:numFmt w:val="lowerLetter"/>
      <w:lvlText w:val="%2"/>
      <w:lvlJc w:val="left"/>
      <w:pPr>
        <w:ind w:left="17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574CC00">
      <w:start w:val="1"/>
      <w:numFmt w:val="lowerRoman"/>
      <w:lvlText w:val="%3"/>
      <w:lvlJc w:val="left"/>
      <w:pPr>
        <w:ind w:left="2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6220FE8">
      <w:start w:val="1"/>
      <w:numFmt w:val="decimal"/>
      <w:lvlText w:val="%4"/>
      <w:lvlJc w:val="left"/>
      <w:pPr>
        <w:ind w:left="3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3FCAD6E">
      <w:start w:val="1"/>
      <w:numFmt w:val="lowerLetter"/>
      <w:lvlText w:val="%5"/>
      <w:lvlJc w:val="left"/>
      <w:pPr>
        <w:ind w:left="3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DA00BB0">
      <w:start w:val="1"/>
      <w:numFmt w:val="lowerRoman"/>
      <w:lvlText w:val="%6"/>
      <w:lvlJc w:val="left"/>
      <w:pPr>
        <w:ind w:left="4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1DA435A">
      <w:start w:val="1"/>
      <w:numFmt w:val="decimal"/>
      <w:lvlText w:val="%7"/>
      <w:lvlJc w:val="left"/>
      <w:pPr>
        <w:ind w:left="5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CDC75AE">
      <w:start w:val="1"/>
      <w:numFmt w:val="lowerLetter"/>
      <w:lvlText w:val="%8"/>
      <w:lvlJc w:val="left"/>
      <w:pPr>
        <w:ind w:left="6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87A7502">
      <w:start w:val="1"/>
      <w:numFmt w:val="lowerRoman"/>
      <w:lvlText w:val="%9"/>
      <w:lvlJc w:val="left"/>
      <w:pPr>
        <w:ind w:left="6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5" w15:restartNumberingAfterBreak="0">
    <w:nsid w:val="58CC4136"/>
    <w:multiLevelType w:val="hybridMultilevel"/>
    <w:tmpl w:val="F622226E"/>
    <w:lvl w:ilvl="0" w:tplc="5AC4745C">
      <w:start w:val="1"/>
      <w:numFmt w:val="decimal"/>
      <w:lvlText w:val="[%1]"/>
      <w:lvlJc w:val="left"/>
      <w:pPr>
        <w:ind w:left="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0A48A4E">
      <w:start w:val="1"/>
      <w:numFmt w:val="lowerLetter"/>
      <w:lvlText w:val="%2"/>
      <w:lvlJc w:val="left"/>
      <w:pPr>
        <w:ind w:left="17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0340D70">
      <w:start w:val="1"/>
      <w:numFmt w:val="lowerRoman"/>
      <w:lvlText w:val="%3"/>
      <w:lvlJc w:val="left"/>
      <w:pPr>
        <w:ind w:left="2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A063E78">
      <w:start w:val="1"/>
      <w:numFmt w:val="decimal"/>
      <w:lvlText w:val="%4"/>
      <w:lvlJc w:val="left"/>
      <w:pPr>
        <w:ind w:left="3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378131C">
      <w:start w:val="1"/>
      <w:numFmt w:val="lowerLetter"/>
      <w:lvlText w:val="%5"/>
      <w:lvlJc w:val="left"/>
      <w:pPr>
        <w:ind w:left="3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9782970">
      <w:start w:val="1"/>
      <w:numFmt w:val="lowerRoman"/>
      <w:lvlText w:val="%6"/>
      <w:lvlJc w:val="left"/>
      <w:pPr>
        <w:ind w:left="4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2E65074">
      <w:start w:val="1"/>
      <w:numFmt w:val="decimal"/>
      <w:lvlText w:val="%7"/>
      <w:lvlJc w:val="left"/>
      <w:pPr>
        <w:ind w:left="5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9086CCA">
      <w:start w:val="1"/>
      <w:numFmt w:val="lowerLetter"/>
      <w:lvlText w:val="%8"/>
      <w:lvlJc w:val="left"/>
      <w:pPr>
        <w:ind w:left="6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19A986C">
      <w:start w:val="1"/>
      <w:numFmt w:val="lowerRoman"/>
      <w:lvlText w:val="%9"/>
      <w:lvlJc w:val="left"/>
      <w:pPr>
        <w:ind w:left="6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6" w15:restartNumberingAfterBreak="0">
    <w:nsid w:val="593A5FDC"/>
    <w:multiLevelType w:val="hybridMultilevel"/>
    <w:tmpl w:val="7E5E4F76"/>
    <w:lvl w:ilvl="0" w:tplc="D9F631BA">
      <w:start w:val="1"/>
      <w:numFmt w:val="decimal"/>
      <w:lvlText w:val="[%1]"/>
      <w:lvlJc w:val="left"/>
      <w:pPr>
        <w:ind w:left="11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7A06822">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4AC933A">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D4C8F44">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CE8CA06">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D1E9CC8">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C32DC22">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200A1EA">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D1E39A4">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37" w15:restartNumberingAfterBreak="0">
    <w:nsid w:val="5A746EE6"/>
    <w:multiLevelType w:val="hybridMultilevel"/>
    <w:tmpl w:val="99B07A72"/>
    <w:lvl w:ilvl="0" w:tplc="DA1052F6">
      <w:start w:val="2"/>
      <w:numFmt w:val="decimal"/>
      <w:lvlText w:val="%1."/>
      <w:lvlJc w:val="left"/>
      <w:pPr>
        <w:ind w:left="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FC027E2">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4D0E000">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9E21402">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006CBDE">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F0CA0E8">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1726780">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ED4D6CC">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AE651E2">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38" w15:restartNumberingAfterBreak="0">
    <w:nsid w:val="5B5F070B"/>
    <w:multiLevelType w:val="hybridMultilevel"/>
    <w:tmpl w:val="B186EF34"/>
    <w:lvl w:ilvl="0" w:tplc="663ED65E">
      <w:start w:val="1"/>
      <w:numFmt w:val="decimal"/>
      <w:lvlText w:val="%1."/>
      <w:lvlJc w:val="left"/>
      <w:pPr>
        <w:ind w:left="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CB832C0">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6AAEE1C">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7FEFF70">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2809EE2">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AEE5C6A">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D2616A2">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DB85F76">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19891D0">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39" w15:restartNumberingAfterBreak="0">
    <w:nsid w:val="5B760D59"/>
    <w:multiLevelType w:val="hybridMultilevel"/>
    <w:tmpl w:val="5FA6C446"/>
    <w:lvl w:ilvl="0" w:tplc="57B06EAE">
      <w:start w:val="5"/>
      <w:numFmt w:val="decimal"/>
      <w:lvlText w:val="[%1]"/>
      <w:lvlJc w:val="left"/>
      <w:pPr>
        <w:ind w:left="7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5F6F6B0">
      <w:start w:val="1"/>
      <w:numFmt w:val="lowerLetter"/>
      <w:lvlText w:val="%2"/>
      <w:lvlJc w:val="left"/>
      <w:pPr>
        <w:ind w:left="17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5C474C6">
      <w:start w:val="1"/>
      <w:numFmt w:val="lowerRoman"/>
      <w:lvlText w:val="%3"/>
      <w:lvlJc w:val="left"/>
      <w:pPr>
        <w:ind w:left="2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C88BBD6">
      <w:start w:val="1"/>
      <w:numFmt w:val="decimal"/>
      <w:lvlText w:val="%4"/>
      <w:lvlJc w:val="left"/>
      <w:pPr>
        <w:ind w:left="3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37A1948">
      <w:start w:val="1"/>
      <w:numFmt w:val="lowerLetter"/>
      <w:lvlText w:val="%5"/>
      <w:lvlJc w:val="left"/>
      <w:pPr>
        <w:ind w:left="3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4321E2E">
      <w:start w:val="1"/>
      <w:numFmt w:val="lowerRoman"/>
      <w:lvlText w:val="%6"/>
      <w:lvlJc w:val="left"/>
      <w:pPr>
        <w:ind w:left="4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0526292">
      <w:start w:val="1"/>
      <w:numFmt w:val="decimal"/>
      <w:lvlText w:val="%7"/>
      <w:lvlJc w:val="left"/>
      <w:pPr>
        <w:ind w:left="5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4F43A2A">
      <w:start w:val="1"/>
      <w:numFmt w:val="lowerLetter"/>
      <w:lvlText w:val="%8"/>
      <w:lvlJc w:val="left"/>
      <w:pPr>
        <w:ind w:left="6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7FAB81A">
      <w:start w:val="1"/>
      <w:numFmt w:val="lowerRoman"/>
      <w:lvlText w:val="%9"/>
      <w:lvlJc w:val="left"/>
      <w:pPr>
        <w:ind w:left="6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0" w15:restartNumberingAfterBreak="0">
    <w:nsid w:val="5CF85742"/>
    <w:multiLevelType w:val="hybridMultilevel"/>
    <w:tmpl w:val="72989AB0"/>
    <w:lvl w:ilvl="0" w:tplc="FA52BB34">
      <w:start w:val="1"/>
      <w:numFmt w:val="bullet"/>
      <w:lvlText w:val="-"/>
      <w:lvlJc w:val="left"/>
      <w:pPr>
        <w:ind w:left="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A3EE03A">
      <w:start w:val="1"/>
      <w:numFmt w:val="bullet"/>
      <w:lvlText w:val="o"/>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E328B00">
      <w:start w:val="1"/>
      <w:numFmt w:val="bullet"/>
      <w:lvlText w:val="▪"/>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8DE1854">
      <w:start w:val="1"/>
      <w:numFmt w:val="bullet"/>
      <w:lvlText w:val="•"/>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3EC56F6">
      <w:start w:val="1"/>
      <w:numFmt w:val="bullet"/>
      <w:lvlText w:val="o"/>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00823EC">
      <w:start w:val="1"/>
      <w:numFmt w:val="bullet"/>
      <w:lvlText w:val="▪"/>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F8EF1B0">
      <w:start w:val="1"/>
      <w:numFmt w:val="bullet"/>
      <w:lvlText w:val="•"/>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B2657F4">
      <w:start w:val="1"/>
      <w:numFmt w:val="bullet"/>
      <w:lvlText w:val="o"/>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19878C4">
      <w:start w:val="1"/>
      <w:numFmt w:val="bullet"/>
      <w:lvlText w:val="▪"/>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41" w15:restartNumberingAfterBreak="0">
    <w:nsid w:val="5DB37687"/>
    <w:multiLevelType w:val="hybridMultilevel"/>
    <w:tmpl w:val="D4B24334"/>
    <w:lvl w:ilvl="0" w:tplc="8C8449A6">
      <w:start w:val="1"/>
      <w:numFmt w:val="bullet"/>
      <w:lvlText w:val="-"/>
      <w:lvlJc w:val="left"/>
      <w:pPr>
        <w:ind w:left="10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DD721B8C">
      <w:start w:val="1"/>
      <w:numFmt w:val="bullet"/>
      <w:lvlText w:val="o"/>
      <w:lvlJc w:val="left"/>
      <w:pPr>
        <w:ind w:left="151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088A0AEC">
      <w:start w:val="1"/>
      <w:numFmt w:val="bullet"/>
      <w:lvlText w:val="▪"/>
      <w:lvlJc w:val="left"/>
      <w:pPr>
        <w:ind w:left="223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3A6CB0BC">
      <w:start w:val="1"/>
      <w:numFmt w:val="bullet"/>
      <w:lvlText w:val="•"/>
      <w:lvlJc w:val="left"/>
      <w:pPr>
        <w:ind w:left="295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986292C2">
      <w:start w:val="1"/>
      <w:numFmt w:val="bullet"/>
      <w:lvlText w:val="o"/>
      <w:lvlJc w:val="left"/>
      <w:pPr>
        <w:ind w:left="367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A0545816">
      <w:start w:val="1"/>
      <w:numFmt w:val="bullet"/>
      <w:lvlText w:val="▪"/>
      <w:lvlJc w:val="left"/>
      <w:pPr>
        <w:ind w:left="439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E0E091A8">
      <w:start w:val="1"/>
      <w:numFmt w:val="bullet"/>
      <w:lvlText w:val="•"/>
      <w:lvlJc w:val="left"/>
      <w:pPr>
        <w:ind w:left="511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5F244160">
      <w:start w:val="1"/>
      <w:numFmt w:val="bullet"/>
      <w:lvlText w:val="o"/>
      <w:lvlJc w:val="left"/>
      <w:pPr>
        <w:ind w:left="583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4F54AA78">
      <w:start w:val="1"/>
      <w:numFmt w:val="bullet"/>
      <w:lvlText w:val="▪"/>
      <w:lvlJc w:val="left"/>
      <w:pPr>
        <w:ind w:left="655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42" w15:restartNumberingAfterBreak="0">
    <w:nsid w:val="5E1B6A6C"/>
    <w:multiLevelType w:val="hybridMultilevel"/>
    <w:tmpl w:val="1DACC1E2"/>
    <w:lvl w:ilvl="0" w:tplc="ABE2760A">
      <w:start w:val="1"/>
      <w:numFmt w:val="bullet"/>
      <w:lvlText w:val="-"/>
      <w:lvlJc w:val="left"/>
      <w:pPr>
        <w:ind w:left="3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C7E2D616">
      <w:start w:val="1"/>
      <w:numFmt w:val="bullet"/>
      <w:lvlText w:val="o"/>
      <w:lvlJc w:val="left"/>
      <w:pPr>
        <w:ind w:left="157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B6987966">
      <w:start w:val="1"/>
      <w:numFmt w:val="bullet"/>
      <w:lvlText w:val="▪"/>
      <w:lvlJc w:val="left"/>
      <w:pPr>
        <w:ind w:left="229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BEEA997A">
      <w:start w:val="1"/>
      <w:numFmt w:val="bullet"/>
      <w:lvlText w:val="•"/>
      <w:lvlJc w:val="left"/>
      <w:pPr>
        <w:ind w:left="301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5DE456AE">
      <w:start w:val="1"/>
      <w:numFmt w:val="bullet"/>
      <w:lvlText w:val="o"/>
      <w:lvlJc w:val="left"/>
      <w:pPr>
        <w:ind w:left="373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EA8E0FD8">
      <w:start w:val="1"/>
      <w:numFmt w:val="bullet"/>
      <w:lvlText w:val="▪"/>
      <w:lvlJc w:val="left"/>
      <w:pPr>
        <w:ind w:left="445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3B76AAAC">
      <w:start w:val="1"/>
      <w:numFmt w:val="bullet"/>
      <w:lvlText w:val="•"/>
      <w:lvlJc w:val="left"/>
      <w:pPr>
        <w:ind w:left="517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FFE6E424">
      <w:start w:val="1"/>
      <w:numFmt w:val="bullet"/>
      <w:lvlText w:val="o"/>
      <w:lvlJc w:val="left"/>
      <w:pPr>
        <w:ind w:left="589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B9EAD984">
      <w:start w:val="1"/>
      <w:numFmt w:val="bullet"/>
      <w:lvlText w:val="▪"/>
      <w:lvlJc w:val="left"/>
      <w:pPr>
        <w:ind w:left="661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43" w15:restartNumberingAfterBreak="0">
    <w:nsid w:val="5ECB5887"/>
    <w:multiLevelType w:val="hybridMultilevel"/>
    <w:tmpl w:val="F7BA5018"/>
    <w:lvl w:ilvl="0" w:tplc="2C40DD7A">
      <w:start w:val="1"/>
      <w:numFmt w:val="decimal"/>
      <w:lvlText w:val="%1."/>
      <w:lvlJc w:val="left"/>
      <w:pPr>
        <w:ind w:left="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CBA284E">
      <w:start w:val="1"/>
      <w:numFmt w:val="lowerLetter"/>
      <w:lvlText w:val="%2"/>
      <w:lvlJc w:val="left"/>
      <w:pPr>
        <w:ind w:left="17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B060F38">
      <w:start w:val="1"/>
      <w:numFmt w:val="lowerRoman"/>
      <w:lvlText w:val="%3"/>
      <w:lvlJc w:val="left"/>
      <w:pPr>
        <w:ind w:left="2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7500262">
      <w:start w:val="1"/>
      <w:numFmt w:val="decimal"/>
      <w:lvlText w:val="%4"/>
      <w:lvlJc w:val="left"/>
      <w:pPr>
        <w:ind w:left="3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4FC9D6C">
      <w:start w:val="1"/>
      <w:numFmt w:val="lowerLetter"/>
      <w:lvlText w:val="%5"/>
      <w:lvlJc w:val="left"/>
      <w:pPr>
        <w:ind w:left="3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CF4F570">
      <w:start w:val="1"/>
      <w:numFmt w:val="lowerRoman"/>
      <w:lvlText w:val="%6"/>
      <w:lvlJc w:val="left"/>
      <w:pPr>
        <w:ind w:left="4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F48BE30">
      <w:start w:val="1"/>
      <w:numFmt w:val="decimal"/>
      <w:lvlText w:val="%7"/>
      <w:lvlJc w:val="left"/>
      <w:pPr>
        <w:ind w:left="5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C84580A">
      <w:start w:val="1"/>
      <w:numFmt w:val="lowerLetter"/>
      <w:lvlText w:val="%8"/>
      <w:lvlJc w:val="left"/>
      <w:pPr>
        <w:ind w:left="6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41A8DDA">
      <w:start w:val="1"/>
      <w:numFmt w:val="lowerRoman"/>
      <w:lvlText w:val="%9"/>
      <w:lvlJc w:val="left"/>
      <w:pPr>
        <w:ind w:left="6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4" w15:restartNumberingAfterBreak="0">
    <w:nsid w:val="5ED2727C"/>
    <w:multiLevelType w:val="hybridMultilevel"/>
    <w:tmpl w:val="99560E66"/>
    <w:lvl w:ilvl="0" w:tplc="D5C446A0">
      <w:start w:val="3"/>
      <w:numFmt w:val="decimal"/>
      <w:lvlText w:val="[%1]"/>
      <w:lvlJc w:val="left"/>
      <w:pPr>
        <w:ind w:left="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0B805F0">
      <w:start w:val="1"/>
      <w:numFmt w:val="lowerLetter"/>
      <w:lvlText w:val="%2"/>
      <w:lvlJc w:val="left"/>
      <w:pPr>
        <w:ind w:left="17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A42742A">
      <w:start w:val="1"/>
      <w:numFmt w:val="lowerRoman"/>
      <w:lvlText w:val="%3"/>
      <w:lvlJc w:val="left"/>
      <w:pPr>
        <w:ind w:left="2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5585680">
      <w:start w:val="1"/>
      <w:numFmt w:val="decimal"/>
      <w:lvlText w:val="%4"/>
      <w:lvlJc w:val="left"/>
      <w:pPr>
        <w:ind w:left="3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87A5424">
      <w:start w:val="1"/>
      <w:numFmt w:val="lowerLetter"/>
      <w:lvlText w:val="%5"/>
      <w:lvlJc w:val="left"/>
      <w:pPr>
        <w:ind w:left="3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F82369A">
      <w:start w:val="1"/>
      <w:numFmt w:val="lowerRoman"/>
      <w:lvlText w:val="%6"/>
      <w:lvlJc w:val="left"/>
      <w:pPr>
        <w:ind w:left="4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B8CF082">
      <w:start w:val="1"/>
      <w:numFmt w:val="decimal"/>
      <w:lvlText w:val="%7"/>
      <w:lvlJc w:val="left"/>
      <w:pPr>
        <w:ind w:left="5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06E58AC">
      <w:start w:val="1"/>
      <w:numFmt w:val="lowerLetter"/>
      <w:lvlText w:val="%8"/>
      <w:lvlJc w:val="left"/>
      <w:pPr>
        <w:ind w:left="6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F445C36">
      <w:start w:val="1"/>
      <w:numFmt w:val="lowerRoman"/>
      <w:lvlText w:val="%9"/>
      <w:lvlJc w:val="left"/>
      <w:pPr>
        <w:ind w:left="6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5" w15:restartNumberingAfterBreak="0">
    <w:nsid w:val="5EE3769E"/>
    <w:multiLevelType w:val="hybridMultilevel"/>
    <w:tmpl w:val="BB6EF69C"/>
    <w:lvl w:ilvl="0" w:tplc="75C8DADE">
      <w:start w:val="1"/>
      <w:numFmt w:val="bullet"/>
      <w:lvlText w:val="-"/>
      <w:lvlJc w:val="left"/>
      <w:pPr>
        <w:ind w:left="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1" w:tplc="18C4581C">
      <w:start w:val="1"/>
      <w:numFmt w:val="bullet"/>
      <w:lvlText w:val="o"/>
      <w:lvlJc w:val="left"/>
      <w:pPr>
        <w:ind w:left="164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7DBC36B0">
      <w:start w:val="1"/>
      <w:numFmt w:val="bullet"/>
      <w:lvlText w:val="▪"/>
      <w:lvlJc w:val="left"/>
      <w:pPr>
        <w:ind w:left="236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61C2BE64">
      <w:start w:val="1"/>
      <w:numFmt w:val="bullet"/>
      <w:lvlText w:val="•"/>
      <w:lvlJc w:val="left"/>
      <w:pPr>
        <w:ind w:left="308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B9B4C5AC">
      <w:start w:val="1"/>
      <w:numFmt w:val="bullet"/>
      <w:lvlText w:val="o"/>
      <w:lvlJc w:val="left"/>
      <w:pPr>
        <w:ind w:left="380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DADA5DA0">
      <w:start w:val="1"/>
      <w:numFmt w:val="bullet"/>
      <w:lvlText w:val="▪"/>
      <w:lvlJc w:val="left"/>
      <w:pPr>
        <w:ind w:left="452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56FA2ECA">
      <w:start w:val="1"/>
      <w:numFmt w:val="bullet"/>
      <w:lvlText w:val="•"/>
      <w:lvlJc w:val="left"/>
      <w:pPr>
        <w:ind w:left="524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891EA3D2">
      <w:start w:val="1"/>
      <w:numFmt w:val="bullet"/>
      <w:lvlText w:val="o"/>
      <w:lvlJc w:val="left"/>
      <w:pPr>
        <w:ind w:left="596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2CEE32EA">
      <w:start w:val="1"/>
      <w:numFmt w:val="bullet"/>
      <w:lvlText w:val="▪"/>
      <w:lvlJc w:val="left"/>
      <w:pPr>
        <w:ind w:left="668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46" w15:restartNumberingAfterBreak="0">
    <w:nsid w:val="5F7C5DCA"/>
    <w:multiLevelType w:val="hybridMultilevel"/>
    <w:tmpl w:val="D512C8AE"/>
    <w:lvl w:ilvl="0" w:tplc="2FFE9FCA">
      <w:start w:val="1"/>
      <w:numFmt w:val="decimal"/>
      <w:lvlText w:val="[%1]"/>
      <w:lvlJc w:val="left"/>
      <w:pPr>
        <w:ind w:left="2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AA272A0">
      <w:start w:val="1"/>
      <w:numFmt w:val="lowerLetter"/>
      <w:lvlText w:val="%2"/>
      <w:lvlJc w:val="left"/>
      <w:pPr>
        <w:ind w:left="17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6A65060">
      <w:start w:val="1"/>
      <w:numFmt w:val="lowerRoman"/>
      <w:lvlText w:val="%3"/>
      <w:lvlJc w:val="left"/>
      <w:pPr>
        <w:ind w:left="2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A6AAE20">
      <w:start w:val="1"/>
      <w:numFmt w:val="decimal"/>
      <w:lvlText w:val="%4"/>
      <w:lvlJc w:val="left"/>
      <w:pPr>
        <w:ind w:left="3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33E7B1E">
      <w:start w:val="1"/>
      <w:numFmt w:val="lowerLetter"/>
      <w:lvlText w:val="%5"/>
      <w:lvlJc w:val="left"/>
      <w:pPr>
        <w:ind w:left="3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3125BC6">
      <w:start w:val="1"/>
      <w:numFmt w:val="lowerRoman"/>
      <w:lvlText w:val="%6"/>
      <w:lvlJc w:val="left"/>
      <w:pPr>
        <w:ind w:left="4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1920F70">
      <w:start w:val="1"/>
      <w:numFmt w:val="decimal"/>
      <w:lvlText w:val="%7"/>
      <w:lvlJc w:val="left"/>
      <w:pPr>
        <w:ind w:left="5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D1CAE5E">
      <w:start w:val="1"/>
      <w:numFmt w:val="lowerLetter"/>
      <w:lvlText w:val="%8"/>
      <w:lvlJc w:val="left"/>
      <w:pPr>
        <w:ind w:left="6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94E3F1E">
      <w:start w:val="1"/>
      <w:numFmt w:val="lowerRoman"/>
      <w:lvlText w:val="%9"/>
      <w:lvlJc w:val="left"/>
      <w:pPr>
        <w:ind w:left="6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7" w15:restartNumberingAfterBreak="0">
    <w:nsid w:val="60073474"/>
    <w:multiLevelType w:val="hybridMultilevel"/>
    <w:tmpl w:val="FA123002"/>
    <w:lvl w:ilvl="0" w:tplc="02667D10">
      <w:start w:val="1"/>
      <w:numFmt w:val="decimal"/>
      <w:lvlText w:val="%1."/>
      <w:lvlJc w:val="left"/>
      <w:pPr>
        <w:ind w:left="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BFED4F8">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4FC79FE">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4B43A9E">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0EA667E">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7342DC8">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67C95B8">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7BE0104">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86C8BD4">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48" w15:restartNumberingAfterBreak="0">
    <w:nsid w:val="600F7C1D"/>
    <w:multiLevelType w:val="hybridMultilevel"/>
    <w:tmpl w:val="5DF29E1C"/>
    <w:lvl w:ilvl="0" w:tplc="38DCDB26">
      <w:start w:val="1"/>
      <w:numFmt w:val="decimal"/>
      <w:lvlText w:val="[%1]"/>
      <w:lvlJc w:val="left"/>
      <w:pPr>
        <w:ind w:left="2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F40FD38">
      <w:start w:val="1"/>
      <w:numFmt w:val="lowerLetter"/>
      <w:lvlText w:val="%2"/>
      <w:lvlJc w:val="left"/>
      <w:pPr>
        <w:ind w:left="16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352B038">
      <w:start w:val="1"/>
      <w:numFmt w:val="lowerRoman"/>
      <w:lvlText w:val="%3"/>
      <w:lvlJc w:val="left"/>
      <w:pPr>
        <w:ind w:left="23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3786244">
      <w:start w:val="1"/>
      <w:numFmt w:val="decimal"/>
      <w:lvlText w:val="%4"/>
      <w:lvlJc w:val="left"/>
      <w:pPr>
        <w:ind w:left="30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EEC3000">
      <w:start w:val="1"/>
      <w:numFmt w:val="lowerLetter"/>
      <w:lvlText w:val="%5"/>
      <w:lvlJc w:val="left"/>
      <w:pPr>
        <w:ind w:left="38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0EE693A">
      <w:start w:val="1"/>
      <w:numFmt w:val="lowerRoman"/>
      <w:lvlText w:val="%6"/>
      <w:lvlJc w:val="left"/>
      <w:pPr>
        <w:ind w:left="45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B94C9A6">
      <w:start w:val="1"/>
      <w:numFmt w:val="decimal"/>
      <w:lvlText w:val="%7"/>
      <w:lvlJc w:val="left"/>
      <w:pPr>
        <w:ind w:left="52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32E4DC6">
      <w:start w:val="1"/>
      <w:numFmt w:val="lowerLetter"/>
      <w:lvlText w:val="%8"/>
      <w:lvlJc w:val="left"/>
      <w:pPr>
        <w:ind w:left="59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E4CA1E0">
      <w:start w:val="1"/>
      <w:numFmt w:val="lowerRoman"/>
      <w:lvlText w:val="%9"/>
      <w:lvlJc w:val="left"/>
      <w:pPr>
        <w:ind w:left="66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9" w15:restartNumberingAfterBreak="0">
    <w:nsid w:val="612B718B"/>
    <w:multiLevelType w:val="hybridMultilevel"/>
    <w:tmpl w:val="742C340E"/>
    <w:lvl w:ilvl="0" w:tplc="66DC93EE">
      <w:start w:val="1"/>
      <w:numFmt w:val="decimal"/>
      <w:lvlText w:val="[%1]"/>
      <w:lvlJc w:val="left"/>
      <w:pPr>
        <w:ind w:left="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CBAA12E">
      <w:start w:val="1"/>
      <w:numFmt w:val="lowerLetter"/>
      <w:lvlText w:val="%2"/>
      <w:lvlJc w:val="left"/>
      <w:pPr>
        <w:ind w:left="17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5C0B182">
      <w:start w:val="1"/>
      <w:numFmt w:val="lowerRoman"/>
      <w:lvlText w:val="%3"/>
      <w:lvlJc w:val="left"/>
      <w:pPr>
        <w:ind w:left="2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5FADB1A">
      <w:start w:val="1"/>
      <w:numFmt w:val="decimal"/>
      <w:lvlText w:val="%4"/>
      <w:lvlJc w:val="left"/>
      <w:pPr>
        <w:ind w:left="3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BD297F4">
      <w:start w:val="1"/>
      <w:numFmt w:val="lowerLetter"/>
      <w:lvlText w:val="%5"/>
      <w:lvlJc w:val="left"/>
      <w:pPr>
        <w:ind w:left="3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C7AF264">
      <w:start w:val="1"/>
      <w:numFmt w:val="lowerRoman"/>
      <w:lvlText w:val="%6"/>
      <w:lvlJc w:val="left"/>
      <w:pPr>
        <w:ind w:left="4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4B2554A">
      <w:start w:val="1"/>
      <w:numFmt w:val="decimal"/>
      <w:lvlText w:val="%7"/>
      <w:lvlJc w:val="left"/>
      <w:pPr>
        <w:ind w:left="5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50CAC86">
      <w:start w:val="1"/>
      <w:numFmt w:val="lowerLetter"/>
      <w:lvlText w:val="%8"/>
      <w:lvlJc w:val="left"/>
      <w:pPr>
        <w:ind w:left="6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FD2404A">
      <w:start w:val="1"/>
      <w:numFmt w:val="lowerRoman"/>
      <w:lvlText w:val="%9"/>
      <w:lvlJc w:val="left"/>
      <w:pPr>
        <w:ind w:left="6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0" w15:restartNumberingAfterBreak="0">
    <w:nsid w:val="61B23FEF"/>
    <w:multiLevelType w:val="hybridMultilevel"/>
    <w:tmpl w:val="C5387DC8"/>
    <w:lvl w:ilvl="0" w:tplc="DD5A848C">
      <w:start w:val="1"/>
      <w:numFmt w:val="bullet"/>
      <w:lvlText w:val="•"/>
      <w:lvlJc w:val="left"/>
      <w:pPr>
        <w:ind w:left="1004"/>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71507F56">
      <w:start w:val="1"/>
      <w:numFmt w:val="bullet"/>
      <w:lvlText w:val="o"/>
      <w:lvlJc w:val="left"/>
      <w:pPr>
        <w:ind w:left="144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9F446C1E">
      <w:start w:val="1"/>
      <w:numFmt w:val="bullet"/>
      <w:lvlText w:val="▪"/>
      <w:lvlJc w:val="left"/>
      <w:pPr>
        <w:ind w:left="21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1C9AC36E">
      <w:start w:val="1"/>
      <w:numFmt w:val="bullet"/>
      <w:lvlText w:val="•"/>
      <w:lvlJc w:val="left"/>
      <w:pPr>
        <w:ind w:left="288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C9AA2BD8">
      <w:start w:val="1"/>
      <w:numFmt w:val="bullet"/>
      <w:lvlText w:val="o"/>
      <w:lvlJc w:val="left"/>
      <w:pPr>
        <w:ind w:left="360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41745CE4">
      <w:start w:val="1"/>
      <w:numFmt w:val="bullet"/>
      <w:lvlText w:val="▪"/>
      <w:lvlJc w:val="left"/>
      <w:pPr>
        <w:ind w:left="432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103AE130">
      <w:start w:val="1"/>
      <w:numFmt w:val="bullet"/>
      <w:lvlText w:val="•"/>
      <w:lvlJc w:val="left"/>
      <w:pPr>
        <w:ind w:left="504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6CF45F42">
      <w:start w:val="1"/>
      <w:numFmt w:val="bullet"/>
      <w:lvlText w:val="o"/>
      <w:lvlJc w:val="left"/>
      <w:pPr>
        <w:ind w:left="57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EC30B134">
      <w:start w:val="1"/>
      <w:numFmt w:val="bullet"/>
      <w:lvlText w:val="▪"/>
      <w:lvlJc w:val="left"/>
      <w:pPr>
        <w:ind w:left="648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51" w15:restartNumberingAfterBreak="0">
    <w:nsid w:val="61B777A2"/>
    <w:multiLevelType w:val="hybridMultilevel"/>
    <w:tmpl w:val="83CA70AC"/>
    <w:lvl w:ilvl="0" w:tplc="E1C6040C">
      <w:start w:val="1"/>
      <w:numFmt w:val="decimal"/>
      <w:lvlText w:val="[%1]"/>
      <w:lvlJc w:val="left"/>
      <w:pPr>
        <w:ind w:left="2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AAE3810">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7D41F0C">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E3667D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6581A0A">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786F096">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CEEF49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A566CF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BFC1156">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2" w15:restartNumberingAfterBreak="0">
    <w:nsid w:val="644033F6"/>
    <w:multiLevelType w:val="hybridMultilevel"/>
    <w:tmpl w:val="50AA1ED2"/>
    <w:lvl w:ilvl="0" w:tplc="A0069C68">
      <w:start w:val="1"/>
      <w:numFmt w:val="decimal"/>
      <w:lvlText w:val="[%1]"/>
      <w:lvlJc w:val="left"/>
      <w:pPr>
        <w:ind w:left="2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040FD9E">
      <w:start w:val="1"/>
      <w:numFmt w:val="lowerLetter"/>
      <w:lvlText w:val="%2"/>
      <w:lvlJc w:val="left"/>
      <w:pPr>
        <w:ind w:left="16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B2EABF8">
      <w:start w:val="1"/>
      <w:numFmt w:val="lowerRoman"/>
      <w:lvlText w:val="%3"/>
      <w:lvlJc w:val="left"/>
      <w:pPr>
        <w:ind w:left="23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F3C3180">
      <w:start w:val="1"/>
      <w:numFmt w:val="decimal"/>
      <w:lvlText w:val="%4"/>
      <w:lvlJc w:val="left"/>
      <w:pPr>
        <w:ind w:left="30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D6807A0">
      <w:start w:val="1"/>
      <w:numFmt w:val="lowerLetter"/>
      <w:lvlText w:val="%5"/>
      <w:lvlJc w:val="left"/>
      <w:pPr>
        <w:ind w:left="38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E9AD50E">
      <w:start w:val="1"/>
      <w:numFmt w:val="lowerRoman"/>
      <w:lvlText w:val="%6"/>
      <w:lvlJc w:val="left"/>
      <w:pPr>
        <w:ind w:left="45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28CDEF4">
      <w:start w:val="1"/>
      <w:numFmt w:val="decimal"/>
      <w:lvlText w:val="%7"/>
      <w:lvlJc w:val="left"/>
      <w:pPr>
        <w:ind w:left="52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AF63AD8">
      <w:start w:val="1"/>
      <w:numFmt w:val="lowerLetter"/>
      <w:lvlText w:val="%8"/>
      <w:lvlJc w:val="left"/>
      <w:pPr>
        <w:ind w:left="59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A42ADC6">
      <w:start w:val="1"/>
      <w:numFmt w:val="lowerRoman"/>
      <w:lvlText w:val="%9"/>
      <w:lvlJc w:val="left"/>
      <w:pPr>
        <w:ind w:left="66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3" w15:restartNumberingAfterBreak="0">
    <w:nsid w:val="64D17934"/>
    <w:multiLevelType w:val="hybridMultilevel"/>
    <w:tmpl w:val="15D27DA8"/>
    <w:lvl w:ilvl="0" w:tplc="FA26055A">
      <w:start w:val="1"/>
      <w:numFmt w:val="decimal"/>
      <w:lvlText w:val="[%1]"/>
      <w:lvlJc w:val="left"/>
      <w:pPr>
        <w:ind w:left="56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91782158">
      <w:start w:val="1"/>
      <w:numFmt w:val="lowerLetter"/>
      <w:lvlText w:val="%2"/>
      <w:lvlJc w:val="left"/>
      <w:pPr>
        <w:ind w:left="164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92C4DBCE">
      <w:start w:val="1"/>
      <w:numFmt w:val="lowerRoman"/>
      <w:lvlText w:val="%3"/>
      <w:lvlJc w:val="left"/>
      <w:pPr>
        <w:ind w:left="236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114AA3CE">
      <w:start w:val="1"/>
      <w:numFmt w:val="decimal"/>
      <w:lvlText w:val="%4"/>
      <w:lvlJc w:val="left"/>
      <w:pPr>
        <w:ind w:left="308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9BCEDBDA">
      <w:start w:val="1"/>
      <w:numFmt w:val="lowerLetter"/>
      <w:lvlText w:val="%5"/>
      <w:lvlJc w:val="left"/>
      <w:pPr>
        <w:ind w:left="380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F1F4AB80">
      <w:start w:val="1"/>
      <w:numFmt w:val="lowerRoman"/>
      <w:lvlText w:val="%6"/>
      <w:lvlJc w:val="left"/>
      <w:pPr>
        <w:ind w:left="452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EEA4BA68">
      <w:start w:val="1"/>
      <w:numFmt w:val="decimal"/>
      <w:lvlText w:val="%7"/>
      <w:lvlJc w:val="left"/>
      <w:pPr>
        <w:ind w:left="524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A9D83C40">
      <w:start w:val="1"/>
      <w:numFmt w:val="lowerLetter"/>
      <w:lvlText w:val="%8"/>
      <w:lvlJc w:val="left"/>
      <w:pPr>
        <w:ind w:left="596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D3AE414C">
      <w:start w:val="1"/>
      <w:numFmt w:val="lowerRoman"/>
      <w:lvlText w:val="%9"/>
      <w:lvlJc w:val="left"/>
      <w:pPr>
        <w:ind w:left="668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54" w15:restartNumberingAfterBreak="0">
    <w:nsid w:val="65036F27"/>
    <w:multiLevelType w:val="hybridMultilevel"/>
    <w:tmpl w:val="E7EA863A"/>
    <w:lvl w:ilvl="0" w:tplc="01D49B6A">
      <w:start w:val="1"/>
      <w:numFmt w:val="decimal"/>
      <w:lvlText w:val="[%1]"/>
      <w:lvlJc w:val="left"/>
      <w:pPr>
        <w:ind w:left="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0F4F90A">
      <w:start w:val="1"/>
      <w:numFmt w:val="lowerLetter"/>
      <w:lvlText w:val="%2"/>
      <w:lvlJc w:val="left"/>
      <w:pPr>
        <w:ind w:left="17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C54EB70">
      <w:start w:val="1"/>
      <w:numFmt w:val="lowerRoman"/>
      <w:lvlText w:val="%3"/>
      <w:lvlJc w:val="left"/>
      <w:pPr>
        <w:ind w:left="2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BCC726A">
      <w:start w:val="1"/>
      <w:numFmt w:val="decimal"/>
      <w:lvlText w:val="%4"/>
      <w:lvlJc w:val="left"/>
      <w:pPr>
        <w:ind w:left="3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9460D74">
      <w:start w:val="1"/>
      <w:numFmt w:val="lowerLetter"/>
      <w:lvlText w:val="%5"/>
      <w:lvlJc w:val="left"/>
      <w:pPr>
        <w:ind w:left="3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D4226E0">
      <w:start w:val="1"/>
      <w:numFmt w:val="lowerRoman"/>
      <w:lvlText w:val="%6"/>
      <w:lvlJc w:val="left"/>
      <w:pPr>
        <w:ind w:left="4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2B6214E">
      <w:start w:val="1"/>
      <w:numFmt w:val="decimal"/>
      <w:lvlText w:val="%7"/>
      <w:lvlJc w:val="left"/>
      <w:pPr>
        <w:ind w:left="5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D329F6C">
      <w:start w:val="1"/>
      <w:numFmt w:val="lowerLetter"/>
      <w:lvlText w:val="%8"/>
      <w:lvlJc w:val="left"/>
      <w:pPr>
        <w:ind w:left="6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8164496">
      <w:start w:val="1"/>
      <w:numFmt w:val="lowerRoman"/>
      <w:lvlText w:val="%9"/>
      <w:lvlJc w:val="left"/>
      <w:pPr>
        <w:ind w:left="6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5" w15:restartNumberingAfterBreak="0">
    <w:nsid w:val="653B4D83"/>
    <w:multiLevelType w:val="hybridMultilevel"/>
    <w:tmpl w:val="C0EA5034"/>
    <w:lvl w:ilvl="0" w:tplc="6DBA042C">
      <w:start w:val="1"/>
      <w:numFmt w:val="bullet"/>
      <w:lvlText w:val="-"/>
      <w:lvlJc w:val="left"/>
      <w:pPr>
        <w:ind w:left="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BA01ABC">
      <w:start w:val="1"/>
      <w:numFmt w:val="bullet"/>
      <w:lvlText w:val="o"/>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99E301C">
      <w:start w:val="1"/>
      <w:numFmt w:val="bullet"/>
      <w:lvlText w:val="▪"/>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EDC7528">
      <w:start w:val="1"/>
      <w:numFmt w:val="bullet"/>
      <w:lvlText w:val="•"/>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A52086C">
      <w:start w:val="1"/>
      <w:numFmt w:val="bullet"/>
      <w:lvlText w:val="o"/>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E9A705A">
      <w:start w:val="1"/>
      <w:numFmt w:val="bullet"/>
      <w:lvlText w:val="▪"/>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80C266C">
      <w:start w:val="1"/>
      <w:numFmt w:val="bullet"/>
      <w:lvlText w:val="•"/>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71E42EE">
      <w:start w:val="1"/>
      <w:numFmt w:val="bullet"/>
      <w:lvlText w:val="o"/>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B8EFED0">
      <w:start w:val="1"/>
      <w:numFmt w:val="bullet"/>
      <w:lvlText w:val="▪"/>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56" w15:restartNumberingAfterBreak="0">
    <w:nsid w:val="65FF2A99"/>
    <w:multiLevelType w:val="hybridMultilevel"/>
    <w:tmpl w:val="C93EE1A2"/>
    <w:lvl w:ilvl="0" w:tplc="A3242E38">
      <w:start w:val="1"/>
      <w:numFmt w:val="decimal"/>
      <w:lvlText w:val="%1)"/>
      <w:lvlJc w:val="left"/>
      <w:pPr>
        <w:ind w:left="2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C9AAE98">
      <w:start w:val="1"/>
      <w:numFmt w:val="lowerLetter"/>
      <w:lvlText w:val="%2"/>
      <w:lvlJc w:val="left"/>
      <w:pPr>
        <w:ind w:left="21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A02A5B4">
      <w:start w:val="1"/>
      <w:numFmt w:val="lowerRoman"/>
      <w:lvlText w:val="%3"/>
      <w:lvlJc w:val="left"/>
      <w:pPr>
        <w:ind w:left="28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5FC0876">
      <w:start w:val="1"/>
      <w:numFmt w:val="decimal"/>
      <w:lvlText w:val="%4"/>
      <w:lvlJc w:val="left"/>
      <w:pPr>
        <w:ind w:left="36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B965658">
      <w:start w:val="1"/>
      <w:numFmt w:val="lowerLetter"/>
      <w:lvlText w:val="%5"/>
      <w:lvlJc w:val="left"/>
      <w:pPr>
        <w:ind w:left="43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1B6F75E">
      <w:start w:val="1"/>
      <w:numFmt w:val="lowerRoman"/>
      <w:lvlText w:val="%6"/>
      <w:lvlJc w:val="left"/>
      <w:pPr>
        <w:ind w:left="50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FD6FB1A">
      <w:start w:val="1"/>
      <w:numFmt w:val="decimal"/>
      <w:lvlText w:val="%7"/>
      <w:lvlJc w:val="left"/>
      <w:pPr>
        <w:ind w:left="57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B56822C">
      <w:start w:val="1"/>
      <w:numFmt w:val="lowerLetter"/>
      <w:lvlText w:val="%8"/>
      <w:lvlJc w:val="left"/>
      <w:pPr>
        <w:ind w:left="64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5CCE0B2">
      <w:start w:val="1"/>
      <w:numFmt w:val="lowerRoman"/>
      <w:lvlText w:val="%9"/>
      <w:lvlJc w:val="left"/>
      <w:pPr>
        <w:ind w:left="72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57" w15:restartNumberingAfterBreak="0">
    <w:nsid w:val="66F93C75"/>
    <w:multiLevelType w:val="hybridMultilevel"/>
    <w:tmpl w:val="4300C2F0"/>
    <w:lvl w:ilvl="0" w:tplc="F036E83E">
      <w:start w:val="1"/>
      <w:numFmt w:val="decimal"/>
      <w:lvlText w:val="%1."/>
      <w:lvlJc w:val="left"/>
      <w:pPr>
        <w:ind w:left="16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74CA36A">
      <w:start w:val="1"/>
      <w:numFmt w:val="lowerLetter"/>
      <w:lvlText w:val="%2"/>
      <w:lvlJc w:val="left"/>
      <w:pPr>
        <w:ind w:left="23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C1E674C">
      <w:start w:val="1"/>
      <w:numFmt w:val="lowerRoman"/>
      <w:lvlText w:val="%3"/>
      <w:lvlJc w:val="left"/>
      <w:pPr>
        <w:ind w:left="30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1CAA1F0">
      <w:start w:val="1"/>
      <w:numFmt w:val="decimal"/>
      <w:lvlText w:val="%4"/>
      <w:lvlJc w:val="left"/>
      <w:pPr>
        <w:ind w:left="379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5A8EBFE">
      <w:start w:val="1"/>
      <w:numFmt w:val="lowerLetter"/>
      <w:lvlText w:val="%5"/>
      <w:lvlJc w:val="left"/>
      <w:pPr>
        <w:ind w:left="451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274D460">
      <w:start w:val="1"/>
      <w:numFmt w:val="lowerRoman"/>
      <w:lvlText w:val="%6"/>
      <w:lvlJc w:val="left"/>
      <w:pPr>
        <w:ind w:left="52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DDA7828">
      <w:start w:val="1"/>
      <w:numFmt w:val="decimal"/>
      <w:lvlText w:val="%7"/>
      <w:lvlJc w:val="left"/>
      <w:pPr>
        <w:ind w:left="59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53A8EBA">
      <w:start w:val="1"/>
      <w:numFmt w:val="lowerLetter"/>
      <w:lvlText w:val="%8"/>
      <w:lvlJc w:val="left"/>
      <w:pPr>
        <w:ind w:left="66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9AC0148">
      <w:start w:val="1"/>
      <w:numFmt w:val="lowerRoman"/>
      <w:lvlText w:val="%9"/>
      <w:lvlJc w:val="left"/>
      <w:pPr>
        <w:ind w:left="739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8" w15:restartNumberingAfterBreak="0">
    <w:nsid w:val="678F3151"/>
    <w:multiLevelType w:val="hybridMultilevel"/>
    <w:tmpl w:val="62A6FA2A"/>
    <w:lvl w:ilvl="0" w:tplc="BF86EBC0">
      <w:start w:val="3"/>
      <w:numFmt w:val="decimal"/>
      <w:lvlText w:val="%1."/>
      <w:lvlJc w:val="left"/>
      <w:pPr>
        <w:ind w:left="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608F788">
      <w:start w:val="1"/>
      <w:numFmt w:val="lowerLetter"/>
      <w:lvlText w:val="%2"/>
      <w:lvlJc w:val="left"/>
      <w:pPr>
        <w:ind w:left="16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81A7DD2">
      <w:start w:val="1"/>
      <w:numFmt w:val="lowerRoman"/>
      <w:lvlText w:val="%3"/>
      <w:lvlJc w:val="left"/>
      <w:pPr>
        <w:ind w:left="23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3AC1CA8">
      <w:start w:val="1"/>
      <w:numFmt w:val="decimal"/>
      <w:lvlText w:val="%4"/>
      <w:lvlJc w:val="left"/>
      <w:pPr>
        <w:ind w:left="30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46A1138">
      <w:start w:val="1"/>
      <w:numFmt w:val="lowerLetter"/>
      <w:lvlText w:val="%5"/>
      <w:lvlJc w:val="left"/>
      <w:pPr>
        <w:ind w:left="38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67ED0EA">
      <w:start w:val="1"/>
      <w:numFmt w:val="lowerRoman"/>
      <w:lvlText w:val="%6"/>
      <w:lvlJc w:val="left"/>
      <w:pPr>
        <w:ind w:left="45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6B2DC02">
      <w:start w:val="1"/>
      <w:numFmt w:val="decimal"/>
      <w:lvlText w:val="%7"/>
      <w:lvlJc w:val="left"/>
      <w:pPr>
        <w:ind w:left="52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F4C3986">
      <w:start w:val="1"/>
      <w:numFmt w:val="lowerLetter"/>
      <w:lvlText w:val="%8"/>
      <w:lvlJc w:val="left"/>
      <w:pPr>
        <w:ind w:left="59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BE8BC78">
      <w:start w:val="1"/>
      <w:numFmt w:val="lowerRoman"/>
      <w:lvlText w:val="%9"/>
      <w:lvlJc w:val="left"/>
      <w:pPr>
        <w:ind w:left="66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9" w15:restartNumberingAfterBreak="0">
    <w:nsid w:val="6A1D2945"/>
    <w:multiLevelType w:val="hybridMultilevel"/>
    <w:tmpl w:val="E844FE74"/>
    <w:lvl w:ilvl="0" w:tplc="5B202FF0">
      <w:start w:val="1"/>
      <w:numFmt w:val="decimal"/>
      <w:lvlText w:val="[%1]"/>
      <w:lvlJc w:val="left"/>
      <w:pPr>
        <w:ind w:left="95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837A7552">
      <w:start w:val="1"/>
      <w:numFmt w:val="lowerLetter"/>
      <w:lvlText w:val="%2"/>
      <w:lvlJc w:val="left"/>
      <w:pPr>
        <w:ind w:left="172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4F34DB02">
      <w:start w:val="1"/>
      <w:numFmt w:val="lowerRoman"/>
      <w:lvlText w:val="%3"/>
      <w:lvlJc w:val="left"/>
      <w:pPr>
        <w:ind w:left="244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706C57A4">
      <w:start w:val="1"/>
      <w:numFmt w:val="decimal"/>
      <w:lvlText w:val="%4"/>
      <w:lvlJc w:val="left"/>
      <w:pPr>
        <w:ind w:left="316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8306F8EE">
      <w:start w:val="1"/>
      <w:numFmt w:val="lowerLetter"/>
      <w:lvlText w:val="%5"/>
      <w:lvlJc w:val="left"/>
      <w:pPr>
        <w:ind w:left="388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645CAEC8">
      <w:start w:val="1"/>
      <w:numFmt w:val="lowerRoman"/>
      <w:lvlText w:val="%6"/>
      <w:lvlJc w:val="left"/>
      <w:pPr>
        <w:ind w:left="460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BD18D994">
      <w:start w:val="1"/>
      <w:numFmt w:val="decimal"/>
      <w:lvlText w:val="%7"/>
      <w:lvlJc w:val="left"/>
      <w:pPr>
        <w:ind w:left="532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95AA1596">
      <w:start w:val="1"/>
      <w:numFmt w:val="lowerLetter"/>
      <w:lvlText w:val="%8"/>
      <w:lvlJc w:val="left"/>
      <w:pPr>
        <w:ind w:left="604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A3A2E89C">
      <w:start w:val="1"/>
      <w:numFmt w:val="lowerRoman"/>
      <w:lvlText w:val="%9"/>
      <w:lvlJc w:val="left"/>
      <w:pPr>
        <w:ind w:left="676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60" w15:restartNumberingAfterBreak="0">
    <w:nsid w:val="6A4107CD"/>
    <w:multiLevelType w:val="hybridMultilevel"/>
    <w:tmpl w:val="C9BEFD1A"/>
    <w:lvl w:ilvl="0" w:tplc="6C660836">
      <w:start w:val="1"/>
      <w:numFmt w:val="bullet"/>
      <w:lvlText w:val="-"/>
      <w:lvlJc w:val="left"/>
      <w:pPr>
        <w:ind w:left="7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D4ABEEA">
      <w:start w:val="1"/>
      <w:numFmt w:val="bullet"/>
      <w:lvlText w:val="o"/>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216BEAA">
      <w:start w:val="1"/>
      <w:numFmt w:val="bullet"/>
      <w:lvlText w:val="▪"/>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BBC7844">
      <w:start w:val="1"/>
      <w:numFmt w:val="bullet"/>
      <w:lvlText w:val="•"/>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1E081A2">
      <w:start w:val="1"/>
      <w:numFmt w:val="bullet"/>
      <w:lvlText w:val="o"/>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96043DA">
      <w:start w:val="1"/>
      <w:numFmt w:val="bullet"/>
      <w:lvlText w:val="▪"/>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DBA6040">
      <w:start w:val="1"/>
      <w:numFmt w:val="bullet"/>
      <w:lvlText w:val="•"/>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6B2BBEC">
      <w:start w:val="1"/>
      <w:numFmt w:val="bullet"/>
      <w:lvlText w:val="o"/>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21280E6">
      <w:start w:val="1"/>
      <w:numFmt w:val="bullet"/>
      <w:lvlText w:val="▪"/>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61" w15:restartNumberingAfterBreak="0">
    <w:nsid w:val="6ACB3ACA"/>
    <w:multiLevelType w:val="hybridMultilevel"/>
    <w:tmpl w:val="3384B94E"/>
    <w:lvl w:ilvl="0" w:tplc="5C12BA74">
      <w:start w:val="1"/>
      <w:numFmt w:val="decimal"/>
      <w:lvlText w:val="%1."/>
      <w:lvlJc w:val="left"/>
      <w:pPr>
        <w:ind w:left="5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04CA8E8">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CE687B0">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7ECF12C">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E56BC98">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882C62A">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2BA9E4C">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770348A">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30C3A74">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2" w15:restartNumberingAfterBreak="0">
    <w:nsid w:val="6ACC70FE"/>
    <w:multiLevelType w:val="hybridMultilevel"/>
    <w:tmpl w:val="3586D37A"/>
    <w:lvl w:ilvl="0" w:tplc="8BF0ED50">
      <w:start w:val="7"/>
      <w:numFmt w:val="decimal"/>
      <w:lvlText w:val="[%1]"/>
      <w:lvlJc w:val="left"/>
      <w:pPr>
        <w:ind w:left="2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D2CDE70">
      <w:start w:val="1"/>
      <w:numFmt w:val="lowerLetter"/>
      <w:lvlText w:val="%2"/>
      <w:lvlJc w:val="left"/>
      <w:pPr>
        <w:ind w:left="17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6025C42">
      <w:start w:val="1"/>
      <w:numFmt w:val="lowerRoman"/>
      <w:lvlText w:val="%3"/>
      <w:lvlJc w:val="left"/>
      <w:pPr>
        <w:ind w:left="2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D8C4198">
      <w:start w:val="1"/>
      <w:numFmt w:val="decimal"/>
      <w:lvlText w:val="%4"/>
      <w:lvlJc w:val="left"/>
      <w:pPr>
        <w:ind w:left="3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13C0B50">
      <w:start w:val="1"/>
      <w:numFmt w:val="lowerLetter"/>
      <w:lvlText w:val="%5"/>
      <w:lvlJc w:val="left"/>
      <w:pPr>
        <w:ind w:left="3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7D4BF2A">
      <w:start w:val="1"/>
      <w:numFmt w:val="lowerRoman"/>
      <w:lvlText w:val="%6"/>
      <w:lvlJc w:val="left"/>
      <w:pPr>
        <w:ind w:left="4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42A20CC">
      <w:start w:val="1"/>
      <w:numFmt w:val="decimal"/>
      <w:lvlText w:val="%7"/>
      <w:lvlJc w:val="left"/>
      <w:pPr>
        <w:ind w:left="5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D3E6BEC">
      <w:start w:val="1"/>
      <w:numFmt w:val="lowerLetter"/>
      <w:lvlText w:val="%8"/>
      <w:lvlJc w:val="left"/>
      <w:pPr>
        <w:ind w:left="6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6FC83B4">
      <w:start w:val="1"/>
      <w:numFmt w:val="lowerRoman"/>
      <w:lvlText w:val="%9"/>
      <w:lvlJc w:val="left"/>
      <w:pPr>
        <w:ind w:left="6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3" w15:restartNumberingAfterBreak="0">
    <w:nsid w:val="6AEC3A4F"/>
    <w:multiLevelType w:val="hybridMultilevel"/>
    <w:tmpl w:val="3800ABBA"/>
    <w:lvl w:ilvl="0" w:tplc="A53ED014">
      <w:start w:val="9"/>
      <w:numFmt w:val="decimal"/>
      <w:lvlText w:val="[%1]"/>
      <w:lvlJc w:val="left"/>
      <w:pPr>
        <w:ind w:left="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83A04E8">
      <w:start w:val="1"/>
      <w:numFmt w:val="lowerLetter"/>
      <w:lvlText w:val="%2"/>
      <w:lvlJc w:val="left"/>
      <w:pPr>
        <w:ind w:left="17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82A4A2E">
      <w:start w:val="1"/>
      <w:numFmt w:val="lowerRoman"/>
      <w:lvlText w:val="%3"/>
      <w:lvlJc w:val="left"/>
      <w:pPr>
        <w:ind w:left="2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B862384">
      <w:start w:val="1"/>
      <w:numFmt w:val="decimal"/>
      <w:lvlText w:val="%4"/>
      <w:lvlJc w:val="left"/>
      <w:pPr>
        <w:ind w:left="3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57A0A34">
      <w:start w:val="1"/>
      <w:numFmt w:val="lowerLetter"/>
      <w:lvlText w:val="%5"/>
      <w:lvlJc w:val="left"/>
      <w:pPr>
        <w:ind w:left="3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ABCF7A0">
      <w:start w:val="1"/>
      <w:numFmt w:val="lowerRoman"/>
      <w:lvlText w:val="%6"/>
      <w:lvlJc w:val="left"/>
      <w:pPr>
        <w:ind w:left="4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D4C2FAA">
      <w:start w:val="1"/>
      <w:numFmt w:val="decimal"/>
      <w:lvlText w:val="%7"/>
      <w:lvlJc w:val="left"/>
      <w:pPr>
        <w:ind w:left="5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60E26B6">
      <w:start w:val="1"/>
      <w:numFmt w:val="lowerLetter"/>
      <w:lvlText w:val="%8"/>
      <w:lvlJc w:val="left"/>
      <w:pPr>
        <w:ind w:left="6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4EE54BE">
      <w:start w:val="1"/>
      <w:numFmt w:val="lowerRoman"/>
      <w:lvlText w:val="%9"/>
      <w:lvlJc w:val="left"/>
      <w:pPr>
        <w:ind w:left="6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4" w15:restartNumberingAfterBreak="0">
    <w:nsid w:val="6BF03337"/>
    <w:multiLevelType w:val="hybridMultilevel"/>
    <w:tmpl w:val="266426D0"/>
    <w:lvl w:ilvl="0" w:tplc="4F54A2F2">
      <w:start w:val="1"/>
      <w:numFmt w:val="decimal"/>
      <w:lvlText w:val="[%1]"/>
      <w:lvlJc w:val="left"/>
      <w:pPr>
        <w:ind w:left="7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5EACC30">
      <w:start w:val="1"/>
      <w:numFmt w:val="lowerLetter"/>
      <w:lvlText w:val="%2"/>
      <w:lvlJc w:val="left"/>
      <w:pPr>
        <w:ind w:left="18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40ED2B2">
      <w:start w:val="1"/>
      <w:numFmt w:val="lowerRoman"/>
      <w:lvlText w:val="%3"/>
      <w:lvlJc w:val="left"/>
      <w:pPr>
        <w:ind w:left="25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40CEADC">
      <w:start w:val="1"/>
      <w:numFmt w:val="decimal"/>
      <w:lvlText w:val="%4"/>
      <w:lvlJc w:val="left"/>
      <w:pPr>
        <w:ind w:left="32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A42D6BE">
      <w:start w:val="1"/>
      <w:numFmt w:val="lowerLetter"/>
      <w:lvlText w:val="%5"/>
      <w:lvlJc w:val="left"/>
      <w:pPr>
        <w:ind w:left="39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152D40E">
      <w:start w:val="1"/>
      <w:numFmt w:val="lowerRoman"/>
      <w:lvlText w:val="%6"/>
      <w:lvlJc w:val="left"/>
      <w:pPr>
        <w:ind w:left="46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2066ED0">
      <w:start w:val="1"/>
      <w:numFmt w:val="decimal"/>
      <w:lvlText w:val="%7"/>
      <w:lvlJc w:val="left"/>
      <w:pPr>
        <w:ind w:left="5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4F6181A">
      <w:start w:val="1"/>
      <w:numFmt w:val="lowerLetter"/>
      <w:lvlText w:val="%8"/>
      <w:lvlJc w:val="left"/>
      <w:pPr>
        <w:ind w:left="61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CECD5E8">
      <w:start w:val="1"/>
      <w:numFmt w:val="lowerRoman"/>
      <w:lvlText w:val="%9"/>
      <w:lvlJc w:val="left"/>
      <w:pPr>
        <w:ind w:left="68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5" w15:restartNumberingAfterBreak="0">
    <w:nsid w:val="6C2B7DFD"/>
    <w:multiLevelType w:val="hybridMultilevel"/>
    <w:tmpl w:val="6D84D880"/>
    <w:lvl w:ilvl="0" w:tplc="28B86330">
      <w:start w:val="1"/>
      <w:numFmt w:val="decimal"/>
      <w:lvlText w:val="[%1]"/>
      <w:lvlJc w:val="left"/>
      <w:pPr>
        <w:ind w:left="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17E4B5E">
      <w:start w:val="1"/>
      <w:numFmt w:val="lowerLetter"/>
      <w:lvlText w:val="%2"/>
      <w:lvlJc w:val="left"/>
      <w:pPr>
        <w:ind w:left="17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01C82C2">
      <w:start w:val="1"/>
      <w:numFmt w:val="lowerRoman"/>
      <w:lvlText w:val="%3"/>
      <w:lvlJc w:val="left"/>
      <w:pPr>
        <w:ind w:left="2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B84E52C">
      <w:start w:val="1"/>
      <w:numFmt w:val="decimal"/>
      <w:lvlText w:val="%4"/>
      <w:lvlJc w:val="left"/>
      <w:pPr>
        <w:ind w:left="3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A58E418">
      <w:start w:val="1"/>
      <w:numFmt w:val="lowerLetter"/>
      <w:lvlText w:val="%5"/>
      <w:lvlJc w:val="left"/>
      <w:pPr>
        <w:ind w:left="3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056985C">
      <w:start w:val="1"/>
      <w:numFmt w:val="lowerRoman"/>
      <w:lvlText w:val="%6"/>
      <w:lvlJc w:val="left"/>
      <w:pPr>
        <w:ind w:left="4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200C286">
      <w:start w:val="1"/>
      <w:numFmt w:val="decimal"/>
      <w:lvlText w:val="%7"/>
      <w:lvlJc w:val="left"/>
      <w:pPr>
        <w:ind w:left="5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F385562">
      <w:start w:val="1"/>
      <w:numFmt w:val="lowerLetter"/>
      <w:lvlText w:val="%8"/>
      <w:lvlJc w:val="left"/>
      <w:pPr>
        <w:ind w:left="6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3AA7466">
      <w:start w:val="1"/>
      <w:numFmt w:val="lowerRoman"/>
      <w:lvlText w:val="%9"/>
      <w:lvlJc w:val="left"/>
      <w:pPr>
        <w:ind w:left="6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6" w15:restartNumberingAfterBreak="0">
    <w:nsid w:val="6C5B1AF8"/>
    <w:multiLevelType w:val="hybridMultilevel"/>
    <w:tmpl w:val="964A18E2"/>
    <w:lvl w:ilvl="0" w:tplc="E07C9530">
      <w:start w:val="1"/>
      <w:numFmt w:val="decimal"/>
      <w:lvlText w:val="%1."/>
      <w:lvlJc w:val="left"/>
      <w:pPr>
        <w:ind w:left="2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56A0470">
      <w:start w:val="1"/>
      <w:numFmt w:val="lowerLetter"/>
      <w:lvlText w:val="%2"/>
      <w:lvlJc w:val="left"/>
      <w:pPr>
        <w:ind w:left="17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1E664B0">
      <w:start w:val="1"/>
      <w:numFmt w:val="lowerRoman"/>
      <w:lvlText w:val="%3"/>
      <w:lvlJc w:val="left"/>
      <w:pPr>
        <w:ind w:left="2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E326110">
      <w:start w:val="1"/>
      <w:numFmt w:val="decimal"/>
      <w:lvlText w:val="%4"/>
      <w:lvlJc w:val="left"/>
      <w:pPr>
        <w:ind w:left="3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13802D0">
      <w:start w:val="1"/>
      <w:numFmt w:val="lowerLetter"/>
      <w:lvlText w:val="%5"/>
      <w:lvlJc w:val="left"/>
      <w:pPr>
        <w:ind w:left="3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ABEA3EA">
      <w:start w:val="1"/>
      <w:numFmt w:val="lowerRoman"/>
      <w:lvlText w:val="%6"/>
      <w:lvlJc w:val="left"/>
      <w:pPr>
        <w:ind w:left="4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20A58FC">
      <w:start w:val="1"/>
      <w:numFmt w:val="decimal"/>
      <w:lvlText w:val="%7"/>
      <w:lvlJc w:val="left"/>
      <w:pPr>
        <w:ind w:left="5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2342D42">
      <w:start w:val="1"/>
      <w:numFmt w:val="lowerLetter"/>
      <w:lvlText w:val="%8"/>
      <w:lvlJc w:val="left"/>
      <w:pPr>
        <w:ind w:left="6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9001E06">
      <w:start w:val="1"/>
      <w:numFmt w:val="lowerRoman"/>
      <w:lvlText w:val="%9"/>
      <w:lvlJc w:val="left"/>
      <w:pPr>
        <w:ind w:left="6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7" w15:restartNumberingAfterBreak="0">
    <w:nsid w:val="6DFA5561"/>
    <w:multiLevelType w:val="hybridMultilevel"/>
    <w:tmpl w:val="44D28A6C"/>
    <w:lvl w:ilvl="0" w:tplc="F40C2FF4">
      <w:start w:val="1"/>
      <w:numFmt w:val="decimal"/>
      <w:lvlText w:val="[%1]"/>
      <w:lvlJc w:val="left"/>
      <w:pPr>
        <w:ind w:left="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9EA4A3C">
      <w:start w:val="1"/>
      <w:numFmt w:val="lowerLetter"/>
      <w:lvlText w:val="%2"/>
      <w:lvlJc w:val="left"/>
      <w:pPr>
        <w:ind w:left="17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76AA878">
      <w:start w:val="1"/>
      <w:numFmt w:val="lowerRoman"/>
      <w:lvlText w:val="%3"/>
      <w:lvlJc w:val="left"/>
      <w:pPr>
        <w:ind w:left="2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C92354C">
      <w:start w:val="1"/>
      <w:numFmt w:val="decimal"/>
      <w:lvlText w:val="%4"/>
      <w:lvlJc w:val="left"/>
      <w:pPr>
        <w:ind w:left="3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58013F2">
      <w:start w:val="1"/>
      <w:numFmt w:val="lowerLetter"/>
      <w:lvlText w:val="%5"/>
      <w:lvlJc w:val="left"/>
      <w:pPr>
        <w:ind w:left="3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800AE60">
      <w:start w:val="1"/>
      <w:numFmt w:val="lowerRoman"/>
      <w:lvlText w:val="%6"/>
      <w:lvlJc w:val="left"/>
      <w:pPr>
        <w:ind w:left="4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A8EDE4C">
      <w:start w:val="1"/>
      <w:numFmt w:val="decimal"/>
      <w:lvlText w:val="%7"/>
      <w:lvlJc w:val="left"/>
      <w:pPr>
        <w:ind w:left="5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0CEC20E">
      <w:start w:val="1"/>
      <w:numFmt w:val="lowerLetter"/>
      <w:lvlText w:val="%8"/>
      <w:lvlJc w:val="left"/>
      <w:pPr>
        <w:ind w:left="6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A9A7DA0">
      <w:start w:val="1"/>
      <w:numFmt w:val="lowerRoman"/>
      <w:lvlText w:val="%9"/>
      <w:lvlJc w:val="left"/>
      <w:pPr>
        <w:ind w:left="6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8" w15:restartNumberingAfterBreak="0">
    <w:nsid w:val="70B63E16"/>
    <w:multiLevelType w:val="hybridMultilevel"/>
    <w:tmpl w:val="38B8652E"/>
    <w:lvl w:ilvl="0" w:tplc="F9921B3E">
      <w:start w:val="1"/>
      <w:numFmt w:val="decimal"/>
      <w:lvlText w:val="%1."/>
      <w:lvlJc w:val="left"/>
      <w:pPr>
        <w:ind w:left="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52695FA">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F46E544">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78C7C96">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2B22F6C">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52C4CBE">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CE26552">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F927934">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1B27192">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69" w15:restartNumberingAfterBreak="0">
    <w:nsid w:val="72335027"/>
    <w:multiLevelType w:val="hybridMultilevel"/>
    <w:tmpl w:val="7B24B64C"/>
    <w:lvl w:ilvl="0" w:tplc="F236A104">
      <w:start w:val="1"/>
      <w:numFmt w:val="bullet"/>
      <w:lvlText w:val="-"/>
      <w:lvlJc w:val="left"/>
      <w:pPr>
        <w:ind w:left="24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ABC41E42">
      <w:start w:val="1"/>
      <w:numFmt w:val="bullet"/>
      <w:lvlText w:val="o"/>
      <w:lvlJc w:val="left"/>
      <w:pPr>
        <w:ind w:left="149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2850D8A2">
      <w:start w:val="1"/>
      <w:numFmt w:val="bullet"/>
      <w:lvlText w:val="▪"/>
      <w:lvlJc w:val="left"/>
      <w:pPr>
        <w:ind w:left="221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80E0B1CA">
      <w:start w:val="1"/>
      <w:numFmt w:val="bullet"/>
      <w:lvlText w:val="•"/>
      <w:lvlJc w:val="left"/>
      <w:pPr>
        <w:ind w:left="293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205CB5E8">
      <w:start w:val="1"/>
      <w:numFmt w:val="bullet"/>
      <w:lvlText w:val="o"/>
      <w:lvlJc w:val="left"/>
      <w:pPr>
        <w:ind w:left="365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F412E1DE">
      <w:start w:val="1"/>
      <w:numFmt w:val="bullet"/>
      <w:lvlText w:val="▪"/>
      <w:lvlJc w:val="left"/>
      <w:pPr>
        <w:ind w:left="437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9788C504">
      <w:start w:val="1"/>
      <w:numFmt w:val="bullet"/>
      <w:lvlText w:val="•"/>
      <w:lvlJc w:val="left"/>
      <w:pPr>
        <w:ind w:left="509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B172E992">
      <w:start w:val="1"/>
      <w:numFmt w:val="bullet"/>
      <w:lvlText w:val="o"/>
      <w:lvlJc w:val="left"/>
      <w:pPr>
        <w:ind w:left="581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05B44DB6">
      <w:start w:val="1"/>
      <w:numFmt w:val="bullet"/>
      <w:lvlText w:val="▪"/>
      <w:lvlJc w:val="left"/>
      <w:pPr>
        <w:ind w:left="653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70" w15:restartNumberingAfterBreak="0">
    <w:nsid w:val="72EC08BF"/>
    <w:multiLevelType w:val="hybridMultilevel"/>
    <w:tmpl w:val="8C564498"/>
    <w:lvl w:ilvl="0" w:tplc="F66C57EA">
      <w:start w:val="1"/>
      <w:numFmt w:val="decimal"/>
      <w:lvlText w:val="%1)"/>
      <w:lvlJc w:val="left"/>
      <w:pPr>
        <w:ind w:left="2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90EF638">
      <w:start w:val="1"/>
      <w:numFmt w:val="lowerLetter"/>
      <w:lvlText w:val="%2"/>
      <w:lvlJc w:val="left"/>
      <w:pPr>
        <w:ind w:left="1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4605668">
      <w:start w:val="1"/>
      <w:numFmt w:val="lowerRoman"/>
      <w:lvlText w:val="%3"/>
      <w:lvlJc w:val="left"/>
      <w:pPr>
        <w:ind w:left="2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5F81818">
      <w:start w:val="1"/>
      <w:numFmt w:val="decimal"/>
      <w:lvlText w:val="%4"/>
      <w:lvlJc w:val="left"/>
      <w:pPr>
        <w:ind w:left="2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EE849E0">
      <w:start w:val="1"/>
      <w:numFmt w:val="lowerLetter"/>
      <w:lvlText w:val="%5"/>
      <w:lvlJc w:val="left"/>
      <w:pPr>
        <w:ind w:left="36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5B4D696">
      <w:start w:val="1"/>
      <w:numFmt w:val="lowerRoman"/>
      <w:lvlText w:val="%6"/>
      <w:lvlJc w:val="left"/>
      <w:pPr>
        <w:ind w:left="4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5B0A850">
      <w:start w:val="1"/>
      <w:numFmt w:val="decimal"/>
      <w:lvlText w:val="%7"/>
      <w:lvlJc w:val="left"/>
      <w:pPr>
        <w:ind w:left="5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936068C">
      <w:start w:val="1"/>
      <w:numFmt w:val="lowerLetter"/>
      <w:lvlText w:val="%8"/>
      <w:lvlJc w:val="left"/>
      <w:pPr>
        <w:ind w:left="58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A4C945A">
      <w:start w:val="1"/>
      <w:numFmt w:val="lowerRoman"/>
      <w:lvlText w:val="%9"/>
      <w:lvlJc w:val="left"/>
      <w:pPr>
        <w:ind w:left="65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1" w15:restartNumberingAfterBreak="0">
    <w:nsid w:val="72FE3FBB"/>
    <w:multiLevelType w:val="hybridMultilevel"/>
    <w:tmpl w:val="5BB6CA70"/>
    <w:lvl w:ilvl="0" w:tplc="C07024FA">
      <w:start w:val="1"/>
      <w:numFmt w:val="decimal"/>
      <w:lvlText w:val="[%1]"/>
      <w:lvlJc w:val="left"/>
      <w:pPr>
        <w:ind w:left="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6E0AC22">
      <w:start w:val="1"/>
      <w:numFmt w:val="lowerLetter"/>
      <w:lvlText w:val="%2"/>
      <w:lvlJc w:val="left"/>
      <w:pPr>
        <w:ind w:left="1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2C8AFEC">
      <w:start w:val="1"/>
      <w:numFmt w:val="lowerRoman"/>
      <w:lvlText w:val="%3"/>
      <w:lvlJc w:val="left"/>
      <w:pPr>
        <w:ind w:left="2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D588210">
      <w:start w:val="1"/>
      <w:numFmt w:val="decimal"/>
      <w:lvlText w:val="%4"/>
      <w:lvlJc w:val="left"/>
      <w:pPr>
        <w:ind w:left="2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402969C">
      <w:start w:val="1"/>
      <w:numFmt w:val="lowerLetter"/>
      <w:lvlText w:val="%5"/>
      <w:lvlJc w:val="left"/>
      <w:pPr>
        <w:ind w:left="36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D06E0A4">
      <w:start w:val="1"/>
      <w:numFmt w:val="lowerRoman"/>
      <w:lvlText w:val="%6"/>
      <w:lvlJc w:val="left"/>
      <w:pPr>
        <w:ind w:left="4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9CADCC6">
      <w:start w:val="1"/>
      <w:numFmt w:val="decimal"/>
      <w:lvlText w:val="%7"/>
      <w:lvlJc w:val="left"/>
      <w:pPr>
        <w:ind w:left="5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9BC0034">
      <w:start w:val="1"/>
      <w:numFmt w:val="lowerLetter"/>
      <w:lvlText w:val="%8"/>
      <w:lvlJc w:val="left"/>
      <w:pPr>
        <w:ind w:left="58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2620D14">
      <w:start w:val="1"/>
      <w:numFmt w:val="lowerRoman"/>
      <w:lvlText w:val="%9"/>
      <w:lvlJc w:val="left"/>
      <w:pPr>
        <w:ind w:left="65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2" w15:restartNumberingAfterBreak="0">
    <w:nsid w:val="736710A5"/>
    <w:multiLevelType w:val="hybridMultilevel"/>
    <w:tmpl w:val="84FAEEB0"/>
    <w:lvl w:ilvl="0" w:tplc="88882FD6">
      <w:start w:val="1"/>
      <w:numFmt w:val="bullet"/>
      <w:lvlText w:val="-"/>
      <w:lvlJc w:val="left"/>
      <w:pPr>
        <w:ind w:left="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122B02C">
      <w:start w:val="1"/>
      <w:numFmt w:val="bullet"/>
      <w:lvlText w:val="o"/>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FF812B0">
      <w:start w:val="1"/>
      <w:numFmt w:val="bullet"/>
      <w:lvlText w:val="▪"/>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EEE7A0C">
      <w:start w:val="1"/>
      <w:numFmt w:val="bullet"/>
      <w:lvlText w:val="•"/>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B3CFF7A">
      <w:start w:val="1"/>
      <w:numFmt w:val="bullet"/>
      <w:lvlText w:val="o"/>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C6C4384">
      <w:start w:val="1"/>
      <w:numFmt w:val="bullet"/>
      <w:lvlText w:val="▪"/>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B0EE88C">
      <w:start w:val="1"/>
      <w:numFmt w:val="bullet"/>
      <w:lvlText w:val="•"/>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73A5E82">
      <w:start w:val="1"/>
      <w:numFmt w:val="bullet"/>
      <w:lvlText w:val="o"/>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19E49F2">
      <w:start w:val="1"/>
      <w:numFmt w:val="bullet"/>
      <w:lvlText w:val="▪"/>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73" w15:restartNumberingAfterBreak="0">
    <w:nsid w:val="74AF2278"/>
    <w:multiLevelType w:val="hybridMultilevel"/>
    <w:tmpl w:val="20A608F4"/>
    <w:lvl w:ilvl="0" w:tplc="BCD8449C">
      <w:start w:val="1"/>
      <w:numFmt w:val="bullet"/>
      <w:lvlText w:val="-"/>
      <w:lvlJc w:val="left"/>
      <w:pPr>
        <w:ind w:left="1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2F2E376">
      <w:start w:val="1"/>
      <w:numFmt w:val="bullet"/>
      <w:lvlText w:val="o"/>
      <w:lvlJc w:val="left"/>
      <w:pPr>
        <w:ind w:left="17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CD0C7A8">
      <w:start w:val="1"/>
      <w:numFmt w:val="bullet"/>
      <w:lvlText w:val="▪"/>
      <w:lvlJc w:val="left"/>
      <w:pPr>
        <w:ind w:left="25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810B8B4">
      <w:start w:val="1"/>
      <w:numFmt w:val="bullet"/>
      <w:lvlText w:val="•"/>
      <w:lvlJc w:val="left"/>
      <w:pPr>
        <w:ind w:left="32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D46C040">
      <w:start w:val="1"/>
      <w:numFmt w:val="bullet"/>
      <w:lvlText w:val="o"/>
      <w:lvlJc w:val="left"/>
      <w:pPr>
        <w:ind w:left="39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CD0B8E6">
      <w:start w:val="1"/>
      <w:numFmt w:val="bullet"/>
      <w:lvlText w:val="▪"/>
      <w:lvlJc w:val="left"/>
      <w:pPr>
        <w:ind w:left="46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3CA777E">
      <w:start w:val="1"/>
      <w:numFmt w:val="bullet"/>
      <w:lvlText w:val="•"/>
      <w:lvlJc w:val="left"/>
      <w:pPr>
        <w:ind w:left="53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452B2C4">
      <w:start w:val="1"/>
      <w:numFmt w:val="bullet"/>
      <w:lvlText w:val="o"/>
      <w:lvlJc w:val="left"/>
      <w:pPr>
        <w:ind w:left="61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8A21F78">
      <w:start w:val="1"/>
      <w:numFmt w:val="bullet"/>
      <w:lvlText w:val="▪"/>
      <w:lvlJc w:val="left"/>
      <w:pPr>
        <w:ind w:left="68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74" w15:restartNumberingAfterBreak="0">
    <w:nsid w:val="74DE2D2B"/>
    <w:multiLevelType w:val="hybridMultilevel"/>
    <w:tmpl w:val="07D86942"/>
    <w:lvl w:ilvl="0" w:tplc="80165D32">
      <w:start w:val="1"/>
      <w:numFmt w:val="lowerLetter"/>
      <w:lvlText w:val="%1)"/>
      <w:lvlJc w:val="left"/>
      <w:pPr>
        <w:ind w:left="103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17CCD56">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4884570">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8F04040">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EA27AFE">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BAAADCE">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09477A0">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6C2A690">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B76F9E0">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75" w15:restartNumberingAfterBreak="0">
    <w:nsid w:val="75E94296"/>
    <w:multiLevelType w:val="hybridMultilevel"/>
    <w:tmpl w:val="56708C0A"/>
    <w:lvl w:ilvl="0" w:tplc="C3D8C108">
      <w:start w:val="1"/>
      <w:numFmt w:val="decimal"/>
      <w:lvlText w:val="[%1]"/>
      <w:lvlJc w:val="left"/>
      <w:pPr>
        <w:ind w:left="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1E45930">
      <w:start w:val="1"/>
      <w:numFmt w:val="lowerLetter"/>
      <w:lvlText w:val="%2"/>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3F0663E">
      <w:start w:val="1"/>
      <w:numFmt w:val="lowerRoman"/>
      <w:lvlText w:val="%3"/>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3483FD8">
      <w:start w:val="1"/>
      <w:numFmt w:val="decimal"/>
      <w:lvlText w:val="%4"/>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F541B3C">
      <w:start w:val="1"/>
      <w:numFmt w:val="lowerLetter"/>
      <w:lvlText w:val="%5"/>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9DE2796">
      <w:start w:val="1"/>
      <w:numFmt w:val="lowerRoman"/>
      <w:lvlText w:val="%6"/>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D7A6890">
      <w:start w:val="1"/>
      <w:numFmt w:val="decimal"/>
      <w:lvlText w:val="%7"/>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47203FC">
      <w:start w:val="1"/>
      <w:numFmt w:val="lowerLetter"/>
      <w:lvlText w:val="%8"/>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8F2E4BC">
      <w:start w:val="1"/>
      <w:numFmt w:val="lowerRoman"/>
      <w:lvlText w:val="%9"/>
      <w:lvlJc w:val="left"/>
      <w:pPr>
        <w:ind w:left="68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6" w15:restartNumberingAfterBreak="0">
    <w:nsid w:val="765906BF"/>
    <w:multiLevelType w:val="hybridMultilevel"/>
    <w:tmpl w:val="1DDA9850"/>
    <w:lvl w:ilvl="0" w:tplc="BF3A95B0">
      <w:start w:val="1"/>
      <w:numFmt w:val="decimal"/>
      <w:lvlText w:val="[%1]"/>
      <w:lvlJc w:val="left"/>
      <w:pPr>
        <w:ind w:left="5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D149F06">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5FC5780">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872BEF0">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546D788">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474A3EA">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0742342">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6029AAA">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A5A6198">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77" w15:restartNumberingAfterBreak="0">
    <w:nsid w:val="794C23C7"/>
    <w:multiLevelType w:val="hybridMultilevel"/>
    <w:tmpl w:val="A5148DE8"/>
    <w:lvl w:ilvl="0" w:tplc="8C9A7B92">
      <w:start w:val="1"/>
      <w:numFmt w:val="bullet"/>
      <w:lvlText w:val="•"/>
      <w:lvlJc w:val="left"/>
      <w:pPr>
        <w:ind w:left="2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86ADD5E">
      <w:start w:val="1"/>
      <w:numFmt w:val="bullet"/>
      <w:lvlText w:val="o"/>
      <w:lvlJc w:val="left"/>
      <w:pPr>
        <w:ind w:left="17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7EC09F2">
      <w:start w:val="1"/>
      <w:numFmt w:val="bullet"/>
      <w:lvlText w:val="▪"/>
      <w:lvlJc w:val="left"/>
      <w:pPr>
        <w:ind w:left="2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260DB38">
      <w:start w:val="1"/>
      <w:numFmt w:val="bullet"/>
      <w:lvlText w:val="•"/>
      <w:lvlJc w:val="left"/>
      <w:pPr>
        <w:ind w:left="3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AAC0884">
      <w:start w:val="1"/>
      <w:numFmt w:val="bullet"/>
      <w:lvlText w:val="o"/>
      <w:lvlJc w:val="left"/>
      <w:pPr>
        <w:ind w:left="3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07A2E24">
      <w:start w:val="1"/>
      <w:numFmt w:val="bullet"/>
      <w:lvlText w:val="▪"/>
      <w:lvlJc w:val="left"/>
      <w:pPr>
        <w:ind w:left="4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58CA80E">
      <w:start w:val="1"/>
      <w:numFmt w:val="bullet"/>
      <w:lvlText w:val="•"/>
      <w:lvlJc w:val="left"/>
      <w:pPr>
        <w:ind w:left="5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9A01D70">
      <w:start w:val="1"/>
      <w:numFmt w:val="bullet"/>
      <w:lvlText w:val="o"/>
      <w:lvlJc w:val="left"/>
      <w:pPr>
        <w:ind w:left="6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C02F45E">
      <w:start w:val="1"/>
      <w:numFmt w:val="bullet"/>
      <w:lvlText w:val="▪"/>
      <w:lvlJc w:val="left"/>
      <w:pPr>
        <w:ind w:left="6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8" w15:restartNumberingAfterBreak="0">
    <w:nsid w:val="796A36F2"/>
    <w:multiLevelType w:val="hybridMultilevel"/>
    <w:tmpl w:val="25243D5C"/>
    <w:lvl w:ilvl="0" w:tplc="50E83F3A">
      <w:start w:val="1"/>
      <w:numFmt w:val="bullet"/>
      <w:lvlText w:val="-"/>
      <w:lvlJc w:val="left"/>
      <w:pPr>
        <w:ind w:left="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738FED2">
      <w:start w:val="1"/>
      <w:numFmt w:val="bullet"/>
      <w:lvlText w:val="o"/>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1E61842">
      <w:start w:val="1"/>
      <w:numFmt w:val="bullet"/>
      <w:lvlText w:val="▪"/>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D06D5CC">
      <w:start w:val="1"/>
      <w:numFmt w:val="bullet"/>
      <w:lvlText w:val="•"/>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9708DF0">
      <w:start w:val="1"/>
      <w:numFmt w:val="bullet"/>
      <w:lvlText w:val="o"/>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B60B722">
      <w:start w:val="1"/>
      <w:numFmt w:val="bullet"/>
      <w:lvlText w:val="▪"/>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838057C">
      <w:start w:val="1"/>
      <w:numFmt w:val="bullet"/>
      <w:lvlText w:val="•"/>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AACE8C4">
      <w:start w:val="1"/>
      <w:numFmt w:val="bullet"/>
      <w:lvlText w:val="o"/>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CDADE58">
      <w:start w:val="1"/>
      <w:numFmt w:val="bullet"/>
      <w:lvlText w:val="▪"/>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79" w15:restartNumberingAfterBreak="0">
    <w:nsid w:val="7A0F6F17"/>
    <w:multiLevelType w:val="hybridMultilevel"/>
    <w:tmpl w:val="44644546"/>
    <w:lvl w:ilvl="0" w:tplc="FF52A5DA">
      <w:start w:val="1"/>
      <w:numFmt w:val="decimal"/>
      <w:lvlText w:val="%1."/>
      <w:lvlJc w:val="left"/>
      <w:pPr>
        <w:ind w:left="28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C981D8E">
      <w:start w:val="1"/>
      <w:numFmt w:val="lowerLetter"/>
      <w:lvlText w:val="%2"/>
      <w:lvlJc w:val="left"/>
      <w:pPr>
        <w:ind w:left="17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2EED914">
      <w:start w:val="1"/>
      <w:numFmt w:val="lowerRoman"/>
      <w:lvlText w:val="%3"/>
      <w:lvlJc w:val="left"/>
      <w:pPr>
        <w:ind w:left="25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36E910C">
      <w:start w:val="1"/>
      <w:numFmt w:val="decimal"/>
      <w:lvlText w:val="%4"/>
      <w:lvlJc w:val="left"/>
      <w:pPr>
        <w:ind w:left="32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6B8BA96">
      <w:start w:val="1"/>
      <w:numFmt w:val="lowerLetter"/>
      <w:lvlText w:val="%5"/>
      <w:lvlJc w:val="left"/>
      <w:pPr>
        <w:ind w:left="39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4E692C6">
      <w:start w:val="1"/>
      <w:numFmt w:val="lowerRoman"/>
      <w:lvlText w:val="%6"/>
      <w:lvlJc w:val="left"/>
      <w:pPr>
        <w:ind w:left="46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F923B4A">
      <w:start w:val="1"/>
      <w:numFmt w:val="decimal"/>
      <w:lvlText w:val="%7"/>
      <w:lvlJc w:val="left"/>
      <w:pPr>
        <w:ind w:left="53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5406F22">
      <w:start w:val="1"/>
      <w:numFmt w:val="lowerLetter"/>
      <w:lvlText w:val="%8"/>
      <w:lvlJc w:val="left"/>
      <w:pPr>
        <w:ind w:left="61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42AFA46">
      <w:start w:val="1"/>
      <w:numFmt w:val="lowerRoman"/>
      <w:lvlText w:val="%9"/>
      <w:lvlJc w:val="left"/>
      <w:pPr>
        <w:ind w:left="68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80" w15:restartNumberingAfterBreak="0">
    <w:nsid w:val="7C6A508D"/>
    <w:multiLevelType w:val="hybridMultilevel"/>
    <w:tmpl w:val="DD1E7756"/>
    <w:lvl w:ilvl="0" w:tplc="A69C4122">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92ABD46">
      <w:start w:val="1"/>
      <w:numFmt w:val="lowerLetter"/>
      <w:lvlText w:val="%2"/>
      <w:lvlJc w:val="left"/>
      <w:pPr>
        <w:ind w:left="16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7A63B0E">
      <w:start w:val="1"/>
      <w:numFmt w:val="lowerRoman"/>
      <w:lvlText w:val="%3"/>
      <w:lvlJc w:val="left"/>
      <w:pPr>
        <w:ind w:left="23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F5ABA9A">
      <w:start w:val="1"/>
      <w:numFmt w:val="decimal"/>
      <w:lvlText w:val="%4"/>
      <w:lvlJc w:val="left"/>
      <w:pPr>
        <w:ind w:left="30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DFEF5D0">
      <w:start w:val="1"/>
      <w:numFmt w:val="lowerLetter"/>
      <w:lvlText w:val="%5"/>
      <w:lvlJc w:val="left"/>
      <w:pPr>
        <w:ind w:left="38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556DB08">
      <w:start w:val="1"/>
      <w:numFmt w:val="lowerRoman"/>
      <w:lvlText w:val="%6"/>
      <w:lvlJc w:val="left"/>
      <w:pPr>
        <w:ind w:left="45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D366E16">
      <w:start w:val="1"/>
      <w:numFmt w:val="decimal"/>
      <w:lvlText w:val="%7"/>
      <w:lvlJc w:val="left"/>
      <w:pPr>
        <w:ind w:left="52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35C6596">
      <w:start w:val="1"/>
      <w:numFmt w:val="lowerLetter"/>
      <w:lvlText w:val="%8"/>
      <w:lvlJc w:val="left"/>
      <w:pPr>
        <w:ind w:left="59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A62F95A">
      <w:start w:val="1"/>
      <w:numFmt w:val="lowerRoman"/>
      <w:lvlText w:val="%9"/>
      <w:lvlJc w:val="left"/>
      <w:pPr>
        <w:ind w:left="66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81" w15:restartNumberingAfterBreak="0">
    <w:nsid w:val="7D5D3708"/>
    <w:multiLevelType w:val="hybridMultilevel"/>
    <w:tmpl w:val="D47412C2"/>
    <w:lvl w:ilvl="0" w:tplc="DDAC9CFC">
      <w:start w:val="1"/>
      <w:numFmt w:val="decimal"/>
      <w:lvlText w:val="%1"/>
      <w:lvlJc w:val="left"/>
      <w:pPr>
        <w:ind w:left="360"/>
      </w:pPr>
      <w:rPr>
        <w:rFonts w:ascii="Times New Roman" w:eastAsia="Times New Roman" w:hAnsi="Times New Roman" w:cs="Times New Roman"/>
        <w:b w:val="0"/>
        <w:i w:val="0"/>
        <w:strike w:val="0"/>
        <w:dstrike w:val="0"/>
        <w:color w:val="000000"/>
        <w:sz w:val="14"/>
        <w:szCs w:val="14"/>
        <w:u w:val="none" w:color="000000"/>
        <w:bdr w:val="none" w:sz="0" w:space="0" w:color="auto"/>
        <w:shd w:val="clear" w:color="auto" w:fill="auto"/>
        <w:vertAlign w:val="baseline"/>
      </w:rPr>
    </w:lvl>
    <w:lvl w:ilvl="1" w:tplc="F116620A">
      <w:start w:val="1"/>
      <w:numFmt w:val="lowerLetter"/>
      <w:lvlText w:val="%2"/>
      <w:lvlJc w:val="left"/>
      <w:pPr>
        <w:ind w:left="837"/>
      </w:pPr>
      <w:rPr>
        <w:rFonts w:ascii="Times New Roman" w:eastAsia="Times New Roman" w:hAnsi="Times New Roman" w:cs="Times New Roman"/>
        <w:b w:val="0"/>
        <w:i w:val="0"/>
        <w:strike w:val="0"/>
        <w:dstrike w:val="0"/>
        <w:color w:val="000000"/>
        <w:sz w:val="14"/>
        <w:szCs w:val="14"/>
        <w:u w:val="none" w:color="000000"/>
        <w:bdr w:val="none" w:sz="0" w:space="0" w:color="auto"/>
        <w:shd w:val="clear" w:color="auto" w:fill="auto"/>
        <w:vertAlign w:val="baseline"/>
      </w:rPr>
    </w:lvl>
    <w:lvl w:ilvl="2" w:tplc="78DC3308">
      <w:start w:val="1"/>
      <w:numFmt w:val="lowerRoman"/>
      <w:lvlText w:val="%3"/>
      <w:lvlJc w:val="left"/>
      <w:pPr>
        <w:ind w:left="1315"/>
      </w:pPr>
      <w:rPr>
        <w:rFonts w:ascii="Times New Roman" w:eastAsia="Times New Roman" w:hAnsi="Times New Roman" w:cs="Times New Roman"/>
        <w:b w:val="0"/>
        <w:i w:val="0"/>
        <w:strike w:val="0"/>
        <w:dstrike w:val="0"/>
        <w:color w:val="000000"/>
        <w:sz w:val="14"/>
        <w:szCs w:val="14"/>
        <w:u w:val="none" w:color="000000"/>
        <w:bdr w:val="none" w:sz="0" w:space="0" w:color="auto"/>
        <w:shd w:val="clear" w:color="auto" w:fill="auto"/>
        <w:vertAlign w:val="baseline"/>
      </w:rPr>
    </w:lvl>
    <w:lvl w:ilvl="3" w:tplc="3E5A9200">
      <w:start w:val="1"/>
      <w:numFmt w:val="decimal"/>
      <w:lvlRestart w:val="0"/>
      <w:lvlText w:val="%4"/>
      <w:lvlJc w:val="left"/>
      <w:pPr>
        <w:ind w:left="2674"/>
      </w:pPr>
      <w:rPr>
        <w:rFonts w:ascii="Times New Roman" w:eastAsia="Times New Roman" w:hAnsi="Times New Roman" w:cs="Times New Roman"/>
        <w:b w:val="0"/>
        <w:i w:val="0"/>
        <w:strike w:val="0"/>
        <w:dstrike w:val="0"/>
        <w:color w:val="000000"/>
        <w:sz w:val="14"/>
        <w:szCs w:val="14"/>
        <w:u w:val="none" w:color="000000"/>
        <w:bdr w:val="none" w:sz="0" w:space="0" w:color="auto"/>
        <w:shd w:val="clear" w:color="auto" w:fill="auto"/>
        <w:vertAlign w:val="baseline"/>
      </w:rPr>
    </w:lvl>
    <w:lvl w:ilvl="4" w:tplc="6C38295C">
      <w:start w:val="1"/>
      <w:numFmt w:val="lowerLetter"/>
      <w:lvlText w:val="%5"/>
      <w:lvlJc w:val="left"/>
      <w:pPr>
        <w:ind w:left="2512"/>
      </w:pPr>
      <w:rPr>
        <w:rFonts w:ascii="Times New Roman" w:eastAsia="Times New Roman" w:hAnsi="Times New Roman" w:cs="Times New Roman"/>
        <w:b w:val="0"/>
        <w:i w:val="0"/>
        <w:strike w:val="0"/>
        <w:dstrike w:val="0"/>
        <w:color w:val="000000"/>
        <w:sz w:val="14"/>
        <w:szCs w:val="14"/>
        <w:u w:val="none" w:color="000000"/>
        <w:bdr w:val="none" w:sz="0" w:space="0" w:color="auto"/>
        <w:shd w:val="clear" w:color="auto" w:fill="auto"/>
        <w:vertAlign w:val="baseline"/>
      </w:rPr>
    </w:lvl>
    <w:lvl w:ilvl="5" w:tplc="353C962E">
      <w:start w:val="1"/>
      <w:numFmt w:val="lowerRoman"/>
      <w:lvlText w:val="%6"/>
      <w:lvlJc w:val="left"/>
      <w:pPr>
        <w:ind w:left="3232"/>
      </w:pPr>
      <w:rPr>
        <w:rFonts w:ascii="Times New Roman" w:eastAsia="Times New Roman" w:hAnsi="Times New Roman" w:cs="Times New Roman"/>
        <w:b w:val="0"/>
        <w:i w:val="0"/>
        <w:strike w:val="0"/>
        <w:dstrike w:val="0"/>
        <w:color w:val="000000"/>
        <w:sz w:val="14"/>
        <w:szCs w:val="14"/>
        <w:u w:val="none" w:color="000000"/>
        <w:bdr w:val="none" w:sz="0" w:space="0" w:color="auto"/>
        <w:shd w:val="clear" w:color="auto" w:fill="auto"/>
        <w:vertAlign w:val="baseline"/>
      </w:rPr>
    </w:lvl>
    <w:lvl w:ilvl="6" w:tplc="00E00D0C">
      <w:start w:val="1"/>
      <w:numFmt w:val="decimal"/>
      <w:lvlText w:val="%7"/>
      <w:lvlJc w:val="left"/>
      <w:pPr>
        <w:ind w:left="3952"/>
      </w:pPr>
      <w:rPr>
        <w:rFonts w:ascii="Times New Roman" w:eastAsia="Times New Roman" w:hAnsi="Times New Roman" w:cs="Times New Roman"/>
        <w:b w:val="0"/>
        <w:i w:val="0"/>
        <w:strike w:val="0"/>
        <w:dstrike w:val="0"/>
        <w:color w:val="000000"/>
        <w:sz w:val="14"/>
        <w:szCs w:val="14"/>
        <w:u w:val="none" w:color="000000"/>
        <w:bdr w:val="none" w:sz="0" w:space="0" w:color="auto"/>
        <w:shd w:val="clear" w:color="auto" w:fill="auto"/>
        <w:vertAlign w:val="baseline"/>
      </w:rPr>
    </w:lvl>
    <w:lvl w:ilvl="7" w:tplc="D1B815C0">
      <w:start w:val="1"/>
      <w:numFmt w:val="lowerLetter"/>
      <w:lvlText w:val="%8"/>
      <w:lvlJc w:val="left"/>
      <w:pPr>
        <w:ind w:left="4672"/>
      </w:pPr>
      <w:rPr>
        <w:rFonts w:ascii="Times New Roman" w:eastAsia="Times New Roman" w:hAnsi="Times New Roman" w:cs="Times New Roman"/>
        <w:b w:val="0"/>
        <w:i w:val="0"/>
        <w:strike w:val="0"/>
        <w:dstrike w:val="0"/>
        <w:color w:val="000000"/>
        <w:sz w:val="14"/>
        <w:szCs w:val="14"/>
        <w:u w:val="none" w:color="000000"/>
        <w:bdr w:val="none" w:sz="0" w:space="0" w:color="auto"/>
        <w:shd w:val="clear" w:color="auto" w:fill="auto"/>
        <w:vertAlign w:val="baseline"/>
      </w:rPr>
    </w:lvl>
    <w:lvl w:ilvl="8" w:tplc="BAEA2ABA">
      <w:start w:val="1"/>
      <w:numFmt w:val="lowerRoman"/>
      <w:lvlText w:val="%9"/>
      <w:lvlJc w:val="left"/>
      <w:pPr>
        <w:ind w:left="5392"/>
      </w:pPr>
      <w:rPr>
        <w:rFonts w:ascii="Times New Roman" w:eastAsia="Times New Roman" w:hAnsi="Times New Roman" w:cs="Times New Roman"/>
        <w:b w:val="0"/>
        <w:i w:val="0"/>
        <w:strike w:val="0"/>
        <w:dstrike w:val="0"/>
        <w:color w:val="000000"/>
        <w:sz w:val="14"/>
        <w:szCs w:val="14"/>
        <w:u w:val="none" w:color="000000"/>
        <w:bdr w:val="none" w:sz="0" w:space="0" w:color="auto"/>
        <w:shd w:val="clear" w:color="auto" w:fill="auto"/>
        <w:vertAlign w:val="baseline"/>
      </w:rPr>
    </w:lvl>
  </w:abstractNum>
  <w:abstractNum w:abstractNumId="182" w15:restartNumberingAfterBreak="0">
    <w:nsid w:val="7F082AE2"/>
    <w:multiLevelType w:val="hybridMultilevel"/>
    <w:tmpl w:val="B880A35A"/>
    <w:lvl w:ilvl="0" w:tplc="5880A606">
      <w:start w:val="12"/>
      <w:numFmt w:val="decimal"/>
      <w:lvlText w:val="[%1]"/>
      <w:lvlJc w:val="left"/>
      <w:pPr>
        <w:ind w:left="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C106C9C">
      <w:start w:val="1"/>
      <w:numFmt w:val="lowerLetter"/>
      <w:lvlText w:val="%2"/>
      <w:lvlJc w:val="left"/>
      <w:pPr>
        <w:ind w:left="17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2383B1A">
      <w:start w:val="1"/>
      <w:numFmt w:val="lowerRoman"/>
      <w:lvlText w:val="%3"/>
      <w:lvlJc w:val="left"/>
      <w:pPr>
        <w:ind w:left="25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AB884DE">
      <w:start w:val="1"/>
      <w:numFmt w:val="decimal"/>
      <w:lvlText w:val="%4"/>
      <w:lvlJc w:val="left"/>
      <w:pPr>
        <w:ind w:left="32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FAABA48">
      <w:start w:val="1"/>
      <w:numFmt w:val="lowerLetter"/>
      <w:lvlText w:val="%5"/>
      <w:lvlJc w:val="left"/>
      <w:pPr>
        <w:ind w:left="39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F663400">
      <w:start w:val="1"/>
      <w:numFmt w:val="lowerRoman"/>
      <w:lvlText w:val="%6"/>
      <w:lvlJc w:val="left"/>
      <w:pPr>
        <w:ind w:left="46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E461446">
      <w:start w:val="1"/>
      <w:numFmt w:val="decimal"/>
      <w:lvlText w:val="%7"/>
      <w:lvlJc w:val="left"/>
      <w:pPr>
        <w:ind w:left="53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18C31AA">
      <w:start w:val="1"/>
      <w:numFmt w:val="lowerLetter"/>
      <w:lvlText w:val="%8"/>
      <w:lvlJc w:val="left"/>
      <w:pPr>
        <w:ind w:left="61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008DA4A">
      <w:start w:val="1"/>
      <w:numFmt w:val="lowerRoman"/>
      <w:lvlText w:val="%9"/>
      <w:lvlJc w:val="left"/>
      <w:pPr>
        <w:ind w:left="68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83" w15:restartNumberingAfterBreak="0">
    <w:nsid w:val="7F721AEB"/>
    <w:multiLevelType w:val="hybridMultilevel"/>
    <w:tmpl w:val="BB868B9C"/>
    <w:lvl w:ilvl="0" w:tplc="74EE52FC">
      <w:start w:val="1"/>
      <w:numFmt w:val="decimal"/>
      <w:lvlText w:val="[%1]"/>
      <w:lvlJc w:val="left"/>
      <w:pPr>
        <w:ind w:left="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E80B522">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EDA4444">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6EEF7F0">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290EBAC">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CEA97BE">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E527FE8">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CE29F5E">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3EA7D38">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num w:numId="1">
    <w:abstractNumId w:val="157"/>
  </w:num>
  <w:num w:numId="2">
    <w:abstractNumId w:val="85"/>
  </w:num>
  <w:num w:numId="3">
    <w:abstractNumId w:val="14"/>
  </w:num>
  <w:num w:numId="4">
    <w:abstractNumId w:val="93"/>
  </w:num>
  <w:num w:numId="5">
    <w:abstractNumId w:val="32"/>
  </w:num>
  <w:num w:numId="6">
    <w:abstractNumId w:val="130"/>
  </w:num>
  <w:num w:numId="7">
    <w:abstractNumId w:val="112"/>
  </w:num>
  <w:num w:numId="8">
    <w:abstractNumId w:val="5"/>
  </w:num>
  <w:num w:numId="9">
    <w:abstractNumId w:val="123"/>
  </w:num>
  <w:num w:numId="10">
    <w:abstractNumId w:val="181"/>
  </w:num>
  <w:num w:numId="11">
    <w:abstractNumId w:val="86"/>
  </w:num>
  <w:num w:numId="12">
    <w:abstractNumId w:val="87"/>
  </w:num>
  <w:num w:numId="13">
    <w:abstractNumId w:val="40"/>
  </w:num>
  <w:num w:numId="14">
    <w:abstractNumId w:val="41"/>
  </w:num>
  <w:num w:numId="15">
    <w:abstractNumId w:val="110"/>
  </w:num>
  <w:num w:numId="16">
    <w:abstractNumId w:val="48"/>
  </w:num>
  <w:num w:numId="17">
    <w:abstractNumId w:val="171"/>
  </w:num>
  <w:num w:numId="18">
    <w:abstractNumId w:val="28"/>
  </w:num>
  <w:num w:numId="19">
    <w:abstractNumId w:val="54"/>
  </w:num>
  <w:num w:numId="20">
    <w:abstractNumId w:val="39"/>
  </w:num>
  <w:num w:numId="21">
    <w:abstractNumId w:val="120"/>
  </w:num>
  <w:num w:numId="22">
    <w:abstractNumId w:val="60"/>
  </w:num>
  <w:num w:numId="23">
    <w:abstractNumId w:val="88"/>
  </w:num>
  <w:num w:numId="24">
    <w:abstractNumId w:val="99"/>
  </w:num>
  <w:num w:numId="25">
    <w:abstractNumId w:val="156"/>
  </w:num>
  <w:num w:numId="26">
    <w:abstractNumId w:val="108"/>
  </w:num>
  <w:num w:numId="27">
    <w:abstractNumId w:val="24"/>
  </w:num>
  <w:num w:numId="28">
    <w:abstractNumId w:val="59"/>
  </w:num>
  <w:num w:numId="29">
    <w:abstractNumId w:val="74"/>
  </w:num>
  <w:num w:numId="30">
    <w:abstractNumId w:val="149"/>
  </w:num>
  <w:num w:numId="31">
    <w:abstractNumId w:val="138"/>
  </w:num>
  <w:num w:numId="32">
    <w:abstractNumId w:val="94"/>
  </w:num>
  <w:num w:numId="33">
    <w:abstractNumId w:val="144"/>
  </w:num>
  <w:num w:numId="34">
    <w:abstractNumId w:val="11"/>
  </w:num>
  <w:num w:numId="35">
    <w:abstractNumId w:val="103"/>
  </w:num>
  <w:num w:numId="36">
    <w:abstractNumId w:val="182"/>
  </w:num>
  <w:num w:numId="37">
    <w:abstractNumId w:val="172"/>
  </w:num>
  <w:num w:numId="38">
    <w:abstractNumId w:val="64"/>
  </w:num>
  <w:num w:numId="39">
    <w:abstractNumId w:val="131"/>
  </w:num>
  <w:num w:numId="40">
    <w:abstractNumId w:val="132"/>
  </w:num>
  <w:num w:numId="41">
    <w:abstractNumId w:val="106"/>
  </w:num>
  <w:num w:numId="42">
    <w:abstractNumId w:val="167"/>
  </w:num>
  <w:num w:numId="43">
    <w:abstractNumId w:val="163"/>
  </w:num>
  <w:num w:numId="44">
    <w:abstractNumId w:val="68"/>
  </w:num>
  <w:num w:numId="45">
    <w:abstractNumId w:val="126"/>
  </w:num>
  <w:num w:numId="46">
    <w:abstractNumId w:val="148"/>
  </w:num>
  <w:num w:numId="47">
    <w:abstractNumId w:val="104"/>
  </w:num>
  <w:num w:numId="48">
    <w:abstractNumId w:val="55"/>
  </w:num>
  <w:num w:numId="49">
    <w:abstractNumId w:val="109"/>
  </w:num>
  <w:num w:numId="50">
    <w:abstractNumId w:val="79"/>
  </w:num>
  <w:num w:numId="51">
    <w:abstractNumId w:val="151"/>
  </w:num>
  <w:num w:numId="52">
    <w:abstractNumId w:val="62"/>
  </w:num>
  <w:num w:numId="53">
    <w:abstractNumId w:val="26"/>
  </w:num>
  <w:num w:numId="54">
    <w:abstractNumId w:val="83"/>
  </w:num>
  <w:num w:numId="55">
    <w:abstractNumId w:val="38"/>
  </w:num>
  <w:num w:numId="56">
    <w:abstractNumId w:val="13"/>
  </w:num>
  <w:num w:numId="57">
    <w:abstractNumId w:val="170"/>
  </w:num>
  <w:num w:numId="58">
    <w:abstractNumId w:val="146"/>
  </w:num>
  <w:num w:numId="59">
    <w:abstractNumId w:val="162"/>
  </w:num>
  <w:num w:numId="60">
    <w:abstractNumId w:val="177"/>
  </w:num>
  <w:num w:numId="61">
    <w:abstractNumId w:val="58"/>
  </w:num>
  <w:num w:numId="62">
    <w:abstractNumId w:val="152"/>
  </w:num>
  <w:num w:numId="63">
    <w:abstractNumId w:val="21"/>
  </w:num>
  <w:num w:numId="64">
    <w:abstractNumId w:val="134"/>
  </w:num>
  <w:num w:numId="65">
    <w:abstractNumId w:val="44"/>
  </w:num>
  <w:num w:numId="66">
    <w:abstractNumId w:val="166"/>
  </w:num>
  <w:num w:numId="67">
    <w:abstractNumId w:val="16"/>
  </w:num>
  <w:num w:numId="68">
    <w:abstractNumId w:val="118"/>
  </w:num>
  <w:num w:numId="69">
    <w:abstractNumId w:val="30"/>
  </w:num>
  <w:num w:numId="70">
    <w:abstractNumId w:val="50"/>
  </w:num>
  <w:num w:numId="71">
    <w:abstractNumId w:val="31"/>
  </w:num>
  <w:num w:numId="72">
    <w:abstractNumId w:val="78"/>
  </w:num>
  <w:num w:numId="73">
    <w:abstractNumId w:val="73"/>
  </w:num>
  <w:num w:numId="74">
    <w:abstractNumId w:val="57"/>
  </w:num>
  <w:num w:numId="75">
    <w:abstractNumId w:val="114"/>
  </w:num>
  <w:num w:numId="76">
    <w:abstractNumId w:val="143"/>
  </w:num>
  <w:num w:numId="77">
    <w:abstractNumId w:val="100"/>
  </w:num>
  <w:num w:numId="78">
    <w:abstractNumId w:val="136"/>
  </w:num>
  <w:num w:numId="79">
    <w:abstractNumId w:val="122"/>
  </w:num>
  <w:num w:numId="80">
    <w:abstractNumId w:val="124"/>
  </w:num>
  <w:num w:numId="81">
    <w:abstractNumId w:val="1"/>
  </w:num>
  <w:num w:numId="82">
    <w:abstractNumId w:val="27"/>
  </w:num>
  <w:num w:numId="83">
    <w:abstractNumId w:val="95"/>
  </w:num>
  <w:num w:numId="84">
    <w:abstractNumId w:val="76"/>
  </w:num>
  <w:num w:numId="85">
    <w:abstractNumId w:val="164"/>
  </w:num>
  <w:num w:numId="86">
    <w:abstractNumId w:val="139"/>
  </w:num>
  <w:num w:numId="87">
    <w:abstractNumId w:val="75"/>
  </w:num>
  <w:num w:numId="88">
    <w:abstractNumId w:val="175"/>
  </w:num>
  <w:num w:numId="89">
    <w:abstractNumId w:val="140"/>
  </w:num>
  <w:num w:numId="90">
    <w:abstractNumId w:val="92"/>
  </w:num>
  <w:num w:numId="91">
    <w:abstractNumId w:val="67"/>
  </w:num>
  <w:num w:numId="92">
    <w:abstractNumId w:val="174"/>
  </w:num>
  <w:num w:numId="93">
    <w:abstractNumId w:val="137"/>
  </w:num>
  <w:num w:numId="94">
    <w:abstractNumId w:val="168"/>
  </w:num>
  <w:num w:numId="95">
    <w:abstractNumId w:val="98"/>
  </w:num>
  <w:num w:numId="96">
    <w:abstractNumId w:val="33"/>
  </w:num>
  <w:num w:numId="97">
    <w:abstractNumId w:val="8"/>
  </w:num>
  <w:num w:numId="98">
    <w:abstractNumId w:val="147"/>
  </w:num>
  <w:num w:numId="99">
    <w:abstractNumId w:val="165"/>
  </w:num>
  <w:num w:numId="100">
    <w:abstractNumId w:val="7"/>
  </w:num>
  <w:num w:numId="101">
    <w:abstractNumId w:val="18"/>
  </w:num>
  <w:num w:numId="102">
    <w:abstractNumId w:val="69"/>
  </w:num>
  <w:num w:numId="103">
    <w:abstractNumId w:val="70"/>
  </w:num>
  <w:num w:numId="104">
    <w:abstractNumId w:val="3"/>
  </w:num>
  <w:num w:numId="105">
    <w:abstractNumId w:val="15"/>
  </w:num>
  <w:num w:numId="106">
    <w:abstractNumId w:val="129"/>
  </w:num>
  <w:num w:numId="107">
    <w:abstractNumId w:val="160"/>
  </w:num>
  <w:num w:numId="108">
    <w:abstractNumId w:val="71"/>
  </w:num>
  <w:num w:numId="109">
    <w:abstractNumId w:val="84"/>
  </w:num>
  <w:num w:numId="110">
    <w:abstractNumId w:val="154"/>
  </w:num>
  <w:num w:numId="111">
    <w:abstractNumId w:val="96"/>
  </w:num>
  <w:num w:numId="112">
    <w:abstractNumId w:val="125"/>
  </w:num>
  <w:num w:numId="113">
    <w:abstractNumId w:val="19"/>
  </w:num>
  <w:num w:numId="114">
    <w:abstractNumId w:val="135"/>
  </w:num>
  <w:num w:numId="115">
    <w:abstractNumId w:val="17"/>
  </w:num>
  <w:num w:numId="116">
    <w:abstractNumId w:val="117"/>
  </w:num>
  <w:num w:numId="117">
    <w:abstractNumId w:val="4"/>
  </w:num>
  <w:num w:numId="118">
    <w:abstractNumId w:val="45"/>
  </w:num>
  <w:num w:numId="119">
    <w:abstractNumId w:val="159"/>
  </w:num>
  <w:num w:numId="120">
    <w:abstractNumId w:val="80"/>
  </w:num>
  <w:num w:numId="121">
    <w:abstractNumId w:val="43"/>
  </w:num>
  <w:num w:numId="122">
    <w:abstractNumId w:val="105"/>
  </w:num>
  <w:num w:numId="123">
    <w:abstractNumId w:val="155"/>
  </w:num>
  <w:num w:numId="124">
    <w:abstractNumId w:val="183"/>
  </w:num>
  <w:num w:numId="125">
    <w:abstractNumId w:val="77"/>
  </w:num>
  <w:num w:numId="126">
    <w:abstractNumId w:val="119"/>
  </w:num>
  <w:num w:numId="127">
    <w:abstractNumId w:val="121"/>
  </w:num>
  <w:num w:numId="128">
    <w:abstractNumId w:val="180"/>
  </w:num>
  <w:num w:numId="129">
    <w:abstractNumId w:val="97"/>
  </w:num>
  <w:num w:numId="130">
    <w:abstractNumId w:val="2"/>
  </w:num>
  <w:num w:numId="131">
    <w:abstractNumId w:val="9"/>
  </w:num>
  <w:num w:numId="132">
    <w:abstractNumId w:val="153"/>
  </w:num>
  <w:num w:numId="133">
    <w:abstractNumId w:val="81"/>
  </w:num>
  <w:num w:numId="134">
    <w:abstractNumId w:val="127"/>
  </w:num>
  <w:num w:numId="135">
    <w:abstractNumId w:val="113"/>
  </w:num>
  <w:num w:numId="136">
    <w:abstractNumId w:val="128"/>
  </w:num>
  <w:num w:numId="137">
    <w:abstractNumId w:val="47"/>
  </w:num>
  <w:num w:numId="138">
    <w:abstractNumId w:val="37"/>
  </w:num>
  <w:num w:numId="139">
    <w:abstractNumId w:val="34"/>
  </w:num>
  <w:num w:numId="140">
    <w:abstractNumId w:val="115"/>
  </w:num>
  <w:num w:numId="141">
    <w:abstractNumId w:val="161"/>
  </w:num>
  <w:num w:numId="142">
    <w:abstractNumId w:val="150"/>
  </w:num>
  <w:num w:numId="143">
    <w:abstractNumId w:val="102"/>
  </w:num>
  <w:num w:numId="144">
    <w:abstractNumId w:val="61"/>
  </w:num>
  <w:num w:numId="145">
    <w:abstractNumId w:val="176"/>
  </w:num>
  <w:num w:numId="146">
    <w:abstractNumId w:val="82"/>
  </w:num>
  <w:num w:numId="147">
    <w:abstractNumId w:val="0"/>
  </w:num>
  <w:num w:numId="148">
    <w:abstractNumId w:val="23"/>
  </w:num>
  <w:num w:numId="149">
    <w:abstractNumId w:val="6"/>
  </w:num>
  <w:num w:numId="150">
    <w:abstractNumId w:val="46"/>
  </w:num>
  <w:num w:numId="151">
    <w:abstractNumId w:val="51"/>
  </w:num>
  <w:num w:numId="152">
    <w:abstractNumId w:val="29"/>
  </w:num>
  <w:num w:numId="153">
    <w:abstractNumId w:val="145"/>
  </w:num>
  <w:num w:numId="154">
    <w:abstractNumId w:val="91"/>
  </w:num>
  <w:num w:numId="155">
    <w:abstractNumId w:val="25"/>
  </w:num>
  <w:num w:numId="156">
    <w:abstractNumId w:val="179"/>
  </w:num>
  <w:num w:numId="157">
    <w:abstractNumId w:val="173"/>
  </w:num>
  <w:num w:numId="158">
    <w:abstractNumId w:val="101"/>
  </w:num>
  <w:num w:numId="159">
    <w:abstractNumId w:val="22"/>
  </w:num>
  <w:num w:numId="160">
    <w:abstractNumId w:val="66"/>
  </w:num>
  <w:num w:numId="161">
    <w:abstractNumId w:val="65"/>
  </w:num>
  <w:num w:numId="162">
    <w:abstractNumId w:val="107"/>
  </w:num>
  <w:num w:numId="163">
    <w:abstractNumId w:val="20"/>
  </w:num>
  <w:num w:numId="164">
    <w:abstractNumId w:val="158"/>
  </w:num>
  <w:num w:numId="165">
    <w:abstractNumId w:val="178"/>
  </w:num>
  <w:num w:numId="166">
    <w:abstractNumId w:val="72"/>
  </w:num>
  <w:num w:numId="167">
    <w:abstractNumId w:val="90"/>
  </w:num>
  <w:num w:numId="168">
    <w:abstractNumId w:val="12"/>
  </w:num>
  <w:num w:numId="169">
    <w:abstractNumId w:val="56"/>
  </w:num>
  <w:num w:numId="170">
    <w:abstractNumId w:val="49"/>
  </w:num>
  <w:num w:numId="171">
    <w:abstractNumId w:val="141"/>
  </w:num>
  <w:num w:numId="172">
    <w:abstractNumId w:val="52"/>
  </w:num>
  <w:num w:numId="173">
    <w:abstractNumId w:val="10"/>
  </w:num>
  <w:num w:numId="174">
    <w:abstractNumId w:val="111"/>
  </w:num>
  <w:num w:numId="175">
    <w:abstractNumId w:val="116"/>
  </w:num>
  <w:num w:numId="176">
    <w:abstractNumId w:val="142"/>
  </w:num>
  <w:num w:numId="177">
    <w:abstractNumId w:val="36"/>
  </w:num>
  <w:num w:numId="178">
    <w:abstractNumId w:val="35"/>
  </w:num>
  <w:num w:numId="179">
    <w:abstractNumId w:val="42"/>
  </w:num>
  <w:num w:numId="180">
    <w:abstractNumId w:val="53"/>
  </w:num>
  <w:num w:numId="181">
    <w:abstractNumId w:val="63"/>
  </w:num>
  <w:num w:numId="182">
    <w:abstractNumId w:val="169"/>
  </w:num>
  <w:num w:numId="183">
    <w:abstractNumId w:val="133"/>
  </w:num>
  <w:num w:numId="184">
    <w:abstractNumId w:val="89"/>
  </w:num>
  <w:numIdMacAtCleanup w:val="1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evenAndOddHeaders/>
  <w:characterSpacingControl w:val="doNotCompress"/>
  <w:footnotePr>
    <w:numRestart w:val="eachPage"/>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2701D"/>
    <w:rsid w:val="0052701D"/>
    <w:rsid w:val="00D40929"/>
    <w:rsid w:val="00DF7EF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FB6F9A1-6C39-405F-A2BC-4DEC91D79A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rFonts w:ascii="Calibri" w:eastAsia="Calibri" w:hAnsi="Calibri" w:cs="Calibri"/>
      <w:color w:val="000000"/>
    </w:rPr>
  </w:style>
  <w:style w:type="paragraph" w:styleId="1">
    <w:name w:val="heading 1"/>
    <w:next w:val="a"/>
    <w:link w:val="10"/>
    <w:uiPriority w:val="9"/>
    <w:unhideWhenUsed/>
    <w:qFormat/>
    <w:pPr>
      <w:keepNext/>
      <w:keepLines/>
      <w:spacing w:after="5" w:line="271" w:lineRule="auto"/>
      <w:ind w:left="10" w:right="26" w:hanging="10"/>
      <w:jc w:val="center"/>
      <w:outlineLvl w:val="0"/>
    </w:pPr>
    <w:rPr>
      <w:rFonts w:ascii="Times New Roman" w:eastAsia="Times New Roman" w:hAnsi="Times New Roman" w:cs="Times New Roman"/>
      <w:b/>
      <w:color w:val="000000"/>
      <w:sz w:val="28"/>
    </w:rPr>
  </w:style>
  <w:style w:type="paragraph" w:styleId="2">
    <w:name w:val="heading 2"/>
    <w:next w:val="a"/>
    <w:link w:val="20"/>
    <w:uiPriority w:val="9"/>
    <w:unhideWhenUsed/>
    <w:qFormat/>
    <w:pPr>
      <w:keepNext/>
      <w:keepLines/>
      <w:spacing w:after="5" w:line="271" w:lineRule="auto"/>
      <w:ind w:left="173" w:right="173" w:hanging="10"/>
      <w:jc w:val="center"/>
      <w:outlineLvl w:val="1"/>
    </w:pPr>
    <w:rPr>
      <w:rFonts w:ascii="Times New Roman" w:eastAsia="Times New Roman" w:hAnsi="Times New Roman" w:cs="Times New Roman"/>
      <w:b/>
      <w:color w:val="000000"/>
      <w:sz w:val="28"/>
    </w:rPr>
  </w:style>
  <w:style w:type="paragraph" w:styleId="3">
    <w:name w:val="heading 3"/>
    <w:next w:val="a"/>
    <w:link w:val="30"/>
    <w:uiPriority w:val="9"/>
    <w:unhideWhenUsed/>
    <w:qFormat/>
    <w:pPr>
      <w:keepNext/>
      <w:keepLines/>
      <w:spacing w:after="5" w:line="271" w:lineRule="auto"/>
      <w:ind w:left="10" w:right="26" w:hanging="10"/>
      <w:jc w:val="center"/>
      <w:outlineLvl w:val="2"/>
    </w:pPr>
    <w:rPr>
      <w:rFonts w:ascii="Times New Roman" w:eastAsia="Times New Roman" w:hAnsi="Times New Roman" w:cs="Times New Roman"/>
      <w:b/>
      <w:color w:val="000000"/>
      <w:sz w:val="28"/>
    </w:rPr>
  </w:style>
  <w:style w:type="paragraph" w:styleId="4">
    <w:name w:val="heading 4"/>
    <w:next w:val="a"/>
    <w:link w:val="40"/>
    <w:uiPriority w:val="9"/>
    <w:unhideWhenUsed/>
    <w:qFormat/>
    <w:pPr>
      <w:keepNext/>
      <w:keepLines/>
      <w:spacing w:after="5" w:line="271" w:lineRule="auto"/>
      <w:ind w:left="10" w:right="26" w:hanging="10"/>
      <w:jc w:val="center"/>
      <w:outlineLvl w:val="3"/>
    </w:pPr>
    <w:rPr>
      <w:rFonts w:ascii="Times New Roman" w:eastAsia="Times New Roman" w:hAnsi="Times New Roman" w:cs="Times New Roman"/>
      <w:b/>
      <w:color w:val="000000"/>
      <w:sz w:val="28"/>
    </w:rPr>
  </w:style>
  <w:style w:type="paragraph" w:styleId="5">
    <w:name w:val="heading 5"/>
    <w:next w:val="a"/>
    <w:link w:val="50"/>
    <w:uiPriority w:val="9"/>
    <w:unhideWhenUsed/>
    <w:qFormat/>
    <w:pPr>
      <w:keepNext/>
      <w:keepLines/>
      <w:spacing w:after="5" w:line="271" w:lineRule="auto"/>
      <w:ind w:left="173" w:right="241" w:hanging="10"/>
      <w:jc w:val="center"/>
      <w:outlineLvl w:val="4"/>
    </w:pPr>
    <w:rPr>
      <w:rFonts w:ascii="Times New Roman" w:eastAsia="Times New Roman" w:hAnsi="Times New Roman" w:cs="Times New Roman"/>
      <w:b/>
      <w:color w:val="000000"/>
      <w:sz w:val="28"/>
    </w:rPr>
  </w:style>
  <w:style w:type="paragraph" w:styleId="6">
    <w:name w:val="heading 6"/>
    <w:next w:val="a"/>
    <w:link w:val="60"/>
    <w:uiPriority w:val="9"/>
    <w:unhideWhenUsed/>
    <w:qFormat/>
    <w:pPr>
      <w:keepNext/>
      <w:keepLines/>
      <w:spacing w:after="4" w:line="271" w:lineRule="auto"/>
      <w:ind w:left="1667" w:hanging="10"/>
      <w:outlineLvl w:val="5"/>
    </w:pPr>
    <w:rPr>
      <w:rFonts w:ascii="Times New Roman" w:eastAsia="Times New Roman" w:hAnsi="Times New Roman" w:cs="Times New Roman"/>
      <w:b/>
      <w:color w:val="000000"/>
      <w:sz w:val="24"/>
    </w:rPr>
  </w:style>
  <w:style w:type="paragraph" w:styleId="7">
    <w:name w:val="heading 7"/>
    <w:next w:val="a"/>
    <w:link w:val="70"/>
    <w:uiPriority w:val="9"/>
    <w:unhideWhenUsed/>
    <w:qFormat/>
    <w:pPr>
      <w:keepNext/>
      <w:keepLines/>
      <w:spacing w:after="16" w:line="248" w:lineRule="auto"/>
      <w:ind w:left="1667" w:hanging="10"/>
      <w:jc w:val="center"/>
      <w:outlineLvl w:val="6"/>
    </w:pPr>
    <w:rPr>
      <w:rFonts w:ascii="Times New Roman" w:eastAsia="Times New Roman" w:hAnsi="Times New Roman" w:cs="Times New Roman"/>
      <w:b/>
      <w:color w:val="000000"/>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footnotedescription">
    <w:name w:val="footnote description"/>
    <w:next w:val="a"/>
    <w:link w:val="footnotedescriptionChar"/>
    <w:hidden/>
    <w:pPr>
      <w:spacing w:after="0"/>
      <w:ind w:left="208" w:right="21"/>
      <w:jc w:val="center"/>
    </w:pPr>
    <w:rPr>
      <w:rFonts w:ascii="Times New Roman" w:eastAsia="Times New Roman" w:hAnsi="Times New Roman" w:cs="Times New Roman"/>
      <w:color w:val="000000"/>
      <w:sz w:val="24"/>
    </w:rPr>
  </w:style>
  <w:style w:type="character" w:customStyle="1" w:styleId="footnotedescriptionChar">
    <w:name w:val="footnote description Char"/>
    <w:link w:val="footnotedescription"/>
    <w:rPr>
      <w:rFonts w:ascii="Times New Roman" w:eastAsia="Times New Roman" w:hAnsi="Times New Roman" w:cs="Times New Roman"/>
      <w:color w:val="000000"/>
      <w:sz w:val="24"/>
    </w:rPr>
  </w:style>
  <w:style w:type="character" w:customStyle="1" w:styleId="60">
    <w:name w:val="Заголовок 6 Знак"/>
    <w:link w:val="6"/>
    <w:rPr>
      <w:rFonts w:ascii="Times New Roman" w:eastAsia="Times New Roman" w:hAnsi="Times New Roman" w:cs="Times New Roman"/>
      <w:b/>
      <w:color w:val="000000"/>
      <w:sz w:val="24"/>
    </w:rPr>
  </w:style>
  <w:style w:type="character" w:customStyle="1" w:styleId="70">
    <w:name w:val="Заголовок 7 Знак"/>
    <w:link w:val="7"/>
    <w:rPr>
      <w:rFonts w:ascii="Times New Roman" w:eastAsia="Times New Roman" w:hAnsi="Times New Roman" w:cs="Times New Roman"/>
      <w:b/>
      <w:color w:val="000000"/>
      <w:sz w:val="24"/>
    </w:rPr>
  </w:style>
  <w:style w:type="character" w:customStyle="1" w:styleId="50">
    <w:name w:val="Заголовок 5 Знак"/>
    <w:link w:val="5"/>
    <w:rPr>
      <w:rFonts w:ascii="Times New Roman" w:eastAsia="Times New Roman" w:hAnsi="Times New Roman" w:cs="Times New Roman"/>
      <w:b/>
      <w:color w:val="000000"/>
      <w:sz w:val="28"/>
    </w:rPr>
  </w:style>
  <w:style w:type="character" w:customStyle="1" w:styleId="20">
    <w:name w:val="Заголовок 2 Знак"/>
    <w:link w:val="2"/>
    <w:rPr>
      <w:rFonts w:ascii="Times New Roman" w:eastAsia="Times New Roman" w:hAnsi="Times New Roman" w:cs="Times New Roman"/>
      <w:b/>
      <w:color w:val="000000"/>
      <w:sz w:val="28"/>
    </w:rPr>
  </w:style>
  <w:style w:type="character" w:customStyle="1" w:styleId="10">
    <w:name w:val="Заголовок 1 Знак"/>
    <w:link w:val="1"/>
    <w:rPr>
      <w:rFonts w:ascii="Times New Roman" w:eastAsia="Times New Roman" w:hAnsi="Times New Roman" w:cs="Times New Roman"/>
      <w:b/>
      <w:color w:val="000000"/>
      <w:sz w:val="28"/>
    </w:rPr>
  </w:style>
  <w:style w:type="character" w:customStyle="1" w:styleId="30">
    <w:name w:val="Заголовок 3 Знак"/>
    <w:link w:val="3"/>
    <w:rPr>
      <w:rFonts w:ascii="Times New Roman" w:eastAsia="Times New Roman" w:hAnsi="Times New Roman" w:cs="Times New Roman"/>
      <w:b/>
      <w:color w:val="000000"/>
      <w:sz w:val="28"/>
    </w:rPr>
  </w:style>
  <w:style w:type="character" w:customStyle="1" w:styleId="40">
    <w:name w:val="Заголовок 4 Знак"/>
    <w:link w:val="4"/>
    <w:rPr>
      <w:rFonts w:ascii="Times New Roman" w:eastAsia="Times New Roman" w:hAnsi="Times New Roman" w:cs="Times New Roman"/>
      <w:b/>
      <w:color w:val="000000"/>
      <w:sz w:val="28"/>
    </w:rPr>
  </w:style>
  <w:style w:type="character" w:customStyle="1" w:styleId="footnotemark">
    <w:name w:val="footnote mark"/>
    <w:hidden/>
    <w:rPr>
      <w:rFonts w:ascii="Times New Roman" w:eastAsia="Times New Roman" w:hAnsi="Times New Roman" w:cs="Times New Roman"/>
      <w:color w:val="000000"/>
      <w:sz w:val="24"/>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77.png"/><Relationship Id="rId671" Type="http://schemas.openxmlformats.org/officeDocument/2006/relationships/hyperlink" Target="https://ru.wikipedia.org/wiki/%25D0%25A0%25D0%25B0%25D1%2581%25D1%2581%25D1%2582%25D1%2580%25D0%25B5%25D0%25BB" TargetMode="External"/><Relationship Id="rId769" Type="http://schemas.openxmlformats.org/officeDocument/2006/relationships/image" Target="media/image1750.jpg"/><Relationship Id="rId21" Type="http://schemas.openxmlformats.org/officeDocument/2006/relationships/hyperlink" Target="https://doi.org/10.1016/j.jog.2020.101721" TargetMode="External"/><Relationship Id="rId324" Type="http://schemas.openxmlformats.org/officeDocument/2006/relationships/hyperlink" Target="https://www.microwavejournal.com/articles/34308-%20keysights-5g-test-platforms-selected-by-mavenir-to-accelerate-software-development9" TargetMode="External"/><Relationship Id="rId531" Type="http://schemas.openxmlformats.org/officeDocument/2006/relationships/hyperlink" Target="https://ru.wikipedia.org/wiki/%D0%A1%D0%BB%D1%83%D0%B6%D0%B5%D0%B1%D0%BD%D0%B0%D1%8F:%D0%98%D1%81%D1%82%D0%BE%D1%87%D0%BD%D0%B8%D0%BA%D0%B8_%D0%BA%D0%BD%D0%B8%D0%B3/9785703832509" TargetMode="External"/><Relationship Id="rId629" Type="http://schemas.openxmlformats.org/officeDocument/2006/relationships/hyperlink" Target="https://www.akorda.kz/ru/poslanie-glavy-gosudarstva-kasym-zhomarta-tokaeva-narodu-kazahstana-181130" TargetMode="External"/><Relationship Id="rId170" Type="http://schemas.openxmlformats.org/officeDocument/2006/relationships/image" Target="media/image124.png"/><Relationship Id="rId836" Type="http://schemas.openxmlformats.org/officeDocument/2006/relationships/image" Target="media/image387.jpg"/><Relationship Id="rId268" Type="http://schemas.openxmlformats.org/officeDocument/2006/relationships/image" Target="media/image750.png"/><Relationship Id="rId475" Type="http://schemas.openxmlformats.org/officeDocument/2006/relationships/image" Target="media/image265.png"/><Relationship Id="rId682" Type="http://schemas.openxmlformats.org/officeDocument/2006/relationships/hyperlink" Target="https://ru.wikipedia.org/wiki/" TargetMode="External"/><Relationship Id="rId32" Type="http://schemas.openxmlformats.org/officeDocument/2006/relationships/hyperlink" Target="https://doi.org/10.3390/rs13245033" TargetMode="External"/><Relationship Id="rId128" Type="http://schemas.openxmlformats.org/officeDocument/2006/relationships/image" Target="media/image88.png"/><Relationship Id="rId335" Type="http://schemas.openxmlformats.org/officeDocument/2006/relationships/hyperlink" Target="https://www.microwavejournal.com/articles/34308-%20keysights-5g-test-platforms-selected-by-mavenir-to-accelerate-software-development9" TargetMode="External"/><Relationship Id="rId542" Type="http://schemas.openxmlformats.org/officeDocument/2006/relationships/hyperlink" Target="http://www.keldysh.ru/events/ovch.pdf" TargetMode="External"/><Relationship Id="rId181" Type="http://schemas.openxmlformats.org/officeDocument/2006/relationships/image" Target="media/image133.png"/><Relationship Id="rId402" Type="http://schemas.openxmlformats.org/officeDocument/2006/relationships/hyperlink" Target="https://www.electronicdesign.com/industrial-automaion/can-5g-handle-next-gen-data.%5B13%5D%20%20IEC%206100-4-36%20EMC%20Part%204-36:%20Testing%20and%20measurement%20techniques%20%E2%80%93%20IEMI%20immunity%20test%20methods%20for%20equipment%20and%20systems.%20%E2%80%93%20IEC.%20%E2%80%93%202014.%20%E2%80%93%2088%20c.%20%20%5B14%5D%20Sanitary%20and%20Epidemiological%20Requirements%20for%20Radio%20Engineering%20Facilities.%20Resolution%20of%20the%20Government%20of%20the%20Republic%20of%20Kazakhstan%20dated%20November%2015,%202011%20No.%201341." TargetMode="External"/><Relationship Id="rId847" Type="http://schemas.openxmlformats.org/officeDocument/2006/relationships/hyperlink" Target="http://lenta.inform.kz/ru/cifrovizaciya-v-obrazovanii-novye-tehnologii-v-pomosch-processu-obucheniya_a3477335" TargetMode="External"/><Relationship Id="rId279" Type="http://schemas.openxmlformats.org/officeDocument/2006/relationships/image" Target="media/image800.png"/><Relationship Id="rId486" Type="http://schemas.openxmlformats.org/officeDocument/2006/relationships/image" Target="media/image274.png"/><Relationship Id="rId693" Type="http://schemas.openxmlformats.org/officeDocument/2006/relationships/hyperlink" Target="https://gtmarket.ru/ratings/global-education-expenditure" TargetMode="External"/><Relationship Id="rId707" Type="http://schemas.openxmlformats.org/officeDocument/2006/relationships/hyperlink" Target="https://ru.wikipedia.org/wiki/%D0%98%D1%81%D0%BA%D1%83%D1%81%D1%81%D1%82%D0%B2%D0%B5%D0%BD%D0%BD%D1%8B%D0%B9_%D0%B8%D0%BD%D1%82%D0%B5%D0%BB%D0%BB%D0%B5%D0%BA%D1%82" TargetMode="External"/><Relationship Id="rId43" Type="http://schemas.openxmlformats.org/officeDocument/2006/relationships/image" Target="media/image8.png"/><Relationship Id="rId139" Type="http://schemas.openxmlformats.org/officeDocument/2006/relationships/image" Target="media/image98.jpg"/><Relationship Id="rId346" Type="http://schemas.openxmlformats.org/officeDocument/2006/relationships/hyperlink" Target="https://www.microwavejournal.com/articles/34308-%20keysights-5g-test-platforms-selected-by-mavenir-to-accelerate-software-development9" TargetMode="External"/><Relationship Id="rId553" Type="http://schemas.openxmlformats.org/officeDocument/2006/relationships/image" Target="media/image301.png"/><Relationship Id="rId760" Type="http://schemas.openxmlformats.org/officeDocument/2006/relationships/hyperlink" Target="https://www.sciencemon.ru/" TargetMode="External"/><Relationship Id="rId192" Type="http://schemas.openxmlformats.org/officeDocument/2006/relationships/image" Target="media/image144.png"/><Relationship Id="rId206" Type="http://schemas.openxmlformats.org/officeDocument/2006/relationships/hyperlink" Target="https://top3dshop.ru/materiali/filamentarno-wax3d-base-green-05kg.html" TargetMode="External"/><Relationship Id="rId413" Type="http://schemas.openxmlformats.org/officeDocument/2006/relationships/image" Target="media/image215.png"/><Relationship Id="rId858" Type="http://schemas.openxmlformats.org/officeDocument/2006/relationships/hyperlink" Target="http://www.tadviser.ru/index.php/%D0%98%D1%81%D0%BA%D1%83%D1%81%D1%81%D1%82%D0%B2%D0%B5%D0%BD%D0%BD%D1%8B%D0%B9_%D0%B8%D0%BD%D1%82%D0%B5%D0%BB%D0%BB%D0%B5%D0%BA%D1%82" TargetMode="External"/><Relationship Id="rId497" Type="http://schemas.openxmlformats.org/officeDocument/2006/relationships/image" Target="media/image285.jpg"/><Relationship Id="rId620" Type="http://schemas.openxmlformats.org/officeDocument/2006/relationships/image" Target="media/image361.jpg"/><Relationship Id="rId718" Type="http://schemas.openxmlformats.org/officeDocument/2006/relationships/hyperlink" Target="https://cran.r-project.org/web/classifications/JEL.html" TargetMode="External"/><Relationship Id="rId357" Type="http://schemas.openxmlformats.org/officeDocument/2006/relationships/hyperlink" Target="https://www.microwavejournal.com/articles/32524-taoglas-cellular-antennas-include-latest-lte-5g-bands-for-global-deployments" TargetMode="External"/><Relationship Id="rId54" Type="http://schemas.openxmlformats.org/officeDocument/2006/relationships/image" Target="media/image19.png"/><Relationship Id="rId217" Type="http://schemas.openxmlformats.org/officeDocument/2006/relationships/image" Target="media/image162.jpg"/><Relationship Id="rId564" Type="http://schemas.openxmlformats.org/officeDocument/2006/relationships/image" Target="media/image312.png"/><Relationship Id="rId771" Type="http://schemas.openxmlformats.org/officeDocument/2006/relationships/image" Target="media/image370.jpg"/><Relationship Id="rId869" Type="http://schemas.openxmlformats.org/officeDocument/2006/relationships/hyperlink" Target="https://www.lafarga.es/es/productos-y-mercados/conductores-lineas-aereas?task=callelement&amp;format=raw&amp;item_id=401&amp;element" TargetMode="External"/><Relationship Id="rId424" Type="http://schemas.openxmlformats.org/officeDocument/2006/relationships/hyperlink" Target="https://doi.org/10.1088/1757-899X/610/1/012056" TargetMode="External"/><Relationship Id="rId631" Type="http://schemas.openxmlformats.org/officeDocument/2006/relationships/hyperlink" Target="https://www.akorda.kz/ru/poslanie-glavy-gosudarstva-kasym-zhomarta-tokaeva-narodu-kazahstana-181130" TargetMode="External"/><Relationship Id="rId729" Type="http://schemas.openxmlformats.org/officeDocument/2006/relationships/footer" Target="footer17.xml"/><Relationship Id="rId270" Type="http://schemas.openxmlformats.org/officeDocument/2006/relationships/image" Target="media/image760.png"/><Relationship Id="rId65" Type="http://schemas.openxmlformats.org/officeDocument/2006/relationships/image" Target="media/image30.png"/><Relationship Id="rId130" Type="http://schemas.openxmlformats.org/officeDocument/2006/relationships/image" Target="media/image90.png"/><Relationship Id="rId368" Type="http://schemas.openxmlformats.org/officeDocument/2006/relationships/hyperlink" Target="https://www.microwavejournal.com/articles/32524-taoglas-cellular-antennas-include-latest-lte-5g-bands-for-global-deployments" TargetMode="External"/><Relationship Id="rId575" Type="http://schemas.openxmlformats.org/officeDocument/2006/relationships/image" Target="media/image323.png"/><Relationship Id="rId782" Type="http://schemas.openxmlformats.org/officeDocument/2006/relationships/hyperlink" Target="https://skillbox.ru/media/education/opublikovana-strategiya-tsifrovoy-transformatsii-nauki/" TargetMode="External"/><Relationship Id="rId228" Type="http://schemas.openxmlformats.org/officeDocument/2006/relationships/image" Target="media/image168.jpg"/><Relationship Id="rId435" Type="http://schemas.openxmlformats.org/officeDocument/2006/relationships/image" Target="media/image231.jpg"/><Relationship Id="rId642" Type="http://schemas.openxmlformats.org/officeDocument/2006/relationships/hyperlink" Target="https://www.akorda.kz/ru/poslanie-glavy-gosudarstva-kasym-zhomarta-tokaeva-narodu-kazahstana-181130" TargetMode="External"/><Relationship Id="rId281" Type="http://schemas.openxmlformats.org/officeDocument/2006/relationships/image" Target="media/image820.png"/><Relationship Id="rId502" Type="http://schemas.openxmlformats.org/officeDocument/2006/relationships/image" Target="media/image290.jpg"/><Relationship Id="rId76" Type="http://schemas.openxmlformats.org/officeDocument/2006/relationships/image" Target="media/image36.png"/><Relationship Id="rId141" Type="http://schemas.openxmlformats.org/officeDocument/2006/relationships/hyperlink" Target="https://docs.opencv.org/" TargetMode="External"/><Relationship Id="rId379" Type="http://schemas.openxmlformats.org/officeDocument/2006/relationships/hyperlink" Target="https://www.electronicdesign.com/industrial-automaion/can-5g-handle-next-gen-data.%5B13%5D%20%20IEC%206100-4-36%20EMC%20Part%204-36:%20Testing%20and%20measurement%20techniques%20%E2%80%93%20IEMI%20immunity%20test%20methods%20for%20equipment%20and%20systems.%20%E2%80%93%20IEC.%20%E2%80%93%202014.%20%E2%80%93%2088%20c.%20%20%5B14%5D%20Sanitary%20and%20Epidemiological%20Requirements%20for%20Radio%20Engineering%20Facilities.%20Resolution%20of%20the%20Government%20of%20the%20Republic%20of%20Kazakhstan%20dated%20November%2015,%202011%20No.%201341." TargetMode="External"/><Relationship Id="rId586" Type="http://schemas.openxmlformats.org/officeDocument/2006/relationships/image" Target="media/image334.png"/><Relationship Id="rId793" Type="http://schemas.openxmlformats.org/officeDocument/2006/relationships/hyperlink" Target="https://skillbox.ru/media/education/opublikovana-strategiya-tsifrovoy-transformatsii-nauki/" TargetMode="External"/><Relationship Id="rId807" Type="http://schemas.openxmlformats.org/officeDocument/2006/relationships/hyperlink" Target="https://skillbox.ru/media/education/opublikovana-strategiya-tsifrovoy-transformatsii-nauki/" TargetMode="External"/><Relationship Id="rId7" Type="http://schemas.openxmlformats.org/officeDocument/2006/relationships/footer" Target="footer1.xml"/><Relationship Id="rId239" Type="http://schemas.openxmlformats.org/officeDocument/2006/relationships/image" Target="media/image176.jpg"/><Relationship Id="rId446" Type="http://schemas.openxmlformats.org/officeDocument/2006/relationships/image" Target="media/image236.jpg"/><Relationship Id="rId653" Type="http://schemas.openxmlformats.org/officeDocument/2006/relationships/hyperlink" Target="https://www.akorda.kz/ru/poslanie-glavy-gosudarstva-kasym-zhomarta-tokaeva-narodu-kazahstana-181130" TargetMode="External"/><Relationship Id="rId250" Type="http://schemas.openxmlformats.org/officeDocument/2006/relationships/image" Target="media/image349.png"/><Relationship Id="rId292" Type="http://schemas.openxmlformats.org/officeDocument/2006/relationships/image" Target="media/image206.jpg"/><Relationship Id="rId306" Type="http://schemas.openxmlformats.org/officeDocument/2006/relationships/hyperlink" Target="https://docplayer.ru/26313075-Problemy-sovremennyh-kompyuternyh-setey.html" TargetMode="External"/><Relationship Id="rId488" Type="http://schemas.openxmlformats.org/officeDocument/2006/relationships/image" Target="media/image276.png"/><Relationship Id="rId695" Type="http://schemas.openxmlformats.org/officeDocument/2006/relationships/hyperlink" Target="https://gtmarket.ru/ratings/global-education-expenditure" TargetMode="External"/><Relationship Id="rId709" Type="http://schemas.openxmlformats.org/officeDocument/2006/relationships/hyperlink" Target="https://ru.wikipedia.org/wiki/%D0%AD%D0%BA%D1%81%D0%BF%D0%B5%D1%80%D1%82%D0%BD%D0%B0%D1%8F_%D1%81%D0%B8%D1%81%D1%82%D0%B5%D0%BC%D0%B0" TargetMode="External"/><Relationship Id="rId860" Type="http://schemas.openxmlformats.org/officeDocument/2006/relationships/hyperlink" Target="https://www.tadviser.ru/index.php/%D0%98%D1%81%D0%BA%D1%83%D1%81%D1%81%D1%82%D0%B2%D0%B5%D0%BD%D0%BD%D1%8B%D0%B9_%D0%B8%D0%BD%D1%82%D0%B5%D0%BB%D0%BB%D0%B5%D0%BA%D1%82_(%D0%98%D0%98,_Artificial_intelligence,_AI)" TargetMode="External"/><Relationship Id="rId45" Type="http://schemas.openxmlformats.org/officeDocument/2006/relationships/image" Target="media/image10.png"/><Relationship Id="rId87" Type="http://schemas.openxmlformats.org/officeDocument/2006/relationships/image" Target="media/image47.png"/><Relationship Id="rId110" Type="http://schemas.openxmlformats.org/officeDocument/2006/relationships/image" Target="media/image70.png"/><Relationship Id="rId348" Type="http://schemas.openxmlformats.org/officeDocument/2006/relationships/hyperlink" Target="https://www.microwavejournal.com/articles/32524-taoglas-cellular-antennas-include-latest-lte-5g-bands-for-global-deployments" TargetMode="External"/><Relationship Id="rId513" Type="http://schemas.openxmlformats.org/officeDocument/2006/relationships/hyperlink" Target="https://missilery.info/missile/15a14" TargetMode="External"/><Relationship Id="rId555" Type="http://schemas.openxmlformats.org/officeDocument/2006/relationships/image" Target="media/image303.png"/><Relationship Id="rId597" Type="http://schemas.openxmlformats.org/officeDocument/2006/relationships/image" Target="media/image345.jpg"/><Relationship Id="rId720" Type="http://schemas.openxmlformats.org/officeDocument/2006/relationships/hyperlink" Target="https://cran.r-project.org/web/classifications/JEL.html" TargetMode="External"/><Relationship Id="rId762" Type="http://schemas.openxmlformats.org/officeDocument/2006/relationships/hyperlink" Target="https://www.sciencemon.ru/" TargetMode="External"/><Relationship Id="rId818" Type="http://schemas.openxmlformats.org/officeDocument/2006/relationships/hyperlink" Target="https://skillbox.ru/media/education/opublikovana-strategiya-tsifrovoy-transformatsii-nauki/" TargetMode="External"/><Relationship Id="rId152" Type="http://schemas.openxmlformats.org/officeDocument/2006/relationships/image" Target="media/image106.png"/><Relationship Id="rId194" Type="http://schemas.openxmlformats.org/officeDocument/2006/relationships/image" Target="media/image146.png"/><Relationship Id="rId208" Type="http://schemas.openxmlformats.org/officeDocument/2006/relationships/hyperlink" Target="https://top3dshop.ru/materiali/filamentarno-wax3d-base-green-05kg.html" TargetMode="External"/><Relationship Id="rId415" Type="http://schemas.openxmlformats.org/officeDocument/2006/relationships/image" Target="media/image217.jpg"/><Relationship Id="rId457" Type="http://schemas.openxmlformats.org/officeDocument/2006/relationships/image" Target="media/image247.jpg"/><Relationship Id="rId622" Type="http://schemas.openxmlformats.org/officeDocument/2006/relationships/image" Target="media/image1690.jpg"/><Relationship Id="rId261" Type="http://schemas.openxmlformats.org/officeDocument/2006/relationships/image" Target="media/image188.png"/><Relationship Id="rId499" Type="http://schemas.openxmlformats.org/officeDocument/2006/relationships/image" Target="media/image287.jpg"/><Relationship Id="rId664" Type="http://schemas.openxmlformats.org/officeDocument/2006/relationships/hyperlink" Target="https://ru.wikipedia.org/wiki/%25D0%25A5%25D0%25B8%25D1%2589%25D0%25B5%25D0%25BD%25D0%25B8%25D0%25B5_%25D1%2581%25D0%25BE%25D1%2586%25D0%25B8%25D0%25B0%25D0%25BB%25D0%25B8%25D1%2581%25D1%2582%25D0%25B8%25D1%2587%25D0%25B5%25D1%2581%25D0%25BA%25D0%25BE%25D0%25B9_%25D1%2581%25D0%25BE%25D0%25B1%25D1%2581%25D1%2582%25D0%25B2%25D0%25B5%25D0%25BD%25D0%25BD%25D0%25BE%25D1%2581%25D1%2582%25D0%25B8" TargetMode="External"/><Relationship Id="rId871" Type="http://schemas.openxmlformats.org/officeDocument/2006/relationships/hyperlink" Target="https://www.kegoc.kz/sites/default/files/files/prilozhenie_2.xls" TargetMode="External"/><Relationship Id="rId14" Type="http://schemas.openxmlformats.org/officeDocument/2006/relationships/hyperlink" Target="https://doi.org/10.1007/s00024-019-02138-y" TargetMode="External"/><Relationship Id="rId56" Type="http://schemas.openxmlformats.org/officeDocument/2006/relationships/image" Target="media/image21.png"/><Relationship Id="rId317" Type="http://schemas.openxmlformats.org/officeDocument/2006/relationships/hyperlink" Target="https://www.eetimes.com/ericsson-warns-that-open-ran-compromises-security/" TargetMode="External"/><Relationship Id="rId359" Type="http://schemas.openxmlformats.org/officeDocument/2006/relationships/hyperlink" Target="https://www.microwavejournal.com/articles/32524-taoglas-cellular-antennas-include-latest-lte-5g-bands-for-global-deployments" TargetMode="External"/><Relationship Id="rId524" Type="http://schemas.openxmlformats.org/officeDocument/2006/relationships/hyperlink" Target="https://ru.wikipedia.org/wiki/%D0%9C%D0%BE%D1%81%D0%BA%D0%BE%D0%B2%D1%81%D0%BA%D0%B8%D0%B9_%D0%B3%D0%BE%D1%81%D1%83%D0%B4%D0%B0%D1%80%D1%81%D1%82%D0%B2%D0%B5%D0%BD%D0%BD%D1%8B%D0%B9_%D1%82%D0%B5%D1%85%D0%BD%D0%B8%D1%87%D0%B5%D1%81%D0%BA%D0%B8%D0%B9_%D1%83%D0%BD%D0%B8%D0%B2%D0%B5%D1%80%D1%81%D0%B8%D1%82%D0%B5%D1%82_%D0%B8%D0%BC%D0%B5%D0%BD%D0%B8_%D0%9D._%D0%AD._%D0%91%D0%B0%D1%83%D0%BC%D0%B0%D0%BD%D0%B0" TargetMode="External"/><Relationship Id="rId566" Type="http://schemas.openxmlformats.org/officeDocument/2006/relationships/image" Target="media/image314.png"/><Relationship Id="rId731" Type="http://schemas.openxmlformats.org/officeDocument/2006/relationships/hyperlink" Target="https://elibrary.ru/" TargetMode="External"/><Relationship Id="rId773" Type="http://schemas.openxmlformats.org/officeDocument/2006/relationships/image" Target="media/image177.jpg"/><Relationship Id="rId98" Type="http://schemas.openxmlformats.org/officeDocument/2006/relationships/image" Target="media/image58.png"/><Relationship Id="rId121" Type="http://schemas.openxmlformats.org/officeDocument/2006/relationships/image" Target="media/image81.png"/><Relationship Id="rId163" Type="http://schemas.openxmlformats.org/officeDocument/2006/relationships/image" Target="media/image117.png"/><Relationship Id="rId219" Type="http://schemas.openxmlformats.org/officeDocument/2006/relationships/image" Target="media/image52.jpg"/><Relationship Id="rId370" Type="http://schemas.openxmlformats.org/officeDocument/2006/relationships/hyperlink" Target="https://www.microwavejournal.com/articles/32524-taoglas-cellular-antennas-include-latest-lte-5g-bands-for-global-deployments" TargetMode="External"/><Relationship Id="rId426" Type="http://schemas.openxmlformats.org/officeDocument/2006/relationships/hyperlink" Target="https://doi.org/10.1088/1757-899X/610/1/012056" TargetMode="External"/><Relationship Id="rId633" Type="http://schemas.openxmlformats.org/officeDocument/2006/relationships/hyperlink" Target="https://www.akorda.kz/ru/poslanie-glavy-gosudarstva-kasym-zhomarta-tokaeva-narodu-kazahstana-181130" TargetMode="External"/><Relationship Id="rId829" Type="http://schemas.openxmlformats.org/officeDocument/2006/relationships/image" Target="media/image380.jpg"/><Relationship Id="rId230" Type="http://schemas.openxmlformats.org/officeDocument/2006/relationships/image" Target="media/image170.jpg"/><Relationship Id="rId468" Type="http://schemas.openxmlformats.org/officeDocument/2006/relationships/image" Target="media/image258.jpg"/><Relationship Id="rId675" Type="http://schemas.openxmlformats.org/officeDocument/2006/relationships/hyperlink" Target="https://ru.wikipedia.org/wiki/%25D0%259A%25D1%2583%25D0%25BB%25D0%25B0%25D0%25BA_(%25D0%25BA%25D1%2580%25D0%25B5%25D1%2581%25D1%2582%25D1%258C%25D1%258F%25D0%25BD%25D0%25B8%25D0%25BD)" TargetMode="External"/><Relationship Id="rId840" Type="http://schemas.openxmlformats.org/officeDocument/2006/relationships/image" Target="media/image391.jpg"/><Relationship Id="rId882" Type="http://schemas.openxmlformats.org/officeDocument/2006/relationships/fontTable" Target="fontTable.xml"/><Relationship Id="rId25" Type="http://schemas.openxmlformats.org/officeDocument/2006/relationships/hyperlink" Target="https://doi.org/10.1016/j.jseaes.2021.104710" TargetMode="External"/><Relationship Id="rId67" Type="http://schemas.openxmlformats.org/officeDocument/2006/relationships/image" Target="media/image32.png"/><Relationship Id="rId272" Type="http://schemas.openxmlformats.org/officeDocument/2006/relationships/image" Target="media/image191.png"/><Relationship Id="rId328" Type="http://schemas.openxmlformats.org/officeDocument/2006/relationships/hyperlink" Target="https://www.microwavejournal.com/articles/34308-%20keysights-5g-test-platforms-selected-by-mavenir-to-accelerate-software-development9" TargetMode="External"/><Relationship Id="rId535" Type="http://schemas.openxmlformats.org/officeDocument/2006/relationships/hyperlink" Target="https://ru.wikipedia.org/wiki/%D0%A1%D0%BB%D1%83%D0%B6%D0%B5%D0%B1%D0%BD%D0%B0%D1%8F:%D0%98%D1%81%D1%82%D0%BE%D1%87%D0%BD%D0%B8%D0%BA%D0%B8_%D0%BA%D0%BD%D0%B8%D0%B3/9785703832509" TargetMode="External"/><Relationship Id="rId577" Type="http://schemas.openxmlformats.org/officeDocument/2006/relationships/image" Target="media/image325.png"/><Relationship Id="rId700" Type="http://schemas.openxmlformats.org/officeDocument/2006/relationships/hyperlink" Target="https://rosstat.gov.ru/opendata/" TargetMode="External"/><Relationship Id="rId742" Type="http://schemas.openxmlformats.org/officeDocument/2006/relationships/hyperlink" Target="https://www.scopus.com/" TargetMode="External"/><Relationship Id="rId132" Type="http://schemas.openxmlformats.org/officeDocument/2006/relationships/image" Target="media/image92.png"/><Relationship Id="rId174" Type="http://schemas.openxmlformats.org/officeDocument/2006/relationships/image" Target="media/image420.png"/><Relationship Id="rId381" Type="http://schemas.openxmlformats.org/officeDocument/2006/relationships/hyperlink" Target="https://www.electronicdesign.com/industrial-automaion/can-5g-handle-next-gen-data.%5B13%5D%20%20IEC%206100-4-36%20EMC%20Part%204-36:%20Testing%20and%20measurement%20techniques%20%E2%80%93%20IEMI%20immunity%20test%20methods%20for%20equipment%20and%20systems.%20%E2%80%93%20IEC.%20%E2%80%93%202014.%20%E2%80%93%2088%20c.%20%20%5B14%5D%20Sanitary%20and%20Epidemiological%20Requirements%20for%20Radio%20Engineering%20Facilities.%20Resolution%20of%20the%20Government%20of%20the%20Republic%20of%20Kazakhstan%20dated%20November%2015,%202011%20No.%201341." TargetMode="External"/><Relationship Id="rId602" Type="http://schemas.openxmlformats.org/officeDocument/2006/relationships/hyperlink" Target="https://www.sas.com/en_us/insights/analytics/what-is-artificial-intelligence.html" TargetMode="External"/><Relationship Id="rId784" Type="http://schemas.openxmlformats.org/officeDocument/2006/relationships/hyperlink" Target="https://skillbox.ru/media/education/opublikovana-strategiya-tsifrovoy-transformatsii-nauki/" TargetMode="External"/><Relationship Id="rId241" Type="http://schemas.openxmlformats.org/officeDocument/2006/relationships/image" Target="media/image64.jpg"/><Relationship Id="rId437" Type="http://schemas.openxmlformats.org/officeDocument/2006/relationships/image" Target="media/image113.jpg"/><Relationship Id="rId479" Type="http://schemas.openxmlformats.org/officeDocument/2006/relationships/image" Target="media/image1500.png"/><Relationship Id="rId644" Type="http://schemas.openxmlformats.org/officeDocument/2006/relationships/hyperlink" Target="https://www.akorda.kz/ru/poslanie-glavy-gosudarstva-kasym-zhomarta-tokaeva-narodu-kazahstana-181130" TargetMode="External"/><Relationship Id="rId686" Type="http://schemas.openxmlformats.org/officeDocument/2006/relationships/hyperlink" Target="https://ru.wikipedia.org/wiki/" TargetMode="External"/><Relationship Id="rId851" Type="http://schemas.openxmlformats.org/officeDocument/2006/relationships/hyperlink" Target="http://www.educationaldesigner.org/ed/volume1/issue1/art%20icle2" TargetMode="External"/><Relationship Id="rId36" Type="http://schemas.openxmlformats.org/officeDocument/2006/relationships/image" Target="media/image1.png"/><Relationship Id="rId283" Type="http://schemas.openxmlformats.org/officeDocument/2006/relationships/image" Target="media/image197.png"/><Relationship Id="rId339" Type="http://schemas.openxmlformats.org/officeDocument/2006/relationships/hyperlink" Target="https://www.microwavejournal.com/articles/34308-%20keysights-5g-test-platforms-selected-by-mavenir-to-accelerate-software-development9" TargetMode="External"/><Relationship Id="rId490" Type="http://schemas.openxmlformats.org/officeDocument/2006/relationships/image" Target="media/image278.png"/><Relationship Id="rId504" Type="http://schemas.openxmlformats.org/officeDocument/2006/relationships/hyperlink" Target="http://arxiv.org/abs/2006.12567" TargetMode="External"/><Relationship Id="rId546" Type="http://schemas.openxmlformats.org/officeDocument/2006/relationships/image" Target="media/image294.png"/><Relationship Id="rId711" Type="http://schemas.openxmlformats.org/officeDocument/2006/relationships/hyperlink" Target="https://ru.wikipedia.org/wiki/%D0%91%D0%B0%D0%B7%D0%B0_%D0%B7%D0%BD%D0%B0%D0%BD%D0%B8%D0%B9" TargetMode="External"/><Relationship Id="rId753" Type="http://schemas.openxmlformats.org/officeDocument/2006/relationships/hyperlink" Target="https://monitoring.miccedu.ru/" TargetMode="External"/><Relationship Id="rId78" Type="http://schemas.openxmlformats.org/officeDocument/2006/relationships/image" Target="media/image38.png"/><Relationship Id="rId101" Type="http://schemas.openxmlformats.org/officeDocument/2006/relationships/image" Target="media/image61.png"/><Relationship Id="rId143" Type="http://schemas.openxmlformats.org/officeDocument/2006/relationships/image" Target="media/image100.jpg"/><Relationship Id="rId185" Type="http://schemas.openxmlformats.org/officeDocument/2006/relationships/image" Target="media/image137.png"/><Relationship Id="rId350" Type="http://schemas.openxmlformats.org/officeDocument/2006/relationships/hyperlink" Target="https://www.microwavejournal.com/articles/32524-taoglas-cellular-antennas-include-latest-lte-5g-bands-for-global-deployments" TargetMode="External"/><Relationship Id="rId406" Type="http://schemas.openxmlformats.org/officeDocument/2006/relationships/hyperlink" Target="https://www.electronicdesign.com/industrial-automaion/can-5g-handle-next-gen-data.%5B13%5D%20%20IEC%206100-4-36%20EMC%20Part%204-36:%20Testing%20and%20measurement%20techniques%20%E2%80%93%20IEMI%20immunity%20test%20methods%20for%20equipment%20and%20systems.%20%E2%80%93%20IEC.%20%E2%80%93%202014.%20%E2%80%93%2088%20c.%20%20%5B14%5D%20Sanitary%20and%20Epidemiological%20Requirements%20for%20Radio%20Engineering%20Facilities.%20Resolution%20of%20the%20Government%20of%20the%20Republic%20of%20Kazakhstan%20dated%20November%2015,%202011%20No.%201341." TargetMode="External"/><Relationship Id="rId588" Type="http://schemas.openxmlformats.org/officeDocument/2006/relationships/image" Target="media/image336.png"/><Relationship Id="rId795" Type="http://schemas.openxmlformats.org/officeDocument/2006/relationships/hyperlink" Target="https://skillbox.ru/media/education/opublikovana-strategiya-tsifrovoy-transformatsii-nauki/" TargetMode="External"/><Relationship Id="rId809" Type="http://schemas.openxmlformats.org/officeDocument/2006/relationships/hyperlink" Target="https://skillbox.ru/media/education/opublikovana-strategiya-tsifrovoy-transformatsii-nauki/" TargetMode="External"/><Relationship Id="rId9" Type="http://schemas.openxmlformats.org/officeDocument/2006/relationships/footer" Target="footer3.xml"/><Relationship Id="rId210" Type="http://schemas.openxmlformats.org/officeDocument/2006/relationships/image" Target="media/image157.jpg"/><Relationship Id="rId392" Type="http://schemas.openxmlformats.org/officeDocument/2006/relationships/hyperlink" Target="https://www.electronicdesign.com/industrial-automaion/can-5g-handle-next-gen-data.%5B13%5D%20%20IEC%206100-4-36%20EMC%20Part%204-36:%20Testing%20and%20measurement%20techniques%20%E2%80%93%20IEMI%20immunity%20test%20methods%20for%20equipment%20and%20systems.%20%E2%80%93%20IEC.%20%E2%80%93%202014.%20%E2%80%93%2088%20c.%20%20%5B14%5D%20Sanitary%20and%20Epidemiological%20Requirements%20for%20Radio%20Engineering%20Facilities.%20Resolution%20of%20the%20Government%20of%20the%20Republic%20of%20Kazakhstan%20dated%20November%2015,%202011%20No.%201341." TargetMode="External"/><Relationship Id="rId448" Type="http://schemas.openxmlformats.org/officeDocument/2006/relationships/image" Target="media/image238.jpg"/><Relationship Id="rId613" Type="http://schemas.openxmlformats.org/officeDocument/2006/relationships/image" Target="media/image354.png"/><Relationship Id="rId655" Type="http://schemas.openxmlformats.org/officeDocument/2006/relationships/hyperlink" Target="https://www.akorda.kz/ru/poslanie-glavy-gosudarstva-kasym-zhomarta-tokaeva-narodu-kazahstana-181130" TargetMode="External"/><Relationship Id="rId697" Type="http://schemas.openxmlformats.org/officeDocument/2006/relationships/hyperlink" Target="https://gtmarket.ru/ratings/global-education-expenditure" TargetMode="External"/><Relationship Id="rId820" Type="http://schemas.openxmlformats.org/officeDocument/2006/relationships/footer" Target="footer22.xml"/><Relationship Id="rId862" Type="http://schemas.openxmlformats.org/officeDocument/2006/relationships/hyperlink" Target="https://cran.r-project.org/web/classifications/JEL.html" TargetMode="External"/><Relationship Id="rId252" Type="http://schemas.openxmlformats.org/officeDocument/2006/relationships/image" Target="media/image181.jpg"/><Relationship Id="rId294" Type="http://schemas.openxmlformats.org/officeDocument/2006/relationships/image" Target="media/image208.jpg"/><Relationship Id="rId308" Type="http://schemas.openxmlformats.org/officeDocument/2006/relationships/hyperlink" Target="https://docplayer.ru/26313075-Problemy-sovremennyh-kompyuternyh-setey.html" TargetMode="External"/><Relationship Id="rId515" Type="http://schemas.openxmlformats.org/officeDocument/2006/relationships/hyperlink" Target="https://missilery.info/missile/15a14" TargetMode="External"/><Relationship Id="rId722" Type="http://schemas.openxmlformats.org/officeDocument/2006/relationships/hyperlink" Target="https://cran.r-project.org/web/classifications/JEL.html" TargetMode="External"/><Relationship Id="rId47" Type="http://schemas.openxmlformats.org/officeDocument/2006/relationships/image" Target="media/image12.png"/><Relationship Id="rId89" Type="http://schemas.openxmlformats.org/officeDocument/2006/relationships/image" Target="media/image49.png"/><Relationship Id="rId112" Type="http://schemas.openxmlformats.org/officeDocument/2006/relationships/image" Target="media/image72.png"/><Relationship Id="rId154" Type="http://schemas.openxmlformats.org/officeDocument/2006/relationships/image" Target="media/image108.png"/><Relationship Id="rId361" Type="http://schemas.openxmlformats.org/officeDocument/2006/relationships/hyperlink" Target="https://www.microwavejournal.com/articles/32524-taoglas-cellular-antennas-include-latest-lte-5g-bands-for-global-deployments" TargetMode="External"/><Relationship Id="rId557" Type="http://schemas.openxmlformats.org/officeDocument/2006/relationships/image" Target="media/image305.png"/><Relationship Id="rId599" Type="http://schemas.openxmlformats.org/officeDocument/2006/relationships/image" Target="media/image347.jpg"/><Relationship Id="rId764" Type="http://schemas.openxmlformats.org/officeDocument/2006/relationships/hyperlink" Target="https://www.sciencemon.ru/" TargetMode="External"/><Relationship Id="rId196" Type="http://schemas.openxmlformats.org/officeDocument/2006/relationships/image" Target="media/image148.png"/><Relationship Id="rId417" Type="http://schemas.openxmlformats.org/officeDocument/2006/relationships/image" Target="media/image219.jpg"/><Relationship Id="rId459" Type="http://schemas.openxmlformats.org/officeDocument/2006/relationships/image" Target="media/image249.jpg"/><Relationship Id="rId624" Type="http://schemas.openxmlformats.org/officeDocument/2006/relationships/image" Target="media/image363.jpg"/><Relationship Id="rId666" Type="http://schemas.openxmlformats.org/officeDocument/2006/relationships/hyperlink" Target="https://ru.wikipedia.org/wiki/%25D0%25A5%25D0%25B8%25D1%2589%25D0%25B5%25D0%25BD%25D0%25B8%25D0%25B5_%25D1%2581%25D0%25BE%25D1%2586%25D0%25B8%25D0%25B0%25D0%25BB%25D0%25B8%25D1%2581%25D1%2582%25D0%25B8%25D1%2587%25D0%25B5%25D1%2581%25D0%25BA%25D0%25BE%25D0%25B9_%25D1%2581%25D0%25BE%25D0%25B1%25D1%2581%25D1%2582%25D0%25B2%25D0%25B5%25D0%25BD%25D0%25BD%25D0%25BE%25D1%2581%25D1%2582%25D0%25B8" TargetMode="External"/><Relationship Id="rId831" Type="http://schemas.openxmlformats.org/officeDocument/2006/relationships/image" Target="media/image382.jpg"/><Relationship Id="rId873" Type="http://schemas.openxmlformats.org/officeDocument/2006/relationships/footer" Target="footer29.xml"/><Relationship Id="rId16" Type="http://schemas.openxmlformats.org/officeDocument/2006/relationships/hyperlink" Target="https://doi.org/10.1007/s00024-019-02138-y" TargetMode="External"/><Relationship Id="rId221" Type="http://schemas.openxmlformats.org/officeDocument/2006/relationships/image" Target="media/image164.jpg"/><Relationship Id="rId263" Type="http://schemas.openxmlformats.org/officeDocument/2006/relationships/image" Target="media/image190.png"/><Relationship Id="rId319" Type="http://schemas.openxmlformats.org/officeDocument/2006/relationships/hyperlink" Target="https://www.eetimes.com/ericsson-warns-that-open-ran-compromises-security/" TargetMode="External"/><Relationship Id="rId470" Type="http://schemas.openxmlformats.org/officeDocument/2006/relationships/image" Target="media/image260.png"/><Relationship Id="rId526" Type="http://schemas.openxmlformats.org/officeDocument/2006/relationships/hyperlink" Target="https://ru.wikipedia.org/wiki/%D0%A1%D0%BB%D1%83%D0%B6%D0%B5%D0%B1%D0%BD%D0%B0%D1%8F:%D0%98%D1%81%D1%82%D0%BE%D1%87%D0%BD%D0%B8%D0%BA%D0%B8_%D0%BA%D0%BD%D0%B8%D0%B3/9785703832509" TargetMode="External"/><Relationship Id="rId58" Type="http://schemas.openxmlformats.org/officeDocument/2006/relationships/image" Target="media/image23.png"/><Relationship Id="rId123" Type="http://schemas.openxmlformats.org/officeDocument/2006/relationships/image" Target="media/image83.png"/><Relationship Id="rId330" Type="http://schemas.openxmlformats.org/officeDocument/2006/relationships/hyperlink" Target="https://www.microwavejournal.com/articles/34308-%20keysights-5g-test-platforms-selected-by-mavenir-to-accelerate-software-development9" TargetMode="External"/><Relationship Id="rId568" Type="http://schemas.openxmlformats.org/officeDocument/2006/relationships/image" Target="media/image316.png"/><Relationship Id="rId733" Type="http://schemas.openxmlformats.org/officeDocument/2006/relationships/hyperlink" Target="https://elibrary.ru/" TargetMode="External"/><Relationship Id="rId775" Type="http://schemas.openxmlformats.org/officeDocument/2006/relationships/footer" Target="footer19.xml"/><Relationship Id="rId165" Type="http://schemas.openxmlformats.org/officeDocument/2006/relationships/image" Target="media/image119.png"/><Relationship Id="rId372" Type="http://schemas.openxmlformats.org/officeDocument/2006/relationships/hyperlink" Target="http://www.itu.int/en/ITU-T/gsi/iot/Pages/default.aspx" TargetMode="External"/><Relationship Id="rId428" Type="http://schemas.openxmlformats.org/officeDocument/2006/relationships/image" Target="media/image224.jpg"/><Relationship Id="rId635" Type="http://schemas.openxmlformats.org/officeDocument/2006/relationships/hyperlink" Target="https://www.akorda.kz/ru/poslanie-glavy-gosudarstva-kasym-zhomarta-tokaeva-narodu-kazahstana-181130" TargetMode="External"/><Relationship Id="rId677" Type="http://schemas.openxmlformats.org/officeDocument/2006/relationships/hyperlink" Target="https://ru.wikipedia.org/wiki/%25D0%259A%25D1%2583%25D0%25BB%25D0%25B0%25D0%25BA_(%25D0%25BA%25D1%2580%25D0%25B5%25D1%2581%25D1%2582%25D1%258C%25D1%258F%25D0%25BD%25D0%25B8%25D0%25BD)" TargetMode="External"/><Relationship Id="rId800" Type="http://schemas.openxmlformats.org/officeDocument/2006/relationships/hyperlink" Target="https://skillbox.ru/media/education/opublikovana-strategiya-tsifrovoy-transformatsii-nauki/" TargetMode="External"/><Relationship Id="rId842" Type="http://schemas.openxmlformats.org/officeDocument/2006/relationships/footer" Target="footer25.xml"/><Relationship Id="rId232" Type="http://schemas.openxmlformats.org/officeDocument/2006/relationships/image" Target="media/image59.jpg"/><Relationship Id="rId274" Type="http://schemas.openxmlformats.org/officeDocument/2006/relationships/image" Target="media/image193.png"/><Relationship Id="rId481" Type="http://schemas.openxmlformats.org/officeDocument/2006/relationships/image" Target="media/image269.png"/><Relationship Id="rId702" Type="http://schemas.openxmlformats.org/officeDocument/2006/relationships/footer" Target="footer10.xml"/><Relationship Id="rId27" Type="http://schemas.openxmlformats.org/officeDocument/2006/relationships/hyperlink" Target="https://doi.org/10.1016/j.jseaes.2010.03.005" TargetMode="External"/><Relationship Id="rId134" Type="http://schemas.openxmlformats.org/officeDocument/2006/relationships/image" Target="media/image94.png"/><Relationship Id="rId537" Type="http://schemas.openxmlformats.org/officeDocument/2006/relationships/hyperlink" Target="https://ru.wikipedia.org/wiki/%D0%A1%D0%BB%D1%83%D0%B6%D0%B5%D0%B1%D0%BD%D0%B0%D1%8F:%D0%98%D1%81%D1%82%D0%BE%D1%87%D0%BD%D0%B8%D0%BA%D0%B8_%D0%BA%D0%BD%D0%B8%D0%B3/9785703832509" TargetMode="External"/><Relationship Id="rId579" Type="http://schemas.openxmlformats.org/officeDocument/2006/relationships/image" Target="media/image327.png"/><Relationship Id="rId744" Type="http://schemas.openxmlformats.org/officeDocument/2006/relationships/hyperlink" Target="https://www.scopus.com/" TargetMode="External"/><Relationship Id="rId786" Type="http://schemas.openxmlformats.org/officeDocument/2006/relationships/hyperlink" Target="https://skillbox.ru/media/education/opublikovana-strategiya-tsifrovoy-transformatsii-nauki/" TargetMode="External"/><Relationship Id="rId80" Type="http://schemas.openxmlformats.org/officeDocument/2006/relationships/image" Target="media/image40.png"/><Relationship Id="rId176" Type="http://schemas.openxmlformats.org/officeDocument/2006/relationships/image" Target="media/image128.png"/><Relationship Id="rId341" Type="http://schemas.openxmlformats.org/officeDocument/2006/relationships/hyperlink" Target="https://www.microwavejournal.com/articles/34308-%20keysights-5g-test-platforms-selected-by-mavenir-to-accelerate-software-development9" TargetMode="External"/><Relationship Id="rId383" Type="http://schemas.openxmlformats.org/officeDocument/2006/relationships/hyperlink" Target="https://www.electronicdesign.com/industrial-automaion/can-5g-handle-next-gen-data.%5B13%5D%20%20IEC%206100-4-36%20EMC%20Part%204-36:%20Testing%20and%20measurement%20techniques%20%E2%80%93%20IEMI%20immunity%20test%20methods%20for%20equipment%20and%20systems.%20%E2%80%93%20IEC.%20%E2%80%93%202014.%20%E2%80%93%2088%20c.%20%20%5B14%5D%20Sanitary%20and%20Epidemiological%20Requirements%20for%20Radio%20Engineering%20Facilities.%20Resolution%20of%20the%20Government%20of%20the%20Republic%20of%20Kazakhstan%20dated%20November%2015,%202011%20No.%201341." TargetMode="External"/><Relationship Id="rId439" Type="http://schemas.openxmlformats.org/officeDocument/2006/relationships/image" Target="media/image115.jpg"/><Relationship Id="rId590" Type="http://schemas.openxmlformats.org/officeDocument/2006/relationships/image" Target="media/image338.png"/><Relationship Id="rId604" Type="http://schemas.openxmlformats.org/officeDocument/2006/relationships/hyperlink" Target="https://www.sas.com/en_us/insights/analytics/what-is-artificial-intelligence.html" TargetMode="External"/><Relationship Id="rId646" Type="http://schemas.openxmlformats.org/officeDocument/2006/relationships/hyperlink" Target="https://www.akorda.kz/ru/poslanie-glavy-gosudarstva-kasym-zhomarta-tokaeva-narodu-kazahstana-181130" TargetMode="External"/><Relationship Id="rId811" Type="http://schemas.openxmlformats.org/officeDocument/2006/relationships/hyperlink" Target="https://skillbox.ru/media/education/opublikovana-strategiya-tsifrovoy-transformatsii-nauki/" TargetMode="External"/><Relationship Id="rId201" Type="http://schemas.openxmlformats.org/officeDocument/2006/relationships/image" Target="media/image153.jpg"/><Relationship Id="rId243" Type="http://schemas.openxmlformats.org/officeDocument/2006/relationships/image" Target="media/image66.jpg"/><Relationship Id="rId285" Type="http://schemas.openxmlformats.org/officeDocument/2006/relationships/image" Target="media/image199.jpg"/><Relationship Id="rId450" Type="http://schemas.openxmlformats.org/officeDocument/2006/relationships/image" Target="media/image240.jpg"/><Relationship Id="rId506" Type="http://schemas.openxmlformats.org/officeDocument/2006/relationships/hyperlink" Target="http://arxiv.org/abs/2008.11867" TargetMode="External"/><Relationship Id="rId688" Type="http://schemas.openxmlformats.org/officeDocument/2006/relationships/hyperlink" Target="https://ru.wikipedia.org/wiki/" TargetMode="External"/><Relationship Id="rId853" Type="http://schemas.openxmlformats.org/officeDocument/2006/relationships/hyperlink" Target="https://www.tadviser.ru/index.php/%D0%9A%D0%BE%D0%BC%D0%BF%D0%B0%D0%BD%D0%B8%D1%8F:Baidu" TargetMode="External"/><Relationship Id="rId38" Type="http://schemas.openxmlformats.org/officeDocument/2006/relationships/image" Target="media/image3.png"/><Relationship Id="rId103" Type="http://schemas.openxmlformats.org/officeDocument/2006/relationships/image" Target="media/image63.png"/><Relationship Id="rId310" Type="http://schemas.openxmlformats.org/officeDocument/2006/relationships/hyperlink" Target="https://www.eetimes.com/ericsson-warns-that-open-ran-compromises-security/" TargetMode="External"/><Relationship Id="rId492" Type="http://schemas.openxmlformats.org/officeDocument/2006/relationships/image" Target="media/image280.png"/><Relationship Id="rId548" Type="http://schemas.openxmlformats.org/officeDocument/2006/relationships/image" Target="media/image296.png"/><Relationship Id="rId713" Type="http://schemas.openxmlformats.org/officeDocument/2006/relationships/hyperlink" Target="https://ru.wikipedia.org/wiki/%D0%A2%D0%B5%D1%85%D0%BD%D0%B8%D0%BA%D0%B0" TargetMode="External"/><Relationship Id="rId755" Type="http://schemas.openxmlformats.org/officeDocument/2006/relationships/hyperlink" Target="https://monitoring.miccedu.ru/" TargetMode="External"/><Relationship Id="rId797" Type="http://schemas.openxmlformats.org/officeDocument/2006/relationships/hyperlink" Target="https://skillbox.ru/media/education/opublikovana-strategiya-tsifrovoy-transformatsii-nauki/" TargetMode="External"/><Relationship Id="rId91" Type="http://schemas.openxmlformats.org/officeDocument/2006/relationships/image" Target="media/image51.png"/><Relationship Id="rId145" Type="http://schemas.openxmlformats.org/officeDocument/2006/relationships/footer" Target="footer5.xml"/><Relationship Id="rId187" Type="http://schemas.openxmlformats.org/officeDocument/2006/relationships/image" Target="media/image139.png"/><Relationship Id="rId352" Type="http://schemas.openxmlformats.org/officeDocument/2006/relationships/hyperlink" Target="https://www.microwavejournal.com/articles/32524-taoglas-cellular-antennas-include-latest-lte-5g-bands-for-global-deployments" TargetMode="External"/><Relationship Id="rId394" Type="http://schemas.openxmlformats.org/officeDocument/2006/relationships/hyperlink" Target="https://www.electronicdesign.com/industrial-automaion/can-5g-handle-next-gen-data.%5B13%5D%20%20IEC%206100-4-36%20EMC%20Part%204-36:%20Testing%20and%20measurement%20techniques%20%E2%80%93%20IEMI%20immunity%20test%20methods%20for%20equipment%20and%20systems.%20%E2%80%93%20IEC.%20%E2%80%93%202014.%20%E2%80%93%2088%20c.%20%20%5B14%5D%20Sanitary%20and%20Epidemiological%20Requirements%20for%20Radio%20Engineering%20Facilities.%20Resolution%20of%20the%20Government%20of%20the%20Republic%20of%20Kazakhstan%20dated%20November%2015,%202011%20No.%201341." TargetMode="External"/><Relationship Id="rId408" Type="http://schemas.openxmlformats.org/officeDocument/2006/relationships/hyperlink" Target="https://www.electronicdesign.com/industrial-automaion/can-5g-handle-next-gen-data.%5B13%5D%20%20IEC%206100-4-36%20EMC%20Part%204-36:%20Testing%20and%20measurement%20techniques%20%E2%80%93%20IEMI%20immunity%20test%20methods%20for%20equipment%20and%20systems.%20%E2%80%93%20IEC.%20%E2%80%93%202014.%20%E2%80%93%2088%20c.%20%20%5B14%5D%20Sanitary%20and%20Epidemiological%20Requirements%20for%20Radio%20Engineering%20Facilities.%20Resolution%20of%20the%20Government%20of%20the%20Republic%20of%20Kazakhstan%20dated%20November%2015,%202011%20No.%201341." TargetMode="External"/><Relationship Id="rId615" Type="http://schemas.openxmlformats.org/officeDocument/2006/relationships/image" Target="media/image356.png"/><Relationship Id="rId822" Type="http://schemas.openxmlformats.org/officeDocument/2006/relationships/footer" Target="footer24.xml"/><Relationship Id="rId212" Type="http://schemas.openxmlformats.org/officeDocument/2006/relationships/image" Target="media/image159.jpg"/><Relationship Id="rId254" Type="http://schemas.openxmlformats.org/officeDocument/2006/relationships/image" Target="media/image71.jpg"/><Relationship Id="rId657" Type="http://schemas.openxmlformats.org/officeDocument/2006/relationships/hyperlink" Target="https://ru.wikipedia.org/wiki/%25D0%25A1%25D0%25BE%25D1%2586%25D0%25B8%25D0%25B0%25D0%25BB%25D0%25B8%25D1%2581%25D1%2582%25D0%25B8%25D1%2587%25D0%25B5%25D1%2581%25D0%25BA%25D0%25B0%25D1%258F_%25D1%2581%25D0%25BE%25D0%25B1%25D1%2581%25D1%2582%25D0%25B2%25D0%25B5%25D0%25BD%25D0%25BD%25D0%25BE%25D1%2581%25D1%2582%25D1%258C" TargetMode="External"/><Relationship Id="rId699" Type="http://schemas.openxmlformats.org/officeDocument/2006/relationships/hyperlink" Target="https://gtmarket.ru/ratings/global-education-expenditure" TargetMode="External"/><Relationship Id="rId864" Type="http://schemas.openxmlformats.org/officeDocument/2006/relationships/hyperlink" Target="https://cran.r-project.org/web/classifications/JEL.html" TargetMode="External"/><Relationship Id="rId49" Type="http://schemas.openxmlformats.org/officeDocument/2006/relationships/image" Target="media/image14.png"/><Relationship Id="rId114" Type="http://schemas.openxmlformats.org/officeDocument/2006/relationships/image" Target="media/image74.png"/><Relationship Id="rId296" Type="http://schemas.openxmlformats.org/officeDocument/2006/relationships/image" Target="media/image210.jpg"/><Relationship Id="rId461" Type="http://schemas.openxmlformats.org/officeDocument/2006/relationships/image" Target="media/image251.jpg"/><Relationship Id="rId517" Type="http://schemas.openxmlformats.org/officeDocument/2006/relationships/hyperlink" Target="https://ru.wikipedia.org/wiki/%D0%91%D0%B0%D0%BB%D1%82%D0%B8%D0%B9%D1%81%D0%BA%D0%B8%D0%B9_%D0%B3%D0%BE%D1%81%D1%83%D0%B4%D0%B0%D1%80%D1%81%D1%82%D0%B2%D0%B5%D0%BD%D0%BD%D1%8B%D0%B9_%D1%82%D0%B5%D1%85%D0%BD%D0%B8%D1%87%D0%B5%D1%81%D0%BA%D0%B8%D0%B9_%D1%83%D0%BD%D0%B8%D0%B2%D0%B5%D1%80%D1%81%D0%B8%D1%82%D0%B5%D1%82_%C2%AB%D0%92%D0%BE%D0%B5%D0%BD%D0%BC%D0%B5%D1%85%C2%BB" TargetMode="External"/><Relationship Id="rId559" Type="http://schemas.openxmlformats.org/officeDocument/2006/relationships/image" Target="media/image307.png"/><Relationship Id="rId724" Type="http://schemas.openxmlformats.org/officeDocument/2006/relationships/footer" Target="footer13.xml"/><Relationship Id="rId766" Type="http://schemas.openxmlformats.org/officeDocument/2006/relationships/image" Target="media/image367.jpg"/><Relationship Id="rId60" Type="http://schemas.openxmlformats.org/officeDocument/2006/relationships/image" Target="media/image25.png"/><Relationship Id="rId156" Type="http://schemas.openxmlformats.org/officeDocument/2006/relationships/image" Target="media/image110.png"/><Relationship Id="rId198" Type="http://schemas.openxmlformats.org/officeDocument/2006/relationships/image" Target="media/image150.png"/><Relationship Id="rId321" Type="http://schemas.openxmlformats.org/officeDocument/2006/relationships/hyperlink" Target="https://www.eetimes.com/ericsson-warns-that-open-ran-compromises-security/" TargetMode="External"/><Relationship Id="rId363" Type="http://schemas.openxmlformats.org/officeDocument/2006/relationships/hyperlink" Target="https://www.microwavejournal.com/articles/32524-taoglas-cellular-antennas-include-latest-lte-5g-bands-for-global-deployments" TargetMode="External"/><Relationship Id="rId419" Type="http://schemas.openxmlformats.org/officeDocument/2006/relationships/image" Target="media/image221.jpg"/><Relationship Id="rId570" Type="http://schemas.openxmlformats.org/officeDocument/2006/relationships/image" Target="media/image318.png"/><Relationship Id="rId626" Type="http://schemas.openxmlformats.org/officeDocument/2006/relationships/footer" Target="footer8.xml"/><Relationship Id="rId223" Type="http://schemas.openxmlformats.org/officeDocument/2006/relationships/image" Target="media/image166.jpg"/><Relationship Id="rId430" Type="http://schemas.openxmlformats.org/officeDocument/2006/relationships/image" Target="media/image226.png"/><Relationship Id="rId668" Type="http://schemas.openxmlformats.org/officeDocument/2006/relationships/hyperlink" Target="https://ru.wikipedia.org/wiki/%25D0%25A0%25D0%25B0%25D1%2581%25D1%2581%25D1%2582%25D1%2580%25D0%25B5%25D0%25BB" TargetMode="External"/><Relationship Id="rId833" Type="http://schemas.openxmlformats.org/officeDocument/2006/relationships/image" Target="media/image384.jpg"/><Relationship Id="rId875" Type="http://schemas.openxmlformats.org/officeDocument/2006/relationships/footer" Target="footer31.xml"/><Relationship Id="rId18" Type="http://schemas.openxmlformats.org/officeDocument/2006/relationships/hyperlink" Target="https://doi.org/10.1007/s00024-019-02138-y" TargetMode="External"/><Relationship Id="rId265" Type="http://schemas.openxmlformats.org/officeDocument/2006/relationships/image" Target="media/image350.png"/><Relationship Id="rId472" Type="http://schemas.openxmlformats.org/officeDocument/2006/relationships/image" Target="media/image262.png"/><Relationship Id="rId528" Type="http://schemas.openxmlformats.org/officeDocument/2006/relationships/hyperlink" Target="https://ru.wikipedia.org/wiki/%D0%A1%D0%BB%D1%83%D0%B6%D0%B5%D0%B1%D0%BD%D0%B0%D1%8F:%D0%98%D1%81%D1%82%D0%BE%D1%87%D0%BD%D0%B8%D0%BA%D0%B8_%D0%BA%D0%BD%D0%B8%D0%B3/9785703832509" TargetMode="External"/><Relationship Id="rId735" Type="http://schemas.openxmlformats.org/officeDocument/2006/relationships/hyperlink" Target="https://vak.minobrnauki.gov.ru/uploader/loader?type=19&amp;name=91107547002&amp;f=11305" TargetMode="External"/><Relationship Id="rId125" Type="http://schemas.openxmlformats.org/officeDocument/2006/relationships/image" Target="media/image85.png"/><Relationship Id="rId167" Type="http://schemas.openxmlformats.org/officeDocument/2006/relationships/image" Target="media/image121.png"/><Relationship Id="rId332" Type="http://schemas.openxmlformats.org/officeDocument/2006/relationships/hyperlink" Target="https://www.microwavejournal.com/articles/34308-%20keysights-5g-test-platforms-selected-by-mavenir-to-accelerate-software-development9" TargetMode="External"/><Relationship Id="rId374" Type="http://schemas.openxmlformats.org/officeDocument/2006/relationships/hyperlink" Target="http://www.itu.int/en/ITU-T/gsi/iot/Pages/default.aspx" TargetMode="External"/><Relationship Id="rId581" Type="http://schemas.openxmlformats.org/officeDocument/2006/relationships/image" Target="media/image329.png"/><Relationship Id="rId777" Type="http://schemas.openxmlformats.org/officeDocument/2006/relationships/footer" Target="footer21.xml"/><Relationship Id="rId234" Type="http://schemas.openxmlformats.org/officeDocument/2006/relationships/image" Target="media/image61.jpg"/><Relationship Id="rId637" Type="http://schemas.openxmlformats.org/officeDocument/2006/relationships/hyperlink" Target="https://www.akorda.kz/ru/poslanie-glavy-gosudarstva-kasym-zhomarta-tokaeva-narodu-kazahstana-181130" TargetMode="External"/><Relationship Id="rId679" Type="http://schemas.openxmlformats.org/officeDocument/2006/relationships/hyperlink" Target="https://ru.wikipedia.org/wiki/%25D0%2590%25D0%25BC%25D0%25BD%25D0%25B8%25D1%2581%25D1%2582%25D0%25B8%25D1%258F" TargetMode="External"/><Relationship Id="rId802" Type="http://schemas.openxmlformats.org/officeDocument/2006/relationships/hyperlink" Target="https://skillbox.ru/media/education/opublikovana-strategiya-tsifrovoy-transformatsii-nauki/" TargetMode="External"/><Relationship Id="rId844" Type="http://schemas.openxmlformats.org/officeDocument/2006/relationships/footer" Target="footer27.xml"/><Relationship Id="rId2" Type="http://schemas.openxmlformats.org/officeDocument/2006/relationships/styles" Target="styles.xml"/><Relationship Id="rId29" Type="http://schemas.openxmlformats.org/officeDocument/2006/relationships/hyperlink" Target="https://doi.org/10.3390/geosciences11110481" TargetMode="External"/><Relationship Id="rId276" Type="http://schemas.openxmlformats.org/officeDocument/2006/relationships/image" Target="media/image195.png"/><Relationship Id="rId441" Type="http://schemas.openxmlformats.org/officeDocument/2006/relationships/image" Target="media/image234.jpg"/><Relationship Id="rId483" Type="http://schemas.openxmlformats.org/officeDocument/2006/relationships/image" Target="media/image271.png"/><Relationship Id="rId539" Type="http://schemas.openxmlformats.org/officeDocument/2006/relationships/hyperlink" Target="http://www.keldysh.ru/events/ovch.pdf" TargetMode="External"/><Relationship Id="rId690" Type="http://schemas.openxmlformats.org/officeDocument/2006/relationships/hyperlink" Target="https://ru.wikipedia.org/wiki/" TargetMode="External"/><Relationship Id="rId704" Type="http://schemas.openxmlformats.org/officeDocument/2006/relationships/footer" Target="footer12.xml"/><Relationship Id="rId746" Type="http://schemas.openxmlformats.org/officeDocument/2006/relationships/hyperlink" Target="https://www.scopus.com/" TargetMode="External"/><Relationship Id="rId40" Type="http://schemas.openxmlformats.org/officeDocument/2006/relationships/image" Target="media/image5.png"/><Relationship Id="rId136" Type="http://schemas.openxmlformats.org/officeDocument/2006/relationships/image" Target="media/image95.png"/><Relationship Id="rId178" Type="http://schemas.openxmlformats.org/officeDocument/2006/relationships/image" Target="media/image130.png"/><Relationship Id="rId301" Type="http://schemas.openxmlformats.org/officeDocument/2006/relationships/hyperlink" Target="https://docplayer.ru/26313075-Problemy-sovremennyh-kompyuternyh-setey.html" TargetMode="External"/><Relationship Id="rId343" Type="http://schemas.openxmlformats.org/officeDocument/2006/relationships/hyperlink" Target="https://www.microwavejournal.com/articles/34308-%20keysights-5g-test-platforms-selected-by-mavenir-to-accelerate-software-development9" TargetMode="External"/><Relationship Id="rId550" Type="http://schemas.openxmlformats.org/officeDocument/2006/relationships/image" Target="media/image298.png"/><Relationship Id="rId788" Type="http://schemas.openxmlformats.org/officeDocument/2006/relationships/hyperlink" Target="https://skillbox.ru/media/education/opublikovana-strategiya-tsifrovoy-transformatsii-nauki/" TargetMode="External"/><Relationship Id="rId82" Type="http://schemas.openxmlformats.org/officeDocument/2006/relationships/image" Target="media/image42.png"/><Relationship Id="rId203" Type="http://schemas.openxmlformats.org/officeDocument/2006/relationships/image" Target="media/image155.jpg"/><Relationship Id="rId385" Type="http://schemas.openxmlformats.org/officeDocument/2006/relationships/hyperlink" Target="https://www.electronicdesign.com/industrial-automaion/can-5g-handle-next-gen-data.%5B13%5D%20%20IEC%206100-4-36%20EMC%20Part%204-36:%20Testing%20and%20measurement%20techniques%20%E2%80%93%20IEMI%20immunity%20test%20methods%20for%20equipment%20and%20systems.%20%E2%80%93%20IEC.%20%E2%80%93%202014.%20%E2%80%93%2088%20c.%20%20%5B14%5D%20Sanitary%20and%20Epidemiological%20Requirements%20for%20Radio%20Engineering%20Facilities.%20Resolution%20of%20the%20Government%20of%20the%20Republic%20of%20Kazakhstan%20dated%20November%2015,%202011%20No.%201341." TargetMode="External"/><Relationship Id="rId592" Type="http://schemas.openxmlformats.org/officeDocument/2006/relationships/image" Target="media/image340.png"/><Relationship Id="rId606" Type="http://schemas.openxmlformats.org/officeDocument/2006/relationships/hyperlink" Target="https://www.sas.com/en_us/insights/analytics/what-is-artificial-intelligence.html" TargetMode="External"/><Relationship Id="rId648" Type="http://schemas.openxmlformats.org/officeDocument/2006/relationships/hyperlink" Target="https://www.akorda.kz/ru/poslanie-glavy-gosudarstva-kasym-zhomarta-tokaeva-narodu-kazahstana-181130" TargetMode="External"/><Relationship Id="rId813" Type="http://schemas.openxmlformats.org/officeDocument/2006/relationships/hyperlink" Target="https://skillbox.ru/media/education/opublikovana-strategiya-tsifrovoy-transformatsii-nauki/" TargetMode="External"/><Relationship Id="rId855" Type="http://schemas.openxmlformats.org/officeDocument/2006/relationships/hyperlink" Target="http://www.tadviser.ru/index.php/%D0%AF%D0%BF%D0%BE%D0%BD%D0%B8%D1%8F" TargetMode="External"/><Relationship Id="rId245" Type="http://schemas.openxmlformats.org/officeDocument/2006/relationships/image" Target="media/image178.png"/><Relationship Id="rId287" Type="http://schemas.openxmlformats.org/officeDocument/2006/relationships/image" Target="media/image201.jpg"/><Relationship Id="rId410" Type="http://schemas.openxmlformats.org/officeDocument/2006/relationships/image" Target="media/image212.jpg"/><Relationship Id="rId452" Type="http://schemas.openxmlformats.org/officeDocument/2006/relationships/image" Target="media/image242.jpg"/><Relationship Id="rId494" Type="http://schemas.openxmlformats.org/officeDocument/2006/relationships/image" Target="media/image282.png"/><Relationship Id="rId508" Type="http://schemas.openxmlformats.org/officeDocument/2006/relationships/image" Target="media/image292.jpg"/><Relationship Id="rId715" Type="http://schemas.openxmlformats.org/officeDocument/2006/relationships/hyperlink" Target="https://ru.wikipedia.org/wiki/%D0%9D%D0%B0%D1%83%D0%BA%D0%B0" TargetMode="External"/><Relationship Id="rId105" Type="http://schemas.openxmlformats.org/officeDocument/2006/relationships/image" Target="media/image65.png"/><Relationship Id="rId147" Type="http://schemas.openxmlformats.org/officeDocument/2006/relationships/image" Target="media/image101.jpg"/><Relationship Id="rId312" Type="http://schemas.openxmlformats.org/officeDocument/2006/relationships/hyperlink" Target="https://www.eetimes.com/ericsson-warns-that-open-ran-compromises-security/" TargetMode="External"/><Relationship Id="rId354" Type="http://schemas.openxmlformats.org/officeDocument/2006/relationships/hyperlink" Target="https://www.microwavejournal.com/articles/32524-taoglas-cellular-antennas-include-latest-lte-5g-bands-for-global-deployments" TargetMode="External"/><Relationship Id="rId757" Type="http://schemas.openxmlformats.org/officeDocument/2006/relationships/hyperlink" Target="https://www.sciencemon.ru/" TargetMode="External"/><Relationship Id="rId799" Type="http://schemas.openxmlformats.org/officeDocument/2006/relationships/hyperlink" Target="https://skillbox.ru/media/education/opublikovana-strategiya-tsifrovoy-transformatsii-nauki/" TargetMode="External"/><Relationship Id="rId51" Type="http://schemas.openxmlformats.org/officeDocument/2006/relationships/image" Target="media/image16.png"/><Relationship Id="rId93" Type="http://schemas.openxmlformats.org/officeDocument/2006/relationships/image" Target="media/image53.png"/><Relationship Id="rId189" Type="http://schemas.openxmlformats.org/officeDocument/2006/relationships/image" Target="media/image141.png"/><Relationship Id="rId396" Type="http://schemas.openxmlformats.org/officeDocument/2006/relationships/hyperlink" Target="https://www.electronicdesign.com/industrial-automaion/can-5g-handle-next-gen-data.%5B13%5D%20%20IEC%206100-4-36%20EMC%20Part%204-36:%20Testing%20and%20measurement%20techniques%20%E2%80%93%20IEMI%20immunity%20test%20methods%20for%20equipment%20and%20systems.%20%E2%80%93%20IEC.%20%E2%80%93%202014.%20%E2%80%93%2088%20c.%20%20%5B14%5D%20Sanitary%20and%20Epidemiological%20Requirements%20for%20Radio%20Engineering%20Facilities.%20Resolution%20of%20the%20Government%20of%20the%20Republic%20of%20Kazakhstan%20dated%20November%2015,%202011%20No.%201341." TargetMode="External"/><Relationship Id="rId561" Type="http://schemas.openxmlformats.org/officeDocument/2006/relationships/image" Target="media/image309.png"/><Relationship Id="rId617" Type="http://schemas.openxmlformats.org/officeDocument/2006/relationships/image" Target="media/image358.png"/><Relationship Id="rId659" Type="http://schemas.openxmlformats.org/officeDocument/2006/relationships/hyperlink" Target="https://ru.wikipedia.org/wiki/%25D0%25A1%25D0%25BE%25D1%2586%25D0%25B8%25D0%25B0%25D0%25BB%25D0%25B8%25D1%2581%25D1%2582%25D0%25B8%25D1%2587%25D0%25B5%25D1%2581%25D0%25BA%25D0%25B0%25D1%258F_%25D1%2581%25D0%25BE%25D0%25B1%25D1%2581%25D1%2582%25D0%25B2%25D0%25B5%25D0%25BD%25D0%25BD%25D0%25BE%25D1%2581%25D1%2582%25D1%258C" TargetMode="External"/><Relationship Id="rId824" Type="http://schemas.openxmlformats.org/officeDocument/2006/relationships/image" Target="media/image375.jpg"/><Relationship Id="rId866" Type="http://schemas.openxmlformats.org/officeDocument/2006/relationships/image" Target="media/image394.jpg"/><Relationship Id="rId214" Type="http://schemas.openxmlformats.org/officeDocument/2006/relationships/hyperlink" Target="https://habr.com/ru/company/3dtool/blog/420153/" TargetMode="External"/><Relationship Id="rId256" Type="http://schemas.openxmlformats.org/officeDocument/2006/relationships/image" Target="media/image183.png"/><Relationship Id="rId298" Type="http://schemas.openxmlformats.org/officeDocument/2006/relationships/image" Target="media/image97.jpg"/><Relationship Id="rId421" Type="http://schemas.openxmlformats.org/officeDocument/2006/relationships/hyperlink" Target="https://doi.org/10.1016/j.rcim.2018.%2006.001" TargetMode="External"/><Relationship Id="rId463" Type="http://schemas.openxmlformats.org/officeDocument/2006/relationships/image" Target="media/image253.jpg"/><Relationship Id="rId519" Type="http://schemas.openxmlformats.org/officeDocument/2006/relationships/hyperlink" Target="https://ru.wikipedia.org/wiki/%D0%91%D0%B0%D0%BB%D1%82%D0%B8%D0%B9%D1%81%D0%BA%D0%B8%D0%B9_%D0%B3%D0%BE%D1%81%D1%83%D0%B4%D0%B0%D1%80%D1%81%D1%82%D0%B2%D0%B5%D0%BD%D0%BD%D1%8B%D0%B9_%D1%82%D0%B5%D1%85%D0%BD%D0%B8%D1%87%D0%B5%D1%81%D0%BA%D0%B8%D0%B9_%D1%83%D0%BD%D0%B8%D0%B2%D0%B5%D1%80%D1%81%D0%B8%D1%82%D0%B5%D1%82_%C2%AB%D0%92%D0%BE%D0%B5%D0%BD%D0%BC%D0%B5%D1%85%C2%BB" TargetMode="External"/><Relationship Id="rId670" Type="http://schemas.openxmlformats.org/officeDocument/2006/relationships/hyperlink" Target="https://ru.wikipedia.org/wiki/%25D0%25A0%25D0%25B0%25D1%2581%25D1%2581%25D1%2582%25D1%2580%25D0%25B5%25D0%25BB" TargetMode="External"/><Relationship Id="rId116" Type="http://schemas.openxmlformats.org/officeDocument/2006/relationships/image" Target="media/image76.png"/><Relationship Id="rId158" Type="http://schemas.openxmlformats.org/officeDocument/2006/relationships/image" Target="media/image112.png"/><Relationship Id="rId323" Type="http://schemas.openxmlformats.org/officeDocument/2006/relationships/hyperlink" Target="https://www.microwavejournal.com/articles/34308-%20keysights-5g-test-platforms-selected-by-mavenir-to-accelerate-software-development9" TargetMode="External"/><Relationship Id="rId530" Type="http://schemas.openxmlformats.org/officeDocument/2006/relationships/hyperlink" Target="https://ru.wikipedia.org/wiki/%D0%A1%D0%BB%D1%83%D0%B6%D0%B5%D0%B1%D0%BD%D0%B0%D1%8F:%D0%98%D1%81%D1%82%D0%BE%D1%87%D0%BD%D0%B8%D0%BA%D0%B8_%D0%BA%D0%BD%D0%B8%D0%B3/9785703832509" TargetMode="External"/><Relationship Id="rId726" Type="http://schemas.openxmlformats.org/officeDocument/2006/relationships/footer" Target="footer15.xml"/><Relationship Id="rId768" Type="http://schemas.openxmlformats.org/officeDocument/2006/relationships/image" Target="media/image1740.jpg"/><Relationship Id="rId20" Type="http://schemas.openxmlformats.org/officeDocument/2006/relationships/hyperlink" Target="https://doi.org/10.1016/j.jog.2020.101721" TargetMode="External"/><Relationship Id="rId62" Type="http://schemas.openxmlformats.org/officeDocument/2006/relationships/image" Target="media/image27.png"/><Relationship Id="rId365" Type="http://schemas.openxmlformats.org/officeDocument/2006/relationships/hyperlink" Target="https://www.microwavejournal.com/articles/32524-taoglas-cellular-antennas-include-latest-lte-5g-bands-for-global-deployments" TargetMode="External"/><Relationship Id="rId572" Type="http://schemas.openxmlformats.org/officeDocument/2006/relationships/image" Target="media/image320.png"/><Relationship Id="rId628" Type="http://schemas.openxmlformats.org/officeDocument/2006/relationships/hyperlink" Target="https://www.akorda.kz/ru/poslanie-glavy-gosudarstva-kasym-zhomarta-tokaeva-narodu-kazahstana-181130" TargetMode="External"/><Relationship Id="rId835" Type="http://schemas.openxmlformats.org/officeDocument/2006/relationships/image" Target="media/image386.jpg"/><Relationship Id="rId225" Type="http://schemas.openxmlformats.org/officeDocument/2006/relationships/image" Target="media/image55.jpg"/><Relationship Id="rId267" Type="http://schemas.openxmlformats.org/officeDocument/2006/relationships/image" Target="media/image351.png"/><Relationship Id="rId432" Type="http://schemas.openxmlformats.org/officeDocument/2006/relationships/image" Target="media/image228.png"/><Relationship Id="rId474" Type="http://schemas.openxmlformats.org/officeDocument/2006/relationships/image" Target="media/image264.png"/><Relationship Id="rId877" Type="http://schemas.openxmlformats.org/officeDocument/2006/relationships/footer" Target="footer33.xml"/><Relationship Id="rId127" Type="http://schemas.openxmlformats.org/officeDocument/2006/relationships/image" Target="media/image87.png"/><Relationship Id="rId681" Type="http://schemas.openxmlformats.org/officeDocument/2006/relationships/hyperlink" Target="https://ru.wikipedia.org/wiki/%25D0%2590%25D0%25BC%25D0%25BD%25D0%25B8%25D1%2581%25D1%2582%25D0%25B8%25D1%258F" TargetMode="External"/><Relationship Id="rId737" Type="http://schemas.openxmlformats.org/officeDocument/2006/relationships/hyperlink" Target="https://vak.minobrnauki.gov.ru/uploader/loader?type=19&amp;name=91107547002&amp;f=11305" TargetMode="External"/><Relationship Id="rId779" Type="http://schemas.openxmlformats.org/officeDocument/2006/relationships/image" Target="media/image373.jpg"/><Relationship Id="rId31" Type="http://schemas.openxmlformats.org/officeDocument/2006/relationships/hyperlink" Target="https://doi.org/10.1016/j.jseaes.2019.104097" TargetMode="External"/><Relationship Id="rId73" Type="http://schemas.openxmlformats.org/officeDocument/2006/relationships/image" Target="media/image236.png"/><Relationship Id="rId169" Type="http://schemas.openxmlformats.org/officeDocument/2006/relationships/image" Target="media/image123.png"/><Relationship Id="rId334" Type="http://schemas.openxmlformats.org/officeDocument/2006/relationships/hyperlink" Target="https://www.microwavejournal.com/articles/34308-%20keysights-5g-test-platforms-selected-by-mavenir-to-accelerate-software-development9" TargetMode="External"/><Relationship Id="rId376" Type="http://schemas.openxmlformats.org/officeDocument/2006/relationships/hyperlink" Target="https://www.electronicdesign.com/industrial-automaion/can-5g-handle-next-gen-data.%5B13%5D%20%20IEC%206100-4-36%20EMC%20Part%204-36:%20Testing%20and%20measurement%20techniques%20%E2%80%93%20IEMI%20immunity%20test%20methods%20for%20equipment%20and%20systems.%20%E2%80%93%20IEC.%20%E2%80%93%202014.%20%E2%80%93%2088%20c.%20%20%5B14%5D%20Sanitary%20and%20Epidemiological%20Requirements%20for%20Radio%20Engineering%20Facilities.%20Resolution%20of%20the%20Government%20of%20the%20Republic%20of%20Kazakhstan%20dated%20November%2015,%202011%20No.%201341." TargetMode="External"/><Relationship Id="rId541" Type="http://schemas.openxmlformats.org/officeDocument/2006/relationships/hyperlink" Target="http://www.keldysh.ru/events/ovch.pdf" TargetMode="External"/><Relationship Id="rId583" Type="http://schemas.openxmlformats.org/officeDocument/2006/relationships/image" Target="media/image331.png"/><Relationship Id="rId639" Type="http://schemas.openxmlformats.org/officeDocument/2006/relationships/hyperlink" Target="https://www.akorda.kz/ru/poslanie-glavy-gosudarstva-kasym-zhomarta-tokaeva-narodu-kazahstana-181130" TargetMode="External"/><Relationship Id="rId790" Type="http://schemas.openxmlformats.org/officeDocument/2006/relationships/hyperlink" Target="https://skillbox.ru/media/education/opublikovana-strategiya-tsifrovoy-transformatsii-nauki/" TargetMode="External"/><Relationship Id="rId804" Type="http://schemas.openxmlformats.org/officeDocument/2006/relationships/hyperlink" Target="https://skillbox.ru/media/education/opublikovana-strategiya-tsifrovoy-transformatsii-nauki/" TargetMode="External"/><Relationship Id="rId4" Type="http://schemas.openxmlformats.org/officeDocument/2006/relationships/webSettings" Target="webSettings.xml"/><Relationship Id="rId180" Type="http://schemas.openxmlformats.org/officeDocument/2006/relationships/image" Target="media/image132.png"/><Relationship Id="rId236" Type="http://schemas.openxmlformats.org/officeDocument/2006/relationships/image" Target="media/image173.jpg"/><Relationship Id="rId278" Type="http://schemas.openxmlformats.org/officeDocument/2006/relationships/image" Target="media/image790.png"/><Relationship Id="rId401" Type="http://schemas.openxmlformats.org/officeDocument/2006/relationships/hyperlink" Target="https://www.electronicdesign.com/industrial-automaion/can-5g-handle-next-gen-data.%5B13%5D%20%20IEC%206100-4-36%20EMC%20Part%204-36:%20Testing%20and%20measurement%20techniques%20%E2%80%93%20IEMI%20immunity%20test%20methods%20for%20equipment%20and%20systems.%20%E2%80%93%20IEC.%20%E2%80%93%202014.%20%E2%80%93%2088%20c.%20%20%5B14%5D%20Sanitary%20and%20Epidemiological%20Requirements%20for%20Radio%20Engineering%20Facilities.%20Resolution%20of%20the%20Government%20of%20the%20Republic%20of%20Kazakhstan%20dated%20November%2015,%202011%20No.%201341." TargetMode="External"/><Relationship Id="rId443" Type="http://schemas.openxmlformats.org/officeDocument/2006/relationships/image" Target="media/image116.jpg"/><Relationship Id="rId650" Type="http://schemas.openxmlformats.org/officeDocument/2006/relationships/hyperlink" Target="https://www.akorda.kz/ru/poslanie-glavy-gosudarstva-kasym-zhomarta-tokaeva-narodu-kazahstana-181130" TargetMode="External"/><Relationship Id="rId846" Type="http://schemas.openxmlformats.org/officeDocument/2006/relationships/hyperlink" Target="http://lenta.inform.kz/ru/cifrovizaciya-v-obrazovanii-novye-tehnologii-v-pomosch-processu-obucheniya_a3477335" TargetMode="External"/><Relationship Id="rId303" Type="http://schemas.openxmlformats.org/officeDocument/2006/relationships/hyperlink" Target="https://docplayer.ru/26313075-Problemy-sovremennyh-kompyuternyh-setey.html" TargetMode="External"/><Relationship Id="rId485" Type="http://schemas.openxmlformats.org/officeDocument/2006/relationships/image" Target="media/image273.png"/><Relationship Id="rId692" Type="http://schemas.openxmlformats.org/officeDocument/2006/relationships/hyperlink" Target="https://ru.wikipedia.org/wiki/" TargetMode="External"/><Relationship Id="rId706" Type="http://schemas.openxmlformats.org/officeDocument/2006/relationships/hyperlink" Target="https://ru.wikipedia.org/wiki/%D0%98%D1%81%D0%BA%D1%83%D1%81%D1%81%D1%82%D0%B2%D0%B5%D0%BD%D0%BD%D1%8B%D0%B9_%D0%B8%D0%BD%D1%82%D0%B5%D0%BB%D0%BB%D0%B5%D0%BA%D1%82" TargetMode="External"/><Relationship Id="rId748" Type="http://schemas.openxmlformats.org/officeDocument/2006/relationships/hyperlink" Target="https://access.clarivate.com/" TargetMode="External"/><Relationship Id="rId42" Type="http://schemas.openxmlformats.org/officeDocument/2006/relationships/image" Target="media/image7.png"/><Relationship Id="rId84" Type="http://schemas.openxmlformats.org/officeDocument/2006/relationships/image" Target="media/image44.png"/><Relationship Id="rId138" Type="http://schemas.openxmlformats.org/officeDocument/2006/relationships/image" Target="media/image97.png"/><Relationship Id="rId345" Type="http://schemas.openxmlformats.org/officeDocument/2006/relationships/hyperlink" Target="https://www.microwavejournal.com/articles/34308-%20keysights-5g-test-platforms-selected-by-mavenir-to-accelerate-software-development9" TargetMode="External"/><Relationship Id="rId387" Type="http://schemas.openxmlformats.org/officeDocument/2006/relationships/hyperlink" Target="https://www.electronicdesign.com/industrial-automaion/can-5g-handle-next-gen-data.%5B13%5D%20%20IEC%206100-4-36%20EMC%20Part%204-36:%20Testing%20and%20measurement%20techniques%20%E2%80%93%20IEMI%20immunity%20test%20methods%20for%20equipment%20and%20systems.%20%E2%80%93%20IEC.%20%E2%80%93%202014.%20%E2%80%93%2088%20c.%20%20%5B14%5D%20Sanitary%20and%20Epidemiological%20Requirements%20for%20Radio%20Engineering%20Facilities.%20Resolution%20of%20the%20Government%20of%20the%20Republic%20of%20Kazakhstan%20dated%20November%2015,%202011%20No.%201341." TargetMode="External"/><Relationship Id="rId510" Type="http://schemas.openxmlformats.org/officeDocument/2006/relationships/hyperlink" Target="https://missilery.info/missile/15a14" TargetMode="External"/><Relationship Id="rId552" Type="http://schemas.openxmlformats.org/officeDocument/2006/relationships/image" Target="media/image300.png"/><Relationship Id="rId594" Type="http://schemas.openxmlformats.org/officeDocument/2006/relationships/image" Target="media/image342.png"/><Relationship Id="rId608" Type="http://schemas.openxmlformats.org/officeDocument/2006/relationships/hyperlink" Target="https://www.sas.com/en_us/insights/analytics/what-is-artificial-intelligence.html" TargetMode="External"/><Relationship Id="rId815" Type="http://schemas.openxmlformats.org/officeDocument/2006/relationships/hyperlink" Target="https://skillbox.ru/media/education/opublikovana-strategiya-tsifrovoy-transformatsii-nauki/" TargetMode="External"/><Relationship Id="rId191" Type="http://schemas.openxmlformats.org/officeDocument/2006/relationships/image" Target="media/image143.png"/><Relationship Id="rId205" Type="http://schemas.openxmlformats.org/officeDocument/2006/relationships/hyperlink" Target="https://top3dshop.ru/materiali/filamentarno-wax3d-base-green-05kg.html" TargetMode="External"/><Relationship Id="rId247" Type="http://schemas.openxmlformats.org/officeDocument/2006/relationships/image" Target="media/image180.png"/><Relationship Id="rId412" Type="http://schemas.openxmlformats.org/officeDocument/2006/relationships/image" Target="media/image214.png"/><Relationship Id="rId857" Type="http://schemas.openxmlformats.org/officeDocument/2006/relationships/hyperlink" Target="http://www.tadviser.ru/index.php/%D0%98%D1%81%D0%BA%D1%83%D1%81%D1%81%D1%82%D0%B2%D0%B5%D0%BD%D0%BD%D1%8B%D0%B9_%D0%B8%D0%BD%D1%82%D0%B5%D0%BB%D0%BB%D0%B5%D0%BA%D1%82" TargetMode="External"/><Relationship Id="rId107" Type="http://schemas.openxmlformats.org/officeDocument/2006/relationships/image" Target="media/image67.png"/><Relationship Id="rId289" Type="http://schemas.openxmlformats.org/officeDocument/2006/relationships/image" Target="media/image203.jpg"/><Relationship Id="rId454" Type="http://schemas.openxmlformats.org/officeDocument/2006/relationships/image" Target="media/image244.jpg"/><Relationship Id="rId496" Type="http://schemas.openxmlformats.org/officeDocument/2006/relationships/image" Target="media/image284.jpg"/><Relationship Id="rId661" Type="http://schemas.openxmlformats.org/officeDocument/2006/relationships/hyperlink" Target="https://ru.wikipedia.org/wiki/%25D0%25A5%25D0%25B8%25D1%2589%25D0%25B5%25D0%25BD%25D0%25B8%25D0%25B5_%25D1%2581%25D0%25BE%25D1%2586%25D0%25B8%25D0%25B0%25D0%25BB%25D0%25B8%25D1%2581%25D1%2582%25D0%25B8%25D1%2587%25D0%25B5%25D1%2581%25D0%25BA%25D0%25BE%25D0%25B9_%25D1%2581%25D0%25BE%25D0%25B1%25D1%2581%25D1%2582%25D0%25B2%25D0%25B5%25D0%25BD%25D0%25BD%25D0%25BE%25D1%2581%25D1%2582%25D0%25B8" TargetMode="External"/><Relationship Id="rId717" Type="http://schemas.openxmlformats.org/officeDocument/2006/relationships/hyperlink" Target="https://cran.r-project.org/web/classifications/JEL.html" TargetMode="External"/><Relationship Id="rId759" Type="http://schemas.openxmlformats.org/officeDocument/2006/relationships/hyperlink" Target="https://www.sciencemon.ru/" TargetMode="External"/><Relationship Id="rId11" Type="http://schemas.openxmlformats.org/officeDocument/2006/relationships/hyperlink" Target="https://doi.org/10.1016/j.rse.2019.04.033" TargetMode="External"/><Relationship Id="rId53" Type="http://schemas.openxmlformats.org/officeDocument/2006/relationships/image" Target="media/image18.png"/><Relationship Id="rId149" Type="http://schemas.openxmlformats.org/officeDocument/2006/relationships/image" Target="media/image103.png"/><Relationship Id="rId314" Type="http://schemas.openxmlformats.org/officeDocument/2006/relationships/hyperlink" Target="https://www.eetimes.com/ericsson-warns-that-open-ran-compromises-security/" TargetMode="External"/><Relationship Id="rId356" Type="http://schemas.openxmlformats.org/officeDocument/2006/relationships/hyperlink" Target="https://www.microwavejournal.com/articles/32524-taoglas-cellular-antennas-include-latest-lte-5g-bands-for-global-deployments" TargetMode="External"/><Relationship Id="rId398" Type="http://schemas.openxmlformats.org/officeDocument/2006/relationships/hyperlink" Target="https://www.electronicdesign.com/industrial-automaion/can-5g-handle-next-gen-data.%5B13%5D%20%20IEC%206100-4-36%20EMC%20Part%204-36:%20Testing%20and%20measurement%20techniques%20%E2%80%93%20IEMI%20immunity%20test%20methods%20for%20equipment%20and%20systems.%20%E2%80%93%20IEC.%20%E2%80%93%202014.%20%E2%80%93%2088%20c.%20%20%5B14%5D%20Sanitary%20and%20Epidemiological%20Requirements%20for%20Radio%20Engineering%20Facilities.%20Resolution%20of%20the%20Government%20of%20the%20Republic%20of%20Kazakhstan%20dated%20November%2015,%202011%20No.%201341." TargetMode="External"/><Relationship Id="rId521" Type="http://schemas.openxmlformats.org/officeDocument/2006/relationships/hyperlink" Target="https://ru.wikipedia.org/wiki/%D0%AF%D1%88%D0%B8%D0%BD,_%D0%AE%D1%80%D0%B8%D0%B9_%D0%90%D0%BB%D0%B5%D0%BA%D1%81%D0%B5%D0%B5%D0%B2%D0%B8%D1%87" TargetMode="External"/><Relationship Id="rId563" Type="http://schemas.openxmlformats.org/officeDocument/2006/relationships/image" Target="media/image311.png"/><Relationship Id="rId619" Type="http://schemas.openxmlformats.org/officeDocument/2006/relationships/image" Target="media/image360.jpg"/><Relationship Id="rId770" Type="http://schemas.openxmlformats.org/officeDocument/2006/relationships/image" Target="media/image369.jpg"/><Relationship Id="rId95" Type="http://schemas.openxmlformats.org/officeDocument/2006/relationships/image" Target="media/image55.png"/><Relationship Id="rId160" Type="http://schemas.openxmlformats.org/officeDocument/2006/relationships/image" Target="media/image114.png"/><Relationship Id="rId216" Type="http://schemas.openxmlformats.org/officeDocument/2006/relationships/image" Target="media/image161.jpg"/><Relationship Id="rId423" Type="http://schemas.openxmlformats.org/officeDocument/2006/relationships/hyperlink" Target="https://doi.org/10.1088/1757-899X/610/1/012056" TargetMode="External"/><Relationship Id="rId826" Type="http://schemas.openxmlformats.org/officeDocument/2006/relationships/image" Target="media/image377.jpg"/><Relationship Id="rId868" Type="http://schemas.openxmlformats.org/officeDocument/2006/relationships/image" Target="media/image395.jpg"/><Relationship Id="rId258" Type="http://schemas.openxmlformats.org/officeDocument/2006/relationships/image" Target="media/image185.png"/><Relationship Id="rId465" Type="http://schemas.openxmlformats.org/officeDocument/2006/relationships/image" Target="media/image255.jpg"/><Relationship Id="rId630" Type="http://schemas.openxmlformats.org/officeDocument/2006/relationships/hyperlink" Target="https://www.akorda.kz/ru/poslanie-glavy-gosudarstva-kasym-zhomarta-tokaeva-narodu-kazahstana-181130" TargetMode="External"/><Relationship Id="rId672" Type="http://schemas.openxmlformats.org/officeDocument/2006/relationships/hyperlink" Target="https://ru.wikipedia.org/wiki/%25D0%25A0%25D0%25B0%25D1%2581%25D1%2581%25D1%2582%25D1%2580%25D0%25B5%25D0%25BB" TargetMode="External"/><Relationship Id="rId728" Type="http://schemas.openxmlformats.org/officeDocument/2006/relationships/footer" Target="footer16.xml"/><Relationship Id="rId22" Type="http://schemas.openxmlformats.org/officeDocument/2006/relationships/hyperlink" Target="https://doi.org/10.1016/j.actaastro.2020.06.005" TargetMode="External"/><Relationship Id="rId64" Type="http://schemas.openxmlformats.org/officeDocument/2006/relationships/image" Target="media/image29.png"/><Relationship Id="rId118" Type="http://schemas.openxmlformats.org/officeDocument/2006/relationships/image" Target="media/image78.png"/><Relationship Id="rId325" Type="http://schemas.openxmlformats.org/officeDocument/2006/relationships/hyperlink" Target="https://www.microwavejournal.com/articles/34308-%20keysights-5g-test-platforms-selected-by-mavenir-to-accelerate-software-development9" TargetMode="External"/><Relationship Id="rId367" Type="http://schemas.openxmlformats.org/officeDocument/2006/relationships/hyperlink" Target="https://www.microwavejournal.com/articles/32524-taoglas-cellular-antennas-include-latest-lte-5g-bands-for-global-deployments" TargetMode="External"/><Relationship Id="rId532" Type="http://schemas.openxmlformats.org/officeDocument/2006/relationships/hyperlink" Target="https://ru.wikipedia.org/wiki/%D0%A1%D0%BB%D1%83%D0%B6%D0%B5%D0%B1%D0%BD%D0%B0%D1%8F:%D0%98%D1%81%D1%82%D0%BE%D1%87%D0%BD%D0%B8%D0%BA%D0%B8_%D0%BA%D0%BD%D0%B8%D0%B3/9785703832509" TargetMode="External"/><Relationship Id="rId574" Type="http://schemas.openxmlformats.org/officeDocument/2006/relationships/image" Target="media/image322.png"/><Relationship Id="rId171" Type="http://schemas.openxmlformats.org/officeDocument/2006/relationships/image" Target="media/image125.png"/><Relationship Id="rId227" Type="http://schemas.openxmlformats.org/officeDocument/2006/relationships/image" Target="media/image57.jpg"/><Relationship Id="rId781" Type="http://schemas.openxmlformats.org/officeDocument/2006/relationships/hyperlink" Target="https://www.cnews.ru/book/%D0%9A%D0%B8%D0%B1%D0%B5%D1%80%D0%B1%D0%B5%D0%B7%D0%BE%D0%BF%D0%B0%D1%81%D0%BD%D0%BE%D1%81%D1%82%D1%8C_-_%D0%9A%D0%BE%D0%BC%D0%BF%D1%8C%D1%8E%D1%82%D0%B5%D1%80%D0%BD%D0%B0%D1%8F_%D0%B1%D0%B5%D0%B7%D0%BE%D0%BF%D0%B0%D1%81%D0%BD%D0%BE%D1%81%D1%82%D1%8C_-_%D0%98%D0%BD%D1%84%D0%BE%D1%80%D0%BC%D0%B0%D1%86%D0%B8%D0%BE%D0%BD%D0%BD%D0%B0%D1%8F_%D0%B1%D0%B5%D0%B7%D0%BE%D0%BF%D0%B0%D1%81%D0%BD%D0%BE%D1%81%D1%82%D1%8C_-_%D0%98%D0%91-%D0%B8%D0%BD%D1%82%D0%B5%D0%B3%D1%80%D0%B0%D1%82%D0%BE%D1%80_-_%D0%9A%D0%B8%D0%B1%D0%B5%D1%80%D0%BF%D1%80%D0%B5%D1%81%D1%82%D1%83%D0%BF%D0%BD%D0%BE%D1%81%D1%82%D1%8C_-_Cybersecurity_-_%D0%9A%D0%B8%D0%B1%D0%B5%D1%80%D0%B8%D0%BD%D1%86%D0%B8%D0%B4%D0%B5%D0%BD%D1%82%D1%8B" TargetMode="External"/><Relationship Id="rId837" Type="http://schemas.openxmlformats.org/officeDocument/2006/relationships/image" Target="media/image388.jpg"/><Relationship Id="rId879" Type="http://schemas.openxmlformats.org/officeDocument/2006/relationships/footer" Target="footer34.xml"/><Relationship Id="rId269" Type="http://schemas.openxmlformats.org/officeDocument/2006/relationships/image" Target="media/image352.png"/><Relationship Id="rId434" Type="http://schemas.openxmlformats.org/officeDocument/2006/relationships/image" Target="media/image230.jpg"/><Relationship Id="rId476" Type="http://schemas.openxmlformats.org/officeDocument/2006/relationships/image" Target="media/image266.png"/><Relationship Id="rId641" Type="http://schemas.openxmlformats.org/officeDocument/2006/relationships/hyperlink" Target="https://www.akorda.kz/ru/poslanie-glavy-gosudarstva-kasym-zhomarta-tokaeva-narodu-kazahstana-181130" TargetMode="External"/><Relationship Id="rId683" Type="http://schemas.openxmlformats.org/officeDocument/2006/relationships/hyperlink" Target="https://ru.wikipedia.org/wiki/" TargetMode="External"/><Relationship Id="rId739" Type="http://schemas.openxmlformats.org/officeDocument/2006/relationships/hyperlink" Target="https://www.scopus.com/" TargetMode="External"/><Relationship Id="rId33" Type="http://schemas.openxmlformats.org/officeDocument/2006/relationships/hyperlink" Target="https://doi.org/10.3390/rs13245033" TargetMode="External"/><Relationship Id="rId129" Type="http://schemas.openxmlformats.org/officeDocument/2006/relationships/image" Target="media/image89.png"/><Relationship Id="rId280" Type="http://schemas.openxmlformats.org/officeDocument/2006/relationships/image" Target="media/image810.png"/><Relationship Id="rId336" Type="http://schemas.openxmlformats.org/officeDocument/2006/relationships/hyperlink" Target="https://www.microwavejournal.com/articles/34308-%20keysights-5g-test-platforms-selected-by-mavenir-to-accelerate-software-development9" TargetMode="External"/><Relationship Id="rId501" Type="http://schemas.openxmlformats.org/officeDocument/2006/relationships/image" Target="media/image289.jpg"/><Relationship Id="rId543" Type="http://schemas.openxmlformats.org/officeDocument/2006/relationships/hyperlink" Target="https://ru.wikipedia.org/wiki/%D0%9A%D0%BE%D0%BC%D0%BF%D1%8C%D1%8E%D1%82%D0%B5%D1%80%D1%80%D0%B0" TargetMode="External"/><Relationship Id="rId75" Type="http://schemas.openxmlformats.org/officeDocument/2006/relationships/image" Target="media/image35.png"/><Relationship Id="rId140" Type="http://schemas.openxmlformats.org/officeDocument/2006/relationships/image" Target="media/image99.png"/><Relationship Id="rId182" Type="http://schemas.openxmlformats.org/officeDocument/2006/relationships/image" Target="media/image134.png"/><Relationship Id="rId378" Type="http://schemas.openxmlformats.org/officeDocument/2006/relationships/hyperlink" Target="https://www.electronicdesign.com/industrial-automaion/can-5g-handle-next-gen-data.%5B13%5D%20%20IEC%206100-4-36%20EMC%20Part%204-36:%20Testing%20and%20measurement%20techniques%20%E2%80%93%20IEMI%20immunity%20test%20methods%20for%20equipment%20and%20systems.%20%E2%80%93%20IEC.%20%E2%80%93%202014.%20%E2%80%93%2088%20c.%20%20%5B14%5D%20Sanitary%20and%20Epidemiological%20Requirements%20for%20Radio%20Engineering%20Facilities.%20Resolution%20of%20the%20Government%20of%20the%20Republic%20of%20Kazakhstan%20dated%20November%2015,%202011%20No.%201341." TargetMode="External"/><Relationship Id="rId403" Type="http://schemas.openxmlformats.org/officeDocument/2006/relationships/hyperlink" Target="https://www.electronicdesign.com/industrial-automaion/can-5g-handle-next-gen-data.%5B13%5D%20%20IEC%206100-4-36%20EMC%20Part%204-36:%20Testing%20and%20measurement%20techniques%20%E2%80%93%20IEMI%20immunity%20test%20methods%20for%20equipment%20and%20systems.%20%E2%80%93%20IEC.%20%E2%80%93%202014.%20%E2%80%93%2088%20c.%20%20%5B14%5D%20Sanitary%20and%20Epidemiological%20Requirements%20for%20Radio%20Engineering%20Facilities.%20Resolution%20of%20the%20Government%20of%20the%20Republic%20of%20Kazakhstan%20dated%20November%2015,%202011%20No.%201341." TargetMode="External"/><Relationship Id="rId585" Type="http://schemas.openxmlformats.org/officeDocument/2006/relationships/image" Target="media/image333.png"/><Relationship Id="rId750" Type="http://schemas.openxmlformats.org/officeDocument/2006/relationships/hyperlink" Target="https://access.clarivate.com/" TargetMode="External"/><Relationship Id="rId792" Type="http://schemas.openxmlformats.org/officeDocument/2006/relationships/hyperlink" Target="https://skillbox.ru/media/education/opublikovana-strategiya-tsifrovoy-transformatsii-nauki/" TargetMode="External"/><Relationship Id="rId806" Type="http://schemas.openxmlformats.org/officeDocument/2006/relationships/hyperlink" Target="https://skillbox.ru/media/education/opublikovana-strategiya-tsifrovoy-transformatsii-nauki/" TargetMode="External"/><Relationship Id="rId848" Type="http://schemas.openxmlformats.org/officeDocument/2006/relationships/hyperlink" Target="http://lenta.inform.kz/ru/cifrovizaciya-v-obrazovanii-novye-tehnologii-v-pomosch-processu-obucheniya_a3477335" TargetMode="External"/><Relationship Id="rId6" Type="http://schemas.openxmlformats.org/officeDocument/2006/relationships/endnotes" Target="endnotes.xml"/><Relationship Id="rId238" Type="http://schemas.openxmlformats.org/officeDocument/2006/relationships/image" Target="media/image175.jpg"/><Relationship Id="rId445" Type="http://schemas.openxmlformats.org/officeDocument/2006/relationships/image" Target="media/image118.jpg"/><Relationship Id="rId487" Type="http://schemas.openxmlformats.org/officeDocument/2006/relationships/image" Target="media/image275.png"/><Relationship Id="rId610" Type="http://schemas.openxmlformats.org/officeDocument/2006/relationships/hyperlink" Target="https://habr.com/ru/company/cloud4y/blog/469447/" TargetMode="External"/><Relationship Id="rId652" Type="http://schemas.openxmlformats.org/officeDocument/2006/relationships/hyperlink" Target="https://www.akorda.kz/ru/poslanie-glavy-gosudarstva-kasym-zhomarta-tokaeva-narodu-kazahstana-181130" TargetMode="External"/><Relationship Id="rId694" Type="http://schemas.openxmlformats.org/officeDocument/2006/relationships/hyperlink" Target="https://gtmarket.ru/ratings/global-education-expenditure" TargetMode="External"/><Relationship Id="rId708" Type="http://schemas.openxmlformats.org/officeDocument/2006/relationships/hyperlink" Target="https://ru.wikipedia.org/wiki/%D0%AD%D0%BA%D1%81%D0%BF%D0%B5%D1%80%D1%82%D0%BD%D0%B0%D1%8F_%D1%81%D0%B8%D1%81%D1%82%D0%B5%D0%BC%D0%B0" TargetMode="External"/><Relationship Id="rId291" Type="http://schemas.openxmlformats.org/officeDocument/2006/relationships/image" Target="media/image205.jpg"/><Relationship Id="rId305" Type="http://schemas.openxmlformats.org/officeDocument/2006/relationships/hyperlink" Target="https://docplayer.ru/26313075-Problemy-sovremennyh-kompyuternyh-setey.html" TargetMode="External"/><Relationship Id="rId347" Type="http://schemas.openxmlformats.org/officeDocument/2006/relationships/hyperlink" Target="https://www.microwavejournal.com/articles/32524-taoglas-cellular-antennas-include-latest-lte-5g-bands-for-global-deployments" TargetMode="External"/><Relationship Id="rId512" Type="http://schemas.openxmlformats.org/officeDocument/2006/relationships/hyperlink" Target="https://missilery.info/missile/15a14" TargetMode="External"/><Relationship Id="rId44" Type="http://schemas.openxmlformats.org/officeDocument/2006/relationships/image" Target="media/image9.png"/><Relationship Id="rId86" Type="http://schemas.openxmlformats.org/officeDocument/2006/relationships/image" Target="media/image46.png"/><Relationship Id="rId151" Type="http://schemas.openxmlformats.org/officeDocument/2006/relationships/image" Target="media/image105.png"/><Relationship Id="rId389" Type="http://schemas.openxmlformats.org/officeDocument/2006/relationships/hyperlink" Target="https://www.electronicdesign.com/industrial-automaion/can-5g-handle-next-gen-data.%5B13%5D%20%20IEC%206100-4-36%20EMC%20Part%204-36:%20Testing%20and%20measurement%20techniques%20%E2%80%93%20IEMI%20immunity%20test%20methods%20for%20equipment%20and%20systems.%20%E2%80%93%20IEC.%20%E2%80%93%202014.%20%E2%80%93%2088%20c.%20%20%5B14%5D%20Sanitary%20and%20Epidemiological%20Requirements%20for%20Radio%20Engineering%20Facilities.%20Resolution%20of%20the%20Government%20of%20the%20Republic%20of%20Kazakhstan%20dated%20November%2015,%202011%20No.%201341." TargetMode="External"/><Relationship Id="rId554" Type="http://schemas.openxmlformats.org/officeDocument/2006/relationships/image" Target="media/image302.png"/><Relationship Id="rId596" Type="http://schemas.openxmlformats.org/officeDocument/2006/relationships/image" Target="media/image344.png"/><Relationship Id="rId761" Type="http://schemas.openxmlformats.org/officeDocument/2006/relationships/hyperlink" Target="https://www.sciencemon.ru/" TargetMode="External"/><Relationship Id="rId817" Type="http://schemas.openxmlformats.org/officeDocument/2006/relationships/hyperlink" Target="https://skillbox.ru/media/education/opublikovana-strategiya-tsifrovoy-transformatsii-nauki/" TargetMode="External"/><Relationship Id="rId859" Type="http://schemas.openxmlformats.org/officeDocument/2006/relationships/hyperlink" Target="https://www.tadviser.ru/index.php/%D0%98%D1%81%D0%BA%D1%83%D1%81%D1%81%D1%82%D0%B2%D0%B5%D0%BD%D0%BD%D1%8B%D0%B9_%D0%B8%D0%BD%D1%82%D0%B5%D0%BB%D0%BB%D0%B5%D0%BA%D1%82_(%D0%98%D0%98,_Artificial_intelligence,_AI)" TargetMode="External"/><Relationship Id="rId193" Type="http://schemas.openxmlformats.org/officeDocument/2006/relationships/image" Target="media/image145.png"/><Relationship Id="rId207" Type="http://schemas.openxmlformats.org/officeDocument/2006/relationships/hyperlink" Target="https://top3dshop.ru/materiali/filamentarno-wax3d-base-green-05kg.html" TargetMode="External"/><Relationship Id="rId249" Type="http://schemas.openxmlformats.org/officeDocument/2006/relationships/image" Target="media/image348.png"/><Relationship Id="rId414" Type="http://schemas.openxmlformats.org/officeDocument/2006/relationships/image" Target="media/image216.png"/><Relationship Id="rId456" Type="http://schemas.openxmlformats.org/officeDocument/2006/relationships/image" Target="media/image246.jpg"/><Relationship Id="rId498" Type="http://schemas.openxmlformats.org/officeDocument/2006/relationships/image" Target="media/image286.jpg"/><Relationship Id="rId621" Type="http://schemas.openxmlformats.org/officeDocument/2006/relationships/image" Target="media/image1680.jpg"/><Relationship Id="rId663" Type="http://schemas.openxmlformats.org/officeDocument/2006/relationships/hyperlink" Target="https://ru.wikipedia.org/wiki/%25D0%25A5%25D0%25B8%25D1%2589%25D0%25B5%25D0%25BD%25D0%25B8%25D0%25B5_%25D1%2581%25D0%25BE%25D1%2586%25D0%25B8%25D0%25B0%25D0%25BB%25D0%25B8%25D1%2581%25D1%2582%25D0%25B8%25D1%2587%25D0%25B5%25D1%2581%25D0%25BA%25D0%25BE%25D0%25B9_%25D1%2581%25D0%25BE%25D0%25B1%25D1%2581%25D1%2582%25D0%25B2%25D0%25B5%25D0%25BD%25D0%25BD%25D0%25BE%25D1%2581%25D1%2582%25D0%25B8" TargetMode="External"/><Relationship Id="rId870" Type="http://schemas.openxmlformats.org/officeDocument/2006/relationships/hyperlink" Target="https://www.lafarga.es/es/productos-y-mercados/conductores-lineas-aereas?task=callelement&amp;format=raw&amp;item_id=401&amp;element" TargetMode="External"/><Relationship Id="rId13" Type="http://schemas.openxmlformats.org/officeDocument/2006/relationships/hyperlink" Target="https://doi.org/10.1007/s00024-019-02138-y" TargetMode="External"/><Relationship Id="rId109" Type="http://schemas.openxmlformats.org/officeDocument/2006/relationships/image" Target="media/image69.png"/><Relationship Id="rId260" Type="http://schemas.openxmlformats.org/officeDocument/2006/relationships/image" Target="media/image187.png"/><Relationship Id="rId316" Type="http://schemas.openxmlformats.org/officeDocument/2006/relationships/hyperlink" Target="https://www.eetimes.com/ericsson-warns-that-open-ran-compromises-security/" TargetMode="External"/><Relationship Id="rId523" Type="http://schemas.openxmlformats.org/officeDocument/2006/relationships/hyperlink" Target="https://ru.wikipedia.org/wiki/%D0%9C%D0%BE%D1%81%D0%BA%D0%BE%D0%B2%D1%81%D0%BA%D0%B8%D0%B9_%D0%B3%D0%BE%D1%81%D1%83%D0%B4%D0%B0%D1%80%D1%81%D1%82%D0%B2%D0%B5%D0%BD%D0%BD%D1%8B%D0%B9_%D1%82%D0%B5%D1%85%D0%BD%D0%B8%D1%87%D0%B5%D1%81%D0%BA%D0%B8%D0%B9_%D1%83%D0%BD%D0%B8%D0%B2%D0%B5%D1%80%D1%81%D0%B8%D1%82%D0%B5%D1%82_%D0%B8%D0%BC%D0%B5%D0%BD%D0%B8_%D0%9D._%D0%AD._%D0%91%D0%B0%D1%83%D0%BC%D0%B0%D0%BD%D0%B0" TargetMode="External"/><Relationship Id="rId719" Type="http://schemas.openxmlformats.org/officeDocument/2006/relationships/hyperlink" Target="https://cran.r-project.org/web/classifications/JEL.html" TargetMode="External"/><Relationship Id="rId55" Type="http://schemas.openxmlformats.org/officeDocument/2006/relationships/image" Target="media/image20.png"/><Relationship Id="rId97" Type="http://schemas.openxmlformats.org/officeDocument/2006/relationships/image" Target="media/image57.png"/><Relationship Id="rId120" Type="http://schemas.openxmlformats.org/officeDocument/2006/relationships/image" Target="media/image80.png"/><Relationship Id="rId358" Type="http://schemas.openxmlformats.org/officeDocument/2006/relationships/hyperlink" Target="https://www.microwavejournal.com/articles/32524-taoglas-cellular-antennas-include-latest-lte-5g-bands-for-global-deployments" TargetMode="External"/><Relationship Id="rId565" Type="http://schemas.openxmlformats.org/officeDocument/2006/relationships/image" Target="media/image313.png"/><Relationship Id="rId730" Type="http://schemas.openxmlformats.org/officeDocument/2006/relationships/footer" Target="footer18.xml"/><Relationship Id="rId772" Type="http://schemas.openxmlformats.org/officeDocument/2006/relationships/image" Target="media/image1760.jpg"/><Relationship Id="rId828" Type="http://schemas.openxmlformats.org/officeDocument/2006/relationships/image" Target="media/image379.jpg"/><Relationship Id="rId162" Type="http://schemas.openxmlformats.org/officeDocument/2006/relationships/image" Target="media/image116.png"/><Relationship Id="rId218" Type="http://schemas.openxmlformats.org/officeDocument/2006/relationships/image" Target="media/image51.jpg"/><Relationship Id="rId425" Type="http://schemas.openxmlformats.org/officeDocument/2006/relationships/hyperlink" Target="https://doi.org/10.1088/1757-899X/610/1/012056" TargetMode="External"/><Relationship Id="rId467" Type="http://schemas.openxmlformats.org/officeDocument/2006/relationships/image" Target="media/image257.jpg"/><Relationship Id="rId632" Type="http://schemas.openxmlformats.org/officeDocument/2006/relationships/hyperlink" Target="https://www.akorda.kz/ru/poslanie-glavy-gosudarstva-kasym-zhomarta-tokaeva-narodu-kazahstana-181130" TargetMode="External"/><Relationship Id="rId271" Type="http://schemas.openxmlformats.org/officeDocument/2006/relationships/image" Target="media/image770.png"/><Relationship Id="rId674" Type="http://schemas.openxmlformats.org/officeDocument/2006/relationships/hyperlink" Target="https://ru.wikipedia.org/wiki/%25D0%259A%25D1%2583%25D0%25BB%25D0%25B0%25D0%25BA_(%25D0%25BA%25D1%2580%25D0%25B5%25D1%2581%25D1%2582%25D1%258C%25D1%258F%25D0%25BD%25D0%25B8%25D0%25BD)" TargetMode="External"/><Relationship Id="rId881" Type="http://schemas.openxmlformats.org/officeDocument/2006/relationships/footer" Target="footer36.xml"/><Relationship Id="rId24" Type="http://schemas.openxmlformats.org/officeDocument/2006/relationships/hyperlink" Target="https://doi.org/10.1016/j.jseaes.2021.104710" TargetMode="External"/><Relationship Id="rId66" Type="http://schemas.openxmlformats.org/officeDocument/2006/relationships/image" Target="media/image31.png"/><Relationship Id="rId131" Type="http://schemas.openxmlformats.org/officeDocument/2006/relationships/image" Target="media/image91.png"/><Relationship Id="rId327" Type="http://schemas.openxmlformats.org/officeDocument/2006/relationships/hyperlink" Target="https://www.microwavejournal.com/articles/34308-%20keysights-5g-test-platforms-selected-by-mavenir-to-accelerate-software-development9" TargetMode="External"/><Relationship Id="rId369" Type="http://schemas.openxmlformats.org/officeDocument/2006/relationships/hyperlink" Target="https://www.microwavejournal.com/articles/32524-taoglas-cellular-antennas-include-latest-lte-5g-bands-for-global-deployments" TargetMode="External"/><Relationship Id="rId534" Type="http://schemas.openxmlformats.org/officeDocument/2006/relationships/hyperlink" Target="https://ru.wikipedia.org/wiki/%D0%A1%D0%BB%D1%83%D0%B6%D0%B5%D0%B1%D0%BD%D0%B0%D1%8F:%D0%98%D1%81%D1%82%D0%BE%D1%87%D0%BD%D0%B8%D0%BA%D0%B8_%D0%BA%D0%BD%D0%B8%D0%B3/9785703832509" TargetMode="External"/><Relationship Id="rId576" Type="http://schemas.openxmlformats.org/officeDocument/2006/relationships/image" Target="media/image324.png"/><Relationship Id="rId741" Type="http://schemas.openxmlformats.org/officeDocument/2006/relationships/hyperlink" Target="https://www.scopus.com/" TargetMode="External"/><Relationship Id="rId783" Type="http://schemas.openxmlformats.org/officeDocument/2006/relationships/hyperlink" Target="https://skillbox.ru/media/education/opublikovana-strategiya-tsifrovoy-transformatsii-nauki/" TargetMode="External"/><Relationship Id="rId839" Type="http://schemas.openxmlformats.org/officeDocument/2006/relationships/image" Target="media/image390.jpg"/><Relationship Id="rId173" Type="http://schemas.openxmlformats.org/officeDocument/2006/relationships/image" Target="media/image41.png"/><Relationship Id="rId229" Type="http://schemas.openxmlformats.org/officeDocument/2006/relationships/image" Target="media/image169.jpg"/><Relationship Id="rId380" Type="http://schemas.openxmlformats.org/officeDocument/2006/relationships/hyperlink" Target="https://www.electronicdesign.com/industrial-automaion/can-5g-handle-next-gen-data.%5B13%5D%20%20IEC%206100-4-36%20EMC%20Part%204-36:%20Testing%20and%20measurement%20techniques%20%E2%80%93%20IEMI%20immunity%20test%20methods%20for%20equipment%20and%20systems.%20%E2%80%93%20IEC.%20%E2%80%93%202014.%20%E2%80%93%2088%20c.%20%20%5B14%5D%20Sanitary%20and%20Epidemiological%20Requirements%20for%20Radio%20Engineering%20Facilities.%20Resolution%20of%20the%20Government%20of%20the%20Republic%20of%20Kazakhstan%20dated%20November%2015,%202011%20No.%201341." TargetMode="External"/><Relationship Id="rId436" Type="http://schemas.openxmlformats.org/officeDocument/2006/relationships/image" Target="media/image232.jpg"/><Relationship Id="rId601" Type="http://schemas.openxmlformats.org/officeDocument/2006/relationships/hyperlink" Target="https://www.sas.com/en_us/insights/analytics/what-is-artificial-intelligence.html" TargetMode="External"/><Relationship Id="rId643" Type="http://schemas.openxmlformats.org/officeDocument/2006/relationships/hyperlink" Target="https://www.akorda.kz/ru/poslanie-glavy-gosudarstva-kasym-zhomarta-tokaeva-narodu-kazahstana-181130" TargetMode="External"/><Relationship Id="rId240" Type="http://schemas.openxmlformats.org/officeDocument/2006/relationships/image" Target="media/image63.jpg"/><Relationship Id="rId478" Type="http://schemas.openxmlformats.org/officeDocument/2006/relationships/image" Target="media/image1490.png"/><Relationship Id="rId685" Type="http://schemas.openxmlformats.org/officeDocument/2006/relationships/hyperlink" Target="https://ru.wikipedia.org/wiki/" TargetMode="External"/><Relationship Id="rId850" Type="http://schemas.openxmlformats.org/officeDocument/2006/relationships/hyperlink" Target="http://www.educationaldesigner.org/ed/volume1/issue1/art%20icle2" TargetMode="External"/><Relationship Id="rId35" Type="http://schemas.openxmlformats.org/officeDocument/2006/relationships/hyperlink" Target="https://doi.org/10.3390/rs14071582" TargetMode="External"/><Relationship Id="rId77" Type="http://schemas.openxmlformats.org/officeDocument/2006/relationships/image" Target="media/image37.png"/><Relationship Id="rId100" Type="http://schemas.openxmlformats.org/officeDocument/2006/relationships/image" Target="media/image60.png"/><Relationship Id="rId282" Type="http://schemas.openxmlformats.org/officeDocument/2006/relationships/image" Target="media/image196.jpg"/><Relationship Id="rId338" Type="http://schemas.openxmlformats.org/officeDocument/2006/relationships/hyperlink" Target="https://www.microwavejournal.com/articles/34308-%20keysights-5g-test-platforms-selected-by-mavenir-to-accelerate-software-development9" TargetMode="External"/><Relationship Id="rId503" Type="http://schemas.openxmlformats.org/officeDocument/2006/relationships/hyperlink" Target="http://arxiv.org/abs/2006.12567" TargetMode="External"/><Relationship Id="rId545" Type="http://schemas.openxmlformats.org/officeDocument/2006/relationships/hyperlink" Target="https://ru.wikipedia.org/wiki/%D0%9A%D0%BE%D0%BC%D0%BF%D1%8C%D1%8E%D1%82%D0%B5%D1%80%D1%80%D0%B0" TargetMode="External"/><Relationship Id="rId587" Type="http://schemas.openxmlformats.org/officeDocument/2006/relationships/image" Target="media/image335.png"/><Relationship Id="rId710" Type="http://schemas.openxmlformats.org/officeDocument/2006/relationships/hyperlink" Target="https://ru.wikipedia.org/wiki/%D0%AD%D0%BA%D1%81%D0%BF%D0%B5%D1%80%D1%82%D0%BD%D0%B0%D1%8F_%D1%81%D0%B8%D1%81%D1%82%D0%B5%D0%BC%D0%B0" TargetMode="External"/><Relationship Id="rId752" Type="http://schemas.openxmlformats.org/officeDocument/2006/relationships/hyperlink" Target="https://www.webofscience.com/wos/" TargetMode="External"/><Relationship Id="rId808" Type="http://schemas.openxmlformats.org/officeDocument/2006/relationships/hyperlink" Target="https://skillbox.ru/media/education/opublikovana-strategiya-tsifrovoy-transformatsii-nauki/" TargetMode="External"/><Relationship Id="rId8" Type="http://schemas.openxmlformats.org/officeDocument/2006/relationships/footer" Target="footer2.xml"/><Relationship Id="rId142" Type="http://schemas.openxmlformats.org/officeDocument/2006/relationships/hyperlink" Target="https://docs.opencv.org/" TargetMode="External"/><Relationship Id="rId184" Type="http://schemas.openxmlformats.org/officeDocument/2006/relationships/image" Target="media/image136.png"/><Relationship Id="rId391" Type="http://schemas.openxmlformats.org/officeDocument/2006/relationships/hyperlink" Target="https://www.electronicdesign.com/industrial-automaion/can-5g-handle-next-gen-data.%5B13%5D%20%20IEC%206100-4-36%20EMC%20Part%204-36:%20Testing%20and%20measurement%20techniques%20%E2%80%93%20IEMI%20immunity%20test%20methods%20for%20equipment%20and%20systems.%20%E2%80%93%20IEC.%20%E2%80%93%202014.%20%E2%80%93%2088%20c.%20%20%5B14%5D%20Sanitary%20and%20Epidemiological%20Requirements%20for%20Radio%20Engineering%20Facilities.%20Resolution%20of%20the%20Government%20of%20the%20Republic%20of%20Kazakhstan%20dated%20November%2015,%202011%20No.%201341." TargetMode="External"/><Relationship Id="rId405" Type="http://schemas.openxmlformats.org/officeDocument/2006/relationships/hyperlink" Target="https://www.electronicdesign.com/industrial-automaion/can-5g-handle-next-gen-data.%5B13%5D%20%20IEC%206100-4-36%20EMC%20Part%204-36:%20Testing%20and%20measurement%20techniques%20%E2%80%93%20IEMI%20immunity%20test%20methods%20for%20equipment%20and%20systems.%20%E2%80%93%20IEC.%20%E2%80%93%202014.%20%E2%80%93%2088%20c.%20%20%5B14%5D%20Sanitary%20and%20Epidemiological%20Requirements%20for%20Radio%20Engineering%20Facilities.%20Resolution%20of%20the%20Government%20of%20the%20Republic%20of%20Kazakhstan%20dated%20November%2015,%202011%20No.%201341." TargetMode="External"/><Relationship Id="rId447" Type="http://schemas.openxmlformats.org/officeDocument/2006/relationships/image" Target="media/image237.jpg"/><Relationship Id="rId612" Type="http://schemas.openxmlformats.org/officeDocument/2006/relationships/hyperlink" Target="https://opencv.org/" TargetMode="External"/><Relationship Id="rId794" Type="http://schemas.openxmlformats.org/officeDocument/2006/relationships/hyperlink" Target="https://skillbox.ru/media/education/opublikovana-strategiya-tsifrovoy-transformatsii-nauki/" TargetMode="External"/><Relationship Id="rId251" Type="http://schemas.openxmlformats.org/officeDocument/2006/relationships/image" Target="media/image700.png"/><Relationship Id="rId489" Type="http://schemas.openxmlformats.org/officeDocument/2006/relationships/image" Target="media/image277.png"/><Relationship Id="rId654" Type="http://schemas.openxmlformats.org/officeDocument/2006/relationships/hyperlink" Target="https://www.akorda.kz/ru/poslanie-glavy-gosudarstva-kasym-zhomarta-tokaeva-narodu-kazahstana-181130" TargetMode="External"/><Relationship Id="rId696" Type="http://schemas.openxmlformats.org/officeDocument/2006/relationships/hyperlink" Target="https://gtmarket.ru/ratings/global-education-expenditure" TargetMode="External"/><Relationship Id="rId861" Type="http://schemas.openxmlformats.org/officeDocument/2006/relationships/hyperlink" Target="https://cran.r-project.org/web/classifications/JEL.html" TargetMode="External"/><Relationship Id="rId46" Type="http://schemas.openxmlformats.org/officeDocument/2006/relationships/image" Target="media/image11.png"/><Relationship Id="rId293" Type="http://schemas.openxmlformats.org/officeDocument/2006/relationships/image" Target="media/image207.jpg"/><Relationship Id="rId307" Type="http://schemas.openxmlformats.org/officeDocument/2006/relationships/hyperlink" Target="https://docplayer.ru/26313075-Problemy-sovremennyh-kompyuternyh-setey.html" TargetMode="External"/><Relationship Id="rId349" Type="http://schemas.openxmlformats.org/officeDocument/2006/relationships/hyperlink" Target="https://www.microwavejournal.com/articles/32524-taoglas-cellular-antennas-include-latest-lte-5g-bands-for-global-deployments" TargetMode="External"/><Relationship Id="rId514" Type="http://schemas.openxmlformats.org/officeDocument/2006/relationships/hyperlink" Target="https://missilery.info/missile/15a14" TargetMode="External"/><Relationship Id="rId556" Type="http://schemas.openxmlformats.org/officeDocument/2006/relationships/image" Target="media/image304.png"/><Relationship Id="rId721" Type="http://schemas.openxmlformats.org/officeDocument/2006/relationships/hyperlink" Target="https://cran.r-project.org/web/classifications/JEL.html" TargetMode="External"/><Relationship Id="rId763" Type="http://schemas.openxmlformats.org/officeDocument/2006/relationships/hyperlink" Target="https://www.sciencemon.ru/" TargetMode="External"/><Relationship Id="rId88" Type="http://schemas.openxmlformats.org/officeDocument/2006/relationships/image" Target="media/image48.png"/><Relationship Id="rId111" Type="http://schemas.openxmlformats.org/officeDocument/2006/relationships/image" Target="media/image71.png"/><Relationship Id="rId153" Type="http://schemas.openxmlformats.org/officeDocument/2006/relationships/image" Target="media/image107.png"/><Relationship Id="rId195" Type="http://schemas.openxmlformats.org/officeDocument/2006/relationships/image" Target="media/image147.png"/><Relationship Id="rId209" Type="http://schemas.openxmlformats.org/officeDocument/2006/relationships/image" Target="media/image156.jpg"/><Relationship Id="rId360" Type="http://schemas.openxmlformats.org/officeDocument/2006/relationships/hyperlink" Target="https://www.microwavejournal.com/articles/32524-taoglas-cellular-antennas-include-latest-lte-5g-bands-for-global-deployments" TargetMode="External"/><Relationship Id="rId416" Type="http://schemas.openxmlformats.org/officeDocument/2006/relationships/image" Target="media/image218.jpg"/><Relationship Id="rId598" Type="http://schemas.openxmlformats.org/officeDocument/2006/relationships/image" Target="media/image346.jpg"/><Relationship Id="rId819" Type="http://schemas.openxmlformats.org/officeDocument/2006/relationships/hyperlink" Target="https://skillbox.ru/media/education/opublikovana-strategiya-tsifrovoy-transformatsii-nauki/" TargetMode="External"/><Relationship Id="rId220" Type="http://schemas.openxmlformats.org/officeDocument/2006/relationships/image" Target="media/image163.jpg"/><Relationship Id="rId458" Type="http://schemas.openxmlformats.org/officeDocument/2006/relationships/image" Target="media/image248.jpg"/><Relationship Id="rId623" Type="http://schemas.openxmlformats.org/officeDocument/2006/relationships/image" Target="media/image362.jpg"/><Relationship Id="rId665" Type="http://schemas.openxmlformats.org/officeDocument/2006/relationships/hyperlink" Target="https://ru.wikipedia.org/wiki/%25D0%25A5%25D0%25B8%25D1%2589%25D0%25B5%25D0%25BD%25D0%25B8%25D0%25B5_%25D1%2581%25D0%25BE%25D1%2586%25D0%25B8%25D0%25B0%25D0%25BB%25D0%25B8%25D1%2581%25D1%2582%25D0%25B8%25D1%2587%25D0%25B5%25D1%2581%25D0%25BA%25D0%25BE%25D0%25B9_%25D1%2581%25D0%25BE%25D0%25B1%25D1%2581%25D1%2582%25D0%25B2%25D0%25B5%25D0%25BD%25D0%25BD%25D0%25BE%25D1%2581%25D1%2582%25D0%25B8" TargetMode="External"/><Relationship Id="rId830" Type="http://schemas.openxmlformats.org/officeDocument/2006/relationships/image" Target="media/image381.jpg"/><Relationship Id="rId872" Type="http://schemas.openxmlformats.org/officeDocument/2006/relationships/footer" Target="footer28.xml"/><Relationship Id="rId15" Type="http://schemas.openxmlformats.org/officeDocument/2006/relationships/hyperlink" Target="https://doi.org/10.1007/s00024-019-02138-y" TargetMode="External"/><Relationship Id="rId57" Type="http://schemas.openxmlformats.org/officeDocument/2006/relationships/image" Target="media/image22.png"/><Relationship Id="rId262" Type="http://schemas.openxmlformats.org/officeDocument/2006/relationships/image" Target="media/image189.png"/><Relationship Id="rId318" Type="http://schemas.openxmlformats.org/officeDocument/2006/relationships/hyperlink" Target="https://www.eetimes.com/ericsson-warns-that-open-ran-compromises-security/" TargetMode="External"/><Relationship Id="rId525" Type="http://schemas.openxmlformats.org/officeDocument/2006/relationships/hyperlink" Target="https://ru.wikipedia.org/wiki/%D0%9C%D0%BE%D1%81%D0%BA%D0%BE%D0%B2%D1%81%D0%BA%D0%B8%D0%B9_%D0%B3%D0%BE%D1%81%D1%83%D0%B4%D0%B0%D1%80%D1%81%D1%82%D0%B2%D0%B5%D0%BD%D0%BD%D1%8B%D0%B9_%D1%82%D0%B5%D1%85%D0%BD%D0%B8%D1%87%D0%B5%D1%81%D0%BA%D0%B8%D0%B9_%D1%83%D0%BD%D0%B8%D0%B2%D0%B5%D1%80%D1%81%D0%B8%D1%82%D0%B5%D1%82_%D0%B8%D0%BC%D0%B5%D0%BD%D0%B8_%D0%9D._%D0%AD._%D0%91%D0%B0%D1%83%D0%BC%D0%B0%D0%BD%D0%B0" TargetMode="External"/><Relationship Id="rId567" Type="http://schemas.openxmlformats.org/officeDocument/2006/relationships/image" Target="media/image315.png"/><Relationship Id="rId732" Type="http://schemas.openxmlformats.org/officeDocument/2006/relationships/hyperlink" Target="https://elibrary.ru/" TargetMode="External"/><Relationship Id="rId99" Type="http://schemas.openxmlformats.org/officeDocument/2006/relationships/image" Target="media/image59.png"/><Relationship Id="rId122" Type="http://schemas.openxmlformats.org/officeDocument/2006/relationships/image" Target="media/image82.png"/><Relationship Id="rId164" Type="http://schemas.openxmlformats.org/officeDocument/2006/relationships/image" Target="media/image118.png"/><Relationship Id="rId371" Type="http://schemas.openxmlformats.org/officeDocument/2006/relationships/hyperlink" Target="http://www.itu.int/en/ITU-T/gsi/iot/Pages/default.aspx" TargetMode="External"/><Relationship Id="rId774" Type="http://schemas.openxmlformats.org/officeDocument/2006/relationships/image" Target="media/image371.jpg"/><Relationship Id="rId427" Type="http://schemas.openxmlformats.org/officeDocument/2006/relationships/image" Target="media/image223.jpg"/><Relationship Id="rId469" Type="http://schemas.openxmlformats.org/officeDocument/2006/relationships/image" Target="media/image259.jpg"/><Relationship Id="rId634" Type="http://schemas.openxmlformats.org/officeDocument/2006/relationships/hyperlink" Target="https://www.akorda.kz/ru/poslanie-glavy-gosudarstva-kasym-zhomarta-tokaeva-narodu-kazahstana-181130" TargetMode="External"/><Relationship Id="rId676" Type="http://schemas.openxmlformats.org/officeDocument/2006/relationships/hyperlink" Target="https://ru.wikipedia.org/wiki/%25D0%259A%25D1%2583%25D0%25BB%25D0%25B0%25D0%25BA_(%25D0%25BA%25D1%2580%25D0%25B5%25D1%2581%25D1%2582%25D1%258C%25D1%258F%25D0%25BD%25D0%25B8%25D0%25BD)" TargetMode="External"/><Relationship Id="rId841" Type="http://schemas.openxmlformats.org/officeDocument/2006/relationships/image" Target="media/image392.jpg"/><Relationship Id="rId883" Type="http://schemas.openxmlformats.org/officeDocument/2006/relationships/theme" Target="theme/theme1.xml"/><Relationship Id="rId26" Type="http://schemas.openxmlformats.org/officeDocument/2006/relationships/hyperlink" Target="https://doi.org/10.1016/j.jseaes.2010.03.005" TargetMode="External"/><Relationship Id="rId231" Type="http://schemas.openxmlformats.org/officeDocument/2006/relationships/image" Target="media/image171.jpg"/><Relationship Id="rId273" Type="http://schemas.openxmlformats.org/officeDocument/2006/relationships/image" Target="media/image192.png"/><Relationship Id="rId329" Type="http://schemas.openxmlformats.org/officeDocument/2006/relationships/hyperlink" Target="https://www.microwavejournal.com/articles/34308-%20keysights-5g-test-platforms-selected-by-mavenir-to-accelerate-software-development9" TargetMode="External"/><Relationship Id="rId480" Type="http://schemas.openxmlformats.org/officeDocument/2006/relationships/image" Target="media/image268.jpg"/><Relationship Id="rId536" Type="http://schemas.openxmlformats.org/officeDocument/2006/relationships/hyperlink" Target="https://ru.wikipedia.org/wiki/%D0%A1%D0%BB%D1%83%D0%B6%D0%B5%D0%B1%D0%BD%D0%B0%D1%8F:%D0%98%D1%81%D1%82%D0%BE%D1%87%D0%BD%D0%B8%D0%BA%D0%B8_%D0%BA%D0%BD%D0%B8%D0%B3/9785703832509" TargetMode="External"/><Relationship Id="rId701" Type="http://schemas.openxmlformats.org/officeDocument/2006/relationships/hyperlink" Target="https://rosstat.gov.ru/opendata/" TargetMode="External"/><Relationship Id="rId68" Type="http://schemas.openxmlformats.org/officeDocument/2006/relationships/image" Target="media/image33.png"/><Relationship Id="rId133" Type="http://schemas.openxmlformats.org/officeDocument/2006/relationships/image" Target="media/image93.png"/><Relationship Id="rId175" Type="http://schemas.openxmlformats.org/officeDocument/2006/relationships/image" Target="media/image127.png"/><Relationship Id="rId340" Type="http://schemas.openxmlformats.org/officeDocument/2006/relationships/hyperlink" Target="https://www.microwavejournal.com/articles/34308-%20keysights-5g-test-platforms-selected-by-mavenir-to-accelerate-software-development9" TargetMode="External"/><Relationship Id="rId578" Type="http://schemas.openxmlformats.org/officeDocument/2006/relationships/image" Target="media/image326.png"/><Relationship Id="rId743" Type="http://schemas.openxmlformats.org/officeDocument/2006/relationships/hyperlink" Target="https://www.scopus.com/" TargetMode="External"/><Relationship Id="rId785" Type="http://schemas.openxmlformats.org/officeDocument/2006/relationships/hyperlink" Target="https://skillbox.ru/media/education/opublikovana-strategiya-tsifrovoy-transformatsii-nauki/" TargetMode="External"/><Relationship Id="rId200" Type="http://schemas.openxmlformats.org/officeDocument/2006/relationships/image" Target="media/image152.png"/><Relationship Id="rId382" Type="http://schemas.openxmlformats.org/officeDocument/2006/relationships/hyperlink" Target="https://www.electronicdesign.com/industrial-automaion/can-5g-handle-next-gen-data.%5B13%5D%20%20IEC%206100-4-36%20EMC%20Part%204-36:%20Testing%20and%20measurement%20techniques%20%E2%80%93%20IEMI%20immunity%20test%20methods%20for%20equipment%20and%20systems.%20%E2%80%93%20IEC.%20%E2%80%93%202014.%20%E2%80%93%2088%20c.%20%20%5B14%5D%20Sanitary%20and%20Epidemiological%20Requirements%20for%20Radio%20Engineering%20Facilities.%20Resolution%20of%20the%20Government%20of%20the%20Republic%20of%20Kazakhstan%20dated%20November%2015,%202011%20No.%201341." TargetMode="External"/><Relationship Id="rId438" Type="http://schemas.openxmlformats.org/officeDocument/2006/relationships/image" Target="media/image114.jpg"/><Relationship Id="rId603" Type="http://schemas.openxmlformats.org/officeDocument/2006/relationships/hyperlink" Target="https://www.sas.com/en_us/insights/analytics/what-is-artificial-intelligence.html" TargetMode="External"/><Relationship Id="rId645" Type="http://schemas.openxmlformats.org/officeDocument/2006/relationships/hyperlink" Target="https://www.akorda.kz/ru/poslanie-glavy-gosudarstva-kasym-zhomarta-tokaeva-narodu-kazahstana-181130" TargetMode="External"/><Relationship Id="rId687" Type="http://schemas.openxmlformats.org/officeDocument/2006/relationships/hyperlink" Target="https://ru.wikipedia.org/wiki/" TargetMode="External"/><Relationship Id="rId810" Type="http://schemas.openxmlformats.org/officeDocument/2006/relationships/hyperlink" Target="https://skillbox.ru/media/education/opublikovana-strategiya-tsifrovoy-transformatsii-nauki/" TargetMode="External"/><Relationship Id="rId852" Type="http://schemas.openxmlformats.org/officeDocument/2006/relationships/hyperlink" Target="https://aiedu.hse.ru/2019/" TargetMode="External"/><Relationship Id="rId242" Type="http://schemas.openxmlformats.org/officeDocument/2006/relationships/image" Target="media/image65.jpg"/><Relationship Id="rId284" Type="http://schemas.openxmlformats.org/officeDocument/2006/relationships/image" Target="media/image198.jpg"/><Relationship Id="rId491" Type="http://schemas.openxmlformats.org/officeDocument/2006/relationships/image" Target="media/image279.png"/><Relationship Id="rId505" Type="http://schemas.openxmlformats.org/officeDocument/2006/relationships/hyperlink" Target="http://arxiv.org/abs/2008.11867" TargetMode="External"/><Relationship Id="rId712" Type="http://schemas.openxmlformats.org/officeDocument/2006/relationships/hyperlink" Target="https://ru.wikipedia.org/wiki/%D0%91%D0%B0%D0%B7%D0%B0_%D0%B7%D0%BD%D0%B0%D0%BD%D0%B8%D0%B9" TargetMode="External"/><Relationship Id="rId37" Type="http://schemas.openxmlformats.org/officeDocument/2006/relationships/image" Target="media/image2.png"/><Relationship Id="rId79" Type="http://schemas.openxmlformats.org/officeDocument/2006/relationships/image" Target="media/image39.png"/><Relationship Id="rId102" Type="http://schemas.openxmlformats.org/officeDocument/2006/relationships/image" Target="media/image62.png"/><Relationship Id="rId144" Type="http://schemas.openxmlformats.org/officeDocument/2006/relationships/footer" Target="footer4.xml"/><Relationship Id="rId547" Type="http://schemas.openxmlformats.org/officeDocument/2006/relationships/image" Target="media/image295.png"/><Relationship Id="rId589" Type="http://schemas.openxmlformats.org/officeDocument/2006/relationships/image" Target="media/image337.png"/><Relationship Id="rId754" Type="http://schemas.openxmlformats.org/officeDocument/2006/relationships/hyperlink" Target="https://monitoring.miccedu.ru/" TargetMode="External"/><Relationship Id="rId796" Type="http://schemas.openxmlformats.org/officeDocument/2006/relationships/hyperlink" Target="https://skillbox.ru/media/education/opublikovana-strategiya-tsifrovoy-transformatsii-nauki/" TargetMode="External"/><Relationship Id="rId90" Type="http://schemas.openxmlformats.org/officeDocument/2006/relationships/image" Target="media/image50.png"/><Relationship Id="rId186" Type="http://schemas.openxmlformats.org/officeDocument/2006/relationships/image" Target="media/image138.png"/><Relationship Id="rId351" Type="http://schemas.openxmlformats.org/officeDocument/2006/relationships/hyperlink" Target="https://www.microwavejournal.com/articles/32524-taoglas-cellular-antennas-include-latest-lte-5g-bands-for-global-deployments" TargetMode="External"/><Relationship Id="rId393" Type="http://schemas.openxmlformats.org/officeDocument/2006/relationships/hyperlink" Target="https://www.electronicdesign.com/industrial-automaion/can-5g-handle-next-gen-data.%5B13%5D%20%20IEC%206100-4-36%20EMC%20Part%204-36:%20Testing%20and%20measurement%20techniques%20%E2%80%93%20IEMI%20immunity%20test%20methods%20for%20equipment%20and%20systems.%20%E2%80%93%20IEC.%20%E2%80%93%202014.%20%E2%80%93%2088%20c.%20%20%5B14%5D%20Sanitary%20and%20Epidemiological%20Requirements%20for%20Radio%20Engineering%20Facilities.%20Resolution%20of%20the%20Government%20of%20the%20Republic%20of%20Kazakhstan%20dated%20November%2015,%202011%20No.%201341." TargetMode="External"/><Relationship Id="rId407" Type="http://schemas.openxmlformats.org/officeDocument/2006/relationships/hyperlink" Target="https://www.electronicdesign.com/industrial-automaion/can-5g-handle-next-gen-data.%5B13%5D%20%20IEC%206100-4-36%20EMC%20Part%204-36:%20Testing%20and%20measurement%20techniques%20%E2%80%93%20IEMI%20immunity%20test%20methods%20for%20equipment%20and%20systems.%20%E2%80%93%20IEC.%20%E2%80%93%202014.%20%E2%80%93%2088%20c.%20%20%5B14%5D%20Sanitary%20and%20Epidemiological%20Requirements%20for%20Radio%20Engineering%20Facilities.%20Resolution%20of%20the%20Government%20of%20the%20Republic%20of%20Kazakhstan%20dated%20November%2015,%202011%20No.%201341." TargetMode="External"/><Relationship Id="rId449" Type="http://schemas.openxmlformats.org/officeDocument/2006/relationships/image" Target="media/image239.jpg"/><Relationship Id="rId614" Type="http://schemas.openxmlformats.org/officeDocument/2006/relationships/image" Target="media/image355.png"/><Relationship Id="rId656" Type="http://schemas.openxmlformats.org/officeDocument/2006/relationships/image" Target="media/image364.jpg"/><Relationship Id="rId821" Type="http://schemas.openxmlformats.org/officeDocument/2006/relationships/footer" Target="footer23.xml"/><Relationship Id="rId863" Type="http://schemas.openxmlformats.org/officeDocument/2006/relationships/hyperlink" Target="https://cran.r-project.org/web/classifications/JEL.html" TargetMode="External"/><Relationship Id="rId211" Type="http://schemas.openxmlformats.org/officeDocument/2006/relationships/image" Target="media/image158.jpg"/><Relationship Id="rId253" Type="http://schemas.openxmlformats.org/officeDocument/2006/relationships/image" Target="media/image182.jpg"/><Relationship Id="rId295" Type="http://schemas.openxmlformats.org/officeDocument/2006/relationships/image" Target="media/image209.jpg"/><Relationship Id="rId309" Type="http://schemas.openxmlformats.org/officeDocument/2006/relationships/hyperlink" Target="https://www.eetimes.com/ericsson-warns-that-open-ran-compromises-security/" TargetMode="External"/><Relationship Id="rId460" Type="http://schemas.openxmlformats.org/officeDocument/2006/relationships/image" Target="media/image250.jpg"/><Relationship Id="rId516" Type="http://schemas.openxmlformats.org/officeDocument/2006/relationships/hyperlink" Target="https://missilery.info/missile/15a14" TargetMode="External"/><Relationship Id="rId698" Type="http://schemas.openxmlformats.org/officeDocument/2006/relationships/hyperlink" Target="https://gtmarket.ru/ratings/global-education-expenditure" TargetMode="External"/><Relationship Id="rId48" Type="http://schemas.openxmlformats.org/officeDocument/2006/relationships/image" Target="media/image13.png"/><Relationship Id="rId113" Type="http://schemas.openxmlformats.org/officeDocument/2006/relationships/image" Target="media/image73.png"/><Relationship Id="rId320" Type="http://schemas.openxmlformats.org/officeDocument/2006/relationships/hyperlink" Target="https://www.eetimes.com/ericsson-warns-that-open-ran-compromises-security/" TargetMode="External"/><Relationship Id="rId558" Type="http://schemas.openxmlformats.org/officeDocument/2006/relationships/image" Target="media/image306.png"/><Relationship Id="rId723" Type="http://schemas.openxmlformats.org/officeDocument/2006/relationships/hyperlink" Target="https://cran.r-project.org/web/classifications/JEL.html" TargetMode="External"/><Relationship Id="rId765" Type="http://schemas.openxmlformats.org/officeDocument/2006/relationships/image" Target="media/image366.jpg"/><Relationship Id="rId155" Type="http://schemas.openxmlformats.org/officeDocument/2006/relationships/image" Target="media/image109.png"/><Relationship Id="rId197" Type="http://schemas.openxmlformats.org/officeDocument/2006/relationships/image" Target="media/image149.png"/><Relationship Id="rId362" Type="http://schemas.openxmlformats.org/officeDocument/2006/relationships/hyperlink" Target="https://www.microwavejournal.com/articles/32524-taoglas-cellular-antennas-include-latest-lte-5g-bands-for-global-deployments" TargetMode="External"/><Relationship Id="rId418" Type="http://schemas.openxmlformats.org/officeDocument/2006/relationships/image" Target="media/image220.jpg"/><Relationship Id="rId625" Type="http://schemas.openxmlformats.org/officeDocument/2006/relationships/footer" Target="footer7.xml"/><Relationship Id="rId832" Type="http://schemas.openxmlformats.org/officeDocument/2006/relationships/image" Target="media/image383.jpg"/><Relationship Id="rId222" Type="http://schemas.openxmlformats.org/officeDocument/2006/relationships/image" Target="media/image165.jpg"/><Relationship Id="rId264" Type="http://schemas.openxmlformats.org/officeDocument/2006/relationships/image" Target="media/image730.png"/><Relationship Id="rId471" Type="http://schemas.openxmlformats.org/officeDocument/2006/relationships/image" Target="media/image261.png"/><Relationship Id="rId667" Type="http://schemas.openxmlformats.org/officeDocument/2006/relationships/hyperlink" Target="https://ru.wikipedia.org/wiki/%25D0%25A5%25D0%25B8%25D1%2589%25D0%25B5%25D0%25BD%25D0%25B8%25D0%25B5_%25D1%2581%25D0%25BE%25D1%2586%25D0%25B8%25D0%25B0%25D0%25BB%25D0%25B8%25D1%2581%25D1%2582%25D0%25B8%25D1%2587%25D0%25B5%25D1%2581%25D0%25BA%25D0%25BE%25D0%25B9_%25D1%2581%25D0%25BE%25D0%25B1%25D1%2581%25D1%2582%25D0%25B2%25D0%25B5%25D0%25BD%25D0%25BD%25D0%25BE%25D1%2581%25D1%2582%25D0%25B8" TargetMode="External"/><Relationship Id="rId874" Type="http://schemas.openxmlformats.org/officeDocument/2006/relationships/footer" Target="footer30.xml"/><Relationship Id="rId17" Type="http://schemas.openxmlformats.org/officeDocument/2006/relationships/hyperlink" Target="https://doi.org/10.1007/s00024-019-02138-y" TargetMode="External"/><Relationship Id="rId59" Type="http://schemas.openxmlformats.org/officeDocument/2006/relationships/image" Target="media/image24.png"/><Relationship Id="rId124" Type="http://schemas.openxmlformats.org/officeDocument/2006/relationships/image" Target="media/image84.jpg"/><Relationship Id="rId527" Type="http://schemas.openxmlformats.org/officeDocument/2006/relationships/hyperlink" Target="https://ru.wikipedia.org/wiki/%D0%A1%D0%BB%D1%83%D0%B6%D0%B5%D0%B1%D0%BD%D0%B0%D1%8F:%D0%98%D1%81%D1%82%D0%BE%D1%87%D0%BD%D0%B8%D0%BA%D0%B8_%D0%BA%D0%BD%D0%B8%D0%B3/9785703832509" TargetMode="External"/><Relationship Id="rId569" Type="http://schemas.openxmlformats.org/officeDocument/2006/relationships/image" Target="media/image317.png"/><Relationship Id="rId734" Type="http://schemas.openxmlformats.org/officeDocument/2006/relationships/hyperlink" Target="https://vak.minobrnauki.gov.ru/uploader/loader?type=19&amp;name=91107547002&amp;f=11305" TargetMode="External"/><Relationship Id="rId776" Type="http://schemas.openxmlformats.org/officeDocument/2006/relationships/footer" Target="footer20.xml"/><Relationship Id="rId166" Type="http://schemas.openxmlformats.org/officeDocument/2006/relationships/image" Target="media/image120.png"/><Relationship Id="rId331" Type="http://schemas.openxmlformats.org/officeDocument/2006/relationships/hyperlink" Target="https://www.microwavejournal.com/articles/34308-%20keysights-5g-test-platforms-selected-by-mavenir-to-accelerate-software-development9" TargetMode="External"/><Relationship Id="rId373" Type="http://schemas.openxmlformats.org/officeDocument/2006/relationships/hyperlink" Target="http://www.itu.int/en/ITU-T/gsi/iot/Pages/default.aspx" TargetMode="External"/><Relationship Id="rId429" Type="http://schemas.openxmlformats.org/officeDocument/2006/relationships/image" Target="media/image225.png"/><Relationship Id="rId580" Type="http://schemas.openxmlformats.org/officeDocument/2006/relationships/image" Target="media/image328.png"/><Relationship Id="rId636" Type="http://schemas.openxmlformats.org/officeDocument/2006/relationships/hyperlink" Target="https://www.akorda.kz/ru/poslanie-glavy-gosudarstva-kasym-zhomarta-tokaeva-narodu-kazahstana-181130" TargetMode="External"/><Relationship Id="rId801" Type="http://schemas.openxmlformats.org/officeDocument/2006/relationships/hyperlink" Target="https://skillbox.ru/media/education/opublikovana-strategiya-tsifrovoy-transformatsii-nauki/" TargetMode="External"/><Relationship Id="rId1" Type="http://schemas.openxmlformats.org/officeDocument/2006/relationships/numbering" Target="numbering.xml"/><Relationship Id="rId233" Type="http://schemas.openxmlformats.org/officeDocument/2006/relationships/image" Target="media/image60.jpg"/><Relationship Id="rId440" Type="http://schemas.openxmlformats.org/officeDocument/2006/relationships/image" Target="media/image233.jpg"/><Relationship Id="rId678" Type="http://schemas.openxmlformats.org/officeDocument/2006/relationships/hyperlink" Target="https://ru.wikipedia.org/wiki/%25D0%259A%25D1%2583%25D0%25BB%25D0%25B0%25D0%25BA_(%25D0%25BA%25D1%2580%25D0%25B5%25D1%2581%25D1%2582%25D1%258C%25D1%258F%25D0%25BD%25D0%25B8%25D0%25BD)" TargetMode="External"/><Relationship Id="rId843" Type="http://schemas.openxmlformats.org/officeDocument/2006/relationships/footer" Target="footer26.xml"/><Relationship Id="rId28" Type="http://schemas.openxmlformats.org/officeDocument/2006/relationships/hyperlink" Target="https://doi.org/10.3390/geosciences11110481" TargetMode="External"/><Relationship Id="rId275" Type="http://schemas.openxmlformats.org/officeDocument/2006/relationships/image" Target="media/image194.png"/><Relationship Id="rId300" Type="http://schemas.openxmlformats.org/officeDocument/2006/relationships/hyperlink" Target="https://docplayer.ru/26313075-Problemy-sovremennyh-kompyuternyh-setey.html" TargetMode="External"/><Relationship Id="rId482" Type="http://schemas.openxmlformats.org/officeDocument/2006/relationships/image" Target="media/image270.png"/><Relationship Id="rId538" Type="http://schemas.openxmlformats.org/officeDocument/2006/relationships/hyperlink" Target="http://www.keldysh.ru/events/ovch.pdf" TargetMode="External"/><Relationship Id="rId703" Type="http://schemas.openxmlformats.org/officeDocument/2006/relationships/footer" Target="footer11.xml"/><Relationship Id="rId745" Type="http://schemas.openxmlformats.org/officeDocument/2006/relationships/hyperlink" Target="https://www.scopus.com/" TargetMode="External"/><Relationship Id="rId81" Type="http://schemas.openxmlformats.org/officeDocument/2006/relationships/image" Target="media/image41.jpg"/><Relationship Id="rId135" Type="http://schemas.openxmlformats.org/officeDocument/2006/relationships/image" Target="media/image210.png"/><Relationship Id="rId177" Type="http://schemas.openxmlformats.org/officeDocument/2006/relationships/image" Target="media/image129.png"/><Relationship Id="rId342" Type="http://schemas.openxmlformats.org/officeDocument/2006/relationships/hyperlink" Target="https://www.microwavejournal.com/articles/34308-%20keysights-5g-test-platforms-selected-by-mavenir-to-accelerate-software-development9" TargetMode="External"/><Relationship Id="rId384" Type="http://schemas.openxmlformats.org/officeDocument/2006/relationships/hyperlink" Target="https://www.electronicdesign.com/industrial-automaion/can-5g-handle-next-gen-data.%5B13%5D%20%20IEC%206100-4-36%20EMC%20Part%204-36:%20Testing%20and%20measurement%20techniques%20%E2%80%93%20IEMI%20immunity%20test%20methods%20for%20equipment%20and%20systems.%20%E2%80%93%20IEC.%20%E2%80%93%202014.%20%E2%80%93%2088%20c.%20%20%5B14%5D%20Sanitary%20and%20Epidemiological%20Requirements%20for%20Radio%20Engineering%20Facilities.%20Resolution%20of%20the%20Government%20of%20the%20Republic%20of%20Kazakhstan%20dated%20November%2015,%202011%20No.%201341." TargetMode="External"/><Relationship Id="rId591" Type="http://schemas.openxmlformats.org/officeDocument/2006/relationships/image" Target="media/image339.png"/><Relationship Id="rId605" Type="http://schemas.openxmlformats.org/officeDocument/2006/relationships/hyperlink" Target="https://www.sas.com/en_us/insights/analytics/what-is-artificial-intelligence.html" TargetMode="External"/><Relationship Id="rId787" Type="http://schemas.openxmlformats.org/officeDocument/2006/relationships/hyperlink" Target="https://skillbox.ru/media/education/opublikovana-strategiya-tsifrovoy-transformatsii-nauki/" TargetMode="External"/><Relationship Id="rId812" Type="http://schemas.openxmlformats.org/officeDocument/2006/relationships/hyperlink" Target="https://skillbox.ru/media/education/opublikovana-strategiya-tsifrovoy-transformatsii-nauki/" TargetMode="External"/><Relationship Id="rId202" Type="http://schemas.openxmlformats.org/officeDocument/2006/relationships/image" Target="media/image154.jpg"/><Relationship Id="rId244" Type="http://schemas.openxmlformats.org/officeDocument/2006/relationships/image" Target="media/image177.png"/><Relationship Id="rId647" Type="http://schemas.openxmlformats.org/officeDocument/2006/relationships/hyperlink" Target="https://www.akorda.kz/ru/poslanie-glavy-gosudarstva-kasym-zhomarta-tokaeva-narodu-kazahstana-181130" TargetMode="External"/><Relationship Id="rId689" Type="http://schemas.openxmlformats.org/officeDocument/2006/relationships/hyperlink" Target="https://ru.wikipedia.org/wiki/" TargetMode="External"/><Relationship Id="rId854" Type="http://schemas.openxmlformats.org/officeDocument/2006/relationships/hyperlink" Target="https://www.tadviser.ru/index.php/%D0%9A%D0%BE%D0%BC%D0%BF%D0%B0%D0%BD%D0%B8%D1%8F:Baidu" TargetMode="External"/><Relationship Id="rId39" Type="http://schemas.openxmlformats.org/officeDocument/2006/relationships/image" Target="media/image4.png"/><Relationship Id="rId286" Type="http://schemas.openxmlformats.org/officeDocument/2006/relationships/image" Target="media/image200.jpg"/><Relationship Id="rId451" Type="http://schemas.openxmlformats.org/officeDocument/2006/relationships/image" Target="media/image241.jpg"/><Relationship Id="rId493" Type="http://schemas.openxmlformats.org/officeDocument/2006/relationships/image" Target="media/image281.png"/><Relationship Id="rId507" Type="http://schemas.openxmlformats.org/officeDocument/2006/relationships/image" Target="media/image291.jpg"/><Relationship Id="rId549" Type="http://schemas.openxmlformats.org/officeDocument/2006/relationships/image" Target="media/image297.png"/><Relationship Id="rId714" Type="http://schemas.openxmlformats.org/officeDocument/2006/relationships/hyperlink" Target="https://ru.wikipedia.org/wiki/%D0%A2%D0%B5%D1%85%D0%BD%D0%B8%D0%BA%D0%B0" TargetMode="External"/><Relationship Id="rId756" Type="http://schemas.openxmlformats.org/officeDocument/2006/relationships/hyperlink" Target="https://www.sciencemon.ru/" TargetMode="External"/><Relationship Id="rId50" Type="http://schemas.openxmlformats.org/officeDocument/2006/relationships/image" Target="media/image15.png"/><Relationship Id="rId104" Type="http://schemas.openxmlformats.org/officeDocument/2006/relationships/image" Target="media/image64.png"/><Relationship Id="rId146" Type="http://schemas.openxmlformats.org/officeDocument/2006/relationships/footer" Target="footer6.xml"/><Relationship Id="rId188" Type="http://schemas.openxmlformats.org/officeDocument/2006/relationships/image" Target="media/image140.png"/><Relationship Id="rId311" Type="http://schemas.openxmlformats.org/officeDocument/2006/relationships/hyperlink" Target="https://www.eetimes.com/ericsson-warns-that-open-ran-compromises-security/" TargetMode="External"/><Relationship Id="rId353" Type="http://schemas.openxmlformats.org/officeDocument/2006/relationships/hyperlink" Target="https://www.microwavejournal.com/articles/32524-taoglas-cellular-antennas-include-latest-lte-5g-bands-for-global-deployments" TargetMode="External"/><Relationship Id="rId395" Type="http://schemas.openxmlformats.org/officeDocument/2006/relationships/hyperlink" Target="https://www.electronicdesign.com/industrial-automaion/can-5g-handle-next-gen-data.%5B13%5D%20%20IEC%206100-4-36%20EMC%20Part%204-36:%20Testing%20and%20measurement%20techniques%20%E2%80%93%20IEMI%20immunity%20test%20methods%20for%20equipment%20and%20systems.%20%E2%80%93%20IEC.%20%E2%80%93%202014.%20%E2%80%93%2088%20c.%20%20%5B14%5D%20Sanitary%20and%20Epidemiological%20Requirements%20for%20Radio%20Engineering%20Facilities.%20Resolution%20of%20the%20Government%20of%20the%20Republic%20of%20Kazakhstan%20dated%20November%2015,%202011%20No.%201341." TargetMode="External"/><Relationship Id="rId409" Type="http://schemas.openxmlformats.org/officeDocument/2006/relationships/image" Target="media/image211.jpg"/><Relationship Id="rId560" Type="http://schemas.openxmlformats.org/officeDocument/2006/relationships/image" Target="media/image308.png"/><Relationship Id="rId798" Type="http://schemas.openxmlformats.org/officeDocument/2006/relationships/hyperlink" Target="https://skillbox.ru/media/education/opublikovana-strategiya-tsifrovoy-transformatsii-nauki/" TargetMode="External"/><Relationship Id="rId92" Type="http://schemas.openxmlformats.org/officeDocument/2006/relationships/image" Target="media/image52.png"/><Relationship Id="rId213" Type="http://schemas.openxmlformats.org/officeDocument/2006/relationships/hyperlink" Target="https://habr.com/ru/company/3dtool/blog/420153/" TargetMode="External"/><Relationship Id="rId420" Type="http://schemas.openxmlformats.org/officeDocument/2006/relationships/image" Target="media/image222.jpg"/><Relationship Id="rId616" Type="http://schemas.openxmlformats.org/officeDocument/2006/relationships/image" Target="media/image357.png"/><Relationship Id="rId658" Type="http://schemas.openxmlformats.org/officeDocument/2006/relationships/hyperlink" Target="https://ru.wikipedia.org/wiki/%25D0%25A1%25D0%25BE%25D1%2586%25D0%25B8%25D0%25B0%25D0%25BB%25D0%25B8%25D1%2581%25D1%2582%25D0%25B8%25D1%2587%25D0%25B5%25D1%2581%25D0%25BA%25D0%25B0%25D1%258F_%25D1%2581%25D0%25BE%25D0%25B1%25D1%2581%25D1%2582%25D0%25B2%25D0%25B5%25D0%25BD%25D0%25BD%25D0%25BE%25D1%2581%25D1%2582%25D1%258C" TargetMode="External"/><Relationship Id="rId823" Type="http://schemas.openxmlformats.org/officeDocument/2006/relationships/image" Target="media/image374.jpg"/><Relationship Id="rId865" Type="http://schemas.openxmlformats.org/officeDocument/2006/relationships/hyperlink" Target="https://cran.r-project.org/web/classifications/JEL.html" TargetMode="External"/><Relationship Id="rId255" Type="http://schemas.openxmlformats.org/officeDocument/2006/relationships/image" Target="media/image72.jpg"/><Relationship Id="rId297" Type="http://schemas.openxmlformats.org/officeDocument/2006/relationships/image" Target="media/image96.jpg"/><Relationship Id="rId462" Type="http://schemas.openxmlformats.org/officeDocument/2006/relationships/image" Target="media/image252.jpg"/><Relationship Id="rId518" Type="http://schemas.openxmlformats.org/officeDocument/2006/relationships/hyperlink" Target="https://ru.wikipedia.org/wiki/%D0%91%D0%B0%D0%BB%D1%82%D0%B8%D0%B9%D1%81%D0%BA%D0%B8%D0%B9_%D0%B3%D0%BE%D1%81%D1%83%D0%B4%D0%B0%D1%80%D1%81%D1%82%D0%B2%D0%B5%D0%BD%D0%BD%D1%8B%D0%B9_%D1%82%D0%B5%D1%85%D0%BD%D0%B8%D1%87%D0%B5%D1%81%D0%BA%D0%B8%D0%B9_%D1%83%D0%BD%D0%B8%D0%B2%D0%B5%D1%80%D1%81%D0%B8%D1%82%D0%B5%D1%82_%C2%AB%D0%92%D0%BE%D0%B5%D0%BD%D0%BC%D0%B5%D1%85%C2%BB" TargetMode="External"/><Relationship Id="rId725" Type="http://schemas.openxmlformats.org/officeDocument/2006/relationships/footer" Target="footer14.xml"/><Relationship Id="rId115" Type="http://schemas.openxmlformats.org/officeDocument/2006/relationships/image" Target="media/image75.png"/><Relationship Id="rId157" Type="http://schemas.openxmlformats.org/officeDocument/2006/relationships/image" Target="media/image111.png"/><Relationship Id="rId322" Type="http://schemas.openxmlformats.org/officeDocument/2006/relationships/hyperlink" Target="https://www.eetimes.com/ericsson-warns-that-open-ran-compromises-security/" TargetMode="External"/><Relationship Id="rId364" Type="http://schemas.openxmlformats.org/officeDocument/2006/relationships/hyperlink" Target="https://www.microwavejournal.com/articles/32524-taoglas-cellular-antennas-include-latest-lte-5g-bands-for-global-deployments" TargetMode="External"/><Relationship Id="rId767" Type="http://schemas.openxmlformats.org/officeDocument/2006/relationships/image" Target="media/image368.jpg"/><Relationship Id="rId61" Type="http://schemas.openxmlformats.org/officeDocument/2006/relationships/image" Target="media/image26.png"/><Relationship Id="rId199" Type="http://schemas.openxmlformats.org/officeDocument/2006/relationships/image" Target="media/image151.png"/><Relationship Id="rId571" Type="http://schemas.openxmlformats.org/officeDocument/2006/relationships/image" Target="media/image319.png"/><Relationship Id="rId627" Type="http://schemas.openxmlformats.org/officeDocument/2006/relationships/footer" Target="footer9.xml"/><Relationship Id="rId669" Type="http://schemas.openxmlformats.org/officeDocument/2006/relationships/hyperlink" Target="https://ru.wikipedia.org/wiki/%25D0%25A0%25D0%25B0%25D1%2581%25D1%2581%25D1%2582%25D1%2580%25D0%25B5%25D0%25BB" TargetMode="External"/><Relationship Id="rId834" Type="http://schemas.openxmlformats.org/officeDocument/2006/relationships/image" Target="media/image385.jpg"/><Relationship Id="rId876" Type="http://schemas.openxmlformats.org/officeDocument/2006/relationships/footer" Target="footer32.xml"/><Relationship Id="rId19" Type="http://schemas.openxmlformats.org/officeDocument/2006/relationships/hyperlink" Target="https://doi.org/10.1007/s00024-019-02138-y" TargetMode="External"/><Relationship Id="rId224" Type="http://schemas.openxmlformats.org/officeDocument/2006/relationships/image" Target="media/image167.jpg"/><Relationship Id="rId266" Type="http://schemas.openxmlformats.org/officeDocument/2006/relationships/image" Target="media/image740.png"/><Relationship Id="rId431" Type="http://schemas.openxmlformats.org/officeDocument/2006/relationships/image" Target="media/image227.png"/><Relationship Id="rId473" Type="http://schemas.openxmlformats.org/officeDocument/2006/relationships/image" Target="media/image263.png"/><Relationship Id="rId529" Type="http://schemas.openxmlformats.org/officeDocument/2006/relationships/hyperlink" Target="https://ru.wikipedia.org/wiki/%D0%A1%D0%BB%D1%83%D0%B6%D0%B5%D0%B1%D0%BD%D0%B0%D1%8F:%D0%98%D1%81%D1%82%D0%BE%D1%87%D0%BD%D0%B8%D0%BA%D0%B8_%D0%BA%D0%BD%D0%B8%D0%B3/9785703832509" TargetMode="External"/><Relationship Id="rId680" Type="http://schemas.openxmlformats.org/officeDocument/2006/relationships/hyperlink" Target="https://ru.wikipedia.org/wiki/%25D0%2590%25D0%25BC%25D0%25BD%25D0%25B8%25D1%2581%25D1%2582%25D0%25B8%25D1%258F" TargetMode="External"/><Relationship Id="rId736" Type="http://schemas.openxmlformats.org/officeDocument/2006/relationships/hyperlink" Target="https://vak.minobrnauki.gov.ru/uploader/loader?type=19&amp;name=91107547002&amp;f=11305" TargetMode="External"/><Relationship Id="rId30" Type="http://schemas.openxmlformats.org/officeDocument/2006/relationships/hyperlink" Target="https://doi.org/10.1016/j.jseaes.2019.104097" TargetMode="External"/><Relationship Id="rId126" Type="http://schemas.openxmlformats.org/officeDocument/2006/relationships/image" Target="media/image86.png"/><Relationship Id="rId168" Type="http://schemas.openxmlformats.org/officeDocument/2006/relationships/image" Target="media/image122.png"/><Relationship Id="rId333" Type="http://schemas.openxmlformats.org/officeDocument/2006/relationships/hyperlink" Target="https://www.microwavejournal.com/articles/34308-%20keysights-5g-test-platforms-selected-by-mavenir-to-accelerate-software-development9" TargetMode="External"/><Relationship Id="rId540" Type="http://schemas.openxmlformats.org/officeDocument/2006/relationships/hyperlink" Target="http://www.keldysh.ru/events/ovch.pdf" TargetMode="External"/><Relationship Id="rId778" Type="http://schemas.openxmlformats.org/officeDocument/2006/relationships/image" Target="media/image372.jpg"/><Relationship Id="rId375" Type="http://schemas.openxmlformats.org/officeDocument/2006/relationships/hyperlink" Target="https://www.electronicdesign.com/industrial-automaion/can-5g-handle-next-gen-data.%5B13%5D%20%20IEC%206100-4-36%20EMC%20Part%204-36:%20Testing%20and%20measurement%20techniques%20%E2%80%93%20IEMI%20immunity%20test%20methods%20for%20equipment%20and%20systems.%20%E2%80%93%20IEC.%20%E2%80%93%202014.%20%E2%80%93%2088%20c.%20%20%5B14%5D%20Sanitary%20and%20Epidemiological%20Requirements%20for%20Radio%20Engineering%20Facilities.%20Resolution%20of%20the%20Government%20of%20the%20Republic%20of%20Kazakhstan%20dated%20November%2015,%202011%20No.%201341." TargetMode="External"/><Relationship Id="rId582" Type="http://schemas.openxmlformats.org/officeDocument/2006/relationships/image" Target="media/image330.png"/><Relationship Id="rId638" Type="http://schemas.openxmlformats.org/officeDocument/2006/relationships/hyperlink" Target="https://www.akorda.kz/ru/poslanie-glavy-gosudarstva-kasym-zhomarta-tokaeva-narodu-kazahstana-181130" TargetMode="External"/><Relationship Id="rId803" Type="http://schemas.openxmlformats.org/officeDocument/2006/relationships/hyperlink" Target="https://skillbox.ru/media/education/opublikovana-strategiya-tsifrovoy-transformatsii-nauki/" TargetMode="External"/><Relationship Id="rId845" Type="http://schemas.openxmlformats.org/officeDocument/2006/relationships/hyperlink" Target="http://lenta.inform.kz/ru/cifrovizaciya-v-obrazovanii-novye-tehnologii-v-pomosch-processu-obucheniya_a3477335" TargetMode="External"/><Relationship Id="rId3" Type="http://schemas.openxmlformats.org/officeDocument/2006/relationships/settings" Target="settings.xml"/><Relationship Id="rId235" Type="http://schemas.openxmlformats.org/officeDocument/2006/relationships/image" Target="media/image172.jpg"/><Relationship Id="rId277" Type="http://schemas.openxmlformats.org/officeDocument/2006/relationships/image" Target="media/image780.png"/><Relationship Id="rId400" Type="http://schemas.openxmlformats.org/officeDocument/2006/relationships/hyperlink" Target="https://www.electronicdesign.com/industrial-automaion/can-5g-handle-next-gen-data.%5B13%5D%20%20IEC%206100-4-36%20EMC%20Part%204-36:%20Testing%20and%20measurement%20techniques%20%E2%80%93%20IEMI%20immunity%20test%20methods%20for%20equipment%20and%20systems.%20%E2%80%93%20IEC.%20%E2%80%93%202014.%20%E2%80%93%2088%20c.%20%20%5B14%5D%20Sanitary%20and%20Epidemiological%20Requirements%20for%20Radio%20Engineering%20Facilities.%20Resolution%20of%20the%20Government%20of%20the%20Republic%20of%20Kazakhstan%20dated%20November%2015,%202011%20No.%201341." TargetMode="External"/><Relationship Id="rId442" Type="http://schemas.openxmlformats.org/officeDocument/2006/relationships/image" Target="media/image235.jpg"/><Relationship Id="rId484" Type="http://schemas.openxmlformats.org/officeDocument/2006/relationships/image" Target="media/image272.png"/><Relationship Id="rId705" Type="http://schemas.openxmlformats.org/officeDocument/2006/relationships/hyperlink" Target="https://roundranking.com/ranking/world-university-rankings.html" TargetMode="External"/><Relationship Id="rId137" Type="http://schemas.openxmlformats.org/officeDocument/2006/relationships/image" Target="media/image96.png"/><Relationship Id="rId302" Type="http://schemas.openxmlformats.org/officeDocument/2006/relationships/hyperlink" Target="https://docplayer.ru/26313075-Problemy-sovremennyh-kompyuternyh-setey.html" TargetMode="External"/><Relationship Id="rId344" Type="http://schemas.openxmlformats.org/officeDocument/2006/relationships/hyperlink" Target="https://www.microwavejournal.com/articles/34308-%20keysights-5g-test-platforms-selected-by-mavenir-to-accelerate-software-development9" TargetMode="External"/><Relationship Id="rId691" Type="http://schemas.openxmlformats.org/officeDocument/2006/relationships/hyperlink" Target="https://ru.wikipedia.org/wiki/" TargetMode="External"/><Relationship Id="rId747" Type="http://schemas.openxmlformats.org/officeDocument/2006/relationships/hyperlink" Target="https://www.scopus.com/" TargetMode="External"/><Relationship Id="rId789" Type="http://schemas.openxmlformats.org/officeDocument/2006/relationships/hyperlink" Target="https://skillbox.ru/media/education/opublikovana-strategiya-tsifrovoy-transformatsii-nauki/" TargetMode="External"/><Relationship Id="rId41" Type="http://schemas.openxmlformats.org/officeDocument/2006/relationships/image" Target="media/image6.png"/><Relationship Id="rId83" Type="http://schemas.openxmlformats.org/officeDocument/2006/relationships/image" Target="media/image43.png"/><Relationship Id="rId179" Type="http://schemas.openxmlformats.org/officeDocument/2006/relationships/image" Target="media/image131.png"/><Relationship Id="rId386" Type="http://schemas.openxmlformats.org/officeDocument/2006/relationships/hyperlink" Target="https://www.electronicdesign.com/industrial-automaion/can-5g-handle-next-gen-data.%5B13%5D%20%20IEC%206100-4-36%20EMC%20Part%204-36:%20Testing%20and%20measurement%20techniques%20%E2%80%93%20IEMI%20immunity%20test%20methods%20for%20equipment%20and%20systems.%20%E2%80%93%20IEC.%20%E2%80%93%202014.%20%E2%80%93%2088%20c.%20%20%5B14%5D%20Sanitary%20and%20Epidemiological%20Requirements%20for%20Radio%20Engineering%20Facilities.%20Resolution%20of%20the%20Government%20of%20the%20Republic%20of%20Kazakhstan%20dated%20November%2015,%202011%20No.%201341." TargetMode="External"/><Relationship Id="rId551" Type="http://schemas.openxmlformats.org/officeDocument/2006/relationships/image" Target="media/image299.png"/><Relationship Id="rId593" Type="http://schemas.openxmlformats.org/officeDocument/2006/relationships/image" Target="media/image341.png"/><Relationship Id="rId607" Type="http://schemas.openxmlformats.org/officeDocument/2006/relationships/hyperlink" Target="https://www.sas.com/en_us/insights/analytics/what-is-artificial-intelligence.html" TargetMode="External"/><Relationship Id="rId649" Type="http://schemas.openxmlformats.org/officeDocument/2006/relationships/hyperlink" Target="https://www.akorda.kz/ru/poslanie-glavy-gosudarstva-kasym-zhomarta-tokaeva-narodu-kazahstana-181130" TargetMode="External"/><Relationship Id="rId814" Type="http://schemas.openxmlformats.org/officeDocument/2006/relationships/hyperlink" Target="https://skillbox.ru/media/education/opublikovana-strategiya-tsifrovoy-transformatsii-nauki/" TargetMode="External"/><Relationship Id="rId856" Type="http://schemas.openxmlformats.org/officeDocument/2006/relationships/hyperlink" Target="http://www.tadviser.ru/index.php/%D0%AF%D0%BF%D0%BE%D0%BD%D0%B8%D1%8F" TargetMode="External"/><Relationship Id="rId190" Type="http://schemas.openxmlformats.org/officeDocument/2006/relationships/image" Target="media/image142.png"/><Relationship Id="rId204" Type="http://schemas.openxmlformats.org/officeDocument/2006/relationships/hyperlink" Target="https://top3dshop.ru/materiali/filamentarno-wax3d-base-green-05kg.html" TargetMode="External"/><Relationship Id="rId246" Type="http://schemas.openxmlformats.org/officeDocument/2006/relationships/image" Target="media/image179.png"/><Relationship Id="rId288" Type="http://schemas.openxmlformats.org/officeDocument/2006/relationships/image" Target="media/image202.jpg"/><Relationship Id="rId411" Type="http://schemas.openxmlformats.org/officeDocument/2006/relationships/image" Target="media/image213.png"/><Relationship Id="rId453" Type="http://schemas.openxmlformats.org/officeDocument/2006/relationships/image" Target="media/image243.jpg"/><Relationship Id="rId509" Type="http://schemas.openxmlformats.org/officeDocument/2006/relationships/image" Target="media/image293.jpg"/><Relationship Id="rId660" Type="http://schemas.openxmlformats.org/officeDocument/2006/relationships/hyperlink" Target="https://ru.wikipedia.org/wiki/%25D0%25A1%25D0%25BE%25D1%2586%25D0%25B8%25D0%25B0%25D0%25BB%25D0%25B8%25D1%2581%25D1%2582%25D0%25B8%25D1%2587%25D0%25B5%25D1%2581%25D0%25BA%25D0%25B0%25D1%258F_%25D1%2581%25D0%25BE%25D0%25B1%25D1%2581%25D1%2582%25D0%25B2%25D0%25B5%25D0%25BD%25D0%25BD%25D0%25BE%25D1%2581%25D1%2582%25D1%258C" TargetMode="External"/><Relationship Id="rId106" Type="http://schemas.openxmlformats.org/officeDocument/2006/relationships/image" Target="media/image66.png"/><Relationship Id="rId313" Type="http://schemas.openxmlformats.org/officeDocument/2006/relationships/hyperlink" Target="https://www.eetimes.com/ericsson-warns-that-open-ran-compromises-security/" TargetMode="External"/><Relationship Id="rId495" Type="http://schemas.openxmlformats.org/officeDocument/2006/relationships/image" Target="media/image283.png"/><Relationship Id="rId716" Type="http://schemas.openxmlformats.org/officeDocument/2006/relationships/hyperlink" Target="https://ru.wikipedia.org/wiki/%D0%9D%D0%B0%D1%83%D0%BA%D0%B0" TargetMode="External"/><Relationship Id="rId758" Type="http://schemas.openxmlformats.org/officeDocument/2006/relationships/hyperlink" Target="https://www.sciencemon.ru/" TargetMode="External"/><Relationship Id="rId10" Type="http://schemas.openxmlformats.org/officeDocument/2006/relationships/hyperlink" Target="https://doi.org/10.1016/j.rse.2019.04.033" TargetMode="External"/><Relationship Id="rId52" Type="http://schemas.openxmlformats.org/officeDocument/2006/relationships/image" Target="media/image17.png"/><Relationship Id="rId94" Type="http://schemas.openxmlformats.org/officeDocument/2006/relationships/image" Target="media/image54.png"/><Relationship Id="rId148" Type="http://schemas.openxmlformats.org/officeDocument/2006/relationships/image" Target="media/image102.png"/><Relationship Id="rId355" Type="http://schemas.openxmlformats.org/officeDocument/2006/relationships/hyperlink" Target="https://www.microwavejournal.com/articles/32524-taoglas-cellular-antennas-include-latest-lte-5g-bands-for-global-deployments" TargetMode="External"/><Relationship Id="rId397" Type="http://schemas.openxmlformats.org/officeDocument/2006/relationships/hyperlink" Target="https://www.electronicdesign.com/industrial-automaion/can-5g-handle-next-gen-data.%5B13%5D%20%20IEC%206100-4-36%20EMC%20Part%204-36:%20Testing%20and%20measurement%20techniques%20%E2%80%93%20IEMI%20immunity%20test%20methods%20for%20equipment%20and%20systems.%20%E2%80%93%20IEC.%20%E2%80%93%202014.%20%E2%80%93%2088%20c.%20%20%5B14%5D%20Sanitary%20and%20Epidemiological%20Requirements%20for%20Radio%20Engineering%20Facilities.%20Resolution%20of%20the%20Government%20of%20the%20Republic%20of%20Kazakhstan%20dated%20November%2015,%202011%20No.%201341." TargetMode="External"/><Relationship Id="rId520" Type="http://schemas.openxmlformats.org/officeDocument/2006/relationships/hyperlink" Target="https://ru.wikipedia.org/wiki/%D0%AF%D1%88%D0%B8%D0%BD,_%D0%AE%D1%80%D0%B8%D0%B9_%D0%90%D0%BB%D0%B5%D0%BA%D1%81%D0%B5%D0%B5%D0%B2%D0%B8%D1%87" TargetMode="External"/><Relationship Id="rId562" Type="http://schemas.openxmlformats.org/officeDocument/2006/relationships/image" Target="media/image310.png"/><Relationship Id="rId618" Type="http://schemas.openxmlformats.org/officeDocument/2006/relationships/image" Target="media/image359.png"/><Relationship Id="rId825" Type="http://schemas.openxmlformats.org/officeDocument/2006/relationships/image" Target="media/image376.jpg"/><Relationship Id="rId215" Type="http://schemas.openxmlformats.org/officeDocument/2006/relationships/image" Target="media/image160.jpg"/><Relationship Id="rId257" Type="http://schemas.openxmlformats.org/officeDocument/2006/relationships/image" Target="media/image184.png"/><Relationship Id="rId422" Type="http://schemas.openxmlformats.org/officeDocument/2006/relationships/hyperlink" Target="https://doi.org/10.1016/j.rcim.2018.%2006.001" TargetMode="External"/><Relationship Id="rId464" Type="http://schemas.openxmlformats.org/officeDocument/2006/relationships/image" Target="media/image254.jpg"/><Relationship Id="rId867" Type="http://schemas.openxmlformats.org/officeDocument/2006/relationships/hyperlink" Target="http://trendchart.cordis.Iu/scoreboard2015/index.cfin" TargetMode="External"/><Relationship Id="rId299" Type="http://schemas.openxmlformats.org/officeDocument/2006/relationships/hyperlink" Target="https://docplayer.ru/26313075-Problemy-sovremennyh-kompyuternyh-setey.html" TargetMode="External"/><Relationship Id="rId727" Type="http://schemas.openxmlformats.org/officeDocument/2006/relationships/image" Target="media/image365.png"/><Relationship Id="rId63" Type="http://schemas.openxmlformats.org/officeDocument/2006/relationships/image" Target="media/image28.png"/><Relationship Id="rId159" Type="http://schemas.openxmlformats.org/officeDocument/2006/relationships/image" Target="media/image113.png"/><Relationship Id="rId366" Type="http://schemas.openxmlformats.org/officeDocument/2006/relationships/hyperlink" Target="https://www.microwavejournal.com/articles/32524-taoglas-cellular-antennas-include-latest-lte-5g-bands-for-global-deployments" TargetMode="External"/><Relationship Id="rId573" Type="http://schemas.openxmlformats.org/officeDocument/2006/relationships/image" Target="media/image321.png"/><Relationship Id="rId780" Type="http://schemas.openxmlformats.org/officeDocument/2006/relationships/hyperlink" Target="https://www.cnews.ru/book/%D0%9A%D0%B8%D0%B1%D0%B5%D1%80%D0%B1%D0%B5%D0%B7%D0%BE%D0%BF%D0%B0%D1%81%D0%BD%D0%BE%D1%81%D1%82%D1%8C_-_%D0%9A%D0%BE%D0%BC%D0%BF%D1%8C%D1%8E%D1%82%D0%B5%D1%80%D0%BD%D0%B0%D1%8F_%D0%B1%D0%B5%D0%B7%D0%BE%D0%BF%D0%B0%D1%81%D0%BD%D0%BE%D1%81%D1%82%D1%8C_-_%D0%98%D0%BD%D1%84%D0%BE%D1%80%D0%BC%D0%B0%D1%86%D0%B8%D0%BE%D0%BD%D0%BD%D0%B0%D1%8F_%D0%B1%D0%B5%D0%B7%D0%BE%D0%BF%D0%B0%D1%81%D0%BD%D0%BE%D1%81%D1%82%D1%8C_-_%D0%98%D0%91-%D0%B8%D0%BD%D1%82%D0%B5%D0%B3%D1%80%D0%B0%D1%82%D0%BE%D1%80_-_%D0%9A%D0%B8%D0%B1%D0%B5%D1%80%D0%BF%D1%80%D0%B5%D1%81%D1%82%D1%83%D0%BF%D0%BD%D0%BE%D1%81%D1%82%D1%8C_-_Cybersecurity_-_%D0%9A%D0%B8%D0%B1%D0%B5%D1%80%D0%B8%D0%BD%D1%86%D0%B8%D0%B4%D0%B5%D0%BD%D1%82%D1%8B" TargetMode="External"/><Relationship Id="rId226" Type="http://schemas.openxmlformats.org/officeDocument/2006/relationships/image" Target="media/image56.jpg"/><Relationship Id="rId433" Type="http://schemas.openxmlformats.org/officeDocument/2006/relationships/image" Target="media/image229.jpg"/><Relationship Id="rId878" Type="http://schemas.openxmlformats.org/officeDocument/2006/relationships/image" Target="media/image396.jpg"/><Relationship Id="rId640" Type="http://schemas.openxmlformats.org/officeDocument/2006/relationships/hyperlink" Target="https://www.akorda.kz/ru/poslanie-glavy-gosudarstva-kasym-zhomarta-tokaeva-narodu-kazahstana-181130" TargetMode="External"/><Relationship Id="rId738" Type="http://schemas.openxmlformats.org/officeDocument/2006/relationships/hyperlink" Target="https://www.scopus.com/" TargetMode="External"/><Relationship Id="rId74" Type="http://schemas.openxmlformats.org/officeDocument/2006/relationships/image" Target="media/image34.png"/><Relationship Id="rId377" Type="http://schemas.openxmlformats.org/officeDocument/2006/relationships/hyperlink" Target="https://www.electronicdesign.com/industrial-automaion/can-5g-handle-next-gen-data.%5B13%5D%20%20IEC%206100-4-36%20EMC%20Part%204-36:%20Testing%20and%20measurement%20techniques%20%E2%80%93%20IEMI%20immunity%20test%20methods%20for%20equipment%20and%20systems.%20%E2%80%93%20IEC.%20%E2%80%93%202014.%20%E2%80%93%2088%20c.%20%20%5B14%5D%20Sanitary%20and%20Epidemiological%20Requirements%20for%20Radio%20Engineering%20Facilities.%20Resolution%20of%20the%20Government%20of%20the%20Republic%20of%20Kazakhstan%20dated%20November%2015,%202011%20No.%201341." TargetMode="External"/><Relationship Id="rId500" Type="http://schemas.openxmlformats.org/officeDocument/2006/relationships/image" Target="media/image288.png"/><Relationship Id="rId584" Type="http://schemas.openxmlformats.org/officeDocument/2006/relationships/image" Target="media/image332.png"/><Relationship Id="rId805" Type="http://schemas.openxmlformats.org/officeDocument/2006/relationships/hyperlink" Target="https://skillbox.ru/media/education/opublikovana-strategiya-tsifrovoy-transformatsii-nauki/" TargetMode="External"/><Relationship Id="rId5" Type="http://schemas.openxmlformats.org/officeDocument/2006/relationships/footnotes" Target="footnotes.xml"/><Relationship Id="rId237" Type="http://schemas.openxmlformats.org/officeDocument/2006/relationships/image" Target="media/image174.jpg"/><Relationship Id="rId791" Type="http://schemas.openxmlformats.org/officeDocument/2006/relationships/hyperlink" Target="https://skillbox.ru/media/education/opublikovana-strategiya-tsifrovoy-transformatsii-nauki/" TargetMode="External"/><Relationship Id="rId444" Type="http://schemas.openxmlformats.org/officeDocument/2006/relationships/image" Target="media/image117.jpg"/><Relationship Id="rId651" Type="http://schemas.openxmlformats.org/officeDocument/2006/relationships/hyperlink" Target="https://www.akorda.kz/ru/poslanie-glavy-gosudarstva-kasym-zhomarta-tokaeva-narodu-kazahstana-181130" TargetMode="External"/><Relationship Id="rId749" Type="http://schemas.openxmlformats.org/officeDocument/2006/relationships/hyperlink" Target="https://access.clarivate.com/" TargetMode="External"/><Relationship Id="rId290" Type="http://schemas.openxmlformats.org/officeDocument/2006/relationships/image" Target="media/image204.jpg"/><Relationship Id="rId304" Type="http://schemas.openxmlformats.org/officeDocument/2006/relationships/hyperlink" Target="https://docplayer.ru/26313075-Problemy-sovremennyh-kompyuternyh-setey.html" TargetMode="External"/><Relationship Id="rId388" Type="http://schemas.openxmlformats.org/officeDocument/2006/relationships/hyperlink" Target="https://www.electronicdesign.com/industrial-automaion/can-5g-handle-next-gen-data.%5B13%5D%20%20IEC%206100-4-36%20EMC%20Part%204-36:%20Testing%20and%20measurement%20techniques%20%E2%80%93%20IEMI%20immunity%20test%20methods%20for%20equipment%20and%20systems.%20%E2%80%93%20IEC.%20%E2%80%93%202014.%20%E2%80%93%2088%20c.%20%20%5B14%5D%20Sanitary%20and%20Epidemiological%20Requirements%20for%20Radio%20Engineering%20Facilities.%20Resolution%20of%20the%20Government%20of%20the%20Republic%20of%20Kazakhstan%20dated%20November%2015,%202011%20No.%201341." TargetMode="External"/><Relationship Id="rId511" Type="http://schemas.openxmlformats.org/officeDocument/2006/relationships/hyperlink" Target="https://missilery.info/missile/15a14" TargetMode="External"/><Relationship Id="rId609" Type="http://schemas.openxmlformats.org/officeDocument/2006/relationships/hyperlink" Target="https://habr.com/ru/company/cloud4y/blog/469447/" TargetMode="External"/><Relationship Id="rId85" Type="http://schemas.openxmlformats.org/officeDocument/2006/relationships/image" Target="media/image45.png"/><Relationship Id="rId150" Type="http://schemas.openxmlformats.org/officeDocument/2006/relationships/image" Target="media/image104.png"/><Relationship Id="rId595" Type="http://schemas.openxmlformats.org/officeDocument/2006/relationships/image" Target="media/image343.png"/><Relationship Id="rId816" Type="http://schemas.openxmlformats.org/officeDocument/2006/relationships/hyperlink" Target="https://skillbox.ru/media/education/opublikovana-strategiya-tsifrovoy-transformatsii-nauki/" TargetMode="External"/><Relationship Id="rId248" Type="http://schemas.openxmlformats.org/officeDocument/2006/relationships/image" Target="media/image347.png"/><Relationship Id="rId455" Type="http://schemas.openxmlformats.org/officeDocument/2006/relationships/image" Target="media/image245.jpg"/><Relationship Id="rId662" Type="http://schemas.openxmlformats.org/officeDocument/2006/relationships/hyperlink" Target="https://ru.wikipedia.org/wiki/%25D0%25A5%25D0%25B8%25D1%2589%25D0%25B5%25D0%25BD%25D0%25B8%25D0%25B5_%25D1%2581%25D0%25BE%25D1%2586%25D0%25B8%25D0%25B0%25D0%25BB%25D0%25B8%25D1%2581%25D1%2582%25D0%25B8%25D1%2587%25D0%25B5%25D1%2581%25D0%25BA%25D0%25BE%25D0%25B9_%25D1%2581%25D0%25BE%25D0%25B1%25D1%2581%25D1%2582%25D0%25B2%25D0%25B5%25D0%25BD%25D0%25BD%25D0%25BE%25D1%2581%25D1%2582%25D0%25B8" TargetMode="External"/><Relationship Id="rId12" Type="http://schemas.openxmlformats.org/officeDocument/2006/relationships/hyperlink" Target="https://doi.org/10.1007/s00024-019-02138-y" TargetMode="External"/><Relationship Id="rId108" Type="http://schemas.openxmlformats.org/officeDocument/2006/relationships/image" Target="media/image68.png"/><Relationship Id="rId315" Type="http://schemas.openxmlformats.org/officeDocument/2006/relationships/hyperlink" Target="https://www.eetimes.com/ericsson-warns-that-open-ran-compromises-security/" TargetMode="External"/><Relationship Id="rId522" Type="http://schemas.openxmlformats.org/officeDocument/2006/relationships/hyperlink" Target="https://ru.wikipedia.org/wiki/%D0%AF%D1%88%D0%B8%D0%BD,_%D0%AE%D1%80%D0%B8%D0%B9_%D0%90%D0%BB%D0%B5%D0%BA%D1%81%D0%B5%D0%B5%D0%B2%D0%B8%D1%87" TargetMode="External"/><Relationship Id="rId96" Type="http://schemas.openxmlformats.org/officeDocument/2006/relationships/image" Target="media/image56.png"/><Relationship Id="rId161" Type="http://schemas.openxmlformats.org/officeDocument/2006/relationships/image" Target="media/image115.png"/><Relationship Id="rId399" Type="http://schemas.openxmlformats.org/officeDocument/2006/relationships/hyperlink" Target="https://www.electronicdesign.com/industrial-automaion/can-5g-handle-next-gen-data.%5B13%5D%20%20IEC%206100-4-36%20EMC%20Part%204-36:%20Testing%20and%20measurement%20techniques%20%E2%80%93%20IEMI%20immunity%20test%20methods%20for%20equipment%20and%20systems.%20%E2%80%93%20IEC.%20%E2%80%93%202014.%20%E2%80%93%2088%20c.%20%20%5B14%5D%20Sanitary%20and%20Epidemiological%20Requirements%20for%20Radio%20Engineering%20Facilities.%20Resolution%20of%20the%20Government%20of%20the%20Republic%20of%20Kazakhstan%20dated%20November%2015,%202011%20No.%201341." TargetMode="External"/><Relationship Id="rId827" Type="http://schemas.openxmlformats.org/officeDocument/2006/relationships/image" Target="media/image378.jpg"/><Relationship Id="rId259" Type="http://schemas.openxmlformats.org/officeDocument/2006/relationships/image" Target="media/image186.png"/><Relationship Id="rId466" Type="http://schemas.openxmlformats.org/officeDocument/2006/relationships/image" Target="media/image256.jpg"/><Relationship Id="rId673" Type="http://schemas.openxmlformats.org/officeDocument/2006/relationships/hyperlink" Target="https://ru.wikipedia.org/wiki/%25D0%25A0%25D0%25B0%25D1%2581%25D1%2581%25D1%2582%25D1%2580%25D0%25B5%25D0%25BB" TargetMode="External"/><Relationship Id="rId880" Type="http://schemas.openxmlformats.org/officeDocument/2006/relationships/footer" Target="footer35.xml"/><Relationship Id="rId23" Type="http://schemas.openxmlformats.org/officeDocument/2006/relationships/hyperlink" Target="https://doi.org/10.1016/j.actaastro.2020.06.005" TargetMode="External"/><Relationship Id="rId119" Type="http://schemas.openxmlformats.org/officeDocument/2006/relationships/image" Target="media/image79.png"/><Relationship Id="rId326" Type="http://schemas.openxmlformats.org/officeDocument/2006/relationships/hyperlink" Target="https://www.microwavejournal.com/articles/34308-%20keysights-5g-test-platforms-selected-by-mavenir-to-accelerate-software-development9" TargetMode="External"/><Relationship Id="rId533" Type="http://schemas.openxmlformats.org/officeDocument/2006/relationships/hyperlink" Target="https://ru.wikipedia.org/wiki/%D0%A1%D0%BB%D1%83%D0%B6%D0%B5%D0%B1%D0%BD%D0%B0%D1%8F:%D0%98%D1%81%D1%82%D0%BE%D1%87%D0%BD%D0%B8%D0%BA%D0%B8_%D0%BA%D0%BD%D0%B8%D0%B3/9785703832509" TargetMode="External"/><Relationship Id="rId740" Type="http://schemas.openxmlformats.org/officeDocument/2006/relationships/hyperlink" Target="https://www.scopus.com/" TargetMode="External"/><Relationship Id="rId838" Type="http://schemas.openxmlformats.org/officeDocument/2006/relationships/image" Target="media/image389.jpg"/><Relationship Id="rId172" Type="http://schemas.openxmlformats.org/officeDocument/2006/relationships/image" Target="media/image126.png"/><Relationship Id="rId477" Type="http://schemas.openxmlformats.org/officeDocument/2006/relationships/image" Target="media/image267.png"/><Relationship Id="rId600" Type="http://schemas.openxmlformats.org/officeDocument/2006/relationships/image" Target="media/image353.png"/><Relationship Id="rId684" Type="http://schemas.openxmlformats.org/officeDocument/2006/relationships/hyperlink" Target="https://ru.wikipedia.org/wiki/" TargetMode="External"/><Relationship Id="rId337" Type="http://schemas.openxmlformats.org/officeDocument/2006/relationships/hyperlink" Target="https://www.microwavejournal.com/articles/34308-%20keysights-5g-test-platforms-selected-by-mavenir-to-accelerate-software-development9" TargetMode="External"/><Relationship Id="rId34" Type="http://schemas.openxmlformats.org/officeDocument/2006/relationships/hyperlink" Target="https://doi.org/10.3390/rs14071582" TargetMode="External"/><Relationship Id="rId544" Type="http://schemas.openxmlformats.org/officeDocument/2006/relationships/hyperlink" Target="https://ru.wikipedia.org/wiki/%D0%9A%D0%BE%D0%BC%D0%BF%D1%8C%D1%8E%D1%82%D0%B5%D1%80%D1%80%D0%B0" TargetMode="External"/><Relationship Id="rId751" Type="http://schemas.openxmlformats.org/officeDocument/2006/relationships/hyperlink" Target="https://www.webofscience.com/wos/" TargetMode="External"/><Relationship Id="rId849" Type="http://schemas.openxmlformats.org/officeDocument/2006/relationships/image" Target="media/image393.jpg"/><Relationship Id="rId183" Type="http://schemas.openxmlformats.org/officeDocument/2006/relationships/image" Target="media/image135.png"/><Relationship Id="rId390" Type="http://schemas.openxmlformats.org/officeDocument/2006/relationships/hyperlink" Target="https://www.electronicdesign.com/industrial-automaion/can-5g-handle-next-gen-data.%5B13%5D%20%20IEC%206100-4-36%20EMC%20Part%204-36:%20Testing%20and%20measurement%20techniques%20%E2%80%93%20IEMI%20immunity%20test%20methods%20for%20equipment%20and%20systems.%20%E2%80%93%20IEC.%20%E2%80%93%202014.%20%E2%80%93%2088%20c.%20%20%5B14%5D%20Sanitary%20and%20Epidemiological%20Requirements%20for%20Radio%20Engineering%20Facilities.%20Resolution%20of%20the%20Government%20of%20the%20Republic%20of%20Kazakhstan%20dated%20November%2015,%202011%20No.%201341." TargetMode="External"/><Relationship Id="rId404" Type="http://schemas.openxmlformats.org/officeDocument/2006/relationships/hyperlink" Target="https://www.electronicdesign.com/industrial-automaion/can-5g-handle-next-gen-data.%5B13%5D%20%20IEC%206100-4-36%20EMC%20Part%204-36:%20Testing%20and%20measurement%20techniques%20%E2%80%93%20IEMI%20immunity%20test%20methods%20for%20equipment%20and%20systems.%20%E2%80%93%20IEC.%20%E2%80%93%202014.%20%E2%80%93%2088%20c.%20%20%5B14%5D%20Sanitary%20and%20Epidemiological%20Requirements%20for%20Radio%20Engineering%20Facilities.%20Resolution%20of%20the%20Government%20of%20the%20Republic%20of%20Kazakhstan%20dated%20November%2015,%202011%20No.%201341." TargetMode="External"/><Relationship Id="rId611" Type="http://schemas.openxmlformats.org/officeDocument/2006/relationships/hyperlink" Target="https://opencv.or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528</Pages>
  <Words>190582</Words>
  <Characters>1086324</Characters>
  <Application>Microsoft Office Word</Application>
  <DocSecurity>0</DocSecurity>
  <Lines>9052</Lines>
  <Paragraphs>2548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1274358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cp:lastModifiedBy>user</cp:lastModifiedBy>
  <cp:revision>2</cp:revision>
  <dcterms:created xsi:type="dcterms:W3CDTF">2023-01-16T19:05:00Z</dcterms:created>
  <dcterms:modified xsi:type="dcterms:W3CDTF">2023-01-16T19:05:00Z</dcterms:modified>
</cp:coreProperties>
</file>